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65B0" w14:textId="77777777" w:rsidR="00A217D2" w:rsidRPr="008E7712" w:rsidRDefault="00A217D2" w:rsidP="00EB7CBC">
      <w:pPr>
        <w:spacing w:line="240" w:lineRule="auto"/>
        <w:jc w:val="center"/>
        <w:rPr>
          <w:b/>
          <w:bCs/>
          <w:szCs w:val="26"/>
        </w:rPr>
      </w:pPr>
      <w:r w:rsidRPr="008E7712">
        <w:rPr>
          <w:b/>
          <w:bCs/>
          <w:szCs w:val="26"/>
        </w:rPr>
        <w:t>PENNSYLVANIA</w:t>
      </w:r>
    </w:p>
    <w:p w14:paraId="32FECA55" w14:textId="77777777" w:rsidR="00A217D2" w:rsidRPr="008E7712" w:rsidRDefault="00A217D2" w:rsidP="00EB7CBC">
      <w:pPr>
        <w:tabs>
          <w:tab w:val="center" w:pos="4680"/>
        </w:tabs>
        <w:suppressAutoHyphens/>
        <w:spacing w:line="240" w:lineRule="auto"/>
        <w:jc w:val="center"/>
        <w:rPr>
          <w:b/>
          <w:szCs w:val="26"/>
        </w:rPr>
      </w:pPr>
      <w:r w:rsidRPr="008E7712">
        <w:rPr>
          <w:b/>
          <w:bCs/>
          <w:szCs w:val="26"/>
        </w:rPr>
        <w:t>PUBLIC UTILITY</w:t>
      </w:r>
      <w:r w:rsidRPr="008E7712">
        <w:rPr>
          <w:b/>
          <w:szCs w:val="26"/>
        </w:rPr>
        <w:t xml:space="preserve"> COMMISSION</w:t>
      </w:r>
    </w:p>
    <w:p w14:paraId="73A4FDF6" w14:textId="77777777" w:rsidR="00A217D2" w:rsidRPr="008E7712" w:rsidRDefault="00A217D2" w:rsidP="00EB7CBC">
      <w:pPr>
        <w:tabs>
          <w:tab w:val="center" w:pos="4680"/>
        </w:tabs>
        <w:suppressAutoHyphens/>
        <w:spacing w:line="240" w:lineRule="auto"/>
        <w:jc w:val="center"/>
        <w:rPr>
          <w:b/>
          <w:szCs w:val="26"/>
        </w:rPr>
      </w:pPr>
      <w:r w:rsidRPr="008E7712">
        <w:rPr>
          <w:b/>
          <w:szCs w:val="26"/>
        </w:rPr>
        <w:t>Harrisburg, PA  17120</w:t>
      </w:r>
    </w:p>
    <w:p w14:paraId="1BAFB377" w14:textId="77777777" w:rsidR="00A217D2" w:rsidRPr="008E7712" w:rsidRDefault="00A217D2" w:rsidP="00EB7CBC">
      <w:pPr>
        <w:tabs>
          <w:tab w:val="left" w:pos="-720"/>
        </w:tabs>
        <w:suppressAutoHyphens/>
        <w:spacing w:line="240" w:lineRule="auto"/>
        <w:rPr>
          <w:szCs w:val="26"/>
        </w:rPr>
      </w:pPr>
    </w:p>
    <w:p w14:paraId="3E84A1B0" w14:textId="77777777" w:rsidR="00A217D2" w:rsidRPr="008E7712" w:rsidRDefault="00A217D2" w:rsidP="00EB7CBC">
      <w:pPr>
        <w:tabs>
          <w:tab w:val="left" w:pos="-720"/>
        </w:tabs>
        <w:suppressAutoHyphens/>
        <w:spacing w:line="240" w:lineRule="auto"/>
        <w:rPr>
          <w:szCs w:val="26"/>
        </w:rPr>
      </w:pPr>
    </w:p>
    <w:p w14:paraId="688D2779" w14:textId="77777777" w:rsidR="00200989" w:rsidRPr="008E7712" w:rsidRDefault="00200989" w:rsidP="00200989">
      <w:pPr>
        <w:tabs>
          <w:tab w:val="right" w:pos="9360"/>
        </w:tabs>
        <w:suppressAutoHyphens/>
        <w:spacing w:line="240" w:lineRule="auto"/>
        <w:jc w:val="right"/>
        <w:rPr>
          <w:szCs w:val="26"/>
        </w:rPr>
      </w:pPr>
      <w:r w:rsidRPr="008E7712">
        <w:rPr>
          <w:szCs w:val="26"/>
        </w:rPr>
        <w:t>Public Meeting held January 13, 2022</w:t>
      </w:r>
    </w:p>
    <w:p w14:paraId="0A303808" w14:textId="77777777" w:rsidR="00200989" w:rsidRPr="008E7712" w:rsidRDefault="00200989" w:rsidP="00200989">
      <w:pPr>
        <w:tabs>
          <w:tab w:val="left" w:pos="-720"/>
        </w:tabs>
        <w:suppressAutoHyphens/>
        <w:spacing w:line="240" w:lineRule="auto"/>
        <w:rPr>
          <w:szCs w:val="26"/>
        </w:rPr>
      </w:pPr>
    </w:p>
    <w:p w14:paraId="76E25409" w14:textId="77777777" w:rsidR="00200989" w:rsidRPr="008E7712" w:rsidRDefault="00200989" w:rsidP="00200989">
      <w:pPr>
        <w:tabs>
          <w:tab w:val="left" w:pos="-720"/>
        </w:tabs>
        <w:suppressAutoHyphens/>
        <w:spacing w:line="240" w:lineRule="auto"/>
        <w:rPr>
          <w:szCs w:val="26"/>
        </w:rPr>
      </w:pPr>
    </w:p>
    <w:p w14:paraId="63BEC1E5" w14:textId="77777777" w:rsidR="00200989" w:rsidRPr="008E7712" w:rsidRDefault="00200989" w:rsidP="00200989">
      <w:pPr>
        <w:tabs>
          <w:tab w:val="left" w:pos="-720"/>
        </w:tabs>
        <w:suppressAutoHyphens/>
        <w:spacing w:line="240" w:lineRule="auto"/>
        <w:rPr>
          <w:szCs w:val="26"/>
        </w:rPr>
      </w:pPr>
      <w:r w:rsidRPr="008E7712">
        <w:rPr>
          <w:szCs w:val="26"/>
        </w:rPr>
        <w:t>Commissioners Present:</w:t>
      </w:r>
    </w:p>
    <w:p w14:paraId="28216C4C" w14:textId="77777777" w:rsidR="00200989" w:rsidRPr="008E7712" w:rsidRDefault="00200989" w:rsidP="00200989">
      <w:pPr>
        <w:tabs>
          <w:tab w:val="left" w:pos="-720"/>
        </w:tabs>
        <w:suppressAutoHyphens/>
        <w:spacing w:line="240" w:lineRule="auto"/>
        <w:rPr>
          <w:szCs w:val="26"/>
        </w:rPr>
      </w:pPr>
    </w:p>
    <w:p w14:paraId="25446DFC" w14:textId="77777777" w:rsidR="00200989" w:rsidRPr="008E7712" w:rsidRDefault="00200989" w:rsidP="00200989">
      <w:pPr>
        <w:spacing w:line="240" w:lineRule="auto"/>
        <w:ind w:firstLine="720"/>
        <w:rPr>
          <w:szCs w:val="26"/>
        </w:rPr>
      </w:pPr>
      <w:r w:rsidRPr="008E7712">
        <w:rPr>
          <w:szCs w:val="26"/>
        </w:rPr>
        <w:t xml:space="preserve">Gladys Brown Dutrieuille, Chairman </w:t>
      </w:r>
    </w:p>
    <w:p w14:paraId="4D3C363C" w14:textId="77777777" w:rsidR="00200989" w:rsidRPr="008E7712" w:rsidRDefault="00200989" w:rsidP="00200989">
      <w:pPr>
        <w:spacing w:line="240" w:lineRule="auto"/>
        <w:ind w:firstLine="720"/>
        <w:rPr>
          <w:szCs w:val="26"/>
        </w:rPr>
      </w:pPr>
      <w:r w:rsidRPr="008E7712">
        <w:rPr>
          <w:szCs w:val="26"/>
        </w:rPr>
        <w:t>John F. Coleman, Jr., Vice Chairman</w:t>
      </w:r>
    </w:p>
    <w:p w14:paraId="19F985E6" w14:textId="77777777" w:rsidR="00200989" w:rsidRPr="008E7712" w:rsidRDefault="00200989" w:rsidP="00200989">
      <w:pPr>
        <w:spacing w:line="240" w:lineRule="auto"/>
        <w:ind w:firstLine="720"/>
        <w:rPr>
          <w:szCs w:val="26"/>
        </w:rPr>
      </w:pPr>
      <w:r w:rsidRPr="008E7712">
        <w:rPr>
          <w:szCs w:val="26"/>
        </w:rPr>
        <w:t>Ralph V. Yanora</w:t>
      </w:r>
    </w:p>
    <w:p w14:paraId="149283D3" w14:textId="77777777" w:rsidR="00200989" w:rsidRPr="008E7712" w:rsidRDefault="00200989" w:rsidP="00200989">
      <w:pPr>
        <w:spacing w:line="248" w:lineRule="auto"/>
        <w:ind w:hanging="5"/>
        <w:jc w:val="both"/>
        <w:rPr>
          <w:rFonts w:eastAsia="Courier New"/>
          <w:szCs w:val="26"/>
        </w:rPr>
      </w:pPr>
    </w:p>
    <w:p w14:paraId="53D80321" w14:textId="77777777" w:rsidR="00200989" w:rsidRPr="008E7712" w:rsidRDefault="00200989" w:rsidP="00200989">
      <w:pPr>
        <w:spacing w:line="248" w:lineRule="auto"/>
        <w:ind w:hanging="5"/>
        <w:jc w:val="both"/>
        <w:rPr>
          <w:rFonts w:eastAsia="Courier New"/>
          <w:szCs w:val="26"/>
        </w:rPr>
      </w:pPr>
    </w:p>
    <w:p w14:paraId="20FCDBC9" w14:textId="779B75B2" w:rsidR="00200989" w:rsidRPr="008E7712" w:rsidRDefault="00200989" w:rsidP="00200989">
      <w:pPr>
        <w:tabs>
          <w:tab w:val="left" w:pos="720"/>
          <w:tab w:val="left" w:pos="5040"/>
          <w:tab w:val="left" w:pos="7200"/>
        </w:tabs>
        <w:spacing w:line="240" w:lineRule="auto"/>
        <w:rPr>
          <w:szCs w:val="26"/>
        </w:rPr>
      </w:pPr>
      <w:bookmarkStart w:id="0" w:name="_Hlk91655322"/>
      <w:r w:rsidRPr="008E7712">
        <w:rPr>
          <w:szCs w:val="26"/>
        </w:rPr>
        <w:t>Pennsylvania Public Utility Commission</w:t>
      </w:r>
      <w:r w:rsidRPr="008E7712">
        <w:rPr>
          <w:szCs w:val="26"/>
        </w:rPr>
        <w:tab/>
      </w:r>
      <w:r w:rsidRPr="008E7712">
        <w:rPr>
          <w:szCs w:val="26"/>
        </w:rPr>
        <w:tab/>
        <w:t>R-2021-3025206</w:t>
      </w:r>
    </w:p>
    <w:p w14:paraId="1F887CD9" w14:textId="77777777" w:rsidR="00200989" w:rsidRPr="008E7712" w:rsidRDefault="00200989" w:rsidP="00200989">
      <w:pPr>
        <w:tabs>
          <w:tab w:val="left" w:pos="720"/>
          <w:tab w:val="left" w:pos="7200"/>
        </w:tabs>
        <w:spacing w:line="240" w:lineRule="auto"/>
        <w:rPr>
          <w:szCs w:val="26"/>
        </w:rPr>
      </w:pPr>
      <w:r w:rsidRPr="008E7712">
        <w:rPr>
          <w:szCs w:val="26"/>
        </w:rPr>
        <w:t>Office of Consumer Advocate</w:t>
      </w:r>
      <w:r w:rsidRPr="008E7712">
        <w:rPr>
          <w:szCs w:val="26"/>
        </w:rPr>
        <w:tab/>
        <w:t>C-2021-3025777</w:t>
      </w:r>
    </w:p>
    <w:p w14:paraId="522A479B" w14:textId="77777777" w:rsidR="00200989" w:rsidRDefault="00200989" w:rsidP="00200989">
      <w:pPr>
        <w:tabs>
          <w:tab w:val="left" w:pos="720"/>
          <w:tab w:val="left" w:pos="7200"/>
        </w:tabs>
        <w:spacing w:line="240" w:lineRule="auto"/>
        <w:rPr>
          <w:szCs w:val="26"/>
        </w:rPr>
      </w:pPr>
      <w:r w:rsidRPr="008E7712">
        <w:rPr>
          <w:szCs w:val="26"/>
        </w:rPr>
        <w:t>Office of Small Business Advocate</w:t>
      </w:r>
      <w:r>
        <w:rPr>
          <w:szCs w:val="26"/>
        </w:rPr>
        <w:tab/>
      </w:r>
      <w:r w:rsidRPr="008E7712">
        <w:rPr>
          <w:szCs w:val="26"/>
        </w:rPr>
        <w:t>C-2021-3025263</w:t>
      </w:r>
    </w:p>
    <w:tbl>
      <w:tblPr>
        <w:tblStyle w:val="TableGrid"/>
        <w:tblW w:w="9535" w:type="dxa"/>
        <w:tblInd w:w="5" w:type="dxa"/>
        <w:tblLook w:val="04A0" w:firstRow="1" w:lastRow="0" w:firstColumn="1" w:lastColumn="0" w:noHBand="0" w:noVBand="1"/>
      </w:tblPr>
      <w:tblGrid>
        <w:gridCol w:w="7195"/>
        <w:gridCol w:w="2340"/>
      </w:tblGrid>
      <w:tr w:rsidR="00200989" w14:paraId="220FEAE9" w14:textId="77777777" w:rsidTr="00030E15">
        <w:tc>
          <w:tcPr>
            <w:tcW w:w="7195" w:type="dxa"/>
          </w:tcPr>
          <w:p w14:paraId="7356E06D" w14:textId="77777777" w:rsidR="00200989" w:rsidRPr="002B1DC2" w:rsidRDefault="00200989" w:rsidP="00030E15">
            <w:pPr>
              <w:spacing w:line="240" w:lineRule="auto"/>
              <w:rPr>
                <w:color w:val="auto"/>
              </w:rPr>
            </w:pPr>
            <w:r w:rsidRPr="002B1DC2">
              <w:rPr>
                <w:noProof/>
                <w:color w:val="auto"/>
              </w:rPr>
              <w:t>Kerren Ricketts</w:t>
            </w:r>
          </w:p>
        </w:tc>
        <w:tc>
          <w:tcPr>
            <w:tcW w:w="2340" w:type="dxa"/>
          </w:tcPr>
          <w:p w14:paraId="66ECB606" w14:textId="77777777" w:rsidR="00200989" w:rsidRPr="002B1DC2" w:rsidRDefault="00200989" w:rsidP="00030E15">
            <w:pPr>
              <w:spacing w:line="240" w:lineRule="auto"/>
              <w:rPr>
                <w:color w:val="auto"/>
              </w:rPr>
            </w:pPr>
            <w:r w:rsidRPr="002B1DC2">
              <w:rPr>
                <w:noProof/>
                <w:color w:val="auto"/>
              </w:rPr>
              <w:t>C-2021-3026119</w:t>
            </w:r>
          </w:p>
        </w:tc>
      </w:tr>
      <w:tr w:rsidR="00200989" w14:paraId="57555C93" w14:textId="77777777" w:rsidTr="00030E15">
        <w:tc>
          <w:tcPr>
            <w:tcW w:w="7195" w:type="dxa"/>
          </w:tcPr>
          <w:p w14:paraId="57B3A13E" w14:textId="77777777" w:rsidR="00200989" w:rsidRPr="002B1DC2" w:rsidRDefault="00200989" w:rsidP="00030E15">
            <w:pPr>
              <w:spacing w:line="240" w:lineRule="auto"/>
              <w:rPr>
                <w:color w:val="auto"/>
              </w:rPr>
            </w:pPr>
            <w:r w:rsidRPr="002B1DC2">
              <w:rPr>
                <w:noProof/>
                <w:color w:val="auto"/>
              </w:rPr>
              <w:t>John &amp; Jane Hoopingarner</w:t>
            </w:r>
          </w:p>
        </w:tc>
        <w:tc>
          <w:tcPr>
            <w:tcW w:w="2340" w:type="dxa"/>
          </w:tcPr>
          <w:p w14:paraId="213DB4FF" w14:textId="77777777" w:rsidR="00200989" w:rsidRPr="002B1DC2" w:rsidRDefault="00200989" w:rsidP="00030E15">
            <w:pPr>
              <w:spacing w:line="240" w:lineRule="auto"/>
              <w:rPr>
                <w:color w:val="auto"/>
              </w:rPr>
            </w:pPr>
            <w:r w:rsidRPr="002B1DC2">
              <w:rPr>
                <w:noProof/>
                <w:color w:val="auto"/>
              </w:rPr>
              <w:t>C-2021-3026160</w:t>
            </w:r>
          </w:p>
        </w:tc>
      </w:tr>
      <w:tr w:rsidR="00200989" w14:paraId="666A6028" w14:textId="77777777" w:rsidTr="00030E15">
        <w:tc>
          <w:tcPr>
            <w:tcW w:w="7195" w:type="dxa"/>
          </w:tcPr>
          <w:p w14:paraId="48C9290E" w14:textId="6DE70C98" w:rsidR="00200989" w:rsidRPr="002B1DC2" w:rsidRDefault="00200989" w:rsidP="00030E15">
            <w:pPr>
              <w:spacing w:line="240" w:lineRule="auto"/>
              <w:rPr>
                <w:color w:val="auto"/>
              </w:rPr>
            </w:pPr>
            <w:r w:rsidRPr="002B1DC2">
              <w:rPr>
                <w:noProof/>
                <w:color w:val="auto"/>
              </w:rPr>
              <w:t>R</w:t>
            </w:r>
            <w:r w:rsidR="003C370E" w:rsidRPr="002B1DC2">
              <w:rPr>
                <w:noProof/>
                <w:color w:val="auto"/>
              </w:rPr>
              <w:t>a</w:t>
            </w:r>
            <w:r w:rsidRPr="002B1DC2">
              <w:rPr>
                <w:noProof/>
                <w:color w:val="auto"/>
              </w:rPr>
              <w:t>fail Kovalenko</w:t>
            </w:r>
          </w:p>
        </w:tc>
        <w:tc>
          <w:tcPr>
            <w:tcW w:w="2340" w:type="dxa"/>
          </w:tcPr>
          <w:p w14:paraId="6838CF02" w14:textId="77777777" w:rsidR="00200989" w:rsidRPr="002B1DC2" w:rsidRDefault="00200989" w:rsidP="00030E15">
            <w:pPr>
              <w:spacing w:line="240" w:lineRule="auto"/>
              <w:rPr>
                <w:color w:val="auto"/>
              </w:rPr>
            </w:pPr>
            <w:r w:rsidRPr="002B1DC2">
              <w:rPr>
                <w:noProof/>
                <w:color w:val="auto"/>
              </w:rPr>
              <w:t>C-2021-3026188</w:t>
            </w:r>
          </w:p>
        </w:tc>
      </w:tr>
      <w:tr w:rsidR="00200989" w14:paraId="2CF8D547" w14:textId="77777777" w:rsidTr="00030E15">
        <w:tc>
          <w:tcPr>
            <w:tcW w:w="7195" w:type="dxa"/>
          </w:tcPr>
          <w:p w14:paraId="19F7D5F8" w14:textId="77777777" w:rsidR="00200989" w:rsidRPr="002B1DC2" w:rsidRDefault="00200989" w:rsidP="00030E15">
            <w:pPr>
              <w:spacing w:line="240" w:lineRule="auto"/>
              <w:rPr>
                <w:color w:val="auto"/>
              </w:rPr>
            </w:pPr>
            <w:r w:rsidRPr="002B1DC2">
              <w:rPr>
                <w:noProof/>
                <w:color w:val="auto"/>
              </w:rPr>
              <w:t>Philip Villone</w:t>
            </w:r>
          </w:p>
        </w:tc>
        <w:tc>
          <w:tcPr>
            <w:tcW w:w="2340" w:type="dxa"/>
          </w:tcPr>
          <w:p w14:paraId="53D85319" w14:textId="77777777" w:rsidR="00200989" w:rsidRPr="002B1DC2" w:rsidRDefault="00200989" w:rsidP="00030E15">
            <w:pPr>
              <w:spacing w:line="240" w:lineRule="auto"/>
              <w:rPr>
                <w:color w:val="auto"/>
              </w:rPr>
            </w:pPr>
            <w:r w:rsidRPr="002B1DC2">
              <w:rPr>
                <w:noProof/>
                <w:color w:val="auto"/>
              </w:rPr>
              <w:t>C-2021-3026264</w:t>
            </w:r>
          </w:p>
        </w:tc>
      </w:tr>
      <w:tr w:rsidR="00200989" w14:paraId="7872A4FF" w14:textId="77777777" w:rsidTr="00030E15">
        <w:tc>
          <w:tcPr>
            <w:tcW w:w="7195" w:type="dxa"/>
          </w:tcPr>
          <w:p w14:paraId="611ACD8C" w14:textId="77777777" w:rsidR="00200989" w:rsidRPr="002B1DC2" w:rsidRDefault="00200989" w:rsidP="00030E15">
            <w:pPr>
              <w:spacing w:line="240" w:lineRule="auto"/>
              <w:rPr>
                <w:color w:val="auto"/>
              </w:rPr>
            </w:pPr>
            <w:r w:rsidRPr="002B1DC2">
              <w:rPr>
                <w:noProof/>
                <w:color w:val="auto"/>
              </w:rPr>
              <w:t>Bryan Donnelly</w:t>
            </w:r>
          </w:p>
        </w:tc>
        <w:tc>
          <w:tcPr>
            <w:tcW w:w="2340" w:type="dxa"/>
          </w:tcPr>
          <w:p w14:paraId="5C4C5C02" w14:textId="77777777" w:rsidR="00200989" w:rsidRPr="002B1DC2" w:rsidRDefault="00200989" w:rsidP="00030E15">
            <w:pPr>
              <w:spacing w:line="240" w:lineRule="auto"/>
              <w:rPr>
                <w:color w:val="auto"/>
              </w:rPr>
            </w:pPr>
            <w:r w:rsidRPr="002B1DC2">
              <w:rPr>
                <w:noProof/>
                <w:color w:val="auto"/>
              </w:rPr>
              <w:t>C-2021-3026269</w:t>
            </w:r>
          </w:p>
        </w:tc>
      </w:tr>
      <w:tr w:rsidR="00200989" w14:paraId="77C3724F" w14:textId="77777777" w:rsidTr="00030E15">
        <w:tc>
          <w:tcPr>
            <w:tcW w:w="7195" w:type="dxa"/>
          </w:tcPr>
          <w:p w14:paraId="6130B688" w14:textId="77777777" w:rsidR="00200989" w:rsidRPr="002B1DC2" w:rsidRDefault="00200989" w:rsidP="00030E15">
            <w:pPr>
              <w:spacing w:line="240" w:lineRule="auto"/>
              <w:rPr>
                <w:color w:val="auto"/>
              </w:rPr>
            </w:pPr>
            <w:r w:rsidRPr="002B1DC2">
              <w:rPr>
                <w:noProof/>
                <w:color w:val="auto"/>
              </w:rPr>
              <w:t>Vincent &amp; Janine Marino</w:t>
            </w:r>
          </w:p>
        </w:tc>
        <w:tc>
          <w:tcPr>
            <w:tcW w:w="2340" w:type="dxa"/>
          </w:tcPr>
          <w:p w14:paraId="24D76ED4" w14:textId="77777777" w:rsidR="00200989" w:rsidRPr="002B1DC2" w:rsidRDefault="00200989" w:rsidP="00030E15">
            <w:pPr>
              <w:spacing w:line="240" w:lineRule="auto"/>
              <w:rPr>
                <w:color w:val="auto"/>
              </w:rPr>
            </w:pPr>
            <w:r w:rsidRPr="002B1DC2">
              <w:rPr>
                <w:noProof/>
                <w:color w:val="auto"/>
              </w:rPr>
              <w:t>C-2021-3026278</w:t>
            </w:r>
          </w:p>
        </w:tc>
      </w:tr>
      <w:tr w:rsidR="00200989" w14:paraId="7D61AE45" w14:textId="77777777" w:rsidTr="00030E15">
        <w:tc>
          <w:tcPr>
            <w:tcW w:w="7195" w:type="dxa"/>
          </w:tcPr>
          <w:p w14:paraId="200542DA" w14:textId="77777777" w:rsidR="00200989" w:rsidRPr="002B1DC2" w:rsidRDefault="00200989" w:rsidP="00030E15">
            <w:pPr>
              <w:spacing w:line="240" w:lineRule="auto"/>
              <w:rPr>
                <w:color w:val="auto"/>
              </w:rPr>
            </w:pPr>
            <w:r w:rsidRPr="002B1DC2">
              <w:rPr>
                <w:noProof/>
                <w:color w:val="auto"/>
              </w:rPr>
              <w:t>Doritha Palmer</w:t>
            </w:r>
          </w:p>
        </w:tc>
        <w:tc>
          <w:tcPr>
            <w:tcW w:w="2340" w:type="dxa"/>
          </w:tcPr>
          <w:p w14:paraId="04E26C4E" w14:textId="77777777" w:rsidR="00200989" w:rsidRPr="002B1DC2" w:rsidRDefault="00200989" w:rsidP="00030E15">
            <w:pPr>
              <w:spacing w:line="240" w:lineRule="auto"/>
              <w:rPr>
                <w:color w:val="auto"/>
              </w:rPr>
            </w:pPr>
            <w:r w:rsidRPr="002B1DC2">
              <w:rPr>
                <w:noProof/>
                <w:color w:val="auto"/>
              </w:rPr>
              <w:t>C-2021-3026317</w:t>
            </w:r>
          </w:p>
        </w:tc>
      </w:tr>
      <w:tr w:rsidR="00200989" w14:paraId="02EB31AC" w14:textId="77777777" w:rsidTr="00030E15">
        <w:tc>
          <w:tcPr>
            <w:tcW w:w="7195" w:type="dxa"/>
          </w:tcPr>
          <w:p w14:paraId="27678747" w14:textId="7E4709B5" w:rsidR="00200989" w:rsidRPr="002B1DC2" w:rsidRDefault="00200989" w:rsidP="00030E15">
            <w:pPr>
              <w:spacing w:line="240" w:lineRule="auto"/>
              <w:rPr>
                <w:color w:val="auto"/>
              </w:rPr>
            </w:pPr>
            <w:r w:rsidRPr="002B1DC2">
              <w:rPr>
                <w:noProof/>
                <w:color w:val="auto"/>
              </w:rPr>
              <w:t>Kathleen</w:t>
            </w:r>
            <w:r w:rsidR="00971E21" w:rsidRPr="002B1DC2">
              <w:rPr>
                <w:noProof/>
                <w:color w:val="auto"/>
              </w:rPr>
              <w:t xml:space="preserve"> &amp; Gerald </w:t>
            </w:r>
            <w:r w:rsidRPr="002B1DC2">
              <w:rPr>
                <w:noProof/>
                <w:color w:val="auto"/>
              </w:rPr>
              <w:t>Raphael</w:t>
            </w:r>
          </w:p>
        </w:tc>
        <w:tc>
          <w:tcPr>
            <w:tcW w:w="2340" w:type="dxa"/>
          </w:tcPr>
          <w:p w14:paraId="49BD6C29" w14:textId="77777777" w:rsidR="00200989" w:rsidRPr="002B1DC2" w:rsidRDefault="00200989" w:rsidP="00030E15">
            <w:pPr>
              <w:spacing w:line="240" w:lineRule="auto"/>
              <w:rPr>
                <w:color w:val="auto"/>
              </w:rPr>
            </w:pPr>
            <w:r w:rsidRPr="002B1DC2">
              <w:rPr>
                <w:noProof/>
                <w:color w:val="auto"/>
              </w:rPr>
              <w:t>C-2021-3026368</w:t>
            </w:r>
          </w:p>
        </w:tc>
      </w:tr>
      <w:tr w:rsidR="00200989" w14:paraId="548A6FBD" w14:textId="77777777" w:rsidTr="00030E15">
        <w:tc>
          <w:tcPr>
            <w:tcW w:w="7195" w:type="dxa"/>
          </w:tcPr>
          <w:p w14:paraId="13DD3F9F" w14:textId="77777777" w:rsidR="00200989" w:rsidRPr="002B1DC2" w:rsidRDefault="00200989" w:rsidP="00030E15">
            <w:pPr>
              <w:spacing w:line="240" w:lineRule="auto"/>
              <w:rPr>
                <w:color w:val="auto"/>
              </w:rPr>
            </w:pPr>
            <w:r w:rsidRPr="002B1DC2">
              <w:rPr>
                <w:noProof/>
                <w:color w:val="auto"/>
              </w:rPr>
              <w:t>Richard &amp; Susan Di Piazza</w:t>
            </w:r>
          </w:p>
        </w:tc>
        <w:tc>
          <w:tcPr>
            <w:tcW w:w="2340" w:type="dxa"/>
          </w:tcPr>
          <w:p w14:paraId="29DE69B8" w14:textId="77777777" w:rsidR="00200989" w:rsidRPr="002B1DC2" w:rsidRDefault="00200989" w:rsidP="00030E15">
            <w:pPr>
              <w:spacing w:line="240" w:lineRule="auto"/>
              <w:rPr>
                <w:color w:val="auto"/>
              </w:rPr>
            </w:pPr>
            <w:r w:rsidRPr="002B1DC2">
              <w:rPr>
                <w:noProof/>
                <w:color w:val="auto"/>
              </w:rPr>
              <w:t>C-2021-3026425</w:t>
            </w:r>
          </w:p>
        </w:tc>
      </w:tr>
      <w:tr w:rsidR="00200989" w14:paraId="2FE5E02B" w14:textId="77777777" w:rsidTr="00030E15">
        <w:tc>
          <w:tcPr>
            <w:tcW w:w="7195" w:type="dxa"/>
          </w:tcPr>
          <w:p w14:paraId="5DED92D4" w14:textId="77777777" w:rsidR="00200989" w:rsidRPr="002B1DC2" w:rsidRDefault="00200989" w:rsidP="00030E15">
            <w:pPr>
              <w:spacing w:line="240" w:lineRule="auto"/>
              <w:rPr>
                <w:color w:val="auto"/>
              </w:rPr>
            </w:pPr>
            <w:r w:rsidRPr="002B1DC2">
              <w:rPr>
                <w:noProof/>
                <w:color w:val="auto"/>
              </w:rPr>
              <w:t>Sharon Tunstall</w:t>
            </w:r>
          </w:p>
        </w:tc>
        <w:tc>
          <w:tcPr>
            <w:tcW w:w="2340" w:type="dxa"/>
          </w:tcPr>
          <w:p w14:paraId="7E26C1CD" w14:textId="77777777" w:rsidR="00200989" w:rsidRPr="002B1DC2" w:rsidRDefault="00200989" w:rsidP="00030E15">
            <w:pPr>
              <w:spacing w:line="240" w:lineRule="auto"/>
              <w:rPr>
                <w:color w:val="auto"/>
              </w:rPr>
            </w:pPr>
            <w:r w:rsidRPr="002B1DC2">
              <w:rPr>
                <w:noProof/>
                <w:color w:val="auto"/>
              </w:rPr>
              <w:t>C-2021-3026431</w:t>
            </w:r>
          </w:p>
        </w:tc>
      </w:tr>
      <w:tr w:rsidR="00200989" w14:paraId="4A32D642" w14:textId="77777777" w:rsidTr="00030E15">
        <w:tc>
          <w:tcPr>
            <w:tcW w:w="7195" w:type="dxa"/>
          </w:tcPr>
          <w:p w14:paraId="20D58D7E" w14:textId="77777777" w:rsidR="00200989" w:rsidRPr="002B1DC2" w:rsidRDefault="00200989" w:rsidP="00030E15">
            <w:pPr>
              <w:spacing w:line="240" w:lineRule="auto"/>
              <w:rPr>
                <w:color w:val="auto"/>
              </w:rPr>
            </w:pPr>
            <w:r w:rsidRPr="002B1DC2">
              <w:rPr>
                <w:noProof/>
                <w:color w:val="auto"/>
              </w:rPr>
              <w:t>Colville Oswald Browne</w:t>
            </w:r>
          </w:p>
        </w:tc>
        <w:tc>
          <w:tcPr>
            <w:tcW w:w="2340" w:type="dxa"/>
          </w:tcPr>
          <w:p w14:paraId="3BA1D345" w14:textId="77777777" w:rsidR="00200989" w:rsidRPr="002B1DC2" w:rsidRDefault="00200989" w:rsidP="00030E15">
            <w:pPr>
              <w:spacing w:line="240" w:lineRule="auto"/>
              <w:rPr>
                <w:color w:val="auto"/>
              </w:rPr>
            </w:pPr>
            <w:r w:rsidRPr="002B1DC2">
              <w:rPr>
                <w:noProof/>
                <w:color w:val="auto"/>
              </w:rPr>
              <w:t>C-2021-3026433</w:t>
            </w:r>
          </w:p>
        </w:tc>
      </w:tr>
      <w:tr w:rsidR="00200989" w14:paraId="0D81CEAD" w14:textId="77777777" w:rsidTr="00030E15">
        <w:tc>
          <w:tcPr>
            <w:tcW w:w="7195" w:type="dxa"/>
          </w:tcPr>
          <w:p w14:paraId="1B5273CD" w14:textId="77777777" w:rsidR="00200989" w:rsidRPr="002B1DC2" w:rsidRDefault="00200989" w:rsidP="00030E15">
            <w:pPr>
              <w:spacing w:line="240" w:lineRule="auto"/>
              <w:rPr>
                <w:color w:val="auto"/>
              </w:rPr>
            </w:pPr>
            <w:r w:rsidRPr="002B1DC2">
              <w:rPr>
                <w:noProof/>
                <w:color w:val="auto"/>
              </w:rPr>
              <w:t>Ronald &amp; Janice Fraioli</w:t>
            </w:r>
          </w:p>
        </w:tc>
        <w:tc>
          <w:tcPr>
            <w:tcW w:w="2340" w:type="dxa"/>
          </w:tcPr>
          <w:p w14:paraId="4531406F" w14:textId="77777777" w:rsidR="00200989" w:rsidRPr="002B1DC2" w:rsidRDefault="00200989" w:rsidP="00030E15">
            <w:pPr>
              <w:spacing w:line="240" w:lineRule="auto"/>
              <w:rPr>
                <w:color w:val="auto"/>
              </w:rPr>
            </w:pPr>
            <w:r w:rsidRPr="002B1DC2">
              <w:rPr>
                <w:noProof/>
                <w:color w:val="auto"/>
              </w:rPr>
              <w:t>C-2021-3026438</w:t>
            </w:r>
          </w:p>
        </w:tc>
      </w:tr>
      <w:tr w:rsidR="00200989" w14:paraId="31F61A81" w14:textId="77777777" w:rsidTr="00030E15">
        <w:tc>
          <w:tcPr>
            <w:tcW w:w="7195" w:type="dxa"/>
          </w:tcPr>
          <w:p w14:paraId="47E268FC" w14:textId="0111918A" w:rsidR="00200989" w:rsidRPr="002B1DC2" w:rsidRDefault="00200989" w:rsidP="00030E15">
            <w:pPr>
              <w:spacing w:line="240" w:lineRule="auto"/>
              <w:rPr>
                <w:color w:val="auto"/>
              </w:rPr>
            </w:pPr>
            <w:r w:rsidRPr="002B1DC2">
              <w:rPr>
                <w:noProof/>
                <w:color w:val="auto"/>
              </w:rPr>
              <w:t>Christ Nielsen</w:t>
            </w:r>
          </w:p>
        </w:tc>
        <w:tc>
          <w:tcPr>
            <w:tcW w:w="2340" w:type="dxa"/>
          </w:tcPr>
          <w:p w14:paraId="53E276D8" w14:textId="77777777" w:rsidR="00200989" w:rsidRPr="002B1DC2" w:rsidRDefault="00200989" w:rsidP="00030E15">
            <w:pPr>
              <w:spacing w:line="240" w:lineRule="auto"/>
              <w:rPr>
                <w:color w:val="auto"/>
              </w:rPr>
            </w:pPr>
            <w:r w:rsidRPr="002B1DC2">
              <w:rPr>
                <w:noProof/>
                <w:color w:val="auto"/>
              </w:rPr>
              <w:t>C-2021-3026440</w:t>
            </w:r>
          </w:p>
        </w:tc>
      </w:tr>
      <w:tr w:rsidR="00200989" w14:paraId="6137EE7F" w14:textId="77777777" w:rsidTr="00030E15">
        <w:tc>
          <w:tcPr>
            <w:tcW w:w="7195" w:type="dxa"/>
          </w:tcPr>
          <w:p w14:paraId="49639F21" w14:textId="77777777" w:rsidR="00200989" w:rsidRPr="002B1DC2" w:rsidRDefault="00200989" w:rsidP="00030E15">
            <w:pPr>
              <w:spacing w:line="240" w:lineRule="auto"/>
              <w:rPr>
                <w:color w:val="auto"/>
              </w:rPr>
            </w:pPr>
            <w:r w:rsidRPr="002B1DC2">
              <w:rPr>
                <w:noProof/>
                <w:color w:val="auto"/>
              </w:rPr>
              <w:t>Mona Annicaro</w:t>
            </w:r>
          </w:p>
        </w:tc>
        <w:tc>
          <w:tcPr>
            <w:tcW w:w="2340" w:type="dxa"/>
          </w:tcPr>
          <w:p w14:paraId="0DDC8DC8" w14:textId="77777777" w:rsidR="00200989" w:rsidRPr="002B1DC2" w:rsidRDefault="00200989" w:rsidP="00030E15">
            <w:pPr>
              <w:spacing w:line="240" w:lineRule="auto"/>
              <w:rPr>
                <w:color w:val="auto"/>
              </w:rPr>
            </w:pPr>
            <w:r w:rsidRPr="002B1DC2">
              <w:rPr>
                <w:noProof/>
                <w:color w:val="auto"/>
              </w:rPr>
              <w:t>C-2021-3026441</w:t>
            </w:r>
          </w:p>
        </w:tc>
      </w:tr>
      <w:tr w:rsidR="00200989" w14:paraId="76906E9B" w14:textId="77777777" w:rsidTr="00030E15">
        <w:tc>
          <w:tcPr>
            <w:tcW w:w="7195" w:type="dxa"/>
          </w:tcPr>
          <w:p w14:paraId="39C56ADC" w14:textId="77777777" w:rsidR="00200989" w:rsidRPr="002B1DC2" w:rsidRDefault="00200989" w:rsidP="00030E15">
            <w:pPr>
              <w:spacing w:line="240" w:lineRule="auto"/>
              <w:rPr>
                <w:color w:val="auto"/>
              </w:rPr>
            </w:pPr>
            <w:r w:rsidRPr="002B1DC2">
              <w:rPr>
                <w:noProof/>
                <w:color w:val="auto"/>
              </w:rPr>
              <w:t>Severo Barza</w:t>
            </w:r>
          </w:p>
        </w:tc>
        <w:tc>
          <w:tcPr>
            <w:tcW w:w="2340" w:type="dxa"/>
          </w:tcPr>
          <w:p w14:paraId="65A142E6" w14:textId="77777777" w:rsidR="00200989" w:rsidRPr="002B1DC2" w:rsidRDefault="00200989" w:rsidP="00030E15">
            <w:pPr>
              <w:spacing w:line="240" w:lineRule="auto"/>
              <w:rPr>
                <w:color w:val="auto"/>
              </w:rPr>
            </w:pPr>
            <w:r w:rsidRPr="002B1DC2">
              <w:rPr>
                <w:noProof/>
                <w:color w:val="auto"/>
              </w:rPr>
              <w:t>C-2021-3026444</w:t>
            </w:r>
          </w:p>
        </w:tc>
      </w:tr>
      <w:tr w:rsidR="00200989" w14:paraId="503FDBDF" w14:textId="77777777" w:rsidTr="00030E15">
        <w:tc>
          <w:tcPr>
            <w:tcW w:w="7195" w:type="dxa"/>
          </w:tcPr>
          <w:p w14:paraId="1DF03695" w14:textId="77777777" w:rsidR="00200989" w:rsidRPr="002B1DC2" w:rsidRDefault="00200989" w:rsidP="00030E15">
            <w:pPr>
              <w:spacing w:line="240" w:lineRule="auto"/>
              <w:rPr>
                <w:color w:val="auto"/>
              </w:rPr>
            </w:pPr>
            <w:r w:rsidRPr="002B1DC2">
              <w:rPr>
                <w:noProof/>
                <w:color w:val="auto"/>
              </w:rPr>
              <w:t>Barbara Ann Mirkovic</w:t>
            </w:r>
          </w:p>
        </w:tc>
        <w:tc>
          <w:tcPr>
            <w:tcW w:w="2340" w:type="dxa"/>
          </w:tcPr>
          <w:p w14:paraId="236AB8CA" w14:textId="77777777" w:rsidR="00200989" w:rsidRPr="002B1DC2" w:rsidRDefault="00200989" w:rsidP="00030E15">
            <w:pPr>
              <w:spacing w:line="240" w:lineRule="auto"/>
              <w:rPr>
                <w:color w:val="auto"/>
              </w:rPr>
            </w:pPr>
            <w:r w:rsidRPr="002B1DC2">
              <w:rPr>
                <w:noProof/>
                <w:color w:val="auto"/>
              </w:rPr>
              <w:t>C-2021-3026449</w:t>
            </w:r>
          </w:p>
        </w:tc>
      </w:tr>
      <w:tr w:rsidR="00200989" w14:paraId="1CBE3DB5" w14:textId="77777777" w:rsidTr="00030E15">
        <w:tc>
          <w:tcPr>
            <w:tcW w:w="7195" w:type="dxa"/>
          </w:tcPr>
          <w:p w14:paraId="3CE2E695" w14:textId="77777777" w:rsidR="00200989" w:rsidRPr="002B1DC2" w:rsidRDefault="00200989" w:rsidP="00030E15">
            <w:pPr>
              <w:spacing w:line="240" w:lineRule="auto"/>
              <w:rPr>
                <w:color w:val="auto"/>
              </w:rPr>
            </w:pPr>
            <w:r w:rsidRPr="002B1DC2">
              <w:rPr>
                <w:noProof/>
                <w:color w:val="auto"/>
              </w:rPr>
              <w:t>Gustavo Espinal</w:t>
            </w:r>
          </w:p>
        </w:tc>
        <w:tc>
          <w:tcPr>
            <w:tcW w:w="2340" w:type="dxa"/>
          </w:tcPr>
          <w:p w14:paraId="67B4C389" w14:textId="77777777" w:rsidR="00200989" w:rsidRPr="002B1DC2" w:rsidRDefault="00200989" w:rsidP="00030E15">
            <w:pPr>
              <w:spacing w:line="240" w:lineRule="auto"/>
              <w:rPr>
                <w:color w:val="auto"/>
              </w:rPr>
            </w:pPr>
            <w:r w:rsidRPr="002B1DC2">
              <w:rPr>
                <w:noProof/>
                <w:color w:val="auto"/>
              </w:rPr>
              <w:t>C-2021-3026452</w:t>
            </w:r>
          </w:p>
        </w:tc>
      </w:tr>
      <w:tr w:rsidR="00200989" w14:paraId="5AF7846F" w14:textId="77777777" w:rsidTr="00030E15">
        <w:tc>
          <w:tcPr>
            <w:tcW w:w="7195" w:type="dxa"/>
          </w:tcPr>
          <w:p w14:paraId="4952018D" w14:textId="77777777" w:rsidR="00200989" w:rsidRPr="002B1DC2" w:rsidRDefault="00200989" w:rsidP="00030E15">
            <w:pPr>
              <w:spacing w:line="240" w:lineRule="auto"/>
              <w:rPr>
                <w:color w:val="auto"/>
              </w:rPr>
            </w:pPr>
            <w:r w:rsidRPr="002B1DC2">
              <w:rPr>
                <w:noProof/>
                <w:color w:val="auto"/>
              </w:rPr>
              <w:t>David Fuchs</w:t>
            </w:r>
          </w:p>
        </w:tc>
        <w:tc>
          <w:tcPr>
            <w:tcW w:w="2340" w:type="dxa"/>
          </w:tcPr>
          <w:p w14:paraId="6A124BEC" w14:textId="77777777" w:rsidR="00200989" w:rsidRPr="002B1DC2" w:rsidRDefault="00200989" w:rsidP="00030E15">
            <w:pPr>
              <w:spacing w:line="240" w:lineRule="auto"/>
              <w:rPr>
                <w:color w:val="auto"/>
              </w:rPr>
            </w:pPr>
            <w:r w:rsidRPr="002B1DC2">
              <w:rPr>
                <w:noProof/>
                <w:color w:val="auto"/>
              </w:rPr>
              <w:t>C-2021-3026454</w:t>
            </w:r>
          </w:p>
        </w:tc>
      </w:tr>
      <w:tr w:rsidR="00200989" w14:paraId="72F459FB" w14:textId="77777777" w:rsidTr="00030E15">
        <w:tc>
          <w:tcPr>
            <w:tcW w:w="7195" w:type="dxa"/>
          </w:tcPr>
          <w:p w14:paraId="64A07F26" w14:textId="77777777" w:rsidR="00200989" w:rsidRPr="002B1DC2" w:rsidRDefault="00200989" w:rsidP="00030E15">
            <w:pPr>
              <w:spacing w:line="240" w:lineRule="auto"/>
              <w:rPr>
                <w:color w:val="auto"/>
              </w:rPr>
            </w:pPr>
            <w:r w:rsidRPr="002B1DC2">
              <w:rPr>
                <w:noProof/>
                <w:color w:val="auto"/>
              </w:rPr>
              <w:t>Rose Cocklin</w:t>
            </w:r>
          </w:p>
        </w:tc>
        <w:tc>
          <w:tcPr>
            <w:tcW w:w="2340" w:type="dxa"/>
          </w:tcPr>
          <w:p w14:paraId="7C3AB310" w14:textId="77777777" w:rsidR="00200989" w:rsidRPr="002B1DC2" w:rsidRDefault="00200989" w:rsidP="00030E15">
            <w:pPr>
              <w:spacing w:line="240" w:lineRule="auto"/>
              <w:rPr>
                <w:color w:val="auto"/>
              </w:rPr>
            </w:pPr>
            <w:r w:rsidRPr="002B1DC2">
              <w:rPr>
                <w:noProof/>
                <w:color w:val="auto"/>
              </w:rPr>
              <w:t>C-2021-3026456</w:t>
            </w:r>
          </w:p>
        </w:tc>
      </w:tr>
      <w:tr w:rsidR="00200989" w14:paraId="3CFC32F0" w14:textId="77777777" w:rsidTr="00030E15">
        <w:tc>
          <w:tcPr>
            <w:tcW w:w="7195" w:type="dxa"/>
          </w:tcPr>
          <w:p w14:paraId="232CE50D" w14:textId="77777777" w:rsidR="00200989" w:rsidRPr="002B1DC2" w:rsidRDefault="00200989" w:rsidP="00030E15">
            <w:pPr>
              <w:spacing w:line="240" w:lineRule="auto"/>
              <w:rPr>
                <w:color w:val="auto"/>
              </w:rPr>
            </w:pPr>
            <w:r w:rsidRPr="002B1DC2">
              <w:rPr>
                <w:noProof/>
                <w:color w:val="auto"/>
              </w:rPr>
              <w:t>Dominick &amp; Cindy Toscano</w:t>
            </w:r>
          </w:p>
        </w:tc>
        <w:tc>
          <w:tcPr>
            <w:tcW w:w="2340" w:type="dxa"/>
          </w:tcPr>
          <w:p w14:paraId="0C5BE8BC" w14:textId="77777777" w:rsidR="00200989" w:rsidRPr="002B1DC2" w:rsidRDefault="00200989" w:rsidP="00030E15">
            <w:pPr>
              <w:spacing w:line="240" w:lineRule="auto"/>
              <w:rPr>
                <w:color w:val="auto"/>
              </w:rPr>
            </w:pPr>
            <w:r w:rsidRPr="002B1DC2">
              <w:rPr>
                <w:noProof/>
                <w:color w:val="auto"/>
              </w:rPr>
              <w:t>C-2021-3026459</w:t>
            </w:r>
          </w:p>
        </w:tc>
      </w:tr>
      <w:tr w:rsidR="00200989" w14:paraId="01C960AF" w14:textId="77777777" w:rsidTr="00030E15">
        <w:tc>
          <w:tcPr>
            <w:tcW w:w="7195" w:type="dxa"/>
          </w:tcPr>
          <w:p w14:paraId="323AF555" w14:textId="77777777" w:rsidR="00200989" w:rsidRPr="002B1DC2" w:rsidRDefault="00200989" w:rsidP="00030E15">
            <w:pPr>
              <w:spacing w:line="240" w:lineRule="auto"/>
              <w:rPr>
                <w:color w:val="auto"/>
              </w:rPr>
            </w:pPr>
            <w:r w:rsidRPr="002B1DC2">
              <w:rPr>
                <w:noProof/>
                <w:color w:val="auto"/>
              </w:rPr>
              <w:t>Douglas Beckworth</w:t>
            </w:r>
          </w:p>
        </w:tc>
        <w:tc>
          <w:tcPr>
            <w:tcW w:w="2340" w:type="dxa"/>
          </w:tcPr>
          <w:p w14:paraId="1AE2970C" w14:textId="77777777" w:rsidR="00200989" w:rsidRPr="002B1DC2" w:rsidRDefault="00200989" w:rsidP="00030E15">
            <w:pPr>
              <w:spacing w:line="240" w:lineRule="auto"/>
              <w:rPr>
                <w:color w:val="auto"/>
              </w:rPr>
            </w:pPr>
            <w:r w:rsidRPr="002B1DC2">
              <w:rPr>
                <w:noProof/>
                <w:color w:val="auto"/>
              </w:rPr>
              <w:t>C-2021-3026463</w:t>
            </w:r>
          </w:p>
        </w:tc>
      </w:tr>
      <w:tr w:rsidR="00200989" w14:paraId="15B5B89A" w14:textId="77777777" w:rsidTr="00030E15">
        <w:tc>
          <w:tcPr>
            <w:tcW w:w="7195" w:type="dxa"/>
          </w:tcPr>
          <w:p w14:paraId="258ECB54" w14:textId="77777777" w:rsidR="00200989" w:rsidRPr="002B1DC2" w:rsidRDefault="00200989" w:rsidP="00030E15">
            <w:pPr>
              <w:spacing w:line="240" w:lineRule="auto"/>
              <w:rPr>
                <w:color w:val="auto"/>
              </w:rPr>
            </w:pPr>
            <w:r w:rsidRPr="002B1DC2">
              <w:rPr>
                <w:noProof/>
                <w:color w:val="auto"/>
              </w:rPr>
              <w:t>Marcus &amp; Bernalyn Clarke</w:t>
            </w:r>
          </w:p>
        </w:tc>
        <w:tc>
          <w:tcPr>
            <w:tcW w:w="2340" w:type="dxa"/>
          </w:tcPr>
          <w:p w14:paraId="721B205E" w14:textId="77777777" w:rsidR="00200989" w:rsidRPr="002B1DC2" w:rsidRDefault="00200989" w:rsidP="00030E15">
            <w:pPr>
              <w:spacing w:line="240" w:lineRule="auto"/>
              <w:rPr>
                <w:color w:val="auto"/>
              </w:rPr>
            </w:pPr>
            <w:r w:rsidRPr="002B1DC2">
              <w:rPr>
                <w:noProof/>
                <w:color w:val="auto"/>
              </w:rPr>
              <w:t>C-2021-3026465</w:t>
            </w:r>
          </w:p>
        </w:tc>
      </w:tr>
      <w:tr w:rsidR="00200989" w14:paraId="0E95EB56" w14:textId="77777777" w:rsidTr="00030E15">
        <w:tc>
          <w:tcPr>
            <w:tcW w:w="7195" w:type="dxa"/>
          </w:tcPr>
          <w:p w14:paraId="7777A88F" w14:textId="77777777" w:rsidR="00200989" w:rsidRPr="002B1DC2" w:rsidRDefault="00200989" w:rsidP="00030E15">
            <w:pPr>
              <w:spacing w:line="240" w:lineRule="auto"/>
              <w:rPr>
                <w:color w:val="auto"/>
              </w:rPr>
            </w:pPr>
            <w:r w:rsidRPr="002B1DC2">
              <w:rPr>
                <w:noProof/>
                <w:color w:val="auto"/>
              </w:rPr>
              <w:t>Katherine Cassidy</w:t>
            </w:r>
          </w:p>
        </w:tc>
        <w:tc>
          <w:tcPr>
            <w:tcW w:w="2340" w:type="dxa"/>
          </w:tcPr>
          <w:p w14:paraId="448A7421" w14:textId="77777777" w:rsidR="00200989" w:rsidRPr="002B1DC2" w:rsidRDefault="00200989" w:rsidP="00030E15">
            <w:pPr>
              <w:spacing w:line="240" w:lineRule="auto"/>
              <w:rPr>
                <w:color w:val="auto"/>
              </w:rPr>
            </w:pPr>
            <w:r w:rsidRPr="002B1DC2">
              <w:rPr>
                <w:noProof/>
                <w:color w:val="auto"/>
              </w:rPr>
              <w:t>C-2021-3026468</w:t>
            </w:r>
          </w:p>
        </w:tc>
      </w:tr>
      <w:tr w:rsidR="00200989" w14:paraId="1851BE94" w14:textId="77777777" w:rsidTr="00030E15">
        <w:tc>
          <w:tcPr>
            <w:tcW w:w="7195" w:type="dxa"/>
          </w:tcPr>
          <w:p w14:paraId="2871F173" w14:textId="77777777" w:rsidR="00200989" w:rsidRPr="002B1DC2" w:rsidRDefault="00200989" w:rsidP="00030E15">
            <w:pPr>
              <w:spacing w:line="240" w:lineRule="auto"/>
              <w:rPr>
                <w:color w:val="auto"/>
              </w:rPr>
            </w:pPr>
            <w:r w:rsidRPr="002B1DC2">
              <w:rPr>
                <w:noProof/>
                <w:color w:val="auto"/>
              </w:rPr>
              <w:t>David Touma</w:t>
            </w:r>
          </w:p>
        </w:tc>
        <w:tc>
          <w:tcPr>
            <w:tcW w:w="2340" w:type="dxa"/>
          </w:tcPr>
          <w:p w14:paraId="36488CE3" w14:textId="77777777" w:rsidR="00200989" w:rsidRPr="002B1DC2" w:rsidRDefault="00200989" w:rsidP="00030E15">
            <w:pPr>
              <w:spacing w:line="240" w:lineRule="auto"/>
              <w:rPr>
                <w:color w:val="auto"/>
              </w:rPr>
            </w:pPr>
            <w:r w:rsidRPr="002B1DC2">
              <w:rPr>
                <w:noProof/>
                <w:color w:val="auto"/>
              </w:rPr>
              <w:t>C-2021-3026475</w:t>
            </w:r>
          </w:p>
        </w:tc>
      </w:tr>
      <w:tr w:rsidR="00200989" w14:paraId="1B9AAAAF" w14:textId="77777777" w:rsidTr="00030E15">
        <w:tc>
          <w:tcPr>
            <w:tcW w:w="7195" w:type="dxa"/>
          </w:tcPr>
          <w:p w14:paraId="1308ECA4" w14:textId="77777777" w:rsidR="00200989" w:rsidRPr="002B1DC2" w:rsidRDefault="00200989" w:rsidP="00030E15">
            <w:pPr>
              <w:spacing w:line="240" w:lineRule="auto"/>
              <w:rPr>
                <w:color w:val="auto"/>
              </w:rPr>
            </w:pPr>
            <w:r w:rsidRPr="002B1DC2">
              <w:rPr>
                <w:noProof/>
                <w:color w:val="auto"/>
              </w:rPr>
              <w:t>William &amp; Dahlia Merritt</w:t>
            </w:r>
          </w:p>
        </w:tc>
        <w:tc>
          <w:tcPr>
            <w:tcW w:w="2340" w:type="dxa"/>
          </w:tcPr>
          <w:p w14:paraId="586AFDE2" w14:textId="77777777" w:rsidR="00200989" w:rsidRPr="002B1DC2" w:rsidRDefault="00200989" w:rsidP="00030E15">
            <w:pPr>
              <w:spacing w:line="240" w:lineRule="auto"/>
              <w:rPr>
                <w:color w:val="auto"/>
              </w:rPr>
            </w:pPr>
            <w:r w:rsidRPr="002B1DC2">
              <w:rPr>
                <w:noProof/>
                <w:color w:val="auto"/>
              </w:rPr>
              <w:t>C-2021-3026546</w:t>
            </w:r>
          </w:p>
        </w:tc>
      </w:tr>
      <w:tr w:rsidR="00200989" w14:paraId="4D5262AB" w14:textId="77777777" w:rsidTr="00030E15">
        <w:tc>
          <w:tcPr>
            <w:tcW w:w="7195" w:type="dxa"/>
          </w:tcPr>
          <w:p w14:paraId="1792BE6A" w14:textId="77777777" w:rsidR="00200989" w:rsidRPr="002B1DC2" w:rsidRDefault="00200989" w:rsidP="00030E15">
            <w:pPr>
              <w:spacing w:line="240" w:lineRule="auto"/>
              <w:rPr>
                <w:color w:val="auto"/>
              </w:rPr>
            </w:pPr>
            <w:r w:rsidRPr="002B1DC2">
              <w:rPr>
                <w:noProof/>
                <w:color w:val="auto"/>
              </w:rPr>
              <w:lastRenderedPageBreak/>
              <w:t>Ronald Pocoro</w:t>
            </w:r>
          </w:p>
        </w:tc>
        <w:tc>
          <w:tcPr>
            <w:tcW w:w="2340" w:type="dxa"/>
          </w:tcPr>
          <w:p w14:paraId="739F9CE1" w14:textId="77777777" w:rsidR="00200989" w:rsidRPr="002B1DC2" w:rsidRDefault="00200989" w:rsidP="00030E15">
            <w:pPr>
              <w:spacing w:line="240" w:lineRule="auto"/>
              <w:rPr>
                <w:color w:val="auto"/>
              </w:rPr>
            </w:pPr>
            <w:r w:rsidRPr="002B1DC2">
              <w:rPr>
                <w:noProof/>
                <w:color w:val="auto"/>
              </w:rPr>
              <w:t>C-2021-3026561</w:t>
            </w:r>
          </w:p>
        </w:tc>
      </w:tr>
      <w:tr w:rsidR="00200989" w14:paraId="06FBF7CC" w14:textId="77777777" w:rsidTr="00030E15">
        <w:tc>
          <w:tcPr>
            <w:tcW w:w="7195" w:type="dxa"/>
          </w:tcPr>
          <w:p w14:paraId="6CA00892" w14:textId="01444164" w:rsidR="00200989" w:rsidRPr="002B1DC2" w:rsidRDefault="00200989" w:rsidP="00030E15">
            <w:pPr>
              <w:spacing w:line="240" w:lineRule="auto"/>
              <w:rPr>
                <w:color w:val="auto"/>
              </w:rPr>
            </w:pPr>
            <w:r w:rsidRPr="002B1DC2">
              <w:rPr>
                <w:noProof/>
                <w:color w:val="auto"/>
              </w:rPr>
              <w:t>Christina Boers</w:t>
            </w:r>
          </w:p>
        </w:tc>
        <w:tc>
          <w:tcPr>
            <w:tcW w:w="2340" w:type="dxa"/>
          </w:tcPr>
          <w:p w14:paraId="5275A9B2" w14:textId="77777777" w:rsidR="00200989" w:rsidRPr="002B1DC2" w:rsidRDefault="00200989" w:rsidP="00030E15">
            <w:pPr>
              <w:spacing w:line="240" w:lineRule="auto"/>
              <w:rPr>
                <w:color w:val="auto"/>
              </w:rPr>
            </w:pPr>
            <w:r w:rsidRPr="002B1DC2">
              <w:rPr>
                <w:noProof/>
                <w:color w:val="auto"/>
              </w:rPr>
              <w:t>C-2021-3026570</w:t>
            </w:r>
          </w:p>
        </w:tc>
      </w:tr>
      <w:tr w:rsidR="00200989" w14:paraId="0D4BFE60" w14:textId="77777777" w:rsidTr="00030E15">
        <w:tc>
          <w:tcPr>
            <w:tcW w:w="7195" w:type="dxa"/>
          </w:tcPr>
          <w:p w14:paraId="0B5DF054" w14:textId="77777777" w:rsidR="00200989" w:rsidRPr="002B1DC2" w:rsidRDefault="00200989" w:rsidP="00030E15">
            <w:pPr>
              <w:spacing w:line="240" w:lineRule="auto"/>
              <w:rPr>
                <w:color w:val="auto"/>
              </w:rPr>
            </w:pPr>
            <w:r w:rsidRPr="002B1DC2">
              <w:rPr>
                <w:noProof/>
                <w:color w:val="auto"/>
              </w:rPr>
              <w:t>John Kis</w:t>
            </w:r>
          </w:p>
        </w:tc>
        <w:tc>
          <w:tcPr>
            <w:tcW w:w="2340" w:type="dxa"/>
          </w:tcPr>
          <w:p w14:paraId="2DD9883B" w14:textId="77777777" w:rsidR="00200989" w:rsidRPr="002B1DC2" w:rsidRDefault="00200989" w:rsidP="00030E15">
            <w:pPr>
              <w:spacing w:line="240" w:lineRule="auto"/>
              <w:rPr>
                <w:color w:val="auto"/>
              </w:rPr>
            </w:pPr>
            <w:r w:rsidRPr="002B1DC2">
              <w:rPr>
                <w:noProof/>
                <w:color w:val="auto"/>
              </w:rPr>
              <w:t>C-2021-3026576</w:t>
            </w:r>
          </w:p>
        </w:tc>
      </w:tr>
      <w:tr w:rsidR="00200989" w14:paraId="0915F12E" w14:textId="77777777" w:rsidTr="00030E15">
        <w:tc>
          <w:tcPr>
            <w:tcW w:w="7195" w:type="dxa"/>
          </w:tcPr>
          <w:p w14:paraId="376A7288" w14:textId="77777777" w:rsidR="00200989" w:rsidRPr="002B1DC2" w:rsidRDefault="00200989" w:rsidP="00030E15">
            <w:pPr>
              <w:spacing w:line="240" w:lineRule="auto"/>
              <w:rPr>
                <w:color w:val="auto"/>
              </w:rPr>
            </w:pPr>
            <w:r w:rsidRPr="002B1DC2">
              <w:rPr>
                <w:noProof/>
                <w:color w:val="auto"/>
              </w:rPr>
              <w:t>Bonnie Rudeski</w:t>
            </w:r>
          </w:p>
        </w:tc>
        <w:tc>
          <w:tcPr>
            <w:tcW w:w="2340" w:type="dxa"/>
          </w:tcPr>
          <w:p w14:paraId="09B89417" w14:textId="77777777" w:rsidR="00200989" w:rsidRPr="002B1DC2" w:rsidRDefault="00200989" w:rsidP="00030E15">
            <w:pPr>
              <w:spacing w:line="240" w:lineRule="auto"/>
              <w:rPr>
                <w:color w:val="auto"/>
              </w:rPr>
            </w:pPr>
            <w:r w:rsidRPr="002B1DC2">
              <w:rPr>
                <w:noProof/>
                <w:color w:val="auto"/>
              </w:rPr>
              <w:t>C-2021-3026586</w:t>
            </w:r>
          </w:p>
        </w:tc>
      </w:tr>
      <w:tr w:rsidR="00200989" w14:paraId="1C0EE8A2" w14:textId="77777777" w:rsidTr="00030E15">
        <w:tc>
          <w:tcPr>
            <w:tcW w:w="7195" w:type="dxa"/>
          </w:tcPr>
          <w:p w14:paraId="29D21561" w14:textId="77777777" w:rsidR="00200989" w:rsidRPr="002B1DC2" w:rsidRDefault="00200989" w:rsidP="00030E15">
            <w:pPr>
              <w:spacing w:line="240" w:lineRule="auto"/>
              <w:rPr>
                <w:color w:val="auto"/>
              </w:rPr>
            </w:pPr>
            <w:r w:rsidRPr="002B1DC2">
              <w:rPr>
                <w:noProof/>
                <w:color w:val="auto"/>
              </w:rPr>
              <w:t>David Squilliciotti</w:t>
            </w:r>
          </w:p>
        </w:tc>
        <w:tc>
          <w:tcPr>
            <w:tcW w:w="2340" w:type="dxa"/>
          </w:tcPr>
          <w:p w14:paraId="7B8AEF65" w14:textId="77777777" w:rsidR="00200989" w:rsidRPr="002B1DC2" w:rsidRDefault="00200989" w:rsidP="00030E15">
            <w:pPr>
              <w:spacing w:line="240" w:lineRule="auto"/>
              <w:rPr>
                <w:color w:val="auto"/>
              </w:rPr>
            </w:pPr>
            <w:r w:rsidRPr="002B1DC2">
              <w:rPr>
                <w:noProof/>
                <w:color w:val="auto"/>
              </w:rPr>
              <w:t>C-2021-3026619</w:t>
            </w:r>
          </w:p>
        </w:tc>
      </w:tr>
      <w:tr w:rsidR="00200989" w14:paraId="0F1B50F8" w14:textId="77777777" w:rsidTr="00030E15">
        <w:tc>
          <w:tcPr>
            <w:tcW w:w="7195" w:type="dxa"/>
          </w:tcPr>
          <w:p w14:paraId="02FF5AE8" w14:textId="77777777" w:rsidR="00200989" w:rsidRPr="002B1DC2" w:rsidRDefault="00200989" w:rsidP="00030E15">
            <w:pPr>
              <w:spacing w:line="240" w:lineRule="auto"/>
              <w:rPr>
                <w:color w:val="auto"/>
              </w:rPr>
            </w:pPr>
            <w:r w:rsidRPr="002B1DC2">
              <w:rPr>
                <w:noProof/>
                <w:color w:val="auto"/>
              </w:rPr>
              <w:t>Louis Romano</w:t>
            </w:r>
          </w:p>
        </w:tc>
        <w:tc>
          <w:tcPr>
            <w:tcW w:w="2340" w:type="dxa"/>
          </w:tcPr>
          <w:p w14:paraId="194F37C5" w14:textId="77777777" w:rsidR="00200989" w:rsidRPr="002B1DC2" w:rsidRDefault="00200989" w:rsidP="00030E15">
            <w:pPr>
              <w:spacing w:line="240" w:lineRule="auto"/>
              <w:rPr>
                <w:color w:val="auto"/>
              </w:rPr>
            </w:pPr>
            <w:r w:rsidRPr="002B1DC2">
              <w:rPr>
                <w:noProof/>
                <w:color w:val="auto"/>
              </w:rPr>
              <w:t>C-2021-3026629</w:t>
            </w:r>
          </w:p>
        </w:tc>
      </w:tr>
      <w:tr w:rsidR="00200989" w14:paraId="02F0C285" w14:textId="77777777" w:rsidTr="00030E15">
        <w:tc>
          <w:tcPr>
            <w:tcW w:w="7195" w:type="dxa"/>
          </w:tcPr>
          <w:p w14:paraId="25FE00C1" w14:textId="48BC2279" w:rsidR="00200989" w:rsidRPr="002B1DC2" w:rsidRDefault="00200989" w:rsidP="00030E15">
            <w:pPr>
              <w:spacing w:line="240" w:lineRule="auto"/>
              <w:rPr>
                <w:color w:val="auto"/>
              </w:rPr>
            </w:pPr>
            <w:r w:rsidRPr="002B1DC2">
              <w:rPr>
                <w:noProof/>
                <w:color w:val="auto"/>
              </w:rPr>
              <w:t>Kathleen &amp; Gera</w:t>
            </w:r>
            <w:r w:rsidR="00971E21" w:rsidRPr="002B1DC2">
              <w:rPr>
                <w:noProof/>
                <w:color w:val="auto"/>
              </w:rPr>
              <w:t>l</w:t>
            </w:r>
            <w:r w:rsidRPr="002B1DC2">
              <w:rPr>
                <w:noProof/>
                <w:color w:val="auto"/>
              </w:rPr>
              <w:t>d Raphael</w:t>
            </w:r>
          </w:p>
        </w:tc>
        <w:tc>
          <w:tcPr>
            <w:tcW w:w="2340" w:type="dxa"/>
          </w:tcPr>
          <w:p w14:paraId="1C6FAA9B" w14:textId="77777777" w:rsidR="00200989" w:rsidRPr="002B1DC2" w:rsidRDefault="00200989" w:rsidP="00030E15">
            <w:pPr>
              <w:spacing w:line="240" w:lineRule="auto"/>
              <w:rPr>
                <w:color w:val="auto"/>
              </w:rPr>
            </w:pPr>
            <w:r w:rsidRPr="002B1DC2">
              <w:rPr>
                <w:noProof/>
                <w:color w:val="auto"/>
              </w:rPr>
              <w:t>C-2021-3026633</w:t>
            </w:r>
          </w:p>
        </w:tc>
      </w:tr>
      <w:tr w:rsidR="00200989" w14:paraId="75671C38" w14:textId="77777777" w:rsidTr="00030E15">
        <w:tc>
          <w:tcPr>
            <w:tcW w:w="7195" w:type="dxa"/>
          </w:tcPr>
          <w:p w14:paraId="6963235C" w14:textId="77777777" w:rsidR="00200989" w:rsidRPr="002B1DC2" w:rsidRDefault="00200989" w:rsidP="00030E15">
            <w:pPr>
              <w:spacing w:line="240" w:lineRule="auto"/>
              <w:rPr>
                <w:color w:val="auto"/>
              </w:rPr>
            </w:pPr>
            <w:r w:rsidRPr="002B1DC2">
              <w:rPr>
                <w:noProof/>
                <w:color w:val="auto"/>
              </w:rPr>
              <w:t>Vanessa Durcan</w:t>
            </w:r>
          </w:p>
        </w:tc>
        <w:tc>
          <w:tcPr>
            <w:tcW w:w="2340" w:type="dxa"/>
          </w:tcPr>
          <w:p w14:paraId="1B505F5C" w14:textId="77777777" w:rsidR="00200989" w:rsidRPr="002B1DC2" w:rsidRDefault="00200989" w:rsidP="00030E15">
            <w:pPr>
              <w:spacing w:line="240" w:lineRule="auto"/>
              <w:rPr>
                <w:color w:val="auto"/>
              </w:rPr>
            </w:pPr>
            <w:r w:rsidRPr="002B1DC2">
              <w:rPr>
                <w:noProof/>
                <w:color w:val="auto"/>
              </w:rPr>
              <w:t>C-2021-3026634</w:t>
            </w:r>
          </w:p>
        </w:tc>
      </w:tr>
      <w:tr w:rsidR="00200989" w14:paraId="2A5C57BD" w14:textId="77777777" w:rsidTr="00030E15">
        <w:tc>
          <w:tcPr>
            <w:tcW w:w="7195" w:type="dxa"/>
          </w:tcPr>
          <w:p w14:paraId="0FB27B58" w14:textId="77777777" w:rsidR="00200989" w:rsidRPr="002B1DC2" w:rsidRDefault="00200989" w:rsidP="00030E15">
            <w:pPr>
              <w:spacing w:line="240" w:lineRule="auto"/>
              <w:rPr>
                <w:color w:val="auto"/>
              </w:rPr>
            </w:pPr>
            <w:r w:rsidRPr="002B1DC2">
              <w:rPr>
                <w:noProof/>
                <w:color w:val="auto"/>
              </w:rPr>
              <w:t>Barry Tremper</w:t>
            </w:r>
          </w:p>
        </w:tc>
        <w:tc>
          <w:tcPr>
            <w:tcW w:w="2340" w:type="dxa"/>
          </w:tcPr>
          <w:p w14:paraId="4D32A121" w14:textId="77777777" w:rsidR="00200989" w:rsidRPr="002B1DC2" w:rsidRDefault="00200989" w:rsidP="00030E15">
            <w:pPr>
              <w:spacing w:line="240" w:lineRule="auto"/>
              <w:rPr>
                <w:color w:val="auto"/>
              </w:rPr>
            </w:pPr>
            <w:r w:rsidRPr="002B1DC2">
              <w:rPr>
                <w:noProof/>
                <w:color w:val="auto"/>
              </w:rPr>
              <w:t>C-2021-3026656</w:t>
            </w:r>
          </w:p>
        </w:tc>
      </w:tr>
      <w:tr w:rsidR="00200989" w14:paraId="49EEA017" w14:textId="77777777" w:rsidTr="00030E15">
        <w:tc>
          <w:tcPr>
            <w:tcW w:w="7195" w:type="dxa"/>
          </w:tcPr>
          <w:p w14:paraId="339EC4F4" w14:textId="77777777" w:rsidR="00200989" w:rsidRPr="002B1DC2" w:rsidRDefault="00200989" w:rsidP="00030E15">
            <w:pPr>
              <w:spacing w:line="240" w:lineRule="auto"/>
              <w:rPr>
                <w:color w:val="auto"/>
              </w:rPr>
            </w:pPr>
            <w:r w:rsidRPr="002B1DC2">
              <w:rPr>
                <w:noProof/>
                <w:color w:val="auto"/>
              </w:rPr>
              <w:t>Anna Paryzki</w:t>
            </w:r>
          </w:p>
        </w:tc>
        <w:tc>
          <w:tcPr>
            <w:tcW w:w="2340" w:type="dxa"/>
          </w:tcPr>
          <w:p w14:paraId="6CF68F91" w14:textId="77777777" w:rsidR="00200989" w:rsidRPr="002B1DC2" w:rsidRDefault="00200989" w:rsidP="00030E15">
            <w:pPr>
              <w:spacing w:line="240" w:lineRule="auto"/>
              <w:rPr>
                <w:color w:val="auto"/>
              </w:rPr>
            </w:pPr>
            <w:r w:rsidRPr="002B1DC2">
              <w:rPr>
                <w:noProof/>
                <w:color w:val="auto"/>
              </w:rPr>
              <w:t>C-2021-3026657</w:t>
            </w:r>
          </w:p>
        </w:tc>
      </w:tr>
      <w:tr w:rsidR="00200989" w14:paraId="2B8E2D94" w14:textId="77777777" w:rsidTr="00030E15">
        <w:tc>
          <w:tcPr>
            <w:tcW w:w="7195" w:type="dxa"/>
          </w:tcPr>
          <w:p w14:paraId="62807A47" w14:textId="77777777" w:rsidR="00200989" w:rsidRPr="002B1DC2" w:rsidRDefault="00200989" w:rsidP="00030E15">
            <w:pPr>
              <w:spacing w:line="240" w:lineRule="auto"/>
              <w:rPr>
                <w:color w:val="auto"/>
              </w:rPr>
            </w:pPr>
            <w:r w:rsidRPr="002B1DC2">
              <w:rPr>
                <w:noProof/>
                <w:color w:val="auto"/>
              </w:rPr>
              <w:t>Grazyna Paryzka</w:t>
            </w:r>
          </w:p>
        </w:tc>
        <w:tc>
          <w:tcPr>
            <w:tcW w:w="2340" w:type="dxa"/>
          </w:tcPr>
          <w:p w14:paraId="75DFF385" w14:textId="77777777" w:rsidR="00200989" w:rsidRPr="002B1DC2" w:rsidRDefault="00200989" w:rsidP="00030E15">
            <w:pPr>
              <w:spacing w:line="240" w:lineRule="auto"/>
              <w:rPr>
                <w:color w:val="auto"/>
              </w:rPr>
            </w:pPr>
            <w:r w:rsidRPr="002B1DC2">
              <w:rPr>
                <w:noProof/>
                <w:color w:val="auto"/>
              </w:rPr>
              <w:t>C-2021-3026658</w:t>
            </w:r>
          </w:p>
        </w:tc>
      </w:tr>
      <w:tr w:rsidR="00200989" w14:paraId="33106399" w14:textId="77777777" w:rsidTr="00030E15">
        <w:tc>
          <w:tcPr>
            <w:tcW w:w="7195" w:type="dxa"/>
          </w:tcPr>
          <w:p w14:paraId="08774EC7" w14:textId="77777777" w:rsidR="00200989" w:rsidRPr="002B1DC2" w:rsidRDefault="00200989" w:rsidP="00030E15">
            <w:pPr>
              <w:spacing w:line="240" w:lineRule="auto"/>
              <w:rPr>
                <w:color w:val="auto"/>
              </w:rPr>
            </w:pPr>
            <w:r w:rsidRPr="002B1DC2">
              <w:rPr>
                <w:noProof/>
                <w:color w:val="auto"/>
              </w:rPr>
              <w:t>Peter Salomone</w:t>
            </w:r>
          </w:p>
        </w:tc>
        <w:tc>
          <w:tcPr>
            <w:tcW w:w="2340" w:type="dxa"/>
          </w:tcPr>
          <w:p w14:paraId="6415CAC2" w14:textId="77777777" w:rsidR="00200989" w:rsidRPr="002B1DC2" w:rsidRDefault="00200989" w:rsidP="00030E15">
            <w:pPr>
              <w:spacing w:line="240" w:lineRule="auto"/>
              <w:rPr>
                <w:color w:val="auto"/>
              </w:rPr>
            </w:pPr>
            <w:r w:rsidRPr="002B1DC2">
              <w:rPr>
                <w:noProof/>
                <w:color w:val="auto"/>
              </w:rPr>
              <w:t>C-2021-3026741</w:t>
            </w:r>
          </w:p>
        </w:tc>
      </w:tr>
      <w:tr w:rsidR="00200989" w14:paraId="141A04C5" w14:textId="77777777" w:rsidTr="00030E15">
        <w:tc>
          <w:tcPr>
            <w:tcW w:w="7195" w:type="dxa"/>
          </w:tcPr>
          <w:p w14:paraId="16C9A65F" w14:textId="77777777" w:rsidR="00200989" w:rsidRPr="002B1DC2" w:rsidRDefault="00200989" w:rsidP="00030E15">
            <w:pPr>
              <w:spacing w:line="240" w:lineRule="auto"/>
              <w:rPr>
                <w:color w:val="auto"/>
              </w:rPr>
            </w:pPr>
            <w:r w:rsidRPr="002B1DC2">
              <w:rPr>
                <w:noProof/>
                <w:color w:val="auto"/>
              </w:rPr>
              <w:t>Arnold Reyes-Portilla</w:t>
            </w:r>
          </w:p>
        </w:tc>
        <w:tc>
          <w:tcPr>
            <w:tcW w:w="2340" w:type="dxa"/>
          </w:tcPr>
          <w:p w14:paraId="5100506B" w14:textId="77777777" w:rsidR="00200989" w:rsidRPr="002B1DC2" w:rsidRDefault="00200989" w:rsidP="00030E15">
            <w:pPr>
              <w:spacing w:line="240" w:lineRule="auto"/>
              <w:rPr>
                <w:color w:val="auto"/>
              </w:rPr>
            </w:pPr>
            <w:r w:rsidRPr="002B1DC2">
              <w:rPr>
                <w:noProof/>
                <w:color w:val="auto"/>
              </w:rPr>
              <w:t>C-2021-3026745</w:t>
            </w:r>
          </w:p>
        </w:tc>
      </w:tr>
      <w:tr w:rsidR="00200989" w14:paraId="2F26AA06" w14:textId="77777777" w:rsidTr="00030E15">
        <w:tc>
          <w:tcPr>
            <w:tcW w:w="7195" w:type="dxa"/>
          </w:tcPr>
          <w:p w14:paraId="4535C29F" w14:textId="27E12D20" w:rsidR="00200989" w:rsidRPr="002B1DC2" w:rsidRDefault="00200989" w:rsidP="00030E15">
            <w:pPr>
              <w:spacing w:line="240" w:lineRule="auto"/>
              <w:rPr>
                <w:color w:val="auto"/>
              </w:rPr>
            </w:pPr>
            <w:r w:rsidRPr="002B1DC2">
              <w:rPr>
                <w:noProof/>
                <w:color w:val="auto"/>
              </w:rPr>
              <w:t>Susan Nikolaou</w:t>
            </w:r>
          </w:p>
        </w:tc>
        <w:tc>
          <w:tcPr>
            <w:tcW w:w="2340" w:type="dxa"/>
          </w:tcPr>
          <w:p w14:paraId="3A782B6C" w14:textId="77777777" w:rsidR="00200989" w:rsidRPr="002B1DC2" w:rsidRDefault="00200989" w:rsidP="00030E15">
            <w:pPr>
              <w:spacing w:line="240" w:lineRule="auto"/>
              <w:rPr>
                <w:color w:val="auto"/>
              </w:rPr>
            </w:pPr>
            <w:r w:rsidRPr="002B1DC2">
              <w:rPr>
                <w:noProof/>
                <w:color w:val="auto"/>
              </w:rPr>
              <w:t>C-2021-3026747</w:t>
            </w:r>
          </w:p>
        </w:tc>
      </w:tr>
      <w:tr w:rsidR="00200989" w14:paraId="36A68152" w14:textId="77777777" w:rsidTr="00030E15">
        <w:tc>
          <w:tcPr>
            <w:tcW w:w="7195" w:type="dxa"/>
          </w:tcPr>
          <w:p w14:paraId="79556F35" w14:textId="1ADD638B" w:rsidR="00200989" w:rsidRPr="002B1DC2" w:rsidRDefault="00200989" w:rsidP="00030E15">
            <w:pPr>
              <w:spacing w:line="240" w:lineRule="auto"/>
              <w:rPr>
                <w:color w:val="auto"/>
              </w:rPr>
            </w:pPr>
            <w:r w:rsidRPr="002B1DC2">
              <w:rPr>
                <w:noProof/>
                <w:color w:val="auto"/>
              </w:rPr>
              <w:t>William Sullivan</w:t>
            </w:r>
          </w:p>
        </w:tc>
        <w:tc>
          <w:tcPr>
            <w:tcW w:w="2340" w:type="dxa"/>
          </w:tcPr>
          <w:p w14:paraId="5D984BF3" w14:textId="77777777" w:rsidR="00200989" w:rsidRPr="002B1DC2" w:rsidRDefault="00200989" w:rsidP="00030E15">
            <w:pPr>
              <w:spacing w:line="240" w:lineRule="auto"/>
              <w:rPr>
                <w:color w:val="auto"/>
              </w:rPr>
            </w:pPr>
            <w:r w:rsidRPr="002B1DC2">
              <w:rPr>
                <w:noProof/>
                <w:color w:val="auto"/>
              </w:rPr>
              <w:t>C-2021-3026805</w:t>
            </w:r>
          </w:p>
        </w:tc>
      </w:tr>
      <w:tr w:rsidR="00200989" w14:paraId="286FB652" w14:textId="77777777" w:rsidTr="00030E15">
        <w:tc>
          <w:tcPr>
            <w:tcW w:w="7195" w:type="dxa"/>
          </w:tcPr>
          <w:p w14:paraId="2CBBEAAD" w14:textId="77777777" w:rsidR="00200989" w:rsidRPr="002B1DC2" w:rsidRDefault="00200989" w:rsidP="00030E15">
            <w:pPr>
              <w:spacing w:line="240" w:lineRule="auto"/>
              <w:rPr>
                <w:color w:val="auto"/>
              </w:rPr>
            </w:pPr>
            <w:r w:rsidRPr="002B1DC2">
              <w:rPr>
                <w:noProof/>
                <w:color w:val="auto"/>
              </w:rPr>
              <w:t>Clark Sutton</w:t>
            </w:r>
          </w:p>
        </w:tc>
        <w:tc>
          <w:tcPr>
            <w:tcW w:w="2340" w:type="dxa"/>
          </w:tcPr>
          <w:p w14:paraId="4026B80E" w14:textId="77777777" w:rsidR="00200989" w:rsidRPr="002B1DC2" w:rsidRDefault="00200989" w:rsidP="00030E15">
            <w:pPr>
              <w:spacing w:line="240" w:lineRule="auto"/>
              <w:rPr>
                <w:color w:val="auto"/>
              </w:rPr>
            </w:pPr>
            <w:r w:rsidRPr="002B1DC2">
              <w:rPr>
                <w:noProof/>
                <w:color w:val="auto"/>
              </w:rPr>
              <w:t>C-2021-3026834</w:t>
            </w:r>
          </w:p>
        </w:tc>
      </w:tr>
      <w:tr w:rsidR="00200989" w14:paraId="49423278" w14:textId="77777777" w:rsidTr="00030E15">
        <w:tc>
          <w:tcPr>
            <w:tcW w:w="7195" w:type="dxa"/>
          </w:tcPr>
          <w:p w14:paraId="60B23B55" w14:textId="77777777" w:rsidR="00200989" w:rsidRPr="002B1DC2" w:rsidRDefault="00200989" w:rsidP="00030E15">
            <w:pPr>
              <w:spacing w:line="240" w:lineRule="auto"/>
              <w:rPr>
                <w:color w:val="auto"/>
              </w:rPr>
            </w:pPr>
            <w:r w:rsidRPr="002B1DC2">
              <w:rPr>
                <w:noProof/>
                <w:color w:val="auto"/>
              </w:rPr>
              <w:t>Christine Thomson</w:t>
            </w:r>
          </w:p>
        </w:tc>
        <w:tc>
          <w:tcPr>
            <w:tcW w:w="2340" w:type="dxa"/>
          </w:tcPr>
          <w:p w14:paraId="309B1A06" w14:textId="77777777" w:rsidR="00200989" w:rsidRPr="002B1DC2" w:rsidRDefault="00200989" w:rsidP="00030E15">
            <w:pPr>
              <w:spacing w:line="240" w:lineRule="auto"/>
              <w:rPr>
                <w:color w:val="auto"/>
              </w:rPr>
            </w:pPr>
            <w:r w:rsidRPr="002B1DC2">
              <w:rPr>
                <w:noProof/>
                <w:color w:val="auto"/>
              </w:rPr>
              <w:t>C-2021-3026840</w:t>
            </w:r>
          </w:p>
        </w:tc>
      </w:tr>
      <w:tr w:rsidR="00200989" w14:paraId="0574FEEB" w14:textId="77777777" w:rsidTr="00030E15">
        <w:tc>
          <w:tcPr>
            <w:tcW w:w="7195" w:type="dxa"/>
          </w:tcPr>
          <w:p w14:paraId="0B96FAB7" w14:textId="77777777" w:rsidR="00200989" w:rsidRPr="002B1DC2" w:rsidRDefault="00200989" w:rsidP="00030E15">
            <w:pPr>
              <w:spacing w:line="240" w:lineRule="auto"/>
              <w:rPr>
                <w:color w:val="auto"/>
              </w:rPr>
            </w:pPr>
            <w:r w:rsidRPr="002B1DC2">
              <w:rPr>
                <w:noProof/>
                <w:color w:val="auto"/>
              </w:rPr>
              <w:t>George Kelly</w:t>
            </w:r>
          </w:p>
        </w:tc>
        <w:tc>
          <w:tcPr>
            <w:tcW w:w="2340" w:type="dxa"/>
          </w:tcPr>
          <w:p w14:paraId="3A1CFF25" w14:textId="77777777" w:rsidR="00200989" w:rsidRPr="002B1DC2" w:rsidRDefault="00200989" w:rsidP="00030E15">
            <w:pPr>
              <w:spacing w:line="240" w:lineRule="auto"/>
              <w:rPr>
                <w:color w:val="auto"/>
              </w:rPr>
            </w:pPr>
            <w:r w:rsidRPr="002B1DC2">
              <w:rPr>
                <w:noProof/>
                <w:color w:val="auto"/>
              </w:rPr>
              <w:t>C-2021-3026842</w:t>
            </w:r>
          </w:p>
        </w:tc>
      </w:tr>
      <w:tr w:rsidR="00200989" w14:paraId="77037BA8" w14:textId="77777777" w:rsidTr="00030E15">
        <w:tc>
          <w:tcPr>
            <w:tcW w:w="7195" w:type="dxa"/>
          </w:tcPr>
          <w:p w14:paraId="746433FE" w14:textId="77777777" w:rsidR="00200989" w:rsidRPr="002B1DC2" w:rsidRDefault="00200989" w:rsidP="00030E15">
            <w:pPr>
              <w:spacing w:line="240" w:lineRule="auto"/>
              <w:rPr>
                <w:color w:val="auto"/>
              </w:rPr>
            </w:pPr>
            <w:r w:rsidRPr="002B1DC2">
              <w:rPr>
                <w:noProof/>
                <w:color w:val="auto"/>
              </w:rPr>
              <w:t>Maritza Rivera</w:t>
            </w:r>
          </w:p>
        </w:tc>
        <w:tc>
          <w:tcPr>
            <w:tcW w:w="2340" w:type="dxa"/>
          </w:tcPr>
          <w:p w14:paraId="432B8113" w14:textId="77777777" w:rsidR="00200989" w:rsidRPr="002B1DC2" w:rsidRDefault="00200989" w:rsidP="00030E15">
            <w:pPr>
              <w:spacing w:line="240" w:lineRule="auto"/>
              <w:rPr>
                <w:color w:val="auto"/>
              </w:rPr>
            </w:pPr>
            <w:r w:rsidRPr="002B1DC2">
              <w:rPr>
                <w:noProof/>
                <w:color w:val="auto"/>
              </w:rPr>
              <w:t>C-2021-3026843</w:t>
            </w:r>
          </w:p>
        </w:tc>
      </w:tr>
      <w:tr w:rsidR="00200989" w14:paraId="5F4743B6" w14:textId="77777777" w:rsidTr="00030E15">
        <w:tc>
          <w:tcPr>
            <w:tcW w:w="7195" w:type="dxa"/>
          </w:tcPr>
          <w:p w14:paraId="5BABE05A" w14:textId="77777777" w:rsidR="00200989" w:rsidRPr="002B1DC2" w:rsidRDefault="00200989" w:rsidP="00030E15">
            <w:pPr>
              <w:spacing w:line="240" w:lineRule="auto"/>
              <w:rPr>
                <w:color w:val="auto"/>
              </w:rPr>
            </w:pPr>
            <w:r w:rsidRPr="002B1DC2">
              <w:rPr>
                <w:noProof/>
                <w:color w:val="auto"/>
              </w:rPr>
              <w:t>Joseph Torregrossa</w:t>
            </w:r>
          </w:p>
        </w:tc>
        <w:tc>
          <w:tcPr>
            <w:tcW w:w="2340" w:type="dxa"/>
          </w:tcPr>
          <w:p w14:paraId="6BCAD481" w14:textId="77777777" w:rsidR="00200989" w:rsidRPr="002B1DC2" w:rsidRDefault="00200989" w:rsidP="00030E15">
            <w:pPr>
              <w:spacing w:line="240" w:lineRule="auto"/>
              <w:rPr>
                <w:color w:val="auto"/>
              </w:rPr>
            </w:pPr>
            <w:r w:rsidRPr="002B1DC2">
              <w:rPr>
                <w:noProof/>
                <w:color w:val="auto"/>
              </w:rPr>
              <w:t>C-2021-3026846</w:t>
            </w:r>
          </w:p>
        </w:tc>
      </w:tr>
      <w:tr w:rsidR="00200989" w14:paraId="55C1CAED" w14:textId="77777777" w:rsidTr="00030E15">
        <w:tc>
          <w:tcPr>
            <w:tcW w:w="7195" w:type="dxa"/>
          </w:tcPr>
          <w:p w14:paraId="4BFD77DB" w14:textId="77777777" w:rsidR="00200989" w:rsidRPr="002B1DC2" w:rsidRDefault="00200989" w:rsidP="00030E15">
            <w:pPr>
              <w:spacing w:line="240" w:lineRule="auto"/>
              <w:rPr>
                <w:color w:val="auto"/>
              </w:rPr>
            </w:pPr>
            <w:r w:rsidRPr="002B1DC2">
              <w:rPr>
                <w:noProof/>
                <w:color w:val="auto"/>
              </w:rPr>
              <w:t>Peter Mauro</w:t>
            </w:r>
          </w:p>
        </w:tc>
        <w:tc>
          <w:tcPr>
            <w:tcW w:w="2340" w:type="dxa"/>
          </w:tcPr>
          <w:p w14:paraId="55EBE51F" w14:textId="77777777" w:rsidR="00200989" w:rsidRPr="002B1DC2" w:rsidRDefault="00200989" w:rsidP="00030E15">
            <w:pPr>
              <w:spacing w:line="240" w:lineRule="auto"/>
              <w:rPr>
                <w:color w:val="auto"/>
              </w:rPr>
            </w:pPr>
            <w:r w:rsidRPr="002B1DC2">
              <w:rPr>
                <w:noProof/>
                <w:color w:val="auto"/>
              </w:rPr>
              <w:t>C-2021-3026847</w:t>
            </w:r>
          </w:p>
        </w:tc>
      </w:tr>
      <w:tr w:rsidR="00200989" w14:paraId="4EB024B3" w14:textId="77777777" w:rsidTr="00030E15">
        <w:tc>
          <w:tcPr>
            <w:tcW w:w="7195" w:type="dxa"/>
          </w:tcPr>
          <w:p w14:paraId="0692B8D3" w14:textId="77777777" w:rsidR="00200989" w:rsidRPr="002B1DC2" w:rsidRDefault="00200989" w:rsidP="00030E15">
            <w:pPr>
              <w:spacing w:line="240" w:lineRule="auto"/>
              <w:rPr>
                <w:color w:val="auto"/>
              </w:rPr>
            </w:pPr>
            <w:r w:rsidRPr="002B1DC2">
              <w:rPr>
                <w:noProof/>
                <w:color w:val="auto"/>
              </w:rPr>
              <w:t>Rene Bressant</w:t>
            </w:r>
          </w:p>
        </w:tc>
        <w:tc>
          <w:tcPr>
            <w:tcW w:w="2340" w:type="dxa"/>
          </w:tcPr>
          <w:p w14:paraId="45C91825" w14:textId="77777777" w:rsidR="00200989" w:rsidRPr="002B1DC2" w:rsidRDefault="00200989" w:rsidP="00030E15">
            <w:pPr>
              <w:spacing w:line="240" w:lineRule="auto"/>
              <w:rPr>
                <w:color w:val="auto"/>
              </w:rPr>
            </w:pPr>
            <w:r w:rsidRPr="002B1DC2">
              <w:rPr>
                <w:noProof/>
                <w:color w:val="auto"/>
              </w:rPr>
              <w:t>C-2021-3026849</w:t>
            </w:r>
          </w:p>
        </w:tc>
      </w:tr>
      <w:tr w:rsidR="00200989" w14:paraId="3F591215" w14:textId="77777777" w:rsidTr="00030E15">
        <w:tc>
          <w:tcPr>
            <w:tcW w:w="7195" w:type="dxa"/>
          </w:tcPr>
          <w:p w14:paraId="567CB806" w14:textId="77777777" w:rsidR="00200989" w:rsidRPr="002B1DC2" w:rsidRDefault="00200989" w:rsidP="00030E15">
            <w:pPr>
              <w:spacing w:line="240" w:lineRule="auto"/>
              <w:rPr>
                <w:color w:val="auto"/>
              </w:rPr>
            </w:pPr>
            <w:r w:rsidRPr="002B1DC2">
              <w:rPr>
                <w:noProof/>
                <w:color w:val="auto"/>
              </w:rPr>
              <w:t>Daniel McKoy</w:t>
            </w:r>
          </w:p>
        </w:tc>
        <w:tc>
          <w:tcPr>
            <w:tcW w:w="2340" w:type="dxa"/>
          </w:tcPr>
          <w:p w14:paraId="09ACA596" w14:textId="77777777" w:rsidR="00200989" w:rsidRPr="002B1DC2" w:rsidRDefault="00200989" w:rsidP="00030E15">
            <w:pPr>
              <w:spacing w:line="240" w:lineRule="auto"/>
              <w:rPr>
                <w:color w:val="auto"/>
              </w:rPr>
            </w:pPr>
            <w:r w:rsidRPr="002B1DC2">
              <w:rPr>
                <w:noProof/>
                <w:color w:val="auto"/>
              </w:rPr>
              <w:t>C-2021-3026853</w:t>
            </w:r>
          </w:p>
        </w:tc>
      </w:tr>
      <w:tr w:rsidR="00200989" w14:paraId="223EB392" w14:textId="77777777" w:rsidTr="00030E15">
        <w:tc>
          <w:tcPr>
            <w:tcW w:w="7195" w:type="dxa"/>
          </w:tcPr>
          <w:p w14:paraId="57177802" w14:textId="77777777" w:rsidR="00200989" w:rsidRPr="002B1DC2" w:rsidRDefault="00200989" w:rsidP="00030E15">
            <w:pPr>
              <w:spacing w:line="240" w:lineRule="auto"/>
              <w:rPr>
                <w:color w:val="auto"/>
              </w:rPr>
            </w:pPr>
            <w:r w:rsidRPr="002B1DC2">
              <w:rPr>
                <w:noProof/>
                <w:color w:val="auto"/>
              </w:rPr>
              <w:t>Thomas Hemeleski</w:t>
            </w:r>
          </w:p>
        </w:tc>
        <w:tc>
          <w:tcPr>
            <w:tcW w:w="2340" w:type="dxa"/>
          </w:tcPr>
          <w:p w14:paraId="3A63D066" w14:textId="77777777" w:rsidR="00200989" w:rsidRPr="002B1DC2" w:rsidRDefault="00200989" w:rsidP="00030E15">
            <w:pPr>
              <w:spacing w:line="240" w:lineRule="auto"/>
              <w:rPr>
                <w:color w:val="auto"/>
              </w:rPr>
            </w:pPr>
            <w:r w:rsidRPr="002B1DC2">
              <w:rPr>
                <w:noProof/>
                <w:color w:val="auto"/>
              </w:rPr>
              <w:t>C-2021-3026881</w:t>
            </w:r>
          </w:p>
        </w:tc>
      </w:tr>
      <w:tr w:rsidR="00200989" w14:paraId="499773E6" w14:textId="77777777" w:rsidTr="00030E15">
        <w:tc>
          <w:tcPr>
            <w:tcW w:w="7195" w:type="dxa"/>
          </w:tcPr>
          <w:p w14:paraId="5A7BABB3" w14:textId="77777777" w:rsidR="00200989" w:rsidRPr="002B1DC2" w:rsidRDefault="00200989" w:rsidP="00030E15">
            <w:pPr>
              <w:spacing w:line="240" w:lineRule="auto"/>
              <w:rPr>
                <w:color w:val="auto"/>
              </w:rPr>
            </w:pPr>
            <w:r w:rsidRPr="002B1DC2">
              <w:rPr>
                <w:noProof/>
                <w:color w:val="auto"/>
              </w:rPr>
              <w:t>Jean Souders</w:t>
            </w:r>
          </w:p>
        </w:tc>
        <w:tc>
          <w:tcPr>
            <w:tcW w:w="2340" w:type="dxa"/>
          </w:tcPr>
          <w:p w14:paraId="5576CCB1" w14:textId="77777777" w:rsidR="00200989" w:rsidRPr="002B1DC2" w:rsidRDefault="00200989" w:rsidP="00030E15">
            <w:pPr>
              <w:spacing w:line="240" w:lineRule="auto"/>
              <w:rPr>
                <w:color w:val="auto"/>
              </w:rPr>
            </w:pPr>
            <w:r w:rsidRPr="002B1DC2">
              <w:rPr>
                <w:noProof/>
                <w:color w:val="auto"/>
              </w:rPr>
              <w:t>C-2021-3026883</w:t>
            </w:r>
          </w:p>
        </w:tc>
      </w:tr>
      <w:tr w:rsidR="00200989" w14:paraId="36005200" w14:textId="77777777" w:rsidTr="00030E15">
        <w:tc>
          <w:tcPr>
            <w:tcW w:w="7195" w:type="dxa"/>
          </w:tcPr>
          <w:p w14:paraId="5610F2B5" w14:textId="77777777" w:rsidR="00200989" w:rsidRPr="002B1DC2" w:rsidRDefault="00200989" w:rsidP="00030E15">
            <w:pPr>
              <w:spacing w:line="240" w:lineRule="auto"/>
              <w:rPr>
                <w:noProof/>
                <w:color w:val="auto"/>
              </w:rPr>
            </w:pPr>
            <w:r w:rsidRPr="002B1DC2">
              <w:rPr>
                <w:noProof/>
                <w:color w:val="auto"/>
              </w:rPr>
              <w:t>Mario Carlino</w:t>
            </w:r>
          </w:p>
          <w:p w14:paraId="524610FA" w14:textId="36C4F246" w:rsidR="00443550" w:rsidRPr="002B1DC2" w:rsidRDefault="00443550" w:rsidP="00030E15">
            <w:pPr>
              <w:spacing w:line="240" w:lineRule="auto"/>
              <w:rPr>
                <w:color w:val="auto"/>
              </w:rPr>
            </w:pPr>
            <w:r w:rsidRPr="002B1DC2">
              <w:rPr>
                <w:color w:val="auto"/>
              </w:rPr>
              <w:t>Asment Benjamin</w:t>
            </w:r>
          </w:p>
        </w:tc>
        <w:tc>
          <w:tcPr>
            <w:tcW w:w="2340" w:type="dxa"/>
          </w:tcPr>
          <w:p w14:paraId="56322398" w14:textId="77777777" w:rsidR="00200989" w:rsidRPr="002B1DC2" w:rsidRDefault="00200989" w:rsidP="00030E15">
            <w:pPr>
              <w:spacing w:line="240" w:lineRule="auto"/>
              <w:rPr>
                <w:noProof/>
                <w:color w:val="auto"/>
              </w:rPr>
            </w:pPr>
            <w:r w:rsidRPr="002B1DC2">
              <w:rPr>
                <w:noProof/>
                <w:color w:val="auto"/>
              </w:rPr>
              <w:t>C-2021-3026886</w:t>
            </w:r>
          </w:p>
          <w:p w14:paraId="6506192A" w14:textId="39D36F6D" w:rsidR="002F2831" w:rsidRPr="002B1DC2" w:rsidRDefault="002F2831" w:rsidP="00030E15">
            <w:pPr>
              <w:spacing w:line="240" w:lineRule="auto"/>
              <w:rPr>
                <w:color w:val="auto"/>
              </w:rPr>
            </w:pPr>
            <w:r w:rsidRPr="002B1DC2">
              <w:rPr>
                <w:noProof/>
                <w:color w:val="auto"/>
              </w:rPr>
              <w:t>C-2021-3026888</w:t>
            </w:r>
          </w:p>
        </w:tc>
      </w:tr>
      <w:tr w:rsidR="00200989" w14:paraId="3C44D6C5" w14:textId="77777777" w:rsidTr="00030E15">
        <w:tc>
          <w:tcPr>
            <w:tcW w:w="7195" w:type="dxa"/>
          </w:tcPr>
          <w:p w14:paraId="310122F3" w14:textId="4E5FEABD" w:rsidR="00200989" w:rsidRPr="002B1DC2" w:rsidRDefault="00200989" w:rsidP="00030E15">
            <w:pPr>
              <w:spacing w:line="240" w:lineRule="auto"/>
              <w:rPr>
                <w:noProof/>
                <w:color w:val="auto"/>
              </w:rPr>
            </w:pPr>
            <w:r w:rsidRPr="002B1DC2">
              <w:rPr>
                <w:noProof/>
                <w:color w:val="auto"/>
              </w:rPr>
              <w:t>Charles Breitweiser</w:t>
            </w:r>
          </w:p>
          <w:p w14:paraId="50BD3624" w14:textId="49221761" w:rsidR="00FF7BFC" w:rsidRPr="002B1DC2" w:rsidRDefault="00B841DD" w:rsidP="00030E15">
            <w:pPr>
              <w:spacing w:line="240" w:lineRule="auto"/>
              <w:rPr>
                <w:noProof/>
                <w:color w:val="auto"/>
              </w:rPr>
            </w:pPr>
            <w:r w:rsidRPr="002B1DC2">
              <w:rPr>
                <w:noProof/>
                <w:color w:val="auto"/>
              </w:rPr>
              <w:t>Aldona Bastek</w:t>
            </w:r>
          </w:p>
          <w:p w14:paraId="45569980" w14:textId="3BBB57D1" w:rsidR="000D0B6A" w:rsidRPr="002B1DC2" w:rsidRDefault="000D0B6A" w:rsidP="00030E15">
            <w:pPr>
              <w:spacing w:line="240" w:lineRule="auto"/>
              <w:rPr>
                <w:color w:val="auto"/>
              </w:rPr>
            </w:pPr>
            <w:r w:rsidRPr="002B1DC2">
              <w:rPr>
                <w:color w:val="auto"/>
              </w:rPr>
              <w:t>Larisa Shin</w:t>
            </w:r>
          </w:p>
        </w:tc>
        <w:tc>
          <w:tcPr>
            <w:tcW w:w="2340" w:type="dxa"/>
          </w:tcPr>
          <w:p w14:paraId="05BD92F4" w14:textId="43CA1D28" w:rsidR="00200989" w:rsidRPr="002B1DC2" w:rsidRDefault="00200989" w:rsidP="00030E15">
            <w:pPr>
              <w:spacing w:line="240" w:lineRule="auto"/>
              <w:rPr>
                <w:noProof/>
                <w:color w:val="auto"/>
              </w:rPr>
            </w:pPr>
            <w:r w:rsidRPr="002B1DC2">
              <w:rPr>
                <w:noProof/>
                <w:color w:val="auto"/>
              </w:rPr>
              <w:t>C-2021-3026899</w:t>
            </w:r>
          </w:p>
          <w:p w14:paraId="3BCD4F17" w14:textId="475E5DD0" w:rsidR="00FF7BFC" w:rsidRPr="002B1DC2" w:rsidRDefault="00B841DD" w:rsidP="00030E15">
            <w:pPr>
              <w:spacing w:line="240" w:lineRule="auto"/>
              <w:rPr>
                <w:noProof/>
                <w:color w:val="auto"/>
              </w:rPr>
            </w:pPr>
            <w:r w:rsidRPr="002B1DC2">
              <w:rPr>
                <w:noProof/>
                <w:color w:val="auto"/>
              </w:rPr>
              <w:t>C-2021-</w:t>
            </w:r>
            <w:r w:rsidR="0030104C" w:rsidRPr="002B1DC2">
              <w:rPr>
                <w:noProof/>
                <w:color w:val="auto"/>
              </w:rPr>
              <w:t>3026901</w:t>
            </w:r>
          </w:p>
          <w:p w14:paraId="264B92A0" w14:textId="18D39AC7" w:rsidR="000D0B6A" w:rsidRPr="002B1DC2" w:rsidRDefault="000D0B6A" w:rsidP="00030E15">
            <w:pPr>
              <w:spacing w:line="240" w:lineRule="auto"/>
              <w:rPr>
                <w:color w:val="auto"/>
              </w:rPr>
            </w:pPr>
            <w:r w:rsidRPr="002B1DC2">
              <w:rPr>
                <w:color w:val="auto"/>
              </w:rPr>
              <w:t>C-2021-3026903</w:t>
            </w:r>
          </w:p>
        </w:tc>
      </w:tr>
      <w:tr w:rsidR="00200989" w14:paraId="1AE575F6" w14:textId="77777777" w:rsidTr="00030E15">
        <w:tc>
          <w:tcPr>
            <w:tcW w:w="7195" w:type="dxa"/>
          </w:tcPr>
          <w:p w14:paraId="37F02AD2" w14:textId="77777777" w:rsidR="00200989" w:rsidRPr="002B1DC2" w:rsidRDefault="00200989" w:rsidP="00030E15">
            <w:pPr>
              <w:spacing w:line="240" w:lineRule="auto"/>
              <w:rPr>
                <w:color w:val="auto"/>
              </w:rPr>
            </w:pPr>
            <w:r w:rsidRPr="002B1DC2">
              <w:rPr>
                <w:noProof/>
                <w:color w:val="auto"/>
              </w:rPr>
              <w:t>Francis &amp; Mayra Sullivan</w:t>
            </w:r>
          </w:p>
        </w:tc>
        <w:tc>
          <w:tcPr>
            <w:tcW w:w="2340" w:type="dxa"/>
          </w:tcPr>
          <w:p w14:paraId="13A7794F" w14:textId="77777777" w:rsidR="00200989" w:rsidRPr="002B1DC2" w:rsidRDefault="00200989" w:rsidP="00030E15">
            <w:pPr>
              <w:spacing w:line="240" w:lineRule="auto"/>
              <w:rPr>
                <w:color w:val="auto"/>
              </w:rPr>
            </w:pPr>
            <w:r w:rsidRPr="002B1DC2">
              <w:rPr>
                <w:noProof/>
                <w:color w:val="auto"/>
              </w:rPr>
              <w:t>C-2021-3026908</w:t>
            </w:r>
          </w:p>
        </w:tc>
      </w:tr>
      <w:tr w:rsidR="00200989" w14:paraId="007056B1" w14:textId="77777777" w:rsidTr="00030E15">
        <w:tc>
          <w:tcPr>
            <w:tcW w:w="7195" w:type="dxa"/>
          </w:tcPr>
          <w:p w14:paraId="6FEB22ED" w14:textId="77777777" w:rsidR="00200989" w:rsidRPr="002B1DC2" w:rsidRDefault="00200989" w:rsidP="00030E15">
            <w:pPr>
              <w:spacing w:line="240" w:lineRule="auto"/>
              <w:rPr>
                <w:color w:val="auto"/>
              </w:rPr>
            </w:pPr>
            <w:r w:rsidRPr="002B1DC2">
              <w:rPr>
                <w:noProof/>
                <w:color w:val="auto"/>
              </w:rPr>
              <w:t>David Shook</w:t>
            </w:r>
          </w:p>
        </w:tc>
        <w:tc>
          <w:tcPr>
            <w:tcW w:w="2340" w:type="dxa"/>
          </w:tcPr>
          <w:p w14:paraId="2AA7BFA8" w14:textId="77777777" w:rsidR="00200989" w:rsidRPr="002B1DC2" w:rsidRDefault="00200989" w:rsidP="00030E15">
            <w:pPr>
              <w:spacing w:line="240" w:lineRule="auto"/>
              <w:rPr>
                <w:color w:val="auto"/>
              </w:rPr>
            </w:pPr>
            <w:r w:rsidRPr="002B1DC2">
              <w:rPr>
                <w:noProof/>
                <w:color w:val="auto"/>
              </w:rPr>
              <w:t>C-2021-3026911</w:t>
            </w:r>
          </w:p>
        </w:tc>
      </w:tr>
      <w:tr w:rsidR="00200989" w14:paraId="2C21F6EA" w14:textId="77777777" w:rsidTr="00030E15">
        <w:tc>
          <w:tcPr>
            <w:tcW w:w="7195" w:type="dxa"/>
          </w:tcPr>
          <w:p w14:paraId="2AF9A440" w14:textId="77777777" w:rsidR="00200989" w:rsidRPr="002B1DC2" w:rsidRDefault="00200989" w:rsidP="00030E15">
            <w:pPr>
              <w:spacing w:line="240" w:lineRule="auto"/>
              <w:rPr>
                <w:color w:val="auto"/>
              </w:rPr>
            </w:pPr>
            <w:r w:rsidRPr="002B1DC2">
              <w:rPr>
                <w:noProof/>
                <w:color w:val="auto"/>
              </w:rPr>
              <w:t>Wesley &amp; Mildred Mann</w:t>
            </w:r>
          </w:p>
        </w:tc>
        <w:tc>
          <w:tcPr>
            <w:tcW w:w="2340" w:type="dxa"/>
          </w:tcPr>
          <w:p w14:paraId="461EF175" w14:textId="77777777" w:rsidR="00200989" w:rsidRPr="002B1DC2" w:rsidRDefault="00200989" w:rsidP="00030E15">
            <w:pPr>
              <w:spacing w:line="240" w:lineRule="auto"/>
              <w:rPr>
                <w:color w:val="auto"/>
              </w:rPr>
            </w:pPr>
            <w:r w:rsidRPr="002B1DC2">
              <w:rPr>
                <w:noProof/>
                <w:color w:val="auto"/>
              </w:rPr>
              <w:t>C-2021-3026913</w:t>
            </w:r>
          </w:p>
        </w:tc>
      </w:tr>
      <w:tr w:rsidR="00200989" w14:paraId="68774CCC" w14:textId="77777777" w:rsidTr="00030E15">
        <w:tc>
          <w:tcPr>
            <w:tcW w:w="7195" w:type="dxa"/>
          </w:tcPr>
          <w:p w14:paraId="50F14768" w14:textId="77777777" w:rsidR="00200989" w:rsidRPr="002B1DC2" w:rsidRDefault="00200989" w:rsidP="00030E15">
            <w:pPr>
              <w:spacing w:line="240" w:lineRule="auto"/>
              <w:rPr>
                <w:noProof/>
                <w:color w:val="auto"/>
              </w:rPr>
            </w:pPr>
            <w:r w:rsidRPr="002B1DC2">
              <w:rPr>
                <w:noProof/>
                <w:color w:val="auto"/>
              </w:rPr>
              <w:t>Romulo Babaan</w:t>
            </w:r>
          </w:p>
          <w:p w14:paraId="2E0A2795" w14:textId="1B305232" w:rsidR="00594E57" w:rsidRPr="002B1DC2" w:rsidRDefault="00594E57" w:rsidP="00030E15">
            <w:pPr>
              <w:spacing w:line="240" w:lineRule="auto"/>
              <w:rPr>
                <w:color w:val="auto"/>
              </w:rPr>
            </w:pPr>
            <w:r w:rsidRPr="002B1DC2">
              <w:rPr>
                <w:color w:val="auto"/>
              </w:rPr>
              <w:t xml:space="preserve">Walker </w:t>
            </w:r>
            <w:r w:rsidR="00402F1D" w:rsidRPr="002B1DC2">
              <w:rPr>
                <w:color w:val="auto"/>
              </w:rPr>
              <w:t>Cambrelen</w:t>
            </w:r>
          </w:p>
        </w:tc>
        <w:tc>
          <w:tcPr>
            <w:tcW w:w="2340" w:type="dxa"/>
          </w:tcPr>
          <w:p w14:paraId="7CAB71E0" w14:textId="77777777" w:rsidR="00200989" w:rsidRPr="002B1DC2" w:rsidRDefault="00200989" w:rsidP="00030E15">
            <w:pPr>
              <w:spacing w:line="240" w:lineRule="auto"/>
              <w:rPr>
                <w:noProof/>
                <w:color w:val="auto"/>
              </w:rPr>
            </w:pPr>
            <w:r w:rsidRPr="002B1DC2">
              <w:rPr>
                <w:noProof/>
                <w:color w:val="auto"/>
              </w:rPr>
              <w:t>C-2021-3026915</w:t>
            </w:r>
          </w:p>
          <w:p w14:paraId="569D37EC" w14:textId="1CE04FD7" w:rsidR="00594E57" w:rsidRPr="002B1DC2" w:rsidRDefault="00402F1D" w:rsidP="00030E15">
            <w:pPr>
              <w:spacing w:line="240" w:lineRule="auto"/>
              <w:rPr>
                <w:color w:val="auto"/>
              </w:rPr>
            </w:pPr>
            <w:r w:rsidRPr="002B1DC2">
              <w:rPr>
                <w:color w:val="auto"/>
              </w:rPr>
              <w:t>C-2021-3026920</w:t>
            </w:r>
          </w:p>
        </w:tc>
      </w:tr>
      <w:tr w:rsidR="00200989" w14:paraId="1582B771" w14:textId="77777777" w:rsidTr="00030E15">
        <w:tc>
          <w:tcPr>
            <w:tcW w:w="7195" w:type="dxa"/>
          </w:tcPr>
          <w:p w14:paraId="43CA15CF" w14:textId="77777777" w:rsidR="00200989" w:rsidRPr="002B1DC2" w:rsidRDefault="00200989" w:rsidP="00030E15">
            <w:pPr>
              <w:spacing w:line="240" w:lineRule="auto"/>
              <w:rPr>
                <w:color w:val="auto"/>
              </w:rPr>
            </w:pPr>
            <w:r w:rsidRPr="002B1DC2">
              <w:rPr>
                <w:noProof/>
                <w:color w:val="auto"/>
              </w:rPr>
              <w:t>Catherine Gilchrist</w:t>
            </w:r>
          </w:p>
        </w:tc>
        <w:tc>
          <w:tcPr>
            <w:tcW w:w="2340" w:type="dxa"/>
          </w:tcPr>
          <w:p w14:paraId="3AB38F06" w14:textId="77777777" w:rsidR="00200989" w:rsidRPr="002B1DC2" w:rsidRDefault="00200989" w:rsidP="00030E15">
            <w:pPr>
              <w:spacing w:line="240" w:lineRule="auto"/>
              <w:rPr>
                <w:color w:val="auto"/>
              </w:rPr>
            </w:pPr>
            <w:r w:rsidRPr="002B1DC2">
              <w:rPr>
                <w:noProof/>
                <w:color w:val="auto"/>
              </w:rPr>
              <w:t>C-2021-3026923</w:t>
            </w:r>
          </w:p>
        </w:tc>
      </w:tr>
      <w:tr w:rsidR="00200989" w14:paraId="694C1EA9" w14:textId="77777777" w:rsidTr="00030E15">
        <w:tc>
          <w:tcPr>
            <w:tcW w:w="7195" w:type="dxa"/>
          </w:tcPr>
          <w:p w14:paraId="52C430DB" w14:textId="77777777" w:rsidR="00200989" w:rsidRPr="002B1DC2" w:rsidRDefault="00200989" w:rsidP="00030E15">
            <w:pPr>
              <w:spacing w:line="240" w:lineRule="auto"/>
              <w:rPr>
                <w:color w:val="auto"/>
              </w:rPr>
            </w:pPr>
            <w:r w:rsidRPr="002B1DC2">
              <w:rPr>
                <w:noProof/>
                <w:color w:val="auto"/>
              </w:rPr>
              <w:t>Gwendolyn Beckford Wilson &amp; Mark Lillery</w:t>
            </w:r>
          </w:p>
        </w:tc>
        <w:tc>
          <w:tcPr>
            <w:tcW w:w="2340" w:type="dxa"/>
          </w:tcPr>
          <w:p w14:paraId="4B933459" w14:textId="77777777" w:rsidR="00200989" w:rsidRPr="002B1DC2" w:rsidRDefault="00200989" w:rsidP="00030E15">
            <w:pPr>
              <w:spacing w:line="240" w:lineRule="auto"/>
              <w:rPr>
                <w:color w:val="auto"/>
              </w:rPr>
            </w:pPr>
            <w:r w:rsidRPr="002B1DC2">
              <w:rPr>
                <w:noProof/>
                <w:color w:val="auto"/>
              </w:rPr>
              <w:t>C-2021-3026925</w:t>
            </w:r>
          </w:p>
        </w:tc>
      </w:tr>
      <w:tr w:rsidR="00200989" w14:paraId="526BDCD9" w14:textId="77777777" w:rsidTr="00030E15">
        <w:tc>
          <w:tcPr>
            <w:tcW w:w="7195" w:type="dxa"/>
          </w:tcPr>
          <w:p w14:paraId="5553EEEF" w14:textId="77777777" w:rsidR="00200989" w:rsidRPr="002B1DC2" w:rsidRDefault="00200989" w:rsidP="00030E15">
            <w:pPr>
              <w:spacing w:line="240" w:lineRule="auto"/>
              <w:rPr>
                <w:noProof/>
                <w:color w:val="auto"/>
              </w:rPr>
            </w:pPr>
            <w:r w:rsidRPr="002B1DC2">
              <w:rPr>
                <w:noProof/>
                <w:color w:val="auto"/>
              </w:rPr>
              <w:t>Sheila Hunt</w:t>
            </w:r>
          </w:p>
          <w:p w14:paraId="28411B8D" w14:textId="3A1A9CA3" w:rsidR="003A517F" w:rsidRPr="002B1DC2" w:rsidRDefault="003A517F" w:rsidP="00030E15">
            <w:pPr>
              <w:spacing w:line="240" w:lineRule="auto"/>
              <w:rPr>
                <w:color w:val="auto"/>
              </w:rPr>
            </w:pPr>
            <w:r w:rsidRPr="002B1DC2">
              <w:rPr>
                <w:color w:val="auto"/>
              </w:rPr>
              <w:t>Daniel &amp; Suzie Napolitano</w:t>
            </w:r>
          </w:p>
        </w:tc>
        <w:tc>
          <w:tcPr>
            <w:tcW w:w="2340" w:type="dxa"/>
          </w:tcPr>
          <w:p w14:paraId="404AECCE" w14:textId="77777777" w:rsidR="00200989" w:rsidRPr="002B1DC2" w:rsidRDefault="00200989" w:rsidP="00030E15">
            <w:pPr>
              <w:spacing w:line="240" w:lineRule="auto"/>
              <w:rPr>
                <w:noProof/>
                <w:color w:val="auto"/>
              </w:rPr>
            </w:pPr>
            <w:r w:rsidRPr="002B1DC2">
              <w:rPr>
                <w:noProof/>
                <w:color w:val="auto"/>
              </w:rPr>
              <w:t>C-2021-3026930</w:t>
            </w:r>
          </w:p>
          <w:p w14:paraId="64CAC81D" w14:textId="769D6D7C" w:rsidR="003A517F" w:rsidRPr="002B1DC2" w:rsidRDefault="003A517F" w:rsidP="00030E15">
            <w:pPr>
              <w:spacing w:line="240" w:lineRule="auto"/>
              <w:rPr>
                <w:color w:val="auto"/>
              </w:rPr>
            </w:pPr>
            <w:r w:rsidRPr="002B1DC2">
              <w:rPr>
                <w:color w:val="auto"/>
              </w:rPr>
              <w:t>C-2021-3026932</w:t>
            </w:r>
          </w:p>
        </w:tc>
      </w:tr>
      <w:tr w:rsidR="00200989" w14:paraId="1ED9D62B" w14:textId="77777777" w:rsidTr="00030E15">
        <w:tc>
          <w:tcPr>
            <w:tcW w:w="7195" w:type="dxa"/>
          </w:tcPr>
          <w:p w14:paraId="0F044248" w14:textId="77777777" w:rsidR="00200989" w:rsidRPr="002B1DC2" w:rsidRDefault="00200989" w:rsidP="00030E15">
            <w:pPr>
              <w:spacing w:line="240" w:lineRule="auto"/>
              <w:rPr>
                <w:color w:val="auto"/>
              </w:rPr>
            </w:pPr>
            <w:r w:rsidRPr="002B1DC2">
              <w:rPr>
                <w:noProof/>
                <w:color w:val="auto"/>
              </w:rPr>
              <w:t>Troy Coleman</w:t>
            </w:r>
          </w:p>
        </w:tc>
        <w:tc>
          <w:tcPr>
            <w:tcW w:w="2340" w:type="dxa"/>
          </w:tcPr>
          <w:p w14:paraId="316F88A4" w14:textId="77777777" w:rsidR="00200989" w:rsidRPr="002B1DC2" w:rsidRDefault="00200989" w:rsidP="00030E15">
            <w:pPr>
              <w:spacing w:line="240" w:lineRule="auto"/>
              <w:rPr>
                <w:color w:val="auto"/>
              </w:rPr>
            </w:pPr>
            <w:r w:rsidRPr="002B1DC2">
              <w:rPr>
                <w:noProof/>
                <w:color w:val="auto"/>
              </w:rPr>
              <w:t>C-2021-3026937</w:t>
            </w:r>
          </w:p>
        </w:tc>
      </w:tr>
      <w:tr w:rsidR="00200989" w14:paraId="2B5620B8" w14:textId="77777777" w:rsidTr="00030E15">
        <w:tc>
          <w:tcPr>
            <w:tcW w:w="7195" w:type="dxa"/>
          </w:tcPr>
          <w:p w14:paraId="25F9FA40" w14:textId="77777777" w:rsidR="00200989" w:rsidRPr="002B1DC2" w:rsidRDefault="00200989" w:rsidP="00030E15">
            <w:pPr>
              <w:spacing w:line="240" w:lineRule="auto"/>
              <w:rPr>
                <w:color w:val="auto"/>
              </w:rPr>
            </w:pPr>
            <w:r w:rsidRPr="002B1DC2">
              <w:rPr>
                <w:noProof/>
                <w:color w:val="auto"/>
              </w:rPr>
              <w:t>Moshe Mitchel</w:t>
            </w:r>
          </w:p>
        </w:tc>
        <w:tc>
          <w:tcPr>
            <w:tcW w:w="2340" w:type="dxa"/>
          </w:tcPr>
          <w:p w14:paraId="02023FCC" w14:textId="77777777" w:rsidR="00200989" w:rsidRPr="002B1DC2" w:rsidRDefault="00200989" w:rsidP="00030E15">
            <w:pPr>
              <w:spacing w:line="240" w:lineRule="auto"/>
              <w:rPr>
                <w:color w:val="auto"/>
              </w:rPr>
            </w:pPr>
            <w:r w:rsidRPr="002B1DC2">
              <w:rPr>
                <w:noProof/>
                <w:color w:val="auto"/>
              </w:rPr>
              <w:t>C-2021-3026943</w:t>
            </w:r>
          </w:p>
        </w:tc>
      </w:tr>
      <w:tr w:rsidR="00FF03E0" w:rsidRPr="00FF03E0" w14:paraId="2358C98A" w14:textId="77777777" w:rsidTr="00030E15">
        <w:tc>
          <w:tcPr>
            <w:tcW w:w="7195" w:type="dxa"/>
          </w:tcPr>
          <w:p w14:paraId="223201BF" w14:textId="77777777" w:rsidR="00200989" w:rsidRPr="002B1DC2" w:rsidRDefault="00200989" w:rsidP="00030E15">
            <w:pPr>
              <w:spacing w:line="240" w:lineRule="auto"/>
              <w:rPr>
                <w:color w:val="auto"/>
              </w:rPr>
            </w:pPr>
            <w:r w:rsidRPr="002B1DC2">
              <w:rPr>
                <w:noProof/>
                <w:color w:val="auto"/>
              </w:rPr>
              <w:t>Ivan &amp; Theresa Ayala</w:t>
            </w:r>
          </w:p>
        </w:tc>
        <w:tc>
          <w:tcPr>
            <w:tcW w:w="2340" w:type="dxa"/>
          </w:tcPr>
          <w:p w14:paraId="7379D121" w14:textId="77777777" w:rsidR="00200989" w:rsidRPr="002B1DC2" w:rsidRDefault="00200989" w:rsidP="00030E15">
            <w:pPr>
              <w:spacing w:line="240" w:lineRule="auto"/>
              <w:rPr>
                <w:color w:val="auto"/>
              </w:rPr>
            </w:pPr>
            <w:r w:rsidRPr="002B1DC2">
              <w:rPr>
                <w:noProof/>
                <w:color w:val="auto"/>
              </w:rPr>
              <w:t>C-2021-3026945</w:t>
            </w:r>
          </w:p>
        </w:tc>
      </w:tr>
      <w:tr w:rsidR="00200989" w14:paraId="5A1128BD" w14:textId="77777777" w:rsidTr="00030E15">
        <w:tc>
          <w:tcPr>
            <w:tcW w:w="7195" w:type="dxa"/>
          </w:tcPr>
          <w:p w14:paraId="20387200" w14:textId="77777777" w:rsidR="00200989" w:rsidRPr="002B1DC2" w:rsidRDefault="00200989" w:rsidP="00030E15">
            <w:pPr>
              <w:spacing w:line="240" w:lineRule="auto"/>
              <w:rPr>
                <w:color w:val="auto"/>
              </w:rPr>
            </w:pPr>
            <w:r w:rsidRPr="002B1DC2">
              <w:rPr>
                <w:noProof/>
                <w:color w:val="auto"/>
              </w:rPr>
              <w:t>Michael Kotowski</w:t>
            </w:r>
          </w:p>
        </w:tc>
        <w:tc>
          <w:tcPr>
            <w:tcW w:w="2340" w:type="dxa"/>
          </w:tcPr>
          <w:p w14:paraId="307A2CB0" w14:textId="77777777" w:rsidR="00200989" w:rsidRPr="002B1DC2" w:rsidRDefault="00200989" w:rsidP="00030E15">
            <w:pPr>
              <w:spacing w:line="240" w:lineRule="auto"/>
              <w:rPr>
                <w:color w:val="auto"/>
              </w:rPr>
            </w:pPr>
            <w:r w:rsidRPr="002B1DC2">
              <w:rPr>
                <w:noProof/>
                <w:color w:val="auto"/>
              </w:rPr>
              <w:t>C-2021-3026948</w:t>
            </w:r>
          </w:p>
        </w:tc>
      </w:tr>
      <w:tr w:rsidR="00200989" w14:paraId="73AD3D34" w14:textId="77777777" w:rsidTr="00030E15">
        <w:tc>
          <w:tcPr>
            <w:tcW w:w="7195" w:type="dxa"/>
          </w:tcPr>
          <w:p w14:paraId="5F54BB77" w14:textId="77777777" w:rsidR="00200989" w:rsidRPr="002B1DC2" w:rsidRDefault="00200989" w:rsidP="00030E15">
            <w:pPr>
              <w:spacing w:line="240" w:lineRule="auto"/>
              <w:rPr>
                <w:color w:val="auto"/>
              </w:rPr>
            </w:pPr>
            <w:r w:rsidRPr="002B1DC2">
              <w:rPr>
                <w:noProof/>
                <w:color w:val="auto"/>
              </w:rPr>
              <w:lastRenderedPageBreak/>
              <w:t>Janine Brown</w:t>
            </w:r>
          </w:p>
        </w:tc>
        <w:tc>
          <w:tcPr>
            <w:tcW w:w="2340" w:type="dxa"/>
          </w:tcPr>
          <w:p w14:paraId="50A8B825" w14:textId="77777777" w:rsidR="00200989" w:rsidRPr="002B1DC2" w:rsidRDefault="00200989" w:rsidP="00030E15">
            <w:pPr>
              <w:spacing w:line="240" w:lineRule="auto"/>
              <w:rPr>
                <w:color w:val="auto"/>
              </w:rPr>
            </w:pPr>
            <w:r w:rsidRPr="002B1DC2">
              <w:rPr>
                <w:noProof/>
                <w:color w:val="auto"/>
              </w:rPr>
              <w:t>C-2021-3026949</w:t>
            </w:r>
          </w:p>
        </w:tc>
      </w:tr>
      <w:tr w:rsidR="00200989" w14:paraId="4F7E3DAC" w14:textId="77777777" w:rsidTr="00030E15">
        <w:tc>
          <w:tcPr>
            <w:tcW w:w="7195" w:type="dxa"/>
          </w:tcPr>
          <w:p w14:paraId="5811E4F5" w14:textId="77777777" w:rsidR="00200989" w:rsidRPr="002B1DC2" w:rsidRDefault="00200989" w:rsidP="00030E15">
            <w:pPr>
              <w:spacing w:line="240" w:lineRule="auto"/>
              <w:rPr>
                <w:color w:val="auto"/>
              </w:rPr>
            </w:pPr>
            <w:r w:rsidRPr="002B1DC2">
              <w:rPr>
                <w:noProof/>
                <w:color w:val="auto"/>
              </w:rPr>
              <w:t>Henry Kotowski</w:t>
            </w:r>
          </w:p>
        </w:tc>
        <w:tc>
          <w:tcPr>
            <w:tcW w:w="2340" w:type="dxa"/>
          </w:tcPr>
          <w:p w14:paraId="41896897" w14:textId="77777777" w:rsidR="00200989" w:rsidRPr="002B1DC2" w:rsidRDefault="00200989" w:rsidP="00030E15">
            <w:pPr>
              <w:spacing w:line="240" w:lineRule="auto"/>
              <w:rPr>
                <w:color w:val="auto"/>
              </w:rPr>
            </w:pPr>
            <w:r w:rsidRPr="002B1DC2">
              <w:rPr>
                <w:noProof/>
                <w:color w:val="auto"/>
              </w:rPr>
              <w:t>C-2021-3026950</w:t>
            </w:r>
          </w:p>
        </w:tc>
      </w:tr>
      <w:tr w:rsidR="00200989" w14:paraId="7B7C9B7D" w14:textId="77777777" w:rsidTr="00030E15">
        <w:tc>
          <w:tcPr>
            <w:tcW w:w="7195" w:type="dxa"/>
          </w:tcPr>
          <w:p w14:paraId="3910E100" w14:textId="77777777" w:rsidR="00200989" w:rsidRPr="002B1DC2" w:rsidRDefault="00200989" w:rsidP="00030E15">
            <w:pPr>
              <w:spacing w:line="240" w:lineRule="auto"/>
              <w:rPr>
                <w:color w:val="auto"/>
              </w:rPr>
            </w:pPr>
            <w:r w:rsidRPr="002B1DC2">
              <w:rPr>
                <w:noProof/>
                <w:color w:val="auto"/>
              </w:rPr>
              <w:t>Richard Rice</w:t>
            </w:r>
          </w:p>
        </w:tc>
        <w:tc>
          <w:tcPr>
            <w:tcW w:w="2340" w:type="dxa"/>
          </w:tcPr>
          <w:p w14:paraId="57949DF5" w14:textId="77777777" w:rsidR="00200989" w:rsidRPr="002B1DC2" w:rsidRDefault="00200989" w:rsidP="00030E15">
            <w:pPr>
              <w:spacing w:line="240" w:lineRule="auto"/>
              <w:rPr>
                <w:color w:val="auto"/>
              </w:rPr>
            </w:pPr>
            <w:r w:rsidRPr="002B1DC2">
              <w:rPr>
                <w:noProof/>
                <w:color w:val="auto"/>
              </w:rPr>
              <w:t>C-2021-3026952</w:t>
            </w:r>
          </w:p>
        </w:tc>
      </w:tr>
      <w:tr w:rsidR="00200989" w14:paraId="4D63E15B" w14:textId="77777777" w:rsidTr="00030E15">
        <w:tc>
          <w:tcPr>
            <w:tcW w:w="7195" w:type="dxa"/>
          </w:tcPr>
          <w:p w14:paraId="0682DB7A" w14:textId="77777777" w:rsidR="00200989" w:rsidRPr="002B1DC2" w:rsidRDefault="00200989" w:rsidP="00030E15">
            <w:pPr>
              <w:spacing w:line="240" w:lineRule="auto"/>
              <w:rPr>
                <w:noProof/>
                <w:color w:val="auto"/>
              </w:rPr>
            </w:pPr>
            <w:r w:rsidRPr="002B1DC2">
              <w:rPr>
                <w:noProof/>
                <w:color w:val="auto"/>
              </w:rPr>
              <w:t>Thomas &amp; Patricia Parillo</w:t>
            </w:r>
          </w:p>
          <w:p w14:paraId="7666024B" w14:textId="4CE89212" w:rsidR="00026957" w:rsidRPr="002B1DC2" w:rsidRDefault="00026957" w:rsidP="00030E15">
            <w:pPr>
              <w:spacing w:line="240" w:lineRule="auto"/>
              <w:rPr>
                <w:color w:val="auto"/>
              </w:rPr>
            </w:pPr>
            <w:r w:rsidRPr="002B1DC2">
              <w:rPr>
                <w:color w:val="auto"/>
              </w:rPr>
              <w:t>Ovidio &amp; Aixo Martinez</w:t>
            </w:r>
          </w:p>
        </w:tc>
        <w:tc>
          <w:tcPr>
            <w:tcW w:w="2340" w:type="dxa"/>
          </w:tcPr>
          <w:p w14:paraId="0B13225F" w14:textId="77777777" w:rsidR="00200989" w:rsidRPr="002B1DC2" w:rsidRDefault="00200989" w:rsidP="00030E15">
            <w:pPr>
              <w:spacing w:line="240" w:lineRule="auto"/>
              <w:rPr>
                <w:noProof/>
                <w:color w:val="auto"/>
              </w:rPr>
            </w:pPr>
            <w:r w:rsidRPr="002B1DC2">
              <w:rPr>
                <w:noProof/>
                <w:color w:val="auto"/>
              </w:rPr>
              <w:t>C-2021-3026955</w:t>
            </w:r>
          </w:p>
          <w:p w14:paraId="4272E910" w14:textId="6F9C789B" w:rsidR="004F11B6" w:rsidRPr="002B1DC2" w:rsidRDefault="004F11B6" w:rsidP="00030E15">
            <w:pPr>
              <w:spacing w:line="240" w:lineRule="auto"/>
              <w:rPr>
                <w:color w:val="auto"/>
              </w:rPr>
            </w:pPr>
            <w:r w:rsidRPr="002B1DC2">
              <w:rPr>
                <w:color w:val="auto"/>
              </w:rPr>
              <w:t>C-2021-3026</w:t>
            </w:r>
            <w:r w:rsidR="00026957" w:rsidRPr="002B1DC2">
              <w:rPr>
                <w:color w:val="auto"/>
              </w:rPr>
              <w:t>957</w:t>
            </w:r>
          </w:p>
        </w:tc>
      </w:tr>
      <w:tr w:rsidR="00200989" w14:paraId="1C4A61F1" w14:textId="77777777" w:rsidTr="00030E15">
        <w:tc>
          <w:tcPr>
            <w:tcW w:w="7195" w:type="dxa"/>
          </w:tcPr>
          <w:p w14:paraId="0BC93209" w14:textId="77777777" w:rsidR="00200989" w:rsidRPr="002B1DC2" w:rsidRDefault="00200989" w:rsidP="00030E15">
            <w:pPr>
              <w:spacing w:line="240" w:lineRule="auto"/>
              <w:rPr>
                <w:color w:val="auto"/>
              </w:rPr>
            </w:pPr>
            <w:r w:rsidRPr="002B1DC2">
              <w:rPr>
                <w:noProof/>
                <w:color w:val="auto"/>
              </w:rPr>
              <w:t>Grace Moro</w:t>
            </w:r>
          </w:p>
        </w:tc>
        <w:tc>
          <w:tcPr>
            <w:tcW w:w="2340" w:type="dxa"/>
          </w:tcPr>
          <w:p w14:paraId="40912BCE" w14:textId="77777777" w:rsidR="00200989" w:rsidRPr="002B1DC2" w:rsidRDefault="00200989" w:rsidP="00030E15">
            <w:pPr>
              <w:spacing w:line="240" w:lineRule="auto"/>
              <w:rPr>
                <w:color w:val="auto"/>
              </w:rPr>
            </w:pPr>
            <w:r w:rsidRPr="002B1DC2">
              <w:rPr>
                <w:noProof/>
                <w:color w:val="auto"/>
              </w:rPr>
              <w:t>C-2021-3026966</w:t>
            </w:r>
          </w:p>
        </w:tc>
      </w:tr>
      <w:tr w:rsidR="00200989" w14:paraId="1B8E05E9" w14:textId="77777777" w:rsidTr="00030E15">
        <w:tc>
          <w:tcPr>
            <w:tcW w:w="7195" w:type="dxa"/>
          </w:tcPr>
          <w:p w14:paraId="6C9C27CD" w14:textId="77777777" w:rsidR="00200989" w:rsidRPr="002B1DC2" w:rsidRDefault="00200989" w:rsidP="00030E15">
            <w:pPr>
              <w:spacing w:line="240" w:lineRule="auto"/>
              <w:rPr>
                <w:color w:val="auto"/>
              </w:rPr>
            </w:pPr>
            <w:r w:rsidRPr="002B1DC2">
              <w:rPr>
                <w:noProof/>
                <w:color w:val="auto"/>
              </w:rPr>
              <w:t>Connie Friedfel</w:t>
            </w:r>
          </w:p>
        </w:tc>
        <w:tc>
          <w:tcPr>
            <w:tcW w:w="2340" w:type="dxa"/>
          </w:tcPr>
          <w:p w14:paraId="3DAFC7BA" w14:textId="77777777" w:rsidR="00200989" w:rsidRPr="002B1DC2" w:rsidRDefault="00200989" w:rsidP="00030E15">
            <w:pPr>
              <w:spacing w:line="240" w:lineRule="auto"/>
              <w:rPr>
                <w:color w:val="auto"/>
              </w:rPr>
            </w:pPr>
            <w:r w:rsidRPr="002B1DC2">
              <w:rPr>
                <w:noProof/>
                <w:color w:val="auto"/>
              </w:rPr>
              <w:t>C-2021-3026968</w:t>
            </w:r>
          </w:p>
        </w:tc>
      </w:tr>
      <w:tr w:rsidR="00200989" w14:paraId="23E69DB5" w14:textId="77777777" w:rsidTr="00030E15">
        <w:tc>
          <w:tcPr>
            <w:tcW w:w="7195" w:type="dxa"/>
          </w:tcPr>
          <w:p w14:paraId="32857F3B" w14:textId="77777777" w:rsidR="00200989" w:rsidRPr="002B1DC2" w:rsidRDefault="00200989" w:rsidP="00030E15">
            <w:pPr>
              <w:spacing w:line="240" w:lineRule="auto"/>
              <w:rPr>
                <w:color w:val="auto"/>
              </w:rPr>
            </w:pPr>
            <w:r w:rsidRPr="002B1DC2">
              <w:rPr>
                <w:noProof/>
                <w:color w:val="auto"/>
              </w:rPr>
              <w:t>Amos &amp; Kathelen Lawson</w:t>
            </w:r>
          </w:p>
        </w:tc>
        <w:tc>
          <w:tcPr>
            <w:tcW w:w="2340" w:type="dxa"/>
          </w:tcPr>
          <w:p w14:paraId="466ECE21" w14:textId="77777777" w:rsidR="00200989" w:rsidRPr="002B1DC2" w:rsidRDefault="00200989" w:rsidP="00030E15">
            <w:pPr>
              <w:spacing w:line="240" w:lineRule="auto"/>
              <w:rPr>
                <w:color w:val="auto"/>
              </w:rPr>
            </w:pPr>
            <w:r w:rsidRPr="002B1DC2">
              <w:rPr>
                <w:noProof/>
                <w:color w:val="auto"/>
              </w:rPr>
              <w:t>C-2021-3026971</w:t>
            </w:r>
          </w:p>
        </w:tc>
      </w:tr>
      <w:tr w:rsidR="00200989" w14:paraId="5472C996" w14:textId="77777777" w:rsidTr="00030E15">
        <w:tc>
          <w:tcPr>
            <w:tcW w:w="7195" w:type="dxa"/>
          </w:tcPr>
          <w:p w14:paraId="613CFACC" w14:textId="77777777" w:rsidR="00200989" w:rsidRPr="002B1DC2" w:rsidRDefault="00200989" w:rsidP="00030E15">
            <w:pPr>
              <w:spacing w:line="240" w:lineRule="auto"/>
              <w:rPr>
                <w:color w:val="auto"/>
              </w:rPr>
            </w:pPr>
            <w:r w:rsidRPr="002B1DC2">
              <w:rPr>
                <w:noProof/>
                <w:color w:val="auto"/>
              </w:rPr>
              <w:t>Dorothy &amp; Feisal Khan</w:t>
            </w:r>
          </w:p>
        </w:tc>
        <w:tc>
          <w:tcPr>
            <w:tcW w:w="2340" w:type="dxa"/>
          </w:tcPr>
          <w:p w14:paraId="7B6E6056" w14:textId="77777777" w:rsidR="00200989" w:rsidRPr="002B1DC2" w:rsidRDefault="00200989" w:rsidP="00030E15">
            <w:pPr>
              <w:spacing w:line="240" w:lineRule="auto"/>
              <w:rPr>
                <w:color w:val="auto"/>
              </w:rPr>
            </w:pPr>
            <w:r w:rsidRPr="002B1DC2">
              <w:rPr>
                <w:noProof/>
                <w:color w:val="auto"/>
              </w:rPr>
              <w:t>C-2021-3026973</w:t>
            </w:r>
          </w:p>
        </w:tc>
      </w:tr>
      <w:tr w:rsidR="00200989" w14:paraId="10CA3759" w14:textId="77777777" w:rsidTr="00030E15">
        <w:tc>
          <w:tcPr>
            <w:tcW w:w="7195" w:type="dxa"/>
          </w:tcPr>
          <w:p w14:paraId="52AC738E" w14:textId="77777777" w:rsidR="00200989" w:rsidRPr="002B1DC2" w:rsidRDefault="00200989" w:rsidP="00030E15">
            <w:pPr>
              <w:spacing w:line="240" w:lineRule="auto"/>
              <w:rPr>
                <w:color w:val="auto"/>
              </w:rPr>
            </w:pPr>
            <w:r w:rsidRPr="002B1DC2">
              <w:rPr>
                <w:noProof/>
                <w:color w:val="auto"/>
              </w:rPr>
              <w:t>Sharon Lloyd</w:t>
            </w:r>
          </w:p>
        </w:tc>
        <w:tc>
          <w:tcPr>
            <w:tcW w:w="2340" w:type="dxa"/>
          </w:tcPr>
          <w:p w14:paraId="3CD9F64A" w14:textId="77777777" w:rsidR="00200989" w:rsidRPr="002B1DC2" w:rsidRDefault="00200989" w:rsidP="00030E15">
            <w:pPr>
              <w:spacing w:line="240" w:lineRule="auto"/>
              <w:rPr>
                <w:color w:val="auto"/>
              </w:rPr>
            </w:pPr>
            <w:r w:rsidRPr="002B1DC2">
              <w:rPr>
                <w:noProof/>
                <w:color w:val="auto"/>
              </w:rPr>
              <w:t>C-2021-3026975</w:t>
            </w:r>
          </w:p>
        </w:tc>
      </w:tr>
      <w:tr w:rsidR="00200989" w14:paraId="411A8DF3" w14:textId="77777777" w:rsidTr="00030E15">
        <w:tc>
          <w:tcPr>
            <w:tcW w:w="7195" w:type="dxa"/>
          </w:tcPr>
          <w:p w14:paraId="38BA093B" w14:textId="77777777" w:rsidR="00200989" w:rsidRPr="002B1DC2" w:rsidRDefault="00200989" w:rsidP="00030E15">
            <w:pPr>
              <w:spacing w:line="240" w:lineRule="auto"/>
              <w:rPr>
                <w:color w:val="auto"/>
              </w:rPr>
            </w:pPr>
            <w:r w:rsidRPr="002B1DC2">
              <w:rPr>
                <w:noProof/>
                <w:color w:val="auto"/>
              </w:rPr>
              <w:t>Usha Parhar</w:t>
            </w:r>
          </w:p>
        </w:tc>
        <w:tc>
          <w:tcPr>
            <w:tcW w:w="2340" w:type="dxa"/>
          </w:tcPr>
          <w:p w14:paraId="5400E33D" w14:textId="77777777" w:rsidR="00200989" w:rsidRPr="002B1DC2" w:rsidRDefault="00200989" w:rsidP="00030E15">
            <w:pPr>
              <w:spacing w:line="240" w:lineRule="auto"/>
              <w:rPr>
                <w:color w:val="auto"/>
              </w:rPr>
            </w:pPr>
            <w:r w:rsidRPr="002B1DC2">
              <w:rPr>
                <w:noProof/>
                <w:color w:val="auto"/>
              </w:rPr>
              <w:t>C-2021-3026985</w:t>
            </w:r>
          </w:p>
        </w:tc>
      </w:tr>
      <w:tr w:rsidR="00200989" w14:paraId="005DD820" w14:textId="77777777" w:rsidTr="00030E15">
        <w:tc>
          <w:tcPr>
            <w:tcW w:w="7195" w:type="dxa"/>
          </w:tcPr>
          <w:p w14:paraId="32C4879C" w14:textId="5106B1FC" w:rsidR="00200989" w:rsidRPr="002B1DC2" w:rsidRDefault="00815C5C" w:rsidP="00030E15">
            <w:pPr>
              <w:spacing w:line="240" w:lineRule="auto"/>
              <w:rPr>
                <w:color w:val="auto"/>
              </w:rPr>
            </w:pPr>
            <w:r w:rsidRPr="002B1DC2">
              <w:rPr>
                <w:noProof/>
                <w:color w:val="auto"/>
              </w:rPr>
              <w:t>Patricia Merrill</w:t>
            </w:r>
          </w:p>
        </w:tc>
        <w:tc>
          <w:tcPr>
            <w:tcW w:w="2340" w:type="dxa"/>
          </w:tcPr>
          <w:p w14:paraId="38932777" w14:textId="77777777" w:rsidR="00200989" w:rsidRPr="002B1DC2" w:rsidRDefault="00200989" w:rsidP="00030E15">
            <w:pPr>
              <w:spacing w:line="240" w:lineRule="auto"/>
              <w:rPr>
                <w:color w:val="auto"/>
              </w:rPr>
            </w:pPr>
            <w:r w:rsidRPr="002B1DC2">
              <w:rPr>
                <w:noProof/>
                <w:color w:val="auto"/>
              </w:rPr>
              <w:t>C-2021-3026988</w:t>
            </w:r>
          </w:p>
        </w:tc>
      </w:tr>
      <w:tr w:rsidR="00200989" w14:paraId="69767710" w14:textId="77777777" w:rsidTr="00030E15">
        <w:tc>
          <w:tcPr>
            <w:tcW w:w="7195" w:type="dxa"/>
          </w:tcPr>
          <w:p w14:paraId="2B38F993" w14:textId="77777777" w:rsidR="00200989" w:rsidRPr="002B1DC2" w:rsidRDefault="00200989" w:rsidP="00030E15">
            <w:pPr>
              <w:spacing w:line="240" w:lineRule="auto"/>
              <w:rPr>
                <w:color w:val="auto"/>
              </w:rPr>
            </w:pPr>
            <w:r w:rsidRPr="002B1DC2">
              <w:rPr>
                <w:noProof/>
                <w:color w:val="auto"/>
              </w:rPr>
              <w:t>George Tirado</w:t>
            </w:r>
          </w:p>
        </w:tc>
        <w:tc>
          <w:tcPr>
            <w:tcW w:w="2340" w:type="dxa"/>
          </w:tcPr>
          <w:p w14:paraId="43CB4DDA" w14:textId="77777777" w:rsidR="00200989" w:rsidRPr="002B1DC2" w:rsidRDefault="00200989" w:rsidP="00030E15">
            <w:pPr>
              <w:spacing w:line="240" w:lineRule="auto"/>
              <w:rPr>
                <w:color w:val="auto"/>
              </w:rPr>
            </w:pPr>
            <w:r w:rsidRPr="002B1DC2">
              <w:rPr>
                <w:noProof/>
                <w:color w:val="auto"/>
              </w:rPr>
              <w:t>C-2021-3026989</w:t>
            </w:r>
          </w:p>
        </w:tc>
      </w:tr>
      <w:tr w:rsidR="00200989" w14:paraId="12A696EC" w14:textId="77777777" w:rsidTr="00030E15">
        <w:tc>
          <w:tcPr>
            <w:tcW w:w="7195" w:type="dxa"/>
          </w:tcPr>
          <w:p w14:paraId="00C29CF9" w14:textId="77777777" w:rsidR="00200989" w:rsidRPr="002B1DC2" w:rsidRDefault="00200989" w:rsidP="00030E15">
            <w:pPr>
              <w:spacing w:line="240" w:lineRule="auto"/>
              <w:rPr>
                <w:color w:val="auto"/>
              </w:rPr>
            </w:pPr>
            <w:r w:rsidRPr="002B1DC2">
              <w:rPr>
                <w:noProof/>
                <w:color w:val="auto"/>
              </w:rPr>
              <w:t>Timothy Weaver</w:t>
            </w:r>
          </w:p>
        </w:tc>
        <w:tc>
          <w:tcPr>
            <w:tcW w:w="2340" w:type="dxa"/>
          </w:tcPr>
          <w:p w14:paraId="450CAF1C" w14:textId="77777777" w:rsidR="00200989" w:rsidRPr="002B1DC2" w:rsidRDefault="00200989" w:rsidP="00030E15">
            <w:pPr>
              <w:spacing w:line="240" w:lineRule="auto"/>
              <w:rPr>
                <w:color w:val="auto"/>
              </w:rPr>
            </w:pPr>
            <w:r w:rsidRPr="002B1DC2">
              <w:rPr>
                <w:noProof/>
                <w:color w:val="auto"/>
              </w:rPr>
              <w:t>C-2021-3026991</w:t>
            </w:r>
          </w:p>
        </w:tc>
      </w:tr>
      <w:tr w:rsidR="00200989" w14:paraId="17052209" w14:textId="77777777" w:rsidTr="00030E15">
        <w:tc>
          <w:tcPr>
            <w:tcW w:w="7195" w:type="dxa"/>
          </w:tcPr>
          <w:p w14:paraId="1BF8A132" w14:textId="77777777" w:rsidR="00200989" w:rsidRPr="002B1DC2" w:rsidRDefault="00200989" w:rsidP="00030E15">
            <w:pPr>
              <w:spacing w:line="240" w:lineRule="auto"/>
              <w:rPr>
                <w:color w:val="auto"/>
              </w:rPr>
            </w:pPr>
            <w:r w:rsidRPr="002B1DC2">
              <w:rPr>
                <w:noProof/>
                <w:color w:val="auto"/>
              </w:rPr>
              <w:t>John Murphy</w:t>
            </w:r>
          </w:p>
        </w:tc>
        <w:tc>
          <w:tcPr>
            <w:tcW w:w="2340" w:type="dxa"/>
          </w:tcPr>
          <w:p w14:paraId="2C4CBD41" w14:textId="77777777" w:rsidR="00200989" w:rsidRPr="002B1DC2" w:rsidRDefault="00200989" w:rsidP="00030E15">
            <w:pPr>
              <w:spacing w:line="240" w:lineRule="auto"/>
              <w:rPr>
                <w:color w:val="auto"/>
              </w:rPr>
            </w:pPr>
            <w:r w:rsidRPr="002B1DC2">
              <w:rPr>
                <w:noProof/>
                <w:color w:val="auto"/>
              </w:rPr>
              <w:t>C-2021-3026993</w:t>
            </w:r>
          </w:p>
        </w:tc>
      </w:tr>
      <w:tr w:rsidR="00200989" w14:paraId="690FD4DD" w14:textId="77777777" w:rsidTr="00030E15">
        <w:tc>
          <w:tcPr>
            <w:tcW w:w="7195" w:type="dxa"/>
          </w:tcPr>
          <w:p w14:paraId="2DF70997" w14:textId="77777777" w:rsidR="00200989" w:rsidRPr="002B1DC2" w:rsidRDefault="00200989" w:rsidP="00030E15">
            <w:pPr>
              <w:spacing w:line="240" w:lineRule="auto"/>
              <w:rPr>
                <w:color w:val="auto"/>
              </w:rPr>
            </w:pPr>
            <w:r w:rsidRPr="002B1DC2">
              <w:rPr>
                <w:noProof/>
                <w:color w:val="auto"/>
              </w:rPr>
              <w:t>Stilianos &amp; Susan Nikolaou</w:t>
            </w:r>
          </w:p>
        </w:tc>
        <w:tc>
          <w:tcPr>
            <w:tcW w:w="2340" w:type="dxa"/>
          </w:tcPr>
          <w:p w14:paraId="7937B461" w14:textId="77777777" w:rsidR="00200989" w:rsidRPr="002B1DC2" w:rsidRDefault="00200989" w:rsidP="00030E15">
            <w:pPr>
              <w:spacing w:line="240" w:lineRule="auto"/>
              <w:rPr>
                <w:color w:val="auto"/>
              </w:rPr>
            </w:pPr>
            <w:r w:rsidRPr="002B1DC2">
              <w:rPr>
                <w:noProof/>
                <w:color w:val="auto"/>
              </w:rPr>
              <w:t>C-2021-3026995</w:t>
            </w:r>
          </w:p>
        </w:tc>
      </w:tr>
      <w:tr w:rsidR="00200989" w14:paraId="099FCE32" w14:textId="77777777" w:rsidTr="00030E15">
        <w:tc>
          <w:tcPr>
            <w:tcW w:w="7195" w:type="dxa"/>
          </w:tcPr>
          <w:p w14:paraId="1F660438" w14:textId="77777777" w:rsidR="00200989" w:rsidRPr="002B1DC2" w:rsidRDefault="00200989" w:rsidP="00030E15">
            <w:pPr>
              <w:spacing w:line="240" w:lineRule="auto"/>
              <w:rPr>
                <w:color w:val="auto"/>
              </w:rPr>
            </w:pPr>
            <w:r w:rsidRPr="002B1DC2">
              <w:rPr>
                <w:noProof/>
                <w:color w:val="auto"/>
              </w:rPr>
              <w:t>Yajaida Rodriguez</w:t>
            </w:r>
          </w:p>
        </w:tc>
        <w:tc>
          <w:tcPr>
            <w:tcW w:w="2340" w:type="dxa"/>
          </w:tcPr>
          <w:p w14:paraId="27BC9B55" w14:textId="77777777" w:rsidR="00200989" w:rsidRPr="002B1DC2" w:rsidRDefault="00200989" w:rsidP="00030E15">
            <w:pPr>
              <w:spacing w:line="240" w:lineRule="auto"/>
              <w:rPr>
                <w:color w:val="auto"/>
              </w:rPr>
            </w:pPr>
            <w:r w:rsidRPr="002B1DC2">
              <w:rPr>
                <w:noProof/>
                <w:color w:val="auto"/>
              </w:rPr>
              <w:t>C-2021-3026998</w:t>
            </w:r>
          </w:p>
        </w:tc>
      </w:tr>
      <w:tr w:rsidR="00200989" w14:paraId="5CD21886" w14:textId="77777777" w:rsidTr="00030E15">
        <w:tc>
          <w:tcPr>
            <w:tcW w:w="7195" w:type="dxa"/>
          </w:tcPr>
          <w:p w14:paraId="52B5FE20" w14:textId="77777777" w:rsidR="00200989" w:rsidRPr="002B1DC2" w:rsidRDefault="00200989" w:rsidP="00030E15">
            <w:pPr>
              <w:spacing w:line="240" w:lineRule="auto"/>
              <w:rPr>
                <w:color w:val="auto"/>
              </w:rPr>
            </w:pPr>
            <w:r w:rsidRPr="002B1DC2">
              <w:rPr>
                <w:noProof/>
                <w:color w:val="auto"/>
              </w:rPr>
              <w:t>Gaurav Parhar</w:t>
            </w:r>
          </w:p>
        </w:tc>
        <w:tc>
          <w:tcPr>
            <w:tcW w:w="2340" w:type="dxa"/>
          </w:tcPr>
          <w:p w14:paraId="2AE2E0AD" w14:textId="77777777" w:rsidR="00200989" w:rsidRPr="002B1DC2" w:rsidRDefault="00200989" w:rsidP="00030E15">
            <w:pPr>
              <w:spacing w:line="240" w:lineRule="auto"/>
              <w:rPr>
                <w:color w:val="auto"/>
              </w:rPr>
            </w:pPr>
            <w:r w:rsidRPr="002B1DC2">
              <w:rPr>
                <w:noProof/>
                <w:color w:val="auto"/>
              </w:rPr>
              <w:t>C-2021-3027062</w:t>
            </w:r>
          </w:p>
        </w:tc>
      </w:tr>
      <w:tr w:rsidR="00200989" w14:paraId="083A46B9" w14:textId="77777777" w:rsidTr="00030E15">
        <w:tc>
          <w:tcPr>
            <w:tcW w:w="7195" w:type="dxa"/>
          </w:tcPr>
          <w:p w14:paraId="0303B80E" w14:textId="77777777" w:rsidR="00200989" w:rsidRPr="002B1DC2" w:rsidRDefault="00200989" w:rsidP="00030E15">
            <w:pPr>
              <w:spacing w:line="240" w:lineRule="auto"/>
              <w:rPr>
                <w:color w:val="auto"/>
              </w:rPr>
            </w:pPr>
            <w:r w:rsidRPr="002B1DC2">
              <w:rPr>
                <w:noProof/>
                <w:color w:val="auto"/>
              </w:rPr>
              <w:t>Robert Mohr</w:t>
            </w:r>
          </w:p>
        </w:tc>
        <w:tc>
          <w:tcPr>
            <w:tcW w:w="2340" w:type="dxa"/>
          </w:tcPr>
          <w:p w14:paraId="40B8AFBA" w14:textId="77777777" w:rsidR="00200989" w:rsidRPr="002B1DC2" w:rsidRDefault="00200989" w:rsidP="00030E15">
            <w:pPr>
              <w:spacing w:line="240" w:lineRule="auto"/>
              <w:rPr>
                <w:color w:val="auto"/>
              </w:rPr>
            </w:pPr>
            <w:r w:rsidRPr="002B1DC2">
              <w:rPr>
                <w:noProof/>
                <w:color w:val="auto"/>
              </w:rPr>
              <w:t>C-2021-3027065</w:t>
            </w:r>
          </w:p>
        </w:tc>
      </w:tr>
      <w:tr w:rsidR="00200989" w14:paraId="3556EEAD" w14:textId="77777777" w:rsidTr="00030E15">
        <w:tc>
          <w:tcPr>
            <w:tcW w:w="7195" w:type="dxa"/>
          </w:tcPr>
          <w:p w14:paraId="3EB7CAA6" w14:textId="77777777" w:rsidR="00200989" w:rsidRPr="002B1DC2" w:rsidRDefault="00200989" w:rsidP="00030E15">
            <w:pPr>
              <w:spacing w:line="240" w:lineRule="auto"/>
              <w:rPr>
                <w:color w:val="auto"/>
              </w:rPr>
            </w:pPr>
            <w:r w:rsidRPr="002B1DC2">
              <w:rPr>
                <w:noProof/>
                <w:color w:val="auto"/>
              </w:rPr>
              <w:t>Roger Fredericks</w:t>
            </w:r>
          </w:p>
        </w:tc>
        <w:tc>
          <w:tcPr>
            <w:tcW w:w="2340" w:type="dxa"/>
          </w:tcPr>
          <w:p w14:paraId="2BE618EC" w14:textId="77777777" w:rsidR="00200989" w:rsidRPr="002B1DC2" w:rsidRDefault="00200989" w:rsidP="00030E15">
            <w:pPr>
              <w:spacing w:line="240" w:lineRule="auto"/>
              <w:rPr>
                <w:color w:val="auto"/>
              </w:rPr>
            </w:pPr>
            <w:r w:rsidRPr="002B1DC2">
              <w:rPr>
                <w:noProof/>
                <w:color w:val="auto"/>
              </w:rPr>
              <w:t>C-2021-3027066</w:t>
            </w:r>
          </w:p>
        </w:tc>
      </w:tr>
      <w:tr w:rsidR="00200989" w14:paraId="7E9FFF09" w14:textId="77777777" w:rsidTr="00030E15">
        <w:tc>
          <w:tcPr>
            <w:tcW w:w="7195" w:type="dxa"/>
          </w:tcPr>
          <w:p w14:paraId="630F2DA0" w14:textId="77777777" w:rsidR="00200989" w:rsidRPr="002B1DC2" w:rsidRDefault="00200989" w:rsidP="00030E15">
            <w:pPr>
              <w:spacing w:line="240" w:lineRule="auto"/>
              <w:rPr>
                <w:color w:val="auto"/>
              </w:rPr>
            </w:pPr>
            <w:r w:rsidRPr="002B1DC2">
              <w:rPr>
                <w:noProof/>
                <w:color w:val="auto"/>
              </w:rPr>
              <w:t>Rosalie Capitelli</w:t>
            </w:r>
          </w:p>
        </w:tc>
        <w:tc>
          <w:tcPr>
            <w:tcW w:w="2340" w:type="dxa"/>
          </w:tcPr>
          <w:p w14:paraId="5856379A" w14:textId="77777777" w:rsidR="00200989" w:rsidRPr="002B1DC2" w:rsidRDefault="00200989" w:rsidP="00030E15">
            <w:pPr>
              <w:spacing w:line="240" w:lineRule="auto"/>
              <w:rPr>
                <w:color w:val="auto"/>
              </w:rPr>
            </w:pPr>
            <w:r w:rsidRPr="002B1DC2">
              <w:rPr>
                <w:noProof/>
                <w:color w:val="auto"/>
              </w:rPr>
              <w:t>C-2021-3027068</w:t>
            </w:r>
          </w:p>
        </w:tc>
      </w:tr>
      <w:tr w:rsidR="00200989" w14:paraId="5A60BB9E" w14:textId="77777777" w:rsidTr="00030E15">
        <w:tc>
          <w:tcPr>
            <w:tcW w:w="7195" w:type="dxa"/>
          </w:tcPr>
          <w:p w14:paraId="5B07F248" w14:textId="77777777" w:rsidR="00200989" w:rsidRPr="002B1DC2" w:rsidRDefault="00200989" w:rsidP="00030E15">
            <w:pPr>
              <w:spacing w:line="240" w:lineRule="auto"/>
              <w:rPr>
                <w:color w:val="auto"/>
              </w:rPr>
            </w:pPr>
            <w:r w:rsidRPr="002B1DC2">
              <w:rPr>
                <w:noProof/>
                <w:color w:val="auto"/>
              </w:rPr>
              <w:t>Charles Wright</w:t>
            </w:r>
          </w:p>
        </w:tc>
        <w:tc>
          <w:tcPr>
            <w:tcW w:w="2340" w:type="dxa"/>
          </w:tcPr>
          <w:p w14:paraId="5AE6914A" w14:textId="77777777" w:rsidR="00200989" w:rsidRPr="002B1DC2" w:rsidRDefault="00200989" w:rsidP="00030E15">
            <w:pPr>
              <w:spacing w:line="240" w:lineRule="auto"/>
              <w:rPr>
                <w:color w:val="auto"/>
              </w:rPr>
            </w:pPr>
            <w:r w:rsidRPr="002B1DC2">
              <w:rPr>
                <w:noProof/>
                <w:color w:val="auto"/>
              </w:rPr>
              <w:t>C-2021-3027070</w:t>
            </w:r>
          </w:p>
        </w:tc>
      </w:tr>
      <w:tr w:rsidR="00200989" w14:paraId="64B4D91E" w14:textId="77777777" w:rsidTr="00030E15">
        <w:tc>
          <w:tcPr>
            <w:tcW w:w="7195" w:type="dxa"/>
          </w:tcPr>
          <w:p w14:paraId="4C0A8047" w14:textId="77777777" w:rsidR="00200989" w:rsidRPr="002B1DC2" w:rsidRDefault="00200989" w:rsidP="00030E15">
            <w:pPr>
              <w:spacing w:line="240" w:lineRule="auto"/>
              <w:rPr>
                <w:color w:val="auto"/>
              </w:rPr>
            </w:pPr>
            <w:r w:rsidRPr="002B1DC2">
              <w:rPr>
                <w:noProof/>
                <w:color w:val="auto"/>
              </w:rPr>
              <w:t>Brian &amp; Taryn Merrill</w:t>
            </w:r>
          </w:p>
        </w:tc>
        <w:tc>
          <w:tcPr>
            <w:tcW w:w="2340" w:type="dxa"/>
          </w:tcPr>
          <w:p w14:paraId="49E80281" w14:textId="77777777" w:rsidR="00200989" w:rsidRPr="002B1DC2" w:rsidRDefault="00200989" w:rsidP="00030E15">
            <w:pPr>
              <w:spacing w:line="240" w:lineRule="auto"/>
              <w:rPr>
                <w:color w:val="auto"/>
              </w:rPr>
            </w:pPr>
            <w:r w:rsidRPr="002B1DC2">
              <w:rPr>
                <w:noProof/>
                <w:color w:val="auto"/>
              </w:rPr>
              <w:t>C-2021-3027073</w:t>
            </w:r>
          </w:p>
        </w:tc>
      </w:tr>
      <w:tr w:rsidR="00200989" w14:paraId="31DD3CF1" w14:textId="77777777" w:rsidTr="00030E15">
        <w:tc>
          <w:tcPr>
            <w:tcW w:w="7195" w:type="dxa"/>
          </w:tcPr>
          <w:p w14:paraId="08FA2DF7" w14:textId="77777777" w:rsidR="00200989" w:rsidRPr="002B1DC2" w:rsidRDefault="00200989" w:rsidP="00030E15">
            <w:pPr>
              <w:spacing w:line="240" w:lineRule="auto"/>
              <w:rPr>
                <w:color w:val="auto"/>
              </w:rPr>
            </w:pPr>
            <w:r w:rsidRPr="002B1DC2">
              <w:rPr>
                <w:noProof/>
                <w:color w:val="auto"/>
              </w:rPr>
              <w:t>Nicholas Corforte</w:t>
            </w:r>
          </w:p>
        </w:tc>
        <w:tc>
          <w:tcPr>
            <w:tcW w:w="2340" w:type="dxa"/>
          </w:tcPr>
          <w:p w14:paraId="00C21CF3" w14:textId="77777777" w:rsidR="00200989" w:rsidRPr="002B1DC2" w:rsidRDefault="00200989" w:rsidP="00030E15">
            <w:pPr>
              <w:spacing w:line="240" w:lineRule="auto"/>
              <w:rPr>
                <w:color w:val="auto"/>
              </w:rPr>
            </w:pPr>
            <w:r w:rsidRPr="002B1DC2">
              <w:rPr>
                <w:noProof/>
                <w:color w:val="auto"/>
              </w:rPr>
              <w:t>C-2021-3027075</w:t>
            </w:r>
          </w:p>
        </w:tc>
      </w:tr>
      <w:tr w:rsidR="00200989" w14:paraId="54F11DD8" w14:textId="77777777" w:rsidTr="00030E15">
        <w:tc>
          <w:tcPr>
            <w:tcW w:w="7195" w:type="dxa"/>
          </w:tcPr>
          <w:p w14:paraId="0F77B8E8" w14:textId="77777777" w:rsidR="00200989" w:rsidRPr="002B1DC2" w:rsidRDefault="00200989" w:rsidP="00030E15">
            <w:pPr>
              <w:spacing w:line="240" w:lineRule="auto"/>
              <w:rPr>
                <w:color w:val="auto"/>
              </w:rPr>
            </w:pPr>
            <w:r w:rsidRPr="002B1DC2">
              <w:rPr>
                <w:noProof/>
                <w:color w:val="auto"/>
              </w:rPr>
              <w:t>Craig Lowe</w:t>
            </w:r>
          </w:p>
        </w:tc>
        <w:tc>
          <w:tcPr>
            <w:tcW w:w="2340" w:type="dxa"/>
          </w:tcPr>
          <w:p w14:paraId="7EFD429B" w14:textId="77777777" w:rsidR="00200989" w:rsidRPr="002B1DC2" w:rsidRDefault="00200989" w:rsidP="00030E15">
            <w:pPr>
              <w:spacing w:line="240" w:lineRule="auto"/>
              <w:rPr>
                <w:color w:val="auto"/>
              </w:rPr>
            </w:pPr>
            <w:r w:rsidRPr="002B1DC2">
              <w:rPr>
                <w:noProof/>
                <w:color w:val="auto"/>
              </w:rPr>
              <w:t>C-2021-3027077</w:t>
            </w:r>
          </w:p>
        </w:tc>
      </w:tr>
      <w:tr w:rsidR="00200989" w14:paraId="5B9F73A8" w14:textId="77777777" w:rsidTr="00030E15">
        <w:tc>
          <w:tcPr>
            <w:tcW w:w="7195" w:type="dxa"/>
          </w:tcPr>
          <w:p w14:paraId="4112CE7F" w14:textId="77777777" w:rsidR="00200989" w:rsidRPr="002B1DC2" w:rsidRDefault="00200989" w:rsidP="00030E15">
            <w:pPr>
              <w:spacing w:line="240" w:lineRule="auto"/>
              <w:rPr>
                <w:color w:val="auto"/>
              </w:rPr>
            </w:pPr>
            <w:r w:rsidRPr="002B1DC2">
              <w:rPr>
                <w:noProof/>
                <w:color w:val="auto"/>
              </w:rPr>
              <w:t>Stephen &amp; Kathleen Conrad</w:t>
            </w:r>
          </w:p>
        </w:tc>
        <w:tc>
          <w:tcPr>
            <w:tcW w:w="2340" w:type="dxa"/>
          </w:tcPr>
          <w:p w14:paraId="0988AE9D" w14:textId="77777777" w:rsidR="00200989" w:rsidRPr="002B1DC2" w:rsidRDefault="00200989" w:rsidP="00030E15">
            <w:pPr>
              <w:spacing w:line="240" w:lineRule="auto"/>
              <w:rPr>
                <w:color w:val="auto"/>
              </w:rPr>
            </w:pPr>
            <w:r w:rsidRPr="002B1DC2">
              <w:rPr>
                <w:noProof/>
                <w:color w:val="auto"/>
              </w:rPr>
              <w:t>C-2021-3027079</w:t>
            </w:r>
          </w:p>
        </w:tc>
      </w:tr>
      <w:tr w:rsidR="00200989" w14:paraId="1AAEEEAD" w14:textId="77777777" w:rsidTr="00030E15">
        <w:tc>
          <w:tcPr>
            <w:tcW w:w="7195" w:type="dxa"/>
          </w:tcPr>
          <w:p w14:paraId="0F24DDD5" w14:textId="77777777" w:rsidR="00200989" w:rsidRPr="002B1DC2" w:rsidRDefault="00200989" w:rsidP="00030E15">
            <w:pPr>
              <w:spacing w:line="240" w:lineRule="auto"/>
              <w:rPr>
                <w:color w:val="auto"/>
              </w:rPr>
            </w:pPr>
            <w:r w:rsidRPr="002B1DC2">
              <w:rPr>
                <w:noProof/>
                <w:color w:val="auto"/>
              </w:rPr>
              <w:t>Clifford &amp; Cindy McNeil</w:t>
            </w:r>
          </w:p>
        </w:tc>
        <w:tc>
          <w:tcPr>
            <w:tcW w:w="2340" w:type="dxa"/>
          </w:tcPr>
          <w:p w14:paraId="145EFA24" w14:textId="77777777" w:rsidR="00200989" w:rsidRPr="002B1DC2" w:rsidRDefault="00200989" w:rsidP="00030E15">
            <w:pPr>
              <w:spacing w:line="240" w:lineRule="auto"/>
              <w:rPr>
                <w:color w:val="auto"/>
              </w:rPr>
            </w:pPr>
            <w:r w:rsidRPr="002B1DC2">
              <w:rPr>
                <w:noProof/>
                <w:color w:val="auto"/>
              </w:rPr>
              <w:t>C-2021-3027083</w:t>
            </w:r>
          </w:p>
        </w:tc>
      </w:tr>
      <w:tr w:rsidR="00200989" w14:paraId="3345FB87" w14:textId="77777777" w:rsidTr="00030E15">
        <w:tc>
          <w:tcPr>
            <w:tcW w:w="7195" w:type="dxa"/>
          </w:tcPr>
          <w:p w14:paraId="44073425" w14:textId="77777777" w:rsidR="00200989" w:rsidRPr="002B1DC2" w:rsidRDefault="00200989" w:rsidP="00030E15">
            <w:pPr>
              <w:spacing w:line="240" w:lineRule="auto"/>
              <w:rPr>
                <w:color w:val="auto"/>
              </w:rPr>
            </w:pPr>
            <w:r w:rsidRPr="002B1DC2">
              <w:rPr>
                <w:noProof/>
                <w:color w:val="auto"/>
              </w:rPr>
              <w:t>Maryann Bouco</w:t>
            </w:r>
          </w:p>
        </w:tc>
        <w:tc>
          <w:tcPr>
            <w:tcW w:w="2340" w:type="dxa"/>
          </w:tcPr>
          <w:p w14:paraId="63684C5A" w14:textId="77777777" w:rsidR="00200989" w:rsidRPr="002B1DC2" w:rsidRDefault="00200989" w:rsidP="00030E15">
            <w:pPr>
              <w:spacing w:line="240" w:lineRule="auto"/>
              <w:rPr>
                <w:color w:val="auto"/>
              </w:rPr>
            </w:pPr>
            <w:r w:rsidRPr="002B1DC2">
              <w:rPr>
                <w:noProof/>
                <w:color w:val="auto"/>
              </w:rPr>
              <w:t>C-2021-3027085</w:t>
            </w:r>
          </w:p>
        </w:tc>
      </w:tr>
      <w:tr w:rsidR="00200989" w14:paraId="5AB6989B" w14:textId="77777777" w:rsidTr="00030E15">
        <w:tc>
          <w:tcPr>
            <w:tcW w:w="7195" w:type="dxa"/>
          </w:tcPr>
          <w:p w14:paraId="1ECF33ED" w14:textId="77777777" w:rsidR="00200989" w:rsidRPr="002B1DC2" w:rsidRDefault="00200989" w:rsidP="00030E15">
            <w:pPr>
              <w:spacing w:line="240" w:lineRule="auto"/>
              <w:rPr>
                <w:color w:val="auto"/>
              </w:rPr>
            </w:pPr>
            <w:r w:rsidRPr="002B1DC2">
              <w:rPr>
                <w:noProof/>
                <w:color w:val="auto"/>
              </w:rPr>
              <w:t>Thomas &amp; Maxine Shepard</w:t>
            </w:r>
          </w:p>
        </w:tc>
        <w:tc>
          <w:tcPr>
            <w:tcW w:w="2340" w:type="dxa"/>
          </w:tcPr>
          <w:p w14:paraId="0E07C253" w14:textId="77777777" w:rsidR="00200989" w:rsidRPr="002B1DC2" w:rsidRDefault="00200989" w:rsidP="00030E15">
            <w:pPr>
              <w:spacing w:line="240" w:lineRule="auto"/>
              <w:rPr>
                <w:color w:val="auto"/>
              </w:rPr>
            </w:pPr>
            <w:r w:rsidRPr="002B1DC2">
              <w:rPr>
                <w:noProof/>
                <w:color w:val="auto"/>
              </w:rPr>
              <w:t>C-2021-3027143</w:t>
            </w:r>
          </w:p>
        </w:tc>
      </w:tr>
      <w:tr w:rsidR="00200989" w:rsidRPr="005579FA" w14:paraId="619E1A28" w14:textId="77777777" w:rsidTr="00030E15">
        <w:tc>
          <w:tcPr>
            <w:tcW w:w="7195" w:type="dxa"/>
          </w:tcPr>
          <w:p w14:paraId="2A0963D4" w14:textId="72117944" w:rsidR="00200989" w:rsidRPr="002B1DC2" w:rsidRDefault="00200989" w:rsidP="00030E15">
            <w:pPr>
              <w:spacing w:line="240" w:lineRule="auto"/>
              <w:rPr>
                <w:color w:val="auto"/>
              </w:rPr>
            </w:pPr>
            <w:r w:rsidRPr="002B1DC2">
              <w:rPr>
                <w:noProof/>
                <w:color w:val="auto"/>
              </w:rPr>
              <w:t>Marcia Mathura</w:t>
            </w:r>
          </w:p>
        </w:tc>
        <w:tc>
          <w:tcPr>
            <w:tcW w:w="2340" w:type="dxa"/>
          </w:tcPr>
          <w:p w14:paraId="4547769C" w14:textId="77777777" w:rsidR="00200989" w:rsidRPr="002B1DC2" w:rsidRDefault="00200989" w:rsidP="00030E15">
            <w:pPr>
              <w:spacing w:line="240" w:lineRule="auto"/>
              <w:rPr>
                <w:color w:val="auto"/>
              </w:rPr>
            </w:pPr>
            <w:r w:rsidRPr="002B1DC2">
              <w:rPr>
                <w:noProof/>
                <w:color w:val="auto"/>
              </w:rPr>
              <w:t>C-2021-3027251</w:t>
            </w:r>
          </w:p>
        </w:tc>
      </w:tr>
      <w:bookmarkEnd w:id="0"/>
    </w:tbl>
    <w:p w14:paraId="19F588C5" w14:textId="77777777" w:rsidR="00200989" w:rsidRPr="005579FA" w:rsidRDefault="00200989" w:rsidP="00200989">
      <w:pPr>
        <w:tabs>
          <w:tab w:val="left" w:pos="5040"/>
        </w:tabs>
        <w:spacing w:line="240" w:lineRule="auto"/>
        <w:rPr>
          <w:color w:val="00B050"/>
          <w:szCs w:val="26"/>
        </w:rPr>
      </w:pPr>
    </w:p>
    <w:p w14:paraId="7B8C9A38" w14:textId="77777777" w:rsidR="00200989" w:rsidRPr="008E7712" w:rsidRDefault="00200989" w:rsidP="00200989">
      <w:pPr>
        <w:tabs>
          <w:tab w:val="left" w:pos="5040"/>
          <w:tab w:val="left" w:pos="7560"/>
        </w:tabs>
        <w:spacing w:line="240" w:lineRule="auto"/>
        <w:ind w:firstLine="720"/>
        <w:rPr>
          <w:szCs w:val="26"/>
        </w:rPr>
      </w:pPr>
      <w:r w:rsidRPr="008E7712">
        <w:rPr>
          <w:szCs w:val="26"/>
        </w:rPr>
        <w:t>v.</w:t>
      </w:r>
      <w:r w:rsidRPr="008E7712">
        <w:rPr>
          <w:szCs w:val="26"/>
        </w:rPr>
        <w:tab/>
      </w:r>
    </w:p>
    <w:p w14:paraId="5C05606F" w14:textId="77777777" w:rsidR="00200989" w:rsidRPr="008E7712" w:rsidRDefault="00200989" w:rsidP="00200989">
      <w:pPr>
        <w:tabs>
          <w:tab w:val="left" w:pos="5040"/>
        </w:tabs>
        <w:spacing w:line="240" w:lineRule="auto"/>
        <w:rPr>
          <w:szCs w:val="26"/>
        </w:rPr>
      </w:pPr>
      <w:r w:rsidRPr="008E7712">
        <w:rPr>
          <w:szCs w:val="26"/>
        </w:rPr>
        <w:tab/>
      </w:r>
    </w:p>
    <w:p w14:paraId="55517989" w14:textId="77777777" w:rsidR="00200989" w:rsidRPr="008E7712" w:rsidRDefault="00200989" w:rsidP="00200989">
      <w:pPr>
        <w:tabs>
          <w:tab w:val="left" w:pos="5040"/>
          <w:tab w:val="left" w:pos="7560"/>
        </w:tabs>
        <w:spacing w:line="240" w:lineRule="auto"/>
        <w:rPr>
          <w:szCs w:val="26"/>
        </w:rPr>
      </w:pPr>
      <w:r w:rsidRPr="008E7712">
        <w:rPr>
          <w:szCs w:val="26"/>
        </w:rPr>
        <w:t xml:space="preserve">Community Utilities of Pennsylvania Inc. - </w:t>
      </w:r>
      <w:r w:rsidRPr="008E7712">
        <w:rPr>
          <w:szCs w:val="26"/>
        </w:rPr>
        <w:tab/>
      </w:r>
    </w:p>
    <w:p w14:paraId="31B0563C" w14:textId="77777777" w:rsidR="00200989" w:rsidRPr="008E7712" w:rsidRDefault="00200989" w:rsidP="00200989">
      <w:pPr>
        <w:tabs>
          <w:tab w:val="left" w:pos="720"/>
          <w:tab w:val="left" w:pos="5040"/>
        </w:tabs>
        <w:spacing w:line="240" w:lineRule="auto"/>
        <w:rPr>
          <w:szCs w:val="26"/>
        </w:rPr>
      </w:pPr>
      <w:r w:rsidRPr="008E7712">
        <w:rPr>
          <w:szCs w:val="26"/>
        </w:rPr>
        <w:t>Water Division</w:t>
      </w:r>
      <w:r w:rsidRPr="008E7712">
        <w:rPr>
          <w:szCs w:val="26"/>
        </w:rPr>
        <w:tab/>
      </w:r>
    </w:p>
    <w:p w14:paraId="54E910FD" w14:textId="77777777" w:rsidR="00200989" w:rsidRPr="008E7712" w:rsidRDefault="00200989" w:rsidP="00200989">
      <w:pPr>
        <w:tabs>
          <w:tab w:val="left" w:pos="720"/>
          <w:tab w:val="left" w:pos="5040"/>
        </w:tabs>
        <w:spacing w:line="240" w:lineRule="auto"/>
        <w:rPr>
          <w:szCs w:val="26"/>
        </w:rPr>
      </w:pPr>
    </w:p>
    <w:p w14:paraId="0C3DA7E9" w14:textId="77777777" w:rsidR="00200989" w:rsidRPr="008E7712" w:rsidRDefault="00200989" w:rsidP="00200989">
      <w:pPr>
        <w:tabs>
          <w:tab w:val="left" w:pos="720"/>
          <w:tab w:val="left" w:pos="5040"/>
        </w:tabs>
        <w:spacing w:line="240" w:lineRule="auto"/>
        <w:rPr>
          <w:szCs w:val="26"/>
        </w:rPr>
      </w:pPr>
    </w:p>
    <w:p w14:paraId="0EDE7294" w14:textId="77777777" w:rsidR="00BE0A4E" w:rsidRDefault="00BE0A4E">
      <w:pPr>
        <w:spacing w:after="160" w:line="259" w:lineRule="auto"/>
        <w:rPr>
          <w:szCs w:val="26"/>
        </w:rPr>
      </w:pPr>
      <w:bookmarkStart w:id="1" w:name="_Hlk91655365"/>
      <w:r>
        <w:rPr>
          <w:szCs w:val="26"/>
        </w:rPr>
        <w:br w:type="page"/>
      </w:r>
    </w:p>
    <w:p w14:paraId="345F3BA2" w14:textId="65F8A4FD" w:rsidR="00200989" w:rsidRDefault="00200989" w:rsidP="00200989">
      <w:pPr>
        <w:tabs>
          <w:tab w:val="left" w:pos="720"/>
          <w:tab w:val="left" w:pos="5040"/>
          <w:tab w:val="left" w:pos="7200"/>
        </w:tabs>
        <w:spacing w:line="240" w:lineRule="auto"/>
        <w:rPr>
          <w:szCs w:val="26"/>
        </w:rPr>
      </w:pPr>
      <w:r w:rsidRPr="008E7712">
        <w:rPr>
          <w:szCs w:val="26"/>
        </w:rPr>
        <w:lastRenderedPageBreak/>
        <w:t>Pennsylvania Public Utility Commission</w:t>
      </w:r>
      <w:r w:rsidRPr="008E7712">
        <w:rPr>
          <w:i/>
          <w:iCs/>
          <w:szCs w:val="26"/>
        </w:rPr>
        <w:tab/>
      </w:r>
      <w:r w:rsidRPr="008E7712">
        <w:rPr>
          <w:i/>
          <w:iCs/>
          <w:szCs w:val="26"/>
        </w:rPr>
        <w:tab/>
      </w:r>
      <w:r w:rsidRPr="008E7712">
        <w:rPr>
          <w:szCs w:val="26"/>
        </w:rPr>
        <w:t>R-2021-3025207</w:t>
      </w:r>
    </w:p>
    <w:p w14:paraId="447F9336" w14:textId="77777777" w:rsidR="00200989" w:rsidRPr="00DE3A6F" w:rsidRDefault="00200989" w:rsidP="00200989">
      <w:pPr>
        <w:tabs>
          <w:tab w:val="left" w:pos="720"/>
          <w:tab w:val="left" w:pos="5040"/>
          <w:tab w:val="left" w:pos="7200"/>
        </w:tabs>
        <w:spacing w:line="240" w:lineRule="auto"/>
        <w:rPr>
          <w:szCs w:val="26"/>
        </w:rPr>
      </w:pPr>
      <w:r w:rsidRPr="00DE3A6F">
        <w:rPr>
          <w:szCs w:val="26"/>
        </w:rPr>
        <w:t>Office of Consumer Advocate</w:t>
      </w:r>
      <w:r w:rsidRPr="00DE3A6F">
        <w:rPr>
          <w:szCs w:val="26"/>
        </w:rPr>
        <w:tab/>
      </w:r>
      <w:r w:rsidRPr="00DE3A6F">
        <w:rPr>
          <w:szCs w:val="26"/>
        </w:rPr>
        <w:tab/>
        <w:t>C-2021-3025778</w:t>
      </w:r>
    </w:p>
    <w:p w14:paraId="6D3F64E4" w14:textId="77777777" w:rsidR="00200989" w:rsidRPr="00DE3A6F" w:rsidRDefault="00200989" w:rsidP="00200989">
      <w:pPr>
        <w:tabs>
          <w:tab w:val="left" w:pos="720"/>
          <w:tab w:val="left" w:pos="5040"/>
          <w:tab w:val="left" w:pos="7200"/>
        </w:tabs>
        <w:spacing w:line="240" w:lineRule="auto"/>
        <w:rPr>
          <w:szCs w:val="26"/>
        </w:rPr>
      </w:pPr>
      <w:r w:rsidRPr="00DE3A6F">
        <w:rPr>
          <w:szCs w:val="26"/>
        </w:rPr>
        <w:t>Office of Small Business Advocate</w:t>
      </w:r>
      <w:r w:rsidRPr="00DE3A6F">
        <w:rPr>
          <w:szCs w:val="26"/>
        </w:rPr>
        <w:tab/>
      </w:r>
      <w:r w:rsidRPr="00DE3A6F">
        <w:rPr>
          <w:szCs w:val="26"/>
        </w:rPr>
        <w:tab/>
        <w:t>C-2021-3025260</w:t>
      </w:r>
    </w:p>
    <w:tbl>
      <w:tblPr>
        <w:tblStyle w:val="TableGrid"/>
        <w:tblW w:w="9625" w:type="dxa"/>
        <w:tblInd w:w="5" w:type="dxa"/>
        <w:tblLook w:val="04A0" w:firstRow="1" w:lastRow="0" w:firstColumn="1" w:lastColumn="0" w:noHBand="0" w:noVBand="1"/>
      </w:tblPr>
      <w:tblGrid>
        <w:gridCol w:w="7195"/>
        <w:gridCol w:w="2430"/>
      </w:tblGrid>
      <w:tr w:rsidR="00200989" w14:paraId="4F22352E" w14:textId="77777777" w:rsidTr="00030E15">
        <w:tc>
          <w:tcPr>
            <w:tcW w:w="7195" w:type="dxa"/>
          </w:tcPr>
          <w:p w14:paraId="5B0E4078" w14:textId="77777777" w:rsidR="00200989" w:rsidRPr="002B1DC2" w:rsidRDefault="00200989" w:rsidP="00030E15">
            <w:pPr>
              <w:spacing w:line="240" w:lineRule="auto"/>
              <w:rPr>
                <w:color w:val="auto"/>
              </w:rPr>
            </w:pPr>
            <w:r w:rsidRPr="002B1DC2">
              <w:rPr>
                <w:noProof/>
                <w:color w:val="auto"/>
              </w:rPr>
              <w:t>Kerren Ricketts</w:t>
            </w:r>
          </w:p>
        </w:tc>
        <w:tc>
          <w:tcPr>
            <w:tcW w:w="2430" w:type="dxa"/>
          </w:tcPr>
          <w:p w14:paraId="4CCC27DD" w14:textId="77777777" w:rsidR="00200989" w:rsidRPr="002B1DC2" w:rsidRDefault="00200989" w:rsidP="00030E15">
            <w:pPr>
              <w:spacing w:line="240" w:lineRule="auto"/>
              <w:rPr>
                <w:color w:val="auto"/>
              </w:rPr>
            </w:pPr>
            <w:r w:rsidRPr="002B1DC2">
              <w:rPr>
                <w:noProof/>
                <w:color w:val="auto"/>
              </w:rPr>
              <w:t>C-2021-3026118</w:t>
            </w:r>
          </w:p>
        </w:tc>
      </w:tr>
      <w:tr w:rsidR="00200989" w14:paraId="1B806C3F" w14:textId="77777777" w:rsidTr="00030E15">
        <w:tc>
          <w:tcPr>
            <w:tcW w:w="7195" w:type="dxa"/>
          </w:tcPr>
          <w:p w14:paraId="6E5F1520" w14:textId="77777777" w:rsidR="00200989" w:rsidRPr="002B1DC2" w:rsidRDefault="00200989" w:rsidP="00030E15">
            <w:pPr>
              <w:spacing w:line="240" w:lineRule="auto"/>
              <w:rPr>
                <w:color w:val="auto"/>
              </w:rPr>
            </w:pPr>
            <w:r w:rsidRPr="002B1DC2">
              <w:rPr>
                <w:noProof/>
                <w:color w:val="auto"/>
              </w:rPr>
              <w:t>John &amp; Jane Hoopingarner</w:t>
            </w:r>
          </w:p>
        </w:tc>
        <w:tc>
          <w:tcPr>
            <w:tcW w:w="2430" w:type="dxa"/>
          </w:tcPr>
          <w:p w14:paraId="50BA70A6" w14:textId="77777777" w:rsidR="00200989" w:rsidRPr="002B1DC2" w:rsidRDefault="00200989" w:rsidP="00030E15">
            <w:pPr>
              <w:spacing w:line="240" w:lineRule="auto"/>
              <w:rPr>
                <w:color w:val="auto"/>
              </w:rPr>
            </w:pPr>
            <w:r w:rsidRPr="002B1DC2">
              <w:rPr>
                <w:noProof/>
                <w:color w:val="auto"/>
              </w:rPr>
              <w:t>C-2021-3026161</w:t>
            </w:r>
          </w:p>
        </w:tc>
      </w:tr>
      <w:tr w:rsidR="00200989" w14:paraId="49197A2F" w14:textId="77777777" w:rsidTr="00030E15">
        <w:tc>
          <w:tcPr>
            <w:tcW w:w="7195" w:type="dxa"/>
          </w:tcPr>
          <w:p w14:paraId="4797683D" w14:textId="16FF2E06" w:rsidR="00200989" w:rsidRPr="002B1DC2" w:rsidRDefault="00200989" w:rsidP="00030E15">
            <w:pPr>
              <w:spacing w:line="240" w:lineRule="auto"/>
              <w:rPr>
                <w:color w:val="auto"/>
              </w:rPr>
            </w:pPr>
            <w:r w:rsidRPr="002B1DC2">
              <w:rPr>
                <w:noProof/>
                <w:color w:val="auto"/>
              </w:rPr>
              <w:t>R</w:t>
            </w:r>
            <w:r w:rsidR="003C370E" w:rsidRPr="002B1DC2">
              <w:rPr>
                <w:noProof/>
                <w:color w:val="auto"/>
              </w:rPr>
              <w:t>a</w:t>
            </w:r>
            <w:r w:rsidRPr="002B1DC2">
              <w:rPr>
                <w:noProof/>
                <w:color w:val="auto"/>
              </w:rPr>
              <w:t>fail Kovalenko</w:t>
            </w:r>
          </w:p>
        </w:tc>
        <w:tc>
          <w:tcPr>
            <w:tcW w:w="2430" w:type="dxa"/>
          </w:tcPr>
          <w:p w14:paraId="1686B6A4" w14:textId="77777777" w:rsidR="00200989" w:rsidRPr="002B1DC2" w:rsidRDefault="00200989" w:rsidP="00030E15">
            <w:pPr>
              <w:spacing w:line="240" w:lineRule="auto"/>
              <w:rPr>
                <w:color w:val="auto"/>
              </w:rPr>
            </w:pPr>
            <w:r w:rsidRPr="002B1DC2">
              <w:rPr>
                <w:noProof/>
                <w:color w:val="auto"/>
              </w:rPr>
              <w:t>C-2021-3026190</w:t>
            </w:r>
          </w:p>
        </w:tc>
      </w:tr>
      <w:tr w:rsidR="00200989" w14:paraId="2F397E21" w14:textId="77777777" w:rsidTr="00030E15">
        <w:tc>
          <w:tcPr>
            <w:tcW w:w="7195" w:type="dxa"/>
          </w:tcPr>
          <w:p w14:paraId="71713749" w14:textId="77777777" w:rsidR="00200989" w:rsidRPr="002B1DC2" w:rsidRDefault="00200989" w:rsidP="00030E15">
            <w:pPr>
              <w:spacing w:line="240" w:lineRule="auto"/>
              <w:rPr>
                <w:color w:val="auto"/>
              </w:rPr>
            </w:pPr>
            <w:r w:rsidRPr="002B1DC2">
              <w:rPr>
                <w:noProof/>
                <w:color w:val="auto"/>
              </w:rPr>
              <w:t>Philip Villone</w:t>
            </w:r>
          </w:p>
        </w:tc>
        <w:tc>
          <w:tcPr>
            <w:tcW w:w="2430" w:type="dxa"/>
          </w:tcPr>
          <w:p w14:paraId="1F62E009" w14:textId="77777777" w:rsidR="00200989" w:rsidRPr="002B1DC2" w:rsidRDefault="00200989" w:rsidP="00030E15">
            <w:pPr>
              <w:spacing w:line="240" w:lineRule="auto"/>
              <w:rPr>
                <w:color w:val="auto"/>
              </w:rPr>
            </w:pPr>
            <w:r w:rsidRPr="002B1DC2">
              <w:rPr>
                <w:noProof/>
                <w:color w:val="auto"/>
              </w:rPr>
              <w:t>C-2021-3026261</w:t>
            </w:r>
          </w:p>
        </w:tc>
      </w:tr>
      <w:tr w:rsidR="00200989" w14:paraId="31D74260" w14:textId="77777777" w:rsidTr="00030E15">
        <w:tc>
          <w:tcPr>
            <w:tcW w:w="7195" w:type="dxa"/>
          </w:tcPr>
          <w:p w14:paraId="4BA88F0E" w14:textId="77777777" w:rsidR="00200989" w:rsidRPr="002B1DC2" w:rsidRDefault="00200989" w:rsidP="00030E15">
            <w:pPr>
              <w:spacing w:line="240" w:lineRule="auto"/>
              <w:rPr>
                <w:color w:val="auto"/>
              </w:rPr>
            </w:pPr>
            <w:r w:rsidRPr="002B1DC2">
              <w:rPr>
                <w:noProof/>
                <w:color w:val="auto"/>
              </w:rPr>
              <w:t>Bryan Donnelly</w:t>
            </w:r>
          </w:p>
        </w:tc>
        <w:tc>
          <w:tcPr>
            <w:tcW w:w="2430" w:type="dxa"/>
          </w:tcPr>
          <w:p w14:paraId="1C84E87A" w14:textId="77777777" w:rsidR="00200989" w:rsidRPr="002B1DC2" w:rsidRDefault="00200989" w:rsidP="00030E15">
            <w:pPr>
              <w:spacing w:line="240" w:lineRule="auto"/>
              <w:rPr>
                <w:color w:val="auto"/>
              </w:rPr>
            </w:pPr>
            <w:r w:rsidRPr="002B1DC2">
              <w:rPr>
                <w:noProof/>
                <w:color w:val="auto"/>
              </w:rPr>
              <w:t>C-2021-3026275</w:t>
            </w:r>
          </w:p>
        </w:tc>
      </w:tr>
      <w:tr w:rsidR="00200989" w14:paraId="2ED2FABC" w14:textId="77777777" w:rsidTr="00030E15">
        <w:tc>
          <w:tcPr>
            <w:tcW w:w="7195" w:type="dxa"/>
          </w:tcPr>
          <w:p w14:paraId="3590682E" w14:textId="08E6AB9A" w:rsidR="00E450B1" w:rsidRPr="002B1DC2" w:rsidRDefault="00200989" w:rsidP="00030E15">
            <w:pPr>
              <w:spacing w:line="240" w:lineRule="auto"/>
              <w:rPr>
                <w:noProof/>
                <w:color w:val="auto"/>
              </w:rPr>
            </w:pPr>
            <w:r w:rsidRPr="002B1DC2">
              <w:rPr>
                <w:noProof/>
                <w:color w:val="auto"/>
              </w:rPr>
              <w:t>Vincent &amp; Janine Marino</w:t>
            </w:r>
          </w:p>
          <w:p w14:paraId="2A1A1D3D" w14:textId="6844F7A8" w:rsidR="00E450B1" w:rsidRPr="002B1DC2" w:rsidRDefault="00A43D78" w:rsidP="00030E15">
            <w:pPr>
              <w:spacing w:line="240" w:lineRule="auto"/>
              <w:rPr>
                <w:noProof/>
                <w:color w:val="auto"/>
              </w:rPr>
            </w:pPr>
            <w:r w:rsidRPr="002B1DC2">
              <w:rPr>
                <w:noProof/>
                <w:color w:val="auto"/>
              </w:rPr>
              <w:t>Doritha Palmer</w:t>
            </w:r>
          </w:p>
        </w:tc>
        <w:tc>
          <w:tcPr>
            <w:tcW w:w="2430" w:type="dxa"/>
          </w:tcPr>
          <w:p w14:paraId="68ABDF2C" w14:textId="273D952C" w:rsidR="00200989" w:rsidRPr="002B1DC2" w:rsidRDefault="00200989" w:rsidP="00030E15">
            <w:pPr>
              <w:spacing w:line="240" w:lineRule="auto"/>
              <w:rPr>
                <w:noProof/>
                <w:color w:val="auto"/>
              </w:rPr>
            </w:pPr>
            <w:r w:rsidRPr="002B1DC2">
              <w:rPr>
                <w:noProof/>
                <w:color w:val="auto"/>
              </w:rPr>
              <w:t>C-2021-3026280</w:t>
            </w:r>
          </w:p>
          <w:p w14:paraId="46E0881F" w14:textId="35818048" w:rsidR="009D3DBD" w:rsidRPr="002B1DC2" w:rsidRDefault="00A43D78" w:rsidP="002461DE">
            <w:pPr>
              <w:spacing w:line="240" w:lineRule="auto"/>
              <w:rPr>
                <w:color w:val="auto"/>
              </w:rPr>
            </w:pPr>
            <w:r w:rsidRPr="002B1DC2">
              <w:rPr>
                <w:noProof/>
                <w:color w:val="auto"/>
              </w:rPr>
              <w:t>C-2021-3026319</w:t>
            </w:r>
          </w:p>
        </w:tc>
      </w:tr>
      <w:tr w:rsidR="00200989" w14:paraId="7DF6A114" w14:textId="77777777" w:rsidTr="00030E15">
        <w:tc>
          <w:tcPr>
            <w:tcW w:w="7195" w:type="dxa"/>
          </w:tcPr>
          <w:p w14:paraId="5639F9C2" w14:textId="7289B390" w:rsidR="00200989" w:rsidRPr="002B1DC2" w:rsidRDefault="00200989" w:rsidP="00030E15">
            <w:pPr>
              <w:spacing w:line="240" w:lineRule="auto"/>
              <w:rPr>
                <w:color w:val="auto"/>
              </w:rPr>
            </w:pPr>
            <w:r w:rsidRPr="002B1DC2">
              <w:rPr>
                <w:noProof/>
                <w:color w:val="auto"/>
              </w:rPr>
              <w:t>Kathleen</w:t>
            </w:r>
            <w:r w:rsidR="00971E21" w:rsidRPr="002B1DC2">
              <w:rPr>
                <w:noProof/>
                <w:color w:val="auto"/>
              </w:rPr>
              <w:t xml:space="preserve"> &amp; Gerald</w:t>
            </w:r>
            <w:r w:rsidRPr="002B1DC2">
              <w:rPr>
                <w:noProof/>
                <w:color w:val="auto"/>
              </w:rPr>
              <w:t xml:space="preserve"> Raphael</w:t>
            </w:r>
          </w:p>
        </w:tc>
        <w:tc>
          <w:tcPr>
            <w:tcW w:w="2430" w:type="dxa"/>
          </w:tcPr>
          <w:p w14:paraId="092F7DB8" w14:textId="77777777" w:rsidR="00200989" w:rsidRPr="002B1DC2" w:rsidRDefault="00200989" w:rsidP="00030E15">
            <w:pPr>
              <w:spacing w:line="240" w:lineRule="auto"/>
              <w:rPr>
                <w:color w:val="auto"/>
              </w:rPr>
            </w:pPr>
            <w:r w:rsidRPr="002B1DC2">
              <w:rPr>
                <w:noProof/>
                <w:color w:val="auto"/>
              </w:rPr>
              <w:t>C-2021-3026402</w:t>
            </w:r>
          </w:p>
        </w:tc>
      </w:tr>
      <w:tr w:rsidR="0092155E" w:rsidRPr="0092155E" w14:paraId="6AE931C0" w14:textId="77777777" w:rsidTr="00030E15">
        <w:tc>
          <w:tcPr>
            <w:tcW w:w="7195" w:type="dxa"/>
          </w:tcPr>
          <w:p w14:paraId="798E8708" w14:textId="77777777" w:rsidR="00200989" w:rsidRPr="002B1DC2" w:rsidRDefault="00200989" w:rsidP="00030E15">
            <w:pPr>
              <w:spacing w:line="240" w:lineRule="auto"/>
              <w:rPr>
                <w:color w:val="auto"/>
              </w:rPr>
            </w:pPr>
            <w:r w:rsidRPr="002B1DC2">
              <w:rPr>
                <w:noProof/>
                <w:color w:val="auto"/>
              </w:rPr>
              <w:t>Ronald &amp; Janice Fraioli</w:t>
            </w:r>
          </w:p>
        </w:tc>
        <w:tc>
          <w:tcPr>
            <w:tcW w:w="2430" w:type="dxa"/>
          </w:tcPr>
          <w:p w14:paraId="6BDF2707" w14:textId="77777777" w:rsidR="00200989" w:rsidRPr="002B1DC2" w:rsidRDefault="00200989" w:rsidP="00030E15">
            <w:pPr>
              <w:spacing w:line="240" w:lineRule="auto"/>
              <w:rPr>
                <w:color w:val="auto"/>
              </w:rPr>
            </w:pPr>
            <w:r w:rsidRPr="002B1DC2">
              <w:rPr>
                <w:noProof/>
                <w:color w:val="auto"/>
              </w:rPr>
              <w:t>C-2021-3026429</w:t>
            </w:r>
          </w:p>
        </w:tc>
      </w:tr>
      <w:tr w:rsidR="00200989" w14:paraId="6D25C3DE" w14:textId="77777777" w:rsidTr="00030E15">
        <w:tc>
          <w:tcPr>
            <w:tcW w:w="7195" w:type="dxa"/>
          </w:tcPr>
          <w:p w14:paraId="0F26767C" w14:textId="77777777" w:rsidR="00200989" w:rsidRPr="002B1DC2" w:rsidRDefault="00200989" w:rsidP="00030E15">
            <w:pPr>
              <w:spacing w:line="240" w:lineRule="auto"/>
              <w:rPr>
                <w:color w:val="auto"/>
              </w:rPr>
            </w:pPr>
            <w:r w:rsidRPr="002B1DC2">
              <w:rPr>
                <w:noProof/>
                <w:color w:val="auto"/>
              </w:rPr>
              <w:t>Sharon Tunstall</w:t>
            </w:r>
          </w:p>
        </w:tc>
        <w:tc>
          <w:tcPr>
            <w:tcW w:w="2430" w:type="dxa"/>
          </w:tcPr>
          <w:p w14:paraId="519C1D88" w14:textId="4E54ABEF" w:rsidR="00200989" w:rsidRPr="002B1DC2" w:rsidRDefault="00200989" w:rsidP="00030E15">
            <w:pPr>
              <w:spacing w:line="240" w:lineRule="auto"/>
              <w:rPr>
                <w:color w:val="auto"/>
              </w:rPr>
            </w:pPr>
            <w:r w:rsidRPr="002B1DC2">
              <w:rPr>
                <w:noProof/>
                <w:color w:val="auto"/>
              </w:rPr>
              <w:t>C-2021</w:t>
            </w:r>
            <w:r w:rsidR="007B7911" w:rsidRPr="002B1DC2">
              <w:rPr>
                <w:noProof/>
                <w:color w:val="auto"/>
              </w:rPr>
              <w:t>-</w:t>
            </w:r>
            <w:r w:rsidRPr="002B1DC2">
              <w:rPr>
                <w:noProof/>
                <w:color w:val="auto"/>
              </w:rPr>
              <w:t>3026432</w:t>
            </w:r>
          </w:p>
        </w:tc>
      </w:tr>
      <w:tr w:rsidR="00200989" w14:paraId="1CAD97B1" w14:textId="77777777" w:rsidTr="00030E15">
        <w:tc>
          <w:tcPr>
            <w:tcW w:w="7195" w:type="dxa"/>
          </w:tcPr>
          <w:p w14:paraId="5CD81734" w14:textId="77777777" w:rsidR="00200989" w:rsidRPr="002B1DC2" w:rsidRDefault="00200989" w:rsidP="00030E15">
            <w:pPr>
              <w:spacing w:line="240" w:lineRule="auto"/>
              <w:rPr>
                <w:color w:val="auto"/>
              </w:rPr>
            </w:pPr>
            <w:r w:rsidRPr="002B1DC2">
              <w:rPr>
                <w:noProof/>
                <w:color w:val="auto"/>
              </w:rPr>
              <w:t>Colville Oswald Browne</w:t>
            </w:r>
          </w:p>
        </w:tc>
        <w:tc>
          <w:tcPr>
            <w:tcW w:w="2430" w:type="dxa"/>
          </w:tcPr>
          <w:p w14:paraId="68FF13F5" w14:textId="77777777" w:rsidR="00200989" w:rsidRPr="002B1DC2" w:rsidRDefault="00200989" w:rsidP="00030E15">
            <w:pPr>
              <w:spacing w:line="240" w:lineRule="auto"/>
              <w:rPr>
                <w:color w:val="auto"/>
              </w:rPr>
            </w:pPr>
            <w:r w:rsidRPr="002B1DC2">
              <w:rPr>
                <w:noProof/>
                <w:color w:val="auto"/>
              </w:rPr>
              <w:t>C-2021-3026434</w:t>
            </w:r>
          </w:p>
        </w:tc>
      </w:tr>
      <w:tr w:rsidR="00200989" w14:paraId="4BEA78FF" w14:textId="77777777" w:rsidTr="00030E15">
        <w:tc>
          <w:tcPr>
            <w:tcW w:w="7195" w:type="dxa"/>
          </w:tcPr>
          <w:p w14:paraId="4AA1142D" w14:textId="77777777" w:rsidR="00200989" w:rsidRPr="002B1DC2" w:rsidRDefault="00200989" w:rsidP="00030E15">
            <w:pPr>
              <w:spacing w:line="240" w:lineRule="auto"/>
              <w:rPr>
                <w:color w:val="auto"/>
              </w:rPr>
            </w:pPr>
            <w:r w:rsidRPr="002B1DC2">
              <w:rPr>
                <w:noProof/>
                <w:color w:val="auto"/>
              </w:rPr>
              <w:t>Mona Annicaro</w:t>
            </w:r>
          </w:p>
        </w:tc>
        <w:tc>
          <w:tcPr>
            <w:tcW w:w="2430" w:type="dxa"/>
          </w:tcPr>
          <w:p w14:paraId="208FE900" w14:textId="77777777" w:rsidR="00200989" w:rsidRPr="002B1DC2" w:rsidRDefault="00200989" w:rsidP="00030E15">
            <w:pPr>
              <w:spacing w:line="240" w:lineRule="auto"/>
              <w:rPr>
                <w:color w:val="auto"/>
              </w:rPr>
            </w:pPr>
            <w:r w:rsidRPr="002B1DC2">
              <w:rPr>
                <w:noProof/>
                <w:color w:val="auto"/>
              </w:rPr>
              <w:t>C-2021-3026442</w:t>
            </w:r>
          </w:p>
        </w:tc>
      </w:tr>
      <w:tr w:rsidR="00200989" w14:paraId="22CE3E10" w14:textId="77777777" w:rsidTr="00030E15">
        <w:tc>
          <w:tcPr>
            <w:tcW w:w="7195" w:type="dxa"/>
          </w:tcPr>
          <w:p w14:paraId="7D3099DC" w14:textId="77777777" w:rsidR="00200989" w:rsidRPr="002B1DC2" w:rsidRDefault="00200989" w:rsidP="00030E15">
            <w:pPr>
              <w:spacing w:line="240" w:lineRule="auto"/>
              <w:rPr>
                <w:color w:val="auto"/>
              </w:rPr>
            </w:pPr>
            <w:r w:rsidRPr="002B1DC2">
              <w:rPr>
                <w:noProof/>
                <w:color w:val="auto"/>
              </w:rPr>
              <w:t>Richard &amp; Susan Di Piazza</w:t>
            </w:r>
          </w:p>
        </w:tc>
        <w:tc>
          <w:tcPr>
            <w:tcW w:w="2430" w:type="dxa"/>
          </w:tcPr>
          <w:p w14:paraId="4C8B9B36" w14:textId="77777777" w:rsidR="00200989" w:rsidRPr="002B1DC2" w:rsidRDefault="00200989" w:rsidP="00030E15">
            <w:pPr>
              <w:spacing w:line="240" w:lineRule="auto"/>
              <w:rPr>
                <w:color w:val="auto"/>
              </w:rPr>
            </w:pPr>
            <w:r w:rsidRPr="002B1DC2">
              <w:rPr>
                <w:noProof/>
                <w:color w:val="auto"/>
              </w:rPr>
              <w:t>C-2021-3026443</w:t>
            </w:r>
          </w:p>
        </w:tc>
      </w:tr>
      <w:tr w:rsidR="00200989" w14:paraId="5974DF65" w14:textId="77777777" w:rsidTr="00030E15">
        <w:tc>
          <w:tcPr>
            <w:tcW w:w="7195" w:type="dxa"/>
          </w:tcPr>
          <w:p w14:paraId="5D2F9E50" w14:textId="77777777" w:rsidR="00200989" w:rsidRPr="002B1DC2" w:rsidRDefault="00200989" w:rsidP="00030E15">
            <w:pPr>
              <w:spacing w:line="240" w:lineRule="auto"/>
              <w:rPr>
                <w:color w:val="auto"/>
              </w:rPr>
            </w:pPr>
            <w:r w:rsidRPr="002B1DC2">
              <w:rPr>
                <w:noProof/>
                <w:color w:val="auto"/>
              </w:rPr>
              <w:t>Severo Barza</w:t>
            </w:r>
          </w:p>
        </w:tc>
        <w:tc>
          <w:tcPr>
            <w:tcW w:w="2430" w:type="dxa"/>
          </w:tcPr>
          <w:p w14:paraId="06D94D3D" w14:textId="77777777" w:rsidR="00200989" w:rsidRPr="002B1DC2" w:rsidRDefault="00200989" w:rsidP="00030E15">
            <w:pPr>
              <w:spacing w:line="240" w:lineRule="auto"/>
              <w:rPr>
                <w:color w:val="auto"/>
              </w:rPr>
            </w:pPr>
            <w:r w:rsidRPr="002B1DC2">
              <w:rPr>
                <w:noProof/>
                <w:color w:val="auto"/>
              </w:rPr>
              <w:t>C-2021-3026445</w:t>
            </w:r>
          </w:p>
        </w:tc>
      </w:tr>
      <w:tr w:rsidR="00200989" w14:paraId="7C875EE0" w14:textId="77777777" w:rsidTr="00030E15">
        <w:tc>
          <w:tcPr>
            <w:tcW w:w="7195" w:type="dxa"/>
          </w:tcPr>
          <w:p w14:paraId="73AB1568" w14:textId="77777777" w:rsidR="00200989" w:rsidRPr="002B1DC2" w:rsidRDefault="00200989" w:rsidP="00030E15">
            <w:pPr>
              <w:spacing w:line="240" w:lineRule="auto"/>
              <w:rPr>
                <w:color w:val="auto"/>
              </w:rPr>
            </w:pPr>
            <w:r w:rsidRPr="002B1DC2">
              <w:rPr>
                <w:noProof/>
                <w:color w:val="auto"/>
              </w:rPr>
              <w:t>Barbara Ann Mirkovic</w:t>
            </w:r>
          </w:p>
        </w:tc>
        <w:tc>
          <w:tcPr>
            <w:tcW w:w="2430" w:type="dxa"/>
          </w:tcPr>
          <w:p w14:paraId="05613052" w14:textId="77777777" w:rsidR="00200989" w:rsidRPr="002B1DC2" w:rsidRDefault="00200989" w:rsidP="00030E15">
            <w:pPr>
              <w:spacing w:line="240" w:lineRule="auto"/>
              <w:rPr>
                <w:color w:val="auto"/>
              </w:rPr>
            </w:pPr>
            <w:r w:rsidRPr="002B1DC2">
              <w:rPr>
                <w:noProof/>
                <w:color w:val="auto"/>
              </w:rPr>
              <w:t>C-2021-3026450</w:t>
            </w:r>
          </w:p>
        </w:tc>
      </w:tr>
      <w:tr w:rsidR="00200989" w14:paraId="580516D0" w14:textId="77777777" w:rsidTr="00030E15">
        <w:tc>
          <w:tcPr>
            <w:tcW w:w="7195" w:type="dxa"/>
          </w:tcPr>
          <w:p w14:paraId="704FB434" w14:textId="77777777" w:rsidR="00200989" w:rsidRPr="002B1DC2" w:rsidRDefault="00200989" w:rsidP="00030E15">
            <w:pPr>
              <w:spacing w:line="240" w:lineRule="auto"/>
              <w:rPr>
                <w:color w:val="auto"/>
              </w:rPr>
            </w:pPr>
            <w:r w:rsidRPr="002B1DC2">
              <w:rPr>
                <w:noProof/>
                <w:color w:val="auto"/>
              </w:rPr>
              <w:t>Gustavo Espinal</w:t>
            </w:r>
          </w:p>
        </w:tc>
        <w:tc>
          <w:tcPr>
            <w:tcW w:w="2430" w:type="dxa"/>
          </w:tcPr>
          <w:p w14:paraId="3CC12068" w14:textId="77777777" w:rsidR="00200989" w:rsidRPr="002B1DC2" w:rsidRDefault="00200989" w:rsidP="00030E15">
            <w:pPr>
              <w:spacing w:line="240" w:lineRule="auto"/>
              <w:rPr>
                <w:color w:val="auto"/>
              </w:rPr>
            </w:pPr>
            <w:r w:rsidRPr="002B1DC2">
              <w:rPr>
                <w:noProof/>
                <w:color w:val="auto"/>
              </w:rPr>
              <w:t>C-2021-3026453</w:t>
            </w:r>
          </w:p>
        </w:tc>
      </w:tr>
      <w:tr w:rsidR="00200989" w14:paraId="1325D52D" w14:textId="77777777" w:rsidTr="00030E15">
        <w:tc>
          <w:tcPr>
            <w:tcW w:w="7195" w:type="dxa"/>
          </w:tcPr>
          <w:p w14:paraId="56490C04" w14:textId="77777777" w:rsidR="00200989" w:rsidRPr="002B1DC2" w:rsidRDefault="00200989" w:rsidP="00030E15">
            <w:pPr>
              <w:spacing w:line="240" w:lineRule="auto"/>
              <w:rPr>
                <w:color w:val="auto"/>
              </w:rPr>
            </w:pPr>
            <w:r w:rsidRPr="002B1DC2">
              <w:rPr>
                <w:noProof/>
                <w:color w:val="auto"/>
              </w:rPr>
              <w:t>David Fuchs</w:t>
            </w:r>
          </w:p>
        </w:tc>
        <w:tc>
          <w:tcPr>
            <w:tcW w:w="2430" w:type="dxa"/>
          </w:tcPr>
          <w:p w14:paraId="4B5EE938" w14:textId="77777777" w:rsidR="00200989" w:rsidRPr="002B1DC2" w:rsidRDefault="00200989" w:rsidP="00030E15">
            <w:pPr>
              <w:spacing w:line="240" w:lineRule="auto"/>
              <w:rPr>
                <w:color w:val="auto"/>
              </w:rPr>
            </w:pPr>
            <w:r w:rsidRPr="002B1DC2">
              <w:rPr>
                <w:noProof/>
                <w:color w:val="auto"/>
              </w:rPr>
              <w:t>C-2021-3026455</w:t>
            </w:r>
          </w:p>
        </w:tc>
      </w:tr>
      <w:tr w:rsidR="00200989" w14:paraId="5A65CD99" w14:textId="77777777" w:rsidTr="00030E15">
        <w:tc>
          <w:tcPr>
            <w:tcW w:w="7195" w:type="dxa"/>
          </w:tcPr>
          <w:p w14:paraId="2D6FCBEE" w14:textId="77777777" w:rsidR="00200989" w:rsidRPr="002B1DC2" w:rsidRDefault="00200989" w:rsidP="00030E15">
            <w:pPr>
              <w:spacing w:line="240" w:lineRule="auto"/>
              <w:rPr>
                <w:color w:val="auto"/>
              </w:rPr>
            </w:pPr>
            <w:r w:rsidRPr="002B1DC2">
              <w:rPr>
                <w:noProof/>
                <w:color w:val="auto"/>
              </w:rPr>
              <w:t>Rose Cocklin</w:t>
            </w:r>
          </w:p>
        </w:tc>
        <w:tc>
          <w:tcPr>
            <w:tcW w:w="2430" w:type="dxa"/>
          </w:tcPr>
          <w:p w14:paraId="34EF4639" w14:textId="77777777" w:rsidR="00200989" w:rsidRPr="002B1DC2" w:rsidRDefault="00200989" w:rsidP="00030E15">
            <w:pPr>
              <w:spacing w:line="240" w:lineRule="auto"/>
              <w:rPr>
                <w:color w:val="auto"/>
              </w:rPr>
            </w:pPr>
            <w:r w:rsidRPr="002B1DC2">
              <w:rPr>
                <w:noProof/>
                <w:color w:val="auto"/>
              </w:rPr>
              <w:t>C-2021-3026457</w:t>
            </w:r>
          </w:p>
        </w:tc>
      </w:tr>
      <w:tr w:rsidR="00200989" w14:paraId="665F0AF3" w14:textId="77777777" w:rsidTr="00030E15">
        <w:tc>
          <w:tcPr>
            <w:tcW w:w="7195" w:type="dxa"/>
          </w:tcPr>
          <w:p w14:paraId="0E8D5F12" w14:textId="77777777" w:rsidR="00200989" w:rsidRPr="002B1DC2" w:rsidRDefault="00200989" w:rsidP="00030E15">
            <w:pPr>
              <w:spacing w:line="240" w:lineRule="auto"/>
              <w:rPr>
                <w:color w:val="auto"/>
              </w:rPr>
            </w:pPr>
            <w:r w:rsidRPr="002B1DC2">
              <w:rPr>
                <w:noProof/>
                <w:color w:val="auto"/>
              </w:rPr>
              <w:t>Dominick &amp; Cindy Toscano</w:t>
            </w:r>
          </w:p>
        </w:tc>
        <w:tc>
          <w:tcPr>
            <w:tcW w:w="2430" w:type="dxa"/>
          </w:tcPr>
          <w:p w14:paraId="6084EC03" w14:textId="77777777" w:rsidR="00200989" w:rsidRPr="002B1DC2" w:rsidRDefault="00200989" w:rsidP="00030E15">
            <w:pPr>
              <w:spacing w:line="240" w:lineRule="auto"/>
              <w:rPr>
                <w:color w:val="auto"/>
              </w:rPr>
            </w:pPr>
            <w:r w:rsidRPr="002B1DC2">
              <w:rPr>
                <w:noProof/>
                <w:color w:val="auto"/>
              </w:rPr>
              <w:t>C-2021-3026460</w:t>
            </w:r>
          </w:p>
        </w:tc>
      </w:tr>
      <w:tr w:rsidR="00200989" w14:paraId="7238CDB8" w14:textId="77777777" w:rsidTr="00030E15">
        <w:tc>
          <w:tcPr>
            <w:tcW w:w="7195" w:type="dxa"/>
          </w:tcPr>
          <w:p w14:paraId="673400A4" w14:textId="77777777" w:rsidR="00200989" w:rsidRPr="002B1DC2" w:rsidRDefault="00200989" w:rsidP="00030E15">
            <w:pPr>
              <w:spacing w:line="240" w:lineRule="auto"/>
              <w:rPr>
                <w:color w:val="auto"/>
              </w:rPr>
            </w:pPr>
            <w:r w:rsidRPr="002B1DC2">
              <w:rPr>
                <w:noProof/>
                <w:color w:val="auto"/>
              </w:rPr>
              <w:t>Douglas Beckworth</w:t>
            </w:r>
          </w:p>
        </w:tc>
        <w:tc>
          <w:tcPr>
            <w:tcW w:w="2430" w:type="dxa"/>
          </w:tcPr>
          <w:p w14:paraId="510970CA" w14:textId="77777777" w:rsidR="00200989" w:rsidRPr="002B1DC2" w:rsidRDefault="00200989" w:rsidP="00030E15">
            <w:pPr>
              <w:spacing w:line="240" w:lineRule="auto"/>
              <w:rPr>
                <w:color w:val="auto"/>
              </w:rPr>
            </w:pPr>
            <w:r w:rsidRPr="002B1DC2">
              <w:rPr>
                <w:noProof/>
                <w:color w:val="auto"/>
              </w:rPr>
              <w:t>C-2021-3026464</w:t>
            </w:r>
          </w:p>
        </w:tc>
      </w:tr>
      <w:tr w:rsidR="00200989" w14:paraId="29384B67" w14:textId="77777777" w:rsidTr="00030E15">
        <w:tc>
          <w:tcPr>
            <w:tcW w:w="7195" w:type="dxa"/>
          </w:tcPr>
          <w:p w14:paraId="083911F8" w14:textId="77777777" w:rsidR="00200989" w:rsidRPr="002B1DC2" w:rsidRDefault="00200989" w:rsidP="00030E15">
            <w:pPr>
              <w:spacing w:line="240" w:lineRule="auto"/>
              <w:rPr>
                <w:color w:val="auto"/>
              </w:rPr>
            </w:pPr>
            <w:r w:rsidRPr="002B1DC2">
              <w:rPr>
                <w:noProof/>
                <w:color w:val="auto"/>
              </w:rPr>
              <w:t>Marcus &amp; Bernalyn Clarke</w:t>
            </w:r>
          </w:p>
        </w:tc>
        <w:tc>
          <w:tcPr>
            <w:tcW w:w="2430" w:type="dxa"/>
          </w:tcPr>
          <w:p w14:paraId="10730FF8" w14:textId="77777777" w:rsidR="00200989" w:rsidRPr="002B1DC2" w:rsidRDefault="00200989" w:rsidP="00030E15">
            <w:pPr>
              <w:spacing w:line="240" w:lineRule="auto"/>
              <w:rPr>
                <w:color w:val="auto"/>
              </w:rPr>
            </w:pPr>
            <w:r w:rsidRPr="002B1DC2">
              <w:rPr>
                <w:noProof/>
                <w:color w:val="auto"/>
              </w:rPr>
              <w:t>C-2021-3026466</w:t>
            </w:r>
          </w:p>
        </w:tc>
      </w:tr>
      <w:tr w:rsidR="00200989" w14:paraId="7FFD4075" w14:textId="77777777" w:rsidTr="00030E15">
        <w:tc>
          <w:tcPr>
            <w:tcW w:w="7195" w:type="dxa"/>
          </w:tcPr>
          <w:p w14:paraId="6FB16BA2" w14:textId="77777777" w:rsidR="00200989" w:rsidRPr="002B1DC2" w:rsidRDefault="00200989" w:rsidP="00030E15">
            <w:pPr>
              <w:spacing w:line="240" w:lineRule="auto"/>
              <w:rPr>
                <w:color w:val="auto"/>
              </w:rPr>
            </w:pPr>
            <w:r w:rsidRPr="002B1DC2">
              <w:rPr>
                <w:noProof/>
                <w:color w:val="auto"/>
              </w:rPr>
              <w:t>Katherine Cassidy</w:t>
            </w:r>
          </w:p>
        </w:tc>
        <w:tc>
          <w:tcPr>
            <w:tcW w:w="2430" w:type="dxa"/>
          </w:tcPr>
          <w:p w14:paraId="047B0F0E" w14:textId="77777777" w:rsidR="00200989" w:rsidRPr="002B1DC2" w:rsidRDefault="00200989" w:rsidP="00030E15">
            <w:pPr>
              <w:spacing w:line="240" w:lineRule="auto"/>
              <w:rPr>
                <w:color w:val="auto"/>
              </w:rPr>
            </w:pPr>
            <w:r w:rsidRPr="002B1DC2">
              <w:rPr>
                <w:noProof/>
                <w:color w:val="auto"/>
              </w:rPr>
              <w:t>C-2021-3026469</w:t>
            </w:r>
          </w:p>
        </w:tc>
      </w:tr>
      <w:tr w:rsidR="00200989" w14:paraId="7B117B95" w14:textId="77777777" w:rsidTr="00030E15">
        <w:tc>
          <w:tcPr>
            <w:tcW w:w="7195" w:type="dxa"/>
          </w:tcPr>
          <w:p w14:paraId="319EC76F" w14:textId="77777777" w:rsidR="00200989" w:rsidRPr="002B1DC2" w:rsidRDefault="00200989" w:rsidP="00030E15">
            <w:pPr>
              <w:spacing w:line="240" w:lineRule="auto"/>
              <w:rPr>
                <w:color w:val="auto"/>
              </w:rPr>
            </w:pPr>
            <w:r w:rsidRPr="002B1DC2">
              <w:rPr>
                <w:noProof/>
                <w:color w:val="auto"/>
              </w:rPr>
              <w:t>David Touma</w:t>
            </w:r>
          </w:p>
        </w:tc>
        <w:tc>
          <w:tcPr>
            <w:tcW w:w="2430" w:type="dxa"/>
          </w:tcPr>
          <w:p w14:paraId="3355BBC6" w14:textId="77777777" w:rsidR="00200989" w:rsidRPr="002B1DC2" w:rsidRDefault="00200989" w:rsidP="00030E15">
            <w:pPr>
              <w:spacing w:line="240" w:lineRule="auto"/>
              <w:rPr>
                <w:color w:val="auto"/>
              </w:rPr>
            </w:pPr>
            <w:r w:rsidRPr="002B1DC2">
              <w:rPr>
                <w:noProof/>
                <w:color w:val="auto"/>
              </w:rPr>
              <w:t>C-2021-3026476</w:t>
            </w:r>
          </w:p>
        </w:tc>
      </w:tr>
      <w:tr w:rsidR="00200989" w14:paraId="4CC1A4E8" w14:textId="77777777" w:rsidTr="00030E15">
        <w:tc>
          <w:tcPr>
            <w:tcW w:w="7195" w:type="dxa"/>
          </w:tcPr>
          <w:p w14:paraId="5C22DEFF" w14:textId="77777777" w:rsidR="00200989" w:rsidRPr="002B1DC2" w:rsidRDefault="00200989" w:rsidP="00030E15">
            <w:pPr>
              <w:spacing w:line="240" w:lineRule="auto"/>
              <w:rPr>
                <w:color w:val="auto"/>
              </w:rPr>
            </w:pPr>
            <w:r w:rsidRPr="002B1DC2">
              <w:rPr>
                <w:noProof/>
                <w:color w:val="auto"/>
              </w:rPr>
              <w:t>William &amp; Dahlia Merritt</w:t>
            </w:r>
          </w:p>
        </w:tc>
        <w:tc>
          <w:tcPr>
            <w:tcW w:w="2430" w:type="dxa"/>
          </w:tcPr>
          <w:p w14:paraId="40D1D413" w14:textId="77777777" w:rsidR="00200989" w:rsidRPr="002B1DC2" w:rsidRDefault="00200989" w:rsidP="00030E15">
            <w:pPr>
              <w:spacing w:line="240" w:lineRule="auto"/>
              <w:rPr>
                <w:color w:val="auto"/>
              </w:rPr>
            </w:pPr>
            <w:r w:rsidRPr="002B1DC2">
              <w:rPr>
                <w:noProof/>
                <w:color w:val="auto"/>
              </w:rPr>
              <w:t>C-2021-3026547</w:t>
            </w:r>
          </w:p>
        </w:tc>
      </w:tr>
      <w:tr w:rsidR="00200989" w14:paraId="2261AD0E" w14:textId="77777777" w:rsidTr="00030E15">
        <w:tc>
          <w:tcPr>
            <w:tcW w:w="7195" w:type="dxa"/>
          </w:tcPr>
          <w:p w14:paraId="3BE0477A" w14:textId="77777777" w:rsidR="00200989" w:rsidRPr="002B1DC2" w:rsidRDefault="00200989" w:rsidP="00030E15">
            <w:pPr>
              <w:spacing w:line="240" w:lineRule="auto"/>
              <w:rPr>
                <w:color w:val="auto"/>
              </w:rPr>
            </w:pPr>
            <w:r w:rsidRPr="002B1DC2">
              <w:rPr>
                <w:noProof/>
                <w:color w:val="auto"/>
              </w:rPr>
              <w:t>Ronald Pocoro</w:t>
            </w:r>
          </w:p>
        </w:tc>
        <w:tc>
          <w:tcPr>
            <w:tcW w:w="2430" w:type="dxa"/>
          </w:tcPr>
          <w:p w14:paraId="2622DC14" w14:textId="77777777" w:rsidR="00200989" w:rsidRPr="002B1DC2" w:rsidRDefault="00200989" w:rsidP="00030E15">
            <w:pPr>
              <w:spacing w:line="240" w:lineRule="auto"/>
              <w:rPr>
                <w:color w:val="auto"/>
              </w:rPr>
            </w:pPr>
            <w:r w:rsidRPr="002B1DC2">
              <w:rPr>
                <w:noProof/>
                <w:color w:val="auto"/>
              </w:rPr>
              <w:t>C-2021-3026559</w:t>
            </w:r>
          </w:p>
        </w:tc>
      </w:tr>
      <w:tr w:rsidR="00200989" w14:paraId="7AA39C09" w14:textId="77777777" w:rsidTr="00030E15">
        <w:tc>
          <w:tcPr>
            <w:tcW w:w="7195" w:type="dxa"/>
          </w:tcPr>
          <w:p w14:paraId="1838B7FF" w14:textId="48C15880" w:rsidR="00200989" w:rsidRPr="002B1DC2" w:rsidRDefault="00200989" w:rsidP="00030E15">
            <w:pPr>
              <w:spacing w:line="240" w:lineRule="auto"/>
              <w:rPr>
                <w:color w:val="auto"/>
              </w:rPr>
            </w:pPr>
            <w:r w:rsidRPr="002B1DC2">
              <w:rPr>
                <w:noProof/>
                <w:color w:val="auto"/>
              </w:rPr>
              <w:t>Christina Boers</w:t>
            </w:r>
          </w:p>
        </w:tc>
        <w:tc>
          <w:tcPr>
            <w:tcW w:w="2430" w:type="dxa"/>
          </w:tcPr>
          <w:p w14:paraId="52F7772B" w14:textId="77777777" w:rsidR="00200989" w:rsidRPr="002B1DC2" w:rsidRDefault="00200989" w:rsidP="00030E15">
            <w:pPr>
              <w:spacing w:line="240" w:lineRule="auto"/>
              <w:rPr>
                <w:color w:val="auto"/>
              </w:rPr>
            </w:pPr>
            <w:r w:rsidRPr="002B1DC2">
              <w:rPr>
                <w:noProof/>
                <w:color w:val="auto"/>
              </w:rPr>
              <w:t>C-2021-3026571</w:t>
            </w:r>
          </w:p>
        </w:tc>
      </w:tr>
      <w:tr w:rsidR="00603561" w14:paraId="299210A2" w14:textId="77777777" w:rsidTr="00030E15">
        <w:tc>
          <w:tcPr>
            <w:tcW w:w="7195" w:type="dxa"/>
          </w:tcPr>
          <w:p w14:paraId="46F7C362" w14:textId="79ECAB0A" w:rsidR="00603561" w:rsidRPr="002B1DC2" w:rsidRDefault="00603561" w:rsidP="00030E15">
            <w:pPr>
              <w:spacing w:line="240" w:lineRule="auto"/>
              <w:rPr>
                <w:noProof/>
                <w:color w:val="auto"/>
              </w:rPr>
            </w:pPr>
            <w:r w:rsidRPr="002B1DC2">
              <w:rPr>
                <w:noProof/>
                <w:color w:val="auto"/>
              </w:rPr>
              <w:t>Bonnie Rudeski</w:t>
            </w:r>
          </w:p>
        </w:tc>
        <w:tc>
          <w:tcPr>
            <w:tcW w:w="2430" w:type="dxa"/>
          </w:tcPr>
          <w:p w14:paraId="2A0F573A" w14:textId="2B68C437" w:rsidR="00603561" w:rsidRPr="002B1DC2" w:rsidRDefault="00603561" w:rsidP="00030E15">
            <w:pPr>
              <w:spacing w:line="240" w:lineRule="auto"/>
              <w:rPr>
                <w:noProof/>
                <w:color w:val="auto"/>
              </w:rPr>
            </w:pPr>
            <w:r w:rsidRPr="002B1DC2">
              <w:rPr>
                <w:noProof/>
                <w:color w:val="auto"/>
              </w:rPr>
              <w:t>C-2021-3026587</w:t>
            </w:r>
          </w:p>
        </w:tc>
      </w:tr>
      <w:tr w:rsidR="00200989" w14:paraId="0D8D061F" w14:textId="77777777" w:rsidTr="00030E15">
        <w:tc>
          <w:tcPr>
            <w:tcW w:w="7195" w:type="dxa"/>
          </w:tcPr>
          <w:p w14:paraId="71A6094A" w14:textId="77777777" w:rsidR="00200989" w:rsidRPr="002B1DC2" w:rsidRDefault="00200989" w:rsidP="00030E15">
            <w:pPr>
              <w:spacing w:line="240" w:lineRule="auto"/>
              <w:rPr>
                <w:color w:val="auto"/>
              </w:rPr>
            </w:pPr>
            <w:r w:rsidRPr="002B1DC2">
              <w:rPr>
                <w:noProof/>
                <w:color w:val="auto"/>
              </w:rPr>
              <w:t>David Squilliciotti</w:t>
            </w:r>
          </w:p>
        </w:tc>
        <w:tc>
          <w:tcPr>
            <w:tcW w:w="2430" w:type="dxa"/>
          </w:tcPr>
          <w:p w14:paraId="09BF5E30" w14:textId="77777777" w:rsidR="00200989" w:rsidRPr="002B1DC2" w:rsidRDefault="00200989" w:rsidP="00030E15">
            <w:pPr>
              <w:spacing w:line="240" w:lineRule="auto"/>
              <w:rPr>
                <w:color w:val="auto"/>
              </w:rPr>
            </w:pPr>
            <w:r w:rsidRPr="002B1DC2">
              <w:rPr>
                <w:noProof/>
                <w:color w:val="auto"/>
              </w:rPr>
              <w:t>C-2021-3026588</w:t>
            </w:r>
          </w:p>
        </w:tc>
      </w:tr>
      <w:tr w:rsidR="00200989" w14:paraId="6E3F3544" w14:textId="77777777" w:rsidTr="00030E15">
        <w:tc>
          <w:tcPr>
            <w:tcW w:w="7195" w:type="dxa"/>
          </w:tcPr>
          <w:p w14:paraId="76308CF4" w14:textId="76001A5E" w:rsidR="00200989" w:rsidRPr="002B1DC2" w:rsidRDefault="00200989" w:rsidP="00030E15">
            <w:pPr>
              <w:spacing w:line="240" w:lineRule="auto"/>
              <w:rPr>
                <w:color w:val="auto"/>
              </w:rPr>
            </w:pPr>
            <w:r w:rsidRPr="002B1DC2">
              <w:rPr>
                <w:noProof/>
                <w:color w:val="auto"/>
              </w:rPr>
              <w:t>Kathleen &amp; Gera</w:t>
            </w:r>
            <w:r w:rsidR="00971E21" w:rsidRPr="002B1DC2">
              <w:rPr>
                <w:noProof/>
                <w:color w:val="auto"/>
              </w:rPr>
              <w:t>l</w:t>
            </w:r>
            <w:r w:rsidRPr="002B1DC2">
              <w:rPr>
                <w:noProof/>
                <w:color w:val="auto"/>
              </w:rPr>
              <w:t>d Raphael</w:t>
            </w:r>
          </w:p>
        </w:tc>
        <w:tc>
          <w:tcPr>
            <w:tcW w:w="2430" w:type="dxa"/>
          </w:tcPr>
          <w:p w14:paraId="3F9C6799" w14:textId="77777777" w:rsidR="00200989" w:rsidRPr="002B1DC2" w:rsidRDefault="00200989" w:rsidP="00030E15">
            <w:pPr>
              <w:spacing w:line="240" w:lineRule="auto"/>
              <w:rPr>
                <w:color w:val="auto"/>
              </w:rPr>
            </w:pPr>
            <w:r w:rsidRPr="002B1DC2">
              <w:rPr>
                <w:noProof/>
                <w:color w:val="auto"/>
              </w:rPr>
              <w:t>C-2021-3026624</w:t>
            </w:r>
          </w:p>
        </w:tc>
      </w:tr>
      <w:tr w:rsidR="00B253E5" w14:paraId="77D267A9" w14:textId="77777777" w:rsidTr="00030E15">
        <w:tc>
          <w:tcPr>
            <w:tcW w:w="7195" w:type="dxa"/>
          </w:tcPr>
          <w:p w14:paraId="297A230D" w14:textId="5A61E7F7" w:rsidR="00B253E5" w:rsidRPr="002B1DC2" w:rsidRDefault="00B253E5" w:rsidP="00030E15">
            <w:pPr>
              <w:spacing w:line="240" w:lineRule="auto"/>
              <w:rPr>
                <w:noProof/>
                <w:color w:val="auto"/>
              </w:rPr>
            </w:pPr>
            <w:r w:rsidRPr="002B1DC2">
              <w:rPr>
                <w:noProof/>
                <w:color w:val="auto"/>
              </w:rPr>
              <w:t>Louis Romano</w:t>
            </w:r>
          </w:p>
        </w:tc>
        <w:tc>
          <w:tcPr>
            <w:tcW w:w="2430" w:type="dxa"/>
          </w:tcPr>
          <w:p w14:paraId="4D9F6AD6" w14:textId="31579C79" w:rsidR="00B253E5" w:rsidRPr="002B1DC2" w:rsidRDefault="00B253E5" w:rsidP="00030E15">
            <w:pPr>
              <w:spacing w:line="240" w:lineRule="auto"/>
              <w:rPr>
                <w:noProof/>
                <w:color w:val="auto"/>
              </w:rPr>
            </w:pPr>
            <w:r w:rsidRPr="002B1DC2">
              <w:rPr>
                <w:noProof/>
                <w:color w:val="auto"/>
              </w:rPr>
              <w:t>C-2021-3026631</w:t>
            </w:r>
          </w:p>
        </w:tc>
      </w:tr>
      <w:tr w:rsidR="00200989" w14:paraId="79257F69" w14:textId="77777777" w:rsidTr="00030E15">
        <w:tc>
          <w:tcPr>
            <w:tcW w:w="7195" w:type="dxa"/>
          </w:tcPr>
          <w:p w14:paraId="09EB65FF" w14:textId="77777777" w:rsidR="00200989" w:rsidRPr="002B1DC2" w:rsidRDefault="00200989" w:rsidP="00030E15">
            <w:pPr>
              <w:spacing w:line="240" w:lineRule="auto"/>
              <w:rPr>
                <w:color w:val="auto"/>
              </w:rPr>
            </w:pPr>
            <w:r w:rsidRPr="002B1DC2">
              <w:rPr>
                <w:noProof/>
                <w:color w:val="auto"/>
              </w:rPr>
              <w:t>Vanessa Durcan</w:t>
            </w:r>
          </w:p>
        </w:tc>
        <w:tc>
          <w:tcPr>
            <w:tcW w:w="2430" w:type="dxa"/>
          </w:tcPr>
          <w:p w14:paraId="26B49785" w14:textId="77777777" w:rsidR="00200989" w:rsidRPr="002B1DC2" w:rsidRDefault="00200989" w:rsidP="00030E15">
            <w:pPr>
              <w:spacing w:line="240" w:lineRule="auto"/>
              <w:rPr>
                <w:color w:val="auto"/>
              </w:rPr>
            </w:pPr>
            <w:r w:rsidRPr="002B1DC2">
              <w:rPr>
                <w:noProof/>
                <w:color w:val="auto"/>
              </w:rPr>
              <w:t>C-2021-3026635</w:t>
            </w:r>
          </w:p>
        </w:tc>
      </w:tr>
      <w:tr w:rsidR="00200989" w14:paraId="502A1A88" w14:textId="77777777" w:rsidTr="00030E15">
        <w:tc>
          <w:tcPr>
            <w:tcW w:w="7195" w:type="dxa"/>
          </w:tcPr>
          <w:p w14:paraId="2E95E4E5" w14:textId="77777777" w:rsidR="00200989" w:rsidRPr="002B1DC2" w:rsidRDefault="00200989" w:rsidP="00030E15">
            <w:pPr>
              <w:spacing w:line="240" w:lineRule="auto"/>
              <w:rPr>
                <w:color w:val="auto"/>
              </w:rPr>
            </w:pPr>
            <w:r w:rsidRPr="002B1DC2">
              <w:rPr>
                <w:noProof/>
                <w:color w:val="auto"/>
              </w:rPr>
              <w:t>Barry Tremper</w:t>
            </w:r>
          </w:p>
        </w:tc>
        <w:tc>
          <w:tcPr>
            <w:tcW w:w="2430" w:type="dxa"/>
          </w:tcPr>
          <w:p w14:paraId="477AE182" w14:textId="77777777" w:rsidR="00200989" w:rsidRPr="002B1DC2" w:rsidRDefault="00200989" w:rsidP="00030E15">
            <w:pPr>
              <w:spacing w:line="240" w:lineRule="auto"/>
              <w:rPr>
                <w:color w:val="auto"/>
              </w:rPr>
            </w:pPr>
            <w:r w:rsidRPr="002B1DC2">
              <w:rPr>
                <w:noProof/>
                <w:color w:val="auto"/>
              </w:rPr>
              <w:t>C-2021-3026655</w:t>
            </w:r>
          </w:p>
        </w:tc>
      </w:tr>
      <w:tr w:rsidR="00200989" w14:paraId="69CF44FE" w14:textId="77777777" w:rsidTr="00030E15">
        <w:tc>
          <w:tcPr>
            <w:tcW w:w="7195" w:type="dxa"/>
          </w:tcPr>
          <w:p w14:paraId="7A48B93B" w14:textId="77777777" w:rsidR="00200989" w:rsidRPr="002B1DC2" w:rsidRDefault="00200989" w:rsidP="00030E15">
            <w:pPr>
              <w:spacing w:line="240" w:lineRule="auto"/>
              <w:rPr>
                <w:color w:val="auto"/>
              </w:rPr>
            </w:pPr>
            <w:r w:rsidRPr="002B1DC2">
              <w:rPr>
                <w:noProof/>
                <w:color w:val="auto"/>
              </w:rPr>
              <w:t>Grazyna Paryzka</w:t>
            </w:r>
          </w:p>
        </w:tc>
        <w:tc>
          <w:tcPr>
            <w:tcW w:w="2430" w:type="dxa"/>
          </w:tcPr>
          <w:p w14:paraId="52F706DE" w14:textId="77777777" w:rsidR="00200989" w:rsidRPr="002B1DC2" w:rsidRDefault="00200989" w:rsidP="00030E15">
            <w:pPr>
              <w:spacing w:line="240" w:lineRule="auto"/>
              <w:rPr>
                <w:color w:val="auto"/>
              </w:rPr>
            </w:pPr>
            <w:r w:rsidRPr="002B1DC2">
              <w:rPr>
                <w:noProof/>
                <w:color w:val="auto"/>
              </w:rPr>
              <w:t>C-2021-3026659</w:t>
            </w:r>
          </w:p>
        </w:tc>
      </w:tr>
      <w:tr w:rsidR="00200989" w14:paraId="78330DC3" w14:textId="77777777" w:rsidTr="00030E15">
        <w:tc>
          <w:tcPr>
            <w:tcW w:w="7195" w:type="dxa"/>
          </w:tcPr>
          <w:p w14:paraId="4F96B604" w14:textId="77777777" w:rsidR="00200989" w:rsidRPr="002B1DC2" w:rsidRDefault="00200989" w:rsidP="00030E15">
            <w:pPr>
              <w:spacing w:line="240" w:lineRule="auto"/>
              <w:rPr>
                <w:color w:val="auto"/>
              </w:rPr>
            </w:pPr>
            <w:r w:rsidRPr="002B1DC2">
              <w:rPr>
                <w:noProof/>
                <w:color w:val="auto"/>
              </w:rPr>
              <w:t>Michael Miller</w:t>
            </w:r>
          </w:p>
        </w:tc>
        <w:tc>
          <w:tcPr>
            <w:tcW w:w="2430" w:type="dxa"/>
          </w:tcPr>
          <w:p w14:paraId="63D186F3" w14:textId="77777777" w:rsidR="00200989" w:rsidRPr="002B1DC2" w:rsidRDefault="00200989" w:rsidP="00030E15">
            <w:pPr>
              <w:spacing w:line="240" w:lineRule="auto"/>
              <w:rPr>
                <w:color w:val="auto"/>
              </w:rPr>
            </w:pPr>
            <w:r w:rsidRPr="002B1DC2">
              <w:rPr>
                <w:noProof/>
                <w:color w:val="auto"/>
              </w:rPr>
              <w:t>C-2021-3026713</w:t>
            </w:r>
          </w:p>
        </w:tc>
      </w:tr>
      <w:tr w:rsidR="00200989" w14:paraId="340FE0E1" w14:textId="77777777" w:rsidTr="00030E15">
        <w:tc>
          <w:tcPr>
            <w:tcW w:w="7195" w:type="dxa"/>
          </w:tcPr>
          <w:p w14:paraId="59A3EAD9" w14:textId="77777777" w:rsidR="00200989" w:rsidRPr="002B1DC2" w:rsidRDefault="00200989" w:rsidP="00030E15">
            <w:pPr>
              <w:spacing w:line="240" w:lineRule="auto"/>
              <w:rPr>
                <w:color w:val="auto"/>
              </w:rPr>
            </w:pPr>
            <w:r w:rsidRPr="002B1DC2">
              <w:rPr>
                <w:noProof/>
                <w:color w:val="auto"/>
              </w:rPr>
              <w:t>Peter Salomone</w:t>
            </w:r>
          </w:p>
        </w:tc>
        <w:tc>
          <w:tcPr>
            <w:tcW w:w="2430" w:type="dxa"/>
          </w:tcPr>
          <w:p w14:paraId="00756E2A" w14:textId="77777777" w:rsidR="00200989" w:rsidRPr="002B1DC2" w:rsidRDefault="00200989" w:rsidP="00030E15">
            <w:pPr>
              <w:spacing w:line="240" w:lineRule="auto"/>
              <w:rPr>
                <w:color w:val="auto"/>
              </w:rPr>
            </w:pPr>
            <w:r w:rsidRPr="002B1DC2">
              <w:rPr>
                <w:noProof/>
                <w:color w:val="auto"/>
              </w:rPr>
              <w:t>C-2021-3026740</w:t>
            </w:r>
          </w:p>
        </w:tc>
      </w:tr>
      <w:tr w:rsidR="00200989" w14:paraId="705E19A6" w14:textId="77777777" w:rsidTr="00030E15">
        <w:tc>
          <w:tcPr>
            <w:tcW w:w="7195" w:type="dxa"/>
          </w:tcPr>
          <w:p w14:paraId="6032E43D" w14:textId="476A4A26" w:rsidR="00200989" w:rsidRPr="002B1DC2" w:rsidRDefault="00200989" w:rsidP="00030E15">
            <w:pPr>
              <w:spacing w:line="240" w:lineRule="auto"/>
              <w:rPr>
                <w:color w:val="auto"/>
              </w:rPr>
            </w:pPr>
            <w:r w:rsidRPr="002B1DC2">
              <w:rPr>
                <w:noProof/>
                <w:color w:val="auto"/>
              </w:rPr>
              <w:t>Susan Nikolaou</w:t>
            </w:r>
          </w:p>
        </w:tc>
        <w:tc>
          <w:tcPr>
            <w:tcW w:w="2430" w:type="dxa"/>
          </w:tcPr>
          <w:p w14:paraId="1B6AEEF6" w14:textId="77777777" w:rsidR="00200989" w:rsidRPr="002B1DC2" w:rsidRDefault="00200989" w:rsidP="00030E15">
            <w:pPr>
              <w:spacing w:line="240" w:lineRule="auto"/>
              <w:rPr>
                <w:color w:val="auto"/>
              </w:rPr>
            </w:pPr>
            <w:r w:rsidRPr="002B1DC2">
              <w:rPr>
                <w:noProof/>
                <w:color w:val="auto"/>
              </w:rPr>
              <w:t>C-2021-3026746</w:t>
            </w:r>
          </w:p>
        </w:tc>
      </w:tr>
      <w:tr w:rsidR="00200989" w14:paraId="7D39A095" w14:textId="77777777" w:rsidTr="00030E15">
        <w:tc>
          <w:tcPr>
            <w:tcW w:w="7195" w:type="dxa"/>
          </w:tcPr>
          <w:p w14:paraId="650ADDAE" w14:textId="77777777" w:rsidR="00200989" w:rsidRPr="002B1DC2" w:rsidRDefault="00200989" w:rsidP="00030E15">
            <w:pPr>
              <w:spacing w:line="240" w:lineRule="auto"/>
              <w:rPr>
                <w:color w:val="auto"/>
              </w:rPr>
            </w:pPr>
            <w:r w:rsidRPr="002B1DC2">
              <w:rPr>
                <w:noProof/>
                <w:color w:val="auto"/>
              </w:rPr>
              <w:t>Anna Paryzki</w:t>
            </w:r>
          </w:p>
        </w:tc>
        <w:tc>
          <w:tcPr>
            <w:tcW w:w="2430" w:type="dxa"/>
          </w:tcPr>
          <w:p w14:paraId="6CE73719" w14:textId="77777777" w:rsidR="00200989" w:rsidRPr="002B1DC2" w:rsidRDefault="00200989" w:rsidP="00030E15">
            <w:pPr>
              <w:spacing w:line="240" w:lineRule="auto"/>
              <w:rPr>
                <w:color w:val="auto"/>
              </w:rPr>
            </w:pPr>
            <w:r w:rsidRPr="002B1DC2">
              <w:rPr>
                <w:noProof/>
                <w:color w:val="auto"/>
              </w:rPr>
              <w:t>C-2021-3026748</w:t>
            </w:r>
          </w:p>
        </w:tc>
      </w:tr>
      <w:tr w:rsidR="00200989" w14:paraId="6CC55158" w14:textId="77777777" w:rsidTr="00030E15">
        <w:tc>
          <w:tcPr>
            <w:tcW w:w="7195" w:type="dxa"/>
          </w:tcPr>
          <w:p w14:paraId="26D2608D" w14:textId="6A8A90EF" w:rsidR="00200989" w:rsidRPr="002B1DC2" w:rsidRDefault="00200989" w:rsidP="00030E15">
            <w:pPr>
              <w:spacing w:line="240" w:lineRule="auto"/>
              <w:rPr>
                <w:color w:val="auto"/>
              </w:rPr>
            </w:pPr>
            <w:r w:rsidRPr="002B1DC2">
              <w:rPr>
                <w:noProof/>
                <w:color w:val="auto"/>
              </w:rPr>
              <w:t>Christ Nielsen</w:t>
            </w:r>
          </w:p>
        </w:tc>
        <w:tc>
          <w:tcPr>
            <w:tcW w:w="2430" w:type="dxa"/>
          </w:tcPr>
          <w:p w14:paraId="6FCED4C4" w14:textId="77777777" w:rsidR="00200989" w:rsidRPr="002B1DC2" w:rsidRDefault="00200989" w:rsidP="00030E15">
            <w:pPr>
              <w:spacing w:line="240" w:lineRule="auto"/>
              <w:rPr>
                <w:color w:val="auto"/>
              </w:rPr>
            </w:pPr>
            <w:r w:rsidRPr="002B1DC2">
              <w:rPr>
                <w:noProof/>
                <w:color w:val="auto"/>
              </w:rPr>
              <w:t>C-2021-3026749</w:t>
            </w:r>
          </w:p>
        </w:tc>
      </w:tr>
      <w:tr w:rsidR="00200989" w14:paraId="3C219F6B" w14:textId="77777777" w:rsidTr="00030E15">
        <w:tc>
          <w:tcPr>
            <w:tcW w:w="7195" w:type="dxa"/>
          </w:tcPr>
          <w:p w14:paraId="30A5CDB2" w14:textId="77777777" w:rsidR="00200989" w:rsidRPr="002B1DC2" w:rsidRDefault="00200989" w:rsidP="00030E15">
            <w:pPr>
              <w:spacing w:line="240" w:lineRule="auto"/>
              <w:rPr>
                <w:noProof/>
                <w:color w:val="auto"/>
              </w:rPr>
            </w:pPr>
            <w:r w:rsidRPr="002B1DC2">
              <w:rPr>
                <w:noProof/>
                <w:color w:val="auto"/>
              </w:rPr>
              <w:t>Clark Sutton</w:t>
            </w:r>
          </w:p>
          <w:p w14:paraId="68CE9DC5" w14:textId="454BB1C2" w:rsidR="004F090B" w:rsidRPr="002B1DC2" w:rsidRDefault="004F090B" w:rsidP="00030E15">
            <w:pPr>
              <w:spacing w:line="240" w:lineRule="auto"/>
              <w:rPr>
                <w:color w:val="auto"/>
              </w:rPr>
            </w:pPr>
            <w:r w:rsidRPr="002B1DC2">
              <w:rPr>
                <w:color w:val="auto"/>
              </w:rPr>
              <w:t>Arnold Reyes-Portilla</w:t>
            </w:r>
          </w:p>
        </w:tc>
        <w:tc>
          <w:tcPr>
            <w:tcW w:w="2430" w:type="dxa"/>
          </w:tcPr>
          <w:p w14:paraId="51D73934" w14:textId="77777777" w:rsidR="00200989" w:rsidRPr="002B1DC2" w:rsidRDefault="00200989" w:rsidP="00030E15">
            <w:pPr>
              <w:spacing w:line="240" w:lineRule="auto"/>
              <w:rPr>
                <w:noProof/>
                <w:color w:val="auto"/>
              </w:rPr>
            </w:pPr>
            <w:r w:rsidRPr="002B1DC2">
              <w:rPr>
                <w:noProof/>
                <w:color w:val="auto"/>
              </w:rPr>
              <w:t>C-2021-3026764</w:t>
            </w:r>
          </w:p>
          <w:p w14:paraId="598771B2" w14:textId="3162C37F" w:rsidR="001157DF" w:rsidRPr="002B1DC2" w:rsidRDefault="001157DF" w:rsidP="00030E15">
            <w:pPr>
              <w:spacing w:line="240" w:lineRule="auto"/>
              <w:rPr>
                <w:color w:val="auto"/>
              </w:rPr>
            </w:pPr>
            <w:r w:rsidRPr="002B1DC2">
              <w:rPr>
                <w:color w:val="auto"/>
              </w:rPr>
              <w:t>C-2021-3026766</w:t>
            </w:r>
          </w:p>
        </w:tc>
      </w:tr>
      <w:tr w:rsidR="00200989" w14:paraId="69CAB55B" w14:textId="77777777" w:rsidTr="00030E15">
        <w:tc>
          <w:tcPr>
            <w:tcW w:w="7195" w:type="dxa"/>
          </w:tcPr>
          <w:p w14:paraId="70ED98F8" w14:textId="58AFC3FB" w:rsidR="00200989" w:rsidRPr="002B1DC2" w:rsidRDefault="00200989" w:rsidP="00030E15">
            <w:pPr>
              <w:spacing w:line="240" w:lineRule="auto"/>
              <w:rPr>
                <w:color w:val="auto"/>
              </w:rPr>
            </w:pPr>
            <w:r w:rsidRPr="002B1DC2">
              <w:rPr>
                <w:noProof/>
                <w:color w:val="auto"/>
              </w:rPr>
              <w:lastRenderedPageBreak/>
              <w:t>William Sullivan</w:t>
            </w:r>
          </w:p>
        </w:tc>
        <w:tc>
          <w:tcPr>
            <w:tcW w:w="2430" w:type="dxa"/>
          </w:tcPr>
          <w:p w14:paraId="66125EC6" w14:textId="77777777" w:rsidR="00200989" w:rsidRPr="002B1DC2" w:rsidRDefault="00200989" w:rsidP="00030E15">
            <w:pPr>
              <w:spacing w:line="240" w:lineRule="auto"/>
              <w:rPr>
                <w:color w:val="auto"/>
              </w:rPr>
            </w:pPr>
            <w:r w:rsidRPr="002B1DC2">
              <w:rPr>
                <w:noProof/>
                <w:color w:val="auto"/>
              </w:rPr>
              <w:t>C-2021-3026806</w:t>
            </w:r>
          </w:p>
        </w:tc>
      </w:tr>
      <w:tr w:rsidR="00200989" w14:paraId="32DB9867" w14:textId="77777777" w:rsidTr="00030E15">
        <w:tc>
          <w:tcPr>
            <w:tcW w:w="7195" w:type="dxa"/>
          </w:tcPr>
          <w:p w14:paraId="209C65B0" w14:textId="77777777" w:rsidR="00200989" w:rsidRPr="002B1DC2" w:rsidRDefault="00200989" w:rsidP="00030E15">
            <w:pPr>
              <w:spacing w:line="240" w:lineRule="auto"/>
              <w:rPr>
                <w:color w:val="auto"/>
              </w:rPr>
            </w:pPr>
            <w:r w:rsidRPr="002B1DC2">
              <w:rPr>
                <w:noProof/>
                <w:color w:val="auto"/>
              </w:rPr>
              <w:t>Christine Thomson</w:t>
            </w:r>
          </w:p>
        </w:tc>
        <w:tc>
          <w:tcPr>
            <w:tcW w:w="2430" w:type="dxa"/>
          </w:tcPr>
          <w:p w14:paraId="2AF5CD8E" w14:textId="77777777" w:rsidR="00200989" w:rsidRPr="002B1DC2" w:rsidRDefault="00200989" w:rsidP="00030E15">
            <w:pPr>
              <w:spacing w:line="240" w:lineRule="auto"/>
              <w:rPr>
                <w:color w:val="auto"/>
              </w:rPr>
            </w:pPr>
            <w:r w:rsidRPr="002B1DC2">
              <w:rPr>
                <w:noProof/>
                <w:color w:val="auto"/>
              </w:rPr>
              <w:t>C-2021-3026838</w:t>
            </w:r>
          </w:p>
        </w:tc>
      </w:tr>
      <w:tr w:rsidR="00200989" w14:paraId="6FE6F240" w14:textId="77777777" w:rsidTr="00030E15">
        <w:tc>
          <w:tcPr>
            <w:tcW w:w="7195" w:type="dxa"/>
          </w:tcPr>
          <w:p w14:paraId="2D727CC3" w14:textId="77777777" w:rsidR="00200989" w:rsidRPr="002B1DC2" w:rsidRDefault="00200989" w:rsidP="00030E15">
            <w:pPr>
              <w:spacing w:line="240" w:lineRule="auto"/>
              <w:rPr>
                <w:color w:val="auto"/>
              </w:rPr>
            </w:pPr>
            <w:r w:rsidRPr="002B1DC2">
              <w:rPr>
                <w:noProof/>
                <w:color w:val="auto"/>
              </w:rPr>
              <w:t>Maritza Rivera</w:t>
            </w:r>
          </w:p>
        </w:tc>
        <w:tc>
          <w:tcPr>
            <w:tcW w:w="2430" w:type="dxa"/>
          </w:tcPr>
          <w:p w14:paraId="1C291A69" w14:textId="77777777" w:rsidR="00200989" w:rsidRPr="002B1DC2" w:rsidRDefault="00200989" w:rsidP="00030E15">
            <w:pPr>
              <w:spacing w:line="240" w:lineRule="auto"/>
              <w:rPr>
                <w:color w:val="auto"/>
              </w:rPr>
            </w:pPr>
            <w:r w:rsidRPr="002B1DC2">
              <w:rPr>
                <w:noProof/>
                <w:color w:val="auto"/>
              </w:rPr>
              <w:t>C-2021-3026844</w:t>
            </w:r>
          </w:p>
        </w:tc>
      </w:tr>
      <w:tr w:rsidR="00200989" w14:paraId="2C2E68B9" w14:textId="77777777" w:rsidTr="00030E15">
        <w:tc>
          <w:tcPr>
            <w:tcW w:w="7195" w:type="dxa"/>
          </w:tcPr>
          <w:p w14:paraId="09E885BA" w14:textId="77777777" w:rsidR="00200989" w:rsidRPr="002B1DC2" w:rsidRDefault="00200989" w:rsidP="00030E15">
            <w:pPr>
              <w:spacing w:line="240" w:lineRule="auto"/>
              <w:rPr>
                <w:color w:val="auto"/>
              </w:rPr>
            </w:pPr>
            <w:r w:rsidRPr="002B1DC2">
              <w:rPr>
                <w:noProof/>
                <w:color w:val="auto"/>
              </w:rPr>
              <w:t>Joseph Torregrossa</w:t>
            </w:r>
          </w:p>
        </w:tc>
        <w:tc>
          <w:tcPr>
            <w:tcW w:w="2430" w:type="dxa"/>
          </w:tcPr>
          <w:p w14:paraId="385EE971" w14:textId="77777777" w:rsidR="00200989" w:rsidRPr="002B1DC2" w:rsidRDefault="00200989" w:rsidP="00030E15">
            <w:pPr>
              <w:spacing w:line="240" w:lineRule="auto"/>
              <w:rPr>
                <w:color w:val="auto"/>
              </w:rPr>
            </w:pPr>
            <w:r w:rsidRPr="002B1DC2">
              <w:rPr>
                <w:noProof/>
                <w:color w:val="auto"/>
              </w:rPr>
              <w:t>C-2021-3026845</w:t>
            </w:r>
          </w:p>
        </w:tc>
      </w:tr>
      <w:tr w:rsidR="004257AB" w:rsidRPr="004257AB" w14:paraId="5849E310" w14:textId="77777777" w:rsidTr="00030E15">
        <w:tc>
          <w:tcPr>
            <w:tcW w:w="7195" w:type="dxa"/>
          </w:tcPr>
          <w:p w14:paraId="0B743E6D" w14:textId="77777777" w:rsidR="00200989" w:rsidRPr="002B1DC2" w:rsidRDefault="00200989" w:rsidP="00030E15">
            <w:pPr>
              <w:spacing w:line="240" w:lineRule="auto"/>
              <w:rPr>
                <w:color w:val="auto"/>
              </w:rPr>
            </w:pPr>
            <w:r w:rsidRPr="002B1DC2">
              <w:rPr>
                <w:noProof/>
                <w:color w:val="auto"/>
              </w:rPr>
              <w:t>Peter Mauro</w:t>
            </w:r>
          </w:p>
        </w:tc>
        <w:tc>
          <w:tcPr>
            <w:tcW w:w="2430" w:type="dxa"/>
          </w:tcPr>
          <w:p w14:paraId="058B9E70" w14:textId="77777777" w:rsidR="00200989" w:rsidRPr="002B1DC2" w:rsidRDefault="00200989" w:rsidP="00030E15">
            <w:pPr>
              <w:spacing w:line="240" w:lineRule="auto"/>
              <w:rPr>
                <w:color w:val="auto"/>
              </w:rPr>
            </w:pPr>
            <w:r w:rsidRPr="002B1DC2">
              <w:rPr>
                <w:noProof/>
                <w:color w:val="auto"/>
              </w:rPr>
              <w:t>C-2021-3026848</w:t>
            </w:r>
          </w:p>
        </w:tc>
      </w:tr>
      <w:tr w:rsidR="00200989" w14:paraId="508138DA" w14:textId="77777777" w:rsidTr="00030E15">
        <w:tc>
          <w:tcPr>
            <w:tcW w:w="7195" w:type="dxa"/>
          </w:tcPr>
          <w:p w14:paraId="2598B561" w14:textId="77777777" w:rsidR="00200989" w:rsidRPr="002B1DC2" w:rsidRDefault="00200989" w:rsidP="00030E15">
            <w:pPr>
              <w:spacing w:line="240" w:lineRule="auto"/>
              <w:rPr>
                <w:color w:val="auto"/>
              </w:rPr>
            </w:pPr>
            <w:r w:rsidRPr="002B1DC2">
              <w:rPr>
                <w:noProof/>
                <w:color w:val="auto"/>
              </w:rPr>
              <w:t>Rene Bressant</w:t>
            </w:r>
          </w:p>
        </w:tc>
        <w:tc>
          <w:tcPr>
            <w:tcW w:w="2430" w:type="dxa"/>
          </w:tcPr>
          <w:p w14:paraId="6E731889" w14:textId="77777777" w:rsidR="00200989" w:rsidRPr="002B1DC2" w:rsidRDefault="00200989" w:rsidP="00030E15">
            <w:pPr>
              <w:spacing w:line="240" w:lineRule="auto"/>
              <w:rPr>
                <w:color w:val="auto"/>
              </w:rPr>
            </w:pPr>
            <w:r w:rsidRPr="002B1DC2">
              <w:rPr>
                <w:noProof/>
                <w:color w:val="auto"/>
              </w:rPr>
              <w:t>C-2021-3026850</w:t>
            </w:r>
          </w:p>
        </w:tc>
      </w:tr>
      <w:tr w:rsidR="00200989" w14:paraId="0F974034" w14:textId="77777777" w:rsidTr="00030E15">
        <w:tc>
          <w:tcPr>
            <w:tcW w:w="7195" w:type="dxa"/>
          </w:tcPr>
          <w:p w14:paraId="086EF16B" w14:textId="77777777" w:rsidR="00200989" w:rsidRPr="002B1DC2" w:rsidRDefault="00200989" w:rsidP="00030E15">
            <w:pPr>
              <w:spacing w:line="240" w:lineRule="auto"/>
              <w:rPr>
                <w:color w:val="auto"/>
              </w:rPr>
            </w:pPr>
            <w:r w:rsidRPr="002B1DC2">
              <w:rPr>
                <w:noProof/>
                <w:color w:val="auto"/>
              </w:rPr>
              <w:t>Daniel McKoy</w:t>
            </w:r>
          </w:p>
        </w:tc>
        <w:tc>
          <w:tcPr>
            <w:tcW w:w="2430" w:type="dxa"/>
          </w:tcPr>
          <w:p w14:paraId="233050C4" w14:textId="77777777" w:rsidR="00200989" w:rsidRPr="002B1DC2" w:rsidRDefault="00200989" w:rsidP="00030E15">
            <w:pPr>
              <w:spacing w:line="240" w:lineRule="auto"/>
              <w:rPr>
                <w:color w:val="auto"/>
              </w:rPr>
            </w:pPr>
            <w:r w:rsidRPr="002B1DC2">
              <w:rPr>
                <w:noProof/>
                <w:color w:val="auto"/>
              </w:rPr>
              <w:t>C-2021-3026851</w:t>
            </w:r>
          </w:p>
        </w:tc>
      </w:tr>
      <w:tr w:rsidR="00200989" w14:paraId="081648E4" w14:textId="77777777" w:rsidTr="00030E15">
        <w:tc>
          <w:tcPr>
            <w:tcW w:w="7195" w:type="dxa"/>
          </w:tcPr>
          <w:p w14:paraId="3886CBEE" w14:textId="77777777" w:rsidR="00200989" w:rsidRPr="002B1DC2" w:rsidRDefault="00200989" w:rsidP="00030E15">
            <w:pPr>
              <w:spacing w:line="240" w:lineRule="auto"/>
              <w:rPr>
                <w:color w:val="auto"/>
              </w:rPr>
            </w:pPr>
            <w:r w:rsidRPr="002B1DC2">
              <w:rPr>
                <w:noProof/>
                <w:color w:val="auto"/>
              </w:rPr>
              <w:t>Thomas Hemeleski</w:t>
            </w:r>
          </w:p>
        </w:tc>
        <w:tc>
          <w:tcPr>
            <w:tcW w:w="2430" w:type="dxa"/>
          </w:tcPr>
          <w:p w14:paraId="264A366A" w14:textId="77777777" w:rsidR="00200989" w:rsidRPr="002B1DC2" w:rsidRDefault="00200989" w:rsidP="00030E15">
            <w:pPr>
              <w:spacing w:line="240" w:lineRule="auto"/>
              <w:rPr>
                <w:color w:val="auto"/>
              </w:rPr>
            </w:pPr>
            <w:r w:rsidRPr="002B1DC2">
              <w:rPr>
                <w:noProof/>
                <w:color w:val="auto"/>
              </w:rPr>
              <w:t>C-2021-3026882</w:t>
            </w:r>
          </w:p>
        </w:tc>
      </w:tr>
      <w:tr w:rsidR="00200989" w14:paraId="18188819" w14:textId="77777777" w:rsidTr="00030E15">
        <w:tc>
          <w:tcPr>
            <w:tcW w:w="7195" w:type="dxa"/>
          </w:tcPr>
          <w:p w14:paraId="59F71823" w14:textId="77777777" w:rsidR="00200989" w:rsidRPr="002B1DC2" w:rsidRDefault="00200989" w:rsidP="00030E15">
            <w:pPr>
              <w:spacing w:line="240" w:lineRule="auto"/>
              <w:rPr>
                <w:color w:val="auto"/>
              </w:rPr>
            </w:pPr>
            <w:r w:rsidRPr="002B1DC2">
              <w:rPr>
                <w:noProof/>
                <w:color w:val="auto"/>
              </w:rPr>
              <w:t>Jean Souders</w:t>
            </w:r>
          </w:p>
        </w:tc>
        <w:tc>
          <w:tcPr>
            <w:tcW w:w="2430" w:type="dxa"/>
          </w:tcPr>
          <w:p w14:paraId="7765D13A" w14:textId="77777777" w:rsidR="00200989" w:rsidRPr="002B1DC2" w:rsidRDefault="00200989" w:rsidP="00030E15">
            <w:pPr>
              <w:spacing w:line="240" w:lineRule="auto"/>
              <w:rPr>
                <w:color w:val="auto"/>
              </w:rPr>
            </w:pPr>
            <w:r w:rsidRPr="002B1DC2">
              <w:rPr>
                <w:noProof/>
                <w:color w:val="auto"/>
              </w:rPr>
              <w:t>C-2021-3026884</w:t>
            </w:r>
          </w:p>
        </w:tc>
      </w:tr>
      <w:tr w:rsidR="00200989" w14:paraId="640AB0D7" w14:textId="77777777" w:rsidTr="00030E15">
        <w:tc>
          <w:tcPr>
            <w:tcW w:w="7195" w:type="dxa"/>
          </w:tcPr>
          <w:p w14:paraId="0029DB76" w14:textId="77777777" w:rsidR="00200989" w:rsidRPr="002B1DC2" w:rsidRDefault="00200989" w:rsidP="00030E15">
            <w:pPr>
              <w:spacing w:line="240" w:lineRule="auto"/>
              <w:rPr>
                <w:color w:val="auto"/>
              </w:rPr>
            </w:pPr>
            <w:r w:rsidRPr="002B1DC2">
              <w:rPr>
                <w:noProof/>
                <w:color w:val="auto"/>
              </w:rPr>
              <w:t>Ivan &amp; Theresa Ayala</w:t>
            </w:r>
          </w:p>
        </w:tc>
        <w:tc>
          <w:tcPr>
            <w:tcW w:w="2430" w:type="dxa"/>
          </w:tcPr>
          <w:p w14:paraId="60D4F011" w14:textId="77777777" w:rsidR="00200989" w:rsidRPr="002B1DC2" w:rsidRDefault="00200989" w:rsidP="00030E15">
            <w:pPr>
              <w:spacing w:line="240" w:lineRule="auto"/>
              <w:rPr>
                <w:color w:val="auto"/>
              </w:rPr>
            </w:pPr>
            <w:r w:rsidRPr="002B1DC2">
              <w:rPr>
                <w:noProof/>
                <w:color w:val="auto"/>
              </w:rPr>
              <w:t>C-2021-3026885</w:t>
            </w:r>
          </w:p>
        </w:tc>
      </w:tr>
      <w:tr w:rsidR="00200989" w14:paraId="3668DD47" w14:textId="77777777" w:rsidTr="00030E15">
        <w:tc>
          <w:tcPr>
            <w:tcW w:w="7195" w:type="dxa"/>
          </w:tcPr>
          <w:p w14:paraId="176819BD" w14:textId="77777777" w:rsidR="00200989" w:rsidRPr="002B1DC2" w:rsidRDefault="00200989" w:rsidP="00030E15">
            <w:pPr>
              <w:spacing w:line="240" w:lineRule="auto"/>
              <w:rPr>
                <w:noProof/>
                <w:color w:val="auto"/>
              </w:rPr>
            </w:pPr>
            <w:r w:rsidRPr="002B1DC2">
              <w:rPr>
                <w:noProof/>
                <w:color w:val="auto"/>
              </w:rPr>
              <w:t>Mario Carlino</w:t>
            </w:r>
          </w:p>
          <w:p w14:paraId="092F0937" w14:textId="177F6321" w:rsidR="002F2831" w:rsidRPr="002B1DC2" w:rsidRDefault="002F2831" w:rsidP="00030E15">
            <w:pPr>
              <w:spacing w:line="240" w:lineRule="auto"/>
              <w:rPr>
                <w:color w:val="auto"/>
              </w:rPr>
            </w:pPr>
            <w:r w:rsidRPr="002B1DC2">
              <w:rPr>
                <w:noProof/>
                <w:color w:val="auto"/>
              </w:rPr>
              <w:t>Asment Benjamin</w:t>
            </w:r>
          </w:p>
        </w:tc>
        <w:tc>
          <w:tcPr>
            <w:tcW w:w="2430" w:type="dxa"/>
          </w:tcPr>
          <w:p w14:paraId="6C4C4573" w14:textId="77777777" w:rsidR="00200989" w:rsidRPr="002B1DC2" w:rsidRDefault="00200989" w:rsidP="00030E15">
            <w:pPr>
              <w:spacing w:line="240" w:lineRule="auto"/>
              <w:rPr>
                <w:noProof/>
                <w:color w:val="auto"/>
              </w:rPr>
            </w:pPr>
            <w:r w:rsidRPr="002B1DC2">
              <w:rPr>
                <w:noProof/>
                <w:color w:val="auto"/>
              </w:rPr>
              <w:t>C-2021-3026887</w:t>
            </w:r>
          </w:p>
          <w:p w14:paraId="6C81460A" w14:textId="383CE992" w:rsidR="002F2831" w:rsidRPr="002B1DC2" w:rsidRDefault="002F2831" w:rsidP="00030E15">
            <w:pPr>
              <w:spacing w:line="240" w:lineRule="auto"/>
              <w:rPr>
                <w:color w:val="auto"/>
              </w:rPr>
            </w:pPr>
            <w:r w:rsidRPr="002B1DC2">
              <w:rPr>
                <w:noProof/>
                <w:color w:val="auto"/>
              </w:rPr>
              <w:t>C-2021-</w:t>
            </w:r>
            <w:r w:rsidR="0079538E" w:rsidRPr="002B1DC2">
              <w:rPr>
                <w:noProof/>
                <w:color w:val="auto"/>
              </w:rPr>
              <w:t>3026889</w:t>
            </w:r>
          </w:p>
        </w:tc>
      </w:tr>
      <w:tr w:rsidR="00200989" w14:paraId="7316A7E6" w14:textId="77777777" w:rsidTr="00030E15">
        <w:tc>
          <w:tcPr>
            <w:tcW w:w="7195" w:type="dxa"/>
          </w:tcPr>
          <w:p w14:paraId="58FFA95A" w14:textId="2258F26A" w:rsidR="00200989" w:rsidRPr="002B1DC2" w:rsidRDefault="00200989" w:rsidP="00030E15">
            <w:pPr>
              <w:spacing w:line="240" w:lineRule="auto"/>
              <w:rPr>
                <w:noProof/>
                <w:color w:val="auto"/>
              </w:rPr>
            </w:pPr>
            <w:r w:rsidRPr="002B1DC2">
              <w:rPr>
                <w:noProof/>
                <w:color w:val="auto"/>
              </w:rPr>
              <w:t>Charles Breitweiser</w:t>
            </w:r>
          </w:p>
          <w:p w14:paraId="49589244" w14:textId="5815F3F6" w:rsidR="0030104C" w:rsidRPr="002B1DC2" w:rsidRDefault="0030104C" w:rsidP="00030E15">
            <w:pPr>
              <w:spacing w:line="240" w:lineRule="auto"/>
              <w:rPr>
                <w:noProof/>
                <w:color w:val="auto"/>
              </w:rPr>
            </w:pPr>
            <w:r w:rsidRPr="002B1DC2">
              <w:rPr>
                <w:noProof/>
                <w:color w:val="auto"/>
              </w:rPr>
              <w:t>Aldona Bastek</w:t>
            </w:r>
          </w:p>
          <w:p w14:paraId="6FFDB924" w14:textId="66B10839" w:rsidR="00B64BCA" w:rsidRPr="002B1DC2" w:rsidRDefault="00B64BCA" w:rsidP="00030E15">
            <w:pPr>
              <w:spacing w:line="240" w:lineRule="auto"/>
              <w:rPr>
                <w:color w:val="auto"/>
              </w:rPr>
            </w:pPr>
            <w:r w:rsidRPr="002B1DC2">
              <w:rPr>
                <w:noProof/>
                <w:color w:val="auto"/>
              </w:rPr>
              <w:t>Larisa Shin</w:t>
            </w:r>
          </w:p>
        </w:tc>
        <w:tc>
          <w:tcPr>
            <w:tcW w:w="2430" w:type="dxa"/>
          </w:tcPr>
          <w:p w14:paraId="440BD58F" w14:textId="0A41C50A" w:rsidR="00200989" w:rsidRPr="002B1DC2" w:rsidRDefault="00200989" w:rsidP="00030E15">
            <w:pPr>
              <w:spacing w:line="240" w:lineRule="auto"/>
              <w:rPr>
                <w:noProof/>
                <w:color w:val="auto"/>
              </w:rPr>
            </w:pPr>
            <w:r w:rsidRPr="002B1DC2">
              <w:rPr>
                <w:noProof/>
                <w:color w:val="auto"/>
              </w:rPr>
              <w:t>C-2021-3026892</w:t>
            </w:r>
          </w:p>
          <w:p w14:paraId="1830C742" w14:textId="458EF002" w:rsidR="0030104C" w:rsidRPr="002B1DC2" w:rsidRDefault="0030104C" w:rsidP="00030E15">
            <w:pPr>
              <w:spacing w:line="240" w:lineRule="auto"/>
              <w:rPr>
                <w:noProof/>
                <w:color w:val="auto"/>
              </w:rPr>
            </w:pPr>
            <w:r w:rsidRPr="002B1DC2">
              <w:rPr>
                <w:noProof/>
                <w:color w:val="auto"/>
              </w:rPr>
              <w:t>C-2021-302690</w:t>
            </w:r>
            <w:r w:rsidR="006E383D" w:rsidRPr="002B1DC2">
              <w:rPr>
                <w:noProof/>
                <w:color w:val="auto"/>
              </w:rPr>
              <w:t>2</w:t>
            </w:r>
          </w:p>
          <w:p w14:paraId="73B49DCD" w14:textId="48D58280" w:rsidR="00B64BCA" w:rsidRPr="002B1DC2" w:rsidRDefault="00B64BCA" w:rsidP="00030E15">
            <w:pPr>
              <w:spacing w:line="240" w:lineRule="auto"/>
              <w:rPr>
                <w:color w:val="auto"/>
              </w:rPr>
            </w:pPr>
            <w:r w:rsidRPr="002B1DC2">
              <w:rPr>
                <w:color w:val="auto"/>
              </w:rPr>
              <w:t>C-2021-302690</w:t>
            </w:r>
            <w:r w:rsidR="000D0B6A" w:rsidRPr="002B1DC2">
              <w:rPr>
                <w:color w:val="auto"/>
              </w:rPr>
              <w:t>4</w:t>
            </w:r>
          </w:p>
        </w:tc>
      </w:tr>
      <w:tr w:rsidR="00200989" w14:paraId="1A42AFFE" w14:textId="77777777" w:rsidTr="00030E15">
        <w:tc>
          <w:tcPr>
            <w:tcW w:w="7195" w:type="dxa"/>
          </w:tcPr>
          <w:p w14:paraId="47340815" w14:textId="77777777" w:rsidR="00200989" w:rsidRPr="002B1DC2" w:rsidRDefault="00200989" w:rsidP="00030E15">
            <w:pPr>
              <w:spacing w:line="240" w:lineRule="auto"/>
              <w:rPr>
                <w:color w:val="auto"/>
              </w:rPr>
            </w:pPr>
            <w:r w:rsidRPr="002B1DC2">
              <w:rPr>
                <w:noProof/>
                <w:color w:val="auto"/>
              </w:rPr>
              <w:t>Francis &amp; Mayra Sullivan</w:t>
            </w:r>
          </w:p>
        </w:tc>
        <w:tc>
          <w:tcPr>
            <w:tcW w:w="2430" w:type="dxa"/>
          </w:tcPr>
          <w:p w14:paraId="3226EC44" w14:textId="77777777" w:rsidR="00200989" w:rsidRPr="002B1DC2" w:rsidRDefault="00200989" w:rsidP="00030E15">
            <w:pPr>
              <w:spacing w:line="240" w:lineRule="auto"/>
              <w:rPr>
                <w:color w:val="auto"/>
              </w:rPr>
            </w:pPr>
            <w:r w:rsidRPr="002B1DC2">
              <w:rPr>
                <w:noProof/>
                <w:color w:val="auto"/>
              </w:rPr>
              <w:t>C-2021-3026909</w:t>
            </w:r>
          </w:p>
        </w:tc>
      </w:tr>
      <w:tr w:rsidR="00200989" w14:paraId="4C6E6748" w14:textId="77777777" w:rsidTr="00030E15">
        <w:tc>
          <w:tcPr>
            <w:tcW w:w="7195" w:type="dxa"/>
          </w:tcPr>
          <w:p w14:paraId="0B665B19" w14:textId="77777777" w:rsidR="00200989" w:rsidRPr="002B1DC2" w:rsidRDefault="00200989" w:rsidP="00030E15">
            <w:pPr>
              <w:spacing w:line="240" w:lineRule="auto"/>
              <w:rPr>
                <w:color w:val="auto"/>
              </w:rPr>
            </w:pPr>
            <w:r w:rsidRPr="002B1DC2">
              <w:rPr>
                <w:noProof/>
                <w:color w:val="auto"/>
              </w:rPr>
              <w:t>David Shook</w:t>
            </w:r>
          </w:p>
        </w:tc>
        <w:tc>
          <w:tcPr>
            <w:tcW w:w="2430" w:type="dxa"/>
          </w:tcPr>
          <w:p w14:paraId="70C18DEB" w14:textId="77777777" w:rsidR="00200989" w:rsidRPr="002B1DC2" w:rsidRDefault="00200989" w:rsidP="00030E15">
            <w:pPr>
              <w:spacing w:line="240" w:lineRule="auto"/>
              <w:rPr>
                <w:color w:val="auto"/>
              </w:rPr>
            </w:pPr>
            <w:r w:rsidRPr="002B1DC2">
              <w:rPr>
                <w:noProof/>
                <w:color w:val="auto"/>
              </w:rPr>
              <w:t>C-2021-3026912</w:t>
            </w:r>
          </w:p>
        </w:tc>
      </w:tr>
      <w:tr w:rsidR="00200989" w14:paraId="1EC0D739" w14:textId="77777777" w:rsidTr="00030E15">
        <w:tc>
          <w:tcPr>
            <w:tcW w:w="7195" w:type="dxa"/>
          </w:tcPr>
          <w:p w14:paraId="427D1930" w14:textId="77777777" w:rsidR="00200989" w:rsidRPr="002B1DC2" w:rsidRDefault="00200989" w:rsidP="00030E15">
            <w:pPr>
              <w:spacing w:line="240" w:lineRule="auto"/>
              <w:rPr>
                <w:color w:val="auto"/>
              </w:rPr>
            </w:pPr>
            <w:r w:rsidRPr="002B1DC2">
              <w:rPr>
                <w:noProof/>
                <w:color w:val="auto"/>
              </w:rPr>
              <w:t>Wesley &amp; Mildred Mann</w:t>
            </w:r>
          </w:p>
        </w:tc>
        <w:tc>
          <w:tcPr>
            <w:tcW w:w="2430" w:type="dxa"/>
          </w:tcPr>
          <w:p w14:paraId="543C0CB8" w14:textId="77777777" w:rsidR="00200989" w:rsidRPr="002B1DC2" w:rsidRDefault="00200989" w:rsidP="00030E15">
            <w:pPr>
              <w:spacing w:line="240" w:lineRule="auto"/>
              <w:rPr>
                <w:color w:val="auto"/>
              </w:rPr>
            </w:pPr>
            <w:r w:rsidRPr="002B1DC2">
              <w:rPr>
                <w:noProof/>
                <w:color w:val="auto"/>
              </w:rPr>
              <w:t>C-2021-3026914</w:t>
            </w:r>
          </w:p>
        </w:tc>
      </w:tr>
      <w:tr w:rsidR="00200989" w14:paraId="28CBA65B" w14:textId="77777777" w:rsidTr="00030E15">
        <w:tc>
          <w:tcPr>
            <w:tcW w:w="7195" w:type="dxa"/>
          </w:tcPr>
          <w:p w14:paraId="6198B451" w14:textId="77777777" w:rsidR="00200989" w:rsidRPr="002B1DC2" w:rsidRDefault="00200989" w:rsidP="00030E15">
            <w:pPr>
              <w:spacing w:line="240" w:lineRule="auto"/>
              <w:rPr>
                <w:noProof/>
                <w:color w:val="auto"/>
              </w:rPr>
            </w:pPr>
            <w:r w:rsidRPr="002B1DC2">
              <w:rPr>
                <w:noProof/>
                <w:color w:val="auto"/>
              </w:rPr>
              <w:t>Romulo Babaan</w:t>
            </w:r>
          </w:p>
          <w:p w14:paraId="670D5A28" w14:textId="50CA0F33" w:rsidR="00402F1D" w:rsidRPr="002B1DC2" w:rsidRDefault="00402F1D" w:rsidP="00030E15">
            <w:pPr>
              <w:spacing w:line="240" w:lineRule="auto"/>
              <w:rPr>
                <w:color w:val="auto"/>
              </w:rPr>
            </w:pPr>
            <w:r w:rsidRPr="002B1DC2">
              <w:rPr>
                <w:noProof/>
                <w:color w:val="auto"/>
              </w:rPr>
              <w:t>Walker Cambrelen</w:t>
            </w:r>
          </w:p>
        </w:tc>
        <w:tc>
          <w:tcPr>
            <w:tcW w:w="2430" w:type="dxa"/>
          </w:tcPr>
          <w:p w14:paraId="450A268D" w14:textId="77777777" w:rsidR="00200989" w:rsidRPr="002B1DC2" w:rsidRDefault="00200989" w:rsidP="00030E15">
            <w:pPr>
              <w:spacing w:line="240" w:lineRule="auto"/>
              <w:rPr>
                <w:noProof/>
                <w:color w:val="auto"/>
              </w:rPr>
            </w:pPr>
            <w:r w:rsidRPr="002B1DC2">
              <w:rPr>
                <w:noProof/>
                <w:color w:val="auto"/>
              </w:rPr>
              <w:t>C-2021-3026919</w:t>
            </w:r>
          </w:p>
          <w:p w14:paraId="06489012" w14:textId="0F959257" w:rsidR="00A2562D" w:rsidRPr="002B1DC2" w:rsidRDefault="00A2562D" w:rsidP="00030E15">
            <w:pPr>
              <w:spacing w:line="240" w:lineRule="auto"/>
              <w:rPr>
                <w:color w:val="auto"/>
              </w:rPr>
            </w:pPr>
            <w:r w:rsidRPr="002B1DC2">
              <w:rPr>
                <w:noProof/>
                <w:color w:val="auto"/>
              </w:rPr>
              <w:t>C-2021-3026921</w:t>
            </w:r>
          </w:p>
        </w:tc>
      </w:tr>
      <w:tr w:rsidR="00200989" w14:paraId="6FBE2E5A" w14:textId="77777777" w:rsidTr="00030E15">
        <w:tc>
          <w:tcPr>
            <w:tcW w:w="7195" w:type="dxa"/>
          </w:tcPr>
          <w:p w14:paraId="1E0FAFD9" w14:textId="77777777" w:rsidR="00200989" w:rsidRPr="002B1DC2" w:rsidRDefault="00200989" w:rsidP="00030E15">
            <w:pPr>
              <w:spacing w:line="240" w:lineRule="auto"/>
              <w:rPr>
                <w:color w:val="auto"/>
              </w:rPr>
            </w:pPr>
            <w:r w:rsidRPr="002B1DC2">
              <w:rPr>
                <w:noProof/>
                <w:color w:val="auto"/>
              </w:rPr>
              <w:t>Catherine Gilchrist-Yanluis</w:t>
            </w:r>
          </w:p>
        </w:tc>
        <w:tc>
          <w:tcPr>
            <w:tcW w:w="2430" w:type="dxa"/>
          </w:tcPr>
          <w:p w14:paraId="5AD9C743" w14:textId="77777777" w:rsidR="00200989" w:rsidRPr="002B1DC2" w:rsidRDefault="00200989" w:rsidP="00030E15">
            <w:pPr>
              <w:spacing w:line="240" w:lineRule="auto"/>
              <w:rPr>
                <w:color w:val="auto"/>
              </w:rPr>
            </w:pPr>
            <w:r w:rsidRPr="002B1DC2">
              <w:rPr>
                <w:noProof/>
                <w:color w:val="auto"/>
              </w:rPr>
              <w:t>C-2021-3026924</w:t>
            </w:r>
          </w:p>
        </w:tc>
      </w:tr>
      <w:tr w:rsidR="00A11842" w:rsidRPr="00A11842" w14:paraId="06A9F800" w14:textId="77777777" w:rsidTr="00030E15">
        <w:tc>
          <w:tcPr>
            <w:tcW w:w="7195" w:type="dxa"/>
          </w:tcPr>
          <w:p w14:paraId="51B45DF4" w14:textId="77777777" w:rsidR="00200989" w:rsidRPr="002B1DC2" w:rsidRDefault="00200989" w:rsidP="00030E15">
            <w:pPr>
              <w:spacing w:line="240" w:lineRule="auto"/>
              <w:rPr>
                <w:color w:val="auto"/>
              </w:rPr>
            </w:pPr>
            <w:r w:rsidRPr="002B1DC2">
              <w:rPr>
                <w:noProof/>
                <w:color w:val="auto"/>
              </w:rPr>
              <w:t>Gwendolyn Beckford Wilson &amp; Mark Lillery</w:t>
            </w:r>
          </w:p>
        </w:tc>
        <w:tc>
          <w:tcPr>
            <w:tcW w:w="2430" w:type="dxa"/>
          </w:tcPr>
          <w:p w14:paraId="0F8544B8" w14:textId="77777777" w:rsidR="00200989" w:rsidRPr="002B1DC2" w:rsidRDefault="00200989" w:rsidP="00030E15">
            <w:pPr>
              <w:spacing w:line="240" w:lineRule="auto"/>
              <w:rPr>
                <w:color w:val="auto"/>
              </w:rPr>
            </w:pPr>
            <w:r w:rsidRPr="002B1DC2">
              <w:rPr>
                <w:noProof/>
                <w:color w:val="auto"/>
              </w:rPr>
              <w:t>C-2021-3026926</w:t>
            </w:r>
          </w:p>
        </w:tc>
      </w:tr>
      <w:tr w:rsidR="00200989" w14:paraId="066778EB" w14:textId="77777777" w:rsidTr="00030E15">
        <w:tc>
          <w:tcPr>
            <w:tcW w:w="7195" w:type="dxa"/>
          </w:tcPr>
          <w:p w14:paraId="7C1319B6" w14:textId="77777777" w:rsidR="00200989" w:rsidRPr="002B1DC2" w:rsidRDefault="00200989" w:rsidP="00030E15">
            <w:pPr>
              <w:spacing w:line="240" w:lineRule="auto"/>
              <w:rPr>
                <w:noProof/>
                <w:color w:val="auto"/>
              </w:rPr>
            </w:pPr>
            <w:r w:rsidRPr="002B1DC2">
              <w:rPr>
                <w:noProof/>
                <w:color w:val="auto"/>
              </w:rPr>
              <w:t>Sheila Hunt</w:t>
            </w:r>
          </w:p>
          <w:p w14:paraId="419BD178" w14:textId="4DF09978" w:rsidR="00BE3F8E" w:rsidRPr="002B1DC2" w:rsidRDefault="00BE3F8E" w:rsidP="00030E15">
            <w:pPr>
              <w:spacing w:line="240" w:lineRule="auto"/>
              <w:rPr>
                <w:color w:val="auto"/>
              </w:rPr>
            </w:pPr>
            <w:r w:rsidRPr="002B1DC2">
              <w:rPr>
                <w:noProof/>
                <w:color w:val="auto"/>
              </w:rPr>
              <w:t>Daniel &amp; Suzie Napolitano</w:t>
            </w:r>
          </w:p>
        </w:tc>
        <w:tc>
          <w:tcPr>
            <w:tcW w:w="2430" w:type="dxa"/>
          </w:tcPr>
          <w:p w14:paraId="51770F15" w14:textId="77777777" w:rsidR="00200989" w:rsidRPr="002B1DC2" w:rsidRDefault="00200989" w:rsidP="00030E15">
            <w:pPr>
              <w:spacing w:line="240" w:lineRule="auto"/>
              <w:rPr>
                <w:noProof/>
                <w:color w:val="auto"/>
              </w:rPr>
            </w:pPr>
            <w:r w:rsidRPr="002B1DC2">
              <w:rPr>
                <w:noProof/>
                <w:color w:val="auto"/>
              </w:rPr>
              <w:t>C-2021-3026931</w:t>
            </w:r>
          </w:p>
          <w:p w14:paraId="11BFCEA6" w14:textId="18BD39F5" w:rsidR="00BE3F8E" w:rsidRPr="002B1DC2" w:rsidRDefault="00BE3F8E" w:rsidP="00030E15">
            <w:pPr>
              <w:spacing w:line="240" w:lineRule="auto"/>
              <w:rPr>
                <w:color w:val="auto"/>
              </w:rPr>
            </w:pPr>
            <w:r w:rsidRPr="002B1DC2">
              <w:rPr>
                <w:noProof/>
                <w:color w:val="auto"/>
              </w:rPr>
              <w:t>C-2021-3026933</w:t>
            </w:r>
          </w:p>
        </w:tc>
      </w:tr>
      <w:tr w:rsidR="00200989" w14:paraId="6AE5D577" w14:textId="77777777" w:rsidTr="00030E15">
        <w:tc>
          <w:tcPr>
            <w:tcW w:w="7195" w:type="dxa"/>
          </w:tcPr>
          <w:p w14:paraId="4A969534" w14:textId="77777777" w:rsidR="00200989" w:rsidRPr="002B1DC2" w:rsidRDefault="00200989" w:rsidP="00030E15">
            <w:pPr>
              <w:spacing w:line="240" w:lineRule="auto"/>
              <w:rPr>
                <w:color w:val="auto"/>
              </w:rPr>
            </w:pPr>
            <w:r w:rsidRPr="002B1DC2">
              <w:rPr>
                <w:noProof/>
                <w:color w:val="auto"/>
              </w:rPr>
              <w:t>Troy Coleman</w:t>
            </w:r>
          </w:p>
        </w:tc>
        <w:tc>
          <w:tcPr>
            <w:tcW w:w="2430" w:type="dxa"/>
          </w:tcPr>
          <w:p w14:paraId="0DE6D0D3" w14:textId="77777777" w:rsidR="00200989" w:rsidRPr="002B1DC2" w:rsidRDefault="00200989" w:rsidP="00030E15">
            <w:pPr>
              <w:spacing w:line="240" w:lineRule="auto"/>
              <w:rPr>
                <w:color w:val="auto"/>
              </w:rPr>
            </w:pPr>
            <w:r w:rsidRPr="002B1DC2">
              <w:rPr>
                <w:noProof/>
                <w:color w:val="auto"/>
              </w:rPr>
              <w:t>C-2021-3026942</w:t>
            </w:r>
          </w:p>
        </w:tc>
      </w:tr>
      <w:tr w:rsidR="00200989" w14:paraId="45295BD9" w14:textId="77777777" w:rsidTr="00030E15">
        <w:tc>
          <w:tcPr>
            <w:tcW w:w="7195" w:type="dxa"/>
          </w:tcPr>
          <w:p w14:paraId="0E3B1385" w14:textId="77777777" w:rsidR="00200989" w:rsidRPr="002B1DC2" w:rsidRDefault="00200989" w:rsidP="00030E15">
            <w:pPr>
              <w:spacing w:line="240" w:lineRule="auto"/>
              <w:rPr>
                <w:color w:val="auto"/>
              </w:rPr>
            </w:pPr>
            <w:r w:rsidRPr="002B1DC2">
              <w:rPr>
                <w:noProof/>
                <w:color w:val="auto"/>
              </w:rPr>
              <w:t>Moshe Mitchel</w:t>
            </w:r>
          </w:p>
        </w:tc>
        <w:tc>
          <w:tcPr>
            <w:tcW w:w="2430" w:type="dxa"/>
          </w:tcPr>
          <w:p w14:paraId="0B688E57" w14:textId="77777777" w:rsidR="00200989" w:rsidRPr="002B1DC2" w:rsidRDefault="00200989" w:rsidP="00030E15">
            <w:pPr>
              <w:spacing w:line="240" w:lineRule="auto"/>
              <w:rPr>
                <w:color w:val="auto"/>
              </w:rPr>
            </w:pPr>
            <w:r w:rsidRPr="002B1DC2">
              <w:rPr>
                <w:noProof/>
                <w:color w:val="auto"/>
              </w:rPr>
              <w:t>C-2021-3026944</w:t>
            </w:r>
          </w:p>
        </w:tc>
      </w:tr>
      <w:tr w:rsidR="00200989" w14:paraId="7113EABB" w14:textId="77777777" w:rsidTr="00030E15">
        <w:tc>
          <w:tcPr>
            <w:tcW w:w="7195" w:type="dxa"/>
          </w:tcPr>
          <w:p w14:paraId="5EB56F2B" w14:textId="77777777" w:rsidR="00200989" w:rsidRPr="002B1DC2" w:rsidRDefault="00200989" w:rsidP="00030E15">
            <w:pPr>
              <w:spacing w:line="240" w:lineRule="auto"/>
              <w:rPr>
                <w:color w:val="auto"/>
              </w:rPr>
            </w:pPr>
            <w:r w:rsidRPr="002B1DC2">
              <w:rPr>
                <w:noProof/>
                <w:color w:val="auto"/>
              </w:rPr>
              <w:t>Clifford &amp; Cindy McNeil</w:t>
            </w:r>
          </w:p>
        </w:tc>
        <w:tc>
          <w:tcPr>
            <w:tcW w:w="2430" w:type="dxa"/>
          </w:tcPr>
          <w:p w14:paraId="7176AE91" w14:textId="77777777" w:rsidR="00200989" w:rsidRPr="002B1DC2" w:rsidRDefault="00200989" w:rsidP="00030E15">
            <w:pPr>
              <w:spacing w:line="240" w:lineRule="auto"/>
              <w:rPr>
                <w:color w:val="auto"/>
              </w:rPr>
            </w:pPr>
            <w:r w:rsidRPr="002B1DC2">
              <w:rPr>
                <w:noProof/>
                <w:color w:val="auto"/>
              </w:rPr>
              <w:t>C-2021-3026946</w:t>
            </w:r>
          </w:p>
        </w:tc>
      </w:tr>
      <w:tr w:rsidR="00200989" w14:paraId="150B5122" w14:textId="77777777" w:rsidTr="00030E15">
        <w:tc>
          <w:tcPr>
            <w:tcW w:w="7195" w:type="dxa"/>
          </w:tcPr>
          <w:p w14:paraId="24210418" w14:textId="77777777" w:rsidR="00200989" w:rsidRPr="002B1DC2" w:rsidRDefault="00200989" w:rsidP="00030E15">
            <w:pPr>
              <w:spacing w:line="240" w:lineRule="auto"/>
              <w:rPr>
                <w:color w:val="auto"/>
              </w:rPr>
            </w:pPr>
            <w:r w:rsidRPr="002B1DC2">
              <w:rPr>
                <w:noProof/>
                <w:color w:val="auto"/>
              </w:rPr>
              <w:t>Michael Kotowski</w:t>
            </w:r>
          </w:p>
        </w:tc>
        <w:tc>
          <w:tcPr>
            <w:tcW w:w="2430" w:type="dxa"/>
          </w:tcPr>
          <w:p w14:paraId="21A6BF73" w14:textId="77777777" w:rsidR="00200989" w:rsidRPr="002B1DC2" w:rsidRDefault="00200989" w:rsidP="00030E15">
            <w:pPr>
              <w:spacing w:line="240" w:lineRule="auto"/>
              <w:rPr>
                <w:color w:val="auto"/>
              </w:rPr>
            </w:pPr>
            <w:r w:rsidRPr="002B1DC2">
              <w:rPr>
                <w:noProof/>
                <w:color w:val="auto"/>
              </w:rPr>
              <w:t>C-2021-3026947</w:t>
            </w:r>
          </w:p>
        </w:tc>
      </w:tr>
      <w:tr w:rsidR="0022348C" w14:paraId="2B8B6D70" w14:textId="77777777" w:rsidTr="00030E15">
        <w:tc>
          <w:tcPr>
            <w:tcW w:w="7195" w:type="dxa"/>
          </w:tcPr>
          <w:p w14:paraId="7D40F5D2" w14:textId="6DB57EAC" w:rsidR="0022348C" w:rsidRPr="002B1DC2" w:rsidRDefault="00BA580D" w:rsidP="00030E15">
            <w:pPr>
              <w:spacing w:line="240" w:lineRule="auto"/>
              <w:rPr>
                <w:noProof/>
                <w:color w:val="auto"/>
              </w:rPr>
            </w:pPr>
            <w:r w:rsidRPr="002B1DC2">
              <w:rPr>
                <w:noProof/>
                <w:color w:val="auto"/>
              </w:rPr>
              <w:t>Henry Kotowski</w:t>
            </w:r>
          </w:p>
        </w:tc>
        <w:tc>
          <w:tcPr>
            <w:tcW w:w="2430" w:type="dxa"/>
          </w:tcPr>
          <w:p w14:paraId="402376A5" w14:textId="48BE7B1A" w:rsidR="0022348C" w:rsidRPr="002B1DC2" w:rsidRDefault="00BA580D" w:rsidP="00030E15">
            <w:pPr>
              <w:spacing w:line="240" w:lineRule="auto"/>
              <w:rPr>
                <w:noProof/>
                <w:color w:val="auto"/>
              </w:rPr>
            </w:pPr>
            <w:r w:rsidRPr="002B1DC2">
              <w:rPr>
                <w:noProof/>
                <w:color w:val="auto"/>
              </w:rPr>
              <w:t>C-2021-3026951</w:t>
            </w:r>
          </w:p>
        </w:tc>
      </w:tr>
      <w:tr w:rsidR="00200989" w14:paraId="3DC2EBFA" w14:textId="77777777" w:rsidTr="00030E15">
        <w:tc>
          <w:tcPr>
            <w:tcW w:w="7195" w:type="dxa"/>
          </w:tcPr>
          <w:p w14:paraId="6E343B39" w14:textId="77777777" w:rsidR="00200989" w:rsidRPr="002B1DC2" w:rsidRDefault="00200989" w:rsidP="00030E15">
            <w:pPr>
              <w:spacing w:line="240" w:lineRule="auto"/>
              <w:rPr>
                <w:color w:val="auto"/>
              </w:rPr>
            </w:pPr>
            <w:r w:rsidRPr="002B1DC2">
              <w:rPr>
                <w:noProof/>
                <w:color w:val="auto"/>
              </w:rPr>
              <w:t>Richard Rice</w:t>
            </w:r>
          </w:p>
        </w:tc>
        <w:tc>
          <w:tcPr>
            <w:tcW w:w="2430" w:type="dxa"/>
          </w:tcPr>
          <w:p w14:paraId="64D0EA8C" w14:textId="77777777" w:rsidR="00200989" w:rsidRPr="002B1DC2" w:rsidRDefault="00200989" w:rsidP="00030E15">
            <w:pPr>
              <w:spacing w:line="240" w:lineRule="auto"/>
              <w:rPr>
                <w:color w:val="auto"/>
              </w:rPr>
            </w:pPr>
            <w:r w:rsidRPr="002B1DC2">
              <w:rPr>
                <w:noProof/>
                <w:color w:val="auto"/>
              </w:rPr>
              <w:t>C-2021-3026953</w:t>
            </w:r>
          </w:p>
        </w:tc>
      </w:tr>
      <w:tr w:rsidR="00200989" w14:paraId="44E93EC2" w14:textId="77777777" w:rsidTr="00030E15">
        <w:tc>
          <w:tcPr>
            <w:tcW w:w="7195" w:type="dxa"/>
          </w:tcPr>
          <w:p w14:paraId="3D1A612E" w14:textId="77777777" w:rsidR="00200989" w:rsidRPr="002B1DC2" w:rsidRDefault="00200989" w:rsidP="00030E15">
            <w:pPr>
              <w:spacing w:line="240" w:lineRule="auto"/>
              <w:rPr>
                <w:noProof/>
                <w:color w:val="auto"/>
              </w:rPr>
            </w:pPr>
            <w:r w:rsidRPr="002B1DC2">
              <w:rPr>
                <w:noProof/>
                <w:color w:val="auto"/>
              </w:rPr>
              <w:t>Thomas &amp; Patricia Parillo</w:t>
            </w:r>
          </w:p>
          <w:p w14:paraId="79E3BDF8" w14:textId="49F40F4C" w:rsidR="00757024" w:rsidRPr="002B1DC2" w:rsidRDefault="00757024" w:rsidP="00030E15">
            <w:pPr>
              <w:spacing w:line="240" w:lineRule="auto"/>
              <w:rPr>
                <w:color w:val="auto"/>
              </w:rPr>
            </w:pPr>
            <w:r w:rsidRPr="002B1DC2">
              <w:rPr>
                <w:color w:val="auto"/>
              </w:rPr>
              <w:t>Ovidio &amp; Aixa Martinez</w:t>
            </w:r>
          </w:p>
        </w:tc>
        <w:tc>
          <w:tcPr>
            <w:tcW w:w="2430" w:type="dxa"/>
          </w:tcPr>
          <w:p w14:paraId="76B07711" w14:textId="77777777" w:rsidR="00200989" w:rsidRPr="002B1DC2" w:rsidRDefault="00200989" w:rsidP="00030E15">
            <w:pPr>
              <w:spacing w:line="240" w:lineRule="auto"/>
              <w:rPr>
                <w:noProof/>
                <w:color w:val="auto"/>
              </w:rPr>
            </w:pPr>
            <w:r w:rsidRPr="002B1DC2">
              <w:rPr>
                <w:noProof/>
                <w:color w:val="auto"/>
              </w:rPr>
              <w:t>C-2021-3026956</w:t>
            </w:r>
          </w:p>
          <w:p w14:paraId="30FBBF5E" w14:textId="256C175C" w:rsidR="00757024" w:rsidRPr="002B1DC2" w:rsidRDefault="00757024" w:rsidP="00030E15">
            <w:pPr>
              <w:spacing w:line="240" w:lineRule="auto"/>
              <w:rPr>
                <w:color w:val="auto"/>
              </w:rPr>
            </w:pPr>
            <w:r w:rsidRPr="002B1DC2">
              <w:rPr>
                <w:color w:val="auto"/>
              </w:rPr>
              <w:t>C-2021-3026958</w:t>
            </w:r>
          </w:p>
        </w:tc>
      </w:tr>
      <w:tr w:rsidR="00200989" w14:paraId="3F9BEBCC" w14:textId="77777777" w:rsidTr="00030E15">
        <w:tc>
          <w:tcPr>
            <w:tcW w:w="7195" w:type="dxa"/>
          </w:tcPr>
          <w:p w14:paraId="43196880" w14:textId="77777777" w:rsidR="00200989" w:rsidRPr="002B1DC2" w:rsidRDefault="00200989" w:rsidP="00030E15">
            <w:pPr>
              <w:spacing w:line="240" w:lineRule="auto"/>
              <w:rPr>
                <w:color w:val="auto"/>
              </w:rPr>
            </w:pPr>
            <w:r w:rsidRPr="002B1DC2">
              <w:rPr>
                <w:noProof/>
                <w:color w:val="auto"/>
              </w:rPr>
              <w:t>Grace Moro</w:t>
            </w:r>
          </w:p>
        </w:tc>
        <w:tc>
          <w:tcPr>
            <w:tcW w:w="2430" w:type="dxa"/>
          </w:tcPr>
          <w:p w14:paraId="40CAD00A" w14:textId="77777777" w:rsidR="00200989" w:rsidRPr="002B1DC2" w:rsidRDefault="00200989" w:rsidP="00030E15">
            <w:pPr>
              <w:spacing w:line="240" w:lineRule="auto"/>
              <w:rPr>
                <w:color w:val="auto"/>
              </w:rPr>
            </w:pPr>
            <w:r w:rsidRPr="002B1DC2">
              <w:rPr>
                <w:noProof/>
                <w:color w:val="auto"/>
              </w:rPr>
              <w:t>C-2021-3026967</w:t>
            </w:r>
          </w:p>
        </w:tc>
      </w:tr>
      <w:tr w:rsidR="00200989" w14:paraId="6398093F" w14:textId="77777777" w:rsidTr="00030E15">
        <w:tc>
          <w:tcPr>
            <w:tcW w:w="7195" w:type="dxa"/>
          </w:tcPr>
          <w:p w14:paraId="5BB1B49E" w14:textId="77777777" w:rsidR="00200989" w:rsidRPr="002B1DC2" w:rsidRDefault="00200989" w:rsidP="00030E15">
            <w:pPr>
              <w:spacing w:line="240" w:lineRule="auto"/>
              <w:rPr>
                <w:color w:val="auto"/>
              </w:rPr>
            </w:pPr>
            <w:r w:rsidRPr="002B1DC2">
              <w:rPr>
                <w:noProof/>
                <w:color w:val="auto"/>
              </w:rPr>
              <w:t>Connie Friedfel</w:t>
            </w:r>
          </w:p>
        </w:tc>
        <w:tc>
          <w:tcPr>
            <w:tcW w:w="2430" w:type="dxa"/>
          </w:tcPr>
          <w:p w14:paraId="4B6B047D" w14:textId="77777777" w:rsidR="00200989" w:rsidRPr="002B1DC2" w:rsidRDefault="00200989" w:rsidP="00030E15">
            <w:pPr>
              <w:spacing w:line="240" w:lineRule="auto"/>
              <w:rPr>
                <w:color w:val="auto"/>
              </w:rPr>
            </w:pPr>
            <w:r w:rsidRPr="002B1DC2">
              <w:rPr>
                <w:noProof/>
                <w:color w:val="auto"/>
              </w:rPr>
              <w:t>C-2021-3026969</w:t>
            </w:r>
          </w:p>
        </w:tc>
      </w:tr>
      <w:tr w:rsidR="00200989" w14:paraId="2F1F69DA" w14:textId="77777777" w:rsidTr="00030E15">
        <w:tc>
          <w:tcPr>
            <w:tcW w:w="7195" w:type="dxa"/>
          </w:tcPr>
          <w:p w14:paraId="5AA7ADEC" w14:textId="77777777" w:rsidR="00200989" w:rsidRPr="002B1DC2" w:rsidRDefault="00200989" w:rsidP="00030E15">
            <w:pPr>
              <w:spacing w:line="240" w:lineRule="auto"/>
              <w:rPr>
                <w:color w:val="auto"/>
              </w:rPr>
            </w:pPr>
            <w:r w:rsidRPr="002B1DC2">
              <w:rPr>
                <w:noProof/>
                <w:color w:val="auto"/>
              </w:rPr>
              <w:t>Amos &amp; Kathelen Lawson</w:t>
            </w:r>
          </w:p>
        </w:tc>
        <w:tc>
          <w:tcPr>
            <w:tcW w:w="2430" w:type="dxa"/>
          </w:tcPr>
          <w:p w14:paraId="6DC8101F" w14:textId="77777777" w:rsidR="00200989" w:rsidRPr="002B1DC2" w:rsidRDefault="00200989" w:rsidP="00030E15">
            <w:pPr>
              <w:spacing w:line="240" w:lineRule="auto"/>
              <w:rPr>
                <w:color w:val="auto"/>
              </w:rPr>
            </w:pPr>
            <w:r w:rsidRPr="002B1DC2">
              <w:rPr>
                <w:noProof/>
                <w:color w:val="auto"/>
              </w:rPr>
              <w:t>C-2021-3026972</w:t>
            </w:r>
          </w:p>
        </w:tc>
      </w:tr>
      <w:tr w:rsidR="00200989" w14:paraId="3B6FEF7F" w14:textId="77777777" w:rsidTr="00030E15">
        <w:tc>
          <w:tcPr>
            <w:tcW w:w="7195" w:type="dxa"/>
          </w:tcPr>
          <w:p w14:paraId="632C9BF2" w14:textId="77777777" w:rsidR="00200989" w:rsidRPr="002B1DC2" w:rsidRDefault="00200989" w:rsidP="00030E15">
            <w:pPr>
              <w:spacing w:line="240" w:lineRule="auto"/>
              <w:rPr>
                <w:color w:val="auto"/>
              </w:rPr>
            </w:pPr>
            <w:r w:rsidRPr="002B1DC2">
              <w:rPr>
                <w:noProof/>
                <w:color w:val="auto"/>
              </w:rPr>
              <w:t>Dorothy &amp; Feisal Khan</w:t>
            </w:r>
          </w:p>
        </w:tc>
        <w:tc>
          <w:tcPr>
            <w:tcW w:w="2430" w:type="dxa"/>
          </w:tcPr>
          <w:p w14:paraId="41678541" w14:textId="77777777" w:rsidR="00200989" w:rsidRPr="002B1DC2" w:rsidRDefault="00200989" w:rsidP="00030E15">
            <w:pPr>
              <w:spacing w:line="240" w:lineRule="auto"/>
              <w:rPr>
                <w:color w:val="auto"/>
              </w:rPr>
            </w:pPr>
            <w:r w:rsidRPr="002B1DC2">
              <w:rPr>
                <w:noProof/>
                <w:color w:val="auto"/>
              </w:rPr>
              <w:t>C-2021-3026974</w:t>
            </w:r>
          </w:p>
        </w:tc>
      </w:tr>
      <w:tr w:rsidR="00200989" w14:paraId="2A98D8ED" w14:textId="77777777" w:rsidTr="00030E15">
        <w:tc>
          <w:tcPr>
            <w:tcW w:w="7195" w:type="dxa"/>
          </w:tcPr>
          <w:p w14:paraId="5043AFA8" w14:textId="77777777" w:rsidR="00200989" w:rsidRPr="002B1DC2" w:rsidRDefault="00200989" w:rsidP="00030E15">
            <w:pPr>
              <w:spacing w:line="240" w:lineRule="auto"/>
              <w:rPr>
                <w:color w:val="auto"/>
              </w:rPr>
            </w:pPr>
            <w:r w:rsidRPr="002B1DC2">
              <w:rPr>
                <w:noProof/>
                <w:color w:val="auto"/>
              </w:rPr>
              <w:t>Sharon Lloyd</w:t>
            </w:r>
          </w:p>
        </w:tc>
        <w:tc>
          <w:tcPr>
            <w:tcW w:w="2430" w:type="dxa"/>
          </w:tcPr>
          <w:p w14:paraId="4FB695AC" w14:textId="77777777" w:rsidR="00200989" w:rsidRPr="002B1DC2" w:rsidRDefault="00200989" w:rsidP="00030E15">
            <w:pPr>
              <w:spacing w:line="240" w:lineRule="auto"/>
              <w:rPr>
                <w:color w:val="auto"/>
              </w:rPr>
            </w:pPr>
            <w:r w:rsidRPr="002B1DC2">
              <w:rPr>
                <w:noProof/>
                <w:color w:val="auto"/>
              </w:rPr>
              <w:t>C-2021-3026976</w:t>
            </w:r>
          </w:p>
        </w:tc>
      </w:tr>
      <w:tr w:rsidR="00200989" w14:paraId="7878CA00" w14:textId="77777777" w:rsidTr="00030E15">
        <w:tc>
          <w:tcPr>
            <w:tcW w:w="7195" w:type="dxa"/>
          </w:tcPr>
          <w:p w14:paraId="209B89B2" w14:textId="77777777" w:rsidR="00200989" w:rsidRPr="002B1DC2" w:rsidRDefault="00200989" w:rsidP="00030E15">
            <w:pPr>
              <w:spacing w:line="240" w:lineRule="auto"/>
              <w:rPr>
                <w:color w:val="auto"/>
              </w:rPr>
            </w:pPr>
            <w:r w:rsidRPr="002B1DC2">
              <w:rPr>
                <w:noProof/>
                <w:color w:val="auto"/>
              </w:rPr>
              <w:t>Usha Parhar</w:t>
            </w:r>
          </w:p>
        </w:tc>
        <w:tc>
          <w:tcPr>
            <w:tcW w:w="2430" w:type="dxa"/>
          </w:tcPr>
          <w:p w14:paraId="09FE3660" w14:textId="77777777" w:rsidR="00200989" w:rsidRPr="002B1DC2" w:rsidRDefault="00200989" w:rsidP="00030E15">
            <w:pPr>
              <w:spacing w:line="240" w:lineRule="auto"/>
              <w:rPr>
                <w:color w:val="auto"/>
              </w:rPr>
            </w:pPr>
            <w:r w:rsidRPr="002B1DC2">
              <w:rPr>
                <w:noProof/>
                <w:color w:val="auto"/>
              </w:rPr>
              <w:t>C-2021-3026986</w:t>
            </w:r>
          </w:p>
        </w:tc>
      </w:tr>
      <w:tr w:rsidR="00200989" w14:paraId="14C67BD5" w14:textId="77777777" w:rsidTr="00030E15">
        <w:tc>
          <w:tcPr>
            <w:tcW w:w="7195" w:type="dxa"/>
          </w:tcPr>
          <w:p w14:paraId="4CEA6CFE" w14:textId="77777777" w:rsidR="00200989" w:rsidRPr="002B1DC2" w:rsidRDefault="00200989" w:rsidP="00030E15">
            <w:pPr>
              <w:spacing w:line="240" w:lineRule="auto"/>
              <w:rPr>
                <w:color w:val="auto"/>
              </w:rPr>
            </w:pPr>
            <w:r w:rsidRPr="002B1DC2">
              <w:rPr>
                <w:noProof/>
                <w:color w:val="auto"/>
              </w:rPr>
              <w:t>George Tirado</w:t>
            </w:r>
          </w:p>
        </w:tc>
        <w:tc>
          <w:tcPr>
            <w:tcW w:w="2430" w:type="dxa"/>
          </w:tcPr>
          <w:p w14:paraId="58642403" w14:textId="77777777" w:rsidR="00200989" w:rsidRPr="002B1DC2" w:rsidRDefault="00200989" w:rsidP="00030E15">
            <w:pPr>
              <w:spacing w:line="240" w:lineRule="auto"/>
              <w:rPr>
                <w:color w:val="auto"/>
              </w:rPr>
            </w:pPr>
            <w:r w:rsidRPr="002B1DC2">
              <w:rPr>
                <w:noProof/>
                <w:color w:val="auto"/>
              </w:rPr>
              <w:t>C-2021-3026990</w:t>
            </w:r>
          </w:p>
        </w:tc>
      </w:tr>
      <w:tr w:rsidR="00200989" w14:paraId="65F5890A" w14:textId="77777777" w:rsidTr="00030E15">
        <w:tc>
          <w:tcPr>
            <w:tcW w:w="7195" w:type="dxa"/>
          </w:tcPr>
          <w:p w14:paraId="13A34499" w14:textId="77777777" w:rsidR="00200989" w:rsidRPr="002B1DC2" w:rsidRDefault="00200989" w:rsidP="00030E15">
            <w:pPr>
              <w:spacing w:line="240" w:lineRule="auto"/>
              <w:rPr>
                <w:noProof/>
                <w:color w:val="auto"/>
              </w:rPr>
            </w:pPr>
            <w:r w:rsidRPr="002B1DC2">
              <w:rPr>
                <w:noProof/>
                <w:color w:val="auto"/>
              </w:rPr>
              <w:t>Timothy Weaver</w:t>
            </w:r>
          </w:p>
          <w:p w14:paraId="1D894DB5" w14:textId="31F30A72" w:rsidR="0068078D" w:rsidRPr="002B1DC2" w:rsidRDefault="00645B26" w:rsidP="00030E15">
            <w:pPr>
              <w:spacing w:line="240" w:lineRule="auto"/>
              <w:rPr>
                <w:color w:val="auto"/>
              </w:rPr>
            </w:pPr>
            <w:r w:rsidRPr="002B1DC2">
              <w:rPr>
                <w:color w:val="auto"/>
              </w:rPr>
              <w:t>John Murphy</w:t>
            </w:r>
          </w:p>
        </w:tc>
        <w:tc>
          <w:tcPr>
            <w:tcW w:w="2430" w:type="dxa"/>
          </w:tcPr>
          <w:p w14:paraId="4F33D2A1" w14:textId="77777777" w:rsidR="00200989" w:rsidRPr="002B1DC2" w:rsidRDefault="00200989" w:rsidP="00030E15">
            <w:pPr>
              <w:spacing w:line="240" w:lineRule="auto"/>
              <w:rPr>
                <w:noProof/>
                <w:color w:val="auto"/>
              </w:rPr>
            </w:pPr>
            <w:r w:rsidRPr="002B1DC2">
              <w:rPr>
                <w:noProof/>
                <w:color w:val="auto"/>
              </w:rPr>
              <w:t>C-2021-3026992</w:t>
            </w:r>
          </w:p>
          <w:p w14:paraId="3776DC7D" w14:textId="6A67CF6A" w:rsidR="0068078D" w:rsidRPr="002B1DC2" w:rsidRDefault="0068078D" w:rsidP="00030E15">
            <w:pPr>
              <w:spacing w:line="240" w:lineRule="auto"/>
              <w:rPr>
                <w:color w:val="auto"/>
              </w:rPr>
            </w:pPr>
            <w:r w:rsidRPr="002B1DC2">
              <w:rPr>
                <w:color w:val="auto"/>
              </w:rPr>
              <w:t>C-2021-3026994</w:t>
            </w:r>
          </w:p>
        </w:tc>
      </w:tr>
      <w:tr w:rsidR="00200989" w14:paraId="7FB356EF" w14:textId="77777777" w:rsidTr="00030E15">
        <w:tc>
          <w:tcPr>
            <w:tcW w:w="7195" w:type="dxa"/>
          </w:tcPr>
          <w:p w14:paraId="1797387A" w14:textId="77777777" w:rsidR="00200989" w:rsidRPr="002B1DC2" w:rsidRDefault="00200989" w:rsidP="00030E15">
            <w:pPr>
              <w:spacing w:line="240" w:lineRule="auto"/>
              <w:rPr>
                <w:color w:val="auto"/>
              </w:rPr>
            </w:pPr>
            <w:r w:rsidRPr="002B1DC2">
              <w:rPr>
                <w:noProof/>
                <w:color w:val="auto"/>
              </w:rPr>
              <w:t>Yajaida Rodriguez</w:t>
            </w:r>
          </w:p>
        </w:tc>
        <w:tc>
          <w:tcPr>
            <w:tcW w:w="2430" w:type="dxa"/>
          </w:tcPr>
          <w:p w14:paraId="1F5E4CC1" w14:textId="77777777" w:rsidR="00200989" w:rsidRPr="002B1DC2" w:rsidRDefault="00200989" w:rsidP="00030E15">
            <w:pPr>
              <w:spacing w:line="240" w:lineRule="auto"/>
              <w:rPr>
                <w:color w:val="auto"/>
              </w:rPr>
            </w:pPr>
            <w:r w:rsidRPr="002B1DC2">
              <w:rPr>
                <w:noProof/>
                <w:color w:val="auto"/>
              </w:rPr>
              <w:t>C-2021-3026999</w:t>
            </w:r>
          </w:p>
        </w:tc>
      </w:tr>
      <w:tr w:rsidR="00200989" w14:paraId="4081976E" w14:textId="77777777" w:rsidTr="00030E15">
        <w:tc>
          <w:tcPr>
            <w:tcW w:w="7195" w:type="dxa"/>
          </w:tcPr>
          <w:p w14:paraId="1E1B1253" w14:textId="77777777" w:rsidR="00200989" w:rsidRPr="002B1DC2" w:rsidRDefault="00200989" w:rsidP="00030E15">
            <w:pPr>
              <w:spacing w:line="240" w:lineRule="auto"/>
              <w:rPr>
                <w:color w:val="auto"/>
              </w:rPr>
            </w:pPr>
            <w:r w:rsidRPr="002B1DC2">
              <w:rPr>
                <w:noProof/>
                <w:color w:val="auto"/>
              </w:rPr>
              <w:t>Roger Fredericks</w:t>
            </w:r>
          </w:p>
        </w:tc>
        <w:tc>
          <w:tcPr>
            <w:tcW w:w="2430" w:type="dxa"/>
          </w:tcPr>
          <w:p w14:paraId="0F9ACB9A" w14:textId="77777777" w:rsidR="00200989" w:rsidRPr="002B1DC2" w:rsidRDefault="00200989" w:rsidP="00030E15">
            <w:pPr>
              <w:spacing w:line="240" w:lineRule="auto"/>
              <w:rPr>
                <w:color w:val="auto"/>
              </w:rPr>
            </w:pPr>
            <w:r w:rsidRPr="002B1DC2">
              <w:rPr>
                <w:noProof/>
                <w:color w:val="auto"/>
              </w:rPr>
              <w:t>C-2021-3027063</w:t>
            </w:r>
          </w:p>
        </w:tc>
      </w:tr>
      <w:tr w:rsidR="00200989" w14:paraId="116859BE" w14:textId="77777777" w:rsidTr="00030E15">
        <w:tc>
          <w:tcPr>
            <w:tcW w:w="7195" w:type="dxa"/>
          </w:tcPr>
          <w:p w14:paraId="469B318D" w14:textId="77777777" w:rsidR="00200989" w:rsidRPr="002B1DC2" w:rsidRDefault="00200989" w:rsidP="00030E15">
            <w:pPr>
              <w:spacing w:line="240" w:lineRule="auto"/>
              <w:rPr>
                <w:color w:val="auto"/>
              </w:rPr>
            </w:pPr>
            <w:r w:rsidRPr="002B1DC2">
              <w:rPr>
                <w:noProof/>
                <w:color w:val="auto"/>
              </w:rPr>
              <w:lastRenderedPageBreak/>
              <w:t>Stilianos &amp; Susan Nikolaou</w:t>
            </w:r>
          </w:p>
        </w:tc>
        <w:tc>
          <w:tcPr>
            <w:tcW w:w="2430" w:type="dxa"/>
          </w:tcPr>
          <w:p w14:paraId="4AC8B8DA" w14:textId="77777777" w:rsidR="00200989" w:rsidRPr="002B1DC2" w:rsidRDefault="00200989" w:rsidP="00030E15">
            <w:pPr>
              <w:spacing w:line="240" w:lineRule="auto"/>
              <w:rPr>
                <w:color w:val="auto"/>
              </w:rPr>
            </w:pPr>
            <w:r w:rsidRPr="002B1DC2">
              <w:rPr>
                <w:noProof/>
                <w:color w:val="auto"/>
              </w:rPr>
              <w:t>C-2021-3027064</w:t>
            </w:r>
          </w:p>
        </w:tc>
      </w:tr>
      <w:tr w:rsidR="00200989" w14:paraId="3F334BEE" w14:textId="77777777" w:rsidTr="00030E15">
        <w:tc>
          <w:tcPr>
            <w:tcW w:w="7195" w:type="dxa"/>
          </w:tcPr>
          <w:p w14:paraId="6B4779A1" w14:textId="77777777" w:rsidR="00200989" w:rsidRPr="002B1DC2" w:rsidRDefault="00200989" w:rsidP="00030E15">
            <w:pPr>
              <w:spacing w:line="240" w:lineRule="auto"/>
              <w:rPr>
                <w:color w:val="auto"/>
              </w:rPr>
            </w:pPr>
            <w:r w:rsidRPr="002B1DC2">
              <w:rPr>
                <w:noProof/>
                <w:color w:val="auto"/>
              </w:rPr>
              <w:t>Rosalie Capitelli</w:t>
            </w:r>
          </w:p>
        </w:tc>
        <w:tc>
          <w:tcPr>
            <w:tcW w:w="2430" w:type="dxa"/>
          </w:tcPr>
          <w:p w14:paraId="30120AC1" w14:textId="77777777" w:rsidR="00200989" w:rsidRPr="002B1DC2" w:rsidRDefault="00200989" w:rsidP="00030E15">
            <w:pPr>
              <w:spacing w:line="240" w:lineRule="auto"/>
              <w:rPr>
                <w:color w:val="auto"/>
              </w:rPr>
            </w:pPr>
            <w:r w:rsidRPr="002B1DC2">
              <w:rPr>
                <w:noProof/>
                <w:color w:val="auto"/>
              </w:rPr>
              <w:t>C-2021-3027069</w:t>
            </w:r>
          </w:p>
        </w:tc>
      </w:tr>
      <w:tr w:rsidR="00200989" w14:paraId="0803B789" w14:textId="77777777" w:rsidTr="00030E15">
        <w:tc>
          <w:tcPr>
            <w:tcW w:w="7195" w:type="dxa"/>
          </w:tcPr>
          <w:p w14:paraId="2DF4BDAF" w14:textId="77777777" w:rsidR="00200989" w:rsidRPr="002B1DC2" w:rsidRDefault="00200989" w:rsidP="00030E15">
            <w:pPr>
              <w:spacing w:line="240" w:lineRule="auto"/>
              <w:rPr>
                <w:color w:val="auto"/>
              </w:rPr>
            </w:pPr>
            <w:r w:rsidRPr="002B1DC2">
              <w:rPr>
                <w:noProof/>
                <w:color w:val="auto"/>
              </w:rPr>
              <w:t>Charles Wright</w:t>
            </w:r>
          </w:p>
        </w:tc>
        <w:tc>
          <w:tcPr>
            <w:tcW w:w="2430" w:type="dxa"/>
          </w:tcPr>
          <w:p w14:paraId="211D9C59" w14:textId="77777777" w:rsidR="00200989" w:rsidRPr="002B1DC2" w:rsidRDefault="00200989" w:rsidP="00030E15">
            <w:pPr>
              <w:spacing w:line="240" w:lineRule="auto"/>
              <w:rPr>
                <w:color w:val="auto"/>
              </w:rPr>
            </w:pPr>
            <w:r w:rsidRPr="002B1DC2">
              <w:rPr>
                <w:noProof/>
                <w:color w:val="auto"/>
              </w:rPr>
              <w:t>C-2021-3027071</w:t>
            </w:r>
          </w:p>
        </w:tc>
      </w:tr>
      <w:tr w:rsidR="00200989" w14:paraId="3DC1B54F" w14:textId="77777777" w:rsidTr="00030E15">
        <w:tc>
          <w:tcPr>
            <w:tcW w:w="7195" w:type="dxa"/>
          </w:tcPr>
          <w:p w14:paraId="11A4B4E6" w14:textId="77777777" w:rsidR="00200989" w:rsidRPr="002B1DC2" w:rsidRDefault="00200989" w:rsidP="00030E15">
            <w:pPr>
              <w:spacing w:line="240" w:lineRule="auto"/>
              <w:rPr>
                <w:color w:val="auto"/>
              </w:rPr>
            </w:pPr>
            <w:r w:rsidRPr="002B1DC2">
              <w:rPr>
                <w:noProof/>
                <w:color w:val="auto"/>
              </w:rPr>
              <w:t>Brian &amp; Taryn Merrill</w:t>
            </w:r>
          </w:p>
        </w:tc>
        <w:tc>
          <w:tcPr>
            <w:tcW w:w="2430" w:type="dxa"/>
          </w:tcPr>
          <w:p w14:paraId="76BCA2E2" w14:textId="77777777" w:rsidR="00200989" w:rsidRPr="002B1DC2" w:rsidRDefault="00200989" w:rsidP="00030E15">
            <w:pPr>
              <w:spacing w:line="240" w:lineRule="auto"/>
              <w:rPr>
                <w:color w:val="auto"/>
              </w:rPr>
            </w:pPr>
            <w:r w:rsidRPr="002B1DC2">
              <w:rPr>
                <w:noProof/>
                <w:color w:val="auto"/>
              </w:rPr>
              <w:t>C-2021-3027074</w:t>
            </w:r>
          </w:p>
        </w:tc>
      </w:tr>
      <w:tr w:rsidR="00200989" w14:paraId="5D96A6E7" w14:textId="77777777" w:rsidTr="00030E15">
        <w:tc>
          <w:tcPr>
            <w:tcW w:w="7195" w:type="dxa"/>
          </w:tcPr>
          <w:p w14:paraId="4B555F41" w14:textId="77777777" w:rsidR="00200989" w:rsidRPr="002B1DC2" w:rsidRDefault="00200989" w:rsidP="00030E15">
            <w:pPr>
              <w:spacing w:line="240" w:lineRule="auto"/>
              <w:rPr>
                <w:color w:val="auto"/>
              </w:rPr>
            </w:pPr>
            <w:r w:rsidRPr="002B1DC2">
              <w:rPr>
                <w:noProof/>
                <w:color w:val="auto"/>
              </w:rPr>
              <w:t>Nicholas Corforte</w:t>
            </w:r>
          </w:p>
        </w:tc>
        <w:tc>
          <w:tcPr>
            <w:tcW w:w="2430" w:type="dxa"/>
          </w:tcPr>
          <w:p w14:paraId="25342C5D" w14:textId="77777777" w:rsidR="00200989" w:rsidRPr="002B1DC2" w:rsidRDefault="00200989" w:rsidP="00030E15">
            <w:pPr>
              <w:spacing w:line="240" w:lineRule="auto"/>
              <w:rPr>
                <w:color w:val="auto"/>
              </w:rPr>
            </w:pPr>
            <w:r w:rsidRPr="002B1DC2">
              <w:rPr>
                <w:noProof/>
                <w:color w:val="auto"/>
              </w:rPr>
              <w:t>C-2021-3027076</w:t>
            </w:r>
          </w:p>
        </w:tc>
      </w:tr>
      <w:tr w:rsidR="00200989" w14:paraId="0F2BA4AB" w14:textId="77777777" w:rsidTr="00030E15">
        <w:tc>
          <w:tcPr>
            <w:tcW w:w="7195" w:type="dxa"/>
          </w:tcPr>
          <w:p w14:paraId="778DD1D1" w14:textId="77777777" w:rsidR="00200989" w:rsidRPr="002B1DC2" w:rsidRDefault="00200989" w:rsidP="00030E15">
            <w:pPr>
              <w:spacing w:line="240" w:lineRule="auto"/>
              <w:rPr>
                <w:color w:val="auto"/>
              </w:rPr>
            </w:pPr>
            <w:r w:rsidRPr="002B1DC2">
              <w:rPr>
                <w:noProof/>
                <w:color w:val="auto"/>
              </w:rPr>
              <w:t>Craig Lowe</w:t>
            </w:r>
          </w:p>
        </w:tc>
        <w:tc>
          <w:tcPr>
            <w:tcW w:w="2430" w:type="dxa"/>
          </w:tcPr>
          <w:p w14:paraId="16B74054" w14:textId="77777777" w:rsidR="00200989" w:rsidRPr="002B1DC2" w:rsidRDefault="00200989" w:rsidP="00030E15">
            <w:pPr>
              <w:spacing w:line="240" w:lineRule="auto"/>
              <w:rPr>
                <w:color w:val="auto"/>
              </w:rPr>
            </w:pPr>
            <w:r w:rsidRPr="002B1DC2">
              <w:rPr>
                <w:noProof/>
                <w:color w:val="auto"/>
              </w:rPr>
              <w:t>C-2021-3027078</w:t>
            </w:r>
          </w:p>
        </w:tc>
      </w:tr>
      <w:tr w:rsidR="00200989" w14:paraId="604EE5BF" w14:textId="77777777" w:rsidTr="00030E15">
        <w:tc>
          <w:tcPr>
            <w:tcW w:w="7195" w:type="dxa"/>
          </w:tcPr>
          <w:p w14:paraId="1858F8E8" w14:textId="77777777" w:rsidR="00200989" w:rsidRPr="002B1DC2" w:rsidRDefault="00200989" w:rsidP="00030E15">
            <w:pPr>
              <w:spacing w:line="240" w:lineRule="auto"/>
              <w:rPr>
                <w:color w:val="auto"/>
              </w:rPr>
            </w:pPr>
            <w:r w:rsidRPr="002B1DC2">
              <w:rPr>
                <w:noProof/>
                <w:color w:val="auto"/>
              </w:rPr>
              <w:t>Stephen &amp; Kathleen Conrad</w:t>
            </w:r>
          </w:p>
        </w:tc>
        <w:tc>
          <w:tcPr>
            <w:tcW w:w="2430" w:type="dxa"/>
          </w:tcPr>
          <w:p w14:paraId="2851AC62" w14:textId="77777777" w:rsidR="00200989" w:rsidRPr="002B1DC2" w:rsidRDefault="00200989" w:rsidP="00030E15">
            <w:pPr>
              <w:spacing w:line="240" w:lineRule="auto"/>
              <w:rPr>
                <w:color w:val="auto"/>
              </w:rPr>
            </w:pPr>
            <w:r w:rsidRPr="002B1DC2">
              <w:rPr>
                <w:noProof/>
                <w:color w:val="auto"/>
              </w:rPr>
              <w:t>C-2021-3027080</w:t>
            </w:r>
          </w:p>
        </w:tc>
      </w:tr>
      <w:tr w:rsidR="00200989" w14:paraId="49031909" w14:textId="77777777" w:rsidTr="00030E15">
        <w:tc>
          <w:tcPr>
            <w:tcW w:w="7195" w:type="dxa"/>
          </w:tcPr>
          <w:p w14:paraId="4DD0A86D" w14:textId="77777777" w:rsidR="00200989" w:rsidRPr="002B1DC2" w:rsidRDefault="00200989" w:rsidP="00030E15">
            <w:pPr>
              <w:spacing w:line="240" w:lineRule="auto"/>
              <w:rPr>
                <w:color w:val="auto"/>
              </w:rPr>
            </w:pPr>
            <w:r w:rsidRPr="002B1DC2">
              <w:rPr>
                <w:noProof/>
                <w:color w:val="auto"/>
              </w:rPr>
              <w:t>Janine Brown</w:t>
            </w:r>
          </w:p>
        </w:tc>
        <w:tc>
          <w:tcPr>
            <w:tcW w:w="2430" w:type="dxa"/>
          </w:tcPr>
          <w:p w14:paraId="58DA47D8" w14:textId="77777777" w:rsidR="00200989" w:rsidRPr="002B1DC2" w:rsidRDefault="00200989" w:rsidP="00030E15">
            <w:pPr>
              <w:spacing w:line="240" w:lineRule="auto"/>
              <w:rPr>
                <w:color w:val="auto"/>
              </w:rPr>
            </w:pPr>
            <w:r w:rsidRPr="002B1DC2">
              <w:rPr>
                <w:noProof/>
                <w:color w:val="auto"/>
              </w:rPr>
              <w:t>C-2021-3027081</w:t>
            </w:r>
          </w:p>
        </w:tc>
      </w:tr>
      <w:tr w:rsidR="00200989" w14:paraId="4861DEF2" w14:textId="77777777" w:rsidTr="00030E15">
        <w:tc>
          <w:tcPr>
            <w:tcW w:w="7195" w:type="dxa"/>
          </w:tcPr>
          <w:p w14:paraId="16E459DF" w14:textId="77777777" w:rsidR="00200989" w:rsidRPr="002B1DC2" w:rsidRDefault="00200989" w:rsidP="00030E15">
            <w:pPr>
              <w:spacing w:line="240" w:lineRule="auto"/>
              <w:rPr>
                <w:color w:val="auto"/>
              </w:rPr>
            </w:pPr>
            <w:r w:rsidRPr="002B1DC2">
              <w:rPr>
                <w:noProof/>
                <w:color w:val="auto"/>
              </w:rPr>
              <w:t>Robert Mohr</w:t>
            </w:r>
          </w:p>
        </w:tc>
        <w:tc>
          <w:tcPr>
            <w:tcW w:w="2430" w:type="dxa"/>
          </w:tcPr>
          <w:p w14:paraId="51586D31" w14:textId="77777777" w:rsidR="00200989" w:rsidRPr="002B1DC2" w:rsidRDefault="00200989" w:rsidP="00030E15">
            <w:pPr>
              <w:spacing w:line="240" w:lineRule="auto"/>
              <w:rPr>
                <w:color w:val="auto"/>
              </w:rPr>
            </w:pPr>
            <w:r w:rsidRPr="002B1DC2">
              <w:rPr>
                <w:noProof/>
                <w:color w:val="auto"/>
              </w:rPr>
              <w:t>C-2021-3027082</w:t>
            </w:r>
          </w:p>
        </w:tc>
      </w:tr>
      <w:tr w:rsidR="00200989" w14:paraId="595B37C0" w14:textId="77777777" w:rsidTr="00030E15">
        <w:tc>
          <w:tcPr>
            <w:tcW w:w="7195" w:type="dxa"/>
          </w:tcPr>
          <w:p w14:paraId="6DB2C433" w14:textId="77777777" w:rsidR="00200989" w:rsidRPr="002B1DC2" w:rsidRDefault="00200989" w:rsidP="00030E15">
            <w:pPr>
              <w:spacing w:line="240" w:lineRule="auto"/>
              <w:rPr>
                <w:color w:val="auto"/>
              </w:rPr>
            </w:pPr>
            <w:r w:rsidRPr="002B1DC2">
              <w:rPr>
                <w:noProof/>
                <w:color w:val="auto"/>
              </w:rPr>
              <w:t>George Kelly</w:t>
            </w:r>
          </w:p>
        </w:tc>
        <w:tc>
          <w:tcPr>
            <w:tcW w:w="2430" w:type="dxa"/>
          </w:tcPr>
          <w:p w14:paraId="7E1DD401" w14:textId="77777777" w:rsidR="00200989" w:rsidRPr="002B1DC2" w:rsidRDefault="00200989" w:rsidP="00030E15">
            <w:pPr>
              <w:spacing w:line="240" w:lineRule="auto"/>
              <w:rPr>
                <w:color w:val="auto"/>
              </w:rPr>
            </w:pPr>
            <w:r w:rsidRPr="002B1DC2">
              <w:rPr>
                <w:noProof/>
                <w:color w:val="auto"/>
              </w:rPr>
              <w:t>C-2021-3027084</w:t>
            </w:r>
          </w:p>
        </w:tc>
      </w:tr>
      <w:tr w:rsidR="00200989" w14:paraId="6276E602" w14:textId="77777777" w:rsidTr="00030E15">
        <w:tc>
          <w:tcPr>
            <w:tcW w:w="7195" w:type="dxa"/>
          </w:tcPr>
          <w:p w14:paraId="1B76B7AA" w14:textId="77777777" w:rsidR="00200989" w:rsidRPr="002B1DC2" w:rsidRDefault="00200989" w:rsidP="00030E15">
            <w:pPr>
              <w:spacing w:line="240" w:lineRule="auto"/>
              <w:rPr>
                <w:color w:val="auto"/>
              </w:rPr>
            </w:pPr>
            <w:r w:rsidRPr="002B1DC2">
              <w:rPr>
                <w:noProof/>
                <w:color w:val="auto"/>
              </w:rPr>
              <w:t>Maryann Bouco</w:t>
            </w:r>
          </w:p>
        </w:tc>
        <w:tc>
          <w:tcPr>
            <w:tcW w:w="2430" w:type="dxa"/>
          </w:tcPr>
          <w:p w14:paraId="3470B25A" w14:textId="77777777" w:rsidR="00200989" w:rsidRPr="002B1DC2" w:rsidRDefault="00200989" w:rsidP="00030E15">
            <w:pPr>
              <w:spacing w:line="240" w:lineRule="auto"/>
              <w:rPr>
                <w:color w:val="auto"/>
              </w:rPr>
            </w:pPr>
            <w:r w:rsidRPr="002B1DC2">
              <w:rPr>
                <w:noProof/>
                <w:color w:val="auto"/>
              </w:rPr>
              <w:t>C-2021-3027088</w:t>
            </w:r>
          </w:p>
        </w:tc>
      </w:tr>
      <w:tr w:rsidR="00200989" w14:paraId="084F5E80" w14:textId="77777777" w:rsidTr="00030E15">
        <w:tc>
          <w:tcPr>
            <w:tcW w:w="7195" w:type="dxa"/>
          </w:tcPr>
          <w:p w14:paraId="0662C73A" w14:textId="77777777" w:rsidR="00200989" w:rsidRPr="002B1DC2" w:rsidRDefault="00200989" w:rsidP="00030E15">
            <w:pPr>
              <w:spacing w:line="240" w:lineRule="auto"/>
              <w:rPr>
                <w:color w:val="auto"/>
              </w:rPr>
            </w:pPr>
            <w:r w:rsidRPr="002B1DC2">
              <w:rPr>
                <w:noProof/>
                <w:color w:val="auto"/>
              </w:rPr>
              <w:t>Patricia Merrill</w:t>
            </w:r>
          </w:p>
        </w:tc>
        <w:tc>
          <w:tcPr>
            <w:tcW w:w="2430" w:type="dxa"/>
          </w:tcPr>
          <w:p w14:paraId="1681B026" w14:textId="77777777" w:rsidR="00200989" w:rsidRPr="002B1DC2" w:rsidRDefault="00200989" w:rsidP="00030E15">
            <w:pPr>
              <w:spacing w:line="240" w:lineRule="auto"/>
              <w:rPr>
                <w:color w:val="auto"/>
              </w:rPr>
            </w:pPr>
            <w:r w:rsidRPr="002B1DC2">
              <w:rPr>
                <w:noProof/>
                <w:color w:val="auto"/>
              </w:rPr>
              <w:t>C-2021-3027135</w:t>
            </w:r>
          </w:p>
        </w:tc>
      </w:tr>
      <w:tr w:rsidR="00200989" w14:paraId="3A5CAEF3" w14:textId="77777777" w:rsidTr="00030E15">
        <w:tc>
          <w:tcPr>
            <w:tcW w:w="7195" w:type="dxa"/>
          </w:tcPr>
          <w:p w14:paraId="67E90CEB" w14:textId="77777777" w:rsidR="00200989" w:rsidRPr="002B1DC2" w:rsidRDefault="00200989" w:rsidP="00030E15">
            <w:pPr>
              <w:spacing w:line="240" w:lineRule="auto"/>
              <w:rPr>
                <w:color w:val="auto"/>
              </w:rPr>
            </w:pPr>
            <w:r w:rsidRPr="002B1DC2">
              <w:rPr>
                <w:noProof/>
                <w:color w:val="auto"/>
              </w:rPr>
              <w:t>Thomas &amp; Maxine Shepard</w:t>
            </w:r>
          </w:p>
        </w:tc>
        <w:tc>
          <w:tcPr>
            <w:tcW w:w="2430" w:type="dxa"/>
          </w:tcPr>
          <w:p w14:paraId="72A18AF4" w14:textId="77777777" w:rsidR="00200989" w:rsidRPr="002B1DC2" w:rsidRDefault="00200989" w:rsidP="00030E15">
            <w:pPr>
              <w:spacing w:line="240" w:lineRule="auto"/>
              <w:rPr>
                <w:color w:val="auto"/>
              </w:rPr>
            </w:pPr>
            <w:r w:rsidRPr="002B1DC2">
              <w:rPr>
                <w:noProof/>
                <w:color w:val="auto"/>
              </w:rPr>
              <w:t>C-2021-3027144</w:t>
            </w:r>
          </w:p>
        </w:tc>
      </w:tr>
      <w:tr w:rsidR="00200989" w14:paraId="3083992B" w14:textId="77777777" w:rsidTr="00030E15">
        <w:tc>
          <w:tcPr>
            <w:tcW w:w="7195" w:type="dxa"/>
          </w:tcPr>
          <w:p w14:paraId="10B060F2" w14:textId="018F06CC" w:rsidR="00200989" w:rsidRPr="002B1DC2" w:rsidRDefault="00200989" w:rsidP="00030E15">
            <w:pPr>
              <w:spacing w:line="240" w:lineRule="auto"/>
              <w:rPr>
                <w:color w:val="auto"/>
              </w:rPr>
            </w:pPr>
            <w:r w:rsidRPr="002B1DC2">
              <w:rPr>
                <w:noProof/>
                <w:color w:val="auto"/>
              </w:rPr>
              <w:t>Marcia Mathura</w:t>
            </w:r>
          </w:p>
        </w:tc>
        <w:tc>
          <w:tcPr>
            <w:tcW w:w="2430" w:type="dxa"/>
          </w:tcPr>
          <w:p w14:paraId="5983CE06" w14:textId="77777777" w:rsidR="00200989" w:rsidRPr="002B1DC2" w:rsidRDefault="00200989" w:rsidP="00030E15">
            <w:pPr>
              <w:spacing w:line="240" w:lineRule="auto"/>
              <w:rPr>
                <w:color w:val="auto"/>
              </w:rPr>
            </w:pPr>
            <w:r w:rsidRPr="002B1DC2">
              <w:rPr>
                <w:noProof/>
                <w:color w:val="auto"/>
              </w:rPr>
              <w:t>C-2021-3027252</w:t>
            </w:r>
          </w:p>
        </w:tc>
      </w:tr>
    </w:tbl>
    <w:bookmarkEnd w:id="1"/>
    <w:p w14:paraId="4397CA0F" w14:textId="77777777" w:rsidR="00200989" w:rsidRPr="008E7712" w:rsidRDefault="00200989" w:rsidP="00200989">
      <w:pPr>
        <w:tabs>
          <w:tab w:val="left" w:pos="5040"/>
        </w:tabs>
        <w:spacing w:line="240" w:lineRule="auto"/>
        <w:rPr>
          <w:szCs w:val="26"/>
        </w:rPr>
      </w:pPr>
      <w:r w:rsidRPr="008E7712">
        <w:rPr>
          <w:szCs w:val="26"/>
        </w:rPr>
        <w:tab/>
      </w:r>
    </w:p>
    <w:p w14:paraId="312F6735" w14:textId="77777777" w:rsidR="00200989" w:rsidRPr="008E7712" w:rsidRDefault="00200989" w:rsidP="00200989">
      <w:pPr>
        <w:tabs>
          <w:tab w:val="left" w:pos="5040"/>
          <w:tab w:val="left" w:pos="7560"/>
        </w:tabs>
        <w:spacing w:line="240" w:lineRule="auto"/>
        <w:ind w:firstLine="720"/>
        <w:rPr>
          <w:szCs w:val="26"/>
        </w:rPr>
      </w:pPr>
      <w:r w:rsidRPr="008E7712">
        <w:rPr>
          <w:szCs w:val="26"/>
        </w:rPr>
        <w:t>v.</w:t>
      </w:r>
      <w:r w:rsidRPr="008E7712">
        <w:rPr>
          <w:szCs w:val="26"/>
        </w:rPr>
        <w:tab/>
      </w:r>
    </w:p>
    <w:p w14:paraId="02973A38" w14:textId="77777777" w:rsidR="00200989" w:rsidRPr="008E7712" w:rsidRDefault="00200989" w:rsidP="00200989">
      <w:pPr>
        <w:tabs>
          <w:tab w:val="left" w:pos="5040"/>
        </w:tabs>
        <w:spacing w:line="240" w:lineRule="auto"/>
        <w:rPr>
          <w:szCs w:val="26"/>
        </w:rPr>
      </w:pPr>
      <w:r w:rsidRPr="008E7712">
        <w:rPr>
          <w:szCs w:val="26"/>
        </w:rPr>
        <w:tab/>
      </w:r>
    </w:p>
    <w:p w14:paraId="7EA12146" w14:textId="77777777" w:rsidR="00200989" w:rsidRPr="008E7712" w:rsidRDefault="00200989" w:rsidP="00200989">
      <w:pPr>
        <w:tabs>
          <w:tab w:val="left" w:pos="5040"/>
          <w:tab w:val="left" w:pos="7560"/>
        </w:tabs>
        <w:spacing w:line="240" w:lineRule="auto"/>
        <w:rPr>
          <w:szCs w:val="26"/>
        </w:rPr>
      </w:pPr>
      <w:r w:rsidRPr="008E7712">
        <w:rPr>
          <w:szCs w:val="26"/>
        </w:rPr>
        <w:t xml:space="preserve">Community Utilities of Pennsylvania Inc. - </w:t>
      </w:r>
      <w:r w:rsidRPr="008E7712">
        <w:rPr>
          <w:szCs w:val="26"/>
        </w:rPr>
        <w:tab/>
      </w:r>
    </w:p>
    <w:p w14:paraId="06867DB6" w14:textId="77777777" w:rsidR="00200989" w:rsidRPr="008E7712" w:rsidRDefault="00200989" w:rsidP="00200989">
      <w:pPr>
        <w:tabs>
          <w:tab w:val="left" w:pos="5040"/>
        </w:tabs>
        <w:spacing w:line="240" w:lineRule="auto"/>
        <w:rPr>
          <w:szCs w:val="26"/>
        </w:rPr>
      </w:pPr>
      <w:r w:rsidRPr="008E7712">
        <w:rPr>
          <w:szCs w:val="26"/>
        </w:rPr>
        <w:t>Wastewater Division</w:t>
      </w:r>
      <w:r w:rsidRPr="008E7712">
        <w:rPr>
          <w:szCs w:val="26"/>
        </w:rPr>
        <w:tab/>
      </w:r>
    </w:p>
    <w:p w14:paraId="70915C4C" w14:textId="77777777" w:rsidR="00200989" w:rsidRPr="008E7712" w:rsidRDefault="00200989" w:rsidP="00200989">
      <w:pPr>
        <w:jc w:val="center"/>
        <w:rPr>
          <w:b/>
          <w:bCs/>
          <w:szCs w:val="26"/>
          <w:u w:val="single"/>
        </w:rPr>
      </w:pPr>
    </w:p>
    <w:p w14:paraId="138EBDC2" w14:textId="77777777" w:rsidR="00200989" w:rsidRPr="008E7712" w:rsidRDefault="00200989" w:rsidP="00200989">
      <w:pPr>
        <w:jc w:val="center"/>
        <w:rPr>
          <w:b/>
          <w:bCs/>
          <w:szCs w:val="26"/>
          <w:u w:val="single"/>
        </w:rPr>
      </w:pPr>
    </w:p>
    <w:p w14:paraId="66126F8D" w14:textId="77777777" w:rsidR="00200989" w:rsidRDefault="00200989" w:rsidP="00200989">
      <w:pPr>
        <w:jc w:val="center"/>
        <w:rPr>
          <w:b/>
          <w:color w:val="000000" w:themeColor="text1"/>
          <w:szCs w:val="26"/>
        </w:rPr>
      </w:pPr>
    </w:p>
    <w:p w14:paraId="6C4E5747" w14:textId="77777777" w:rsidR="00200989" w:rsidRPr="008E7712" w:rsidRDefault="00200989" w:rsidP="00200989">
      <w:pPr>
        <w:jc w:val="center"/>
        <w:rPr>
          <w:b/>
          <w:color w:val="000000" w:themeColor="text1"/>
          <w:szCs w:val="26"/>
        </w:rPr>
      </w:pPr>
      <w:r w:rsidRPr="008E7712">
        <w:rPr>
          <w:b/>
          <w:color w:val="000000" w:themeColor="text1"/>
          <w:szCs w:val="26"/>
        </w:rPr>
        <w:t>OPINION AND ORDER</w:t>
      </w:r>
    </w:p>
    <w:p w14:paraId="14771D95" w14:textId="77777777" w:rsidR="00200989" w:rsidRPr="008E7712" w:rsidRDefault="00200989" w:rsidP="00200989">
      <w:pPr>
        <w:jc w:val="center"/>
        <w:rPr>
          <w:bCs/>
          <w:color w:val="000000" w:themeColor="text1"/>
          <w:szCs w:val="26"/>
        </w:rPr>
      </w:pPr>
    </w:p>
    <w:p w14:paraId="38B68810" w14:textId="77777777" w:rsidR="00200989" w:rsidRPr="008E7712" w:rsidRDefault="00200989" w:rsidP="00200989">
      <w:pPr>
        <w:jc w:val="center"/>
        <w:rPr>
          <w:bCs/>
          <w:color w:val="000000" w:themeColor="text1"/>
          <w:szCs w:val="26"/>
        </w:rPr>
      </w:pPr>
    </w:p>
    <w:p w14:paraId="5B494E1A" w14:textId="7524E247" w:rsidR="00EE1220" w:rsidRPr="008E7712" w:rsidRDefault="00EE1220" w:rsidP="00EB7CBC">
      <w:pPr>
        <w:jc w:val="center"/>
        <w:rPr>
          <w:b/>
          <w:bCs/>
          <w:szCs w:val="26"/>
          <w:u w:val="single"/>
        </w:rPr>
        <w:sectPr w:rsidR="00EE1220" w:rsidRPr="008E7712" w:rsidSect="00C867B1">
          <w:pgSz w:w="12240" w:h="15840"/>
          <w:pgMar w:top="1440" w:right="1440" w:bottom="1440" w:left="1440" w:header="720" w:footer="720" w:gutter="0"/>
          <w:cols w:space="720"/>
          <w:docGrid w:linePitch="360"/>
        </w:sectPr>
      </w:pPr>
    </w:p>
    <w:p w14:paraId="6178C859" w14:textId="06DEB1AB" w:rsidR="00E14271" w:rsidRPr="008E7712" w:rsidRDefault="00E14271" w:rsidP="00EB7CBC">
      <w:pPr>
        <w:spacing w:line="240" w:lineRule="auto"/>
        <w:jc w:val="center"/>
        <w:rPr>
          <w:b/>
          <w:bCs/>
          <w:szCs w:val="26"/>
        </w:rPr>
      </w:pPr>
      <w:r w:rsidRPr="008E7712">
        <w:rPr>
          <w:b/>
          <w:bCs/>
          <w:szCs w:val="26"/>
        </w:rPr>
        <w:lastRenderedPageBreak/>
        <w:t>TABLE OF CONTENTS</w:t>
      </w:r>
    </w:p>
    <w:p w14:paraId="2852A2C6" w14:textId="053B3B82" w:rsidR="00E14271" w:rsidRPr="008E7712" w:rsidRDefault="00E14271" w:rsidP="00EB7CBC">
      <w:pPr>
        <w:spacing w:line="240" w:lineRule="auto"/>
        <w:jc w:val="center"/>
        <w:rPr>
          <w:b/>
          <w:bCs/>
          <w:szCs w:val="26"/>
        </w:rPr>
      </w:pPr>
    </w:p>
    <w:p w14:paraId="4C6698D5" w14:textId="77777777" w:rsidR="00E14271" w:rsidRPr="008E7712" w:rsidRDefault="00E14271" w:rsidP="00EB7CBC">
      <w:pPr>
        <w:spacing w:line="240" w:lineRule="auto"/>
        <w:jc w:val="center"/>
        <w:rPr>
          <w:b/>
          <w:bCs/>
          <w:szCs w:val="26"/>
        </w:rPr>
      </w:pPr>
    </w:p>
    <w:p w14:paraId="51CC5C12" w14:textId="57C8AA7A" w:rsidR="00C36F8D" w:rsidRDefault="007E46C2" w:rsidP="00C36F8D">
      <w:pPr>
        <w:pStyle w:val="TOC1"/>
        <w:spacing w:after="120" w:line="240" w:lineRule="auto"/>
        <w:rPr>
          <w:rFonts w:asciiTheme="minorHAnsi" w:eastAsiaTheme="minorEastAsia" w:hAnsiTheme="minorHAnsi" w:cstheme="minorBidi"/>
          <w:noProof/>
          <w:color w:val="auto"/>
          <w:sz w:val="22"/>
        </w:rPr>
      </w:pPr>
      <w:r w:rsidRPr="008E7712">
        <w:rPr>
          <w:szCs w:val="26"/>
        </w:rPr>
        <w:fldChar w:fldCharType="begin"/>
      </w:r>
      <w:r w:rsidRPr="008E7712">
        <w:rPr>
          <w:szCs w:val="26"/>
        </w:rPr>
        <w:instrText xml:space="preserve"> TOC \o "1-4" \h \z \u </w:instrText>
      </w:r>
      <w:r w:rsidRPr="008E7712">
        <w:rPr>
          <w:szCs w:val="26"/>
        </w:rPr>
        <w:fldChar w:fldCharType="separate"/>
      </w:r>
      <w:hyperlink w:anchor="_Toc91576486" w:history="1">
        <w:r w:rsidR="00C36F8D" w:rsidRPr="00A37096">
          <w:rPr>
            <w:rStyle w:val="Hyperlink"/>
            <w:noProof/>
          </w:rPr>
          <w:t>I.</w:t>
        </w:r>
        <w:r w:rsidR="00C36F8D">
          <w:rPr>
            <w:rFonts w:asciiTheme="minorHAnsi" w:eastAsiaTheme="minorEastAsia" w:hAnsiTheme="minorHAnsi" w:cstheme="minorBidi"/>
            <w:noProof/>
            <w:color w:val="auto"/>
            <w:sz w:val="22"/>
          </w:rPr>
          <w:tab/>
        </w:r>
        <w:r w:rsidR="00C36F8D" w:rsidRPr="00A37096">
          <w:rPr>
            <w:rStyle w:val="Hyperlink"/>
            <w:noProof/>
          </w:rPr>
          <w:t>Introduction</w:t>
        </w:r>
        <w:r w:rsidR="00C36F8D">
          <w:rPr>
            <w:noProof/>
            <w:webHidden/>
          </w:rPr>
          <w:tab/>
        </w:r>
        <w:r w:rsidR="00C36F8D">
          <w:rPr>
            <w:noProof/>
            <w:webHidden/>
          </w:rPr>
          <w:fldChar w:fldCharType="begin"/>
        </w:r>
        <w:r w:rsidR="00C36F8D">
          <w:rPr>
            <w:noProof/>
            <w:webHidden/>
          </w:rPr>
          <w:instrText xml:space="preserve"> PAGEREF _Toc91576486 \h </w:instrText>
        </w:r>
        <w:r w:rsidR="00C36F8D">
          <w:rPr>
            <w:noProof/>
            <w:webHidden/>
          </w:rPr>
        </w:r>
        <w:r w:rsidR="00C36F8D">
          <w:rPr>
            <w:noProof/>
            <w:webHidden/>
          </w:rPr>
          <w:fldChar w:fldCharType="separate"/>
        </w:r>
        <w:r w:rsidR="00EA06FF">
          <w:rPr>
            <w:noProof/>
            <w:webHidden/>
          </w:rPr>
          <w:t>1</w:t>
        </w:r>
        <w:r w:rsidR="00C36F8D">
          <w:rPr>
            <w:noProof/>
            <w:webHidden/>
          </w:rPr>
          <w:fldChar w:fldCharType="end"/>
        </w:r>
      </w:hyperlink>
    </w:p>
    <w:p w14:paraId="27F50AD0" w14:textId="7E8CBAAD"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487" w:history="1">
        <w:r w:rsidR="00C36F8D" w:rsidRPr="00A37096">
          <w:rPr>
            <w:rStyle w:val="Hyperlink"/>
            <w:noProof/>
          </w:rPr>
          <w:t>A.</w:t>
        </w:r>
        <w:r w:rsidR="00C36F8D">
          <w:rPr>
            <w:rFonts w:asciiTheme="minorHAnsi" w:eastAsiaTheme="minorEastAsia" w:hAnsiTheme="minorHAnsi" w:cstheme="minorBidi"/>
            <w:noProof/>
            <w:color w:val="auto"/>
            <w:sz w:val="22"/>
          </w:rPr>
          <w:tab/>
        </w:r>
        <w:r w:rsidR="00C36F8D" w:rsidRPr="00A37096">
          <w:rPr>
            <w:rStyle w:val="Hyperlink"/>
            <w:noProof/>
          </w:rPr>
          <w:t>History of the Proceeding</w:t>
        </w:r>
        <w:r w:rsidR="00C36F8D">
          <w:rPr>
            <w:noProof/>
            <w:webHidden/>
          </w:rPr>
          <w:tab/>
        </w:r>
        <w:r w:rsidR="00C36F8D">
          <w:rPr>
            <w:noProof/>
            <w:webHidden/>
          </w:rPr>
          <w:fldChar w:fldCharType="begin"/>
        </w:r>
        <w:r w:rsidR="00C36F8D">
          <w:rPr>
            <w:noProof/>
            <w:webHidden/>
          </w:rPr>
          <w:instrText xml:space="preserve"> PAGEREF _Toc91576487 \h </w:instrText>
        </w:r>
        <w:r w:rsidR="00C36F8D">
          <w:rPr>
            <w:noProof/>
            <w:webHidden/>
          </w:rPr>
        </w:r>
        <w:r w:rsidR="00C36F8D">
          <w:rPr>
            <w:noProof/>
            <w:webHidden/>
          </w:rPr>
          <w:fldChar w:fldCharType="separate"/>
        </w:r>
        <w:r w:rsidR="00EA06FF">
          <w:rPr>
            <w:noProof/>
            <w:webHidden/>
          </w:rPr>
          <w:t>3</w:t>
        </w:r>
        <w:r w:rsidR="00C36F8D">
          <w:rPr>
            <w:noProof/>
            <w:webHidden/>
          </w:rPr>
          <w:fldChar w:fldCharType="end"/>
        </w:r>
      </w:hyperlink>
    </w:p>
    <w:p w14:paraId="7EAC9318" w14:textId="5D61B908" w:rsidR="00C36F8D" w:rsidRDefault="0056231F" w:rsidP="00C36F8D">
      <w:pPr>
        <w:pStyle w:val="TOC1"/>
        <w:spacing w:after="120" w:line="240" w:lineRule="auto"/>
        <w:rPr>
          <w:rFonts w:asciiTheme="minorHAnsi" w:eastAsiaTheme="minorEastAsia" w:hAnsiTheme="minorHAnsi" w:cstheme="minorBidi"/>
          <w:noProof/>
          <w:color w:val="auto"/>
          <w:sz w:val="22"/>
        </w:rPr>
      </w:pPr>
      <w:hyperlink w:anchor="_Toc91576488" w:history="1">
        <w:r w:rsidR="00C36F8D" w:rsidRPr="00A37096">
          <w:rPr>
            <w:rStyle w:val="Hyperlink"/>
            <w:rFonts w:eastAsia="Calibri"/>
            <w:noProof/>
          </w:rPr>
          <w:t>II.</w:t>
        </w:r>
        <w:r w:rsidR="00C36F8D">
          <w:rPr>
            <w:rFonts w:asciiTheme="minorHAnsi" w:eastAsiaTheme="minorEastAsia" w:hAnsiTheme="minorHAnsi" w:cstheme="minorBidi"/>
            <w:noProof/>
            <w:color w:val="auto"/>
            <w:sz w:val="22"/>
          </w:rPr>
          <w:tab/>
        </w:r>
        <w:r w:rsidR="00C36F8D" w:rsidRPr="00A37096">
          <w:rPr>
            <w:rStyle w:val="Hyperlink"/>
            <w:rFonts w:eastAsia="Calibri"/>
            <w:noProof/>
          </w:rPr>
          <w:t>Legal Standards</w:t>
        </w:r>
        <w:r w:rsidR="00C36F8D">
          <w:rPr>
            <w:noProof/>
            <w:webHidden/>
          </w:rPr>
          <w:tab/>
        </w:r>
        <w:r w:rsidR="00C36F8D">
          <w:rPr>
            <w:noProof/>
            <w:webHidden/>
          </w:rPr>
          <w:fldChar w:fldCharType="begin"/>
        </w:r>
        <w:r w:rsidR="00C36F8D">
          <w:rPr>
            <w:noProof/>
            <w:webHidden/>
          </w:rPr>
          <w:instrText xml:space="preserve"> PAGEREF _Toc91576488 \h </w:instrText>
        </w:r>
        <w:r w:rsidR="00C36F8D">
          <w:rPr>
            <w:noProof/>
            <w:webHidden/>
          </w:rPr>
        </w:r>
        <w:r w:rsidR="00C36F8D">
          <w:rPr>
            <w:noProof/>
            <w:webHidden/>
          </w:rPr>
          <w:fldChar w:fldCharType="separate"/>
        </w:r>
        <w:r w:rsidR="00EA06FF">
          <w:rPr>
            <w:noProof/>
            <w:webHidden/>
          </w:rPr>
          <w:t>6</w:t>
        </w:r>
        <w:r w:rsidR="00C36F8D">
          <w:rPr>
            <w:noProof/>
            <w:webHidden/>
          </w:rPr>
          <w:fldChar w:fldCharType="end"/>
        </w:r>
      </w:hyperlink>
    </w:p>
    <w:p w14:paraId="3D93EF23" w14:textId="143DBBA4" w:rsidR="00C36F8D" w:rsidRDefault="0056231F" w:rsidP="00C36F8D">
      <w:pPr>
        <w:pStyle w:val="TOC1"/>
        <w:spacing w:after="120" w:line="240" w:lineRule="auto"/>
        <w:rPr>
          <w:rFonts w:asciiTheme="minorHAnsi" w:eastAsiaTheme="minorEastAsia" w:hAnsiTheme="minorHAnsi" w:cstheme="minorBidi"/>
          <w:noProof/>
          <w:color w:val="auto"/>
          <w:sz w:val="22"/>
        </w:rPr>
      </w:pPr>
      <w:hyperlink w:anchor="_Toc91576489" w:history="1">
        <w:r w:rsidR="00C36F8D" w:rsidRPr="00A37096">
          <w:rPr>
            <w:rStyle w:val="Hyperlink"/>
            <w:noProof/>
          </w:rPr>
          <w:t>III.</w:t>
        </w:r>
        <w:r w:rsidR="00C36F8D">
          <w:rPr>
            <w:rFonts w:asciiTheme="minorHAnsi" w:eastAsiaTheme="minorEastAsia" w:hAnsiTheme="minorHAnsi" w:cstheme="minorBidi"/>
            <w:noProof/>
            <w:color w:val="auto"/>
            <w:sz w:val="22"/>
          </w:rPr>
          <w:tab/>
        </w:r>
        <w:r w:rsidR="00C36F8D" w:rsidRPr="00A37096">
          <w:rPr>
            <w:rStyle w:val="Hyperlink"/>
            <w:noProof/>
          </w:rPr>
          <w:t>ALJ Order</w:t>
        </w:r>
        <w:r w:rsidR="00C36F8D">
          <w:rPr>
            <w:noProof/>
            <w:webHidden/>
          </w:rPr>
          <w:tab/>
        </w:r>
        <w:r w:rsidR="00C36F8D">
          <w:rPr>
            <w:noProof/>
            <w:webHidden/>
          </w:rPr>
          <w:fldChar w:fldCharType="begin"/>
        </w:r>
        <w:r w:rsidR="00C36F8D">
          <w:rPr>
            <w:noProof/>
            <w:webHidden/>
          </w:rPr>
          <w:instrText xml:space="preserve"> PAGEREF _Toc91576489 \h </w:instrText>
        </w:r>
        <w:r w:rsidR="00C36F8D">
          <w:rPr>
            <w:noProof/>
            <w:webHidden/>
          </w:rPr>
        </w:r>
        <w:r w:rsidR="00C36F8D">
          <w:rPr>
            <w:noProof/>
            <w:webHidden/>
          </w:rPr>
          <w:fldChar w:fldCharType="separate"/>
        </w:r>
        <w:r w:rsidR="00EA06FF">
          <w:rPr>
            <w:noProof/>
            <w:webHidden/>
          </w:rPr>
          <w:t>11</w:t>
        </w:r>
        <w:r w:rsidR="00C36F8D">
          <w:rPr>
            <w:noProof/>
            <w:webHidden/>
          </w:rPr>
          <w:fldChar w:fldCharType="end"/>
        </w:r>
      </w:hyperlink>
    </w:p>
    <w:p w14:paraId="6F49EF73" w14:textId="21CBF6CD" w:rsidR="00C36F8D" w:rsidRDefault="0056231F" w:rsidP="00C36F8D">
      <w:pPr>
        <w:pStyle w:val="TOC1"/>
        <w:spacing w:after="120" w:line="240" w:lineRule="auto"/>
        <w:rPr>
          <w:rFonts w:asciiTheme="minorHAnsi" w:eastAsiaTheme="minorEastAsia" w:hAnsiTheme="minorHAnsi" w:cstheme="minorBidi"/>
          <w:noProof/>
          <w:color w:val="auto"/>
          <w:sz w:val="22"/>
        </w:rPr>
      </w:pPr>
      <w:hyperlink w:anchor="_Toc91576490" w:history="1">
        <w:r w:rsidR="00C36F8D" w:rsidRPr="00A37096">
          <w:rPr>
            <w:rStyle w:val="Hyperlink"/>
            <w:noProof/>
          </w:rPr>
          <w:t>IV.</w:t>
        </w:r>
        <w:r w:rsidR="00C36F8D">
          <w:rPr>
            <w:rFonts w:asciiTheme="minorHAnsi" w:eastAsiaTheme="minorEastAsia" w:hAnsiTheme="minorHAnsi" w:cstheme="minorBidi"/>
            <w:noProof/>
            <w:color w:val="auto"/>
            <w:sz w:val="22"/>
          </w:rPr>
          <w:tab/>
        </w:r>
        <w:r w:rsidR="00C36F8D" w:rsidRPr="00A37096">
          <w:rPr>
            <w:rStyle w:val="Hyperlink"/>
            <w:noProof/>
          </w:rPr>
          <w:t>Terms and Conditions of Settlement</w:t>
        </w:r>
        <w:r w:rsidR="00C36F8D">
          <w:rPr>
            <w:noProof/>
            <w:webHidden/>
          </w:rPr>
          <w:tab/>
        </w:r>
        <w:r w:rsidR="00C36F8D">
          <w:rPr>
            <w:noProof/>
            <w:webHidden/>
          </w:rPr>
          <w:fldChar w:fldCharType="begin"/>
        </w:r>
        <w:r w:rsidR="00C36F8D">
          <w:rPr>
            <w:noProof/>
            <w:webHidden/>
          </w:rPr>
          <w:instrText xml:space="preserve"> PAGEREF _Toc91576490 \h </w:instrText>
        </w:r>
        <w:r w:rsidR="00C36F8D">
          <w:rPr>
            <w:noProof/>
            <w:webHidden/>
          </w:rPr>
        </w:r>
        <w:r w:rsidR="00C36F8D">
          <w:rPr>
            <w:noProof/>
            <w:webHidden/>
          </w:rPr>
          <w:fldChar w:fldCharType="separate"/>
        </w:r>
        <w:r w:rsidR="00EA06FF">
          <w:rPr>
            <w:noProof/>
            <w:webHidden/>
          </w:rPr>
          <w:t>12</w:t>
        </w:r>
        <w:r w:rsidR="00C36F8D">
          <w:rPr>
            <w:noProof/>
            <w:webHidden/>
          </w:rPr>
          <w:fldChar w:fldCharType="end"/>
        </w:r>
      </w:hyperlink>
    </w:p>
    <w:p w14:paraId="0273F189" w14:textId="27DC8F37" w:rsidR="00C36F8D" w:rsidRDefault="0056231F" w:rsidP="00C36F8D">
      <w:pPr>
        <w:pStyle w:val="TOC1"/>
        <w:spacing w:after="120" w:line="240" w:lineRule="auto"/>
        <w:rPr>
          <w:rFonts w:asciiTheme="minorHAnsi" w:eastAsiaTheme="minorEastAsia" w:hAnsiTheme="minorHAnsi" w:cstheme="minorBidi"/>
          <w:noProof/>
          <w:color w:val="auto"/>
          <w:sz w:val="22"/>
        </w:rPr>
      </w:pPr>
      <w:hyperlink w:anchor="_Toc91576491" w:history="1">
        <w:r w:rsidR="00C36F8D" w:rsidRPr="00A37096">
          <w:rPr>
            <w:rStyle w:val="Hyperlink"/>
            <w:noProof/>
          </w:rPr>
          <w:t>V.</w:t>
        </w:r>
        <w:r w:rsidR="00C36F8D">
          <w:rPr>
            <w:rFonts w:asciiTheme="minorHAnsi" w:eastAsiaTheme="minorEastAsia" w:hAnsiTheme="minorHAnsi" w:cstheme="minorBidi"/>
            <w:noProof/>
            <w:color w:val="auto"/>
            <w:sz w:val="22"/>
          </w:rPr>
          <w:tab/>
        </w:r>
        <w:r w:rsidR="00C36F8D" w:rsidRPr="00A37096">
          <w:rPr>
            <w:rStyle w:val="Hyperlink"/>
            <w:noProof/>
          </w:rPr>
          <w:t>Stipulations of Fact and Conclusions of Law</w:t>
        </w:r>
        <w:r w:rsidR="00C36F8D">
          <w:rPr>
            <w:noProof/>
            <w:webHidden/>
          </w:rPr>
          <w:tab/>
        </w:r>
        <w:r w:rsidR="00C36F8D">
          <w:rPr>
            <w:noProof/>
            <w:webHidden/>
          </w:rPr>
          <w:fldChar w:fldCharType="begin"/>
        </w:r>
        <w:r w:rsidR="00C36F8D">
          <w:rPr>
            <w:noProof/>
            <w:webHidden/>
          </w:rPr>
          <w:instrText xml:space="preserve"> PAGEREF _Toc91576491 \h </w:instrText>
        </w:r>
        <w:r w:rsidR="00C36F8D">
          <w:rPr>
            <w:noProof/>
            <w:webHidden/>
          </w:rPr>
        </w:r>
        <w:r w:rsidR="00C36F8D">
          <w:rPr>
            <w:noProof/>
            <w:webHidden/>
          </w:rPr>
          <w:fldChar w:fldCharType="separate"/>
        </w:r>
        <w:r w:rsidR="00EA06FF">
          <w:rPr>
            <w:noProof/>
            <w:webHidden/>
          </w:rPr>
          <w:t>23</w:t>
        </w:r>
        <w:r w:rsidR="00C36F8D">
          <w:rPr>
            <w:noProof/>
            <w:webHidden/>
          </w:rPr>
          <w:fldChar w:fldCharType="end"/>
        </w:r>
      </w:hyperlink>
    </w:p>
    <w:p w14:paraId="3505D7D5" w14:textId="7097125A" w:rsidR="00C36F8D" w:rsidRDefault="0056231F" w:rsidP="00C36F8D">
      <w:pPr>
        <w:pStyle w:val="TOC1"/>
        <w:spacing w:after="120" w:line="240" w:lineRule="auto"/>
        <w:rPr>
          <w:rFonts w:asciiTheme="minorHAnsi" w:eastAsiaTheme="minorEastAsia" w:hAnsiTheme="minorHAnsi" w:cstheme="minorBidi"/>
          <w:noProof/>
          <w:color w:val="auto"/>
          <w:sz w:val="22"/>
        </w:rPr>
      </w:pPr>
      <w:hyperlink w:anchor="_Toc91576492" w:history="1">
        <w:r w:rsidR="00C36F8D" w:rsidRPr="00A37096">
          <w:rPr>
            <w:rStyle w:val="Hyperlink"/>
            <w:noProof/>
          </w:rPr>
          <w:t>VI.</w:t>
        </w:r>
        <w:r w:rsidR="00C36F8D">
          <w:rPr>
            <w:rFonts w:asciiTheme="minorHAnsi" w:eastAsiaTheme="minorEastAsia" w:hAnsiTheme="minorHAnsi" w:cstheme="minorBidi"/>
            <w:noProof/>
            <w:color w:val="auto"/>
            <w:sz w:val="22"/>
          </w:rPr>
          <w:tab/>
        </w:r>
        <w:r w:rsidR="00C36F8D" w:rsidRPr="00A37096">
          <w:rPr>
            <w:rStyle w:val="Hyperlink"/>
            <w:noProof/>
          </w:rPr>
          <w:t>Discussion</w:t>
        </w:r>
        <w:r w:rsidR="00C36F8D">
          <w:rPr>
            <w:noProof/>
            <w:webHidden/>
          </w:rPr>
          <w:tab/>
        </w:r>
        <w:r w:rsidR="00C36F8D">
          <w:rPr>
            <w:noProof/>
            <w:webHidden/>
          </w:rPr>
          <w:fldChar w:fldCharType="begin"/>
        </w:r>
        <w:r w:rsidR="00C36F8D">
          <w:rPr>
            <w:noProof/>
            <w:webHidden/>
          </w:rPr>
          <w:instrText xml:space="preserve"> PAGEREF _Toc91576492 \h </w:instrText>
        </w:r>
        <w:r w:rsidR="00C36F8D">
          <w:rPr>
            <w:noProof/>
            <w:webHidden/>
          </w:rPr>
        </w:r>
        <w:r w:rsidR="00C36F8D">
          <w:rPr>
            <w:noProof/>
            <w:webHidden/>
          </w:rPr>
          <w:fldChar w:fldCharType="separate"/>
        </w:r>
        <w:r w:rsidR="00EA06FF">
          <w:rPr>
            <w:noProof/>
            <w:webHidden/>
          </w:rPr>
          <w:t>36</w:t>
        </w:r>
        <w:r w:rsidR="00C36F8D">
          <w:rPr>
            <w:noProof/>
            <w:webHidden/>
          </w:rPr>
          <w:fldChar w:fldCharType="end"/>
        </w:r>
      </w:hyperlink>
    </w:p>
    <w:p w14:paraId="3C35CFA9" w14:textId="7ED7CF63"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493" w:history="1">
        <w:r w:rsidR="00C36F8D" w:rsidRPr="00A37096">
          <w:rPr>
            <w:rStyle w:val="Hyperlink"/>
            <w:noProof/>
          </w:rPr>
          <w:t>A.</w:t>
        </w:r>
        <w:r w:rsidR="00C36F8D">
          <w:rPr>
            <w:rFonts w:asciiTheme="minorHAnsi" w:eastAsiaTheme="minorEastAsia" w:hAnsiTheme="minorHAnsi" w:cstheme="minorBidi"/>
            <w:noProof/>
            <w:color w:val="auto"/>
            <w:sz w:val="22"/>
          </w:rPr>
          <w:tab/>
        </w:r>
        <w:r w:rsidR="00C36F8D" w:rsidRPr="00A37096">
          <w:rPr>
            <w:rStyle w:val="Hyperlink"/>
            <w:noProof/>
          </w:rPr>
          <w:t>Certification of Material Question</w:t>
        </w:r>
        <w:r w:rsidR="00C36F8D">
          <w:rPr>
            <w:noProof/>
            <w:webHidden/>
          </w:rPr>
          <w:tab/>
        </w:r>
        <w:r w:rsidR="00C36F8D">
          <w:rPr>
            <w:noProof/>
            <w:webHidden/>
          </w:rPr>
          <w:fldChar w:fldCharType="begin"/>
        </w:r>
        <w:r w:rsidR="00C36F8D">
          <w:rPr>
            <w:noProof/>
            <w:webHidden/>
          </w:rPr>
          <w:instrText xml:space="preserve"> PAGEREF _Toc91576493 \h </w:instrText>
        </w:r>
        <w:r w:rsidR="00C36F8D">
          <w:rPr>
            <w:noProof/>
            <w:webHidden/>
          </w:rPr>
        </w:r>
        <w:r w:rsidR="00C36F8D">
          <w:rPr>
            <w:noProof/>
            <w:webHidden/>
          </w:rPr>
          <w:fldChar w:fldCharType="separate"/>
        </w:r>
        <w:r w:rsidR="00EA06FF">
          <w:rPr>
            <w:noProof/>
            <w:webHidden/>
          </w:rPr>
          <w:t>37</w:t>
        </w:r>
        <w:r w:rsidR="00C36F8D">
          <w:rPr>
            <w:noProof/>
            <w:webHidden/>
          </w:rPr>
          <w:fldChar w:fldCharType="end"/>
        </w:r>
      </w:hyperlink>
    </w:p>
    <w:p w14:paraId="776C6999" w14:textId="3ADDCB2D"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494" w:history="1">
        <w:r w:rsidR="00C36F8D" w:rsidRPr="00A37096">
          <w:rPr>
            <w:rStyle w:val="Hyperlink"/>
            <w:noProof/>
          </w:rPr>
          <w:t>B.</w:t>
        </w:r>
        <w:r w:rsidR="00C36F8D">
          <w:rPr>
            <w:rFonts w:asciiTheme="minorHAnsi" w:eastAsiaTheme="minorEastAsia" w:hAnsiTheme="minorHAnsi" w:cstheme="minorBidi"/>
            <w:noProof/>
            <w:color w:val="auto"/>
            <w:sz w:val="22"/>
          </w:rPr>
          <w:tab/>
        </w:r>
        <w:r w:rsidR="00C36F8D" w:rsidRPr="00A37096">
          <w:rPr>
            <w:rStyle w:val="Hyperlink"/>
            <w:noProof/>
          </w:rPr>
          <w:t>Revenue Requirement Increases and Black Box Settlement</w:t>
        </w:r>
        <w:r w:rsidR="00C36F8D">
          <w:rPr>
            <w:noProof/>
            <w:webHidden/>
          </w:rPr>
          <w:tab/>
        </w:r>
        <w:r w:rsidR="00C36F8D">
          <w:rPr>
            <w:noProof/>
            <w:webHidden/>
          </w:rPr>
          <w:fldChar w:fldCharType="begin"/>
        </w:r>
        <w:r w:rsidR="00C36F8D">
          <w:rPr>
            <w:noProof/>
            <w:webHidden/>
          </w:rPr>
          <w:instrText xml:space="preserve"> PAGEREF _Toc91576494 \h </w:instrText>
        </w:r>
        <w:r w:rsidR="00C36F8D">
          <w:rPr>
            <w:noProof/>
            <w:webHidden/>
          </w:rPr>
        </w:r>
        <w:r w:rsidR="00C36F8D">
          <w:rPr>
            <w:noProof/>
            <w:webHidden/>
          </w:rPr>
          <w:fldChar w:fldCharType="separate"/>
        </w:r>
        <w:r w:rsidR="00EA06FF">
          <w:rPr>
            <w:noProof/>
            <w:webHidden/>
          </w:rPr>
          <w:t>41</w:t>
        </w:r>
        <w:r w:rsidR="00C36F8D">
          <w:rPr>
            <w:noProof/>
            <w:webHidden/>
          </w:rPr>
          <w:fldChar w:fldCharType="end"/>
        </w:r>
      </w:hyperlink>
    </w:p>
    <w:p w14:paraId="151BFF4E" w14:textId="3019684E"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495" w:history="1">
        <w:r w:rsidR="00C36F8D" w:rsidRPr="00A37096">
          <w:rPr>
            <w:rStyle w:val="Hyperlink"/>
            <w:noProof/>
          </w:rPr>
          <w:t>C.</w:t>
        </w:r>
        <w:r w:rsidR="00C36F8D">
          <w:rPr>
            <w:rFonts w:asciiTheme="minorHAnsi" w:eastAsiaTheme="minorEastAsia" w:hAnsiTheme="minorHAnsi" w:cstheme="minorBidi"/>
            <w:noProof/>
            <w:color w:val="auto"/>
            <w:sz w:val="22"/>
          </w:rPr>
          <w:tab/>
        </w:r>
        <w:r w:rsidR="00C36F8D" w:rsidRPr="00A37096">
          <w:rPr>
            <w:rStyle w:val="Hyperlink"/>
            <w:noProof/>
          </w:rPr>
          <w:t>Stay Out</w:t>
        </w:r>
        <w:r w:rsidR="00C36F8D">
          <w:rPr>
            <w:noProof/>
            <w:webHidden/>
          </w:rPr>
          <w:tab/>
        </w:r>
        <w:r w:rsidR="00C36F8D">
          <w:rPr>
            <w:noProof/>
            <w:webHidden/>
          </w:rPr>
          <w:fldChar w:fldCharType="begin"/>
        </w:r>
        <w:r w:rsidR="00C36F8D">
          <w:rPr>
            <w:noProof/>
            <w:webHidden/>
          </w:rPr>
          <w:instrText xml:space="preserve"> PAGEREF _Toc91576495 \h </w:instrText>
        </w:r>
        <w:r w:rsidR="00C36F8D">
          <w:rPr>
            <w:noProof/>
            <w:webHidden/>
          </w:rPr>
        </w:r>
        <w:r w:rsidR="00C36F8D">
          <w:rPr>
            <w:noProof/>
            <w:webHidden/>
          </w:rPr>
          <w:fldChar w:fldCharType="separate"/>
        </w:r>
        <w:r w:rsidR="00EA06FF">
          <w:rPr>
            <w:noProof/>
            <w:webHidden/>
          </w:rPr>
          <w:t>46</w:t>
        </w:r>
        <w:r w:rsidR="00C36F8D">
          <w:rPr>
            <w:noProof/>
            <w:webHidden/>
          </w:rPr>
          <w:fldChar w:fldCharType="end"/>
        </w:r>
      </w:hyperlink>
    </w:p>
    <w:p w14:paraId="6E1E1C63" w14:textId="0B658FE8"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496" w:history="1">
        <w:r w:rsidR="00C36F8D" w:rsidRPr="00A37096">
          <w:rPr>
            <w:rStyle w:val="Hyperlink"/>
            <w:noProof/>
          </w:rPr>
          <w:t>D.</w:t>
        </w:r>
        <w:r w:rsidR="00C36F8D">
          <w:rPr>
            <w:rFonts w:asciiTheme="minorHAnsi" w:eastAsiaTheme="minorEastAsia" w:hAnsiTheme="minorHAnsi" w:cstheme="minorBidi"/>
            <w:noProof/>
            <w:color w:val="auto"/>
            <w:sz w:val="22"/>
          </w:rPr>
          <w:tab/>
        </w:r>
        <w:r w:rsidR="00C36F8D" w:rsidRPr="00A37096">
          <w:rPr>
            <w:rStyle w:val="Hyperlink"/>
            <w:noProof/>
          </w:rPr>
          <w:t>Effective Date</w:t>
        </w:r>
        <w:r w:rsidR="00C36F8D">
          <w:rPr>
            <w:noProof/>
            <w:webHidden/>
          </w:rPr>
          <w:tab/>
        </w:r>
        <w:r w:rsidR="00C36F8D">
          <w:rPr>
            <w:noProof/>
            <w:webHidden/>
          </w:rPr>
          <w:fldChar w:fldCharType="begin"/>
        </w:r>
        <w:r w:rsidR="00C36F8D">
          <w:rPr>
            <w:noProof/>
            <w:webHidden/>
          </w:rPr>
          <w:instrText xml:space="preserve"> PAGEREF _Toc91576496 \h </w:instrText>
        </w:r>
        <w:r w:rsidR="00C36F8D">
          <w:rPr>
            <w:noProof/>
            <w:webHidden/>
          </w:rPr>
        </w:r>
        <w:r w:rsidR="00C36F8D">
          <w:rPr>
            <w:noProof/>
            <w:webHidden/>
          </w:rPr>
          <w:fldChar w:fldCharType="separate"/>
        </w:r>
        <w:r w:rsidR="00EA06FF">
          <w:rPr>
            <w:noProof/>
            <w:webHidden/>
          </w:rPr>
          <w:t>50</w:t>
        </w:r>
        <w:r w:rsidR="00C36F8D">
          <w:rPr>
            <w:noProof/>
            <w:webHidden/>
          </w:rPr>
          <w:fldChar w:fldCharType="end"/>
        </w:r>
      </w:hyperlink>
    </w:p>
    <w:p w14:paraId="143405FE" w14:textId="52CF63AA"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497" w:history="1">
        <w:r w:rsidR="00C36F8D" w:rsidRPr="00A37096">
          <w:rPr>
            <w:rStyle w:val="Hyperlink"/>
            <w:noProof/>
          </w:rPr>
          <w:t>E.</w:t>
        </w:r>
        <w:r w:rsidR="00C36F8D">
          <w:rPr>
            <w:rFonts w:asciiTheme="minorHAnsi" w:eastAsiaTheme="minorEastAsia" w:hAnsiTheme="minorHAnsi" w:cstheme="minorBidi"/>
            <w:noProof/>
            <w:color w:val="auto"/>
            <w:sz w:val="22"/>
          </w:rPr>
          <w:tab/>
        </w:r>
        <w:r w:rsidR="00C36F8D" w:rsidRPr="00A37096">
          <w:rPr>
            <w:rStyle w:val="Hyperlink"/>
            <w:noProof/>
          </w:rPr>
          <w:t>Rate Design and Structure</w:t>
        </w:r>
        <w:r w:rsidR="00C36F8D">
          <w:rPr>
            <w:noProof/>
            <w:webHidden/>
          </w:rPr>
          <w:tab/>
        </w:r>
        <w:r w:rsidR="00C36F8D">
          <w:rPr>
            <w:noProof/>
            <w:webHidden/>
          </w:rPr>
          <w:fldChar w:fldCharType="begin"/>
        </w:r>
        <w:r w:rsidR="00C36F8D">
          <w:rPr>
            <w:noProof/>
            <w:webHidden/>
          </w:rPr>
          <w:instrText xml:space="preserve"> PAGEREF _Toc91576497 \h </w:instrText>
        </w:r>
        <w:r w:rsidR="00C36F8D">
          <w:rPr>
            <w:noProof/>
            <w:webHidden/>
          </w:rPr>
        </w:r>
        <w:r w:rsidR="00C36F8D">
          <w:rPr>
            <w:noProof/>
            <w:webHidden/>
          </w:rPr>
          <w:fldChar w:fldCharType="separate"/>
        </w:r>
        <w:r w:rsidR="00EA06FF">
          <w:rPr>
            <w:noProof/>
            <w:webHidden/>
          </w:rPr>
          <w:t>51</w:t>
        </w:r>
        <w:r w:rsidR="00C36F8D">
          <w:rPr>
            <w:noProof/>
            <w:webHidden/>
          </w:rPr>
          <w:fldChar w:fldCharType="end"/>
        </w:r>
      </w:hyperlink>
    </w:p>
    <w:p w14:paraId="2AD696D9" w14:textId="6DCEEB5E" w:rsidR="00C36F8D" w:rsidRDefault="0056231F" w:rsidP="00C36F8D">
      <w:pPr>
        <w:pStyle w:val="TOC3"/>
        <w:spacing w:after="120"/>
        <w:rPr>
          <w:rFonts w:asciiTheme="minorHAnsi" w:eastAsiaTheme="minorEastAsia" w:hAnsiTheme="minorHAnsi" w:cstheme="minorBidi"/>
          <w:noProof/>
          <w:color w:val="auto"/>
          <w:sz w:val="22"/>
        </w:rPr>
      </w:pPr>
      <w:hyperlink w:anchor="_Toc91576498" w:history="1">
        <w:r w:rsidR="00C36F8D" w:rsidRPr="00A37096">
          <w:rPr>
            <w:rStyle w:val="Hyperlink"/>
            <w:noProof/>
          </w:rPr>
          <w:t>1.</w:t>
        </w:r>
        <w:r w:rsidR="00C36F8D">
          <w:rPr>
            <w:rFonts w:asciiTheme="minorHAnsi" w:eastAsiaTheme="minorEastAsia" w:hAnsiTheme="minorHAnsi" w:cstheme="minorBidi"/>
            <w:noProof/>
            <w:color w:val="auto"/>
            <w:sz w:val="22"/>
          </w:rPr>
          <w:tab/>
        </w:r>
        <w:r w:rsidR="00C36F8D" w:rsidRPr="00A37096">
          <w:rPr>
            <w:rStyle w:val="Hyperlink"/>
            <w:noProof/>
          </w:rPr>
          <w:t>Terms and Conditions of Settlement</w:t>
        </w:r>
        <w:r w:rsidR="00C36F8D">
          <w:rPr>
            <w:noProof/>
            <w:webHidden/>
          </w:rPr>
          <w:tab/>
        </w:r>
        <w:r w:rsidR="00C36F8D">
          <w:rPr>
            <w:noProof/>
            <w:webHidden/>
          </w:rPr>
          <w:fldChar w:fldCharType="begin"/>
        </w:r>
        <w:r w:rsidR="00C36F8D">
          <w:rPr>
            <w:noProof/>
            <w:webHidden/>
          </w:rPr>
          <w:instrText xml:space="preserve"> PAGEREF _Toc91576498 \h </w:instrText>
        </w:r>
        <w:r w:rsidR="00C36F8D">
          <w:rPr>
            <w:noProof/>
            <w:webHidden/>
          </w:rPr>
        </w:r>
        <w:r w:rsidR="00C36F8D">
          <w:rPr>
            <w:noProof/>
            <w:webHidden/>
          </w:rPr>
          <w:fldChar w:fldCharType="separate"/>
        </w:r>
        <w:r w:rsidR="00EA06FF">
          <w:rPr>
            <w:noProof/>
            <w:webHidden/>
          </w:rPr>
          <w:t>51</w:t>
        </w:r>
        <w:r w:rsidR="00C36F8D">
          <w:rPr>
            <w:noProof/>
            <w:webHidden/>
          </w:rPr>
          <w:fldChar w:fldCharType="end"/>
        </w:r>
      </w:hyperlink>
    </w:p>
    <w:p w14:paraId="0565D7CE" w14:textId="4F4279CE" w:rsidR="00C36F8D" w:rsidRDefault="0056231F" w:rsidP="00C36F8D">
      <w:pPr>
        <w:pStyle w:val="TOC3"/>
        <w:spacing w:after="120"/>
        <w:rPr>
          <w:rFonts w:asciiTheme="minorHAnsi" w:eastAsiaTheme="minorEastAsia" w:hAnsiTheme="minorHAnsi" w:cstheme="minorBidi"/>
          <w:noProof/>
          <w:color w:val="auto"/>
          <w:sz w:val="22"/>
        </w:rPr>
      </w:pPr>
      <w:hyperlink w:anchor="_Toc91576499" w:history="1">
        <w:r w:rsidR="00C36F8D" w:rsidRPr="00A37096">
          <w:rPr>
            <w:rStyle w:val="Hyperlink"/>
            <w:noProof/>
          </w:rPr>
          <w:t>2.</w:t>
        </w:r>
        <w:r w:rsidR="00C36F8D">
          <w:rPr>
            <w:rFonts w:asciiTheme="minorHAnsi" w:eastAsiaTheme="minorEastAsia" w:hAnsiTheme="minorHAnsi" w:cstheme="minorBidi"/>
            <w:noProof/>
            <w:color w:val="auto"/>
            <w:sz w:val="22"/>
          </w:rPr>
          <w:tab/>
        </w:r>
        <w:r w:rsidR="00C36F8D" w:rsidRPr="00A37096">
          <w:rPr>
            <w:rStyle w:val="Hyperlink"/>
            <w:noProof/>
          </w:rPr>
          <w:t>Water Rate Consolidation (Settlement at ¶ II.E.8)</w:t>
        </w:r>
        <w:r w:rsidR="00C36F8D">
          <w:rPr>
            <w:noProof/>
            <w:webHidden/>
          </w:rPr>
          <w:tab/>
        </w:r>
        <w:r w:rsidR="00C36F8D">
          <w:rPr>
            <w:noProof/>
            <w:webHidden/>
          </w:rPr>
          <w:fldChar w:fldCharType="begin"/>
        </w:r>
        <w:r w:rsidR="00C36F8D">
          <w:rPr>
            <w:noProof/>
            <w:webHidden/>
          </w:rPr>
          <w:instrText xml:space="preserve"> PAGEREF _Toc91576499 \h </w:instrText>
        </w:r>
        <w:r w:rsidR="00C36F8D">
          <w:rPr>
            <w:noProof/>
            <w:webHidden/>
          </w:rPr>
        </w:r>
        <w:r w:rsidR="00C36F8D">
          <w:rPr>
            <w:noProof/>
            <w:webHidden/>
          </w:rPr>
          <w:fldChar w:fldCharType="separate"/>
        </w:r>
        <w:r w:rsidR="00EA06FF">
          <w:rPr>
            <w:noProof/>
            <w:webHidden/>
          </w:rPr>
          <w:t>55</w:t>
        </w:r>
        <w:r w:rsidR="00C36F8D">
          <w:rPr>
            <w:noProof/>
            <w:webHidden/>
          </w:rPr>
          <w:fldChar w:fldCharType="end"/>
        </w:r>
      </w:hyperlink>
    </w:p>
    <w:p w14:paraId="2F14AC90" w14:textId="662739FC" w:rsidR="00C36F8D" w:rsidRDefault="0056231F" w:rsidP="00C36F8D">
      <w:pPr>
        <w:pStyle w:val="TOC3"/>
        <w:spacing w:after="120"/>
        <w:rPr>
          <w:rFonts w:asciiTheme="minorHAnsi" w:eastAsiaTheme="minorEastAsia" w:hAnsiTheme="minorHAnsi" w:cstheme="minorBidi"/>
          <w:noProof/>
          <w:color w:val="auto"/>
          <w:sz w:val="22"/>
        </w:rPr>
      </w:pPr>
      <w:hyperlink w:anchor="_Toc91576500" w:history="1">
        <w:r w:rsidR="00C36F8D" w:rsidRPr="00A37096">
          <w:rPr>
            <w:rStyle w:val="Hyperlink"/>
            <w:noProof/>
          </w:rPr>
          <w:t>3.</w:t>
        </w:r>
        <w:r w:rsidR="00C36F8D">
          <w:rPr>
            <w:rFonts w:asciiTheme="minorHAnsi" w:eastAsiaTheme="minorEastAsia" w:hAnsiTheme="minorHAnsi" w:cstheme="minorBidi"/>
            <w:noProof/>
            <w:color w:val="auto"/>
            <w:sz w:val="22"/>
          </w:rPr>
          <w:tab/>
        </w:r>
        <w:r w:rsidR="00C36F8D" w:rsidRPr="00A37096">
          <w:rPr>
            <w:rStyle w:val="Hyperlink"/>
            <w:noProof/>
          </w:rPr>
          <w:t>Water Availability Rates (Settlement at ¶ II.E.12)</w:t>
        </w:r>
        <w:r w:rsidR="00C36F8D">
          <w:rPr>
            <w:noProof/>
            <w:webHidden/>
          </w:rPr>
          <w:tab/>
        </w:r>
        <w:r w:rsidR="00C36F8D">
          <w:rPr>
            <w:noProof/>
            <w:webHidden/>
          </w:rPr>
          <w:fldChar w:fldCharType="begin"/>
        </w:r>
        <w:r w:rsidR="00C36F8D">
          <w:rPr>
            <w:noProof/>
            <w:webHidden/>
          </w:rPr>
          <w:instrText xml:space="preserve"> PAGEREF _Toc91576500 \h </w:instrText>
        </w:r>
        <w:r w:rsidR="00C36F8D">
          <w:rPr>
            <w:noProof/>
            <w:webHidden/>
          </w:rPr>
        </w:r>
        <w:r w:rsidR="00C36F8D">
          <w:rPr>
            <w:noProof/>
            <w:webHidden/>
          </w:rPr>
          <w:fldChar w:fldCharType="separate"/>
        </w:r>
        <w:r w:rsidR="00EA06FF">
          <w:rPr>
            <w:noProof/>
            <w:webHidden/>
          </w:rPr>
          <w:t>56</w:t>
        </w:r>
        <w:r w:rsidR="00C36F8D">
          <w:rPr>
            <w:noProof/>
            <w:webHidden/>
          </w:rPr>
          <w:fldChar w:fldCharType="end"/>
        </w:r>
      </w:hyperlink>
    </w:p>
    <w:p w14:paraId="472CE907" w14:textId="33DCF2F9" w:rsidR="00C36F8D" w:rsidRDefault="0056231F" w:rsidP="00C36F8D">
      <w:pPr>
        <w:pStyle w:val="TOC3"/>
        <w:spacing w:after="120"/>
        <w:rPr>
          <w:rFonts w:asciiTheme="minorHAnsi" w:eastAsiaTheme="minorEastAsia" w:hAnsiTheme="minorHAnsi" w:cstheme="minorBidi"/>
          <w:noProof/>
          <w:color w:val="auto"/>
          <w:sz w:val="22"/>
        </w:rPr>
      </w:pPr>
      <w:hyperlink w:anchor="_Toc91576501" w:history="1">
        <w:r w:rsidR="00C36F8D" w:rsidRPr="00A37096">
          <w:rPr>
            <w:rStyle w:val="Hyperlink"/>
            <w:noProof/>
          </w:rPr>
          <w:t>4.</w:t>
        </w:r>
        <w:r w:rsidR="00C36F8D">
          <w:rPr>
            <w:rFonts w:asciiTheme="minorHAnsi" w:eastAsiaTheme="minorEastAsia" w:hAnsiTheme="minorHAnsi" w:cstheme="minorBidi"/>
            <w:noProof/>
            <w:color w:val="auto"/>
            <w:sz w:val="22"/>
          </w:rPr>
          <w:tab/>
        </w:r>
        <w:r w:rsidR="00C36F8D" w:rsidRPr="00A37096">
          <w:rPr>
            <w:rStyle w:val="Hyperlink"/>
            <w:noProof/>
          </w:rPr>
          <w:t>Water Customer Charges (Settlement at ¶ II.E.12)</w:t>
        </w:r>
        <w:r w:rsidR="00C36F8D">
          <w:rPr>
            <w:noProof/>
            <w:webHidden/>
          </w:rPr>
          <w:tab/>
        </w:r>
        <w:r w:rsidR="00C36F8D">
          <w:rPr>
            <w:noProof/>
            <w:webHidden/>
          </w:rPr>
          <w:fldChar w:fldCharType="begin"/>
        </w:r>
        <w:r w:rsidR="00C36F8D">
          <w:rPr>
            <w:noProof/>
            <w:webHidden/>
          </w:rPr>
          <w:instrText xml:space="preserve"> PAGEREF _Toc91576501 \h </w:instrText>
        </w:r>
        <w:r w:rsidR="00C36F8D">
          <w:rPr>
            <w:noProof/>
            <w:webHidden/>
          </w:rPr>
        </w:r>
        <w:r w:rsidR="00C36F8D">
          <w:rPr>
            <w:noProof/>
            <w:webHidden/>
          </w:rPr>
          <w:fldChar w:fldCharType="separate"/>
        </w:r>
        <w:r w:rsidR="00EA06FF">
          <w:rPr>
            <w:noProof/>
            <w:webHidden/>
          </w:rPr>
          <w:t>56</w:t>
        </w:r>
        <w:r w:rsidR="00C36F8D">
          <w:rPr>
            <w:noProof/>
            <w:webHidden/>
          </w:rPr>
          <w:fldChar w:fldCharType="end"/>
        </w:r>
      </w:hyperlink>
    </w:p>
    <w:p w14:paraId="20F48DC8" w14:textId="52EB084A" w:rsidR="00C36F8D" w:rsidRDefault="0056231F" w:rsidP="00C36F8D">
      <w:pPr>
        <w:pStyle w:val="TOC3"/>
        <w:spacing w:after="120"/>
        <w:rPr>
          <w:rFonts w:asciiTheme="minorHAnsi" w:eastAsiaTheme="minorEastAsia" w:hAnsiTheme="minorHAnsi" w:cstheme="minorBidi"/>
          <w:noProof/>
          <w:color w:val="auto"/>
          <w:sz w:val="22"/>
        </w:rPr>
      </w:pPr>
      <w:hyperlink w:anchor="_Toc91576502" w:history="1">
        <w:r w:rsidR="00C36F8D" w:rsidRPr="00A37096">
          <w:rPr>
            <w:rStyle w:val="Hyperlink"/>
            <w:noProof/>
          </w:rPr>
          <w:t>5.</w:t>
        </w:r>
        <w:r w:rsidR="00C36F8D">
          <w:rPr>
            <w:rFonts w:asciiTheme="minorHAnsi" w:eastAsiaTheme="minorEastAsia" w:hAnsiTheme="minorHAnsi" w:cstheme="minorBidi"/>
            <w:noProof/>
            <w:color w:val="auto"/>
            <w:sz w:val="22"/>
          </w:rPr>
          <w:tab/>
        </w:r>
        <w:r w:rsidR="00C36F8D" w:rsidRPr="00A37096">
          <w:rPr>
            <w:rStyle w:val="Hyperlink"/>
            <w:noProof/>
          </w:rPr>
          <w:t>Low-Income Water Rate (Settlement at ¶ II.E.14-15)</w:t>
        </w:r>
        <w:r w:rsidR="00C36F8D">
          <w:rPr>
            <w:noProof/>
            <w:webHidden/>
          </w:rPr>
          <w:tab/>
        </w:r>
        <w:r w:rsidR="00C36F8D">
          <w:rPr>
            <w:noProof/>
            <w:webHidden/>
          </w:rPr>
          <w:fldChar w:fldCharType="begin"/>
        </w:r>
        <w:r w:rsidR="00C36F8D">
          <w:rPr>
            <w:noProof/>
            <w:webHidden/>
          </w:rPr>
          <w:instrText xml:space="preserve"> PAGEREF _Toc91576502 \h </w:instrText>
        </w:r>
        <w:r w:rsidR="00C36F8D">
          <w:rPr>
            <w:noProof/>
            <w:webHidden/>
          </w:rPr>
        </w:r>
        <w:r w:rsidR="00C36F8D">
          <w:rPr>
            <w:noProof/>
            <w:webHidden/>
          </w:rPr>
          <w:fldChar w:fldCharType="separate"/>
        </w:r>
        <w:r w:rsidR="00EA06FF">
          <w:rPr>
            <w:noProof/>
            <w:webHidden/>
          </w:rPr>
          <w:t>57</w:t>
        </w:r>
        <w:r w:rsidR="00C36F8D">
          <w:rPr>
            <w:noProof/>
            <w:webHidden/>
          </w:rPr>
          <w:fldChar w:fldCharType="end"/>
        </w:r>
      </w:hyperlink>
    </w:p>
    <w:p w14:paraId="60EFFC22" w14:textId="0332ECD7" w:rsidR="00C36F8D" w:rsidRDefault="0056231F" w:rsidP="00C36F8D">
      <w:pPr>
        <w:pStyle w:val="TOC3"/>
        <w:spacing w:after="120"/>
        <w:rPr>
          <w:rFonts w:asciiTheme="minorHAnsi" w:eastAsiaTheme="minorEastAsia" w:hAnsiTheme="minorHAnsi" w:cstheme="minorBidi"/>
          <w:noProof/>
          <w:color w:val="auto"/>
          <w:sz w:val="22"/>
        </w:rPr>
      </w:pPr>
      <w:hyperlink w:anchor="_Toc91576503" w:history="1">
        <w:r w:rsidR="00C36F8D" w:rsidRPr="00A37096">
          <w:rPr>
            <w:rStyle w:val="Hyperlink"/>
            <w:noProof/>
          </w:rPr>
          <w:t>6.</w:t>
        </w:r>
        <w:r w:rsidR="00C36F8D">
          <w:rPr>
            <w:rFonts w:asciiTheme="minorHAnsi" w:eastAsiaTheme="minorEastAsia" w:hAnsiTheme="minorHAnsi" w:cstheme="minorBidi"/>
            <w:noProof/>
            <w:color w:val="auto"/>
            <w:sz w:val="22"/>
          </w:rPr>
          <w:tab/>
        </w:r>
        <w:r w:rsidR="00C36F8D" w:rsidRPr="00A37096">
          <w:rPr>
            <w:rStyle w:val="Hyperlink"/>
            <w:noProof/>
          </w:rPr>
          <w:t>Wastewater Rate Consolidation and Availability Rates (Settlement</w:t>
        </w:r>
        <w:r w:rsidR="008541F9">
          <w:rPr>
            <w:rStyle w:val="Hyperlink"/>
            <w:noProof/>
          </w:rPr>
          <w:t> </w:t>
        </w:r>
        <w:r w:rsidR="00C36F8D" w:rsidRPr="00A37096">
          <w:rPr>
            <w:rStyle w:val="Hyperlink"/>
            <w:noProof/>
          </w:rPr>
          <w:t>at</w:t>
        </w:r>
        <w:r w:rsidR="00276E24">
          <w:rPr>
            <w:rStyle w:val="Hyperlink"/>
            <w:noProof/>
          </w:rPr>
          <w:t> </w:t>
        </w:r>
        <w:r w:rsidR="00C36F8D" w:rsidRPr="00A37096">
          <w:rPr>
            <w:rStyle w:val="Hyperlink"/>
            <w:noProof/>
          </w:rPr>
          <w:t>¶ II.E.9-10, 13)</w:t>
        </w:r>
        <w:r w:rsidR="00C36F8D">
          <w:rPr>
            <w:noProof/>
            <w:webHidden/>
          </w:rPr>
          <w:tab/>
        </w:r>
        <w:r w:rsidR="00C36F8D">
          <w:rPr>
            <w:noProof/>
            <w:webHidden/>
          </w:rPr>
          <w:fldChar w:fldCharType="begin"/>
        </w:r>
        <w:r w:rsidR="00C36F8D">
          <w:rPr>
            <w:noProof/>
            <w:webHidden/>
          </w:rPr>
          <w:instrText xml:space="preserve"> PAGEREF _Toc91576503 \h </w:instrText>
        </w:r>
        <w:r w:rsidR="00C36F8D">
          <w:rPr>
            <w:noProof/>
            <w:webHidden/>
          </w:rPr>
        </w:r>
        <w:r w:rsidR="00C36F8D">
          <w:rPr>
            <w:noProof/>
            <w:webHidden/>
          </w:rPr>
          <w:fldChar w:fldCharType="separate"/>
        </w:r>
        <w:r w:rsidR="00EA06FF">
          <w:rPr>
            <w:noProof/>
            <w:webHidden/>
          </w:rPr>
          <w:t>58</w:t>
        </w:r>
        <w:r w:rsidR="00C36F8D">
          <w:rPr>
            <w:noProof/>
            <w:webHidden/>
          </w:rPr>
          <w:fldChar w:fldCharType="end"/>
        </w:r>
      </w:hyperlink>
    </w:p>
    <w:p w14:paraId="71A89351" w14:textId="79047C55" w:rsidR="00C36F8D" w:rsidRDefault="0056231F" w:rsidP="00C36F8D">
      <w:pPr>
        <w:pStyle w:val="TOC3"/>
        <w:spacing w:after="120"/>
        <w:rPr>
          <w:rFonts w:asciiTheme="minorHAnsi" w:eastAsiaTheme="minorEastAsia" w:hAnsiTheme="minorHAnsi" w:cstheme="minorBidi"/>
          <w:noProof/>
          <w:color w:val="auto"/>
          <w:sz w:val="22"/>
        </w:rPr>
      </w:pPr>
      <w:hyperlink w:anchor="_Toc91576504" w:history="1">
        <w:r w:rsidR="00C36F8D" w:rsidRPr="00A37096">
          <w:rPr>
            <w:rStyle w:val="Hyperlink"/>
            <w:noProof/>
          </w:rPr>
          <w:t>7.</w:t>
        </w:r>
        <w:r w:rsidR="00C36F8D">
          <w:rPr>
            <w:rFonts w:asciiTheme="minorHAnsi" w:eastAsiaTheme="minorEastAsia" w:hAnsiTheme="minorHAnsi" w:cstheme="minorBidi"/>
            <w:noProof/>
            <w:color w:val="auto"/>
            <w:sz w:val="22"/>
          </w:rPr>
          <w:tab/>
        </w:r>
        <w:r w:rsidR="00C36F8D" w:rsidRPr="00A37096">
          <w:rPr>
            <w:rStyle w:val="Hyperlink"/>
            <w:noProof/>
          </w:rPr>
          <w:t>Positions of the Parties</w:t>
        </w:r>
        <w:r w:rsidR="00C36F8D">
          <w:rPr>
            <w:noProof/>
            <w:webHidden/>
          </w:rPr>
          <w:tab/>
        </w:r>
        <w:r w:rsidR="00C36F8D">
          <w:rPr>
            <w:noProof/>
            <w:webHidden/>
          </w:rPr>
          <w:fldChar w:fldCharType="begin"/>
        </w:r>
        <w:r w:rsidR="00C36F8D">
          <w:rPr>
            <w:noProof/>
            <w:webHidden/>
          </w:rPr>
          <w:instrText xml:space="preserve"> PAGEREF _Toc91576504 \h </w:instrText>
        </w:r>
        <w:r w:rsidR="00C36F8D">
          <w:rPr>
            <w:noProof/>
            <w:webHidden/>
          </w:rPr>
        </w:r>
        <w:r w:rsidR="00C36F8D">
          <w:rPr>
            <w:noProof/>
            <w:webHidden/>
          </w:rPr>
          <w:fldChar w:fldCharType="separate"/>
        </w:r>
        <w:r w:rsidR="00EA06FF">
          <w:rPr>
            <w:noProof/>
            <w:webHidden/>
          </w:rPr>
          <w:t>60</w:t>
        </w:r>
        <w:r w:rsidR="00C36F8D">
          <w:rPr>
            <w:noProof/>
            <w:webHidden/>
          </w:rPr>
          <w:fldChar w:fldCharType="end"/>
        </w:r>
      </w:hyperlink>
    </w:p>
    <w:p w14:paraId="6B288B00" w14:textId="46A1F6C5" w:rsidR="00C36F8D" w:rsidRDefault="0056231F" w:rsidP="00C36F8D">
      <w:pPr>
        <w:pStyle w:val="TOC3"/>
        <w:spacing w:after="120"/>
        <w:rPr>
          <w:rFonts w:asciiTheme="minorHAnsi" w:eastAsiaTheme="minorEastAsia" w:hAnsiTheme="minorHAnsi" w:cstheme="minorBidi"/>
          <w:noProof/>
          <w:color w:val="auto"/>
          <w:sz w:val="22"/>
        </w:rPr>
      </w:pPr>
      <w:hyperlink w:anchor="_Toc91576505" w:history="1">
        <w:r w:rsidR="00C36F8D" w:rsidRPr="00A37096">
          <w:rPr>
            <w:rStyle w:val="Hyperlink"/>
            <w:noProof/>
          </w:rPr>
          <w:t>8.</w:t>
        </w:r>
        <w:r w:rsidR="00C36F8D">
          <w:rPr>
            <w:rFonts w:asciiTheme="minorHAnsi" w:eastAsiaTheme="minorEastAsia" w:hAnsiTheme="minorHAnsi" w:cstheme="minorBidi"/>
            <w:noProof/>
            <w:color w:val="auto"/>
            <w:sz w:val="22"/>
          </w:rPr>
          <w:tab/>
        </w:r>
        <w:r w:rsidR="00C36F8D" w:rsidRPr="00A37096">
          <w:rPr>
            <w:rStyle w:val="Hyperlink"/>
            <w:noProof/>
          </w:rPr>
          <w:t>Disposition</w:t>
        </w:r>
        <w:r w:rsidR="00C36F8D">
          <w:rPr>
            <w:noProof/>
            <w:webHidden/>
          </w:rPr>
          <w:tab/>
        </w:r>
        <w:r w:rsidR="00C36F8D">
          <w:rPr>
            <w:noProof/>
            <w:webHidden/>
          </w:rPr>
          <w:fldChar w:fldCharType="begin"/>
        </w:r>
        <w:r w:rsidR="00C36F8D">
          <w:rPr>
            <w:noProof/>
            <w:webHidden/>
          </w:rPr>
          <w:instrText xml:space="preserve"> PAGEREF _Toc91576505 \h </w:instrText>
        </w:r>
        <w:r w:rsidR="00C36F8D">
          <w:rPr>
            <w:noProof/>
            <w:webHidden/>
          </w:rPr>
        </w:r>
        <w:r w:rsidR="00C36F8D">
          <w:rPr>
            <w:noProof/>
            <w:webHidden/>
          </w:rPr>
          <w:fldChar w:fldCharType="separate"/>
        </w:r>
        <w:r w:rsidR="00EA06FF">
          <w:rPr>
            <w:noProof/>
            <w:webHidden/>
          </w:rPr>
          <w:t>64</w:t>
        </w:r>
        <w:r w:rsidR="00C36F8D">
          <w:rPr>
            <w:noProof/>
            <w:webHidden/>
          </w:rPr>
          <w:fldChar w:fldCharType="end"/>
        </w:r>
      </w:hyperlink>
    </w:p>
    <w:p w14:paraId="0D697384" w14:textId="5AAC2C26"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506" w:history="1">
        <w:r w:rsidR="00C36F8D" w:rsidRPr="00A37096">
          <w:rPr>
            <w:rStyle w:val="Hyperlink"/>
            <w:noProof/>
          </w:rPr>
          <w:t>F.</w:t>
        </w:r>
        <w:r w:rsidR="00C36F8D">
          <w:rPr>
            <w:rFonts w:asciiTheme="minorHAnsi" w:eastAsiaTheme="minorEastAsia" w:hAnsiTheme="minorHAnsi" w:cstheme="minorBidi"/>
            <w:noProof/>
            <w:color w:val="auto"/>
            <w:sz w:val="22"/>
          </w:rPr>
          <w:tab/>
        </w:r>
        <w:r w:rsidR="00C36F8D" w:rsidRPr="00A37096">
          <w:rPr>
            <w:rStyle w:val="Hyperlink"/>
            <w:noProof/>
          </w:rPr>
          <w:t>Reporting Requirements / Service-Related Commitments</w:t>
        </w:r>
        <w:r w:rsidR="00C36F8D">
          <w:rPr>
            <w:noProof/>
            <w:webHidden/>
          </w:rPr>
          <w:tab/>
        </w:r>
        <w:r w:rsidR="00C36F8D">
          <w:rPr>
            <w:noProof/>
            <w:webHidden/>
          </w:rPr>
          <w:fldChar w:fldCharType="begin"/>
        </w:r>
        <w:r w:rsidR="00C36F8D">
          <w:rPr>
            <w:noProof/>
            <w:webHidden/>
          </w:rPr>
          <w:instrText xml:space="preserve"> PAGEREF _Toc91576506 \h </w:instrText>
        </w:r>
        <w:r w:rsidR="00C36F8D">
          <w:rPr>
            <w:noProof/>
            <w:webHidden/>
          </w:rPr>
        </w:r>
        <w:r w:rsidR="00C36F8D">
          <w:rPr>
            <w:noProof/>
            <w:webHidden/>
          </w:rPr>
          <w:fldChar w:fldCharType="separate"/>
        </w:r>
        <w:r w:rsidR="00EA06FF">
          <w:rPr>
            <w:noProof/>
            <w:webHidden/>
          </w:rPr>
          <w:t>71</w:t>
        </w:r>
        <w:r w:rsidR="00C36F8D">
          <w:rPr>
            <w:noProof/>
            <w:webHidden/>
          </w:rPr>
          <w:fldChar w:fldCharType="end"/>
        </w:r>
      </w:hyperlink>
    </w:p>
    <w:p w14:paraId="218153D0" w14:textId="314FF482"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507" w:history="1">
        <w:r w:rsidR="00C36F8D" w:rsidRPr="00A37096">
          <w:rPr>
            <w:rStyle w:val="Hyperlink"/>
            <w:noProof/>
          </w:rPr>
          <w:t>G.</w:t>
        </w:r>
        <w:r w:rsidR="00C36F8D">
          <w:rPr>
            <w:rFonts w:asciiTheme="minorHAnsi" w:eastAsiaTheme="minorEastAsia" w:hAnsiTheme="minorHAnsi" w:cstheme="minorBidi"/>
            <w:noProof/>
            <w:color w:val="auto"/>
            <w:sz w:val="22"/>
          </w:rPr>
          <w:tab/>
        </w:r>
        <w:r w:rsidR="00C36F8D" w:rsidRPr="00A37096">
          <w:rPr>
            <w:rStyle w:val="Hyperlink"/>
            <w:noProof/>
          </w:rPr>
          <w:t>Standard Provisions</w:t>
        </w:r>
        <w:r w:rsidR="00C36F8D">
          <w:rPr>
            <w:noProof/>
            <w:webHidden/>
          </w:rPr>
          <w:tab/>
        </w:r>
        <w:r w:rsidR="00C36F8D">
          <w:rPr>
            <w:noProof/>
            <w:webHidden/>
          </w:rPr>
          <w:fldChar w:fldCharType="begin"/>
        </w:r>
        <w:r w:rsidR="00C36F8D">
          <w:rPr>
            <w:noProof/>
            <w:webHidden/>
          </w:rPr>
          <w:instrText xml:space="preserve"> PAGEREF _Toc91576507 \h </w:instrText>
        </w:r>
        <w:r w:rsidR="00C36F8D">
          <w:rPr>
            <w:noProof/>
            <w:webHidden/>
          </w:rPr>
        </w:r>
        <w:r w:rsidR="00C36F8D">
          <w:rPr>
            <w:noProof/>
            <w:webHidden/>
          </w:rPr>
          <w:fldChar w:fldCharType="separate"/>
        </w:r>
        <w:r w:rsidR="00EA06FF">
          <w:rPr>
            <w:noProof/>
            <w:webHidden/>
          </w:rPr>
          <w:t>76</w:t>
        </w:r>
        <w:r w:rsidR="00C36F8D">
          <w:rPr>
            <w:noProof/>
            <w:webHidden/>
          </w:rPr>
          <w:fldChar w:fldCharType="end"/>
        </w:r>
      </w:hyperlink>
    </w:p>
    <w:p w14:paraId="797929A0" w14:textId="4955318F"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508" w:history="1">
        <w:r w:rsidR="00C36F8D" w:rsidRPr="00A37096">
          <w:rPr>
            <w:rStyle w:val="Hyperlink"/>
            <w:noProof/>
          </w:rPr>
          <w:t>H.</w:t>
        </w:r>
        <w:r w:rsidR="00C36F8D">
          <w:rPr>
            <w:rFonts w:asciiTheme="minorHAnsi" w:eastAsiaTheme="minorEastAsia" w:hAnsiTheme="minorHAnsi" w:cstheme="minorBidi"/>
            <w:noProof/>
            <w:color w:val="auto"/>
            <w:sz w:val="22"/>
          </w:rPr>
          <w:tab/>
        </w:r>
        <w:r w:rsidR="00C36F8D" w:rsidRPr="00A37096">
          <w:rPr>
            <w:rStyle w:val="Hyperlink"/>
            <w:noProof/>
          </w:rPr>
          <w:t>Tamiment Rate Base Valuation</w:t>
        </w:r>
        <w:r w:rsidR="00C36F8D">
          <w:rPr>
            <w:noProof/>
            <w:webHidden/>
          </w:rPr>
          <w:tab/>
        </w:r>
        <w:r w:rsidR="00C36F8D">
          <w:rPr>
            <w:noProof/>
            <w:webHidden/>
          </w:rPr>
          <w:fldChar w:fldCharType="begin"/>
        </w:r>
        <w:r w:rsidR="00C36F8D">
          <w:rPr>
            <w:noProof/>
            <w:webHidden/>
          </w:rPr>
          <w:instrText xml:space="preserve"> PAGEREF _Toc91576508 \h </w:instrText>
        </w:r>
        <w:r w:rsidR="00C36F8D">
          <w:rPr>
            <w:noProof/>
            <w:webHidden/>
          </w:rPr>
        </w:r>
        <w:r w:rsidR="00C36F8D">
          <w:rPr>
            <w:noProof/>
            <w:webHidden/>
          </w:rPr>
          <w:fldChar w:fldCharType="separate"/>
        </w:r>
        <w:r w:rsidR="00EA06FF">
          <w:rPr>
            <w:noProof/>
            <w:webHidden/>
          </w:rPr>
          <w:t>77</w:t>
        </w:r>
        <w:r w:rsidR="00C36F8D">
          <w:rPr>
            <w:noProof/>
            <w:webHidden/>
          </w:rPr>
          <w:fldChar w:fldCharType="end"/>
        </w:r>
      </w:hyperlink>
    </w:p>
    <w:p w14:paraId="383EE1E0" w14:textId="65A42328"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509" w:history="1">
        <w:r w:rsidR="00C36F8D" w:rsidRPr="00A37096">
          <w:rPr>
            <w:rStyle w:val="Hyperlink"/>
            <w:noProof/>
          </w:rPr>
          <w:t>I.</w:t>
        </w:r>
        <w:r w:rsidR="00C36F8D">
          <w:rPr>
            <w:rFonts w:asciiTheme="minorHAnsi" w:eastAsiaTheme="minorEastAsia" w:hAnsiTheme="minorHAnsi" w:cstheme="minorBidi"/>
            <w:noProof/>
            <w:color w:val="auto"/>
            <w:sz w:val="22"/>
          </w:rPr>
          <w:tab/>
        </w:r>
        <w:r w:rsidR="00C36F8D" w:rsidRPr="00A37096">
          <w:rPr>
            <w:rStyle w:val="Hyperlink"/>
            <w:noProof/>
          </w:rPr>
          <w:t>Residential Low-Income Programs</w:t>
        </w:r>
        <w:r w:rsidR="00C36F8D">
          <w:rPr>
            <w:noProof/>
            <w:webHidden/>
          </w:rPr>
          <w:tab/>
        </w:r>
        <w:r w:rsidR="00C36F8D">
          <w:rPr>
            <w:noProof/>
            <w:webHidden/>
          </w:rPr>
          <w:fldChar w:fldCharType="begin"/>
        </w:r>
        <w:r w:rsidR="00C36F8D">
          <w:rPr>
            <w:noProof/>
            <w:webHidden/>
          </w:rPr>
          <w:instrText xml:space="preserve"> PAGEREF _Toc91576509 \h </w:instrText>
        </w:r>
        <w:r w:rsidR="00C36F8D">
          <w:rPr>
            <w:noProof/>
            <w:webHidden/>
          </w:rPr>
        </w:r>
        <w:r w:rsidR="00C36F8D">
          <w:rPr>
            <w:noProof/>
            <w:webHidden/>
          </w:rPr>
          <w:fldChar w:fldCharType="separate"/>
        </w:r>
        <w:r w:rsidR="00EA06FF">
          <w:rPr>
            <w:noProof/>
            <w:webHidden/>
          </w:rPr>
          <w:t>81</w:t>
        </w:r>
        <w:r w:rsidR="00C36F8D">
          <w:rPr>
            <w:noProof/>
            <w:webHidden/>
          </w:rPr>
          <w:fldChar w:fldCharType="end"/>
        </w:r>
      </w:hyperlink>
    </w:p>
    <w:p w14:paraId="5F6C26DD" w14:textId="53B43CC8" w:rsidR="00C36F8D" w:rsidRDefault="0056231F" w:rsidP="00C36F8D">
      <w:pPr>
        <w:pStyle w:val="TOC2"/>
        <w:spacing w:after="120" w:line="240" w:lineRule="auto"/>
        <w:rPr>
          <w:rFonts w:asciiTheme="minorHAnsi" w:eastAsiaTheme="minorEastAsia" w:hAnsiTheme="minorHAnsi" w:cstheme="minorBidi"/>
          <w:noProof/>
          <w:color w:val="auto"/>
          <w:sz w:val="22"/>
        </w:rPr>
      </w:pPr>
      <w:hyperlink w:anchor="_Toc91576510" w:history="1">
        <w:r w:rsidR="00C36F8D" w:rsidRPr="00A37096">
          <w:rPr>
            <w:rStyle w:val="Hyperlink"/>
            <w:noProof/>
          </w:rPr>
          <w:t>J.</w:t>
        </w:r>
        <w:r w:rsidR="00C36F8D">
          <w:rPr>
            <w:rFonts w:asciiTheme="minorHAnsi" w:eastAsiaTheme="minorEastAsia" w:hAnsiTheme="minorHAnsi" w:cstheme="minorBidi"/>
            <w:noProof/>
            <w:color w:val="auto"/>
            <w:sz w:val="22"/>
          </w:rPr>
          <w:tab/>
        </w:r>
        <w:r w:rsidR="00C36F8D" w:rsidRPr="00A37096">
          <w:rPr>
            <w:rStyle w:val="Hyperlink"/>
            <w:noProof/>
          </w:rPr>
          <w:t>Public Interest Evaluation of Settlement</w:t>
        </w:r>
        <w:r w:rsidR="00C36F8D">
          <w:rPr>
            <w:noProof/>
            <w:webHidden/>
          </w:rPr>
          <w:tab/>
        </w:r>
        <w:r w:rsidR="00C36F8D">
          <w:rPr>
            <w:noProof/>
            <w:webHidden/>
          </w:rPr>
          <w:fldChar w:fldCharType="begin"/>
        </w:r>
        <w:r w:rsidR="00C36F8D">
          <w:rPr>
            <w:noProof/>
            <w:webHidden/>
          </w:rPr>
          <w:instrText xml:space="preserve"> PAGEREF _Toc91576510 \h </w:instrText>
        </w:r>
        <w:r w:rsidR="00C36F8D">
          <w:rPr>
            <w:noProof/>
            <w:webHidden/>
          </w:rPr>
        </w:r>
        <w:r w:rsidR="00C36F8D">
          <w:rPr>
            <w:noProof/>
            <w:webHidden/>
          </w:rPr>
          <w:fldChar w:fldCharType="separate"/>
        </w:r>
        <w:r w:rsidR="00EA06FF">
          <w:rPr>
            <w:noProof/>
            <w:webHidden/>
          </w:rPr>
          <w:t>91</w:t>
        </w:r>
        <w:r w:rsidR="00C36F8D">
          <w:rPr>
            <w:noProof/>
            <w:webHidden/>
          </w:rPr>
          <w:fldChar w:fldCharType="end"/>
        </w:r>
      </w:hyperlink>
    </w:p>
    <w:p w14:paraId="531BD9FB" w14:textId="3B13C51A" w:rsidR="00C36F8D" w:rsidRDefault="0056231F" w:rsidP="00C36F8D">
      <w:pPr>
        <w:pStyle w:val="TOC1"/>
        <w:spacing w:after="120" w:line="240" w:lineRule="auto"/>
        <w:rPr>
          <w:rFonts w:asciiTheme="minorHAnsi" w:eastAsiaTheme="minorEastAsia" w:hAnsiTheme="minorHAnsi" w:cstheme="minorBidi"/>
          <w:noProof/>
          <w:color w:val="auto"/>
          <w:sz w:val="22"/>
        </w:rPr>
      </w:pPr>
      <w:hyperlink w:anchor="_Toc91576511" w:history="1">
        <w:r w:rsidR="00C36F8D" w:rsidRPr="00A37096">
          <w:rPr>
            <w:rStyle w:val="Hyperlink"/>
            <w:noProof/>
          </w:rPr>
          <w:t>VII.</w:t>
        </w:r>
        <w:r w:rsidR="00C36F8D">
          <w:rPr>
            <w:rFonts w:asciiTheme="minorHAnsi" w:eastAsiaTheme="minorEastAsia" w:hAnsiTheme="minorHAnsi" w:cstheme="minorBidi"/>
            <w:noProof/>
            <w:color w:val="auto"/>
            <w:sz w:val="22"/>
          </w:rPr>
          <w:tab/>
        </w:r>
        <w:r w:rsidR="00C36F8D" w:rsidRPr="00A37096">
          <w:rPr>
            <w:rStyle w:val="Hyperlink"/>
            <w:noProof/>
          </w:rPr>
          <w:t>Conclusion</w:t>
        </w:r>
        <w:r w:rsidR="00C36F8D">
          <w:rPr>
            <w:noProof/>
            <w:webHidden/>
          </w:rPr>
          <w:tab/>
        </w:r>
        <w:r w:rsidR="00C36F8D">
          <w:rPr>
            <w:noProof/>
            <w:webHidden/>
          </w:rPr>
          <w:fldChar w:fldCharType="begin"/>
        </w:r>
        <w:r w:rsidR="00C36F8D">
          <w:rPr>
            <w:noProof/>
            <w:webHidden/>
          </w:rPr>
          <w:instrText xml:space="preserve"> PAGEREF _Toc91576511 \h </w:instrText>
        </w:r>
        <w:r w:rsidR="00C36F8D">
          <w:rPr>
            <w:noProof/>
            <w:webHidden/>
          </w:rPr>
        </w:r>
        <w:r w:rsidR="00C36F8D">
          <w:rPr>
            <w:noProof/>
            <w:webHidden/>
          </w:rPr>
          <w:fldChar w:fldCharType="separate"/>
        </w:r>
        <w:r w:rsidR="00EA06FF">
          <w:rPr>
            <w:noProof/>
            <w:webHidden/>
          </w:rPr>
          <w:t>93</w:t>
        </w:r>
        <w:r w:rsidR="00C36F8D">
          <w:rPr>
            <w:noProof/>
            <w:webHidden/>
          </w:rPr>
          <w:fldChar w:fldCharType="end"/>
        </w:r>
      </w:hyperlink>
    </w:p>
    <w:p w14:paraId="499D1801" w14:textId="6E864906" w:rsidR="008B006D" w:rsidRPr="008E7712" w:rsidRDefault="007E46C2" w:rsidP="00C36F8D">
      <w:pPr>
        <w:spacing w:after="120" w:line="240" w:lineRule="auto"/>
        <w:rPr>
          <w:szCs w:val="26"/>
        </w:rPr>
      </w:pPr>
      <w:r w:rsidRPr="008E7712">
        <w:rPr>
          <w:szCs w:val="26"/>
        </w:rPr>
        <w:fldChar w:fldCharType="end"/>
      </w:r>
    </w:p>
    <w:p w14:paraId="62F19F5F" w14:textId="77777777" w:rsidR="00E14271" w:rsidRPr="008E7712" w:rsidRDefault="00E14271" w:rsidP="00EB7CBC">
      <w:pPr>
        <w:rPr>
          <w:b/>
          <w:bCs/>
          <w:szCs w:val="26"/>
          <w:u w:val="single"/>
        </w:rPr>
      </w:pPr>
    </w:p>
    <w:p w14:paraId="6D0C9C43" w14:textId="5F01CBBB" w:rsidR="00F515CC" w:rsidRPr="008E7712" w:rsidRDefault="00F515CC" w:rsidP="00EB7CBC">
      <w:pPr>
        <w:rPr>
          <w:b/>
          <w:bCs/>
          <w:szCs w:val="26"/>
          <w:u w:val="single"/>
        </w:rPr>
        <w:sectPr w:rsidR="00F515CC" w:rsidRPr="008E7712" w:rsidSect="00C867B1">
          <w:footerReference w:type="default" r:id="rId8"/>
          <w:pgSz w:w="12240" w:h="15840"/>
          <w:pgMar w:top="1440" w:right="1440" w:bottom="1440" w:left="1440" w:header="720" w:footer="720" w:gutter="0"/>
          <w:pgNumType w:fmt="lowerRoman" w:start="1"/>
          <w:cols w:space="720"/>
          <w:docGrid w:linePitch="360"/>
        </w:sectPr>
      </w:pPr>
    </w:p>
    <w:p w14:paraId="0B46DDFD" w14:textId="77777777" w:rsidR="00082AB7" w:rsidRDefault="00082AB7" w:rsidP="00082AB7">
      <w:pPr>
        <w:rPr>
          <w:b/>
          <w:color w:val="000000" w:themeColor="text1"/>
          <w:szCs w:val="26"/>
        </w:rPr>
      </w:pPr>
      <w:bookmarkStart w:id="2" w:name="_Toc91576486"/>
      <w:r w:rsidRPr="008E7712">
        <w:rPr>
          <w:b/>
          <w:color w:val="000000" w:themeColor="text1"/>
          <w:szCs w:val="26"/>
        </w:rPr>
        <w:lastRenderedPageBreak/>
        <w:t>BY THE COMMISSION:</w:t>
      </w:r>
    </w:p>
    <w:p w14:paraId="38BEFBE4" w14:textId="77777777" w:rsidR="00082AB7" w:rsidRPr="008E7712" w:rsidRDefault="00082AB7" w:rsidP="000E753D">
      <w:pPr>
        <w:spacing w:line="240" w:lineRule="auto"/>
        <w:rPr>
          <w:b/>
          <w:color w:val="000000" w:themeColor="text1"/>
          <w:szCs w:val="26"/>
        </w:rPr>
      </w:pPr>
    </w:p>
    <w:p w14:paraId="11D23086" w14:textId="77777777" w:rsidR="00082AB7" w:rsidRPr="00B23FA8" w:rsidRDefault="00082AB7" w:rsidP="0061331E">
      <w:pPr>
        <w:tabs>
          <w:tab w:val="left" w:pos="-720"/>
        </w:tabs>
        <w:suppressAutoHyphens/>
        <w:ind w:firstLine="1440"/>
        <w:contextualSpacing/>
        <w:rPr>
          <w:color w:val="auto"/>
          <w:szCs w:val="26"/>
        </w:rPr>
      </w:pPr>
      <w:r w:rsidRPr="008E7712">
        <w:rPr>
          <w:rFonts w:eastAsia="Calibri"/>
          <w:szCs w:val="26"/>
        </w:rPr>
        <w:t>Before the Pennsylvania Public Utility Commission (Commission) for consideration and disposition is the Order Rejecting Settlement and Certifying A Material Question (Material Question) issued by Administrative Law Judge (ALJ) Dennis J. Buckley on November 10, 2021, (</w:t>
      </w:r>
      <w:r w:rsidRPr="00030E15">
        <w:rPr>
          <w:rFonts w:eastAsia="Calibri"/>
          <w:i/>
        </w:rPr>
        <w:t>November Order</w:t>
      </w:r>
      <w:r w:rsidRPr="008E7712">
        <w:rPr>
          <w:rFonts w:eastAsia="Calibri"/>
          <w:szCs w:val="26"/>
        </w:rPr>
        <w:t>)</w:t>
      </w:r>
      <w:r w:rsidRPr="008E7712">
        <w:rPr>
          <w:rStyle w:val="FootnoteReference"/>
          <w:rFonts w:eastAsia="Calibri"/>
          <w:szCs w:val="26"/>
        </w:rPr>
        <w:footnoteReference w:id="2"/>
      </w:r>
      <w:r w:rsidRPr="008E7712">
        <w:rPr>
          <w:rFonts w:eastAsia="Calibri"/>
          <w:szCs w:val="26"/>
        </w:rPr>
        <w:t xml:space="preserve"> relative to the above-captioned consolidated general rate increase proceedings initiated by Community Utilities of Pennsylvania</w:t>
      </w:r>
      <w:r>
        <w:rPr>
          <w:rFonts w:eastAsia="Calibri"/>
          <w:szCs w:val="26"/>
        </w:rPr>
        <w:t>, Inc.</w:t>
      </w:r>
      <w:r w:rsidRPr="008E7712">
        <w:rPr>
          <w:rFonts w:eastAsia="Calibri"/>
          <w:szCs w:val="26"/>
        </w:rPr>
        <w:t xml:space="preserve"> (CUPA-Water) and Community Utilities of Pennsylvania</w:t>
      </w:r>
      <w:r>
        <w:rPr>
          <w:rFonts w:eastAsia="Calibri"/>
          <w:szCs w:val="26"/>
        </w:rPr>
        <w:t>, Inc.</w:t>
      </w:r>
      <w:r w:rsidRPr="008E7712">
        <w:rPr>
          <w:rFonts w:eastAsia="Calibri"/>
          <w:szCs w:val="26"/>
        </w:rPr>
        <w:t xml:space="preserve"> – Wastewater Division (CUPA-Wastewater).</w:t>
      </w:r>
      <w:r w:rsidRPr="008E7712">
        <w:rPr>
          <w:rFonts w:eastAsia="Calibri"/>
          <w:szCs w:val="26"/>
          <w:vertAlign w:val="superscript"/>
        </w:rPr>
        <w:footnoteReference w:id="3"/>
      </w:r>
      <w:r w:rsidRPr="008E7712">
        <w:rPr>
          <w:rFonts w:eastAsia="Calibri"/>
          <w:szCs w:val="26"/>
        </w:rPr>
        <w:t xml:space="preserve">  Also, before the Commission are the Briefs filed with respect </w:t>
      </w:r>
      <w:r>
        <w:rPr>
          <w:rFonts w:eastAsia="Calibri"/>
          <w:szCs w:val="26"/>
        </w:rPr>
        <w:t xml:space="preserve">to </w:t>
      </w:r>
      <w:r w:rsidRPr="008E7712">
        <w:rPr>
          <w:rFonts w:eastAsia="Calibri"/>
          <w:szCs w:val="26"/>
        </w:rPr>
        <w:t>the Material Question.  This matter centers upon and presents for Commission review, the Joint Petition of All Active Parties for Full Settlement of Rate Proceedings (Joint Petition or Settlement) filed by CUPA,</w:t>
      </w:r>
      <w:r w:rsidRPr="008E7712">
        <w:rPr>
          <w:rStyle w:val="FootnoteReference"/>
          <w:rFonts w:eastAsia="Calibri"/>
          <w:szCs w:val="26"/>
        </w:rPr>
        <w:footnoteReference w:id="4"/>
      </w:r>
      <w:r w:rsidRPr="008E7712">
        <w:rPr>
          <w:rFonts w:eastAsia="Calibri"/>
          <w:szCs w:val="26"/>
        </w:rPr>
        <w:t xml:space="preserve"> the Office of Consumer Advocate (OCA), the Office of Small Business Advocate (OSBA), and the Commission’s Bureau of Investigation and Enforcement (I&amp;E) (collectively, Joint Petitioners)</w:t>
      </w:r>
      <w:r>
        <w:rPr>
          <w:rFonts w:eastAsia="Calibri"/>
          <w:szCs w:val="26"/>
        </w:rPr>
        <w:t xml:space="preserve">.  </w:t>
      </w:r>
      <w:r w:rsidRPr="00B23FA8">
        <w:rPr>
          <w:color w:val="auto"/>
          <w:szCs w:val="26"/>
        </w:rPr>
        <w:t xml:space="preserve">For the reasons stated below, we shall deny the </w:t>
      </w:r>
      <w:r>
        <w:rPr>
          <w:color w:val="auto"/>
          <w:szCs w:val="26"/>
        </w:rPr>
        <w:t>Material Question and approve the Joint Petition of All Active Parties for Full Settlement,</w:t>
      </w:r>
      <w:r w:rsidRPr="00B23FA8">
        <w:rPr>
          <w:color w:val="auto"/>
          <w:szCs w:val="26"/>
        </w:rPr>
        <w:t xml:space="preserve"> consistent with this Opinion and Order.</w:t>
      </w:r>
    </w:p>
    <w:p w14:paraId="479C3E39" w14:textId="77777777" w:rsidR="00082AB7" w:rsidRPr="008E7712" w:rsidRDefault="00082AB7" w:rsidP="0061331E">
      <w:pPr>
        <w:jc w:val="center"/>
        <w:rPr>
          <w:b/>
          <w:bCs/>
          <w:szCs w:val="26"/>
          <w:u w:val="single"/>
        </w:rPr>
      </w:pPr>
    </w:p>
    <w:p w14:paraId="51410B6F" w14:textId="7C348281" w:rsidR="004072F9" w:rsidRPr="008E7712" w:rsidRDefault="004072F9" w:rsidP="0061331E">
      <w:pPr>
        <w:pStyle w:val="Heading1"/>
        <w:keepNext/>
        <w:rPr>
          <w:szCs w:val="26"/>
        </w:rPr>
      </w:pPr>
      <w:r w:rsidRPr="008E7712">
        <w:rPr>
          <w:szCs w:val="26"/>
        </w:rPr>
        <w:t>I.</w:t>
      </w:r>
      <w:r w:rsidRPr="008E7712">
        <w:rPr>
          <w:szCs w:val="26"/>
        </w:rPr>
        <w:tab/>
        <w:t>Introduction</w:t>
      </w:r>
      <w:bookmarkEnd w:id="2"/>
    </w:p>
    <w:p w14:paraId="2A52D4C4" w14:textId="77777777" w:rsidR="00DD6F08" w:rsidRPr="008E7712" w:rsidRDefault="00DD6F08" w:rsidP="0061331E">
      <w:pPr>
        <w:keepNext/>
        <w:rPr>
          <w:rFonts w:eastAsia="Calibri"/>
          <w:szCs w:val="26"/>
        </w:rPr>
      </w:pPr>
    </w:p>
    <w:p w14:paraId="732E7712" w14:textId="2A488234" w:rsidR="00840914" w:rsidRPr="008E7712" w:rsidRDefault="00EF7865" w:rsidP="0061331E">
      <w:pPr>
        <w:ind w:firstLine="1440"/>
        <w:contextualSpacing/>
        <w:rPr>
          <w:rFonts w:eastAsia="Calibri"/>
          <w:szCs w:val="26"/>
        </w:rPr>
      </w:pPr>
      <w:r>
        <w:rPr>
          <w:rFonts w:eastAsia="Calibri"/>
          <w:szCs w:val="26"/>
        </w:rPr>
        <w:t>As noted above</w:t>
      </w:r>
      <w:r w:rsidR="00BB18BC">
        <w:rPr>
          <w:rFonts w:eastAsia="Calibri"/>
          <w:szCs w:val="26"/>
        </w:rPr>
        <w:t>,</w:t>
      </w:r>
      <w:r>
        <w:rPr>
          <w:rFonts w:eastAsia="Calibri"/>
          <w:szCs w:val="26"/>
        </w:rPr>
        <w:t xml:space="preserve"> before</w:t>
      </w:r>
      <w:r w:rsidR="00DD6F08" w:rsidRPr="008E7712">
        <w:rPr>
          <w:rFonts w:eastAsia="Calibri"/>
          <w:szCs w:val="26"/>
        </w:rPr>
        <w:t xml:space="preserve"> the Pennsylvania Public Utility Commission (Commission) for consideration and disposition is the </w:t>
      </w:r>
      <w:r w:rsidR="00691417" w:rsidRPr="00BB18BC">
        <w:rPr>
          <w:rFonts w:eastAsia="Calibri"/>
          <w:i/>
        </w:rPr>
        <w:t>November Order</w:t>
      </w:r>
      <w:r w:rsidR="00691417" w:rsidRPr="008E7712">
        <w:rPr>
          <w:rFonts w:eastAsia="Calibri"/>
          <w:szCs w:val="26"/>
        </w:rPr>
        <w:t xml:space="preserve"> </w:t>
      </w:r>
      <w:r w:rsidR="00AB733D">
        <w:rPr>
          <w:rFonts w:eastAsia="Calibri"/>
          <w:szCs w:val="26"/>
        </w:rPr>
        <w:t>and</w:t>
      </w:r>
      <w:r w:rsidR="00DD6F08" w:rsidRPr="008E7712">
        <w:rPr>
          <w:rFonts w:eastAsia="Calibri"/>
          <w:szCs w:val="26"/>
        </w:rPr>
        <w:t xml:space="preserve"> the Briefs </w:t>
      </w:r>
      <w:r w:rsidR="00DD6F08" w:rsidRPr="008E7712">
        <w:rPr>
          <w:rFonts w:eastAsia="Calibri"/>
          <w:szCs w:val="26"/>
        </w:rPr>
        <w:lastRenderedPageBreak/>
        <w:t xml:space="preserve">filed with respect </w:t>
      </w:r>
      <w:r w:rsidR="00346DCB">
        <w:rPr>
          <w:rFonts w:eastAsia="Calibri"/>
          <w:szCs w:val="26"/>
        </w:rPr>
        <w:t xml:space="preserve">to </w:t>
      </w:r>
      <w:r w:rsidR="001345C9" w:rsidRPr="008E7712">
        <w:rPr>
          <w:rFonts w:eastAsia="Calibri"/>
          <w:szCs w:val="26"/>
        </w:rPr>
        <w:t xml:space="preserve">the </w:t>
      </w:r>
      <w:r w:rsidR="00AB733D">
        <w:rPr>
          <w:rFonts w:eastAsia="Calibri"/>
          <w:i/>
          <w:iCs/>
          <w:szCs w:val="26"/>
        </w:rPr>
        <w:t xml:space="preserve">November Order’s </w:t>
      </w:r>
      <w:r w:rsidR="001345C9" w:rsidRPr="008E7712">
        <w:rPr>
          <w:rFonts w:eastAsia="Calibri"/>
          <w:szCs w:val="26"/>
        </w:rPr>
        <w:t>Material Question</w:t>
      </w:r>
      <w:r w:rsidR="00DD6F08" w:rsidRPr="008E7712">
        <w:rPr>
          <w:rFonts w:eastAsia="Calibri"/>
          <w:szCs w:val="26"/>
        </w:rPr>
        <w:t>.</w:t>
      </w:r>
      <w:r w:rsidR="00840914" w:rsidRPr="008E7712">
        <w:rPr>
          <w:rFonts w:eastAsia="Calibri"/>
          <w:szCs w:val="26"/>
        </w:rPr>
        <w:t xml:space="preserve"> </w:t>
      </w:r>
      <w:r w:rsidR="00081C7C" w:rsidRPr="008E7712">
        <w:rPr>
          <w:rFonts w:eastAsia="Calibri"/>
          <w:szCs w:val="26"/>
        </w:rPr>
        <w:t xml:space="preserve"> </w:t>
      </w:r>
      <w:r w:rsidR="00AD5FF5" w:rsidRPr="008E7712">
        <w:rPr>
          <w:rFonts w:eastAsia="Calibri"/>
          <w:szCs w:val="26"/>
        </w:rPr>
        <w:t xml:space="preserve">This matter centers upon and presents for </w:t>
      </w:r>
      <w:r w:rsidR="00840914" w:rsidRPr="008E7712">
        <w:rPr>
          <w:rFonts w:eastAsia="Calibri"/>
          <w:szCs w:val="26"/>
        </w:rPr>
        <w:t xml:space="preserve">Commission </w:t>
      </w:r>
      <w:r w:rsidR="00AD5FF5" w:rsidRPr="008E7712">
        <w:rPr>
          <w:rFonts w:eastAsia="Calibri"/>
          <w:szCs w:val="26"/>
        </w:rPr>
        <w:t>review,</w:t>
      </w:r>
      <w:r w:rsidR="00840914" w:rsidRPr="008E7712">
        <w:rPr>
          <w:rFonts w:eastAsia="Calibri"/>
          <w:szCs w:val="26"/>
        </w:rPr>
        <w:t xml:space="preserve"> the Joint Petition of All Active Parties for Full Settlement of Rate Proceedings (Joint Petition or Settlement) filed by CUPA, the </w:t>
      </w:r>
      <w:r w:rsidR="00AE271D" w:rsidRPr="008E7712">
        <w:rPr>
          <w:rFonts w:eastAsia="Calibri"/>
          <w:szCs w:val="26"/>
        </w:rPr>
        <w:t>Office of Consumer Advocate (</w:t>
      </w:r>
      <w:r w:rsidR="00840914" w:rsidRPr="008E7712">
        <w:rPr>
          <w:rFonts w:eastAsia="Calibri"/>
          <w:szCs w:val="26"/>
        </w:rPr>
        <w:t>OCA</w:t>
      </w:r>
      <w:r w:rsidR="00AE271D" w:rsidRPr="008E7712">
        <w:rPr>
          <w:rFonts w:eastAsia="Calibri"/>
          <w:szCs w:val="26"/>
        </w:rPr>
        <w:t>)</w:t>
      </w:r>
      <w:r w:rsidR="00840914" w:rsidRPr="008E7712">
        <w:rPr>
          <w:rFonts w:eastAsia="Calibri"/>
          <w:szCs w:val="26"/>
        </w:rPr>
        <w:t xml:space="preserve">, the </w:t>
      </w:r>
      <w:r w:rsidR="001345C9" w:rsidRPr="008E7712">
        <w:rPr>
          <w:rFonts w:eastAsia="Calibri"/>
          <w:szCs w:val="26"/>
        </w:rPr>
        <w:t xml:space="preserve">Office of </w:t>
      </w:r>
      <w:r w:rsidR="00E41423" w:rsidRPr="008E7712">
        <w:rPr>
          <w:rFonts w:eastAsia="Calibri"/>
          <w:szCs w:val="26"/>
        </w:rPr>
        <w:t>Small</w:t>
      </w:r>
      <w:r w:rsidR="001345C9" w:rsidRPr="008E7712">
        <w:rPr>
          <w:rFonts w:eastAsia="Calibri"/>
          <w:szCs w:val="26"/>
        </w:rPr>
        <w:t xml:space="preserve"> Business Advocate </w:t>
      </w:r>
      <w:r w:rsidR="00AE271D" w:rsidRPr="008E7712">
        <w:rPr>
          <w:rFonts w:eastAsia="Calibri"/>
          <w:szCs w:val="26"/>
        </w:rPr>
        <w:t>(</w:t>
      </w:r>
      <w:r w:rsidR="00840914" w:rsidRPr="008E7712">
        <w:rPr>
          <w:rFonts w:eastAsia="Calibri"/>
          <w:szCs w:val="26"/>
        </w:rPr>
        <w:t>OSBA</w:t>
      </w:r>
      <w:r w:rsidR="00AE271D" w:rsidRPr="008E7712">
        <w:rPr>
          <w:rFonts w:eastAsia="Calibri"/>
          <w:szCs w:val="26"/>
        </w:rPr>
        <w:t>)</w:t>
      </w:r>
      <w:r w:rsidR="00840914" w:rsidRPr="008E7712">
        <w:rPr>
          <w:rFonts w:eastAsia="Calibri"/>
          <w:szCs w:val="26"/>
        </w:rPr>
        <w:t xml:space="preserve">, and </w:t>
      </w:r>
      <w:r w:rsidR="001345C9" w:rsidRPr="008E7712">
        <w:rPr>
          <w:rFonts w:eastAsia="Calibri"/>
          <w:szCs w:val="26"/>
        </w:rPr>
        <w:t xml:space="preserve">the Commission’s Bureau of </w:t>
      </w:r>
      <w:r w:rsidR="00E41423" w:rsidRPr="008E7712">
        <w:rPr>
          <w:rFonts w:eastAsia="Calibri"/>
          <w:szCs w:val="26"/>
        </w:rPr>
        <w:t>Investigation</w:t>
      </w:r>
      <w:r w:rsidR="001345C9" w:rsidRPr="008E7712">
        <w:rPr>
          <w:rFonts w:eastAsia="Calibri"/>
          <w:szCs w:val="26"/>
        </w:rPr>
        <w:t xml:space="preserve"> and Enforcement (</w:t>
      </w:r>
      <w:r w:rsidR="00840914" w:rsidRPr="008E7712">
        <w:rPr>
          <w:rFonts w:eastAsia="Calibri"/>
          <w:szCs w:val="26"/>
        </w:rPr>
        <w:t>I&amp;E</w:t>
      </w:r>
      <w:r w:rsidR="001345C9" w:rsidRPr="008E7712">
        <w:rPr>
          <w:rFonts w:eastAsia="Calibri"/>
          <w:szCs w:val="26"/>
        </w:rPr>
        <w:t>)</w:t>
      </w:r>
      <w:r w:rsidR="00840914" w:rsidRPr="008E7712">
        <w:rPr>
          <w:rFonts w:eastAsia="Calibri"/>
          <w:szCs w:val="26"/>
        </w:rPr>
        <w:t xml:space="preserve"> </w:t>
      </w:r>
      <w:r w:rsidR="00790D50" w:rsidRPr="008E7712">
        <w:rPr>
          <w:rFonts w:eastAsia="Calibri"/>
          <w:szCs w:val="26"/>
        </w:rPr>
        <w:t>(</w:t>
      </w:r>
      <w:r w:rsidR="001345C9" w:rsidRPr="008E7712">
        <w:rPr>
          <w:rFonts w:eastAsia="Calibri"/>
          <w:szCs w:val="26"/>
        </w:rPr>
        <w:t xml:space="preserve">collectively, </w:t>
      </w:r>
      <w:r w:rsidR="00790D50" w:rsidRPr="008E7712">
        <w:rPr>
          <w:rFonts w:eastAsia="Calibri"/>
          <w:szCs w:val="26"/>
        </w:rPr>
        <w:t xml:space="preserve">Joint Petitioners) </w:t>
      </w:r>
      <w:r w:rsidR="00840914" w:rsidRPr="008E7712">
        <w:rPr>
          <w:rFonts w:eastAsia="Calibri"/>
          <w:szCs w:val="26"/>
        </w:rPr>
        <w:t>on October 12, 2021</w:t>
      </w:r>
      <w:r w:rsidR="001345C9" w:rsidRPr="008E7712">
        <w:rPr>
          <w:rFonts w:eastAsia="Calibri"/>
          <w:szCs w:val="26"/>
        </w:rPr>
        <w:t>,</w:t>
      </w:r>
      <w:r w:rsidR="00840914" w:rsidRPr="008E7712">
        <w:rPr>
          <w:rFonts w:eastAsia="Calibri"/>
          <w:szCs w:val="26"/>
        </w:rPr>
        <w:t xml:space="preserve"> and the related Stipulations of Fact and Conclusions of Law appended thereto.</w:t>
      </w:r>
    </w:p>
    <w:p w14:paraId="494B38FB" w14:textId="77777777" w:rsidR="00DD6F08" w:rsidRPr="008E7712" w:rsidRDefault="00DD6F08" w:rsidP="00DD6F08">
      <w:pPr>
        <w:ind w:firstLine="1440"/>
        <w:contextualSpacing/>
        <w:rPr>
          <w:rFonts w:eastAsia="Calibri"/>
          <w:szCs w:val="26"/>
        </w:rPr>
      </w:pPr>
    </w:p>
    <w:p w14:paraId="65D5D610" w14:textId="216D9E47" w:rsidR="00DD6F08" w:rsidRPr="008E7712" w:rsidRDefault="004B3FED" w:rsidP="00DD6F08">
      <w:pPr>
        <w:ind w:firstLine="1440"/>
        <w:contextualSpacing/>
        <w:rPr>
          <w:rFonts w:eastAsia="Calibri"/>
          <w:szCs w:val="26"/>
        </w:rPr>
      </w:pPr>
      <w:r w:rsidRPr="008E7712">
        <w:rPr>
          <w:rFonts w:eastAsia="Calibri"/>
          <w:szCs w:val="26"/>
        </w:rPr>
        <w:t xml:space="preserve">Following the ALJ’s issuance of the </w:t>
      </w:r>
      <w:r w:rsidRPr="00BB18BC">
        <w:rPr>
          <w:rFonts w:eastAsia="Calibri"/>
          <w:i/>
        </w:rPr>
        <w:t>November Order</w:t>
      </w:r>
      <w:r w:rsidRPr="008E7712">
        <w:rPr>
          <w:rFonts w:eastAsia="Calibri"/>
          <w:szCs w:val="26"/>
        </w:rPr>
        <w:t>, b</w:t>
      </w:r>
      <w:r w:rsidR="00DD6F08" w:rsidRPr="008E7712">
        <w:rPr>
          <w:rFonts w:eastAsia="Calibri"/>
          <w:szCs w:val="26"/>
        </w:rPr>
        <w:t xml:space="preserve">y Secretarial Letter issued on November 12, 2021, the Commission granted the unopposed page extension request of CUPA to permit a </w:t>
      </w:r>
      <w:r w:rsidR="001345C9" w:rsidRPr="008E7712">
        <w:rPr>
          <w:rFonts w:eastAsia="Calibri"/>
          <w:szCs w:val="26"/>
        </w:rPr>
        <w:t>forty</w:t>
      </w:r>
      <w:r w:rsidR="00DD6F08" w:rsidRPr="008E7712">
        <w:rPr>
          <w:rFonts w:eastAsia="Calibri"/>
          <w:szCs w:val="26"/>
        </w:rPr>
        <w:t xml:space="preserve">-page brief in response to the </w:t>
      </w:r>
      <w:r w:rsidR="00DD6F08" w:rsidRPr="00BB18BC">
        <w:rPr>
          <w:rFonts w:eastAsia="Calibri"/>
          <w:i/>
        </w:rPr>
        <w:t>November Order</w:t>
      </w:r>
      <w:r w:rsidR="00DD6F08" w:rsidRPr="008E7712">
        <w:rPr>
          <w:rFonts w:eastAsia="Calibri"/>
          <w:szCs w:val="26"/>
        </w:rPr>
        <w:t xml:space="preserve"> and waiving the </w:t>
      </w:r>
      <w:r w:rsidR="001345C9" w:rsidRPr="008E7712">
        <w:rPr>
          <w:rFonts w:eastAsia="Calibri"/>
          <w:szCs w:val="26"/>
        </w:rPr>
        <w:t>thirty</w:t>
      </w:r>
      <w:r w:rsidR="00DD6F08" w:rsidRPr="008E7712">
        <w:rPr>
          <w:rFonts w:eastAsia="Calibri"/>
          <w:szCs w:val="26"/>
        </w:rPr>
        <w:t xml:space="preserve">-day timeframe for the issuance of a ruling on the certified material question.  Briefs in Response to the </w:t>
      </w:r>
      <w:r w:rsidR="00DD6F08" w:rsidRPr="00BB18BC">
        <w:rPr>
          <w:rFonts w:eastAsia="Calibri"/>
          <w:i/>
        </w:rPr>
        <w:t>November Order</w:t>
      </w:r>
      <w:r w:rsidR="00DD6F08" w:rsidRPr="008E7712">
        <w:rPr>
          <w:rFonts w:eastAsia="Calibri"/>
          <w:szCs w:val="26"/>
        </w:rPr>
        <w:t xml:space="preserve"> were filed on November 16, 2021, by the following Parties: </w:t>
      </w:r>
      <w:r w:rsidR="00A15CFA">
        <w:rPr>
          <w:rFonts w:eastAsia="Calibri"/>
          <w:szCs w:val="26"/>
        </w:rPr>
        <w:t xml:space="preserve"> </w:t>
      </w:r>
      <w:r w:rsidR="00DD6F08" w:rsidRPr="008E7712">
        <w:rPr>
          <w:rFonts w:eastAsia="Calibri"/>
          <w:szCs w:val="26"/>
        </w:rPr>
        <w:t>the OCA</w:t>
      </w:r>
      <w:r w:rsidR="00B653A9" w:rsidRPr="008E7712">
        <w:rPr>
          <w:rFonts w:eastAsia="Calibri"/>
          <w:szCs w:val="26"/>
        </w:rPr>
        <w:t>,</w:t>
      </w:r>
      <w:r w:rsidR="00DD6F08" w:rsidRPr="008E7712">
        <w:rPr>
          <w:rFonts w:eastAsia="Calibri"/>
          <w:szCs w:val="26"/>
        </w:rPr>
        <w:t xml:space="preserve"> the OSBA</w:t>
      </w:r>
      <w:r w:rsidR="00B653A9" w:rsidRPr="008E7712">
        <w:rPr>
          <w:rFonts w:eastAsia="Calibri"/>
          <w:szCs w:val="26"/>
        </w:rPr>
        <w:t xml:space="preserve">, </w:t>
      </w:r>
      <w:r w:rsidR="00DD6F08" w:rsidRPr="008E7712">
        <w:rPr>
          <w:rFonts w:eastAsia="Calibri"/>
          <w:szCs w:val="26"/>
        </w:rPr>
        <w:t>I&amp;E</w:t>
      </w:r>
      <w:r w:rsidR="00B653A9" w:rsidRPr="008E7712">
        <w:rPr>
          <w:rFonts w:eastAsia="Calibri"/>
          <w:szCs w:val="26"/>
        </w:rPr>
        <w:t>,</w:t>
      </w:r>
      <w:r w:rsidR="00DD6F08" w:rsidRPr="008E7712">
        <w:rPr>
          <w:rFonts w:eastAsia="Calibri"/>
          <w:szCs w:val="26"/>
        </w:rPr>
        <w:t xml:space="preserve"> and CUPA.</w:t>
      </w:r>
    </w:p>
    <w:p w14:paraId="57821EB2" w14:textId="77777777" w:rsidR="00DD6F08" w:rsidRPr="008E7712" w:rsidRDefault="00DD6F08" w:rsidP="00DD6F08">
      <w:pPr>
        <w:ind w:firstLine="1440"/>
        <w:contextualSpacing/>
        <w:rPr>
          <w:rFonts w:eastAsia="Calibri"/>
          <w:szCs w:val="26"/>
        </w:rPr>
      </w:pPr>
    </w:p>
    <w:p w14:paraId="35E0684F" w14:textId="7A9BFA8A" w:rsidR="00DD6F08" w:rsidRPr="008E7712" w:rsidRDefault="00DD6F08" w:rsidP="00DD6F08">
      <w:pPr>
        <w:ind w:firstLine="1440"/>
        <w:rPr>
          <w:szCs w:val="26"/>
        </w:rPr>
      </w:pPr>
      <w:r w:rsidRPr="008E7712">
        <w:rPr>
          <w:rFonts w:eastAsia="Calibri"/>
          <w:szCs w:val="26"/>
        </w:rPr>
        <w:t xml:space="preserve">For the reasons stated, </w:t>
      </w:r>
      <w:r w:rsidRPr="008E7712">
        <w:rPr>
          <w:rFonts w:eastAsia="Calibri"/>
          <w:i/>
          <w:iCs/>
          <w:szCs w:val="26"/>
        </w:rPr>
        <w:t>infra</w:t>
      </w:r>
      <w:r w:rsidRPr="008E7712">
        <w:rPr>
          <w:rFonts w:eastAsia="Calibri"/>
          <w:szCs w:val="26"/>
        </w:rPr>
        <w:t xml:space="preserve">, we shall answer the </w:t>
      </w:r>
      <w:r w:rsidR="00886B06" w:rsidRPr="008E7712">
        <w:rPr>
          <w:rFonts w:eastAsia="Calibri"/>
          <w:szCs w:val="26"/>
        </w:rPr>
        <w:t>M</w:t>
      </w:r>
      <w:r w:rsidRPr="008E7712">
        <w:rPr>
          <w:rFonts w:eastAsia="Calibri"/>
          <w:szCs w:val="26"/>
        </w:rPr>
        <w:t xml:space="preserve">aterial </w:t>
      </w:r>
      <w:r w:rsidR="00886B06" w:rsidRPr="008E7712">
        <w:rPr>
          <w:rFonts w:eastAsia="Calibri"/>
          <w:szCs w:val="26"/>
        </w:rPr>
        <w:t>Q</w:t>
      </w:r>
      <w:r w:rsidR="00E41423" w:rsidRPr="008E7712">
        <w:rPr>
          <w:rFonts w:eastAsia="Calibri"/>
          <w:szCs w:val="26"/>
        </w:rPr>
        <w:t>uestion</w:t>
      </w:r>
      <w:r w:rsidRPr="008E7712">
        <w:rPr>
          <w:rFonts w:eastAsia="Calibri"/>
          <w:szCs w:val="26"/>
        </w:rPr>
        <w:t xml:space="preserve"> in the negative, </w:t>
      </w:r>
      <w:r w:rsidR="00537441" w:rsidRPr="008E7712">
        <w:rPr>
          <w:rFonts w:eastAsia="Calibri"/>
          <w:szCs w:val="26"/>
        </w:rPr>
        <w:t xml:space="preserve">grant </w:t>
      </w:r>
      <w:r w:rsidRPr="008E7712">
        <w:rPr>
          <w:rFonts w:eastAsia="Calibri"/>
          <w:szCs w:val="26"/>
        </w:rPr>
        <w:t xml:space="preserve">the Parties’ Joint Petition, and approve the Settlement </w:t>
      </w:r>
      <w:r w:rsidR="00B55416" w:rsidRPr="008E7712">
        <w:rPr>
          <w:rFonts w:eastAsia="Calibri"/>
          <w:szCs w:val="26"/>
        </w:rPr>
        <w:t xml:space="preserve">in its entirety </w:t>
      </w:r>
      <w:r w:rsidRPr="008E7712">
        <w:rPr>
          <w:rFonts w:eastAsia="Calibri"/>
          <w:szCs w:val="26"/>
        </w:rPr>
        <w:t>as in the public interest.</w:t>
      </w:r>
      <w:r w:rsidRPr="008E7712">
        <w:rPr>
          <w:szCs w:val="26"/>
        </w:rPr>
        <w:t xml:space="preserve">  As discussed</w:t>
      </w:r>
      <w:r w:rsidR="00537441" w:rsidRPr="008E7712">
        <w:rPr>
          <w:szCs w:val="26"/>
        </w:rPr>
        <w:t>,</w:t>
      </w:r>
      <w:r w:rsidRPr="008E7712">
        <w:rPr>
          <w:szCs w:val="26"/>
        </w:rPr>
        <w:t xml:space="preserve"> </w:t>
      </w:r>
      <w:r w:rsidRPr="008E7712">
        <w:rPr>
          <w:i/>
          <w:iCs/>
          <w:szCs w:val="26"/>
        </w:rPr>
        <w:t>infra</w:t>
      </w:r>
      <w:r w:rsidRPr="008E7712">
        <w:rPr>
          <w:szCs w:val="26"/>
        </w:rPr>
        <w:t>, under the terms of the Settlement, the approved increase to CUPA-Water’s annual operating revenues is proposed to be $</w:t>
      </w:r>
      <w:r w:rsidR="00F33098" w:rsidRPr="008E7712">
        <w:rPr>
          <w:szCs w:val="26"/>
        </w:rPr>
        <w:t>630,000</w:t>
      </w:r>
      <w:r w:rsidRPr="008E7712">
        <w:rPr>
          <w:szCs w:val="26"/>
        </w:rPr>
        <w:t>, which reflects a substantial decrease from CUPA-Water’s original proposal for a</w:t>
      </w:r>
      <w:r w:rsidR="00F33098" w:rsidRPr="008E7712">
        <w:rPr>
          <w:szCs w:val="26"/>
        </w:rPr>
        <w:t xml:space="preserve"> </w:t>
      </w:r>
      <w:r w:rsidR="003E6A63" w:rsidRPr="008E7712">
        <w:rPr>
          <w:szCs w:val="26"/>
        </w:rPr>
        <w:t>$</w:t>
      </w:r>
      <w:r w:rsidR="0040217C" w:rsidRPr="008E7712">
        <w:rPr>
          <w:szCs w:val="26"/>
        </w:rPr>
        <w:t>757,517</w:t>
      </w:r>
      <w:r w:rsidRPr="008E7712">
        <w:rPr>
          <w:szCs w:val="26"/>
        </w:rPr>
        <w:t xml:space="preserve"> rate increase.  The approved rate increase to CUPA-Wastewater’s annual operating revenues is proposed to be $</w:t>
      </w:r>
      <w:r w:rsidR="0040217C" w:rsidRPr="008E7712">
        <w:rPr>
          <w:szCs w:val="26"/>
        </w:rPr>
        <w:t>830,000</w:t>
      </w:r>
      <w:r w:rsidRPr="008E7712">
        <w:rPr>
          <w:szCs w:val="26"/>
        </w:rPr>
        <w:t>, which reflects a substantial decrease from CUPA-Wastewater’s original proposal for a $</w:t>
      </w:r>
      <w:r w:rsidR="0040217C" w:rsidRPr="008E7712">
        <w:rPr>
          <w:szCs w:val="26"/>
        </w:rPr>
        <w:t>998,705</w:t>
      </w:r>
      <w:r w:rsidRPr="008E7712">
        <w:rPr>
          <w:szCs w:val="26"/>
        </w:rPr>
        <w:t xml:space="preserve"> rate increase.  We conclude that the terms of the Settlement contain important provisions which, on balance, protect ratepayers and mitigate the rate increase</w:t>
      </w:r>
      <w:r w:rsidR="0040217C" w:rsidRPr="008E7712">
        <w:rPr>
          <w:szCs w:val="26"/>
        </w:rPr>
        <w:t>s</w:t>
      </w:r>
      <w:r w:rsidRPr="008E7712">
        <w:rPr>
          <w:szCs w:val="26"/>
        </w:rPr>
        <w:t xml:space="preserve"> at a time in which many ratepayers are suffering economic hardship due to the 2019 Coronavirus (COVID</w:t>
      </w:r>
      <w:r w:rsidRPr="008E7712">
        <w:rPr>
          <w:szCs w:val="26"/>
        </w:rPr>
        <w:noBreakHyphen/>
        <w:t>19) Pandemic emergency, while providing CUPA with a level of revenue</w:t>
      </w:r>
      <w:r w:rsidR="0040217C" w:rsidRPr="008E7712">
        <w:rPr>
          <w:szCs w:val="26"/>
        </w:rPr>
        <w:t>s</w:t>
      </w:r>
      <w:r w:rsidRPr="008E7712">
        <w:rPr>
          <w:szCs w:val="26"/>
        </w:rPr>
        <w:t xml:space="preserve"> to earn a sufficient return to ensure CUPA’s continued provision of safe and reliable water and wastewater service within the Commonwealth. </w:t>
      </w:r>
    </w:p>
    <w:p w14:paraId="2CFCD149" w14:textId="4CE76C07" w:rsidR="00DD6F08" w:rsidRPr="008E7712" w:rsidRDefault="00DD6F08" w:rsidP="00544BD0">
      <w:pPr>
        <w:ind w:firstLine="1440"/>
        <w:rPr>
          <w:szCs w:val="26"/>
        </w:rPr>
      </w:pPr>
      <w:r w:rsidRPr="008E7712">
        <w:rPr>
          <w:szCs w:val="26"/>
        </w:rPr>
        <w:lastRenderedPageBreak/>
        <w:t>Therefore, based upon our review of the record, we shall approve an annual revenue increase for CUPA-Water of $</w:t>
      </w:r>
      <w:r w:rsidR="0040217C" w:rsidRPr="008E7712">
        <w:rPr>
          <w:szCs w:val="26"/>
        </w:rPr>
        <w:t>630,000</w:t>
      </w:r>
      <w:r w:rsidRPr="008E7712">
        <w:rPr>
          <w:szCs w:val="26"/>
        </w:rPr>
        <w:t xml:space="preserve"> and $</w:t>
      </w:r>
      <w:r w:rsidR="0040217C" w:rsidRPr="008E7712">
        <w:rPr>
          <w:szCs w:val="26"/>
        </w:rPr>
        <w:t>830,000</w:t>
      </w:r>
      <w:r w:rsidRPr="008E7712">
        <w:rPr>
          <w:szCs w:val="26"/>
        </w:rPr>
        <w:t xml:space="preserve"> for CUPA-Wastewater, as reasonable and in the public interest. </w:t>
      </w:r>
      <w:r w:rsidR="0040217C" w:rsidRPr="008E7712">
        <w:rPr>
          <w:szCs w:val="26"/>
        </w:rPr>
        <w:t xml:space="preserve"> We also approve the entirety of the Settlement terms and conditions, which include, </w:t>
      </w:r>
      <w:r w:rsidR="0040217C" w:rsidRPr="008E7712">
        <w:rPr>
          <w:i/>
          <w:iCs/>
          <w:szCs w:val="26"/>
        </w:rPr>
        <w:t>inter alia,</w:t>
      </w:r>
      <w:r w:rsidR="0040217C" w:rsidRPr="008E7712">
        <w:rPr>
          <w:szCs w:val="26"/>
        </w:rPr>
        <w:t xml:space="preserve"> important service-related provisions and low-income program modifications, to the distinct benefit of CUPA’s customers.</w:t>
      </w:r>
    </w:p>
    <w:p w14:paraId="6BC97322" w14:textId="77777777" w:rsidR="00DD6F08" w:rsidRPr="008E7712" w:rsidRDefault="00DD6F08" w:rsidP="00544BD0">
      <w:pPr>
        <w:keepNext/>
        <w:jc w:val="center"/>
        <w:rPr>
          <w:b/>
          <w:bCs/>
          <w:szCs w:val="26"/>
        </w:rPr>
      </w:pPr>
    </w:p>
    <w:p w14:paraId="10953446" w14:textId="13531879" w:rsidR="0032549B" w:rsidRPr="008E7712" w:rsidRDefault="00F719A2" w:rsidP="00544BD0">
      <w:pPr>
        <w:pStyle w:val="Heading2"/>
        <w:spacing w:line="360" w:lineRule="auto"/>
      </w:pPr>
      <w:bookmarkStart w:id="3" w:name="_Toc91576487"/>
      <w:r w:rsidRPr="008E7712">
        <w:t>A.</w:t>
      </w:r>
      <w:r w:rsidRPr="008E7712">
        <w:tab/>
      </w:r>
      <w:r w:rsidR="00444FD9" w:rsidRPr="008E7712">
        <w:t>H</w:t>
      </w:r>
      <w:r w:rsidR="0055432B" w:rsidRPr="008E7712">
        <w:t>istory of the Proceeding</w:t>
      </w:r>
      <w:bookmarkEnd w:id="3"/>
    </w:p>
    <w:p w14:paraId="5C33E359" w14:textId="77777777" w:rsidR="00BD77FA" w:rsidRPr="008E7712" w:rsidRDefault="00BD77FA" w:rsidP="00544BD0">
      <w:pPr>
        <w:keepNext/>
        <w:rPr>
          <w:b/>
          <w:bCs/>
          <w:szCs w:val="26"/>
          <w:u w:val="single"/>
        </w:rPr>
      </w:pPr>
    </w:p>
    <w:p w14:paraId="502E6161" w14:textId="0A2ADEDA" w:rsidR="00694675" w:rsidRPr="008E7712" w:rsidRDefault="00444FD9" w:rsidP="00544BD0">
      <w:pPr>
        <w:keepNext/>
        <w:ind w:firstLine="1440"/>
        <w:rPr>
          <w:szCs w:val="26"/>
        </w:rPr>
      </w:pPr>
      <w:r w:rsidRPr="008E7712">
        <w:rPr>
          <w:szCs w:val="26"/>
        </w:rPr>
        <w:t xml:space="preserve">On April 12, 2021, </w:t>
      </w:r>
      <w:r w:rsidR="00CE48A4" w:rsidRPr="008E7712">
        <w:rPr>
          <w:szCs w:val="26"/>
        </w:rPr>
        <w:t>C</w:t>
      </w:r>
      <w:r w:rsidRPr="008E7712">
        <w:rPr>
          <w:szCs w:val="26"/>
        </w:rPr>
        <w:t>UPA</w:t>
      </w:r>
      <w:r w:rsidR="00CE48A4" w:rsidRPr="008E7712">
        <w:rPr>
          <w:szCs w:val="26"/>
        </w:rPr>
        <w:t>-Water</w:t>
      </w:r>
      <w:r w:rsidRPr="008E7712">
        <w:rPr>
          <w:szCs w:val="26"/>
        </w:rPr>
        <w:t xml:space="preserve"> filed Supplement No. 9 to Tariff Water-Pa. P.U.C. No. 1 (Supplement No. 9) to become effective June 12, 2021.  Supplement No. 9 would increase CUPA</w:t>
      </w:r>
      <w:r w:rsidR="00C06817" w:rsidRPr="008E7712">
        <w:rPr>
          <w:szCs w:val="26"/>
        </w:rPr>
        <w:t>-</w:t>
      </w:r>
      <w:r w:rsidR="00CE48A4" w:rsidRPr="008E7712">
        <w:rPr>
          <w:szCs w:val="26"/>
        </w:rPr>
        <w:t>Water</w:t>
      </w:r>
      <w:r w:rsidRPr="008E7712">
        <w:rPr>
          <w:szCs w:val="26"/>
        </w:rPr>
        <w:t>’s total annual operating revenues for water service by approximately $757,517 or</w:t>
      </w:r>
      <w:r w:rsidR="00BB572A" w:rsidRPr="008E7712">
        <w:rPr>
          <w:szCs w:val="26"/>
        </w:rPr>
        <w:t> </w:t>
      </w:r>
      <w:r w:rsidRPr="008E7712">
        <w:rPr>
          <w:szCs w:val="26"/>
        </w:rPr>
        <w:t xml:space="preserve">36.6%. </w:t>
      </w:r>
      <w:r w:rsidR="00AE4188" w:rsidRPr="008E7712">
        <w:rPr>
          <w:szCs w:val="26"/>
        </w:rPr>
        <w:t xml:space="preserve"> </w:t>
      </w:r>
      <w:r w:rsidRPr="008E7712">
        <w:rPr>
          <w:szCs w:val="26"/>
        </w:rPr>
        <w:t xml:space="preserve">On April 12, 2021, </w:t>
      </w:r>
      <w:r w:rsidR="00CE48A4" w:rsidRPr="008E7712">
        <w:rPr>
          <w:szCs w:val="26"/>
        </w:rPr>
        <w:t>CUPA</w:t>
      </w:r>
      <w:r w:rsidR="00C06817" w:rsidRPr="008E7712">
        <w:rPr>
          <w:szCs w:val="26"/>
        </w:rPr>
        <w:t>-</w:t>
      </w:r>
      <w:r w:rsidR="00CE48A4" w:rsidRPr="008E7712">
        <w:rPr>
          <w:szCs w:val="26"/>
        </w:rPr>
        <w:t xml:space="preserve">Wastewater </w:t>
      </w:r>
      <w:r w:rsidRPr="008E7712">
        <w:rPr>
          <w:szCs w:val="26"/>
        </w:rPr>
        <w:t>filed Supplement No. 7 to Tariff Wastewater-Pa. P.U.C. No. 1 (Supplement No. 7) to become effective June 12, 2021</w:t>
      </w:r>
      <w:r w:rsidR="00226207" w:rsidRPr="008E7712">
        <w:rPr>
          <w:szCs w:val="26"/>
        </w:rPr>
        <w:t>,</w:t>
      </w:r>
      <w:r w:rsidRPr="008E7712">
        <w:rPr>
          <w:szCs w:val="26"/>
        </w:rPr>
        <w:t xml:space="preserve"> unless permitted by Commission Order to become effective at an earlier date.  Supplement No. 7 would increase CUPA-W</w:t>
      </w:r>
      <w:r w:rsidR="00CE48A4" w:rsidRPr="008E7712">
        <w:rPr>
          <w:szCs w:val="26"/>
        </w:rPr>
        <w:t>astewater</w:t>
      </w:r>
      <w:r w:rsidRPr="008E7712">
        <w:rPr>
          <w:szCs w:val="26"/>
        </w:rPr>
        <w:t xml:space="preserve">’s total annual operating revenues for wastewater service by approximately $998,705, or 37.4%. </w:t>
      </w:r>
    </w:p>
    <w:p w14:paraId="59F2F98D" w14:textId="77777777" w:rsidR="00694675" w:rsidRPr="008E7712" w:rsidRDefault="00694675" w:rsidP="00EB7CBC">
      <w:pPr>
        <w:ind w:firstLine="1440"/>
        <w:rPr>
          <w:szCs w:val="26"/>
        </w:rPr>
      </w:pPr>
    </w:p>
    <w:p w14:paraId="4C8B6D3B" w14:textId="4F72B1E9" w:rsidR="00694675" w:rsidRPr="008E7712" w:rsidRDefault="00444FD9" w:rsidP="00EB7CBC">
      <w:pPr>
        <w:ind w:firstLine="1440"/>
        <w:rPr>
          <w:szCs w:val="26"/>
        </w:rPr>
      </w:pPr>
      <w:r w:rsidRPr="008E7712">
        <w:rPr>
          <w:szCs w:val="26"/>
        </w:rPr>
        <w:t xml:space="preserve">On April 15, 2021, </w:t>
      </w:r>
      <w:r w:rsidR="00CE48A4" w:rsidRPr="008E7712">
        <w:rPr>
          <w:szCs w:val="26"/>
        </w:rPr>
        <w:t xml:space="preserve">the </w:t>
      </w:r>
      <w:r w:rsidRPr="008E7712">
        <w:rPr>
          <w:szCs w:val="26"/>
        </w:rPr>
        <w:t xml:space="preserve">OSBA filed Formal Complaints against both general base rate requests. </w:t>
      </w:r>
      <w:r w:rsidR="00AE4188" w:rsidRPr="008E7712">
        <w:rPr>
          <w:szCs w:val="26"/>
        </w:rPr>
        <w:t xml:space="preserve"> </w:t>
      </w:r>
      <w:r w:rsidRPr="008E7712">
        <w:rPr>
          <w:szCs w:val="26"/>
        </w:rPr>
        <w:t xml:space="preserve">On April 26, 2021, </w:t>
      </w:r>
      <w:r w:rsidR="00CE48A4" w:rsidRPr="008E7712">
        <w:rPr>
          <w:szCs w:val="26"/>
        </w:rPr>
        <w:t xml:space="preserve">the </w:t>
      </w:r>
      <w:r w:rsidRPr="008E7712">
        <w:rPr>
          <w:szCs w:val="26"/>
        </w:rPr>
        <w:t xml:space="preserve">I&amp;E filed a Notice of Appearance in both general base rate filing proceedings. </w:t>
      </w:r>
      <w:r w:rsidR="00AE4188" w:rsidRPr="008E7712">
        <w:rPr>
          <w:szCs w:val="26"/>
        </w:rPr>
        <w:t xml:space="preserve"> </w:t>
      </w:r>
    </w:p>
    <w:p w14:paraId="073B8514" w14:textId="77777777" w:rsidR="00694675" w:rsidRPr="008E7712" w:rsidRDefault="00694675" w:rsidP="00EB7CBC">
      <w:pPr>
        <w:ind w:firstLine="1440"/>
        <w:rPr>
          <w:szCs w:val="26"/>
        </w:rPr>
      </w:pPr>
    </w:p>
    <w:p w14:paraId="1E3281D4" w14:textId="006C6D9E" w:rsidR="00694675" w:rsidRPr="008E7712" w:rsidRDefault="00444FD9" w:rsidP="00EB7CBC">
      <w:pPr>
        <w:ind w:firstLine="1440"/>
        <w:rPr>
          <w:szCs w:val="26"/>
        </w:rPr>
      </w:pPr>
      <w:r w:rsidRPr="008E7712">
        <w:rPr>
          <w:szCs w:val="26"/>
        </w:rPr>
        <w:t>On May 6, 2021, pursuant to 66 Pa. C.S. § 1308(d)</w:t>
      </w:r>
      <w:r w:rsidR="00D46F35" w:rsidRPr="008E7712">
        <w:rPr>
          <w:szCs w:val="26"/>
        </w:rPr>
        <w:t xml:space="preserve"> of the Public Utility Code (Code)</w:t>
      </w:r>
      <w:r w:rsidRPr="008E7712">
        <w:rPr>
          <w:szCs w:val="26"/>
        </w:rPr>
        <w:t xml:space="preserve">, the Commission suspended both rate filings by operation of law until January 12, 2022, unless permitted by Commission Order to become effective at an earlier date. </w:t>
      </w:r>
      <w:r w:rsidR="00AE4188" w:rsidRPr="008E7712">
        <w:rPr>
          <w:szCs w:val="26"/>
        </w:rPr>
        <w:t xml:space="preserve"> </w:t>
      </w:r>
      <w:r w:rsidRPr="008E7712">
        <w:rPr>
          <w:szCs w:val="26"/>
        </w:rPr>
        <w:t>On May 7, 2021, the</w:t>
      </w:r>
      <w:r w:rsidR="00CE48A4" w:rsidRPr="008E7712">
        <w:rPr>
          <w:szCs w:val="26"/>
        </w:rPr>
        <w:t xml:space="preserve"> </w:t>
      </w:r>
      <w:r w:rsidRPr="008E7712">
        <w:rPr>
          <w:szCs w:val="26"/>
        </w:rPr>
        <w:t xml:space="preserve">OCA filed Formal Complaints against both general base rate requests. </w:t>
      </w:r>
      <w:r w:rsidR="00AE4188" w:rsidRPr="008E7712">
        <w:rPr>
          <w:szCs w:val="26"/>
        </w:rPr>
        <w:t xml:space="preserve"> </w:t>
      </w:r>
    </w:p>
    <w:p w14:paraId="52886E1C" w14:textId="77777777" w:rsidR="00694675" w:rsidRPr="008E7712" w:rsidRDefault="00694675" w:rsidP="00EB7CBC">
      <w:pPr>
        <w:ind w:firstLine="1440"/>
        <w:rPr>
          <w:szCs w:val="26"/>
        </w:rPr>
      </w:pPr>
    </w:p>
    <w:p w14:paraId="0EC5B100" w14:textId="3AB7CF72" w:rsidR="00694675" w:rsidRPr="008E7712" w:rsidRDefault="00444FD9" w:rsidP="00EB7CBC">
      <w:pPr>
        <w:ind w:firstLine="1440"/>
        <w:rPr>
          <w:szCs w:val="26"/>
        </w:rPr>
      </w:pPr>
      <w:r w:rsidRPr="008E7712">
        <w:rPr>
          <w:szCs w:val="26"/>
        </w:rPr>
        <w:lastRenderedPageBreak/>
        <w:t xml:space="preserve">On May 13, 2021, a telephonic prehearing conference was </w:t>
      </w:r>
      <w:r w:rsidR="00630CD2" w:rsidRPr="008E7712">
        <w:rPr>
          <w:szCs w:val="26"/>
        </w:rPr>
        <w:t>held,</w:t>
      </w:r>
      <w:r w:rsidRPr="008E7712">
        <w:rPr>
          <w:szCs w:val="26"/>
        </w:rPr>
        <w:t xml:space="preserve"> and </w:t>
      </w:r>
      <w:r w:rsidR="00226207" w:rsidRPr="008E7712">
        <w:rPr>
          <w:szCs w:val="26"/>
        </w:rPr>
        <w:t xml:space="preserve">a </w:t>
      </w:r>
      <w:r w:rsidRPr="008E7712">
        <w:rPr>
          <w:szCs w:val="26"/>
        </w:rPr>
        <w:t xml:space="preserve">procedural schedule was adopted. </w:t>
      </w:r>
      <w:r w:rsidR="00AE4188" w:rsidRPr="008E7712">
        <w:rPr>
          <w:szCs w:val="26"/>
        </w:rPr>
        <w:t xml:space="preserve"> </w:t>
      </w:r>
      <w:r w:rsidRPr="008E7712">
        <w:rPr>
          <w:szCs w:val="26"/>
        </w:rPr>
        <w:t xml:space="preserve">On June 1, 2021, </w:t>
      </w:r>
      <w:r w:rsidR="00AB733D">
        <w:rPr>
          <w:szCs w:val="26"/>
        </w:rPr>
        <w:t xml:space="preserve">the </w:t>
      </w:r>
      <w:r w:rsidRPr="008E7712">
        <w:rPr>
          <w:szCs w:val="26"/>
        </w:rPr>
        <w:t xml:space="preserve">ALJ consolidated the rate proceedings for hearing and adjudication. </w:t>
      </w:r>
      <w:r w:rsidR="00AE4188" w:rsidRPr="008E7712">
        <w:rPr>
          <w:szCs w:val="26"/>
        </w:rPr>
        <w:t xml:space="preserve"> </w:t>
      </w:r>
    </w:p>
    <w:p w14:paraId="3DD147A5" w14:textId="77777777" w:rsidR="00755178" w:rsidRPr="008E7712" w:rsidRDefault="00755178" w:rsidP="00EB7CBC">
      <w:pPr>
        <w:ind w:firstLine="1440"/>
        <w:rPr>
          <w:szCs w:val="26"/>
        </w:rPr>
      </w:pPr>
    </w:p>
    <w:p w14:paraId="0C602C21" w14:textId="77777777" w:rsidR="00694675" w:rsidRPr="008E7712" w:rsidRDefault="00444FD9" w:rsidP="00EB7CBC">
      <w:pPr>
        <w:ind w:firstLine="1440"/>
        <w:rPr>
          <w:szCs w:val="26"/>
        </w:rPr>
      </w:pPr>
      <w:r w:rsidRPr="008E7712">
        <w:rPr>
          <w:szCs w:val="26"/>
        </w:rPr>
        <w:t xml:space="preserve">On or about June 16, 2021, the Commission’s Secretary’s Bureau began serving customer complaints received for filing.  Approximately 100 similar form complaints against the proposed rate increases were filed. </w:t>
      </w:r>
      <w:r w:rsidR="00AE4188" w:rsidRPr="008E7712">
        <w:rPr>
          <w:szCs w:val="26"/>
        </w:rPr>
        <w:t xml:space="preserve"> </w:t>
      </w:r>
    </w:p>
    <w:p w14:paraId="1912DA47" w14:textId="77777777" w:rsidR="00694675" w:rsidRPr="008E7712" w:rsidRDefault="00694675" w:rsidP="00EB7CBC">
      <w:pPr>
        <w:ind w:firstLine="1440"/>
        <w:rPr>
          <w:szCs w:val="26"/>
        </w:rPr>
      </w:pPr>
    </w:p>
    <w:p w14:paraId="0D6745E8" w14:textId="5A9DDA5C" w:rsidR="00694675" w:rsidRPr="008E7712" w:rsidRDefault="00444FD9" w:rsidP="00EB7CBC">
      <w:pPr>
        <w:ind w:firstLine="1440"/>
        <w:rPr>
          <w:szCs w:val="26"/>
        </w:rPr>
      </w:pPr>
      <w:r w:rsidRPr="008E7712">
        <w:rPr>
          <w:szCs w:val="26"/>
        </w:rPr>
        <w:t xml:space="preserve">On June 29, 2021, a telephonic public input hearing was held. </w:t>
      </w:r>
      <w:r w:rsidR="00AE4188" w:rsidRPr="008E7712">
        <w:rPr>
          <w:szCs w:val="26"/>
        </w:rPr>
        <w:t xml:space="preserve"> </w:t>
      </w:r>
      <w:r w:rsidRPr="008E7712">
        <w:rPr>
          <w:szCs w:val="26"/>
        </w:rPr>
        <w:t>On July</w:t>
      </w:r>
      <w:r w:rsidR="003022B2" w:rsidRPr="008E7712">
        <w:rPr>
          <w:szCs w:val="26"/>
        </w:rPr>
        <w:t> </w:t>
      </w:r>
      <w:r w:rsidRPr="008E7712">
        <w:rPr>
          <w:szCs w:val="26"/>
        </w:rPr>
        <w:t>22,</w:t>
      </w:r>
      <w:r w:rsidR="003022B2" w:rsidRPr="008E7712">
        <w:rPr>
          <w:szCs w:val="26"/>
        </w:rPr>
        <w:t> </w:t>
      </w:r>
      <w:r w:rsidRPr="008E7712">
        <w:rPr>
          <w:szCs w:val="26"/>
        </w:rPr>
        <w:t xml:space="preserve">2021, Chief ALJ Rainey issued an Order approving </w:t>
      </w:r>
      <w:r w:rsidR="008B1FC9" w:rsidRPr="008E7712">
        <w:rPr>
          <w:szCs w:val="26"/>
        </w:rPr>
        <w:t xml:space="preserve">the </w:t>
      </w:r>
      <w:r w:rsidR="00790D50" w:rsidRPr="008E7712">
        <w:rPr>
          <w:szCs w:val="26"/>
        </w:rPr>
        <w:t>Joint Petitioners</w:t>
      </w:r>
      <w:r w:rsidR="00694675" w:rsidRPr="008E7712">
        <w:rPr>
          <w:szCs w:val="26"/>
        </w:rPr>
        <w:t>’</w:t>
      </w:r>
      <w:r w:rsidRPr="008E7712">
        <w:rPr>
          <w:szCs w:val="26"/>
        </w:rPr>
        <w:t xml:space="preserve"> request for extension of procedural schedule, which extended the statutory suspension period from January 12, 2022</w:t>
      </w:r>
      <w:r w:rsidR="00226207" w:rsidRPr="008E7712">
        <w:rPr>
          <w:szCs w:val="26"/>
        </w:rPr>
        <w:t>,</w:t>
      </w:r>
      <w:r w:rsidRPr="008E7712">
        <w:rPr>
          <w:szCs w:val="26"/>
        </w:rPr>
        <w:t xml:space="preserve"> to February 18, 2022</w:t>
      </w:r>
      <w:r w:rsidR="00226207" w:rsidRPr="008E7712">
        <w:rPr>
          <w:szCs w:val="26"/>
        </w:rPr>
        <w:t>,</w:t>
      </w:r>
      <w:r w:rsidRPr="008E7712">
        <w:rPr>
          <w:szCs w:val="26"/>
        </w:rPr>
        <w:t xml:space="preserve"> and </w:t>
      </w:r>
      <w:r w:rsidR="00226207" w:rsidRPr="008E7712">
        <w:rPr>
          <w:szCs w:val="26"/>
        </w:rPr>
        <w:t>which permit</w:t>
      </w:r>
      <w:r w:rsidR="00EB0B04" w:rsidRPr="008E7712">
        <w:rPr>
          <w:szCs w:val="26"/>
        </w:rPr>
        <w:t>s</w:t>
      </w:r>
      <w:r w:rsidRPr="008E7712">
        <w:rPr>
          <w:szCs w:val="26"/>
        </w:rPr>
        <w:t xml:space="preserve"> CUPA to recover any rate increase granted in these proceedings back to the original suspension date of January</w:t>
      </w:r>
      <w:r w:rsidR="003022B2" w:rsidRPr="008E7712">
        <w:rPr>
          <w:szCs w:val="26"/>
        </w:rPr>
        <w:t> </w:t>
      </w:r>
      <w:r w:rsidRPr="008E7712">
        <w:rPr>
          <w:szCs w:val="26"/>
        </w:rPr>
        <w:t>12,</w:t>
      </w:r>
      <w:r w:rsidR="003022B2" w:rsidRPr="008E7712">
        <w:rPr>
          <w:szCs w:val="26"/>
        </w:rPr>
        <w:t> </w:t>
      </w:r>
      <w:r w:rsidRPr="008E7712">
        <w:rPr>
          <w:szCs w:val="26"/>
        </w:rPr>
        <w:t>2022.</w:t>
      </w:r>
      <w:r w:rsidR="00C613A1" w:rsidRPr="008E7712">
        <w:rPr>
          <w:rStyle w:val="FootnoteReference"/>
          <w:szCs w:val="26"/>
        </w:rPr>
        <w:footnoteReference w:id="5"/>
      </w:r>
    </w:p>
    <w:p w14:paraId="48ECAB8F" w14:textId="77777777" w:rsidR="00694675" w:rsidRPr="008E7712" w:rsidRDefault="00694675" w:rsidP="00EB7CBC">
      <w:pPr>
        <w:ind w:firstLine="1440"/>
        <w:rPr>
          <w:szCs w:val="26"/>
        </w:rPr>
      </w:pPr>
    </w:p>
    <w:p w14:paraId="270E3539" w14:textId="072CC3EB" w:rsidR="00694675" w:rsidRPr="008E7712" w:rsidRDefault="00444FD9" w:rsidP="00EB7CBC">
      <w:pPr>
        <w:ind w:firstLine="1440"/>
        <w:rPr>
          <w:szCs w:val="26"/>
        </w:rPr>
      </w:pPr>
      <w:r w:rsidRPr="008E7712">
        <w:rPr>
          <w:szCs w:val="26"/>
        </w:rPr>
        <w:t>On July 23, 2021, a revised procedural schedule</w:t>
      </w:r>
      <w:r w:rsidR="00AB733D">
        <w:rPr>
          <w:szCs w:val="26"/>
        </w:rPr>
        <w:t xml:space="preserve"> was issued</w:t>
      </w:r>
      <w:r w:rsidR="00694675" w:rsidRPr="008E7712">
        <w:rPr>
          <w:szCs w:val="26"/>
        </w:rPr>
        <w:t xml:space="preserve"> and o</w:t>
      </w:r>
      <w:r w:rsidRPr="008E7712">
        <w:rPr>
          <w:szCs w:val="26"/>
        </w:rPr>
        <w:t>n August</w:t>
      </w:r>
      <w:r w:rsidR="00473092">
        <w:rPr>
          <w:szCs w:val="26"/>
        </w:rPr>
        <w:t> </w:t>
      </w:r>
      <w:r w:rsidRPr="008E7712">
        <w:rPr>
          <w:szCs w:val="26"/>
        </w:rPr>
        <w:t>31, 2021, a Protective Order</w:t>
      </w:r>
      <w:r w:rsidR="00AB733D">
        <w:rPr>
          <w:szCs w:val="26"/>
        </w:rPr>
        <w:t xml:space="preserve"> was issued</w:t>
      </w:r>
      <w:r w:rsidRPr="008E7712">
        <w:rPr>
          <w:szCs w:val="26"/>
        </w:rPr>
        <w:t xml:space="preserve">. </w:t>
      </w:r>
      <w:r w:rsidR="00AE4188" w:rsidRPr="008E7712">
        <w:rPr>
          <w:szCs w:val="26"/>
        </w:rPr>
        <w:t xml:space="preserve"> </w:t>
      </w:r>
    </w:p>
    <w:p w14:paraId="4E2D9E61" w14:textId="77777777" w:rsidR="00694675" w:rsidRPr="008E7712" w:rsidRDefault="00694675" w:rsidP="00EB7CBC">
      <w:pPr>
        <w:ind w:firstLine="1440"/>
        <w:rPr>
          <w:szCs w:val="26"/>
        </w:rPr>
      </w:pPr>
    </w:p>
    <w:p w14:paraId="09617280" w14:textId="7F704707" w:rsidR="00694675" w:rsidRPr="008E7712" w:rsidRDefault="00444FD9" w:rsidP="00EB7CBC">
      <w:pPr>
        <w:ind w:firstLine="1440"/>
        <w:rPr>
          <w:szCs w:val="26"/>
        </w:rPr>
      </w:pPr>
      <w:r w:rsidRPr="008E7712">
        <w:rPr>
          <w:szCs w:val="26"/>
        </w:rPr>
        <w:t xml:space="preserve">On September 8, 2021, an evidentiary hearing was held.  All of the Joint </w:t>
      </w:r>
      <w:proofErr w:type="gramStart"/>
      <w:r w:rsidRPr="008E7712">
        <w:rPr>
          <w:szCs w:val="26"/>
        </w:rPr>
        <w:t>Petitioners</w:t>
      </w:r>
      <w:r w:rsidR="00694675" w:rsidRPr="008E7712">
        <w:rPr>
          <w:szCs w:val="26"/>
        </w:rPr>
        <w:t>’</w:t>
      </w:r>
      <w:proofErr w:type="gramEnd"/>
      <w:r w:rsidRPr="008E7712">
        <w:rPr>
          <w:szCs w:val="26"/>
        </w:rPr>
        <w:t xml:space="preserve"> pre</w:t>
      </w:r>
      <w:r w:rsidR="00694675" w:rsidRPr="008E7712">
        <w:rPr>
          <w:szCs w:val="26"/>
        </w:rPr>
        <w:t>-</w:t>
      </w:r>
      <w:r w:rsidRPr="008E7712">
        <w:rPr>
          <w:szCs w:val="26"/>
        </w:rPr>
        <w:t>served testimony and exhibits with accompanying verifications were entered into the record, as reflected in Joint Hearing Exhibit 1 (amended September</w:t>
      </w:r>
      <w:r w:rsidR="00BB572A" w:rsidRPr="008E7712">
        <w:rPr>
          <w:szCs w:val="26"/>
        </w:rPr>
        <w:t> </w:t>
      </w:r>
      <w:r w:rsidRPr="008E7712">
        <w:rPr>
          <w:szCs w:val="26"/>
        </w:rPr>
        <w:t>10,</w:t>
      </w:r>
      <w:r w:rsidR="00BB572A" w:rsidRPr="008E7712">
        <w:rPr>
          <w:szCs w:val="26"/>
        </w:rPr>
        <w:t> </w:t>
      </w:r>
      <w:r w:rsidRPr="008E7712">
        <w:rPr>
          <w:szCs w:val="26"/>
        </w:rPr>
        <w:t xml:space="preserve">2021) and memorialized in an Order dated September 10, 2021. </w:t>
      </w:r>
      <w:r w:rsidR="00AE4188" w:rsidRPr="008E7712">
        <w:rPr>
          <w:szCs w:val="26"/>
        </w:rPr>
        <w:t xml:space="preserve"> </w:t>
      </w:r>
      <w:r w:rsidRPr="008E7712">
        <w:rPr>
          <w:szCs w:val="26"/>
        </w:rPr>
        <w:t xml:space="preserve">On September 28, 2021, </w:t>
      </w:r>
      <w:r w:rsidR="00AB733D">
        <w:rPr>
          <w:szCs w:val="26"/>
        </w:rPr>
        <w:t xml:space="preserve">the </w:t>
      </w:r>
      <w:r w:rsidRPr="008E7712">
        <w:rPr>
          <w:szCs w:val="26"/>
        </w:rPr>
        <w:t>ALJ granted CUPA’s unopposed motion and admitted CUPA W</w:t>
      </w:r>
      <w:r w:rsidR="00510347">
        <w:rPr>
          <w:szCs w:val="26"/>
        </w:rPr>
        <w:t> </w:t>
      </w:r>
      <w:r w:rsidRPr="008E7712">
        <w:rPr>
          <w:szCs w:val="26"/>
        </w:rPr>
        <w:t xml:space="preserve">Exhibit 1-T with </w:t>
      </w:r>
      <w:r w:rsidR="00694675" w:rsidRPr="008E7712">
        <w:rPr>
          <w:szCs w:val="26"/>
        </w:rPr>
        <w:t xml:space="preserve">an </w:t>
      </w:r>
      <w:r w:rsidRPr="008E7712">
        <w:rPr>
          <w:szCs w:val="26"/>
        </w:rPr>
        <w:t xml:space="preserve">accompanying verification. </w:t>
      </w:r>
      <w:r w:rsidR="00AE4188" w:rsidRPr="008E7712">
        <w:rPr>
          <w:szCs w:val="26"/>
        </w:rPr>
        <w:t xml:space="preserve"> </w:t>
      </w:r>
    </w:p>
    <w:p w14:paraId="0D04D111" w14:textId="77777777" w:rsidR="00694675" w:rsidRPr="008E7712" w:rsidRDefault="00694675" w:rsidP="00EB7CBC">
      <w:pPr>
        <w:ind w:firstLine="1440"/>
        <w:rPr>
          <w:szCs w:val="26"/>
        </w:rPr>
      </w:pPr>
    </w:p>
    <w:p w14:paraId="09796533" w14:textId="7B10EDB0" w:rsidR="00444FD9" w:rsidRPr="008E7712" w:rsidRDefault="00444FD9" w:rsidP="00EB7CBC">
      <w:pPr>
        <w:ind w:firstLine="1440"/>
        <w:rPr>
          <w:szCs w:val="26"/>
        </w:rPr>
      </w:pPr>
      <w:r w:rsidRPr="008E7712">
        <w:rPr>
          <w:szCs w:val="26"/>
        </w:rPr>
        <w:lastRenderedPageBreak/>
        <w:t>On September 30, 2021</w:t>
      </w:r>
      <w:r w:rsidR="00AB733D">
        <w:rPr>
          <w:szCs w:val="26"/>
        </w:rPr>
        <w:t>,</w:t>
      </w:r>
      <w:r w:rsidRPr="008E7712">
        <w:rPr>
          <w:szCs w:val="26"/>
        </w:rPr>
        <w:t xml:space="preserve"> a notice of telephonic post-hearing conference</w:t>
      </w:r>
      <w:r w:rsidR="00AB733D">
        <w:rPr>
          <w:szCs w:val="26"/>
        </w:rPr>
        <w:t xml:space="preserve"> was issued</w:t>
      </w:r>
      <w:r w:rsidRPr="008E7712">
        <w:rPr>
          <w:szCs w:val="26"/>
        </w:rPr>
        <w:t xml:space="preserve">. </w:t>
      </w:r>
      <w:r w:rsidR="00AE4188" w:rsidRPr="008E7712">
        <w:rPr>
          <w:szCs w:val="26"/>
        </w:rPr>
        <w:t xml:space="preserve"> </w:t>
      </w:r>
      <w:r w:rsidRPr="008E7712">
        <w:rPr>
          <w:szCs w:val="26"/>
        </w:rPr>
        <w:t>On October 4, 2021</w:t>
      </w:r>
      <w:r w:rsidR="00EB0B04" w:rsidRPr="008E7712">
        <w:rPr>
          <w:szCs w:val="26"/>
        </w:rPr>
        <w:t>,</w:t>
      </w:r>
      <w:r w:rsidRPr="008E7712">
        <w:rPr>
          <w:szCs w:val="26"/>
        </w:rPr>
        <w:t xml:space="preserve"> the date for filing a Joint Petition for Settlement </w:t>
      </w:r>
      <w:r w:rsidR="00167058">
        <w:rPr>
          <w:szCs w:val="26"/>
        </w:rPr>
        <w:t xml:space="preserve">was extended </w:t>
      </w:r>
      <w:r w:rsidRPr="008E7712">
        <w:rPr>
          <w:szCs w:val="26"/>
        </w:rPr>
        <w:t xml:space="preserve">to October 12, 2021. </w:t>
      </w:r>
      <w:r w:rsidR="00AE4188" w:rsidRPr="008E7712">
        <w:rPr>
          <w:szCs w:val="26"/>
        </w:rPr>
        <w:t xml:space="preserve"> </w:t>
      </w:r>
      <w:r w:rsidRPr="008E7712">
        <w:rPr>
          <w:szCs w:val="26"/>
        </w:rPr>
        <w:t xml:space="preserve">On October 5, 2021, a telephonic post-hearing conference was held. </w:t>
      </w:r>
      <w:r w:rsidR="00AE4188" w:rsidRPr="008E7712">
        <w:rPr>
          <w:szCs w:val="26"/>
        </w:rPr>
        <w:t xml:space="preserve"> </w:t>
      </w:r>
      <w:r w:rsidRPr="008E7712">
        <w:rPr>
          <w:szCs w:val="26"/>
        </w:rPr>
        <w:t xml:space="preserve">On October 12, 2021, CUPA and the active </w:t>
      </w:r>
      <w:r w:rsidR="00EB0B04" w:rsidRPr="008E7712">
        <w:rPr>
          <w:szCs w:val="26"/>
        </w:rPr>
        <w:t>P</w:t>
      </w:r>
      <w:r w:rsidRPr="008E7712">
        <w:rPr>
          <w:szCs w:val="26"/>
        </w:rPr>
        <w:t xml:space="preserve">arties filed a Joint Petition for Settlement, which proposes to resolve all issues raised in this proceeding with accompanying statements in support from each of the Joint Petitioners. </w:t>
      </w:r>
    </w:p>
    <w:p w14:paraId="10F03D54" w14:textId="10E4C583" w:rsidR="00BF6F01" w:rsidRPr="008E7712" w:rsidRDefault="00BF6F01" w:rsidP="00EB7CBC">
      <w:pPr>
        <w:rPr>
          <w:szCs w:val="26"/>
        </w:rPr>
      </w:pPr>
    </w:p>
    <w:p w14:paraId="70BD24A1" w14:textId="08FDF864" w:rsidR="00181449" w:rsidRPr="008E7712" w:rsidRDefault="00181449" w:rsidP="008507B7">
      <w:pPr>
        <w:kinsoku w:val="0"/>
        <w:overflowPunct w:val="0"/>
        <w:ind w:left="72" w:right="576" w:firstLine="1368"/>
        <w:textAlignment w:val="baseline"/>
        <w:rPr>
          <w:rFonts w:eastAsiaTheme="minorEastAsia"/>
          <w:szCs w:val="26"/>
        </w:rPr>
      </w:pPr>
      <w:r w:rsidRPr="008E7712">
        <w:rPr>
          <w:rFonts w:eastAsiaTheme="minorEastAsia"/>
          <w:szCs w:val="26"/>
        </w:rPr>
        <w:t>On October 2</w:t>
      </w:r>
      <w:r w:rsidR="001B0A42">
        <w:rPr>
          <w:rFonts w:eastAsiaTheme="minorEastAsia"/>
          <w:szCs w:val="26"/>
        </w:rPr>
        <w:t>2</w:t>
      </w:r>
      <w:r w:rsidRPr="008E7712">
        <w:rPr>
          <w:rFonts w:eastAsiaTheme="minorEastAsia"/>
          <w:szCs w:val="26"/>
        </w:rPr>
        <w:t>, 2021, Complainant</w:t>
      </w:r>
      <w:r w:rsidR="003455C1">
        <w:rPr>
          <w:rFonts w:eastAsiaTheme="minorEastAsia"/>
          <w:szCs w:val="26"/>
        </w:rPr>
        <w:t>s</w:t>
      </w:r>
      <w:r w:rsidRPr="008E7712">
        <w:rPr>
          <w:rFonts w:eastAsiaTheme="minorEastAsia"/>
          <w:szCs w:val="26"/>
        </w:rPr>
        <w:t xml:space="preserve"> Bryan </w:t>
      </w:r>
      <w:proofErr w:type="gramStart"/>
      <w:r w:rsidRPr="008E7712">
        <w:rPr>
          <w:rFonts w:eastAsiaTheme="minorEastAsia"/>
          <w:szCs w:val="26"/>
        </w:rPr>
        <w:t>Donnelly</w:t>
      </w:r>
      <w:proofErr w:type="gramEnd"/>
      <w:r w:rsidRPr="008E7712">
        <w:rPr>
          <w:rFonts w:eastAsiaTheme="minorEastAsia"/>
          <w:szCs w:val="26"/>
        </w:rPr>
        <w:t xml:space="preserve"> </w:t>
      </w:r>
      <w:r w:rsidR="00F3656B">
        <w:rPr>
          <w:rFonts w:eastAsiaTheme="minorEastAsia"/>
          <w:szCs w:val="26"/>
        </w:rPr>
        <w:t xml:space="preserve">and </w:t>
      </w:r>
      <w:r w:rsidR="003455C1" w:rsidRPr="008E7712">
        <w:rPr>
          <w:rFonts w:eastAsiaTheme="minorEastAsia"/>
          <w:szCs w:val="26"/>
        </w:rPr>
        <w:t>Mona</w:t>
      </w:r>
      <w:r w:rsidR="00346E70">
        <w:rPr>
          <w:rFonts w:eastAsiaTheme="minorEastAsia"/>
          <w:szCs w:val="26"/>
        </w:rPr>
        <w:t> </w:t>
      </w:r>
      <w:proofErr w:type="spellStart"/>
      <w:r w:rsidR="00F3656B" w:rsidRPr="008E7712">
        <w:rPr>
          <w:rFonts w:eastAsiaTheme="minorEastAsia"/>
          <w:szCs w:val="26"/>
        </w:rPr>
        <w:t>Annicaro</w:t>
      </w:r>
      <w:proofErr w:type="spellEnd"/>
      <w:r w:rsidR="00F3656B" w:rsidRPr="008E7712">
        <w:rPr>
          <w:rFonts w:eastAsiaTheme="minorEastAsia"/>
          <w:szCs w:val="26"/>
        </w:rPr>
        <w:t xml:space="preserve"> each filed </w:t>
      </w:r>
      <w:r w:rsidRPr="008E7712">
        <w:rPr>
          <w:rFonts w:eastAsiaTheme="minorEastAsia"/>
          <w:szCs w:val="26"/>
        </w:rPr>
        <w:t>a formal Objection</w:t>
      </w:r>
      <w:r w:rsidRPr="008E7712">
        <w:rPr>
          <w:rFonts w:eastAsiaTheme="minorEastAsia"/>
          <w:i/>
          <w:iCs/>
          <w:szCs w:val="26"/>
        </w:rPr>
        <w:t xml:space="preserve"> </w:t>
      </w:r>
      <w:r w:rsidRPr="008E7712">
        <w:rPr>
          <w:rFonts w:eastAsiaTheme="minorEastAsia"/>
          <w:szCs w:val="26"/>
        </w:rPr>
        <w:t>to the proposed Settlement.  On October</w:t>
      </w:r>
      <w:r w:rsidR="00346E70">
        <w:rPr>
          <w:rFonts w:eastAsiaTheme="minorEastAsia"/>
          <w:szCs w:val="26"/>
        </w:rPr>
        <w:t> </w:t>
      </w:r>
      <w:r w:rsidRPr="008E7712">
        <w:rPr>
          <w:rFonts w:eastAsiaTheme="minorEastAsia"/>
          <w:szCs w:val="26"/>
        </w:rPr>
        <w:t>2</w:t>
      </w:r>
      <w:r w:rsidR="003455C1">
        <w:rPr>
          <w:rFonts w:eastAsiaTheme="minorEastAsia"/>
          <w:szCs w:val="26"/>
        </w:rPr>
        <w:t>5</w:t>
      </w:r>
      <w:r w:rsidRPr="008E7712">
        <w:rPr>
          <w:rFonts w:eastAsiaTheme="minorEastAsia"/>
          <w:szCs w:val="26"/>
        </w:rPr>
        <w:t xml:space="preserve">, 2021, Complainant </w:t>
      </w:r>
      <w:proofErr w:type="spellStart"/>
      <w:r w:rsidRPr="008E7712">
        <w:rPr>
          <w:rFonts w:eastAsiaTheme="minorEastAsia"/>
          <w:szCs w:val="26"/>
        </w:rPr>
        <w:t>Yajaida</w:t>
      </w:r>
      <w:proofErr w:type="spellEnd"/>
      <w:r w:rsidRPr="008E7712">
        <w:rPr>
          <w:rFonts w:eastAsiaTheme="minorEastAsia"/>
          <w:szCs w:val="26"/>
        </w:rPr>
        <w:t xml:space="preserve"> Rodriguez filed a formal Objection to the proposed Settlement.</w:t>
      </w:r>
      <w:r w:rsidR="00691417" w:rsidRPr="008E7712">
        <w:rPr>
          <w:rStyle w:val="FootnoteReference"/>
          <w:rFonts w:eastAsiaTheme="minorEastAsia"/>
          <w:szCs w:val="26"/>
        </w:rPr>
        <w:footnoteReference w:id="6"/>
      </w:r>
    </w:p>
    <w:p w14:paraId="23331BF7" w14:textId="77777777" w:rsidR="00181449" w:rsidRPr="008E7712" w:rsidRDefault="00181449" w:rsidP="008507B7">
      <w:pPr>
        <w:widowControl w:val="0"/>
        <w:kinsoku w:val="0"/>
        <w:overflowPunct w:val="0"/>
        <w:ind w:left="72" w:right="144" w:firstLine="720"/>
        <w:textAlignment w:val="baseline"/>
        <w:rPr>
          <w:rFonts w:eastAsiaTheme="minorEastAsia"/>
          <w:szCs w:val="26"/>
        </w:rPr>
      </w:pPr>
    </w:p>
    <w:p w14:paraId="7AC4A6B9" w14:textId="537B6775" w:rsidR="00181449" w:rsidRPr="008E7712" w:rsidRDefault="00181449" w:rsidP="008507B7">
      <w:pPr>
        <w:ind w:firstLine="1440"/>
        <w:rPr>
          <w:rFonts w:eastAsiaTheme="minorEastAsia"/>
          <w:spacing w:val="-1"/>
          <w:szCs w:val="26"/>
        </w:rPr>
      </w:pPr>
      <w:r w:rsidRPr="008E7712">
        <w:rPr>
          <w:rFonts w:eastAsiaTheme="minorEastAsia"/>
          <w:spacing w:val="-1"/>
          <w:szCs w:val="26"/>
        </w:rPr>
        <w:t xml:space="preserve">On November </w:t>
      </w:r>
      <w:r w:rsidR="007F7D09" w:rsidRPr="008E7712">
        <w:rPr>
          <w:rFonts w:eastAsiaTheme="minorEastAsia"/>
          <w:spacing w:val="-1"/>
          <w:szCs w:val="26"/>
        </w:rPr>
        <w:t>10</w:t>
      </w:r>
      <w:r w:rsidRPr="008E7712">
        <w:rPr>
          <w:rFonts w:eastAsiaTheme="minorEastAsia"/>
          <w:spacing w:val="-1"/>
          <w:szCs w:val="26"/>
        </w:rPr>
        <w:t xml:space="preserve">, 2021, </w:t>
      </w:r>
      <w:r w:rsidR="00167058">
        <w:rPr>
          <w:rFonts w:eastAsiaTheme="minorEastAsia"/>
          <w:spacing w:val="-1"/>
          <w:szCs w:val="26"/>
        </w:rPr>
        <w:t xml:space="preserve">the </w:t>
      </w:r>
      <w:r w:rsidRPr="008E7712">
        <w:rPr>
          <w:rFonts w:eastAsiaTheme="minorEastAsia"/>
          <w:spacing w:val="-1"/>
          <w:szCs w:val="26"/>
        </w:rPr>
        <w:t>ALJ issued an Order Rejecting the Proposed Joint Settlement and Certifying a Material Question to the Commission</w:t>
      </w:r>
      <w:r w:rsidR="003F26C3" w:rsidRPr="008E7712">
        <w:rPr>
          <w:rFonts w:eastAsiaTheme="minorEastAsia"/>
          <w:spacing w:val="-1"/>
          <w:szCs w:val="26"/>
        </w:rPr>
        <w:t>.</w:t>
      </w:r>
    </w:p>
    <w:p w14:paraId="7250FEAD" w14:textId="77777777" w:rsidR="00181449" w:rsidRPr="008E7712" w:rsidRDefault="00181449" w:rsidP="008507B7">
      <w:pPr>
        <w:ind w:firstLine="1440"/>
        <w:rPr>
          <w:spacing w:val="-1"/>
          <w:szCs w:val="26"/>
        </w:rPr>
      </w:pPr>
    </w:p>
    <w:p w14:paraId="653CF8CC" w14:textId="051F7F50" w:rsidR="00181449" w:rsidRPr="008E7712" w:rsidRDefault="00181449" w:rsidP="008507B7">
      <w:pPr>
        <w:widowControl w:val="0"/>
        <w:kinsoku w:val="0"/>
        <w:overflowPunct w:val="0"/>
        <w:ind w:left="72" w:right="144" w:firstLine="1368"/>
        <w:jc w:val="both"/>
        <w:textAlignment w:val="baseline"/>
        <w:rPr>
          <w:rFonts w:eastAsiaTheme="minorEastAsia"/>
          <w:szCs w:val="26"/>
        </w:rPr>
      </w:pPr>
      <w:r w:rsidRPr="008E7712">
        <w:rPr>
          <w:rFonts w:eastAsiaTheme="minorEastAsia"/>
          <w:szCs w:val="26"/>
        </w:rPr>
        <w:t xml:space="preserve">On November 10, 2021, CUPA filed </w:t>
      </w:r>
      <w:r w:rsidR="0040217C" w:rsidRPr="008E7712">
        <w:rPr>
          <w:rFonts w:eastAsiaTheme="minorEastAsia"/>
          <w:szCs w:val="26"/>
        </w:rPr>
        <w:t xml:space="preserve">with the Commission </w:t>
      </w:r>
      <w:r w:rsidR="007651EF" w:rsidRPr="008E7712">
        <w:rPr>
          <w:rFonts w:eastAsiaTheme="minorEastAsia"/>
          <w:szCs w:val="26"/>
        </w:rPr>
        <w:t xml:space="preserve">its </w:t>
      </w:r>
      <w:r w:rsidRPr="008E7712">
        <w:rPr>
          <w:rFonts w:eastAsiaTheme="minorEastAsia"/>
          <w:szCs w:val="26"/>
        </w:rPr>
        <w:t xml:space="preserve">Unopposed Request for Extension of Page Limits for Briefs on Material Question.  By Secretarial Letter issued on November 12, 2021, the Commission granted the brief page extension request </w:t>
      </w:r>
      <w:r w:rsidR="0040217C" w:rsidRPr="008E7712">
        <w:rPr>
          <w:rFonts w:eastAsiaTheme="minorEastAsia"/>
          <w:szCs w:val="26"/>
        </w:rPr>
        <w:t xml:space="preserve">to permit a </w:t>
      </w:r>
      <w:r w:rsidR="003F26C3" w:rsidRPr="008E7712">
        <w:rPr>
          <w:rFonts w:eastAsiaTheme="minorEastAsia"/>
          <w:szCs w:val="26"/>
        </w:rPr>
        <w:t>forty</w:t>
      </w:r>
      <w:r w:rsidR="0040217C" w:rsidRPr="008E7712">
        <w:rPr>
          <w:rFonts w:eastAsiaTheme="minorEastAsia"/>
          <w:szCs w:val="26"/>
        </w:rPr>
        <w:t xml:space="preserve">-page brief </w:t>
      </w:r>
      <w:r w:rsidRPr="008E7712">
        <w:rPr>
          <w:rFonts w:eastAsiaTheme="minorEastAsia"/>
          <w:szCs w:val="26"/>
        </w:rPr>
        <w:t xml:space="preserve">and waived the </w:t>
      </w:r>
      <w:r w:rsidR="003F26C3" w:rsidRPr="008E7712">
        <w:rPr>
          <w:rFonts w:eastAsiaTheme="minorEastAsia"/>
          <w:szCs w:val="26"/>
        </w:rPr>
        <w:t>thirty</w:t>
      </w:r>
      <w:r w:rsidRPr="008E7712">
        <w:rPr>
          <w:rFonts w:eastAsiaTheme="minorEastAsia"/>
          <w:szCs w:val="26"/>
        </w:rPr>
        <w:t xml:space="preserve">-day time period for action by the Commission on the </w:t>
      </w:r>
      <w:r w:rsidR="00154ED5" w:rsidRPr="008E7712">
        <w:rPr>
          <w:rFonts w:eastAsiaTheme="minorEastAsia"/>
          <w:szCs w:val="26"/>
        </w:rPr>
        <w:t>M</w:t>
      </w:r>
      <w:r w:rsidRPr="008E7712">
        <w:rPr>
          <w:rFonts w:eastAsiaTheme="minorEastAsia"/>
          <w:szCs w:val="26"/>
        </w:rPr>
        <w:t xml:space="preserve">aterial </w:t>
      </w:r>
      <w:r w:rsidR="00154ED5" w:rsidRPr="008E7712">
        <w:rPr>
          <w:rFonts w:eastAsiaTheme="minorEastAsia"/>
          <w:szCs w:val="26"/>
        </w:rPr>
        <w:t>Q</w:t>
      </w:r>
      <w:r w:rsidRPr="008E7712">
        <w:rPr>
          <w:rFonts w:eastAsiaTheme="minorEastAsia"/>
          <w:szCs w:val="26"/>
        </w:rPr>
        <w:t xml:space="preserve">uestion.  </w:t>
      </w:r>
    </w:p>
    <w:p w14:paraId="4D2B1ABB" w14:textId="77777777" w:rsidR="00181449" w:rsidRPr="008E7712" w:rsidRDefault="00181449" w:rsidP="008507B7">
      <w:pPr>
        <w:widowControl w:val="0"/>
        <w:kinsoku w:val="0"/>
        <w:overflowPunct w:val="0"/>
        <w:ind w:left="72" w:right="144" w:firstLine="1368"/>
        <w:textAlignment w:val="baseline"/>
        <w:rPr>
          <w:rFonts w:eastAsiaTheme="minorEastAsia"/>
          <w:szCs w:val="26"/>
        </w:rPr>
      </w:pPr>
    </w:p>
    <w:p w14:paraId="10A217FB" w14:textId="418A3F10" w:rsidR="00A04EEE" w:rsidRPr="008E7712" w:rsidRDefault="00181449" w:rsidP="008507B7">
      <w:pPr>
        <w:widowControl w:val="0"/>
        <w:kinsoku w:val="0"/>
        <w:overflowPunct w:val="0"/>
        <w:ind w:left="72" w:right="144" w:firstLine="1368"/>
        <w:textAlignment w:val="baseline"/>
        <w:rPr>
          <w:rFonts w:eastAsiaTheme="minorEastAsia"/>
          <w:szCs w:val="26"/>
        </w:rPr>
      </w:pPr>
      <w:r w:rsidRPr="008E7712">
        <w:rPr>
          <w:rFonts w:eastAsiaTheme="minorEastAsia"/>
          <w:szCs w:val="26"/>
        </w:rPr>
        <w:t xml:space="preserve">On November 16, 2021, I&amp;E, CUPA, the OCA and the OSBA filed briefs on the </w:t>
      </w:r>
      <w:r w:rsidR="00346A37" w:rsidRPr="008E7712">
        <w:rPr>
          <w:rFonts w:eastAsiaTheme="minorEastAsia"/>
          <w:szCs w:val="26"/>
        </w:rPr>
        <w:t>M</w:t>
      </w:r>
      <w:r w:rsidRPr="008E7712">
        <w:rPr>
          <w:rFonts w:eastAsiaTheme="minorEastAsia"/>
          <w:szCs w:val="26"/>
        </w:rPr>
        <w:t xml:space="preserve">aterial </w:t>
      </w:r>
      <w:r w:rsidR="00346A37" w:rsidRPr="008E7712">
        <w:rPr>
          <w:rFonts w:eastAsiaTheme="minorEastAsia"/>
          <w:szCs w:val="26"/>
        </w:rPr>
        <w:t>Q</w:t>
      </w:r>
      <w:r w:rsidRPr="008E7712">
        <w:rPr>
          <w:rFonts w:eastAsiaTheme="minorEastAsia"/>
          <w:szCs w:val="26"/>
        </w:rPr>
        <w:t xml:space="preserve">uestion </w:t>
      </w:r>
      <w:r w:rsidR="0040217C" w:rsidRPr="008E7712">
        <w:rPr>
          <w:rFonts w:eastAsiaTheme="minorEastAsia"/>
          <w:szCs w:val="26"/>
        </w:rPr>
        <w:t xml:space="preserve">presented in the </w:t>
      </w:r>
      <w:r w:rsidR="0040217C" w:rsidRPr="00BB18BC">
        <w:rPr>
          <w:rFonts w:eastAsiaTheme="minorEastAsia"/>
          <w:i/>
        </w:rPr>
        <w:t>November Order</w:t>
      </w:r>
      <w:r w:rsidR="0040217C" w:rsidRPr="008E7712">
        <w:rPr>
          <w:rFonts w:eastAsiaTheme="minorEastAsia"/>
          <w:szCs w:val="26"/>
        </w:rPr>
        <w:t xml:space="preserve">, </w:t>
      </w:r>
      <w:r w:rsidRPr="008E7712">
        <w:rPr>
          <w:rFonts w:eastAsiaTheme="minorEastAsia"/>
          <w:szCs w:val="26"/>
        </w:rPr>
        <w:t>in accordance with 52</w:t>
      </w:r>
      <w:r w:rsidR="008507B7">
        <w:rPr>
          <w:rFonts w:eastAsiaTheme="minorEastAsia"/>
          <w:szCs w:val="26"/>
        </w:rPr>
        <w:t> </w:t>
      </w:r>
      <w:r w:rsidRPr="008E7712">
        <w:rPr>
          <w:rFonts w:eastAsiaTheme="minorEastAsia"/>
          <w:szCs w:val="26"/>
        </w:rPr>
        <w:t>Pa.</w:t>
      </w:r>
      <w:r w:rsidR="008507B7">
        <w:rPr>
          <w:rFonts w:eastAsiaTheme="minorEastAsia"/>
          <w:szCs w:val="26"/>
        </w:rPr>
        <w:t> </w:t>
      </w:r>
      <w:r w:rsidRPr="008E7712">
        <w:rPr>
          <w:rFonts w:eastAsiaTheme="minorEastAsia"/>
          <w:szCs w:val="26"/>
        </w:rPr>
        <w:t>Code § 5.305(c)</w:t>
      </w:r>
      <w:r w:rsidR="0040217C" w:rsidRPr="008E7712">
        <w:rPr>
          <w:rFonts w:eastAsiaTheme="minorEastAsia"/>
          <w:szCs w:val="26"/>
        </w:rPr>
        <w:t xml:space="preserve">, therein </w:t>
      </w:r>
      <w:r w:rsidRPr="008E7712">
        <w:rPr>
          <w:rFonts w:eastAsiaTheme="minorEastAsia"/>
          <w:szCs w:val="26"/>
        </w:rPr>
        <w:t xml:space="preserve">asserting that the ALJ’s rejection of the Settlement was </w:t>
      </w:r>
      <w:r w:rsidRPr="008E7712">
        <w:rPr>
          <w:rFonts w:eastAsiaTheme="minorEastAsia"/>
          <w:szCs w:val="26"/>
        </w:rPr>
        <w:lastRenderedPageBreak/>
        <w:t xml:space="preserve">improper and requesting that the Commission approve the Settlement in its entirety, without modification. </w:t>
      </w:r>
    </w:p>
    <w:p w14:paraId="3989F1EA" w14:textId="77777777" w:rsidR="003563ED" w:rsidRPr="008E7712" w:rsidRDefault="003563ED" w:rsidP="008507B7">
      <w:pPr>
        <w:widowControl w:val="0"/>
        <w:kinsoku w:val="0"/>
        <w:overflowPunct w:val="0"/>
        <w:ind w:left="72" w:right="144" w:firstLine="1368"/>
        <w:textAlignment w:val="baseline"/>
        <w:rPr>
          <w:rFonts w:eastAsiaTheme="minorEastAsia"/>
          <w:szCs w:val="26"/>
        </w:rPr>
      </w:pPr>
    </w:p>
    <w:p w14:paraId="579203CE" w14:textId="3132DFBA" w:rsidR="00A04EEE" w:rsidRPr="008E7712" w:rsidRDefault="0089275B" w:rsidP="008507B7">
      <w:pPr>
        <w:pStyle w:val="Heading1"/>
        <w:rPr>
          <w:rFonts w:eastAsia="Calibri"/>
          <w:szCs w:val="26"/>
        </w:rPr>
      </w:pPr>
      <w:bookmarkStart w:id="4" w:name="_Toc91576488"/>
      <w:r w:rsidRPr="008E7712">
        <w:rPr>
          <w:rFonts w:eastAsia="Calibri"/>
          <w:szCs w:val="26"/>
        </w:rPr>
        <w:t>II.</w:t>
      </w:r>
      <w:r w:rsidRPr="008E7712">
        <w:rPr>
          <w:rFonts w:eastAsia="Calibri"/>
          <w:szCs w:val="26"/>
        </w:rPr>
        <w:tab/>
        <w:t>Legal Standards</w:t>
      </w:r>
      <w:bookmarkEnd w:id="4"/>
    </w:p>
    <w:p w14:paraId="07BDA2CA" w14:textId="111AC60D" w:rsidR="0089275B" w:rsidRPr="008E7712" w:rsidRDefault="0089275B" w:rsidP="008507B7">
      <w:pPr>
        <w:contextualSpacing/>
        <w:rPr>
          <w:rFonts w:eastAsia="Calibri"/>
          <w:b/>
          <w:bCs/>
          <w:szCs w:val="26"/>
        </w:rPr>
      </w:pPr>
    </w:p>
    <w:p w14:paraId="5F58C5AE" w14:textId="5AB7A1F9" w:rsidR="00AA3AFE" w:rsidRPr="008E7712" w:rsidRDefault="00AA3AFE" w:rsidP="008507B7">
      <w:pPr>
        <w:keepNext/>
        <w:tabs>
          <w:tab w:val="left" w:pos="-720"/>
        </w:tabs>
        <w:ind w:firstLine="1440"/>
        <w:contextualSpacing/>
        <w:rPr>
          <w:rFonts w:eastAsia="Calibri"/>
          <w:szCs w:val="26"/>
        </w:rPr>
      </w:pPr>
      <w:r w:rsidRPr="008E7712">
        <w:rPr>
          <w:rFonts w:eastAsia="Calibri"/>
          <w:szCs w:val="26"/>
        </w:rPr>
        <w:t>In deciding general rate increase case</w:t>
      </w:r>
      <w:r w:rsidR="003D5FB2" w:rsidRPr="008E7712">
        <w:rPr>
          <w:rFonts w:eastAsia="Calibri"/>
          <w:szCs w:val="26"/>
        </w:rPr>
        <w:t>s</w:t>
      </w:r>
      <w:r w:rsidRPr="008E7712">
        <w:rPr>
          <w:rFonts w:eastAsia="Calibri"/>
          <w:szCs w:val="26"/>
        </w:rPr>
        <w:t xml:space="preserve"> brought under Section 1308(d) of the Code, 66 Pa. C.S. § 1308(d), certain general principles always apply.  A public utility is entitled to an opportunity to earn a fair rate of return on the value of the property dedicated to public service.  </w:t>
      </w:r>
      <w:r w:rsidRPr="008E7712">
        <w:rPr>
          <w:rFonts w:eastAsia="Calibri"/>
          <w:i/>
          <w:szCs w:val="26"/>
        </w:rPr>
        <w:t>Pa. PUC v.</w:t>
      </w:r>
      <w:r w:rsidRPr="008E7712">
        <w:rPr>
          <w:rFonts w:eastAsia="Calibri"/>
          <w:szCs w:val="26"/>
        </w:rPr>
        <w:t xml:space="preserve"> </w:t>
      </w:r>
      <w:r w:rsidRPr="008E7712">
        <w:rPr>
          <w:rFonts w:eastAsia="Calibri"/>
          <w:i/>
          <w:szCs w:val="26"/>
        </w:rPr>
        <w:t>Pennsylvania Gas and Water Co.</w:t>
      </w:r>
      <w:r w:rsidRPr="008E7712">
        <w:rPr>
          <w:rFonts w:eastAsia="Calibri"/>
          <w:iCs/>
          <w:szCs w:val="26"/>
        </w:rPr>
        <w:t>,</w:t>
      </w:r>
      <w:r w:rsidRPr="008E7712">
        <w:rPr>
          <w:rFonts w:eastAsia="Calibri"/>
          <w:szCs w:val="26"/>
        </w:rPr>
        <w:t xml:space="preserve"> 341 A.2d 239, 251 (Pa. Cmwlth. 1975).  In determining a fair rate of return, the Commission is guided by the criteria provided by the United States Supreme Court in the landmark cases of </w:t>
      </w:r>
      <w:r w:rsidRPr="008E7712">
        <w:rPr>
          <w:rFonts w:eastAsia="Calibri"/>
          <w:i/>
          <w:szCs w:val="26"/>
        </w:rPr>
        <w:t>Bluefield Water Works and Improvement Co. v. Public Service Comm’n of West Virginia</w:t>
      </w:r>
      <w:r w:rsidRPr="008E7712">
        <w:rPr>
          <w:rFonts w:eastAsia="Calibri"/>
          <w:szCs w:val="26"/>
        </w:rPr>
        <w:t xml:space="preserve">, 262 U.S. 679 (1923) </w:t>
      </w:r>
      <w:r w:rsidRPr="008E7712">
        <w:rPr>
          <w:rFonts w:eastAsia="Calibri"/>
          <w:i/>
          <w:iCs/>
          <w:szCs w:val="26"/>
        </w:rPr>
        <w:t xml:space="preserve">(Bluefield) </w:t>
      </w:r>
      <w:r w:rsidRPr="008E7712">
        <w:rPr>
          <w:rFonts w:eastAsia="Calibri"/>
          <w:szCs w:val="26"/>
        </w:rPr>
        <w:t xml:space="preserve">and </w:t>
      </w:r>
      <w:r w:rsidRPr="008E7712">
        <w:rPr>
          <w:rFonts w:eastAsia="Calibri"/>
          <w:i/>
          <w:szCs w:val="26"/>
        </w:rPr>
        <w:t>Federal Power Comm’n v. Hope Natural Gas Co.</w:t>
      </w:r>
      <w:r w:rsidRPr="008E7712">
        <w:rPr>
          <w:rFonts w:eastAsia="Calibri"/>
          <w:szCs w:val="26"/>
        </w:rPr>
        <w:t xml:space="preserve">, 320 U.S. 591 (1944) </w:t>
      </w:r>
      <w:r w:rsidRPr="008E7712">
        <w:rPr>
          <w:rFonts w:eastAsia="Calibri"/>
          <w:i/>
          <w:iCs/>
          <w:szCs w:val="26"/>
        </w:rPr>
        <w:t>(Hope Natural Gas)</w:t>
      </w:r>
      <w:r w:rsidRPr="008E7712">
        <w:rPr>
          <w:rFonts w:eastAsia="Calibri"/>
          <w:szCs w:val="26"/>
        </w:rPr>
        <w:t xml:space="preserve">.  In </w:t>
      </w:r>
      <w:r w:rsidRPr="008E7712">
        <w:rPr>
          <w:rFonts w:eastAsia="Calibri"/>
          <w:i/>
          <w:szCs w:val="26"/>
        </w:rPr>
        <w:t>Bluefield</w:t>
      </w:r>
      <w:r w:rsidRPr="008E7712">
        <w:rPr>
          <w:rFonts w:eastAsia="Calibri"/>
          <w:szCs w:val="26"/>
        </w:rPr>
        <w:t>, the Court stated:</w:t>
      </w:r>
    </w:p>
    <w:p w14:paraId="6BA49640" w14:textId="77777777" w:rsidR="00AA3AFE" w:rsidRPr="008E7712" w:rsidRDefault="00AA3AFE" w:rsidP="00346E70">
      <w:pPr>
        <w:keepNext/>
        <w:tabs>
          <w:tab w:val="left" w:pos="-720"/>
        </w:tabs>
        <w:spacing w:line="240" w:lineRule="auto"/>
        <w:ind w:firstLine="1440"/>
        <w:contextualSpacing/>
        <w:rPr>
          <w:rFonts w:eastAsia="Calibri"/>
          <w:szCs w:val="26"/>
        </w:rPr>
      </w:pPr>
    </w:p>
    <w:p w14:paraId="242500A0" w14:textId="77777777" w:rsidR="00AA3AFE" w:rsidRPr="008E7712" w:rsidRDefault="00AA3AFE" w:rsidP="00AA3AFE">
      <w:pPr>
        <w:keepNext/>
        <w:spacing w:line="240" w:lineRule="auto"/>
        <w:ind w:left="1440" w:right="1440"/>
        <w:contextualSpacing/>
        <w:rPr>
          <w:rFonts w:eastAsia="Calibri"/>
          <w:szCs w:val="26"/>
        </w:rPr>
      </w:pPr>
      <w:r w:rsidRPr="008E7712">
        <w:rPr>
          <w:rFonts w:eastAsia="Calibri"/>
          <w:szCs w:val="26"/>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14:paraId="3A95B8D7" w14:textId="77777777" w:rsidR="00AA3AFE" w:rsidRPr="008E7712" w:rsidRDefault="00AA3AFE" w:rsidP="0045605F">
      <w:pPr>
        <w:keepNext/>
        <w:ind w:left="1440" w:right="1440"/>
        <w:contextualSpacing/>
        <w:rPr>
          <w:rFonts w:eastAsia="Calibri"/>
          <w:szCs w:val="26"/>
        </w:rPr>
      </w:pPr>
    </w:p>
    <w:p w14:paraId="1CE0EB39" w14:textId="77777777" w:rsidR="00AA3AFE" w:rsidRPr="008E7712" w:rsidRDefault="00AA3AFE" w:rsidP="00AD468D">
      <w:pPr>
        <w:keepNext/>
        <w:ind w:right="1440"/>
        <w:contextualSpacing/>
        <w:rPr>
          <w:rFonts w:eastAsia="Calibri"/>
          <w:szCs w:val="26"/>
        </w:rPr>
      </w:pPr>
      <w:r w:rsidRPr="008E7712">
        <w:rPr>
          <w:rFonts w:eastAsia="Calibri"/>
          <w:i/>
          <w:szCs w:val="26"/>
        </w:rPr>
        <w:t>Bluefield</w:t>
      </w:r>
      <w:r w:rsidRPr="008E7712">
        <w:rPr>
          <w:rFonts w:eastAsia="Calibri"/>
          <w:szCs w:val="26"/>
        </w:rPr>
        <w:t>, 262 U.S. at 692-693.</w:t>
      </w:r>
    </w:p>
    <w:p w14:paraId="7BAC9862" w14:textId="77777777" w:rsidR="00AA3AFE" w:rsidRPr="008E7712" w:rsidRDefault="00AA3AFE" w:rsidP="00AD468D">
      <w:pPr>
        <w:ind w:right="1440"/>
        <w:contextualSpacing/>
        <w:rPr>
          <w:rFonts w:eastAsia="Calibri"/>
          <w:szCs w:val="26"/>
        </w:rPr>
      </w:pPr>
    </w:p>
    <w:p w14:paraId="275EEE06" w14:textId="2E350914" w:rsidR="00AA3AFE" w:rsidRPr="008E7712" w:rsidRDefault="00AA3AFE" w:rsidP="00AD468D">
      <w:pPr>
        <w:tabs>
          <w:tab w:val="left" w:pos="-720"/>
        </w:tabs>
        <w:ind w:firstLine="1440"/>
        <w:contextualSpacing/>
        <w:rPr>
          <w:szCs w:val="26"/>
        </w:rPr>
      </w:pPr>
      <w:r w:rsidRPr="008E7712">
        <w:rPr>
          <w:szCs w:val="26"/>
        </w:rPr>
        <w:lastRenderedPageBreak/>
        <w:t xml:space="preserve">In addition, Section 1301(a) of the Code mandates that “[e]very rate made, demanded, or received by any public utility </w:t>
      </w:r>
      <w:r w:rsidR="003F26C3" w:rsidRPr="008E7712">
        <w:rPr>
          <w:szCs w:val="26"/>
        </w:rPr>
        <w:t xml:space="preserve">. . . </w:t>
      </w:r>
      <w:r w:rsidRPr="008E7712">
        <w:rPr>
          <w:szCs w:val="26"/>
        </w:rPr>
        <w:t xml:space="preserve"> shall be just and reasonable, and in conformity with [the] regulations or orders of the [C]ommission.”  66 Pa. C.S. § 1301(a).  Pursuant to the just and reasonable standard, a utility may obtain “a rate that allows it to recover those expenses that are reasonably necessary to provide service to its customers</w:t>
      </w:r>
      <w:r w:rsidR="0045605F">
        <w:rPr>
          <w:szCs w:val="26"/>
        </w:rPr>
        <w:t> </w:t>
      </w:r>
      <w:r w:rsidRPr="008E7712">
        <w:rPr>
          <w:szCs w:val="26"/>
        </w:rPr>
        <w:t xml:space="preserve">[,] as well as a reasonable rate of return on its investment.” </w:t>
      </w:r>
      <w:r w:rsidR="00810A4D">
        <w:rPr>
          <w:szCs w:val="26"/>
        </w:rPr>
        <w:t xml:space="preserve"> </w:t>
      </w:r>
      <w:r w:rsidRPr="008E7712">
        <w:rPr>
          <w:i/>
          <w:iCs/>
          <w:szCs w:val="26"/>
        </w:rPr>
        <w:t>City of Lancaster Sewer Fund v. Pa. PUC</w:t>
      </w:r>
      <w:r w:rsidRPr="008E7712">
        <w:rPr>
          <w:szCs w:val="26"/>
        </w:rPr>
        <w:t>, 793 A.2d 978, 982 (Pa. Cmwlth. 2002) (</w:t>
      </w:r>
      <w:r w:rsidRPr="008E7712">
        <w:rPr>
          <w:i/>
          <w:iCs/>
          <w:szCs w:val="26"/>
        </w:rPr>
        <w:t>City of Lancaster</w:t>
      </w:r>
      <w:r w:rsidRPr="008E7712">
        <w:rPr>
          <w:szCs w:val="26"/>
        </w:rPr>
        <w:t xml:space="preserve">).  Importantly, there is no single way to arrive at just and reasonable rates, and “[t]he [Commission] has broad discretion in determining whether rates are reasonable” and “is vested with discretion to decide what factors it will consider in setting or evaluating a utility’s rates.”  </w:t>
      </w:r>
      <w:r w:rsidRPr="008E7712">
        <w:rPr>
          <w:i/>
          <w:iCs/>
          <w:szCs w:val="26"/>
        </w:rPr>
        <w:t>Popowsky v. Pa. PUC</w:t>
      </w:r>
      <w:r w:rsidRPr="008E7712">
        <w:rPr>
          <w:szCs w:val="26"/>
        </w:rPr>
        <w:t>, 683 A.2d 958, 961 (Pa. Cmwlth. 1996) (</w:t>
      </w:r>
      <w:r w:rsidRPr="008E7712">
        <w:rPr>
          <w:i/>
          <w:iCs/>
          <w:szCs w:val="26"/>
        </w:rPr>
        <w:t>Popowsky II</w:t>
      </w:r>
      <w:r w:rsidRPr="008E7712">
        <w:rPr>
          <w:szCs w:val="26"/>
        </w:rPr>
        <w:t xml:space="preserve">). </w:t>
      </w:r>
    </w:p>
    <w:p w14:paraId="7FDE30EC" w14:textId="77777777" w:rsidR="00AA3AFE" w:rsidRPr="008E7712" w:rsidRDefault="00AA3AFE" w:rsidP="00AA3AFE">
      <w:pPr>
        <w:tabs>
          <w:tab w:val="left" w:pos="-720"/>
        </w:tabs>
        <w:ind w:firstLine="1440"/>
        <w:contextualSpacing/>
        <w:rPr>
          <w:szCs w:val="26"/>
        </w:rPr>
      </w:pPr>
    </w:p>
    <w:p w14:paraId="0A07B849" w14:textId="77777777" w:rsidR="00AA3AFE" w:rsidRPr="008E7712" w:rsidRDefault="00AA3AFE" w:rsidP="00AA3AFE">
      <w:pPr>
        <w:ind w:firstLine="1440"/>
        <w:contextualSpacing/>
        <w:rPr>
          <w:rFonts w:eastAsia="Calibri"/>
          <w:szCs w:val="26"/>
        </w:rPr>
      </w:pPr>
      <w:r w:rsidRPr="008E7712">
        <w:rPr>
          <w:rFonts w:eastAsia="Calibri"/>
          <w:szCs w:val="26"/>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Section 315(a) of the Code, 66 Pa. C.S. § 315(a), as follows:</w:t>
      </w:r>
    </w:p>
    <w:p w14:paraId="65358762" w14:textId="77777777" w:rsidR="00AA3AFE" w:rsidRPr="008E7712" w:rsidRDefault="00AA3AFE" w:rsidP="00AD468D">
      <w:pPr>
        <w:spacing w:line="240" w:lineRule="auto"/>
        <w:ind w:left="1440" w:right="1440"/>
        <w:contextualSpacing/>
        <w:rPr>
          <w:rFonts w:eastAsia="Calibri"/>
          <w:b/>
          <w:szCs w:val="26"/>
        </w:rPr>
      </w:pPr>
    </w:p>
    <w:p w14:paraId="5197A3A6" w14:textId="77777777" w:rsidR="00AA3AFE" w:rsidRPr="008E7712" w:rsidRDefault="00AA3AFE" w:rsidP="00AA3AFE">
      <w:pPr>
        <w:spacing w:line="240" w:lineRule="auto"/>
        <w:ind w:left="1440" w:right="1440"/>
        <w:contextualSpacing/>
        <w:rPr>
          <w:rFonts w:eastAsia="Calibri"/>
          <w:szCs w:val="26"/>
        </w:rPr>
      </w:pPr>
      <w:r w:rsidRPr="008E7712">
        <w:rPr>
          <w:rFonts w:eastAsia="Calibri"/>
          <w:b/>
          <w:szCs w:val="26"/>
        </w:rPr>
        <w:t>Reasonableness of rates.</w:t>
      </w:r>
      <w:r w:rsidRPr="008E7712">
        <w:rPr>
          <w:rFonts w:eastAsia="Calibri"/>
          <w:szCs w:val="26"/>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416E0A78" w14:textId="77777777" w:rsidR="00AA3AFE" w:rsidRPr="008E7712" w:rsidRDefault="00AA3AFE" w:rsidP="00AA3AFE">
      <w:pPr>
        <w:spacing w:line="480" w:lineRule="auto"/>
        <w:ind w:left="1440" w:right="1440"/>
        <w:contextualSpacing/>
        <w:rPr>
          <w:rFonts w:eastAsia="Calibri"/>
          <w:szCs w:val="26"/>
        </w:rPr>
      </w:pPr>
    </w:p>
    <w:p w14:paraId="35947E67" w14:textId="77777777" w:rsidR="00AA3AFE" w:rsidRPr="008E7712" w:rsidRDefault="00AA3AFE" w:rsidP="00AA3AFE">
      <w:pPr>
        <w:keepNext/>
        <w:ind w:firstLine="1440"/>
        <w:contextualSpacing/>
        <w:rPr>
          <w:rFonts w:eastAsia="Calibri"/>
          <w:szCs w:val="26"/>
        </w:rPr>
      </w:pPr>
      <w:r w:rsidRPr="008E7712">
        <w:rPr>
          <w:rFonts w:eastAsia="Calibri"/>
          <w:szCs w:val="26"/>
        </w:rPr>
        <w:t>In reviewing Section 315(a) of the Code, the Pennsylvania Commonwealth Court interpreted a public utility’s burden of proof in a rate proceeding as follows:</w:t>
      </w:r>
    </w:p>
    <w:p w14:paraId="1CC202F9" w14:textId="77777777" w:rsidR="00AA3AFE" w:rsidRPr="008E7712" w:rsidRDefault="00AA3AFE" w:rsidP="00346E70">
      <w:pPr>
        <w:keepNext/>
        <w:spacing w:line="240" w:lineRule="auto"/>
        <w:ind w:firstLine="1440"/>
        <w:contextualSpacing/>
        <w:rPr>
          <w:rFonts w:eastAsia="Calibri"/>
          <w:szCs w:val="26"/>
        </w:rPr>
      </w:pPr>
    </w:p>
    <w:p w14:paraId="59F8BDDB" w14:textId="77777777" w:rsidR="00AA3AFE" w:rsidRPr="008E7712" w:rsidRDefault="00AA3AFE" w:rsidP="00AA3AFE">
      <w:pPr>
        <w:keepNext/>
        <w:spacing w:line="240" w:lineRule="auto"/>
        <w:ind w:left="1440" w:right="1296"/>
        <w:contextualSpacing/>
        <w:rPr>
          <w:rFonts w:eastAsia="Calibri"/>
          <w:szCs w:val="26"/>
        </w:rPr>
      </w:pPr>
      <w:r w:rsidRPr="008E7712">
        <w:rPr>
          <w:rFonts w:eastAsia="Calibri"/>
          <w:szCs w:val="26"/>
        </w:rPr>
        <w:t xml:space="preserve">Section 315(a) of the Public Utility Code, 66 Pa. C.S. § 315(a), places the burden of proving the justness and reasonableness of a proposed rate hike squarely on the public utility.  </w:t>
      </w:r>
      <w:r w:rsidRPr="008E7712">
        <w:rPr>
          <w:rFonts w:eastAsia="Calibri"/>
          <w:i/>
          <w:szCs w:val="26"/>
        </w:rPr>
        <w:t>It is well-</w:t>
      </w:r>
      <w:r w:rsidRPr="008E7712">
        <w:rPr>
          <w:rFonts w:eastAsia="Calibri"/>
          <w:i/>
          <w:szCs w:val="26"/>
        </w:rPr>
        <w:lastRenderedPageBreak/>
        <w:t>established that the evidence adduced by a utility to meet this burden must be substantial</w:t>
      </w:r>
      <w:r w:rsidRPr="008E7712">
        <w:rPr>
          <w:rFonts w:eastAsia="Calibri"/>
          <w:szCs w:val="26"/>
        </w:rPr>
        <w:t>.</w:t>
      </w:r>
    </w:p>
    <w:p w14:paraId="36986BA0" w14:textId="77777777" w:rsidR="00AA3AFE" w:rsidRPr="008E7712" w:rsidRDefault="00AA3AFE" w:rsidP="00AA3AFE">
      <w:pPr>
        <w:keepNext/>
        <w:ind w:right="1296"/>
        <w:contextualSpacing/>
        <w:rPr>
          <w:rFonts w:eastAsia="Calibri"/>
          <w:szCs w:val="26"/>
        </w:rPr>
      </w:pPr>
    </w:p>
    <w:p w14:paraId="1065B6A4" w14:textId="77777777" w:rsidR="00AA3AFE" w:rsidRPr="008E7712" w:rsidRDefault="00AA3AFE" w:rsidP="00A07A5A">
      <w:pPr>
        <w:keepNext/>
        <w:contextualSpacing/>
        <w:rPr>
          <w:rFonts w:eastAsia="Calibri"/>
          <w:szCs w:val="26"/>
        </w:rPr>
      </w:pPr>
      <w:r w:rsidRPr="008E7712">
        <w:rPr>
          <w:rFonts w:eastAsia="Calibri"/>
          <w:i/>
          <w:szCs w:val="26"/>
        </w:rPr>
        <w:t>Lower Frederick Twp. Water Co. v. Pa. PUC</w:t>
      </w:r>
      <w:r w:rsidRPr="008E7712">
        <w:rPr>
          <w:rFonts w:eastAsia="Calibri"/>
          <w:szCs w:val="26"/>
        </w:rPr>
        <w:t xml:space="preserve">, 409 A.2d 505, 507 (Pa. Cmwlth. 1980) (emphasis added).  </w:t>
      </w:r>
      <w:r w:rsidRPr="008E7712">
        <w:rPr>
          <w:rFonts w:eastAsia="Calibri"/>
          <w:i/>
          <w:szCs w:val="26"/>
        </w:rPr>
        <w:t>See also</w:t>
      </w:r>
      <w:r w:rsidRPr="008E7712">
        <w:rPr>
          <w:rFonts w:eastAsia="Calibri"/>
          <w:szCs w:val="26"/>
        </w:rPr>
        <w:t xml:space="preserve">, </w:t>
      </w:r>
      <w:r w:rsidRPr="008E7712">
        <w:rPr>
          <w:rFonts w:eastAsia="Calibri"/>
          <w:i/>
          <w:szCs w:val="26"/>
        </w:rPr>
        <w:t>Brockway Glass Co. v. Pa. PUC</w:t>
      </w:r>
      <w:r w:rsidRPr="008E7712">
        <w:rPr>
          <w:rFonts w:eastAsia="Calibri"/>
          <w:szCs w:val="26"/>
        </w:rPr>
        <w:t>, 437 A.2d 1067 (Pa. Cmwlth. 1981).</w:t>
      </w:r>
    </w:p>
    <w:p w14:paraId="291C5911" w14:textId="77777777" w:rsidR="00AA3AFE" w:rsidRPr="008E7712" w:rsidRDefault="00AA3AFE" w:rsidP="00A07A5A">
      <w:pPr>
        <w:contextualSpacing/>
        <w:rPr>
          <w:rFonts w:eastAsia="Calibri"/>
          <w:szCs w:val="26"/>
        </w:rPr>
      </w:pPr>
    </w:p>
    <w:p w14:paraId="3F91B073" w14:textId="77777777" w:rsidR="00AA3AFE" w:rsidRPr="008E7712" w:rsidRDefault="00AA3AFE" w:rsidP="00A07A5A">
      <w:pPr>
        <w:ind w:firstLine="1440"/>
        <w:contextualSpacing/>
        <w:rPr>
          <w:rFonts w:eastAsia="Calibri"/>
          <w:szCs w:val="26"/>
        </w:rPr>
      </w:pPr>
      <w:r w:rsidRPr="008E7712">
        <w:rPr>
          <w:rFonts w:eastAsia="Calibri"/>
          <w:szCs w:val="26"/>
        </w:rPr>
        <w:t>In general rate increase proceedings, it is well established that the burden of proof does not shift to parties challenging a requested rate increase.  Rather, the utility’s burden of establishing the justness and reasonableness of every component of its rate request is an affirmative one, and that burden remains with the public utility throughout the course of the rate proceeding.  There is no similar burden placed on parties to justify a proposed adjustment to the Company’s filing.  The Pennsylvania Supreme Court has held:</w:t>
      </w:r>
    </w:p>
    <w:p w14:paraId="532B0C5C" w14:textId="77777777" w:rsidR="00AA3AFE" w:rsidRPr="008E7712" w:rsidRDefault="00AA3AFE" w:rsidP="00346E70">
      <w:pPr>
        <w:spacing w:line="240" w:lineRule="auto"/>
        <w:ind w:firstLine="1440"/>
        <w:contextualSpacing/>
        <w:rPr>
          <w:rFonts w:eastAsia="Calibri"/>
          <w:szCs w:val="26"/>
        </w:rPr>
      </w:pPr>
    </w:p>
    <w:p w14:paraId="3586046F" w14:textId="77777777" w:rsidR="00AA3AFE" w:rsidRPr="008E7712" w:rsidRDefault="00AA3AFE" w:rsidP="00AA3AFE">
      <w:pPr>
        <w:spacing w:line="240" w:lineRule="auto"/>
        <w:ind w:left="1440" w:right="1296"/>
        <w:contextualSpacing/>
        <w:rPr>
          <w:rFonts w:eastAsia="Calibri"/>
          <w:szCs w:val="26"/>
        </w:rPr>
      </w:pPr>
      <w:r w:rsidRPr="008E7712">
        <w:rPr>
          <w:rFonts w:eastAsia="Calibri"/>
          <w:szCs w:val="26"/>
        </w:rPr>
        <w:t xml:space="preserve">[T]he appellants did not have the burden of proving that the plant additions were improper, </w:t>
      </w:r>
      <w:proofErr w:type="gramStart"/>
      <w:r w:rsidRPr="008E7712">
        <w:rPr>
          <w:rFonts w:eastAsia="Calibri"/>
          <w:szCs w:val="26"/>
        </w:rPr>
        <w:t>unnecessary</w:t>
      </w:r>
      <w:proofErr w:type="gramEnd"/>
      <w:r w:rsidRPr="008E7712">
        <w:rPr>
          <w:rFonts w:eastAsia="Calibri"/>
          <w:szCs w:val="26"/>
        </w:rPr>
        <w:t xml:space="preserve"> or too costly; on the contrary, that burden is, by statute, on the utility to demonstrate the reasonable necessity and cost of the installations, and that is the burden which the utility patently failed to carry.</w:t>
      </w:r>
    </w:p>
    <w:p w14:paraId="7164D616" w14:textId="77777777" w:rsidR="00AA3AFE" w:rsidRPr="008E7712" w:rsidRDefault="00AA3AFE" w:rsidP="00AA3AFE">
      <w:pPr>
        <w:keepNext/>
        <w:ind w:left="1440" w:right="1296"/>
        <w:contextualSpacing/>
        <w:rPr>
          <w:rFonts w:eastAsia="Calibri"/>
          <w:szCs w:val="26"/>
        </w:rPr>
      </w:pPr>
    </w:p>
    <w:p w14:paraId="4475F9EF" w14:textId="77777777" w:rsidR="00AA3AFE" w:rsidRPr="008E7712" w:rsidRDefault="00AA3AFE" w:rsidP="00AA3AFE">
      <w:pPr>
        <w:keepNext/>
        <w:ind w:right="1440"/>
        <w:contextualSpacing/>
        <w:rPr>
          <w:rFonts w:eastAsia="Calibri"/>
          <w:szCs w:val="26"/>
        </w:rPr>
      </w:pPr>
      <w:r w:rsidRPr="008E7712">
        <w:rPr>
          <w:rFonts w:eastAsia="Calibri"/>
          <w:i/>
          <w:szCs w:val="26"/>
        </w:rPr>
        <w:t>Berner v. Pa. PUC</w:t>
      </w:r>
      <w:r w:rsidRPr="008E7712">
        <w:rPr>
          <w:rFonts w:eastAsia="Calibri"/>
          <w:szCs w:val="26"/>
        </w:rPr>
        <w:t>, 116 A.2d 738, 744 (Pa. 1955).</w:t>
      </w:r>
    </w:p>
    <w:p w14:paraId="7D022E0C" w14:textId="77777777" w:rsidR="00AA3AFE" w:rsidRPr="008E7712" w:rsidRDefault="00AA3AFE" w:rsidP="00AA3AFE">
      <w:pPr>
        <w:ind w:right="1440"/>
        <w:contextualSpacing/>
        <w:rPr>
          <w:rFonts w:eastAsia="Calibri"/>
          <w:szCs w:val="26"/>
        </w:rPr>
      </w:pPr>
    </w:p>
    <w:p w14:paraId="57AD7599" w14:textId="77777777" w:rsidR="00AA3AFE" w:rsidRPr="008E7712" w:rsidRDefault="00AA3AFE" w:rsidP="00AA3AFE">
      <w:pPr>
        <w:tabs>
          <w:tab w:val="left" w:pos="-720"/>
        </w:tabs>
        <w:ind w:firstLine="1440"/>
        <w:contextualSpacing/>
        <w:rPr>
          <w:rFonts w:eastAsia="Calibri"/>
          <w:szCs w:val="26"/>
        </w:rPr>
      </w:pPr>
      <w:r w:rsidRPr="008E7712">
        <w:rPr>
          <w:rFonts w:eastAsia="Calibri"/>
          <w:szCs w:val="26"/>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14:paraId="34855682" w14:textId="77777777" w:rsidR="00AA3AFE" w:rsidRPr="008E7712" w:rsidRDefault="00AA3AFE" w:rsidP="00AA3AFE">
      <w:pPr>
        <w:spacing w:line="240" w:lineRule="auto"/>
        <w:ind w:left="1440" w:right="1296"/>
        <w:contextualSpacing/>
        <w:rPr>
          <w:rFonts w:eastAsia="Calibri"/>
          <w:szCs w:val="26"/>
        </w:rPr>
      </w:pPr>
    </w:p>
    <w:p w14:paraId="7A549097" w14:textId="77777777" w:rsidR="00AA3AFE" w:rsidRPr="008E7712" w:rsidRDefault="00AA3AFE" w:rsidP="00AA3AFE">
      <w:pPr>
        <w:spacing w:line="240" w:lineRule="auto"/>
        <w:ind w:left="1440" w:right="1296"/>
        <w:contextualSpacing/>
        <w:rPr>
          <w:rFonts w:eastAsia="Calibri"/>
          <w:szCs w:val="26"/>
        </w:rPr>
      </w:pPr>
      <w:r w:rsidRPr="008E7712">
        <w:rPr>
          <w:rFonts w:eastAsia="Calibri"/>
          <w:szCs w:val="26"/>
        </w:rPr>
        <w:t>While it is axiomatic that a utility has the burden of proving the justness and reasonableness of its proposed rates, it cannot be called upon to account for every action absent prior notice that such action is to be challenged.</w:t>
      </w:r>
    </w:p>
    <w:p w14:paraId="2A6AEBE8" w14:textId="77777777" w:rsidR="00AA3AFE" w:rsidRPr="008E7712" w:rsidRDefault="00AA3AFE" w:rsidP="00AA3AFE">
      <w:pPr>
        <w:contextualSpacing/>
        <w:rPr>
          <w:rFonts w:eastAsia="Calibri"/>
          <w:szCs w:val="26"/>
        </w:rPr>
      </w:pPr>
      <w:r w:rsidRPr="008E7712">
        <w:rPr>
          <w:rFonts w:eastAsia="Calibri"/>
          <w:i/>
          <w:szCs w:val="26"/>
        </w:rPr>
        <w:lastRenderedPageBreak/>
        <w:t>Allegheny Center Assocs. v. Pa. PUC</w:t>
      </w:r>
      <w:r w:rsidRPr="008E7712">
        <w:rPr>
          <w:rFonts w:eastAsia="Calibri"/>
          <w:szCs w:val="26"/>
        </w:rPr>
        <w:t xml:space="preserve">, 570 A.2d 149, 153 (Pa. Cmwlth. 1990) (citation omitted).  </w:t>
      </w:r>
      <w:r w:rsidRPr="008E7712">
        <w:rPr>
          <w:rFonts w:eastAsia="Calibri"/>
          <w:i/>
          <w:szCs w:val="26"/>
        </w:rPr>
        <w:t>See also, Pa. PUC v. Equitable Gas Co.</w:t>
      </w:r>
      <w:r w:rsidRPr="008E7712">
        <w:rPr>
          <w:rFonts w:eastAsia="Calibri"/>
          <w:szCs w:val="26"/>
        </w:rPr>
        <w:t xml:space="preserve">, 73 Pa. P.U.C. 310, 359-360 (1990).  Furthermore, the mere rejection of evidence contrary to that adduced by the public utility is not an impermissible shifting of the evidentiary burden.  </w:t>
      </w:r>
      <w:r w:rsidRPr="008E7712">
        <w:rPr>
          <w:rFonts w:eastAsia="Calibri"/>
          <w:i/>
          <w:szCs w:val="26"/>
        </w:rPr>
        <w:t>United States Steel Corp. v. Pa. PUC</w:t>
      </w:r>
      <w:r w:rsidRPr="008E7712">
        <w:rPr>
          <w:rFonts w:eastAsia="Calibri"/>
          <w:szCs w:val="26"/>
        </w:rPr>
        <w:t>, 456 A.2d 686 (Pa. Cmwlth. 1983).</w:t>
      </w:r>
    </w:p>
    <w:p w14:paraId="62E8EC1C" w14:textId="77777777" w:rsidR="00AA3AFE" w:rsidRPr="008E7712" w:rsidRDefault="00AA3AFE" w:rsidP="00AA3AFE">
      <w:pPr>
        <w:tabs>
          <w:tab w:val="left" w:pos="-720"/>
        </w:tabs>
        <w:ind w:firstLine="1440"/>
        <w:contextualSpacing/>
        <w:rPr>
          <w:rFonts w:eastAsia="Calibri"/>
          <w:szCs w:val="26"/>
        </w:rPr>
      </w:pPr>
    </w:p>
    <w:p w14:paraId="041BF071" w14:textId="002B6751" w:rsidR="00A40598" w:rsidRPr="008E7712" w:rsidRDefault="00AA3AFE" w:rsidP="00A40598">
      <w:pPr>
        <w:ind w:firstLine="1440"/>
        <w:rPr>
          <w:rFonts w:eastAsiaTheme="minorEastAsia"/>
          <w:szCs w:val="26"/>
        </w:rPr>
      </w:pPr>
      <w:r w:rsidRPr="008E7712">
        <w:rPr>
          <w:rFonts w:eastAsia="Calibri"/>
          <w:szCs w:val="26"/>
        </w:rPr>
        <w:t xml:space="preserve">In considering settlements, </w:t>
      </w:r>
      <w:r w:rsidRPr="008E7712">
        <w:rPr>
          <w:spacing w:val="1"/>
          <w:szCs w:val="26"/>
        </w:rPr>
        <w:t xml:space="preserve">the Commission must determine whether the </w:t>
      </w:r>
      <w:r w:rsidR="00426231" w:rsidRPr="008E7712">
        <w:rPr>
          <w:spacing w:val="1"/>
          <w:szCs w:val="26"/>
        </w:rPr>
        <w:t>s</w:t>
      </w:r>
      <w:r w:rsidRPr="008E7712">
        <w:rPr>
          <w:spacing w:val="1"/>
          <w:szCs w:val="26"/>
        </w:rPr>
        <w:t xml:space="preserve">ettlement rates are just and reasonable and whether the </w:t>
      </w:r>
      <w:r w:rsidR="00426231" w:rsidRPr="008E7712">
        <w:rPr>
          <w:spacing w:val="1"/>
          <w:szCs w:val="26"/>
        </w:rPr>
        <w:t>s</w:t>
      </w:r>
      <w:r w:rsidRPr="008E7712">
        <w:rPr>
          <w:spacing w:val="1"/>
          <w:szCs w:val="26"/>
        </w:rPr>
        <w:t xml:space="preserve">ettlement </w:t>
      </w:r>
      <w:r w:rsidR="003D744F" w:rsidRPr="008E7712">
        <w:rPr>
          <w:spacing w:val="1"/>
          <w:szCs w:val="26"/>
        </w:rPr>
        <w:t xml:space="preserve">is </w:t>
      </w:r>
      <w:r w:rsidRPr="008E7712">
        <w:rPr>
          <w:spacing w:val="1"/>
          <w:szCs w:val="26"/>
        </w:rPr>
        <w:t>in the public interest.</w:t>
      </w:r>
      <w:r w:rsidRPr="008E7712">
        <w:rPr>
          <w:spacing w:val="1"/>
          <w:szCs w:val="26"/>
          <w:vertAlign w:val="superscript"/>
        </w:rPr>
        <w:t xml:space="preserve"> </w:t>
      </w:r>
      <w:r w:rsidRPr="008E7712">
        <w:rPr>
          <w:rFonts w:eastAsia="Calibri"/>
          <w:szCs w:val="26"/>
        </w:rPr>
        <w:t xml:space="preserve"> </w:t>
      </w:r>
      <w:r w:rsidRPr="008E7712">
        <w:rPr>
          <w:rFonts w:eastAsia="Calibri"/>
          <w:i/>
          <w:iCs/>
          <w:szCs w:val="26"/>
        </w:rPr>
        <w:t xml:space="preserve">See </w:t>
      </w:r>
      <w:r w:rsidRPr="008E7712">
        <w:rPr>
          <w:rFonts w:eastAsiaTheme="minorEastAsia"/>
          <w:szCs w:val="26"/>
        </w:rPr>
        <w:t xml:space="preserve">66 Pa. C.S. § 1301; </w:t>
      </w:r>
      <w:r w:rsidRPr="008E7712">
        <w:rPr>
          <w:rFonts w:eastAsiaTheme="minorEastAsia"/>
          <w:i/>
          <w:iCs/>
          <w:szCs w:val="26"/>
        </w:rPr>
        <w:t>Pa. PUC v. C.S. Water and Sewer Associates</w:t>
      </w:r>
      <w:r w:rsidRPr="008E7712">
        <w:rPr>
          <w:rFonts w:eastAsiaTheme="minorEastAsia"/>
          <w:szCs w:val="26"/>
        </w:rPr>
        <w:t>, 74</w:t>
      </w:r>
      <w:r w:rsidR="000818DC">
        <w:rPr>
          <w:rFonts w:eastAsiaTheme="minorEastAsia"/>
          <w:szCs w:val="26"/>
        </w:rPr>
        <w:t> </w:t>
      </w:r>
      <w:r w:rsidRPr="008E7712">
        <w:rPr>
          <w:rFonts w:eastAsiaTheme="minorEastAsia"/>
          <w:szCs w:val="26"/>
        </w:rPr>
        <w:t>Pa.</w:t>
      </w:r>
      <w:r w:rsidR="000818DC">
        <w:rPr>
          <w:rFonts w:eastAsiaTheme="minorEastAsia"/>
          <w:szCs w:val="26"/>
        </w:rPr>
        <w:t> </w:t>
      </w:r>
      <w:r w:rsidRPr="008E7712">
        <w:rPr>
          <w:rFonts w:eastAsiaTheme="minorEastAsia"/>
          <w:szCs w:val="26"/>
        </w:rPr>
        <w:t xml:space="preserve">PUC 767 (1991); </w:t>
      </w:r>
      <w:r w:rsidRPr="008E7712">
        <w:rPr>
          <w:rFonts w:eastAsiaTheme="minorEastAsia"/>
          <w:i/>
          <w:iCs/>
          <w:szCs w:val="26"/>
        </w:rPr>
        <w:t>Pa. PUC v. Philadelphia Electric Company</w:t>
      </w:r>
      <w:r w:rsidRPr="008E7712">
        <w:rPr>
          <w:rFonts w:eastAsiaTheme="minorEastAsia"/>
          <w:szCs w:val="26"/>
        </w:rPr>
        <w:t>, 60 Pa. PUC 1 (1985).</w:t>
      </w:r>
      <w:r w:rsidR="007651EF" w:rsidRPr="008E7712">
        <w:rPr>
          <w:rFonts w:eastAsiaTheme="minorEastAsia"/>
          <w:szCs w:val="26"/>
        </w:rPr>
        <w:t xml:space="preserve">  </w:t>
      </w:r>
    </w:p>
    <w:p w14:paraId="451BD633" w14:textId="77777777" w:rsidR="00A40598" w:rsidRPr="008E7712" w:rsidRDefault="00A40598" w:rsidP="00A40598">
      <w:pPr>
        <w:ind w:firstLine="1440"/>
        <w:rPr>
          <w:rFonts w:eastAsiaTheme="minorEastAsia"/>
          <w:szCs w:val="26"/>
        </w:rPr>
      </w:pPr>
    </w:p>
    <w:p w14:paraId="3BB59DCE" w14:textId="2463E35A" w:rsidR="00534D0F" w:rsidRPr="008E7712" w:rsidRDefault="00534D0F" w:rsidP="00534D0F">
      <w:pPr>
        <w:ind w:firstLine="1440"/>
        <w:rPr>
          <w:rFonts w:eastAsiaTheme="minorHAnsi"/>
          <w:color w:val="auto"/>
          <w:szCs w:val="26"/>
        </w:rPr>
      </w:pPr>
      <w:r w:rsidRPr="008E7712">
        <w:rPr>
          <w:rFonts w:eastAsiaTheme="minorHAnsi"/>
          <w:color w:val="auto"/>
          <w:szCs w:val="26"/>
        </w:rPr>
        <w:t>In recognition of its regulation promoting settlements at 52 Pa.</w:t>
      </w:r>
      <w:r w:rsidR="002F2940" w:rsidRPr="008E7712">
        <w:rPr>
          <w:rFonts w:eastAsiaTheme="minorHAnsi"/>
          <w:color w:val="auto"/>
          <w:szCs w:val="26"/>
        </w:rPr>
        <w:t xml:space="preserve"> </w:t>
      </w:r>
      <w:r w:rsidRPr="008E7712">
        <w:rPr>
          <w:rFonts w:eastAsiaTheme="minorHAnsi"/>
          <w:color w:val="auto"/>
          <w:szCs w:val="26"/>
        </w:rPr>
        <w:t>Code §</w:t>
      </w:r>
      <w:r w:rsidR="00D66C8C">
        <w:rPr>
          <w:rFonts w:eastAsiaTheme="minorHAnsi"/>
          <w:color w:val="auto"/>
          <w:szCs w:val="26"/>
        </w:rPr>
        <w:t> </w:t>
      </w:r>
      <w:r w:rsidRPr="008E7712">
        <w:rPr>
          <w:rFonts w:eastAsiaTheme="minorHAnsi"/>
          <w:color w:val="auto"/>
          <w:szCs w:val="26"/>
        </w:rPr>
        <w:t xml:space="preserve">5.231(a), the Commission has set forth settlement guidelines and procedures for major rate cases at 52 Pa. Code § 69.401, which states: </w:t>
      </w:r>
    </w:p>
    <w:p w14:paraId="4173A9D9" w14:textId="77777777" w:rsidR="00534D0F" w:rsidRPr="008E7712" w:rsidRDefault="00534D0F" w:rsidP="00A07A5A">
      <w:pPr>
        <w:spacing w:line="240" w:lineRule="auto"/>
        <w:rPr>
          <w:rFonts w:eastAsiaTheme="minorHAnsi"/>
          <w:color w:val="auto"/>
          <w:szCs w:val="26"/>
        </w:rPr>
      </w:pPr>
    </w:p>
    <w:p w14:paraId="0D47C4A6" w14:textId="77777777" w:rsidR="00534D0F" w:rsidRPr="008E7712" w:rsidRDefault="00534D0F" w:rsidP="00534D0F">
      <w:pPr>
        <w:spacing w:after="160" w:line="240" w:lineRule="auto"/>
        <w:ind w:left="1800" w:right="1440"/>
        <w:rPr>
          <w:rFonts w:eastAsiaTheme="minorHAnsi"/>
          <w:b/>
          <w:bCs/>
          <w:color w:val="auto"/>
          <w:szCs w:val="26"/>
        </w:rPr>
      </w:pPr>
      <w:r w:rsidRPr="008E7712">
        <w:rPr>
          <w:rFonts w:eastAsiaTheme="minorHAnsi"/>
          <w:b/>
          <w:bCs/>
          <w:color w:val="auto"/>
          <w:szCs w:val="26"/>
        </w:rPr>
        <w:t xml:space="preserve">§ 69.401. General. </w:t>
      </w:r>
    </w:p>
    <w:p w14:paraId="154FCD7A" w14:textId="0D4EE825" w:rsidR="00534D0F" w:rsidRPr="008E7712" w:rsidRDefault="00534D0F" w:rsidP="00346E70">
      <w:pPr>
        <w:spacing w:line="240" w:lineRule="auto"/>
        <w:ind w:left="1800" w:right="1440"/>
        <w:rPr>
          <w:rFonts w:eastAsiaTheme="minorHAnsi"/>
          <w:color w:val="auto"/>
          <w:szCs w:val="26"/>
        </w:rPr>
      </w:pPr>
      <w:r w:rsidRPr="008E7712">
        <w:rPr>
          <w:rFonts w:eastAsiaTheme="minorHAnsi"/>
          <w:color w:val="auto"/>
          <w:szCs w:val="26"/>
        </w:rPr>
        <w:t>In the Commission’s judgment, the results achieved from a negotiated settlement or stipulation, or both, in which the interested parties have had an opportunity to participate are often preferable to those achieved at the conclusion of a fully litigated proceeding</w:t>
      </w:r>
      <w:r w:rsidR="008C020B" w:rsidRPr="008E7712">
        <w:rPr>
          <w:rFonts w:eastAsiaTheme="minorHAnsi"/>
          <w:color w:val="auto"/>
          <w:szCs w:val="26"/>
        </w:rPr>
        <w:t xml:space="preserve">.  </w:t>
      </w:r>
      <w:r w:rsidRPr="008E7712">
        <w:rPr>
          <w:rFonts w:eastAsiaTheme="minorHAnsi"/>
          <w:color w:val="auto"/>
          <w:szCs w:val="26"/>
        </w:rPr>
        <w:t>It is also the Commission’s judgment that the public interest will benefit by the adoption of §§ 69.402-69.406 and this section which establish guidelines and procedures designed to encourage full and partial settlements as well as stipulations in major section 1308(d) general rate increase cases</w:t>
      </w:r>
      <w:r w:rsidR="008C020B" w:rsidRPr="008E7712">
        <w:rPr>
          <w:rFonts w:eastAsiaTheme="minorHAnsi"/>
          <w:color w:val="auto"/>
          <w:szCs w:val="26"/>
        </w:rPr>
        <w:t xml:space="preserve">.  </w:t>
      </w:r>
      <w:r w:rsidRPr="008E7712">
        <w:rPr>
          <w:rFonts w:eastAsiaTheme="minorHAnsi"/>
          <w:color w:val="auto"/>
          <w:szCs w:val="26"/>
        </w:rPr>
        <w:t xml:space="preserve">A partial settlement is a comprehensive resolution of all issues in which less than all interested parties have joined. </w:t>
      </w:r>
    </w:p>
    <w:p w14:paraId="67BF9FC9" w14:textId="3D61C8BF" w:rsidR="00534D0F" w:rsidRPr="008E7712" w:rsidRDefault="00534D0F" w:rsidP="00346E70">
      <w:pPr>
        <w:tabs>
          <w:tab w:val="left" w:pos="0"/>
        </w:tabs>
        <w:kinsoku w:val="0"/>
        <w:overflowPunct w:val="0"/>
        <w:spacing w:line="480" w:lineRule="auto"/>
        <w:ind w:right="792" w:firstLine="1440"/>
        <w:textAlignment w:val="baseline"/>
        <w:rPr>
          <w:rFonts w:eastAsiaTheme="minorEastAsia"/>
          <w:szCs w:val="26"/>
        </w:rPr>
      </w:pPr>
    </w:p>
    <w:p w14:paraId="0B4B327B" w14:textId="2E2643CD" w:rsidR="00534D0F" w:rsidRPr="008E7712" w:rsidRDefault="00534D0F" w:rsidP="00BB4111">
      <w:pPr>
        <w:keepNext/>
        <w:ind w:firstLine="1440"/>
        <w:rPr>
          <w:rFonts w:eastAsiaTheme="minorHAnsi"/>
          <w:color w:val="auto"/>
          <w:szCs w:val="26"/>
        </w:rPr>
      </w:pPr>
      <w:r w:rsidRPr="008E7712">
        <w:rPr>
          <w:rFonts w:eastAsiaTheme="minorHAnsi"/>
          <w:color w:val="auto"/>
          <w:szCs w:val="26"/>
        </w:rPr>
        <w:lastRenderedPageBreak/>
        <w:t xml:space="preserve">Importantly, however, the Commission has also stated: </w:t>
      </w:r>
    </w:p>
    <w:p w14:paraId="5EDC5DB1" w14:textId="77777777" w:rsidR="00534D0F" w:rsidRPr="008E7712" w:rsidRDefault="00534D0F" w:rsidP="00BB4111">
      <w:pPr>
        <w:keepNext/>
        <w:spacing w:line="240" w:lineRule="auto"/>
        <w:rPr>
          <w:rFonts w:eastAsiaTheme="minorHAnsi"/>
          <w:color w:val="auto"/>
          <w:szCs w:val="26"/>
        </w:rPr>
      </w:pPr>
    </w:p>
    <w:p w14:paraId="4703344E" w14:textId="1428B110" w:rsidR="00534D0F" w:rsidRPr="008E7712" w:rsidRDefault="00534D0F" w:rsidP="00BB4111">
      <w:pPr>
        <w:keepNext/>
        <w:spacing w:after="160" w:line="240" w:lineRule="auto"/>
        <w:ind w:left="1800" w:right="1440"/>
        <w:rPr>
          <w:rFonts w:eastAsiaTheme="minorHAnsi"/>
          <w:color w:val="auto"/>
          <w:szCs w:val="26"/>
        </w:rPr>
      </w:pPr>
      <w:r w:rsidRPr="008E7712">
        <w:rPr>
          <w:rFonts w:eastAsiaTheme="minorHAnsi"/>
          <w:color w:val="auto"/>
          <w:szCs w:val="26"/>
        </w:rPr>
        <w:t xml:space="preserve">Despite the policy favoring settlements, </w:t>
      </w:r>
      <w:r w:rsidRPr="008E7712">
        <w:rPr>
          <w:rFonts w:eastAsiaTheme="minorHAnsi"/>
          <w:color w:val="auto"/>
          <w:szCs w:val="26"/>
          <w:u w:val="single"/>
        </w:rPr>
        <w:t>the Commission does not simply rubber stamp settlements without further inquiry</w:t>
      </w:r>
      <w:r w:rsidRPr="008E7712">
        <w:rPr>
          <w:rFonts w:eastAsiaTheme="minorHAnsi"/>
          <w:color w:val="auto"/>
          <w:szCs w:val="26"/>
        </w:rPr>
        <w:t xml:space="preserve">. </w:t>
      </w:r>
      <w:r w:rsidR="00E41423" w:rsidRPr="008E7712">
        <w:rPr>
          <w:rFonts w:eastAsiaTheme="minorHAnsi"/>
          <w:color w:val="auto"/>
          <w:szCs w:val="26"/>
        </w:rPr>
        <w:t xml:space="preserve"> </w:t>
      </w:r>
      <w:r w:rsidRPr="008E7712">
        <w:rPr>
          <w:rFonts w:eastAsiaTheme="minorHAnsi"/>
          <w:color w:val="auto"/>
          <w:szCs w:val="26"/>
        </w:rPr>
        <w:t>In order to accept a settlement such as those proposed here, the Commission must determine that the proposed terms and conditions are in the public interest</w:t>
      </w:r>
      <w:r w:rsidR="008C020B" w:rsidRPr="008E7712">
        <w:rPr>
          <w:rFonts w:eastAsiaTheme="minorHAnsi"/>
          <w:color w:val="auto"/>
          <w:szCs w:val="26"/>
        </w:rPr>
        <w:t xml:space="preserve">.  </w:t>
      </w:r>
      <w:r w:rsidRPr="008E7712">
        <w:rPr>
          <w:rFonts w:eastAsiaTheme="minorHAnsi"/>
          <w:color w:val="auto"/>
          <w:szCs w:val="26"/>
        </w:rPr>
        <w:t xml:space="preserve">The focus of the inquiry for determining whether a proposed settlement should be approved by the Commission is whether the proposed terms and conditions foster, </w:t>
      </w:r>
      <w:proofErr w:type="gramStart"/>
      <w:r w:rsidRPr="008E7712">
        <w:rPr>
          <w:rFonts w:eastAsiaTheme="minorHAnsi"/>
          <w:color w:val="auto"/>
          <w:szCs w:val="26"/>
        </w:rPr>
        <w:t>promote</w:t>
      </w:r>
      <w:proofErr w:type="gramEnd"/>
      <w:r w:rsidRPr="008E7712">
        <w:rPr>
          <w:rFonts w:eastAsiaTheme="minorHAnsi"/>
          <w:color w:val="auto"/>
          <w:szCs w:val="26"/>
        </w:rPr>
        <w:t xml:space="preserve"> and serve the public interest. </w:t>
      </w:r>
      <w:r w:rsidR="00E41423" w:rsidRPr="008E7712">
        <w:rPr>
          <w:rFonts w:eastAsiaTheme="minorHAnsi"/>
          <w:color w:val="auto"/>
          <w:szCs w:val="26"/>
        </w:rPr>
        <w:t xml:space="preserve"> </w:t>
      </w:r>
      <w:r w:rsidRPr="008E7712">
        <w:rPr>
          <w:rFonts w:eastAsiaTheme="minorHAnsi"/>
          <w:color w:val="auto"/>
          <w:szCs w:val="26"/>
        </w:rPr>
        <w:t>Because the Joint Petitioners request the Commission enter an order in this proceeding approving the Partial Settlement without modification, they share the burden of proof to show that the terms and conditions of the Partial Settlement are in the public interest.</w:t>
      </w:r>
    </w:p>
    <w:p w14:paraId="60FA687B" w14:textId="77777777" w:rsidR="00534D0F" w:rsidRPr="008E7712" w:rsidRDefault="00534D0F" w:rsidP="000818DC">
      <w:pPr>
        <w:keepNext/>
        <w:spacing w:line="240" w:lineRule="auto"/>
        <w:ind w:left="1440" w:right="720"/>
        <w:rPr>
          <w:rFonts w:eastAsiaTheme="minorHAnsi"/>
          <w:color w:val="auto"/>
          <w:szCs w:val="26"/>
        </w:rPr>
      </w:pPr>
    </w:p>
    <w:p w14:paraId="01870FDA" w14:textId="7517C940" w:rsidR="00534D0F" w:rsidRPr="008E7712" w:rsidRDefault="00534D0F" w:rsidP="003563ED">
      <w:pPr>
        <w:keepNext/>
        <w:ind w:right="720"/>
        <w:rPr>
          <w:rFonts w:eastAsiaTheme="minorHAnsi"/>
          <w:color w:val="auto"/>
          <w:szCs w:val="26"/>
        </w:rPr>
      </w:pPr>
      <w:r w:rsidRPr="008E7712">
        <w:rPr>
          <w:rFonts w:eastAsiaTheme="minorHAnsi"/>
          <w:i/>
          <w:iCs/>
          <w:color w:val="auto"/>
          <w:szCs w:val="26"/>
        </w:rPr>
        <w:t>Pa. PUC v. PECO Energy Co</w:t>
      </w:r>
      <w:r w:rsidRPr="008E7712">
        <w:rPr>
          <w:rFonts w:eastAsiaTheme="minorHAnsi"/>
          <w:color w:val="auto"/>
          <w:szCs w:val="26"/>
        </w:rPr>
        <w:t>., Docket No. R-2018-3000164 (Order entered Dec.</w:t>
      </w:r>
      <w:r w:rsidR="000818DC">
        <w:rPr>
          <w:rFonts w:eastAsiaTheme="minorHAnsi"/>
          <w:color w:val="auto"/>
          <w:szCs w:val="26"/>
        </w:rPr>
        <w:t> </w:t>
      </w:r>
      <w:r w:rsidRPr="008E7712">
        <w:rPr>
          <w:rFonts w:eastAsiaTheme="minorHAnsi"/>
          <w:color w:val="auto"/>
          <w:szCs w:val="26"/>
        </w:rPr>
        <w:t>20, 2018), at 15 (emphasis supplied).</w:t>
      </w:r>
    </w:p>
    <w:p w14:paraId="3577D784" w14:textId="77777777" w:rsidR="00534D0F" w:rsidRPr="008E7712" w:rsidRDefault="00534D0F" w:rsidP="00534D0F">
      <w:pPr>
        <w:ind w:right="720"/>
        <w:rPr>
          <w:rFonts w:eastAsiaTheme="minorHAnsi"/>
          <w:color w:val="auto"/>
          <w:szCs w:val="26"/>
        </w:rPr>
      </w:pPr>
    </w:p>
    <w:p w14:paraId="37CC20F8" w14:textId="3C96742B" w:rsidR="00DC1D34" w:rsidRPr="008E7712" w:rsidRDefault="003E45B2" w:rsidP="00033E61">
      <w:pPr>
        <w:tabs>
          <w:tab w:val="left" w:pos="0"/>
        </w:tabs>
        <w:kinsoku w:val="0"/>
        <w:overflowPunct w:val="0"/>
        <w:ind w:right="792" w:firstLine="1440"/>
        <w:textAlignment w:val="baseline"/>
        <w:rPr>
          <w:szCs w:val="26"/>
        </w:rPr>
      </w:pPr>
      <w:r w:rsidRPr="008E7712">
        <w:rPr>
          <w:rFonts w:eastAsiaTheme="minorHAnsi"/>
          <w:color w:val="auto"/>
          <w:szCs w:val="26"/>
        </w:rPr>
        <w:t xml:space="preserve">Notwithstanding this promotion of settlements, it is without question that not </w:t>
      </w:r>
      <w:r w:rsidRPr="008E7712">
        <w:rPr>
          <w:szCs w:val="26"/>
        </w:rPr>
        <w:t xml:space="preserve">all proposed settlements </w:t>
      </w:r>
      <w:r w:rsidR="00033E61" w:rsidRPr="008E7712">
        <w:rPr>
          <w:szCs w:val="26"/>
        </w:rPr>
        <w:t xml:space="preserve">must </w:t>
      </w:r>
      <w:r w:rsidRPr="008E7712">
        <w:rPr>
          <w:szCs w:val="26"/>
        </w:rPr>
        <w:t>be accepted, in whole or in part</w:t>
      </w:r>
      <w:r w:rsidR="00033E61" w:rsidRPr="008E7712">
        <w:rPr>
          <w:szCs w:val="26"/>
        </w:rPr>
        <w:t>,</w:t>
      </w:r>
      <w:r w:rsidRPr="008E7712">
        <w:rPr>
          <w:szCs w:val="26"/>
        </w:rPr>
        <w:t xml:space="preserve"> if they are determined to be in contravention of the public interest.  It is</w:t>
      </w:r>
      <w:r w:rsidR="00033E61" w:rsidRPr="008E7712">
        <w:rPr>
          <w:szCs w:val="26"/>
        </w:rPr>
        <w:t>, however,</w:t>
      </w:r>
      <w:r w:rsidRPr="008E7712">
        <w:rPr>
          <w:szCs w:val="26"/>
        </w:rPr>
        <w:t xml:space="preserve"> unusual for a proposed settlement in a general base rate case to be rejected</w:t>
      </w:r>
      <w:r w:rsidR="00033E61" w:rsidRPr="008E7712">
        <w:rPr>
          <w:szCs w:val="26"/>
        </w:rPr>
        <w:t xml:space="preserve"> in its entirety</w:t>
      </w:r>
      <w:r w:rsidRPr="008E7712">
        <w:rPr>
          <w:szCs w:val="26"/>
        </w:rPr>
        <w:t xml:space="preserve">, </w:t>
      </w:r>
      <w:r w:rsidR="00033E61" w:rsidRPr="008E7712">
        <w:rPr>
          <w:szCs w:val="26"/>
        </w:rPr>
        <w:t xml:space="preserve">but </w:t>
      </w:r>
      <w:r w:rsidRPr="008E7712">
        <w:rPr>
          <w:szCs w:val="26"/>
        </w:rPr>
        <w:t xml:space="preserve">this action is not without precedent.  </w:t>
      </w:r>
      <w:r w:rsidRPr="008E7712">
        <w:rPr>
          <w:i/>
          <w:iCs/>
          <w:szCs w:val="26"/>
        </w:rPr>
        <w:t>See,</w:t>
      </w:r>
      <w:r w:rsidRPr="008E7712">
        <w:rPr>
          <w:szCs w:val="26"/>
        </w:rPr>
        <w:t xml:space="preserve"> </w:t>
      </w:r>
      <w:r w:rsidRPr="008E7712">
        <w:rPr>
          <w:i/>
          <w:iCs/>
          <w:szCs w:val="26"/>
        </w:rPr>
        <w:t>Pennsylvania P</w:t>
      </w:r>
      <w:r w:rsidR="00A07A5A">
        <w:rPr>
          <w:i/>
          <w:iCs/>
          <w:szCs w:val="26"/>
        </w:rPr>
        <w:t>UC</w:t>
      </w:r>
      <w:r w:rsidRPr="008E7712">
        <w:rPr>
          <w:i/>
          <w:iCs/>
          <w:szCs w:val="26"/>
        </w:rPr>
        <w:t xml:space="preserve">, et al. v. </w:t>
      </w:r>
      <w:bookmarkStart w:id="5" w:name="_Hlk86740059"/>
      <w:r w:rsidRPr="008E7712">
        <w:rPr>
          <w:i/>
          <w:iCs/>
          <w:szCs w:val="26"/>
        </w:rPr>
        <w:t>C</w:t>
      </w:r>
      <w:r w:rsidR="001E0FEE">
        <w:rPr>
          <w:i/>
          <w:iCs/>
          <w:szCs w:val="26"/>
        </w:rPr>
        <w:t>.</w:t>
      </w:r>
      <w:r w:rsidRPr="008E7712">
        <w:rPr>
          <w:i/>
          <w:iCs/>
          <w:szCs w:val="26"/>
        </w:rPr>
        <w:t>S</w:t>
      </w:r>
      <w:r w:rsidR="001E0FEE">
        <w:rPr>
          <w:i/>
          <w:iCs/>
          <w:szCs w:val="26"/>
        </w:rPr>
        <w:t>.</w:t>
      </w:r>
      <w:r w:rsidRPr="008E7712">
        <w:rPr>
          <w:i/>
          <w:iCs/>
          <w:szCs w:val="26"/>
        </w:rPr>
        <w:t xml:space="preserve"> Water and Sewer Associates</w:t>
      </w:r>
      <w:bookmarkEnd w:id="5"/>
      <w:r w:rsidRPr="008E7712">
        <w:rPr>
          <w:szCs w:val="26"/>
        </w:rPr>
        <w:t>, Docket No. R-881147, 74</w:t>
      </w:r>
      <w:r w:rsidR="00346E70">
        <w:rPr>
          <w:szCs w:val="26"/>
        </w:rPr>
        <w:t> </w:t>
      </w:r>
      <w:r w:rsidRPr="008E7712">
        <w:rPr>
          <w:szCs w:val="26"/>
        </w:rPr>
        <w:t>Pa. P.U.C. 716 (1991) (</w:t>
      </w:r>
      <w:r w:rsidRPr="008E7712">
        <w:rPr>
          <w:i/>
          <w:iCs/>
          <w:szCs w:val="26"/>
        </w:rPr>
        <w:t>C</w:t>
      </w:r>
      <w:r w:rsidR="001E0FEE">
        <w:rPr>
          <w:i/>
          <w:iCs/>
          <w:szCs w:val="26"/>
        </w:rPr>
        <w:t>.</w:t>
      </w:r>
      <w:r w:rsidRPr="008E7712">
        <w:rPr>
          <w:i/>
          <w:iCs/>
          <w:szCs w:val="26"/>
        </w:rPr>
        <w:t>S</w:t>
      </w:r>
      <w:r w:rsidR="001E0FEE">
        <w:rPr>
          <w:i/>
          <w:iCs/>
          <w:szCs w:val="26"/>
        </w:rPr>
        <w:t xml:space="preserve">. </w:t>
      </w:r>
      <w:r w:rsidRPr="008E7712">
        <w:rPr>
          <w:i/>
          <w:iCs/>
          <w:szCs w:val="26"/>
        </w:rPr>
        <w:t>Water and Sewer Associates</w:t>
      </w:r>
      <w:r w:rsidRPr="008E7712">
        <w:rPr>
          <w:szCs w:val="26"/>
        </w:rPr>
        <w:t>).</w:t>
      </w:r>
      <w:r w:rsidR="00033E61" w:rsidRPr="008E7712">
        <w:rPr>
          <w:szCs w:val="26"/>
        </w:rPr>
        <w:t xml:space="preserve"> </w:t>
      </w:r>
    </w:p>
    <w:p w14:paraId="799D77F3" w14:textId="290F9FF0" w:rsidR="00A40598" w:rsidRPr="008E7712" w:rsidRDefault="00A40598" w:rsidP="00033E61">
      <w:pPr>
        <w:tabs>
          <w:tab w:val="left" w:pos="0"/>
        </w:tabs>
        <w:kinsoku w:val="0"/>
        <w:overflowPunct w:val="0"/>
        <w:ind w:right="792" w:firstLine="1440"/>
        <w:textAlignment w:val="baseline"/>
        <w:rPr>
          <w:szCs w:val="26"/>
        </w:rPr>
      </w:pPr>
    </w:p>
    <w:p w14:paraId="1DB68D69" w14:textId="77777777" w:rsidR="00A40598" w:rsidRPr="008E7712" w:rsidRDefault="00A40598" w:rsidP="00A40598">
      <w:pPr>
        <w:ind w:firstLine="1440"/>
        <w:rPr>
          <w:color w:val="auto"/>
          <w:szCs w:val="26"/>
        </w:rPr>
      </w:pPr>
      <w:r w:rsidRPr="008E7712">
        <w:rPr>
          <w:color w:val="auto"/>
          <w:szCs w:val="26"/>
        </w:rPr>
        <w:t xml:space="preserve">As we proceed in our review of the various positions espoused in this proceeding, we are not required to consider expressly or at great length each and every contention raised by a party to our proceedings.  </w:t>
      </w:r>
      <w:r w:rsidRPr="008E7712">
        <w:rPr>
          <w:i/>
          <w:color w:val="auto"/>
          <w:szCs w:val="26"/>
        </w:rPr>
        <w:t>University of Pennsylvania</w:t>
      </w:r>
      <w:r w:rsidRPr="008E7712">
        <w:rPr>
          <w:color w:val="auto"/>
          <w:szCs w:val="26"/>
        </w:rPr>
        <w:t xml:space="preserve"> </w:t>
      </w:r>
      <w:r w:rsidRPr="008E7712">
        <w:rPr>
          <w:i/>
          <w:color w:val="auto"/>
          <w:szCs w:val="26"/>
        </w:rPr>
        <w:t>v. Pa. PUC</w:t>
      </w:r>
      <w:r w:rsidRPr="008E7712">
        <w:rPr>
          <w:color w:val="auto"/>
          <w:szCs w:val="26"/>
        </w:rPr>
        <w:t xml:space="preserve">, 485 A.2d 1217, 1222 (Pa. Cmwlth. 1984).  Any argument or aspect of the </w:t>
      </w:r>
      <w:r w:rsidRPr="00BB18BC">
        <w:rPr>
          <w:i/>
          <w:color w:val="auto"/>
        </w:rPr>
        <w:t>November</w:t>
      </w:r>
      <w:r w:rsidRPr="008E7712">
        <w:rPr>
          <w:color w:val="auto"/>
          <w:szCs w:val="26"/>
        </w:rPr>
        <w:t xml:space="preserve"> </w:t>
      </w:r>
      <w:r w:rsidRPr="00BB18BC">
        <w:rPr>
          <w:i/>
          <w:color w:val="auto"/>
        </w:rPr>
        <w:t>Order</w:t>
      </w:r>
      <w:r w:rsidRPr="008E7712">
        <w:rPr>
          <w:color w:val="auto"/>
          <w:szCs w:val="26"/>
        </w:rPr>
        <w:t xml:space="preserve"> that is not specifically addressed herein shall be deemed to have been duly considered and denied without further discussion.</w:t>
      </w:r>
    </w:p>
    <w:p w14:paraId="7F5CF402" w14:textId="348023BA" w:rsidR="00A40598" w:rsidRDefault="00A40598" w:rsidP="00A40598">
      <w:pPr>
        <w:ind w:firstLine="1440"/>
        <w:rPr>
          <w:rFonts w:eastAsiaTheme="minorHAnsi"/>
          <w:color w:val="auto"/>
          <w:szCs w:val="26"/>
        </w:rPr>
      </w:pPr>
      <w:r w:rsidRPr="008E7712">
        <w:rPr>
          <w:rFonts w:eastAsiaTheme="minorHAnsi"/>
          <w:color w:val="auto"/>
          <w:szCs w:val="26"/>
        </w:rPr>
        <w:lastRenderedPageBreak/>
        <w:t>It is axiomatic that Commission decision</w:t>
      </w:r>
      <w:r w:rsidR="00BB18BC">
        <w:rPr>
          <w:rFonts w:eastAsiaTheme="minorHAnsi"/>
          <w:color w:val="auto"/>
          <w:szCs w:val="26"/>
        </w:rPr>
        <w:t>s</w:t>
      </w:r>
      <w:r w:rsidRPr="008E7712">
        <w:rPr>
          <w:rFonts w:eastAsiaTheme="minorHAnsi"/>
          <w:color w:val="auto"/>
          <w:szCs w:val="26"/>
        </w:rPr>
        <w:t xml:space="preserve"> must be supported by substantial evidence in the record.  “Substantial evidence” is such relevant evidence that a reasonable mind might accept as adequate to support a conclusion.  More is required than a mere trace of evidence or a suspicion of the existence of a fact sought to be established.  </w:t>
      </w:r>
      <w:r w:rsidRPr="008E7712">
        <w:rPr>
          <w:rFonts w:eastAsiaTheme="minorHAnsi"/>
          <w:i/>
          <w:color w:val="auto"/>
          <w:szCs w:val="26"/>
        </w:rPr>
        <w:t>Norfolk &amp; Western Ry. Co. v. Pa. PUC</w:t>
      </w:r>
      <w:r w:rsidRPr="004B11AD">
        <w:rPr>
          <w:rFonts w:eastAsiaTheme="minorHAnsi"/>
          <w:iCs/>
          <w:color w:val="auto"/>
          <w:szCs w:val="26"/>
        </w:rPr>
        <w:t>,</w:t>
      </w:r>
      <w:r w:rsidRPr="008E7712">
        <w:rPr>
          <w:rFonts w:eastAsiaTheme="minorHAnsi"/>
          <w:i/>
          <w:color w:val="auto"/>
          <w:szCs w:val="26"/>
        </w:rPr>
        <w:t xml:space="preserve"> </w:t>
      </w:r>
      <w:r w:rsidRPr="008E7712">
        <w:rPr>
          <w:rFonts w:eastAsiaTheme="minorHAnsi"/>
          <w:color w:val="auto"/>
          <w:szCs w:val="26"/>
        </w:rPr>
        <w:t xml:space="preserve">489 Pa. 109, 413 A.2d 1037 (1980); </w:t>
      </w:r>
      <w:r w:rsidRPr="008E7712">
        <w:rPr>
          <w:rFonts w:eastAsiaTheme="minorHAnsi"/>
          <w:i/>
          <w:color w:val="auto"/>
          <w:szCs w:val="26"/>
        </w:rPr>
        <w:t>Erie</w:t>
      </w:r>
      <w:r w:rsidR="004B11AD">
        <w:rPr>
          <w:rFonts w:eastAsiaTheme="minorHAnsi"/>
          <w:i/>
          <w:color w:val="auto"/>
          <w:szCs w:val="26"/>
        </w:rPr>
        <w:t> </w:t>
      </w:r>
      <w:r w:rsidRPr="008E7712">
        <w:rPr>
          <w:rFonts w:eastAsiaTheme="minorHAnsi"/>
          <w:i/>
          <w:color w:val="auto"/>
          <w:szCs w:val="26"/>
        </w:rPr>
        <w:t>Resistor Corp. v. Unemployment Comp. Bd. of Review</w:t>
      </w:r>
      <w:r w:rsidRPr="008E7712">
        <w:rPr>
          <w:rFonts w:eastAsiaTheme="minorHAnsi"/>
          <w:color w:val="auto"/>
          <w:szCs w:val="26"/>
        </w:rPr>
        <w:t>, 166 A.2d 96 (Pa.</w:t>
      </w:r>
      <w:r w:rsidR="004B11AD">
        <w:rPr>
          <w:rFonts w:eastAsiaTheme="minorHAnsi"/>
          <w:color w:val="auto"/>
          <w:szCs w:val="26"/>
        </w:rPr>
        <w:t> </w:t>
      </w:r>
      <w:r w:rsidRPr="008E7712">
        <w:rPr>
          <w:rFonts w:eastAsiaTheme="minorHAnsi"/>
          <w:color w:val="auto"/>
          <w:szCs w:val="26"/>
        </w:rPr>
        <w:t>Super.</w:t>
      </w:r>
      <w:r w:rsidR="004B11AD">
        <w:rPr>
          <w:rFonts w:eastAsiaTheme="minorHAnsi"/>
          <w:color w:val="auto"/>
          <w:szCs w:val="26"/>
        </w:rPr>
        <w:t> </w:t>
      </w:r>
      <w:r w:rsidRPr="008E7712">
        <w:rPr>
          <w:rFonts w:eastAsiaTheme="minorHAnsi"/>
          <w:color w:val="auto"/>
          <w:szCs w:val="26"/>
        </w:rPr>
        <w:t xml:space="preserve">1961); </w:t>
      </w:r>
      <w:r w:rsidRPr="008E7712">
        <w:rPr>
          <w:rFonts w:eastAsiaTheme="minorHAnsi"/>
          <w:i/>
          <w:color w:val="auto"/>
          <w:szCs w:val="26"/>
        </w:rPr>
        <w:t>Murphy v. Comm. Dept. of Public Welfare, White Haven Center</w:t>
      </w:r>
      <w:r w:rsidRPr="008E7712">
        <w:rPr>
          <w:rFonts w:eastAsiaTheme="minorHAnsi"/>
          <w:color w:val="auto"/>
          <w:szCs w:val="26"/>
        </w:rPr>
        <w:t>, 480</w:t>
      </w:r>
      <w:r w:rsidR="004B11AD">
        <w:rPr>
          <w:rFonts w:eastAsiaTheme="minorHAnsi"/>
          <w:color w:val="auto"/>
          <w:szCs w:val="26"/>
        </w:rPr>
        <w:t> </w:t>
      </w:r>
      <w:r w:rsidRPr="008E7712">
        <w:rPr>
          <w:rFonts w:eastAsiaTheme="minorHAnsi"/>
          <w:color w:val="auto"/>
          <w:szCs w:val="26"/>
        </w:rPr>
        <w:t xml:space="preserve">A.2d 382 (Pa. Cmwlth. 1984). </w:t>
      </w:r>
    </w:p>
    <w:p w14:paraId="32E77894" w14:textId="77777777" w:rsidR="00346E70" w:rsidRPr="008E7712" w:rsidRDefault="00346E70" w:rsidP="00A40598">
      <w:pPr>
        <w:ind w:firstLine="1440"/>
        <w:rPr>
          <w:rFonts w:eastAsiaTheme="minorHAnsi"/>
          <w:color w:val="auto"/>
          <w:szCs w:val="26"/>
        </w:rPr>
      </w:pPr>
    </w:p>
    <w:p w14:paraId="4055BAF1" w14:textId="25C413CF" w:rsidR="00AA3AFE" w:rsidRPr="008E7712" w:rsidRDefault="00A40598" w:rsidP="004B11AD">
      <w:pPr>
        <w:tabs>
          <w:tab w:val="left" w:pos="0"/>
        </w:tabs>
        <w:kinsoku w:val="0"/>
        <w:overflowPunct w:val="0"/>
        <w:ind w:firstLine="1440"/>
        <w:textAlignment w:val="baseline"/>
        <w:rPr>
          <w:rFonts w:eastAsia="Calibri"/>
          <w:szCs w:val="26"/>
        </w:rPr>
      </w:pPr>
      <w:r w:rsidRPr="008E7712">
        <w:rPr>
          <w:rFonts w:eastAsia="Calibri"/>
          <w:szCs w:val="26"/>
        </w:rPr>
        <w:t>Finally, t</w:t>
      </w:r>
      <w:r w:rsidR="00AA3AFE" w:rsidRPr="008E7712">
        <w:rPr>
          <w:rFonts w:eastAsia="Calibri"/>
          <w:szCs w:val="26"/>
        </w:rPr>
        <w:t xml:space="preserve">he </w:t>
      </w:r>
      <w:r w:rsidR="003E45B2" w:rsidRPr="008E7712">
        <w:rPr>
          <w:rFonts w:eastAsia="Calibri"/>
          <w:szCs w:val="26"/>
        </w:rPr>
        <w:t>instant matter involves a b</w:t>
      </w:r>
      <w:r w:rsidR="00AA3AFE" w:rsidRPr="008E7712">
        <w:rPr>
          <w:rFonts w:eastAsia="Calibri"/>
          <w:szCs w:val="26"/>
        </w:rPr>
        <w:t xml:space="preserve">lack </w:t>
      </w:r>
      <w:r w:rsidR="003E45B2" w:rsidRPr="008E7712">
        <w:rPr>
          <w:rFonts w:eastAsia="Calibri"/>
          <w:szCs w:val="26"/>
        </w:rPr>
        <w:t>b</w:t>
      </w:r>
      <w:r w:rsidR="00AA3AFE" w:rsidRPr="008E7712">
        <w:rPr>
          <w:rFonts w:eastAsia="Calibri"/>
          <w:szCs w:val="26"/>
        </w:rPr>
        <w:t>ox settlement</w:t>
      </w:r>
      <w:r w:rsidR="00033E61" w:rsidRPr="008E7712">
        <w:rPr>
          <w:rFonts w:eastAsia="Calibri"/>
          <w:szCs w:val="26"/>
        </w:rPr>
        <w:t>.  T</w:t>
      </w:r>
      <w:r w:rsidR="003E45B2" w:rsidRPr="008E7712">
        <w:rPr>
          <w:rFonts w:eastAsia="Calibri"/>
          <w:szCs w:val="26"/>
        </w:rPr>
        <w:t xml:space="preserve">he </w:t>
      </w:r>
      <w:r w:rsidR="00033E61" w:rsidRPr="008E7712">
        <w:rPr>
          <w:rFonts w:eastAsia="Calibri"/>
          <w:szCs w:val="26"/>
        </w:rPr>
        <w:t xml:space="preserve">particular </w:t>
      </w:r>
      <w:r w:rsidR="003E45B2" w:rsidRPr="008E7712">
        <w:rPr>
          <w:rFonts w:eastAsia="Calibri"/>
          <w:szCs w:val="26"/>
        </w:rPr>
        <w:t xml:space="preserve">legal standards </w:t>
      </w:r>
      <w:r w:rsidR="00033E61" w:rsidRPr="008E7712">
        <w:rPr>
          <w:rFonts w:eastAsia="Calibri"/>
          <w:szCs w:val="26"/>
        </w:rPr>
        <w:t>applicable</w:t>
      </w:r>
      <w:r w:rsidR="003E45B2" w:rsidRPr="008E7712">
        <w:rPr>
          <w:rFonts w:eastAsia="Calibri"/>
          <w:szCs w:val="26"/>
        </w:rPr>
        <w:t xml:space="preserve"> thereto </w:t>
      </w:r>
      <w:r w:rsidR="00AA3AFE" w:rsidRPr="008E7712">
        <w:rPr>
          <w:rFonts w:eastAsia="Calibri"/>
          <w:szCs w:val="26"/>
        </w:rPr>
        <w:t>are discussed in</w:t>
      </w:r>
      <w:r w:rsidR="001378C2" w:rsidRPr="008E7712">
        <w:rPr>
          <w:rFonts w:eastAsia="Calibri"/>
          <w:szCs w:val="26"/>
        </w:rPr>
        <w:t xml:space="preserve"> Section VI (Discussion)</w:t>
      </w:r>
      <w:r w:rsidR="00AA3AFE" w:rsidRPr="008E7712">
        <w:rPr>
          <w:rFonts w:eastAsia="Calibri"/>
          <w:szCs w:val="26"/>
        </w:rPr>
        <w:t xml:space="preserve">, </w:t>
      </w:r>
      <w:r w:rsidR="00307531" w:rsidRPr="008E7712">
        <w:rPr>
          <w:rFonts w:eastAsia="Calibri"/>
          <w:i/>
          <w:iCs/>
          <w:szCs w:val="26"/>
        </w:rPr>
        <w:t>infra</w:t>
      </w:r>
      <w:r w:rsidR="00AA3AFE" w:rsidRPr="008E7712">
        <w:rPr>
          <w:rFonts w:eastAsia="Calibri"/>
          <w:szCs w:val="26"/>
        </w:rPr>
        <w:t xml:space="preserve">.  Likewise, the legal standards regarding the certification of material questions and the issuance of recommended decisions and the associated preservation of the due process rights of base rate case litigants </w:t>
      </w:r>
      <w:r w:rsidR="005F563B" w:rsidRPr="008E7712">
        <w:rPr>
          <w:rFonts w:eastAsia="Calibri"/>
          <w:szCs w:val="26"/>
        </w:rPr>
        <w:t xml:space="preserve">also </w:t>
      </w:r>
      <w:r w:rsidR="00AA3AFE" w:rsidRPr="008E7712">
        <w:rPr>
          <w:rFonts w:eastAsia="Calibri"/>
          <w:szCs w:val="26"/>
        </w:rPr>
        <w:t xml:space="preserve">are </w:t>
      </w:r>
      <w:r w:rsidR="003B6583" w:rsidRPr="008E7712">
        <w:rPr>
          <w:rFonts w:eastAsia="Calibri"/>
          <w:szCs w:val="26"/>
        </w:rPr>
        <w:t>addressed in Section VI.</w:t>
      </w:r>
    </w:p>
    <w:p w14:paraId="33F18D36" w14:textId="4CEF1036" w:rsidR="00AA3AFE" w:rsidRPr="008E7712" w:rsidRDefault="00AA3AFE" w:rsidP="00AA3AFE">
      <w:pPr>
        <w:rPr>
          <w:szCs w:val="26"/>
        </w:rPr>
      </w:pPr>
    </w:p>
    <w:p w14:paraId="0A4DCDF9" w14:textId="7503559F" w:rsidR="00530624" w:rsidRPr="008E7712" w:rsidRDefault="00082C64" w:rsidP="000F7735">
      <w:pPr>
        <w:pStyle w:val="Heading1"/>
        <w:rPr>
          <w:szCs w:val="26"/>
        </w:rPr>
      </w:pPr>
      <w:bookmarkStart w:id="6" w:name="_Toc91576489"/>
      <w:r w:rsidRPr="008E7712">
        <w:rPr>
          <w:szCs w:val="26"/>
        </w:rPr>
        <w:t>III.</w:t>
      </w:r>
      <w:r w:rsidRPr="008E7712">
        <w:rPr>
          <w:szCs w:val="26"/>
        </w:rPr>
        <w:tab/>
        <w:t>ALJ Order</w:t>
      </w:r>
      <w:bookmarkEnd w:id="6"/>
    </w:p>
    <w:p w14:paraId="1BF89905" w14:textId="77777777" w:rsidR="00B13644" w:rsidRPr="008E7712" w:rsidRDefault="00B13644" w:rsidP="00C613A1">
      <w:pPr>
        <w:rPr>
          <w:szCs w:val="26"/>
        </w:rPr>
      </w:pPr>
    </w:p>
    <w:p w14:paraId="2A3211E5" w14:textId="0E1E9857" w:rsidR="002C4D75" w:rsidRPr="008E7712" w:rsidRDefault="005E4B8E" w:rsidP="005E4B8E">
      <w:pPr>
        <w:ind w:firstLine="1440"/>
        <w:rPr>
          <w:szCs w:val="26"/>
        </w:rPr>
      </w:pPr>
      <w:r w:rsidRPr="008E7712">
        <w:rPr>
          <w:szCs w:val="26"/>
        </w:rPr>
        <w:t xml:space="preserve">The </w:t>
      </w:r>
      <w:r w:rsidRPr="00BB18BC">
        <w:rPr>
          <w:i/>
        </w:rPr>
        <w:t>November Order</w:t>
      </w:r>
      <w:r w:rsidR="00F31030" w:rsidRPr="008E7712">
        <w:rPr>
          <w:szCs w:val="26"/>
        </w:rPr>
        <w:t xml:space="preserve"> </w:t>
      </w:r>
      <w:r w:rsidR="002C4D75" w:rsidRPr="008E7712">
        <w:rPr>
          <w:szCs w:val="26"/>
        </w:rPr>
        <w:t xml:space="preserve">rejected the Settlement in its entirety and certified the following </w:t>
      </w:r>
      <w:r w:rsidR="00346A37" w:rsidRPr="008E7712">
        <w:rPr>
          <w:szCs w:val="26"/>
        </w:rPr>
        <w:t>M</w:t>
      </w:r>
      <w:r w:rsidR="002C4D75" w:rsidRPr="008E7712">
        <w:rPr>
          <w:szCs w:val="26"/>
        </w:rPr>
        <w:t xml:space="preserve">aterial </w:t>
      </w:r>
      <w:r w:rsidR="00346A37" w:rsidRPr="008E7712">
        <w:rPr>
          <w:szCs w:val="26"/>
        </w:rPr>
        <w:t>Q</w:t>
      </w:r>
      <w:r w:rsidR="002C4D75" w:rsidRPr="008E7712">
        <w:rPr>
          <w:szCs w:val="26"/>
        </w:rPr>
        <w:t>uestion for consideration pursuant to 52 Pa. Code 5.305:</w:t>
      </w:r>
    </w:p>
    <w:p w14:paraId="18E4525E" w14:textId="77777777" w:rsidR="00B13644" w:rsidRPr="008E7712" w:rsidRDefault="00B13644" w:rsidP="00346E70">
      <w:pPr>
        <w:spacing w:line="240" w:lineRule="auto"/>
        <w:ind w:firstLine="1440"/>
        <w:rPr>
          <w:szCs w:val="26"/>
        </w:rPr>
      </w:pPr>
    </w:p>
    <w:p w14:paraId="60A9539E" w14:textId="5BCBA03F" w:rsidR="002C4D75" w:rsidRPr="008E7712" w:rsidRDefault="002C4D75" w:rsidP="003563ED">
      <w:pPr>
        <w:spacing w:line="240" w:lineRule="auto"/>
        <w:ind w:left="2160" w:right="1440"/>
        <w:rPr>
          <w:rFonts w:eastAsiaTheme="minorHAnsi"/>
          <w:color w:val="auto"/>
          <w:szCs w:val="26"/>
        </w:rPr>
      </w:pPr>
      <w:bookmarkStart w:id="7" w:name="_Hlk87011731"/>
      <w:r w:rsidRPr="008E7712">
        <w:rPr>
          <w:rFonts w:eastAsiaTheme="minorHAnsi"/>
          <w:color w:val="auto"/>
          <w:szCs w:val="26"/>
        </w:rPr>
        <w:t>Whether the action of the presiding Administrative Law Judge rejecting the proposed Joint Settlement filed by the parties in the consolidated proceeding at Docket Nos. R-2021-3025206 and R</w:t>
      </w:r>
      <w:r w:rsidR="00B13644" w:rsidRPr="008E7712">
        <w:rPr>
          <w:rFonts w:eastAsiaTheme="minorHAnsi"/>
          <w:color w:val="auto"/>
          <w:szCs w:val="26"/>
        </w:rPr>
        <w:noBreakHyphen/>
      </w:r>
      <w:r w:rsidRPr="008E7712">
        <w:rPr>
          <w:rFonts w:eastAsiaTheme="minorHAnsi"/>
          <w:color w:val="auto"/>
          <w:szCs w:val="26"/>
        </w:rPr>
        <w:t>2021-3025207 was proper?</w:t>
      </w:r>
    </w:p>
    <w:p w14:paraId="24D36838" w14:textId="77777777" w:rsidR="002C4D75" w:rsidRPr="008E7712" w:rsidRDefault="002C4D75" w:rsidP="003563ED">
      <w:pPr>
        <w:spacing w:line="240" w:lineRule="auto"/>
        <w:ind w:left="2160" w:right="720"/>
        <w:rPr>
          <w:rFonts w:eastAsiaTheme="minorHAnsi"/>
          <w:color w:val="auto"/>
          <w:szCs w:val="26"/>
        </w:rPr>
      </w:pPr>
    </w:p>
    <w:p w14:paraId="5AF9CF6E" w14:textId="7C6BF3C7" w:rsidR="002C4D75" w:rsidRPr="008E7712" w:rsidRDefault="002C4D75" w:rsidP="003563ED">
      <w:pPr>
        <w:tabs>
          <w:tab w:val="left" w:pos="1395"/>
        </w:tabs>
        <w:ind w:left="2160"/>
        <w:rPr>
          <w:rFonts w:eastAsiaTheme="minorHAnsi"/>
          <w:color w:val="auto"/>
          <w:szCs w:val="26"/>
        </w:rPr>
      </w:pPr>
      <w:r w:rsidRPr="008E7712">
        <w:rPr>
          <w:rFonts w:eastAsiaTheme="minorHAnsi"/>
          <w:color w:val="auto"/>
          <w:szCs w:val="26"/>
        </w:rPr>
        <w:t>Suggested Answer: Yes.</w:t>
      </w:r>
    </w:p>
    <w:p w14:paraId="781E8B60" w14:textId="4E129CEC" w:rsidR="002C4D75" w:rsidRPr="008E7712" w:rsidRDefault="002C4D75" w:rsidP="004B11AD">
      <w:pPr>
        <w:tabs>
          <w:tab w:val="left" w:pos="1395"/>
        </w:tabs>
        <w:spacing w:line="240" w:lineRule="auto"/>
        <w:rPr>
          <w:rFonts w:eastAsiaTheme="minorHAnsi"/>
          <w:color w:val="auto"/>
          <w:szCs w:val="26"/>
        </w:rPr>
      </w:pPr>
    </w:p>
    <w:p w14:paraId="3B1AF196" w14:textId="276BDA3B" w:rsidR="002C4D75" w:rsidRPr="008E7712" w:rsidRDefault="002C4D75" w:rsidP="002C4D75">
      <w:pPr>
        <w:tabs>
          <w:tab w:val="left" w:pos="1395"/>
        </w:tabs>
        <w:rPr>
          <w:rFonts w:eastAsiaTheme="minorHAnsi"/>
          <w:color w:val="auto"/>
          <w:szCs w:val="26"/>
        </w:rPr>
      </w:pPr>
      <w:r w:rsidRPr="00BB18BC">
        <w:rPr>
          <w:rFonts w:eastAsiaTheme="minorHAnsi"/>
          <w:i/>
          <w:color w:val="auto"/>
        </w:rPr>
        <w:t>November Order</w:t>
      </w:r>
      <w:r w:rsidRPr="008E7712">
        <w:rPr>
          <w:rFonts w:eastAsiaTheme="minorHAnsi"/>
          <w:color w:val="auto"/>
          <w:szCs w:val="26"/>
        </w:rPr>
        <w:t xml:space="preserve"> at 3.</w:t>
      </w:r>
    </w:p>
    <w:p w14:paraId="6F9FCEE4" w14:textId="03B60444" w:rsidR="002C4D75" w:rsidRPr="008E7712" w:rsidRDefault="002C4D75" w:rsidP="002C4D75">
      <w:pPr>
        <w:tabs>
          <w:tab w:val="left" w:pos="1395"/>
        </w:tabs>
        <w:rPr>
          <w:rFonts w:eastAsiaTheme="minorHAnsi"/>
          <w:color w:val="auto"/>
          <w:szCs w:val="26"/>
        </w:rPr>
      </w:pPr>
    </w:p>
    <w:p w14:paraId="746FA3EF" w14:textId="31CADBAE" w:rsidR="001B10E0" w:rsidRDefault="002C4D75" w:rsidP="002C4D75">
      <w:pPr>
        <w:tabs>
          <w:tab w:val="left" w:pos="1395"/>
        </w:tabs>
        <w:ind w:firstLine="1440"/>
        <w:rPr>
          <w:rFonts w:eastAsiaTheme="minorHAnsi"/>
          <w:color w:val="auto"/>
          <w:szCs w:val="26"/>
        </w:rPr>
      </w:pPr>
      <w:r w:rsidRPr="008E7712">
        <w:rPr>
          <w:rFonts w:eastAsiaTheme="minorHAnsi"/>
          <w:color w:val="auto"/>
          <w:szCs w:val="26"/>
        </w:rPr>
        <w:lastRenderedPageBreak/>
        <w:t>After discussi</w:t>
      </w:r>
      <w:r w:rsidR="00B13644" w:rsidRPr="008E7712">
        <w:rPr>
          <w:rFonts w:eastAsiaTheme="minorHAnsi"/>
          <w:color w:val="auto"/>
          <w:szCs w:val="26"/>
        </w:rPr>
        <w:t>ng</w:t>
      </w:r>
      <w:r w:rsidRPr="008E7712">
        <w:rPr>
          <w:rFonts w:eastAsiaTheme="minorHAnsi"/>
          <w:color w:val="auto"/>
          <w:szCs w:val="26"/>
        </w:rPr>
        <w:t xml:space="preserve"> the </w:t>
      </w:r>
      <w:r w:rsidR="00295BD6" w:rsidRPr="008E7712">
        <w:rPr>
          <w:rFonts w:eastAsiaTheme="minorHAnsi"/>
          <w:color w:val="auto"/>
          <w:szCs w:val="26"/>
        </w:rPr>
        <w:t>terms and conditions in the Joint Petition for Settlement</w:t>
      </w:r>
      <w:r w:rsidR="00B13644" w:rsidRPr="008E7712">
        <w:rPr>
          <w:rFonts w:eastAsiaTheme="minorHAnsi"/>
          <w:color w:val="auto"/>
          <w:szCs w:val="26"/>
        </w:rPr>
        <w:t xml:space="preserve"> (</w:t>
      </w:r>
      <w:r w:rsidR="00295BD6" w:rsidRPr="00BB18BC">
        <w:rPr>
          <w:rFonts w:eastAsiaTheme="minorHAnsi"/>
          <w:i/>
          <w:color w:val="auto"/>
        </w:rPr>
        <w:t>November Order</w:t>
      </w:r>
      <w:r w:rsidR="00295BD6" w:rsidRPr="008E7712">
        <w:rPr>
          <w:rFonts w:eastAsiaTheme="minorHAnsi"/>
          <w:color w:val="auto"/>
          <w:szCs w:val="26"/>
        </w:rPr>
        <w:t xml:space="preserve"> at 11-18</w:t>
      </w:r>
      <w:r w:rsidR="00B13644" w:rsidRPr="008E7712">
        <w:rPr>
          <w:rFonts w:eastAsiaTheme="minorHAnsi"/>
          <w:color w:val="auto"/>
          <w:szCs w:val="26"/>
        </w:rPr>
        <w:t>)</w:t>
      </w:r>
      <w:r w:rsidR="00295BD6" w:rsidRPr="008E7712">
        <w:rPr>
          <w:rFonts w:eastAsiaTheme="minorHAnsi"/>
          <w:color w:val="auto"/>
          <w:szCs w:val="26"/>
        </w:rPr>
        <w:t>, CUPA’s 2019 general rate proceedings</w:t>
      </w:r>
      <w:r w:rsidR="00B13644" w:rsidRPr="008E7712">
        <w:rPr>
          <w:rFonts w:eastAsiaTheme="minorHAnsi"/>
          <w:color w:val="auto"/>
          <w:szCs w:val="26"/>
        </w:rPr>
        <w:t xml:space="preserve"> (</w:t>
      </w:r>
      <w:r w:rsidR="00295BD6" w:rsidRPr="00BB18BC">
        <w:rPr>
          <w:rFonts w:eastAsiaTheme="minorHAnsi"/>
          <w:i/>
          <w:color w:val="auto"/>
        </w:rPr>
        <w:t>November Order</w:t>
      </w:r>
      <w:r w:rsidR="00295BD6" w:rsidRPr="008E7712">
        <w:rPr>
          <w:rFonts w:eastAsiaTheme="minorHAnsi"/>
          <w:color w:val="auto"/>
          <w:szCs w:val="26"/>
        </w:rPr>
        <w:t xml:space="preserve"> at 18-19</w:t>
      </w:r>
      <w:r w:rsidR="00B13644" w:rsidRPr="008E7712">
        <w:rPr>
          <w:rFonts w:eastAsiaTheme="minorHAnsi"/>
          <w:color w:val="auto"/>
          <w:szCs w:val="26"/>
        </w:rPr>
        <w:t>)</w:t>
      </w:r>
      <w:r w:rsidR="00295BD6" w:rsidRPr="008E7712">
        <w:rPr>
          <w:rFonts w:eastAsiaTheme="minorHAnsi"/>
          <w:color w:val="auto"/>
          <w:szCs w:val="26"/>
        </w:rPr>
        <w:t>, and the Public Input testimony of June 29, 2021</w:t>
      </w:r>
      <w:r w:rsidR="00B13644" w:rsidRPr="008E7712">
        <w:rPr>
          <w:rFonts w:eastAsiaTheme="minorHAnsi"/>
          <w:color w:val="auto"/>
          <w:szCs w:val="26"/>
        </w:rPr>
        <w:t xml:space="preserve"> </w:t>
      </w:r>
      <w:r w:rsidR="00823F50" w:rsidRPr="008E7712">
        <w:rPr>
          <w:rFonts w:eastAsiaTheme="minorHAnsi"/>
          <w:color w:val="auto"/>
          <w:szCs w:val="26"/>
        </w:rPr>
        <w:t>(</w:t>
      </w:r>
      <w:r w:rsidR="00295BD6" w:rsidRPr="00BB18BC">
        <w:rPr>
          <w:rFonts w:eastAsiaTheme="minorHAnsi"/>
          <w:i/>
          <w:color w:val="auto"/>
        </w:rPr>
        <w:t>November</w:t>
      </w:r>
      <w:r w:rsidR="00295BD6" w:rsidRPr="008E7712">
        <w:rPr>
          <w:rFonts w:eastAsiaTheme="minorHAnsi"/>
          <w:color w:val="auto"/>
          <w:szCs w:val="26"/>
        </w:rPr>
        <w:t xml:space="preserve"> </w:t>
      </w:r>
      <w:r w:rsidR="00295BD6" w:rsidRPr="00BB18BC">
        <w:rPr>
          <w:rFonts w:eastAsiaTheme="minorHAnsi"/>
          <w:i/>
          <w:color w:val="auto"/>
        </w:rPr>
        <w:t>Order</w:t>
      </w:r>
      <w:r w:rsidR="00295BD6" w:rsidRPr="008E7712">
        <w:rPr>
          <w:rFonts w:eastAsiaTheme="minorHAnsi"/>
          <w:color w:val="auto"/>
          <w:szCs w:val="26"/>
        </w:rPr>
        <w:t xml:space="preserve"> at 19-24</w:t>
      </w:r>
      <w:r w:rsidR="00823F50" w:rsidRPr="008E7712">
        <w:rPr>
          <w:rFonts w:eastAsiaTheme="minorHAnsi"/>
          <w:color w:val="auto"/>
          <w:szCs w:val="26"/>
        </w:rPr>
        <w:t>)</w:t>
      </w:r>
      <w:r w:rsidR="00295BD6" w:rsidRPr="008E7712">
        <w:rPr>
          <w:rFonts w:eastAsiaTheme="minorHAnsi"/>
          <w:color w:val="auto"/>
          <w:szCs w:val="26"/>
        </w:rPr>
        <w:t xml:space="preserve">, </w:t>
      </w:r>
      <w:r w:rsidR="00167058">
        <w:rPr>
          <w:rFonts w:eastAsiaTheme="minorHAnsi"/>
          <w:color w:val="auto"/>
          <w:szCs w:val="26"/>
        </w:rPr>
        <w:t xml:space="preserve">the </w:t>
      </w:r>
      <w:r w:rsidR="00295BD6" w:rsidRPr="008E7712">
        <w:rPr>
          <w:rFonts w:eastAsiaTheme="minorHAnsi"/>
          <w:color w:val="auto"/>
          <w:szCs w:val="26"/>
        </w:rPr>
        <w:t>ALJ concluded that the Settlement was not in the public interest</w:t>
      </w:r>
      <w:r w:rsidR="001B10E0" w:rsidRPr="008E7712">
        <w:rPr>
          <w:rFonts w:eastAsiaTheme="minorHAnsi"/>
          <w:color w:val="auto"/>
          <w:szCs w:val="26"/>
        </w:rPr>
        <w:t>, would not result in just and reasonable rates,</w:t>
      </w:r>
      <w:r w:rsidR="00295BD6" w:rsidRPr="008E7712">
        <w:rPr>
          <w:rFonts w:eastAsiaTheme="minorHAnsi"/>
          <w:color w:val="auto"/>
          <w:szCs w:val="26"/>
        </w:rPr>
        <w:t xml:space="preserve"> and </w:t>
      </w:r>
      <w:r w:rsidR="001B10E0" w:rsidRPr="008E7712">
        <w:rPr>
          <w:rFonts w:eastAsiaTheme="minorHAnsi"/>
          <w:color w:val="auto"/>
          <w:szCs w:val="26"/>
        </w:rPr>
        <w:t xml:space="preserve">thus, </w:t>
      </w:r>
      <w:r w:rsidR="00295BD6" w:rsidRPr="008E7712">
        <w:rPr>
          <w:rFonts w:eastAsiaTheme="minorHAnsi"/>
          <w:color w:val="auto"/>
          <w:szCs w:val="26"/>
        </w:rPr>
        <w:t xml:space="preserve">should be rejected.  The main reasons for his rejection of the </w:t>
      </w:r>
      <w:r w:rsidR="00F817FB">
        <w:rPr>
          <w:rFonts w:eastAsiaTheme="minorHAnsi"/>
          <w:color w:val="auto"/>
          <w:szCs w:val="26"/>
        </w:rPr>
        <w:t>Settlement</w:t>
      </w:r>
      <w:r w:rsidR="00295BD6" w:rsidRPr="008E7712">
        <w:rPr>
          <w:rFonts w:eastAsiaTheme="minorHAnsi"/>
          <w:color w:val="auto"/>
          <w:szCs w:val="26"/>
        </w:rPr>
        <w:t xml:space="preserve"> were:</w:t>
      </w:r>
      <w:r w:rsidR="00AC7D40">
        <w:rPr>
          <w:rFonts w:eastAsiaTheme="minorHAnsi"/>
          <w:color w:val="auto"/>
          <w:szCs w:val="26"/>
        </w:rPr>
        <w:t xml:space="preserve"> </w:t>
      </w:r>
      <w:r w:rsidR="00295BD6" w:rsidRPr="008E7712">
        <w:rPr>
          <w:rFonts w:eastAsiaTheme="minorHAnsi"/>
          <w:color w:val="auto"/>
          <w:szCs w:val="26"/>
        </w:rPr>
        <w:t xml:space="preserve"> </w:t>
      </w:r>
      <w:r w:rsidR="00823F50" w:rsidRPr="008E7712">
        <w:rPr>
          <w:rFonts w:eastAsiaTheme="minorHAnsi"/>
          <w:color w:val="auto"/>
          <w:szCs w:val="26"/>
        </w:rPr>
        <w:t>(</w:t>
      </w:r>
      <w:r w:rsidR="00295BD6" w:rsidRPr="008E7712">
        <w:rPr>
          <w:rFonts w:eastAsiaTheme="minorHAnsi"/>
          <w:color w:val="auto"/>
          <w:szCs w:val="26"/>
        </w:rPr>
        <w:t xml:space="preserve">1) rate shock and gradualism; </w:t>
      </w:r>
      <w:r w:rsidR="00823F50" w:rsidRPr="008E7712">
        <w:rPr>
          <w:rFonts w:eastAsiaTheme="minorHAnsi"/>
          <w:color w:val="auto"/>
          <w:szCs w:val="26"/>
        </w:rPr>
        <w:t>(</w:t>
      </w:r>
      <w:r w:rsidR="00295BD6" w:rsidRPr="008E7712">
        <w:rPr>
          <w:rFonts w:eastAsiaTheme="minorHAnsi"/>
          <w:color w:val="auto"/>
          <w:szCs w:val="26"/>
        </w:rPr>
        <w:t>2)</w:t>
      </w:r>
      <w:r w:rsidR="004B11AD">
        <w:rPr>
          <w:rFonts w:eastAsiaTheme="minorHAnsi"/>
          <w:color w:val="auto"/>
          <w:szCs w:val="26"/>
        </w:rPr>
        <w:t> </w:t>
      </w:r>
      <w:r w:rsidR="00295BD6" w:rsidRPr="008E7712">
        <w:rPr>
          <w:rFonts w:eastAsiaTheme="minorHAnsi"/>
          <w:color w:val="auto"/>
          <w:szCs w:val="26"/>
        </w:rPr>
        <w:t>a</w:t>
      </w:r>
      <w:r w:rsidR="001B10E0" w:rsidRPr="008E7712">
        <w:rPr>
          <w:rFonts w:eastAsiaTheme="minorHAnsi"/>
          <w:color w:val="auto"/>
          <w:szCs w:val="26"/>
        </w:rPr>
        <w:t xml:space="preserve">n inadequate stay out period; and </w:t>
      </w:r>
      <w:r w:rsidR="00823F50" w:rsidRPr="008E7712">
        <w:rPr>
          <w:rFonts w:eastAsiaTheme="minorHAnsi"/>
          <w:color w:val="auto"/>
          <w:szCs w:val="26"/>
        </w:rPr>
        <w:t>(</w:t>
      </w:r>
      <w:r w:rsidR="001B10E0" w:rsidRPr="008E7712">
        <w:rPr>
          <w:rFonts w:eastAsiaTheme="minorHAnsi"/>
          <w:color w:val="auto"/>
          <w:szCs w:val="26"/>
        </w:rPr>
        <w:t xml:space="preserve">3) quality of service concerns.  </w:t>
      </w:r>
      <w:r w:rsidR="001B10E0" w:rsidRPr="00BB18BC">
        <w:rPr>
          <w:rFonts w:eastAsiaTheme="minorHAnsi"/>
          <w:i/>
          <w:color w:val="auto"/>
        </w:rPr>
        <w:t>November Order</w:t>
      </w:r>
      <w:r w:rsidR="001B10E0" w:rsidRPr="008E7712">
        <w:rPr>
          <w:rFonts w:eastAsiaTheme="minorHAnsi"/>
          <w:color w:val="auto"/>
          <w:szCs w:val="26"/>
        </w:rPr>
        <w:t xml:space="preserve"> at</w:t>
      </w:r>
      <w:r w:rsidR="00E7471F">
        <w:rPr>
          <w:rFonts w:eastAsiaTheme="minorHAnsi"/>
          <w:color w:val="auto"/>
          <w:szCs w:val="26"/>
        </w:rPr>
        <w:t> </w:t>
      </w:r>
      <w:r w:rsidR="001B10E0" w:rsidRPr="008E7712">
        <w:rPr>
          <w:rFonts w:eastAsiaTheme="minorHAnsi"/>
          <w:color w:val="auto"/>
          <w:szCs w:val="26"/>
        </w:rPr>
        <w:t>27</w:t>
      </w:r>
      <w:r w:rsidR="00E7471F">
        <w:rPr>
          <w:rFonts w:eastAsiaTheme="minorHAnsi"/>
          <w:color w:val="auto"/>
          <w:szCs w:val="26"/>
        </w:rPr>
        <w:noBreakHyphen/>
      </w:r>
      <w:r w:rsidR="001B10E0" w:rsidRPr="008E7712">
        <w:rPr>
          <w:rFonts w:eastAsiaTheme="minorHAnsi"/>
          <w:color w:val="auto"/>
          <w:szCs w:val="26"/>
        </w:rPr>
        <w:t>36.</w:t>
      </w:r>
    </w:p>
    <w:p w14:paraId="653E3E22" w14:textId="77777777" w:rsidR="00B47302" w:rsidRPr="008E7712" w:rsidRDefault="00B47302" w:rsidP="002C4D75">
      <w:pPr>
        <w:tabs>
          <w:tab w:val="left" w:pos="1395"/>
        </w:tabs>
        <w:ind w:firstLine="1440"/>
        <w:rPr>
          <w:rFonts w:eastAsiaTheme="minorHAnsi"/>
          <w:color w:val="auto"/>
          <w:szCs w:val="26"/>
        </w:rPr>
      </w:pPr>
    </w:p>
    <w:p w14:paraId="63EEE67A" w14:textId="508E05ED" w:rsidR="00530624" w:rsidRPr="008E7712" w:rsidRDefault="001B10E0" w:rsidP="001B10E0">
      <w:pPr>
        <w:tabs>
          <w:tab w:val="left" w:pos="1395"/>
        </w:tabs>
        <w:ind w:firstLine="1440"/>
        <w:rPr>
          <w:szCs w:val="26"/>
        </w:rPr>
      </w:pPr>
      <w:r w:rsidRPr="008E7712">
        <w:rPr>
          <w:rFonts w:eastAsiaTheme="minorHAnsi"/>
          <w:color w:val="auto"/>
          <w:szCs w:val="26"/>
        </w:rPr>
        <w:t xml:space="preserve">Each of the issues is discussed in detail in the Discussion Section </w:t>
      </w:r>
      <w:r w:rsidR="00823F50" w:rsidRPr="008E7712">
        <w:rPr>
          <w:rFonts w:eastAsiaTheme="minorHAnsi"/>
          <w:color w:val="auto"/>
          <w:szCs w:val="26"/>
        </w:rPr>
        <w:t>(Section</w:t>
      </w:r>
      <w:r w:rsidR="00B47302">
        <w:rPr>
          <w:rFonts w:eastAsiaTheme="minorHAnsi"/>
          <w:color w:val="auto"/>
          <w:szCs w:val="26"/>
        </w:rPr>
        <w:t> </w:t>
      </w:r>
      <w:r w:rsidR="00823F50" w:rsidRPr="008E7712">
        <w:rPr>
          <w:rFonts w:eastAsiaTheme="minorHAnsi"/>
          <w:color w:val="auto"/>
          <w:szCs w:val="26"/>
        </w:rPr>
        <w:t xml:space="preserve">VI) </w:t>
      </w:r>
      <w:r w:rsidRPr="008E7712">
        <w:rPr>
          <w:rFonts w:eastAsiaTheme="minorHAnsi"/>
          <w:color w:val="auto"/>
          <w:szCs w:val="26"/>
        </w:rPr>
        <w:t>of this Opinion and Order.</w:t>
      </w:r>
      <w:bookmarkEnd w:id="7"/>
    </w:p>
    <w:p w14:paraId="5A844B0B" w14:textId="77777777" w:rsidR="00082C64" w:rsidRPr="008E7712" w:rsidRDefault="00082C64" w:rsidP="00AA3AFE">
      <w:pPr>
        <w:rPr>
          <w:szCs w:val="26"/>
        </w:rPr>
      </w:pPr>
    </w:p>
    <w:p w14:paraId="3C87F4A4" w14:textId="4B0DF460" w:rsidR="00115B21" w:rsidRPr="008E7712" w:rsidRDefault="00115B21" w:rsidP="00181449">
      <w:pPr>
        <w:pStyle w:val="Heading1"/>
        <w:keepNext/>
        <w:rPr>
          <w:szCs w:val="26"/>
        </w:rPr>
      </w:pPr>
      <w:bookmarkStart w:id="8" w:name="_Toc91576490"/>
      <w:r w:rsidRPr="008E7712">
        <w:rPr>
          <w:szCs w:val="26"/>
        </w:rPr>
        <w:t>I</w:t>
      </w:r>
      <w:r w:rsidR="00196B97" w:rsidRPr="008E7712">
        <w:rPr>
          <w:szCs w:val="26"/>
        </w:rPr>
        <w:t>V</w:t>
      </w:r>
      <w:r w:rsidRPr="008E7712">
        <w:rPr>
          <w:szCs w:val="26"/>
        </w:rPr>
        <w:t>.</w:t>
      </w:r>
      <w:r w:rsidRPr="008E7712">
        <w:rPr>
          <w:szCs w:val="26"/>
        </w:rPr>
        <w:tab/>
        <w:t>T</w:t>
      </w:r>
      <w:r w:rsidR="00A327B7" w:rsidRPr="008E7712">
        <w:rPr>
          <w:szCs w:val="26"/>
        </w:rPr>
        <w:t>erms and Conditions of Settlement</w:t>
      </w:r>
      <w:bookmarkEnd w:id="8"/>
    </w:p>
    <w:p w14:paraId="7A8DE842" w14:textId="7561F73E" w:rsidR="00115B21" w:rsidRPr="008E7712" w:rsidRDefault="00115B21" w:rsidP="00181449">
      <w:pPr>
        <w:keepNext/>
        <w:rPr>
          <w:b/>
          <w:bCs/>
          <w:szCs w:val="26"/>
        </w:rPr>
      </w:pPr>
    </w:p>
    <w:p w14:paraId="05AC1788" w14:textId="1C4110D6" w:rsidR="001C130C" w:rsidRPr="008E7712" w:rsidRDefault="001C130C" w:rsidP="001C130C">
      <w:pPr>
        <w:ind w:firstLine="1440"/>
        <w:textAlignment w:val="baseline"/>
        <w:rPr>
          <w:szCs w:val="26"/>
        </w:rPr>
      </w:pPr>
      <w:r w:rsidRPr="008E7712">
        <w:rPr>
          <w:szCs w:val="26"/>
        </w:rPr>
        <w:t>The Settlement consists of the following terms and conditions, excerpted in relevant part</w:t>
      </w:r>
      <w:r w:rsidR="005F563B" w:rsidRPr="008E7712">
        <w:rPr>
          <w:szCs w:val="26"/>
        </w:rPr>
        <w:t xml:space="preserve"> from the Joint Petition</w:t>
      </w:r>
      <w:r w:rsidR="0004518C" w:rsidRPr="008E7712">
        <w:rPr>
          <w:szCs w:val="26"/>
        </w:rPr>
        <w:t xml:space="preserve"> (footnotes omitted)</w:t>
      </w:r>
      <w:r w:rsidRPr="008E7712">
        <w:rPr>
          <w:szCs w:val="26"/>
        </w:rPr>
        <w:t>:</w:t>
      </w:r>
    </w:p>
    <w:p w14:paraId="4A56F970" w14:textId="77777777" w:rsidR="001C130C" w:rsidRPr="008E7712" w:rsidRDefault="001C130C" w:rsidP="00B47302">
      <w:pPr>
        <w:keepNext/>
        <w:spacing w:line="240" w:lineRule="auto"/>
        <w:rPr>
          <w:b/>
          <w:bCs/>
          <w:szCs w:val="26"/>
        </w:rPr>
      </w:pPr>
    </w:p>
    <w:p w14:paraId="6D31CC81" w14:textId="2CE18C98" w:rsidR="00282C75" w:rsidRPr="008E7712" w:rsidRDefault="00282C75" w:rsidP="00233BB9">
      <w:pPr>
        <w:keepNext/>
        <w:spacing w:line="240" w:lineRule="auto"/>
        <w:ind w:left="1440" w:right="1440" w:firstLine="720"/>
        <w:rPr>
          <w:szCs w:val="26"/>
        </w:rPr>
      </w:pPr>
      <w:r w:rsidRPr="008E7712">
        <w:rPr>
          <w:szCs w:val="26"/>
        </w:rPr>
        <w:t>1.</w:t>
      </w:r>
      <w:r w:rsidRPr="008E7712">
        <w:rPr>
          <w:szCs w:val="26"/>
        </w:rPr>
        <w:tab/>
        <w:t xml:space="preserve">The Company, I&amp;E, OCA, and the OSBA engaged in a series of long, detailed, and productive discussions to determine if, consistent with the Commission’s policy to “encourage settlements,” stated at 52 Pa. Code §5.231(a), a settlement was possible.  After extensive discovery by I&amp;E, OCA, and OSBA and testimonial presentation by all parties, CUPA, I&amp;E, OSBA, and OCA engaged in an even more extensive series of settlement negotiations.  The settlement provided in this Joint Petition is the product of those comprehensive negotiations, representing give-and-take by all Joint Petitioners, and which resulted in a settlement that is in the public interest balancing CUPA’s significant investment to modernize facilities in its territories and the need for cost-based rates and measures to further enhance service and future performance with the principle of gradualism in rate changes and recognition of potential ongoing financial hardships for some customers resulting from the COVID-19 pandemic.  In response to service </w:t>
      </w:r>
      <w:r w:rsidRPr="008E7712">
        <w:rPr>
          <w:szCs w:val="26"/>
        </w:rPr>
        <w:lastRenderedPageBreak/>
        <w:t xml:space="preserve">concerns raised by customers, the proposed Settlement imposes requirements to investigate pressure and water supply and increase communication with customers and the statutory advocates to enable them to monitor progress.  The settlement is a typical “black box” settlement; that is, without admission on any particular issue though the terms agreed to are enforceable upon approval by the Commission.  The Joint Petitioners agree that this settlement is a reasonable resolution of competing positions and interests in a way that meets and promotes the public interest.  It also avoids significant rate case and time and expense of all involved and avoids further expense including expensive briefing, </w:t>
      </w:r>
      <w:proofErr w:type="gramStart"/>
      <w:r w:rsidRPr="008E7712">
        <w:rPr>
          <w:szCs w:val="26"/>
        </w:rPr>
        <w:t>exceptions</w:t>
      </w:r>
      <w:proofErr w:type="gramEnd"/>
      <w:r w:rsidRPr="008E7712">
        <w:rPr>
          <w:szCs w:val="26"/>
        </w:rPr>
        <w:t xml:space="preserve"> and potential appeals.</w:t>
      </w:r>
      <w:r w:rsidR="004930CB" w:rsidRPr="008E7712">
        <w:rPr>
          <w:szCs w:val="26"/>
        </w:rPr>
        <w:t xml:space="preserve">  </w:t>
      </w:r>
      <w:r w:rsidRPr="008E7712">
        <w:rPr>
          <w:szCs w:val="26"/>
        </w:rPr>
        <w:t xml:space="preserve">Under prevailing Pennsylvania law, the reasonable rate case costs are borne by the ratepayers.  The proposed Settlement consists of the following terms and conditions: </w:t>
      </w:r>
    </w:p>
    <w:p w14:paraId="6C47448C" w14:textId="77777777" w:rsidR="00EB7CBC" w:rsidRPr="008E7712" w:rsidRDefault="00EB7CBC" w:rsidP="00233BB9">
      <w:pPr>
        <w:spacing w:line="240" w:lineRule="auto"/>
        <w:ind w:left="1440" w:right="1440" w:firstLine="720"/>
        <w:rPr>
          <w:szCs w:val="26"/>
        </w:rPr>
      </w:pPr>
    </w:p>
    <w:p w14:paraId="2A7F653B" w14:textId="47FCF0A3" w:rsidR="00282C75" w:rsidRPr="008E7712" w:rsidRDefault="00282C75" w:rsidP="00233BB9">
      <w:pPr>
        <w:keepNext/>
        <w:spacing w:line="240" w:lineRule="auto"/>
        <w:ind w:left="1440"/>
        <w:rPr>
          <w:b/>
          <w:bCs/>
          <w:szCs w:val="26"/>
          <w:u w:color="000000"/>
        </w:rPr>
      </w:pPr>
      <w:bookmarkStart w:id="9" w:name="_Toc162076"/>
      <w:r w:rsidRPr="008E7712">
        <w:rPr>
          <w:b/>
          <w:bCs/>
          <w:szCs w:val="26"/>
        </w:rPr>
        <w:t>A.</w:t>
      </w:r>
      <w:r w:rsidRPr="008E7712">
        <w:rPr>
          <w:b/>
          <w:bCs/>
          <w:szCs w:val="26"/>
        </w:rPr>
        <w:tab/>
      </w:r>
      <w:r w:rsidRPr="008E7712">
        <w:rPr>
          <w:b/>
          <w:bCs/>
          <w:szCs w:val="26"/>
          <w:u w:color="000000"/>
        </w:rPr>
        <w:t xml:space="preserve">Revenue Requirement Increase </w:t>
      </w:r>
      <w:r w:rsidR="00EB7CBC" w:rsidRPr="008E7712">
        <w:rPr>
          <w:b/>
          <w:bCs/>
          <w:szCs w:val="26"/>
          <w:u w:color="000000"/>
        </w:rPr>
        <w:t>–</w:t>
      </w:r>
      <w:r w:rsidRPr="008E7712">
        <w:rPr>
          <w:b/>
          <w:bCs/>
          <w:szCs w:val="26"/>
          <w:u w:color="000000"/>
        </w:rPr>
        <w:t xml:space="preserve"> Water</w:t>
      </w:r>
      <w:bookmarkEnd w:id="9"/>
    </w:p>
    <w:p w14:paraId="6096F3DD" w14:textId="77777777" w:rsidR="00807EC0" w:rsidRPr="008E7712" w:rsidRDefault="00807EC0" w:rsidP="00233BB9">
      <w:pPr>
        <w:keepNext/>
        <w:tabs>
          <w:tab w:val="center" w:pos="817"/>
          <w:tab w:val="right" w:pos="9427"/>
        </w:tabs>
        <w:spacing w:line="240" w:lineRule="auto"/>
        <w:ind w:left="1440" w:right="1440" w:firstLine="720"/>
        <w:rPr>
          <w:rFonts w:eastAsia="Calibri"/>
          <w:szCs w:val="26"/>
        </w:rPr>
      </w:pPr>
    </w:p>
    <w:p w14:paraId="6D551173" w14:textId="10C52A4F" w:rsidR="00282C75" w:rsidRPr="008E7712" w:rsidRDefault="00282C75" w:rsidP="00233BB9">
      <w:pPr>
        <w:keepNext/>
        <w:spacing w:line="240" w:lineRule="auto"/>
        <w:ind w:left="1440" w:right="1440" w:firstLine="720"/>
        <w:rPr>
          <w:szCs w:val="26"/>
        </w:rPr>
      </w:pPr>
      <w:r w:rsidRPr="008E7712">
        <w:rPr>
          <w:szCs w:val="26"/>
        </w:rPr>
        <w:t>2.</w:t>
      </w:r>
      <w:r w:rsidR="00EB7CBC" w:rsidRPr="008E7712">
        <w:rPr>
          <w:szCs w:val="26"/>
        </w:rPr>
        <w:tab/>
      </w:r>
      <w:r w:rsidRPr="008E7712">
        <w:rPr>
          <w:szCs w:val="26"/>
        </w:rPr>
        <w:t>Upon the Commission’s approval of this Settlement, the Company will be</w:t>
      </w:r>
      <w:r w:rsidR="00807EC0" w:rsidRPr="008E7712">
        <w:rPr>
          <w:szCs w:val="26"/>
        </w:rPr>
        <w:t xml:space="preserve"> </w:t>
      </w:r>
      <w:r w:rsidRPr="008E7712">
        <w:rPr>
          <w:szCs w:val="26"/>
        </w:rPr>
        <w:t xml:space="preserve">permitted to charge the rates for water service set forth in the proposed Tariff Supplement attached hereto as Appendix B (“Settlement Rates”), to become effective upon one day’s notice.  Instead of the $757,517 increase requested in the filing, the Settlement Rates are designed to produce an increase of annual water revenue of $630,000 as shown in greater detail on the Proof of Revenues attached hereto as Appendix E. </w:t>
      </w:r>
    </w:p>
    <w:p w14:paraId="10B0819F" w14:textId="77777777" w:rsidR="0006207A" w:rsidRPr="008E7712" w:rsidRDefault="0006207A" w:rsidP="00233BB9">
      <w:pPr>
        <w:spacing w:line="240" w:lineRule="auto"/>
        <w:rPr>
          <w:szCs w:val="26"/>
        </w:rPr>
      </w:pPr>
      <w:bookmarkStart w:id="10" w:name="_Toc162077"/>
    </w:p>
    <w:p w14:paraId="738B5618" w14:textId="02945C95" w:rsidR="00282C75" w:rsidRPr="008E7712" w:rsidRDefault="00282C75" w:rsidP="00233BB9">
      <w:pPr>
        <w:keepNext/>
        <w:spacing w:line="240" w:lineRule="auto"/>
        <w:ind w:left="1440"/>
        <w:rPr>
          <w:b/>
          <w:bCs/>
          <w:szCs w:val="26"/>
          <w:u w:color="000000"/>
        </w:rPr>
      </w:pPr>
      <w:r w:rsidRPr="008E7712">
        <w:rPr>
          <w:b/>
          <w:bCs/>
          <w:szCs w:val="26"/>
        </w:rPr>
        <w:t>B.</w:t>
      </w:r>
      <w:r w:rsidRPr="008E7712">
        <w:rPr>
          <w:b/>
          <w:bCs/>
          <w:szCs w:val="26"/>
        </w:rPr>
        <w:tab/>
      </w:r>
      <w:r w:rsidRPr="008E7712">
        <w:rPr>
          <w:b/>
          <w:bCs/>
          <w:szCs w:val="26"/>
          <w:u w:color="000000"/>
        </w:rPr>
        <w:t xml:space="preserve">Revenue Requirement Increase </w:t>
      </w:r>
      <w:r w:rsidR="00EB7CBC" w:rsidRPr="008E7712">
        <w:rPr>
          <w:b/>
          <w:bCs/>
          <w:szCs w:val="26"/>
          <w:u w:color="000000"/>
        </w:rPr>
        <w:t>–</w:t>
      </w:r>
      <w:r w:rsidRPr="008E7712">
        <w:rPr>
          <w:b/>
          <w:bCs/>
          <w:szCs w:val="26"/>
          <w:u w:color="000000"/>
        </w:rPr>
        <w:t xml:space="preserve"> Wastewater</w:t>
      </w:r>
      <w:bookmarkEnd w:id="10"/>
    </w:p>
    <w:p w14:paraId="6C084BED" w14:textId="77777777" w:rsidR="00EB7CBC" w:rsidRPr="008E7712" w:rsidRDefault="00EB7CBC" w:rsidP="00233BB9">
      <w:pPr>
        <w:keepNext/>
        <w:keepLines/>
        <w:spacing w:line="240" w:lineRule="auto"/>
        <w:ind w:left="1440" w:right="1440" w:firstLine="720"/>
        <w:outlineLvl w:val="1"/>
        <w:rPr>
          <w:b/>
          <w:szCs w:val="26"/>
        </w:rPr>
      </w:pPr>
    </w:p>
    <w:p w14:paraId="27C2EC73" w14:textId="1DA4CC89" w:rsidR="00282C75" w:rsidRPr="008E7712" w:rsidRDefault="00282C75" w:rsidP="00233BB9">
      <w:pPr>
        <w:keepNext/>
        <w:spacing w:line="240" w:lineRule="auto"/>
        <w:ind w:left="1440" w:right="1440" w:firstLine="720"/>
        <w:rPr>
          <w:rFonts w:eastAsia="Calibri"/>
          <w:szCs w:val="26"/>
        </w:rPr>
      </w:pPr>
      <w:r w:rsidRPr="008E7712">
        <w:rPr>
          <w:szCs w:val="26"/>
        </w:rPr>
        <w:t>3.</w:t>
      </w:r>
      <w:r w:rsidRPr="008E7712">
        <w:rPr>
          <w:szCs w:val="26"/>
        </w:rPr>
        <w:tab/>
        <w:t>Upon the Commission’s approval of this Settlement, the Company will be</w:t>
      </w:r>
      <w:r w:rsidR="00EB7CBC" w:rsidRPr="008E7712">
        <w:rPr>
          <w:szCs w:val="26"/>
        </w:rPr>
        <w:t xml:space="preserve"> </w:t>
      </w:r>
      <w:r w:rsidRPr="008E7712">
        <w:rPr>
          <w:szCs w:val="26"/>
        </w:rPr>
        <w:t>permitted to charge the rates for wastewater service set forth in the proposed Tariff Supplement attached hereto as Appendix C (“Settlement Rates”), to become effective upon one day’s notice</w:t>
      </w:r>
      <w:r w:rsidR="004930CB" w:rsidRPr="008E7712">
        <w:rPr>
          <w:szCs w:val="26"/>
        </w:rPr>
        <w:t xml:space="preserve">.  </w:t>
      </w:r>
      <w:r w:rsidRPr="008E7712">
        <w:rPr>
          <w:szCs w:val="26"/>
        </w:rPr>
        <w:t>Instead of the $998,705 increase requested in the filing, the Settlement Rates are designed to produce an increase of annual wastewater revenue of $830,000 as shown in greater detail on the Proof of Revenues attached hereto as Appendix</w:t>
      </w:r>
      <w:r w:rsidR="00233BB9" w:rsidRPr="008E7712">
        <w:rPr>
          <w:szCs w:val="26"/>
        </w:rPr>
        <w:t> </w:t>
      </w:r>
      <w:r w:rsidRPr="008E7712">
        <w:rPr>
          <w:szCs w:val="26"/>
        </w:rPr>
        <w:t xml:space="preserve">F. </w:t>
      </w:r>
    </w:p>
    <w:p w14:paraId="54AE9B9B" w14:textId="77777777" w:rsidR="00EB7CBC" w:rsidRPr="008E7712" w:rsidRDefault="00EB7CBC" w:rsidP="00233BB9">
      <w:pPr>
        <w:spacing w:line="240" w:lineRule="auto"/>
        <w:ind w:left="1440" w:right="1440" w:firstLine="720"/>
        <w:jc w:val="both"/>
        <w:rPr>
          <w:rFonts w:eastAsia="Calibri"/>
          <w:szCs w:val="26"/>
        </w:rPr>
      </w:pPr>
    </w:p>
    <w:p w14:paraId="1161C49A" w14:textId="6DFE451C" w:rsidR="00282C75" w:rsidRPr="008E7712" w:rsidRDefault="00282C75" w:rsidP="00233BB9">
      <w:pPr>
        <w:keepNext/>
        <w:spacing w:line="240" w:lineRule="auto"/>
        <w:ind w:left="1440"/>
        <w:rPr>
          <w:b/>
          <w:bCs/>
          <w:szCs w:val="26"/>
        </w:rPr>
      </w:pPr>
      <w:bookmarkStart w:id="11" w:name="_Toc162078"/>
      <w:r w:rsidRPr="008E7712">
        <w:rPr>
          <w:b/>
          <w:bCs/>
          <w:szCs w:val="26"/>
        </w:rPr>
        <w:lastRenderedPageBreak/>
        <w:t>C.</w:t>
      </w:r>
      <w:r w:rsidRPr="008E7712">
        <w:rPr>
          <w:b/>
          <w:bCs/>
          <w:szCs w:val="26"/>
        </w:rPr>
        <w:tab/>
      </w:r>
      <w:r w:rsidRPr="008E7712">
        <w:rPr>
          <w:b/>
          <w:bCs/>
          <w:szCs w:val="26"/>
          <w:u w:color="000000"/>
        </w:rPr>
        <w:t>Stay Out</w:t>
      </w:r>
      <w:r w:rsidRPr="008E7712">
        <w:rPr>
          <w:b/>
          <w:bCs/>
          <w:szCs w:val="26"/>
        </w:rPr>
        <w:t xml:space="preserve"> </w:t>
      </w:r>
      <w:bookmarkEnd w:id="11"/>
    </w:p>
    <w:p w14:paraId="0763E791" w14:textId="77777777" w:rsidR="00EB7CBC" w:rsidRPr="008E7712" w:rsidRDefault="00EB7CBC" w:rsidP="00233BB9">
      <w:pPr>
        <w:keepNext/>
        <w:keepLines/>
        <w:tabs>
          <w:tab w:val="center" w:pos="837"/>
          <w:tab w:val="center" w:pos="1870"/>
        </w:tabs>
        <w:spacing w:line="240" w:lineRule="auto"/>
        <w:ind w:left="1440" w:right="1440" w:firstLine="720"/>
        <w:outlineLvl w:val="1"/>
        <w:rPr>
          <w:b/>
          <w:szCs w:val="26"/>
        </w:rPr>
      </w:pPr>
    </w:p>
    <w:p w14:paraId="6EC00BFA" w14:textId="76B5D8F9" w:rsidR="00282C75" w:rsidRPr="008E7712" w:rsidRDefault="00282C75" w:rsidP="00233BB9">
      <w:pPr>
        <w:keepNext/>
        <w:spacing w:line="240" w:lineRule="auto"/>
        <w:ind w:left="1440" w:right="1440" w:firstLine="720"/>
        <w:rPr>
          <w:szCs w:val="26"/>
        </w:rPr>
      </w:pPr>
      <w:r w:rsidRPr="008E7712">
        <w:rPr>
          <w:szCs w:val="26"/>
        </w:rPr>
        <w:t xml:space="preserve">4. </w:t>
      </w:r>
      <w:r w:rsidR="00EB7CBC" w:rsidRPr="008E7712">
        <w:rPr>
          <w:szCs w:val="26"/>
        </w:rPr>
        <w:tab/>
      </w:r>
      <w:r w:rsidRPr="008E7712">
        <w:rPr>
          <w:szCs w:val="26"/>
        </w:rPr>
        <w:t xml:space="preserve">The Company agrees that it will not file for a general increase pursuant to 66 Pa C.S. § 1308(d) to water or wastewater base rates earlier than September 30, 2023.  This paragraph does not apply to extraordinary or emergency rate relief pursuant to 66 Pa. C.S. § 1308(e) (or upon a petition for emergency rate increase), tariff changes required by Commission order or industrywide changes in regulatory policy which affect CUPA’s rates. </w:t>
      </w:r>
    </w:p>
    <w:p w14:paraId="3951BD6C" w14:textId="77777777" w:rsidR="00EB7CBC" w:rsidRPr="008E7712" w:rsidRDefault="00EB7CBC" w:rsidP="00233BB9">
      <w:pPr>
        <w:spacing w:line="240" w:lineRule="auto"/>
        <w:ind w:left="1440" w:right="1440" w:firstLine="720"/>
        <w:jc w:val="both"/>
        <w:rPr>
          <w:rFonts w:eastAsia="Calibri"/>
          <w:szCs w:val="26"/>
        </w:rPr>
      </w:pPr>
    </w:p>
    <w:p w14:paraId="58987353" w14:textId="29ACADD7" w:rsidR="00282C75" w:rsidRPr="008E7712" w:rsidRDefault="00282C75" w:rsidP="00233BB9">
      <w:pPr>
        <w:keepNext/>
        <w:spacing w:line="240" w:lineRule="auto"/>
        <w:ind w:left="1440"/>
        <w:rPr>
          <w:b/>
          <w:bCs/>
          <w:szCs w:val="26"/>
        </w:rPr>
      </w:pPr>
      <w:bookmarkStart w:id="12" w:name="_Toc162079"/>
      <w:r w:rsidRPr="008E7712">
        <w:rPr>
          <w:b/>
          <w:bCs/>
          <w:szCs w:val="26"/>
        </w:rPr>
        <w:t xml:space="preserve">D. </w:t>
      </w:r>
      <w:r w:rsidRPr="008E7712">
        <w:rPr>
          <w:b/>
          <w:bCs/>
          <w:szCs w:val="26"/>
        </w:rPr>
        <w:tab/>
      </w:r>
      <w:r w:rsidRPr="008E7712">
        <w:rPr>
          <w:b/>
          <w:bCs/>
          <w:szCs w:val="26"/>
          <w:u w:color="000000"/>
        </w:rPr>
        <w:t>Effective Date</w:t>
      </w:r>
      <w:r w:rsidRPr="008E7712">
        <w:rPr>
          <w:b/>
          <w:bCs/>
          <w:szCs w:val="26"/>
        </w:rPr>
        <w:t xml:space="preserve"> </w:t>
      </w:r>
      <w:bookmarkEnd w:id="12"/>
    </w:p>
    <w:p w14:paraId="6EDEDC49" w14:textId="77777777" w:rsidR="00EB7CBC" w:rsidRPr="008E7712" w:rsidRDefault="00EB7CBC" w:rsidP="00233BB9">
      <w:pPr>
        <w:keepNext/>
        <w:keepLines/>
        <w:tabs>
          <w:tab w:val="center" w:pos="844"/>
          <w:tab w:val="center" w:pos="2142"/>
        </w:tabs>
        <w:spacing w:line="240" w:lineRule="auto"/>
        <w:ind w:left="1440" w:right="1440" w:firstLine="720"/>
        <w:outlineLvl w:val="1"/>
        <w:rPr>
          <w:b/>
          <w:szCs w:val="26"/>
        </w:rPr>
      </w:pPr>
    </w:p>
    <w:p w14:paraId="6B8D1A94" w14:textId="31705EEC" w:rsidR="00282C75" w:rsidRPr="008E7712" w:rsidRDefault="00282C75" w:rsidP="00233BB9">
      <w:pPr>
        <w:keepNext/>
        <w:numPr>
          <w:ilvl w:val="0"/>
          <w:numId w:val="25"/>
        </w:numPr>
        <w:spacing w:line="240" w:lineRule="auto"/>
        <w:ind w:left="1440" w:right="1440" w:firstLine="720"/>
        <w:rPr>
          <w:rFonts w:eastAsia="Calibri"/>
          <w:szCs w:val="26"/>
        </w:rPr>
      </w:pPr>
      <w:r w:rsidRPr="008E7712">
        <w:rPr>
          <w:szCs w:val="26"/>
        </w:rPr>
        <w:t xml:space="preserve">Upon the entry of a Commission Order approving this Joint Petition, the Company will be permitted to file a tariff for water service, in the form attached hereto as Appendix B, and a tariff for wastewater service, in the form attached hereto as Appendix C, reflecting the </w:t>
      </w:r>
      <w:r w:rsidR="004930CB" w:rsidRPr="008E7712">
        <w:rPr>
          <w:szCs w:val="26"/>
        </w:rPr>
        <w:t>agreed to</w:t>
      </w:r>
      <w:r w:rsidRPr="008E7712">
        <w:rPr>
          <w:szCs w:val="26"/>
        </w:rPr>
        <w:t xml:space="preserve"> additional operating revenue.  The Joint Petitioners agree to the implementation of the Settlement Rates on January</w:t>
      </w:r>
      <w:r w:rsidR="00755466">
        <w:rPr>
          <w:szCs w:val="26"/>
        </w:rPr>
        <w:t> </w:t>
      </w:r>
      <w:r w:rsidRPr="008E7712">
        <w:rPr>
          <w:szCs w:val="26"/>
        </w:rPr>
        <w:t>12,</w:t>
      </w:r>
      <w:r w:rsidR="00755466">
        <w:rPr>
          <w:szCs w:val="26"/>
        </w:rPr>
        <w:t> </w:t>
      </w:r>
      <w:r w:rsidRPr="008E7712">
        <w:rPr>
          <w:szCs w:val="26"/>
        </w:rPr>
        <w:t>2022, when the original statutory suspension period was to expire, if the Commission enters an Order approving the Joint Petition prior to or on that date.</w:t>
      </w:r>
    </w:p>
    <w:p w14:paraId="5370B854" w14:textId="77777777" w:rsidR="00EB7CBC" w:rsidRPr="008E7712" w:rsidRDefault="00EB7CBC" w:rsidP="00233BB9">
      <w:pPr>
        <w:spacing w:line="240" w:lineRule="auto"/>
        <w:ind w:left="1440" w:right="1440" w:firstLine="720"/>
        <w:jc w:val="both"/>
        <w:rPr>
          <w:rFonts w:eastAsia="Calibri"/>
          <w:szCs w:val="26"/>
        </w:rPr>
      </w:pPr>
    </w:p>
    <w:p w14:paraId="1F41A165" w14:textId="231FF2B6" w:rsidR="00282C75" w:rsidRPr="008E7712" w:rsidRDefault="00282C75" w:rsidP="00233BB9">
      <w:pPr>
        <w:numPr>
          <w:ilvl w:val="0"/>
          <w:numId w:val="25"/>
        </w:numPr>
        <w:spacing w:line="240" w:lineRule="auto"/>
        <w:ind w:left="1440" w:right="1440" w:firstLine="720"/>
        <w:rPr>
          <w:rFonts w:eastAsia="Calibri"/>
          <w:szCs w:val="26"/>
        </w:rPr>
      </w:pPr>
      <w:r w:rsidRPr="008E7712">
        <w:rPr>
          <w:szCs w:val="26"/>
        </w:rPr>
        <w:t>If the Commission approval of this Settlement occurs after January 12, 2022, the Joint Petitioners agree that CUPA shall be entitled to recoup the revenue increase not billed from the effective date of January 12, 2022, through the date of any PUC approval of new rates in the manner set forth in the Commission’s final Order in this proceeding.  The revenue increases not billed from the effective date of January</w:t>
      </w:r>
      <w:r w:rsidR="002509A6" w:rsidRPr="008E7712">
        <w:rPr>
          <w:szCs w:val="26"/>
        </w:rPr>
        <w:t> </w:t>
      </w:r>
      <w:r w:rsidRPr="008E7712">
        <w:rPr>
          <w:szCs w:val="26"/>
        </w:rPr>
        <w:t xml:space="preserve">12, 2022, through the date of PUC approval of new rates will be recovered over a six-month period that shall be applied proportionately to all customer classes via a surcharge on each monthly bill during the six-month recovery period.  The Company will be permitted to file a tariff page, in the form attached hereto as Appendix D, to implement the surcharge. </w:t>
      </w:r>
    </w:p>
    <w:p w14:paraId="33D95C76" w14:textId="5C53E16B" w:rsidR="00282C75" w:rsidRPr="008E7712" w:rsidRDefault="00282C75" w:rsidP="00233BB9">
      <w:pPr>
        <w:spacing w:line="240" w:lineRule="auto"/>
        <w:ind w:left="1440" w:right="1440" w:firstLine="720"/>
        <w:rPr>
          <w:rFonts w:eastAsia="Calibri"/>
          <w:szCs w:val="26"/>
        </w:rPr>
      </w:pPr>
    </w:p>
    <w:p w14:paraId="34BCDA42" w14:textId="1ECD50FF" w:rsidR="00282C75" w:rsidRPr="008E7712" w:rsidRDefault="00282C75" w:rsidP="00233BB9">
      <w:pPr>
        <w:keepNext/>
        <w:spacing w:line="240" w:lineRule="auto"/>
        <w:ind w:left="1440"/>
        <w:rPr>
          <w:b/>
          <w:bCs/>
          <w:szCs w:val="26"/>
        </w:rPr>
      </w:pPr>
      <w:bookmarkStart w:id="13" w:name="_Toc162080"/>
      <w:r w:rsidRPr="008E7712">
        <w:rPr>
          <w:b/>
          <w:bCs/>
          <w:szCs w:val="26"/>
        </w:rPr>
        <w:lastRenderedPageBreak/>
        <w:t>E.</w:t>
      </w:r>
      <w:r w:rsidRPr="008E7712">
        <w:rPr>
          <w:b/>
          <w:bCs/>
          <w:szCs w:val="26"/>
        </w:rPr>
        <w:tab/>
      </w:r>
      <w:r w:rsidRPr="008E7712">
        <w:rPr>
          <w:b/>
          <w:bCs/>
          <w:szCs w:val="26"/>
          <w:u w:color="000000"/>
        </w:rPr>
        <w:t>Rate Design and Structure</w:t>
      </w:r>
      <w:r w:rsidRPr="008E7712">
        <w:rPr>
          <w:b/>
          <w:bCs/>
          <w:szCs w:val="26"/>
        </w:rPr>
        <w:t xml:space="preserve"> </w:t>
      </w:r>
      <w:bookmarkEnd w:id="13"/>
    </w:p>
    <w:p w14:paraId="1D98FFB3" w14:textId="77777777" w:rsidR="00EB7CBC" w:rsidRPr="008E7712" w:rsidRDefault="00EB7CBC" w:rsidP="00233BB9">
      <w:pPr>
        <w:keepNext/>
        <w:keepLines/>
        <w:tabs>
          <w:tab w:val="center" w:pos="830"/>
          <w:tab w:val="center" w:pos="2708"/>
        </w:tabs>
        <w:spacing w:line="240" w:lineRule="auto"/>
        <w:ind w:left="1440" w:right="1440" w:firstLine="720"/>
        <w:outlineLvl w:val="1"/>
        <w:rPr>
          <w:b/>
          <w:szCs w:val="26"/>
        </w:rPr>
      </w:pPr>
    </w:p>
    <w:p w14:paraId="4C0DE314" w14:textId="18FB9C1E" w:rsidR="00282C75" w:rsidRPr="008E7712" w:rsidRDefault="00282C75" w:rsidP="00233BB9">
      <w:pPr>
        <w:keepNext/>
        <w:numPr>
          <w:ilvl w:val="0"/>
          <w:numId w:val="26"/>
        </w:numPr>
        <w:spacing w:line="240" w:lineRule="auto"/>
        <w:ind w:left="1440" w:right="1440" w:firstLine="720"/>
        <w:rPr>
          <w:rFonts w:eastAsia="Calibri"/>
          <w:szCs w:val="26"/>
        </w:rPr>
      </w:pPr>
      <w:r w:rsidRPr="008E7712">
        <w:rPr>
          <w:szCs w:val="26"/>
        </w:rPr>
        <w:t xml:space="preserve">The parties agree to the rate design reflected in Appendix E and Appendix </w:t>
      </w:r>
      <w:r w:rsidRPr="00755466">
        <w:rPr>
          <w:szCs w:val="26"/>
        </w:rPr>
        <w:t>F</w:t>
      </w:r>
      <w:r w:rsidRPr="008E7712">
        <w:rPr>
          <w:szCs w:val="26"/>
        </w:rPr>
        <w:t xml:space="preserve">, which reflects the following rate design principles: </w:t>
      </w:r>
    </w:p>
    <w:p w14:paraId="07A0E100" w14:textId="77777777" w:rsidR="00EB7CBC" w:rsidRPr="008E7712" w:rsidRDefault="00EB7CBC" w:rsidP="00233BB9">
      <w:pPr>
        <w:spacing w:line="240" w:lineRule="auto"/>
        <w:ind w:left="1440" w:right="1440" w:firstLine="720"/>
        <w:rPr>
          <w:rFonts w:eastAsia="Calibri"/>
          <w:szCs w:val="26"/>
        </w:rPr>
      </w:pPr>
    </w:p>
    <w:p w14:paraId="1DFFD390" w14:textId="3CA9E193"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The parties agree to a partial consolidation of Tamiment (50% movement toward consolidation).  Specifically, Tamiment usage rates will move approximately 50% of the way from their existing place to the consolidated rates of CUPA, with full consolidation in CUPA’s next case.  </w:t>
      </w:r>
    </w:p>
    <w:p w14:paraId="5C3F9865" w14:textId="77777777" w:rsidR="00EB7CBC" w:rsidRPr="008E7712" w:rsidRDefault="00EB7CBC" w:rsidP="00233BB9">
      <w:pPr>
        <w:spacing w:line="240" w:lineRule="auto"/>
        <w:ind w:left="1440" w:right="1440" w:firstLine="720"/>
        <w:rPr>
          <w:rFonts w:eastAsia="Calibri"/>
          <w:szCs w:val="26"/>
        </w:rPr>
      </w:pPr>
    </w:p>
    <w:p w14:paraId="7A63F035" w14:textId="34A172CC" w:rsidR="00282C75" w:rsidRPr="00346E70" w:rsidRDefault="00282C75" w:rsidP="00233BB9">
      <w:pPr>
        <w:numPr>
          <w:ilvl w:val="0"/>
          <w:numId w:val="26"/>
        </w:numPr>
        <w:spacing w:line="240" w:lineRule="auto"/>
        <w:ind w:left="1440" w:right="1440" w:firstLine="720"/>
        <w:rPr>
          <w:rFonts w:eastAsia="Calibri"/>
          <w:szCs w:val="26"/>
        </w:rPr>
      </w:pPr>
      <w:r w:rsidRPr="008E7712">
        <w:rPr>
          <w:szCs w:val="26"/>
        </w:rPr>
        <w:t xml:space="preserve">Tamiment wastewater rates will continue to be based on metered usage, </w:t>
      </w:r>
      <w:proofErr w:type="gramStart"/>
      <w:r w:rsidRPr="008E7712">
        <w:rPr>
          <w:szCs w:val="26"/>
        </w:rPr>
        <w:t>i.e.</w:t>
      </w:r>
      <w:proofErr w:type="gramEnd"/>
      <w:r w:rsidRPr="008E7712">
        <w:rPr>
          <w:szCs w:val="26"/>
        </w:rPr>
        <w:t xml:space="preserve"> not converted to a fixed flat rate as proposed by the Company.  </w:t>
      </w:r>
    </w:p>
    <w:p w14:paraId="30BDC3BE" w14:textId="77777777" w:rsidR="00346E70" w:rsidRPr="008E7712" w:rsidRDefault="00346E70" w:rsidP="00346E70">
      <w:pPr>
        <w:spacing w:line="240" w:lineRule="auto"/>
        <w:ind w:right="1440"/>
        <w:rPr>
          <w:rFonts w:eastAsia="Calibri"/>
          <w:szCs w:val="26"/>
        </w:rPr>
      </w:pPr>
    </w:p>
    <w:p w14:paraId="67032A98" w14:textId="27E1AC5C"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In its next base rate filing, CUPA will propose metered rates for customers in its Penn Estates wastewater system (made up of fixed and volumetric charges).  For its Utilities Inc. of Pennsylvania wastewater system, within 30</w:t>
      </w:r>
      <w:r w:rsidR="00346E70">
        <w:rPr>
          <w:szCs w:val="26"/>
        </w:rPr>
        <w:t> </w:t>
      </w:r>
      <w:r w:rsidRPr="008E7712">
        <w:rPr>
          <w:szCs w:val="26"/>
        </w:rPr>
        <w:t xml:space="preserve">days of a final Order in this proceeding, CUPA will reach out to the customers’ water service provider to establish an ongoing arrangement to obtain monthly volumetric usage data and to obtain 24 months of data (which may include historic data). </w:t>
      </w:r>
      <w:r w:rsidRPr="008E7712">
        <w:rPr>
          <w:color w:val="1F497D"/>
          <w:szCs w:val="26"/>
        </w:rPr>
        <w:t xml:space="preserve"> </w:t>
      </w:r>
      <w:r w:rsidRPr="008E7712">
        <w:rPr>
          <w:szCs w:val="26"/>
        </w:rPr>
        <w:t>CUPA will advise the parties when such agreement is entered into.  If th</w:t>
      </w:r>
      <w:r w:rsidRPr="008E7712">
        <w:rPr>
          <w:color w:val="1F497D"/>
          <w:szCs w:val="26"/>
        </w:rPr>
        <w:t>e</w:t>
      </w:r>
      <w:r w:rsidRPr="008E7712">
        <w:rPr>
          <w:szCs w:val="26"/>
        </w:rPr>
        <w:t xml:space="preserve"> data is obtained by March 1, </w:t>
      </w:r>
      <w:proofErr w:type="gramStart"/>
      <w:r w:rsidRPr="008E7712">
        <w:rPr>
          <w:szCs w:val="26"/>
        </w:rPr>
        <w:t>2023</w:t>
      </w:r>
      <w:proofErr w:type="gramEnd"/>
      <w:r w:rsidRPr="008E7712">
        <w:rPr>
          <w:szCs w:val="26"/>
        </w:rPr>
        <w:t xml:space="preserve"> and in usable format, CUPA will propose metered rates (made up of fixed and volumetric charges) for its Utilities Inc. of Pennsylvania wastewater customers in its next base rate filing.  </w:t>
      </w:r>
    </w:p>
    <w:p w14:paraId="11B88943" w14:textId="77777777" w:rsidR="000F7E72" w:rsidRPr="008E7712" w:rsidRDefault="000F7E72" w:rsidP="00233BB9">
      <w:pPr>
        <w:spacing w:line="240" w:lineRule="auto"/>
        <w:ind w:left="1440" w:right="1440" w:firstLine="720"/>
        <w:rPr>
          <w:rFonts w:eastAsia="Calibri"/>
          <w:szCs w:val="26"/>
        </w:rPr>
      </w:pPr>
    </w:p>
    <w:p w14:paraId="7F860778" w14:textId="1D6795AB"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To facilitate this proposal, CUPA’s filing will also include a cost of service study that assigns costs to customer classes based on flow requirements. </w:t>
      </w:r>
    </w:p>
    <w:p w14:paraId="29E5884E" w14:textId="77777777" w:rsidR="00EB7CBC" w:rsidRPr="008E7712" w:rsidRDefault="00EB7CBC" w:rsidP="00233BB9">
      <w:pPr>
        <w:spacing w:line="240" w:lineRule="auto"/>
        <w:ind w:left="1440" w:right="1440" w:firstLine="720"/>
        <w:rPr>
          <w:rFonts w:eastAsia="Calibri"/>
          <w:szCs w:val="26"/>
        </w:rPr>
      </w:pPr>
    </w:p>
    <w:p w14:paraId="53D98945" w14:textId="65AAE13D"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All current water service monthly customer charges will be maintained, except that the Tamiment 6-inch commercial water customer charge will be increased by the system average increase.  Availability charges will be increased by 1.5 times the system average.  </w:t>
      </w:r>
    </w:p>
    <w:p w14:paraId="678FD73F" w14:textId="77777777" w:rsidR="00EB7CBC" w:rsidRPr="008E7712" w:rsidRDefault="00EB7CBC" w:rsidP="00233BB9">
      <w:pPr>
        <w:spacing w:line="240" w:lineRule="auto"/>
        <w:ind w:left="1440" w:right="1440" w:firstLine="720"/>
        <w:rPr>
          <w:rFonts w:eastAsia="Calibri"/>
          <w:szCs w:val="26"/>
        </w:rPr>
      </w:pPr>
    </w:p>
    <w:p w14:paraId="5B73ED83" w14:textId="2D6F50A8"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The current Tamiment wastewater availability charge will be moved halfway toward the consolidated charge </w:t>
      </w:r>
      <w:r w:rsidRPr="008E7712">
        <w:rPr>
          <w:szCs w:val="26"/>
        </w:rPr>
        <w:lastRenderedPageBreak/>
        <w:t xml:space="preserve">approved by the Commission in this proceeding.  All of CUPA’s other proposed availability and volumetric charges will be proportionately scaled back to reflect the decreased in revenue requirement from the filed-for amount.  For the consolidated systems, the wastewater service flat and </w:t>
      </w:r>
      <w:proofErr w:type="gramStart"/>
      <w:r w:rsidRPr="008E7712">
        <w:rPr>
          <w:szCs w:val="26"/>
        </w:rPr>
        <w:t>schools</w:t>
      </w:r>
      <w:proofErr w:type="gramEnd"/>
      <w:r w:rsidRPr="008E7712">
        <w:rPr>
          <w:szCs w:val="26"/>
        </w:rPr>
        <w:t xml:space="preserve"> rates will be proportionately scaled back.  </w:t>
      </w:r>
    </w:p>
    <w:p w14:paraId="2275FF0C" w14:textId="77777777" w:rsidR="00EB7CBC" w:rsidRPr="008E7712" w:rsidRDefault="00EB7CBC" w:rsidP="00233BB9">
      <w:pPr>
        <w:spacing w:line="240" w:lineRule="auto"/>
        <w:ind w:left="1440" w:right="1440" w:firstLine="720"/>
        <w:rPr>
          <w:rFonts w:eastAsia="Calibri"/>
          <w:szCs w:val="26"/>
        </w:rPr>
      </w:pPr>
    </w:p>
    <w:p w14:paraId="096BA571" w14:textId="23C623D0"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CUPA’s proposed Low-Income Rate for residential water service will be approved as a pilot program until the next base rate proceeding, with the following modifications:  after scaleback for the reduction in revenue requirement provided in this settlement, the low-income rates for each system will provide a 35% discount rather than 65% as originally proposed (pinned to 35% of the regular residential rate), from the regular residential volumetric rates.  In the next base rate case, all parties reserve their rights to address continuation or modification of the program. </w:t>
      </w:r>
    </w:p>
    <w:p w14:paraId="03589BBD" w14:textId="77777777" w:rsidR="00EB7CBC" w:rsidRPr="008E7712" w:rsidRDefault="00EB7CBC" w:rsidP="00233BB9">
      <w:pPr>
        <w:spacing w:line="240" w:lineRule="auto"/>
        <w:ind w:left="1440" w:right="1440" w:firstLine="720"/>
        <w:jc w:val="both"/>
        <w:rPr>
          <w:rFonts w:eastAsia="Calibri"/>
          <w:szCs w:val="26"/>
        </w:rPr>
      </w:pPr>
    </w:p>
    <w:p w14:paraId="5463326C" w14:textId="2A6910C2"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During the period that the residential low-income rate for water service is considered a pilot program, the Company will record a regulatory asset or liability for amounts over or under the amount included in rates for recovery or refund in the next base rate case.  The amount of revenue included in rates is the projected CUPA residential low-income gallonage of 15,066.541 kilogallons multiplied by the low-income rate of $8.784, plus the projected Tamiment low-income gallonage of 2,590.588 kilogallons multiplied by the low-income rate of $7.444.  The amount of water revenue to be included in the regulatory asset or liability is the difference between the projected and the actual residential low-income gallonage multiplied by the difference between the low-income rate and the regular residential rate.  The Company will provide quarterly updates detailing total customer participation, total gallons used by enrolled customers, and the associated water revenue shortfall or surplus resulting from the reduced volumetric rates for enrolled customers.  The regulatory asset/liability provision and quarterly update requirements will be subject to review and modification in the next base rate case. </w:t>
      </w:r>
    </w:p>
    <w:p w14:paraId="1BB4B8F2" w14:textId="77777777" w:rsidR="00EB7CBC" w:rsidRPr="008E7712" w:rsidRDefault="00EB7CBC" w:rsidP="00233BB9">
      <w:pPr>
        <w:spacing w:line="240" w:lineRule="auto"/>
        <w:ind w:left="1440" w:right="1440" w:firstLine="720"/>
        <w:rPr>
          <w:rFonts w:eastAsia="Calibri"/>
          <w:szCs w:val="26"/>
        </w:rPr>
      </w:pPr>
    </w:p>
    <w:p w14:paraId="7C922FC7" w14:textId="7F27E6EA"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 xml:space="preserve">In its next base rate proceeding, CUPA will propose a Low-Income Rate for residential wastewater </w:t>
      </w:r>
      <w:r w:rsidRPr="008E7712">
        <w:rPr>
          <w:szCs w:val="26"/>
        </w:rPr>
        <w:lastRenderedPageBreak/>
        <w:t xml:space="preserve">service, as a pilot program.  All parties reserve the right to challenge the proposal. </w:t>
      </w:r>
    </w:p>
    <w:p w14:paraId="38D29864" w14:textId="77777777" w:rsidR="00EB7CBC" w:rsidRPr="008E7712" w:rsidRDefault="00EB7CBC" w:rsidP="00233BB9">
      <w:pPr>
        <w:spacing w:line="240" w:lineRule="auto"/>
        <w:ind w:left="1440" w:right="1440" w:firstLine="720"/>
        <w:rPr>
          <w:rFonts w:eastAsia="Calibri"/>
          <w:szCs w:val="26"/>
        </w:rPr>
      </w:pPr>
    </w:p>
    <w:p w14:paraId="0F3FCE45" w14:textId="130676B6" w:rsidR="00282C75" w:rsidRPr="008E7712" w:rsidRDefault="00282C75" w:rsidP="00233BB9">
      <w:pPr>
        <w:numPr>
          <w:ilvl w:val="0"/>
          <w:numId w:val="26"/>
        </w:numPr>
        <w:spacing w:line="240" w:lineRule="auto"/>
        <w:ind w:left="1440" w:right="1440" w:firstLine="720"/>
        <w:rPr>
          <w:rFonts w:eastAsia="Calibri"/>
          <w:szCs w:val="26"/>
        </w:rPr>
      </w:pPr>
      <w:r w:rsidRPr="008E7712">
        <w:rPr>
          <w:szCs w:val="26"/>
        </w:rPr>
        <w:t>The Company will participate in the Low Income Household Water Assistance Program (LIHWAP) providing a bill insert to all customers once the program is available with information on how to register for the program,</w:t>
      </w:r>
      <w:r w:rsidRPr="008E7712">
        <w:rPr>
          <w:szCs w:val="26"/>
          <w:vertAlign w:val="superscript"/>
        </w:rPr>
        <w:t xml:space="preserve"> </w:t>
      </w:r>
      <w:r w:rsidRPr="008E7712">
        <w:rPr>
          <w:szCs w:val="26"/>
        </w:rPr>
        <w:t xml:space="preserve">providing that information when contacting customers about disconnection or </w:t>
      </w:r>
      <w:proofErr w:type="gramStart"/>
      <w:r w:rsidRPr="008E7712">
        <w:rPr>
          <w:szCs w:val="26"/>
        </w:rPr>
        <w:t>arrearages, and</w:t>
      </w:r>
      <w:proofErr w:type="gramEnd"/>
      <w:r w:rsidRPr="008E7712">
        <w:rPr>
          <w:szCs w:val="26"/>
        </w:rPr>
        <w:t xml:space="preserve"> utilizing LIHWAP funds for its water and wastewater customers consistent with the final PA Department of Human Services requirements. </w:t>
      </w:r>
    </w:p>
    <w:p w14:paraId="7C364ADD" w14:textId="77777777" w:rsidR="00EB7CBC" w:rsidRPr="008E7712" w:rsidRDefault="00EB7CBC" w:rsidP="00233BB9">
      <w:pPr>
        <w:spacing w:line="240" w:lineRule="auto"/>
        <w:ind w:left="1440" w:right="1440" w:firstLine="720"/>
        <w:rPr>
          <w:rFonts w:eastAsia="Calibri"/>
          <w:szCs w:val="26"/>
        </w:rPr>
      </w:pPr>
    </w:p>
    <w:p w14:paraId="26EE265B" w14:textId="139C700A" w:rsidR="00282C75" w:rsidRPr="008E7712" w:rsidRDefault="00282C75" w:rsidP="00233BB9">
      <w:pPr>
        <w:spacing w:line="240" w:lineRule="auto"/>
        <w:ind w:left="1440" w:right="1440" w:firstLine="720"/>
        <w:rPr>
          <w:szCs w:val="26"/>
        </w:rPr>
      </w:pPr>
      <w:r w:rsidRPr="008E7712">
        <w:rPr>
          <w:szCs w:val="26"/>
        </w:rPr>
        <w:t xml:space="preserve">Funds received by CUPA from PA LIHWAP will be included in the quarterly reports in Paragraph 7 above.  In the next base rate case, all parties reserve the right to review and address whether any of the PA LIHWAP funding received by CUPA should be included in the regulatory asset or liability. </w:t>
      </w:r>
    </w:p>
    <w:p w14:paraId="7382DC10" w14:textId="77777777" w:rsidR="00EB7CBC" w:rsidRPr="008E7712" w:rsidRDefault="00EB7CBC" w:rsidP="00233BB9">
      <w:pPr>
        <w:spacing w:line="240" w:lineRule="auto"/>
        <w:ind w:left="1440" w:right="1440" w:firstLine="720"/>
        <w:jc w:val="both"/>
        <w:rPr>
          <w:rFonts w:eastAsia="Calibri"/>
          <w:szCs w:val="26"/>
        </w:rPr>
      </w:pPr>
    </w:p>
    <w:p w14:paraId="19423A1E" w14:textId="644030F2" w:rsidR="00282C75" w:rsidRPr="008E7712" w:rsidRDefault="00282C75" w:rsidP="00233BB9">
      <w:pPr>
        <w:keepNext/>
        <w:spacing w:line="240" w:lineRule="auto"/>
        <w:ind w:left="1440"/>
        <w:rPr>
          <w:b/>
          <w:bCs/>
          <w:szCs w:val="26"/>
          <w:u w:color="000000"/>
        </w:rPr>
      </w:pPr>
      <w:bookmarkStart w:id="14" w:name="_Toc162081"/>
      <w:r w:rsidRPr="008E7712">
        <w:rPr>
          <w:b/>
          <w:bCs/>
          <w:szCs w:val="26"/>
        </w:rPr>
        <w:t>F.</w:t>
      </w:r>
      <w:r w:rsidRPr="008E7712">
        <w:rPr>
          <w:b/>
          <w:bCs/>
          <w:szCs w:val="26"/>
        </w:rPr>
        <w:tab/>
      </w:r>
      <w:r w:rsidRPr="008E7712">
        <w:rPr>
          <w:b/>
          <w:bCs/>
          <w:szCs w:val="26"/>
          <w:u w:color="000000"/>
        </w:rPr>
        <w:t>Reporting Requirements</w:t>
      </w:r>
      <w:bookmarkEnd w:id="14"/>
    </w:p>
    <w:p w14:paraId="3A03C7BE" w14:textId="77777777" w:rsidR="00EB7CBC" w:rsidRPr="008E7712" w:rsidRDefault="00EB7CBC" w:rsidP="00233BB9">
      <w:pPr>
        <w:keepNext/>
        <w:keepLines/>
        <w:tabs>
          <w:tab w:val="center" w:pos="823"/>
          <w:tab w:val="center" w:pos="2620"/>
        </w:tabs>
        <w:spacing w:line="240" w:lineRule="auto"/>
        <w:ind w:left="1440" w:right="1440" w:firstLine="720"/>
        <w:outlineLvl w:val="1"/>
        <w:rPr>
          <w:b/>
          <w:szCs w:val="26"/>
        </w:rPr>
      </w:pPr>
    </w:p>
    <w:p w14:paraId="7E2A81F3" w14:textId="2689F0E2" w:rsidR="00282C75" w:rsidRPr="008E7712" w:rsidRDefault="00282C75" w:rsidP="00233BB9">
      <w:pPr>
        <w:keepNext/>
        <w:numPr>
          <w:ilvl w:val="0"/>
          <w:numId w:val="27"/>
        </w:numPr>
        <w:spacing w:line="240" w:lineRule="auto"/>
        <w:ind w:left="1440" w:right="1440" w:firstLine="720"/>
        <w:rPr>
          <w:rFonts w:eastAsia="Calibri"/>
          <w:szCs w:val="26"/>
        </w:rPr>
      </w:pPr>
      <w:r w:rsidRPr="008E7712">
        <w:rPr>
          <w:szCs w:val="26"/>
        </w:rPr>
        <w:t>The Company will provide the Commission’s Bureau of Technical Utility Services</w:t>
      </w:r>
      <w:r w:rsidR="00EB7CBC" w:rsidRPr="008E7712">
        <w:rPr>
          <w:szCs w:val="26"/>
        </w:rPr>
        <w:t xml:space="preserve"> </w:t>
      </w:r>
      <w:r w:rsidRPr="008E7712">
        <w:rPr>
          <w:szCs w:val="26"/>
        </w:rPr>
        <w:t>and the signatories to the Settlement with an update to CUPA Supporting Data, Section</w:t>
      </w:r>
      <w:r w:rsidR="00E1022E">
        <w:rPr>
          <w:szCs w:val="26"/>
        </w:rPr>
        <w:t> </w:t>
      </w:r>
      <w:r w:rsidRPr="008E7712">
        <w:rPr>
          <w:szCs w:val="26"/>
        </w:rPr>
        <w:t>1, p. 17 of the water and wastewater filing no later than April 1, 2022, under this docket number, which should include actual capital expenditures, plant additions, and retirements by month for the twelve months ending December</w:t>
      </w:r>
      <w:r w:rsidR="00E1022E">
        <w:rPr>
          <w:szCs w:val="26"/>
        </w:rPr>
        <w:t> </w:t>
      </w:r>
      <w:r w:rsidRPr="008E7712">
        <w:rPr>
          <w:szCs w:val="26"/>
        </w:rPr>
        <w:t>31, 2021.  An additional update should be provided for actuals through December 31, 2022, no later than April</w:t>
      </w:r>
      <w:r w:rsidR="00EB7CBC" w:rsidRPr="008E7712">
        <w:rPr>
          <w:szCs w:val="26"/>
        </w:rPr>
        <w:t> </w:t>
      </w:r>
      <w:r w:rsidRPr="008E7712">
        <w:rPr>
          <w:szCs w:val="26"/>
        </w:rPr>
        <w:t>1,</w:t>
      </w:r>
      <w:r w:rsidR="00EB7CBC" w:rsidRPr="008E7712">
        <w:rPr>
          <w:szCs w:val="26"/>
        </w:rPr>
        <w:t> </w:t>
      </w:r>
      <w:r w:rsidRPr="008E7712">
        <w:rPr>
          <w:szCs w:val="26"/>
        </w:rPr>
        <w:t xml:space="preserve">2023. </w:t>
      </w:r>
    </w:p>
    <w:p w14:paraId="2F543201" w14:textId="77777777" w:rsidR="00EB7CBC" w:rsidRPr="008E7712" w:rsidRDefault="00EB7CBC" w:rsidP="00233BB9">
      <w:pPr>
        <w:spacing w:line="240" w:lineRule="auto"/>
        <w:ind w:left="1440" w:right="1440" w:firstLine="720"/>
        <w:rPr>
          <w:rFonts w:eastAsia="Calibri"/>
          <w:szCs w:val="26"/>
        </w:rPr>
      </w:pPr>
    </w:p>
    <w:p w14:paraId="3FC834AC" w14:textId="4C0F2B7A" w:rsidR="00282C75" w:rsidRPr="008E7712" w:rsidRDefault="00282C75" w:rsidP="00233BB9">
      <w:pPr>
        <w:numPr>
          <w:ilvl w:val="0"/>
          <w:numId w:val="27"/>
        </w:numPr>
        <w:spacing w:line="240" w:lineRule="auto"/>
        <w:ind w:left="1440" w:right="1440" w:firstLine="720"/>
        <w:rPr>
          <w:rFonts w:eastAsia="Calibri"/>
          <w:szCs w:val="26"/>
        </w:rPr>
      </w:pPr>
      <w:r w:rsidRPr="008E7712">
        <w:rPr>
          <w:szCs w:val="26"/>
        </w:rPr>
        <w:t xml:space="preserve">Until the Company files its next base rate case, CUPA will serve a copy to the Settlement Parties of any Boil Water Advisory (“BWA”) or Do Not Consume Advisory </w:t>
      </w:r>
      <w:proofErr w:type="gramStart"/>
      <w:r w:rsidRPr="008E7712">
        <w:rPr>
          <w:szCs w:val="26"/>
        </w:rPr>
        <w:t>issued</w:t>
      </w:r>
      <w:proofErr w:type="gramEnd"/>
      <w:r w:rsidRPr="008E7712">
        <w:rPr>
          <w:szCs w:val="26"/>
        </w:rPr>
        <w:t xml:space="preserve"> to customers.  Service can be </w:t>
      </w:r>
      <w:proofErr w:type="gramStart"/>
      <w:r w:rsidRPr="008E7712">
        <w:rPr>
          <w:szCs w:val="26"/>
        </w:rPr>
        <w:t>effected</w:t>
      </w:r>
      <w:proofErr w:type="gramEnd"/>
      <w:r w:rsidRPr="008E7712">
        <w:rPr>
          <w:szCs w:val="26"/>
        </w:rPr>
        <w:t xml:space="preserve"> by email. </w:t>
      </w:r>
    </w:p>
    <w:p w14:paraId="7D03BC5C" w14:textId="77777777" w:rsidR="00EB7CBC" w:rsidRPr="008E7712" w:rsidRDefault="00EB7CBC" w:rsidP="00233BB9">
      <w:pPr>
        <w:spacing w:line="240" w:lineRule="auto"/>
        <w:ind w:left="1440" w:right="1440" w:firstLine="720"/>
        <w:rPr>
          <w:rFonts w:eastAsia="Calibri"/>
          <w:szCs w:val="26"/>
        </w:rPr>
      </w:pPr>
    </w:p>
    <w:p w14:paraId="7CCBBD3C" w14:textId="2D237027" w:rsidR="00282C75" w:rsidRPr="008E7712" w:rsidRDefault="00282C75" w:rsidP="00233BB9">
      <w:pPr>
        <w:numPr>
          <w:ilvl w:val="0"/>
          <w:numId w:val="27"/>
        </w:numPr>
        <w:spacing w:line="240" w:lineRule="auto"/>
        <w:ind w:left="1440" w:right="1440" w:firstLine="720"/>
        <w:rPr>
          <w:rFonts w:eastAsia="Calibri"/>
          <w:szCs w:val="26"/>
        </w:rPr>
      </w:pPr>
      <w:r w:rsidRPr="008E7712">
        <w:rPr>
          <w:szCs w:val="26"/>
        </w:rPr>
        <w:t>Going forward, when CUPA submits a progress report to the Pennsylvania</w:t>
      </w:r>
      <w:r w:rsidR="00EB7CBC" w:rsidRPr="008E7712">
        <w:rPr>
          <w:szCs w:val="26"/>
        </w:rPr>
        <w:t xml:space="preserve"> </w:t>
      </w:r>
      <w:r w:rsidRPr="008E7712">
        <w:rPr>
          <w:szCs w:val="26"/>
        </w:rPr>
        <w:t xml:space="preserve">Department of Environmental Protection (DEP) regarding the Consent Order and Agreement dated October 22, 2020 (related to the Penn Estates wastewater system), CUPA will serve a copy to the Settlement parties.  Service can be </w:t>
      </w:r>
      <w:proofErr w:type="gramStart"/>
      <w:r w:rsidRPr="008E7712">
        <w:rPr>
          <w:szCs w:val="26"/>
        </w:rPr>
        <w:t>effected</w:t>
      </w:r>
      <w:proofErr w:type="gramEnd"/>
      <w:r w:rsidRPr="008E7712">
        <w:rPr>
          <w:szCs w:val="26"/>
        </w:rPr>
        <w:t xml:space="preserve"> by email. </w:t>
      </w:r>
    </w:p>
    <w:p w14:paraId="439262FB" w14:textId="77777777" w:rsidR="00EB7CBC" w:rsidRPr="008E7712" w:rsidRDefault="00EB7CBC" w:rsidP="00233BB9">
      <w:pPr>
        <w:spacing w:line="240" w:lineRule="auto"/>
        <w:ind w:left="1440" w:right="1440" w:firstLine="720"/>
        <w:rPr>
          <w:rFonts w:eastAsia="Calibri"/>
          <w:szCs w:val="26"/>
        </w:rPr>
      </w:pPr>
    </w:p>
    <w:p w14:paraId="77B01020" w14:textId="2FAD55BC" w:rsidR="00EB7CBC" w:rsidRPr="008E7712" w:rsidRDefault="00282C75" w:rsidP="00233BB9">
      <w:pPr>
        <w:keepNext/>
        <w:spacing w:line="240" w:lineRule="auto"/>
        <w:ind w:left="1440"/>
        <w:rPr>
          <w:b/>
          <w:bCs/>
          <w:szCs w:val="26"/>
          <w:u w:color="000000"/>
        </w:rPr>
      </w:pPr>
      <w:bookmarkStart w:id="15" w:name="_Toc162082"/>
      <w:r w:rsidRPr="008E7712">
        <w:rPr>
          <w:b/>
          <w:bCs/>
          <w:szCs w:val="26"/>
        </w:rPr>
        <w:lastRenderedPageBreak/>
        <w:t>G.</w:t>
      </w:r>
      <w:r w:rsidRPr="008E7712">
        <w:rPr>
          <w:b/>
          <w:bCs/>
          <w:szCs w:val="26"/>
        </w:rPr>
        <w:tab/>
      </w:r>
      <w:r w:rsidRPr="008E7712">
        <w:rPr>
          <w:b/>
          <w:bCs/>
          <w:szCs w:val="26"/>
          <w:u w:color="000000"/>
        </w:rPr>
        <w:t>Service-Related Commitments</w:t>
      </w:r>
      <w:bookmarkEnd w:id="15"/>
    </w:p>
    <w:p w14:paraId="727207D1" w14:textId="77777777" w:rsidR="00EB7CBC" w:rsidRPr="008E7712" w:rsidRDefault="00EB7CBC" w:rsidP="00233BB9">
      <w:pPr>
        <w:keepNext/>
        <w:keepLines/>
        <w:tabs>
          <w:tab w:val="center" w:pos="844"/>
          <w:tab w:val="center" w:pos="2921"/>
        </w:tabs>
        <w:spacing w:line="240" w:lineRule="auto"/>
        <w:ind w:left="1440" w:right="1440" w:firstLine="720"/>
        <w:outlineLvl w:val="1"/>
        <w:rPr>
          <w:b/>
          <w:bCs/>
          <w:szCs w:val="26"/>
          <w:u w:color="000000"/>
        </w:rPr>
      </w:pPr>
    </w:p>
    <w:p w14:paraId="20A2ECB6" w14:textId="7CD2F497" w:rsidR="00282C75" w:rsidRPr="008E7712" w:rsidRDefault="00282C75" w:rsidP="00233BB9">
      <w:pPr>
        <w:keepNext/>
        <w:numPr>
          <w:ilvl w:val="0"/>
          <w:numId w:val="28"/>
        </w:numPr>
        <w:spacing w:line="240" w:lineRule="auto"/>
        <w:ind w:left="1440" w:right="1440" w:firstLine="720"/>
        <w:rPr>
          <w:rFonts w:eastAsia="Calibri"/>
          <w:szCs w:val="26"/>
        </w:rPr>
      </w:pPr>
      <w:r w:rsidRPr="008E7712">
        <w:rPr>
          <w:szCs w:val="26"/>
        </w:rPr>
        <w:t xml:space="preserve">In future base rate cases, the Company will submit an individual PUC Form 500 for each of its water systems.  Also, in its next base rate proceeding, CUPA will provide a breakdown of Lost and Unaccounted for Water (LUFW) by system detailing all identified causes. </w:t>
      </w:r>
    </w:p>
    <w:p w14:paraId="43FE50BF" w14:textId="77777777" w:rsidR="00EB7CBC" w:rsidRPr="008E7712" w:rsidRDefault="00EB7CBC" w:rsidP="00233BB9">
      <w:pPr>
        <w:spacing w:line="240" w:lineRule="auto"/>
        <w:ind w:left="1440" w:right="1440" w:firstLine="720"/>
        <w:rPr>
          <w:rFonts w:eastAsia="Calibri"/>
          <w:szCs w:val="26"/>
        </w:rPr>
      </w:pPr>
    </w:p>
    <w:p w14:paraId="255FD630" w14:textId="14EAD79C" w:rsidR="00282C75" w:rsidRPr="00E1022E" w:rsidRDefault="00282C75" w:rsidP="00233BB9">
      <w:pPr>
        <w:numPr>
          <w:ilvl w:val="0"/>
          <w:numId w:val="28"/>
        </w:numPr>
        <w:spacing w:line="240" w:lineRule="auto"/>
        <w:ind w:left="1440" w:right="1440" w:firstLine="720"/>
        <w:rPr>
          <w:rFonts w:eastAsia="Calibri"/>
          <w:szCs w:val="26"/>
        </w:rPr>
      </w:pPr>
      <w:r w:rsidRPr="008E7712">
        <w:rPr>
          <w:szCs w:val="26"/>
        </w:rPr>
        <w:t>For each of its water systems, the Company’s records regarding isolation valves will include (1) the valve location, (2) date of attempt to exercise each valve; and (3) if the valve was broken or operable (successfully exercised).  If the valve could not be properly exercised, the valve will be scheduled to be repaired or be replaced.</w:t>
      </w:r>
      <w:r w:rsidR="004930CB" w:rsidRPr="008E7712">
        <w:rPr>
          <w:szCs w:val="26"/>
        </w:rPr>
        <w:t xml:space="preserve">  </w:t>
      </w:r>
      <w:r w:rsidRPr="008E7712">
        <w:rPr>
          <w:szCs w:val="26"/>
        </w:rPr>
        <w:t xml:space="preserve">As part of its next base rate filing, the Company will provide the exercising records and schedule for any repair/replacements. </w:t>
      </w:r>
    </w:p>
    <w:p w14:paraId="105E366B" w14:textId="21163B03" w:rsidR="00E1022E" w:rsidRPr="008E7712" w:rsidRDefault="00E1022E" w:rsidP="00E1022E">
      <w:pPr>
        <w:spacing w:line="240" w:lineRule="auto"/>
        <w:ind w:right="1440"/>
        <w:rPr>
          <w:rFonts w:eastAsia="Calibri"/>
          <w:szCs w:val="26"/>
        </w:rPr>
      </w:pPr>
    </w:p>
    <w:p w14:paraId="68A8C1A2" w14:textId="603C966A" w:rsidR="00282C75" w:rsidRPr="008E7712" w:rsidRDefault="00282C75" w:rsidP="00233BB9">
      <w:pPr>
        <w:numPr>
          <w:ilvl w:val="0"/>
          <w:numId w:val="28"/>
        </w:numPr>
        <w:spacing w:line="240" w:lineRule="auto"/>
        <w:ind w:left="1440" w:right="1440" w:firstLine="720"/>
        <w:rPr>
          <w:rFonts w:eastAsia="Calibri"/>
          <w:szCs w:val="26"/>
        </w:rPr>
      </w:pPr>
      <w:r w:rsidRPr="008E7712">
        <w:rPr>
          <w:szCs w:val="26"/>
        </w:rPr>
        <w:t xml:space="preserve">For the Tamiment Water System, the Company will provide advance notice to customers regarding planned system maintenance that may discolor water (including flushing and switching wells). </w:t>
      </w:r>
    </w:p>
    <w:p w14:paraId="0F6346CA" w14:textId="77777777" w:rsidR="00EB7CBC" w:rsidRPr="008E7712" w:rsidRDefault="00EB7CBC" w:rsidP="00233BB9">
      <w:pPr>
        <w:spacing w:line="240" w:lineRule="auto"/>
        <w:ind w:left="1440" w:right="1440" w:firstLine="720"/>
        <w:rPr>
          <w:rFonts w:eastAsia="Calibri"/>
          <w:szCs w:val="26"/>
        </w:rPr>
      </w:pPr>
    </w:p>
    <w:p w14:paraId="2D1947A8" w14:textId="6E9F6489" w:rsidR="00282C75" w:rsidRPr="008E7712" w:rsidRDefault="00282C75" w:rsidP="00233BB9">
      <w:pPr>
        <w:keepNext/>
        <w:numPr>
          <w:ilvl w:val="0"/>
          <w:numId w:val="28"/>
        </w:numPr>
        <w:spacing w:line="240" w:lineRule="auto"/>
        <w:ind w:left="1440" w:right="1440" w:firstLine="720"/>
        <w:rPr>
          <w:rFonts w:eastAsia="Calibri"/>
          <w:szCs w:val="26"/>
        </w:rPr>
      </w:pPr>
      <w:r w:rsidRPr="008E7712">
        <w:rPr>
          <w:szCs w:val="26"/>
        </w:rPr>
        <w:t>For the Penn Estates Water System:</w:t>
      </w:r>
    </w:p>
    <w:p w14:paraId="73E0BB9A" w14:textId="77777777" w:rsidR="00EB7CBC" w:rsidRPr="008E7712" w:rsidRDefault="00EB7CBC" w:rsidP="00233BB9">
      <w:pPr>
        <w:keepNext/>
        <w:spacing w:line="240" w:lineRule="auto"/>
        <w:ind w:left="1440" w:right="1440" w:firstLine="720"/>
        <w:rPr>
          <w:rFonts w:eastAsia="Calibri"/>
          <w:szCs w:val="26"/>
        </w:rPr>
      </w:pPr>
    </w:p>
    <w:p w14:paraId="27D5AD4E" w14:textId="60A571D5" w:rsidR="00282C75" w:rsidRPr="008E7712" w:rsidRDefault="00282C75" w:rsidP="00233BB9">
      <w:pPr>
        <w:keepNext/>
        <w:numPr>
          <w:ilvl w:val="1"/>
          <w:numId w:val="28"/>
        </w:numPr>
        <w:spacing w:line="240" w:lineRule="auto"/>
        <w:ind w:left="3600" w:right="1440" w:hanging="720"/>
        <w:rPr>
          <w:szCs w:val="26"/>
        </w:rPr>
      </w:pPr>
      <w:r w:rsidRPr="008E7712">
        <w:rPr>
          <w:szCs w:val="26"/>
        </w:rPr>
        <w:t>Within one year of the Commission’s final order in this proceeding, the Company</w:t>
      </w:r>
      <w:r w:rsidR="007E476F" w:rsidRPr="008E7712">
        <w:rPr>
          <w:szCs w:val="26"/>
        </w:rPr>
        <w:t xml:space="preserve"> </w:t>
      </w:r>
      <w:r w:rsidRPr="008E7712">
        <w:rPr>
          <w:szCs w:val="26"/>
        </w:rPr>
        <w:t xml:space="preserve">will have a study conducted to determine whether it can reduce normal operating pressures exceeding 125 psi in its mains without adversely impacting water pressure of some customers.  So long as the study shows customer water pressure will not be adversely impacted, CUPA will reduce normal operating pressures exceeding 125 psi in its mains.  </w:t>
      </w:r>
    </w:p>
    <w:p w14:paraId="2CC4427F" w14:textId="77777777" w:rsidR="007E476F" w:rsidRPr="008E7712" w:rsidRDefault="007E476F" w:rsidP="00233BB9">
      <w:pPr>
        <w:spacing w:line="240" w:lineRule="auto"/>
        <w:ind w:left="3600" w:right="1440" w:hanging="720"/>
        <w:rPr>
          <w:rFonts w:eastAsia="Calibri"/>
          <w:szCs w:val="26"/>
        </w:rPr>
      </w:pPr>
    </w:p>
    <w:p w14:paraId="4B666306" w14:textId="6D64090B" w:rsidR="00282C75" w:rsidRPr="008E7712" w:rsidRDefault="00282C75" w:rsidP="00233BB9">
      <w:pPr>
        <w:numPr>
          <w:ilvl w:val="1"/>
          <w:numId w:val="28"/>
        </w:numPr>
        <w:spacing w:line="240" w:lineRule="auto"/>
        <w:ind w:left="3600" w:right="1440" w:hanging="720"/>
        <w:rPr>
          <w:rFonts w:eastAsia="Calibri"/>
          <w:szCs w:val="26"/>
        </w:rPr>
      </w:pPr>
      <w:r w:rsidRPr="008E7712">
        <w:rPr>
          <w:szCs w:val="26"/>
        </w:rPr>
        <w:t>As part of its next base rate filing, CUPA will provide a report on its proposed implementation of the GHD</w:t>
      </w:r>
      <w:r w:rsidR="00E17926">
        <w:rPr>
          <w:rStyle w:val="FootnoteReference"/>
          <w:szCs w:val="26"/>
        </w:rPr>
        <w:footnoteReference w:id="7"/>
      </w:r>
      <w:r w:rsidRPr="008E7712">
        <w:rPr>
          <w:szCs w:val="26"/>
        </w:rPr>
        <w:t xml:space="preserve"> Report and </w:t>
      </w:r>
      <w:r w:rsidRPr="008E7712">
        <w:rPr>
          <w:szCs w:val="26"/>
        </w:rPr>
        <w:lastRenderedPageBreak/>
        <w:t>any action taken with regard to (1)</w:t>
      </w:r>
      <w:r w:rsidR="00E1022E">
        <w:rPr>
          <w:szCs w:val="26"/>
        </w:rPr>
        <w:t> </w:t>
      </w:r>
      <w:r w:rsidRPr="008E7712">
        <w:rPr>
          <w:szCs w:val="26"/>
        </w:rPr>
        <w:t>providing adequate supply; (2)</w:t>
      </w:r>
      <w:r w:rsidR="00E1022E">
        <w:rPr>
          <w:szCs w:val="26"/>
        </w:rPr>
        <w:t> </w:t>
      </w:r>
      <w:r w:rsidRPr="008E7712">
        <w:rPr>
          <w:szCs w:val="26"/>
        </w:rPr>
        <w:t>complying with minimum pressure requirements; (3) increasing pressures in low pressure areas so that it is suitable for all household purposes; (5) drilling a new well(s) or interconnecting with another utility for water supply; and (6)</w:t>
      </w:r>
      <w:r w:rsidR="00E1022E">
        <w:rPr>
          <w:szCs w:val="26"/>
        </w:rPr>
        <w:t> </w:t>
      </w:r>
      <w:r w:rsidRPr="008E7712">
        <w:rPr>
          <w:szCs w:val="26"/>
        </w:rPr>
        <w:t xml:space="preserve">obtaining local, state or federal funding for water supply and pressure projects.  </w:t>
      </w:r>
    </w:p>
    <w:p w14:paraId="1748A859" w14:textId="77777777" w:rsidR="007E476F" w:rsidRPr="008E7712" w:rsidRDefault="007E476F" w:rsidP="00233BB9">
      <w:pPr>
        <w:spacing w:line="240" w:lineRule="auto"/>
        <w:ind w:left="1440" w:right="1440" w:firstLine="720"/>
        <w:rPr>
          <w:rFonts w:eastAsia="Calibri"/>
          <w:szCs w:val="26"/>
        </w:rPr>
      </w:pPr>
    </w:p>
    <w:p w14:paraId="31F1C748" w14:textId="171E87B0" w:rsidR="00282C75" w:rsidRPr="008E7712" w:rsidRDefault="00282C75" w:rsidP="00233BB9">
      <w:pPr>
        <w:numPr>
          <w:ilvl w:val="0"/>
          <w:numId w:val="28"/>
        </w:numPr>
        <w:spacing w:line="240" w:lineRule="auto"/>
        <w:ind w:left="1440" w:right="1440" w:firstLine="720"/>
        <w:rPr>
          <w:rFonts w:eastAsia="Calibri"/>
          <w:szCs w:val="26"/>
        </w:rPr>
      </w:pPr>
      <w:r w:rsidRPr="008E7712">
        <w:rPr>
          <w:szCs w:val="26"/>
        </w:rPr>
        <w:t xml:space="preserve">While recognizing that grinder pumps are customer-owned facilities and the responsibility of customers, the Company agrees to provide every new wastewater customer that has a grinder pump with information on operation and maintenance of grinder pumps or how to obtain such information.  The Company will also continue to provide the information to existing wastewater customers via an annual bill insert, which will be delivered electronically to those customers who have chosen to receive bills electronically. </w:t>
      </w:r>
    </w:p>
    <w:p w14:paraId="09482336" w14:textId="77777777" w:rsidR="007E476F" w:rsidRPr="008E7712" w:rsidRDefault="007E476F" w:rsidP="00233BB9">
      <w:pPr>
        <w:spacing w:line="240" w:lineRule="auto"/>
        <w:ind w:left="1440" w:right="1440" w:firstLine="720"/>
        <w:rPr>
          <w:rFonts w:eastAsia="Calibri"/>
          <w:szCs w:val="26"/>
        </w:rPr>
      </w:pPr>
    </w:p>
    <w:p w14:paraId="2376D06D" w14:textId="2F7B91E7" w:rsidR="00282C75" w:rsidRPr="008E7712" w:rsidRDefault="00282C75" w:rsidP="00233BB9">
      <w:pPr>
        <w:numPr>
          <w:ilvl w:val="0"/>
          <w:numId w:val="28"/>
        </w:numPr>
        <w:spacing w:line="240" w:lineRule="auto"/>
        <w:ind w:left="1440" w:right="1440" w:firstLine="720"/>
        <w:rPr>
          <w:rFonts w:eastAsia="Calibri"/>
          <w:szCs w:val="26"/>
        </w:rPr>
      </w:pPr>
      <w:r w:rsidRPr="008E7712">
        <w:rPr>
          <w:szCs w:val="26"/>
        </w:rPr>
        <w:t xml:space="preserve">As part of its next base rate filing, CUPA will update the call center performance data contained in Parks Rebuttal Exhibit 1.  </w:t>
      </w:r>
    </w:p>
    <w:p w14:paraId="3299291B" w14:textId="77777777" w:rsidR="007E476F" w:rsidRPr="008E7712" w:rsidRDefault="007E476F" w:rsidP="00233BB9">
      <w:pPr>
        <w:spacing w:line="240" w:lineRule="auto"/>
        <w:ind w:left="1440" w:right="1440" w:firstLine="720"/>
        <w:rPr>
          <w:rFonts w:eastAsia="Calibri"/>
          <w:szCs w:val="26"/>
        </w:rPr>
      </w:pPr>
    </w:p>
    <w:p w14:paraId="52E7A0DA" w14:textId="425C765C" w:rsidR="007E476F" w:rsidRPr="008E7712" w:rsidRDefault="00282C75" w:rsidP="00233BB9">
      <w:pPr>
        <w:keepNext/>
        <w:spacing w:line="240" w:lineRule="auto"/>
        <w:ind w:left="1440"/>
        <w:rPr>
          <w:b/>
          <w:bCs/>
          <w:szCs w:val="26"/>
        </w:rPr>
      </w:pPr>
      <w:bookmarkStart w:id="16" w:name="_Toc162083"/>
      <w:r w:rsidRPr="008E7712">
        <w:rPr>
          <w:b/>
          <w:bCs/>
          <w:szCs w:val="26"/>
        </w:rPr>
        <w:t xml:space="preserve">H. </w:t>
      </w:r>
      <w:r w:rsidRPr="008E7712">
        <w:rPr>
          <w:b/>
          <w:bCs/>
          <w:szCs w:val="26"/>
        </w:rPr>
        <w:tab/>
      </w:r>
      <w:r w:rsidRPr="008E7712">
        <w:rPr>
          <w:b/>
          <w:bCs/>
          <w:szCs w:val="26"/>
          <w:u w:color="000000"/>
        </w:rPr>
        <w:t>Tamiment Rate Base Valuation</w:t>
      </w:r>
      <w:r w:rsidRPr="008E7712">
        <w:rPr>
          <w:b/>
          <w:bCs/>
          <w:szCs w:val="26"/>
        </w:rPr>
        <w:t xml:space="preserve"> </w:t>
      </w:r>
      <w:bookmarkEnd w:id="16"/>
    </w:p>
    <w:p w14:paraId="485ACAFA" w14:textId="77777777" w:rsidR="007E476F" w:rsidRPr="008E7712" w:rsidRDefault="007E476F" w:rsidP="00233BB9">
      <w:pPr>
        <w:keepNext/>
        <w:keepLines/>
        <w:tabs>
          <w:tab w:val="center" w:pos="844"/>
          <w:tab w:val="center" w:pos="2955"/>
        </w:tabs>
        <w:spacing w:line="240" w:lineRule="auto"/>
        <w:ind w:left="1440" w:right="1440" w:firstLine="720"/>
        <w:outlineLvl w:val="1"/>
        <w:rPr>
          <w:szCs w:val="26"/>
        </w:rPr>
      </w:pPr>
    </w:p>
    <w:p w14:paraId="07B0B2B4" w14:textId="49B39866" w:rsidR="00282C75" w:rsidRPr="008E7712" w:rsidRDefault="00282C75" w:rsidP="00233BB9">
      <w:pPr>
        <w:keepNext/>
        <w:numPr>
          <w:ilvl w:val="0"/>
          <w:numId w:val="29"/>
        </w:numPr>
        <w:spacing w:line="240" w:lineRule="auto"/>
        <w:ind w:left="1440" w:right="1440" w:firstLine="720"/>
        <w:rPr>
          <w:rFonts w:eastAsia="Calibri"/>
          <w:szCs w:val="26"/>
        </w:rPr>
      </w:pPr>
      <w:r w:rsidRPr="008E7712">
        <w:rPr>
          <w:szCs w:val="26"/>
        </w:rPr>
        <w:t xml:space="preserve">In compliance with the Commission’s Final Orders in Docket Nos. A-20183005430 et al., to establish a rate base value for Tamiment water and wastewater facilities in this rate case, based on traditional and generally accepted </w:t>
      </w:r>
      <w:r w:rsidRPr="008E7712">
        <w:rPr>
          <w:szCs w:val="26"/>
        </w:rPr>
        <w:lastRenderedPageBreak/>
        <w:t xml:space="preserve">ratemaking principles, the Joint Petitioners agree that the value for Tamiment rate base is as follows: </w:t>
      </w:r>
    </w:p>
    <w:p w14:paraId="09EA6011" w14:textId="77777777" w:rsidR="00333190" w:rsidRPr="008E7712" w:rsidRDefault="00333190" w:rsidP="00233BB9">
      <w:pPr>
        <w:keepNext/>
        <w:spacing w:line="240" w:lineRule="auto"/>
        <w:ind w:left="2160" w:right="1440"/>
        <w:rPr>
          <w:rFonts w:eastAsia="Calibri"/>
          <w:szCs w:val="26"/>
        </w:rPr>
      </w:pPr>
    </w:p>
    <w:p w14:paraId="20C44BDB" w14:textId="4EC1075F" w:rsidR="00282C75" w:rsidRPr="008E7712" w:rsidRDefault="00282C75" w:rsidP="00233BB9">
      <w:pPr>
        <w:keepNext/>
        <w:spacing w:line="240" w:lineRule="auto"/>
        <w:ind w:left="720" w:right="1440" w:firstLine="720"/>
        <w:jc w:val="right"/>
        <w:rPr>
          <w:szCs w:val="26"/>
        </w:rPr>
      </w:pPr>
      <w:r w:rsidRPr="008E7712">
        <w:rPr>
          <w:rFonts w:eastAsia="Calibri"/>
          <w:noProof/>
          <w:szCs w:val="26"/>
        </w:rPr>
        <w:drawing>
          <wp:inline distT="0" distB="0" distL="0" distR="0" wp14:anchorId="6F533414" wp14:editId="6601CEDD">
            <wp:extent cx="4568952" cy="1082040"/>
            <wp:effectExtent l="0" t="0" r="0" b="0"/>
            <wp:docPr id="947" name="Picture 947"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947" name="Picture 947" descr="Table&#10;&#10;Description automatically generated"/>
                    <pic:cNvPicPr/>
                  </pic:nvPicPr>
                  <pic:blipFill>
                    <a:blip r:embed="rId9"/>
                    <a:stretch>
                      <a:fillRect/>
                    </a:stretch>
                  </pic:blipFill>
                  <pic:spPr>
                    <a:xfrm>
                      <a:off x="0" y="0"/>
                      <a:ext cx="4568952" cy="1082040"/>
                    </a:xfrm>
                    <a:prstGeom prst="rect">
                      <a:avLst/>
                    </a:prstGeom>
                  </pic:spPr>
                </pic:pic>
              </a:graphicData>
            </a:graphic>
          </wp:inline>
        </w:drawing>
      </w:r>
      <w:r w:rsidRPr="008E7712">
        <w:rPr>
          <w:szCs w:val="26"/>
        </w:rPr>
        <w:t xml:space="preserve"> </w:t>
      </w:r>
    </w:p>
    <w:p w14:paraId="5E44B43B" w14:textId="77777777" w:rsidR="007E476F" w:rsidRPr="008E7712" w:rsidRDefault="007E476F" w:rsidP="0095284B">
      <w:pPr>
        <w:keepNext/>
        <w:ind w:left="1440" w:right="1440" w:firstLine="720"/>
        <w:rPr>
          <w:rFonts w:eastAsia="Calibri"/>
          <w:szCs w:val="26"/>
        </w:rPr>
      </w:pPr>
    </w:p>
    <w:p w14:paraId="259EC755" w14:textId="4DD54CD5" w:rsidR="00282C75" w:rsidRPr="008E7712" w:rsidRDefault="00282C75" w:rsidP="00233BB9">
      <w:pPr>
        <w:numPr>
          <w:ilvl w:val="0"/>
          <w:numId w:val="29"/>
        </w:numPr>
        <w:spacing w:line="240" w:lineRule="auto"/>
        <w:ind w:left="1440" w:right="1440" w:firstLine="720"/>
        <w:rPr>
          <w:rFonts w:eastAsia="Calibri"/>
          <w:szCs w:val="26"/>
        </w:rPr>
      </w:pPr>
      <w:r w:rsidRPr="008E7712">
        <w:rPr>
          <w:szCs w:val="26"/>
        </w:rPr>
        <w:t xml:space="preserve">Included in the Company’s incremental revenue increase for wastewater is the amortization expenses of the Tamiment Construction Work in Progress (CWIP), which is being amortized over 11 years ($439,920 / 11 = $39,992.73).  The unamortized balance of the Tamiment CWIP ($439,920) will not be included in rate base at any time during or after the amortization period.  Also, CUPA is authorized to record the $39,992.73 of expense through depreciation, if allowed by its external auditor or accounting firm.  </w:t>
      </w:r>
    </w:p>
    <w:p w14:paraId="0AF177C6" w14:textId="77777777" w:rsidR="007E476F" w:rsidRPr="008E7712" w:rsidRDefault="007E476F" w:rsidP="00233BB9">
      <w:pPr>
        <w:spacing w:line="240" w:lineRule="auto"/>
        <w:ind w:left="1440" w:right="1440" w:firstLine="720"/>
        <w:rPr>
          <w:rFonts w:eastAsia="Calibri"/>
          <w:szCs w:val="26"/>
        </w:rPr>
      </w:pPr>
    </w:p>
    <w:p w14:paraId="6BB2BAEE" w14:textId="1AA47780" w:rsidR="007E476F" w:rsidRPr="008E7712" w:rsidRDefault="00282C75" w:rsidP="00233BB9">
      <w:pPr>
        <w:keepNext/>
        <w:spacing w:line="240" w:lineRule="auto"/>
        <w:ind w:left="1440"/>
        <w:rPr>
          <w:b/>
          <w:bCs/>
          <w:szCs w:val="26"/>
        </w:rPr>
      </w:pPr>
      <w:bookmarkStart w:id="17" w:name="_Toc162084"/>
      <w:r w:rsidRPr="008E7712">
        <w:rPr>
          <w:b/>
          <w:bCs/>
          <w:szCs w:val="26"/>
        </w:rPr>
        <w:t xml:space="preserve">I. </w:t>
      </w:r>
      <w:r w:rsidRPr="008E7712">
        <w:rPr>
          <w:b/>
          <w:bCs/>
          <w:szCs w:val="26"/>
        </w:rPr>
        <w:tab/>
      </w:r>
      <w:r w:rsidRPr="008E7712">
        <w:rPr>
          <w:b/>
          <w:bCs/>
          <w:szCs w:val="26"/>
          <w:u w:color="000000"/>
        </w:rPr>
        <w:t>Standard Terms</w:t>
      </w:r>
      <w:r w:rsidRPr="008E7712">
        <w:rPr>
          <w:b/>
          <w:bCs/>
          <w:szCs w:val="26"/>
        </w:rPr>
        <w:t xml:space="preserve"> </w:t>
      </w:r>
      <w:bookmarkEnd w:id="17"/>
    </w:p>
    <w:p w14:paraId="55B3DBBD" w14:textId="77777777" w:rsidR="007E476F" w:rsidRPr="008E7712" w:rsidRDefault="007E476F" w:rsidP="00233BB9">
      <w:pPr>
        <w:keepNext/>
        <w:keepLines/>
        <w:tabs>
          <w:tab w:val="center" w:pos="795"/>
          <w:tab w:val="center" w:pos="2208"/>
        </w:tabs>
        <w:spacing w:line="240" w:lineRule="auto"/>
        <w:ind w:left="1440" w:right="1440" w:firstLine="720"/>
        <w:outlineLvl w:val="1"/>
        <w:rPr>
          <w:szCs w:val="26"/>
        </w:rPr>
      </w:pPr>
    </w:p>
    <w:p w14:paraId="7A085020" w14:textId="53DD0017" w:rsidR="00282C75" w:rsidRPr="008E7712" w:rsidRDefault="00282C75" w:rsidP="00233BB9">
      <w:pPr>
        <w:keepNext/>
        <w:numPr>
          <w:ilvl w:val="0"/>
          <w:numId w:val="30"/>
        </w:numPr>
        <w:spacing w:line="240" w:lineRule="auto"/>
        <w:ind w:left="1440" w:right="1440" w:firstLine="720"/>
        <w:rPr>
          <w:rFonts w:eastAsia="Calibri"/>
          <w:szCs w:val="26"/>
        </w:rPr>
      </w:pPr>
      <w:r w:rsidRPr="008E7712">
        <w:rPr>
          <w:szCs w:val="26"/>
        </w:rPr>
        <w:t>The Commission’s approval of the Settlement shall not be construed as approval of any Joint Petitioner’s position on any issue but rather as an agreed-to compromise of the Joint Petitioners’ competing positions.  It is understood and agreed among the Joint Petitioners that the proposed Settlement is the result of compromise and does not necessarily represent the position(s) that would be advanced by any Joint Petitioner in this or any other proceeding if it were fully litigated</w:t>
      </w:r>
      <w:r w:rsidR="004930CB" w:rsidRPr="008E7712">
        <w:rPr>
          <w:szCs w:val="26"/>
        </w:rPr>
        <w:t xml:space="preserve">.  </w:t>
      </w:r>
      <w:r w:rsidRPr="008E7712">
        <w:rPr>
          <w:szCs w:val="26"/>
        </w:rPr>
        <w:t xml:space="preserve">Accordingly, this Settlement may not be cited as precedent in any future proceeding, except to the extent required to implement any term specifically agreed to by the Joint Petitioners or to enforce this Settlement.  </w:t>
      </w:r>
    </w:p>
    <w:p w14:paraId="30BD8626" w14:textId="77777777" w:rsidR="007E476F" w:rsidRPr="008E7712" w:rsidRDefault="007E476F" w:rsidP="00233BB9">
      <w:pPr>
        <w:spacing w:line="240" w:lineRule="auto"/>
        <w:ind w:left="1440" w:right="1440" w:firstLine="720"/>
        <w:rPr>
          <w:rFonts w:eastAsia="Calibri"/>
          <w:szCs w:val="26"/>
        </w:rPr>
      </w:pPr>
    </w:p>
    <w:p w14:paraId="2BF6E0B3" w14:textId="71D02D0E" w:rsidR="00282C75" w:rsidRPr="008E7712" w:rsidRDefault="00282C75" w:rsidP="00233BB9">
      <w:pPr>
        <w:numPr>
          <w:ilvl w:val="0"/>
          <w:numId w:val="30"/>
        </w:numPr>
        <w:spacing w:line="240" w:lineRule="auto"/>
        <w:ind w:left="1440" w:right="1440" w:firstLine="720"/>
        <w:rPr>
          <w:rFonts w:eastAsia="Calibri"/>
          <w:szCs w:val="26"/>
        </w:rPr>
      </w:pPr>
      <w:r w:rsidRPr="008E7712">
        <w:rPr>
          <w:szCs w:val="26"/>
        </w:rPr>
        <w:t xml:space="preserve">This Settlement is presented without prejudice to the position any of the Joint Petitioners may advance in future proceedings, except to the extent necessary to effectuate or enforce any term specifically agreed to by the Joint Petitioners in this Settlement that would carry forward into subsequent rate cases. </w:t>
      </w:r>
    </w:p>
    <w:p w14:paraId="5A5D5657" w14:textId="77777777" w:rsidR="007E476F" w:rsidRPr="008E7712" w:rsidRDefault="007E476F" w:rsidP="00233BB9">
      <w:pPr>
        <w:spacing w:line="240" w:lineRule="auto"/>
        <w:ind w:left="1440" w:right="1440" w:firstLine="720"/>
        <w:rPr>
          <w:rFonts w:eastAsia="Calibri"/>
          <w:szCs w:val="26"/>
        </w:rPr>
      </w:pPr>
    </w:p>
    <w:p w14:paraId="3916FD48" w14:textId="49C622F1" w:rsidR="00282C75" w:rsidRPr="008E7712" w:rsidRDefault="00282C75" w:rsidP="00233BB9">
      <w:pPr>
        <w:numPr>
          <w:ilvl w:val="0"/>
          <w:numId w:val="30"/>
        </w:numPr>
        <w:spacing w:line="240" w:lineRule="auto"/>
        <w:ind w:left="1440" w:right="1440" w:firstLine="720"/>
        <w:rPr>
          <w:rFonts w:eastAsia="Calibri"/>
          <w:szCs w:val="26"/>
        </w:rPr>
      </w:pPr>
      <w:r w:rsidRPr="008E7712">
        <w:rPr>
          <w:szCs w:val="26"/>
        </w:rPr>
        <w:lastRenderedPageBreak/>
        <w:t xml:space="preserve">This Settlement is conditioned upon the Commission’s approval of the terms and conditions contained herein without modification.  In reaching this proposed Settlement, the Joint Petitioners thoroughly considered all issues and give and take of positions.  As a result of that consideration, the Joint Petitioners believe that the settlement agreement meaningfully addresses all such issues raised and therefore should be approved without modification.  If the Commission should disapprove the Settlement or modify any terms and conditions herein, this Settlement may be withdrawn upon written notice to the Commission and all active parties within five (5) business days following entry of the Commission’s Order by any of the Joint Petitioners and, in such event, shall be of no force and effect.  In the event that the Commission disapproves the Settlement or the Company or any other Joint Petitioner elects to withdraw the Settlement as provided above, the Joint Petitioners reserve their respective rights to fully litigate this case, including, but not limited to, presentation of witnesses, </w:t>
      </w:r>
      <w:proofErr w:type="gramStart"/>
      <w:r w:rsidRPr="008E7712">
        <w:rPr>
          <w:szCs w:val="26"/>
        </w:rPr>
        <w:t>cross-examination</w:t>
      </w:r>
      <w:proofErr w:type="gramEnd"/>
      <w:r w:rsidRPr="008E7712">
        <w:rPr>
          <w:szCs w:val="26"/>
        </w:rPr>
        <w:t xml:space="preserve"> and legal argument through submission of Briefs, Exceptions and Replies to Exceptions. </w:t>
      </w:r>
    </w:p>
    <w:p w14:paraId="51376180" w14:textId="77777777" w:rsidR="007E476F" w:rsidRPr="008E7712" w:rsidRDefault="007E476F" w:rsidP="00233BB9">
      <w:pPr>
        <w:spacing w:line="240" w:lineRule="auto"/>
        <w:ind w:left="1440" w:right="1440" w:firstLine="720"/>
        <w:rPr>
          <w:rFonts w:eastAsia="Calibri"/>
          <w:szCs w:val="26"/>
        </w:rPr>
      </w:pPr>
    </w:p>
    <w:p w14:paraId="41FF8D38" w14:textId="63BC9C4B" w:rsidR="00282C75" w:rsidRPr="008E7712" w:rsidRDefault="00282C75" w:rsidP="00233BB9">
      <w:pPr>
        <w:numPr>
          <w:ilvl w:val="0"/>
          <w:numId w:val="30"/>
        </w:numPr>
        <w:spacing w:line="240" w:lineRule="auto"/>
        <w:ind w:left="1440" w:right="1440" w:firstLine="720"/>
        <w:rPr>
          <w:rFonts w:eastAsia="Calibri"/>
          <w:szCs w:val="26"/>
        </w:rPr>
      </w:pPr>
      <w:r w:rsidRPr="008E7712">
        <w:rPr>
          <w:szCs w:val="26"/>
        </w:rPr>
        <w:t xml:space="preserve">All Joint Petitioners support the Settlement and agree, as a result of this negotiated settlement and the facts and data examined and in view of existing ratemaking law and principles, to make reasonable and good faith efforts to obtain approval of the Settlement by the ALJ and the Commission without modification.  If the ALJ, in the Recommended Decision, recommends that the Commission adopt the Settlement as herein proposed without modification, the Joint Petitioners agree to waive the filing of Exceptions.  However, to the extent any terms and conditions of the Settlement are modified, or additional matters are proposed by the ALJ in the Recommended Decision, the Joint Petitioners do not waive their rights to file Exceptions in support of the Settlement.  The Joint Petitioners also reserve the right to file Replies to any Exceptions that may be filed provided such Replies support the Settlement.  </w:t>
      </w:r>
    </w:p>
    <w:p w14:paraId="55C4D0F2" w14:textId="77777777" w:rsidR="007E476F" w:rsidRPr="008E7712" w:rsidRDefault="007E476F" w:rsidP="00233BB9">
      <w:pPr>
        <w:spacing w:line="240" w:lineRule="auto"/>
        <w:ind w:left="1440" w:right="1440" w:firstLine="720"/>
        <w:rPr>
          <w:rFonts w:eastAsia="Calibri"/>
          <w:szCs w:val="26"/>
        </w:rPr>
      </w:pPr>
    </w:p>
    <w:p w14:paraId="03D983ED" w14:textId="70B630B0" w:rsidR="00282C75" w:rsidRPr="008E7712" w:rsidRDefault="00282C75" w:rsidP="00233BB9">
      <w:pPr>
        <w:numPr>
          <w:ilvl w:val="0"/>
          <w:numId w:val="30"/>
        </w:numPr>
        <w:spacing w:line="240" w:lineRule="auto"/>
        <w:ind w:left="1440" w:right="1440" w:firstLine="720"/>
        <w:rPr>
          <w:rFonts w:eastAsia="Calibri"/>
          <w:szCs w:val="26"/>
        </w:rPr>
      </w:pPr>
      <w:r w:rsidRPr="008E7712">
        <w:rPr>
          <w:szCs w:val="26"/>
        </w:rPr>
        <w:t xml:space="preserve">The Joint Petitioners recognize that this Joint Petition is a settlement of, and binding upon, only among the parties signing this document.  </w:t>
      </w:r>
    </w:p>
    <w:p w14:paraId="1876D0AB" w14:textId="77777777" w:rsidR="007E476F" w:rsidRPr="008E7712" w:rsidRDefault="007E476F" w:rsidP="00233BB9">
      <w:pPr>
        <w:spacing w:line="240" w:lineRule="auto"/>
        <w:ind w:left="1440" w:right="1440" w:firstLine="720"/>
        <w:rPr>
          <w:rFonts w:eastAsia="Calibri"/>
          <w:szCs w:val="26"/>
        </w:rPr>
      </w:pPr>
    </w:p>
    <w:p w14:paraId="4AA6C1C3" w14:textId="4441C1C7" w:rsidR="00282C75" w:rsidRPr="008E7712" w:rsidRDefault="00282C75" w:rsidP="00233BB9">
      <w:pPr>
        <w:numPr>
          <w:ilvl w:val="0"/>
          <w:numId w:val="30"/>
        </w:numPr>
        <w:spacing w:line="240" w:lineRule="auto"/>
        <w:ind w:left="1440" w:right="1440" w:firstLine="720"/>
        <w:rPr>
          <w:rFonts w:eastAsia="Calibri"/>
          <w:szCs w:val="26"/>
        </w:rPr>
      </w:pPr>
      <w:r w:rsidRPr="008E7712">
        <w:rPr>
          <w:szCs w:val="26"/>
        </w:rPr>
        <w:lastRenderedPageBreak/>
        <w:t>The OCA represents it will, on the date of the signing of this settlement petition, send a letter providing instructions concerning the Complainants’ opportunity to address the proposed Settlement.  OCA also represents that the letter will explain that the Complainant has until October</w:t>
      </w:r>
      <w:r w:rsidR="00531B99">
        <w:rPr>
          <w:szCs w:val="26"/>
        </w:rPr>
        <w:t> </w:t>
      </w:r>
      <w:r w:rsidRPr="008E7712">
        <w:rPr>
          <w:szCs w:val="26"/>
        </w:rPr>
        <w:t xml:space="preserve">22, </w:t>
      </w:r>
      <w:proofErr w:type="gramStart"/>
      <w:r w:rsidRPr="008E7712">
        <w:rPr>
          <w:szCs w:val="26"/>
        </w:rPr>
        <w:t>2021</w:t>
      </w:r>
      <w:proofErr w:type="gramEnd"/>
      <w:r w:rsidRPr="008E7712">
        <w:rPr>
          <w:szCs w:val="26"/>
        </w:rPr>
        <w:t xml:space="preserve"> to join, disagree but not actively oppose, or object to the proposed settlement and provides contact information for the OCA.  </w:t>
      </w:r>
    </w:p>
    <w:p w14:paraId="546A7181" w14:textId="77777777" w:rsidR="007E476F" w:rsidRPr="008E7712" w:rsidRDefault="007E476F" w:rsidP="00233BB9">
      <w:pPr>
        <w:spacing w:line="240" w:lineRule="auto"/>
        <w:ind w:left="1440" w:right="1440" w:firstLine="720"/>
        <w:rPr>
          <w:rFonts w:eastAsia="Calibri"/>
          <w:szCs w:val="26"/>
        </w:rPr>
      </w:pPr>
    </w:p>
    <w:p w14:paraId="7A642530" w14:textId="68BA996A" w:rsidR="00282C75" w:rsidRPr="008E7712" w:rsidRDefault="00282C75" w:rsidP="00233BB9">
      <w:pPr>
        <w:numPr>
          <w:ilvl w:val="0"/>
          <w:numId w:val="30"/>
        </w:numPr>
        <w:spacing w:line="240" w:lineRule="auto"/>
        <w:ind w:left="1440" w:right="1440" w:firstLine="720"/>
        <w:rPr>
          <w:rFonts w:eastAsia="Calibri"/>
          <w:szCs w:val="26"/>
        </w:rPr>
      </w:pPr>
      <w:r w:rsidRPr="008E7712">
        <w:rPr>
          <w:szCs w:val="26"/>
        </w:rPr>
        <w:t xml:space="preserve">The Joint Petitioners agree that this document may be signed or executed in separate counterparts or signature pages that shall be binding upon the Joint Petitioners and such counterparts shall be considered as one document.  </w:t>
      </w:r>
    </w:p>
    <w:p w14:paraId="599C62A7" w14:textId="77777777" w:rsidR="007E476F" w:rsidRPr="008E7712" w:rsidRDefault="007E476F" w:rsidP="00233BB9">
      <w:pPr>
        <w:spacing w:line="240" w:lineRule="auto"/>
        <w:ind w:left="1440" w:right="1440" w:firstLine="720"/>
        <w:rPr>
          <w:rFonts w:eastAsia="Calibri"/>
          <w:szCs w:val="26"/>
        </w:rPr>
      </w:pPr>
    </w:p>
    <w:p w14:paraId="5B37BF37" w14:textId="52AFE5D0" w:rsidR="0082614A" w:rsidRPr="008E7712" w:rsidRDefault="00282C75" w:rsidP="00233BB9">
      <w:pPr>
        <w:numPr>
          <w:ilvl w:val="0"/>
          <w:numId w:val="30"/>
        </w:numPr>
        <w:spacing w:line="240" w:lineRule="auto"/>
        <w:ind w:left="1440" w:right="1440" w:firstLine="720"/>
        <w:rPr>
          <w:rFonts w:eastAsia="Calibri"/>
          <w:szCs w:val="26"/>
        </w:rPr>
      </w:pPr>
      <w:r w:rsidRPr="008E7712">
        <w:rPr>
          <w:szCs w:val="26"/>
        </w:rPr>
        <w:t xml:space="preserve">The Joint Petitioners agree and request that if the proposed Settlement is approved, the OCA’s and OSBA’s Formal Complaints in this matter should be marked satisfied and closed due to the Settlement. </w:t>
      </w:r>
    </w:p>
    <w:p w14:paraId="411030A2" w14:textId="2526890D" w:rsidR="00AC611A" w:rsidRPr="008E7712" w:rsidRDefault="00AC611A" w:rsidP="00AC611A">
      <w:pPr>
        <w:ind w:right="57"/>
        <w:rPr>
          <w:szCs w:val="26"/>
        </w:rPr>
      </w:pPr>
    </w:p>
    <w:p w14:paraId="1C7AF308" w14:textId="2D230CE5" w:rsidR="00BB520E" w:rsidRDefault="007E42CF" w:rsidP="0095284B">
      <w:pPr>
        <w:ind w:right="57"/>
        <w:rPr>
          <w:szCs w:val="26"/>
        </w:rPr>
      </w:pPr>
      <w:r>
        <w:rPr>
          <w:szCs w:val="26"/>
        </w:rPr>
        <w:t>Joint Petition</w:t>
      </w:r>
      <w:r w:rsidR="00BB520E">
        <w:rPr>
          <w:szCs w:val="26"/>
        </w:rPr>
        <w:t xml:space="preserve"> at 6-</w:t>
      </w:r>
      <w:r w:rsidR="00F124A9">
        <w:rPr>
          <w:szCs w:val="26"/>
        </w:rPr>
        <w:t>16</w:t>
      </w:r>
      <w:r w:rsidR="00974184">
        <w:rPr>
          <w:szCs w:val="26"/>
        </w:rPr>
        <w:t xml:space="preserve">, </w:t>
      </w:r>
      <w:r w:rsidR="00974184" w:rsidRPr="008E7712">
        <w:rPr>
          <w:szCs w:val="26"/>
          <w:u w:color="000000"/>
        </w:rPr>
        <w:t xml:space="preserve">¶¶ </w:t>
      </w:r>
      <w:r w:rsidR="00974184">
        <w:rPr>
          <w:szCs w:val="26"/>
          <w:u w:color="000000"/>
        </w:rPr>
        <w:t>1</w:t>
      </w:r>
      <w:r w:rsidR="00974184" w:rsidRPr="008E7712">
        <w:rPr>
          <w:szCs w:val="26"/>
          <w:u w:color="000000"/>
        </w:rPr>
        <w:t>-</w:t>
      </w:r>
      <w:r w:rsidR="00974184">
        <w:rPr>
          <w:szCs w:val="26"/>
          <w:u w:color="000000"/>
        </w:rPr>
        <w:t>36</w:t>
      </w:r>
      <w:r w:rsidR="00F124A9">
        <w:rPr>
          <w:szCs w:val="26"/>
        </w:rPr>
        <w:t>.</w:t>
      </w:r>
    </w:p>
    <w:p w14:paraId="4029455C" w14:textId="77777777" w:rsidR="00F124A9" w:rsidRPr="008E7712" w:rsidRDefault="00F124A9" w:rsidP="0095284B">
      <w:pPr>
        <w:ind w:right="57"/>
        <w:rPr>
          <w:szCs w:val="26"/>
        </w:rPr>
      </w:pPr>
    </w:p>
    <w:p w14:paraId="72EFA3FF" w14:textId="4E86FD1D" w:rsidR="00AC611A" w:rsidRPr="008E7712" w:rsidRDefault="00AC611A" w:rsidP="0095284B">
      <w:pPr>
        <w:ind w:firstLine="1440"/>
        <w:contextualSpacing/>
        <w:rPr>
          <w:szCs w:val="26"/>
        </w:rPr>
      </w:pPr>
      <w:r w:rsidRPr="008E7712">
        <w:rPr>
          <w:rFonts w:eastAsia="Calibri"/>
          <w:szCs w:val="26"/>
        </w:rPr>
        <w:t>In support of the Joint Petition, the Joint Petitioners relied upon</w:t>
      </w:r>
      <w:r w:rsidR="004837C0">
        <w:rPr>
          <w:rFonts w:eastAsia="Calibri"/>
          <w:szCs w:val="26"/>
        </w:rPr>
        <w:t>:</w:t>
      </w:r>
      <w:r w:rsidR="00AC7D40">
        <w:rPr>
          <w:rFonts w:eastAsia="Calibri"/>
          <w:szCs w:val="26"/>
        </w:rPr>
        <w:t xml:space="preserve"> </w:t>
      </w:r>
      <w:r w:rsidRPr="008E7712">
        <w:rPr>
          <w:rFonts w:eastAsia="Calibri"/>
          <w:szCs w:val="26"/>
        </w:rPr>
        <w:t xml:space="preserve"> the evidentiary record submitted in support of the original proposed rate increase, including testimony and exhibits offered into the record in the proceeding</w:t>
      </w:r>
      <w:r w:rsidR="004837C0">
        <w:rPr>
          <w:rFonts w:eastAsia="Calibri"/>
          <w:szCs w:val="26"/>
        </w:rPr>
        <w:t>;</w:t>
      </w:r>
      <w:r w:rsidRPr="008E7712">
        <w:rPr>
          <w:rFonts w:eastAsia="Calibri"/>
          <w:szCs w:val="26"/>
        </w:rPr>
        <w:t xml:space="preserve"> Stipulations of Fact included in the Joint Petition</w:t>
      </w:r>
      <w:r w:rsidR="004837C0">
        <w:rPr>
          <w:rFonts w:eastAsia="Calibri"/>
          <w:szCs w:val="26"/>
        </w:rPr>
        <w:t>;</w:t>
      </w:r>
      <w:r w:rsidRPr="008E7712">
        <w:rPr>
          <w:rFonts w:eastAsia="Calibri"/>
          <w:szCs w:val="26"/>
        </w:rPr>
        <w:t xml:space="preserve"> Appendices A-G to the Joint Petition, constituting proposed tariff supplements, proof of revenues and average bill impact calculations</w:t>
      </w:r>
      <w:r w:rsidR="004837C0">
        <w:rPr>
          <w:rFonts w:eastAsia="Calibri"/>
          <w:szCs w:val="26"/>
        </w:rPr>
        <w:t>;</w:t>
      </w:r>
      <w:r w:rsidRPr="008E7712">
        <w:rPr>
          <w:rFonts w:eastAsia="Calibri"/>
          <w:szCs w:val="26"/>
        </w:rPr>
        <w:t xml:space="preserve"> as well as Appendices H-K, consisting of the Statements in Support of the Joint Petition of CUPA, the OCA, I&amp;E, and the OSBA.  </w:t>
      </w:r>
      <w:r w:rsidRPr="008E7712">
        <w:rPr>
          <w:rFonts w:eastAsia="Calibri"/>
          <w:i/>
          <w:iCs/>
          <w:szCs w:val="26"/>
        </w:rPr>
        <w:t>See</w:t>
      </w:r>
      <w:r w:rsidRPr="008E7712">
        <w:rPr>
          <w:rFonts w:eastAsia="Calibri"/>
          <w:szCs w:val="26"/>
        </w:rPr>
        <w:t xml:space="preserve">  Stipulations of Fact, Joint Petition at 16, Appendix</w:t>
      </w:r>
      <w:r w:rsidR="00E1022E">
        <w:rPr>
          <w:rFonts w:eastAsia="Calibri"/>
          <w:szCs w:val="26"/>
        </w:rPr>
        <w:t> </w:t>
      </w:r>
      <w:r w:rsidRPr="008E7712">
        <w:rPr>
          <w:rFonts w:eastAsia="Calibri"/>
          <w:szCs w:val="26"/>
        </w:rPr>
        <w:t>A (Procedural History, Proposed Conclusions of Law, and Proposed Ordering Paragraphs); Joint Petition Appendix B (</w:t>
      </w:r>
      <w:r w:rsidRPr="008E7712">
        <w:rPr>
          <w:szCs w:val="26"/>
        </w:rPr>
        <w:t>Water Tariff Supplement); Appendix C (Wastewater Tariff Supplement); Appendix D (Surcharge Tariff Supplements); Appendix</w:t>
      </w:r>
      <w:r w:rsidR="00E1022E">
        <w:rPr>
          <w:szCs w:val="26"/>
        </w:rPr>
        <w:t> </w:t>
      </w:r>
      <w:r w:rsidRPr="008E7712">
        <w:rPr>
          <w:szCs w:val="26"/>
        </w:rPr>
        <w:t xml:space="preserve">E (Water Proof of Revenues); Appendix F (Wastewater Proof of Revenues); Appendix G (Average Bill Impact); Appendix H (CUPA Statement in Support); </w:t>
      </w:r>
      <w:r w:rsidRPr="008E7712">
        <w:rPr>
          <w:szCs w:val="26"/>
        </w:rPr>
        <w:lastRenderedPageBreak/>
        <w:t>Appendix I (OCA Statement in Support); Appendix J (I&amp;E Statement in Support); Appendix K (OSBA Statement in Support).</w:t>
      </w:r>
    </w:p>
    <w:p w14:paraId="6E73625F" w14:textId="77777777" w:rsidR="00AC611A" w:rsidRPr="008E7712" w:rsidRDefault="00AC611A" w:rsidP="00AC611A">
      <w:pPr>
        <w:ind w:firstLine="1440"/>
        <w:contextualSpacing/>
        <w:rPr>
          <w:rFonts w:eastAsia="Calibri"/>
          <w:szCs w:val="26"/>
        </w:rPr>
      </w:pPr>
    </w:p>
    <w:p w14:paraId="5B91D6B6" w14:textId="0947A032" w:rsidR="00AC611A" w:rsidRPr="008E7712" w:rsidRDefault="00AC611A" w:rsidP="00E1022E">
      <w:pPr>
        <w:ind w:firstLine="1440"/>
        <w:contextualSpacing/>
        <w:rPr>
          <w:rFonts w:eastAsia="Calibri"/>
          <w:szCs w:val="26"/>
        </w:rPr>
      </w:pPr>
      <w:r w:rsidRPr="008E7712">
        <w:rPr>
          <w:szCs w:val="26"/>
        </w:rPr>
        <w:t xml:space="preserve">The Joint Petitioners respectfully requested that the Commission (1) approve the Settlement, including all terms and conditions thereof, consistent with the Appendices A-K; and (2) grant CUPA </w:t>
      </w:r>
      <w:r w:rsidR="00017114">
        <w:rPr>
          <w:szCs w:val="26"/>
        </w:rPr>
        <w:t xml:space="preserve">the </w:t>
      </w:r>
      <w:r w:rsidRPr="008E7712">
        <w:rPr>
          <w:szCs w:val="26"/>
        </w:rPr>
        <w:t>permission to file the tariffs consistent with Appendices.</w:t>
      </w:r>
    </w:p>
    <w:p w14:paraId="052E4068" w14:textId="59C9AAF0" w:rsidR="00282C75" w:rsidRPr="008E7712" w:rsidRDefault="00282C75" w:rsidP="00E1022E">
      <w:pPr>
        <w:rPr>
          <w:b/>
          <w:bCs/>
          <w:szCs w:val="26"/>
        </w:rPr>
      </w:pPr>
    </w:p>
    <w:p w14:paraId="0061D77F" w14:textId="43447245" w:rsidR="000F7E72" w:rsidRPr="008E7712" w:rsidRDefault="00F719A2" w:rsidP="00E1022E">
      <w:pPr>
        <w:pStyle w:val="Heading1"/>
        <w:keepNext/>
        <w:rPr>
          <w:szCs w:val="26"/>
        </w:rPr>
      </w:pPr>
      <w:bookmarkStart w:id="18" w:name="_Toc91576491"/>
      <w:r w:rsidRPr="008E7712">
        <w:rPr>
          <w:szCs w:val="26"/>
        </w:rPr>
        <w:t>V</w:t>
      </w:r>
      <w:r w:rsidR="000F7E72" w:rsidRPr="008E7712">
        <w:rPr>
          <w:szCs w:val="26"/>
        </w:rPr>
        <w:t>.</w:t>
      </w:r>
      <w:r w:rsidR="000F7E72" w:rsidRPr="008E7712">
        <w:rPr>
          <w:szCs w:val="26"/>
        </w:rPr>
        <w:tab/>
        <w:t>S</w:t>
      </w:r>
      <w:r w:rsidR="005071D8" w:rsidRPr="008E7712">
        <w:rPr>
          <w:szCs w:val="26"/>
        </w:rPr>
        <w:t>tipulations of Fact</w:t>
      </w:r>
      <w:r w:rsidR="00033E61" w:rsidRPr="008E7712">
        <w:rPr>
          <w:szCs w:val="26"/>
        </w:rPr>
        <w:t xml:space="preserve"> and Conclusions of Law</w:t>
      </w:r>
      <w:bookmarkEnd w:id="18"/>
    </w:p>
    <w:p w14:paraId="4494E346" w14:textId="77777777" w:rsidR="000F7E72" w:rsidRPr="008E7712" w:rsidRDefault="000F7E72" w:rsidP="00E1022E">
      <w:pPr>
        <w:keepNext/>
        <w:rPr>
          <w:b/>
          <w:bCs/>
          <w:szCs w:val="26"/>
        </w:rPr>
      </w:pPr>
    </w:p>
    <w:p w14:paraId="536FD5EA" w14:textId="6BD69230" w:rsidR="009D039A" w:rsidRPr="008E7712" w:rsidRDefault="000F7E72" w:rsidP="00E1022E">
      <w:pPr>
        <w:ind w:firstLine="1440"/>
        <w:contextualSpacing/>
        <w:rPr>
          <w:color w:val="auto"/>
          <w:szCs w:val="26"/>
        </w:rPr>
      </w:pPr>
      <w:r w:rsidRPr="008E7712">
        <w:rPr>
          <w:szCs w:val="26"/>
          <w:u w:color="000000"/>
        </w:rPr>
        <w:t>The Joint Petitioners agreed upon twenty-</w:t>
      </w:r>
      <w:r w:rsidR="00C67142" w:rsidRPr="008E7712">
        <w:rPr>
          <w:szCs w:val="26"/>
          <w:u w:color="000000"/>
        </w:rPr>
        <w:t>four</w:t>
      </w:r>
      <w:r w:rsidRPr="008E7712">
        <w:rPr>
          <w:szCs w:val="26"/>
          <w:u w:color="000000"/>
        </w:rPr>
        <w:t xml:space="preserve"> Stipulations of Fact that were included </w:t>
      </w:r>
      <w:r w:rsidR="00033E61" w:rsidRPr="008E7712">
        <w:rPr>
          <w:szCs w:val="26"/>
          <w:u w:color="000000"/>
        </w:rPr>
        <w:t xml:space="preserve">in the </w:t>
      </w:r>
      <w:r w:rsidRPr="008E7712">
        <w:rPr>
          <w:szCs w:val="26"/>
          <w:u w:color="000000"/>
        </w:rPr>
        <w:t>Joint Petition.  Joint Pet</w:t>
      </w:r>
      <w:r w:rsidR="00566BB7" w:rsidRPr="008E7712">
        <w:rPr>
          <w:szCs w:val="26"/>
          <w:u w:color="000000"/>
        </w:rPr>
        <w:t>ition</w:t>
      </w:r>
      <w:r w:rsidRPr="008E7712">
        <w:rPr>
          <w:szCs w:val="26"/>
          <w:u w:color="000000"/>
        </w:rPr>
        <w:t xml:space="preserve"> at 16-34, ¶¶ 37-60.  </w:t>
      </w:r>
      <w:r w:rsidR="00566BB7" w:rsidRPr="008E7712">
        <w:rPr>
          <w:szCs w:val="26"/>
          <w:u w:color="000000"/>
        </w:rPr>
        <w:t xml:space="preserve">The Joint Petitioners also included two proposed Conclusions of Law as part of Appendix A to the Joint Petition.  </w:t>
      </w:r>
      <w:r w:rsidR="00C67142" w:rsidRPr="008E7712">
        <w:rPr>
          <w:szCs w:val="26"/>
          <w:u w:color="000000"/>
        </w:rPr>
        <w:t xml:space="preserve">Joint Petition, Appendix A-3.  </w:t>
      </w:r>
      <w:r w:rsidRPr="008E7712">
        <w:rPr>
          <w:szCs w:val="26"/>
          <w:u w:color="000000"/>
        </w:rPr>
        <w:t>We adopt these Stipulations of Fact in their entirety without modification and list them below as Nos. 1-2</w:t>
      </w:r>
      <w:r w:rsidR="00C67142" w:rsidRPr="008E7712">
        <w:rPr>
          <w:szCs w:val="26"/>
          <w:u w:color="000000"/>
        </w:rPr>
        <w:t>4</w:t>
      </w:r>
      <w:r w:rsidRPr="008E7712">
        <w:rPr>
          <w:szCs w:val="26"/>
          <w:u w:color="000000"/>
        </w:rPr>
        <w:t xml:space="preserve">, for ease of reference.  </w:t>
      </w:r>
      <w:r w:rsidR="00C67142" w:rsidRPr="008E7712">
        <w:rPr>
          <w:szCs w:val="26"/>
          <w:u w:color="000000"/>
        </w:rPr>
        <w:t>We also adopt the p</w:t>
      </w:r>
      <w:r w:rsidR="00566BB7" w:rsidRPr="008E7712">
        <w:rPr>
          <w:szCs w:val="26"/>
          <w:u w:color="000000"/>
        </w:rPr>
        <w:t xml:space="preserve">roposed Conclusions of Law </w:t>
      </w:r>
      <w:r w:rsidR="00C67142" w:rsidRPr="008E7712">
        <w:rPr>
          <w:szCs w:val="26"/>
          <w:u w:color="000000"/>
        </w:rPr>
        <w:t xml:space="preserve">and </w:t>
      </w:r>
      <w:r w:rsidR="00566BB7" w:rsidRPr="008E7712">
        <w:rPr>
          <w:szCs w:val="26"/>
          <w:u w:color="000000"/>
        </w:rPr>
        <w:t>list</w:t>
      </w:r>
      <w:r w:rsidR="00C67142" w:rsidRPr="008E7712">
        <w:rPr>
          <w:szCs w:val="26"/>
          <w:u w:color="000000"/>
        </w:rPr>
        <w:t xml:space="preserve"> them</w:t>
      </w:r>
      <w:r w:rsidR="00566BB7" w:rsidRPr="008E7712">
        <w:rPr>
          <w:szCs w:val="26"/>
          <w:u w:color="000000"/>
        </w:rPr>
        <w:t xml:space="preserve"> below</w:t>
      </w:r>
      <w:r w:rsidR="008C020B" w:rsidRPr="008E7712">
        <w:rPr>
          <w:szCs w:val="26"/>
          <w:u w:color="000000"/>
        </w:rPr>
        <w:t>.</w:t>
      </w:r>
      <w:r w:rsidR="008C020B" w:rsidRPr="008E7712">
        <w:rPr>
          <w:color w:val="auto"/>
          <w:szCs w:val="26"/>
        </w:rPr>
        <w:t xml:space="preserve">  </w:t>
      </w:r>
      <w:r w:rsidR="009D039A" w:rsidRPr="008E7712">
        <w:rPr>
          <w:color w:val="auto"/>
          <w:szCs w:val="26"/>
        </w:rPr>
        <w:t xml:space="preserve">Because there is no Recommended Decision, the ALJ did not make Findings of Fact or Conclusions of Law.  However, the Stipulations of Fact detailed in the Joint Petition and quoted verbatim in this Opinion and Order are incorporated herein by reference and are adopted unless they are either expressly or by necessary implication rejected or modified by this Opinion and Order.  </w:t>
      </w:r>
    </w:p>
    <w:p w14:paraId="2D0A8E37" w14:textId="4349AC8C" w:rsidR="00566BB7" w:rsidRPr="008E7712" w:rsidRDefault="00566BB7" w:rsidP="007E46C2">
      <w:pPr>
        <w:ind w:firstLine="1440"/>
        <w:rPr>
          <w:szCs w:val="26"/>
          <w:u w:color="000000"/>
        </w:rPr>
      </w:pPr>
    </w:p>
    <w:p w14:paraId="1EDFE0DB" w14:textId="419900EC" w:rsidR="000F7E72" w:rsidRPr="008E7712" w:rsidRDefault="000F7E72" w:rsidP="007E46C2">
      <w:pPr>
        <w:ind w:firstLine="1440"/>
        <w:rPr>
          <w:szCs w:val="26"/>
          <w:u w:color="000000"/>
        </w:rPr>
      </w:pPr>
      <w:r w:rsidRPr="008E7712">
        <w:rPr>
          <w:szCs w:val="26"/>
          <w:u w:color="000000"/>
        </w:rPr>
        <w:t xml:space="preserve">The Stipulations of Fact constitute substantial evidence of record in support of the Settlement.  Our review of these agreed-upon facts results in a determination that the Settlement is well-supported by all of the active </w:t>
      </w:r>
      <w:r w:rsidR="00F14F97">
        <w:rPr>
          <w:szCs w:val="26"/>
          <w:u w:color="000000"/>
        </w:rPr>
        <w:t>P</w:t>
      </w:r>
      <w:r w:rsidRPr="008E7712">
        <w:rPr>
          <w:szCs w:val="26"/>
          <w:u w:color="000000"/>
        </w:rPr>
        <w:t>artie</w:t>
      </w:r>
      <w:r w:rsidR="001B0919">
        <w:rPr>
          <w:szCs w:val="26"/>
          <w:u w:color="000000"/>
        </w:rPr>
        <w:t>s</w:t>
      </w:r>
      <w:r w:rsidRPr="008E7712">
        <w:rPr>
          <w:szCs w:val="26"/>
          <w:u w:color="000000"/>
        </w:rPr>
        <w:t xml:space="preserve"> and underlies our determination that the Settlement is in the public interest.</w:t>
      </w:r>
      <w:r w:rsidR="00566BB7" w:rsidRPr="008E7712">
        <w:rPr>
          <w:szCs w:val="26"/>
          <w:u w:color="000000"/>
        </w:rPr>
        <w:t xml:space="preserve">  We also adopt the proposed Conclusions of Law as agreed</w:t>
      </w:r>
      <w:r w:rsidR="009315C2">
        <w:rPr>
          <w:szCs w:val="26"/>
          <w:u w:color="000000"/>
        </w:rPr>
        <w:t xml:space="preserve"> upon</w:t>
      </w:r>
      <w:r w:rsidR="00566BB7" w:rsidRPr="008E7712">
        <w:rPr>
          <w:szCs w:val="26"/>
          <w:u w:color="000000"/>
        </w:rPr>
        <w:t xml:space="preserve"> by the Joint Petitioners</w:t>
      </w:r>
      <w:r w:rsidR="00C67142" w:rsidRPr="008E7712">
        <w:rPr>
          <w:szCs w:val="26"/>
          <w:u w:color="000000"/>
        </w:rPr>
        <w:t>, as adjusted slightly to correct a grammatical error in the text of Conclusion of Law No. 2</w:t>
      </w:r>
      <w:r w:rsidR="00566BB7" w:rsidRPr="008E7712">
        <w:rPr>
          <w:szCs w:val="26"/>
          <w:u w:color="000000"/>
        </w:rPr>
        <w:t xml:space="preserve">.  </w:t>
      </w:r>
    </w:p>
    <w:p w14:paraId="0DC1ED0E" w14:textId="77777777" w:rsidR="000F7E72" w:rsidRPr="008E7712" w:rsidRDefault="000F7E72" w:rsidP="003563ED">
      <w:pPr>
        <w:rPr>
          <w:szCs w:val="26"/>
          <w:u w:color="000000"/>
        </w:rPr>
      </w:pPr>
    </w:p>
    <w:p w14:paraId="63AFEE1A" w14:textId="30611ECC" w:rsidR="000F7E72" w:rsidRPr="008E7712" w:rsidRDefault="000F7E72" w:rsidP="003563ED">
      <w:pPr>
        <w:ind w:left="1440"/>
        <w:rPr>
          <w:szCs w:val="26"/>
          <w:u w:color="000000"/>
        </w:rPr>
      </w:pPr>
      <w:r w:rsidRPr="008E7712">
        <w:rPr>
          <w:szCs w:val="26"/>
          <w:u w:color="000000"/>
        </w:rPr>
        <w:lastRenderedPageBreak/>
        <w:t>The Stipulations of Fact are as follows:</w:t>
      </w:r>
    </w:p>
    <w:p w14:paraId="6F4E483D" w14:textId="77777777" w:rsidR="000F7E72" w:rsidRPr="008E7712" w:rsidRDefault="000F7E72" w:rsidP="000F7E72">
      <w:pPr>
        <w:keepNext/>
        <w:keepLines/>
        <w:spacing w:line="240" w:lineRule="auto"/>
        <w:ind w:left="-8" w:firstLine="1448"/>
        <w:outlineLvl w:val="0"/>
        <w:rPr>
          <w:szCs w:val="26"/>
          <w:u w:color="000000"/>
        </w:rPr>
      </w:pPr>
    </w:p>
    <w:p w14:paraId="29364279" w14:textId="77777777" w:rsidR="000F7E72" w:rsidRPr="008E7712" w:rsidRDefault="000F7E72" w:rsidP="000F7E72">
      <w:pPr>
        <w:numPr>
          <w:ilvl w:val="0"/>
          <w:numId w:val="12"/>
        </w:numPr>
        <w:spacing w:line="240" w:lineRule="auto"/>
        <w:ind w:left="2160" w:right="1440" w:hanging="720"/>
        <w:rPr>
          <w:szCs w:val="26"/>
        </w:rPr>
      </w:pPr>
      <w:bookmarkStart w:id="19" w:name="_Hlk90534830"/>
      <w:bookmarkEnd w:id="19"/>
      <w:r w:rsidRPr="008E7712">
        <w:rPr>
          <w:szCs w:val="26"/>
        </w:rPr>
        <w:t>CUPA is a Pennsylvania public utility providing service to modernize water and wastewater systems, operating in four service territories in Pennsylvania, formerly known as – Penn Estates, Westgate, Utilities Inc., and Pennsylvania Utility Company (Tamiment).</w:t>
      </w:r>
      <w:r w:rsidRPr="008E7712">
        <w:rPr>
          <w:szCs w:val="26"/>
          <w:vertAlign w:val="superscript"/>
        </w:rPr>
        <w:t>1</w:t>
      </w:r>
      <w:r w:rsidRPr="008E7712">
        <w:rPr>
          <w:szCs w:val="26"/>
        </w:rPr>
        <w:t xml:space="preserve">  CUPA serves approximately 3,412 water customers and 3,971 wastewater customers. </w:t>
      </w:r>
    </w:p>
    <w:p w14:paraId="21A0EE9B" w14:textId="77777777" w:rsidR="000F7E72" w:rsidRPr="008E7712" w:rsidRDefault="000F7E72" w:rsidP="000F7E72">
      <w:pPr>
        <w:spacing w:line="240" w:lineRule="auto"/>
        <w:ind w:left="2160" w:right="1440"/>
        <w:rPr>
          <w:szCs w:val="26"/>
        </w:rPr>
      </w:pPr>
    </w:p>
    <w:p w14:paraId="35EE7133" w14:textId="77777777" w:rsidR="000F7E72" w:rsidRPr="008E7712" w:rsidRDefault="000F7E72" w:rsidP="000F7E72">
      <w:pPr>
        <w:numPr>
          <w:ilvl w:val="0"/>
          <w:numId w:val="12"/>
        </w:numPr>
        <w:spacing w:line="240" w:lineRule="auto"/>
        <w:ind w:left="2160" w:right="1440" w:hanging="720"/>
        <w:rPr>
          <w:szCs w:val="26"/>
        </w:rPr>
      </w:pPr>
      <w:r w:rsidRPr="008E7712">
        <w:rPr>
          <w:szCs w:val="26"/>
        </w:rPr>
        <w:t xml:space="preserve">I&amp;E was created by the Commission pursuant to 66 Pa. C.S. § 308.2(a)(7) as a prosecutory bureau for purposes of, inter alia, representing the public interest in ratemaking matters before the Office of Administrative Law Judge.  Implementation of Act 129 of 2008; Organization of Bureaus and Offices, Docket No. M-2008-2071852 (Order entered August 11, 2011, at 4-5). </w:t>
      </w:r>
    </w:p>
    <w:p w14:paraId="14FAA621" w14:textId="00E3BEA8" w:rsidR="0095284B" w:rsidRDefault="0095284B" w:rsidP="0095284B">
      <w:pPr>
        <w:spacing w:line="240" w:lineRule="auto"/>
        <w:ind w:left="2160" w:right="1440"/>
        <w:rPr>
          <w:szCs w:val="26"/>
        </w:rPr>
      </w:pPr>
    </w:p>
    <w:p w14:paraId="28DF551F" w14:textId="7739887D" w:rsidR="000F7E72" w:rsidRPr="008E7712" w:rsidRDefault="000F7E72" w:rsidP="000F7E72">
      <w:pPr>
        <w:numPr>
          <w:ilvl w:val="0"/>
          <w:numId w:val="12"/>
        </w:numPr>
        <w:spacing w:line="240" w:lineRule="auto"/>
        <w:ind w:left="2160" w:right="1440" w:hanging="720"/>
        <w:rPr>
          <w:szCs w:val="26"/>
        </w:rPr>
      </w:pPr>
      <w:r w:rsidRPr="008E7712">
        <w:rPr>
          <w:szCs w:val="26"/>
        </w:rPr>
        <w:t xml:space="preserve">OCA is empowered to represent the interests of Pennsylvania consumers before the Commission, pursuant to Act 1976-161 of the General Assembly, as amended, 71 Pa. C.S. §§ 3901 et seq. </w:t>
      </w:r>
    </w:p>
    <w:p w14:paraId="341D7286" w14:textId="77777777" w:rsidR="000F7E72" w:rsidRPr="008E7712" w:rsidRDefault="000F7E72" w:rsidP="000F7E72">
      <w:pPr>
        <w:spacing w:line="240" w:lineRule="auto"/>
        <w:ind w:left="2160" w:right="1440" w:hanging="720"/>
        <w:rPr>
          <w:szCs w:val="26"/>
        </w:rPr>
      </w:pPr>
    </w:p>
    <w:p w14:paraId="68BF4D21" w14:textId="4B0DBE01" w:rsidR="000F7E72" w:rsidRPr="008E7712" w:rsidRDefault="000F7E72" w:rsidP="000F7E72">
      <w:pPr>
        <w:numPr>
          <w:ilvl w:val="0"/>
          <w:numId w:val="12"/>
        </w:numPr>
        <w:spacing w:line="240" w:lineRule="auto"/>
        <w:ind w:left="2160" w:right="1440" w:hanging="720"/>
        <w:rPr>
          <w:szCs w:val="26"/>
        </w:rPr>
      </w:pPr>
      <w:r w:rsidRPr="008E7712">
        <w:rPr>
          <w:szCs w:val="26"/>
        </w:rPr>
        <w:t xml:space="preserve">OSBA is authorized by the Small Business Advocate Act, Act 181 of 1988, 73 P.S. §§ 399.41 – 399.50, to represent the interests of small business consumers of utility services in matters before the Commission. </w:t>
      </w:r>
    </w:p>
    <w:p w14:paraId="0DFECBA6" w14:textId="45B8DFD5" w:rsidR="000F7E72" w:rsidRPr="008E7712" w:rsidRDefault="000F7E72" w:rsidP="000F7E72">
      <w:pPr>
        <w:spacing w:line="240" w:lineRule="auto"/>
        <w:ind w:left="2160" w:right="1440" w:hanging="720"/>
        <w:rPr>
          <w:szCs w:val="26"/>
        </w:rPr>
      </w:pPr>
    </w:p>
    <w:p w14:paraId="1FBAB074" w14:textId="1777315B" w:rsidR="0095284B" w:rsidRDefault="000F7E72" w:rsidP="0095284B">
      <w:pPr>
        <w:numPr>
          <w:ilvl w:val="0"/>
          <w:numId w:val="12"/>
        </w:numPr>
        <w:spacing w:line="240" w:lineRule="auto"/>
        <w:ind w:left="2160" w:right="1440" w:hanging="720"/>
        <w:rPr>
          <w:szCs w:val="26"/>
        </w:rPr>
      </w:pPr>
      <w:r w:rsidRPr="008E7712">
        <w:rPr>
          <w:szCs w:val="26"/>
        </w:rPr>
        <w:t>CUPA’s original base rate filings requested an increase in its water rates of $757,517, wastewater rates of $998,705, a 36.78% and 37.48% increase over service revenues previously generated respectively.  CUPA proposed full consolidation of the rates charged to</w:t>
      </w:r>
    </w:p>
    <w:p w14:paraId="559C4889" w14:textId="77777777" w:rsidR="0095284B" w:rsidRDefault="0095284B" w:rsidP="0095284B">
      <w:pPr>
        <w:pStyle w:val="ListParagraph"/>
        <w:rPr>
          <w:szCs w:val="26"/>
        </w:rPr>
      </w:pPr>
    </w:p>
    <w:p w14:paraId="58102276" w14:textId="6797808A" w:rsidR="0095284B" w:rsidRDefault="0095284B" w:rsidP="0095284B">
      <w:pPr>
        <w:pStyle w:val="ListParagraph"/>
        <w:rPr>
          <w:szCs w:val="26"/>
        </w:rPr>
      </w:pPr>
      <w:r w:rsidRPr="008E7712">
        <w:rPr>
          <w:noProof/>
          <w:szCs w:val="26"/>
        </w:rPr>
        <mc:AlternateContent>
          <mc:Choice Requires="wps">
            <w:drawing>
              <wp:anchor distT="0" distB="0" distL="114300" distR="114300" simplePos="0" relativeHeight="251659264" behindDoc="0" locked="0" layoutInCell="1" allowOverlap="1" wp14:anchorId="47D98F08" wp14:editId="31CA4895">
                <wp:simplePos x="0" y="0"/>
                <wp:positionH relativeFrom="column">
                  <wp:posOffset>1352921</wp:posOffset>
                </wp:positionH>
                <wp:positionV relativeFrom="paragraph">
                  <wp:posOffset>233680</wp:posOffset>
                </wp:positionV>
                <wp:extent cx="1630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3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CB0B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55pt,18.4pt" to="234.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68mQEAAIgDAAAOAAAAZHJzL2Uyb0RvYy54bWysU02P0zAQvSPxHyzfadIFVi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" strokecolor="black [3200]" strokeweight=".5pt">
                <v:stroke joinstyle="miter"/>
              </v:line>
            </w:pict>
          </mc:Fallback>
        </mc:AlternateContent>
      </w:r>
    </w:p>
    <w:p w14:paraId="6D55DBD5" w14:textId="1625B3D2" w:rsidR="0095284B" w:rsidRPr="00B74AAB" w:rsidRDefault="0095284B" w:rsidP="00B74AAB">
      <w:pPr>
        <w:spacing w:line="240" w:lineRule="auto"/>
        <w:ind w:left="2160" w:right="1440"/>
        <w:rPr>
          <w:sz w:val="25"/>
          <w:szCs w:val="25"/>
        </w:rPr>
      </w:pPr>
      <w:r w:rsidRPr="00755260">
        <w:rPr>
          <w:sz w:val="25"/>
          <w:szCs w:val="25"/>
          <w:vertAlign w:val="superscript"/>
        </w:rPr>
        <w:t>1</w:t>
      </w:r>
      <w:r>
        <w:rPr>
          <w:sz w:val="25"/>
          <w:szCs w:val="25"/>
        </w:rPr>
        <w:t xml:space="preserve">     </w:t>
      </w:r>
      <w:r w:rsidRPr="00755260">
        <w:rPr>
          <w:sz w:val="25"/>
          <w:szCs w:val="25"/>
        </w:rPr>
        <w:t>CUPA acquired Tamiment in 2019 in a state of disrepair and has already made significant upgrades, repairs, and replacements.  CUPA W&amp;WW Statement No. 7-R at 9:21-3, 10:6-11:2; Exhibit No. EL-4R (before and after photos).</w:t>
      </w:r>
    </w:p>
    <w:p w14:paraId="02D75EEC" w14:textId="2483B797" w:rsidR="000F7E72" w:rsidRPr="0095284B" w:rsidRDefault="000F7E72" w:rsidP="0095284B">
      <w:pPr>
        <w:spacing w:line="240" w:lineRule="auto"/>
        <w:ind w:left="2160" w:right="1440"/>
        <w:rPr>
          <w:szCs w:val="26"/>
        </w:rPr>
      </w:pPr>
      <w:r w:rsidRPr="008E7712">
        <w:rPr>
          <w:szCs w:val="26"/>
        </w:rPr>
        <w:lastRenderedPageBreak/>
        <w:t>customers in the Pennsylvania Utility Company or Tamiment area with rates charged to CUPA’s other</w:t>
      </w:r>
      <w:r w:rsidR="0095284B">
        <w:rPr>
          <w:szCs w:val="26"/>
        </w:rPr>
        <w:t xml:space="preserve"> </w:t>
      </w:r>
      <w:r w:rsidRPr="0095284B">
        <w:rPr>
          <w:szCs w:val="26"/>
        </w:rPr>
        <w:t>customers for both water and wastewater.  For water, CUPA proposed increases to both customer charges and volumetric rates.  For wastewater, CUPA proposed non-volumetric rates for all customers (</w:t>
      </w:r>
      <w:proofErr w:type="gramStart"/>
      <w:r w:rsidRPr="0095284B">
        <w:rPr>
          <w:szCs w:val="26"/>
        </w:rPr>
        <w:t>i.e.</w:t>
      </w:r>
      <w:proofErr w:type="gramEnd"/>
      <w:r w:rsidRPr="0095284B">
        <w:rPr>
          <w:szCs w:val="26"/>
        </w:rPr>
        <w:t xml:space="preserve"> continuing non-volumetric rates for customers outside the Tamiment area and moving Tamiment customers to non-volumetric rates). </w:t>
      </w:r>
    </w:p>
    <w:p w14:paraId="1B613F61" w14:textId="77777777" w:rsidR="000F7E72" w:rsidRPr="008E7712" w:rsidRDefault="000F7E72" w:rsidP="000F7E72">
      <w:pPr>
        <w:spacing w:line="240" w:lineRule="auto"/>
        <w:ind w:left="2160" w:right="1440"/>
        <w:rPr>
          <w:szCs w:val="26"/>
        </w:rPr>
      </w:pPr>
    </w:p>
    <w:p w14:paraId="7CC93631" w14:textId="77777777" w:rsidR="000F7E72" w:rsidRPr="008E7712" w:rsidRDefault="000F7E72" w:rsidP="000F7E72">
      <w:pPr>
        <w:spacing w:line="240" w:lineRule="auto"/>
        <w:ind w:left="2160" w:right="1440"/>
        <w:rPr>
          <w:szCs w:val="26"/>
        </w:rPr>
      </w:pPr>
      <w:r w:rsidRPr="008E7712">
        <w:rPr>
          <w:szCs w:val="26"/>
        </w:rPr>
        <w:t>In the course of developing proposed Settlement rates, the Joint Petitioners identified that the customer notice to CUPA’s Tamiment wastewater customers as well as page 1-6 (responses to 52 Pa. Code § 53.52(b)(1)) in CUPA’s wastewater rate increase filing utilized the incorrect current usage rate for Tamiment wastewater customers, which is $13.73, not $5.13.</w:t>
      </w:r>
      <w:proofErr w:type="gramStart"/>
      <w:r w:rsidRPr="008E7712">
        <w:rPr>
          <w:szCs w:val="26"/>
          <w:vertAlign w:val="superscript"/>
        </w:rPr>
        <w:t>2</w:t>
      </w:r>
      <w:r w:rsidRPr="008E7712">
        <w:rPr>
          <w:szCs w:val="26"/>
        </w:rPr>
        <w:t xml:space="preserve">  This</w:t>
      </w:r>
      <w:proofErr w:type="gramEnd"/>
      <w:r w:rsidRPr="008E7712">
        <w:rPr>
          <w:szCs w:val="26"/>
        </w:rPr>
        <w:t xml:space="preserve"> resulted in significantly understating current Tamiment wastewater residential customer average bills.</w:t>
      </w:r>
    </w:p>
    <w:p w14:paraId="4E30F15B" w14:textId="77777777" w:rsidR="000F7E72" w:rsidRDefault="000F7E72" w:rsidP="000F7E72">
      <w:pPr>
        <w:spacing w:line="240" w:lineRule="auto"/>
        <w:ind w:left="2160" w:right="1440"/>
        <w:rPr>
          <w:szCs w:val="26"/>
        </w:rPr>
      </w:pPr>
    </w:p>
    <w:p w14:paraId="2D3A023C" w14:textId="00DC3BBC" w:rsidR="0095284B" w:rsidRPr="008E7712" w:rsidRDefault="000F7E72" w:rsidP="0095284B">
      <w:pPr>
        <w:spacing w:line="251" w:lineRule="auto"/>
        <w:ind w:left="2160" w:right="1440"/>
        <w:rPr>
          <w:szCs w:val="26"/>
        </w:rPr>
      </w:pPr>
      <w:r w:rsidRPr="008E7712">
        <w:rPr>
          <w:szCs w:val="26"/>
        </w:rPr>
        <w:t xml:space="preserve">Specifically, those customers were noticed for an increase from $38.93 to $78.22 per month or by </w:t>
      </w:r>
      <w:r w:rsidR="00E540CC" w:rsidRPr="008E7712">
        <w:rPr>
          <w:szCs w:val="26"/>
        </w:rPr>
        <w:t>100.95%, when the actual increase that CUPA proposed for the average Tamiment wastewater</w:t>
      </w:r>
      <w:r w:rsidR="0095284B" w:rsidRPr="0095284B">
        <w:rPr>
          <w:szCs w:val="26"/>
        </w:rPr>
        <w:t xml:space="preserve"> </w:t>
      </w:r>
      <w:r w:rsidR="0095284B" w:rsidRPr="008E7712">
        <w:rPr>
          <w:szCs w:val="26"/>
        </w:rPr>
        <w:t>residential bill was from $63.14 to $78.22 or by 23.88%.</w:t>
      </w:r>
      <w:r w:rsidR="0095284B" w:rsidRPr="008E7712">
        <w:rPr>
          <w:szCs w:val="26"/>
          <w:vertAlign w:val="superscript"/>
        </w:rPr>
        <w:t>3, 4</w:t>
      </w:r>
      <w:r w:rsidR="0095284B" w:rsidRPr="008E7712">
        <w:rPr>
          <w:szCs w:val="26"/>
        </w:rPr>
        <w:t xml:space="preserve"> </w:t>
      </w:r>
    </w:p>
    <w:p w14:paraId="590047F7" w14:textId="25747C96" w:rsidR="000F146F" w:rsidRDefault="000F146F" w:rsidP="000F7E72">
      <w:pPr>
        <w:spacing w:line="251" w:lineRule="auto"/>
        <w:ind w:left="2160" w:right="1440"/>
        <w:rPr>
          <w:szCs w:val="26"/>
        </w:rPr>
      </w:pPr>
    </w:p>
    <w:p w14:paraId="75FDA92D" w14:textId="5108E106" w:rsidR="000F146F" w:rsidRDefault="000F146F" w:rsidP="000F7E72">
      <w:pPr>
        <w:spacing w:line="251" w:lineRule="auto"/>
        <w:ind w:left="2160" w:right="1440"/>
        <w:rPr>
          <w:szCs w:val="26"/>
        </w:rPr>
      </w:pPr>
    </w:p>
    <w:p w14:paraId="5CAD85B5" w14:textId="07EF6B7D" w:rsidR="0095284B" w:rsidRDefault="0095284B" w:rsidP="000F7E72">
      <w:pPr>
        <w:spacing w:line="251" w:lineRule="auto"/>
        <w:ind w:left="2160" w:right="1440"/>
        <w:rPr>
          <w:szCs w:val="26"/>
        </w:rPr>
      </w:pPr>
    </w:p>
    <w:p w14:paraId="06FB621F" w14:textId="77777777" w:rsidR="0095284B" w:rsidRDefault="0095284B" w:rsidP="000F7E72">
      <w:pPr>
        <w:spacing w:line="251" w:lineRule="auto"/>
        <w:ind w:left="2160" w:right="1440"/>
        <w:rPr>
          <w:szCs w:val="26"/>
        </w:rPr>
      </w:pPr>
    </w:p>
    <w:p w14:paraId="72521DE6" w14:textId="1B36BE5D" w:rsidR="00E540CC" w:rsidRDefault="001A3710" w:rsidP="000F7E72">
      <w:pPr>
        <w:spacing w:line="251" w:lineRule="auto"/>
        <w:ind w:left="2160" w:right="1440"/>
        <w:rPr>
          <w:szCs w:val="26"/>
        </w:rPr>
      </w:pPr>
      <w:r w:rsidRPr="008E7712">
        <w:rPr>
          <w:noProof/>
          <w:szCs w:val="26"/>
        </w:rPr>
        <mc:AlternateContent>
          <mc:Choice Requires="wps">
            <w:drawing>
              <wp:anchor distT="0" distB="0" distL="114300" distR="114300" simplePos="0" relativeHeight="251661312" behindDoc="0" locked="0" layoutInCell="1" allowOverlap="1" wp14:anchorId="53A67481" wp14:editId="1934E2A5">
                <wp:simplePos x="0" y="0"/>
                <wp:positionH relativeFrom="column">
                  <wp:posOffset>1344295</wp:posOffset>
                </wp:positionH>
                <wp:positionV relativeFrom="paragraph">
                  <wp:posOffset>180604</wp:posOffset>
                </wp:positionV>
                <wp:extent cx="16300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300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E4DFD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85pt,14.2pt" to="23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" strokecolor="windowText" strokeweight=".5pt">
                <v:stroke joinstyle="miter"/>
              </v:line>
            </w:pict>
          </mc:Fallback>
        </mc:AlternateContent>
      </w:r>
    </w:p>
    <w:p w14:paraId="1943A891" w14:textId="5F3BFBC6" w:rsidR="00E540CC" w:rsidRPr="001A3710" w:rsidRDefault="00E540CC" w:rsidP="00E540CC">
      <w:pPr>
        <w:spacing w:after="120" w:line="240" w:lineRule="auto"/>
        <w:ind w:left="2160" w:right="1440"/>
        <w:rPr>
          <w:sz w:val="25"/>
          <w:szCs w:val="25"/>
        </w:rPr>
      </w:pPr>
      <w:r w:rsidRPr="001A3710">
        <w:rPr>
          <w:sz w:val="25"/>
          <w:szCs w:val="25"/>
          <w:vertAlign w:val="superscript"/>
        </w:rPr>
        <w:t>2</w:t>
      </w:r>
      <w:r w:rsidRPr="001A3710">
        <w:rPr>
          <w:sz w:val="25"/>
          <w:szCs w:val="25"/>
        </w:rPr>
        <w:t xml:space="preserve">     The correct usage charge, $13.73, was reflected in rate filing supporting schedule number 1, pages 1-3.</w:t>
      </w:r>
    </w:p>
    <w:p w14:paraId="0DF0CEF1" w14:textId="6D0B04D7" w:rsidR="000F7E72" w:rsidRPr="001A3036" w:rsidRDefault="000F7E72" w:rsidP="001A3036">
      <w:pPr>
        <w:spacing w:after="120" w:line="240" w:lineRule="auto"/>
        <w:ind w:left="2160" w:right="1440"/>
        <w:rPr>
          <w:sz w:val="25"/>
          <w:szCs w:val="25"/>
        </w:rPr>
      </w:pPr>
      <w:r w:rsidRPr="001A3036">
        <w:rPr>
          <w:rFonts w:eastAsia="Calibri"/>
          <w:sz w:val="25"/>
          <w:szCs w:val="25"/>
          <w:vertAlign w:val="superscript"/>
        </w:rPr>
        <w:t>3</w:t>
      </w:r>
      <w:r w:rsidRPr="001A3036">
        <w:rPr>
          <w:rFonts w:eastAsia="Calibri"/>
          <w:sz w:val="25"/>
          <w:szCs w:val="25"/>
        </w:rPr>
        <w:t xml:space="preserve"> </w:t>
      </w:r>
      <w:r w:rsidR="001A3036" w:rsidRPr="001A3036">
        <w:rPr>
          <w:rFonts w:eastAsia="Calibri"/>
          <w:sz w:val="25"/>
          <w:szCs w:val="25"/>
        </w:rPr>
        <w:t xml:space="preserve">    </w:t>
      </w:r>
      <w:r w:rsidRPr="001A3036">
        <w:rPr>
          <w:sz w:val="25"/>
          <w:szCs w:val="25"/>
        </w:rPr>
        <w:t>Per CUPA’s filing, proposed rates were designed using different volumes than existing rates.  CUPA W Exhibit No. DMC-1 at 1-6 (showing 2022 versus 2020 average usage).</w:t>
      </w:r>
      <w:r w:rsidR="004930CB" w:rsidRPr="001A3036">
        <w:rPr>
          <w:sz w:val="25"/>
          <w:szCs w:val="25"/>
        </w:rPr>
        <w:t xml:space="preserve">  </w:t>
      </w:r>
    </w:p>
    <w:p w14:paraId="2A6097AD" w14:textId="74EFEC37" w:rsidR="000F7E72" w:rsidRPr="008E7712" w:rsidRDefault="000F7E72" w:rsidP="0095284B">
      <w:pPr>
        <w:spacing w:after="120" w:line="240" w:lineRule="auto"/>
        <w:ind w:left="2160" w:right="1440"/>
        <w:rPr>
          <w:szCs w:val="26"/>
          <w:u w:color="000000"/>
        </w:rPr>
      </w:pPr>
      <w:r w:rsidRPr="001A3036">
        <w:rPr>
          <w:sz w:val="25"/>
          <w:szCs w:val="25"/>
          <w:vertAlign w:val="superscript"/>
        </w:rPr>
        <w:t>4</w:t>
      </w:r>
      <w:r w:rsidRPr="001A3036">
        <w:rPr>
          <w:sz w:val="25"/>
          <w:szCs w:val="25"/>
        </w:rPr>
        <w:t xml:space="preserve"> </w:t>
      </w:r>
      <w:r w:rsidR="001A3036" w:rsidRPr="001A3036">
        <w:rPr>
          <w:sz w:val="25"/>
          <w:szCs w:val="25"/>
        </w:rPr>
        <w:t xml:space="preserve">    </w:t>
      </w:r>
      <w:r w:rsidRPr="001A3036">
        <w:rPr>
          <w:sz w:val="25"/>
          <w:szCs w:val="25"/>
        </w:rPr>
        <w:t>The Tamiment wastewater commercial customers were correctly noticed, using the correct current usage charge of $13.73 as identified in the wastewater rate filing supporting schedule number 1, pages 1-3.  CUPA WW Exhibit No. DMC-1.</w:t>
      </w:r>
    </w:p>
    <w:p w14:paraId="56A78969" w14:textId="77777777" w:rsidR="000F7E72" w:rsidRPr="008E7712" w:rsidRDefault="000F7E72" w:rsidP="000F7E72">
      <w:pPr>
        <w:rPr>
          <w:szCs w:val="26"/>
          <w:u w:color="000000"/>
        </w:rPr>
        <w:sectPr w:rsidR="000F7E72" w:rsidRPr="008E7712" w:rsidSect="00C867B1">
          <w:footerReference w:type="default" r:id="rId10"/>
          <w:pgSz w:w="12240" w:h="15840"/>
          <w:pgMar w:top="1440" w:right="1440" w:bottom="1440" w:left="1440" w:header="720" w:footer="720" w:gutter="0"/>
          <w:pgNumType w:start="1"/>
          <w:cols w:space="720"/>
          <w:titlePg/>
          <w:docGrid w:linePitch="360"/>
        </w:sectPr>
      </w:pPr>
    </w:p>
    <w:p w14:paraId="744F5882" w14:textId="77777777" w:rsidR="000F7E72" w:rsidRPr="008E7712" w:rsidRDefault="000F7E72" w:rsidP="000F7E72">
      <w:pPr>
        <w:numPr>
          <w:ilvl w:val="0"/>
          <w:numId w:val="12"/>
        </w:numPr>
        <w:spacing w:line="251" w:lineRule="auto"/>
        <w:ind w:left="2880" w:right="2880" w:hanging="720"/>
        <w:rPr>
          <w:rFonts w:eastAsia="Calibri"/>
          <w:szCs w:val="26"/>
        </w:rPr>
      </w:pPr>
      <w:r w:rsidRPr="008E7712">
        <w:rPr>
          <w:szCs w:val="26"/>
        </w:rPr>
        <w:lastRenderedPageBreak/>
        <w:t xml:space="preserve">Including the correction identified above, CUPA’s proposal would have resulted in the following impacts on average customer bills: </w:t>
      </w:r>
    </w:p>
    <w:p w14:paraId="23036B7D" w14:textId="77777777" w:rsidR="000F7E72" w:rsidRPr="008E7712" w:rsidRDefault="000F7E72" w:rsidP="000F7E72">
      <w:pPr>
        <w:rPr>
          <w:szCs w:val="26"/>
          <w:u w:color="000000"/>
        </w:rPr>
      </w:pPr>
    </w:p>
    <w:p w14:paraId="553F626A" w14:textId="77777777" w:rsidR="000F7E72" w:rsidRPr="008E7712" w:rsidRDefault="000F7E72" w:rsidP="000F7E72">
      <w:pPr>
        <w:spacing w:line="251" w:lineRule="auto"/>
        <w:ind w:left="7" w:right="57" w:hanging="10"/>
        <w:jc w:val="both"/>
        <w:rPr>
          <w:rFonts w:eastAsia="Calibri"/>
          <w:szCs w:val="26"/>
        </w:rPr>
      </w:pPr>
    </w:p>
    <w:p w14:paraId="7BAF6BB3" w14:textId="77777777" w:rsidR="000F7E72" w:rsidRPr="008E7712" w:rsidRDefault="000F7E72" w:rsidP="000F7E72">
      <w:pPr>
        <w:ind w:left="-274" w:right="-212"/>
        <w:rPr>
          <w:rFonts w:eastAsia="Calibri"/>
          <w:szCs w:val="26"/>
        </w:rPr>
      </w:pPr>
      <w:r w:rsidRPr="008E7712">
        <w:rPr>
          <w:rFonts w:eastAsia="Calibri"/>
          <w:noProof/>
          <w:szCs w:val="26"/>
        </w:rPr>
        <w:drawing>
          <wp:inline distT="0" distB="0" distL="0" distR="0" wp14:anchorId="2962B623" wp14:editId="20F144EC">
            <wp:extent cx="9003985" cy="1762125"/>
            <wp:effectExtent l="0" t="0" r="6985" b="0"/>
            <wp:docPr id="1167" name="Picture 1167" descr="Table,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167" name="Picture 1167" descr="Table, calendar&#10;&#10;Description automatically generated"/>
                    <pic:cNvPicPr/>
                  </pic:nvPicPr>
                  <pic:blipFill>
                    <a:blip r:embed="rId11"/>
                    <a:stretch>
                      <a:fillRect/>
                    </a:stretch>
                  </pic:blipFill>
                  <pic:spPr>
                    <a:xfrm>
                      <a:off x="0" y="0"/>
                      <a:ext cx="9008439" cy="1762997"/>
                    </a:xfrm>
                    <a:prstGeom prst="rect">
                      <a:avLst/>
                    </a:prstGeom>
                  </pic:spPr>
                </pic:pic>
              </a:graphicData>
            </a:graphic>
          </wp:inline>
        </w:drawing>
      </w:r>
    </w:p>
    <w:p w14:paraId="13C3A126" w14:textId="77777777" w:rsidR="000F7E72" w:rsidRPr="008E7712" w:rsidRDefault="000F7E72" w:rsidP="000F7E72">
      <w:pPr>
        <w:rPr>
          <w:b/>
          <w:bCs/>
          <w:szCs w:val="26"/>
        </w:rPr>
        <w:sectPr w:rsidR="000F7E72" w:rsidRPr="008E7712" w:rsidSect="00C867B1">
          <w:pgSz w:w="15840" w:h="12240" w:orient="landscape"/>
          <w:pgMar w:top="1440" w:right="1440" w:bottom="1440" w:left="1440" w:header="720" w:footer="720" w:gutter="0"/>
          <w:pgNumType w:start="23"/>
          <w:cols w:space="720"/>
          <w:docGrid w:linePitch="360"/>
        </w:sectPr>
      </w:pPr>
    </w:p>
    <w:p w14:paraId="5309F0AA" w14:textId="77777777" w:rsidR="000F7E72" w:rsidRPr="008E7712" w:rsidRDefault="000F7E72" w:rsidP="000F7E72">
      <w:pPr>
        <w:numPr>
          <w:ilvl w:val="0"/>
          <w:numId w:val="12"/>
        </w:numPr>
        <w:spacing w:line="240" w:lineRule="auto"/>
        <w:ind w:left="2250" w:right="1507" w:hanging="900"/>
        <w:rPr>
          <w:rFonts w:eastAsia="Calibri"/>
          <w:szCs w:val="26"/>
        </w:rPr>
      </w:pPr>
      <w:r w:rsidRPr="008E7712">
        <w:rPr>
          <w:szCs w:val="26"/>
        </w:rPr>
        <w:lastRenderedPageBreak/>
        <w:t xml:space="preserve">CUPA also proposed a low-income program for water customers to assist those most impacted by a rate increase. </w:t>
      </w:r>
    </w:p>
    <w:p w14:paraId="3F629CFF" w14:textId="77777777" w:rsidR="000F7E72" w:rsidRPr="008E7712" w:rsidRDefault="000F7E72" w:rsidP="000F7E72">
      <w:pPr>
        <w:spacing w:line="240" w:lineRule="auto"/>
        <w:ind w:left="2250" w:right="1507" w:hanging="900"/>
        <w:rPr>
          <w:rFonts w:eastAsia="Calibri"/>
          <w:szCs w:val="26"/>
        </w:rPr>
      </w:pPr>
    </w:p>
    <w:p w14:paraId="452DCA6A" w14:textId="03478577" w:rsidR="000F7E72" w:rsidRPr="008E7712" w:rsidRDefault="000F7E72" w:rsidP="000F7E72">
      <w:pPr>
        <w:numPr>
          <w:ilvl w:val="0"/>
          <w:numId w:val="12"/>
        </w:numPr>
        <w:spacing w:line="240" w:lineRule="auto"/>
        <w:ind w:left="2250" w:right="1507" w:hanging="900"/>
        <w:rPr>
          <w:rFonts w:eastAsia="Calibri"/>
          <w:szCs w:val="26"/>
        </w:rPr>
      </w:pPr>
      <w:r w:rsidRPr="008E7712">
        <w:rPr>
          <w:szCs w:val="26"/>
        </w:rPr>
        <w:t>OCA, I&amp;E, and OSBA each made different proposals for the rate design and consolidation of Tamiment customers.  For example, the parties took different positions on CUPA’s proposed low-income program and whether CUPA’s proposal to fully consolidate water rates for the Tamiment system should be adopted in this case.  OCA and I&amp;E also proposed various adjustments to CUPA’s operating expenses.  OCA and I&amp;E also proposed lower rates of return than what CUPA proposed</w:t>
      </w:r>
      <w:r w:rsidR="004930CB" w:rsidRPr="008E7712">
        <w:rPr>
          <w:szCs w:val="26"/>
        </w:rPr>
        <w:t xml:space="preserve">.  </w:t>
      </w:r>
      <w:r w:rsidRPr="008E7712">
        <w:rPr>
          <w:szCs w:val="26"/>
        </w:rPr>
        <w:t xml:space="preserve">The Settlement resolves these differences in a way that is in the public interest.  </w:t>
      </w:r>
    </w:p>
    <w:p w14:paraId="08BB0DF1" w14:textId="77777777" w:rsidR="000F7E72" w:rsidRPr="008E7712" w:rsidRDefault="000F7E72" w:rsidP="000F7E72">
      <w:pPr>
        <w:spacing w:line="240" w:lineRule="auto"/>
        <w:ind w:left="2250" w:right="1507" w:hanging="900"/>
        <w:rPr>
          <w:rFonts w:eastAsia="Calibri"/>
          <w:szCs w:val="26"/>
        </w:rPr>
      </w:pPr>
    </w:p>
    <w:p w14:paraId="0B128A54" w14:textId="77777777" w:rsidR="000F7E72" w:rsidRPr="008E7712" w:rsidRDefault="000F7E72" w:rsidP="000F7E72">
      <w:pPr>
        <w:numPr>
          <w:ilvl w:val="0"/>
          <w:numId w:val="12"/>
        </w:numPr>
        <w:spacing w:line="240" w:lineRule="auto"/>
        <w:ind w:left="2250" w:right="1507" w:hanging="900"/>
        <w:rPr>
          <w:rFonts w:eastAsia="Calibri"/>
          <w:szCs w:val="26"/>
        </w:rPr>
      </w:pPr>
      <w:r w:rsidRPr="008E7712">
        <w:rPr>
          <w:szCs w:val="26"/>
        </w:rPr>
        <w:t xml:space="preserve">At the public input hearing, customers alleged the following service-related concerns: </w:t>
      </w:r>
    </w:p>
    <w:p w14:paraId="61517FB2" w14:textId="77777777" w:rsidR="000F7E72" w:rsidRPr="008E7712" w:rsidRDefault="000F7E72" w:rsidP="000F7E72">
      <w:pPr>
        <w:spacing w:line="240" w:lineRule="auto"/>
        <w:ind w:left="2250" w:right="1512"/>
        <w:rPr>
          <w:rFonts w:eastAsia="Calibri"/>
          <w:szCs w:val="26"/>
        </w:rPr>
      </w:pPr>
    </w:p>
    <w:p w14:paraId="0E9CBEF0" w14:textId="77777777" w:rsidR="000F7E72" w:rsidRPr="008E7712" w:rsidRDefault="000F7E72" w:rsidP="00B74AAB">
      <w:pPr>
        <w:numPr>
          <w:ilvl w:val="1"/>
          <w:numId w:val="12"/>
        </w:numPr>
        <w:spacing w:line="240" w:lineRule="auto"/>
        <w:ind w:left="2880" w:right="1512" w:hanging="720"/>
        <w:rPr>
          <w:rFonts w:eastAsia="Calibri"/>
          <w:szCs w:val="26"/>
        </w:rPr>
      </w:pPr>
      <w:r w:rsidRPr="008E7712">
        <w:rPr>
          <w:szCs w:val="26"/>
        </w:rPr>
        <w:t xml:space="preserve">Communications with customers and ability to contact CUPA </w:t>
      </w:r>
    </w:p>
    <w:p w14:paraId="2E55A68D" w14:textId="77777777" w:rsidR="000F7E72" w:rsidRPr="008E7712" w:rsidRDefault="000F7E72" w:rsidP="00B74AAB">
      <w:pPr>
        <w:spacing w:line="240" w:lineRule="auto"/>
        <w:ind w:left="2880" w:right="1512"/>
        <w:rPr>
          <w:rFonts w:eastAsia="Calibri"/>
          <w:szCs w:val="26"/>
        </w:rPr>
      </w:pPr>
    </w:p>
    <w:p w14:paraId="26E32CE4" w14:textId="77777777" w:rsidR="000F7E72" w:rsidRPr="008E7712" w:rsidRDefault="000F7E72" w:rsidP="00B74AAB">
      <w:pPr>
        <w:numPr>
          <w:ilvl w:val="1"/>
          <w:numId w:val="12"/>
        </w:numPr>
        <w:spacing w:line="240" w:lineRule="auto"/>
        <w:ind w:left="2880" w:right="1512" w:hanging="720"/>
        <w:rPr>
          <w:rFonts w:eastAsia="Calibri"/>
          <w:szCs w:val="26"/>
        </w:rPr>
      </w:pPr>
      <w:r w:rsidRPr="008E7712">
        <w:rPr>
          <w:szCs w:val="26"/>
        </w:rPr>
        <w:t xml:space="preserve">Tamiment Water Service: </w:t>
      </w:r>
    </w:p>
    <w:p w14:paraId="743DED1C" w14:textId="77777777" w:rsidR="000F7E72" w:rsidRPr="008E7712" w:rsidRDefault="000F7E72" w:rsidP="00B74AAB">
      <w:pPr>
        <w:spacing w:line="240" w:lineRule="auto"/>
        <w:ind w:left="2880" w:right="1512" w:hanging="720"/>
        <w:rPr>
          <w:rFonts w:eastAsia="Calibri"/>
          <w:szCs w:val="26"/>
        </w:rPr>
      </w:pPr>
    </w:p>
    <w:p w14:paraId="06BE338D" w14:textId="77777777" w:rsidR="000F7E72"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Water quality, drinkability, and appliance issues </w:t>
      </w:r>
    </w:p>
    <w:p w14:paraId="0014499C" w14:textId="77777777" w:rsidR="00E91427"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Hydrant flushing </w:t>
      </w:r>
    </w:p>
    <w:p w14:paraId="34A23147" w14:textId="38B41171" w:rsidR="00E91427"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Low water pressure </w:t>
      </w:r>
    </w:p>
    <w:p w14:paraId="19DA1F44" w14:textId="078EDA47" w:rsidR="00E91427" w:rsidRPr="008E7712" w:rsidRDefault="000F7E72" w:rsidP="00B74AAB">
      <w:pPr>
        <w:numPr>
          <w:ilvl w:val="2"/>
          <w:numId w:val="12"/>
        </w:numPr>
        <w:spacing w:line="240" w:lineRule="auto"/>
        <w:ind w:left="3600" w:right="1512" w:hanging="720"/>
        <w:rPr>
          <w:rFonts w:eastAsia="Calibri"/>
          <w:szCs w:val="26"/>
        </w:rPr>
      </w:pPr>
      <w:r w:rsidRPr="008E7712">
        <w:rPr>
          <w:szCs w:val="26"/>
        </w:rPr>
        <w:t>Rings in toilets o</w:t>
      </w:r>
      <w:r w:rsidR="00F457D0">
        <w:rPr>
          <w:szCs w:val="26"/>
        </w:rPr>
        <w:t>r</w:t>
      </w:r>
      <w:r w:rsidRPr="008E7712">
        <w:rPr>
          <w:szCs w:val="26"/>
        </w:rPr>
        <w:t xml:space="preserve"> Discolored laundry </w:t>
      </w:r>
    </w:p>
    <w:p w14:paraId="21348FEA" w14:textId="039994C8" w:rsidR="00E91427"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Sediment in water </w:t>
      </w:r>
    </w:p>
    <w:p w14:paraId="1AB7748E" w14:textId="35ED7CB9" w:rsidR="00E91427"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Damaged appliances </w:t>
      </w:r>
    </w:p>
    <w:p w14:paraId="400EF1E4" w14:textId="72D6844B" w:rsidR="000F7E72"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Failing hot water heaters </w:t>
      </w:r>
    </w:p>
    <w:p w14:paraId="18627DE4" w14:textId="77777777" w:rsidR="000F7E72" w:rsidRPr="008E7712" w:rsidRDefault="000F7E72" w:rsidP="00B74AAB">
      <w:pPr>
        <w:spacing w:line="240" w:lineRule="auto"/>
        <w:ind w:left="3600" w:right="1512"/>
        <w:rPr>
          <w:rFonts w:eastAsia="Calibri"/>
          <w:szCs w:val="26"/>
        </w:rPr>
      </w:pPr>
    </w:p>
    <w:p w14:paraId="158440F0" w14:textId="77777777" w:rsidR="000F7E72" w:rsidRPr="008E7712" w:rsidRDefault="000F7E72" w:rsidP="00B74AAB">
      <w:pPr>
        <w:numPr>
          <w:ilvl w:val="1"/>
          <w:numId w:val="12"/>
        </w:numPr>
        <w:spacing w:line="240" w:lineRule="auto"/>
        <w:ind w:left="2880" w:right="1512" w:hanging="720"/>
        <w:rPr>
          <w:rFonts w:eastAsia="Calibri"/>
          <w:szCs w:val="26"/>
        </w:rPr>
      </w:pPr>
      <w:r w:rsidRPr="008E7712">
        <w:rPr>
          <w:szCs w:val="26"/>
        </w:rPr>
        <w:t xml:space="preserve">Tamiment Wastewater Service: </w:t>
      </w:r>
    </w:p>
    <w:p w14:paraId="0DBBF801" w14:textId="77777777" w:rsidR="000F7E72" w:rsidRPr="008E7712" w:rsidRDefault="000F7E72" w:rsidP="00B74AAB">
      <w:pPr>
        <w:spacing w:line="240" w:lineRule="auto"/>
        <w:ind w:left="2880" w:right="1512" w:hanging="720"/>
        <w:rPr>
          <w:rFonts w:eastAsia="Calibri"/>
          <w:szCs w:val="26"/>
        </w:rPr>
      </w:pPr>
    </w:p>
    <w:p w14:paraId="4E0F907F" w14:textId="77777777" w:rsidR="00E91427"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sewer backflow </w:t>
      </w:r>
    </w:p>
    <w:p w14:paraId="7F25F668" w14:textId="2A9E2F34" w:rsidR="000F7E72" w:rsidRPr="008E7712" w:rsidRDefault="000F7E72" w:rsidP="00B74AAB">
      <w:pPr>
        <w:numPr>
          <w:ilvl w:val="2"/>
          <w:numId w:val="12"/>
        </w:numPr>
        <w:spacing w:line="240" w:lineRule="auto"/>
        <w:ind w:left="3600" w:right="1512" w:hanging="720"/>
        <w:rPr>
          <w:rFonts w:eastAsia="Calibri"/>
          <w:szCs w:val="26"/>
        </w:rPr>
      </w:pPr>
      <w:r w:rsidRPr="008E7712">
        <w:rPr>
          <w:szCs w:val="26"/>
        </w:rPr>
        <w:t xml:space="preserve">issues with grinder pumps </w:t>
      </w:r>
    </w:p>
    <w:p w14:paraId="6E6AEEE3" w14:textId="77777777" w:rsidR="000F7E72" w:rsidRPr="008E7712" w:rsidRDefault="000F7E72" w:rsidP="00B74AAB">
      <w:pPr>
        <w:spacing w:line="240" w:lineRule="auto"/>
        <w:ind w:left="3600" w:right="1512"/>
        <w:rPr>
          <w:rFonts w:eastAsia="Calibri"/>
          <w:szCs w:val="26"/>
        </w:rPr>
      </w:pPr>
    </w:p>
    <w:p w14:paraId="175B6517" w14:textId="77777777" w:rsidR="000F7E72" w:rsidRPr="008E7712" w:rsidRDefault="000F7E72" w:rsidP="00B74AAB">
      <w:pPr>
        <w:keepNext/>
        <w:keepLines/>
        <w:numPr>
          <w:ilvl w:val="1"/>
          <w:numId w:val="12"/>
        </w:numPr>
        <w:spacing w:line="240" w:lineRule="auto"/>
        <w:ind w:left="2880" w:right="1512" w:hanging="720"/>
        <w:rPr>
          <w:rFonts w:eastAsia="Calibri"/>
          <w:szCs w:val="26"/>
        </w:rPr>
      </w:pPr>
      <w:r w:rsidRPr="008E7712">
        <w:rPr>
          <w:szCs w:val="26"/>
        </w:rPr>
        <w:lastRenderedPageBreak/>
        <w:t xml:space="preserve">Penn Estates Water Service: </w:t>
      </w:r>
    </w:p>
    <w:p w14:paraId="2841E91E" w14:textId="77777777" w:rsidR="000F7E72" w:rsidRPr="008E7712" w:rsidRDefault="000F7E72" w:rsidP="00B74AAB">
      <w:pPr>
        <w:keepNext/>
        <w:keepLines/>
        <w:spacing w:line="240" w:lineRule="auto"/>
        <w:ind w:left="2880" w:right="1512" w:hanging="720"/>
        <w:rPr>
          <w:rFonts w:eastAsia="Calibri"/>
          <w:szCs w:val="26"/>
        </w:rPr>
      </w:pPr>
    </w:p>
    <w:p w14:paraId="034D4AF1" w14:textId="77777777" w:rsidR="00E91427" w:rsidRPr="008E7712" w:rsidRDefault="000F7E72" w:rsidP="00B74AAB">
      <w:pPr>
        <w:keepNext/>
        <w:keepLines/>
        <w:numPr>
          <w:ilvl w:val="2"/>
          <w:numId w:val="12"/>
        </w:numPr>
        <w:spacing w:line="240" w:lineRule="auto"/>
        <w:ind w:left="3600" w:right="1512" w:hanging="720"/>
        <w:rPr>
          <w:rFonts w:eastAsia="Calibri"/>
          <w:szCs w:val="26"/>
        </w:rPr>
      </w:pPr>
      <w:r w:rsidRPr="008E7712">
        <w:rPr>
          <w:szCs w:val="26"/>
        </w:rPr>
        <w:t xml:space="preserve">August 2020 system outage </w:t>
      </w:r>
    </w:p>
    <w:p w14:paraId="0398DB80" w14:textId="11859E68" w:rsidR="000F7E72" w:rsidRPr="008E7712" w:rsidRDefault="000F7E72" w:rsidP="00B74AAB">
      <w:pPr>
        <w:keepNext/>
        <w:keepLines/>
        <w:numPr>
          <w:ilvl w:val="2"/>
          <w:numId w:val="12"/>
        </w:numPr>
        <w:spacing w:line="240" w:lineRule="auto"/>
        <w:ind w:left="3600" w:right="1512" w:hanging="720"/>
        <w:rPr>
          <w:rFonts w:eastAsia="Calibri"/>
          <w:szCs w:val="26"/>
        </w:rPr>
      </w:pPr>
      <w:r w:rsidRPr="008E7712">
        <w:rPr>
          <w:szCs w:val="26"/>
        </w:rPr>
        <w:t xml:space="preserve">Boil water advisories </w:t>
      </w:r>
    </w:p>
    <w:p w14:paraId="4198473C" w14:textId="77777777" w:rsidR="000F7E72" w:rsidRPr="008E7712" w:rsidRDefault="000F7E72" w:rsidP="00B74AAB">
      <w:pPr>
        <w:keepNext/>
        <w:keepLines/>
        <w:numPr>
          <w:ilvl w:val="2"/>
          <w:numId w:val="12"/>
        </w:numPr>
        <w:spacing w:line="240" w:lineRule="auto"/>
        <w:ind w:left="3600" w:right="1507" w:hanging="720"/>
        <w:rPr>
          <w:rFonts w:eastAsia="Calibri"/>
          <w:szCs w:val="26"/>
        </w:rPr>
      </w:pPr>
      <w:r w:rsidRPr="008E7712">
        <w:rPr>
          <w:szCs w:val="26"/>
        </w:rPr>
        <w:t xml:space="preserve">Sediment in water and appliance issues </w:t>
      </w:r>
    </w:p>
    <w:p w14:paraId="09F1ABA2" w14:textId="77777777" w:rsidR="000F7E72" w:rsidRPr="008E7712" w:rsidRDefault="000F7E72" w:rsidP="00B74AAB">
      <w:pPr>
        <w:spacing w:line="240" w:lineRule="auto"/>
        <w:ind w:left="2880" w:right="1507" w:hanging="720"/>
        <w:rPr>
          <w:rFonts w:eastAsia="Calibri"/>
          <w:szCs w:val="26"/>
        </w:rPr>
      </w:pPr>
    </w:p>
    <w:p w14:paraId="1752095F" w14:textId="3D7E4152" w:rsidR="000F7E72" w:rsidRPr="008E7712" w:rsidRDefault="000F7E72" w:rsidP="00B74AAB">
      <w:pPr>
        <w:numPr>
          <w:ilvl w:val="1"/>
          <w:numId w:val="12"/>
        </w:numPr>
        <w:spacing w:line="240" w:lineRule="auto"/>
        <w:ind w:left="2880" w:right="1512" w:hanging="720"/>
        <w:rPr>
          <w:rFonts w:eastAsia="Calibri"/>
          <w:szCs w:val="26"/>
        </w:rPr>
      </w:pPr>
      <w:r w:rsidRPr="008E7712">
        <w:rPr>
          <w:szCs w:val="26"/>
        </w:rPr>
        <w:t>Westgate service territory:</w:t>
      </w:r>
    </w:p>
    <w:p w14:paraId="2F9CC054" w14:textId="77777777" w:rsidR="00E91427" w:rsidRPr="008E7712" w:rsidRDefault="00E91427" w:rsidP="00B74AAB">
      <w:pPr>
        <w:spacing w:line="240" w:lineRule="auto"/>
        <w:ind w:left="2880" w:right="1512"/>
        <w:rPr>
          <w:rFonts w:eastAsia="Calibri"/>
          <w:szCs w:val="26"/>
        </w:rPr>
      </w:pPr>
    </w:p>
    <w:p w14:paraId="0B13591F" w14:textId="7DB305B7" w:rsidR="000F7E72" w:rsidRPr="008E7712" w:rsidRDefault="000F7E72" w:rsidP="00B74AAB">
      <w:pPr>
        <w:numPr>
          <w:ilvl w:val="2"/>
          <w:numId w:val="12"/>
        </w:numPr>
        <w:spacing w:line="240" w:lineRule="auto"/>
        <w:ind w:left="3600" w:right="1512" w:hanging="720"/>
        <w:rPr>
          <w:rFonts w:eastAsia="Calibri"/>
          <w:szCs w:val="26"/>
        </w:rPr>
      </w:pPr>
      <w:r w:rsidRPr="008E7712">
        <w:rPr>
          <w:szCs w:val="26"/>
        </w:rPr>
        <w:t>hydrants</w:t>
      </w:r>
    </w:p>
    <w:p w14:paraId="10C9B379" w14:textId="33220A22" w:rsidR="00E91427" w:rsidRPr="008E7712" w:rsidRDefault="00E91427" w:rsidP="00B74AAB">
      <w:pPr>
        <w:numPr>
          <w:ilvl w:val="2"/>
          <w:numId w:val="12"/>
        </w:numPr>
        <w:spacing w:line="240" w:lineRule="auto"/>
        <w:ind w:left="3600" w:right="1512" w:hanging="720"/>
        <w:rPr>
          <w:rFonts w:eastAsia="Calibri"/>
          <w:szCs w:val="26"/>
        </w:rPr>
      </w:pPr>
      <w:r w:rsidRPr="008E7712">
        <w:rPr>
          <w:szCs w:val="26"/>
        </w:rPr>
        <w:t>valve exercising and testing</w:t>
      </w:r>
    </w:p>
    <w:p w14:paraId="0CF96CB4" w14:textId="77777777" w:rsidR="000F7E72" w:rsidRPr="008E7712" w:rsidRDefault="000F7E72" w:rsidP="00C613A1">
      <w:pPr>
        <w:spacing w:line="240" w:lineRule="auto"/>
        <w:ind w:left="3600" w:right="1512"/>
        <w:rPr>
          <w:rFonts w:eastAsia="Calibri"/>
          <w:szCs w:val="26"/>
        </w:rPr>
      </w:pPr>
    </w:p>
    <w:p w14:paraId="57CBEEEF" w14:textId="77777777" w:rsidR="000F7E72" w:rsidRPr="008E7712" w:rsidRDefault="000F7E72" w:rsidP="000F7E72">
      <w:pPr>
        <w:numPr>
          <w:ilvl w:val="0"/>
          <w:numId w:val="12"/>
        </w:numPr>
        <w:spacing w:line="240" w:lineRule="auto"/>
        <w:ind w:left="2160" w:right="1507" w:hanging="720"/>
        <w:rPr>
          <w:rFonts w:eastAsia="Calibri"/>
          <w:szCs w:val="26"/>
        </w:rPr>
      </w:pPr>
      <w:r w:rsidRPr="008E7712">
        <w:rPr>
          <w:szCs w:val="26"/>
        </w:rPr>
        <w:t>In their direct testimony, OCA and I&amp;E also raised various issues regarding CUPA’s service.  Based on the testimony heard at the public input hearing, I&amp;E recommended that for water CUPA receive a zero percent rate of return due to the alleged service issues.</w:t>
      </w:r>
    </w:p>
    <w:p w14:paraId="459A33D8" w14:textId="77777777" w:rsidR="000F7E72" w:rsidRPr="008E7712" w:rsidRDefault="000F7E72" w:rsidP="000F7E72">
      <w:pPr>
        <w:spacing w:line="240" w:lineRule="auto"/>
        <w:ind w:left="2160" w:right="1507"/>
        <w:rPr>
          <w:rFonts w:eastAsia="Calibri"/>
          <w:szCs w:val="26"/>
        </w:rPr>
      </w:pPr>
      <w:r w:rsidRPr="008E7712">
        <w:rPr>
          <w:szCs w:val="26"/>
        </w:rPr>
        <w:t xml:space="preserve"> </w:t>
      </w:r>
    </w:p>
    <w:p w14:paraId="47C3CA52" w14:textId="61C8E9FE" w:rsidR="000F7E72" w:rsidRPr="008E7712" w:rsidRDefault="000F7E72" w:rsidP="000F7E72">
      <w:pPr>
        <w:numPr>
          <w:ilvl w:val="0"/>
          <w:numId w:val="12"/>
        </w:numPr>
        <w:spacing w:line="240" w:lineRule="auto"/>
        <w:ind w:left="2160" w:right="1507" w:hanging="720"/>
        <w:rPr>
          <w:rFonts w:eastAsia="Calibri"/>
          <w:szCs w:val="26"/>
        </w:rPr>
      </w:pPr>
      <w:r w:rsidRPr="008E7712">
        <w:rPr>
          <w:szCs w:val="26"/>
        </w:rPr>
        <w:t>In rebuttal testimony, CUPA provided evidence of its service record, steps taken to resolve service issues, and ongoing work to upgrade service, as detailed in the following paragraphs</w:t>
      </w:r>
      <w:r w:rsidR="00E91427" w:rsidRPr="008E7712">
        <w:rPr>
          <w:szCs w:val="26"/>
        </w:rPr>
        <w:t>.</w:t>
      </w:r>
    </w:p>
    <w:p w14:paraId="3D35985C" w14:textId="05D9D5D7" w:rsidR="000F7E72" w:rsidRPr="008E7712" w:rsidRDefault="000F7E72" w:rsidP="000F7E72">
      <w:pPr>
        <w:spacing w:line="240" w:lineRule="auto"/>
        <w:ind w:left="2160" w:right="1507"/>
        <w:rPr>
          <w:rFonts w:eastAsia="Calibri"/>
          <w:szCs w:val="26"/>
        </w:rPr>
      </w:pPr>
    </w:p>
    <w:p w14:paraId="4C22E2D4" w14:textId="1B673916" w:rsidR="000F7E72" w:rsidRPr="008E7712" w:rsidRDefault="000F7E72" w:rsidP="000F7E72">
      <w:pPr>
        <w:numPr>
          <w:ilvl w:val="0"/>
          <w:numId w:val="12"/>
        </w:numPr>
        <w:spacing w:line="251" w:lineRule="auto"/>
        <w:ind w:left="1440" w:right="57"/>
        <w:rPr>
          <w:rFonts w:eastAsia="Calibri"/>
          <w:szCs w:val="26"/>
        </w:rPr>
      </w:pPr>
      <w:r w:rsidRPr="008E7712">
        <w:rPr>
          <w:szCs w:val="26"/>
        </w:rPr>
        <w:t xml:space="preserve">Customer Communications: </w:t>
      </w:r>
    </w:p>
    <w:p w14:paraId="6205CD0B" w14:textId="77777777" w:rsidR="004930CB" w:rsidRPr="008E7712" w:rsidRDefault="004930CB" w:rsidP="004930CB">
      <w:pPr>
        <w:spacing w:line="251" w:lineRule="auto"/>
        <w:ind w:left="1440" w:right="57"/>
        <w:rPr>
          <w:rFonts w:eastAsia="Calibri"/>
          <w:szCs w:val="26"/>
        </w:rPr>
      </w:pPr>
    </w:p>
    <w:p w14:paraId="7164BDF2" w14:textId="77777777" w:rsidR="000F7E72" w:rsidRPr="008E7712" w:rsidRDefault="000F7E72" w:rsidP="000F7E72">
      <w:pPr>
        <w:numPr>
          <w:ilvl w:val="1"/>
          <w:numId w:val="13"/>
        </w:numPr>
        <w:spacing w:line="240" w:lineRule="auto"/>
        <w:ind w:left="2880" w:right="1507" w:hanging="720"/>
        <w:rPr>
          <w:rFonts w:eastAsia="Calibri"/>
          <w:szCs w:val="26"/>
        </w:rPr>
      </w:pPr>
      <w:r w:rsidRPr="008E7712">
        <w:rPr>
          <w:szCs w:val="26"/>
        </w:rPr>
        <w:t xml:space="preserve">CUPA’s Tamiment system customer complaint logs show a reasonably low number of customer complaints received from 2019-2021 in light of the number of customers served.  CUPA W&amp;WW Statement No. 7-R at 5:19 – 6:21.  See also OCA St. 4 at 18:18-20. </w:t>
      </w:r>
    </w:p>
    <w:p w14:paraId="40D7F270" w14:textId="77777777" w:rsidR="000F7E72" w:rsidRPr="008E7712" w:rsidRDefault="000F7E72" w:rsidP="000F7E72">
      <w:pPr>
        <w:spacing w:line="240" w:lineRule="auto"/>
        <w:ind w:left="727" w:right="1507"/>
        <w:rPr>
          <w:rFonts w:eastAsia="Calibri"/>
          <w:szCs w:val="26"/>
        </w:rPr>
      </w:pPr>
    </w:p>
    <w:p w14:paraId="377C808A" w14:textId="60563F97" w:rsidR="000F7E72" w:rsidRPr="008E7712" w:rsidRDefault="000F7E72" w:rsidP="000F7E72">
      <w:pPr>
        <w:numPr>
          <w:ilvl w:val="1"/>
          <w:numId w:val="13"/>
        </w:numPr>
        <w:spacing w:line="240" w:lineRule="auto"/>
        <w:ind w:left="2880" w:right="1507" w:hanging="720"/>
        <w:rPr>
          <w:rFonts w:eastAsia="Calibri"/>
          <w:szCs w:val="26"/>
        </w:rPr>
      </w:pPr>
      <w:r w:rsidRPr="008E7712">
        <w:rPr>
          <w:szCs w:val="26"/>
        </w:rPr>
        <w:t>CUPA communicates with customers through the customer’s individual preferred method, whether that be email, text, or phone, in addition to mailings to the service address or another address a customer has on file if not a permanent residence (particularly in the Tamiment service territory where many of the service addresses are vacation homes or rentals)</w:t>
      </w:r>
      <w:r w:rsidR="004930CB" w:rsidRPr="008E7712">
        <w:rPr>
          <w:szCs w:val="26"/>
        </w:rPr>
        <w:t xml:space="preserve">.  </w:t>
      </w:r>
      <w:r w:rsidRPr="008E7712">
        <w:rPr>
          <w:szCs w:val="26"/>
        </w:rPr>
        <w:t xml:space="preserve">Customers can access their online account or call customer service to update their contact information and preferred method of communication at any time to keep CUPA </w:t>
      </w:r>
      <w:r w:rsidRPr="008E7712">
        <w:rPr>
          <w:szCs w:val="26"/>
        </w:rPr>
        <w:lastRenderedPageBreak/>
        <w:t>informed of any changes.  CUPA W&amp;WW Statement No. 7-R at 3:13-25.</w:t>
      </w:r>
    </w:p>
    <w:p w14:paraId="3E5BFD68" w14:textId="10ED5307" w:rsidR="000F7E72" w:rsidRPr="008E7712" w:rsidRDefault="000F7E72" w:rsidP="000F7E72">
      <w:pPr>
        <w:spacing w:line="240" w:lineRule="auto"/>
        <w:ind w:left="2880" w:right="1507" w:hanging="720"/>
        <w:rPr>
          <w:rFonts w:eastAsia="Calibri"/>
          <w:szCs w:val="26"/>
        </w:rPr>
      </w:pPr>
    </w:p>
    <w:p w14:paraId="6A155F5D" w14:textId="0F16CCA0" w:rsidR="000F7E72" w:rsidRPr="008E7712" w:rsidRDefault="000F7E72" w:rsidP="000F7E72">
      <w:pPr>
        <w:numPr>
          <w:ilvl w:val="1"/>
          <w:numId w:val="13"/>
        </w:numPr>
        <w:spacing w:line="240" w:lineRule="auto"/>
        <w:ind w:left="2880" w:right="1507" w:hanging="720"/>
        <w:rPr>
          <w:szCs w:val="26"/>
        </w:rPr>
      </w:pPr>
      <w:r w:rsidRPr="008E7712">
        <w:rPr>
          <w:szCs w:val="26"/>
        </w:rPr>
        <w:t>CUPA’s standard is to respond to all emergency calls – such as water outages, sewer back-ups, main breaks, etc. immediately.  Contact center personnel are trained to ask the customer a series of questions to assist field personnel in their response.  Once all pertinent information has been gathered by the contact center, a “field activity” (“FA”) is prepared and pushed out to the appropriate field staff for further investigation and intervention.  After-hours emergency issues are handled by a third-party service and answered by a live agent.  The agent records pertinent information including (1)</w:t>
      </w:r>
      <w:r w:rsidR="0095284B">
        <w:rPr>
          <w:szCs w:val="26"/>
        </w:rPr>
        <w:t> </w:t>
      </w:r>
      <w:r w:rsidRPr="008E7712">
        <w:rPr>
          <w:szCs w:val="26"/>
        </w:rPr>
        <w:t>location: (2) contact information: and (3)</w:t>
      </w:r>
      <w:r w:rsidR="0095284B">
        <w:rPr>
          <w:szCs w:val="26"/>
        </w:rPr>
        <w:t> </w:t>
      </w:r>
      <w:r w:rsidRPr="008E7712">
        <w:rPr>
          <w:szCs w:val="26"/>
        </w:rPr>
        <w:t>service issue.  The information is then relayed to the on</w:t>
      </w:r>
      <w:r w:rsidR="00E91427" w:rsidRPr="008E7712">
        <w:rPr>
          <w:szCs w:val="26"/>
        </w:rPr>
        <w:t>-</w:t>
      </w:r>
      <w:r w:rsidRPr="008E7712">
        <w:rPr>
          <w:szCs w:val="26"/>
        </w:rPr>
        <w:t>call operations technician through text, cell phone and/or email.  If the on-call technician does not respond within 15</w:t>
      </w:r>
      <w:r w:rsidR="00C867B1">
        <w:rPr>
          <w:szCs w:val="26"/>
        </w:rPr>
        <w:t> </w:t>
      </w:r>
      <w:r w:rsidRPr="008E7712">
        <w:rPr>
          <w:szCs w:val="26"/>
        </w:rPr>
        <w:t>minutes, the next designated manager/technician is contacted.  The Company has multiple staff members across the State serving in on-call status for after hour emergencies every day.  CUPA W&amp;WW Statement No. 7-R at 4:1-12</w:t>
      </w:r>
      <w:r w:rsidR="004930CB" w:rsidRPr="008E7712">
        <w:rPr>
          <w:szCs w:val="26"/>
        </w:rPr>
        <w:t xml:space="preserve">.  </w:t>
      </w:r>
      <w:r w:rsidRPr="008E7712">
        <w:rPr>
          <w:szCs w:val="26"/>
        </w:rPr>
        <w:t>The average hold time for customers calling the Company in 2021 is approximately 41 seconds.  Call</w:t>
      </w:r>
      <w:r w:rsidR="00E91427" w:rsidRPr="008E7712">
        <w:rPr>
          <w:szCs w:val="26"/>
        </w:rPr>
        <w:t>-</w:t>
      </w:r>
      <w:r w:rsidRPr="008E7712">
        <w:rPr>
          <w:szCs w:val="26"/>
        </w:rPr>
        <w:t xml:space="preserve">by-call volume times can vary based on time of day, system issues, and how busy the call center is at any given </w:t>
      </w:r>
      <w:proofErr w:type="gramStart"/>
      <w:r w:rsidRPr="008E7712">
        <w:rPr>
          <w:szCs w:val="26"/>
        </w:rPr>
        <w:t>time</w:t>
      </w:r>
      <w:proofErr w:type="gramEnd"/>
      <w:r w:rsidRPr="008E7712">
        <w:rPr>
          <w:szCs w:val="26"/>
        </w:rPr>
        <w:t xml:space="preserve"> but we operate against a “Target Average Speed of Answer Service Level” of eighty (80%) percent of all calls answered within sixty (60) seconds of entering queue.  Most issues are resolved within 6-7 minutes representing the average customer “treatment time”.  CUPA W&amp;WW Statement No. 7-R at</w:t>
      </w:r>
      <w:r w:rsidR="0095284B">
        <w:rPr>
          <w:szCs w:val="26"/>
        </w:rPr>
        <w:t> </w:t>
      </w:r>
      <w:r w:rsidRPr="008E7712">
        <w:rPr>
          <w:szCs w:val="26"/>
        </w:rPr>
        <w:t xml:space="preserve">4:17-5:2.  </w:t>
      </w:r>
    </w:p>
    <w:p w14:paraId="50F851CB" w14:textId="77777777" w:rsidR="000F7E72" w:rsidRPr="008E7712" w:rsidRDefault="000F7E72" w:rsidP="000F7E72">
      <w:pPr>
        <w:spacing w:line="240" w:lineRule="auto"/>
        <w:ind w:left="2880" w:right="57" w:hanging="720"/>
        <w:rPr>
          <w:rFonts w:eastAsia="Calibri"/>
          <w:szCs w:val="26"/>
        </w:rPr>
      </w:pPr>
    </w:p>
    <w:p w14:paraId="6166BEDF" w14:textId="77777777" w:rsidR="000F7E72" w:rsidRPr="008E7712" w:rsidRDefault="000F7E72" w:rsidP="000F7E72">
      <w:pPr>
        <w:numPr>
          <w:ilvl w:val="1"/>
          <w:numId w:val="13"/>
        </w:numPr>
        <w:spacing w:line="240" w:lineRule="auto"/>
        <w:ind w:left="2880" w:right="1417" w:hanging="720"/>
        <w:rPr>
          <w:rFonts w:eastAsia="Calibri"/>
          <w:szCs w:val="26"/>
        </w:rPr>
      </w:pPr>
      <w:r w:rsidRPr="008E7712">
        <w:rPr>
          <w:szCs w:val="26"/>
        </w:rPr>
        <w:t xml:space="preserve">Previously, if customers called the Company seeking support, the customer might have been directed to a customer support representative </w:t>
      </w:r>
      <w:r w:rsidRPr="008E7712">
        <w:rPr>
          <w:szCs w:val="26"/>
        </w:rPr>
        <w:lastRenderedPageBreak/>
        <w:t>located in any Corix location.  Now CUPA customers are directed to a customer service representative responsible for customers in Pennsylvania.  CUPA W&amp;WW Statement No. 8</w:t>
      </w:r>
      <w:r w:rsidRPr="008E7712">
        <w:rPr>
          <w:szCs w:val="26"/>
        </w:rPr>
        <w:noBreakHyphen/>
        <w:t xml:space="preserve">R at 4:5-10. </w:t>
      </w:r>
    </w:p>
    <w:p w14:paraId="3DB560F4" w14:textId="77777777" w:rsidR="000F7E72" w:rsidRPr="008E7712" w:rsidRDefault="000F7E72" w:rsidP="000F7E72">
      <w:pPr>
        <w:spacing w:line="240" w:lineRule="auto"/>
        <w:ind w:left="2160" w:right="1417" w:hanging="720"/>
        <w:rPr>
          <w:rFonts w:eastAsia="Calibri"/>
          <w:szCs w:val="26"/>
        </w:rPr>
      </w:pPr>
    </w:p>
    <w:p w14:paraId="725558B7" w14:textId="1E2CDBE8" w:rsidR="000F7E72" w:rsidRPr="008E7712" w:rsidRDefault="000F7E72" w:rsidP="00E4130B">
      <w:pPr>
        <w:numPr>
          <w:ilvl w:val="1"/>
          <w:numId w:val="13"/>
        </w:numPr>
        <w:spacing w:line="240" w:lineRule="auto"/>
        <w:ind w:left="2880" w:right="1507" w:hanging="737"/>
        <w:rPr>
          <w:szCs w:val="26"/>
        </w:rPr>
      </w:pPr>
      <w:r w:rsidRPr="008E7712">
        <w:rPr>
          <w:szCs w:val="26"/>
        </w:rPr>
        <w:t xml:space="preserve">CUPA has implemented new customer service efforts to improve overall customer service, and CUPA’s customer service metrics show that CUPA’s customer service has improved in 2020 and 2021.  CUPA St. No. 8-R at 7:5-15; Parks Rebuttal Exhibit 1.  The OCA recommended that CUPA provide information regarding its call center performance to Pennsylvania customers as part of its next base rate case filing.  OCA </w:t>
      </w:r>
      <w:r w:rsidR="0095284B" w:rsidRPr="008E7712">
        <w:rPr>
          <w:szCs w:val="26"/>
        </w:rPr>
        <w:t>St. 1SR at 10:20-24, 11:1-2</w:t>
      </w:r>
    </w:p>
    <w:p w14:paraId="4F3949C8" w14:textId="77777777" w:rsidR="000F7E72" w:rsidRPr="008E7712" w:rsidRDefault="000F7E72" w:rsidP="000F7E72">
      <w:pPr>
        <w:spacing w:line="240" w:lineRule="auto"/>
        <w:ind w:left="737" w:right="57" w:hanging="10"/>
        <w:rPr>
          <w:rFonts w:eastAsia="Calibri"/>
          <w:szCs w:val="26"/>
        </w:rPr>
      </w:pPr>
    </w:p>
    <w:p w14:paraId="492D723A" w14:textId="77777777" w:rsidR="000F7E72" w:rsidRPr="008E7712" w:rsidRDefault="000F7E72" w:rsidP="000F7E72">
      <w:pPr>
        <w:keepNext/>
        <w:numPr>
          <w:ilvl w:val="0"/>
          <w:numId w:val="12"/>
        </w:numPr>
        <w:spacing w:line="240" w:lineRule="auto"/>
        <w:ind w:left="1440" w:right="57"/>
        <w:rPr>
          <w:rFonts w:eastAsia="Calibri"/>
          <w:szCs w:val="26"/>
        </w:rPr>
      </w:pPr>
      <w:r w:rsidRPr="008E7712">
        <w:rPr>
          <w:szCs w:val="26"/>
        </w:rPr>
        <w:t xml:space="preserve">Tamiment Water: </w:t>
      </w:r>
    </w:p>
    <w:p w14:paraId="6F83E519" w14:textId="77777777" w:rsidR="000F7E72" w:rsidRPr="008E7712" w:rsidRDefault="000F7E72" w:rsidP="000F7E72">
      <w:pPr>
        <w:keepNext/>
        <w:spacing w:line="240" w:lineRule="auto"/>
        <w:ind w:left="2880" w:right="1507" w:hanging="720"/>
        <w:rPr>
          <w:rFonts w:eastAsia="Calibri"/>
          <w:szCs w:val="26"/>
        </w:rPr>
      </w:pPr>
    </w:p>
    <w:p w14:paraId="31F8DB9B" w14:textId="77777777" w:rsidR="000F7E72" w:rsidRPr="008E7712" w:rsidRDefault="000F7E72" w:rsidP="000F7E72">
      <w:pPr>
        <w:keepNext/>
        <w:numPr>
          <w:ilvl w:val="0"/>
          <w:numId w:val="14"/>
        </w:numPr>
        <w:spacing w:line="240" w:lineRule="auto"/>
        <w:ind w:left="2880" w:right="1507" w:hanging="720"/>
        <w:rPr>
          <w:rFonts w:eastAsia="Calibri"/>
          <w:szCs w:val="26"/>
        </w:rPr>
      </w:pPr>
      <w:r w:rsidRPr="008E7712">
        <w:rPr>
          <w:szCs w:val="26"/>
        </w:rPr>
        <w:t xml:space="preserve">CUPA’s Annual Water Quality Reports for the Tamiment System from 2019-2020 showed only recordkeeping and monitoring violations which the Company has implemented steps to prevent in the future.  CUPA W&amp;WW Statement No. 7-R at 6:22 – 7:16. </w:t>
      </w:r>
    </w:p>
    <w:p w14:paraId="330D95F6" w14:textId="77777777" w:rsidR="000F7E72" w:rsidRPr="008E7712" w:rsidRDefault="000F7E72" w:rsidP="000F7E72">
      <w:pPr>
        <w:spacing w:line="240" w:lineRule="auto"/>
        <w:ind w:left="2880" w:right="1507" w:hanging="720"/>
        <w:rPr>
          <w:rFonts w:eastAsia="Calibri"/>
          <w:szCs w:val="26"/>
        </w:rPr>
      </w:pPr>
    </w:p>
    <w:p w14:paraId="6BD29689" w14:textId="512D160A" w:rsidR="008C346F" w:rsidRPr="008C346F" w:rsidRDefault="000F7E72" w:rsidP="008C346F">
      <w:pPr>
        <w:pStyle w:val="ListParagraph"/>
        <w:keepNext/>
        <w:numPr>
          <w:ilvl w:val="0"/>
          <w:numId w:val="14"/>
        </w:numPr>
        <w:spacing w:line="240" w:lineRule="auto"/>
        <w:ind w:left="2880" w:right="1512" w:hanging="720"/>
        <w:rPr>
          <w:szCs w:val="26"/>
        </w:rPr>
      </w:pPr>
      <w:r w:rsidRPr="008C346F">
        <w:rPr>
          <w:szCs w:val="26"/>
        </w:rPr>
        <w:t>In 2019, CUPA received 3 dirty water complaints and one low pressure complaint</w:t>
      </w:r>
      <w:r w:rsidR="004930CB" w:rsidRPr="008C346F">
        <w:rPr>
          <w:szCs w:val="26"/>
        </w:rPr>
        <w:t xml:space="preserve">.  </w:t>
      </w:r>
      <w:r w:rsidRPr="008C346F">
        <w:rPr>
          <w:szCs w:val="26"/>
        </w:rPr>
        <w:t>These complaints were related to operations switching between wells while performing maintenance which affected the systems pressure zones</w:t>
      </w:r>
      <w:r w:rsidR="004930CB" w:rsidRPr="008C346F">
        <w:rPr>
          <w:szCs w:val="26"/>
        </w:rPr>
        <w:t xml:space="preserve">.  </w:t>
      </w:r>
      <w:r w:rsidRPr="008C346F">
        <w:rPr>
          <w:szCs w:val="26"/>
        </w:rPr>
        <w:t xml:space="preserve">CUPA responded to each of these calls, of which two of the three customer’s </w:t>
      </w:r>
      <w:proofErr w:type="gramStart"/>
      <w:r w:rsidRPr="008C346F">
        <w:rPr>
          <w:szCs w:val="26"/>
        </w:rPr>
        <w:t>water</w:t>
      </w:r>
      <w:proofErr w:type="gramEnd"/>
      <w:r w:rsidRPr="008C346F">
        <w:rPr>
          <w:szCs w:val="26"/>
        </w:rPr>
        <w:t xml:space="preserve"> had cleared up by the time CUPA arrived to investigate, and the remaining one cleared up after 2-3 minutes of running water once CUPA was on site</w:t>
      </w:r>
      <w:r w:rsidR="004930CB" w:rsidRPr="008C346F">
        <w:rPr>
          <w:szCs w:val="26"/>
        </w:rPr>
        <w:t xml:space="preserve">.  </w:t>
      </w:r>
      <w:r w:rsidRPr="008C346F">
        <w:rPr>
          <w:szCs w:val="26"/>
        </w:rPr>
        <w:t>There were no follow-up complaints by these customers.  In 2020, CUPA received 7 low pressure and 2</w:t>
      </w:r>
      <w:r w:rsidR="0018763D">
        <w:rPr>
          <w:szCs w:val="26"/>
        </w:rPr>
        <w:t> </w:t>
      </w:r>
      <w:r w:rsidRPr="008C346F">
        <w:rPr>
          <w:szCs w:val="26"/>
        </w:rPr>
        <w:t>chlorine odor water complaints</w:t>
      </w:r>
      <w:r w:rsidR="004930CB" w:rsidRPr="008C346F">
        <w:rPr>
          <w:szCs w:val="26"/>
        </w:rPr>
        <w:t xml:space="preserve">.  </w:t>
      </w:r>
      <w:r w:rsidRPr="008C346F">
        <w:rPr>
          <w:szCs w:val="26"/>
        </w:rPr>
        <w:t xml:space="preserve">Five of the low pressure complaints were due to customer plumbing issues such as bad pressure release </w:t>
      </w:r>
      <w:r w:rsidRPr="008C346F">
        <w:rPr>
          <w:szCs w:val="26"/>
        </w:rPr>
        <w:lastRenderedPageBreak/>
        <w:t>valves (“PRV”) which are the responsibility of the customer</w:t>
      </w:r>
      <w:r w:rsidR="004930CB" w:rsidRPr="008C346F">
        <w:rPr>
          <w:szCs w:val="26"/>
        </w:rPr>
        <w:t xml:space="preserve">.  </w:t>
      </w:r>
      <w:r w:rsidRPr="008C346F">
        <w:rPr>
          <w:szCs w:val="26"/>
        </w:rPr>
        <w:t>The remaining 2 low pressure calls were the result of Tamiment’s Tank 1 level dropping lower than normal from an electrical issue related to a Variable Frequency Device (“VFD”)</w:t>
      </w:r>
      <w:r w:rsidR="004930CB" w:rsidRPr="008C346F">
        <w:rPr>
          <w:szCs w:val="26"/>
        </w:rPr>
        <w:t xml:space="preserve">.  </w:t>
      </w:r>
      <w:r w:rsidRPr="008C346F">
        <w:rPr>
          <w:szCs w:val="26"/>
        </w:rPr>
        <w:t>The VFD issue was resolved within 12 hours of notification to the Company</w:t>
      </w:r>
      <w:r w:rsidR="004930CB" w:rsidRPr="008C346F">
        <w:rPr>
          <w:szCs w:val="26"/>
        </w:rPr>
        <w:t xml:space="preserve">.  </w:t>
      </w:r>
      <w:r w:rsidRPr="008C346F">
        <w:rPr>
          <w:szCs w:val="26"/>
        </w:rPr>
        <w:t>The 2</w:t>
      </w:r>
      <w:r w:rsidR="00CB1F78" w:rsidRPr="008C346F">
        <w:rPr>
          <w:szCs w:val="26"/>
        </w:rPr>
        <w:t> </w:t>
      </w:r>
      <w:r w:rsidRPr="008C346F">
        <w:rPr>
          <w:szCs w:val="26"/>
        </w:rPr>
        <w:t>chlorine odor complaints were investigated by CUPA, but the operator could not detect any chlorine or other odors from the water at the premises</w:t>
      </w:r>
      <w:r w:rsidR="004930CB" w:rsidRPr="008C346F">
        <w:rPr>
          <w:szCs w:val="26"/>
        </w:rPr>
        <w:t xml:space="preserve">.  </w:t>
      </w:r>
      <w:r w:rsidRPr="008C346F">
        <w:rPr>
          <w:szCs w:val="26"/>
        </w:rPr>
        <w:t xml:space="preserve">The hydrants in the area were flushed as a precaution.  </w:t>
      </w:r>
      <w:r w:rsidR="008C346F" w:rsidRPr="008C346F">
        <w:rPr>
          <w:szCs w:val="26"/>
        </w:rPr>
        <w:t>CUPA W&amp;WW Statement No. 7-R at</w:t>
      </w:r>
      <w:r w:rsidR="0018763D">
        <w:rPr>
          <w:szCs w:val="26"/>
        </w:rPr>
        <w:t> </w:t>
      </w:r>
      <w:r w:rsidR="008C346F" w:rsidRPr="008C346F">
        <w:rPr>
          <w:szCs w:val="26"/>
        </w:rPr>
        <w:t>5:23</w:t>
      </w:r>
      <w:r w:rsidR="0018763D">
        <w:rPr>
          <w:szCs w:val="26"/>
        </w:rPr>
        <w:noBreakHyphen/>
      </w:r>
      <w:r w:rsidR="008C346F" w:rsidRPr="008C346F">
        <w:rPr>
          <w:szCs w:val="26"/>
        </w:rPr>
        <w:t xml:space="preserve">6:15. </w:t>
      </w:r>
    </w:p>
    <w:p w14:paraId="4446B9C7" w14:textId="77777777" w:rsidR="000F7E72" w:rsidRPr="008E7712" w:rsidRDefault="000F7E72" w:rsidP="000F7E72">
      <w:pPr>
        <w:spacing w:line="240" w:lineRule="auto"/>
        <w:ind w:left="2880" w:right="1507" w:hanging="720"/>
        <w:rPr>
          <w:rFonts w:eastAsia="Calibri"/>
          <w:szCs w:val="26"/>
        </w:rPr>
      </w:pPr>
    </w:p>
    <w:p w14:paraId="6851E7B9" w14:textId="7B78E173" w:rsidR="000F7E72" w:rsidRPr="008E7712" w:rsidRDefault="000F7E72" w:rsidP="000F7E72">
      <w:pPr>
        <w:numPr>
          <w:ilvl w:val="0"/>
          <w:numId w:val="14"/>
        </w:numPr>
        <w:spacing w:line="240" w:lineRule="auto"/>
        <w:ind w:left="2880" w:right="1507" w:hanging="720"/>
        <w:rPr>
          <w:rFonts w:eastAsia="Calibri"/>
          <w:szCs w:val="26"/>
        </w:rPr>
      </w:pPr>
      <w:r w:rsidRPr="008E7712">
        <w:rPr>
          <w:szCs w:val="26"/>
        </w:rPr>
        <w:t>Tamiment hydrants were flushed 7/1/20 – 7/6/20</w:t>
      </w:r>
      <w:r w:rsidR="004930CB" w:rsidRPr="008E7712">
        <w:rPr>
          <w:szCs w:val="26"/>
        </w:rPr>
        <w:t xml:space="preserve">.  </w:t>
      </w:r>
      <w:r w:rsidRPr="008E7712">
        <w:rPr>
          <w:szCs w:val="26"/>
        </w:rPr>
        <w:t>Community wide communication was sent 6/29/20 and 7/2/20 letting customers know hydrants would be flushed</w:t>
      </w:r>
      <w:r w:rsidR="004930CB" w:rsidRPr="008E7712">
        <w:rPr>
          <w:szCs w:val="26"/>
        </w:rPr>
        <w:t xml:space="preserve">.  </w:t>
      </w:r>
      <w:r w:rsidRPr="008E7712">
        <w:rPr>
          <w:szCs w:val="26"/>
        </w:rPr>
        <w:t>Hydrants were flushed 6/14/21 – 6/18/21, community wide communication was sent 6/11/21</w:t>
      </w:r>
      <w:r w:rsidR="004930CB" w:rsidRPr="008E7712">
        <w:rPr>
          <w:szCs w:val="26"/>
        </w:rPr>
        <w:t xml:space="preserve">.  </w:t>
      </w:r>
      <w:r w:rsidRPr="008E7712">
        <w:rPr>
          <w:szCs w:val="26"/>
        </w:rPr>
        <w:t>CUPA has a 3 year hydrant operation and maintenance schedule with Rogers Hydrant Service starting in 2020</w:t>
      </w:r>
      <w:r w:rsidR="004930CB" w:rsidRPr="008E7712">
        <w:rPr>
          <w:szCs w:val="26"/>
        </w:rPr>
        <w:t xml:space="preserve">.  </w:t>
      </w:r>
      <w:r w:rsidRPr="008E7712">
        <w:rPr>
          <w:szCs w:val="26"/>
        </w:rPr>
        <w:t>CUPA W&amp;WW Statement No. 7-R at</w:t>
      </w:r>
      <w:r w:rsidR="008C346F">
        <w:rPr>
          <w:szCs w:val="26"/>
        </w:rPr>
        <w:t> </w:t>
      </w:r>
      <w:r w:rsidRPr="008E7712">
        <w:rPr>
          <w:szCs w:val="26"/>
        </w:rPr>
        <w:t xml:space="preserve">7:20-8:2. </w:t>
      </w:r>
    </w:p>
    <w:p w14:paraId="29339BA5" w14:textId="77777777" w:rsidR="000F7E72" w:rsidRPr="008E7712" w:rsidRDefault="000F7E72" w:rsidP="000F7E72">
      <w:pPr>
        <w:spacing w:line="240" w:lineRule="auto"/>
        <w:ind w:left="2880" w:right="1507" w:hanging="720"/>
        <w:rPr>
          <w:rFonts w:eastAsia="Calibri"/>
          <w:szCs w:val="26"/>
        </w:rPr>
      </w:pPr>
    </w:p>
    <w:p w14:paraId="3BE6D0F3" w14:textId="7F6C176B" w:rsidR="000F7E72" w:rsidRPr="008E7712" w:rsidRDefault="000F7E72" w:rsidP="000F7E72">
      <w:pPr>
        <w:numPr>
          <w:ilvl w:val="0"/>
          <w:numId w:val="14"/>
        </w:numPr>
        <w:spacing w:line="240" w:lineRule="auto"/>
        <w:ind w:left="2880" w:right="1507" w:hanging="720"/>
        <w:rPr>
          <w:rFonts w:eastAsia="Calibri"/>
          <w:szCs w:val="26"/>
        </w:rPr>
      </w:pPr>
      <w:r w:rsidRPr="008E7712">
        <w:rPr>
          <w:szCs w:val="26"/>
        </w:rPr>
        <w:t>CUPA has received very few low-pressure complaints, the majority of which were due to customer plumbing issues, while only 2 were related to CUPA’s system</w:t>
      </w:r>
      <w:r w:rsidR="004930CB" w:rsidRPr="008E7712">
        <w:rPr>
          <w:szCs w:val="26"/>
        </w:rPr>
        <w:t xml:space="preserve">.  </w:t>
      </w:r>
      <w:r w:rsidRPr="008E7712">
        <w:rPr>
          <w:szCs w:val="26"/>
        </w:rPr>
        <w:t>Further, only two Tamiment customers at the public input hearings indicated they had low pressure issues.  CUPA W&amp;WW Statement No. 7-R at</w:t>
      </w:r>
      <w:r w:rsidR="0018763D">
        <w:rPr>
          <w:szCs w:val="26"/>
        </w:rPr>
        <w:t> </w:t>
      </w:r>
      <w:r w:rsidRPr="008E7712">
        <w:rPr>
          <w:szCs w:val="26"/>
        </w:rPr>
        <w:t xml:space="preserve">8:16-19. </w:t>
      </w:r>
    </w:p>
    <w:p w14:paraId="20EAC31C" w14:textId="77777777" w:rsidR="000F7E72" w:rsidRPr="008E7712" w:rsidRDefault="000F7E72" w:rsidP="000F7E72">
      <w:pPr>
        <w:spacing w:line="240" w:lineRule="auto"/>
        <w:ind w:left="2880" w:right="1507" w:hanging="720"/>
        <w:rPr>
          <w:rFonts w:eastAsia="Calibri"/>
          <w:szCs w:val="26"/>
        </w:rPr>
      </w:pPr>
    </w:p>
    <w:p w14:paraId="694BD1ED" w14:textId="0776429E" w:rsidR="000F7E72" w:rsidRPr="008E7712" w:rsidRDefault="000F7E72" w:rsidP="000F7E72">
      <w:pPr>
        <w:numPr>
          <w:ilvl w:val="0"/>
          <w:numId w:val="14"/>
        </w:numPr>
        <w:spacing w:line="240" w:lineRule="auto"/>
        <w:ind w:left="2880" w:right="1507" w:hanging="720"/>
        <w:rPr>
          <w:szCs w:val="26"/>
        </w:rPr>
      </w:pPr>
      <w:r w:rsidRPr="008E7712">
        <w:rPr>
          <w:szCs w:val="26"/>
        </w:rPr>
        <w:t xml:space="preserve">Since acquiring the system in 2019, CUPA has already made significant investment and upgrades to the Tamiment water system.  In September 2019, Well 3 </w:t>
      </w:r>
      <w:proofErr w:type="gramStart"/>
      <w:r w:rsidRPr="008E7712">
        <w:rPr>
          <w:szCs w:val="26"/>
        </w:rPr>
        <w:t>pump</w:t>
      </w:r>
      <w:proofErr w:type="gramEnd"/>
      <w:r w:rsidRPr="008E7712">
        <w:rPr>
          <w:szCs w:val="26"/>
        </w:rPr>
        <w:t xml:space="preserve"> failed and was replaced</w:t>
      </w:r>
      <w:r w:rsidR="004930CB" w:rsidRPr="008E7712">
        <w:rPr>
          <w:szCs w:val="26"/>
        </w:rPr>
        <w:t xml:space="preserve">.  </w:t>
      </w:r>
      <w:r w:rsidRPr="008E7712">
        <w:rPr>
          <w:szCs w:val="26"/>
        </w:rPr>
        <w:t>Due to poor condition, CUPA also replaced the pump electrical wire and piping, check valve, and all fittings</w:t>
      </w:r>
      <w:r w:rsidR="004930CB" w:rsidRPr="008E7712">
        <w:rPr>
          <w:szCs w:val="26"/>
        </w:rPr>
        <w:t xml:space="preserve">.  </w:t>
      </w:r>
      <w:r w:rsidRPr="008E7712">
        <w:rPr>
          <w:szCs w:val="26"/>
        </w:rPr>
        <w:t>In June 2020, Well 1 pump failed and was replaced</w:t>
      </w:r>
      <w:r w:rsidR="004930CB" w:rsidRPr="008E7712">
        <w:rPr>
          <w:szCs w:val="26"/>
        </w:rPr>
        <w:t xml:space="preserve">.  </w:t>
      </w:r>
      <w:r w:rsidRPr="008E7712">
        <w:rPr>
          <w:szCs w:val="26"/>
        </w:rPr>
        <w:t xml:space="preserve">Due to </w:t>
      </w:r>
      <w:r w:rsidRPr="008E7712">
        <w:rPr>
          <w:szCs w:val="26"/>
        </w:rPr>
        <w:lastRenderedPageBreak/>
        <w:t>poor condition, CUPA also replaced the pump electrical wire and piping, check valve, and all fittings</w:t>
      </w:r>
      <w:r w:rsidR="004930CB" w:rsidRPr="008E7712">
        <w:rPr>
          <w:szCs w:val="26"/>
        </w:rPr>
        <w:t xml:space="preserve">.  </w:t>
      </w:r>
      <w:r w:rsidRPr="008E7712">
        <w:rPr>
          <w:szCs w:val="26"/>
        </w:rPr>
        <w:t xml:space="preserve">Once acquired, CUPA operators performed all internal lab work to ensure the system was operating properly.  CUPA W&amp;WW Statement No. 7-R at 9:21-3. </w:t>
      </w:r>
    </w:p>
    <w:p w14:paraId="1CC15940" w14:textId="77777777" w:rsidR="000F7E72" w:rsidRPr="008E7712" w:rsidRDefault="000F7E72" w:rsidP="000F7E72">
      <w:pPr>
        <w:spacing w:line="240" w:lineRule="auto"/>
        <w:ind w:left="737" w:right="57" w:hanging="10"/>
        <w:rPr>
          <w:rFonts w:eastAsia="Calibri"/>
          <w:szCs w:val="26"/>
        </w:rPr>
      </w:pPr>
    </w:p>
    <w:p w14:paraId="4089B229" w14:textId="77777777" w:rsidR="000F7E72" w:rsidRPr="008E7712" w:rsidRDefault="000F7E72" w:rsidP="000F7E72">
      <w:pPr>
        <w:keepNext/>
        <w:spacing w:line="240" w:lineRule="auto"/>
        <w:ind w:left="1440"/>
        <w:rPr>
          <w:szCs w:val="26"/>
        </w:rPr>
      </w:pPr>
      <w:r w:rsidRPr="008E7712">
        <w:rPr>
          <w:szCs w:val="26"/>
        </w:rPr>
        <w:t xml:space="preserve">14. </w:t>
      </w:r>
      <w:r w:rsidRPr="008E7712">
        <w:rPr>
          <w:szCs w:val="26"/>
        </w:rPr>
        <w:tab/>
        <w:t xml:space="preserve">Tamiment Wastewater: </w:t>
      </w:r>
    </w:p>
    <w:p w14:paraId="7D84946D" w14:textId="77777777" w:rsidR="000F7E72" w:rsidRPr="008E7712" w:rsidRDefault="000F7E72" w:rsidP="000F7E72">
      <w:pPr>
        <w:keepNext/>
        <w:tabs>
          <w:tab w:val="center" w:pos="877"/>
          <w:tab w:val="center" w:pos="2567"/>
        </w:tabs>
        <w:spacing w:line="240" w:lineRule="auto"/>
        <w:rPr>
          <w:rFonts w:eastAsia="Calibri"/>
          <w:szCs w:val="26"/>
        </w:rPr>
      </w:pPr>
    </w:p>
    <w:p w14:paraId="623F0904" w14:textId="70844D79" w:rsidR="000F7E72" w:rsidRPr="008E7712" w:rsidRDefault="000F7E72" w:rsidP="000F7E72">
      <w:pPr>
        <w:keepNext/>
        <w:numPr>
          <w:ilvl w:val="0"/>
          <w:numId w:val="15"/>
        </w:numPr>
        <w:spacing w:line="240" w:lineRule="auto"/>
        <w:ind w:left="2880" w:right="1507" w:hanging="720"/>
        <w:rPr>
          <w:szCs w:val="26"/>
        </w:rPr>
      </w:pPr>
      <w:r w:rsidRPr="008E7712">
        <w:rPr>
          <w:szCs w:val="26"/>
        </w:rPr>
        <w:t>Since acquiring the system in 2019, CUPA has made significant investment and upgrades to the Tamiment wastewater system.  When CUPA first took over operations, there was excessive sludge in the trains of the wastewater treatment plant</w:t>
      </w:r>
      <w:r w:rsidR="004930CB" w:rsidRPr="008E7712">
        <w:rPr>
          <w:szCs w:val="26"/>
        </w:rPr>
        <w:t xml:space="preserve">.  </w:t>
      </w:r>
      <w:r w:rsidRPr="008E7712">
        <w:rPr>
          <w:szCs w:val="26"/>
        </w:rPr>
        <w:t>The filter could not be backwashed due to failed equipment</w:t>
      </w:r>
      <w:r w:rsidR="004930CB" w:rsidRPr="008E7712">
        <w:rPr>
          <w:szCs w:val="26"/>
        </w:rPr>
        <w:t xml:space="preserve">.  </w:t>
      </w:r>
      <w:r w:rsidRPr="008E7712">
        <w:rPr>
          <w:szCs w:val="26"/>
        </w:rPr>
        <w:t>CUPA proactively rehabbed the WWTP filter throughout 2019 – 2020</w:t>
      </w:r>
      <w:r w:rsidR="004930CB" w:rsidRPr="008E7712">
        <w:rPr>
          <w:szCs w:val="26"/>
        </w:rPr>
        <w:t xml:space="preserve">.  </w:t>
      </w:r>
      <w:r w:rsidRPr="008E7712">
        <w:rPr>
          <w:szCs w:val="26"/>
        </w:rPr>
        <w:t xml:space="preserve">This consisted of new filter media, new pumps, and piping.  Likewise, when CUPA first took over operations, the lagoon pump was </w:t>
      </w:r>
      <w:proofErr w:type="gramStart"/>
      <w:r w:rsidRPr="008E7712">
        <w:rPr>
          <w:szCs w:val="26"/>
        </w:rPr>
        <w:t>broken</w:t>
      </w:r>
      <w:proofErr w:type="gramEnd"/>
      <w:r w:rsidRPr="008E7712">
        <w:rPr>
          <w:szCs w:val="26"/>
        </w:rPr>
        <w:t xml:space="preserve"> and the spray irrigation system could not be utilized</w:t>
      </w:r>
      <w:r w:rsidR="004930CB" w:rsidRPr="008E7712">
        <w:rPr>
          <w:szCs w:val="26"/>
        </w:rPr>
        <w:t xml:space="preserve">.  </w:t>
      </w:r>
      <w:r w:rsidRPr="008E7712">
        <w:rPr>
          <w:szCs w:val="26"/>
        </w:rPr>
        <w:t>CUPA hired a 3rd party to mow the grass around spray heads, replace irrigation spray heads, install a new pump, and unblocked the lagoon pump intake screen once CUPA took over operations after the acquisition</w:t>
      </w:r>
      <w:r w:rsidR="004930CB" w:rsidRPr="008E7712">
        <w:rPr>
          <w:szCs w:val="26"/>
        </w:rPr>
        <w:t xml:space="preserve">.  </w:t>
      </w:r>
      <w:r w:rsidRPr="008E7712">
        <w:rPr>
          <w:szCs w:val="26"/>
        </w:rPr>
        <w:t xml:space="preserve">The entire Wastewater Treatment Plant (WWTP) and office were covered in bird fecal matter.  The WWTP, office, and warehouse were cluttered with the personal belongings of Pennsylvania Utility Company operators such as abandoned vehicles, living room furniture, large fish tanks containing snapping turtles, tires, </w:t>
      </w:r>
      <w:r w:rsidR="004930CB" w:rsidRPr="008E7712">
        <w:rPr>
          <w:szCs w:val="26"/>
        </w:rPr>
        <w:t xml:space="preserve">etc.  </w:t>
      </w:r>
      <w:r w:rsidRPr="008E7712">
        <w:rPr>
          <w:szCs w:val="26"/>
        </w:rPr>
        <w:t>CUPA cleaned these areas in 2019 and also improved the facility in 2020.  The WWTP electrical system was in disrepair and was replaced and upgraded in 2020</w:t>
      </w:r>
      <w:r w:rsidR="004930CB" w:rsidRPr="008E7712">
        <w:rPr>
          <w:szCs w:val="26"/>
        </w:rPr>
        <w:t xml:space="preserve">.  </w:t>
      </w:r>
      <w:r w:rsidRPr="008E7712">
        <w:rPr>
          <w:szCs w:val="26"/>
        </w:rPr>
        <w:t xml:space="preserve">CUPA W&amp;WW Statement No. 7-R at 10:6-11:2; Exhibit No. EL-4R (before and after pictures). </w:t>
      </w:r>
    </w:p>
    <w:p w14:paraId="2749BC31" w14:textId="77777777" w:rsidR="000F7E72" w:rsidRPr="008E7712" w:rsidRDefault="000F7E72" w:rsidP="000F7E72">
      <w:pPr>
        <w:spacing w:line="240" w:lineRule="auto"/>
        <w:ind w:left="2880" w:right="1507" w:hanging="720"/>
        <w:rPr>
          <w:rFonts w:eastAsia="Calibri"/>
          <w:szCs w:val="26"/>
        </w:rPr>
      </w:pPr>
    </w:p>
    <w:p w14:paraId="52C56031" w14:textId="7321DC1C" w:rsidR="000F7E72" w:rsidRPr="008E7712" w:rsidRDefault="000F7E72" w:rsidP="000F7E72">
      <w:pPr>
        <w:numPr>
          <w:ilvl w:val="0"/>
          <w:numId w:val="15"/>
        </w:numPr>
        <w:spacing w:line="240" w:lineRule="auto"/>
        <w:ind w:left="2880" w:right="1507" w:hanging="720"/>
        <w:rPr>
          <w:rFonts w:eastAsia="Calibri"/>
          <w:szCs w:val="26"/>
        </w:rPr>
      </w:pPr>
      <w:r w:rsidRPr="008E7712">
        <w:rPr>
          <w:szCs w:val="26"/>
        </w:rPr>
        <w:lastRenderedPageBreak/>
        <w:t>A sewer backflow valve, also known as a sewer check valve, is valve which only allows flow in one direction</w:t>
      </w:r>
      <w:r w:rsidR="004930CB" w:rsidRPr="008E7712">
        <w:rPr>
          <w:szCs w:val="26"/>
        </w:rPr>
        <w:t xml:space="preserve">.  </w:t>
      </w:r>
      <w:r w:rsidRPr="008E7712">
        <w:rPr>
          <w:szCs w:val="26"/>
        </w:rPr>
        <w:t>Its purpose is to prevent sewer from flowing into a home when the grinder pump is not running</w:t>
      </w:r>
      <w:r w:rsidR="004930CB" w:rsidRPr="008E7712">
        <w:rPr>
          <w:szCs w:val="26"/>
        </w:rPr>
        <w:t xml:space="preserve">.  </w:t>
      </w:r>
      <w:r w:rsidRPr="008E7712">
        <w:rPr>
          <w:szCs w:val="26"/>
        </w:rPr>
        <w:t xml:space="preserve">CUPA is not responsible for the maintenance or operation of sewer check valves on customer-owned facilities or lines, instead they are the customer’s responsibility to maintain.  CUPA W&amp;WW Statement No. 7-R at 11:17-21. </w:t>
      </w:r>
    </w:p>
    <w:p w14:paraId="79082112" w14:textId="77777777" w:rsidR="000F7E72" w:rsidRPr="008E7712" w:rsidRDefault="000F7E72" w:rsidP="000F7E72">
      <w:pPr>
        <w:spacing w:line="240" w:lineRule="auto"/>
        <w:ind w:left="2880" w:right="1507" w:hanging="720"/>
        <w:rPr>
          <w:rFonts w:eastAsia="Calibri"/>
          <w:szCs w:val="26"/>
        </w:rPr>
      </w:pPr>
    </w:p>
    <w:p w14:paraId="47E9B79C" w14:textId="7105BC7F" w:rsidR="000F7E72" w:rsidRPr="008E7712" w:rsidRDefault="000F7E72" w:rsidP="001C4C31">
      <w:pPr>
        <w:keepNext/>
        <w:numPr>
          <w:ilvl w:val="0"/>
          <w:numId w:val="15"/>
        </w:numPr>
        <w:spacing w:line="240" w:lineRule="auto"/>
        <w:ind w:left="2880" w:right="1512" w:hanging="720"/>
        <w:rPr>
          <w:rFonts w:eastAsia="Calibri"/>
          <w:szCs w:val="26"/>
        </w:rPr>
      </w:pPr>
      <w:r w:rsidRPr="008E7712">
        <w:rPr>
          <w:szCs w:val="26"/>
        </w:rPr>
        <w:t>The Glen at Tamiment is serviced by a low pressure sewer force main</w:t>
      </w:r>
      <w:r w:rsidR="004930CB" w:rsidRPr="008E7712">
        <w:rPr>
          <w:szCs w:val="26"/>
        </w:rPr>
        <w:t xml:space="preserve">.  </w:t>
      </w:r>
      <w:r w:rsidRPr="008E7712">
        <w:rPr>
          <w:szCs w:val="26"/>
        </w:rPr>
        <w:t>Due to the elevation changes of the terrain in The Glen a gravity collection system was not installed</w:t>
      </w:r>
      <w:r w:rsidR="004930CB" w:rsidRPr="008E7712">
        <w:rPr>
          <w:szCs w:val="26"/>
        </w:rPr>
        <w:t xml:space="preserve">.  </w:t>
      </w:r>
      <w:r w:rsidRPr="008E7712">
        <w:rPr>
          <w:szCs w:val="26"/>
        </w:rPr>
        <w:t>A grinder pump is needed to discharge wastewater into the low pressure force main.  These types of customer-owned facilities are not unusual.  Not all customers in Tamiment require grinder pumps, and the customer grinder pumps are limited to certain areas as the system was originally designed</w:t>
      </w:r>
      <w:r w:rsidR="004930CB" w:rsidRPr="008E7712">
        <w:rPr>
          <w:szCs w:val="26"/>
        </w:rPr>
        <w:t xml:space="preserve">.  </w:t>
      </w:r>
      <w:r w:rsidRPr="008E7712">
        <w:rPr>
          <w:szCs w:val="26"/>
        </w:rPr>
        <w:t xml:space="preserve">Ultimately, the grinder pump is the customer’s property and responsibility to maintain.  CUPA W&amp;WW Statement No. 7-R at 12:1-7. </w:t>
      </w:r>
    </w:p>
    <w:p w14:paraId="6C35B01D" w14:textId="77777777" w:rsidR="000F7E72" w:rsidRPr="008E7712" w:rsidRDefault="000F7E72" w:rsidP="000F7E72">
      <w:pPr>
        <w:spacing w:line="240" w:lineRule="auto"/>
        <w:ind w:left="2880" w:right="1507" w:hanging="720"/>
        <w:rPr>
          <w:rFonts w:eastAsia="Calibri"/>
          <w:szCs w:val="26"/>
        </w:rPr>
      </w:pPr>
    </w:p>
    <w:p w14:paraId="62B23D92" w14:textId="6A27EC16" w:rsidR="000F7E72" w:rsidRPr="008E7712" w:rsidRDefault="000F7E72" w:rsidP="000F7E72">
      <w:pPr>
        <w:numPr>
          <w:ilvl w:val="0"/>
          <w:numId w:val="15"/>
        </w:numPr>
        <w:spacing w:line="240" w:lineRule="auto"/>
        <w:ind w:left="2880" w:right="1507" w:hanging="720"/>
        <w:rPr>
          <w:szCs w:val="26"/>
        </w:rPr>
      </w:pPr>
      <w:r w:rsidRPr="008E7712">
        <w:rPr>
          <w:szCs w:val="26"/>
        </w:rPr>
        <w:t>In early-mid June 2020 CUPA became aware of customer concerns related to the customer’s grinder pumps.  CUPA and its contractor, Environmental Services Corporation (ESC), attended a board meeting at The Glen on July</w:t>
      </w:r>
      <w:r w:rsidR="00B86A27">
        <w:rPr>
          <w:szCs w:val="26"/>
        </w:rPr>
        <w:t> </w:t>
      </w:r>
      <w:r w:rsidRPr="008E7712">
        <w:rPr>
          <w:szCs w:val="26"/>
        </w:rPr>
        <w:t>19, 2020</w:t>
      </w:r>
      <w:r w:rsidR="004930CB" w:rsidRPr="008E7712">
        <w:rPr>
          <w:szCs w:val="26"/>
        </w:rPr>
        <w:t xml:space="preserve">.  </w:t>
      </w:r>
      <w:r w:rsidRPr="008E7712">
        <w:rPr>
          <w:szCs w:val="26"/>
        </w:rPr>
        <w:t>CUPA answered questions relating to the gravity collections system, low-pressure force main system, lift stations, and maintenance of them</w:t>
      </w:r>
      <w:r w:rsidR="004930CB" w:rsidRPr="008E7712">
        <w:rPr>
          <w:szCs w:val="26"/>
        </w:rPr>
        <w:t xml:space="preserve">.  </w:t>
      </w:r>
      <w:r w:rsidRPr="008E7712">
        <w:rPr>
          <w:szCs w:val="26"/>
        </w:rPr>
        <w:t xml:space="preserve">CUPA and ESC explained grinder pumps, the customer check valves, CUPA’s operating PSI, and customer responsibilities related to grinder pumps.  On July 20, </w:t>
      </w:r>
      <w:proofErr w:type="gramStart"/>
      <w:r w:rsidRPr="008E7712">
        <w:rPr>
          <w:szCs w:val="26"/>
        </w:rPr>
        <w:t>2020</w:t>
      </w:r>
      <w:proofErr w:type="gramEnd"/>
      <w:r w:rsidRPr="008E7712">
        <w:rPr>
          <w:szCs w:val="26"/>
        </w:rPr>
        <w:t xml:space="preserve"> CUPA and ESC investigated the areas of The Glen experiencing grinder pump issues</w:t>
      </w:r>
      <w:r w:rsidR="004930CB" w:rsidRPr="008E7712">
        <w:rPr>
          <w:szCs w:val="26"/>
        </w:rPr>
        <w:t xml:space="preserve">.  </w:t>
      </w:r>
      <w:r w:rsidRPr="008E7712">
        <w:rPr>
          <w:szCs w:val="26"/>
        </w:rPr>
        <w:t>They found no blockages and force main pressures ranging from 5-20 PSI, which is below the operating PSI of a grinder pump</w:t>
      </w:r>
      <w:r w:rsidR="004930CB" w:rsidRPr="008E7712">
        <w:rPr>
          <w:szCs w:val="26"/>
        </w:rPr>
        <w:t xml:space="preserve">.  </w:t>
      </w:r>
      <w:r w:rsidRPr="008E7712">
        <w:rPr>
          <w:szCs w:val="26"/>
        </w:rPr>
        <w:lastRenderedPageBreak/>
        <w:t>ESC released air within the low pressure force main</w:t>
      </w:r>
      <w:r w:rsidR="004930CB" w:rsidRPr="008E7712">
        <w:rPr>
          <w:szCs w:val="26"/>
        </w:rPr>
        <w:t xml:space="preserve">.  </w:t>
      </w:r>
      <w:r w:rsidRPr="008E7712">
        <w:rPr>
          <w:szCs w:val="26"/>
        </w:rPr>
        <w:t>After releasing the air, the system pressure remained 5-20 PSI</w:t>
      </w:r>
      <w:r w:rsidR="004930CB" w:rsidRPr="008E7712">
        <w:rPr>
          <w:szCs w:val="26"/>
        </w:rPr>
        <w:t xml:space="preserve">.  </w:t>
      </w:r>
      <w:r w:rsidRPr="008E7712">
        <w:rPr>
          <w:szCs w:val="26"/>
        </w:rPr>
        <w:t>ESC installed 3 new air release valves (ARV) in the low pressure force main and repaired the one existing ARV</w:t>
      </w:r>
      <w:r w:rsidR="004930CB" w:rsidRPr="008E7712">
        <w:rPr>
          <w:szCs w:val="26"/>
        </w:rPr>
        <w:t xml:space="preserve">.  </w:t>
      </w:r>
      <w:r w:rsidRPr="008E7712">
        <w:rPr>
          <w:szCs w:val="26"/>
        </w:rPr>
        <w:t xml:space="preserve">Based on CUPA’s and ESC’s investigation, the 2019 and 2020 grinder pump issues are not the result of CUPA’s system or failure thereof.  CUPA W&amp;WW Statement No. 7-R at 12:13-13:8. </w:t>
      </w:r>
    </w:p>
    <w:p w14:paraId="6AF0FFC0" w14:textId="77777777" w:rsidR="000F7E72" w:rsidRPr="008E7712" w:rsidRDefault="000F7E72" w:rsidP="000F7E72">
      <w:pPr>
        <w:spacing w:line="240" w:lineRule="auto"/>
        <w:ind w:left="737" w:right="57" w:hanging="10"/>
        <w:rPr>
          <w:rFonts w:eastAsia="Calibri"/>
          <w:szCs w:val="26"/>
        </w:rPr>
      </w:pPr>
    </w:p>
    <w:p w14:paraId="3A90504D" w14:textId="77777777" w:rsidR="000F7E72" w:rsidRPr="008E7712" w:rsidRDefault="000F7E72" w:rsidP="000F7E72">
      <w:pPr>
        <w:spacing w:line="240" w:lineRule="auto"/>
        <w:ind w:left="1440"/>
        <w:rPr>
          <w:szCs w:val="26"/>
        </w:rPr>
      </w:pPr>
      <w:r w:rsidRPr="008E7712">
        <w:rPr>
          <w:szCs w:val="26"/>
        </w:rPr>
        <w:t xml:space="preserve">15. </w:t>
      </w:r>
      <w:r w:rsidRPr="008E7712">
        <w:rPr>
          <w:szCs w:val="26"/>
        </w:rPr>
        <w:tab/>
        <w:t xml:space="preserve">Penn Estates Water: </w:t>
      </w:r>
    </w:p>
    <w:p w14:paraId="4D657503" w14:textId="77777777" w:rsidR="000F7E72" w:rsidRPr="008E7712" w:rsidRDefault="000F7E72" w:rsidP="000F7E72">
      <w:pPr>
        <w:tabs>
          <w:tab w:val="center" w:pos="877"/>
          <w:tab w:val="center" w:pos="2412"/>
        </w:tabs>
        <w:spacing w:line="240" w:lineRule="auto"/>
        <w:rPr>
          <w:rFonts w:eastAsia="Calibri"/>
          <w:szCs w:val="26"/>
        </w:rPr>
      </w:pPr>
    </w:p>
    <w:p w14:paraId="4846C22A" w14:textId="440EB174" w:rsidR="000F7E72" w:rsidRPr="008E7712" w:rsidRDefault="000F7E72" w:rsidP="001C4C31">
      <w:pPr>
        <w:keepNext/>
        <w:numPr>
          <w:ilvl w:val="0"/>
          <w:numId w:val="16"/>
        </w:numPr>
        <w:spacing w:line="240" w:lineRule="auto"/>
        <w:ind w:left="2880" w:right="1512" w:hanging="720"/>
        <w:rPr>
          <w:rFonts w:eastAsia="Calibri"/>
          <w:szCs w:val="26"/>
        </w:rPr>
      </w:pPr>
      <w:r w:rsidRPr="008E7712">
        <w:rPr>
          <w:szCs w:val="26"/>
        </w:rPr>
        <w:t>CUPA’s Annual Water Quality Reports for the Penn Estates System from 2018-2020 showed only minor violations which the Company took action to correct as well as recordkeeping and monitoring violations which the Company has implemented steps to prevent in the future</w:t>
      </w:r>
      <w:r w:rsidR="004930CB" w:rsidRPr="008E7712">
        <w:rPr>
          <w:szCs w:val="26"/>
        </w:rPr>
        <w:t xml:space="preserve">.  </w:t>
      </w:r>
      <w:r w:rsidRPr="008E7712">
        <w:rPr>
          <w:szCs w:val="26"/>
        </w:rPr>
        <w:t xml:space="preserve">CUPA W&amp;WW Statement No. 7-R at 18:6-17. </w:t>
      </w:r>
    </w:p>
    <w:p w14:paraId="5D93A96F" w14:textId="77777777" w:rsidR="000F7E72" w:rsidRPr="008E7712" w:rsidRDefault="000F7E72" w:rsidP="001C4C31">
      <w:pPr>
        <w:keepNext/>
        <w:spacing w:line="240" w:lineRule="auto"/>
        <w:ind w:left="2880" w:right="1512" w:hanging="720"/>
        <w:rPr>
          <w:rFonts w:eastAsia="Calibri"/>
          <w:szCs w:val="26"/>
        </w:rPr>
      </w:pPr>
    </w:p>
    <w:p w14:paraId="04D801E9" w14:textId="70EBF4EB" w:rsidR="000F7E72" w:rsidRPr="008E7712" w:rsidRDefault="000F7E72" w:rsidP="001C4C31">
      <w:pPr>
        <w:keepNext/>
        <w:numPr>
          <w:ilvl w:val="0"/>
          <w:numId w:val="16"/>
        </w:numPr>
        <w:spacing w:line="240" w:lineRule="auto"/>
        <w:ind w:left="2880" w:right="1512" w:hanging="720"/>
        <w:rPr>
          <w:rFonts w:eastAsia="Calibri"/>
          <w:szCs w:val="26"/>
        </w:rPr>
      </w:pPr>
      <w:r w:rsidRPr="008E7712">
        <w:rPr>
          <w:szCs w:val="26"/>
        </w:rPr>
        <w:t>In August 2020, CUPA’s Penn Estates’ system experienced a water outage event as a result of leaks in the distribution system</w:t>
      </w:r>
      <w:r w:rsidR="004930CB" w:rsidRPr="008E7712">
        <w:rPr>
          <w:szCs w:val="26"/>
        </w:rPr>
        <w:t xml:space="preserve">.  </w:t>
      </w:r>
      <w:r w:rsidRPr="008E7712">
        <w:rPr>
          <w:szCs w:val="26"/>
        </w:rPr>
        <w:t>Operators at Penn Estates systematically searched for leaks in the system beginning in early 2020 to confirm whether there were other contributing factors to tank level issues</w:t>
      </w:r>
      <w:r w:rsidR="004930CB" w:rsidRPr="008E7712">
        <w:rPr>
          <w:szCs w:val="26"/>
        </w:rPr>
        <w:t xml:space="preserve">.  </w:t>
      </w:r>
      <w:r w:rsidRPr="008E7712">
        <w:rPr>
          <w:szCs w:val="26"/>
        </w:rPr>
        <w:t>A leak detecting company was contracted to look for leaks in targeted areas of the community</w:t>
      </w:r>
      <w:r w:rsidR="004930CB" w:rsidRPr="008E7712">
        <w:rPr>
          <w:szCs w:val="26"/>
        </w:rPr>
        <w:t xml:space="preserve">.  </w:t>
      </w:r>
      <w:r w:rsidRPr="008E7712">
        <w:rPr>
          <w:szCs w:val="26"/>
        </w:rPr>
        <w:t>In May 2020, CUPA started sending voice reaches (VR) asking customers to conserve water and look for leaks within and around their homes</w:t>
      </w:r>
      <w:r w:rsidR="004930CB" w:rsidRPr="008E7712">
        <w:rPr>
          <w:szCs w:val="26"/>
        </w:rPr>
        <w:t xml:space="preserve">.  </w:t>
      </w:r>
      <w:r w:rsidRPr="008E7712">
        <w:rPr>
          <w:szCs w:val="26"/>
        </w:rPr>
        <w:t>Also, on May 20, 2020, CUPA started hauling in bulk water to supplement tank levels.  The highest elevation tanks became critically low and CUPA issued boil water advisory on August</w:t>
      </w:r>
      <w:r w:rsidR="001C4C31">
        <w:rPr>
          <w:szCs w:val="26"/>
        </w:rPr>
        <w:t> </w:t>
      </w:r>
      <w:r w:rsidRPr="008E7712">
        <w:rPr>
          <w:szCs w:val="26"/>
        </w:rPr>
        <w:t>3,</w:t>
      </w:r>
      <w:r w:rsidR="001C4C31">
        <w:rPr>
          <w:szCs w:val="26"/>
        </w:rPr>
        <w:t> </w:t>
      </w:r>
      <w:r w:rsidRPr="008E7712">
        <w:rPr>
          <w:szCs w:val="26"/>
        </w:rPr>
        <w:t>2020</w:t>
      </w:r>
      <w:r w:rsidR="004930CB" w:rsidRPr="008E7712">
        <w:rPr>
          <w:szCs w:val="26"/>
        </w:rPr>
        <w:t xml:space="preserve">.  </w:t>
      </w:r>
      <w:r w:rsidRPr="008E7712">
        <w:rPr>
          <w:szCs w:val="26"/>
        </w:rPr>
        <w:t xml:space="preserve">CUPA provided customers with access to bottled water and hauled bulk water to supplement tank levels.  CUPA found and repaired the leaks, water levels stabilized, and the boil water advisory was rescinded August 13, 2020.  A letter explaining what </w:t>
      </w:r>
      <w:r w:rsidRPr="008E7712">
        <w:rPr>
          <w:szCs w:val="26"/>
        </w:rPr>
        <w:lastRenderedPageBreak/>
        <w:t>happened was mailed to all customers September 8, 2020.  That letter was posted in the Community’s monthly newsletter in October 2020.  CUPA W&amp;WW Statement No.</w:t>
      </w:r>
      <w:r w:rsidR="001C4C31">
        <w:rPr>
          <w:szCs w:val="26"/>
        </w:rPr>
        <w:t> </w:t>
      </w:r>
      <w:r w:rsidRPr="008E7712">
        <w:rPr>
          <w:szCs w:val="26"/>
        </w:rPr>
        <w:t xml:space="preserve">7-R at 15:1-23. </w:t>
      </w:r>
    </w:p>
    <w:p w14:paraId="6DCE0169" w14:textId="77777777" w:rsidR="000F7E72" w:rsidRPr="008E7712" w:rsidRDefault="000F7E72" w:rsidP="000F7E72">
      <w:pPr>
        <w:spacing w:line="240" w:lineRule="auto"/>
        <w:ind w:left="2880" w:right="1507" w:hanging="720"/>
        <w:rPr>
          <w:rFonts w:eastAsia="Calibri"/>
          <w:szCs w:val="26"/>
        </w:rPr>
      </w:pPr>
    </w:p>
    <w:p w14:paraId="45305A2E" w14:textId="0FF8AFA2" w:rsidR="000F7E72" w:rsidRPr="001C4C31" w:rsidRDefault="000F7E72" w:rsidP="00785C7A">
      <w:pPr>
        <w:numPr>
          <w:ilvl w:val="2"/>
          <w:numId w:val="19"/>
        </w:numPr>
        <w:spacing w:line="240" w:lineRule="auto"/>
        <w:ind w:left="2880" w:right="1507" w:hanging="720"/>
        <w:rPr>
          <w:szCs w:val="26"/>
        </w:rPr>
      </w:pPr>
      <w:r w:rsidRPr="001C4C31">
        <w:rPr>
          <w:szCs w:val="26"/>
        </w:rPr>
        <w:t>CUPA replaced 3 well pumps in 2020 and 1 in 2021.  CUPA W&amp;WW Statement No. 7-R at</w:t>
      </w:r>
      <w:r w:rsidR="00501EFE">
        <w:rPr>
          <w:szCs w:val="26"/>
        </w:rPr>
        <w:t> </w:t>
      </w:r>
      <w:r w:rsidRPr="001C4C31">
        <w:rPr>
          <w:szCs w:val="26"/>
        </w:rPr>
        <w:t xml:space="preserve">15:2-4. </w:t>
      </w:r>
    </w:p>
    <w:p w14:paraId="6B006BFA" w14:textId="77777777" w:rsidR="000F7E72" w:rsidRPr="008E7712" w:rsidRDefault="000F7E72" w:rsidP="000F7E72">
      <w:pPr>
        <w:spacing w:line="240" w:lineRule="auto"/>
        <w:ind w:left="2880" w:right="1507" w:hanging="720"/>
        <w:rPr>
          <w:rFonts w:eastAsia="Calibri"/>
          <w:szCs w:val="26"/>
        </w:rPr>
      </w:pPr>
    </w:p>
    <w:p w14:paraId="0A3B4AC9" w14:textId="2DD5882F" w:rsidR="000F7E72" w:rsidRPr="008E7712" w:rsidRDefault="000F7E72" w:rsidP="000F7E72">
      <w:pPr>
        <w:numPr>
          <w:ilvl w:val="2"/>
          <w:numId w:val="19"/>
        </w:numPr>
        <w:spacing w:line="240" w:lineRule="auto"/>
        <w:ind w:left="2880" w:right="1507" w:hanging="720"/>
        <w:rPr>
          <w:szCs w:val="26"/>
        </w:rPr>
      </w:pPr>
      <w:r w:rsidRPr="008E7712">
        <w:rPr>
          <w:szCs w:val="26"/>
        </w:rPr>
        <w:t xml:space="preserve">From July 2019 through June 30, </w:t>
      </w:r>
      <w:proofErr w:type="gramStart"/>
      <w:r w:rsidRPr="008E7712">
        <w:rPr>
          <w:szCs w:val="26"/>
        </w:rPr>
        <w:t>2021</w:t>
      </w:r>
      <w:proofErr w:type="gramEnd"/>
      <w:r w:rsidRPr="008E7712">
        <w:rPr>
          <w:szCs w:val="26"/>
        </w:rPr>
        <w:t xml:space="preserve"> in the Penn Estates territory, CUPA received only one sediment related call and four appliance related calls</w:t>
      </w:r>
      <w:r w:rsidR="004930CB" w:rsidRPr="008E7712">
        <w:rPr>
          <w:szCs w:val="26"/>
        </w:rPr>
        <w:t xml:space="preserve">.  </w:t>
      </w:r>
      <w:r w:rsidRPr="008E7712">
        <w:rPr>
          <w:szCs w:val="26"/>
        </w:rPr>
        <w:t>Regarding the sediment call, the customer called about red rusty sediment in their pressure gauge located just after the meter</w:t>
      </w:r>
      <w:r w:rsidR="004930CB" w:rsidRPr="008E7712">
        <w:rPr>
          <w:szCs w:val="26"/>
        </w:rPr>
        <w:t xml:space="preserve">.  </w:t>
      </w:r>
      <w:r w:rsidRPr="008E7712">
        <w:rPr>
          <w:szCs w:val="26"/>
        </w:rPr>
        <w:t>CUPA provided the customer with a new pressure gauge upon investigating the complaint</w:t>
      </w:r>
      <w:r w:rsidR="004930CB" w:rsidRPr="008E7712">
        <w:rPr>
          <w:szCs w:val="26"/>
        </w:rPr>
        <w:t xml:space="preserve">.  </w:t>
      </w:r>
      <w:r w:rsidRPr="008E7712">
        <w:rPr>
          <w:szCs w:val="26"/>
        </w:rPr>
        <w:t>The four appliance calls were complaints related to the water pressure being too high and either claiming that the pressure damaged their water heater or the heaters pressure reducing valve (PRV)</w:t>
      </w:r>
      <w:r w:rsidR="004930CB" w:rsidRPr="008E7712">
        <w:rPr>
          <w:szCs w:val="26"/>
        </w:rPr>
        <w:t xml:space="preserve">.  </w:t>
      </w:r>
      <w:r w:rsidRPr="008E7712">
        <w:rPr>
          <w:szCs w:val="26"/>
        </w:rPr>
        <w:t>CUPA recommends all homes have PRVs</w:t>
      </w:r>
      <w:r w:rsidR="004930CB" w:rsidRPr="008E7712">
        <w:rPr>
          <w:szCs w:val="26"/>
        </w:rPr>
        <w:t xml:space="preserve">.  </w:t>
      </w:r>
      <w:r w:rsidRPr="008E7712">
        <w:rPr>
          <w:szCs w:val="26"/>
        </w:rPr>
        <w:t xml:space="preserve">The maintenance of PRVs is the responsibility of the customer, a fact of which CUPA informed each customer at the time of CUPA’s investigation.  CUPA W&amp;WW Statement No. 7-R at 17:12-22. </w:t>
      </w:r>
    </w:p>
    <w:p w14:paraId="1FB0C954" w14:textId="77777777" w:rsidR="000F7E72" w:rsidRPr="008E7712" w:rsidRDefault="000F7E72" w:rsidP="000F7E72">
      <w:pPr>
        <w:spacing w:line="240" w:lineRule="auto"/>
        <w:ind w:left="2880" w:right="1507" w:hanging="720"/>
        <w:rPr>
          <w:rFonts w:eastAsia="Calibri"/>
          <w:szCs w:val="26"/>
        </w:rPr>
      </w:pPr>
    </w:p>
    <w:p w14:paraId="5C2859DB" w14:textId="39F4CF66" w:rsidR="000F7E72" w:rsidRPr="008E7712" w:rsidRDefault="000F7E72" w:rsidP="000F7E72">
      <w:pPr>
        <w:numPr>
          <w:ilvl w:val="2"/>
          <w:numId w:val="19"/>
        </w:numPr>
        <w:spacing w:line="240" w:lineRule="auto"/>
        <w:ind w:left="2880" w:right="1507" w:hanging="720"/>
        <w:rPr>
          <w:rFonts w:eastAsia="Calibri"/>
          <w:szCs w:val="26"/>
        </w:rPr>
      </w:pPr>
      <w:r w:rsidRPr="008E7712">
        <w:rPr>
          <w:szCs w:val="26"/>
        </w:rPr>
        <w:t>CUPA worked with its outside consultant, GHD, to assess and improve system operations to minimize loss of service in the Penn Estate’s system</w:t>
      </w:r>
      <w:r w:rsidR="004930CB" w:rsidRPr="008E7712">
        <w:rPr>
          <w:szCs w:val="26"/>
        </w:rPr>
        <w:t xml:space="preserve">.  </w:t>
      </w:r>
      <w:r w:rsidRPr="008E7712">
        <w:rPr>
          <w:szCs w:val="26"/>
        </w:rPr>
        <w:t>By report dated February 23, 2021, various recommendations were made</w:t>
      </w:r>
      <w:r w:rsidR="004930CB" w:rsidRPr="008E7712">
        <w:rPr>
          <w:szCs w:val="26"/>
        </w:rPr>
        <w:t xml:space="preserve">.  </w:t>
      </w:r>
      <w:r w:rsidRPr="008E7712">
        <w:rPr>
          <w:szCs w:val="26"/>
        </w:rPr>
        <w:t>CUPA W&amp;WW Statement No. 7-R at 21:13-14; OCA St. 4SR at 8:13- 14:2.</w:t>
      </w:r>
    </w:p>
    <w:p w14:paraId="130C0532" w14:textId="77777777" w:rsidR="000F7E72" w:rsidRPr="008E7712" w:rsidRDefault="000F7E72" w:rsidP="000F7E72">
      <w:pPr>
        <w:spacing w:line="240" w:lineRule="auto"/>
        <w:ind w:left="840" w:right="57"/>
        <w:rPr>
          <w:rFonts w:eastAsia="Calibri"/>
          <w:szCs w:val="26"/>
        </w:rPr>
      </w:pPr>
    </w:p>
    <w:p w14:paraId="4F301273" w14:textId="77777777" w:rsidR="000F7E72" w:rsidRPr="008E7712" w:rsidRDefault="000F7E72" w:rsidP="000F7E72">
      <w:pPr>
        <w:spacing w:line="240" w:lineRule="auto"/>
        <w:ind w:left="1440"/>
        <w:rPr>
          <w:szCs w:val="26"/>
        </w:rPr>
      </w:pPr>
      <w:r w:rsidRPr="008E7712">
        <w:rPr>
          <w:szCs w:val="26"/>
        </w:rPr>
        <w:t>16.</w:t>
      </w:r>
      <w:r w:rsidRPr="008E7712">
        <w:rPr>
          <w:szCs w:val="26"/>
        </w:rPr>
        <w:tab/>
        <w:t>Westgate Water:</w:t>
      </w:r>
    </w:p>
    <w:p w14:paraId="0240A3F7" w14:textId="77777777" w:rsidR="000F7E72" w:rsidRPr="008E7712" w:rsidRDefault="000F7E72" w:rsidP="000F7E72">
      <w:pPr>
        <w:spacing w:line="240" w:lineRule="auto"/>
        <w:rPr>
          <w:rFonts w:eastAsia="Calibri"/>
          <w:szCs w:val="26"/>
        </w:rPr>
      </w:pPr>
    </w:p>
    <w:p w14:paraId="04DEFA93" w14:textId="739A7CA6" w:rsidR="000F7E72" w:rsidRPr="008E7712" w:rsidRDefault="000F7E72" w:rsidP="000F7E72">
      <w:pPr>
        <w:numPr>
          <w:ilvl w:val="3"/>
          <w:numId w:val="18"/>
        </w:numPr>
        <w:spacing w:line="240" w:lineRule="auto"/>
        <w:ind w:left="2880" w:right="1507" w:hanging="720"/>
        <w:rPr>
          <w:rFonts w:eastAsia="Calibri"/>
          <w:szCs w:val="26"/>
        </w:rPr>
      </w:pPr>
      <w:r w:rsidRPr="008E7712">
        <w:rPr>
          <w:szCs w:val="26"/>
        </w:rPr>
        <w:t>CUPA purchases water for its Westgate system from the City of Bethlehem</w:t>
      </w:r>
      <w:r w:rsidR="004930CB" w:rsidRPr="008E7712">
        <w:rPr>
          <w:szCs w:val="26"/>
        </w:rPr>
        <w:t xml:space="preserve">.  </w:t>
      </w:r>
      <w:r w:rsidRPr="008E7712">
        <w:rPr>
          <w:szCs w:val="26"/>
        </w:rPr>
        <w:t xml:space="preserve">CUPA W&amp;WW Statement No. 7-R at 20:8. The annual water </w:t>
      </w:r>
      <w:r w:rsidRPr="008E7712">
        <w:rPr>
          <w:szCs w:val="26"/>
        </w:rPr>
        <w:lastRenderedPageBreak/>
        <w:t>quality reports for Westgate show no violations for 2018-2019, and only a single failure to monitor and report violation in 2020</w:t>
      </w:r>
      <w:r w:rsidR="004930CB" w:rsidRPr="00BB18BC">
        <w:rPr>
          <w:i/>
        </w:rPr>
        <w:t xml:space="preserve">.  </w:t>
      </w:r>
      <w:r w:rsidRPr="00BB18BC">
        <w:rPr>
          <w:i/>
        </w:rPr>
        <w:t>Id.</w:t>
      </w:r>
      <w:r w:rsidR="00B86A27">
        <w:rPr>
          <w:i/>
        </w:rPr>
        <w:t> </w:t>
      </w:r>
      <w:r w:rsidRPr="008E7712">
        <w:rPr>
          <w:szCs w:val="26"/>
        </w:rPr>
        <w:t>at</w:t>
      </w:r>
      <w:r w:rsidR="00B86A27">
        <w:rPr>
          <w:szCs w:val="26"/>
        </w:rPr>
        <w:t> </w:t>
      </w:r>
      <w:r w:rsidRPr="008E7712">
        <w:rPr>
          <w:szCs w:val="26"/>
        </w:rPr>
        <w:t xml:space="preserve">20:8-11. </w:t>
      </w:r>
    </w:p>
    <w:p w14:paraId="793F8396" w14:textId="77777777" w:rsidR="000F7E72" w:rsidRPr="008E7712" w:rsidRDefault="000F7E72" w:rsidP="000F7E72">
      <w:pPr>
        <w:spacing w:line="240" w:lineRule="auto"/>
        <w:ind w:left="2880" w:right="1507" w:hanging="720"/>
        <w:rPr>
          <w:rFonts w:eastAsia="Calibri"/>
          <w:szCs w:val="26"/>
        </w:rPr>
      </w:pPr>
    </w:p>
    <w:p w14:paraId="14A80C71" w14:textId="534AF88F" w:rsidR="000F7E72" w:rsidRPr="008E7712" w:rsidRDefault="000F7E72" w:rsidP="000F7E72">
      <w:pPr>
        <w:numPr>
          <w:ilvl w:val="3"/>
          <w:numId w:val="18"/>
        </w:numPr>
        <w:spacing w:line="240" w:lineRule="auto"/>
        <w:ind w:left="2880" w:right="1507" w:hanging="720"/>
        <w:rPr>
          <w:rFonts w:eastAsia="Calibri"/>
          <w:szCs w:val="26"/>
        </w:rPr>
      </w:pPr>
      <w:r w:rsidRPr="008E7712">
        <w:rPr>
          <w:szCs w:val="26"/>
        </w:rPr>
        <w:t>CUPA has a 3-year hydrant operation and maintenance schedule with a new service company, Rogers Hydrant Service, which started in 2020</w:t>
      </w:r>
      <w:r w:rsidR="004930CB" w:rsidRPr="008E7712">
        <w:rPr>
          <w:szCs w:val="26"/>
        </w:rPr>
        <w:t xml:space="preserve">.  </w:t>
      </w:r>
      <w:r w:rsidRPr="008E7712">
        <w:rPr>
          <w:szCs w:val="26"/>
        </w:rPr>
        <w:t xml:space="preserve">The schedule includes hydrants being flushed two times per year, and customers receive notice of the flushing at least one day in advance through their on-file preferred communication method.  CUPA W&amp;WW Statement No. 7-R at 19:3-7. </w:t>
      </w:r>
    </w:p>
    <w:p w14:paraId="0DF21875" w14:textId="77777777" w:rsidR="000F7E72" w:rsidRPr="008E7712" w:rsidRDefault="000F7E72" w:rsidP="000F7E72">
      <w:pPr>
        <w:spacing w:line="240" w:lineRule="auto"/>
        <w:ind w:left="1680" w:right="57"/>
        <w:rPr>
          <w:rFonts w:eastAsia="Calibri"/>
          <w:szCs w:val="26"/>
        </w:rPr>
      </w:pPr>
    </w:p>
    <w:p w14:paraId="1BA0E5F8" w14:textId="59B45A25" w:rsidR="000F7E72" w:rsidRPr="008E7712" w:rsidRDefault="000F7E72" w:rsidP="000F7E72">
      <w:pPr>
        <w:numPr>
          <w:ilvl w:val="3"/>
          <w:numId w:val="18"/>
        </w:numPr>
        <w:spacing w:line="240" w:lineRule="auto"/>
        <w:ind w:left="2880" w:right="1507" w:hanging="720"/>
        <w:rPr>
          <w:rFonts w:eastAsia="Calibri"/>
          <w:szCs w:val="26"/>
        </w:rPr>
      </w:pPr>
      <w:r w:rsidRPr="008E7712">
        <w:rPr>
          <w:szCs w:val="26"/>
        </w:rPr>
        <w:t>CUPA actively maintains and monitors its valves at regular intervals</w:t>
      </w:r>
      <w:r w:rsidR="004930CB" w:rsidRPr="008E7712">
        <w:rPr>
          <w:szCs w:val="26"/>
        </w:rPr>
        <w:t xml:space="preserve">.  </w:t>
      </w:r>
      <w:r w:rsidRPr="008E7712">
        <w:rPr>
          <w:szCs w:val="26"/>
        </w:rPr>
        <w:t>In 2020, CUPA undertook an extensive valve inspection program on Westgate water mains and generated inspection reports which allowed CUPA to create a strategic plan to isolate areas and insert new valves and/or repair or replace existing valves</w:t>
      </w:r>
      <w:r w:rsidR="004930CB" w:rsidRPr="008E7712">
        <w:rPr>
          <w:szCs w:val="26"/>
        </w:rPr>
        <w:t xml:space="preserve">.  </w:t>
      </w:r>
      <w:r w:rsidRPr="008E7712">
        <w:rPr>
          <w:szCs w:val="26"/>
        </w:rPr>
        <w:t>Based on the inspection program, CUPA began its valve replacement program in early 2021 and is in the process of replacing valves and inserting additional valves in the system</w:t>
      </w:r>
      <w:r w:rsidR="004930CB" w:rsidRPr="008E7712">
        <w:rPr>
          <w:szCs w:val="26"/>
        </w:rPr>
        <w:t xml:space="preserve">.  </w:t>
      </w:r>
      <w:r w:rsidRPr="008E7712">
        <w:rPr>
          <w:szCs w:val="26"/>
        </w:rPr>
        <w:t xml:space="preserve">CUPA W&amp;WW Statement No. 7-R at 19:7-13. </w:t>
      </w:r>
    </w:p>
    <w:p w14:paraId="06A32E0B" w14:textId="77777777" w:rsidR="000F7E72" w:rsidRPr="008E7712" w:rsidRDefault="000F7E72" w:rsidP="000F7E72">
      <w:pPr>
        <w:spacing w:line="240" w:lineRule="auto"/>
        <w:ind w:left="1680" w:right="57"/>
        <w:rPr>
          <w:rFonts w:eastAsia="Calibri"/>
          <w:szCs w:val="26"/>
        </w:rPr>
      </w:pPr>
    </w:p>
    <w:p w14:paraId="3D2A1265" w14:textId="01FDFB09" w:rsidR="000F7E72" w:rsidRPr="008E7712" w:rsidRDefault="000F7E72" w:rsidP="000F7E72">
      <w:pPr>
        <w:pStyle w:val="ListParagraph"/>
        <w:numPr>
          <w:ilvl w:val="0"/>
          <w:numId w:val="21"/>
        </w:numPr>
        <w:spacing w:line="240" w:lineRule="auto"/>
        <w:ind w:left="2160" w:right="1507" w:hanging="720"/>
        <w:contextualSpacing w:val="0"/>
        <w:rPr>
          <w:szCs w:val="26"/>
        </w:rPr>
      </w:pPr>
      <w:r w:rsidRPr="008E7712">
        <w:rPr>
          <w:szCs w:val="26"/>
        </w:rPr>
        <w:t>After reviewing CUPA’s rebuttal testimony, in its surrebuttal testimony, I&amp;E withdrew its zero percent rate of return recommendation, acknowledged that CUPA had addressed or offered explanatory or contextual evidence in response to the issues raised at the public input hearing, and recommended the company complete additional reporting.  I&amp;E WW St. No. 3-SR at 16:11-16; I&amp;E W St. No. 3-SR at</w:t>
      </w:r>
      <w:r w:rsidR="008C346F">
        <w:rPr>
          <w:szCs w:val="26"/>
        </w:rPr>
        <w:t> </w:t>
      </w:r>
      <w:r w:rsidRPr="008E7712">
        <w:rPr>
          <w:szCs w:val="26"/>
        </w:rPr>
        <w:t>29:12</w:t>
      </w:r>
      <w:r w:rsidR="00501EFE">
        <w:rPr>
          <w:szCs w:val="26"/>
        </w:rPr>
        <w:noBreakHyphen/>
      </w:r>
      <w:r w:rsidRPr="008E7712">
        <w:rPr>
          <w:szCs w:val="26"/>
        </w:rPr>
        <w:t xml:space="preserve">20; I&amp;E St. No. 2-SR at 22:13-17.  OCA in its surrebuttal testimony suggested, inter alia, that CUPA submit individual PUC Form 500’s for each water system, report boil water advisories and do not consume advisories to the parties, have Tamiment Wells Nos. 1 and 3 tested for secondary contaminants, </w:t>
      </w:r>
      <w:r w:rsidRPr="008E7712">
        <w:rPr>
          <w:szCs w:val="26"/>
        </w:rPr>
        <w:lastRenderedPageBreak/>
        <w:t xml:space="preserve">have its engineer make recommendations for the Company to ensure adequate supply and pressures in the Penn Estates water system, provide information to new and existing customers regarding operation and maintenance of grinder pumps and, for the Penn Estates wastewater system, provide copies of progress reports on the Company’s compliance with the October 22, 2020 Department of Environmental Protection/CUPA Consent Order &amp; Agreement to the parties.  OCA St. 4SR at 14:8-15:20. </w:t>
      </w:r>
    </w:p>
    <w:p w14:paraId="12108197" w14:textId="77777777" w:rsidR="000F7E72" w:rsidRPr="008E7712" w:rsidRDefault="000F7E72" w:rsidP="000F7E72">
      <w:pPr>
        <w:spacing w:line="240" w:lineRule="auto"/>
        <w:ind w:left="7" w:right="57" w:hanging="10"/>
        <w:rPr>
          <w:rFonts w:eastAsia="Calibri"/>
          <w:szCs w:val="26"/>
        </w:rPr>
      </w:pPr>
    </w:p>
    <w:p w14:paraId="1E48299E" w14:textId="637B44DA" w:rsidR="000F7E72" w:rsidRPr="008E7712" w:rsidRDefault="000F7E72" w:rsidP="000F7E72">
      <w:pPr>
        <w:numPr>
          <w:ilvl w:val="0"/>
          <w:numId w:val="22"/>
        </w:numPr>
        <w:spacing w:line="240" w:lineRule="auto"/>
        <w:ind w:left="2160" w:right="1507" w:hanging="720"/>
        <w:rPr>
          <w:rFonts w:eastAsia="Calibri"/>
          <w:szCs w:val="26"/>
        </w:rPr>
      </w:pPr>
      <w:r w:rsidRPr="008E7712">
        <w:rPr>
          <w:szCs w:val="26"/>
        </w:rPr>
        <w:t>In response to OCA’s suggestion and based on customer testimony, on September 10, 2021, CUPA tested Tamiment Well Nos. 1 and 3 for secondary containments</w:t>
      </w:r>
      <w:r w:rsidR="004930CB" w:rsidRPr="008E7712">
        <w:rPr>
          <w:szCs w:val="26"/>
        </w:rPr>
        <w:t xml:space="preserve">.  </w:t>
      </w:r>
      <w:r w:rsidRPr="008E7712">
        <w:rPr>
          <w:szCs w:val="26"/>
        </w:rPr>
        <w:t>The results show these wells are in compliance with secondary water quality standards</w:t>
      </w:r>
      <w:r w:rsidR="004930CB" w:rsidRPr="008E7712">
        <w:rPr>
          <w:szCs w:val="26"/>
        </w:rPr>
        <w:t xml:space="preserve">.  </w:t>
      </w:r>
      <w:r w:rsidRPr="008E7712">
        <w:rPr>
          <w:szCs w:val="26"/>
        </w:rPr>
        <w:t xml:space="preserve">CUPA W Exhibit No. 1-T. </w:t>
      </w:r>
    </w:p>
    <w:p w14:paraId="517148DF" w14:textId="77777777" w:rsidR="000F7E72" w:rsidRPr="008E7712" w:rsidRDefault="000F7E72" w:rsidP="000F7E72">
      <w:pPr>
        <w:spacing w:line="240" w:lineRule="auto"/>
        <w:ind w:left="2160" w:right="1507" w:hanging="720"/>
        <w:rPr>
          <w:rFonts w:eastAsia="Calibri"/>
          <w:szCs w:val="26"/>
        </w:rPr>
      </w:pPr>
    </w:p>
    <w:p w14:paraId="02056EE1" w14:textId="77777777" w:rsidR="000F7E72" w:rsidRPr="008E7712" w:rsidRDefault="000F7E72" w:rsidP="000F7E72">
      <w:pPr>
        <w:numPr>
          <w:ilvl w:val="0"/>
          <w:numId w:val="22"/>
        </w:numPr>
        <w:spacing w:line="240" w:lineRule="auto"/>
        <w:ind w:left="2160" w:right="1507" w:hanging="720"/>
        <w:rPr>
          <w:rFonts w:eastAsia="Calibri"/>
          <w:szCs w:val="26"/>
        </w:rPr>
      </w:pPr>
      <w:r w:rsidRPr="008E7712">
        <w:rPr>
          <w:szCs w:val="26"/>
        </w:rPr>
        <w:t xml:space="preserve">The surrebuttal and rejoinder testimony demonstrated Joint Petitioner’s continued disagreement on revenue requirement, rate design, and rate of return. </w:t>
      </w:r>
    </w:p>
    <w:p w14:paraId="257B5561" w14:textId="77777777" w:rsidR="000F7E72" w:rsidRPr="008E7712" w:rsidRDefault="000F7E72" w:rsidP="000F7E72">
      <w:pPr>
        <w:spacing w:line="240" w:lineRule="auto"/>
        <w:ind w:left="2160" w:right="1507" w:hanging="720"/>
        <w:rPr>
          <w:rFonts w:eastAsia="Calibri"/>
          <w:szCs w:val="26"/>
        </w:rPr>
      </w:pPr>
    </w:p>
    <w:p w14:paraId="07872118" w14:textId="77777777" w:rsidR="000F7E72" w:rsidRPr="008E7712" w:rsidRDefault="000F7E72" w:rsidP="000F7E72">
      <w:pPr>
        <w:numPr>
          <w:ilvl w:val="0"/>
          <w:numId w:val="22"/>
        </w:numPr>
        <w:spacing w:line="240" w:lineRule="auto"/>
        <w:ind w:left="2160" w:right="1507" w:hanging="713"/>
        <w:rPr>
          <w:rFonts w:eastAsia="Calibri"/>
          <w:szCs w:val="26"/>
        </w:rPr>
      </w:pPr>
      <w:r w:rsidRPr="008E7712">
        <w:rPr>
          <w:szCs w:val="26"/>
        </w:rPr>
        <w:t xml:space="preserve">In establishing a proposed base rate increase, the proposed Settlement fairly balances CUPA’s revenue needs with the challenges raised by the parties concerning a rate increase and the structure of that rate increase, particularly given each of the Joint Petitioners had a different view on rate design.  The Settlement also contains provisions to address the other concerns the parties identified about various aspects of CUPA’s operations and service including customer service, customer assistance, </w:t>
      </w:r>
      <w:proofErr w:type="gramStart"/>
      <w:r w:rsidRPr="008E7712">
        <w:rPr>
          <w:szCs w:val="26"/>
        </w:rPr>
        <w:t>safety</w:t>
      </w:r>
      <w:proofErr w:type="gramEnd"/>
      <w:r w:rsidRPr="008E7712">
        <w:rPr>
          <w:szCs w:val="26"/>
        </w:rPr>
        <w:t xml:space="preserve"> and customer education.  As such, it represents a comprehensive resolution of issues in dispute and a reasonable compromise of differing objectives and views.</w:t>
      </w:r>
    </w:p>
    <w:p w14:paraId="660D3855" w14:textId="77777777" w:rsidR="000F7E72" w:rsidRPr="008E7712" w:rsidRDefault="000F7E72" w:rsidP="000F7E72">
      <w:pPr>
        <w:spacing w:line="240" w:lineRule="auto"/>
        <w:ind w:left="720" w:right="57"/>
        <w:rPr>
          <w:rFonts w:eastAsia="Calibri"/>
          <w:szCs w:val="26"/>
        </w:rPr>
      </w:pPr>
    </w:p>
    <w:p w14:paraId="243711F0" w14:textId="77777777" w:rsidR="000F7E72" w:rsidRPr="008E7712" w:rsidRDefault="000F7E72" w:rsidP="000F7E72">
      <w:pPr>
        <w:numPr>
          <w:ilvl w:val="0"/>
          <w:numId w:val="22"/>
        </w:numPr>
        <w:spacing w:line="240" w:lineRule="auto"/>
        <w:ind w:left="2160" w:right="1507" w:hanging="713"/>
        <w:rPr>
          <w:rFonts w:eastAsia="Calibri"/>
          <w:szCs w:val="26"/>
        </w:rPr>
      </w:pPr>
      <w:r w:rsidRPr="008E7712">
        <w:rPr>
          <w:szCs w:val="26"/>
        </w:rPr>
        <w:t xml:space="preserve">Fairly balancing the Joint Petitioner’s positions, the proposed Settlement provides for a total combined increase for water and wastewater of $1,460,000, which is approximately 17% less than the originally proposed increase.  The rate design also fairly balances positions of the parties.  While CUPA </w:t>
      </w:r>
      <w:r w:rsidRPr="008E7712">
        <w:rPr>
          <w:szCs w:val="26"/>
        </w:rPr>
        <w:lastRenderedPageBreak/>
        <w:t xml:space="preserve">wanted to fully consolidate Tamiment rates, other parties disagreed with full consolidation in this proceeding due to magnitude of rate increase necessary to achieve full consolidation.  Instead, the Settlement provides for approximately 50% consolidation for Tamiment rates toward the rates of the other CUPA customers.  Moreover, the Settlement allocates rate increases to volumetric charges, not fixed customer charges, to encourage conservation. </w:t>
      </w:r>
    </w:p>
    <w:p w14:paraId="6FB7DDBB" w14:textId="77777777" w:rsidR="000F7E72" w:rsidRPr="008E7712" w:rsidRDefault="000F7E72" w:rsidP="000F7E72">
      <w:pPr>
        <w:spacing w:line="240" w:lineRule="auto"/>
        <w:ind w:left="2160" w:right="1507" w:hanging="720"/>
        <w:rPr>
          <w:rFonts w:eastAsia="Calibri"/>
          <w:szCs w:val="26"/>
        </w:rPr>
      </w:pPr>
    </w:p>
    <w:p w14:paraId="7BC23BF3" w14:textId="77777777" w:rsidR="000F7E72" w:rsidRPr="008E7712" w:rsidRDefault="000F7E72" w:rsidP="000F7E72">
      <w:pPr>
        <w:numPr>
          <w:ilvl w:val="0"/>
          <w:numId w:val="22"/>
        </w:numPr>
        <w:spacing w:line="240" w:lineRule="auto"/>
        <w:ind w:left="2160" w:right="1507" w:hanging="713"/>
        <w:rPr>
          <w:rFonts w:eastAsia="Calibri"/>
          <w:szCs w:val="26"/>
        </w:rPr>
      </w:pPr>
      <w:r w:rsidRPr="008E7712">
        <w:rPr>
          <w:szCs w:val="26"/>
        </w:rPr>
        <w:t>The combination of the negotiated revenue increase and rate design results in rate increases to customers that are fair.  For those customers most impacted, the Settlement provides for low income rates for water, provision for CUPA to propose a low income pilot program for wastewater customers in its next base rate case, and participation by CUPA in the Low Income Household Water Assistance Program and commitment to help promote registration by eligible customers.  The Settlement also provides for a stay-out, so that customer base rates will not increase again for at least two years.  The rate increases on an average bill basis are as follows:</w:t>
      </w:r>
    </w:p>
    <w:p w14:paraId="6582E491" w14:textId="77777777" w:rsidR="000F7E72" w:rsidRPr="008E7712" w:rsidRDefault="000F7E72" w:rsidP="000F7E72">
      <w:pPr>
        <w:ind w:left="7"/>
        <w:rPr>
          <w:rFonts w:eastAsia="Calibri"/>
          <w:szCs w:val="26"/>
        </w:rPr>
      </w:pPr>
      <w:r w:rsidRPr="008E7712">
        <w:rPr>
          <w:szCs w:val="26"/>
        </w:rPr>
        <w:t xml:space="preserve"> </w:t>
      </w:r>
    </w:p>
    <w:p w14:paraId="6987824A" w14:textId="77777777" w:rsidR="000F7E72" w:rsidRPr="008E7712" w:rsidRDefault="000F7E72" w:rsidP="000F7E72">
      <w:pPr>
        <w:rPr>
          <w:rFonts w:eastAsia="Calibri"/>
          <w:szCs w:val="26"/>
        </w:rPr>
        <w:sectPr w:rsidR="000F7E72" w:rsidRPr="008E7712" w:rsidSect="00C867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1" w:gutter="0"/>
          <w:cols w:space="720"/>
          <w:titlePg/>
        </w:sectPr>
      </w:pPr>
    </w:p>
    <w:p w14:paraId="1ACD1677" w14:textId="7146A194" w:rsidR="000F7E72" w:rsidRPr="008E7712" w:rsidRDefault="00326CAF" w:rsidP="00C613A1">
      <w:pPr>
        <w:ind w:left="691"/>
        <w:jc w:val="center"/>
        <w:rPr>
          <w:rFonts w:eastAsia="Calibri"/>
          <w:szCs w:val="26"/>
        </w:rPr>
      </w:pPr>
      <w:r w:rsidRPr="008E7712">
        <w:rPr>
          <w:noProof/>
          <w:szCs w:val="26"/>
        </w:rPr>
        <w:lastRenderedPageBreak/>
        <w:drawing>
          <wp:inline distT="0" distB="0" distL="0" distR="0" wp14:anchorId="20ABBEB0" wp14:editId="7A0318D2">
            <wp:extent cx="11237971" cy="2867025"/>
            <wp:effectExtent l="0" t="0" r="1905" b="0"/>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medium confidence"/>
                    <pic:cNvPicPr/>
                  </pic:nvPicPr>
                  <pic:blipFill>
                    <a:blip r:embed="rId18"/>
                    <a:stretch>
                      <a:fillRect/>
                    </a:stretch>
                  </pic:blipFill>
                  <pic:spPr>
                    <a:xfrm>
                      <a:off x="0" y="0"/>
                      <a:ext cx="11248367" cy="2869677"/>
                    </a:xfrm>
                    <a:prstGeom prst="rect">
                      <a:avLst/>
                    </a:prstGeom>
                  </pic:spPr>
                </pic:pic>
              </a:graphicData>
            </a:graphic>
          </wp:inline>
        </w:drawing>
      </w:r>
    </w:p>
    <w:p w14:paraId="48E38445" w14:textId="77777777" w:rsidR="000F7E72" w:rsidRPr="008E7712" w:rsidRDefault="000F7E72" w:rsidP="000F7E72">
      <w:pPr>
        <w:rPr>
          <w:rFonts w:eastAsia="Calibri"/>
          <w:szCs w:val="26"/>
        </w:rPr>
        <w:sectPr w:rsidR="000F7E72" w:rsidRPr="008E7712" w:rsidSect="00C867B1">
          <w:headerReference w:type="even" r:id="rId19"/>
          <w:headerReference w:type="default" r:id="rId20"/>
          <w:footerReference w:type="even" r:id="rId21"/>
          <w:headerReference w:type="first" r:id="rId22"/>
          <w:footerReference w:type="first" r:id="rId23"/>
          <w:pgSz w:w="20160" w:h="12240" w:orient="landscape" w:code="5"/>
          <w:pgMar w:top="1440" w:right="1440" w:bottom="1440" w:left="1440" w:header="720" w:footer="720" w:gutter="0"/>
          <w:cols w:space="720"/>
        </w:sectPr>
      </w:pPr>
    </w:p>
    <w:p w14:paraId="5B5633A1" w14:textId="77777777" w:rsidR="000F7E72" w:rsidRPr="008E7712" w:rsidRDefault="000F7E72" w:rsidP="000F7E72">
      <w:pPr>
        <w:numPr>
          <w:ilvl w:val="0"/>
          <w:numId w:val="23"/>
        </w:numPr>
        <w:spacing w:line="240" w:lineRule="auto"/>
        <w:ind w:left="2160" w:right="1440" w:hanging="713"/>
        <w:rPr>
          <w:rFonts w:eastAsia="Calibri"/>
          <w:szCs w:val="26"/>
        </w:rPr>
      </w:pPr>
      <w:r w:rsidRPr="008E7712">
        <w:rPr>
          <w:szCs w:val="26"/>
        </w:rPr>
        <w:lastRenderedPageBreak/>
        <w:t xml:space="preserve">To the extent service issues were not addressed via the evidence recited above, the Settlement also includes terms to improve service, including the reporting and other terms OCA and I&amp;E requested in testimony on boil water advisories, do not consume advisories, compliance with DEP Consent Order and agreement, submission of information on lost and unaccounted for water broken down by service territory and cause, record keeping on isolation valve exercising, advance notice to Tamiment customers regarding planned system maintenance that may discolor water, terms to address low water pressure and improvement of water supply for Penn Estate’s customers, provision of information to wastewater customers regarding grinder pumps, and updated call center performance data. </w:t>
      </w:r>
    </w:p>
    <w:p w14:paraId="15078082" w14:textId="77777777" w:rsidR="000F7E72" w:rsidRPr="008E7712" w:rsidRDefault="000F7E72" w:rsidP="000F7E72">
      <w:pPr>
        <w:spacing w:line="240" w:lineRule="auto"/>
        <w:ind w:left="2160" w:right="1440"/>
        <w:jc w:val="both"/>
        <w:rPr>
          <w:rFonts w:eastAsia="Calibri"/>
          <w:szCs w:val="26"/>
        </w:rPr>
      </w:pPr>
    </w:p>
    <w:p w14:paraId="5BD9A69C" w14:textId="77777777" w:rsidR="000F7E72" w:rsidRPr="008E7712" w:rsidRDefault="000F7E72" w:rsidP="000F7E72">
      <w:pPr>
        <w:numPr>
          <w:ilvl w:val="0"/>
          <w:numId w:val="23"/>
        </w:numPr>
        <w:spacing w:line="240" w:lineRule="auto"/>
        <w:ind w:left="2160" w:right="1440" w:hanging="713"/>
        <w:rPr>
          <w:rFonts w:eastAsia="Calibri"/>
          <w:szCs w:val="26"/>
        </w:rPr>
      </w:pPr>
      <w:r w:rsidRPr="008E7712">
        <w:rPr>
          <w:szCs w:val="26"/>
        </w:rPr>
        <w:t xml:space="preserve">On balance, the Settlement comprehensively resolves all issues raised during the proceeding in a manner that is consistent with the public interest. </w:t>
      </w:r>
    </w:p>
    <w:p w14:paraId="74D3214A" w14:textId="71BA69BB" w:rsidR="00EB3DDE" w:rsidRPr="008E7712" w:rsidRDefault="00EB3DDE" w:rsidP="00EB7CBC">
      <w:pPr>
        <w:rPr>
          <w:b/>
          <w:bCs/>
          <w:szCs w:val="26"/>
        </w:rPr>
      </w:pPr>
    </w:p>
    <w:p w14:paraId="17770F91" w14:textId="54E12860" w:rsidR="00566BB7" w:rsidRPr="008E7712" w:rsidRDefault="005126FD" w:rsidP="00B7435E">
      <w:pPr>
        <w:ind w:firstLine="1440"/>
        <w:rPr>
          <w:szCs w:val="26"/>
        </w:rPr>
      </w:pPr>
      <w:r w:rsidRPr="008E7712">
        <w:rPr>
          <w:szCs w:val="26"/>
        </w:rPr>
        <w:t xml:space="preserve">The </w:t>
      </w:r>
      <w:r w:rsidR="00C67142" w:rsidRPr="008E7712">
        <w:rPr>
          <w:szCs w:val="26"/>
        </w:rPr>
        <w:t>Conclusions of Law</w:t>
      </w:r>
      <w:r w:rsidRPr="008E7712">
        <w:rPr>
          <w:szCs w:val="26"/>
        </w:rPr>
        <w:t xml:space="preserve"> are as follows:</w:t>
      </w:r>
    </w:p>
    <w:p w14:paraId="5CD6CE74" w14:textId="77777777" w:rsidR="0023658B" w:rsidRPr="008E7712" w:rsidRDefault="0023658B" w:rsidP="00B7435E">
      <w:pPr>
        <w:spacing w:line="240" w:lineRule="auto"/>
        <w:ind w:firstLine="1440"/>
        <w:rPr>
          <w:szCs w:val="26"/>
        </w:rPr>
      </w:pPr>
    </w:p>
    <w:p w14:paraId="65F74053" w14:textId="622AF88B" w:rsidR="00C67142" w:rsidRPr="008E7712" w:rsidRDefault="00C67142" w:rsidP="00B7435E">
      <w:pPr>
        <w:pStyle w:val="ListParagraph"/>
        <w:numPr>
          <w:ilvl w:val="0"/>
          <w:numId w:val="31"/>
        </w:numPr>
        <w:spacing w:line="240" w:lineRule="auto"/>
        <w:rPr>
          <w:szCs w:val="26"/>
        </w:rPr>
      </w:pPr>
      <w:r w:rsidRPr="008E7712">
        <w:rPr>
          <w:szCs w:val="26"/>
        </w:rPr>
        <w:t>The Joint Petition for Settlement is in the public interest.</w:t>
      </w:r>
    </w:p>
    <w:p w14:paraId="258DD0E7" w14:textId="77777777" w:rsidR="005E38CA" w:rsidRPr="008E7712" w:rsidRDefault="005E38CA" w:rsidP="00B7435E">
      <w:pPr>
        <w:pStyle w:val="ListParagraph"/>
        <w:spacing w:line="240" w:lineRule="auto"/>
        <w:rPr>
          <w:szCs w:val="26"/>
        </w:rPr>
      </w:pPr>
    </w:p>
    <w:p w14:paraId="554FB2D5" w14:textId="0AD3816E" w:rsidR="00C67142" w:rsidRPr="008E7712" w:rsidRDefault="00C67142" w:rsidP="00B7435E">
      <w:pPr>
        <w:pStyle w:val="ListParagraph"/>
        <w:numPr>
          <w:ilvl w:val="0"/>
          <w:numId w:val="31"/>
        </w:numPr>
        <w:spacing w:line="240" w:lineRule="auto"/>
        <w:rPr>
          <w:szCs w:val="26"/>
        </w:rPr>
      </w:pPr>
      <w:r w:rsidRPr="008E7712">
        <w:rPr>
          <w:szCs w:val="26"/>
        </w:rPr>
        <w:t xml:space="preserve">The rates, terms and conditions contained in the Joint Petition for Settlement are, until changed on a going-forward basis as provided in the Public Utility Code, Commission-made, </w:t>
      </w:r>
      <w:proofErr w:type="gramStart"/>
      <w:r w:rsidRPr="008E7712">
        <w:rPr>
          <w:szCs w:val="26"/>
        </w:rPr>
        <w:t>just</w:t>
      </w:r>
      <w:proofErr w:type="gramEnd"/>
      <w:r w:rsidRPr="008E7712">
        <w:rPr>
          <w:szCs w:val="26"/>
        </w:rPr>
        <w:t xml:space="preserve"> and reasonable, and in the public interest.</w:t>
      </w:r>
    </w:p>
    <w:p w14:paraId="6F1920E4" w14:textId="77777777" w:rsidR="00C80407" w:rsidRPr="008E7712" w:rsidRDefault="00C80407" w:rsidP="00B7435E">
      <w:pPr>
        <w:pStyle w:val="ListParagraph"/>
        <w:spacing w:line="480" w:lineRule="auto"/>
        <w:ind w:left="2160"/>
        <w:rPr>
          <w:szCs w:val="26"/>
        </w:rPr>
      </w:pPr>
    </w:p>
    <w:p w14:paraId="6071DF3F" w14:textId="5BA0BA5E" w:rsidR="00C67142" w:rsidRPr="008E7712" w:rsidRDefault="00C80407" w:rsidP="00E363D4">
      <w:pPr>
        <w:pStyle w:val="Heading1"/>
      </w:pPr>
      <w:bookmarkStart w:id="20" w:name="_Toc91576492"/>
      <w:r w:rsidRPr="008E7712">
        <w:t>VI.</w:t>
      </w:r>
      <w:r w:rsidRPr="008E7712">
        <w:tab/>
      </w:r>
      <w:r w:rsidR="000740FD" w:rsidRPr="008E7712">
        <w:t>Discussion</w:t>
      </w:r>
      <w:bookmarkEnd w:id="20"/>
    </w:p>
    <w:p w14:paraId="401A9C96" w14:textId="11D17EBC" w:rsidR="00392969" w:rsidRPr="008E7712" w:rsidRDefault="00392969" w:rsidP="00C80407">
      <w:pPr>
        <w:jc w:val="center"/>
        <w:rPr>
          <w:b/>
          <w:bCs/>
          <w:szCs w:val="26"/>
        </w:rPr>
      </w:pPr>
    </w:p>
    <w:p w14:paraId="3C025A03" w14:textId="7E3F8100" w:rsidR="009D039A" w:rsidRPr="008E7712" w:rsidRDefault="009D039A" w:rsidP="009D039A">
      <w:pPr>
        <w:keepNext/>
        <w:ind w:firstLine="1440"/>
        <w:contextualSpacing/>
        <w:rPr>
          <w:color w:val="auto"/>
          <w:szCs w:val="26"/>
        </w:rPr>
      </w:pPr>
      <w:r w:rsidRPr="008E7712">
        <w:rPr>
          <w:color w:val="auto"/>
          <w:szCs w:val="26"/>
        </w:rPr>
        <w:t xml:space="preserve">As a preliminary matter, we note that any issue discussed in the briefs or the </w:t>
      </w:r>
      <w:r w:rsidRPr="00BB18BC">
        <w:rPr>
          <w:i/>
          <w:color w:val="auto"/>
        </w:rPr>
        <w:t>November Order</w:t>
      </w:r>
      <w:r w:rsidRPr="008E7712">
        <w:rPr>
          <w:color w:val="auto"/>
          <w:szCs w:val="26"/>
        </w:rPr>
        <w:t xml:space="preserve"> that we do not specifically delineate herein shall be deemed to have been duly considered without further discussion in our approval of the Settlement.  We are not required to consider expressly or at length each contention or argument raised by the parties.  </w:t>
      </w:r>
      <w:r w:rsidRPr="008E7712">
        <w:rPr>
          <w:i/>
          <w:color w:val="auto"/>
          <w:szCs w:val="26"/>
        </w:rPr>
        <w:t>Consolidated Rail Corp. v. Pa. PUC</w:t>
      </w:r>
      <w:r w:rsidRPr="008E7712">
        <w:rPr>
          <w:color w:val="auto"/>
          <w:szCs w:val="26"/>
        </w:rPr>
        <w:t xml:space="preserve">, 625 A.2d 741 (Pa. Cmwlth. 1993); </w:t>
      </w:r>
      <w:r w:rsidRPr="008E7712">
        <w:rPr>
          <w:i/>
          <w:color w:val="auto"/>
          <w:szCs w:val="26"/>
        </w:rPr>
        <w:t xml:space="preserve">also </w:t>
      </w:r>
      <w:r w:rsidRPr="008E7712">
        <w:rPr>
          <w:i/>
          <w:color w:val="auto"/>
          <w:szCs w:val="26"/>
        </w:rPr>
        <w:lastRenderedPageBreak/>
        <w:t>see,</w:t>
      </w:r>
      <w:r w:rsidRPr="008E7712">
        <w:rPr>
          <w:color w:val="auto"/>
          <w:szCs w:val="26"/>
        </w:rPr>
        <w:t xml:space="preserve"> </w:t>
      </w:r>
      <w:r w:rsidRPr="008E7712">
        <w:rPr>
          <w:i/>
          <w:color w:val="auto"/>
          <w:szCs w:val="26"/>
        </w:rPr>
        <w:t>generally</w:t>
      </w:r>
      <w:r w:rsidRPr="008E7712">
        <w:rPr>
          <w:color w:val="auto"/>
          <w:szCs w:val="26"/>
        </w:rPr>
        <w:t xml:space="preserve">, </w:t>
      </w:r>
      <w:r w:rsidRPr="008E7712">
        <w:rPr>
          <w:i/>
          <w:color w:val="auto"/>
          <w:szCs w:val="26"/>
        </w:rPr>
        <w:t>University of Pennsylvania v. Pa. PUC</w:t>
      </w:r>
      <w:r w:rsidRPr="008E7712">
        <w:rPr>
          <w:color w:val="auto"/>
          <w:szCs w:val="26"/>
        </w:rPr>
        <w:t>, 485 A.2d 1217 (Pa.</w:t>
      </w:r>
      <w:r w:rsidR="00E00931">
        <w:rPr>
          <w:color w:val="auto"/>
          <w:szCs w:val="26"/>
        </w:rPr>
        <w:t> </w:t>
      </w:r>
      <w:r w:rsidRPr="008E7712">
        <w:rPr>
          <w:color w:val="auto"/>
          <w:szCs w:val="26"/>
        </w:rPr>
        <w:t>Cmwlth.</w:t>
      </w:r>
      <w:r w:rsidR="00E00931">
        <w:rPr>
          <w:color w:val="auto"/>
          <w:szCs w:val="26"/>
        </w:rPr>
        <w:t> </w:t>
      </w:r>
      <w:r w:rsidRPr="008E7712">
        <w:rPr>
          <w:color w:val="auto"/>
          <w:szCs w:val="26"/>
        </w:rPr>
        <w:t>1984).</w:t>
      </w:r>
    </w:p>
    <w:p w14:paraId="6B07BBCC" w14:textId="77777777" w:rsidR="009D039A" w:rsidRPr="008E7712" w:rsidRDefault="009D039A" w:rsidP="009D039A">
      <w:pPr>
        <w:rPr>
          <w:szCs w:val="26"/>
        </w:rPr>
      </w:pPr>
    </w:p>
    <w:p w14:paraId="17B60A26" w14:textId="196F9EF4" w:rsidR="00494957" w:rsidRPr="008E7712" w:rsidRDefault="00494957" w:rsidP="00936E37">
      <w:pPr>
        <w:pStyle w:val="Heading2"/>
        <w:numPr>
          <w:ilvl w:val="0"/>
          <w:numId w:val="32"/>
        </w:numPr>
        <w:ind w:left="720"/>
      </w:pPr>
      <w:bookmarkStart w:id="21" w:name="_Toc91576493"/>
      <w:r w:rsidRPr="008E7712">
        <w:t>Certifi</w:t>
      </w:r>
      <w:r w:rsidR="00F31030" w:rsidRPr="008E7712">
        <w:t>cation of</w:t>
      </w:r>
      <w:r w:rsidRPr="008E7712">
        <w:t xml:space="preserve"> Material Question</w:t>
      </w:r>
      <w:bookmarkEnd w:id="21"/>
    </w:p>
    <w:p w14:paraId="6CA721B3" w14:textId="77777777" w:rsidR="008E7712" w:rsidRDefault="008E7712" w:rsidP="008E7712">
      <w:pPr>
        <w:pStyle w:val="NoSpacing"/>
        <w:spacing w:line="360" w:lineRule="auto"/>
        <w:rPr>
          <w:sz w:val="26"/>
          <w:szCs w:val="26"/>
        </w:rPr>
      </w:pPr>
    </w:p>
    <w:p w14:paraId="4C8402E9" w14:textId="25C527D7" w:rsidR="008E7712" w:rsidRPr="008E7712" w:rsidRDefault="008E7712" w:rsidP="008E7712">
      <w:pPr>
        <w:pStyle w:val="NoSpacing"/>
        <w:spacing w:line="360" w:lineRule="auto"/>
        <w:rPr>
          <w:sz w:val="26"/>
          <w:szCs w:val="26"/>
        </w:rPr>
      </w:pPr>
      <w:r w:rsidRPr="008E7712">
        <w:rPr>
          <w:sz w:val="26"/>
          <w:szCs w:val="26"/>
        </w:rPr>
        <w:tab/>
      </w:r>
      <w:r w:rsidRPr="008E7712">
        <w:rPr>
          <w:sz w:val="26"/>
          <w:szCs w:val="26"/>
        </w:rPr>
        <w:tab/>
      </w:r>
      <w:bookmarkStart w:id="22" w:name="_Hlk91516271"/>
      <w:r w:rsidRPr="008E7712">
        <w:rPr>
          <w:sz w:val="26"/>
          <w:szCs w:val="26"/>
        </w:rPr>
        <w:t xml:space="preserve">We begin by noting that when certifying a material question, the ALJ must explain the compelling reasons why interlocutory review will prevent prejudice or expedite the conduct of the proceeding.  The Commission’s </w:t>
      </w:r>
      <w:r w:rsidR="00D163D8">
        <w:rPr>
          <w:sz w:val="26"/>
          <w:szCs w:val="26"/>
        </w:rPr>
        <w:t>R</w:t>
      </w:r>
      <w:r w:rsidRPr="008E7712">
        <w:rPr>
          <w:sz w:val="26"/>
          <w:szCs w:val="26"/>
        </w:rPr>
        <w:t xml:space="preserve">egulations with respect to Petitions for Interlocutory Review may be found at </w:t>
      </w:r>
      <w:bookmarkStart w:id="23" w:name="_Hlk87338190"/>
      <w:r w:rsidRPr="008E7712">
        <w:rPr>
          <w:sz w:val="26"/>
          <w:szCs w:val="26"/>
        </w:rPr>
        <w:t>52 Pa. Code § 5.301</w:t>
      </w:r>
      <w:bookmarkEnd w:id="23"/>
      <w:r w:rsidRPr="008E7712">
        <w:rPr>
          <w:sz w:val="26"/>
          <w:szCs w:val="26"/>
        </w:rPr>
        <w:t xml:space="preserve">, </w:t>
      </w:r>
      <w:r w:rsidRPr="008E7712">
        <w:rPr>
          <w:i/>
          <w:iCs/>
          <w:sz w:val="26"/>
          <w:szCs w:val="26"/>
        </w:rPr>
        <w:t>et seq</w:t>
      </w:r>
      <w:r w:rsidRPr="008E7712">
        <w:rPr>
          <w:sz w:val="26"/>
          <w:szCs w:val="26"/>
        </w:rPr>
        <w:t>, which states:</w:t>
      </w:r>
    </w:p>
    <w:p w14:paraId="7F707A95" w14:textId="4590ECAF" w:rsidR="008E7712" w:rsidRPr="008E7712" w:rsidRDefault="008E7712" w:rsidP="009B06D2">
      <w:pPr>
        <w:pStyle w:val="NoSpacing"/>
        <w:rPr>
          <w:sz w:val="26"/>
          <w:szCs w:val="26"/>
        </w:rPr>
      </w:pPr>
    </w:p>
    <w:p w14:paraId="191BB372" w14:textId="596BD4C3" w:rsidR="008E7712" w:rsidRDefault="008E7712" w:rsidP="008E7712">
      <w:pPr>
        <w:pStyle w:val="NoSpacing"/>
        <w:ind w:left="1440" w:right="1440"/>
        <w:rPr>
          <w:b/>
          <w:bCs/>
          <w:sz w:val="26"/>
          <w:szCs w:val="26"/>
        </w:rPr>
      </w:pPr>
      <w:bookmarkStart w:id="24" w:name="_Hlk87006080"/>
      <w:r w:rsidRPr="008E7712">
        <w:rPr>
          <w:b/>
          <w:bCs/>
          <w:sz w:val="26"/>
          <w:szCs w:val="26"/>
        </w:rPr>
        <w:t>§ 5.305</w:t>
      </w:r>
      <w:bookmarkEnd w:id="24"/>
      <w:r w:rsidRPr="008E7712">
        <w:rPr>
          <w:b/>
          <w:bCs/>
          <w:sz w:val="26"/>
          <w:szCs w:val="26"/>
        </w:rPr>
        <w:t>. Interlocutory review of a material question submitted by a presiding officer.</w:t>
      </w:r>
    </w:p>
    <w:p w14:paraId="752BD26E" w14:textId="77777777" w:rsidR="008E7712" w:rsidRPr="008E7712" w:rsidRDefault="008E7712" w:rsidP="008E7712">
      <w:pPr>
        <w:pStyle w:val="NoSpacing"/>
        <w:ind w:left="1440" w:right="1440"/>
        <w:rPr>
          <w:b/>
          <w:bCs/>
          <w:sz w:val="26"/>
          <w:szCs w:val="26"/>
        </w:rPr>
      </w:pPr>
    </w:p>
    <w:p w14:paraId="56BFE611" w14:textId="4FBBF7F8" w:rsidR="008E7712" w:rsidRPr="008E7712" w:rsidRDefault="008E7712" w:rsidP="008E7712">
      <w:pPr>
        <w:pStyle w:val="NoSpacing"/>
        <w:numPr>
          <w:ilvl w:val="0"/>
          <w:numId w:val="33"/>
        </w:numPr>
        <w:ind w:left="2160" w:right="1440" w:hanging="720"/>
        <w:rPr>
          <w:sz w:val="26"/>
          <w:szCs w:val="26"/>
        </w:rPr>
      </w:pPr>
      <w:r w:rsidRPr="008E7712">
        <w:rPr>
          <w:sz w:val="26"/>
          <w:szCs w:val="26"/>
        </w:rPr>
        <w:t>During the course of a proceeding, a presiding officer may certify to the Commission for review and answer a material question which has arisen or is likely to arise</w:t>
      </w:r>
      <w:r w:rsidR="00496261" w:rsidRPr="008E7712">
        <w:rPr>
          <w:sz w:val="26"/>
          <w:szCs w:val="26"/>
        </w:rPr>
        <w:t xml:space="preserve">.  </w:t>
      </w:r>
      <w:r w:rsidRPr="008E7712">
        <w:rPr>
          <w:sz w:val="26"/>
          <w:szCs w:val="26"/>
        </w:rPr>
        <w:t>The question will be accompanied by the following:</w:t>
      </w:r>
    </w:p>
    <w:p w14:paraId="1AEA0939" w14:textId="77777777" w:rsidR="008E7712" w:rsidRPr="008E7712" w:rsidRDefault="008E7712" w:rsidP="008E7712">
      <w:pPr>
        <w:pStyle w:val="NoSpacing"/>
        <w:ind w:left="1440" w:right="1440"/>
        <w:rPr>
          <w:sz w:val="26"/>
          <w:szCs w:val="26"/>
        </w:rPr>
      </w:pPr>
    </w:p>
    <w:p w14:paraId="1F708A87" w14:textId="77777777" w:rsidR="008E7712" w:rsidRPr="008E7712" w:rsidRDefault="008E7712" w:rsidP="008E7712">
      <w:pPr>
        <w:pStyle w:val="NoSpacing"/>
        <w:numPr>
          <w:ilvl w:val="0"/>
          <w:numId w:val="34"/>
        </w:numPr>
        <w:ind w:left="2880" w:right="1440" w:hanging="720"/>
        <w:rPr>
          <w:sz w:val="26"/>
          <w:szCs w:val="26"/>
        </w:rPr>
      </w:pPr>
      <w:r w:rsidRPr="008E7712">
        <w:rPr>
          <w:sz w:val="26"/>
          <w:szCs w:val="26"/>
        </w:rPr>
        <w:t>An explanation of the compelling reasons why interlocutory review will prevent prejudice or expedite the conduct of the proceeding.</w:t>
      </w:r>
    </w:p>
    <w:p w14:paraId="3B7F2713" w14:textId="77777777" w:rsidR="008E7712" w:rsidRPr="008E7712" w:rsidRDefault="008E7712" w:rsidP="008E7712">
      <w:pPr>
        <w:pStyle w:val="NoSpacing"/>
        <w:ind w:left="2880" w:right="1440"/>
        <w:rPr>
          <w:sz w:val="26"/>
          <w:szCs w:val="26"/>
        </w:rPr>
      </w:pPr>
    </w:p>
    <w:p w14:paraId="180AC910" w14:textId="77777777" w:rsidR="008E7712" w:rsidRPr="008E7712" w:rsidRDefault="008E7712" w:rsidP="008E7712">
      <w:pPr>
        <w:pStyle w:val="NoSpacing"/>
        <w:numPr>
          <w:ilvl w:val="0"/>
          <w:numId w:val="34"/>
        </w:numPr>
        <w:ind w:left="2880" w:right="1440" w:hanging="720"/>
        <w:rPr>
          <w:sz w:val="26"/>
          <w:szCs w:val="26"/>
        </w:rPr>
      </w:pPr>
      <w:r w:rsidRPr="008E7712">
        <w:rPr>
          <w:sz w:val="26"/>
          <w:szCs w:val="26"/>
        </w:rPr>
        <w:t>A statement as to whether a stay of the proceedings has been placed in effect.</w:t>
      </w:r>
    </w:p>
    <w:p w14:paraId="70D03763" w14:textId="77777777" w:rsidR="008E7712" w:rsidRPr="008E7712" w:rsidRDefault="008E7712" w:rsidP="008E7712">
      <w:pPr>
        <w:pStyle w:val="NoSpacing"/>
        <w:ind w:left="2880" w:right="1440" w:hanging="720"/>
        <w:rPr>
          <w:sz w:val="26"/>
          <w:szCs w:val="26"/>
        </w:rPr>
      </w:pPr>
    </w:p>
    <w:p w14:paraId="7EE9C33A" w14:textId="77777777" w:rsidR="008E7712" w:rsidRPr="008E7712" w:rsidRDefault="008E7712" w:rsidP="008E7712">
      <w:pPr>
        <w:pStyle w:val="NoSpacing"/>
        <w:numPr>
          <w:ilvl w:val="0"/>
          <w:numId w:val="34"/>
        </w:numPr>
        <w:ind w:left="2880" w:right="1440" w:hanging="720"/>
        <w:rPr>
          <w:sz w:val="26"/>
          <w:szCs w:val="26"/>
        </w:rPr>
      </w:pPr>
      <w:r w:rsidRPr="008E7712">
        <w:rPr>
          <w:sz w:val="26"/>
          <w:szCs w:val="26"/>
        </w:rPr>
        <w:t>An extract from the record that will assist the Commission.</w:t>
      </w:r>
    </w:p>
    <w:p w14:paraId="68F3886C" w14:textId="77777777" w:rsidR="008E7712" w:rsidRPr="008E7712" w:rsidRDefault="008E7712" w:rsidP="008E7712">
      <w:pPr>
        <w:pStyle w:val="NoSpacing"/>
        <w:ind w:left="1440" w:right="1440"/>
        <w:rPr>
          <w:sz w:val="26"/>
          <w:szCs w:val="26"/>
        </w:rPr>
      </w:pPr>
    </w:p>
    <w:p w14:paraId="61C576EB" w14:textId="77777777" w:rsidR="008E7712" w:rsidRPr="008E7712" w:rsidRDefault="008E7712" w:rsidP="008E7712">
      <w:pPr>
        <w:pStyle w:val="NoSpacing"/>
        <w:numPr>
          <w:ilvl w:val="0"/>
          <w:numId w:val="33"/>
        </w:numPr>
        <w:ind w:left="2160" w:right="1440" w:hanging="720"/>
        <w:rPr>
          <w:sz w:val="26"/>
          <w:szCs w:val="26"/>
        </w:rPr>
      </w:pPr>
      <w:r w:rsidRPr="008E7712">
        <w:rPr>
          <w:sz w:val="26"/>
          <w:szCs w:val="26"/>
        </w:rPr>
        <w:t xml:space="preserve">A copy of the question </w:t>
      </w:r>
      <w:proofErr w:type="gramStart"/>
      <w:r w:rsidRPr="008E7712">
        <w:rPr>
          <w:sz w:val="26"/>
          <w:szCs w:val="26"/>
        </w:rPr>
        <w:t>certified</w:t>
      </w:r>
      <w:proofErr w:type="gramEnd"/>
      <w:r w:rsidRPr="008E7712">
        <w:rPr>
          <w:sz w:val="26"/>
          <w:szCs w:val="26"/>
        </w:rPr>
        <w:t xml:space="preserve"> and the accompanying information will be served on the parties at the same time it is submitted to the Commission.</w:t>
      </w:r>
    </w:p>
    <w:p w14:paraId="6F6FED7C" w14:textId="77777777" w:rsidR="008E7712" w:rsidRPr="008E7712" w:rsidRDefault="008E7712" w:rsidP="008E7712">
      <w:pPr>
        <w:pStyle w:val="NoSpacing"/>
        <w:ind w:left="2160" w:right="1440" w:hanging="720"/>
        <w:rPr>
          <w:sz w:val="26"/>
          <w:szCs w:val="26"/>
        </w:rPr>
      </w:pPr>
    </w:p>
    <w:p w14:paraId="33F69F44" w14:textId="3E13EF75" w:rsidR="008E7712" w:rsidRPr="008E7712" w:rsidRDefault="008E7712" w:rsidP="008E7712">
      <w:pPr>
        <w:pStyle w:val="NoSpacing"/>
        <w:numPr>
          <w:ilvl w:val="0"/>
          <w:numId w:val="33"/>
        </w:numPr>
        <w:ind w:left="2160" w:right="1440" w:hanging="720"/>
        <w:rPr>
          <w:sz w:val="26"/>
          <w:szCs w:val="26"/>
        </w:rPr>
      </w:pPr>
      <w:r w:rsidRPr="008E7712">
        <w:rPr>
          <w:sz w:val="26"/>
          <w:szCs w:val="26"/>
        </w:rPr>
        <w:t xml:space="preserve">Within 7 days of service of the certification, each party may submit a brief directed to the Commission addressing the merits of the question for which an answer is requested and whether a stay of proceedings </w:t>
      </w:r>
      <w:r w:rsidRPr="008E7712">
        <w:rPr>
          <w:sz w:val="26"/>
          <w:szCs w:val="26"/>
        </w:rPr>
        <w:lastRenderedPageBreak/>
        <w:t>is required to protect the substantial rights of a party</w:t>
      </w:r>
      <w:r w:rsidR="00496261" w:rsidRPr="008E7712">
        <w:rPr>
          <w:sz w:val="26"/>
          <w:szCs w:val="26"/>
        </w:rPr>
        <w:t xml:space="preserve">.  </w:t>
      </w:r>
      <w:r w:rsidRPr="008E7712">
        <w:rPr>
          <w:sz w:val="26"/>
          <w:szCs w:val="26"/>
        </w:rPr>
        <w:t>The brief may not exceed 15 pages.</w:t>
      </w:r>
    </w:p>
    <w:p w14:paraId="1748B8DD" w14:textId="77777777" w:rsidR="008E7712" w:rsidRPr="008E7712" w:rsidRDefault="008E7712" w:rsidP="008E7712">
      <w:pPr>
        <w:pStyle w:val="NoSpacing"/>
        <w:ind w:left="2160" w:right="1440" w:hanging="720"/>
        <w:rPr>
          <w:sz w:val="26"/>
          <w:szCs w:val="26"/>
        </w:rPr>
      </w:pPr>
    </w:p>
    <w:p w14:paraId="5BE8C2DC" w14:textId="77777777" w:rsidR="008E7712" w:rsidRPr="008E7712" w:rsidRDefault="008E7712" w:rsidP="008E7712">
      <w:pPr>
        <w:pStyle w:val="NoSpacing"/>
        <w:numPr>
          <w:ilvl w:val="0"/>
          <w:numId w:val="33"/>
        </w:numPr>
        <w:ind w:left="2160" w:right="1440" w:hanging="720"/>
        <w:rPr>
          <w:sz w:val="26"/>
          <w:szCs w:val="26"/>
        </w:rPr>
      </w:pPr>
      <w:r w:rsidRPr="008E7712">
        <w:rPr>
          <w:sz w:val="26"/>
          <w:szCs w:val="26"/>
        </w:rPr>
        <w:t>Additional briefs will not be permitted unless directed by the Commission.</w:t>
      </w:r>
    </w:p>
    <w:p w14:paraId="0B886431" w14:textId="77777777" w:rsidR="008E7712" w:rsidRPr="008E7712" w:rsidRDefault="008E7712" w:rsidP="008E7712">
      <w:pPr>
        <w:pStyle w:val="NoSpacing"/>
        <w:ind w:left="2160" w:right="1440" w:hanging="720"/>
        <w:rPr>
          <w:sz w:val="26"/>
          <w:szCs w:val="26"/>
        </w:rPr>
      </w:pPr>
    </w:p>
    <w:p w14:paraId="0A785F5B" w14:textId="77777777" w:rsidR="008E7712" w:rsidRPr="008E7712" w:rsidRDefault="008E7712" w:rsidP="008E7712">
      <w:pPr>
        <w:pStyle w:val="NoSpacing"/>
        <w:numPr>
          <w:ilvl w:val="0"/>
          <w:numId w:val="33"/>
        </w:numPr>
        <w:ind w:left="2160" w:right="1440" w:hanging="720"/>
        <w:rPr>
          <w:sz w:val="26"/>
          <w:szCs w:val="26"/>
        </w:rPr>
      </w:pPr>
      <w:r w:rsidRPr="008E7712">
        <w:rPr>
          <w:sz w:val="26"/>
          <w:szCs w:val="26"/>
        </w:rPr>
        <w:t>Within 30 days of receipt of the certified question, the Commission will, without permitting oral argument, do one of the following:</w:t>
      </w:r>
    </w:p>
    <w:p w14:paraId="46EED856" w14:textId="77777777" w:rsidR="008E7712" w:rsidRPr="008E7712" w:rsidRDefault="008E7712" w:rsidP="008E7712">
      <w:pPr>
        <w:pStyle w:val="NoSpacing"/>
        <w:ind w:left="1440" w:right="1440"/>
        <w:rPr>
          <w:sz w:val="26"/>
          <w:szCs w:val="26"/>
        </w:rPr>
      </w:pPr>
    </w:p>
    <w:p w14:paraId="53EE3082" w14:textId="77777777" w:rsidR="008E7712" w:rsidRPr="008E7712" w:rsidRDefault="008E7712" w:rsidP="008E7712">
      <w:pPr>
        <w:pStyle w:val="NoSpacing"/>
        <w:numPr>
          <w:ilvl w:val="0"/>
          <w:numId w:val="35"/>
        </w:numPr>
        <w:ind w:left="2880" w:right="1440" w:hanging="720"/>
        <w:rPr>
          <w:sz w:val="26"/>
          <w:szCs w:val="26"/>
        </w:rPr>
      </w:pPr>
      <w:r w:rsidRPr="008E7712">
        <w:rPr>
          <w:sz w:val="26"/>
          <w:szCs w:val="26"/>
        </w:rPr>
        <w:t xml:space="preserve">Continue, </w:t>
      </w:r>
      <w:proofErr w:type="gramStart"/>
      <w:r w:rsidRPr="008E7712">
        <w:rPr>
          <w:sz w:val="26"/>
          <w:szCs w:val="26"/>
        </w:rPr>
        <w:t>revoke</w:t>
      </w:r>
      <w:proofErr w:type="gramEnd"/>
      <w:r w:rsidRPr="008E7712">
        <w:rPr>
          <w:sz w:val="26"/>
          <w:szCs w:val="26"/>
        </w:rPr>
        <w:t xml:space="preserve"> or grant a stay of proceedings.</w:t>
      </w:r>
    </w:p>
    <w:p w14:paraId="73C7E030" w14:textId="77777777" w:rsidR="008E7712" w:rsidRPr="008E7712" w:rsidRDefault="008E7712" w:rsidP="008E7712">
      <w:pPr>
        <w:pStyle w:val="NoSpacing"/>
        <w:ind w:left="2880" w:right="1440" w:hanging="720"/>
        <w:rPr>
          <w:sz w:val="26"/>
          <w:szCs w:val="26"/>
        </w:rPr>
      </w:pPr>
    </w:p>
    <w:p w14:paraId="55F08008" w14:textId="77777777" w:rsidR="008E7712" w:rsidRPr="008E7712" w:rsidRDefault="008E7712" w:rsidP="008E7712">
      <w:pPr>
        <w:pStyle w:val="NoSpacing"/>
        <w:numPr>
          <w:ilvl w:val="0"/>
          <w:numId w:val="35"/>
        </w:numPr>
        <w:ind w:left="2880" w:right="1440" w:hanging="720"/>
        <w:rPr>
          <w:sz w:val="26"/>
          <w:szCs w:val="26"/>
        </w:rPr>
      </w:pPr>
      <w:r w:rsidRPr="008E7712">
        <w:rPr>
          <w:sz w:val="26"/>
          <w:szCs w:val="26"/>
        </w:rPr>
        <w:t>Determine that the certification was improper and return the matter to the presiding officer for resolution.</w:t>
      </w:r>
    </w:p>
    <w:p w14:paraId="066C90A5" w14:textId="77777777" w:rsidR="008E7712" w:rsidRPr="008E7712" w:rsidRDefault="008E7712" w:rsidP="008E7712">
      <w:pPr>
        <w:pStyle w:val="NoSpacing"/>
        <w:ind w:left="2880" w:right="1440" w:hanging="720"/>
        <w:rPr>
          <w:sz w:val="26"/>
          <w:szCs w:val="26"/>
        </w:rPr>
      </w:pPr>
    </w:p>
    <w:p w14:paraId="0DF5C656" w14:textId="77777777" w:rsidR="008E7712" w:rsidRPr="008E7712" w:rsidRDefault="008E7712" w:rsidP="008E7712">
      <w:pPr>
        <w:pStyle w:val="NoSpacing"/>
        <w:numPr>
          <w:ilvl w:val="0"/>
          <w:numId w:val="35"/>
        </w:numPr>
        <w:ind w:left="2880" w:right="1440" w:hanging="720"/>
        <w:rPr>
          <w:sz w:val="26"/>
          <w:szCs w:val="26"/>
        </w:rPr>
      </w:pPr>
      <w:r w:rsidRPr="008E7712">
        <w:rPr>
          <w:sz w:val="26"/>
          <w:szCs w:val="26"/>
        </w:rPr>
        <w:t>Answer the certified question.</w:t>
      </w:r>
    </w:p>
    <w:p w14:paraId="28C69428" w14:textId="77777777" w:rsidR="008E7712" w:rsidRPr="008E7712" w:rsidRDefault="008E7712" w:rsidP="008E7712">
      <w:pPr>
        <w:pStyle w:val="NoSpacing"/>
        <w:ind w:left="1440" w:right="1440"/>
        <w:rPr>
          <w:sz w:val="26"/>
          <w:szCs w:val="26"/>
        </w:rPr>
      </w:pPr>
    </w:p>
    <w:p w14:paraId="652E7DDF" w14:textId="77777777" w:rsidR="008E7712" w:rsidRPr="008E7712" w:rsidRDefault="008E7712" w:rsidP="008E7712">
      <w:pPr>
        <w:pStyle w:val="NoSpacing"/>
        <w:keepNext/>
        <w:numPr>
          <w:ilvl w:val="0"/>
          <w:numId w:val="33"/>
        </w:numPr>
        <w:ind w:left="2160" w:right="1440" w:hanging="720"/>
        <w:rPr>
          <w:sz w:val="26"/>
          <w:szCs w:val="26"/>
        </w:rPr>
      </w:pPr>
      <w:r w:rsidRPr="008E7712">
        <w:rPr>
          <w:sz w:val="26"/>
          <w:szCs w:val="26"/>
        </w:rPr>
        <w:t>Failure of the Commission to act upon a certified question within 30 days of its receipt will be deemed to be an affirmance of the decision of the presiding officer.</w:t>
      </w:r>
    </w:p>
    <w:p w14:paraId="439FCED2" w14:textId="77777777" w:rsidR="008E7712" w:rsidRPr="008E7712" w:rsidRDefault="008E7712" w:rsidP="009B06D2">
      <w:pPr>
        <w:pStyle w:val="NoSpacing"/>
        <w:keepNext/>
        <w:spacing w:line="360" w:lineRule="auto"/>
        <w:rPr>
          <w:sz w:val="26"/>
          <w:szCs w:val="26"/>
        </w:rPr>
      </w:pPr>
    </w:p>
    <w:p w14:paraId="64CE1CF6" w14:textId="77777777" w:rsidR="008E7712" w:rsidRPr="008E7712" w:rsidRDefault="008E7712" w:rsidP="008C346F">
      <w:pPr>
        <w:pStyle w:val="NoSpacing"/>
        <w:keepNext/>
        <w:spacing w:line="360" w:lineRule="auto"/>
        <w:rPr>
          <w:sz w:val="26"/>
          <w:szCs w:val="26"/>
        </w:rPr>
      </w:pPr>
      <w:r w:rsidRPr="008E7712">
        <w:rPr>
          <w:sz w:val="26"/>
          <w:szCs w:val="26"/>
        </w:rPr>
        <w:t xml:space="preserve">52 Pa. Code </w:t>
      </w:r>
      <w:bookmarkStart w:id="25" w:name="_Hlk87011753"/>
      <w:r w:rsidRPr="008E7712">
        <w:rPr>
          <w:sz w:val="26"/>
          <w:szCs w:val="26"/>
        </w:rPr>
        <w:t>§ 5.305</w:t>
      </w:r>
      <w:bookmarkEnd w:id="25"/>
      <w:r w:rsidRPr="008E7712">
        <w:rPr>
          <w:sz w:val="26"/>
          <w:szCs w:val="26"/>
        </w:rPr>
        <w:t>.</w:t>
      </w:r>
    </w:p>
    <w:p w14:paraId="5239FEEE" w14:textId="77777777" w:rsidR="008E7712" w:rsidRPr="008E7712" w:rsidRDefault="008E7712" w:rsidP="008C346F">
      <w:pPr>
        <w:pStyle w:val="NoSpacing"/>
        <w:spacing w:line="360" w:lineRule="auto"/>
        <w:rPr>
          <w:sz w:val="26"/>
          <w:szCs w:val="26"/>
        </w:rPr>
      </w:pPr>
    </w:p>
    <w:p w14:paraId="15F5CA14" w14:textId="12877D46" w:rsidR="008E7712" w:rsidRPr="008E7712" w:rsidRDefault="008E7712" w:rsidP="008C346F">
      <w:pPr>
        <w:pStyle w:val="NoSpacing"/>
        <w:spacing w:line="360" w:lineRule="auto"/>
        <w:rPr>
          <w:sz w:val="26"/>
          <w:szCs w:val="26"/>
        </w:rPr>
      </w:pPr>
      <w:r w:rsidRPr="008E7712">
        <w:rPr>
          <w:sz w:val="26"/>
          <w:szCs w:val="26"/>
        </w:rPr>
        <w:tab/>
      </w:r>
      <w:r w:rsidRPr="008E7712">
        <w:rPr>
          <w:sz w:val="26"/>
          <w:szCs w:val="26"/>
        </w:rPr>
        <w:tab/>
        <w:t xml:space="preserve">We recognize that there may indeed be situations where interlocutory review of a recommendation by a presiding officer of a proposed settlement may be appropriate.  Under the circumstances presented here, however, </w:t>
      </w:r>
      <w:r w:rsidR="00167058">
        <w:rPr>
          <w:sz w:val="26"/>
          <w:szCs w:val="26"/>
        </w:rPr>
        <w:t>we see</w:t>
      </w:r>
      <w:r w:rsidRPr="008E7712">
        <w:rPr>
          <w:sz w:val="26"/>
          <w:szCs w:val="26"/>
        </w:rPr>
        <w:t xml:space="preserve"> no compelling reasons why prejudice would be prevented nor </w:t>
      </w:r>
      <w:r w:rsidR="00252355">
        <w:rPr>
          <w:sz w:val="26"/>
          <w:szCs w:val="26"/>
        </w:rPr>
        <w:t>how</w:t>
      </w:r>
      <w:r w:rsidRPr="008E7712">
        <w:rPr>
          <w:sz w:val="26"/>
          <w:szCs w:val="26"/>
        </w:rPr>
        <w:t xml:space="preserve"> answering the question would expedite the proceeding; in fact, the ALJ specified that, “[b]ecause this is a general base rate case with a statutory deadline” the choice to certify a Material Question was “not about expediting the proceeding or preventing prejudice.”  </w:t>
      </w:r>
      <w:r w:rsidRPr="00BB18BC">
        <w:rPr>
          <w:i/>
          <w:sz w:val="26"/>
        </w:rPr>
        <w:t>November Order</w:t>
      </w:r>
      <w:r w:rsidRPr="008E7712">
        <w:rPr>
          <w:sz w:val="26"/>
          <w:szCs w:val="26"/>
        </w:rPr>
        <w:t xml:space="preserve"> at 3.  Therefore, as interlocutory review is not necessary, the material question must be answered in the negative.</w:t>
      </w:r>
    </w:p>
    <w:p w14:paraId="11561E09" w14:textId="77777777" w:rsidR="008E7712" w:rsidRPr="008E7712" w:rsidRDefault="008E7712" w:rsidP="008E7712">
      <w:pPr>
        <w:pStyle w:val="NoSpacing"/>
        <w:spacing w:line="360" w:lineRule="auto"/>
        <w:rPr>
          <w:sz w:val="26"/>
          <w:szCs w:val="26"/>
        </w:rPr>
      </w:pPr>
    </w:p>
    <w:p w14:paraId="4E542379" w14:textId="2C074ABF" w:rsidR="008E7712" w:rsidRPr="008E7712" w:rsidRDefault="008E7712" w:rsidP="00373165">
      <w:pPr>
        <w:pStyle w:val="NoSpacing"/>
        <w:spacing w:line="360" w:lineRule="auto"/>
        <w:rPr>
          <w:sz w:val="26"/>
          <w:szCs w:val="26"/>
        </w:rPr>
      </w:pPr>
      <w:r w:rsidRPr="008E7712">
        <w:rPr>
          <w:sz w:val="26"/>
          <w:szCs w:val="26"/>
        </w:rPr>
        <w:lastRenderedPageBreak/>
        <w:tab/>
      </w:r>
      <w:r w:rsidRPr="008E7712">
        <w:rPr>
          <w:sz w:val="26"/>
          <w:szCs w:val="26"/>
        </w:rPr>
        <w:tab/>
        <w:t xml:space="preserve">In the </w:t>
      </w:r>
      <w:r w:rsidRPr="00BB18BC">
        <w:rPr>
          <w:i/>
          <w:sz w:val="26"/>
        </w:rPr>
        <w:t>November Order</w:t>
      </w:r>
      <w:r w:rsidRPr="008E7712">
        <w:rPr>
          <w:sz w:val="26"/>
          <w:szCs w:val="26"/>
        </w:rPr>
        <w:t xml:space="preserve">, </w:t>
      </w:r>
      <w:r w:rsidR="00252355">
        <w:rPr>
          <w:sz w:val="26"/>
          <w:szCs w:val="26"/>
        </w:rPr>
        <w:t xml:space="preserve">the </w:t>
      </w:r>
      <w:r w:rsidRPr="008E7712">
        <w:rPr>
          <w:sz w:val="26"/>
          <w:szCs w:val="26"/>
        </w:rPr>
        <w:t xml:space="preserve">ALJ explained that both precedent and the Commission’s Procedures Manual </w:t>
      </w:r>
      <w:r w:rsidR="00252355">
        <w:rPr>
          <w:sz w:val="26"/>
          <w:szCs w:val="26"/>
        </w:rPr>
        <w:t>dictated that</w:t>
      </w:r>
      <w:r w:rsidRPr="008E7712">
        <w:rPr>
          <w:sz w:val="26"/>
          <w:szCs w:val="26"/>
        </w:rPr>
        <w:t xml:space="preserve"> his recommendation  </w:t>
      </w:r>
      <w:r w:rsidR="00252355">
        <w:rPr>
          <w:sz w:val="26"/>
          <w:szCs w:val="26"/>
        </w:rPr>
        <w:t xml:space="preserve">should be </w:t>
      </w:r>
      <w:r w:rsidRPr="008E7712">
        <w:rPr>
          <w:sz w:val="26"/>
          <w:szCs w:val="26"/>
        </w:rPr>
        <w:t xml:space="preserve">in the form of an order.  He cited </w:t>
      </w:r>
      <w:r w:rsidRPr="008E7712">
        <w:rPr>
          <w:i/>
          <w:iCs/>
          <w:sz w:val="26"/>
          <w:szCs w:val="26"/>
        </w:rPr>
        <w:t xml:space="preserve">Pa. </w:t>
      </w:r>
      <w:r w:rsidR="00FA0F87">
        <w:rPr>
          <w:i/>
          <w:iCs/>
          <w:sz w:val="26"/>
          <w:szCs w:val="26"/>
        </w:rPr>
        <w:t>PUC</w:t>
      </w:r>
      <w:r w:rsidRPr="008E7712">
        <w:rPr>
          <w:i/>
          <w:iCs/>
          <w:sz w:val="26"/>
          <w:szCs w:val="26"/>
        </w:rPr>
        <w:t>, et</w:t>
      </w:r>
      <w:r w:rsidR="009B06D2">
        <w:rPr>
          <w:i/>
          <w:iCs/>
          <w:sz w:val="26"/>
          <w:szCs w:val="26"/>
        </w:rPr>
        <w:t> </w:t>
      </w:r>
      <w:r w:rsidRPr="008E7712">
        <w:rPr>
          <w:i/>
          <w:iCs/>
          <w:sz w:val="26"/>
          <w:szCs w:val="26"/>
        </w:rPr>
        <w:t xml:space="preserve">al. v. </w:t>
      </w:r>
      <w:r w:rsidR="00252355" w:rsidRPr="008E7712">
        <w:rPr>
          <w:i/>
          <w:iCs/>
          <w:sz w:val="26"/>
          <w:szCs w:val="26"/>
        </w:rPr>
        <w:t>C</w:t>
      </w:r>
      <w:r w:rsidR="001E0FEE">
        <w:rPr>
          <w:i/>
          <w:iCs/>
          <w:sz w:val="26"/>
          <w:szCs w:val="26"/>
        </w:rPr>
        <w:t>.</w:t>
      </w:r>
      <w:r w:rsidRPr="008E7712">
        <w:rPr>
          <w:i/>
          <w:iCs/>
          <w:sz w:val="26"/>
          <w:szCs w:val="26"/>
        </w:rPr>
        <w:t>S</w:t>
      </w:r>
      <w:r w:rsidR="001E0FEE">
        <w:rPr>
          <w:i/>
          <w:iCs/>
          <w:sz w:val="26"/>
          <w:szCs w:val="26"/>
        </w:rPr>
        <w:t>.</w:t>
      </w:r>
      <w:r w:rsidRPr="008E7712">
        <w:rPr>
          <w:i/>
          <w:iCs/>
          <w:sz w:val="26"/>
          <w:szCs w:val="26"/>
        </w:rPr>
        <w:t xml:space="preserve"> Water and Sewer Associates</w:t>
      </w:r>
      <w:r w:rsidRPr="008E7712">
        <w:rPr>
          <w:sz w:val="26"/>
          <w:szCs w:val="26"/>
        </w:rPr>
        <w:t>, Docket No. R-881147, 74 Pa. P.U.C. 716 (1991) (C</w:t>
      </w:r>
      <w:r w:rsidR="001E0FEE">
        <w:rPr>
          <w:sz w:val="26"/>
          <w:szCs w:val="26"/>
        </w:rPr>
        <w:t>.</w:t>
      </w:r>
      <w:r w:rsidRPr="008E7712">
        <w:rPr>
          <w:sz w:val="26"/>
          <w:szCs w:val="26"/>
        </w:rPr>
        <w:t>S</w:t>
      </w:r>
      <w:r w:rsidR="001E0FEE">
        <w:rPr>
          <w:sz w:val="26"/>
          <w:szCs w:val="26"/>
        </w:rPr>
        <w:t>.</w:t>
      </w:r>
      <w:r w:rsidRPr="008E7712">
        <w:rPr>
          <w:sz w:val="26"/>
          <w:szCs w:val="26"/>
        </w:rPr>
        <w:t xml:space="preserve"> Water and Sewer Associates), in which the ALJ issued an Interim Order rejecting a proposed settlement in a general base rate case; the parties there filed a Petition for Interlocutory Review with the Commission seeking review of the judge’s determination, which review the Commission granted</w:t>
      </w:r>
      <w:r w:rsidR="00496261" w:rsidRPr="008E7712">
        <w:rPr>
          <w:sz w:val="26"/>
          <w:szCs w:val="26"/>
        </w:rPr>
        <w:t xml:space="preserve">.  </w:t>
      </w:r>
      <w:r w:rsidRPr="00BB18BC">
        <w:rPr>
          <w:i/>
          <w:sz w:val="26"/>
        </w:rPr>
        <w:t>November Order</w:t>
      </w:r>
      <w:r w:rsidRPr="008E7712">
        <w:rPr>
          <w:sz w:val="26"/>
          <w:szCs w:val="26"/>
        </w:rPr>
        <w:t xml:space="preserve"> at 8.  </w:t>
      </w:r>
    </w:p>
    <w:p w14:paraId="0CE1B9EB" w14:textId="77777777" w:rsidR="008E7712" w:rsidRPr="008E7712" w:rsidRDefault="008E7712" w:rsidP="008E7712">
      <w:pPr>
        <w:pStyle w:val="NoSpacing"/>
        <w:spacing w:line="360" w:lineRule="auto"/>
        <w:rPr>
          <w:sz w:val="26"/>
          <w:szCs w:val="26"/>
        </w:rPr>
      </w:pPr>
    </w:p>
    <w:p w14:paraId="11BADCDA" w14:textId="31AB9591" w:rsidR="008E7712" w:rsidRPr="008E7712" w:rsidRDefault="008E7712" w:rsidP="008E7712">
      <w:pPr>
        <w:pStyle w:val="NoSpacing"/>
        <w:spacing w:line="360" w:lineRule="auto"/>
        <w:rPr>
          <w:sz w:val="26"/>
          <w:szCs w:val="26"/>
        </w:rPr>
      </w:pPr>
      <w:r w:rsidRPr="008E7712">
        <w:rPr>
          <w:sz w:val="26"/>
          <w:szCs w:val="26"/>
        </w:rPr>
        <w:tab/>
      </w:r>
      <w:r w:rsidRPr="008E7712">
        <w:rPr>
          <w:sz w:val="26"/>
          <w:szCs w:val="26"/>
        </w:rPr>
        <w:tab/>
        <w:t xml:space="preserve"> </w:t>
      </w:r>
      <w:r w:rsidR="00432446">
        <w:rPr>
          <w:sz w:val="26"/>
          <w:szCs w:val="26"/>
        </w:rPr>
        <w:t>In the instant case</w:t>
      </w:r>
      <w:r w:rsidR="000C5580">
        <w:rPr>
          <w:sz w:val="26"/>
          <w:szCs w:val="26"/>
        </w:rPr>
        <w:t xml:space="preserve"> </w:t>
      </w:r>
      <w:r w:rsidRPr="008E7712">
        <w:rPr>
          <w:sz w:val="26"/>
          <w:szCs w:val="26"/>
        </w:rPr>
        <w:t xml:space="preserve">the record was fully developed.  </w:t>
      </w:r>
      <w:r w:rsidR="00252355">
        <w:rPr>
          <w:sz w:val="26"/>
          <w:szCs w:val="26"/>
        </w:rPr>
        <w:t>For this reason, the</w:t>
      </w:r>
      <w:r w:rsidRPr="008E7712">
        <w:rPr>
          <w:sz w:val="26"/>
          <w:szCs w:val="26"/>
        </w:rPr>
        <w:t xml:space="preserve"> recommendation </w:t>
      </w:r>
      <w:r w:rsidR="00252355">
        <w:rPr>
          <w:sz w:val="26"/>
          <w:szCs w:val="26"/>
        </w:rPr>
        <w:t>should</w:t>
      </w:r>
      <w:r w:rsidRPr="008E7712">
        <w:rPr>
          <w:sz w:val="26"/>
          <w:szCs w:val="26"/>
        </w:rPr>
        <w:t xml:space="preserve"> have been issued in the form of a recommended decision, as is customary in base rate cases, which have specific statutory deadlines.  </w:t>
      </w:r>
    </w:p>
    <w:p w14:paraId="48B7474D" w14:textId="77777777" w:rsidR="008E7712" w:rsidRPr="008E7712" w:rsidRDefault="008E7712" w:rsidP="008E7712">
      <w:pPr>
        <w:pStyle w:val="NoSpacing"/>
        <w:spacing w:line="360" w:lineRule="auto"/>
        <w:rPr>
          <w:sz w:val="26"/>
          <w:szCs w:val="26"/>
        </w:rPr>
      </w:pPr>
    </w:p>
    <w:p w14:paraId="3A371FFA" w14:textId="77777777" w:rsidR="008E7712" w:rsidRPr="008E7712" w:rsidRDefault="008E7712" w:rsidP="008E7712">
      <w:pPr>
        <w:ind w:firstLine="1440"/>
        <w:rPr>
          <w:szCs w:val="26"/>
        </w:rPr>
      </w:pPr>
      <w:r w:rsidRPr="008E7712">
        <w:rPr>
          <w:szCs w:val="26"/>
        </w:rPr>
        <w:t xml:space="preserve">Recommended decisions allow for full review of the record by the ALJ and vetting by the parties through the clearly delineated process of filing exceptions and replies thereto.  This provides the Commission the most useful information in a condensed, but complete format to render a decision on the merits of a proposed settlement.  It also gives the parties a full and fair opportunity to be heard on complex and detailed base rate case issues, while the use of exceptions and replies to exceptions allow the parties to fully analyze and discuss the ALJ’s reasoning and weighing of the evidence presented in the proceeding.  </w:t>
      </w:r>
    </w:p>
    <w:p w14:paraId="6FD28CD7" w14:textId="77777777" w:rsidR="008E7712" w:rsidRPr="008E7712" w:rsidRDefault="008E7712" w:rsidP="008E7712">
      <w:pPr>
        <w:ind w:firstLine="1440"/>
        <w:rPr>
          <w:szCs w:val="26"/>
        </w:rPr>
      </w:pPr>
    </w:p>
    <w:p w14:paraId="7B71F7D5" w14:textId="77777777" w:rsidR="008E7712" w:rsidRPr="008E7712" w:rsidRDefault="008E7712" w:rsidP="008E7712">
      <w:pPr>
        <w:ind w:firstLine="1440"/>
        <w:rPr>
          <w:szCs w:val="26"/>
        </w:rPr>
      </w:pPr>
      <w:r w:rsidRPr="008E7712">
        <w:rPr>
          <w:szCs w:val="26"/>
        </w:rPr>
        <w:t xml:space="preserve">In contrast to the Recommended Decision process, the issuance of an Order and Certification of a Material Question purposefully employs a truncated briefing process with short timeframes and page limits that do not equate to the comprehensive Exception/Replies procedural scheme.  Interlocutory review lends itself to abbreviated analysis of material questions impacting how a case moves forward.  Brevity is its hallmark.  Even if permissible, it is not the ideal process for full consideration of a comprehensive base rate case settlement and its many issues. </w:t>
      </w:r>
    </w:p>
    <w:p w14:paraId="7CD38364" w14:textId="779ED940" w:rsidR="008E7712" w:rsidRPr="008E7712" w:rsidRDefault="008E7712" w:rsidP="008E7712">
      <w:pPr>
        <w:ind w:firstLine="1440"/>
        <w:rPr>
          <w:szCs w:val="26"/>
        </w:rPr>
      </w:pPr>
      <w:r w:rsidRPr="008E7712">
        <w:rPr>
          <w:szCs w:val="26"/>
        </w:rPr>
        <w:lastRenderedPageBreak/>
        <w:t xml:space="preserve">We encourage the Office of Administrative Law Judge to issue Recommended Decisions in base rate cases, as contemplated by our </w:t>
      </w:r>
      <w:r w:rsidR="00805856">
        <w:rPr>
          <w:szCs w:val="26"/>
        </w:rPr>
        <w:t>R</w:t>
      </w:r>
      <w:r w:rsidRPr="008E7712">
        <w:rPr>
          <w:szCs w:val="26"/>
        </w:rPr>
        <w:t xml:space="preserve">egulations and Section 334(a) of the Code, 66 Pa. C. S. §334(a), even if they recommend rejection of comprehensive settlements agreed-to by all active parties, unless particular circumstances require a different option, such as the use of interlocutory review or a certification order.  </w:t>
      </w:r>
    </w:p>
    <w:p w14:paraId="02D5B639" w14:textId="77777777" w:rsidR="008E7712" w:rsidRPr="008E7712" w:rsidRDefault="008E7712" w:rsidP="008E7712">
      <w:pPr>
        <w:ind w:firstLine="1440"/>
        <w:rPr>
          <w:szCs w:val="26"/>
        </w:rPr>
      </w:pPr>
    </w:p>
    <w:p w14:paraId="5BBC5D01" w14:textId="6ABE8B55" w:rsidR="008E7712" w:rsidRPr="008E7712" w:rsidRDefault="008E7712" w:rsidP="008E7712">
      <w:pPr>
        <w:ind w:firstLine="1440"/>
        <w:rPr>
          <w:szCs w:val="26"/>
        </w:rPr>
      </w:pPr>
      <w:r w:rsidRPr="008E7712">
        <w:rPr>
          <w:szCs w:val="26"/>
        </w:rPr>
        <w:t>In this particular case, interlocutory review by means of a certified question was unnecessary; the better approach would have been through issuance of a Recommended Decision pursuant to Section 334(a) of the Code, 66 Pa. C.S. §</w:t>
      </w:r>
      <w:r w:rsidR="00FA0F87">
        <w:rPr>
          <w:szCs w:val="26"/>
        </w:rPr>
        <w:t xml:space="preserve"> </w:t>
      </w:r>
      <w:r w:rsidRPr="008E7712">
        <w:rPr>
          <w:szCs w:val="26"/>
        </w:rPr>
        <w:t xml:space="preserve">334(a).  However, the </w:t>
      </w:r>
      <w:r w:rsidR="000E729E">
        <w:rPr>
          <w:szCs w:val="26"/>
        </w:rPr>
        <w:t>P</w:t>
      </w:r>
      <w:r w:rsidRPr="008E7712">
        <w:rPr>
          <w:szCs w:val="26"/>
        </w:rPr>
        <w:t xml:space="preserve">arties were given notice and an opportunity to respond.  </w:t>
      </w:r>
      <w:r w:rsidR="00CD47A1">
        <w:rPr>
          <w:szCs w:val="26"/>
        </w:rPr>
        <w:t>The</w:t>
      </w:r>
      <w:r w:rsidRPr="008E7712">
        <w:rPr>
          <w:szCs w:val="26"/>
        </w:rPr>
        <w:t xml:space="preserve"> </w:t>
      </w:r>
      <w:r w:rsidRPr="00BB18BC">
        <w:rPr>
          <w:i/>
        </w:rPr>
        <w:t>November Order</w:t>
      </w:r>
      <w:r w:rsidRPr="008E7712">
        <w:rPr>
          <w:szCs w:val="26"/>
        </w:rPr>
        <w:t xml:space="preserve"> clearly explained </w:t>
      </w:r>
      <w:r w:rsidR="00CD47A1">
        <w:rPr>
          <w:szCs w:val="26"/>
        </w:rPr>
        <w:t>the</w:t>
      </w:r>
      <w:r w:rsidR="00CD47A1" w:rsidRPr="008E7712">
        <w:rPr>
          <w:szCs w:val="26"/>
        </w:rPr>
        <w:t xml:space="preserve"> </w:t>
      </w:r>
      <w:r w:rsidRPr="008E7712">
        <w:rPr>
          <w:szCs w:val="26"/>
        </w:rPr>
        <w:t xml:space="preserve">rationale for rejecting the proposed settlement, supported by record citations.  While the </w:t>
      </w:r>
      <w:r w:rsidRPr="00BB18BC">
        <w:rPr>
          <w:i/>
        </w:rPr>
        <w:t>November Order</w:t>
      </w:r>
      <w:r w:rsidRPr="008E7712">
        <w:rPr>
          <w:szCs w:val="26"/>
        </w:rPr>
        <w:t xml:space="preserve">, as certification of a material question, would have limited both the response period and page limitations to those associated with interlocutory review, those limitations were waived by Secretarial Letter issued on November 12, 2021, in which the Commission granted the brief page extension request to permit a 40-page brief and waived the 30-day time period for action by the Commission on the material question.  </w:t>
      </w:r>
    </w:p>
    <w:p w14:paraId="6448E753" w14:textId="77777777" w:rsidR="008E7712" w:rsidRPr="008E7712" w:rsidRDefault="008E7712" w:rsidP="008E7712">
      <w:pPr>
        <w:ind w:firstLine="1440"/>
        <w:rPr>
          <w:szCs w:val="26"/>
        </w:rPr>
      </w:pPr>
    </w:p>
    <w:p w14:paraId="5BDF4493" w14:textId="2AF427C7" w:rsidR="008E7712" w:rsidRPr="008E7712" w:rsidRDefault="008E7712" w:rsidP="008C346F">
      <w:pPr>
        <w:ind w:firstLine="1440"/>
        <w:rPr>
          <w:szCs w:val="26"/>
        </w:rPr>
      </w:pPr>
      <w:r w:rsidRPr="008E7712">
        <w:rPr>
          <w:szCs w:val="26"/>
        </w:rPr>
        <w:t xml:space="preserve">Having answered the material question in the negative, as being improperly presented, we also note that we disagree with the </w:t>
      </w:r>
      <w:r w:rsidR="00CD47A1">
        <w:rPr>
          <w:i/>
          <w:iCs/>
          <w:szCs w:val="26"/>
        </w:rPr>
        <w:t>November Order’s</w:t>
      </w:r>
      <w:r w:rsidRPr="008E7712">
        <w:rPr>
          <w:szCs w:val="26"/>
        </w:rPr>
        <w:t xml:space="preserve"> conclusion that rejection of the </w:t>
      </w:r>
      <w:r w:rsidR="00114614">
        <w:rPr>
          <w:szCs w:val="26"/>
        </w:rPr>
        <w:t>S</w:t>
      </w:r>
      <w:r w:rsidRPr="008E7712">
        <w:rPr>
          <w:szCs w:val="26"/>
        </w:rPr>
        <w:t xml:space="preserve">ettlement was proper.  Instead, and as detailed in the discussion that follows, we determine that the </w:t>
      </w:r>
      <w:r w:rsidR="00114614">
        <w:rPr>
          <w:szCs w:val="26"/>
        </w:rPr>
        <w:t>S</w:t>
      </w:r>
      <w:r w:rsidRPr="008E7712">
        <w:rPr>
          <w:szCs w:val="26"/>
        </w:rPr>
        <w:t>ettlement</w:t>
      </w:r>
      <w:r w:rsidR="00CD47A1">
        <w:rPr>
          <w:szCs w:val="26"/>
        </w:rPr>
        <w:t>,</w:t>
      </w:r>
      <w:r w:rsidRPr="008E7712">
        <w:rPr>
          <w:szCs w:val="26"/>
        </w:rPr>
        <w:t xml:space="preserve"> as a whole</w:t>
      </w:r>
      <w:r w:rsidR="00CD47A1">
        <w:rPr>
          <w:szCs w:val="26"/>
        </w:rPr>
        <w:t>,</w:t>
      </w:r>
      <w:r w:rsidRPr="008E7712">
        <w:rPr>
          <w:szCs w:val="26"/>
        </w:rPr>
        <w:t xml:space="preserve"> is in the public interest and approve it in its entirety. </w:t>
      </w:r>
    </w:p>
    <w:bookmarkEnd w:id="22"/>
    <w:p w14:paraId="27198F8D" w14:textId="77777777" w:rsidR="00494957" w:rsidRPr="008E7712" w:rsidRDefault="00494957" w:rsidP="008C346F">
      <w:pPr>
        <w:rPr>
          <w:szCs w:val="26"/>
        </w:rPr>
      </w:pPr>
    </w:p>
    <w:p w14:paraId="678EE492" w14:textId="213DAC51" w:rsidR="00621AFA" w:rsidRPr="008E7712" w:rsidRDefault="00494957" w:rsidP="008C346F">
      <w:pPr>
        <w:pStyle w:val="Heading2"/>
        <w:spacing w:line="360" w:lineRule="auto"/>
      </w:pPr>
      <w:bookmarkStart w:id="26" w:name="_Toc91576494"/>
      <w:r w:rsidRPr="008E7712">
        <w:t>B.</w:t>
      </w:r>
      <w:r w:rsidRPr="008E7712">
        <w:tab/>
      </w:r>
      <w:r w:rsidR="00A327B7" w:rsidRPr="008E7712">
        <w:t>Revenue Requirement Increase</w:t>
      </w:r>
      <w:r w:rsidR="008F01CC" w:rsidRPr="008E7712">
        <w:t>s</w:t>
      </w:r>
      <w:r w:rsidR="000F15A3" w:rsidRPr="008E7712">
        <w:t xml:space="preserve"> and Black Box Settlement</w:t>
      </w:r>
      <w:bookmarkEnd w:id="26"/>
      <w:r w:rsidR="009A47D3" w:rsidRPr="008E7712">
        <w:t xml:space="preserve"> </w:t>
      </w:r>
    </w:p>
    <w:p w14:paraId="7B6FACCE" w14:textId="77777777" w:rsidR="0042660A" w:rsidRPr="008E7712" w:rsidRDefault="0042660A" w:rsidP="008C346F">
      <w:pPr>
        <w:rPr>
          <w:szCs w:val="26"/>
        </w:rPr>
      </w:pPr>
    </w:p>
    <w:p w14:paraId="3CF3EC96" w14:textId="498EECB7" w:rsidR="0042660A" w:rsidRPr="008E7712" w:rsidRDefault="009A47D3" w:rsidP="008C346F">
      <w:pPr>
        <w:rPr>
          <w:szCs w:val="26"/>
        </w:rPr>
      </w:pPr>
      <w:r w:rsidRPr="008E7712">
        <w:rPr>
          <w:szCs w:val="26"/>
        </w:rPr>
        <w:tab/>
      </w:r>
      <w:r w:rsidR="0042660A" w:rsidRPr="008E7712">
        <w:rPr>
          <w:szCs w:val="26"/>
        </w:rPr>
        <w:tab/>
        <w:t xml:space="preserve">The Joint Petition reduces the water revenue requirement from the $757,517 originally sought to $630,000, </w:t>
      </w:r>
      <w:r w:rsidR="00A60C27" w:rsidRPr="008E7712">
        <w:rPr>
          <w:szCs w:val="26"/>
        </w:rPr>
        <w:t xml:space="preserve">constituting </w:t>
      </w:r>
      <w:r w:rsidR="0042660A" w:rsidRPr="008E7712">
        <w:rPr>
          <w:szCs w:val="26"/>
        </w:rPr>
        <w:t>a reduction of $127,571 or 16.8%</w:t>
      </w:r>
      <w:r w:rsidR="00717651" w:rsidRPr="008E7712">
        <w:rPr>
          <w:szCs w:val="26"/>
        </w:rPr>
        <w:t xml:space="preserve">.  </w:t>
      </w:r>
      <w:r w:rsidR="0042660A" w:rsidRPr="008E7712">
        <w:rPr>
          <w:i/>
          <w:iCs/>
          <w:szCs w:val="26"/>
        </w:rPr>
        <w:t>See</w:t>
      </w:r>
      <w:r w:rsidR="0042660A" w:rsidRPr="008E7712">
        <w:rPr>
          <w:szCs w:val="26"/>
        </w:rPr>
        <w:t xml:space="preserve"> Supplement No. 9 to Tariff Water-Pa. P.U.C. No.1 filed April 12, 2021, Joint Petition </w:t>
      </w:r>
      <w:r w:rsidR="0042660A" w:rsidRPr="008E7712">
        <w:rPr>
          <w:szCs w:val="26"/>
        </w:rPr>
        <w:lastRenderedPageBreak/>
        <w:t>filed October 12, 2021</w:t>
      </w:r>
      <w:r w:rsidR="00496261" w:rsidRPr="008E7712">
        <w:rPr>
          <w:szCs w:val="26"/>
        </w:rPr>
        <w:t xml:space="preserve">.  </w:t>
      </w:r>
      <w:r w:rsidR="0042660A" w:rsidRPr="008E7712">
        <w:rPr>
          <w:szCs w:val="26"/>
        </w:rPr>
        <w:t xml:space="preserve">Similarly, the Joint Petition reduces the wastewater revenue requirement from the $998,705 originally sought to $830,000, </w:t>
      </w:r>
      <w:r w:rsidR="00A60C27" w:rsidRPr="008E7712">
        <w:rPr>
          <w:szCs w:val="26"/>
        </w:rPr>
        <w:t xml:space="preserve">constituting </w:t>
      </w:r>
      <w:r w:rsidR="0042660A" w:rsidRPr="008E7712">
        <w:rPr>
          <w:szCs w:val="26"/>
        </w:rPr>
        <w:t>a reduction of $168,705 or 16.9%</w:t>
      </w:r>
      <w:r w:rsidR="00717651" w:rsidRPr="008E7712">
        <w:rPr>
          <w:szCs w:val="26"/>
        </w:rPr>
        <w:t xml:space="preserve">.  </w:t>
      </w:r>
      <w:r w:rsidR="0042660A" w:rsidRPr="008E7712">
        <w:rPr>
          <w:i/>
          <w:iCs/>
          <w:szCs w:val="26"/>
        </w:rPr>
        <w:t>See</w:t>
      </w:r>
      <w:r w:rsidR="0042660A" w:rsidRPr="008E7712">
        <w:rPr>
          <w:szCs w:val="26"/>
        </w:rPr>
        <w:t xml:space="preserve"> Supplement No. 7 to Tariff Wastewater-Pa. P.U.C. No.1, Joint Petition filed October</w:t>
      </w:r>
      <w:r w:rsidR="007A31FA" w:rsidRPr="008E7712">
        <w:rPr>
          <w:szCs w:val="26"/>
        </w:rPr>
        <w:t> </w:t>
      </w:r>
      <w:r w:rsidR="0042660A" w:rsidRPr="008E7712">
        <w:rPr>
          <w:szCs w:val="26"/>
        </w:rPr>
        <w:t>12,</w:t>
      </w:r>
      <w:r w:rsidR="007A31FA" w:rsidRPr="008E7712">
        <w:rPr>
          <w:szCs w:val="26"/>
        </w:rPr>
        <w:t> </w:t>
      </w:r>
      <w:r w:rsidR="0042660A" w:rsidRPr="008E7712">
        <w:rPr>
          <w:szCs w:val="26"/>
        </w:rPr>
        <w:t>2021.</w:t>
      </w:r>
    </w:p>
    <w:p w14:paraId="74C7FBCC" w14:textId="77777777" w:rsidR="0042660A" w:rsidRPr="008E7712" w:rsidRDefault="0042660A" w:rsidP="00EB7CBC">
      <w:pPr>
        <w:rPr>
          <w:szCs w:val="26"/>
        </w:rPr>
      </w:pPr>
    </w:p>
    <w:p w14:paraId="3713C1FD" w14:textId="3268F8D8" w:rsidR="0042660A" w:rsidRPr="008E7712" w:rsidRDefault="009A47D3" w:rsidP="00EB7CBC">
      <w:pPr>
        <w:rPr>
          <w:szCs w:val="26"/>
        </w:rPr>
      </w:pPr>
      <w:r w:rsidRPr="008E7712">
        <w:rPr>
          <w:szCs w:val="26"/>
        </w:rPr>
        <w:tab/>
      </w:r>
      <w:r w:rsidR="0042660A" w:rsidRPr="008E7712">
        <w:rPr>
          <w:szCs w:val="26"/>
        </w:rPr>
        <w:tab/>
        <w:t>Both of these revenue requirement reductions are a part of what is referred to as a “black box” settlement</w:t>
      </w:r>
      <w:r w:rsidR="00717651" w:rsidRPr="008E7712">
        <w:rPr>
          <w:szCs w:val="26"/>
        </w:rPr>
        <w:t xml:space="preserve">.  </w:t>
      </w:r>
      <w:r w:rsidR="0042660A" w:rsidRPr="008E7712">
        <w:rPr>
          <w:szCs w:val="26"/>
        </w:rPr>
        <w:t>This means that the settling parties were not able to agree on each and every element of the revenue requirement calculation</w:t>
      </w:r>
      <w:r w:rsidR="00717651" w:rsidRPr="008E7712">
        <w:rPr>
          <w:szCs w:val="26"/>
        </w:rPr>
        <w:t xml:space="preserve">.  </w:t>
      </w:r>
      <w:r w:rsidR="0042660A" w:rsidRPr="008E7712">
        <w:rPr>
          <w:szCs w:val="26"/>
        </w:rPr>
        <w:t>The Commission has recognized that “black box” settlements can serve an important purpose in reaching consensus in rate cases:</w:t>
      </w:r>
    </w:p>
    <w:p w14:paraId="34ED6B56" w14:textId="77777777" w:rsidR="009A47D3" w:rsidRPr="008E7712" w:rsidRDefault="009A47D3" w:rsidP="00EB7CBC">
      <w:pPr>
        <w:spacing w:line="240" w:lineRule="auto"/>
        <w:rPr>
          <w:szCs w:val="26"/>
        </w:rPr>
      </w:pPr>
    </w:p>
    <w:p w14:paraId="0C05CA93" w14:textId="378540F8" w:rsidR="0042660A" w:rsidRPr="008E7712" w:rsidRDefault="0042660A" w:rsidP="00EB7CBC">
      <w:pPr>
        <w:spacing w:line="240" w:lineRule="auto"/>
        <w:ind w:left="1440" w:right="1440"/>
        <w:rPr>
          <w:szCs w:val="26"/>
        </w:rPr>
      </w:pPr>
      <w:r w:rsidRPr="008E7712">
        <w:rPr>
          <w:szCs w:val="26"/>
        </w:rPr>
        <w:t>We have historically permitted the use of “black box” settlements as a means of promoting settlement among the parties in contentious base rate proceedings</w:t>
      </w:r>
      <w:r w:rsidR="00717651" w:rsidRPr="008E7712">
        <w:rPr>
          <w:szCs w:val="26"/>
        </w:rPr>
        <w:t xml:space="preserve">.  </w:t>
      </w:r>
      <w:r w:rsidRPr="008E7712">
        <w:rPr>
          <w:i/>
          <w:szCs w:val="26"/>
        </w:rPr>
        <w:t>See</w:t>
      </w:r>
      <w:r w:rsidRPr="008E7712">
        <w:rPr>
          <w:szCs w:val="26"/>
        </w:rPr>
        <w:t xml:space="preserve">, </w:t>
      </w:r>
      <w:r w:rsidRPr="008E7712">
        <w:rPr>
          <w:i/>
          <w:szCs w:val="26"/>
        </w:rPr>
        <w:t>Pa. PUC v. Wellsboro Electric Co</w:t>
      </w:r>
      <w:r w:rsidRPr="008E7712">
        <w:rPr>
          <w:szCs w:val="26"/>
        </w:rPr>
        <w:t xml:space="preserve">., Docket No. R-2010-2172662 (Final Order entered January 13, 2011); </w:t>
      </w:r>
      <w:r w:rsidRPr="008E7712">
        <w:rPr>
          <w:i/>
          <w:szCs w:val="26"/>
        </w:rPr>
        <w:t>Pa. PUC v. Citizens’ Electric Co. of Lewisburg, PA</w:t>
      </w:r>
      <w:r w:rsidRPr="008E7712">
        <w:rPr>
          <w:szCs w:val="26"/>
        </w:rPr>
        <w:t>, Docket No. R-2010-2172665 (Final Order entered January 13, 2011)</w:t>
      </w:r>
      <w:r w:rsidR="00717651" w:rsidRPr="008E7712">
        <w:rPr>
          <w:szCs w:val="26"/>
        </w:rPr>
        <w:t xml:space="preserve">.  </w:t>
      </w:r>
      <w:r w:rsidRPr="008E7712">
        <w:rPr>
          <w:szCs w:val="26"/>
        </w:rPr>
        <w:t>Settlement of rate cases saves a significant amount of time and expense for customers, companies, and the Commission and often results in alternatives that may not have been realized during the litigation process</w:t>
      </w:r>
      <w:r w:rsidR="00717651" w:rsidRPr="008E7712">
        <w:rPr>
          <w:szCs w:val="26"/>
        </w:rPr>
        <w:t xml:space="preserve">.  </w:t>
      </w:r>
      <w:r w:rsidRPr="008E7712">
        <w:rPr>
          <w:szCs w:val="26"/>
        </w:rPr>
        <w:t xml:space="preserve">Determining a company’s revenue requirement is a calculation involving many complex and interrelated adjustments that affect expenses, depreciation, rate base, </w:t>
      </w:r>
      <w:proofErr w:type="gramStart"/>
      <w:r w:rsidRPr="008E7712">
        <w:rPr>
          <w:szCs w:val="26"/>
        </w:rPr>
        <w:t>taxes</w:t>
      </w:r>
      <w:proofErr w:type="gramEnd"/>
      <w:r w:rsidRPr="008E7712">
        <w:rPr>
          <w:szCs w:val="26"/>
        </w:rPr>
        <w:t xml:space="preserve"> and the company’s cost of capital</w:t>
      </w:r>
      <w:r w:rsidR="00717651" w:rsidRPr="008E7712">
        <w:rPr>
          <w:szCs w:val="26"/>
        </w:rPr>
        <w:t xml:space="preserve">.  </w:t>
      </w:r>
      <w:r w:rsidRPr="008E7712">
        <w:rPr>
          <w:szCs w:val="26"/>
        </w:rPr>
        <w:t>Reaching an agreement between various parties on each component of a rate increase can be difficult and impractical in many cases.</w:t>
      </w:r>
    </w:p>
    <w:p w14:paraId="55391DB4" w14:textId="0B2555A5" w:rsidR="0042660A" w:rsidRPr="008E7712" w:rsidRDefault="0042660A" w:rsidP="00EB7CBC">
      <w:pPr>
        <w:spacing w:line="240" w:lineRule="auto"/>
        <w:ind w:left="1440" w:right="1440"/>
        <w:rPr>
          <w:szCs w:val="26"/>
        </w:rPr>
      </w:pPr>
      <w:r w:rsidRPr="008E7712">
        <w:rPr>
          <w:i/>
          <w:iCs/>
          <w:szCs w:val="26"/>
        </w:rPr>
        <w:t>Pa. PUC v. Peoples TWP LLC</w:t>
      </w:r>
      <w:r w:rsidRPr="008E7712">
        <w:rPr>
          <w:szCs w:val="26"/>
        </w:rPr>
        <w:t>, Docket No. R-2013-2355886 (Opinion and Order entered December 19, 2013).</w:t>
      </w:r>
    </w:p>
    <w:p w14:paraId="0B3553FE" w14:textId="77777777" w:rsidR="0042660A" w:rsidRPr="008E7712" w:rsidRDefault="0042660A" w:rsidP="00EB7CBC">
      <w:pPr>
        <w:spacing w:line="480" w:lineRule="auto"/>
        <w:rPr>
          <w:szCs w:val="26"/>
        </w:rPr>
      </w:pPr>
    </w:p>
    <w:p w14:paraId="17E3E356" w14:textId="0B1C01E0" w:rsidR="0042660A" w:rsidRPr="008E7712" w:rsidRDefault="0042660A" w:rsidP="00EB7CBC">
      <w:pPr>
        <w:suppressAutoHyphens/>
        <w:rPr>
          <w:szCs w:val="26"/>
        </w:rPr>
      </w:pPr>
      <w:r w:rsidRPr="008E7712">
        <w:rPr>
          <w:szCs w:val="26"/>
        </w:rPr>
        <w:tab/>
      </w:r>
      <w:r w:rsidR="009A47D3" w:rsidRPr="008E7712">
        <w:rPr>
          <w:szCs w:val="26"/>
        </w:rPr>
        <w:tab/>
      </w:r>
      <w:r w:rsidRPr="008E7712">
        <w:rPr>
          <w:szCs w:val="26"/>
        </w:rPr>
        <w:t>Acceptance of “black box” settlements comports with the Commission’s policy encouraging both full and partial settlements</w:t>
      </w:r>
      <w:r w:rsidR="00717651" w:rsidRPr="008E7712">
        <w:rPr>
          <w:szCs w:val="26"/>
        </w:rPr>
        <w:t xml:space="preserve">.  </w:t>
      </w:r>
      <w:r w:rsidRPr="008E7712">
        <w:rPr>
          <w:i/>
          <w:iCs/>
          <w:szCs w:val="26"/>
        </w:rPr>
        <w:t>See</w:t>
      </w:r>
      <w:r w:rsidRPr="008E7712">
        <w:rPr>
          <w:szCs w:val="26"/>
        </w:rPr>
        <w:t xml:space="preserve"> 52 Pa. Code §§ 5.231(a), 69.401. </w:t>
      </w:r>
      <w:r w:rsidR="00BB572A" w:rsidRPr="008E7712">
        <w:rPr>
          <w:szCs w:val="26"/>
        </w:rPr>
        <w:t xml:space="preserve"> </w:t>
      </w:r>
      <w:r w:rsidRPr="008E7712">
        <w:rPr>
          <w:szCs w:val="26"/>
        </w:rPr>
        <w:t>Rate increase proceedings are expensive to litigate, and the reasonable cost of such litigation is an operating expense recovered in the rates approved by the Commission</w:t>
      </w:r>
      <w:r w:rsidR="00717651" w:rsidRPr="008E7712">
        <w:rPr>
          <w:szCs w:val="26"/>
        </w:rPr>
        <w:t xml:space="preserve">.  </w:t>
      </w:r>
      <w:r w:rsidRPr="008E7712">
        <w:rPr>
          <w:szCs w:val="26"/>
        </w:rPr>
        <w:t xml:space="preserve">Partial or full settlements allow the parties to avoid the substantial costs of </w:t>
      </w:r>
      <w:r w:rsidRPr="008E7712">
        <w:rPr>
          <w:szCs w:val="26"/>
        </w:rPr>
        <w:lastRenderedPageBreak/>
        <w:t xml:space="preserve">preparing and serving testimony and the cross-examination of witnesses in lengthy hearings, the preparation and service of briefs, </w:t>
      </w:r>
      <w:proofErr w:type="gramStart"/>
      <w:r w:rsidRPr="008E7712">
        <w:rPr>
          <w:szCs w:val="26"/>
        </w:rPr>
        <w:t>reply</w:t>
      </w:r>
      <w:proofErr w:type="gramEnd"/>
      <w:r w:rsidRPr="008E7712">
        <w:rPr>
          <w:szCs w:val="26"/>
        </w:rPr>
        <w:t xml:space="preserve"> briefs, exceptions and replies to exceptions, together with the briefs and reply briefs necessitated by any appeal of the Commission’s decision, yielding significant expense savings for the utility’s customers</w:t>
      </w:r>
      <w:r w:rsidR="00717651" w:rsidRPr="008E7712">
        <w:rPr>
          <w:szCs w:val="26"/>
        </w:rPr>
        <w:t xml:space="preserve">.  </w:t>
      </w:r>
      <w:r w:rsidRPr="008E7712">
        <w:rPr>
          <w:i/>
          <w:iCs/>
          <w:szCs w:val="26"/>
        </w:rPr>
        <w:t>Cf., United Water Pennsylvania, Inc.</w:t>
      </w:r>
      <w:r w:rsidRPr="008E7712">
        <w:rPr>
          <w:szCs w:val="26"/>
        </w:rPr>
        <w:t xml:space="preserve">, Docket No. R-2015-2462723 (Order entered August 20, </w:t>
      </w:r>
      <w:proofErr w:type="gramStart"/>
      <w:r w:rsidRPr="008E7712">
        <w:rPr>
          <w:szCs w:val="26"/>
        </w:rPr>
        <w:t>2015</w:t>
      </w:r>
      <w:proofErr w:type="gramEnd"/>
      <w:r w:rsidRPr="008E7712">
        <w:rPr>
          <w:szCs w:val="26"/>
        </w:rPr>
        <w:t xml:space="preserve"> adopting Recommended Decision dated July 13, 2015) and cases cited therein.</w:t>
      </w:r>
    </w:p>
    <w:p w14:paraId="1C95063A" w14:textId="77777777" w:rsidR="0042660A" w:rsidRPr="008E7712" w:rsidRDefault="0042660A" w:rsidP="00EB7CBC">
      <w:pPr>
        <w:rPr>
          <w:szCs w:val="26"/>
        </w:rPr>
      </w:pPr>
    </w:p>
    <w:p w14:paraId="1C1CAA73" w14:textId="6EEEB452" w:rsidR="0042660A" w:rsidRPr="008E7712" w:rsidRDefault="0042660A" w:rsidP="00EB7CBC">
      <w:pPr>
        <w:rPr>
          <w:szCs w:val="26"/>
        </w:rPr>
      </w:pPr>
      <w:r w:rsidRPr="008E7712">
        <w:rPr>
          <w:szCs w:val="26"/>
        </w:rPr>
        <w:tab/>
      </w:r>
      <w:r w:rsidR="009A47D3" w:rsidRPr="008E7712">
        <w:rPr>
          <w:szCs w:val="26"/>
        </w:rPr>
        <w:tab/>
      </w:r>
      <w:r w:rsidRPr="008E7712">
        <w:rPr>
          <w:szCs w:val="26"/>
        </w:rPr>
        <w:t xml:space="preserve">In this case each of the public advocates (I&amp;E, </w:t>
      </w:r>
      <w:r w:rsidR="005E3C9C" w:rsidRPr="008E7712">
        <w:rPr>
          <w:szCs w:val="26"/>
        </w:rPr>
        <w:t xml:space="preserve">the </w:t>
      </w:r>
      <w:r w:rsidRPr="008E7712">
        <w:rPr>
          <w:szCs w:val="26"/>
        </w:rPr>
        <w:t xml:space="preserve">OCA and </w:t>
      </w:r>
      <w:r w:rsidR="005E3C9C" w:rsidRPr="008E7712">
        <w:rPr>
          <w:szCs w:val="26"/>
        </w:rPr>
        <w:t xml:space="preserve">the </w:t>
      </w:r>
      <w:r w:rsidRPr="008E7712">
        <w:rPr>
          <w:szCs w:val="26"/>
        </w:rPr>
        <w:t>OSBA) specifically address the advantages of a “black box” settlement with respect to required revenue in their respective statements in support</w:t>
      </w:r>
      <w:r w:rsidR="005E3C9C" w:rsidRPr="008E7712">
        <w:rPr>
          <w:szCs w:val="26"/>
        </w:rPr>
        <w:t xml:space="preserve"> of the Joint Petition</w:t>
      </w:r>
      <w:r w:rsidRPr="008E7712">
        <w:rPr>
          <w:szCs w:val="26"/>
        </w:rPr>
        <w:t>.</w:t>
      </w:r>
    </w:p>
    <w:p w14:paraId="12C3CD48" w14:textId="77777777" w:rsidR="0042660A" w:rsidRPr="008E7712" w:rsidRDefault="0042660A" w:rsidP="00EB7CBC">
      <w:pPr>
        <w:spacing w:line="240" w:lineRule="auto"/>
        <w:rPr>
          <w:szCs w:val="26"/>
        </w:rPr>
      </w:pPr>
    </w:p>
    <w:p w14:paraId="7CA6EBEA" w14:textId="4C80963D" w:rsidR="0042660A" w:rsidRPr="008E7712" w:rsidRDefault="0042660A" w:rsidP="00EB7CBC">
      <w:pPr>
        <w:spacing w:line="240" w:lineRule="auto"/>
        <w:ind w:left="1440" w:right="1440"/>
        <w:rPr>
          <w:szCs w:val="26"/>
        </w:rPr>
      </w:pPr>
      <w:r w:rsidRPr="008E7712">
        <w:rPr>
          <w:szCs w:val="26"/>
        </w:rPr>
        <w:t>The Settlement rates represent a compromise of I&amp;E’s overall revenue position</w:t>
      </w:r>
      <w:r w:rsidR="00717651" w:rsidRPr="008E7712">
        <w:rPr>
          <w:szCs w:val="26"/>
        </w:rPr>
        <w:t>.</w:t>
      </w:r>
      <w:r w:rsidR="00717651" w:rsidRPr="008E7712">
        <w:rPr>
          <w:spacing w:val="1"/>
          <w:szCs w:val="26"/>
        </w:rPr>
        <w:t xml:space="preserve">  </w:t>
      </w:r>
      <w:r w:rsidRPr="008E7712">
        <w:rPr>
          <w:szCs w:val="26"/>
        </w:rPr>
        <w:t xml:space="preserve">It </w:t>
      </w:r>
      <w:r w:rsidRPr="008E7712">
        <w:rPr>
          <w:spacing w:val="-62"/>
          <w:szCs w:val="26"/>
        </w:rPr>
        <w:t xml:space="preserve"> </w:t>
      </w:r>
      <w:r w:rsidRPr="008E7712">
        <w:rPr>
          <w:szCs w:val="26"/>
        </w:rPr>
        <w:t>is important to note that due to the “black box” nature of the Settlement, there is no</w:t>
      </w:r>
      <w:r w:rsidRPr="008E7712">
        <w:rPr>
          <w:spacing w:val="1"/>
          <w:szCs w:val="26"/>
        </w:rPr>
        <w:t xml:space="preserve"> </w:t>
      </w:r>
      <w:r w:rsidRPr="008E7712">
        <w:rPr>
          <w:szCs w:val="26"/>
        </w:rPr>
        <w:t>agreement upon individual issues</w:t>
      </w:r>
      <w:r w:rsidR="00717651" w:rsidRPr="008E7712">
        <w:rPr>
          <w:szCs w:val="26"/>
        </w:rPr>
        <w:t>.</w:t>
      </w:r>
      <w:r w:rsidR="00717651" w:rsidRPr="008E7712">
        <w:rPr>
          <w:spacing w:val="1"/>
          <w:szCs w:val="26"/>
        </w:rPr>
        <w:t xml:space="preserve">  </w:t>
      </w:r>
      <w:r w:rsidRPr="008E7712">
        <w:rPr>
          <w:szCs w:val="26"/>
        </w:rPr>
        <w:t xml:space="preserve">Instead, the Joint Petitioners have agreed to an </w:t>
      </w:r>
      <w:r w:rsidR="00764FB9" w:rsidRPr="008E7712">
        <w:rPr>
          <w:szCs w:val="26"/>
        </w:rPr>
        <w:t xml:space="preserve">overall increase </w:t>
      </w:r>
      <w:r w:rsidRPr="008E7712">
        <w:rPr>
          <w:szCs w:val="26"/>
        </w:rPr>
        <w:t>to base rates that is less than what was requested by the Company</w:t>
      </w:r>
      <w:r w:rsidR="00717651" w:rsidRPr="008E7712">
        <w:rPr>
          <w:szCs w:val="26"/>
        </w:rPr>
        <w:t>.</w:t>
      </w:r>
      <w:r w:rsidR="00717651" w:rsidRPr="008E7712">
        <w:rPr>
          <w:spacing w:val="1"/>
          <w:szCs w:val="26"/>
        </w:rPr>
        <w:t xml:space="preserve">  </w:t>
      </w:r>
      <w:r w:rsidRPr="008E7712">
        <w:rPr>
          <w:szCs w:val="26"/>
        </w:rPr>
        <w:t>Line-by-line</w:t>
      </w:r>
      <w:r w:rsidRPr="008E7712">
        <w:rPr>
          <w:spacing w:val="1"/>
          <w:szCs w:val="26"/>
        </w:rPr>
        <w:t xml:space="preserve"> </w:t>
      </w:r>
      <w:r w:rsidRPr="008E7712">
        <w:rPr>
          <w:szCs w:val="26"/>
        </w:rPr>
        <w:t>identification and ultimate resolution of every issue raised in the proceeding is not</w:t>
      </w:r>
      <w:r w:rsidRPr="008E7712">
        <w:rPr>
          <w:spacing w:val="1"/>
          <w:szCs w:val="26"/>
        </w:rPr>
        <w:t xml:space="preserve"> </w:t>
      </w:r>
      <w:r w:rsidRPr="008E7712">
        <w:rPr>
          <w:szCs w:val="26"/>
        </w:rPr>
        <w:t>necessary to find that the Settlement satisfies the public interest, nor could such a result</w:t>
      </w:r>
      <w:r w:rsidRPr="008E7712">
        <w:rPr>
          <w:spacing w:val="1"/>
          <w:szCs w:val="26"/>
        </w:rPr>
        <w:t xml:space="preserve"> </w:t>
      </w:r>
      <w:r w:rsidRPr="008E7712">
        <w:rPr>
          <w:szCs w:val="26"/>
        </w:rPr>
        <w:t>be achieved as part of a settlement</w:t>
      </w:r>
      <w:r w:rsidR="00717651" w:rsidRPr="008E7712">
        <w:rPr>
          <w:szCs w:val="26"/>
        </w:rPr>
        <w:t>.</w:t>
      </w:r>
      <w:r w:rsidR="00717651" w:rsidRPr="00BB18BC">
        <w:t xml:space="preserve">  </w:t>
      </w:r>
      <w:r w:rsidRPr="008E7712">
        <w:rPr>
          <w:szCs w:val="26"/>
        </w:rPr>
        <w:t>Black box settlements benefit ratepayers because</w:t>
      </w:r>
      <w:r w:rsidRPr="008E7712">
        <w:rPr>
          <w:spacing w:val="1"/>
          <w:szCs w:val="26"/>
        </w:rPr>
        <w:t xml:space="preserve"> </w:t>
      </w:r>
      <w:r w:rsidRPr="008E7712">
        <w:rPr>
          <w:szCs w:val="26"/>
        </w:rPr>
        <w:t>they allow for the resolution of a contested proceeding at a level of increase that is below</w:t>
      </w:r>
      <w:r w:rsidR="003919C4" w:rsidRPr="008E7712">
        <w:rPr>
          <w:szCs w:val="26"/>
        </w:rPr>
        <w:t xml:space="preserve">  </w:t>
      </w:r>
      <w:r w:rsidRPr="008E7712">
        <w:rPr>
          <w:szCs w:val="26"/>
        </w:rPr>
        <w:t>the amount requested by the regulated entity and in a manner that avoids the significant</w:t>
      </w:r>
      <w:r w:rsidRPr="008E7712">
        <w:rPr>
          <w:spacing w:val="1"/>
          <w:szCs w:val="26"/>
        </w:rPr>
        <w:t xml:space="preserve"> </w:t>
      </w:r>
      <w:r w:rsidRPr="008E7712">
        <w:rPr>
          <w:szCs w:val="26"/>
        </w:rPr>
        <w:t>expenditure of time and resources related to further litigation.</w:t>
      </w:r>
    </w:p>
    <w:p w14:paraId="16DCCCD5" w14:textId="77777777" w:rsidR="00BB572A" w:rsidRPr="008E7712" w:rsidRDefault="00BB572A" w:rsidP="00C613A1">
      <w:pPr>
        <w:ind w:left="1440" w:right="1440"/>
        <w:rPr>
          <w:szCs w:val="26"/>
        </w:rPr>
      </w:pPr>
    </w:p>
    <w:p w14:paraId="2AB56905" w14:textId="5AD81149" w:rsidR="0042660A" w:rsidRPr="008E7712" w:rsidRDefault="0042660A" w:rsidP="00802F13">
      <w:pPr>
        <w:pStyle w:val="BodyText"/>
        <w:keepNext/>
        <w:rPr>
          <w:sz w:val="26"/>
          <w:szCs w:val="26"/>
        </w:rPr>
      </w:pPr>
      <w:r w:rsidRPr="008E7712">
        <w:rPr>
          <w:sz w:val="26"/>
          <w:szCs w:val="26"/>
        </w:rPr>
        <w:t xml:space="preserve">Appendix J to Joint Petition, I&amp;E Statement </w:t>
      </w:r>
      <w:r w:rsidR="005E4B8E" w:rsidRPr="008E7712">
        <w:rPr>
          <w:sz w:val="26"/>
          <w:szCs w:val="26"/>
        </w:rPr>
        <w:t>in</w:t>
      </w:r>
      <w:r w:rsidRPr="008E7712">
        <w:rPr>
          <w:sz w:val="26"/>
          <w:szCs w:val="26"/>
        </w:rPr>
        <w:t xml:space="preserve"> Support at 7.</w:t>
      </w:r>
    </w:p>
    <w:p w14:paraId="0C8AA5C8" w14:textId="77777777" w:rsidR="0042660A" w:rsidRPr="008E7712" w:rsidRDefault="0042660A" w:rsidP="009E52FB">
      <w:pPr>
        <w:keepNext/>
        <w:rPr>
          <w:szCs w:val="26"/>
        </w:rPr>
      </w:pPr>
    </w:p>
    <w:p w14:paraId="3E06AFA4" w14:textId="7C106DE9" w:rsidR="0042660A" w:rsidRPr="008E7712" w:rsidRDefault="0042660A" w:rsidP="008E7712">
      <w:pPr>
        <w:pStyle w:val="BodyText"/>
        <w:keepNext/>
        <w:ind w:left="1440" w:right="1440"/>
        <w:rPr>
          <w:sz w:val="26"/>
          <w:szCs w:val="26"/>
        </w:rPr>
      </w:pPr>
      <w:r w:rsidRPr="008E7712">
        <w:rPr>
          <w:sz w:val="26"/>
          <w:szCs w:val="26"/>
        </w:rPr>
        <w:t>The Settlement represents a “black box” approach to the revenue requirement including</w:t>
      </w:r>
      <w:r w:rsidRPr="008E7712">
        <w:rPr>
          <w:spacing w:val="1"/>
          <w:sz w:val="26"/>
          <w:szCs w:val="26"/>
        </w:rPr>
        <w:t xml:space="preserve"> </w:t>
      </w:r>
      <w:r w:rsidRPr="008E7712">
        <w:rPr>
          <w:sz w:val="26"/>
          <w:szCs w:val="26"/>
        </w:rPr>
        <w:t>cost of capital issues</w:t>
      </w:r>
      <w:r w:rsidR="00717651" w:rsidRPr="008E7712">
        <w:rPr>
          <w:sz w:val="26"/>
          <w:szCs w:val="26"/>
        </w:rPr>
        <w:t>.</w:t>
      </w:r>
      <w:r w:rsidR="00717651" w:rsidRPr="00BB18BC">
        <w:rPr>
          <w:sz w:val="26"/>
        </w:rPr>
        <w:t xml:space="preserve">  </w:t>
      </w:r>
      <w:r w:rsidRPr="008E7712">
        <w:rPr>
          <w:sz w:val="26"/>
          <w:szCs w:val="26"/>
        </w:rPr>
        <w:t>Black box settlements avoid the need for protracted disputes over the</w:t>
      </w:r>
      <w:r w:rsidRPr="008E7712">
        <w:rPr>
          <w:spacing w:val="1"/>
          <w:sz w:val="26"/>
          <w:szCs w:val="26"/>
        </w:rPr>
        <w:t xml:space="preserve"> </w:t>
      </w:r>
      <w:r w:rsidRPr="008E7712">
        <w:rPr>
          <w:sz w:val="26"/>
          <w:szCs w:val="26"/>
        </w:rPr>
        <w:t>merits of individual revenue requirement adjustments and avoid the need for a diverse group of</w:t>
      </w:r>
      <w:r w:rsidRPr="008E7712">
        <w:rPr>
          <w:spacing w:val="1"/>
          <w:sz w:val="26"/>
          <w:szCs w:val="26"/>
        </w:rPr>
        <w:t xml:space="preserve"> </w:t>
      </w:r>
      <w:r w:rsidRPr="008E7712">
        <w:rPr>
          <w:sz w:val="26"/>
          <w:szCs w:val="26"/>
        </w:rPr>
        <w:t>stakeholders</w:t>
      </w:r>
      <w:r w:rsidRPr="008E7712">
        <w:rPr>
          <w:spacing w:val="10"/>
          <w:sz w:val="26"/>
          <w:szCs w:val="26"/>
        </w:rPr>
        <w:t xml:space="preserve"> </w:t>
      </w:r>
      <w:r w:rsidRPr="008E7712">
        <w:rPr>
          <w:sz w:val="26"/>
          <w:szCs w:val="26"/>
        </w:rPr>
        <w:t>to</w:t>
      </w:r>
      <w:r w:rsidRPr="008E7712">
        <w:rPr>
          <w:spacing w:val="11"/>
          <w:sz w:val="26"/>
          <w:szCs w:val="26"/>
        </w:rPr>
        <w:t xml:space="preserve"> </w:t>
      </w:r>
      <w:r w:rsidRPr="008E7712">
        <w:rPr>
          <w:sz w:val="26"/>
          <w:szCs w:val="26"/>
        </w:rPr>
        <w:t>attempt</w:t>
      </w:r>
      <w:r w:rsidRPr="008E7712">
        <w:rPr>
          <w:spacing w:val="11"/>
          <w:sz w:val="26"/>
          <w:szCs w:val="26"/>
        </w:rPr>
        <w:t xml:space="preserve"> </w:t>
      </w:r>
      <w:r w:rsidRPr="008E7712">
        <w:rPr>
          <w:sz w:val="26"/>
          <w:szCs w:val="26"/>
        </w:rPr>
        <w:t>to</w:t>
      </w:r>
      <w:r w:rsidRPr="008E7712">
        <w:rPr>
          <w:spacing w:val="11"/>
          <w:sz w:val="26"/>
          <w:szCs w:val="26"/>
        </w:rPr>
        <w:t xml:space="preserve"> </w:t>
      </w:r>
      <w:r w:rsidRPr="008E7712">
        <w:rPr>
          <w:sz w:val="26"/>
          <w:szCs w:val="26"/>
        </w:rPr>
        <w:t>reach</w:t>
      </w:r>
      <w:r w:rsidRPr="008E7712">
        <w:rPr>
          <w:spacing w:val="10"/>
          <w:sz w:val="26"/>
          <w:szCs w:val="26"/>
        </w:rPr>
        <w:t xml:space="preserve"> </w:t>
      </w:r>
      <w:r w:rsidRPr="008E7712">
        <w:rPr>
          <w:sz w:val="26"/>
          <w:szCs w:val="26"/>
        </w:rPr>
        <w:t>a</w:t>
      </w:r>
      <w:r w:rsidRPr="008E7712">
        <w:rPr>
          <w:spacing w:val="11"/>
          <w:sz w:val="26"/>
          <w:szCs w:val="26"/>
        </w:rPr>
        <w:t xml:space="preserve"> </w:t>
      </w:r>
      <w:r w:rsidRPr="008E7712">
        <w:rPr>
          <w:sz w:val="26"/>
          <w:szCs w:val="26"/>
        </w:rPr>
        <w:t>consensus</w:t>
      </w:r>
      <w:r w:rsidRPr="008E7712">
        <w:rPr>
          <w:spacing w:val="11"/>
          <w:sz w:val="26"/>
          <w:szCs w:val="26"/>
        </w:rPr>
        <w:t xml:space="preserve"> </w:t>
      </w:r>
      <w:r w:rsidRPr="008E7712">
        <w:rPr>
          <w:sz w:val="26"/>
          <w:szCs w:val="26"/>
        </w:rPr>
        <w:t>on</w:t>
      </w:r>
      <w:r w:rsidRPr="008E7712">
        <w:rPr>
          <w:spacing w:val="9"/>
          <w:sz w:val="26"/>
          <w:szCs w:val="26"/>
        </w:rPr>
        <w:t xml:space="preserve"> </w:t>
      </w:r>
      <w:r w:rsidRPr="008E7712">
        <w:rPr>
          <w:sz w:val="26"/>
          <w:szCs w:val="26"/>
        </w:rPr>
        <w:t>each</w:t>
      </w:r>
      <w:r w:rsidRPr="008E7712">
        <w:rPr>
          <w:spacing w:val="11"/>
          <w:sz w:val="26"/>
          <w:szCs w:val="26"/>
        </w:rPr>
        <w:t xml:space="preserve"> </w:t>
      </w:r>
      <w:r w:rsidRPr="008E7712">
        <w:rPr>
          <w:sz w:val="26"/>
          <w:szCs w:val="26"/>
        </w:rPr>
        <w:t>of</w:t>
      </w:r>
      <w:r w:rsidRPr="008E7712">
        <w:rPr>
          <w:spacing w:val="11"/>
          <w:sz w:val="26"/>
          <w:szCs w:val="26"/>
        </w:rPr>
        <w:t xml:space="preserve"> </w:t>
      </w:r>
      <w:r w:rsidRPr="008E7712">
        <w:rPr>
          <w:sz w:val="26"/>
          <w:szCs w:val="26"/>
        </w:rPr>
        <w:t>the</w:t>
      </w:r>
      <w:r w:rsidRPr="008E7712">
        <w:rPr>
          <w:spacing w:val="8"/>
          <w:sz w:val="26"/>
          <w:szCs w:val="26"/>
        </w:rPr>
        <w:t xml:space="preserve"> </w:t>
      </w:r>
      <w:r w:rsidRPr="008E7712">
        <w:rPr>
          <w:sz w:val="26"/>
          <w:szCs w:val="26"/>
        </w:rPr>
        <w:t>disputed</w:t>
      </w:r>
      <w:r w:rsidRPr="008E7712">
        <w:rPr>
          <w:spacing w:val="9"/>
          <w:sz w:val="26"/>
          <w:szCs w:val="26"/>
        </w:rPr>
        <w:t xml:space="preserve"> </w:t>
      </w:r>
      <w:r w:rsidRPr="008E7712">
        <w:rPr>
          <w:sz w:val="26"/>
          <w:szCs w:val="26"/>
        </w:rPr>
        <w:t>accounting</w:t>
      </w:r>
      <w:r w:rsidRPr="008E7712">
        <w:rPr>
          <w:spacing w:val="11"/>
          <w:sz w:val="26"/>
          <w:szCs w:val="26"/>
        </w:rPr>
        <w:t xml:space="preserve"> </w:t>
      </w:r>
      <w:r w:rsidRPr="008E7712">
        <w:rPr>
          <w:sz w:val="26"/>
          <w:szCs w:val="26"/>
        </w:rPr>
        <w:t>and</w:t>
      </w:r>
      <w:r w:rsidRPr="008E7712">
        <w:rPr>
          <w:spacing w:val="9"/>
          <w:sz w:val="26"/>
          <w:szCs w:val="26"/>
        </w:rPr>
        <w:t xml:space="preserve"> </w:t>
      </w:r>
      <w:r w:rsidRPr="008E7712">
        <w:rPr>
          <w:sz w:val="26"/>
          <w:szCs w:val="26"/>
        </w:rPr>
        <w:t xml:space="preserve">ratemaking issues raised in this matter, as policy and legal </w:t>
      </w:r>
      <w:r w:rsidRPr="008E7712">
        <w:rPr>
          <w:sz w:val="26"/>
          <w:szCs w:val="26"/>
        </w:rPr>
        <w:lastRenderedPageBreak/>
        <w:t>positions can differ</w:t>
      </w:r>
      <w:r w:rsidR="00717651" w:rsidRPr="008E7712">
        <w:rPr>
          <w:sz w:val="26"/>
          <w:szCs w:val="26"/>
        </w:rPr>
        <w:t>.</w:t>
      </w:r>
      <w:r w:rsidR="00717651" w:rsidRPr="008E7712">
        <w:rPr>
          <w:spacing w:val="1"/>
          <w:sz w:val="26"/>
          <w:szCs w:val="26"/>
        </w:rPr>
        <w:t xml:space="preserve">  </w:t>
      </w:r>
      <w:r w:rsidRPr="008E7712">
        <w:rPr>
          <w:sz w:val="26"/>
          <w:szCs w:val="26"/>
        </w:rPr>
        <w:t>As such, the parties have not</w:t>
      </w:r>
      <w:r w:rsidRPr="008E7712">
        <w:rPr>
          <w:spacing w:val="1"/>
          <w:sz w:val="26"/>
          <w:szCs w:val="26"/>
        </w:rPr>
        <w:t xml:space="preserve"> </w:t>
      </w:r>
      <w:r w:rsidRPr="008E7712">
        <w:rPr>
          <w:sz w:val="26"/>
          <w:szCs w:val="26"/>
        </w:rPr>
        <w:t>specified a dollar amount for each issue or adjustment raised in this case</w:t>
      </w:r>
      <w:r w:rsidR="00717651" w:rsidRPr="008E7712">
        <w:rPr>
          <w:sz w:val="26"/>
          <w:szCs w:val="26"/>
        </w:rPr>
        <w:t>.</w:t>
      </w:r>
      <w:r w:rsidR="00717651" w:rsidRPr="008E7712">
        <w:rPr>
          <w:spacing w:val="1"/>
          <w:sz w:val="26"/>
          <w:szCs w:val="26"/>
        </w:rPr>
        <w:t xml:space="preserve">  </w:t>
      </w:r>
      <w:r w:rsidRPr="008E7712">
        <w:rPr>
          <w:sz w:val="26"/>
          <w:szCs w:val="26"/>
        </w:rPr>
        <w:t>Attempting to reach</w:t>
      </w:r>
      <w:r w:rsidRPr="008E7712">
        <w:rPr>
          <w:spacing w:val="1"/>
          <w:sz w:val="26"/>
          <w:szCs w:val="26"/>
        </w:rPr>
        <w:t xml:space="preserve"> </w:t>
      </w:r>
      <w:r w:rsidRPr="008E7712">
        <w:rPr>
          <w:sz w:val="26"/>
          <w:szCs w:val="26"/>
        </w:rPr>
        <w:t>agreement</w:t>
      </w:r>
      <w:r w:rsidRPr="008E7712">
        <w:rPr>
          <w:spacing w:val="1"/>
          <w:sz w:val="26"/>
          <w:szCs w:val="26"/>
        </w:rPr>
        <w:t xml:space="preserve"> </w:t>
      </w:r>
      <w:r w:rsidRPr="008E7712">
        <w:rPr>
          <w:sz w:val="26"/>
          <w:szCs w:val="26"/>
        </w:rPr>
        <w:t>regarding</w:t>
      </w:r>
      <w:r w:rsidRPr="008E7712">
        <w:rPr>
          <w:spacing w:val="1"/>
          <w:sz w:val="26"/>
          <w:szCs w:val="26"/>
        </w:rPr>
        <w:t xml:space="preserve"> </w:t>
      </w:r>
      <w:r w:rsidRPr="008E7712">
        <w:rPr>
          <w:sz w:val="26"/>
          <w:szCs w:val="26"/>
        </w:rPr>
        <w:t>each</w:t>
      </w:r>
      <w:r w:rsidRPr="008E7712">
        <w:rPr>
          <w:spacing w:val="1"/>
          <w:sz w:val="26"/>
          <w:szCs w:val="26"/>
        </w:rPr>
        <w:t xml:space="preserve"> </w:t>
      </w:r>
      <w:r w:rsidRPr="008E7712">
        <w:rPr>
          <w:sz w:val="26"/>
          <w:szCs w:val="26"/>
        </w:rPr>
        <w:t>adjustment</w:t>
      </w:r>
      <w:r w:rsidRPr="008E7712">
        <w:rPr>
          <w:spacing w:val="1"/>
          <w:sz w:val="26"/>
          <w:szCs w:val="26"/>
        </w:rPr>
        <w:t xml:space="preserve"> </w:t>
      </w:r>
      <w:r w:rsidRPr="008E7712">
        <w:rPr>
          <w:sz w:val="26"/>
          <w:szCs w:val="26"/>
        </w:rPr>
        <w:t>in</w:t>
      </w:r>
      <w:r w:rsidRPr="008E7712">
        <w:rPr>
          <w:spacing w:val="1"/>
          <w:sz w:val="26"/>
          <w:szCs w:val="26"/>
        </w:rPr>
        <w:t xml:space="preserve"> </w:t>
      </w:r>
      <w:r w:rsidRPr="008E7712">
        <w:rPr>
          <w:sz w:val="26"/>
          <w:szCs w:val="26"/>
        </w:rPr>
        <w:t>this</w:t>
      </w:r>
      <w:r w:rsidRPr="008E7712">
        <w:rPr>
          <w:spacing w:val="1"/>
          <w:sz w:val="26"/>
          <w:szCs w:val="26"/>
        </w:rPr>
        <w:t xml:space="preserve"> </w:t>
      </w:r>
      <w:r w:rsidRPr="008E7712">
        <w:rPr>
          <w:sz w:val="26"/>
          <w:szCs w:val="26"/>
        </w:rPr>
        <w:t>proceeding</w:t>
      </w:r>
      <w:r w:rsidRPr="008E7712">
        <w:rPr>
          <w:spacing w:val="1"/>
          <w:sz w:val="26"/>
          <w:szCs w:val="26"/>
        </w:rPr>
        <w:t xml:space="preserve"> </w:t>
      </w:r>
      <w:r w:rsidRPr="008E7712">
        <w:rPr>
          <w:sz w:val="26"/>
          <w:szCs w:val="26"/>
        </w:rPr>
        <w:t>would</w:t>
      </w:r>
      <w:r w:rsidRPr="008E7712">
        <w:rPr>
          <w:spacing w:val="1"/>
          <w:sz w:val="26"/>
          <w:szCs w:val="26"/>
        </w:rPr>
        <w:t xml:space="preserve"> </w:t>
      </w:r>
      <w:r w:rsidRPr="008E7712">
        <w:rPr>
          <w:sz w:val="26"/>
          <w:szCs w:val="26"/>
        </w:rPr>
        <w:t>have</w:t>
      </w:r>
      <w:r w:rsidRPr="008E7712">
        <w:rPr>
          <w:spacing w:val="1"/>
          <w:sz w:val="26"/>
          <w:szCs w:val="26"/>
        </w:rPr>
        <w:t xml:space="preserve"> </w:t>
      </w:r>
      <w:r w:rsidRPr="008E7712">
        <w:rPr>
          <w:sz w:val="26"/>
          <w:szCs w:val="26"/>
        </w:rPr>
        <w:t>likely</w:t>
      </w:r>
      <w:r w:rsidRPr="008E7712">
        <w:rPr>
          <w:spacing w:val="1"/>
          <w:sz w:val="26"/>
          <w:szCs w:val="26"/>
        </w:rPr>
        <w:t xml:space="preserve"> </w:t>
      </w:r>
      <w:r w:rsidRPr="008E7712">
        <w:rPr>
          <w:sz w:val="26"/>
          <w:szCs w:val="26"/>
        </w:rPr>
        <w:t>prevented</w:t>
      </w:r>
      <w:r w:rsidRPr="008E7712">
        <w:rPr>
          <w:spacing w:val="1"/>
          <w:sz w:val="26"/>
          <w:szCs w:val="26"/>
        </w:rPr>
        <w:t xml:space="preserve"> </w:t>
      </w:r>
      <w:r w:rsidRPr="008E7712">
        <w:rPr>
          <w:sz w:val="26"/>
          <w:szCs w:val="26"/>
        </w:rPr>
        <w:t>any</w:t>
      </w:r>
      <w:r w:rsidRPr="008E7712">
        <w:rPr>
          <w:spacing w:val="1"/>
          <w:sz w:val="26"/>
          <w:szCs w:val="26"/>
        </w:rPr>
        <w:t xml:space="preserve"> </w:t>
      </w:r>
      <w:r w:rsidRPr="008E7712">
        <w:rPr>
          <w:sz w:val="26"/>
          <w:szCs w:val="26"/>
        </w:rPr>
        <w:t>settlement</w:t>
      </w:r>
      <w:r w:rsidRPr="008E7712">
        <w:rPr>
          <w:spacing w:val="-1"/>
          <w:sz w:val="26"/>
          <w:szCs w:val="26"/>
        </w:rPr>
        <w:t xml:space="preserve"> </w:t>
      </w:r>
      <w:r w:rsidRPr="008E7712">
        <w:rPr>
          <w:sz w:val="26"/>
          <w:szCs w:val="26"/>
        </w:rPr>
        <w:t>from</w:t>
      </w:r>
      <w:r w:rsidRPr="008E7712">
        <w:rPr>
          <w:spacing w:val="-2"/>
          <w:sz w:val="26"/>
          <w:szCs w:val="26"/>
        </w:rPr>
        <w:t xml:space="preserve"> </w:t>
      </w:r>
      <w:r w:rsidRPr="008E7712">
        <w:rPr>
          <w:sz w:val="26"/>
          <w:szCs w:val="26"/>
        </w:rPr>
        <w:t>being reached.</w:t>
      </w:r>
    </w:p>
    <w:p w14:paraId="1995E663" w14:textId="77777777" w:rsidR="009A47D3" w:rsidRPr="008E7712" w:rsidRDefault="009A47D3" w:rsidP="00EB7CBC">
      <w:pPr>
        <w:pStyle w:val="BodyText"/>
        <w:ind w:left="1440" w:right="1440" w:firstLine="720"/>
        <w:rPr>
          <w:sz w:val="26"/>
          <w:szCs w:val="26"/>
        </w:rPr>
      </w:pPr>
    </w:p>
    <w:p w14:paraId="218CF315" w14:textId="26B4187E" w:rsidR="0042660A" w:rsidRPr="008E7712" w:rsidRDefault="0042660A" w:rsidP="008E7712">
      <w:pPr>
        <w:pStyle w:val="BodyText"/>
        <w:keepNext/>
        <w:ind w:left="1440" w:right="1440"/>
        <w:rPr>
          <w:sz w:val="26"/>
          <w:szCs w:val="26"/>
        </w:rPr>
      </w:pPr>
      <w:r w:rsidRPr="008E7712">
        <w:rPr>
          <w:sz w:val="26"/>
          <w:szCs w:val="26"/>
        </w:rPr>
        <w:t>Based</w:t>
      </w:r>
      <w:r w:rsidRPr="008E7712">
        <w:rPr>
          <w:spacing w:val="1"/>
          <w:sz w:val="26"/>
          <w:szCs w:val="26"/>
        </w:rPr>
        <w:t xml:space="preserve"> </w:t>
      </w:r>
      <w:r w:rsidRPr="008E7712">
        <w:rPr>
          <w:sz w:val="26"/>
          <w:szCs w:val="26"/>
        </w:rPr>
        <w:t>on</w:t>
      </w:r>
      <w:r w:rsidRPr="008E7712">
        <w:rPr>
          <w:spacing w:val="1"/>
          <w:sz w:val="26"/>
          <w:szCs w:val="26"/>
        </w:rPr>
        <w:t xml:space="preserve"> </w:t>
      </w:r>
      <w:r w:rsidRPr="008E7712">
        <w:rPr>
          <w:sz w:val="26"/>
          <w:szCs w:val="26"/>
        </w:rPr>
        <w:t>the</w:t>
      </w:r>
      <w:r w:rsidRPr="008E7712">
        <w:rPr>
          <w:spacing w:val="1"/>
          <w:sz w:val="26"/>
          <w:szCs w:val="26"/>
        </w:rPr>
        <w:t xml:space="preserve"> </w:t>
      </w:r>
      <w:r w:rsidRPr="008E7712">
        <w:rPr>
          <w:sz w:val="26"/>
          <w:szCs w:val="26"/>
        </w:rPr>
        <w:t>OCA’s</w:t>
      </w:r>
      <w:r w:rsidRPr="008E7712">
        <w:rPr>
          <w:spacing w:val="1"/>
          <w:sz w:val="26"/>
          <w:szCs w:val="26"/>
        </w:rPr>
        <w:t xml:space="preserve"> </w:t>
      </w:r>
      <w:r w:rsidRPr="008E7712">
        <w:rPr>
          <w:sz w:val="26"/>
          <w:szCs w:val="26"/>
        </w:rPr>
        <w:t>analysis</w:t>
      </w:r>
      <w:r w:rsidRPr="008E7712">
        <w:rPr>
          <w:spacing w:val="1"/>
          <w:sz w:val="26"/>
          <w:szCs w:val="26"/>
        </w:rPr>
        <w:t xml:space="preserve"> </w:t>
      </w:r>
      <w:r w:rsidRPr="008E7712">
        <w:rPr>
          <w:sz w:val="26"/>
          <w:szCs w:val="26"/>
        </w:rPr>
        <w:t>of</w:t>
      </w:r>
      <w:r w:rsidRPr="008E7712">
        <w:rPr>
          <w:spacing w:val="1"/>
          <w:sz w:val="26"/>
          <w:szCs w:val="26"/>
        </w:rPr>
        <w:t xml:space="preserve"> </w:t>
      </w:r>
      <w:r w:rsidRPr="008E7712">
        <w:rPr>
          <w:sz w:val="26"/>
          <w:szCs w:val="26"/>
        </w:rPr>
        <w:t>CUPA’s</w:t>
      </w:r>
      <w:r w:rsidRPr="008E7712">
        <w:rPr>
          <w:spacing w:val="1"/>
          <w:sz w:val="26"/>
          <w:szCs w:val="26"/>
        </w:rPr>
        <w:t xml:space="preserve"> </w:t>
      </w:r>
      <w:r w:rsidRPr="008E7712">
        <w:rPr>
          <w:sz w:val="26"/>
          <w:szCs w:val="26"/>
        </w:rPr>
        <w:t>filing,</w:t>
      </w:r>
      <w:r w:rsidRPr="008E7712">
        <w:rPr>
          <w:spacing w:val="1"/>
          <w:sz w:val="26"/>
          <w:szCs w:val="26"/>
        </w:rPr>
        <w:t xml:space="preserve"> </w:t>
      </w:r>
      <w:r w:rsidRPr="008E7712">
        <w:rPr>
          <w:sz w:val="26"/>
          <w:szCs w:val="26"/>
        </w:rPr>
        <w:t>discovery</w:t>
      </w:r>
      <w:r w:rsidRPr="008E7712">
        <w:rPr>
          <w:spacing w:val="1"/>
          <w:sz w:val="26"/>
          <w:szCs w:val="26"/>
        </w:rPr>
        <w:t xml:space="preserve"> </w:t>
      </w:r>
      <w:r w:rsidRPr="008E7712">
        <w:rPr>
          <w:sz w:val="26"/>
          <w:szCs w:val="26"/>
        </w:rPr>
        <w:t>responses</w:t>
      </w:r>
      <w:r w:rsidRPr="008E7712">
        <w:rPr>
          <w:spacing w:val="1"/>
          <w:sz w:val="26"/>
          <w:szCs w:val="26"/>
        </w:rPr>
        <w:t xml:space="preserve"> </w:t>
      </w:r>
      <w:r w:rsidRPr="008E7712">
        <w:rPr>
          <w:sz w:val="26"/>
          <w:szCs w:val="26"/>
        </w:rPr>
        <w:t>received,</w:t>
      </w:r>
      <w:r w:rsidRPr="008E7712">
        <w:rPr>
          <w:spacing w:val="1"/>
          <w:sz w:val="26"/>
          <w:szCs w:val="26"/>
        </w:rPr>
        <w:t xml:space="preserve"> </w:t>
      </w:r>
      <w:r w:rsidRPr="008E7712">
        <w:rPr>
          <w:sz w:val="26"/>
          <w:szCs w:val="26"/>
        </w:rPr>
        <w:t>and</w:t>
      </w:r>
      <w:r w:rsidRPr="008E7712">
        <w:rPr>
          <w:spacing w:val="1"/>
          <w:sz w:val="26"/>
          <w:szCs w:val="26"/>
        </w:rPr>
        <w:t xml:space="preserve"> </w:t>
      </w:r>
      <w:r w:rsidRPr="008E7712">
        <w:rPr>
          <w:sz w:val="26"/>
          <w:szCs w:val="26"/>
        </w:rPr>
        <w:t>testimony by all parties, the revenue increase under the Settlement represents a result that would</w:t>
      </w:r>
      <w:r w:rsidRPr="008E7712">
        <w:rPr>
          <w:spacing w:val="1"/>
          <w:sz w:val="26"/>
          <w:szCs w:val="26"/>
        </w:rPr>
        <w:t xml:space="preserve"> </w:t>
      </w:r>
      <w:r w:rsidRPr="008E7712">
        <w:rPr>
          <w:sz w:val="26"/>
          <w:szCs w:val="26"/>
        </w:rPr>
        <w:t>be within the range of likely outcomes in the event of full litigation of the case.</w:t>
      </w:r>
    </w:p>
    <w:p w14:paraId="661C59E9" w14:textId="77777777" w:rsidR="009A47D3" w:rsidRPr="008E7712" w:rsidRDefault="009A47D3" w:rsidP="008E7712">
      <w:pPr>
        <w:pStyle w:val="BodyText"/>
        <w:keepNext/>
        <w:spacing w:line="360" w:lineRule="auto"/>
        <w:ind w:left="1440" w:right="1440" w:firstLine="720"/>
        <w:rPr>
          <w:sz w:val="26"/>
          <w:szCs w:val="26"/>
        </w:rPr>
      </w:pPr>
    </w:p>
    <w:p w14:paraId="37563190" w14:textId="1F0DF171" w:rsidR="0042660A" w:rsidRPr="008E7712" w:rsidRDefault="0042660A" w:rsidP="00802F13">
      <w:pPr>
        <w:pStyle w:val="BodyText"/>
        <w:keepNext/>
        <w:spacing w:line="360" w:lineRule="auto"/>
        <w:rPr>
          <w:sz w:val="26"/>
          <w:szCs w:val="26"/>
        </w:rPr>
      </w:pPr>
      <w:r w:rsidRPr="008E7712">
        <w:rPr>
          <w:sz w:val="26"/>
          <w:szCs w:val="26"/>
        </w:rPr>
        <w:t xml:space="preserve">Appendix I to Joint Petition, OCA Statement </w:t>
      </w:r>
      <w:r w:rsidR="005E4B8E" w:rsidRPr="008E7712">
        <w:rPr>
          <w:sz w:val="26"/>
          <w:szCs w:val="26"/>
        </w:rPr>
        <w:t>in</w:t>
      </w:r>
      <w:r w:rsidRPr="008E7712">
        <w:rPr>
          <w:sz w:val="26"/>
          <w:szCs w:val="26"/>
        </w:rPr>
        <w:t xml:space="preserve"> Support at</w:t>
      </w:r>
      <w:r w:rsidR="007A31FA" w:rsidRPr="008E7712">
        <w:rPr>
          <w:sz w:val="26"/>
          <w:szCs w:val="26"/>
        </w:rPr>
        <w:t> </w:t>
      </w:r>
      <w:r w:rsidRPr="008E7712">
        <w:rPr>
          <w:sz w:val="26"/>
          <w:szCs w:val="26"/>
        </w:rPr>
        <w:t>5</w:t>
      </w:r>
      <w:r w:rsidR="007A31FA" w:rsidRPr="008E7712">
        <w:rPr>
          <w:sz w:val="26"/>
          <w:szCs w:val="26"/>
        </w:rPr>
        <w:noBreakHyphen/>
      </w:r>
      <w:r w:rsidRPr="008E7712">
        <w:rPr>
          <w:sz w:val="26"/>
          <w:szCs w:val="26"/>
        </w:rPr>
        <w:t>6.</w:t>
      </w:r>
    </w:p>
    <w:p w14:paraId="00B83F5A" w14:textId="77777777" w:rsidR="0042660A" w:rsidRPr="008E7712" w:rsidRDefault="0042660A" w:rsidP="009E52FB">
      <w:pPr>
        <w:spacing w:line="240" w:lineRule="auto"/>
        <w:rPr>
          <w:szCs w:val="26"/>
        </w:rPr>
      </w:pPr>
    </w:p>
    <w:p w14:paraId="37631199" w14:textId="0A58D167" w:rsidR="0042660A" w:rsidRPr="008E7712" w:rsidRDefault="0042660A" w:rsidP="008E7712">
      <w:pPr>
        <w:pStyle w:val="BodyText"/>
        <w:keepNext/>
        <w:ind w:left="1440" w:right="1440"/>
        <w:rPr>
          <w:sz w:val="26"/>
          <w:szCs w:val="26"/>
        </w:rPr>
      </w:pPr>
      <w:r w:rsidRPr="008E7712">
        <w:rPr>
          <w:sz w:val="26"/>
          <w:szCs w:val="26"/>
        </w:rPr>
        <w:t>At</w:t>
      </w:r>
      <w:r w:rsidRPr="008E7712">
        <w:rPr>
          <w:spacing w:val="-1"/>
          <w:sz w:val="26"/>
          <w:szCs w:val="26"/>
        </w:rPr>
        <w:t xml:space="preserve"> </w:t>
      </w:r>
      <w:r w:rsidRPr="008E7712">
        <w:rPr>
          <w:sz w:val="26"/>
          <w:szCs w:val="26"/>
        </w:rPr>
        <w:t>a</w:t>
      </w:r>
      <w:r w:rsidRPr="008E7712">
        <w:rPr>
          <w:spacing w:val="-2"/>
          <w:sz w:val="26"/>
          <w:szCs w:val="26"/>
        </w:rPr>
        <w:t xml:space="preserve"> </w:t>
      </w:r>
      <w:r w:rsidRPr="008E7712">
        <w:rPr>
          <w:sz w:val="26"/>
          <w:szCs w:val="26"/>
        </w:rPr>
        <w:t>time</w:t>
      </w:r>
      <w:r w:rsidRPr="008E7712">
        <w:rPr>
          <w:spacing w:val="-2"/>
          <w:sz w:val="26"/>
          <w:szCs w:val="26"/>
        </w:rPr>
        <w:t xml:space="preserve"> </w:t>
      </w:r>
      <w:r w:rsidRPr="008E7712">
        <w:rPr>
          <w:sz w:val="26"/>
          <w:szCs w:val="26"/>
        </w:rPr>
        <w:t>when all</w:t>
      </w:r>
      <w:r w:rsidRPr="008E7712">
        <w:rPr>
          <w:spacing w:val="-1"/>
          <w:sz w:val="26"/>
          <w:szCs w:val="26"/>
        </w:rPr>
        <w:t xml:space="preserve"> </w:t>
      </w:r>
      <w:r w:rsidRPr="008E7712">
        <w:rPr>
          <w:sz w:val="26"/>
          <w:szCs w:val="26"/>
        </w:rPr>
        <w:t>types</w:t>
      </w:r>
      <w:r w:rsidRPr="008E7712">
        <w:rPr>
          <w:spacing w:val="1"/>
          <w:sz w:val="26"/>
          <w:szCs w:val="26"/>
        </w:rPr>
        <w:t xml:space="preserve"> </w:t>
      </w:r>
      <w:r w:rsidRPr="008E7712">
        <w:rPr>
          <w:sz w:val="26"/>
          <w:szCs w:val="26"/>
        </w:rPr>
        <w:t>of</w:t>
      </w:r>
      <w:r w:rsidRPr="008E7712">
        <w:rPr>
          <w:spacing w:val="-2"/>
          <w:sz w:val="26"/>
          <w:szCs w:val="26"/>
        </w:rPr>
        <w:t xml:space="preserve"> </w:t>
      </w:r>
      <w:r w:rsidRPr="008E7712">
        <w:rPr>
          <w:sz w:val="26"/>
          <w:szCs w:val="26"/>
        </w:rPr>
        <w:t>utility service</w:t>
      </w:r>
      <w:r w:rsidRPr="008E7712">
        <w:rPr>
          <w:spacing w:val="-2"/>
          <w:sz w:val="26"/>
          <w:szCs w:val="26"/>
        </w:rPr>
        <w:t xml:space="preserve"> </w:t>
      </w:r>
      <w:r w:rsidRPr="008E7712">
        <w:rPr>
          <w:sz w:val="26"/>
          <w:szCs w:val="26"/>
        </w:rPr>
        <w:t>are</w:t>
      </w:r>
      <w:r w:rsidRPr="008E7712">
        <w:rPr>
          <w:spacing w:val="-2"/>
          <w:sz w:val="26"/>
          <w:szCs w:val="26"/>
        </w:rPr>
        <w:t xml:space="preserve"> </w:t>
      </w:r>
      <w:r w:rsidRPr="008E7712">
        <w:rPr>
          <w:sz w:val="26"/>
          <w:szCs w:val="26"/>
        </w:rPr>
        <w:t>becoming more</w:t>
      </w:r>
      <w:r w:rsidRPr="008E7712">
        <w:rPr>
          <w:spacing w:val="-2"/>
          <w:sz w:val="26"/>
          <w:szCs w:val="26"/>
        </w:rPr>
        <w:t xml:space="preserve"> </w:t>
      </w:r>
      <w:r w:rsidRPr="008E7712">
        <w:rPr>
          <w:sz w:val="26"/>
          <w:szCs w:val="26"/>
        </w:rPr>
        <w:t>expensive,</w:t>
      </w:r>
      <w:r w:rsidRPr="008E7712">
        <w:rPr>
          <w:spacing w:val="-1"/>
          <w:sz w:val="26"/>
          <w:szCs w:val="26"/>
        </w:rPr>
        <w:t xml:space="preserve"> </w:t>
      </w:r>
      <w:r w:rsidRPr="008E7712">
        <w:rPr>
          <w:sz w:val="26"/>
          <w:szCs w:val="26"/>
        </w:rPr>
        <w:t>and</w:t>
      </w:r>
      <w:r w:rsidRPr="008E7712">
        <w:rPr>
          <w:spacing w:val="-1"/>
          <w:sz w:val="26"/>
          <w:szCs w:val="26"/>
        </w:rPr>
        <w:t xml:space="preserve"> </w:t>
      </w:r>
      <w:r w:rsidRPr="008E7712">
        <w:rPr>
          <w:sz w:val="26"/>
          <w:szCs w:val="26"/>
        </w:rPr>
        <w:t>the effects of the COVID-19 pandemic are still being felt by customers,</w:t>
      </w:r>
      <w:hyperlink w:anchor="_bookmark58" w:history="1">
        <w:r w:rsidRPr="008E7712">
          <w:rPr>
            <w:sz w:val="26"/>
            <w:szCs w:val="26"/>
            <w:vertAlign w:val="superscript"/>
          </w:rPr>
          <w:t>1</w:t>
        </w:r>
        <w:r w:rsidRPr="008E7712">
          <w:rPr>
            <w:sz w:val="26"/>
            <w:szCs w:val="26"/>
          </w:rPr>
          <w:t xml:space="preserve"> </w:t>
        </w:r>
      </w:hyperlink>
      <w:r w:rsidRPr="008E7712">
        <w:rPr>
          <w:sz w:val="26"/>
          <w:szCs w:val="26"/>
        </w:rPr>
        <w:t xml:space="preserve">the significant reduction </w:t>
      </w:r>
      <w:proofErr w:type="gramStart"/>
      <w:r w:rsidRPr="008E7712">
        <w:rPr>
          <w:sz w:val="26"/>
          <w:szCs w:val="26"/>
        </w:rPr>
        <w:t>in</w:t>
      </w:r>
      <w:r w:rsidR="003919C4" w:rsidRPr="008E7712">
        <w:rPr>
          <w:sz w:val="26"/>
          <w:szCs w:val="26"/>
        </w:rPr>
        <w:t xml:space="preserve">  </w:t>
      </w:r>
      <w:r w:rsidRPr="008E7712">
        <w:rPr>
          <w:sz w:val="26"/>
          <w:szCs w:val="26"/>
        </w:rPr>
        <w:t>the</w:t>
      </w:r>
      <w:proofErr w:type="gramEnd"/>
      <w:r w:rsidRPr="008E7712">
        <w:rPr>
          <w:sz w:val="26"/>
          <w:szCs w:val="26"/>
        </w:rPr>
        <w:t xml:space="preserve"> overall revenue increase provided by the </w:t>
      </w:r>
      <w:r w:rsidRPr="008E7712">
        <w:rPr>
          <w:i/>
          <w:sz w:val="26"/>
          <w:szCs w:val="26"/>
        </w:rPr>
        <w:t xml:space="preserve">Settlement </w:t>
      </w:r>
      <w:r w:rsidRPr="008E7712">
        <w:rPr>
          <w:sz w:val="26"/>
          <w:szCs w:val="26"/>
        </w:rPr>
        <w:t>will benefit all of CUPA’s customers,</w:t>
      </w:r>
      <w:r w:rsidRPr="008E7712">
        <w:rPr>
          <w:spacing w:val="1"/>
          <w:sz w:val="26"/>
          <w:szCs w:val="26"/>
        </w:rPr>
        <w:t xml:space="preserve"> </w:t>
      </w:r>
      <w:r w:rsidRPr="008E7712">
        <w:rPr>
          <w:sz w:val="26"/>
          <w:szCs w:val="26"/>
        </w:rPr>
        <w:t>including the Company’s small business customers</w:t>
      </w:r>
      <w:r w:rsidR="00717651" w:rsidRPr="008E7712">
        <w:rPr>
          <w:sz w:val="26"/>
          <w:szCs w:val="26"/>
        </w:rPr>
        <w:t xml:space="preserve">.  </w:t>
      </w:r>
      <w:r w:rsidRPr="008E7712">
        <w:rPr>
          <w:sz w:val="26"/>
          <w:szCs w:val="26"/>
        </w:rPr>
        <w:t xml:space="preserve">The </w:t>
      </w:r>
      <w:r w:rsidRPr="008E7712">
        <w:rPr>
          <w:i/>
          <w:sz w:val="26"/>
          <w:szCs w:val="26"/>
        </w:rPr>
        <w:t xml:space="preserve">Settlement </w:t>
      </w:r>
      <w:r w:rsidRPr="008E7712">
        <w:rPr>
          <w:sz w:val="26"/>
          <w:szCs w:val="26"/>
        </w:rPr>
        <w:t>substantially reduces the</w:t>
      </w:r>
      <w:r w:rsidRPr="008E7712">
        <w:rPr>
          <w:spacing w:val="1"/>
          <w:sz w:val="26"/>
          <w:szCs w:val="26"/>
        </w:rPr>
        <w:t xml:space="preserve"> </w:t>
      </w:r>
      <w:r w:rsidRPr="008E7712">
        <w:rPr>
          <w:sz w:val="26"/>
          <w:szCs w:val="26"/>
        </w:rPr>
        <w:t>Company’s originally proposed rate increase to mitigate the economic burden on ratepayers,</w:t>
      </w:r>
      <w:r w:rsidRPr="008E7712">
        <w:rPr>
          <w:spacing w:val="1"/>
          <w:sz w:val="26"/>
          <w:szCs w:val="26"/>
        </w:rPr>
        <w:t xml:space="preserve"> </w:t>
      </w:r>
      <w:r w:rsidRPr="008E7712">
        <w:rPr>
          <w:sz w:val="26"/>
          <w:szCs w:val="26"/>
        </w:rPr>
        <w:t>while affording the Company sufficient revenue to proceed with planned investments necessary</w:t>
      </w:r>
      <w:r w:rsidRPr="008E7712">
        <w:rPr>
          <w:spacing w:val="1"/>
          <w:sz w:val="26"/>
          <w:szCs w:val="26"/>
        </w:rPr>
        <w:t xml:space="preserve"> </w:t>
      </w:r>
      <w:r w:rsidRPr="008E7712">
        <w:rPr>
          <w:sz w:val="26"/>
          <w:szCs w:val="26"/>
        </w:rPr>
        <w:t>to</w:t>
      </w:r>
      <w:r w:rsidRPr="008E7712">
        <w:rPr>
          <w:spacing w:val="-1"/>
          <w:sz w:val="26"/>
          <w:szCs w:val="26"/>
        </w:rPr>
        <w:t xml:space="preserve"> </w:t>
      </w:r>
      <w:r w:rsidRPr="008E7712">
        <w:rPr>
          <w:sz w:val="26"/>
          <w:szCs w:val="26"/>
        </w:rPr>
        <w:t>provide</w:t>
      </w:r>
      <w:r w:rsidRPr="008E7712">
        <w:rPr>
          <w:spacing w:val="-1"/>
          <w:sz w:val="26"/>
          <w:szCs w:val="26"/>
        </w:rPr>
        <w:t xml:space="preserve"> </w:t>
      </w:r>
      <w:r w:rsidRPr="008E7712">
        <w:rPr>
          <w:sz w:val="26"/>
          <w:szCs w:val="26"/>
        </w:rPr>
        <w:t>safe,</w:t>
      </w:r>
      <w:r w:rsidRPr="008E7712">
        <w:rPr>
          <w:spacing w:val="1"/>
          <w:sz w:val="26"/>
          <w:szCs w:val="26"/>
        </w:rPr>
        <w:t xml:space="preserve"> </w:t>
      </w:r>
      <w:proofErr w:type="gramStart"/>
      <w:r w:rsidRPr="008E7712">
        <w:rPr>
          <w:sz w:val="26"/>
          <w:szCs w:val="26"/>
        </w:rPr>
        <w:t>effective</w:t>
      </w:r>
      <w:proofErr w:type="gramEnd"/>
      <w:r w:rsidRPr="008E7712">
        <w:rPr>
          <w:spacing w:val="1"/>
          <w:sz w:val="26"/>
          <w:szCs w:val="26"/>
        </w:rPr>
        <w:t xml:space="preserve"> </w:t>
      </w:r>
      <w:r w:rsidRPr="008E7712">
        <w:rPr>
          <w:sz w:val="26"/>
          <w:szCs w:val="26"/>
        </w:rPr>
        <w:t>and</w:t>
      </w:r>
      <w:r w:rsidRPr="008E7712">
        <w:rPr>
          <w:spacing w:val="-1"/>
          <w:sz w:val="26"/>
          <w:szCs w:val="26"/>
        </w:rPr>
        <w:t xml:space="preserve"> </w:t>
      </w:r>
      <w:r w:rsidRPr="008E7712">
        <w:rPr>
          <w:sz w:val="26"/>
          <w:szCs w:val="26"/>
        </w:rPr>
        <w:t>reliable</w:t>
      </w:r>
      <w:r w:rsidRPr="008E7712">
        <w:rPr>
          <w:spacing w:val="-2"/>
          <w:sz w:val="26"/>
          <w:szCs w:val="26"/>
        </w:rPr>
        <w:t xml:space="preserve"> </w:t>
      </w:r>
      <w:r w:rsidRPr="008E7712">
        <w:rPr>
          <w:sz w:val="26"/>
          <w:szCs w:val="26"/>
        </w:rPr>
        <w:t>water</w:t>
      </w:r>
      <w:r w:rsidRPr="008E7712">
        <w:rPr>
          <w:spacing w:val="1"/>
          <w:sz w:val="26"/>
          <w:szCs w:val="26"/>
        </w:rPr>
        <w:t xml:space="preserve"> </w:t>
      </w:r>
      <w:r w:rsidRPr="008E7712">
        <w:rPr>
          <w:sz w:val="26"/>
          <w:szCs w:val="26"/>
        </w:rPr>
        <w:t>and wastewater</w:t>
      </w:r>
      <w:r w:rsidRPr="008E7712">
        <w:rPr>
          <w:spacing w:val="-2"/>
          <w:sz w:val="26"/>
          <w:szCs w:val="26"/>
        </w:rPr>
        <w:t xml:space="preserve"> </w:t>
      </w:r>
      <w:r w:rsidRPr="008E7712">
        <w:rPr>
          <w:sz w:val="26"/>
          <w:szCs w:val="26"/>
        </w:rPr>
        <w:t>service.</w:t>
      </w:r>
    </w:p>
    <w:p w14:paraId="2179652A" w14:textId="77777777" w:rsidR="007A31FA" w:rsidRPr="008E7712" w:rsidRDefault="007A31FA" w:rsidP="008E7712">
      <w:pPr>
        <w:pStyle w:val="BodyText"/>
        <w:keepNext/>
        <w:spacing w:line="360" w:lineRule="auto"/>
        <w:ind w:left="1440" w:right="1440"/>
        <w:rPr>
          <w:sz w:val="26"/>
          <w:szCs w:val="26"/>
        </w:rPr>
      </w:pPr>
    </w:p>
    <w:p w14:paraId="6EA6F35F" w14:textId="045FF9E8" w:rsidR="0042660A" w:rsidRPr="008E7712" w:rsidRDefault="0042660A" w:rsidP="00802F13">
      <w:pPr>
        <w:pStyle w:val="BodyText"/>
        <w:keepNext/>
        <w:spacing w:line="360" w:lineRule="auto"/>
        <w:rPr>
          <w:sz w:val="26"/>
          <w:szCs w:val="26"/>
        </w:rPr>
      </w:pPr>
      <w:r w:rsidRPr="008E7712">
        <w:rPr>
          <w:sz w:val="26"/>
          <w:szCs w:val="26"/>
        </w:rPr>
        <w:t xml:space="preserve">Appendix K to Joint Petition, OSBA Statement </w:t>
      </w:r>
      <w:r w:rsidR="005E4B8E" w:rsidRPr="008E7712">
        <w:rPr>
          <w:sz w:val="26"/>
          <w:szCs w:val="26"/>
        </w:rPr>
        <w:t>in</w:t>
      </w:r>
      <w:r w:rsidRPr="008E7712">
        <w:rPr>
          <w:sz w:val="26"/>
          <w:szCs w:val="26"/>
        </w:rPr>
        <w:t xml:space="preserve"> Support at 2 (footnote omitted).</w:t>
      </w:r>
    </w:p>
    <w:p w14:paraId="15D3722F" w14:textId="10475861" w:rsidR="0042660A" w:rsidRPr="008E7712" w:rsidRDefault="0042660A" w:rsidP="009E52FB">
      <w:pPr>
        <w:rPr>
          <w:szCs w:val="26"/>
        </w:rPr>
      </w:pPr>
    </w:p>
    <w:p w14:paraId="6BD0337D" w14:textId="7B3DBF6E" w:rsidR="0042660A" w:rsidRPr="008E7712" w:rsidRDefault="009A47D3" w:rsidP="009E52FB">
      <w:pPr>
        <w:rPr>
          <w:szCs w:val="26"/>
        </w:rPr>
      </w:pPr>
      <w:r w:rsidRPr="008E7712">
        <w:rPr>
          <w:szCs w:val="26"/>
        </w:rPr>
        <w:tab/>
      </w:r>
      <w:r w:rsidR="0042660A" w:rsidRPr="008E7712">
        <w:rPr>
          <w:szCs w:val="26"/>
        </w:rPr>
        <w:tab/>
        <w:t>It is especially significant that each of the public advocates adopt a “black box” settlement resolution of the revenue requirement issue, given their legally</w:t>
      </w:r>
      <w:r w:rsidR="00D95AF6" w:rsidRPr="008E7712">
        <w:rPr>
          <w:szCs w:val="26"/>
        </w:rPr>
        <w:t>-</w:t>
      </w:r>
      <w:r w:rsidR="0042660A" w:rsidRPr="008E7712">
        <w:rPr>
          <w:szCs w:val="26"/>
        </w:rPr>
        <w:t>prescribed responsibilities in a general rate increase case before the Commission.</w:t>
      </w:r>
    </w:p>
    <w:p w14:paraId="2D542804" w14:textId="77777777" w:rsidR="0042660A" w:rsidRPr="008E7712" w:rsidRDefault="0042660A" w:rsidP="009E52FB">
      <w:pPr>
        <w:rPr>
          <w:szCs w:val="26"/>
        </w:rPr>
      </w:pPr>
    </w:p>
    <w:p w14:paraId="1C884C46" w14:textId="7FE84CE4" w:rsidR="001855DD" w:rsidRPr="008E7712" w:rsidRDefault="001855DD" w:rsidP="009E52FB">
      <w:pPr>
        <w:ind w:firstLine="1440"/>
        <w:rPr>
          <w:rFonts w:eastAsiaTheme="minorHAnsi"/>
          <w:color w:val="auto"/>
          <w:szCs w:val="26"/>
        </w:rPr>
      </w:pPr>
      <w:r w:rsidRPr="008E7712">
        <w:rPr>
          <w:rFonts w:eastAsiaTheme="minorHAnsi"/>
          <w:color w:val="auto"/>
          <w:szCs w:val="26"/>
        </w:rPr>
        <w:t>The OCA is empowered to represent the interests of Pennsylvania consumers before the Commission, pursuant to Act 1976-161 of the General Assembly, as amended, 71 Pa. C.S. §§ 309-1 et seq.  This includes base rate proceedings such as the instant matter.</w:t>
      </w:r>
    </w:p>
    <w:p w14:paraId="11322316" w14:textId="3E9BFFD0" w:rsidR="001C31FD" w:rsidRPr="008E7712" w:rsidRDefault="001C31FD" w:rsidP="00F16DA4">
      <w:pPr>
        <w:kinsoku w:val="0"/>
        <w:overflowPunct w:val="0"/>
        <w:ind w:right="216" w:firstLine="1440"/>
        <w:textAlignment w:val="baseline"/>
        <w:rPr>
          <w:rFonts w:eastAsiaTheme="minorEastAsia"/>
          <w:color w:val="auto"/>
          <w:szCs w:val="26"/>
        </w:rPr>
      </w:pPr>
      <w:r w:rsidRPr="008E7712">
        <w:rPr>
          <w:rFonts w:eastAsiaTheme="minorEastAsia"/>
          <w:color w:val="auto"/>
          <w:szCs w:val="26"/>
        </w:rPr>
        <w:lastRenderedPageBreak/>
        <w:t>The OSBA is an agency of the Commonwealth of Pennsylvania authorized by the Small Business Advocate Act (Act 181 of 1988, 73 P.S. §§ 399.41</w:t>
      </w:r>
      <w:r w:rsidR="0082175E" w:rsidRPr="008E7712">
        <w:rPr>
          <w:rFonts w:eastAsiaTheme="minorEastAsia"/>
          <w:color w:val="auto"/>
          <w:szCs w:val="26"/>
        </w:rPr>
        <w:t> </w:t>
      </w:r>
      <w:r w:rsidRPr="008E7712">
        <w:rPr>
          <w:rFonts w:eastAsiaTheme="minorEastAsia"/>
          <w:color w:val="auto"/>
          <w:szCs w:val="26"/>
        </w:rPr>
        <w:t>– 399.50) to represent the interests of small business consumers as a party in proceedings before the Commission, including base rate cases such as the instant matter.</w:t>
      </w:r>
    </w:p>
    <w:p w14:paraId="7AA8EBF4" w14:textId="59B2E22F" w:rsidR="0042660A" w:rsidRPr="008E7712" w:rsidRDefault="0042660A" w:rsidP="00EB7CBC">
      <w:pPr>
        <w:pStyle w:val="ListParagraph"/>
        <w:ind w:left="0"/>
        <w:contextualSpacing w:val="0"/>
        <w:rPr>
          <w:szCs w:val="26"/>
        </w:rPr>
      </w:pPr>
    </w:p>
    <w:p w14:paraId="320133F5" w14:textId="5B1DCA55" w:rsidR="0042660A" w:rsidRPr="008E7712" w:rsidRDefault="0042660A" w:rsidP="00EB7CBC">
      <w:pPr>
        <w:rPr>
          <w:szCs w:val="26"/>
        </w:rPr>
      </w:pPr>
      <w:r w:rsidRPr="008E7712">
        <w:rPr>
          <w:szCs w:val="26"/>
        </w:rPr>
        <w:tab/>
      </w:r>
      <w:r w:rsidR="009A47D3" w:rsidRPr="008E7712">
        <w:rPr>
          <w:szCs w:val="26"/>
        </w:rPr>
        <w:tab/>
      </w:r>
      <w:r w:rsidRPr="008E7712">
        <w:rPr>
          <w:szCs w:val="26"/>
        </w:rPr>
        <w:t xml:space="preserve">I&amp;E is statutorily charged with taking “appropriate enforcement actions, including rate proceedings . . . to </w:t>
      </w:r>
      <w:proofErr w:type="gramStart"/>
      <w:r w:rsidRPr="008E7712">
        <w:rPr>
          <w:szCs w:val="26"/>
        </w:rPr>
        <w:t>insure</w:t>
      </w:r>
      <w:proofErr w:type="gramEnd"/>
      <w:r w:rsidRPr="008E7712">
        <w:rPr>
          <w:szCs w:val="26"/>
        </w:rPr>
        <w:t xml:space="preserve"> compliance with this title [Title 66, Pennsylvania Consolidated Statutes], commission regulations and orders.”</w:t>
      </w:r>
      <w:r w:rsidR="000D6F3D" w:rsidRPr="008E7712">
        <w:rPr>
          <w:szCs w:val="26"/>
        </w:rPr>
        <w:t xml:space="preserve"> </w:t>
      </w:r>
      <w:r w:rsidRPr="008E7712">
        <w:rPr>
          <w:szCs w:val="26"/>
        </w:rPr>
        <w:t xml:space="preserve"> 66 Pa. C.S. § 308.2.(a)(11)</w:t>
      </w:r>
      <w:r w:rsidR="001A62A1" w:rsidRPr="008E7712">
        <w:rPr>
          <w:szCs w:val="26"/>
        </w:rPr>
        <w:t xml:space="preserve">.  </w:t>
      </w:r>
      <w:r w:rsidRPr="008E7712">
        <w:rPr>
          <w:i/>
          <w:iCs/>
          <w:szCs w:val="26"/>
        </w:rPr>
        <w:t>See, also, Implementation of Act 129 of 2008; Organization of Bureaus and Offices</w:t>
      </w:r>
      <w:r w:rsidRPr="008E7712">
        <w:rPr>
          <w:szCs w:val="26"/>
        </w:rPr>
        <w:t>, Docket No. M-2008-2071852 (Final Procedural Order adopted and entered August</w:t>
      </w:r>
      <w:r w:rsidR="00BB572A" w:rsidRPr="008E7712">
        <w:rPr>
          <w:szCs w:val="26"/>
        </w:rPr>
        <w:t> </w:t>
      </w:r>
      <w:r w:rsidRPr="008E7712">
        <w:rPr>
          <w:szCs w:val="26"/>
        </w:rPr>
        <w:t>11,</w:t>
      </w:r>
      <w:r w:rsidR="00BB572A" w:rsidRPr="008E7712">
        <w:rPr>
          <w:szCs w:val="26"/>
        </w:rPr>
        <w:t> </w:t>
      </w:r>
      <w:r w:rsidRPr="008E7712">
        <w:rPr>
          <w:szCs w:val="26"/>
        </w:rPr>
        <w:t>2011) (BI&amp;E will serve as the prosecutory bureau for purposes of representing the public interest in ratemaking and service matters before the Office of Administrative Law Judge.)</w:t>
      </w:r>
    </w:p>
    <w:p w14:paraId="7333046F" w14:textId="77777777" w:rsidR="0042660A" w:rsidRPr="008E7712" w:rsidRDefault="0042660A" w:rsidP="00EB7CBC">
      <w:pPr>
        <w:pStyle w:val="ListParagraph"/>
        <w:ind w:left="0"/>
        <w:contextualSpacing w:val="0"/>
        <w:rPr>
          <w:szCs w:val="26"/>
        </w:rPr>
      </w:pPr>
    </w:p>
    <w:p w14:paraId="073E0CA4" w14:textId="37990D82" w:rsidR="0042660A" w:rsidRPr="008E7712" w:rsidRDefault="0042660A" w:rsidP="00EB7CBC">
      <w:pPr>
        <w:pStyle w:val="ListParagraph"/>
        <w:ind w:left="0"/>
        <w:contextualSpacing w:val="0"/>
        <w:rPr>
          <w:szCs w:val="26"/>
        </w:rPr>
      </w:pPr>
      <w:r w:rsidRPr="008E7712">
        <w:rPr>
          <w:szCs w:val="26"/>
        </w:rPr>
        <w:tab/>
      </w:r>
      <w:r w:rsidR="009A47D3" w:rsidRPr="008E7712">
        <w:rPr>
          <w:szCs w:val="26"/>
        </w:rPr>
        <w:tab/>
      </w:r>
      <w:r w:rsidRPr="008E7712">
        <w:rPr>
          <w:szCs w:val="26"/>
        </w:rPr>
        <w:t xml:space="preserve">The Commission, in </w:t>
      </w:r>
      <w:r w:rsidRPr="008E7712">
        <w:rPr>
          <w:i/>
          <w:iCs/>
          <w:szCs w:val="26"/>
        </w:rPr>
        <w:t>Pa. PUC v. UGI Utilities, Inc. – Electric Division</w:t>
      </w:r>
      <w:r w:rsidRPr="008E7712">
        <w:rPr>
          <w:szCs w:val="26"/>
        </w:rPr>
        <w:t xml:space="preserve"> (</w:t>
      </w:r>
      <w:r w:rsidRPr="008E7712">
        <w:rPr>
          <w:i/>
          <w:iCs/>
          <w:szCs w:val="26"/>
        </w:rPr>
        <w:t>UGI</w:t>
      </w:r>
      <w:r w:rsidRPr="008E7712">
        <w:rPr>
          <w:szCs w:val="26"/>
        </w:rPr>
        <w:t>) has recently observed:</w:t>
      </w:r>
    </w:p>
    <w:p w14:paraId="05A80946" w14:textId="77777777" w:rsidR="009A47D3" w:rsidRPr="008E7712" w:rsidRDefault="009A47D3" w:rsidP="006C3AD4">
      <w:pPr>
        <w:pStyle w:val="ListParagraph"/>
        <w:spacing w:line="240" w:lineRule="auto"/>
        <w:ind w:left="0"/>
        <w:contextualSpacing w:val="0"/>
        <w:rPr>
          <w:szCs w:val="26"/>
        </w:rPr>
      </w:pPr>
    </w:p>
    <w:p w14:paraId="72779BDC" w14:textId="1A787C21" w:rsidR="0042660A" w:rsidRPr="008E7712" w:rsidRDefault="0042660A" w:rsidP="00EB7CBC">
      <w:pPr>
        <w:pStyle w:val="ListParagraph"/>
        <w:spacing w:line="240" w:lineRule="auto"/>
        <w:ind w:left="1440" w:right="1440"/>
        <w:contextualSpacing w:val="0"/>
        <w:rPr>
          <w:szCs w:val="26"/>
        </w:rPr>
      </w:pPr>
      <w:r w:rsidRPr="008E7712">
        <w:rPr>
          <w:szCs w:val="26"/>
        </w:rPr>
        <w:tab/>
        <w:t>One could argue that these three entities alone constitute representation of the entire public whose welfare is to be protected.  The OCA represents the interests of all of UGI Electric’s individual ratepayers, including, in this case, Ms. Brace.  The OSBA represents the interests of all of UGI Electric’s small business ratepayers.  I&amp;E represents the Commission as the entity charged with ensuring that rates are just and reasonable and, therefore, protective of all of UGI Electric’s ratepayers of whatever category.</w:t>
      </w:r>
    </w:p>
    <w:p w14:paraId="71A32E2C" w14:textId="77777777" w:rsidR="0042660A" w:rsidRPr="008E7712" w:rsidRDefault="0042660A" w:rsidP="00EB7CBC">
      <w:pPr>
        <w:pStyle w:val="ListParagraph"/>
        <w:spacing w:line="240" w:lineRule="auto"/>
        <w:ind w:left="1440" w:right="1440"/>
        <w:contextualSpacing w:val="0"/>
        <w:rPr>
          <w:szCs w:val="26"/>
        </w:rPr>
      </w:pPr>
    </w:p>
    <w:p w14:paraId="1C2F3384" w14:textId="2AA558B9" w:rsidR="0042660A" w:rsidRPr="008E7712" w:rsidRDefault="0042660A" w:rsidP="00EB7CBC">
      <w:pPr>
        <w:pStyle w:val="ListParagraph"/>
        <w:spacing w:line="240" w:lineRule="auto"/>
        <w:ind w:left="1440" w:right="1440"/>
        <w:contextualSpacing w:val="0"/>
        <w:rPr>
          <w:szCs w:val="26"/>
        </w:rPr>
      </w:pPr>
      <w:r w:rsidRPr="008E7712">
        <w:rPr>
          <w:szCs w:val="26"/>
        </w:rPr>
        <w:tab/>
        <w:t xml:space="preserve">All three of these entities, frequently described as the “public advocates,” actively participated in the instant case, and all three participated in the negotiation of the Settlement contained in the Joint Petition and have stated their support for its adoption by the Commission.  </w:t>
      </w:r>
      <w:r w:rsidRPr="008E7712">
        <w:rPr>
          <w:i/>
          <w:szCs w:val="26"/>
        </w:rPr>
        <w:t>See</w:t>
      </w:r>
      <w:r w:rsidRPr="008E7712">
        <w:rPr>
          <w:szCs w:val="26"/>
        </w:rPr>
        <w:t xml:space="preserve"> OCA Statement in Support, OSBA Statement in Support, and I&amp;E Statement in Support.  We fully find that the combined efforts of the OCA, </w:t>
      </w:r>
      <w:r w:rsidRPr="008E7712">
        <w:rPr>
          <w:szCs w:val="26"/>
        </w:rPr>
        <w:lastRenderedPageBreak/>
        <w:t>the OSBA, and I&amp;E adequately and completely protect the public interest in this case.</w:t>
      </w:r>
    </w:p>
    <w:p w14:paraId="2449820F" w14:textId="77777777" w:rsidR="009A47D3" w:rsidRPr="008E7712" w:rsidRDefault="009A47D3" w:rsidP="003F10A1">
      <w:pPr>
        <w:pStyle w:val="ListParagraph"/>
        <w:ind w:left="1440" w:right="1440"/>
        <w:contextualSpacing w:val="0"/>
        <w:rPr>
          <w:szCs w:val="26"/>
        </w:rPr>
      </w:pPr>
    </w:p>
    <w:p w14:paraId="59D80739" w14:textId="76E09635" w:rsidR="0042660A" w:rsidRPr="008E7712" w:rsidRDefault="0042660A" w:rsidP="003F10A1">
      <w:pPr>
        <w:pStyle w:val="ListParagraph"/>
        <w:ind w:left="0"/>
        <w:contextualSpacing w:val="0"/>
        <w:rPr>
          <w:szCs w:val="26"/>
        </w:rPr>
      </w:pPr>
      <w:r w:rsidRPr="008E7712">
        <w:rPr>
          <w:i/>
          <w:iCs/>
          <w:szCs w:val="26"/>
        </w:rPr>
        <w:t>Pa. PUC v. UGI Utilities, Inc. – Electric Division</w:t>
      </w:r>
      <w:r w:rsidRPr="008E7712">
        <w:rPr>
          <w:szCs w:val="26"/>
        </w:rPr>
        <w:t>, Docket No. R-2021-3023618 (Opinion</w:t>
      </w:r>
      <w:r w:rsidR="008C346F">
        <w:rPr>
          <w:szCs w:val="26"/>
        </w:rPr>
        <w:t> </w:t>
      </w:r>
      <w:r w:rsidRPr="008E7712">
        <w:rPr>
          <w:szCs w:val="26"/>
        </w:rPr>
        <w:t>and Order entered October 28, 2021).</w:t>
      </w:r>
    </w:p>
    <w:p w14:paraId="4F99FF5B" w14:textId="77777777" w:rsidR="0042660A" w:rsidRPr="008E7712" w:rsidRDefault="0042660A" w:rsidP="003F10A1">
      <w:pPr>
        <w:rPr>
          <w:szCs w:val="26"/>
        </w:rPr>
      </w:pPr>
    </w:p>
    <w:p w14:paraId="61E6243E" w14:textId="12E312C5" w:rsidR="0042660A" w:rsidRPr="008E7712" w:rsidRDefault="0042660A" w:rsidP="003F10A1">
      <w:pPr>
        <w:rPr>
          <w:szCs w:val="26"/>
        </w:rPr>
      </w:pPr>
      <w:r w:rsidRPr="008E7712">
        <w:rPr>
          <w:szCs w:val="26"/>
        </w:rPr>
        <w:tab/>
      </w:r>
      <w:r w:rsidR="009A47D3" w:rsidRPr="008E7712">
        <w:rPr>
          <w:szCs w:val="26"/>
        </w:rPr>
        <w:tab/>
      </w:r>
      <w:r w:rsidRPr="008E7712">
        <w:rPr>
          <w:szCs w:val="26"/>
        </w:rPr>
        <w:t xml:space="preserve">The Commission’s observations in </w:t>
      </w:r>
      <w:r w:rsidRPr="008E7712">
        <w:rPr>
          <w:i/>
          <w:iCs/>
          <w:szCs w:val="26"/>
        </w:rPr>
        <w:t>UGI</w:t>
      </w:r>
      <w:r w:rsidRPr="008E7712">
        <w:rPr>
          <w:szCs w:val="26"/>
        </w:rPr>
        <w:t xml:space="preserve"> apply with equal force in this case</w:t>
      </w:r>
      <w:r w:rsidR="001A62A1" w:rsidRPr="008E7712">
        <w:rPr>
          <w:szCs w:val="26"/>
        </w:rPr>
        <w:t xml:space="preserve">.  </w:t>
      </w:r>
      <w:r w:rsidRPr="008E7712">
        <w:rPr>
          <w:szCs w:val="26"/>
        </w:rPr>
        <w:t>The public interest is protected with respect to the determination of CUPA’s required revenue although such requirement is determined as a part of a “black box” settlement.</w:t>
      </w:r>
      <w:r w:rsidR="005A57BE" w:rsidRPr="008E7712">
        <w:rPr>
          <w:szCs w:val="26"/>
        </w:rPr>
        <w:t xml:space="preserve">  As discussed more fully</w:t>
      </w:r>
      <w:r w:rsidR="00E16FD2" w:rsidRPr="008E7712">
        <w:rPr>
          <w:szCs w:val="26"/>
        </w:rPr>
        <w:t>,</w:t>
      </w:r>
      <w:r w:rsidR="005A57BE" w:rsidRPr="008E7712">
        <w:rPr>
          <w:szCs w:val="26"/>
        </w:rPr>
        <w:t xml:space="preserve"> </w:t>
      </w:r>
      <w:r w:rsidR="005A57BE" w:rsidRPr="008E7712">
        <w:rPr>
          <w:i/>
          <w:iCs/>
          <w:szCs w:val="26"/>
        </w:rPr>
        <w:t>infra</w:t>
      </w:r>
      <w:r w:rsidR="00A80CB5" w:rsidRPr="008E7712">
        <w:rPr>
          <w:i/>
          <w:iCs/>
          <w:szCs w:val="26"/>
        </w:rPr>
        <w:t>.</w:t>
      </w:r>
      <w:r w:rsidR="00A80CB5" w:rsidRPr="008E7712">
        <w:rPr>
          <w:szCs w:val="26"/>
        </w:rPr>
        <w:t xml:space="preserve">, our examination of the comprehensive </w:t>
      </w:r>
      <w:r w:rsidR="00296646" w:rsidRPr="008E7712">
        <w:rPr>
          <w:szCs w:val="26"/>
        </w:rPr>
        <w:t>S</w:t>
      </w:r>
      <w:r w:rsidR="00D1036C" w:rsidRPr="008E7712">
        <w:rPr>
          <w:szCs w:val="26"/>
        </w:rPr>
        <w:t>ettlement</w:t>
      </w:r>
      <w:r w:rsidR="00E16FD2" w:rsidRPr="008E7712">
        <w:rPr>
          <w:szCs w:val="26"/>
        </w:rPr>
        <w:t>,</w:t>
      </w:r>
      <w:r w:rsidR="00D1036C" w:rsidRPr="008E7712">
        <w:rPr>
          <w:szCs w:val="26"/>
        </w:rPr>
        <w:t xml:space="preserve"> as a whole</w:t>
      </w:r>
      <w:r w:rsidR="00E16FD2" w:rsidRPr="008E7712">
        <w:rPr>
          <w:szCs w:val="26"/>
        </w:rPr>
        <w:t>,</w:t>
      </w:r>
      <w:r w:rsidR="00D1036C" w:rsidRPr="008E7712">
        <w:rPr>
          <w:szCs w:val="26"/>
        </w:rPr>
        <w:t xml:space="preserve"> leads us to conclude that, on balance, the Settlement is in the public interest and should be approved.  </w:t>
      </w:r>
    </w:p>
    <w:p w14:paraId="108D46B5" w14:textId="77777777" w:rsidR="0042660A" w:rsidRPr="008E7712" w:rsidRDefault="0042660A" w:rsidP="003F10A1">
      <w:pPr>
        <w:ind w:left="720" w:hanging="720"/>
        <w:rPr>
          <w:b/>
          <w:bCs/>
          <w:szCs w:val="26"/>
        </w:rPr>
      </w:pPr>
    </w:p>
    <w:p w14:paraId="403A6FD6" w14:textId="7A14E86C" w:rsidR="00C073D6" w:rsidRPr="008E7712" w:rsidRDefault="00A327B7" w:rsidP="003F10A1">
      <w:pPr>
        <w:pStyle w:val="Heading2"/>
        <w:spacing w:line="360" w:lineRule="auto"/>
      </w:pPr>
      <w:bookmarkStart w:id="27" w:name="_Toc91576495"/>
      <w:r w:rsidRPr="008E7712">
        <w:t>C.</w:t>
      </w:r>
      <w:r w:rsidRPr="008E7712">
        <w:tab/>
        <w:t>Stay Out</w:t>
      </w:r>
      <w:bookmarkEnd w:id="27"/>
    </w:p>
    <w:p w14:paraId="1CE139CA" w14:textId="77777777" w:rsidR="00C073D6" w:rsidRPr="008E7712" w:rsidRDefault="00C073D6" w:rsidP="003F10A1">
      <w:pPr>
        <w:keepNext/>
        <w:rPr>
          <w:szCs w:val="26"/>
        </w:rPr>
      </w:pPr>
    </w:p>
    <w:p w14:paraId="0772B415" w14:textId="0CCD88FC" w:rsidR="00C073D6" w:rsidRPr="008E7712" w:rsidRDefault="00C073D6" w:rsidP="003F10A1">
      <w:pPr>
        <w:keepNext/>
        <w:rPr>
          <w:szCs w:val="26"/>
        </w:rPr>
      </w:pPr>
      <w:r w:rsidRPr="008E7712">
        <w:rPr>
          <w:szCs w:val="26"/>
        </w:rPr>
        <w:tab/>
      </w:r>
      <w:r w:rsidRPr="008E7712">
        <w:rPr>
          <w:szCs w:val="26"/>
        </w:rPr>
        <w:tab/>
        <w:t xml:space="preserve">Public utility companies such as CUPA </w:t>
      </w:r>
      <w:r w:rsidR="00886A11" w:rsidRPr="008E7712">
        <w:rPr>
          <w:szCs w:val="26"/>
        </w:rPr>
        <w:t>may</w:t>
      </w:r>
      <w:r w:rsidRPr="008E7712">
        <w:rPr>
          <w:szCs w:val="26"/>
        </w:rPr>
        <w:t xml:space="preserve"> only attempt to receive a general rate increase through the mechanism of a base rate case</w:t>
      </w:r>
      <w:r w:rsidR="001A62A1" w:rsidRPr="008E7712">
        <w:rPr>
          <w:szCs w:val="26"/>
        </w:rPr>
        <w:t xml:space="preserve">.  </w:t>
      </w:r>
      <w:r w:rsidRPr="008E7712">
        <w:rPr>
          <w:szCs w:val="26"/>
        </w:rPr>
        <w:t>66 Pa. C.S. § 1308(d)</w:t>
      </w:r>
      <w:r w:rsidR="001A62A1" w:rsidRPr="008E7712">
        <w:rPr>
          <w:szCs w:val="26"/>
        </w:rPr>
        <w:t xml:space="preserve">.  </w:t>
      </w:r>
      <w:r w:rsidRPr="008E7712">
        <w:rPr>
          <w:i/>
          <w:iCs/>
          <w:szCs w:val="26"/>
        </w:rPr>
        <w:t>See Popowsky v. Pa. PUC</w:t>
      </w:r>
      <w:r w:rsidRPr="008E7712">
        <w:rPr>
          <w:szCs w:val="26"/>
        </w:rPr>
        <w:t>, 869 A.2d 1144 (Pa.</w:t>
      </w:r>
      <w:r w:rsidR="003F10A1">
        <w:rPr>
          <w:szCs w:val="26"/>
        </w:rPr>
        <w:t xml:space="preserve"> Cmwlth.</w:t>
      </w:r>
      <w:r w:rsidRPr="008E7712">
        <w:rPr>
          <w:szCs w:val="26"/>
        </w:rPr>
        <w:t xml:space="preserve"> 2005)</w:t>
      </w:r>
      <w:r w:rsidR="001A62A1" w:rsidRPr="008E7712">
        <w:rPr>
          <w:szCs w:val="26"/>
        </w:rPr>
        <w:t xml:space="preserve">.  </w:t>
      </w:r>
      <w:r w:rsidRPr="008E7712">
        <w:rPr>
          <w:szCs w:val="26"/>
        </w:rPr>
        <w:t>A time period limitation on a public utility’s ability to seek a general rate increase is contained in 66</w:t>
      </w:r>
      <w:r w:rsidR="00BB572A" w:rsidRPr="008E7712">
        <w:rPr>
          <w:szCs w:val="26"/>
        </w:rPr>
        <w:t> </w:t>
      </w:r>
      <w:r w:rsidRPr="008E7712">
        <w:rPr>
          <w:szCs w:val="26"/>
        </w:rPr>
        <w:t>Pa.</w:t>
      </w:r>
      <w:r w:rsidR="00BB572A" w:rsidRPr="008E7712">
        <w:rPr>
          <w:szCs w:val="26"/>
        </w:rPr>
        <w:t> </w:t>
      </w:r>
      <w:r w:rsidRPr="008E7712">
        <w:rPr>
          <w:szCs w:val="26"/>
        </w:rPr>
        <w:t>C.S. §</w:t>
      </w:r>
      <w:r w:rsidR="003F10A1">
        <w:rPr>
          <w:szCs w:val="26"/>
        </w:rPr>
        <w:t> </w:t>
      </w:r>
      <w:r w:rsidRPr="008E7712">
        <w:rPr>
          <w:szCs w:val="26"/>
        </w:rPr>
        <w:t>1308(d.1)</w:t>
      </w:r>
      <w:r w:rsidR="001A62A1" w:rsidRPr="008E7712">
        <w:rPr>
          <w:szCs w:val="26"/>
        </w:rPr>
        <w:t xml:space="preserve">.  </w:t>
      </w:r>
      <w:r w:rsidRPr="008E7712">
        <w:rPr>
          <w:szCs w:val="26"/>
        </w:rPr>
        <w:t>The Pennsylvania Commonwealth Court has succinctly summarized the operation of these provisions of the Code as follows:</w:t>
      </w:r>
    </w:p>
    <w:p w14:paraId="75FD60FD" w14:textId="77777777" w:rsidR="00C073D6" w:rsidRPr="008E7712" w:rsidRDefault="00C073D6" w:rsidP="00EB7CBC">
      <w:pPr>
        <w:spacing w:line="240" w:lineRule="auto"/>
        <w:rPr>
          <w:szCs w:val="26"/>
        </w:rPr>
      </w:pPr>
    </w:p>
    <w:p w14:paraId="46B7F4FD" w14:textId="77777777" w:rsidR="00A466FD" w:rsidRPr="008E7712" w:rsidRDefault="00C073D6" w:rsidP="00F16DA4">
      <w:pPr>
        <w:keepNext/>
        <w:spacing w:line="240" w:lineRule="auto"/>
        <w:ind w:left="1440" w:right="1440"/>
        <w:rPr>
          <w:szCs w:val="26"/>
        </w:rPr>
      </w:pPr>
      <w:r w:rsidRPr="008E7712">
        <w:rPr>
          <w:szCs w:val="26"/>
        </w:rPr>
        <w:tab/>
        <w:t>Public utilities may file for a general rate increase pursuant to Section 1308(d) of the Code, 66 Pa.C.S. §</w:t>
      </w:r>
      <w:r w:rsidR="000D6F3D" w:rsidRPr="008E7712">
        <w:rPr>
          <w:szCs w:val="26"/>
        </w:rPr>
        <w:t> </w:t>
      </w:r>
      <w:r w:rsidRPr="008E7712">
        <w:rPr>
          <w:szCs w:val="26"/>
        </w:rPr>
        <w:t>1308(d)</w:t>
      </w:r>
      <w:r w:rsidR="001A62A1" w:rsidRPr="008E7712">
        <w:rPr>
          <w:szCs w:val="26"/>
        </w:rPr>
        <w:t xml:space="preserve">.  </w:t>
      </w:r>
      <w:r w:rsidRPr="008E7712">
        <w:rPr>
          <w:szCs w:val="26"/>
        </w:rPr>
        <w:t>A general rate increase is defined therein as one which affects more than five percent of the public utility</w:t>
      </w:r>
      <w:r w:rsidR="000D6F3D" w:rsidRPr="008E7712">
        <w:rPr>
          <w:szCs w:val="26"/>
        </w:rPr>
        <w:t>’</w:t>
      </w:r>
      <w:r w:rsidRPr="008E7712">
        <w:rPr>
          <w:szCs w:val="26"/>
        </w:rPr>
        <w:t>s customers and amounts to an increase in excess of three percent of the utility</w:t>
      </w:r>
      <w:r w:rsidR="000D6F3D" w:rsidRPr="008E7712">
        <w:rPr>
          <w:szCs w:val="26"/>
        </w:rPr>
        <w:t>’</w:t>
      </w:r>
      <w:r w:rsidRPr="008E7712">
        <w:rPr>
          <w:szCs w:val="26"/>
        </w:rPr>
        <w:t>s total gross annual intrastate operating revenues</w:t>
      </w:r>
      <w:r w:rsidR="001A62A1" w:rsidRPr="008E7712">
        <w:rPr>
          <w:szCs w:val="26"/>
        </w:rPr>
        <w:t xml:space="preserve">.  </w:t>
      </w:r>
      <w:r w:rsidRPr="008E7712">
        <w:rPr>
          <w:szCs w:val="26"/>
        </w:rPr>
        <w:t>A general rate increase may be suspended for a maximum of seven months, after an initial sixty-day review by the Commission</w:t>
      </w:r>
      <w:r w:rsidR="001A62A1" w:rsidRPr="008E7712">
        <w:rPr>
          <w:szCs w:val="26"/>
        </w:rPr>
        <w:t xml:space="preserve">.  </w:t>
      </w:r>
      <w:r w:rsidRPr="008E7712">
        <w:rPr>
          <w:szCs w:val="26"/>
        </w:rPr>
        <w:t>Section 1308(d.1) of the Code, 66</w:t>
      </w:r>
      <w:r w:rsidR="000D6F3D" w:rsidRPr="008E7712">
        <w:rPr>
          <w:szCs w:val="26"/>
        </w:rPr>
        <w:t> </w:t>
      </w:r>
      <w:r w:rsidRPr="008E7712">
        <w:rPr>
          <w:szCs w:val="26"/>
        </w:rPr>
        <w:t xml:space="preserve">Pa.C.S. § 1308(d.1), however, prohibits a public utility from filing multiple general rate requests with the </w:t>
      </w:r>
      <w:r w:rsidRPr="008E7712">
        <w:rPr>
          <w:szCs w:val="26"/>
        </w:rPr>
        <w:lastRenderedPageBreak/>
        <w:t>Commission</w:t>
      </w:r>
      <w:r w:rsidR="001A62A1" w:rsidRPr="008E7712">
        <w:rPr>
          <w:szCs w:val="26"/>
        </w:rPr>
        <w:t xml:space="preserve">.  </w:t>
      </w:r>
      <w:r w:rsidRPr="008E7712">
        <w:rPr>
          <w:szCs w:val="26"/>
        </w:rPr>
        <w:t xml:space="preserve">Such multiple filings are referred to as </w:t>
      </w:r>
      <w:r w:rsidR="000D6F3D" w:rsidRPr="008E7712">
        <w:rPr>
          <w:szCs w:val="26"/>
        </w:rPr>
        <w:t>“</w:t>
      </w:r>
      <w:r w:rsidRPr="008E7712">
        <w:rPr>
          <w:szCs w:val="26"/>
        </w:rPr>
        <w:t>pancaking.</w:t>
      </w:r>
      <w:r w:rsidR="000D6F3D" w:rsidRPr="008E7712">
        <w:rPr>
          <w:szCs w:val="26"/>
        </w:rPr>
        <w:t xml:space="preserve">”  </w:t>
      </w:r>
    </w:p>
    <w:p w14:paraId="2C68EC7B" w14:textId="77777777" w:rsidR="00A466FD" w:rsidRPr="008E7712" w:rsidRDefault="00A466FD" w:rsidP="00F81782">
      <w:pPr>
        <w:keepNext/>
        <w:ind w:left="1440" w:right="1440"/>
        <w:rPr>
          <w:szCs w:val="26"/>
        </w:rPr>
      </w:pPr>
    </w:p>
    <w:p w14:paraId="1D32CF89" w14:textId="196631C7" w:rsidR="00C073D6" w:rsidRPr="008E7712" w:rsidRDefault="00C073D6" w:rsidP="00F81782">
      <w:pPr>
        <w:keepNext/>
        <w:rPr>
          <w:szCs w:val="26"/>
        </w:rPr>
      </w:pPr>
      <w:r w:rsidRPr="008E7712">
        <w:rPr>
          <w:i/>
          <w:iCs/>
          <w:szCs w:val="26"/>
        </w:rPr>
        <w:t>Masthope Rapids Property Owners Council v. Pa. PUC</w:t>
      </w:r>
      <w:r w:rsidRPr="008E7712">
        <w:rPr>
          <w:szCs w:val="26"/>
        </w:rPr>
        <w:t>, 135 Pa. Commw</w:t>
      </w:r>
      <w:r w:rsidR="001A62A1" w:rsidRPr="008E7712">
        <w:rPr>
          <w:szCs w:val="26"/>
        </w:rPr>
        <w:t xml:space="preserve">.  </w:t>
      </w:r>
      <w:r w:rsidRPr="008E7712">
        <w:rPr>
          <w:szCs w:val="26"/>
        </w:rPr>
        <w:t>437, 581</w:t>
      </w:r>
      <w:r w:rsidR="008C346F">
        <w:rPr>
          <w:szCs w:val="26"/>
        </w:rPr>
        <w:t> </w:t>
      </w:r>
      <w:r w:rsidRPr="008E7712">
        <w:rPr>
          <w:szCs w:val="26"/>
        </w:rPr>
        <w:t>A.2d 994 (1990)</w:t>
      </w:r>
      <w:r w:rsidR="00F81782">
        <w:rPr>
          <w:szCs w:val="26"/>
        </w:rPr>
        <w:t>.</w:t>
      </w:r>
    </w:p>
    <w:p w14:paraId="17FDAC88" w14:textId="77777777" w:rsidR="00BB572A" w:rsidRPr="008E7712" w:rsidRDefault="00BB572A" w:rsidP="00F16DA4">
      <w:pPr>
        <w:rPr>
          <w:szCs w:val="26"/>
        </w:rPr>
      </w:pPr>
    </w:p>
    <w:p w14:paraId="488D96EF" w14:textId="6930F8BB" w:rsidR="00C073D6" w:rsidRPr="008E7712" w:rsidRDefault="00C073D6" w:rsidP="00F81782">
      <w:pPr>
        <w:rPr>
          <w:szCs w:val="26"/>
        </w:rPr>
      </w:pPr>
      <w:r w:rsidRPr="008E7712">
        <w:rPr>
          <w:szCs w:val="26"/>
        </w:rPr>
        <w:tab/>
      </w:r>
      <w:r w:rsidRPr="008E7712">
        <w:rPr>
          <w:szCs w:val="26"/>
        </w:rPr>
        <w:tab/>
        <w:t>Were it not for the prohibition against filing another general rate increase request “until the commission has made a final decision and order on the prior general rate increase request or until the expiration of the maximum period of suspension of the prior general rate increase request” contained in 66 Pa. C.S. § 1308(d.1), a public utility would be free to file multiple general rate increase requests on a monthly, weekly or even daily basis</w:t>
      </w:r>
      <w:r w:rsidR="001A62A1" w:rsidRPr="008E7712">
        <w:rPr>
          <w:szCs w:val="26"/>
        </w:rPr>
        <w:t xml:space="preserve">.  </w:t>
      </w:r>
      <w:r w:rsidRPr="008E7712">
        <w:rPr>
          <w:szCs w:val="26"/>
        </w:rPr>
        <w:t>In reality, as prescribed by the Code, a public utility must “stay out” from requesting a subsequent general rate increase for approximately nine months</w:t>
      </w:r>
      <w:r w:rsidR="001A62A1" w:rsidRPr="008E7712">
        <w:rPr>
          <w:szCs w:val="26"/>
        </w:rPr>
        <w:t xml:space="preserve">.  </w:t>
      </w:r>
      <w:r w:rsidRPr="008E7712">
        <w:rPr>
          <w:szCs w:val="26"/>
        </w:rPr>
        <w:t>Public utility companies may, however, and often do, agree to “stay out” for longer periods of time as part of the negotiated settlement of a contested general rate increase case.</w:t>
      </w:r>
    </w:p>
    <w:p w14:paraId="7AE42AE8" w14:textId="77777777" w:rsidR="00C073D6" w:rsidRPr="008E7712" w:rsidRDefault="00C073D6" w:rsidP="00F81782">
      <w:pPr>
        <w:rPr>
          <w:szCs w:val="26"/>
        </w:rPr>
      </w:pPr>
    </w:p>
    <w:p w14:paraId="1E4F0F8D" w14:textId="147A421C" w:rsidR="00C073D6" w:rsidRPr="008E7712" w:rsidRDefault="00C073D6" w:rsidP="00F81782">
      <w:pPr>
        <w:rPr>
          <w:szCs w:val="26"/>
        </w:rPr>
      </w:pPr>
      <w:r w:rsidRPr="008E7712">
        <w:rPr>
          <w:szCs w:val="26"/>
        </w:rPr>
        <w:tab/>
      </w:r>
      <w:r w:rsidRPr="008E7712">
        <w:rPr>
          <w:szCs w:val="26"/>
        </w:rPr>
        <w:tab/>
        <w:t xml:space="preserve">The benefits derived from a “stay out” agreement </w:t>
      </w:r>
      <w:r w:rsidR="003758B4" w:rsidRPr="008E7712">
        <w:rPr>
          <w:szCs w:val="26"/>
        </w:rPr>
        <w:t xml:space="preserve">such as that presented in the instant case </w:t>
      </w:r>
      <w:r w:rsidRPr="008E7712">
        <w:rPr>
          <w:szCs w:val="26"/>
        </w:rPr>
        <w:t>are numerous</w:t>
      </w:r>
      <w:r w:rsidR="001A62A1" w:rsidRPr="008E7712">
        <w:rPr>
          <w:szCs w:val="26"/>
        </w:rPr>
        <w:t xml:space="preserve">.  </w:t>
      </w:r>
      <w:r w:rsidRPr="008E7712">
        <w:rPr>
          <w:szCs w:val="26"/>
        </w:rPr>
        <w:t>A “stay out” settlement provision provides ratepayers, whether individuals, small businesses, or large commercial enterprises, rate stability for a definite time period</w:t>
      </w:r>
      <w:r w:rsidR="001A62A1" w:rsidRPr="008E7712">
        <w:rPr>
          <w:szCs w:val="26"/>
        </w:rPr>
        <w:t xml:space="preserve">.  </w:t>
      </w:r>
      <w:r w:rsidRPr="008E7712">
        <w:rPr>
          <w:szCs w:val="26"/>
        </w:rPr>
        <w:t>This allows ratepayers to plan and budget with respect to public utility expense</w:t>
      </w:r>
      <w:r w:rsidR="001A62A1" w:rsidRPr="008E7712">
        <w:rPr>
          <w:szCs w:val="26"/>
        </w:rPr>
        <w:t xml:space="preserve">.  </w:t>
      </w:r>
      <w:r w:rsidRPr="008E7712">
        <w:rPr>
          <w:szCs w:val="26"/>
        </w:rPr>
        <w:t xml:space="preserve">Additionally, all parties who usually actively participate in general rate increase cases, </w:t>
      </w:r>
      <w:r w:rsidRPr="008E7712">
        <w:rPr>
          <w:i/>
          <w:iCs/>
          <w:szCs w:val="26"/>
        </w:rPr>
        <w:t>i.e.</w:t>
      </w:r>
      <w:r w:rsidRPr="008E7712">
        <w:rPr>
          <w:szCs w:val="26"/>
        </w:rPr>
        <w:t>, the utility company involved, and the public advocates (</w:t>
      </w:r>
      <w:r w:rsidR="003758B4" w:rsidRPr="008E7712">
        <w:rPr>
          <w:szCs w:val="26"/>
        </w:rPr>
        <w:t xml:space="preserve">the </w:t>
      </w:r>
      <w:r w:rsidRPr="008E7712">
        <w:rPr>
          <w:szCs w:val="26"/>
        </w:rPr>
        <w:t xml:space="preserve">OCA, </w:t>
      </w:r>
      <w:r w:rsidR="003758B4" w:rsidRPr="008E7712">
        <w:rPr>
          <w:szCs w:val="26"/>
        </w:rPr>
        <w:t xml:space="preserve">the </w:t>
      </w:r>
      <w:r w:rsidRPr="008E7712">
        <w:rPr>
          <w:szCs w:val="26"/>
        </w:rPr>
        <w:t>OSBA and the Commission through I&amp;E</w:t>
      </w:r>
      <w:r w:rsidR="00CB69CB">
        <w:rPr>
          <w:szCs w:val="26"/>
        </w:rPr>
        <w:t>)</w:t>
      </w:r>
      <w:r w:rsidR="00733837" w:rsidRPr="008E7712">
        <w:rPr>
          <w:szCs w:val="26"/>
        </w:rPr>
        <w:t>,</w:t>
      </w:r>
      <w:r w:rsidRPr="008E7712">
        <w:rPr>
          <w:szCs w:val="26"/>
        </w:rPr>
        <w:t xml:space="preserve"> </w:t>
      </w:r>
      <w:r w:rsidR="00733837" w:rsidRPr="008E7712">
        <w:rPr>
          <w:szCs w:val="26"/>
        </w:rPr>
        <w:t>as well as the Office of Administrative Law Judge and the Commission itself</w:t>
      </w:r>
      <w:r w:rsidR="004A6760">
        <w:rPr>
          <w:szCs w:val="26"/>
        </w:rPr>
        <w:t>)</w:t>
      </w:r>
      <w:r w:rsidR="00733837" w:rsidRPr="008E7712">
        <w:rPr>
          <w:szCs w:val="26"/>
        </w:rPr>
        <w:t xml:space="preserve">, </w:t>
      </w:r>
      <w:r w:rsidRPr="008E7712">
        <w:rPr>
          <w:szCs w:val="26"/>
        </w:rPr>
        <w:t>are relieved of the time and expense of litigating another base rate case for the “stay out” period.</w:t>
      </w:r>
    </w:p>
    <w:p w14:paraId="5A146512" w14:textId="77777777" w:rsidR="00C073D6" w:rsidRPr="008E7712" w:rsidRDefault="00C073D6" w:rsidP="00EB7CBC">
      <w:pPr>
        <w:rPr>
          <w:szCs w:val="26"/>
        </w:rPr>
      </w:pPr>
    </w:p>
    <w:p w14:paraId="5B763D01" w14:textId="77663137" w:rsidR="00C073D6" w:rsidRPr="008E7712" w:rsidRDefault="00C073D6" w:rsidP="00EB7CBC">
      <w:pPr>
        <w:rPr>
          <w:szCs w:val="26"/>
        </w:rPr>
      </w:pPr>
      <w:r w:rsidRPr="008E7712">
        <w:rPr>
          <w:szCs w:val="26"/>
        </w:rPr>
        <w:tab/>
      </w:r>
      <w:r w:rsidRPr="008E7712">
        <w:rPr>
          <w:szCs w:val="26"/>
        </w:rPr>
        <w:tab/>
        <w:t>It must be emphasized, however, that settlement agreement “stay out” provisions are not required but are voluntary and achieved only as a part of a larger negotiation.</w:t>
      </w:r>
    </w:p>
    <w:p w14:paraId="79FA4994" w14:textId="2608CBBC" w:rsidR="00C073D6" w:rsidRPr="008E7712" w:rsidRDefault="00C073D6" w:rsidP="00F16DA4">
      <w:pPr>
        <w:keepNext/>
        <w:rPr>
          <w:szCs w:val="26"/>
        </w:rPr>
      </w:pPr>
      <w:r w:rsidRPr="008E7712">
        <w:rPr>
          <w:szCs w:val="26"/>
        </w:rPr>
        <w:lastRenderedPageBreak/>
        <w:tab/>
      </w:r>
      <w:r w:rsidRPr="008E7712">
        <w:rPr>
          <w:szCs w:val="26"/>
        </w:rPr>
        <w:tab/>
        <w:t>In the instant case, CUPA agrees to a “stay out” provision that provides:</w:t>
      </w:r>
    </w:p>
    <w:p w14:paraId="5968D6E4" w14:textId="77777777" w:rsidR="00C073D6" w:rsidRPr="008E7712" w:rsidRDefault="00C073D6" w:rsidP="00581D88">
      <w:pPr>
        <w:keepNext/>
        <w:spacing w:line="240" w:lineRule="auto"/>
        <w:rPr>
          <w:szCs w:val="26"/>
        </w:rPr>
      </w:pPr>
    </w:p>
    <w:p w14:paraId="11E5A57C" w14:textId="7963F8A9" w:rsidR="00C073D6" w:rsidRPr="008E7712" w:rsidRDefault="00C073D6" w:rsidP="00F16DA4">
      <w:pPr>
        <w:pStyle w:val="ListParagraph"/>
        <w:tabs>
          <w:tab w:val="left" w:pos="1580"/>
        </w:tabs>
        <w:spacing w:line="240" w:lineRule="auto"/>
        <w:ind w:left="1440" w:right="1440"/>
        <w:contextualSpacing w:val="0"/>
        <w:rPr>
          <w:szCs w:val="26"/>
        </w:rPr>
      </w:pPr>
      <w:r w:rsidRPr="008E7712">
        <w:rPr>
          <w:szCs w:val="26"/>
        </w:rPr>
        <w:t>The</w:t>
      </w:r>
      <w:r w:rsidRPr="008E7712">
        <w:rPr>
          <w:spacing w:val="14"/>
          <w:szCs w:val="26"/>
        </w:rPr>
        <w:t xml:space="preserve"> </w:t>
      </w:r>
      <w:r w:rsidRPr="008E7712">
        <w:rPr>
          <w:szCs w:val="26"/>
        </w:rPr>
        <w:t>Company</w:t>
      </w:r>
      <w:r w:rsidRPr="008E7712">
        <w:rPr>
          <w:spacing w:val="15"/>
          <w:szCs w:val="26"/>
        </w:rPr>
        <w:t xml:space="preserve"> </w:t>
      </w:r>
      <w:r w:rsidRPr="008E7712">
        <w:rPr>
          <w:szCs w:val="26"/>
        </w:rPr>
        <w:t>agrees</w:t>
      </w:r>
      <w:r w:rsidRPr="008E7712">
        <w:rPr>
          <w:spacing w:val="14"/>
          <w:szCs w:val="26"/>
        </w:rPr>
        <w:t xml:space="preserve"> </w:t>
      </w:r>
      <w:r w:rsidRPr="008E7712">
        <w:rPr>
          <w:szCs w:val="26"/>
        </w:rPr>
        <w:t>that</w:t>
      </w:r>
      <w:r w:rsidRPr="008E7712">
        <w:rPr>
          <w:spacing w:val="15"/>
          <w:szCs w:val="26"/>
        </w:rPr>
        <w:t xml:space="preserve"> </w:t>
      </w:r>
      <w:r w:rsidRPr="008E7712">
        <w:rPr>
          <w:szCs w:val="26"/>
        </w:rPr>
        <w:t>it</w:t>
      </w:r>
      <w:r w:rsidRPr="008E7712">
        <w:rPr>
          <w:spacing w:val="12"/>
          <w:szCs w:val="26"/>
        </w:rPr>
        <w:t xml:space="preserve"> </w:t>
      </w:r>
      <w:r w:rsidRPr="008E7712">
        <w:rPr>
          <w:szCs w:val="26"/>
        </w:rPr>
        <w:t>will</w:t>
      </w:r>
      <w:r w:rsidRPr="008E7712">
        <w:rPr>
          <w:spacing w:val="15"/>
          <w:szCs w:val="26"/>
        </w:rPr>
        <w:t xml:space="preserve"> </w:t>
      </w:r>
      <w:r w:rsidRPr="008E7712">
        <w:rPr>
          <w:szCs w:val="26"/>
        </w:rPr>
        <w:t>not</w:t>
      </w:r>
      <w:r w:rsidRPr="008E7712">
        <w:rPr>
          <w:spacing w:val="17"/>
          <w:szCs w:val="26"/>
        </w:rPr>
        <w:t xml:space="preserve"> </w:t>
      </w:r>
      <w:r w:rsidRPr="008E7712">
        <w:rPr>
          <w:szCs w:val="26"/>
        </w:rPr>
        <w:t>file</w:t>
      </w:r>
      <w:r w:rsidRPr="008E7712">
        <w:rPr>
          <w:spacing w:val="17"/>
          <w:szCs w:val="26"/>
        </w:rPr>
        <w:t xml:space="preserve"> </w:t>
      </w:r>
      <w:r w:rsidRPr="008E7712">
        <w:rPr>
          <w:szCs w:val="26"/>
        </w:rPr>
        <w:t>for</w:t>
      </w:r>
      <w:r w:rsidRPr="008E7712">
        <w:rPr>
          <w:spacing w:val="13"/>
          <w:szCs w:val="26"/>
        </w:rPr>
        <w:t xml:space="preserve"> </w:t>
      </w:r>
      <w:r w:rsidRPr="008E7712">
        <w:rPr>
          <w:szCs w:val="26"/>
        </w:rPr>
        <w:t>a</w:t>
      </w:r>
      <w:r w:rsidRPr="008E7712">
        <w:rPr>
          <w:spacing w:val="13"/>
          <w:szCs w:val="26"/>
        </w:rPr>
        <w:t xml:space="preserve"> </w:t>
      </w:r>
      <w:r w:rsidRPr="008E7712">
        <w:rPr>
          <w:szCs w:val="26"/>
        </w:rPr>
        <w:t>general</w:t>
      </w:r>
      <w:r w:rsidRPr="008E7712">
        <w:rPr>
          <w:spacing w:val="12"/>
          <w:szCs w:val="26"/>
        </w:rPr>
        <w:t xml:space="preserve"> </w:t>
      </w:r>
      <w:r w:rsidRPr="008E7712">
        <w:rPr>
          <w:szCs w:val="26"/>
        </w:rPr>
        <w:t>increase</w:t>
      </w:r>
      <w:r w:rsidRPr="008E7712">
        <w:rPr>
          <w:spacing w:val="13"/>
          <w:szCs w:val="26"/>
        </w:rPr>
        <w:t xml:space="preserve"> </w:t>
      </w:r>
      <w:r w:rsidRPr="008E7712">
        <w:rPr>
          <w:szCs w:val="26"/>
        </w:rPr>
        <w:t>pursuant</w:t>
      </w:r>
      <w:r w:rsidRPr="008E7712">
        <w:rPr>
          <w:spacing w:val="14"/>
          <w:szCs w:val="26"/>
        </w:rPr>
        <w:t xml:space="preserve"> </w:t>
      </w:r>
      <w:r w:rsidRPr="008E7712">
        <w:rPr>
          <w:szCs w:val="26"/>
        </w:rPr>
        <w:t>to</w:t>
      </w:r>
      <w:r w:rsidRPr="008E7712">
        <w:rPr>
          <w:spacing w:val="15"/>
          <w:szCs w:val="26"/>
        </w:rPr>
        <w:t xml:space="preserve"> </w:t>
      </w:r>
      <w:r w:rsidRPr="008E7712">
        <w:rPr>
          <w:szCs w:val="26"/>
        </w:rPr>
        <w:t>66</w:t>
      </w:r>
      <w:r w:rsidRPr="008E7712">
        <w:rPr>
          <w:spacing w:val="14"/>
          <w:szCs w:val="26"/>
        </w:rPr>
        <w:t xml:space="preserve"> </w:t>
      </w:r>
      <w:r w:rsidRPr="008E7712">
        <w:rPr>
          <w:szCs w:val="26"/>
        </w:rPr>
        <w:t>Pa C.S. § 1308(d) to water or wastewater base rates earlier than September 30, 2023</w:t>
      </w:r>
      <w:r w:rsidR="001A62A1" w:rsidRPr="008E7712">
        <w:rPr>
          <w:szCs w:val="26"/>
        </w:rPr>
        <w:t xml:space="preserve">.  </w:t>
      </w:r>
      <w:r w:rsidRPr="008E7712">
        <w:rPr>
          <w:szCs w:val="26"/>
        </w:rPr>
        <w:t xml:space="preserve">This </w:t>
      </w:r>
      <w:r w:rsidR="00630CD2" w:rsidRPr="008E7712">
        <w:rPr>
          <w:szCs w:val="26"/>
        </w:rPr>
        <w:t>paragr</w:t>
      </w:r>
      <w:r w:rsidR="00630CD2" w:rsidRPr="00346E70">
        <w:rPr>
          <w:szCs w:val="26"/>
        </w:rPr>
        <w:t>aph does</w:t>
      </w:r>
      <w:r w:rsidRPr="00346E70">
        <w:rPr>
          <w:szCs w:val="26"/>
        </w:rPr>
        <w:t xml:space="preserve"> not</w:t>
      </w:r>
      <w:r w:rsidRPr="00346E70">
        <w:rPr>
          <w:spacing w:val="-9"/>
          <w:szCs w:val="26"/>
        </w:rPr>
        <w:t xml:space="preserve"> </w:t>
      </w:r>
      <w:r w:rsidRPr="00346E70">
        <w:rPr>
          <w:szCs w:val="26"/>
        </w:rPr>
        <w:t>apply</w:t>
      </w:r>
      <w:r w:rsidRPr="00346E70">
        <w:rPr>
          <w:spacing w:val="-10"/>
          <w:szCs w:val="26"/>
        </w:rPr>
        <w:t xml:space="preserve"> </w:t>
      </w:r>
      <w:r w:rsidRPr="00346E70">
        <w:rPr>
          <w:szCs w:val="26"/>
        </w:rPr>
        <w:t>to</w:t>
      </w:r>
      <w:r w:rsidRPr="00346E70">
        <w:rPr>
          <w:spacing w:val="-9"/>
          <w:szCs w:val="26"/>
        </w:rPr>
        <w:t xml:space="preserve"> </w:t>
      </w:r>
      <w:r w:rsidRPr="00346E70">
        <w:rPr>
          <w:szCs w:val="26"/>
        </w:rPr>
        <w:t>extraordinary</w:t>
      </w:r>
      <w:r w:rsidRPr="00346E70">
        <w:rPr>
          <w:spacing w:val="-9"/>
          <w:szCs w:val="26"/>
        </w:rPr>
        <w:t xml:space="preserve"> </w:t>
      </w:r>
      <w:r w:rsidRPr="00346E70">
        <w:rPr>
          <w:szCs w:val="26"/>
        </w:rPr>
        <w:t>or</w:t>
      </w:r>
      <w:r w:rsidRPr="00346E70">
        <w:rPr>
          <w:spacing w:val="-12"/>
          <w:szCs w:val="26"/>
        </w:rPr>
        <w:t xml:space="preserve"> </w:t>
      </w:r>
      <w:r w:rsidRPr="00346E70">
        <w:rPr>
          <w:szCs w:val="26"/>
        </w:rPr>
        <w:t>emergency</w:t>
      </w:r>
      <w:r w:rsidRPr="00346E70">
        <w:rPr>
          <w:spacing w:val="-9"/>
          <w:szCs w:val="26"/>
        </w:rPr>
        <w:t xml:space="preserve"> </w:t>
      </w:r>
      <w:r w:rsidRPr="00346E70">
        <w:rPr>
          <w:szCs w:val="26"/>
        </w:rPr>
        <w:t>rate</w:t>
      </w:r>
      <w:r w:rsidRPr="00346E70">
        <w:rPr>
          <w:spacing w:val="-7"/>
          <w:szCs w:val="26"/>
        </w:rPr>
        <w:t xml:space="preserve"> </w:t>
      </w:r>
      <w:r w:rsidRPr="008E7712">
        <w:rPr>
          <w:szCs w:val="26"/>
        </w:rPr>
        <w:t>relief</w:t>
      </w:r>
      <w:r w:rsidRPr="008E7712">
        <w:rPr>
          <w:spacing w:val="-12"/>
          <w:szCs w:val="26"/>
        </w:rPr>
        <w:t xml:space="preserve"> </w:t>
      </w:r>
      <w:r w:rsidRPr="008E7712">
        <w:rPr>
          <w:szCs w:val="26"/>
        </w:rPr>
        <w:t>pursuant</w:t>
      </w:r>
      <w:r w:rsidRPr="008E7712">
        <w:rPr>
          <w:spacing w:val="-9"/>
          <w:szCs w:val="26"/>
        </w:rPr>
        <w:t xml:space="preserve"> </w:t>
      </w:r>
      <w:r w:rsidRPr="008E7712">
        <w:rPr>
          <w:szCs w:val="26"/>
        </w:rPr>
        <w:t>to</w:t>
      </w:r>
      <w:r w:rsidRPr="008E7712">
        <w:rPr>
          <w:spacing w:val="-10"/>
          <w:szCs w:val="26"/>
        </w:rPr>
        <w:t xml:space="preserve"> </w:t>
      </w:r>
      <w:r w:rsidRPr="008E7712">
        <w:rPr>
          <w:szCs w:val="26"/>
        </w:rPr>
        <w:t>66</w:t>
      </w:r>
      <w:r w:rsidRPr="008E7712">
        <w:rPr>
          <w:spacing w:val="-9"/>
          <w:szCs w:val="26"/>
        </w:rPr>
        <w:t xml:space="preserve"> </w:t>
      </w:r>
      <w:r w:rsidRPr="008E7712">
        <w:rPr>
          <w:szCs w:val="26"/>
        </w:rPr>
        <w:t>Pa.</w:t>
      </w:r>
      <w:r w:rsidRPr="008E7712">
        <w:rPr>
          <w:spacing w:val="-9"/>
          <w:szCs w:val="26"/>
        </w:rPr>
        <w:t xml:space="preserve"> </w:t>
      </w:r>
      <w:r w:rsidRPr="008E7712">
        <w:rPr>
          <w:szCs w:val="26"/>
        </w:rPr>
        <w:t>C.S.</w:t>
      </w:r>
      <w:r w:rsidRPr="008E7712">
        <w:rPr>
          <w:spacing w:val="-7"/>
          <w:szCs w:val="26"/>
        </w:rPr>
        <w:t xml:space="preserve"> </w:t>
      </w:r>
      <w:r w:rsidRPr="008E7712">
        <w:rPr>
          <w:szCs w:val="26"/>
        </w:rPr>
        <w:t>§</w:t>
      </w:r>
      <w:r w:rsidRPr="008E7712">
        <w:rPr>
          <w:spacing w:val="-9"/>
          <w:szCs w:val="26"/>
        </w:rPr>
        <w:t xml:space="preserve"> </w:t>
      </w:r>
      <w:r w:rsidRPr="008E7712">
        <w:rPr>
          <w:szCs w:val="26"/>
        </w:rPr>
        <w:t>1308(e)</w:t>
      </w:r>
      <w:r w:rsidRPr="008E7712">
        <w:rPr>
          <w:spacing w:val="-10"/>
          <w:szCs w:val="26"/>
        </w:rPr>
        <w:t xml:space="preserve"> </w:t>
      </w:r>
      <w:r w:rsidRPr="008E7712">
        <w:rPr>
          <w:szCs w:val="26"/>
        </w:rPr>
        <w:t>(or</w:t>
      </w:r>
      <w:r w:rsidRPr="008E7712">
        <w:rPr>
          <w:spacing w:val="-9"/>
          <w:szCs w:val="26"/>
        </w:rPr>
        <w:t xml:space="preserve"> </w:t>
      </w:r>
      <w:r w:rsidRPr="008E7712">
        <w:rPr>
          <w:szCs w:val="26"/>
        </w:rPr>
        <w:t>upon</w:t>
      </w:r>
      <w:r w:rsidR="00764FB9" w:rsidRPr="008E7712">
        <w:rPr>
          <w:szCs w:val="26"/>
        </w:rPr>
        <w:t xml:space="preserve"> </w:t>
      </w:r>
      <w:r w:rsidRPr="008E7712">
        <w:rPr>
          <w:spacing w:val="-58"/>
          <w:szCs w:val="26"/>
        </w:rPr>
        <w:t xml:space="preserve"> </w:t>
      </w:r>
      <w:r w:rsidRPr="008E7712">
        <w:rPr>
          <w:szCs w:val="26"/>
        </w:rPr>
        <w:t>a petition for emergency rate increase), tariff changes required by Commission order or industry-</w:t>
      </w:r>
      <w:r w:rsidRPr="008E7712">
        <w:rPr>
          <w:spacing w:val="-57"/>
          <w:szCs w:val="26"/>
        </w:rPr>
        <w:t xml:space="preserve"> </w:t>
      </w:r>
      <w:r w:rsidRPr="008E7712">
        <w:rPr>
          <w:szCs w:val="26"/>
        </w:rPr>
        <w:t>wide</w:t>
      </w:r>
      <w:r w:rsidRPr="008E7712">
        <w:rPr>
          <w:spacing w:val="-2"/>
          <w:szCs w:val="26"/>
        </w:rPr>
        <w:t xml:space="preserve"> </w:t>
      </w:r>
      <w:r w:rsidRPr="008E7712">
        <w:rPr>
          <w:szCs w:val="26"/>
        </w:rPr>
        <w:t>changes</w:t>
      </w:r>
      <w:r w:rsidRPr="008E7712">
        <w:rPr>
          <w:spacing w:val="-1"/>
          <w:szCs w:val="26"/>
        </w:rPr>
        <w:t xml:space="preserve"> </w:t>
      </w:r>
      <w:r w:rsidRPr="008E7712">
        <w:rPr>
          <w:szCs w:val="26"/>
        </w:rPr>
        <w:t>in</w:t>
      </w:r>
      <w:r w:rsidRPr="008E7712">
        <w:rPr>
          <w:spacing w:val="-1"/>
          <w:szCs w:val="26"/>
        </w:rPr>
        <w:t xml:space="preserve"> </w:t>
      </w:r>
      <w:r w:rsidRPr="008E7712">
        <w:rPr>
          <w:szCs w:val="26"/>
        </w:rPr>
        <w:t>regulatory</w:t>
      </w:r>
      <w:r w:rsidRPr="008E7712">
        <w:rPr>
          <w:spacing w:val="-1"/>
          <w:szCs w:val="26"/>
        </w:rPr>
        <w:t xml:space="preserve"> </w:t>
      </w:r>
      <w:r w:rsidRPr="008E7712">
        <w:rPr>
          <w:szCs w:val="26"/>
        </w:rPr>
        <w:t>policy</w:t>
      </w:r>
      <w:r w:rsidRPr="008E7712">
        <w:rPr>
          <w:spacing w:val="-1"/>
          <w:szCs w:val="26"/>
        </w:rPr>
        <w:t xml:space="preserve"> </w:t>
      </w:r>
      <w:r w:rsidRPr="008E7712">
        <w:rPr>
          <w:szCs w:val="26"/>
        </w:rPr>
        <w:t>which</w:t>
      </w:r>
      <w:r w:rsidRPr="008E7712">
        <w:rPr>
          <w:spacing w:val="-3"/>
          <w:szCs w:val="26"/>
        </w:rPr>
        <w:t xml:space="preserve"> </w:t>
      </w:r>
      <w:r w:rsidRPr="008E7712">
        <w:rPr>
          <w:szCs w:val="26"/>
        </w:rPr>
        <w:t>affect</w:t>
      </w:r>
      <w:r w:rsidRPr="008E7712">
        <w:rPr>
          <w:spacing w:val="-1"/>
          <w:szCs w:val="26"/>
        </w:rPr>
        <w:t xml:space="preserve"> </w:t>
      </w:r>
      <w:r w:rsidRPr="008E7712">
        <w:rPr>
          <w:szCs w:val="26"/>
        </w:rPr>
        <w:t>CUPA’s</w:t>
      </w:r>
      <w:r w:rsidRPr="008E7712">
        <w:rPr>
          <w:spacing w:val="-4"/>
          <w:szCs w:val="26"/>
        </w:rPr>
        <w:t xml:space="preserve"> </w:t>
      </w:r>
      <w:r w:rsidRPr="008E7712">
        <w:rPr>
          <w:szCs w:val="26"/>
        </w:rPr>
        <w:t>rates.</w:t>
      </w:r>
    </w:p>
    <w:p w14:paraId="1647110D" w14:textId="77777777" w:rsidR="00A466FD" w:rsidRPr="008E7712" w:rsidRDefault="00A466FD" w:rsidP="00F81782">
      <w:pPr>
        <w:pStyle w:val="ListParagraph"/>
        <w:keepNext/>
        <w:tabs>
          <w:tab w:val="left" w:pos="1580"/>
        </w:tabs>
        <w:ind w:left="1440" w:right="1440"/>
        <w:contextualSpacing w:val="0"/>
        <w:rPr>
          <w:szCs w:val="26"/>
        </w:rPr>
      </w:pPr>
    </w:p>
    <w:p w14:paraId="320A3D1F" w14:textId="77777777" w:rsidR="00C073D6" w:rsidRPr="008E7712" w:rsidRDefault="00C073D6" w:rsidP="00F81782">
      <w:pPr>
        <w:pStyle w:val="ListParagraph"/>
        <w:keepNext/>
        <w:tabs>
          <w:tab w:val="left" w:pos="1580"/>
        </w:tabs>
        <w:ind w:left="0"/>
        <w:contextualSpacing w:val="0"/>
        <w:rPr>
          <w:szCs w:val="26"/>
        </w:rPr>
      </w:pPr>
      <w:r w:rsidRPr="008E7712">
        <w:rPr>
          <w:szCs w:val="26"/>
        </w:rPr>
        <w:t>Joint Petition at 8.</w:t>
      </w:r>
    </w:p>
    <w:p w14:paraId="4DD79525" w14:textId="77777777" w:rsidR="00C073D6" w:rsidRPr="008E7712" w:rsidRDefault="00C073D6" w:rsidP="00F81782">
      <w:pPr>
        <w:rPr>
          <w:szCs w:val="26"/>
        </w:rPr>
      </w:pPr>
    </w:p>
    <w:p w14:paraId="62817FD6" w14:textId="1B3E9632" w:rsidR="00C073D6" w:rsidRPr="008E7712" w:rsidRDefault="00C073D6" w:rsidP="00F81782">
      <w:pPr>
        <w:rPr>
          <w:szCs w:val="26"/>
        </w:rPr>
      </w:pPr>
      <w:r w:rsidRPr="008E7712">
        <w:rPr>
          <w:szCs w:val="26"/>
        </w:rPr>
        <w:tab/>
      </w:r>
      <w:r w:rsidRPr="008E7712">
        <w:rPr>
          <w:szCs w:val="26"/>
        </w:rPr>
        <w:tab/>
        <w:t>Given that the suspension date for Commission action has been extended to February 18, 2022</w:t>
      </w:r>
      <w:r w:rsidR="00BB572A" w:rsidRPr="008E7712">
        <w:rPr>
          <w:szCs w:val="26"/>
        </w:rPr>
        <w:t>,</w:t>
      </w:r>
      <w:r w:rsidRPr="008E7712">
        <w:rPr>
          <w:szCs w:val="26"/>
        </w:rPr>
        <w:t xml:space="preserve"> CUPA agrees to a “stay out” period of more than </w:t>
      </w:r>
      <w:r w:rsidR="00E16FD2" w:rsidRPr="008E7712">
        <w:rPr>
          <w:szCs w:val="26"/>
        </w:rPr>
        <w:t>seventeen</w:t>
      </w:r>
      <w:r w:rsidRPr="008E7712">
        <w:rPr>
          <w:szCs w:val="26"/>
        </w:rPr>
        <w:t xml:space="preserve"> months</w:t>
      </w:r>
      <w:r w:rsidR="001A62A1" w:rsidRPr="008E7712">
        <w:rPr>
          <w:szCs w:val="26"/>
        </w:rPr>
        <w:t xml:space="preserve">.  </w:t>
      </w:r>
      <w:r w:rsidRPr="008E7712">
        <w:rPr>
          <w:szCs w:val="26"/>
        </w:rPr>
        <w:t xml:space="preserve">With the addition of the normal </w:t>
      </w:r>
      <w:r w:rsidR="00E16FD2" w:rsidRPr="008E7712">
        <w:rPr>
          <w:szCs w:val="26"/>
        </w:rPr>
        <w:t>nine</w:t>
      </w:r>
      <w:r w:rsidRPr="008E7712">
        <w:rPr>
          <w:szCs w:val="26"/>
        </w:rPr>
        <w:t>-month time period for conducting a general rate increase case, any future rate increase by CUPA appears to be more than two years in the future.</w:t>
      </w:r>
    </w:p>
    <w:p w14:paraId="1D1214F4" w14:textId="77777777" w:rsidR="00C073D6" w:rsidRPr="008E7712" w:rsidRDefault="00C073D6" w:rsidP="00EB7CBC">
      <w:pPr>
        <w:rPr>
          <w:szCs w:val="26"/>
        </w:rPr>
      </w:pPr>
    </w:p>
    <w:p w14:paraId="59BA90CF" w14:textId="26F84ACB" w:rsidR="00C073D6" w:rsidRPr="008E7712" w:rsidRDefault="00C073D6" w:rsidP="00EB7CBC">
      <w:pPr>
        <w:rPr>
          <w:szCs w:val="26"/>
        </w:rPr>
      </w:pPr>
      <w:r w:rsidRPr="008E7712">
        <w:rPr>
          <w:szCs w:val="26"/>
        </w:rPr>
        <w:tab/>
      </w:r>
      <w:r w:rsidRPr="008E7712">
        <w:rPr>
          <w:szCs w:val="26"/>
        </w:rPr>
        <w:tab/>
        <w:t>A two</w:t>
      </w:r>
      <w:r w:rsidR="004A6A10" w:rsidRPr="008E7712">
        <w:rPr>
          <w:szCs w:val="26"/>
        </w:rPr>
        <w:t>-</w:t>
      </w:r>
      <w:r w:rsidRPr="008E7712">
        <w:rPr>
          <w:szCs w:val="26"/>
        </w:rPr>
        <w:t>year “stay out” or less, has been a part of Commission</w:t>
      </w:r>
      <w:r w:rsidR="00791693" w:rsidRPr="008E7712">
        <w:rPr>
          <w:szCs w:val="26"/>
        </w:rPr>
        <w:t>-</w:t>
      </w:r>
      <w:r w:rsidRPr="008E7712">
        <w:rPr>
          <w:szCs w:val="26"/>
        </w:rPr>
        <w:t>approved settlements in a number of general rate increase cases</w:t>
      </w:r>
      <w:r w:rsidR="001A62A1" w:rsidRPr="008E7712">
        <w:rPr>
          <w:szCs w:val="26"/>
        </w:rPr>
        <w:t xml:space="preserve">.  </w:t>
      </w:r>
      <w:r w:rsidRPr="008E7712">
        <w:rPr>
          <w:i/>
          <w:iCs/>
          <w:szCs w:val="26"/>
        </w:rPr>
        <w:t>See Pa. PUC v. Peoples TWP</w:t>
      </w:r>
      <w:r w:rsidR="00F81782">
        <w:rPr>
          <w:i/>
          <w:iCs/>
          <w:szCs w:val="26"/>
        </w:rPr>
        <w:t> </w:t>
      </w:r>
      <w:r w:rsidRPr="008E7712">
        <w:rPr>
          <w:i/>
          <w:iCs/>
          <w:szCs w:val="26"/>
        </w:rPr>
        <w:t>LLC</w:t>
      </w:r>
      <w:r w:rsidRPr="008E7712">
        <w:rPr>
          <w:szCs w:val="26"/>
        </w:rPr>
        <w:t xml:space="preserve">, Docket No. R-2013-2355886, </w:t>
      </w:r>
      <w:r w:rsidR="000A13BC">
        <w:rPr>
          <w:szCs w:val="26"/>
        </w:rPr>
        <w:t>(</w:t>
      </w:r>
      <w:r w:rsidRPr="008E7712">
        <w:rPr>
          <w:szCs w:val="26"/>
        </w:rPr>
        <w:t>Opinion and Order entered December</w:t>
      </w:r>
      <w:r w:rsidR="00F81782">
        <w:rPr>
          <w:szCs w:val="26"/>
        </w:rPr>
        <w:t> </w:t>
      </w:r>
      <w:r w:rsidRPr="008E7712">
        <w:rPr>
          <w:szCs w:val="26"/>
        </w:rPr>
        <w:t>19,</w:t>
      </w:r>
      <w:r w:rsidR="00F81782">
        <w:rPr>
          <w:szCs w:val="26"/>
        </w:rPr>
        <w:t> </w:t>
      </w:r>
      <w:r w:rsidRPr="008E7712">
        <w:rPr>
          <w:szCs w:val="26"/>
        </w:rPr>
        <w:t>2013</w:t>
      </w:r>
      <w:r w:rsidR="000A13BC">
        <w:rPr>
          <w:szCs w:val="26"/>
        </w:rPr>
        <w:t>)</w:t>
      </w:r>
      <w:r w:rsidRPr="008E7712">
        <w:rPr>
          <w:szCs w:val="26"/>
        </w:rPr>
        <w:t xml:space="preserve"> (company agrees not to increase base rates prior to January 1, 2014), </w:t>
      </w:r>
      <w:r w:rsidRPr="008E7712">
        <w:rPr>
          <w:i/>
          <w:iCs/>
          <w:szCs w:val="26"/>
        </w:rPr>
        <w:t>Pa.</w:t>
      </w:r>
      <w:r w:rsidR="00CD44C4" w:rsidRPr="008E7712">
        <w:rPr>
          <w:i/>
          <w:iCs/>
          <w:szCs w:val="26"/>
        </w:rPr>
        <w:t> </w:t>
      </w:r>
      <w:r w:rsidRPr="008E7712">
        <w:rPr>
          <w:i/>
          <w:iCs/>
          <w:szCs w:val="26"/>
        </w:rPr>
        <w:t>PUC</w:t>
      </w:r>
      <w:r w:rsidR="00CD44C4" w:rsidRPr="008E7712">
        <w:rPr>
          <w:i/>
          <w:iCs/>
          <w:szCs w:val="26"/>
        </w:rPr>
        <w:t> </w:t>
      </w:r>
      <w:r w:rsidRPr="008E7712">
        <w:rPr>
          <w:i/>
          <w:iCs/>
          <w:szCs w:val="26"/>
        </w:rPr>
        <w:t>v. Pike County Light &amp; Power Company – Electric</w:t>
      </w:r>
      <w:r w:rsidRPr="008E7712">
        <w:rPr>
          <w:szCs w:val="26"/>
        </w:rPr>
        <w:t>, Docket No. R</w:t>
      </w:r>
      <w:r w:rsidR="00CD44C4" w:rsidRPr="008E7712">
        <w:rPr>
          <w:szCs w:val="26"/>
        </w:rPr>
        <w:noBreakHyphen/>
      </w:r>
      <w:r w:rsidRPr="008E7712">
        <w:rPr>
          <w:szCs w:val="26"/>
        </w:rPr>
        <w:t>2020</w:t>
      </w:r>
      <w:r w:rsidR="00CD44C4" w:rsidRPr="008E7712">
        <w:rPr>
          <w:szCs w:val="26"/>
        </w:rPr>
        <w:noBreakHyphen/>
      </w:r>
      <w:r w:rsidRPr="008E7712">
        <w:rPr>
          <w:szCs w:val="26"/>
        </w:rPr>
        <w:t xml:space="preserve">3022135 </w:t>
      </w:r>
      <w:r w:rsidR="000A13BC">
        <w:rPr>
          <w:szCs w:val="26"/>
        </w:rPr>
        <w:t>(</w:t>
      </w:r>
      <w:r w:rsidRPr="008E7712">
        <w:rPr>
          <w:szCs w:val="26"/>
        </w:rPr>
        <w:t>Opinion and Order entered July 21, 2021</w:t>
      </w:r>
      <w:r w:rsidR="007E24C0">
        <w:rPr>
          <w:szCs w:val="26"/>
        </w:rPr>
        <w:t>)</w:t>
      </w:r>
      <w:r w:rsidRPr="008E7712">
        <w:rPr>
          <w:szCs w:val="26"/>
        </w:rPr>
        <w:t xml:space="preserve"> (rate increase to be effective not sooner than July</w:t>
      </w:r>
      <w:r w:rsidR="00F81782">
        <w:rPr>
          <w:szCs w:val="26"/>
        </w:rPr>
        <w:t> </w:t>
      </w:r>
      <w:r w:rsidRPr="008E7712">
        <w:rPr>
          <w:szCs w:val="26"/>
        </w:rPr>
        <w:t>28,</w:t>
      </w:r>
      <w:r w:rsidR="00F81782">
        <w:rPr>
          <w:szCs w:val="26"/>
        </w:rPr>
        <w:t> </w:t>
      </w:r>
      <w:r w:rsidRPr="008E7712">
        <w:rPr>
          <w:szCs w:val="26"/>
        </w:rPr>
        <w:t>2021, company will not file for DSIC increase with an effective date prior to July</w:t>
      </w:r>
      <w:r w:rsidR="00F81782">
        <w:rPr>
          <w:szCs w:val="26"/>
        </w:rPr>
        <w:t> </w:t>
      </w:r>
      <w:r w:rsidRPr="008E7712">
        <w:rPr>
          <w:szCs w:val="26"/>
        </w:rPr>
        <w:t xml:space="preserve">1, 2022), </w:t>
      </w:r>
      <w:r w:rsidRPr="008E7712">
        <w:rPr>
          <w:i/>
          <w:iCs/>
          <w:szCs w:val="26"/>
        </w:rPr>
        <w:t>Pa. PUC v. Pennsylvania-American Water Company</w:t>
      </w:r>
      <w:r w:rsidRPr="008E7712">
        <w:rPr>
          <w:szCs w:val="26"/>
        </w:rPr>
        <w:t>, Docket No. R</w:t>
      </w:r>
      <w:r w:rsidR="00F81782">
        <w:rPr>
          <w:szCs w:val="26"/>
        </w:rPr>
        <w:noBreakHyphen/>
      </w:r>
      <w:r w:rsidRPr="008E7712">
        <w:rPr>
          <w:szCs w:val="26"/>
        </w:rPr>
        <w:t>2020</w:t>
      </w:r>
      <w:r w:rsidR="00F81782">
        <w:rPr>
          <w:szCs w:val="26"/>
        </w:rPr>
        <w:noBreakHyphen/>
      </w:r>
      <w:r w:rsidRPr="008E7712">
        <w:rPr>
          <w:szCs w:val="26"/>
        </w:rPr>
        <w:t xml:space="preserve">3019369 </w:t>
      </w:r>
      <w:r w:rsidR="007E24C0">
        <w:rPr>
          <w:szCs w:val="26"/>
        </w:rPr>
        <w:t>(</w:t>
      </w:r>
      <w:r w:rsidRPr="008E7712">
        <w:rPr>
          <w:szCs w:val="26"/>
        </w:rPr>
        <w:t>Opinion and Order</w:t>
      </w:r>
      <w:r w:rsidR="00791693" w:rsidRPr="008E7712">
        <w:rPr>
          <w:szCs w:val="26"/>
        </w:rPr>
        <w:t xml:space="preserve"> </w:t>
      </w:r>
      <w:r w:rsidRPr="008E7712">
        <w:rPr>
          <w:szCs w:val="26"/>
        </w:rPr>
        <w:t>entered February 25, 2021</w:t>
      </w:r>
      <w:r w:rsidR="007E24C0">
        <w:rPr>
          <w:szCs w:val="26"/>
        </w:rPr>
        <w:t>)</w:t>
      </w:r>
      <w:r w:rsidRPr="008E7712">
        <w:rPr>
          <w:szCs w:val="26"/>
        </w:rPr>
        <w:t xml:space="preserve"> (rate increase to be phased in using two installments, the first effective January 28. 2021 and the second effective January 1, 2022 – this is the functional equivalent of a “stay out” for part of the rate increase), </w:t>
      </w:r>
      <w:r w:rsidRPr="008E7712">
        <w:rPr>
          <w:i/>
          <w:iCs/>
          <w:szCs w:val="26"/>
        </w:rPr>
        <w:t>Pa. PUC v. Aqua Pennsylvania, Inc.</w:t>
      </w:r>
      <w:r w:rsidRPr="008E7712">
        <w:rPr>
          <w:szCs w:val="26"/>
        </w:rPr>
        <w:t xml:space="preserve">, Docket No. R-2018-3003558 </w:t>
      </w:r>
      <w:r w:rsidR="007E24C0">
        <w:rPr>
          <w:szCs w:val="26"/>
        </w:rPr>
        <w:t>(</w:t>
      </w:r>
      <w:r w:rsidRPr="008E7712">
        <w:rPr>
          <w:szCs w:val="26"/>
        </w:rPr>
        <w:t>Opinion and Order entered May 9, 2019</w:t>
      </w:r>
      <w:r w:rsidR="007E24C0">
        <w:rPr>
          <w:szCs w:val="26"/>
        </w:rPr>
        <w:t>)</w:t>
      </w:r>
      <w:r w:rsidRPr="008E7712">
        <w:rPr>
          <w:szCs w:val="26"/>
        </w:rPr>
        <w:t xml:space="preserve"> (company will not file for a general rate </w:t>
      </w:r>
      <w:r w:rsidRPr="008E7712">
        <w:rPr>
          <w:szCs w:val="26"/>
        </w:rPr>
        <w:lastRenderedPageBreak/>
        <w:t xml:space="preserve">increase prior to April 30, 2021), </w:t>
      </w:r>
      <w:r w:rsidRPr="008E7712">
        <w:rPr>
          <w:i/>
          <w:iCs/>
          <w:szCs w:val="26"/>
        </w:rPr>
        <w:t>Pa. PUC v. Total Environmental Solutions, Inc. – Treasure Lake Water Division</w:t>
      </w:r>
      <w:r w:rsidRPr="008E7712">
        <w:rPr>
          <w:szCs w:val="26"/>
        </w:rPr>
        <w:t xml:space="preserve">, Docket No. R-2010-2171918 </w:t>
      </w:r>
      <w:r w:rsidR="007E24C0">
        <w:rPr>
          <w:szCs w:val="26"/>
        </w:rPr>
        <w:t>(</w:t>
      </w:r>
      <w:r w:rsidRPr="008E7712">
        <w:rPr>
          <w:szCs w:val="26"/>
        </w:rPr>
        <w:t>Opinion and Order entered March 17, 2011</w:t>
      </w:r>
      <w:r w:rsidR="007E24C0">
        <w:rPr>
          <w:szCs w:val="26"/>
        </w:rPr>
        <w:t>)</w:t>
      </w:r>
      <w:r w:rsidRPr="008E7712">
        <w:rPr>
          <w:szCs w:val="26"/>
        </w:rPr>
        <w:t xml:space="preserve"> (one-year “stay out” provision).</w:t>
      </w:r>
    </w:p>
    <w:p w14:paraId="65522991" w14:textId="77777777" w:rsidR="00C073D6" w:rsidRPr="008E7712" w:rsidRDefault="00C073D6" w:rsidP="00EB7CBC">
      <w:pPr>
        <w:rPr>
          <w:szCs w:val="26"/>
        </w:rPr>
      </w:pPr>
    </w:p>
    <w:p w14:paraId="1C118DBF" w14:textId="1D29A9A4" w:rsidR="00C073D6" w:rsidRPr="008E7712" w:rsidRDefault="00C073D6" w:rsidP="00EB7CBC">
      <w:pPr>
        <w:rPr>
          <w:i/>
          <w:iCs/>
          <w:szCs w:val="26"/>
        </w:rPr>
      </w:pPr>
      <w:r w:rsidRPr="008E7712">
        <w:rPr>
          <w:szCs w:val="26"/>
        </w:rPr>
        <w:tab/>
      </w:r>
      <w:r w:rsidRPr="008E7712">
        <w:rPr>
          <w:szCs w:val="26"/>
        </w:rPr>
        <w:tab/>
        <w:t xml:space="preserve">Commission approval of settlement agreements containing less than </w:t>
      </w:r>
      <w:r w:rsidR="004A6A10" w:rsidRPr="008E7712">
        <w:rPr>
          <w:szCs w:val="26"/>
        </w:rPr>
        <w:t xml:space="preserve">a </w:t>
      </w:r>
      <w:r w:rsidRPr="008E7712">
        <w:rPr>
          <w:szCs w:val="26"/>
        </w:rPr>
        <w:t>two</w:t>
      </w:r>
      <w:r w:rsidR="004A6A10" w:rsidRPr="008E7712">
        <w:rPr>
          <w:szCs w:val="26"/>
        </w:rPr>
        <w:noBreakHyphen/>
      </w:r>
      <w:r w:rsidRPr="008E7712">
        <w:rPr>
          <w:szCs w:val="26"/>
        </w:rPr>
        <w:t>year “stay out” provision has occurred even in cases where the settlement provides for double digit percentage revenue increases for the utility</w:t>
      </w:r>
      <w:r w:rsidR="001A62A1" w:rsidRPr="008E7712">
        <w:rPr>
          <w:szCs w:val="26"/>
        </w:rPr>
        <w:t xml:space="preserve">.  </w:t>
      </w:r>
      <w:r w:rsidRPr="008E7712">
        <w:rPr>
          <w:i/>
          <w:iCs/>
          <w:szCs w:val="26"/>
        </w:rPr>
        <w:t>See Pa. PUC v. Peoples TWP LLC</w:t>
      </w:r>
      <w:r w:rsidRPr="008E7712">
        <w:rPr>
          <w:szCs w:val="26"/>
        </w:rPr>
        <w:t xml:space="preserve">, Docket No. R-2013-2355886, </w:t>
      </w:r>
      <w:r w:rsidR="00C670C1">
        <w:rPr>
          <w:szCs w:val="26"/>
        </w:rPr>
        <w:t>(</w:t>
      </w:r>
      <w:r w:rsidRPr="008E7712">
        <w:rPr>
          <w:szCs w:val="26"/>
        </w:rPr>
        <w:t>Opinion and Order entered December</w:t>
      </w:r>
      <w:r w:rsidR="005F6F17">
        <w:rPr>
          <w:szCs w:val="26"/>
        </w:rPr>
        <w:t> </w:t>
      </w:r>
      <w:r w:rsidRPr="008E7712">
        <w:rPr>
          <w:szCs w:val="26"/>
        </w:rPr>
        <w:t>19,</w:t>
      </w:r>
      <w:r w:rsidR="005F6F17">
        <w:rPr>
          <w:szCs w:val="26"/>
        </w:rPr>
        <w:t> </w:t>
      </w:r>
      <w:r w:rsidRPr="008E7712">
        <w:rPr>
          <w:szCs w:val="26"/>
        </w:rPr>
        <w:t>2013</w:t>
      </w:r>
      <w:r w:rsidR="00C670C1">
        <w:rPr>
          <w:szCs w:val="26"/>
        </w:rPr>
        <w:t>)</w:t>
      </w:r>
      <w:r w:rsidRPr="008E7712">
        <w:rPr>
          <w:szCs w:val="26"/>
        </w:rPr>
        <w:t xml:space="preserve">, </w:t>
      </w:r>
      <w:r w:rsidRPr="008E7712">
        <w:rPr>
          <w:i/>
          <w:iCs/>
          <w:szCs w:val="26"/>
        </w:rPr>
        <w:t>Pa. PUC v. Pike County Light &amp; Power Company – Electric</w:t>
      </w:r>
      <w:r w:rsidRPr="008E7712">
        <w:rPr>
          <w:szCs w:val="26"/>
        </w:rPr>
        <w:t>, Docket</w:t>
      </w:r>
      <w:r w:rsidR="00382F25" w:rsidRPr="008E7712">
        <w:rPr>
          <w:szCs w:val="26"/>
        </w:rPr>
        <w:t> </w:t>
      </w:r>
      <w:r w:rsidRPr="008E7712">
        <w:rPr>
          <w:szCs w:val="26"/>
        </w:rPr>
        <w:t xml:space="preserve">No. R-2020-3022135 </w:t>
      </w:r>
      <w:r w:rsidR="00C670C1">
        <w:rPr>
          <w:szCs w:val="26"/>
        </w:rPr>
        <w:t>(</w:t>
      </w:r>
      <w:r w:rsidRPr="008E7712">
        <w:rPr>
          <w:szCs w:val="26"/>
        </w:rPr>
        <w:t>Opinion and Order entered July</w:t>
      </w:r>
      <w:r w:rsidR="00CD44C4" w:rsidRPr="008E7712">
        <w:rPr>
          <w:szCs w:val="26"/>
        </w:rPr>
        <w:t> </w:t>
      </w:r>
      <w:r w:rsidRPr="008E7712">
        <w:rPr>
          <w:szCs w:val="26"/>
        </w:rPr>
        <w:t>21,</w:t>
      </w:r>
      <w:r w:rsidR="00CD44C4" w:rsidRPr="008E7712">
        <w:rPr>
          <w:szCs w:val="26"/>
        </w:rPr>
        <w:t> </w:t>
      </w:r>
      <w:r w:rsidRPr="008E7712">
        <w:rPr>
          <w:szCs w:val="26"/>
        </w:rPr>
        <w:t>2021</w:t>
      </w:r>
      <w:r w:rsidR="00C670C1">
        <w:rPr>
          <w:szCs w:val="26"/>
        </w:rPr>
        <w:t>)</w:t>
      </w:r>
      <w:r w:rsidRPr="008E7712">
        <w:rPr>
          <w:szCs w:val="26"/>
        </w:rPr>
        <w:t>.</w:t>
      </w:r>
    </w:p>
    <w:p w14:paraId="6877ABB4" w14:textId="77777777" w:rsidR="00C073D6" w:rsidRPr="008E7712" w:rsidRDefault="00C073D6" w:rsidP="00EB7CBC">
      <w:pPr>
        <w:rPr>
          <w:szCs w:val="26"/>
        </w:rPr>
      </w:pPr>
    </w:p>
    <w:p w14:paraId="520317FE" w14:textId="625DAE4D" w:rsidR="00C073D6" w:rsidRPr="008E7712" w:rsidRDefault="00C073D6" w:rsidP="00EB7CBC">
      <w:pPr>
        <w:rPr>
          <w:szCs w:val="26"/>
        </w:rPr>
      </w:pPr>
      <w:r w:rsidRPr="008E7712">
        <w:rPr>
          <w:szCs w:val="26"/>
        </w:rPr>
        <w:tab/>
      </w:r>
      <w:r w:rsidRPr="008E7712">
        <w:rPr>
          <w:szCs w:val="26"/>
        </w:rPr>
        <w:tab/>
        <w:t>Of even greater importance, the Commission has approved settlement agreements that do not contain any “stay out” provision at all</w:t>
      </w:r>
      <w:r w:rsidR="001A62A1" w:rsidRPr="008E7712">
        <w:rPr>
          <w:szCs w:val="26"/>
        </w:rPr>
        <w:t xml:space="preserve">.  </w:t>
      </w:r>
      <w:r w:rsidRPr="008E7712">
        <w:rPr>
          <w:i/>
          <w:iCs/>
          <w:szCs w:val="26"/>
        </w:rPr>
        <w:t>See Pa. PUC v. City of Bethlehem – Water Department</w:t>
      </w:r>
      <w:r w:rsidRPr="008E7712">
        <w:rPr>
          <w:szCs w:val="26"/>
        </w:rPr>
        <w:t xml:space="preserve">, Docket No. R-2020-3020256 </w:t>
      </w:r>
      <w:r w:rsidR="00C670C1">
        <w:rPr>
          <w:szCs w:val="26"/>
        </w:rPr>
        <w:t>(</w:t>
      </w:r>
      <w:r w:rsidRPr="008E7712">
        <w:rPr>
          <w:szCs w:val="26"/>
        </w:rPr>
        <w:t>Opinion and Order entered April 15, 2021</w:t>
      </w:r>
      <w:r w:rsidR="00C670C1">
        <w:rPr>
          <w:szCs w:val="26"/>
        </w:rPr>
        <w:t>)</w:t>
      </w:r>
      <w:r w:rsidRPr="008E7712">
        <w:rPr>
          <w:szCs w:val="26"/>
        </w:rPr>
        <w:t xml:space="preserve">, </w:t>
      </w:r>
      <w:r w:rsidRPr="008E7712">
        <w:rPr>
          <w:i/>
          <w:iCs/>
          <w:szCs w:val="26"/>
        </w:rPr>
        <w:t>Pa. PUC v. UGI Utilities, Inc. – Electric Division</w:t>
      </w:r>
      <w:r w:rsidRPr="008E7712">
        <w:rPr>
          <w:szCs w:val="26"/>
        </w:rPr>
        <w:t>, Docket No. R</w:t>
      </w:r>
      <w:r w:rsidR="004A6A10" w:rsidRPr="008E7712">
        <w:rPr>
          <w:szCs w:val="26"/>
        </w:rPr>
        <w:noBreakHyphen/>
      </w:r>
      <w:r w:rsidRPr="008E7712">
        <w:rPr>
          <w:szCs w:val="26"/>
        </w:rPr>
        <w:t xml:space="preserve">2021-3023618, </w:t>
      </w:r>
      <w:r w:rsidR="00C670C1">
        <w:rPr>
          <w:szCs w:val="26"/>
        </w:rPr>
        <w:t>(</w:t>
      </w:r>
      <w:r w:rsidRPr="008E7712">
        <w:rPr>
          <w:szCs w:val="26"/>
        </w:rPr>
        <w:t>Opinion and Order entered October 28, 2021</w:t>
      </w:r>
      <w:r w:rsidR="00C670C1">
        <w:rPr>
          <w:szCs w:val="26"/>
        </w:rPr>
        <w:t>)</w:t>
      </w:r>
      <w:r w:rsidRPr="008E7712">
        <w:rPr>
          <w:szCs w:val="26"/>
        </w:rPr>
        <w:t>.</w:t>
      </w:r>
    </w:p>
    <w:p w14:paraId="5BBC51ED" w14:textId="77777777" w:rsidR="00C073D6" w:rsidRPr="008E7712" w:rsidRDefault="00C073D6" w:rsidP="00EB7CBC">
      <w:pPr>
        <w:rPr>
          <w:szCs w:val="26"/>
        </w:rPr>
      </w:pPr>
    </w:p>
    <w:p w14:paraId="4D334FB0" w14:textId="77777777" w:rsidR="004C2FEF" w:rsidRPr="008E7712" w:rsidRDefault="00C073D6" w:rsidP="00EB7CBC">
      <w:pPr>
        <w:rPr>
          <w:szCs w:val="26"/>
        </w:rPr>
      </w:pPr>
      <w:r w:rsidRPr="008E7712">
        <w:rPr>
          <w:szCs w:val="26"/>
        </w:rPr>
        <w:tab/>
      </w:r>
      <w:r w:rsidRPr="008E7712">
        <w:rPr>
          <w:szCs w:val="26"/>
        </w:rPr>
        <w:tab/>
        <w:t>Determining an appropriate “stay out” period depends upon a number of factors</w:t>
      </w:r>
      <w:r w:rsidR="001A62A1" w:rsidRPr="008E7712">
        <w:rPr>
          <w:szCs w:val="26"/>
        </w:rPr>
        <w:t xml:space="preserve">.  </w:t>
      </w:r>
      <w:r w:rsidRPr="008E7712">
        <w:rPr>
          <w:szCs w:val="26"/>
        </w:rPr>
        <w:t>These factors include the utility’s past history regarding its frequency of filing general rate increase cases, the utility’s acquisition of other troubled utility companies, the utility’s commitment in the settlement agreement to undertake significant system and service improvements and major exogenous factors such as an ongoing pandemic or unanticipated rapid inflation</w:t>
      </w:r>
      <w:r w:rsidR="001A62A1" w:rsidRPr="008E7712">
        <w:rPr>
          <w:szCs w:val="26"/>
        </w:rPr>
        <w:t xml:space="preserve">.  </w:t>
      </w:r>
    </w:p>
    <w:p w14:paraId="3D595EFD" w14:textId="77777777" w:rsidR="004C2FEF" w:rsidRPr="008E7712" w:rsidRDefault="004C2FEF" w:rsidP="00EB7CBC">
      <w:pPr>
        <w:rPr>
          <w:szCs w:val="26"/>
        </w:rPr>
      </w:pPr>
    </w:p>
    <w:p w14:paraId="629FC517" w14:textId="60E20EF2" w:rsidR="00C073D6" w:rsidRPr="008E7712" w:rsidRDefault="00C073D6" w:rsidP="005F6F17">
      <w:pPr>
        <w:ind w:firstLine="1440"/>
        <w:rPr>
          <w:szCs w:val="26"/>
        </w:rPr>
      </w:pPr>
      <w:r w:rsidRPr="008E7712">
        <w:rPr>
          <w:szCs w:val="26"/>
        </w:rPr>
        <w:t>The duration of a “stay out” provision negotiated by the utility and the public advocates, as only one aspect of a comprehensive settlement agreement, is entitled to an inference of being just and reasonable</w:t>
      </w:r>
      <w:r w:rsidR="001A62A1" w:rsidRPr="008E7712">
        <w:rPr>
          <w:szCs w:val="26"/>
        </w:rPr>
        <w:t xml:space="preserve">.  </w:t>
      </w:r>
      <w:r w:rsidRPr="008E7712">
        <w:rPr>
          <w:szCs w:val="26"/>
        </w:rPr>
        <w:t>It must always be remembered that there is no requirement for a settlement agreement to contain any “stay out” provision</w:t>
      </w:r>
      <w:r w:rsidR="001A62A1" w:rsidRPr="008E7712">
        <w:rPr>
          <w:szCs w:val="26"/>
        </w:rPr>
        <w:t xml:space="preserve">.  </w:t>
      </w:r>
      <w:r w:rsidRPr="008E7712">
        <w:rPr>
          <w:szCs w:val="26"/>
        </w:rPr>
        <w:t>The inclusion of one is voluntary and is achieved only by negotiation.</w:t>
      </w:r>
      <w:r w:rsidR="00D01B31" w:rsidRPr="008E7712">
        <w:rPr>
          <w:szCs w:val="26"/>
        </w:rPr>
        <w:t xml:space="preserve">  For these reasons, we </w:t>
      </w:r>
      <w:r w:rsidR="00D01B31" w:rsidRPr="008E7712">
        <w:rPr>
          <w:szCs w:val="26"/>
        </w:rPr>
        <w:lastRenderedPageBreak/>
        <w:t xml:space="preserve">find that the inclusion of a stay provision in the comprehensive Settlement negotiated here is in the public interest. </w:t>
      </w:r>
    </w:p>
    <w:p w14:paraId="7FAB2643" w14:textId="63E7D565" w:rsidR="004C2FEF" w:rsidRPr="008E7712" w:rsidRDefault="004C2FEF" w:rsidP="005F6F17">
      <w:pPr>
        <w:rPr>
          <w:szCs w:val="26"/>
        </w:rPr>
      </w:pPr>
    </w:p>
    <w:p w14:paraId="38C2326C" w14:textId="1DECB4B6" w:rsidR="00A327B7" w:rsidRPr="008E7712" w:rsidRDefault="00A327B7" w:rsidP="005F6F17">
      <w:pPr>
        <w:pStyle w:val="Heading2"/>
        <w:spacing w:line="360" w:lineRule="auto"/>
      </w:pPr>
      <w:bookmarkStart w:id="28" w:name="_Toc91576496"/>
      <w:r w:rsidRPr="008E7712">
        <w:t>D.</w:t>
      </w:r>
      <w:r w:rsidRPr="008E7712">
        <w:tab/>
        <w:t>Effective Date</w:t>
      </w:r>
      <w:bookmarkEnd w:id="28"/>
    </w:p>
    <w:p w14:paraId="2728171A" w14:textId="77777777" w:rsidR="00895822" w:rsidRPr="008E7712" w:rsidRDefault="00895822" w:rsidP="005F6F17">
      <w:pPr>
        <w:ind w:right="57" w:firstLine="1440"/>
        <w:jc w:val="both"/>
        <w:rPr>
          <w:szCs w:val="26"/>
        </w:rPr>
      </w:pPr>
    </w:p>
    <w:p w14:paraId="480AFD5D" w14:textId="328FD837" w:rsidR="00895822" w:rsidRPr="008E7712" w:rsidRDefault="00895822" w:rsidP="005F6F17">
      <w:pPr>
        <w:ind w:right="57" w:firstLine="1440"/>
        <w:rPr>
          <w:rFonts w:eastAsia="Calibri"/>
          <w:i/>
          <w:iCs/>
          <w:szCs w:val="26"/>
        </w:rPr>
      </w:pPr>
      <w:r w:rsidRPr="008E7712">
        <w:rPr>
          <w:szCs w:val="26"/>
        </w:rPr>
        <w:t>The Joint Petitioners agreed that, upon the entry of a Commission Order approving the Joint Petition, the Company will be permitted to file a tariff for water service, in the form attached to the Joint Petition as Appendix B, and a tariff for wastewater service, in the form attached thereto as Appendix C, reflecting the agreed upon additional operating revenue.  Joint Pet</w:t>
      </w:r>
      <w:r w:rsidR="00C977D1">
        <w:rPr>
          <w:szCs w:val="26"/>
        </w:rPr>
        <w:t>ition</w:t>
      </w:r>
      <w:r w:rsidRPr="008E7712">
        <w:rPr>
          <w:szCs w:val="26"/>
        </w:rPr>
        <w:t xml:space="preserve"> at 8, ¶</w:t>
      </w:r>
      <w:r w:rsidR="00CD44C4" w:rsidRPr="008E7712">
        <w:rPr>
          <w:szCs w:val="26"/>
        </w:rPr>
        <w:t xml:space="preserve"> </w:t>
      </w:r>
      <w:r w:rsidRPr="008E7712">
        <w:rPr>
          <w:szCs w:val="26"/>
        </w:rPr>
        <w:t xml:space="preserve">5.  The Joint Petitioners also agreed to the implementation of the Settlement </w:t>
      </w:r>
      <w:r w:rsidR="00296646" w:rsidRPr="008E7712">
        <w:rPr>
          <w:szCs w:val="26"/>
        </w:rPr>
        <w:t>r</w:t>
      </w:r>
      <w:r w:rsidRPr="008E7712">
        <w:rPr>
          <w:szCs w:val="26"/>
        </w:rPr>
        <w:t>ates on January 12, 2022, when the original statutory suspension period was to expire, if the Commission were to enter an Order approving the Joint Petition</w:t>
      </w:r>
      <w:r w:rsidR="001E4611">
        <w:rPr>
          <w:szCs w:val="26"/>
        </w:rPr>
        <w:t>,</w:t>
      </w:r>
      <w:r w:rsidRPr="008E7712">
        <w:rPr>
          <w:szCs w:val="26"/>
        </w:rPr>
        <w:t xml:space="preserve"> prior to</w:t>
      </w:r>
      <w:r w:rsidR="001E4611">
        <w:rPr>
          <w:szCs w:val="26"/>
        </w:rPr>
        <w:t>,</w:t>
      </w:r>
      <w:r w:rsidRPr="008E7712">
        <w:rPr>
          <w:szCs w:val="26"/>
        </w:rPr>
        <w:t xml:space="preserve"> or on that date.</w:t>
      </w:r>
      <w:r w:rsidRPr="008E7712">
        <w:rPr>
          <w:szCs w:val="26"/>
          <w:vertAlign w:val="superscript"/>
        </w:rPr>
        <w:footnoteReference w:id="8"/>
      </w:r>
      <w:r w:rsidRPr="008E7712">
        <w:rPr>
          <w:szCs w:val="26"/>
        </w:rPr>
        <w:t xml:space="preserve"> </w:t>
      </w:r>
      <w:r w:rsidRPr="008E7712">
        <w:rPr>
          <w:i/>
          <w:iCs/>
          <w:szCs w:val="26"/>
        </w:rPr>
        <w:t>Id.</w:t>
      </w:r>
    </w:p>
    <w:p w14:paraId="68A6A61C" w14:textId="77777777" w:rsidR="00895822" w:rsidRPr="008E7712" w:rsidRDefault="00895822" w:rsidP="00EB7CBC">
      <w:pPr>
        <w:ind w:right="57"/>
        <w:jc w:val="both"/>
        <w:rPr>
          <w:szCs w:val="26"/>
        </w:rPr>
      </w:pPr>
    </w:p>
    <w:p w14:paraId="5C3F6B65" w14:textId="536673F2" w:rsidR="00895822" w:rsidRPr="008E7712" w:rsidRDefault="00895822" w:rsidP="00EB7CBC">
      <w:pPr>
        <w:ind w:right="57" w:firstLine="1440"/>
        <w:rPr>
          <w:szCs w:val="26"/>
        </w:rPr>
      </w:pPr>
      <w:r w:rsidRPr="008E7712">
        <w:rPr>
          <w:szCs w:val="26"/>
        </w:rPr>
        <w:t>Acknowledging that the Commission may act upon the Settlement after January 12, 2022, the Joint Petitioners agreed that, should the Commission approve the Settlement after that date, CUPA shall be entitled to recoup the revenue increase not billed from the effective date of January 12, 2022, through the date of any Commission approval of new rates in the manner set forth in the Commission’s final Order in this proceeding.  Joint Pet</w:t>
      </w:r>
      <w:r w:rsidR="005F21E7" w:rsidRPr="008E7712">
        <w:rPr>
          <w:szCs w:val="26"/>
        </w:rPr>
        <w:t>ition</w:t>
      </w:r>
      <w:r w:rsidRPr="008E7712">
        <w:rPr>
          <w:szCs w:val="26"/>
        </w:rPr>
        <w:t xml:space="preserve"> at 8, ¶</w:t>
      </w:r>
      <w:r w:rsidR="00CD44C4" w:rsidRPr="008E7712">
        <w:rPr>
          <w:szCs w:val="26"/>
        </w:rPr>
        <w:t xml:space="preserve"> </w:t>
      </w:r>
      <w:r w:rsidRPr="008E7712">
        <w:rPr>
          <w:szCs w:val="26"/>
        </w:rPr>
        <w:t>6.  The Joint Petitioners agreed that the revenue increases not billed from the effective date of January 12, 2022, through the date of Commission approval of new rates will be recovered over a six-month period that shall be applied proportionately to all customer classes via a surcharge on each monthly bill during the six-month recovery period.  Finally, the Joint Petitioners agreed that the Company will be permitted to file a tariff page, in the form attached to the Joint Petition as Appendix</w:t>
      </w:r>
      <w:r w:rsidR="00DE1D90" w:rsidRPr="008E7712">
        <w:rPr>
          <w:szCs w:val="26"/>
        </w:rPr>
        <w:t> </w:t>
      </w:r>
      <w:r w:rsidRPr="008E7712">
        <w:rPr>
          <w:szCs w:val="26"/>
        </w:rPr>
        <w:t xml:space="preserve">D, to implement the surcharge.  </w:t>
      </w:r>
      <w:r w:rsidRPr="008E7712">
        <w:rPr>
          <w:i/>
          <w:iCs/>
          <w:szCs w:val="26"/>
        </w:rPr>
        <w:t>Id.</w:t>
      </w:r>
    </w:p>
    <w:p w14:paraId="6DF594C1" w14:textId="4CBFBFDB" w:rsidR="00D55B61" w:rsidRPr="008E7712" w:rsidRDefault="00662305" w:rsidP="005F6F17">
      <w:pPr>
        <w:ind w:right="57" w:firstLine="1440"/>
        <w:rPr>
          <w:rFonts w:eastAsia="Calibri"/>
          <w:szCs w:val="26"/>
        </w:rPr>
      </w:pPr>
      <w:r w:rsidRPr="008E7712">
        <w:rPr>
          <w:szCs w:val="26"/>
        </w:rPr>
        <w:lastRenderedPageBreak/>
        <w:t>We agree with the Joint Petitioners that these effective date terms are consistent with the public interest in our overall determination that the</w:t>
      </w:r>
      <w:r w:rsidR="00D55B61" w:rsidRPr="008E7712">
        <w:rPr>
          <w:szCs w:val="26"/>
        </w:rPr>
        <w:t xml:space="preserve"> </w:t>
      </w:r>
      <w:r w:rsidR="00850E93" w:rsidRPr="008E7712">
        <w:rPr>
          <w:szCs w:val="26"/>
        </w:rPr>
        <w:t>negotiated settlement package</w:t>
      </w:r>
      <w:r w:rsidRPr="008E7712">
        <w:rPr>
          <w:szCs w:val="26"/>
        </w:rPr>
        <w:t xml:space="preserve"> is in the public interest.</w:t>
      </w:r>
    </w:p>
    <w:p w14:paraId="51A5CA1C" w14:textId="77777777" w:rsidR="003919C4" w:rsidRPr="008E7712" w:rsidRDefault="003919C4" w:rsidP="005F6F17">
      <w:pPr>
        <w:ind w:left="720" w:hanging="720"/>
        <w:rPr>
          <w:szCs w:val="26"/>
        </w:rPr>
      </w:pPr>
    </w:p>
    <w:p w14:paraId="7B573D45" w14:textId="3B7AFF2F" w:rsidR="00A327B7" w:rsidRPr="008E7712" w:rsidRDefault="00A327B7" w:rsidP="005F6F17">
      <w:pPr>
        <w:pStyle w:val="Heading2"/>
        <w:spacing w:line="360" w:lineRule="auto"/>
      </w:pPr>
      <w:bookmarkStart w:id="29" w:name="_Toc91576497"/>
      <w:r w:rsidRPr="008E7712">
        <w:t>E.</w:t>
      </w:r>
      <w:r w:rsidRPr="008E7712">
        <w:tab/>
        <w:t>Rate Design and Structure</w:t>
      </w:r>
      <w:bookmarkEnd w:id="29"/>
      <w:r w:rsidR="003919C4" w:rsidRPr="008E7712">
        <w:t xml:space="preserve">  </w:t>
      </w:r>
    </w:p>
    <w:p w14:paraId="2A837AE6" w14:textId="789C8CB5" w:rsidR="004B54E9" w:rsidRPr="008E7712" w:rsidRDefault="004B54E9" w:rsidP="005F6F17">
      <w:pPr>
        <w:keepNext/>
        <w:rPr>
          <w:szCs w:val="26"/>
        </w:rPr>
      </w:pPr>
    </w:p>
    <w:p w14:paraId="79D11621" w14:textId="79F726DC" w:rsidR="003919C4" w:rsidRPr="008E7712" w:rsidRDefault="00C818DB" w:rsidP="005F6F17">
      <w:pPr>
        <w:pStyle w:val="Heading3"/>
        <w:spacing w:line="360" w:lineRule="auto"/>
      </w:pPr>
      <w:r w:rsidRPr="008E7712">
        <w:tab/>
      </w:r>
      <w:bookmarkStart w:id="30" w:name="_Toc91576498"/>
      <w:r w:rsidRPr="008E7712">
        <w:t>1.</w:t>
      </w:r>
      <w:r w:rsidRPr="008E7712">
        <w:tab/>
      </w:r>
      <w:r w:rsidR="003919C4" w:rsidRPr="008E7712">
        <w:t xml:space="preserve">Terms </w:t>
      </w:r>
      <w:r w:rsidR="003919C4" w:rsidRPr="00E363D4">
        <w:t>and</w:t>
      </w:r>
      <w:r w:rsidR="003919C4" w:rsidRPr="008E7712">
        <w:t xml:space="preserve"> Conditions of Settlement</w:t>
      </w:r>
      <w:bookmarkEnd w:id="30"/>
    </w:p>
    <w:p w14:paraId="28CEE568" w14:textId="77777777" w:rsidR="003919C4" w:rsidRPr="008E7712" w:rsidRDefault="003919C4" w:rsidP="005F6F17">
      <w:pPr>
        <w:keepNext/>
        <w:rPr>
          <w:szCs w:val="26"/>
        </w:rPr>
      </w:pPr>
    </w:p>
    <w:p w14:paraId="110E80B5" w14:textId="083AD808" w:rsidR="004B54E9" w:rsidRPr="008E7712" w:rsidRDefault="004B54E9" w:rsidP="005F6F17">
      <w:pPr>
        <w:keepNext/>
        <w:ind w:firstLine="1440"/>
        <w:rPr>
          <w:szCs w:val="26"/>
        </w:rPr>
      </w:pPr>
      <w:r w:rsidRPr="008E7712">
        <w:rPr>
          <w:szCs w:val="26"/>
        </w:rPr>
        <w:t>This section of the Opinion and Order addresses the provisions of the Settlement pertaining to rate design.  When a utility files for a rate increase and the proposed increase exceeds $1 million, the utility must include with its filing an allocated class cost-of-service study (ACCOSS) in which it assigns to each customer class a rate based upon operating costs that it incurred in providing that service.  52 Pa. Code §</w:t>
      </w:r>
      <w:r w:rsidR="00DE1D90" w:rsidRPr="008E7712">
        <w:rPr>
          <w:szCs w:val="26"/>
        </w:rPr>
        <w:t> </w:t>
      </w:r>
      <w:r w:rsidRPr="008E7712">
        <w:rPr>
          <w:szCs w:val="26"/>
        </w:rPr>
        <w:t xml:space="preserve">53.53; </w:t>
      </w:r>
      <w:r w:rsidRPr="008E7712">
        <w:rPr>
          <w:i/>
          <w:szCs w:val="26"/>
        </w:rPr>
        <w:t>Lloyd v. Pa. PUC</w:t>
      </w:r>
      <w:r w:rsidRPr="008E7712">
        <w:rPr>
          <w:iCs/>
          <w:szCs w:val="26"/>
        </w:rPr>
        <w:t>,</w:t>
      </w:r>
      <w:r w:rsidRPr="008E7712">
        <w:rPr>
          <w:i/>
          <w:szCs w:val="26"/>
        </w:rPr>
        <w:t xml:space="preserve"> </w:t>
      </w:r>
      <w:r w:rsidRPr="008E7712">
        <w:rPr>
          <w:szCs w:val="26"/>
        </w:rPr>
        <w:t>904 A.2d 1010, 1015 (Pa. Cmwlth. 2006) (</w:t>
      </w:r>
      <w:r w:rsidRPr="008E7712">
        <w:rPr>
          <w:i/>
          <w:szCs w:val="26"/>
        </w:rPr>
        <w:t>Lloyd</w:t>
      </w:r>
      <w:r w:rsidRPr="008E7712">
        <w:rPr>
          <w:szCs w:val="26"/>
        </w:rPr>
        <w:t xml:space="preserve">).  Public utility rates should enable the utility to recover its cost of service and should allocate this cost among its customers.  These rates are required by statute to be just, </w:t>
      </w:r>
      <w:proofErr w:type="gramStart"/>
      <w:r w:rsidRPr="008E7712">
        <w:rPr>
          <w:szCs w:val="26"/>
        </w:rPr>
        <w:t>reasonable</w:t>
      </w:r>
      <w:proofErr w:type="gramEnd"/>
      <w:r w:rsidRPr="008E7712">
        <w:rPr>
          <w:szCs w:val="26"/>
        </w:rPr>
        <w:t xml:space="preserve"> and non-discriminatory.  66 Pa. C.S. §§ 1301, 2804(10).</w:t>
      </w:r>
    </w:p>
    <w:p w14:paraId="746C52BD" w14:textId="77777777" w:rsidR="004B54E9" w:rsidRPr="008E7712" w:rsidRDefault="004B54E9" w:rsidP="00EB7CBC">
      <w:pPr>
        <w:ind w:firstLine="1440"/>
        <w:rPr>
          <w:szCs w:val="26"/>
        </w:rPr>
      </w:pPr>
    </w:p>
    <w:p w14:paraId="7AAF20F1" w14:textId="77777777" w:rsidR="004B54E9" w:rsidRPr="008E7712" w:rsidRDefault="004B54E9" w:rsidP="00EB7CBC">
      <w:pPr>
        <w:ind w:firstLine="1440"/>
        <w:rPr>
          <w:szCs w:val="26"/>
        </w:rPr>
      </w:pPr>
      <w:r w:rsidRPr="008E7712">
        <w:rPr>
          <w:szCs w:val="26"/>
        </w:rPr>
        <w:t>An ACCOSS is a benchmark for evaluating customer class cost responsibility with the fundamental purpose of aiding in the accurate and reasonable design of rates by identifying all the capital and operating costs incurred by the utility in serving its customers, and then directly assigning or allocating these costs to each individual rate class based on established principles of cost-causation.</w:t>
      </w:r>
    </w:p>
    <w:p w14:paraId="2B8FC4F3" w14:textId="77777777" w:rsidR="004B54E9" w:rsidRPr="008E7712" w:rsidRDefault="004B54E9" w:rsidP="00EB7CBC">
      <w:pPr>
        <w:rPr>
          <w:szCs w:val="26"/>
        </w:rPr>
      </w:pPr>
    </w:p>
    <w:p w14:paraId="45835A72" w14:textId="0D2C51E4" w:rsidR="004B54E9" w:rsidRPr="008E7712" w:rsidRDefault="004B54E9" w:rsidP="00EB7CBC">
      <w:pPr>
        <w:ind w:firstLine="1440"/>
        <w:rPr>
          <w:szCs w:val="26"/>
        </w:rPr>
      </w:pPr>
      <w:r w:rsidRPr="008E7712">
        <w:rPr>
          <w:szCs w:val="26"/>
        </w:rPr>
        <w:t>Although not required under Commission Regulations to submit an ACCOSS for a rate increase under $1 million, CUPA prepared and presented consolidated cost</w:t>
      </w:r>
      <w:r w:rsidR="00743BF4" w:rsidRPr="008E7712">
        <w:rPr>
          <w:szCs w:val="26"/>
        </w:rPr>
        <w:t>-</w:t>
      </w:r>
      <w:r w:rsidRPr="008E7712">
        <w:rPr>
          <w:szCs w:val="26"/>
        </w:rPr>
        <w:t>of</w:t>
      </w:r>
      <w:r w:rsidR="00743BF4" w:rsidRPr="008E7712">
        <w:rPr>
          <w:szCs w:val="26"/>
        </w:rPr>
        <w:t>-</w:t>
      </w:r>
      <w:r w:rsidRPr="008E7712">
        <w:rPr>
          <w:szCs w:val="26"/>
        </w:rPr>
        <w:t xml:space="preserve">service studies for the Company’s water and wastewater divisions, encompassing all territories serviced by CUPA, including the Tamiment service </w:t>
      </w:r>
      <w:r w:rsidRPr="008E7712">
        <w:rPr>
          <w:szCs w:val="26"/>
        </w:rPr>
        <w:lastRenderedPageBreak/>
        <w:t>territory.</w:t>
      </w:r>
      <w:r w:rsidRPr="008E7712">
        <w:rPr>
          <w:rStyle w:val="FootnoteReference"/>
          <w:szCs w:val="26"/>
        </w:rPr>
        <w:footnoteReference w:id="9"/>
      </w:r>
      <w:r w:rsidRPr="008E7712">
        <w:rPr>
          <w:szCs w:val="26"/>
        </w:rPr>
        <w:t xml:space="preserve">  In recognition of the Company’s purported relatively homogenous nature of its customer base, CUPA’s cost</w:t>
      </w:r>
      <w:r w:rsidR="00743BF4" w:rsidRPr="008E7712">
        <w:rPr>
          <w:szCs w:val="26"/>
        </w:rPr>
        <w:t>-</w:t>
      </w:r>
      <w:r w:rsidRPr="008E7712">
        <w:rPr>
          <w:szCs w:val="26"/>
        </w:rPr>
        <w:t>of</w:t>
      </w:r>
      <w:r w:rsidR="00743BF4" w:rsidRPr="008E7712">
        <w:rPr>
          <w:szCs w:val="26"/>
        </w:rPr>
        <w:t>-</w:t>
      </w:r>
      <w:r w:rsidRPr="008E7712">
        <w:rPr>
          <w:szCs w:val="26"/>
        </w:rPr>
        <w:t xml:space="preserve">service studies do not distinguish between types of metered customers; that is, residential and commercial customers are treated equivalently.  CUPA-W Exh. SAM-1 (Revised); CUPA-WW Exh. SAM-1 (Revised).  </w:t>
      </w:r>
    </w:p>
    <w:p w14:paraId="5B319BC8" w14:textId="77777777" w:rsidR="004B54E9" w:rsidRPr="008E7712" w:rsidRDefault="004B54E9" w:rsidP="00EB7CBC">
      <w:pPr>
        <w:ind w:firstLine="1440"/>
        <w:rPr>
          <w:szCs w:val="26"/>
        </w:rPr>
      </w:pPr>
    </w:p>
    <w:p w14:paraId="193235BB" w14:textId="1E5A2544" w:rsidR="004B54E9" w:rsidRDefault="004B54E9" w:rsidP="00EB7CBC">
      <w:pPr>
        <w:ind w:firstLine="1440"/>
        <w:rPr>
          <w:szCs w:val="26"/>
        </w:rPr>
      </w:pPr>
      <w:r w:rsidRPr="008E7712">
        <w:rPr>
          <w:szCs w:val="26"/>
        </w:rPr>
        <w:t>The cost</w:t>
      </w:r>
      <w:r w:rsidR="00743BF4" w:rsidRPr="008E7712">
        <w:rPr>
          <w:szCs w:val="26"/>
        </w:rPr>
        <w:t>-</w:t>
      </w:r>
      <w:r w:rsidRPr="008E7712">
        <w:rPr>
          <w:szCs w:val="26"/>
        </w:rPr>
        <w:t>of</w:t>
      </w:r>
      <w:r w:rsidR="00743BF4" w:rsidRPr="008E7712">
        <w:rPr>
          <w:szCs w:val="26"/>
        </w:rPr>
        <w:t>-</w:t>
      </w:r>
      <w:r w:rsidRPr="008E7712">
        <w:rPr>
          <w:szCs w:val="26"/>
        </w:rPr>
        <w:t>service study prepared by CUPA, for the purpose of designing proposed rates for the Company’s water division, utilized the well-accepted Base-Extra Capacity method.  This methodology identifies costs and allocates them to the functional cost categories of base costs, extra capacity costs, customer costs and fire hydrant costs.  As previously indicated and as shown on CUPA-W Exhibit SAM-1 (Revised), Mr.</w:t>
      </w:r>
      <w:r w:rsidR="00DE1D90" w:rsidRPr="008E7712">
        <w:rPr>
          <w:szCs w:val="26"/>
        </w:rPr>
        <w:t> </w:t>
      </w:r>
      <w:r w:rsidRPr="008E7712">
        <w:rPr>
          <w:szCs w:val="26"/>
        </w:rPr>
        <w:t xml:space="preserve">Miller’s analysis does not differentiate classes of service between metered residential and commercial, but rather only between general metered service, public fire, and to some extent, availability.  Therefore, </w:t>
      </w:r>
      <w:r w:rsidR="00171DEB" w:rsidRPr="008E7712">
        <w:rPr>
          <w:szCs w:val="26"/>
        </w:rPr>
        <w:t>because</w:t>
      </w:r>
      <w:r w:rsidRPr="008E7712">
        <w:rPr>
          <w:szCs w:val="26"/>
        </w:rPr>
        <w:t xml:space="preserve"> CUPA’s proposed rate design initially maintains the same usage (volumetric) rates for residential and commercial customers, but then increases the residential usage rate to provide recovery of the discounts provided for under the Low-Income </w:t>
      </w:r>
      <w:r w:rsidR="00A82862" w:rsidRPr="008E7712">
        <w:rPr>
          <w:szCs w:val="26"/>
        </w:rPr>
        <w:t>P</w:t>
      </w:r>
      <w:r w:rsidRPr="008E7712">
        <w:rPr>
          <w:szCs w:val="26"/>
        </w:rPr>
        <w:t xml:space="preserve">rogram, there are no complications created in evaluating the reasonableness of the Company’s residential versus commercial metered rates, and furthermore, there are no interclass subsidies created.  </w:t>
      </w:r>
      <w:r w:rsidRPr="008E7712">
        <w:rPr>
          <w:i/>
          <w:iCs/>
          <w:szCs w:val="26"/>
        </w:rPr>
        <w:t>See</w:t>
      </w:r>
      <w:r w:rsidRPr="008E7712">
        <w:rPr>
          <w:szCs w:val="26"/>
        </w:rPr>
        <w:t xml:space="preserve"> CUPA</w:t>
      </w:r>
      <w:r w:rsidR="00D777FE" w:rsidRPr="008E7712">
        <w:rPr>
          <w:szCs w:val="26"/>
        </w:rPr>
        <w:t>-W</w:t>
      </w:r>
      <w:r w:rsidRPr="008E7712">
        <w:rPr>
          <w:szCs w:val="26"/>
        </w:rPr>
        <w:t xml:space="preserve"> St. No. 4-RJ at 3-4.</w:t>
      </w:r>
    </w:p>
    <w:p w14:paraId="03545B2D" w14:textId="77777777" w:rsidR="008C346F" w:rsidRPr="008E7712" w:rsidRDefault="008C346F" w:rsidP="00EB7CBC">
      <w:pPr>
        <w:ind w:firstLine="1440"/>
        <w:rPr>
          <w:szCs w:val="26"/>
        </w:rPr>
      </w:pPr>
    </w:p>
    <w:p w14:paraId="67F04B11" w14:textId="643B98E1" w:rsidR="004B54E9" w:rsidRPr="008E7712" w:rsidRDefault="004B54E9" w:rsidP="00EB7CBC">
      <w:pPr>
        <w:ind w:firstLine="1440"/>
        <w:rPr>
          <w:szCs w:val="26"/>
        </w:rPr>
      </w:pPr>
      <w:r w:rsidRPr="008E7712">
        <w:rPr>
          <w:szCs w:val="26"/>
        </w:rPr>
        <w:t>The wastewater cost</w:t>
      </w:r>
      <w:r w:rsidR="00743BF4" w:rsidRPr="008E7712">
        <w:rPr>
          <w:szCs w:val="26"/>
        </w:rPr>
        <w:t>-</w:t>
      </w:r>
      <w:r w:rsidRPr="008E7712">
        <w:rPr>
          <w:szCs w:val="26"/>
        </w:rPr>
        <w:t>of</w:t>
      </w:r>
      <w:r w:rsidR="00743BF4" w:rsidRPr="008E7712">
        <w:rPr>
          <w:szCs w:val="26"/>
        </w:rPr>
        <w:t>-</w:t>
      </w:r>
      <w:r w:rsidRPr="008E7712">
        <w:rPr>
          <w:szCs w:val="26"/>
        </w:rPr>
        <w:t xml:space="preserve">service study prepared by CUPA is based on the U.S. Environmental Protection Agency’s (EPA) User Charge System.  As explained by Mr. Miller who also sponsored the wastewater study, the User Charge System was </w:t>
      </w:r>
      <w:r w:rsidRPr="008E7712">
        <w:rPr>
          <w:szCs w:val="26"/>
        </w:rPr>
        <w:lastRenderedPageBreak/>
        <w:t xml:space="preserve">originally developed and required by the EPA for wastewater projects receiving federal grant funding during the construction grants program of the 1980s.  </w:t>
      </w:r>
      <w:r w:rsidRPr="008E7712">
        <w:rPr>
          <w:i/>
          <w:iCs/>
          <w:szCs w:val="26"/>
        </w:rPr>
        <w:t>See</w:t>
      </w:r>
      <w:r w:rsidRPr="008E7712">
        <w:rPr>
          <w:szCs w:val="26"/>
        </w:rPr>
        <w:t xml:space="preserve"> CUPA-WW St.</w:t>
      </w:r>
      <w:r w:rsidR="002C3A8C" w:rsidRPr="008E7712">
        <w:rPr>
          <w:szCs w:val="26"/>
        </w:rPr>
        <w:t> </w:t>
      </w:r>
      <w:r w:rsidRPr="008E7712">
        <w:rPr>
          <w:szCs w:val="26"/>
        </w:rPr>
        <w:t xml:space="preserve">No. 6 at 7.  The rates produced in CUPA-WW Exhibit SAM-1 (Revised) use a share of allocable equivalent meters (16.16%) to identify a share of treatment and disposal costs to assign to Tamiment customers, but it is not necessary to allocate this cost to classes as residential and commercial customers are treated equivalently.  </w:t>
      </w:r>
    </w:p>
    <w:p w14:paraId="087CB1D5" w14:textId="77777777" w:rsidR="004B54E9" w:rsidRPr="008E7712" w:rsidRDefault="004B54E9" w:rsidP="00EB7CBC">
      <w:pPr>
        <w:rPr>
          <w:szCs w:val="26"/>
        </w:rPr>
      </w:pPr>
    </w:p>
    <w:p w14:paraId="32BEE603" w14:textId="75792A54" w:rsidR="004B54E9" w:rsidRPr="008E7712" w:rsidRDefault="004B54E9" w:rsidP="00EB7CBC">
      <w:pPr>
        <w:ind w:firstLine="1440"/>
        <w:rPr>
          <w:szCs w:val="26"/>
        </w:rPr>
      </w:pPr>
      <w:r w:rsidRPr="008E7712">
        <w:rPr>
          <w:szCs w:val="26"/>
        </w:rPr>
        <w:t>We note that, consistent with the Company’s goal of adopting rates that reflect a unified rate structure for its multiple water and wastewater territories, the cost</w:t>
      </w:r>
      <w:r w:rsidR="00743BF4" w:rsidRPr="008E7712">
        <w:rPr>
          <w:szCs w:val="26"/>
        </w:rPr>
        <w:t>-</w:t>
      </w:r>
      <w:r w:rsidRPr="008E7712">
        <w:rPr>
          <w:szCs w:val="26"/>
        </w:rPr>
        <w:t>of</w:t>
      </w:r>
      <w:r w:rsidR="00743BF4" w:rsidRPr="008E7712">
        <w:rPr>
          <w:szCs w:val="26"/>
        </w:rPr>
        <w:t>-</w:t>
      </w:r>
      <w:r w:rsidRPr="008E7712">
        <w:rPr>
          <w:szCs w:val="26"/>
        </w:rPr>
        <w:t>service studies presented by CUPA in this proceeding are clear, in that there is only one set of demand characteristics used, which are for the entirety of CUPA; phrased another way, there is only one class.  Therefore, as the Settlement ultimately does not provide for full consolidation of Tamiment customers in this proceeding, the cost</w:t>
      </w:r>
      <w:r w:rsidR="00743BF4" w:rsidRPr="008E7712">
        <w:rPr>
          <w:szCs w:val="26"/>
        </w:rPr>
        <w:t>-</w:t>
      </w:r>
      <w:r w:rsidRPr="008E7712">
        <w:rPr>
          <w:szCs w:val="26"/>
        </w:rPr>
        <w:t>of</w:t>
      </w:r>
      <w:r w:rsidR="00743BF4" w:rsidRPr="008E7712">
        <w:rPr>
          <w:szCs w:val="26"/>
        </w:rPr>
        <w:t>-</w:t>
      </w:r>
      <w:r w:rsidRPr="008E7712">
        <w:rPr>
          <w:szCs w:val="26"/>
        </w:rPr>
        <w:t xml:space="preserve">service studies presented can only be used as a starting point or rough guide in the movement to reduce the rate differences between the consolidated CUPA systems and Tamiment customers, </w:t>
      </w:r>
      <w:proofErr w:type="gramStart"/>
      <w:r w:rsidRPr="008E7712">
        <w:rPr>
          <w:szCs w:val="26"/>
        </w:rPr>
        <w:t>water</w:t>
      </w:r>
      <w:proofErr w:type="gramEnd"/>
      <w:r w:rsidRPr="008E7712">
        <w:rPr>
          <w:szCs w:val="26"/>
        </w:rPr>
        <w:t xml:space="preserve"> and wastewater.  </w:t>
      </w:r>
    </w:p>
    <w:p w14:paraId="608ACC51" w14:textId="77777777" w:rsidR="004B54E9" w:rsidRPr="008E7712" w:rsidRDefault="004B54E9" w:rsidP="00EB7CBC">
      <w:pPr>
        <w:rPr>
          <w:szCs w:val="26"/>
        </w:rPr>
      </w:pPr>
    </w:p>
    <w:p w14:paraId="47CD275A" w14:textId="6F8D71F6" w:rsidR="004B54E9" w:rsidRPr="008E7712" w:rsidRDefault="004B54E9" w:rsidP="00EB7CBC">
      <w:pPr>
        <w:ind w:firstLine="1440"/>
        <w:rPr>
          <w:szCs w:val="26"/>
        </w:rPr>
      </w:pPr>
      <w:r w:rsidRPr="008E7712">
        <w:rPr>
          <w:szCs w:val="26"/>
        </w:rPr>
        <w:t>In this proceeding CUPA originally proposed to consolidate the Tamiment rates with the rates for Westgate and Penn Estates, which, if approved, would result in the same rates for all three service territories.  CUPA</w:t>
      </w:r>
      <w:r w:rsidR="000D696C" w:rsidRPr="008E7712">
        <w:rPr>
          <w:szCs w:val="26"/>
        </w:rPr>
        <w:t>-Water</w:t>
      </w:r>
      <w:r w:rsidRPr="008E7712">
        <w:rPr>
          <w:szCs w:val="26"/>
        </w:rPr>
        <w:t>’s current rates for water service consist of a fixed customer charge which varies based on meter size and a volumetric usage charge.</w:t>
      </w:r>
      <w:r w:rsidRPr="008E7712">
        <w:rPr>
          <w:szCs w:val="26"/>
          <w:vertAlign w:val="superscript"/>
        </w:rPr>
        <w:footnoteReference w:id="10"/>
      </w:r>
      <w:r w:rsidRPr="008E7712">
        <w:rPr>
          <w:szCs w:val="26"/>
        </w:rPr>
        <w:t xml:space="preserve">  In addition to these rates, CUPA</w:t>
      </w:r>
      <w:r w:rsidR="00191B90" w:rsidRPr="008E7712">
        <w:rPr>
          <w:szCs w:val="26"/>
        </w:rPr>
        <w:t>-Water</w:t>
      </w:r>
      <w:r w:rsidRPr="008E7712">
        <w:rPr>
          <w:szCs w:val="26"/>
        </w:rPr>
        <w:t xml:space="preserve"> assesses a fixed availability charge to customers in the Penn Estates and Tamiment service territories that own lots without buildings where water service is available.  CUPA-W Exhibit AWD-2, sponsored by CUPA witness Mr. Andrew W. Dickson, identified CUPA</w:t>
      </w:r>
      <w:r w:rsidR="00D91A0E" w:rsidRPr="008E7712">
        <w:rPr>
          <w:szCs w:val="26"/>
        </w:rPr>
        <w:t>-Water</w:t>
      </w:r>
      <w:r w:rsidRPr="008E7712">
        <w:rPr>
          <w:szCs w:val="26"/>
        </w:rPr>
        <w:t xml:space="preserve">’s existing and </w:t>
      </w:r>
      <w:r w:rsidRPr="008E7712">
        <w:rPr>
          <w:szCs w:val="26"/>
        </w:rPr>
        <w:lastRenderedPageBreak/>
        <w:t>proposed rates for water service.</w:t>
      </w:r>
      <w:r w:rsidRPr="008E7712">
        <w:rPr>
          <w:szCs w:val="26"/>
          <w:vertAlign w:val="superscript"/>
        </w:rPr>
        <w:footnoteReference w:id="11"/>
      </w:r>
      <w:r w:rsidRPr="008E7712">
        <w:rPr>
          <w:szCs w:val="26"/>
        </w:rPr>
        <w:t xml:space="preserve">  As indicated in CUPA-W Exhibit AWD-2, the Company proposed the introduction of a Low-Income residential volumetric usage charge.  </w:t>
      </w:r>
      <w:bookmarkStart w:id="31" w:name="_Hlk87861343"/>
      <w:r w:rsidRPr="008E7712">
        <w:rPr>
          <w:szCs w:val="26"/>
        </w:rPr>
        <w:t>OSBA witness, Brian Kalcic, summarized the Company’s proposed increases, as presented in its rebuttal testimony, to its consolidated and Tamiment water rate areas, as well as on a total system basis, as follows:</w:t>
      </w:r>
      <w:bookmarkEnd w:id="31"/>
    </w:p>
    <w:p w14:paraId="246B7F10" w14:textId="77777777" w:rsidR="004B54E9" w:rsidRPr="008E7712" w:rsidRDefault="004B54E9" w:rsidP="00EB7CBC">
      <w:pPr>
        <w:rPr>
          <w:szCs w:val="26"/>
        </w:rPr>
      </w:pPr>
    </w:p>
    <w:p w14:paraId="4AF65AB5" w14:textId="77777777" w:rsidR="004B54E9" w:rsidRPr="008E7712" w:rsidRDefault="004B54E9" w:rsidP="00EB7CBC">
      <w:pPr>
        <w:keepNext/>
        <w:jc w:val="center"/>
        <w:rPr>
          <w:szCs w:val="26"/>
        </w:rPr>
      </w:pPr>
      <w:r w:rsidRPr="008E7712">
        <w:rPr>
          <w:noProof/>
          <w:szCs w:val="26"/>
        </w:rPr>
        <w:drawing>
          <wp:inline distT="0" distB="0" distL="0" distR="0" wp14:anchorId="3A042A64" wp14:editId="4CDB067C">
            <wp:extent cx="5943600" cy="246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464435"/>
                    </a:xfrm>
                    <a:prstGeom prst="rect">
                      <a:avLst/>
                    </a:prstGeom>
                    <a:noFill/>
                    <a:ln>
                      <a:noFill/>
                    </a:ln>
                  </pic:spPr>
                </pic:pic>
              </a:graphicData>
            </a:graphic>
          </wp:inline>
        </w:drawing>
      </w:r>
    </w:p>
    <w:p w14:paraId="6802C00C" w14:textId="77777777" w:rsidR="004B54E9" w:rsidRPr="008E7712" w:rsidRDefault="004B54E9" w:rsidP="00EB7CBC">
      <w:pPr>
        <w:keepNext/>
        <w:rPr>
          <w:szCs w:val="26"/>
        </w:rPr>
      </w:pPr>
      <w:r w:rsidRPr="008E7712">
        <w:rPr>
          <w:i/>
          <w:iCs/>
          <w:szCs w:val="26"/>
        </w:rPr>
        <w:t>See</w:t>
      </w:r>
      <w:r w:rsidRPr="008E7712">
        <w:rPr>
          <w:szCs w:val="26"/>
        </w:rPr>
        <w:t xml:space="preserve"> OSBA Exh. BK-1S, Sch. BK-1S.  </w:t>
      </w:r>
    </w:p>
    <w:p w14:paraId="4C8E7496" w14:textId="77777777" w:rsidR="004B54E9" w:rsidRPr="008E7712" w:rsidRDefault="004B54E9" w:rsidP="00EB7CBC">
      <w:pPr>
        <w:rPr>
          <w:szCs w:val="26"/>
        </w:rPr>
      </w:pPr>
    </w:p>
    <w:p w14:paraId="101B6B5F" w14:textId="45D77640" w:rsidR="004B54E9" w:rsidRPr="008E7712" w:rsidRDefault="004B54E9" w:rsidP="00EB7CBC">
      <w:pPr>
        <w:ind w:firstLine="1440"/>
        <w:rPr>
          <w:szCs w:val="26"/>
        </w:rPr>
      </w:pPr>
      <w:r w:rsidRPr="008E7712">
        <w:rPr>
          <w:szCs w:val="26"/>
        </w:rPr>
        <w:t xml:space="preserve">All customers in the consolidated </w:t>
      </w:r>
      <w:bookmarkStart w:id="32" w:name="_Hlk87863105"/>
      <w:r w:rsidRPr="008E7712">
        <w:rPr>
          <w:szCs w:val="26"/>
        </w:rPr>
        <w:t xml:space="preserve">Utilities, Inc. of </w:t>
      </w:r>
      <w:proofErr w:type="gramStart"/>
      <w:r w:rsidRPr="008E7712">
        <w:rPr>
          <w:szCs w:val="26"/>
        </w:rPr>
        <w:t>Pennsylvania</w:t>
      </w:r>
      <w:proofErr w:type="gramEnd"/>
      <w:r w:rsidRPr="008E7712">
        <w:rPr>
          <w:szCs w:val="26"/>
        </w:rPr>
        <w:t xml:space="preserve"> </w:t>
      </w:r>
      <w:bookmarkEnd w:id="32"/>
      <w:r w:rsidRPr="008E7712">
        <w:rPr>
          <w:szCs w:val="26"/>
        </w:rPr>
        <w:t>and Penn</w:t>
      </w:r>
      <w:r w:rsidR="002C3A8C" w:rsidRPr="008E7712">
        <w:rPr>
          <w:szCs w:val="26"/>
        </w:rPr>
        <w:t> </w:t>
      </w:r>
      <w:r w:rsidRPr="008E7712">
        <w:rPr>
          <w:szCs w:val="26"/>
        </w:rPr>
        <w:t xml:space="preserve">Estates service territories, except schools and availability customers, are currently assessed the same fixed monthly rate for wastewater service.  Schools are currently assessed a fixed per student charge and availability customers in the Penn Estates service territory are assessed a fixed monthly charge.  Wastewater customers in the Tamiment service territory are currently assessed a fixed quarterly customer charge and a volumetric </w:t>
      </w:r>
      <w:r w:rsidRPr="008E7712">
        <w:rPr>
          <w:szCs w:val="26"/>
        </w:rPr>
        <w:lastRenderedPageBreak/>
        <w:t xml:space="preserve">usage charge based on water usage.  Availability customers in the Tamiment service territory are currently assessed a quarterly fixed charge.  </w:t>
      </w:r>
    </w:p>
    <w:p w14:paraId="06F2DCEE" w14:textId="77777777" w:rsidR="004B54E9" w:rsidRPr="008E7712" w:rsidRDefault="004B54E9" w:rsidP="00EB7CBC">
      <w:pPr>
        <w:ind w:firstLine="1440"/>
        <w:rPr>
          <w:szCs w:val="26"/>
        </w:rPr>
      </w:pPr>
    </w:p>
    <w:p w14:paraId="2E123987" w14:textId="5541555A" w:rsidR="004B54E9" w:rsidRPr="008E7712" w:rsidRDefault="004B54E9" w:rsidP="00EB7CBC">
      <w:pPr>
        <w:ind w:firstLine="1440"/>
        <w:rPr>
          <w:szCs w:val="26"/>
        </w:rPr>
      </w:pPr>
      <w:r w:rsidRPr="008E7712">
        <w:rPr>
          <w:szCs w:val="26"/>
        </w:rPr>
        <w:t>In this proceeding, CUPA</w:t>
      </w:r>
      <w:r w:rsidR="006E12B2" w:rsidRPr="008E7712">
        <w:rPr>
          <w:szCs w:val="26"/>
        </w:rPr>
        <w:t>-Wastewater</w:t>
      </w:r>
      <w:r w:rsidRPr="008E7712">
        <w:rPr>
          <w:szCs w:val="26"/>
        </w:rPr>
        <w:t xml:space="preserve"> originally proposed to consolidate the wastewater rates for all three service territories and charge all customers, except schools and availability customers, a single monthly fixed charge.  Schools would continue to be assessed a fixed per student charge and the same fixed charge would be applicable to all availability customers.  CUPA-WW Exhibit AWD-2, sponsored by CUPA witness </w:t>
      </w:r>
      <w:r w:rsidRPr="007728D8">
        <w:t>Mr. Dickson</w:t>
      </w:r>
      <w:r w:rsidRPr="008E7712">
        <w:rPr>
          <w:szCs w:val="26"/>
        </w:rPr>
        <w:t>, identified CUPA</w:t>
      </w:r>
      <w:r w:rsidR="00D777FE" w:rsidRPr="008E7712">
        <w:rPr>
          <w:szCs w:val="26"/>
        </w:rPr>
        <w:t>-</w:t>
      </w:r>
      <w:r w:rsidR="006E12B2" w:rsidRPr="008E7712">
        <w:rPr>
          <w:szCs w:val="26"/>
        </w:rPr>
        <w:t>Wastewater</w:t>
      </w:r>
      <w:r w:rsidRPr="008E7712">
        <w:rPr>
          <w:szCs w:val="26"/>
        </w:rPr>
        <w:t>’s existing and proposed rates for wastewater service.  OSBA witness, Mr. Kalcic, summarized the Company’s proposed increases to its consolidated and Tamiment wastewater rate areas, as well as on a total system basis, as follows:</w:t>
      </w:r>
    </w:p>
    <w:p w14:paraId="0C35CA2F" w14:textId="77777777" w:rsidR="004B54E9" w:rsidRPr="008E7712" w:rsidRDefault="004B54E9" w:rsidP="00EB7CBC">
      <w:pPr>
        <w:rPr>
          <w:szCs w:val="26"/>
        </w:rPr>
      </w:pPr>
    </w:p>
    <w:p w14:paraId="069A3443" w14:textId="77777777" w:rsidR="004B54E9" w:rsidRPr="008E7712" w:rsidRDefault="004B54E9" w:rsidP="00EB7CBC">
      <w:pPr>
        <w:keepNext/>
        <w:jc w:val="center"/>
        <w:rPr>
          <w:szCs w:val="26"/>
        </w:rPr>
      </w:pPr>
      <w:r w:rsidRPr="008E7712">
        <w:rPr>
          <w:noProof/>
          <w:szCs w:val="26"/>
        </w:rPr>
        <w:drawing>
          <wp:inline distT="0" distB="0" distL="0" distR="0" wp14:anchorId="099499D1" wp14:editId="24DDA771">
            <wp:extent cx="5943600" cy="2464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464435"/>
                    </a:xfrm>
                    <a:prstGeom prst="rect">
                      <a:avLst/>
                    </a:prstGeom>
                    <a:noFill/>
                    <a:ln>
                      <a:noFill/>
                    </a:ln>
                  </pic:spPr>
                </pic:pic>
              </a:graphicData>
            </a:graphic>
          </wp:inline>
        </w:drawing>
      </w:r>
    </w:p>
    <w:p w14:paraId="64D390E1" w14:textId="77777777" w:rsidR="004B54E9" w:rsidRPr="008E7712" w:rsidRDefault="004B54E9" w:rsidP="00BE7C5C">
      <w:pPr>
        <w:keepNext/>
        <w:rPr>
          <w:szCs w:val="26"/>
        </w:rPr>
      </w:pPr>
      <w:r w:rsidRPr="008E7712">
        <w:rPr>
          <w:i/>
          <w:iCs/>
          <w:szCs w:val="26"/>
        </w:rPr>
        <w:t>See</w:t>
      </w:r>
      <w:r w:rsidRPr="008E7712">
        <w:rPr>
          <w:szCs w:val="26"/>
        </w:rPr>
        <w:t xml:space="preserve"> OSBA Exh. BK-1, Sch. BK-2.</w:t>
      </w:r>
    </w:p>
    <w:p w14:paraId="2369FDD4" w14:textId="77777777" w:rsidR="004B54E9" w:rsidRPr="008E7712" w:rsidRDefault="004B54E9" w:rsidP="00BE7C5C">
      <w:pPr>
        <w:rPr>
          <w:szCs w:val="26"/>
        </w:rPr>
      </w:pPr>
    </w:p>
    <w:p w14:paraId="343B6BAF" w14:textId="07AAD3F1" w:rsidR="004B54E9" w:rsidRPr="008E7712" w:rsidRDefault="002A5EED" w:rsidP="00BE7C5C">
      <w:pPr>
        <w:pStyle w:val="Heading3"/>
        <w:spacing w:line="360" w:lineRule="auto"/>
        <w:rPr>
          <w:i/>
          <w:iCs/>
        </w:rPr>
      </w:pPr>
      <w:bookmarkStart w:id="33" w:name="_Toc91576499"/>
      <w:r w:rsidRPr="008E7712">
        <w:t>2.</w:t>
      </w:r>
      <w:r w:rsidRPr="008E7712">
        <w:tab/>
      </w:r>
      <w:r w:rsidR="004B54E9" w:rsidRPr="00C83539">
        <w:t>Water</w:t>
      </w:r>
      <w:r w:rsidR="004B54E9" w:rsidRPr="008E7712">
        <w:t xml:space="preserve"> Rate Consolidation (Settlement at ¶ II.E.8)</w:t>
      </w:r>
      <w:bookmarkEnd w:id="33"/>
    </w:p>
    <w:p w14:paraId="669EDEDB" w14:textId="77777777" w:rsidR="004B54E9" w:rsidRPr="008E7712" w:rsidRDefault="004B54E9" w:rsidP="00BE7C5C">
      <w:pPr>
        <w:keepNext/>
        <w:rPr>
          <w:szCs w:val="26"/>
        </w:rPr>
      </w:pPr>
    </w:p>
    <w:p w14:paraId="77D85FEE" w14:textId="5FFE9B28" w:rsidR="004B54E9" w:rsidRPr="008E7712" w:rsidRDefault="004B54E9" w:rsidP="00BE7C5C">
      <w:pPr>
        <w:keepNext/>
        <w:ind w:firstLine="1440"/>
        <w:rPr>
          <w:szCs w:val="26"/>
        </w:rPr>
      </w:pPr>
      <w:r w:rsidRPr="008E7712">
        <w:rPr>
          <w:szCs w:val="26"/>
        </w:rPr>
        <w:t>As previously indicated, CUPA</w:t>
      </w:r>
      <w:r w:rsidR="00782EC2" w:rsidRPr="008E7712">
        <w:rPr>
          <w:szCs w:val="26"/>
        </w:rPr>
        <w:t>-Water</w:t>
      </w:r>
      <w:r w:rsidRPr="008E7712">
        <w:rPr>
          <w:szCs w:val="26"/>
        </w:rPr>
        <w:t xml:space="preserve"> originally proposed that Tamiment customers’ rates be fully consolidated with the rates of the other CUPA</w:t>
      </w:r>
      <w:r w:rsidR="00782EC2" w:rsidRPr="008E7712">
        <w:rPr>
          <w:szCs w:val="26"/>
        </w:rPr>
        <w:t>-Water</w:t>
      </w:r>
      <w:r w:rsidRPr="008E7712">
        <w:rPr>
          <w:szCs w:val="26"/>
        </w:rPr>
        <w:t xml:space="preserve"> systems.  However, incorporating the principles of gradualism, the Settlement achieves an </w:t>
      </w:r>
      <w:r w:rsidRPr="008E7712">
        <w:rPr>
          <w:szCs w:val="26"/>
        </w:rPr>
        <w:lastRenderedPageBreak/>
        <w:t>approximately 50% move towards consolidation, with full consolidation in CUPA</w:t>
      </w:r>
      <w:r w:rsidR="00782EC2" w:rsidRPr="008E7712">
        <w:rPr>
          <w:szCs w:val="26"/>
        </w:rPr>
        <w:t>-Water</w:t>
      </w:r>
      <w:r w:rsidRPr="008E7712">
        <w:rPr>
          <w:szCs w:val="26"/>
        </w:rPr>
        <w:t>’s next base rate proceeding.  This aspect of the Settlement is responsive to the concerns raised by the OCA.  OCA St. No. 3 at 7-9.  Specifically, as shown above, CUPA</w:t>
      </w:r>
      <w:r w:rsidR="00782EC2" w:rsidRPr="008E7712">
        <w:rPr>
          <w:szCs w:val="26"/>
        </w:rPr>
        <w:t>-Water</w:t>
      </w:r>
      <w:r w:rsidRPr="008E7712">
        <w:rPr>
          <w:szCs w:val="26"/>
        </w:rPr>
        <w:t xml:space="preserve"> proposed to increase its total system water rates by an average of 36.9%; however, this meant a rate increase of over 80% for Tamiment water customers.  The OCA noted that this stepped approach is consistent with how rates in the Penn Estates, Westgate and Utilities, Inc. of Pennsylvania systems were consolidated and recognizes the appropriateness of gradualism, while also reducing the gap in rates paid by Tamiment water customers relative to customers in the consolidated systems.  OCA Statement in Support at 8.  </w:t>
      </w:r>
    </w:p>
    <w:p w14:paraId="42E52EA3" w14:textId="77777777" w:rsidR="004B54E9" w:rsidRPr="008E7712" w:rsidRDefault="004B54E9" w:rsidP="00BE7C5C">
      <w:pPr>
        <w:rPr>
          <w:szCs w:val="26"/>
        </w:rPr>
      </w:pPr>
    </w:p>
    <w:p w14:paraId="6D3B02BF" w14:textId="59306C4A" w:rsidR="004B54E9" w:rsidRPr="008E7712" w:rsidRDefault="002A5EED" w:rsidP="00BE7C5C">
      <w:pPr>
        <w:pStyle w:val="Heading3"/>
        <w:spacing w:line="360" w:lineRule="auto"/>
        <w:rPr>
          <w:i/>
          <w:iCs/>
        </w:rPr>
      </w:pPr>
      <w:bookmarkStart w:id="34" w:name="_Toc91576500"/>
      <w:r w:rsidRPr="008E7712">
        <w:t>3.</w:t>
      </w:r>
      <w:r w:rsidRPr="008E7712">
        <w:tab/>
      </w:r>
      <w:r w:rsidR="004B54E9" w:rsidRPr="008E7712">
        <w:t>Water Availability Rates (Settlement at ¶ II.E.12)</w:t>
      </w:r>
      <w:bookmarkEnd w:id="34"/>
    </w:p>
    <w:p w14:paraId="0BE549EF" w14:textId="77777777" w:rsidR="004B54E9" w:rsidRPr="008E7712" w:rsidRDefault="004B54E9" w:rsidP="00BE7C5C">
      <w:pPr>
        <w:keepNext/>
        <w:rPr>
          <w:szCs w:val="26"/>
        </w:rPr>
      </w:pPr>
    </w:p>
    <w:p w14:paraId="765202B4" w14:textId="3DEB8E4F" w:rsidR="004B54E9" w:rsidRPr="008E7712" w:rsidRDefault="004B54E9" w:rsidP="00BE7C5C">
      <w:pPr>
        <w:keepNext/>
        <w:ind w:firstLine="1440"/>
        <w:rPr>
          <w:szCs w:val="26"/>
        </w:rPr>
      </w:pPr>
      <w:r w:rsidRPr="008E7712">
        <w:rPr>
          <w:szCs w:val="26"/>
        </w:rPr>
        <w:t>For water availability rates, the Settlement limits the increases to 1.5 times the system average increase.  This aspect of the Settlement is responsive to the concerns raised by the OCA and I&amp;E in this proceeding.  OCA St. No. 3 at 9; I&amp;E St. No. 3 (Water) at</w:t>
      </w:r>
      <w:r w:rsidR="00423ED6" w:rsidRPr="008E7712">
        <w:rPr>
          <w:szCs w:val="26"/>
        </w:rPr>
        <w:t> </w:t>
      </w:r>
      <w:r w:rsidRPr="008E7712">
        <w:rPr>
          <w:szCs w:val="26"/>
        </w:rPr>
        <w:t>21</w:t>
      </w:r>
      <w:r w:rsidR="00423ED6" w:rsidRPr="008E7712">
        <w:rPr>
          <w:szCs w:val="26"/>
        </w:rPr>
        <w:noBreakHyphen/>
      </w:r>
      <w:r w:rsidRPr="008E7712">
        <w:rPr>
          <w:szCs w:val="26"/>
        </w:rPr>
        <w:t>22.  Initially, CUPA</w:t>
      </w:r>
      <w:r w:rsidR="004855F7" w:rsidRPr="008E7712">
        <w:rPr>
          <w:szCs w:val="26"/>
        </w:rPr>
        <w:t>-Water</w:t>
      </w:r>
      <w:r w:rsidRPr="008E7712">
        <w:rPr>
          <w:szCs w:val="26"/>
        </w:rPr>
        <w:t xml:space="preserve"> proposed to convert the current Tamiment availability rate of approximately $19.14 per quarter (equivalent to $6.38 per month) to $15.32 per month, resulting in an increase of approximately 141%.  The approach in the Settlement, limiting the increase to 1.5 times the system average, comports with the concept of gradualism, because as OCA witness, </w:t>
      </w:r>
      <w:r w:rsidR="0046016E" w:rsidRPr="00384BE7">
        <w:t xml:space="preserve">Jerome D. </w:t>
      </w:r>
      <w:proofErr w:type="spellStart"/>
      <w:r w:rsidRPr="00384BE7">
        <w:t>Mierzwa</w:t>
      </w:r>
      <w:proofErr w:type="spellEnd"/>
      <w:r w:rsidRPr="008E7712">
        <w:rPr>
          <w:szCs w:val="26"/>
        </w:rPr>
        <w:t xml:space="preserve"> testified, “While there is no hard and fast rule with respect to applying the concept of gradualism, typically an increase of 1.5 to 2.0</w:t>
      </w:r>
      <w:r w:rsidR="00423ED6" w:rsidRPr="008E7712">
        <w:rPr>
          <w:szCs w:val="26"/>
        </w:rPr>
        <w:t> </w:t>
      </w:r>
      <w:r w:rsidRPr="008E7712">
        <w:rPr>
          <w:szCs w:val="26"/>
        </w:rPr>
        <w:t xml:space="preserve">times the system average increase is considered consistent with the concept of gradualism.”  OCA St. No. 3 at 8.  </w:t>
      </w:r>
    </w:p>
    <w:p w14:paraId="433EAC06" w14:textId="77777777" w:rsidR="004B54E9" w:rsidRPr="008E7712" w:rsidRDefault="004B54E9" w:rsidP="00EB7CBC">
      <w:pPr>
        <w:rPr>
          <w:szCs w:val="26"/>
        </w:rPr>
      </w:pPr>
    </w:p>
    <w:p w14:paraId="565A4D1A" w14:textId="7DF57B38" w:rsidR="004B54E9" w:rsidRPr="008E7712" w:rsidRDefault="002A5EED" w:rsidP="00AF0A12">
      <w:pPr>
        <w:pStyle w:val="Heading3"/>
        <w:spacing w:line="360" w:lineRule="auto"/>
        <w:rPr>
          <w:i/>
          <w:iCs/>
        </w:rPr>
      </w:pPr>
      <w:bookmarkStart w:id="35" w:name="_Toc91576501"/>
      <w:r w:rsidRPr="008E7712">
        <w:t>4.</w:t>
      </w:r>
      <w:r w:rsidRPr="008E7712">
        <w:tab/>
      </w:r>
      <w:r w:rsidR="004B54E9" w:rsidRPr="008E7712">
        <w:t>Water Customer Charges (Settlement at ¶ II.E.12)</w:t>
      </w:r>
      <w:bookmarkEnd w:id="35"/>
    </w:p>
    <w:p w14:paraId="614CC000" w14:textId="77777777" w:rsidR="004B54E9" w:rsidRPr="008E7712" w:rsidRDefault="004B54E9" w:rsidP="00AF0A12">
      <w:pPr>
        <w:keepNext/>
        <w:rPr>
          <w:szCs w:val="26"/>
        </w:rPr>
      </w:pPr>
    </w:p>
    <w:p w14:paraId="586EACDF" w14:textId="4C6D61A3" w:rsidR="004B54E9" w:rsidRPr="008E7712" w:rsidRDefault="004B54E9" w:rsidP="00AF0A12">
      <w:pPr>
        <w:keepNext/>
        <w:ind w:firstLine="1440"/>
        <w:rPr>
          <w:szCs w:val="26"/>
        </w:rPr>
      </w:pPr>
      <w:r w:rsidRPr="008E7712">
        <w:rPr>
          <w:szCs w:val="26"/>
        </w:rPr>
        <w:t>The Settlement address</w:t>
      </w:r>
      <w:r w:rsidR="004855F7" w:rsidRPr="008E7712">
        <w:rPr>
          <w:szCs w:val="26"/>
        </w:rPr>
        <w:t>es</w:t>
      </w:r>
      <w:r w:rsidRPr="008E7712">
        <w:rPr>
          <w:szCs w:val="26"/>
        </w:rPr>
        <w:t xml:space="preserve"> another aspect of the rate design that CUPA</w:t>
      </w:r>
      <w:r w:rsidR="004855F7" w:rsidRPr="008E7712">
        <w:rPr>
          <w:szCs w:val="26"/>
        </w:rPr>
        <w:t>-Water</w:t>
      </w:r>
      <w:r w:rsidRPr="008E7712">
        <w:rPr>
          <w:szCs w:val="26"/>
        </w:rPr>
        <w:t xml:space="preserve"> originally proposed.  While recognizing that recovering revenue through </w:t>
      </w:r>
      <w:r w:rsidRPr="008E7712">
        <w:rPr>
          <w:szCs w:val="26"/>
        </w:rPr>
        <w:lastRenderedPageBreak/>
        <w:t>volumetric rates allows customers to control their bills, the Company sought to maintain the current level of fixed rate recovery (35% of total rate revenue) by proposing increases to both its volumetric rates and its fixed customer charges.  CUPA-W St. No. 4 at 4.  The OCA opposed this proposal because the Company’s analysis showed that existing residential customer charges for all service territories already exceed cost-based charges.  OCA St. No. 3 at 9-10; CUPA</w:t>
      </w:r>
      <w:r w:rsidR="00D777FE" w:rsidRPr="008E7712">
        <w:rPr>
          <w:szCs w:val="26"/>
        </w:rPr>
        <w:t>-W</w:t>
      </w:r>
      <w:r w:rsidRPr="008E7712">
        <w:rPr>
          <w:szCs w:val="26"/>
        </w:rPr>
        <w:t xml:space="preserve"> Exh. SAM-1 (Revised) at 16.  Recognizing the concerns raised by the OCA in this proceeding, the Settlement provides that all current water service monthly customer charges will be maintained, excluding the Tamiment 6</w:t>
      </w:r>
      <w:r w:rsidR="00AF0A12">
        <w:rPr>
          <w:szCs w:val="26"/>
        </w:rPr>
        <w:noBreakHyphen/>
      </w:r>
      <w:r w:rsidRPr="008E7712">
        <w:rPr>
          <w:szCs w:val="26"/>
        </w:rPr>
        <w:t>inch commercial customer charge, which will be increased by the system average increase.  This is responsive to the concerns raised by I&amp;E in this proceeding.  I&amp;E St. No. 3 (Water) at 19.  Initially, CUPA</w:t>
      </w:r>
      <w:r w:rsidR="00860696" w:rsidRPr="008E7712">
        <w:rPr>
          <w:szCs w:val="26"/>
        </w:rPr>
        <w:t>-Water</w:t>
      </w:r>
      <w:r w:rsidRPr="008E7712">
        <w:rPr>
          <w:szCs w:val="26"/>
        </w:rPr>
        <w:t xml:space="preserve"> proposed to increase the current Tamiment 6-inch customer charge rate of $121.25 per month to $873.09 per month, resulting in an increase of approximately 620%.  The approach in the Settlement, limiting the increase to the system average, comports with the concept of gradualism, which requires that rates slowly increase so that customers do not receive sudden large increases and can become accustomed to paying a higher rate over time.  </w:t>
      </w:r>
      <w:r w:rsidRPr="008E7712">
        <w:rPr>
          <w:i/>
          <w:iCs/>
          <w:szCs w:val="26"/>
        </w:rPr>
        <w:t>See</w:t>
      </w:r>
      <w:r w:rsidRPr="008E7712">
        <w:rPr>
          <w:szCs w:val="26"/>
        </w:rPr>
        <w:t xml:space="preserve"> I&amp;E St. No. 3 (Water) at 17.</w:t>
      </w:r>
    </w:p>
    <w:p w14:paraId="28EABDEE" w14:textId="77777777" w:rsidR="004B54E9" w:rsidRPr="008E7712" w:rsidRDefault="004B54E9" w:rsidP="00AF0A12">
      <w:pPr>
        <w:rPr>
          <w:szCs w:val="26"/>
        </w:rPr>
      </w:pPr>
    </w:p>
    <w:p w14:paraId="508521E9" w14:textId="0C0BB7CC" w:rsidR="004B54E9" w:rsidRPr="008E7712" w:rsidRDefault="002A5EED" w:rsidP="00AF0A12">
      <w:pPr>
        <w:pStyle w:val="Heading3"/>
        <w:spacing w:line="360" w:lineRule="auto"/>
        <w:rPr>
          <w:i/>
          <w:iCs/>
        </w:rPr>
      </w:pPr>
      <w:bookmarkStart w:id="36" w:name="_Toc91576502"/>
      <w:r w:rsidRPr="008E7712">
        <w:t>5.</w:t>
      </w:r>
      <w:r w:rsidRPr="008E7712">
        <w:tab/>
      </w:r>
      <w:r w:rsidR="004B54E9" w:rsidRPr="008E7712">
        <w:t>Low-Income Water Rate (Settlement at ¶ II.E.14-15)</w:t>
      </w:r>
      <w:bookmarkEnd w:id="36"/>
    </w:p>
    <w:p w14:paraId="1E72C84E" w14:textId="77777777" w:rsidR="004B54E9" w:rsidRPr="008E7712" w:rsidRDefault="004B54E9" w:rsidP="00AF0A12">
      <w:pPr>
        <w:keepNext/>
        <w:rPr>
          <w:szCs w:val="26"/>
        </w:rPr>
      </w:pPr>
    </w:p>
    <w:p w14:paraId="347B17F3" w14:textId="6A12BD7F" w:rsidR="004B54E9" w:rsidRPr="008E7712" w:rsidRDefault="004B54E9" w:rsidP="00AF0A12">
      <w:pPr>
        <w:ind w:firstLine="1440"/>
        <w:rPr>
          <w:szCs w:val="26"/>
        </w:rPr>
      </w:pPr>
      <w:r w:rsidRPr="008E7712">
        <w:rPr>
          <w:szCs w:val="26"/>
        </w:rPr>
        <w:t>For low-income customers impacted by any rate increase, the Settlement provides an immediate low-income program for water customers; however, it is modified from the Company’s original request in the following ways:</w:t>
      </w:r>
      <w:r w:rsidR="00FD1057">
        <w:rPr>
          <w:szCs w:val="26"/>
        </w:rPr>
        <w:t xml:space="preserve"> </w:t>
      </w:r>
      <w:r w:rsidRPr="008E7712">
        <w:rPr>
          <w:szCs w:val="26"/>
        </w:rPr>
        <w:t>(1) the discount rate is moderated;</w:t>
      </w:r>
      <w:r w:rsidRPr="008E7712">
        <w:rPr>
          <w:rStyle w:val="FootnoteReference"/>
          <w:szCs w:val="26"/>
        </w:rPr>
        <w:footnoteReference w:id="12"/>
      </w:r>
      <w:r w:rsidRPr="008E7712">
        <w:rPr>
          <w:szCs w:val="26"/>
        </w:rPr>
        <w:t xml:space="preserve"> (2) a regulatory asset/liability will be established to address any over/under </w:t>
      </w:r>
      <w:r w:rsidRPr="008E7712">
        <w:rPr>
          <w:szCs w:val="26"/>
        </w:rPr>
        <w:lastRenderedPageBreak/>
        <w:t>collections from what is recovered in base rates;</w:t>
      </w:r>
      <w:r w:rsidRPr="008E7712">
        <w:rPr>
          <w:rStyle w:val="FootnoteReference"/>
          <w:szCs w:val="26"/>
        </w:rPr>
        <w:footnoteReference w:id="13"/>
      </w:r>
      <w:r w:rsidRPr="008E7712">
        <w:rPr>
          <w:szCs w:val="26"/>
        </w:rPr>
        <w:t xml:space="preserve"> and (3) the discount rate will be implemented on a pilot basis.</w:t>
      </w:r>
      <w:r w:rsidRPr="008E7712">
        <w:rPr>
          <w:rStyle w:val="FootnoteReference"/>
          <w:szCs w:val="26"/>
        </w:rPr>
        <w:footnoteReference w:id="14"/>
      </w:r>
    </w:p>
    <w:p w14:paraId="21AE0306" w14:textId="05E1A744" w:rsidR="00DD1998" w:rsidRPr="008E7712" w:rsidRDefault="00DD1998" w:rsidP="00EB7CBC">
      <w:pPr>
        <w:ind w:firstLine="1440"/>
        <w:rPr>
          <w:szCs w:val="26"/>
        </w:rPr>
      </w:pPr>
    </w:p>
    <w:p w14:paraId="760750AB" w14:textId="7BD1CDA9" w:rsidR="001378C2" w:rsidRPr="008E7712" w:rsidRDefault="00DD1998" w:rsidP="00EB7CBC">
      <w:pPr>
        <w:ind w:firstLine="1440"/>
        <w:rPr>
          <w:szCs w:val="26"/>
        </w:rPr>
      </w:pPr>
      <w:r w:rsidRPr="008E7712">
        <w:rPr>
          <w:szCs w:val="26"/>
        </w:rPr>
        <w:t xml:space="preserve">The low-income water rate </w:t>
      </w:r>
      <w:r w:rsidR="000C40A9" w:rsidRPr="008E7712">
        <w:rPr>
          <w:szCs w:val="26"/>
        </w:rPr>
        <w:t xml:space="preserve">is a component of the Residential Low-Income Program that resulted from </w:t>
      </w:r>
      <w:r w:rsidR="00FC0AB4" w:rsidRPr="008E7712">
        <w:rPr>
          <w:szCs w:val="26"/>
        </w:rPr>
        <w:t xml:space="preserve">the </w:t>
      </w:r>
      <w:r w:rsidR="000C40A9" w:rsidRPr="008E7712">
        <w:rPr>
          <w:szCs w:val="26"/>
        </w:rPr>
        <w:t>negotiations leading up to this Settlement.  A more detailed discussion of the low-income water rate will be addressed in Section I (Residential Low-Income Program)</w:t>
      </w:r>
      <w:r w:rsidR="00FC0AB4" w:rsidRPr="008E7712">
        <w:rPr>
          <w:szCs w:val="26"/>
        </w:rPr>
        <w:t xml:space="preserve">, </w:t>
      </w:r>
      <w:r w:rsidR="00307531" w:rsidRPr="008E7712">
        <w:rPr>
          <w:i/>
          <w:iCs/>
          <w:szCs w:val="26"/>
        </w:rPr>
        <w:t>infra</w:t>
      </w:r>
      <w:r w:rsidR="00FC0AB4" w:rsidRPr="008E7712">
        <w:rPr>
          <w:szCs w:val="26"/>
        </w:rPr>
        <w:t>,</w:t>
      </w:r>
      <w:r w:rsidR="001378C2" w:rsidRPr="008E7712">
        <w:rPr>
          <w:szCs w:val="26"/>
        </w:rPr>
        <w:t xml:space="preserve"> along with the second component of the Residential Low-Income Program</w:t>
      </w:r>
      <w:r w:rsidR="00FC0AB4" w:rsidRPr="008E7712">
        <w:rPr>
          <w:szCs w:val="26"/>
        </w:rPr>
        <w:t xml:space="preserve"> – the Low-Income Household Water Assistance Program (LIHWAP).</w:t>
      </w:r>
    </w:p>
    <w:p w14:paraId="7152A748" w14:textId="77777777" w:rsidR="004B54E9" w:rsidRPr="008E7712" w:rsidRDefault="004B54E9" w:rsidP="00EB7CBC">
      <w:pPr>
        <w:rPr>
          <w:szCs w:val="26"/>
        </w:rPr>
      </w:pPr>
    </w:p>
    <w:p w14:paraId="0AE8657A" w14:textId="00A278B6" w:rsidR="004B54E9" w:rsidRPr="008E7712" w:rsidRDefault="002A5EED" w:rsidP="00E8477F">
      <w:pPr>
        <w:pStyle w:val="Heading3"/>
        <w:rPr>
          <w:i/>
          <w:iCs/>
        </w:rPr>
      </w:pPr>
      <w:bookmarkStart w:id="37" w:name="_Toc91576503"/>
      <w:r w:rsidRPr="008E7712">
        <w:t>6.</w:t>
      </w:r>
      <w:r w:rsidRPr="008E7712">
        <w:tab/>
      </w:r>
      <w:r w:rsidR="004B54E9" w:rsidRPr="008E7712">
        <w:t xml:space="preserve">Wastewater Rate </w:t>
      </w:r>
      <w:r w:rsidR="004B54E9" w:rsidRPr="00054D68">
        <w:t>Consolidation</w:t>
      </w:r>
      <w:r w:rsidR="004B54E9" w:rsidRPr="008E7712">
        <w:t xml:space="preserve"> and Availability Rates (Settlement at ¶</w:t>
      </w:r>
      <w:r w:rsidR="00A16EB0">
        <w:t> </w:t>
      </w:r>
      <w:r w:rsidR="004B54E9" w:rsidRPr="008E7712">
        <w:t>II.E.9-10, 13)</w:t>
      </w:r>
      <w:bookmarkEnd w:id="37"/>
    </w:p>
    <w:p w14:paraId="1089B797" w14:textId="77777777" w:rsidR="004B54E9" w:rsidRPr="008E7712" w:rsidRDefault="004B54E9" w:rsidP="00A16EB0">
      <w:pPr>
        <w:keepNext/>
        <w:spacing w:line="480" w:lineRule="auto"/>
        <w:rPr>
          <w:szCs w:val="26"/>
        </w:rPr>
      </w:pPr>
    </w:p>
    <w:p w14:paraId="0E54CD29" w14:textId="723CB99F" w:rsidR="004B54E9" w:rsidRPr="008E7712" w:rsidRDefault="004B54E9" w:rsidP="00EB7CBC">
      <w:pPr>
        <w:keepNext/>
        <w:ind w:firstLine="1440"/>
        <w:rPr>
          <w:szCs w:val="26"/>
        </w:rPr>
      </w:pPr>
      <w:r w:rsidRPr="008E7712">
        <w:rPr>
          <w:szCs w:val="26"/>
        </w:rPr>
        <w:t>As noted above, CUPA</w:t>
      </w:r>
      <w:r w:rsidR="00D54EEE" w:rsidRPr="008E7712">
        <w:rPr>
          <w:szCs w:val="26"/>
        </w:rPr>
        <w:t>-Wastewater</w:t>
      </w:r>
      <w:r w:rsidRPr="008E7712">
        <w:rPr>
          <w:szCs w:val="26"/>
        </w:rPr>
        <w:t xml:space="preserve"> also proposed to fully consolidate the Tamiment wastewater rates with the rates of the other CUPA systems.  CUPA-WW St. </w:t>
      </w:r>
      <w:r w:rsidRPr="008E7712">
        <w:rPr>
          <w:szCs w:val="26"/>
        </w:rPr>
        <w:lastRenderedPageBreak/>
        <w:t xml:space="preserve">No. 1 at 8-9.  Currently, wastewater customers in the consolidated territories pay unmetered, flat rates.  </w:t>
      </w:r>
      <w:r w:rsidRPr="008E7712">
        <w:rPr>
          <w:i/>
          <w:iCs/>
          <w:szCs w:val="26"/>
        </w:rPr>
        <w:t>See</w:t>
      </w:r>
      <w:r w:rsidRPr="008E7712">
        <w:rPr>
          <w:szCs w:val="26"/>
        </w:rPr>
        <w:t xml:space="preserve"> CUPA-WW Exh. DCM-1 at 2-1a.  Wastewater customers in the Tamiment service territory are currently charged metered rates.  As proposed by CUPA</w:t>
      </w:r>
      <w:r w:rsidR="00942676" w:rsidRPr="008E7712">
        <w:rPr>
          <w:szCs w:val="26"/>
        </w:rPr>
        <w:t>-Wastewater</w:t>
      </w:r>
      <w:r w:rsidRPr="008E7712">
        <w:rPr>
          <w:szCs w:val="26"/>
        </w:rPr>
        <w:t>, consolidation of wastewater rates would mean eliminating metered rates for Tamiment wastewater customers.  However, pursuant to the Settlement, the Company has committed to move away from its flat wastewater rates and move to metered usage for all divisions by developing and proposing metered rates in its next base rate filing.  This aspect of the Settlement is responsive to the concerns raised by the OCA.  Specifically, the OCA objected to the Company’s proposal to move away from Tamiment’s volumetric rates stating that doing so “would be inconsistent with the Commission’s policy of eliminating minimum allowances and moving utilities toward metered rates.”  OCA St. No. 3 at 12.  The OCA further stated that the Company’s proposed flat rates are inconsistent with cost</w:t>
      </w:r>
      <w:r w:rsidR="00743BF4" w:rsidRPr="008E7712">
        <w:rPr>
          <w:szCs w:val="26"/>
        </w:rPr>
        <w:t>-</w:t>
      </w:r>
      <w:r w:rsidRPr="008E7712">
        <w:rPr>
          <w:szCs w:val="26"/>
        </w:rPr>
        <w:t>of</w:t>
      </w:r>
      <w:r w:rsidR="00743BF4" w:rsidRPr="008E7712">
        <w:rPr>
          <w:szCs w:val="26"/>
        </w:rPr>
        <w:t>-</w:t>
      </w:r>
      <w:r w:rsidRPr="008E7712">
        <w:rPr>
          <w:szCs w:val="26"/>
        </w:rPr>
        <w:t>service principles because customers are not billed for their actual use of CUPA</w:t>
      </w:r>
      <w:r w:rsidR="00942676" w:rsidRPr="008E7712">
        <w:rPr>
          <w:szCs w:val="26"/>
        </w:rPr>
        <w:t>-Wastewater</w:t>
      </w:r>
      <w:r w:rsidRPr="008E7712">
        <w:rPr>
          <w:szCs w:val="26"/>
        </w:rPr>
        <w:t xml:space="preserve">’s system.  </w:t>
      </w:r>
      <w:r w:rsidRPr="008E7712">
        <w:rPr>
          <w:i/>
          <w:iCs/>
          <w:szCs w:val="26"/>
        </w:rPr>
        <w:t>Id</w:t>
      </w:r>
      <w:r w:rsidRPr="008E7712">
        <w:rPr>
          <w:szCs w:val="26"/>
        </w:rPr>
        <w:t>.  To facilitate the Company’s proposed metered wastewater rates, CUPA</w:t>
      </w:r>
      <w:r w:rsidR="00ED096F" w:rsidRPr="008E7712">
        <w:rPr>
          <w:szCs w:val="26"/>
        </w:rPr>
        <w:t>-Wastewater</w:t>
      </w:r>
      <w:r w:rsidRPr="008E7712">
        <w:rPr>
          <w:szCs w:val="26"/>
        </w:rPr>
        <w:t>’s next base rate filing will also include a cost</w:t>
      </w:r>
      <w:r w:rsidR="00743BF4" w:rsidRPr="008E7712">
        <w:rPr>
          <w:szCs w:val="26"/>
        </w:rPr>
        <w:t>-</w:t>
      </w:r>
      <w:r w:rsidRPr="008E7712">
        <w:rPr>
          <w:szCs w:val="26"/>
        </w:rPr>
        <w:t>of</w:t>
      </w:r>
      <w:r w:rsidR="00743BF4" w:rsidRPr="008E7712">
        <w:rPr>
          <w:szCs w:val="26"/>
        </w:rPr>
        <w:t>-</w:t>
      </w:r>
      <w:r w:rsidRPr="008E7712">
        <w:rPr>
          <w:szCs w:val="26"/>
        </w:rPr>
        <w:t xml:space="preserve">service study that assigns costs to customer classes based on flow requirements.  </w:t>
      </w:r>
    </w:p>
    <w:p w14:paraId="664F654D" w14:textId="77777777" w:rsidR="004B54E9" w:rsidRPr="008E7712" w:rsidRDefault="004B54E9" w:rsidP="00EB7CBC">
      <w:pPr>
        <w:rPr>
          <w:szCs w:val="26"/>
        </w:rPr>
      </w:pPr>
    </w:p>
    <w:p w14:paraId="0EEE18C9" w14:textId="344CBC3B" w:rsidR="004B54E9" w:rsidRPr="008E7712" w:rsidRDefault="004B54E9" w:rsidP="00A16EB0">
      <w:pPr>
        <w:ind w:firstLine="1440"/>
        <w:rPr>
          <w:szCs w:val="26"/>
        </w:rPr>
      </w:pPr>
      <w:r w:rsidRPr="008E7712">
        <w:rPr>
          <w:szCs w:val="26"/>
        </w:rPr>
        <w:t>For wastewater availability rates, the Settlement moves the current Tamiment wastewater availability rate halfway toward the availability rate for the Penn Estates and Utilities, Inc. of Pennsylvania customers.  Settlement ¶ II.E.13.  This is a lesser increase than the 200% increase proposed by CUPA</w:t>
      </w:r>
      <w:r w:rsidR="00ED096F" w:rsidRPr="008E7712">
        <w:rPr>
          <w:szCs w:val="26"/>
        </w:rPr>
        <w:t>-Wastewater</w:t>
      </w:r>
      <w:r w:rsidRPr="008E7712">
        <w:rPr>
          <w:szCs w:val="26"/>
        </w:rPr>
        <w:t xml:space="preserve"> in its filing.  OCA St. No. 3 at</w:t>
      </w:r>
      <w:r w:rsidR="00423ED6" w:rsidRPr="008E7712">
        <w:rPr>
          <w:szCs w:val="26"/>
        </w:rPr>
        <w:t> </w:t>
      </w:r>
      <w:r w:rsidRPr="008E7712">
        <w:rPr>
          <w:szCs w:val="26"/>
        </w:rPr>
        <w:t xml:space="preserve">13.  While it is more than the rate recommended by OCA witness </w:t>
      </w:r>
      <w:r w:rsidR="0046016E">
        <w:rPr>
          <w:szCs w:val="26"/>
        </w:rPr>
        <w:t>Mr.</w:t>
      </w:r>
      <w:r w:rsidR="0046016E" w:rsidRPr="00BB18BC">
        <w:t xml:space="preserve"> </w:t>
      </w:r>
      <w:r w:rsidRPr="008E7712">
        <w:rPr>
          <w:szCs w:val="26"/>
        </w:rPr>
        <w:t>Mierzwa, it will serve to reduce the gap in availability rates between the CUPA</w:t>
      </w:r>
      <w:r w:rsidR="001A5686" w:rsidRPr="008E7712">
        <w:rPr>
          <w:szCs w:val="26"/>
        </w:rPr>
        <w:t>-Wastewater</w:t>
      </w:r>
      <w:r w:rsidRPr="008E7712">
        <w:rPr>
          <w:szCs w:val="26"/>
        </w:rPr>
        <w:t xml:space="preserve"> systems.  Accordingly, the rate change </w:t>
      </w:r>
      <w:r w:rsidR="001A5686" w:rsidRPr="008E7712">
        <w:rPr>
          <w:szCs w:val="26"/>
        </w:rPr>
        <w:t>i</w:t>
      </w:r>
      <w:r w:rsidRPr="008E7712">
        <w:rPr>
          <w:szCs w:val="26"/>
        </w:rPr>
        <w:t>s a reasonable compromise of competing interests.</w:t>
      </w:r>
    </w:p>
    <w:p w14:paraId="5F399A61" w14:textId="77777777" w:rsidR="004B54E9" w:rsidRPr="008E7712" w:rsidRDefault="004B54E9" w:rsidP="00A16EB0">
      <w:pPr>
        <w:rPr>
          <w:szCs w:val="26"/>
        </w:rPr>
      </w:pPr>
    </w:p>
    <w:p w14:paraId="3FE46064" w14:textId="377D61D5" w:rsidR="004B54E9" w:rsidRPr="008E7712" w:rsidRDefault="002A5EED" w:rsidP="00A16EB0">
      <w:pPr>
        <w:pStyle w:val="Heading3"/>
        <w:spacing w:line="360" w:lineRule="auto"/>
      </w:pPr>
      <w:bookmarkStart w:id="38" w:name="_Toc91576504"/>
      <w:r w:rsidRPr="008E7712">
        <w:lastRenderedPageBreak/>
        <w:t>7.</w:t>
      </w:r>
      <w:r w:rsidRPr="008E7712">
        <w:tab/>
      </w:r>
      <w:r w:rsidR="004B54E9" w:rsidRPr="008E7712">
        <w:t>Positions of the Parties</w:t>
      </w:r>
      <w:bookmarkEnd w:id="38"/>
    </w:p>
    <w:p w14:paraId="3752BE69" w14:textId="77777777" w:rsidR="004B54E9" w:rsidRPr="008E7712" w:rsidRDefault="004B54E9" w:rsidP="00A16EB0">
      <w:pPr>
        <w:keepNext/>
        <w:rPr>
          <w:szCs w:val="26"/>
        </w:rPr>
      </w:pPr>
    </w:p>
    <w:p w14:paraId="7C5F9310" w14:textId="563A8D09" w:rsidR="004B54E9" w:rsidRPr="008E7712" w:rsidRDefault="004B54E9" w:rsidP="00A16EB0">
      <w:pPr>
        <w:keepNext/>
        <w:ind w:firstLine="1440"/>
        <w:rPr>
          <w:szCs w:val="26"/>
        </w:rPr>
      </w:pPr>
      <w:r w:rsidRPr="008E7712">
        <w:rPr>
          <w:szCs w:val="26"/>
        </w:rPr>
        <w:t xml:space="preserve">In its Brief CUPA maintains, </w:t>
      </w:r>
      <w:r w:rsidRPr="008E7712">
        <w:rPr>
          <w:i/>
          <w:szCs w:val="26"/>
        </w:rPr>
        <w:t>inter alia</w:t>
      </w:r>
      <w:r w:rsidRPr="008E7712">
        <w:rPr>
          <w:iCs/>
          <w:szCs w:val="26"/>
        </w:rPr>
        <w:t xml:space="preserve">, </w:t>
      </w:r>
      <w:r w:rsidRPr="008E7712">
        <w:rPr>
          <w:szCs w:val="26"/>
        </w:rPr>
        <w:t>that the Settlement provides for a gradual change in rates, especially to those customers in the Tamiment subdivision, which have not experienced a rate increase for over ten years and will not experience full rate consolidation until after September 30, 2023, pursuant to the two-year stay out provision included in the Settlement.  CUPA Brief at 5-6.  The rate design terms reflect the gradual incorporation of the Tamiment division by moving Tamiment usage rates for water service approximately 50% of the way from their existing level to the consolidated rates of CUPA</w:t>
      </w:r>
      <w:r w:rsidR="00A315F5" w:rsidRPr="008E7712">
        <w:rPr>
          <w:szCs w:val="26"/>
        </w:rPr>
        <w:t>-Water</w:t>
      </w:r>
      <w:r w:rsidRPr="008E7712">
        <w:rPr>
          <w:szCs w:val="26"/>
        </w:rPr>
        <w:t xml:space="preserve">.  The OCA points out that this gradual approach has been used in many cases where an acquired system’s rates differ from main rate zone rates.  OCA Brief at 5 (citing, </w:t>
      </w:r>
      <w:r w:rsidRPr="008E7712">
        <w:rPr>
          <w:i/>
          <w:szCs w:val="26"/>
        </w:rPr>
        <w:t>Pa. PUC v. Pennsylvania-American Water Co.</w:t>
      </w:r>
      <w:r w:rsidRPr="008E7712">
        <w:rPr>
          <w:szCs w:val="26"/>
        </w:rPr>
        <w:t xml:space="preserve">, R-2020-3019369 </w:t>
      </w:r>
      <w:r w:rsidRPr="008E7712">
        <w:rPr>
          <w:i/>
          <w:szCs w:val="26"/>
        </w:rPr>
        <w:t>et al</w:t>
      </w:r>
      <w:r w:rsidR="008C346F">
        <w:rPr>
          <w:i/>
          <w:szCs w:val="26"/>
        </w:rPr>
        <w:t>.</w:t>
      </w:r>
      <w:r w:rsidRPr="008E7712">
        <w:rPr>
          <w:szCs w:val="26"/>
        </w:rPr>
        <w:t>, Order at</w:t>
      </w:r>
      <w:r w:rsidR="00924F59" w:rsidRPr="008E7712">
        <w:rPr>
          <w:szCs w:val="26"/>
        </w:rPr>
        <w:t> </w:t>
      </w:r>
      <w:r w:rsidRPr="008E7712">
        <w:rPr>
          <w:szCs w:val="26"/>
        </w:rPr>
        <w:t xml:space="preserve">78-79 (approving a Settlement that mitigated the subsidies proposed in the rate case and moved the divisions closer to their cost to serve); </w:t>
      </w:r>
      <w:r w:rsidRPr="008E7712">
        <w:rPr>
          <w:i/>
          <w:szCs w:val="26"/>
        </w:rPr>
        <w:t>Pa. PUC v. Aqua Pennsylvania, Inc.</w:t>
      </w:r>
      <w:r w:rsidRPr="008E7712">
        <w:rPr>
          <w:szCs w:val="26"/>
        </w:rPr>
        <w:t>, R</w:t>
      </w:r>
      <w:r w:rsidR="00924F59" w:rsidRPr="008E7712">
        <w:rPr>
          <w:szCs w:val="26"/>
        </w:rPr>
        <w:noBreakHyphen/>
      </w:r>
      <w:r w:rsidRPr="008E7712">
        <w:rPr>
          <w:szCs w:val="26"/>
        </w:rPr>
        <w:t xml:space="preserve">2018-3003558 </w:t>
      </w:r>
      <w:r w:rsidRPr="008E7712">
        <w:rPr>
          <w:i/>
          <w:szCs w:val="26"/>
        </w:rPr>
        <w:t>et al</w:t>
      </w:r>
      <w:r w:rsidRPr="008E7712">
        <w:rPr>
          <w:szCs w:val="26"/>
        </w:rPr>
        <w:t xml:space="preserve">, Order at 55, 58 (“In our view, it is fair, just and reasonable for rate divisions with current rates below the cost of service to receive larger increases”); </w:t>
      </w:r>
      <w:r w:rsidRPr="008E7712">
        <w:rPr>
          <w:i/>
          <w:szCs w:val="26"/>
        </w:rPr>
        <w:t>see</w:t>
      </w:r>
      <w:r w:rsidRPr="008E7712">
        <w:rPr>
          <w:szCs w:val="26"/>
        </w:rPr>
        <w:t xml:space="preserve"> </w:t>
      </w:r>
      <w:r w:rsidRPr="008E7712">
        <w:rPr>
          <w:i/>
          <w:szCs w:val="26"/>
        </w:rPr>
        <w:t xml:space="preserve">also </w:t>
      </w:r>
      <w:r w:rsidRPr="008E7712">
        <w:rPr>
          <w:i/>
          <w:iCs/>
          <w:szCs w:val="26"/>
        </w:rPr>
        <w:t>Lloyd v. Pa. PUC</w:t>
      </w:r>
      <w:r w:rsidRPr="008E7712">
        <w:rPr>
          <w:szCs w:val="26"/>
        </w:rPr>
        <w:t>, 904 A.2d 1010 at 1020 (Pa.</w:t>
      </w:r>
      <w:r w:rsidR="00A16EB0">
        <w:rPr>
          <w:szCs w:val="26"/>
        </w:rPr>
        <w:t> </w:t>
      </w:r>
      <w:r w:rsidR="00235A75">
        <w:rPr>
          <w:szCs w:val="26"/>
        </w:rPr>
        <w:t>Cmwlth.</w:t>
      </w:r>
      <w:r w:rsidR="00A16EB0">
        <w:rPr>
          <w:szCs w:val="26"/>
        </w:rPr>
        <w:t> </w:t>
      </w:r>
      <w:r w:rsidRPr="008E7712">
        <w:rPr>
          <w:szCs w:val="26"/>
        </w:rPr>
        <w:t xml:space="preserve">2004); </w:t>
      </w:r>
      <w:r w:rsidRPr="008E7712">
        <w:rPr>
          <w:i/>
          <w:szCs w:val="26"/>
        </w:rPr>
        <w:t>A Guide to Utility Ratemaking</w:t>
      </w:r>
      <w:r w:rsidRPr="008E7712">
        <w:rPr>
          <w:szCs w:val="26"/>
        </w:rPr>
        <w:t>, James H. Cawley &amp; Norman J. Kennard, Pa. P.U.C. (2018) (“This is the ratemaking principle of gradualism, counseling a slower incremental movement toward actual cost of service and the avoidance of sudden, quick increases in rates.”) (citations omitted)</w:t>
      </w:r>
      <w:r w:rsidR="00F87282">
        <w:rPr>
          <w:szCs w:val="26"/>
        </w:rPr>
        <w:t>)</w:t>
      </w:r>
      <w:r w:rsidRPr="008E7712">
        <w:rPr>
          <w:szCs w:val="26"/>
        </w:rPr>
        <w:t>.</w:t>
      </w:r>
    </w:p>
    <w:p w14:paraId="7999D39B" w14:textId="77777777" w:rsidR="004B54E9" w:rsidRPr="008E7712" w:rsidRDefault="004B54E9" w:rsidP="00EB7CBC">
      <w:pPr>
        <w:rPr>
          <w:szCs w:val="26"/>
        </w:rPr>
      </w:pPr>
    </w:p>
    <w:p w14:paraId="1D57D8D2" w14:textId="77777777" w:rsidR="004B54E9" w:rsidRPr="008E7712" w:rsidRDefault="004B54E9" w:rsidP="00EB7CBC">
      <w:pPr>
        <w:ind w:firstLine="1440"/>
        <w:rPr>
          <w:szCs w:val="26"/>
        </w:rPr>
      </w:pPr>
      <w:r w:rsidRPr="008E7712">
        <w:rPr>
          <w:szCs w:val="26"/>
        </w:rPr>
        <w:t>Both the Company and I&amp;E highlight the fact that, although customers in the Tamiment service territory have not experienced a rate increase for more than ten years, the Company has already made significant improvements to both the water and wastewater systems, as shown by its capital expenditure reports:</w:t>
      </w:r>
    </w:p>
    <w:p w14:paraId="192A3849" w14:textId="3AD51B24" w:rsidR="004B54E9" w:rsidRPr="008E7712" w:rsidRDefault="004B54E9" w:rsidP="00054D68">
      <w:pPr>
        <w:keepNext/>
        <w:spacing w:line="240" w:lineRule="auto"/>
        <w:ind w:left="1440"/>
        <w:rPr>
          <w:szCs w:val="26"/>
          <w:u w:val="single"/>
        </w:rPr>
      </w:pPr>
      <w:r w:rsidRPr="008E7712">
        <w:rPr>
          <w:szCs w:val="26"/>
          <w:u w:val="single"/>
        </w:rPr>
        <w:lastRenderedPageBreak/>
        <w:t>Year end 2019</w:t>
      </w:r>
    </w:p>
    <w:p w14:paraId="1C7EFA83" w14:textId="77777777" w:rsidR="0040690F" w:rsidRPr="008E7712" w:rsidRDefault="0040690F" w:rsidP="00054D68">
      <w:pPr>
        <w:keepNext/>
        <w:spacing w:line="240" w:lineRule="auto"/>
        <w:ind w:left="1440"/>
        <w:rPr>
          <w:szCs w:val="26"/>
          <w:u w:val="single"/>
        </w:rPr>
      </w:pPr>
    </w:p>
    <w:p w14:paraId="03BE0D88" w14:textId="4E5D438A" w:rsidR="004B54E9" w:rsidRPr="008E7712" w:rsidRDefault="004B54E9" w:rsidP="00054D68">
      <w:pPr>
        <w:keepNext/>
        <w:numPr>
          <w:ilvl w:val="0"/>
          <w:numId w:val="10"/>
        </w:numPr>
        <w:spacing w:line="240" w:lineRule="auto"/>
        <w:ind w:left="2160" w:hanging="720"/>
        <w:rPr>
          <w:szCs w:val="26"/>
        </w:rPr>
      </w:pPr>
      <w:r w:rsidRPr="008E7712">
        <w:rPr>
          <w:szCs w:val="26"/>
        </w:rPr>
        <w:t>Water - $914,165 in plant additions</w:t>
      </w:r>
    </w:p>
    <w:p w14:paraId="6AF4D7B4" w14:textId="77777777" w:rsidR="0040690F" w:rsidRPr="008E7712" w:rsidRDefault="0040690F" w:rsidP="00054D68">
      <w:pPr>
        <w:keepNext/>
        <w:spacing w:line="240" w:lineRule="auto"/>
        <w:ind w:left="2160"/>
        <w:rPr>
          <w:szCs w:val="26"/>
        </w:rPr>
      </w:pPr>
    </w:p>
    <w:p w14:paraId="2D19D90C" w14:textId="4E03F4AC" w:rsidR="004B54E9" w:rsidRPr="008E7712" w:rsidRDefault="004B54E9" w:rsidP="00054D68">
      <w:pPr>
        <w:keepNext/>
        <w:numPr>
          <w:ilvl w:val="0"/>
          <w:numId w:val="10"/>
        </w:numPr>
        <w:spacing w:line="240" w:lineRule="auto"/>
        <w:ind w:left="2160" w:hanging="720"/>
        <w:rPr>
          <w:szCs w:val="26"/>
        </w:rPr>
      </w:pPr>
      <w:r w:rsidRPr="008E7712">
        <w:rPr>
          <w:szCs w:val="26"/>
        </w:rPr>
        <w:t>Wastewater - $610,472 in plant additions</w:t>
      </w:r>
    </w:p>
    <w:p w14:paraId="08CE5410" w14:textId="77777777" w:rsidR="0040690F" w:rsidRPr="008E7712" w:rsidRDefault="0040690F" w:rsidP="00054D68">
      <w:pPr>
        <w:keepNext/>
        <w:spacing w:line="240" w:lineRule="auto"/>
        <w:ind w:left="2160"/>
        <w:rPr>
          <w:szCs w:val="26"/>
        </w:rPr>
      </w:pPr>
    </w:p>
    <w:p w14:paraId="53A87581" w14:textId="6E7B9AAA" w:rsidR="004B54E9" w:rsidRPr="008E7712" w:rsidRDefault="004B54E9" w:rsidP="00054D68">
      <w:pPr>
        <w:keepNext/>
        <w:spacing w:line="240" w:lineRule="auto"/>
        <w:ind w:left="2160" w:hanging="720"/>
        <w:rPr>
          <w:szCs w:val="26"/>
          <w:u w:val="single"/>
        </w:rPr>
      </w:pPr>
      <w:r w:rsidRPr="008E7712">
        <w:rPr>
          <w:szCs w:val="26"/>
          <w:u w:val="single"/>
        </w:rPr>
        <w:t>Year end 2020</w:t>
      </w:r>
    </w:p>
    <w:p w14:paraId="16E95615" w14:textId="77777777" w:rsidR="0040690F" w:rsidRPr="008E7712" w:rsidRDefault="0040690F" w:rsidP="00054D68">
      <w:pPr>
        <w:keepNext/>
        <w:spacing w:line="240" w:lineRule="auto"/>
        <w:ind w:left="2160" w:hanging="720"/>
        <w:rPr>
          <w:szCs w:val="26"/>
          <w:u w:val="single"/>
        </w:rPr>
      </w:pPr>
    </w:p>
    <w:p w14:paraId="00B0AF08" w14:textId="109833E1" w:rsidR="004B54E9" w:rsidRPr="008E7712" w:rsidRDefault="004B54E9" w:rsidP="00054D68">
      <w:pPr>
        <w:keepNext/>
        <w:numPr>
          <w:ilvl w:val="0"/>
          <w:numId w:val="10"/>
        </w:numPr>
        <w:spacing w:line="240" w:lineRule="auto"/>
        <w:ind w:left="2160" w:hanging="720"/>
        <w:rPr>
          <w:szCs w:val="26"/>
        </w:rPr>
      </w:pPr>
      <w:r w:rsidRPr="008E7712">
        <w:rPr>
          <w:szCs w:val="26"/>
        </w:rPr>
        <w:t>Water - $756,031 in plant additions</w:t>
      </w:r>
    </w:p>
    <w:p w14:paraId="3A0B06D2" w14:textId="77777777" w:rsidR="0040690F" w:rsidRPr="008E7712" w:rsidRDefault="0040690F" w:rsidP="00054D68">
      <w:pPr>
        <w:keepNext/>
        <w:spacing w:line="240" w:lineRule="auto"/>
        <w:ind w:left="2160"/>
        <w:rPr>
          <w:szCs w:val="26"/>
        </w:rPr>
      </w:pPr>
    </w:p>
    <w:p w14:paraId="15377F3B" w14:textId="77777777" w:rsidR="004B54E9" w:rsidRPr="008E7712" w:rsidRDefault="004B54E9" w:rsidP="00054D68">
      <w:pPr>
        <w:keepNext/>
        <w:numPr>
          <w:ilvl w:val="0"/>
          <w:numId w:val="10"/>
        </w:numPr>
        <w:spacing w:line="240" w:lineRule="auto"/>
        <w:ind w:left="2160" w:hanging="720"/>
        <w:rPr>
          <w:szCs w:val="26"/>
        </w:rPr>
      </w:pPr>
      <w:r w:rsidRPr="008E7712">
        <w:rPr>
          <w:szCs w:val="26"/>
        </w:rPr>
        <w:t>Wastewater - $835,457 in plant additions</w:t>
      </w:r>
    </w:p>
    <w:p w14:paraId="0D18AC31" w14:textId="77777777" w:rsidR="004B54E9" w:rsidRPr="008E7712" w:rsidRDefault="004B54E9" w:rsidP="007C110B">
      <w:pPr>
        <w:rPr>
          <w:szCs w:val="26"/>
        </w:rPr>
      </w:pPr>
    </w:p>
    <w:p w14:paraId="069283CC" w14:textId="3F32A059" w:rsidR="004B54E9" w:rsidRPr="008E7712" w:rsidRDefault="004B54E9" w:rsidP="00EB7CBC">
      <w:pPr>
        <w:rPr>
          <w:szCs w:val="26"/>
        </w:rPr>
      </w:pPr>
      <w:r w:rsidRPr="008E7712">
        <w:rPr>
          <w:i/>
          <w:iCs/>
          <w:szCs w:val="26"/>
        </w:rPr>
        <w:t>See</w:t>
      </w:r>
      <w:r w:rsidRPr="008E7712">
        <w:rPr>
          <w:szCs w:val="26"/>
        </w:rPr>
        <w:t xml:space="preserve"> CUPA Brief at</w:t>
      </w:r>
      <w:r w:rsidR="00D777FE" w:rsidRPr="008E7712">
        <w:rPr>
          <w:szCs w:val="26"/>
        </w:rPr>
        <w:t xml:space="preserve"> </w:t>
      </w:r>
      <w:r w:rsidRPr="008E7712">
        <w:rPr>
          <w:szCs w:val="26"/>
        </w:rPr>
        <w:t>16-17.  The Parties argue that the ALJ’s belief that CUPA’s increases are too much cannot override the reality that the Company has significantly invested in its water and wastewater systems since its last base rate proceeding and will continue to make investments in the test year.  I&amp;E states that denying CUPA recovery is not legally supported and must be rejected.  I&amp;E Brief at</w:t>
      </w:r>
      <w:r w:rsidR="003919C4" w:rsidRPr="008E7712">
        <w:rPr>
          <w:szCs w:val="26"/>
        </w:rPr>
        <w:t> </w:t>
      </w:r>
      <w:r w:rsidRPr="008E7712">
        <w:rPr>
          <w:szCs w:val="26"/>
        </w:rPr>
        <w:t>12</w:t>
      </w:r>
      <w:r w:rsidR="003919C4" w:rsidRPr="008E7712">
        <w:rPr>
          <w:szCs w:val="26"/>
        </w:rPr>
        <w:noBreakHyphen/>
      </w:r>
      <w:r w:rsidRPr="008E7712">
        <w:rPr>
          <w:szCs w:val="26"/>
        </w:rPr>
        <w:t xml:space="preserve">13.  </w:t>
      </w:r>
    </w:p>
    <w:p w14:paraId="3DD6D67B" w14:textId="77777777" w:rsidR="004B54E9" w:rsidRPr="008E7712" w:rsidRDefault="004B54E9" w:rsidP="00EB7CBC">
      <w:pPr>
        <w:rPr>
          <w:szCs w:val="26"/>
        </w:rPr>
      </w:pPr>
    </w:p>
    <w:p w14:paraId="75EEF2B3" w14:textId="3DB08FDE" w:rsidR="004B54E9" w:rsidRPr="008E7712" w:rsidRDefault="004B54E9" w:rsidP="00EB7CBC">
      <w:pPr>
        <w:ind w:firstLine="1440"/>
        <w:rPr>
          <w:szCs w:val="26"/>
        </w:rPr>
      </w:pPr>
      <w:r w:rsidRPr="008E7712">
        <w:rPr>
          <w:szCs w:val="26"/>
        </w:rPr>
        <w:t xml:space="preserve">CUPA notes that the </w:t>
      </w:r>
      <w:r w:rsidRPr="00BB18BC">
        <w:rPr>
          <w:i/>
        </w:rPr>
        <w:t>November Order</w:t>
      </w:r>
      <w:r w:rsidRPr="008E7712">
        <w:rPr>
          <w:szCs w:val="26"/>
        </w:rPr>
        <w:t xml:space="preserve"> criticizes and rejects the Settlement on the basis that its rates “have not been tried in the fire of litigation” and are merely “deemed by the parties as just and reasonable </w:t>
      </w:r>
      <w:r w:rsidRPr="008E7712">
        <w:rPr>
          <w:i/>
          <w:iCs/>
          <w:szCs w:val="26"/>
        </w:rPr>
        <w:t>per se</w:t>
      </w:r>
      <w:r w:rsidRPr="008E7712">
        <w:rPr>
          <w:szCs w:val="26"/>
        </w:rPr>
        <w:t>.”  CUPA Brief at 15 (citing, November Order at 11).  The Company argues this reasoning is incorrect, in that it fails to consider both the expertise and judgement of the Parties (I&amp;E, the OCA, the OSBA, and CUPA), who</w:t>
      </w:r>
      <w:r w:rsidR="00EB249C" w:rsidRPr="008E7712">
        <w:rPr>
          <w:szCs w:val="26"/>
        </w:rPr>
        <w:t>se</w:t>
      </w:r>
      <w:r w:rsidRPr="008E7712">
        <w:rPr>
          <w:szCs w:val="26"/>
        </w:rPr>
        <w:t xml:space="preserve"> competing positions were included in the extensive and fully developed evidentiary record in this proceeding.  A review of the litigation positions in this proceeding demonstrate</w:t>
      </w:r>
      <w:r w:rsidR="00574206" w:rsidRPr="008E7712">
        <w:rPr>
          <w:szCs w:val="26"/>
        </w:rPr>
        <w:t>s</w:t>
      </w:r>
      <w:r w:rsidRPr="008E7712">
        <w:rPr>
          <w:szCs w:val="26"/>
        </w:rPr>
        <w:t xml:space="preserve"> that the Settlement rates are supported by the record, and moreover, are a substantial compromise</w:t>
      </w:r>
      <w:r w:rsidR="004308BF" w:rsidRPr="008E7712">
        <w:rPr>
          <w:szCs w:val="26"/>
        </w:rPr>
        <w:t xml:space="preserve"> and </w:t>
      </w:r>
      <w:r w:rsidRPr="008E7712">
        <w:rPr>
          <w:szCs w:val="26"/>
        </w:rPr>
        <w:t>not “</w:t>
      </w:r>
      <w:r w:rsidRPr="008E7712">
        <w:rPr>
          <w:i/>
          <w:iCs/>
          <w:szCs w:val="26"/>
        </w:rPr>
        <w:t>de minimus</w:t>
      </w:r>
      <w:r w:rsidRPr="008E7712">
        <w:rPr>
          <w:szCs w:val="26"/>
        </w:rPr>
        <w:t>” reduction</w:t>
      </w:r>
      <w:r w:rsidR="004308BF" w:rsidRPr="008E7712">
        <w:rPr>
          <w:szCs w:val="26"/>
        </w:rPr>
        <w:t>s</w:t>
      </w:r>
      <w:r w:rsidRPr="008E7712">
        <w:rPr>
          <w:szCs w:val="26"/>
        </w:rPr>
        <w:t xml:space="preserve"> from CUPA’s litigated position, as </w:t>
      </w:r>
      <w:r w:rsidR="006F0A01" w:rsidRPr="008E7712">
        <w:rPr>
          <w:szCs w:val="26"/>
        </w:rPr>
        <w:t>concluded</w:t>
      </w:r>
      <w:r w:rsidRPr="008E7712">
        <w:rPr>
          <w:szCs w:val="26"/>
        </w:rPr>
        <w:t xml:space="preserve"> in the </w:t>
      </w:r>
      <w:r w:rsidRPr="00BB18BC">
        <w:rPr>
          <w:i/>
        </w:rPr>
        <w:t>November Order</w:t>
      </w:r>
      <w:r w:rsidRPr="008E7712">
        <w:rPr>
          <w:szCs w:val="26"/>
        </w:rPr>
        <w:t xml:space="preserve"> (</w:t>
      </w:r>
      <w:r w:rsidRPr="00BB18BC">
        <w:rPr>
          <w:i/>
        </w:rPr>
        <w:t>November Order</w:t>
      </w:r>
      <w:r w:rsidRPr="008E7712">
        <w:rPr>
          <w:szCs w:val="26"/>
        </w:rPr>
        <w:t xml:space="preserve"> at</w:t>
      </w:r>
      <w:r w:rsidR="008218DB" w:rsidRPr="008E7712">
        <w:rPr>
          <w:szCs w:val="26"/>
        </w:rPr>
        <w:t> </w:t>
      </w:r>
      <w:r w:rsidRPr="008E7712">
        <w:rPr>
          <w:szCs w:val="26"/>
        </w:rPr>
        <w:t>30):</w:t>
      </w:r>
    </w:p>
    <w:p w14:paraId="6AE1C698" w14:textId="77777777" w:rsidR="004B54E9" w:rsidRPr="008E7712" w:rsidRDefault="004B54E9" w:rsidP="00EB7CBC">
      <w:pPr>
        <w:rPr>
          <w:szCs w:val="26"/>
        </w:rPr>
      </w:pPr>
    </w:p>
    <w:p w14:paraId="728CA1F0" w14:textId="77777777" w:rsidR="004B54E9" w:rsidRPr="008E7712" w:rsidRDefault="004B54E9" w:rsidP="00EB7CBC">
      <w:pPr>
        <w:jc w:val="center"/>
        <w:rPr>
          <w:szCs w:val="26"/>
        </w:rPr>
      </w:pPr>
      <w:r w:rsidRPr="008E7712">
        <w:rPr>
          <w:noProof/>
          <w:szCs w:val="26"/>
        </w:rPr>
        <w:lastRenderedPageBreak/>
        <w:drawing>
          <wp:inline distT="0" distB="0" distL="0" distR="0" wp14:anchorId="666D5C96" wp14:editId="0C85CBB9">
            <wp:extent cx="5304155" cy="1688465"/>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4155" cy="1688465"/>
                    </a:xfrm>
                    <a:prstGeom prst="rect">
                      <a:avLst/>
                    </a:prstGeom>
                    <a:noFill/>
                  </pic:spPr>
                </pic:pic>
              </a:graphicData>
            </a:graphic>
          </wp:inline>
        </w:drawing>
      </w:r>
    </w:p>
    <w:p w14:paraId="182D639C" w14:textId="77777777" w:rsidR="004B54E9" w:rsidRPr="008E7712" w:rsidRDefault="004B54E9" w:rsidP="00EB7CBC">
      <w:pPr>
        <w:rPr>
          <w:szCs w:val="26"/>
        </w:rPr>
      </w:pPr>
    </w:p>
    <w:p w14:paraId="20530F0C" w14:textId="0808F8AA" w:rsidR="004B54E9" w:rsidRPr="008E7712" w:rsidRDefault="004B54E9" w:rsidP="00BB18BC">
      <w:pPr>
        <w:ind w:firstLine="1440"/>
        <w:rPr>
          <w:szCs w:val="26"/>
        </w:rPr>
      </w:pPr>
      <w:r w:rsidRPr="008E7712">
        <w:rPr>
          <w:i/>
          <w:iCs/>
          <w:szCs w:val="26"/>
        </w:rPr>
        <w:t>See</w:t>
      </w:r>
      <w:r w:rsidRPr="008E7712">
        <w:rPr>
          <w:szCs w:val="26"/>
        </w:rPr>
        <w:t xml:space="preserve"> CUPA Brief at 15-16.  CUPA points out that the Settlement rates are approximately 50% between the lowest litigation position of the advocates and CUPA’s litigation position.  I&amp;E notes that it “does not negotiate settlement rates based on expectation that rates should be lower, let alone substantially lower, than the filed request</w:t>
      </w:r>
      <w:r w:rsidR="004930CB" w:rsidRPr="008E7712">
        <w:rPr>
          <w:szCs w:val="26"/>
        </w:rPr>
        <w:t xml:space="preserve">.  </w:t>
      </w:r>
      <w:r w:rsidRPr="008E7712">
        <w:rPr>
          <w:szCs w:val="26"/>
        </w:rPr>
        <w:t>Settlement negotiations are not outcome determinative as I&amp;E uses the ratemaking equation to determine an appropriate settlement range.  I&amp;E begins with its litigation position as a</w:t>
      </w:r>
      <w:r w:rsidR="003919C4" w:rsidRPr="008E7712">
        <w:rPr>
          <w:rFonts w:eastAsiaTheme="minorEastAsia"/>
          <w:szCs w:val="26"/>
        </w:rPr>
        <w:t xml:space="preserve"> </w:t>
      </w:r>
      <w:r w:rsidRPr="008E7712">
        <w:rPr>
          <w:szCs w:val="26"/>
        </w:rPr>
        <w:t>starting point, which in this proceeding utilized a 9.25% return on equity and included operating expense adjustments totaling $100,276 for water and $139,837 for wastewater.  Next, I&amp;E adjusts its equity position and evaluates the strengths and weakness of its individual expense adjustments to determine an appropriate settlement range.  The ALJ’s expectation that negotiated rates should be ‘substantially lower’ is not part of I&amp;E’s settlement analysis especially since I&amp;E’s mission is to protect the public interest, which includes balancing the interests of the utility.”  I&amp;E</w:t>
      </w:r>
      <w:r w:rsidR="00F86E85" w:rsidRPr="008E7712">
        <w:rPr>
          <w:szCs w:val="26"/>
        </w:rPr>
        <w:t> </w:t>
      </w:r>
      <w:r w:rsidRPr="008E7712">
        <w:rPr>
          <w:szCs w:val="26"/>
        </w:rPr>
        <w:t>Brief at 11-12 (citations omitted).</w:t>
      </w:r>
    </w:p>
    <w:p w14:paraId="2D74FBC1" w14:textId="77777777" w:rsidR="004B54E9" w:rsidRPr="008E7712" w:rsidRDefault="004B54E9" w:rsidP="00EB7CBC">
      <w:pPr>
        <w:rPr>
          <w:szCs w:val="26"/>
        </w:rPr>
      </w:pPr>
    </w:p>
    <w:p w14:paraId="7BEADE05" w14:textId="5CEDAE15" w:rsidR="004B54E9" w:rsidRPr="008E7712" w:rsidRDefault="004B54E9" w:rsidP="00EB7CBC">
      <w:pPr>
        <w:ind w:firstLine="1440"/>
        <w:rPr>
          <w:szCs w:val="26"/>
        </w:rPr>
      </w:pPr>
      <w:r w:rsidRPr="008E7712">
        <w:rPr>
          <w:szCs w:val="26"/>
        </w:rPr>
        <w:t>CUPA also indicates that it has recognized affordability for low-income customers as a policy regarding its rate design.  The proposed Settlement adopts, with slight modification, CUPA</w:t>
      </w:r>
      <w:r w:rsidR="00BD08A7" w:rsidRPr="008E7712">
        <w:rPr>
          <w:szCs w:val="26"/>
        </w:rPr>
        <w:t>-Water</w:t>
      </w:r>
      <w:r w:rsidRPr="008E7712">
        <w:rPr>
          <w:szCs w:val="26"/>
        </w:rPr>
        <w:t>’s proposal to establish a low-income program (discount volumetric rate) for water customers.  The Company also notes the Settlement’s inclusion of a commitment by CUPA</w:t>
      </w:r>
      <w:r w:rsidR="00BD08A7" w:rsidRPr="008E7712">
        <w:rPr>
          <w:szCs w:val="26"/>
        </w:rPr>
        <w:t>-Wastewater</w:t>
      </w:r>
      <w:r w:rsidRPr="008E7712">
        <w:rPr>
          <w:szCs w:val="26"/>
        </w:rPr>
        <w:t xml:space="preserve"> to propose a low-income pilot program for wastewater customers in its next base rate proceeding.  Under the proposed </w:t>
      </w:r>
      <w:r w:rsidRPr="008E7712">
        <w:rPr>
          <w:szCs w:val="26"/>
        </w:rPr>
        <w:lastRenderedPageBreak/>
        <w:t xml:space="preserve">Settlement, rates for water service will increase more than wastewater, by percentage.  The Company maintains that these programs, along with other Settlement provisions, will help to offset those increases for those most impacted.  CUPA Brief at 11, 13, and 19.  </w:t>
      </w:r>
    </w:p>
    <w:p w14:paraId="7C546DE2" w14:textId="77777777" w:rsidR="004B54E9" w:rsidRPr="008E7712" w:rsidRDefault="004B54E9" w:rsidP="00EB7CBC">
      <w:pPr>
        <w:ind w:firstLine="1440"/>
        <w:rPr>
          <w:szCs w:val="26"/>
        </w:rPr>
      </w:pPr>
    </w:p>
    <w:p w14:paraId="4E0871E9" w14:textId="3CEF1D04" w:rsidR="004B54E9" w:rsidRPr="008E7712" w:rsidRDefault="004B54E9" w:rsidP="00EB7CBC">
      <w:pPr>
        <w:ind w:firstLine="1440"/>
        <w:rPr>
          <w:szCs w:val="26"/>
        </w:rPr>
      </w:pPr>
      <w:r w:rsidRPr="008E7712">
        <w:rPr>
          <w:szCs w:val="26"/>
        </w:rPr>
        <w:t xml:space="preserve">In the </w:t>
      </w:r>
      <w:r w:rsidRPr="00BB18BC">
        <w:rPr>
          <w:i/>
        </w:rPr>
        <w:t>November Order</w:t>
      </w:r>
      <w:r w:rsidRPr="008E7712">
        <w:rPr>
          <w:szCs w:val="26"/>
        </w:rPr>
        <w:t xml:space="preserve">, the ALJ recognizes that under the proposed Settlement, the entire water increase </w:t>
      </w:r>
      <w:r w:rsidR="004308BF" w:rsidRPr="008E7712">
        <w:rPr>
          <w:szCs w:val="26"/>
        </w:rPr>
        <w:t xml:space="preserve">for residential customers </w:t>
      </w:r>
      <w:r w:rsidRPr="008E7712">
        <w:rPr>
          <w:szCs w:val="26"/>
        </w:rPr>
        <w:t xml:space="preserve">will be allocated to water volumetric rates as opposed to fixed customer charges.  </w:t>
      </w:r>
      <w:r w:rsidRPr="00BB18BC">
        <w:rPr>
          <w:i/>
        </w:rPr>
        <w:t>November Order</w:t>
      </w:r>
      <w:r w:rsidRPr="008E7712">
        <w:rPr>
          <w:szCs w:val="26"/>
        </w:rPr>
        <w:t xml:space="preserve"> at 32.  The ALJ disagrees, however, that allocating the increase in this manner will allow customers more control over their bills on the basis that demand for water is inelastic and customers have already cut their volumetric consumption.  </w:t>
      </w:r>
      <w:r w:rsidRPr="008E7712">
        <w:rPr>
          <w:i/>
          <w:iCs/>
          <w:szCs w:val="26"/>
        </w:rPr>
        <w:t>Id</w:t>
      </w:r>
      <w:r w:rsidRPr="008E7712">
        <w:rPr>
          <w:szCs w:val="26"/>
        </w:rPr>
        <w:t>.  As the Parties have pointed out, the Commission recognizes the ability for customers to conserve and promotes conservation.  CUPA Brief at 19 (citing, 52 Pa. Code § 65.20); OCA Brief at 5-6.  The Parties argue that the Settlement term placing the water rate increase solely in volumetric rates allow</w:t>
      </w:r>
      <w:r w:rsidR="002615F3" w:rsidRPr="008E7712">
        <w:rPr>
          <w:szCs w:val="26"/>
        </w:rPr>
        <w:t>s</w:t>
      </w:r>
      <w:r w:rsidRPr="008E7712">
        <w:rPr>
          <w:szCs w:val="26"/>
        </w:rPr>
        <w:t xml:space="preserve"> customers greater control over their water bills</w:t>
      </w:r>
      <w:r w:rsidR="002615F3" w:rsidRPr="008E7712">
        <w:rPr>
          <w:szCs w:val="26"/>
        </w:rPr>
        <w:t xml:space="preserve"> compared to </w:t>
      </w:r>
      <w:r w:rsidRPr="008E7712">
        <w:rPr>
          <w:szCs w:val="26"/>
        </w:rPr>
        <w:t xml:space="preserve">CUPA’s initial proposal that would have increased fixed customer charges irrespective of reduced volumetric consumption.  CUPA Brief at 19-20; OCA Brief at 5-6.  The OCA noted, “[a]s Representative Sappey identified, rate increases placed on fixed customer charges have a disproportionate and burdensome effect on low-income seniors and working families.”  OCA Brief at 6 (citing, Tr. at 37).  </w:t>
      </w:r>
    </w:p>
    <w:p w14:paraId="3506C665" w14:textId="77777777" w:rsidR="004B54E9" w:rsidRPr="008E7712" w:rsidRDefault="004B54E9" w:rsidP="00EB7CBC">
      <w:pPr>
        <w:rPr>
          <w:szCs w:val="26"/>
        </w:rPr>
      </w:pPr>
    </w:p>
    <w:p w14:paraId="5FF5E6DB" w14:textId="2740EA65" w:rsidR="004B54E9" w:rsidRPr="008E7712" w:rsidRDefault="004B54E9" w:rsidP="00EB7CBC">
      <w:pPr>
        <w:ind w:firstLine="1440"/>
        <w:rPr>
          <w:szCs w:val="26"/>
        </w:rPr>
      </w:pPr>
      <w:r w:rsidRPr="008E7712">
        <w:rPr>
          <w:szCs w:val="26"/>
        </w:rPr>
        <w:t xml:space="preserve">Regarding the issue of conservation, the OCA also notes that the </w:t>
      </w:r>
      <w:r w:rsidRPr="00BB18BC">
        <w:rPr>
          <w:i/>
        </w:rPr>
        <w:t>November</w:t>
      </w:r>
      <w:r w:rsidR="00F86E85" w:rsidRPr="00BB18BC">
        <w:rPr>
          <w:i/>
        </w:rPr>
        <w:t> </w:t>
      </w:r>
      <w:r w:rsidRPr="00BB18BC">
        <w:rPr>
          <w:i/>
        </w:rPr>
        <w:t>Order</w:t>
      </w:r>
      <w:r w:rsidRPr="008E7712">
        <w:rPr>
          <w:szCs w:val="26"/>
        </w:rPr>
        <w:t xml:space="preserve"> does not recognize the impact of the Settlement on wastewater rate design.  </w:t>
      </w:r>
      <w:r w:rsidR="00DE4C9E" w:rsidRPr="008E7712">
        <w:rPr>
          <w:szCs w:val="26"/>
        </w:rPr>
        <w:t>The OCA notes that m</w:t>
      </w:r>
      <w:r w:rsidRPr="008E7712">
        <w:rPr>
          <w:szCs w:val="26"/>
        </w:rPr>
        <w:t>oving to metered rates for the consolidated service territory, as the Settlement proposes to be done in CUPA</w:t>
      </w:r>
      <w:r w:rsidR="00FD0DB6" w:rsidRPr="008E7712">
        <w:rPr>
          <w:szCs w:val="26"/>
        </w:rPr>
        <w:t>-Wastewater</w:t>
      </w:r>
      <w:r w:rsidRPr="008E7712">
        <w:rPr>
          <w:szCs w:val="26"/>
        </w:rPr>
        <w:t xml:space="preserve">’s next base rate proceeding, is consistent with the Commission’s policy of eliminating minimum allowances and moving utility rates toward metered rates.  </w:t>
      </w:r>
      <w:r w:rsidR="00DE4C9E" w:rsidRPr="008E7712">
        <w:rPr>
          <w:szCs w:val="26"/>
        </w:rPr>
        <w:t>Furthermore, the OCA avers that a</w:t>
      </w:r>
      <w:r w:rsidRPr="008E7712">
        <w:rPr>
          <w:szCs w:val="26"/>
        </w:rPr>
        <w:t xml:space="preserve">dopting metered rates for all CUPA customers would provide additional incentives for customers to conserve and reduce their demands for both water and wastewater services.  OCA Brief at 6.  </w:t>
      </w:r>
    </w:p>
    <w:p w14:paraId="440DD503" w14:textId="601F0357" w:rsidR="004B54E9" w:rsidRPr="008E7712" w:rsidRDefault="0082175E" w:rsidP="00565A29">
      <w:pPr>
        <w:pStyle w:val="Heading3"/>
        <w:spacing w:line="360" w:lineRule="auto"/>
      </w:pPr>
      <w:bookmarkStart w:id="39" w:name="_Toc91576505"/>
      <w:bookmarkStart w:id="40" w:name="_Hlk87880732"/>
      <w:r w:rsidRPr="008E7712">
        <w:lastRenderedPageBreak/>
        <w:t>8.</w:t>
      </w:r>
      <w:r w:rsidRPr="008E7712">
        <w:tab/>
      </w:r>
      <w:r w:rsidR="004B54E9" w:rsidRPr="008E7712">
        <w:t>Disposition</w:t>
      </w:r>
      <w:bookmarkEnd w:id="39"/>
    </w:p>
    <w:bookmarkEnd w:id="40"/>
    <w:p w14:paraId="61B1B652" w14:textId="77777777" w:rsidR="004B54E9" w:rsidRPr="008E7712" w:rsidRDefault="004B54E9" w:rsidP="00565A29">
      <w:pPr>
        <w:keepNext/>
        <w:rPr>
          <w:szCs w:val="26"/>
        </w:rPr>
      </w:pPr>
    </w:p>
    <w:p w14:paraId="79AC46A5" w14:textId="179C5B9C" w:rsidR="004B54E9" w:rsidRPr="008E7712" w:rsidRDefault="004B54E9" w:rsidP="00565A29">
      <w:pPr>
        <w:keepNext/>
        <w:ind w:firstLine="1440"/>
        <w:rPr>
          <w:szCs w:val="26"/>
        </w:rPr>
      </w:pPr>
      <w:r w:rsidRPr="008E7712">
        <w:rPr>
          <w:szCs w:val="26"/>
        </w:rPr>
        <w:t xml:space="preserve">We note that although </w:t>
      </w:r>
      <w:r w:rsidR="00D305BB" w:rsidRPr="008E7712">
        <w:rPr>
          <w:szCs w:val="26"/>
        </w:rPr>
        <w:t xml:space="preserve">the </w:t>
      </w:r>
      <w:r w:rsidR="00D305BB" w:rsidRPr="00BB18BC">
        <w:rPr>
          <w:i/>
        </w:rPr>
        <w:t>November Order</w:t>
      </w:r>
      <w:r w:rsidR="00D305BB" w:rsidRPr="008E7712">
        <w:rPr>
          <w:szCs w:val="26"/>
        </w:rPr>
        <w:t xml:space="preserve"> </w:t>
      </w:r>
      <w:r w:rsidR="00CD47A1">
        <w:rPr>
          <w:szCs w:val="26"/>
        </w:rPr>
        <w:t xml:space="preserve">concludes </w:t>
      </w:r>
      <w:r w:rsidR="00D305BB" w:rsidRPr="008E7712">
        <w:rPr>
          <w:szCs w:val="26"/>
        </w:rPr>
        <w:t xml:space="preserve">that </w:t>
      </w:r>
      <w:r w:rsidRPr="008E7712">
        <w:rPr>
          <w:szCs w:val="26"/>
        </w:rPr>
        <w:t xml:space="preserve">the Settlement, as set forth by the Joint Petitioners, must be rejected outright, </w:t>
      </w:r>
      <w:r w:rsidR="00CD47A1">
        <w:rPr>
          <w:szCs w:val="26"/>
        </w:rPr>
        <w:t>it</w:t>
      </w:r>
      <w:r w:rsidR="00CD47A1" w:rsidRPr="008E7712">
        <w:rPr>
          <w:szCs w:val="26"/>
        </w:rPr>
        <w:t xml:space="preserve"> </w:t>
      </w:r>
      <w:r w:rsidRPr="008E7712">
        <w:rPr>
          <w:szCs w:val="26"/>
        </w:rPr>
        <w:t xml:space="preserve">does not contest any specific provision concerning rate design, which, consistent with the stipulated revenue increase and the other provisions contained in the Settlement, were achieved through compromise.  As previously indicated, this is a “black box” settlement as to the revenue requirement.  Likewise, the Settlement does not provide any indication as to how specific costs are allocated among the various customer classes served.  However, we agree with the positions of the </w:t>
      </w:r>
      <w:r w:rsidR="00A945D0" w:rsidRPr="008E7712">
        <w:rPr>
          <w:szCs w:val="26"/>
        </w:rPr>
        <w:t xml:space="preserve">Joint </w:t>
      </w:r>
      <w:r w:rsidRPr="008E7712">
        <w:rPr>
          <w:szCs w:val="26"/>
        </w:rPr>
        <w:t>P</w:t>
      </w:r>
      <w:r w:rsidR="00A945D0" w:rsidRPr="008E7712">
        <w:rPr>
          <w:szCs w:val="26"/>
        </w:rPr>
        <w:t>etitioners</w:t>
      </w:r>
      <w:r w:rsidRPr="008E7712">
        <w:rPr>
          <w:szCs w:val="26"/>
        </w:rPr>
        <w:t xml:space="preserve">, that the rate design provided </w:t>
      </w:r>
      <w:bookmarkStart w:id="41" w:name="_Hlk87874261"/>
      <w:r w:rsidRPr="008E7712">
        <w:rPr>
          <w:szCs w:val="26"/>
        </w:rPr>
        <w:t xml:space="preserve">for under the Settlement is a </w:t>
      </w:r>
      <w:r w:rsidR="00B53641" w:rsidRPr="008E7712">
        <w:rPr>
          <w:szCs w:val="26"/>
        </w:rPr>
        <w:t>reasonab</w:t>
      </w:r>
      <w:r w:rsidR="006C2FAD" w:rsidRPr="008E7712">
        <w:rPr>
          <w:szCs w:val="26"/>
        </w:rPr>
        <w:t>le</w:t>
      </w:r>
      <w:r w:rsidRPr="008E7712">
        <w:rPr>
          <w:szCs w:val="26"/>
        </w:rPr>
        <w:t xml:space="preserve"> resolution of the Parties’ positio</w:t>
      </w:r>
      <w:bookmarkEnd w:id="41"/>
      <w:r w:rsidRPr="008E7712">
        <w:rPr>
          <w:szCs w:val="26"/>
        </w:rPr>
        <w:t>ns, affording appropriate primary consideration to cost causation principles per</w:t>
      </w:r>
      <w:r w:rsidRPr="008E7712">
        <w:rPr>
          <w:i/>
          <w:szCs w:val="26"/>
        </w:rPr>
        <w:t xml:space="preserve"> </w:t>
      </w:r>
      <w:r w:rsidRPr="008E7712">
        <w:rPr>
          <w:i/>
          <w:iCs/>
          <w:szCs w:val="26"/>
        </w:rPr>
        <w:t>Lloyd</w:t>
      </w:r>
      <w:r w:rsidR="0056202E" w:rsidRPr="008E7712">
        <w:rPr>
          <w:szCs w:val="26"/>
          <w:vertAlign w:val="superscript"/>
        </w:rPr>
        <w:footnoteReference w:id="15"/>
      </w:r>
      <w:r w:rsidRPr="008E7712">
        <w:rPr>
          <w:szCs w:val="26"/>
        </w:rPr>
        <w:t xml:space="preserve"> in tandem with secondary consideration for the value of service, gradualism, and affordability.  </w:t>
      </w:r>
    </w:p>
    <w:p w14:paraId="611F267E" w14:textId="77777777" w:rsidR="004B54E9" w:rsidRPr="008E7712" w:rsidRDefault="004B54E9" w:rsidP="00565A29">
      <w:pPr>
        <w:ind w:firstLine="1440"/>
        <w:rPr>
          <w:szCs w:val="26"/>
        </w:rPr>
      </w:pPr>
    </w:p>
    <w:p w14:paraId="0314A80A" w14:textId="2FEE8306" w:rsidR="004B54E9" w:rsidRPr="008E7712" w:rsidRDefault="004B54E9" w:rsidP="00565A29">
      <w:pPr>
        <w:pStyle w:val="FootnoteText"/>
        <w:spacing w:line="360" w:lineRule="auto"/>
        <w:ind w:firstLine="1440"/>
        <w:rPr>
          <w:rFonts w:cs="Times New Roman"/>
          <w:i/>
          <w:iCs/>
          <w:sz w:val="26"/>
          <w:szCs w:val="26"/>
        </w:rPr>
      </w:pPr>
      <w:r w:rsidRPr="008E7712">
        <w:rPr>
          <w:rFonts w:cs="Times New Roman"/>
          <w:sz w:val="26"/>
          <w:szCs w:val="26"/>
        </w:rPr>
        <w:lastRenderedPageBreak/>
        <w:t xml:space="preserve">There is not a prescribed “ratemaking formula” that the Commission must adhere to when determining just and reasonable rates.  Rather, the Commission “has broad discretion in determining whether rates are reasonable” and “is vested with discretion to decide what factors it will consider in setting or evaluating a utility’s rates.”  </w:t>
      </w:r>
      <w:r w:rsidRPr="008E7712">
        <w:rPr>
          <w:rFonts w:cs="Times New Roman"/>
          <w:i/>
          <w:iCs/>
          <w:sz w:val="26"/>
          <w:szCs w:val="26"/>
        </w:rPr>
        <w:t>Popowsky v. Pa. PUC</w:t>
      </w:r>
      <w:r w:rsidRPr="008E7712">
        <w:rPr>
          <w:rFonts w:cs="Times New Roman"/>
          <w:sz w:val="26"/>
          <w:szCs w:val="26"/>
        </w:rPr>
        <w:t>, 683 A.2d at 961 (Pa. Cmwlth. 1996) (</w:t>
      </w:r>
      <w:r w:rsidRPr="008E7712">
        <w:rPr>
          <w:rFonts w:cs="Times New Roman"/>
          <w:i/>
          <w:iCs/>
          <w:sz w:val="26"/>
          <w:szCs w:val="26"/>
        </w:rPr>
        <w:t>Popowsky</w:t>
      </w:r>
      <w:r w:rsidRPr="008E7712">
        <w:rPr>
          <w:rFonts w:cs="Times New Roman"/>
          <w:sz w:val="26"/>
          <w:szCs w:val="26"/>
        </w:rPr>
        <w:t>).  Included in the Commission’s broad ratemaking authority is the authority to approve alternative rates and rate mechanisms, including formula rates as well as decoupling mechanisms, performance-based rates, and multiyear rate plans.  66 Pa. C.S. § 1330(b)(1)(i)-(v).</w:t>
      </w:r>
      <w:r w:rsidRPr="008E7712">
        <w:rPr>
          <w:rFonts w:cs="Times New Roman"/>
          <w:sz w:val="26"/>
          <w:szCs w:val="26"/>
          <w:vertAlign w:val="superscript"/>
        </w:rPr>
        <w:footnoteReference w:id="16"/>
      </w:r>
      <w:r w:rsidRPr="008E7712">
        <w:rPr>
          <w:rFonts w:cs="Times New Roman"/>
          <w:sz w:val="26"/>
          <w:szCs w:val="26"/>
        </w:rPr>
        <w:t xml:space="preserve">  </w:t>
      </w:r>
    </w:p>
    <w:p w14:paraId="281EDAFC" w14:textId="5D57B015" w:rsidR="004B54E9" w:rsidRPr="008E7712" w:rsidRDefault="004B54E9" w:rsidP="00EB7CBC">
      <w:pPr>
        <w:ind w:firstLine="1440"/>
        <w:rPr>
          <w:szCs w:val="26"/>
        </w:rPr>
      </w:pPr>
      <w:r w:rsidRPr="008E7712">
        <w:rPr>
          <w:szCs w:val="26"/>
        </w:rPr>
        <w:lastRenderedPageBreak/>
        <w:t>With that said, we acknowledge that a set of ratemaking norms have been developed over time and consistently utilized by parties in rate cases before the Commission to determine the appropriate level of a utility’s requested revenue increase in accordance with all applicable legal and constitutional standards.  These norms, or traditional ratemaking methodologies,</w:t>
      </w:r>
      <w:r w:rsidRPr="008E7712">
        <w:rPr>
          <w:szCs w:val="26"/>
          <w:vertAlign w:val="superscript"/>
        </w:rPr>
        <w:footnoteReference w:id="17"/>
      </w:r>
      <w:r w:rsidRPr="008E7712">
        <w:rPr>
          <w:szCs w:val="26"/>
        </w:rPr>
        <w:t xml:space="preserve"> are used to determine a utility’s cost of providing service, or its revenue requirement, and to determine appropriate rate structure, which includes, among other things, the appropriate allocation of the revenue requirement to various customer classes.  However, while these ratemaking norms provide a rational and methodical way to analyze and determine the utility’s cost of service, they also permit the consideration and weighing of important factors or principles in setting just and reasonable rates, such as quality of service,</w:t>
      </w:r>
      <w:r w:rsidRPr="008E7712">
        <w:rPr>
          <w:szCs w:val="26"/>
          <w:vertAlign w:val="superscript"/>
        </w:rPr>
        <w:footnoteReference w:id="18"/>
      </w:r>
      <w:r w:rsidRPr="008E7712">
        <w:rPr>
          <w:szCs w:val="26"/>
        </w:rPr>
        <w:t xml:space="preserve"> gradualism,</w:t>
      </w:r>
      <w:r w:rsidRPr="008E7712">
        <w:rPr>
          <w:szCs w:val="26"/>
          <w:vertAlign w:val="superscript"/>
        </w:rPr>
        <w:footnoteReference w:id="19"/>
      </w:r>
      <w:r w:rsidRPr="008E7712">
        <w:rPr>
          <w:szCs w:val="26"/>
        </w:rPr>
        <w:t xml:space="preserve"> and rate affordability.</w:t>
      </w:r>
      <w:r w:rsidRPr="008E7712">
        <w:rPr>
          <w:szCs w:val="26"/>
          <w:vertAlign w:val="superscript"/>
        </w:rPr>
        <w:footnoteReference w:id="20"/>
      </w:r>
      <w:r w:rsidRPr="008E7712">
        <w:rPr>
          <w:szCs w:val="26"/>
        </w:rPr>
        <w:t xml:space="preserve">  </w:t>
      </w:r>
    </w:p>
    <w:p w14:paraId="42C3BFCD" w14:textId="77777777" w:rsidR="004B54E9" w:rsidRPr="008E7712" w:rsidRDefault="004B54E9" w:rsidP="00EB7CBC">
      <w:pPr>
        <w:rPr>
          <w:szCs w:val="26"/>
        </w:rPr>
      </w:pPr>
    </w:p>
    <w:p w14:paraId="6AA1F589" w14:textId="647329D0" w:rsidR="004B54E9" w:rsidRPr="008E7712" w:rsidRDefault="004B54E9" w:rsidP="007E062E">
      <w:pPr>
        <w:pStyle w:val="FootnoteText"/>
        <w:spacing w:line="360" w:lineRule="auto"/>
        <w:ind w:firstLine="1440"/>
        <w:rPr>
          <w:rFonts w:cs="Times New Roman"/>
          <w:sz w:val="26"/>
          <w:szCs w:val="26"/>
        </w:rPr>
      </w:pPr>
      <w:r w:rsidRPr="008E7712">
        <w:rPr>
          <w:rFonts w:cs="Times New Roman"/>
          <w:sz w:val="26"/>
          <w:szCs w:val="26"/>
        </w:rPr>
        <w:t xml:space="preserve">We acknowledge that there are several factors that must be considered when designing a rate recovery proposal, one of which is the concept of gradualism and affordability, which are classic small water company challenges faced by many similar-sized utilities across the nation.  However, while affordability is permitted to be considered, it is but one of many factors to be considered and weighed by the Commission in determining a utility’s rates.  The rate increase reflects the business challenges the Company currently faces, including required investments in the </w:t>
      </w:r>
      <w:r w:rsidRPr="008E7712">
        <w:rPr>
          <w:rFonts w:cs="Times New Roman"/>
          <w:sz w:val="26"/>
          <w:szCs w:val="26"/>
        </w:rPr>
        <w:lastRenderedPageBreak/>
        <w:t>repair/replacement or improvement of its distribution systems, including acquired troubled water utilities’ distribution system; and the high costs associated with maintaining a distribution system necessary to provide safe and reliable water and wastewater service within the Commonwealth.</w:t>
      </w:r>
    </w:p>
    <w:p w14:paraId="62556F58" w14:textId="77777777" w:rsidR="004B54E9" w:rsidRPr="008E7712" w:rsidRDefault="004B54E9" w:rsidP="007E062E">
      <w:pPr>
        <w:pStyle w:val="FootnoteText"/>
        <w:spacing w:line="360" w:lineRule="auto"/>
        <w:ind w:firstLine="1440"/>
        <w:rPr>
          <w:rFonts w:cs="Times New Roman"/>
          <w:sz w:val="26"/>
          <w:szCs w:val="26"/>
        </w:rPr>
      </w:pPr>
    </w:p>
    <w:p w14:paraId="029D765D" w14:textId="269DAB77" w:rsidR="004B54E9" w:rsidRPr="008E7712" w:rsidRDefault="004B54E9" w:rsidP="007E062E">
      <w:pPr>
        <w:pStyle w:val="FootnoteText"/>
        <w:spacing w:line="360" w:lineRule="auto"/>
        <w:ind w:firstLine="1440"/>
        <w:rPr>
          <w:rFonts w:cs="Times New Roman"/>
          <w:sz w:val="26"/>
          <w:szCs w:val="26"/>
        </w:rPr>
      </w:pPr>
      <w:r w:rsidRPr="008E7712">
        <w:rPr>
          <w:rFonts w:cs="Times New Roman"/>
          <w:sz w:val="26"/>
          <w:szCs w:val="26"/>
        </w:rPr>
        <w:t xml:space="preserve">As discussed </w:t>
      </w:r>
      <w:r w:rsidRPr="008E7712">
        <w:rPr>
          <w:rFonts w:cs="Times New Roman"/>
          <w:i/>
          <w:iCs/>
          <w:sz w:val="26"/>
          <w:szCs w:val="26"/>
        </w:rPr>
        <w:t>supra</w:t>
      </w:r>
      <w:r w:rsidRPr="008E7712">
        <w:rPr>
          <w:rFonts w:cs="Times New Roman"/>
          <w:sz w:val="26"/>
          <w:szCs w:val="26"/>
        </w:rPr>
        <w:t xml:space="preserve">, under the terms of the Settlement, the Parties noted significant concessions, resulting in the mitigation of the economic impact of the rate increases.  Specifically, through the settlement rates, the Company’s proposed increases in annual water and wastewater revenues were lowered by $127,517 to $630,000 and by $168,705 to $830,000, respectively (approximately 50% between the lowest litigation position of the advocates and CUPA’s litigation position).  We acknowledge the extensive improvements and large investments CUPA has made, and proposes be made, to ensure that water and wastewater customers in all of their service territories receive safe, </w:t>
      </w:r>
      <w:proofErr w:type="gramStart"/>
      <w:r w:rsidRPr="008E7712">
        <w:rPr>
          <w:rFonts w:cs="Times New Roman"/>
          <w:sz w:val="26"/>
          <w:szCs w:val="26"/>
        </w:rPr>
        <w:t>reliable</w:t>
      </w:r>
      <w:proofErr w:type="gramEnd"/>
      <w:r w:rsidRPr="008E7712">
        <w:rPr>
          <w:rFonts w:cs="Times New Roman"/>
          <w:sz w:val="26"/>
          <w:szCs w:val="26"/>
        </w:rPr>
        <w:t xml:space="preserve"> and reasonable service.</w:t>
      </w:r>
      <w:r w:rsidRPr="008E7712">
        <w:rPr>
          <w:rStyle w:val="FootnoteReference"/>
          <w:rFonts w:cs="Times New Roman"/>
          <w:sz w:val="26"/>
          <w:szCs w:val="26"/>
        </w:rPr>
        <w:footnoteReference w:id="21"/>
      </w:r>
      <w:r w:rsidRPr="008E7712">
        <w:rPr>
          <w:rFonts w:cs="Times New Roman"/>
          <w:sz w:val="26"/>
          <w:szCs w:val="26"/>
        </w:rPr>
        <w:t xml:space="preserve">  Investments such as these </w:t>
      </w:r>
      <w:r w:rsidR="00592BA6" w:rsidRPr="008E7712">
        <w:rPr>
          <w:rFonts w:cs="Times New Roman"/>
          <w:sz w:val="26"/>
          <w:szCs w:val="26"/>
        </w:rPr>
        <w:t>cannot</w:t>
      </w:r>
      <w:r w:rsidRPr="008E7712">
        <w:rPr>
          <w:rFonts w:cs="Times New Roman"/>
          <w:sz w:val="26"/>
          <w:szCs w:val="26"/>
        </w:rPr>
        <w:t xml:space="preserve"> be sustained without rate increases, such as provided for under the Settlement, needed to make reasonable progress in moving Tamiment’s rates closer to their cost of service.</w:t>
      </w:r>
    </w:p>
    <w:p w14:paraId="6DD276C5" w14:textId="77777777" w:rsidR="004B54E9" w:rsidRPr="008E7712" w:rsidRDefault="004B54E9" w:rsidP="00EB7CBC">
      <w:pPr>
        <w:ind w:firstLine="1440"/>
        <w:rPr>
          <w:szCs w:val="26"/>
        </w:rPr>
      </w:pPr>
    </w:p>
    <w:p w14:paraId="3E234B1F" w14:textId="5BE373A5" w:rsidR="004B54E9" w:rsidRPr="008E7712" w:rsidRDefault="00592BA6" w:rsidP="00EB7CBC">
      <w:pPr>
        <w:ind w:firstLine="1440"/>
        <w:rPr>
          <w:szCs w:val="26"/>
        </w:rPr>
      </w:pPr>
      <w:r w:rsidRPr="008E7712">
        <w:rPr>
          <w:szCs w:val="26"/>
        </w:rPr>
        <w:t>We find that t</w:t>
      </w:r>
      <w:r w:rsidR="004B54E9" w:rsidRPr="008E7712">
        <w:rPr>
          <w:szCs w:val="26"/>
        </w:rPr>
        <w:t>he rate design provided for under the Settlement is a reasonable compromise between the conflicting objectives of moving towards fully consolidated rates and maintaining gradualism in customer bill impacts, as shown below:</w:t>
      </w:r>
    </w:p>
    <w:p w14:paraId="543895B0" w14:textId="77777777" w:rsidR="004B54E9" w:rsidRPr="008E7712" w:rsidRDefault="004B54E9" w:rsidP="00EB7CBC">
      <w:pPr>
        <w:jc w:val="center"/>
        <w:rPr>
          <w:szCs w:val="26"/>
        </w:rPr>
      </w:pPr>
      <w:r w:rsidRPr="008E7712">
        <w:rPr>
          <w:noProof/>
          <w:szCs w:val="26"/>
        </w:rPr>
        <w:lastRenderedPageBreak/>
        <w:drawing>
          <wp:inline distT="0" distB="0" distL="0" distR="0" wp14:anchorId="03E53AE6" wp14:editId="0C112FFF">
            <wp:extent cx="5943600" cy="3668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68395"/>
                    </a:xfrm>
                    <a:prstGeom prst="rect">
                      <a:avLst/>
                    </a:prstGeom>
                    <a:noFill/>
                    <a:ln>
                      <a:noFill/>
                    </a:ln>
                  </pic:spPr>
                </pic:pic>
              </a:graphicData>
            </a:graphic>
          </wp:inline>
        </w:drawing>
      </w:r>
    </w:p>
    <w:p w14:paraId="19D36A11" w14:textId="77777777" w:rsidR="004B54E9" w:rsidRPr="008E7712" w:rsidRDefault="004B54E9" w:rsidP="00EB7CBC">
      <w:pPr>
        <w:rPr>
          <w:szCs w:val="26"/>
        </w:rPr>
      </w:pPr>
    </w:p>
    <w:p w14:paraId="5E98BB95" w14:textId="77777777" w:rsidR="004B54E9" w:rsidRPr="008E7712" w:rsidRDefault="004B54E9" w:rsidP="00EB7CBC">
      <w:pPr>
        <w:jc w:val="center"/>
        <w:rPr>
          <w:szCs w:val="26"/>
        </w:rPr>
      </w:pPr>
      <w:r w:rsidRPr="008E7712">
        <w:rPr>
          <w:noProof/>
          <w:szCs w:val="26"/>
        </w:rPr>
        <w:drawing>
          <wp:inline distT="0" distB="0" distL="0" distR="0" wp14:anchorId="0A6B0416" wp14:editId="4688672E">
            <wp:extent cx="5943600" cy="316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166745"/>
                    </a:xfrm>
                    <a:prstGeom prst="rect">
                      <a:avLst/>
                    </a:prstGeom>
                    <a:noFill/>
                    <a:ln>
                      <a:noFill/>
                    </a:ln>
                  </pic:spPr>
                </pic:pic>
              </a:graphicData>
            </a:graphic>
          </wp:inline>
        </w:drawing>
      </w:r>
    </w:p>
    <w:p w14:paraId="24611FD1" w14:textId="77777777" w:rsidR="004B54E9" w:rsidRPr="008E7712" w:rsidRDefault="004B54E9" w:rsidP="00EB7CBC">
      <w:pPr>
        <w:rPr>
          <w:szCs w:val="26"/>
        </w:rPr>
      </w:pPr>
    </w:p>
    <w:p w14:paraId="3D0E62DA" w14:textId="0D67514E" w:rsidR="004B54E9" w:rsidRPr="008E7712" w:rsidRDefault="004B54E9" w:rsidP="00EB7CBC">
      <w:pPr>
        <w:ind w:firstLine="1440"/>
        <w:rPr>
          <w:szCs w:val="26"/>
        </w:rPr>
      </w:pPr>
      <w:r w:rsidRPr="008E7712">
        <w:rPr>
          <w:szCs w:val="26"/>
        </w:rPr>
        <w:t xml:space="preserve">As shown above, under the </w:t>
      </w:r>
      <w:r w:rsidR="00054C1B" w:rsidRPr="008E7712">
        <w:rPr>
          <w:szCs w:val="26"/>
        </w:rPr>
        <w:t>S</w:t>
      </w:r>
      <w:r w:rsidRPr="008E7712">
        <w:rPr>
          <w:szCs w:val="26"/>
        </w:rPr>
        <w:t xml:space="preserve">ettlement rates, </w:t>
      </w:r>
      <w:bookmarkStart w:id="42" w:name="_Hlk87948379"/>
      <w:r w:rsidRPr="008E7712">
        <w:rPr>
          <w:szCs w:val="26"/>
        </w:rPr>
        <w:t>the water bill for the typical residential customer in</w:t>
      </w:r>
      <w:bookmarkEnd w:id="42"/>
      <w:r w:rsidRPr="008E7712">
        <w:rPr>
          <w:szCs w:val="26"/>
        </w:rPr>
        <w:t xml:space="preserve"> the </w:t>
      </w:r>
      <w:bookmarkStart w:id="43" w:name="_Hlk87948332"/>
      <w:r w:rsidRPr="008E7712">
        <w:rPr>
          <w:szCs w:val="26"/>
        </w:rPr>
        <w:t>Penn Estates and Westgate service territories</w:t>
      </w:r>
      <w:bookmarkEnd w:id="43"/>
      <w:r w:rsidRPr="008E7712">
        <w:rPr>
          <w:szCs w:val="26"/>
        </w:rPr>
        <w:t xml:space="preserve"> would increase </w:t>
      </w:r>
      <w:r w:rsidRPr="008E7712">
        <w:rPr>
          <w:szCs w:val="26"/>
        </w:rPr>
        <w:lastRenderedPageBreak/>
        <w:t>from $54.16 to $70.98 per month, a 31.1% increase, rather than the 35.3% increase initially proposed by CUPA</w:t>
      </w:r>
      <w:r w:rsidR="00A93F9E" w:rsidRPr="008E7712">
        <w:rPr>
          <w:szCs w:val="26"/>
        </w:rPr>
        <w:t>-Water</w:t>
      </w:r>
      <w:r w:rsidRPr="008E7712">
        <w:rPr>
          <w:szCs w:val="26"/>
        </w:rPr>
        <w:t>.  The water bill for a typical residential customer in the Tamiment service territory would increase from $32.23 to $49.54, a 53.7% increase, rather than the 81.5% increase initially proposed by CUPA</w:t>
      </w:r>
      <w:r w:rsidR="00A93F9E" w:rsidRPr="008E7712">
        <w:rPr>
          <w:szCs w:val="26"/>
        </w:rPr>
        <w:t>-Water</w:t>
      </w:r>
      <w:r w:rsidRPr="008E7712">
        <w:rPr>
          <w:szCs w:val="26"/>
        </w:rPr>
        <w:t xml:space="preserve">.  </w:t>
      </w:r>
    </w:p>
    <w:p w14:paraId="6BF31B6F" w14:textId="77777777" w:rsidR="004B54E9" w:rsidRPr="008E7712" w:rsidRDefault="004B54E9" w:rsidP="00EB7CBC">
      <w:pPr>
        <w:ind w:firstLine="1440"/>
        <w:rPr>
          <w:szCs w:val="26"/>
        </w:rPr>
      </w:pPr>
    </w:p>
    <w:p w14:paraId="68707426" w14:textId="4FA6C9C5" w:rsidR="004B54E9" w:rsidRPr="008E7712" w:rsidRDefault="004B54E9" w:rsidP="00EB7CBC">
      <w:pPr>
        <w:ind w:firstLine="1440"/>
        <w:rPr>
          <w:szCs w:val="26"/>
        </w:rPr>
      </w:pPr>
      <w:r w:rsidRPr="008E7712">
        <w:rPr>
          <w:szCs w:val="26"/>
        </w:rPr>
        <w:t xml:space="preserve">Likewise, under the </w:t>
      </w:r>
      <w:r w:rsidR="00054C1B" w:rsidRPr="008E7712">
        <w:rPr>
          <w:szCs w:val="26"/>
        </w:rPr>
        <w:t>S</w:t>
      </w:r>
      <w:r w:rsidRPr="008E7712">
        <w:rPr>
          <w:szCs w:val="26"/>
        </w:rPr>
        <w:t>ettlement rates, the wastewater bill for the typical residential customer in the Penn Estates and Utilities, Inc. of Pennsylvania service territories would increase from $55.39 to $74.73 per month, a 34.9% increase, rather than the 41.2% increase originally proposed by C</w:t>
      </w:r>
      <w:r w:rsidR="00A93F9E" w:rsidRPr="008E7712">
        <w:rPr>
          <w:szCs w:val="26"/>
        </w:rPr>
        <w:t>UPA-Wastewater</w:t>
      </w:r>
      <w:r w:rsidRPr="008E7712">
        <w:rPr>
          <w:szCs w:val="26"/>
        </w:rPr>
        <w:t xml:space="preserve">.  The wastewater bill for a typical residential customer in the Tamiment service territory would increase from $71.24 to $73.75 per month, a 3.5% increase, rather than the 9.8% increase as originally proposed.  Stated another way, under the proposed Settlement, the average bills in the consolidated territories will increase by approximately 31% (water) and 35% (wastewater).  The average bills in the Tamiment service territory will increase by approximately 54% (water) and 3.5% (wastewater).  </w:t>
      </w:r>
      <w:r w:rsidRPr="008E7712">
        <w:rPr>
          <w:i/>
          <w:iCs/>
          <w:szCs w:val="26"/>
        </w:rPr>
        <w:t>See</w:t>
      </w:r>
      <w:r w:rsidRPr="008E7712">
        <w:rPr>
          <w:szCs w:val="26"/>
        </w:rPr>
        <w:t xml:space="preserve"> Settlement, Appendix G.</w:t>
      </w:r>
    </w:p>
    <w:p w14:paraId="3D24B557" w14:textId="77777777" w:rsidR="004B54E9" w:rsidRPr="008E7712" w:rsidRDefault="004B54E9" w:rsidP="00EB7CBC">
      <w:pPr>
        <w:rPr>
          <w:szCs w:val="26"/>
        </w:rPr>
      </w:pPr>
    </w:p>
    <w:p w14:paraId="444D94C9" w14:textId="77777777" w:rsidR="004B54E9" w:rsidRPr="008E7712" w:rsidRDefault="004B54E9" w:rsidP="00EB7CBC">
      <w:pPr>
        <w:ind w:firstLine="1440"/>
        <w:rPr>
          <w:szCs w:val="26"/>
        </w:rPr>
      </w:pPr>
      <w:r w:rsidRPr="008E7712">
        <w:rPr>
          <w:szCs w:val="26"/>
        </w:rPr>
        <w:t>As the data above clearly show, viewed in relation to the actual water and wastewater bills customers will pay, the increases under the Settlement do not violate the principle of gradualism and will not induce “rate shock.”  Rather, the rate design proposed in the Settlement fairly balances the interests of the customers in the different service territories by moving toward rate consolidation in a gradual manner and is accompanied by important conditions to help customers control their bills and mitigate the rate increases, including the application of the rate increases to the residential volumetric rates, rather than customer charges, the continuation and expansion of metered rates for wastewater service, and the low-income proposals.</w:t>
      </w:r>
    </w:p>
    <w:p w14:paraId="6F51B61D" w14:textId="77777777" w:rsidR="004B54E9" w:rsidRPr="008E7712" w:rsidRDefault="004B54E9" w:rsidP="00EB7CBC">
      <w:pPr>
        <w:ind w:firstLine="1440"/>
        <w:rPr>
          <w:szCs w:val="26"/>
        </w:rPr>
      </w:pPr>
    </w:p>
    <w:p w14:paraId="2CC4613C" w14:textId="2B2FF60F" w:rsidR="004B54E9" w:rsidRPr="008E7712" w:rsidRDefault="004B54E9" w:rsidP="00EB7CBC">
      <w:pPr>
        <w:ind w:firstLine="1440"/>
        <w:rPr>
          <w:szCs w:val="26"/>
        </w:rPr>
      </w:pPr>
      <w:r w:rsidRPr="008E7712">
        <w:rPr>
          <w:szCs w:val="26"/>
        </w:rPr>
        <w:t xml:space="preserve">We concur with the </w:t>
      </w:r>
      <w:r w:rsidR="00A93F9E" w:rsidRPr="008E7712">
        <w:rPr>
          <w:szCs w:val="26"/>
        </w:rPr>
        <w:t>Joint Petitioners</w:t>
      </w:r>
      <w:r w:rsidRPr="008E7712">
        <w:rPr>
          <w:szCs w:val="26"/>
        </w:rPr>
        <w:t xml:space="preserve"> that there is no question that volumetric billing is preferable to flat rate billing, as it provides better price signals and promotes conservation.  In addition to encouraging the conservation of water and </w:t>
      </w:r>
      <w:r w:rsidRPr="008E7712">
        <w:rPr>
          <w:szCs w:val="26"/>
        </w:rPr>
        <w:lastRenderedPageBreak/>
        <w:t>wastewater services, volumetric billing also results in a more equitable distribution of the variable costs of wastewater service among ratepayers.</w:t>
      </w:r>
    </w:p>
    <w:p w14:paraId="04D30774" w14:textId="77777777" w:rsidR="004B54E9" w:rsidRPr="008E7712" w:rsidRDefault="004B54E9" w:rsidP="00EB7CBC">
      <w:pPr>
        <w:ind w:firstLine="1440"/>
        <w:rPr>
          <w:szCs w:val="26"/>
        </w:rPr>
      </w:pPr>
    </w:p>
    <w:p w14:paraId="2ED199A6" w14:textId="4C834810" w:rsidR="004B54E9" w:rsidRPr="008E7712" w:rsidRDefault="004B54E9" w:rsidP="00EB7CBC">
      <w:pPr>
        <w:ind w:firstLine="1440"/>
        <w:rPr>
          <w:szCs w:val="26"/>
        </w:rPr>
      </w:pPr>
      <w:r w:rsidRPr="008E7712">
        <w:rPr>
          <w:szCs w:val="26"/>
        </w:rPr>
        <w:t xml:space="preserve">Furthermore, the percentage increase in the water bill for the typical residential customer in the Penn Estates and Westgate service territories (31.1%) is less than the 32.2% increase in annual operating revenue the Commission approved for those water customers in the Company’s 2016 base rate proceeding, as well as the resulting 33.65% increase to the average bill for </w:t>
      </w:r>
      <w:r w:rsidR="00D45ED0" w:rsidRPr="008E7712">
        <w:rPr>
          <w:szCs w:val="26"/>
        </w:rPr>
        <w:t xml:space="preserve">a </w:t>
      </w:r>
      <w:r w:rsidRPr="008E7712">
        <w:rPr>
          <w:szCs w:val="26"/>
        </w:rPr>
        <w:t xml:space="preserve">customer residing in the Penn Estates service territory.  </w:t>
      </w:r>
      <w:r w:rsidRPr="008E7712">
        <w:rPr>
          <w:i/>
          <w:iCs/>
          <w:szCs w:val="26"/>
        </w:rPr>
        <w:t>See Pa. PUC, et al. v. Community Utilities of Pennsylvania, Inc. – Water Division</w:t>
      </w:r>
      <w:r w:rsidRPr="008E7712">
        <w:rPr>
          <w:szCs w:val="26"/>
        </w:rPr>
        <w:t xml:space="preserve">, Docket No. R-2016-2538660, </w:t>
      </w:r>
      <w:r w:rsidRPr="008E7712">
        <w:rPr>
          <w:i/>
          <w:iCs/>
          <w:szCs w:val="26"/>
        </w:rPr>
        <w:t>et al</w:t>
      </w:r>
      <w:r w:rsidRPr="008E7712">
        <w:rPr>
          <w:szCs w:val="26"/>
        </w:rPr>
        <w:t xml:space="preserve">. (Order entered November 9, 2016).  </w:t>
      </w:r>
    </w:p>
    <w:p w14:paraId="3A004B19" w14:textId="77777777" w:rsidR="004B54E9" w:rsidRPr="008E7712" w:rsidRDefault="004B54E9" w:rsidP="00EB7CBC">
      <w:pPr>
        <w:rPr>
          <w:szCs w:val="26"/>
        </w:rPr>
      </w:pPr>
    </w:p>
    <w:p w14:paraId="384DD719" w14:textId="4C975964" w:rsidR="004B54E9" w:rsidRPr="008E7712" w:rsidRDefault="004B54E9" w:rsidP="00EB7CBC">
      <w:pPr>
        <w:ind w:firstLine="1440"/>
        <w:rPr>
          <w:szCs w:val="26"/>
        </w:rPr>
      </w:pPr>
      <w:r w:rsidRPr="008E7712">
        <w:rPr>
          <w:szCs w:val="26"/>
        </w:rPr>
        <w:t xml:space="preserve">The 53.7% increase in the average monthly water bill of a typical Tamiment residential customer is larger than </w:t>
      </w:r>
      <w:r w:rsidR="00054C1B" w:rsidRPr="008E7712">
        <w:rPr>
          <w:szCs w:val="26"/>
        </w:rPr>
        <w:t>S</w:t>
      </w:r>
      <w:r w:rsidRPr="008E7712">
        <w:rPr>
          <w:szCs w:val="26"/>
        </w:rPr>
        <w:t>ettlement rates provide for CUPA’s consolidated service territories but has been mitigated by the Settlement’s incorporation of a partial rate consolidation, as opposed to a full consolidation of Tamiment rates with those of CUPA’s consolidated systems, as was initially proposed by the Company.  Such an increase is reasonable given that Tamiment customers have experienced a long period (10 years) without rate changes.  Given Tamiment’s significant shortfalls in revenue as an outcome of years without rate increases, increasing operation costs, and capital investments required to provide adequate service, an increase equating to a little over 5%</w:t>
      </w:r>
      <w:r w:rsidR="002313A9" w:rsidRPr="008E7712">
        <w:rPr>
          <w:szCs w:val="26"/>
        </w:rPr>
        <w:t> </w:t>
      </w:r>
      <w:r w:rsidRPr="008E7712">
        <w:rPr>
          <w:szCs w:val="26"/>
        </w:rPr>
        <w:t xml:space="preserve">per year (53.7% / 10 years) is not unreasonable.  </w:t>
      </w:r>
    </w:p>
    <w:p w14:paraId="1D41ABD5" w14:textId="77777777" w:rsidR="004B54E9" w:rsidRPr="008E7712" w:rsidRDefault="004B54E9" w:rsidP="00EB7CBC">
      <w:pPr>
        <w:ind w:firstLine="1440"/>
        <w:rPr>
          <w:szCs w:val="26"/>
        </w:rPr>
      </w:pPr>
    </w:p>
    <w:p w14:paraId="7B69C45F" w14:textId="168CB82C" w:rsidR="004B54E9" w:rsidRDefault="004B54E9" w:rsidP="00EB7CBC">
      <w:pPr>
        <w:ind w:firstLine="1440"/>
        <w:rPr>
          <w:szCs w:val="26"/>
        </w:rPr>
      </w:pPr>
      <w:r w:rsidRPr="008E7712">
        <w:rPr>
          <w:szCs w:val="26"/>
        </w:rPr>
        <w:t xml:space="preserve">It has not been shown that the </w:t>
      </w:r>
      <w:r w:rsidR="00054C1B" w:rsidRPr="008E7712">
        <w:rPr>
          <w:szCs w:val="26"/>
        </w:rPr>
        <w:t>S</w:t>
      </w:r>
      <w:r w:rsidRPr="008E7712">
        <w:rPr>
          <w:szCs w:val="26"/>
        </w:rPr>
        <w:t xml:space="preserve">ettlement rates would recover more than the cost to serve CUPA’s multiple service territories.  However, as indicated previously, CUPA customers already under consolidated rates will continue to subsidize Tamiment customers until Tamiment customers are eased into consolidated rates; CUPA residential customers are already paying rates that more closely represent their cost to serve, which is emblematic of the lower percentage increase they will experience under </w:t>
      </w:r>
      <w:r w:rsidR="00054C1B" w:rsidRPr="008E7712">
        <w:rPr>
          <w:szCs w:val="26"/>
        </w:rPr>
        <w:t>S</w:t>
      </w:r>
      <w:r w:rsidRPr="008E7712">
        <w:rPr>
          <w:szCs w:val="26"/>
        </w:rPr>
        <w:t>ettlement rates.</w:t>
      </w:r>
    </w:p>
    <w:p w14:paraId="34584963" w14:textId="5645F565" w:rsidR="004B54E9" w:rsidRPr="008E7712" w:rsidRDefault="001B3565" w:rsidP="00485825">
      <w:pPr>
        <w:ind w:firstLine="1440"/>
        <w:rPr>
          <w:szCs w:val="26"/>
        </w:rPr>
      </w:pPr>
      <w:r w:rsidRPr="008E7712">
        <w:rPr>
          <w:szCs w:val="26"/>
        </w:rPr>
        <w:lastRenderedPageBreak/>
        <w:t xml:space="preserve">Reduced to its essence, the </w:t>
      </w:r>
      <w:r w:rsidRPr="00BB18BC">
        <w:rPr>
          <w:i/>
        </w:rPr>
        <w:t>November Order</w:t>
      </w:r>
      <w:r w:rsidR="005C356A">
        <w:rPr>
          <w:szCs w:val="26"/>
        </w:rPr>
        <w:t xml:space="preserve"> rejects</w:t>
      </w:r>
      <w:r w:rsidR="004B54E9" w:rsidRPr="008E7712">
        <w:rPr>
          <w:szCs w:val="26"/>
        </w:rPr>
        <w:t xml:space="preserve"> the increases the </w:t>
      </w:r>
      <w:r w:rsidR="00054C1B" w:rsidRPr="008E7712">
        <w:rPr>
          <w:szCs w:val="26"/>
        </w:rPr>
        <w:t>S</w:t>
      </w:r>
      <w:r w:rsidR="004B54E9" w:rsidRPr="008E7712">
        <w:rPr>
          <w:szCs w:val="26"/>
        </w:rPr>
        <w:t xml:space="preserve">ettlement rates would produce without providing </w:t>
      </w:r>
      <w:proofErr w:type="gramStart"/>
      <w:r w:rsidR="00F86977" w:rsidRPr="008E7712">
        <w:rPr>
          <w:szCs w:val="26"/>
        </w:rPr>
        <w:t>a</w:t>
      </w:r>
      <w:proofErr w:type="gramEnd"/>
      <w:r w:rsidR="00F86977" w:rsidRPr="008E7712">
        <w:rPr>
          <w:szCs w:val="26"/>
        </w:rPr>
        <w:t xml:space="preserve"> </w:t>
      </w:r>
      <w:r w:rsidR="004B54E9" w:rsidRPr="008E7712">
        <w:rPr>
          <w:szCs w:val="26"/>
        </w:rPr>
        <w:t xml:space="preserve">concrete, evidenced-based alternative proposal.  </w:t>
      </w:r>
      <w:r w:rsidR="005C356A">
        <w:rPr>
          <w:szCs w:val="26"/>
        </w:rPr>
        <w:t>Rather than providing</w:t>
      </w:r>
      <w:r w:rsidR="004B54E9" w:rsidRPr="008E7712">
        <w:rPr>
          <w:szCs w:val="26"/>
        </w:rPr>
        <w:t xml:space="preserve"> a generalized recommendation that the Commission approve increases for CUPA that are less, by some unspecified amount, than those under the Settlement, </w:t>
      </w:r>
      <w:r w:rsidR="005C356A">
        <w:rPr>
          <w:szCs w:val="26"/>
        </w:rPr>
        <w:t xml:space="preserve">the </w:t>
      </w:r>
      <w:r w:rsidR="005C356A">
        <w:rPr>
          <w:i/>
          <w:iCs/>
          <w:szCs w:val="26"/>
        </w:rPr>
        <w:t xml:space="preserve">November Order </w:t>
      </w:r>
      <w:r w:rsidR="0032125D" w:rsidRPr="008E7712">
        <w:rPr>
          <w:szCs w:val="26"/>
        </w:rPr>
        <w:t xml:space="preserve">instead </w:t>
      </w:r>
      <w:r w:rsidR="005C356A" w:rsidRPr="008E7712">
        <w:rPr>
          <w:szCs w:val="26"/>
        </w:rPr>
        <w:t>seek</w:t>
      </w:r>
      <w:r w:rsidR="005C356A">
        <w:rPr>
          <w:szCs w:val="26"/>
        </w:rPr>
        <w:t>s</w:t>
      </w:r>
      <w:r w:rsidR="005C356A" w:rsidRPr="008E7712">
        <w:rPr>
          <w:szCs w:val="26"/>
        </w:rPr>
        <w:t xml:space="preserve"> </w:t>
      </w:r>
      <w:r w:rsidR="001D5D8F" w:rsidRPr="008E7712">
        <w:rPr>
          <w:szCs w:val="26"/>
        </w:rPr>
        <w:t xml:space="preserve">approval of an </w:t>
      </w:r>
      <w:r w:rsidR="004B54E9" w:rsidRPr="008E7712">
        <w:rPr>
          <w:szCs w:val="26"/>
        </w:rPr>
        <w:t>outright rejection</w:t>
      </w:r>
      <w:r w:rsidR="001D5D8F" w:rsidRPr="008E7712">
        <w:rPr>
          <w:szCs w:val="26"/>
        </w:rPr>
        <w:t xml:space="preserve"> on the entire Settlement.  This </w:t>
      </w:r>
      <w:r w:rsidR="004B54E9" w:rsidRPr="008E7712">
        <w:rPr>
          <w:szCs w:val="26"/>
        </w:rPr>
        <w:t>ignores the well-considered and carefully balanced rate structure</w:t>
      </w:r>
      <w:r w:rsidR="00144BFC" w:rsidRPr="008E7712">
        <w:rPr>
          <w:szCs w:val="26"/>
        </w:rPr>
        <w:t>s</w:t>
      </w:r>
      <w:r w:rsidR="004B54E9" w:rsidRPr="008E7712">
        <w:rPr>
          <w:szCs w:val="26"/>
        </w:rPr>
        <w:t xml:space="preserve"> that the </w:t>
      </w:r>
      <w:r w:rsidR="00F86977" w:rsidRPr="008E7712">
        <w:rPr>
          <w:szCs w:val="26"/>
        </w:rPr>
        <w:t xml:space="preserve">Joint </w:t>
      </w:r>
      <w:r w:rsidR="004B54E9" w:rsidRPr="008E7712">
        <w:rPr>
          <w:szCs w:val="26"/>
        </w:rPr>
        <w:t>P</w:t>
      </w:r>
      <w:r w:rsidR="00F86977" w:rsidRPr="008E7712">
        <w:rPr>
          <w:szCs w:val="26"/>
        </w:rPr>
        <w:t>etitioners</w:t>
      </w:r>
      <w:r w:rsidR="004B54E9" w:rsidRPr="008E7712">
        <w:rPr>
          <w:szCs w:val="26"/>
        </w:rPr>
        <w:t xml:space="preserve"> collectively agreed, based on extensive record evidence presented in the case, </w:t>
      </w:r>
      <w:r w:rsidR="00144BFC" w:rsidRPr="008E7712">
        <w:rPr>
          <w:szCs w:val="26"/>
        </w:rPr>
        <w:t>are</w:t>
      </w:r>
      <w:r w:rsidR="004B54E9" w:rsidRPr="008E7712">
        <w:rPr>
          <w:szCs w:val="26"/>
        </w:rPr>
        <w:t xml:space="preserve"> just and reasonable.</w:t>
      </w:r>
      <w:r w:rsidR="004B54E9" w:rsidRPr="008E7712">
        <w:rPr>
          <w:rStyle w:val="FootnoteReference"/>
          <w:szCs w:val="26"/>
        </w:rPr>
        <w:footnoteReference w:id="22"/>
      </w:r>
      <w:r w:rsidR="00144BFC" w:rsidRPr="008E7712">
        <w:rPr>
          <w:szCs w:val="26"/>
        </w:rPr>
        <w:t xml:space="preserve">  </w:t>
      </w:r>
      <w:r w:rsidR="00633499" w:rsidRPr="008E7712">
        <w:rPr>
          <w:szCs w:val="26"/>
        </w:rPr>
        <w:t xml:space="preserve">Having conducted a careful review of the record, we must </w:t>
      </w:r>
      <w:r w:rsidR="00144BFC" w:rsidRPr="008E7712">
        <w:rPr>
          <w:szCs w:val="26"/>
        </w:rPr>
        <w:t xml:space="preserve">conclude </w:t>
      </w:r>
      <w:r w:rsidR="009E1BEB" w:rsidRPr="008E7712">
        <w:rPr>
          <w:szCs w:val="26"/>
        </w:rPr>
        <w:t xml:space="preserve">for these reasons and all those stated throughout this Opinion and Order, </w:t>
      </w:r>
      <w:r w:rsidR="00144BFC" w:rsidRPr="008E7712">
        <w:rPr>
          <w:szCs w:val="26"/>
        </w:rPr>
        <w:t xml:space="preserve">that the </w:t>
      </w:r>
      <w:r w:rsidR="00633499" w:rsidRPr="008E7712">
        <w:rPr>
          <w:szCs w:val="26"/>
        </w:rPr>
        <w:t xml:space="preserve">Settlement as a whole is in the public interest. </w:t>
      </w:r>
    </w:p>
    <w:p w14:paraId="1F00F40D" w14:textId="77777777" w:rsidR="001B3565" w:rsidRPr="008E7712" w:rsidRDefault="001B3565" w:rsidP="00485825">
      <w:pPr>
        <w:ind w:firstLine="1440"/>
        <w:rPr>
          <w:szCs w:val="26"/>
        </w:rPr>
      </w:pPr>
    </w:p>
    <w:p w14:paraId="4999A3AF" w14:textId="2EBB8F46" w:rsidR="000F1DE9" w:rsidRPr="008E7712" w:rsidRDefault="00A327B7" w:rsidP="00485825">
      <w:pPr>
        <w:pStyle w:val="Heading2"/>
        <w:spacing w:line="360" w:lineRule="auto"/>
      </w:pPr>
      <w:bookmarkStart w:id="44" w:name="_Toc91576506"/>
      <w:r w:rsidRPr="008E7712">
        <w:t>F.</w:t>
      </w:r>
      <w:r w:rsidRPr="008E7712">
        <w:tab/>
        <w:t>Reporting Requirements</w:t>
      </w:r>
      <w:r w:rsidR="00813E09" w:rsidRPr="008E7712">
        <w:t>/Service-Related Commitments</w:t>
      </w:r>
      <w:bookmarkEnd w:id="44"/>
    </w:p>
    <w:p w14:paraId="26293E20" w14:textId="77777777" w:rsidR="000F1DE9" w:rsidRPr="008E7712" w:rsidRDefault="000F1DE9" w:rsidP="00485825">
      <w:pPr>
        <w:pStyle w:val="NoSpacing"/>
        <w:keepNext/>
        <w:spacing w:line="360" w:lineRule="auto"/>
        <w:rPr>
          <w:sz w:val="26"/>
          <w:szCs w:val="26"/>
          <w:u w:val="single"/>
        </w:rPr>
      </w:pPr>
    </w:p>
    <w:p w14:paraId="17412B64" w14:textId="43F7745D" w:rsidR="000F1DE9" w:rsidRPr="008E7712" w:rsidRDefault="000F1DE9" w:rsidP="00485825">
      <w:pPr>
        <w:pStyle w:val="NoSpacing"/>
        <w:keepNext/>
        <w:spacing w:line="360" w:lineRule="auto"/>
        <w:rPr>
          <w:sz w:val="26"/>
          <w:szCs w:val="26"/>
        </w:rPr>
      </w:pPr>
      <w:r w:rsidRPr="008E7712">
        <w:rPr>
          <w:sz w:val="26"/>
          <w:szCs w:val="26"/>
        </w:rPr>
        <w:tab/>
      </w:r>
      <w:r w:rsidRPr="008E7712">
        <w:rPr>
          <w:sz w:val="26"/>
          <w:szCs w:val="26"/>
        </w:rPr>
        <w:tab/>
        <w:t>As noted above, the Joint Petition contains a number of reporting requirements and service-related commitments agreed to by CUPA</w:t>
      </w:r>
      <w:r w:rsidR="001A62A1" w:rsidRPr="008E7712">
        <w:rPr>
          <w:sz w:val="26"/>
          <w:szCs w:val="26"/>
        </w:rPr>
        <w:t xml:space="preserve">.  </w:t>
      </w:r>
      <w:r w:rsidRPr="008E7712">
        <w:rPr>
          <w:i/>
          <w:iCs/>
          <w:sz w:val="26"/>
          <w:szCs w:val="26"/>
        </w:rPr>
        <w:t>See</w:t>
      </w:r>
      <w:r w:rsidRPr="008E7712">
        <w:rPr>
          <w:sz w:val="26"/>
          <w:szCs w:val="26"/>
        </w:rPr>
        <w:t xml:space="preserve"> Petition Section II.F and </w:t>
      </w:r>
      <w:r w:rsidR="00EE1220" w:rsidRPr="008E7712">
        <w:rPr>
          <w:sz w:val="26"/>
          <w:szCs w:val="26"/>
        </w:rPr>
        <w:t xml:space="preserve">G.  </w:t>
      </w:r>
      <w:r w:rsidRPr="008E7712">
        <w:rPr>
          <w:sz w:val="26"/>
          <w:szCs w:val="26"/>
        </w:rPr>
        <w:t xml:space="preserve">No </w:t>
      </w:r>
      <w:r w:rsidR="00EA490E" w:rsidRPr="008E7712">
        <w:rPr>
          <w:sz w:val="26"/>
          <w:szCs w:val="26"/>
        </w:rPr>
        <w:t>P</w:t>
      </w:r>
      <w:r w:rsidRPr="008E7712">
        <w:rPr>
          <w:sz w:val="26"/>
          <w:szCs w:val="26"/>
        </w:rPr>
        <w:t>arty has expressed objection to or suggested modification of any of these provisions.</w:t>
      </w:r>
    </w:p>
    <w:p w14:paraId="3A2A6608" w14:textId="77777777" w:rsidR="000F1DE9" w:rsidRPr="008E7712" w:rsidRDefault="000F1DE9" w:rsidP="00EB7CBC">
      <w:pPr>
        <w:pStyle w:val="NoSpacing"/>
        <w:spacing w:line="360" w:lineRule="auto"/>
        <w:rPr>
          <w:sz w:val="26"/>
          <w:szCs w:val="26"/>
        </w:rPr>
      </w:pPr>
    </w:p>
    <w:p w14:paraId="07991E6C" w14:textId="38757EA4" w:rsidR="000F1DE9" w:rsidRPr="008E7712" w:rsidRDefault="000F1DE9" w:rsidP="00EB7CBC">
      <w:pPr>
        <w:pStyle w:val="NoSpacing"/>
        <w:spacing w:line="360" w:lineRule="auto"/>
        <w:rPr>
          <w:sz w:val="26"/>
          <w:szCs w:val="26"/>
        </w:rPr>
      </w:pPr>
      <w:r w:rsidRPr="008E7712">
        <w:rPr>
          <w:sz w:val="26"/>
          <w:szCs w:val="26"/>
        </w:rPr>
        <w:tab/>
      </w:r>
      <w:r w:rsidRPr="008E7712">
        <w:rPr>
          <w:sz w:val="26"/>
          <w:szCs w:val="26"/>
        </w:rPr>
        <w:tab/>
        <w:t xml:space="preserve">With respect to reporting, CUPA has agreed to the following:  It will provide the Commission and the signatory </w:t>
      </w:r>
      <w:r w:rsidR="00C35E08">
        <w:rPr>
          <w:sz w:val="26"/>
          <w:szCs w:val="26"/>
        </w:rPr>
        <w:t>P</w:t>
      </w:r>
      <w:r w:rsidRPr="008E7712">
        <w:rPr>
          <w:sz w:val="26"/>
          <w:szCs w:val="26"/>
        </w:rPr>
        <w:t xml:space="preserve">arties with updates to its water and wastewater filing showing actual capital expenditures, plant additions and retirements monthly through December 31, 2022 (Petition, II.F.18).  In addition, it will provide the signatories (via email) copies of any boil water or do not consume advisory issued to customers as well </w:t>
      </w:r>
      <w:r w:rsidR="00C204D2">
        <w:rPr>
          <w:sz w:val="26"/>
          <w:szCs w:val="26"/>
        </w:rPr>
        <w:t xml:space="preserve">as </w:t>
      </w:r>
      <w:r w:rsidRPr="008E7712">
        <w:rPr>
          <w:sz w:val="26"/>
          <w:szCs w:val="26"/>
        </w:rPr>
        <w:t xml:space="preserve">any progress report submitted to the Pennsylvania Department of </w:t>
      </w:r>
      <w:r w:rsidRPr="008E7712">
        <w:rPr>
          <w:sz w:val="26"/>
          <w:szCs w:val="26"/>
        </w:rPr>
        <w:lastRenderedPageBreak/>
        <w:t>Environmental Protection (</w:t>
      </w:r>
      <w:r w:rsidR="00EA490E" w:rsidRPr="008E7712">
        <w:rPr>
          <w:sz w:val="26"/>
          <w:szCs w:val="26"/>
        </w:rPr>
        <w:t xml:space="preserve">PA </w:t>
      </w:r>
      <w:r w:rsidRPr="008E7712">
        <w:rPr>
          <w:sz w:val="26"/>
          <w:szCs w:val="26"/>
        </w:rPr>
        <w:t xml:space="preserve">DEP) concerning the October 22, </w:t>
      </w:r>
      <w:proofErr w:type="gramStart"/>
      <w:r w:rsidRPr="008E7712">
        <w:rPr>
          <w:sz w:val="26"/>
          <w:szCs w:val="26"/>
        </w:rPr>
        <w:t>2020</w:t>
      </w:r>
      <w:proofErr w:type="gramEnd"/>
      <w:r w:rsidRPr="008E7712">
        <w:rPr>
          <w:sz w:val="26"/>
          <w:szCs w:val="26"/>
        </w:rPr>
        <w:t xml:space="preserve"> Consent Order and Agreement related to the Penn Estates wastewater system </w:t>
      </w:r>
      <w:r w:rsidR="00EB4C48" w:rsidRPr="008E7712">
        <w:rPr>
          <w:sz w:val="26"/>
          <w:szCs w:val="26"/>
        </w:rPr>
        <w:t xml:space="preserve">Joint </w:t>
      </w:r>
      <w:r w:rsidRPr="008E7712">
        <w:rPr>
          <w:sz w:val="26"/>
          <w:szCs w:val="26"/>
        </w:rPr>
        <w:t>Petition</w:t>
      </w:r>
      <w:r w:rsidR="00EB4C48" w:rsidRPr="008E7712">
        <w:rPr>
          <w:sz w:val="26"/>
          <w:szCs w:val="26"/>
        </w:rPr>
        <w:t xml:space="preserve"> at </w:t>
      </w:r>
      <w:r w:rsidRPr="008E7712">
        <w:rPr>
          <w:sz w:val="26"/>
          <w:szCs w:val="26"/>
        </w:rPr>
        <w:t>II.F.19</w:t>
      </w:r>
      <w:r w:rsidR="00EB4C48" w:rsidRPr="008E7712">
        <w:rPr>
          <w:sz w:val="26"/>
          <w:szCs w:val="26"/>
        </w:rPr>
        <w:t>-</w:t>
      </w:r>
      <w:r w:rsidRPr="008E7712">
        <w:rPr>
          <w:sz w:val="26"/>
          <w:szCs w:val="26"/>
        </w:rPr>
        <w:t xml:space="preserve">20.  </w:t>
      </w:r>
    </w:p>
    <w:p w14:paraId="1830BCB9" w14:textId="77777777" w:rsidR="000F1DE9" w:rsidRPr="008E7712" w:rsidRDefault="000F1DE9" w:rsidP="00EB7CBC">
      <w:pPr>
        <w:pStyle w:val="NoSpacing"/>
        <w:spacing w:line="360" w:lineRule="auto"/>
        <w:rPr>
          <w:sz w:val="26"/>
          <w:szCs w:val="26"/>
        </w:rPr>
      </w:pPr>
    </w:p>
    <w:p w14:paraId="20C4D47C" w14:textId="086F2E98" w:rsidR="000F1DE9" w:rsidRPr="008E7712" w:rsidRDefault="000F1DE9" w:rsidP="00EB7CBC">
      <w:pPr>
        <w:pStyle w:val="NoSpacing"/>
        <w:spacing w:line="360" w:lineRule="auto"/>
        <w:rPr>
          <w:sz w:val="26"/>
          <w:szCs w:val="26"/>
        </w:rPr>
      </w:pPr>
      <w:r w:rsidRPr="008E7712">
        <w:rPr>
          <w:sz w:val="26"/>
          <w:szCs w:val="26"/>
        </w:rPr>
        <w:tab/>
      </w:r>
      <w:r w:rsidRPr="008E7712">
        <w:rPr>
          <w:sz w:val="26"/>
          <w:szCs w:val="26"/>
        </w:rPr>
        <w:tab/>
        <w:t>These particular provisions are reasonable and appropriate.  As noted by the OCA in its Statement in Support at 16, the updating of capital expenditures, plant additions and retirements is consistent with Section 315(e) of the Code, 66</w:t>
      </w:r>
      <w:r w:rsidR="002313A9" w:rsidRPr="008E7712">
        <w:rPr>
          <w:sz w:val="26"/>
          <w:szCs w:val="26"/>
        </w:rPr>
        <w:t> </w:t>
      </w:r>
      <w:r w:rsidRPr="008E7712">
        <w:rPr>
          <w:sz w:val="26"/>
          <w:szCs w:val="26"/>
        </w:rPr>
        <w:t>Pa.</w:t>
      </w:r>
      <w:r w:rsidR="002313A9" w:rsidRPr="008E7712">
        <w:rPr>
          <w:sz w:val="26"/>
          <w:szCs w:val="26"/>
        </w:rPr>
        <w:t> </w:t>
      </w:r>
      <w:r w:rsidRPr="008E7712">
        <w:rPr>
          <w:sz w:val="26"/>
          <w:szCs w:val="26"/>
        </w:rPr>
        <w:t>C.S. §</w:t>
      </w:r>
      <w:r w:rsidR="003E6E32">
        <w:rPr>
          <w:sz w:val="26"/>
          <w:szCs w:val="26"/>
        </w:rPr>
        <w:t> </w:t>
      </w:r>
      <w:r w:rsidRPr="008E7712">
        <w:rPr>
          <w:sz w:val="26"/>
          <w:szCs w:val="26"/>
        </w:rPr>
        <w:t>315(e), which states that a utility utilizing a future test year or a fully projected future test year shall provide “appropriate data evidencing the accuracy of the estimates contained in the future test year or a fully projected future test year</w:t>
      </w:r>
      <w:proofErr w:type="gramStart"/>
      <w:r w:rsidRPr="008E7712">
        <w:rPr>
          <w:sz w:val="26"/>
          <w:szCs w:val="26"/>
        </w:rPr>
        <w:t>. . . .</w:t>
      </w:r>
      <w:proofErr w:type="gramEnd"/>
      <w:r w:rsidRPr="008E7712">
        <w:rPr>
          <w:sz w:val="26"/>
          <w:szCs w:val="26"/>
        </w:rPr>
        <w:t>”</w:t>
      </w:r>
      <w:r w:rsidR="00AD2863" w:rsidRPr="008E7712">
        <w:rPr>
          <w:sz w:val="26"/>
          <w:szCs w:val="26"/>
        </w:rPr>
        <w:t xml:space="preserve"> </w:t>
      </w:r>
      <w:r w:rsidRPr="008E7712">
        <w:rPr>
          <w:sz w:val="26"/>
          <w:szCs w:val="26"/>
        </w:rPr>
        <w:t xml:space="preserve"> These updates will allow the Commission and the statutory parties to review CUPA’s on -going investments in the provision of service, as well as providing a basis to evaluate the accuracy of CUPA’s projections.</w:t>
      </w:r>
      <w:r w:rsidR="003919C4" w:rsidRPr="008E7712">
        <w:rPr>
          <w:sz w:val="26"/>
          <w:szCs w:val="26"/>
        </w:rPr>
        <w:t xml:space="preserve">  </w:t>
      </w:r>
      <w:r w:rsidRPr="008E7712">
        <w:rPr>
          <w:sz w:val="26"/>
          <w:szCs w:val="26"/>
        </w:rPr>
        <w:t>The other provisions will enable the statutory public interest parties to monitor CUPA’s communications with its customers regarding the provision of reasonably continuous service, as well as compliance with the P</w:t>
      </w:r>
      <w:r w:rsidR="00EA490E" w:rsidRPr="008E7712">
        <w:rPr>
          <w:sz w:val="26"/>
          <w:szCs w:val="26"/>
        </w:rPr>
        <w:t>A</w:t>
      </w:r>
      <w:r w:rsidRPr="008E7712">
        <w:rPr>
          <w:sz w:val="26"/>
          <w:szCs w:val="26"/>
        </w:rPr>
        <w:t xml:space="preserve"> DEP Consent Order and Agreement. </w:t>
      </w:r>
    </w:p>
    <w:p w14:paraId="060CF01B" w14:textId="77777777" w:rsidR="00AD2863" w:rsidRPr="008E7712" w:rsidRDefault="00AD2863" w:rsidP="00EB7CBC">
      <w:pPr>
        <w:pStyle w:val="NoSpacing"/>
        <w:spacing w:line="360" w:lineRule="auto"/>
        <w:rPr>
          <w:sz w:val="26"/>
          <w:szCs w:val="26"/>
        </w:rPr>
      </w:pPr>
    </w:p>
    <w:p w14:paraId="523F36B6" w14:textId="7A97A349" w:rsidR="000F1DE9" w:rsidRDefault="000F1DE9" w:rsidP="00EB7CBC">
      <w:pPr>
        <w:pStyle w:val="NoSpacing"/>
        <w:spacing w:line="360" w:lineRule="auto"/>
        <w:rPr>
          <w:sz w:val="26"/>
          <w:szCs w:val="26"/>
        </w:rPr>
      </w:pPr>
      <w:r w:rsidRPr="008E7712">
        <w:rPr>
          <w:sz w:val="26"/>
          <w:szCs w:val="26"/>
        </w:rPr>
        <w:tab/>
      </w:r>
      <w:r w:rsidR="003919C4" w:rsidRPr="008E7712">
        <w:rPr>
          <w:sz w:val="26"/>
          <w:szCs w:val="26"/>
        </w:rPr>
        <w:tab/>
      </w:r>
      <w:r w:rsidRPr="008E7712">
        <w:rPr>
          <w:sz w:val="26"/>
          <w:szCs w:val="26"/>
        </w:rPr>
        <w:t>The Settlement contains a number of other specific service-related provisions:  CUPA</w:t>
      </w:r>
      <w:r w:rsidR="00AD2863" w:rsidRPr="008E7712">
        <w:rPr>
          <w:sz w:val="26"/>
          <w:szCs w:val="26"/>
        </w:rPr>
        <w:t>-Water</w:t>
      </w:r>
      <w:r w:rsidRPr="008E7712">
        <w:rPr>
          <w:sz w:val="26"/>
          <w:szCs w:val="26"/>
        </w:rPr>
        <w:t xml:space="preserve"> agreed that in future base rate cases, it will provide more detailed information concerning Lost and Unaccounted For Water (LUFW) including an individual PUC Form 500 for each of its water systems as well as additional information concerning isolation valves and call center performance data</w:t>
      </w:r>
      <w:r w:rsidR="00C204D2">
        <w:rPr>
          <w:sz w:val="26"/>
          <w:szCs w:val="26"/>
        </w:rPr>
        <w:t xml:space="preserve">. </w:t>
      </w:r>
      <w:r w:rsidRPr="008E7712">
        <w:rPr>
          <w:sz w:val="26"/>
          <w:szCs w:val="26"/>
        </w:rPr>
        <w:t xml:space="preserve"> </w:t>
      </w:r>
      <w:r w:rsidR="00AD2863" w:rsidRPr="008E7712">
        <w:rPr>
          <w:sz w:val="26"/>
          <w:szCs w:val="26"/>
        </w:rPr>
        <w:t xml:space="preserve">Joint </w:t>
      </w:r>
      <w:r w:rsidRPr="008E7712">
        <w:rPr>
          <w:sz w:val="26"/>
          <w:szCs w:val="26"/>
        </w:rPr>
        <w:t>Petition</w:t>
      </w:r>
      <w:r w:rsidR="00AD2863" w:rsidRPr="008E7712">
        <w:rPr>
          <w:sz w:val="26"/>
          <w:szCs w:val="26"/>
        </w:rPr>
        <w:t xml:space="preserve"> at</w:t>
      </w:r>
      <w:r w:rsidRPr="008E7712">
        <w:rPr>
          <w:sz w:val="26"/>
          <w:szCs w:val="26"/>
        </w:rPr>
        <w:t xml:space="preserve"> II.G.21</w:t>
      </w:r>
      <w:r w:rsidR="00AD2863" w:rsidRPr="008E7712">
        <w:rPr>
          <w:sz w:val="26"/>
          <w:szCs w:val="26"/>
        </w:rPr>
        <w:t>-</w:t>
      </w:r>
      <w:r w:rsidRPr="008E7712">
        <w:rPr>
          <w:sz w:val="26"/>
          <w:szCs w:val="26"/>
        </w:rPr>
        <w:t>22 and</w:t>
      </w:r>
      <w:r w:rsidR="002313A9" w:rsidRPr="008E7712">
        <w:rPr>
          <w:sz w:val="26"/>
          <w:szCs w:val="26"/>
        </w:rPr>
        <w:t> </w:t>
      </w:r>
      <w:r w:rsidRPr="008E7712">
        <w:rPr>
          <w:sz w:val="26"/>
          <w:szCs w:val="26"/>
        </w:rPr>
        <w:t>26.  For the Tamiment water system, CUPA</w:t>
      </w:r>
      <w:r w:rsidR="00AD2863" w:rsidRPr="008E7712">
        <w:rPr>
          <w:sz w:val="26"/>
          <w:szCs w:val="26"/>
        </w:rPr>
        <w:t>-Water</w:t>
      </w:r>
      <w:r w:rsidRPr="008E7712">
        <w:rPr>
          <w:sz w:val="26"/>
          <w:szCs w:val="26"/>
        </w:rPr>
        <w:t xml:space="preserve"> agreed that it will provide advance notice to customers regarding planned maintenance that may discolor water</w:t>
      </w:r>
      <w:r w:rsidR="00C204D2">
        <w:rPr>
          <w:sz w:val="26"/>
          <w:szCs w:val="26"/>
        </w:rPr>
        <w:t xml:space="preserve">. </w:t>
      </w:r>
      <w:r w:rsidRPr="008E7712">
        <w:rPr>
          <w:sz w:val="26"/>
          <w:szCs w:val="26"/>
        </w:rPr>
        <w:t xml:space="preserve"> </w:t>
      </w:r>
      <w:r w:rsidR="00AD2863" w:rsidRPr="008E7712">
        <w:rPr>
          <w:sz w:val="26"/>
          <w:szCs w:val="26"/>
        </w:rPr>
        <w:t xml:space="preserve">Joint </w:t>
      </w:r>
      <w:r w:rsidRPr="008E7712">
        <w:rPr>
          <w:sz w:val="26"/>
          <w:szCs w:val="26"/>
        </w:rPr>
        <w:t>Petition</w:t>
      </w:r>
      <w:r w:rsidR="00AD2863" w:rsidRPr="008E7712">
        <w:rPr>
          <w:sz w:val="26"/>
          <w:szCs w:val="26"/>
        </w:rPr>
        <w:t xml:space="preserve"> at</w:t>
      </w:r>
      <w:r w:rsidRPr="008E7712">
        <w:rPr>
          <w:sz w:val="26"/>
          <w:szCs w:val="26"/>
        </w:rPr>
        <w:t xml:space="preserve"> II.G.23</w:t>
      </w:r>
      <w:r w:rsidR="00EE1220" w:rsidRPr="008E7712">
        <w:rPr>
          <w:sz w:val="26"/>
          <w:szCs w:val="26"/>
        </w:rPr>
        <w:t xml:space="preserve">.  </w:t>
      </w:r>
      <w:r w:rsidRPr="008E7712">
        <w:rPr>
          <w:sz w:val="26"/>
          <w:szCs w:val="26"/>
        </w:rPr>
        <w:t>For the Penn Estates water system, CUPA</w:t>
      </w:r>
      <w:r w:rsidR="00AD2863" w:rsidRPr="008E7712">
        <w:rPr>
          <w:sz w:val="26"/>
          <w:szCs w:val="26"/>
        </w:rPr>
        <w:t>-Water</w:t>
      </w:r>
      <w:r w:rsidRPr="008E7712">
        <w:rPr>
          <w:sz w:val="26"/>
          <w:szCs w:val="26"/>
        </w:rPr>
        <w:t xml:space="preserve"> agreed to conduct a study concerning the pressure and supply issues and to report on that in its next base rate filing</w:t>
      </w:r>
      <w:r w:rsidR="00C204D2">
        <w:rPr>
          <w:sz w:val="26"/>
          <w:szCs w:val="26"/>
        </w:rPr>
        <w:t xml:space="preserve">. </w:t>
      </w:r>
      <w:r w:rsidRPr="008E7712">
        <w:rPr>
          <w:sz w:val="26"/>
          <w:szCs w:val="26"/>
        </w:rPr>
        <w:t xml:space="preserve"> </w:t>
      </w:r>
      <w:r w:rsidR="00AD2863" w:rsidRPr="008E7712">
        <w:rPr>
          <w:sz w:val="26"/>
          <w:szCs w:val="26"/>
        </w:rPr>
        <w:t xml:space="preserve">Joint </w:t>
      </w:r>
      <w:r w:rsidRPr="008E7712">
        <w:rPr>
          <w:sz w:val="26"/>
          <w:szCs w:val="26"/>
        </w:rPr>
        <w:t>Petition</w:t>
      </w:r>
      <w:r w:rsidR="00AD2863" w:rsidRPr="008E7712">
        <w:rPr>
          <w:sz w:val="26"/>
          <w:szCs w:val="26"/>
        </w:rPr>
        <w:t xml:space="preserve"> at</w:t>
      </w:r>
      <w:r w:rsidRPr="008E7712">
        <w:rPr>
          <w:sz w:val="26"/>
          <w:szCs w:val="26"/>
        </w:rPr>
        <w:t xml:space="preserve"> II.G.24.  In addition, CUPA</w:t>
      </w:r>
      <w:r w:rsidR="00AD2863" w:rsidRPr="008E7712">
        <w:rPr>
          <w:sz w:val="26"/>
          <w:szCs w:val="26"/>
        </w:rPr>
        <w:t>-Wastewater</w:t>
      </w:r>
      <w:r w:rsidRPr="008E7712">
        <w:rPr>
          <w:sz w:val="26"/>
          <w:szCs w:val="26"/>
        </w:rPr>
        <w:t xml:space="preserve"> agreed to provide information annually to wastewater customers concerning the operation of grinder pumps</w:t>
      </w:r>
      <w:r w:rsidR="00C204D2">
        <w:rPr>
          <w:sz w:val="26"/>
          <w:szCs w:val="26"/>
        </w:rPr>
        <w:t xml:space="preserve">. </w:t>
      </w:r>
      <w:r w:rsidRPr="008E7712">
        <w:rPr>
          <w:sz w:val="26"/>
          <w:szCs w:val="26"/>
        </w:rPr>
        <w:t xml:space="preserve"> </w:t>
      </w:r>
      <w:r w:rsidR="00AD2863" w:rsidRPr="008E7712">
        <w:rPr>
          <w:sz w:val="26"/>
          <w:szCs w:val="26"/>
        </w:rPr>
        <w:t xml:space="preserve">Joint </w:t>
      </w:r>
      <w:r w:rsidRPr="008E7712">
        <w:rPr>
          <w:sz w:val="26"/>
          <w:szCs w:val="26"/>
        </w:rPr>
        <w:t>Petition</w:t>
      </w:r>
      <w:r w:rsidR="00AD2863" w:rsidRPr="008E7712">
        <w:rPr>
          <w:sz w:val="26"/>
          <w:szCs w:val="26"/>
        </w:rPr>
        <w:t xml:space="preserve"> at</w:t>
      </w:r>
      <w:r w:rsidRPr="008E7712">
        <w:rPr>
          <w:sz w:val="26"/>
          <w:szCs w:val="26"/>
        </w:rPr>
        <w:t xml:space="preserve"> II.G.25. </w:t>
      </w:r>
    </w:p>
    <w:p w14:paraId="0CD852AB" w14:textId="77777777" w:rsidR="003E6E32" w:rsidRPr="008E7712" w:rsidRDefault="003E6E32" w:rsidP="00EB7CBC">
      <w:pPr>
        <w:pStyle w:val="NoSpacing"/>
        <w:spacing w:line="360" w:lineRule="auto"/>
        <w:rPr>
          <w:sz w:val="26"/>
          <w:szCs w:val="26"/>
        </w:rPr>
      </w:pPr>
    </w:p>
    <w:p w14:paraId="77B59C77" w14:textId="24939E04" w:rsidR="000F1DE9" w:rsidRPr="008E7712" w:rsidRDefault="003919C4" w:rsidP="00EB7CBC">
      <w:pPr>
        <w:pStyle w:val="NoSpacing"/>
        <w:spacing w:line="360" w:lineRule="auto"/>
        <w:rPr>
          <w:sz w:val="26"/>
          <w:szCs w:val="26"/>
        </w:rPr>
      </w:pPr>
      <w:r w:rsidRPr="008E7712">
        <w:rPr>
          <w:sz w:val="26"/>
          <w:szCs w:val="26"/>
        </w:rPr>
        <w:lastRenderedPageBreak/>
        <w:tab/>
      </w:r>
      <w:r w:rsidRPr="008E7712">
        <w:rPr>
          <w:sz w:val="26"/>
          <w:szCs w:val="26"/>
        </w:rPr>
        <w:tab/>
      </w:r>
      <w:r w:rsidR="005C356A">
        <w:rPr>
          <w:sz w:val="26"/>
          <w:szCs w:val="26"/>
        </w:rPr>
        <w:t>The</w:t>
      </w:r>
      <w:r w:rsidR="000F1DE9" w:rsidRPr="008E7712">
        <w:rPr>
          <w:sz w:val="26"/>
          <w:szCs w:val="26"/>
        </w:rPr>
        <w:t xml:space="preserve"> </w:t>
      </w:r>
      <w:r w:rsidR="000F1DE9" w:rsidRPr="00BB18BC">
        <w:rPr>
          <w:i/>
          <w:sz w:val="26"/>
        </w:rPr>
        <w:t>November Order</w:t>
      </w:r>
      <w:r w:rsidR="000F1DE9" w:rsidRPr="008E7712">
        <w:rPr>
          <w:sz w:val="26"/>
          <w:szCs w:val="26"/>
        </w:rPr>
        <w:t xml:space="preserve"> at 31</w:t>
      </w:r>
      <w:r w:rsidR="005C356A">
        <w:rPr>
          <w:sz w:val="26"/>
          <w:szCs w:val="26"/>
        </w:rPr>
        <w:t xml:space="preserve"> provides</w:t>
      </w:r>
      <w:r w:rsidR="000F1DE9" w:rsidRPr="008E7712">
        <w:rPr>
          <w:sz w:val="26"/>
          <w:szCs w:val="26"/>
        </w:rPr>
        <w:t xml:space="preserve"> that, “</w:t>
      </w:r>
      <w:r w:rsidR="00686C69" w:rsidRPr="008E7712">
        <w:rPr>
          <w:sz w:val="26"/>
          <w:szCs w:val="26"/>
        </w:rPr>
        <w:t>[w]</w:t>
      </w:r>
      <w:proofErr w:type="spellStart"/>
      <w:r w:rsidR="000F1DE9" w:rsidRPr="008E7712">
        <w:rPr>
          <w:sz w:val="26"/>
          <w:szCs w:val="26"/>
        </w:rPr>
        <w:t>ith</w:t>
      </w:r>
      <w:proofErr w:type="spellEnd"/>
      <w:r w:rsidR="000F1DE9" w:rsidRPr="008E7712">
        <w:rPr>
          <w:sz w:val="26"/>
          <w:szCs w:val="26"/>
        </w:rPr>
        <w:t xml:space="preserve"> respect to quality of service, this is another factor that argues against approval of this settlement. . . While the parties have agreed to laudable future system improvements to address these ongoing deficiencies, these prospective improvements do not outweigh the unacceptable level of the agreed upon rates.  Indeed, one might argue that the improvements now promised should have already been substantially accomplished in the wake of the double-digit percentage 2019 rate increases.”  </w:t>
      </w:r>
    </w:p>
    <w:p w14:paraId="0D40694F" w14:textId="77777777" w:rsidR="000F1DE9" w:rsidRPr="008E7712" w:rsidRDefault="000F1DE9" w:rsidP="00EB7CBC">
      <w:pPr>
        <w:pStyle w:val="NoSpacing"/>
        <w:spacing w:line="360" w:lineRule="auto"/>
        <w:rPr>
          <w:sz w:val="26"/>
          <w:szCs w:val="26"/>
        </w:rPr>
      </w:pPr>
    </w:p>
    <w:p w14:paraId="7B14BAB6" w14:textId="02D0ACFA" w:rsidR="000F1DE9" w:rsidRPr="008E7712" w:rsidRDefault="003919C4" w:rsidP="00EB7CBC">
      <w:pPr>
        <w:pStyle w:val="NoSpacing"/>
        <w:spacing w:line="360" w:lineRule="auto"/>
        <w:rPr>
          <w:sz w:val="26"/>
          <w:szCs w:val="26"/>
        </w:rPr>
      </w:pPr>
      <w:r w:rsidRPr="008E7712">
        <w:rPr>
          <w:sz w:val="26"/>
          <w:szCs w:val="26"/>
        </w:rPr>
        <w:tab/>
      </w:r>
      <w:r w:rsidRPr="008E7712">
        <w:rPr>
          <w:sz w:val="26"/>
          <w:szCs w:val="26"/>
        </w:rPr>
        <w:tab/>
      </w:r>
      <w:r w:rsidR="005C356A">
        <w:rPr>
          <w:sz w:val="26"/>
          <w:szCs w:val="26"/>
        </w:rPr>
        <w:t>The</w:t>
      </w:r>
      <w:r w:rsidR="000F1DE9" w:rsidRPr="008E7712">
        <w:rPr>
          <w:sz w:val="26"/>
          <w:szCs w:val="26"/>
        </w:rPr>
        <w:t xml:space="preserve"> conclusion that the Joint Petition should be rejected</w:t>
      </w:r>
      <w:r w:rsidR="005C356A">
        <w:rPr>
          <w:sz w:val="26"/>
          <w:szCs w:val="26"/>
        </w:rPr>
        <w:t xml:space="preserve"> was based</w:t>
      </w:r>
      <w:r w:rsidR="00041DB6">
        <w:rPr>
          <w:sz w:val="26"/>
          <w:szCs w:val="26"/>
        </w:rPr>
        <w:t>,</w:t>
      </w:r>
      <w:r w:rsidR="000F1DE9" w:rsidRPr="008E7712">
        <w:rPr>
          <w:sz w:val="26"/>
          <w:szCs w:val="26"/>
        </w:rPr>
        <w:t xml:space="preserve"> in part</w:t>
      </w:r>
      <w:r w:rsidR="00041DB6">
        <w:rPr>
          <w:sz w:val="26"/>
          <w:szCs w:val="26"/>
        </w:rPr>
        <w:t>,</w:t>
      </w:r>
      <w:r w:rsidR="000F1DE9" w:rsidRPr="008E7712">
        <w:rPr>
          <w:sz w:val="26"/>
          <w:szCs w:val="26"/>
        </w:rPr>
        <w:t xml:space="preserve"> because CUPA has not provided “that quality of utility service that would warrant further increases” by citing the testimony presented by several elected representatives and a number of customers at the June 29, 2021, public input hearing.  This conclusion, however, must be rejected as it does not reflect the record as a whole.</w:t>
      </w:r>
      <w:r w:rsidRPr="008E7712">
        <w:rPr>
          <w:sz w:val="26"/>
          <w:szCs w:val="26"/>
        </w:rPr>
        <w:t xml:space="preserve">  </w:t>
      </w:r>
      <w:r w:rsidR="000F1DE9" w:rsidRPr="008E7712">
        <w:rPr>
          <w:sz w:val="26"/>
          <w:szCs w:val="26"/>
        </w:rPr>
        <w:t xml:space="preserve">While that testimony was compelling, it must be considered in conjunction with the responsive rebuttal testimony submitted by CUPA that addressed each of the quality-of-service concerns by providing testimony concerning its service record, steps taken to resolve service issues and ongoing work to upgrade service, as described in detail in the Stipulations of Fact agreed to by all the Joint Petitioners.  </w:t>
      </w:r>
      <w:r w:rsidR="007D1EBE" w:rsidRPr="008E7712">
        <w:rPr>
          <w:sz w:val="26"/>
          <w:szCs w:val="26"/>
        </w:rPr>
        <w:t>Joint</w:t>
      </w:r>
      <w:r w:rsidR="004C3E0C" w:rsidRPr="008E7712">
        <w:rPr>
          <w:sz w:val="26"/>
          <w:szCs w:val="26"/>
        </w:rPr>
        <w:t xml:space="preserve"> </w:t>
      </w:r>
      <w:r w:rsidR="000F1DE9" w:rsidRPr="008E7712">
        <w:rPr>
          <w:sz w:val="26"/>
          <w:szCs w:val="26"/>
        </w:rPr>
        <w:t>Petition</w:t>
      </w:r>
      <w:r w:rsidR="007D1EBE" w:rsidRPr="008E7712">
        <w:rPr>
          <w:sz w:val="26"/>
          <w:szCs w:val="26"/>
        </w:rPr>
        <w:t xml:space="preserve"> at</w:t>
      </w:r>
      <w:r w:rsidR="000F1DE9" w:rsidRPr="008E7712">
        <w:rPr>
          <w:sz w:val="26"/>
          <w:szCs w:val="26"/>
        </w:rPr>
        <w:t xml:space="preserve"> III, ¶¶ 47-55, as well as the testimony and exhibits supporting each stipulated fact.  </w:t>
      </w:r>
    </w:p>
    <w:p w14:paraId="654BCF1A" w14:textId="742209B8" w:rsidR="000F1DE9" w:rsidRPr="008E7712" w:rsidRDefault="000F1DE9" w:rsidP="00EB7CBC">
      <w:pPr>
        <w:pStyle w:val="NoSpacing"/>
        <w:spacing w:line="360" w:lineRule="auto"/>
        <w:rPr>
          <w:sz w:val="26"/>
          <w:szCs w:val="26"/>
        </w:rPr>
      </w:pPr>
    </w:p>
    <w:p w14:paraId="2855035F" w14:textId="76C1B20C" w:rsidR="000F1DE9" w:rsidRPr="008E7712" w:rsidRDefault="000F1DE9" w:rsidP="00EB7CBC">
      <w:pPr>
        <w:pStyle w:val="NoSpacing"/>
        <w:spacing w:line="360" w:lineRule="auto"/>
        <w:rPr>
          <w:sz w:val="26"/>
          <w:szCs w:val="26"/>
        </w:rPr>
      </w:pPr>
      <w:r w:rsidRPr="008E7712">
        <w:rPr>
          <w:sz w:val="26"/>
          <w:szCs w:val="26"/>
        </w:rPr>
        <w:tab/>
      </w:r>
      <w:r w:rsidR="003919C4" w:rsidRPr="008E7712">
        <w:rPr>
          <w:sz w:val="26"/>
          <w:szCs w:val="26"/>
        </w:rPr>
        <w:tab/>
      </w:r>
      <w:r w:rsidRPr="008E7712">
        <w:rPr>
          <w:sz w:val="26"/>
          <w:szCs w:val="26"/>
        </w:rPr>
        <w:t xml:space="preserve">Indeed, while </w:t>
      </w:r>
      <w:r w:rsidR="00384BE7">
        <w:rPr>
          <w:sz w:val="26"/>
          <w:szCs w:val="26"/>
        </w:rPr>
        <w:t>f</w:t>
      </w:r>
      <w:r w:rsidR="00F67322" w:rsidRPr="008E7712">
        <w:rPr>
          <w:sz w:val="26"/>
          <w:szCs w:val="26"/>
        </w:rPr>
        <w:t xml:space="preserve">ootnote 8 of </w:t>
      </w:r>
      <w:r w:rsidRPr="008E7712">
        <w:rPr>
          <w:sz w:val="26"/>
          <w:szCs w:val="26"/>
        </w:rPr>
        <w:t xml:space="preserve">the </w:t>
      </w:r>
      <w:r w:rsidRPr="00BB18BC">
        <w:rPr>
          <w:i/>
          <w:sz w:val="26"/>
        </w:rPr>
        <w:t>November Order</w:t>
      </w:r>
      <w:r w:rsidR="00F67322" w:rsidRPr="008E7712">
        <w:rPr>
          <w:sz w:val="26"/>
          <w:szCs w:val="26"/>
        </w:rPr>
        <w:t xml:space="preserve"> </w:t>
      </w:r>
      <w:r w:rsidRPr="008E7712">
        <w:rPr>
          <w:sz w:val="26"/>
          <w:szCs w:val="26"/>
        </w:rPr>
        <w:t xml:space="preserve">highlighted the recommendation put forth by I&amp;E that CUPA receive a zero return on equity based on the expressed customer concerns, it failed to recognize that I&amp;E withdrew this in surrebuttal testimony based on the extensive CUPA rebuttal testimony on service issues and actively joined in the </w:t>
      </w:r>
      <w:r w:rsidR="00054C1B" w:rsidRPr="008E7712">
        <w:rPr>
          <w:sz w:val="26"/>
          <w:szCs w:val="26"/>
        </w:rPr>
        <w:t>S</w:t>
      </w:r>
      <w:r w:rsidRPr="008E7712">
        <w:rPr>
          <w:sz w:val="26"/>
          <w:szCs w:val="26"/>
        </w:rPr>
        <w:t xml:space="preserve">ettlement.  As stated in Stipulated Fact </w:t>
      </w:r>
      <w:r w:rsidR="00640BCA" w:rsidRPr="008E7712">
        <w:rPr>
          <w:sz w:val="26"/>
          <w:szCs w:val="26"/>
        </w:rPr>
        <w:t>53</w:t>
      </w:r>
      <w:r w:rsidR="00041DB6">
        <w:rPr>
          <w:sz w:val="26"/>
          <w:szCs w:val="26"/>
        </w:rPr>
        <w:t>,</w:t>
      </w:r>
      <w:r w:rsidR="00D82EAD" w:rsidRPr="008E7712">
        <w:rPr>
          <w:rStyle w:val="FootnoteReference"/>
          <w:sz w:val="26"/>
          <w:szCs w:val="26"/>
        </w:rPr>
        <w:footnoteReference w:id="23"/>
      </w:r>
      <w:r w:rsidRPr="008E7712">
        <w:rPr>
          <w:sz w:val="26"/>
          <w:szCs w:val="26"/>
        </w:rPr>
        <w:t xml:space="preserve"> “After reviewing CUPA’s rebuttal testimony, in its surrebuttal testimony, I&amp;E withdrew its zero percent </w:t>
      </w:r>
      <w:r w:rsidRPr="008E7712">
        <w:rPr>
          <w:sz w:val="26"/>
          <w:szCs w:val="26"/>
        </w:rPr>
        <w:lastRenderedPageBreak/>
        <w:t xml:space="preserve">rate of return recommendation, acknowledged that CUPA had addressed or offered explanatory or contextual evidence in response to the issues raised at the public input hearing, and recommended the company complete additional reporting.”  </w:t>
      </w:r>
      <w:r w:rsidR="00002B68">
        <w:rPr>
          <w:sz w:val="26"/>
          <w:szCs w:val="26"/>
        </w:rPr>
        <w:t>Joint Petition at</w:t>
      </w:r>
      <w:r w:rsidR="00A76A09">
        <w:rPr>
          <w:sz w:val="26"/>
          <w:szCs w:val="26"/>
        </w:rPr>
        <w:t> </w:t>
      </w:r>
      <w:r w:rsidR="007C4D68">
        <w:rPr>
          <w:sz w:val="26"/>
          <w:szCs w:val="26"/>
        </w:rPr>
        <w:t xml:space="preserve">27-28; </w:t>
      </w:r>
      <w:r w:rsidR="007C4D68" w:rsidRPr="008E7712">
        <w:rPr>
          <w:sz w:val="26"/>
          <w:szCs w:val="26"/>
        </w:rPr>
        <w:t>Joint Petition at ¶ 55</w:t>
      </w:r>
      <w:r w:rsidR="007C4D68">
        <w:rPr>
          <w:sz w:val="26"/>
          <w:szCs w:val="26"/>
        </w:rPr>
        <w:t>.</w:t>
      </w:r>
    </w:p>
    <w:p w14:paraId="606F0EB4" w14:textId="77777777" w:rsidR="000F1DE9" w:rsidRPr="008E7712" w:rsidRDefault="000F1DE9" w:rsidP="00EB7CBC">
      <w:pPr>
        <w:pStyle w:val="NoSpacing"/>
        <w:spacing w:line="360" w:lineRule="auto"/>
        <w:rPr>
          <w:sz w:val="26"/>
          <w:szCs w:val="26"/>
        </w:rPr>
      </w:pPr>
    </w:p>
    <w:p w14:paraId="1F93FC44" w14:textId="0C69A232" w:rsidR="000F1DE9" w:rsidRPr="008E7712" w:rsidRDefault="000F1DE9" w:rsidP="00EB7CBC">
      <w:pPr>
        <w:pStyle w:val="NoSpacing"/>
        <w:spacing w:line="360" w:lineRule="auto"/>
        <w:rPr>
          <w:sz w:val="26"/>
          <w:szCs w:val="26"/>
        </w:rPr>
      </w:pPr>
      <w:r w:rsidRPr="008E7712">
        <w:rPr>
          <w:sz w:val="26"/>
          <w:szCs w:val="26"/>
        </w:rPr>
        <w:tab/>
      </w:r>
      <w:r w:rsidR="003919C4" w:rsidRPr="008E7712">
        <w:rPr>
          <w:sz w:val="26"/>
          <w:szCs w:val="26"/>
        </w:rPr>
        <w:tab/>
      </w:r>
      <w:r w:rsidRPr="008E7712">
        <w:rPr>
          <w:sz w:val="26"/>
          <w:szCs w:val="26"/>
        </w:rPr>
        <w:t xml:space="preserve">Similarly, the </w:t>
      </w:r>
      <w:r w:rsidRPr="00BB18BC">
        <w:rPr>
          <w:i/>
          <w:sz w:val="26"/>
        </w:rPr>
        <w:t>November Order</w:t>
      </w:r>
      <w:r w:rsidRPr="008E7712">
        <w:rPr>
          <w:sz w:val="26"/>
          <w:szCs w:val="26"/>
        </w:rPr>
        <w:t xml:space="preserve"> at 34-35</w:t>
      </w:r>
      <w:r w:rsidR="00B726EB">
        <w:rPr>
          <w:sz w:val="26"/>
          <w:szCs w:val="26"/>
        </w:rPr>
        <w:t xml:space="preserve"> provided</w:t>
      </w:r>
      <w:r w:rsidRPr="008E7712">
        <w:rPr>
          <w:sz w:val="26"/>
          <w:szCs w:val="26"/>
        </w:rPr>
        <w:t xml:space="preserve"> that the </w:t>
      </w:r>
      <w:r w:rsidR="00054C1B" w:rsidRPr="008E7712">
        <w:rPr>
          <w:sz w:val="26"/>
          <w:szCs w:val="26"/>
        </w:rPr>
        <w:t>P</w:t>
      </w:r>
      <w:r w:rsidRPr="008E7712">
        <w:rPr>
          <w:sz w:val="26"/>
          <w:szCs w:val="26"/>
        </w:rPr>
        <w:t xml:space="preserve">arties failed to respond adequately in the </w:t>
      </w:r>
      <w:r w:rsidR="00054C1B" w:rsidRPr="008E7712">
        <w:rPr>
          <w:sz w:val="26"/>
          <w:szCs w:val="26"/>
        </w:rPr>
        <w:t>S</w:t>
      </w:r>
      <w:r w:rsidRPr="008E7712">
        <w:rPr>
          <w:sz w:val="26"/>
          <w:szCs w:val="26"/>
        </w:rPr>
        <w:t xml:space="preserve">ettlement to a complaint about grinder pumps, stating the issue is not a lack of information but that the customer testimony was that “CUPA’s system is backing up into [customer owned] grinder pumps and is destroying them.”  There is no evidence to support this conclusion.  In fact, as described in Stipulated Fact 50, CUPA investigated this allegation in 2020 and determined that issues with the grinder pumps (which are customer owned equipment) were not the result of CUPA’s “system or the failure thereof.” </w:t>
      </w:r>
    </w:p>
    <w:p w14:paraId="0B416D43" w14:textId="77777777" w:rsidR="000F1DE9" w:rsidRPr="008E7712" w:rsidRDefault="000F1DE9" w:rsidP="00EB7CBC">
      <w:pPr>
        <w:pStyle w:val="NoSpacing"/>
        <w:spacing w:line="360" w:lineRule="auto"/>
        <w:rPr>
          <w:sz w:val="26"/>
          <w:szCs w:val="26"/>
        </w:rPr>
      </w:pPr>
    </w:p>
    <w:p w14:paraId="68094B6D" w14:textId="25E124E4" w:rsidR="000F1DE9" w:rsidRPr="008E7712" w:rsidRDefault="000F1DE9" w:rsidP="00EB7CBC">
      <w:pPr>
        <w:pStyle w:val="NoSpacing"/>
        <w:spacing w:line="360" w:lineRule="auto"/>
        <w:rPr>
          <w:sz w:val="26"/>
          <w:szCs w:val="26"/>
        </w:rPr>
      </w:pPr>
      <w:r w:rsidRPr="008E7712">
        <w:rPr>
          <w:sz w:val="26"/>
          <w:szCs w:val="26"/>
        </w:rPr>
        <w:tab/>
      </w:r>
      <w:r w:rsidR="003919C4" w:rsidRPr="008E7712">
        <w:rPr>
          <w:sz w:val="26"/>
          <w:szCs w:val="26"/>
        </w:rPr>
        <w:tab/>
      </w:r>
      <w:r w:rsidRPr="008E7712">
        <w:rPr>
          <w:sz w:val="26"/>
          <w:szCs w:val="26"/>
        </w:rPr>
        <w:t xml:space="preserve">As discussed in detail by each of the Joint Petitioners in their respective Briefs to the </w:t>
      </w:r>
      <w:r w:rsidRPr="00BB18BC">
        <w:rPr>
          <w:i/>
          <w:sz w:val="26"/>
        </w:rPr>
        <w:t>November Order</w:t>
      </w:r>
      <w:r w:rsidRPr="008E7712">
        <w:rPr>
          <w:sz w:val="26"/>
          <w:szCs w:val="26"/>
        </w:rPr>
        <w:t>, the record contains ample evidence to support findings that the current service rendered by CUPA</w:t>
      </w:r>
      <w:r w:rsidR="00C258D1" w:rsidRPr="008E7712">
        <w:rPr>
          <w:sz w:val="26"/>
          <w:szCs w:val="26"/>
        </w:rPr>
        <w:t>-Wastewater</w:t>
      </w:r>
      <w:r w:rsidRPr="008E7712">
        <w:rPr>
          <w:sz w:val="26"/>
          <w:szCs w:val="26"/>
        </w:rPr>
        <w:t xml:space="preserve"> is adequate, efficient</w:t>
      </w:r>
      <w:r w:rsidR="00B83E92">
        <w:rPr>
          <w:sz w:val="26"/>
          <w:szCs w:val="26"/>
        </w:rPr>
        <w:t>,</w:t>
      </w:r>
      <w:r w:rsidRPr="008E7712">
        <w:rPr>
          <w:sz w:val="26"/>
          <w:szCs w:val="26"/>
        </w:rPr>
        <w:t xml:space="preserve"> safe and reasonable as required by the Section 1501 of the Code, 66 Pa.</w:t>
      </w:r>
      <w:r w:rsidR="003E0EFD" w:rsidRPr="008E7712">
        <w:rPr>
          <w:sz w:val="26"/>
          <w:szCs w:val="26"/>
        </w:rPr>
        <w:t xml:space="preserve"> </w:t>
      </w:r>
      <w:r w:rsidRPr="008E7712">
        <w:rPr>
          <w:sz w:val="26"/>
          <w:szCs w:val="26"/>
        </w:rPr>
        <w:t>C.S. §</w:t>
      </w:r>
      <w:r w:rsidR="003E0EFD" w:rsidRPr="008E7712">
        <w:rPr>
          <w:sz w:val="26"/>
          <w:szCs w:val="26"/>
        </w:rPr>
        <w:t> </w:t>
      </w:r>
      <w:r w:rsidRPr="008E7712">
        <w:rPr>
          <w:sz w:val="26"/>
          <w:szCs w:val="26"/>
        </w:rPr>
        <w:t>1501.</w:t>
      </w:r>
      <w:r w:rsidRPr="008E7712">
        <w:rPr>
          <w:rStyle w:val="FootnoteReference"/>
          <w:sz w:val="26"/>
          <w:szCs w:val="26"/>
        </w:rPr>
        <w:footnoteReference w:id="24"/>
      </w:r>
      <w:r w:rsidRPr="008E7712">
        <w:rPr>
          <w:sz w:val="26"/>
          <w:szCs w:val="26"/>
        </w:rPr>
        <w:t xml:space="preserve">  It should be noted that no service mandates were imposed in CUPA</w:t>
      </w:r>
      <w:r w:rsidR="00C258D1" w:rsidRPr="008E7712">
        <w:rPr>
          <w:sz w:val="26"/>
          <w:szCs w:val="26"/>
        </w:rPr>
        <w:t>-Wastewater</w:t>
      </w:r>
      <w:r w:rsidRPr="008E7712">
        <w:rPr>
          <w:sz w:val="26"/>
          <w:szCs w:val="26"/>
        </w:rPr>
        <w:t>’s last general rate proceeding, nor was there any evidence that the services provided by CUPA</w:t>
      </w:r>
      <w:r w:rsidR="00C258D1" w:rsidRPr="008E7712">
        <w:rPr>
          <w:sz w:val="26"/>
          <w:szCs w:val="26"/>
        </w:rPr>
        <w:t>-Wastewater</w:t>
      </w:r>
      <w:r w:rsidRPr="008E7712">
        <w:rPr>
          <w:sz w:val="26"/>
          <w:szCs w:val="26"/>
        </w:rPr>
        <w:t xml:space="preserve"> are in violation of any Commission order or regulation. The commitments undertaken by CUPA</w:t>
      </w:r>
      <w:r w:rsidR="00C258D1" w:rsidRPr="008E7712">
        <w:rPr>
          <w:sz w:val="26"/>
          <w:szCs w:val="26"/>
        </w:rPr>
        <w:t>-Wastewater</w:t>
      </w:r>
      <w:r w:rsidRPr="008E7712">
        <w:rPr>
          <w:sz w:val="26"/>
          <w:szCs w:val="26"/>
        </w:rPr>
        <w:t xml:space="preserve"> will ensure that service quality continues to improve by requiring the submission of information to enable the Commission and the statutory parties to monitor and evaluate the service provided. </w:t>
      </w:r>
    </w:p>
    <w:p w14:paraId="479F7541" w14:textId="77777777" w:rsidR="000F1DE9" w:rsidRPr="008E7712" w:rsidRDefault="000F1DE9" w:rsidP="00EB7CBC">
      <w:pPr>
        <w:pStyle w:val="NoSpacing"/>
        <w:spacing w:line="360" w:lineRule="auto"/>
        <w:rPr>
          <w:sz w:val="26"/>
          <w:szCs w:val="26"/>
        </w:rPr>
      </w:pPr>
    </w:p>
    <w:p w14:paraId="4B622497" w14:textId="2A7105EB" w:rsidR="000F1DE9" w:rsidRPr="008E7712" w:rsidRDefault="000F1DE9" w:rsidP="00EB7CBC">
      <w:pPr>
        <w:pStyle w:val="NoSpacing"/>
        <w:spacing w:line="360" w:lineRule="auto"/>
        <w:rPr>
          <w:sz w:val="26"/>
          <w:szCs w:val="26"/>
        </w:rPr>
      </w:pPr>
      <w:r w:rsidRPr="008E7712">
        <w:rPr>
          <w:sz w:val="26"/>
          <w:szCs w:val="26"/>
        </w:rPr>
        <w:lastRenderedPageBreak/>
        <w:tab/>
      </w:r>
      <w:r w:rsidR="003919C4" w:rsidRPr="008E7712">
        <w:rPr>
          <w:sz w:val="26"/>
          <w:szCs w:val="26"/>
        </w:rPr>
        <w:tab/>
      </w:r>
      <w:r w:rsidRPr="008E7712">
        <w:rPr>
          <w:sz w:val="26"/>
          <w:szCs w:val="26"/>
        </w:rPr>
        <w:t xml:space="preserve">While the </w:t>
      </w:r>
      <w:r w:rsidRPr="00BB18BC">
        <w:rPr>
          <w:i/>
          <w:sz w:val="26"/>
        </w:rPr>
        <w:t>November Order</w:t>
      </w:r>
      <w:r w:rsidRPr="008E7712">
        <w:rPr>
          <w:sz w:val="26"/>
          <w:szCs w:val="26"/>
        </w:rPr>
        <w:t xml:space="preserve"> characterizes the specific service commitments agreed to by CUPA as “laudatory,” it does not appear that these commitments were given any weight when evaluating the </w:t>
      </w:r>
      <w:r w:rsidR="00486EC8" w:rsidRPr="008E7712">
        <w:rPr>
          <w:sz w:val="26"/>
          <w:szCs w:val="26"/>
        </w:rPr>
        <w:t>S</w:t>
      </w:r>
      <w:r w:rsidRPr="008E7712">
        <w:rPr>
          <w:sz w:val="26"/>
          <w:szCs w:val="26"/>
        </w:rPr>
        <w:t xml:space="preserve">ettlement as a whole.  Each of these provisions is reasonable, </w:t>
      </w:r>
      <w:proofErr w:type="gramStart"/>
      <w:r w:rsidRPr="008E7712">
        <w:rPr>
          <w:sz w:val="26"/>
          <w:szCs w:val="26"/>
        </w:rPr>
        <w:t>meaningful</w:t>
      </w:r>
      <w:proofErr w:type="gramEnd"/>
      <w:r w:rsidRPr="008E7712">
        <w:rPr>
          <w:sz w:val="26"/>
          <w:szCs w:val="26"/>
        </w:rPr>
        <w:t xml:space="preserve"> and appropriate; together they clearly are in the public interest because they are designed to ensure that the service provided to CUPA’s water and wastewater customers is adequate, efficient</w:t>
      </w:r>
      <w:r w:rsidR="00B83E92">
        <w:rPr>
          <w:sz w:val="26"/>
          <w:szCs w:val="26"/>
        </w:rPr>
        <w:t>,</w:t>
      </w:r>
      <w:r w:rsidRPr="008E7712">
        <w:rPr>
          <w:sz w:val="26"/>
          <w:szCs w:val="26"/>
        </w:rPr>
        <w:t xml:space="preserve"> safe and reasonable as required by the Code.  The submission of more detailed LUFW and isolation valve data will assist the Commission and the statutory parties in ensuring that CUPA</w:t>
      </w:r>
      <w:r w:rsidR="00D2403F" w:rsidRPr="008E7712">
        <w:rPr>
          <w:sz w:val="26"/>
          <w:szCs w:val="26"/>
        </w:rPr>
        <w:t>-Water</w:t>
      </w:r>
      <w:r w:rsidRPr="008E7712">
        <w:rPr>
          <w:sz w:val="26"/>
          <w:szCs w:val="26"/>
        </w:rPr>
        <w:t>’s expenses through lost water and water breaks are as low as possible, and, as noted by OCA in its Statement in Support at 17, may assist in water conservation.  Call center performance, discolored water associated with maintenance activities (Tamiment) and water pressure/supply (Penn Estates) were issues raised by customers at the public input hearing; CUPA</w:t>
      </w:r>
      <w:r w:rsidR="00D2403F" w:rsidRPr="008E7712">
        <w:rPr>
          <w:sz w:val="26"/>
          <w:szCs w:val="26"/>
        </w:rPr>
        <w:t>-Water a</w:t>
      </w:r>
      <w:r w:rsidRPr="008E7712">
        <w:rPr>
          <w:sz w:val="26"/>
          <w:szCs w:val="26"/>
        </w:rPr>
        <w:t>greed to provisions designed to address those concerns by improving communications and customer service.  Although grinder pumps are customer</w:t>
      </w:r>
      <w:r w:rsidR="00F67322" w:rsidRPr="008E7712">
        <w:rPr>
          <w:sz w:val="26"/>
          <w:szCs w:val="26"/>
        </w:rPr>
        <w:t>-</w:t>
      </w:r>
      <w:r w:rsidRPr="008E7712">
        <w:rPr>
          <w:sz w:val="26"/>
          <w:szCs w:val="26"/>
        </w:rPr>
        <w:t>owned equipment, CUPA</w:t>
      </w:r>
      <w:r w:rsidR="00A76A09">
        <w:rPr>
          <w:sz w:val="26"/>
          <w:szCs w:val="26"/>
        </w:rPr>
        <w:noBreakHyphen/>
      </w:r>
      <w:r w:rsidR="00D2403F" w:rsidRPr="008E7712">
        <w:rPr>
          <w:sz w:val="26"/>
          <w:szCs w:val="26"/>
        </w:rPr>
        <w:t>Wastewater</w:t>
      </w:r>
      <w:r w:rsidRPr="008E7712">
        <w:rPr>
          <w:sz w:val="26"/>
          <w:szCs w:val="26"/>
        </w:rPr>
        <w:t xml:space="preserve"> agreed to annually provide information to customers who use them</w:t>
      </w:r>
      <w:r w:rsidR="00EE1220" w:rsidRPr="008E7712">
        <w:rPr>
          <w:sz w:val="26"/>
          <w:szCs w:val="26"/>
        </w:rPr>
        <w:t xml:space="preserve">.  </w:t>
      </w:r>
      <w:r w:rsidRPr="008E7712">
        <w:rPr>
          <w:sz w:val="26"/>
          <w:szCs w:val="26"/>
        </w:rPr>
        <w:t xml:space="preserve">Together, these commitments represent an important aspect of the proposed Settlement that will ensure that CUPA’s customers receive the quality of service to which they are entitled, and the </w:t>
      </w:r>
      <w:r w:rsidR="000C52C5">
        <w:rPr>
          <w:sz w:val="26"/>
          <w:szCs w:val="26"/>
        </w:rPr>
        <w:t>P</w:t>
      </w:r>
      <w:r w:rsidRPr="008E7712">
        <w:rPr>
          <w:sz w:val="26"/>
          <w:szCs w:val="26"/>
        </w:rPr>
        <w:t xml:space="preserve">arties are to be commended for addressing these issues in a reasonable manner. </w:t>
      </w:r>
      <w:r w:rsidR="00EE1220" w:rsidRPr="008E7712">
        <w:rPr>
          <w:sz w:val="26"/>
          <w:szCs w:val="26"/>
        </w:rPr>
        <w:t xml:space="preserve"> </w:t>
      </w:r>
    </w:p>
    <w:p w14:paraId="4B891F98" w14:textId="77777777" w:rsidR="00D2403F" w:rsidRPr="008E7712" w:rsidRDefault="00D2403F" w:rsidP="00EB7CBC">
      <w:pPr>
        <w:pStyle w:val="NoSpacing"/>
        <w:spacing w:line="360" w:lineRule="auto"/>
        <w:rPr>
          <w:sz w:val="26"/>
          <w:szCs w:val="26"/>
        </w:rPr>
      </w:pPr>
    </w:p>
    <w:p w14:paraId="3D02663D" w14:textId="03BE1CB1" w:rsidR="000F1DE9" w:rsidRPr="008E7712" w:rsidRDefault="000F1DE9" w:rsidP="00A76A09">
      <w:pPr>
        <w:pStyle w:val="NoSpacing"/>
        <w:spacing w:line="360" w:lineRule="auto"/>
        <w:rPr>
          <w:sz w:val="26"/>
          <w:szCs w:val="26"/>
        </w:rPr>
      </w:pPr>
      <w:r w:rsidRPr="008E7712">
        <w:rPr>
          <w:sz w:val="26"/>
          <w:szCs w:val="26"/>
        </w:rPr>
        <w:tab/>
      </w:r>
      <w:r w:rsidRPr="008E7712">
        <w:rPr>
          <w:sz w:val="26"/>
          <w:szCs w:val="26"/>
        </w:rPr>
        <w:tab/>
        <w:t xml:space="preserve">The </w:t>
      </w:r>
      <w:r w:rsidR="00D2403F" w:rsidRPr="008E7712">
        <w:rPr>
          <w:sz w:val="26"/>
          <w:szCs w:val="26"/>
        </w:rPr>
        <w:t>Joint</w:t>
      </w:r>
      <w:r w:rsidRPr="008E7712">
        <w:rPr>
          <w:sz w:val="26"/>
          <w:szCs w:val="26"/>
        </w:rPr>
        <w:t xml:space="preserve"> Petition notes that CUPA agreed to these commitments, which were requested by </w:t>
      </w:r>
      <w:r w:rsidR="008D1190">
        <w:rPr>
          <w:sz w:val="26"/>
          <w:szCs w:val="26"/>
        </w:rPr>
        <w:t xml:space="preserve">the </w:t>
      </w:r>
      <w:r w:rsidRPr="008E7712">
        <w:rPr>
          <w:sz w:val="26"/>
          <w:szCs w:val="26"/>
        </w:rPr>
        <w:t xml:space="preserve">OCA and I&amp;E in response to testimony presented at the public input hearing.  We wish to express our appreciation to those customers and elected representatives who took the time to attend that hearing.  Their comments were thoughtful, </w:t>
      </w:r>
      <w:proofErr w:type="gramStart"/>
      <w:r w:rsidRPr="008E7712">
        <w:rPr>
          <w:sz w:val="26"/>
          <w:szCs w:val="26"/>
        </w:rPr>
        <w:t>sincere</w:t>
      </w:r>
      <w:proofErr w:type="gramEnd"/>
      <w:r w:rsidRPr="008E7712">
        <w:rPr>
          <w:sz w:val="26"/>
          <w:szCs w:val="26"/>
        </w:rPr>
        <w:t xml:space="preserve"> and helpful in putting a human face on the matters discussed, a reminder that decisions made in this proceeding directly impact the lives of real, individual people, not just “customers” as a group.  </w:t>
      </w:r>
    </w:p>
    <w:p w14:paraId="201916B7" w14:textId="77777777" w:rsidR="000F1DE9" w:rsidRPr="008E7712" w:rsidRDefault="000F1DE9" w:rsidP="00A76A09">
      <w:pPr>
        <w:pStyle w:val="NoSpacing"/>
        <w:spacing w:line="360" w:lineRule="auto"/>
        <w:rPr>
          <w:sz w:val="26"/>
          <w:szCs w:val="26"/>
        </w:rPr>
      </w:pPr>
    </w:p>
    <w:p w14:paraId="7D893B2D" w14:textId="2CFCAB9C" w:rsidR="000F1DE9" w:rsidRPr="008E7712" w:rsidRDefault="00426231" w:rsidP="00A76A09">
      <w:pPr>
        <w:pStyle w:val="Heading2"/>
        <w:spacing w:line="360" w:lineRule="auto"/>
      </w:pPr>
      <w:bookmarkStart w:id="45" w:name="_Toc91576507"/>
      <w:r w:rsidRPr="008E7712">
        <w:lastRenderedPageBreak/>
        <w:t>G.</w:t>
      </w:r>
      <w:r w:rsidRPr="008E7712">
        <w:tab/>
      </w:r>
      <w:r w:rsidR="000F1DE9" w:rsidRPr="008E7712">
        <w:t>Standard Provisions</w:t>
      </w:r>
      <w:bookmarkEnd w:id="45"/>
    </w:p>
    <w:p w14:paraId="173BD6F9" w14:textId="77777777" w:rsidR="008218DB" w:rsidRPr="008E7712" w:rsidRDefault="008218DB" w:rsidP="00A76A09">
      <w:pPr>
        <w:pStyle w:val="NoSpacing"/>
        <w:keepNext/>
        <w:keepLines/>
        <w:spacing w:line="360" w:lineRule="auto"/>
        <w:rPr>
          <w:b/>
          <w:bCs/>
          <w:sz w:val="26"/>
          <w:szCs w:val="26"/>
        </w:rPr>
      </w:pPr>
    </w:p>
    <w:p w14:paraId="14B01F3E" w14:textId="3F764D12" w:rsidR="000F1DE9" w:rsidRPr="008E7712" w:rsidRDefault="000F1DE9" w:rsidP="00A76A09">
      <w:pPr>
        <w:pStyle w:val="NoSpacing"/>
        <w:keepNext/>
        <w:spacing w:line="360" w:lineRule="auto"/>
        <w:rPr>
          <w:sz w:val="26"/>
          <w:szCs w:val="26"/>
        </w:rPr>
      </w:pPr>
      <w:r w:rsidRPr="008E7712">
        <w:rPr>
          <w:sz w:val="26"/>
          <w:szCs w:val="26"/>
        </w:rPr>
        <w:tab/>
      </w:r>
      <w:r w:rsidRPr="008E7712">
        <w:rPr>
          <w:sz w:val="26"/>
          <w:szCs w:val="26"/>
        </w:rPr>
        <w:tab/>
        <w:t xml:space="preserve">The </w:t>
      </w:r>
      <w:r w:rsidR="004961F7" w:rsidRPr="008E7712">
        <w:rPr>
          <w:sz w:val="26"/>
          <w:szCs w:val="26"/>
        </w:rPr>
        <w:t xml:space="preserve">Joint </w:t>
      </w:r>
      <w:r w:rsidRPr="008E7712">
        <w:rPr>
          <w:sz w:val="26"/>
          <w:szCs w:val="26"/>
        </w:rPr>
        <w:t xml:space="preserve">Petition contains standard provisions that are routinely included in settlement petitions presented to the Commission.  These terms and conditions provide that Commission approval of the </w:t>
      </w:r>
      <w:r w:rsidR="00054C1B" w:rsidRPr="008E7712">
        <w:rPr>
          <w:sz w:val="26"/>
          <w:szCs w:val="26"/>
        </w:rPr>
        <w:t>S</w:t>
      </w:r>
      <w:r w:rsidRPr="008E7712">
        <w:rPr>
          <w:sz w:val="26"/>
          <w:szCs w:val="26"/>
        </w:rPr>
        <w:t>ettlement does not constitute approval of any signatory’s position on any issue but</w:t>
      </w:r>
      <w:r w:rsidR="004961F7" w:rsidRPr="008E7712">
        <w:rPr>
          <w:sz w:val="26"/>
          <w:szCs w:val="26"/>
        </w:rPr>
        <w:t>,</w:t>
      </w:r>
      <w:r w:rsidRPr="008E7712">
        <w:rPr>
          <w:sz w:val="26"/>
          <w:szCs w:val="26"/>
        </w:rPr>
        <w:t xml:space="preserve"> rather</w:t>
      </w:r>
      <w:r w:rsidR="004961F7" w:rsidRPr="008E7712">
        <w:rPr>
          <w:sz w:val="26"/>
          <w:szCs w:val="26"/>
        </w:rPr>
        <w:t>,</w:t>
      </w:r>
      <w:r w:rsidRPr="008E7712">
        <w:rPr>
          <w:sz w:val="26"/>
          <w:szCs w:val="26"/>
        </w:rPr>
        <w:t xml:space="preserve"> the </w:t>
      </w:r>
      <w:r w:rsidR="00054C1B" w:rsidRPr="008E7712">
        <w:rPr>
          <w:sz w:val="26"/>
          <w:szCs w:val="26"/>
        </w:rPr>
        <w:t>S</w:t>
      </w:r>
      <w:r w:rsidRPr="008E7712">
        <w:rPr>
          <w:sz w:val="26"/>
          <w:szCs w:val="26"/>
        </w:rPr>
        <w:t xml:space="preserve">ettlement agreement represents a compromise of competing positions, that the </w:t>
      </w:r>
      <w:r w:rsidR="00054C1B" w:rsidRPr="008E7712">
        <w:rPr>
          <w:sz w:val="26"/>
          <w:szCs w:val="26"/>
        </w:rPr>
        <w:t>S</w:t>
      </w:r>
      <w:r w:rsidRPr="008E7712">
        <w:rPr>
          <w:sz w:val="26"/>
          <w:szCs w:val="26"/>
        </w:rPr>
        <w:t xml:space="preserve">ettlement does not necessarily represent the position(s) that would be advanced in this or any other proceeding, and that it cannot be cited as precedent in any future proceeding except to the extent required to implement specific terms agreed to or to enforce the </w:t>
      </w:r>
      <w:r w:rsidR="00054C1B" w:rsidRPr="008E7712">
        <w:rPr>
          <w:sz w:val="26"/>
          <w:szCs w:val="26"/>
        </w:rPr>
        <w:t>S</w:t>
      </w:r>
      <w:r w:rsidRPr="008E7712">
        <w:rPr>
          <w:sz w:val="26"/>
          <w:szCs w:val="26"/>
        </w:rPr>
        <w:t>ettlement agreement</w:t>
      </w:r>
      <w:r w:rsidR="00054C1B" w:rsidRPr="008E7712">
        <w:rPr>
          <w:sz w:val="26"/>
          <w:szCs w:val="26"/>
        </w:rPr>
        <w:t xml:space="preserve">. </w:t>
      </w:r>
      <w:r w:rsidRPr="008E7712">
        <w:rPr>
          <w:sz w:val="26"/>
          <w:szCs w:val="26"/>
        </w:rPr>
        <w:t xml:space="preserve"> </w:t>
      </w:r>
      <w:r w:rsidR="00DE0492" w:rsidRPr="008E7712">
        <w:rPr>
          <w:sz w:val="26"/>
          <w:szCs w:val="26"/>
        </w:rPr>
        <w:t xml:space="preserve">Joint </w:t>
      </w:r>
      <w:r w:rsidRPr="008E7712">
        <w:rPr>
          <w:sz w:val="26"/>
          <w:szCs w:val="26"/>
        </w:rPr>
        <w:t>Petition</w:t>
      </w:r>
      <w:r w:rsidR="00DE0492" w:rsidRPr="008E7712">
        <w:rPr>
          <w:sz w:val="26"/>
          <w:szCs w:val="26"/>
        </w:rPr>
        <w:t xml:space="preserve"> at</w:t>
      </w:r>
      <w:r w:rsidRPr="008E7712">
        <w:rPr>
          <w:sz w:val="26"/>
          <w:szCs w:val="26"/>
        </w:rPr>
        <w:t xml:space="preserve"> II.I ¶¶</w:t>
      </w:r>
      <w:r w:rsidR="006E504C">
        <w:rPr>
          <w:sz w:val="26"/>
          <w:szCs w:val="26"/>
        </w:rPr>
        <w:t> </w:t>
      </w:r>
      <w:r w:rsidRPr="008E7712">
        <w:rPr>
          <w:sz w:val="26"/>
          <w:szCs w:val="26"/>
        </w:rPr>
        <w:t>29</w:t>
      </w:r>
      <w:r w:rsidR="00426231" w:rsidRPr="008E7712">
        <w:rPr>
          <w:sz w:val="26"/>
          <w:szCs w:val="26"/>
        </w:rPr>
        <w:noBreakHyphen/>
      </w:r>
      <w:r w:rsidRPr="008E7712">
        <w:rPr>
          <w:sz w:val="26"/>
          <w:szCs w:val="26"/>
        </w:rPr>
        <w:t xml:space="preserve">30. </w:t>
      </w:r>
    </w:p>
    <w:p w14:paraId="43AB4499" w14:textId="77777777" w:rsidR="000F1DE9" w:rsidRPr="008E7712" w:rsidRDefault="000F1DE9" w:rsidP="00EB7CBC">
      <w:pPr>
        <w:pStyle w:val="NoSpacing"/>
        <w:spacing w:line="360" w:lineRule="auto"/>
        <w:rPr>
          <w:sz w:val="26"/>
          <w:szCs w:val="26"/>
        </w:rPr>
      </w:pPr>
    </w:p>
    <w:p w14:paraId="1C736877" w14:textId="49A8E1A6" w:rsidR="000F1DE9" w:rsidRPr="008E7712" w:rsidRDefault="000F1DE9" w:rsidP="00EB7CBC">
      <w:pPr>
        <w:pStyle w:val="NoSpacing"/>
        <w:spacing w:line="360" w:lineRule="auto"/>
        <w:rPr>
          <w:sz w:val="26"/>
          <w:szCs w:val="26"/>
        </w:rPr>
      </w:pPr>
      <w:r w:rsidRPr="008E7712">
        <w:rPr>
          <w:sz w:val="26"/>
          <w:szCs w:val="26"/>
        </w:rPr>
        <w:tab/>
      </w:r>
      <w:r w:rsidR="003919C4" w:rsidRPr="008E7712">
        <w:rPr>
          <w:sz w:val="26"/>
          <w:szCs w:val="26"/>
        </w:rPr>
        <w:tab/>
      </w:r>
      <w:r w:rsidRPr="008E7712">
        <w:rPr>
          <w:sz w:val="26"/>
          <w:szCs w:val="26"/>
        </w:rPr>
        <w:t xml:space="preserve">Further, it explains that the </w:t>
      </w:r>
      <w:r w:rsidR="00054C1B" w:rsidRPr="008E7712">
        <w:rPr>
          <w:sz w:val="26"/>
          <w:szCs w:val="26"/>
        </w:rPr>
        <w:t>S</w:t>
      </w:r>
      <w:r w:rsidRPr="008E7712">
        <w:rPr>
          <w:sz w:val="26"/>
          <w:szCs w:val="26"/>
        </w:rPr>
        <w:t xml:space="preserve">ettlement is conditioned upon the Commission’s approval of the terms and conditions without modification, that if the Commission fails to grant approval of the Joint Petition or modifies any material term or condition, any </w:t>
      </w:r>
      <w:r w:rsidR="00054C1B" w:rsidRPr="008E7712">
        <w:rPr>
          <w:sz w:val="26"/>
          <w:szCs w:val="26"/>
        </w:rPr>
        <w:t>P</w:t>
      </w:r>
      <w:r w:rsidRPr="008E7712">
        <w:rPr>
          <w:sz w:val="26"/>
          <w:szCs w:val="26"/>
        </w:rPr>
        <w:t xml:space="preserve">arty can withdraw upon written notice to the Commission and active </w:t>
      </w:r>
      <w:r w:rsidR="00054C1B" w:rsidRPr="008E7712">
        <w:rPr>
          <w:sz w:val="26"/>
          <w:szCs w:val="26"/>
        </w:rPr>
        <w:t>P</w:t>
      </w:r>
      <w:r w:rsidRPr="008E7712">
        <w:rPr>
          <w:sz w:val="26"/>
          <w:szCs w:val="26"/>
        </w:rPr>
        <w:t xml:space="preserve">arties within five business days of the entry of the </w:t>
      </w:r>
      <w:r w:rsidR="00054C1B" w:rsidRPr="008E7712">
        <w:rPr>
          <w:sz w:val="26"/>
          <w:szCs w:val="26"/>
        </w:rPr>
        <w:t>C</w:t>
      </w:r>
      <w:r w:rsidRPr="008E7712">
        <w:rPr>
          <w:sz w:val="26"/>
          <w:szCs w:val="26"/>
        </w:rPr>
        <w:t xml:space="preserve">ommission’s order and in that case, the </w:t>
      </w:r>
      <w:r w:rsidR="00054C1B" w:rsidRPr="008E7712">
        <w:rPr>
          <w:sz w:val="26"/>
          <w:szCs w:val="26"/>
        </w:rPr>
        <w:t>S</w:t>
      </w:r>
      <w:r w:rsidRPr="008E7712">
        <w:rPr>
          <w:sz w:val="26"/>
          <w:szCs w:val="26"/>
        </w:rPr>
        <w:t xml:space="preserve">ettlement will be of no force or effect and each </w:t>
      </w:r>
      <w:r w:rsidR="001E1096" w:rsidRPr="008E7712">
        <w:rPr>
          <w:sz w:val="26"/>
          <w:szCs w:val="26"/>
        </w:rPr>
        <w:t>P</w:t>
      </w:r>
      <w:r w:rsidRPr="008E7712">
        <w:rPr>
          <w:sz w:val="26"/>
          <w:szCs w:val="26"/>
        </w:rPr>
        <w:t>arty reserves its right to fully litigate the case including but not limited to presentation of witnesses, cross-examination and submission of briefs, exceptions and replies to exceptions.  The signatories agreed to make good reasonable and good faith efforts to obtain approval of the Settlement by the ALJ and the Commission without modification, waived the filing of exceptions in the event the ALJ recommend</w:t>
      </w:r>
      <w:r w:rsidR="00E1494F" w:rsidRPr="008E7712">
        <w:rPr>
          <w:sz w:val="26"/>
          <w:szCs w:val="26"/>
        </w:rPr>
        <w:t>ed</w:t>
      </w:r>
      <w:r w:rsidRPr="008E7712">
        <w:rPr>
          <w:sz w:val="26"/>
          <w:szCs w:val="26"/>
        </w:rPr>
        <w:t xml:space="preserve"> that the Commission adopt the settlement without modification, but reserved the right to file exceptions and </w:t>
      </w:r>
      <w:proofErr w:type="gramStart"/>
      <w:r w:rsidRPr="008E7712">
        <w:rPr>
          <w:sz w:val="26"/>
          <w:szCs w:val="26"/>
        </w:rPr>
        <w:t>reply</w:t>
      </w:r>
      <w:proofErr w:type="gramEnd"/>
      <w:r w:rsidRPr="008E7712">
        <w:rPr>
          <w:sz w:val="26"/>
          <w:szCs w:val="26"/>
        </w:rPr>
        <w:t xml:space="preserve"> exceptions should the ALJ modify or reject the </w:t>
      </w:r>
      <w:r w:rsidR="001E1096" w:rsidRPr="008E7712">
        <w:rPr>
          <w:sz w:val="26"/>
          <w:szCs w:val="26"/>
        </w:rPr>
        <w:t>S</w:t>
      </w:r>
      <w:r w:rsidRPr="008E7712">
        <w:rPr>
          <w:sz w:val="26"/>
          <w:szCs w:val="26"/>
        </w:rPr>
        <w:t>ettlement agreement</w:t>
      </w:r>
      <w:r w:rsidR="001E1096" w:rsidRPr="008E7712">
        <w:rPr>
          <w:sz w:val="26"/>
          <w:szCs w:val="26"/>
        </w:rPr>
        <w:t xml:space="preserve">. </w:t>
      </w:r>
      <w:r w:rsidRPr="008E7712">
        <w:rPr>
          <w:sz w:val="26"/>
          <w:szCs w:val="26"/>
        </w:rPr>
        <w:t xml:space="preserve"> </w:t>
      </w:r>
      <w:r w:rsidR="00E1494F" w:rsidRPr="008E7712">
        <w:rPr>
          <w:sz w:val="26"/>
          <w:szCs w:val="26"/>
        </w:rPr>
        <w:t xml:space="preserve">Joint </w:t>
      </w:r>
      <w:r w:rsidRPr="008E7712">
        <w:rPr>
          <w:sz w:val="26"/>
          <w:szCs w:val="26"/>
        </w:rPr>
        <w:t>Petition</w:t>
      </w:r>
      <w:r w:rsidR="00E1494F" w:rsidRPr="008E7712">
        <w:rPr>
          <w:sz w:val="26"/>
          <w:szCs w:val="26"/>
        </w:rPr>
        <w:t xml:space="preserve"> at </w:t>
      </w:r>
      <w:r w:rsidRPr="008E7712">
        <w:rPr>
          <w:sz w:val="26"/>
          <w:szCs w:val="26"/>
        </w:rPr>
        <w:t>II.I ¶¶ 31-32.</w:t>
      </w:r>
    </w:p>
    <w:p w14:paraId="127B70A1" w14:textId="77777777" w:rsidR="000F1DE9" w:rsidRPr="008E7712" w:rsidRDefault="000F1DE9" w:rsidP="00EB7CBC">
      <w:pPr>
        <w:pStyle w:val="NoSpacing"/>
        <w:spacing w:line="360" w:lineRule="auto"/>
        <w:rPr>
          <w:sz w:val="26"/>
          <w:szCs w:val="26"/>
        </w:rPr>
      </w:pPr>
    </w:p>
    <w:p w14:paraId="249C8A56" w14:textId="4617B9FB" w:rsidR="000F1DE9" w:rsidRPr="008E7712" w:rsidRDefault="000F1DE9" w:rsidP="00EB7CBC">
      <w:pPr>
        <w:pStyle w:val="NoSpacing"/>
        <w:spacing w:line="360" w:lineRule="auto"/>
        <w:rPr>
          <w:sz w:val="26"/>
          <w:szCs w:val="26"/>
        </w:rPr>
      </w:pPr>
      <w:r w:rsidRPr="008E7712">
        <w:rPr>
          <w:sz w:val="26"/>
          <w:szCs w:val="26"/>
        </w:rPr>
        <w:tab/>
      </w:r>
      <w:r w:rsidRPr="008E7712">
        <w:rPr>
          <w:sz w:val="26"/>
          <w:szCs w:val="26"/>
        </w:rPr>
        <w:tab/>
        <w:t xml:space="preserve">Finally, the Joint Petition provided that the </w:t>
      </w:r>
      <w:r w:rsidR="00426231" w:rsidRPr="008E7712">
        <w:rPr>
          <w:sz w:val="26"/>
          <w:szCs w:val="26"/>
        </w:rPr>
        <w:t>Parties to the S</w:t>
      </w:r>
      <w:r w:rsidRPr="008E7712">
        <w:rPr>
          <w:sz w:val="26"/>
          <w:szCs w:val="26"/>
        </w:rPr>
        <w:t xml:space="preserve">ettlement recognize that the </w:t>
      </w:r>
      <w:r w:rsidR="00384BE7">
        <w:rPr>
          <w:sz w:val="26"/>
          <w:szCs w:val="26"/>
        </w:rPr>
        <w:t>s</w:t>
      </w:r>
      <w:r w:rsidRPr="008E7712">
        <w:rPr>
          <w:sz w:val="26"/>
          <w:szCs w:val="26"/>
        </w:rPr>
        <w:t xml:space="preserve">ettlement agreement is binding only upon the signatories, that </w:t>
      </w:r>
      <w:r w:rsidR="008C17F3" w:rsidRPr="008E7712">
        <w:rPr>
          <w:sz w:val="26"/>
          <w:szCs w:val="26"/>
        </w:rPr>
        <w:t xml:space="preserve">the </w:t>
      </w:r>
      <w:r w:rsidRPr="008E7712">
        <w:rPr>
          <w:sz w:val="26"/>
          <w:szCs w:val="26"/>
        </w:rPr>
        <w:t>OCA w</w:t>
      </w:r>
      <w:r w:rsidR="008C17F3" w:rsidRPr="008E7712">
        <w:rPr>
          <w:sz w:val="26"/>
          <w:szCs w:val="26"/>
        </w:rPr>
        <w:t>ould</w:t>
      </w:r>
      <w:r w:rsidRPr="008E7712">
        <w:rPr>
          <w:sz w:val="26"/>
          <w:szCs w:val="26"/>
        </w:rPr>
        <w:t xml:space="preserve"> provide instructions to complainants informing them that they c</w:t>
      </w:r>
      <w:r w:rsidR="008C17F3" w:rsidRPr="008E7712">
        <w:rPr>
          <w:sz w:val="26"/>
          <w:szCs w:val="26"/>
        </w:rPr>
        <w:t>ould</w:t>
      </w:r>
      <w:r w:rsidRPr="008E7712">
        <w:rPr>
          <w:sz w:val="26"/>
          <w:szCs w:val="26"/>
        </w:rPr>
        <w:t xml:space="preserve"> join, </w:t>
      </w:r>
      <w:r w:rsidRPr="008E7712">
        <w:rPr>
          <w:sz w:val="26"/>
          <w:szCs w:val="26"/>
        </w:rPr>
        <w:lastRenderedPageBreak/>
        <w:t xml:space="preserve">disagree but not actively oppose or object to the proposed settlement and that upon approval of the proposed settlement, the formal complaints of </w:t>
      </w:r>
      <w:r w:rsidR="008C17F3" w:rsidRPr="008E7712">
        <w:rPr>
          <w:sz w:val="26"/>
          <w:szCs w:val="26"/>
        </w:rPr>
        <w:t xml:space="preserve">the </w:t>
      </w:r>
      <w:r w:rsidRPr="008E7712">
        <w:rPr>
          <w:sz w:val="26"/>
          <w:szCs w:val="26"/>
        </w:rPr>
        <w:t xml:space="preserve">OCA and </w:t>
      </w:r>
      <w:r w:rsidR="008C17F3" w:rsidRPr="008E7712">
        <w:rPr>
          <w:sz w:val="26"/>
          <w:szCs w:val="26"/>
        </w:rPr>
        <w:t xml:space="preserve">the </w:t>
      </w:r>
      <w:r w:rsidRPr="008E7712">
        <w:rPr>
          <w:sz w:val="26"/>
          <w:szCs w:val="26"/>
        </w:rPr>
        <w:t>OSBA w</w:t>
      </w:r>
      <w:r w:rsidR="008C17F3" w:rsidRPr="008E7712">
        <w:rPr>
          <w:sz w:val="26"/>
          <w:szCs w:val="26"/>
        </w:rPr>
        <w:t xml:space="preserve">ould </w:t>
      </w:r>
      <w:r w:rsidRPr="008E7712">
        <w:rPr>
          <w:sz w:val="26"/>
          <w:szCs w:val="26"/>
        </w:rPr>
        <w:t>be marked satisfied and closed.</w:t>
      </w:r>
      <w:r w:rsidR="003919C4" w:rsidRPr="008E7712">
        <w:rPr>
          <w:sz w:val="26"/>
          <w:szCs w:val="26"/>
        </w:rPr>
        <w:t xml:space="preserve">  </w:t>
      </w:r>
      <w:r w:rsidR="008C17F3" w:rsidRPr="008E7712">
        <w:rPr>
          <w:sz w:val="26"/>
          <w:szCs w:val="26"/>
        </w:rPr>
        <w:t xml:space="preserve">Joint </w:t>
      </w:r>
      <w:r w:rsidRPr="008E7712">
        <w:rPr>
          <w:sz w:val="26"/>
          <w:szCs w:val="26"/>
        </w:rPr>
        <w:t>Petition</w:t>
      </w:r>
      <w:r w:rsidR="008C17F3" w:rsidRPr="008E7712">
        <w:rPr>
          <w:sz w:val="26"/>
          <w:szCs w:val="26"/>
        </w:rPr>
        <w:t xml:space="preserve"> at</w:t>
      </w:r>
      <w:r w:rsidRPr="008E7712">
        <w:rPr>
          <w:sz w:val="26"/>
          <w:szCs w:val="26"/>
        </w:rPr>
        <w:t xml:space="preserve"> II.I ¶¶ 33-36.</w:t>
      </w:r>
    </w:p>
    <w:p w14:paraId="2473C169" w14:textId="77777777" w:rsidR="000F1DE9" w:rsidRPr="008E7712" w:rsidRDefault="000F1DE9" w:rsidP="00EB7CBC">
      <w:pPr>
        <w:pStyle w:val="NoSpacing"/>
        <w:spacing w:line="360" w:lineRule="auto"/>
        <w:rPr>
          <w:sz w:val="26"/>
          <w:szCs w:val="26"/>
        </w:rPr>
      </w:pPr>
    </w:p>
    <w:p w14:paraId="07CFAD84" w14:textId="2D8BD10F" w:rsidR="000F1DE9" w:rsidRPr="008E7712" w:rsidRDefault="000F1DE9" w:rsidP="00EB7CBC">
      <w:pPr>
        <w:pStyle w:val="NoSpacing"/>
        <w:spacing w:line="360" w:lineRule="auto"/>
        <w:rPr>
          <w:sz w:val="26"/>
          <w:szCs w:val="26"/>
        </w:rPr>
      </w:pPr>
      <w:r w:rsidRPr="008E7712">
        <w:rPr>
          <w:sz w:val="26"/>
          <w:szCs w:val="26"/>
        </w:rPr>
        <w:tab/>
      </w:r>
      <w:r w:rsidR="003919C4" w:rsidRPr="008E7712">
        <w:rPr>
          <w:sz w:val="26"/>
          <w:szCs w:val="26"/>
        </w:rPr>
        <w:tab/>
      </w:r>
      <w:r w:rsidRPr="008E7712">
        <w:rPr>
          <w:sz w:val="26"/>
          <w:szCs w:val="26"/>
        </w:rPr>
        <w:t xml:space="preserve">Of particular application here is the reservation of the right to file exceptions and </w:t>
      </w:r>
      <w:proofErr w:type="gramStart"/>
      <w:r w:rsidRPr="008E7712">
        <w:rPr>
          <w:sz w:val="26"/>
          <w:szCs w:val="26"/>
        </w:rPr>
        <w:t>reply</w:t>
      </w:r>
      <w:proofErr w:type="gramEnd"/>
      <w:r w:rsidRPr="008E7712">
        <w:rPr>
          <w:sz w:val="26"/>
          <w:szCs w:val="26"/>
        </w:rPr>
        <w:t xml:space="preserve"> exceptions should the presiding officer modify or reject the </w:t>
      </w:r>
      <w:r w:rsidR="001E1096" w:rsidRPr="008E7712">
        <w:rPr>
          <w:sz w:val="26"/>
          <w:szCs w:val="26"/>
        </w:rPr>
        <w:t>S</w:t>
      </w:r>
      <w:r w:rsidRPr="008E7712">
        <w:rPr>
          <w:sz w:val="26"/>
          <w:szCs w:val="26"/>
        </w:rPr>
        <w:t>ettlement</w:t>
      </w:r>
      <w:r w:rsidR="00384BE7">
        <w:rPr>
          <w:sz w:val="26"/>
          <w:szCs w:val="26"/>
        </w:rPr>
        <w:t>,</w:t>
      </w:r>
      <w:r w:rsidRPr="008E7712">
        <w:rPr>
          <w:sz w:val="26"/>
          <w:szCs w:val="26"/>
        </w:rPr>
        <w:t xml:space="preserve"> in light of the fact that the </w:t>
      </w:r>
      <w:r w:rsidR="008C17F3" w:rsidRPr="008E7712">
        <w:rPr>
          <w:sz w:val="26"/>
          <w:szCs w:val="26"/>
        </w:rPr>
        <w:t>ALJ</w:t>
      </w:r>
      <w:r w:rsidRPr="008E7712">
        <w:rPr>
          <w:sz w:val="26"/>
          <w:szCs w:val="26"/>
        </w:rPr>
        <w:t xml:space="preserve"> </w:t>
      </w:r>
      <w:r w:rsidR="00384BE7">
        <w:rPr>
          <w:sz w:val="26"/>
          <w:szCs w:val="26"/>
        </w:rPr>
        <w:t xml:space="preserve">concluded </w:t>
      </w:r>
      <w:r w:rsidR="002F52B7" w:rsidRPr="008E7712">
        <w:rPr>
          <w:sz w:val="26"/>
          <w:szCs w:val="26"/>
        </w:rPr>
        <w:t xml:space="preserve">via the </w:t>
      </w:r>
      <w:r w:rsidR="002F52B7" w:rsidRPr="00BB18BC">
        <w:rPr>
          <w:i/>
          <w:sz w:val="26"/>
        </w:rPr>
        <w:t>November</w:t>
      </w:r>
      <w:r w:rsidR="002F52B7" w:rsidRPr="008E7712">
        <w:rPr>
          <w:sz w:val="26"/>
          <w:szCs w:val="26"/>
        </w:rPr>
        <w:t xml:space="preserve"> </w:t>
      </w:r>
      <w:r w:rsidR="002F52B7" w:rsidRPr="00BB18BC">
        <w:rPr>
          <w:i/>
          <w:sz w:val="26"/>
        </w:rPr>
        <w:t>Order</w:t>
      </w:r>
      <w:r w:rsidR="002F52B7" w:rsidRPr="008E7712">
        <w:rPr>
          <w:sz w:val="26"/>
          <w:szCs w:val="26"/>
        </w:rPr>
        <w:t xml:space="preserve"> that</w:t>
      </w:r>
      <w:r w:rsidRPr="008E7712">
        <w:rPr>
          <w:sz w:val="26"/>
          <w:szCs w:val="26"/>
        </w:rPr>
        <w:t xml:space="preserve"> </w:t>
      </w:r>
      <w:r w:rsidR="002F52B7" w:rsidRPr="008E7712">
        <w:rPr>
          <w:sz w:val="26"/>
          <w:szCs w:val="26"/>
        </w:rPr>
        <w:t xml:space="preserve">the Settlement be </w:t>
      </w:r>
      <w:r w:rsidRPr="008E7712">
        <w:rPr>
          <w:sz w:val="26"/>
          <w:szCs w:val="26"/>
        </w:rPr>
        <w:t>reject</w:t>
      </w:r>
      <w:r w:rsidR="002F52B7" w:rsidRPr="008E7712">
        <w:rPr>
          <w:sz w:val="26"/>
          <w:szCs w:val="26"/>
        </w:rPr>
        <w:t>ed</w:t>
      </w:r>
      <w:r w:rsidRPr="008E7712">
        <w:rPr>
          <w:sz w:val="26"/>
          <w:szCs w:val="26"/>
        </w:rPr>
        <w:t xml:space="preserve"> on substantive grounds.  In order to allow the </w:t>
      </w:r>
      <w:r w:rsidR="001E1096" w:rsidRPr="008E7712">
        <w:rPr>
          <w:sz w:val="26"/>
          <w:szCs w:val="26"/>
        </w:rPr>
        <w:t>P</w:t>
      </w:r>
      <w:r w:rsidRPr="008E7712">
        <w:rPr>
          <w:sz w:val="26"/>
          <w:szCs w:val="26"/>
        </w:rPr>
        <w:t xml:space="preserve">arties to execute their right to respond to the </w:t>
      </w:r>
      <w:r w:rsidR="00403484" w:rsidRPr="008E7712">
        <w:rPr>
          <w:sz w:val="26"/>
          <w:szCs w:val="26"/>
        </w:rPr>
        <w:t xml:space="preserve">ALJ’s </w:t>
      </w:r>
      <w:r w:rsidRPr="008E7712">
        <w:rPr>
          <w:sz w:val="26"/>
          <w:szCs w:val="26"/>
        </w:rPr>
        <w:t xml:space="preserve">recommendation to reject the </w:t>
      </w:r>
      <w:r w:rsidR="00FF4B09">
        <w:rPr>
          <w:sz w:val="26"/>
          <w:szCs w:val="26"/>
        </w:rPr>
        <w:t>S</w:t>
      </w:r>
      <w:r w:rsidRPr="008E7712">
        <w:rPr>
          <w:sz w:val="26"/>
          <w:szCs w:val="26"/>
        </w:rPr>
        <w:t>ettlement</w:t>
      </w:r>
      <w:r w:rsidR="00403484" w:rsidRPr="008E7712">
        <w:rPr>
          <w:sz w:val="26"/>
          <w:szCs w:val="26"/>
        </w:rPr>
        <w:t>,</w:t>
      </w:r>
      <w:r w:rsidRPr="008E7712">
        <w:rPr>
          <w:sz w:val="26"/>
          <w:szCs w:val="26"/>
        </w:rPr>
        <w:t xml:space="preserve"> as well as to address the certified question presented for interlocutory review, the Commission by Secretarial letter dated November</w:t>
      </w:r>
      <w:r w:rsidR="003E0EFD" w:rsidRPr="008E7712">
        <w:rPr>
          <w:sz w:val="26"/>
          <w:szCs w:val="26"/>
        </w:rPr>
        <w:t> </w:t>
      </w:r>
      <w:r w:rsidRPr="008E7712">
        <w:rPr>
          <w:sz w:val="26"/>
          <w:szCs w:val="26"/>
        </w:rPr>
        <w:t>1</w:t>
      </w:r>
      <w:r w:rsidR="00042210" w:rsidRPr="008E7712">
        <w:rPr>
          <w:sz w:val="26"/>
          <w:szCs w:val="26"/>
        </w:rPr>
        <w:t>2</w:t>
      </w:r>
      <w:r w:rsidRPr="008E7712">
        <w:rPr>
          <w:sz w:val="26"/>
          <w:szCs w:val="26"/>
        </w:rPr>
        <w:t xml:space="preserve">, 2021, approved CUPA’s unopposed request that the </w:t>
      </w:r>
      <w:r w:rsidR="00042210" w:rsidRPr="008E7712">
        <w:rPr>
          <w:sz w:val="26"/>
          <w:szCs w:val="26"/>
        </w:rPr>
        <w:t xml:space="preserve">briefing </w:t>
      </w:r>
      <w:r w:rsidRPr="008E7712">
        <w:rPr>
          <w:sz w:val="26"/>
          <w:szCs w:val="26"/>
        </w:rPr>
        <w:t xml:space="preserve">page limit be extended to </w:t>
      </w:r>
      <w:r w:rsidR="001E1096" w:rsidRPr="008E7712">
        <w:rPr>
          <w:sz w:val="26"/>
          <w:szCs w:val="26"/>
        </w:rPr>
        <w:t>forty</w:t>
      </w:r>
      <w:r w:rsidRPr="008E7712">
        <w:rPr>
          <w:sz w:val="26"/>
          <w:szCs w:val="26"/>
        </w:rPr>
        <w:t xml:space="preserve"> pages, as </w:t>
      </w:r>
      <w:r w:rsidR="00042210" w:rsidRPr="008E7712">
        <w:rPr>
          <w:sz w:val="26"/>
          <w:szCs w:val="26"/>
        </w:rPr>
        <w:t xml:space="preserve">is </w:t>
      </w:r>
      <w:r w:rsidRPr="008E7712">
        <w:rPr>
          <w:sz w:val="26"/>
          <w:szCs w:val="26"/>
        </w:rPr>
        <w:t>allowed for the filing of exceptions.</w:t>
      </w:r>
      <w:r w:rsidR="003919C4" w:rsidRPr="008E7712">
        <w:rPr>
          <w:sz w:val="26"/>
          <w:szCs w:val="26"/>
        </w:rPr>
        <w:t xml:space="preserve">  </w:t>
      </w:r>
    </w:p>
    <w:p w14:paraId="50033215" w14:textId="25A53310" w:rsidR="00491864" w:rsidRPr="008E7712" w:rsidRDefault="00491864" w:rsidP="00EB7CBC">
      <w:pPr>
        <w:pStyle w:val="NoSpacing"/>
        <w:spacing w:line="360" w:lineRule="auto"/>
        <w:rPr>
          <w:sz w:val="26"/>
          <w:szCs w:val="26"/>
        </w:rPr>
      </w:pPr>
    </w:p>
    <w:p w14:paraId="4DA4A1B6" w14:textId="3292A12B" w:rsidR="00491864" w:rsidRPr="008E7712" w:rsidRDefault="00491864" w:rsidP="00885B1D">
      <w:pPr>
        <w:pStyle w:val="NoSpacing"/>
        <w:spacing w:line="360" w:lineRule="auto"/>
        <w:ind w:firstLine="1440"/>
        <w:rPr>
          <w:sz w:val="26"/>
          <w:szCs w:val="26"/>
        </w:rPr>
      </w:pPr>
      <w:r w:rsidRPr="008E7712">
        <w:rPr>
          <w:sz w:val="26"/>
          <w:szCs w:val="26"/>
        </w:rPr>
        <w:t xml:space="preserve">We determine that these important provisions in the Joint Petition </w:t>
      </w:r>
      <w:r w:rsidR="00FC1E53" w:rsidRPr="008E7712">
        <w:rPr>
          <w:sz w:val="26"/>
          <w:szCs w:val="26"/>
        </w:rPr>
        <w:t xml:space="preserve">are part of a comprehensive settlement that is in the public interest.  </w:t>
      </w:r>
    </w:p>
    <w:p w14:paraId="0418E90E" w14:textId="77777777" w:rsidR="00A327B7" w:rsidRPr="008E7712" w:rsidRDefault="00A327B7" w:rsidP="00885B1D">
      <w:pPr>
        <w:ind w:left="720" w:hanging="720"/>
        <w:rPr>
          <w:b/>
          <w:bCs/>
          <w:szCs w:val="26"/>
        </w:rPr>
      </w:pPr>
    </w:p>
    <w:p w14:paraId="04910C7C" w14:textId="7E5FDA89" w:rsidR="00854902" w:rsidRDefault="00A327B7" w:rsidP="00885B1D">
      <w:pPr>
        <w:pStyle w:val="Heading2"/>
        <w:spacing w:line="360" w:lineRule="auto"/>
      </w:pPr>
      <w:bookmarkStart w:id="46" w:name="_Toc91576508"/>
      <w:r w:rsidRPr="008E7712">
        <w:t>H.</w:t>
      </w:r>
      <w:r w:rsidRPr="008E7712">
        <w:tab/>
        <w:t>Tamiment Rate Base Valuation</w:t>
      </w:r>
      <w:bookmarkEnd w:id="46"/>
      <w:r w:rsidR="00854902" w:rsidRPr="008E7712">
        <w:t xml:space="preserve"> </w:t>
      </w:r>
    </w:p>
    <w:p w14:paraId="3E4FBDA5" w14:textId="77777777" w:rsidR="00E8477F" w:rsidRPr="00E8477F" w:rsidRDefault="00E8477F" w:rsidP="00885B1D"/>
    <w:p w14:paraId="4B98995C" w14:textId="77777777" w:rsidR="00854902" w:rsidRPr="008E7712" w:rsidRDefault="00854902" w:rsidP="00885B1D">
      <w:pPr>
        <w:keepNext/>
        <w:autoSpaceDE w:val="0"/>
        <w:autoSpaceDN w:val="0"/>
        <w:adjustRightInd w:val="0"/>
        <w:rPr>
          <w:szCs w:val="26"/>
        </w:rPr>
      </w:pPr>
      <w:r w:rsidRPr="008E7712">
        <w:rPr>
          <w:szCs w:val="26"/>
        </w:rPr>
        <w:tab/>
      </w:r>
      <w:r w:rsidRPr="008E7712">
        <w:rPr>
          <w:szCs w:val="26"/>
        </w:rPr>
        <w:tab/>
        <w:t>On June 25, 2019, the Commission entered an Order at Docket Nos. A</w:t>
      </w:r>
      <w:r w:rsidRPr="008E7712">
        <w:rPr>
          <w:szCs w:val="26"/>
        </w:rPr>
        <w:noBreakHyphen/>
        <w:t xml:space="preserve">2018-3005430 and A-2018-305432 that approved CUPA’s acquisition of the current Tamiment water and wastewater divisions from Pennsylvania Utility Company-Water </w:t>
      </w:r>
      <w:r w:rsidRPr="008E7712">
        <w:rPr>
          <w:szCs w:val="26"/>
        </w:rPr>
        <w:lastRenderedPageBreak/>
        <w:t>and Pennsylvania Utility Company-Wastewater, respectively.</w:t>
      </w:r>
      <w:r w:rsidRPr="008E7712">
        <w:rPr>
          <w:rStyle w:val="FootnoteReference"/>
          <w:szCs w:val="26"/>
        </w:rPr>
        <w:footnoteReference w:id="25"/>
      </w:r>
      <w:r w:rsidRPr="008E7712">
        <w:rPr>
          <w:szCs w:val="26"/>
        </w:rPr>
        <w:t xml:space="preserve">  The </w:t>
      </w:r>
      <w:r w:rsidRPr="008E7712">
        <w:rPr>
          <w:i/>
          <w:iCs/>
          <w:szCs w:val="26"/>
        </w:rPr>
        <w:t xml:space="preserve">June 2019 Order </w:t>
      </w:r>
      <w:r w:rsidRPr="008E7712">
        <w:rPr>
          <w:szCs w:val="26"/>
        </w:rPr>
        <w:t>directed CUPA to file base rate cases for the acquired water and wastewater divisions with the Commission within eighteen months of closing, or by February 28, 2021,</w:t>
      </w:r>
      <w:r w:rsidRPr="008E7712">
        <w:rPr>
          <w:rStyle w:val="FootnoteReference"/>
          <w:szCs w:val="26"/>
        </w:rPr>
        <w:footnoteReference w:id="26"/>
      </w:r>
      <w:r w:rsidRPr="008E7712">
        <w:rPr>
          <w:szCs w:val="26"/>
        </w:rPr>
        <w:t xml:space="preserve"> at which time it shall establish individual rate bases for Tamiment’s water and wastewater facilities that meet “accepted ratemaking principles and is otherwise in accordance with law” so that “CUPA and Pennsylvania Utility Company will true-up the purchase price with the final rate base value.”</w:t>
      </w:r>
      <w:r w:rsidRPr="008E7712">
        <w:rPr>
          <w:rStyle w:val="FootnoteReference"/>
          <w:szCs w:val="26"/>
        </w:rPr>
        <w:t xml:space="preserve"> </w:t>
      </w:r>
      <w:r w:rsidRPr="008E7712">
        <w:rPr>
          <w:rStyle w:val="FootnoteReference"/>
          <w:szCs w:val="26"/>
        </w:rPr>
        <w:footnoteReference w:id="27"/>
      </w:r>
      <w:r w:rsidRPr="008E7712">
        <w:rPr>
          <w:szCs w:val="26"/>
        </w:rPr>
        <w:t xml:space="preserve">  </w:t>
      </w:r>
      <w:r w:rsidRPr="008E7712">
        <w:rPr>
          <w:i/>
          <w:iCs/>
          <w:szCs w:val="26"/>
        </w:rPr>
        <w:t>June 2019 Order</w:t>
      </w:r>
      <w:r w:rsidRPr="008E7712">
        <w:rPr>
          <w:szCs w:val="26"/>
        </w:rPr>
        <w:t xml:space="preserve"> at 7; Ordering Paragraph No. 9 at 13.</w:t>
      </w:r>
    </w:p>
    <w:p w14:paraId="38402D9F" w14:textId="77777777" w:rsidR="00854902" w:rsidRPr="008E7712" w:rsidRDefault="00854902" w:rsidP="00EB7CBC">
      <w:pPr>
        <w:rPr>
          <w:szCs w:val="26"/>
        </w:rPr>
      </w:pPr>
    </w:p>
    <w:p w14:paraId="11230661" w14:textId="6BBE982F" w:rsidR="00854902" w:rsidRPr="008E7712" w:rsidRDefault="00854902" w:rsidP="00EB7CBC">
      <w:pPr>
        <w:autoSpaceDE w:val="0"/>
        <w:autoSpaceDN w:val="0"/>
        <w:adjustRightInd w:val="0"/>
        <w:rPr>
          <w:szCs w:val="26"/>
        </w:rPr>
      </w:pPr>
      <w:r w:rsidRPr="008E7712">
        <w:rPr>
          <w:szCs w:val="26"/>
        </w:rPr>
        <w:tab/>
      </w:r>
      <w:r w:rsidRPr="008E7712">
        <w:rPr>
          <w:szCs w:val="26"/>
        </w:rPr>
        <w:tab/>
        <w:t xml:space="preserve">In compliance with the </w:t>
      </w:r>
      <w:r w:rsidRPr="008E7712">
        <w:rPr>
          <w:i/>
          <w:iCs/>
          <w:szCs w:val="26"/>
        </w:rPr>
        <w:t>June 2019 Order</w:t>
      </w:r>
      <w:r w:rsidRPr="008E7712">
        <w:rPr>
          <w:szCs w:val="26"/>
        </w:rPr>
        <w:t xml:space="preserve">, the instant Settlement provides for the establishment of separate rate bases for Tamiment’s water and wastewater divisions.  </w:t>
      </w:r>
      <w:r w:rsidR="006B43E4">
        <w:rPr>
          <w:szCs w:val="26"/>
        </w:rPr>
        <w:t>Joint Petition</w:t>
      </w:r>
      <w:r w:rsidRPr="008E7712">
        <w:rPr>
          <w:szCs w:val="26"/>
        </w:rPr>
        <w:t xml:space="preserve"> at 20-21.  In developing the rate base values for Tamiment’s water and wastewater facilities, CUPA included the book value of the assets and associated depreciation based on the fixed asset schedules provided by Pennsylvania </w:t>
      </w:r>
      <w:r w:rsidRPr="008E7712">
        <w:rPr>
          <w:szCs w:val="26"/>
        </w:rPr>
        <w:lastRenderedPageBreak/>
        <w:t>Utility Company at the time the acquisition was recorded.  CUPA W St. No. 2 at 16;</w:t>
      </w:r>
      <w:r w:rsidRPr="008E7712">
        <w:rPr>
          <w:rStyle w:val="FootnoteReference"/>
          <w:szCs w:val="26"/>
        </w:rPr>
        <w:footnoteReference w:id="28"/>
      </w:r>
      <w:r w:rsidRPr="008E7712">
        <w:rPr>
          <w:szCs w:val="26"/>
        </w:rPr>
        <w:t xml:space="preserve"> CUPA</w:t>
      </w:r>
      <w:r w:rsidR="009173AF" w:rsidRPr="008E7712">
        <w:rPr>
          <w:szCs w:val="26"/>
        </w:rPr>
        <w:t> </w:t>
      </w:r>
      <w:r w:rsidRPr="008E7712">
        <w:rPr>
          <w:szCs w:val="26"/>
        </w:rPr>
        <w:t>WW St. No. 2 at 10.</w:t>
      </w:r>
    </w:p>
    <w:p w14:paraId="07B87402" w14:textId="77777777" w:rsidR="00854902" w:rsidRPr="008E7712" w:rsidRDefault="00854902" w:rsidP="00EB7CBC">
      <w:pPr>
        <w:autoSpaceDE w:val="0"/>
        <w:autoSpaceDN w:val="0"/>
        <w:adjustRightInd w:val="0"/>
        <w:rPr>
          <w:szCs w:val="26"/>
        </w:rPr>
      </w:pPr>
    </w:p>
    <w:p w14:paraId="4A47301E" w14:textId="09E133B2" w:rsidR="00854902" w:rsidRPr="008E7712" w:rsidRDefault="00854902" w:rsidP="00EB7CBC">
      <w:pPr>
        <w:autoSpaceDE w:val="0"/>
        <w:autoSpaceDN w:val="0"/>
        <w:adjustRightInd w:val="0"/>
        <w:rPr>
          <w:szCs w:val="26"/>
        </w:rPr>
      </w:pPr>
      <w:r w:rsidRPr="008E7712">
        <w:rPr>
          <w:szCs w:val="26"/>
        </w:rPr>
        <w:tab/>
      </w:r>
      <w:r w:rsidRPr="008E7712">
        <w:rPr>
          <w:szCs w:val="26"/>
        </w:rPr>
        <w:tab/>
        <w:t xml:space="preserve">For its water division, Tamiment recorded a rate base value of $1,324,261 for its water assets.  Included in the rate base value was a plant balance of $2,212,733 and an accumulated depreciated balance of $888,472 at the time of acquisition.  </w:t>
      </w:r>
      <w:r w:rsidR="00F65D80">
        <w:rPr>
          <w:szCs w:val="26"/>
        </w:rPr>
        <w:t>Joint Petition</w:t>
      </w:r>
      <w:r w:rsidRPr="008E7712">
        <w:rPr>
          <w:szCs w:val="26"/>
        </w:rPr>
        <w:t xml:space="preserve"> at</w:t>
      </w:r>
      <w:r w:rsidR="00BF0CA3" w:rsidRPr="008E7712">
        <w:rPr>
          <w:szCs w:val="26"/>
        </w:rPr>
        <w:t> </w:t>
      </w:r>
      <w:r w:rsidRPr="008E7712">
        <w:rPr>
          <w:szCs w:val="26"/>
        </w:rPr>
        <w:t xml:space="preserve">13-14; CUPA W St. No. 2 at 16.  CUPA also prepared a separate schedule to support the Tamiment Rate Base determination for its water division.  </w:t>
      </w:r>
      <w:r w:rsidRPr="008E7712">
        <w:rPr>
          <w:i/>
          <w:iCs/>
          <w:szCs w:val="26"/>
        </w:rPr>
        <w:t xml:space="preserve">See </w:t>
      </w:r>
      <w:r w:rsidRPr="008E7712">
        <w:rPr>
          <w:szCs w:val="26"/>
        </w:rPr>
        <w:t>CUPA W Exh. No. PAB</w:t>
      </w:r>
      <w:r w:rsidRPr="008E7712">
        <w:rPr>
          <w:szCs w:val="26"/>
        </w:rPr>
        <w:noBreakHyphen/>
        <w:t xml:space="preserve">2. </w:t>
      </w:r>
    </w:p>
    <w:p w14:paraId="280DBC00" w14:textId="77777777" w:rsidR="00854902" w:rsidRPr="008E7712" w:rsidRDefault="00854902" w:rsidP="00EB7CBC">
      <w:pPr>
        <w:autoSpaceDE w:val="0"/>
        <w:autoSpaceDN w:val="0"/>
        <w:adjustRightInd w:val="0"/>
        <w:rPr>
          <w:szCs w:val="26"/>
        </w:rPr>
      </w:pPr>
    </w:p>
    <w:p w14:paraId="31F22252" w14:textId="1F88E771" w:rsidR="00854902" w:rsidRPr="008E7712" w:rsidRDefault="00854902" w:rsidP="00EB7CBC">
      <w:pPr>
        <w:autoSpaceDE w:val="0"/>
        <w:autoSpaceDN w:val="0"/>
        <w:adjustRightInd w:val="0"/>
        <w:rPr>
          <w:szCs w:val="26"/>
        </w:rPr>
      </w:pPr>
      <w:r w:rsidRPr="008E7712">
        <w:rPr>
          <w:szCs w:val="26"/>
        </w:rPr>
        <w:tab/>
      </w:r>
      <w:r w:rsidRPr="008E7712">
        <w:rPr>
          <w:szCs w:val="26"/>
        </w:rPr>
        <w:tab/>
        <w:t xml:space="preserve">For its wastewater division, Tamiment recorded a rate base value of $1,683,056 for its wastewater assets.  Included in the rate base value was a plant balance of $2,861,017, an accumulated depreciated balance of $1,617,881, and a CWIP balance of $439,920 at the time of the acquisition.  </w:t>
      </w:r>
      <w:r w:rsidR="00213514">
        <w:rPr>
          <w:szCs w:val="26"/>
        </w:rPr>
        <w:t>Joint Petition</w:t>
      </w:r>
      <w:r w:rsidRPr="008E7712">
        <w:rPr>
          <w:szCs w:val="26"/>
        </w:rPr>
        <w:t xml:space="preserve"> at 13-14; CUPA WW St. No. 2 at 10.  CUPA also prepared a separate schedule to support the Tamiment Rate Base determination for its wastewater divisions.  </w:t>
      </w:r>
      <w:r w:rsidRPr="008E7712">
        <w:rPr>
          <w:i/>
          <w:iCs/>
          <w:szCs w:val="26"/>
        </w:rPr>
        <w:t xml:space="preserve">See </w:t>
      </w:r>
      <w:r w:rsidRPr="008E7712">
        <w:rPr>
          <w:szCs w:val="26"/>
        </w:rPr>
        <w:t>CUPA WW Exh. No. PAB-2.</w:t>
      </w:r>
    </w:p>
    <w:p w14:paraId="311B60DB" w14:textId="77777777" w:rsidR="00854902" w:rsidRPr="008E7712" w:rsidRDefault="00854902" w:rsidP="00EB7CBC">
      <w:pPr>
        <w:autoSpaceDE w:val="0"/>
        <w:autoSpaceDN w:val="0"/>
        <w:adjustRightInd w:val="0"/>
        <w:rPr>
          <w:szCs w:val="26"/>
        </w:rPr>
      </w:pPr>
    </w:p>
    <w:p w14:paraId="025F8CD3" w14:textId="01B2BEA4" w:rsidR="00854902" w:rsidRPr="008E7712" w:rsidRDefault="00854902" w:rsidP="00EB7CBC">
      <w:pPr>
        <w:autoSpaceDE w:val="0"/>
        <w:autoSpaceDN w:val="0"/>
        <w:adjustRightInd w:val="0"/>
        <w:rPr>
          <w:szCs w:val="26"/>
        </w:rPr>
      </w:pPr>
      <w:r w:rsidRPr="008E7712">
        <w:rPr>
          <w:szCs w:val="26"/>
        </w:rPr>
        <w:tab/>
      </w:r>
      <w:r w:rsidRPr="008E7712">
        <w:rPr>
          <w:szCs w:val="26"/>
        </w:rPr>
        <w:tab/>
        <w:t xml:space="preserve">Regarding the wastewater division’s $439,920 CWIP balance, CUPA indicated that it would not be appropriate to include that CWIP balance in rate base because the work associated with that balance was not CWIP and “is currently not in progress, will not be in progress during the future test year and will not be in service </w:t>
      </w:r>
      <w:r w:rsidRPr="008E7712">
        <w:rPr>
          <w:szCs w:val="26"/>
        </w:rPr>
        <w:lastRenderedPageBreak/>
        <w:t>shortly after the future test period.</w:t>
      </w:r>
      <w:r w:rsidR="00B76A73">
        <w:rPr>
          <w:szCs w:val="26"/>
        </w:rPr>
        <w:t>”</w:t>
      </w:r>
      <w:r w:rsidRPr="008E7712">
        <w:rPr>
          <w:rStyle w:val="FootnoteReference"/>
          <w:szCs w:val="26"/>
        </w:rPr>
        <w:footnoteReference w:id="29"/>
      </w:r>
      <w:r w:rsidRPr="008E7712">
        <w:rPr>
          <w:szCs w:val="26"/>
        </w:rPr>
        <w:t xml:space="preserve">  CUPA St. No. 9-R at 3-4; I&amp;E Statement in Support at 21.  CUPA</w:t>
      </w:r>
      <w:r w:rsidR="00B26E26" w:rsidRPr="008E7712">
        <w:rPr>
          <w:szCs w:val="26"/>
        </w:rPr>
        <w:t>-Wastewater</w:t>
      </w:r>
      <w:r w:rsidRPr="008E7712">
        <w:rPr>
          <w:szCs w:val="26"/>
        </w:rPr>
        <w:t xml:space="preserve"> aver</w:t>
      </w:r>
      <w:r w:rsidR="00B26E26" w:rsidRPr="008E7712">
        <w:rPr>
          <w:szCs w:val="26"/>
        </w:rPr>
        <w:t>red</w:t>
      </w:r>
      <w:r w:rsidRPr="008E7712">
        <w:rPr>
          <w:szCs w:val="26"/>
        </w:rPr>
        <w:t xml:space="preserve"> that these costs were prudently incurred by the prior owner and are related to engineering studies and permitting work for potential upgrades to the wastewater facilities.  CUPA St. No. 9-R at 3-4.  CUPA contends that the prior owner prudently incurred these costs to assess and perform due diligence to evaluate what projects should be considered.  </w:t>
      </w:r>
      <w:r w:rsidRPr="008E7712">
        <w:rPr>
          <w:i/>
          <w:iCs/>
          <w:szCs w:val="26"/>
        </w:rPr>
        <w:t xml:space="preserve">Id.  </w:t>
      </w:r>
      <w:r w:rsidR="00661395" w:rsidRPr="008E7712">
        <w:rPr>
          <w:szCs w:val="26"/>
        </w:rPr>
        <w:t>Because</w:t>
      </w:r>
      <w:r w:rsidRPr="008E7712">
        <w:rPr>
          <w:szCs w:val="26"/>
        </w:rPr>
        <w:t xml:space="preserve"> no projects are currently in progress, no projects will be in progress during the future test year, and no projects will be in service shortly after the future test period, CUPA</w:t>
      </w:r>
      <w:r w:rsidR="00B26E26" w:rsidRPr="008E7712">
        <w:rPr>
          <w:szCs w:val="26"/>
        </w:rPr>
        <w:t>-Wastewater</w:t>
      </w:r>
      <w:r w:rsidRPr="008E7712">
        <w:rPr>
          <w:szCs w:val="26"/>
        </w:rPr>
        <w:t xml:space="preserve"> proposed to amortize the $439,920 wastewater CWIP balance over eleven years.  </w:t>
      </w:r>
      <w:r w:rsidRPr="008E7712">
        <w:rPr>
          <w:i/>
          <w:iCs/>
          <w:szCs w:val="26"/>
        </w:rPr>
        <w:t>Id.</w:t>
      </w:r>
    </w:p>
    <w:p w14:paraId="26AA3745" w14:textId="77777777" w:rsidR="00854902" w:rsidRPr="008E7712" w:rsidRDefault="00854902" w:rsidP="00EB7CBC">
      <w:pPr>
        <w:autoSpaceDE w:val="0"/>
        <w:autoSpaceDN w:val="0"/>
        <w:adjustRightInd w:val="0"/>
        <w:rPr>
          <w:szCs w:val="26"/>
        </w:rPr>
      </w:pPr>
    </w:p>
    <w:p w14:paraId="6B1729E2" w14:textId="2C54AFB9" w:rsidR="00854902" w:rsidRDefault="00854902" w:rsidP="00EB7CBC">
      <w:pPr>
        <w:autoSpaceDE w:val="0"/>
        <w:autoSpaceDN w:val="0"/>
        <w:adjustRightInd w:val="0"/>
        <w:rPr>
          <w:szCs w:val="26"/>
        </w:rPr>
      </w:pPr>
      <w:r w:rsidRPr="008E7712">
        <w:rPr>
          <w:szCs w:val="26"/>
        </w:rPr>
        <w:tab/>
      </w:r>
      <w:r w:rsidRPr="008E7712">
        <w:rPr>
          <w:szCs w:val="26"/>
        </w:rPr>
        <w:tab/>
        <w:t>None of the Parties objected to the rate base value for Tamiment water and wastewater facilities in this rate case or with CUPA</w:t>
      </w:r>
      <w:r w:rsidR="00B26E26" w:rsidRPr="008E7712">
        <w:rPr>
          <w:szCs w:val="26"/>
        </w:rPr>
        <w:t>-Wastewater</w:t>
      </w:r>
      <w:r w:rsidRPr="008E7712">
        <w:rPr>
          <w:szCs w:val="26"/>
        </w:rPr>
        <w:t xml:space="preserve">’s proposal to amortize the $439,920 wastewater </w:t>
      </w:r>
      <w:r w:rsidRPr="00BB18BC">
        <w:rPr>
          <w:i/>
        </w:rPr>
        <w:t>CWIP</w:t>
      </w:r>
      <w:r w:rsidRPr="008E7712">
        <w:rPr>
          <w:szCs w:val="26"/>
        </w:rPr>
        <w:t xml:space="preserve"> balance over eleven years.  I&amp;E, in particular, submitted that the values comprising the rate bases are based on traditional and generally accepted ratemaking principles.  I&amp;E Statement in Support at 21.</w:t>
      </w:r>
    </w:p>
    <w:p w14:paraId="47E61C61" w14:textId="77777777" w:rsidR="00D60FBE" w:rsidRPr="008E7712" w:rsidRDefault="00D60FBE" w:rsidP="00EB7CBC">
      <w:pPr>
        <w:autoSpaceDE w:val="0"/>
        <w:autoSpaceDN w:val="0"/>
        <w:adjustRightInd w:val="0"/>
        <w:rPr>
          <w:szCs w:val="26"/>
        </w:rPr>
      </w:pPr>
    </w:p>
    <w:p w14:paraId="328D9B6E" w14:textId="14203864" w:rsidR="00854902" w:rsidRPr="008E7712" w:rsidRDefault="00854902" w:rsidP="00EB7CBC">
      <w:pPr>
        <w:autoSpaceDE w:val="0"/>
        <w:autoSpaceDN w:val="0"/>
        <w:adjustRightInd w:val="0"/>
        <w:rPr>
          <w:szCs w:val="26"/>
        </w:rPr>
      </w:pPr>
      <w:r w:rsidRPr="008E7712">
        <w:rPr>
          <w:szCs w:val="26"/>
        </w:rPr>
        <w:tab/>
      </w:r>
      <w:r w:rsidRPr="008E7712">
        <w:rPr>
          <w:szCs w:val="26"/>
        </w:rPr>
        <w:tab/>
        <w:t xml:space="preserve">Accordingly, the Joint Petitioners agree with the rate base values for Tamiment’s water and wastewater assets of $1,324,261 and $1,243, 135, respectively.  </w:t>
      </w:r>
      <w:r w:rsidR="005A64EC" w:rsidRPr="008E7712">
        <w:rPr>
          <w:szCs w:val="26"/>
        </w:rPr>
        <w:t xml:space="preserve">Joint Petition </w:t>
      </w:r>
      <w:r w:rsidRPr="008E7712">
        <w:rPr>
          <w:szCs w:val="26"/>
        </w:rPr>
        <w:t>at 13-14.  They also agree:</w:t>
      </w:r>
      <w:r w:rsidR="00040116">
        <w:rPr>
          <w:szCs w:val="26"/>
        </w:rPr>
        <w:t xml:space="preserve"> </w:t>
      </w:r>
      <w:r w:rsidRPr="008E7712">
        <w:rPr>
          <w:szCs w:val="26"/>
        </w:rPr>
        <w:t xml:space="preserve">(1) that part of the Company’s incremental revenue increase for wastewater will include the amortization expenses of the Tamiment CWIP, which will be amortized over eleven years ($439,920/11 = $39,992.73); (2) that the unamortized balance of the Tamiment CWIP will not be included in rate base at any time during or after the amortization period; and (3) that CUPA be authorized to record </w:t>
      </w:r>
      <w:r w:rsidRPr="008E7712">
        <w:rPr>
          <w:szCs w:val="26"/>
        </w:rPr>
        <w:lastRenderedPageBreak/>
        <w:t xml:space="preserve">the $39,992.73 of expense through depreciation, if allowed by its external auditor or accounting firm.  </w:t>
      </w:r>
      <w:r w:rsidR="00837F90" w:rsidRPr="008E7712">
        <w:rPr>
          <w:szCs w:val="26"/>
        </w:rPr>
        <w:t xml:space="preserve">Joint Petition </w:t>
      </w:r>
      <w:r w:rsidRPr="008E7712">
        <w:rPr>
          <w:szCs w:val="26"/>
        </w:rPr>
        <w:t xml:space="preserve">at 13-14; </w:t>
      </w:r>
      <w:r w:rsidR="00837F90" w:rsidRPr="00BB18BC">
        <w:rPr>
          <w:i/>
        </w:rPr>
        <w:t xml:space="preserve">November </w:t>
      </w:r>
      <w:r w:rsidRPr="00BB18BC">
        <w:rPr>
          <w:i/>
        </w:rPr>
        <w:t>Order</w:t>
      </w:r>
      <w:r w:rsidRPr="008E7712">
        <w:rPr>
          <w:szCs w:val="26"/>
        </w:rPr>
        <w:t xml:space="preserve"> at 18.</w:t>
      </w:r>
    </w:p>
    <w:p w14:paraId="7D909DE7" w14:textId="77777777" w:rsidR="00854902" w:rsidRPr="008E7712" w:rsidRDefault="00854902" w:rsidP="00EB7CBC">
      <w:pPr>
        <w:autoSpaceDE w:val="0"/>
        <w:autoSpaceDN w:val="0"/>
        <w:adjustRightInd w:val="0"/>
        <w:rPr>
          <w:szCs w:val="26"/>
        </w:rPr>
      </w:pPr>
    </w:p>
    <w:p w14:paraId="3006AA0B" w14:textId="77777777" w:rsidR="00854902" w:rsidRPr="008E7712" w:rsidRDefault="00854902" w:rsidP="00EB7CBC">
      <w:pPr>
        <w:autoSpaceDE w:val="0"/>
        <w:autoSpaceDN w:val="0"/>
        <w:adjustRightInd w:val="0"/>
        <w:rPr>
          <w:szCs w:val="26"/>
        </w:rPr>
      </w:pPr>
      <w:r w:rsidRPr="008E7712">
        <w:rPr>
          <w:szCs w:val="26"/>
        </w:rPr>
        <w:tab/>
      </w:r>
      <w:r w:rsidRPr="008E7712">
        <w:rPr>
          <w:szCs w:val="26"/>
        </w:rPr>
        <w:tab/>
        <w:t>The table below summarizes the final values for the Tamiment’s rate bases for its water and wastewater divisions that are included in the Settlement:</w:t>
      </w:r>
    </w:p>
    <w:p w14:paraId="0AB63D0B" w14:textId="77777777" w:rsidR="00854902" w:rsidRPr="008E7712" w:rsidRDefault="00854902" w:rsidP="00B17FB3">
      <w:pPr>
        <w:autoSpaceDE w:val="0"/>
        <w:autoSpaceDN w:val="0"/>
        <w:adjustRightInd w:val="0"/>
        <w:spacing w:line="240" w:lineRule="auto"/>
        <w:rPr>
          <w:szCs w:val="26"/>
        </w:rPr>
      </w:pPr>
    </w:p>
    <w:p w14:paraId="0C5088B2" w14:textId="77777777" w:rsidR="00854902" w:rsidRPr="008E7712" w:rsidRDefault="00854902" w:rsidP="00EB7CBC">
      <w:pPr>
        <w:keepNext/>
        <w:autoSpaceDE w:val="0"/>
        <w:autoSpaceDN w:val="0"/>
        <w:adjustRightInd w:val="0"/>
        <w:jc w:val="center"/>
        <w:rPr>
          <w:szCs w:val="26"/>
        </w:rPr>
      </w:pPr>
      <w:r w:rsidRPr="008E7712">
        <w:rPr>
          <w:noProof/>
          <w:szCs w:val="26"/>
        </w:rPr>
        <w:drawing>
          <wp:inline distT="0" distB="0" distL="0" distR="0" wp14:anchorId="441B4C42" wp14:editId="664962E1">
            <wp:extent cx="4175019" cy="981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7133" cy="981572"/>
                    </a:xfrm>
                    <a:prstGeom prst="rect">
                      <a:avLst/>
                    </a:prstGeom>
                    <a:noFill/>
                    <a:ln>
                      <a:noFill/>
                    </a:ln>
                  </pic:spPr>
                </pic:pic>
              </a:graphicData>
            </a:graphic>
          </wp:inline>
        </w:drawing>
      </w:r>
    </w:p>
    <w:p w14:paraId="0898C2E6" w14:textId="77777777" w:rsidR="00854902" w:rsidRPr="008E7712" w:rsidRDefault="00854902" w:rsidP="00EB7CBC">
      <w:pPr>
        <w:keepNext/>
        <w:autoSpaceDE w:val="0"/>
        <w:autoSpaceDN w:val="0"/>
        <w:adjustRightInd w:val="0"/>
        <w:spacing w:line="240" w:lineRule="auto"/>
        <w:rPr>
          <w:szCs w:val="26"/>
        </w:rPr>
      </w:pPr>
    </w:p>
    <w:p w14:paraId="6779A7CD" w14:textId="53436763" w:rsidR="00854902" w:rsidRPr="008E7712" w:rsidRDefault="00B47C32" w:rsidP="00D60FBE">
      <w:pPr>
        <w:keepNext/>
        <w:autoSpaceDE w:val="0"/>
        <w:autoSpaceDN w:val="0"/>
        <w:adjustRightInd w:val="0"/>
        <w:rPr>
          <w:szCs w:val="26"/>
        </w:rPr>
      </w:pPr>
      <w:r w:rsidRPr="008E7712">
        <w:rPr>
          <w:szCs w:val="26"/>
        </w:rPr>
        <w:t xml:space="preserve">Joint Petition </w:t>
      </w:r>
      <w:r w:rsidR="00854902" w:rsidRPr="008E7712">
        <w:rPr>
          <w:szCs w:val="26"/>
        </w:rPr>
        <w:t xml:space="preserve">at 13; CUPA St. No. 9-R at 4; </w:t>
      </w:r>
      <w:r w:rsidRPr="00BB18BC">
        <w:rPr>
          <w:i/>
        </w:rPr>
        <w:t>November</w:t>
      </w:r>
      <w:r w:rsidRPr="008E7712">
        <w:rPr>
          <w:szCs w:val="26"/>
        </w:rPr>
        <w:t xml:space="preserve"> </w:t>
      </w:r>
      <w:r w:rsidR="00854902" w:rsidRPr="00BB18BC">
        <w:rPr>
          <w:i/>
        </w:rPr>
        <w:t>Order</w:t>
      </w:r>
      <w:r w:rsidR="00854902" w:rsidRPr="008E7712">
        <w:rPr>
          <w:szCs w:val="26"/>
        </w:rPr>
        <w:t xml:space="preserve"> at 18.</w:t>
      </w:r>
    </w:p>
    <w:p w14:paraId="412750CB" w14:textId="77777777" w:rsidR="00854902" w:rsidRPr="008E7712" w:rsidRDefault="00854902" w:rsidP="00D60FBE">
      <w:pPr>
        <w:autoSpaceDE w:val="0"/>
        <w:autoSpaceDN w:val="0"/>
        <w:adjustRightInd w:val="0"/>
        <w:rPr>
          <w:szCs w:val="26"/>
        </w:rPr>
      </w:pPr>
    </w:p>
    <w:p w14:paraId="1C53561D" w14:textId="77777777" w:rsidR="00854902" w:rsidRPr="008E7712" w:rsidRDefault="00854902" w:rsidP="00D60FBE">
      <w:pPr>
        <w:autoSpaceDE w:val="0"/>
        <w:autoSpaceDN w:val="0"/>
        <w:adjustRightInd w:val="0"/>
        <w:rPr>
          <w:i/>
          <w:iCs/>
          <w:szCs w:val="26"/>
        </w:rPr>
      </w:pPr>
      <w:r w:rsidRPr="008E7712">
        <w:rPr>
          <w:szCs w:val="26"/>
        </w:rPr>
        <w:tab/>
      </w:r>
      <w:r w:rsidRPr="008E7712">
        <w:rPr>
          <w:szCs w:val="26"/>
        </w:rPr>
        <w:tab/>
        <w:t xml:space="preserve">Based on our review of the record, we are of the opinion that the valuations of the rate bases for Tamiment’s water and wastewater divisions, as set forth in the Settlement, comply with our </w:t>
      </w:r>
      <w:r w:rsidRPr="008E7712">
        <w:rPr>
          <w:i/>
          <w:iCs/>
          <w:szCs w:val="26"/>
        </w:rPr>
        <w:t xml:space="preserve">June 2019 Order </w:t>
      </w:r>
      <w:r w:rsidRPr="008E7712">
        <w:rPr>
          <w:szCs w:val="26"/>
        </w:rPr>
        <w:t>in that the record shows that they are based on traditional and generally accepted ratemaking principles.  I&amp;E Statement in Support at 21.  In addition, we believe it is prudent for the Company to amortize the $439,920 wastewater CWIP balance over eleven years.</w:t>
      </w:r>
    </w:p>
    <w:p w14:paraId="26428AAB" w14:textId="77777777" w:rsidR="00854902" w:rsidRPr="008E7712" w:rsidRDefault="00854902" w:rsidP="00EB7CBC">
      <w:pPr>
        <w:ind w:left="720" w:hanging="720"/>
        <w:rPr>
          <w:b/>
          <w:bCs/>
          <w:szCs w:val="26"/>
        </w:rPr>
      </w:pPr>
    </w:p>
    <w:p w14:paraId="1E232587" w14:textId="7511A4CB" w:rsidR="003F204B" w:rsidRPr="008E7712" w:rsidRDefault="00A327B7" w:rsidP="00996434">
      <w:pPr>
        <w:pStyle w:val="Heading2"/>
        <w:spacing w:line="360" w:lineRule="auto"/>
      </w:pPr>
      <w:bookmarkStart w:id="47" w:name="_Toc91576509"/>
      <w:r w:rsidRPr="008E7712">
        <w:t>I.</w:t>
      </w:r>
      <w:r w:rsidRPr="008E7712">
        <w:tab/>
      </w:r>
      <w:r w:rsidR="003F204B" w:rsidRPr="008E7712">
        <w:t>Residential Low-Income Programs</w:t>
      </w:r>
      <w:bookmarkEnd w:id="47"/>
    </w:p>
    <w:p w14:paraId="45637759" w14:textId="77777777" w:rsidR="003F204B" w:rsidRPr="008E7712" w:rsidRDefault="003F204B" w:rsidP="00996434">
      <w:pPr>
        <w:keepNext/>
        <w:rPr>
          <w:szCs w:val="26"/>
        </w:rPr>
      </w:pPr>
    </w:p>
    <w:p w14:paraId="13E659DE" w14:textId="0B3345A7" w:rsidR="003F204B" w:rsidRPr="008E7712" w:rsidRDefault="003F204B" w:rsidP="00996434">
      <w:pPr>
        <w:keepNext/>
        <w:autoSpaceDE w:val="0"/>
        <w:autoSpaceDN w:val="0"/>
        <w:adjustRightInd w:val="0"/>
        <w:rPr>
          <w:szCs w:val="26"/>
        </w:rPr>
      </w:pPr>
      <w:r w:rsidRPr="008E7712">
        <w:rPr>
          <w:szCs w:val="26"/>
        </w:rPr>
        <w:tab/>
      </w:r>
      <w:r w:rsidRPr="008E7712">
        <w:rPr>
          <w:szCs w:val="26"/>
        </w:rPr>
        <w:tab/>
        <w:t>Implementation of a low-income program for residential water customers was a contested issue in this proceeding.  As noted, and as discussed in more detail below, the proposed Settlement will make two low-income programs available to its residential customers: (1) the Residential Low-Income Water Service Rate and (2) the Low Income Household Water Assistance Program (LIHWAP).</w:t>
      </w:r>
    </w:p>
    <w:p w14:paraId="07124689" w14:textId="77777777" w:rsidR="003F204B" w:rsidRPr="008E7712" w:rsidRDefault="003F204B" w:rsidP="00996434">
      <w:pPr>
        <w:autoSpaceDE w:val="0"/>
        <w:autoSpaceDN w:val="0"/>
        <w:adjustRightInd w:val="0"/>
        <w:rPr>
          <w:szCs w:val="26"/>
        </w:rPr>
      </w:pPr>
    </w:p>
    <w:p w14:paraId="6328A1AD" w14:textId="3E32A932" w:rsidR="003F204B" w:rsidRPr="008E7712" w:rsidRDefault="003F204B" w:rsidP="00EB7CBC">
      <w:pPr>
        <w:autoSpaceDE w:val="0"/>
        <w:autoSpaceDN w:val="0"/>
        <w:adjustRightInd w:val="0"/>
        <w:rPr>
          <w:szCs w:val="26"/>
        </w:rPr>
      </w:pPr>
      <w:r w:rsidRPr="008E7712">
        <w:rPr>
          <w:szCs w:val="26"/>
        </w:rPr>
        <w:tab/>
      </w:r>
      <w:r w:rsidRPr="008E7712">
        <w:rPr>
          <w:szCs w:val="26"/>
        </w:rPr>
        <w:tab/>
        <w:t xml:space="preserve">The Company originally proposed a low-income tariffed rate for qualifying residence water customers of $4.13 per thousand gallons, which is a $7.80 discount or </w:t>
      </w:r>
      <w:r w:rsidRPr="008E7712">
        <w:rPr>
          <w:szCs w:val="26"/>
        </w:rPr>
        <w:lastRenderedPageBreak/>
        <w:t>65.4% of the proposed full residential usage rate of $11.93 per thousand gallons.  CUPA St. No. 4 at 7-8.  The low-income rate would apply for usage up to the class average of 3.498 kgals.  CUPA St. No. 4 at 6.  CUPA</w:t>
      </w:r>
      <w:r w:rsidR="005679F3" w:rsidRPr="008E7712">
        <w:rPr>
          <w:szCs w:val="26"/>
        </w:rPr>
        <w:t>-Water</w:t>
      </w:r>
      <w:r w:rsidRPr="008E7712">
        <w:rPr>
          <w:szCs w:val="26"/>
        </w:rPr>
        <w:t xml:space="preserve"> customers whose annual income falls below the federal poverty level, for a household of their size, would be eligible for the proposed low-income rate.  CUPA St. No. 4 at 6.  Because the low-income rate is intended to provide relief to customers using average volumes of water, any usage over the class average would be charged to qualifying customers at the regular residential volumetric rate.  </w:t>
      </w:r>
      <w:r w:rsidRPr="008E7712">
        <w:rPr>
          <w:i/>
          <w:iCs/>
          <w:szCs w:val="26"/>
        </w:rPr>
        <w:t>Id.</w:t>
      </w:r>
    </w:p>
    <w:p w14:paraId="28CF549F" w14:textId="77777777" w:rsidR="003F204B" w:rsidRPr="008E7712" w:rsidRDefault="003F204B" w:rsidP="00EB7CBC">
      <w:pPr>
        <w:autoSpaceDE w:val="0"/>
        <w:autoSpaceDN w:val="0"/>
        <w:adjustRightInd w:val="0"/>
        <w:rPr>
          <w:szCs w:val="26"/>
        </w:rPr>
      </w:pPr>
    </w:p>
    <w:p w14:paraId="34EE2B62" w14:textId="34E0D5D2" w:rsidR="003F204B" w:rsidRPr="008E7712" w:rsidRDefault="003F204B" w:rsidP="00EB7CBC">
      <w:pPr>
        <w:autoSpaceDE w:val="0"/>
        <w:autoSpaceDN w:val="0"/>
        <w:adjustRightInd w:val="0"/>
        <w:rPr>
          <w:szCs w:val="26"/>
        </w:rPr>
      </w:pPr>
      <w:r w:rsidRPr="008E7712">
        <w:rPr>
          <w:szCs w:val="26"/>
        </w:rPr>
        <w:tab/>
      </w:r>
      <w:r w:rsidRPr="008E7712">
        <w:rPr>
          <w:szCs w:val="26"/>
        </w:rPr>
        <w:tab/>
        <w:t>I&amp;E recommended that the Company’s low-income rate, as proposed, be rejected due to the impact on other residential ratepayers.  I&amp;E St. No. 3 at 20-21.  I&amp;E was concerned that CUPA</w:t>
      </w:r>
      <w:r w:rsidR="00700141" w:rsidRPr="008E7712">
        <w:rPr>
          <w:szCs w:val="26"/>
        </w:rPr>
        <w:t>-Water</w:t>
      </w:r>
      <w:r w:rsidRPr="008E7712">
        <w:rPr>
          <w:szCs w:val="26"/>
        </w:rPr>
        <w:t>’s proposed low-income usage rate would result in a revenue shortfall that would have to be recovered from other residential customers paying full tariff rates.  I&amp;E Statement in Support at 13.  Thus, I&amp;E asserted that any additional increases to other customers would have to be carefully considered, especially in this case where many customers testified about the financial hardship of the Company’s overall increase at the public input hearing.  I&amp;E Statement No. 3-SR at 23-24.</w:t>
      </w:r>
    </w:p>
    <w:p w14:paraId="30031D5A" w14:textId="77777777" w:rsidR="003F204B" w:rsidRPr="008E7712" w:rsidRDefault="003F204B" w:rsidP="00EB7CBC">
      <w:pPr>
        <w:autoSpaceDE w:val="0"/>
        <w:autoSpaceDN w:val="0"/>
        <w:adjustRightInd w:val="0"/>
        <w:rPr>
          <w:szCs w:val="26"/>
        </w:rPr>
      </w:pPr>
    </w:p>
    <w:p w14:paraId="0289DBDE" w14:textId="77777777" w:rsidR="003F204B" w:rsidRPr="008E7712" w:rsidRDefault="003F204B" w:rsidP="00EB7CBC">
      <w:pPr>
        <w:autoSpaceDE w:val="0"/>
        <w:autoSpaceDN w:val="0"/>
        <w:adjustRightInd w:val="0"/>
        <w:rPr>
          <w:szCs w:val="26"/>
        </w:rPr>
      </w:pPr>
      <w:r w:rsidRPr="008E7712">
        <w:rPr>
          <w:szCs w:val="26"/>
        </w:rPr>
        <w:tab/>
      </w:r>
      <w:r w:rsidRPr="008E7712">
        <w:rPr>
          <w:szCs w:val="26"/>
        </w:rPr>
        <w:tab/>
        <w:t>I&amp;E was also concerned that the Company’s generic analysis and estimation of customers who will qualify for the low-income rate could potentially permit the Company to over-recover in base rates.  In this regard, I&amp;E provided the following testimony:</w:t>
      </w:r>
    </w:p>
    <w:p w14:paraId="7DC482C6" w14:textId="77777777" w:rsidR="003F204B" w:rsidRPr="008E7712" w:rsidRDefault="003F204B" w:rsidP="00996434">
      <w:pPr>
        <w:autoSpaceDE w:val="0"/>
        <w:autoSpaceDN w:val="0"/>
        <w:adjustRightInd w:val="0"/>
        <w:spacing w:line="240" w:lineRule="auto"/>
        <w:rPr>
          <w:szCs w:val="26"/>
        </w:rPr>
      </w:pPr>
    </w:p>
    <w:p w14:paraId="76D9EFCC" w14:textId="77777777" w:rsidR="003F204B" w:rsidRPr="008E7712" w:rsidRDefault="003F204B" w:rsidP="00EB7CBC">
      <w:pPr>
        <w:autoSpaceDE w:val="0"/>
        <w:autoSpaceDN w:val="0"/>
        <w:adjustRightInd w:val="0"/>
        <w:spacing w:line="240" w:lineRule="auto"/>
        <w:ind w:left="1440" w:right="1440"/>
        <w:rPr>
          <w:szCs w:val="26"/>
        </w:rPr>
      </w:pPr>
      <w:r w:rsidRPr="008E7712">
        <w:rPr>
          <w:szCs w:val="26"/>
        </w:rPr>
        <w:t xml:space="preserve">The projected levels of revenue shortfalls generated by the Company’s generic analysis will cause harm to customers through the setting of the higher base rates necessary to subsidize this program.  Finally, since the revenue shortfall is built into base rates with no reconciliation of actual participation costs to those projected in this base rate case, the potential excess revenue generated by low participation in the program merely provides excess revenues to the Company </w:t>
      </w:r>
      <w:r w:rsidRPr="008E7712">
        <w:rPr>
          <w:szCs w:val="26"/>
        </w:rPr>
        <w:lastRenderedPageBreak/>
        <w:t>through the establishment of unreasonable and unsupported base rates.</w:t>
      </w:r>
    </w:p>
    <w:p w14:paraId="21D15E6C" w14:textId="77777777" w:rsidR="003F204B" w:rsidRPr="008E7712" w:rsidRDefault="003F204B" w:rsidP="00EB7CBC">
      <w:pPr>
        <w:autoSpaceDE w:val="0"/>
        <w:autoSpaceDN w:val="0"/>
        <w:adjustRightInd w:val="0"/>
        <w:rPr>
          <w:szCs w:val="26"/>
        </w:rPr>
      </w:pPr>
    </w:p>
    <w:p w14:paraId="78200BB4" w14:textId="6D068098" w:rsidR="003F204B" w:rsidRPr="008E7712" w:rsidRDefault="003F204B" w:rsidP="00EB7CBC">
      <w:pPr>
        <w:autoSpaceDE w:val="0"/>
        <w:autoSpaceDN w:val="0"/>
        <w:adjustRightInd w:val="0"/>
        <w:rPr>
          <w:szCs w:val="26"/>
        </w:rPr>
      </w:pPr>
      <w:r w:rsidRPr="008E7712">
        <w:rPr>
          <w:szCs w:val="26"/>
        </w:rPr>
        <w:t>I&amp;E Statement No. 3-SR at 26-27.  Because the low-income rate is a discount to the usage rates (rather than the fixed customer charges), assumptions need to be made about the number of customers who will participate and their usage volumes in order to set the regular and low-income rates that will recover CUPA</w:t>
      </w:r>
      <w:r w:rsidR="000E453E" w:rsidRPr="008E7712">
        <w:rPr>
          <w:szCs w:val="26"/>
        </w:rPr>
        <w:t>-Water</w:t>
      </w:r>
      <w:r w:rsidRPr="008E7712">
        <w:rPr>
          <w:szCs w:val="26"/>
        </w:rPr>
        <w:t>’s revenue requirement.  If the actual residential low-income usage (gallonage) is lower than projected, the Company will recover more revenue than intended.  Therefore, I&amp;E argued that if the Company recovers more revenue than intended, CUPA</w:t>
      </w:r>
      <w:r w:rsidR="000E453E" w:rsidRPr="008E7712">
        <w:rPr>
          <w:szCs w:val="26"/>
        </w:rPr>
        <w:t>-Water</w:t>
      </w:r>
      <w:r w:rsidRPr="008E7712">
        <w:rPr>
          <w:szCs w:val="26"/>
        </w:rPr>
        <w:t xml:space="preserve"> should return any revenue surplus to customers (regulatory liability) in its next base rate case.  Conversely, if the Company recovers less than intended because the actual residential low-income usage (gallonage) is higher than projected, I&amp;E submitted that CUPA</w:t>
      </w:r>
      <w:r w:rsidR="000E453E" w:rsidRPr="008E7712">
        <w:rPr>
          <w:szCs w:val="26"/>
        </w:rPr>
        <w:t>-Water</w:t>
      </w:r>
      <w:r w:rsidRPr="008E7712">
        <w:rPr>
          <w:szCs w:val="26"/>
        </w:rPr>
        <w:t xml:space="preserve"> should be permitted to claim any revenue shortfall in its next base rate case (regulatory asset).</w:t>
      </w:r>
    </w:p>
    <w:p w14:paraId="006DFA9F" w14:textId="77777777" w:rsidR="003F204B" w:rsidRPr="008E7712" w:rsidRDefault="003F204B" w:rsidP="00EB7CBC">
      <w:pPr>
        <w:autoSpaceDE w:val="0"/>
        <w:autoSpaceDN w:val="0"/>
        <w:adjustRightInd w:val="0"/>
        <w:rPr>
          <w:szCs w:val="26"/>
        </w:rPr>
      </w:pPr>
    </w:p>
    <w:p w14:paraId="16344D8D" w14:textId="27E08DAE" w:rsidR="003F204B" w:rsidRPr="008E7712" w:rsidRDefault="003F204B" w:rsidP="00EB7CBC">
      <w:pPr>
        <w:autoSpaceDE w:val="0"/>
        <w:autoSpaceDN w:val="0"/>
        <w:adjustRightInd w:val="0"/>
        <w:rPr>
          <w:szCs w:val="26"/>
        </w:rPr>
      </w:pPr>
      <w:r w:rsidRPr="008E7712">
        <w:rPr>
          <w:szCs w:val="26"/>
        </w:rPr>
        <w:tab/>
      </w:r>
      <w:r w:rsidRPr="008E7712">
        <w:rPr>
          <w:szCs w:val="26"/>
        </w:rPr>
        <w:tab/>
        <w:t xml:space="preserve">The OCA supported a low-income rate </w:t>
      </w:r>
      <w:r w:rsidR="00564208" w:rsidRPr="008E7712">
        <w:rPr>
          <w:szCs w:val="26"/>
        </w:rPr>
        <w:t>program but</w:t>
      </w:r>
      <w:r w:rsidRPr="008E7712">
        <w:rPr>
          <w:szCs w:val="26"/>
        </w:rPr>
        <w:t xml:space="preserve"> recommended that it should be approved on a pilot basis so that it can be evaluated and changed in the next base rate case, as appropriate, after some experience has been gained regarding the number of customers participating and their volumetric usage.  OCA St. 3 at 10; OCA Statement in Support at 12.</w:t>
      </w:r>
    </w:p>
    <w:p w14:paraId="6F8FDF01" w14:textId="77777777" w:rsidR="003F204B" w:rsidRPr="008E7712" w:rsidRDefault="003F204B" w:rsidP="00EB7CBC">
      <w:pPr>
        <w:autoSpaceDE w:val="0"/>
        <w:autoSpaceDN w:val="0"/>
        <w:adjustRightInd w:val="0"/>
        <w:rPr>
          <w:szCs w:val="26"/>
        </w:rPr>
      </w:pPr>
    </w:p>
    <w:p w14:paraId="7D6B2B53" w14:textId="2E05DB61" w:rsidR="003F204B" w:rsidRPr="008E7712" w:rsidRDefault="003F204B" w:rsidP="00EB7CBC">
      <w:pPr>
        <w:autoSpaceDE w:val="0"/>
        <w:autoSpaceDN w:val="0"/>
        <w:adjustRightInd w:val="0"/>
        <w:rPr>
          <w:szCs w:val="26"/>
        </w:rPr>
      </w:pPr>
      <w:r w:rsidRPr="008E7712">
        <w:rPr>
          <w:szCs w:val="26"/>
        </w:rPr>
        <w:tab/>
      </w:r>
      <w:r w:rsidRPr="008E7712">
        <w:rPr>
          <w:szCs w:val="26"/>
        </w:rPr>
        <w:tab/>
        <w:t>CUPA</w:t>
      </w:r>
      <w:r w:rsidR="000E453E" w:rsidRPr="008E7712">
        <w:rPr>
          <w:szCs w:val="26"/>
        </w:rPr>
        <w:t>-Wastewater</w:t>
      </w:r>
      <w:r w:rsidRPr="008E7712">
        <w:rPr>
          <w:szCs w:val="26"/>
        </w:rPr>
        <w:t xml:space="preserve"> did not originally propose a low-income program for its wastewater customers based on consistency, customer understanding of bill under new rates, and to consolidate the Tamiment service territory into CUPA</w:t>
      </w:r>
      <w:r w:rsidR="00E301D6" w:rsidRPr="008E7712">
        <w:rPr>
          <w:szCs w:val="26"/>
        </w:rPr>
        <w:t>-Wastewater</w:t>
      </w:r>
      <w:r w:rsidRPr="008E7712">
        <w:rPr>
          <w:szCs w:val="26"/>
        </w:rPr>
        <w:t>’s existing rate design.  OCA St. 3 at 14 (citing OCA Set IV-5).  The OCA, however, testified in favor of a low-income wastewater rate for residential customers in this proceeding.  OCA St. 3 at 14.  The OCA argued that the same reasons that support CUPA</w:t>
      </w:r>
      <w:r w:rsidR="00E301D6" w:rsidRPr="008E7712">
        <w:rPr>
          <w:szCs w:val="26"/>
        </w:rPr>
        <w:t>-Water</w:t>
      </w:r>
      <w:r w:rsidRPr="008E7712">
        <w:rPr>
          <w:szCs w:val="26"/>
        </w:rPr>
        <w:t xml:space="preserve">’s proposal to mitigate bills for its low-income residential water customers also support mitigating bills for </w:t>
      </w:r>
      <w:r w:rsidR="00E301D6" w:rsidRPr="008E7712">
        <w:rPr>
          <w:szCs w:val="26"/>
        </w:rPr>
        <w:t>CUPA-Wastewater’s</w:t>
      </w:r>
      <w:r w:rsidRPr="008E7712">
        <w:rPr>
          <w:szCs w:val="26"/>
        </w:rPr>
        <w:t xml:space="preserve"> low-income residential wastewater </w:t>
      </w:r>
      <w:r w:rsidRPr="008E7712">
        <w:rPr>
          <w:szCs w:val="26"/>
        </w:rPr>
        <w:lastRenderedPageBreak/>
        <w:t xml:space="preserve">customers.  </w:t>
      </w:r>
      <w:r w:rsidRPr="008E7712">
        <w:rPr>
          <w:i/>
          <w:iCs/>
          <w:szCs w:val="26"/>
        </w:rPr>
        <w:t>Id.</w:t>
      </w:r>
      <w:r w:rsidRPr="008E7712">
        <w:rPr>
          <w:szCs w:val="26"/>
        </w:rPr>
        <w:t xml:space="preserve">  In further support of a low-income wastewater rate, the OCA noted that CUPA’s uncollectible rate is higher for its wastewater customers than its water customers.  </w:t>
      </w:r>
      <w:r w:rsidRPr="008E7712">
        <w:rPr>
          <w:i/>
          <w:iCs/>
          <w:szCs w:val="26"/>
        </w:rPr>
        <w:t>Id.</w:t>
      </w:r>
      <w:r w:rsidRPr="008E7712">
        <w:rPr>
          <w:szCs w:val="26"/>
        </w:rPr>
        <w:t xml:space="preserve">  As set forth below, OCA’s witness, </w:t>
      </w:r>
      <w:r w:rsidR="0046016E">
        <w:rPr>
          <w:szCs w:val="26"/>
        </w:rPr>
        <w:t>Mr.</w:t>
      </w:r>
      <w:r w:rsidRPr="0044127C">
        <w:t xml:space="preserve"> Mierzwa</w:t>
      </w:r>
      <w:r w:rsidRPr="008E7712">
        <w:rPr>
          <w:szCs w:val="26"/>
        </w:rPr>
        <w:t>, provided testimony in favor of establishing a low-income wastewater residential pilot rate program in this proceeding:</w:t>
      </w:r>
    </w:p>
    <w:p w14:paraId="1369FE6D" w14:textId="77777777" w:rsidR="003F204B" w:rsidRPr="008E7712" w:rsidRDefault="003F204B" w:rsidP="00B17FB3">
      <w:pPr>
        <w:autoSpaceDE w:val="0"/>
        <w:autoSpaceDN w:val="0"/>
        <w:adjustRightInd w:val="0"/>
        <w:spacing w:line="240" w:lineRule="auto"/>
        <w:rPr>
          <w:szCs w:val="26"/>
        </w:rPr>
      </w:pPr>
    </w:p>
    <w:p w14:paraId="64524508" w14:textId="77777777" w:rsidR="003F204B" w:rsidRPr="008E7712" w:rsidRDefault="003F204B" w:rsidP="00EB7CBC">
      <w:pPr>
        <w:autoSpaceDE w:val="0"/>
        <w:autoSpaceDN w:val="0"/>
        <w:adjustRightInd w:val="0"/>
        <w:spacing w:line="240" w:lineRule="auto"/>
        <w:ind w:left="1440" w:right="1440"/>
        <w:rPr>
          <w:szCs w:val="26"/>
        </w:rPr>
      </w:pPr>
      <w:r w:rsidRPr="008E7712">
        <w:rPr>
          <w:szCs w:val="26"/>
        </w:rPr>
        <w:t xml:space="preserve">I recommend that CUPA establish a Low-Income Residential volumetric charge for the Tamiment Residential wastewater customers in this proceeding, calculated in the same manner as its proposed low-income rate for water customers after reflecting the scale back discussed above.  For CUPA’s low-income Residential wastewater customers in the other systems, who are not currently charged volumetric rates, I recommend a proportionate reduction to their flat charges after reflecting the scale back discussed above.  The volumetric (Tamiment) and flat rates (Utilities, Inc. of </w:t>
      </w:r>
      <w:proofErr w:type="gramStart"/>
      <w:r w:rsidRPr="008E7712">
        <w:rPr>
          <w:szCs w:val="26"/>
        </w:rPr>
        <w:t>Pennsylvania</w:t>
      </w:r>
      <w:proofErr w:type="gramEnd"/>
      <w:r w:rsidRPr="008E7712">
        <w:rPr>
          <w:szCs w:val="26"/>
        </w:rPr>
        <w:t xml:space="preserve"> and Penn Estates) for the other Residential wastewater customers should be increased proportionately to recover the revenue associated with the discount.</w:t>
      </w:r>
    </w:p>
    <w:p w14:paraId="432F2EE7" w14:textId="77777777" w:rsidR="003F204B" w:rsidRPr="008E7712" w:rsidRDefault="003F204B" w:rsidP="00EB7CBC">
      <w:pPr>
        <w:autoSpaceDE w:val="0"/>
        <w:autoSpaceDN w:val="0"/>
        <w:adjustRightInd w:val="0"/>
        <w:spacing w:line="240" w:lineRule="auto"/>
        <w:ind w:left="1440" w:right="1440"/>
        <w:rPr>
          <w:szCs w:val="26"/>
        </w:rPr>
      </w:pPr>
    </w:p>
    <w:p w14:paraId="04273C72" w14:textId="77777777" w:rsidR="003F204B" w:rsidRPr="008E7712" w:rsidRDefault="003F204B" w:rsidP="00EB7CBC">
      <w:pPr>
        <w:autoSpaceDE w:val="0"/>
        <w:autoSpaceDN w:val="0"/>
        <w:adjustRightInd w:val="0"/>
        <w:spacing w:line="240" w:lineRule="auto"/>
        <w:ind w:left="1440" w:right="1440"/>
        <w:rPr>
          <w:szCs w:val="26"/>
        </w:rPr>
      </w:pPr>
      <w:r w:rsidRPr="008E7712">
        <w:rPr>
          <w:szCs w:val="26"/>
        </w:rPr>
        <w:t>The Low-Income Residential wastewater rates should be approved in this proceeding as a pilot program.  In CUPA’s next base rate proceeding, the Company should identify the number of customers participating in the program and the volumetric usage of those customers in the Tamiment system, so that the OCA and other parties can evaluate the program and recommend appropriate changes.</w:t>
      </w:r>
    </w:p>
    <w:p w14:paraId="7046A3CC" w14:textId="77777777" w:rsidR="003F204B" w:rsidRPr="008E7712" w:rsidRDefault="003F204B" w:rsidP="00EB7CBC">
      <w:pPr>
        <w:autoSpaceDE w:val="0"/>
        <w:autoSpaceDN w:val="0"/>
        <w:adjustRightInd w:val="0"/>
        <w:ind w:left="1440" w:right="1440"/>
        <w:rPr>
          <w:szCs w:val="26"/>
        </w:rPr>
      </w:pPr>
    </w:p>
    <w:p w14:paraId="6106C6C3" w14:textId="659F0ABF" w:rsidR="003F204B" w:rsidRPr="008E7712" w:rsidRDefault="003F204B" w:rsidP="00996434">
      <w:pPr>
        <w:autoSpaceDE w:val="0"/>
        <w:autoSpaceDN w:val="0"/>
        <w:adjustRightInd w:val="0"/>
        <w:rPr>
          <w:szCs w:val="26"/>
        </w:rPr>
      </w:pPr>
      <w:r w:rsidRPr="008E7712">
        <w:rPr>
          <w:szCs w:val="26"/>
        </w:rPr>
        <w:t>OCA St. No. 3 at 14-15.  Nevertheless, in negotiations, the OCA agreed to establishing a pilot low-income residential usage rate for wastewater customers in the Company’s next rate case.  OCA S</w:t>
      </w:r>
      <w:r w:rsidR="0006486A" w:rsidRPr="008E7712">
        <w:rPr>
          <w:szCs w:val="26"/>
        </w:rPr>
        <w:t xml:space="preserve">tatement in Support </w:t>
      </w:r>
      <w:r w:rsidRPr="008E7712">
        <w:rPr>
          <w:szCs w:val="26"/>
        </w:rPr>
        <w:t xml:space="preserve">at 12-13.  According to the OCA, </w:t>
      </w:r>
      <w:r w:rsidR="0006486A" w:rsidRPr="008E7712">
        <w:rPr>
          <w:szCs w:val="26"/>
        </w:rPr>
        <w:t>because</w:t>
      </w:r>
      <w:r w:rsidRPr="008E7712">
        <w:rPr>
          <w:szCs w:val="26"/>
        </w:rPr>
        <w:t xml:space="preserve"> some wastewater customers currently have fixed (flat) rates and some have metered usage rates, an advantage in delaying implementation of a pilot low-income wastewater program is that CUPA</w:t>
      </w:r>
      <w:r w:rsidR="00DD36B8" w:rsidRPr="008E7712">
        <w:rPr>
          <w:szCs w:val="26"/>
        </w:rPr>
        <w:t>-Wastewater</w:t>
      </w:r>
      <w:r w:rsidRPr="008E7712">
        <w:rPr>
          <w:szCs w:val="26"/>
        </w:rPr>
        <w:t xml:space="preserve"> will also be proposing that all wastewater rates be based on metered usage in its next case, and this will simplify the development of the low-income wastewater rate.  In addition, the Company will have the benefit of </w:t>
      </w:r>
      <w:r w:rsidRPr="008E7712">
        <w:rPr>
          <w:szCs w:val="26"/>
        </w:rPr>
        <w:lastRenderedPageBreak/>
        <w:t xml:space="preserve">experience and data related to its low-income program for water customers, including the level of participation in the program.  </w:t>
      </w:r>
      <w:r w:rsidRPr="008E7712">
        <w:rPr>
          <w:i/>
          <w:iCs/>
          <w:szCs w:val="26"/>
        </w:rPr>
        <w:t>Id.</w:t>
      </w:r>
    </w:p>
    <w:p w14:paraId="5C041834" w14:textId="77777777" w:rsidR="003F204B" w:rsidRPr="008E7712" w:rsidRDefault="003F204B" w:rsidP="00996434">
      <w:pPr>
        <w:autoSpaceDE w:val="0"/>
        <w:autoSpaceDN w:val="0"/>
        <w:adjustRightInd w:val="0"/>
        <w:rPr>
          <w:szCs w:val="26"/>
        </w:rPr>
      </w:pPr>
    </w:p>
    <w:p w14:paraId="24217C47" w14:textId="4AAC50A2" w:rsidR="003F204B" w:rsidRPr="008E7712" w:rsidRDefault="003F204B" w:rsidP="00996434">
      <w:pPr>
        <w:autoSpaceDE w:val="0"/>
        <w:autoSpaceDN w:val="0"/>
        <w:adjustRightInd w:val="0"/>
        <w:rPr>
          <w:szCs w:val="26"/>
        </w:rPr>
      </w:pPr>
      <w:r w:rsidRPr="008E7712">
        <w:rPr>
          <w:szCs w:val="26"/>
        </w:rPr>
        <w:tab/>
      </w:r>
      <w:r w:rsidRPr="008E7712">
        <w:rPr>
          <w:szCs w:val="26"/>
        </w:rPr>
        <w:tab/>
        <w:t xml:space="preserve">Based on the negotiations of the differing positions of the </w:t>
      </w:r>
      <w:r w:rsidR="00D77FA3" w:rsidRPr="008E7712">
        <w:rPr>
          <w:szCs w:val="26"/>
        </w:rPr>
        <w:t>P</w:t>
      </w:r>
      <w:r w:rsidRPr="008E7712">
        <w:rPr>
          <w:szCs w:val="26"/>
        </w:rPr>
        <w:t xml:space="preserve">arties, the settling </w:t>
      </w:r>
      <w:r w:rsidR="00D77FA3" w:rsidRPr="008E7712">
        <w:rPr>
          <w:szCs w:val="26"/>
        </w:rPr>
        <w:t>P</w:t>
      </w:r>
      <w:r w:rsidRPr="008E7712">
        <w:rPr>
          <w:szCs w:val="26"/>
        </w:rPr>
        <w:t>arties ultimately agreed to accept I&amp;E’s and the OCA’s suggested modifications to CUPA</w:t>
      </w:r>
      <w:r w:rsidR="00DD36B8" w:rsidRPr="008E7712">
        <w:rPr>
          <w:szCs w:val="26"/>
        </w:rPr>
        <w:t>-Water</w:t>
      </w:r>
      <w:r w:rsidRPr="008E7712">
        <w:rPr>
          <w:szCs w:val="26"/>
        </w:rPr>
        <w:t>’s originally proposed low-income residential water service rate program:  (1) a residential low-income water rate based on usage using a discount of 35% in lieu of the 65.4% discount proposed by the Company to lessen the bill impact on CUPA</w:t>
      </w:r>
      <w:r w:rsidR="00DD36B8" w:rsidRPr="008E7712">
        <w:rPr>
          <w:szCs w:val="26"/>
        </w:rPr>
        <w:t>-Water</w:t>
      </w:r>
      <w:r w:rsidRPr="008E7712">
        <w:rPr>
          <w:szCs w:val="26"/>
        </w:rPr>
        <w:t xml:space="preserve"> customers paying full tariff rates while also providing low-income customers with bill relief through the 35% volumetric rate discount; (2) the residential low-income water rate will be established as a pilot program until CUPA</w:t>
      </w:r>
      <w:r w:rsidR="00484756" w:rsidRPr="008E7712">
        <w:rPr>
          <w:szCs w:val="26"/>
        </w:rPr>
        <w:t>-Water</w:t>
      </w:r>
      <w:r w:rsidRPr="008E7712">
        <w:rPr>
          <w:szCs w:val="26"/>
        </w:rPr>
        <w:t>’s next rate base proceeding; (3)</w:t>
      </w:r>
      <w:r w:rsidR="00D77FA3" w:rsidRPr="008E7712">
        <w:rPr>
          <w:szCs w:val="26"/>
        </w:rPr>
        <w:t> </w:t>
      </w:r>
      <w:r w:rsidRPr="008E7712">
        <w:rPr>
          <w:szCs w:val="26"/>
        </w:rPr>
        <w:t>the Company will record a regulatory asset or liability for the amounts included in rates, which will be recovered from or refunded to customers in the next base rate case proceeding; (4) the Company will provide (a) the amount of water revenue included in the regulatory asset or liability (</w:t>
      </w:r>
      <w:r w:rsidRPr="008E7712">
        <w:rPr>
          <w:i/>
          <w:iCs/>
          <w:szCs w:val="26"/>
        </w:rPr>
        <w:t>i.e.</w:t>
      </w:r>
      <w:r w:rsidRPr="008E7712">
        <w:rPr>
          <w:szCs w:val="26"/>
        </w:rPr>
        <w:t>, the difference between the projected and the actual residential low-income gallonage multiplied by the difference between the low-income rate and the regular residential rate) and (b) quarterly reports that track and record the total low-income water service customer participation, total gallons used by enrolled customers, and the associated water revenue shortfall or surplus resulting from the reduced volumetric rates for enrolled customers; and (5) CUPA</w:t>
      </w:r>
      <w:r w:rsidR="00484756" w:rsidRPr="008E7712">
        <w:rPr>
          <w:szCs w:val="26"/>
        </w:rPr>
        <w:t>-Wastewater</w:t>
      </w:r>
      <w:r w:rsidRPr="008E7712">
        <w:rPr>
          <w:szCs w:val="26"/>
        </w:rPr>
        <w:t xml:space="preserve"> will propose a low-income residential wastewater service rate pilot program in its next base rate proceeding.  The proposed terms and conditions of the low-income water service rate pilot program are reflected in Paragraph Nos. 14-16 of the Settlement as follows:</w:t>
      </w:r>
    </w:p>
    <w:p w14:paraId="33A96D29" w14:textId="77777777" w:rsidR="003F204B" w:rsidRPr="008E7712" w:rsidRDefault="003F204B" w:rsidP="00EB7CBC">
      <w:pPr>
        <w:autoSpaceDE w:val="0"/>
        <w:autoSpaceDN w:val="0"/>
        <w:adjustRightInd w:val="0"/>
        <w:spacing w:line="240" w:lineRule="auto"/>
        <w:rPr>
          <w:szCs w:val="26"/>
        </w:rPr>
      </w:pPr>
    </w:p>
    <w:p w14:paraId="05CD8EAC" w14:textId="5506D6CD" w:rsidR="003F204B" w:rsidRPr="008E7712" w:rsidRDefault="003F204B" w:rsidP="00EB7CBC">
      <w:pPr>
        <w:autoSpaceDE w:val="0"/>
        <w:autoSpaceDN w:val="0"/>
        <w:adjustRightInd w:val="0"/>
        <w:spacing w:line="240" w:lineRule="auto"/>
        <w:ind w:left="2160" w:right="1440" w:hanging="720"/>
        <w:rPr>
          <w:szCs w:val="26"/>
        </w:rPr>
      </w:pPr>
      <w:r w:rsidRPr="008E7712">
        <w:rPr>
          <w:szCs w:val="26"/>
        </w:rPr>
        <w:t>14.</w:t>
      </w:r>
      <w:r w:rsidRPr="008E7712">
        <w:rPr>
          <w:szCs w:val="26"/>
        </w:rPr>
        <w:tab/>
        <w:t>CUPA’s proposed Low-Income Rate for residential water service will be approved as a pilot program until the next base rate proceeding, with the following modifications: after scaleback for the reduction in revenue requirement provided in this settlement, the low-income rates for each system will provide a 35%</w:t>
      </w:r>
      <w:r w:rsidR="002E7A63" w:rsidRPr="008E7712">
        <w:rPr>
          <w:szCs w:val="26"/>
        </w:rPr>
        <w:t> </w:t>
      </w:r>
      <w:r w:rsidRPr="008E7712">
        <w:rPr>
          <w:szCs w:val="26"/>
        </w:rPr>
        <w:t xml:space="preserve">discount rather than 65% as originally proposed </w:t>
      </w:r>
      <w:r w:rsidRPr="008E7712">
        <w:rPr>
          <w:szCs w:val="26"/>
        </w:rPr>
        <w:lastRenderedPageBreak/>
        <w:t>(pinned to 35% of the regular residential rate), from the regular residential volumetric rates.  In the next base rate case, all parties reserve their rights to address continuation or modification of the program.</w:t>
      </w:r>
    </w:p>
    <w:p w14:paraId="39E7089E" w14:textId="77777777" w:rsidR="003F204B" w:rsidRPr="008E7712" w:rsidRDefault="003F204B" w:rsidP="00EB7CBC">
      <w:pPr>
        <w:autoSpaceDE w:val="0"/>
        <w:autoSpaceDN w:val="0"/>
        <w:adjustRightInd w:val="0"/>
        <w:spacing w:line="240" w:lineRule="auto"/>
        <w:ind w:left="2160" w:right="1440" w:hanging="720"/>
        <w:rPr>
          <w:szCs w:val="26"/>
        </w:rPr>
      </w:pPr>
    </w:p>
    <w:p w14:paraId="6F426EB6" w14:textId="77777777" w:rsidR="003F204B" w:rsidRPr="008E7712" w:rsidRDefault="003F204B" w:rsidP="00EB7CBC">
      <w:pPr>
        <w:autoSpaceDE w:val="0"/>
        <w:autoSpaceDN w:val="0"/>
        <w:adjustRightInd w:val="0"/>
        <w:spacing w:line="240" w:lineRule="auto"/>
        <w:ind w:left="2160" w:right="1440" w:hanging="720"/>
        <w:rPr>
          <w:szCs w:val="26"/>
        </w:rPr>
      </w:pPr>
      <w:r w:rsidRPr="008E7712">
        <w:rPr>
          <w:szCs w:val="26"/>
        </w:rPr>
        <w:t>15.</w:t>
      </w:r>
      <w:r w:rsidRPr="008E7712">
        <w:rPr>
          <w:szCs w:val="26"/>
        </w:rPr>
        <w:tab/>
        <w:t>During the period that the residential low-income rate for water service is considered a pilot program, the Company will record a regulatory asset or liability for amounts over or under the amount included in rates for recovery or refund in the next base rate case.  The amount of revenue included in rates is the projected CUPA residential low-income gallonage of 15,066.541 kilogallons multiplied by the low-income rate of $8.784, plus the projected Tamiment low-income gallonage of 2,590.588 kilogallons multiplied by the low-income rate of $7.444.  The amount of water revenue to be included in the regulatory asset or liability is the difference between the projected and the actual residential low-income gallonage multiplied by the difference between the low-income rate and the regular residential rate.  The Company will provide quarterly updates detailing total customer participation, total gallons used by enrolled customers, and the associated water revenue shortfall or surplus resulting from the reduced volumetric rates for enrolled customers.  The regulatory asset/liability provision and quarterly update requirements will be subject to review and modification in the next base rate case.</w:t>
      </w:r>
    </w:p>
    <w:p w14:paraId="629E29BC" w14:textId="77777777" w:rsidR="003F204B" w:rsidRPr="008E7712" w:rsidRDefault="003F204B" w:rsidP="00EB7CBC">
      <w:pPr>
        <w:autoSpaceDE w:val="0"/>
        <w:autoSpaceDN w:val="0"/>
        <w:adjustRightInd w:val="0"/>
        <w:spacing w:line="240" w:lineRule="auto"/>
        <w:ind w:left="2160" w:right="1440" w:hanging="720"/>
        <w:rPr>
          <w:szCs w:val="26"/>
        </w:rPr>
      </w:pPr>
    </w:p>
    <w:p w14:paraId="68B4079B" w14:textId="77777777" w:rsidR="003F204B" w:rsidRPr="008E7712" w:rsidRDefault="003F204B" w:rsidP="00EB7CBC">
      <w:pPr>
        <w:autoSpaceDE w:val="0"/>
        <w:autoSpaceDN w:val="0"/>
        <w:adjustRightInd w:val="0"/>
        <w:spacing w:line="240" w:lineRule="auto"/>
        <w:ind w:left="2160" w:right="1440" w:hanging="720"/>
        <w:rPr>
          <w:szCs w:val="26"/>
        </w:rPr>
      </w:pPr>
      <w:r w:rsidRPr="008E7712">
        <w:rPr>
          <w:szCs w:val="26"/>
        </w:rPr>
        <w:t>16.</w:t>
      </w:r>
      <w:r w:rsidRPr="008E7712">
        <w:rPr>
          <w:szCs w:val="26"/>
        </w:rPr>
        <w:tab/>
        <w:t>In its next base rate proceeding, CUPA will propose a Low-Income Rate for residential wastewater service, as a pilot program.  All parties reserve the right to challenge the proposal.</w:t>
      </w:r>
    </w:p>
    <w:p w14:paraId="5D94BE3E" w14:textId="77777777" w:rsidR="003F204B" w:rsidRPr="008E7712" w:rsidRDefault="003F204B" w:rsidP="00B17FB3">
      <w:pPr>
        <w:autoSpaceDE w:val="0"/>
        <w:autoSpaceDN w:val="0"/>
        <w:adjustRightInd w:val="0"/>
        <w:spacing w:line="480" w:lineRule="auto"/>
        <w:rPr>
          <w:szCs w:val="26"/>
        </w:rPr>
      </w:pPr>
    </w:p>
    <w:p w14:paraId="2E5330CF" w14:textId="615ABCE4" w:rsidR="003F204B" w:rsidRPr="008E7712" w:rsidRDefault="003F204B" w:rsidP="00996434">
      <w:pPr>
        <w:autoSpaceDE w:val="0"/>
        <w:autoSpaceDN w:val="0"/>
        <w:adjustRightInd w:val="0"/>
        <w:rPr>
          <w:szCs w:val="26"/>
        </w:rPr>
      </w:pPr>
      <w:r w:rsidRPr="008E7712">
        <w:rPr>
          <w:szCs w:val="26"/>
        </w:rPr>
        <w:tab/>
      </w:r>
      <w:r w:rsidRPr="008E7712">
        <w:rPr>
          <w:szCs w:val="26"/>
        </w:rPr>
        <w:tab/>
        <w:t>The second low-income component of the Settlement provides that CUPA</w:t>
      </w:r>
      <w:r w:rsidR="00996434">
        <w:rPr>
          <w:szCs w:val="26"/>
        </w:rPr>
        <w:noBreakHyphen/>
      </w:r>
      <w:r w:rsidR="000526FD" w:rsidRPr="008E7712">
        <w:rPr>
          <w:szCs w:val="26"/>
        </w:rPr>
        <w:t>Water</w:t>
      </w:r>
      <w:r w:rsidRPr="008E7712">
        <w:rPr>
          <w:szCs w:val="26"/>
        </w:rPr>
        <w:t xml:space="preserve"> has committed to participate, and promote registration by eligible customers, in the new Low Income Household Water Assistance Program (LIHWAP) </w:t>
      </w:r>
      <w:r w:rsidRPr="008E7712">
        <w:rPr>
          <w:szCs w:val="26"/>
        </w:rPr>
        <w:lastRenderedPageBreak/>
        <w:t>when it becomes available in Pennsylvania.</w:t>
      </w:r>
      <w:r w:rsidRPr="008E7712">
        <w:rPr>
          <w:rStyle w:val="FootnoteReference"/>
          <w:szCs w:val="26"/>
        </w:rPr>
        <w:footnoteReference w:id="30"/>
      </w:r>
      <w:r w:rsidRPr="008E7712">
        <w:rPr>
          <w:szCs w:val="26"/>
        </w:rPr>
        <w:t xml:space="preserve">  CUPA St. No. 8-R at 7; </w:t>
      </w:r>
      <w:r w:rsidR="000526FD" w:rsidRPr="008E7712">
        <w:rPr>
          <w:szCs w:val="26"/>
        </w:rPr>
        <w:t>Joint Petition at</w:t>
      </w:r>
      <w:r w:rsidRPr="008E7712">
        <w:rPr>
          <w:szCs w:val="26"/>
        </w:rPr>
        <w:t xml:space="preserve"> ¶</w:t>
      </w:r>
      <w:r w:rsidR="00996434">
        <w:rPr>
          <w:szCs w:val="26"/>
        </w:rPr>
        <w:t> </w:t>
      </w:r>
      <w:r w:rsidRPr="008E7712">
        <w:rPr>
          <w:szCs w:val="26"/>
        </w:rPr>
        <w:t>II.E.17.  This program will provide monetary assistance to water and wastewater ratepayers who meet the income thresholds to help pay their bills and avoid service termination.  Specifically, the Company has committed to provide information to customers on how to register for the program, through a bill insert, when the program opens and when CUPA</w:t>
      </w:r>
      <w:r w:rsidR="009C11C4" w:rsidRPr="008E7712">
        <w:rPr>
          <w:szCs w:val="26"/>
        </w:rPr>
        <w:t>-Water</w:t>
      </w:r>
      <w:r w:rsidRPr="008E7712">
        <w:rPr>
          <w:szCs w:val="26"/>
        </w:rPr>
        <w:t xml:space="preserve"> contacts customers about disconnection or arrearages.  </w:t>
      </w:r>
      <w:r w:rsidRPr="008E7712">
        <w:rPr>
          <w:i/>
          <w:iCs/>
          <w:szCs w:val="26"/>
        </w:rPr>
        <w:t>Id.</w:t>
      </w:r>
      <w:r w:rsidRPr="008E7712">
        <w:rPr>
          <w:szCs w:val="26"/>
        </w:rPr>
        <w:t>; OCA S</w:t>
      </w:r>
      <w:r w:rsidR="009C11C4" w:rsidRPr="008E7712">
        <w:rPr>
          <w:szCs w:val="26"/>
        </w:rPr>
        <w:t xml:space="preserve">tatement in </w:t>
      </w:r>
      <w:r w:rsidRPr="008E7712">
        <w:rPr>
          <w:szCs w:val="26"/>
        </w:rPr>
        <w:t>S</w:t>
      </w:r>
      <w:r w:rsidR="009C11C4" w:rsidRPr="008E7712">
        <w:rPr>
          <w:szCs w:val="26"/>
        </w:rPr>
        <w:t>upport</w:t>
      </w:r>
      <w:r w:rsidRPr="008E7712">
        <w:rPr>
          <w:szCs w:val="26"/>
        </w:rPr>
        <w:t xml:space="preserve"> at 13-14.  The terms and conditions in the Settlement associated with the Company’s commitment to participate in LIHWAP when it becomes available are provided below:</w:t>
      </w:r>
    </w:p>
    <w:p w14:paraId="48843856" w14:textId="77777777" w:rsidR="003F204B" w:rsidRPr="008E7712" w:rsidRDefault="003F204B" w:rsidP="00EB7CBC">
      <w:pPr>
        <w:autoSpaceDE w:val="0"/>
        <w:autoSpaceDN w:val="0"/>
        <w:adjustRightInd w:val="0"/>
        <w:spacing w:line="240" w:lineRule="auto"/>
        <w:rPr>
          <w:szCs w:val="26"/>
        </w:rPr>
      </w:pPr>
    </w:p>
    <w:p w14:paraId="13720B7E" w14:textId="577DC027" w:rsidR="003F204B" w:rsidRPr="008E7712" w:rsidRDefault="003F204B" w:rsidP="00DA1039">
      <w:pPr>
        <w:keepNext/>
        <w:autoSpaceDE w:val="0"/>
        <w:autoSpaceDN w:val="0"/>
        <w:adjustRightInd w:val="0"/>
        <w:spacing w:line="240" w:lineRule="auto"/>
        <w:ind w:left="2160" w:right="1440" w:hanging="720"/>
        <w:rPr>
          <w:szCs w:val="26"/>
        </w:rPr>
      </w:pPr>
      <w:r w:rsidRPr="008E7712">
        <w:rPr>
          <w:szCs w:val="26"/>
        </w:rPr>
        <w:t>17.</w:t>
      </w:r>
      <w:r w:rsidR="003919C4" w:rsidRPr="008E7712">
        <w:rPr>
          <w:szCs w:val="26"/>
        </w:rPr>
        <w:tab/>
      </w:r>
      <w:r w:rsidRPr="008E7712">
        <w:rPr>
          <w:szCs w:val="26"/>
        </w:rPr>
        <w:t xml:space="preserve">The Company will participate in the Low Income Household Water Assistance Program (LIHWAP) providing a bill insert to all customers once the program is available with information on how to register for the program,5 providing that information when contacting customers about disconnection or </w:t>
      </w:r>
      <w:proofErr w:type="gramStart"/>
      <w:r w:rsidRPr="008E7712">
        <w:rPr>
          <w:szCs w:val="26"/>
        </w:rPr>
        <w:t>arrearages, and</w:t>
      </w:r>
      <w:proofErr w:type="gramEnd"/>
      <w:r w:rsidRPr="008E7712">
        <w:rPr>
          <w:szCs w:val="26"/>
        </w:rPr>
        <w:t xml:space="preserve"> utilizing LIHWAP funds for its water and wastewater customers consistent with the final PA</w:t>
      </w:r>
      <w:r w:rsidR="00996434">
        <w:rPr>
          <w:szCs w:val="26"/>
        </w:rPr>
        <w:t> </w:t>
      </w:r>
      <w:r w:rsidRPr="008E7712">
        <w:rPr>
          <w:szCs w:val="26"/>
        </w:rPr>
        <w:t>Department of Human Services requirements.  Funds received by CUPA from PA LIHWAP will be included in the quarterly reports in Paragraph 7 above.  In the next base rate case, all parties reserve the right to review and address whether any of the PA LIHWAP funding received by CUPA should be included in the regulatory asset or liability.</w:t>
      </w:r>
    </w:p>
    <w:p w14:paraId="192FA8DB" w14:textId="77777777" w:rsidR="003F204B" w:rsidRPr="008E7712" w:rsidRDefault="003F204B" w:rsidP="00DA1039">
      <w:pPr>
        <w:keepNext/>
        <w:autoSpaceDE w:val="0"/>
        <w:autoSpaceDN w:val="0"/>
        <w:adjustRightInd w:val="0"/>
        <w:rPr>
          <w:szCs w:val="26"/>
        </w:rPr>
      </w:pPr>
    </w:p>
    <w:p w14:paraId="546DA95B" w14:textId="4F85170D" w:rsidR="003F204B" w:rsidRPr="008E7712" w:rsidRDefault="00944170" w:rsidP="00DA1039">
      <w:pPr>
        <w:keepNext/>
        <w:autoSpaceDE w:val="0"/>
        <w:autoSpaceDN w:val="0"/>
        <w:adjustRightInd w:val="0"/>
        <w:rPr>
          <w:szCs w:val="26"/>
        </w:rPr>
      </w:pPr>
      <w:r w:rsidRPr="008E7712">
        <w:rPr>
          <w:szCs w:val="26"/>
        </w:rPr>
        <w:t xml:space="preserve">Joint Petition at </w:t>
      </w:r>
      <w:r w:rsidR="003F204B" w:rsidRPr="008E7712">
        <w:rPr>
          <w:szCs w:val="26"/>
        </w:rPr>
        <w:t>¶ II.E.17 at 11.</w:t>
      </w:r>
    </w:p>
    <w:p w14:paraId="0E06F30F" w14:textId="77777777" w:rsidR="003F204B" w:rsidRPr="008E7712" w:rsidRDefault="003F204B" w:rsidP="00EB7CBC">
      <w:pPr>
        <w:autoSpaceDE w:val="0"/>
        <w:autoSpaceDN w:val="0"/>
        <w:adjustRightInd w:val="0"/>
        <w:rPr>
          <w:szCs w:val="26"/>
        </w:rPr>
      </w:pPr>
    </w:p>
    <w:p w14:paraId="3BA7489D" w14:textId="77777777" w:rsidR="003F204B" w:rsidRPr="008E7712" w:rsidRDefault="003F204B" w:rsidP="00EB7CBC">
      <w:pPr>
        <w:autoSpaceDE w:val="0"/>
        <w:autoSpaceDN w:val="0"/>
        <w:adjustRightInd w:val="0"/>
        <w:rPr>
          <w:szCs w:val="26"/>
        </w:rPr>
      </w:pPr>
      <w:r w:rsidRPr="008E7712">
        <w:rPr>
          <w:szCs w:val="26"/>
        </w:rPr>
        <w:lastRenderedPageBreak/>
        <w:tab/>
      </w:r>
      <w:r w:rsidRPr="008E7712">
        <w:rPr>
          <w:szCs w:val="26"/>
        </w:rPr>
        <w:tab/>
        <w:t>In rejecting the Settlement, the ALJ opined that “the contention [by CUPA in its Statement in Support at 2] that the low-income programs referenced in the proposed Joint Settlement ‘helps mitigate the effect of the rate increase on consumers,’ is without merit.”  The ALJ expanded on his position as follows:</w:t>
      </w:r>
    </w:p>
    <w:p w14:paraId="1B99716D" w14:textId="77777777" w:rsidR="003F204B" w:rsidRPr="008E7712" w:rsidRDefault="003F204B" w:rsidP="00EB7CBC">
      <w:pPr>
        <w:autoSpaceDE w:val="0"/>
        <w:autoSpaceDN w:val="0"/>
        <w:adjustRightInd w:val="0"/>
        <w:spacing w:line="240" w:lineRule="auto"/>
        <w:rPr>
          <w:szCs w:val="26"/>
        </w:rPr>
      </w:pPr>
    </w:p>
    <w:p w14:paraId="68A11386" w14:textId="77777777" w:rsidR="003F204B" w:rsidRPr="008E7712" w:rsidRDefault="003F204B" w:rsidP="00EB7CBC">
      <w:pPr>
        <w:keepNext/>
        <w:spacing w:line="240" w:lineRule="auto"/>
        <w:ind w:left="1440" w:right="1440"/>
        <w:rPr>
          <w:szCs w:val="26"/>
        </w:rPr>
      </w:pPr>
      <w:r w:rsidRPr="008E7712">
        <w:rPr>
          <w:szCs w:val="26"/>
        </w:rPr>
        <w:t xml:space="preserve">This is merely cost shifting to the remaining customer base laboring under the previous non-gradual rate increases who are now faced with a second round of increases to be followed in all likelihood in 2023 by a third [rate increase].  Similarly, the contention that, “There are no increases to residential customer charges, only to volumetric charges,” and that, “This promotes conservation and allows customers more control over their bills,” is specious.  CUPA Statement in Support at 3.  As stated above, the principle of gradualism (which the parties incorrectly claim to have applied) is meant to deal with the </w:t>
      </w:r>
      <w:r w:rsidRPr="008E7712">
        <w:rPr>
          <w:i/>
          <w:iCs/>
          <w:szCs w:val="26"/>
        </w:rPr>
        <w:t>inelasticity</w:t>
      </w:r>
      <w:r w:rsidRPr="008E7712">
        <w:rPr>
          <w:szCs w:val="26"/>
        </w:rPr>
        <w:t xml:space="preserve"> of demand inherent in the provision of basic utility service.  One of the facts made clear at the Public Input hearing on June 29, 2021, is that customers have already cut their volumetric consumption from CUPA due to the necessity to buy bottled water and to make other arrangements for such activities as washing clothes or even their persons.  [Footnotes omitted].</w:t>
      </w:r>
    </w:p>
    <w:p w14:paraId="0676ECFA" w14:textId="77777777" w:rsidR="003F204B" w:rsidRPr="008E7712" w:rsidRDefault="003F204B" w:rsidP="00EB7CBC">
      <w:pPr>
        <w:keepNext/>
        <w:ind w:left="1440" w:right="1440"/>
        <w:rPr>
          <w:szCs w:val="26"/>
        </w:rPr>
      </w:pPr>
    </w:p>
    <w:p w14:paraId="1B6DD883" w14:textId="5BE22F7C" w:rsidR="003F204B" w:rsidRPr="008E7712" w:rsidRDefault="00944170" w:rsidP="00EB7CBC">
      <w:pPr>
        <w:keepNext/>
        <w:rPr>
          <w:szCs w:val="26"/>
        </w:rPr>
      </w:pPr>
      <w:r w:rsidRPr="00BB18BC">
        <w:rPr>
          <w:i/>
        </w:rPr>
        <w:t>November</w:t>
      </w:r>
      <w:r w:rsidRPr="008E7712">
        <w:rPr>
          <w:szCs w:val="26"/>
        </w:rPr>
        <w:t xml:space="preserve"> </w:t>
      </w:r>
      <w:r w:rsidR="003F204B" w:rsidRPr="00BB18BC">
        <w:rPr>
          <w:i/>
        </w:rPr>
        <w:t>Order</w:t>
      </w:r>
      <w:r w:rsidR="003F204B" w:rsidRPr="008E7712">
        <w:rPr>
          <w:szCs w:val="26"/>
        </w:rPr>
        <w:t xml:space="preserve"> at 32.</w:t>
      </w:r>
    </w:p>
    <w:p w14:paraId="6017DB13" w14:textId="77777777" w:rsidR="003F204B" w:rsidRPr="008E7712" w:rsidRDefault="003F204B" w:rsidP="00EB7CBC">
      <w:pPr>
        <w:autoSpaceDE w:val="0"/>
        <w:autoSpaceDN w:val="0"/>
        <w:adjustRightInd w:val="0"/>
        <w:rPr>
          <w:szCs w:val="26"/>
        </w:rPr>
      </w:pPr>
    </w:p>
    <w:p w14:paraId="0E3C5EAB" w14:textId="5F24F920" w:rsidR="003F204B" w:rsidRPr="008E7712" w:rsidRDefault="003F204B" w:rsidP="00EB7CBC">
      <w:pPr>
        <w:autoSpaceDE w:val="0"/>
        <w:autoSpaceDN w:val="0"/>
        <w:adjustRightInd w:val="0"/>
        <w:rPr>
          <w:i/>
          <w:iCs/>
          <w:szCs w:val="26"/>
        </w:rPr>
      </w:pPr>
      <w:r w:rsidRPr="008E7712">
        <w:rPr>
          <w:szCs w:val="26"/>
        </w:rPr>
        <w:tab/>
      </w:r>
      <w:r w:rsidRPr="008E7712">
        <w:rPr>
          <w:szCs w:val="26"/>
        </w:rPr>
        <w:tab/>
        <w:t xml:space="preserve">Notwithstanding the ALJ’s </w:t>
      </w:r>
      <w:r w:rsidR="00AE18B2" w:rsidRPr="008E7712">
        <w:rPr>
          <w:szCs w:val="26"/>
        </w:rPr>
        <w:t>opinion</w:t>
      </w:r>
      <w:r w:rsidRPr="008E7712">
        <w:rPr>
          <w:szCs w:val="26"/>
        </w:rPr>
        <w:t xml:space="preserve"> that the low-income programs in this proceeding will mitigate the effect of the rate increase </w:t>
      </w:r>
      <w:r w:rsidR="00B378DF" w:rsidRPr="008E7712">
        <w:rPr>
          <w:szCs w:val="26"/>
        </w:rPr>
        <w:t>o</w:t>
      </w:r>
      <w:r w:rsidRPr="008E7712">
        <w:rPr>
          <w:szCs w:val="26"/>
        </w:rPr>
        <w:t xml:space="preserve">n consumers, the Company replies in its Brief on the Material Question that the low-income components in the Settlement are in the public interest because they resolve various concerns of the </w:t>
      </w:r>
      <w:r w:rsidR="00AB4D5F">
        <w:rPr>
          <w:szCs w:val="26"/>
        </w:rPr>
        <w:t>P</w:t>
      </w:r>
      <w:r w:rsidRPr="008E7712">
        <w:rPr>
          <w:szCs w:val="26"/>
        </w:rPr>
        <w:t xml:space="preserve">arties on low-income programs for both water and wastewater customers, which was a contested issue in this proceeding.  CUPA Brief at 11.  According to the Company, for low-income customers who will be most impacted by any rate increase, the Settlement will provide an immediate low-income pilot program for water customers upon approval of the settlement to qualifying low-income customers and a proposal for a wastewater low-income pilot program for qualified customers who meet the income threshold when </w:t>
      </w:r>
      <w:r w:rsidR="00F0168B" w:rsidRPr="008E7712">
        <w:rPr>
          <w:szCs w:val="26"/>
        </w:rPr>
        <w:lastRenderedPageBreak/>
        <w:t>CUPA-Wastewater</w:t>
      </w:r>
      <w:r w:rsidRPr="008E7712">
        <w:rPr>
          <w:szCs w:val="26"/>
        </w:rPr>
        <w:t xml:space="preserve"> files its next base rate case.  </w:t>
      </w:r>
      <w:r w:rsidRPr="008E7712">
        <w:rPr>
          <w:i/>
          <w:iCs/>
          <w:szCs w:val="26"/>
        </w:rPr>
        <w:t xml:space="preserve">Id.  </w:t>
      </w:r>
      <w:r w:rsidRPr="008E7712">
        <w:rPr>
          <w:szCs w:val="26"/>
        </w:rPr>
        <w:t xml:space="preserve">Under the proposed Settlement, the Company avers that the rates for water service will increase more than wastewater rates, by percentage, and these programs will help to offset those increases for those most impacted at this time.  Furthermore, the Company notes that it has committed to participate in the new LIHWAP, which provides monetary assistance to ratepayers who meet the income threshold to help pay their bills and avoid service termination.  </w:t>
      </w:r>
      <w:r w:rsidRPr="008E7712">
        <w:rPr>
          <w:i/>
          <w:iCs/>
          <w:szCs w:val="26"/>
        </w:rPr>
        <w:t>Id.</w:t>
      </w:r>
    </w:p>
    <w:p w14:paraId="3D0875C7" w14:textId="77777777" w:rsidR="003F204B" w:rsidRPr="008E7712" w:rsidRDefault="003F204B" w:rsidP="00EB7CBC">
      <w:pPr>
        <w:autoSpaceDE w:val="0"/>
        <w:autoSpaceDN w:val="0"/>
        <w:adjustRightInd w:val="0"/>
        <w:rPr>
          <w:szCs w:val="26"/>
        </w:rPr>
      </w:pPr>
    </w:p>
    <w:p w14:paraId="089B1ADA" w14:textId="33DED560" w:rsidR="003F204B" w:rsidRPr="008E7712" w:rsidRDefault="003F204B" w:rsidP="00EB7CBC">
      <w:pPr>
        <w:autoSpaceDE w:val="0"/>
        <w:autoSpaceDN w:val="0"/>
        <w:adjustRightInd w:val="0"/>
        <w:rPr>
          <w:szCs w:val="26"/>
        </w:rPr>
      </w:pPr>
      <w:r w:rsidRPr="008E7712">
        <w:rPr>
          <w:szCs w:val="26"/>
        </w:rPr>
        <w:tab/>
      </w:r>
      <w:r w:rsidRPr="008E7712">
        <w:rPr>
          <w:szCs w:val="26"/>
        </w:rPr>
        <w:tab/>
        <w:t xml:space="preserve">In response to the ALJ’s concern that the low-income programs will not help mitigate the effect of the rate increases on consumers because they will shift costs to the remaining customer base, the OCA responds in its Brief to the Material Question that the </w:t>
      </w:r>
      <w:r w:rsidR="00944170" w:rsidRPr="00BB18BC">
        <w:rPr>
          <w:i/>
        </w:rPr>
        <w:t>November</w:t>
      </w:r>
      <w:r w:rsidR="00944170" w:rsidRPr="008E7712">
        <w:rPr>
          <w:szCs w:val="26"/>
        </w:rPr>
        <w:t xml:space="preserve"> </w:t>
      </w:r>
      <w:r w:rsidRPr="00BB18BC">
        <w:rPr>
          <w:i/>
        </w:rPr>
        <w:t>Order</w:t>
      </w:r>
      <w:r w:rsidRPr="008E7712">
        <w:rPr>
          <w:szCs w:val="26"/>
        </w:rPr>
        <w:t xml:space="preserve"> does not recognize that CUPA</w:t>
      </w:r>
      <w:r w:rsidR="00EB03DE" w:rsidRPr="008E7712">
        <w:rPr>
          <w:szCs w:val="26"/>
        </w:rPr>
        <w:t>-Water</w:t>
      </w:r>
      <w:r w:rsidRPr="008E7712">
        <w:rPr>
          <w:szCs w:val="26"/>
        </w:rPr>
        <w:t xml:space="preserve">’s low-income water customers will benefit from a water usage rate that is discounted by 35% under the Settlement and that approximately 12% of the households it serves will be eligible for the program.  OCA Brief at 6 (citing CUPA W St. 4 at 6-7).  In addition, the Company submits that the Order also does not recognize that CUPA did not propose any rate discount for its low-income wastewater customers as part of its rate filing.  </w:t>
      </w:r>
      <w:r w:rsidRPr="008E7712">
        <w:rPr>
          <w:i/>
          <w:iCs/>
          <w:szCs w:val="26"/>
        </w:rPr>
        <w:t xml:space="preserve">Id. </w:t>
      </w:r>
      <w:r w:rsidRPr="008E7712">
        <w:rPr>
          <w:szCs w:val="26"/>
        </w:rPr>
        <w:t>(citing OCA St. 3 at 14).  However, under the Settlement, CUPA</w:t>
      </w:r>
      <w:r w:rsidR="00911783" w:rsidRPr="008E7712">
        <w:rPr>
          <w:szCs w:val="26"/>
        </w:rPr>
        <w:t>-Wastewater</w:t>
      </w:r>
      <w:r w:rsidRPr="008E7712">
        <w:rPr>
          <w:szCs w:val="26"/>
        </w:rPr>
        <w:t xml:space="preserve"> is committed to proposing a low-income discount for wastewater customers in its next base rate proceeding.  OCA Brief at</w:t>
      </w:r>
      <w:r w:rsidR="00D62BEC">
        <w:rPr>
          <w:szCs w:val="26"/>
        </w:rPr>
        <w:t> </w:t>
      </w:r>
      <w:r w:rsidRPr="008E7712">
        <w:rPr>
          <w:szCs w:val="26"/>
        </w:rPr>
        <w:t xml:space="preserve">6-7 (citing </w:t>
      </w:r>
      <w:r w:rsidR="00F40231" w:rsidRPr="008E7712">
        <w:rPr>
          <w:szCs w:val="26"/>
        </w:rPr>
        <w:t>Joint Petition</w:t>
      </w:r>
      <w:r w:rsidRPr="008E7712">
        <w:rPr>
          <w:szCs w:val="26"/>
        </w:rPr>
        <w:t xml:space="preserve"> ¶ II.E.16).  According to the OCA, these measures, together, will provide a significant benefit because, currently, CUPA has no low-income programs available to its water and wastewater customers.  OCA Brief at</w:t>
      </w:r>
      <w:r w:rsidR="00D77FA3" w:rsidRPr="008E7712">
        <w:rPr>
          <w:szCs w:val="26"/>
        </w:rPr>
        <w:t> </w:t>
      </w:r>
      <w:r w:rsidRPr="008E7712">
        <w:rPr>
          <w:szCs w:val="26"/>
        </w:rPr>
        <w:t>7.</w:t>
      </w:r>
    </w:p>
    <w:p w14:paraId="4161E294" w14:textId="77777777" w:rsidR="003F204B" w:rsidRPr="008E7712" w:rsidRDefault="003F204B" w:rsidP="00EB7CBC">
      <w:pPr>
        <w:autoSpaceDE w:val="0"/>
        <w:autoSpaceDN w:val="0"/>
        <w:adjustRightInd w:val="0"/>
        <w:rPr>
          <w:szCs w:val="26"/>
        </w:rPr>
      </w:pPr>
    </w:p>
    <w:p w14:paraId="633E293F" w14:textId="04D928C0" w:rsidR="003F204B" w:rsidRPr="008E7712" w:rsidRDefault="003F204B" w:rsidP="00EB7CBC">
      <w:pPr>
        <w:autoSpaceDE w:val="0"/>
        <w:autoSpaceDN w:val="0"/>
        <w:adjustRightInd w:val="0"/>
        <w:rPr>
          <w:szCs w:val="26"/>
        </w:rPr>
      </w:pPr>
      <w:r w:rsidRPr="008E7712">
        <w:rPr>
          <w:szCs w:val="26"/>
        </w:rPr>
        <w:tab/>
      </w:r>
      <w:r w:rsidRPr="008E7712">
        <w:rPr>
          <w:szCs w:val="26"/>
        </w:rPr>
        <w:tab/>
        <w:t xml:space="preserve">The OCA agrees with the ALJ that, by design, the revenue associated with the discount for low-income customers will be recovered from other customers.  OCA Brief at 7 (citing </w:t>
      </w:r>
      <w:r w:rsidR="00F90985" w:rsidRPr="008E7712">
        <w:rPr>
          <w:szCs w:val="26"/>
        </w:rPr>
        <w:t xml:space="preserve">Joint Petition </w:t>
      </w:r>
      <w:r w:rsidRPr="008E7712">
        <w:rPr>
          <w:szCs w:val="26"/>
        </w:rPr>
        <w:t>¶¶ II.E.14-15; CUPA W St. 4 at 6).  However, the OCA submits that the Settlement responds to the concern about the impact of the discount on other customers by reducing the discount from 65% (originally proposed by CUPA</w:t>
      </w:r>
      <w:r w:rsidR="00F90985" w:rsidRPr="008E7712">
        <w:rPr>
          <w:szCs w:val="26"/>
        </w:rPr>
        <w:t>-Water</w:t>
      </w:r>
      <w:r w:rsidRPr="008E7712">
        <w:rPr>
          <w:szCs w:val="26"/>
        </w:rPr>
        <w:t xml:space="preserve">) to 35% of the regular residential water usage rates.  OCA Brief at 7 (citing OCA St. 3 at 14).  The OCA explains that the Settlement also protects customers by requiring </w:t>
      </w:r>
      <w:r w:rsidRPr="008E7712">
        <w:rPr>
          <w:szCs w:val="26"/>
        </w:rPr>
        <w:lastRenderedPageBreak/>
        <w:t>CUPA</w:t>
      </w:r>
      <w:r w:rsidR="002C1CBB" w:rsidRPr="008E7712">
        <w:rPr>
          <w:szCs w:val="26"/>
        </w:rPr>
        <w:t>-Water</w:t>
      </w:r>
      <w:r w:rsidRPr="008E7712">
        <w:rPr>
          <w:szCs w:val="26"/>
        </w:rPr>
        <w:t xml:space="preserve"> to return any surplus to customers if enrollment in the program or volumes used by participants are less than expected during the pilot phase.  OCA Brief at 7 (citing Settlement ¶ II.E.15).  Furthermore, the OCA notes that CUPA</w:t>
      </w:r>
      <w:r w:rsidR="002C1CBB" w:rsidRPr="008E7712">
        <w:rPr>
          <w:szCs w:val="26"/>
        </w:rPr>
        <w:t>-Water</w:t>
      </w:r>
      <w:r w:rsidRPr="008E7712">
        <w:rPr>
          <w:szCs w:val="26"/>
        </w:rPr>
        <w:t>’s uncollectible rate increased 473 percent in 2020 compared to the average from the previous four years (2016-2019).  OCA Brief at 7 (citing OCA St. 1 at 7).  The OCA asserts that to the extent that the low-income programs assist customers to pay their bills, rather than being disconnected and not contributing any revenue, all CUPA</w:t>
      </w:r>
      <w:r w:rsidR="00164AA1" w:rsidRPr="008E7712">
        <w:rPr>
          <w:szCs w:val="26"/>
        </w:rPr>
        <w:t>-Water</w:t>
      </w:r>
      <w:r w:rsidRPr="008E7712">
        <w:rPr>
          <w:szCs w:val="26"/>
        </w:rPr>
        <w:t xml:space="preserve"> customers will benefit.  OCA  Brief at 7.</w:t>
      </w:r>
    </w:p>
    <w:p w14:paraId="62C13BCA" w14:textId="77777777" w:rsidR="003F204B" w:rsidRPr="008E7712" w:rsidRDefault="003F204B" w:rsidP="00EB7CBC">
      <w:pPr>
        <w:autoSpaceDE w:val="0"/>
        <w:autoSpaceDN w:val="0"/>
        <w:adjustRightInd w:val="0"/>
        <w:rPr>
          <w:szCs w:val="26"/>
        </w:rPr>
      </w:pPr>
    </w:p>
    <w:p w14:paraId="2A1F8F6C" w14:textId="60DF9A07" w:rsidR="003F204B" w:rsidRDefault="003F204B" w:rsidP="00EB7CBC">
      <w:pPr>
        <w:autoSpaceDE w:val="0"/>
        <w:autoSpaceDN w:val="0"/>
        <w:adjustRightInd w:val="0"/>
        <w:rPr>
          <w:szCs w:val="26"/>
        </w:rPr>
      </w:pPr>
      <w:r w:rsidRPr="008E7712">
        <w:rPr>
          <w:szCs w:val="26"/>
        </w:rPr>
        <w:tab/>
      </w:r>
      <w:r w:rsidRPr="008E7712">
        <w:rPr>
          <w:szCs w:val="26"/>
        </w:rPr>
        <w:tab/>
        <w:t>We agree with the positions of the Company and the OCA in their Briefs in response to the Material Question that the low-income programs addressed in the Settlement will help to mitigate the impact of the rate increase on those who can least afford it and contribute to making the Settlement, as a whole, in the public interest.</w:t>
      </w:r>
    </w:p>
    <w:p w14:paraId="7D24E4D2" w14:textId="77777777" w:rsidR="002302D9" w:rsidRPr="008E7712" w:rsidRDefault="002302D9" w:rsidP="00EB7CBC">
      <w:pPr>
        <w:autoSpaceDE w:val="0"/>
        <w:autoSpaceDN w:val="0"/>
        <w:adjustRightInd w:val="0"/>
        <w:rPr>
          <w:szCs w:val="26"/>
        </w:rPr>
      </w:pPr>
    </w:p>
    <w:p w14:paraId="5288EAE1" w14:textId="736D098B" w:rsidR="003F204B" w:rsidRPr="008E7712" w:rsidRDefault="003F204B" w:rsidP="00EB7CBC">
      <w:pPr>
        <w:autoSpaceDE w:val="0"/>
        <w:autoSpaceDN w:val="0"/>
        <w:adjustRightInd w:val="0"/>
        <w:rPr>
          <w:szCs w:val="26"/>
        </w:rPr>
      </w:pPr>
      <w:r w:rsidRPr="008E7712">
        <w:rPr>
          <w:szCs w:val="26"/>
        </w:rPr>
        <w:tab/>
      </w:r>
      <w:r w:rsidRPr="008E7712">
        <w:rPr>
          <w:szCs w:val="26"/>
        </w:rPr>
        <w:tab/>
        <w:t>The Settlement will provide an immediate low-income usage rate for water service and a proposal to expand the program to wastewater service in the next base rate case.  Although the proposed discount on the usage rate will be less than the 65.4% discount that CUPA originally proposed, as noted by the OCA, it will still provide a meaningful 35% discount, but will reduce the revenue burden on residential customers who must pay the regular usage rates.  Also, we note that I&amp;E testified that participation in CUPA</w:t>
      </w:r>
      <w:r w:rsidR="000F104D" w:rsidRPr="008E7712">
        <w:rPr>
          <w:szCs w:val="26"/>
        </w:rPr>
        <w:t>-Water</w:t>
      </w:r>
      <w:r w:rsidRPr="008E7712">
        <w:rPr>
          <w:szCs w:val="26"/>
        </w:rPr>
        <w:t>’s discount rate “may not be robust given that the approximate $250,000 median property value in the Company’s Penn Estates and Tamiment territories likely exceeds the values that could be owned by persons within the 2021 federal poverty guidelines, which is $12,880 per year for an individual and $21,960 per year for a family of three.”</w:t>
      </w:r>
      <w:r w:rsidRPr="008E7712">
        <w:rPr>
          <w:szCs w:val="26"/>
          <w:vertAlign w:val="superscript"/>
        </w:rPr>
        <w:footnoteReference w:id="31"/>
      </w:r>
      <w:r w:rsidRPr="008E7712">
        <w:rPr>
          <w:szCs w:val="26"/>
        </w:rPr>
        <w:t xml:space="preserve"> </w:t>
      </w:r>
      <w:r w:rsidR="0079035B">
        <w:rPr>
          <w:szCs w:val="26"/>
        </w:rPr>
        <w:t xml:space="preserve"> </w:t>
      </w:r>
      <w:r w:rsidRPr="008E7712">
        <w:rPr>
          <w:szCs w:val="26"/>
        </w:rPr>
        <w:t xml:space="preserve">Nevertheless, I&amp;E indicated, and we agree, that permitting the discount rate on a pilot basis will provide valuable information that will allow parties to make better </w:t>
      </w:r>
      <w:r w:rsidRPr="008E7712">
        <w:rPr>
          <w:szCs w:val="26"/>
        </w:rPr>
        <w:lastRenderedPageBreak/>
        <w:t>informed recommendations concerning the design of the program or continuation of the discount rate going forward.</w:t>
      </w:r>
    </w:p>
    <w:p w14:paraId="69A78DF5" w14:textId="77777777" w:rsidR="003F204B" w:rsidRPr="008E7712" w:rsidRDefault="003F204B" w:rsidP="00EB7CBC">
      <w:pPr>
        <w:autoSpaceDE w:val="0"/>
        <w:autoSpaceDN w:val="0"/>
        <w:adjustRightInd w:val="0"/>
        <w:rPr>
          <w:szCs w:val="26"/>
        </w:rPr>
      </w:pPr>
    </w:p>
    <w:p w14:paraId="5BFDD023" w14:textId="155288A4" w:rsidR="003F204B" w:rsidRPr="008E7712" w:rsidRDefault="003F204B" w:rsidP="002302D9">
      <w:pPr>
        <w:autoSpaceDE w:val="0"/>
        <w:autoSpaceDN w:val="0"/>
        <w:adjustRightInd w:val="0"/>
        <w:rPr>
          <w:szCs w:val="26"/>
        </w:rPr>
      </w:pPr>
      <w:r w:rsidRPr="008E7712">
        <w:rPr>
          <w:szCs w:val="26"/>
        </w:rPr>
        <w:tab/>
      </w:r>
      <w:r w:rsidRPr="008E7712">
        <w:rPr>
          <w:szCs w:val="26"/>
        </w:rPr>
        <w:tab/>
        <w:t>In light of the above, we disagree with the ALJ’s opinion that the low-income programs referenced in the Settlement are without merit with regard to mitigating the effect of the rate increase on CUPA’s customers.  Overall, we believe that the provisions of the proposed Settlement relating to low-income relief are in the public interest and represent a fair and reasonable resolution of the differing positions of the Joint Petitioners.</w:t>
      </w:r>
    </w:p>
    <w:p w14:paraId="1A50AB16" w14:textId="23C0249D" w:rsidR="001053B5" w:rsidRPr="008E7712" w:rsidRDefault="001053B5" w:rsidP="002302D9">
      <w:pPr>
        <w:autoSpaceDE w:val="0"/>
        <w:autoSpaceDN w:val="0"/>
        <w:adjustRightInd w:val="0"/>
        <w:rPr>
          <w:szCs w:val="26"/>
        </w:rPr>
      </w:pPr>
    </w:p>
    <w:p w14:paraId="12F8C8EF" w14:textId="6E6B5DA8" w:rsidR="003F204B" w:rsidRPr="008E7712" w:rsidRDefault="004655E1" w:rsidP="002302D9">
      <w:pPr>
        <w:pStyle w:val="Heading2"/>
        <w:spacing w:line="360" w:lineRule="auto"/>
      </w:pPr>
      <w:bookmarkStart w:id="48" w:name="_Toc91576510"/>
      <w:r w:rsidRPr="008E7712">
        <w:t>J.</w:t>
      </w:r>
      <w:r w:rsidR="007A2BBC" w:rsidRPr="008E7712">
        <w:tab/>
      </w:r>
      <w:r w:rsidR="007A353F" w:rsidRPr="008E7712">
        <w:t>Public Interest Evaluation of Settlement</w:t>
      </w:r>
      <w:bookmarkEnd w:id="48"/>
      <w:r w:rsidR="00691417" w:rsidRPr="008E7712">
        <w:t xml:space="preserve"> </w:t>
      </w:r>
    </w:p>
    <w:p w14:paraId="19D9E321" w14:textId="27F4E514" w:rsidR="007A353F" w:rsidRPr="008E7712" w:rsidRDefault="007A353F" w:rsidP="002302D9">
      <w:pPr>
        <w:keepNext/>
        <w:rPr>
          <w:szCs w:val="26"/>
        </w:rPr>
      </w:pPr>
    </w:p>
    <w:p w14:paraId="317F26A2" w14:textId="3B9EC943" w:rsidR="00FE1869" w:rsidRPr="008E7712" w:rsidRDefault="00FE1869" w:rsidP="002302D9">
      <w:pPr>
        <w:keepNext/>
        <w:ind w:firstLine="1440"/>
        <w:rPr>
          <w:rFonts w:eastAsiaTheme="minorHAnsi"/>
          <w:color w:val="auto"/>
          <w:szCs w:val="26"/>
        </w:rPr>
      </w:pPr>
      <w:r w:rsidRPr="008E7712">
        <w:rPr>
          <w:rFonts w:eastAsiaTheme="minorHAnsi"/>
          <w:color w:val="auto"/>
          <w:szCs w:val="26"/>
        </w:rPr>
        <w:t>As described in detail</w:t>
      </w:r>
      <w:r w:rsidR="00FA261C" w:rsidRPr="008E7712">
        <w:rPr>
          <w:rFonts w:eastAsiaTheme="minorHAnsi"/>
          <w:color w:val="auto"/>
          <w:szCs w:val="26"/>
        </w:rPr>
        <w:t>,</w:t>
      </w:r>
      <w:r w:rsidRPr="008E7712">
        <w:rPr>
          <w:rFonts w:eastAsiaTheme="minorHAnsi"/>
          <w:color w:val="auto"/>
          <w:szCs w:val="26"/>
        </w:rPr>
        <w:t xml:space="preserve"> </w:t>
      </w:r>
      <w:r w:rsidRPr="008E7712">
        <w:rPr>
          <w:rFonts w:eastAsiaTheme="minorHAnsi"/>
          <w:i/>
          <w:iCs/>
          <w:color w:val="auto"/>
          <w:szCs w:val="26"/>
        </w:rPr>
        <w:t>supra,</w:t>
      </w:r>
      <w:r w:rsidRPr="008E7712">
        <w:rPr>
          <w:rFonts w:eastAsiaTheme="minorHAnsi"/>
          <w:color w:val="auto"/>
          <w:szCs w:val="26"/>
        </w:rPr>
        <w:t xml:space="preserve"> through extensive discovery, submission of testimony and exhaustive settlement negotiations, the compromise revenue increases in the Settlement balance the interests of CUPA and their customers.  In this way, CUPA will receive sufficient operating funds to provide safe and adequate water and wastewater service while addressing the need for gradualism in rate changes, particularly given the hardships faced by customers in the present economic environment.  Furthermore, the negotiated agreements embodied in the Settlement reflect a difficult but reasonable compromise in the context of the extraordinary circumstances of the COVID-19 pandemic.</w:t>
      </w:r>
    </w:p>
    <w:p w14:paraId="75F9D9DC" w14:textId="77777777" w:rsidR="00FE1869" w:rsidRPr="008E7712" w:rsidRDefault="00FE1869" w:rsidP="00FE1869">
      <w:pPr>
        <w:ind w:firstLine="1440"/>
        <w:rPr>
          <w:rFonts w:eastAsiaTheme="minorHAnsi"/>
          <w:color w:val="auto"/>
          <w:szCs w:val="26"/>
        </w:rPr>
      </w:pPr>
    </w:p>
    <w:p w14:paraId="46E1A53E" w14:textId="14992997" w:rsidR="00FE1869" w:rsidRPr="008E7712" w:rsidRDefault="00FE1869" w:rsidP="00FE1869">
      <w:pPr>
        <w:ind w:firstLine="1440"/>
        <w:rPr>
          <w:rFonts w:eastAsiaTheme="minorHAnsi"/>
          <w:color w:val="auto"/>
          <w:szCs w:val="26"/>
        </w:rPr>
      </w:pPr>
      <w:bookmarkStart w:id="49" w:name="_Hlk92206044"/>
      <w:r w:rsidRPr="008E7712">
        <w:rPr>
          <w:rFonts w:eastAsiaTheme="minorHAnsi"/>
          <w:color w:val="auto"/>
          <w:szCs w:val="26"/>
        </w:rPr>
        <w:t xml:space="preserve">The Joint Petitioners all detailed the months of efforts undertaken to reach a comprehensive agreement in these complex base rate cases.  </w:t>
      </w:r>
      <w:bookmarkEnd w:id="49"/>
      <w:r w:rsidRPr="008E7712">
        <w:rPr>
          <w:rFonts w:eastAsiaTheme="minorHAnsi"/>
          <w:color w:val="auto"/>
          <w:szCs w:val="26"/>
        </w:rPr>
        <w:t xml:space="preserve">The result is a settlement that produces just and reasonable rates that will not produce rate shock for any customer class while ratepayers will benefit from a reduction in the initial rate increase requests.  The compromise rate and revenue levels outlined in the Settlement will produce an adequate return on invested capital to ensure CUPA’s ability to deliver safe and reliable water and wastewater service to its customers; provide sufficient operating revenues to </w:t>
      </w:r>
      <w:r w:rsidRPr="008E7712">
        <w:rPr>
          <w:rFonts w:eastAsiaTheme="minorHAnsi"/>
          <w:color w:val="auto"/>
          <w:szCs w:val="26"/>
        </w:rPr>
        <w:lastRenderedPageBreak/>
        <w:t xml:space="preserve">meet operating expenses, </w:t>
      </w:r>
      <w:proofErr w:type="gramStart"/>
      <w:r w:rsidRPr="008E7712">
        <w:rPr>
          <w:rFonts w:eastAsiaTheme="minorHAnsi"/>
          <w:color w:val="auto"/>
          <w:szCs w:val="26"/>
        </w:rPr>
        <w:t>taxes</w:t>
      </w:r>
      <w:proofErr w:type="gramEnd"/>
      <w:r w:rsidRPr="008E7712">
        <w:rPr>
          <w:rFonts w:eastAsiaTheme="minorHAnsi"/>
          <w:color w:val="auto"/>
          <w:szCs w:val="26"/>
        </w:rPr>
        <w:t xml:space="preserve"> and other charges, while also providing a reasonable rate of return on its investment in water and wastewater property; and adequately address operational issues</w:t>
      </w:r>
      <w:r w:rsidRPr="008E7712">
        <w:rPr>
          <w:rFonts w:eastAsiaTheme="minorHAnsi"/>
          <w:bCs/>
          <w:color w:val="auto"/>
          <w:szCs w:val="26"/>
        </w:rPr>
        <w:t>.</w:t>
      </w:r>
      <w:r w:rsidR="00AE18B2" w:rsidRPr="008E7712">
        <w:rPr>
          <w:rFonts w:eastAsiaTheme="minorHAnsi"/>
          <w:bCs/>
          <w:color w:val="auto"/>
          <w:szCs w:val="26"/>
        </w:rPr>
        <w:t xml:space="preserve">  The beneficial stay-out provision, along with the low-income program terms and reporting requirements all serve to drive the improvement of customer service and affordability.</w:t>
      </w:r>
      <w:r w:rsidR="00DF77A8">
        <w:rPr>
          <w:rFonts w:eastAsiaTheme="minorHAnsi"/>
          <w:bCs/>
          <w:color w:val="auto"/>
          <w:szCs w:val="26"/>
        </w:rPr>
        <w:t xml:space="preserve">  </w:t>
      </w:r>
    </w:p>
    <w:p w14:paraId="598D14B0" w14:textId="77777777" w:rsidR="00FE1869" w:rsidRPr="008E7712" w:rsidRDefault="00FE1869" w:rsidP="00FE1869">
      <w:pPr>
        <w:ind w:firstLine="720"/>
        <w:rPr>
          <w:rFonts w:eastAsiaTheme="minorHAnsi"/>
          <w:color w:val="auto"/>
          <w:szCs w:val="26"/>
        </w:rPr>
      </w:pPr>
    </w:p>
    <w:p w14:paraId="03420A68" w14:textId="57760DD6" w:rsidR="00BF4AD8" w:rsidRPr="008E7712" w:rsidRDefault="00FE1869" w:rsidP="00BF4AD8">
      <w:pPr>
        <w:ind w:firstLine="1440"/>
        <w:rPr>
          <w:rFonts w:eastAsiaTheme="minorHAnsi"/>
          <w:color w:val="auto"/>
          <w:szCs w:val="26"/>
        </w:rPr>
      </w:pPr>
      <w:r w:rsidRPr="008E7712">
        <w:rPr>
          <w:rFonts w:eastAsiaTheme="minorHAnsi"/>
          <w:color w:val="auto"/>
          <w:szCs w:val="26"/>
        </w:rPr>
        <w:t xml:space="preserve">In summary, the Settlement as a whole achieves rates which are just and reasonable and necessary for CUPA to provide safe and adequate water and wastewater service, and therefore, is in the public interest.  </w:t>
      </w:r>
      <w:r w:rsidRPr="008E7712">
        <w:rPr>
          <w:rFonts w:eastAsiaTheme="minorHAnsi"/>
          <w:i/>
          <w:color w:val="auto"/>
          <w:szCs w:val="26"/>
        </w:rPr>
        <w:t xml:space="preserve">See </w:t>
      </w:r>
      <w:r w:rsidRPr="008E7712">
        <w:rPr>
          <w:rFonts w:eastAsiaTheme="minorHAnsi"/>
          <w:color w:val="auto"/>
          <w:szCs w:val="26"/>
        </w:rPr>
        <w:t>Joint Petition at 31-37, ¶¶</w:t>
      </w:r>
      <w:r w:rsidR="002302D9">
        <w:rPr>
          <w:rFonts w:eastAsiaTheme="minorHAnsi"/>
          <w:color w:val="auto"/>
          <w:szCs w:val="26"/>
        </w:rPr>
        <w:t xml:space="preserve"> </w:t>
      </w:r>
      <w:r w:rsidRPr="008E7712">
        <w:rPr>
          <w:rFonts w:eastAsiaTheme="minorHAnsi"/>
          <w:color w:val="auto"/>
          <w:szCs w:val="26"/>
        </w:rPr>
        <w:t xml:space="preserve">61-66; CUPA Statement in Support at 2-11; I&amp;E Statement in Support at 4-22; OCA Statement in Support at 4-18; OSBA Statement in Support at 2-5.  These positions were bolstered in the Briefs submitted in response to the </w:t>
      </w:r>
      <w:r w:rsidRPr="00BB18BC">
        <w:rPr>
          <w:rFonts w:eastAsiaTheme="minorHAnsi"/>
          <w:i/>
          <w:color w:val="auto"/>
        </w:rPr>
        <w:t>November Order</w:t>
      </w:r>
      <w:r w:rsidRPr="008E7712">
        <w:rPr>
          <w:rFonts w:eastAsiaTheme="minorHAnsi"/>
          <w:color w:val="auto"/>
          <w:szCs w:val="26"/>
        </w:rPr>
        <w:t xml:space="preserve">.  </w:t>
      </w:r>
      <w:r w:rsidRPr="008E7712">
        <w:rPr>
          <w:rFonts w:eastAsiaTheme="minorHAnsi"/>
          <w:i/>
          <w:iCs/>
          <w:color w:val="auto"/>
          <w:szCs w:val="26"/>
        </w:rPr>
        <w:t xml:space="preserve">See </w:t>
      </w:r>
      <w:r w:rsidRPr="008E7712">
        <w:rPr>
          <w:rFonts w:eastAsiaTheme="minorHAnsi"/>
          <w:color w:val="auto"/>
          <w:szCs w:val="26"/>
        </w:rPr>
        <w:t xml:space="preserve">CUPA Brief at 1-3, 10-14; I&amp;E Brief at 4-16; OCA Brief at 2-10; OSBA Brief at 5-15.  </w:t>
      </w:r>
    </w:p>
    <w:p w14:paraId="6EC24563" w14:textId="77777777" w:rsidR="00BF4AD8" w:rsidRPr="008E7712" w:rsidRDefault="00BF4AD8" w:rsidP="00BF4AD8">
      <w:pPr>
        <w:ind w:firstLine="1440"/>
        <w:rPr>
          <w:rFonts w:eastAsiaTheme="minorHAnsi"/>
          <w:color w:val="auto"/>
          <w:szCs w:val="26"/>
        </w:rPr>
      </w:pPr>
    </w:p>
    <w:p w14:paraId="73EBD442" w14:textId="68A57773" w:rsidR="00BF4AD8" w:rsidRPr="008E7712" w:rsidRDefault="00BF4AD8" w:rsidP="00BF4AD8">
      <w:pPr>
        <w:ind w:firstLine="1440"/>
        <w:rPr>
          <w:rFonts w:eastAsiaTheme="minorHAnsi"/>
          <w:color w:val="auto"/>
          <w:szCs w:val="26"/>
        </w:rPr>
      </w:pPr>
      <w:r w:rsidRPr="008E7712">
        <w:rPr>
          <w:rFonts w:eastAsiaTheme="minorHAnsi"/>
          <w:color w:val="auto"/>
          <w:szCs w:val="26"/>
        </w:rPr>
        <w:t>Viewed in its entirety, the Settlement fairly and equitably resolves the issues impacting residential consumers, business customers, and the public interest at large and represents a fair balance of the interests of CUPA and its customers.  We note that the Settlement enjoy</w:t>
      </w:r>
      <w:r w:rsidR="00F817FB">
        <w:rPr>
          <w:rFonts w:eastAsiaTheme="minorHAnsi"/>
          <w:color w:val="auto"/>
          <w:szCs w:val="26"/>
        </w:rPr>
        <w:t>ed</w:t>
      </w:r>
      <w:r w:rsidRPr="008E7712">
        <w:rPr>
          <w:rFonts w:eastAsiaTheme="minorHAnsi"/>
          <w:color w:val="auto"/>
          <w:szCs w:val="26"/>
        </w:rPr>
        <w:t xml:space="preserve"> the full support of the OCA, the OSBA, I&amp;E and CUPA.  </w:t>
      </w:r>
    </w:p>
    <w:p w14:paraId="24FB1240" w14:textId="77777777" w:rsidR="00BF4AD8" w:rsidRPr="008E7712" w:rsidRDefault="00BF4AD8" w:rsidP="00BF4AD8">
      <w:pPr>
        <w:ind w:firstLine="1440"/>
        <w:rPr>
          <w:rFonts w:eastAsiaTheme="minorHAnsi"/>
          <w:color w:val="auto"/>
          <w:szCs w:val="26"/>
        </w:rPr>
      </w:pPr>
    </w:p>
    <w:p w14:paraId="76CE002C" w14:textId="77777777" w:rsidR="00BF4AD8" w:rsidRPr="008E7712" w:rsidRDefault="00BF4AD8" w:rsidP="00BF4AD8">
      <w:pPr>
        <w:ind w:firstLine="1440"/>
        <w:rPr>
          <w:rFonts w:eastAsiaTheme="minorHAnsi"/>
          <w:color w:val="auto"/>
          <w:szCs w:val="26"/>
        </w:rPr>
      </w:pPr>
      <w:r w:rsidRPr="008E7712">
        <w:rPr>
          <w:rFonts w:eastAsiaTheme="minorHAnsi"/>
          <w:color w:val="auto"/>
          <w:szCs w:val="26"/>
        </w:rPr>
        <w:t xml:space="preserve">The Settlement, which comprehensively addressed all issues, served to focus the proceedings, and eliminate the need for litigation before the ALJ.  In this way, we find that the Settlement will result in significant savings of time and expenses for all Parties involved by reducing or avoiding the necessity of further administrative proceedings, as well as reducing or avoiding the need for possible appellate court proceedings, thereby conserving precious administrative resources.  Further, the Settlement provides regulatory certainty with respect to the disposition of issues which benefits all Parties.  </w:t>
      </w:r>
    </w:p>
    <w:p w14:paraId="350217E5" w14:textId="77777777" w:rsidR="00BF4AD8" w:rsidRPr="008E7712" w:rsidRDefault="00BF4AD8" w:rsidP="00BF4AD8">
      <w:pPr>
        <w:ind w:firstLine="1440"/>
        <w:rPr>
          <w:rFonts w:eastAsiaTheme="minorHAnsi"/>
          <w:color w:val="auto"/>
          <w:szCs w:val="26"/>
        </w:rPr>
      </w:pPr>
    </w:p>
    <w:p w14:paraId="4AC6DE84" w14:textId="58AAF8D4" w:rsidR="00BF4AD8" w:rsidRPr="008E7712" w:rsidRDefault="00BF4AD8" w:rsidP="002302D9">
      <w:pPr>
        <w:ind w:firstLine="1440"/>
        <w:rPr>
          <w:rFonts w:eastAsiaTheme="minorHAnsi"/>
          <w:color w:val="auto"/>
          <w:szCs w:val="26"/>
        </w:rPr>
      </w:pPr>
      <w:r w:rsidRPr="008E7712">
        <w:rPr>
          <w:rFonts w:eastAsiaTheme="minorHAnsi"/>
          <w:color w:val="auto"/>
          <w:szCs w:val="26"/>
        </w:rPr>
        <w:lastRenderedPageBreak/>
        <w:t xml:space="preserve">For the reasons stated herein, in the Joint Petitioners’ Statements in Support, and in the Stipulations of Fact agreed to by all active </w:t>
      </w:r>
      <w:r w:rsidR="0051589B">
        <w:rPr>
          <w:rFonts w:eastAsiaTheme="minorHAnsi"/>
          <w:color w:val="auto"/>
          <w:szCs w:val="26"/>
        </w:rPr>
        <w:t>P</w:t>
      </w:r>
      <w:r w:rsidRPr="008E7712">
        <w:rPr>
          <w:rFonts w:eastAsiaTheme="minorHAnsi"/>
          <w:color w:val="auto"/>
          <w:szCs w:val="26"/>
        </w:rPr>
        <w:t>arties, we find that Settlement is supported by substantial evidence and is in the public interest</w:t>
      </w:r>
      <w:r w:rsidR="008C020B" w:rsidRPr="008E7712">
        <w:rPr>
          <w:rFonts w:eastAsiaTheme="minorHAnsi"/>
          <w:color w:val="auto"/>
          <w:szCs w:val="26"/>
        </w:rPr>
        <w:t xml:space="preserve">.  </w:t>
      </w:r>
      <w:r w:rsidRPr="008E7712">
        <w:rPr>
          <w:rFonts w:eastAsiaTheme="minorHAnsi"/>
          <w:color w:val="auto"/>
          <w:szCs w:val="26"/>
        </w:rPr>
        <w:t>Accordingly, we shall approve the Settlement in its entirety without modification.</w:t>
      </w:r>
    </w:p>
    <w:p w14:paraId="52F2B842" w14:textId="44939644" w:rsidR="00FE1869" w:rsidRPr="008E7712" w:rsidRDefault="00FE1869" w:rsidP="002302D9">
      <w:pPr>
        <w:ind w:firstLine="1440"/>
        <w:rPr>
          <w:rFonts w:eastAsiaTheme="minorHAnsi"/>
          <w:color w:val="auto"/>
          <w:szCs w:val="26"/>
        </w:rPr>
      </w:pPr>
    </w:p>
    <w:p w14:paraId="7B63D414" w14:textId="42B0F2B8" w:rsidR="003F204B" w:rsidRPr="008E7712" w:rsidRDefault="003F204B" w:rsidP="002302D9">
      <w:pPr>
        <w:pStyle w:val="Heading1"/>
        <w:keepNext/>
        <w:rPr>
          <w:szCs w:val="26"/>
        </w:rPr>
      </w:pPr>
      <w:bookmarkStart w:id="50" w:name="_Toc91576511"/>
      <w:r w:rsidRPr="008E7712">
        <w:rPr>
          <w:szCs w:val="26"/>
        </w:rPr>
        <w:t>V</w:t>
      </w:r>
      <w:r w:rsidR="008A37B4" w:rsidRPr="008E7712">
        <w:rPr>
          <w:szCs w:val="26"/>
        </w:rPr>
        <w:t>II</w:t>
      </w:r>
      <w:r w:rsidRPr="008E7712">
        <w:rPr>
          <w:szCs w:val="26"/>
        </w:rPr>
        <w:t>.</w:t>
      </w:r>
      <w:r w:rsidRPr="008E7712">
        <w:rPr>
          <w:szCs w:val="26"/>
        </w:rPr>
        <w:tab/>
        <w:t>C</w:t>
      </w:r>
      <w:r w:rsidR="005071D8" w:rsidRPr="008E7712">
        <w:rPr>
          <w:szCs w:val="26"/>
        </w:rPr>
        <w:t>onclusion</w:t>
      </w:r>
      <w:bookmarkEnd w:id="50"/>
    </w:p>
    <w:p w14:paraId="195C539D" w14:textId="77777777" w:rsidR="00FA261C" w:rsidRPr="008E7712" w:rsidRDefault="00FA261C" w:rsidP="002302D9">
      <w:pPr>
        <w:rPr>
          <w:szCs w:val="26"/>
        </w:rPr>
      </w:pPr>
    </w:p>
    <w:p w14:paraId="573881EC" w14:textId="2F2B94A4" w:rsidR="0047361F" w:rsidRPr="008E7712" w:rsidRDefault="00FE1869" w:rsidP="002302D9">
      <w:pPr>
        <w:keepNext/>
        <w:ind w:left="14" w:right="57" w:firstLine="1426"/>
        <w:rPr>
          <w:b/>
          <w:bCs/>
          <w:szCs w:val="26"/>
        </w:rPr>
      </w:pPr>
      <w:r w:rsidRPr="008E7712">
        <w:rPr>
          <w:szCs w:val="26"/>
        </w:rPr>
        <w:t xml:space="preserve">For all of the foregoing reasons, we </w:t>
      </w:r>
      <w:r w:rsidR="00266217" w:rsidRPr="008E7712">
        <w:rPr>
          <w:szCs w:val="26"/>
        </w:rPr>
        <w:t xml:space="preserve">shall </w:t>
      </w:r>
      <w:r w:rsidRPr="008E7712">
        <w:rPr>
          <w:szCs w:val="26"/>
        </w:rPr>
        <w:t xml:space="preserve">answer the </w:t>
      </w:r>
      <w:r w:rsidR="00FA4521" w:rsidRPr="008E7712">
        <w:rPr>
          <w:szCs w:val="26"/>
        </w:rPr>
        <w:t>M</w:t>
      </w:r>
      <w:r w:rsidRPr="008E7712">
        <w:rPr>
          <w:szCs w:val="26"/>
        </w:rPr>
        <w:t xml:space="preserve">aterial </w:t>
      </w:r>
      <w:r w:rsidR="00FA4521" w:rsidRPr="008E7712">
        <w:rPr>
          <w:szCs w:val="26"/>
        </w:rPr>
        <w:t>Q</w:t>
      </w:r>
      <w:r w:rsidRPr="008E7712">
        <w:rPr>
          <w:szCs w:val="26"/>
        </w:rPr>
        <w:t xml:space="preserve">uestion certified by ALJ Buckley in </w:t>
      </w:r>
      <w:r w:rsidR="00A40598" w:rsidRPr="008E7712">
        <w:rPr>
          <w:szCs w:val="26"/>
        </w:rPr>
        <w:t xml:space="preserve">the </w:t>
      </w:r>
      <w:r w:rsidR="00A40598" w:rsidRPr="00BB18BC">
        <w:rPr>
          <w:i/>
        </w:rPr>
        <w:t>November Order</w:t>
      </w:r>
      <w:r w:rsidR="00A40598" w:rsidRPr="008E7712">
        <w:rPr>
          <w:szCs w:val="26"/>
        </w:rPr>
        <w:t xml:space="preserve"> in </w:t>
      </w:r>
      <w:r w:rsidRPr="008E7712">
        <w:rPr>
          <w:szCs w:val="26"/>
        </w:rPr>
        <w:t>the negative</w:t>
      </w:r>
      <w:r w:rsidR="00AE7D73" w:rsidRPr="008E7712">
        <w:rPr>
          <w:szCs w:val="26"/>
        </w:rPr>
        <w:t xml:space="preserve">, </w:t>
      </w:r>
      <w:r w:rsidR="00064042" w:rsidRPr="008E7712">
        <w:rPr>
          <w:rFonts w:eastAsia="Calibri"/>
          <w:szCs w:val="26"/>
        </w:rPr>
        <w:t>grant the Joint Petition, and</w:t>
      </w:r>
      <w:r w:rsidR="00FA4521" w:rsidRPr="008E7712">
        <w:rPr>
          <w:rFonts w:eastAsia="Calibri"/>
          <w:szCs w:val="26"/>
        </w:rPr>
        <w:t>, thus,</w:t>
      </w:r>
      <w:r w:rsidR="00064042" w:rsidRPr="008E7712">
        <w:rPr>
          <w:rFonts w:eastAsia="Calibri"/>
          <w:szCs w:val="26"/>
        </w:rPr>
        <w:t xml:space="preserve"> </w:t>
      </w:r>
      <w:r w:rsidRPr="008E7712">
        <w:rPr>
          <w:szCs w:val="26"/>
        </w:rPr>
        <w:t xml:space="preserve">approve the Settlement </w:t>
      </w:r>
      <w:r w:rsidR="00A40598" w:rsidRPr="008E7712">
        <w:rPr>
          <w:szCs w:val="26"/>
        </w:rPr>
        <w:t>in its entirety</w:t>
      </w:r>
      <w:r w:rsidR="002F1005">
        <w:rPr>
          <w:szCs w:val="26"/>
        </w:rPr>
        <w:t>,</w:t>
      </w:r>
      <w:r w:rsidR="00A40598" w:rsidRPr="008E7712">
        <w:rPr>
          <w:szCs w:val="26"/>
        </w:rPr>
        <w:t xml:space="preserve"> and without modification, consistent with this Opinion and Order</w:t>
      </w:r>
      <w:r w:rsidR="00462A23" w:rsidRPr="008E7712">
        <w:rPr>
          <w:szCs w:val="26"/>
        </w:rPr>
        <w:t>;</w:t>
      </w:r>
      <w:r w:rsidR="00462A23" w:rsidRPr="008E7712">
        <w:rPr>
          <w:b/>
          <w:bCs/>
          <w:szCs w:val="26"/>
        </w:rPr>
        <w:t xml:space="preserve"> </w:t>
      </w:r>
      <w:r w:rsidR="0047361F" w:rsidRPr="008E7712">
        <w:rPr>
          <w:b/>
          <w:bCs/>
          <w:szCs w:val="26"/>
        </w:rPr>
        <w:t xml:space="preserve">THEREFORE, </w:t>
      </w:r>
    </w:p>
    <w:p w14:paraId="2DDD2F53" w14:textId="77777777" w:rsidR="0047361F" w:rsidRPr="008E7712" w:rsidRDefault="0047361F" w:rsidP="00EB7CBC">
      <w:pPr>
        <w:ind w:left="14" w:right="57" w:firstLine="1426"/>
        <w:jc w:val="both"/>
        <w:rPr>
          <w:b/>
          <w:bCs/>
          <w:szCs w:val="26"/>
        </w:rPr>
      </w:pPr>
    </w:p>
    <w:p w14:paraId="196D4EE8" w14:textId="77777777" w:rsidR="0047361F" w:rsidRPr="008E7712" w:rsidRDefault="0047361F" w:rsidP="006D7007">
      <w:pPr>
        <w:keepNext/>
        <w:ind w:left="14" w:right="57" w:firstLine="1426"/>
        <w:jc w:val="both"/>
        <w:rPr>
          <w:b/>
          <w:bCs/>
          <w:szCs w:val="26"/>
        </w:rPr>
      </w:pPr>
      <w:r w:rsidRPr="008E7712">
        <w:rPr>
          <w:b/>
          <w:bCs/>
          <w:szCs w:val="26"/>
        </w:rPr>
        <w:t xml:space="preserve">IT IS ORDERED: </w:t>
      </w:r>
    </w:p>
    <w:p w14:paraId="328CBA3D" w14:textId="6D1276B2" w:rsidR="002F43A1" w:rsidRPr="008E7712" w:rsidRDefault="002F43A1" w:rsidP="006D7007">
      <w:pPr>
        <w:keepNext/>
        <w:rPr>
          <w:szCs w:val="26"/>
        </w:rPr>
      </w:pPr>
    </w:p>
    <w:p w14:paraId="5295C8B9" w14:textId="058108D0" w:rsidR="002150D1" w:rsidRPr="008E7712" w:rsidRDefault="00266217" w:rsidP="002150D1">
      <w:pPr>
        <w:keepNext/>
        <w:rPr>
          <w:szCs w:val="26"/>
        </w:rPr>
      </w:pPr>
      <w:r w:rsidRPr="008E7712">
        <w:rPr>
          <w:szCs w:val="26"/>
        </w:rPr>
        <w:tab/>
      </w:r>
      <w:r w:rsidRPr="008E7712">
        <w:rPr>
          <w:szCs w:val="26"/>
        </w:rPr>
        <w:tab/>
        <w:t>1.</w:t>
      </w:r>
      <w:r w:rsidRPr="008E7712">
        <w:rPr>
          <w:szCs w:val="26"/>
        </w:rPr>
        <w:tab/>
      </w:r>
      <w:r w:rsidR="002150D1" w:rsidRPr="008E7712">
        <w:rPr>
          <w:szCs w:val="26"/>
        </w:rPr>
        <w:t xml:space="preserve">That the Material Question that was certified to the Commission based on the </w:t>
      </w:r>
      <w:r w:rsidR="00B4016C" w:rsidRPr="008E7712">
        <w:rPr>
          <w:szCs w:val="26"/>
        </w:rPr>
        <w:t xml:space="preserve">November 10, </w:t>
      </w:r>
      <w:proofErr w:type="gramStart"/>
      <w:r w:rsidR="00B4016C" w:rsidRPr="008E7712">
        <w:rPr>
          <w:szCs w:val="26"/>
        </w:rPr>
        <w:t>2021</w:t>
      </w:r>
      <w:proofErr w:type="gramEnd"/>
      <w:r w:rsidR="00B4016C" w:rsidRPr="008E7712">
        <w:rPr>
          <w:szCs w:val="26"/>
        </w:rPr>
        <w:t xml:space="preserve"> </w:t>
      </w:r>
      <w:r w:rsidR="002150D1" w:rsidRPr="008E7712">
        <w:rPr>
          <w:szCs w:val="26"/>
        </w:rPr>
        <w:t xml:space="preserve">Order of Administrative Law Judge </w:t>
      </w:r>
      <w:r w:rsidR="00B4016C" w:rsidRPr="008E7712">
        <w:rPr>
          <w:szCs w:val="26"/>
        </w:rPr>
        <w:t xml:space="preserve">Dennis </w:t>
      </w:r>
      <w:r w:rsidR="00396977">
        <w:rPr>
          <w:szCs w:val="26"/>
        </w:rPr>
        <w:t xml:space="preserve">J. </w:t>
      </w:r>
      <w:r w:rsidR="00B4016C" w:rsidRPr="008E7712">
        <w:rPr>
          <w:szCs w:val="26"/>
        </w:rPr>
        <w:t>Buckley</w:t>
      </w:r>
      <w:r w:rsidR="002150D1" w:rsidRPr="008E7712">
        <w:rPr>
          <w:szCs w:val="26"/>
        </w:rPr>
        <w:t xml:space="preserve">: </w:t>
      </w:r>
    </w:p>
    <w:p w14:paraId="423BC371" w14:textId="57F939F0" w:rsidR="00FC4D35" w:rsidRPr="008E7712" w:rsidRDefault="00FC4D35" w:rsidP="00D62BEC">
      <w:pPr>
        <w:keepNext/>
        <w:spacing w:line="240" w:lineRule="auto"/>
        <w:rPr>
          <w:szCs w:val="26"/>
        </w:rPr>
      </w:pPr>
    </w:p>
    <w:p w14:paraId="0F309637" w14:textId="4C5C7F80" w:rsidR="00FC4D35" w:rsidRPr="008E7712" w:rsidRDefault="00FC4D35" w:rsidP="00C613A1">
      <w:pPr>
        <w:keepNext/>
        <w:spacing w:line="240" w:lineRule="auto"/>
        <w:ind w:left="1440" w:right="1440"/>
        <w:rPr>
          <w:szCs w:val="26"/>
        </w:rPr>
      </w:pPr>
      <w:r w:rsidRPr="008E7712">
        <w:rPr>
          <w:szCs w:val="26"/>
        </w:rPr>
        <w:t>Whether the action of the presiding Administrative Law Judge rejecting the proposed Joint Settlement filed by the parties in the consolidated proceeding at Docket Nos. R</w:t>
      </w:r>
      <w:r w:rsidR="005E0890">
        <w:rPr>
          <w:szCs w:val="26"/>
        </w:rPr>
        <w:noBreakHyphen/>
      </w:r>
      <w:r w:rsidRPr="008E7712">
        <w:rPr>
          <w:szCs w:val="26"/>
        </w:rPr>
        <w:t>2021-3025206 and R-2021-3025207 was proper?</w:t>
      </w:r>
    </w:p>
    <w:p w14:paraId="6A630900" w14:textId="77777777" w:rsidR="00B4016C" w:rsidRPr="008E7712" w:rsidRDefault="00B4016C" w:rsidP="002150D1">
      <w:pPr>
        <w:keepNext/>
        <w:rPr>
          <w:szCs w:val="26"/>
        </w:rPr>
      </w:pPr>
    </w:p>
    <w:p w14:paraId="4D6039AB" w14:textId="1B2D160C" w:rsidR="002150D1" w:rsidRPr="008E7712" w:rsidRDefault="002150D1" w:rsidP="0082279A">
      <w:pPr>
        <w:keepNext/>
        <w:rPr>
          <w:szCs w:val="26"/>
        </w:rPr>
      </w:pPr>
      <w:r w:rsidRPr="00B57603">
        <w:rPr>
          <w:szCs w:val="26"/>
        </w:rPr>
        <w:t xml:space="preserve">is answered in the </w:t>
      </w:r>
      <w:r w:rsidR="00F25118" w:rsidRPr="00B57603">
        <w:rPr>
          <w:szCs w:val="26"/>
        </w:rPr>
        <w:t>negative</w:t>
      </w:r>
      <w:r w:rsidRPr="00B57603">
        <w:rPr>
          <w:szCs w:val="26"/>
        </w:rPr>
        <w:t>, pursuant to 52 Pa. Code § 5.305(e)(3).</w:t>
      </w:r>
    </w:p>
    <w:p w14:paraId="2BAE727C" w14:textId="77777777" w:rsidR="00266217" w:rsidRPr="008E7712" w:rsidRDefault="00266217" w:rsidP="0082279A">
      <w:pPr>
        <w:rPr>
          <w:szCs w:val="26"/>
        </w:rPr>
      </w:pPr>
    </w:p>
    <w:p w14:paraId="02356F6E" w14:textId="5ADC07BD" w:rsidR="002F43A1" w:rsidRPr="008E7712" w:rsidRDefault="00F25118" w:rsidP="0082279A">
      <w:pPr>
        <w:rPr>
          <w:rFonts w:eastAsia="Calibri"/>
          <w:szCs w:val="26"/>
        </w:rPr>
      </w:pPr>
      <w:r w:rsidRPr="008E7712">
        <w:rPr>
          <w:szCs w:val="26"/>
        </w:rPr>
        <w:tab/>
      </w:r>
      <w:r w:rsidRPr="008E7712">
        <w:rPr>
          <w:szCs w:val="26"/>
        </w:rPr>
        <w:tab/>
        <w:t>2.</w:t>
      </w:r>
      <w:r w:rsidRPr="008E7712">
        <w:rPr>
          <w:szCs w:val="26"/>
        </w:rPr>
        <w:tab/>
      </w:r>
      <w:r w:rsidR="002F43A1" w:rsidRPr="008E7712">
        <w:rPr>
          <w:szCs w:val="26"/>
        </w:rPr>
        <w:t xml:space="preserve">That the Joint Petition for Settlement filed October 12, </w:t>
      </w:r>
      <w:proofErr w:type="gramStart"/>
      <w:r w:rsidR="002F43A1" w:rsidRPr="008E7712">
        <w:rPr>
          <w:szCs w:val="26"/>
        </w:rPr>
        <w:t>2021</w:t>
      </w:r>
      <w:proofErr w:type="gramEnd"/>
      <w:r w:rsidR="002F43A1" w:rsidRPr="008E7712">
        <w:rPr>
          <w:szCs w:val="26"/>
        </w:rPr>
        <w:t xml:space="preserve"> by Community Utilities of Pennsylvania, Inc., the Bureau of Investigation and Enforcement, the Office of Consumer Advocate, and the Office of Small Business Advocate is granted, and the Settlement is </w:t>
      </w:r>
      <w:r w:rsidR="00FA261C" w:rsidRPr="008E7712">
        <w:rPr>
          <w:szCs w:val="26"/>
        </w:rPr>
        <w:t>here</w:t>
      </w:r>
      <w:r w:rsidR="002F43A1" w:rsidRPr="008E7712">
        <w:rPr>
          <w:szCs w:val="26"/>
        </w:rPr>
        <w:t xml:space="preserve">by adopted, in full, without modification or correction. </w:t>
      </w:r>
    </w:p>
    <w:p w14:paraId="57009252" w14:textId="77777777" w:rsidR="002F43A1" w:rsidRPr="008E7712" w:rsidRDefault="002F43A1" w:rsidP="0082279A">
      <w:pPr>
        <w:ind w:left="1440" w:right="57"/>
        <w:rPr>
          <w:szCs w:val="26"/>
        </w:rPr>
      </w:pPr>
    </w:p>
    <w:p w14:paraId="59676EA2" w14:textId="765A623E" w:rsidR="002F43A1" w:rsidRPr="008E7712" w:rsidRDefault="00F25118" w:rsidP="0082279A">
      <w:pPr>
        <w:ind w:left="14" w:right="57" w:firstLine="1426"/>
        <w:rPr>
          <w:szCs w:val="26"/>
        </w:rPr>
      </w:pPr>
      <w:r w:rsidRPr="008E7712">
        <w:rPr>
          <w:szCs w:val="26"/>
        </w:rPr>
        <w:lastRenderedPageBreak/>
        <w:t>3.</w:t>
      </w:r>
      <w:r w:rsidR="005D3B93" w:rsidRPr="008E7712">
        <w:rPr>
          <w:szCs w:val="26"/>
        </w:rPr>
        <w:tab/>
      </w:r>
      <w:r w:rsidR="002F43A1" w:rsidRPr="008E7712">
        <w:rPr>
          <w:szCs w:val="26"/>
        </w:rPr>
        <w:t xml:space="preserve">That Community Utilities of Pennsylvania, Inc. is authorized to file tariffs, tariff supplements or tariff revisions containing rates, rules and regulations, consistent with the Joint Petition for Settlement, to produce a total increase </w:t>
      </w:r>
      <w:r w:rsidR="00FA261C" w:rsidRPr="008E7712">
        <w:rPr>
          <w:szCs w:val="26"/>
        </w:rPr>
        <w:t xml:space="preserve">in annual operating revenues </w:t>
      </w:r>
      <w:r w:rsidR="002F43A1" w:rsidRPr="008E7712">
        <w:rPr>
          <w:szCs w:val="26"/>
        </w:rPr>
        <w:t xml:space="preserve">of $630,000 for </w:t>
      </w:r>
      <w:r w:rsidR="00FA261C" w:rsidRPr="008E7712">
        <w:rPr>
          <w:szCs w:val="26"/>
        </w:rPr>
        <w:t xml:space="preserve">its </w:t>
      </w:r>
      <w:r w:rsidR="002F43A1" w:rsidRPr="008E7712">
        <w:rPr>
          <w:szCs w:val="26"/>
        </w:rPr>
        <w:t xml:space="preserve">water </w:t>
      </w:r>
      <w:r w:rsidR="00FA261C" w:rsidRPr="008E7712">
        <w:rPr>
          <w:szCs w:val="26"/>
        </w:rPr>
        <w:t xml:space="preserve">customers </w:t>
      </w:r>
      <w:r w:rsidR="002F43A1" w:rsidRPr="008E7712">
        <w:rPr>
          <w:szCs w:val="26"/>
        </w:rPr>
        <w:t xml:space="preserve">and $830,000 </w:t>
      </w:r>
      <w:r w:rsidR="00FA261C" w:rsidRPr="008E7712">
        <w:rPr>
          <w:szCs w:val="26"/>
        </w:rPr>
        <w:t xml:space="preserve">in annual operating revenues </w:t>
      </w:r>
      <w:r w:rsidR="002F43A1" w:rsidRPr="008E7712">
        <w:rPr>
          <w:szCs w:val="26"/>
        </w:rPr>
        <w:t xml:space="preserve">for </w:t>
      </w:r>
      <w:r w:rsidR="00FA261C" w:rsidRPr="008E7712">
        <w:rPr>
          <w:szCs w:val="26"/>
        </w:rPr>
        <w:t xml:space="preserve">its </w:t>
      </w:r>
      <w:r w:rsidR="002F43A1" w:rsidRPr="008E7712">
        <w:rPr>
          <w:szCs w:val="26"/>
        </w:rPr>
        <w:t xml:space="preserve">wastewater </w:t>
      </w:r>
      <w:r w:rsidR="00FA261C" w:rsidRPr="008E7712">
        <w:rPr>
          <w:szCs w:val="26"/>
        </w:rPr>
        <w:t xml:space="preserve">customers, </w:t>
      </w:r>
      <w:r w:rsidR="002F43A1" w:rsidRPr="008E7712">
        <w:rPr>
          <w:szCs w:val="26"/>
        </w:rPr>
        <w:t xml:space="preserve">consistent with the rates, rules and regulations set forth in the </w:t>
      </w:r>
      <w:r w:rsidR="00EE302C" w:rsidRPr="008E7712">
        <w:rPr>
          <w:szCs w:val="26"/>
        </w:rPr>
        <w:t xml:space="preserve">illustrative </w:t>
      </w:r>
      <w:r w:rsidR="002F43A1" w:rsidRPr="008E7712">
        <w:rPr>
          <w:szCs w:val="26"/>
        </w:rPr>
        <w:t>tariff supplements included in Appendices B (Water) and C (Wastewater)</w:t>
      </w:r>
      <w:r w:rsidR="00FA261C" w:rsidRPr="008E7712">
        <w:rPr>
          <w:szCs w:val="26"/>
        </w:rPr>
        <w:t xml:space="preserve"> of the Joint Petition for Settlement</w:t>
      </w:r>
      <w:r w:rsidR="002F43A1" w:rsidRPr="008E7712">
        <w:rPr>
          <w:szCs w:val="26"/>
        </w:rPr>
        <w:t xml:space="preserve">. </w:t>
      </w:r>
    </w:p>
    <w:p w14:paraId="700C2B12" w14:textId="77777777" w:rsidR="002F43A1" w:rsidRPr="008E7712" w:rsidRDefault="002F43A1" w:rsidP="00EB7CBC">
      <w:pPr>
        <w:ind w:left="14" w:right="57" w:firstLine="1426"/>
        <w:rPr>
          <w:szCs w:val="26"/>
        </w:rPr>
      </w:pPr>
    </w:p>
    <w:p w14:paraId="1DDD32CC" w14:textId="5B354097" w:rsidR="002F43A1" w:rsidRDefault="005D3B93" w:rsidP="00C613A1">
      <w:pPr>
        <w:rPr>
          <w:szCs w:val="26"/>
        </w:rPr>
      </w:pPr>
      <w:r w:rsidRPr="008E7712">
        <w:rPr>
          <w:szCs w:val="26"/>
        </w:rPr>
        <w:tab/>
      </w:r>
      <w:r w:rsidRPr="008E7712">
        <w:rPr>
          <w:szCs w:val="26"/>
        </w:rPr>
        <w:tab/>
      </w:r>
      <w:r w:rsidR="00F25118" w:rsidRPr="008E7712">
        <w:rPr>
          <w:szCs w:val="26"/>
        </w:rPr>
        <w:t>4</w:t>
      </w:r>
      <w:r w:rsidRPr="008E7712">
        <w:rPr>
          <w:szCs w:val="26"/>
        </w:rPr>
        <w:t>.</w:t>
      </w:r>
      <w:r w:rsidRPr="008E7712">
        <w:rPr>
          <w:szCs w:val="26"/>
        </w:rPr>
        <w:tab/>
      </w:r>
      <w:r w:rsidR="002F43A1" w:rsidRPr="008E7712">
        <w:rPr>
          <w:szCs w:val="26"/>
        </w:rPr>
        <w:t>That Community Utilities of Pennsylvania, Inc. shall be permitted to file tariffs in the form set forth in Appendices B (Water) and C (Wastewater) to the Joint Petition for Settlement, to become effective upon at least one day</w:t>
      </w:r>
      <w:r w:rsidR="0082279A">
        <w:rPr>
          <w:szCs w:val="26"/>
        </w:rPr>
        <w:t>’</w:t>
      </w:r>
      <w:r w:rsidR="002F43A1" w:rsidRPr="008E7712">
        <w:rPr>
          <w:szCs w:val="26"/>
        </w:rPr>
        <w:t>s notice, for service rendered on and after January 1</w:t>
      </w:r>
      <w:r w:rsidR="00EE302C" w:rsidRPr="008E7712">
        <w:rPr>
          <w:szCs w:val="26"/>
        </w:rPr>
        <w:t>2</w:t>
      </w:r>
      <w:r w:rsidR="002F43A1" w:rsidRPr="008E7712">
        <w:rPr>
          <w:szCs w:val="26"/>
        </w:rPr>
        <w:t xml:space="preserve">, 2022, so as to produce annual </w:t>
      </w:r>
      <w:r w:rsidR="00EE302C" w:rsidRPr="008E7712">
        <w:rPr>
          <w:szCs w:val="26"/>
        </w:rPr>
        <w:t xml:space="preserve">operating revenue </w:t>
      </w:r>
      <w:r w:rsidR="002F43A1" w:rsidRPr="008E7712">
        <w:rPr>
          <w:szCs w:val="26"/>
        </w:rPr>
        <w:t>increase</w:t>
      </w:r>
      <w:r w:rsidR="00EE302C" w:rsidRPr="008E7712">
        <w:rPr>
          <w:szCs w:val="26"/>
        </w:rPr>
        <w:t>s</w:t>
      </w:r>
      <w:r w:rsidR="002F43A1" w:rsidRPr="008E7712">
        <w:rPr>
          <w:szCs w:val="26"/>
        </w:rPr>
        <w:t xml:space="preserve"> consistent with this </w:t>
      </w:r>
      <w:r w:rsidR="00EE302C" w:rsidRPr="008E7712">
        <w:rPr>
          <w:szCs w:val="26"/>
        </w:rPr>
        <w:t xml:space="preserve">Opinion and </w:t>
      </w:r>
      <w:r w:rsidR="002F43A1" w:rsidRPr="008E7712">
        <w:rPr>
          <w:szCs w:val="26"/>
        </w:rPr>
        <w:t xml:space="preserve">Order. </w:t>
      </w:r>
    </w:p>
    <w:p w14:paraId="033DDFBC" w14:textId="77777777" w:rsidR="0082279A" w:rsidRPr="008E7712" w:rsidRDefault="0082279A" w:rsidP="00C613A1">
      <w:pPr>
        <w:rPr>
          <w:rFonts w:eastAsia="Calibri"/>
          <w:szCs w:val="26"/>
        </w:rPr>
      </w:pPr>
    </w:p>
    <w:p w14:paraId="7921EBF3" w14:textId="52A2EF56" w:rsidR="002F43A1" w:rsidRPr="008E7712" w:rsidRDefault="00931967" w:rsidP="00C613A1">
      <w:pPr>
        <w:rPr>
          <w:rFonts w:eastAsia="Calibri"/>
          <w:szCs w:val="26"/>
        </w:rPr>
      </w:pPr>
      <w:r w:rsidRPr="008E7712">
        <w:rPr>
          <w:szCs w:val="26"/>
        </w:rPr>
        <w:tab/>
      </w:r>
      <w:r w:rsidRPr="008E7712">
        <w:rPr>
          <w:szCs w:val="26"/>
        </w:rPr>
        <w:tab/>
      </w:r>
      <w:r w:rsidR="00F25118" w:rsidRPr="008E7712">
        <w:rPr>
          <w:szCs w:val="26"/>
        </w:rPr>
        <w:t>5</w:t>
      </w:r>
      <w:r w:rsidRPr="008E7712">
        <w:rPr>
          <w:szCs w:val="26"/>
        </w:rPr>
        <w:t>.</w:t>
      </w:r>
      <w:r w:rsidRPr="008E7712">
        <w:rPr>
          <w:szCs w:val="26"/>
        </w:rPr>
        <w:tab/>
      </w:r>
      <w:r w:rsidR="002F43A1" w:rsidRPr="008E7712">
        <w:rPr>
          <w:szCs w:val="26"/>
        </w:rPr>
        <w:t xml:space="preserve">That Community Utilities of Pennsylvania, Inc. shall be entitled to recoup the revenue increase not billed from the effective date of January 12, 2022, through the date of the Commission’s approval of new rates in the manner set forth in this Order.  The revenue increases not billed from the effective date of January 12, 2022, through the date of Commission approval of new rates will be recovered over a six-month period that shall be applied proportionately to all customer classes via a surcharge on each monthly bill during the six-month recovery period.  The Company shall </w:t>
      </w:r>
      <w:r w:rsidR="004F55A7">
        <w:rPr>
          <w:szCs w:val="26"/>
        </w:rPr>
        <w:t xml:space="preserve">include </w:t>
      </w:r>
      <w:r w:rsidR="002F43A1" w:rsidRPr="008E7712">
        <w:rPr>
          <w:szCs w:val="26"/>
        </w:rPr>
        <w:t>tariff page</w:t>
      </w:r>
      <w:r w:rsidR="00032CCB">
        <w:rPr>
          <w:szCs w:val="26"/>
        </w:rPr>
        <w:t xml:space="preserve"> in each of the tariffs filed pursuant to Ordering Paragraph 4</w:t>
      </w:r>
      <w:r w:rsidR="002F43A1" w:rsidRPr="008E7712">
        <w:rPr>
          <w:szCs w:val="26"/>
        </w:rPr>
        <w:t>, in the form attached to the Joint Petition for Settlement as Appendix D, to implement the surcharge.</w:t>
      </w:r>
    </w:p>
    <w:p w14:paraId="2565B45A" w14:textId="77777777" w:rsidR="002F43A1" w:rsidRPr="008E7712" w:rsidRDefault="002F43A1" w:rsidP="00EB7CBC">
      <w:pPr>
        <w:ind w:left="1440" w:right="57"/>
        <w:rPr>
          <w:szCs w:val="26"/>
        </w:rPr>
      </w:pPr>
    </w:p>
    <w:p w14:paraId="49C4A9E6" w14:textId="30462942" w:rsidR="002F43A1" w:rsidRPr="008E7712" w:rsidRDefault="00931967" w:rsidP="00C613A1">
      <w:pPr>
        <w:rPr>
          <w:rFonts w:eastAsia="Calibri"/>
          <w:szCs w:val="26"/>
        </w:rPr>
      </w:pPr>
      <w:r w:rsidRPr="008E7712">
        <w:rPr>
          <w:szCs w:val="26"/>
        </w:rPr>
        <w:tab/>
      </w:r>
      <w:r w:rsidRPr="008E7712">
        <w:rPr>
          <w:szCs w:val="26"/>
        </w:rPr>
        <w:tab/>
      </w:r>
      <w:r w:rsidR="00F25118" w:rsidRPr="008E7712">
        <w:rPr>
          <w:szCs w:val="26"/>
        </w:rPr>
        <w:t>6</w:t>
      </w:r>
      <w:r w:rsidRPr="008E7712">
        <w:rPr>
          <w:szCs w:val="26"/>
        </w:rPr>
        <w:t>.</w:t>
      </w:r>
      <w:r w:rsidRPr="008E7712">
        <w:rPr>
          <w:szCs w:val="26"/>
        </w:rPr>
        <w:tab/>
      </w:r>
      <w:r w:rsidR="007D416E" w:rsidRPr="008E7712">
        <w:rPr>
          <w:szCs w:val="26"/>
        </w:rPr>
        <w:t>T</w:t>
      </w:r>
      <w:r w:rsidR="002F43A1" w:rsidRPr="008E7712">
        <w:rPr>
          <w:szCs w:val="26"/>
        </w:rPr>
        <w:t xml:space="preserve">hat the </w:t>
      </w:r>
      <w:r w:rsidR="00B70F44" w:rsidRPr="008E7712">
        <w:rPr>
          <w:szCs w:val="26"/>
        </w:rPr>
        <w:t>Formal C</w:t>
      </w:r>
      <w:r w:rsidR="002F43A1" w:rsidRPr="008E7712">
        <w:rPr>
          <w:szCs w:val="26"/>
        </w:rPr>
        <w:t>omplaints of the Office of Consumer Advocate at Docket Nos. C-2021</w:t>
      </w:r>
      <w:r w:rsidR="008D1B7B">
        <w:rPr>
          <w:szCs w:val="26"/>
        </w:rPr>
        <w:t>-</w:t>
      </w:r>
      <w:r w:rsidR="002F43A1" w:rsidRPr="008E7712">
        <w:rPr>
          <w:szCs w:val="26"/>
        </w:rPr>
        <w:t xml:space="preserve">3025777 (Water) and C-2021-3025778 (Wastewater) are deemed satisfied and marked closed. </w:t>
      </w:r>
    </w:p>
    <w:p w14:paraId="18B6C828" w14:textId="77777777" w:rsidR="002F43A1" w:rsidRPr="008E7712" w:rsidRDefault="002F43A1" w:rsidP="00C613A1">
      <w:pPr>
        <w:rPr>
          <w:szCs w:val="26"/>
        </w:rPr>
      </w:pPr>
    </w:p>
    <w:p w14:paraId="36648CF0" w14:textId="41D8FE3F" w:rsidR="000E393A" w:rsidRPr="008E7712" w:rsidRDefault="00931967" w:rsidP="00C613A1">
      <w:pPr>
        <w:rPr>
          <w:szCs w:val="26"/>
        </w:rPr>
      </w:pPr>
      <w:r w:rsidRPr="008E7712">
        <w:rPr>
          <w:szCs w:val="26"/>
        </w:rPr>
        <w:lastRenderedPageBreak/>
        <w:tab/>
      </w:r>
      <w:r w:rsidRPr="008E7712">
        <w:rPr>
          <w:szCs w:val="26"/>
        </w:rPr>
        <w:tab/>
      </w:r>
      <w:r w:rsidR="00F25118" w:rsidRPr="008E7712">
        <w:rPr>
          <w:szCs w:val="26"/>
        </w:rPr>
        <w:t>7</w:t>
      </w:r>
      <w:r w:rsidRPr="008E7712">
        <w:rPr>
          <w:szCs w:val="26"/>
        </w:rPr>
        <w:t>.</w:t>
      </w:r>
      <w:r w:rsidRPr="008E7712">
        <w:rPr>
          <w:szCs w:val="26"/>
        </w:rPr>
        <w:tab/>
      </w:r>
      <w:r w:rsidR="002F43A1" w:rsidRPr="008E7712">
        <w:rPr>
          <w:szCs w:val="26"/>
        </w:rPr>
        <w:t xml:space="preserve">That the </w:t>
      </w:r>
      <w:r w:rsidR="00B726E0" w:rsidRPr="008E7712">
        <w:rPr>
          <w:szCs w:val="26"/>
        </w:rPr>
        <w:t>Formal C</w:t>
      </w:r>
      <w:r w:rsidR="002F43A1" w:rsidRPr="008E7712">
        <w:rPr>
          <w:szCs w:val="26"/>
        </w:rPr>
        <w:t>omplaints of the Office of Small Business Advocate Docket Nos. C-2021</w:t>
      </w:r>
      <w:r w:rsidR="008D1B7B">
        <w:rPr>
          <w:szCs w:val="26"/>
        </w:rPr>
        <w:t>-</w:t>
      </w:r>
      <w:r w:rsidR="002F43A1" w:rsidRPr="008E7712">
        <w:rPr>
          <w:szCs w:val="26"/>
        </w:rPr>
        <w:t>3025263 (Water) and C-2021-3025260 (Wastewater) are deemed satisfied and marked closed.</w:t>
      </w:r>
    </w:p>
    <w:p w14:paraId="4FB0AA1B" w14:textId="77777777" w:rsidR="000E393A" w:rsidRPr="008E7712" w:rsidRDefault="000E393A" w:rsidP="00C613A1">
      <w:pPr>
        <w:rPr>
          <w:rFonts w:eastAsia="Calibri"/>
          <w:szCs w:val="26"/>
        </w:rPr>
      </w:pPr>
    </w:p>
    <w:p w14:paraId="0F6C539B" w14:textId="7F460DFD" w:rsidR="007958E7" w:rsidRDefault="007958E7" w:rsidP="007958E7">
      <w:pPr>
        <w:ind w:firstLine="1440"/>
        <w:contextualSpacing/>
        <w:rPr>
          <w:szCs w:val="26"/>
        </w:rPr>
      </w:pPr>
      <w:r>
        <w:rPr>
          <w:szCs w:val="26"/>
        </w:rPr>
        <w:t>8.</w:t>
      </w:r>
      <w:r>
        <w:rPr>
          <w:szCs w:val="26"/>
        </w:rPr>
        <w:tab/>
      </w:r>
      <w:r w:rsidRPr="005C753A">
        <w:rPr>
          <w:szCs w:val="26"/>
        </w:rPr>
        <w:t>That the</w:t>
      </w:r>
      <w:r>
        <w:rPr>
          <w:szCs w:val="26"/>
        </w:rPr>
        <w:t xml:space="preserve"> three Objections filed in response to the Settlement be denied and dismissed.</w:t>
      </w:r>
    </w:p>
    <w:p w14:paraId="3D93AB35" w14:textId="77777777" w:rsidR="007958E7" w:rsidRDefault="007958E7" w:rsidP="007958E7">
      <w:pPr>
        <w:ind w:firstLine="1440"/>
        <w:contextualSpacing/>
        <w:rPr>
          <w:szCs w:val="26"/>
        </w:rPr>
      </w:pPr>
    </w:p>
    <w:p w14:paraId="49D02186" w14:textId="00DD52F6" w:rsidR="007958E7" w:rsidRPr="002B1DC2" w:rsidRDefault="007958E7" w:rsidP="007958E7">
      <w:pPr>
        <w:ind w:firstLine="1440"/>
        <w:contextualSpacing/>
        <w:rPr>
          <w:color w:val="auto"/>
          <w:szCs w:val="26"/>
        </w:rPr>
      </w:pPr>
      <w:r>
        <w:rPr>
          <w:szCs w:val="26"/>
        </w:rPr>
        <w:t>9.</w:t>
      </w:r>
      <w:r>
        <w:rPr>
          <w:szCs w:val="26"/>
        </w:rPr>
        <w:tab/>
        <w:t xml:space="preserve">That the </w:t>
      </w:r>
      <w:r w:rsidRPr="005C753A">
        <w:rPr>
          <w:szCs w:val="26"/>
        </w:rPr>
        <w:t xml:space="preserve">following formal complaints at the respective docket numbers be dismissed and marked closed by the </w:t>
      </w:r>
      <w:r w:rsidRPr="002B1DC2">
        <w:rPr>
          <w:color w:val="auto"/>
          <w:szCs w:val="26"/>
        </w:rPr>
        <w:t>Commission’s Secretary’s Bureau:</w:t>
      </w:r>
    </w:p>
    <w:p w14:paraId="50A2DEB5" w14:textId="77777777" w:rsidR="007958E7" w:rsidRPr="002B1DC2" w:rsidRDefault="007958E7" w:rsidP="0082279A">
      <w:pPr>
        <w:spacing w:line="240" w:lineRule="auto"/>
        <w:rPr>
          <w:color w:val="auto"/>
          <w:szCs w:val="26"/>
        </w:rPr>
      </w:pPr>
    </w:p>
    <w:p w14:paraId="12F8F096" w14:textId="77777777" w:rsidR="00D34253" w:rsidRPr="002B1DC2" w:rsidRDefault="00D34253" w:rsidP="00D34253">
      <w:pPr>
        <w:tabs>
          <w:tab w:val="left" w:pos="3600"/>
        </w:tabs>
        <w:kinsoku w:val="0"/>
        <w:overflowPunct w:val="0"/>
        <w:spacing w:before="10" w:line="264" w:lineRule="exact"/>
        <w:ind w:left="1440" w:right="1440"/>
        <w:jc w:val="both"/>
        <w:textAlignment w:val="baseline"/>
        <w:rPr>
          <w:rFonts w:eastAsiaTheme="minorEastAsia"/>
          <w:color w:val="auto"/>
          <w:szCs w:val="26"/>
          <w:u w:val="single"/>
        </w:rPr>
      </w:pPr>
      <w:r w:rsidRPr="002B1DC2">
        <w:rPr>
          <w:rFonts w:eastAsiaTheme="minorEastAsia"/>
          <w:color w:val="auto"/>
          <w:szCs w:val="26"/>
          <w:u w:val="single"/>
        </w:rPr>
        <w:t>Complainant(s)</w:t>
      </w:r>
      <w:r w:rsidRPr="002B1DC2">
        <w:rPr>
          <w:rFonts w:eastAsiaTheme="minorEastAsia"/>
          <w:color w:val="auto"/>
          <w:szCs w:val="26"/>
          <w:u w:val="single"/>
        </w:rPr>
        <w:tab/>
        <w:t xml:space="preserve">Docket Number </w:t>
      </w:r>
      <w:r w:rsidRPr="002B1DC2">
        <w:rPr>
          <w:rFonts w:eastAsiaTheme="minorEastAsia"/>
          <w:color w:val="auto"/>
          <w:szCs w:val="26"/>
          <w:u w:val="single"/>
        </w:rPr>
        <w:tab/>
        <w:t>(Water)</w:t>
      </w:r>
    </w:p>
    <w:tbl>
      <w:tblPr>
        <w:tblStyle w:val="TableGrid"/>
        <w:tblW w:w="0" w:type="auto"/>
        <w:tblInd w:w="1440" w:type="dxa"/>
        <w:tblLook w:val="04A0" w:firstRow="1" w:lastRow="0" w:firstColumn="1" w:lastColumn="0" w:noHBand="0" w:noVBand="1"/>
      </w:tblPr>
      <w:tblGrid>
        <w:gridCol w:w="4230"/>
        <w:gridCol w:w="2250"/>
      </w:tblGrid>
      <w:tr w:rsidR="002B1DC2" w:rsidRPr="002B1DC2" w14:paraId="5DBCB60D" w14:textId="77777777" w:rsidTr="00030E15">
        <w:tc>
          <w:tcPr>
            <w:tcW w:w="4230" w:type="dxa"/>
          </w:tcPr>
          <w:p w14:paraId="7217590D" w14:textId="4EFEA697" w:rsidR="00D34253" w:rsidRPr="002B1DC2" w:rsidRDefault="00D34253" w:rsidP="00030E15">
            <w:pPr>
              <w:spacing w:line="240" w:lineRule="auto"/>
              <w:rPr>
                <w:color w:val="auto"/>
                <w:szCs w:val="26"/>
              </w:rPr>
            </w:pPr>
          </w:p>
        </w:tc>
        <w:tc>
          <w:tcPr>
            <w:tcW w:w="2250" w:type="dxa"/>
          </w:tcPr>
          <w:p w14:paraId="04C03BA4" w14:textId="35E4A699" w:rsidR="00D34253" w:rsidRPr="002B1DC2" w:rsidRDefault="00D34253" w:rsidP="00030E15">
            <w:pPr>
              <w:spacing w:line="240" w:lineRule="auto"/>
              <w:rPr>
                <w:color w:val="auto"/>
                <w:szCs w:val="26"/>
              </w:rPr>
            </w:pPr>
          </w:p>
        </w:tc>
      </w:tr>
      <w:tr w:rsidR="002B1DC2" w:rsidRPr="002B1DC2" w14:paraId="4EA1B9DF" w14:textId="77777777" w:rsidTr="00030E15">
        <w:tc>
          <w:tcPr>
            <w:tcW w:w="4230" w:type="dxa"/>
          </w:tcPr>
          <w:p w14:paraId="2BA108C2" w14:textId="77777777" w:rsidR="00D34253" w:rsidRPr="002B1DC2" w:rsidRDefault="00D34253" w:rsidP="00030E15">
            <w:pPr>
              <w:spacing w:line="240" w:lineRule="auto"/>
              <w:rPr>
                <w:color w:val="auto"/>
                <w:szCs w:val="26"/>
              </w:rPr>
            </w:pPr>
            <w:r w:rsidRPr="002B1DC2">
              <w:rPr>
                <w:noProof/>
                <w:color w:val="auto"/>
                <w:szCs w:val="26"/>
              </w:rPr>
              <w:t>Kerren Ricketts</w:t>
            </w:r>
          </w:p>
        </w:tc>
        <w:tc>
          <w:tcPr>
            <w:tcW w:w="2250" w:type="dxa"/>
          </w:tcPr>
          <w:p w14:paraId="5BD9D3DD" w14:textId="77777777" w:rsidR="00D34253" w:rsidRPr="002B1DC2" w:rsidRDefault="00D34253" w:rsidP="00030E15">
            <w:pPr>
              <w:spacing w:line="240" w:lineRule="auto"/>
              <w:rPr>
                <w:color w:val="auto"/>
                <w:szCs w:val="26"/>
              </w:rPr>
            </w:pPr>
            <w:r w:rsidRPr="002B1DC2">
              <w:rPr>
                <w:noProof/>
                <w:color w:val="auto"/>
                <w:szCs w:val="26"/>
              </w:rPr>
              <w:t>C-2021-3026119</w:t>
            </w:r>
          </w:p>
        </w:tc>
      </w:tr>
      <w:tr w:rsidR="002B1DC2" w:rsidRPr="002B1DC2" w14:paraId="64722F9C" w14:textId="77777777" w:rsidTr="00030E15">
        <w:tc>
          <w:tcPr>
            <w:tcW w:w="4230" w:type="dxa"/>
          </w:tcPr>
          <w:p w14:paraId="2D649221" w14:textId="77777777" w:rsidR="00D34253" w:rsidRPr="002B1DC2" w:rsidRDefault="00D34253" w:rsidP="00030E15">
            <w:pPr>
              <w:spacing w:line="240" w:lineRule="auto"/>
              <w:rPr>
                <w:color w:val="auto"/>
                <w:szCs w:val="26"/>
              </w:rPr>
            </w:pPr>
            <w:r w:rsidRPr="002B1DC2">
              <w:rPr>
                <w:noProof/>
                <w:color w:val="auto"/>
                <w:szCs w:val="26"/>
              </w:rPr>
              <w:t>John &amp; Jane Hoopingarner</w:t>
            </w:r>
          </w:p>
        </w:tc>
        <w:tc>
          <w:tcPr>
            <w:tcW w:w="2250" w:type="dxa"/>
          </w:tcPr>
          <w:p w14:paraId="0646C7F8" w14:textId="77777777" w:rsidR="00D34253" w:rsidRPr="002B1DC2" w:rsidRDefault="00D34253" w:rsidP="00030E15">
            <w:pPr>
              <w:spacing w:line="240" w:lineRule="auto"/>
              <w:rPr>
                <w:color w:val="auto"/>
                <w:szCs w:val="26"/>
              </w:rPr>
            </w:pPr>
            <w:r w:rsidRPr="002B1DC2">
              <w:rPr>
                <w:noProof/>
                <w:color w:val="auto"/>
                <w:szCs w:val="26"/>
              </w:rPr>
              <w:t>C-2021-3026160</w:t>
            </w:r>
          </w:p>
        </w:tc>
      </w:tr>
      <w:tr w:rsidR="002B1DC2" w:rsidRPr="002B1DC2" w14:paraId="596B0CE4" w14:textId="77777777" w:rsidTr="00030E15">
        <w:tc>
          <w:tcPr>
            <w:tcW w:w="4230" w:type="dxa"/>
          </w:tcPr>
          <w:p w14:paraId="0A294095" w14:textId="3B2BBA09" w:rsidR="00D34253" w:rsidRPr="002B1DC2" w:rsidRDefault="00D34253" w:rsidP="00030E15">
            <w:pPr>
              <w:spacing w:line="240" w:lineRule="auto"/>
              <w:rPr>
                <w:color w:val="auto"/>
                <w:szCs w:val="26"/>
              </w:rPr>
            </w:pPr>
            <w:r w:rsidRPr="002B1DC2">
              <w:rPr>
                <w:noProof/>
                <w:color w:val="auto"/>
                <w:szCs w:val="26"/>
              </w:rPr>
              <w:t>R</w:t>
            </w:r>
            <w:r w:rsidR="003C370E" w:rsidRPr="002B1DC2">
              <w:rPr>
                <w:noProof/>
                <w:color w:val="auto"/>
                <w:szCs w:val="26"/>
              </w:rPr>
              <w:t>a</w:t>
            </w:r>
            <w:r w:rsidRPr="002B1DC2">
              <w:rPr>
                <w:noProof/>
                <w:color w:val="auto"/>
                <w:szCs w:val="26"/>
              </w:rPr>
              <w:t>fail Kovalenko</w:t>
            </w:r>
          </w:p>
        </w:tc>
        <w:tc>
          <w:tcPr>
            <w:tcW w:w="2250" w:type="dxa"/>
          </w:tcPr>
          <w:p w14:paraId="6B9F4D72" w14:textId="77777777" w:rsidR="00D34253" w:rsidRPr="002B1DC2" w:rsidRDefault="00D34253" w:rsidP="00030E15">
            <w:pPr>
              <w:spacing w:line="240" w:lineRule="auto"/>
              <w:rPr>
                <w:color w:val="auto"/>
                <w:szCs w:val="26"/>
              </w:rPr>
            </w:pPr>
            <w:r w:rsidRPr="002B1DC2">
              <w:rPr>
                <w:noProof/>
                <w:color w:val="auto"/>
                <w:szCs w:val="26"/>
              </w:rPr>
              <w:t>C-2021-3026188</w:t>
            </w:r>
          </w:p>
        </w:tc>
      </w:tr>
      <w:tr w:rsidR="002B1DC2" w:rsidRPr="002B1DC2" w14:paraId="610EC02C" w14:textId="77777777" w:rsidTr="00030E15">
        <w:tc>
          <w:tcPr>
            <w:tcW w:w="4230" w:type="dxa"/>
          </w:tcPr>
          <w:p w14:paraId="7ADA780B" w14:textId="77777777" w:rsidR="00D34253" w:rsidRPr="002B1DC2" w:rsidRDefault="00D34253" w:rsidP="00030E15">
            <w:pPr>
              <w:spacing w:line="240" w:lineRule="auto"/>
              <w:rPr>
                <w:color w:val="auto"/>
                <w:szCs w:val="26"/>
              </w:rPr>
            </w:pPr>
            <w:r w:rsidRPr="002B1DC2">
              <w:rPr>
                <w:noProof/>
                <w:color w:val="auto"/>
                <w:szCs w:val="26"/>
              </w:rPr>
              <w:t>Philip Villone</w:t>
            </w:r>
          </w:p>
        </w:tc>
        <w:tc>
          <w:tcPr>
            <w:tcW w:w="2250" w:type="dxa"/>
          </w:tcPr>
          <w:p w14:paraId="2A3C2972" w14:textId="77777777" w:rsidR="00D34253" w:rsidRPr="002B1DC2" w:rsidRDefault="00D34253" w:rsidP="00030E15">
            <w:pPr>
              <w:spacing w:line="240" w:lineRule="auto"/>
              <w:rPr>
                <w:color w:val="auto"/>
                <w:szCs w:val="26"/>
              </w:rPr>
            </w:pPr>
            <w:r w:rsidRPr="002B1DC2">
              <w:rPr>
                <w:noProof/>
                <w:color w:val="auto"/>
                <w:szCs w:val="26"/>
              </w:rPr>
              <w:t>C-2021-3026264</w:t>
            </w:r>
          </w:p>
        </w:tc>
      </w:tr>
      <w:tr w:rsidR="002B1DC2" w:rsidRPr="002B1DC2" w14:paraId="5AF93287" w14:textId="77777777" w:rsidTr="00030E15">
        <w:tc>
          <w:tcPr>
            <w:tcW w:w="4230" w:type="dxa"/>
          </w:tcPr>
          <w:p w14:paraId="0DEF35F3" w14:textId="77777777" w:rsidR="00D34253" w:rsidRPr="002B1DC2" w:rsidRDefault="00D34253" w:rsidP="00030E15">
            <w:pPr>
              <w:spacing w:line="240" w:lineRule="auto"/>
              <w:rPr>
                <w:color w:val="auto"/>
                <w:szCs w:val="26"/>
              </w:rPr>
            </w:pPr>
            <w:r w:rsidRPr="002B1DC2">
              <w:rPr>
                <w:noProof/>
                <w:color w:val="auto"/>
                <w:szCs w:val="26"/>
              </w:rPr>
              <w:t>Bryan Donnelly</w:t>
            </w:r>
          </w:p>
        </w:tc>
        <w:tc>
          <w:tcPr>
            <w:tcW w:w="2250" w:type="dxa"/>
          </w:tcPr>
          <w:p w14:paraId="2CF55636" w14:textId="77777777" w:rsidR="00D34253" w:rsidRPr="002B1DC2" w:rsidRDefault="00D34253" w:rsidP="00030E15">
            <w:pPr>
              <w:spacing w:line="240" w:lineRule="auto"/>
              <w:rPr>
                <w:color w:val="auto"/>
                <w:szCs w:val="26"/>
              </w:rPr>
            </w:pPr>
            <w:r w:rsidRPr="002B1DC2">
              <w:rPr>
                <w:noProof/>
                <w:color w:val="auto"/>
                <w:szCs w:val="26"/>
              </w:rPr>
              <w:t>C-2021-3026269</w:t>
            </w:r>
          </w:p>
        </w:tc>
      </w:tr>
      <w:tr w:rsidR="002B1DC2" w:rsidRPr="002B1DC2" w14:paraId="6AC66932" w14:textId="77777777" w:rsidTr="00030E15">
        <w:tc>
          <w:tcPr>
            <w:tcW w:w="4230" w:type="dxa"/>
          </w:tcPr>
          <w:p w14:paraId="251447E0" w14:textId="77777777" w:rsidR="00D34253" w:rsidRPr="002B1DC2" w:rsidRDefault="00D34253" w:rsidP="00030E15">
            <w:pPr>
              <w:spacing w:line="240" w:lineRule="auto"/>
              <w:rPr>
                <w:color w:val="auto"/>
                <w:szCs w:val="26"/>
              </w:rPr>
            </w:pPr>
            <w:r w:rsidRPr="002B1DC2">
              <w:rPr>
                <w:noProof/>
                <w:color w:val="auto"/>
                <w:szCs w:val="26"/>
              </w:rPr>
              <w:t>Vincent &amp; Janine Marino</w:t>
            </w:r>
          </w:p>
        </w:tc>
        <w:tc>
          <w:tcPr>
            <w:tcW w:w="2250" w:type="dxa"/>
          </w:tcPr>
          <w:p w14:paraId="16162642" w14:textId="77777777" w:rsidR="00D34253" w:rsidRPr="002B1DC2" w:rsidRDefault="00D34253" w:rsidP="00030E15">
            <w:pPr>
              <w:spacing w:line="240" w:lineRule="auto"/>
              <w:rPr>
                <w:color w:val="auto"/>
                <w:szCs w:val="26"/>
              </w:rPr>
            </w:pPr>
            <w:r w:rsidRPr="002B1DC2">
              <w:rPr>
                <w:noProof/>
                <w:color w:val="auto"/>
                <w:szCs w:val="26"/>
              </w:rPr>
              <w:t>C-2021-3026278</w:t>
            </w:r>
          </w:p>
        </w:tc>
      </w:tr>
      <w:tr w:rsidR="002B1DC2" w:rsidRPr="002B1DC2" w14:paraId="1ED38102" w14:textId="77777777" w:rsidTr="00030E15">
        <w:tc>
          <w:tcPr>
            <w:tcW w:w="4230" w:type="dxa"/>
          </w:tcPr>
          <w:p w14:paraId="58BE9E58" w14:textId="77777777" w:rsidR="00D34253" w:rsidRPr="002B1DC2" w:rsidRDefault="00D34253" w:rsidP="00030E15">
            <w:pPr>
              <w:spacing w:line="240" w:lineRule="auto"/>
              <w:rPr>
                <w:color w:val="auto"/>
                <w:szCs w:val="26"/>
              </w:rPr>
            </w:pPr>
            <w:r w:rsidRPr="002B1DC2">
              <w:rPr>
                <w:noProof/>
                <w:color w:val="auto"/>
                <w:szCs w:val="26"/>
              </w:rPr>
              <w:t>Doritha Palmer</w:t>
            </w:r>
          </w:p>
        </w:tc>
        <w:tc>
          <w:tcPr>
            <w:tcW w:w="2250" w:type="dxa"/>
          </w:tcPr>
          <w:p w14:paraId="23CD877D" w14:textId="77777777" w:rsidR="00D34253" w:rsidRPr="002B1DC2" w:rsidRDefault="00D34253" w:rsidP="00030E15">
            <w:pPr>
              <w:spacing w:line="240" w:lineRule="auto"/>
              <w:rPr>
                <w:color w:val="auto"/>
                <w:szCs w:val="26"/>
              </w:rPr>
            </w:pPr>
            <w:r w:rsidRPr="002B1DC2">
              <w:rPr>
                <w:noProof/>
                <w:color w:val="auto"/>
                <w:szCs w:val="26"/>
              </w:rPr>
              <w:t>C-2021-3026317</w:t>
            </w:r>
          </w:p>
        </w:tc>
      </w:tr>
      <w:tr w:rsidR="002B1DC2" w:rsidRPr="002B1DC2" w14:paraId="7AF2B84B" w14:textId="77777777" w:rsidTr="00030E15">
        <w:tc>
          <w:tcPr>
            <w:tcW w:w="4230" w:type="dxa"/>
          </w:tcPr>
          <w:p w14:paraId="3308DEDA" w14:textId="0A09A708" w:rsidR="00D34253" w:rsidRPr="002B1DC2" w:rsidRDefault="00D34253" w:rsidP="00030E15">
            <w:pPr>
              <w:spacing w:line="240" w:lineRule="auto"/>
              <w:rPr>
                <w:color w:val="auto"/>
                <w:szCs w:val="26"/>
              </w:rPr>
            </w:pPr>
            <w:r w:rsidRPr="002B1DC2">
              <w:rPr>
                <w:noProof/>
                <w:color w:val="auto"/>
                <w:szCs w:val="26"/>
              </w:rPr>
              <w:t xml:space="preserve">Kathleen </w:t>
            </w:r>
            <w:r w:rsidR="00971E21" w:rsidRPr="002B1DC2">
              <w:rPr>
                <w:noProof/>
                <w:color w:val="auto"/>
                <w:szCs w:val="26"/>
              </w:rPr>
              <w:t xml:space="preserve">&amp; Gerald </w:t>
            </w:r>
            <w:r w:rsidRPr="002B1DC2">
              <w:rPr>
                <w:noProof/>
                <w:color w:val="auto"/>
                <w:szCs w:val="26"/>
              </w:rPr>
              <w:t>Raphael</w:t>
            </w:r>
          </w:p>
        </w:tc>
        <w:tc>
          <w:tcPr>
            <w:tcW w:w="2250" w:type="dxa"/>
          </w:tcPr>
          <w:p w14:paraId="765A22B7" w14:textId="77777777" w:rsidR="00D34253" w:rsidRPr="002B1DC2" w:rsidRDefault="00D34253" w:rsidP="00030E15">
            <w:pPr>
              <w:spacing w:line="240" w:lineRule="auto"/>
              <w:rPr>
                <w:color w:val="auto"/>
                <w:szCs w:val="26"/>
              </w:rPr>
            </w:pPr>
            <w:r w:rsidRPr="002B1DC2">
              <w:rPr>
                <w:noProof/>
                <w:color w:val="auto"/>
                <w:szCs w:val="26"/>
              </w:rPr>
              <w:t>C-2021-3026368</w:t>
            </w:r>
          </w:p>
        </w:tc>
      </w:tr>
      <w:tr w:rsidR="002B1DC2" w:rsidRPr="002B1DC2" w14:paraId="536DF7D9" w14:textId="77777777" w:rsidTr="00030E15">
        <w:tc>
          <w:tcPr>
            <w:tcW w:w="4230" w:type="dxa"/>
          </w:tcPr>
          <w:p w14:paraId="4C951227" w14:textId="77777777" w:rsidR="00D34253" w:rsidRPr="002B1DC2" w:rsidRDefault="00D34253" w:rsidP="00030E15">
            <w:pPr>
              <w:spacing w:line="240" w:lineRule="auto"/>
              <w:rPr>
                <w:color w:val="auto"/>
                <w:szCs w:val="26"/>
              </w:rPr>
            </w:pPr>
            <w:r w:rsidRPr="002B1DC2">
              <w:rPr>
                <w:noProof/>
                <w:color w:val="auto"/>
                <w:szCs w:val="26"/>
              </w:rPr>
              <w:t>Richard &amp; Susan Di Piazza</w:t>
            </w:r>
          </w:p>
        </w:tc>
        <w:tc>
          <w:tcPr>
            <w:tcW w:w="2250" w:type="dxa"/>
          </w:tcPr>
          <w:p w14:paraId="0DE63438" w14:textId="77777777" w:rsidR="00D34253" w:rsidRPr="002B1DC2" w:rsidRDefault="00D34253" w:rsidP="00030E15">
            <w:pPr>
              <w:spacing w:line="240" w:lineRule="auto"/>
              <w:rPr>
                <w:color w:val="auto"/>
                <w:szCs w:val="26"/>
              </w:rPr>
            </w:pPr>
            <w:r w:rsidRPr="002B1DC2">
              <w:rPr>
                <w:noProof/>
                <w:color w:val="auto"/>
                <w:szCs w:val="26"/>
              </w:rPr>
              <w:t>C-2021-3026425</w:t>
            </w:r>
          </w:p>
        </w:tc>
      </w:tr>
      <w:tr w:rsidR="002B1DC2" w:rsidRPr="002B1DC2" w14:paraId="1B589BF5" w14:textId="77777777" w:rsidTr="00030E15">
        <w:tc>
          <w:tcPr>
            <w:tcW w:w="4230" w:type="dxa"/>
          </w:tcPr>
          <w:p w14:paraId="3CCA1FD1" w14:textId="77777777" w:rsidR="00D34253" w:rsidRPr="002B1DC2" w:rsidRDefault="00D34253" w:rsidP="00030E15">
            <w:pPr>
              <w:spacing w:line="240" w:lineRule="auto"/>
              <w:rPr>
                <w:color w:val="auto"/>
                <w:szCs w:val="26"/>
              </w:rPr>
            </w:pPr>
            <w:r w:rsidRPr="002B1DC2">
              <w:rPr>
                <w:noProof/>
                <w:color w:val="auto"/>
                <w:szCs w:val="26"/>
              </w:rPr>
              <w:t>Sharon Tunstall</w:t>
            </w:r>
          </w:p>
        </w:tc>
        <w:tc>
          <w:tcPr>
            <w:tcW w:w="2250" w:type="dxa"/>
          </w:tcPr>
          <w:p w14:paraId="3133628D" w14:textId="77777777" w:rsidR="00D34253" w:rsidRPr="002B1DC2" w:rsidRDefault="00D34253" w:rsidP="00030E15">
            <w:pPr>
              <w:spacing w:line="240" w:lineRule="auto"/>
              <w:rPr>
                <w:color w:val="auto"/>
                <w:szCs w:val="26"/>
              </w:rPr>
            </w:pPr>
            <w:r w:rsidRPr="002B1DC2">
              <w:rPr>
                <w:noProof/>
                <w:color w:val="auto"/>
                <w:szCs w:val="26"/>
              </w:rPr>
              <w:t>C-2021-3026431</w:t>
            </w:r>
          </w:p>
        </w:tc>
      </w:tr>
      <w:tr w:rsidR="002B1DC2" w:rsidRPr="002B1DC2" w14:paraId="5EF97791" w14:textId="77777777" w:rsidTr="00030E15">
        <w:tc>
          <w:tcPr>
            <w:tcW w:w="4230" w:type="dxa"/>
          </w:tcPr>
          <w:p w14:paraId="3163CC96" w14:textId="77777777" w:rsidR="00D34253" w:rsidRPr="002B1DC2" w:rsidRDefault="00D34253" w:rsidP="00030E15">
            <w:pPr>
              <w:spacing w:line="240" w:lineRule="auto"/>
              <w:rPr>
                <w:color w:val="auto"/>
                <w:szCs w:val="26"/>
              </w:rPr>
            </w:pPr>
            <w:r w:rsidRPr="002B1DC2">
              <w:rPr>
                <w:noProof/>
                <w:color w:val="auto"/>
                <w:szCs w:val="26"/>
              </w:rPr>
              <w:t>Colville Oswald Browne</w:t>
            </w:r>
          </w:p>
        </w:tc>
        <w:tc>
          <w:tcPr>
            <w:tcW w:w="2250" w:type="dxa"/>
          </w:tcPr>
          <w:p w14:paraId="5CAC7460" w14:textId="77777777" w:rsidR="00D34253" w:rsidRPr="002B1DC2" w:rsidRDefault="00D34253" w:rsidP="00030E15">
            <w:pPr>
              <w:spacing w:line="240" w:lineRule="auto"/>
              <w:rPr>
                <w:color w:val="auto"/>
                <w:szCs w:val="26"/>
              </w:rPr>
            </w:pPr>
            <w:r w:rsidRPr="002B1DC2">
              <w:rPr>
                <w:noProof/>
                <w:color w:val="auto"/>
                <w:szCs w:val="26"/>
              </w:rPr>
              <w:t>C-2021-3026433</w:t>
            </w:r>
          </w:p>
        </w:tc>
      </w:tr>
      <w:tr w:rsidR="002B1DC2" w:rsidRPr="002B1DC2" w14:paraId="3D5BA505" w14:textId="77777777" w:rsidTr="00030E15">
        <w:tc>
          <w:tcPr>
            <w:tcW w:w="4230" w:type="dxa"/>
          </w:tcPr>
          <w:p w14:paraId="236CD6B6" w14:textId="77777777" w:rsidR="00D34253" w:rsidRPr="002B1DC2" w:rsidRDefault="00D34253" w:rsidP="00030E15">
            <w:pPr>
              <w:spacing w:line="240" w:lineRule="auto"/>
              <w:rPr>
                <w:color w:val="auto"/>
                <w:szCs w:val="26"/>
              </w:rPr>
            </w:pPr>
            <w:r w:rsidRPr="002B1DC2">
              <w:rPr>
                <w:noProof/>
                <w:color w:val="auto"/>
                <w:szCs w:val="26"/>
              </w:rPr>
              <w:t>Ronald &amp; Janice Fraioli</w:t>
            </w:r>
          </w:p>
        </w:tc>
        <w:tc>
          <w:tcPr>
            <w:tcW w:w="2250" w:type="dxa"/>
          </w:tcPr>
          <w:p w14:paraId="2175C036" w14:textId="0E5BDDFF" w:rsidR="00D34253" w:rsidRPr="002B1DC2" w:rsidRDefault="00D34253" w:rsidP="00030E15">
            <w:pPr>
              <w:spacing w:line="240" w:lineRule="auto"/>
              <w:rPr>
                <w:color w:val="auto"/>
                <w:szCs w:val="26"/>
              </w:rPr>
            </w:pPr>
            <w:r w:rsidRPr="002B1DC2">
              <w:rPr>
                <w:noProof/>
                <w:color w:val="auto"/>
                <w:szCs w:val="26"/>
              </w:rPr>
              <w:t>C-2021-3026</w:t>
            </w:r>
            <w:r w:rsidR="0092155E" w:rsidRPr="002B1DC2">
              <w:rPr>
                <w:noProof/>
                <w:color w:val="auto"/>
                <w:szCs w:val="26"/>
              </w:rPr>
              <w:t>4</w:t>
            </w:r>
            <w:r w:rsidR="005A01A3" w:rsidRPr="002B1DC2">
              <w:rPr>
                <w:noProof/>
                <w:color w:val="auto"/>
                <w:szCs w:val="26"/>
              </w:rPr>
              <w:t>38</w:t>
            </w:r>
          </w:p>
        </w:tc>
      </w:tr>
      <w:tr w:rsidR="002B1DC2" w:rsidRPr="002B1DC2" w14:paraId="478E194D" w14:textId="77777777" w:rsidTr="00030E15">
        <w:tc>
          <w:tcPr>
            <w:tcW w:w="4230" w:type="dxa"/>
          </w:tcPr>
          <w:p w14:paraId="7FD67CA4" w14:textId="5BED3BAC" w:rsidR="00D34253" w:rsidRPr="002B1DC2" w:rsidRDefault="00D34253" w:rsidP="00030E15">
            <w:pPr>
              <w:spacing w:line="240" w:lineRule="auto"/>
              <w:rPr>
                <w:color w:val="auto"/>
                <w:szCs w:val="26"/>
              </w:rPr>
            </w:pPr>
            <w:r w:rsidRPr="002B1DC2">
              <w:rPr>
                <w:noProof/>
                <w:color w:val="auto"/>
                <w:szCs w:val="26"/>
              </w:rPr>
              <w:t xml:space="preserve">Christ </w:t>
            </w:r>
            <w:r w:rsidR="009D3DBD" w:rsidRPr="002B1DC2">
              <w:rPr>
                <w:noProof/>
                <w:color w:val="auto"/>
                <w:szCs w:val="26"/>
              </w:rPr>
              <w:t>N</w:t>
            </w:r>
            <w:r w:rsidRPr="002B1DC2">
              <w:rPr>
                <w:noProof/>
                <w:color w:val="auto"/>
                <w:szCs w:val="26"/>
              </w:rPr>
              <w:t>ielsen</w:t>
            </w:r>
          </w:p>
        </w:tc>
        <w:tc>
          <w:tcPr>
            <w:tcW w:w="2250" w:type="dxa"/>
          </w:tcPr>
          <w:p w14:paraId="627898E3" w14:textId="77777777" w:rsidR="00D34253" w:rsidRPr="002B1DC2" w:rsidRDefault="00D34253" w:rsidP="00030E15">
            <w:pPr>
              <w:spacing w:line="240" w:lineRule="auto"/>
              <w:rPr>
                <w:color w:val="auto"/>
                <w:szCs w:val="26"/>
              </w:rPr>
            </w:pPr>
            <w:r w:rsidRPr="002B1DC2">
              <w:rPr>
                <w:noProof/>
                <w:color w:val="auto"/>
                <w:szCs w:val="26"/>
              </w:rPr>
              <w:t>C-2021-3026440</w:t>
            </w:r>
          </w:p>
        </w:tc>
      </w:tr>
      <w:tr w:rsidR="002B1DC2" w:rsidRPr="002B1DC2" w14:paraId="4B97233C" w14:textId="77777777" w:rsidTr="00030E15">
        <w:tc>
          <w:tcPr>
            <w:tcW w:w="4230" w:type="dxa"/>
          </w:tcPr>
          <w:p w14:paraId="316D7AD6" w14:textId="77777777" w:rsidR="00D34253" w:rsidRPr="002B1DC2" w:rsidRDefault="00D34253" w:rsidP="00030E15">
            <w:pPr>
              <w:spacing w:line="240" w:lineRule="auto"/>
              <w:rPr>
                <w:color w:val="auto"/>
                <w:szCs w:val="26"/>
              </w:rPr>
            </w:pPr>
            <w:r w:rsidRPr="002B1DC2">
              <w:rPr>
                <w:noProof/>
                <w:color w:val="auto"/>
                <w:szCs w:val="26"/>
              </w:rPr>
              <w:t>Mona Annicaro</w:t>
            </w:r>
          </w:p>
        </w:tc>
        <w:tc>
          <w:tcPr>
            <w:tcW w:w="2250" w:type="dxa"/>
          </w:tcPr>
          <w:p w14:paraId="500E31BE" w14:textId="77777777" w:rsidR="00D34253" w:rsidRPr="002B1DC2" w:rsidRDefault="00D34253" w:rsidP="00030E15">
            <w:pPr>
              <w:spacing w:line="240" w:lineRule="auto"/>
              <w:rPr>
                <w:color w:val="auto"/>
                <w:szCs w:val="26"/>
              </w:rPr>
            </w:pPr>
            <w:r w:rsidRPr="002B1DC2">
              <w:rPr>
                <w:noProof/>
                <w:color w:val="auto"/>
                <w:szCs w:val="26"/>
              </w:rPr>
              <w:t>C-2021-3026441</w:t>
            </w:r>
          </w:p>
        </w:tc>
      </w:tr>
      <w:tr w:rsidR="002B1DC2" w:rsidRPr="002B1DC2" w14:paraId="14969C0C" w14:textId="77777777" w:rsidTr="00030E15">
        <w:tc>
          <w:tcPr>
            <w:tcW w:w="4230" w:type="dxa"/>
          </w:tcPr>
          <w:p w14:paraId="002F8D24" w14:textId="77777777" w:rsidR="00D34253" w:rsidRPr="002B1DC2" w:rsidRDefault="00D34253" w:rsidP="00030E15">
            <w:pPr>
              <w:spacing w:line="240" w:lineRule="auto"/>
              <w:rPr>
                <w:color w:val="auto"/>
                <w:szCs w:val="26"/>
              </w:rPr>
            </w:pPr>
            <w:r w:rsidRPr="002B1DC2">
              <w:rPr>
                <w:noProof/>
                <w:color w:val="auto"/>
                <w:szCs w:val="26"/>
              </w:rPr>
              <w:t>Severo Barza</w:t>
            </w:r>
          </w:p>
        </w:tc>
        <w:tc>
          <w:tcPr>
            <w:tcW w:w="2250" w:type="dxa"/>
          </w:tcPr>
          <w:p w14:paraId="3B465779" w14:textId="77777777" w:rsidR="00D34253" w:rsidRPr="002B1DC2" w:rsidRDefault="00D34253" w:rsidP="00030E15">
            <w:pPr>
              <w:spacing w:line="240" w:lineRule="auto"/>
              <w:rPr>
                <w:color w:val="auto"/>
                <w:szCs w:val="26"/>
              </w:rPr>
            </w:pPr>
            <w:r w:rsidRPr="002B1DC2">
              <w:rPr>
                <w:noProof/>
                <w:color w:val="auto"/>
                <w:szCs w:val="26"/>
              </w:rPr>
              <w:t>C-2021-3026444</w:t>
            </w:r>
          </w:p>
        </w:tc>
      </w:tr>
      <w:tr w:rsidR="002B1DC2" w:rsidRPr="002B1DC2" w14:paraId="58BEE6DC" w14:textId="77777777" w:rsidTr="00030E15">
        <w:tc>
          <w:tcPr>
            <w:tcW w:w="4230" w:type="dxa"/>
          </w:tcPr>
          <w:p w14:paraId="70ED271D" w14:textId="77777777" w:rsidR="00D34253" w:rsidRPr="002B1DC2" w:rsidRDefault="00D34253" w:rsidP="00030E15">
            <w:pPr>
              <w:spacing w:line="240" w:lineRule="auto"/>
              <w:rPr>
                <w:color w:val="auto"/>
                <w:szCs w:val="26"/>
              </w:rPr>
            </w:pPr>
            <w:r w:rsidRPr="002B1DC2">
              <w:rPr>
                <w:noProof/>
                <w:color w:val="auto"/>
                <w:szCs w:val="26"/>
              </w:rPr>
              <w:t>Barbara Ann Mirkovic</w:t>
            </w:r>
          </w:p>
        </w:tc>
        <w:tc>
          <w:tcPr>
            <w:tcW w:w="2250" w:type="dxa"/>
          </w:tcPr>
          <w:p w14:paraId="55026A90" w14:textId="77777777" w:rsidR="00D34253" w:rsidRPr="002B1DC2" w:rsidRDefault="00D34253" w:rsidP="00030E15">
            <w:pPr>
              <w:spacing w:line="240" w:lineRule="auto"/>
              <w:rPr>
                <w:color w:val="auto"/>
                <w:szCs w:val="26"/>
              </w:rPr>
            </w:pPr>
            <w:r w:rsidRPr="002B1DC2">
              <w:rPr>
                <w:noProof/>
                <w:color w:val="auto"/>
                <w:szCs w:val="26"/>
              </w:rPr>
              <w:t>C-2021-3026449</w:t>
            </w:r>
          </w:p>
        </w:tc>
      </w:tr>
      <w:tr w:rsidR="002B1DC2" w:rsidRPr="002B1DC2" w14:paraId="68B48B37" w14:textId="77777777" w:rsidTr="00030E15">
        <w:tc>
          <w:tcPr>
            <w:tcW w:w="4230" w:type="dxa"/>
          </w:tcPr>
          <w:p w14:paraId="2EAB69E1" w14:textId="77777777" w:rsidR="00D34253" w:rsidRPr="002B1DC2" w:rsidRDefault="00D34253" w:rsidP="00030E15">
            <w:pPr>
              <w:spacing w:line="240" w:lineRule="auto"/>
              <w:rPr>
                <w:color w:val="auto"/>
                <w:szCs w:val="26"/>
              </w:rPr>
            </w:pPr>
            <w:r w:rsidRPr="002B1DC2">
              <w:rPr>
                <w:noProof/>
                <w:color w:val="auto"/>
                <w:szCs w:val="26"/>
              </w:rPr>
              <w:t>Gustavo Espinal</w:t>
            </w:r>
          </w:p>
        </w:tc>
        <w:tc>
          <w:tcPr>
            <w:tcW w:w="2250" w:type="dxa"/>
          </w:tcPr>
          <w:p w14:paraId="01099C0F" w14:textId="77777777" w:rsidR="00D34253" w:rsidRPr="002B1DC2" w:rsidRDefault="00D34253" w:rsidP="00030E15">
            <w:pPr>
              <w:spacing w:line="240" w:lineRule="auto"/>
              <w:rPr>
                <w:color w:val="auto"/>
                <w:szCs w:val="26"/>
              </w:rPr>
            </w:pPr>
            <w:r w:rsidRPr="002B1DC2">
              <w:rPr>
                <w:noProof/>
                <w:color w:val="auto"/>
                <w:szCs w:val="26"/>
              </w:rPr>
              <w:t>C-2021-3026452</w:t>
            </w:r>
          </w:p>
        </w:tc>
      </w:tr>
      <w:tr w:rsidR="002B1DC2" w:rsidRPr="002B1DC2" w14:paraId="3585E531" w14:textId="77777777" w:rsidTr="00030E15">
        <w:tc>
          <w:tcPr>
            <w:tcW w:w="4230" w:type="dxa"/>
          </w:tcPr>
          <w:p w14:paraId="714DBDC8" w14:textId="77777777" w:rsidR="00D34253" w:rsidRPr="002B1DC2" w:rsidRDefault="00D34253" w:rsidP="00030E15">
            <w:pPr>
              <w:spacing w:line="240" w:lineRule="auto"/>
              <w:rPr>
                <w:color w:val="auto"/>
                <w:szCs w:val="26"/>
              </w:rPr>
            </w:pPr>
            <w:r w:rsidRPr="002B1DC2">
              <w:rPr>
                <w:noProof/>
                <w:color w:val="auto"/>
                <w:szCs w:val="26"/>
              </w:rPr>
              <w:t>David Fuchs</w:t>
            </w:r>
          </w:p>
        </w:tc>
        <w:tc>
          <w:tcPr>
            <w:tcW w:w="2250" w:type="dxa"/>
          </w:tcPr>
          <w:p w14:paraId="4E76902D" w14:textId="77777777" w:rsidR="00D34253" w:rsidRPr="002B1DC2" w:rsidRDefault="00D34253" w:rsidP="00030E15">
            <w:pPr>
              <w:spacing w:line="240" w:lineRule="auto"/>
              <w:rPr>
                <w:color w:val="auto"/>
                <w:szCs w:val="26"/>
              </w:rPr>
            </w:pPr>
            <w:r w:rsidRPr="002B1DC2">
              <w:rPr>
                <w:noProof/>
                <w:color w:val="auto"/>
                <w:szCs w:val="26"/>
              </w:rPr>
              <w:t>C-2021-3026454</w:t>
            </w:r>
          </w:p>
        </w:tc>
      </w:tr>
      <w:tr w:rsidR="002B1DC2" w:rsidRPr="002B1DC2" w14:paraId="1AD3BC81" w14:textId="77777777" w:rsidTr="00030E15">
        <w:tc>
          <w:tcPr>
            <w:tcW w:w="4230" w:type="dxa"/>
          </w:tcPr>
          <w:p w14:paraId="6CB65048" w14:textId="77777777" w:rsidR="00D34253" w:rsidRPr="002B1DC2" w:rsidRDefault="00D34253" w:rsidP="00030E15">
            <w:pPr>
              <w:spacing w:line="240" w:lineRule="auto"/>
              <w:rPr>
                <w:color w:val="auto"/>
                <w:szCs w:val="26"/>
              </w:rPr>
            </w:pPr>
            <w:r w:rsidRPr="002B1DC2">
              <w:rPr>
                <w:noProof/>
                <w:color w:val="auto"/>
                <w:szCs w:val="26"/>
              </w:rPr>
              <w:t>Rose Cocklin</w:t>
            </w:r>
          </w:p>
        </w:tc>
        <w:tc>
          <w:tcPr>
            <w:tcW w:w="2250" w:type="dxa"/>
          </w:tcPr>
          <w:p w14:paraId="2932BEF0" w14:textId="77777777" w:rsidR="00D34253" w:rsidRPr="002B1DC2" w:rsidRDefault="00D34253" w:rsidP="00030E15">
            <w:pPr>
              <w:spacing w:line="240" w:lineRule="auto"/>
              <w:rPr>
                <w:color w:val="auto"/>
                <w:szCs w:val="26"/>
              </w:rPr>
            </w:pPr>
            <w:r w:rsidRPr="002B1DC2">
              <w:rPr>
                <w:noProof/>
                <w:color w:val="auto"/>
                <w:szCs w:val="26"/>
              </w:rPr>
              <w:t>C-2021-3026456</w:t>
            </w:r>
          </w:p>
        </w:tc>
      </w:tr>
      <w:tr w:rsidR="002B1DC2" w:rsidRPr="002B1DC2" w14:paraId="5B8BFEF5" w14:textId="77777777" w:rsidTr="00030E15">
        <w:tc>
          <w:tcPr>
            <w:tcW w:w="4230" w:type="dxa"/>
          </w:tcPr>
          <w:p w14:paraId="47F366FF" w14:textId="77777777" w:rsidR="00D34253" w:rsidRPr="002B1DC2" w:rsidRDefault="00D34253" w:rsidP="00030E15">
            <w:pPr>
              <w:spacing w:line="240" w:lineRule="auto"/>
              <w:rPr>
                <w:color w:val="auto"/>
                <w:szCs w:val="26"/>
              </w:rPr>
            </w:pPr>
            <w:r w:rsidRPr="002B1DC2">
              <w:rPr>
                <w:noProof/>
                <w:color w:val="auto"/>
                <w:szCs w:val="26"/>
              </w:rPr>
              <w:t>Dominick &amp; Cindy Toscano</w:t>
            </w:r>
          </w:p>
        </w:tc>
        <w:tc>
          <w:tcPr>
            <w:tcW w:w="2250" w:type="dxa"/>
          </w:tcPr>
          <w:p w14:paraId="5FC31F13" w14:textId="77777777" w:rsidR="00D34253" w:rsidRPr="002B1DC2" w:rsidRDefault="00D34253" w:rsidP="00030E15">
            <w:pPr>
              <w:spacing w:line="240" w:lineRule="auto"/>
              <w:rPr>
                <w:color w:val="auto"/>
                <w:szCs w:val="26"/>
              </w:rPr>
            </w:pPr>
            <w:r w:rsidRPr="002B1DC2">
              <w:rPr>
                <w:noProof/>
                <w:color w:val="auto"/>
                <w:szCs w:val="26"/>
              </w:rPr>
              <w:t>C-2021-3026459</w:t>
            </w:r>
          </w:p>
        </w:tc>
      </w:tr>
      <w:tr w:rsidR="002B1DC2" w:rsidRPr="002B1DC2" w14:paraId="012A0141" w14:textId="77777777" w:rsidTr="00030E15">
        <w:tc>
          <w:tcPr>
            <w:tcW w:w="4230" w:type="dxa"/>
          </w:tcPr>
          <w:p w14:paraId="24C0DBCA" w14:textId="77777777" w:rsidR="00D34253" w:rsidRPr="002B1DC2" w:rsidRDefault="00D34253" w:rsidP="00030E15">
            <w:pPr>
              <w:spacing w:line="240" w:lineRule="auto"/>
              <w:rPr>
                <w:color w:val="auto"/>
                <w:szCs w:val="26"/>
              </w:rPr>
            </w:pPr>
            <w:r w:rsidRPr="002B1DC2">
              <w:rPr>
                <w:noProof/>
                <w:color w:val="auto"/>
                <w:szCs w:val="26"/>
              </w:rPr>
              <w:t>Douglas Beckworth</w:t>
            </w:r>
          </w:p>
        </w:tc>
        <w:tc>
          <w:tcPr>
            <w:tcW w:w="2250" w:type="dxa"/>
          </w:tcPr>
          <w:p w14:paraId="15BCA59C" w14:textId="77777777" w:rsidR="00D34253" w:rsidRPr="002B1DC2" w:rsidRDefault="00D34253" w:rsidP="00030E15">
            <w:pPr>
              <w:spacing w:line="240" w:lineRule="auto"/>
              <w:rPr>
                <w:color w:val="auto"/>
                <w:szCs w:val="26"/>
              </w:rPr>
            </w:pPr>
            <w:r w:rsidRPr="002B1DC2">
              <w:rPr>
                <w:noProof/>
                <w:color w:val="auto"/>
                <w:szCs w:val="26"/>
              </w:rPr>
              <w:t>C-2021-3026463</w:t>
            </w:r>
          </w:p>
        </w:tc>
      </w:tr>
      <w:tr w:rsidR="002B1DC2" w:rsidRPr="002B1DC2" w14:paraId="0AD6C644" w14:textId="77777777" w:rsidTr="00030E15">
        <w:tc>
          <w:tcPr>
            <w:tcW w:w="4230" w:type="dxa"/>
          </w:tcPr>
          <w:p w14:paraId="437EDB34" w14:textId="77777777" w:rsidR="00D34253" w:rsidRPr="002B1DC2" w:rsidRDefault="00D34253" w:rsidP="00030E15">
            <w:pPr>
              <w:spacing w:line="240" w:lineRule="auto"/>
              <w:rPr>
                <w:color w:val="auto"/>
                <w:szCs w:val="26"/>
              </w:rPr>
            </w:pPr>
            <w:r w:rsidRPr="002B1DC2">
              <w:rPr>
                <w:noProof/>
                <w:color w:val="auto"/>
                <w:szCs w:val="26"/>
              </w:rPr>
              <w:t>Marcus &amp; Bernalyn Clarke</w:t>
            </w:r>
          </w:p>
        </w:tc>
        <w:tc>
          <w:tcPr>
            <w:tcW w:w="2250" w:type="dxa"/>
          </w:tcPr>
          <w:p w14:paraId="74AC2365" w14:textId="77777777" w:rsidR="00D34253" w:rsidRPr="002B1DC2" w:rsidRDefault="00D34253" w:rsidP="00030E15">
            <w:pPr>
              <w:spacing w:line="240" w:lineRule="auto"/>
              <w:rPr>
                <w:color w:val="auto"/>
                <w:szCs w:val="26"/>
              </w:rPr>
            </w:pPr>
            <w:r w:rsidRPr="002B1DC2">
              <w:rPr>
                <w:noProof/>
                <w:color w:val="auto"/>
                <w:szCs w:val="26"/>
              </w:rPr>
              <w:t>C-2021-3026465</w:t>
            </w:r>
          </w:p>
        </w:tc>
      </w:tr>
      <w:tr w:rsidR="002B1DC2" w:rsidRPr="002B1DC2" w14:paraId="4885B9D7" w14:textId="77777777" w:rsidTr="00030E15">
        <w:tc>
          <w:tcPr>
            <w:tcW w:w="4230" w:type="dxa"/>
          </w:tcPr>
          <w:p w14:paraId="6C80D9D2" w14:textId="77777777" w:rsidR="00D34253" w:rsidRPr="002B1DC2" w:rsidRDefault="00D34253" w:rsidP="00030E15">
            <w:pPr>
              <w:spacing w:line="240" w:lineRule="auto"/>
              <w:rPr>
                <w:color w:val="auto"/>
                <w:szCs w:val="26"/>
              </w:rPr>
            </w:pPr>
            <w:r w:rsidRPr="002B1DC2">
              <w:rPr>
                <w:noProof/>
                <w:color w:val="auto"/>
                <w:szCs w:val="26"/>
              </w:rPr>
              <w:t>Katherine Cassidy</w:t>
            </w:r>
          </w:p>
        </w:tc>
        <w:tc>
          <w:tcPr>
            <w:tcW w:w="2250" w:type="dxa"/>
          </w:tcPr>
          <w:p w14:paraId="26313332" w14:textId="77777777" w:rsidR="00D34253" w:rsidRPr="002B1DC2" w:rsidRDefault="00D34253" w:rsidP="00030E15">
            <w:pPr>
              <w:spacing w:line="240" w:lineRule="auto"/>
              <w:rPr>
                <w:color w:val="auto"/>
                <w:szCs w:val="26"/>
              </w:rPr>
            </w:pPr>
            <w:r w:rsidRPr="002B1DC2">
              <w:rPr>
                <w:noProof/>
                <w:color w:val="auto"/>
                <w:szCs w:val="26"/>
              </w:rPr>
              <w:t>C-2021-3026468</w:t>
            </w:r>
          </w:p>
        </w:tc>
      </w:tr>
      <w:tr w:rsidR="002B1DC2" w:rsidRPr="002B1DC2" w14:paraId="4CFAFA0C" w14:textId="77777777" w:rsidTr="00030E15">
        <w:tc>
          <w:tcPr>
            <w:tcW w:w="4230" w:type="dxa"/>
          </w:tcPr>
          <w:p w14:paraId="4D373B2E" w14:textId="77777777" w:rsidR="00D34253" w:rsidRPr="002B1DC2" w:rsidRDefault="00D34253" w:rsidP="00030E15">
            <w:pPr>
              <w:spacing w:line="240" w:lineRule="auto"/>
              <w:rPr>
                <w:color w:val="auto"/>
                <w:szCs w:val="26"/>
              </w:rPr>
            </w:pPr>
            <w:r w:rsidRPr="002B1DC2">
              <w:rPr>
                <w:noProof/>
                <w:color w:val="auto"/>
                <w:szCs w:val="26"/>
              </w:rPr>
              <w:t>David Touma</w:t>
            </w:r>
          </w:p>
        </w:tc>
        <w:tc>
          <w:tcPr>
            <w:tcW w:w="2250" w:type="dxa"/>
          </w:tcPr>
          <w:p w14:paraId="5AE637E4" w14:textId="77777777" w:rsidR="00D34253" w:rsidRPr="002B1DC2" w:rsidRDefault="00D34253" w:rsidP="00030E15">
            <w:pPr>
              <w:spacing w:line="240" w:lineRule="auto"/>
              <w:rPr>
                <w:color w:val="auto"/>
                <w:szCs w:val="26"/>
              </w:rPr>
            </w:pPr>
            <w:r w:rsidRPr="002B1DC2">
              <w:rPr>
                <w:noProof/>
                <w:color w:val="auto"/>
                <w:szCs w:val="26"/>
              </w:rPr>
              <w:t>C-2021-3026475</w:t>
            </w:r>
          </w:p>
        </w:tc>
      </w:tr>
      <w:tr w:rsidR="002B1DC2" w:rsidRPr="002B1DC2" w14:paraId="356752BC" w14:textId="77777777" w:rsidTr="00030E15">
        <w:tc>
          <w:tcPr>
            <w:tcW w:w="4230" w:type="dxa"/>
          </w:tcPr>
          <w:p w14:paraId="53577E7E" w14:textId="77777777" w:rsidR="00D34253" w:rsidRPr="002B1DC2" w:rsidRDefault="00D34253" w:rsidP="00030E15">
            <w:pPr>
              <w:spacing w:line="240" w:lineRule="auto"/>
              <w:rPr>
                <w:color w:val="auto"/>
                <w:szCs w:val="26"/>
              </w:rPr>
            </w:pPr>
            <w:r w:rsidRPr="002B1DC2">
              <w:rPr>
                <w:noProof/>
                <w:color w:val="auto"/>
                <w:szCs w:val="26"/>
              </w:rPr>
              <w:t>William &amp; Dahlia Merritt</w:t>
            </w:r>
          </w:p>
        </w:tc>
        <w:tc>
          <w:tcPr>
            <w:tcW w:w="2250" w:type="dxa"/>
          </w:tcPr>
          <w:p w14:paraId="5E9C8356" w14:textId="77777777" w:rsidR="00D34253" w:rsidRPr="002B1DC2" w:rsidRDefault="00D34253" w:rsidP="00030E15">
            <w:pPr>
              <w:spacing w:line="240" w:lineRule="auto"/>
              <w:rPr>
                <w:color w:val="auto"/>
                <w:szCs w:val="26"/>
              </w:rPr>
            </w:pPr>
            <w:r w:rsidRPr="002B1DC2">
              <w:rPr>
                <w:noProof/>
                <w:color w:val="auto"/>
                <w:szCs w:val="26"/>
              </w:rPr>
              <w:t>C-2021-3026546</w:t>
            </w:r>
          </w:p>
        </w:tc>
      </w:tr>
      <w:tr w:rsidR="002B1DC2" w:rsidRPr="002B1DC2" w14:paraId="28D3A45D" w14:textId="77777777" w:rsidTr="00030E15">
        <w:tc>
          <w:tcPr>
            <w:tcW w:w="4230" w:type="dxa"/>
          </w:tcPr>
          <w:p w14:paraId="57DDBDA1" w14:textId="77777777" w:rsidR="00D34253" w:rsidRPr="002B1DC2" w:rsidRDefault="00D34253" w:rsidP="00030E15">
            <w:pPr>
              <w:spacing w:line="240" w:lineRule="auto"/>
              <w:rPr>
                <w:color w:val="auto"/>
                <w:szCs w:val="26"/>
              </w:rPr>
            </w:pPr>
            <w:r w:rsidRPr="002B1DC2">
              <w:rPr>
                <w:noProof/>
                <w:color w:val="auto"/>
                <w:szCs w:val="26"/>
              </w:rPr>
              <w:t>Ronald Pocoro</w:t>
            </w:r>
          </w:p>
        </w:tc>
        <w:tc>
          <w:tcPr>
            <w:tcW w:w="2250" w:type="dxa"/>
          </w:tcPr>
          <w:p w14:paraId="70C0A054" w14:textId="77777777" w:rsidR="00D34253" w:rsidRPr="002B1DC2" w:rsidRDefault="00D34253" w:rsidP="00030E15">
            <w:pPr>
              <w:spacing w:line="240" w:lineRule="auto"/>
              <w:rPr>
                <w:color w:val="auto"/>
                <w:szCs w:val="26"/>
              </w:rPr>
            </w:pPr>
            <w:r w:rsidRPr="002B1DC2">
              <w:rPr>
                <w:noProof/>
                <w:color w:val="auto"/>
                <w:szCs w:val="26"/>
              </w:rPr>
              <w:t>C-2021-3026561</w:t>
            </w:r>
          </w:p>
        </w:tc>
      </w:tr>
      <w:tr w:rsidR="002B1DC2" w:rsidRPr="002B1DC2" w14:paraId="773B9F4B" w14:textId="77777777" w:rsidTr="00030E15">
        <w:tc>
          <w:tcPr>
            <w:tcW w:w="4230" w:type="dxa"/>
          </w:tcPr>
          <w:p w14:paraId="5A554259" w14:textId="76FE33B6" w:rsidR="00D34253" w:rsidRPr="002B1DC2" w:rsidRDefault="00D34253" w:rsidP="00030E15">
            <w:pPr>
              <w:spacing w:line="240" w:lineRule="auto"/>
              <w:rPr>
                <w:color w:val="auto"/>
                <w:szCs w:val="26"/>
              </w:rPr>
            </w:pPr>
            <w:r w:rsidRPr="002B1DC2">
              <w:rPr>
                <w:noProof/>
                <w:color w:val="auto"/>
                <w:szCs w:val="26"/>
              </w:rPr>
              <w:lastRenderedPageBreak/>
              <w:t xml:space="preserve">Christina </w:t>
            </w:r>
            <w:r w:rsidR="00873A7E" w:rsidRPr="002B1DC2">
              <w:rPr>
                <w:noProof/>
                <w:color w:val="auto"/>
                <w:szCs w:val="26"/>
              </w:rPr>
              <w:t>B</w:t>
            </w:r>
            <w:r w:rsidRPr="002B1DC2">
              <w:rPr>
                <w:noProof/>
                <w:color w:val="auto"/>
                <w:szCs w:val="26"/>
              </w:rPr>
              <w:t>oers</w:t>
            </w:r>
          </w:p>
        </w:tc>
        <w:tc>
          <w:tcPr>
            <w:tcW w:w="2250" w:type="dxa"/>
          </w:tcPr>
          <w:p w14:paraId="13DF43E0" w14:textId="77777777" w:rsidR="00D34253" w:rsidRPr="002B1DC2" w:rsidRDefault="00D34253" w:rsidP="00030E15">
            <w:pPr>
              <w:spacing w:line="240" w:lineRule="auto"/>
              <w:rPr>
                <w:color w:val="auto"/>
                <w:szCs w:val="26"/>
              </w:rPr>
            </w:pPr>
            <w:r w:rsidRPr="002B1DC2">
              <w:rPr>
                <w:noProof/>
                <w:color w:val="auto"/>
                <w:szCs w:val="26"/>
              </w:rPr>
              <w:t>C-2021-3026570</w:t>
            </w:r>
          </w:p>
        </w:tc>
      </w:tr>
      <w:tr w:rsidR="002B1DC2" w:rsidRPr="002B1DC2" w14:paraId="007E0030" w14:textId="77777777" w:rsidTr="00030E15">
        <w:tc>
          <w:tcPr>
            <w:tcW w:w="4230" w:type="dxa"/>
          </w:tcPr>
          <w:p w14:paraId="455B05EB" w14:textId="77777777" w:rsidR="00D34253" w:rsidRPr="002B1DC2" w:rsidRDefault="00D34253" w:rsidP="00030E15">
            <w:pPr>
              <w:spacing w:line="240" w:lineRule="auto"/>
              <w:rPr>
                <w:color w:val="auto"/>
                <w:szCs w:val="26"/>
              </w:rPr>
            </w:pPr>
            <w:r w:rsidRPr="002B1DC2">
              <w:rPr>
                <w:noProof/>
                <w:color w:val="auto"/>
                <w:szCs w:val="26"/>
              </w:rPr>
              <w:t>John Kis</w:t>
            </w:r>
          </w:p>
        </w:tc>
        <w:tc>
          <w:tcPr>
            <w:tcW w:w="2250" w:type="dxa"/>
          </w:tcPr>
          <w:p w14:paraId="4FFEE402" w14:textId="77777777" w:rsidR="00D34253" w:rsidRPr="002B1DC2" w:rsidRDefault="00D34253" w:rsidP="00030E15">
            <w:pPr>
              <w:spacing w:line="240" w:lineRule="auto"/>
              <w:rPr>
                <w:color w:val="auto"/>
                <w:szCs w:val="26"/>
              </w:rPr>
            </w:pPr>
            <w:r w:rsidRPr="002B1DC2">
              <w:rPr>
                <w:noProof/>
                <w:color w:val="auto"/>
                <w:szCs w:val="26"/>
              </w:rPr>
              <w:t>C-2021-3026576</w:t>
            </w:r>
          </w:p>
        </w:tc>
      </w:tr>
      <w:tr w:rsidR="002B1DC2" w:rsidRPr="002B1DC2" w14:paraId="0D42F32F" w14:textId="77777777" w:rsidTr="00030E15">
        <w:tc>
          <w:tcPr>
            <w:tcW w:w="4230" w:type="dxa"/>
          </w:tcPr>
          <w:p w14:paraId="7CD9F4A5" w14:textId="77777777" w:rsidR="00D34253" w:rsidRPr="002B1DC2" w:rsidRDefault="00D34253" w:rsidP="00030E15">
            <w:pPr>
              <w:spacing w:line="240" w:lineRule="auto"/>
              <w:rPr>
                <w:color w:val="auto"/>
                <w:szCs w:val="26"/>
              </w:rPr>
            </w:pPr>
            <w:r w:rsidRPr="002B1DC2">
              <w:rPr>
                <w:noProof/>
                <w:color w:val="auto"/>
                <w:szCs w:val="26"/>
              </w:rPr>
              <w:t>Bonnie Rudeski</w:t>
            </w:r>
          </w:p>
        </w:tc>
        <w:tc>
          <w:tcPr>
            <w:tcW w:w="2250" w:type="dxa"/>
          </w:tcPr>
          <w:p w14:paraId="508B5B86" w14:textId="77777777" w:rsidR="00D34253" w:rsidRPr="002B1DC2" w:rsidRDefault="00D34253" w:rsidP="00030E15">
            <w:pPr>
              <w:spacing w:line="240" w:lineRule="auto"/>
              <w:rPr>
                <w:color w:val="auto"/>
                <w:szCs w:val="26"/>
              </w:rPr>
            </w:pPr>
            <w:r w:rsidRPr="002B1DC2">
              <w:rPr>
                <w:noProof/>
                <w:color w:val="auto"/>
                <w:szCs w:val="26"/>
              </w:rPr>
              <w:t>C-2021-3026586</w:t>
            </w:r>
          </w:p>
        </w:tc>
      </w:tr>
      <w:tr w:rsidR="002B1DC2" w:rsidRPr="002B1DC2" w14:paraId="5807DB37" w14:textId="77777777" w:rsidTr="00030E15">
        <w:tc>
          <w:tcPr>
            <w:tcW w:w="4230" w:type="dxa"/>
          </w:tcPr>
          <w:p w14:paraId="5C77FAD5" w14:textId="77777777" w:rsidR="00D34253" w:rsidRPr="002B1DC2" w:rsidRDefault="00D34253" w:rsidP="00030E15">
            <w:pPr>
              <w:spacing w:line="240" w:lineRule="auto"/>
              <w:rPr>
                <w:color w:val="auto"/>
                <w:szCs w:val="26"/>
              </w:rPr>
            </w:pPr>
            <w:r w:rsidRPr="002B1DC2">
              <w:rPr>
                <w:noProof/>
                <w:color w:val="auto"/>
                <w:szCs w:val="26"/>
              </w:rPr>
              <w:t>David Squilliciotti</w:t>
            </w:r>
          </w:p>
        </w:tc>
        <w:tc>
          <w:tcPr>
            <w:tcW w:w="2250" w:type="dxa"/>
          </w:tcPr>
          <w:p w14:paraId="01DEB664" w14:textId="77777777" w:rsidR="00D34253" w:rsidRPr="002B1DC2" w:rsidRDefault="00D34253" w:rsidP="00030E15">
            <w:pPr>
              <w:spacing w:line="240" w:lineRule="auto"/>
              <w:rPr>
                <w:color w:val="auto"/>
                <w:szCs w:val="26"/>
              </w:rPr>
            </w:pPr>
            <w:r w:rsidRPr="002B1DC2">
              <w:rPr>
                <w:noProof/>
                <w:color w:val="auto"/>
                <w:szCs w:val="26"/>
              </w:rPr>
              <w:t>C-2021-3026619</w:t>
            </w:r>
          </w:p>
        </w:tc>
      </w:tr>
      <w:tr w:rsidR="002B1DC2" w:rsidRPr="002B1DC2" w14:paraId="41B5BD37" w14:textId="77777777" w:rsidTr="00030E15">
        <w:tc>
          <w:tcPr>
            <w:tcW w:w="4230" w:type="dxa"/>
          </w:tcPr>
          <w:p w14:paraId="4071B25C" w14:textId="77777777" w:rsidR="00D34253" w:rsidRPr="002B1DC2" w:rsidRDefault="00D34253" w:rsidP="00030E15">
            <w:pPr>
              <w:spacing w:line="240" w:lineRule="auto"/>
              <w:rPr>
                <w:color w:val="auto"/>
                <w:szCs w:val="26"/>
              </w:rPr>
            </w:pPr>
            <w:r w:rsidRPr="002B1DC2">
              <w:rPr>
                <w:noProof/>
                <w:color w:val="auto"/>
                <w:szCs w:val="26"/>
              </w:rPr>
              <w:t>Louis Romano</w:t>
            </w:r>
          </w:p>
        </w:tc>
        <w:tc>
          <w:tcPr>
            <w:tcW w:w="2250" w:type="dxa"/>
          </w:tcPr>
          <w:p w14:paraId="64D45B0C" w14:textId="77777777" w:rsidR="00D34253" w:rsidRPr="002B1DC2" w:rsidRDefault="00D34253" w:rsidP="00030E15">
            <w:pPr>
              <w:spacing w:line="240" w:lineRule="auto"/>
              <w:rPr>
                <w:color w:val="auto"/>
                <w:szCs w:val="26"/>
              </w:rPr>
            </w:pPr>
            <w:r w:rsidRPr="002B1DC2">
              <w:rPr>
                <w:noProof/>
                <w:color w:val="auto"/>
                <w:szCs w:val="26"/>
              </w:rPr>
              <w:t>C-2021-3026629</w:t>
            </w:r>
          </w:p>
        </w:tc>
      </w:tr>
      <w:tr w:rsidR="002B1DC2" w:rsidRPr="002B1DC2" w14:paraId="3238234B" w14:textId="77777777" w:rsidTr="00030E15">
        <w:tc>
          <w:tcPr>
            <w:tcW w:w="4230" w:type="dxa"/>
          </w:tcPr>
          <w:p w14:paraId="7428C95C" w14:textId="3E575D10" w:rsidR="00D34253" w:rsidRPr="002B1DC2" w:rsidRDefault="00D34253" w:rsidP="00030E15">
            <w:pPr>
              <w:spacing w:line="240" w:lineRule="auto"/>
              <w:rPr>
                <w:color w:val="auto"/>
                <w:szCs w:val="26"/>
              </w:rPr>
            </w:pPr>
            <w:r w:rsidRPr="002B1DC2">
              <w:rPr>
                <w:noProof/>
                <w:color w:val="auto"/>
                <w:szCs w:val="26"/>
              </w:rPr>
              <w:t>Kathleen &amp; Gera</w:t>
            </w:r>
            <w:r w:rsidR="00971E21" w:rsidRPr="002B1DC2">
              <w:rPr>
                <w:noProof/>
                <w:color w:val="auto"/>
                <w:szCs w:val="26"/>
              </w:rPr>
              <w:t>l</w:t>
            </w:r>
            <w:r w:rsidRPr="002B1DC2">
              <w:rPr>
                <w:noProof/>
                <w:color w:val="auto"/>
                <w:szCs w:val="26"/>
              </w:rPr>
              <w:t>d Raphael</w:t>
            </w:r>
          </w:p>
        </w:tc>
        <w:tc>
          <w:tcPr>
            <w:tcW w:w="2250" w:type="dxa"/>
          </w:tcPr>
          <w:p w14:paraId="5BC1BB37" w14:textId="77777777" w:rsidR="00D34253" w:rsidRPr="002B1DC2" w:rsidRDefault="00D34253" w:rsidP="00030E15">
            <w:pPr>
              <w:spacing w:line="240" w:lineRule="auto"/>
              <w:rPr>
                <w:color w:val="auto"/>
                <w:szCs w:val="26"/>
              </w:rPr>
            </w:pPr>
            <w:r w:rsidRPr="002B1DC2">
              <w:rPr>
                <w:noProof/>
                <w:color w:val="auto"/>
                <w:szCs w:val="26"/>
              </w:rPr>
              <w:t>C-2021-3026633</w:t>
            </w:r>
          </w:p>
        </w:tc>
      </w:tr>
      <w:tr w:rsidR="002B1DC2" w:rsidRPr="002B1DC2" w14:paraId="72F67AC0" w14:textId="77777777" w:rsidTr="00030E15">
        <w:tc>
          <w:tcPr>
            <w:tcW w:w="4230" w:type="dxa"/>
          </w:tcPr>
          <w:p w14:paraId="2EAEC6D2" w14:textId="77777777" w:rsidR="00D34253" w:rsidRPr="002B1DC2" w:rsidRDefault="00D34253" w:rsidP="00030E15">
            <w:pPr>
              <w:spacing w:line="240" w:lineRule="auto"/>
              <w:rPr>
                <w:color w:val="auto"/>
                <w:szCs w:val="26"/>
              </w:rPr>
            </w:pPr>
            <w:r w:rsidRPr="002B1DC2">
              <w:rPr>
                <w:noProof/>
                <w:color w:val="auto"/>
                <w:szCs w:val="26"/>
              </w:rPr>
              <w:t>Vanessa Durcan</w:t>
            </w:r>
          </w:p>
        </w:tc>
        <w:tc>
          <w:tcPr>
            <w:tcW w:w="2250" w:type="dxa"/>
          </w:tcPr>
          <w:p w14:paraId="020E2036" w14:textId="77777777" w:rsidR="00D34253" w:rsidRPr="002B1DC2" w:rsidRDefault="00D34253" w:rsidP="00030E15">
            <w:pPr>
              <w:spacing w:line="240" w:lineRule="auto"/>
              <w:rPr>
                <w:color w:val="auto"/>
                <w:szCs w:val="26"/>
              </w:rPr>
            </w:pPr>
            <w:r w:rsidRPr="002B1DC2">
              <w:rPr>
                <w:noProof/>
                <w:color w:val="auto"/>
                <w:szCs w:val="26"/>
              </w:rPr>
              <w:t>C-2021-3026634</w:t>
            </w:r>
          </w:p>
        </w:tc>
      </w:tr>
      <w:tr w:rsidR="002B1DC2" w:rsidRPr="002B1DC2" w14:paraId="323005D2" w14:textId="77777777" w:rsidTr="00030E15">
        <w:tc>
          <w:tcPr>
            <w:tcW w:w="4230" w:type="dxa"/>
          </w:tcPr>
          <w:p w14:paraId="74D00E5C" w14:textId="77777777" w:rsidR="00D34253" w:rsidRPr="002B1DC2" w:rsidRDefault="00D34253" w:rsidP="00030E15">
            <w:pPr>
              <w:spacing w:line="240" w:lineRule="auto"/>
              <w:rPr>
                <w:color w:val="auto"/>
                <w:szCs w:val="26"/>
              </w:rPr>
            </w:pPr>
            <w:r w:rsidRPr="002B1DC2">
              <w:rPr>
                <w:noProof/>
                <w:color w:val="auto"/>
                <w:szCs w:val="26"/>
              </w:rPr>
              <w:t>Barry Tremper</w:t>
            </w:r>
          </w:p>
        </w:tc>
        <w:tc>
          <w:tcPr>
            <w:tcW w:w="2250" w:type="dxa"/>
          </w:tcPr>
          <w:p w14:paraId="6CC3E4DE" w14:textId="77777777" w:rsidR="00D34253" w:rsidRPr="002B1DC2" w:rsidRDefault="00D34253" w:rsidP="00030E15">
            <w:pPr>
              <w:spacing w:line="240" w:lineRule="auto"/>
              <w:rPr>
                <w:color w:val="auto"/>
                <w:szCs w:val="26"/>
              </w:rPr>
            </w:pPr>
            <w:r w:rsidRPr="002B1DC2">
              <w:rPr>
                <w:noProof/>
                <w:color w:val="auto"/>
                <w:szCs w:val="26"/>
              </w:rPr>
              <w:t>C-2021-3026656</w:t>
            </w:r>
          </w:p>
        </w:tc>
      </w:tr>
      <w:tr w:rsidR="002B1DC2" w:rsidRPr="002B1DC2" w14:paraId="40C4DE3F" w14:textId="77777777" w:rsidTr="00030E15">
        <w:tc>
          <w:tcPr>
            <w:tcW w:w="4230" w:type="dxa"/>
          </w:tcPr>
          <w:p w14:paraId="775C15CA" w14:textId="77777777" w:rsidR="00D34253" w:rsidRPr="002B1DC2" w:rsidRDefault="00D34253" w:rsidP="00030E15">
            <w:pPr>
              <w:spacing w:line="240" w:lineRule="auto"/>
              <w:rPr>
                <w:color w:val="auto"/>
                <w:szCs w:val="26"/>
              </w:rPr>
            </w:pPr>
            <w:r w:rsidRPr="002B1DC2">
              <w:rPr>
                <w:noProof/>
                <w:color w:val="auto"/>
                <w:szCs w:val="26"/>
              </w:rPr>
              <w:t>Anna Paryzki</w:t>
            </w:r>
          </w:p>
        </w:tc>
        <w:tc>
          <w:tcPr>
            <w:tcW w:w="2250" w:type="dxa"/>
          </w:tcPr>
          <w:p w14:paraId="22BCD1AF" w14:textId="77777777" w:rsidR="00D34253" w:rsidRPr="002B1DC2" w:rsidRDefault="00D34253" w:rsidP="00030E15">
            <w:pPr>
              <w:spacing w:line="240" w:lineRule="auto"/>
              <w:rPr>
                <w:color w:val="auto"/>
                <w:szCs w:val="26"/>
              </w:rPr>
            </w:pPr>
            <w:r w:rsidRPr="002B1DC2">
              <w:rPr>
                <w:noProof/>
                <w:color w:val="auto"/>
                <w:szCs w:val="26"/>
              </w:rPr>
              <w:t>C-2021-3026657</w:t>
            </w:r>
          </w:p>
        </w:tc>
      </w:tr>
      <w:tr w:rsidR="002B1DC2" w:rsidRPr="002B1DC2" w14:paraId="71C83135" w14:textId="77777777" w:rsidTr="00030E15">
        <w:tc>
          <w:tcPr>
            <w:tcW w:w="4230" w:type="dxa"/>
          </w:tcPr>
          <w:p w14:paraId="5B8EEF27" w14:textId="77777777" w:rsidR="00D34253" w:rsidRPr="002B1DC2" w:rsidRDefault="00D34253" w:rsidP="00030E15">
            <w:pPr>
              <w:spacing w:line="240" w:lineRule="auto"/>
              <w:rPr>
                <w:color w:val="auto"/>
                <w:szCs w:val="26"/>
              </w:rPr>
            </w:pPr>
            <w:r w:rsidRPr="002B1DC2">
              <w:rPr>
                <w:noProof/>
                <w:color w:val="auto"/>
                <w:szCs w:val="26"/>
              </w:rPr>
              <w:t>Grazyna Paryzka</w:t>
            </w:r>
          </w:p>
        </w:tc>
        <w:tc>
          <w:tcPr>
            <w:tcW w:w="2250" w:type="dxa"/>
          </w:tcPr>
          <w:p w14:paraId="157983F6" w14:textId="77777777" w:rsidR="00D34253" w:rsidRPr="002B1DC2" w:rsidRDefault="00D34253" w:rsidP="00030E15">
            <w:pPr>
              <w:spacing w:line="240" w:lineRule="auto"/>
              <w:rPr>
                <w:color w:val="auto"/>
                <w:szCs w:val="26"/>
              </w:rPr>
            </w:pPr>
            <w:r w:rsidRPr="002B1DC2">
              <w:rPr>
                <w:noProof/>
                <w:color w:val="auto"/>
                <w:szCs w:val="26"/>
              </w:rPr>
              <w:t>C-2021-3026658</w:t>
            </w:r>
          </w:p>
        </w:tc>
      </w:tr>
      <w:tr w:rsidR="002B1DC2" w:rsidRPr="002B1DC2" w14:paraId="0184CC0A" w14:textId="77777777" w:rsidTr="00030E15">
        <w:tc>
          <w:tcPr>
            <w:tcW w:w="4230" w:type="dxa"/>
          </w:tcPr>
          <w:p w14:paraId="2814AAFA" w14:textId="77777777" w:rsidR="00D34253" w:rsidRPr="002B1DC2" w:rsidRDefault="00D34253" w:rsidP="00030E15">
            <w:pPr>
              <w:spacing w:line="240" w:lineRule="auto"/>
              <w:rPr>
                <w:color w:val="auto"/>
                <w:szCs w:val="26"/>
              </w:rPr>
            </w:pPr>
            <w:r w:rsidRPr="002B1DC2">
              <w:rPr>
                <w:noProof/>
                <w:color w:val="auto"/>
                <w:szCs w:val="26"/>
              </w:rPr>
              <w:t>Peter Salomone</w:t>
            </w:r>
          </w:p>
        </w:tc>
        <w:tc>
          <w:tcPr>
            <w:tcW w:w="2250" w:type="dxa"/>
          </w:tcPr>
          <w:p w14:paraId="3BF001E0" w14:textId="77777777" w:rsidR="00D34253" w:rsidRPr="002B1DC2" w:rsidRDefault="00D34253" w:rsidP="00030E15">
            <w:pPr>
              <w:spacing w:line="240" w:lineRule="auto"/>
              <w:rPr>
                <w:color w:val="auto"/>
                <w:szCs w:val="26"/>
              </w:rPr>
            </w:pPr>
            <w:r w:rsidRPr="002B1DC2">
              <w:rPr>
                <w:noProof/>
                <w:color w:val="auto"/>
                <w:szCs w:val="26"/>
              </w:rPr>
              <w:t>C-2021-3026741</w:t>
            </w:r>
          </w:p>
        </w:tc>
      </w:tr>
      <w:tr w:rsidR="002B1DC2" w:rsidRPr="002B1DC2" w14:paraId="5BB9227A" w14:textId="77777777" w:rsidTr="00030E15">
        <w:tc>
          <w:tcPr>
            <w:tcW w:w="4230" w:type="dxa"/>
          </w:tcPr>
          <w:p w14:paraId="5E94510E" w14:textId="77777777" w:rsidR="00D34253" w:rsidRPr="002B1DC2" w:rsidRDefault="00D34253" w:rsidP="00030E15">
            <w:pPr>
              <w:spacing w:line="240" w:lineRule="auto"/>
              <w:rPr>
                <w:color w:val="auto"/>
                <w:szCs w:val="26"/>
              </w:rPr>
            </w:pPr>
            <w:r w:rsidRPr="002B1DC2">
              <w:rPr>
                <w:noProof/>
                <w:color w:val="auto"/>
                <w:szCs w:val="26"/>
              </w:rPr>
              <w:t>Arnold Reyes-Portilla</w:t>
            </w:r>
          </w:p>
        </w:tc>
        <w:tc>
          <w:tcPr>
            <w:tcW w:w="2250" w:type="dxa"/>
          </w:tcPr>
          <w:p w14:paraId="7AF6737B" w14:textId="77777777" w:rsidR="00D34253" w:rsidRPr="002B1DC2" w:rsidRDefault="00D34253" w:rsidP="00030E15">
            <w:pPr>
              <w:spacing w:line="240" w:lineRule="auto"/>
              <w:rPr>
                <w:color w:val="auto"/>
                <w:szCs w:val="26"/>
              </w:rPr>
            </w:pPr>
            <w:r w:rsidRPr="002B1DC2">
              <w:rPr>
                <w:noProof/>
                <w:color w:val="auto"/>
                <w:szCs w:val="26"/>
              </w:rPr>
              <w:t>C-2021-3026745</w:t>
            </w:r>
          </w:p>
        </w:tc>
      </w:tr>
      <w:tr w:rsidR="002B1DC2" w:rsidRPr="002B1DC2" w14:paraId="0AC87C85" w14:textId="77777777" w:rsidTr="00030E15">
        <w:tc>
          <w:tcPr>
            <w:tcW w:w="4230" w:type="dxa"/>
          </w:tcPr>
          <w:p w14:paraId="686C98A1" w14:textId="704FBEFE" w:rsidR="00D34253" w:rsidRPr="002B1DC2" w:rsidRDefault="00D34253" w:rsidP="00030E15">
            <w:pPr>
              <w:spacing w:line="240" w:lineRule="auto"/>
              <w:rPr>
                <w:color w:val="auto"/>
                <w:szCs w:val="26"/>
              </w:rPr>
            </w:pPr>
            <w:r w:rsidRPr="002B1DC2">
              <w:rPr>
                <w:noProof/>
                <w:color w:val="auto"/>
                <w:szCs w:val="26"/>
              </w:rPr>
              <w:t>Susan Nikolaou</w:t>
            </w:r>
          </w:p>
        </w:tc>
        <w:tc>
          <w:tcPr>
            <w:tcW w:w="2250" w:type="dxa"/>
          </w:tcPr>
          <w:p w14:paraId="2928516D" w14:textId="77777777" w:rsidR="00D34253" w:rsidRPr="002B1DC2" w:rsidRDefault="00D34253" w:rsidP="00030E15">
            <w:pPr>
              <w:spacing w:line="240" w:lineRule="auto"/>
              <w:rPr>
                <w:color w:val="auto"/>
                <w:szCs w:val="26"/>
              </w:rPr>
            </w:pPr>
            <w:r w:rsidRPr="002B1DC2">
              <w:rPr>
                <w:noProof/>
                <w:color w:val="auto"/>
                <w:szCs w:val="26"/>
              </w:rPr>
              <w:t>C-2021-3026747</w:t>
            </w:r>
          </w:p>
        </w:tc>
      </w:tr>
      <w:tr w:rsidR="002B1DC2" w:rsidRPr="002B1DC2" w14:paraId="79A25368" w14:textId="77777777" w:rsidTr="00030E15">
        <w:tc>
          <w:tcPr>
            <w:tcW w:w="4230" w:type="dxa"/>
          </w:tcPr>
          <w:p w14:paraId="485DBD74" w14:textId="5E291526" w:rsidR="00D34253" w:rsidRPr="002B1DC2" w:rsidRDefault="00D34253" w:rsidP="00030E15">
            <w:pPr>
              <w:spacing w:line="240" w:lineRule="auto"/>
              <w:rPr>
                <w:color w:val="auto"/>
                <w:szCs w:val="26"/>
              </w:rPr>
            </w:pPr>
            <w:r w:rsidRPr="002B1DC2">
              <w:rPr>
                <w:noProof/>
                <w:color w:val="auto"/>
                <w:szCs w:val="26"/>
              </w:rPr>
              <w:t>William Sullivan</w:t>
            </w:r>
          </w:p>
        </w:tc>
        <w:tc>
          <w:tcPr>
            <w:tcW w:w="2250" w:type="dxa"/>
          </w:tcPr>
          <w:p w14:paraId="4F39DB63" w14:textId="77777777" w:rsidR="00D34253" w:rsidRPr="002B1DC2" w:rsidRDefault="00D34253" w:rsidP="00030E15">
            <w:pPr>
              <w:spacing w:line="240" w:lineRule="auto"/>
              <w:rPr>
                <w:color w:val="auto"/>
                <w:szCs w:val="26"/>
              </w:rPr>
            </w:pPr>
            <w:r w:rsidRPr="002B1DC2">
              <w:rPr>
                <w:noProof/>
                <w:color w:val="auto"/>
                <w:szCs w:val="26"/>
              </w:rPr>
              <w:t>C-2021-3026805</w:t>
            </w:r>
          </w:p>
        </w:tc>
      </w:tr>
      <w:tr w:rsidR="002B1DC2" w:rsidRPr="002B1DC2" w14:paraId="6E306D41" w14:textId="77777777" w:rsidTr="00030E15">
        <w:tc>
          <w:tcPr>
            <w:tcW w:w="4230" w:type="dxa"/>
          </w:tcPr>
          <w:p w14:paraId="6366B2F1" w14:textId="77777777" w:rsidR="00D34253" w:rsidRPr="002B1DC2" w:rsidRDefault="00D34253" w:rsidP="00030E15">
            <w:pPr>
              <w:spacing w:line="240" w:lineRule="auto"/>
              <w:rPr>
                <w:color w:val="auto"/>
                <w:szCs w:val="26"/>
              </w:rPr>
            </w:pPr>
            <w:r w:rsidRPr="002B1DC2">
              <w:rPr>
                <w:noProof/>
                <w:color w:val="auto"/>
                <w:szCs w:val="26"/>
              </w:rPr>
              <w:t>Clark Sutton</w:t>
            </w:r>
          </w:p>
        </w:tc>
        <w:tc>
          <w:tcPr>
            <w:tcW w:w="2250" w:type="dxa"/>
          </w:tcPr>
          <w:p w14:paraId="75EBB29F" w14:textId="77777777" w:rsidR="00D34253" w:rsidRPr="002B1DC2" w:rsidRDefault="00D34253" w:rsidP="00030E15">
            <w:pPr>
              <w:spacing w:line="240" w:lineRule="auto"/>
              <w:rPr>
                <w:color w:val="auto"/>
                <w:szCs w:val="26"/>
              </w:rPr>
            </w:pPr>
            <w:r w:rsidRPr="002B1DC2">
              <w:rPr>
                <w:noProof/>
                <w:color w:val="auto"/>
                <w:szCs w:val="26"/>
              </w:rPr>
              <w:t>C-2021-3026834</w:t>
            </w:r>
          </w:p>
        </w:tc>
      </w:tr>
      <w:tr w:rsidR="002B1DC2" w:rsidRPr="002B1DC2" w14:paraId="66A6AC13" w14:textId="77777777" w:rsidTr="00030E15">
        <w:tc>
          <w:tcPr>
            <w:tcW w:w="4230" w:type="dxa"/>
          </w:tcPr>
          <w:p w14:paraId="52DC3B3E" w14:textId="77777777" w:rsidR="00D34253" w:rsidRPr="002B1DC2" w:rsidRDefault="00D34253" w:rsidP="00030E15">
            <w:pPr>
              <w:spacing w:line="240" w:lineRule="auto"/>
              <w:rPr>
                <w:color w:val="auto"/>
                <w:szCs w:val="26"/>
              </w:rPr>
            </w:pPr>
            <w:r w:rsidRPr="002B1DC2">
              <w:rPr>
                <w:noProof/>
                <w:color w:val="auto"/>
                <w:szCs w:val="26"/>
              </w:rPr>
              <w:t>Christine Thomson</w:t>
            </w:r>
          </w:p>
        </w:tc>
        <w:tc>
          <w:tcPr>
            <w:tcW w:w="2250" w:type="dxa"/>
          </w:tcPr>
          <w:p w14:paraId="65D99143" w14:textId="77777777" w:rsidR="00D34253" w:rsidRPr="002B1DC2" w:rsidRDefault="00D34253" w:rsidP="00030E15">
            <w:pPr>
              <w:spacing w:line="240" w:lineRule="auto"/>
              <w:rPr>
                <w:color w:val="auto"/>
                <w:szCs w:val="26"/>
              </w:rPr>
            </w:pPr>
            <w:r w:rsidRPr="002B1DC2">
              <w:rPr>
                <w:noProof/>
                <w:color w:val="auto"/>
                <w:szCs w:val="26"/>
              </w:rPr>
              <w:t>C-2021-3026840</w:t>
            </w:r>
          </w:p>
        </w:tc>
      </w:tr>
      <w:tr w:rsidR="002B1DC2" w:rsidRPr="002B1DC2" w14:paraId="69C87A4A" w14:textId="77777777" w:rsidTr="00030E15">
        <w:tc>
          <w:tcPr>
            <w:tcW w:w="4230" w:type="dxa"/>
          </w:tcPr>
          <w:p w14:paraId="232454F5" w14:textId="77777777" w:rsidR="00D34253" w:rsidRPr="002B1DC2" w:rsidRDefault="00D34253" w:rsidP="00030E15">
            <w:pPr>
              <w:spacing w:line="240" w:lineRule="auto"/>
              <w:rPr>
                <w:color w:val="auto"/>
                <w:szCs w:val="26"/>
              </w:rPr>
            </w:pPr>
            <w:r w:rsidRPr="002B1DC2">
              <w:rPr>
                <w:noProof/>
                <w:color w:val="auto"/>
                <w:szCs w:val="26"/>
              </w:rPr>
              <w:t>George Kelly</w:t>
            </w:r>
          </w:p>
        </w:tc>
        <w:tc>
          <w:tcPr>
            <w:tcW w:w="2250" w:type="dxa"/>
          </w:tcPr>
          <w:p w14:paraId="43DBFEBD" w14:textId="77777777" w:rsidR="00D34253" w:rsidRPr="002B1DC2" w:rsidRDefault="00D34253" w:rsidP="00030E15">
            <w:pPr>
              <w:spacing w:line="240" w:lineRule="auto"/>
              <w:rPr>
                <w:color w:val="auto"/>
                <w:szCs w:val="26"/>
              </w:rPr>
            </w:pPr>
            <w:r w:rsidRPr="002B1DC2">
              <w:rPr>
                <w:noProof/>
                <w:color w:val="auto"/>
                <w:szCs w:val="26"/>
              </w:rPr>
              <w:t>C-2021-3026842</w:t>
            </w:r>
          </w:p>
        </w:tc>
      </w:tr>
      <w:tr w:rsidR="002B1DC2" w:rsidRPr="002B1DC2" w14:paraId="370C0D30" w14:textId="77777777" w:rsidTr="00030E15">
        <w:tc>
          <w:tcPr>
            <w:tcW w:w="4230" w:type="dxa"/>
          </w:tcPr>
          <w:p w14:paraId="4B085CB9" w14:textId="77777777" w:rsidR="00D34253" w:rsidRPr="002B1DC2" w:rsidRDefault="00D34253" w:rsidP="00030E15">
            <w:pPr>
              <w:spacing w:line="240" w:lineRule="auto"/>
              <w:rPr>
                <w:color w:val="auto"/>
                <w:szCs w:val="26"/>
              </w:rPr>
            </w:pPr>
            <w:r w:rsidRPr="002B1DC2">
              <w:rPr>
                <w:noProof/>
                <w:color w:val="auto"/>
                <w:szCs w:val="26"/>
              </w:rPr>
              <w:t>Maritza Rivera</w:t>
            </w:r>
          </w:p>
        </w:tc>
        <w:tc>
          <w:tcPr>
            <w:tcW w:w="2250" w:type="dxa"/>
          </w:tcPr>
          <w:p w14:paraId="1AD9F801" w14:textId="77777777" w:rsidR="00D34253" w:rsidRPr="002B1DC2" w:rsidRDefault="00D34253" w:rsidP="00030E15">
            <w:pPr>
              <w:spacing w:line="240" w:lineRule="auto"/>
              <w:rPr>
                <w:color w:val="auto"/>
                <w:szCs w:val="26"/>
              </w:rPr>
            </w:pPr>
            <w:r w:rsidRPr="002B1DC2">
              <w:rPr>
                <w:noProof/>
                <w:color w:val="auto"/>
                <w:szCs w:val="26"/>
              </w:rPr>
              <w:t>C-2021-3026843</w:t>
            </w:r>
          </w:p>
        </w:tc>
      </w:tr>
      <w:tr w:rsidR="002B1DC2" w:rsidRPr="002B1DC2" w14:paraId="5A5C46CF" w14:textId="77777777" w:rsidTr="00030E15">
        <w:tc>
          <w:tcPr>
            <w:tcW w:w="4230" w:type="dxa"/>
          </w:tcPr>
          <w:p w14:paraId="6462C792" w14:textId="77777777" w:rsidR="00D34253" w:rsidRPr="002B1DC2" w:rsidRDefault="00D34253" w:rsidP="00030E15">
            <w:pPr>
              <w:spacing w:line="240" w:lineRule="auto"/>
              <w:rPr>
                <w:color w:val="auto"/>
                <w:szCs w:val="26"/>
              </w:rPr>
            </w:pPr>
            <w:r w:rsidRPr="002B1DC2">
              <w:rPr>
                <w:noProof/>
                <w:color w:val="auto"/>
                <w:szCs w:val="26"/>
              </w:rPr>
              <w:t>Joseph Torregrossa</w:t>
            </w:r>
          </w:p>
        </w:tc>
        <w:tc>
          <w:tcPr>
            <w:tcW w:w="2250" w:type="dxa"/>
          </w:tcPr>
          <w:p w14:paraId="3C8F23C6" w14:textId="77777777" w:rsidR="00D34253" w:rsidRPr="002B1DC2" w:rsidRDefault="00D34253" w:rsidP="00030E15">
            <w:pPr>
              <w:spacing w:line="240" w:lineRule="auto"/>
              <w:rPr>
                <w:color w:val="auto"/>
                <w:szCs w:val="26"/>
              </w:rPr>
            </w:pPr>
            <w:r w:rsidRPr="002B1DC2">
              <w:rPr>
                <w:noProof/>
                <w:color w:val="auto"/>
                <w:szCs w:val="26"/>
              </w:rPr>
              <w:t>C-2021-3026846</w:t>
            </w:r>
          </w:p>
        </w:tc>
      </w:tr>
      <w:tr w:rsidR="002B1DC2" w:rsidRPr="002B1DC2" w14:paraId="35C54E9F" w14:textId="77777777" w:rsidTr="00030E15">
        <w:tc>
          <w:tcPr>
            <w:tcW w:w="4230" w:type="dxa"/>
          </w:tcPr>
          <w:p w14:paraId="211551E9" w14:textId="77777777" w:rsidR="00D34253" w:rsidRPr="002B1DC2" w:rsidRDefault="00D34253" w:rsidP="00030E15">
            <w:pPr>
              <w:spacing w:line="240" w:lineRule="auto"/>
              <w:rPr>
                <w:color w:val="auto"/>
                <w:szCs w:val="26"/>
              </w:rPr>
            </w:pPr>
            <w:r w:rsidRPr="002B1DC2">
              <w:rPr>
                <w:noProof/>
                <w:color w:val="auto"/>
                <w:szCs w:val="26"/>
              </w:rPr>
              <w:t>Peter Mauro</w:t>
            </w:r>
          </w:p>
        </w:tc>
        <w:tc>
          <w:tcPr>
            <w:tcW w:w="2250" w:type="dxa"/>
          </w:tcPr>
          <w:p w14:paraId="49F421E6" w14:textId="77777777" w:rsidR="00D34253" w:rsidRPr="002B1DC2" w:rsidRDefault="00D34253" w:rsidP="00030E15">
            <w:pPr>
              <w:spacing w:line="240" w:lineRule="auto"/>
              <w:rPr>
                <w:color w:val="auto"/>
                <w:szCs w:val="26"/>
              </w:rPr>
            </w:pPr>
            <w:r w:rsidRPr="002B1DC2">
              <w:rPr>
                <w:noProof/>
                <w:color w:val="auto"/>
                <w:szCs w:val="26"/>
              </w:rPr>
              <w:t>C-2021-3026847</w:t>
            </w:r>
          </w:p>
        </w:tc>
      </w:tr>
      <w:tr w:rsidR="002B1DC2" w:rsidRPr="002B1DC2" w14:paraId="6B6A9C2E" w14:textId="77777777" w:rsidTr="00030E15">
        <w:tc>
          <w:tcPr>
            <w:tcW w:w="4230" w:type="dxa"/>
          </w:tcPr>
          <w:p w14:paraId="6D65E9F9" w14:textId="77777777" w:rsidR="00D34253" w:rsidRPr="002B1DC2" w:rsidRDefault="00D34253" w:rsidP="00030E15">
            <w:pPr>
              <w:spacing w:line="240" w:lineRule="auto"/>
              <w:rPr>
                <w:color w:val="auto"/>
                <w:szCs w:val="26"/>
              </w:rPr>
            </w:pPr>
            <w:r w:rsidRPr="002B1DC2">
              <w:rPr>
                <w:noProof/>
                <w:color w:val="auto"/>
                <w:szCs w:val="26"/>
              </w:rPr>
              <w:t>Rene Bressant</w:t>
            </w:r>
          </w:p>
        </w:tc>
        <w:tc>
          <w:tcPr>
            <w:tcW w:w="2250" w:type="dxa"/>
          </w:tcPr>
          <w:p w14:paraId="79CDE8D8" w14:textId="77777777" w:rsidR="00D34253" w:rsidRPr="002B1DC2" w:rsidRDefault="00D34253" w:rsidP="00030E15">
            <w:pPr>
              <w:spacing w:line="240" w:lineRule="auto"/>
              <w:rPr>
                <w:color w:val="auto"/>
                <w:szCs w:val="26"/>
              </w:rPr>
            </w:pPr>
            <w:r w:rsidRPr="002B1DC2">
              <w:rPr>
                <w:noProof/>
                <w:color w:val="auto"/>
                <w:szCs w:val="26"/>
              </w:rPr>
              <w:t>C-2021-3026849</w:t>
            </w:r>
          </w:p>
        </w:tc>
      </w:tr>
      <w:tr w:rsidR="002B1DC2" w:rsidRPr="002B1DC2" w14:paraId="51CA4A68" w14:textId="77777777" w:rsidTr="00030E15">
        <w:tc>
          <w:tcPr>
            <w:tcW w:w="4230" w:type="dxa"/>
          </w:tcPr>
          <w:p w14:paraId="73F67855" w14:textId="77777777" w:rsidR="00D34253" w:rsidRPr="002B1DC2" w:rsidRDefault="00D34253" w:rsidP="00030E15">
            <w:pPr>
              <w:spacing w:line="240" w:lineRule="auto"/>
              <w:rPr>
                <w:color w:val="auto"/>
                <w:szCs w:val="26"/>
              </w:rPr>
            </w:pPr>
            <w:r w:rsidRPr="002B1DC2">
              <w:rPr>
                <w:noProof/>
                <w:color w:val="auto"/>
                <w:szCs w:val="26"/>
              </w:rPr>
              <w:t>Daniel McKoy</w:t>
            </w:r>
          </w:p>
        </w:tc>
        <w:tc>
          <w:tcPr>
            <w:tcW w:w="2250" w:type="dxa"/>
          </w:tcPr>
          <w:p w14:paraId="51735D2C" w14:textId="77777777" w:rsidR="00D34253" w:rsidRPr="002B1DC2" w:rsidRDefault="00D34253" w:rsidP="00030E15">
            <w:pPr>
              <w:spacing w:line="240" w:lineRule="auto"/>
              <w:rPr>
                <w:color w:val="auto"/>
                <w:szCs w:val="26"/>
              </w:rPr>
            </w:pPr>
            <w:r w:rsidRPr="002B1DC2">
              <w:rPr>
                <w:noProof/>
                <w:color w:val="auto"/>
                <w:szCs w:val="26"/>
              </w:rPr>
              <w:t>C-2021-3026853</w:t>
            </w:r>
          </w:p>
        </w:tc>
      </w:tr>
      <w:tr w:rsidR="002B1DC2" w:rsidRPr="002B1DC2" w14:paraId="7AFF63E5" w14:textId="77777777" w:rsidTr="00030E15">
        <w:tc>
          <w:tcPr>
            <w:tcW w:w="4230" w:type="dxa"/>
          </w:tcPr>
          <w:p w14:paraId="5895676C" w14:textId="77777777" w:rsidR="00D34253" w:rsidRPr="002B1DC2" w:rsidRDefault="00D34253" w:rsidP="00030E15">
            <w:pPr>
              <w:spacing w:line="240" w:lineRule="auto"/>
              <w:rPr>
                <w:color w:val="auto"/>
                <w:szCs w:val="26"/>
              </w:rPr>
            </w:pPr>
            <w:r w:rsidRPr="002B1DC2">
              <w:rPr>
                <w:noProof/>
                <w:color w:val="auto"/>
                <w:szCs w:val="26"/>
              </w:rPr>
              <w:t>Thomas Hemeleski</w:t>
            </w:r>
          </w:p>
        </w:tc>
        <w:tc>
          <w:tcPr>
            <w:tcW w:w="2250" w:type="dxa"/>
          </w:tcPr>
          <w:p w14:paraId="76AD8CCC" w14:textId="77777777" w:rsidR="00D34253" w:rsidRPr="002B1DC2" w:rsidRDefault="00D34253" w:rsidP="00030E15">
            <w:pPr>
              <w:spacing w:line="240" w:lineRule="auto"/>
              <w:rPr>
                <w:color w:val="auto"/>
                <w:szCs w:val="26"/>
              </w:rPr>
            </w:pPr>
            <w:r w:rsidRPr="002B1DC2">
              <w:rPr>
                <w:noProof/>
                <w:color w:val="auto"/>
                <w:szCs w:val="26"/>
              </w:rPr>
              <w:t>C-2021-3026881</w:t>
            </w:r>
          </w:p>
        </w:tc>
      </w:tr>
      <w:tr w:rsidR="002B1DC2" w:rsidRPr="002B1DC2" w14:paraId="2CDC36DA" w14:textId="77777777" w:rsidTr="00030E15">
        <w:tc>
          <w:tcPr>
            <w:tcW w:w="4230" w:type="dxa"/>
          </w:tcPr>
          <w:p w14:paraId="32A836B6" w14:textId="77777777" w:rsidR="00D34253" w:rsidRPr="002B1DC2" w:rsidRDefault="00D34253" w:rsidP="00030E15">
            <w:pPr>
              <w:spacing w:line="240" w:lineRule="auto"/>
              <w:rPr>
                <w:color w:val="auto"/>
                <w:szCs w:val="26"/>
              </w:rPr>
            </w:pPr>
            <w:r w:rsidRPr="002B1DC2">
              <w:rPr>
                <w:noProof/>
                <w:color w:val="auto"/>
                <w:szCs w:val="26"/>
              </w:rPr>
              <w:t>Jean Souders</w:t>
            </w:r>
          </w:p>
        </w:tc>
        <w:tc>
          <w:tcPr>
            <w:tcW w:w="2250" w:type="dxa"/>
          </w:tcPr>
          <w:p w14:paraId="7A47BAF5" w14:textId="77777777" w:rsidR="00D34253" w:rsidRPr="002B1DC2" w:rsidRDefault="00D34253" w:rsidP="00030E15">
            <w:pPr>
              <w:spacing w:line="240" w:lineRule="auto"/>
              <w:rPr>
                <w:color w:val="auto"/>
                <w:szCs w:val="26"/>
              </w:rPr>
            </w:pPr>
            <w:r w:rsidRPr="002B1DC2">
              <w:rPr>
                <w:noProof/>
                <w:color w:val="auto"/>
                <w:szCs w:val="26"/>
              </w:rPr>
              <w:t>C-2021-3026883</w:t>
            </w:r>
          </w:p>
        </w:tc>
      </w:tr>
      <w:tr w:rsidR="002B1DC2" w:rsidRPr="002B1DC2" w14:paraId="56DF23BD" w14:textId="77777777" w:rsidTr="00030E15">
        <w:tc>
          <w:tcPr>
            <w:tcW w:w="4230" w:type="dxa"/>
          </w:tcPr>
          <w:p w14:paraId="73246024" w14:textId="77777777" w:rsidR="00D34253" w:rsidRPr="002B1DC2" w:rsidRDefault="00D34253" w:rsidP="00030E15">
            <w:pPr>
              <w:spacing w:line="240" w:lineRule="auto"/>
              <w:rPr>
                <w:noProof/>
                <w:color w:val="auto"/>
                <w:szCs w:val="26"/>
              </w:rPr>
            </w:pPr>
            <w:r w:rsidRPr="002B1DC2">
              <w:rPr>
                <w:noProof/>
                <w:color w:val="auto"/>
                <w:szCs w:val="26"/>
              </w:rPr>
              <w:t>Mario Carlino</w:t>
            </w:r>
          </w:p>
          <w:p w14:paraId="173107C3" w14:textId="20189F8D" w:rsidR="0079538E" w:rsidRPr="002B1DC2" w:rsidRDefault="0079538E" w:rsidP="00030E15">
            <w:pPr>
              <w:spacing w:line="240" w:lineRule="auto"/>
              <w:rPr>
                <w:color w:val="auto"/>
                <w:szCs w:val="26"/>
              </w:rPr>
            </w:pPr>
            <w:r w:rsidRPr="002B1DC2">
              <w:rPr>
                <w:noProof/>
                <w:color w:val="auto"/>
                <w:szCs w:val="26"/>
              </w:rPr>
              <w:t>Asment Benjamin</w:t>
            </w:r>
          </w:p>
        </w:tc>
        <w:tc>
          <w:tcPr>
            <w:tcW w:w="2250" w:type="dxa"/>
          </w:tcPr>
          <w:p w14:paraId="7FDD85F6" w14:textId="77777777" w:rsidR="00D34253" w:rsidRPr="002B1DC2" w:rsidRDefault="00D34253" w:rsidP="00030E15">
            <w:pPr>
              <w:spacing w:line="240" w:lineRule="auto"/>
              <w:rPr>
                <w:noProof/>
                <w:color w:val="auto"/>
                <w:szCs w:val="26"/>
              </w:rPr>
            </w:pPr>
            <w:r w:rsidRPr="002B1DC2">
              <w:rPr>
                <w:noProof/>
                <w:color w:val="auto"/>
                <w:szCs w:val="26"/>
              </w:rPr>
              <w:t>C-2021-3026886</w:t>
            </w:r>
          </w:p>
          <w:p w14:paraId="4F039104" w14:textId="3ABC746C" w:rsidR="0079538E" w:rsidRPr="002B1DC2" w:rsidRDefault="0079538E" w:rsidP="00030E15">
            <w:pPr>
              <w:spacing w:line="240" w:lineRule="auto"/>
              <w:rPr>
                <w:color w:val="auto"/>
                <w:szCs w:val="26"/>
              </w:rPr>
            </w:pPr>
            <w:r w:rsidRPr="002B1DC2">
              <w:rPr>
                <w:noProof/>
                <w:color w:val="auto"/>
                <w:szCs w:val="26"/>
              </w:rPr>
              <w:t>C-2021-3026888</w:t>
            </w:r>
          </w:p>
        </w:tc>
      </w:tr>
      <w:tr w:rsidR="002B1DC2" w:rsidRPr="002B1DC2" w14:paraId="134ADE65" w14:textId="77777777" w:rsidTr="00030E15">
        <w:tc>
          <w:tcPr>
            <w:tcW w:w="4230" w:type="dxa"/>
          </w:tcPr>
          <w:p w14:paraId="3DE49838" w14:textId="77777777" w:rsidR="00D34253" w:rsidRPr="002B1DC2" w:rsidRDefault="00D34253" w:rsidP="00030E15">
            <w:pPr>
              <w:spacing w:line="240" w:lineRule="auto"/>
              <w:rPr>
                <w:noProof/>
                <w:color w:val="auto"/>
                <w:szCs w:val="26"/>
              </w:rPr>
            </w:pPr>
            <w:r w:rsidRPr="002B1DC2">
              <w:rPr>
                <w:noProof/>
                <w:color w:val="auto"/>
                <w:szCs w:val="26"/>
              </w:rPr>
              <w:t>Charles Breitweiser</w:t>
            </w:r>
          </w:p>
          <w:p w14:paraId="5DFA9783" w14:textId="0CA273CB" w:rsidR="002661D6" w:rsidRPr="002B1DC2" w:rsidRDefault="002661D6" w:rsidP="00030E15">
            <w:pPr>
              <w:spacing w:line="240" w:lineRule="auto"/>
              <w:rPr>
                <w:noProof/>
                <w:color w:val="auto"/>
                <w:szCs w:val="26"/>
              </w:rPr>
            </w:pPr>
            <w:r w:rsidRPr="002B1DC2">
              <w:rPr>
                <w:noProof/>
                <w:color w:val="auto"/>
                <w:szCs w:val="26"/>
              </w:rPr>
              <w:t>Aldona Bastek</w:t>
            </w:r>
          </w:p>
          <w:p w14:paraId="496AE8F8" w14:textId="58B3C501" w:rsidR="002661D6" w:rsidRPr="002B1DC2" w:rsidRDefault="00332D3B" w:rsidP="00030E15">
            <w:pPr>
              <w:spacing w:line="240" w:lineRule="auto"/>
              <w:rPr>
                <w:color w:val="auto"/>
                <w:szCs w:val="26"/>
              </w:rPr>
            </w:pPr>
            <w:r w:rsidRPr="002B1DC2">
              <w:rPr>
                <w:color w:val="auto"/>
                <w:szCs w:val="26"/>
              </w:rPr>
              <w:t>Larisa Shin</w:t>
            </w:r>
          </w:p>
        </w:tc>
        <w:tc>
          <w:tcPr>
            <w:tcW w:w="2250" w:type="dxa"/>
          </w:tcPr>
          <w:p w14:paraId="368C5C3E" w14:textId="77777777" w:rsidR="00D34253" w:rsidRPr="002B1DC2" w:rsidRDefault="00D34253" w:rsidP="00030E15">
            <w:pPr>
              <w:spacing w:line="240" w:lineRule="auto"/>
              <w:rPr>
                <w:noProof/>
                <w:color w:val="auto"/>
                <w:szCs w:val="26"/>
              </w:rPr>
            </w:pPr>
            <w:r w:rsidRPr="002B1DC2">
              <w:rPr>
                <w:noProof/>
                <w:color w:val="auto"/>
                <w:szCs w:val="26"/>
              </w:rPr>
              <w:t>C-2021-3026899</w:t>
            </w:r>
          </w:p>
          <w:p w14:paraId="0FE65E65" w14:textId="77777777" w:rsidR="00332D3B" w:rsidRPr="002B1DC2" w:rsidRDefault="00332D3B" w:rsidP="00030E15">
            <w:pPr>
              <w:spacing w:line="240" w:lineRule="auto"/>
              <w:rPr>
                <w:color w:val="auto"/>
                <w:szCs w:val="26"/>
              </w:rPr>
            </w:pPr>
            <w:r w:rsidRPr="002B1DC2">
              <w:rPr>
                <w:color w:val="auto"/>
                <w:szCs w:val="26"/>
              </w:rPr>
              <w:t>C-2021-3026901</w:t>
            </w:r>
          </w:p>
          <w:p w14:paraId="25784DBC" w14:textId="6B18969C" w:rsidR="00332D3B" w:rsidRPr="002B1DC2" w:rsidRDefault="00332D3B" w:rsidP="00030E15">
            <w:pPr>
              <w:spacing w:line="240" w:lineRule="auto"/>
              <w:rPr>
                <w:color w:val="auto"/>
                <w:szCs w:val="26"/>
              </w:rPr>
            </w:pPr>
            <w:r w:rsidRPr="002B1DC2">
              <w:rPr>
                <w:color w:val="auto"/>
                <w:szCs w:val="26"/>
              </w:rPr>
              <w:t>C-2021-302690</w:t>
            </w:r>
            <w:r w:rsidR="00BA4538" w:rsidRPr="002B1DC2">
              <w:rPr>
                <w:color w:val="auto"/>
                <w:szCs w:val="26"/>
              </w:rPr>
              <w:t>3</w:t>
            </w:r>
          </w:p>
        </w:tc>
      </w:tr>
      <w:tr w:rsidR="002B1DC2" w:rsidRPr="002B1DC2" w14:paraId="1A8BA6AD" w14:textId="77777777" w:rsidTr="00030E15">
        <w:tc>
          <w:tcPr>
            <w:tcW w:w="4230" w:type="dxa"/>
          </w:tcPr>
          <w:p w14:paraId="3A428BE7" w14:textId="77777777" w:rsidR="00D34253" w:rsidRPr="002B1DC2" w:rsidRDefault="00D34253" w:rsidP="00030E15">
            <w:pPr>
              <w:spacing w:line="240" w:lineRule="auto"/>
              <w:rPr>
                <w:color w:val="auto"/>
                <w:szCs w:val="26"/>
              </w:rPr>
            </w:pPr>
            <w:r w:rsidRPr="002B1DC2">
              <w:rPr>
                <w:noProof/>
                <w:color w:val="auto"/>
                <w:szCs w:val="26"/>
              </w:rPr>
              <w:t>Francis &amp; Mayra Sullivan</w:t>
            </w:r>
          </w:p>
        </w:tc>
        <w:tc>
          <w:tcPr>
            <w:tcW w:w="2250" w:type="dxa"/>
          </w:tcPr>
          <w:p w14:paraId="25FDF423" w14:textId="77777777" w:rsidR="00D34253" w:rsidRPr="002B1DC2" w:rsidRDefault="00D34253" w:rsidP="00030E15">
            <w:pPr>
              <w:spacing w:line="240" w:lineRule="auto"/>
              <w:rPr>
                <w:color w:val="auto"/>
                <w:szCs w:val="26"/>
              </w:rPr>
            </w:pPr>
            <w:r w:rsidRPr="002B1DC2">
              <w:rPr>
                <w:noProof/>
                <w:color w:val="auto"/>
                <w:szCs w:val="26"/>
              </w:rPr>
              <w:t>C-2021-3026908</w:t>
            </w:r>
          </w:p>
        </w:tc>
      </w:tr>
      <w:tr w:rsidR="002B1DC2" w:rsidRPr="002B1DC2" w14:paraId="54355F3D" w14:textId="77777777" w:rsidTr="00030E15">
        <w:tc>
          <w:tcPr>
            <w:tcW w:w="4230" w:type="dxa"/>
          </w:tcPr>
          <w:p w14:paraId="7A860B05" w14:textId="77777777" w:rsidR="00D34253" w:rsidRPr="002B1DC2" w:rsidRDefault="00D34253" w:rsidP="00030E15">
            <w:pPr>
              <w:spacing w:line="240" w:lineRule="auto"/>
              <w:rPr>
                <w:color w:val="auto"/>
                <w:szCs w:val="26"/>
              </w:rPr>
            </w:pPr>
            <w:r w:rsidRPr="002B1DC2">
              <w:rPr>
                <w:noProof/>
                <w:color w:val="auto"/>
                <w:szCs w:val="26"/>
              </w:rPr>
              <w:t>David Shook</w:t>
            </w:r>
          </w:p>
        </w:tc>
        <w:tc>
          <w:tcPr>
            <w:tcW w:w="2250" w:type="dxa"/>
          </w:tcPr>
          <w:p w14:paraId="0361A64C" w14:textId="77777777" w:rsidR="00D34253" w:rsidRPr="002B1DC2" w:rsidRDefault="00D34253" w:rsidP="00030E15">
            <w:pPr>
              <w:spacing w:line="240" w:lineRule="auto"/>
              <w:rPr>
                <w:color w:val="auto"/>
                <w:szCs w:val="26"/>
              </w:rPr>
            </w:pPr>
            <w:r w:rsidRPr="002B1DC2">
              <w:rPr>
                <w:noProof/>
                <w:color w:val="auto"/>
                <w:szCs w:val="26"/>
              </w:rPr>
              <w:t>C-2021-3026911</w:t>
            </w:r>
          </w:p>
        </w:tc>
      </w:tr>
      <w:tr w:rsidR="002B1DC2" w:rsidRPr="002B1DC2" w14:paraId="53473B58" w14:textId="77777777" w:rsidTr="00030E15">
        <w:tc>
          <w:tcPr>
            <w:tcW w:w="4230" w:type="dxa"/>
          </w:tcPr>
          <w:p w14:paraId="145610E1" w14:textId="77777777" w:rsidR="00D34253" w:rsidRPr="002B1DC2" w:rsidRDefault="00D34253" w:rsidP="00030E15">
            <w:pPr>
              <w:spacing w:line="240" w:lineRule="auto"/>
              <w:rPr>
                <w:color w:val="auto"/>
                <w:szCs w:val="26"/>
              </w:rPr>
            </w:pPr>
            <w:r w:rsidRPr="002B1DC2">
              <w:rPr>
                <w:noProof/>
                <w:color w:val="auto"/>
                <w:szCs w:val="26"/>
              </w:rPr>
              <w:t>Wesley &amp; Mildred Mann</w:t>
            </w:r>
          </w:p>
        </w:tc>
        <w:tc>
          <w:tcPr>
            <w:tcW w:w="2250" w:type="dxa"/>
          </w:tcPr>
          <w:p w14:paraId="44D24FAB" w14:textId="77777777" w:rsidR="00D34253" w:rsidRPr="002B1DC2" w:rsidRDefault="00D34253" w:rsidP="00030E15">
            <w:pPr>
              <w:spacing w:line="240" w:lineRule="auto"/>
              <w:rPr>
                <w:color w:val="auto"/>
                <w:szCs w:val="26"/>
              </w:rPr>
            </w:pPr>
            <w:r w:rsidRPr="002B1DC2">
              <w:rPr>
                <w:noProof/>
                <w:color w:val="auto"/>
                <w:szCs w:val="26"/>
              </w:rPr>
              <w:t>C-2021-3026913</w:t>
            </w:r>
          </w:p>
        </w:tc>
      </w:tr>
      <w:tr w:rsidR="002B1DC2" w:rsidRPr="002B1DC2" w14:paraId="21AF736A" w14:textId="77777777" w:rsidTr="00030E15">
        <w:tc>
          <w:tcPr>
            <w:tcW w:w="4230" w:type="dxa"/>
          </w:tcPr>
          <w:p w14:paraId="5EF8C80C" w14:textId="77777777" w:rsidR="00D34253" w:rsidRPr="002B1DC2" w:rsidRDefault="00D34253" w:rsidP="00030E15">
            <w:pPr>
              <w:spacing w:line="240" w:lineRule="auto"/>
              <w:rPr>
                <w:noProof/>
                <w:color w:val="auto"/>
                <w:szCs w:val="26"/>
              </w:rPr>
            </w:pPr>
            <w:r w:rsidRPr="002B1DC2">
              <w:rPr>
                <w:noProof/>
                <w:color w:val="auto"/>
                <w:szCs w:val="26"/>
              </w:rPr>
              <w:t>Romulo Babaan</w:t>
            </w:r>
          </w:p>
          <w:p w14:paraId="6EBC9235" w14:textId="0585998F" w:rsidR="00A2562D" w:rsidRPr="002B1DC2" w:rsidRDefault="00A2562D" w:rsidP="00030E15">
            <w:pPr>
              <w:spacing w:line="240" w:lineRule="auto"/>
              <w:rPr>
                <w:color w:val="auto"/>
                <w:szCs w:val="26"/>
              </w:rPr>
            </w:pPr>
            <w:r w:rsidRPr="002B1DC2">
              <w:rPr>
                <w:noProof/>
                <w:color w:val="auto"/>
                <w:szCs w:val="26"/>
              </w:rPr>
              <w:t>Walker Cambrelen</w:t>
            </w:r>
          </w:p>
        </w:tc>
        <w:tc>
          <w:tcPr>
            <w:tcW w:w="2250" w:type="dxa"/>
          </w:tcPr>
          <w:p w14:paraId="25F888A2" w14:textId="77777777" w:rsidR="00D34253" w:rsidRPr="002B1DC2" w:rsidRDefault="00D34253" w:rsidP="00030E15">
            <w:pPr>
              <w:spacing w:line="240" w:lineRule="auto"/>
              <w:rPr>
                <w:noProof/>
                <w:color w:val="auto"/>
                <w:szCs w:val="26"/>
              </w:rPr>
            </w:pPr>
            <w:r w:rsidRPr="002B1DC2">
              <w:rPr>
                <w:noProof/>
                <w:color w:val="auto"/>
                <w:szCs w:val="26"/>
              </w:rPr>
              <w:t>C-2021-3026915</w:t>
            </w:r>
          </w:p>
          <w:p w14:paraId="5341E307" w14:textId="4FF8DE9F" w:rsidR="00A2562D" w:rsidRPr="002B1DC2" w:rsidRDefault="00A2562D" w:rsidP="00030E15">
            <w:pPr>
              <w:spacing w:line="240" w:lineRule="auto"/>
              <w:rPr>
                <w:color w:val="auto"/>
                <w:szCs w:val="26"/>
              </w:rPr>
            </w:pPr>
            <w:r w:rsidRPr="002B1DC2">
              <w:rPr>
                <w:noProof/>
                <w:color w:val="auto"/>
                <w:szCs w:val="26"/>
              </w:rPr>
              <w:t>C-2021-3026920</w:t>
            </w:r>
          </w:p>
        </w:tc>
      </w:tr>
      <w:tr w:rsidR="002B1DC2" w:rsidRPr="002B1DC2" w14:paraId="58F8BA20" w14:textId="77777777" w:rsidTr="00030E15">
        <w:tc>
          <w:tcPr>
            <w:tcW w:w="4230" w:type="dxa"/>
          </w:tcPr>
          <w:p w14:paraId="62EB6440" w14:textId="77777777" w:rsidR="00D34253" w:rsidRPr="002B1DC2" w:rsidRDefault="00D34253" w:rsidP="00030E15">
            <w:pPr>
              <w:spacing w:line="240" w:lineRule="auto"/>
              <w:rPr>
                <w:color w:val="auto"/>
                <w:szCs w:val="26"/>
              </w:rPr>
            </w:pPr>
            <w:r w:rsidRPr="002B1DC2">
              <w:rPr>
                <w:noProof/>
                <w:color w:val="auto"/>
                <w:szCs w:val="26"/>
              </w:rPr>
              <w:t>Catherine Gilchrist</w:t>
            </w:r>
          </w:p>
        </w:tc>
        <w:tc>
          <w:tcPr>
            <w:tcW w:w="2250" w:type="dxa"/>
          </w:tcPr>
          <w:p w14:paraId="7B71D4AC" w14:textId="77777777" w:rsidR="00D34253" w:rsidRPr="002B1DC2" w:rsidRDefault="00D34253" w:rsidP="00030E15">
            <w:pPr>
              <w:spacing w:line="240" w:lineRule="auto"/>
              <w:rPr>
                <w:color w:val="auto"/>
                <w:szCs w:val="26"/>
              </w:rPr>
            </w:pPr>
            <w:r w:rsidRPr="002B1DC2">
              <w:rPr>
                <w:noProof/>
                <w:color w:val="auto"/>
                <w:szCs w:val="26"/>
              </w:rPr>
              <w:t>C-2021-3026923</w:t>
            </w:r>
          </w:p>
        </w:tc>
      </w:tr>
      <w:tr w:rsidR="002B1DC2" w:rsidRPr="002B1DC2" w14:paraId="58BD4C3E" w14:textId="77777777" w:rsidTr="00030E15">
        <w:tc>
          <w:tcPr>
            <w:tcW w:w="4230" w:type="dxa"/>
          </w:tcPr>
          <w:p w14:paraId="59095057" w14:textId="77777777" w:rsidR="00D34253" w:rsidRPr="002B1DC2" w:rsidRDefault="00D34253" w:rsidP="00030E15">
            <w:pPr>
              <w:spacing w:line="240" w:lineRule="auto"/>
              <w:rPr>
                <w:noProof/>
                <w:color w:val="auto"/>
                <w:szCs w:val="26"/>
              </w:rPr>
            </w:pPr>
            <w:r w:rsidRPr="002B1DC2">
              <w:rPr>
                <w:noProof/>
                <w:color w:val="auto"/>
                <w:szCs w:val="26"/>
              </w:rPr>
              <w:t xml:space="preserve">Gwendolyn Beckford Wilson </w:t>
            </w:r>
          </w:p>
          <w:p w14:paraId="555BF6F7" w14:textId="77777777" w:rsidR="00D34253" w:rsidRPr="002B1DC2" w:rsidRDefault="00D34253" w:rsidP="00030E15">
            <w:pPr>
              <w:spacing w:line="240" w:lineRule="auto"/>
              <w:ind w:left="720"/>
              <w:rPr>
                <w:color w:val="auto"/>
                <w:szCs w:val="26"/>
              </w:rPr>
            </w:pPr>
            <w:r w:rsidRPr="002B1DC2">
              <w:rPr>
                <w:noProof/>
                <w:color w:val="auto"/>
                <w:szCs w:val="26"/>
              </w:rPr>
              <w:t>&amp; Mark Lillery</w:t>
            </w:r>
          </w:p>
        </w:tc>
        <w:tc>
          <w:tcPr>
            <w:tcW w:w="2250" w:type="dxa"/>
          </w:tcPr>
          <w:p w14:paraId="441E4802" w14:textId="77777777" w:rsidR="00D34253" w:rsidRPr="002B1DC2" w:rsidRDefault="00D34253" w:rsidP="00030E15">
            <w:pPr>
              <w:spacing w:line="240" w:lineRule="auto"/>
              <w:rPr>
                <w:color w:val="auto"/>
                <w:szCs w:val="26"/>
              </w:rPr>
            </w:pPr>
            <w:r w:rsidRPr="002B1DC2">
              <w:rPr>
                <w:noProof/>
                <w:color w:val="auto"/>
                <w:szCs w:val="26"/>
              </w:rPr>
              <w:t>C-2021-3026925</w:t>
            </w:r>
          </w:p>
        </w:tc>
      </w:tr>
      <w:tr w:rsidR="002B1DC2" w:rsidRPr="002B1DC2" w14:paraId="1E86564C" w14:textId="77777777" w:rsidTr="00030E15">
        <w:tc>
          <w:tcPr>
            <w:tcW w:w="4230" w:type="dxa"/>
          </w:tcPr>
          <w:p w14:paraId="6FB61B4D" w14:textId="77777777" w:rsidR="00D34253" w:rsidRPr="002B1DC2" w:rsidRDefault="00D34253" w:rsidP="00030E15">
            <w:pPr>
              <w:spacing w:line="240" w:lineRule="auto"/>
              <w:rPr>
                <w:noProof/>
                <w:color w:val="auto"/>
                <w:szCs w:val="26"/>
              </w:rPr>
            </w:pPr>
            <w:r w:rsidRPr="002B1DC2">
              <w:rPr>
                <w:noProof/>
                <w:color w:val="auto"/>
                <w:szCs w:val="26"/>
              </w:rPr>
              <w:t>Sheila Hunt</w:t>
            </w:r>
          </w:p>
          <w:p w14:paraId="7122C65B" w14:textId="080E1458" w:rsidR="002E134D" w:rsidRPr="002B1DC2" w:rsidRDefault="002E134D" w:rsidP="00030E15">
            <w:pPr>
              <w:spacing w:line="240" w:lineRule="auto"/>
              <w:rPr>
                <w:color w:val="auto"/>
                <w:szCs w:val="26"/>
              </w:rPr>
            </w:pPr>
            <w:r w:rsidRPr="002B1DC2">
              <w:rPr>
                <w:color w:val="auto"/>
                <w:szCs w:val="26"/>
              </w:rPr>
              <w:t>Daniel &amp; Suzie Napolitano</w:t>
            </w:r>
          </w:p>
        </w:tc>
        <w:tc>
          <w:tcPr>
            <w:tcW w:w="2250" w:type="dxa"/>
          </w:tcPr>
          <w:p w14:paraId="1DDCE29B" w14:textId="77777777" w:rsidR="00D34253" w:rsidRPr="002B1DC2" w:rsidRDefault="00D34253" w:rsidP="00030E15">
            <w:pPr>
              <w:spacing w:line="240" w:lineRule="auto"/>
              <w:rPr>
                <w:noProof/>
                <w:color w:val="auto"/>
                <w:szCs w:val="26"/>
              </w:rPr>
            </w:pPr>
            <w:r w:rsidRPr="002B1DC2">
              <w:rPr>
                <w:noProof/>
                <w:color w:val="auto"/>
                <w:szCs w:val="26"/>
              </w:rPr>
              <w:t>C-2021-3026930</w:t>
            </w:r>
          </w:p>
          <w:p w14:paraId="5E20771C" w14:textId="0C10959F" w:rsidR="002E134D" w:rsidRPr="002B1DC2" w:rsidRDefault="002E134D" w:rsidP="00030E15">
            <w:pPr>
              <w:spacing w:line="240" w:lineRule="auto"/>
              <w:rPr>
                <w:color w:val="auto"/>
                <w:szCs w:val="26"/>
              </w:rPr>
            </w:pPr>
            <w:r w:rsidRPr="002B1DC2">
              <w:rPr>
                <w:color w:val="auto"/>
                <w:szCs w:val="26"/>
              </w:rPr>
              <w:t>C-2021-3026932</w:t>
            </w:r>
          </w:p>
        </w:tc>
      </w:tr>
      <w:tr w:rsidR="002B1DC2" w:rsidRPr="002B1DC2" w14:paraId="228FE006" w14:textId="77777777" w:rsidTr="00030E15">
        <w:tc>
          <w:tcPr>
            <w:tcW w:w="4230" w:type="dxa"/>
          </w:tcPr>
          <w:p w14:paraId="22A97562" w14:textId="77777777" w:rsidR="00D34253" w:rsidRPr="002B1DC2" w:rsidRDefault="00D34253" w:rsidP="00030E15">
            <w:pPr>
              <w:spacing w:line="240" w:lineRule="auto"/>
              <w:rPr>
                <w:color w:val="auto"/>
                <w:szCs w:val="26"/>
              </w:rPr>
            </w:pPr>
            <w:r w:rsidRPr="002B1DC2">
              <w:rPr>
                <w:noProof/>
                <w:color w:val="auto"/>
                <w:szCs w:val="26"/>
              </w:rPr>
              <w:t>Troy Coleman</w:t>
            </w:r>
          </w:p>
        </w:tc>
        <w:tc>
          <w:tcPr>
            <w:tcW w:w="2250" w:type="dxa"/>
          </w:tcPr>
          <w:p w14:paraId="5A08E6EC" w14:textId="77777777" w:rsidR="00D34253" w:rsidRPr="002B1DC2" w:rsidRDefault="00D34253" w:rsidP="00030E15">
            <w:pPr>
              <w:spacing w:line="240" w:lineRule="auto"/>
              <w:rPr>
                <w:color w:val="auto"/>
                <w:szCs w:val="26"/>
              </w:rPr>
            </w:pPr>
            <w:r w:rsidRPr="002B1DC2">
              <w:rPr>
                <w:noProof/>
                <w:color w:val="auto"/>
                <w:szCs w:val="26"/>
              </w:rPr>
              <w:t>C-2021-3026937</w:t>
            </w:r>
          </w:p>
        </w:tc>
      </w:tr>
      <w:tr w:rsidR="002B1DC2" w:rsidRPr="002B1DC2" w14:paraId="1DBA870D" w14:textId="77777777" w:rsidTr="00030E15">
        <w:tc>
          <w:tcPr>
            <w:tcW w:w="4230" w:type="dxa"/>
          </w:tcPr>
          <w:p w14:paraId="04921C6D" w14:textId="77777777" w:rsidR="00D34253" w:rsidRPr="002B1DC2" w:rsidRDefault="00D34253" w:rsidP="00030E15">
            <w:pPr>
              <w:spacing w:line="240" w:lineRule="auto"/>
              <w:rPr>
                <w:color w:val="auto"/>
                <w:szCs w:val="26"/>
              </w:rPr>
            </w:pPr>
            <w:r w:rsidRPr="002B1DC2">
              <w:rPr>
                <w:noProof/>
                <w:color w:val="auto"/>
                <w:szCs w:val="26"/>
              </w:rPr>
              <w:t>Moshe Mitchel</w:t>
            </w:r>
          </w:p>
        </w:tc>
        <w:tc>
          <w:tcPr>
            <w:tcW w:w="2250" w:type="dxa"/>
          </w:tcPr>
          <w:p w14:paraId="745937B1" w14:textId="77777777" w:rsidR="00D34253" w:rsidRPr="002B1DC2" w:rsidRDefault="00D34253" w:rsidP="00030E15">
            <w:pPr>
              <w:spacing w:line="240" w:lineRule="auto"/>
              <w:rPr>
                <w:color w:val="auto"/>
                <w:szCs w:val="26"/>
              </w:rPr>
            </w:pPr>
            <w:r w:rsidRPr="002B1DC2">
              <w:rPr>
                <w:noProof/>
                <w:color w:val="auto"/>
                <w:szCs w:val="26"/>
              </w:rPr>
              <w:t>C-2021-3026943</w:t>
            </w:r>
          </w:p>
        </w:tc>
      </w:tr>
      <w:tr w:rsidR="002B1DC2" w:rsidRPr="002B1DC2" w14:paraId="4BA72404" w14:textId="77777777" w:rsidTr="00030E15">
        <w:tc>
          <w:tcPr>
            <w:tcW w:w="4230" w:type="dxa"/>
          </w:tcPr>
          <w:p w14:paraId="17DBBA0B" w14:textId="77777777" w:rsidR="00D34253" w:rsidRPr="002B1DC2" w:rsidRDefault="00D34253" w:rsidP="00030E15">
            <w:pPr>
              <w:spacing w:line="240" w:lineRule="auto"/>
              <w:rPr>
                <w:color w:val="auto"/>
                <w:szCs w:val="26"/>
              </w:rPr>
            </w:pPr>
            <w:r w:rsidRPr="002B1DC2">
              <w:rPr>
                <w:noProof/>
                <w:color w:val="auto"/>
                <w:szCs w:val="26"/>
              </w:rPr>
              <w:t>Ivan &amp; Theresa Ayala</w:t>
            </w:r>
          </w:p>
        </w:tc>
        <w:tc>
          <w:tcPr>
            <w:tcW w:w="2250" w:type="dxa"/>
          </w:tcPr>
          <w:p w14:paraId="637CF3F0" w14:textId="77777777" w:rsidR="00D34253" w:rsidRPr="002B1DC2" w:rsidRDefault="00D34253" w:rsidP="00030E15">
            <w:pPr>
              <w:spacing w:line="240" w:lineRule="auto"/>
              <w:rPr>
                <w:color w:val="auto"/>
                <w:szCs w:val="26"/>
              </w:rPr>
            </w:pPr>
            <w:r w:rsidRPr="002B1DC2">
              <w:rPr>
                <w:noProof/>
                <w:color w:val="auto"/>
                <w:szCs w:val="26"/>
              </w:rPr>
              <w:t>C-2021-3026945</w:t>
            </w:r>
          </w:p>
        </w:tc>
      </w:tr>
      <w:tr w:rsidR="002B1DC2" w:rsidRPr="002B1DC2" w14:paraId="0CAD4C2F" w14:textId="77777777" w:rsidTr="00030E15">
        <w:tc>
          <w:tcPr>
            <w:tcW w:w="4230" w:type="dxa"/>
          </w:tcPr>
          <w:p w14:paraId="661D8185" w14:textId="77777777" w:rsidR="00D34253" w:rsidRPr="002B1DC2" w:rsidRDefault="00D34253" w:rsidP="00030E15">
            <w:pPr>
              <w:spacing w:line="240" w:lineRule="auto"/>
              <w:rPr>
                <w:color w:val="auto"/>
                <w:szCs w:val="26"/>
              </w:rPr>
            </w:pPr>
            <w:r w:rsidRPr="002B1DC2">
              <w:rPr>
                <w:noProof/>
                <w:color w:val="auto"/>
                <w:szCs w:val="26"/>
              </w:rPr>
              <w:t>Michael Kotowski</w:t>
            </w:r>
          </w:p>
        </w:tc>
        <w:tc>
          <w:tcPr>
            <w:tcW w:w="2250" w:type="dxa"/>
          </w:tcPr>
          <w:p w14:paraId="14FEC3E1" w14:textId="77777777" w:rsidR="00D34253" w:rsidRPr="002B1DC2" w:rsidRDefault="00D34253" w:rsidP="00030E15">
            <w:pPr>
              <w:spacing w:line="240" w:lineRule="auto"/>
              <w:rPr>
                <w:color w:val="auto"/>
                <w:szCs w:val="26"/>
              </w:rPr>
            </w:pPr>
            <w:r w:rsidRPr="002B1DC2">
              <w:rPr>
                <w:noProof/>
                <w:color w:val="auto"/>
                <w:szCs w:val="26"/>
              </w:rPr>
              <w:t>C-2021-3026948</w:t>
            </w:r>
          </w:p>
        </w:tc>
      </w:tr>
      <w:tr w:rsidR="002B1DC2" w:rsidRPr="002B1DC2" w14:paraId="4F4529CB" w14:textId="77777777" w:rsidTr="00030E15">
        <w:tc>
          <w:tcPr>
            <w:tcW w:w="4230" w:type="dxa"/>
          </w:tcPr>
          <w:p w14:paraId="6F505873" w14:textId="77777777" w:rsidR="00D34253" w:rsidRPr="002B1DC2" w:rsidRDefault="00D34253" w:rsidP="00030E15">
            <w:pPr>
              <w:spacing w:line="240" w:lineRule="auto"/>
              <w:rPr>
                <w:color w:val="auto"/>
                <w:szCs w:val="26"/>
              </w:rPr>
            </w:pPr>
            <w:r w:rsidRPr="002B1DC2">
              <w:rPr>
                <w:noProof/>
                <w:color w:val="auto"/>
                <w:szCs w:val="26"/>
              </w:rPr>
              <w:lastRenderedPageBreak/>
              <w:t>Janine Brown</w:t>
            </w:r>
          </w:p>
        </w:tc>
        <w:tc>
          <w:tcPr>
            <w:tcW w:w="2250" w:type="dxa"/>
          </w:tcPr>
          <w:p w14:paraId="785E2883" w14:textId="77777777" w:rsidR="00D34253" w:rsidRPr="002B1DC2" w:rsidRDefault="00D34253" w:rsidP="00030E15">
            <w:pPr>
              <w:spacing w:line="240" w:lineRule="auto"/>
              <w:rPr>
                <w:color w:val="auto"/>
                <w:szCs w:val="26"/>
              </w:rPr>
            </w:pPr>
            <w:r w:rsidRPr="002B1DC2">
              <w:rPr>
                <w:noProof/>
                <w:color w:val="auto"/>
                <w:szCs w:val="26"/>
              </w:rPr>
              <w:t>C-2021-3026949</w:t>
            </w:r>
          </w:p>
        </w:tc>
      </w:tr>
      <w:tr w:rsidR="002B1DC2" w:rsidRPr="002B1DC2" w14:paraId="4FC50E74" w14:textId="77777777" w:rsidTr="00030E15">
        <w:tc>
          <w:tcPr>
            <w:tcW w:w="4230" w:type="dxa"/>
          </w:tcPr>
          <w:p w14:paraId="2B61227F" w14:textId="77777777" w:rsidR="00D34253" w:rsidRPr="002B1DC2" w:rsidRDefault="00D34253" w:rsidP="00030E15">
            <w:pPr>
              <w:spacing w:line="240" w:lineRule="auto"/>
              <w:rPr>
                <w:color w:val="auto"/>
                <w:szCs w:val="26"/>
              </w:rPr>
            </w:pPr>
            <w:r w:rsidRPr="002B1DC2">
              <w:rPr>
                <w:noProof/>
                <w:color w:val="auto"/>
                <w:szCs w:val="26"/>
              </w:rPr>
              <w:t>Henry Kotowski</w:t>
            </w:r>
          </w:p>
        </w:tc>
        <w:tc>
          <w:tcPr>
            <w:tcW w:w="2250" w:type="dxa"/>
          </w:tcPr>
          <w:p w14:paraId="48751C22" w14:textId="77777777" w:rsidR="00D34253" w:rsidRPr="002B1DC2" w:rsidRDefault="00D34253" w:rsidP="00030E15">
            <w:pPr>
              <w:spacing w:line="240" w:lineRule="auto"/>
              <w:rPr>
                <w:color w:val="auto"/>
                <w:szCs w:val="26"/>
              </w:rPr>
            </w:pPr>
            <w:r w:rsidRPr="002B1DC2">
              <w:rPr>
                <w:noProof/>
                <w:color w:val="auto"/>
                <w:szCs w:val="26"/>
              </w:rPr>
              <w:t>C-2021-3026950</w:t>
            </w:r>
          </w:p>
        </w:tc>
      </w:tr>
      <w:tr w:rsidR="002B1DC2" w:rsidRPr="002B1DC2" w14:paraId="5E664FFA" w14:textId="77777777" w:rsidTr="00030E15">
        <w:tc>
          <w:tcPr>
            <w:tcW w:w="4230" w:type="dxa"/>
          </w:tcPr>
          <w:p w14:paraId="55C86AA1" w14:textId="77777777" w:rsidR="00D34253" w:rsidRPr="002B1DC2" w:rsidRDefault="00D34253" w:rsidP="00030E15">
            <w:pPr>
              <w:spacing w:line="240" w:lineRule="auto"/>
              <w:rPr>
                <w:color w:val="auto"/>
                <w:szCs w:val="26"/>
              </w:rPr>
            </w:pPr>
            <w:r w:rsidRPr="002B1DC2">
              <w:rPr>
                <w:noProof/>
                <w:color w:val="auto"/>
                <w:szCs w:val="26"/>
              </w:rPr>
              <w:t>Richard Rice</w:t>
            </w:r>
          </w:p>
        </w:tc>
        <w:tc>
          <w:tcPr>
            <w:tcW w:w="2250" w:type="dxa"/>
          </w:tcPr>
          <w:p w14:paraId="04AF9150" w14:textId="77777777" w:rsidR="00D34253" w:rsidRPr="002B1DC2" w:rsidRDefault="00D34253" w:rsidP="00030E15">
            <w:pPr>
              <w:spacing w:line="240" w:lineRule="auto"/>
              <w:rPr>
                <w:color w:val="auto"/>
                <w:szCs w:val="26"/>
              </w:rPr>
            </w:pPr>
            <w:r w:rsidRPr="002B1DC2">
              <w:rPr>
                <w:noProof/>
                <w:color w:val="auto"/>
                <w:szCs w:val="26"/>
              </w:rPr>
              <w:t>C-2021-3026952</w:t>
            </w:r>
          </w:p>
        </w:tc>
      </w:tr>
      <w:tr w:rsidR="002B1DC2" w:rsidRPr="002B1DC2" w14:paraId="630A2A98" w14:textId="77777777" w:rsidTr="00030E15">
        <w:tc>
          <w:tcPr>
            <w:tcW w:w="4230" w:type="dxa"/>
          </w:tcPr>
          <w:p w14:paraId="0B80213B" w14:textId="77777777" w:rsidR="00D34253" w:rsidRPr="002B1DC2" w:rsidRDefault="00D34253" w:rsidP="00030E15">
            <w:pPr>
              <w:spacing w:line="240" w:lineRule="auto"/>
              <w:rPr>
                <w:noProof/>
                <w:color w:val="auto"/>
                <w:szCs w:val="26"/>
              </w:rPr>
            </w:pPr>
            <w:r w:rsidRPr="002B1DC2">
              <w:rPr>
                <w:noProof/>
                <w:color w:val="auto"/>
                <w:szCs w:val="26"/>
              </w:rPr>
              <w:t>Thomas &amp; Patricia Parillo</w:t>
            </w:r>
          </w:p>
          <w:p w14:paraId="16170037" w14:textId="1FDD7A6C" w:rsidR="000E40A0" w:rsidRPr="002B1DC2" w:rsidRDefault="000E40A0" w:rsidP="00030E15">
            <w:pPr>
              <w:spacing w:line="240" w:lineRule="auto"/>
              <w:rPr>
                <w:color w:val="auto"/>
                <w:szCs w:val="26"/>
              </w:rPr>
            </w:pPr>
            <w:r w:rsidRPr="002B1DC2">
              <w:rPr>
                <w:color w:val="auto"/>
                <w:szCs w:val="26"/>
              </w:rPr>
              <w:t>Ovidio &amp; Aixa Martinez</w:t>
            </w:r>
          </w:p>
        </w:tc>
        <w:tc>
          <w:tcPr>
            <w:tcW w:w="2250" w:type="dxa"/>
          </w:tcPr>
          <w:p w14:paraId="4645E224" w14:textId="77777777" w:rsidR="00D34253" w:rsidRPr="002B1DC2" w:rsidRDefault="00D34253" w:rsidP="00030E15">
            <w:pPr>
              <w:spacing w:line="240" w:lineRule="auto"/>
              <w:rPr>
                <w:noProof/>
                <w:color w:val="auto"/>
                <w:szCs w:val="26"/>
              </w:rPr>
            </w:pPr>
            <w:r w:rsidRPr="002B1DC2">
              <w:rPr>
                <w:noProof/>
                <w:color w:val="auto"/>
                <w:szCs w:val="26"/>
              </w:rPr>
              <w:t>C-2021-3026955</w:t>
            </w:r>
          </w:p>
          <w:p w14:paraId="0B700205" w14:textId="70217392" w:rsidR="000E40A0" w:rsidRPr="002B1DC2" w:rsidRDefault="000E40A0" w:rsidP="00030E15">
            <w:pPr>
              <w:spacing w:line="240" w:lineRule="auto"/>
              <w:rPr>
                <w:color w:val="auto"/>
                <w:szCs w:val="26"/>
              </w:rPr>
            </w:pPr>
            <w:r w:rsidRPr="002B1DC2">
              <w:rPr>
                <w:color w:val="auto"/>
                <w:szCs w:val="26"/>
              </w:rPr>
              <w:t>C-2021-30269</w:t>
            </w:r>
            <w:r w:rsidR="00910B33" w:rsidRPr="002B1DC2">
              <w:rPr>
                <w:color w:val="auto"/>
                <w:szCs w:val="26"/>
              </w:rPr>
              <w:t>57</w:t>
            </w:r>
          </w:p>
        </w:tc>
      </w:tr>
      <w:tr w:rsidR="002B1DC2" w:rsidRPr="002B1DC2" w14:paraId="1AD86EC5" w14:textId="77777777" w:rsidTr="00030E15">
        <w:tc>
          <w:tcPr>
            <w:tcW w:w="4230" w:type="dxa"/>
          </w:tcPr>
          <w:p w14:paraId="1810EC94" w14:textId="77777777" w:rsidR="00D34253" w:rsidRPr="002B1DC2" w:rsidRDefault="00D34253" w:rsidP="00030E15">
            <w:pPr>
              <w:spacing w:line="240" w:lineRule="auto"/>
              <w:rPr>
                <w:color w:val="auto"/>
                <w:szCs w:val="26"/>
              </w:rPr>
            </w:pPr>
            <w:r w:rsidRPr="002B1DC2">
              <w:rPr>
                <w:noProof/>
                <w:color w:val="auto"/>
                <w:szCs w:val="26"/>
              </w:rPr>
              <w:t>Grace Moro</w:t>
            </w:r>
          </w:p>
        </w:tc>
        <w:tc>
          <w:tcPr>
            <w:tcW w:w="2250" w:type="dxa"/>
          </w:tcPr>
          <w:p w14:paraId="5C5097B2" w14:textId="77777777" w:rsidR="00D34253" w:rsidRPr="002B1DC2" w:rsidRDefault="00D34253" w:rsidP="00030E15">
            <w:pPr>
              <w:spacing w:line="240" w:lineRule="auto"/>
              <w:rPr>
                <w:color w:val="auto"/>
                <w:szCs w:val="26"/>
              </w:rPr>
            </w:pPr>
            <w:r w:rsidRPr="002B1DC2">
              <w:rPr>
                <w:noProof/>
                <w:color w:val="auto"/>
                <w:szCs w:val="26"/>
              </w:rPr>
              <w:t>C-2021-3026966</w:t>
            </w:r>
          </w:p>
        </w:tc>
      </w:tr>
      <w:tr w:rsidR="002B1DC2" w:rsidRPr="002B1DC2" w14:paraId="19AA5F29" w14:textId="77777777" w:rsidTr="00030E15">
        <w:tc>
          <w:tcPr>
            <w:tcW w:w="4230" w:type="dxa"/>
          </w:tcPr>
          <w:p w14:paraId="7C1E2CA4" w14:textId="77777777" w:rsidR="00D34253" w:rsidRPr="002B1DC2" w:rsidRDefault="00D34253" w:rsidP="00030E15">
            <w:pPr>
              <w:spacing w:line="240" w:lineRule="auto"/>
              <w:rPr>
                <w:color w:val="auto"/>
                <w:szCs w:val="26"/>
              </w:rPr>
            </w:pPr>
            <w:r w:rsidRPr="002B1DC2">
              <w:rPr>
                <w:noProof/>
                <w:color w:val="auto"/>
                <w:szCs w:val="26"/>
              </w:rPr>
              <w:t>Connie Friedfel</w:t>
            </w:r>
          </w:p>
        </w:tc>
        <w:tc>
          <w:tcPr>
            <w:tcW w:w="2250" w:type="dxa"/>
          </w:tcPr>
          <w:p w14:paraId="2CA38ECF" w14:textId="77777777" w:rsidR="00D34253" w:rsidRPr="002B1DC2" w:rsidRDefault="00D34253" w:rsidP="00030E15">
            <w:pPr>
              <w:spacing w:line="240" w:lineRule="auto"/>
              <w:rPr>
                <w:color w:val="auto"/>
                <w:szCs w:val="26"/>
              </w:rPr>
            </w:pPr>
            <w:r w:rsidRPr="002B1DC2">
              <w:rPr>
                <w:noProof/>
                <w:color w:val="auto"/>
                <w:szCs w:val="26"/>
              </w:rPr>
              <w:t>C-2021-3026968</w:t>
            </w:r>
          </w:p>
        </w:tc>
      </w:tr>
      <w:tr w:rsidR="002B1DC2" w:rsidRPr="002B1DC2" w14:paraId="2E23D997" w14:textId="77777777" w:rsidTr="00030E15">
        <w:tc>
          <w:tcPr>
            <w:tcW w:w="4230" w:type="dxa"/>
          </w:tcPr>
          <w:p w14:paraId="38117812" w14:textId="77777777" w:rsidR="00D34253" w:rsidRPr="002B1DC2" w:rsidRDefault="00D34253" w:rsidP="00030E15">
            <w:pPr>
              <w:spacing w:line="240" w:lineRule="auto"/>
              <w:rPr>
                <w:color w:val="auto"/>
                <w:szCs w:val="26"/>
              </w:rPr>
            </w:pPr>
            <w:r w:rsidRPr="002B1DC2">
              <w:rPr>
                <w:noProof/>
                <w:color w:val="auto"/>
                <w:szCs w:val="26"/>
              </w:rPr>
              <w:t>Amos &amp; Kathelen Lawson</w:t>
            </w:r>
          </w:p>
        </w:tc>
        <w:tc>
          <w:tcPr>
            <w:tcW w:w="2250" w:type="dxa"/>
          </w:tcPr>
          <w:p w14:paraId="11380BA8" w14:textId="77777777" w:rsidR="00D34253" w:rsidRPr="002B1DC2" w:rsidRDefault="00D34253" w:rsidP="00030E15">
            <w:pPr>
              <w:spacing w:line="240" w:lineRule="auto"/>
              <w:rPr>
                <w:color w:val="auto"/>
                <w:szCs w:val="26"/>
              </w:rPr>
            </w:pPr>
            <w:r w:rsidRPr="002B1DC2">
              <w:rPr>
                <w:noProof/>
                <w:color w:val="auto"/>
                <w:szCs w:val="26"/>
              </w:rPr>
              <w:t>C-2021-3026971</w:t>
            </w:r>
          </w:p>
        </w:tc>
      </w:tr>
      <w:tr w:rsidR="002B1DC2" w:rsidRPr="002B1DC2" w14:paraId="0F176920" w14:textId="77777777" w:rsidTr="00030E15">
        <w:tc>
          <w:tcPr>
            <w:tcW w:w="4230" w:type="dxa"/>
          </w:tcPr>
          <w:p w14:paraId="305F3A1E" w14:textId="77777777" w:rsidR="00D34253" w:rsidRPr="002B1DC2" w:rsidRDefault="00D34253" w:rsidP="00030E15">
            <w:pPr>
              <w:spacing w:line="240" w:lineRule="auto"/>
              <w:rPr>
                <w:color w:val="auto"/>
                <w:szCs w:val="26"/>
              </w:rPr>
            </w:pPr>
            <w:r w:rsidRPr="002B1DC2">
              <w:rPr>
                <w:noProof/>
                <w:color w:val="auto"/>
                <w:szCs w:val="26"/>
              </w:rPr>
              <w:t>Dorothy &amp; Feisal Khan</w:t>
            </w:r>
          </w:p>
        </w:tc>
        <w:tc>
          <w:tcPr>
            <w:tcW w:w="2250" w:type="dxa"/>
          </w:tcPr>
          <w:p w14:paraId="50455695" w14:textId="77777777" w:rsidR="00D34253" w:rsidRPr="002B1DC2" w:rsidRDefault="00D34253" w:rsidP="00030E15">
            <w:pPr>
              <w:spacing w:line="240" w:lineRule="auto"/>
              <w:rPr>
                <w:color w:val="auto"/>
                <w:szCs w:val="26"/>
              </w:rPr>
            </w:pPr>
            <w:r w:rsidRPr="002B1DC2">
              <w:rPr>
                <w:noProof/>
                <w:color w:val="auto"/>
                <w:szCs w:val="26"/>
              </w:rPr>
              <w:t>C-2021-3026973</w:t>
            </w:r>
          </w:p>
        </w:tc>
      </w:tr>
      <w:tr w:rsidR="002B1DC2" w:rsidRPr="002B1DC2" w14:paraId="0E102FBE" w14:textId="77777777" w:rsidTr="00030E15">
        <w:tc>
          <w:tcPr>
            <w:tcW w:w="4230" w:type="dxa"/>
          </w:tcPr>
          <w:p w14:paraId="10289FAF" w14:textId="77777777" w:rsidR="00D34253" w:rsidRPr="002B1DC2" w:rsidRDefault="00D34253" w:rsidP="00030E15">
            <w:pPr>
              <w:spacing w:line="240" w:lineRule="auto"/>
              <w:rPr>
                <w:color w:val="auto"/>
                <w:szCs w:val="26"/>
              </w:rPr>
            </w:pPr>
            <w:r w:rsidRPr="002B1DC2">
              <w:rPr>
                <w:noProof/>
                <w:color w:val="auto"/>
                <w:szCs w:val="26"/>
              </w:rPr>
              <w:t>Sharon Lloyd</w:t>
            </w:r>
          </w:p>
        </w:tc>
        <w:tc>
          <w:tcPr>
            <w:tcW w:w="2250" w:type="dxa"/>
          </w:tcPr>
          <w:p w14:paraId="0182B2C0" w14:textId="77777777" w:rsidR="00D34253" w:rsidRPr="002B1DC2" w:rsidRDefault="00D34253" w:rsidP="00030E15">
            <w:pPr>
              <w:spacing w:line="240" w:lineRule="auto"/>
              <w:rPr>
                <w:color w:val="auto"/>
                <w:szCs w:val="26"/>
              </w:rPr>
            </w:pPr>
            <w:r w:rsidRPr="002B1DC2">
              <w:rPr>
                <w:noProof/>
                <w:color w:val="auto"/>
                <w:szCs w:val="26"/>
              </w:rPr>
              <w:t>C-2021-3026975</w:t>
            </w:r>
          </w:p>
        </w:tc>
      </w:tr>
      <w:tr w:rsidR="002B1DC2" w:rsidRPr="002B1DC2" w14:paraId="2152C9BF" w14:textId="77777777" w:rsidTr="00030E15">
        <w:tc>
          <w:tcPr>
            <w:tcW w:w="4230" w:type="dxa"/>
          </w:tcPr>
          <w:p w14:paraId="1E044426" w14:textId="77777777" w:rsidR="00D34253" w:rsidRPr="002B1DC2" w:rsidRDefault="00D34253" w:rsidP="00030E15">
            <w:pPr>
              <w:spacing w:line="240" w:lineRule="auto"/>
              <w:rPr>
                <w:color w:val="auto"/>
                <w:szCs w:val="26"/>
              </w:rPr>
            </w:pPr>
            <w:r w:rsidRPr="002B1DC2">
              <w:rPr>
                <w:noProof/>
                <w:color w:val="auto"/>
                <w:szCs w:val="26"/>
              </w:rPr>
              <w:t>Usha Parhar</w:t>
            </w:r>
          </w:p>
        </w:tc>
        <w:tc>
          <w:tcPr>
            <w:tcW w:w="2250" w:type="dxa"/>
          </w:tcPr>
          <w:p w14:paraId="24B726A8" w14:textId="77777777" w:rsidR="00D34253" w:rsidRPr="002B1DC2" w:rsidRDefault="00D34253" w:rsidP="00030E15">
            <w:pPr>
              <w:spacing w:line="240" w:lineRule="auto"/>
              <w:rPr>
                <w:color w:val="auto"/>
                <w:szCs w:val="26"/>
              </w:rPr>
            </w:pPr>
            <w:r w:rsidRPr="002B1DC2">
              <w:rPr>
                <w:noProof/>
                <w:color w:val="auto"/>
                <w:szCs w:val="26"/>
              </w:rPr>
              <w:t>C-2021-3026985</w:t>
            </w:r>
          </w:p>
        </w:tc>
      </w:tr>
      <w:tr w:rsidR="002B1DC2" w:rsidRPr="002B1DC2" w14:paraId="712215D8" w14:textId="77777777" w:rsidTr="00030E15">
        <w:tc>
          <w:tcPr>
            <w:tcW w:w="4230" w:type="dxa"/>
          </w:tcPr>
          <w:p w14:paraId="001263E5" w14:textId="4F4179BA" w:rsidR="00D34253" w:rsidRPr="002B1DC2" w:rsidRDefault="003520DF" w:rsidP="00030E15">
            <w:pPr>
              <w:spacing w:line="240" w:lineRule="auto"/>
              <w:rPr>
                <w:color w:val="auto"/>
                <w:szCs w:val="26"/>
              </w:rPr>
            </w:pPr>
            <w:r w:rsidRPr="002B1DC2">
              <w:rPr>
                <w:noProof/>
                <w:color w:val="auto"/>
                <w:szCs w:val="26"/>
              </w:rPr>
              <w:t>Patricia</w:t>
            </w:r>
            <w:r w:rsidR="00D34253" w:rsidRPr="002B1DC2">
              <w:rPr>
                <w:noProof/>
                <w:color w:val="auto"/>
                <w:szCs w:val="26"/>
              </w:rPr>
              <w:t xml:space="preserve"> Merrill</w:t>
            </w:r>
          </w:p>
        </w:tc>
        <w:tc>
          <w:tcPr>
            <w:tcW w:w="2250" w:type="dxa"/>
          </w:tcPr>
          <w:p w14:paraId="5C8EE633" w14:textId="77777777" w:rsidR="00D34253" w:rsidRPr="002B1DC2" w:rsidRDefault="00D34253" w:rsidP="00030E15">
            <w:pPr>
              <w:spacing w:line="240" w:lineRule="auto"/>
              <w:rPr>
                <w:color w:val="auto"/>
                <w:szCs w:val="26"/>
              </w:rPr>
            </w:pPr>
            <w:r w:rsidRPr="002B1DC2">
              <w:rPr>
                <w:noProof/>
                <w:color w:val="auto"/>
                <w:szCs w:val="26"/>
              </w:rPr>
              <w:t>C-2021-3026988</w:t>
            </w:r>
          </w:p>
        </w:tc>
      </w:tr>
      <w:tr w:rsidR="002B1DC2" w:rsidRPr="002B1DC2" w14:paraId="3D65E801" w14:textId="77777777" w:rsidTr="00030E15">
        <w:tc>
          <w:tcPr>
            <w:tcW w:w="4230" w:type="dxa"/>
          </w:tcPr>
          <w:p w14:paraId="43ACF123" w14:textId="77777777" w:rsidR="00D34253" w:rsidRPr="002B1DC2" w:rsidRDefault="00D34253" w:rsidP="00030E15">
            <w:pPr>
              <w:spacing w:line="240" w:lineRule="auto"/>
              <w:rPr>
                <w:color w:val="auto"/>
                <w:szCs w:val="26"/>
              </w:rPr>
            </w:pPr>
            <w:r w:rsidRPr="002B1DC2">
              <w:rPr>
                <w:noProof/>
                <w:color w:val="auto"/>
                <w:szCs w:val="26"/>
              </w:rPr>
              <w:t>George Tirado</w:t>
            </w:r>
          </w:p>
        </w:tc>
        <w:tc>
          <w:tcPr>
            <w:tcW w:w="2250" w:type="dxa"/>
          </w:tcPr>
          <w:p w14:paraId="5CAB9452" w14:textId="77777777" w:rsidR="00D34253" w:rsidRPr="002B1DC2" w:rsidRDefault="00D34253" w:rsidP="00030E15">
            <w:pPr>
              <w:spacing w:line="240" w:lineRule="auto"/>
              <w:rPr>
                <w:color w:val="auto"/>
                <w:szCs w:val="26"/>
              </w:rPr>
            </w:pPr>
            <w:r w:rsidRPr="002B1DC2">
              <w:rPr>
                <w:noProof/>
                <w:color w:val="auto"/>
                <w:szCs w:val="26"/>
              </w:rPr>
              <w:t>C-2021-3026989</w:t>
            </w:r>
          </w:p>
        </w:tc>
      </w:tr>
      <w:tr w:rsidR="002B1DC2" w:rsidRPr="002B1DC2" w14:paraId="2C511AC3" w14:textId="77777777" w:rsidTr="00030E15">
        <w:tc>
          <w:tcPr>
            <w:tcW w:w="4230" w:type="dxa"/>
          </w:tcPr>
          <w:p w14:paraId="09823C84" w14:textId="77777777" w:rsidR="00D34253" w:rsidRPr="002B1DC2" w:rsidRDefault="00D34253" w:rsidP="00030E15">
            <w:pPr>
              <w:spacing w:line="240" w:lineRule="auto"/>
              <w:rPr>
                <w:color w:val="auto"/>
                <w:szCs w:val="26"/>
              </w:rPr>
            </w:pPr>
            <w:r w:rsidRPr="002B1DC2">
              <w:rPr>
                <w:noProof/>
                <w:color w:val="auto"/>
                <w:szCs w:val="26"/>
              </w:rPr>
              <w:t>Timothy Weaver</w:t>
            </w:r>
          </w:p>
        </w:tc>
        <w:tc>
          <w:tcPr>
            <w:tcW w:w="2250" w:type="dxa"/>
          </w:tcPr>
          <w:p w14:paraId="645858BC" w14:textId="77777777" w:rsidR="00D34253" w:rsidRPr="002B1DC2" w:rsidRDefault="00D34253" w:rsidP="00030E15">
            <w:pPr>
              <w:spacing w:line="240" w:lineRule="auto"/>
              <w:rPr>
                <w:color w:val="auto"/>
                <w:szCs w:val="26"/>
              </w:rPr>
            </w:pPr>
            <w:r w:rsidRPr="002B1DC2">
              <w:rPr>
                <w:noProof/>
                <w:color w:val="auto"/>
                <w:szCs w:val="26"/>
              </w:rPr>
              <w:t>C-2021-3026991</w:t>
            </w:r>
          </w:p>
        </w:tc>
      </w:tr>
      <w:tr w:rsidR="002B1DC2" w:rsidRPr="002B1DC2" w14:paraId="635E1021" w14:textId="77777777" w:rsidTr="00030E15">
        <w:tc>
          <w:tcPr>
            <w:tcW w:w="4230" w:type="dxa"/>
          </w:tcPr>
          <w:p w14:paraId="66953D3A" w14:textId="77777777" w:rsidR="00D34253" w:rsidRPr="002B1DC2" w:rsidRDefault="00D34253" w:rsidP="00030E15">
            <w:pPr>
              <w:spacing w:line="240" w:lineRule="auto"/>
              <w:rPr>
                <w:color w:val="auto"/>
                <w:szCs w:val="26"/>
              </w:rPr>
            </w:pPr>
            <w:r w:rsidRPr="002B1DC2">
              <w:rPr>
                <w:noProof/>
                <w:color w:val="auto"/>
                <w:szCs w:val="26"/>
              </w:rPr>
              <w:t>John Murphy</w:t>
            </w:r>
          </w:p>
        </w:tc>
        <w:tc>
          <w:tcPr>
            <w:tcW w:w="2250" w:type="dxa"/>
          </w:tcPr>
          <w:p w14:paraId="065AC5AC" w14:textId="45E9B686" w:rsidR="00D34253" w:rsidRPr="002B1DC2" w:rsidRDefault="00D34253" w:rsidP="00030E15">
            <w:pPr>
              <w:spacing w:line="240" w:lineRule="auto"/>
              <w:rPr>
                <w:color w:val="auto"/>
                <w:szCs w:val="26"/>
              </w:rPr>
            </w:pPr>
            <w:r w:rsidRPr="002B1DC2">
              <w:rPr>
                <w:noProof/>
                <w:color w:val="auto"/>
                <w:szCs w:val="26"/>
              </w:rPr>
              <w:t>C-2021-302699</w:t>
            </w:r>
            <w:r w:rsidR="00281907" w:rsidRPr="002B1DC2">
              <w:rPr>
                <w:noProof/>
                <w:color w:val="auto"/>
                <w:szCs w:val="26"/>
              </w:rPr>
              <w:t>3</w:t>
            </w:r>
          </w:p>
        </w:tc>
      </w:tr>
      <w:tr w:rsidR="002B1DC2" w:rsidRPr="002B1DC2" w14:paraId="33E74066" w14:textId="77777777" w:rsidTr="00030E15">
        <w:tc>
          <w:tcPr>
            <w:tcW w:w="4230" w:type="dxa"/>
          </w:tcPr>
          <w:p w14:paraId="2A9DA81E" w14:textId="77777777" w:rsidR="00D34253" w:rsidRPr="002B1DC2" w:rsidRDefault="00D34253" w:rsidP="00030E15">
            <w:pPr>
              <w:spacing w:line="240" w:lineRule="auto"/>
              <w:rPr>
                <w:color w:val="auto"/>
                <w:szCs w:val="26"/>
              </w:rPr>
            </w:pPr>
            <w:r w:rsidRPr="002B1DC2">
              <w:rPr>
                <w:noProof/>
                <w:color w:val="auto"/>
                <w:szCs w:val="26"/>
              </w:rPr>
              <w:t>Stilianos &amp; Susan Nikolaou</w:t>
            </w:r>
          </w:p>
        </w:tc>
        <w:tc>
          <w:tcPr>
            <w:tcW w:w="2250" w:type="dxa"/>
          </w:tcPr>
          <w:p w14:paraId="7D475079" w14:textId="77777777" w:rsidR="00D34253" w:rsidRPr="002B1DC2" w:rsidRDefault="00D34253" w:rsidP="00030E15">
            <w:pPr>
              <w:spacing w:line="240" w:lineRule="auto"/>
              <w:rPr>
                <w:color w:val="auto"/>
                <w:szCs w:val="26"/>
              </w:rPr>
            </w:pPr>
            <w:r w:rsidRPr="002B1DC2">
              <w:rPr>
                <w:noProof/>
                <w:color w:val="auto"/>
                <w:szCs w:val="26"/>
              </w:rPr>
              <w:t>C-2021-3026995</w:t>
            </w:r>
          </w:p>
        </w:tc>
      </w:tr>
      <w:tr w:rsidR="002B1DC2" w:rsidRPr="002B1DC2" w14:paraId="1D962ED2" w14:textId="77777777" w:rsidTr="00030E15">
        <w:tc>
          <w:tcPr>
            <w:tcW w:w="4230" w:type="dxa"/>
          </w:tcPr>
          <w:p w14:paraId="499E4812" w14:textId="77777777" w:rsidR="00D34253" w:rsidRPr="002B1DC2" w:rsidRDefault="00D34253" w:rsidP="00030E15">
            <w:pPr>
              <w:spacing w:line="240" w:lineRule="auto"/>
              <w:rPr>
                <w:color w:val="auto"/>
                <w:szCs w:val="26"/>
              </w:rPr>
            </w:pPr>
            <w:r w:rsidRPr="002B1DC2">
              <w:rPr>
                <w:noProof/>
                <w:color w:val="auto"/>
                <w:szCs w:val="26"/>
              </w:rPr>
              <w:t>Yajaida Rodriguez</w:t>
            </w:r>
          </w:p>
        </w:tc>
        <w:tc>
          <w:tcPr>
            <w:tcW w:w="2250" w:type="dxa"/>
          </w:tcPr>
          <w:p w14:paraId="583FAB29" w14:textId="77777777" w:rsidR="00D34253" w:rsidRPr="002B1DC2" w:rsidRDefault="00D34253" w:rsidP="00030E15">
            <w:pPr>
              <w:spacing w:line="240" w:lineRule="auto"/>
              <w:rPr>
                <w:color w:val="auto"/>
                <w:szCs w:val="26"/>
              </w:rPr>
            </w:pPr>
            <w:r w:rsidRPr="002B1DC2">
              <w:rPr>
                <w:noProof/>
                <w:color w:val="auto"/>
                <w:szCs w:val="26"/>
              </w:rPr>
              <w:t>C-2021-3026998</w:t>
            </w:r>
          </w:p>
        </w:tc>
      </w:tr>
      <w:tr w:rsidR="002B1DC2" w:rsidRPr="002B1DC2" w14:paraId="73421E80" w14:textId="77777777" w:rsidTr="00030E15">
        <w:tc>
          <w:tcPr>
            <w:tcW w:w="4230" w:type="dxa"/>
          </w:tcPr>
          <w:p w14:paraId="258EE97C" w14:textId="77777777" w:rsidR="00D34253" w:rsidRPr="002B1DC2" w:rsidRDefault="00D34253" w:rsidP="00030E15">
            <w:pPr>
              <w:spacing w:line="240" w:lineRule="auto"/>
              <w:rPr>
                <w:color w:val="auto"/>
                <w:szCs w:val="26"/>
              </w:rPr>
            </w:pPr>
            <w:r w:rsidRPr="002B1DC2">
              <w:rPr>
                <w:noProof/>
                <w:color w:val="auto"/>
                <w:szCs w:val="26"/>
              </w:rPr>
              <w:t>Gaurav Parhar</w:t>
            </w:r>
          </w:p>
        </w:tc>
        <w:tc>
          <w:tcPr>
            <w:tcW w:w="2250" w:type="dxa"/>
          </w:tcPr>
          <w:p w14:paraId="76A0008D" w14:textId="77777777" w:rsidR="00D34253" w:rsidRPr="002B1DC2" w:rsidRDefault="00D34253" w:rsidP="00030E15">
            <w:pPr>
              <w:spacing w:line="240" w:lineRule="auto"/>
              <w:rPr>
                <w:color w:val="auto"/>
                <w:szCs w:val="26"/>
              </w:rPr>
            </w:pPr>
            <w:r w:rsidRPr="002B1DC2">
              <w:rPr>
                <w:noProof/>
                <w:color w:val="auto"/>
                <w:szCs w:val="26"/>
              </w:rPr>
              <w:t>C-2021-3027062</w:t>
            </w:r>
          </w:p>
        </w:tc>
      </w:tr>
      <w:tr w:rsidR="002B1DC2" w:rsidRPr="002B1DC2" w14:paraId="68CEB2B1" w14:textId="77777777" w:rsidTr="00030E15">
        <w:tc>
          <w:tcPr>
            <w:tcW w:w="4230" w:type="dxa"/>
          </w:tcPr>
          <w:p w14:paraId="4A990950" w14:textId="77777777" w:rsidR="00D34253" w:rsidRPr="002B1DC2" w:rsidRDefault="00D34253" w:rsidP="00030E15">
            <w:pPr>
              <w:spacing w:line="240" w:lineRule="auto"/>
              <w:rPr>
                <w:color w:val="auto"/>
                <w:szCs w:val="26"/>
              </w:rPr>
            </w:pPr>
            <w:r w:rsidRPr="002B1DC2">
              <w:rPr>
                <w:noProof/>
                <w:color w:val="auto"/>
                <w:szCs w:val="26"/>
              </w:rPr>
              <w:t>Robert Mohr</w:t>
            </w:r>
          </w:p>
        </w:tc>
        <w:tc>
          <w:tcPr>
            <w:tcW w:w="2250" w:type="dxa"/>
          </w:tcPr>
          <w:p w14:paraId="6C0722CB" w14:textId="77777777" w:rsidR="00D34253" w:rsidRPr="002B1DC2" w:rsidRDefault="00D34253" w:rsidP="00030E15">
            <w:pPr>
              <w:spacing w:line="240" w:lineRule="auto"/>
              <w:rPr>
                <w:color w:val="auto"/>
                <w:szCs w:val="26"/>
              </w:rPr>
            </w:pPr>
            <w:r w:rsidRPr="002B1DC2">
              <w:rPr>
                <w:noProof/>
                <w:color w:val="auto"/>
                <w:szCs w:val="26"/>
              </w:rPr>
              <w:t>C-2021-3027065</w:t>
            </w:r>
          </w:p>
        </w:tc>
      </w:tr>
      <w:tr w:rsidR="002B1DC2" w:rsidRPr="002B1DC2" w14:paraId="05164105" w14:textId="77777777" w:rsidTr="00030E15">
        <w:tc>
          <w:tcPr>
            <w:tcW w:w="4230" w:type="dxa"/>
          </w:tcPr>
          <w:p w14:paraId="5CAA0E56" w14:textId="77777777" w:rsidR="00D34253" w:rsidRPr="002B1DC2" w:rsidRDefault="00D34253" w:rsidP="00030E15">
            <w:pPr>
              <w:spacing w:line="240" w:lineRule="auto"/>
              <w:rPr>
                <w:color w:val="auto"/>
                <w:szCs w:val="26"/>
              </w:rPr>
            </w:pPr>
            <w:r w:rsidRPr="002B1DC2">
              <w:rPr>
                <w:noProof/>
                <w:color w:val="auto"/>
                <w:szCs w:val="26"/>
              </w:rPr>
              <w:t>Roger Fredericks</w:t>
            </w:r>
          </w:p>
        </w:tc>
        <w:tc>
          <w:tcPr>
            <w:tcW w:w="2250" w:type="dxa"/>
          </w:tcPr>
          <w:p w14:paraId="02F4D183" w14:textId="77777777" w:rsidR="00D34253" w:rsidRPr="002B1DC2" w:rsidRDefault="00D34253" w:rsidP="00030E15">
            <w:pPr>
              <w:spacing w:line="240" w:lineRule="auto"/>
              <w:rPr>
                <w:color w:val="auto"/>
                <w:szCs w:val="26"/>
              </w:rPr>
            </w:pPr>
            <w:r w:rsidRPr="002B1DC2">
              <w:rPr>
                <w:noProof/>
                <w:color w:val="auto"/>
                <w:szCs w:val="26"/>
              </w:rPr>
              <w:t>C-2021-3027066</w:t>
            </w:r>
          </w:p>
        </w:tc>
      </w:tr>
      <w:tr w:rsidR="002B1DC2" w:rsidRPr="002B1DC2" w14:paraId="68828760" w14:textId="77777777" w:rsidTr="00030E15">
        <w:tc>
          <w:tcPr>
            <w:tcW w:w="4230" w:type="dxa"/>
          </w:tcPr>
          <w:p w14:paraId="41C919A9" w14:textId="77777777" w:rsidR="00D34253" w:rsidRPr="002B1DC2" w:rsidRDefault="00D34253" w:rsidP="00030E15">
            <w:pPr>
              <w:spacing w:line="240" w:lineRule="auto"/>
              <w:rPr>
                <w:color w:val="auto"/>
                <w:szCs w:val="26"/>
              </w:rPr>
            </w:pPr>
            <w:r w:rsidRPr="002B1DC2">
              <w:rPr>
                <w:noProof/>
                <w:color w:val="auto"/>
                <w:szCs w:val="26"/>
              </w:rPr>
              <w:t>Rosalie Capitelli</w:t>
            </w:r>
          </w:p>
        </w:tc>
        <w:tc>
          <w:tcPr>
            <w:tcW w:w="2250" w:type="dxa"/>
          </w:tcPr>
          <w:p w14:paraId="5AEA45BF" w14:textId="77777777" w:rsidR="00D34253" w:rsidRPr="002B1DC2" w:rsidRDefault="00D34253" w:rsidP="00030E15">
            <w:pPr>
              <w:spacing w:line="240" w:lineRule="auto"/>
              <w:rPr>
                <w:color w:val="auto"/>
                <w:szCs w:val="26"/>
              </w:rPr>
            </w:pPr>
            <w:r w:rsidRPr="002B1DC2">
              <w:rPr>
                <w:noProof/>
                <w:color w:val="auto"/>
                <w:szCs w:val="26"/>
              </w:rPr>
              <w:t>C-2021-3027068</w:t>
            </w:r>
          </w:p>
        </w:tc>
      </w:tr>
      <w:tr w:rsidR="002B1DC2" w:rsidRPr="002B1DC2" w14:paraId="0531571B" w14:textId="77777777" w:rsidTr="00030E15">
        <w:tc>
          <w:tcPr>
            <w:tcW w:w="4230" w:type="dxa"/>
          </w:tcPr>
          <w:p w14:paraId="729069A7" w14:textId="77777777" w:rsidR="00D34253" w:rsidRPr="002B1DC2" w:rsidRDefault="00D34253" w:rsidP="00030E15">
            <w:pPr>
              <w:spacing w:line="240" w:lineRule="auto"/>
              <w:rPr>
                <w:color w:val="auto"/>
                <w:szCs w:val="26"/>
              </w:rPr>
            </w:pPr>
            <w:r w:rsidRPr="002B1DC2">
              <w:rPr>
                <w:noProof/>
                <w:color w:val="auto"/>
                <w:szCs w:val="26"/>
              </w:rPr>
              <w:t>Charles Wright</w:t>
            </w:r>
          </w:p>
        </w:tc>
        <w:tc>
          <w:tcPr>
            <w:tcW w:w="2250" w:type="dxa"/>
          </w:tcPr>
          <w:p w14:paraId="29322E92" w14:textId="77777777" w:rsidR="00D34253" w:rsidRPr="002B1DC2" w:rsidRDefault="00D34253" w:rsidP="00030E15">
            <w:pPr>
              <w:spacing w:line="240" w:lineRule="auto"/>
              <w:rPr>
                <w:color w:val="auto"/>
                <w:szCs w:val="26"/>
              </w:rPr>
            </w:pPr>
            <w:r w:rsidRPr="002B1DC2">
              <w:rPr>
                <w:noProof/>
                <w:color w:val="auto"/>
                <w:szCs w:val="26"/>
              </w:rPr>
              <w:t>C-2021-3027070</w:t>
            </w:r>
          </w:p>
        </w:tc>
      </w:tr>
      <w:tr w:rsidR="002B1DC2" w:rsidRPr="002B1DC2" w14:paraId="373B723E" w14:textId="77777777" w:rsidTr="00030E15">
        <w:tc>
          <w:tcPr>
            <w:tcW w:w="4230" w:type="dxa"/>
          </w:tcPr>
          <w:p w14:paraId="50E765E6" w14:textId="77777777" w:rsidR="00D34253" w:rsidRPr="002B1DC2" w:rsidRDefault="00D34253" w:rsidP="00030E15">
            <w:pPr>
              <w:spacing w:line="240" w:lineRule="auto"/>
              <w:rPr>
                <w:color w:val="auto"/>
                <w:szCs w:val="26"/>
              </w:rPr>
            </w:pPr>
            <w:r w:rsidRPr="002B1DC2">
              <w:rPr>
                <w:noProof/>
                <w:color w:val="auto"/>
                <w:szCs w:val="26"/>
              </w:rPr>
              <w:t>Brian &amp; Taryn Merrill</w:t>
            </w:r>
          </w:p>
        </w:tc>
        <w:tc>
          <w:tcPr>
            <w:tcW w:w="2250" w:type="dxa"/>
          </w:tcPr>
          <w:p w14:paraId="583D0025" w14:textId="77777777" w:rsidR="00D34253" w:rsidRPr="002B1DC2" w:rsidRDefault="00D34253" w:rsidP="00030E15">
            <w:pPr>
              <w:spacing w:line="240" w:lineRule="auto"/>
              <w:rPr>
                <w:color w:val="auto"/>
                <w:szCs w:val="26"/>
              </w:rPr>
            </w:pPr>
            <w:r w:rsidRPr="002B1DC2">
              <w:rPr>
                <w:noProof/>
                <w:color w:val="auto"/>
                <w:szCs w:val="26"/>
              </w:rPr>
              <w:t>C-2021-3027073</w:t>
            </w:r>
          </w:p>
        </w:tc>
      </w:tr>
      <w:tr w:rsidR="002B1DC2" w:rsidRPr="002B1DC2" w14:paraId="6660A93C" w14:textId="77777777" w:rsidTr="00030E15">
        <w:tc>
          <w:tcPr>
            <w:tcW w:w="4230" w:type="dxa"/>
          </w:tcPr>
          <w:p w14:paraId="7E9A9674" w14:textId="77777777" w:rsidR="00D34253" w:rsidRPr="002B1DC2" w:rsidRDefault="00D34253" w:rsidP="00030E15">
            <w:pPr>
              <w:spacing w:line="240" w:lineRule="auto"/>
              <w:rPr>
                <w:color w:val="auto"/>
                <w:szCs w:val="26"/>
              </w:rPr>
            </w:pPr>
            <w:r w:rsidRPr="002B1DC2">
              <w:rPr>
                <w:noProof/>
                <w:color w:val="auto"/>
                <w:szCs w:val="26"/>
              </w:rPr>
              <w:t>Nicholas Corforte</w:t>
            </w:r>
          </w:p>
        </w:tc>
        <w:tc>
          <w:tcPr>
            <w:tcW w:w="2250" w:type="dxa"/>
          </w:tcPr>
          <w:p w14:paraId="0B8AC97E" w14:textId="77777777" w:rsidR="00D34253" w:rsidRPr="002B1DC2" w:rsidRDefault="00D34253" w:rsidP="00030E15">
            <w:pPr>
              <w:spacing w:line="240" w:lineRule="auto"/>
              <w:rPr>
                <w:color w:val="auto"/>
                <w:szCs w:val="26"/>
              </w:rPr>
            </w:pPr>
            <w:r w:rsidRPr="002B1DC2">
              <w:rPr>
                <w:noProof/>
                <w:color w:val="auto"/>
                <w:szCs w:val="26"/>
              </w:rPr>
              <w:t>C-2021-3027075</w:t>
            </w:r>
          </w:p>
        </w:tc>
      </w:tr>
      <w:tr w:rsidR="002B1DC2" w:rsidRPr="002B1DC2" w14:paraId="04F0E768" w14:textId="77777777" w:rsidTr="00030E15">
        <w:tc>
          <w:tcPr>
            <w:tcW w:w="4230" w:type="dxa"/>
          </w:tcPr>
          <w:p w14:paraId="2549410F" w14:textId="77777777" w:rsidR="00D34253" w:rsidRPr="002B1DC2" w:rsidRDefault="00D34253" w:rsidP="00030E15">
            <w:pPr>
              <w:spacing w:line="240" w:lineRule="auto"/>
              <w:rPr>
                <w:color w:val="auto"/>
                <w:szCs w:val="26"/>
              </w:rPr>
            </w:pPr>
            <w:r w:rsidRPr="002B1DC2">
              <w:rPr>
                <w:noProof/>
                <w:color w:val="auto"/>
                <w:szCs w:val="26"/>
              </w:rPr>
              <w:t>Craig Lowe</w:t>
            </w:r>
          </w:p>
        </w:tc>
        <w:tc>
          <w:tcPr>
            <w:tcW w:w="2250" w:type="dxa"/>
          </w:tcPr>
          <w:p w14:paraId="0651A343" w14:textId="77777777" w:rsidR="00D34253" w:rsidRPr="002B1DC2" w:rsidRDefault="00D34253" w:rsidP="00030E15">
            <w:pPr>
              <w:spacing w:line="240" w:lineRule="auto"/>
              <w:rPr>
                <w:color w:val="auto"/>
                <w:szCs w:val="26"/>
              </w:rPr>
            </w:pPr>
            <w:r w:rsidRPr="002B1DC2">
              <w:rPr>
                <w:noProof/>
                <w:color w:val="auto"/>
                <w:szCs w:val="26"/>
              </w:rPr>
              <w:t>C-2021-3027077</w:t>
            </w:r>
          </w:p>
        </w:tc>
      </w:tr>
      <w:tr w:rsidR="002B1DC2" w:rsidRPr="002B1DC2" w14:paraId="740C3762" w14:textId="77777777" w:rsidTr="00030E15">
        <w:tc>
          <w:tcPr>
            <w:tcW w:w="4230" w:type="dxa"/>
          </w:tcPr>
          <w:p w14:paraId="28EA3EC0" w14:textId="77777777" w:rsidR="00D34253" w:rsidRPr="002B1DC2" w:rsidRDefault="00D34253" w:rsidP="00030E15">
            <w:pPr>
              <w:spacing w:line="240" w:lineRule="auto"/>
              <w:rPr>
                <w:color w:val="auto"/>
                <w:szCs w:val="26"/>
              </w:rPr>
            </w:pPr>
            <w:r w:rsidRPr="002B1DC2">
              <w:rPr>
                <w:noProof/>
                <w:color w:val="auto"/>
                <w:szCs w:val="26"/>
              </w:rPr>
              <w:t>Stephen &amp; Kathleen Conrad</w:t>
            </w:r>
          </w:p>
        </w:tc>
        <w:tc>
          <w:tcPr>
            <w:tcW w:w="2250" w:type="dxa"/>
          </w:tcPr>
          <w:p w14:paraId="3D76078B" w14:textId="77777777" w:rsidR="00D34253" w:rsidRPr="002B1DC2" w:rsidRDefault="00D34253" w:rsidP="00030E15">
            <w:pPr>
              <w:spacing w:line="240" w:lineRule="auto"/>
              <w:rPr>
                <w:color w:val="auto"/>
                <w:szCs w:val="26"/>
              </w:rPr>
            </w:pPr>
            <w:r w:rsidRPr="002B1DC2">
              <w:rPr>
                <w:noProof/>
                <w:color w:val="auto"/>
                <w:szCs w:val="26"/>
              </w:rPr>
              <w:t>C-2021-3027079</w:t>
            </w:r>
          </w:p>
        </w:tc>
      </w:tr>
      <w:tr w:rsidR="002B1DC2" w:rsidRPr="002B1DC2" w14:paraId="1B576503" w14:textId="77777777" w:rsidTr="00030E15">
        <w:tc>
          <w:tcPr>
            <w:tcW w:w="4230" w:type="dxa"/>
          </w:tcPr>
          <w:p w14:paraId="13B5AD48" w14:textId="77777777" w:rsidR="00D34253" w:rsidRPr="002B1DC2" w:rsidRDefault="00D34253" w:rsidP="00030E15">
            <w:pPr>
              <w:spacing w:line="240" w:lineRule="auto"/>
              <w:rPr>
                <w:color w:val="auto"/>
                <w:szCs w:val="26"/>
              </w:rPr>
            </w:pPr>
            <w:r w:rsidRPr="002B1DC2">
              <w:rPr>
                <w:noProof/>
                <w:color w:val="auto"/>
                <w:szCs w:val="26"/>
              </w:rPr>
              <w:t>Clifford &amp; Cindy McNeil</w:t>
            </w:r>
          </w:p>
        </w:tc>
        <w:tc>
          <w:tcPr>
            <w:tcW w:w="2250" w:type="dxa"/>
          </w:tcPr>
          <w:p w14:paraId="3BC54E3E" w14:textId="77777777" w:rsidR="00D34253" w:rsidRPr="002B1DC2" w:rsidRDefault="00D34253" w:rsidP="00030E15">
            <w:pPr>
              <w:spacing w:line="240" w:lineRule="auto"/>
              <w:rPr>
                <w:color w:val="auto"/>
                <w:szCs w:val="26"/>
              </w:rPr>
            </w:pPr>
            <w:r w:rsidRPr="002B1DC2">
              <w:rPr>
                <w:noProof/>
                <w:color w:val="auto"/>
                <w:szCs w:val="26"/>
              </w:rPr>
              <w:t>C-2021-3027083</w:t>
            </w:r>
          </w:p>
        </w:tc>
      </w:tr>
      <w:tr w:rsidR="002B1DC2" w:rsidRPr="002B1DC2" w14:paraId="412CFDA1" w14:textId="77777777" w:rsidTr="00030E15">
        <w:tc>
          <w:tcPr>
            <w:tcW w:w="4230" w:type="dxa"/>
          </w:tcPr>
          <w:p w14:paraId="02CAD852" w14:textId="77777777" w:rsidR="00D34253" w:rsidRPr="002B1DC2" w:rsidRDefault="00D34253" w:rsidP="00030E15">
            <w:pPr>
              <w:spacing w:line="240" w:lineRule="auto"/>
              <w:rPr>
                <w:color w:val="auto"/>
                <w:szCs w:val="26"/>
              </w:rPr>
            </w:pPr>
            <w:r w:rsidRPr="002B1DC2">
              <w:rPr>
                <w:noProof/>
                <w:color w:val="auto"/>
                <w:szCs w:val="26"/>
              </w:rPr>
              <w:t>Maryann Bouco</w:t>
            </w:r>
          </w:p>
        </w:tc>
        <w:tc>
          <w:tcPr>
            <w:tcW w:w="2250" w:type="dxa"/>
          </w:tcPr>
          <w:p w14:paraId="3AD9660E" w14:textId="77777777" w:rsidR="00D34253" w:rsidRPr="002B1DC2" w:rsidRDefault="00D34253" w:rsidP="00030E15">
            <w:pPr>
              <w:spacing w:line="240" w:lineRule="auto"/>
              <w:rPr>
                <w:color w:val="auto"/>
                <w:szCs w:val="26"/>
              </w:rPr>
            </w:pPr>
            <w:r w:rsidRPr="002B1DC2">
              <w:rPr>
                <w:noProof/>
                <w:color w:val="auto"/>
                <w:szCs w:val="26"/>
              </w:rPr>
              <w:t>C-2021-3027085</w:t>
            </w:r>
          </w:p>
        </w:tc>
      </w:tr>
      <w:tr w:rsidR="002B1DC2" w:rsidRPr="002B1DC2" w14:paraId="51719BBD" w14:textId="77777777" w:rsidTr="00030E15">
        <w:tc>
          <w:tcPr>
            <w:tcW w:w="4230" w:type="dxa"/>
          </w:tcPr>
          <w:p w14:paraId="760AF276" w14:textId="77777777" w:rsidR="00D34253" w:rsidRPr="002B1DC2" w:rsidRDefault="00D34253" w:rsidP="00030E15">
            <w:pPr>
              <w:spacing w:line="240" w:lineRule="auto"/>
              <w:rPr>
                <w:color w:val="auto"/>
                <w:szCs w:val="26"/>
              </w:rPr>
            </w:pPr>
            <w:r w:rsidRPr="002B1DC2">
              <w:rPr>
                <w:noProof/>
                <w:color w:val="auto"/>
                <w:szCs w:val="26"/>
              </w:rPr>
              <w:t>Thomas &amp; Maxine Shepard</w:t>
            </w:r>
          </w:p>
        </w:tc>
        <w:tc>
          <w:tcPr>
            <w:tcW w:w="2250" w:type="dxa"/>
          </w:tcPr>
          <w:p w14:paraId="1D048511" w14:textId="77777777" w:rsidR="00D34253" w:rsidRPr="002B1DC2" w:rsidRDefault="00D34253" w:rsidP="00030E15">
            <w:pPr>
              <w:spacing w:line="240" w:lineRule="auto"/>
              <w:rPr>
                <w:color w:val="auto"/>
                <w:szCs w:val="26"/>
              </w:rPr>
            </w:pPr>
            <w:r w:rsidRPr="002B1DC2">
              <w:rPr>
                <w:noProof/>
                <w:color w:val="auto"/>
                <w:szCs w:val="26"/>
              </w:rPr>
              <w:t>C-2021-3027143</w:t>
            </w:r>
          </w:p>
        </w:tc>
      </w:tr>
      <w:tr w:rsidR="002B1DC2" w:rsidRPr="002B1DC2" w14:paraId="1C2AE4E0" w14:textId="77777777" w:rsidTr="00030E15">
        <w:tc>
          <w:tcPr>
            <w:tcW w:w="4230" w:type="dxa"/>
          </w:tcPr>
          <w:p w14:paraId="0E709534" w14:textId="300CBC17" w:rsidR="00D34253" w:rsidRPr="002B1DC2" w:rsidRDefault="00D34253" w:rsidP="00030E15">
            <w:pPr>
              <w:spacing w:line="240" w:lineRule="auto"/>
              <w:rPr>
                <w:color w:val="auto"/>
                <w:szCs w:val="26"/>
              </w:rPr>
            </w:pPr>
            <w:r w:rsidRPr="002B1DC2">
              <w:rPr>
                <w:noProof/>
                <w:color w:val="auto"/>
                <w:szCs w:val="26"/>
              </w:rPr>
              <w:t>Marcia Mathura</w:t>
            </w:r>
          </w:p>
        </w:tc>
        <w:tc>
          <w:tcPr>
            <w:tcW w:w="2250" w:type="dxa"/>
          </w:tcPr>
          <w:p w14:paraId="1018A2D1" w14:textId="77777777" w:rsidR="00D34253" w:rsidRPr="002B1DC2" w:rsidRDefault="00D34253" w:rsidP="00030E15">
            <w:pPr>
              <w:spacing w:line="240" w:lineRule="auto"/>
              <w:rPr>
                <w:color w:val="auto"/>
                <w:szCs w:val="26"/>
              </w:rPr>
            </w:pPr>
            <w:r w:rsidRPr="002B1DC2">
              <w:rPr>
                <w:noProof/>
                <w:color w:val="auto"/>
                <w:szCs w:val="26"/>
              </w:rPr>
              <w:t>C-2021-3027251</w:t>
            </w:r>
          </w:p>
        </w:tc>
      </w:tr>
    </w:tbl>
    <w:p w14:paraId="31DF17FD" w14:textId="77777777" w:rsidR="009414F3" w:rsidRDefault="009414F3" w:rsidP="00D34253">
      <w:pPr>
        <w:tabs>
          <w:tab w:val="left" w:pos="3600"/>
        </w:tabs>
        <w:kinsoku w:val="0"/>
        <w:overflowPunct w:val="0"/>
        <w:spacing w:before="10" w:line="264" w:lineRule="exact"/>
        <w:ind w:left="1440" w:right="1440"/>
        <w:jc w:val="both"/>
        <w:textAlignment w:val="baseline"/>
        <w:rPr>
          <w:rFonts w:eastAsiaTheme="minorEastAsia"/>
          <w:color w:val="auto"/>
          <w:szCs w:val="26"/>
          <w:u w:val="single"/>
        </w:rPr>
      </w:pPr>
    </w:p>
    <w:p w14:paraId="07916161" w14:textId="77777777" w:rsidR="009414F3" w:rsidRDefault="009414F3" w:rsidP="00D34253">
      <w:pPr>
        <w:tabs>
          <w:tab w:val="left" w:pos="3600"/>
        </w:tabs>
        <w:kinsoku w:val="0"/>
        <w:overflowPunct w:val="0"/>
        <w:spacing w:before="10" w:line="264" w:lineRule="exact"/>
        <w:ind w:left="1440" w:right="1440"/>
        <w:jc w:val="both"/>
        <w:textAlignment w:val="baseline"/>
        <w:rPr>
          <w:rFonts w:eastAsiaTheme="minorEastAsia"/>
          <w:color w:val="auto"/>
          <w:szCs w:val="26"/>
          <w:u w:val="single"/>
        </w:rPr>
      </w:pPr>
    </w:p>
    <w:p w14:paraId="7EF45493" w14:textId="56A809EB" w:rsidR="00D34253" w:rsidRPr="002B1DC2" w:rsidRDefault="00D34253" w:rsidP="00D34253">
      <w:pPr>
        <w:tabs>
          <w:tab w:val="left" w:pos="3600"/>
        </w:tabs>
        <w:kinsoku w:val="0"/>
        <w:overflowPunct w:val="0"/>
        <w:spacing w:before="10" w:line="264" w:lineRule="exact"/>
        <w:ind w:left="1440" w:right="1440"/>
        <w:jc w:val="both"/>
        <w:textAlignment w:val="baseline"/>
        <w:rPr>
          <w:rFonts w:eastAsiaTheme="minorEastAsia"/>
          <w:color w:val="auto"/>
          <w:szCs w:val="26"/>
          <w:u w:val="single"/>
        </w:rPr>
      </w:pPr>
      <w:r w:rsidRPr="002B1DC2">
        <w:rPr>
          <w:rFonts w:eastAsiaTheme="minorEastAsia"/>
          <w:color w:val="auto"/>
          <w:szCs w:val="26"/>
          <w:u w:val="single"/>
        </w:rPr>
        <w:t>Complainant(s)</w:t>
      </w:r>
      <w:r w:rsidRPr="002B1DC2">
        <w:rPr>
          <w:rFonts w:eastAsiaTheme="minorEastAsia"/>
          <w:color w:val="auto"/>
          <w:szCs w:val="26"/>
          <w:u w:val="single"/>
        </w:rPr>
        <w:tab/>
        <w:t xml:space="preserve">Docket Number </w:t>
      </w:r>
      <w:r w:rsidRPr="002B1DC2">
        <w:rPr>
          <w:rFonts w:eastAsiaTheme="minorEastAsia"/>
          <w:color w:val="auto"/>
          <w:szCs w:val="26"/>
          <w:u w:val="single"/>
        </w:rPr>
        <w:tab/>
        <w:t>Wastewater)</w:t>
      </w:r>
    </w:p>
    <w:tbl>
      <w:tblPr>
        <w:tblStyle w:val="TableGrid"/>
        <w:tblW w:w="0" w:type="auto"/>
        <w:tblInd w:w="1440" w:type="dxa"/>
        <w:tblLook w:val="04A0" w:firstRow="1" w:lastRow="0" w:firstColumn="1" w:lastColumn="0" w:noHBand="0" w:noVBand="1"/>
      </w:tblPr>
      <w:tblGrid>
        <w:gridCol w:w="4230"/>
        <w:gridCol w:w="2340"/>
      </w:tblGrid>
      <w:tr w:rsidR="002B1DC2" w:rsidRPr="002B1DC2" w14:paraId="7E5D5C4A" w14:textId="77777777" w:rsidTr="00030E15">
        <w:tc>
          <w:tcPr>
            <w:tcW w:w="4230" w:type="dxa"/>
          </w:tcPr>
          <w:p w14:paraId="67CCB384" w14:textId="43BB0BC2" w:rsidR="00D34253" w:rsidRPr="002B1DC2" w:rsidRDefault="00D34253" w:rsidP="00030E15">
            <w:pPr>
              <w:spacing w:line="240" w:lineRule="auto"/>
              <w:rPr>
                <w:color w:val="auto"/>
                <w:szCs w:val="26"/>
              </w:rPr>
            </w:pPr>
          </w:p>
        </w:tc>
        <w:tc>
          <w:tcPr>
            <w:tcW w:w="2340" w:type="dxa"/>
          </w:tcPr>
          <w:p w14:paraId="330FC09F" w14:textId="1DC558F4" w:rsidR="00D34253" w:rsidRPr="002B1DC2" w:rsidRDefault="00D34253" w:rsidP="00030E15">
            <w:pPr>
              <w:spacing w:line="240" w:lineRule="auto"/>
              <w:rPr>
                <w:color w:val="auto"/>
                <w:szCs w:val="26"/>
              </w:rPr>
            </w:pPr>
          </w:p>
        </w:tc>
      </w:tr>
      <w:tr w:rsidR="002B1DC2" w:rsidRPr="002B1DC2" w14:paraId="5FB530A3" w14:textId="77777777" w:rsidTr="00030E15">
        <w:tc>
          <w:tcPr>
            <w:tcW w:w="4230" w:type="dxa"/>
          </w:tcPr>
          <w:p w14:paraId="5EAA7C7D" w14:textId="77777777" w:rsidR="00D34253" w:rsidRPr="002B1DC2" w:rsidRDefault="00D34253" w:rsidP="00030E15">
            <w:pPr>
              <w:spacing w:line="240" w:lineRule="auto"/>
              <w:rPr>
                <w:color w:val="auto"/>
                <w:szCs w:val="26"/>
              </w:rPr>
            </w:pPr>
            <w:r w:rsidRPr="002B1DC2">
              <w:rPr>
                <w:noProof/>
                <w:color w:val="auto"/>
                <w:szCs w:val="26"/>
              </w:rPr>
              <w:t>Kerren Ricketts</w:t>
            </w:r>
          </w:p>
        </w:tc>
        <w:tc>
          <w:tcPr>
            <w:tcW w:w="2340" w:type="dxa"/>
          </w:tcPr>
          <w:p w14:paraId="4D76C01E" w14:textId="3DA85D20" w:rsidR="00D34253" w:rsidRPr="002B1DC2" w:rsidRDefault="00D34253" w:rsidP="00030E15">
            <w:pPr>
              <w:spacing w:line="240" w:lineRule="auto"/>
              <w:rPr>
                <w:color w:val="auto"/>
                <w:szCs w:val="26"/>
              </w:rPr>
            </w:pPr>
            <w:r w:rsidRPr="002B1DC2">
              <w:rPr>
                <w:noProof/>
                <w:color w:val="auto"/>
                <w:szCs w:val="26"/>
              </w:rPr>
              <w:t>C-2021-302611</w:t>
            </w:r>
            <w:r w:rsidR="007B7911" w:rsidRPr="002B1DC2">
              <w:rPr>
                <w:noProof/>
                <w:color w:val="auto"/>
                <w:szCs w:val="26"/>
              </w:rPr>
              <w:t>8</w:t>
            </w:r>
          </w:p>
        </w:tc>
      </w:tr>
      <w:tr w:rsidR="002B1DC2" w:rsidRPr="002B1DC2" w14:paraId="0BE94FFA" w14:textId="77777777" w:rsidTr="00030E15">
        <w:tc>
          <w:tcPr>
            <w:tcW w:w="4230" w:type="dxa"/>
          </w:tcPr>
          <w:p w14:paraId="4517D314" w14:textId="77777777" w:rsidR="00D34253" w:rsidRPr="002B1DC2" w:rsidRDefault="00D34253" w:rsidP="00030E15">
            <w:pPr>
              <w:spacing w:line="240" w:lineRule="auto"/>
              <w:rPr>
                <w:color w:val="auto"/>
                <w:szCs w:val="26"/>
              </w:rPr>
            </w:pPr>
            <w:r w:rsidRPr="002B1DC2">
              <w:rPr>
                <w:noProof/>
                <w:color w:val="auto"/>
                <w:szCs w:val="26"/>
              </w:rPr>
              <w:t>John &amp; Jane Hoopingarner</w:t>
            </w:r>
          </w:p>
        </w:tc>
        <w:tc>
          <w:tcPr>
            <w:tcW w:w="2340" w:type="dxa"/>
          </w:tcPr>
          <w:p w14:paraId="3E097564" w14:textId="333B4CF2" w:rsidR="00D34253" w:rsidRPr="002B1DC2" w:rsidRDefault="00D34253" w:rsidP="00030E15">
            <w:pPr>
              <w:spacing w:line="240" w:lineRule="auto"/>
              <w:rPr>
                <w:color w:val="auto"/>
                <w:szCs w:val="26"/>
              </w:rPr>
            </w:pPr>
            <w:r w:rsidRPr="002B1DC2">
              <w:rPr>
                <w:noProof/>
                <w:color w:val="auto"/>
                <w:szCs w:val="26"/>
              </w:rPr>
              <w:t>C-2021-302616</w:t>
            </w:r>
            <w:r w:rsidR="00DB53E5" w:rsidRPr="002B1DC2">
              <w:rPr>
                <w:noProof/>
                <w:color w:val="auto"/>
                <w:szCs w:val="26"/>
              </w:rPr>
              <w:t>1</w:t>
            </w:r>
          </w:p>
        </w:tc>
      </w:tr>
      <w:tr w:rsidR="002B1DC2" w:rsidRPr="002B1DC2" w14:paraId="52014C7D" w14:textId="77777777" w:rsidTr="00030E15">
        <w:tc>
          <w:tcPr>
            <w:tcW w:w="4230" w:type="dxa"/>
          </w:tcPr>
          <w:p w14:paraId="42760261" w14:textId="6BF92B1D" w:rsidR="00D34253" w:rsidRPr="002B1DC2" w:rsidRDefault="00D34253" w:rsidP="00030E15">
            <w:pPr>
              <w:spacing w:line="240" w:lineRule="auto"/>
              <w:rPr>
                <w:color w:val="auto"/>
                <w:szCs w:val="26"/>
              </w:rPr>
            </w:pPr>
            <w:r w:rsidRPr="002B1DC2">
              <w:rPr>
                <w:noProof/>
                <w:color w:val="auto"/>
                <w:szCs w:val="26"/>
              </w:rPr>
              <w:t>R</w:t>
            </w:r>
            <w:r w:rsidR="003C370E" w:rsidRPr="002B1DC2">
              <w:rPr>
                <w:noProof/>
                <w:color w:val="auto"/>
                <w:szCs w:val="26"/>
              </w:rPr>
              <w:t>a</w:t>
            </w:r>
            <w:r w:rsidRPr="002B1DC2">
              <w:rPr>
                <w:noProof/>
                <w:color w:val="auto"/>
                <w:szCs w:val="26"/>
              </w:rPr>
              <w:t>fail Kovalenko</w:t>
            </w:r>
          </w:p>
        </w:tc>
        <w:tc>
          <w:tcPr>
            <w:tcW w:w="2340" w:type="dxa"/>
          </w:tcPr>
          <w:p w14:paraId="444624DF" w14:textId="395FE76A" w:rsidR="00D34253" w:rsidRPr="002B1DC2" w:rsidRDefault="00D34253" w:rsidP="00030E15">
            <w:pPr>
              <w:spacing w:line="240" w:lineRule="auto"/>
              <w:rPr>
                <w:color w:val="auto"/>
                <w:szCs w:val="26"/>
              </w:rPr>
            </w:pPr>
            <w:r w:rsidRPr="002B1DC2">
              <w:rPr>
                <w:noProof/>
                <w:color w:val="auto"/>
                <w:szCs w:val="26"/>
              </w:rPr>
              <w:t>C-2021-30261</w:t>
            </w:r>
            <w:r w:rsidR="003C370E" w:rsidRPr="002B1DC2">
              <w:rPr>
                <w:noProof/>
                <w:color w:val="auto"/>
                <w:szCs w:val="26"/>
              </w:rPr>
              <w:t>90</w:t>
            </w:r>
          </w:p>
        </w:tc>
      </w:tr>
      <w:tr w:rsidR="002B1DC2" w:rsidRPr="002B1DC2" w14:paraId="511C9667" w14:textId="77777777" w:rsidTr="00030E15">
        <w:tc>
          <w:tcPr>
            <w:tcW w:w="4230" w:type="dxa"/>
          </w:tcPr>
          <w:p w14:paraId="16E02A35" w14:textId="77777777" w:rsidR="00D34253" w:rsidRPr="002B1DC2" w:rsidRDefault="00D34253" w:rsidP="00030E15">
            <w:pPr>
              <w:spacing w:line="240" w:lineRule="auto"/>
              <w:rPr>
                <w:color w:val="auto"/>
                <w:szCs w:val="26"/>
              </w:rPr>
            </w:pPr>
            <w:r w:rsidRPr="002B1DC2">
              <w:rPr>
                <w:noProof/>
                <w:color w:val="auto"/>
                <w:szCs w:val="26"/>
              </w:rPr>
              <w:t>Philip Villone</w:t>
            </w:r>
          </w:p>
        </w:tc>
        <w:tc>
          <w:tcPr>
            <w:tcW w:w="2340" w:type="dxa"/>
          </w:tcPr>
          <w:p w14:paraId="30C00214" w14:textId="1A6E2531" w:rsidR="00D34253" w:rsidRPr="002B1DC2" w:rsidRDefault="00D34253" w:rsidP="00030E15">
            <w:pPr>
              <w:spacing w:line="240" w:lineRule="auto"/>
              <w:rPr>
                <w:color w:val="auto"/>
                <w:szCs w:val="26"/>
              </w:rPr>
            </w:pPr>
            <w:r w:rsidRPr="002B1DC2">
              <w:rPr>
                <w:noProof/>
                <w:color w:val="auto"/>
                <w:szCs w:val="26"/>
              </w:rPr>
              <w:t>C-2021-302</w:t>
            </w:r>
            <w:r w:rsidR="00F6033B" w:rsidRPr="002B1DC2">
              <w:rPr>
                <w:noProof/>
                <w:color w:val="auto"/>
                <w:szCs w:val="26"/>
              </w:rPr>
              <w:t>6261</w:t>
            </w:r>
          </w:p>
        </w:tc>
      </w:tr>
      <w:tr w:rsidR="002B1DC2" w:rsidRPr="002B1DC2" w14:paraId="5307FC0C" w14:textId="77777777" w:rsidTr="00030E15">
        <w:tc>
          <w:tcPr>
            <w:tcW w:w="4230" w:type="dxa"/>
          </w:tcPr>
          <w:p w14:paraId="50C2BECA" w14:textId="77777777" w:rsidR="00D34253" w:rsidRPr="002B1DC2" w:rsidRDefault="00D34253" w:rsidP="00030E15">
            <w:pPr>
              <w:spacing w:line="240" w:lineRule="auto"/>
              <w:rPr>
                <w:color w:val="auto"/>
                <w:szCs w:val="26"/>
              </w:rPr>
            </w:pPr>
            <w:r w:rsidRPr="002B1DC2">
              <w:rPr>
                <w:noProof/>
                <w:color w:val="auto"/>
                <w:szCs w:val="26"/>
              </w:rPr>
              <w:t>Bryan Donnelly</w:t>
            </w:r>
          </w:p>
        </w:tc>
        <w:tc>
          <w:tcPr>
            <w:tcW w:w="2340" w:type="dxa"/>
          </w:tcPr>
          <w:p w14:paraId="5A1E2F43" w14:textId="47CC6728" w:rsidR="00D34253" w:rsidRPr="002B1DC2" w:rsidRDefault="00D34253" w:rsidP="00030E15">
            <w:pPr>
              <w:spacing w:line="240" w:lineRule="auto"/>
              <w:rPr>
                <w:color w:val="auto"/>
                <w:szCs w:val="26"/>
              </w:rPr>
            </w:pPr>
            <w:r w:rsidRPr="002B1DC2">
              <w:rPr>
                <w:noProof/>
                <w:color w:val="auto"/>
                <w:szCs w:val="26"/>
              </w:rPr>
              <w:t>C-2021-3026</w:t>
            </w:r>
            <w:r w:rsidR="00795D84" w:rsidRPr="002B1DC2">
              <w:rPr>
                <w:noProof/>
                <w:color w:val="auto"/>
                <w:szCs w:val="26"/>
              </w:rPr>
              <w:t>275</w:t>
            </w:r>
          </w:p>
        </w:tc>
      </w:tr>
      <w:tr w:rsidR="002B1DC2" w:rsidRPr="002B1DC2" w14:paraId="67BB5CD3" w14:textId="77777777" w:rsidTr="00030E15">
        <w:tc>
          <w:tcPr>
            <w:tcW w:w="4230" w:type="dxa"/>
          </w:tcPr>
          <w:p w14:paraId="745D48F9" w14:textId="77777777" w:rsidR="00D34253" w:rsidRPr="002B1DC2" w:rsidRDefault="00D34253" w:rsidP="00030E15">
            <w:pPr>
              <w:spacing w:line="240" w:lineRule="auto"/>
              <w:rPr>
                <w:color w:val="auto"/>
                <w:szCs w:val="26"/>
              </w:rPr>
            </w:pPr>
            <w:r w:rsidRPr="002B1DC2">
              <w:rPr>
                <w:noProof/>
                <w:color w:val="auto"/>
                <w:szCs w:val="26"/>
              </w:rPr>
              <w:t>Vincent &amp; Janine Marino</w:t>
            </w:r>
          </w:p>
        </w:tc>
        <w:tc>
          <w:tcPr>
            <w:tcW w:w="2340" w:type="dxa"/>
          </w:tcPr>
          <w:p w14:paraId="39C578E3" w14:textId="50551015" w:rsidR="00D34253" w:rsidRPr="002B1DC2" w:rsidRDefault="00D34253" w:rsidP="00030E15">
            <w:pPr>
              <w:spacing w:line="240" w:lineRule="auto"/>
              <w:rPr>
                <w:color w:val="auto"/>
                <w:szCs w:val="26"/>
              </w:rPr>
            </w:pPr>
            <w:r w:rsidRPr="002B1DC2">
              <w:rPr>
                <w:noProof/>
                <w:color w:val="auto"/>
                <w:szCs w:val="26"/>
              </w:rPr>
              <w:t>C-2021-30262</w:t>
            </w:r>
            <w:r w:rsidR="00526647" w:rsidRPr="002B1DC2">
              <w:rPr>
                <w:noProof/>
                <w:color w:val="auto"/>
                <w:szCs w:val="26"/>
              </w:rPr>
              <w:t>80</w:t>
            </w:r>
          </w:p>
        </w:tc>
      </w:tr>
      <w:tr w:rsidR="002B1DC2" w:rsidRPr="002B1DC2" w14:paraId="1A32F630" w14:textId="77777777" w:rsidTr="00030E15">
        <w:tc>
          <w:tcPr>
            <w:tcW w:w="4230" w:type="dxa"/>
          </w:tcPr>
          <w:p w14:paraId="19E50BFB" w14:textId="77777777" w:rsidR="00D34253" w:rsidRPr="002B1DC2" w:rsidRDefault="00D34253" w:rsidP="00030E15">
            <w:pPr>
              <w:spacing w:line="240" w:lineRule="auto"/>
              <w:rPr>
                <w:color w:val="auto"/>
                <w:szCs w:val="26"/>
              </w:rPr>
            </w:pPr>
            <w:r w:rsidRPr="002B1DC2">
              <w:rPr>
                <w:noProof/>
                <w:color w:val="auto"/>
                <w:szCs w:val="26"/>
              </w:rPr>
              <w:t>Doritha Palmer</w:t>
            </w:r>
          </w:p>
        </w:tc>
        <w:tc>
          <w:tcPr>
            <w:tcW w:w="2340" w:type="dxa"/>
          </w:tcPr>
          <w:p w14:paraId="0309634B" w14:textId="6D2903D4" w:rsidR="00D34253" w:rsidRPr="002B1DC2" w:rsidRDefault="00D34253" w:rsidP="00030E15">
            <w:pPr>
              <w:spacing w:line="240" w:lineRule="auto"/>
              <w:rPr>
                <w:color w:val="auto"/>
                <w:szCs w:val="26"/>
              </w:rPr>
            </w:pPr>
            <w:r w:rsidRPr="002B1DC2">
              <w:rPr>
                <w:noProof/>
                <w:color w:val="auto"/>
                <w:szCs w:val="26"/>
              </w:rPr>
              <w:t>C-2021-30263</w:t>
            </w:r>
            <w:r w:rsidR="00526647" w:rsidRPr="002B1DC2">
              <w:rPr>
                <w:noProof/>
                <w:color w:val="auto"/>
                <w:szCs w:val="26"/>
              </w:rPr>
              <w:t>19</w:t>
            </w:r>
          </w:p>
        </w:tc>
      </w:tr>
      <w:tr w:rsidR="002B1DC2" w:rsidRPr="002B1DC2" w14:paraId="47AA39A5" w14:textId="77777777" w:rsidTr="00030E15">
        <w:tc>
          <w:tcPr>
            <w:tcW w:w="4230" w:type="dxa"/>
          </w:tcPr>
          <w:p w14:paraId="301B3CEC" w14:textId="26AD0B6C" w:rsidR="00971E21" w:rsidRPr="002B1DC2" w:rsidRDefault="00971E21" w:rsidP="00030E15">
            <w:pPr>
              <w:spacing w:line="240" w:lineRule="auto"/>
              <w:rPr>
                <w:color w:val="auto"/>
                <w:szCs w:val="26"/>
              </w:rPr>
            </w:pPr>
            <w:r w:rsidRPr="002B1DC2">
              <w:rPr>
                <w:color w:val="auto"/>
                <w:szCs w:val="26"/>
              </w:rPr>
              <w:t>Kathleen &amp; Gerald Raphael</w:t>
            </w:r>
          </w:p>
        </w:tc>
        <w:tc>
          <w:tcPr>
            <w:tcW w:w="2340" w:type="dxa"/>
          </w:tcPr>
          <w:p w14:paraId="1FFCFE08" w14:textId="7BD0884D" w:rsidR="00971E21" w:rsidRPr="002B1DC2" w:rsidRDefault="00971E21" w:rsidP="00030E15">
            <w:pPr>
              <w:spacing w:line="240" w:lineRule="auto"/>
              <w:rPr>
                <w:color w:val="auto"/>
                <w:szCs w:val="26"/>
              </w:rPr>
            </w:pPr>
            <w:r w:rsidRPr="002B1DC2">
              <w:rPr>
                <w:color w:val="auto"/>
                <w:szCs w:val="26"/>
              </w:rPr>
              <w:t>C-2021-3026402</w:t>
            </w:r>
          </w:p>
        </w:tc>
      </w:tr>
      <w:tr w:rsidR="002B1DC2" w:rsidRPr="002B1DC2" w14:paraId="23B61D68" w14:textId="77777777" w:rsidTr="00030E15">
        <w:tc>
          <w:tcPr>
            <w:tcW w:w="4230" w:type="dxa"/>
          </w:tcPr>
          <w:p w14:paraId="68724661" w14:textId="77777777" w:rsidR="00D34253" w:rsidRPr="002B1DC2" w:rsidRDefault="00D34253" w:rsidP="00030E15">
            <w:pPr>
              <w:spacing w:line="240" w:lineRule="auto"/>
              <w:rPr>
                <w:color w:val="auto"/>
                <w:szCs w:val="26"/>
              </w:rPr>
            </w:pPr>
            <w:r w:rsidRPr="002B1DC2">
              <w:rPr>
                <w:noProof/>
                <w:color w:val="auto"/>
                <w:szCs w:val="26"/>
              </w:rPr>
              <w:t>Richard &amp; Susan Di Piazza</w:t>
            </w:r>
          </w:p>
        </w:tc>
        <w:tc>
          <w:tcPr>
            <w:tcW w:w="2340" w:type="dxa"/>
          </w:tcPr>
          <w:p w14:paraId="0302F678" w14:textId="1A19076A" w:rsidR="00D34253" w:rsidRPr="002B1DC2" w:rsidRDefault="00D34253" w:rsidP="00030E15">
            <w:pPr>
              <w:spacing w:line="240" w:lineRule="auto"/>
              <w:rPr>
                <w:color w:val="auto"/>
                <w:szCs w:val="26"/>
              </w:rPr>
            </w:pPr>
            <w:r w:rsidRPr="002B1DC2">
              <w:rPr>
                <w:noProof/>
                <w:color w:val="auto"/>
                <w:szCs w:val="26"/>
              </w:rPr>
              <w:t>C-2021-30264</w:t>
            </w:r>
            <w:r w:rsidR="00273E84" w:rsidRPr="002B1DC2">
              <w:rPr>
                <w:noProof/>
                <w:color w:val="auto"/>
                <w:szCs w:val="26"/>
              </w:rPr>
              <w:t>43</w:t>
            </w:r>
          </w:p>
        </w:tc>
      </w:tr>
      <w:tr w:rsidR="002B1DC2" w:rsidRPr="002B1DC2" w14:paraId="33365174" w14:textId="77777777" w:rsidTr="00030E15">
        <w:tc>
          <w:tcPr>
            <w:tcW w:w="4230" w:type="dxa"/>
          </w:tcPr>
          <w:p w14:paraId="1C92E106" w14:textId="77777777" w:rsidR="00D34253" w:rsidRPr="002B1DC2" w:rsidRDefault="00D34253" w:rsidP="00030E15">
            <w:pPr>
              <w:spacing w:line="240" w:lineRule="auto"/>
              <w:rPr>
                <w:color w:val="auto"/>
                <w:szCs w:val="26"/>
              </w:rPr>
            </w:pPr>
            <w:r w:rsidRPr="002B1DC2">
              <w:rPr>
                <w:noProof/>
                <w:color w:val="auto"/>
                <w:szCs w:val="26"/>
              </w:rPr>
              <w:lastRenderedPageBreak/>
              <w:t>Sharon Tunstall</w:t>
            </w:r>
          </w:p>
        </w:tc>
        <w:tc>
          <w:tcPr>
            <w:tcW w:w="2340" w:type="dxa"/>
          </w:tcPr>
          <w:p w14:paraId="49CF5D2D" w14:textId="3D1B3C07" w:rsidR="00D34253" w:rsidRPr="002B1DC2" w:rsidRDefault="00D34253" w:rsidP="00030E15">
            <w:pPr>
              <w:spacing w:line="240" w:lineRule="auto"/>
              <w:rPr>
                <w:color w:val="auto"/>
                <w:szCs w:val="26"/>
              </w:rPr>
            </w:pPr>
            <w:r w:rsidRPr="002B1DC2">
              <w:rPr>
                <w:noProof/>
                <w:color w:val="auto"/>
                <w:szCs w:val="26"/>
              </w:rPr>
              <w:t>C-2021-302643</w:t>
            </w:r>
            <w:r w:rsidR="002816AB" w:rsidRPr="002B1DC2">
              <w:rPr>
                <w:noProof/>
                <w:color w:val="auto"/>
                <w:szCs w:val="26"/>
              </w:rPr>
              <w:t>2</w:t>
            </w:r>
          </w:p>
        </w:tc>
      </w:tr>
      <w:tr w:rsidR="002B1DC2" w:rsidRPr="002B1DC2" w14:paraId="7820D6F4" w14:textId="77777777" w:rsidTr="00030E15">
        <w:tc>
          <w:tcPr>
            <w:tcW w:w="4230" w:type="dxa"/>
          </w:tcPr>
          <w:p w14:paraId="45DF9B45" w14:textId="77777777" w:rsidR="00D34253" w:rsidRPr="002B1DC2" w:rsidRDefault="00D34253" w:rsidP="00030E15">
            <w:pPr>
              <w:spacing w:line="240" w:lineRule="auto"/>
              <w:rPr>
                <w:color w:val="auto"/>
                <w:szCs w:val="26"/>
              </w:rPr>
            </w:pPr>
            <w:r w:rsidRPr="002B1DC2">
              <w:rPr>
                <w:noProof/>
                <w:color w:val="auto"/>
                <w:szCs w:val="26"/>
              </w:rPr>
              <w:t>Colville Oswald Browne</w:t>
            </w:r>
          </w:p>
        </w:tc>
        <w:tc>
          <w:tcPr>
            <w:tcW w:w="2340" w:type="dxa"/>
          </w:tcPr>
          <w:p w14:paraId="2E546E86" w14:textId="6E42C040" w:rsidR="00D34253" w:rsidRPr="002B1DC2" w:rsidRDefault="00D34253" w:rsidP="00030E15">
            <w:pPr>
              <w:spacing w:line="240" w:lineRule="auto"/>
              <w:rPr>
                <w:color w:val="auto"/>
                <w:szCs w:val="26"/>
              </w:rPr>
            </w:pPr>
            <w:r w:rsidRPr="002B1DC2">
              <w:rPr>
                <w:noProof/>
                <w:color w:val="auto"/>
                <w:szCs w:val="26"/>
              </w:rPr>
              <w:t>C-2021-302643</w:t>
            </w:r>
            <w:r w:rsidR="00E546B1" w:rsidRPr="002B1DC2">
              <w:rPr>
                <w:noProof/>
                <w:color w:val="auto"/>
                <w:szCs w:val="26"/>
              </w:rPr>
              <w:t>4</w:t>
            </w:r>
          </w:p>
        </w:tc>
      </w:tr>
      <w:tr w:rsidR="002B1DC2" w:rsidRPr="002B1DC2" w14:paraId="2206C55F" w14:textId="77777777" w:rsidTr="00030E15">
        <w:tc>
          <w:tcPr>
            <w:tcW w:w="4230" w:type="dxa"/>
          </w:tcPr>
          <w:p w14:paraId="1EE34B66" w14:textId="77777777" w:rsidR="00D34253" w:rsidRPr="002B1DC2" w:rsidRDefault="00D34253" w:rsidP="00030E15">
            <w:pPr>
              <w:spacing w:line="240" w:lineRule="auto"/>
              <w:rPr>
                <w:color w:val="auto"/>
                <w:szCs w:val="26"/>
              </w:rPr>
            </w:pPr>
            <w:r w:rsidRPr="002B1DC2">
              <w:rPr>
                <w:noProof/>
                <w:color w:val="auto"/>
                <w:szCs w:val="26"/>
              </w:rPr>
              <w:t>Ronald &amp; Janice Fraioli</w:t>
            </w:r>
          </w:p>
        </w:tc>
        <w:tc>
          <w:tcPr>
            <w:tcW w:w="2340" w:type="dxa"/>
          </w:tcPr>
          <w:p w14:paraId="10D04C2B" w14:textId="542F7A96" w:rsidR="00D34253" w:rsidRPr="002B1DC2" w:rsidRDefault="00D34253" w:rsidP="00030E15">
            <w:pPr>
              <w:spacing w:line="240" w:lineRule="auto"/>
              <w:rPr>
                <w:color w:val="auto"/>
                <w:szCs w:val="26"/>
              </w:rPr>
            </w:pPr>
            <w:r w:rsidRPr="002B1DC2">
              <w:rPr>
                <w:noProof/>
                <w:color w:val="auto"/>
                <w:szCs w:val="26"/>
              </w:rPr>
              <w:t>C-2021-30264</w:t>
            </w:r>
            <w:r w:rsidR="001B2958" w:rsidRPr="002B1DC2">
              <w:rPr>
                <w:noProof/>
                <w:color w:val="auto"/>
                <w:szCs w:val="26"/>
              </w:rPr>
              <w:t>29</w:t>
            </w:r>
          </w:p>
        </w:tc>
      </w:tr>
      <w:tr w:rsidR="002B1DC2" w:rsidRPr="002B1DC2" w14:paraId="27949CE6" w14:textId="77777777" w:rsidTr="00030E15">
        <w:tc>
          <w:tcPr>
            <w:tcW w:w="4230" w:type="dxa"/>
          </w:tcPr>
          <w:p w14:paraId="20FEB6E2" w14:textId="77777777" w:rsidR="00D34253" w:rsidRPr="002B1DC2" w:rsidRDefault="00D34253" w:rsidP="00030E15">
            <w:pPr>
              <w:spacing w:line="240" w:lineRule="auto"/>
              <w:rPr>
                <w:color w:val="auto"/>
                <w:szCs w:val="26"/>
              </w:rPr>
            </w:pPr>
            <w:r w:rsidRPr="002B1DC2">
              <w:rPr>
                <w:noProof/>
                <w:color w:val="auto"/>
                <w:szCs w:val="26"/>
              </w:rPr>
              <w:t>Mona Annicaro</w:t>
            </w:r>
          </w:p>
        </w:tc>
        <w:tc>
          <w:tcPr>
            <w:tcW w:w="2340" w:type="dxa"/>
          </w:tcPr>
          <w:p w14:paraId="66BACE98" w14:textId="019BF7D9" w:rsidR="00D34253" w:rsidRPr="002B1DC2" w:rsidRDefault="00D34253" w:rsidP="00030E15">
            <w:pPr>
              <w:spacing w:line="240" w:lineRule="auto"/>
              <w:rPr>
                <w:color w:val="auto"/>
                <w:szCs w:val="26"/>
              </w:rPr>
            </w:pPr>
            <w:r w:rsidRPr="002B1DC2">
              <w:rPr>
                <w:noProof/>
                <w:color w:val="auto"/>
                <w:szCs w:val="26"/>
              </w:rPr>
              <w:t>C-2021-302644</w:t>
            </w:r>
            <w:r w:rsidR="000F768E" w:rsidRPr="002B1DC2">
              <w:rPr>
                <w:noProof/>
                <w:color w:val="auto"/>
                <w:szCs w:val="26"/>
              </w:rPr>
              <w:t>2</w:t>
            </w:r>
          </w:p>
        </w:tc>
      </w:tr>
      <w:tr w:rsidR="002B1DC2" w:rsidRPr="002B1DC2" w14:paraId="6FFE7D4A" w14:textId="77777777" w:rsidTr="00030E15">
        <w:tc>
          <w:tcPr>
            <w:tcW w:w="4230" w:type="dxa"/>
          </w:tcPr>
          <w:p w14:paraId="0B53EAD1" w14:textId="77777777" w:rsidR="00D34253" w:rsidRPr="002B1DC2" w:rsidRDefault="00D34253" w:rsidP="00030E15">
            <w:pPr>
              <w:spacing w:line="240" w:lineRule="auto"/>
              <w:rPr>
                <w:color w:val="auto"/>
                <w:szCs w:val="26"/>
              </w:rPr>
            </w:pPr>
            <w:r w:rsidRPr="002B1DC2">
              <w:rPr>
                <w:noProof/>
                <w:color w:val="auto"/>
                <w:szCs w:val="26"/>
              </w:rPr>
              <w:t>Severo Barza</w:t>
            </w:r>
          </w:p>
        </w:tc>
        <w:tc>
          <w:tcPr>
            <w:tcW w:w="2340" w:type="dxa"/>
          </w:tcPr>
          <w:p w14:paraId="2D63FD70" w14:textId="4C22194F" w:rsidR="00D34253" w:rsidRPr="002B1DC2" w:rsidRDefault="00D34253" w:rsidP="00030E15">
            <w:pPr>
              <w:spacing w:line="240" w:lineRule="auto"/>
              <w:rPr>
                <w:color w:val="auto"/>
                <w:szCs w:val="26"/>
              </w:rPr>
            </w:pPr>
            <w:r w:rsidRPr="002B1DC2">
              <w:rPr>
                <w:noProof/>
                <w:color w:val="auto"/>
                <w:szCs w:val="26"/>
              </w:rPr>
              <w:t>C-2021-302644</w:t>
            </w:r>
            <w:r w:rsidR="00201FC6" w:rsidRPr="002B1DC2">
              <w:rPr>
                <w:noProof/>
                <w:color w:val="auto"/>
                <w:szCs w:val="26"/>
              </w:rPr>
              <w:t>5</w:t>
            </w:r>
          </w:p>
        </w:tc>
      </w:tr>
      <w:tr w:rsidR="002B1DC2" w:rsidRPr="002B1DC2" w14:paraId="44C8E6B6" w14:textId="77777777" w:rsidTr="00030E15">
        <w:tc>
          <w:tcPr>
            <w:tcW w:w="4230" w:type="dxa"/>
          </w:tcPr>
          <w:p w14:paraId="1119644A" w14:textId="77777777" w:rsidR="00D34253" w:rsidRPr="002B1DC2" w:rsidRDefault="00D34253" w:rsidP="00030E15">
            <w:pPr>
              <w:spacing w:line="240" w:lineRule="auto"/>
              <w:rPr>
                <w:color w:val="auto"/>
                <w:szCs w:val="26"/>
              </w:rPr>
            </w:pPr>
            <w:r w:rsidRPr="002B1DC2">
              <w:rPr>
                <w:noProof/>
                <w:color w:val="auto"/>
                <w:szCs w:val="26"/>
              </w:rPr>
              <w:t>Barbara Ann Mirkovic</w:t>
            </w:r>
          </w:p>
        </w:tc>
        <w:tc>
          <w:tcPr>
            <w:tcW w:w="2340" w:type="dxa"/>
          </w:tcPr>
          <w:p w14:paraId="16292DA6" w14:textId="08E6096D" w:rsidR="00D34253" w:rsidRPr="002B1DC2" w:rsidRDefault="00D34253" w:rsidP="00030E15">
            <w:pPr>
              <w:spacing w:line="240" w:lineRule="auto"/>
              <w:rPr>
                <w:color w:val="auto"/>
                <w:szCs w:val="26"/>
              </w:rPr>
            </w:pPr>
            <w:r w:rsidRPr="002B1DC2">
              <w:rPr>
                <w:noProof/>
                <w:color w:val="auto"/>
                <w:szCs w:val="26"/>
              </w:rPr>
              <w:t>C-2021-30264</w:t>
            </w:r>
            <w:r w:rsidR="007A717E" w:rsidRPr="002B1DC2">
              <w:rPr>
                <w:noProof/>
                <w:color w:val="auto"/>
                <w:szCs w:val="26"/>
              </w:rPr>
              <w:t>50</w:t>
            </w:r>
          </w:p>
        </w:tc>
      </w:tr>
      <w:tr w:rsidR="002B1DC2" w:rsidRPr="002B1DC2" w14:paraId="24C8BB16" w14:textId="77777777" w:rsidTr="00030E15">
        <w:tc>
          <w:tcPr>
            <w:tcW w:w="4230" w:type="dxa"/>
          </w:tcPr>
          <w:p w14:paraId="6A47B0CD" w14:textId="77777777" w:rsidR="00D34253" w:rsidRPr="002B1DC2" w:rsidRDefault="00D34253" w:rsidP="00030E15">
            <w:pPr>
              <w:spacing w:line="240" w:lineRule="auto"/>
              <w:rPr>
                <w:color w:val="auto"/>
                <w:szCs w:val="26"/>
              </w:rPr>
            </w:pPr>
            <w:r w:rsidRPr="002B1DC2">
              <w:rPr>
                <w:noProof/>
                <w:color w:val="auto"/>
                <w:szCs w:val="26"/>
              </w:rPr>
              <w:t>Gustavo Espinal</w:t>
            </w:r>
          </w:p>
        </w:tc>
        <w:tc>
          <w:tcPr>
            <w:tcW w:w="2340" w:type="dxa"/>
          </w:tcPr>
          <w:p w14:paraId="5B569CC3" w14:textId="51EBF519" w:rsidR="00D34253" w:rsidRPr="002B1DC2" w:rsidRDefault="00D34253" w:rsidP="00030E15">
            <w:pPr>
              <w:spacing w:line="240" w:lineRule="auto"/>
              <w:rPr>
                <w:color w:val="auto"/>
                <w:szCs w:val="26"/>
              </w:rPr>
            </w:pPr>
            <w:r w:rsidRPr="002B1DC2">
              <w:rPr>
                <w:noProof/>
                <w:color w:val="auto"/>
                <w:szCs w:val="26"/>
              </w:rPr>
              <w:t>C-2021-302645</w:t>
            </w:r>
            <w:r w:rsidR="00FC5135" w:rsidRPr="002B1DC2">
              <w:rPr>
                <w:noProof/>
                <w:color w:val="auto"/>
                <w:szCs w:val="26"/>
              </w:rPr>
              <w:t>3</w:t>
            </w:r>
          </w:p>
        </w:tc>
      </w:tr>
      <w:tr w:rsidR="002B1DC2" w:rsidRPr="002B1DC2" w14:paraId="162BDB45" w14:textId="77777777" w:rsidTr="00030E15">
        <w:tc>
          <w:tcPr>
            <w:tcW w:w="4230" w:type="dxa"/>
          </w:tcPr>
          <w:p w14:paraId="43BDF117" w14:textId="77777777" w:rsidR="00D34253" w:rsidRPr="002B1DC2" w:rsidRDefault="00D34253" w:rsidP="00030E15">
            <w:pPr>
              <w:spacing w:line="240" w:lineRule="auto"/>
              <w:rPr>
                <w:color w:val="auto"/>
                <w:szCs w:val="26"/>
              </w:rPr>
            </w:pPr>
            <w:r w:rsidRPr="002B1DC2">
              <w:rPr>
                <w:noProof/>
                <w:color w:val="auto"/>
                <w:szCs w:val="26"/>
              </w:rPr>
              <w:t>David Fuchs</w:t>
            </w:r>
          </w:p>
        </w:tc>
        <w:tc>
          <w:tcPr>
            <w:tcW w:w="2340" w:type="dxa"/>
          </w:tcPr>
          <w:p w14:paraId="68D6DEBD" w14:textId="270DE632" w:rsidR="00D34253" w:rsidRPr="002B1DC2" w:rsidRDefault="00D34253" w:rsidP="00030E15">
            <w:pPr>
              <w:spacing w:line="240" w:lineRule="auto"/>
              <w:rPr>
                <w:color w:val="auto"/>
                <w:szCs w:val="26"/>
              </w:rPr>
            </w:pPr>
            <w:r w:rsidRPr="002B1DC2">
              <w:rPr>
                <w:noProof/>
                <w:color w:val="auto"/>
                <w:szCs w:val="26"/>
              </w:rPr>
              <w:t>C-2021-302645</w:t>
            </w:r>
            <w:r w:rsidR="00A41F8D" w:rsidRPr="002B1DC2">
              <w:rPr>
                <w:noProof/>
                <w:color w:val="auto"/>
                <w:szCs w:val="26"/>
              </w:rPr>
              <w:t>5</w:t>
            </w:r>
          </w:p>
        </w:tc>
      </w:tr>
      <w:tr w:rsidR="002B1DC2" w:rsidRPr="002B1DC2" w14:paraId="02DCFFD4" w14:textId="77777777" w:rsidTr="00030E15">
        <w:tc>
          <w:tcPr>
            <w:tcW w:w="4230" w:type="dxa"/>
          </w:tcPr>
          <w:p w14:paraId="2B879B0B" w14:textId="77777777" w:rsidR="00D34253" w:rsidRPr="002B1DC2" w:rsidRDefault="00D34253" w:rsidP="00030E15">
            <w:pPr>
              <w:spacing w:line="240" w:lineRule="auto"/>
              <w:rPr>
                <w:color w:val="auto"/>
                <w:szCs w:val="26"/>
              </w:rPr>
            </w:pPr>
            <w:r w:rsidRPr="002B1DC2">
              <w:rPr>
                <w:noProof/>
                <w:color w:val="auto"/>
                <w:szCs w:val="26"/>
              </w:rPr>
              <w:t>Rose Cocklin</w:t>
            </w:r>
          </w:p>
        </w:tc>
        <w:tc>
          <w:tcPr>
            <w:tcW w:w="2340" w:type="dxa"/>
          </w:tcPr>
          <w:p w14:paraId="0C53B896" w14:textId="56D5DEBA" w:rsidR="00D34253" w:rsidRPr="002B1DC2" w:rsidRDefault="00D34253" w:rsidP="00030E15">
            <w:pPr>
              <w:spacing w:line="240" w:lineRule="auto"/>
              <w:rPr>
                <w:color w:val="auto"/>
                <w:szCs w:val="26"/>
              </w:rPr>
            </w:pPr>
            <w:r w:rsidRPr="002B1DC2">
              <w:rPr>
                <w:noProof/>
                <w:color w:val="auto"/>
                <w:szCs w:val="26"/>
              </w:rPr>
              <w:t>C-2021-302645</w:t>
            </w:r>
            <w:r w:rsidR="00A64E7E" w:rsidRPr="002B1DC2">
              <w:rPr>
                <w:noProof/>
                <w:color w:val="auto"/>
                <w:szCs w:val="26"/>
              </w:rPr>
              <w:t>7</w:t>
            </w:r>
          </w:p>
        </w:tc>
      </w:tr>
      <w:tr w:rsidR="002B1DC2" w:rsidRPr="002B1DC2" w14:paraId="0E1E7FD3" w14:textId="77777777" w:rsidTr="00030E15">
        <w:tc>
          <w:tcPr>
            <w:tcW w:w="4230" w:type="dxa"/>
          </w:tcPr>
          <w:p w14:paraId="734F175E" w14:textId="77777777" w:rsidR="00D34253" w:rsidRPr="002B1DC2" w:rsidRDefault="00D34253" w:rsidP="00030E15">
            <w:pPr>
              <w:spacing w:line="240" w:lineRule="auto"/>
              <w:rPr>
                <w:color w:val="auto"/>
                <w:szCs w:val="26"/>
              </w:rPr>
            </w:pPr>
            <w:r w:rsidRPr="002B1DC2">
              <w:rPr>
                <w:noProof/>
                <w:color w:val="auto"/>
                <w:szCs w:val="26"/>
              </w:rPr>
              <w:t>Dominick &amp; Cindy Toscano</w:t>
            </w:r>
          </w:p>
        </w:tc>
        <w:tc>
          <w:tcPr>
            <w:tcW w:w="2340" w:type="dxa"/>
          </w:tcPr>
          <w:p w14:paraId="3C406990" w14:textId="2A1E6008" w:rsidR="00D34253" w:rsidRPr="002B1DC2" w:rsidRDefault="00D34253" w:rsidP="00030E15">
            <w:pPr>
              <w:spacing w:line="240" w:lineRule="auto"/>
              <w:rPr>
                <w:color w:val="auto"/>
                <w:szCs w:val="26"/>
              </w:rPr>
            </w:pPr>
            <w:r w:rsidRPr="002B1DC2">
              <w:rPr>
                <w:noProof/>
                <w:color w:val="auto"/>
                <w:szCs w:val="26"/>
              </w:rPr>
              <w:t>C-2021-30264</w:t>
            </w:r>
            <w:r w:rsidR="00FF3F19" w:rsidRPr="002B1DC2">
              <w:rPr>
                <w:noProof/>
                <w:color w:val="auto"/>
                <w:szCs w:val="26"/>
              </w:rPr>
              <w:t>60</w:t>
            </w:r>
          </w:p>
        </w:tc>
      </w:tr>
      <w:tr w:rsidR="002B1DC2" w:rsidRPr="002B1DC2" w14:paraId="49F8BF0C" w14:textId="77777777" w:rsidTr="00030E15">
        <w:tc>
          <w:tcPr>
            <w:tcW w:w="4230" w:type="dxa"/>
          </w:tcPr>
          <w:p w14:paraId="431A7235" w14:textId="77777777" w:rsidR="00D34253" w:rsidRPr="002B1DC2" w:rsidRDefault="00D34253" w:rsidP="00030E15">
            <w:pPr>
              <w:spacing w:line="240" w:lineRule="auto"/>
              <w:rPr>
                <w:color w:val="auto"/>
                <w:szCs w:val="26"/>
              </w:rPr>
            </w:pPr>
            <w:r w:rsidRPr="002B1DC2">
              <w:rPr>
                <w:noProof/>
                <w:color w:val="auto"/>
                <w:szCs w:val="26"/>
              </w:rPr>
              <w:t>Douglas Beckworth</w:t>
            </w:r>
          </w:p>
        </w:tc>
        <w:tc>
          <w:tcPr>
            <w:tcW w:w="2340" w:type="dxa"/>
          </w:tcPr>
          <w:p w14:paraId="689C29B4" w14:textId="75C885AD" w:rsidR="00D34253" w:rsidRPr="002B1DC2" w:rsidRDefault="00D34253" w:rsidP="00030E15">
            <w:pPr>
              <w:spacing w:line="240" w:lineRule="auto"/>
              <w:rPr>
                <w:color w:val="auto"/>
                <w:szCs w:val="26"/>
              </w:rPr>
            </w:pPr>
            <w:r w:rsidRPr="002B1DC2">
              <w:rPr>
                <w:noProof/>
                <w:color w:val="auto"/>
                <w:szCs w:val="26"/>
              </w:rPr>
              <w:t>C-2021-302646</w:t>
            </w:r>
            <w:r w:rsidR="000C3A28" w:rsidRPr="002B1DC2">
              <w:rPr>
                <w:noProof/>
                <w:color w:val="auto"/>
                <w:szCs w:val="26"/>
              </w:rPr>
              <w:t>4</w:t>
            </w:r>
          </w:p>
        </w:tc>
      </w:tr>
      <w:tr w:rsidR="002B1DC2" w:rsidRPr="002B1DC2" w14:paraId="60B86F34" w14:textId="77777777" w:rsidTr="00030E15">
        <w:tc>
          <w:tcPr>
            <w:tcW w:w="4230" w:type="dxa"/>
          </w:tcPr>
          <w:p w14:paraId="66C61556" w14:textId="77777777" w:rsidR="00D34253" w:rsidRPr="002B1DC2" w:rsidRDefault="00D34253" w:rsidP="00030E15">
            <w:pPr>
              <w:spacing w:line="240" w:lineRule="auto"/>
              <w:rPr>
                <w:color w:val="auto"/>
                <w:szCs w:val="26"/>
              </w:rPr>
            </w:pPr>
            <w:r w:rsidRPr="002B1DC2">
              <w:rPr>
                <w:noProof/>
                <w:color w:val="auto"/>
                <w:szCs w:val="26"/>
              </w:rPr>
              <w:t>Marcus &amp; Bernalyn Clarke</w:t>
            </w:r>
          </w:p>
        </w:tc>
        <w:tc>
          <w:tcPr>
            <w:tcW w:w="2340" w:type="dxa"/>
          </w:tcPr>
          <w:p w14:paraId="582D663F" w14:textId="6847B5C6" w:rsidR="00D34253" w:rsidRPr="002B1DC2" w:rsidRDefault="00D34253" w:rsidP="00030E15">
            <w:pPr>
              <w:spacing w:line="240" w:lineRule="auto"/>
              <w:rPr>
                <w:color w:val="auto"/>
                <w:szCs w:val="26"/>
              </w:rPr>
            </w:pPr>
            <w:r w:rsidRPr="002B1DC2">
              <w:rPr>
                <w:noProof/>
                <w:color w:val="auto"/>
                <w:szCs w:val="26"/>
              </w:rPr>
              <w:t>C-2021-302646</w:t>
            </w:r>
            <w:r w:rsidR="00345C7C" w:rsidRPr="002B1DC2">
              <w:rPr>
                <w:noProof/>
                <w:color w:val="auto"/>
                <w:szCs w:val="26"/>
              </w:rPr>
              <w:t>6</w:t>
            </w:r>
          </w:p>
        </w:tc>
      </w:tr>
      <w:tr w:rsidR="002B1DC2" w:rsidRPr="002B1DC2" w14:paraId="75D4440F" w14:textId="77777777" w:rsidTr="00030E15">
        <w:tc>
          <w:tcPr>
            <w:tcW w:w="4230" w:type="dxa"/>
          </w:tcPr>
          <w:p w14:paraId="1E8F0272" w14:textId="77777777" w:rsidR="00D34253" w:rsidRPr="002B1DC2" w:rsidRDefault="00D34253" w:rsidP="00030E15">
            <w:pPr>
              <w:spacing w:line="240" w:lineRule="auto"/>
              <w:rPr>
                <w:color w:val="auto"/>
                <w:szCs w:val="26"/>
              </w:rPr>
            </w:pPr>
            <w:r w:rsidRPr="002B1DC2">
              <w:rPr>
                <w:noProof/>
                <w:color w:val="auto"/>
                <w:szCs w:val="26"/>
              </w:rPr>
              <w:t>Katherine Cassidy</w:t>
            </w:r>
          </w:p>
        </w:tc>
        <w:tc>
          <w:tcPr>
            <w:tcW w:w="2340" w:type="dxa"/>
          </w:tcPr>
          <w:p w14:paraId="6F5DA01C" w14:textId="25830A2A" w:rsidR="00D34253" w:rsidRPr="002B1DC2" w:rsidRDefault="00D34253" w:rsidP="00030E15">
            <w:pPr>
              <w:spacing w:line="240" w:lineRule="auto"/>
              <w:rPr>
                <w:color w:val="auto"/>
                <w:szCs w:val="26"/>
              </w:rPr>
            </w:pPr>
            <w:r w:rsidRPr="002B1DC2">
              <w:rPr>
                <w:noProof/>
                <w:color w:val="auto"/>
                <w:szCs w:val="26"/>
              </w:rPr>
              <w:t>C-2021-302646</w:t>
            </w:r>
            <w:r w:rsidR="001300E1" w:rsidRPr="002B1DC2">
              <w:rPr>
                <w:noProof/>
                <w:color w:val="auto"/>
                <w:szCs w:val="26"/>
              </w:rPr>
              <w:t>9</w:t>
            </w:r>
          </w:p>
        </w:tc>
      </w:tr>
      <w:tr w:rsidR="002B1DC2" w:rsidRPr="002B1DC2" w14:paraId="72E0E0B1" w14:textId="77777777" w:rsidTr="00030E15">
        <w:tc>
          <w:tcPr>
            <w:tcW w:w="4230" w:type="dxa"/>
          </w:tcPr>
          <w:p w14:paraId="6B43F73F" w14:textId="77777777" w:rsidR="00D34253" w:rsidRPr="002B1DC2" w:rsidRDefault="00D34253" w:rsidP="00030E15">
            <w:pPr>
              <w:spacing w:line="240" w:lineRule="auto"/>
              <w:rPr>
                <w:color w:val="auto"/>
                <w:szCs w:val="26"/>
              </w:rPr>
            </w:pPr>
            <w:r w:rsidRPr="002B1DC2">
              <w:rPr>
                <w:noProof/>
                <w:color w:val="auto"/>
                <w:szCs w:val="26"/>
              </w:rPr>
              <w:t>David Touma</w:t>
            </w:r>
          </w:p>
        </w:tc>
        <w:tc>
          <w:tcPr>
            <w:tcW w:w="2340" w:type="dxa"/>
          </w:tcPr>
          <w:p w14:paraId="29711935" w14:textId="2319192F" w:rsidR="00D34253" w:rsidRPr="002B1DC2" w:rsidRDefault="00D34253" w:rsidP="00030E15">
            <w:pPr>
              <w:spacing w:line="240" w:lineRule="auto"/>
              <w:rPr>
                <w:color w:val="auto"/>
                <w:szCs w:val="26"/>
              </w:rPr>
            </w:pPr>
            <w:r w:rsidRPr="002B1DC2">
              <w:rPr>
                <w:noProof/>
                <w:color w:val="auto"/>
                <w:szCs w:val="26"/>
              </w:rPr>
              <w:t>C-2021-302647</w:t>
            </w:r>
            <w:r w:rsidR="00BE360B" w:rsidRPr="002B1DC2">
              <w:rPr>
                <w:noProof/>
                <w:color w:val="auto"/>
                <w:szCs w:val="26"/>
              </w:rPr>
              <w:t>6</w:t>
            </w:r>
          </w:p>
        </w:tc>
      </w:tr>
      <w:tr w:rsidR="002B1DC2" w:rsidRPr="002B1DC2" w14:paraId="31D49D6F" w14:textId="77777777" w:rsidTr="00030E15">
        <w:tc>
          <w:tcPr>
            <w:tcW w:w="4230" w:type="dxa"/>
          </w:tcPr>
          <w:p w14:paraId="3818C95B" w14:textId="77777777" w:rsidR="00D34253" w:rsidRPr="002B1DC2" w:rsidRDefault="00D34253" w:rsidP="00030E15">
            <w:pPr>
              <w:spacing w:line="240" w:lineRule="auto"/>
              <w:rPr>
                <w:color w:val="auto"/>
                <w:szCs w:val="26"/>
              </w:rPr>
            </w:pPr>
            <w:r w:rsidRPr="002B1DC2">
              <w:rPr>
                <w:noProof/>
                <w:color w:val="auto"/>
                <w:szCs w:val="26"/>
              </w:rPr>
              <w:t>William &amp; Dahlia Merritt</w:t>
            </w:r>
          </w:p>
        </w:tc>
        <w:tc>
          <w:tcPr>
            <w:tcW w:w="2340" w:type="dxa"/>
          </w:tcPr>
          <w:p w14:paraId="29F186FF" w14:textId="758AB485" w:rsidR="00D34253" w:rsidRPr="002B1DC2" w:rsidRDefault="00D34253" w:rsidP="00030E15">
            <w:pPr>
              <w:spacing w:line="240" w:lineRule="auto"/>
              <w:rPr>
                <w:color w:val="auto"/>
                <w:szCs w:val="26"/>
              </w:rPr>
            </w:pPr>
            <w:r w:rsidRPr="002B1DC2">
              <w:rPr>
                <w:noProof/>
                <w:color w:val="auto"/>
                <w:szCs w:val="26"/>
              </w:rPr>
              <w:t>C-2021-302654</w:t>
            </w:r>
            <w:r w:rsidR="000A5D64" w:rsidRPr="002B1DC2">
              <w:rPr>
                <w:noProof/>
                <w:color w:val="auto"/>
                <w:szCs w:val="26"/>
              </w:rPr>
              <w:t>7</w:t>
            </w:r>
          </w:p>
        </w:tc>
      </w:tr>
      <w:tr w:rsidR="002B1DC2" w:rsidRPr="002B1DC2" w14:paraId="0C3C1A91" w14:textId="77777777" w:rsidTr="00030E15">
        <w:tc>
          <w:tcPr>
            <w:tcW w:w="4230" w:type="dxa"/>
          </w:tcPr>
          <w:p w14:paraId="44A87906" w14:textId="77777777" w:rsidR="00D34253" w:rsidRPr="002B1DC2" w:rsidRDefault="00D34253" w:rsidP="00030E15">
            <w:pPr>
              <w:spacing w:line="240" w:lineRule="auto"/>
              <w:rPr>
                <w:color w:val="auto"/>
                <w:szCs w:val="26"/>
              </w:rPr>
            </w:pPr>
            <w:r w:rsidRPr="002B1DC2">
              <w:rPr>
                <w:noProof/>
                <w:color w:val="auto"/>
                <w:szCs w:val="26"/>
              </w:rPr>
              <w:t>Ronald Pocoro</w:t>
            </w:r>
          </w:p>
        </w:tc>
        <w:tc>
          <w:tcPr>
            <w:tcW w:w="2340" w:type="dxa"/>
          </w:tcPr>
          <w:p w14:paraId="0E37C2E2" w14:textId="2ED8CD36" w:rsidR="00D34253" w:rsidRPr="002B1DC2" w:rsidRDefault="00D34253" w:rsidP="00030E15">
            <w:pPr>
              <w:spacing w:line="240" w:lineRule="auto"/>
              <w:rPr>
                <w:color w:val="auto"/>
                <w:szCs w:val="26"/>
              </w:rPr>
            </w:pPr>
            <w:r w:rsidRPr="002B1DC2">
              <w:rPr>
                <w:noProof/>
                <w:color w:val="auto"/>
                <w:szCs w:val="26"/>
              </w:rPr>
              <w:t>C-2021-30265</w:t>
            </w:r>
            <w:r w:rsidR="00BD05E0" w:rsidRPr="002B1DC2">
              <w:rPr>
                <w:noProof/>
                <w:color w:val="auto"/>
                <w:szCs w:val="26"/>
              </w:rPr>
              <w:t>59</w:t>
            </w:r>
          </w:p>
        </w:tc>
      </w:tr>
      <w:tr w:rsidR="002B1DC2" w:rsidRPr="002B1DC2" w14:paraId="0AFFBE1F" w14:textId="77777777" w:rsidTr="00030E15">
        <w:tc>
          <w:tcPr>
            <w:tcW w:w="4230" w:type="dxa"/>
          </w:tcPr>
          <w:p w14:paraId="78D3E492" w14:textId="18925D97" w:rsidR="00D34253" w:rsidRPr="002B1DC2" w:rsidRDefault="00D34253" w:rsidP="00030E15">
            <w:pPr>
              <w:spacing w:line="240" w:lineRule="auto"/>
              <w:rPr>
                <w:color w:val="auto"/>
                <w:szCs w:val="26"/>
              </w:rPr>
            </w:pPr>
            <w:r w:rsidRPr="002B1DC2">
              <w:rPr>
                <w:noProof/>
                <w:color w:val="auto"/>
                <w:szCs w:val="26"/>
              </w:rPr>
              <w:t>Christina Boers</w:t>
            </w:r>
          </w:p>
        </w:tc>
        <w:tc>
          <w:tcPr>
            <w:tcW w:w="2340" w:type="dxa"/>
          </w:tcPr>
          <w:p w14:paraId="73F4A235" w14:textId="75F1C9E5" w:rsidR="00D34253" w:rsidRPr="002B1DC2" w:rsidRDefault="00D34253" w:rsidP="00030E15">
            <w:pPr>
              <w:spacing w:line="240" w:lineRule="auto"/>
              <w:rPr>
                <w:color w:val="auto"/>
                <w:szCs w:val="26"/>
              </w:rPr>
            </w:pPr>
            <w:r w:rsidRPr="002B1DC2">
              <w:rPr>
                <w:noProof/>
                <w:color w:val="auto"/>
                <w:szCs w:val="26"/>
              </w:rPr>
              <w:t>C-2021-302657</w:t>
            </w:r>
            <w:r w:rsidR="00873A7E" w:rsidRPr="002B1DC2">
              <w:rPr>
                <w:noProof/>
                <w:color w:val="auto"/>
                <w:szCs w:val="26"/>
              </w:rPr>
              <w:t>1</w:t>
            </w:r>
          </w:p>
        </w:tc>
      </w:tr>
      <w:tr w:rsidR="002B1DC2" w:rsidRPr="002B1DC2" w14:paraId="37DE9E16" w14:textId="77777777" w:rsidTr="00030E15">
        <w:tc>
          <w:tcPr>
            <w:tcW w:w="4230" w:type="dxa"/>
          </w:tcPr>
          <w:p w14:paraId="0E9C0CBE" w14:textId="77777777" w:rsidR="00D34253" w:rsidRPr="002B1DC2" w:rsidRDefault="00D34253" w:rsidP="00030E15">
            <w:pPr>
              <w:spacing w:line="240" w:lineRule="auto"/>
              <w:rPr>
                <w:color w:val="auto"/>
                <w:szCs w:val="26"/>
              </w:rPr>
            </w:pPr>
            <w:r w:rsidRPr="002B1DC2">
              <w:rPr>
                <w:noProof/>
                <w:color w:val="auto"/>
                <w:szCs w:val="26"/>
              </w:rPr>
              <w:t>Bonnie Rudeski</w:t>
            </w:r>
          </w:p>
        </w:tc>
        <w:tc>
          <w:tcPr>
            <w:tcW w:w="2340" w:type="dxa"/>
          </w:tcPr>
          <w:p w14:paraId="13A18E59" w14:textId="51E7959A" w:rsidR="00D34253" w:rsidRPr="002B1DC2" w:rsidRDefault="00D34253" w:rsidP="00030E15">
            <w:pPr>
              <w:spacing w:line="240" w:lineRule="auto"/>
              <w:rPr>
                <w:color w:val="auto"/>
                <w:szCs w:val="26"/>
              </w:rPr>
            </w:pPr>
            <w:r w:rsidRPr="002B1DC2">
              <w:rPr>
                <w:noProof/>
                <w:color w:val="auto"/>
                <w:szCs w:val="26"/>
              </w:rPr>
              <w:t>C-2021-302658</w:t>
            </w:r>
            <w:r w:rsidR="00E450B1" w:rsidRPr="002B1DC2">
              <w:rPr>
                <w:noProof/>
                <w:color w:val="auto"/>
                <w:szCs w:val="26"/>
              </w:rPr>
              <w:t>7</w:t>
            </w:r>
          </w:p>
        </w:tc>
      </w:tr>
      <w:tr w:rsidR="002B1DC2" w:rsidRPr="002B1DC2" w14:paraId="7A21DE20" w14:textId="77777777" w:rsidTr="00030E15">
        <w:tc>
          <w:tcPr>
            <w:tcW w:w="4230" w:type="dxa"/>
          </w:tcPr>
          <w:p w14:paraId="443C3753" w14:textId="77777777" w:rsidR="00D34253" w:rsidRPr="002B1DC2" w:rsidRDefault="00D34253" w:rsidP="00030E15">
            <w:pPr>
              <w:spacing w:line="240" w:lineRule="auto"/>
              <w:rPr>
                <w:noProof/>
                <w:color w:val="auto"/>
                <w:szCs w:val="26"/>
              </w:rPr>
            </w:pPr>
            <w:r w:rsidRPr="002B1DC2">
              <w:rPr>
                <w:noProof/>
                <w:color w:val="auto"/>
                <w:szCs w:val="26"/>
              </w:rPr>
              <w:t>David Squilliciotti</w:t>
            </w:r>
          </w:p>
          <w:p w14:paraId="72637CD8" w14:textId="699A021A" w:rsidR="00971E21" w:rsidRPr="002B1DC2" w:rsidRDefault="00971E21" w:rsidP="00030E15">
            <w:pPr>
              <w:spacing w:line="240" w:lineRule="auto"/>
              <w:rPr>
                <w:color w:val="auto"/>
                <w:szCs w:val="26"/>
              </w:rPr>
            </w:pPr>
            <w:r w:rsidRPr="002B1DC2">
              <w:rPr>
                <w:color w:val="auto"/>
                <w:szCs w:val="26"/>
              </w:rPr>
              <w:t>Kathleen &amp; Gerald Raphael</w:t>
            </w:r>
          </w:p>
        </w:tc>
        <w:tc>
          <w:tcPr>
            <w:tcW w:w="2340" w:type="dxa"/>
          </w:tcPr>
          <w:p w14:paraId="56332F81" w14:textId="0AF6AB11" w:rsidR="00D34253" w:rsidRPr="002B1DC2" w:rsidRDefault="00D34253" w:rsidP="00030E15">
            <w:pPr>
              <w:spacing w:line="240" w:lineRule="auto"/>
              <w:rPr>
                <w:noProof/>
                <w:color w:val="auto"/>
                <w:szCs w:val="26"/>
              </w:rPr>
            </w:pPr>
            <w:r w:rsidRPr="002B1DC2">
              <w:rPr>
                <w:noProof/>
                <w:color w:val="auto"/>
                <w:szCs w:val="26"/>
              </w:rPr>
              <w:t>C-2021-3026</w:t>
            </w:r>
            <w:r w:rsidR="009D3DBD" w:rsidRPr="002B1DC2">
              <w:rPr>
                <w:noProof/>
                <w:color w:val="auto"/>
                <w:szCs w:val="26"/>
              </w:rPr>
              <w:t>588</w:t>
            </w:r>
          </w:p>
          <w:p w14:paraId="6DB955EA" w14:textId="77624D8B" w:rsidR="00971E21" w:rsidRPr="002B1DC2" w:rsidRDefault="00971E21" w:rsidP="00030E15">
            <w:pPr>
              <w:spacing w:line="240" w:lineRule="auto"/>
              <w:rPr>
                <w:color w:val="auto"/>
                <w:szCs w:val="26"/>
              </w:rPr>
            </w:pPr>
            <w:r w:rsidRPr="002B1DC2">
              <w:rPr>
                <w:color w:val="auto"/>
                <w:szCs w:val="26"/>
              </w:rPr>
              <w:t>C-2021-3026624</w:t>
            </w:r>
          </w:p>
        </w:tc>
      </w:tr>
      <w:tr w:rsidR="002B1DC2" w:rsidRPr="002B1DC2" w14:paraId="62F87A13" w14:textId="77777777" w:rsidTr="00030E15">
        <w:tc>
          <w:tcPr>
            <w:tcW w:w="4230" w:type="dxa"/>
          </w:tcPr>
          <w:p w14:paraId="00537607" w14:textId="77777777" w:rsidR="00D34253" w:rsidRPr="002B1DC2" w:rsidRDefault="00D34253" w:rsidP="00030E15">
            <w:pPr>
              <w:spacing w:line="240" w:lineRule="auto"/>
              <w:rPr>
                <w:color w:val="auto"/>
                <w:szCs w:val="26"/>
              </w:rPr>
            </w:pPr>
            <w:r w:rsidRPr="002B1DC2">
              <w:rPr>
                <w:noProof/>
                <w:color w:val="auto"/>
                <w:szCs w:val="26"/>
              </w:rPr>
              <w:t>Louis Romano</w:t>
            </w:r>
          </w:p>
        </w:tc>
        <w:tc>
          <w:tcPr>
            <w:tcW w:w="2340" w:type="dxa"/>
          </w:tcPr>
          <w:p w14:paraId="1CE39C86" w14:textId="1B5FCC9B" w:rsidR="00D34253" w:rsidRPr="002B1DC2" w:rsidRDefault="00D34253" w:rsidP="00030E15">
            <w:pPr>
              <w:spacing w:line="240" w:lineRule="auto"/>
              <w:rPr>
                <w:color w:val="auto"/>
                <w:szCs w:val="26"/>
              </w:rPr>
            </w:pPr>
            <w:r w:rsidRPr="002B1DC2">
              <w:rPr>
                <w:noProof/>
                <w:color w:val="auto"/>
                <w:szCs w:val="26"/>
              </w:rPr>
              <w:t>C-2021-30266</w:t>
            </w:r>
            <w:r w:rsidR="00F10C73" w:rsidRPr="002B1DC2">
              <w:rPr>
                <w:noProof/>
                <w:color w:val="auto"/>
                <w:szCs w:val="26"/>
              </w:rPr>
              <w:t>31</w:t>
            </w:r>
          </w:p>
        </w:tc>
      </w:tr>
      <w:tr w:rsidR="002B1DC2" w:rsidRPr="002B1DC2" w14:paraId="239EC449" w14:textId="77777777" w:rsidTr="00030E15">
        <w:tc>
          <w:tcPr>
            <w:tcW w:w="4230" w:type="dxa"/>
          </w:tcPr>
          <w:p w14:paraId="41C5D883" w14:textId="77777777" w:rsidR="00D34253" w:rsidRPr="002B1DC2" w:rsidRDefault="00D34253" w:rsidP="00030E15">
            <w:pPr>
              <w:spacing w:line="240" w:lineRule="auto"/>
              <w:rPr>
                <w:color w:val="auto"/>
                <w:szCs w:val="26"/>
              </w:rPr>
            </w:pPr>
            <w:r w:rsidRPr="002B1DC2">
              <w:rPr>
                <w:noProof/>
                <w:color w:val="auto"/>
                <w:szCs w:val="26"/>
              </w:rPr>
              <w:t>Vanessa Durcan</w:t>
            </w:r>
          </w:p>
        </w:tc>
        <w:tc>
          <w:tcPr>
            <w:tcW w:w="2340" w:type="dxa"/>
          </w:tcPr>
          <w:p w14:paraId="5E0FEA5C" w14:textId="5D54115C" w:rsidR="00D34253" w:rsidRPr="002B1DC2" w:rsidRDefault="00D34253" w:rsidP="00030E15">
            <w:pPr>
              <w:spacing w:line="240" w:lineRule="auto"/>
              <w:rPr>
                <w:color w:val="auto"/>
                <w:szCs w:val="26"/>
              </w:rPr>
            </w:pPr>
            <w:r w:rsidRPr="002B1DC2">
              <w:rPr>
                <w:noProof/>
                <w:color w:val="auto"/>
                <w:szCs w:val="26"/>
              </w:rPr>
              <w:t>C-2021-302663</w:t>
            </w:r>
            <w:r w:rsidR="00850EB7" w:rsidRPr="002B1DC2">
              <w:rPr>
                <w:noProof/>
                <w:color w:val="auto"/>
                <w:szCs w:val="26"/>
              </w:rPr>
              <w:t>5</w:t>
            </w:r>
          </w:p>
        </w:tc>
      </w:tr>
      <w:tr w:rsidR="002B1DC2" w:rsidRPr="002B1DC2" w14:paraId="290581DB" w14:textId="77777777" w:rsidTr="00030E15">
        <w:tc>
          <w:tcPr>
            <w:tcW w:w="4230" w:type="dxa"/>
          </w:tcPr>
          <w:p w14:paraId="4547F64B" w14:textId="08874248" w:rsidR="00D34253" w:rsidRDefault="00D34253" w:rsidP="00030E15">
            <w:pPr>
              <w:spacing w:line="240" w:lineRule="auto"/>
              <w:rPr>
                <w:noProof/>
                <w:color w:val="auto"/>
                <w:szCs w:val="26"/>
              </w:rPr>
            </w:pPr>
            <w:r w:rsidRPr="002B1DC2">
              <w:rPr>
                <w:noProof/>
                <w:color w:val="auto"/>
                <w:szCs w:val="26"/>
              </w:rPr>
              <w:t>Barry Tremper</w:t>
            </w:r>
          </w:p>
          <w:p w14:paraId="48066832" w14:textId="7A4BD3D6" w:rsidR="004702FF" w:rsidRPr="002B1DC2" w:rsidRDefault="004702FF" w:rsidP="00030E15">
            <w:pPr>
              <w:spacing w:line="240" w:lineRule="auto"/>
              <w:rPr>
                <w:noProof/>
                <w:color w:val="auto"/>
                <w:szCs w:val="26"/>
              </w:rPr>
            </w:pPr>
            <w:r>
              <w:rPr>
                <w:noProof/>
                <w:color w:val="auto"/>
                <w:szCs w:val="26"/>
              </w:rPr>
              <w:t>Grazyna Paryzka</w:t>
            </w:r>
          </w:p>
          <w:p w14:paraId="1CDCD779" w14:textId="124B79D8" w:rsidR="004F5C25" w:rsidRPr="002B1DC2" w:rsidRDefault="004F5C25" w:rsidP="00030E15">
            <w:pPr>
              <w:spacing w:line="240" w:lineRule="auto"/>
              <w:rPr>
                <w:color w:val="auto"/>
                <w:szCs w:val="26"/>
              </w:rPr>
            </w:pPr>
            <w:r w:rsidRPr="002B1DC2">
              <w:rPr>
                <w:noProof/>
                <w:color w:val="auto"/>
                <w:szCs w:val="26"/>
              </w:rPr>
              <w:t>Michael Miller</w:t>
            </w:r>
          </w:p>
        </w:tc>
        <w:tc>
          <w:tcPr>
            <w:tcW w:w="2340" w:type="dxa"/>
          </w:tcPr>
          <w:p w14:paraId="7235C694" w14:textId="2C07948B" w:rsidR="00D34253" w:rsidRDefault="00D34253" w:rsidP="00030E15">
            <w:pPr>
              <w:spacing w:line="240" w:lineRule="auto"/>
              <w:rPr>
                <w:noProof/>
                <w:color w:val="auto"/>
                <w:szCs w:val="26"/>
              </w:rPr>
            </w:pPr>
            <w:r w:rsidRPr="002B1DC2">
              <w:rPr>
                <w:noProof/>
                <w:color w:val="auto"/>
                <w:szCs w:val="26"/>
              </w:rPr>
              <w:t>C-2021-302665</w:t>
            </w:r>
            <w:r w:rsidR="009D5522" w:rsidRPr="002B1DC2">
              <w:rPr>
                <w:noProof/>
                <w:color w:val="auto"/>
                <w:szCs w:val="26"/>
              </w:rPr>
              <w:t>5</w:t>
            </w:r>
          </w:p>
          <w:p w14:paraId="39DA58A3" w14:textId="1AAFCBD8" w:rsidR="004702FF" w:rsidRPr="002B1DC2" w:rsidRDefault="004702FF" w:rsidP="00030E15">
            <w:pPr>
              <w:spacing w:line="240" w:lineRule="auto"/>
              <w:rPr>
                <w:noProof/>
                <w:color w:val="auto"/>
                <w:szCs w:val="26"/>
              </w:rPr>
            </w:pPr>
            <w:r>
              <w:rPr>
                <w:noProof/>
                <w:color w:val="auto"/>
                <w:szCs w:val="26"/>
              </w:rPr>
              <w:t>C-2021-3026659</w:t>
            </w:r>
          </w:p>
          <w:p w14:paraId="5F430436" w14:textId="4D4EC23C" w:rsidR="004F5C25" w:rsidRPr="002B1DC2" w:rsidRDefault="004F5C25" w:rsidP="00030E15">
            <w:pPr>
              <w:spacing w:line="240" w:lineRule="auto"/>
              <w:rPr>
                <w:color w:val="auto"/>
                <w:szCs w:val="26"/>
              </w:rPr>
            </w:pPr>
            <w:r w:rsidRPr="002B1DC2">
              <w:rPr>
                <w:color w:val="auto"/>
                <w:szCs w:val="26"/>
              </w:rPr>
              <w:t>C-2021-3026713</w:t>
            </w:r>
          </w:p>
        </w:tc>
      </w:tr>
      <w:tr w:rsidR="002B1DC2" w:rsidRPr="002B1DC2" w14:paraId="57F55BBC" w14:textId="77777777" w:rsidTr="00030E15">
        <w:tc>
          <w:tcPr>
            <w:tcW w:w="4230" w:type="dxa"/>
          </w:tcPr>
          <w:p w14:paraId="53537A29" w14:textId="77777777" w:rsidR="00D34253" w:rsidRPr="002B1DC2" w:rsidRDefault="00D34253" w:rsidP="00030E15">
            <w:pPr>
              <w:spacing w:line="240" w:lineRule="auto"/>
              <w:rPr>
                <w:color w:val="auto"/>
                <w:szCs w:val="26"/>
              </w:rPr>
            </w:pPr>
            <w:r w:rsidRPr="002B1DC2">
              <w:rPr>
                <w:noProof/>
                <w:color w:val="auto"/>
                <w:szCs w:val="26"/>
              </w:rPr>
              <w:t>Anna Paryzki</w:t>
            </w:r>
          </w:p>
        </w:tc>
        <w:tc>
          <w:tcPr>
            <w:tcW w:w="2340" w:type="dxa"/>
          </w:tcPr>
          <w:p w14:paraId="44825B4C" w14:textId="0AACDA59" w:rsidR="00D34253" w:rsidRPr="002B1DC2" w:rsidRDefault="00D34253" w:rsidP="00030E15">
            <w:pPr>
              <w:spacing w:line="240" w:lineRule="auto"/>
              <w:rPr>
                <w:color w:val="auto"/>
                <w:szCs w:val="26"/>
              </w:rPr>
            </w:pPr>
            <w:r w:rsidRPr="002B1DC2">
              <w:rPr>
                <w:noProof/>
                <w:color w:val="auto"/>
                <w:szCs w:val="26"/>
              </w:rPr>
              <w:t>C-2021-3026</w:t>
            </w:r>
            <w:r w:rsidR="00585D78" w:rsidRPr="002B1DC2">
              <w:rPr>
                <w:noProof/>
                <w:color w:val="auto"/>
                <w:szCs w:val="26"/>
              </w:rPr>
              <w:t>748</w:t>
            </w:r>
          </w:p>
        </w:tc>
      </w:tr>
      <w:tr w:rsidR="001C477A" w:rsidRPr="002B1DC2" w14:paraId="3ECDE69C" w14:textId="77777777" w:rsidTr="00030E15">
        <w:tc>
          <w:tcPr>
            <w:tcW w:w="4230" w:type="dxa"/>
          </w:tcPr>
          <w:p w14:paraId="62575B66" w14:textId="33481337" w:rsidR="001C477A" w:rsidRDefault="001C477A" w:rsidP="00030E15">
            <w:pPr>
              <w:spacing w:line="240" w:lineRule="auto"/>
              <w:rPr>
                <w:noProof/>
                <w:color w:val="auto"/>
                <w:szCs w:val="26"/>
              </w:rPr>
            </w:pPr>
            <w:r>
              <w:rPr>
                <w:noProof/>
                <w:color w:val="auto"/>
                <w:szCs w:val="26"/>
              </w:rPr>
              <w:t>Peter Salomone</w:t>
            </w:r>
          </w:p>
        </w:tc>
        <w:tc>
          <w:tcPr>
            <w:tcW w:w="2340" w:type="dxa"/>
          </w:tcPr>
          <w:p w14:paraId="4C5A49CC" w14:textId="602230C1" w:rsidR="001C477A" w:rsidRDefault="001C477A" w:rsidP="00030E15">
            <w:pPr>
              <w:spacing w:line="240" w:lineRule="auto"/>
              <w:rPr>
                <w:noProof/>
                <w:color w:val="auto"/>
                <w:szCs w:val="26"/>
              </w:rPr>
            </w:pPr>
            <w:r>
              <w:rPr>
                <w:noProof/>
                <w:color w:val="auto"/>
                <w:szCs w:val="26"/>
              </w:rPr>
              <w:t>C-2021-3026740</w:t>
            </w:r>
          </w:p>
        </w:tc>
      </w:tr>
      <w:tr w:rsidR="001552FA" w:rsidRPr="002B1DC2" w14:paraId="384E2453" w14:textId="77777777" w:rsidTr="00030E15">
        <w:tc>
          <w:tcPr>
            <w:tcW w:w="4230" w:type="dxa"/>
          </w:tcPr>
          <w:p w14:paraId="3EE1206C" w14:textId="179DB5CA" w:rsidR="001552FA" w:rsidRDefault="001552FA" w:rsidP="00030E15">
            <w:pPr>
              <w:spacing w:line="240" w:lineRule="auto"/>
              <w:rPr>
                <w:noProof/>
                <w:color w:val="auto"/>
                <w:szCs w:val="26"/>
              </w:rPr>
            </w:pPr>
            <w:r>
              <w:rPr>
                <w:noProof/>
                <w:color w:val="auto"/>
                <w:szCs w:val="26"/>
              </w:rPr>
              <w:t>Susan Nikolaou</w:t>
            </w:r>
          </w:p>
        </w:tc>
        <w:tc>
          <w:tcPr>
            <w:tcW w:w="2340" w:type="dxa"/>
          </w:tcPr>
          <w:p w14:paraId="5DA5AF97" w14:textId="3A75D641" w:rsidR="001552FA" w:rsidRDefault="001552FA" w:rsidP="00030E15">
            <w:pPr>
              <w:spacing w:line="240" w:lineRule="auto"/>
              <w:rPr>
                <w:noProof/>
                <w:color w:val="auto"/>
                <w:szCs w:val="26"/>
              </w:rPr>
            </w:pPr>
            <w:r>
              <w:rPr>
                <w:noProof/>
                <w:color w:val="auto"/>
                <w:szCs w:val="26"/>
              </w:rPr>
              <w:t>C-2021-3026746</w:t>
            </w:r>
          </w:p>
        </w:tc>
      </w:tr>
      <w:tr w:rsidR="000509B9" w:rsidRPr="002B1DC2" w14:paraId="49F7AD33" w14:textId="77777777" w:rsidTr="00030E15">
        <w:tc>
          <w:tcPr>
            <w:tcW w:w="4230" w:type="dxa"/>
          </w:tcPr>
          <w:p w14:paraId="471AF6A4" w14:textId="6F8279EE" w:rsidR="000509B9" w:rsidRPr="002B1DC2" w:rsidRDefault="001964F0" w:rsidP="00030E15">
            <w:pPr>
              <w:spacing w:line="240" w:lineRule="auto"/>
              <w:rPr>
                <w:noProof/>
                <w:color w:val="auto"/>
                <w:szCs w:val="26"/>
              </w:rPr>
            </w:pPr>
            <w:r>
              <w:rPr>
                <w:noProof/>
                <w:color w:val="auto"/>
                <w:szCs w:val="26"/>
              </w:rPr>
              <w:t>Christ Nelson</w:t>
            </w:r>
          </w:p>
        </w:tc>
        <w:tc>
          <w:tcPr>
            <w:tcW w:w="2340" w:type="dxa"/>
          </w:tcPr>
          <w:p w14:paraId="7074C007" w14:textId="606C5EF2" w:rsidR="000509B9" w:rsidRPr="002B1DC2" w:rsidRDefault="001964F0" w:rsidP="00030E15">
            <w:pPr>
              <w:spacing w:line="240" w:lineRule="auto"/>
              <w:rPr>
                <w:noProof/>
                <w:color w:val="auto"/>
                <w:szCs w:val="26"/>
              </w:rPr>
            </w:pPr>
            <w:r>
              <w:rPr>
                <w:noProof/>
                <w:color w:val="auto"/>
                <w:szCs w:val="26"/>
              </w:rPr>
              <w:t>C-2021-3026749</w:t>
            </w:r>
          </w:p>
        </w:tc>
      </w:tr>
      <w:tr w:rsidR="001552FA" w:rsidRPr="002B1DC2" w14:paraId="4B15DCEC" w14:textId="77777777" w:rsidTr="00030E15">
        <w:tc>
          <w:tcPr>
            <w:tcW w:w="4230" w:type="dxa"/>
          </w:tcPr>
          <w:p w14:paraId="5060E878" w14:textId="2D0C2627" w:rsidR="001552FA" w:rsidRPr="002B1DC2" w:rsidRDefault="001552FA" w:rsidP="00030E15">
            <w:pPr>
              <w:spacing w:line="240" w:lineRule="auto"/>
              <w:rPr>
                <w:noProof/>
                <w:color w:val="auto"/>
                <w:szCs w:val="26"/>
              </w:rPr>
            </w:pPr>
            <w:r>
              <w:rPr>
                <w:noProof/>
                <w:color w:val="auto"/>
                <w:szCs w:val="26"/>
              </w:rPr>
              <w:t>Clark Sutton</w:t>
            </w:r>
          </w:p>
        </w:tc>
        <w:tc>
          <w:tcPr>
            <w:tcW w:w="2340" w:type="dxa"/>
          </w:tcPr>
          <w:p w14:paraId="30C33004" w14:textId="6B5BC5F8" w:rsidR="001552FA" w:rsidRPr="002B1DC2" w:rsidRDefault="001552FA" w:rsidP="00030E15">
            <w:pPr>
              <w:spacing w:line="240" w:lineRule="auto"/>
              <w:rPr>
                <w:noProof/>
                <w:color w:val="auto"/>
                <w:szCs w:val="26"/>
              </w:rPr>
            </w:pPr>
            <w:r>
              <w:rPr>
                <w:noProof/>
                <w:color w:val="auto"/>
                <w:szCs w:val="26"/>
              </w:rPr>
              <w:t>C-2021-3026764</w:t>
            </w:r>
          </w:p>
        </w:tc>
      </w:tr>
      <w:tr w:rsidR="002B1DC2" w:rsidRPr="002B1DC2" w14:paraId="1201F22C" w14:textId="77777777" w:rsidTr="00030E15">
        <w:tc>
          <w:tcPr>
            <w:tcW w:w="4230" w:type="dxa"/>
          </w:tcPr>
          <w:p w14:paraId="3F487364" w14:textId="77777777" w:rsidR="00D34253" w:rsidRPr="002B1DC2" w:rsidRDefault="00D34253" w:rsidP="00030E15">
            <w:pPr>
              <w:spacing w:line="240" w:lineRule="auto"/>
              <w:rPr>
                <w:color w:val="auto"/>
                <w:szCs w:val="26"/>
              </w:rPr>
            </w:pPr>
            <w:r w:rsidRPr="002B1DC2">
              <w:rPr>
                <w:noProof/>
                <w:color w:val="auto"/>
                <w:szCs w:val="26"/>
              </w:rPr>
              <w:t>Arnold Reyes-Portilla</w:t>
            </w:r>
          </w:p>
        </w:tc>
        <w:tc>
          <w:tcPr>
            <w:tcW w:w="2340" w:type="dxa"/>
          </w:tcPr>
          <w:p w14:paraId="597FAC4D" w14:textId="7E762296" w:rsidR="00D34253" w:rsidRPr="002B1DC2" w:rsidRDefault="00D34253" w:rsidP="00030E15">
            <w:pPr>
              <w:spacing w:line="240" w:lineRule="auto"/>
              <w:rPr>
                <w:color w:val="auto"/>
                <w:szCs w:val="26"/>
              </w:rPr>
            </w:pPr>
            <w:r w:rsidRPr="002B1DC2">
              <w:rPr>
                <w:noProof/>
                <w:color w:val="auto"/>
                <w:szCs w:val="26"/>
              </w:rPr>
              <w:t>C-2021-302</w:t>
            </w:r>
            <w:r w:rsidR="00AB7D83" w:rsidRPr="002B1DC2">
              <w:rPr>
                <w:noProof/>
                <w:color w:val="auto"/>
                <w:szCs w:val="26"/>
              </w:rPr>
              <w:t>6766</w:t>
            </w:r>
          </w:p>
        </w:tc>
      </w:tr>
      <w:tr w:rsidR="002B1DC2" w:rsidRPr="002B1DC2" w14:paraId="3AA5D3B2" w14:textId="77777777" w:rsidTr="00030E15">
        <w:tc>
          <w:tcPr>
            <w:tcW w:w="4230" w:type="dxa"/>
          </w:tcPr>
          <w:p w14:paraId="4EDC94BB" w14:textId="1D6FF688" w:rsidR="00A6067C" w:rsidRPr="002B1DC2" w:rsidRDefault="00A6067C" w:rsidP="00507A2B">
            <w:pPr>
              <w:spacing w:line="240" w:lineRule="auto"/>
              <w:rPr>
                <w:color w:val="auto"/>
                <w:szCs w:val="26"/>
              </w:rPr>
            </w:pPr>
            <w:r w:rsidRPr="002B1DC2">
              <w:rPr>
                <w:color w:val="auto"/>
                <w:szCs w:val="26"/>
              </w:rPr>
              <w:t>William Sullivan</w:t>
            </w:r>
          </w:p>
        </w:tc>
        <w:tc>
          <w:tcPr>
            <w:tcW w:w="2340" w:type="dxa"/>
          </w:tcPr>
          <w:p w14:paraId="7F42A44B" w14:textId="36C03E97" w:rsidR="00A6067C" w:rsidRPr="002B1DC2" w:rsidRDefault="00A6067C" w:rsidP="00507A2B">
            <w:pPr>
              <w:spacing w:line="240" w:lineRule="auto"/>
              <w:rPr>
                <w:color w:val="auto"/>
                <w:szCs w:val="26"/>
              </w:rPr>
            </w:pPr>
            <w:r w:rsidRPr="002B1DC2">
              <w:rPr>
                <w:color w:val="auto"/>
                <w:szCs w:val="26"/>
              </w:rPr>
              <w:t>C-2021-3026806</w:t>
            </w:r>
          </w:p>
        </w:tc>
      </w:tr>
      <w:tr w:rsidR="002B1DC2" w:rsidRPr="002B1DC2" w14:paraId="49C5B404" w14:textId="77777777" w:rsidTr="00030E15">
        <w:tc>
          <w:tcPr>
            <w:tcW w:w="4230" w:type="dxa"/>
          </w:tcPr>
          <w:p w14:paraId="32FF1FDC" w14:textId="77777777" w:rsidR="00507A2B" w:rsidRPr="002B1DC2" w:rsidRDefault="00507A2B" w:rsidP="00507A2B">
            <w:pPr>
              <w:spacing w:line="240" w:lineRule="auto"/>
              <w:rPr>
                <w:color w:val="auto"/>
                <w:szCs w:val="26"/>
              </w:rPr>
            </w:pPr>
            <w:r w:rsidRPr="002B1DC2">
              <w:rPr>
                <w:noProof/>
                <w:color w:val="auto"/>
                <w:szCs w:val="26"/>
              </w:rPr>
              <w:t>Christine Thomson</w:t>
            </w:r>
          </w:p>
        </w:tc>
        <w:tc>
          <w:tcPr>
            <w:tcW w:w="2340" w:type="dxa"/>
          </w:tcPr>
          <w:p w14:paraId="0075FF09" w14:textId="20372AA6" w:rsidR="00507A2B" w:rsidRPr="002B1DC2" w:rsidRDefault="00507A2B" w:rsidP="00507A2B">
            <w:pPr>
              <w:spacing w:line="240" w:lineRule="auto"/>
              <w:rPr>
                <w:color w:val="auto"/>
                <w:szCs w:val="26"/>
              </w:rPr>
            </w:pPr>
            <w:r w:rsidRPr="002B1DC2">
              <w:rPr>
                <w:noProof/>
                <w:color w:val="auto"/>
                <w:szCs w:val="26"/>
              </w:rPr>
              <w:t>C-2021-30268</w:t>
            </w:r>
            <w:r w:rsidR="0099119A" w:rsidRPr="002B1DC2">
              <w:rPr>
                <w:noProof/>
                <w:color w:val="auto"/>
                <w:szCs w:val="26"/>
              </w:rPr>
              <w:t>38</w:t>
            </w:r>
          </w:p>
        </w:tc>
      </w:tr>
      <w:tr w:rsidR="002B1DC2" w:rsidRPr="002B1DC2" w14:paraId="5EE6E228" w14:textId="77777777" w:rsidTr="00030E15">
        <w:tc>
          <w:tcPr>
            <w:tcW w:w="4230" w:type="dxa"/>
          </w:tcPr>
          <w:p w14:paraId="05B3DFF1" w14:textId="77777777" w:rsidR="00507A2B" w:rsidRPr="002B1DC2" w:rsidRDefault="00507A2B" w:rsidP="00507A2B">
            <w:pPr>
              <w:spacing w:line="240" w:lineRule="auto"/>
              <w:rPr>
                <w:color w:val="auto"/>
                <w:szCs w:val="26"/>
              </w:rPr>
            </w:pPr>
            <w:r w:rsidRPr="002B1DC2">
              <w:rPr>
                <w:noProof/>
                <w:color w:val="auto"/>
                <w:szCs w:val="26"/>
              </w:rPr>
              <w:t>Maritza Rivera</w:t>
            </w:r>
          </w:p>
        </w:tc>
        <w:tc>
          <w:tcPr>
            <w:tcW w:w="2340" w:type="dxa"/>
          </w:tcPr>
          <w:p w14:paraId="60A2C184" w14:textId="3A32ED6F" w:rsidR="00507A2B" w:rsidRPr="002B1DC2" w:rsidRDefault="00507A2B" w:rsidP="00507A2B">
            <w:pPr>
              <w:spacing w:line="240" w:lineRule="auto"/>
              <w:rPr>
                <w:color w:val="auto"/>
                <w:szCs w:val="26"/>
              </w:rPr>
            </w:pPr>
            <w:r w:rsidRPr="002B1DC2">
              <w:rPr>
                <w:noProof/>
                <w:color w:val="auto"/>
                <w:szCs w:val="26"/>
              </w:rPr>
              <w:t>C-2021-3026844</w:t>
            </w:r>
          </w:p>
        </w:tc>
      </w:tr>
      <w:tr w:rsidR="002B1DC2" w:rsidRPr="002B1DC2" w14:paraId="4FC26D45" w14:textId="77777777" w:rsidTr="00030E15">
        <w:tc>
          <w:tcPr>
            <w:tcW w:w="4230" w:type="dxa"/>
          </w:tcPr>
          <w:p w14:paraId="5A7F0660" w14:textId="77777777" w:rsidR="00507A2B" w:rsidRPr="002B1DC2" w:rsidRDefault="00507A2B" w:rsidP="00507A2B">
            <w:pPr>
              <w:spacing w:line="240" w:lineRule="auto"/>
              <w:rPr>
                <w:color w:val="auto"/>
                <w:szCs w:val="26"/>
              </w:rPr>
            </w:pPr>
            <w:r w:rsidRPr="002B1DC2">
              <w:rPr>
                <w:noProof/>
                <w:color w:val="auto"/>
                <w:szCs w:val="26"/>
              </w:rPr>
              <w:t>Joseph Torregrossa</w:t>
            </w:r>
          </w:p>
        </w:tc>
        <w:tc>
          <w:tcPr>
            <w:tcW w:w="2340" w:type="dxa"/>
          </w:tcPr>
          <w:p w14:paraId="562475A7" w14:textId="645C4344" w:rsidR="00507A2B" w:rsidRPr="002B1DC2" w:rsidRDefault="00507A2B" w:rsidP="00507A2B">
            <w:pPr>
              <w:spacing w:line="240" w:lineRule="auto"/>
              <w:rPr>
                <w:color w:val="auto"/>
                <w:szCs w:val="26"/>
              </w:rPr>
            </w:pPr>
            <w:r w:rsidRPr="002B1DC2">
              <w:rPr>
                <w:noProof/>
                <w:color w:val="auto"/>
                <w:szCs w:val="26"/>
              </w:rPr>
              <w:t>C-2021-302684</w:t>
            </w:r>
            <w:r w:rsidR="004A01D6" w:rsidRPr="002B1DC2">
              <w:rPr>
                <w:noProof/>
                <w:color w:val="auto"/>
                <w:szCs w:val="26"/>
              </w:rPr>
              <w:t>5</w:t>
            </w:r>
          </w:p>
        </w:tc>
      </w:tr>
      <w:tr w:rsidR="002B1DC2" w:rsidRPr="002B1DC2" w14:paraId="3D19E320" w14:textId="77777777" w:rsidTr="00030E15">
        <w:tc>
          <w:tcPr>
            <w:tcW w:w="4230" w:type="dxa"/>
          </w:tcPr>
          <w:p w14:paraId="70E6D597" w14:textId="77777777" w:rsidR="00507A2B" w:rsidRPr="002B1DC2" w:rsidRDefault="00507A2B" w:rsidP="00507A2B">
            <w:pPr>
              <w:spacing w:line="240" w:lineRule="auto"/>
              <w:rPr>
                <w:color w:val="auto"/>
                <w:szCs w:val="26"/>
              </w:rPr>
            </w:pPr>
            <w:r w:rsidRPr="002B1DC2">
              <w:rPr>
                <w:noProof/>
                <w:color w:val="auto"/>
                <w:szCs w:val="26"/>
              </w:rPr>
              <w:t>Peter Mauro</w:t>
            </w:r>
          </w:p>
        </w:tc>
        <w:tc>
          <w:tcPr>
            <w:tcW w:w="2340" w:type="dxa"/>
          </w:tcPr>
          <w:p w14:paraId="629D06C7" w14:textId="2F2DB6D1" w:rsidR="00507A2B" w:rsidRPr="002B1DC2" w:rsidRDefault="00507A2B" w:rsidP="00507A2B">
            <w:pPr>
              <w:spacing w:line="240" w:lineRule="auto"/>
              <w:rPr>
                <w:color w:val="auto"/>
                <w:szCs w:val="26"/>
              </w:rPr>
            </w:pPr>
            <w:r w:rsidRPr="002B1DC2">
              <w:rPr>
                <w:noProof/>
                <w:color w:val="auto"/>
                <w:szCs w:val="26"/>
              </w:rPr>
              <w:t>C-2021-302684</w:t>
            </w:r>
            <w:r w:rsidR="004257AB" w:rsidRPr="002B1DC2">
              <w:rPr>
                <w:noProof/>
                <w:color w:val="auto"/>
                <w:szCs w:val="26"/>
              </w:rPr>
              <w:t>8</w:t>
            </w:r>
          </w:p>
        </w:tc>
      </w:tr>
      <w:tr w:rsidR="002B1DC2" w:rsidRPr="002B1DC2" w14:paraId="27E4A699" w14:textId="77777777" w:rsidTr="00030E15">
        <w:tc>
          <w:tcPr>
            <w:tcW w:w="4230" w:type="dxa"/>
          </w:tcPr>
          <w:p w14:paraId="252B0C82" w14:textId="77777777" w:rsidR="00507A2B" w:rsidRPr="002B1DC2" w:rsidRDefault="00507A2B" w:rsidP="00507A2B">
            <w:pPr>
              <w:spacing w:line="240" w:lineRule="auto"/>
              <w:rPr>
                <w:color w:val="auto"/>
                <w:szCs w:val="26"/>
              </w:rPr>
            </w:pPr>
            <w:r w:rsidRPr="002B1DC2">
              <w:rPr>
                <w:noProof/>
                <w:color w:val="auto"/>
                <w:szCs w:val="26"/>
              </w:rPr>
              <w:t>Rene Bressant</w:t>
            </w:r>
          </w:p>
        </w:tc>
        <w:tc>
          <w:tcPr>
            <w:tcW w:w="2340" w:type="dxa"/>
          </w:tcPr>
          <w:p w14:paraId="7F8B8E72" w14:textId="447304FD" w:rsidR="00507A2B" w:rsidRPr="002B1DC2" w:rsidRDefault="00507A2B" w:rsidP="00507A2B">
            <w:pPr>
              <w:spacing w:line="240" w:lineRule="auto"/>
              <w:rPr>
                <w:color w:val="auto"/>
                <w:szCs w:val="26"/>
              </w:rPr>
            </w:pPr>
            <w:r w:rsidRPr="002B1DC2">
              <w:rPr>
                <w:noProof/>
                <w:color w:val="auto"/>
                <w:szCs w:val="26"/>
              </w:rPr>
              <w:t>C-2021-30268</w:t>
            </w:r>
            <w:r w:rsidR="007273B3" w:rsidRPr="002B1DC2">
              <w:rPr>
                <w:noProof/>
                <w:color w:val="auto"/>
                <w:szCs w:val="26"/>
              </w:rPr>
              <w:t>50</w:t>
            </w:r>
          </w:p>
        </w:tc>
      </w:tr>
      <w:tr w:rsidR="002B1DC2" w:rsidRPr="002B1DC2" w14:paraId="41F9081A" w14:textId="77777777" w:rsidTr="00030E15">
        <w:tc>
          <w:tcPr>
            <w:tcW w:w="4230" w:type="dxa"/>
          </w:tcPr>
          <w:p w14:paraId="09D806BD" w14:textId="77777777" w:rsidR="00507A2B" w:rsidRPr="002B1DC2" w:rsidRDefault="00507A2B" w:rsidP="00507A2B">
            <w:pPr>
              <w:spacing w:line="240" w:lineRule="auto"/>
              <w:rPr>
                <w:color w:val="auto"/>
                <w:szCs w:val="26"/>
              </w:rPr>
            </w:pPr>
            <w:r w:rsidRPr="002B1DC2">
              <w:rPr>
                <w:noProof/>
                <w:color w:val="auto"/>
                <w:szCs w:val="26"/>
              </w:rPr>
              <w:t>Daniel McKoy</w:t>
            </w:r>
          </w:p>
        </w:tc>
        <w:tc>
          <w:tcPr>
            <w:tcW w:w="2340" w:type="dxa"/>
          </w:tcPr>
          <w:p w14:paraId="3F873B41" w14:textId="039A6E44" w:rsidR="00507A2B" w:rsidRPr="002B1DC2" w:rsidRDefault="00507A2B" w:rsidP="00507A2B">
            <w:pPr>
              <w:spacing w:line="240" w:lineRule="auto"/>
              <w:rPr>
                <w:color w:val="auto"/>
                <w:szCs w:val="26"/>
              </w:rPr>
            </w:pPr>
            <w:r w:rsidRPr="002B1DC2">
              <w:rPr>
                <w:noProof/>
                <w:color w:val="auto"/>
                <w:szCs w:val="26"/>
              </w:rPr>
              <w:t>C-2021-302685</w:t>
            </w:r>
            <w:r w:rsidR="00297F3F" w:rsidRPr="002B1DC2">
              <w:rPr>
                <w:noProof/>
                <w:color w:val="auto"/>
                <w:szCs w:val="26"/>
              </w:rPr>
              <w:t>1</w:t>
            </w:r>
          </w:p>
        </w:tc>
      </w:tr>
      <w:tr w:rsidR="002B1DC2" w:rsidRPr="002B1DC2" w14:paraId="373FE054" w14:textId="77777777" w:rsidTr="00030E15">
        <w:tc>
          <w:tcPr>
            <w:tcW w:w="4230" w:type="dxa"/>
          </w:tcPr>
          <w:p w14:paraId="09B89EF9" w14:textId="77777777" w:rsidR="00507A2B" w:rsidRPr="002B1DC2" w:rsidRDefault="00507A2B" w:rsidP="00507A2B">
            <w:pPr>
              <w:spacing w:line="240" w:lineRule="auto"/>
              <w:rPr>
                <w:color w:val="auto"/>
                <w:szCs w:val="26"/>
              </w:rPr>
            </w:pPr>
            <w:r w:rsidRPr="002B1DC2">
              <w:rPr>
                <w:noProof/>
                <w:color w:val="auto"/>
                <w:szCs w:val="26"/>
              </w:rPr>
              <w:t>Thomas Hemeleski</w:t>
            </w:r>
          </w:p>
        </w:tc>
        <w:tc>
          <w:tcPr>
            <w:tcW w:w="2340" w:type="dxa"/>
          </w:tcPr>
          <w:p w14:paraId="0AB75B8D" w14:textId="2305CD93" w:rsidR="00507A2B" w:rsidRPr="002B1DC2" w:rsidRDefault="00507A2B" w:rsidP="00507A2B">
            <w:pPr>
              <w:spacing w:line="240" w:lineRule="auto"/>
              <w:rPr>
                <w:color w:val="auto"/>
                <w:szCs w:val="26"/>
              </w:rPr>
            </w:pPr>
            <w:r w:rsidRPr="002B1DC2">
              <w:rPr>
                <w:noProof/>
                <w:color w:val="auto"/>
                <w:szCs w:val="26"/>
              </w:rPr>
              <w:t>C-2021-302688</w:t>
            </w:r>
            <w:r w:rsidR="0004598C" w:rsidRPr="002B1DC2">
              <w:rPr>
                <w:noProof/>
                <w:color w:val="auto"/>
                <w:szCs w:val="26"/>
              </w:rPr>
              <w:t>2</w:t>
            </w:r>
          </w:p>
        </w:tc>
      </w:tr>
      <w:tr w:rsidR="002B1DC2" w:rsidRPr="002B1DC2" w14:paraId="506F6CF9" w14:textId="77777777" w:rsidTr="00030E15">
        <w:tc>
          <w:tcPr>
            <w:tcW w:w="4230" w:type="dxa"/>
          </w:tcPr>
          <w:p w14:paraId="288DC185" w14:textId="77777777" w:rsidR="00507A2B" w:rsidRPr="002B1DC2" w:rsidRDefault="00507A2B" w:rsidP="00507A2B">
            <w:pPr>
              <w:spacing w:line="240" w:lineRule="auto"/>
              <w:rPr>
                <w:color w:val="auto"/>
                <w:szCs w:val="26"/>
              </w:rPr>
            </w:pPr>
            <w:r w:rsidRPr="002B1DC2">
              <w:rPr>
                <w:noProof/>
                <w:color w:val="auto"/>
                <w:szCs w:val="26"/>
              </w:rPr>
              <w:t>Jean Souders</w:t>
            </w:r>
          </w:p>
        </w:tc>
        <w:tc>
          <w:tcPr>
            <w:tcW w:w="2340" w:type="dxa"/>
          </w:tcPr>
          <w:p w14:paraId="6145DE56" w14:textId="08C946B1" w:rsidR="00507A2B" w:rsidRPr="002B1DC2" w:rsidRDefault="00507A2B" w:rsidP="00507A2B">
            <w:pPr>
              <w:spacing w:line="240" w:lineRule="auto"/>
              <w:rPr>
                <w:color w:val="auto"/>
                <w:szCs w:val="26"/>
              </w:rPr>
            </w:pPr>
            <w:r w:rsidRPr="002B1DC2">
              <w:rPr>
                <w:noProof/>
                <w:color w:val="auto"/>
                <w:szCs w:val="26"/>
              </w:rPr>
              <w:t>C-2021-302688</w:t>
            </w:r>
            <w:r w:rsidR="006C72B3" w:rsidRPr="002B1DC2">
              <w:rPr>
                <w:noProof/>
                <w:color w:val="auto"/>
                <w:szCs w:val="26"/>
              </w:rPr>
              <w:t>4</w:t>
            </w:r>
          </w:p>
        </w:tc>
      </w:tr>
      <w:tr w:rsidR="00BD0C75" w:rsidRPr="002B1DC2" w14:paraId="5E95B942" w14:textId="77777777" w:rsidTr="00030E15">
        <w:tc>
          <w:tcPr>
            <w:tcW w:w="4230" w:type="dxa"/>
          </w:tcPr>
          <w:p w14:paraId="79C7FD16" w14:textId="5EC59954" w:rsidR="00BD0C75" w:rsidRPr="002B1DC2" w:rsidRDefault="00C976B0" w:rsidP="00507A2B">
            <w:pPr>
              <w:spacing w:line="240" w:lineRule="auto"/>
              <w:rPr>
                <w:noProof/>
                <w:color w:val="auto"/>
                <w:szCs w:val="26"/>
              </w:rPr>
            </w:pPr>
            <w:r>
              <w:rPr>
                <w:noProof/>
                <w:color w:val="auto"/>
                <w:szCs w:val="26"/>
              </w:rPr>
              <w:t>Ivan &amp; Theresa Ayala</w:t>
            </w:r>
          </w:p>
        </w:tc>
        <w:tc>
          <w:tcPr>
            <w:tcW w:w="2340" w:type="dxa"/>
          </w:tcPr>
          <w:p w14:paraId="08451DD2" w14:textId="662B2F65" w:rsidR="00BD0C75" w:rsidRPr="002B1DC2" w:rsidRDefault="00C976B0" w:rsidP="00507A2B">
            <w:pPr>
              <w:spacing w:line="240" w:lineRule="auto"/>
              <w:rPr>
                <w:noProof/>
                <w:color w:val="auto"/>
                <w:szCs w:val="26"/>
              </w:rPr>
            </w:pPr>
            <w:r>
              <w:rPr>
                <w:noProof/>
                <w:color w:val="auto"/>
                <w:szCs w:val="26"/>
              </w:rPr>
              <w:t>C-2021-3026885</w:t>
            </w:r>
          </w:p>
        </w:tc>
      </w:tr>
      <w:tr w:rsidR="002B1DC2" w:rsidRPr="002B1DC2" w14:paraId="476AEDC6" w14:textId="77777777" w:rsidTr="00030E15">
        <w:tc>
          <w:tcPr>
            <w:tcW w:w="4230" w:type="dxa"/>
          </w:tcPr>
          <w:p w14:paraId="10A996C6" w14:textId="77777777" w:rsidR="00507A2B" w:rsidRPr="002B1DC2" w:rsidRDefault="00507A2B" w:rsidP="00507A2B">
            <w:pPr>
              <w:spacing w:line="240" w:lineRule="auto"/>
              <w:rPr>
                <w:noProof/>
                <w:color w:val="auto"/>
                <w:szCs w:val="26"/>
              </w:rPr>
            </w:pPr>
            <w:r w:rsidRPr="002B1DC2">
              <w:rPr>
                <w:noProof/>
                <w:color w:val="auto"/>
                <w:szCs w:val="26"/>
              </w:rPr>
              <w:t>Mario Carlino</w:t>
            </w:r>
          </w:p>
          <w:p w14:paraId="5DB45D3A" w14:textId="08C0F82B" w:rsidR="0079538E" w:rsidRPr="002B1DC2" w:rsidRDefault="0079538E" w:rsidP="00507A2B">
            <w:pPr>
              <w:spacing w:line="240" w:lineRule="auto"/>
              <w:rPr>
                <w:color w:val="auto"/>
                <w:szCs w:val="26"/>
              </w:rPr>
            </w:pPr>
            <w:r w:rsidRPr="002B1DC2">
              <w:rPr>
                <w:noProof/>
                <w:color w:val="auto"/>
                <w:szCs w:val="26"/>
              </w:rPr>
              <w:t>Asment Benjamin</w:t>
            </w:r>
          </w:p>
        </w:tc>
        <w:tc>
          <w:tcPr>
            <w:tcW w:w="2340" w:type="dxa"/>
          </w:tcPr>
          <w:p w14:paraId="28120EC3" w14:textId="77777777" w:rsidR="00507A2B" w:rsidRPr="002B1DC2" w:rsidRDefault="00507A2B" w:rsidP="00507A2B">
            <w:pPr>
              <w:spacing w:line="240" w:lineRule="auto"/>
              <w:rPr>
                <w:noProof/>
                <w:color w:val="auto"/>
                <w:szCs w:val="26"/>
              </w:rPr>
            </w:pPr>
            <w:r w:rsidRPr="002B1DC2">
              <w:rPr>
                <w:noProof/>
                <w:color w:val="auto"/>
                <w:szCs w:val="26"/>
              </w:rPr>
              <w:t>C-2021-302688</w:t>
            </w:r>
            <w:r w:rsidR="00635D21" w:rsidRPr="002B1DC2">
              <w:rPr>
                <w:noProof/>
                <w:color w:val="auto"/>
                <w:szCs w:val="26"/>
              </w:rPr>
              <w:t>7</w:t>
            </w:r>
          </w:p>
          <w:p w14:paraId="6B6972ED" w14:textId="77EA2A59" w:rsidR="0079538E" w:rsidRPr="002B1DC2" w:rsidRDefault="0079538E" w:rsidP="00507A2B">
            <w:pPr>
              <w:spacing w:line="240" w:lineRule="auto"/>
              <w:rPr>
                <w:color w:val="auto"/>
                <w:szCs w:val="26"/>
              </w:rPr>
            </w:pPr>
            <w:r w:rsidRPr="002B1DC2">
              <w:rPr>
                <w:noProof/>
                <w:color w:val="auto"/>
                <w:szCs w:val="26"/>
              </w:rPr>
              <w:t>C-2021-3026889</w:t>
            </w:r>
          </w:p>
        </w:tc>
      </w:tr>
      <w:tr w:rsidR="002B1DC2" w:rsidRPr="002B1DC2" w14:paraId="33D0D9D6" w14:textId="77777777" w:rsidTr="00030E15">
        <w:tc>
          <w:tcPr>
            <w:tcW w:w="4230" w:type="dxa"/>
          </w:tcPr>
          <w:p w14:paraId="0BE3602D" w14:textId="77777777" w:rsidR="00507A2B" w:rsidRPr="002B1DC2" w:rsidRDefault="00507A2B" w:rsidP="00507A2B">
            <w:pPr>
              <w:spacing w:line="240" w:lineRule="auto"/>
              <w:rPr>
                <w:noProof/>
                <w:color w:val="auto"/>
                <w:szCs w:val="26"/>
              </w:rPr>
            </w:pPr>
            <w:r w:rsidRPr="002B1DC2">
              <w:rPr>
                <w:noProof/>
                <w:color w:val="auto"/>
                <w:szCs w:val="26"/>
              </w:rPr>
              <w:lastRenderedPageBreak/>
              <w:t>Charles Breitweiser</w:t>
            </w:r>
          </w:p>
          <w:p w14:paraId="685D842B" w14:textId="77777777" w:rsidR="00540821" w:rsidRPr="002B1DC2" w:rsidRDefault="00540821" w:rsidP="00507A2B">
            <w:pPr>
              <w:spacing w:line="240" w:lineRule="auto"/>
              <w:rPr>
                <w:color w:val="auto"/>
                <w:szCs w:val="26"/>
              </w:rPr>
            </w:pPr>
            <w:r w:rsidRPr="002B1DC2">
              <w:rPr>
                <w:color w:val="auto"/>
                <w:szCs w:val="26"/>
              </w:rPr>
              <w:t>Aldona Bastek</w:t>
            </w:r>
          </w:p>
          <w:p w14:paraId="6C30B28C" w14:textId="208A1458" w:rsidR="00540821" w:rsidRPr="002B1DC2" w:rsidRDefault="002A6A3C" w:rsidP="00507A2B">
            <w:pPr>
              <w:spacing w:line="240" w:lineRule="auto"/>
              <w:rPr>
                <w:color w:val="auto"/>
                <w:szCs w:val="26"/>
              </w:rPr>
            </w:pPr>
            <w:r w:rsidRPr="002B1DC2">
              <w:rPr>
                <w:color w:val="auto"/>
                <w:szCs w:val="26"/>
              </w:rPr>
              <w:t>Larisa Shin</w:t>
            </w:r>
          </w:p>
        </w:tc>
        <w:tc>
          <w:tcPr>
            <w:tcW w:w="2340" w:type="dxa"/>
          </w:tcPr>
          <w:p w14:paraId="4891CBCE" w14:textId="0ADB31FF" w:rsidR="00507A2B" w:rsidRPr="002B1DC2" w:rsidRDefault="00507A2B" w:rsidP="00507A2B">
            <w:pPr>
              <w:spacing w:line="240" w:lineRule="auto"/>
              <w:rPr>
                <w:noProof/>
                <w:color w:val="auto"/>
                <w:szCs w:val="26"/>
              </w:rPr>
            </w:pPr>
            <w:r w:rsidRPr="002B1DC2">
              <w:rPr>
                <w:noProof/>
                <w:color w:val="auto"/>
                <w:szCs w:val="26"/>
              </w:rPr>
              <w:t>C-2021-30268</w:t>
            </w:r>
            <w:r w:rsidR="00A66E9E" w:rsidRPr="002B1DC2">
              <w:rPr>
                <w:noProof/>
                <w:color w:val="auto"/>
                <w:szCs w:val="26"/>
              </w:rPr>
              <w:t>92</w:t>
            </w:r>
          </w:p>
          <w:p w14:paraId="3553A75A" w14:textId="6C86A1E3" w:rsidR="00540821" w:rsidRPr="002B1DC2" w:rsidRDefault="00540821" w:rsidP="00507A2B">
            <w:pPr>
              <w:spacing w:line="240" w:lineRule="auto"/>
              <w:rPr>
                <w:color w:val="auto"/>
                <w:szCs w:val="26"/>
              </w:rPr>
            </w:pPr>
            <w:r w:rsidRPr="002B1DC2">
              <w:rPr>
                <w:color w:val="auto"/>
                <w:szCs w:val="26"/>
              </w:rPr>
              <w:t>C-2021-</w:t>
            </w:r>
            <w:r w:rsidR="002A6A3C" w:rsidRPr="002B1DC2">
              <w:rPr>
                <w:color w:val="auto"/>
                <w:szCs w:val="26"/>
              </w:rPr>
              <w:t>302690</w:t>
            </w:r>
            <w:r w:rsidR="002661D6" w:rsidRPr="002B1DC2">
              <w:rPr>
                <w:color w:val="auto"/>
                <w:szCs w:val="26"/>
              </w:rPr>
              <w:t>2</w:t>
            </w:r>
          </w:p>
          <w:p w14:paraId="233E9B19" w14:textId="2EF9F3BB" w:rsidR="002A6A3C" w:rsidRPr="002B1DC2" w:rsidRDefault="002A6A3C" w:rsidP="00507A2B">
            <w:pPr>
              <w:spacing w:line="240" w:lineRule="auto"/>
              <w:rPr>
                <w:color w:val="auto"/>
                <w:szCs w:val="26"/>
              </w:rPr>
            </w:pPr>
            <w:r w:rsidRPr="002B1DC2">
              <w:rPr>
                <w:color w:val="auto"/>
                <w:szCs w:val="26"/>
              </w:rPr>
              <w:t>C-2021-3026</w:t>
            </w:r>
            <w:r w:rsidR="00493134" w:rsidRPr="002B1DC2">
              <w:rPr>
                <w:color w:val="auto"/>
                <w:szCs w:val="26"/>
              </w:rPr>
              <w:t>90</w:t>
            </w:r>
            <w:r w:rsidR="002661D6" w:rsidRPr="002B1DC2">
              <w:rPr>
                <w:color w:val="auto"/>
                <w:szCs w:val="26"/>
              </w:rPr>
              <w:t>4</w:t>
            </w:r>
          </w:p>
        </w:tc>
      </w:tr>
      <w:tr w:rsidR="002B1DC2" w:rsidRPr="002B1DC2" w14:paraId="59EB3D2A" w14:textId="77777777" w:rsidTr="00030E15">
        <w:tc>
          <w:tcPr>
            <w:tcW w:w="4230" w:type="dxa"/>
          </w:tcPr>
          <w:p w14:paraId="6E41B2B8" w14:textId="77777777" w:rsidR="00507A2B" w:rsidRPr="002B1DC2" w:rsidRDefault="00507A2B" w:rsidP="00507A2B">
            <w:pPr>
              <w:spacing w:line="240" w:lineRule="auto"/>
              <w:rPr>
                <w:color w:val="auto"/>
                <w:szCs w:val="26"/>
              </w:rPr>
            </w:pPr>
            <w:r w:rsidRPr="002B1DC2">
              <w:rPr>
                <w:noProof/>
                <w:color w:val="auto"/>
                <w:szCs w:val="26"/>
              </w:rPr>
              <w:t>Francis &amp; Mayra Sullivan</w:t>
            </w:r>
          </w:p>
        </w:tc>
        <w:tc>
          <w:tcPr>
            <w:tcW w:w="2340" w:type="dxa"/>
          </w:tcPr>
          <w:p w14:paraId="69721DB9" w14:textId="59200A49" w:rsidR="00507A2B" w:rsidRPr="002B1DC2" w:rsidRDefault="00507A2B" w:rsidP="00507A2B">
            <w:pPr>
              <w:spacing w:line="240" w:lineRule="auto"/>
              <w:rPr>
                <w:color w:val="auto"/>
                <w:szCs w:val="26"/>
              </w:rPr>
            </w:pPr>
            <w:r w:rsidRPr="002B1DC2">
              <w:rPr>
                <w:noProof/>
                <w:color w:val="auto"/>
                <w:szCs w:val="26"/>
              </w:rPr>
              <w:t>C-2021-302690</w:t>
            </w:r>
            <w:r w:rsidR="00E91010" w:rsidRPr="002B1DC2">
              <w:rPr>
                <w:noProof/>
                <w:color w:val="auto"/>
                <w:szCs w:val="26"/>
              </w:rPr>
              <w:t>9</w:t>
            </w:r>
          </w:p>
        </w:tc>
      </w:tr>
      <w:tr w:rsidR="002B1DC2" w:rsidRPr="002B1DC2" w14:paraId="2554A176" w14:textId="77777777" w:rsidTr="00030E15">
        <w:tc>
          <w:tcPr>
            <w:tcW w:w="4230" w:type="dxa"/>
          </w:tcPr>
          <w:p w14:paraId="309650DF" w14:textId="77777777" w:rsidR="00507A2B" w:rsidRPr="002B1DC2" w:rsidRDefault="00507A2B" w:rsidP="00507A2B">
            <w:pPr>
              <w:spacing w:line="240" w:lineRule="auto"/>
              <w:rPr>
                <w:color w:val="auto"/>
                <w:szCs w:val="26"/>
              </w:rPr>
            </w:pPr>
            <w:r w:rsidRPr="002B1DC2">
              <w:rPr>
                <w:noProof/>
                <w:color w:val="auto"/>
                <w:szCs w:val="26"/>
              </w:rPr>
              <w:t>David Shook</w:t>
            </w:r>
          </w:p>
        </w:tc>
        <w:tc>
          <w:tcPr>
            <w:tcW w:w="2340" w:type="dxa"/>
          </w:tcPr>
          <w:p w14:paraId="11A941F9" w14:textId="2AED14D6" w:rsidR="00507A2B" w:rsidRPr="002B1DC2" w:rsidRDefault="00507A2B" w:rsidP="00507A2B">
            <w:pPr>
              <w:spacing w:line="240" w:lineRule="auto"/>
              <w:rPr>
                <w:color w:val="auto"/>
                <w:szCs w:val="26"/>
              </w:rPr>
            </w:pPr>
            <w:r w:rsidRPr="002B1DC2">
              <w:rPr>
                <w:noProof/>
                <w:color w:val="auto"/>
                <w:szCs w:val="26"/>
              </w:rPr>
              <w:t>C-2021-302691</w:t>
            </w:r>
            <w:r w:rsidR="008C2333" w:rsidRPr="002B1DC2">
              <w:rPr>
                <w:noProof/>
                <w:color w:val="auto"/>
                <w:szCs w:val="26"/>
              </w:rPr>
              <w:t>2</w:t>
            </w:r>
          </w:p>
        </w:tc>
      </w:tr>
      <w:tr w:rsidR="002B1DC2" w:rsidRPr="002B1DC2" w14:paraId="019530AC" w14:textId="77777777" w:rsidTr="00030E15">
        <w:tc>
          <w:tcPr>
            <w:tcW w:w="4230" w:type="dxa"/>
          </w:tcPr>
          <w:p w14:paraId="52F1BE67" w14:textId="77777777" w:rsidR="00507A2B" w:rsidRPr="002B1DC2" w:rsidRDefault="00507A2B" w:rsidP="00507A2B">
            <w:pPr>
              <w:spacing w:line="240" w:lineRule="auto"/>
              <w:rPr>
                <w:color w:val="auto"/>
                <w:szCs w:val="26"/>
              </w:rPr>
            </w:pPr>
            <w:r w:rsidRPr="002B1DC2">
              <w:rPr>
                <w:noProof/>
                <w:color w:val="auto"/>
                <w:szCs w:val="26"/>
              </w:rPr>
              <w:t>Wesley &amp; Mildred Mann</w:t>
            </w:r>
          </w:p>
        </w:tc>
        <w:tc>
          <w:tcPr>
            <w:tcW w:w="2340" w:type="dxa"/>
          </w:tcPr>
          <w:p w14:paraId="1F224A9D" w14:textId="7BA75D3B" w:rsidR="00507A2B" w:rsidRPr="002B1DC2" w:rsidRDefault="00507A2B" w:rsidP="00507A2B">
            <w:pPr>
              <w:spacing w:line="240" w:lineRule="auto"/>
              <w:rPr>
                <w:color w:val="auto"/>
                <w:szCs w:val="26"/>
              </w:rPr>
            </w:pPr>
            <w:r w:rsidRPr="002B1DC2">
              <w:rPr>
                <w:noProof/>
                <w:color w:val="auto"/>
                <w:szCs w:val="26"/>
              </w:rPr>
              <w:t>C-2021-302691</w:t>
            </w:r>
            <w:r w:rsidR="009A2613" w:rsidRPr="002B1DC2">
              <w:rPr>
                <w:noProof/>
                <w:color w:val="auto"/>
                <w:szCs w:val="26"/>
              </w:rPr>
              <w:t>4</w:t>
            </w:r>
          </w:p>
        </w:tc>
      </w:tr>
      <w:tr w:rsidR="002B1DC2" w:rsidRPr="002B1DC2" w14:paraId="7786742A" w14:textId="77777777" w:rsidTr="00030E15">
        <w:tc>
          <w:tcPr>
            <w:tcW w:w="4230" w:type="dxa"/>
          </w:tcPr>
          <w:p w14:paraId="1311D9DE" w14:textId="77777777" w:rsidR="00507A2B" w:rsidRPr="002B1DC2" w:rsidRDefault="00507A2B" w:rsidP="00507A2B">
            <w:pPr>
              <w:spacing w:line="240" w:lineRule="auto"/>
              <w:rPr>
                <w:noProof/>
                <w:color w:val="auto"/>
                <w:szCs w:val="26"/>
              </w:rPr>
            </w:pPr>
            <w:r w:rsidRPr="002B1DC2">
              <w:rPr>
                <w:noProof/>
                <w:color w:val="auto"/>
                <w:szCs w:val="26"/>
              </w:rPr>
              <w:t>Romulo Babaan</w:t>
            </w:r>
          </w:p>
          <w:p w14:paraId="5378DC79" w14:textId="34962488" w:rsidR="00A2562D" w:rsidRPr="002B1DC2" w:rsidRDefault="00A2562D" w:rsidP="00507A2B">
            <w:pPr>
              <w:spacing w:line="240" w:lineRule="auto"/>
              <w:rPr>
                <w:color w:val="auto"/>
                <w:szCs w:val="26"/>
              </w:rPr>
            </w:pPr>
            <w:r w:rsidRPr="002B1DC2">
              <w:rPr>
                <w:color w:val="auto"/>
                <w:szCs w:val="26"/>
              </w:rPr>
              <w:t>Walker Cambrelen</w:t>
            </w:r>
          </w:p>
        </w:tc>
        <w:tc>
          <w:tcPr>
            <w:tcW w:w="2340" w:type="dxa"/>
          </w:tcPr>
          <w:p w14:paraId="6335D77F" w14:textId="77777777" w:rsidR="00507A2B" w:rsidRPr="002B1DC2" w:rsidRDefault="00507A2B" w:rsidP="00507A2B">
            <w:pPr>
              <w:spacing w:line="240" w:lineRule="auto"/>
              <w:rPr>
                <w:noProof/>
                <w:color w:val="auto"/>
                <w:szCs w:val="26"/>
              </w:rPr>
            </w:pPr>
            <w:r w:rsidRPr="002B1DC2">
              <w:rPr>
                <w:noProof/>
                <w:color w:val="auto"/>
                <w:szCs w:val="26"/>
              </w:rPr>
              <w:t>C-2021-302691</w:t>
            </w:r>
            <w:r w:rsidR="003A2321" w:rsidRPr="002B1DC2">
              <w:rPr>
                <w:noProof/>
                <w:color w:val="auto"/>
                <w:szCs w:val="26"/>
              </w:rPr>
              <w:t>9</w:t>
            </w:r>
          </w:p>
          <w:p w14:paraId="5EAEEB51" w14:textId="6BEEF1FF" w:rsidR="00A2562D" w:rsidRPr="002B1DC2" w:rsidRDefault="00A2562D" w:rsidP="00507A2B">
            <w:pPr>
              <w:spacing w:line="240" w:lineRule="auto"/>
              <w:rPr>
                <w:color w:val="auto"/>
                <w:szCs w:val="26"/>
              </w:rPr>
            </w:pPr>
            <w:r w:rsidRPr="002B1DC2">
              <w:rPr>
                <w:color w:val="auto"/>
                <w:szCs w:val="26"/>
              </w:rPr>
              <w:t>C-2021-30269</w:t>
            </w:r>
            <w:r w:rsidR="00874773" w:rsidRPr="002B1DC2">
              <w:rPr>
                <w:color w:val="auto"/>
                <w:szCs w:val="26"/>
              </w:rPr>
              <w:t>21</w:t>
            </w:r>
          </w:p>
        </w:tc>
      </w:tr>
      <w:tr w:rsidR="002B1DC2" w:rsidRPr="002B1DC2" w14:paraId="7C08F98E" w14:textId="77777777" w:rsidTr="00030E15">
        <w:tc>
          <w:tcPr>
            <w:tcW w:w="4230" w:type="dxa"/>
          </w:tcPr>
          <w:p w14:paraId="7C23651E" w14:textId="194BF591" w:rsidR="00507A2B" w:rsidRPr="002B1DC2" w:rsidRDefault="00507A2B" w:rsidP="00507A2B">
            <w:pPr>
              <w:spacing w:line="240" w:lineRule="auto"/>
              <w:rPr>
                <w:color w:val="auto"/>
                <w:szCs w:val="26"/>
              </w:rPr>
            </w:pPr>
            <w:r w:rsidRPr="002B1DC2">
              <w:rPr>
                <w:noProof/>
                <w:color w:val="auto"/>
                <w:szCs w:val="26"/>
              </w:rPr>
              <w:t>Catherine Gilchrist</w:t>
            </w:r>
            <w:r w:rsidR="00E94625" w:rsidRPr="002B1DC2">
              <w:rPr>
                <w:noProof/>
                <w:color w:val="auto"/>
                <w:szCs w:val="26"/>
              </w:rPr>
              <w:t>-Yanluis</w:t>
            </w:r>
          </w:p>
        </w:tc>
        <w:tc>
          <w:tcPr>
            <w:tcW w:w="2340" w:type="dxa"/>
          </w:tcPr>
          <w:p w14:paraId="74EB2575" w14:textId="13DC31E9" w:rsidR="00507A2B" w:rsidRPr="002B1DC2" w:rsidRDefault="00507A2B" w:rsidP="00507A2B">
            <w:pPr>
              <w:spacing w:line="240" w:lineRule="auto"/>
              <w:rPr>
                <w:color w:val="auto"/>
                <w:szCs w:val="26"/>
              </w:rPr>
            </w:pPr>
            <w:r w:rsidRPr="002B1DC2">
              <w:rPr>
                <w:noProof/>
                <w:color w:val="auto"/>
                <w:szCs w:val="26"/>
              </w:rPr>
              <w:t>C-2021-302692</w:t>
            </w:r>
            <w:r w:rsidR="00E94625" w:rsidRPr="002B1DC2">
              <w:rPr>
                <w:noProof/>
                <w:color w:val="auto"/>
                <w:szCs w:val="26"/>
              </w:rPr>
              <w:t>4</w:t>
            </w:r>
          </w:p>
        </w:tc>
      </w:tr>
      <w:tr w:rsidR="002B1DC2" w:rsidRPr="002B1DC2" w14:paraId="6D93E9B1" w14:textId="77777777" w:rsidTr="00030E15">
        <w:tc>
          <w:tcPr>
            <w:tcW w:w="4230" w:type="dxa"/>
          </w:tcPr>
          <w:p w14:paraId="7F5AA6C1" w14:textId="77777777" w:rsidR="00507A2B" w:rsidRPr="002B1DC2" w:rsidRDefault="00507A2B" w:rsidP="00507A2B">
            <w:pPr>
              <w:spacing w:line="240" w:lineRule="auto"/>
              <w:rPr>
                <w:noProof/>
                <w:color w:val="auto"/>
                <w:szCs w:val="26"/>
              </w:rPr>
            </w:pPr>
            <w:r w:rsidRPr="002B1DC2">
              <w:rPr>
                <w:noProof/>
                <w:color w:val="auto"/>
                <w:szCs w:val="26"/>
              </w:rPr>
              <w:t xml:space="preserve">Gwendolyn Beckford Wilson </w:t>
            </w:r>
          </w:p>
          <w:p w14:paraId="53BC4927" w14:textId="77777777" w:rsidR="00507A2B" w:rsidRPr="002B1DC2" w:rsidRDefault="00507A2B" w:rsidP="00507A2B">
            <w:pPr>
              <w:spacing w:line="240" w:lineRule="auto"/>
              <w:ind w:left="720"/>
              <w:rPr>
                <w:color w:val="auto"/>
                <w:szCs w:val="26"/>
              </w:rPr>
            </w:pPr>
            <w:r w:rsidRPr="002B1DC2">
              <w:rPr>
                <w:noProof/>
                <w:color w:val="auto"/>
                <w:szCs w:val="26"/>
              </w:rPr>
              <w:t>&amp; Mark Lillery</w:t>
            </w:r>
          </w:p>
        </w:tc>
        <w:tc>
          <w:tcPr>
            <w:tcW w:w="2340" w:type="dxa"/>
          </w:tcPr>
          <w:p w14:paraId="794F2D90" w14:textId="071A6B72" w:rsidR="00507A2B" w:rsidRPr="002B1DC2" w:rsidRDefault="00507A2B" w:rsidP="00507A2B">
            <w:pPr>
              <w:spacing w:line="240" w:lineRule="auto"/>
              <w:rPr>
                <w:color w:val="auto"/>
                <w:szCs w:val="26"/>
              </w:rPr>
            </w:pPr>
            <w:r w:rsidRPr="002B1DC2">
              <w:rPr>
                <w:noProof/>
                <w:color w:val="auto"/>
                <w:szCs w:val="26"/>
              </w:rPr>
              <w:t>C-2021-302692</w:t>
            </w:r>
            <w:r w:rsidR="00A11842" w:rsidRPr="002B1DC2">
              <w:rPr>
                <w:noProof/>
                <w:color w:val="auto"/>
                <w:szCs w:val="26"/>
              </w:rPr>
              <w:t>6</w:t>
            </w:r>
          </w:p>
        </w:tc>
      </w:tr>
      <w:tr w:rsidR="002B1DC2" w:rsidRPr="002B1DC2" w14:paraId="573AE4B5" w14:textId="77777777" w:rsidTr="00030E15">
        <w:tc>
          <w:tcPr>
            <w:tcW w:w="4230" w:type="dxa"/>
          </w:tcPr>
          <w:p w14:paraId="723B4627" w14:textId="77777777" w:rsidR="00507A2B" w:rsidRPr="002B1DC2" w:rsidRDefault="00507A2B" w:rsidP="00507A2B">
            <w:pPr>
              <w:spacing w:line="240" w:lineRule="auto"/>
              <w:rPr>
                <w:noProof/>
                <w:color w:val="auto"/>
                <w:szCs w:val="26"/>
              </w:rPr>
            </w:pPr>
            <w:r w:rsidRPr="002B1DC2">
              <w:rPr>
                <w:noProof/>
                <w:color w:val="auto"/>
                <w:szCs w:val="26"/>
              </w:rPr>
              <w:t>Sheila Hunt</w:t>
            </w:r>
          </w:p>
          <w:p w14:paraId="5E791938" w14:textId="2E8D95AC" w:rsidR="002E134D" w:rsidRPr="002B1DC2" w:rsidRDefault="002E134D" w:rsidP="00507A2B">
            <w:pPr>
              <w:spacing w:line="240" w:lineRule="auto"/>
              <w:rPr>
                <w:color w:val="auto"/>
                <w:szCs w:val="26"/>
              </w:rPr>
            </w:pPr>
            <w:r w:rsidRPr="002B1DC2">
              <w:rPr>
                <w:color w:val="auto"/>
                <w:szCs w:val="26"/>
              </w:rPr>
              <w:t>Daniel &amp; Suzie Napolitano</w:t>
            </w:r>
          </w:p>
        </w:tc>
        <w:tc>
          <w:tcPr>
            <w:tcW w:w="2340" w:type="dxa"/>
          </w:tcPr>
          <w:p w14:paraId="442BEC30" w14:textId="3F762259" w:rsidR="00507A2B" w:rsidRPr="002B1DC2" w:rsidRDefault="00507A2B" w:rsidP="00507A2B">
            <w:pPr>
              <w:spacing w:line="240" w:lineRule="auto"/>
              <w:rPr>
                <w:noProof/>
                <w:color w:val="auto"/>
                <w:szCs w:val="26"/>
              </w:rPr>
            </w:pPr>
            <w:r w:rsidRPr="002B1DC2">
              <w:rPr>
                <w:noProof/>
                <w:color w:val="auto"/>
                <w:szCs w:val="26"/>
              </w:rPr>
              <w:t>C-2021-302693</w:t>
            </w:r>
            <w:r w:rsidR="00D45265" w:rsidRPr="002B1DC2">
              <w:rPr>
                <w:noProof/>
                <w:color w:val="auto"/>
                <w:szCs w:val="26"/>
              </w:rPr>
              <w:t>1</w:t>
            </w:r>
          </w:p>
          <w:p w14:paraId="66C9652A" w14:textId="3E3015B6" w:rsidR="002E134D" w:rsidRPr="002B1DC2" w:rsidRDefault="002E134D" w:rsidP="00507A2B">
            <w:pPr>
              <w:spacing w:line="240" w:lineRule="auto"/>
              <w:rPr>
                <w:color w:val="auto"/>
                <w:szCs w:val="26"/>
              </w:rPr>
            </w:pPr>
            <w:r w:rsidRPr="002B1DC2">
              <w:rPr>
                <w:color w:val="auto"/>
                <w:szCs w:val="26"/>
              </w:rPr>
              <w:t>C-2021-3026933</w:t>
            </w:r>
          </w:p>
        </w:tc>
      </w:tr>
      <w:tr w:rsidR="002B1DC2" w:rsidRPr="002B1DC2" w14:paraId="275309A1" w14:textId="77777777" w:rsidTr="00030E15">
        <w:tc>
          <w:tcPr>
            <w:tcW w:w="4230" w:type="dxa"/>
          </w:tcPr>
          <w:p w14:paraId="0964D58A" w14:textId="77777777" w:rsidR="00507A2B" w:rsidRPr="002B1DC2" w:rsidRDefault="00507A2B" w:rsidP="00507A2B">
            <w:pPr>
              <w:spacing w:line="240" w:lineRule="auto"/>
              <w:rPr>
                <w:color w:val="auto"/>
                <w:szCs w:val="26"/>
              </w:rPr>
            </w:pPr>
            <w:r w:rsidRPr="002B1DC2">
              <w:rPr>
                <w:noProof/>
                <w:color w:val="auto"/>
                <w:szCs w:val="26"/>
              </w:rPr>
              <w:t>Troy Coleman</w:t>
            </w:r>
          </w:p>
        </w:tc>
        <w:tc>
          <w:tcPr>
            <w:tcW w:w="2340" w:type="dxa"/>
          </w:tcPr>
          <w:p w14:paraId="7C60C42E" w14:textId="1855A938" w:rsidR="00507A2B" w:rsidRPr="002B1DC2" w:rsidRDefault="00507A2B" w:rsidP="00507A2B">
            <w:pPr>
              <w:spacing w:line="240" w:lineRule="auto"/>
              <w:rPr>
                <w:color w:val="auto"/>
                <w:szCs w:val="26"/>
              </w:rPr>
            </w:pPr>
            <w:r w:rsidRPr="002B1DC2">
              <w:rPr>
                <w:noProof/>
                <w:color w:val="auto"/>
                <w:szCs w:val="26"/>
              </w:rPr>
              <w:t>C-2021-30269</w:t>
            </w:r>
            <w:r w:rsidR="005F48A0" w:rsidRPr="002B1DC2">
              <w:rPr>
                <w:noProof/>
                <w:color w:val="auto"/>
                <w:szCs w:val="26"/>
              </w:rPr>
              <w:t>42</w:t>
            </w:r>
          </w:p>
        </w:tc>
      </w:tr>
      <w:tr w:rsidR="002B1DC2" w:rsidRPr="002B1DC2" w14:paraId="549808B2" w14:textId="77777777" w:rsidTr="00030E15">
        <w:tc>
          <w:tcPr>
            <w:tcW w:w="4230" w:type="dxa"/>
          </w:tcPr>
          <w:p w14:paraId="37A53523" w14:textId="77777777" w:rsidR="00507A2B" w:rsidRPr="002B1DC2" w:rsidRDefault="00507A2B" w:rsidP="00507A2B">
            <w:pPr>
              <w:spacing w:line="240" w:lineRule="auto"/>
              <w:rPr>
                <w:color w:val="auto"/>
                <w:szCs w:val="26"/>
              </w:rPr>
            </w:pPr>
            <w:r w:rsidRPr="002B1DC2">
              <w:rPr>
                <w:noProof/>
                <w:color w:val="auto"/>
                <w:szCs w:val="26"/>
              </w:rPr>
              <w:t>Moshe Mitchel</w:t>
            </w:r>
          </w:p>
        </w:tc>
        <w:tc>
          <w:tcPr>
            <w:tcW w:w="2340" w:type="dxa"/>
          </w:tcPr>
          <w:p w14:paraId="57F45CC6" w14:textId="178E19F7" w:rsidR="00507A2B" w:rsidRPr="002B1DC2" w:rsidRDefault="00507A2B" w:rsidP="00507A2B">
            <w:pPr>
              <w:spacing w:line="240" w:lineRule="auto"/>
              <w:rPr>
                <w:color w:val="auto"/>
                <w:szCs w:val="26"/>
              </w:rPr>
            </w:pPr>
            <w:r w:rsidRPr="002B1DC2">
              <w:rPr>
                <w:noProof/>
                <w:color w:val="auto"/>
                <w:szCs w:val="26"/>
              </w:rPr>
              <w:t>C-2021-302694</w:t>
            </w:r>
            <w:r w:rsidR="003F03B7" w:rsidRPr="002B1DC2">
              <w:rPr>
                <w:noProof/>
                <w:color w:val="auto"/>
                <w:szCs w:val="26"/>
              </w:rPr>
              <w:t>4</w:t>
            </w:r>
          </w:p>
        </w:tc>
      </w:tr>
      <w:tr w:rsidR="004C0EF3" w:rsidRPr="002B1DC2" w14:paraId="4615E27A" w14:textId="77777777" w:rsidTr="00030E15">
        <w:tc>
          <w:tcPr>
            <w:tcW w:w="4230" w:type="dxa"/>
          </w:tcPr>
          <w:p w14:paraId="63B5F900" w14:textId="7838CEF7" w:rsidR="004C0EF3" w:rsidRPr="002B1DC2" w:rsidRDefault="002B4771" w:rsidP="00507A2B">
            <w:pPr>
              <w:spacing w:line="240" w:lineRule="auto"/>
              <w:rPr>
                <w:noProof/>
                <w:color w:val="auto"/>
                <w:szCs w:val="26"/>
              </w:rPr>
            </w:pPr>
            <w:r>
              <w:rPr>
                <w:noProof/>
                <w:color w:val="auto"/>
                <w:szCs w:val="26"/>
              </w:rPr>
              <w:t>Clifford &amp; Cindy McNeil</w:t>
            </w:r>
          </w:p>
        </w:tc>
        <w:tc>
          <w:tcPr>
            <w:tcW w:w="2340" w:type="dxa"/>
          </w:tcPr>
          <w:p w14:paraId="571E725B" w14:textId="6C296E1A" w:rsidR="004C0EF3" w:rsidRPr="002B1DC2" w:rsidRDefault="002B4771" w:rsidP="00507A2B">
            <w:pPr>
              <w:spacing w:line="240" w:lineRule="auto"/>
              <w:rPr>
                <w:noProof/>
                <w:color w:val="auto"/>
                <w:szCs w:val="26"/>
              </w:rPr>
            </w:pPr>
            <w:r>
              <w:rPr>
                <w:noProof/>
                <w:color w:val="auto"/>
                <w:szCs w:val="26"/>
              </w:rPr>
              <w:t>C-2021-3026946</w:t>
            </w:r>
          </w:p>
        </w:tc>
      </w:tr>
      <w:tr w:rsidR="002B1DC2" w:rsidRPr="002B1DC2" w14:paraId="75CD3787" w14:textId="77777777" w:rsidTr="00030E15">
        <w:tc>
          <w:tcPr>
            <w:tcW w:w="4230" w:type="dxa"/>
          </w:tcPr>
          <w:p w14:paraId="1587D0C7" w14:textId="77777777" w:rsidR="00507A2B" w:rsidRPr="002B1DC2" w:rsidRDefault="00507A2B" w:rsidP="00507A2B">
            <w:pPr>
              <w:spacing w:line="240" w:lineRule="auto"/>
              <w:rPr>
                <w:noProof/>
                <w:color w:val="auto"/>
                <w:szCs w:val="26"/>
              </w:rPr>
            </w:pPr>
            <w:r w:rsidRPr="002B1DC2">
              <w:rPr>
                <w:noProof/>
                <w:color w:val="auto"/>
                <w:szCs w:val="26"/>
              </w:rPr>
              <w:t>Michael Kotowski</w:t>
            </w:r>
          </w:p>
          <w:p w14:paraId="52086297" w14:textId="09C144FF" w:rsidR="00777642" w:rsidRPr="002B1DC2" w:rsidRDefault="00777642" w:rsidP="00507A2B">
            <w:pPr>
              <w:spacing w:line="240" w:lineRule="auto"/>
              <w:rPr>
                <w:color w:val="auto"/>
                <w:szCs w:val="26"/>
              </w:rPr>
            </w:pPr>
            <w:r w:rsidRPr="002B1DC2">
              <w:rPr>
                <w:color w:val="auto"/>
                <w:szCs w:val="26"/>
              </w:rPr>
              <w:t>Ovidio &amp; Aixa Martinez</w:t>
            </w:r>
          </w:p>
        </w:tc>
        <w:tc>
          <w:tcPr>
            <w:tcW w:w="2340" w:type="dxa"/>
          </w:tcPr>
          <w:p w14:paraId="2C2FD169" w14:textId="77777777" w:rsidR="00507A2B" w:rsidRPr="002B1DC2" w:rsidRDefault="00507A2B" w:rsidP="00507A2B">
            <w:pPr>
              <w:spacing w:line="240" w:lineRule="auto"/>
              <w:rPr>
                <w:noProof/>
                <w:color w:val="auto"/>
                <w:szCs w:val="26"/>
              </w:rPr>
            </w:pPr>
            <w:r w:rsidRPr="002B1DC2">
              <w:rPr>
                <w:noProof/>
                <w:color w:val="auto"/>
                <w:szCs w:val="26"/>
              </w:rPr>
              <w:t>C-2021-302694</w:t>
            </w:r>
            <w:r w:rsidR="007918A5" w:rsidRPr="002B1DC2">
              <w:rPr>
                <w:noProof/>
                <w:color w:val="auto"/>
                <w:szCs w:val="26"/>
              </w:rPr>
              <w:t>7</w:t>
            </w:r>
          </w:p>
          <w:p w14:paraId="26BB2D7F" w14:textId="33042C0D" w:rsidR="00910B33" w:rsidRPr="002B1DC2" w:rsidRDefault="00777642" w:rsidP="00507A2B">
            <w:pPr>
              <w:spacing w:line="240" w:lineRule="auto"/>
              <w:rPr>
                <w:color w:val="auto"/>
                <w:szCs w:val="26"/>
              </w:rPr>
            </w:pPr>
            <w:r w:rsidRPr="002B1DC2">
              <w:rPr>
                <w:color w:val="auto"/>
                <w:szCs w:val="26"/>
              </w:rPr>
              <w:t>C-2021-3026958</w:t>
            </w:r>
          </w:p>
        </w:tc>
      </w:tr>
      <w:tr w:rsidR="002B1DC2" w:rsidRPr="002B1DC2" w14:paraId="2AF0638E" w14:textId="77777777" w:rsidTr="00030E15">
        <w:tc>
          <w:tcPr>
            <w:tcW w:w="4230" w:type="dxa"/>
          </w:tcPr>
          <w:p w14:paraId="7AF557D3" w14:textId="77777777" w:rsidR="00507A2B" w:rsidRPr="002B1DC2" w:rsidRDefault="00507A2B" w:rsidP="00507A2B">
            <w:pPr>
              <w:spacing w:line="240" w:lineRule="auto"/>
              <w:rPr>
                <w:color w:val="auto"/>
                <w:szCs w:val="26"/>
              </w:rPr>
            </w:pPr>
            <w:r w:rsidRPr="002B1DC2">
              <w:rPr>
                <w:noProof/>
                <w:color w:val="auto"/>
                <w:szCs w:val="26"/>
              </w:rPr>
              <w:t>Henry Kotowski</w:t>
            </w:r>
          </w:p>
        </w:tc>
        <w:tc>
          <w:tcPr>
            <w:tcW w:w="2340" w:type="dxa"/>
          </w:tcPr>
          <w:p w14:paraId="313720C1" w14:textId="30B554A5" w:rsidR="00507A2B" w:rsidRPr="002B1DC2" w:rsidRDefault="00507A2B" w:rsidP="00507A2B">
            <w:pPr>
              <w:spacing w:line="240" w:lineRule="auto"/>
              <w:rPr>
                <w:color w:val="auto"/>
                <w:szCs w:val="26"/>
              </w:rPr>
            </w:pPr>
            <w:r w:rsidRPr="002B1DC2">
              <w:rPr>
                <w:noProof/>
                <w:color w:val="auto"/>
                <w:szCs w:val="26"/>
              </w:rPr>
              <w:t>C-2021-302</w:t>
            </w:r>
            <w:r w:rsidR="000D45A3" w:rsidRPr="002B1DC2">
              <w:rPr>
                <w:noProof/>
                <w:color w:val="auto"/>
                <w:szCs w:val="26"/>
              </w:rPr>
              <w:t>69</w:t>
            </w:r>
            <w:r w:rsidR="000E080A" w:rsidRPr="002B1DC2">
              <w:rPr>
                <w:noProof/>
                <w:color w:val="auto"/>
                <w:szCs w:val="26"/>
              </w:rPr>
              <w:t>51</w:t>
            </w:r>
          </w:p>
        </w:tc>
      </w:tr>
      <w:tr w:rsidR="002B1DC2" w:rsidRPr="002B1DC2" w14:paraId="0B17D2E1" w14:textId="77777777" w:rsidTr="00030E15">
        <w:tc>
          <w:tcPr>
            <w:tcW w:w="4230" w:type="dxa"/>
          </w:tcPr>
          <w:p w14:paraId="63281773" w14:textId="77777777" w:rsidR="00507A2B" w:rsidRPr="002B1DC2" w:rsidRDefault="00507A2B" w:rsidP="00507A2B">
            <w:pPr>
              <w:spacing w:line="240" w:lineRule="auto"/>
              <w:rPr>
                <w:color w:val="auto"/>
                <w:szCs w:val="26"/>
              </w:rPr>
            </w:pPr>
            <w:r w:rsidRPr="002B1DC2">
              <w:rPr>
                <w:noProof/>
                <w:color w:val="auto"/>
                <w:szCs w:val="26"/>
              </w:rPr>
              <w:t>Richard Rice</w:t>
            </w:r>
          </w:p>
        </w:tc>
        <w:tc>
          <w:tcPr>
            <w:tcW w:w="2340" w:type="dxa"/>
          </w:tcPr>
          <w:p w14:paraId="141880F4" w14:textId="5FF2B171" w:rsidR="00507A2B" w:rsidRPr="002B1DC2" w:rsidRDefault="00507A2B" w:rsidP="00507A2B">
            <w:pPr>
              <w:spacing w:line="240" w:lineRule="auto"/>
              <w:rPr>
                <w:color w:val="auto"/>
                <w:szCs w:val="26"/>
              </w:rPr>
            </w:pPr>
            <w:r w:rsidRPr="002B1DC2">
              <w:rPr>
                <w:noProof/>
                <w:color w:val="auto"/>
                <w:szCs w:val="26"/>
              </w:rPr>
              <w:t>C-2021-302695</w:t>
            </w:r>
            <w:r w:rsidR="00AE6053" w:rsidRPr="002B1DC2">
              <w:rPr>
                <w:noProof/>
                <w:color w:val="auto"/>
                <w:szCs w:val="26"/>
              </w:rPr>
              <w:t>3</w:t>
            </w:r>
          </w:p>
        </w:tc>
      </w:tr>
      <w:tr w:rsidR="002B1DC2" w:rsidRPr="002B1DC2" w14:paraId="354F3822" w14:textId="77777777" w:rsidTr="00030E15">
        <w:tc>
          <w:tcPr>
            <w:tcW w:w="4230" w:type="dxa"/>
          </w:tcPr>
          <w:p w14:paraId="2C01CB18" w14:textId="77777777" w:rsidR="00507A2B" w:rsidRPr="002B1DC2" w:rsidRDefault="00507A2B" w:rsidP="00507A2B">
            <w:pPr>
              <w:spacing w:line="240" w:lineRule="auto"/>
              <w:rPr>
                <w:color w:val="auto"/>
                <w:szCs w:val="26"/>
              </w:rPr>
            </w:pPr>
            <w:r w:rsidRPr="002B1DC2">
              <w:rPr>
                <w:noProof/>
                <w:color w:val="auto"/>
                <w:szCs w:val="26"/>
              </w:rPr>
              <w:t>Thomas &amp; Patricia Parillo</w:t>
            </w:r>
          </w:p>
        </w:tc>
        <w:tc>
          <w:tcPr>
            <w:tcW w:w="2340" w:type="dxa"/>
          </w:tcPr>
          <w:p w14:paraId="5BD92AE3" w14:textId="325D4EE3" w:rsidR="00507A2B" w:rsidRPr="002B1DC2" w:rsidRDefault="00507A2B" w:rsidP="00507A2B">
            <w:pPr>
              <w:spacing w:line="240" w:lineRule="auto"/>
              <w:rPr>
                <w:color w:val="auto"/>
                <w:szCs w:val="26"/>
              </w:rPr>
            </w:pPr>
            <w:r w:rsidRPr="002B1DC2">
              <w:rPr>
                <w:noProof/>
                <w:color w:val="auto"/>
                <w:szCs w:val="26"/>
              </w:rPr>
              <w:t>C-2021-302695</w:t>
            </w:r>
            <w:r w:rsidR="0032234B" w:rsidRPr="002B1DC2">
              <w:rPr>
                <w:noProof/>
                <w:color w:val="auto"/>
                <w:szCs w:val="26"/>
              </w:rPr>
              <w:t>6</w:t>
            </w:r>
          </w:p>
        </w:tc>
      </w:tr>
      <w:tr w:rsidR="002B1DC2" w:rsidRPr="002B1DC2" w14:paraId="130B6D9B" w14:textId="77777777" w:rsidTr="00030E15">
        <w:tc>
          <w:tcPr>
            <w:tcW w:w="4230" w:type="dxa"/>
          </w:tcPr>
          <w:p w14:paraId="3B2938E2" w14:textId="77777777" w:rsidR="00507A2B" w:rsidRPr="002B1DC2" w:rsidRDefault="00507A2B" w:rsidP="00507A2B">
            <w:pPr>
              <w:spacing w:line="240" w:lineRule="auto"/>
              <w:rPr>
                <w:color w:val="auto"/>
                <w:szCs w:val="26"/>
              </w:rPr>
            </w:pPr>
            <w:r w:rsidRPr="002B1DC2">
              <w:rPr>
                <w:noProof/>
                <w:color w:val="auto"/>
                <w:szCs w:val="26"/>
              </w:rPr>
              <w:t>Grace Moro</w:t>
            </w:r>
          </w:p>
        </w:tc>
        <w:tc>
          <w:tcPr>
            <w:tcW w:w="2340" w:type="dxa"/>
          </w:tcPr>
          <w:p w14:paraId="37780959" w14:textId="65ABEB16" w:rsidR="00507A2B" w:rsidRPr="002B1DC2" w:rsidRDefault="00507A2B" w:rsidP="00507A2B">
            <w:pPr>
              <w:spacing w:line="240" w:lineRule="auto"/>
              <w:rPr>
                <w:color w:val="auto"/>
                <w:szCs w:val="26"/>
              </w:rPr>
            </w:pPr>
            <w:r w:rsidRPr="002B1DC2">
              <w:rPr>
                <w:noProof/>
                <w:color w:val="auto"/>
                <w:szCs w:val="26"/>
              </w:rPr>
              <w:t>C-2021-302696</w:t>
            </w:r>
            <w:r w:rsidR="00C85ECA" w:rsidRPr="002B1DC2">
              <w:rPr>
                <w:noProof/>
                <w:color w:val="auto"/>
                <w:szCs w:val="26"/>
              </w:rPr>
              <w:t>7</w:t>
            </w:r>
          </w:p>
        </w:tc>
      </w:tr>
      <w:tr w:rsidR="002B1DC2" w:rsidRPr="002B1DC2" w14:paraId="7F1940FA" w14:textId="77777777" w:rsidTr="00030E15">
        <w:tc>
          <w:tcPr>
            <w:tcW w:w="4230" w:type="dxa"/>
          </w:tcPr>
          <w:p w14:paraId="387897B8" w14:textId="77777777" w:rsidR="00507A2B" w:rsidRPr="002B1DC2" w:rsidRDefault="00507A2B" w:rsidP="00507A2B">
            <w:pPr>
              <w:spacing w:line="240" w:lineRule="auto"/>
              <w:rPr>
                <w:color w:val="auto"/>
                <w:szCs w:val="26"/>
              </w:rPr>
            </w:pPr>
            <w:r w:rsidRPr="002B1DC2">
              <w:rPr>
                <w:noProof/>
                <w:color w:val="auto"/>
                <w:szCs w:val="26"/>
              </w:rPr>
              <w:t>Connie Friedfel</w:t>
            </w:r>
          </w:p>
        </w:tc>
        <w:tc>
          <w:tcPr>
            <w:tcW w:w="2340" w:type="dxa"/>
          </w:tcPr>
          <w:p w14:paraId="05614178" w14:textId="44D4E03D" w:rsidR="00507A2B" w:rsidRPr="002B1DC2" w:rsidRDefault="00507A2B" w:rsidP="00507A2B">
            <w:pPr>
              <w:spacing w:line="240" w:lineRule="auto"/>
              <w:rPr>
                <w:color w:val="auto"/>
                <w:szCs w:val="26"/>
              </w:rPr>
            </w:pPr>
            <w:r w:rsidRPr="002B1DC2">
              <w:rPr>
                <w:noProof/>
                <w:color w:val="auto"/>
                <w:szCs w:val="26"/>
              </w:rPr>
              <w:t>C-2021-302696</w:t>
            </w:r>
            <w:r w:rsidR="00815147" w:rsidRPr="002B1DC2">
              <w:rPr>
                <w:noProof/>
                <w:color w:val="auto"/>
                <w:szCs w:val="26"/>
              </w:rPr>
              <w:t>9</w:t>
            </w:r>
          </w:p>
        </w:tc>
      </w:tr>
      <w:tr w:rsidR="002B1DC2" w:rsidRPr="002B1DC2" w14:paraId="37D729AF" w14:textId="77777777" w:rsidTr="00030E15">
        <w:tc>
          <w:tcPr>
            <w:tcW w:w="4230" w:type="dxa"/>
          </w:tcPr>
          <w:p w14:paraId="06DEB35B" w14:textId="77777777" w:rsidR="00507A2B" w:rsidRPr="002B1DC2" w:rsidRDefault="00507A2B" w:rsidP="00507A2B">
            <w:pPr>
              <w:spacing w:line="240" w:lineRule="auto"/>
              <w:rPr>
                <w:color w:val="auto"/>
                <w:szCs w:val="26"/>
              </w:rPr>
            </w:pPr>
            <w:r w:rsidRPr="002B1DC2">
              <w:rPr>
                <w:noProof/>
                <w:color w:val="auto"/>
                <w:szCs w:val="26"/>
              </w:rPr>
              <w:t>Amos &amp; Kathelen Lawson</w:t>
            </w:r>
          </w:p>
        </w:tc>
        <w:tc>
          <w:tcPr>
            <w:tcW w:w="2340" w:type="dxa"/>
          </w:tcPr>
          <w:p w14:paraId="28935957" w14:textId="17107428" w:rsidR="00507A2B" w:rsidRPr="002B1DC2" w:rsidRDefault="00507A2B" w:rsidP="00507A2B">
            <w:pPr>
              <w:spacing w:line="240" w:lineRule="auto"/>
              <w:rPr>
                <w:color w:val="auto"/>
                <w:szCs w:val="26"/>
              </w:rPr>
            </w:pPr>
            <w:r w:rsidRPr="002B1DC2">
              <w:rPr>
                <w:noProof/>
                <w:color w:val="auto"/>
                <w:szCs w:val="26"/>
              </w:rPr>
              <w:t>C-2021-302697</w:t>
            </w:r>
            <w:r w:rsidR="00857889" w:rsidRPr="002B1DC2">
              <w:rPr>
                <w:noProof/>
                <w:color w:val="auto"/>
                <w:szCs w:val="26"/>
              </w:rPr>
              <w:t>2</w:t>
            </w:r>
          </w:p>
        </w:tc>
      </w:tr>
      <w:tr w:rsidR="002B1DC2" w:rsidRPr="002B1DC2" w14:paraId="65B6ADE1" w14:textId="77777777" w:rsidTr="00030E15">
        <w:tc>
          <w:tcPr>
            <w:tcW w:w="4230" w:type="dxa"/>
          </w:tcPr>
          <w:p w14:paraId="5466F890" w14:textId="77777777" w:rsidR="00507A2B" w:rsidRPr="002B1DC2" w:rsidRDefault="00507A2B" w:rsidP="00507A2B">
            <w:pPr>
              <w:spacing w:line="240" w:lineRule="auto"/>
              <w:rPr>
                <w:color w:val="auto"/>
                <w:szCs w:val="26"/>
              </w:rPr>
            </w:pPr>
            <w:r w:rsidRPr="002B1DC2">
              <w:rPr>
                <w:noProof/>
                <w:color w:val="auto"/>
                <w:szCs w:val="26"/>
              </w:rPr>
              <w:t>Dorothy &amp; Feisal Khan</w:t>
            </w:r>
          </w:p>
        </w:tc>
        <w:tc>
          <w:tcPr>
            <w:tcW w:w="2340" w:type="dxa"/>
          </w:tcPr>
          <w:p w14:paraId="0D5A8BED" w14:textId="60396AFF" w:rsidR="00507A2B" w:rsidRPr="002B1DC2" w:rsidRDefault="00507A2B" w:rsidP="00507A2B">
            <w:pPr>
              <w:spacing w:line="240" w:lineRule="auto"/>
              <w:rPr>
                <w:color w:val="auto"/>
                <w:szCs w:val="26"/>
              </w:rPr>
            </w:pPr>
            <w:r w:rsidRPr="002B1DC2">
              <w:rPr>
                <w:noProof/>
                <w:color w:val="auto"/>
                <w:szCs w:val="26"/>
              </w:rPr>
              <w:t>C-2021-302697</w:t>
            </w:r>
            <w:r w:rsidR="001D710D" w:rsidRPr="002B1DC2">
              <w:rPr>
                <w:noProof/>
                <w:color w:val="auto"/>
                <w:szCs w:val="26"/>
              </w:rPr>
              <w:t>4</w:t>
            </w:r>
          </w:p>
        </w:tc>
      </w:tr>
      <w:tr w:rsidR="002B1DC2" w:rsidRPr="002B1DC2" w14:paraId="71F64CF3" w14:textId="77777777" w:rsidTr="00030E15">
        <w:tc>
          <w:tcPr>
            <w:tcW w:w="4230" w:type="dxa"/>
          </w:tcPr>
          <w:p w14:paraId="2C398614" w14:textId="77777777" w:rsidR="00507A2B" w:rsidRPr="002B1DC2" w:rsidRDefault="00507A2B" w:rsidP="00507A2B">
            <w:pPr>
              <w:spacing w:line="240" w:lineRule="auto"/>
              <w:rPr>
                <w:color w:val="auto"/>
                <w:szCs w:val="26"/>
              </w:rPr>
            </w:pPr>
            <w:r w:rsidRPr="002B1DC2">
              <w:rPr>
                <w:noProof/>
                <w:color w:val="auto"/>
                <w:szCs w:val="26"/>
              </w:rPr>
              <w:t>Sharon Lloyd</w:t>
            </w:r>
          </w:p>
        </w:tc>
        <w:tc>
          <w:tcPr>
            <w:tcW w:w="2340" w:type="dxa"/>
          </w:tcPr>
          <w:p w14:paraId="35D971FA" w14:textId="416F8AFC" w:rsidR="00507A2B" w:rsidRPr="002B1DC2" w:rsidRDefault="00507A2B" w:rsidP="00507A2B">
            <w:pPr>
              <w:spacing w:line="240" w:lineRule="auto"/>
              <w:rPr>
                <w:color w:val="auto"/>
                <w:szCs w:val="26"/>
              </w:rPr>
            </w:pPr>
            <w:r w:rsidRPr="002B1DC2">
              <w:rPr>
                <w:noProof/>
                <w:color w:val="auto"/>
                <w:szCs w:val="26"/>
              </w:rPr>
              <w:t>C-2021-302697</w:t>
            </w:r>
            <w:r w:rsidR="00AE0F14" w:rsidRPr="002B1DC2">
              <w:rPr>
                <w:noProof/>
                <w:color w:val="auto"/>
                <w:szCs w:val="26"/>
              </w:rPr>
              <w:t>6</w:t>
            </w:r>
          </w:p>
        </w:tc>
      </w:tr>
      <w:tr w:rsidR="002B1DC2" w:rsidRPr="002B1DC2" w14:paraId="47FD1A8E" w14:textId="77777777" w:rsidTr="00030E15">
        <w:tc>
          <w:tcPr>
            <w:tcW w:w="4230" w:type="dxa"/>
          </w:tcPr>
          <w:p w14:paraId="10F2EAE9" w14:textId="77777777" w:rsidR="00507A2B" w:rsidRPr="002B1DC2" w:rsidRDefault="00507A2B" w:rsidP="00507A2B">
            <w:pPr>
              <w:spacing w:line="240" w:lineRule="auto"/>
              <w:rPr>
                <w:color w:val="auto"/>
                <w:szCs w:val="26"/>
              </w:rPr>
            </w:pPr>
            <w:r w:rsidRPr="002B1DC2">
              <w:rPr>
                <w:noProof/>
                <w:color w:val="auto"/>
                <w:szCs w:val="26"/>
              </w:rPr>
              <w:t>Usha Parhar</w:t>
            </w:r>
          </w:p>
        </w:tc>
        <w:tc>
          <w:tcPr>
            <w:tcW w:w="2340" w:type="dxa"/>
          </w:tcPr>
          <w:p w14:paraId="522A9E06" w14:textId="1F27C170" w:rsidR="00507A2B" w:rsidRPr="002B1DC2" w:rsidRDefault="00507A2B" w:rsidP="00507A2B">
            <w:pPr>
              <w:spacing w:line="240" w:lineRule="auto"/>
              <w:rPr>
                <w:color w:val="auto"/>
                <w:szCs w:val="26"/>
              </w:rPr>
            </w:pPr>
            <w:r w:rsidRPr="002B1DC2">
              <w:rPr>
                <w:noProof/>
                <w:color w:val="auto"/>
                <w:szCs w:val="26"/>
              </w:rPr>
              <w:t>C-2021-302698</w:t>
            </w:r>
            <w:r w:rsidR="00143EB0" w:rsidRPr="002B1DC2">
              <w:rPr>
                <w:noProof/>
                <w:color w:val="auto"/>
                <w:szCs w:val="26"/>
              </w:rPr>
              <w:t>6</w:t>
            </w:r>
          </w:p>
        </w:tc>
      </w:tr>
      <w:tr w:rsidR="002B1DC2" w:rsidRPr="002B1DC2" w14:paraId="0FA1F71B" w14:textId="77777777" w:rsidTr="00030E15">
        <w:tc>
          <w:tcPr>
            <w:tcW w:w="4230" w:type="dxa"/>
          </w:tcPr>
          <w:p w14:paraId="054BA454" w14:textId="77777777" w:rsidR="00507A2B" w:rsidRPr="002B1DC2" w:rsidRDefault="00507A2B" w:rsidP="00507A2B">
            <w:pPr>
              <w:spacing w:line="240" w:lineRule="auto"/>
              <w:rPr>
                <w:color w:val="auto"/>
                <w:szCs w:val="26"/>
              </w:rPr>
            </w:pPr>
            <w:r w:rsidRPr="002B1DC2">
              <w:rPr>
                <w:noProof/>
                <w:color w:val="auto"/>
                <w:szCs w:val="26"/>
              </w:rPr>
              <w:t>George Tirado</w:t>
            </w:r>
          </w:p>
        </w:tc>
        <w:tc>
          <w:tcPr>
            <w:tcW w:w="2340" w:type="dxa"/>
          </w:tcPr>
          <w:p w14:paraId="41EBD6F3" w14:textId="356260F6" w:rsidR="00507A2B" w:rsidRPr="002B1DC2" w:rsidRDefault="00507A2B" w:rsidP="00507A2B">
            <w:pPr>
              <w:spacing w:line="240" w:lineRule="auto"/>
              <w:rPr>
                <w:color w:val="auto"/>
                <w:szCs w:val="26"/>
              </w:rPr>
            </w:pPr>
            <w:r w:rsidRPr="002B1DC2">
              <w:rPr>
                <w:noProof/>
                <w:color w:val="auto"/>
                <w:szCs w:val="26"/>
              </w:rPr>
              <w:t>C-2021-30269</w:t>
            </w:r>
            <w:r w:rsidR="003801ED" w:rsidRPr="002B1DC2">
              <w:rPr>
                <w:noProof/>
                <w:color w:val="auto"/>
                <w:szCs w:val="26"/>
              </w:rPr>
              <w:t>90</w:t>
            </w:r>
          </w:p>
        </w:tc>
      </w:tr>
      <w:tr w:rsidR="002B1DC2" w:rsidRPr="002B1DC2" w14:paraId="77E6A860" w14:textId="77777777" w:rsidTr="00030E15">
        <w:tc>
          <w:tcPr>
            <w:tcW w:w="4230" w:type="dxa"/>
          </w:tcPr>
          <w:p w14:paraId="53917D95" w14:textId="77777777" w:rsidR="00507A2B" w:rsidRPr="002B1DC2" w:rsidRDefault="00507A2B" w:rsidP="00507A2B">
            <w:pPr>
              <w:spacing w:line="240" w:lineRule="auto"/>
              <w:rPr>
                <w:color w:val="auto"/>
                <w:szCs w:val="26"/>
              </w:rPr>
            </w:pPr>
            <w:r w:rsidRPr="002B1DC2">
              <w:rPr>
                <w:noProof/>
                <w:color w:val="auto"/>
                <w:szCs w:val="26"/>
              </w:rPr>
              <w:t>Timothy Weaver</w:t>
            </w:r>
          </w:p>
        </w:tc>
        <w:tc>
          <w:tcPr>
            <w:tcW w:w="2340" w:type="dxa"/>
          </w:tcPr>
          <w:p w14:paraId="0F8B8E81" w14:textId="77777777" w:rsidR="00507A2B" w:rsidRPr="002B1DC2" w:rsidRDefault="00507A2B" w:rsidP="00507A2B">
            <w:pPr>
              <w:spacing w:line="240" w:lineRule="auto"/>
              <w:rPr>
                <w:color w:val="auto"/>
                <w:szCs w:val="26"/>
              </w:rPr>
            </w:pPr>
            <w:r w:rsidRPr="002B1DC2">
              <w:rPr>
                <w:noProof/>
                <w:color w:val="auto"/>
                <w:szCs w:val="26"/>
              </w:rPr>
              <w:t>C-2021-3026991</w:t>
            </w:r>
          </w:p>
        </w:tc>
      </w:tr>
      <w:tr w:rsidR="002B1DC2" w:rsidRPr="002B1DC2" w14:paraId="29094679" w14:textId="77777777" w:rsidTr="00030E15">
        <w:tc>
          <w:tcPr>
            <w:tcW w:w="4230" w:type="dxa"/>
          </w:tcPr>
          <w:p w14:paraId="66D66FF2" w14:textId="77777777" w:rsidR="00507A2B" w:rsidRPr="002B1DC2" w:rsidRDefault="00507A2B" w:rsidP="00507A2B">
            <w:pPr>
              <w:spacing w:line="240" w:lineRule="auto"/>
              <w:rPr>
                <w:color w:val="auto"/>
                <w:szCs w:val="26"/>
              </w:rPr>
            </w:pPr>
            <w:r w:rsidRPr="002B1DC2">
              <w:rPr>
                <w:noProof/>
                <w:color w:val="auto"/>
                <w:szCs w:val="26"/>
              </w:rPr>
              <w:t>John Murphy</w:t>
            </w:r>
          </w:p>
        </w:tc>
        <w:tc>
          <w:tcPr>
            <w:tcW w:w="2340" w:type="dxa"/>
          </w:tcPr>
          <w:p w14:paraId="4B918788" w14:textId="61EF9FCA" w:rsidR="00507A2B" w:rsidRPr="002B1DC2" w:rsidRDefault="00507A2B" w:rsidP="00507A2B">
            <w:pPr>
              <w:spacing w:line="240" w:lineRule="auto"/>
              <w:rPr>
                <w:color w:val="auto"/>
                <w:szCs w:val="26"/>
              </w:rPr>
            </w:pPr>
            <w:r w:rsidRPr="002B1DC2">
              <w:rPr>
                <w:noProof/>
                <w:color w:val="auto"/>
                <w:szCs w:val="26"/>
              </w:rPr>
              <w:t>C-2021-30269</w:t>
            </w:r>
            <w:r w:rsidR="0068078D" w:rsidRPr="002B1DC2">
              <w:rPr>
                <w:noProof/>
                <w:color w:val="auto"/>
                <w:szCs w:val="26"/>
              </w:rPr>
              <w:t>94</w:t>
            </w:r>
          </w:p>
        </w:tc>
      </w:tr>
      <w:tr w:rsidR="00AE5FF8" w:rsidRPr="002B1DC2" w14:paraId="71E90959" w14:textId="77777777" w:rsidTr="00030E15">
        <w:tc>
          <w:tcPr>
            <w:tcW w:w="4230" w:type="dxa"/>
          </w:tcPr>
          <w:p w14:paraId="1CEFABAD" w14:textId="2C2B826D" w:rsidR="00AE5FF8" w:rsidRPr="002B1DC2" w:rsidRDefault="00AE5FF8" w:rsidP="00AE5FF8">
            <w:pPr>
              <w:spacing w:line="240" w:lineRule="auto"/>
              <w:rPr>
                <w:noProof/>
                <w:color w:val="auto"/>
                <w:szCs w:val="26"/>
              </w:rPr>
            </w:pPr>
            <w:r w:rsidRPr="002B1DC2">
              <w:rPr>
                <w:noProof/>
                <w:color w:val="auto"/>
                <w:szCs w:val="26"/>
              </w:rPr>
              <w:t>Yajaida Rodriguez</w:t>
            </w:r>
          </w:p>
        </w:tc>
        <w:tc>
          <w:tcPr>
            <w:tcW w:w="2340" w:type="dxa"/>
          </w:tcPr>
          <w:p w14:paraId="3199BCB4" w14:textId="1C376684" w:rsidR="00AE5FF8" w:rsidRPr="002B1DC2" w:rsidRDefault="00AE5FF8" w:rsidP="00AE5FF8">
            <w:pPr>
              <w:spacing w:line="240" w:lineRule="auto"/>
              <w:rPr>
                <w:noProof/>
                <w:color w:val="auto"/>
                <w:szCs w:val="26"/>
              </w:rPr>
            </w:pPr>
            <w:r w:rsidRPr="002B1DC2">
              <w:rPr>
                <w:noProof/>
                <w:color w:val="auto"/>
                <w:szCs w:val="26"/>
              </w:rPr>
              <w:t>C-2021-3026999</w:t>
            </w:r>
          </w:p>
        </w:tc>
      </w:tr>
      <w:tr w:rsidR="00AE5FF8" w:rsidRPr="002B1DC2" w14:paraId="76D01A47" w14:textId="77777777" w:rsidTr="00030E15">
        <w:tc>
          <w:tcPr>
            <w:tcW w:w="4230" w:type="dxa"/>
          </w:tcPr>
          <w:p w14:paraId="7C527473" w14:textId="7365E8EC" w:rsidR="00AE5FF8" w:rsidRPr="002B1DC2" w:rsidRDefault="00AE5FF8" w:rsidP="00AE5FF8">
            <w:pPr>
              <w:spacing w:line="240" w:lineRule="auto"/>
              <w:rPr>
                <w:noProof/>
                <w:color w:val="auto"/>
                <w:szCs w:val="26"/>
              </w:rPr>
            </w:pPr>
            <w:r w:rsidRPr="002B1DC2">
              <w:rPr>
                <w:noProof/>
                <w:color w:val="auto"/>
                <w:szCs w:val="26"/>
              </w:rPr>
              <w:t>Roger Fredericks</w:t>
            </w:r>
          </w:p>
        </w:tc>
        <w:tc>
          <w:tcPr>
            <w:tcW w:w="2340" w:type="dxa"/>
          </w:tcPr>
          <w:p w14:paraId="024A489B" w14:textId="27A59FCB" w:rsidR="00AE5FF8" w:rsidRPr="002B1DC2" w:rsidRDefault="00AE5FF8" w:rsidP="00AE5FF8">
            <w:pPr>
              <w:spacing w:line="240" w:lineRule="auto"/>
              <w:rPr>
                <w:noProof/>
                <w:color w:val="auto"/>
                <w:szCs w:val="26"/>
              </w:rPr>
            </w:pPr>
            <w:r w:rsidRPr="002B1DC2">
              <w:rPr>
                <w:noProof/>
                <w:color w:val="auto"/>
                <w:szCs w:val="26"/>
              </w:rPr>
              <w:t>C-2021-3027063</w:t>
            </w:r>
          </w:p>
        </w:tc>
      </w:tr>
      <w:tr w:rsidR="00AE5FF8" w:rsidRPr="002B1DC2" w14:paraId="5AC754DC" w14:textId="77777777" w:rsidTr="00030E15">
        <w:tc>
          <w:tcPr>
            <w:tcW w:w="4230" w:type="dxa"/>
          </w:tcPr>
          <w:p w14:paraId="3F6C873D" w14:textId="77777777" w:rsidR="00AE5FF8" w:rsidRPr="002B1DC2" w:rsidRDefault="00AE5FF8" w:rsidP="00AE5FF8">
            <w:pPr>
              <w:spacing w:line="240" w:lineRule="auto"/>
              <w:rPr>
                <w:color w:val="auto"/>
                <w:szCs w:val="26"/>
              </w:rPr>
            </w:pPr>
            <w:r w:rsidRPr="002B1DC2">
              <w:rPr>
                <w:noProof/>
                <w:color w:val="auto"/>
                <w:szCs w:val="26"/>
              </w:rPr>
              <w:t>Stilianos &amp; Susan Nikolaou</w:t>
            </w:r>
          </w:p>
        </w:tc>
        <w:tc>
          <w:tcPr>
            <w:tcW w:w="2340" w:type="dxa"/>
          </w:tcPr>
          <w:p w14:paraId="418D0A0C" w14:textId="4072F09D" w:rsidR="00AE5FF8" w:rsidRPr="002B1DC2" w:rsidRDefault="00AE5FF8" w:rsidP="00AE5FF8">
            <w:pPr>
              <w:spacing w:line="240" w:lineRule="auto"/>
              <w:rPr>
                <w:color w:val="auto"/>
                <w:szCs w:val="26"/>
              </w:rPr>
            </w:pPr>
            <w:r w:rsidRPr="002B1DC2">
              <w:rPr>
                <w:noProof/>
                <w:color w:val="auto"/>
                <w:szCs w:val="26"/>
              </w:rPr>
              <w:t>C-2021-3027064</w:t>
            </w:r>
          </w:p>
        </w:tc>
      </w:tr>
      <w:tr w:rsidR="00EA4232" w:rsidRPr="002B1DC2" w14:paraId="5FFBDD1D" w14:textId="77777777" w:rsidTr="00030E15">
        <w:tc>
          <w:tcPr>
            <w:tcW w:w="4230" w:type="dxa"/>
          </w:tcPr>
          <w:p w14:paraId="43BDE05B" w14:textId="6F84E12A" w:rsidR="00EA4232" w:rsidRPr="002B1DC2" w:rsidRDefault="00EA4232" w:rsidP="00EA4232">
            <w:pPr>
              <w:spacing w:line="240" w:lineRule="auto"/>
              <w:rPr>
                <w:noProof/>
                <w:color w:val="auto"/>
                <w:szCs w:val="26"/>
              </w:rPr>
            </w:pPr>
            <w:r w:rsidRPr="002B1DC2">
              <w:rPr>
                <w:noProof/>
                <w:color w:val="auto"/>
                <w:szCs w:val="26"/>
              </w:rPr>
              <w:t>Rosalie Capitelli</w:t>
            </w:r>
          </w:p>
        </w:tc>
        <w:tc>
          <w:tcPr>
            <w:tcW w:w="2340" w:type="dxa"/>
          </w:tcPr>
          <w:p w14:paraId="6654D853" w14:textId="57BF065C" w:rsidR="00EA4232" w:rsidRPr="002B1DC2" w:rsidRDefault="00EA4232" w:rsidP="00EA4232">
            <w:pPr>
              <w:spacing w:line="240" w:lineRule="auto"/>
              <w:rPr>
                <w:noProof/>
                <w:color w:val="auto"/>
                <w:szCs w:val="26"/>
              </w:rPr>
            </w:pPr>
            <w:r w:rsidRPr="002B1DC2">
              <w:rPr>
                <w:noProof/>
                <w:color w:val="auto"/>
                <w:szCs w:val="26"/>
              </w:rPr>
              <w:t>C-2021-3027069</w:t>
            </w:r>
          </w:p>
        </w:tc>
      </w:tr>
      <w:tr w:rsidR="00677DA1" w:rsidRPr="002B1DC2" w14:paraId="22B4B71B" w14:textId="77777777" w:rsidTr="00030E15">
        <w:tc>
          <w:tcPr>
            <w:tcW w:w="4230" w:type="dxa"/>
          </w:tcPr>
          <w:p w14:paraId="3FD3138D" w14:textId="57E03242" w:rsidR="00677DA1" w:rsidRPr="002B1DC2" w:rsidRDefault="00677DA1" w:rsidP="00677DA1">
            <w:pPr>
              <w:spacing w:line="240" w:lineRule="auto"/>
              <w:rPr>
                <w:noProof/>
                <w:color w:val="auto"/>
                <w:szCs w:val="26"/>
              </w:rPr>
            </w:pPr>
            <w:r w:rsidRPr="002B1DC2">
              <w:rPr>
                <w:noProof/>
                <w:color w:val="auto"/>
                <w:szCs w:val="26"/>
              </w:rPr>
              <w:t>Charles Wright</w:t>
            </w:r>
          </w:p>
        </w:tc>
        <w:tc>
          <w:tcPr>
            <w:tcW w:w="2340" w:type="dxa"/>
          </w:tcPr>
          <w:p w14:paraId="1FA1F159" w14:textId="4EF4FCB8" w:rsidR="00677DA1" w:rsidRPr="002B1DC2" w:rsidRDefault="00677DA1" w:rsidP="00677DA1">
            <w:pPr>
              <w:spacing w:line="240" w:lineRule="auto"/>
              <w:rPr>
                <w:noProof/>
                <w:color w:val="auto"/>
                <w:szCs w:val="26"/>
              </w:rPr>
            </w:pPr>
            <w:r w:rsidRPr="002B1DC2">
              <w:rPr>
                <w:noProof/>
                <w:color w:val="auto"/>
                <w:szCs w:val="26"/>
              </w:rPr>
              <w:t>C-2021-3027071</w:t>
            </w:r>
          </w:p>
        </w:tc>
      </w:tr>
      <w:tr w:rsidR="00174749" w:rsidRPr="002B1DC2" w14:paraId="5664D63F" w14:textId="77777777" w:rsidTr="00030E15">
        <w:tc>
          <w:tcPr>
            <w:tcW w:w="4230" w:type="dxa"/>
          </w:tcPr>
          <w:p w14:paraId="4BFC0450" w14:textId="5368C450" w:rsidR="00174749" w:rsidRPr="002B1DC2" w:rsidRDefault="00174749" w:rsidP="00174749">
            <w:pPr>
              <w:spacing w:line="240" w:lineRule="auto"/>
              <w:rPr>
                <w:noProof/>
                <w:color w:val="auto"/>
                <w:szCs w:val="26"/>
              </w:rPr>
            </w:pPr>
            <w:r w:rsidRPr="002B1DC2">
              <w:rPr>
                <w:noProof/>
                <w:color w:val="auto"/>
                <w:szCs w:val="26"/>
              </w:rPr>
              <w:t>Brian &amp; Taryn Merrill</w:t>
            </w:r>
          </w:p>
        </w:tc>
        <w:tc>
          <w:tcPr>
            <w:tcW w:w="2340" w:type="dxa"/>
          </w:tcPr>
          <w:p w14:paraId="1E3E4835" w14:textId="75401F5B" w:rsidR="00174749" w:rsidRPr="002B1DC2" w:rsidRDefault="00174749" w:rsidP="00174749">
            <w:pPr>
              <w:spacing w:line="240" w:lineRule="auto"/>
              <w:rPr>
                <w:noProof/>
                <w:color w:val="auto"/>
                <w:szCs w:val="26"/>
              </w:rPr>
            </w:pPr>
            <w:r w:rsidRPr="002B1DC2">
              <w:rPr>
                <w:noProof/>
                <w:color w:val="auto"/>
                <w:szCs w:val="26"/>
              </w:rPr>
              <w:t>C-2021-3027074</w:t>
            </w:r>
          </w:p>
        </w:tc>
      </w:tr>
      <w:tr w:rsidR="00174749" w:rsidRPr="002B1DC2" w14:paraId="7F26A791" w14:textId="77777777" w:rsidTr="00030E15">
        <w:tc>
          <w:tcPr>
            <w:tcW w:w="4230" w:type="dxa"/>
          </w:tcPr>
          <w:p w14:paraId="0154CD5D" w14:textId="2BD3706D" w:rsidR="00174749" w:rsidRPr="002B1DC2" w:rsidRDefault="00174749" w:rsidP="00174749">
            <w:pPr>
              <w:spacing w:line="240" w:lineRule="auto"/>
              <w:rPr>
                <w:noProof/>
                <w:color w:val="auto"/>
                <w:szCs w:val="26"/>
              </w:rPr>
            </w:pPr>
            <w:r w:rsidRPr="002B1DC2">
              <w:rPr>
                <w:noProof/>
                <w:color w:val="auto"/>
                <w:szCs w:val="26"/>
              </w:rPr>
              <w:t>Nicholas Corforte</w:t>
            </w:r>
          </w:p>
        </w:tc>
        <w:tc>
          <w:tcPr>
            <w:tcW w:w="2340" w:type="dxa"/>
          </w:tcPr>
          <w:p w14:paraId="2D5709FB" w14:textId="698CD7FB" w:rsidR="00174749" w:rsidRPr="002B1DC2" w:rsidRDefault="00174749" w:rsidP="00174749">
            <w:pPr>
              <w:spacing w:line="240" w:lineRule="auto"/>
              <w:rPr>
                <w:noProof/>
                <w:color w:val="auto"/>
                <w:szCs w:val="26"/>
              </w:rPr>
            </w:pPr>
            <w:r w:rsidRPr="002B1DC2">
              <w:rPr>
                <w:noProof/>
                <w:color w:val="auto"/>
                <w:szCs w:val="26"/>
              </w:rPr>
              <w:t>C-2021-3027076</w:t>
            </w:r>
          </w:p>
        </w:tc>
      </w:tr>
      <w:tr w:rsidR="00174749" w:rsidRPr="002B1DC2" w14:paraId="78C9ADCB" w14:textId="77777777" w:rsidTr="00030E15">
        <w:tc>
          <w:tcPr>
            <w:tcW w:w="4230" w:type="dxa"/>
          </w:tcPr>
          <w:p w14:paraId="6B762F82" w14:textId="6A811FB3" w:rsidR="00174749" w:rsidRPr="002B1DC2" w:rsidRDefault="00174749" w:rsidP="00174749">
            <w:pPr>
              <w:spacing w:line="240" w:lineRule="auto"/>
              <w:rPr>
                <w:noProof/>
                <w:color w:val="auto"/>
                <w:szCs w:val="26"/>
              </w:rPr>
            </w:pPr>
            <w:r w:rsidRPr="002B1DC2">
              <w:rPr>
                <w:noProof/>
                <w:color w:val="auto"/>
                <w:szCs w:val="26"/>
              </w:rPr>
              <w:t>Craig Lowe</w:t>
            </w:r>
          </w:p>
        </w:tc>
        <w:tc>
          <w:tcPr>
            <w:tcW w:w="2340" w:type="dxa"/>
          </w:tcPr>
          <w:p w14:paraId="30098896" w14:textId="76AA0D03" w:rsidR="00174749" w:rsidRPr="002B1DC2" w:rsidRDefault="00174749" w:rsidP="00174749">
            <w:pPr>
              <w:spacing w:line="240" w:lineRule="auto"/>
              <w:rPr>
                <w:noProof/>
                <w:color w:val="auto"/>
                <w:szCs w:val="26"/>
              </w:rPr>
            </w:pPr>
            <w:r w:rsidRPr="002B1DC2">
              <w:rPr>
                <w:noProof/>
                <w:color w:val="auto"/>
                <w:szCs w:val="26"/>
              </w:rPr>
              <w:t>C-2021-3027078</w:t>
            </w:r>
          </w:p>
        </w:tc>
      </w:tr>
      <w:tr w:rsidR="00C74C94" w:rsidRPr="002B1DC2" w14:paraId="4264E8C3" w14:textId="77777777" w:rsidTr="00030E15">
        <w:tc>
          <w:tcPr>
            <w:tcW w:w="4230" w:type="dxa"/>
          </w:tcPr>
          <w:p w14:paraId="542923EE" w14:textId="46457C89" w:rsidR="00C74C94" w:rsidRPr="002B1DC2" w:rsidRDefault="00C74C94" w:rsidP="00C74C94">
            <w:pPr>
              <w:spacing w:line="240" w:lineRule="auto"/>
              <w:rPr>
                <w:noProof/>
                <w:color w:val="auto"/>
                <w:szCs w:val="26"/>
              </w:rPr>
            </w:pPr>
            <w:r w:rsidRPr="002B1DC2">
              <w:rPr>
                <w:noProof/>
                <w:color w:val="auto"/>
                <w:szCs w:val="26"/>
              </w:rPr>
              <w:t>Stephen &amp; Kathleen Conrad</w:t>
            </w:r>
          </w:p>
        </w:tc>
        <w:tc>
          <w:tcPr>
            <w:tcW w:w="2340" w:type="dxa"/>
          </w:tcPr>
          <w:p w14:paraId="49544EEE" w14:textId="72C772B3" w:rsidR="00C74C94" w:rsidRPr="002B1DC2" w:rsidRDefault="00C74C94" w:rsidP="00C74C94">
            <w:pPr>
              <w:spacing w:line="240" w:lineRule="auto"/>
              <w:rPr>
                <w:noProof/>
                <w:color w:val="auto"/>
                <w:szCs w:val="26"/>
              </w:rPr>
            </w:pPr>
            <w:r w:rsidRPr="002B1DC2">
              <w:rPr>
                <w:noProof/>
                <w:color w:val="auto"/>
                <w:szCs w:val="26"/>
              </w:rPr>
              <w:t>C-2021-3027080</w:t>
            </w:r>
          </w:p>
        </w:tc>
      </w:tr>
      <w:tr w:rsidR="00C74C94" w:rsidRPr="002B1DC2" w14:paraId="559E89F6" w14:textId="77777777" w:rsidTr="00030E15">
        <w:tc>
          <w:tcPr>
            <w:tcW w:w="4230" w:type="dxa"/>
          </w:tcPr>
          <w:p w14:paraId="52388479" w14:textId="545D7CE2" w:rsidR="00C74C94" w:rsidRPr="002B1DC2" w:rsidRDefault="00C74C94" w:rsidP="00C74C94">
            <w:pPr>
              <w:spacing w:line="240" w:lineRule="auto"/>
              <w:rPr>
                <w:noProof/>
                <w:color w:val="auto"/>
                <w:szCs w:val="26"/>
              </w:rPr>
            </w:pPr>
            <w:r w:rsidRPr="002B1DC2">
              <w:rPr>
                <w:noProof/>
                <w:color w:val="auto"/>
                <w:szCs w:val="26"/>
              </w:rPr>
              <w:t>Janine Brown</w:t>
            </w:r>
          </w:p>
        </w:tc>
        <w:tc>
          <w:tcPr>
            <w:tcW w:w="2340" w:type="dxa"/>
          </w:tcPr>
          <w:p w14:paraId="5D3F048D" w14:textId="218CDC72" w:rsidR="00C74C94" w:rsidRPr="002B1DC2" w:rsidRDefault="00C74C94" w:rsidP="00C74C94">
            <w:pPr>
              <w:spacing w:line="240" w:lineRule="auto"/>
              <w:rPr>
                <w:noProof/>
                <w:color w:val="auto"/>
                <w:szCs w:val="26"/>
              </w:rPr>
            </w:pPr>
            <w:r w:rsidRPr="002B1DC2">
              <w:rPr>
                <w:noProof/>
                <w:color w:val="auto"/>
                <w:szCs w:val="26"/>
              </w:rPr>
              <w:t>C-2021-3027081</w:t>
            </w:r>
          </w:p>
        </w:tc>
      </w:tr>
      <w:tr w:rsidR="00C74C94" w:rsidRPr="002B1DC2" w14:paraId="1BD5D9ED" w14:textId="77777777" w:rsidTr="00030E15">
        <w:tc>
          <w:tcPr>
            <w:tcW w:w="4230" w:type="dxa"/>
          </w:tcPr>
          <w:p w14:paraId="1D69FE99" w14:textId="77777777" w:rsidR="00C74C94" w:rsidRPr="002B1DC2" w:rsidRDefault="00C74C94" w:rsidP="00C74C94">
            <w:pPr>
              <w:spacing w:line="240" w:lineRule="auto"/>
              <w:rPr>
                <w:color w:val="auto"/>
                <w:szCs w:val="26"/>
              </w:rPr>
            </w:pPr>
            <w:r w:rsidRPr="002B1DC2">
              <w:rPr>
                <w:noProof/>
                <w:color w:val="auto"/>
                <w:szCs w:val="26"/>
              </w:rPr>
              <w:t>Robert Mohr</w:t>
            </w:r>
          </w:p>
        </w:tc>
        <w:tc>
          <w:tcPr>
            <w:tcW w:w="2340" w:type="dxa"/>
          </w:tcPr>
          <w:p w14:paraId="0658E856" w14:textId="0C02F8DD" w:rsidR="00C74C94" w:rsidRPr="002B1DC2" w:rsidRDefault="00C74C94" w:rsidP="00C74C94">
            <w:pPr>
              <w:spacing w:line="240" w:lineRule="auto"/>
              <w:rPr>
                <w:color w:val="auto"/>
                <w:szCs w:val="26"/>
              </w:rPr>
            </w:pPr>
            <w:r w:rsidRPr="002B1DC2">
              <w:rPr>
                <w:noProof/>
                <w:color w:val="auto"/>
                <w:szCs w:val="26"/>
              </w:rPr>
              <w:t>C-2021-3027082</w:t>
            </w:r>
          </w:p>
        </w:tc>
      </w:tr>
      <w:tr w:rsidR="00C74C94" w:rsidRPr="002B1DC2" w14:paraId="26E234F2" w14:textId="77777777" w:rsidTr="00030E15">
        <w:tc>
          <w:tcPr>
            <w:tcW w:w="4230" w:type="dxa"/>
          </w:tcPr>
          <w:p w14:paraId="2600833D" w14:textId="7AD4E0FB" w:rsidR="00C74C94" w:rsidRPr="002B1DC2" w:rsidRDefault="00C74C94" w:rsidP="00C74C94">
            <w:pPr>
              <w:spacing w:line="240" w:lineRule="auto"/>
              <w:rPr>
                <w:noProof/>
                <w:color w:val="auto"/>
                <w:szCs w:val="26"/>
              </w:rPr>
            </w:pPr>
            <w:r>
              <w:rPr>
                <w:noProof/>
                <w:color w:val="auto"/>
                <w:szCs w:val="26"/>
              </w:rPr>
              <w:t>George Kelly</w:t>
            </w:r>
          </w:p>
        </w:tc>
        <w:tc>
          <w:tcPr>
            <w:tcW w:w="2340" w:type="dxa"/>
          </w:tcPr>
          <w:p w14:paraId="7CB78124" w14:textId="58685536" w:rsidR="00C74C94" w:rsidRPr="002B1DC2" w:rsidRDefault="00C74C94" w:rsidP="00C74C94">
            <w:pPr>
              <w:spacing w:line="240" w:lineRule="auto"/>
              <w:rPr>
                <w:noProof/>
                <w:color w:val="auto"/>
                <w:szCs w:val="26"/>
              </w:rPr>
            </w:pPr>
            <w:r>
              <w:rPr>
                <w:noProof/>
                <w:color w:val="auto"/>
                <w:szCs w:val="26"/>
              </w:rPr>
              <w:t>C-2021-3027084</w:t>
            </w:r>
          </w:p>
        </w:tc>
      </w:tr>
      <w:tr w:rsidR="00D35F31" w:rsidRPr="002B1DC2" w14:paraId="59D2F63F" w14:textId="77777777" w:rsidTr="00030E15">
        <w:tc>
          <w:tcPr>
            <w:tcW w:w="4230" w:type="dxa"/>
          </w:tcPr>
          <w:p w14:paraId="38EBD6CA" w14:textId="2A290FFE" w:rsidR="00D35F31" w:rsidRPr="002B1DC2" w:rsidRDefault="00D35F31" w:rsidP="00D35F31">
            <w:pPr>
              <w:spacing w:line="240" w:lineRule="auto"/>
              <w:rPr>
                <w:color w:val="auto"/>
                <w:szCs w:val="26"/>
              </w:rPr>
            </w:pPr>
            <w:r w:rsidRPr="002B1DC2">
              <w:rPr>
                <w:noProof/>
                <w:color w:val="auto"/>
                <w:szCs w:val="26"/>
              </w:rPr>
              <w:t>Maryann Bouco</w:t>
            </w:r>
          </w:p>
        </w:tc>
        <w:tc>
          <w:tcPr>
            <w:tcW w:w="2340" w:type="dxa"/>
          </w:tcPr>
          <w:p w14:paraId="4A9BE5FD" w14:textId="0457571F" w:rsidR="00D35F31" w:rsidRPr="002B1DC2" w:rsidRDefault="00D35F31" w:rsidP="00D35F31">
            <w:pPr>
              <w:spacing w:line="240" w:lineRule="auto"/>
              <w:rPr>
                <w:color w:val="auto"/>
                <w:szCs w:val="26"/>
              </w:rPr>
            </w:pPr>
            <w:r w:rsidRPr="002B1DC2">
              <w:rPr>
                <w:noProof/>
                <w:color w:val="auto"/>
                <w:szCs w:val="26"/>
              </w:rPr>
              <w:t>C-2021-3027088</w:t>
            </w:r>
          </w:p>
        </w:tc>
      </w:tr>
      <w:tr w:rsidR="00D35F31" w:rsidRPr="002B1DC2" w14:paraId="62B84767" w14:textId="77777777" w:rsidTr="00030E15">
        <w:tc>
          <w:tcPr>
            <w:tcW w:w="4230" w:type="dxa"/>
          </w:tcPr>
          <w:p w14:paraId="0D3DB8D7" w14:textId="15BF9689" w:rsidR="00D35F31" w:rsidRPr="002B1DC2" w:rsidRDefault="00D35F31" w:rsidP="00D35F31">
            <w:pPr>
              <w:spacing w:line="240" w:lineRule="auto"/>
              <w:rPr>
                <w:color w:val="auto"/>
                <w:szCs w:val="26"/>
              </w:rPr>
            </w:pPr>
            <w:r w:rsidRPr="002B1DC2">
              <w:rPr>
                <w:noProof/>
                <w:color w:val="auto"/>
                <w:szCs w:val="26"/>
              </w:rPr>
              <w:lastRenderedPageBreak/>
              <w:t>Patricia Merrill</w:t>
            </w:r>
          </w:p>
        </w:tc>
        <w:tc>
          <w:tcPr>
            <w:tcW w:w="2340" w:type="dxa"/>
          </w:tcPr>
          <w:p w14:paraId="13E8BD71" w14:textId="71FED617" w:rsidR="00D35F31" w:rsidRPr="002B1DC2" w:rsidRDefault="00D35F31" w:rsidP="00D35F31">
            <w:pPr>
              <w:spacing w:line="240" w:lineRule="auto"/>
              <w:rPr>
                <w:color w:val="auto"/>
                <w:szCs w:val="26"/>
              </w:rPr>
            </w:pPr>
            <w:r w:rsidRPr="002B1DC2">
              <w:rPr>
                <w:noProof/>
                <w:color w:val="auto"/>
                <w:szCs w:val="26"/>
              </w:rPr>
              <w:t>C-2021-3027135</w:t>
            </w:r>
          </w:p>
        </w:tc>
      </w:tr>
      <w:tr w:rsidR="00D35F31" w:rsidRPr="002B1DC2" w14:paraId="1DA7F216" w14:textId="77777777" w:rsidTr="00030E15">
        <w:tc>
          <w:tcPr>
            <w:tcW w:w="4230" w:type="dxa"/>
          </w:tcPr>
          <w:p w14:paraId="529832D4" w14:textId="779DA2AF" w:rsidR="00D35F31" w:rsidRPr="002B1DC2" w:rsidRDefault="00D35F31" w:rsidP="00D35F31">
            <w:pPr>
              <w:spacing w:line="240" w:lineRule="auto"/>
              <w:rPr>
                <w:color w:val="auto"/>
                <w:szCs w:val="26"/>
              </w:rPr>
            </w:pPr>
            <w:r w:rsidRPr="002B1DC2">
              <w:rPr>
                <w:noProof/>
                <w:color w:val="auto"/>
                <w:szCs w:val="26"/>
              </w:rPr>
              <w:t>Thomas &amp; Maxine Shepard</w:t>
            </w:r>
          </w:p>
        </w:tc>
        <w:tc>
          <w:tcPr>
            <w:tcW w:w="2340" w:type="dxa"/>
          </w:tcPr>
          <w:p w14:paraId="33E2C4E2" w14:textId="75771067" w:rsidR="00D35F31" w:rsidRPr="002B1DC2" w:rsidRDefault="00D35F31" w:rsidP="00D35F31">
            <w:pPr>
              <w:spacing w:line="240" w:lineRule="auto"/>
              <w:rPr>
                <w:color w:val="auto"/>
                <w:szCs w:val="26"/>
              </w:rPr>
            </w:pPr>
            <w:r w:rsidRPr="002B1DC2">
              <w:rPr>
                <w:noProof/>
                <w:color w:val="auto"/>
                <w:szCs w:val="26"/>
              </w:rPr>
              <w:t>C-2021-3027144</w:t>
            </w:r>
          </w:p>
        </w:tc>
      </w:tr>
      <w:tr w:rsidR="00D35F31" w:rsidRPr="002B1DC2" w14:paraId="6CDDCFEE" w14:textId="77777777" w:rsidTr="00030E15">
        <w:tc>
          <w:tcPr>
            <w:tcW w:w="4230" w:type="dxa"/>
          </w:tcPr>
          <w:p w14:paraId="4EFF039E" w14:textId="5C2FFB4E" w:rsidR="00D35F31" w:rsidRPr="002B1DC2" w:rsidRDefault="00D35F31" w:rsidP="000E608B">
            <w:pPr>
              <w:rPr>
                <w:color w:val="auto"/>
                <w:szCs w:val="26"/>
              </w:rPr>
            </w:pPr>
            <w:r w:rsidRPr="002B1DC2">
              <w:rPr>
                <w:noProof/>
                <w:color w:val="auto"/>
                <w:szCs w:val="26"/>
              </w:rPr>
              <w:t>Marcia J Mathura</w:t>
            </w:r>
          </w:p>
        </w:tc>
        <w:tc>
          <w:tcPr>
            <w:tcW w:w="2340" w:type="dxa"/>
          </w:tcPr>
          <w:p w14:paraId="283AA522" w14:textId="37C8CA7C" w:rsidR="00D35F31" w:rsidRPr="002B1DC2" w:rsidRDefault="00D35F31" w:rsidP="000E608B">
            <w:pPr>
              <w:rPr>
                <w:color w:val="auto"/>
                <w:szCs w:val="26"/>
              </w:rPr>
            </w:pPr>
            <w:r w:rsidRPr="002B1DC2">
              <w:rPr>
                <w:noProof/>
                <w:color w:val="auto"/>
                <w:szCs w:val="26"/>
              </w:rPr>
              <w:t>C-2021-3027252</w:t>
            </w:r>
          </w:p>
        </w:tc>
      </w:tr>
    </w:tbl>
    <w:p w14:paraId="2E55FD14" w14:textId="77777777" w:rsidR="007F52C3" w:rsidRDefault="007F52C3" w:rsidP="000E608B">
      <w:pPr>
        <w:tabs>
          <w:tab w:val="left" w:pos="5760"/>
        </w:tabs>
        <w:kinsoku w:val="0"/>
        <w:overflowPunct w:val="0"/>
        <w:spacing w:before="10"/>
        <w:jc w:val="both"/>
        <w:textAlignment w:val="baseline"/>
        <w:rPr>
          <w:rFonts w:eastAsiaTheme="minorEastAsia"/>
          <w:szCs w:val="26"/>
          <w:u w:val="single"/>
        </w:rPr>
      </w:pPr>
    </w:p>
    <w:p w14:paraId="6AE93C9B" w14:textId="21444F06" w:rsidR="002F43A1" w:rsidRPr="008E7712" w:rsidRDefault="00931967" w:rsidP="000E608B">
      <w:pPr>
        <w:keepNext/>
        <w:rPr>
          <w:szCs w:val="26"/>
        </w:rPr>
      </w:pPr>
      <w:r w:rsidRPr="008E7712">
        <w:rPr>
          <w:szCs w:val="26"/>
        </w:rPr>
        <w:tab/>
      </w:r>
      <w:r w:rsidRPr="008E7712">
        <w:rPr>
          <w:szCs w:val="26"/>
        </w:rPr>
        <w:tab/>
      </w:r>
      <w:r w:rsidR="007958E7">
        <w:rPr>
          <w:szCs w:val="26"/>
        </w:rPr>
        <w:t>10</w:t>
      </w:r>
      <w:r w:rsidRPr="008E7712">
        <w:rPr>
          <w:szCs w:val="26"/>
        </w:rPr>
        <w:t>.</w:t>
      </w:r>
      <w:r w:rsidRPr="008E7712">
        <w:rPr>
          <w:szCs w:val="26"/>
        </w:rPr>
        <w:tab/>
      </w:r>
      <w:r w:rsidR="002F43A1" w:rsidRPr="008E7712">
        <w:rPr>
          <w:szCs w:val="26"/>
        </w:rPr>
        <w:t xml:space="preserve">That </w:t>
      </w:r>
      <w:r w:rsidR="009E73C3" w:rsidRPr="008E7712">
        <w:rPr>
          <w:szCs w:val="26"/>
        </w:rPr>
        <w:t xml:space="preserve">upon acceptance and approval by the Commission of the tariff supplements </w:t>
      </w:r>
      <w:r w:rsidRPr="008E7712">
        <w:rPr>
          <w:szCs w:val="26"/>
        </w:rPr>
        <w:t xml:space="preserve">and allocation of the proposed Settlement rate increases </w:t>
      </w:r>
      <w:r w:rsidR="009E73C3" w:rsidRPr="008E7712">
        <w:rPr>
          <w:szCs w:val="26"/>
        </w:rPr>
        <w:t>filed by</w:t>
      </w:r>
      <w:r w:rsidR="002F43A1" w:rsidRPr="008E7712">
        <w:rPr>
          <w:szCs w:val="26"/>
        </w:rPr>
        <w:t xml:space="preserve"> </w:t>
      </w:r>
      <w:r w:rsidR="009E73C3" w:rsidRPr="008E7712">
        <w:rPr>
          <w:szCs w:val="26"/>
        </w:rPr>
        <w:t xml:space="preserve">Community Utilities of Pennsylvania, Inc. in accordance with this Opinion and Order, the </w:t>
      </w:r>
      <w:r w:rsidR="00B726E0" w:rsidRPr="008E7712">
        <w:rPr>
          <w:rFonts w:eastAsia="Calibri"/>
          <w:szCs w:val="26"/>
        </w:rPr>
        <w:t xml:space="preserve">consolidated general rate increase </w:t>
      </w:r>
      <w:r w:rsidR="002F43A1" w:rsidRPr="008E7712">
        <w:rPr>
          <w:szCs w:val="26"/>
        </w:rPr>
        <w:t>investigation</w:t>
      </w:r>
      <w:r w:rsidR="00B726E0" w:rsidRPr="008E7712">
        <w:rPr>
          <w:szCs w:val="26"/>
        </w:rPr>
        <w:t xml:space="preserve"> proceeding</w:t>
      </w:r>
      <w:r w:rsidR="009E73C3" w:rsidRPr="008E7712">
        <w:rPr>
          <w:szCs w:val="26"/>
        </w:rPr>
        <w:t>s</w:t>
      </w:r>
      <w:r w:rsidR="002F43A1" w:rsidRPr="008E7712">
        <w:rPr>
          <w:szCs w:val="26"/>
        </w:rPr>
        <w:t xml:space="preserve"> at Docket No. R</w:t>
      </w:r>
      <w:r w:rsidR="00CA3BEB" w:rsidRPr="008E7712">
        <w:rPr>
          <w:szCs w:val="26"/>
        </w:rPr>
        <w:noBreakHyphen/>
      </w:r>
      <w:r w:rsidR="002F43A1" w:rsidRPr="008E7712">
        <w:rPr>
          <w:szCs w:val="26"/>
        </w:rPr>
        <w:t>2021</w:t>
      </w:r>
      <w:r w:rsidR="00CA3BEB" w:rsidRPr="008E7712">
        <w:rPr>
          <w:szCs w:val="26"/>
        </w:rPr>
        <w:noBreakHyphen/>
      </w:r>
      <w:r w:rsidR="002F43A1" w:rsidRPr="008E7712">
        <w:rPr>
          <w:szCs w:val="26"/>
        </w:rPr>
        <w:t xml:space="preserve">3025206 (Water) and Docket No. R-2021-3025207 (Wastewater) </w:t>
      </w:r>
      <w:r w:rsidR="009E73C3" w:rsidRPr="008E7712">
        <w:rPr>
          <w:szCs w:val="26"/>
        </w:rPr>
        <w:t xml:space="preserve">be </w:t>
      </w:r>
      <w:r w:rsidRPr="008E7712">
        <w:rPr>
          <w:szCs w:val="26"/>
        </w:rPr>
        <w:t xml:space="preserve">terminated and </w:t>
      </w:r>
      <w:r w:rsidR="009E73C3" w:rsidRPr="008E7712">
        <w:rPr>
          <w:szCs w:val="26"/>
        </w:rPr>
        <w:t>marked closed.</w:t>
      </w:r>
    </w:p>
    <w:p w14:paraId="7D05BEF4" w14:textId="77777777" w:rsidR="00AB0CAA" w:rsidRPr="008E7712" w:rsidRDefault="00AB0CAA" w:rsidP="007958E7">
      <w:pPr>
        <w:keepNext/>
        <w:keepLines/>
        <w:suppressAutoHyphens/>
        <w:spacing w:line="240" w:lineRule="auto"/>
        <w:ind w:left="90"/>
        <w:rPr>
          <w:b/>
          <w:szCs w:val="26"/>
        </w:rPr>
      </w:pPr>
    </w:p>
    <w:p w14:paraId="5038292C" w14:textId="62073167" w:rsidR="009C61C6" w:rsidRPr="008E7712" w:rsidRDefault="0048054B" w:rsidP="0082279A">
      <w:pPr>
        <w:keepNext/>
        <w:keepLines/>
        <w:tabs>
          <w:tab w:val="left" w:pos="-720"/>
        </w:tabs>
        <w:suppressAutoHyphens/>
        <w:spacing w:line="240" w:lineRule="auto"/>
        <w:ind w:left="5040"/>
        <w:rPr>
          <w:szCs w:val="26"/>
        </w:rPr>
      </w:pPr>
      <w:r w:rsidRPr="009F01BA">
        <w:rPr>
          <w:b/>
          <w:noProof/>
          <w:sz w:val="20"/>
          <w:szCs w:val="20"/>
        </w:rPr>
        <w:drawing>
          <wp:anchor distT="0" distB="0" distL="114300" distR="114300" simplePos="0" relativeHeight="251663360" behindDoc="1" locked="0" layoutInCell="1" allowOverlap="1" wp14:anchorId="62F5CA44" wp14:editId="06CB4F23">
            <wp:simplePos x="0" y="0"/>
            <wp:positionH relativeFrom="column">
              <wp:posOffset>3086100</wp:posOffset>
            </wp:positionH>
            <wp:positionV relativeFrom="paragraph">
              <wp:posOffset>131445</wp:posOffset>
            </wp:positionV>
            <wp:extent cx="2200275" cy="838200"/>
            <wp:effectExtent l="0" t="0" r="9525" b="0"/>
            <wp:wrapNone/>
            <wp:docPr id="8" name="Picture 8"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ett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C61C6" w:rsidRPr="008E7712">
        <w:rPr>
          <w:b/>
          <w:szCs w:val="26"/>
        </w:rPr>
        <w:t>BY THE COMMISSION,</w:t>
      </w:r>
    </w:p>
    <w:p w14:paraId="15904BF6" w14:textId="1EBB6573" w:rsidR="009C61C6" w:rsidRPr="008E7712" w:rsidRDefault="009C61C6" w:rsidP="0082279A">
      <w:pPr>
        <w:keepNext/>
        <w:keepLines/>
        <w:tabs>
          <w:tab w:val="left" w:pos="-720"/>
        </w:tabs>
        <w:suppressAutoHyphens/>
        <w:spacing w:line="240" w:lineRule="auto"/>
        <w:ind w:left="5040"/>
        <w:rPr>
          <w:szCs w:val="26"/>
        </w:rPr>
      </w:pPr>
    </w:p>
    <w:p w14:paraId="5BBEE113" w14:textId="42A228E2" w:rsidR="009C61C6" w:rsidRPr="008E7712" w:rsidRDefault="009C61C6" w:rsidP="0082279A">
      <w:pPr>
        <w:keepNext/>
        <w:keepLines/>
        <w:tabs>
          <w:tab w:val="left" w:pos="-720"/>
        </w:tabs>
        <w:suppressAutoHyphens/>
        <w:spacing w:line="240" w:lineRule="auto"/>
        <w:ind w:left="5040"/>
        <w:rPr>
          <w:szCs w:val="26"/>
        </w:rPr>
      </w:pPr>
    </w:p>
    <w:p w14:paraId="44CD8565" w14:textId="77777777" w:rsidR="009C61C6" w:rsidRPr="008E7712" w:rsidRDefault="009C61C6" w:rsidP="0082279A">
      <w:pPr>
        <w:keepNext/>
        <w:keepLines/>
        <w:tabs>
          <w:tab w:val="left" w:pos="-720"/>
        </w:tabs>
        <w:suppressAutoHyphens/>
        <w:spacing w:line="240" w:lineRule="auto"/>
        <w:ind w:left="5040"/>
        <w:rPr>
          <w:szCs w:val="26"/>
        </w:rPr>
      </w:pPr>
    </w:p>
    <w:p w14:paraId="1B835853" w14:textId="77777777" w:rsidR="009C61C6" w:rsidRPr="008E7712" w:rsidRDefault="009C61C6" w:rsidP="0082279A">
      <w:pPr>
        <w:keepNext/>
        <w:keepLines/>
        <w:tabs>
          <w:tab w:val="left" w:pos="-720"/>
        </w:tabs>
        <w:suppressAutoHyphens/>
        <w:spacing w:line="240" w:lineRule="auto"/>
        <w:ind w:left="5040"/>
        <w:rPr>
          <w:szCs w:val="26"/>
        </w:rPr>
      </w:pPr>
    </w:p>
    <w:p w14:paraId="18E01975" w14:textId="77777777" w:rsidR="009C61C6" w:rsidRPr="008E7712" w:rsidRDefault="009C61C6" w:rsidP="0082279A">
      <w:pPr>
        <w:keepNext/>
        <w:keepLines/>
        <w:tabs>
          <w:tab w:val="left" w:pos="-720"/>
        </w:tabs>
        <w:suppressAutoHyphens/>
        <w:spacing w:line="240" w:lineRule="auto"/>
        <w:ind w:left="5040"/>
        <w:rPr>
          <w:szCs w:val="26"/>
        </w:rPr>
      </w:pPr>
      <w:r w:rsidRPr="008E7712">
        <w:rPr>
          <w:szCs w:val="26"/>
        </w:rPr>
        <w:t>Rosemary Chiavetta</w:t>
      </w:r>
    </w:p>
    <w:p w14:paraId="683D64E9" w14:textId="77777777" w:rsidR="009C61C6" w:rsidRPr="008E7712" w:rsidRDefault="009C61C6" w:rsidP="0082279A">
      <w:pPr>
        <w:keepNext/>
        <w:keepLines/>
        <w:tabs>
          <w:tab w:val="left" w:pos="-720"/>
        </w:tabs>
        <w:suppressAutoHyphens/>
        <w:spacing w:line="240" w:lineRule="auto"/>
        <w:ind w:left="5040"/>
        <w:rPr>
          <w:szCs w:val="26"/>
        </w:rPr>
      </w:pPr>
      <w:r w:rsidRPr="008E7712">
        <w:rPr>
          <w:szCs w:val="26"/>
        </w:rPr>
        <w:t>Secretary</w:t>
      </w:r>
    </w:p>
    <w:p w14:paraId="16551C75" w14:textId="77777777" w:rsidR="009C61C6" w:rsidRPr="008E7712" w:rsidRDefault="009C61C6" w:rsidP="0082279A">
      <w:pPr>
        <w:keepNext/>
        <w:keepLines/>
        <w:tabs>
          <w:tab w:val="left" w:pos="-720"/>
        </w:tabs>
        <w:suppressAutoHyphens/>
        <w:spacing w:line="240" w:lineRule="auto"/>
        <w:ind w:left="5040"/>
        <w:rPr>
          <w:szCs w:val="26"/>
        </w:rPr>
      </w:pPr>
    </w:p>
    <w:p w14:paraId="5A3177DD" w14:textId="1764A1C2" w:rsidR="009C61C6" w:rsidRDefault="009C61C6" w:rsidP="0082279A">
      <w:pPr>
        <w:keepNext/>
        <w:keepLines/>
        <w:tabs>
          <w:tab w:val="left" w:pos="-720"/>
        </w:tabs>
        <w:suppressAutoHyphens/>
        <w:spacing w:line="240" w:lineRule="auto"/>
        <w:rPr>
          <w:szCs w:val="26"/>
        </w:rPr>
      </w:pPr>
    </w:p>
    <w:p w14:paraId="0A9E4ECB" w14:textId="77777777" w:rsidR="00EA06FF" w:rsidRPr="008E7712" w:rsidRDefault="00EA06FF" w:rsidP="0082279A">
      <w:pPr>
        <w:keepNext/>
        <w:keepLines/>
        <w:tabs>
          <w:tab w:val="left" w:pos="-720"/>
        </w:tabs>
        <w:suppressAutoHyphens/>
        <w:spacing w:line="240" w:lineRule="auto"/>
        <w:rPr>
          <w:szCs w:val="26"/>
        </w:rPr>
      </w:pPr>
    </w:p>
    <w:p w14:paraId="36D03E70" w14:textId="5C3C96C5" w:rsidR="009C61C6" w:rsidRPr="008E7712" w:rsidRDefault="009C61C6" w:rsidP="0082279A">
      <w:pPr>
        <w:keepNext/>
        <w:keepLines/>
        <w:tabs>
          <w:tab w:val="left" w:pos="-720"/>
        </w:tabs>
        <w:suppressAutoHyphens/>
        <w:spacing w:line="240" w:lineRule="auto"/>
        <w:rPr>
          <w:szCs w:val="26"/>
        </w:rPr>
      </w:pPr>
      <w:r w:rsidRPr="008E7712">
        <w:rPr>
          <w:szCs w:val="26"/>
        </w:rPr>
        <w:t>(SEAL)</w:t>
      </w:r>
    </w:p>
    <w:p w14:paraId="1B70FD41" w14:textId="77777777" w:rsidR="00CA3BEB" w:rsidRPr="008E7712" w:rsidRDefault="00CA3BEB" w:rsidP="0082279A">
      <w:pPr>
        <w:keepNext/>
        <w:keepLines/>
        <w:tabs>
          <w:tab w:val="left" w:pos="-720"/>
        </w:tabs>
        <w:suppressAutoHyphens/>
        <w:spacing w:line="240" w:lineRule="auto"/>
        <w:rPr>
          <w:szCs w:val="26"/>
        </w:rPr>
      </w:pPr>
    </w:p>
    <w:p w14:paraId="6DF830C4" w14:textId="58B0597D" w:rsidR="009C61C6" w:rsidRPr="008E7712" w:rsidRDefault="009C61C6" w:rsidP="0082279A">
      <w:pPr>
        <w:keepNext/>
        <w:keepLines/>
        <w:tabs>
          <w:tab w:val="left" w:pos="-720"/>
        </w:tabs>
        <w:suppressAutoHyphens/>
        <w:spacing w:line="240" w:lineRule="auto"/>
        <w:rPr>
          <w:szCs w:val="26"/>
        </w:rPr>
      </w:pPr>
      <w:r w:rsidRPr="008E7712">
        <w:rPr>
          <w:szCs w:val="26"/>
        </w:rPr>
        <w:t xml:space="preserve">ORDER ADOPTED:  </w:t>
      </w:r>
      <w:r w:rsidR="00CE48A4" w:rsidRPr="008E7712">
        <w:rPr>
          <w:szCs w:val="26"/>
        </w:rPr>
        <w:t>January 13</w:t>
      </w:r>
      <w:r w:rsidRPr="008E7712">
        <w:rPr>
          <w:szCs w:val="26"/>
        </w:rPr>
        <w:t>, 202</w:t>
      </w:r>
      <w:r w:rsidR="00CE48A4" w:rsidRPr="008E7712">
        <w:rPr>
          <w:szCs w:val="26"/>
        </w:rPr>
        <w:t>2</w:t>
      </w:r>
    </w:p>
    <w:p w14:paraId="0065F711" w14:textId="77777777" w:rsidR="00CA3BEB" w:rsidRPr="008E7712" w:rsidRDefault="00CA3BEB" w:rsidP="0082279A">
      <w:pPr>
        <w:keepNext/>
        <w:keepLines/>
        <w:tabs>
          <w:tab w:val="left" w:pos="-720"/>
        </w:tabs>
        <w:suppressAutoHyphens/>
        <w:spacing w:line="240" w:lineRule="auto"/>
        <w:rPr>
          <w:szCs w:val="26"/>
        </w:rPr>
      </w:pPr>
    </w:p>
    <w:p w14:paraId="7ECA9918" w14:textId="1083A3A9" w:rsidR="00940BB3" w:rsidRPr="008E7712" w:rsidRDefault="009C61C6" w:rsidP="0082279A">
      <w:pPr>
        <w:keepNext/>
        <w:keepLines/>
        <w:tabs>
          <w:tab w:val="left" w:pos="-720"/>
        </w:tabs>
        <w:suppressAutoHyphens/>
        <w:spacing w:line="240" w:lineRule="auto"/>
        <w:rPr>
          <w:b/>
          <w:bCs/>
          <w:szCs w:val="26"/>
        </w:rPr>
      </w:pPr>
      <w:r w:rsidRPr="008E7712">
        <w:rPr>
          <w:szCs w:val="26"/>
        </w:rPr>
        <w:t xml:space="preserve">ORDER ENTERED:  </w:t>
      </w:r>
      <w:r w:rsidR="0048054B">
        <w:rPr>
          <w:szCs w:val="26"/>
        </w:rPr>
        <w:t>January 13, 2022</w:t>
      </w:r>
    </w:p>
    <w:sectPr w:rsidR="00940BB3" w:rsidRPr="008E7712" w:rsidSect="00C867B1">
      <w:headerReference w:type="even" r:id="rId31"/>
      <w:headerReference w:type="default" r:id="rId32"/>
      <w:footerReference w:type="even" r:id="rId33"/>
      <w:headerReference w:type="first" r:id="rId34"/>
      <w:footerReference w:type="first" r:id="rId35"/>
      <w:pgSz w:w="12240" w:h="15840"/>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704C" w14:textId="77777777" w:rsidR="0056231F" w:rsidRDefault="0056231F" w:rsidP="008B006D">
      <w:pPr>
        <w:spacing w:line="240" w:lineRule="auto"/>
      </w:pPr>
      <w:r>
        <w:separator/>
      </w:r>
    </w:p>
    <w:p w14:paraId="023DF6F8" w14:textId="77777777" w:rsidR="0056231F" w:rsidRDefault="0056231F"/>
  </w:endnote>
  <w:endnote w:type="continuationSeparator" w:id="0">
    <w:p w14:paraId="6D832B06" w14:textId="77777777" w:rsidR="0056231F" w:rsidRDefault="0056231F" w:rsidP="008B006D">
      <w:pPr>
        <w:spacing w:line="240" w:lineRule="auto"/>
      </w:pPr>
      <w:r>
        <w:continuationSeparator/>
      </w:r>
    </w:p>
    <w:p w14:paraId="5C166B61" w14:textId="77777777" w:rsidR="0056231F" w:rsidRDefault="0056231F"/>
  </w:endnote>
  <w:endnote w:type="continuationNotice" w:id="1">
    <w:p w14:paraId="38A918C3" w14:textId="77777777" w:rsidR="0056231F" w:rsidRDefault="0056231F">
      <w:pPr>
        <w:spacing w:line="240" w:lineRule="auto"/>
      </w:pPr>
    </w:p>
    <w:p w14:paraId="4A27B027" w14:textId="77777777" w:rsidR="0056231F" w:rsidRDefault="0056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802362"/>
      <w:docPartObj>
        <w:docPartGallery w:val="Page Numbers (Bottom of Page)"/>
        <w:docPartUnique/>
      </w:docPartObj>
    </w:sdtPr>
    <w:sdtEndPr>
      <w:rPr>
        <w:noProof/>
      </w:rPr>
    </w:sdtEndPr>
    <w:sdtContent>
      <w:p w14:paraId="3EE90118" w14:textId="2C0B8CB2" w:rsidR="008B006D" w:rsidRDefault="00D24143" w:rsidP="00D24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51728"/>
      <w:docPartObj>
        <w:docPartGallery w:val="Page Numbers (Bottom of Page)"/>
        <w:docPartUnique/>
      </w:docPartObj>
    </w:sdtPr>
    <w:sdtEndPr>
      <w:rPr>
        <w:noProof/>
      </w:rPr>
    </w:sdtEndPr>
    <w:sdtContent>
      <w:p w14:paraId="425F667A" w14:textId="77777777" w:rsidR="000F7E72" w:rsidRDefault="000F7E72" w:rsidP="007A3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04AB" w14:textId="77777777" w:rsidR="000F7E72" w:rsidRDefault="000F7E72">
    <w:pPr>
      <w:ind w:right="53"/>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sz w:val="24"/>
      </w:rPr>
      <w:t>3</w:t>
    </w:r>
    <w:r>
      <w:rPr>
        <w:sz w:val="24"/>
      </w:rPr>
      <w:fldChar w:fldCharType="end"/>
    </w:r>
    <w:r>
      <w:rPr>
        <w:sz w:val="24"/>
      </w:rPr>
      <w:t xml:space="preserve"> </w:t>
    </w:r>
  </w:p>
  <w:p w14:paraId="606AE86A" w14:textId="77777777" w:rsidR="000F7E72" w:rsidRDefault="000F7E72">
    <w:pPr>
      <w:ind w:left="7"/>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651C" w14:textId="656C6A1A" w:rsidR="000F7E72" w:rsidRPr="00240187" w:rsidRDefault="000F7E72" w:rsidP="00240187">
    <w:pPr>
      <w:spacing w:line="240" w:lineRule="auto"/>
      <w:ind w:right="58"/>
      <w:jc w:val="center"/>
      <w:rPr>
        <w:szCs w:val="26"/>
      </w:rPr>
    </w:pPr>
    <w:r w:rsidRPr="00240187">
      <w:rPr>
        <w:rFonts w:eastAsia="Calibri"/>
        <w:szCs w:val="26"/>
      </w:rPr>
      <w:fldChar w:fldCharType="begin"/>
    </w:r>
    <w:r w:rsidRPr="00240187">
      <w:rPr>
        <w:szCs w:val="26"/>
      </w:rPr>
      <w:instrText xml:space="preserve"> PAGE   \* MERGEFORMAT </w:instrText>
    </w:r>
    <w:r w:rsidRPr="00240187">
      <w:rPr>
        <w:rFonts w:eastAsia="Calibri"/>
        <w:szCs w:val="26"/>
      </w:rPr>
      <w:fldChar w:fldCharType="separate"/>
    </w:r>
    <w:r w:rsidRPr="00240187">
      <w:rPr>
        <w:szCs w:val="26"/>
      </w:rPr>
      <w:t>3</w:t>
    </w:r>
    <w:r w:rsidRPr="00240187">
      <w:rPr>
        <w:szCs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3119" w14:textId="19E9BDE4" w:rsidR="000F7E72" w:rsidRDefault="000F7E72" w:rsidP="00240187">
    <w:pPr>
      <w:ind w:right="53"/>
      <w:jc w:val="center"/>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sz w:val="24"/>
      </w:rPr>
      <w:t>3</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6936" w14:textId="77777777" w:rsidR="000F7E72" w:rsidRDefault="000F7E7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951" w14:textId="77777777" w:rsidR="000F7E72" w:rsidRDefault="000F7E7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8F20" w14:textId="77777777" w:rsidR="0023003A" w:rsidRDefault="0023003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A4D" w14:textId="77777777" w:rsidR="0023003A" w:rsidRDefault="002300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2B1B" w14:textId="77777777" w:rsidR="0056231F" w:rsidRDefault="0056231F" w:rsidP="005167C2">
      <w:pPr>
        <w:spacing w:line="240" w:lineRule="auto"/>
      </w:pPr>
      <w:r>
        <w:separator/>
      </w:r>
    </w:p>
  </w:footnote>
  <w:footnote w:type="continuationSeparator" w:id="0">
    <w:p w14:paraId="02CB37F9" w14:textId="77777777" w:rsidR="0056231F" w:rsidRDefault="0056231F" w:rsidP="008B006D">
      <w:pPr>
        <w:spacing w:line="240" w:lineRule="auto"/>
      </w:pPr>
      <w:r>
        <w:continuationSeparator/>
      </w:r>
    </w:p>
  </w:footnote>
  <w:footnote w:type="continuationNotice" w:id="1">
    <w:p w14:paraId="2B80E24B" w14:textId="77777777" w:rsidR="0056231F" w:rsidRPr="005556D8" w:rsidRDefault="0056231F" w:rsidP="005556D8">
      <w:pPr>
        <w:pStyle w:val="Footer"/>
      </w:pPr>
    </w:p>
  </w:footnote>
  <w:footnote w:id="2">
    <w:p w14:paraId="500BFDBA" w14:textId="61B6C87D" w:rsidR="00082AB7" w:rsidRPr="00F546E0" w:rsidRDefault="00082AB7" w:rsidP="00082AB7">
      <w:pPr>
        <w:pStyle w:val="FootnoteText"/>
        <w:spacing w:after="120"/>
        <w:ind w:firstLine="720"/>
        <w:rPr>
          <w:sz w:val="26"/>
          <w:szCs w:val="26"/>
        </w:rPr>
      </w:pPr>
      <w:r w:rsidRPr="00F546E0">
        <w:rPr>
          <w:rStyle w:val="FootnoteReference"/>
          <w:sz w:val="26"/>
          <w:szCs w:val="26"/>
        </w:rPr>
        <w:footnoteRef/>
      </w:r>
      <w:r w:rsidRPr="00F546E0">
        <w:rPr>
          <w:sz w:val="26"/>
          <w:szCs w:val="26"/>
        </w:rPr>
        <w:tab/>
        <w:t xml:space="preserve">ALJ Buckley’s Order is dated November 9, 2021 and was served by the Commission on November 10, 2021. </w:t>
      </w:r>
    </w:p>
  </w:footnote>
  <w:footnote w:id="3">
    <w:p w14:paraId="7711AD6C" w14:textId="77777777" w:rsidR="00082AB7" w:rsidRPr="00F546E0" w:rsidRDefault="00082AB7" w:rsidP="00082AB7">
      <w:pPr>
        <w:pStyle w:val="FootnoteText"/>
        <w:spacing w:after="120"/>
        <w:ind w:firstLine="720"/>
        <w:rPr>
          <w:rFonts w:cs="Times New Roman"/>
          <w:sz w:val="26"/>
          <w:szCs w:val="26"/>
        </w:rPr>
      </w:pPr>
      <w:r w:rsidRPr="00F546E0">
        <w:rPr>
          <w:rStyle w:val="FootnoteReference"/>
          <w:rFonts w:cs="Times New Roman"/>
          <w:sz w:val="26"/>
          <w:szCs w:val="26"/>
        </w:rPr>
        <w:footnoteRef/>
      </w:r>
      <w:r w:rsidRPr="00F546E0">
        <w:rPr>
          <w:rFonts w:cs="Times New Roman"/>
          <w:sz w:val="26"/>
          <w:szCs w:val="26"/>
        </w:rPr>
        <w:t xml:space="preserve"> </w:t>
      </w:r>
      <w:r w:rsidRPr="00F546E0">
        <w:rPr>
          <w:rFonts w:cs="Times New Roman"/>
          <w:sz w:val="26"/>
          <w:szCs w:val="26"/>
        </w:rPr>
        <w:tab/>
        <w:t xml:space="preserve">As noted, </w:t>
      </w:r>
      <w:r w:rsidRPr="00F546E0">
        <w:rPr>
          <w:rFonts w:cs="Times New Roman"/>
          <w:i/>
          <w:iCs/>
          <w:sz w:val="26"/>
          <w:szCs w:val="26"/>
        </w:rPr>
        <w:t>infra</w:t>
      </w:r>
      <w:r w:rsidRPr="00F546E0">
        <w:rPr>
          <w:rFonts w:cs="Times New Roman"/>
          <w:sz w:val="26"/>
          <w:szCs w:val="26"/>
        </w:rPr>
        <w:t xml:space="preserve">, by Opinion and Order entered June 1, 2021, the water and wastewater rate filings at Docket Nos. R-2021-3025206 and R-2021-3025207, respectively, and all Complaints filed with respect thereto, were consolidated for further proceedings and disposition, without objection.  </w:t>
      </w:r>
    </w:p>
  </w:footnote>
  <w:footnote w:id="4">
    <w:p w14:paraId="7C36F4CD" w14:textId="3B5459D7" w:rsidR="00082AB7" w:rsidRPr="00C613A1" w:rsidRDefault="00082AB7" w:rsidP="0061331E">
      <w:pPr>
        <w:pStyle w:val="FootnoteText"/>
        <w:ind w:firstLine="720"/>
        <w:rPr>
          <w:sz w:val="26"/>
          <w:szCs w:val="26"/>
        </w:rPr>
      </w:pPr>
      <w:r w:rsidRPr="00F546E0">
        <w:rPr>
          <w:rStyle w:val="FootnoteReference"/>
          <w:sz w:val="26"/>
          <w:szCs w:val="26"/>
        </w:rPr>
        <w:footnoteRef/>
      </w:r>
      <w:r w:rsidRPr="00F546E0">
        <w:rPr>
          <w:rFonts w:cs="Times New Roman"/>
          <w:sz w:val="26"/>
          <w:szCs w:val="26"/>
        </w:rPr>
        <w:tab/>
        <w:t>For ease of understanding in this Opinion and Order, when referring jointly to both divisions of the Companies, we shall refer to them as CUPA.  Specific references to the water and wastewater divisions shall be to CUPA-Water and CUPA-Wastewater, respectively.</w:t>
      </w:r>
    </w:p>
  </w:footnote>
  <w:footnote w:id="5">
    <w:p w14:paraId="74CEDB07" w14:textId="0F99F8B6" w:rsidR="00C613A1" w:rsidRPr="00C613A1" w:rsidRDefault="00C613A1" w:rsidP="00BB0D07">
      <w:pPr>
        <w:pStyle w:val="FootnoteText"/>
        <w:ind w:firstLine="720"/>
        <w:rPr>
          <w:sz w:val="26"/>
          <w:szCs w:val="26"/>
        </w:rPr>
      </w:pPr>
      <w:r w:rsidRPr="00C613A1">
        <w:rPr>
          <w:rStyle w:val="FootnoteReference"/>
          <w:sz w:val="26"/>
          <w:szCs w:val="26"/>
        </w:rPr>
        <w:footnoteRef/>
      </w:r>
      <w:r>
        <w:rPr>
          <w:sz w:val="26"/>
          <w:szCs w:val="26"/>
        </w:rPr>
        <w:t xml:space="preserve">  </w:t>
      </w:r>
      <w:r>
        <w:rPr>
          <w:sz w:val="26"/>
          <w:szCs w:val="26"/>
        </w:rPr>
        <w:tab/>
      </w:r>
      <w:r w:rsidR="00CA1ADC" w:rsidRPr="00F546E0">
        <w:rPr>
          <w:i/>
          <w:iCs/>
          <w:sz w:val="26"/>
          <w:szCs w:val="26"/>
        </w:rPr>
        <w:t>See</w:t>
      </w:r>
      <w:r w:rsidR="00CA1ADC" w:rsidRPr="00F546E0">
        <w:rPr>
          <w:sz w:val="26"/>
          <w:szCs w:val="26"/>
        </w:rPr>
        <w:t xml:space="preserve"> Order Granting </w:t>
      </w:r>
      <w:r w:rsidR="00FA3786">
        <w:rPr>
          <w:sz w:val="26"/>
          <w:szCs w:val="26"/>
        </w:rPr>
        <w:t>t</w:t>
      </w:r>
      <w:r w:rsidR="00CA1ADC" w:rsidRPr="00F546E0">
        <w:rPr>
          <w:sz w:val="26"/>
          <w:szCs w:val="26"/>
        </w:rPr>
        <w:t xml:space="preserve">he Joint Petition </w:t>
      </w:r>
      <w:r w:rsidR="00FA3786">
        <w:rPr>
          <w:sz w:val="26"/>
          <w:szCs w:val="26"/>
        </w:rPr>
        <w:t>f</w:t>
      </w:r>
      <w:r w:rsidR="00CA1ADC" w:rsidRPr="00F546E0">
        <w:rPr>
          <w:sz w:val="26"/>
          <w:szCs w:val="26"/>
        </w:rPr>
        <w:t xml:space="preserve">or Extension </w:t>
      </w:r>
      <w:r w:rsidR="004030BB">
        <w:rPr>
          <w:sz w:val="26"/>
          <w:szCs w:val="26"/>
        </w:rPr>
        <w:t>o</w:t>
      </w:r>
      <w:r w:rsidR="00CA1ADC" w:rsidRPr="00F546E0">
        <w:rPr>
          <w:sz w:val="26"/>
          <w:szCs w:val="26"/>
        </w:rPr>
        <w:t>f Procedural Schedule, Chief Administrative Law Judge Charles E. Rainey Jr., dated and entered July 22, 2021.</w:t>
      </w:r>
    </w:p>
  </w:footnote>
  <w:footnote w:id="6">
    <w:p w14:paraId="1CCED9B0" w14:textId="317670DC" w:rsidR="00691417" w:rsidRPr="003563ED" w:rsidRDefault="00691417" w:rsidP="008507B7">
      <w:pPr>
        <w:spacing w:line="240" w:lineRule="auto"/>
        <w:ind w:firstLine="720"/>
        <w:contextualSpacing/>
        <w:rPr>
          <w:color w:val="auto"/>
          <w:szCs w:val="26"/>
        </w:rPr>
      </w:pPr>
      <w:r w:rsidRPr="00F546E0">
        <w:rPr>
          <w:rStyle w:val="FootnoteReference"/>
          <w:szCs w:val="26"/>
        </w:rPr>
        <w:footnoteRef/>
      </w:r>
      <w:r w:rsidRPr="00F546E0">
        <w:rPr>
          <w:szCs w:val="26"/>
        </w:rPr>
        <w:t xml:space="preserve"> </w:t>
      </w:r>
      <w:r w:rsidRPr="00F546E0">
        <w:rPr>
          <w:szCs w:val="26"/>
        </w:rPr>
        <w:tab/>
      </w:r>
      <w:r w:rsidR="00C06817" w:rsidRPr="00F546E0">
        <w:rPr>
          <w:color w:val="auto"/>
          <w:szCs w:val="26"/>
        </w:rPr>
        <w:t>The Objections briefly take issue with the affordability of the proposed Settlement rates and argue those rates will produce rate shock and fail for a lack of gradualism.  One Complainant also requested a longer stay-out due to the unstable economy at present.</w:t>
      </w:r>
      <w:r w:rsidR="00C613A1">
        <w:rPr>
          <w:color w:val="auto"/>
          <w:szCs w:val="26"/>
        </w:rPr>
        <w:t xml:space="preserve">  As discussed in our evaluation of the Settlement below, we determine that these objections do not form a basis for rejection of the Settlement and, thus, we deny and dismiss them.</w:t>
      </w:r>
    </w:p>
  </w:footnote>
  <w:footnote w:id="7">
    <w:p w14:paraId="1BCDC0DF" w14:textId="0C866B64" w:rsidR="00E17926" w:rsidRPr="00BB18BC" w:rsidRDefault="00E17926" w:rsidP="00BB18BC">
      <w:pPr>
        <w:pStyle w:val="FootnoteText"/>
        <w:ind w:firstLine="720"/>
        <w:rPr>
          <w:sz w:val="26"/>
          <w:szCs w:val="26"/>
        </w:rPr>
      </w:pPr>
      <w:r w:rsidRPr="00BB18BC">
        <w:rPr>
          <w:rStyle w:val="FootnoteReference"/>
          <w:sz w:val="26"/>
          <w:szCs w:val="26"/>
        </w:rPr>
        <w:footnoteRef/>
      </w:r>
      <w:r w:rsidRPr="00BB18BC">
        <w:rPr>
          <w:sz w:val="26"/>
          <w:szCs w:val="26"/>
        </w:rPr>
        <w:t xml:space="preserve"> </w:t>
      </w:r>
      <w:r w:rsidRPr="00BB18BC">
        <w:rPr>
          <w:sz w:val="26"/>
          <w:szCs w:val="26"/>
        </w:rPr>
        <w:tab/>
        <w:t xml:space="preserve">GHD </w:t>
      </w:r>
      <w:r w:rsidR="00EE3667" w:rsidRPr="00BB18BC">
        <w:rPr>
          <w:sz w:val="26"/>
          <w:szCs w:val="26"/>
        </w:rPr>
        <w:t>is CUPA’s outside consultant</w:t>
      </w:r>
      <w:r w:rsidR="00807BAD" w:rsidRPr="00BB18BC">
        <w:rPr>
          <w:sz w:val="26"/>
          <w:szCs w:val="26"/>
        </w:rPr>
        <w:t xml:space="preserve"> assigned to assess and improve system operations </w:t>
      </w:r>
      <w:r w:rsidR="00C323CB" w:rsidRPr="00BB18BC">
        <w:rPr>
          <w:sz w:val="26"/>
          <w:szCs w:val="26"/>
        </w:rPr>
        <w:t>to minimize loss of service</w:t>
      </w:r>
      <w:r w:rsidR="00D848B8" w:rsidRPr="00BB18BC">
        <w:rPr>
          <w:sz w:val="26"/>
          <w:szCs w:val="26"/>
        </w:rPr>
        <w:t xml:space="preserve"> in the Penn Estate’s system. </w:t>
      </w:r>
      <w:r w:rsidR="00B64049">
        <w:rPr>
          <w:sz w:val="26"/>
          <w:szCs w:val="26"/>
        </w:rPr>
        <w:t xml:space="preserve"> </w:t>
      </w:r>
      <w:r w:rsidR="00B61232" w:rsidRPr="00BB18BC">
        <w:rPr>
          <w:i/>
          <w:iCs/>
          <w:sz w:val="26"/>
          <w:szCs w:val="26"/>
        </w:rPr>
        <w:t>See</w:t>
      </w:r>
      <w:r w:rsidR="00B61232" w:rsidRPr="00BB18BC">
        <w:rPr>
          <w:sz w:val="26"/>
          <w:szCs w:val="26"/>
        </w:rPr>
        <w:t xml:space="preserve"> Joint Petition at</w:t>
      </w:r>
      <w:r w:rsidR="00E1022E">
        <w:rPr>
          <w:sz w:val="26"/>
          <w:szCs w:val="26"/>
        </w:rPr>
        <w:t> </w:t>
      </w:r>
      <w:r w:rsidR="00B61232" w:rsidRPr="00BB18BC">
        <w:rPr>
          <w:sz w:val="26"/>
          <w:szCs w:val="26"/>
        </w:rPr>
        <w:t>27.</w:t>
      </w:r>
    </w:p>
  </w:footnote>
  <w:footnote w:id="8">
    <w:p w14:paraId="735E04B3" w14:textId="4402A251" w:rsidR="00895822" w:rsidRPr="00F546E0" w:rsidRDefault="00895822" w:rsidP="005F6F17">
      <w:pPr>
        <w:pStyle w:val="footnotedescription"/>
        <w:spacing w:line="278" w:lineRule="auto"/>
        <w:ind w:firstLine="720"/>
        <w:rPr>
          <w:sz w:val="26"/>
          <w:szCs w:val="26"/>
        </w:rPr>
      </w:pPr>
      <w:r w:rsidRPr="00F546E0">
        <w:rPr>
          <w:rStyle w:val="footnotemark"/>
          <w:sz w:val="26"/>
          <w:szCs w:val="26"/>
        </w:rPr>
        <w:footnoteRef/>
      </w:r>
      <w:r w:rsidRPr="00F546E0">
        <w:rPr>
          <w:sz w:val="26"/>
          <w:szCs w:val="26"/>
        </w:rPr>
        <w:t xml:space="preserve"> </w:t>
      </w:r>
      <w:r w:rsidRPr="00F546E0">
        <w:rPr>
          <w:sz w:val="26"/>
          <w:szCs w:val="26"/>
        </w:rPr>
        <w:tab/>
      </w:r>
      <w:r w:rsidR="005F21E7" w:rsidRPr="00F546E0">
        <w:rPr>
          <w:sz w:val="26"/>
          <w:szCs w:val="26"/>
        </w:rPr>
        <w:t xml:space="preserve">As noted previously, </w:t>
      </w:r>
      <w:r w:rsidR="00D55B61" w:rsidRPr="00F546E0">
        <w:rPr>
          <w:sz w:val="26"/>
          <w:szCs w:val="26"/>
        </w:rPr>
        <w:t>b</w:t>
      </w:r>
      <w:r w:rsidRPr="00F546E0">
        <w:rPr>
          <w:sz w:val="26"/>
          <w:szCs w:val="26"/>
        </w:rPr>
        <w:t xml:space="preserve">y Order entered July 22, 2021, the procedural suspension date was extended from January 12, </w:t>
      </w:r>
      <w:r w:rsidRPr="00F546E0">
        <w:rPr>
          <w:sz w:val="26"/>
          <w:szCs w:val="26"/>
        </w:rPr>
        <w:t xml:space="preserve">2022 to February 18, 2022. </w:t>
      </w:r>
    </w:p>
  </w:footnote>
  <w:footnote w:id="9">
    <w:p w14:paraId="79EB2979" w14:textId="2378DD2C" w:rsidR="004B54E9" w:rsidRPr="00F546E0" w:rsidRDefault="004B54E9" w:rsidP="00BE7C5C">
      <w:pPr>
        <w:pStyle w:val="FootnoteText"/>
        <w:keepNext/>
        <w:keepLines/>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r>
      <w:r w:rsidRPr="00F546E0">
        <w:rPr>
          <w:rFonts w:cs="Times New Roman"/>
          <w:sz w:val="26"/>
          <w:szCs w:val="26"/>
        </w:rPr>
        <w:t xml:space="preserve">As previously explained, CUPA provides water service in three service territories: </w:t>
      </w:r>
      <w:r w:rsidR="00AF49AD">
        <w:rPr>
          <w:rFonts w:cs="Times New Roman"/>
          <w:sz w:val="26"/>
          <w:szCs w:val="26"/>
        </w:rPr>
        <w:t xml:space="preserve"> </w:t>
      </w:r>
      <w:r w:rsidRPr="00F546E0">
        <w:rPr>
          <w:rFonts w:cs="Times New Roman"/>
          <w:sz w:val="26"/>
          <w:szCs w:val="26"/>
        </w:rPr>
        <w:t xml:space="preserve">Westgate, Penn Estates, and Tamiment.  The water rates for the Westgate and Penn Estates service territories are consolidated in that the same rates are currently applicable to customers in both service territories.  Likewise, CUPA provides wastewater service in three service territories: </w:t>
      </w:r>
      <w:r w:rsidR="00AF49AD">
        <w:rPr>
          <w:rFonts w:cs="Times New Roman"/>
          <w:sz w:val="26"/>
          <w:szCs w:val="26"/>
        </w:rPr>
        <w:t xml:space="preserve"> </w:t>
      </w:r>
      <w:r w:rsidRPr="00F546E0">
        <w:rPr>
          <w:rFonts w:cs="Times New Roman"/>
          <w:sz w:val="26"/>
          <w:szCs w:val="26"/>
        </w:rPr>
        <w:t xml:space="preserve">Utilities, Inc. of Pennsylvania, Penn Estates, and Tamiment.  The wastewater rates for the Utilities, Inc. of Pennsylvania and Penn Estates service territories are consolidated in that the same rates are currently applicable to customers in both service territories.  </w:t>
      </w:r>
    </w:p>
  </w:footnote>
  <w:footnote w:id="10">
    <w:p w14:paraId="4DA2F806" w14:textId="06869FC9" w:rsidR="004B54E9" w:rsidRPr="00F546E0" w:rsidRDefault="004B54E9" w:rsidP="00BE7C5C">
      <w:pPr>
        <w:pStyle w:val="FootnoteText"/>
        <w:keepNext/>
        <w:keepLines/>
        <w:ind w:firstLine="720"/>
        <w:rPr>
          <w:rFonts w:cs="Times New Roman"/>
          <w:sz w:val="26"/>
          <w:szCs w:val="26"/>
        </w:rPr>
      </w:pPr>
      <w:r w:rsidRPr="00F546E0">
        <w:rPr>
          <w:rStyle w:val="FootnoteReference"/>
          <w:rFonts w:eastAsiaTheme="majorEastAsia"/>
          <w:sz w:val="26"/>
          <w:szCs w:val="26"/>
        </w:rPr>
        <w:footnoteRef/>
      </w:r>
      <w:r w:rsidRPr="00F546E0">
        <w:rPr>
          <w:rFonts w:cs="Times New Roman"/>
          <w:sz w:val="26"/>
          <w:szCs w:val="26"/>
        </w:rPr>
        <w:t xml:space="preserve"> </w:t>
      </w:r>
      <w:r w:rsidRPr="00F546E0">
        <w:rPr>
          <w:rFonts w:cs="Times New Roman"/>
          <w:sz w:val="26"/>
          <w:szCs w:val="26"/>
        </w:rPr>
        <w:tab/>
        <w:t>Westgate and Penn Estates customers are currently billed monthly and Tamiment customers are currently billed quarterly.  CUPA</w:t>
      </w:r>
      <w:r w:rsidR="00D91A0E" w:rsidRPr="00F546E0">
        <w:rPr>
          <w:rFonts w:cs="Times New Roman"/>
          <w:sz w:val="26"/>
          <w:szCs w:val="26"/>
        </w:rPr>
        <w:t>-Water</w:t>
      </w:r>
      <w:r w:rsidRPr="00F546E0">
        <w:rPr>
          <w:rFonts w:cs="Times New Roman"/>
          <w:sz w:val="26"/>
          <w:szCs w:val="26"/>
        </w:rPr>
        <w:t xml:space="preserve"> proposed to bill all customers </w:t>
      </w:r>
      <w:r w:rsidRPr="00F546E0">
        <w:rPr>
          <w:rFonts w:cs="Times New Roman"/>
          <w:sz w:val="26"/>
          <w:szCs w:val="26"/>
        </w:rPr>
        <w:t>on a monthly basis.</w:t>
      </w:r>
    </w:p>
  </w:footnote>
  <w:footnote w:id="11">
    <w:p w14:paraId="0011DBC5" w14:textId="3C02ABC1" w:rsidR="004B54E9" w:rsidRPr="00F546E0" w:rsidRDefault="004B54E9" w:rsidP="00BE7C5C">
      <w:pPr>
        <w:pStyle w:val="FootnoteText"/>
        <w:keepNext/>
        <w:keepLines/>
        <w:ind w:firstLine="720"/>
        <w:rPr>
          <w:sz w:val="26"/>
          <w:szCs w:val="26"/>
        </w:rPr>
      </w:pPr>
      <w:r w:rsidRPr="00F546E0">
        <w:rPr>
          <w:rStyle w:val="FootnoteReference"/>
          <w:rFonts w:eastAsiaTheme="majorEastAsia"/>
          <w:sz w:val="26"/>
          <w:szCs w:val="26"/>
        </w:rPr>
        <w:footnoteRef/>
      </w:r>
      <w:r w:rsidRPr="00F546E0">
        <w:rPr>
          <w:rFonts w:cs="Times New Roman"/>
          <w:sz w:val="26"/>
          <w:szCs w:val="26"/>
        </w:rPr>
        <w:t xml:space="preserve"> </w:t>
      </w:r>
      <w:r w:rsidRPr="00F546E0">
        <w:rPr>
          <w:rFonts w:cs="Times New Roman"/>
          <w:sz w:val="26"/>
          <w:szCs w:val="26"/>
        </w:rPr>
        <w:tab/>
      </w:r>
      <w:r w:rsidRPr="00F546E0">
        <w:rPr>
          <w:rFonts w:cs="Times New Roman"/>
          <w:sz w:val="26"/>
          <w:szCs w:val="26"/>
        </w:rPr>
        <w:t>In order to be consistent with Section 1328 of the Code, CUPA</w:t>
      </w:r>
      <w:r w:rsidR="00D91A0E" w:rsidRPr="00F546E0">
        <w:rPr>
          <w:rFonts w:cs="Times New Roman"/>
          <w:sz w:val="26"/>
          <w:szCs w:val="26"/>
        </w:rPr>
        <w:t>-Water</w:t>
      </w:r>
      <w:r w:rsidRPr="00F546E0">
        <w:rPr>
          <w:rFonts w:cs="Times New Roman"/>
          <w:sz w:val="26"/>
          <w:szCs w:val="26"/>
        </w:rPr>
        <w:t xml:space="preserve"> revised its proposed rates in rebuttal testimony to limit the increase to public fire protection rates to 25 percent of the cost of providing service to that class.  CUPA</w:t>
      </w:r>
      <w:r w:rsidR="00D777FE">
        <w:rPr>
          <w:rFonts w:cs="Times New Roman"/>
          <w:sz w:val="26"/>
          <w:szCs w:val="26"/>
        </w:rPr>
        <w:t>-W</w:t>
      </w:r>
      <w:r w:rsidRPr="00F546E0">
        <w:rPr>
          <w:rFonts w:cs="Times New Roman"/>
          <w:sz w:val="26"/>
          <w:szCs w:val="26"/>
        </w:rPr>
        <w:t xml:space="preserve"> St. No. 4-R at 13; 66 Pa. C.S. </w:t>
      </w:r>
      <w:r w:rsidR="009B56AB" w:rsidRPr="00F546E0">
        <w:rPr>
          <w:rFonts w:cs="Times New Roman"/>
          <w:sz w:val="26"/>
          <w:szCs w:val="26"/>
        </w:rPr>
        <w:t xml:space="preserve">§ </w:t>
      </w:r>
      <w:r w:rsidRPr="00F546E0">
        <w:rPr>
          <w:rFonts w:cs="Times New Roman"/>
          <w:sz w:val="26"/>
          <w:szCs w:val="26"/>
        </w:rPr>
        <w:t>1328(b)(1).  The Company revised its as-filed availability and customer charges upward to recover the foregone revenue associated with its reduced hydrant charge.</w:t>
      </w:r>
    </w:p>
  </w:footnote>
  <w:footnote w:id="12">
    <w:p w14:paraId="4828C306" w14:textId="143111D5" w:rsidR="004B54E9" w:rsidRPr="00F546E0" w:rsidRDefault="004B54E9" w:rsidP="001B09DD">
      <w:pPr>
        <w:pStyle w:val="FootnoteText"/>
        <w:keepNext/>
        <w:keepLines/>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t>Through settlement negotiations, the Parties agreed to a residential volumetric rate discount of 35% in lieu of the 65.4% discount proposed by the Company.  This moderated discount lessens the bill impact on CUPA</w:t>
      </w:r>
      <w:r w:rsidR="00D54EEE" w:rsidRPr="00F546E0">
        <w:rPr>
          <w:sz w:val="26"/>
          <w:szCs w:val="26"/>
        </w:rPr>
        <w:t>-Water</w:t>
      </w:r>
      <w:r w:rsidRPr="00F546E0">
        <w:rPr>
          <w:sz w:val="26"/>
          <w:szCs w:val="26"/>
        </w:rPr>
        <w:t xml:space="preserve"> customers paying full tariff rates while also providing low-income customers bill relief through the 35% volumetric rate discount.</w:t>
      </w:r>
    </w:p>
  </w:footnote>
  <w:footnote w:id="13">
    <w:p w14:paraId="5ECE8855" w14:textId="77777777" w:rsidR="004B54E9" w:rsidRPr="00F546E0" w:rsidRDefault="004B54E9" w:rsidP="00A16EB0">
      <w:pPr>
        <w:pStyle w:val="FootnoteText"/>
        <w:keepNext/>
        <w:keepLines/>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t>This was an important element of the Settlement to address I&amp;E’s concern about the potential for over-recovery in base rates:</w:t>
      </w:r>
    </w:p>
    <w:p w14:paraId="34511379" w14:textId="77777777" w:rsidR="004B54E9" w:rsidRPr="00F546E0" w:rsidRDefault="004B54E9" w:rsidP="00A16EB0">
      <w:pPr>
        <w:pStyle w:val="FootnoteText"/>
        <w:keepNext/>
        <w:keepLines/>
        <w:rPr>
          <w:sz w:val="26"/>
          <w:szCs w:val="26"/>
        </w:rPr>
      </w:pPr>
    </w:p>
    <w:p w14:paraId="2564E6B2" w14:textId="53EF99BA" w:rsidR="004B54E9" w:rsidRDefault="004B54E9" w:rsidP="00A16EB0">
      <w:pPr>
        <w:pStyle w:val="FootnoteText"/>
        <w:keepNext/>
        <w:keepLines/>
        <w:ind w:left="1440" w:right="1440"/>
        <w:rPr>
          <w:sz w:val="26"/>
          <w:szCs w:val="26"/>
        </w:rPr>
      </w:pPr>
      <w:r w:rsidRPr="00F546E0">
        <w:rPr>
          <w:sz w:val="26"/>
          <w:szCs w:val="26"/>
        </w:rPr>
        <w:t>The projected levels of revenue shortfalls generated by the Company’s generic analysis will cause harm to customers through the setting of the higher base rates necessary to subsidize this program.  Finally, since the revenue shortfall is built into base rates with no reconciliation of actual participation costs to those projected in this base rate case, the potential excess revenue generated by low participation in the program merely provides excess revenues to the Company through the establishment of unreasonable and unsupported base rates.</w:t>
      </w:r>
    </w:p>
    <w:p w14:paraId="29E952C2" w14:textId="77777777" w:rsidR="00AF0A12" w:rsidRPr="00F546E0" w:rsidRDefault="00AF0A12" w:rsidP="00AF0A12">
      <w:pPr>
        <w:pStyle w:val="FootnoteText"/>
        <w:keepNext/>
        <w:keepLines/>
        <w:ind w:left="1440" w:right="1440"/>
        <w:rPr>
          <w:sz w:val="26"/>
          <w:szCs w:val="26"/>
        </w:rPr>
      </w:pPr>
    </w:p>
    <w:p w14:paraId="68B60B5C" w14:textId="0FA2C7D9" w:rsidR="003919C4" w:rsidRPr="00F546E0" w:rsidRDefault="004B54E9" w:rsidP="00AF0A12">
      <w:pPr>
        <w:pStyle w:val="FootnoteText"/>
        <w:keepNext/>
        <w:keepLines/>
        <w:spacing w:after="120"/>
        <w:rPr>
          <w:sz w:val="26"/>
          <w:szCs w:val="26"/>
        </w:rPr>
      </w:pPr>
      <w:r w:rsidRPr="00F546E0">
        <w:rPr>
          <w:sz w:val="26"/>
          <w:szCs w:val="26"/>
        </w:rPr>
        <w:t>I&amp;E St. No. 3-SR (Water) at 26-27.</w:t>
      </w:r>
    </w:p>
  </w:footnote>
  <w:footnote w:id="14">
    <w:p w14:paraId="0BF95422" w14:textId="366322A4" w:rsidR="004B54E9" w:rsidRPr="00F546E0" w:rsidRDefault="004B54E9" w:rsidP="00AF0A12">
      <w:pPr>
        <w:pStyle w:val="FootnoteText"/>
        <w:keepNext/>
        <w:keepLines/>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t xml:space="preserve">Implementing this discount rate on a pilot, rather than permanent, basis provides the Company and the </w:t>
      </w:r>
      <w:r w:rsidR="0058700F">
        <w:rPr>
          <w:sz w:val="26"/>
          <w:szCs w:val="26"/>
        </w:rPr>
        <w:t>P</w:t>
      </w:r>
      <w:r w:rsidRPr="00F546E0">
        <w:rPr>
          <w:sz w:val="26"/>
          <w:szCs w:val="26"/>
        </w:rPr>
        <w:t>arties an opportunity to evaluate whether there is an established need for the low-income rate and, if so, to assess whether the current rate is properly designed.</w:t>
      </w:r>
    </w:p>
  </w:footnote>
  <w:footnote w:id="15">
    <w:p w14:paraId="278BB504" w14:textId="1AEEBC66" w:rsidR="0056202E" w:rsidRPr="00F546E0" w:rsidRDefault="0056202E" w:rsidP="00F30DC8">
      <w:pPr>
        <w:spacing w:after="120" w:line="240" w:lineRule="auto"/>
        <w:ind w:firstLine="720"/>
        <w:contextualSpacing/>
        <w:rPr>
          <w:szCs w:val="26"/>
        </w:rPr>
      </w:pPr>
      <w:r w:rsidRPr="00F546E0">
        <w:rPr>
          <w:rStyle w:val="FootnoteReference"/>
          <w:szCs w:val="26"/>
        </w:rPr>
        <w:footnoteRef/>
      </w:r>
      <w:r w:rsidRPr="00F546E0">
        <w:rPr>
          <w:szCs w:val="26"/>
        </w:rPr>
        <w:t xml:space="preserve"> </w:t>
      </w:r>
      <w:r w:rsidRPr="00F546E0">
        <w:rPr>
          <w:szCs w:val="26"/>
        </w:rPr>
        <w:tab/>
        <w:t>The “polestar” of ratemaking concerns is the “cost of providing service.”</w:t>
      </w:r>
      <w:r w:rsidRPr="00F546E0">
        <w:rPr>
          <w:i/>
          <w:iCs/>
          <w:szCs w:val="26"/>
        </w:rPr>
        <w:t xml:space="preserve"> </w:t>
      </w:r>
      <w:r w:rsidR="00933F00">
        <w:rPr>
          <w:i/>
          <w:iCs/>
          <w:szCs w:val="26"/>
        </w:rPr>
        <w:t xml:space="preserve"> </w:t>
      </w:r>
      <w:r w:rsidRPr="00F546E0">
        <w:rPr>
          <w:i/>
          <w:iCs/>
          <w:szCs w:val="26"/>
        </w:rPr>
        <w:t>Lloyd v. Pa. PUC</w:t>
      </w:r>
      <w:r w:rsidRPr="00F546E0">
        <w:rPr>
          <w:szCs w:val="26"/>
        </w:rPr>
        <w:t>, 904 A.2d 1010, 1019-21 (Pa. Cmwlth. 2006) (</w:t>
      </w:r>
      <w:r w:rsidRPr="00F546E0">
        <w:rPr>
          <w:i/>
          <w:iCs/>
          <w:szCs w:val="26"/>
        </w:rPr>
        <w:t>Lloyd</w:t>
      </w:r>
      <w:r w:rsidRPr="00F546E0">
        <w:rPr>
          <w:szCs w:val="26"/>
        </w:rPr>
        <w:t xml:space="preserve">).  Inherent in this principle of ratemaking is the recognition that public utilities are natural monopolies and that the Commission’s oversight through cost-of-service ratemaking serves as a proxy for a competitive market in appropriately restraining, or exerting downward pressure on, the profit-maximizing prices a monopoly could otherwise charge in the absence of price regulation.  </w:t>
      </w:r>
      <w:r w:rsidRPr="00F546E0">
        <w:rPr>
          <w:i/>
          <w:iCs/>
          <w:szCs w:val="26"/>
        </w:rPr>
        <w:t>See, e.g</w:t>
      </w:r>
      <w:r w:rsidRPr="00F546E0">
        <w:rPr>
          <w:szCs w:val="26"/>
        </w:rPr>
        <w:t>., OCA St. 1 at 4.  With respect to a utility’s recovery of costs related to providing service, we have previously explained:</w:t>
      </w:r>
    </w:p>
    <w:p w14:paraId="35AC2695" w14:textId="77777777" w:rsidR="0056202E" w:rsidRPr="00F546E0" w:rsidRDefault="0056202E" w:rsidP="00F30DC8">
      <w:pPr>
        <w:spacing w:after="120" w:line="240" w:lineRule="auto"/>
        <w:ind w:firstLine="720"/>
        <w:contextualSpacing/>
        <w:rPr>
          <w:szCs w:val="26"/>
        </w:rPr>
      </w:pPr>
    </w:p>
    <w:p w14:paraId="2850EA96" w14:textId="77777777" w:rsidR="0056202E" w:rsidRPr="00F546E0" w:rsidRDefault="0056202E" w:rsidP="005E5D08">
      <w:pPr>
        <w:tabs>
          <w:tab w:val="left" w:pos="-720"/>
        </w:tabs>
        <w:spacing w:line="240" w:lineRule="auto"/>
        <w:ind w:left="1440" w:right="1440"/>
        <w:contextualSpacing/>
        <w:rPr>
          <w:szCs w:val="26"/>
        </w:rPr>
      </w:pPr>
      <w:r w:rsidRPr="00F546E0">
        <w:rPr>
          <w:szCs w:val="26"/>
        </w:rPr>
        <w:t xml:space="preserve">It is our opinion that in exchange for the utility’s provision of safe, </w:t>
      </w:r>
      <w:r w:rsidRPr="00F546E0">
        <w:rPr>
          <w:szCs w:val="26"/>
        </w:rPr>
        <w:t>adequate and reasonable service, the ratepayers are obligated to pay rates which cover the cost of service which includes reasonable operation and maintenance expenses, depreciation, taxes and a fair rate of return for the utility’s investors.  Thus, as the OCA contends, a quid pro quo relationship exists between the utility and its ratepayers.  In return for providing safe and adequate service, the utility is entitled to recover, through rates, these enumerated costs.  We find this principle to be consistent with the standards enunciated in [</w:t>
      </w:r>
      <w:r w:rsidRPr="00F546E0">
        <w:rPr>
          <w:i/>
          <w:iCs/>
          <w:szCs w:val="26"/>
        </w:rPr>
        <w:t>Hope Natural Gas</w:t>
      </w:r>
      <w:r w:rsidRPr="00F546E0">
        <w:rPr>
          <w:szCs w:val="26"/>
        </w:rPr>
        <w:t>] wherein it was stated that the “…fixing of ‘just and reasonable’ rates, involves a balancing of the investor and the consumer interests…”</w:t>
      </w:r>
    </w:p>
    <w:p w14:paraId="434448C5" w14:textId="77777777" w:rsidR="0056202E" w:rsidRPr="00F546E0" w:rsidRDefault="0056202E" w:rsidP="00E47011">
      <w:pPr>
        <w:tabs>
          <w:tab w:val="left" w:pos="-720"/>
        </w:tabs>
        <w:spacing w:after="120" w:line="240" w:lineRule="auto"/>
        <w:ind w:left="1440" w:right="1440"/>
        <w:contextualSpacing/>
        <w:rPr>
          <w:szCs w:val="26"/>
        </w:rPr>
      </w:pPr>
    </w:p>
    <w:p w14:paraId="2DA883F6" w14:textId="77777777" w:rsidR="0056202E" w:rsidRPr="00F546E0" w:rsidRDefault="0056202E" w:rsidP="00E47011">
      <w:pPr>
        <w:tabs>
          <w:tab w:val="left" w:pos="-720"/>
        </w:tabs>
        <w:spacing w:after="120" w:line="240" w:lineRule="auto"/>
        <w:contextualSpacing/>
        <w:rPr>
          <w:szCs w:val="26"/>
        </w:rPr>
      </w:pPr>
      <w:r w:rsidRPr="00F546E0">
        <w:rPr>
          <w:i/>
          <w:spacing w:val="-3"/>
          <w:szCs w:val="26"/>
        </w:rPr>
        <w:t xml:space="preserve">Pa. PUC </w:t>
      </w:r>
      <w:r w:rsidRPr="00F546E0">
        <w:rPr>
          <w:i/>
          <w:szCs w:val="26"/>
        </w:rPr>
        <w:t>v. Pennsylvania Gas &amp; Water Co.</w:t>
      </w:r>
      <w:r w:rsidRPr="00F546E0">
        <w:rPr>
          <w:iCs/>
          <w:szCs w:val="26"/>
        </w:rPr>
        <w:t>,</w:t>
      </w:r>
      <w:r w:rsidRPr="00F546E0">
        <w:rPr>
          <w:i/>
          <w:szCs w:val="26"/>
        </w:rPr>
        <w:t xml:space="preserve"> </w:t>
      </w:r>
      <w:r w:rsidRPr="00F546E0">
        <w:rPr>
          <w:iCs/>
          <w:szCs w:val="26"/>
        </w:rPr>
        <w:t xml:space="preserve">Docket No. R-850178 (Order entered April 24, 1986), </w:t>
      </w:r>
      <w:r w:rsidRPr="00F546E0">
        <w:rPr>
          <w:szCs w:val="26"/>
        </w:rPr>
        <w:t>61 Pa. P.U.C. 409, 415-16, 1986 WL 1301279.</w:t>
      </w:r>
    </w:p>
  </w:footnote>
  <w:footnote w:id="16">
    <w:p w14:paraId="771D4A6E" w14:textId="6D297F08" w:rsidR="004B54E9" w:rsidRPr="00F546E0" w:rsidRDefault="004B54E9" w:rsidP="00E47011">
      <w:pPr>
        <w:pStyle w:val="FootnoteText"/>
        <w:rPr>
          <w:sz w:val="26"/>
          <w:szCs w:val="26"/>
        </w:rPr>
      </w:pPr>
      <w:r w:rsidRPr="00F546E0">
        <w:rPr>
          <w:sz w:val="26"/>
          <w:szCs w:val="26"/>
        </w:rPr>
        <w:tab/>
      </w:r>
      <w:r w:rsidRPr="00F546E0">
        <w:rPr>
          <w:rStyle w:val="FootnoteReference"/>
          <w:sz w:val="26"/>
          <w:szCs w:val="26"/>
        </w:rPr>
        <w:footnoteRef/>
      </w:r>
      <w:r w:rsidRPr="00F546E0">
        <w:rPr>
          <w:sz w:val="26"/>
          <w:szCs w:val="26"/>
        </w:rPr>
        <w:tab/>
        <w:t>Section 1330(b)(1)(i)-(v) of the Code</w:t>
      </w:r>
      <w:r w:rsidR="00203E10" w:rsidRPr="00F546E0">
        <w:rPr>
          <w:sz w:val="26"/>
          <w:szCs w:val="26"/>
        </w:rPr>
        <w:t xml:space="preserve">, 66 Pa. C.S. </w:t>
      </w:r>
      <w:r w:rsidR="00A657BD" w:rsidRPr="00F546E0">
        <w:rPr>
          <w:rFonts w:cs="Times New Roman"/>
          <w:sz w:val="26"/>
          <w:szCs w:val="26"/>
        </w:rPr>
        <w:t>§</w:t>
      </w:r>
      <w:r w:rsidR="006A01A0">
        <w:rPr>
          <w:rFonts w:cs="Times New Roman"/>
          <w:sz w:val="26"/>
          <w:szCs w:val="26"/>
        </w:rPr>
        <w:t xml:space="preserve"> </w:t>
      </w:r>
      <w:r w:rsidR="00A657BD" w:rsidRPr="00F546E0">
        <w:rPr>
          <w:sz w:val="26"/>
          <w:szCs w:val="26"/>
        </w:rPr>
        <w:t>1330(b)(1)(i)-(v),</w:t>
      </w:r>
      <w:r w:rsidRPr="00F546E0">
        <w:rPr>
          <w:sz w:val="26"/>
          <w:szCs w:val="26"/>
        </w:rPr>
        <w:t xml:space="preserve"> provides the following: </w:t>
      </w:r>
    </w:p>
    <w:p w14:paraId="39BD5300" w14:textId="77777777" w:rsidR="004B54E9" w:rsidRPr="00F546E0" w:rsidRDefault="004B54E9" w:rsidP="00E47011">
      <w:pPr>
        <w:pStyle w:val="FootnoteText"/>
        <w:jc w:val="both"/>
        <w:rPr>
          <w:sz w:val="26"/>
          <w:szCs w:val="26"/>
        </w:rPr>
      </w:pPr>
    </w:p>
    <w:p w14:paraId="2F25F65A" w14:textId="6E9BB6B7" w:rsidR="004B54E9" w:rsidRPr="00F546E0" w:rsidRDefault="004B54E9" w:rsidP="00E47011">
      <w:pPr>
        <w:spacing w:line="240" w:lineRule="auto"/>
        <w:ind w:left="1440" w:right="1440"/>
        <w:rPr>
          <w:szCs w:val="26"/>
        </w:rPr>
      </w:pPr>
      <w:r w:rsidRPr="00F546E0">
        <w:rPr>
          <w:b/>
          <w:bCs/>
          <w:szCs w:val="26"/>
        </w:rPr>
        <w:t>(b)</w:t>
      </w:r>
      <w:r w:rsidR="003919C4" w:rsidRPr="00F546E0">
        <w:rPr>
          <w:b/>
          <w:bCs/>
          <w:szCs w:val="26"/>
        </w:rPr>
        <w:tab/>
      </w:r>
      <w:r w:rsidRPr="00F546E0">
        <w:rPr>
          <w:b/>
          <w:bCs/>
          <w:i/>
          <w:iCs/>
          <w:szCs w:val="26"/>
        </w:rPr>
        <w:t>Alternative rate mechanisms.</w:t>
      </w:r>
      <w:r w:rsidRPr="00F546E0">
        <w:rPr>
          <w:b/>
          <w:bCs/>
          <w:szCs w:val="26"/>
        </w:rPr>
        <w:t>—</w:t>
      </w:r>
      <w:r w:rsidRPr="00F546E0">
        <w:rPr>
          <w:szCs w:val="26"/>
        </w:rPr>
        <w:t xml:space="preserve"> </w:t>
      </w:r>
    </w:p>
    <w:p w14:paraId="6A19A76D" w14:textId="77777777" w:rsidR="003919C4" w:rsidRPr="00F546E0" w:rsidRDefault="003919C4" w:rsidP="00E47011">
      <w:pPr>
        <w:spacing w:line="240" w:lineRule="auto"/>
        <w:ind w:left="1440" w:right="1440"/>
        <w:rPr>
          <w:szCs w:val="26"/>
        </w:rPr>
      </w:pPr>
    </w:p>
    <w:p w14:paraId="5E689BE2" w14:textId="2C82B079" w:rsidR="004B54E9" w:rsidRPr="00F546E0" w:rsidRDefault="004B54E9" w:rsidP="00E47011">
      <w:pPr>
        <w:spacing w:line="240" w:lineRule="auto"/>
        <w:ind w:left="1440" w:right="1440" w:firstLine="720"/>
        <w:rPr>
          <w:szCs w:val="26"/>
        </w:rPr>
      </w:pPr>
      <w:r w:rsidRPr="00F546E0">
        <w:rPr>
          <w:szCs w:val="26"/>
        </w:rPr>
        <w:t>(1)</w:t>
      </w:r>
      <w:r w:rsidR="003919C4" w:rsidRPr="00F546E0">
        <w:rPr>
          <w:szCs w:val="26"/>
        </w:rPr>
        <w:tab/>
      </w:r>
      <w:r w:rsidRPr="00F546E0">
        <w:rPr>
          <w:szCs w:val="26"/>
        </w:rPr>
        <w:t>Notwithstanding any other provision of law, including, but not limited to, sections 2806.1(k)(2) (relating to energy efficiency and conservation program) and 2807(f)(4) (relating to duties of electric distribution companies), the commission may approve an application by a utility in a base rate proceeding to establish alternative rates and rate mechanisms, including, but not limited to, the following mechanisms:</w:t>
      </w:r>
    </w:p>
    <w:p w14:paraId="2CB8E3B5" w14:textId="77777777" w:rsidR="008218DB" w:rsidRPr="00F546E0" w:rsidRDefault="008218DB" w:rsidP="00E47011">
      <w:pPr>
        <w:spacing w:line="240" w:lineRule="auto"/>
        <w:ind w:left="1440" w:right="1440" w:firstLine="720"/>
        <w:rPr>
          <w:szCs w:val="26"/>
        </w:rPr>
      </w:pPr>
    </w:p>
    <w:p w14:paraId="6E3107FD" w14:textId="45696A7F" w:rsidR="004B54E9" w:rsidRPr="00F546E0" w:rsidRDefault="004B54E9" w:rsidP="00E47011">
      <w:pPr>
        <w:spacing w:after="120" w:line="240" w:lineRule="auto"/>
        <w:ind w:left="1440" w:right="1440" w:firstLine="720"/>
        <w:rPr>
          <w:szCs w:val="26"/>
        </w:rPr>
      </w:pPr>
      <w:r w:rsidRPr="00F546E0">
        <w:rPr>
          <w:szCs w:val="26"/>
        </w:rPr>
        <w:t>(i)</w:t>
      </w:r>
      <w:r w:rsidR="003919C4" w:rsidRPr="00F546E0">
        <w:rPr>
          <w:szCs w:val="26"/>
        </w:rPr>
        <w:tab/>
      </w:r>
      <w:r w:rsidRPr="00F546E0">
        <w:rPr>
          <w:szCs w:val="26"/>
        </w:rPr>
        <w:t xml:space="preserve">decoupling </w:t>
      </w:r>
      <w:r w:rsidRPr="00F546E0">
        <w:rPr>
          <w:szCs w:val="26"/>
        </w:rPr>
        <w:t>mechanisms;</w:t>
      </w:r>
    </w:p>
    <w:p w14:paraId="6A0C5B69" w14:textId="7827574F" w:rsidR="004B54E9" w:rsidRPr="00F546E0" w:rsidRDefault="004B54E9" w:rsidP="00E47011">
      <w:pPr>
        <w:spacing w:after="120" w:line="240" w:lineRule="auto"/>
        <w:ind w:left="1440" w:right="1440" w:firstLine="720"/>
        <w:rPr>
          <w:szCs w:val="26"/>
        </w:rPr>
      </w:pPr>
      <w:r w:rsidRPr="00F546E0">
        <w:rPr>
          <w:szCs w:val="26"/>
        </w:rPr>
        <w:t>(ii)</w:t>
      </w:r>
      <w:r w:rsidR="003919C4" w:rsidRPr="00F546E0">
        <w:rPr>
          <w:szCs w:val="26"/>
        </w:rPr>
        <w:tab/>
      </w:r>
      <w:r w:rsidRPr="00F546E0">
        <w:rPr>
          <w:szCs w:val="26"/>
        </w:rPr>
        <w:t>performance-based rates;</w:t>
      </w:r>
    </w:p>
    <w:p w14:paraId="771BB790" w14:textId="2CF54077" w:rsidR="004B54E9" w:rsidRPr="00F546E0" w:rsidRDefault="004B54E9" w:rsidP="00E47011">
      <w:pPr>
        <w:spacing w:after="120" w:line="240" w:lineRule="auto"/>
        <w:ind w:left="1440" w:right="1440" w:firstLine="720"/>
        <w:rPr>
          <w:szCs w:val="26"/>
        </w:rPr>
      </w:pPr>
      <w:r w:rsidRPr="00F546E0">
        <w:rPr>
          <w:szCs w:val="26"/>
        </w:rPr>
        <w:t>(iii)</w:t>
      </w:r>
      <w:r w:rsidR="003919C4" w:rsidRPr="00F546E0">
        <w:rPr>
          <w:szCs w:val="26"/>
        </w:rPr>
        <w:tab/>
      </w:r>
      <w:r w:rsidRPr="00F546E0">
        <w:rPr>
          <w:szCs w:val="26"/>
        </w:rPr>
        <w:t>formula rates;</w:t>
      </w:r>
    </w:p>
    <w:p w14:paraId="7D5E0924" w14:textId="57B6E8ED" w:rsidR="004B54E9" w:rsidRPr="00F546E0" w:rsidRDefault="004B54E9" w:rsidP="00565A29">
      <w:pPr>
        <w:spacing w:after="120" w:line="240" w:lineRule="auto"/>
        <w:ind w:left="1440" w:right="1440" w:firstLine="720"/>
        <w:rPr>
          <w:szCs w:val="26"/>
        </w:rPr>
      </w:pPr>
      <w:r w:rsidRPr="00F546E0">
        <w:rPr>
          <w:szCs w:val="26"/>
        </w:rPr>
        <w:t>(iv)</w:t>
      </w:r>
      <w:r w:rsidR="003919C4" w:rsidRPr="00F546E0">
        <w:rPr>
          <w:szCs w:val="26"/>
        </w:rPr>
        <w:tab/>
      </w:r>
      <w:r w:rsidRPr="00F546E0">
        <w:rPr>
          <w:szCs w:val="26"/>
        </w:rPr>
        <w:t>multiyear rate plans; or</w:t>
      </w:r>
    </w:p>
    <w:p w14:paraId="4043C6A0" w14:textId="32F360B0" w:rsidR="004B54E9" w:rsidRPr="00F546E0" w:rsidRDefault="004B54E9" w:rsidP="00565A29">
      <w:pPr>
        <w:spacing w:after="120" w:line="240" w:lineRule="auto"/>
        <w:ind w:left="2880" w:right="1440" w:hanging="720"/>
        <w:rPr>
          <w:szCs w:val="26"/>
        </w:rPr>
      </w:pPr>
      <w:r w:rsidRPr="00F546E0">
        <w:rPr>
          <w:szCs w:val="26"/>
        </w:rPr>
        <w:t>(v)</w:t>
      </w:r>
      <w:r w:rsidR="003919C4" w:rsidRPr="00F546E0">
        <w:rPr>
          <w:szCs w:val="26"/>
        </w:rPr>
        <w:tab/>
      </w:r>
      <w:r w:rsidRPr="00F546E0">
        <w:rPr>
          <w:szCs w:val="26"/>
        </w:rPr>
        <w:t>rates based on a combination of more than one of the mechanisms in subparagraphs (i), (ii), (iii) and (iv) or other ratemaking mechanisms as provided under this chapter.</w:t>
      </w:r>
    </w:p>
  </w:footnote>
  <w:footnote w:id="17">
    <w:p w14:paraId="0327BB99" w14:textId="77777777" w:rsidR="004B54E9" w:rsidRPr="00F546E0" w:rsidRDefault="004B54E9" w:rsidP="00565A29">
      <w:pPr>
        <w:pStyle w:val="FootnoteText"/>
        <w:spacing w:after="120"/>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r>
      <w:r w:rsidRPr="00F546E0">
        <w:rPr>
          <w:i/>
          <w:sz w:val="26"/>
          <w:szCs w:val="26"/>
        </w:rPr>
        <w:t>See,</w:t>
      </w:r>
      <w:r w:rsidRPr="00F546E0">
        <w:rPr>
          <w:sz w:val="26"/>
          <w:szCs w:val="26"/>
        </w:rPr>
        <w:t xml:space="preserve"> </w:t>
      </w:r>
      <w:r w:rsidRPr="00F546E0">
        <w:rPr>
          <w:i/>
          <w:iCs/>
          <w:sz w:val="26"/>
          <w:szCs w:val="26"/>
        </w:rPr>
        <w:t>e.g., Pa. PUC et al. v. PPL Electric Utilities Corporation</w:t>
      </w:r>
      <w:r w:rsidRPr="00F546E0">
        <w:rPr>
          <w:sz w:val="26"/>
          <w:szCs w:val="26"/>
        </w:rPr>
        <w:t xml:space="preserve">, Docket Nos. R-2015-2469275 </w:t>
      </w:r>
      <w:r w:rsidRPr="00C613A1">
        <w:rPr>
          <w:i/>
          <w:iCs/>
          <w:sz w:val="26"/>
          <w:szCs w:val="26"/>
        </w:rPr>
        <w:t>et al.</w:t>
      </w:r>
      <w:r w:rsidRPr="00F546E0">
        <w:rPr>
          <w:sz w:val="26"/>
          <w:szCs w:val="26"/>
        </w:rPr>
        <w:t xml:space="preserve"> (Recommended Decision issued October 5, 2015) at 32-33.  </w:t>
      </w:r>
    </w:p>
  </w:footnote>
  <w:footnote w:id="18">
    <w:p w14:paraId="78410A7C" w14:textId="77777777" w:rsidR="004B54E9" w:rsidRPr="00F546E0" w:rsidRDefault="004B54E9" w:rsidP="00F546E0">
      <w:pPr>
        <w:pStyle w:val="FootnoteText"/>
        <w:keepNext/>
        <w:keepLines/>
        <w:spacing w:after="120"/>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r>
      <w:r w:rsidRPr="00F546E0">
        <w:rPr>
          <w:i/>
          <w:iCs/>
          <w:sz w:val="26"/>
          <w:szCs w:val="26"/>
        </w:rPr>
        <w:t>See</w:t>
      </w:r>
      <w:r w:rsidRPr="00F546E0">
        <w:rPr>
          <w:sz w:val="26"/>
          <w:szCs w:val="26"/>
        </w:rPr>
        <w:t xml:space="preserve"> 66 Pa. C.S. §§ 523, 526(a).</w:t>
      </w:r>
    </w:p>
  </w:footnote>
  <w:footnote w:id="19">
    <w:p w14:paraId="723C2B7C" w14:textId="65C2C72C" w:rsidR="004B54E9" w:rsidRPr="00F546E0" w:rsidRDefault="004B54E9" w:rsidP="00F546E0">
      <w:pPr>
        <w:pStyle w:val="FootnoteText"/>
        <w:keepNext/>
        <w:keepLines/>
        <w:spacing w:after="120"/>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r>
      <w:r w:rsidRPr="00F546E0">
        <w:rPr>
          <w:i/>
          <w:iCs/>
          <w:sz w:val="26"/>
          <w:szCs w:val="26"/>
        </w:rPr>
        <w:t>See Lloyd</w:t>
      </w:r>
      <w:r w:rsidRPr="00F546E0">
        <w:rPr>
          <w:sz w:val="26"/>
          <w:szCs w:val="26"/>
        </w:rPr>
        <w:t>, 904 A.2d at</w:t>
      </w:r>
      <w:r w:rsidR="00A2253F" w:rsidRPr="00F546E0">
        <w:rPr>
          <w:sz w:val="26"/>
          <w:szCs w:val="26"/>
        </w:rPr>
        <w:t xml:space="preserve"> </w:t>
      </w:r>
      <w:r w:rsidRPr="00F546E0">
        <w:rPr>
          <w:sz w:val="26"/>
          <w:szCs w:val="26"/>
        </w:rPr>
        <w:t>1020 (explaining that gradualism is the principle</w:t>
      </w:r>
      <w:r w:rsidRPr="00F546E0">
        <w:rPr>
          <w:color w:val="000000"/>
          <w:sz w:val="26"/>
          <w:szCs w:val="26"/>
        </w:rPr>
        <w:t xml:space="preserve"> under which utility rates are gradually increased </w:t>
      </w:r>
      <w:r w:rsidRPr="00F546E0">
        <w:rPr>
          <w:color w:val="000000"/>
          <w:sz w:val="26"/>
          <w:szCs w:val="26"/>
        </w:rPr>
        <w:t>in order to avoid rate shock, as part of what is overall considered a reasonable rate under the circumstances and is permitted in implementing large rate increases).</w:t>
      </w:r>
    </w:p>
  </w:footnote>
  <w:footnote w:id="20">
    <w:p w14:paraId="095D1861" w14:textId="78F23A36" w:rsidR="004B54E9" w:rsidRPr="00F546E0" w:rsidRDefault="004B54E9" w:rsidP="00E47011">
      <w:pPr>
        <w:pStyle w:val="FootnoteText"/>
        <w:keepNext/>
        <w:keepLines/>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r>
      <w:r w:rsidRPr="00F546E0">
        <w:rPr>
          <w:i/>
          <w:iCs/>
          <w:sz w:val="26"/>
          <w:szCs w:val="26"/>
        </w:rPr>
        <w:t>See Pa. PUC et al</w:t>
      </w:r>
      <w:r w:rsidR="00E41423">
        <w:rPr>
          <w:i/>
          <w:iCs/>
          <w:sz w:val="26"/>
          <w:szCs w:val="26"/>
        </w:rPr>
        <w:t>.</w:t>
      </w:r>
      <w:r w:rsidRPr="00F546E0">
        <w:rPr>
          <w:i/>
          <w:iCs/>
          <w:sz w:val="26"/>
          <w:szCs w:val="26"/>
        </w:rPr>
        <w:t xml:space="preserve"> v. Twin Lakes Utilities, Inc</w:t>
      </w:r>
      <w:r w:rsidRPr="00F546E0">
        <w:rPr>
          <w:sz w:val="26"/>
          <w:szCs w:val="26"/>
        </w:rPr>
        <w:t>., Docket No. R</w:t>
      </w:r>
      <w:r w:rsidRPr="00F546E0">
        <w:rPr>
          <w:sz w:val="26"/>
          <w:szCs w:val="26"/>
        </w:rPr>
        <w:noBreakHyphen/>
        <w:t>2019</w:t>
      </w:r>
      <w:r w:rsidRPr="00F546E0">
        <w:rPr>
          <w:sz w:val="26"/>
          <w:szCs w:val="26"/>
        </w:rPr>
        <w:noBreakHyphen/>
        <w:t xml:space="preserve">3010958 (Order entered March 26, 2020) at 48, 80 (the ALJ did not err in considering evidence relating to the various quality of service and rate affordability issues in the proceeding and factoring in such evidence as part of her overall determination on which expert witnesses’ cost of equity to adopt for setting just and reasonable rates).  </w:t>
      </w:r>
    </w:p>
  </w:footnote>
  <w:footnote w:id="21">
    <w:p w14:paraId="7D06D3AA" w14:textId="1703B43A" w:rsidR="004B54E9" w:rsidRPr="00F546E0" w:rsidRDefault="004B54E9" w:rsidP="007E062E">
      <w:pPr>
        <w:pStyle w:val="FootnoteText"/>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t>CUPA’s originally requested rate increases reflect approximately $1,757,031 in total capital expenditures for its water systems and approximately $4,042,135 in total capital project expenditures for its wastewater systems in 2021 and</w:t>
      </w:r>
      <w:r w:rsidR="00A2253F" w:rsidRPr="00F546E0">
        <w:rPr>
          <w:sz w:val="26"/>
          <w:szCs w:val="26"/>
        </w:rPr>
        <w:t> </w:t>
      </w:r>
      <w:r w:rsidRPr="00F546E0">
        <w:rPr>
          <w:sz w:val="26"/>
          <w:szCs w:val="26"/>
        </w:rPr>
        <w:t xml:space="preserve">2022.  CUPA-W St. No. 1 at 15; CUPA-WW St. No. 1 at 15.  </w:t>
      </w:r>
    </w:p>
  </w:footnote>
  <w:footnote w:id="22">
    <w:p w14:paraId="09F31F51" w14:textId="77777777" w:rsidR="004B54E9" w:rsidRPr="00F546E0" w:rsidRDefault="004B54E9" w:rsidP="003E6E32">
      <w:pPr>
        <w:pStyle w:val="FootnoteText"/>
        <w:keepNext/>
        <w:keepLines/>
        <w:ind w:firstLine="720"/>
        <w:rPr>
          <w:sz w:val="26"/>
          <w:szCs w:val="26"/>
        </w:rPr>
      </w:pPr>
      <w:r w:rsidRPr="00F546E0">
        <w:rPr>
          <w:rStyle w:val="FootnoteReference"/>
          <w:sz w:val="26"/>
          <w:szCs w:val="26"/>
        </w:rPr>
        <w:footnoteRef/>
      </w:r>
      <w:r w:rsidRPr="00F546E0">
        <w:rPr>
          <w:sz w:val="26"/>
          <w:szCs w:val="26"/>
        </w:rPr>
        <w:t xml:space="preserve"> </w:t>
      </w:r>
      <w:r w:rsidRPr="00F546E0">
        <w:rPr>
          <w:sz w:val="26"/>
          <w:szCs w:val="26"/>
        </w:rPr>
        <w:tab/>
        <w:t xml:space="preserve">In this regard, it is particularly significant that the statutory advocates fully support the settlement rates, and therefore, implicitly agree that the principle of gradualism has been properly observed in developing the consensus position embodied in those rates.  </w:t>
      </w:r>
    </w:p>
  </w:footnote>
  <w:footnote w:id="23">
    <w:p w14:paraId="32BF4D1F" w14:textId="2A13C3C3" w:rsidR="00D82EAD" w:rsidRPr="000E393A" w:rsidRDefault="00D82EAD" w:rsidP="000E393A">
      <w:pPr>
        <w:pStyle w:val="FootnoteText"/>
        <w:ind w:firstLine="720"/>
        <w:rPr>
          <w:sz w:val="26"/>
          <w:szCs w:val="26"/>
        </w:rPr>
      </w:pPr>
      <w:r w:rsidRPr="000E393A">
        <w:rPr>
          <w:rStyle w:val="FootnoteReference"/>
          <w:sz w:val="26"/>
          <w:szCs w:val="26"/>
        </w:rPr>
        <w:footnoteRef/>
      </w:r>
      <w:r w:rsidRPr="000E393A">
        <w:rPr>
          <w:sz w:val="26"/>
          <w:szCs w:val="26"/>
        </w:rPr>
        <w:t xml:space="preserve"> </w:t>
      </w:r>
      <w:r w:rsidRPr="000E393A">
        <w:rPr>
          <w:sz w:val="26"/>
          <w:szCs w:val="26"/>
        </w:rPr>
        <w:tab/>
        <w:t xml:space="preserve">This Stipulation of Fact is </w:t>
      </w:r>
      <w:r w:rsidR="000E393A">
        <w:rPr>
          <w:sz w:val="26"/>
          <w:szCs w:val="26"/>
        </w:rPr>
        <w:t xml:space="preserve">listed as </w:t>
      </w:r>
      <w:r w:rsidRPr="000E393A">
        <w:rPr>
          <w:sz w:val="26"/>
          <w:szCs w:val="26"/>
        </w:rPr>
        <w:t>No. 17 in th</w:t>
      </w:r>
      <w:r w:rsidR="000E393A" w:rsidRPr="000E393A">
        <w:rPr>
          <w:sz w:val="26"/>
          <w:szCs w:val="26"/>
        </w:rPr>
        <w:t>e Stipulations of Fact Section of this Opinion and Order.</w:t>
      </w:r>
      <w:r w:rsidRPr="000E393A">
        <w:rPr>
          <w:sz w:val="26"/>
          <w:szCs w:val="26"/>
        </w:rPr>
        <w:t xml:space="preserve"> </w:t>
      </w:r>
    </w:p>
  </w:footnote>
  <w:footnote w:id="24">
    <w:p w14:paraId="454068A9" w14:textId="02C18620" w:rsidR="000F1DE9" w:rsidRPr="00F546E0" w:rsidRDefault="000F1DE9" w:rsidP="00A76A09">
      <w:pPr>
        <w:pStyle w:val="FootnoteText"/>
        <w:ind w:firstLine="720"/>
        <w:rPr>
          <w:sz w:val="26"/>
          <w:szCs w:val="26"/>
        </w:rPr>
      </w:pPr>
      <w:r w:rsidRPr="00F546E0">
        <w:rPr>
          <w:rStyle w:val="FootnoteReference"/>
          <w:sz w:val="26"/>
          <w:szCs w:val="26"/>
        </w:rPr>
        <w:footnoteRef/>
      </w:r>
      <w:r w:rsidRPr="00F546E0">
        <w:rPr>
          <w:sz w:val="26"/>
          <w:szCs w:val="26"/>
        </w:rPr>
        <w:t xml:space="preserve"> </w:t>
      </w:r>
      <w:r w:rsidR="00410927" w:rsidRPr="00F546E0">
        <w:rPr>
          <w:sz w:val="26"/>
          <w:szCs w:val="26"/>
        </w:rPr>
        <w:tab/>
      </w:r>
      <w:r w:rsidRPr="00F546E0">
        <w:rPr>
          <w:sz w:val="26"/>
          <w:szCs w:val="26"/>
        </w:rPr>
        <w:t>CUPA Brief at 22-30; I&amp;E Brief at 13-16; OCA Brief at 7-10; OSBA Brief at 13-15.</w:t>
      </w:r>
    </w:p>
  </w:footnote>
  <w:footnote w:id="25">
    <w:p w14:paraId="286348F3" w14:textId="09F7B5B3" w:rsidR="00854902" w:rsidRPr="00F546E0" w:rsidRDefault="00854902" w:rsidP="00D60FBE">
      <w:pPr>
        <w:pStyle w:val="FootnoteText"/>
        <w:keepNext/>
        <w:keepLines/>
        <w:spacing w:after="120"/>
        <w:rPr>
          <w:rFonts w:cs="Times New Roman"/>
          <w:sz w:val="26"/>
          <w:szCs w:val="26"/>
        </w:rPr>
      </w:pPr>
      <w:r w:rsidRPr="00F546E0">
        <w:rPr>
          <w:rFonts w:cs="Times New Roman"/>
          <w:sz w:val="26"/>
          <w:szCs w:val="26"/>
        </w:rPr>
        <w:tab/>
      </w:r>
      <w:r w:rsidRPr="00F546E0">
        <w:rPr>
          <w:rStyle w:val="FootnoteReference"/>
          <w:rFonts w:cs="Times New Roman"/>
          <w:sz w:val="26"/>
          <w:szCs w:val="26"/>
        </w:rPr>
        <w:footnoteRef/>
      </w:r>
      <w:r w:rsidRPr="00F546E0">
        <w:rPr>
          <w:rFonts w:cs="Times New Roman"/>
          <w:sz w:val="26"/>
          <w:szCs w:val="26"/>
        </w:rPr>
        <w:tab/>
      </w:r>
      <w:r w:rsidRPr="00F546E0">
        <w:rPr>
          <w:rFonts w:cs="Times New Roman"/>
          <w:i/>
          <w:iCs/>
          <w:sz w:val="26"/>
          <w:szCs w:val="26"/>
        </w:rPr>
        <w:t>Joint Application of Community Utilities of Pennsylvania, Inc. – Water (CUPA-Water) and Pennsylvania Utility Company – Water (PA Utility Co.-Water) for approval of: the transfer, by sale, of the water system assets of PA Utility Co.-Water; the right of CUPA-Water to begin to offer, render, furnish and supply water service to the public in a portion of Lehman Township, Pike County, Pennsylvania; and the abandonment of all water service by PA Utility Co.-Water to the public in Lehman Township, Pike County, Pennsylvania</w:t>
      </w:r>
      <w:r w:rsidRPr="00885B1D">
        <w:rPr>
          <w:rFonts w:cs="Times New Roman"/>
          <w:sz w:val="26"/>
          <w:szCs w:val="26"/>
        </w:rPr>
        <w:t>,</w:t>
      </w:r>
      <w:r w:rsidRPr="00F546E0">
        <w:rPr>
          <w:rFonts w:cs="Times New Roman"/>
          <w:sz w:val="26"/>
          <w:szCs w:val="26"/>
        </w:rPr>
        <w:t xml:space="preserve"> Docket Nos. A-2018-3005430 and </w:t>
      </w:r>
      <w:r w:rsidRPr="00F546E0">
        <w:rPr>
          <w:rFonts w:cs="Times New Roman"/>
          <w:color w:val="000000" w:themeColor="text1"/>
          <w:sz w:val="26"/>
          <w:szCs w:val="26"/>
        </w:rPr>
        <w:t>A</w:t>
      </w:r>
      <w:r w:rsidR="007D366B" w:rsidRPr="00F546E0">
        <w:rPr>
          <w:rFonts w:cs="Times New Roman"/>
          <w:color w:val="000000" w:themeColor="text1"/>
          <w:sz w:val="26"/>
          <w:szCs w:val="26"/>
        </w:rPr>
        <w:noBreakHyphen/>
      </w:r>
      <w:r w:rsidRPr="00F546E0">
        <w:rPr>
          <w:rFonts w:cs="Times New Roman"/>
          <w:color w:val="000000" w:themeColor="text1"/>
          <w:sz w:val="26"/>
          <w:szCs w:val="26"/>
        </w:rPr>
        <w:t>2018</w:t>
      </w:r>
      <w:r w:rsidR="007D366B" w:rsidRPr="00F546E0">
        <w:rPr>
          <w:rFonts w:cs="Times New Roman"/>
          <w:color w:val="000000" w:themeColor="text1"/>
          <w:sz w:val="26"/>
          <w:szCs w:val="26"/>
        </w:rPr>
        <w:noBreakHyphen/>
      </w:r>
      <w:r w:rsidRPr="00F546E0">
        <w:rPr>
          <w:rFonts w:cs="Times New Roman"/>
          <w:color w:val="000000" w:themeColor="text1"/>
          <w:sz w:val="26"/>
          <w:szCs w:val="26"/>
        </w:rPr>
        <w:t>30</w:t>
      </w:r>
      <w:r w:rsidR="0071758D" w:rsidRPr="00F546E0">
        <w:rPr>
          <w:rFonts w:cs="Times New Roman"/>
          <w:color w:val="000000" w:themeColor="text1"/>
          <w:sz w:val="26"/>
          <w:szCs w:val="26"/>
        </w:rPr>
        <w:t>0</w:t>
      </w:r>
      <w:r w:rsidRPr="00F546E0">
        <w:rPr>
          <w:rFonts w:cs="Times New Roman"/>
          <w:color w:val="000000" w:themeColor="text1"/>
          <w:sz w:val="26"/>
          <w:szCs w:val="26"/>
        </w:rPr>
        <w:t xml:space="preserve">5432 </w:t>
      </w:r>
      <w:r w:rsidRPr="00F546E0">
        <w:rPr>
          <w:rFonts w:cs="Times New Roman"/>
          <w:sz w:val="26"/>
          <w:szCs w:val="26"/>
        </w:rPr>
        <w:t>(Order entered June 25, 2019) (</w:t>
      </w:r>
      <w:r w:rsidRPr="00F546E0">
        <w:rPr>
          <w:rFonts w:cs="Times New Roman"/>
          <w:i/>
          <w:iCs/>
          <w:sz w:val="26"/>
          <w:szCs w:val="26"/>
        </w:rPr>
        <w:t>June 2019 Order</w:t>
      </w:r>
      <w:r w:rsidRPr="00F546E0">
        <w:rPr>
          <w:rFonts w:cs="Times New Roman"/>
          <w:sz w:val="26"/>
          <w:szCs w:val="26"/>
        </w:rPr>
        <w:t>).</w:t>
      </w:r>
    </w:p>
  </w:footnote>
  <w:footnote w:id="26">
    <w:p w14:paraId="03F26BBF" w14:textId="1AC95FD1" w:rsidR="00854902" w:rsidRPr="00F546E0" w:rsidRDefault="00854902" w:rsidP="00263A00">
      <w:pPr>
        <w:pStyle w:val="Default"/>
        <w:spacing w:after="120"/>
        <w:rPr>
          <w:sz w:val="26"/>
          <w:szCs w:val="26"/>
        </w:rPr>
      </w:pPr>
      <w:r w:rsidRPr="00F546E0">
        <w:rPr>
          <w:sz w:val="26"/>
          <w:szCs w:val="26"/>
        </w:rPr>
        <w:tab/>
      </w:r>
      <w:r w:rsidRPr="00F546E0">
        <w:rPr>
          <w:rStyle w:val="FootnoteReference"/>
          <w:sz w:val="26"/>
          <w:szCs w:val="26"/>
        </w:rPr>
        <w:footnoteRef/>
      </w:r>
      <w:r w:rsidRPr="00F546E0">
        <w:rPr>
          <w:sz w:val="26"/>
          <w:szCs w:val="26"/>
        </w:rPr>
        <w:t xml:space="preserve"> </w:t>
      </w:r>
      <w:r w:rsidRPr="00F546E0">
        <w:rPr>
          <w:sz w:val="26"/>
          <w:szCs w:val="26"/>
        </w:rPr>
        <w:tab/>
        <w:t>The acquisitions closed on August 28, 2019.  As such, CUPA-Water and CUPA-W</w:t>
      </w:r>
      <w:r w:rsidR="004E2EB7" w:rsidRPr="00F546E0">
        <w:rPr>
          <w:sz w:val="26"/>
          <w:szCs w:val="26"/>
        </w:rPr>
        <w:t>astewater</w:t>
      </w:r>
      <w:r w:rsidRPr="00F546E0">
        <w:rPr>
          <w:sz w:val="26"/>
          <w:szCs w:val="26"/>
        </w:rPr>
        <w:t xml:space="preserve"> base rate case filings were due by February 28, 2021.</w:t>
      </w:r>
    </w:p>
  </w:footnote>
  <w:footnote w:id="27">
    <w:p w14:paraId="061C2D39" w14:textId="19780DAD" w:rsidR="00854902" w:rsidRPr="00F546E0" w:rsidRDefault="00854902" w:rsidP="00263A00">
      <w:pPr>
        <w:pStyle w:val="FootnoteText"/>
        <w:rPr>
          <w:rFonts w:cs="Times New Roman"/>
          <w:sz w:val="26"/>
          <w:szCs w:val="26"/>
        </w:rPr>
      </w:pPr>
      <w:r w:rsidRPr="00F546E0">
        <w:rPr>
          <w:rFonts w:cs="Times New Roman"/>
          <w:sz w:val="26"/>
          <w:szCs w:val="26"/>
        </w:rPr>
        <w:tab/>
      </w:r>
      <w:r w:rsidRPr="00F546E0">
        <w:rPr>
          <w:rStyle w:val="FootnoteReference"/>
          <w:rFonts w:cs="Times New Roman"/>
          <w:sz w:val="26"/>
          <w:szCs w:val="26"/>
        </w:rPr>
        <w:footnoteRef/>
      </w:r>
      <w:r w:rsidRPr="00F546E0">
        <w:rPr>
          <w:rFonts w:cs="Times New Roman"/>
          <w:sz w:val="26"/>
          <w:szCs w:val="26"/>
        </w:rPr>
        <w:tab/>
        <w:t xml:space="preserve">On December 14, 2020, CUPA filed separate petitions with the Commission seeking a six-week extension of the February 28, </w:t>
      </w:r>
      <w:r w:rsidRPr="00F546E0">
        <w:rPr>
          <w:rFonts w:cs="Times New Roman"/>
          <w:sz w:val="26"/>
          <w:szCs w:val="26"/>
        </w:rPr>
        <w:t>2021 deadline, or until April 12, 2021, to file base rate case filings for CUPA-Water and CUPA</w:t>
      </w:r>
      <w:r w:rsidR="004E2EB7" w:rsidRPr="00F546E0">
        <w:rPr>
          <w:rFonts w:cs="Times New Roman"/>
          <w:sz w:val="26"/>
          <w:szCs w:val="26"/>
        </w:rPr>
        <w:t>-</w:t>
      </w:r>
      <w:r w:rsidRPr="00F546E0">
        <w:rPr>
          <w:rFonts w:cs="Times New Roman"/>
          <w:sz w:val="26"/>
          <w:szCs w:val="26"/>
        </w:rPr>
        <w:t>Wastewater.  The Commission granted both of the Company’s requests by Secretarial Letter dated February 9, 2021, at Docket Nos. P-</w:t>
      </w:r>
      <w:r w:rsidR="00BF0CA3" w:rsidRPr="00F546E0">
        <w:rPr>
          <w:rFonts w:cs="Times New Roman"/>
          <w:sz w:val="26"/>
          <w:szCs w:val="26"/>
        </w:rPr>
        <w:t>2020-</w:t>
      </w:r>
      <w:r w:rsidRPr="00F546E0">
        <w:rPr>
          <w:rFonts w:cs="Times New Roman"/>
          <w:sz w:val="26"/>
          <w:szCs w:val="26"/>
        </w:rPr>
        <w:t>3023277 and P</w:t>
      </w:r>
      <w:r w:rsidRPr="00F546E0">
        <w:rPr>
          <w:rFonts w:cs="Times New Roman"/>
          <w:sz w:val="26"/>
          <w:szCs w:val="26"/>
        </w:rPr>
        <w:noBreakHyphen/>
        <w:t>2020-3023281.  CUPA W Statement No. 2 at 17.</w:t>
      </w:r>
    </w:p>
  </w:footnote>
  <w:footnote w:id="28">
    <w:p w14:paraId="01FF84FB" w14:textId="77777777" w:rsidR="00854902" w:rsidRPr="00F546E0" w:rsidRDefault="00854902" w:rsidP="00885B1D">
      <w:pPr>
        <w:pStyle w:val="FootnoteText"/>
        <w:keepLines/>
        <w:rPr>
          <w:sz w:val="26"/>
          <w:szCs w:val="26"/>
        </w:rPr>
      </w:pPr>
      <w:r w:rsidRPr="00F546E0">
        <w:rPr>
          <w:sz w:val="26"/>
          <w:szCs w:val="26"/>
        </w:rPr>
        <w:tab/>
      </w:r>
      <w:r w:rsidRPr="00F546E0">
        <w:rPr>
          <w:rStyle w:val="FootnoteReference"/>
          <w:sz w:val="26"/>
          <w:szCs w:val="26"/>
        </w:rPr>
        <w:footnoteRef/>
      </w:r>
      <w:r w:rsidRPr="00F546E0">
        <w:rPr>
          <w:sz w:val="26"/>
          <w:szCs w:val="26"/>
        </w:rPr>
        <w:tab/>
        <w:t xml:space="preserve">CUPA W St. No. 2 discusses the rate base for its </w:t>
      </w:r>
      <w:r w:rsidRPr="00F546E0">
        <w:rPr>
          <w:i/>
          <w:iCs/>
          <w:sz w:val="26"/>
          <w:szCs w:val="26"/>
        </w:rPr>
        <w:t>wastewater</w:t>
      </w:r>
      <w:r w:rsidRPr="00F546E0">
        <w:rPr>
          <w:sz w:val="26"/>
          <w:szCs w:val="26"/>
        </w:rPr>
        <w:t xml:space="preserve"> division on pages 16 and 17 of the testimony.  However, based on the name of the Statement (CUPA W St. No. 2), it is obvious that the Company intended that discussion to apply to its </w:t>
      </w:r>
      <w:r w:rsidRPr="00F546E0">
        <w:rPr>
          <w:i/>
          <w:iCs/>
          <w:sz w:val="26"/>
          <w:szCs w:val="26"/>
        </w:rPr>
        <w:t>water</w:t>
      </w:r>
      <w:r w:rsidRPr="00F546E0">
        <w:rPr>
          <w:sz w:val="26"/>
          <w:szCs w:val="26"/>
        </w:rPr>
        <w:t xml:space="preserve"> division.</w:t>
      </w:r>
    </w:p>
  </w:footnote>
  <w:footnote w:id="29">
    <w:p w14:paraId="429D372C" w14:textId="702465A0" w:rsidR="00854902" w:rsidRPr="00F546E0" w:rsidRDefault="00854902" w:rsidP="00996434">
      <w:pPr>
        <w:keepLines/>
        <w:autoSpaceDE w:val="0"/>
        <w:autoSpaceDN w:val="0"/>
        <w:adjustRightInd w:val="0"/>
        <w:spacing w:line="240" w:lineRule="auto"/>
        <w:rPr>
          <w:szCs w:val="26"/>
        </w:rPr>
      </w:pPr>
      <w:r w:rsidRPr="00F546E0">
        <w:rPr>
          <w:szCs w:val="26"/>
        </w:rPr>
        <w:tab/>
      </w:r>
      <w:r w:rsidRPr="00F546E0">
        <w:rPr>
          <w:rStyle w:val="FootnoteReference"/>
          <w:szCs w:val="26"/>
        </w:rPr>
        <w:footnoteRef/>
      </w:r>
      <w:r w:rsidRPr="00F546E0">
        <w:rPr>
          <w:szCs w:val="26"/>
        </w:rPr>
        <w:tab/>
      </w:r>
      <w:r w:rsidRPr="00F546E0">
        <w:rPr>
          <w:i/>
          <w:iCs/>
          <w:szCs w:val="26"/>
        </w:rPr>
        <w:t>Pa. PUC v. City of Bethlehem –Water Department</w:t>
      </w:r>
      <w:r w:rsidRPr="00F546E0">
        <w:rPr>
          <w:szCs w:val="26"/>
        </w:rPr>
        <w:t>, Docket Nos. R</w:t>
      </w:r>
      <w:r w:rsidR="00BF0CA3" w:rsidRPr="00F546E0">
        <w:rPr>
          <w:szCs w:val="26"/>
        </w:rPr>
        <w:noBreakHyphen/>
      </w:r>
      <w:r w:rsidRPr="00F546E0">
        <w:rPr>
          <w:szCs w:val="26"/>
        </w:rPr>
        <w:t>2020</w:t>
      </w:r>
      <w:r w:rsidR="00BF0CA3" w:rsidRPr="00F546E0">
        <w:rPr>
          <w:szCs w:val="26"/>
        </w:rPr>
        <w:noBreakHyphen/>
      </w:r>
      <w:r w:rsidRPr="00F546E0">
        <w:rPr>
          <w:szCs w:val="26"/>
        </w:rPr>
        <w:t xml:space="preserve">3020256 </w:t>
      </w:r>
      <w:r w:rsidRPr="00F546E0">
        <w:rPr>
          <w:i/>
          <w:iCs/>
          <w:szCs w:val="26"/>
        </w:rPr>
        <w:t xml:space="preserve">et al. </w:t>
      </w:r>
      <w:r w:rsidRPr="00F546E0">
        <w:rPr>
          <w:szCs w:val="26"/>
        </w:rPr>
        <w:t>2021 WL 1534307 Opinion and Order at *26 (Order entered Apr</w:t>
      </w:r>
      <w:r w:rsidR="00BF0CA3" w:rsidRPr="00F546E0">
        <w:rPr>
          <w:szCs w:val="26"/>
        </w:rPr>
        <w:t>il </w:t>
      </w:r>
      <w:r w:rsidRPr="00F546E0">
        <w:rPr>
          <w:szCs w:val="26"/>
        </w:rPr>
        <w:t>15,</w:t>
      </w:r>
      <w:r w:rsidR="00BF0CA3" w:rsidRPr="00F546E0">
        <w:rPr>
          <w:szCs w:val="26"/>
        </w:rPr>
        <w:t> </w:t>
      </w:r>
      <w:r w:rsidRPr="00F546E0">
        <w:rPr>
          <w:szCs w:val="26"/>
        </w:rPr>
        <w:t xml:space="preserve">2021) (“as the ALJ found, the Commission may allow claimed expenditures to undertake construction for plant that will not be completed, </w:t>
      </w:r>
      <w:r w:rsidRPr="00F546E0">
        <w:rPr>
          <w:i/>
          <w:iCs/>
          <w:szCs w:val="26"/>
        </w:rPr>
        <w:t>i.e.</w:t>
      </w:r>
      <w:r w:rsidRPr="00F546E0">
        <w:rPr>
          <w:szCs w:val="26"/>
        </w:rPr>
        <w:t>, used and useful at the end of the FYT, in rate base.  However, in those circumstances, construction of the specific project has been required to be “in progress” (construction work in progress) during the FTY, and “in service” shortly thereafter.).</w:t>
      </w:r>
    </w:p>
  </w:footnote>
  <w:footnote w:id="30">
    <w:p w14:paraId="3326AA47" w14:textId="710D5802" w:rsidR="003F204B" w:rsidRPr="00F546E0" w:rsidRDefault="003F204B" w:rsidP="00996434">
      <w:pPr>
        <w:pStyle w:val="FootnoteText"/>
        <w:rPr>
          <w:rFonts w:cs="Times New Roman"/>
          <w:sz w:val="26"/>
          <w:szCs w:val="26"/>
        </w:rPr>
      </w:pPr>
      <w:r w:rsidRPr="00F546E0">
        <w:rPr>
          <w:rFonts w:cs="Times New Roman"/>
          <w:sz w:val="26"/>
          <w:szCs w:val="26"/>
        </w:rPr>
        <w:tab/>
      </w:r>
      <w:r w:rsidRPr="00F546E0">
        <w:rPr>
          <w:rStyle w:val="FootnoteReference"/>
          <w:rFonts w:cs="Times New Roman"/>
          <w:sz w:val="26"/>
          <w:szCs w:val="26"/>
        </w:rPr>
        <w:footnoteRef/>
      </w:r>
      <w:r w:rsidRPr="00F546E0">
        <w:rPr>
          <w:rFonts w:cs="Times New Roman"/>
          <w:sz w:val="26"/>
          <w:szCs w:val="26"/>
        </w:rPr>
        <w:tab/>
      </w:r>
      <w:r w:rsidRPr="00F546E0">
        <w:rPr>
          <w:rFonts w:cs="Times New Roman"/>
          <w:sz w:val="26"/>
          <w:szCs w:val="26"/>
          <w:shd w:val="clear" w:color="auto" w:fill="FAFAFA"/>
        </w:rPr>
        <w:t>LIHWAP is an emergency water assistance program created by the federal government due to the COVID-19 pandemic to assist families experiencing hardship with their water bills.  LIHWAP will assist Pennsylvanian families who are behind on their drinking water and wastewater bills to ensure their service remains active.  LIHWAP is still in the development phase.</w:t>
      </w:r>
      <w:r w:rsidRPr="00F546E0">
        <w:rPr>
          <w:rFonts w:cs="Times New Roman"/>
          <w:sz w:val="26"/>
          <w:szCs w:val="26"/>
        </w:rPr>
        <w:t xml:space="preserve">  </w:t>
      </w:r>
      <w:hyperlink r:id="rId1" w:history="1">
        <w:r w:rsidR="003919C4" w:rsidRPr="00F546E0">
          <w:rPr>
            <w:rStyle w:val="Hyperlink"/>
            <w:rFonts w:cs="Times New Roman"/>
            <w:sz w:val="26"/>
            <w:szCs w:val="26"/>
          </w:rPr>
          <w:t>https://www.dhs.pa.gov/Services/Assistance/Pages/LIHWAP.aspx</w:t>
        </w:r>
      </w:hyperlink>
      <w:r w:rsidR="00996434" w:rsidRPr="00996434">
        <w:rPr>
          <w:rStyle w:val="Hyperlink"/>
          <w:rFonts w:cs="Times New Roman"/>
          <w:color w:val="auto"/>
          <w:sz w:val="26"/>
          <w:szCs w:val="26"/>
          <w:u w:val="none"/>
        </w:rPr>
        <w:t>.</w:t>
      </w:r>
      <w:r w:rsidR="003919C4" w:rsidRPr="00F546E0">
        <w:rPr>
          <w:rFonts w:cs="Times New Roman"/>
          <w:sz w:val="26"/>
          <w:szCs w:val="26"/>
        </w:rPr>
        <w:t xml:space="preserve"> </w:t>
      </w:r>
    </w:p>
  </w:footnote>
  <w:footnote w:id="31">
    <w:p w14:paraId="6D5F3E48" w14:textId="77777777" w:rsidR="003F204B" w:rsidRPr="00F546E0" w:rsidRDefault="003F204B" w:rsidP="002302D9">
      <w:pPr>
        <w:pStyle w:val="FootnoteText"/>
        <w:rPr>
          <w:rFonts w:cs="Times New Roman"/>
          <w:sz w:val="26"/>
          <w:szCs w:val="26"/>
        </w:rPr>
      </w:pPr>
      <w:r w:rsidRPr="00F546E0">
        <w:rPr>
          <w:sz w:val="26"/>
          <w:szCs w:val="26"/>
        </w:rPr>
        <w:tab/>
      </w:r>
      <w:r w:rsidRPr="00F546E0">
        <w:rPr>
          <w:rStyle w:val="FootnoteReference"/>
          <w:sz w:val="26"/>
          <w:szCs w:val="26"/>
        </w:rPr>
        <w:footnoteRef/>
      </w:r>
      <w:r w:rsidRPr="00F546E0">
        <w:rPr>
          <w:rFonts w:cs="Times New Roman"/>
          <w:sz w:val="26"/>
          <w:szCs w:val="26"/>
        </w:rPr>
        <w:tab/>
        <w:t>I&amp;E Statement in Support at 15; I&amp;E Statement No. 3-R at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8492" w14:textId="77777777" w:rsidR="000F7E72" w:rsidRDefault="000F7E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855D" w14:textId="77777777" w:rsidR="000F7E72" w:rsidRDefault="000F7E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5B9D" w14:textId="77777777" w:rsidR="000F7E72" w:rsidRDefault="000F7E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8005" w14:textId="77777777" w:rsidR="000F7E72" w:rsidRDefault="000F7E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89D2" w14:textId="77777777" w:rsidR="000F7E72" w:rsidRDefault="000F7E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EE8A" w14:textId="77777777" w:rsidR="000F7E72" w:rsidRDefault="000F7E7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417D" w14:textId="77777777" w:rsidR="0023003A" w:rsidRDefault="0023003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420D" w14:textId="77777777" w:rsidR="0023003A" w:rsidRDefault="0023003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04A7" w14:textId="77777777" w:rsidR="0023003A" w:rsidRDefault="002300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7B4"/>
    <w:multiLevelType w:val="hybridMultilevel"/>
    <w:tmpl w:val="9D847C34"/>
    <w:lvl w:ilvl="0" w:tplc="32A8CDA0">
      <w:start w:val="1"/>
      <w:numFmt w:val="lowerLetter"/>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4E4F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2F3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EE9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08E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EF2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09E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4D5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AE5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62FBF"/>
    <w:multiLevelType w:val="hybridMultilevel"/>
    <w:tmpl w:val="5AB6588E"/>
    <w:lvl w:ilvl="0" w:tplc="0BEE0CA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EF19E4"/>
    <w:multiLevelType w:val="hybridMultilevel"/>
    <w:tmpl w:val="8432EA78"/>
    <w:lvl w:ilvl="0" w:tplc="28D60F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306D0"/>
    <w:multiLevelType w:val="hybridMultilevel"/>
    <w:tmpl w:val="D96220E2"/>
    <w:lvl w:ilvl="0" w:tplc="27E61B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483B0">
      <w:start w:val="1"/>
      <w:numFmt w:val="decimal"/>
      <w:lvlText w:val="%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D04A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39E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984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8D5D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086B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45B5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49C2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A24FB9"/>
    <w:multiLevelType w:val="multilevel"/>
    <w:tmpl w:val="839A16F8"/>
    <w:lvl w:ilvl="0">
      <w:start w:val="1"/>
      <w:numFmt w:val="decimal"/>
      <w:pStyle w:val="TOCH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E50249"/>
    <w:multiLevelType w:val="hybridMultilevel"/>
    <w:tmpl w:val="C158FF80"/>
    <w:lvl w:ilvl="0" w:tplc="9626C178">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03A9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09656">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8D0C4">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00AC">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8D6B8">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2D35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6E212">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2C8A6">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379C7"/>
    <w:multiLevelType w:val="hybridMultilevel"/>
    <w:tmpl w:val="10E461C0"/>
    <w:lvl w:ilvl="0" w:tplc="091CE566">
      <w:start w:val="2019"/>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FB09A1"/>
    <w:multiLevelType w:val="hybridMultilevel"/>
    <w:tmpl w:val="F342CA64"/>
    <w:lvl w:ilvl="0" w:tplc="5B66F4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CAC3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6548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27FB4">
      <w:start w:val="1"/>
      <w:numFmt w:val="lowerLetter"/>
      <w:lvlRestart w:val="0"/>
      <w:lvlText w:val="%4."/>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1C4E7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2274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E497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6D85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AB4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701E26"/>
    <w:multiLevelType w:val="multilevel"/>
    <w:tmpl w:val="89E46EC2"/>
    <w:lvl w:ilvl="0">
      <w:start w:val="1"/>
      <w:numFmt w:val="decimal"/>
      <w:pStyle w:val="TOCH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8545BD"/>
    <w:multiLevelType w:val="hybridMultilevel"/>
    <w:tmpl w:val="A2401DCC"/>
    <w:lvl w:ilvl="0" w:tplc="A0F8B750">
      <w:start w:val="1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AE4740">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4A0CE">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2356E">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04174">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C5A7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36A8">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24E2A">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E0EB4">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A63028"/>
    <w:multiLevelType w:val="hybridMultilevel"/>
    <w:tmpl w:val="327299FE"/>
    <w:lvl w:ilvl="0" w:tplc="12CEF0EC">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7CF7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CF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2C6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8B6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A98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CA4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C0A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2F3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C41028"/>
    <w:multiLevelType w:val="hybridMultilevel"/>
    <w:tmpl w:val="7B84EE34"/>
    <w:lvl w:ilvl="0" w:tplc="1A9C19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E718C">
      <w:start w:val="1"/>
      <w:numFmt w:val="lowerLetter"/>
      <w:lvlText w:val="%2."/>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DC6FA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C0A8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0C2D0">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C47AE">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A39E0">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CF790">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2B258">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DC215A"/>
    <w:multiLevelType w:val="hybridMultilevel"/>
    <w:tmpl w:val="81AE58FE"/>
    <w:lvl w:ilvl="0" w:tplc="43521C98">
      <w:start w:val="1"/>
      <w:numFmt w:val="decimal"/>
      <w:lvlText w:val="%1."/>
      <w:lvlJc w:val="left"/>
      <w:pPr>
        <w:ind w:left="2160" w:hanging="360"/>
      </w:pPr>
      <w:rPr>
        <w:rFonts w:ascii="Times New Roman" w:hAnsi="Times New Roman" w:hint="default"/>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BC5458"/>
    <w:multiLevelType w:val="hybridMultilevel"/>
    <w:tmpl w:val="D5164EF2"/>
    <w:lvl w:ilvl="0" w:tplc="8A04388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31F23ECF"/>
    <w:multiLevelType w:val="hybridMultilevel"/>
    <w:tmpl w:val="81DE8F36"/>
    <w:lvl w:ilvl="0" w:tplc="70E0D2AA">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085E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D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E15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271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6DE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A2C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AD3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442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D672BF"/>
    <w:multiLevelType w:val="hybridMultilevel"/>
    <w:tmpl w:val="8B12C1AC"/>
    <w:lvl w:ilvl="0" w:tplc="E22E9FD4">
      <w:start w:val="2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420F28">
      <w:start w:val="1"/>
      <w:numFmt w:val="lowerLetter"/>
      <w:lvlText w:val="%2)"/>
      <w:lvlJc w:val="left"/>
      <w:pPr>
        <w:ind w:left="1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DA4C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874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290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2EE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A8F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C1E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2D1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5B519A"/>
    <w:multiLevelType w:val="hybridMultilevel"/>
    <w:tmpl w:val="99B4236A"/>
    <w:lvl w:ilvl="0" w:tplc="0BEA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24597"/>
    <w:multiLevelType w:val="hybridMultilevel"/>
    <w:tmpl w:val="02445EDE"/>
    <w:lvl w:ilvl="0" w:tplc="D4CE8CC6">
      <w:start w:val="18"/>
      <w:numFmt w:val="decimal"/>
      <w:lvlRestart w:val="0"/>
      <w:lvlText w:val="%1."/>
      <w:lvlJc w:val="left"/>
      <w:pPr>
        <w:ind w:left="727"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161F7"/>
    <w:multiLevelType w:val="hybridMultilevel"/>
    <w:tmpl w:val="34A409B6"/>
    <w:lvl w:ilvl="0" w:tplc="BF7203E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212BA"/>
    <w:multiLevelType w:val="hybridMultilevel"/>
    <w:tmpl w:val="C960FC14"/>
    <w:lvl w:ilvl="0" w:tplc="4F062F52">
      <w:start w:val="1"/>
      <w:numFmt w:val="decimal"/>
      <w:lvlText w:val="(%1)"/>
      <w:lvlJc w:val="left"/>
      <w:pPr>
        <w:ind w:left="2025" w:hanging="40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14E0251"/>
    <w:multiLevelType w:val="hybridMultilevel"/>
    <w:tmpl w:val="255A5F6A"/>
    <w:lvl w:ilvl="0" w:tplc="F38623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02570">
      <w:start w:val="59"/>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0D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83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A2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2E9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80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A3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B8E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0B5E7E"/>
    <w:multiLevelType w:val="hybridMultilevel"/>
    <w:tmpl w:val="A618535A"/>
    <w:lvl w:ilvl="0" w:tplc="F12A68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DD496B"/>
    <w:multiLevelType w:val="hybridMultilevel"/>
    <w:tmpl w:val="47FE446E"/>
    <w:lvl w:ilvl="0" w:tplc="EDA0CC54">
      <w:start w:val="1"/>
      <w:numFmt w:val="decimal"/>
      <w:lvlText w:val="(%1)"/>
      <w:lvlJc w:val="left"/>
      <w:pPr>
        <w:ind w:left="2025" w:hanging="40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7BF2C7E"/>
    <w:multiLevelType w:val="hybridMultilevel"/>
    <w:tmpl w:val="BAEEEDC6"/>
    <w:lvl w:ilvl="0" w:tplc="4A48FF5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7F95B4A"/>
    <w:multiLevelType w:val="hybridMultilevel"/>
    <w:tmpl w:val="F9722E6C"/>
    <w:lvl w:ilvl="0" w:tplc="38FA199A">
      <w:start w:val="1"/>
      <w:numFmt w:val="lowerLetter"/>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C20E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EC1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879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E50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66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0F8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6D0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4F1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F84E05"/>
    <w:multiLevelType w:val="hybridMultilevel"/>
    <w:tmpl w:val="A30EE5D4"/>
    <w:lvl w:ilvl="0" w:tplc="DD3CC48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3E06272"/>
    <w:multiLevelType w:val="hybridMultilevel"/>
    <w:tmpl w:val="319CAB8C"/>
    <w:lvl w:ilvl="0" w:tplc="AAB46C6E">
      <w:start w:val="2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625A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079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20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A9B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82F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854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44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C1D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FC7888"/>
    <w:multiLevelType w:val="hybridMultilevel"/>
    <w:tmpl w:val="95A41802"/>
    <w:lvl w:ilvl="0" w:tplc="64661C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09D3E">
      <w:start w:val="53"/>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66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EB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05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851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6E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E4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CA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015796"/>
    <w:multiLevelType w:val="hybridMultilevel"/>
    <w:tmpl w:val="2570C28C"/>
    <w:lvl w:ilvl="0" w:tplc="FE5CB068">
      <w:start w:val="23"/>
      <w:numFmt w:val="decimal"/>
      <w:lvlRestart w:val="0"/>
      <w:lvlText w:val="%1."/>
      <w:lvlJc w:val="left"/>
      <w:pPr>
        <w:ind w:left="727"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C545C"/>
    <w:multiLevelType w:val="hybridMultilevel"/>
    <w:tmpl w:val="BEDA2422"/>
    <w:lvl w:ilvl="0" w:tplc="90A458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8754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8CC0C">
      <w:start w:val="3"/>
      <w:numFmt w:val="lowerLetter"/>
      <w:lvlRestart w:val="0"/>
      <w:lvlText w:val="%3."/>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AAB120">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808E">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6D218">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A84B0">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4AD8">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458C4">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471E4D"/>
    <w:multiLevelType w:val="hybridMultilevel"/>
    <w:tmpl w:val="F5B60C96"/>
    <w:lvl w:ilvl="0" w:tplc="263AF244">
      <w:start w:val="1"/>
      <w:numFmt w:val="decimal"/>
      <w:lvlText w:val="%1."/>
      <w:lvlJc w:val="left"/>
      <w:pPr>
        <w:ind w:left="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4F70E488">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B85218">
      <w:start w:val="1"/>
      <w:numFmt w:val="bullet"/>
      <w:lvlText w:val="o"/>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037DC">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096E2">
      <w:start w:val="1"/>
      <w:numFmt w:val="bullet"/>
      <w:lvlText w:val="o"/>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09448">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E1AAE">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88070">
      <w:start w:val="1"/>
      <w:numFmt w:val="bullet"/>
      <w:lvlText w:val="o"/>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A588C">
      <w:start w:val="1"/>
      <w:numFmt w:val="bullet"/>
      <w:lvlText w:val="▪"/>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AD61BE"/>
    <w:multiLevelType w:val="hybridMultilevel"/>
    <w:tmpl w:val="09FA1F9A"/>
    <w:lvl w:ilvl="0" w:tplc="C2ACEA90">
      <w:start w:val="1"/>
      <w:numFmt w:val="lowerLetter"/>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1A3C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CAB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647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A7A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EE1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A56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AFB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89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30022A"/>
    <w:multiLevelType w:val="hybridMultilevel"/>
    <w:tmpl w:val="4E3227C8"/>
    <w:lvl w:ilvl="0" w:tplc="82E86478">
      <w:start w:val="2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4678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C2E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CD3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7DF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AAD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E10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2D4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2A1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4F441C"/>
    <w:multiLevelType w:val="hybridMultilevel"/>
    <w:tmpl w:val="3F8EA0E6"/>
    <w:lvl w:ilvl="0" w:tplc="EA708DD2">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177B8F"/>
    <w:multiLevelType w:val="hybridMultilevel"/>
    <w:tmpl w:val="EBCC8742"/>
    <w:lvl w:ilvl="0" w:tplc="821CEFA4">
      <w:start w:val="1"/>
      <w:numFmt w:val="upperLetter"/>
      <w:lvlText w:val="%1."/>
      <w:lvlJc w:val="left"/>
      <w:pPr>
        <w:ind w:left="3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4CD3560"/>
    <w:multiLevelType w:val="hybridMultilevel"/>
    <w:tmpl w:val="608A0292"/>
    <w:lvl w:ilvl="0" w:tplc="0409000F">
      <w:start w:val="1"/>
      <w:numFmt w:val="decimal"/>
      <w:lvlText w:val="%1."/>
      <w:lvlJc w:val="left"/>
      <w:pPr>
        <w:ind w:left="720" w:hanging="360"/>
      </w:pPr>
    </w:lvl>
    <w:lvl w:ilvl="1" w:tplc="1A2EA0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70CF9"/>
    <w:multiLevelType w:val="multilevel"/>
    <w:tmpl w:val="97807182"/>
    <w:lvl w:ilvl="0">
      <w:start w:val="1"/>
      <w:numFmt w:val="decimal"/>
      <w:pStyle w:val="TOCH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4"/>
  </w:num>
  <w:num w:numId="2">
    <w:abstractNumId w:val="4"/>
  </w:num>
  <w:num w:numId="3">
    <w:abstractNumId w:val="12"/>
  </w:num>
  <w:num w:numId="4">
    <w:abstractNumId w:val="36"/>
  </w:num>
  <w:num w:numId="5">
    <w:abstractNumId w:val="23"/>
  </w:num>
  <w:num w:numId="6">
    <w:abstractNumId w:val="8"/>
  </w:num>
  <w:num w:numId="7">
    <w:abstractNumId w:val="5"/>
  </w:num>
  <w:num w:numId="8">
    <w:abstractNumId w:val="25"/>
  </w:num>
  <w:num w:numId="9">
    <w:abstractNumId w:val="13"/>
  </w:num>
  <w:num w:numId="10">
    <w:abstractNumId w:val="6"/>
  </w:num>
  <w:num w:numId="11">
    <w:abstractNumId w:val="3"/>
  </w:num>
  <w:num w:numId="12">
    <w:abstractNumId w:val="30"/>
  </w:num>
  <w:num w:numId="13">
    <w:abstractNumId w:val="11"/>
  </w:num>
  <w:num w:numId="14">
    <w:abstractNumId w:val="24"/>
  </w:num>
  <w:num w:numId="15">
    <w:abstractNumId w:val="31"/>
  </w:num>
  <w:num w:numId="16">
    <w:abstractNumId w:val="0"/>
  </w:num>
  <w:num w:numId="17">
    <w:abstractNumId w:val="20"/>
  </w:num>
  <w:num w:numId="18">
    <w:abstractNumId w:val="7"/>
  </w:num>
  <w:num w:numId="19">
    <w:abstractNumId w:val="29"/>
  </w:num>
  <w:num w:numId="20">
    <w:abstractNumId w:val="27"/>
  </w:num>
  <w:num w:numId="21">
    <w:abstractNumId w:val="33"/>
  </w:num>
  <w:num w:numId="22">
    <w:abstractNumId w:val="17"/>
  </w:num>
  <w:num w:numId="23">
    <w:abstractNumId w:val="28"/>
  </w:num>
  <w:num w:numId="24">
    <w:abstractNumId w:val="16"/>
  </w:num>
  <w:num w:numId="25">
    <w:abstractNumId w:val="14"/>
  </w:num>
  <w:num w:numId="26">
    <w:abstractNumId w:val="10"/>
  </w:num>
  <w:num w:numId="27">
    <w:abstractNumId w:val="9"/>
  </w:num>
  <w:num w:numId="28">
    <w:abstractNumId w:val="15"/>
  </w:num>
  <w:num w:numId="29">
    <w:abstractNumId w:val="26"/>
  </w:num>
  <w:num w:numId="30">
    <w:abstractNumId w:val="32"/>
  </w:num>
  <w:num w:numId="31">
    <w:abstractNumId w:val="21"/>
  </w:num>
  <w:num w:numId="32">
    <w:abstractNumId w:val="2"/>
  </w:num>
  <w:num w:numId="33">
    <w:abstractNumId w:val="18"/>
  </w:num>
  <w:num w:numId="34">
    <w:abstractNumId w:val="19"/>
  </w:num>
  <w:num w:numId="35">
    <w:abstractNumId w:val="22"/>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D9"/>
    <w:rsid w:val="00002B68"/>
    <w:rsid w:val="00005D88"/>
    <w:rsid w:val="00007BFF"/>
    <w:rsid w:val="000112BC"/>
    <w:rsid w:val="000168FA"/>
    <w:rsid w:val="00017114"/>
    <w:rsid w:val="0001714C"/>
    <w:rsid w:val="000253D7"/>
    <w:rsid w:val="00026957"/>
    <w:rsid w:val="0002703B"/>
    <w:rsid w:val="000306E2"/>
    <w:rsid w:val="00032CCB"/>
    <w:rsid w:val="00033E61"/>
    <w:rsid w:val="00040027"/>
    <w:rsid w:val="00040116"/>
    <w:rsid w:val="00040CC8"/>
    <w:rsid w:val="00041DB6"/>
    <w:rsid w:val="00042210"/>
    <w:rsid w:val="0004394C"/>
    <w:rsid w:val="0004518C"/>
    <w:rsid w:val="0004598C"/>
    <w:rsid w:val="00047A9C"/>
    <w:rsid w:val="000509B9"/>
    <w:rsid w:val="000526FD"/>
    <w:rsid w:val="00054C1B"/>
    <w:rsid w:val="00054D68"/>
    <w:rsid w:val="0006207A"/>
    <w:rsid w:val="00064042"/>
    <w:rsid w:val="0006486A"/>
    <w:rsid w:val="00064A0C"/>
    <w:rsid w:val="00070026"/>
    <w:rsid w:val="000740FD"/>
    <w:rsid w:val="00074DE8"/>
    <w:rsid w:val="000818DC"/>
    <w:rsid w:val="00081C7C"/>
    <w:rsid w:val="00082AB7"/>
    <w:rsid w:val="00082C64"/>
    <w:rsid w:val="000849DA"/>
    <w:rsid w:val="000A13BC"/>
    <w:rsid w:val="000A59D8"/>
    <w:rsid w:val="000A5D64"/>
    <w:rsid w:val="000B1DFA"/>
    <w:rsid w:val="000B40E2"/>
    <w:rsid w:val="000C3A28"/>
    <w:rsid w:val="000C40A9"/>
    <w:rsid w:val="000C52C5"/>
    <w:rsid w:val="000C5580"/>
    <w:rsid w:val="000D0B6A"/>
    <w:rsid w:val="000D45A3"/>
    <w:rsid w:val="000D4DAA"/>
    <w:rsid w:val="000D4E3A"/>
    <w:rsid w:val="000D696C"/>
    <w:rsid w:val="000D6F3D"/>
    <w:rsid w:val="000E080A"/>
    <w:rsid w:val="000E393A"/>
    <w:rsid w:val="000E40A0"/>
    <w:rsid w:val="000E453E"/>
    <w:rsid w:val="000E608B"/>
    <w:rsid w:val="000E729E"/>
    <w:rsid w:val="000E753D"/>
    <w:rsid w:val="000F104D"/>
    <w:rsid w:val="000F146F"/>
    <w:rsid w:val="000F15A3"/>
    <w:rsid w:val="000F1B00"/>
    <w:rsid w:val="000F1DE9"/>
    <w:rsid w:val="000F5542"/>
    <w:rsid w:val="000F768E"/>
    <w:rsid w:val="000F7735"/>
    <w:rsid w:val="000F7E72"/>
    <w:rsid w:val="001011CB"/>
    <w:rsid w:val="00104B38"/>
    <w:rsid w:val="001053B5"/>
    <w:rsid w:val="00105596"/>
    <w:rsid w:val="00113A17"/>
    <w:rsid w:val="00114614"/>
    <w:rsid w:val="001157DF"/>
    <w:rsid w:val="00115B21"/>
    <w:rsid w:val="001204A0"/>
    <w:rsid w:val="001300E1"/>
    <w:rsid w:val="001345C9"/>
    <w:rsid w:val="00134B09"/>
    <w:rsid w:val="001378C2"/>
    <w:rsid w:val="00143EB0"/>
    <w:rsid w:val="00144BFC"/>
    <w:rsid w:val="00154ED5"/>
    <w:rsid w:val="001552FA"/>
    <w:rsid w:val="00156A66"/>
    <w:rsid w:val="0016032B"/>
    <w:rsid w:val="00161D73"/>
    <w:rsid w:val="00164AA1"/>
    <w:rsid w:val="00167058"/>
    <w:rsid w:val="00171DEB"/>
    <w:rsid w:val="00172CEB"/>
    <w:rsid w:val="00174749"/>
    <w:rsid w:val="001751AD"/>
    <w:rsid w:val="00181449"/>
    <w:rsid w:val="00182096"/>
    <w:rsid w:val="00182C5F"/>
    <w:rsid w:val="00183830"/>
    <w:rsid w:val="001844D9"/>
    <w:rsid w:val="001855DD"/>
    <w:rsid w:val="0018763D"/>
    <w:rsid w:val="00191B90"/>
    <w:rsid w:val="00195D09"/>
    <w:rsid w:val="001964F0"/>
    <w:rsid w:val="00196B97"/>
    <w:rsid w:val="001A3036"/>
    <w:rsid w:val="001A3710"/>
    <w:rsid w:val="001A5686"/>
    <w:rsid w:val="001A5A31"/>
    <w:rsid w:val="001A62A1"/>
    <w:rsid w:val="001A7DE6"/>
    <w:rsid w:val="001B0919"/>
    <w:rsid w:val="001B09DD"/>
    <w:rsid w:val="001B0A42"/>
    <w:rsid w:val="001B0D7C"/>
    <w:rsid w:val="001B10E0"/>
    <w:rsid w:val="001B2958"/>
    <w:rsid w:val="001B2A80"/>
    <w:rsid w:val="001B3565"/>
    <w:rsid w:val="001C069B"/>
    <w:rsid w:val="001C130C"/>
    <w:rsid w:val="001C2913"/>
    <w:rsid w:val="001C31FD"/>
    <w:rsid w:val="001C477A"/>
    <w:rsid w:val="001C4C31"/>
    <w:rsid w:val="001C5BDA"/>
    <w:rsid w:val="001C6DBE"/>
    <w:rsid w:val="001D5331"/>
    <w:rsid w:val="001D5D8F"/>
    <w:rsid w:val="001D710D"/>
    <w:rsid w:val="001E0367"/>
    <w:rsid w:val="001E0FEE"/>
    <w:rsid w:val="001E1096"/>
    <w:rsid w:val="001E2BE2"/>
    <w:rsid w:val="001E4611"/>
    <w:rsid w:val="001E6C49"/>
    <w:rsid w:val="001F0E77"/>
    <w:rsid w:val="001F21F8"/>
    <w:rsid w:val="00200989"/>
    <w:rsid w:val="00201D68"/>
    <w:rsid w:val="00201FC6"/>
    <w:rsid w:val="00203E10"/>
    <w:rsid w:val="0020663A"/>
    <w:rsid w:val="00210F6D"/>
    <w:rsid w:val="00213514"/>
    <w:rsid w:val="00214F29"/>
    <w:rsid w:val="002150D1"/>
    <w:rsid w:val="00216CB9"/>
    <w:rsid w:val="002170B1"/>
    <w:rsid w:val="0022348C"/>
    <w:rsid w:val="0022389F"/>
    <w:rsid w:val="00223D33"/>
    <w:rsid w:val="00226207"/>
    <w:rsid w:val="0023003A"/>
    <w:rsid w:val="002302D9"/>
    <w:rsid w:val="002313A9"/>
    <w:rsid w:val="00233BB9"/>
    <w:rsid w:val="00235A75"/>
    <w:rsid w:val="0023658B"/>
    <w:rsid w:val="00240187"/>
    <w:rsid w:val="002461DE"/>
    <w:rsid w:val="002509A6"/>
    <w:rsid w:val="00250A61"/>
    <w:rsid w:val="00252355"/>
    <w:rsid w:val="00252B0E"/>
    <w:rsid w:val="002615F3"/>
    <w:rsid w:val="00263A00"/>
    <w:rsid w:val="002661D6"/>
    <w:rsid w:val="00266217"/>
    <w:rsid w:val="00273E84"/>
    <w:rsid w:val="00276E24"/>
    <w:rsid w:val="002816AB"/>
    <w:rsid w:val="00281907"/>
    <w:rsid w:val="00282C75"/>
    <w:rsid w:val="0028496B"/>
    <w:rsid w:val="00295BD6"/>
    <w:rsid w:val="00296646"/>
    <w:rsid w:val="00296C78"/>
    <w:rsid w:val="00297F3F"/>
    <w:rsid w:val="002A5EED"/>
    <w:rsid w:val="002A6A3C"/>
    <w:rsid w:val="002B0C5D"/>
    <w:rsid w:val="002B1DC2"/>
    <w:rsid w:val="002B4771"/>
    <w:rsid w:val="002B78D7"/>
    <w:rsid w:val="002C1CBB"/>
    <w:rsid w:val="002C378D"/>
    <w:rsid w:val="002C3A8C"/>
    <w:rsid w:val="002C4D75"/>
    <w:rsid w:val="002E0CD2"/>
    <w:rsid w:val="002E0EA1"/>
    <w:rsid w:val="002E134D"/>
    <w:rsid w:val="002E1417"/>
    <w:rsid w:val="002E2248"/>
    <w:rsid w:val="002E5B9B"/>
    <w:rsid w:val="002E7A63"/>
    <w:rsid w:val="002F1005"/>
    <w:rsid w:val="002F1EE9"/>
    <w:rsid w:val="002F2831"/>
    <w:rsid w:val="002F2940"/>
    <w:rsid w:val="002F43A1"/>
    <w:rsid w:val="002F43DD"/>
    <w:rsid w:val="002F52B7"/>
    <w:rsid w:val="002F5BD5"/>
    <w:rsid w:val="0030104C"/>
    <w:rsid w:val="003022B2"/>
    <w:rsid w:val="00307531"/>
    <w:rsid w:val="00315136"/>
    <w:rsid w:val="003151FC"/>
    <w:rsid w:val="003153CE"/>
    <w:rsid w:val="0032125D"/>
    <w:rsid w:val="0032234B"/>
    <w:rsid w:val="0032549B"/>
    <w:rsid w:val="00326CAF"/>
    <w:rsid w:val="00332D3B"/>
    <w:rsid w:val="00333190"/>
    <w:rsid w:val="00334107"/>
    <w:rsid w:val="00334753"/>
    <w:rsid w:val="00337985"/>
    <w:rsid w:val="0034267D"/>
    <w:rsid w:val="00343D2A"/>
    <w:rsid w:val="003454EF"/>
    <w:rsid w:val="003455C1"/>
    <w:rsid w:val="00345C7C"/>
    <w:rsid w:val="00346A37"/>
    <w:rsid w:val="00346DCB"/>
    <w:rsid w:val="00346E70"/>
    <w:rsid w:val="003503C3"/>
    <w:rsid w:val="003520C0"/>
    <w:rsid w:val="003520DF"/>
    <w:rsid w:val="003563ED"/>
    <w:rsid w:val="00373165"/>
    <w:rsid w:val="003758B4"/>
    <w:rsid w:val="0037611D"/>
    <w:rsid w:val="00376F65"/>
    <w:rsid w:val="003801ED"/>
    <w:rsid w:val="003818E3"/>
    <w:rsid w:val="00382F25"/>
    <w:rsid w:val="00384BE7"/>
    <w:rsid w:val="003903E5"/>
    <w:rsid w:val="003919C4"/>
    <w:rsid w:val="00392969"/>
    <w:rsid w:val="00394B0C"/>
    <w:rsid w:val="00396977"/>
    <w:rsid w:val="00396C49"/>
    <w:rsid w:val="003A2321"/>
    <w:rsid w:val="003A514F"/>
    <w:rsid w:val="003A517F"/>
    <w:rsid w:val="003B03C0"/>
    <w:rsid w:val="003B263A"/>
    <w:rsid w:val="003B49E3"/>
    <w:rsid w:val="003B6583"/>
    <w:rsid w:val="003C2FC3"/>
    <w:rsid w:val="003C370E"/>
    <w:rsid w:val="003C4DF2"/>
    <w:rsid w:val="003C5A05"/>
    <w:rsid w:val="003D5FB2"/>
    <w:rsid w:val="003D744F"/>
    <w:rsid w:val="003E0EFD"/>
    <w:rsid w:val="003E45B2"/>
    <w:rsid w:val="003E6A63"/>
    <w:rsid w:val="003E6E32"/>
    <w:rsid w:val="003F03B7"/>
    <w:rsid w:val="003F10A1"/>
    <w:rsid w:val="003F204B"/>
    <w:rsid w:val="003F26C3"/>
    <w:rsid w:val="0040217C"/>
    <w:rsid w:val="00402F1D"/>
    <w:rsid w:val="004030BB"/>
    <w:rsid w:val="00403484"/>
    <w:rsid w:val="004064FE"/>
    <w:rsid w:val="0040690F"/>
    <w:rsid w:val="004072F9"/>
    <w:rsid w:val="00410927"/>
    <w:rsid w:val="004136E0"/>
    <w:rsid w:val="004163A3"/>
    <w:rsid w:val="00423ED6"/>
    <w:rsid w:val="004257AB"/>
    <w:rsid w:val="00425D83"/>
    <w:rsid w:val="00426231"/>
    <w:rsid w:val="0042660A"/>
    <w:rsid w:val="004308BF"/>
    <w:rsid w:val="00432446"/>
    <w:rsid w:val="004360FE"/>
    <w:rsid w:val="00440873"/>
    <w:rsid w:val="0044127C"/>
    <w:rsid w:val="004426F4"/>
    <w:rsid w:val="00443550"/>
    <w:rsid w:val="0044400C"/>
    <w:rsid w:val="00444312"/>
    <w:rsid w:val="00444FD9"/>
    <w:rsid w:val="00445296"/>
    <w:rsid w:val="00445D76"/>
    <w:rsid w:val="0044700C"/>
    <w:rsid w:val="004471BB"/>
    <w:rsid w:val="004501A2"/>
    <w:rsid w:val="00450933"/>
    <w:rsid w:val="00450E2C"/>
    <w:rsid w:val="0045605F"/>
    <w:rsid w:val="0046016E"/>
    <w:rsid w:val="00462A23"/>
    <w:rsid w:val="004655E1"/>
    <w:rsid w:val="00467BED"/>
    <w:rsid w:val="004702FF"/>
    <w:rsid w:val="00473092"/>
    <w:rsid w:val="0047361F"/>
    <w:rsid w:val="00477512"/>
    <w:rsid w:val="0048054B"/>
    <w:rsid w:val="004837C0"/>
    <w:rsid w:val="00484756"/>
    <w:rsid w:val="004855F7"/>
    <w:rsid w:val="00485825"/>
    <w:rsid w:val="00486EC8"/>
    <w:rsid w:val="00491864"/>
    <w:rsid w:val="00491FBF"/>
    <w:rsid w:val="004930CB"/>
    <w:rsid w:val="00493134"/>
    <w:rsid w:val="00494957"/>
    <w:rsid w:val="004961F7"/>
    <w:rsid w:val="00496261"/>
    <w:rsid w:val="00496759"/>
    <w:rsid w:val="0049676C"/>
    <w:rsid w:val="00496E72"/>
    <w:rsid w:val="004974F8"/>
    <w:rsid w:val="004A01D6"/>
    <w:rsid w:val="004A4679"/>
    <w:rsid w:val="004A6760"/>
    <w:rsid w:val="004A6A10"/>
    <w:rsid w:val="004A6E2C"/>
    <w:rsid w:val="004B11AD"/>
    <w:rsid w:val="004B1884"/>
    <w:rsid w:val="004B3FED"/>
    <w:rsid w:val="004B54E9"/>
    <w:rsid w:val="004C0EF3"/>
    <w:rsid w:val="004C2FEF"/>
    <w:rsid w:val="004C3DB1"/>
    <w:rsid w:val="004C3E0C"/>
    <w:rsid w:val="004D181E"/>
    <w:rsid w:val="004D6C9B"/>
    <w:rsid w:val="004E11F4"/>
    <w:rsid w:val="004E2EB7"/>
    <w:rsid w:val="004E464D"/>
    <w:rsid w:val="004E5A15"/>
    <w:rsid w:val="004F090B"/>
    <w:rsid w:val="004F11B6"/>
    <w:rsid w:val="004F55A7"/>
    <w:rsid w:val="004F5C25"/>
    <w:rsid w:val="004F5C94"/>
    <w:rsid w:val="00500070"/>
    <w:rsid w:val="00500AE7"/>
    <w:rsid w:val="00501635"/>
    <w:rsid w:val="00501EFE"/>
    <w:rsid w:val="00503628"/>
    <w:rsid w:val="005071D8"/>
    <w:rsid w:val="00507A2B"/>
    <w:rsid w:val="00510347"/>
    <w:rsid w:val="005126FD"/>
    <w:rsid w:val="00514A5A"/>
    <w:rsid w:val="0051589B"/>
    <w:rsid w:val="005167C2"/>
    <w:rsid w:val="00526647"/>
    <w:rsid w:val="00530624"/>
    <w:rsid w:val="00531B99"/>
    <w:rsid w:val="00534D0F"/>
    <w:rsid w:val="005352D0"/>
    <w:rsid w:val="0053722B"/>
    <w:rsid w:val="00537441"/>
    <w:rsid w:val="00540821"/>
    <w:rsid w:val="00544BD0"/>
    <w:rsid w:val="00547AEA"/>
    <w:rsid w:val="00550807"/>
    <w:rsid w:val="00551246"/>
    <w:rsid w:val="0055432B"/>
    <w:rsid w:val="005556D8"/>
    <w:rsid w:val="005579FA"/>
    <w:rsid w:val="00557A49"/>
    <w:rsid w:val="0056202E"/>
    <w:rsid w:val="0056231F"/>
    <w:rsid w:val="0056251A"/>
    <w:rsid w:val="00562F98"/>
    <w:rsid w:val="00564208"/>
    <w:rsid w:val="00565A29"/>
    <w:rsid w:val="00565C00"/>
    <w:rsid w:val="00566BB7"/>
    <w:rsid w:val="005679F3"/>
    <w:rsid w:val="00570517"/>
    <w:rsid w:val="00571628"/>
    <w:rsid w:val="00573E93"/>
    <w:rsid w:val="00574206"/>
    <w:rsid w:val="0057474A"/>
    <w:rsid w:val="00577842"/>
    <w:rsid w:val="00577DAA"/>
    <w:rsid w:val="00581D88"/>
    <w:rsid w:val="00585D78"/>
    <w:rsid w:val="005865A4"/>
    <w:rsid w:val="0058700F"/>
    <w:rsid w:val="00592173"/>
    <w:rsid w:val="00592BA6"/>
    <w:rsid w:val="0059419A"/>
    <w:rsid w:val="00594E57"/>
    <w:rsid w:val="005A01A3"/>
    <w:rsid w:val="005A3CD3"/>
    <w:rsid w:val="005A57BE"/>
    <w:rsid w:val="005A64EC"/>
    <w:rsid w:val="005B4B44"/>
    <w:rsid w:val="005C2925"/>
    <w:rsid w:val="005C2F5D"/>
    <w:rsid w:val="005C356A"/>
    <w:rsid w:val="005C3E2B"/>
    <w:rsid w:val="005C7FB2"/>
    <w:rsid w:val="005D1AAB"/>
    <w:rsid w:val="005D3B93"/>
    <w:rsid w:val="005E0890"/>
    <w:rsid w:val="005E18CD"/>
    <w:rsid w:val="005E36D0"/>
    <w:rsid w:val="005E38CA"/>
    <w:rsid w:val="005E3C9C"/>
    <w:rsid w:val="005E4B8E"/>
    <w:rsid w:val="005E5D08"/>
    <w:rsid w:val="005E7298"/>
    <w:rsid w:val="005E76E1"/>
    <w:rsid w:val="005F1A30"/>
    <w:rsid w:val="005F21E7"/>
    <w:rsid w:val="005F2A31"/>
    <w:rsid w:val="005F48A0"/>
    <w:rsid w:val="005F563B"/>
    <w:rsid w:val="005F6F17"/>
    <w:rsid w:val="00600079"/>
    <w:rsid w:val="00600EF4"/>
    <w:rsid w:val="00603561"/>
    <w:rsid w:val="00605828"/>
    <w:rsid w:val="0061331E"/>
    <w:rsid w:val="00615644"/>
    <w:rsid w:val="00621AFA"/>
    <w:rsid w:val="0062337D"/>
    <w:rsid w:val="00624574"/>
    <w:rsid w:val="00624707"/>
    <w:rsid w:val="006250F7"/>
    <w:rsid w:val="00627FFC"/>
    <w:rsid w:val="00630CD2"/>
    <w:rsid w:val="00633499"/>
    <w:rsid w:val="00635662"/>
    <w:rsid w:val="00635D21"/>
    <w:rsid w:val="00640BCA"/>
    <w:rsid w:val="00644C5C"/>
    <w:rsid w:val="00645B26"/>
    <w:rsid w:val="00661395"/>
    <w:rsid w:val="00662305"/>
    <w:rsid w:val="006668D1"/>
    <w:rsid w:val="006673BB"/>
    <w:rsid w:val="00677842"/>
    <w:rsid w:val="00677DA1"/>
    <w:rsid w:val="0068057B"/>
    <w:rsid w:val="0068078D"/>
    <w:rsid w:val="00683266"/>
    <w:rsid w:val="00685B2E"/>
    <w:rsid w:val="00686C69"/>
    <w:rsid w:val="00691417"/>
    <w:rsid w:val="0069412C"/>
    <w:rsid w:val="006941F4"/>
    <w:rsid w:val="00694675"/>
    <w:rsid w:val="00697D31"/>
    <w:rsid w:val="006A01A0"/>
    <w:rsid w:val="006B0FC9"/>
    <w:rsid w:val="006B1C36"/>
    <w:rsid w:val="006B43E4"/>
    <w:rsid w:val="006B5C7C"/>
    <w:rsid w:val="006C2FAD"/>
    <w:rsid w:val="006C3AD4"/>
    <w:rsid w:val="006C63F3"/>
    <w:rsid w:val="006C66FF"/>
    <w:rsid w:val="006C72B3"/>
    <w:rsid w:val="006D0F37"/>
    <w:rsid w:val="006D7007"/>
    <w:rsid w:val="006E12B2"/>
    <w:rsid w:val="006E2980"/>
    <w:rsid w:val="006E36B5"/>
    <w:rsid w:val="006E383D"/>
    <w:rsid w:val="006E504C"/>
    <w:rsid w:val="006E642B"/>
    <w:rsid w:val="006F0A01"/>
    <w:rsid w:val="006F169C"/>
    <w:rsid w:val="006F1AC1"/>
    <w:rsid w:val="006F6CE4"/>
    <w:rsid w:val="00700141"/>
    <w:rsid w:val="00703475"/>
    <w:rsid w:val="0071730A"/>
    <w:rsid w:val="0071758D"/>
    <w:rsid w:val="00717651"/>
    <w:rsid w:val="00720B52"/>
    <w:rsid w:val="00722612"/>
    <w:rsid w:val="007228CB"/>
    <w:rsid w:val="0072384C"/>
    <w:rsid w:val="007273B3"/>
    <w:rsid w:val="00730B89"/>
    <w:rsid w:val="00733837"/>
    <w:rsid w:val="00740FFE"/>
    <w:rsid w:val="00743B7F"/>
    <w:rsid w:val="00743BF4"/>
    <w:rsid w:val="00746E04"/>
    <w:rsid w:val="00751C7C"/>
    <w:rsid w:val="007543F8"/>
    <w:rsid w:val="007549E6"/>
    <w:rsid w:val="00755178"/>
    <w:rsid w:val="00755260"/>
    <w:rsid w:val="00755466"/>
    <w:rsid w:val="00756547"/>
    <w:rsid w:val="00757024"/>
    <w:rsid w:val="00764FB9"/>
    <w:rsid w:val="007651EF"/>
    <w:rsid w:val="0076594D"/>
    <w:rsid w:val="0076766E"/>
    <w:rsid w:val="007728D8"/>
    <w:rsid w:val="00774C31"/>
    <w:rsid w:val="00777642"/>
    <w:rsid w:val="00782EC2"/>
    <w:rsid w:val="007861A2"/>
    <w:rsid w:val="0079035B"/>
    <w:rsid w:val="00790D50"/>
    <w:rsid w:val="00791693"/>
    <w:rsid w:val="007918A5"/>
    <w:rsid w:val="007949F3"/>
    <w:rsid w:val="0079538E"/>
    <w:rsid w:val="007958E7"/>
    <w:rsid w:val="00795D84"/>
    <w:rsid w:val="007A1027"/>
    <w:rsid w:val="007A2BBC"/>
    <w:rsid w:val="007A2C5A"/>
    <w:rsid w:val="007A31FA"/>
    <w:rsid w:val="007A353F"/>
    <w:rsid w:val="007A717E"/>
    <w:rsid w:val="007B38F5"/>
    <w:rsid w:val="007B7911"/>
    <w:rsid w:val="007C110B"/>
    <w:rsid w:val="007C4C9F"/>
    <w:rsid w:val="007C4D68"/>
    <w:rsid w:val="007C7C21"/>
    <w:rsid w:val="007C7C97"/>
    <w:rsid w:val="007D1EBE"/>
    <w:rsid w:val="007D366B"/>
    <w:rsid w:val="007D3B2A"/>
    <w:rsid w:val="007D416E"/>
    <w:rsid w:val="007D56A3"/>
    <w:rsid w:val="007E062E"/>
    <w:rsid w:val="007E24C0"/>
    <w:rsid w:val="007E42CF"/>
    <w:rsid w:val="007E46C2"/>
    <w:rsid w:val="007E476F"/>
    <w:rsid w:val="007E6DB4"/>
    <w:rsid w:val="007F3FBD"/>
    <w:rsid w:val="007F52C3"/>
    <w:rsid w:val="007F5EB9"/>
    <w:rsid w:val="007F7D09"/>
    <w:rsid w:val="00802F13"/>
    <w:rsid w:val="00805856"/>
    <w:rsid w:val="008063E5"/>
    <w:rsid w:val="00807BAD"/>
    <w:rsid w:val="00807EC0"/>
    <w:rsid w:val="00810A4D"/>
    <w:rsid w:val="008137FF"/>
    <w:rsid w:val="00813E09"/>
    <w:rsid w:val="00815147"/>
    <w:rsid w:val="00815C5C"/>
    <w:rsid w:val="00815F44"/>
    <w:rsid w:val="0082175E"/>
    <w:rsid w:val="008218DB"/>
    <w:rsid w:val="00821D0A"/>
    <w:rsid w:val="0082279A"/>
    <w:rsid w:val="00823F50"/>
    <w:rsid w:val="0082614A"/>
    <w:rsid w:val="00837F90"/>
    <w:rsid w:val="00840914"/>
    <w:rsid w:val="00846C6D"/>
    <w:rsid w:val="008507B7"/>
    <w:rsid w:val="00850E93"/>
    <w:rsid w:val="00850EB7"/>
    <w:rsid w:val="008541F9"/>
    <w:rsid w:val="00854902"/>
    <w:rsid w:val="00857889"/>
    <w:rsid w:val="00860696"/>
    <w:rsid w:val="00862D5D"/>
    <w:rsid w:val="00867BD5"/>
    <w:rsid w:val="00873A7E"/>
    <w:rsid w:val="00874773"/>
    <w:rsid w:val="00876420"/>
    <w:rsid w:val="00876B63"/>
    <w:rsid w:val="00884B69"/>
    <w:rsid w:val="00885B1D"/>
    <w:rsid w:val="008866F9"/>
    <w:rsid w:val="00886A11"/>
    <w:rsid w:val="00886B06"/>
    <w:rsid w:val="00886F86"/>
    <w:rsid w:val="008875F8"/>
    <w:rsid w:val="00891173"/>
    <w:rsid w:val="0089275B"/>
    <w:rsid w:val="00895822"/>
    <w:rsid w:val="008A1987"/>
    <w:rsid w:val="008A37B4"/>
    <w:rsid w:val="008A56C9"/>
    <w:rsid w:val="008A56F8"/>
    <w:rsid w:val="008A75EC"/>
    <w:rsid w:val="008B006D"/>
    <w:rsid w:val="008B05AD"/>
    <w:rsid w:val="008B0DB7"/>
    <w:rsid w:val="008B1FC9"/>
    <w:rsid w:val="008C020B"/>
    <w:rsid w:val="008C0417"/>
    <w:rsid w:val="008C17F3"/>
    <w:rsid w:val="008C2333"/>
    <w:rsid w:val="008C346F"/>
    <w:rsid w:val="008C7CCD"/>
    <w:rsid w:val="008D0A2B"/>
    <w:rsid w:val="008D1190"/>
    <w:rsid w:val="008D1829"/>
    <w:rsid w:val="008D1B7B"/>
    <w:rsid w:val="008D1D5D"/>
    <w:rsid w:val="008E7712"/>
    <w:rsid w:val="008F01CC"/>
    <w:rsid w:val="008F1E88"/>
    <w:rsid w:val="008F46D2"/>
    <w:rsid w:val="008F7F6A"/>
    <w:rsid w:val="009010B1"/>
    <w:rsid w:val="0090492B"/>
    <w:rsid w:val="00910B33"/>
    <w:rsid w:val="00910FA2"/>
    <w:rsid w:val="00911783"/>
    <w:rsid w:val="009173AF"/>
    <w:rsid w:val="0092155E"/>
    <w:rsid w:val="00924F59"/>
    <w:rsid w:val="00925C01"/>
    <w:rsid w:val="009315C2"/>
    <w:rsid w:val="00931967"/>
    <w:rsid w:val="00931BB8"/>
    <w:rsid w:val="00933F00"/>
    <w:rsid w:val="00936E37"/>
    <w:rsid w:val="00940BB3"/>
    <w:rsid w:val="009414F3"/>
    <w:rsid w:val="00941C27"/>
    <w:rsid w:val="00942676"/>
    <w:rsid w:val="00943B01"/>
    <w:rsid w:val="00944170"/>
    <w:rsid w:val="00947360"/>
    <w:rsid w:val="0095284B"/>
    <w:rsid w:val="00957776"/>
    <w:rsid w:val="0096284C"/>
    <w:rsid w:val="00971A5D"/>
    <w:rsid w:val="00971E21"/>
    <w:rsid w:val="00974184"/>
    <w:rsid w:val="009763D7"/>
    <w:rsid w:val="00986453"/>
    <w:rsid w:val="0099119A"/>
    <w:rsid w:val="00996434"/>
    <w:rsid w:val="009A1410"/>
    <w:rsid w:val="009A2613"/>
    <w:rsid w:val="009A47D3"/>
    <w:rsid w:val="009B06D2"/>
    <w:rsid w:val="009B0A7A"/>
    <w:rsid w:val="009B340A"/>
    <w:rsid w:val="009B56AB"/>
    <w:rsid w:val="009C11C4"/>
    <w:rsid w:val="009C25DE"/>
    <w:rsid w:val="009C61C6"/>
    <w:rsid w:val="009D039A"/>
    <w:rsid w:val="009D3DBD"/>
    <w:rsid w:val="009D5522"/>
    <w:rsid w:val="009E1BEB"/>
    <w:rsid w:val="009E310D"/>
    <w:rsid w:val="009E52FB"/>
    <w:rsid w:val="009E73C3"/>
    <w:rsid w:val="00A04EEE"/>
    <w:rsid w:val="00A0632C"/>
    <w:rsid w:val="00A07A5A"/>
    <w:rsid w:val="00A11842"/>
    <w:rsid w:val="00A154FC"/>
    <w:rsid w:val="00A15CFA"/>
    <w:rsid w:val="00A16EB0"/>
    <w:rsid w:val="00A177CF"/>
    <w:rsid w:val="00A2048B"/>
    <w:rsid w:val="00A217D2"/>
    <w:rsid w:val="00A220DC"/>
    <w:rsid w:val="00A2253F"/>
    <w:rsid w:val="00A236D4"/>
    <w:rsid w:val="00A2562D"/>
    <w:rsid w:val="00A27812"/>
    <w:rsid w:val="00A27B0C"/>
    <w:rsid w:val="00A315F5"/>
    <w:rsid w:val="00A31EB5"/>
    <w:rsid w:val="00A327B7"/>
    <w:rsid w:val="00A33FB4"/>
    <w:rsid w:val="00A40598"/>
    <w:rsid w:val="00A41F8D"/>
    <w:rsid w:val="00A425BC"/>
    <w:rsid w:val="00A43D78"/>
    <w:rsid w:val="00A43E51"/>
    <w:rsid w:val="00A466FD"/>
    <w:rsid w:val="00A56439"/>
    <w:rsid w:val="00A6067C"/>
    <w:rsid w:val="00A60C27"/>
    <w:rsid w:val="00A60CD2"/>
    <w:rsid w:val="00A61A6F"/>
    <w:rsid w:val="00A63FF4"/>
    <w:rsid w:val="00A64E7E"/>
    <w:rsid w:val="00A657BD"/>
    <w:rsid w:val="00A66E9E"/>
    <w:rsid w:val="00A76A09"/>
    <w:rsid w:val="00A7786F"/>
    <w:rsid w:val="00A80CB5"/>
    <w:rsid w:val="00A82862"/>
    <w:rsid w:val="00A82C3B"/>
    <w:rsid w:val="00A86CF4"/>
    <w:rsid w:val="00A90C74"/>
    <w:rsid w:val="00A91157"/>
    <w:rsid w:val="00A92994"/>
    <w:rsid w:val="00A93F9E"/>
    <w:rsid w:val="00A945D0"/>
    <w:rsid w:val="00AA3AFE"/>
    <w:rsid w:val="00AA5221"/>
    <w:rsid w:val="00AB0CAA"/>
    <w:rsid w:val="00AB4D5F"/>
    <w:rsid w:val="00AB733D"/>
    <w:rsid w:val="00AB7D83"/>
    <w:rsid w:val="00AC03ED"/>
    <w:rsid w:val="00AC611A"/>
    <w:rsid w:val="00AC7D40"/>
    <w:rsid w:val="00AD2863"/>
    <w:rsid w:val="00AD468D"/>
    <w:rsid w:val="00AD5FF5"/>
    <w:rsid w:val="00AD6CED"/>
    <w:rsid w:val="00AD70CE"/>
    <w:rsid w:val="00AE0F14"/>
    <w:rsid w:val="00AE18B2"/>
    <w:rsid w:val="00AE271D"/>
    <w:rsid w:val="00AE4188"/>
    <w:rsid w:val="00AE5FF8"/>
    <w:rsid w:val="00AE6053"/>
    <w:rsid w:val="00AE7D73"/>
    <w:rsid w:val="00AF0A12"/>
    <w:rsid w:val="00AF49AD"/>
    <w:rsid w:val="00AF5C03"/>
    <w:rsid w:val="00AF6326"/>
    <w:rsid w:val="00B024B1"/>
    <w:rsid w:val="00B05164"/>
    <w:rsid w:val="00B109C2"/>
    <w:rsid w:val="00B13250"/>
    <w:rsid w:val="00B13644"/>
    <w:rsid w:val="00B15D99"/>
    <w:rsid w:val="00B17069"/>
    <w:rsid w:val="00B17FB3"/>
    <w:rsid w:val="00B23FA8"/>
    <w:rsid w:val="00B253E5"/>
    <w:rsid w:val="00B26E26"/>
    <w:rsid w:val="00B27461"/>
    <w:rsid w:val="00B2766D"/>
    <w:rsid w:val="00B302CC"/>
    <w:rsid w:val="00B32828"/>
    <w:rsid w:val="00B366B8"/>
    <w:rsid w:val="00B378DF"/>
    <w:rsid w:val="00B40032"/>
    <w:rsid w:val="00B4016C"/>
    <w:rsid w:val="00B445A5"/>
    <w:rsid w:val="00B44A54"/>
    <w:rsid w:val="00B47302"/>
    <w:rsid w:val="00B47C32"/>
    <w:rsid w:val="00B506FF"/>
    <w:rsid w:val="00B53641"/>
    <w:rsid w:val="00B547F2"/>
    <w:rsid w:val="00B54DF6"/>
    <w:rsid w:val="00B55416"/>
    <w:rsid w:val="00B57256"/>
    <w:rsid w:val="00B57603"/>
    <w:rsid w:val="00B61232"/>
    <w:rsid w:val="00B64049"/>
    <w:rsid w:val="00B64BCA"/>
    <w:rsid w:val="00B653A9"/>
    <w:rsid w:val="00B65420"/>
    <w:rsid w:val="00B65642"/>
    <w:rsid w:val="00B66B3E"/>
    <w:rsid w:val="00B707EF"/>
    <w:rsid w:val="00B70F44"/>
    <w:rsid w:val="00B726E0"/>
    <w:rsid w:val="00B726EB"/>
    <w:rsid w:val="00B7435E"/>
    <w:rsid w:val="00B74AAB"/>
    <w:rsid w:val="00B76A73"/>
    <w:rsid w:val="00B80E79"/>
    <w:rsid w:val="00B8275C"/>
    <w:rsid w:val="00B83E92"/>
    <w:rsid w:val="00B841DD"/>
    <w:rsid w:val="00B86A27"/>
    <w:rsid w:val="00B95065"/>
    <w:rsid w:val="00BA062B"/>
    <w:rsid w:val="00BA1CC4"/>
    <w:rsid w:val="00BA4538"/>
    <w:rsid w:val="00BA580D"/>
    <w:rsid w:val="00BB0D07"/>
    <w:rsid w:val="00BB18BC"/>
    <w:rsid w:val="00BB278E"/>
    <w:rsid w:val="00BB4111"/>
    <w:rsid w:val="00BB4B59"/>
    <w:rsid w:val="00BB520E"/>
    <w:rsid w:val="00BB572A"/>
    <w:rsid w:val="00BB7D3F"/>
    <w:rsid w:val="00BC3149"/>
    <w:rsid w:val="00BD05E0"/>
    <w:rsid w:val="00BD08A7"/>
    <w:rsid w:val="00BD0C75"/>
    <w:rsid w:val="00BD1933"/>
    <w:rsid w:val="00BD392B"/>
    <w:rsid w:val="00BD7193"/>
    <w:rsid w:val="00BD77FA"/>
    <w:rsid w:val="00BE0A4E"/>
    <w:rsid w:val="00BE360B"/>
    <w:rsid w:val="00BE3F8E"/>
    <w:rsid w:val="00BE5DEF"/>
    <w:rsid w:val="00BE7C5C"/>
    <w:rsid w:val="00BF0CA3"/>
    <w:rsid w:val="00BF1A44"/>
    <w:rsid w:val="00BF3634"/>
    <w:rsid w:val="00BF4AD8"/>
    <w:rsid w:val="00BF6F01"/>
    <w:rsid w:val="00C00383"/>
    <w:rsid w:val="00C02845"/>
    <w:rsid w:val="00C02AB5"/>
    <w:rsid w:val="00C06817"/>
    <w:rsid w:val="00C073D6"/>
    <w:rsid w:val="00C11BBE"/>
    <w:rsid w:val="00C204D2"/>
    <w:rsid w:val="00C24EA2"/>
    <w:rsid w:val="00C2550B"/>
    <w:rsid w:val="00C256AA"/>
    <w:rsid w:val="00C258D1"/>
    <w:rsid w:val="00C30CF8"/>
    <w:rsid w:val="00C323CB"/>
    <w:rsid w:val="00C3412E"/>
    <w:rsid w:val="00C35E08"/>
    <w:rsid w:val="00C36F8D"/>
    <w:rsid w:val="00C403FD"/>
    <w:rsid w:val="00C42622"/>
    <w:rsid w:val="00C43CEA"/>
    <w:rsid w:val="00C45A39"/>
    <w:rsid w:val="00C51246"/>
    <w:rsid w:val="00C609E4"/>
    <w:rsid w:val="00C613A1"/>
    <w:rsid w:val="00C670C1"/>
    <w:rsid w:val="00C67142"/>
    <w:rsid w:val="00C70768"/>
    <w:rsid w:val="00C71DD0"/>
    <w:rsid w:val="00C74C94"/>
    <w:rsid w:val="00C80407"/>
    <w:rsid w:val="00C818DB"/>
    <w:rsid w:val="00C8295C"/>
    <w:rsid w:val="00C83539"/>
    <w:rsid w:val="00C83DFA"/>
    <w:rsid w:val="00C8433D"/>
    <w:rsid w:val="00C85ECA"/>
    <w:rsid w:val="00C867B1"/>
    <w:rsid w:val="00C87E25"/>
    <w:rsid w:val="00C87FCC"/>
    <w:rsid w:val="00C90A13"/>
    <w:rsid w:val="00C90B21"/>
    <w:rsid w:val="00C94223"/>
    <w:rsid w:val="00C95EC8"/>
    <w:rsid w:val="00C976B0"/>
    <w:rsid w:val="00C977D1"/>
    <w:rsid w:val="00CA16E8"/>
    <w:rsid w:val="00CA1ADC"/>
    <w:rsid w:val="00CA3BEB"/>
    <w:rsid w:val="00CA5B26"/>
    <w:rsid w:val="00CB04DE"/>
    <w:rsid w:val="00CB0DC3"/>
    <w:rsid w:val="00CB1F78"/>
    <w:rsid w:val="00CB5386"/>
    <w:rsid w:val="00CB69CB"/>
    <w:rsid w:val="00CB7CAA"/>
    <w:rsid w:val="00CC7CC2"/>
    <w:rsid w:val="00CD17B5"/>
    <w:rsid w:val="00CD1EBB"/>
    <w:rsid w:val="00CD2EDE"/>
    <w:rsid w:val="00CD36C1"/>
    <w:rsid w:val="00CD3DCC"/>
    <w:rsid w:val="00CD44C4"/>
    <w:rsid w:val="00CD47A1"/>
    <w:rsid w:val="00CE14B2"/>
    <w:rsid w:val="00CE28F6"/>
    <w:rsid w:val="00CE48A4"/>
    <w:rsid w:val="00CE6CAF"/>
    <w:rsid w:val="00CF0003"/>
    <w:rsid w:val="00D014C9"/>
    <w:rsid w:val="00D01B31"/>
    <w:rsid w:val="00D1036C"/>
    <w:rsid w:val="00D128F0"/>
    <w:rsid w:val="00D14D96"/>
    <w:rsid w:val="00D163D8"/>
    <w:rsid w:val="00D2403F"/>
    <w:rsid w:val="00D24143"/>
    <w:rsid w:val="00D301BD"/>
    <w:rsid w:val="00D302CF"/>
    <w:rsid w:val="00D305BB"/>
    <w:rsid w:val="00D34253"/>
    <w:rsid w:val="00D35F31"/>
    <w:rsid w:val="00D43F3A"/>
    <w:rsid w:val="00D45265"/>
    <w:rsid w:val="00D45ED0"/>
    <w:rsid w:val="00D46F35"/>
    <w:rsid w:val="00D475E6"/>
    <w:rsid w:val="00D50FD8"/>
    <w:rsid w:val="00D51CA4"/>
    <w:rsid w:val="00D54EEE"/>
    <w:rsid w:val="00D55B61"/>
    <w:rsid w:val="00D57596"/>
    <w:rsid w:val="00D60FBE"/>
    <w:rsid w:val="00D62BEC"/>
    <w:rsid w:val="00D66C8C"/>
    <w:rsid w:val="00D671C8"/>
    <w:rsid w:val="00D67542"/>
    <w:rsid w:val="00D777FE"/>
    <w:rsid w:val="00D77FA3"/>
    <w:rsid w:val="00D80474"/>
    <w:rsid w:val="00D82EAD"/>
    <w:rsid w:val="00D8428D"/>
    <w:rsid w:val="00D848B8"/>
    <w:rsid w:val="00D91A0E"/>
    <w:rsid w:val="00D941FA"/>
    <w:rsid w:val="00D95AF6"/>
    <w:rsid w:val="00DA1039"/>
    <w:rsid w:val="00DB53E5"/>
    <w:rsid w:val="00DB5516"/>
    <w:rsid w:val="00DB77E0"/>
    <w:rsid w:val="00DC1B6B"/>
    <w:rsid w:val="00DC1D34"/>
    <w:rsid w:val="00DD15E9"/>
    <w:rsid w:val="00DD1998"/>
    <w:rsid w:val="00DD36B8"/>
    <w:rsid w:val="00DD59AE"/>
    <w:rsid w:val="00DD6F08"/>
    <w:rsid w:val="00DE0378"/>
    <w:rsid w:val="00DE0492"/>
    <w:rsid w:val="00DE1D90"/>
    <w:rsid w:val="00DE4C9E"/>
    <w:rsid w:val="00DE549B"/>
    <w:rsid w:val="00DE5DF8"/>
    <w:rsid w:val="00DE7763"/>
    <w:rsid w:val="00DF77A8"/>
    <w:rsid w:val="00DF7A06"/>
    <w:rsid w:val="00E00931"/>
    <w:rsid w:val="00E06A79"/>
    <w:rsid w:val="00E07024"/>
    <w:rsid w:val="00E1022E"/>
    <w:rsid w:val="00E14271"/>
    <w:rsid w:val="00E1494F"/>
    <w:rsid w:val="00E16FD2"/>
    <w:rsid w:val="00E17926"/>
    <w:rsid w:val="00E17C4E"/>
    <w:rsid w:val="00E20F9B"/>
    <w:rsid w:val="00E24D53"/>
    <w:rsid w:val="00E301D6"/>
    <w:rsid w:val="00E363D4"/>
    <w:rsid w:val="00E4130B"/>
    <w:rsid w:val="00E41423"/>
    <w:rsid w:val="00E450B1"/>
    <w:rsid w:val="00E46784"/>
    <w:rsid w:val="00E47011"/>
    <w:rsid w:val="00E47E24"/>
    <w:rsid w:val="00E540CC"/>
    <w:rsid w:val="00E546B1"/>
    <w:rsid w:val="00E54C94"/>
    <w:rsid w:val="00E559FB"/>
    <w:rsid w:val="00E7471F"/>
    <w:rsid w:val="00E767FC"/>
    <w:rsid w:val="00E8477F"/>
    <w:rsid w:val="00E86EBD"/>
    <w:rsid w:val="00E91010"/>
    <w:rsid w:val="00E91427"/>
    <w:rsid w:val="00E9323E"/>
    <w:rsid w:val="00E93DC1"/>
    <w:rsid w:val="00E94625"/>
    <w:rsid w:val="00EA06FF"/>
    <w:rsid w:val="00EA4232"/>
    <w:rsid w:val="00EA490E"/>
    <w:rsid w:val="00EB03DE"/>
    <w:rsid w:val="00EB0B04"/>
    <w:rsid w:val="00EB249C"/>
    <w:rsid w:val="00EB3DDE"/>
    <w:rsid w:val="00EB4C48"/>
    <w:rsid w:val="00EB71EC"/>
    <w:rsid w:val="00EB795A"/>
    <w:rsid w:val="00EB7CBC"/>
    <w:rsid w:val="00EC3E17"/>
    <w:rsid w:val="00EC3F57"/>
    <w:rsid w:val="00ED096F"/>
    <w:rsid w:val="00ED189B"/>
    <w:rsid w:val="00ED69BC"/>
    <w:rsid w:val="00EE0CBC"/>
    <w:rsid w:val="00EE1220"/>
    <w:rsid w:val="00EE21FE"/>
    <w:rsid w:val="00EE302C"/>
    <w:rsid w:val="00EE3667"/>
    <w:rsid w:val="00EF7865"/>
    <w:rsid w:val="00F0168B"/>
    <w:rsid w:val="00F02EB4"/>
    <w:rsid w:val="00F10C73"/>
    <w:rsid w:val="00F11EB0"/>
    <w:rsid w:val="00F124A9"/>
    <w:rsid w:val="00F13F39"/>
    <w:rsid w:val="00F14F97"/>
    <w:rsid w:val="00F16752"/>
    <w:rsid w:val="00F16DA4"/>
    <w:rsid w:val="00F21378"/>
    <w:rsid w:val="00F2227B"/>
    <w:rsid w:val="00F23FF0"/>
    <w:rsid w:val="00F2456B"/>
    <w:rsid w:val="00F25118"/>
    <w:rsid w:val="00F30DC8"/>
    <w:rsid w:val="00F31030"/>
    <w:rsid w:val="00F33098"/>
    <w:rsid w:val="00F3656B"/>
    <w:rsid w:val="00F40231"/>
    <w:rsid w:val="00F41E11"/>
    <w:rsid w:val="00F45480"/>
    <w:rsid w:val="00F457D0"/>
    <w:rsid w:val="00F515CC"/>
    <w:rsid w:val="00F5258C"/>
    <w:rsid w:val="00F546E0"/>
    <w:rsid w:val="00F578B3"/>
    <w:rsid w:val="00F6033B"/>
    <w:rsid w:val="00F65D80"/>
    <w:rsid w:val="00F67322"/>
    <w:rsid w:val="00F719A2"/>
    <w:rsid w:val="00F81782"/>
    <w:rsid w:val="00F817FB"/>
    <w:rsid w:val="00F86977"/>
    <w:rsid w:val="00F86E85"/>
    <w:rsid w:val="00F87282"/>
    <w:rsid w:val="00F90861"/>
    <w:rsid w:val="00F90985"/>
    <w:rsid w:val="00F973B8"/>
    <w:rsid w:val="00FA095A"/>
    <w:rsid w:val="00FA0F87"/>
    <w:rsid w:val="00FA261C"/>
    <w:rsid w:val="00FA3786"/>
    <w:rsid w:val="00FA4521"/>
    <w:rsid w:val="00FA7F47"/>
    <w:rsid w:val="00FB4B82"/>
    <w:rsid w:val="00FB5916"/>
    <w:rsid w:val="00FB6BC7"/>
    <w:rsid w:val="00FC0AB4"/>
    <w:rsid w:val="00FC1E53"/>
    <w:rsid w:val="00FC4D35"/>
    <w:rsid w:val="00FC5135"/>
    <w:rsid w:val="00FC58A6"/>
    <w:rsid w:val="00FC7953"/>
    <w:rsid w:val="00FD0DB6"/>
    <w:rsid w:val="00FD1057"/>
    <w:rsid w:val="00FD11B3"/>
    <w:rsid w:val="00FD7B24"/>
    <w:rsid w:val="00FE1869"/>
    <w:rsid w:val="00FF03E0"/>
    <w:rsid w:val="00FF3F19"/>
    <w:rsid w:val="00FF4883"/>
    <w:rsid w:val="00FF4B09"/>
    <w:rsid w:val="00FF67EE"/>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10AAE"/>
  <w15:chartTrackingRefBased/>
  <w15:docId w15:val="{9104F2BE-452B-4FC2-9AAB-0A310929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61"/>
    <w:pPr>
      <w:spacing w:after="0" w:line="360" w:lineRule="auto"/>
    </w:pPr>
    <w:rPr>
      <w:rFonts w:ascii="Times New Roman" w:hAnsi="Times New Roman" w:cs="Times New Roman"/>
      <w:color w:val="000000"/>
      <w:sz w:val="26"/>
    </w:rPr>
  </w:style>
  <w:style w:type="paragraph" w:styleId="Heading1">
    <w:name w:val="heading 1"/>
    <w:basedOn w:val="Normal"/>
    <w:next w:val="Normal"/>
    <w:link w:val="Heading1Char"/>
    <w:uiPriority w:val="9"/>
    <w:qFormat/>
    <w:rsid w:val="00562F98"/>
    <w:pPr>
      <w:jc w:val="center"/>
      <w:outlineLvl w:val="0"/>
    </w:pPr>
    <w:rPr>
      <w:b/>
      <w:bCs/>
    </w:rPr>
  </w:style>
  <w:style w:type="paragraph" w:styleId="Heading2">
    <w:name w:val="heading 2"/>
    <w:basedOn w:val="Normal"/>
    <w:next w:val="Normal"/>
    <w:link w:val="Heading2Char"/>
    <w:uiPriority w:val="9"/>
    <w:unhideWhenUsed/>
    <w:qFormat/>
    <w:rsid w:val="00E8477F"/>
    <w:pPr>
      <w:keepNext/>
      <w:autoSpaceDE w:val="0"/>
      <w:autoSpaceDN w:val="0"/>
      <w:adjustRightInd w:val="0"/>
      <w:spacing w:line="240" w:lineRule="auto"/>
      <w:outlineLvl w:val="1"/>
    </w:pPr>
    <w:rPr>
      <w:b/>
      <w:bCs/>
      <w:szCs w:val="26"/>
    </w:rPr>
  </w:style>
  <w:style w:type="paragraph" w:styleId="Heading3">
    <w:name w:val="heading 3"/>
    <w:basedOn w:val="Heading2"/>
    <w:next w:val="Normal"/>
    <w:link w:val="Heading3Char"/>
    <w:uiPriority w:val="9"/>
    <w:unhideWhenUsed/>
    <w:qFormat/>
    <w:rsid w:val="00054D68"/>
    <w:pPr>
      <w:ind w:left="1440" w:hanging="720"/>
      <w:outlineLvl w:val="2"/>
    </w:pPr>
  </w:style>
  <w:style w:type="paragraph" w:styleId="Heading4">
    <w:name w:val="heading 4"/>
    <w:basedOn w:val="Normal"/>
    <w:next w:val="Normal"/>
    <w:link w:val="Heading4Char"/>
    <w:uiPriority w:val="9"/>
    <w:semiHidden/>
    <w:unhideWhenUsed/>
    <w:qFormat/>
    <w:rsid w:val="004B54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2">
    <w:name w:val="TOC H 2"/>
    <w:basedOn w:val="ListParagraph"/>
    <w:link w:val="TOCH2Char"/>
    <w:autoRedefine/>
    <w:qFormat/>
    <w:rsid w:val="003503C3"/>
    <w:pPr>
      <w:numPr>
        <w:numId w:val="2"/>
      </w:numPr>
      <w:contextualSpacing w:val="0"/>
    </w:pPr>
    <w:rPr>
      <w:rFonts w:ascii="Times New Roman Bold" w:hAnsi="Times New Roman Bold"/>
      <w:b/>
      <w:bCs/>
      <w:szCs w:val="26"/>
    </w:rPr>
  </w:style>
  <w:style w:type="character" w:customStyle="1" w:styleId="TOCH2Char">
    <w:name w:val="TOC H 2 Char"/>
    <w:basedOn w:val="DefaultParagraphFont"/>
    <w:link w:val="TOCH2"/>
    <w:rsid w:val="003503C3"/>
    <w:rPr>
      <w:rFonts w:ascii="Times New Roman Bold" w:eastAsia="Times New Roman" w:hAnsi="Times New Roman Bold"/>
      <w:b/>
      <w:bCs/>
      <w:sz w:val="26"/>
      <w:szCs w:val="26"/>
    </w:rPr>
  </w:style>
  <w:style w:type="paragraph" w:styleId="ListParagraph">
    <w:name w:val="List Paragraph"/>
    <w:basedOn w:val="Normal"/>
    <w:uiPriority w:val="1"/>
    <w:qFormat/>
    <w:rsid w:val="003503C3"/>
    <w:pPr>
      <w:ind w:left="720"/>
      <w:contextualSpacing/>
    </w:pPr>
  </w:style>
  <w:style w:type="paragraph" w:customStyle="1" w:styleId="TOCH4">
    <w:name w:val="TOC H 4"/>
    <w:basedOn w:val="Normal"/>
    <w:link w:val="TOCH4Char"/>
    <w:qFormat/>
    <w:rsid w:val="00BF3634"/>
    <w:pPr>
      <w:numPr>
        <w:numId w:val="4"/>
      </w:numPr>
      <w:ind w:left="2160" w:hanging="360"/>
      <w:jc w:val="both"/>
      <w:outlineLvl w:val="2"/>
    </w:pPr>
    <w:rPr>
      <w:bCs/>
      <w:szCs w:val="26"/>
    </w:rPr>
  </w:style>
  <w:style w:type="character" w:customStyle="1" w:styleId="TOCH4Char">
    <w:name w:val="TOC H 4 Char"/>
    <w:basedOn w:val="DefaultParagraphFont"/>
    <w:link w:val="TOCH4"/>
    <w:rsid w:val="00BF3634"/>
    <w:rPr>
      <w:rFonts w:eastAsia="Times New Roman"/>
      <w:bCs/>
      <w:sz w:val="26"/>
      <w:szCs w:val="26"/>
    </w:rPr>
  </w:style>
  <w:style w:type="paragraph" w:customStyle="1" w:styleId="TOCH5">
    <w:name w:val="TOC H 5"/>
    <w:basedOn w:val="TOCH4"/>
    <w:link w:val="TOCH5Char"/>
    <w:autoRedefine/>
    <w:qFormat/>
    <w:rsid w:val="00C94223"/>
    <w:pPr>
      <w:keepNext/>
      <w:numPr>
        <w:numId w:val="6"/>
      </w:numPr>
      <w:spacing w:line="240" w:lineRule="auto"/>
      <w:ind w:left="2520" w:hanging="360"/>
    </w:pPr>
    <w:rPr>
      <w:rFonts w:ascii="Times New Roman Bold" w:hAnsi="Times New Roman Bold"/>
      <w:b/>
      <w:bCs w:val="0"/>
    </w:rPr>
  </w:style>
  <w:style w:type="character" w:customStyle="1" w:styleId="TOCH5Char">
    <w:name w:val="TOC H 5 Char"/>
    <w:basedOn w:val="TOCH4Char"/>
    <w:link w:val="TOCH5"/>
    <w:rsid w:val="00C94223"/>
    <w:rPr>
      <w:rFonts w:ascii="Times New Roman Bold" w:eastAsia="Times New Roman" w:hAnsi="Times New Roman Bold"/>
      <w:b/>
      <w:bCs w:val="0"/>
      <w:sz w:val="26"/>
      <w:szCs w:val="26"/>
    </w:rPr>
  </w:style>
  <w:style w:type="paragraph" w:styleId="Revision">
    <w:name w:val="Revision"/>
    <w:hidden/>
    <w:uiPriority w:val="99"/>
    <w:semiHidden/>
    <w:rsid w:val="00CE48A4"/>
    <w:pPr>
      <w:spacing w:after="0" w:line="240" w:lineRule="auto"/>
    </w:pPr>
    <w:rPr>
      <w:rFonts w:ascii="Times New Roman" w:hAnsi="Times New Roman" w:cs="Times New Roman"/>
      <w:color w:val="000000"/>
      <w:sz w:val="26"/>
    </w:rPr>
  </w:style>
  <w:style w:type="paragraph" w:styleId="Header">
    <w:name w:val="header"/>
    <w:basedOn w:val="Normal"/>
    <w:link w:val="HeaderChar"/>
    <w:uiPriority w:val="99"/>
    <w:unhideWhenUsed/>
    <w:rsid w:val="008B006D"/>
    <w:pPr>
      <w:tabs>
        <w:tab w:val="center" w:pos="4680"/>
        <w:tab w:val="right" w:pos="9360"/>
      </w:tabs>
      <w:spacing w:line="240" w:lineRule="auto"/>
    </w:pPr>
  </w:style>
  <w:style w:type="character" w:customStyle="1" w:styleId="HeaderChar">
    <w:name w:val="Header Char"/>
    <w:basedOn w:val="DefaultParagraphFont"/>
    <w:link w:val="Header"/>
    <w:uiPriority w:val="99"/>
    <w:rsid w:val="008B006D"/>
    <w:rPr>
      <w:rFonts w:ascii="Times New Roman" w:hAnsi="Times New Roman" w:cs="Times New Roman"/>
      <w:color w:val="000000"/>
      <w:sz w:val="26"/>
    </w:rPr>
  </w:style>
  <w:style w:type="paragraph" w:styleId="Footer">
    <w:name w:val="footer"/>
    <w:basedOn w:val="Normal"/>
    <w:link w:val="FooterChar"/>
    <w:uiPriority w:val="99"/>
    <w:unhideWhenUsed/>
    <w:rsid w:val="008B006D"/>
    <w:pPr>
      <w:tabs>
        <w:tab w:val="center" w:pos="4680"/>
        <w:tab w:val="right" w:pos="9360"/>
      </w:tabs>
      <w:spacing w:line="240" w:lineRule="auto"/>
    </w:pPr>
  </w:style>
  <w:style w:type="character" w:customStyle="1" w:styleId="FooterChar">
    <w:name w:val="Footer Char"/>
    <w:basedOn w:val="DefaultParagraphFont"/>
    <w:link w:val="Footer"/>
    <w:uiPriority w:val="99"/>
    <w:rsid w:val="008B006D"/>
    <w:rPr>
      <w:rFonts w:ascii="Times New Roman" w:hAnsi="Times New Roman" w:cs="Times New Roman"/>
      <w:color w:val="000000"/>
      <w:sz w:val="2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unhideWhenUsed/>
    <w:qFormat/>
    <w:rsid w:val="00854902"/>
    <w:pPr>
      <w:spacing w:line="240" w:lineRule="auto"/>
    </w:pPr>
    <w:rPr>
      <w:rFonts w:eastAsiaTheme="minorHAnsi" w:cstheme="minorBidi"/>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854902"/>
    <w:rPr>
      <w:rFonts w:ascii="Times New Roman" w:eastAsiaTheme="minorHAnsi" w:hAnsi="Times New Roman"/>
      <w:sz w:val="20"/>
      <w:szCs w:val="20"/>
    </w:rPr>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Styl"/>
    <w:basedOn w:val="DefaultParagraphFont"/>
    <w:uiPriority w:val="99"/>
    <w:unhideWhenUsed/>
    <w:qFormat/>
    <w:rsid w:val="00854902"/>
    <w:rPr>
      <w:vertAlign w:val="superscript"/>
    </w:rPr>
  </w:style>
  <w:style w:type="paragraph" w:customStyle="1" w:styleId="Default">
    <w:name w:val="Default"/>
    <w:rsid w:val="0085490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
    <w:name w:val="Body Text"/>
    <w:basedOn w:val="Normal"/>
    <w:link w:val="BodyTextChar"/>
    <w:uiPriority w:val="1"/>
    <w:qFormat/>
    <w:rsid w:val="0042660A"/>
    <w:pPr>
      <w:widowControl w:val="0"/>
      <w:autoSpaceDE w:val="0"/>
      <w:autoSpaceDN w:val="0"/>
      <w:spacing w:line="240" w:lineRule="auto"/>
    </w:pPr>
    <w:rPr>
      <w:color w:val="auto"/>
      <w:sz w:val="24"/>
      <w:szCs w:val="24"/>
    </w:rPr>
  </w:style>
  <w:style w:type="character" w:customStyle="1" w:styleId="BodyTextChar">
    <w:name w:val="Body Text Char"/>
    <w:basedOn w:val="DefaultParagraphFont"/>
    <w:link w:val="BodyText"/>
    <w:uiPriority w:val="1"/>
    <w:rsid w:val="0042660A"/>
    <w:rPr>
      <w:rFonts w:ascii="Times New Roman" w:hAnsi="Times New Roman" w:cs="Times New Roman"/>
      <w:sz w:val="24"/>
      <w:szCs w:val="24"/>
    </w:rPr>
  </w:style>
  <w:style w:type="paragraph" w:styleId="NoSpacing">
    <w:name w:val="No Spacing"/>
    <w:uiPriority w:val="1"/>
    <w:qFormat/>
    <w:rsid w:val="000F1DE9"/>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562F98"/>
    <w:rPr>
      <w:rFonts w:ascii="Times New Roman" w:hAnsi="Times New Roman" w:cs="Times New Roman"/>
      <w:b/>
      <w:bCs/>
      <w:color w:val="000000"/>
      <w:sz w:val="26"/>
    </w:rPr>
  </w:style>
  <w:style w:type="character" w:customStyle="1" w:styleId="Heading2Char">
    <w:name w:val="Heading 2 Char"/>
    <w:basedOn w:val="DefaultParagraphFont"/>
    <w:link w:val="Heading2"/>
    <w:uiPriority w:val="9"/>
    <w:rsid w:val="00E8477F"/>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
    <w:rsid w:val="00054D68"/>
    <w:rPr>
      <w:rFonts w:ascii="Times New Roman" w:hAnsi="Times New Roman" w:cs="Times New Roman"/>
      <w:b/>
      <w:bCs/>
      <w:color w:val="000000"/>
      <w:sz w:val="26"/>
      <w:szCs w:val="26"/>
    </w:rPr>
  </w:style>
  <w:style w:type="character" w:customStyle="1" w:styleId="Heading4Char">
    <w:name w:val="Heading 4 Char"/>
    <w:basedOn w:val="DefaultParagraphFont"/>
    <w:link w:val="Heading4"/>
    <w:uiPriority w:val="9"/>
    <w:semiHidden/>
    <w:rsid w:val="004B54E9"/>
    <w:rPr>
      <w:rFonts w:asciiTheme="majorHAnsi" w:eastAsiaTheme="majorEastAsia" w:hAnsiTheme="majorHAnsi" w:cstheme="majorBidi"/>
      <w:i/>
      <w:iCs/>
      <w:color w:val="2F5496" w:themeColor="accent1" w:themeShade="BF"/>
      <w:sz w:val="26"/>
    </w:rPr>
  </w:style>
  <w:style w:type="character" w:styleId="Hyperlink">
    <w:name w:val="Hyperlink"/>
    <w:basedOn w:val="DefaultParagraphFont"/>
    <w:uiPriority w:val="99"/>
    <w:unhideWhenUsed/>
    <w:rsid w:val="003919C4"/>
    <w:rPr>
      <w:color w:val="0563C1" w:themeColor="hyperlink"/>
      <w:u w:val="single"/>
    </w:rPr>
  </w:style>
  <w:style w:type="character" w:styleId="UnresolvedMention">
    <w:name w:val="Unresolved Mention"/>
    <w:basedOn w:val="DefaultParagraphFont"/>
    <w:uiPriority w:val="99"/>
    <w:semiHidden/>
    <w:unhideWhenUsed/>
    <w:rsid w:val="003919C4"/>
    <w:rPr>
      <w:color w:val="605E5C"/>
      <w:shd w:val="clear" w:color="auto" w:fill="E1DFDD"/>
    </w:rPr>
  </w:style>
  <w:style w:type="character" w:customStyle="1" w:styleId="footnotedescriptionChar">
    <w:name w:val="footnote description Char"/>
    <w:link w:val="footnotedescription"/>
    <w:locked/>
    <w:rsid w:val="00895822"/>
    <w:rPr>
      <w:rFonts w:ascii="Times New Roman" w:hAnsi="Times New Roman" w:cs="Times New Roman"/>
      <w:color w:val="000000"/>
      <w:sz w:val="20"/>
    </w:rPr>
  </w:style>
  <w:style w:type="paragraph" w:customStyle="1" w:styleId="footnotedescription">
    <w:name w:val="footnote description"/>
    <w:next w:val="Normal"/>
    <w:link w:val="footnotedescriptionChar"/>
    <w:rsid w:val="00895822"/>
    <w:pPr>
      <w:spacing w:after="0" w:line="256" w:lineRule="auto"/>
    </w:pPr>
    <w:rPr>
      <w:rFonts w:ascii="Times New Roman" w:hAnsi="Times New Roman" w:cs="Times New Roman"/>
      <w:color w:val="000000"/>
      <w:sz w:val="20"/>
    </w:rPr>
  </w:style>
  <w:style w:type="character" w:customStyle="1" w:styleId="footnotemark">
    <w:name w:val="footnote mark"/>
    <w:rsid w:val="00895822"/>
    <w:rPr>
      <w:rFonts w:ascii="Times New Roman" w:eastAsia="Times New Roman" w:hAnsi="Times New Roman" w:cs="Times New Roman" w:hint="default"/>
      <w:color w:val="000000"/>
      <w:sz w:val="20"/>
      <w:vertAlign w:val="superscript"/>
    </w:rPr>
  </w:style>
  <w:style w:type="table" w:customStyle="1" w:styleId="TableGrid">
    <w:name w:val="TableGrid"/>
    <w:rsid w:val="0023003A"/>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C36F8D"/>
    <w:pPr>
      <w:tabs>
        <w:tab w:val="left" w:pos="1440"/>
        <w:tab w:val="right" w:leader="dot" w:pos="9350"/>
      </w:tabs>
      <w:spacing w:after="100"/>
      <w:ind w:left="720" w:hanging="720"/>
    </w:pPr>
  </w:style>
  <w:style w:type="paragraph" w:styleId="TOC2">
    <w:name w:val="toc 2"/>
    <w:basedOn w:val="Normal"/>
    <w:next w:val="Normal"/>
    <w:autoRedefine/>
    <w:uiPriority w:val="39"/>
    <w:unhideWhenUsed/>
    <w:rsid w:val="007E46C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C36F8D"/>
    <w:pPr>
      <w:tabs>
        <w:tab w:val="left" w:pos="1440"/>
        <w:tab w:val="right" w:leader="dot" w:pos="9350"/>
      </w:tabs>
      <w:spacing w:after="100" w:line="240" w:lineRule="auto"/>
      <w:ind w:left="2160" w:hanging="720"/>
    </w:pPr>
  </w:style>
  <w:style w:type="paragraph" w:styleId="TOC4">
    <w:name w:val="toc 4"/>
    <w:basedOn w:val="Normal"/>
    <w:next w:val="Normal"/>
    <w:autoRedefine/>
    <w:uiPriority w:val="39"/>
    <w:unhideWhenUsed/>
    <w:rsid w:val="007E46C2"/>
    <w:pPr>
      <w:spacing w:after="100"/>
      <w:ind w:left="780"/>
    </w:pPr>
  </w:style>
  <w:style w:type="character" w:styleId="CommentReference">
    <w:name w:val="annotation reference"/>
    <w:basedOn w:val="DefaultParagraphFont"/>
    <w:uiPriority w:val="99"/>
    <w:semiHidden/>
    <w:unhideWhenUsed/>
    <w:rsid w:val="00040027"/>
    <w:rPr>
      <w:sz w:val="16"/>
      <w:szCs w:val="16"/>
    </w:rPr>
  </w:style>
  <w:style w:type="paragraph" w:styleId="CommentText">
    <w:name w:val="annotation text"/>
    <w:basedOn w:val="Normal"/>
    <w:link w:val="CommentTextChar"/>
    <w:uiPriority w:val="99"/>
    <w:semiHidden/>
    <w:unhideWhenUsed/>
    <w:rsid w:val="00040027"/>
    <w:pPr>
      <w:spacing w:line="240" w:lineRule="auto"/>
    </w:pPr>
    <w:rPr>
      <w:sz w:val="20"/>
      <w:szCs w:val="20"/>
    </w:rPr>
  </w:style>
  <w:style w:type="character" w:customStyle="1" w:styleId="CommentTextChar">
    <w:name w:val="Comment Text Char"/>
    <w:basedOn w:val="DefaultParagraphFont"/>
    <w:link w:val="CommentText"/>
    <w:uiPriority w:val="99"/>
    <w:semiHidden/>
    <w:rsid w:val="00040027"/>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40027"/>
    <w:rPr>
      <w:b/>
      <w:bCs/>
    </w:rPr>
  </w:style>
  <w:style w:type="character" w:customStyle="1" w:styleId="CommentSubjectChar">
    <w:name w:val="Comment Subject Char"/>
    <w:basedOn w:val="CommentTextChar"/>
    <w:link w:val="CommentSubject"/>
    <w:uiPriority w:val="99"/>
    <w:semiHidden/>
    <w:rsid w:val="00040027"/>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56941">
      <w:bodyDiv w:val="1"/>
      <w:marLeft w:val="0"/>
      <w:marRight w:val="0"/>
      <w:marTop w:val="0"/>
      <w:marBottom w:val="0"/>
      <w:divBdr>
        <w:top w:val="none" w:sz="0" w:space="0" w:color="auto"/>
        <w:left w:val="none" w:sz="0" w:space="0" w:color="auto"/>
        <w:bottom w:val="none" w:sz="0" w:space="0" w:color="auto"/>
        <w:right w:val="none" w:sz="0" w:space="0" w:color="auto"/>
      </w:divBdr>
    </w:div>
    <w:div w:id="17702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4.emf"/><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7.emf"/><Relationship Id="rId30" Type="http://schemas.openxmlformats.org/officeDocument/2006/relationships/image" Target="media/image10.png"/><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www.dhs.pa.gov/Services/Assistance/Pages/LIHW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59A4-8E92-45E2-81E1-077A6D7F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110</Pages>
  <Words>26826</Words>
  <Characters>152910</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179378</CharactersWithSpaces>
  <SharedDoc>false</SharedDoc>
  <HLinks>
    <vt:vector size="12" baseType="variant">
      <vt:variant>
        <vt:i4>2555985</vt:i4>
      </vt:variant>
      <vt:variant>
        <vt:i4>0</vt:i4>
      </vt:variant>
      <vt:variant>
        <vt:i4>0</vt:i4>
      </vt:variant>
      <vt:variant>
        <vt:i4>5</vt:i4>
      </vt:variant>
      <vt:variant>
        <vt:lpwstr/>
      </vt:variant>
      <vt:variant>
        <vt:lpwstr>_bookmark58</vt:lpwstr>
      </vt:variant>
      <vt:variant>
        <vt:i4>1900626</vt:i4>
      </vt:variant>
      <vt:variant>
        <vt:i4>0</vt:i4>
      </vt:variant>
      <vt:variant>
        <vt:i4>0</vt:i4>
      </vt:variant>
      <vt:variant>
        <vt:i4>5</vt:i4>
      </vt:variant>
      <vt:variant>
        <vt:lpwstr>https://www.dhs.pa.gov/Services/Assistance/Pages/LIHWAP.aspx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Reitenbach, Dawn</dc:creator>
  <cp:keywords/>
  <dc:description/>
  <cp:lastModifiedBy>Sheffer, Ryan</cp:lastModifiedBy>
  <cp:revision>19</cp:revision>
  <dcterms:created xsi:type="dcterms:W3CDTF">2022-01-10T23:17:00Z</dcterms:created>
  <dcterms:modified xsi:type="dcterms:W3CDTF">2022-01-13T12:08:00Z</dcterms:modified>
</cp:coreProperties>
</file>