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D202" w14:textId="696ADDA9" w:rsidR="00EA4CB0" w:rsidRPr="001471C8" w:rsidRDefault="00EA4CB0" w:rsidP="00217B05">
      <w:pPr>
        <w:widowControl/>
        <w:suppressAutoHyphens/>
        <w:contextualSpacing/>
        <w:jc w:val="center"/>
        <w:rPr>
          <w:b/>
          <w:sz w:val="26"/>
          <w:szCs w:val="26"/>
        </w:rPr>
      </w:pPr>
      <w:r w:rsidRPr="001471C8">
        <w:rPr>
          <w:b/>
          <w:sz w:val="26"/>
          <w:szCs w:val="26"/>
        </w:rPr>
        <w:t>PENNSYLVANIA</w:t>
      </w:r>
    </w:p>
    <w:p w14:paraId="782D1E48" w14:textId="103CCE87" w:rsidR="00C209C3" w:rsidRPr="001471C8" w:rsidRDefault="00C209C3" w:rsidP="00217B05">
      <w:pPr>
        <w:widowControl/>
        <w:tabs>
          <w:tab w:val="center" w:pos="4680"/>
        </w:tabs>
        <w:suppressAutoHyphens/>
        <w:contextualSpacing/>
        <w:jc w:val="center"/>
        <w:rPr>
          <w:b/>
          <w:sz w:val="26"/>
          <w:szCs w:val="26"/>
        </w:rPr>
      </w:pPr>
      <w:r w:rsidRPr="001471C8">
        <w:rPr>
          <w:b/>
          <w:sz w:val="26"/>
          <w:szCs w:val="26"/>
        </w:rPr>
        <w:t>PUBLIC UTILITY COMMISSION</w:t>
      </w:r>
    </w:p>
    <w:p w14:paraId="75EFAD6F" w14:textId="33950810" w:rsidR="00C209C3" w:rsidRPr="001471C8" w:rsidRDefault="00C209C3" w:rsidP="00217B05">
      <w:pPr>
        <w:widowControl/>
        <w:tabs>
          <w:tab w:val="center" w:pos="4680"/>
        </w:tabs>
        <w:suppressAutoHyphens/>
        <w:contextualSpacing/>
        <w:jc w:val="center"/>
        <w:rPr>
          <w:b/>
          <w:sz w:val="26"/>
          <w:szCs w:val="26"/>
        </w:rPr>
      </w:pPr>
      <w:r w:rsidRPr="001471C8">
        <w:rPr>
          <w:b/>
          <w:sz w:val="26"/>
          <w:szCs w:val="26"/>
        </w:rPr>
        <w:t>Harrisburg, PA</w:t>
      </w:r>
      <w:r w:rsidR="004644AB" w:rsidRPr="001471C8">
        <w:rPr>
          <w:b/>
          <w:sz w:val="26"/>
          <w:szCs w:val="26"/>
        </w:rPr>
        <w:t xml:space="preserve"> </w:t>
      </w:r>
      <w:r w:rsidRPr="001471C8">
        <w:rPr>
          <w:b/>
          <w:sz w:val="26"/>
          <w:szCs w:val="26"/>
        </w:rPr>
        <w:t xml:space="preserve"> </w:t>
      </w:r>
      <w:r w:rsidR="008F7A1C" w:rsidRPr="001471C8">
        <w:rPr>
          <w:b/>
          <w:sz w:val="26"/>
          <w:szCs w:val="26"/>
        </w:rPr>
        <w:t>17120</w:t>
      </w:r>
    </w:p>
    <w:p w14:paraId="06DD7024" w14:textId="4A6C5B63" w:rsidR="00C209C3" w:rsidRPr="001471C8" w:rsidRDefault="00C209C3" w:rsidP="00217B05">
      <w:pPr>
        <w:widowControl/>
        <w:tabs>
          <w:tab w:val="left" w:pos="-720"/>
        </w:tabs>
        <w:suppressAutoHyphens/>
        <w:contextualSpacing/>
        <w:rPr>
          <w:sz w:val="26"/>
          <w:szCs w:val="26"/>
        </w:rPr>
      </w:pPr>
    </w:p>
    <w:p w14:paraId="39FACD57" w14:textId="77777777" w:rsidR="008A7F15" w:rsidRPr="001471C8" w:rsidRDefault="008A7F15" w:rsidP="00217B05">
      <w:pPr>
        <w:widowControl/>
        <w:tabs>
          <w:tab w:val="left" w:pos="-720"/>
        </w:tabs>
        <w:suppressAutoHyphens/>
        <w:contextualSpacing/>
        <w:rPr>
          <w:sz w:val="26"/>
          <w:szCs w:val="26"/>
        </w:rPr>
      </w:pPr>
    </w:p>
    <w:p w14:paraId="7823CF72" w14:textId="718D26A5" w:rsidR="00C209C3" w:rsidRPr="001471C8" w:rsidRDefault="00C209C3" w:rsidP="00217B05">
      <w:pPr>
        <w:widowControl/>
        <w:tabs>
          <w:tab w:val="right" w:pos="9360"/>
        </w:tabs>
        <w:suppressAutoHyphens/>
        <w:contextualSpacing/>
        <w:jc w:val="right"/>
        <w:rPr>
          <w:sz w:val="26"/>
          <w:szCs w:val="26"/>
        </w:rPr>
      </w:pPr>
      <w:r w:rsidRPr="001471C8">
        <w:rPr>
          <w:sz w:val="26"/>
          <w:szCs w:val="26"/>
        </w:rPr>
        <w:t xml:space="preserve">Public Meeting held </w:t>
      </w:r>
      <w:r w:rsidR="003E01A9">
        <w:rPr>
          <w:sz w:val="26"/>
          <w:szCs w:val="26"/>
        </w:rPr>
        <w:t>January 13, 2022</w:t>
      </w:r>
    </w:p>
    <w:p w14:paraId="10DA355D" w14:textId="567C5D96" w:rsidR="00C209C3" w:rsidRPr="001471C8" w:rsidRDefault="00C209C3" w:rsidP="00217B05">
      <w:pPr>
        <w:widowControl/>
        <w:tabs>
          <w:tab w:val="left" w:pos="-720"/>
        </w:tabs>
        <w:suppressAutoHyphens/>
        <w:contextualSpacing/>
        <w:rPr>
          <w:sz w:val="26"/>
          <w:szCs w:val="26"/>
        </w:rPr>
      </w:pPr>
    </w:p>
    <w:p w14:paraId="7C1F1ED4" w14:textId="77777777" w:rsidR="00022369" w:rsidRPr="001471C8" w:rsidRDefault="00022369" w:rsidP="00217B05">
      <w:pPr>
        <w:widowControl/>
        <w:tabs>
          <w:tab w:val="left" w:pos="-720"/>
        </w:tabs>
        <w:suppressAutoHyphens/>
        <w:contextualSpacing/>
        <w:rPr>
          <w:sz w:val="26"/>
          <w:szCs w:val="26"/>
        </w:rPr>
      </w:pPr>
    </w:p>
    <w:p w14:paraId="6BCAFE08" w14:textId="77777777" w:rsidR="00507D59" w:rsidRPr="001471C8" w:rsidRDefault="00507D59" w:rsidP="00217B05">
      <w:pPr>
        <w:widowControl/>
        <w:contextualSpacing/>
        <w:rPr>
          <w:sz w:val="26"/>
          <w:szCs w:val="26"/>
        </w:rPr>
      </w:pPr>
      <w:r w:rsidRPr="001471C8">
        <w:rPr>
          <w:sz w:val="26"/>
          <w:szCs w:val="26"/>
        </w:rPr>
        <w:t>Commissioners Present:</w:t>
      </w:r>
    </w:p>
    <w:p w14:paraId="65807BF4" w14:textId="77777777" w:rsidR="00507D59" w:rsidRPr="001471C8" w:rsidRDefault="00507D59" w:rsidP="00217B05">
      <w:pPr>
        <w:widowControl/>
        <w:contextualSpacing/>
        <w:rPr>
          <w:sz w:val="26"/>
          <w:szCs w:val="26"/>
        </w:rPr>
      </w:pPr>
    </w:p>
    <w:p w14:paraId="2777E793" w14:textId="557FFBE7" w:rsidR="00507D59" w:rsidRPr="001471C8" w:rsidRDefault="00507D59" w:rsidP="00217B05">
      <w:pPr>
        <w:widowControl/>
        <w:tabs>
          <w:tab w:val="left" w:pos="705"/>
        </w:tabs>
        <w:ind w:left="432"/>
        <w:contextualSpacing/>
        <w:rPr>
          <w:sz w:val="26"/>
          <w:szCs w:val="26"/>
        </w:rPr>
      </w:pPr>
      <w:r w:rsidRPr="001471C8">
        <w:rPr>
          <w:sz w:val="26"/>
          <w:szCs w:val="26"/>
        </w:rPr>
        <w:t>Gladys Brown</w:t>
      </w:r>
      <w:r w:rsidR="00891676" w:rsidRPr="001471C8">
        <w:rPr>
          <w:sz w:val="26"/>
          <w:szCs w:val="26"/>
        </w:rPr>
        <w:t xml:space="preserve"> </w:t>
      </w:r>
      <w:proofErr w:type="spellStart"/>
      <w:r w:rsidR="00891676" w:rsidRPr="001471C8">
        <w:rPr>
          <w:sz w:val="26"/>
          <w:szCs w:val="26"/>
        </w:rPr>
        <w:t>Dutrieuille</w:t>
      </w:r>
      <w:proofErr w:type="spellEnd"/>
      <w:r w:rsidRPr="001471C8">
        <w:rPr>
          <w:sz w:val="26"/>
          <w:szCs w:val="26"/>
        </w:rPr>
        <w:t>, Chairman</w:t>
      </w:r>
    </w:p>
    <w:p w14:paraId="611369BD" w14:textId="593B8B3F" w:rsidR="00507D59" w:rsidRPr="001471C8" w:rsidRDefault="00507D59" w:rsidP="00217B05">
      <w:pPr>
        <w:widowControl/>
        <w:tabs>
          <w:tab w:val="left" w:pos="705"/>
        </w:tabs>
        <w:ind w:left="432"/>
        <w:contextualSpacing/>
        <w:rPr>
          <w:sz w:val="26"/>
          <w:szCs w:val="26"/>
        </w:rPr>
      </w:pPr>
      <w:r w:rsidRPr="001471C8">
        <w:rPr>
          <w:sz w:val="26"/>
          <w:szCs w:val="26"/>
        </w:rPr>
        <w:t>John F. Coleman, Jr.</w:t>
      </w:r>
      <w:r w:rsidR="003E6F00" w:rsidRPr="001471C8">
        <w:rPr>
          <w:sz w:val="26"/>
          <w:szCs w:val="26"/>
        </w:rPr>
        <w:t>, Vice Chairman</w:t>
      </w:r>
    </w:p>
    <w:p w14:paraId="542043BC" w14:textId="7B87D068" w:rsidR="00C209C3" w:rsidRPr="001471C8" w:rsidRDefault="00915716" w:rsidP="00217B05">
      <w:pPr>
        <w:widowControl/>
        <w:tabs>
          <w:tab w:val="left" w:pos="705"/>
        </w:tabs>
        <w:ind w:left="432"/>
        <w:contextualSpacing/>
        <w:rPr>
          <w:sz w:val="26"/>
          <w:szCs w:val="26"/>
        </w:rPr>
      </w:pPr>
      <w:r w:rsidRPr="001471C8">
        <w:rPr>
          <w:sz w:val="26"/>
          <w:szCs w:val="26"/>
        </w:rPr>
        <w:t xml:space="preserve">Ralph V. </w:t>
      </w:r>
      <w:proofErr w:type="spellStart"/>
      <w:r w:rsidRPr="001471C8">
        <w:rPr>
          <w:sz w:val="26"/>
          <w:szCs w:val="26"/>
        </w:rPr>
        <w:t>Yanora</w:t>
      </w:r>
      <w:proofErr w:type="spellEnd"/>
    </w:p>
    <w:p w14:paraId="6CB14D7C" w14:textId="77777777" w:rsidR="009374E3" w:rsidRPr="001471C8" w:rsidRDefault="009374E3" w:rsidP="00217B05">
      <w:pPr>
        <w:widowControl/>
        <w:contextualSpacing/>
        <w:rPr>
          <w:sz w:val="26"/>
          <w:szCs w:val="26"/>
        </w:rPr>
      </w:pPr>
    </w:p>
    <w:p w14:paraId="463BCFFE" w14:textId="7B53ADDA" w:rsidR="00B07492" w:rsidRPr="001471C8" w:rsidRDefault="00B07492" w:rsidP="00217B05">
      <w:pPr>
        <w:widowControl/>
        <w:contextualSpacing/>
        <w:rPr>
          <w:bCs/>
          <w:sz w:val="26"/>
          <w:szCs w:val="26"/>
        </w:rPr>
      </w:pPr>
      <w:r w:rsidRPr="001471C8">
        <w:rPr>
          <w:bCs/>
          <w:sz w:val="26"/>
          <w:szCs w:val="26"/>
        </w:rPr>
        <w:t>The United Telephone Company of Pennsylvania LLC</w:t>
      </w:r>
      <w:r w:rsidRPr="001471C8">
        <w:rPr>
          <w:bCs/>
          <w:sz w:val="26"/>
          <w:szCs w:val="26"/>
        </w:rPr>
        <w:tab/>
      </w:r>
      <w:bookmarkStart w:id="0" w:name="_Hlk24977241"/>
      <w:r w:rsidR="00AC7CA4">
        <w:rPr>
          <w:bCs/>
          <w:sz w:val="26"/>
          <w:szCs w:val="26"/>
        </w:rPr>
        <w:tab/>
      </w:r>
      <w:r w:rsidR="00AC7CA4">
        <w:rPr>
          <w:bCs/>
          <w:sz w:val="26"/>
          <w:szCs w:val="26"/>
        </w:rPr>
        <w:tab/>
        <w:t xml:space="preserve">     </w:t>
      </w:r>
      <w:r w:rsidR="00AC7CA4" w:rsidRPr="001471C8">
        <w:rPr>
          <w:bCs/>
          <w:sz w:val="26"/>
          <w:szCs w:val="26"/>
        </w:rPr>
        <w:t>R-2018-3004019</w:t>
      </w:r>
      <w:bookmarkEnd w:id="0"/>
    </w:p>
    <w:p w14:paraId="7FA72F3E" w14:textId="0F51D43C" w:rsidR="00B07492" w:rsidRPr="001471C8" w:rsidRDefault="00B07492" w:rsidP="00217B05">
      <w:pPr>
        <w:widowControl/>
        <w:contextualSpacing/>
        <w:rPr>
          <w:bCs/>
          <w:sz w:val="26"/>
          <w:szCs w:val="26"/>
        </w:rPr>
      </w:pPr>
      <w:r w:rsidRPr="001471C8">
        <w:rPr>
          <w:bCs/>
          <w:sz w:val="26"/>
          <w:szCs w:val="26"/>
        </w:rPr>
        <w:t>d/b/a CenturyLink 2018 Annual Price Stability</w:t>
      </w:r>
    </w:p>
    <w:p w14:paraId="4BCC53E9" w14:textId="1A5A9410" w:rsidR="00B07492" w:rsidRPr="001471C8" w:rsidRDefault="00B07492" w:rsidP="00217B05">
      <w:pPr>
        <w:widowControl/>
        <w:contextualSpacing/>
        <w:rPr>
          <w:bCs/>
          <w:sz w:val="26"/>
          <w:szCs w:val="26"/>
        </w:rPr>
      </w:pPr>
      <w:r w:rsidRPr="001471C8">
        <w:rPr>
          <w:bCs/>
          <w:sz w:val="26"/>
          <w:szCs w:val="26"/>
        </w:rPr>
        <w:t>Index/Service Price Index Report Filing</w:t>
      </w:r>
    </w:p>
    <w:p w14:paraId="78BBEB2E" w14:textId="62E86726" w:rsidR="00B07492" w:rsidRPr="001471C8" w:rsidRDefault="00B07492" w:rsidP="00217B05">
      <w:pPr>
        <w:widowControl/>
        <w:contextualSpacing/>
        <w:rPr>
          <w:bCs/>
          <w:sz w:val="26"/>
          <w:szCs w:val="26"/>
        </w:rPr>
      </w:pPr>
    </w:p>
    <w:p w14:paraId="7D80A313" w14:textId="327F1223" w:rsidR="00011BD6" w:rsidRPr="001471C8" w:rsidRDefault="00011BD6" w:rsidP="00217B05">
      <w:pPr>
        <w:widowControl/>
        <w:contextualSpacing/>
        <w:rPr>
          <w:sz w:val="26"/>
          <w:szCs w:val="26"/>
        </w:rPr>
      </w:pPr>
      <w:r w:rsidRPr="001471C8">
        <w:rPr>
          <w:sz w:val="26"/>
          <w:szCs w:val="26"/>
        </w:rPr>
        <w:t>The United Telephone Company of Pennsylvania LLC</w:t>
      </w:r>
      <w:r w:rsidRPr="001471C8">
        <w:rPr>
          <w:sz w:val="26"/>
          <w:szCs w:val="26"/>
        </w:rPr>
        <w:tab/>
      </w:r>
      <w:r w:rsidR="00AC7CA4">
        <w:rPr>
          <w:sz w:val="26"/>
          <w:szCs w:val="26"/>
        </w:rPr>
        <w:tab/>
      </w:r>
      <w:r w:rsidR="00AC7CA4">
        <w:rPr>
          <w:sz w:val="26"/>
          <w:szCs w:val="26"/>
        </w:rPr>
        <w:tab/>
        <w:t xml:space="preserve">   </w:t>
      </w:r>
      <w:r w:rsidR="00AC7CA4" w:rsidRPr="001471C8">
        <w:rPr>
          <w:sz w:val="26"/>
          <w:szCs w:val="26"/>
        </w:rPr>
        <w:t>P-00981410F1000</w:t>
      </w:r>
    </w:p>
    <w:p w14:paraId="77AD8FA2" w14:textId="3A10EC15" w:rsidR="00011BD6" w:rsidRPr="001471C8" w:rsidRDefault="00011BD6" w:rsidP="00217B05">
      <w:pPr>
        <w:widowControl/>
        <w:contextualSpacing/>
        <w:rPr>
          <w:sz w:val="26"/>
          <w:szCs w:val="26"/>
        </w:rPr>
      </w:pPr>
      <w:r w:rsidRPr="001471C8">
        <w:rPr>
          <w:sz w:val="26"/>
          <w:szCs w:val="26"/>
        </w:rPr>
        <w:t xml:space="preserve"> d/b/a CenturyLink Amended Alternative Regulation</w:t>
      </w:r>
    </w:p>
    <w:p w14:paraId="479634B3" w14:textId="7B1D2E48" w:rsidR="00011BD6" w:rsidRPr="001471C8" w:rsidRDefault="00011BD6" w:rsidP="00217B05">
      <w:pPr>
        <w:widowControl/>
        <w:contextualSpacing/>
        <w:rPr>
          <w:bCs/>
          <w:sz w:val="26"/>
          <w:szCs w:val="26"/>
        </w:rPr>
      </w:pPr>
      <w:r w:rsidRPr="001471C8">
        <w:rPr>
          <w:sz w:val="26"/>
          <w:szCs w:val="26"/>
        </w:rPr>
        <w:t xml:space="preserve"> and Network Modernization Plan</w:t>
      </w:r>
    </w:p>
    <w:p w14:paraId="5C3A463C" w14:textId="0C7440D8" w:rsidR="00B07492" w:rsidRPr="001471C8" w:rsidRDefault="00B07492" w:rsidP="00217B05">
      <w:pPr>
        <w:widowControl/>
        <w:contextualSpacing/>
        <w:rPr>
          <w:bCs/>
          <w:sz w:val="26"/>
          <w:szCs w:val="26"/>
        </w:rPr>
      </w:pPr>
    </w:p>
    <w:p w14:paraId="42A555D2" w14:textId="558BFBEF" w:rsidR="00B07492" w:rsidRDefault="00B07492" w:rsidP="00217B05">
      <w:pPr>
        <w:widowControl/>
        <w:contextualSpacing/>
        <w:rPr>
          <w:bCs/>
          <w:sz w:val="26"/>
          <w:szCs w:val="26"/>
        </w:rPr>
      </w:pPr>
      <w:r w:rsidRPr="001471C8">
        <w:rPr>
          <w:bCs/>
          <w:sz w:val="26"/>
          <w:szCs w:val="26"/>
        </w:rPr>
        <w:t xml:space="preserve">Office of Consumer Advocate </w:t>
      </w:r>
      <w:r w:rsidRPr="001471C8">
        <w:rPr>
          <w:bCs/>
          <w:sz w:val="26"/>
          <w:szCs w:val="26"/>
        </w:rPr>
        <w:tab/>
      </w:r>
      <w:r w:rsidRPr="001471C8">
        <w:rPr>
          <w:bCs/>
          <w:sz w:val="26"/>
          <w:szCs w:val="26"/>
        </w:rPr>
        <w:tab/>
      </w:r>
      <w:r w:rsidRPr="001471C8">
        <w:rPr>
          <w:bCs/>
          <w:sz w:val="26"/>
          <w:szCs w:val="26"/>
        </w:rPr>
        <w:tab/>
      </w:r>
      <w:r w:rsidRPr="001471C8">
        <w:rPr>
          <w:bCs/>
          <w:sz w:val="26"/>
          <w:szCs w:val="26"/>
        </w:rPr>
        <w:tab/>
      </w:r>
      <w:r w:rsidR="00011BD6" w:rsidRPr="001471C8">
        <w:rPr>
          <w:bCs/>
          <w:sz w:val="26"/>
          <w:szCs w:val="26"/>
        </w:rPr>
        <w:tab/>
      </w:r>
      <w:r w:rsidR="00B64C1E">
        <w:rPr>
          <w:bCs/>
          <w:sz w:val="26"/>
          <w:szCs w:val="26"/>
        </w:rPr>
        <w:tab/>
      </w:r>
      <w:r w:rsidR="00AC7CA4">
        <w:rPr>
          <w:bCs/>
          <w:sz w:val="26"/>
          <w:szCs w:val="26"/>
        </w:rPr>
        <w:t xml:space="preserve">     </w:t>
      </w:r>
      <w:r w:rsidR="00011BD6" w:rsidRPr="001471C8">
        <w:rPr>
          <w:bCs/>
          <w:sz w:val="26"/>
          <w:szCs w:val="26"/>
        </w:rPr>
        <w:t>C-2018-3005400</w:t>
      </w:r>
    </w:p>
    <w:p w14:paraId="764CF3BC" w14:textId="77777777" w:rsidR="00AC7CA4" w:rsidRPr="001471C8" w:rsidRDefault="00AC7CA4" w:rsidP="00217B05">
      <w:pPr>
        <w:widowControl/>
        <w:contextualSpacing/>
        <w:rPr>
          <w:bCs/>
          <w:sz w:val="26"/>
          <w:szCs w:val="26"/>
        </w:rPr>
      </w:pPr>
    </w:p>
    <w:p w14:paraId="5D07E93C" w14:textId="7DEC42F0" w:rsidR="00B07492" w:rsidRPr="001471C8" w:rsidRDefault="00B07492" w:rsidP="00217B05">
      <w:pPr>
        <w:widowControl/>
        <w:contextualSpacing/>
        <w:rPr>
          <w:bCs/>
          <w:sz w:val="26"/>
          <w:szCs w:val="26"/>
        </w:rPr>
      </w:pPr>
      <w:r w:rsidRPr="001471C8">
        <w:rPr>
          <w:bCs/>
          <w:sz w:val="26"/>
          <w:szCs w:val="26"/>
        </w:rPr>
        <w:tab/>
        <w:t>v.</w:t>
      </w:r>
    </w:p>
    <w:p w14:paraId="146BE774" w14:textId="77777777" w:rsidR="00AC7CA4" w:rsidRDefault="00AC7CA4" w:rsidP="00217B05">
      <w:pPr>
        <w:widowControl/>
        <w:contextualSpacing/>
        <w:rPr>
          <w:bCs/>
          <w:sz w:val="26"/>
          <w:szCs w:val="26"/>
        </w:rPr>
      </w:pPr>
    </w:p>
    <w:p w14:paraId="6DDC7579" w14:textId="012F736E" w:rsidR="00B07492" w:rsidRPr="001471C8" w:rsidRDefault="00B07492" w:rsidP="00217B05">
      <w:pPr>
        <w:widowControl/>
        <w:contextualSpacing/>
        <w:rPr>
          <w:bCs/>
          <w:sz w:val="26"/>
          <w:szCs w:val="26"/>
        </w:rPr>
      </w:pPr>
      <w:r w:rsidRPr="001471C8">
        <w:rPr>
          <w:bCs/>
          <w:sz w:val="26"/>
          <w:szCs w:val="26"/>
        </w:rPr>
        <w:t>The United Telephone Company of Pennsylvania LLC</w:t>
      </w:r>
      <w:r w:rsidRPr="001471C8">
        <w:rPr>
          <w:bCs/>
          <w:sz w:val="26"/>
          <w:szCs w:val="26"/>
        </w:rPr>
        <w:tab/>
      </w:r>
    </w:p>
    <w:p w14:paraId="3D9394B3" w14:textId="41117395" w:rsidR="00B07492" w:rsidRPr="001471C8" w:rsidRDefault="00B07492" w:rsidP="00217B05">
      <w:pPr>
        <w:widowControl/>
        <w:contextualSpacing/>
        <w:rPr>
          <w:bCs/>
          <w:sz w:val="26"/>
          <w:szCs w:val="26"/>
        </w:rPr>
      </w:pPr>
      <w:r w:rsidRPr="001471C8">
        <w:rPr>
          <w:bCs/>
          <w:sz w:val="26"/>
          <w:szCs w:val="26"/>
        </w:rPr>
        <w:t>d/b/a CenturyLink</w:t>
      </w:r>
    </w:p>
    <w:p w14:paraId="2856D00D" w14:textId="2B1980F0" w:rsidR="00B07492" w:rsidRPr="001471C8" w:rsidRDefault="00B07492" w:rsidP="00217B05">
      <w:pPr>
        <w:widowControl/>
        <w:contextualSpacing/>
        <w:rPr>
          <w:bCs/>
          <w:sz w:val="26"/>
          <w:szCs w:val="26"/>
        </w:rPr>
      </w:pPr>
    </w:p>
    <w:p w14:paraId="7A170C2D" w14:textId="77777777" w:rsidR="00AC7CA4" w:rsidRDefault="00AC7CA4" w:rsidP="00217B05">
      <w:pPr>
        <w:widowControl/>
        <w:contextualSpacing/>
        <w:rPr>
          <w:bCs/>
          <w:sz w:val="26"/>
          <w:szCs w:val="26"/>
        </w:rPr>
      </w:pPr>
    </w:p>
    <w:p w14:paraId="2578445D" w14:textId="40EFAB81" w:rsidR="00B07492" w:rsidRPr="001471C8" w:rsidRDefault="00B07492" w:rsidP="00217B05">
      <w:pPr>
        <w:widowControl/>
        <w:contextualSpacing/>
        <w:rPr>
          <w:bCs/>
          <w:sz w:val="26"/>
          <w:szCs w:val="26"/>
        </w:rPr>
      </w:pPr>
      <w:r w:rsidRPr="001471C8">
        <w:rPr>
          <w:bCs/>
          <w:sz w:val="26"/>
          <w:szCs w:val="26"/>
        </w:rPr>
        <w:t>The United Telephone Company of Pennsylvania LLC</w:t>
      </w:r>
      <w:r w:rsidRPr="001471C8">
        <w:rPr>
          <w:bCs/>
          <w:sz w:val="26"/>
          <w:szCs w:val="26"/>
        </w:rPr>
        <w:tab/>
      </w:r>
      <w:bookmarkStart w:id="1" w:name="_Hlk24977267"/>
      <w:r w:rsidR="00AC7CA4">
        <w:rPr>
          <w:bCs/>
          <w:sz w:val="26"/>
          <w:szCs w:val="26"/>
        </w:rPr>
        <w:tab/>
      </w:r>
      <w:r w:rsidR="00AC7CA4">
        <w:rPr>
          <w:bCs/>
          <w:sz w:val="26"/>
          <w:szCs w:val="26"/>
        </w:rPr>
        <w:tab/>
        <w:t xml:space="preserve">     </w:t>
      </w:r>
      <w:r w:rsidR="00AC7CA4" w:rsidRPr="001471C8">
        <w:rPr>
          <w:bCs/>
          <w:sz w:val="26"/>
          <w:szCs w:val="26"/>
        </w:rPr>
        <w:t>R-2019-3012238</w:t>
      </w:r>
      <w:bookmarkEnd w:id="1"/>
    </w:p>
    <w:p w14:paraId="11E35BC2" w14:textId="50408F08" w:rsidR="00B07492" w:rsidRPr="001471C8" w:rsidRDefault="00B07492" w:rsidP="00217B05">
      <w:pPr>
        <w:widowControl/>
        <w:contextualSpacing/>
        <w:rPr>
          <w:bCs/>
          <w:sz w:val="26"/>
          <w:szCs w:val="26"/>
        </w:rPr>
      </w:pPr>
      <w:r w:rsidRPr="001471C8">
        <w:rPr>
          <w:bCs/>
          <w:sz w:val="26"/>
          <w:szCs w:val="26"/>
        </w:rPr>
        <w:t>d/b/a CenturyLink 2019 Annual Price Stability</w:t>
      </w:r>
    </w:p>
    <w:p w14:paraId="5A43EF40" w14:textId="61D91253" w:rsidR="00B07492" w:rsidRPr="001471C8" w:rsidRDefault="00B07492" w:rsidP="00217B05">
      <w:pPr>
        <w:widowControl/>
        <w:contextualSpacing/>
        <w:rPr>
          <w:bCs/>
          <w:sz w:val="26"/>
          <w:szCs w:val="26"/>
        </w:rPr>
      </w:pPr>
      <w:r w:rsidRPr="001471C8">
        <w:rPr>
          <w:bCs/>
          <w:sz w:val="26"/>
          <w:szCs w:val="26"/>
        </w:rPr>
        <w:t>Index/Service Price Index Report Filing</w:t>
      </w:r>
    </w:p>
    <w:p w14:paraId="21E61414" w14:textId="08C9FDFE" w:rsidR="00B07492" w:rsidRPr="001471C8" w:rsidRDefault="00B07492" w:rsidP="00217B05">
      <w:pPr>
        <w:widowControl/>
        <w:contextualSpacing/>
        <w:rPr>
          <w:bCs/>
          <w:sz w:val="26"/>
          <w:szCs w:val="26"/>
        </w:rPr>
      </w:pPr>
    </w:p>
    <w:p w14:paraId="129CFB8A" w14:textId="46947CAF" w:rsidR="00B07492" w:rsidRDefault="00B07492" w:rsidP="00217B05">
      <w:pPr>
        <w:widowControl/>
        <w:contextualSpacing/>
        <w:rPr>
          <w:bCs/>
          <w:sz w:val="26"/>
          <w:szCs w:val="26"/>
        </w:rPr>
      </w:pPr>
      <w:r w:rsidRPr="001471C8">
        <w:rPr>
          <w:bCs/>
          <w:sz w:val="26"/>
          <w:szCs w:val="26"/>
        </w:rPr>
        <w:t>Office of Consumer Advocate</w:t>
      </w:r>
      <w:r w:rsidRPr="001471C8">
        <w:rPr>
          <w:bCs/>
          <w:sz w:val="26"/>
          <w:szCs w:val="26"/>
        </w:rPr>
        <w:tab/>
      </w:r>
      <w:r w:rsidRPr="001471C8">
        <w:rPr>
          <w:bCs/>
          <w:sz w:val="26"/>
          <w:szCs w:val="26"/>
        </w:rPr>
        <w:tab/>
      </w:r>
      <w:r w:rsidRPr="001471C8">
        <w:rPr>
          <w:bCs/>
          <w:sz w:val="26"/>
          <w:szCs w:val="26"/>
        </w:rPr>
        <w:tab/>
      </w:r>
      <w:r w:rsidRPr="001471C8">
        <w:rPr>
          <w:bCs/>
          <w:sz w:val="26"/>
          <w:szCs w:val="26"/>
        </w:rPr>
        <w:tab/>
      </w:r>
      <w:r w:rsidR="00011BD6" w:rsidRPr="001471C8">
        <w:rPr>
          <w:bCs/>
          <w:sz w:val="26"/>
          <w:szCs w:val="26"/>
        </w:rPr>
        <w:tab/>
      </w:r>
      <w:r w:rsidR="00B64C1E">
        <w:rPr>
          <w:bCs/>
          <w:sz w:val="26"/>
          <w:szCs w:val="26"/>
        </w:rPr>
        <w:tab/>
      </w:r>
      <w:r w:rsidR="00AC7CA4">
        <w:rPr>
          <w:bCs/>
          <w:sz w:val="26"/>
          <w:szCs w:val="26"/>
        </w:rPr>
        <w:t xml:space="preserve">     </w:t>
      </w:r>
      <w:r w:rsidR="00011BD6" w:rsidRPr="001471C8">
        <w:rPr>
          <w:bCs/>
          <w:sz w:val="26"/>
          <w:szCs w:val="26"/>
        </w:rPr>
        <w:t>C-2019-3012876</w:t>
      </w:r>
    </w:p>
    <w:p w14:paraId="49801AC4" w14:textId="77777777" w:rsidR="00AC7CA4" w:rsidRPr="001471C8" w:rsidRDefault="00AC7CA4" w:rsidP="00217B05">
      <w:pPr>
        <w:widowControl/>
        <w:contextualSpacing/>
        <w:rPr>
          <w:bCs/>
          <w:sz w:val="26"/>
          <w:szCs w:val="26"/>
        </w:rPr>
      </w:pPr>
    </w:p>
    <w:p w14:paraId="3499070F" w14:textId="2E084D91" w:rsidR="00B07492" w:rsidRDefault="00B07492" w:rsidP="00217B05">
      <w:pPr>
        <w:widowControl/>
        <w:contextualSpacing/>
        <w:rPr>
          <w:bCs/>
          <w:sz w:val="26"/>
          <w:szCs w:val="26"/>
        </w:rPr>
      </w:pPr>
      <w:r w:rsidRPr="001471C8">
        <w:rPr>
          <w:bCs/>
          <w:sz w:val="26"/>
          <w:szCs w:val="26"/>
        </w:rPr>
        <w:tab/>
        <w:t>v.</w:t>
      </w:r>
    </w:p>
    <w:p w14:paraId="0F947325" w14:textId="77777777" w:rsidR="00AC7CA4" w:rsidRPr="001471C8" w:rsidRDefault="00AC7CA4" w:rsidP="00217B05">
      <w:pPr>
        <w:widowControl/>
        <w:contextualSpacing/>
        <w:rPr>
          <w:bCs/>
          <w:sz w:val="26"/>
          <w:szCs w:val="26"/>
        </w:rPr>
      </w:pPr>
    </w:p>
    <w:p w14:paraId="28B6096F" w14:textId="469C8400" w:rsidR="00B07492" w:rsidRPr="001471C8" w:rsidRDefault="00B07492" w:rsidP="00217B05">
      <w:pPr>
        <w:widowControl/>
        <w:contextualSpacing/>
        <w:rPr>
          <w:bCs/>
          <w:sz w:val="26"/>
          <w:szCs w:val="26"/>
        </w:rPr>
      </w:pPr>
      <w:r w:rsidRPr="001471C8">
        <w:rPr>
          <w:bCs/>
          <w:sz w:val="26"/>
          <w:szCs w:val="26"/>
        </w:rPr>
        <w:t>The United Telephone Company of Pennsylvania LLC</w:t>
      </w:r>
      <w:r w:rsidRPr="001471C8">
        <w:rPr>
          <w:bCs/>
          <w:sz w:val="26"/>
          <w:szCs w:val="26"/>
        </w:rPr>
        <w:tab/>
      </w:r>
    </w:p>
    <w:p w14:paraId="6A94A4FD" w14:textId="071182BA" w:rsidR="00B07492" w:rsidRPr="001471C8" w:rsidRDefault="00B07492" w:rsidP="00217B05">
      <w:pPr>
        <w:widowControl/>
        <w:contextualSpacing/>
        <w:rPr>
          <w:bCs/>
          <w:sz w:val="26"/>
          <w:szCs w:val="26"/>
        </w:rPr>
      </w:pPr>
      <w:r w:rsidRPr="001471C8">
        <w:rPr>
          <w:bCs/>
          <w:sz w:val="26"/>
          <w:szCs w:val="26"/>
        </w:rPr>
        <w:t>d/b/a CenturyLink</w:t>
      </w:r>
    </w:p>
    <w:p w14:paraId="52922C81" w14:textId="77777777" w:rsidR="00DC6D3A" w:rsidRPr="001471C8" w:rsidRDefault="00DC6D3A" w:rsidP="00217B05">
      <w:pPr>
        <w:widowControl/>
        <w:contextualSpacing/>
        <w:rPr>
          <w:sz w:val="26"/>
          <w:szCs w:val="26"/>
        </w:rPr>
      </w:pPr>
    </w:p>
    <w:p w14:paraId="50296A59" w14:textId="77777777" w:rsidR="008517DC" w:rsidRPr="001471C8" w:rsidRDefault="008517DC" w:rsidP="00217B05">
      <w:pPr>
        <w:widowControl/>
        <w:contextualSpacing/>
        <w:rPr>
          <w:sz w:val="26"/>
          <w:szCs w:val="26"/>
        </w:rPr>
      </w:pPr>
    </w:p>
    <w:p w14:paraId="5FE1A7E7" w14:textId="77777777" w:rsidR="00DC6D3A" w:rsidRPr="001471C8" w:rsidRDefault="00DC6D3A" w:rsidP="00AC7CA4">
      <w:pPr>
        <w:widowControl/>
        <w:contextualSpacing/>
        <w:jc w:val="center"/>
        <w:rPr>
          <w:b/>
          <w:sz w:val="26"/>
          <w:szCs w:val="26"/>
        </w:rPr>
      </w:pPr>
      <w:r w:rsidRPr="001471C8">
        <w:rPr>
          <w:b/>
          <w:sz w:val="26"/>
          <w:szCs w:val="26"/>
        </w:rPr>
        <w:t xml:space="preserve">OPINION </w:t>
      </w:r>
      <w:smartTag w:uri="urn:schemas-microsoft-com:office:smarttags" w:element="stockticker">
        <w:r w:rsidRPr="001471C8">
          <w:rPr>
            <w:b/>
            <w:sz w:val="26"/>
            <w:szCs w:val="26"/>
          </w:rPr>
          <w:t>AND</w:t>
        </w:r>
      </w:smartTag>
      <w:r w:rsidRPr="001471C8">
        <w:rPr>
          <w:b/>
          <w:sz w:val="26"/>
          <w:szCs w:val="26"/>
        </w:rPr>
        <w:t xml:space="preserve"> ORDER</w:t>
      </w:r>
    </w:p>
    <w:p w14:paraId="38367559" w14:textId="77777777" w:rsidR="00811998" w:rsidRPr="001471C8" w:rsidRDefault="00811998" w:rsidP="00217B05">
      <w:pPr>
        <w:widowControl/>
        <w:spacing w:line="360" w:lineRule="auto"/>
        <w:contextualSpacing/>
        <w:jc w:val="center"/>
        <w:rPr>
          <w:bCs/>
          <w:sz w:val="26"/>
          <w:szCs w:val="26"/>
        </w:rPr>
        <w:sectPr w:rsidR="00811998" w:rsidRPr="001471C8" w:rsidSect="007F3C90">
          <w:footerReference w:type="default" r:id="rId11"/>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color w:val="auto"/>
          <w:sz w:val="26"/>
          <w:szCs w:val="26"/>
        </w:rPr>
        <w:id w:val="-545214928"/>
        <w:docPartObj>
          <w:docPartGallery w:val="Table of Contents"/>
          <w:docPartUnique/>
        </w:docPartObj>
      </w:sdtPr>
      <w:sdtEndPr>
        <w:rPr>
          <w:noProof/>
        </w:rPr>
      </w:sdtEndPr>
      <w:sdtContent>
        <w:p w14:paraId="468B5F85" w14:textId="0F028BFC" w:rsidR="00444CAD" w:rsidRPr="00FC16C5" w:rsidRDefault="00444CAD" w:rsidP="00217B05">
          <w:pPr>
            <w:pStyle w:val="TOCHeading"/>
            <w:contextualSpacing/>
            <w:jc w:val="center"/>
            <w:rPr>
              <w:rFonts w:ascii="Times New Roman" w:hAnsi="Times New Roman" w:cs="Times New Roman"/>
              <w:color w:val="auto"/>
              <w:sz w:val="26"/>
              <w:szCs w:val="26"/>
            </w:rPr>
          </w:pPr>
          <w:r w:rsidRPr="00FC16C5">
            <w:rPr>
              <w:rFonts w:ascii="Times New Roman" w:hAnsi="Times New Roman" w:cs="Times New Roman"/>
              <w:color w:val="auto"/>
              <w:sz w:val="26"/>
              <w:szCs w:val="26"/>
            </w:rPr>
            <w:t>Table of Contents</w:t>
          </w:r>
        </w:p>
        <w:p w14:paraId="4AD55943" w14:textId="1B8B6001" w:rsidR="00444CAD" w:rsidRPr="00FC16C5" w:rsidRDefault="00444CAD" w:rsidP="004A6737">
          <w:pPr>
            <w:pStyle w:val="TOC1"/>
            <w:widowControl/>
            <w:spacing w:after="120"/>
            <w:contextualSpacing w:val="0"/>
            <w:rPr>
              <w:rFonts w:eastAsiaTheme="minorEastAsia"/>
              <w:noProof/>
              <w:sz w:val="26"/>
              <w:szCs w:val="26"/>
            </w:rPr>
          </w:pPr>
          <w:r w:rsidRPr="00FC16C5">
            <w:rPr>
              <w:sz w:val="26"/>
              <w:szCs w:val="26"/>
            </w:rPr>
            <w:fldChar w:fldCharType="begin"/>
          </w:r>
          <w:r w:rsidRPr="00FC16C5">
            <w:rPr>
              <w:sz w:val="26"/>
              <w:szCs w:val="26"/>
            </w:rPr>
            <w:instrText xml:space="preserve"> TOC \o "1-3" \h \z \u </w:instrText>
          </w:r>
          <w:r w:rsidRPr="00FC16C5">
            <w:rPr>
              <w:sz w:val="26"/>
              <w:szCs w:val="26"/>
            </w:rPr>
            <w:fldChar w:fldCharType="separate"/>
          </w:r>
          <w:hyperlink w:anchor="_Toc91762301" w:history="1">
            <w:r w:rsidRPr="00FC16C5">
              <w:rPr>
                <w:rStyle w:val="Hyperlink"/>
                <w:noProof/>
                <w:sz w:val="26"/>
                <w:szCs w:val="26"/>
              </w:rPr>
              <w:t>I.</w:t>
            </w:r>
            <w:r w:rsidRPr="00FC16C5">
              <w:rPr>
                <w:rFonts w:eastAsiaTheme="minorEastAsia"/>
                <w:noProof/>
                <w:sz w:val="26"/>
                <w:szCs w:val="26"/>
              </w:rPr>
              <w:tab/>
            </w:r>
            <w:r w:rsidRPr="00FC16C5">
              <w:rPr>
                <w:rStyle w:val="Hyperlink"/>
                <w:noProof/>
                <w:sz w:val="26"/>
                <w:szCs w:val="26"/>
              </w:rPr>
              <w:t>Background</w:t>
            </w:r>
            <w:r w:rsidRPr="00FC16C5">
              <w:rPr>
                <w:noProof/>
                <w:webHidden/>
                <w:sz w:val="26"/>
                <w:szCs w:val="26"/>
              </w:rPr>
              <w:tab/>
            </w:r>
            <w:r w:rsidRPr="00FC16C5">
              <w:rPr>
                <w:noProof/>
                <w:webHidden/>
                <w:sz w:val="26"/>
                <w:szCs w:val="26"/>
              </w:rPr>
              <w:fldChar w:fldCharType="begin"/>
            </w:r>
            <w:r w:rsidRPr="00FC16C5">
              <w:rPr>
                <w:noProof/>
                <w:webHidden/>
                <w:sz w:val="26"/>
                <w:szCs w:val="26"/>
              </w:rPr>
              <w:instrText xml:space="preserve"> PAGEREF _Toc91762301 \h </w:instrText>
            </w:r>
            <w:r w:rsidRPr="00FC16C5">
              <w:rPr>
                <w:noProof/>
                <w:webHidden/>
                <w:sz w:val="26"/>
                <w:szCs w:val="26"/>
              </w:rPr>
            </w:r>
            <w:r w:rsidRPr="00FC16C5">
              <w:rPr>
                <w:noProof/>
                <w:webHidden/>
                <w:sz w:val="26"/>
                <w:szCs w:val="26"/>
              </w:rPr>
              <w:fldChar w:fldCharType="separate"/>
            </w:r>
            <w:r w:rsidR="000D094A">
              <w:rPr>
                <w:noProof/>
                <w:webHidden/>
                <w:sz w:val="26"/>
                <w:szCs w:val="26"/>
              </w:rPr>
              <w:t>1</w:t>
            </w:r>
            <w:r w:rsidRPr="00FC16C5">
              <w:rPr>
                <w:noProof/>
                <w:webHidden/>
                <w:sz w:val="26"/>
                <w:szCs w:val="26"/>
              </w:rPr>
              <w:fldChar w:fldCharType="end"/>
            </w:r>
          </w:hyperlink>
        </w:p>
        <w:p w14:paraId="75CE349B" w14:textId="19F9C1FF" w:rsidR="00444CAD" w:rsidRPr="00FC16C5" w:rsidRDefault="005C08C2" w:rsidP="004A6737">
          <w:pPr>
            <w:pStyle w:val="TOC1"/>
            <w:widowControl/>
            <w:spacing w:after="120"/>
            <w:contextualSpacing w:val="0"/>
            <w:rPr>
              <w:rFonts w:eastAsiaTheme="minorEastAsia"/>
              <w:noProof/>
              <w:sz w:val="26"/>
              <w:szCs w:val="26"/>
            </w:rPr>
          </w:pPr>
          <w:hyperlink w:anchor="_Toc91762302" w:history="1">
            <w:r w:rsidR="00444CAD" w:rsidRPr="00FC16C5">
              <w:rPr>
                <w:rStyle w:val="Hyperlink"/>
                <w:noProof/>
                <w:sz w:val="26"/>
                <w:szCs w:val="26"/>
              </w:rPr>
              <w:t>II.</w:t>
            </w:r>
            <w:r w:rsidR="00444CAD" w:rsidRPr="00FC16C5">
              <w:rPr>
                <w:rFonts w:eastAsiaTheme="minorEastAsia"/>
                <w:noProof/>
                <w:sz w:val="26"/>
                <w:szCs w:val="26"/>
              </w:rPr>
              <w:tab/>
            </w:r>
            <w:r w:rsidR="00444CAD" w:rsidRPr="00FC16C5">
              <w:rPr>
                <w:rStyle w:val="Hyperlink"/>
                <w:noProof/>
                <w:sz w:val="26"/>
                <w:szCs w:val="26"/>
              </w:rPr>
              <w:t>History of the Proceeding</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_Toc91762302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5</w:t>
            </w:r>
            <w:r w:rsidR="00444CAD" w:rsidRPr="00FC16C5">
              <w:rPr>
                <w:noProof/>
                <w:webHidden/>
                <w:sz w:val="26"/>
                <w:szCs w:val="26"/>
              </w:rPr>
              <w:fldChar w:fldCharType="end"/>
            </w:r>
          </w:hyperlink>
        </w:p>
        <w:p w14:paraId="02C51347" w14:textId="3DE4720D" w:rsidR="00444CAD" w:rsidRPr="00FC16C5" w:rsidRDefault="005C08C2" w:rsidP="004A6737">
          <w:pPr>
            <w:pStyle w:val="TOC1"/>
            <w:widowControl/>
            <w:spacing w:after="120"/>
            <w:contextualSpacing w:val="0"/>
            <w:rPr>
              <w:rFonts w:eastAsiaTheme="minorEastAsia"/>
              <w:noProof/>
              <w:sz w:val="26"/>
              <w:szCs w:val="26"/>
            </w:rPr>
          </w:pPr>
          <w:hyperlink w:anchor="_Toc91762303" w:history="1">
            <w:r w:rsidR="00444CAD" w:rsidRPr="00FC16C5">
              <w:rPr>
                <w:rStyle w:val="Hyperlink"/>
                <w:noProof/>
                <w:sz w:val="26"/>
                <w:szCs w:val="26"/>
              </w:rPr>
              <w:t>III.</w:t>
            </w:r>
            <w:r w:rsidR="00444CAD" w:rsidRPr="00FC16C5">
              <w:rPr>
                <w:rFonts w:eastAsiaTheme="minorEastAsia"/>
                <w:noProof/>
                <w:sz w:val="26"/>
                <w:szCs w:val="26"/>
              </w:rPr>
              <w:tab/>
            </w:r>
            <w:r w:rsidR="00444CAD" w:rsidRPr="00FC16C5">
              <w:rPr>
                <w:rStyle w:val="Hyperlink"/>
                <w:noProof/>
                <w:sz w:val="26"/>
                <w:szCs w:val="26"/>
              </w:rPr>
              <w:t>Discussion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_Toc91762303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11</w:t>
            </w:r>
            <w:r w:rsidR="00444CAD" w:rsidRPr="00FC16C5">
              <w:rPr>
                <w:noProof/>
                <w:webHidden/>
                <w:sz w:val="26"/>
                <w:szCs w:val="26"/>
              </w:rPr>
              <w:fldChar w:fldCharType="end"/>
            </w:r>
          </w:hyperlink>
        </w:p>
        <w:p w14:paraId="5D812CBC" w14:textId="6E8C16FC" w:rsidR="00444CAD" w:rsidRPr="00FC16C5" w:rsidRDefault="005C08C2" w:rsidP="004A6737">
          <w:pPr>
            <w:pStyle w:val="TOC2"/>
            <w:widowControl/>
            <w:spacing w:after="120"/>
            <w:contextualSpacing w:val="0"/>
            <w:rPr>
              <w:rFonts w:eastAsiaTheme="minorEastAsia"/>
              <w:noProof/>
              <w:sz w:val="26"/>
              <w:szCs w:val="26"/>
            </w:rPr>
          </w:pPr>
          <w:hyperlink w:anchor="_Toc91762304" w:history="1">
            <w:r w:rsidR="00444CAD" w:rsidRPr="00FC16C5">
              <w:rPr>
                <w:rStyle w:val="Hyperlink"/>
                <w:noProof/>
                <w:sz w:val="26"/>
                <w:szCs w:val="26"/>
              </w:rPr>
              <w:t>A.</w:t>
            </w:r>
            <w:r w:rsidR="00444CAD" w:rsidRPr="00FC16C5">
              <w:rPr>
                <w:rFonts w:eastAsiaTheme="minorEastAsia"/>
                <w:noProof/>
                <w:sz w:val="26"/>
                <w:szCs w:val="26"/>
              </w:rPr>
              <w:tab/>
            </w:r>
            <w:r w:rsidR="00444CAD" w:rsidRPr="00FC16C5">
              <w:rPr>
                <w:rStyle w:val="Hyperlink"/>
                <w:noProof/>
                <w:sz w:val="26"/>
                <w:szCs w:val="26"/>
              </w:rPr>
              <w:t>Joint Petition for Settlement</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_Toc91762304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12</w:t>
            </w:r>
            <w:r w:rsidR="00444CAD" w:rsidRPr="00FC16C5">
              <w:rPr>
                <w:noProof/>
                <w:webHidden/>
                <w:sz w:val="26"/>
                <w:szCs w:val="26"/>
              </w:rPr>
              <w:fldChar w:fldCharType="end"/>
            </w:r>
          </w:hyperlink>
        </w:p>
        <w:p w14:paraId="3F9E0D01" w14:textId="43D29013" w:rsidR="00444CAD" w:rsidRPr="00FC16C5" w:rsidRDefault="005C08C2" w:rsidP="004A6737">
          <w:pPr>
            <w:pStyle w:val="TOC3"/>
            <w:spacing w:after="120"/>
            <w:contextualSpacing w:val="0"/>
            <w:rPr>
              <w:rFonts w:eastAsiaTheme="minorEastAsia"/>
              <w:noProof/>
              <w:sz w:val="26"/>
              <w:szCs w:val="26"/>
            </w:rPr>
          </w:pPr>
          <w:hyperlink w:anchor="_Toc91762305" w:history="1">
            <w:r w:rsidR="00444CAD" w:rsidRPr="00FC16C5">
              <w:rPr>
                <w:rStyle w:val="Hyperlink"/>
                <w:noProof/>
                <w:sz w:val="26"/>
                <w:szCs w:val="26"/>
              </w:rPr>
              <w:t>1.</w:t>
            </w:r>
            <w:r w:rsidR="00444CAD" w:rsidRPr="00FC16C5">
              <w:rPr>
                <w:rFonts w:eastAsiaTheme="minorEastAsia"/>
                <w:noProof/>
                <w:sz w:val="26"/>
                <w:szCs w:val="26"/>
              </w:rPr>
              <w:tab/>
            </w:r>
            <w:r w:rsidR="00444CAD" w:rsidRPr="00FC16C5">
              <w:rPr>
                <w:rStyle w:val="Hyperlink"/>
                <w:noProof/>
                <w:sz w:val="26"/>
                <w:szCs w:val="26"/>
              </w:rPr>
              <w:t>Legal Standards</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_Toc91762305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12</w:t>
            </w:r>
            <w:r w:rsidR="00444CAD" w:rsidRPr="00FC16C5">
              <w:rPr>
                <w:noProof/>
                <w:webHidden/>
                <w:sz w:val="26"/>
                <w:szCs w:val="26"/>
              </w:rPr>
              <w:fldChar w:fldCharType="end"/>
            </w:r>
          </w:hyperlink>
        </w:p>
        <w:p w14:paraId="2D65AEA4" w14:textId="51308F24" w:rsidR="00444CAD" w:rsidRPr="00FC16C5" w:rsidRDefault="005C08C2" w:rsidP="004A6737">
          <w:pPr>
            <w:pStyle w:val="TOC3"/>
            <w:spacing w:after="120"/>
            <w:contextualSpacing w:val="0"/>
            <w:rPr>
              <w:rFonts w:eastAsiaTheme="minorEastAsia"/>
              <w:noProof/>
              <w:sz w:val="26"/>
              <w:szCs w:val="26"/>
            </w:rPr>
          </w:pPr>
          <w:hyperlink w:anchor="_Toc91762306" w:history="1">
            <w:r w:rsidR="00444CAD" w:rsidRPr="00FC16C5">
              <w:rPr>
                <w:rStyle w:val="Hyperlink"/>
                <w:noProof/>
                <w:sz w:val="26"/>
                <w:szCs w:val="26"/>
              </w:rPr>
              <w:t>2.</w:t>
            </w:r>
            <w:r w:rsidR="00444CAD" w:rsidRPr="00FC16C5">
              <w:rPr>
                <w:rFonts w:eastAsiaTheme="minorEastAsia"/>
                <w:noProof/>
                <w:sz w:val="26"/>
                <w:szCs w:val="26"/>
              </w:rPr>
              <w:tab/>
            </w:r>
            <w:r w:rsidR="00444CAD" w:rsidRPr="00FC16C5">
              <w:rPr>
                <w:rStyle w:val="Hyperlink"/>
                <w:noProof/>
                <w:sz w:val="26"/>
                <w:szCs w:val="26"/>
              </w:rPr>
              <w:t>The Commission’s TCJA Investigation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_Toc91762306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13</w:t>
            </w:r>
            <w:r w:rsidR="00444CAD" w:rsidRPr="00FC16C5">
              <w:rPr>
                <w:noProof/>
                <w:webHidden/>
                <w:sz w:val="26"/>
                <w:szCs w:val="26"/>
              </w:rPr>
              <w:fldChar w:fldCharType="end"/>
            </w:r>
          </w:hyperlink>
        </w:p>
        <w:p w14:paraId="30E983CC" w14:textId="23A3F8B1" w:rsidR="00444CAD" w:rsidRPr="00FC16C5" w:rsidRDefault="005C08C2" w:rsidP="004A6737">
          <w:pPr>
            <w:pStyle w:val="TOC3"/>
            <w:spacing w:after="120"/>
            <w:contextualSpacing w:val="0"/>
            <w:rPr>
              <w:rFonts w:eastAsiaTheme="minorEastAsia"/>
              <w:noProof/>
              <w:sz w:val="26"/>
              <w:szCs w:val="26"/>
            </w:rPr>
          </w:pPr>
          <w:hyperlink w:anchor="_Toc91762307" w:history="1">
            <w:r w:rsidR="00444CAD" w:rsidRPr="00FC16C5">
              <w:rPr>
                <w:rStyle w:val="Hyperlink"/>
                <w:noProof/>
                <w:sz w:val="26"/>
                <w:szCs w:val="26"/>
              </w:rPr>
              <w:t>3.</w:t>
            </w:r>
            <w:r w:rsidR="00444CAD" w:rsidRPr="00FC16C5">
              <w:rPr>
                <w:rFonts w:eastAsiaTheme="minorEastAsia"/>
                <w:noProof/>
                <w:sz w:val="26"/>
                <w:szCs w:val="26"/>
              </w:rPr>
              <w:tab/>
            </w:r>
            <w:r w:rsidR="00444CAD" w:rsidRPr="00FC16C5">
              <w:rPr>
                <w:rStyle w:val="Hyperlink"/>
                <w:noProof/>
                <w:sz w:val="26"/>
                <w:szCs w:val="26"/>
              </w:rPr>
              <w:t>Terms and Conditions of the Settlement</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_Toc91762307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15</w:t>
            </w:r>
            <w:r w:rsidR="00444CAD" w:rsidRPr="00FC16C5">
              <w:rPr>
                <w:noProof/>
                <w:webHidden/>
                <w:sz w:val="26"/>
                <w:szCs w:val="26"/>
              </w:rPr>
              <w:fldChar w:fldCharType="end"/>
            </w:r>
          </w:hyperlink>
        </w:p>
        <w:p w14:paraId="0972081F" w14:textId="4B6B7090" w:rsidR="00444CAD" w:rsidRPr="00FC16C5" w:rsidRDefault="005C08C2" w:rsidP="004A6737">
          <w:pPr>
            <w:pStyle w:val="TOC3"/>
            <w:spacing w:after="120"/>
            <w:contextualSpacing w:val="0"/>
            <w:rPr>
              <w:rFonts w:eastAsiaTheme="minorEastAsia"/>
              <w:noProof/>
              <w:sz w:val="26"/>
              <w:szCs w:val="26"/>
            </w:rPr>
          </w:pPr>
          <w:hyperlink w:anchor="_Toc91762308" w:history="1">
            <w:r w:rsidR="00444CAD" w:rsidRPr="00FC16C5">
              <w:rPr>
                <w:rStyle w:val="Hyperlink"/>
                <w:noProof/>
                <w:sz w:val="26"/>
                <w:szCs w:val="26"/>
              </w:rPr>
              <w:t>4.</w:t>
            </w:r>
            <w:r w:rsidR="00444CAD" w:rsidRPr="00FC16C5">
              <w:rPr>
                <w:rFonts w:eastAsiaTheme="minorEastAsia"/>
                <w:noProof/>
                <w:sz w:val="26"/>
                <w:szCs w:val="26"/>
              </w:rPr>
              <w:tab/>
            </w:r>
            <w:r w:rsidR="00444CAD" w:rsidRPr="00FC16C5">
              <w:rPr>
                <w:rStyle w:val="Hyperlink"/>
                <w:noProof/>
                <w:sz w:val="26"/>
                <w:szCs w:val="26"/>
              </w:rPr>
              <w:t>Statements in Support and Verified Witness Statements</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_Toc91762308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19</w:t>
            </w:r>
            <w:r w:rsidR="00444CAD" w:rsidRPr="00FC16C5">
              <w:rPr>
                <w:noProof/>
                <w:webHidden/>
                <w:sz w:val="26"/>
                <w:szCs w:val="26"/>
              </w:rPr>
              <w:fldChar w:fldCharType="end"/>
            </w:r>
          </w:hyperlink>
        </w:p>
        <w:p w14:paraId="76AE4D06" w14:textId="52F8F0B8" w:rsidR="00444CAD" w:rsidRPr="00FC16C5" w:rsidRDefault="005C08C2" w:rsidP="004A6737">
          <w:pPr>
            <w:pStyle w:val="TOC3"/>
            <w:spacing w:after="120"/>
            <w:contextualSpacing w:val="0"/>
            <w:rPr>
              <w:rFonts w:eastAsiaTheme="minorEastAsia"/>
              <w:noProof/>
              <w:sz w:val="26"/>
              <w:szCs w:val="26"/>
            </w:rPr>
          </w:pPr>
          <w:hyperlink w:anchor="_Toc91762309" w:history="1">
            <w:r w:rsidR="00444CAD" w:rsidRPr="00FC16C5">
              <w:rPr>
                <w:rStyle w:val="Hyperlink"/>
                <w:noProof/>
                <w:sz w:val="26"/>
                <w:szCs w:val="26"/>
              </w:rPr>
              <w:t>5.</w:t>
            </w:r>
            <w:r w:rsidR="00444CAD" w:rsidRPr="00FC16C5">
              <w:rPr>
                <w:rFonts w:eastAsiaTheme="minorEastAsia"/>
                <w:noProof/>
                <w:sz w:val="26"/>
                <w:szCs w:val="26"/>
              </w:rPr>
              <w:tab/>
            </w:r>
            <w:r w:rsidR="00444CAD" w:rsidRPr="00FC16C5">
              <w:rPr>
                <w:rStyle w:val="Hyperlink"/>
                <w:noProof/>
                <w:sz w:val="26"/>
                <w:szCs w:val="26"/>
              </w:rPr>
              <w:t>ALJs’ Recommendation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_Toc91762309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29</w:t>
            </w:r>
            <w:r w:rsidR="00444CAD" w:rsidRPr="00FC16C5">
              <w:rPr>
                <w:noProof/>
                <w:webHidden/>
                <w:sz w:val="26"/>
                <w:szCs w:val="26"/>
              </w:rPr>
              <w:fldChar w:fldCharType="end"/>
            </w:r>
          </w:hyperlink>
        </w:p>
        <w:p w14:paraId="17CDCF20" w14:textId="1B7A2CC6" w:rsidR="00444CAD" w:rsidRPr="00FC16C5" w:rsidRDefault="005C08C2" w:rsidP="004A6737">
          <w:pPr>
            <w:pStyle w:val="TOC2"/>
            <w:widowControl/>
            <w:spacing w:after="120"/>
            <w:contextualSpacing w:val="0"/>
            <w:rPr>
              <w:rFonts w:eastAsiaTheme="minorEastAsia"/>
              <w:noProof/>
              <w:sz w:val="26"/>
              <w:szCs w:val="26"/>
            </w:rPr>
          </w:pPr>
          <w:hyperlink w:anchor="_Toc91762310" w:history="1">
            <w:r w:rsidR="00444CAD" w:rsidRPr="00FC16C5">
              <w:rPr>
                <w:rStyle w:val="Hyperlink"/>
                <w:noProof/>
                <w:sz w:val="26"/>
                <w:szCs w:val="26"/>
              </w:rPr>
              <w:t>B.</w:t>
            </w:r>
            <w:r w:rsidR="00444CAD" w:rsidRPr="00FC16C5">
              <w:rPr>
                <w:rFonts w:eastAsiaTheme="minorEastAsia"/>
                <w:noProof/>
                <w:sz w:val="26"/>
                <w:szCs w:val="26"/>
              </w:rPr>
              <w:tab/>
            </w:r>
            <w:r w:rsidR="00444CAD" w:rsidRPr="00FC16C5">
              <w:rPr>
                <w:rStyle w:val="Hyperlink"/>
                <w:noProof/>
                <w:sz w:val="26"/>
                <w:szCs w:val="26"/>
              </w:rPr>
              <w:t>PTA Petition and Motion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_Toc91762310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34</w:t>
            </w:r>
            <w:r w:rsidR="00444CAD" w:rsidRPr="00FC16C5">
              <w:rPr>
                <w:noProof/>
                <w:webHidden/>
                <w:sz w:val="26"/>
                <w:szCs w:val="26"/>
              </w:rPr>
              <w:fldChar w:fldCharType="end"/>
            </w:r>
          </w:hyperlink>
        </w:p>
        <w:p w14:paraId="4D8FC07D" w14:textId="744D71E9" w:rsidR="00444CAD" w:rsidRPr="00FC16C5" w:rsidRDefault="005C08C2" w:rsidP="004A6737">
          <w:pPr>
            <w:pStyle w:val="TOC3"/>
            <w:spacing w:after="120"/>
            <w:contextualSpacing w:val="0"/>
            <w:rPr>
              <w:rFonts w:eastAsiaTheme="minorEastAsia"/>
              <w:noProof/>
              <w:sz w:val="26"/>
              <w:szCs w:val="26"/>
            </w:rPr>
          </w:pPr>
          <w:hyperlink w:anchor="_Toc91762311" w:history="1">
            <w:r w:rsidR="00444CAD" w:rsidRPr="00FC16C5">
              <w:rPr>
                <w:rStyle w:val="Hyperlink"/>
                <w:noProof/>
                <w:sz w:val="26"/>
                <w:szCs w:val="26"/>
              </w:rPr>
              <w:t>1.</w:t>
            </w:r>
            <w:r w:rsidR="00444CAD" w:rsidRPr="00FC16C5">
              <w:rPr>
                <w:rFonts w:eastAsiaTheme="minorEastAsia"/>
                <w:noProof/>
                <w:sz w:val="26"/>
                <w:szCs w:val="26"/>
              </w:rPr>
              <w:tab/>
            </w:r>
            <w:r w:rsidR="00444CAD" w:rsidRPr="00FC16C5">
              <w:rPr>
                <w:rStyle w:val="Hyperlink"/>
                <w:noProof/>
                <w:sz w:val="26"/>
                <w:szCs w:val="26"/>
              </w:rPr>
              <w:t>Legal Standards</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_Toc91762311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34</w:t>
            </w:r>
            <w:r w:rsidR="00444CAD" w:rsidRPr="00FC16C5">
              <w:rPr>
                <w:noProof/>
                <w:webHidden/>
                <w:sz w:val="26"/>
                <w:szCs w:val="26"/>
              </w:rPr>
              <w:fldChar w:fldCharType="end"/>
            </w:r>
          </w:hyperlink>
        </w:p>
        <w:p w14:paraId="1ED8484A" w14:textId="474D6814" w:rsidR="00444CAD" w:rsidRPr="00FC16C5" w:rsidRDefault="005C08C2" w:rsidP="004A6737">
          <w:pPr>
            <w:pStyle w:val="TOC3"/>
            <w:spacing w:after="120"/>
            <w:contextualSpacing w:val="0"/>
            <w:rPr>
              <w:rFonts w:eastAsiaTheme="minorEastAsia"/>
              <w:noProof/>
              <w:sz w:val="26"/>
              <w:szCs w:val="26"/>
            </w:rPr>
          </w:pPr>
          <w:hyperlink w:anchor="_Toc91762312" w:history="1">
            <w:r w:rsidR="00444CAD" w:rsidRPr="00FC16C5">
              <w:rPr>
                <w:rStyle w:val="Hyperlink"/>
                <w:noProof/>
                <w:sz w:val="26"/>
                <w:szCs w:val="26"/>
              </w:rPr>
              <w:t>2.</w:t>
            </w:r>
            <w:r w:rsidR="00444CAD" w:rsidRPr="00FC16C5">
              <w:rPr>
                <w:rFonts w:eastAsiaTheme="minorEastAsia"/>
                <w:noProof/>
                <w:sz w:val="26"/>
                <w:szCs w:val="26"/>
              </w:rPr>
              <w:tab/>
            </w:r>
            <w:r w:rsidR="00444CAD" w:rsidRPr="00FC16C5">
              <w:rPr>
                <w:rStyle w:val="Hyperlink"/>
                <w:noProof/>
                <w:sz w:val="26"/>
                <w:szCs w:val="26"/>
              </w:rPr>
              <w:t>Positions of the Parties</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_Toc91762312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35</w:t>
            </w:r>
            <w:r w:rsidR="00444CAD" w:rsidRPr="00FC16C5">
              <w:rPr>
                <w:noProof/>
                <w:webHidden/>
                <w:sz w:val="26"/>
                <w:szCs w:val="26"/>
              </w:rPr>
              <w:fldChar w:fldCharType="end"/>
            </w:r>
          </w:hyperlink>
        </w:p>
        <w:p w14:paraId="6A5A004B" w14:textId="6E81E529" w:rsidR="00444CAD" w:rsidRPr="00FC16C5" w:rsidRDefault="005C08C2" w:rsidP="004A6737">
          <w:pPr>
            <w:pStyle w:val="TOC3"/>
            <w:spacing w:after="120"/>
            <w:contextualSpacing w:val="0"/>
            <w:rPr>
              <w:rFonts w:eastAsiaTheme="minorEastAsia"/>
              <w:noProof/>
              <w:sz w:val="26"/>
              <w:szCs w:val="26"/>
            </w:rPr>
          </w:pPr>
          <w:hyperlink w:anchor="_Toc91762313" w:history="1">
            <w:r w:rsidR="00444CAD" w:rsidRPr="00FC16C5">
              <w:rPr>
                <w:rStyle w:val="Hyperlink"/>
                <w:noProof/>
                <w:sz w:val="26"/>
                <w:szCs w:val="26"/>
              </w:rPr>
              <w:t>3.</w:t>
            </w:r>
            <w:r w:rsidR="00444CAD" w:rsidRPr="00FC16C5">
              <w:rPr>
                <w:rFonts w:eastAsiaTheme="minorEastAsia"/>
                <w:noProof/>
                <w:sz w:val="26"/>
                <w:szCs w:val="26"/>
              </w:rPr>
              <w:tab/>
            </w:r>
            <w:r w:rsidR="00444CAD" w:rsidRPr="00FC16C5">
              <w:rPr>
                <w:rStyle w:val="Hyperlink"/>
                <w:noProof/>
                <w:sz w:val="26"/>
                <w:szCs w:val="26"/>
              </w:rPr>
              <w:t>Disposition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_Toc91762313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41</w:t>
            </w:r>
            <w:r w:rsidR="00444CAD" w:rsidRPr="00FC16C5">
              <w:rPr>
                <w:noProof/>
                <w:webHidden/>
                <w:sz w:val="26"/>
                <w:szCs w:val="26"/>
              </w:rPr>
              <w:fldChar w:fldCharType="end"/>
            </w:r>
          </w:hyperlink>
        </w:p>
        <w:p w14:paraId="19CA2D0B" w14:textId="59363614" w:rsidR="00444CAD" w:rsidRPr="00FC16C5" w:rsidRDefault="005C08C2" w:rsidP="004A6737">
          <w:pPr>
            <w:pStyle w:val="TOC2"/>
            <w:widowControl/>
            <w:spacing w:after="120"/>
            <w:contextualSpacing w:val="0"/>
            <w:rPr>
              <w:rFonts w:eastAsiaTheme="minorEastAsia"/>
              <w:noProof/>
              <w:sz w:val="26"/>
              <w:szCs w:val="26"/>
            </w:rPr>
          </w:pPr>
          <w:hyperlink w:anchor="_Toc91762314" w:history="1">
            <w:r w:rsidR="00444CAD" w:rsidRPr="00FC16C5">
              <w:rPr>
                <w:rStyle w:val="Hyperlink"/>
                <w:noProof/>
                <w:sz w:val="26"/>
                <w:szCs w:val="26"/>
              </w:rPr>
              <w:t>C.</w:t>
            </w:r>
            <w:r w:rsidR="00444CAD" w:rsidRPr="00FC16C5">
              <w:rPr>
                <w:rFonts w:eastAsiaTheme="minorEastAsia"/>
                <w:noProof/>
                <w:sz w:val="26"/>
                <w:szCs w:val="26"/>
              </w:rPr>
              <w:tab/>
            </w:r>
            <w:r w:rsidR="00444CAD" w:rsidRPr="00FC16C5">
              <w:rPr>
                <w:rStyle w:val="Hyperlink"/>
                <w:noProof/>
                <w:sz w:val="26"/>
                <w:szCs w:val="26"/>
              </w:rPr>
              <w:t>Exceptions</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_Toc91762314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44</w:t>
            </w:r>
            <w:r w:rsidR="00444CAD" w:rsidRPr="00FC16C5">
              <w:rPr>
                <w:noProof/>
                <w:webHidden/>
                <w:sz w:val="26"/>
                <w:szCs w:val="26"/>
              </w:rPr>
              <w:fldChar w:fldCharType="end"/>
            </w:r>
          </w:hyperlink>
        </w:p>
        <w:p w14:paraId="7C2EB2C5" w14:textId="278F1BF5" w:rsidR="00444CAD" w:rsidRPr="00FC16C5" w:rsidRDefault="005C08C2" w:rsidP="004A6737">
          <w:pPr>
            <w:pStyle w:val="TOC3"/>
            <w:spacing w:after="120"/>
            <w:contextualSpacing w:val="0"/>
            <w:rPr>
              <w:rFonts w:eastAsiaTheme="minorEastAsia"/>
              <w:noProof/>
              <w:sz w:val="26"/>
              <w:szCs w:val="26"/>
            </w:rPr>
          </w:pPr>
          <w:hyperlink w:anchor="_Toc91762315" w:history="1">
            <w:r w:rsidR="00444CAD" w:rsidRPr="00FC16C5">
              <w:rPr>
                <w:rStyle w:val="Hyperlink"/>
                <w:noProof/>
                <w:sz w:val="26"/>
                <w:szCs w:val="26"/>
              </w:rPr>
              <w:t>1.</w:t>
            </w:r>
            <w:r w:rsidR="00444CAD" w:rsidRPr="00FC16C5">
              <w:rPr>
                <w:rFonts w:eastAsiaTheme="minorEastAsia"/>
                <w:noProof/>
                <w:sz w:val="26"/>
                <w:szCs w:val="26"/>
              </w:rPr>
              <w:tab/>
            </w:r>
            <w:r w:rsidR="00444CAD" w:rsidRPr="00FC16C5">
              <w:rPr>
                <w:rStyle w:val="Hyperlink"/>
                <w:noProof/>
                <w:sz w:val="26"/>
                <w:szCs w:val="26"/>
              </w:rPr>
              <w:t xml:space="preserve">Whether the ALJs Erred in Interpreting and Applying the </w:t>
            </w:r>
            <w:r w:rsidR="00444CAD" w:rsidRPr="00FC16C5">
              <w:rPr>
                <w:rStyle w:val="Hyperlink"/>
                <w:i/>
                <w:iCs/>
                <w:noProof/>
                <w:sz w:val="26"/>
                <w:szCs w:val="26"/>
              </w:rPr>
              <w:t>October</w:t>
            </w:r>
            <w:r w:rsidR="004A6737">
              <w:rPr>
                <w:rStyle w:val="Hyperlink"/>
                <w:i/>
                <w:iCs/>
                <w:noProof/>
                <w:sz w:val="26"/>
                <w:szCs w:val="26"/>
              </w:rPr>
              <w:t> </w:t>
            </w:r>
            <w:r w:rsidR="00444CAD" w:rsidRPr="00FC16C5">
              <w:rPr>
                <w:rStyle w:val="Hyperlink"/>
                <w:i/>
                <w:iCs/>
                <w:noProof/>
                <w:sz w:val="26"/>
                <w:szCs w:val="26"/>
              </w:rPr>
              <w:t>2018 Order</w:t>
            </w:r>
            <w:r w:rsidR="00444CAD" w:rsidRPr="00FC16C5">
              <w:rPr>
                <w:rStyle w:val="Hyperlink"/>
                <w:noProof/>
                <w:sz w:val="26"/>
                <w:szCs w:val="26"/>
              </w:rPr>
              <w:t xml:space="preserve"> (CenturyLink Exception Nos. 1 and 2; OCA</w:t>
            </w:r>
            <w:r w:rsidR="004A6737">
              <w:rPr>
                <w:rStyle w:val="Hyperlink"/>
                <w:noProof/>
                <w:sz w:val="26"/>
                <w:szCs w:val="26"/>
              </w:rPr>
              <w:t> </w:t>
            </w:r>
            <w:r w:rsidR="00444CAD" w:rsidRPr="00FC16C5">
              <w:rPr>
                <w:rStyle w:val="Hyperlink"/>
                <w:noProof/>
                <w:sz w:val="26"/>
                <w:szCs w:val="26"/>
              </w:rPr>
              <w:t>Exception No. 1; OSBA Exception No. 1)</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_Toc91762315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44</w:t>
            </w:r>
            <w:r w:rsidR="00444CAD" w:rsidRPr="00FC16C5">
              <w:rPr>
                <w:noProof/>
                <w:webHidden/>
                <w:sz w:val="26"/>
                <w:szCs w:val="26"/>
              </w:rPr>
              <w:fldChar w:fldCharType="end"/>
            </w:r>
          </w:hyperlink>
        </w:p>
        <w:p w14:paraId="268D1D1D" w14:textId="537D23C9" w:rsidR="00444CAD" w:rsidRPr="00FC16C5" w:rsidRDefault="005C08C2" w:rsidP="004A6737">
          <w:pPr>
            <w:pStyle w:val="TOC3"/>
            <w:spacing w:after="120"/>
            <w:contextualSpacing w:val="0"/>
            <w:rPr>
              <w:rFonts w:eastAsiaTheme="minorEastAsia"/>
              <w:noProof/>
              <w:sz w:val="26"/>
              <w:szCs w:val="26"/>
            </w:rPr>
          </w:pPr>
          <w:hyperlink w:anchor="_Toc91762316" w:history="1">
            <w:r w:rsidR="00444CAD" w:rsidRPr="00FC16C5">
              <w:rPr>
                <w:rStyle w:val="Hyperlink"/>
                <w:noProof/>
                <w:sz w:val="26"/>
                <w:szCs w:val="26"/>
              </w:rPr>
              <w:t>2.</w:t>
            </w:r>
            <w:r w:rsidR="00444CAD" w:rsidRPr="00FC16C5">
              <w:rPr>
                <w:rFonts w:eastAsiaTheme="minorEastAsia"/>
                <w:noProof/>
                <w:sz w:val="26"/>
                <w:szCs w:val="26"/>
              </w:rPr>
              <w:tab/>
            </w:r>
            <w:r w:rsidR="00444CAD" w:rsidRPr="00FC16C5">
              <w:rPr>
                <w:rStyle w:val="Hyperlink"/>
                <w:noProof/>
                <w:sz w:val="26"/>
                <w:szCs w:val="26"/>
              </w:rPr>
              <w:t>Whether the ALJs Erred in Reaching a Conclusion that the TCJA Qualifies as an Exogenous Event under the Company’s Chapter 30 Plan (CenturyLink Exception No. 3; OCA Exception No. 2; OSBA</w:t>
            </w:r>
            <w:r w:rsidR="005C32CA">
              <w:rPr>
                <w:rStyle w:val="Hyperlink"/>
                <w:noProof/>
                <w:sz w:val="26"/>
                <w:szCs w:val="26"/>
              </w:rPr>
              <w:t> </w:t>
            </w:r>
            <w:r w:rsidR="00444CAD" w:rsidRPr="00FC16C5">
              <w:rPr>
                <w:rStyle w:val="Hyperlink"/>
                <w:noProof/>
                <w:sz w:val="26"/>
                <w:szCs w:val="26"/>
              </w:rPr>
              <w:t>Exception No. 1)</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_Toc91762316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50</w:t>
            </w:r>
            <w:r w:rsidR="00444CAD" w:rsidRPr="00FC16C5">
              <w:rPr>
                <w:noProof/>
                <w:webHidden/>
                <w:sz w:val="26"/>
                <w:szCs w:val="26"/>
              </w:rPr>
              <w:fldChar w:fldCharType="end"/>
            </w:r>
          </w:hyperlink>
        </w:p>
        <w:p w14:paraId="0EA2AA98" w14:textId="25E19F36" w:rsidR="00444CAD" w:rsidRPr="00FC16C5" w:rsidRDefault="005C08C2" w:rsidP="004A6737">
          <w:pPr>
            <w:pStyle w:val="TOC3"/>
            <w:spacing w:after="120"/>
            <w:contextualSpacing w:val="0"/>
            <w:rPr>
              <w:rFonts w:eastAsiaTheme="minorEastAsia"/>
              <w:noProof/>
              <w:sz w:val="26"/>
              <w:szCs w:val="26"/>
            </w:rPr>
          </w:pPr>
          <w:hyperlink w:anchor="_Toc91762317" w:history="1">
            <w:r w:rsidR="00444CAD" w:rsidRPr="00FC16C5">
              <w:rPr>
                <w:rStyle w:val="Hyperlink"/>
                <w:noProof/>
                <w:sz w:val="26"/>
                <w:szCs w:val="26"/>
              </w:rPr>
              <w:t>3.</w:t>
            </w:r>
            <w:r w:rsidR="00444CAD" w:rsidRPr="00FC16C5">
              <w:rPr>
                <w:rFonts w:eastAsiaTheme="minorEastAsia"/>
                <w:noProof/>
                <w:sz w:val="26"/>
                <w:szCs w:val="26"/>
              </w:rPr>
              <w:tab/>
            </w:r>
            <w:r w:rsidR="00444CAD" w:rsidRPr="00FC16C5">
              <w:rPr>
                <w:rStyle w:val="Hyperlink"/>
                <w:noProof/>
                <w:sz w:val="26"/>
                <w:szCs w:val="26"/>
              </w:rPr>
              <w:t>Whether the ALJs Erred in Concluding that the Settlement is not in</w:t>
            </w:r>
            <w:r w:rsidR="005C32CA">
              <w:rPr>
                <w:rStyle w:val="Hyperlink"/>
                <w:noProof/>
                <w:sz w:val="26"/>
                <w:szCs w:val="26"/>
              </w:rPr>
              <w:t> </w:t>
            </w:r>
            <w:r w:rsidR="00444CAD" w:rsidRPr="00FC16C5">
              <w:rPr>
                <w:rStyle w:val="Hyperlink"/>
                <w:noProof/>
                <w:sz w:val="26"/>
                <w:szCs w:val="26"/>
              </w:rPr>
              <w:t>the Public Interest and Should be Rejected (CenturyLink Exception Nos. 2A, 4, and 5; OCA Exception No. 3; OSBA Exception No. 2)</w:t>
            </w:r>
            <w:r w:rsidR="0077690E"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_Toc91762317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56</w:t>
            </w:r>
            <w:r w:rsidR="00444CAD" w:rsidRPr="00FC16C5">
              <w:rPr>
                <w:noProof/>
                <w:webHidden/>
                <w:sz w:val="26"/>
                <w:szCs w:val="26"/>
              </w:rPr>
              <w:fldChar w:fldCharType="end"/>
            </w:r>
          </w:hyperlink>
        </w:p>
        <w:p w14:paraId="11774085" w14:textId="27E1CA11" w:rsidR="00444CAD" w:rsidRPr="00FC16C5" w:rsidRDefault="005C08C2" w:rsidP="004A6737">
          <w:pPr>
            <w:pStyle w:val="TOC1"/>
            <w:widowControl/>
            <w:spacing w:after="120"/>
            <w:contextualSpacing w:val="0"/>
            <w:rPr>
              <w:rFonts w:eastAsiaTheme="minorEastAsia"/>
              <w:noProof/>
              <w:sz w:val="26"/>
              <w:szCs w:val="26"/>
            </w:rPr>
          </w:pPr>
          <w:hyperlink w:anchor="_Toc91762318" w:history="1">
            <w:r w:rsidR="00444CAD" w:rsidRPr="00FC16C5">
              <w:rPr>
                <w:rStyle w:val="Hyperlink"/>
                <w:noProof/>
                <w:sz w:val="26"/>
                <w:szCs w:val="26"/>
              </w:rPr>
              <w:t>IV.</w:t>
            </w:r>
            <w:r w:rsidR="00444CAD" w:rsidRPr="00FC16C5">
              <w:rPr>
                <w:rFonts w:eastAsiaTheme="minorEastAsia"/>
                <w:noProof/>
                <w:sz w:val="26"/>
                <w:szCs w:val="26"/>
              </w:rPr>
              <w:tab/>
            </w:r>
            <w:r w:rsidR="00444CAD" w:rsidRPr="00FC16C5">
              <w:rPr>
                <w:rStyle w:val="Hyperlink"/>
                <w:noProof/>
                <w:sz w:val="26"/>
                <w:szCs w:val="26"/>
              </w:rPr>
              <w:t>Conclusion</w:t>
            </w:r>
            <w:r w:rsidR="00444CAD" w:rsidRPr="00FC16C5">
              <w:rPr>
                <w:noProof/>
                <w:webHidden/>
                <w:sz w:val="26"/>
                <w:szCs w:val="26"/>
              </w:rPr>
              <w:tab/>
            </w:r>
            <w:r w:rsidR="00444CAD" w:rsidRPr="00FC16C5">
              <w:rPr>
                <w:noProof/>
                <w:webHidden/>
                <w:sz w:val="26"/>
                <w:szCs w:val="26"/>
              </w:rPr>
              <w:fldChar w:fldCharType="begin"/>
            </w:r>
            <w:r w:rsidR="00444CAD" w:rsidRPr="00FC16C5">
              <w:rPr>
                <w:noProof/>
                <w:webHidden/>
                <w:sz w:val="26"/>
                <w:szCs w:val="26"/>
              </w:rPr>
              <w:instrText xml:space="preserve"> PAGEREF _Toc91762318 \h </w:instrText>
            </w:r>
            <w:r w:rsidR="00444CAD" w:rsidRPr="00FC16C5">
              <w:rPr>
                <w:noProof/>
                <w:webHidden/>
                <w:sz w:val="26"/>
                <w:szCs w:val="26"/>
              </w:rPr>
            </w:r>
            <w:r w:rsidR="00444CAD" w:rsidRPr="00FC16C5">
              <w:rPr>
                <w:noProof/>
                <w:webHidden/>
                <w:sz w:val="26"/>
                <w:szCs w:val="26"/>
              </w:rPr>
              <w:fldChar w:fldCharType="separate"/>
            </w:r>
            <w:r w:rsidR="000D094A">
              <w:rPr>
                <w:noProof/>
                <w:webHidden/>
                <w:sz w:val="26"/>
                <w:szCs w:val="26"/>
              </w:rPr>
              <w:t>70</w:t>
            </w:r>
            <w:r w:rsidR="00444CAD" w:rsidRPr="00FC16C5">
              <w:rPr>
                <w:noProof/>
                <w:webHidden/>
                <w:sz w:val="26"/>
                <w:szCs w:val="26"/>
              </w:rPr>
              <w:fldChar w:fldCharType="end"/>
            </w:r>
          </w:hyperlink>
        </w:p>
        <w:p w14:paraId="6BDC4EF9" w14:textId="653074ED" w:rsidR="00444CAD" w:rsidRPr="00FC16C5" w:rsidRDefault="00444CAD" w:rsidP="00217B05">
          <w:pPr>
            <w:widowControl/>
            <w:contextualSpacing/>
            <w:rPr>
              <w:sz w:val="26"/>
              <w:szCs w:val="26"/>
            </w:rPr>
          </w:pPr>
          <w:r w:rsidRPr="00FC16C5">
            <w:rPr>
              <w:noProof/>
              <w:sz w:val="26"/>
              <w:szCs w:val="26"/>
            </w:rPr>
            <w:fldChar w:fldCharType="end"/>
          </w:r>
        </w:p>
      </w:sdtContent>
    </w:sdt>
    <w:p w14:paraId="3F2113A2" w14:textId="78AF0507" w:rsidR="00EC55ED" w:rsidRPr="00FC16C5" w:rsidRDefault="00EC55ED" w:rsidP="00217B05">
      <w:pPr>
        <w:widowControl/>
        <w:spacing w:line="360" w:lineRule="auto"/>
        <w:contextualSpacing/>
        <w:rPr>
          <w:sz w:val="26"/>
          <w:szCs w:val="26"/>
        </w:rPr>
      </w:pPr>
    </w:p>
    <w:p w14:paraId="6D60C7CA" w14:textId="77777777" w:rsidR="008773ED" w:rsidRPr="00FC16C5" w:rsidRDefault="008773ED" w:rsidP="00217B05">
      <w:pPr>
        <w:widowControl/>
        <w:spacing w:line="360" w:lineRule="auto"/>
        <w:contextualSpacing/>
        <w:rPr>
          <w:sz w:val="26"/>
          <w:szCs w:val="26"/>
        </w:rPr>
      </w:pPr>
    </w:p>
    <w:p w14:paraId="22C972A2" w14:textId="1B3443FD" w:rsidR="00EC55ED" w:rsidRPr="001471C8" w:rsidRDefault="00EC55ED" w:rsidP="00217B05">
      <w:pPr>
        <w:widowControl/>
        <w:spacing w:line="360" w:lineRule="auto"/>
        <w:contextualSpacing/>
        <w:rPr>
          <w:bCs/>
          <w:sz w:val="26"/>
          <w:szCs w:val="26"/>
        </w:rPr>
        <w:sectPr w:rsidR="00EC55ED" w:rsidRPr="001471C8" w:rsidSect="000556C6">
          <w:footerReference w:type="first" r:id="rId12"/>
          <w:pgSz w:w="12240" w:h="15840" w:code="1"/>
          <w:pgMar w:top="1440" w:right="1440" w:bottom="1440" w:left="1440" w:header="720" w:footer="720" w:gutter="0"/>
          <w:pgNumType w:fmt="lowerRoman" w:start="1"/>
          <w:cols w:space="720"/>
          <w:docGrid w:linePitch="360"/>
        </w:sectPr>
      </w:pPr>
    </w:p>
    <w:p w14:paraId="05B94267" w14:textId="77777777" w:rsidR="00DC6D3A" w:rsidRPr="001471C8" w:rsidRDefault="00DC6D3A" w:rsidP="00217B05">
      <w:pPr>
        <w:keepNext/>
        <w:keepLines/>
        <w:widowControl/>
        <w:spacing w:line="360" w:lineRule="auto"/>
        <w:contextualSpacing/>
        <w:rPr>
          <w:b/>
          <w:sz w:val="26"/>
          <w:szCs w:val="26"/>
        </w:rPr>
      </w:pPr>
      <w:r w:rsidRPr="001471C8">
        <w:rPr>
          <w:b/>
          <w:sz w:val="26"/>
          <w:szCs w:val="26"/>
        </w:rPr>
        <w:lastRenderedPageBreak/>
        <w:t>BY THE COMMISSION:</w:t>
      </w:r>
    </w:p>
    <w:p w14:paraId="2C625962" w14:textId="4976883D" w:rsidR="008B5E16" w:rsidRPr="001471C8" w:rsidRDefault="008B5E16" w:rsidP="00FC16C5">
      <w:pPr>
        <w:keepNext/>
        <w:keepLines/>
        <w:widowControl/>
        <w:ind w:firstLine="1440"/>
        <w:contextualSpacing/>
        <w:rPr>
          <w:sz w:val="26"/>
          <w:szCs w:val="26"/>
        </w:rPr>
      </w:pPr>
    </w:p>
    <w:p w14:paraId="2888AFC5" w14:textId="3F43BD9A" w:rsidR="00A63DD3" w:rsidRPr="001471C8" w:rsidRDefault="00A63DD3" w:rsidP="00217B05">
      <w:pPr>
        <w:widowControl/>
        <w:spacing w:line="360" w:lineRule="auto"/>
        <w:ind w:firstLine="1440"/>
        <w:contextualSpacing/>
        <w:rPr>
          <w:sz w:val="26"/>
          <w:szCs w:val="26"/>
        </w:rPr>
      </w:pPr>
      <w:r w:rsidRPr="001471C8">
        <w:rPr>
          <w:sz w:val="26"/>
          <w:szCs w:val="26"/>
        </w:rPr>
        <w:t xml:space="preserve">Before the Pennsylvania Public Utility Commission (Commission) for consideration and disposition are the following matters: </w:t>
      </w:r>
      <w:r w:rsidR="00FC16C5">
        <w:rPr>
          <w:sz w:val="26"/>
          <w:szCs w:val="26"/>
        </w:rPr>
        <w:t xml:space="preserve"> </w:t>
      </w:r>
      <w:r w:rsidRPr="001471C8">
        <w:rPr>
          <w:sz w:val="26"/>
          <w:szCs w:val="26"/>
        </w:rPr>
        <w:t>(1) the Joint Petition for Settlement (Joint Petition or Settlement),</w:t>
      </w:r>
      <w:r w:rsidRPr="001471C8">
        <w:rPr>
          <w:color w:val="FF0000"/>
          <w:sz w:val="26"/>
          <w:szCs w:val="26"/>
        </w:rPr>
        <w:t xml:space="preserve"> </w:t>
      </w:r>
      <w:r w:rsidRPr="001471C8">
        <w:rPr>
          <w:sz w:val="26"/>
          <w:szCs w:val="26"/>
        </w:rPr>
        <w:t xml:space="preserve">filed on </w:t>
      </w:r>
      <w:r w:rsidR="00F43A05" w:rsidRPr="001471C8">
        <w:rPr>
          <w:sz w:val="26"/>
          <w:szCs w:val="26"/>
        </w:rPr>
        <w:t>January</w:t>
      </w:r>
      <w:r w:rsidR="000D68ED" w:rsidRPr="001471C8">
        <w:rPr>
          <w:sz w:val="26"/>
          <w:szCs w:val="26"/>
        </w:rPr>
        <w:t xml:space="preserve"> 23, 2020</w:t>
      </w:r>
      <w:r w:rsidRPr="001471C8">
        <w:rPr>
          <w:sz w:val="26"/>
          <w:szCs w:val="26"/>
        </w:rPr>
        <w:t>, by the</w:t>
      </w:r>
      <w:r w:rsidR="00252743" w:rsidRPr="001471C8">
        <w:rPr>
          <w:sz w:val="26"/>
          <w:szCs w:val="26"/>
        </w:rPr>
        <w:t xml:space="preserve"> United Telephone Company of Pennsylvania d/b/a </w:t>
      </w:r>
      <w:r w:rsidR="008857F0" w:rsidRPr="001471C8">
        <w:rPr>
          <w:sz w:val="26"/>
          <w:szCs w:val="26"/>
        </w:rPr>
        <w:t>CenturyLink (CenturyLink or the Company), the</w:t>
      </w:r>
      <w:r w:rsidRPr="001471C8">
        <w:rPr>
          <w:sz w:val="26"/>
          <w:szCs w:val="26"/>
        </w:rPr>
        <w:t xml:space="preserve"> Office of Consumer Advocate (OCA)</w:t>
      </w:r>
      <w:r w:rsidR="008857F0" w:rsidRPr="001471C8">
        <w:rPr>
          <w:sz w:val="26"/>
          <w:szCs w:val="26"/>
        </w:rPr>
        <w:t>,</w:t>
      </w:r>
      <w:r w:rsidRPr="001471C8">
        <w:rPr>
          <w:sz w:val="26"/>
          <w:szCs w:val="26"/>
        </w:rPr>
        <w:t xml:space="preserve"> and </w:t>
      </w:r>
      <w:r w:rsidR="008857F0" w:rsidRPr="001471C8">
        <w:rPr>
          <w:sz w:val="26"/>
          <w:szCs w:val="26"/>
        </w:rPr>
        <w:t>the Office of Small Business Advocate</w:t>
      </w:r>
      <w:r w:rsidRPr="001471C8">
        <w:rPr>
          <w:sz w:val="26"/>
          <w:szCs w:val="26"/>
        </w:rPr>
        <w:t xml:space="preserve"> </w:t>
      </w:r>
      <w:r w:rsidR="00F21770">
        <w:rPr>
          <w:sz w:val="26"/>
          <w:szCs w:val="26"/>
        </w:rPr>
        <w:t xml:space="preserve">(OSBA) </w:t>
      </w:r>
      <w:r w:rsidRPr="001471C8">
        <w:rPr>
          <w:sz w:val="26"/>
          <w:szCs w:val="26"/>
        </w:rPr>
        <w:t>(collectively, the Joint Petitioners</w:t>
      </w:r>
      <w:r w:rsidR="004C17CC">
        <w:rPr>
          <w:sz w:val="26"/>
          <w:szCs w:val="26"/>
        </w:rPr>
        <w:t xml:space="preserve"> or the Parties</w:t>
      </w:r>
      <w:r w:rsidRPr="001471C8">
        <w:rPr>
          <w:sz w:val="26"/>
          <w:szCs w:val="26"/>
        </w:rPr>
        <w:t>); (</w:t>
      </w:r>
      <w:r w:rsidR="00A614B1" w:rsidRPr="001471C8">
        <w:rPr>
          <w:sz w:val="26"/>
          <w:szCs w:val="26"/>
        </w:rPr>
        <w:t>2</w:t>
      </w:r>
      <w:r w:rsidRPr="001471C8">
        <w:rPr>
          <w:sz w:val="26"/>
          <w:szCs w:val="26"/>
        </w:rPr>
        <w:t xml:space="preserve">) the Recommended Decision (R.D.) of </w:t>
      </w:r>
      <w:r w:rsidR="00D06104">
        <w:rPr>
          <w:sz w:val="26"/>
          <w:szCs w:val="26"/>
        </w:rPr>
        <w:t xml:space="preserve">Deputy Chief </w:t>
      </w:r>
      <w:r w:rsidRPr="001471C8">
        <w:rPr>
          <w:sz w:val="26"/>
          <w:szCs w:val="26"/>
        </w:rPr>
        <w:t>Administrative Law Judge</w:t>
      </w:r>
      <w:r w:rsidR="00D06104">
        <w:rPr>
          <w:sz w:val="26"/>
          <w:szCs w:val="26"/>
        </w:rPr>
        <w:t xml:space="preserve"> </w:t>
      </w:r>
      <w:r w:rsidRPr="001471C8">
        <w:rPr>
          <w:sz w:val="26"/>
          <w:szCs w:val="26"/>
        </w:rPr>
        <w:t xml:space="preserve">Joel H. Cheskis and </w:t>
      </w:r>
      <w:r w:rsidR="00D06104">
        <w:rPr>
          <w:sz w:val="26"/>
          <w:szCs w:val="26"/>
        </w:rPr>
        <w:t xml:space="preserve">Administrative Law Judge </w:t>
      </w:r>
      <w:r w:rsidR="00E554F2" w:rsidRPr="001471C8">
        <w:rPr>
          <w:sz w:val="26"/>
          <w:szCs w:val="26"/>
        </w:rPr>
        <w:t>Benjamin</w:t>
      </w:r>
      <w:r w:rsidR="00355D0F" w:rsidRPr="001471C8">
        <w:rPr>
          <w:sz w:val="26"/>
          <w:szCs w:val="26"/>
        </w:rPr>
        <w:t xml:space="preserve"> J. </w:t>
      </w:r>
      <w:r w:rsidR="00E554F2" w:rsidRPr="001471C8">
        <w:rPr>
          <w:sz w:val="26"/>
          <w:szCs w:val="26"/>
        </w:rPr>
        <w:t>M</w:t>
      </w:r>
      <w:r w:rsidR="00355D0F" w:rsidRPr="001471C8">
        <w:rPr>
          <w:sz w:val="26"/>
          <w:szCs w:val="26"/>
        </w:rPr>
        <w:t>yers</w:t>
      </w:r>
      <w:r w:rsidR="00D06104">
        <w:rPr>
          <w:sz w:val="26"/>
          <w:szCs w:val="26"/>
        </w:rPr>
        <w:t xml:space="preserve"> </w:t>
      </w:r>
      <w:r w:rsidR="00D06104" w:rsidRPr="001471C8">
        <w:rPr>
          <w:sz w:val="26"/>
          <w:szCs w:val="26"/>
        </w:rPr>
        <w:t>(ALJs)</w:t>
      </w:r>
      <w:r w:rsidRPr="001471C8">
        <w:rPr>
          <w:sz w:val="26"/>
          <w:szCs w:val="26"/>
        </w:rPr>
        <w:t xml:space="preserve">, which was issued on </w:t>
      </w:r>
      <w:r w:rsidR="00355D0F" w:rsidRPr="001471C8">
        <w:rPr>
          <w:sz w:val="26"/>
          <w:szCs w:val="26"/>
        </w:rPr>
        <w:t>June 2, 2020</w:t>
      </w:r>
      <w:r w:rsidRPr="001471C8">
        <w:rPr>
          <w:sz w:val="26"/>
          <w:szCs w:val="26"/>
        </w:rPr>
        <w:t xml:space="preserve">, related to the above-captioned proceedings; </w:t>
      </w:r>
      <w:r w:rsidR="00A614B1" w:rsidRPr="001471C8">
        <w:rPr>
          <w:sz w:val="26"/>
          <w:szCs w:val="26"/>
        </w:rPr>
        <w:t xml:space="preserve">(3) </w:t>
      </w:r>
      <w:r w:rsidR="00D06104">
        <w:rPr>
          <w:sz w:val="26"/>
          <w:szCs w:val="26"/>
        </w:rPr>
        <w:t xml:space="preserve">the </w:t>
      </w:r>
      <w:r w:rsidR="001E6B4E" w:rsidRPr="001471C8">
        <w:rPr>
          <w:sz w:val="26"/>
          <w:szCs w:val="26"/>
        </w:rPr>
        <w:t>Petition to Intervene or, In The Alternative, Motion For Leave To Accept Exceptions</w:t>
      </w:r>
      <w:r w:rsidR="006E7BD5" w:rsidRPr="001471C8">
        <w:rPr>
          <w:sz w:val="26"/>
          <w:szCs w:val="26"/>
        </w:rPr>
        <w:t xml:space="preserve"> (PTA Petition</w:t>
      </w:r>
      <w:r w:rsidR="002F4A29" w:rsidRPr="001471C8">
        <w:rPr>
          <w:sz w:val="26"/>
          <w:szCs w:val="26"/>
        </w:rPr>
        <w:t xml:space="preserve"> and PTA Motion, respectively</w:t>
      </w:r>
      <w:r w:rsidR="006E7BD5" w:rsidRPr="001471C8">
        <w:rPr>
          <w:sz w:val="26"/>
          <w:szCs w:val="26"/>
        </w:rPr>
        <w:t>),</w:t>
      </w:r>
      <w:r w:rsidR="00A614B1" w:rsidRPr="001471C8">
        <w:rPr>
          <w:sz w:val="26"/>
          <w:szCs w:val="26"/>
        </w:rPr>
        <w:t xml:space="preserve"> filed on </w:t>
      </w:r>
      <w:r w:rsidR="00B47145" w:rsidRPr="001471C8">
        <w:rPr>
          <w:sz w:val="26"/>
          <w:szCs w:val="26"/>
        </w:rPr>
        <w:t>June 22, 2020</w:t>
      </w:r>
      <w:r w:rsidR="00A614B1" w:rsidRPr="001471C8">
        <w:rPr>
          <w:sz w:val="26"/>
          <w:szCs w:val="26"/>
        </w:rPr>
        <w:t xml:space="preserve">, by </w:t>
      </w:r>
      <w:r w:rsidR="006E7BD5" w:rsidRPr="001471C8">
        <w:rPr>
          <w:sz w:val="26"/>
          <w:szCs w:val="26"/>
        </w:rPr>
        <w:t>the Pennsylvania Telephone Association (PTA)</w:t>
      </w:r>
      <w:r w:rsidR="00A614B1" w:rsidRPr="001471C8">
        <w:rPr>
          <w:sz w:val="26"/>
          <w:szCs w:val="26"/>
        </w:rPr>
        <w:t xml:space="preserve">; </w:t>
      </w:r>
      <w:r w:rsidRPr="001471C8">
        <w:rPr>
          <w:sz w:val="26"/>
          <w:szCs w:val="26"/>
        </w:rPr>
        <w:t xml:space="preserve">and (4) the Exceptions of </w:t>
      </w:r>
      <w:r w:rsidR="003213F1" w:rsidRPr="001471C8">
        <w:rPr>
          <w:sz w:val="26"/>
          <w:szCs w:val="26"/>
        </w:rPr>
        <w:t>CenturyLink</w:t>
      </w:r>
      <w:r w:rsidR="00576605" w:rsidRPr="001471C8">
        <w:rPr>
          <w:sz w:val="26"/>
          <w:szCs w:val="26"/>
        </w:rPr>
        <w:t>,</w:t>
      </w:r>
      <w:r w:rsidR="003213F1" w:rsidRPr="001471C8">
        <w:rPr>
          <w:sz w:val="26"/>
          <w:szCs w:val="26"/>
        </w:rPr>
        <w:t xml:space="preserve"> </w:t>
      </w:r>
      <w:r w:rsidRPr="001471C8">
        <w:rPr>
          <w:sz w:val="26"/>
          <w:szCs w:val="26"/>
        </w:rPr>
        <w:t xml:space="preserve">the OCA, </w:t>
      </w:r>
      <w:r w:rsidR="00576605" w:rsidRPr="001471C8">
        <w:rPr>
          <w:sz w:val="26"/>
          <w:szCs w:val="26"/>
        </w:rPr>
        <w:t xml:space="preserve">and the OSBA, </w:t>
      </w:r>
      <w:r w:rsidRPr="001471C8">
        <w:rPr>
          <w:sz w:val="26"/>
          <w:szCs w:val="26"/>
        </w:rPr>
        <w:t xml:space="preserve">filed on </w:t>
      </w:r>
      <w:r w:rsidR="00576605" w:rsidRPr="001471C8">
        <w:rPr>
          <w:sz w:val="26"/>
          <w:szCs w:val="26"/>
        </w:rPr>
        <w:t xml:space="preserve">June </w:t>
      </w:r>
      <w:r w:rsidR="00177D18" w:rsidRPr="001471C8">
        <w:rPr>
          <w:sz w:val="26"/>
          <w:szCs w:val="26"/>
        </w:rPr>
        <w:t>22, 2020</w:t>
      </w:r>
      <w:r w:rsidRPr="001471C8">
        <w:rPr>
          <w:sz w:val="26"/>
          <w:szCs w:val="26"/>
        </w:rPr>
        <w:t xml:space="preserve">, with respect to the Recommended Decision.  </w:t>
      </w:r>
      <w:r w:rsidR="002C1048" w:rsidRPr="001471C8">
        <w:rPr>
          <w:sz w:val="26"/>
          <w:szCs w:val="26"/>
        </w:rPr>
        <w:t xml:space="preserve">No </w:t>
      </w:r>
      <w:r w:rsidRPr="001471C8">
        <w:rPr>
          <w:sz w:val="26"/>
          <w:szCs w:val="26"/>
        </w:rPr>
        <w:t>Replies to Exceptions were filed.</w:t>
      </w:r>
      <w:r w:rsidR="00DC4B90">
        <w:rPr>
          <w:sz w:val="26"/>
          <w:szCs w:val="26"/>
        </w:rPr>
        <w:t xml:space="preserve">  </w:t>
      </w:r>
    </w:p>
    <w:p w14:paraId="1ECBEA77" w14:textId="77777777" w:rsidR="00A63DD3" w:rsidRPr="00090EF4" w:rsidRDefault="00A63DD3" w:rsidP="00217B05">
      <w:pPr>
        <w:widowControl/>
        <w:spacing w:line="360" w:lineRule="auto"/>
        <w:ind w:firstLine="1440"/>
        <w:contextualSpacing/>
        <w:rPr>
          <w:sz w:val="26"/>
          <w:szCs w:val="26"/>
        </w:rPr>
      </w:pPr>
    </w:p>
    <w:p w14:paraId="0FEE9F2A" w14:textId="5D95C1D8" w:rsidR="00A63DD3" w:rsidRPr="00090EF4" w:rsidRDefault="00A63DD3" w:rsidP="00217B05">
      <w:pPr>
        <w:widowControl/>
        <w:spacing w:line="360" w:lineRule="auto"/>
        <w:ind w:firstLine="1440"/>
        <w:contextualSpacing/>
        <w:rPr>
          <w:sz w:val="26"/>
          <w:szCs w:val="26"/>
        </w:rPr>
      </w:pPr>
      <w:r w:rsidRPr="00090EF4">
        <w:rPr>
          <w:sz w:val="26"/>
          <w:szCs w:val="26"/>
        </w:rPr>
        <w:t xml:space="preserve">For the reasons stated, </w:t>
      </w:r>
      <w:r w:rsidRPr="00090EF4">
        <w:rPr>
          <w:i/>
          <w:sz w:val="26"/>
          <w:szCs w:val="26"/>
        </w:rPr>
        <w:t>infra,</w:t>
      </w:r>
      <w:r w:rsidRPr="00090EF4">
        <w:rPr>
          <w:sz w:val="26"/>
          <w:szCs w:val="26"/>
        </w:rPr>
        <w:t xml:space="preserve"> we shall </w:t>
      </w:r>
      <w:r w:rsidR="003E493D" w:rsidRPr="00090EF4">
        <w:rPr>
          <w:sz w:val="26"/>
          <w:szCs w:val="26"/>
        </w:rPr>
        <w:t xml:space="preserve">grant the Exceptions of CenturyLink, </w:t>
      </w:r>
      <w:r w:rsidR="00090EF4" w:rsidRPr="00090EF4">
        <w:rPr>
          <w:sz w:val="26"/>
          <w:szCs w:val="26"/>
        </w:rPr>
        <w:t>in part, and deny them, in part</w:t>
      </w:r>
      <w:r w:rsidR="00B64C1E">
        <w:rPr>
          <w:sz w:val="26"/>
          <w:szCs w:val="26"/>
        </w:rPr>
        <w:t>;</w:t>
      </w:r>
      <w:r w:rsidR="00090EF4" w:rsidRPr="00090EF4">
        <w:rPr>
          <w:sz w:val="26"/>
          <w:szCs w:val="26"/>
        </w:rPr>
        <w:t xml:space="preserve"> grant </w:t>
      </w:r>
      <w:r w:rsidR="003E493D" w:rsidRPr="00090EF4">
        <w:rPr>
          <w:sz w:val="26"/>
          <w:szCs w:val="26"/>
        </w:rPr>
        <w:t xml:space="preserve">the </w:t>
      </w:r>
      <w:r w:rsidR="00090EF4" w:rsidRPr="00090EF4">
        <w:rPr>
          <w:sz w:val="26"/>
          <w:szCs w:val="26"/>
        </w:rPr>
        <w:t xml:space="preserve">Exceptions of </w:t>
      </w:r>
      <w:r w:rsidR="006A36C7">
        <w:rPr>
          <w:sz w:val="26"/>
          <w:szCs w:val="26"/>
        </w:rPr>
        <w:t xml:space="preserve">the </w:t>
      </w:r>
      <w:r w:rsidR="003E493D" w:rsidRPr="00090EF4">
        <w:rPr>
          <w:sz w:val="26"/>
          <w:szCs w:val="26"/>
        </w:rPr>
        <w:t>OCA and the OSBA</w:t>
      </w:r>
      <w:r w:rsidR="00B64C1E">
        <w:rPr>
          <w:sz w:val="26"/>
          <w:szCs w:val="26"/>
        </w:rPr>
        <w:t>;</w:t>
      </w:r>
      <w:r w:rsidR="003E493D" w:rsidRPr="00090EF4">
        <w:rPr>
          <w:sz w:val="26"/>
          <w:szCs w:val="26"/>
        </w:rPr>
        <w:t xml:space="preserve"> </w:t>
      </w:r>
      <w:r w:rsidR="00A912FC" w:rsidRPr="00090EF4">
        <w:rPr>
          <w:sz w:val="26"/>
          <w:szCs w:val="26"/>
        </w:rPr>
        <w:t>reverse the Recommended Decision</w:t>
      </w:r>
      <w:r w:rsidR="00B64C1E">
        <w:rPr>
          <w:sz w:val="26"/>
          <w:szCs w:val="26"/>
        </w:rPr>
        <w:t>;</w:t>
      </w:r>
      <w:r w:rsidR="00A912FC" w:rsidRPr="00090EF4">
        <w:rPr>
          <w:sz w:val="26"/>
          <w:szCs w:val="26"/>
        </w:rPr>
        <w:t xml:space="preserve"> and</w:t>
      </w:r>
      <w:r w:rsidRPr="00090EF4">
        <w:rPr>
          <w:sz w:val="26"/>
          <w:szCs w:val="26"/>
        </w:rPr>
        <w:t xml:space="preserve"> approve the Joint Petition for Settlement, without modification</w:t>
      </w:r>
      <w:r w:rsidR="00A912FC" w:rsidRPr="00090EF4">
        <w:rPr>
          <w:sz w:val="26"/>
          <w:szCs w:val="26"/>
        </w:rPr>
        <w:t>.  Additionally, we shall deny the PTA Petition and the PTA Motion</w:t>
      </w:r>
      <w:r w:rsidRPr="00090EF4">
        <w:rPr>
          <w:sz w:val="26"/>
          <w:szCs w:val="26"/>
        </w:rPr>
        <w:t xml:space="preserve">.  </w:t>
      </w:r>
    </w:p>
    <w:p w14:paraId="1B5E93B6" w14:textId="77777777" w:rsidR="000F09EC" w:rsidRPr="001471C8" w:rsidRDefault="000F09EC" w:rsidP="00217B05">
      <w:pPr>
        <w:widowControl/>
        <w:spacing w:line="360" w:lineRule="auto"/>
        <w:ind w:firstLine="1440"/>
        <w:contextualSpacing/>
        <w:rPr>
          <w:sz w:val="26"/>
          <w:szCs w:val="26"/>
        </w:rPr>
      </w:pPr>
    </w:p>
    <w:p w14:paraId="540BD48D" w14:textId="0C2E9C49" w:rsidR="00CA3248" w:rsidRPr="001471C8" w:rsidRDefault="008C5CA7" w:rsidP="00FC16C5">
      <w:pPr>
        <w:pStyle w:val="Heading1"/>
        <w:widowControl/>
        <w:numPr>
          <w:ilvl w:val="0"/>
          <w:numId w:val="9"/>
        </w:numPr>
        <w:spacing w:before="0" w:line="360" w:lineRule="auto"/>
        <w:ind w:left="0" w:firstLine="0"/>
        <w:contextualSpacing/>
        <w:jc w:val="center"/>
        <w:rPr>
          <w:rFonts w:ascii="Times New Roman" w:hAnsi="Times New Roman" w:cs="Times New Roman"/>
          <w:b/>
          <w:bCs/>
          <w:color w:val="auto"/>
          <w:sz w:val="26"/>
          <w:szCs w:val="26"/>
        </w:rPr>
      </w:pPr>
      <w:bookmarkStart w:id="2" w:name="_Toc91762301"/>
      <w:r w:rsidRPr="001471C8">
        <w:rPr>
          <w:rFonts w:ascii="Times New Roman" w:hAnsi="Times New Roman" w:cs="Times New Roman"/>
          <w:b/>
          <w:bCs/>
          <w:color w:val="auto"/>
          <w:sz w:val="26"/>
          <w:szCs w:val="26"/>
        </w:rPr>
        <w:t>Background</w:t>
      </w:r>
      <w:bookmarkEnd w:id="2"/>
    </w:p>
    <w:p w14:paraId="64E5F7CB" w14:textId="77777777" w:rsidR="005D3741" w:rsidRPr="001471C8" w:rsidRDefault="005D3741" w:rsidP="00217B05">
      <w:pPr>
        <w:keepNext/>
        <w:keepLines/>
        <w:widowControl/>
        <w:spacing w:line="360" w:lineRule="auto"/>
        <w:ind w:firstLine="1440"/>
        <w:contextualSpacing/>
        <w:rPr>
          <w:sz w:val="26"/>
          <w:szCs w:val="26"/>
        </w:rPr>
      </w:pPr>
    </w:p>
    <w:p w14:paraId="29B91F21" w14:textId="3694FA25" w:rsidR="00D12A70" w:rsidRPr="001471C8" w:rsidRDefault="00D12A70" w:rsidP="00217B05">
      <w:pPr>
        <w:widowControl/>
        <w:spacing w:line="360" w:lineRule="auto"/>
        <w:ind w:firstLine="1440"/>
        <w:contextualSpacing/>
        <w:rPr>
          <w:sz w:val="26"/>
          <w:szCs w:val="26"/>
        </w:rPr>
      </w:pPr>
      <w:r w:rsidRPr="001471C8">
        <w:rPr>
          <w:sz w:val="26"/>
          <w:szCs w:val="26"/>
        </w:rPr>
        <w:t>CenturyLink is a Rural Incumbent Local Exchange Carrier (RLE</w:t>
      </w:r>
      <w:r w:rsidR="00903D12">
        <w:rPr>
          <w:sz w:val="26"/>
          <w:szCs w:val="26"/>
        </w:rPr>
        <w:t xml:space="preserve">C) </w:t>
      </w:r>
      <w:r w:rsidRPr="001471C8">
        <w:rPr>
          <w:sz w:val="26"/>
          <w:szCs w:val="26"/>
        </w:rPr>
        <w:t xml:space="preserve">that provides local exchange, intrastate toll, and access services in all or parts of twenty-five counties in central and western Pennsylvania. </w:t>
      </w:r>
      <w:r w:rsidR="0091192A" w:rsidRPr="001471C8">
        <w:rPr>
          <w:sz w:val="26"/>
          <w:szCs w:val="26"/>
        </w:rPr>
        <w:t xml:space="preserve"> </w:t>
      </w:r>
      <w:r w:rsidRPr="001471C8">
        <w:rPr>
          <w:sz w:val="26"/>
          <w:szCs w:val="26"/>
        </w:rPr>
        <w:t xml:space="preserve">CenturyLink is subject to price cap regulation in Pennsylvania under the provisions of Act 183 of 2004, P.L. 1398, codified </w:t>
      </w:r>
      <w:r w:rsidR="00DD05B3" w:rsidRPr="001471C8">
        <w:rPr>
          <w:sz w:val="26"/>
          <w:szCs w:val="26"/>
        </w:rPr>
        <w:t xml:space="preserve">in the Pennsylvania Public Utility Code (Code) </w:t>
      </w:r>
      <w:r w:rsidRPr="001471C8">
        <w:rPr>
          <w:sz w:val="26"/>
          <w:szCs w:val="26"/>
        </w:rPr>
        <w:t xml:space="preserve">at 66 Pa. C.S. §§ 3011-3019 (Chapter 30) </w:t>
      </w:r>
      <w:r w:rsidRPr="001471C8">
        <w:rPr>
          <w:sz w:val="26"/>
          <w:szCs w:val="26"/>
        </w:rPr>
        <w:lastRenderedPageBreak/>
        <w:t>and pursuant to the Company’s Alternative Regulation and Network Modernization Plan (Chapter 30 Plan) that this Commission approved in 2005.</w:t>
      </w:r>
      <w:r w:rsidRPr="001471C8">
        <w:rPr>
          <w:sz w:val="26"/>
          <w:szCs w:val="26"/>
          <w:vertAlign w:val="superscript"/>
        </w:rPr>
        <w:footnoteReference w:id="2"/>
      </w:r>
    </w:p>
    <w:p w14:paraId="1383E312" w14:textId="77777777" w:rsidR="00661E10" w:rsidRPr="001471C8" w:rsidRDefault="00661E10" w:rsidP="00217B05">
      <w:pPr>
        <w:widowControl/>
        <w:spacing w:line="360" w:lineRule="auto"/>
        <w:ind w:firstLine="1440"/>
        <w:contextualSpacing/>
        <w:rPr>
          <w:rFonts w:eastAsia="Calibri"/>
          <w:color w:val="000000"/>
          <w:sz w:val="26"/>
          <w:szCs w:val="26"/>
        </w:rPr>
      </w:pPr>
    </w:p>
    <w:p w14:paraId="79CA461E" w14:textId="6D9033AF" w:rsidR="00FB3A36" w:rsidRPr="001471C8" w:rsidRDefault="009C5622" w:rsidP="00217B05">
      <w:pPr>
        <w:widowControl/>
        <w:spacing w:line="360" w:lineRule="auto"/>
        <w:ind w:firstLine="1440"/>
        <w:contextualSpacing/>
        <w:rPr>
          <w:rFonts w:eastAsia="Calibri"/>
          <w:color w:val="000000"/>
          <w:sz w:val="26"/>
          <w:szCs w:val="26"/>
        </w:rPr>
      </w:pPr>
      <w:r w:rsidRPr="001471C8">
        <w:rPr>
          <w:color w:val="000000"/>
          <w:sz w:val="26"/>
          <w:szCs w:val="26"/>
        </w:rPr>
        <w:t>Part 3 of CenturyLink’s Chapter</w:t>
      </w:r>
      <w:r w:rsidR="00274E5E" w:rsidRPr="001471C8">
        <w:rPr>
          <w:color w:val="000000"/>
          <w:sz w:val="26"/>
          <w:szCs w:val="26"/>
        </w:rPr>
        <w:t xml:space="preserve"> </w:t>
      </w:r>
      <w:r w:rsidR="00E9658A" w:rsidRPr="001471C8">
        <w:rPr>
          <w:color w:val="000000"/>
          <w:sz w:val="26"/>
          <w:szCs w:val="26"/>
        </w:rPr>
        <w:t>3</w:t>
      </w:r>
      <w:r w:rsidR="00274E5E" w:rsidRPr="001471C8">
        <w:rPr>
          <w:color w:val="000000"/>
          <w:sz w:val="26"/>
          <w:szCs w:val="26"/>
        </w:rPr>
        <w:t xml:space="preserve">0 Plan sets forth its </w:t>
      </w:r>
      <w:r w:rsidR="003135C0" w:rsidRPr="001471C8">
        <w:rPr>
          <w:rFonts w:eastAsia="Calibri"/>
          <w:color w:val="000000"/>
          <w:sz w:val="26"/>
          <w:szCs w:val="26"/>
        </w:rPr>
        <w:t>Price Stability Plan (PSP)</w:t>
      </w:r>
      <w:r w:rsidR="00012241" w:rsidRPr="001471C8">
        <w:rPr>
          <w:color w:val="000000"/>
          <w:sz w:val="26"/>
          <w:szCs w:val="26"/>
        </w:rPr>
        <w:t>,</w:t>
      </w:r>
      <w:r w:rsidR="00873964" w:rsidRPr="001471C8">
        <w:rPr>
          <w:rFonts w:eastAsia="Calibri"/>
          <w:color w:val="000000"/>
          <w:sz w:val="26"/>
          <w:szCs w:val="26"/>
          <w:vertAlign w:val="superscript"/>
        </w:rPr>
        <w:footnoteReference w:id="3"/>
      </w:r>
      <w:r w:rsidR="00012241" w:rsidRPr="001471C8">
        <w:rPr>
          <w:color w:val="000000"/>
          <w:sz w:val="26"/>
          <w:szCs w:val="26"/>
        </w:rPr>
        <w:t xml:space="preserve"> </w:t>
      </w:r>
      <w:r w:rsidR="00E9658A" w:rsidRPr="001471C8">
        <w:rPr>
          <w:color w:val="000000"/>
          <w:sz w:val="26"/>
          <w:szCs w:val="26"/>
        </w:rPr>
        <w:t xml:space="preserve">which outlines the principles and procedures </w:t>
      </w:r>
      <w:r w:rsidR="00362076" w:rsidRPr="001471C8">
        <w:rPr>
          <w:color w:val="000000"/>
          <w:sz w:val="26"/>
          <w:szCs w:val="26"/>
        </w:rPr>
        <w:t>applicable to changes in the Company’s rates for noncompetitive services.</w:t>
      </w:r>
      <w:r w:rsidR="00A27210" w:rsidRPr="001471C8">
        <w:rPr>
          <w:rStyle w:val="FootnoteReference"/>
          <w:color w:val="000000"/>
          <w:sz w:val="26"/>
          <w:szCs w:val="26"/>
        </w:rPr>
        <w:footnoteReference w:id="4"/>
      </w:r>
      <w:r w:rsidR="00362076" w:rsidRPr="001471C8">
        <w:rPr>
          <w:color w:val="000000"/>
          <w:sz w:val="26"/>
          <w:szCs w:val="26"/>
        </w:rPr>
        <w:t xml:space="preserve">  Included in the PSP is </w:t>
      </w:r>
      <w:r w:rsidR="00012241" w:rsidRPr="001471C8">
        <w:rPr>
          <w:color w:val="000000"/>
          <w:sz w:val="26"/>
          <w:szCs w:val="26"/>
        </w:rPr>
        <w:t xml:space="preserve">the Price Stability Index (PSI) formula used to calculate the allowable change (increase or decrease) in rates for noncompetitive services based, in part, on the Gross Domestic Product Price Index (GDP-PI).  </w:t>
      </w:r>
      <w:r w:rsidR="004B27B9" w:rsidRPr="001471C8">
        <w:rPr>
          <w:color w:val="000000"/>
          <w:sz w:val="26"/>
          <w:szCs w:val="26"/>
        </w:rPr>
        <w:t>The PSI</w:t>
      </w:r>
      <w:r w:rsidR="000272DF" w:rsidRPr="001471C8">
        <w:rPr>
          <w:color w:val="000000"/>
          <w:sz w:val="26"/>
          <w:szCs w:val="26"/>
        </w:rPr>
        <w:t xml:space="preserve"> </w:t>
      </w:r>
      <w:r w:rsidR="00B7042D" w:rsidRPr="001471C8">
        <w:rPr>
          <w:color w:val="000000"/>
          <w:sz w:val="26"/>
          <w:szCs w:val="26"/>
        </w:rPr>
        <w:t xml:space="preserve">formula </w:t>
      </w:r>
      <w:r w:rsidR="000272DF" w:rsidRPr="001471C8">
        <w:rPr>
          <w:color w:val="000000"/>
          <w:sz w:val="26"/>
          <w:szCs w:val="26"/>
        </w:rPr>
        <w:t>includes</w:t>
      </w:r>
      <w:r w:rsidR="00FB3A36" w:rsidRPr="001471C8">
        <w:rPr>
          <w:color w:val="000000"/>
          <w:sz w:val="26"/>
          <w:szCs w:val="26"/>
        </w:rPr>
        <w:t xml:space="preserve"> both an inflation offset factor and a “Z</w:t>
      </w:r>
      <w:r w:rsidR="007C34D4" w:rsidRPr="001471C8">
        <w:rPr>
          <w:color w:val="000000"/>
          <w:sz w:val="26"/>
          <w:szCs w:val="26"/>
        </w:rPr>
        <w:t xml:space="preserve"> </w:t>
      </w:r>
      <w:r w:rsidR="00FB3A36" w:rsidRPr="001471C8">
        <w:rPr>
          <w:color w:val="000000"/>
          <w:sz w:val="26"/>
          <w:szCs w:val="26"/>
        </w:rPr>
        <w:t xml:space="preserve">Factor.”  </w:t>
      </w:r>
      <w:r w:rsidR="007433B7">
        <w:rPr>
          <w:rFonts w:eastAsia="Calibri"/>
          <w:color w:val="000000"/>
          <w:sz w:val="26"/>
          <w:szCs w:val="26"/>
        </w:rPr>
        <w:t xml:space="preserve">Pursuant to Section </w:t>
      </w:r>
      <w:r w:rsidR="00DB3EA6">
        <w:rPr>
          <w:rFonts w:eastAsia="Calibri"/>
          <w:color w:val="000000"/>
          <w:sz w:val="26"/>
          <w:szCs w:val="26"/>
        </w:rPr>
        <w:t xml:space="preserve">3015(a) of the Code, 66 Pa. C.S. § 3015(a), </w:t>
      </w:r>
      <w:r w:rsidR="00475514">
        <w:rPr>
          <w:rFonts w:eastAsia="Calibri"/>
          <w:color w:val="000000"/>
          <w:sz w:val="26"/>
          <w:szCs w:val="26"/>
        </w:rPr>
        <w:t xml:space="preserve">ILECs </w:t>
      </w:r>
      <w:r w:rsidR="00DB3EA6">
        <w:rPr>
          <w:rFonts w:eastAsia="Calibri"/>
          <w:color w:val="000000"/>
          <w:sz w:val="26"/>
          <w:szCs w:val="26"/>
        </w:rPr>
        <w:t>wi</w:t>
      </w:r>
      <w:r w:rsidR="00E61F94" w:rsidRPr="001471C8">
        <w:rPr>
          <w:rFonts w:eastAsia="Calibri"/>
          <w:color w:val="000000"/>
          <w:sz w:val="26"/>
          <w:szCs w:val="26"/>
        </w:rPr>
        <w:t xml:space="preserve">th Chapter 30 Plans </w:t>
      </w:r>
      <w:r w:rsidR="008B6751">
        <w:rPr>
          <w:rFonts w:eastAsia="Calibri"/>
          <w:color w:val="000000"/>
          <w:sz w:val="26"/>
          <w:szCs w:val="26"/>
        </w:rPr>
        <w:t xml:space="preserve">were </w:t>
      </w:r>
      <w:r w:rsidR="00E61F94" w:rsidRPr="001471C8">
        <w:rPr>
          <w:rFonts w:eastAsia="Calibri"/>
          <w:color w:val="000000"/>
          <w:sz w:val="26"/>
          <w:szCs w:val="26"/>
        </w:rPr>
        <w:t xml:space="preserve">entitled to significantly lower their inflation offset factors within their respective price cap formulas in exchange for a commitment to accelerated broadband deployment.  Inflation offset factors previously ranging from 2% to 2.93% were reduced to either 0% or 0.5%, depending on each company’s Chapter 30 Plan.  In CenturyLink’s case, the inflation offset was reduced from </w:t>
      </w:r>
      <w:r w:rsidR="00E61F94" w:rsidRPr="001471C8">
        <w:rPr>
          <w:rFonts w:eastAsia="Calibri"/>
          <w:sz w:val="26"/>
          <w:szCs w:val="26"/>
        </w:rPr>
        <w:t>2% to 0%.</w:t>
      </w:r>
      <w:r w:rsidR="00E61F94" w:rsidRPr="001471C8">
        <w:rPr>
          <w:rFonts w:eastAsia="Calibri"/>
          <w:color w:val="000000"/>
          <w:sz w:val="26"/>
          <w:szCs w:val="26"/>
        </w:rPr>
        <w:t xml:space="preserve">  </w:t>
      </w:r>
      <w:r w:rsidR="00D12D2E" w:rsidRPr="001471C8">
        <w:rPr>
          <w:rFonts w:eastAsia="Calibri"/>
          <w:color w:val="000000"/>
          <w:sz w:val="26"/>
          <w:szCs w:val="26"/>
        </w:rPr>
        <w:t xml:space="preserve">The “Z factor” in CenturyLink’s PSI Formula allows special upward or downward revenue adjustments to be made to recognize significant </w:t>
      </w:r>
      <w:r w:rsidR="00D02E67">
        <w:rPr>
          <w:rFonts w:eastAsia="Calibri"/>
          <w:color w:val="000000"/>
          <w:sz w:val="26"/>
          <w:szCs w:val="26"/>
        </w:rPr>
        <w:t>“</w:t>
      </w:r>
      <w:r w:rsidR="00D12D2E" w:rsidRPr="001471C8">
        <w:rPr>
          <w:rFonts w:eastAsia="Calibri"/>
          <w:color w:val="000000"/>
          <w:sz w:val="26"/>
          <w:szCs w:val="26"/>
        </w:rPr>
        <w:t>exogenous events</w:t>
      </w:r>
      <w:r w:rsidR="00D02E67">
        <w:rPr>
          <w:rFonts w:eastAsia="Calibri"/>
          <w:color w:val="000000"/>
          <w:sz w:val="26"/>
          <w:szCs w:val="26"/>
        </w:rPr>
        <w:t>”</w:t>
      </w:r>
      <w:r w:rsidR="00D12D2E" w:rsidRPr="001471C8">
        <w:rPr>
          <w:rFonts w:eastAsia="Calibri"/>
          <w:color w:val="000000"/>
          <w:sz w:val="26"/>
          <w:szCs w:val="26"/>
        </w:rPr>
        <w:t xml:space="preserve"> that are outside of the Company’s control.  </w:t>
      </w:r>
      <w:r w:rsidR="001408B9">
        <w:rPr>
          <w:rFonts w:eastAsia="Calibri"/>
          <w:color w:val="000000"/>
          <w:sz w:val="26"/>
          <w:szCs w:val="26"/>
        </w:rPr>
        <w:t>Such “e</w:t>
      </w:r>
      <w:r w:rsidR="00D12D2E" w:rsidRPr="001471C8">
        <w:rPr>
          <w:rFonts w:eastAsia="Calibri"/>
          <w:color w:val="000000"/>
          <w:sz w:val="26"/>
          <w:szCs w:val="26"/>
        </w:rPr>
        <w:t>xogenous events</w:t>
      </w:r>
      <w:r w:rsidR="001408B9">
        <w:rPr>
          <w:rFonts w:eastAsia="Calibri"/>
          <w:color w:val="000000"/>
          <w:sz w:val="26"/>
          <w:szCs w:val="26"/>
        </w:rPr>
        <w:t>”</w:t>
      </w:r>
      <w:r w:rsidR="00D12D2E" w:rsidRPr="001471C8">
        <w:rPr>
          <w:rFonts w:eastAsia="Calibri"/>
          <w:color w:val="000000"/>
          <w:sz w:val="26"/>
          <w:szCs w:val="26"/>
        </w:rPr>
        <w:t xml:space="preserve"> include, but are not limited to</w:t>
      </w:r>
      <w:r w:rsidR="00337C5C" w:rsidRPr="001471C8">
        <w:rPr>
          <w:rFonts w:eastAsia="Calibri"/>
          <w:color w:val="000000"/>
          <w:sz w:val="26"/>
          <w:szCs w:val="26"/>
        </w:rPr>
        <w:t>,</w:t>
      </w:r>
      <w:r w:rsidR="00D12D2E" w:rsidRPr="001471C8">
        <w:rPr>
          <w:rFonts w:eastAsia="Calibri"/>
          <w:color w:val="000000"/>
          <w:sz w:val="26"/>
          <w:szCs w:val="26"/>
        </w:rPr>
        <w:t xml:space="preserve"> legislative changes (state &amp; federal), which affect revenues and/or costs, to the extent not captured in the GDP-PI.  </w:t>
      </w:r>
      <w:r w:rsidR="00787098" w:rsidRPr="001471C8">
        <w:rPr>
          <w:rFonts w:eastAsia="Calibri"/>
          <w:i/>
          <w:iCs/>
          <w:color w:val="000000"/>
          <w:sz w:val="26"/>
          <w:szCs w:val="26"/>
        </w:rPr>
        <w:t xml:space="preserve">See </w:t>
      </w:r>
      <w:r w:rsidR="00787098" w:rsidRPr="001471C8">
        <w:rPr>
          <w:rFonts w:eastAsia="Calibri"/>
          <w:color w:val="000000"/>
          <w:sz w:val="26"/>
          <w:szCs w:val="26"/>
        </w:rPr>
        <w:t>CenturyLink Chapter 30 Plan at 15-16</w:t>
      </w:r>
      <w:r w:rsidR="00CF45BE" w:rsidRPr="001471C8">
        <w:rPr>
          <w:rFonts w:eastAsia="Calibri"/>
          <w:color w:val="000000"/>
          <w:sz w:val="26"/>
          <w:szCs w:val="26"/>
        </w:rPr>
        <w:t>, 18-19</w:t>
      </w:r>
      <w:r w:rsidR="00787098" w:rsidRPr="001471C8">
        <w:rPr>
          <w:rFonts w:eastAsia="Calibri"/>
          <w:color w:val="000000"/>
          <w:sz w:val="26"/>
          <w:szCs w:val="26"/>
        </w:rPr>
        <w:t>.</w:t>
      </w:r>
    </w:p>
    <w:p w14:paraId="369A093A" w14:textId="0B01991E" w:rsidR="00FB3A36" w:rsidRPr="001471C8" w:rsidRDefault="00FB3A36" w:rsidP="00217B05">
      <w:pPr>
        <w:widowControl/>
        <w:spacing w:line="360" w:lineRule="auto"/>
        <w:ind w:firstLine="1440"/>
        <w:contextualSpacing/>
        <w:rPr>
          <w:rFonts w:eastAsia="Calibri"/>
          <w:color w:val="000000"/>
          <w:sz w:val="26"/>
          <w:szCs w:val="26"/>
        </w:rPr>
      </w:pPr>
    </w:p>
    <w:p w14:paraId="29C32FB8" w14:textId="0BF03FFA" w:rsidR="00E61F94" w:rsidRPr="001471C8" w:rsidRDefault="00403DC9" w:rsidP="00217B05">
      <w:pPr>
        <w:widowControl/>
        <w:spacing w:line="360" w:lineRule="auto"/>
        <w:ind w:firstLine="1440"/>
        <w:contextualSpacing/>
        <w:rPr>
          <w:rFonts w:eastAsia="Calibri"/>
          <w:color w:val="000000"/>
          <w:sz w:val="26"/>
          <w:szCs w:val="26"/>
        </w:rPr>
      </w:pPr>
      <w:r w:rsidRPr="001471C8">
        <w:rPr>
          <w:color w:val="000000"/>
          <w:sz w:val="26"/>
          <w:szCs w:val="26"/>
        </w:rPr>
        <w:lastRenderedPageBreak/>
        <w:t xml:space="preserve">CenturyLink’s PSP also outlines a </w:t>
      </w:r>
      <w:r w:rsidR="00DD1504" w:rsidRPr="001471C8">
        <w:rPr>
          <w:color w:val="000000"/>
          <w:sz w:val="26"/>
          <w:szCs w:val="26"/>
        </w:rPr>
        <w:t>Service Price Index (SPI)</w:t>
      </w:r>
      <w:r w:rsidRPr="001471C8">
        <w:rPr>
          <w:color w:val="000000"/>
          <w:sz w:val="26"/>
          <w:szCs w:val="26"/>
        </w:rPr>
        <w:t>, which</w:t>
      </w:r>
      <w:r w:rsidR="00DD1504" w:rsidRPr="001471C8">
        <w:rPr>
          <w:color w:val="000000"/>
          <w:sz w:val="26"/>
          <w:szCs w:val="26"/>
        </w:rPr>
        <w:t xml:space="preserve"> tracks the prior changes for noncompetitive services related to the PSI.  </w:t>
      </w:r>
      <w:r w:rsidRPr="001471C8">
        <w:rPr>
          <w:color w:val="000000"/>
          <w:sz w:val="26"/>
          <w:szCs w:val="26"/>
        </w:rPr>
        <w:t xml:space="preserve">Additionally, the </w:t>
      </w:r>
      <w:r w:rsidR="00DD1504" w:rsidRPr="001471C8">
        <w:rPr>
          <w:color w:val="000000"/>
          <w:sz w:val="26"/>
          <w:szCs w:val="26"/>
        </w:rPr>
        <w:t>PSP contains special provisions for protected services</w:t>
      </w:r>
      <w:r w:rsidR="00E61E6E" w:rsidRPr="001471C8">
        <w:rPr>
          <w:rStyle w:val="FootnoteReference"/>
          <w:color w:val="000000"/>
          <w:sz w:val="26"/>
          <w:szCs w:val="26"/>
        </w:rPr>
        <w:footnoteReference w:id="5"/>
      </w:r>
      <w:r w:rsidR="00DD1504" w:rsidRPr="001471C8">
        <w:rPr>
          <w:color w:val="000000"/>
          <w:sz w:val="26"/>
          <w:szCs w:val="26"/>
        </w:rPr>
        <w:t xml:space="preserve"> and addresses revenue neutral rate adjustments for noncompetitive services.</w:t>
      </w:r>
      <w:r w:rsidR="00DD1504" w:rsidRPr="001471C8">
        <w:rPr>
          <w:sz w:val="26"/>
          <w:szCs w:val="26"/>
        </w:rPr>
        <w:t xml:space="preserve"> </w:t>
      </w:r>
      <w:r w:rsidR="00EE4C9D" w:rsidRPr="001471C8">
        <w:rPr>
          <w:sz w:val="26"/>
          <w:szCs w:val="26"/>
        </w:rPr>
        <w:t xml:space="preserve"> </w:t>
      </w:r>
      <w:r w:rsidR="00CF45BE" w:rsidRPr="001471C8">
        <w:rPr>
          <w:i/>
          <w:iCs/>
          <w:sz w:val="26"/>
          <w:szCs w:val="26"/>
        </w:rPr>
        <w:t xml:space="preserve">See </w:t>
      </w:r>
      <w:r w:rsidR="00CF45BE" w:rsidRPr="001471C8">
        <w:rPr>
          <w:sz w:val="26"/>
          <w:szCs w:val="26"/>
        </w:rPr>
        <w:t xml:space="preserve">CenturyLink Chapter 30 Plan at </w:t>
      </w:r>
      <w:r w:rsidR="008D046A" w:rsidRPr="001471C8">
        <w:rPr>
          <w:sz w:val="26"/>
          <w:szCs w:val="26"/>
        </w:rPr>
        <w:t>17, 19</w:t>
      </w:r>
      <w:r w:rsidR="008D046A" w:rsidRPr="001471C8">
        <w:rPr>
          <w:sz w:val="26"/>
          <w:szCs w:val="26"/>
        </w:rPr>
        <w:noBreakHyphen/>
        <w:t xml:space="preserve">21. </w:t>
      </w:r>
      <w:r w:rsidR="00E61F94" w:rsidRPr="001471C8">
        <w:rPr>
          <w:rFonts w:eastAsia="Calibri"/>
          <w:color w:val="000000"/>
          <w:sz w:val="26"/>
          <w:szCs w:val="26"/>
        </w:rPr>
        <w:t xml:space="preserve">Accordingly, annual </w:t>
      </w:r>
      <w:r w:rsidR="003135C0" w:rsidRPr="001471C8">
        <w:rPr>
          <w:rFonts w:eastAsia="Calibri"/>
          <w:color w:val="000000"/>
          <w:sz w:val="26"/>
          <w:szCs w:val="26"/>
        </w:rPr>
        <w:t>PSP</w:t>
      </w:r>
      <w:r w:rsidR="00E61F94" w:rsidRPr="001471C8">
        <w:rPr>
          <w:rFonts w:eastAsia="Calibri"/>
          <w:color w:val="000000"/>
          <w:sz w:val="26"/>
          <w:szCs w:val="26"/>
        </w:rPr>
        <w:t xml:space="preserve"> filings have the potential for substantial rate impacts on end</w:t>
      </w:r>
      <w:r w:rsidR="008D046A" w:rsidRPr="001471C8">
        <w:rPr>
          <w:rFonts w:eastAsia="Calibri"/>
          <w:color w:val="000000"/>
          <w:sz w:val="26"/>
          <w:szCs w:val="26"/>
        </w:rPr>
        <w:noBreakHyphen/>
      </w:r>
      <w:r w:rsidR="00E61F94" w:rsidRPr="001471C8">
        <w:rPr>
          <w:rFonts w:eastAsia="Calibri"/>
          <w:color w:val="000000"/>
          <w:sz w:val="26"/>
          <w:szCs w:val="26"/>
        </w:rPr>
        <w:t>user consumers and the resulting revenues generated from these rates.</w:t>
      </w:r>
    </w:p>
    <w:p w14:paraId="6B7FDEF8" w14:textId="192A8281" w:rsidR="00661E10" w:rsidRPr="001471C8" w:rsidRDefault="00661E10" w:rsidP="00217B05">
      <w:pPr>
        <w:widowControl/>
        <w:spacing w:line="360" w:lineRule="auto"/>
        <w:ind w:firstLine="1440"/>
        <w:contextualSpacing/>
        <w:rPr>
          <w:sz w:val="26"/>
          <w:szCs w:val="26"/>
        </w:rPr>
      </w:pPr>
    </w:p>
    <w:p w14:paraId="0EDD3CDF" w14:textId="02F5464F" w:rsidR="00B730CF" w:rsidRPr="001471C8" w:rsidRDefault="00B730CF" w:rsidP="00217B05">
      <w:pPr>
        <w:widowControl/>
        <w:spacing w:line="360" w:lineRule="auto"/>
        <w:ind w:firstLine="1440"/>
        <w:contextualSpacing/>
        <w:rPr>
          <w:sz w:val="26"/>
          <w:szCs w:val="26"/>
        </w:rPr>
      </w:pPr>
      <w:r w:rsidRPr="001471C8">
        <w:rPr>
          <w:sz w:val="26"/>
          <w:szCs w:val="26"/>
        </w:rPr>
        <w:t>The PSP set forth in CenturyLink’s Chapter 30 Plan is a complete substitution for the traditional rate base/rate of return regulation that</w:t>
      </w:r>
      <w:r w:rsidR="00281602" w:rsidRPr="001471C8">
        <w:rPr>
          <w:sz w:val="26"/>
          <w:szCs w:val="26"/>
        </w:rPr>
        <w:t xml:space="preserve"> is applicable to other utilities under the Commission’s jurisdiction and that</w:t>
      </w:r>
      <w:r w:rsidRPr="001471C8">
        <w:rPr>
          <w:sz w:val="26"/>
          <w:szCs w:val="26"/>
        </w:rPr>
        <w:t xml:space="preserve"> was </w:t>
      </w:r>
      <w:r w:rsidR="00281602" w:rsidRPr="001471C8">
        <w:rPr>
          <w:sz w:val="26"/>
          <w:szCs w:val="26"/>
        </w:rPr>
        <w:t xml:space="preserve">previously in </w:t>
      </w:r>
      <w:r w:rsidRPr="001471C8">
        <w:rPr>
          <w:sz w:val="26"/>
          <w:szCs w:val="26"/>
        </w:rPr>
        <w:t xml:space="preserve">place for all incumbent local telephone companies prior to the enactment of </w:t>
      </w:r>
      <w:r w:rsidR="00A37511">
        <w:rPr>
          <w:sz w:val="26"/>
          <w:szCs w:val="26"/>
        </w:rPr>
        <w:t xml:space="preserve">the original </w:t>
      </w:r>
      <w:r w:rsidRPr="001471C8">
        <w:rPr>
          <w:sz w:val="26"/>
          <w:szCs w:val="26"/>
        </w:rPr>
        <w:t>Chapter 30 in the early 1990’s.  Further</w:t>
      </w:r>
      <w:r w:rsidRPr="001471C8">
        <w:rPr>
          <w:color w:val="000000"/>
          <w:sz w:val="26"/>
          <w:szCs w:val="26"/>
        </w:rPr>
        <w:t>, CenturyLink’s Chapter 30 Plan acknowledges that nothing in its PSP shall be construed to limit the requirement under 66 Pa. C.S. § 1301 that rates shall be just and reasonable</w:t>
      </w:r>
      <w:r w:rsidRPr="001471C8">
        <w:rPr>
          <w:sz w:val="26"/>
          <w:szCs w:val="26"/>
        </w:rPr>
        <w:t>.</w:t>
      </w:r>
      <w:r w:rsidR="0058082E" w:rsidRPr="001471C8">
        <w:rPr>
          <w:sz w:val="26"/>
          <w:szCs w:val="26"/>
        </w:rPr>
        <w:t xml:space="preserve">  </w:t>
      </w:r>
      <w:r w:rsidR="00871D90" w:rsidRPr="001471C8">
        <w:rPr>
          <w:sz w:val="26"/>
          <w:szCs w:val="26"/>
        </w:rPr>
        <w:t>CenturyLink Chapter 30 Plan at 24.</w:t>
      </w:r>
    </w:p>
    <w:p w14:paraId="0096C513" w14:textId="6BB9A6FA" w:rsidR="00D12A70" w:rsidRPr="001471C8" w:rsidRDefault="00D12A70" w:rsidP="00217B05">
      <w:pPr>
        <w:widowControl/>
        <w:spacing w:after="240" w:line="360" w:lineRule="auto"/>
        <w:ind w:firstLine="1440"/>
        <w:contextualSpacing/>
        <w:rPr>
          <w:sz w:val="26"/>
          <w:szCs w:val="26"/>
        </w:rPr>
      </w:pPr>
    </w:p>
    <w:p w14:paraId="4C47C4B9" w14:textId="27BF048D" w:rsidR="00E2093B" w:rsidRPr="001471C8" w:rsidRDefault="00E2093B" w:rsidP="00217B05">
      <w:pPr>
        <w:widowControl/>
        <w:spacing w:line="360" w:lineRule="auto"/>
        <w:ind w:firstLine="1440"/>
        <w:contextualSpacing/>
        <w:rPr>
          <w:sz w:val="26"/>
          <w:szCs w:val="26"/>
        </w:rPr>
      </w:pPr>
      <w:r w:rsidRPr="001471C8">
        <w:rPr>
          <w:sz w:val="26"/>
          <w:szCs w:val="26"/>
        </w:rPr>
        <w:lastRenderedPageBreak/>
        <w:t xml:space="preserve">Pursuant to its Chapter 30 Plan, CenturyLink must file a </w:t>
      </w:r>
      <w:r w:rsidR="0004712D" w:rsidRPr="001471C8">
        <w:rPr>
          <w:sz w:val="26"/>
          <w:szCs w:val="26"/>
        </w:rPr>
        <w:t>PSI and</w:t>
      </w:r>
      <w:r w:rsidRPr="001471C8">
        <w:rPr>
          <w:sz w:val="26"/>
          <w:szCs w:val="26"/>
        </w:rPr>
        <w:t xml:space="preserve"> SPI Report </w:t>
      </w:r>
      <w:r w:rsidR="004460F8">
        <w:rPr>
          <w:sz w:val="26"/>
          <w:szCs w:val="26"/>
        </w:rPr>
        <w:t xml:space="preserve">(PSI/SPI Filing) </w:t>
      </w:r>
      <w:r w:rsidRPr="001471C8">
        <w:rPr>
          <w:sz w:val="26"/>
          <w:szCs w:val="26"/>
        </w:rPr>
        <w:t>on</w:t>
      </w:r>
      <w:r w:rsidR="0052038B" w:rsidRPr="001471C8">
        <w:rPr>
          <w:sz w:val="26"/>
          <w:szCs w:val="26"/>
        </w:rPr>
        <w:t xml:space="preserve"> or about</w:t>
      </w:r>
      <w:r w:rsidRPr="001471C8">
        <w:rPr>
          <w:sz w:val="26"/>
          <w:szCs w:val="26"/>
        </w:rPr>
        <w:t xml:space="preserve"> September 1</w:t>
      </w:r>
      <w:r w:rsidRPr="001471C8">
        <w:rPr>
          <w:sz w:val="26"/>
          <w:szCs w:val="26"/>
          <w:vertAlign w:val="superscript"/>
        </w:rPr>
        <w:t>st</w:t>
      </w:r>
      <w:r w:rsidRPr="001471C8">
        <w:rPr>
          <w:sz w:val="26"/>
          <w:szCs w:val="26"/>
        </w:rPr>
        <w:t xml:space="preserve"> of each year.  When the change in the GDP-PI is positive, the Company has the option of taking the full amount of the increase available to it, taking part of the allowed increase and “banking” the remainder for future use, or banking the increase in its entirety.</w:t>
      </w:r>
      <w:r w:rsidRPr="001471C8">
        <w:rPr>
          <w:sz w:val="26"/>
          <w:szCs w:val="26"/>
          <w:vertAlign w:val="superscript"/>
        </w:rPr>
        <w:footnoteReference w:id="6"/>
      </w:r>
      <w:r w:rsidRPr="001471C8">
        <w:rPr>
          <w:sz w:val="26"/>
          <w:szCs w:val="26"/>
        </w:rPr>
        <w:t xml:space="preserve">  </w:t>
      </w:r>
      <w:r w:rsidRPr="001471C8">
        <w:rPr>
          <w:i/>
          <w:iCs/>
          <w:sz w:val="26"/>
          <w:szCs w:val="26"/>
        </w:rPr>
        <w:t xml:space="preserve">See </w:t>
      </w:r>
      <w:r w:rsidRPr="001471C8">
        <w:rPr>
          <w:sz w:val="26"/>
          <w:szCs w:val="26"/>
        </w:rPr>
        <w:t>CenturyLink Chapter 30 Plan at 17, 24.</w:t>
      </w:r>
      <w:r w:rsidR="0004712D" w:rsidRPr="001471C8">
        <w:rPr>
          <w:sz w:val="26"/>
          <w:szCs w:val="26"/>
        </w:rPr>
        <w:t xml:space="preserve">  </w:t>
      </w:r>
    </w:p>
    <w:p w14:paraId="421C0CF1" w14:textId="4929582F" w:rsidR="0004712D" w:rsidRPr="001471C8" w:rsidRDefault="0004712D" w:rsidP="00217B05">
      <w:pPr>
        <w:widowControl/>
        <w:spacing w:line="360" w:lineRule="auto"/>
        <w:ind w:firstLine="1440"/>
        <w:contextualSpacing/>
        <w:rPr>
          <w:sz w:val="26"/>
          <w:szCs w:val="26"/>
        </w:rPr>
      </w:pPr>
    </w:p>
    <w:p w14:paraId="5228ECB9" w14:textId="49D7E4FF" w:rsidR="0004712D" w:rsidRPr="001471C8" w:rsidRDefault="0004712D" w:rsidP="00217B05">
      <w:pPr>
        <w:widowControl/>
        <w:spacing w:line="360" w:lineRule="auto"/>
        <w:ind w:firstLine="1440"/>
        <w:contextualSpacing/>
        <w:rPr>
          <w:color w:val="000000"/>
          <w:sz w:val="26"/>
          <w:szCs w:val="26"/>
        </w:rPr>
      </w:pPr>
      <w:r w:rsidRPr="001471C8">
        <w:rPr>
          <w:sz w:val="26"/>
          <w:szCs w:val="26"/>
        </w:rPr>
        <w:t xml:space="preserve">As discussed below, this proceeding centers on CenturyLink’s PSI/SPI Filings for 2018 and 2019.  </w:t>
      </w:r>
      <w:r w:rsidR="0052038B" w:rsidRPr="001471C8">
        <w:rPr>
          <w:sz w:val="26"/>
          <w:szCs w:val="26"/>
        </w:rPr>
        <w:t xml:space="preserve">The OCA filed </w:t>
      </w:r>
      <w:r w:rsidR="007B1A7E">
        <w:rPr>
          <w:sz w:val="26"/>
          <w:szCs w:val="26"/>
        </w:rPr>
        <w:t>f</w:t>
      </w:r>
      <w:r w:rsidR="0052038B" w:rsidRPr="001471C8">
        <w:rPr>
          <w:sz w:val="26"/>
          <w:szCs w:val="26"/>
        </w:rPr>
        <w:t xml:space="preserve">ormal </w:t>
      </w:r>
      <w:r w:rsidR="007B1A7E">
        <w:rPr>
          <w:sz w:val="26"/>
          <w:szCs w:val="26"/>
        </w:rPr>
        <w:t>c</w:t>
      </w:r>
      <w:r w:rsidR="0052038B" w:rsidRPr="001471C8">
        <w:rPr>
          <w:sz w:val="26"/>
          <w:szCs w:val="26"/>
        </w:rPr>
        <w:t xml:space="preserve">omplaints against each filing and the OSBA filed </w:t>
      </w:r>
      <w:r w:rsidR="00165DD3" w:rsidRPr="00165DD3">
        <w:rPr>
          <w:sz w:val="26"/>
          <w:szCs w:val="26"/>
        </w:rPr>
        <w:t>Notice of Intervention and Public Statement (Notice</w:t>
      </w:r>
      <w:r w:rsidR="00165DD3">
        <w:rPr>
          <w:sz w:val="26"/>
          <w:szCs w:val="26"/>
        </w:rPr>
        <w:t>s</w:t>
      </w:r>
      <w:r w:rsidR="00165DD3" w:rsidRPr="00165DD3">
        <w:rPr>
          <w:sz w:val="26"/>
          <w:szCs w:val="26"/>
        </w:rPr>
        <w:t xml:space="preserve"> of Intervention)</w:t>
      </w:r>
      <w:r w:rsidR="0052038B" w:rsidRPr="001471C8">
        <w:rPr>
          <w:sz w:val="26"/>
          <w:szCs w:val="26"/>
        </w:rPr>
        <w:t xml:space="preserve"> against each filing.  The OCA and the OSBA each took the position that the </w:t>
      </w:r>
      <w:r w:rsidR="0052038B" w:rsidRPr="001471C8">
        <w:rPr>
          <w:color w:val="000000"/>
          <w:sz w:val="26"/>
          <w:szCs w:val="26"/>
        </w:rPr>
        <w:t>federal Tax Cuts and Jobs Act of 2017, Public Law No. 115-97, 131 Stat. 2054 (TCJA), which became effective on January 1, 2018, may qualify as an exogenous event under the Company’s Chapter 30 Plan</w:t>
      </w:r>
      <w:r w:rsidR="00B702F7">
        <w:rPr>
          <w:color w:val="000000"/>
          <w:sz w:val="26"/>
          <w:szCs w:val="26"/>
        </w:rPr>
        <w:t>,</w:t>
      </w:r>
      <w:r w:rsidR="0052038B" w:rsidRPr="001471C8">
        <w:rPr>
          <w:color w:val="000000"/>
          <w:sz w:val="26"/>
          <w:szCs w:val="26"/>
        </w:rPr>
        <w:t xml:space="preserve"> requiring an adjustment to the Company’s PSI formula.  In contrast, CenturyLink </w:t>
      </w:r>
      <w:r w:rsidR="00983B29" w:rsidRPr="001471C8">
        <w:rPr>
          <w:color w:val="000000"/>
          <w:sz w:val="26"/>
          <w:szCs w:val="26"/>
        </w:rPr>
        <w:t xml:space="preserve">opined that the effects of the TCJA are already captured in the GDP-PI, such that no adjustment to its PSI formula is necessary.  </w:t>
      </w:r>
      <w:r w:rsidR="00105292" w:rsidRPr="001471C8">
        <w:rPr>
          <w:color w:val="000000"/>
          <w:sz w:val="26"/>
          <w:szCs w:val="26"/>
        </w:rPr>
        <w:t xml:space="preserve">Subsequently, however, the </w:t>
      </w:r>
      <w:r w:rsidR="005A4F6B" w:rsidRPr="001471C8">
        <w:rPr>
          <w:color w:val="000000"/>
          <w:sz w:val="26"/>
          <w:szCs w:val="26"/>
        </w:rPr>
        <w:t xml:space="preserve">Joint Petitioners “agreed to disagree” and reached a unanimous Settlement of all issues in the Company’s 2018 and 2019 PSI/SPI </w:t>
      </w:r>
      <w:r w:rsidR="00B702F7">
        <w:rPr>
          <w:color w:val="000000"/>
          <w:sz w:val="26"/>
          <w:szCs w:val="26"/>
        </w:rPr>
        <w:t>Filing</w:t>
      </w:r>
      <w:r w:rsidR="005A4F6B" w:rsidRPr="001471C8">
        <w:rPr>
          <w:color w:val="000000"/>
          <w:sz w:val="26"/>
          <w:szCs w:val="26"/>
        </w:rPr>
        <w:t xml:space="preserve">s.  </w:t>
      </w:r>
      <w:r w:rsidR="005A4F6B" w:rsidRPr="001471C8">
        <w:rPr>
          <w:i/>
          <w:iCs/>
          <w:color w:val="000000"/>
          <w:sz w:val="26"/>
          <w:szCs w:val="26"/>
        </w:rPr>
        <w:t xml:space="preserve">See </w:t>
      </w:r>
      <w:r w:rsidR="005A4F6B" w:rsidRPr="001471C8">
        <w:rPr>
          <w:color w:val="000000"/>
          <w:sz w:val="26"/>
          <w:szCs w:val="26"/>
        </w:rPr>
        <w:t xml:space="preserve">OSBA Statement in Support of Settlement (Statement in Support) at 5.  </w:t>
      </w:r>
    </w:p>
    <w:p w14:paraId="33EA918A" w14:textId="48DE1D12" w:rsidR="00E14391" w:rsidRPr="001471C8" w:rsidRDefault="00E14391" w:rsidP="00217B05">
      <w:pPr>
        <w:widowControl/>
        <w:spacing w:line="360" w:lineRule="auto"/>
        <w:ind w:firstLine="1440"/>
        <w:contextualSpacing/>
        <w:rPr>
          <w:color w:val="000000"/>
          <w:sz w:val="26"/>
          <w:szCs w:val="26"/>
        </w:rPr>
      </w:pPr>
    </w:p>
    <w:p w14:paraId="0C0E0F63" w14:textId="0D1EB25D" w:rsidR="00E14391" w:rsidRPr="001471C8" w:rsidRDefault="00E14391" w:rsidP="00217B05">
      <w:pPr>
        <w:widowControl/>
        <w:spacing w:line="360" w:lineRule="auto"/>
        <w:ind w:firstLine="1440"/>
        <w:contextualSpacing/>
        <w:rPr>
          <w:sz w:val="26"/>
          <w:szCs w:val="26"/>
        </w:rPr>
      </w:pPr>
      <w:r w:rsidRPr="001471C8">
        <w:rPr>
          <w:color w:val="000000"/>
          <w:sz w:val="26"/>
          <w:szCs w:val="26"/>
        </w:rPr>
        <w:t>Nonetheless, the ALJs recommended that the Commission reject the Settlement</w:t>
      </w:r>
      <w:r w:rsidR="009671A3" w:rsidRPr="001471C8">
        <w:rPr>
          <w:color w:val="000000"/>
          <w:sz w:val="26"/>
          <w:szCs w:val="26"/>
        </w:rPr>
        <w:t xml:space="preserve">.  </w:t>
      </w:r>
      <w:r w:rsidR="003E04E7" w:rsidRPr="001471C8">
        <w:rPr>
          <w:color w:val="000000"/>
          <w:sz w:val="26"/>
          <w:szCs w:val="26"/>
        </w:rPr>
        <w:t xml:space="preserve">The ALJs found, </w:t>
      </w:r>
      <w:r w:rsidR="003E04E7" w:rsidRPr="001471C8">
        <w:rPr>
          <w:i/>
          <w:iCs/>
          <w:color w:val="000000"/>
          <w:sz w:val="26"/>
          <w:szCs w:val="26"/>
        </w:rPr>
        <w:t xml:space="preserve">inter alia, </w:t>
      </w:r>
      <w:r w:rsidR="003E04E7" w:rsidRPr="001471C8">
        <w:rPr>
          <w:color w:val="000000"/>
          <w:sz w:val="26"/>
          <w:szCs w:val="26"/>
        </w:rPr>
        <w:t xml:space="preserve">that the proposed Settlement </w:t>
      </w:r>
      <w:r w:rsidR="00D53FE2" w:rsidRPr="001471C8">
        <w:rPr>
          <w:color w:val="000000"/>
          <w:sz w:val="26"/>
          <w:szCs w:val="26"/>
        </w:rPr>
        <w:t xml:space="preserve">failed to respond to the directives </w:t>
      </w:r>
      <w:r w:rsidR="00BD6FB8" w:rsidRPr="001471C8">
        <w:rPr>
          <w:color w:val="000000"/>
          <w:sz w:val="26"/>
          <w:szCs w:val="26"/>
        </w:rPr>
        <w:t xml:space="preserve">provided by the Commission in its decision in </w:t>
      </w:r>
      <w:r w:rsidR="00BD6FB8" w:rsidRPr="001471C8">
        <w:rPr>
          <w:i/>
          <w:iCs/>
          <w:color w:val="000000"/>
          <w:sz w:val="26"/>
          <w:szCs w:val="26"/>
        </w:rPr>
        <w:t>Tax Cuts and Jobs Act of 2017 Petition to Rescind Secretarial Letter and Discontinue Temporary Stay</w:t>
      </w:r>
      <w:r w:rsidR="00BD6FB8" w:rsidRPr="001471C8">
        <w:rPr>
          <w:color w:val="000000"/>
          <w:sz w:val="26"/>
          <w:szCs w:val="26"/>
        </w:rPr>
        <w:t>, Docket Number M-2018-2641242 (Order entered October 25, 2018) (</w:t>
      </w:r>
      <w:r w:rsidR="00BD6FB8" w:rsidRPr="001471C8">
        <w:rPr>
          <w:i/>
          <w:iCs/>
          <w:color w:val="000000"/>
          <w:sz w:val="26"/>
          <w:szCs w:val="26"/>
        </w:rPr>
        <w:t>October 2018 Order</w:t>
      </w:r>
      <w:r w:rsidR="00BD6FB8" w:rsidRPr="001471C8">
        <w:rPr>
          <w:color w:val="000000"/>
          <w:sz w:val="26"/>
          <w:szCs w:val="26"/>
        </w:rPr>
        <w:t>).</w:t>
      </w:r>
      <w:r w:rsidR="009671A3" w:rsidRPr="001471C8">
        <w:rPr>
          <w:color w:val="000000"/>
          <w:sz w:val="26"/>
          <w:szCs w:val="26"/>
        </w:rPr>
        <w:t xml:space="preserve"> </w:t>
      </w:r>
    </w:p>
    <w:p w14:paraId="09ACB59A" w14:textId="41BF7DB5" w:rsidR="00165D29" w:rsidRPr="001471C8" w:rsidRDefault="00165D29" w:rsidP="00217B05">
      <w:pPr>
        <w:widowControl/>
        <w:spacing w:line="360" w:lineRule="auto"/>
        <w:ind w:firstLine="1440"/>
        <w:contextualSpacing/>
        <w:rPr>
          <w:sz w:val="26"/>
          <w:szCs w:val="26"/>
        </w:rPr>
      </w:pPr>
    </w:p>
    <w:p w14:paraId="6A465B66" w14:textId="1DBD600C" w:rsidR="00165D29" w:rsidRPr="001471C8" w:rsidRDefault="00165D29" w:rsidP="00217B05">
      <w:pPr>
        <w:pStyle w:val="Heading1"/>
        <w:widowControl/>
        <w:numPr>
          <w:ilvl w:val="0"/>
          <w:numId w:val="9"/>
        </w:numPr>
        <w:spacing w:before="0" w:line="360" w:lineRule="auto"/>
        <w:ind w:left="0" w:firstLine="0"/>
        <w:contextualSpacing/>
        <w:jc w:val="center"/>
        <w:rPr>
          <w:rStyle w:val="Heading1Char"/>
          <w:rFonts w:ascii="Times New Roman" w:hAnsi="Times New Roman" w:cs="Times New Roman"/>
          <w:b/>
          <w:bCs/>
          <w:color w:val="auto"/>
          <w:sz w:val="26"/>
          <w:szCs w:val="26"/>
        </w:rPr>
      </w:pPr>
      <w:bookmarkStart w:id="3" w:name="_Toc91762302"/>
      <w:r w:rsidRPr="001471C8">
        <w:rPr>
          <w:rStyle w:val="Heading1Char"/>
          <w:rFonts w:ascii="Times New Roman" w:hAnsi="Times New Roman" w:cs="Times New Roman"/>
          <w:b/>
          <w:bCs/>
          <w:color w:val="auto"/>
          <w:sz w:val="26"/>
          <w:szCs w:val="26"/>
        </w:rPr>
        <w:t>History of the Proceeding</w:t>
      </w:r>
      <w:bookmarkEnd w:id="3"/>
    </w:p>
    <w:p w14:paraId="1825315F" w14:textId="051A7DCF" w:rsidR="00165D29" w:rsidRPr="001471C8" w:rsidRDefault="00165D29" w:rsidP="00217B05">
      <w:pPr>
        <w:keepNext/>
        <w:keepLines/>
        <w:widowControl/>
        <w:spacing w:line="360" w:lineRule="auto"/>
        <w:ind w:firstLine="1440"/>
        <w:contextualSpacing/>
        <w:rPr>
          <w:sz w:val="26"/>
          <w:szCs w:val="26"/>
        </w:rPr>
      </w:pPr>
    </w:p>
    <w:p w14:paraId="1E010215" w14:textId="2B5D4B9B" w:rsidR="002217FB" w:rsidRPr="001471C8" w:rsidRDefault="002217FB" w:rsidP="00217B05">
      <w:pPr>
        <w:widowControl/>
        <w:spacing w:line="360" w:lineRule="auto"/>
        <w:ind w:firstLine="1440"/>
        <w:contextualSpacing/>
        <w:rPr>
          <w:sz w:val="26"/>
          <w:szCs w:val="26"/>
        </w:rPr>
      </w:pPr>
      <w:r w:rsidRPr="001471C8">
        <w:rPr>
          <w:sz w:val="26"/>
          <w:szCs w:val="26"/>
        </w:rPr>
        <w:t xml:space="preserve">On August 29, 2018, </w:t>
      </w:r>
      <w:r w:rsidRPr="001471C8">
        <w:rPr>
          <w:bCs/>
          <w:sz w:val="26"/>
          <w:szCs w:val="26"/>
        </w:rPr>
        <w:t xml:space="preserve">CenturyLink </w:t>
      </w:r>
      <w:r w:rsidR="008C113C">
        <w:rPr>
          <w:bCs/>
          <w:sz w:val="26"/>
          <w:szCs w:val="26"/>
        </w:rPr>
        <w:t>filed</w:t>
      </w:r>
      <w:r w:rsidR="005E2306">
        <w:rPr>
          <w:bCs/>
          <w:sz w:val="26"/>
          <w:szCs w:val="26"/>
        </w:rPr>
        <w:t xml:space="preserve"> its 2018 </w:t>
      </w:r>
      <w:r w:rsidR="008C113C">
        <w:rPr>
          <w:bCs/>
          <w:sz w:val="26"/>
          <w:szCs w:val="26"/>
        </w:rPr>
        <w:t>PSI/SPI Filing</w:t>
      </w:r>
      <w:r w:rsidRPr="001471C8">
        <w:rPr>
          <w:sz w:val="26"/>
          <w:szCs w:val="26"/>
        </w:rPr>
        <w:t xml:space="preserve"> with the Commission at Docket No. R-2018-3004019 under the provisions of Chapter 30</w:t>
      </w:r>
      <w:r w:rsidR="0014460F" w:rsidRPr="001471C8">
        <w:rPr>
          <w:sz w:val="26"/>
          <w:szCs w:val="26"/>
        </w:rPr>
        <w:t xml:space="preserve"> and </w:t>
      </w:r>
      <w:r w:rsidRPr="001471C8">
        <w:rPr>
          <w:sz w:val="26"/>
          <w:szCs w:val="26"/>
        </w:rPr>
        <w:t xml:space="preserve">pursuant to the Company’s Chapter 30 Plan.  A copy of its </w:t>
      </w:r>
      <w:r w:rsidR="008C113C">
        <w:rPr>
          <w:sz w:val="26"/>
          <w:szCs w:val="26"/>
        </w:rPr>
        <w:t xml:space="preserve">2018 </w:t>
      </w:r>
      <w:r w:rsidRPr="001471C8">
        <w:rPr>
          <w:sz w:val="26"/>
          <w:szCs w:val="26"/>
        </w:rPr>
        <w:t xml:space="preserve">PSI/SPI </w:t>
      </w:r>
      <w:r w:rsidR="008C113C">
        <w:rPr>
          <w:sz w:val="26"/>
          <w:szCs w:val="26"/>
        </w:rPr>
        <w:t>Filing</w:t>
      </w:r>
      <w:r w:rsidRPr="001471C8">
        <w:rPr>
          <w:sz w:val="26"/>
          <w:szCs w:val="26"/>
        </w:rPr>
        <w:t xml:space="preserve"> was served on the OSBA, the OCA</w:t>
      </w:r>
      <w:r w:rsidR="0080650C">
        <w:rPr>
          <w:sz w:val="26"/>
          <w:szCs w:val="26"/>
        </w:rPr>
        <w:t>,</w:t>
      </w:r>
      <w:r w:rsidRPr="001471C8">
        <w:rPr>
          <w:sz w:val="26"/>
          <w:szCs w:val="26"/>
        </w:rPr>
        <w:t xml:space="preserve"> and the Commission’s Bureau of Investigation and Enforcement (I&amp;E).  </w:t>
      </w:r>
    </w:p>
    <w:p w14:paraId="27B99C79" w14:textId="77777777" w:rsidR="002217FB" w:rsidRPr="001471C8" w:rsidRDefault="002217FB" w:rsidP="00217B05">
      <w:pPr>
        <w:widowControl/>
        <w:spacing w:line="360" w:lineRule="auto"/>
        <w:ind w:firstLine="1440"/>
        <w:contextualSpacing/>
        <w:rPr>
          <w:sz w:val="26"/>
          <w:szCs w:val="26"/>
        </w:rPr>
      </w:pPr>
    </w:p>
    <w:p w14:paraId="16B49451" w14:textId="7DAC5420" w:rsidR="002217FB" w:rsidRPr="001471C8" w:rsidRDefault="002217FB" w:rsidP="00217B05">
      <w:pPr>
        <w:widowControl/>
        <w:spacing w:line="360" w:lineRule="auto"/>
        <w:ind w:firstLine="1440"/>
        <w:contextualSpacing/>
        <w:rPr>
          <w:sz w:val="26"/>
          <w:szCs w:val="26"/>
        </w:rPr>
      </w:pPr>
      <w:r w:rsidRPr="001471C8">
        <w:rPr>
          <w:sz w:val="26"/>
          <w:szCs w:val="26"/>
        </w:rPr>
        <w:t xml:space="preserve">CenturyLink indicated that using the change in 2017 and 2018 first quarter GDP-PI, the </w:t>
      </w:r>
      <w:r w:rsidR="008C113C">
        <w:rPr>
          <w:sz w:val="26"/>
          <w:szCs w:val="26"/>
        </w:rPr>
        <w:t>2018 PSI/SPI filing</w:t>
      </w:r>
      <w:r w:rsidRPr="001471C8">
        <w:rPr>
          <w:sz w:val="26"/>
          <w:szCs w:val="26"/>
        </w:rPr>
        <w:t xml:space="preserve"> produces a 1.90% increase in the </w:t>
      </w:r>
      <w:r w:rsidR="000E0AC1">
        <w:rPr>
          <w:sz w:val="26"/>
          <w:szCs w:val="26"/>
        </w:rPr>
        <w:t>Company’s PSI</w:t>
      </w:r>
      <w:r w:rsidRPr="001471C8">
        <w:rPr>
          <w:sz w:val="26"/>
          <w:szCs w:val="26"/>
        </w:rPr>
        <w:t xml:space="preserve"> and that applying this change to noncompetitive revenues yield</w:t>
      </w:r>
      <w:r w:rsidR="0014460F" w:rsidRPr="001471C8">
        <w:rPr>
          <w:sz w:val="26"/>
          <w:szCs w:val="26"/>
        </w:rPr>
        <w:t>ed</w:t>
      </w:r>
      <w:r w:rsidRPr="001471C8">
        <w:rPr>
          <w:sz w:val="26"/>
          <w:szCs w:val="26"/>
        </w:rPr>
        <w:t xml:space="preserve"> a maximum allowed noncompetitive revenue increase of $473,890</w:t>
      </w:r>
      <w:r w:rsidR="007B1A7E">
        <w:rPr>
          <w:sz w:val="26"/>
          <w:szCs w:val="26"/>
        </w:rPr>
        <w:t>, on an annual basis</w:t>
      </w:r>
      <w:r w:rsidRPr="001471C8">
        <w:rPr>
          <w:sz w:val="26"/>
          <w:szCs w:val="26"/>
        </w:rPr>
        <w:t xml:space="preserve">.  </w:t>
      </w:r>
      <w:r w:rsidR="000E0AC1">
        <w:rPr>
          <w:sz w:val="26"/>
          <w:szCs w:val="26"/>
        </w:rPr>
        <w:t xml:space="preserve">However, the Company </w:t>
      </w:r>
      <w:r w:rsidRPr="001471C8">
        <w:rPr>
          <w:sz w:val="26"/>
          <w:szCs w:val="26"/>
        </w:rPr>
        <w:t xml:space="preserve">did not seek </w:t>
      </w:r>
      <w:r w:rsidR="000E0AC1">
        <w:rPr>
          <w:sz w:val="26"/>
          <w:szCs w:val="26"/>
        </w:rPr>
        <w:t xml:space="preserve">any </w:t>
      </w:r>
      <w:r w:rsidRPr="001471C8">
        <w:rPr>
          <w:sz w:val="26"/>
          <w:szCs w:val="26"/>
        </w:rPr>
        <w:t>increases, including to its residential or business basic local exchange rates, but banked the entire allowable revenue increase for future use as permitted by its Chapter 30 Plan.</w:t>
      </w:r>
    </w:p>
    <w:p w14:paraId="645932AF" w14:textId="249859D6" w:rsidR="00165D29" w:rsidRPr="001471C8" w:rsidRDefault="00165D29" w:rsidP="00217B05">
      <w:pPr>
        <w:widowControl/>
        <w:spacing w:line="360" w:lineRule="auto"/>
        <w:ind w:firstLine="1440"/>
        <w:contextualSpacing/>
        <w:rPr>
          <w:sz w:val="26"/>
          <w:szCs w:val="26"/>
        </w:rPr>
      </w:pPr>
    </w:p>
    <w:p w14:paraId="03BB3BA4" w14:textId="2E629BD1" w:rsidR="002217FB" w:rsidRPr="001471C8" w:rsidRDefault="00B64C7A" w:rsidP="00217B05">
      <w:pPr>
        <w:widowControl/>
        <w:spacing w:line="360" w:lineRule="auto"/>
        <w:ind w:firstLine="1440"/>
        <w:contextualSpacing/>
        <w:rPr>
          <w:sz w:val="26"/>
          <w:szCs w:val="26"/>
        </w:rPr>
      </w:pPr>
      <w:r w:rsidRPr="001471C8">
        <w:rPr>
          <w:sz w:val="26"/>
          <w:szCs w:val="26"/>
        </w:rPr>
        <w:t xml:space="preserve">On September 12, 2018, the Company, </w:t>
      </w:r>
      <w:r w:rsidR="007B1A7E">
        <w:rPr>
          <w:sz w:val="26"/>
          <w:szCs w:val="26"/>
        </w:rPr>
        <w:t xml:space="preserve">the </w:t>
      </w:r>
      <w:r w:rsidRPr="001471C8">
        <w:rPr>
          <w:sz w:val="26"/>
          <w:szCs w:val="26"/>
        </w:rPr>
        <w:t xml:space="preserve">OCA and </w:t>
      </w:r>
      <w:r w:rsidR="007B1A7E">
        <w:rPr>
          <w:sz w:val="26"/>
          <w:szCs w:val="26"/>
        </w:rPr>
        <w:t xml:space="preserve">the </w:t>
      </w:r>
      <w:r w:rsidRPr="001471C8">
        <w:rPr>
          <w:sz w:val="26"/>
          <w:szCs w:val="26"/>
        </w:rPr>
        <w:t xml:space="preserve">OSBA filed a Joint Procedural Stipulation regarding CenturyLink’s 2018 PSI/SPI </w:t>
      </w:r>
      <w:r w:rsidR="000E0AC1">
        <w:rPr>
          <w:sz w:val="26"/>
          <w:szCs w:val="26"/>
        </w:rPr>
        <w:t>Filing</w:t>
      </w:r>
      <w:r w:rsidRPr="001471C8">
        <w:rPr>
          <w:sz w:val="26"/>
          <w:szCs w:val="26"/>
        </w:rPr>
        <w:t xml:space="preserve">.  The </w:t>
      </w:r>
      <w:r w:rsidR="000E0AC1">
        <w:rPr>
          <w:sz w:val="26"/>
          <w:szCs w:val="26"/>
        </w:rPr>
        <w:t>P</w:t>
      </w:r>
      <w:r w:rsidRPr="001471C8">
        <w:rPr>
          <w:sz w:val="26"/>
          <w:szCs w:val="26"/>
        </w:rPr>
        <w:t xml:space="preserve">arties stipulated, </w:t>
      </w:r>
      <w:r w:rsidRPr="001471C8">
        <w:rPr>
          <w:i/>
          <w:iCs/>
          <w:sz w:val="26"/>
          <w:szCs w:val="26"/>
        </w:rPr>
        <w:t>inter alia</w:t>
      </w:r>
      <w:r w:rsidRPr="001471C8">
        <w:rPr>
          <w:sz w:val="26"/>
          <w:szCs w:val="26"/>
        </w:rPr>
        <w:t xml:space="preserve">, that the filing of any OCA or OSBA formal complaint regarding CenturyLink’s 2018 PSI/SPI </w:t>
      </w:r>
      <w:r w:rsidR="0029212D">
        <w:rPr>
          <w:sz w:val="26"/>
          <w:szCs w:val="26"/>
        </w:rPr>
        <w:t>Filing</w:t>
      </w:r>
      <w:r w:rsidRPr="001471C8">
        <w:rPr>
          <w:sz w:val="26"/>
          <w:szCs w:val="26"/>
        </w:rPr>
        <w:t xml:space="preserve"> would be held in abeyance for a period of 30 days pending Commission action on an August 24, 2018 Petition to Rescind and Discontinue the Temporary Stay (Petition to Rescind) filed by a group of </w:t>
      </w:r>
      <w:r w:rsidR="0029212D">
        <w:rPr>
          <w:sz w:val="26"/>
          <w:szCs w:val="26"/>
        </w:rPr>
        <w:t>RLECs</w:t>
      </w:r>
      <w:r w:rsidRPr="001471C8">
        <w:rPr>
          <w:sz w:val="26"/>
          <w:szCs w:val="26"/>
        </w:rPr>
        <w:t xml:space="preserve"> following the Commission’s issuance of a Secretarial Letter on August 9, 2018</w:t>
      </w:r>
      <w:r w:rsidR="0029212D">
        <w:rPr>
          <w:sz w:val="26"/>
          <w:szCs w:val="26"/>
        </w:rPr>
        <w:t xml:space="preserve"> (</w:t>
      </w:r>
      <w:r w:rsidR="0029212D" w:rsidRPr="001471C8">
        <w:rPr>
          <w:i/>
          <w:iCs/>
          <w:sz w:val="26"/>
          <w:szCs w:val="26"/>
        </w:rPr>
        <w:t>August 2018 Secretarial Letter</w:t>
      </w:r>
      <w:r w:rsidR="00AA2D70">
        <w:rPr>
          <w:sz w:val="26"/>
          <w:szCs w:val="26"/>
        </w:rPr>
        <w:t>)</w:t>
      </w:r>
      <w:r w:rsidRPr="001471C8">
        <w:rPr>
          <w:sz w:val="26"/>
          <w:szCs w:val="26"/>
        </w:rPr>
        <w:t xml:space="preserve"> in its investigation to determine the effects of </w:t>
      </w:r>
      <w:r w:rsidR="007B1A7E">
        <w:rPr>
          <w:sz w:val="26"/>
          <w:szCs w:val="26"/>
        </w:rPr>
        <w:t xml:space="preserve">the </w:t>
      </w:r>
      <w:r w:rsidR="00AA2D70">
        <w:rPr>
          <w:sz w:val="26"/>
          <w:szCs w:val="26"/>
        </w:rPr>
        <w:t xml:space="preserve">TCJA </w:t>
      </w:r>
      <w:r w:rsidRPr="001471C8">
        <w:rPr>
          <w:sz w:val="26"/>
          <w:szCs w:val="26"/>
        </w:rPr>
        <w:t>on Pennsylvania ILECs</w:t>
      </w:r>
      <w:r w:rsidR="002C4174">
        <w:rPr>
          <w:rStyle w:val="FootnoteReference"/>
          <w:sz w:val="26"/>
          <w:szCs w:val="26"/>
        </w:rPr>
        <w:footnoteReference w:id="7"/>
      </w:r>
      <w:r w:rsidRPr="001471C8">
        <w:rPr>
          <w:sz w:val="26"/>
          <w:szCs w:val="26"/>
        </w:rPr>
        <w:t xml:space="preserve"> for 2018 and future years and/or until such other time as the parties mutually agree.  </w:t>
      </w:r>
      <w:r w:rsidR="00D46BD8" w:rsidRPr="001471C8">
        <w:rPr>
          <w:sz w:val="26"/>
          <w:szCs w:val="26"/>
        </w:rPr>
        <w:t xml:space="preserve">Additionally, the OCA and </w:t>
      </w:r>
      <w:r w:rsidR="007B1A7E">
        <w:rPr>
          <w:sz w:val="26"/>
          <w:szCs w:val="26"/>
        </w:rPr>
        <w:t xml:space="preserve">the </w:t>
      </w:r>
      <w:r w:rsidR="00D46BD8" w:rsidRPr="001471C8">
        <w:rPr>
          <w:sz w:val="26"/>
          <w:szCs w:val="26"/>
        </w:rPr>
        <w:t xml:space="preserve">OSBA agreed not to oppose any action by the Commission to accept CenturyLink’s 2018 PSI/SPI </w:t>
      </w:r>
      <w:r w:rsidR="003C79B4">
        <w:rPr>
          <w:sz w:val="26"/>
          <w:szCs w:val="26"/>
        </w:rPr>
        <w:t>Filing</w:t>
      </w:r>
      <w:r w:rsidR="00D46BD8" w:rsidRPr="001471C8">
        <w:rPr>
          <w:sz w:val="26"/>
          <w:szCs w:val="26"/>
        </w:rPr>
        <w:t xml:space="preserve"> as being procedurally consistent with its Chapter 30 Plan and to permit it to go into effect subject to any adjudication of any formal complaints or interventions filed by </w:t>
      </w:r>
      <w:r w:rsidR="007B1A7E">
        <w:rPr>
          <w:sz w:val="26"/>
          <w:szCs w:val="26"/>
        </w:rPr>
        <w:t>the OCA and</w:t>
      </w:r>
      <w:r w:rsidR="001D61BA">
        <w:rPr>
          <w:sz w:val="26"/>
          <w:szCs w:val="26"/>
        </w:rPr>
        <w:t xml:space="preserve">/or the </w:t>
      </w:r>
      <w:r w:rsidR="00D46BD8" w:rsidRPr="001471C8">
        <w:rPr>
          <w:sz w:val="26"/>
          <w:szCs w:val="26"/>
        </w:rPr>
        <w:t>OSBA.</w:t>
      </w:r>
    </w:p>
    <w:p w14:paraId="5E43A0A9" w14:textId="3F4B4877" w:rsidR="00DD5189" w:rsidRPr="001471C8" w:rsidRDefault="00DD5189" w:rsidP="00217B05">
      <w:pPr>
        <w:widowControl/>
        <w:spacing w:line="360" w:lineRule="auto"/>
        <w:ind w:firstLine="1440"/>
        <w:contextualSpacing/>
        <w:rPr>
          <w:sz w:val="26"/>
          <w:szCs w:val="26"/>
        </w:rPr>
      </w:pPr>
    </w:p>
    <w:p w14:paraId="4C3E1767" w14:textId="471C16F6" w:rsidR="0074645C" w:rsidRPr="001471C8" w:rsidRDefault="0074645C" w:rsidP="00217B05">
      <w:pPr>
        <w:widowControl/>
        <w:spacing w:line="360" w:lineRule="auto"/>
        <w:ind w:firstLine="1440"/>
        <w:contextualSpacing/>
        <w:rPr>
          <w:sz w:val="26"/>
          <w:szCs w:val="26"/>
        </w:rPr>
      </w:pPr>
      <w:r w:rsidRPr="001471C8">
        <w:rPr>
          <w:sz w:val="26"/>
          <w:szCs w:val="26"/>
        </w:rPr>
        <w:t xml:space="preserve">On October 12, 2018, the OSBA filed a Notice of </w:t>
      </w:r>
      <w:r w:rsidR="001D61BA">
        <w:rPr>
          <w:sz w:val="26"/>
          <w:szCs w:val="26"/>
        </w:rPr>
        <w:t>Intervention</w:t>
      </w:r>
      <w:r w:rsidRPr="001471C8">
        <w:rPr>
          <w:sz w:val="26"/>
          <w:szCs w:val="26"/>
        </w:rPr>
        <w:t xml:space="preserve">.  The OSBA stated that its intervention was necessary to protect the interests of the Company’s small business customers.  </w:t>
      </w:r>
      <w:r w:rsidR="00327922" w:rsidRPr="001471C8">
        <w:rPr>
          <w:sz w:val="26"/>
          <w:szCs w:val="26"/>
        </w:rPr>
        <w:t xml:space="preserve">The </w:t>
      </w:r>
      <w:r w:rsidRPr="001471C8">
        <w:rPr>
          <w:sz w:val="26"/>
          <w:szCs w:val="26"/>
        </w:rPr>
        <w:t xml:space="preserve">OSBA requested that the Commission direct the Office of Administrative Law Judge </w:t>
      </w:r>
      <w:r w:rsidR="0065587B">
        <w:rPr>
          <w:sz w:val="26"/>
          <w:szCs w:val="26"/>
        </w:rPr>
        <w:t xml:space="preserve">(OALJ) </w:t>
      </w:r>
      <w:r w:rsidRPr="001471C8">
        <w:rPr>
          <w:sz w:val="26"/>
          <w:szCs w:val="26"/>
        </w:rPr>
        <w:t xml:space="preserve">to hold hearings on the Company’s 2018 PSI/SPI </w:t>
      </w:r>
      <w:r w:rsidR="003C79B4">
        <w:rPr>
          <w:sz w:val="26"/>
          <w:szCs w:val="26"/>
        </w:rPr>
        <w:t>Filing</w:t>
      </w:r>
      <w:r w:rsidRPr="001471C8">
        <w:rPr>
          <w:sz w:val="26"/>
          <w:szCs w:val="26"/>
        </w:rPr>
        <w:t xml:space="preserve"> and prepare an initial decision.  </w:t>
      </w:r>
      <w:r w:rsidR="00327922" w:rsidRPr="001471C8">
        <w:rPr>
          <w:sz w:val="26"/>
          <w:szCs w:val="26"/>
        </w:rPr>
        <w:t xml:space="preserve">The OSBA contended that a thorough inquiry by the Commission into all elements of the Company’s 2018 PSI/SPI </w:t>
      </w:r>
      <w:r w:rsidR="00583405">
        <w:rPr>
          <w:sz w:val="26"/>
          <w:szCs w:val="26"/>
        </w:rPr>
        <w:t>Filing</w:t>
      </w:r>
      <w:r w:rsidR="00327922" w:rsidRPr="001471C8">
        <w:rPr>
          <w:sz w:val="26"/>
          <w:szCs w:val="26"/>
        </w:rPr>
        <w:t xml:space="preserve"> was necessary to ensure that the resulting rates were lawful, just, reasonable, nondiscriminatory</w:t>
      </w:r>
      <w:r w:rsidR="001D61BA">
        <w:rPr>
          <w:sz w:val="26"/>
          <w:szCs w:val="26"/>
        </w:rPr>
        <w:t>,</w:t>
      </w:r>
      <w:r w:rsidR="00327922" w:rsidRPr="001471C8">
        <w:rPr>
          <w:sz w:val="26"/>
          <w:szCs w:val="26"/>
        </w:rPr>
        <w:t xml:space="preserve"> and have accounted for all exogenous events.</w:t>
      </w:r>
    </w:p>
    <w:p w14:paraId="4627C576" w14:textId="50196E74" w:rsidR="00D46BD8" w:rsidRPr="001471C8" w:rsidRDefault="00D46BD8" w:rsidP="00217B05">
      <w:pPr>
        <w:widowControl/>
        <w:spacing w:line="360" w:lineRule="auto"/>
        <w:ind w:firstLine="1440"/>
        <w:contextualSpacing/>
        <w:rPr>
          <w:sz w:val="26"/>
          <w:szCs w:val="26"/>
        </w:rPr>
      </w:pPr>
    </w:p>
    <w:p w14:paraId="579F9CE7" w14:textId="66CE170A" w:rsidR="00527DD2" w:rsidRPr="001471C8" w:rsidRDefault="00527DD2" w:rsidP="00217B05">
      <w:pPr>
        <w:widowControl/>
        <w:spacing w:line="360" w:lineRule="auto"/>
        <w:ind w:firstLine="1440"/>
        <w:contextualSpacing/>
        <w:rPr>
          <w:sz w:val="26"/>
          <w:szCs w:val="26"/>
        </w:rPr>
      </w:pPr>
      <w:r w:rsidRPr="007C3064">
        <w:rPr>
          <w:sz w:val="26"/>
          <w:szCs w:val="26"/>
        </w:rPr>
        <w:t>On October 15, 2018, the OCA</w:t>
      </w:r>
      <w:r w:rsidRPr="001471C8">
        <w:rPr>
          <w:sz w:val="26"/>
          <w:szCs w:val="26"/>
        </w:rPr>
        <w:t xml:space="preserve"> filed a Formal Complaint and Public Statement at Docket No. C-2018-3005400</w:t>
      </w:r>
      <w:r w:rsidR="001A4A44">
        <w:rPr>
          <w:sz w:val="26"/>
          <w:szCs w:val="26"/>
        </w:rPr>
        <w:t xml:space="preserve"> (2018 Complaint)</w:t>
      </w:r>
      <w:r w:rsidRPr="001471C8">
        <w:rPr>
          <w:sz w:val="26"/>
          <w:szCs w:val="26"/>
        </w:rPr>
        <w:t xml:space="preserve">.  The OCA contended, </w:t>
      </w:r>
      <w:r w:rsidRPr="001471C8">
        <w:rPr>
          <w:i/>
          <w:iCs/>
          <w:sz w:val="26"/>
          <w:szCs w:val="26"/>
        </w:rPr>
        <w:t>inter</w:t>
      </w:r>
      <w:r w:rsidR="00654E68">
        <w:rPr>
          <w:i/>
          <w:iCs/>
          <w:sz w:val="26"/>
          <w:szCs w:val="26"/>
        </w:rPr>
        <w:t> </w:t>
      </w:r>
      <w:r w:rsidRPr="001471C8">
        <w:rPr>
          <w:i/>
          <w:iCs/>
          <w:sz w:val="26"/>
          <w:szCs w:val="26"/>
        </w:rPr>
        <w:t>alia</w:t>
      </w:r>
      <w:r w:rsidRPr="001471C8">
        <w:rPr>
          <w:sz w:val="26"/>
          <w:szCs w:val="26"/>
        </w:rPr>
        <w:t xml:space="preserve">, that the TCJA may qualify as an exogenous event under the Company’s Chapter 30 Plan requiring an adjustment to the Company’s </w:t>
      </w:r>
      <w:r w:rsidR="00583405">
        <w:rPr>
          <w:sz w:val="26"/>
          <w:szCs w:val="26"/>
        </w:rPr>
        <w:t>PSI</w:t>
      </w:r>
      <w:r w:rsidRPr="001471C8">
        <w:rPr>
          <w:sz w:val="26"/>
          <w:szCs w:val="26"/>
        </w:rPr>
        <w:t xml:space="preserve"> formula.  </w:t>
      </w:r>
      <w:r w:rsidR="007A1F43" w:rsidRPr="001471C8">
        <w:rPr>
          <w:sz w:val="26"/>
          <w:szCs w:val="26"/>
        </w:rPr>
        <w:t>The OCA alleged that the omission of an adjustment may result in an overstated maximum allowed noncompetitive revenue increase amount, an overstated cumulative banked revenue amount, the cross subsidization of competitive services</w:t>
      </w:r>
      <w:r w:rsidR="005D1940">
        <w:rPr>
          <w:sz w:val="26"/>
          <w:szCs w:val="26"/>
        </w:rPr>
        <w:t>,</w:t>
      </w:r>
      <w:r w:rsidR="007A1F43" w:rsidRPr="001471C8">
        <w:rPr>
          <w:sz w:val="26"/>
          <w:szCs w:val="26"/>
        </w:rPr>
        <w:t xml:space="preserve"> and the Company’s rates for noncompetitive services being unjust and unreasonable.</w:t>
      </w:r>
    </w:p>
    <w:p w14:paraId="2E45F1F5" w14:textId="4C601D2B" w:rsidR="007A1F43" w:rsidRPr="001471C8" w:rsidRDefault="007A1F43" w:rsidP="00217B05">
      <w:pPr>
        <w:widowControl/>
        <w:spacing w:line="360" w:lineRule="auto"/>
        <w:ind w:firstLine="1440"/>
        <w:contextualSpacing/>
        <w:rPr>
          <w:sz w:val="26"/>
          <w:szCs w:val="26"/>
        </w:rPr>
      </w:pPr>
    </w:p>
    <w:p w14:paraId="1E4BDA4F" w14:textId="766D45D7" w:rsidR="007A1F43" w:rsidRPr="001471C8" w:rsidRDefault="00CA4090" w:rsidP="00217B05">
      <w:pPr>
        <w:widowControl/>
        <w:spacing w:line="360" w:lineRule="auto"/>
        <w:ind w:firstLine="1440"/>
        <w:contextualSpacing/>
        <w:rPr>
          <w:sz w:val="26"/>
          <w:szCs w:val="26"/>
        </w:rPr>
      </w:pPr>
      <w:r w:rsidRPr="001471C8">
        <w:rPr>
          <w:sz w:val="26"/>
          <w:szCs w:val="26"/>
        </w:rPr>
        <w:t xml:space="preserve">On October 19, 2018, the </w:t>
      </w:r>
      <w:r w:rsidR="005B6A3E">
        <w:rPr>
          <w:sz w:val="26"/>
          <w:szCs w:val="26"/>
        </w:rPr>
        <w:t>P</w:t>
      </w:r>
      <w:r w:rsidRPr="001471C8">
        <w:rPr>
          <w:sz w:val="26"/>
          <w:szCs w:val="26"/>
        </w:rPr>
        <w:t xml:space="preserve">arties filed a Joint Procedural Stipulation for Stay regarding this proceeding and the OCA’s </w:t>
      </w:r>
      <w:r w:rsidR="001A4A44">
        <w:rPr>
          <w:sz w:val="26"/>
          <w:szCs w:val="26"/>
        </w:rPr>
        <w:t>2018</w:t>
      </w:r>
      <w:r w:rsidRPr="001471C8">
        <w:rPr>
          <w:sz w:val="26"/>
          <w:szCs w:val="26"/>
        </w:rPr>
        <w:t xml:space="preserve"> Complaint.  In that filing, the </w:t>
      </w:r>
      <w:r w:rsidR="005B6A3E">
        <w:rPr>
          <w:sz w:val="26"/>
          <w:szCs w:val="26"/>
        </w:rPr>
        <w:t>P</w:t>
      </w:r>
      <w:r w:rsidRPr="001471C8">
        <w:rPr>
          <w:sz w:val="26"/>
          <w:szCs w:val="26"/>
        </w:rPr>
        <w:t xml:space="preserve">arties stipulated and agreed, </w:t>
      </w:r>
      <w:r w:rsidRPr="001471C8">
        <w:rPr>
          <w:i/>
          <w:iCs/>
          <w:sz w:val="26"/>
          <w:szCs w:val="26"/>
        </w:rPr>
        <w:t>inter alia</w:t>
      </w:r>
      <w:r w:rsidRPr="001471C8">
        <w:rPr>
          <w:sz w:val="26"/>
          <w:szCs w:val="26"/>
        </w:rPr>
        <w:t xml:space="preserve">, that the adjudication of, and any answer or responsive pleading to, </w:t>
      </w:r>
      <w:r w:rsidR="005B6A3E">
        <w:rPr>
          <w:sz w:val="26"/>
          <w:szCs w:val="26"/>
        </w:rPr>
        <w:t xml:space="preserve">the </w:t>
      </w:r>
      <w:r w:rsidRPr="001471C8">
        <w:rPr>
          <w:sz w:val="26"/>
          <w:szCs w:val="26"/>
        </w:rPr>
        <w:t xml:space="preserve">OCA’s </w:t>
      </w:r>
      <w:r w:rsidR="001A4A44">
        <w:rPr>
          <w:sz w:val="26"/>
          <w:szCs w:val="26"/>
        </w:rPr>
        <w:t>2018</w:t>
      </w:r>
      <w:r w:rsidRPr="001471C8">
        <w:rPr>
          <w:sz w:val="26"/>
          <w:szCs w:val="26"/>
        </w:rPr>
        <w:t xml:space="preserve"> Complaint and </w:t>
      </w:r>
      <w:r w:rsidR="005B6A3E">
        <w:rPr>
          <w:sz w:val="26"/>
          <w:szCs w:val="26"/>
        </w:rPr>
        <w:t xml:space="preserve">the </w:t>
      </w:r>
      <w:r w:rsidRPr="001471C8">
        <w:rPr>
          <w:sz w:val="26"/>
          <w:szCs w:val="26"/>
        </w:rPr>
        <w:t xml:space="preserve">OSBA’s Notice of Intervention be stayed until the Petition to Rescind or the matters at Docket No. M-2018-2641242 were resolved by the Commission.  </w:t>
      </w:r>
      <w:r w:rsidR="00847A0F" w:rsidRPr="001471C8">
        <w:rPr>
          <w:sz w:val="26"/>
          <w:szCs w:val="26"/>
        </w:rPr>
        <w:t xml:space="preserve">Further, the OCA and </w:t>
      </w:r>
      <w:r w:rsidR="00790243">
        <w:rPr>
          <w:sz w:val="26"/>
          <w:szCs w:val="26"/>
        </w:rPr>
        <w:t xml:space="preserve">the </w:t>
      </w:r>
      <w:r w:rsidR="00847A0F" w:rsidRPr="001471C8">
        <w:rPr>
          <w:sz w:val="26"/>
          <w:szCs w:val="26"/>
        </w:rPr>
        <w:t xml:space="preserve">OSBA again agreed that they would not oppose any action by the Commission to accept CenturyLink’s 2018 PSI/SPI Report as being procedurally consistent with its Chapter 30 Plan and to permit it to go into effect subject to the adjudication of </w:t>
      </w:r>
      <w:r w:rsidR="00790243">
        <w:rPr>
          <w:sz w:val="26"/>
          <w:szCs w:val="26"/>
        </w:rPr>
        <w:t xml:space="preserve">the </w:t>
      </w:r>
      <w:r w:rsidR="00847A0F" w:rsidRPr="001471C8">
        <w:rPr>
          <w:sz w:val="26"/>
          <w:szCs w:val="26"/>
        </w:rPr>
        <w:t xml:space="preserve">OCA’s </w:t>
      </w:r>
      <w:r w:rsidR="001A4A44">
        <w:rPr>
          <w:sz w:val="26"/>
          <w:szCs w:val="26"/>
        </w:rPr>
        <w:t>2018</w:t>
      </w:r>
      <w:r w:rsidR="00847A0F" w:rsidRPr="001471C8">
        <w:rPr>
          <w:sz w:val="26"/>
          <w:szCs w:val="26"/>
        </w:rPr>
        <w:t xml:space="preserve"> Complaint and </w:t>
      </w:r>
      <w:r w:rsidR="00790243">
        <w:rPr>
          <w:sz w:val="26"/>
          <w:szCs w:val="26"/>
        </w:rPr>
        <w:t xml:space="preserve">the </w:t>
      </w:r>
      <w:r w:rsidR="00847A0F" w:rsidRPr="001471C8">
        <w:rPr>
          <w:sz w:val="26"/>
          <w:szCs w:val="26"/>
        </w:rPr>
        <w:t>OSBA’s Notice of Intervention.</w:t>
      </w:r>
    </w:p>
    <w:p w14:paraId="50CFF012" w14:textId="5439C705" w:rsidR="00847A0F" w:rsidRPr="001471C8" w:rsidRDefault="00847A0F" w:rsidP="00217B05">
      <w:pPr>
        <w:widowControl/>
        <w:spacing w:line="360" w:lineRule="auto"/>
        <w:ind w:firstLine="1440"/>
        <w:contextualSpacing/>
        <w:rPr>
          <w:sz w:val="26"/>
          <w:szCs w:val="26"/>
        </w:rPr>
      </w:pPr>
    </w:p>
    <w:p w14:paraId="4794EB8C" w14:textId="64119297" w:rsidR="00847A0F" w:rsidRPr="001471C8" w:rsidRDefault="007B5FB7" w:rsidP="00217B05">
      <w:pPr>
        <w:widowControl/>
        <w:spacing w:line="360" w:lineRule="auto"/>
        <w:ind w:firstLine="1440"/>
        <w:contextualSpacing/>
        <w:rPr>
          <w:sz w:val="26"/>
          <w:szCs w:val="26"/>
        </w:rPr>
      </w:pPr>
      <w:r>
        <w:rPr>
          <w:sz w:val="26"/>
          <w:szCs w:val="26"/>
        </w:rPr>
        <w:t>On</w:t>
      </w:r>
      <w:r w:rsidR="00CE1F9A" w:rsidRPr="001471C8">
        <w:rPr>
          <w:sz w:val="26"/>
          <w:szCs w:val="26"/>
        </w:rPr>
        <w:t xml:space="preserve"> October 25, 2018, the Commission </w:t>
      </w:r>
      <w:r>
        <w:rPr>
          <w:sz w:val="26"/>
          <w:szCs w:val="26"/>
        </w:rPr>
        <w:t xml:space="preserve">issued the </w:t>
      </w:r>
      <w:r>
        <w:rPr>
          <w:i/>
          <w:iCs/>
          <w:sz w:val="26"/>
          <w:szCs w:val="26"/>
        </w:rPr>
        <w:t xml:space="preserve">October 2018 Order </w:t>
      </w:r>
      <w:r>
        <w:rPr>
          <w:sz w:val="26"/>
          <w:szCs w:val="26"/>
        </w:rPr>
        <w:t xml:space="preserve">in which it </w:t>
      </w:r>
      <w:r w:rsidR="00CE1F9A" w:rsidRPr="001471C8">
        <w:rPr>
          <w:sz w:val="26"/>
          <w:szCs w:val="26"/>
        </w:rPr>
        <w:t xml:space="preserve">denied the </w:t>
      </w:r>
      <w:r w:rsidR="00AB330A">
        <w:rPr>
          <w:sz w:val="26"/>
          <w:szCs w:val="26"/>
        </w:rPr>
        <w:t xml:space="preserve">RLECs’ </w:t>
      </w:r>
      <w:r w:rsidR="00CE1F9A" w:rsidRPr="001471C8">
        <w:rPr>
          <w:sz w:val="26"/>
          <w:szCs w:val="26"/>
        </w:rPr>
        <w:t xml:space="preserve">Petition to Rescind.  </w:t>
      </w:r>
    </w:p>
    <w:p w14:paraId="7AAF2863" w14:textId="2CAD4C69" w:rsidR="00327922" w:rsidRPr="001471C8" w:rsidRDefault="00327922" w:rsidP="00217B05">
      <w:pPr>
        <w:widowControl/>
        <w:spacing w:line="360" w:lineRule="auto"/>
        <w:ind w:firstLine="1440"/>
        <w:contextualSpacing/>
        <w:rPr>
          <w:sz w:val="26"/>
          <w:szCs w:val="26"/>
        </w:rPr>
      </w:pPr>
    </w:p>
    <w:p w14:paraId="0F592819" w14:textId="41EF9188" w:rsidR="00327922" w:rsidRPr="001471C8" w:rsidRDefault="006748D6" w:rsidP="00217B05">
      <w:pPr>
        <w:widowControl/>
        <w:spacing w:line="360" w:lineRule="auto"/>
        <w:ind w:firstLine="1440"/>
        <w:contextualSpacing/>
        <w:rPr>
          <w:sz w:val="26"/>
          <w:szCs w:val="26"/>
        </w:rPr>
      </w:pPr>
      <w:r w:rsidRPr="001471C8">
        <w:rPr>
          <w:sz w:val="26"/>
          <w:szCs w:val="26"/>
        </w:rPr>
        <w:t xml:space="preserve">On November 6, 2018, CenturyLink filed an </w:t>
      </w:r>
      <w:r w:rsidR="00B236CA">
        <w:rPr>
          <w:sz w:val="26"/>
          <w:szCs w:val="26"/>
        </w:rPr>
        <w:t>A</w:t>
      </w:r>
      <w:r w:rsidRPr="001471C8">
        <w:rPr>
          <w:sz w:val="26"/>
          <w:szCs w:val="26"/>
        </w:rPr>
        <w:t xml:space="preserve">nswer to the </w:t>
      </w:r>
      <w:r w:rsidR="0065587B">
        <w:rPr>
          <w:sz w:val="26"/>
          <w:szCs w:val="26"/>
        </w:rPr>
        <w:t>2018 Complaint</w:t>
      </w:r>
      <w:r w:rsidRPr="001471C8">
        <w:rPr>
          <w:sz w:val="26"/>
          <w:szCs w:val="26"/>
        </w:rPr>
        <w:t xml:space="preserve"> admitting or denying the various averments </w:t>
      </w:r>
      <w:r w:rsidR="0065587B">
        <w:rPr>
          <w:sz w:val="26"/>
          <w:szCs w:val="26"/>
        </w:rPr>
        <w:t>made by the OCA</w:t>
      </w:r>
      <w:r w:rsidRPr="001471C8">
        <w:rPr>
          <w:sz w:val="26"/>
          <w:szCs w:val="26"/>
        </w:rPr>
        <w:t>.</w:t>
      </w:r>
      <w:r w:rsidR="00BD20B5" w:rsidRPr="001471C8">
        <w:rPr>
          <w:sz w:val="26"/>
          <w:szCs w:val="26"/>
        </w:rPr>
        <w:t xml:space="preserve">  CenturyLink </w:t>
      </w:r>
      <w:r w:rsidR="00316D23">
        <w:rPr>
          <w:sz w:val="26"/>
          <w:szCs w:val="26"/>
        </w:rPr>
        <w:t>asserted that it made its 2018 PSI/SPI</w:t>
      </w:r>
      <w:r w:rsidR="0082342D">
        <w:rPr>
          <w:sz w:val="26"/>
          <w:szCs w:val="26"/>
        </w:rPr>
        <w:t xml:space="preserve"> Filing</w:t>
      </w:r>
      <w:r w:rsidR="00BD20B5" w:rsidRPr="001471C8">
        <w:rPr>
          <w:sz w:val="26"/>
          <w:szCs w:val="26"/>
        </w:rPr>
        <w:t xml:space="preserve"> in accordance with the Commission’s rules and regulations and </w:t>
      </w:r>
      <w:r w:rsidR="0082342D">
        <w:rPr>
          <w:sz w:val="26"/>
          <w:szCs w:val="26"/>
        </w:rPr>
        <w:t xml:space="preserve">that </w:t>
      </w:r>
      <w:r w:rsidR="00BD20B5" w:rsidRPr="001471C8">
        <w:rPr>
          <w:sz w:val="26"/>
          <w:szCs w:val="26"/>
        </w:rPr>
        <w:t xml:space="preserve">the </w:t>
      </w:r>
      <w:r w:rsidR="0065587B">
        <w:rPr>
          <w:sz w:val="26"/>
          <w:szCs w:val="26"/>
        </w:rPr>
        <w:t>2018 Complaint</w:t>
      </w:r>
      <w:r w:rsidR="00BD20B5" w:rsidRPr="001471C8">
        <w:rPr>
          <w:sz w:val="26"/>
          <w:szCs w:val="26"/>
        </w:rPr>
        <w:t xml:space="preserve"> should be dismissed</w:t>
      </w:r>
      <w:r w:rsidR="0082342D">
        <w:rPr>
          <w:sz w:val="26"/>
          <w:szCs w:val="26"/>
        </w:rPr>
        <w:t>, or should be allowed</w:t>
      </w:r>
      <w:r w:rsidR="00BD20B5" w:rsidRPr="001471C8">
        <w:rPr>
          <w:sz w:val="26"/>
          <w:szCs w:val="26"/>
        </w:rPr>
        <w:t xml:space="preserve"> to go into effect subject to the adjudication of the OCA’s </w:t>
      </w:r>
      <w:r w:rsidR="0065587B">
        <w:rPr>
          <w:sz w:val="26"/>
          <w:szCs w:val="26"/>
        </w:rPr>
        <w:t>2018 Complaint</w:t>
      </w:r>
      <w:r w:rsidR="00BD20B5" w:rsidRPr="001471C8">
        <w:rPr>
          <w:sz w:val="26"/>
          <w:szCs w:val="26"/>
        </w:rPr>
        <w:t>.</w:t>
      </w:r>
    </w:p>
    <w:p w14:paraId="6EBD9E49" w14:textId="7B6E488F" w:rsidR="00BD20B5" w:rsidRPr="001471C8" w:rsidRDefault="00BD20B5" w:rsidP="00217B05">
      <w:pPr>
        <w:widowControl/>
        <w:spacing w:line="360" w:lineRule="auto"/>
        <w:ind w:firstLine="1440"/>
        <w:contextualSpacing/>
        <w:rPr>
          <w:sz w:val="26"/>
          <w:szCs w:val="26"/>
        </w:rPr>
      </w:pPr>
    </w:p>
    <w:p w14:paraId="50E28178" w14:textId="298E16E8" w:rsidR="00BD20B5" w:rsidRPr="001471C8" w:rsidRDefault="005A51B4" w:rsidP="00217B05">
      <w:pPr>
        <w:widowControl/>
        <w:spacing w:line="360" w:lineRule="auto"/>
        <w:ind w:firstLine="1440"/>
        <w:contextualSpacing/>
        <w:rPr>
          <w:sz w:val="26"/>
          <w:szCs w:val="26"/>
        </w:rPr>
      </w:pPr>
      <w:r w:rsidRPr="001471C8">
        <w:rPr>
          <w:sz w:val="26"/>
          <w:szCs w:val="26"/>
        </w:rPr>
        <w:t>On November 8, 2018, the Commission entered an order</w:t>
      </w:r>
      <w:r w:rsidR="00BF1884">
        <w:rPr>
          <w:sz w:val="26"/>
          <w:szCs w:val="26"/>
        </w:rPr>
        <w:t xml:space="preserve"> </w:t>
      </w:r>
      <w:r w:rsidR="00BF1884" w:rsidRPr="00BF1884">
        <w:rPr>
          <w:sz w:val="26"/>
          <w:szCs w:val="26"/>
        </w:rPr>
        <w:t>at Docket No. R</w:t>
      </w:r>
      <w:r w:rsidR="00BF1884">
        <w:rPr>
          <w:sz w:val="26"/>
          <w:szCs w:val="26"/>
        </w:rPr>
        <w:noBreakHyphen/>
      </w:r>
      <w:r w:rsidR="00BF1884" w:rsidRPr="00BF1884">
        <w:rPr>
          <w:sz w:val="26"/>
          <w:szCs w:val="26"/>
        </w:rPr>
        <w:t>2018-3004019</w:t>
      </w:r>
      <w:r w:rsidRPr="001471C8">
        <w:rPr>
          <w:sz w:val="26"/>
          <w:szCs w:val="26"/>
        </w:rPr>
        <w:t xml:space="preserve"> </w:t>
      </w:r>
      <w:r w:rsidR="001D3610">
        <w:rPr>
          <w:sz w:val="26"/>
          <w:szCs w:val="26"/>
        </w:rPr>
        <w:t>(</w:t>
      </w:r>
      <w:r w:rsidR="001D3610">
        <w:rPr>
          <w:i/>
          <w:iCs/>
          <w:sz w:val="26"/>
          <w:szCs w:val="26"/>
        </w:rPr>
        <w:t>2018 CenturyLink PSI/SPI Order</w:t>
      </w:r>
      <w:r w:rsidR="001D3610">
        <w:rPr>
          <w:sz w:val="26"/>
          <w:szCs w:val="26"/>
        </w:rPr>
        <w:t xml:space="preserve">) </w:t>
      </w:r>
      <w:r w:rsidRPr="001471C8">
        <w:rPr>
          <w:sz w:val="26"/>
          <w:szCs w:val="26"/>
        </w:rPr>
        <w:t xml:space="preserve">accepting the </w:t>
      </w:r>
      <w:r w:rsidR="001D20B9">
        <w:rPr>
          <w:sz w:val="26"/>
          <w:szCs w:val="26"/>
        </w:rPr>
        <w:t>Company’s 2018</w:t>
      </w:r>
      <w:r w:rsidR="0007187A">
        <w:rPr>
          <w:sz w:val="26"/>
          <w:szCs w:val="26"/>
        </w:rPr>
        <w:t> </w:t>
      </w:r>
      <w:r w:rsidRPr="001471C8">
        <w:rPr>
          <w:sz w:val="26"/>
          <w:szCs w:val="26"/>
        </w:rPr>
        <w:t xml:space="preserve">PSI/SPI </w:t>
      </w:r>
      <w:r w:rsidR="001D20B9">
        <w:rPr>
          <w:sz w:val="26"/>
          <w:szCs w:val="26"/>
        </w:rPr>
        <w:t>Filing</w:t>
      </w:r>
      <w:r w:rsidRPr="001471C8">
        <w:rPr>
          <w:sz w:val="26"/>
          <w:szCs w:val="26"/>
        </w:rPr>
        <w:t xml:space="preserve"> and directing that this matter be assigned to the </w:t>
      </w:r>
      <w:r w:rsidR="0065587B">
        <w:rPr>
          <w:sz w:val="26"/>
          <w:szCs w:val="26"/>
        </w:rPr>
        <w:t xml:space="preserve">OALJ </w:t>
      </w:r>
      <w:r w:rsidRPr="001471C8">
        <w:rPr>
          <w:sz w:val="26"/>
          <w:szCs w:val="26"/>
        </w:rPr>
        <w:t xml:space="preserve">for adjudication of the </w:t>
      </w:r>
      <w:r w:rsidR="0065587B">
        <w:rPr>
          <w:sz w:val="26"/>
          <w:szCs w:val="26"/>
        </w:rPr>
        <w:t>2018</w:t>
      </w:r>
      <w:r w:rsidR="00864FD5" w:rsidRPr="001471C8">
        <w:rPr>
          <w:sz w:val="26"/>
          <w:szCs w:val="26"/>
        </w:rPr>
        <w:t xml:space="preserve"> </w:t>
      </w:r>
      <w:r w:rsidR="0065587B">
        <w:rPr>
          <w:sz w:val="26"/>
          <w:szCs w:val="26"/>
        </w:rPr>
        <w:t>Complaint</w:t>
      </w:r>
      <w:r w:rsidR="00864FD5" w:rsidRPr="001471C8">
        <w:rPr>
          <w:sz w:val="26"/>
          <w:szCs w:val="26"/>
        </w:rPr>
        <w:t>, the issuance of a corresponding recommended decision</w:t>
      </w:r>
      <w:r w:rsidR="001D20B9">
        <w:rPr>
          <w:sz w:val="26"/>
          <w:szCs w:val="26"/>
        </w:rPr>
        <w:t>,</w:t>
      </w:r>
      <w:r w:rsidR="00864FD5" w:rsidRPr="001471C8">
        <w:rPr>
          <w:sz w:val="26"/>
          <w:szCs w:val="26"/>
        </w:rPr>
        <w:t xml:space="preserve"> and for the consideration of any potential rate effects and accounting adjustments that may be or are subject to appropriate rate refunds.</w:t>
      </w:r>
    </w:p>
    <w:p w14:paraId="4D2C31BB" w14:textId="337CBCCF" w:rsidR="00864FD5" w:rsidRPr="001471C8" w:rsidRDefault="00864FD5" w:rsidP="00217B05">
      <w:pPr>
        <w:widowControl/>
        <w:spacing w:line="360" w:lineRule="auto"/>
        <w:ind w:firstLine="1440"/>
        <w:contextualSpacing/>
        <w:rPr>
          <w:sz w:val="26"/>
          <w:szCs w:val="26"/>
        </w:rPr>
      </w:pPr>
    </w:p>
    <w:p w14:paraId="53641DED" w14:textId="5C3DACD2" w:rsidR="00864FD5" w:rsidRPr="001471C8" w:rsidRDefault="00227BD2" w:rsidP="00217B05">
      <w:pPr>
        <w:widowControl/>
        <w:spacing w:line="360" w:lineRule="auto"/>
        <w:ind w:firstLine="1440"/>
        <w:contextualSpacing/>
        <w:rPr>
          <w:sz w:val="26"/>
          <w:szCs w:val="26"/>
        </w:rPr>
      </w:pPr>
      <w:r w:rsidRPr="001471C8">
        <w:rPr>
          <w:sz w:val="26"/>
          <w:szCs w:val="26"/>
        </w:rPr>
        <w:t xml:space="preserve">By Hearing Notice dated November 26, 2018, this matter was scheduled for a prehearing conference on January 24, 2019 and a </w:t>
      </w:r>
      <w:r w:rsidR="00AB330A">
        <w:rPr>
          <w:sz w:val="26"/>
          <w:szCs w:val="26"/>
        </w:rPr>
        <w:t>p</w:t>
      </w:r>
      <w:r w:rsidRPr="001471C8">
        <w:rPr>
          <w:sz w:val="26"/>
          <w:szCs w:val="26"/>
        </w:rPr>
        <w:t xml:space="preserve">rehearing </w:t>
      </w:r>
      <w:r w:rsidR="00AB330A">
        <w:rPr>
          <w:sz w:val="26"/>
          <w:szCs w:val="26"/>
        </w:rPr>
        <w:t>c</w:t>
      </w:r>
      <w:r w:rsidRPr="001471C8">
        <w:rPr>
          <w:sz w:val="26"/>
          <w:szCs w:val="26"/>
        </w:rPr>
        <w:t xml:space="preserve">onference </w:t>
      </w:r>
      <w:r w:rsidR="00AB330A">
        <w:rPr>
          <w:sz w:val="26"/>
          <w:szCs w:val="26"/>
        </w:rPr>
        <w:t>o</w:t>
      </w:r>
      <w:r w:rsidRPr="001471C8">
        <w:rPr>
          <w:sz w:val="26"/>
          <w:szCs w:val="26"/>
        </w:rPr>
        <w:t xml:space="preserve">rder was issued on November 20, 2018 setting forth various rules that would govern the Prehearing Conference. </w:t>
      </w:r>
      <w:r w:rsidR="001D20B9">
        <w:rPr>
          <w:sz w:val="26"/>
          <w:szCs w:val="26"/>
        </w:rPr>
        <w:t xml:space="preserve"> However, the Parties</w:t>
      </w:r>
      <w:r w:rsidRPr="001471C8">
        <w:rPr>
          <w:sz w:val="26"/>
          <w:szCs w:val="26"/>
        </w:rPr>
        <w:t xml:space="preserve"> requested that the prehearing conference be rescheduled as they engaged in discovery and awaited the Company’s various tax filings which would occur</w:t>
      </w:r>
      <w:r w:rsidR="00A0589B" w:rsidRPr="001471C8">
        <w:rPr>
          <w:sz w:val="26"/>
          <w:szCs w:val="26"/>
        </w:rPr>
        <w:t xml:space="preserve"> later in 2019. </w:t>
      </w:r>
      <w:r w:rsidR="0065587B">
        <w:rPr>
          <w:sz w:val="26"/>
          <w:szCs w:val="26"/>
        </w:rPr>
        <w:t xml:space="preserve"> </w:t>
      </w:r>
      <w:r w:rsidR="00A0589B" w:rsidRPr="001471C8">
        <w:rPr>
          <w:sz w:val="26"/>
          <w:szCs w:val="26"/>
        </w:rPr>
        <w:t>The prehearing conference was rescheduled on several occasions subsequent to January 24, 2019</w:t>
      </w:r>
      <w:r w:rsidR="0082195A">
        <w:rPr>
          <w:sz w:val="26"/>
          <w:szCs w:val="26"/>
        </w:rPr>
        <w:t>,</w:t>
      </w:r>
      <w:r w:rsidR="00A0589B" w:rsidRPr="001471C8">
        <w:rPr>
          <w:sz w:val="26"/>
          <w:szCs w:val="26"/>
        </w:rPr>
        <w:t xml:space="preserve"> with the last </w:t>
      </w:r>
      <w:r w:rsidR="0082195A">
        <w:rPr>
          <w:sz w:val="26"/>
          <w:szCs w:val="26"/>
        </w:rPr>
        <w:t xml:space="preserve">one </w:t>
      </w:r>
      <w:r w:rsidR="00A0589B" w:rsidRPr="001471C8">
        <w:rPr>
          <w:sz w:val="26"/>
          <w:szCs w:val="26"/>
        </w:rPr>
        <w:t xml:space="preserve">scheduled to occur on November 14, 2019. </w:t>
      </w:r>
      <w:r w:rsidR="0065587B">
        <w:rPr>
          <w:sz w:val="26"/>
          <w:szCs w:val="26"/>
        </w:rPr>
        <w:t xml:space="preserve"> </w:t>
      </w:r>
      <w:r w:rsidR="00A0589B" w:rsidRPr="001471C8">
        <w:rPr>
          <w:sz w:val="26"/>
          <w:szCs w:val="26"/>
        </w:rPr>
        <w:t xml:space="preserve">The </w:t>
      </w:r>
      <w:r w:rsidR="001D20B9">
        <w:rPr>
          <w:sz w:val="26"/>
          <w:szCs w:val="26"/>
        </w:rPr>
        <w:t>P</w:t>
      </w:r>
      <w:r w:rsidR="00A0589B" w:rsidRPr="001471C8">
        <w:rPr>
          <w:sz w:val="26"/>
          <w:szCs w:val="26"/>
        </w:rPr>
        <w:t>arties again requested that the prehearing conference be rescheduled to allow the Company the opportunity to complete its last tax filing by the end of November 2019.</w:t>
      </w:r>
    </w:p>
    <w:p w14:paraId="6AAF7FB3" w14:textId="0F5D2D06" w:rsidR="00D46BD8" w:rsidRPr="001471C8" w:rsidRDefault="00D46BD8" w:rsidP="00217B05">
      <w:pPr>
        <w:widowControl/>
        <w:spacing w:line="360" w:lineRule="auto"/>
        <w:ind w:firstLine="1440"/>
        <w:contextualSpacing/>
        <w:rPr>
          <w:sz w:val="26"/>
          <w:szCs w:val="26"/>
        </w:rPr>
      </w:pPr>
    </w:p>
    <w:p w14:paraId="0494FD39" w14:textId="59831161" w:rsidR="00120511" w:rsidRPr="001471C8" w:rsidRDefault="00120511" w:rsidP="005C2711">
      <w:pPr>
        <w:widowControl/>
        <w:spacing w:line="360" w:lineRule="auto"/>
        <w:ind w:firstLine="1440"/>
        <w:contextualSpacing/>
        <w:rPr>
          <w:sz w:val="26"/>
          <w:szCs w:val="26"/>
        </w:rPr>
      </w:pPr>
      <w:r w:rsidRPr="001471C8">
        <w:rPr>
          <w:sz w:val="26"/>
          <w:szCs w:val="26"/>
        </w:rPr>
        <w:t>During that time, CenturyLink filed on August 30, 2019, its annual 2019</w:t>
      </w:r>
      <w:r w:rsidR="005C2711">
        <w:rPr>
          <w:sz w:val="26"/>
          <w:szCs w:val="26"/>
        </w:rPr>
        <w:t> </w:t>
      </w:r>
      <w:r w:rsidRPr="001471C8">
        <w:rPr>
          <w:sz w:val="26"/>
          <w:szCs w:val="26"/>
        </w:rPr>
        <w:t xml:space="preserve">PSI/SPI </w:t>
      </w:r>
      <w:r w:rsidR="001D20B9">
        <w:rPr>
          <w:sz w:val="26"/>
          <w:szCs w:val="26"/>
        </w:rPr>
        <w:t>Filing</w:t>
      </w:r>
      <w:r w:rsidRPr="001471C8">
        <w:rPr>
          <w:sz w:val="26"/>
          <w:szCs w:val="26"/>
        </w:rPr>
        <w:t xml:space="preserve"> </w:t>
      </w:r>
      <w:r w:rsidR="0082195A" w:rsidRPr="001471C8">
        <w:rPr>
          <w:sz w:val="26"/>
          <w:szCs w:val="26"/>
        </w:rPr>
        <w:t>at R</w:t>
      </w:r>
      <w:r w:rsidR="003F10C6">
        <w:rPr>
          <w:sz w:val="26"/>
          <w:szCs w:val="26"/>
        </w:rPr>
        <w:noBreakHyphen/>
      </w:r>
      <w:r w:rsidR="0082195A" w:rsidRPr="001471C8">
        <w:rPr>
          <w:sz w:val="26"/>
          <w:szCs w:val="26"/>
        </w:rPr>
        <w:t>2019</w:t>
      </w:r>
      <w:r w:rsidR="003F10C6">
        <w:rPr>
          <w:sz w:val="26"/>
          <w:szCs w:val="26"/>
        </w:rPr>
        <w:noBreakHyphen/>
      </w:r>
      <w:r w:rsidR="0082195A" w:rsidRPr="001471C8">
        <w:rPr>
          <w:sz w:val="26"/>
          <w:szCs w:val="26"/>
        </w:rPr>
        <w:t>3012238</w:t>
      </w:r>
      <w:r w:rsidR="0082195A">
        <w:rPr>
          <w:sz w:val="26"/>
          <w:szCs w:val="26"/>
        </w:rPr>
        <w:t xml:space="preserve"> </w:t>
      </w:r>
      <w:r w:rsidRPr="001471C8">
        <w:rPr>
          <w:sz w:val="26"/>
          <w:szCs w:val="26"/>
        </w:rPr>
        <w:t>using the change in 2018 and 2019 1st quarter GDP</w:t>
      </w:r>
      <w:r w:rsidR="0082195A">
        <w:rPr>
          <w:sz w:val="26"/>
          <w:szCs w:val="26"/>
        </w:rPr>
        <w:noBreakHyphen/>
      </w:r>
      <w:r w:rsidRPr="001471C8">
        <w:rPr>
          <w:sz w:val="26"/>
          <w:szCs w:val="26"/>
        </w:rPr>
        <w:t xml:space="preserve">PI. </w:t>
      </w:r>
      <w:r w:rsidR="0065587B">
        <w:rPr>
          <w:sz w:val="26"/>
          <w:szCs w:val="26"/>
        </w:rPr>
        <w:t xml:space="preserve"> </w:t>
      </w:r>
      <w:r w:rsidRPr="001471C8">
        <w:rPr>
          <w:sz w:val="26"/>
          <w:szCs w:val="26"/>
        </w:rPr>
        <w:t xml:space="preserve">Using that change </w:t>
      </w:r>
      <w:r w:rsidR="0082195A">
        <w:rPr>
          <w:sz w:val="26"/>
          <w:szCs w:val="26"/>
        </w:rPr>
        <w:t xml:space="preserve">in GDP-PI </w:t>
      </w:r>
      <w:r w:rsidRPr="001471C8">
        <w:rPr>
          <w:sz w:val="26"/>
          <w:szCs w:val="26"/>
        </w:rPr>
        <w:t xml:space="preserve">produced a 2.0% increase in the </w:t>
      </w:r>
      <w:r w:rsidR="001D20B9">
        <w:rPr>
          <w:sz w:val="26"/>
          <w:szCs w:val="26"/>
        </w:rPr>
        <w:t xml:space="preserve">Company’s </w:t>
      </w:r>
      <w:r w:rsidRPr="001471C8">
        <w:rPr>
          <w:sz w:val="26"/>
          <w:szCs w:val="26"/>
        </w:rPr>
        <w:t>PSI</w:t>
      </w:r>
      <w:r w:rsidR="001D20B9">
        <w:rPr>
          <w:sz w:val="26"/>
          <w:szCs w:val="26"/>
        </w:rPr>
        <w:t xml:space="preserve"> which, when</w:t>
      </w:r>
      <w:r w:rsidRPr="001471C8">
        <w:rPr>
          <w:sz w:val="26"/>
          <w:szCs w:val="26"/>
        </w:rPr>
        <w:t xml:space="preserve"> applied to noncompetitive revenues</w:t>
      </w:r>
      <w:r w:rsidR="001D20B9">
        <w:rPr>
          <w:sz w:val="26"/>
          <w:szCs w:val="26"/>
        </w:rPr>
        <w:t>,</w:t>
      </w:r>
      <w:r w:rsidRPr="001471C8">
        <w:rPr>
          <w:sz w:val="26"/>
          <w:szCs w:val="26"/>
        </w:rPr>
        <w:t xml:space="preserve"> yielded a maximum allowed noncompetitive revenue increase of $438,621</w:t>
      </w:r>
      <w:r w:rsidR="0082195A">
        <w:rPr>
          <w:sz w:val="26"/>
          <w:szCs w:val="26"/>
        </w:rPr>
        <w:t>, on an annual basis</w:t>
      </w:r>
      <w:r w:rsidRPr="001471C8">
        <w:rPr>
          <w:sz w:val="26"/>
          <w:szCs w:val="26"/>
        </w:rPr>
        <w:t xml:space="preserve">. </w:t>
      </w:r>
      <w:r w:rsidR="0065587B">
        <w:rPr>
          <w:sz w:val="26"/>
          <w:szCs w:val="26"/>
        </w:rPr>
        <w:t xml:space="preserve"> </w:t>
      </w:r>
      <w:r w:rsidRPr="001471C8">
        <w:rPr>
          <w:sz w:val="26"/>
          <w:szCs w:val="26"/>
        </w:rPr>
        <w:t xml:space="preserve">As with the 2018 PSI/SPI </w:t>
      </w:r>
      <w:r w:rsidR="001D20B9">
        <w:rPr>
          <w:sz w:val="26"/>
          <w:szCs w:val="26"/>
        </w:rPr>
        <w:t>F</w:t>
      </w:r>
      <w:r w:rsidRPr="001471C8">
        <w:rPr>
          <w:sz w:val="26"/>
          <w:szCs w:val="26"/>
        </w:rPr>
        <w:t>iling, CenturyLink did not seek to increase its residential or business local exchange rates</w:t>
      </w:r>
      <w:r w:rsidR="001D20B9">
        <w:rPr>
          <w:sz w:val="26"/>
          <w:szCs w:val="26"/>
        </w:rPr>
        <w:t>,</w:t>
      </w:r>
      <w:r w:rsidRPr="001471C8">
        <w:rPr>
          <w:sz w:val="26"/>
          <w:szCs w:val="26"/>
        </w:rPr>
        <w:t xml:space="preserve"> but </w:t>
      </w:r>
      <w:r w:rsidR="001D20B9">
        <w:rPr>
          <w:sz w:val="26"/>
          <w:szCs w:val="26"/>
        </w:rPr>
        <w:t xml:space="preserve">instead proposed </w:t>
      </w:r>
      <w:r w:rsidRPr="001471C8">
        <w:rPr>
          <w:sz w:val="26"/>
          <w:szCs w:val="26"/>
        </w:rPr>
        <w:t xml:space="preserve">to bank the entire allowable revenue increase for future use. </w:t>
      </w:r>
      <w:r w:rsidR="0065587B">
        <w:rPr>
          <w:sz w:val="26"/>
          <w:szCs w:val="26"/>
        </w:rPr>
        <w:t xml:space="preserve"> </w:t>
      </w:r>
      <w:r w:rsidRPr="001471C8">
        <w:rPr>
          <w:sz w:val="26"/>
          <w:szCs w:val="26"/>
        </w:rPr>
        <w:t xml:space="preserve">The Company served a copy of its </w:t>
      </w:r>
      <w:r w:rsidR="001D20B9">
        <w:rPr>
          <w:sz w:val="26"/>
          <w:szCs w:val="26"/>
        </w:rPr>
        <w:t xml:space="preserve">2019 </w:t>
      </w:r>
      <w:r w:rsidRPr="001471C8">
        <w:rPr>
          <w:sz w:val="26"/>
          <w:szCs w:val="26"/>
        </w:rPr>
        <w:t xml:space="preserve">PSI/SPI </w:t>
      </w:r>
      <w:r w:rsidR="001D20B9">
        <w:rPr>
          <w:sz w:val="26"/>
          <w:szCs w:val="26"/>
        </w:rPr>
        <w:t>Filing</w:t>
      </w:r>
      <w:r w:rsidRPr="001471C8">
        <w:rPr>
          <w:sz w:val="26"/>
          <w:szCs w:val="26"/>
        </w:rPr>
        <w:t xml:space="preserve"> on the </w:t>
      </w:r>
      <w:r w:rsidR="001D20B9">
        <w:rPr>
          <w:sz w:val="26"/>
          <w:szCs w:val="26"/>
        </w:rPr>
        <w:t>OCA, the OSBA,</w:t>
      </w:r>
      <w:r w:rsidRPr="001471C8">
        <w:rPr>
          <w:sz w:val="26"/>
          <w:szCs w:val="26"/>
        </w:rPr>
        <w:t xml:space="preserve"> and I&amp;E.</w:t>
      </w:r>
    </w:p>
    <w:p w14:paraId="3C916A9E" w14:textId="31B4153A" w:rsidR="00120511" w:rsidRPr="001471C8" w:rsidRDefault="00120511" w:rsidP="005C2711">
      <w:pPr>
        <w:widowControl/>
        <w:spacing w:line="360" w:lineRule="auto"/>
        <w:ind w:firstLine="1440"/>
        <w:contextualSpacing/>
        <w:rPr>
          <w:sz w:val="26"/>
          <w:szCs w:val="26"/>
        </w:rPr>
      </w:pPr>
    </w:p>
    <w:p w14:paraId="649F2623" w14:textId="6350A6B3" w:rsidR="00120511" w:rsidRPr="001471C8" w:rsidRDefault="009510BA" w:rsidP="005C2711">
      <w:pPr>
        <w:widowControl/>
        <w:spacing w:line="360" w:lineRule="auto"/>
        <w:ind w:firstLine="1440"/>
        <w:contextualSpacing/>
        <w:rPr>
          <w:sz w:val="26"/>
          <w:szCs w:val="26"/>
        </w:rPr>
      </w:pPr>
      <w:r w:rsidRPr="001471C8">
        <w:rPr>
          <w:sz w:val="26"/>
          <w:szCs w:val="26"/>
        </w:rPr>
        <w:t>On September 12, 2019, the OCA filed a Formal Complaint in response to the 2019 PSI/SPI</w:t>
      </w:r>
      <w:r w:rsidR="001D20B9">
        <w:rPr>
          <w:sz w:val="26"/>
          <w:szCs w:val="26"/>
        </w:rPr>
        <w:t xml:space="preserve"> Filing</w:t>
      </w:r>
      <w:r w:rsidRPr="001471C8">
        <w:rPr>
          <w:sz w:val="26"/>
          <w:szCs w:val="26"/>
        </w:rPr>
        <w:t xml:space="preserve"> at Docket No. C-2019-3012876</w:t>
      </w:r>
      <w:r w:rsidR="0065587B">
        <w:rPr>
          <w:sz w:val="26"/>
          <w:szCs w:val="26"/>
        </w:rPr>
        <w:t xml:space="preserve"> (2019 Complaint)</w:t>
      </w:r>
      <w:r w:rsidRPr="001471C8">
        <w:rPr>
          <w:sz w:val="26"/>
          <w:szCs w:val="26"/>
        </w:rPr>
        <w:t xml:space="preserve">. </w:t>
      </w:r>
      <w:r w:rsidR="0065587B">
        <w:rPr>
          <w:sz w:val="26"/>
          <w:szCs w:val="26"/>
        </w:rPr>
        <w:t xml:space="preserve"> Similar to the allegations it made in its 2018 Complaint, the OCA contended,</w:t>
      </w:r>
      <w:r w:rsidRPr="001471C8">
        <w:rPr>
          <w:sz w:val="26"/>
          <w:szCs w:val="26"/>
        </w:rPr>
        <w:t xml:space="preserve"> </w:t>
      </w:r>
      <w:r w:rsidRPr="0065587B">
        <w:rPr>
          <w:i/>
          <w:iCs/>
          <w:sz w:val="26"/>
          <w:szCs w:val="26"/>
        </w:rPr>
        <w:t>inter alia</w:t>
      </w:r>
      <w:r w:rsidRPr="001471C8">
        <w:rPr>
          <w:sz w:val="26"/>
          <w:szCs w:val="26"/>
        </w:rPr>
        <w:t>, that the federal TCJA may qualify as an exogenous event under the Company’s Chapter 30 Plan requiring an adjustment to the Company’s P</w:t>
      </w:r>
      <w:r w:rsidR="00AF797A">
        <w:rPr>
          <w:sz w:val="26"/>
          <w:szCs w:val="26"/>
        </w:rPr>
        <w:t xml:space="preserve">SI </w:t>
      </w:r>
      <w:r w:rsidRPr="001471C8">
        <w:rPr>
          <w:sz w:val="26"/>
          <w:szCs w:val="26"/>
        </w:rPr>
        <w:t>formula and that the omission of said adjustment may result in an overstated maximum allowed noncompetitive revenue increase amount, an overstated cumulative banked revenue amount, the cross</w:t>
      </w:r>
      <w:r w:rsidR="00F467BA" w:rsidRPr="001471C8">
        <w:rPr>
          <w:sz w:val="26"/>
          <w:szCs w:val="26"/>
        </w:rPr>
        <w:t xml:space="preserve"> </w:t>
      </w:r>
      <w:r w:rsidRPr="001471C8">
        <w:rPr>
          <w:sz w:val="26"/>
          <w:szCs w:val="26"/>
        </w:rPr>
        <w:t>subsidization of competitive services and the Company’s rates for noncompetitive services being unjust and unreasonable.</w:t>
      </w:r>
    </w:p>
    <w:p w14:paraId="0FC86D2F" w14:textId="17114B44" w:rsidR="00234578" w:rsidRPr="001471C8" w:rsidRDefault="00234578" w:rsidP="00217B05">
      <w:pPr>
        <w:widowControl/>
        <w:spacing w:line="360" w:lineRule="auto"/>
        <w:ind w:firstLine="1440"/>
        <w:contextualSpacing/>
        <w:rPr>
          <w:sz w:val="26"/>
          <w:szCs w:val="26"/>
        </w:rPr>
      </w:pPr>
    </w:p>
    <w:p w14:paraId="0D81231B" w14:textId="450458BA" w:rsidR="00234578" w:rsidRPr="001471C8" w:rsidRDefault="00234578" w:rsidP="00217B05">
      <w:pPr>
        <w:widowControl/>
        <w:spacing w:line="360" w:lineRule="auto"/>
        <w:ind w:firstLine="1440"/>
        <w:contextualSpacing/>
        <w:rPr>
          <w:sz w:val="26"/>
          <w:szCs w:val="26"/>
        </w:rPr>
      </w:pPr>
      <w:r w:rsidRPr="001471C8">
        <w:rPr>
          <w:sz w:val="26"/>
          <w:szCs w:val="26"/>
        </w:rPr>
        <w:t xml:space="preserve">On September 30, 2019, CenturyLink submitted an Answer to the </w:t>
      </w:r>
      <w:r w:rsidR="0065587B">
        <w:rPr>
          <w:sz w:val="26"/>
          <w:szCs w:val="26"/>
        </w:rPr>
        <w:t>2019</w:t>
      </w:r>
      <w:r w:rsidR="007B2C72">
        <w:rPr>
          <w:sz w:val="26"/>
          <w:szCs w:val="26"/>
        </w:rPr>
        <w:t> </w:t>
      </w:r>
      <w:r w:rsidRPr="001471C8">
        <w:rPr>
          <w:sz w:val="26"/>
          <w:szCs w:val="26"/>
        </w:rPr>
        <w:t xml:space="preserve">Complaint. </w:t>
      </w:r>
      <w:r w:rsidR="0065587B">
        <w:rPr>
          <w:sz w:val="26"/>
          <w:szCs w:val="26"/>
        </w:rPr>
        <w:t xml:space="preserve"> </w:t>
      </w:r>
      <w:r w:rsidRPr="001471C8">
        <w:rPr>
          <w:sz w:val="26"/>
          <w:szCs w:val="26"/>
        </w:rPr>
        <w:t xml:space="preserve">CenturyLink admitted or denied the various averments in the </w:t>
      </w:r>
      <w:r w:rsidR="0065587B">
        <w:rPr>
          <w:sz w:val="26"/>
          <w:szCs w:val="26"/>
        </w:rPr>
        <w:t>2019</w:t>
      </w:r>
      <w:r w:rsidR="007B2C72">
        <w:rPr>
          <w:sz w:val="26"/>
          <w:szCs w:val="26"/>
        </w:rPr>
        <w:t> </w:t>
      </w:r>
      <w:r w:rsidR="0065587B">
        <w:rPr>
          <w:sz w:val="26"/>
          <w:szCs w:val="26"/>
        </w:rPr>
        <w:t xml:space="preserve">Complaint </w:t>
      </w:r>
      <w:r w:rsidRPr="001471C8">
        <w:rPr>
          <w:sz w:val="26"/>
          <w:szCs w:val="26"/>
        </w:rPr>
        <w:t xml:space="preserve">and </w:t>
      </w:r>
      <w:r w:rsidR="00AF797A">
        <w:rPr>
          <w:sz w:val="26"/>
          <w:szCs w:val="26"/>
        </w:rPr>
        <w:t xml:space="preserve">asserted </w:t>
      </w:r>
      <w:r w:rsidRPr="001471C8">
        <w:rPr>
          <w:sz w:val="26"/>
          <w:szCs w:val="26"/>
        </w:rPr>
        <w:t xml:space="preserve">that the </w:t>
      </w:r>
      <w:r w:rsidR="0065587B">
        <w:rPr>
          <w:sz w:val="26"/>
          <w:szCs w:val="26"/>
        </w:rPr>
        <w:t xml:space="preserve">2019 Complaint </w:t>
      </w:r>
      <w:r w:rsidRPr="001471C8">
        <w:rPr>
          <w:sz w:val="26"/>
          <w:szCs w:val="26"/>
        </w:rPr>
        <w:t xml:space="preserve">should be dismissed or </w:t>
      </w:r>
      <w:r w:rsidR="00AF797A">
        <w:rPr>
          <w:sz w:val="26"/>
          <w:szCs w:val="26"/>
        </w:rPr>
        <w:t xml:space="preserve">that </w:t>
      </w:r>
      <w:r w:rsidRPr="001471C8">
        <w:rPr>
          <w:sz w:val="26"/>
          <w:szCs w:val="26"/>
        </w:rPr>
        <w:t xml:space="preserve">the 2019 PSI/SPI </w:t>
      </w:r>
      <w:r w:rsidR="00AF797A">
        <w:rPr>
          <w:sz w:val="26"/>
          <w:szCs w:val="26"/>
        </w:rPr>
        <w:t>F</w:t>
      </w:r>
      <w:r w:rsidRPr="001471C8">
        <w:rPr>
          <w:sz w:val="26"/>
          <w:szCs w:val="26"/>
        </w:rPr>
        <w:t xml:space="preserve">iling </w:t>
      </w:r>
      <w:r w:rsidR="00AF797A">
        <w:rPr>
          <w:sz w:val="26"/>
          <w:szCs w:val="26"/>
        </w:rPr>
        <w:t xml:space="preserve">should </w:t>
      </w:r>
      <w:r w:rsidRPr="001471C8">
        <w:rPr>
          <w:sz w:val="26"/>
          <w:szCs w:val="26"/>
        </w:rPr>
        <w:t xml:space="preserve">be allowed to go into effect subject to the adjudication of the </w:t>
      </w:r>
      <w:r w:rsidR="0065587B">
        <w:rPr>
          <w:sz w:val="26"/>
          <w:szCs w:val="26"/>
        </w:rPr>
        <w:t xml:space="preserve">2019 Complaint. </w:t>
      </w:r>
    </w:p>
    <w:p w14:paraId="05F6CEA2" w14:textId="6861CE87" w:rsidR="00234578" w:rsidRPr="001471C8" w:rsidRDefault="00234578" w:rsidP="00217B05">
      <w:pPr>
        <w:widowControl/>
        <w:spacing w:line="360" w:lineRule="auto"/>
        <w:ind w:firstLine="1440"/>
        <w:contextualSpacing/>
        <w:rPr>
          <w:sz w:val="26"/>
          <w:szCs w:val="26"/>
        </w:rPr>
      </w:pPr>
    </w:p>
    <w:p w14:paraId="0B3CFB4B" w14:textId="127F7228" w:rsidR="00234578" w:rsidRPr="001471C8" w:rsidRDefault="00234578" w:rsidP="00217B05">
      <w:pPr>
        <w:widowControl/>
        <w:spacing w:line="360" w:lineRule="auto"/>
        <w:ind w:firstLine="1440"/>
        <w:contextualSpacing/>
        <w:rPr>
          <w:sz w:val="26"/>
          <w:szCs w:val="26"/>
        </w:rPr>
      </w:pPr>
      <w:r w:rsidRPr="001471C8">
        <w:rPr>
          <w:sz w:val="26"/>
          <w:szCs w:val="26"/>
        </w:rPr>
        <w:t>On October 2, 2019, the OSBA filed a Notice of Intervention in th</w:t>
      </w:r>
      <w:r w:rsidR="00AF797A">
        <w:rPr>
          <w:sz w:val="26"/>
          <w:szCs w:val="26"/>
        </w:rPr>
        <w:t>e 2019</w:t>
      </w:r>
      <w:r w:rsidR="007B2C72">
        <w:rPr>
          <w:sz w:val="26"/>
          <w:szCs w:val="26"/>
        </w:rPr>
        <w:t> </w:t>
      </w:r>
      <w:r w:rsidR="00AF797A">
        <w:rPr>
          <w:sz w:val="26"/>
          <w:szCs w:val="26"/>
        </w:rPr>
        <w:t>PSI/SPI</w:t>
      </w:r>
      <w:r w:rsidRPr="001471C8">
        <w:rPr>
          <w:sz w:val="26"/>
          <w:szCs w:val="26"/>
        </w:rPr>
        <w:t xml:space="preserve"> proceeding. </w:t>
      </w:r>
      <w:r w:rsidR="0065587B">
        <w:rPr>
          <w:sz w:val="26"/>
          <w:szCs w:val="26"/>
        </w:rPr>
        <w:t xml:space="preserve"> </w:t>
      </w:r>
      <w:r w:rsidRPr="001471C8">
        <w:rPr>
          <w:sz w:val="26"/>
          <w:szCs w:val="26"/>
        </w:rPr>
        <w:t xml:space="preserve">The OSBA again stated that its intervention was necessary to protect the interests of the Company’s small business customers. </w:t>
      </w:r>
      <w:r w:rsidR="0065587B">
        <w:rPr>
          <w:sz w:val="26"/>
          <w:szCs w:val="26"/>
        </w:rPr>
        <w:t xml:space="preserve"> The </w:t>
      </w:r>
      <w:r w:rsidRPr="001471C8">
        <w:rPr>
          <w:sz w:val="26"/>
          <w:szCs w:val="26"/>
        </w:rPr>
        <w:t xml:space="preserve">OSBA requested that the Commission direct the </w:t>
      </w:r>
      <w:r w:rsidR="0065587B">
        <w:rPr>
          <w:sz w:val="26"/>
          <w:szCs w:val="26"/>
        </w:rPr>
        <w:t>OALJ</w:t>
      </w:r>
      <w:r w:rsidR="00331F99" w:rsidRPr="001471C8">
        <w:rPr>
          <w:sz w:val="26"/>
          <w:szCs w:val="26"/>
        </w:rPr>
        <w:t xml:space="preserve"> to hold hearings on the Company’s 2019 PSI/SPI </w:t>
      </w:r>
      <w:r w:rsidR="00AF797A">
        <w:rPr>
          <w:sz w:val="26"/>
          <w:szCs w:val="26"/>
        </w:rPr>
        <w:t>Filing</w:t>
      </w:r>
      <w:r w:rsidR="00331F99" w:rsidRPr="001471C8">
        <w:rPr>
          <w:sz w:val="26"/>
          <w:szCs w:val="26"/>
        </w:rPr>
        <w:t xml:space="preserve"> and prepare an initial decision. </w:t>
      </w:r>
      <w:r w:rsidR="0065587B">
        <w:rPr>
          <w:sz w:val="26"/>
          <w:szCs w:val="26"/>
        </w:rPr>
        <w:t xml:space="preserve"> </w:t>
      </w:r>
      <w:r w:rsidR="00331F99" w:rsidRPr="001471C8">
        <w:rPr>
          <w:sz w:val="26"/>
          <w:szCs w:val="26"/>
        </w:rPr>
        <w:t xml:space="preserve">The OSBA contended that a thorough inquiry by the Commission into all elements of the Company’s 2019 PSI/SPI </w:t>
      </w:r>
      <w:r w:rsidR="00230B95">
        <w:rPr>
          <w:sz w:val="26"/>
          <w:szCs w:val="26"/>
        </w:rPr>
        <w:t>Filing</w:t>
      </w:r>
      <w:r w:rsidR="00331F99" w:rsidRPr="001471C8">
        <w:rPr>
          <w:sz w:val="26"/>
          <w:szCs w:val="26"/>
        </w:rPr>
        <w:t xml:space="preserve"> was necessary to ensure that the resulting rates are lawful, just, reasonable, nondiscriminatory</w:t>
      </w:r>
      <w:r w:rsidR="00B236CA">
        <w:rPr>
          <w:sz w:val="26"/>
          <w:szCs w:val="26"/>
        </w:rPr>
        <w:t>,</w:t>
      </w:r>
      <w:r w:rsidR="00331F99" w:rsidRPr="001471C8">
        <w:rPr>
          <w:sz w:val="26"/>
          <w:szCs w:val="26"/>
        </w:rPr>
        <w:t xml:space="preserve"> and have accounted for all exogenous events.</w:t>
      </w:r>
    </w:p>
    <w:p w14:paraId="3AE6D94E" w14:textId="452B4B05" w:rsidR="00331F99" w:rsidRPr="001471C8" w:rsidRDefault="00331F99" w:rsidP="00217B05">
      <w:pPr>
        <w:widowControl/>
        <w:spacing w:line="360" w:lineRule="auto"/>
        <w:ind w:firstLine="1440"/>
        <w:contextualSpacing/>
        <w:rPr>
          <w:sz w:val="26"/>
          <w:szCs w:val="26"/>
        </w:rPr>
      </w:pPr>
    </w:p>
    <w:p w14:paraId="28E9D5CF" w14:textId="0846D1F2" w:rsidR="00331F99" w:rsidRPr="001471C8" w:rsidRDefault="00E2142E" w:rsidP="00217B05">
      <w:pPr>
        <w:widowControl/>
        <w:spacing w:line="360" w:lineRule="auto"/>
        <w:ind w:firstLine="1440"/>
        <w:contextualSpacing/>
        <w:rPr>
          <w:sz w:val="26"/>
          <w:szCs w:val="26"/>
        </w:rPr>
      </w:pPr>
      <w:r w:rsidRPr="001471C8">
        <w:rPr>
          <w:sz w:val="26"/>
          <w:szCs w:val="26"/>
        </w:rPr>
        <w:t>On November 14, 2019, the Commission entered an order</w:t>
      </w:r>
      <w:r w:rsidR="001D3610">
        <w:rPr>
          <w:sz w:val="26"/>
          <w:szCs w:val="26"/>
        </w:rPr>
        <w:t xml:space="preserve"> </w:t>
      </w:r>
      <w:r w:rsidR="001D3610" w:rsidRPr="001D3610">
        <w:rPr>
          <w:sz w:val="26"/>
          <w:szCs w:val="26"/>
        </w:rPr>
        <w:t>at R</w:t>
      </w:r>
      <w:r w:rsidR="001D3610" w:rsidRPr="001D3610">
        <w:rPr>
          <w:sz w:val="26"/>
          <w:szCs w:val="26"/>
        </w:rPr>
        <w:noBreakHyphen/>
        <w:t>2019</w:t>
      </w:r>
      <w:r w:rsidR="001D3610" w:rsidRPr="001D3610">
        <w:rPr>
          <w:sz w:val="26"/>
          <w:szCs w:val="26"/>
        </w:rPr>
        <w:noBreakHyphen/>
        <w:t>3012238</w:t>
      </w:r>
      <w:r w:rsidRPr="001471C8">
        <w:rPr>
          <w:sz w:val="26"/>
          <w:szCs w:val="26"/>
        </w:rPr>
        <w:t xml:space="preserve"> </w:t>
      </w:r>
      <w:r w:rsidR="008C145A">
        <w:rPr>
          <w:sz w:val="26"/>
          <w:szCs w:val="26"/>
        </w:rPr>
        <w:t>(</w:t>
      </w:r>
      <w:r w:rsidR="008C145A">
        <w:rPr>
          <w:i/>
          <w:iCs/>
          <w:sz w:val="26"/>
          <w:szCs w:val="26"/>
        </w:rPr>
        <w:t>2019 CenturyLink PSI/SPI Order</w:t>
      </w:r>
      <w:r w:rsidR="008C145A">
        <w:rPr>
          <w:sz w:val="26"/>
          <w:szCs w:val="26"/>
        </w:rPr>
        <w:t>)</w:t>
      </w:r>
      <w:r w:rsidR="008C145A">
        <w:rPr>
          <w:i/>
          <w:iCs/>
          <w:sz w:val="26"/>
          <w:szCs w:val="26"/>
        </w:rPr>
        <w:t xml:space="preserve"> </w:t>
      </w:r>
      <w:r w:rsidRPr="001471C8">
        <w:rPr>
          <w:sz w:val="26"/>
          <w:szCs w:val="26"/>
        </w:rPr>
        <w:t>directing that CenturyLink’s 2019</w:t>
      </w:r>
      <w:r w:rsidR="007B2C72">
        <w:rPr>
          <w:sz w:val="26"/>
          <w:szCs w:val="26"/>
        </w:rPr>
        <w:t> </w:t>
      </w:r>
      <w:r w:rsidRPr="001471C8">
        <w:rPr>
          <w:sz w:val="26"/>
          <w:szCs w:val="26"/>
        </w:rPr>
        <w:t xml:space="preserve">PSI/SPI </w:t>
      </w:r>
      <w:r w:rsidR="00362EE2">
        <w:rPr>
          <w:sz w:val="26"/>
          <w:szCs w:val="26"/>
        </w:rPr>
        <w:t>F</w:t>
      </w:r>
      <w:r w:rsidRPr="001471C8">
        <w:rPr>
          <w:sz w:val="26"/>
          <w:szCs w:val="26"/>
        </w:rPr>
        <w:t xml:space="preserve">iling also be assigned to the </w:t>
      </w:r>
      <w:r w:rsidR="0065587B">
        <w:rPr>
          <w:sz w:val="26"/>
          <w:szCs w:val="26"/>
        </w:rPr>
        <w:t>OALJ</w:t>
      </w:r>
      <w:r w:rsidRPr="001471C8">
        <w:rPr>
          <w:sz w:val="26"/>
          <w:szCs w:val="26"/>
        </w:rPr>
        <w:t xml:space="preserve"> for adjudication of the </w:t>
      </w:r>
      <w:r w:rsidR="00362EE2">
        <w:rPr>
          <w:sz w:val="26"/>
          <w:szCs w:val="26"/>
        </w:rPr>
        <w:t>OCA’s 2019</w:t>
      </w:r>
      <w:r w:rsidR="007B2C72">
        <w:rPr>
          <w:sz w:val="26"/>
          <w:szCs w:val="26"/>
        </w:rPr>
        <w:t> </w:t>
      </w:r>
      <w:r w:rsidR="00362EE2">
        <w:rPr>
          <w:sz w:val="26"/>
          <w:szCs w:val="26"/>
        </w:rPr>
        <w:t>Complaint</w:t>
      </w:r>
      <w:r w:rsidRPr="001471C8">
        <w:rPr>
          <w:sz w:val="26"/>
          <w:szCs w:val="26"/>
        </w:rPr>
        <w:t>, the issuance of a corresponding recommended decision</w:t>
      </w:r>
      <w:r w:rsidR="00362EE2">
        <w:rPr>
          <w:sz w:val="26"/>
          <w:szCs w:val="26"/>
        </w:rPr>
        <w:t>,</w:t>
      </w:r>
      <w:r w:rsidRPr="001471C8">
        <w:rPr>
          <w:sz w:val="26"/>
          <w:szCs w:val="26"/>
        </w:rPr>
        <w:t xml:space="preserve"> and for the consideration of any potential rate effects and accounting adjustments that may be</w:t>
      </w:r>
      <w:r w:rsidR="00B236CA">
        <w:rPr>
          <w:sz w:val="26"/>
          <w:szCs w:val="26"/>
        </w:rPr>
        <w:t>,</w:t>
      </w:r>
      <w:r w:rsidRPr="001471C8">
        <w:rPr>
          <w:sz w:val="26"/>
          <w:szCs w:val="26"/>
        </w:rPr>
        <w:t xml:space="preserve"> or are subject to appropriate rate refunds. </w:t>
      </w:r>
      <w:r w:rsidR="0065587B">
        <w:rPr>
          <w:sz w:val="26"/>
          <w:szCs w:val="26"/>
        </w:rPr>
        <w:t xml:space="preserve"> </w:t>
      </w:r>
      <w:r w:rsidRPr="001471C8">
        <w:rPr>
          <w:sz w:val="26"/>
          <w:szCs w:val="26"/>
        </w:rPr>
        <w:t xml:space="preserve">The Commission permitted the filing to go into effect subject to the adjudication of the </w:t>
      </w:r>
      <w:r w:rsidR="00362EE2">
        <w:rPr>
          <w:sz w:val="26"/>
          <w:szCs w:val="26"/>
        </w:rPr>
        <w:t>2019 Complaint</w:t>
      </w:r>
      <w:r w:rsidRPr="001471C8">
        <w:rPr>
          <w:sz w:val="26"/>
          <w:szCs w:val="26"/>
        </w:rPr>
        <w:t xml:space="preserve"> and further orders of the Commission as necessary.</w:t>
      </w:r>
    </w:p>
    <w:p w14:paraId="572E78B8" w14:textId="2CDA05E2" w:rsidR="00E2142E" w:rsidRPr="001471C8" w:rsidRDefault="00E2142E" w:rsidP="00217B05">
      <w:pPr>
        <w:widowControl/>
        <w:spacing w:line="360" w:lineRule="auto"/>
        <w:ind w:firstLine="1440"/>
        <w:contextualSpacing/>
        <w:rPr>
          <w:sz w:val="26"/>
          <w:szCs w:val="26"/>
        </w:rPr>
      </w:pPr>
    </w:p>
    <w:p w14:paraId="43207D2D" w14:textId="7A1463DD" w:rsidR="00E2142E" w:rsidRPr="001471C8" w:rsidRDefault="00A30EF9" w:rsidP="00217B05">
      <w:pPr>
        <w:widowControl/>
        <w:spacing w:line="360" w:lineRule="auto"/>
        <w:ind w:firstLine="1440"/>
        <w:contextualSpacing/>
        <w:rPr>
          <w:sz w:val="26"/>
          <w:szCs w:val="26"/>
        </w:rPr>
      </w:pPr>
      <w:r w:rsidRPr="001471C8">
        <w:rPr>
          <w:sz w:val="26"/>
          <w:szCs w:val="26"/>
        </w:rPr>
        <w:t xml:space="preserve">A Hearing Notice was issued on November 19, 2019 setting an initial in-person </w:t>
      </w:r>
      <w:r w:rsidR="00B236CA">
        <w:rPr>
          <w:sz w:val="26"/>
          <w:szCs w:val="26"/>
        </w:rPr>
        <w:t>p</w:t>
      </w:r>
      <w:r w:rsidRPr="001471C8">
        <w:rPr>
          <w:sz w:val="26"/>
          <w:szCs w:val="26"/>
        </w:rPr>
        <w:t xml:space="preserve">rehearing </w:t>
      </w:r>
      <w:r w:rsidR="00B236CA">
        <w:rPr>
          <w:sz w:val="26"/>
          <w:szCs w:val="26"/>
        </w:rPr>
        <w:t>c</w:t>
      </w:r>
      <w:r w:rsidRPr="001471C8">
        <w:rPr>
          <w:sz w:val="26"/>
          <w:szCs w:val="26"/>
        </w:rPr>
        <w:t>onference for Tuesday, December 17,</w:t>
      </w:r>
      <w:r w:rsidR="001A4817">
        <w:rPr>
          <w:sz w:val="26"/>
          <w:szCs w:val="26"/>
        </w:rPr>
        <w:t xml:space="preserve"> 2019</w:t>
      </w:r>
      <w:r w:rsidRPr="001471C8">
        <w:rPr>
          <w:sz w:val="26"/>
          <w:szCs w:val="26"/>
        </w:rPr>
        <w:t xml:space="preserve">. </w:t>
      </w:r>
      <w:r w:rsidR="0065587B">
        <w:rPr>
          <w:sz w:val="26"/>
          <w:szCs w:val="26"/>
        </w:rPr>
        <w:t xml:space="preserve"> </w:t>
      </w:r>
      <w:r w:rsidRPr="001471C8">
        <w:rPr>
          <w:sz w:val="26"/>
          <w:szCs w:val="26"/>
        </w:rPr>
        <w:t xml:space="preserve">An </w:t>
      </w:r>
      <w:r w:rsidR="00B236CA">
        <w:rPr>
          <w:sz w:val="26"/>
          <w:szCs w:val="26"/>
        </w:rPr>
        <w:t>o</w:t>
      </w:r>
      <w:r w:rsidRPr="001471C8">
        <w:rPr>
          <w:sz w:val="26"/>
          <w:szCs w:val="26"/>
        </w:rPr>
        <w:t xml:space="preserve">rder </w:t>
      </w:r>
      <w:r w:rsidR="00B236CA">
        <w:rPr>
          <w:sz w:val="26"/>
          <w:szCs w:val="26"/>
        </w:rPr>
        <w:t>c</w:t>
      </w:r>
      <w:r w:rsidRPr="001471C8">
        <w:rPr>
          <w:sz w:val="26"/>
          <w:szCs w:val="26"/>
        </w:rPr>
        <w:t xml:space="preserve">onsolidating </w:t>
      </w:r>
      <w:r w:rsidR="00B236CA">
        <w:rPr>
          <w:sz w:val="26"/>
          <w:szCs w:val="26"/>
        </w:rPr>
        <w:t>p</w:t>
      </w:r>
      <w:r w:rsidRPr="001471C8">
        <w:rPr>
          <w:sz w:val="26"/>
          <w:szCs w:val="26"/>
        </w:rPr>
        <w:t xml:space="preserve">roceedings was issued on November 20, 2019 formally consolidating CenturyLink’s 2018 PSI/SPI </w:t>
      </w:r>
      <w:r w:rsidR="001A4817">
        <w:rPr>
          <w:sz w:val="26"/>
          <w:szCs w:val="26"/>
        </w:rPr>
        <w:t>F</w:t>
      </w:r>
      <w:r w:rsidRPr="001471C8">
        <w:rPr>
          <w:sz w:val="26"/>
          <w:szCs w:val="26"/>
        </w:rPr>
        <w:t xml:space="preserve">iling and CenturyLink’s 2019 PSI/SPI </w:t>
      </w:r>
      <w:r w:rsidR="001A4817">
        <w:rPr>
          <w:sz w:val="26"/>
          <w:szCs w:val="26"/>
        </w:rPr>
        <w:t>F</w:t>
      </w:r>
      <w:r w:rsidRPr="001471C8">
        <w:rPr>
          <w:sz w:val="26"/>
          <w:szCs w:val="26"/>
        </w:rPr>
        <w:t xml:space="preserve">iling, along with the </w:t>
      </w:r>
      <w:r w:rsidR="0065587B">
        <w:rPr>
          <w:sz w:val="26"/>
          <w:szCs w:val="26"/>
        </w:rPr>
        <w:t>OCA’s 2018</w:t>
      </w:r>
      <w:r w:rsidR="007B2C72">
        <w:rPr>
          <w:sz w:val="26"/>
          <w:szCs w:val="26"/>
        </w:rPr>
        <w:t> </w:t>
      </w:r>
      <w:r w:rsidR="0065587B">
        <w:rPr>
          <w:sz w:val="26"/>
          <w:szCs w:val="26"/>
        </w:rPr>
        <w:t>Complaint and its 2019 Complaint</w:t>
      </w:r>
      <w:r w:rsidRPr="001471C8">
        <w:rPr>
          <w:sz w:val="26"/>
          <w:szCs w:val="26"/>
        </w:rPr>
        <w:t>.</w:t>
      </w:r>
    </w:p>
    <w:p w14:paraId="1B1A3408" w14:textId="574AE847" w:rsidR="00A30EF9" w:rsidRPr="001471C8" w:rsidRDefault="00A30EF9" w:rsidP="00217B05">
      <w:pPr>
        <w:widowControl/>
        <w:spacing w:line="360" w:lineRule="auto"/>
        <w:ind w:firstLine="1440"/>
        <w:contextualSpacing/>
        <w:rPr>
          <w:sz w:val="26"/>
          <w:szCs w:val="26"/>
        </w:rPr>
      </w:pPr>
    </w:p>
    <w:p w14:paraId="6FBDCFAB" w14:textId="1730D0F3" w:rsidR="00A30EF9" w:rsidRPr="001471C8" w:rsidRDefault="007B698D" w:rsidP="00217B05">
      <w:pPr>
        <w:widowControl/>
        <w:spacing w:line="360" w:lineRule="auto"/>
        <w:ind w:firstLine="1440"/>
        <w:contextualSpacing/>
        <w:rPr>
          <w:sz w:val="26"/>
          <w:szCs w:val="26"/>
        </w:rPr>
      </w:pPr>
      <w:r w:rsidRPr="001471C8">
        <w:rPr>
          <w:sz w:val="26"/>
          <w:szCs w:val="26"/>
        </w:rPr>
        <w:t xml:space="preserve">By email dated December 13, 2019, the </w:t>
      </w:r>
      <w:r w:rsidR="00C15B64">
        <w:rPr>
          <w:sz w:val="26"/>
          <w:szCs w:val="26"/>
        </w:rPr>
        <w:t>P</w:t>
      </w:r>
      <w:r w:rsidRPr="001471C8">
        <w:rPr>
          <w:sz w:val="26"/>
          <w:szCs w:val="26"/>
        </w:rPr>
        <w:t xml:space="preserve">arties indicated that they had reached a </w:t>
      </w:r>
      <w:r w:rsidR="00C15B64">
        <w:rPr>
          <w:sz w:val="26"/>
          <w:szCs w:val="26"/>
        </w:rPr>
        <w:t>S</w:t>
      </w:r>
      <w:r w:rsidRPr="001471C8">
        <w:rPr>
          <w:sz w:val="26"/>
          <w:szCs w:val="26"/>
        </w:rPr>
        <w:t xml:space="preserve">ettlement in principle that resolves both the 2018 PSI/SPI </w:t>
      </w:r>
      <w:r w:rsidR="00C15B64">
        <w:rPr>
          <w:sz w:val="26"/>
          <w:szCs w:val="26"/>
        </w:rPr>
        <w:t>F</w:t>
      </w:r>
      <w:r w:rsidRPr="001471C8">
        <w:rPr>
          <w:sz w:val="26"/>
          <w:szCs w:val="26"/>
        </w:rPr>
        <w:t>iling and the 2019</w:t>
      </w:r>
      <w:r w:rsidR="007B2C72">
        <w:rPr>
          <w:sz w:val="26"/>
          <w:szCs w:val="26"/>
        </w:rPr>
        <w:t> </w:t>
      </w:r>
      <w:r w:rsidRPr="001471C8">
        <w:rPr>
          <w:sz w:val="26"/>
          <w:szCs w:val="26"/>
        </w:rPr>
        <w:t xml:space="preserve">PSI/SPI </w:t>
      </w:r>
      <w:r w:rsidR="00C15B64">
        <w:rPr>
          <w:sz w:val="26"/>
          <w:szCs w:val="26"/>
        </w:rPr>
        <w:t>F</w:t>
      </w:r>
      <w:r w:rsidRPr="001471C8">
        <w:rPr>
          <w:sz w:val="26"/>
          <w:szCs w:val="26"/>
        </w:rPr>
        <w:t xml:space="preserve">iling and that a </w:t>
      </w:r>
      <w:r w:rsidR="00C15B64">
        <w:rPr>
          <w:sz w:val="26"/>
          <w:szCs w:val="26"/>
        </w:rPr>
        <w:t>S</w:t>
      </w:r>
      <w:r w:rsidRPr="001471C8">
        <w:rPr>
          <w:sz w:val="26"/>
          <w:szCs w:val="26"/>
        </w:rPr>
        <w:t>ettlement and supporting documents would be submitted in January</w:t>
      </w:r>
      <w:r w:rsidR="00B236CA">
        <w:rPr>
          <w:sz w:val="26"/>
          <w:szCs w:val="26"/>
        </w:rPr>
        <w:t xml:space="preserve"> 2020</w:t>
      </w:r>
      <w:r w:rsidRPr="001471C8">
        <w:rPr>
          <w:sz w:val="26"/>
          <w:szCs w:val="26"/>
        </w:rPr>
        <w:t>.</w:t>
      </w:r>
    </w:p>
    <w:p w14:paraId="3A6F11A0" w14:textId="5203E9A9" w:rsidR="007B698D" w:rsidRPr="001471C8" w:rsidRDefault="007B698D" w:rsidP="00217B05">
      <w:pPr>
        <w:widowControl/>
        <w:spacing w:line="360" w:lineRule="auto"/>
        <w:ind w:firstLine="1440"/>
        <w:contextualSpacing/>
        <w:rPr>
          <w:sz w:val="26"/>
          <w:szCs w:val="26"/>
        </w:rPr>
      </w:pPr>
    </w:p>
    <w:p w14:paraId="7B27DD9F" w14:textId="481402BF" w:rsidR="007B698D" w:rsidRPr="001471C8" w:rsidRDefault="007B698D" w:rsidP="00217B05">
      <w:pPr>
        <w:widowControl/>
        <w:spacing w:line="360" w:lineRule="auto"/>
        <w:ind w:firstLine="1440"/>
        <w:contextualSpacing/>
        <w:rPr>
          <w:sz w:val="26"/>
          <w:szCs w:val="26"/>
        </w:rPr>
      </w:pPr>
      <w:r w:rsidRPr="001471C8">
        <w:rPr>
          <w:sz w:val="26"/>
          <w:szCs w:val="26"/>
        </w:rPr>
        <w:t xml:space="preserve">The </w:t>
      </w:r>
      <w:r w:rsidR="00B236CA">
        <w:rPr>
          <w:sz w:val="26"/>
          <w:szCs w:val="26"/>
        </w:rPr>
        <w:t>p</w:t>
      </w:r>
      <w:r w:rsidRPr="001471C8">
        <w:rPr>
          <w:sz w:val="26"/>
          <w:szCs w:val="26"/>
        </w:rPr>
        <w:t xml:space="preserve">rehearing </w:t>
      </w:r>
      <w:r w:rsidR="00B236CA">
        <w:rPr>
          <w:sz w:val="26"/>
          <w:szCs w:val="26"/>
        </w:rPr>
        <w:t>c</w:t>
      </w:r>
      <w:r w:rsidRPr="001471C8">
        <w:rPr>
          <w:sz w:val="26"/>
          <w:szCs w:val="26"/>
        </w:rPr>
        <w:t xml:space="preserve">onference convened on December 17, 2019 as scheduled. </w:t>
      </w:r>
      <w:r w:rsidR="00C15B64">
        <w:rPr>
          <w:sz w:val="26"/>
          <w:szCs w:val="26"/>
        </w:rPr>
        <w:t xml:space="preserve"> </w:t>
      </w:r>
      <w:r w:rsidRPr="001471C8">
        <w:rPr>
          <w:sz w:val="26"/>
          <w:szCs w:val="26"/>
        </w:rPr>
        <w:t xml:space="preserve">The </w:t>
      </w:r>
      <w:r w:rsidR="00C15B64">
        <w:rPr>
          <w:sz w:val="26"/>
          <w:szCs w:val="26"/>
        </w:rPr>
        <w:t>P</w:t>
      </w:r>
      <w:r w:rsidRPr="001471C8">
        <w:rPr>
          <w:sz w:val="26"/>
          <w:szCs w:val="26"/>
        </w:rPr>
        <w:t xml:space="preserve">arties confirmed that a </w:t>
      </w:r>
      <w:r w:rsidR="00C15B64">
        <w:rPr>
          <w:sz w:val="26"/>
          <w:szCs w:val="26"/>
        </w:rPr>
        <w:t>S</w:t>
      </w:r>
      <w:r w:rsidRPr="001471C8">
        <w:rPr>
          <w:sz w:val="26"/>
          <w:szCs w:val="26"/>
        </w:rPr>
        <w:t xml:space="preserve">ettlement in principle had been reached and a </w:t>
      </w:r>
      <w:r w:rsidR="00C15B64">
        <w:rPr>
          <w:sz w:val="26"/>
          <w:szCs w:val="26"/>
        </w:rPr>
        <w:t>S</w:t>
      </w:r>
      <w:r w:rsidRPr="001471C8">
        <w:rPr>
          <w:sz w:val="26"/>
          <w:szCs w:val="26"/>
        </w:rPr>
        <w:t>ettlement and supporting documents would be submitted in January</w:t>
      </w:r>
      <w:r w:rsidR="00B236CA">
        <w:rPr>
          <w:sz w:val="26"/>
          <w:szCs w:val="26"/>
        </w:rPr>
        <w:t xml:space="preserve"> </w:t>
      </w:r>
      <w:r w:rsidR="00C15B64">
        <w:rPr>
          <w:sz w:val="26"/>
          <w:szCs w:val="26"/>
        </w:rPr>
        <w:t>2020</w:t>
      </w:r>
      <w:r w:rsidRPr="001471C8">
        <w:rPr>
          <w:sz w:val="26"/>
          <w:szCs w:val="26"/>
        </w:rPr>
        <w:t xml:space="preserve">. </w:t>
      </w:r>
      <w:r w:rsidR="00C15B64">
        <w:rPr>
          <w:sz w:val="26"/>
          <w:szCs w:val="26"/>
        </w:rPr>
        <w:t xml:space="preserve"> </w:t>
      </w:r>
      <w:r w:rsidRPr="001471C8">
        <w:rPr>
          <w:sz w:val="26"/>
          <w:szCs w:val="26"/>
        </w:rPr>
        <w:t>A discussion was held regarding what those supporting documents should be and when they would be filed.</w:t>
      </w:r>
    </w:p>
    <w:p w14:paraId="04FE2C1D" w14:textId="25EEF5F5" w:rsidR="007B698D" w:rsidRPr="001471C8" w:rsidRDefault="007B698D" w:rsidP="00217B05">
      <w:pPr>
        <w:widowControl/>
        <w:spacing w:line="360" w:lineRule="auto"/>
        <w:ind w:firstLine="1440"/>
        <w:contextualSpacing/>
        <w:rPr>
          <w:sz w:val="26"/>
          <w:szCs w:val="26"/>
        </w:rPr>
      </w:pPr>
    </w:p>
    <w:p w14:paraId="5B5E6BEE" w14:textId="7EB56C2A" w:rsidR="007B698D" w:rsidRPr="001471C8" w:rsidRDefault="00CA3B17" w:rsidP="00217B05">
      <w:pPr>
        <w:widowControl/>
        <w:spacing w:line="360" w:lineRule="auto"/>
        <w:ind w:firstLine="1440"/>
        <w:contextualSpacing/>
        <w:rPr>
          <w:sz w:val="26"/>
          <w:szCs w:val="26"/>
        </w:rPr>
      </w:pPr>
      <w:r w:rsidRPr="001471C8">
        <w:rPr>
          <w:sz w:val="26"/>
          <w:szCs w:val="26"/>
        </w:rPr>
        <w:t xml:space="preserve">On January 23, 2020, CenturyLink, the OCA, and </w:t>
      </w:r>
      <w:r w:rsidR="00F82B06">
        <w:rPr>
          <w:sz w:val="26"/>
          <w:szCs w:val="26"/>
        </w:rPr>
        <w:t xml:space="preserve">the OSBA filed </w:t>
      </w:r>
      <w:r w:rsidRPr="001471C8">
        <w:rPr>
          <w:sz w:val="26"/>
          <w:szCs w:val="26"/>
        </w:rPr>
        <w:t xml:space="preserve">the </w:t>
      </w:r>
      <w:r w:rsidR="00EC4758">
        <w:rPr>
          <w:sz w:val="26"/>
          <w:szCs w:val="26"/>
        </w:rPr>
        <w:t>Joint Petition</w:t>
      </w:r>
      <w:r w:rsidRPr="001471C8">
        <w:rPr>
          <w:sz w:val="26"/>
          <w:szCs w:val="26"/>
        </w:rPr>
        <w:t>.</w:t>
      </w:r>
      <w:r w:rsidR="00066F28" w:rsidRPr="001471C8">
        <w:rPr>
          <w:sz w:val="26"/>
          <w:szCs w:val="26"/>
        </w:rPr>
        <w:t xml:space="preserve"> </w:t>
      </w:r>
      <w:r w:rsidRPr="001471C8">
        <w:rPr>
          <w:sz w:val="26"/>
          <w:szCs w:val="26"/>
        </w:rPr>
        <w:t xml:space="preserve"> Attached to the </w:t>
      </w:r>
      <w:r w:rsidR="00EC4758">
        <w:rPr>
          <w:sz w:val="26"/>
          <w:szCs w:val="26"/>
        </w:rPr>
        <w:t>S</w:t>
      </w:r>
      <w:r w:rsidRPr="001471C8">
        <w:rPr>
          <w:sz w:val="26"/>
          <w:szCs w:val="26"/>
        </w:rPr>
        <w:t>ettlement were the following appendices: Appendix A – Proposed Findings of Fact; Appendix B – Proposed Conclusions of Law; Appendix C</w:t>
      </w:r>
      <w:r w:rsidR="00EC4758">
        <w:rPr>
          <w:sz w:val="26"/>
          <w:szCs w:val="26"/>
        </w:rPr>
        <w:noBreakHyphen/>
      </w:r>
      <w:r w:rsidRPr="001471C8">
        <w:rPr>
          <w:sz w:val="26"/>
          <w:szCs w:val="26"/>
        </w:rPr>
        <w:t>CenturyLink Statement in Support of the Settlement</w:t>
      </w:r>
      <w:r w:rsidR="00066F28" w:rsidRPr="001471C8">
        <w:rPr>
          <w:sz w:val="26"/>
          <w:szCs w:val="26"/>
        </w:rPr>
        <w:t xml:space="preserve"> (CenturyLink Statement in Support)</w:t>
      </w:r>
      <w:r w:rsidRPr="001471C8">
        <w:rPr>
          <w:sz w:val="26"/>
          <w:szCs w:val="26"/>
        </w:rPr>
        <w:t>; and Appendix D – OCA Statement in Support of the Settlement</w:t>
      </w:r>
      <w:r w:rsidR="00066F28" w:rsidRPr="001471C8">
        <w:rPr>
          <w:sz w:val="26"/>
          <w:szCs w:val="26"/>
        </w:rPr>
        <w:t xml:space="preserve"> (OCA</w:t>
      </w:r>
      <w:r w:rsidR="00457673">
        <w:rPr>
          <w:sz w:val="26"/>
          <w:szCs w:val="26"/>
        </w:rPr>
        <w:t> </w:t>
      </w:r>
      <w:r w:rsidR="00066F28" w:rsidRPr="001471C8">
        <w:rPr>
          <w:sz w:val="26"/>
          <w:szCs w:val="26"/>
        </w:rPr>
        <w:t>Statement in Support)</w:t>
      </w:r>
      <w:r w:rsidRPr="001471C8">
        <w:rPr>
          <w:sz w:val="26"/>
          <w:szCs w:val="26"/>
        </w:rPr>
        <w:t xml:space="preserve">. </w:t>
      </w:r>
      <w:r w:rsidR="00066F28" w:rsidRPr="001471C8">
        <w:rPr>
          <w:sz w:val="26"/>
          <w:szCs w:val="26"/>
        </w:rPr>
        <w:t xml:space="preserve"> </w:t>
      </w:r>
      <w:r w:rsidRPr="001471C8">
        <w:rPr>
          <w:sz w:val="26"/>
          <w:szCs w:val="26"/>
        </w:rPr>
        <w:t xml:space="preserve">The OSBA filed </w:t>
      </w:r>
      <w:r w:rsidR="00B236CA">
        <w:rPr>
          <w:sz w:val="26"/>
          <w:szCs w:val="26"/>
        </w:rPr>
        <w:t>its</w:t>
      </w:r>
      <w:r w:rsidR="00066F28" w:rsidRPr="001471C8">
        <w:rPr>
          <w:sz w:val="26"/>
          <w:szCs w:val="26"/>
        </w:rPr>
        <w:t xml:space="preserve"> Statement in Support </w:t>
      </w:r>
      <w:r w:rsidRPr="001471C8">
        <w:rPr>
          <w:sz w:val="26"/>
          <w:szCs w:val="26"/>
        </w:rPr>
        <w:t>on January</w:t>
      </w:r>
      <w:r w:rsidR="00457673">
        <w:rPr>
          <w:sz w:val="26"/>
          <w:szCs w:val="26"/>
        </w:rPr>
        <w:t> </w:t>
      </w:r>
      <w:r w:rsidRPr="001471C8">
        <w:rPr>
          <w:sz w:val="26"/>
          <w:szCs w:val="26"/>
        </w:rPr>
        <w:t>29,</w:t>
      </w:r>
      <w:r w:rsidR="00457673">
        <w:rPr>
          <w:sz w:val="26"/>
          <w:szCs w:val="26"/>
        </w:rPr>
        <w:t> </w:t>
      </w:r>
      <w:r w:rsidRPr="001471C8">
        <w:rPr>
          <w:sz w:val="26"/>
          <w:szCs w:val="26"/>
        </w:rPr>
        <w:t>2020.</w:t>
      </w:r>
    </w:p>
    <w:p w14:paraId="497C5BEE" w14:textId="42DFA0DD" w:rsidR="00CA3B17" w:rsidRPr="001471C8" w:rsidRDefault="00CA3B17" w:rsidP="00217B05">
      <w:pPr>
        <w:widowControl/>
        <w:spacing w:line="360" w:lineRule="auto"/>
        <w:ind w:firstLine="1440"/>
        <w:contextualSpacing/>
        <w:rPr>
          <w:sz w:val="26"/>
          <w:szCs w:val="26"/>
        </w:rPr>
      </w:pPr>
    </w:p>
    <w:p w14:paraId="182B0B3D" w14:textId="11039387" w:rsidR="00CA3B17" w:rsidRPr="001471C8" w:rsidRDefault="007B0D47" w:rsidP="00217B05">
      <w:pPr>
        <w:widowControl/>
        <w:spacing w:line="360" w:lineRule="auto"/>
        <w:ind w:firstLine="1440"/>
        <w:contextualSpacing/>
        <w:rPr>
          <w:sz w:val="26"/>
          <w:szCs w:val="26"/>
        </w:rPr>
      </w:pPr>
      <w:r w:rsidRPr="001471C8">
        <w:rPr>
          <w:sz w:val="26"/>
          <w:szCs w:val="26"/>
        </w:rPr>
        <w:t xml:space="preserve">On February 10, 2020, the </w:t>
      </w:r>
      <w:r w:rsidR="00EC4758">
        <w:rPr>
          <w:sz w:val="26"/>
          <w:szCs w:val="26"/>
        </w:rPr>
        <w:t>ALJs</w:t>
      </w:r>
      <w:r w:rsidRPr="001471C8">
        <w:rPr>
          <w:sz w:val="26"/>
          <w:szCs w:val="26"/>
        </w:rPr>
        <w:t xml:space="preserve"> notified the </w:t>
      </w:r>
      <w:r w:rsidR="00EC4758">
        <w:rPr>
          <w:sz w:val="26"/>
          <w:szCs w:val="26"/>
        </w:rPr>
        <w:t>P</w:t>
      </w:r>
      <w:r w:rsidRPr="001471C8">
        <w:rPr>
          <w:sz w:val="26"/>
          <w:szCs w:val="26"/>
        </w:rPr>
        <w:t xml:space="preserve">arties about concerns regarding the </w:t>
      </w:r>
      <w:r w:rsidR="00EC4758">
        <w:rPr>
          <w:sz w:val="26"/>
          <w:szCs w:val="26"/>
        </w:rPr>
        <w:t>S</w:t>
      </w:r>
      <w:r w:rsidRPr="001471C8">
        <w:rPr>
          <w:sz w:val="26"/>
          <w:szCs w:val="26"/>
        </w:rPr>
        <w:t xml:space="preserve">ettlement and requested that a further prehearing conference be established. </w:t>
      </w:r>
      <w:r w:rsidR="00EC4758">
        <w:rPr>
          <w:sz w:val="26"/>
          <w:szCs w:val="26"/>
        </w:rPr>
        <w:t xml:space="preserve"> </w:t>
      </w:r>
      <w:r w:rsidRPr="001471C8">
        <w:rPr>
          <w:sz w:val="26"/>
          <w:szCs w:val="26"/>
        </w:rPr>
        <w:t xml:space="preserve">The further prehearing conference was held on March 10, 2020 </w:t>
      </w:r>
      <w:r w:rsidR="00F339A8" w:rsidRPr="001471C8">
        <w:rPr>
          <w:sz w:val="26"/>
          <w:szCs w:val="26"/>
        </w:rPr>
        <w:t>(March 2020</w:t>
      </w:r>
      <w:r w:rsidR="000F1E14" w:rsidRPr="001471C8">
        <w:rPr>
          <w:sz w:val="26"/>
          <w:szCs w:val="26"/>
        </w:rPr>
        <w:t xml:space="preserve"> Prehearing Conference) </w:t>
      </w:r>
      <w:r w:rsidRPr="001471C8">
        <w:rPr>
          <w:sz w:val="26"/>
          <w:szCs w:val="26"/>
        </w:rPr>
        <w:t xml:space="preserve">wherein the </w:t>
      </w:r>
      <w:r w:rsidR="00EC4758">
        <w:rPr>
          <w:sz w:val="26"/>
          <w:szCs w:val="26"/>
        </w:rPr>
        <w:t>P</w:t>
      </w:r>
      <w:r w:rsidRPr="001471C8">
        <w:rPr>
          <w:sz w:val="26"/>
          <w:szCs w:val="26"/>
        </w:rPr>
        <w:t xml:space="preserve">arties were informed that the </w:t>
      </w:r>
      <w:r w:rsidR="00EC4758">
        <w:rPr>
          <w:sz w:val="26"/>
          <w:szCs w:val="26"/>
        </w:rPr>
        <w:t>ALJs</w:t>
      </w:r>
      <w:r w:rsidRPr="001471C8">
        <w:rPr>
          <w:sz w:val="26"/>
          <w:szCs w:val="26"/>
        </w:rPr>
        <w:t xml:space="preserve"> were considering recommending that the </w:t>
      </w:r>
      <w:r w:rsidR="00EC4758">
        <w:rPr>
          <w:sz w:val="26"/>
          <w:szCs w:val="26"/>
        </w:rPr>
        <w:t>S</w:t>
      </w:r>
      <w:r w:rsidRPr="001471C8">
        <w:rPr>
          <w:sz w:val="26"/>
          <w:szCs w:val="26"/>
        </w:rPr>
        <w:t>ettlement be rejected</w:t>
      </w:r>
      <w:r w:rsidR="00B236CA">
        <w:rPr>
          <w:sz w:val="26"/>
          <w:szCs w:val="26"/>
        </w:rPr>
        <w:t xml:space="preserve">.  The ALJs gave the </w:t>
      </w:r>
      <w:r w:rsidR="003B3F04">
        <w:rPr>
          <w:sz w:val="26"/>
          <w:szCs w:val="26"/>
        </w:rPr>
        <w:t>P</w:t>
      </w:r>
      <w:r w:rsidR="00886BA0">
        <w:rPr>
          <w:sz w:val="26"/>
          <w:szCs w:val="26"/>
        </w:rPr>
        <w:t>arties</w:t>
      </w:r>
      <w:r w:rsidRPr="001471C8">
        <w:rPr>
          <w:sz w:val="26"/>
          <w:szCs w:val="26"/>
        </w:rPr>
        <w:t xml:space="preserve"> the opportunity to either</w:t>
      </w:r>
      <w:r w:rsidR="004D54F9">
        <w:rPr>
          <w:sz w:val="26"/>
          <w:szCs w:val="26"/>
        </w:rPr>
        <w:t>:</w:t>
      </w:r>
      <w:r w:rsidR="00457673">
        <w:rPr>
          <w:sz w:val="26"/>
          <w:szCs w:val="26"/>
        </w:rPr>
        <w:t xml:space="preserve"> </w:t>
      </w:r>
      <w:r w:rsidRPr="001471C8">
        <w:rPr>
          <w:sz w:val="26"/>
          <w:szCs w:val="26"/>
        </w:rPr>
        <w:t xml:space="preserve"> </w:t>
      </w:r>
      <w:r w:rsidR="00E0618A" w:rsidRPr="001471C8">
        <w:rPr>
          <w:sz w:val="26"/>
          <w:szCs w:val="26"/>
        </w:rPr>
        <w:t>(</w:t>
      </w:r>
      <w:r w:rsidRPr="001471C8">
        <w:rPr>
          <w:sz w:val="26"/>
          <w:szCs w:val="26"/>
        </w:rPr>
        <w:t xml:space="preserve">1) follow the normal course of </w:t>
      </w:r>
      <w:r w:rsidR="00281339">
        <w:rPr>
          <w:sz w:val="26"/>
          <w:szCs w:val="26"/>
        </w:rPr>
        <w:t>E</w:t>
      </w:r>
      <w:r w:rsidRPr="001471C8">
        <w:rPr>
          <w:sz w:val="26"/>
          <w:szCs w:val="26"/>
        </w:rPr>
        <w:t xml:space="preserve">xceptions and </w:t>
      </w:r>
      <w:r w:rsidR="00281339">
        <w:rPr>
          <w:sz w:val="26"/>
          <w:szCs w:val="26"/>
        </w:rPr>
        <w:t>Reply Exceptions</w:t>
      </w:r>
      <w:r w:rsidRPr="001471C8">
        <w:rPr>
          <w:sz w:val="26"/>
          <w:szCs w:val="26"/>
        </w:rPr>
        <w:t xml:space="preserve"> to the extent that the </w:t>
      </w:r>
      <w:r w:rsidR="00281339">
        <w:rPr>
          <w:sz w:val="26"/>
          <w:szCs w:val="26"/>
        </w:rPr>
        <w:t>P</w:t>
      </w:r>
      <w:r w:rsidRPr="001471C8">
        <w:rPr>
          <w:sz w:val="26"/>
          <w:szCs w:val="26"/>
        </w:rPr>
        <w:t xml:space="preserve">arties were so inclined following the issuance of the </w:t>
      </w:r>
      <w:r w:rsidR="00281339">
        <w:rPr>
          <w:sz w:val="26"/>
          <w:szCs w:val="26"/>
        </w:rPr>
        <w:t>R</w:t>
      </w:r>
      <w:r w:rsidRPr="001471C8">
        <w:rPr>
          <w:sz w:val="26"/>
          <w:szCs w:val="26"/>
        </w:rPr>
        <w:t xml:space="preserve">ecommended </w:t>
      </w:r>
      <w:r w:rsidR="00281339">
        <w:rPr>
          <w:sz w:val="26"/>
          <w:szCs w:val="26"/>
        </w:rPr>
        <w:t>D</w:t>
      </w:r>
      <w:r w:rsidRPr="001471C8">
        <w:rPr>
          <w:sz w:val="26"/>
          <w:szCs w:val="26"/>
        </w:rPr>
        <w:t>ecision</w:t>
      </w:r>
      <w:r w:rsidR="004D54F9">
        <w:rPr>
          <w:sz w:val="26"/>
          <w:szCs w:val="26"/>
        </w:rPr>
        <w:t>;</w:t>
      </w:r>
      <w:r w:rsidRPr="001471C8">
        <w:rPr>
          <w:sz w:val="26"/>
          <w:szCs w:val="26"/>
        </w:rPr>
        <w:t xml:space="preserve"> </w:t>
      </w:r>
      <w:r w:rsidR="00E0618A" w:rsidRPr="001471C8">
        <w:rPr>
          <w:sz w:val="26"/>
          <w:szCs w:val="26"/>
        </w:rPr>
        <w:t>(</w:t>
      </w:r>
      <w:r w:rsidRPr="001471C8">
        <w:rPr>
          <w:sz w:val="26"/>
          <w:szCs w:val="26"/>
        </w:rPr>
        <w:t xml:space="preserve">2) submit written statements from their respective experts in support of the </w:t>
      </w:r>
      <w:r w:rsidR="00A631E1">
        <w:rPr>
          <w:sz w:val="26"/>
          <w:szCs w:val="26"/>
        </w:rPr>
        <w:t>S</w:t>
      </w:r>
      <w:r w:rsidRPr="001471C8">
        <w:rPr>
          <w:sz w:val="26"/>
          <w:szCs w:val="26"/>
        </w:rPr>
        <w:t>ettlement</w:t>
      </w:r>
      <w:r w:rsidR="00066F28" w:rsidRPr="001471C8">
        <w:rPr>
          <w:sz w:val="26"/>
          <w:szCs w:val="26"/>
        </w:rPr>
        <w:t xml:space="preserve"> </w:t>
      </w:r>
      <w:r w:rsidR="00972F63" w:rsidRPr="001471C8">
        <w:rPr>
          <w:sz w:val="26"/>
          <w:szCs w:val="26"/>
        </w:rPr>
        <w:t>(Verified Witness Statement</w:t>
      </w:r>
      <w:r w:rsidR="00886BA0">
        <w:rPr>
          <w:sz w:val="26"/>
          <w:szCs w:val="26"/>
        </w:rPr>
        <w:t>s</w:t>
      </w:r>
      <w:r w:rsidR="00972F63" w:rsidRPr="001471C8">
        <w:rPr>
          <w:sz w:val="26"/>
          <w:szCs w:val="26"/>
        </w:rPr>
        <w:t>)</w:t>
      </w:r>
      <w:r w:rsidR="004D54F9">
        <w:rPr>
          <w:sz w:val="26"/>
          <w:szCs w:val="26"/>
        </w:rPr>
        <w:t>;</w:t>
      </w:r>
      <w:r w:rsidRPr="001471C8">
        <w:rPr>
          <w:sz w:val="26"/>
          <w:szCs w:val="26"/>
        </w:rPr>
        <w:t xml:space="preserve"> or </w:t>
      </w:r>
      <w:r w:rsidR="00E0618A" w:rsidRPr="001471C8">
        <w:rPr>
          <w:sz w:val="26"/>
          <w:szCs w:val="26"/>
        </w:rPr>
        <w:t>(</w:t>
      </w:r>
      <w:r w:rsidRPr="001471C8">
        <w:rPr>
          <w:sz w:val="26"/>
          <w:szCs w:val="26"/>
        </w:rPr>
        <w:t xml:space="preserve">3) propose another option. </w:t>
      </w:r>
      <w:r w:rsidR="00972F63" w:rsidRPr="001471C8">
        <w:rPr>
          <w:sz w:val="26"/>
          <w:szCs w:val="26"/>
        </w:rPr>
        <w:t xml:space="preserve"> </w:t>
      </w:r>
      <w:r w:rsidRPr="001471C8">
        <w:rPr>
          <w:sz w:val="26"/>
          <w:szCs w:val="26"/>
        </w:rPr>
        <w:t xml:space="preserve">The </w:t>
      </w:r>
      <w:r w:rsidR="00281339">
        <w:rPr>
          <w:sz w:val="26"/>
          <w:szCs w:val="26"/>
        </w:rPr>
        <w:t>P</w:t>
      </w:r>
      <w:r w:rsidRPr="001471C8">
        <w:rPr>
          <w:sz w:val="26"/>
          <w:szCs w:val="26"/>
        </w:rPr>
        <w:t xml:space="preserve">arties indicated they would submit </w:t>
      </w:r>
      <w:r w:rsidR="00972F63" w:rsidRPr="001471C8">
        <w:rPr>
          <w:sz w:val="26"/>
          <w:szCs w:val="26"/>
        </w:rPr>
        <w:t>Verified Witness Statements</w:t>
      </w:r>
      <w:r w:rsidRPr="001471C8">
        <w:rPr>
          <w:sz w:val="26"/>
          <w:szCs w:val="26"/>
        </w:rPr>
        <w:t xml:space="preserve"> from their respective expert</w:t>
      </w:r>
      <w:r w:rsidR="006D0A9F">
        <w:rPr>
          <w:sz w:val="26"/>
          <w:szCs w:val="26"/>
        </w:rPr>
        <w:t xml:space="preserve"> witnesse</w:t>
      </w:r>
      <w:r w:rsidRPr="001471C8">
        <w:rPr>
          <w:sz w:val="26"/>
          <w:szCs w:val="26"/>
        </w:rPr>
        <w:t xml:space="preserve">s in support of the </w:t>
      </w:r>
      <w:r w:rsidR="006D0A9F">
        <w:rPr>
          <w:sz w:val="26"/>
          <w:szCs w:val="26"/>
        </w:rPr>
        <w:t>S</w:t>
      </w:r>
      <w:r w:rsidRPr="001471C8">
        <w:rPr>
          <w:sz w:val="26"/>
          <w:szCs w:val="26"/>
        </w:rPr>
        <w:t>ettlement that would then be admitted into the record via stipulation with cross-examination waived.</w:t>
      </w:r>
    </w:p>
    <w:p w14:paraId="16C276D9" w14:textId="3D56182E" w:rsidR="007B0D47" w:rsidRPr="001471C8" w:rsidRDefault="007B0D47" w:rsidP="00217B05">
      <w:pPr>
        <w:widowControl/>
        <w:spacing w:line="360" w:lineRule="auto"/>
        <w:ind w:firstLine="1440"/>
        <w:contextualSpacing/>
        <w:rPr>
          <w:sz w:val="26"/>
          <w:szCs w:val="26"/>
        </w:rPr>
      </w:pPr>
    </w:p>
    <w:p w14:paraId="2AEA8324" w14:textId="1731962D" w:rsidR="007B0D47" w:rsidRPr="001471C8" w:rsidRDefault="00AA0949" w:rsidP="00217B05">
      <w:pPr>
        <w:widowControl/>
        <w:spacing w:line="360" w:lineRule="auto"/>
        <w:ind w:firstLine="1440"/>
        <w:contextualSpacing/>
        <w:rPr>
          <w:sz w:val="26"/>
          <w:szCs w:val="26"/>
        </w:rPr>
      </w:pPr>
      <w:r w:rsidRPr="001471C8">
        <w:rPr>
          <w:sz w:val="26"/>
          <w:szCs w:val="26"/>
        </w:rPr>
        <w:t>On April 14, 2020, CenturyLink submitted the statement of Mark D. Harper</w:t>
      </w:r>
      <w:r w:rsidR="00886BA0">
        <w:rPr>
          <w:sz w:val="26"/>
          <w:szCs w:val="26"/>
        </w:rPr>
        <w:t xml:space="preserve"> (CenturyLink Verified Witness Statement)</w:t>
      </w:r>
      <w:r w:rsidRPr="001471C8">
        <w:rPr>
          <w:sz w:val="26"/>
          <w:szCs w:val="26"/>
        </w:rPr>
        <w:t xml:space="preserve">; the OCA submitted the statement of Dr. Robert </w:t>
      </w:r>
      <w:proofErr w:type="spellStart"/>
      <w:r w:rsidRPr="001471C8">
        <w:rPr>
          <w:sz w:val="26"/>
          <w:szCs w:val="26"/>
        </w:rPr>
        <w:t>Loube</w:t>
      </w:r>
      <w:proofErr w:type="spellEnd"/>
      <w:r w:rsidR="00886BA0">
        <w:rPr>
          <w:sz w:val="26"/>
          <w:szCs w:val="26"/>
        </w:rPr>
        <w:t xml:space="preserve"> (OCA Verified Witness Statement); and</w:t>
      </w:r>
      <w:r w:rsidR="00886BA0" w:rsidRPr="00886BA0">
        <w:rPr>
          <w:sz w:val="26"/>
          <w:szCs w:val="26"/>
        </w:rPr>
        <w:t xml:space="preserve"> </w:t>
      </w:r>
      <w:r w:rsidR="00886BA0" w:rsidRPr="001471C8">
        <w:rPr>
          <w:sz w:val="26"/>
          <w:szCs w:val="26"/>
        </w:rPr>
        <w:t xml:space="preserve">the OSBA submitted the statement of Joseph </w:t>
      </w:r>
      <w:proofErr w:type="spellStart"/>
      <w:r w:rsidR="00886BA0" w:rsidRPr="001471C8">
        <w:rPr>
          <w:sz w:val="26"/>
          <w:szCs w:val="26"/>
        </w:rPr>
        <w:t>Gillan</w:t>
      </w:r>
      <w:proofErr w:type="spellEnd"/>
      <w:r w:rsidR="00886BA0">
        <w:rPr>
          <w:sz w:val="26"/>
          <w:szCs w:val="26"/>
        </w:rPr>
        <w:t xml:space="preserve"> (OSBA Verified Witness Statement)</w:t>
      </w:r>
      <w:r w:rsidRPr="001471C8">
        <w:rPr>
          <w:sz w:val="26"/>
          <w:szCs w:val="26"/>
        </w:rPr>
        <w:t xml:space="preserve">. </w:t>
      </w:r>
      <w:r w:rsidR="00BE2DB3" w:rsidRPr="001471C8">
        <w:rPr>
          <w:sz w:val="26"/>
          <w:szCs w:val="26"/>
        </w:rPr>
        <w:t xml:space="preserve"> </w:t>
      </w:r>
      <w:r w:rsidRPr="001471C8">
        <w:rPr>
          <w:sz w:val="26"/>
          <w:szCs w:val="26"/>
        </w:rPr>
        <w:t xml:space="preserve">Each of these </w:t>
      </w:r>
      <w:r w:rsidR="00BE2DB3" w:rsidRPr="001471C8">
        <w:rPr>
          <w:sz w:val="26"/>
          <w:szCs w:val="26"/>
        </w:rPr>
        <w:t xml:space="preserve">Verified Witness Statements </w:t>
      </w:r>
      <w:r w:rsidRPr="001471C8">
        <w:rPr>
          <w:sz w:val="26"/>
          <w:szCs w:val="26"/>
        </w:rPr>
        <w:t>was accompanied by a signed verification testifying to the truth and accuracy of the statement and w</w:t>
      </w:r>
      <w:r w:rsidR="00FB42EE">
        <w:rPr>
          <w:sz w:val="26"/>
          <w:szCs w:val="26"/>
        </w:rPr>
        <w:t>ere</w:t>
      </w:r>
      <w:r w:rsidRPr="001471C8">
        <w:rPr>
          <w:sz w:val="26"/>
          <w:szCs w:val="26"/>
        </w:rPr>
        <w:t xml:space="preserve"> admitted into the record via stipulation as part of </w:t>
      </w:r>
      <w:r w:rsidR="00FB42EE">
        <w:rPr>
          <w:sz w:val="26"/>
          <w:szCs w:val="26"/>
        </w:rPr>
        <w:t>the Recommended Decision</w:t>
      </w:r>
      <w:r w:rsidRPr="001471C8">
        <w:rPr>
          <w:sz w:val="26"/>
          <w:szCs w:val="26"/>
        </w:rPr>
        <w:t xml:space="preserve">. </w:t>
      </w:r>
      <w:r w:rsidR="00BE2DB3" w:rsidRPr="001471C8">
        <w:rPr>
          <w:sz w:val="26"/>
          <w:szCs w:val="26"/>
        </w:rPr>
        <w:t xml:space="preserve"> </w:t>
      </w:r>
    </w:p>
    <w:p w14:paraId="6A380974" w14:textId="5CECDE14" w:rsidR="009510BA" w:rsidRPr="001471C8" w:rsidRDefault="009510BA" w:rsidP="00217B05">
      <w:pPr>
        <w:widowControl/>
        <w:spacing w:line="360" w:lineRule="auto"/>
        <w:ind w:firstLine="1440"/>
        <w:contextualSpacing/>
        <w:rPr>
          <w:sz w:val="26"/>
          <w:szCs w:val="26"/>
        </w:rPr>
      </w:pPr>
    </w:p>
    <w:p w14:paraId="06107ECF" w14:textId="00EC1017" w:rsidR="005A5BDC" w:rsidRPr="001471C8" w:rsidRDefault="005A5BDC" w:rsidP="00217B05">
      <w:pPr>
        <w:widowControl/>
        <w:spacing w:line="360" w:lineRule="auto"/>
        <w:ind w:firstLine="1440"/>
        <w:contextualSpacing/>
        <w:rPr>
          <w:sz w:val="26"/>
          <w:szCs w:val="26"/>
        </w:rPr>
      </w:pPr>
      <w:r w:rsidRPr="001471C8">
        <w:rPr>
          <w:sz w:val="26"/>
          <w:szCs w:val="26"/>
        </w:rPr>
        <w:t xml:space="preserve">On June 2, 2020, the Commission issued the Recommended Decision of ALJs </w:t>
      </w:r>
      <w:r w:rsidR="00902D23" w:rsidRPr="001471C8">
        <w:rPr>
          <w:sz w:val="26"/>
          <w:szCs w:val="26"/>
        </w:rPr>
        <w:t xml:space="preserve">Cheskis </w:t>
      </w:r>
      <w:r w:rsidR="00FB42EE">
        <w:rPr>
          <w:sz w:val="26"/>
          <w:szCs w:val="26"/>
        </w:rPr>
        <w:t>and</w:t>
      </w:r>
      <w:r w:rsidR="00902D23" w:rsidRPr="001471C8">
        <w:rPr>
          <w:sz w:val="26"/>
          <w:szCs w:val="26"/>
        </w:rPr>
        <w:t xml:space="preserve"> Meyers, wherein they recommended rejection of the Settlement on the grounds that it was not responsive to the Commission’s directives </w:t>
      </w:r>
      <w:r w:rsidR="00FB42EE">
        <w:rPr>
          <w:sz w:val="26"/>
          <w:szCs w:val="26"/>
        </w:rPr>
        <w:t xml:space="preserve">in the </w:t>
      </w:r>
      <w:r w:rsidR="00FB42EE">
        <w:rPr>
          <w:i/>
          <w:iCs/>
          <w:sz w:val="26"/>
          <w:szCs w:val="26"/>
        </w:rPr>
        <w:t>October 2018 Order</w:t>
      </w:r>
      <w:r w:rsidR="00902D23" w:rsidRPr="001471C8">
        <w:rPr>
          <w:sz w:val="26"/>
          <w:szCs w:val="26"/>
        </w:rPr>
        <w:t>.</w:t>
      </w:r>
    </w:p>
    <w:p w14:paraId="790C498D" w14:textId="676E9929" w:rsidR="00902D23" w:rsidRPr="001471C8" w:rsidRDefault="00902D23" w:rsidP="00217B05">
      <w:pPr>
        <w:widowControl/>
        <w:spacing w:line="360" w:lineRule="auto"/>
        <w:ind w:firstLine="1440"/>
        <w:contextualSpacing/>
        <w:rPr>
          <w:sz w:val="26"/>
          <w:szCs w:val="26"/>
        </w:rPr>
      </w:pPr>
    </w:p>
    <w:p w14:paraId="18F6AC50" w14:textId="6659F137" w:rsidR="00902D23" w:rsidRPr="001471C8" w:rsidRDefault="00BA4D0C" w:rsidP="00217B05">
      <w:pPr>
        <w:widowControl/>
        <w:spacing w:line="360" w:lineRule="auto"/>
        <w:ind w:firstLine="1440"/>
        <w:contextualSpacing/>
        <w:rPr>
          <w:sz w:val="26"/>
          <w:szCs w:val="26"/>
        </w:rPr>
      </w:pPr>
      <w:r w:rsidRPr="001471C8">
        <w:rPr>
          <w:sz w:val="26"/>
          <w:szCs w:val="26"/>
        </w:rPr>
        <w:t>As previously noted, CenturyLink, the OCA, and the OSBA filed Exceptions to the Recommended Decision on June 22, 2022.  Also on June 22, 2020, the PTA filed its Petition and Motion.</w:t>
      </w:r>
    </w:p>
    <w:p w14:paraId="69AAA082" w14:textId="2387C3D8" w:rsidR="005A5BDC" w:rsidRPr="001471C8" w:rsidRDefault="005A5BDC" w:rsidP="00217B05">
      <w:pPr>
        <w:widowControl/>
        <w:spacing w:line="360" w:lineRule="auto"/>
        <w:ind w:firstLine="1440"/>
        <w:contextualSpacing/>
        <w:rPr>
          <w:sz w:val="26"/>
          <w:szCs w:val="26"/>
        </w:rPr>
      </w:pPr>
    </w:p>
    <w:p w14:paraId="2A70E86C" w14:textId="6F85951A" w:rsidR="00BA4D0C" w:rsidRPr="001471C8" w:rsidRDefault="00BA4D0C" w:rsidP="00217B05">
      <w:pPr>
        <w:widowControl/>
        <w:spacing w:line="360" w:lineRule="auto"/>
        <w:ind w:firstLine="1440"/>
        <w:contextualSpacing/>
        <w:rPr>
          <w:sz w:val="26"/>
          <w:szCs w:val="26"/>
        </w:rPr>
      </w:pPr>
      <w:r w:rsidRPr="001471C8">
        <w:rPr>
          <w:sz w:val="26"/>
          <w:szCs w:val="26"/>
        </w:rPr>
        <w:t xml:space="preserve">On </w:t>
      </w:r>
      <w:r w:rsidR="00934465" w:rsidRPr="001471C8">
        <w:rPr>
          <w:sz w:val="26"/>
          <w:szCs w:val="26"/>
        </w:rPr>
        <w:t>June 25, 202</w:t>
      </w:r>
      <w:r w:rsidR="003243A8" w:rsidRPr="001471C8">
        <w:rPr>
          <w:sz w:val="26"/>
          <w:szCs w:val="26"/>
        </w:rPr>
        <w:t>0, the OSBA filed an Answer to the PTA Petition and the PTA Motion</w:t>
      </w:r>
      <w:r w:rsidR="00920748">
        <w:rPr>
          <w:sz w:val="26"/>
          <w:szCs w:val="26"/>
        </w:rPr>
        <w:t xml:space="preserve"> (OSBA Answer)</w:t>
      </w:r>
      <w:r w:rsidR="003243A8" w:rsidRPr="001471C8">
        <w:rPr>
          <w:sz w:val="26"/>
          <w:szCs w:val="26"/>
        </w:rPr>
        <w:t>.</w:t>
      </w:r>
    </w:p>
    <w:p w14:paraId="262ADD98" w14:textId="5583CAE3" w:rsidR="003243A8" w:rsidRPr="001471C8" w:rsidRDefault="003243A8" w:rsidP="00217B05">
      <w:pPr>
        <w:widowControl/>
        <w:spacing w:line="360" w:lineRule="auto"/>
        <w:ind w:firstLine="1440"/>
        <w:contextualSpacing/>
        <w:rPr>
          <w:sz w:val="26"/>
          <w:szCs w:val="26"/>
        </w:rPr>
      </w:pPr>
    </w:p>
    <w:p w14:paraId="3C0B48EC" w14:textId="05EE9EEC" w:rsidR="003243A8" w:rsidRPr="001471C8" w:rsidRDefault="003243A8" w:rsidP="00217B05">
      <w:pPr>
        <w:widowControl/>
        <w:spacing w:line="360" w:lineRule="auto"/>
        <w:ind w:firstLine="1440"/>
        <w:contextualSpacing/>
        <w:rPr>
          <w:sz w:val="26"/>
          <w:szCs w:val="26"/>
        </w:rPr>
      </w:pPr>
      <w:r w:rsidRPr="001471C8">
        <w:rPr>
          <w:sz w:val="26"/>
          <w:szCs w:val="26"/>
        </w:rPr>
        <w:t>On July 2, 2020, the OCA filed an Answer to the PTA Petition and the PTA</w:t>
      </w:r>
      <w:r w:rsidR="00457673">
        <w:rPr>
          <w:sz w:val="26"/>
          <w:szCs w:val="26"/>
        </w:rPr>
        <w:t> </w:t>
      </w:r>
      <w:r w:rsidRPr="001471C8">
        <w:rPr>
          <w:sz w:val="26"/>
          <w:szCs w:val="26"/>
        </w:rPr>
        <w:t>Motion</w:t>
      </w:r>
      <w:r w:rsidR="00920748">
        <w:rPr>
          <w:sz w:val="26"/>
          <w:szCs w:val="26"/>
        </w:rPr>
        <w:t xml:space="preserve"> (OCA Answer)</w:t>
      </w:r>
      <w:r w:rsidRPr="001471C8">
        <w:rPr>
          <w:sz w:val="26"/>
          <w:szCs w:val="26"/>
        </w:rPr>
        <w:t>.</w:t>
      </w:r>
    </w:p>
    <w:p w14:paraId="071737A7" w14:textId="5FE22288" w:rsidR="00BA4D0C" w:rsidRPr="001471C8" w:rsidRDefault="00BA4D0C" w:rsidP="00217B05">
      <w:pPr>
        <w:widowControl/>
        <w:spacing w:line="360" w:lineRule="auto"/>
        <w:ind w:firstLine="1440"/>
        <w:contextualSpacing/>
        <w:rPr>
          <w:sz w:val="26"/>
          <w:szCs w:val="26"/>
        </w:rPr>
      </w:pPr>
    </w:p>
    <w:p w14:paraId="0153B83E" w14:textId="3EBF7FB4" w:rsidR="00CB0133" w:rsidRPr="001471C8" w:rsidRDefault="0008158C" w:rsidP="00217B05">
      <w:pPr>
        <w:widowControl/>
        <w:spacing w:line="360" w:lineRule="auto"/>
        <w:ind w:firstLine="1440"/>
        <w:contextualSpacing/>
        <w:rPr>
          <w:sz w:val="26"/>
          <w:szCs w:val="26"/>
        </w:rPr>
      </w:pPr>
      <w:r w:rsidRPr="001471C8">
        <w:rPr>
          <w:sz w:val="26"/>
          <w:szCs w:val="26"/>
        </w:rPr>
        <w:t>No Replies to Exceptions were filed</w:t>
      </w:r>
      <w:r w:rsidR="003243A8" w:rsidRPr="001471C8">
        <w:rPr>
          <w:sz w:val="26"/>
          <w:szCs w:val="26"/>
        </w:rPr>
        <w:t xml:space="preserve"> in this proceeding</w:t>
      </w:r>
      <w:r w:rsidRPr="001471C8">
        <w:rPr>
          <w:sz w:val="26"/>
          <w:szCs w:val="26"/>
        </w:rPr>
        <w:t>.</w:t>
      </w:r>
    </w:p>
    <w:p w14:paraId="55186947" w14:textId="77777777" w:rsidR="00CB0133" w:rsidRPr="001471C8" w:rsidRDefault="00CB0133" w:rsidP="00217B05">
      <w:pPr>
        <w:widowControl/>
        <w:spacing w:line="360" w:lineRule="auto"/>
        <w:ind w:firstLine="1440"/>
        <w:contextualSpacing/>
        <w:rPr>
          <w:sz w:val="26"/>
          <w:szCs w:val="26"/>
        </w:rPr>
      </w:pPr>
    </w:p>
    <w:p w14:paraId="3835533F" w14:textId="7CD7B0FC" w:rsidR="00161FDF" w:rsidRPr="001471C8" w:rsidRDefault="00161FDF" w:rsidP="00217B05">
      <w:pPr>
        <w:pStyle w:val="Heading1"/>
        <w:widowControl/>
        <w:numPr>
          <w:ilvl w:val="0"/>
          <w:numId w:val="9"/>
        </w:numPr>
        <w:spacing w:before="0" w:line="360" w:lineRule="auto"/>
        <w:ind w:left="0" w:firstLine="0"/>
        <w:contextualSpacing/>
        <w:jc w:val="center"/>
        <w:rPr>
          <w:rFonts w:ascii="Times New Roman" w:hAnsi="Times New Roman" w:cs="Times New Roman"/>
          <w:b/>
          <w:bCs/>
          <w:color w:val="auto"/>
          <w:sz w:val="26"/>
          <w:szCs w:val="26"/>
        </w:rPr>
      </w:pPr>
      <w:bookmarkStart w:id="4" w:name="_Toc85521200"/>
      <w:bookmarkStart w:id="5" w:name="_Toc91762303"/>
      <w:r w:rsidRPr="001471C8">
        <w:rPr>
          <w:rStyle w:val="Heading1Char"/>
          <w:rFonts w:ascii="Times New Roman" w:hAnsi="Times New Roman" w:cs="Times New Roman"/>
          <w:b/>
          <w:bCs/>
          <w:color w:val="auto"/>
          <w:sz w:val="26"/>
          <w:szCs w:val="26"/>
        </w:rPr>
        <w:t>Discussion</w:t>
      </w:r>
      <w:bookmarkEnd w:id="4"/>
      <w:bookmarkEnd w:id="5"/>
    </w:p>
    <w:p w14:paraId="487B71D5" w14:textId="7AE296E0" w:rsidR="00877272" w:rsidRPr="001471C8" w:rsidRDefault="00877272" w:rsidP="00217B05">
      <w:pPr>
        <w:keepNext/>
        <w:keepLines/>
        <w:widowControl/>
        <w:spacing w:line="360" w:lineRule="auto"/>
        <w:contextualSpacing/>
        <w:jc w:val="center"/>
        <w:rPr>
          <w:b/>
          <w:sz w:val="26"/>
          <w:szCs w:val="26"/>
        </w:rPr>
      </w:pPr>
    </w:p>
    <w:p w14:paraId="1B8EC9E1" w14:textId="549DD271" w:rsidR="0056276B" w:rsidRPr="001471C8" w:rsidRDefault="0056276B" w:rsidP="00457673">
      <w:pPr>
        <w:widowControl/>
        <w:spacing w:line="360" w:lineRule="auto"/>
        <w:ind w:firstLine="1440"/>
        <w:contextualSpacing/>
        <w:rPr>
          <w:rFonts w:eastAsia="Calibri"/>
          <w:sz w:val="26"/>
          <w:szCs w:val="26"/>
        </w:rPr>
      </w:pPr>
      <w:r w:rsidRPr="001471C8">
        <w:rPr>
          <w:rFonts w:eastAsia="Calibri"/>
          <w:sz w:val="26"/>
          <w:szCs w:val="26"/>
        </w:rPr>
        <w:t xml:space="preserve">As a preliminary matter, we note that any issue that we do not specifically delineate shall be deemed to have been duly considered and </w:t>
      </w:r>
      <w:r w:rsidR="004F5233">
        <w:rPr>
          <w:rFonts w:eastAsia="Calibri"/>
          <w:sz w:val="26"/>
          <w:szCs w:val="26"/>
        </w:rPr>
        <w:t xml:space="preserve">will be </w:t>
      </w:r>
      <w:r w:rsidRPr="001471C8">
        <w:rPr>
          <w:rFonts w:eastAsia="Calibri"/>
          <w:sz w:val="26"/>
          <w:szCs w:val="26"/>
        </w:rPr>
        <w:t xml:space="preserve">denied without further discussion.  The Commission is not required to consider expressly or at length each contention or argument raised by the parties.  </w:t>
      </w:r>
      <w:r w:rsidRPr="001471C8">
        <w:rPr>
          <w:rFonts w:eastAsia="Calibri"/>
          <w:i/>
          <w:sz w:val="26"/>
          <w:szCs w:val="26"/>
        </w:rPr>
        <w:t>Consolidated Rail Corp. v. Pa. PUC</w:t>
      </w:r>
      <w:r w:rsidRPr="001471C8">
        <w:rPr>
          <w:rFonts w:eastAsia="Calibri"/>
          <w:sz w:val="26"/>
          <w:szCs w:val="26"/>
        </w:rPr>
        <w:t xml:space="preserve">, 625 A.2d 741 (Pa. </w:t>
      </w:r>
      <w:proofErr w:type="spellStart"/>
      <w:r w:rsidRPr="001471C8">
        <w:rPr>
          <w:rFonts w:eastAsia="Calibri"/>
          <w:sz w:val="26"/>
          <w:szCs w:val="26"/>
        </w:rPr>
        <w:t>Cmwlth</w:t>
      </w:r>
      <w:proofErr w:type="spellEnd"/>
      <w:r w:rsidRPr="001471C8">
        <w:rPr>
          <w:rFonts w:eastAsia="Calibri"/>
          <w:sz w:val="26"/>
          <w:szCs w:val="26"/>
        </w:rPr>
        <w:t xml:space="preserve">. 1993); also see, generally, </w:t>
      </w:r>
      <w:r w:rsidRPr="001471C8">
        <w:rPr>
          <w:rFonts w:eastAsia="Calibri"/>
          <w:i/>
          <w:sz w:val="26"/>
          <w:szCs w:val="26"/>
        </w:rPr>
        <w:t>University of Pennsylvania v. Pa.</w:t>
      </w:r>
      <w:r w:rsidR="00457673">
        <w:rPr>
          <w:rFonts w:eastAsia="Calibri"/>
          <w:i/>
          <w:sz w:val="26"/>
          <w:szCs w:val="26"/>
        </w:rPr>
        <w:t> </w:t>
      </w:r>
      <w:r w:rsidRPr="001471C8">
        <w:rPr>
          <w:rFonts w:eastAsia="Calibri"/>
          <w:i/>
          <w:sz w:val="26"/>
          <w:szCs w:val="26"/>
        </w:rPr>
        <w:t>PUC</w:t>
      </w:r>
      <w:r w:rsidRPr="001471C8">
        <w:rPr>
          <w:rFonts w:eastAsia="Calibri"/>
          <w:sz w:val="26"/>
          <w:szCs w:val="26"/>
        </w:rPr>
        <w:t xml:space="preserve">, 485 A.2d 1217 (Pa. </w:t>
      </w:r>
      <w:proofErr w:type="spellStart"/>
      <w:r w:rsidRPr="001471C8">
        <w:rPr>
          <w:rFonts w:eastAsia="Calibri"/>
          <w:sz w:val="26"/>
          <w:szCs w:val="26"/>
        </w:rPr>
        <w:t>Cmwlth</w:t>
      </w:r>
      <w:proofErr w:type="spellEnd"/>
      <w:r w:rsidRPr="001471C8">
        <w:rPr>
          <w:rFonts w:eastAsia="Calibri"/>
          <w:sz w:val="26"/>
          <w:szCs w:val="26"/>
        </w:rPr>
        <w:t>. 1984).</w:t>
      </w:r>
    </w:p>
    <w:p w14:paraId="4772FB8D" w14:textId="77777777" w:rsidR="0056276B" w:rsidRPr="001471C8" w:rsidRDefault="0056276B" w:rsidP="00457673">
      <w:pPr>
        <w:widowControl/>
        <w:spacing w:line="360" w:lineRule="auto"/>
        <w:contextualSpacing/>
        <w:rPr>
          <w:bCs/>
          <w:sz w:val="26"/>
          <w:szCs w:val="26"/>
        </w:rPr>
      </w:pPr>
    </w:p>
    <w:p w14:paraId="23D3D754" w14:textId="1F4BAC2B" w:rsidR="00763FE6" w:rsidRPr="001471C8" w:rsidRDefault="00280FD7" w:rsidP="00457673">
      <w:pPr>
        <w:pStyle w:val="Heading2"/>
        <w:widowControl/>
        <w:numPr>
          <w:ilvl w:val="0"/>
          <w:numId w:val="10"/>
        </w:numPr>
        <w:spacing w:before="0" w:line="360" w:lineRule="auto"/>
        <w:ind w:left="720"/>
        <w:contextualSpacing/>
        <w:rPr>
          <w:rFonts w:ascii="Times New Roman" w:hAnsi="Times New Roman" w:cs="Times New Roman"/>
          <w:b/>
          <w:bCs/>
          <w:color w:val="auto"/>
        </w:rPr>
      </w:pPr>
      <w:bookmarkStart w:id="6" w:name="_Toc91762304"/>
      <w:bookmarkStart w:id="7" w:name="_Hlk16597026"/>
      <w:r w:rsidRPr="001471C8">
        <w:rPr>
          <w:rFonts w:ascii="Times New Roman" w:hAnsi="Times New Roman" w:cs="Times New Roman"/>
          <w:b/>
          <w:bCs/>
          <w:color w:val="auto"/>
        </w:rPr>
        <w:t>Joint Petition for Settlement</w:t>
      </w:r>
      <w:bookmarkEnd w:id="6"/>
    </w:p>
    <w:bookmarkEnd w:id="7"/>
    <w:p w14:paraId="405B8719" w14:textId="125A92D7" w:rsidR="00763FE6" w:rsidRPr="001471C8" w:rsidRDefault="00763FE6" w:rsidP="00457673">
      <w:pPr>
        <w:keepNext/>
        <w:keepLines/>
        <w:widowControl/>
        <w:spacing w:line="360" w:lineRule="auto"/>
        <w:contextualSpacing/>
        <w:rPr>
          <w:rStyle w:val="Hyperlink"/>
          <w:b/>
          <w:bCs/>
          <w:color w:val="auto"/>
          <w:sz w:val="26"/>
          <w:szCs w:val="26"/>
          <w:u w:val="none"/>
        </w:rPr>
      </w:pPr>
    </w:p>
    <w:p w14:paraId="441839DD" w14:textId="244B972F" w:rsidR="007E019C" w:rsidRPr="001471C8" w:rsidRDefault="00A0509B" w:rsidP="00457673">
      <w:pPr>
        <w:pStyle w:val="Heading3"/>
        <w:widowControl/>
        <w:numPr>
          <w:ilvl w:val="0"/>
          <w:numId w:val="3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8" w:name="_Toc91762305"/>
      <w:r w:rsidRPr="001471C8">
        <w:rPr>
          <w:rStyle w:val="Hyperlink"/>
          <w:rFonts w:ascii="Times New Roman" w:hAnsi="Times New Roman" w:cs="Times New Roman"/>
          <w:b/>
          <w:bCs/>
          <w:color w:val="auto"/>
          <w:sz w:val="26"/>
          <w:szCs w:val="26"/>
          <w:u w:val="none"/>
        </w:rPr>
        <w:t>Legal Standards</w:t>
      </w:r>
      <w:bookmarkEnd w:id="8"/>
    </w:p>
    <w:p w14:paraId="3029B9B8" w14:textId="02F39A61" w:rsidR="007E019C" w:rsidRPr="001471C8" w:rsidRDefault="007E019C" w:rsidP="00457673">
      <w:pPr>
        <w:keepNext/>
        <w:keepLines/>
        <w:widowControl/>
        <w:spacing w:line="360" w:lineRule="auto"/>
        <w:ind w:firstLine="1440"/>
        <w:contextualSpacing/>
        <w:rPr>
          <w:rStyle w:val="Hyperlink"/>
          <w:color w:val="auto"/>
          <w:sz w:val="26"/>
          <w:szCs w:val="26"/>
          <w:u w:val="none"/>
        </w:rPr>
      </w:pPr>
    </w:p>
    <w:p w14:paraId="730E18F6" w14:textId="3DF5D3A6" w:rsidR="00A751B4" w:rsidRDefault="00C0234C" w:rsidP="00457673">
      <w:pPr>
        <w:widowControl/>
        <w:spacing w:line="360" w:lineRule="auto"/>
        <w:ind w:firstLine="1440"/>
        <w:contextualSpacing/>
        <w:rPr>
          <w:sz w:val="26"/>
          <w:szCs w:val="26"/>
        </w:rPr>
      </w:pPr>
      <w:r w:rsidRPr="001471C8">
        <w:rPr>
          <w:sz w:val="26"/>
          <w:szCs w:val="26"/>
        </w:rPr>
        <w:t xml:space="preserve">In this proceeding, the </w:t>
      </w:r>
      <w:r w:rsidR="0050142B">
        <w:rPr>
          <w:sz w:val="26"/>
          <w:szCs w:val="26"/>
        </w:rPr>
        <w:t>P</w:t>
      </w:r>
      <w:r w:rsidRPr="001471C8">
        <w:rPr>
          <w:sz w:val="26"/>
          <w:szCs w:val="26"/>
        </w:rPr>
        <w:t xml:space="preserve">arties have submitted a unanimous </w:t>
      </w:r>
      <w:r w:rsidR="0050142B">
        <w:rPr>
          <w:sz w:val="26"/>
          <w:szCs w:val="26"/>
        </w:rPr>
        <w:t>S</w:t>
      </w:r>
      <w:r w:rsidRPr="001471C8">
        <w:rPr>
          <w:sz w:val="26"/>
          <w:szCs w:val="26"/>
        </w:rPr>
        <w:t>ettlement of all the issues.  Commission policy promotes settlements.  52 Pa. Code § 5.231.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52</w:t>
      </w:r>
      <w:r w:rsidR="00457673">
        <w:rPr>
          <w:sz w:val="26"/>
          <w:szCs w:val="26"/>
        </w:rPr>
        <w:t> </w:t>
      </w:r>
      <w:r w:rsidRPr="001471C8">
        <w:rPr>
          <w:sz w:val="26"/>
          <w:szCs w:val="26"/>
        </w:rPr>
        <w:t xml:space="preserve">Pa. Code § 69.401. </w:t>
      </w:r>
      <w:r w:rsidR="00D411BC">
        <w:rPr>
          <w:sz w:val="26"/>
          <w:szCs w:val="26"/>
        </w:rPr>
        <w:t xml:space="preserve"> </w:t>
      </w:r>
      <w:r w:rsidR="00A751B4" w:rsidRPr="00A751B4">
        <w:rPr>
          <w:sz w:val="26"/>
          <w:szCs w:val="26"/>
        </w:rPr>
        <w:t>A settlement, whether whole or partial, benefits not only the named parties directly, but, indirectly, all customers of the public utility involved in the case.</w:t>
      </w:r>
    </w:p>
    <w:p w14:paraId="719CC131" w14:textId="77777777" w:rsidR="00A751B4" w:rsidRPr="00A751B4" w:rsidRDefault="00A751B4" w:rsidP="00217B05">
      <w:pPr>
        <w:widowControl/>
        <w:spacing w:line="360" w:lineRule="auto"/>
        <w:ind w:firstLine="1440"/>
        <w:contextualSpacing/>
        <w:rPr>
          <w:sz w:val="26"/>
          <w:szCs w:val="26"/>
        </w:rPr>
      </w:pPr>
    </w:p>
    <w:p w14:paraId="53C1D865" w14:textId="0E9F3288" w:rsidR="00C0234C" w:rsidRPr="001471C8" w:rsidRDefault="00EF7693" w:rsidP="00217B05">
      <w:pPr>
        <w:widowControl/>
        <w:spacing w:line="360" w:lineRule="auto"/>
        <w:ind w:firstLine="1440"/>
        <w:contextualSpacing/>
        <w:rPr>
          <w:sz w:val="26"/>
          <w:szCs w:val="26"/>
        </w:rPr>
      </w:pPr>
      <w:r w:rsidRPr="00EF7693">
        <w:rPr>
          <w:sz w:val="26"/>
          <w:szCs w:val="26"/>
        </w:rPr>
        <w:t>Despite the policy favoring settlements, the Commission does not simply rubber stamp settlements without further inquiry.</w:t>
      </w:r>
      <w:r>
        <w:rPr>
          <w:sz w:val="26"/>
          <w:szCs w:val="26"/>
        </w:rPr>
        <w:t xml:space="preserve">  </w:t>
      </w:r>
      <w:r w:rsidR="00C0234C" w:rsidRPr="001471C8">
        <w:rPr>
          <w:sz w:val="26"/>
          <w:szCs w:val="26"/>
        </w:rPr>
        <w:t xml:space="preserve">The focus of inquiry for determining whether a proposed settlement should be recommended for approval is not a “burden of proof” standard, as is utilized for contested matters. </w:t>
      </w:r>
      <w:r w:rsidR="00D411BC">
        <w:rPr>
          <w:sz w:val="26"/>
          <w:szCs w:val="26"/>
        </w:rPr>
        <w:t xml:space="preserve"> </w:t>
      </w:r>
      <w:r w:rsidR="00C0234C" w:rsidRPr="001471C8">
        <w:rPr>
          <w:i/>
          <w:iCs/>
          <w:sz w:val="26"/>
          <w:szCs w:val="26"/>
        </w:rPr>
        <w:t>Pa. PUC v. City of Lancaster – Bureau of Water</w:t>
      </w:r>
      <w:r w:rsidR="00C0234C" w:rsidRPr="001471C8">
        <w:rPr>
          <w:sz w:val="26"/>
          <w:szCs w:val="26"/>
        </w:rPr>
        <w:t xml:space="preserve">, Docket Nos. R-2010- 2179103 (Order entered July 14, 2011).  Instead, the benchmark for determining the acceptability of a settlement or partial settlement is whether the proposed terms and conditions are in the public interest.  </w:t>
      </w:r>
      <w:r w:rsidR="00C0234C" w:rsidRPr="001471C8">
        <w:rPr>
          <w:i/>
          <w:iCs/>
          <w:sz w:val="26"/>
          <w:szCs w:val="26"/>
        </w:rPr>
        <w:t>Id</w:t>
      </w:r>
      <w:r w:rsidR="00C0234C" w:rsidRPr="001471C8">
        <w:rPr>
          <w:sz w:val="26"/>
          <w:szCs w:val="26"/>
        </w:rPr>
        <w:t>.; (</w:t>
      </w:r>
      <w:r w:rsidR="00C0234C" w:rsidRPr="001471C8">
        <w:rPr>
          <w:i/>
          <w:iCs/>
          <w:sz w:val="26"/>
          <w:szCs w:val="26"/>
        </w:rPr>
        <w:t>citing Warner v. GTE North, Inc</w:t>
      </w:r>
      <w:r w:rsidR="00C0234C" w:rsidRPr="001471C8">
        <w:rPr>
          <w:sz w:val="26"/>
          <w:szCs w:val="26"/>
        </w:rPr>
        <w:t xml:space="preserve">., Docket No. C-00902815 (Order entered April 1, 1996); </w:t>
      </w:r>
      <w:r w:rsidR="00C0234C" w:rsidRPr="001471C8">
        <w:rPr>
          <w:i/>
          <w:iCs/>
          <w:sz w:val="26"/>
          <w:szCs w:val="26"/>
        </w:rPr>
        <w:t>Pa. PUC v. CS Water and Sewer Associates</w:t>
      </w:r>
      <w:r w:rsidR="00C0234C" w:rsidRPr="001471C8">
        <w:rPr>
          <w:sz w:val="26"/>
          <w:szCs w:val="26"/>
        </w:rPr>
        <w:t>, 74 Pa. PUC 767 (1991)).</w:t>
      </w:r>
    </w:p>
    <w:p w14:paraId="4E977428" w14:textId="77777777" w:rsidR="00C0234C" w:rsidRPr="001471C8" w:rsidRDefault="00C0234C" w:rsidP="00217B05">
      <w:pPr>
        <w:widowControl/>
        <w:spacing w:line="360" w:lineRule="auto"/>
        <w:ind w:firstLine="1440"/>
        <w:contextualSpacing/>
        <w:rPr>
          <w:sz w:val="26"/>
          <w:szCs w:val="26"/>
        </w:rPr>
      </w:pPr>
    </w:p>
    <w:p w14:paraId="19E5B9E9" w14:textId="3510317C" w:rsidR="007E019C" w:rsidRPr="001471C8" w:rsidRDefault="00C0234C" w:rsidP="00C37D3A">
      <w:pPr>
        <w:widowControl/>
        <w:spacing w:line="360" w:lineRule="auto"/>
        <w:ind w:firstLine="1440"/>
        <w:contextualSpacing/>
        <w:rPr>
          <w:sz w:val="26"/>
          <w:szCs w:val="26"/>
        </w:rPr>
      </w:pPr>
      <w:r w:rsidRPr="001471C8">
        <w:rPr>
          <w:sz w:val="26"/>
          <w:szCs w:val="26"/>
        </w:rPr>
        <w:t>Furthermore, on review by the Commonwealth Court, all decisions of the Commission must be supported by substantial evidence.  2 Pa.</w:t>
      </w:r>
      <w:r w:rsidR="00BA1D55">
        <w:rPr>
          <w:sz w:val="26"/>
          <w:szCs w:val="26"/>
        </w:rPr>
        <w:t xml:space="preserve"> </w:t>
      </w:r>
      <w:r w:rsidRPr="001471C8">
        <w:rPr>
          <w:sz w:val="26"/>
          <w:szCs w:val="26"/>
        </w:rPr>
        <w:t>C.S. § 704.  “Substantial evidence” is such relevant evidence that a reasonable mind might accept as adequate to support a conclusion.</w:t>
      </w:r>
      <w:r w:rsidR="00871319">
        <w:rPr>
          <w:sz w:val="26"/>
          <w:szCs w:val="26"/>
        </w:rPr>
        <w:t xml:space="preserve"> </w:t>
      </w:r>
      <w:r w:rsidRPr="001471C8">
        <w:rPr>
          <w:sz w:val="26"/>
          <w:szCs w:val="26"/>
        </w:rPr>
        <w:t xml:space="preserve"> More is required than a mere trace of evidence or a suspicion of the existence of a fact sought to be established.  </w:t>
      </w:r>
      <w:r w:rsidRPr="001471C8">
        <w:rPr>
          <w:i/>
          <w:iCs/>
          <w:sz w:val="26"/>
          <w:szCs w:val="26"/>
        </w:rPr>
        <w:t>Norfolk &amp; Western Ry. Co. v. Pa. PUC</w:t>
      </w:r>
      <w:r w:rsidRPr="001471C8">
        <w:rPr>
          <w:sz w:val="26"/>
          <w:szCs w:val="26"/>
        </w:rPr>
        <w:t xml:space="preserve">, 489 Pa. 109, 413 A.2d 1037 (1980); </w:t>
      </w:r>
      <w:r w:rsidRPr="001471C8">
        <w:rPr>
          <w:i/>
          <w:iCs/>
          <w:sz w:val="26"/>
          <w:szCs w:val="26"/>
        </w:rPr>
        <w:t>Erie Resistor Corp. v. Unemployment Comp. Bd. of Review</w:t>
      </w:r>
      <w:r w:rsidRPr="001471C8">
        <w:rPr>
          <w:sz w:val="26"/>
          <w:szCs w:val="26"/>
        </w:rPr>
        <w:t xml:space="preserve">, 194 Pa. Super. 278, 166 A.2d 96 (1961); and </w:t>
      </w:r>
      <w:r w:rsidRPr="001471C8">
        <w:rPr>
          <w:i/>
          <w:iCs/>
          <w:sz w:val="26"/>
          <w:szCs w:val="26"/>
        </w:rPr>
        <w:t>Murphy v. Pa. Dept. of Public Welfare, White Haven Center</w:t>
      </w:r>
      <w:r w:rsidRPr="001471C8">
        <w:rPr>
          <w:sz w:val="26"/>
          <w:szCs w:val="26"/>
        </w:rPr>
        <w:t xml:space="preserve">, 85 Pa. </w:t>
      </w:r>
      <w:proofErr w:type="spellStart"/>
      <w:r w:rsidRPr="001471C8">
        <w:rPr>
          <w:sz w:val="26"/>
          <w:szCs w:val="26"/>
        </w:rPr>
        <w:t>Cmwlth</w:t>
      </w:r>
      <w:proofErr w:type="spellEnd"/>
      <w:r w:rsidR="004771F3">
        <w:rPr>
          <w:sz w:val="26"/>
          <w:szCs w:val="26"/>
        </w:rPr>
        <w:t>.</w:t>
      </w:r>
      <w:r w:rsidRPr="001471C8">
        <w:rPr>
          <w:sz w:val="26"/>
          <w:szCs w:val="26"/>
        </w:rPr>
        <w:t xml:space="preserve"> 23, 480 A.2d 382 (1984).</w:t>
      </w:r>
      <w:r w:rsidR="00AA21DF">
        <w:rPr>
          <w:sz w:val="26"/>
          <w:szCs w:val="26"/>
        </w:rPr>
        <w:t xml:space="preserve">  </w:t>
      </w:r>
      <w:r w:rsidR="00317A7E" w:rsidRPr="00317A7E">
        <w:rPr>
          <w:sz w:val="26"/>
          <w:szCs w:val="26"/>
        </w:rPr>
        <w:t xml:space="preserve">Moreover, Section 332(a) of the Code, 66 Pa. C.S. § 332(a), provides that the party seeking a rule or order from the Commission has the burden of proof in that proceeding.  Consequently, in this proceeding, </w:t>
      </w:r>
      <w:r w:rsidR="00317A7E" w:rsidRPr="00317A7E">
        <w:rPr>
          <w:bCs/>
          <w:sz w:val="26"/>
          <w:szCs w:val="26"/>
        </w:rPr>
        <w:t>the Joint Petitioners have</w:t>
      </w:r>
      <w:r w:rsidR="00317A7E" w:rsidRPr="00317A7E">
        <w:rPr>
          <w:sz w:val="26"/>
          <w:szCs w:val="26"/>
        </w:rPr>
        <w:t xml:space="preserve"> the burden of showing that the terms and conditions of the Settlement are in the public interest.</w:t>
      </w:r>
    </w:p>
    <w:p w14:paraId="58936002" w14:textId="28D724D7" w:rsidR="00E64615" w:rsidRPr="001471C8" w:rsidRDefault="00E64615" w:rsidP="00C37D3A">
      <w:pPr>
        <w:widowControl/>
        <w:spacing w:line="360" w:lineRule="auto"/>
        <w:ind w:firstLine="1440"/>
        <w:contextualSpacing/>
        <w:rPr>
          <w:sz w:val="26"/>
          <w:szCs w:val="26"/>
        </w:rPr>
      </w:pPr>
    </w:p>
    <w:p w14:paraId="60AD0619" w14:textId="66F836C6" w:rsidR="00E64615" w:rsidRPr="001471C8" w:rsidRDefault="00E64615" w:rsidP="00C37D3A">
      <w:pPr>
        <w:pStyle w:val="Heading3"/>
        <w:widowControl/>
        <w:numPr>
          <w:ilvl w:val="0"/>
          <w:numId w:val="3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9" w:name="_Toc91762306"/>
      <w:r w:rsidRPr="001471C8">
        <w:rPr>
          <w:rStyle w:val="Hyperlink"/>
          <w:rFonts w:ascii="Times New Roman" w:hAnsi="Times New Roman" w:cs="Times New Roman"/>
          <w:b/>
          <w:bCs/>
          <w:color w:val="auto"/>
          <w:sz w:val="26"/>
          <w:szCs w:val="26"/>
          <w:u w:val="none"/>
        </w:rPr>
        <w:t xml:space="preserve">The </w:t>
      </w:r>
      <w:r w:rsidR="000A67B0" w:rsidRPr="001471C8">
        <w:rPr>
          <w:rStyle w:val="Hyperlink"/>
          <w:rFonts w:ascii="Times New Roman" w:hAnsi="Times New Roman" w:cs="Times New Roman"/>
          <w:b/>
          <w:bCs/>
          <w:color w:val="auto"/>
          <w:sz w:val="26"/>
          <w:szCs w:val="26"/>
          <w:u w:val="none"/>
        </w:rPr>
        <w:t xml:space="preserve">Commission’s </w:t>
      </w:r>
      <w:r w:rsidRPr="001471C8">
        <w:rPr>
          <w:rStyle w:val="Hyperlink"/>
          <w:rFonts w:ascii="Times New Roman" w:hAnsi="Times New Roman" w:cs="Times New Roman"/>
          <w:b/>
          <w:bCs/>
          <w:color w:val="auto"/>
          <w:sz w:val="26"/>
          <w:szCs w:val="26"/>
          <w:u w:val="none"/>
        </w:rPr>
        <w:t xml:space="preserve">TCJA </w:t>
      </w:r>
      <w:r w:rsidR="000A67B0" w:rsidRPr="001471C8">
        <w:rPr>
          <w:rStyle w:val="Hyperlink"/>
          <w:rFonts w:ascii="Times New Roman" w:hAnsi="Times New Roman" w:cs="Times New Roman"/>
          <w:b/>
          <w:bCs/>
          <w:color w:val="auto"/>
          <w:sz w:val="26"/>
          <w:szCs w:val="26"/>
          <w:u w:val="none"/>
        </w:rPr>
        <w:t>Investigation</w:t>
      </w:r>
      <w:bookmarkEnd w:id="9"/>
    </w:p>
    <w:p w14:paraId="6C9120C8" w14:textId="2765A91F" w:rsidR="00E64615" w:rsidRPr="001471C8" w:rsidRDefault="00E64615" w:rsidP="00C37D3A">
      <w:pPr>
        <w:keepNext/>
        <w:keepLines/>
        <w:widowControl/>
        <w:spacing w:line="360" w:lineRule="auto"/>
        <w:contextualSpacing/>
        <w:rPr>
          <w:sz w:val="26"/>
          <w:szCs w:val="26"/>
        </w:rPr>
      </w:pPr>
    </w:p>
    <w:p w14:paraId="2EFA1AF2" w14:textId="3CAD3A90" w:rsidR="00B22E0C" w:rsidRDefault="00F07395" w:rsidP="00C37D3A">
      <w:pPr>
        <w:widowControl/>
        <w:spacing w:line="360" w:lineRule="auto"/>
        <w:ind w:firstLine="1440"/>
        <w:contextualSpacing/>
        <w:rPr>
          <w:sz w:val="26"/>
          <w:szCs w:val="26"/>
        </w:rPr>
      </w:pPr>
      <w:r w:rsidRPr="001471C8">
        <w:rPr>
          <w:sz w:val="26"/>
          <w:szCs w:val="26"/>
        </w:rPr>
        <w:t xml:space="preserve">On December 22, 2017, the TCJA was signed into law.  </w:t>
      </w:r>
      <w:r w:rsidR="001B717F" w:rsidRPr="001471C8">
        <w:rPr>
          <w:color w:val="000000"/>
          <w:sz w:val="26"/>
          <w:szCs w:val="26"/>
        </w:rPr>
        <w:t xml:space="preserve">Pursuant to the TCJA, effective January 1, 2018, </w:t>
      </w:r>
      <w:r w:rsidR="002B019B" w:rsidRPr="001471C8">
        <w:rPr>
          <w:sz w:val="26"/>
          <w:szCs w:val="26"/>
        </w:rPr>
        <w:t xml:space="preserve">the United States federal corporate income tax rate </w:t>
      </w:r>
      <w:r w:rsidR="0019404A">
        <w:rPr>
          <w:sz w:val="26"/>
          <w:szCs w:val="26"/>
        </w:rPr>
        <w:t xml:space="preserve">was reduced </w:t>
      </w:r>
      <w:r w:rsidR="002B019B" w:rsidRPr="001471C8">
        <w:rPr>
          <w:sz w:val="26"/>
          <w:szCs w:val="26"/>
        </w:rPr>
        <w:t xml:space="preserve">from thirty-five percent to twenty-one percent, and </w:t>
      </w:r>
      <w:r w:rsidR="001B717F" w:rsidRPr="001471C8">
        <w:rPr>
          <w:color w:val="000000"/>
          <w:sz w:val="26"/>
          <w:szCs w:val="26"/>
        </w:rPr>
        <w:t xml:space="preserve">various </w:t>
      </w:r>
      <w:r w:rsidR="002B019B" w:rsidRPr="001471C8">
        <w:rPr>
          <w:color w:val="000000"/>
          <w:sz w:val="26"/>
          <w:szCs w:val="26"/>
        </w:rPr>
        <w:t xml:space="preserve">other </w:t>
      </w:r>
      <w:r w:rsidR="001B717F" w:rsidRPr="001471C8">
        <w:rPr>
          <w:color w:val="000000"/>
          <w:sz w:val="26"/>
          <w:szCs w:val="26"/>
        </w:rPr>
        <w:t xml:space="preserve">provisions of the Tax Reform Act of 1986 were repealed or amended.  </w:t>
      </w:r>
      <w:r w:rsidR="00B22E0C" w:rsidRPr="001471C8">
        <w:rPr>
          <w:sz w:val="26"/>
          <w:szCs w:val="26"/>
        </w:rPr>
        <w:t xml:space="preserve">Subsequently, </w:t>
      </w:r>
      <w:r w:rsidR="00B22E0C" w:rsidRPr="001471C8">
        <w:rPr>
          <w:color w:val="000000"/>
          <w:sz w:val="26"/>
          <w:szCs w:val="26"/>
        </w:rPr>
        <w:t xml:space="preserve">the Commission undertook an investigation into the rate impact that the TCJA would have upon Pennsylvania public utilities and their ratepayers. </w:t>
      </w:r>
      <w:r w:rsidR="00B22E0C" w:rsidRPr="001471C8">
        <w:rPr>
          <w:sz w:val="26"/>
          <w:szCs w:val="26"/>
        </w:rPr>
        <w:t xml:space="preserve"> By Secretarial Letter dated March</w:t>
      </w:r>
      <w:r w:rsidR="00C37D3A">
        <w:rPr>
          <w:sz w:val="26"/>
          <w:szCs w:val="26"/>
        </w:rPr>
        <w:t> </w:t>
      </w:r>
      <w:r w:rsidR="00B22E0C" w:rsidRPr="001471C8">
        <w:rPr>
          <w:sz w:val="26"/>
          <w:szCs w:val="26"/>
        </w:rPr>
        <w:t>2,</w:t>
      </w:r>
      <w:r w:rsidR="00C37D3A">
        <w:rPr>
          <w:sz w:val="26"/>
          <w:szCs w:val="26"/>
        </w:rPr>
        <w:t> </w:t>
      </w:r>
      <w:r w:rsidR="00B22E0C" w:rsidRPr="001471C8">
        <w:rPr>
          <w:sz w:val="26"/>
          <w:szCs w:val="26"/>
        </w:rPr>
        <w:t>2018, at Docket No. M-2018-2641242</w:t>
      </w:r>
      <w:r w:rsidR="00BD7748">
        <w:rPr>
          <w:sz w:val="26"/>
          <w:szCs w:val="26"/>
        </w:rPr>
        <w:t xml:space="preserve"> (</w:t>
      </w:r>
      <w:r w:rsidR="00BD7748">
        <w:rPr>
          <w:i/>
          <w:iCs/>
          <w:sz w:val="26"/>
          <w:szCs w:val="26"/>
        </w:rPr>
        <w:t>March 2018 Secretarial Letter</w:t>
      </w:r>
      <w:r w:rsidR="00BD7748">
        <w:rPr>
          <w:sz w:val="26"/>
          <w:szCs w:val="26"/>
        </w:rPr>
        <w:t>)</w:t>
      </w:r>
      <w:r w:rsidR="00B22E0C" w:rsidRPr="001471C8">
        <w:rPr>
          <w:sz w:val="26"/>
          <w:szCs w:val="26"/>
        </w:rPr>
        <w:t xml:space="preserve">, </w:t>
      </w:r>
      <w:r w:rsidR="006B7004" w:rsidRPr="001471C8">
        <w:rPr>
          <w:color w:val="000000"/>
          <w:sz w:val="26"/>
          <w:szCs w:val="26"/>
        </w:rPr>
        <w:t>the Commission initiated an investigation to determine the effects of the TCJA on Pennsylvania’s ILECs for 2018 and future years.  T</w:t>
      </w:r>
      <w:r w:rsidR="00B22E0C" w:rsidRPr="001471C8">
        <w:rPr>
          <w:sz w:val="26"/>
          <w:szCs w:val="26"/>
        </w:rPr>
        <w:t>he Commission directed</w:t>
      </w:r>
      <w:r w:rsidR="00A57612">
        <w:rPr>
          <w:sz w:val="26"/>
          <w:szCs w:val="26"/>
        </w:rPr>
        <w:t xml:space="preserve"> the</w:t>
      </w:r>
      <w:r w:rsidR="00B22E0C" w:rsidRPr="001471C8">
        <w:rPr>
          <w:sz w:val="26"/>
          <w:szCs w:val="26"/>
        </w:rPr>
        <w:t xml:space="preserve"> </w:t>
      </w:r>
      <w:r w:rsidR="006B7004" w:rsidRPr="001471C8">
        <w:rPr>
          <w:sz w:val="26"/>
          <w:szCs w:val="26"/>
        </w:rPr>
        <w:t>ILECs</w:t>
      </w:r>
      <w:r w:rsidR="00B22E0C" w:rsidRPr="001471C8">
        <w:rPr>
          <w:sz w:val="26"/>
          <w:szCs w:val="26"/>
        </w:rPr>
        <w:t xml:space="preserve"> to submit comments and submit data </w:t>
      </w:r>
      <w:r w:rsidR="00C6408C" w:rsidRPr="001471C8">
        <w:rPr>
          <w:sz w:val="26"/>
          <w:szCs w:val="26"/>
        </w:rPr>
        <w:t xml:space="preserve">request </w:t>
      </w:r>
      <w:r w:rsidR="00B22E0C" w:rsidRPr="001471C8">
        <w:rPr>
          <w:sz w:val="26"/>
          <w:szCs w:val="26"/>
        </w:rPr>
        <w:t xml:space="preserve">responses regarding whether rates should be adjusted to reflect the effects of the TCJA.  </w:t>
      </w:r>
      <w:r w:rsidR="00B90545" w:rsidRPr="001471C8">
        <w:rPr>
          <w:sz w:val="26"/>
          <w:szCs w:val="26"/>
        </w:rPr>
        <w:t>Joint Petition at Appendix A, ¶¶</w:t>
      </w:r>
      <w:r w:rsidR="00D377E7">
        <w:rPr>
          <w:sz w:val="26"/>
          <w:szCs w:val="26"/>
        </w:rPr>
        <w:t> </w:t>
      </w:r>
      <w:r w:rsidR="00B90545" w:rsidRPr="001471C8">
        <w:rPr>
          <w:sz w:val="26"/>
          <w:szCs w:val="26"/>
        </w:rPr>
        <w:t>33</w:t>
      </w:r>
      <w:r w:rsidR="00D377E7">
        <w:rPr>
          <w:sz w:val="26"/>
          <w:szCs w:val="26"/>
        </w:rPr>
        <w:noBreakHyphen/>
      </w:r>
      <w:r w:rsidR="00B90545" w:rsidRPr="001471C8">
        <w:rPr>
          <w:sz w:val="26"/>
          <w:szCs w:val="26"/>
        </w:rPr>
        <w:t xml:space="preserve">37; </w:t>
      </w:r>
      <w:r w:rsidR="00B90545" w:rsidRPr="001471C8">
        <w:rPr>
          <w:i/>
          <w:iCs/>
          <w:sz w:val="26"/>
          <w:szCs w:val="26"/>
        </w:rPr>
        <w:t xml:space="preserve">October 2018 Order </w:t>
      </w:r>
      <w:r w:rsidR="00B90545" w:rsidRPr="001471C8">
        <w:rPr>
          <w:sz w:val="26"/>
          <w:szCs w:val="26"/>
        </w:rPr>
        <w:t>at 2-3.</w:t>
      </w:r>
    </w:p>
    <w:p w14:paraId="06B0557D" w14:textId="77777777" w:rsidR="007C0195" w:rsidRPr="001471C8" w:rsidRDefault="007C0195" w:rsidP="00217B05">
      <w:pPr>
        <w:widowControl/>
        <w:spacing w:line="360" w:lineRule="auto"/>
        <w:ind w:firstLine="1440"/>
        <w:contextualSpacing/>
        <w:rPr>
          <w:color w:val="000000"/>
          <w:sz w:val="26"/>
          <w:szCs w:val="26"/>
        </w:rPr>
      </w:pPr>
    </w:p>
    <w:p w14:paraId="70FE553B" w14:textId="064C3F4F" w:rsidR="00B90545" w:rsidRPr="001471C8" w:rsidRDefault="00B719A0" w:rsidP="00217B05">
      <w:pPr>
        <w:widowControl/>
        <w:spacing w:line="360" w:lineRule="auto"/>
        <w:ind w:firstLine="1440"/>
        <w:contextualSpacing/>
        <w:rPr>
          <w:color w:val="000000"/>
          <w:sz w:val="26"/>
          <w:szCs w:val="26"/>
        </w:rPr>
      </w:pPr>
      <w:r w:rsidRPr="001471C8">
        <w:rPr>
          <w:color w:val="000000"/>
          <w:sz w:val="26"/>
          <w:szCs w:val="26"/>
        </w:rPr>
        <w:t xml:space="preserve">On or about May 1, 2018, </w:t>
      </w:r>
      <w:r w:rsidR="00C14790" w:rsidRPr="001471C8">
        <w:rPr>
          <w:color w:val="000000"/>
          <w:sz w:val="26"/>
          <w:szCs w:val="26"/>
        </w:rPr>
        <w:t xml:space="preserve">ten </w:t>
      </w:r>
      <w:r w:rsidR="00D377E7">
        <w:rPr>
          <w:color w:val="000000"/>
          <w:sz w:val="26"/>
          <w:szCs w:val="26"/>
        </w:rPr>
        <w:t>Pennsylvania</w:t>
      </w:r>
      <w:r w:rsidRPr="001471C8">
        <w:rPr>
          <w:color w:val="000000"/>
          <w:sz w:val="26"/>
          <w:szCs w:val="26"/>
        </w:rPr>
        <w:t xml:space="preserve"> RLECs</w:t>
      </w:r>
      <w:r w:rsidR="00FF1C4B" w:rsidRPr="001471C8">
        <w:rPr>
          <w:rStyle w:val="FootnoteReference"/>
          <w:color w:val="000000"/>
          <w:sz w:val="26"/>
          <w:szCs w:val="26"/>
        </w:rPr>
        <w:footnoteReference w:id="8"/>
      </w:r>
      <w:r w:rsidRPr="001471C8">
        <w:rPr>
          <w:color w:val="000000"/>
          <w:sz w:val="26"/>
          <w:szCs w:val="26"/>
        </w:rPr>
        <w:t xml:space="preserve"> filed their respective annual Chapter 30 PSI/SPI </w:t>
      </w:r>
      <w:r w:rsidR="003F0DCA">
        <w:rPr>
          <w:color w:val="000000"/>
          <w:sz w:val="26"/>
          <w:szCs w:val="26"/>
        </w:rPr>
        <w:t>f</w:t>
      </w:r>
      <w:r w:rsidR="000A172F">
        <w:rPr>
          <w:color w:val="000000"/>
          <w:sz w:val="26"/>
          <w:szCs w:val="26"/>
        </w:rPr>
        <w:t>ilings</w:t>
      </w:r>
      <w:r w:rsidRPr="001471C8">
        <w:rPr>
          <w:color w:val="000000"/>
          <w:sz w:val="26"/>
          <w:szCs w:val="26"/>
        </w:rPr>
        <w:t xml:space="preserve">.  The OCA subsequently filed </w:t>
      </w:r>
      <w:r w:rsidR="00C14790" w:rsidRPr="001471C8">
        <w:rPr>
          <w:color w:val="000000"/>
          <w:sz w:val="26"/>
          <w:szCs w:val="26"/>
        </w:rPr>
        <w:t>f</w:t>
      </w:r>
      <w:r w:rsidRPr="001471C8">
        <w:rPr>
          <w:color w:val="000000"/>
          <w:sz w:val="26"/>
          <w:szCs w:val="26"/>
        </w:rPr>
        <w:t xml:space="preserve">ormal </w:t>
      </w:r>
      <w:r w:rsidR="00C14790" w:rsidRPr="001471C8">
        <w:rPr>
          <w:color w:val="000000"/>
          <w:sz w:val="26"/>
          <w:szCs w:val="26"/>
        </w:rPr>
        <w:t>c</w:t>
      </w:r>
      <w:r w:rsidRPr="001471C8">
        <w:rPr>
          <w:color w:val="000000"/>
          <w:sz w:val="26"/>
          <w:szCs w:val="26"/>
        </w:rPr>
        <w:t xml:space="preserve">omplaints against each of the RLECs’ 2018 PSI/SPI filings, generally alleging that these filings failed to include an exogenous event “Z factor” adjustment to account for savings in tax expense resulting from the TCJA.  This omission, the OCA claimed, may result in each company’s calculation of its allowed annual revenue increase to be overstated.  At </w:t>
      </w:r>
      <w:r w:rsidR="0005325B">
        <w:rPr>
          <w:color w:val="000000"/>
          <w:sz w:val="26"/>
          <w:szCs w:val="26"/>
        </w:rPr>
        <w:t>the</w:t>
      </w:r>
      <w:r w:rsidRPr="001471C8">
        <w:rPr>
          <w:color w:val="000000"/>
          <w:sz w:val="26"/>
          <w:szCs w:val="26"/>
        </w:rPr>
        <w:t xml:space="preserve"> June 14, 2018 Public Meeting, the Commission unanimously approved the Motion of then</w:t>
      </w:r>
      <w:r w:rsidR="0005325B">
        <w:rPr>
          <w:color w:val="000000"/>
          <w:sz w:val="26"/>
          <w:szCs w:val="26"/>
        </w:rPr>
        <w:noBreakHyphen/>
      </w:r>
      <w:r w:rsidRPr="001471C8">
        <w:rPr>
          <w:color w:val="000000"/>
          <w:sz w:val="26"/>
          <w:szCs w:val="26"/>
        </w:rPr>
        <w:t>Vice Chairman </w:t>
      </w:r>
      <w:r w:rsidR="003D41CE" w:rsidRPr="001471C8">
        <w:rPr>
          <w:color w:val="000000"/>
          <w:sz w:val="26"/>
          <w:szCs w:val="26"/>
        </w:rPr>
        <w:t>Andrew G. </w:t>
      </w:r>
      <w:r w:rsidRPr="001471C8">
        <w:rPr>
          <w:color w:val="000000"/>
          <w:sz w:val="26"/>
          <w:szCs w:val="26"/>
        </w:rPr>
        <w:t xml:space="preserve">Place to accept the RLECs’ annual PSI/SPI filings as being procedurally consistent with the RLECs’ </w:t>
      </w:r>
      <w:r w:rsidR="003D41CE" w:rsidRPr="001471C8">
        <w:rPr>
          <w:color w:val="000000"/>
          <w:sz w:val="26"/>
          <w:szCs w:val="26"/>
        </w:rPr>
        <w:t xml:space="preserve">respective </w:t>
      </w:r>
      <w:r w:rsidRPr="001471C8">
        <w:rPr>
          <w:color w:val="000000"/>
          <w:sz w:val="26"/>
          <w:szCs w:val="26"/>
        </w:rPr>
        <w:t xml:space="preserve">Chapter 30 </w:t>
      </w:r>
      <w:r w:rsidR="0005325B">
        <w:rPr>
          <w:color w:val="000000"/>
          <w:sz w:val="26"/>
          <w:szCs w:val="26"/>
        </w:rPr>
        <w:t>P</w:t>
      </w:r>
      <w:r w:rsidRPr="001471C8">
        <w:rPr>
          <w:color w:val="000000"/>
          <w:sz w:val="26"/>
          <w:szCs w:val="26"/>
        </w:rPr>
        <w:t xml:space="preserve">lans and permitted them to go into effect subject to the adjudication of the OCA’s </w:t>
      </w:r>
      <w:r w:rsidR="00241ACE">
        <w:rPr>
          <w:color w:val="000000"/>
          <w:sz w:val="26"/>
          <w:szCs w:val="26"/>
        </w:rPr>
        <w:t>f</w:t>
      </w:r>
      <w:r w:rsidRPr="001471C8">
        <w:rPr>
          <w:color w:val="000000"/>
          <w:sz w:val="26"/>
          <w:szCs w:val="26"/>
        </w:rPr>
        <w:t xml:space="preserve">ormal </w:t>
      </w:r>
      <w:r w:rsidR="00241ACE">
        <w:rPr>
          <w:color w:val="000000"/>
          <w:sz w:val="26"/>
          <w:szCs w:val="26"/>
        </w:rPr>
        <w:t>c</w:t>
      </w:r>
      <w:r w:rsidRPr="001471C8">
        <w:rPr>
          <w:color w:val="000000"/>
          <w:sz w:val="26"/>
          <w:szCs w:val="26"/>
        </w:rPr>
        <w:t xml:space="preserve">omplaints and further orders of the Commission as necessary.  </w:t>
      </w:r>
      <w:r w:rsidR="0024344F" w:rsidRPr="001471C8">
        <w:rPr>
          <w:i/>
          <w:iCs/>
          <w:color w:val="000000"/>
          <w:sz w:val="26"/>
          <w:szCs w:val="26"/>
        </w:rPr>
        <w:t xml:space="preserve">October 2018 Order </w:t>
      </w:r>
      <w:r w:rsidR="0024344F" w:rsidRPr="001471C8">
        <w:rPr>
          <w:color w:val="000000"/>
          <w:sz w:val="26"/>
          <w:szCs w:val="26"/>
        </w:rPr>
        <w:t>at 3.</w:t>
      </w:r>
    </w:p>
    <w:p w14:paraId="14A1774C" w14:textId="77777777" w:rsidR="00B90545" w:rsidRPr="001471C8" w:rsidRDefault="00B90545" w:rsidP="00217B05">
      <w:pPr>
        <w:widowControl/>
        <w:spacing w:line="360" w:lineRule="auto"/>
        <w:contextualSpacing/>
        <w:rPr>
          <w:color w:val="000000"/>
          <w:sz w:val="26"/>
          <w:szCs w:val="26"/>
        </w:rPr>
      </w:pPr>
    </w:p>
    <w:p w14:paraId="0215C9BB" w14:textId="4CE65286" w:rsidR="00E64615" w:rsidRPr="001471C8" w:rsidRDefault="003C79B4" w:rsidP="00217B05">
      <w:pPr>
        <w:widowControl/>
        <w:spacing w:line="360" w:lineRule="auto"/>
        <w:ind w:firstLine="1440"/>
        <w:contextualSpacing/>
        <w:rPr>
          <w:sz w:val="26"/>
          <w:szCs w:val="26"/>
        </w:rPr>
      </w:pPr>
      <w:r>
        <w:rPr>
          <w:sz w:val="26"/>
          <w:szCs w:val="26"/>
        </w:rPr>
        <w:t xml:space="preserve">In its </w:t>
      </w:r>
      <w:r w:rsidR="00A02921" w:rsidRPr="001471C8">
        <w:rPr>
          <w:i/>
          <w:iCs/>
          <w:sz w:val="26"/>
          <w:szCs w:val="26"/>
        </w:rPr>
        <w:t>August 2018 Secretarial Letter</w:t>
      </w:r>
      <w:r w:rsidR="00E603B6" w:rsidRPr="001471C8">
        <w:rPr>
          <w:sz w:val="26"/>
          <w:szCs w:val="26"/>
        </w:rPr>
        <w:t>, the Commission noted</w:t>
      </w:r>
      <w:r w:rsidR="00F425D0">
        <w:rPr>
          <w:sz w:val="26"/>
          <w:szCs w:val="26"/>
        </w:rPr>
        <w:t xml:space="preserve"> the formal Complaints that the OCA</w:t>
      </w:r>
      <w:r w:rsidR="004F35E6">
        <w:rPr>
          <w:sz w:val="26"/>
          <w:szCs w:val="26"/>
        </w:rPr>
        <w:t xml:space="preserve"> filed</w:t>
      </w:r>
      <w:r w:rsidR="00E603B6" w:rsidRPr="001471C8">
        <w:rPr>
          <w:sz w:val="26"/>
          <w:szCs w:val="26"/>
        </w:rPr>
        <w:t xml:space="preserve"> against the 2018 </w:t>
      </w:r>
      <w:r w:rsidR="00A02921" w:rsidRPr="001471C8">
        <w:rPr>
          <w:sz w:val="26"/>
          <w:szCs w:val="26"/>
        </w:rPr>
        <w:t>PSI</w:t>
      </w:r>
      <w:r w:rsidR="004F35E6">
        <w:rPr>
          <w:sz w:val="26"/>
          <w:szCs w:val="26"/>
        </w:rPr>
        <w:t>/SPI</w:t>
      </w:r>
      <w:r w:rsidR="00E603B6" w:rsidRPr="001471C8">
        <w:rPr>
          <w:sz w:val="26"/>
          <w:szCs w:val="26"/>
        </w:rPr>
        <w:t xml:space="preserve"> filings of </w:t>
      </w:r>
      <w:r w:rsidR="004F35E6">
        <w:rPr>
          <w:sz w:val="26"/>
          <w:szCs w:val="26"/>
        </w:rPr>
        <w:t xml:space="preserve">the </w:t>
      </w:r>
      <w:r w:rsidR="00E603B6" w:rsidRPr="001471C8">
        <w:rPr>
          <w:sz w:val="26"/>
          <w:szCs w:val="26"/>
        </w:rPr>
        <w:t xml:space="preserve">ten </w:t>
      </w:r>
      <w:r>
        <w:rPr>
          <w:sz w:val="26"/>
          <w:szCs w:val="26"/>
        </w:rPr>
        <w:t>RLEC</w:t>
      </w:r>
      <w:r w:rsidR="00E603B6" w:rsidRPr="001471C8">
        <w:rPr>
          <w:sz w:val="26"/>
          <w:szCs w:val="26"/>
        </w:rPr>
        <w:t>s</w:t>
      </w:r>
      <w:r w:rsidR="00A02921" w:rsidRPr="001471C8">
        <w:rPr>
          <w:sz w:val="26"/>
          <w:szCs w:val="26"/>
        </w:rPr>
        <w:t xml:space="preserve"> </w:t>
      </w:r>
      <w:r w:rsidR="00E603B6" w:rsidRPr="001471C8">
        <w:rPr>
          <w:sz w:val="26"/>
          <w:szCs w:val="26"/>
        </w:rPr>
        <w:t xml:space="preserve">and temporarily stayed its own inquiry at Docket No. M-2018- 2641242 pending full adjudication of these </w:t>
      </w:r>
      <w:r w:rsidR="00A02921" w:rsidRPr="001471C8">
        <w:rPr>
          <w:sz w:val="26"/>
          <w:szCs w:val="26"/>
        </w:rPr>
        <w:t>ten</w:t>
      </w:r>
      <w:r w:rsidR="00E603B6" w:rsidRPr="001471C8">
        <w:rPr>
          <w:sz w:val="26"/>
          <w:szCs w:val="26"/>
        </w:rPr>
        <w:t xml:space="preserve"> formal complaints.</w:t>
      </w:r>
      <w:r w:rsidR="008B7991" w:rsidRPr="001471C8">
        <w:rPr>
          <w:sz w:val="26"/>
          <w:szCs w:val="26"/>
        </w:rPr>
        <w:t xml:space="preserve">  </w:t>
      </w:r>
      <w:r w:rsidR="00361126" w:rsidRPr="001471C8">
        <w:rPr>
          <w:sz w:val="26"/>
          <w:szCs w:val="26"/>
        </w:rPr>
        <w:t>The Commission stated that this was done to “avoid any prejudgment of any issues that remain pending before it and will have the benefit of a fully developed evidentiary record, the parties’ briefs</w:t>
      </w:r>
      <w:r w:rsidR="00B70675">
        <w:rPr>
          <w:sz w:val="26"/>
          <w:szCs w:val="26"/>
        </w:rPr>
        <w:t>,</w:t>
      </w:r>
      <w:r w:rsidR="00361126" w:rsidRPr="001471C8">
        <w:rPr>
          <w:sz w:val="26"/>
          <w:szCs w:val="26"/>
        </w:rPr>
        <w:t xml:space="preserve"> and the presiding ALJ’s recommended decision before any final decision is rendered.”  </w:t>
      </w:r>
      <w:r w:rsidR="00361126" w:rsidRPr="001471C8">
        <w:rPr>
          <w:i/>
          <w:iCs/>
          <w:sz w:val="26"/>
          <w:szCs w:val="26"/>
        </w:rPr>
        <w:t xml:space="preserve">August 2018 Secretarial Letter </w:t>
      </w:r>
      <w:r w:rsidR="00361126" w:rsidRPr="001471C8">
        <w:rPr>
          <w:sz w:val="26"/>
          <w:szCs w:val="26"/>
        </w:rPr>
        <w:t xml:space="preserve">at 1.  </w:t>
      </w:r>
      <w:r w:rsidR="008B7991" w:rsidRPr="001471C8">
        <w:rPr>
          <w:sz w:val="26"/>
          <w:szCs w:val="26"/>
        </w:rPr>
        <w:t xml:space="preserve">On August 24, 2018, the ten </w:t>
      </w:r>
      <w:r w:rsidR="00B70675">
        <w:rPr>
          <w:sz w:val="26"/>
          <w:szCs w:val="26"/>
        </w:rPr>
        <w:t>R</w:t>
      </w:r>
      <w:r w:rsidR="008B7991" w:rsidRPr="001471C8">
        <w:rPr>
          <w:sz w:val="26"/>
          <w:szCs w:val="26"/>
        </w:rPr>
        <w:t xml:space="preserve">LECs and the PTA filed a Petition to Rescind the </w:t>
      </w:r>
      <w:r w:rsidR="008B7991" w:rsidRPr="001471C8">
        <w:rPr>
          <w:i/>
          <w:iCs/>
          <w:sz w:val="26"/>
          <w:szCs w:val="26"/>
        </w:rPr>
        <w:t>August 2018 Secretarial Letter</w:t>
      </w:r>
      <w:r w:rsidR="008B7991" w:rsidRPr="001471C8">
        <w:rPr>
          <w:sz w:val="26"/>
          <w:szCs w:val="26"/>
        </w:rPr>
        <w:t xml:space="preserve"> and to discontinue the Commission’s stay.  While CenturyLink was not one of the ten </w:t>
      </w:r>
      <w:r w:rsidR="003F0DCA">
        <w:rPr>
          <w:sz w:val="26"/>
          <w:szCs w:val="26"/>
        </w:rPr>
        <w:t>R</w:t>
      </w:r>
      <w:r w:rsidR="008B7991" w:rsidRPr="001471C8">
        <w:rPr>
          <w:sz w:val="26"/>
          <w:szCs w:val="26"/>
        </w:rPr>
        <w:t>LECs</w:t>
      </w:r>
      <w:r w:rsidR="00D720B9">
        <w:rPr>
          <w:sz w:val="26"/>
          <w:szCs w:val="26"/>
        </w:rPr>
        <w:t xml:space="preserve"> that joined in filing the Petition to Rescind</w:t>
      </w:r>
      <w:r w:rsidR="008B7991" w:rsidRPr="001471C8">
        <w:rPr>
          <w:sz w:val="26"/>
          <w:szCs w:val="26"/>
        </w:rPr>
        <w:t xml:space="preserve">, CenturyLink is a member of </w:t>
      </w:r>
      <w:r w:rsidR="008625EE">
        <w:rPr>
          <w:sz w:val="26"/>
          <w:szCs w:val="26"/>
        </w:rPr>
        <w:t xml:space="preserve">the </w:t>
      </w:r>
      <w:r w:rsidR="008B7991" w:rsidRPr="001471C8">
        <w:rPr>
          <w:sz w:val="26"/>
          <w:szCs w:val="26"/>
        </w:rPr>
        <w:t xml:space="preserve">PTA.  </w:t>
      </w:r>
      <w:r w:rsidR="009A404F" w:rsidRPr="001471C8">
        <w:rPr>
          <w:sz w:val="26"/>
          <w:szCs w:val="26"/>
        </w:rPr>
        <w:t>Joint Petition at Appendix A, ¶¶ 38-40</w:t>
      </w:r>
      <w:r w:rsidR="00276BE8" w:rsidRPr="001471C8">
        <w:rPr>
          <w:sz w:val="26"/>
          <w:szCs w:val="26"/>
        </w:rPr>
        <w:t>.</w:t>
      </w:r>
    </w:p>
    <w:p w14:paraId="7C3FDD17" w14:textId="0B632B9C" w:rsidR="00276BE8" w:rsidRPr="001471C8" w:rsidRDefault="00276BE8" w:rsidP="00217B05">
      <w:pPr>
        <w:widowControl/>
        <w:spacing w:line="360" w:lineRule="auto"/>
        <w:ind w:firstLine="1440"/>
        <w:contextualSpacing/>
        <w:rPr>
          <w:sz w:val="26"/>
          <w:szCs w:val="26"/>
        </w:rPr>
      </w:pPr>
    </w:p>
    <w:p w14:paraId="77B9F5AD" w14:textId="462D4DF8" w:rsidR="00276BE8" w:rsidRPr="001471C8" w:rsidRDefault="003E21F1" w:rsidP="00BC7DE9">
      <w:pPr>
        <w:widowControl/>
        <w:spacing w:line="360" w:lineRule="auto"/>
        <w:ind w:firstLine="1440"/>
        <w:contextualSpacing/>
        <w:rPr>
          <w:sz w:val="26"/>
          <w:szCs w:val="26"/>
        </w:rPr>
      </w:pPr>
      <w:r>
        <w:rPr>
          <w:sz w:val="26"/>
          <w:szCs w:val="26"/>
        </w:rPr>
        <w:t xml:space="preserve">As previously noted, </w:t>
      </w:r>
      <w:r w:rsidR="00CC1108">
        <w:rPr>
          <w:sz w:val="26"/>
          <w:szCs w:val="26"/>
        </w:rPr>
        <w:t>i</w:t>
      </w:r>
      <w:r w:rsidR="00FF1C4B" w:rsidRPr="001471C8">
        <w:rPr>
          <w:sz w:val="26"/>
          <w:szCs w:val="26"/>
        </w:rPr>
        <w:t xml:space="preserve">n the </w:t>
      </w:r>
      <w:r w:rsidR="00FF1C4B" w:rsidRPr="001471C8">
        <w:rPr>
          <w:i/>
          <w:iCs/>
          <w:sz w:val="26"/>
          <w:szCs w:val="26"/>
        </w:rPr>
        <w:t xml:space="preserve">October 2018 Order, </w:t>
      </w:r>
      <w:r w:rsidR="00A05F69" w:rsidRPr="001471C8">
        <w:rPr>
          <w:sz w:val="26"/>
          <w:szCs w:val="26"/>
        </w:rPr>
        <w:t xml:space="preserve">the Commission denied </w:t>
      </w:r>
      <w:r w:rsidR="00860FDC">
        <w:rPr>
          <w:sz w:val="26"/>
          <w:szCs w:val="26"/>
        </w:rPr>
        <w:t xml:space="preserve">the </w:t>
      </w:r>
      <w:r w:rsidR="00860FDC" w:rsidRPr="001471C8">
        <w:rPr>
          <w:sz w:val="26"/>
          <w:szCs w:val="26"/>
        </w:rPr>
        <w:t>Petition to Rescind</w:t>
      </w:r>
      <w:r w:rsidR="0061209B" w:rsidRPr="001471C8">
        <w:rPr>
          <w:color w:val="000000"/>
          <w:sz w:val="26"/>
          <w:szCs w:val="26"/>
        </w:rPr>
        <w:t xml:space="preserve">.  </w:t>
      </w:r>
      <w:r w:rsidR="00234948" w:rsidRPr="001471C8">
        <w:rPr>
          <w:color w:val="000000"/>
          <w:sz w:val="26"/>
          <w:szCs w:val="26"/>
        </w:rPr>
        <w:t xml:space="preserve">In addition, we noted, </w:t>
      </w:r>
      <w:r w:rsidR="00234948" w:rsidRPr="001471C8">
        <w:rPr>
          <w:i/>
          <w:iCs/>
          <w:color w:val="000000"/>
          <w:sz w:val="26"/>
          <w:szCs w:val="26"/>
        </w:rPr>
        <w:t>inter alia</w:t>
      </w:r>
      <w:r w:rsidR="00234948" w:rsidRPr="00BC7DE9">
        <w:rPr>
          <w:color w:val="000000"/>
          <w:sz w:val="26"/>
          <w:szCs w:val="26"/>
        </w:rPr>
        <w:t>,</w:t>
      </w:r>
      <w:r w:rsidR="00234948" w:rsidRPr="001471C8">
        <w:rPr>
          <w:i/>
          <w:iCs/>
          <w:color w:val="000000"/>
          <w:sz w:val="26"/>
          <w:szCs w:val="26"/>
        </w:rPr>
        <w:t xml:space="preserve"> </w:t>
      </w:r>
      <w:r w:rsidR="00755996" w:rsidRPr="001471C8">
        <w:rPr>
          <w:color w:val="000000"/>
          <w:sz w:val="26"/>
          <w:szCs w:val="26"/>
        </w:rPr>
        <w:t xml:space="preserve">that </w:t>
      </w:r>
      <w:r w:rsidR="00E7769D" w:rsidRPr="001471C8">
        <w:rPr>
          <w:color w:val="000000"/>
          <w:sz w:val="26"/>
          <w:szCs w:val="26"/>
        </w:rPr>
        <w:t xml:space="preserve">the formal complaint proceedings initiated by </w:t>
      </w:r>
      <w:r w:rsidR="00D83D58" w:rsidRPr="001471C8">
        <w:rPr>
          <w:color w:val="000000"/>
          <w:sz w:val="26"/>
          <w:szCs w:val="26"/>
        </w:rPr>
        <w:t xml:space="preserve">the OCA against the ten RLECs </w:t>
      </w:r>
      <w:r w:rsidR="00011373" w:rsidRPr="001471C8">
        <w:rPr>
          <w:color w:val="000000"/>
          <w:sz w:val="26"/>
          <w:szCs w:val="26"/>
        </w:rPr>
        <w:t xml:space="preserve">“are a proper forum for this [TCJA] issue to be investigated and decided.”  </w:t>
      </w:r>
      <w:r w:rsidR="000A67B0" w:rsidRPr="001471C8">
        <w:rPr>
          <w:color w:val="000000"/>
          <w:sz w:val="26"/>
          <w:szCs w:val="26"/>
        </w:rPr>
        <w:t xml:space="preserve">We further noted that “more importantly, the Commission’s generic investigation will be aided by a fully-developed evidentiary record regarding exogenous events and other provisions in carriers’ Chapter 30 plans.”  We added that the proceedings involving the OCA’s </w:t>
      </w:r>
      <w:r w:rsidR="00D720B9">
        <w:rPr>
          <w:color w:val="000000"/>
          <w:sz w:val="26"/>
          <w:szCs w:val="26"/>
        </w:rPr>
        <w:t xml:space="preserve">formal </w:t>
      </w:r>
      <w:r w:rsidR="000A67B0" w:rsidRPr="001471C8">
        <w:rPr>
          <w:color w:val="000000"/>
          <w:sz w:val="26"/>
          <w:szCs w:val="26"/>
        </w:rPr>
        <w:t xml:space="preserve">complaints against the ILECs’ individual </w:t>
      </w:r>
      <w:r w:rsidR="00554BE4">
        <w:rPr>
          <w:color w:val="000000"/>
          <w:sz w:val="26"/>
          <w:szCs w:val="26"/>
        </w:rPr>
        <w:t>PSI/SPI</w:t>
      </w:r>
      <w:r w:rsidR="000A67B0" w:rsidRPr="001471C8">
        <w:rPr>
          <w:color w:val="000000"/>
          <w:sz w:val="26"/>
          <w:szCs w:val="26"/>
        </w:rPr>
        <w:t xml:space="preserve"> filings “are the appropriate mechanism to resolve whether any TCJA tax savings should be accounted for under ILECs’ Chapter 30 </w:t>
      </w:r>
      <w:r w:rsidR="00554BE4">
        <w:rPr>
          <w:color w:val="000000"/>
          <w:sz w:val="26"/>
          <w:szCs w:val="26"/>
        </w:rPr>
        <w:t>p</w:t>
      </w:r>
      <w:r w:rsidR="000A67B0" w:rsidRPr="001471C8">
        <w:rPr>
          <w:color w:val="000000"/>
          <w:sz w:val="26"/>
          <w:szCs w:val="26"/>
        </w:rPr>
        <w:t xml:space="preserve">lans’ provisions regarding qualifying exogenous events” and that “the decision ultimately rendered by </w:t>
      </w:r>
      <w:r w:rsidR="0022200B" w:rsidRPr="001471C8">
        <w:rPr>
          <w:color w:val="000000"/>
          <w:sz w:val="26"/>
          <w:szCs w:val="26"/>
        </w:rPr>
        <w:t>[</w:t>
      </w:r>
      <w:r w:rsidR="00860FDC">
        <w:rPr>
          <w:color w:val="000000"/>
          <w:sz w:val="26"/>
          <w:szCs w:val="26"/>
        </w:rPr>
        <w:t>OALJ</w:t>
      </w:r>
      <w:r w:rsidR="0022200B" w:rsidRPr="001471C8">
        <w:rPr>
          <w:color w:val="000000"/>
          <w:sz w:val="26"/>
          <w:szCs w:val="26"/>
        </w:rPr>
        <w:t>]</w:t>
      </w:r>
      <w:r w:rsidR="000A67B0" w:rsidRPr="001471C8">
        <w:rPr>
          <w:color w:val="000000"/>
          <w:sz w:val="26"/>
          <w:szCs w:val="26"/>
        </w:rPr>
        <w:t>, along with staff analysis of the non</w:t>
      </w:r>
      <w:r w:rsidR="00860FDC">
        <w:rPr>
          <w:color w:val="000000"/>
          <w:sz w:val="26"/>
          <w:szCs w:val="26"/>
        </w:rPr>
        <w:noBreakHyphen/>
      </w:r>
      <w:r w:rsidR="000A67B0" w:rsidRPr="001471C8">
        <w:rPr>
          <w:color w:val="000000"/>
          <w:sz w:val="26"/>
          <w:szCs w:val="26"/>
        </w:rPr>
        <w:t>litigated issues, will serve as guidance for the Commission to determine the overall impact of the TCJA on ILECs</w:t>
      </w:r>
      <w:r w:rsidR="00612451" w:rsidRPr="001471C8">
        <w:rPr>
          <w:color w:val="000000"/>
          <w:sz w:val="26"/>
          <w:szCs w:val="26"/>
        </w:rPr>
        <w:t>.</w:t>
      </w:r>
      <w:r w:rsidR="000A67B0" w:rsidRPr="001471C8">
        <w:rPr>
          <w:color w:val="000000"/>
          <w:sz w:val="26"/>
          <w:szCs w:val="26"/>
        </w:rPr>
        <w:t>”</w:t>
      </w:r>
      <w:r w:rsidR="00612451" w:rsidRPr="001471C8">
        <w:rPr>
          <w:color w:val="000000"/>
          <w:sz w:val="26"/>
          <w:szCs w:val="26"/>
        </w:rPr>
        <w:t xml:space="preserve">  </w:t>
      </w:r>
      <w:r w:rsidR="00011373" w:rsidRPr="001471C8">
        <w:rPr>
          <w:i/>
          <w:iCs/>
          <w:color w:val="000000"/>
          <w:sz w:val="26"/>
          <w:szCs w:val="26"/>
        </w:rPr>
        <w:t xml:space="preserve">October 2018 Order </w:t>
      </w:r>
      <w:r w:rsidR="00011373" w:rsidRPr="001471C8">
        <w:rPr>
          <w:color w:val="000000"/>
          <w:sz w:val="26"/>
          <w:szCs w:val="26"/>
        </w:rPr>
        <w:t>at 2, 5</w:t>
      </w:r>
      <w:r w:rsidR="00612451" w:rsidRPr="001471C8">
        <w:rPr>
          <w:color w:val="000000"/>
          <w:sz w:val="26"/>
          <w:szCs w:val="26"/>
        </w:rPr>
        <w:t>, 7-8</w:t>
      </w:r>
      <w:r w:rsidR="00011373" w:rsidRPr="001471C8">
        <w:rPr>
          <w:color w:val="000000"/>
          <w:sz w:val="26"/>
          <w:szCs w:val="26"/>
        </w:rPr>
        <w:t>.</w:t>
      </w:r>
    </w:p>
    <w:p w14:paraId="33003DC7" w14:textId="77777777" w:rsidR="00E64615" w:rsidRPr="001471C8" w:rsidRDefault="00E64615" w:rsidP="00BC7DE9">
      <w:pPr>
        <w:widowControl/>
        <w:spacing w:line="360" w:lineRule="auto"/>
        <w:contextualSpacing/>
        <w:rPr>
          <w:sz w:val="26"/>
          <w:szCs w:val="26"/>
        </w:rPr>
      </w:pPr>
    </w:p>
    <w:p w14:paraId="2030F225" w14:textId="6543DE2C" w:rsidR="00691285" w:rsidRPr="001471C8" w:rsidRDefault="00284C33" w:rsidP="00BC7DE9">
      <w:pPr>
        <w:pStyle w:val="Heading3"/>
        <w:widowControl/>
        <w:numPr>
          <w:ilvl w:val="0"/>
          <w:numId w:val="3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10" w:name="_Toc91762307"/>
      <w:r w:rsidRPr="001471C8">
        <w:rPr>
          <w:rStyle w:val="Hyperlink"/>
          <w:rFonts w:ascii="Times New Roman" w:hAnsi="Times New Roman" w:cs="Times New Roman"/>
          <w:b/>
          <w:bCs/>
          <w:color w:val="auto"/>
          <w:sz w:val="26"/>
          <w:szCs w:val="26"/>
          <w:u w:val="none"/>
        </w:rPr>
        <w:t>Terms and Conditions of the Settlement</w:t>
      </w:r>
      <w:bookmarkEnd w:id="10"/>
    </w:p>
    <w:p w14:paraId="21F6592D" w14:textId="2249FDC6" w:rsidR="00691285" w:rsidRPr="001471C8" w:rsidRDefault="00691285" w:rsidP="00BC7DE9">
      <w:pPr>
        <w:keepNext/>
        <w:keepLines/>
        <w:widowControl/>
        <w:spacing w:line="360" w:lineRule="auto"/>
        <w:ind w:firstLine="1440"/>
        <w:contextualSpacing/>
        <w:rPr>
          <w:rStyle w:val="Hyperlink"/>
          <w:color w:val="auto"/>
          <w:sz w:val="26"/>
          <w:szCs w:val="26"/>
          <w:u w:val="none"/>
        </w:rPr>
      </w:pPr>
    </w:p>
    <w:p w14:paraId="74241C34" w14:textId="329708F3" w:rsidR="00284C33" w:rsidRPr="001471C8" w:rsidRDefault="006722AE" w:rsidP="00BC7DE9">
      <w:pPr>
        <w:widowControl/>
        <w:spacing w:line="360" w:lineRule="auto"/>
        <w:ind w:firstLine="1440"/>
        <w:contextualSpacing/>
        <w:rPr>
          <w:sz w:val="26"/>
          <w:szCs w:val="26"/>
        </w:rPr>
      </w:pPr>
      <w:r w:rsidRPr="001471C8">
        <w:rPr>
          <w:sz w:val="26"/>
          <w:szCs w:val="26"/>
        </w:rPr>
        <w:t xml:space="preserve">The Joint Petitioners agreed to </w:t>
      </w:r>
      <w:r w:rsidR="009E724C">
        <w:rPr>
          <w:sz w:val="26"/>
          <w:szCs w:val="26"/>
        </w:rPr>
        <w:t>a</w:t>
      </w:r>
      <w:r w:rsidRPr="001471C8">
        <w:rPr>
          <w:sz w:val="26"/>
          <w:szCs w:val="26"/>
        </w:rPr>
        <w:t xml:space="preserve"> full Settlement covering all issues</w:t>
      </w:r>
      <w:r w:rsidR="005D03B4" w:rsidRPr="001471C8">
        <w:rPr>
          <w:sz w:val="26"/>
          <w:szCs w:val="26"/>
        </w:rPr>
        <w:t xml:space="preserve"> associated with </w:t>
      </w:r>
      <w:r w:rsidR="007758C4">
        <w:rPr>
          <w:sz w:val="26"/>
          <w:szCs w:val="26"/>
        </w:rPr>
        <w:t xml:space="preserve">the </w:t>
      </w:r>
      <w:r w:rsidR="005D03B4" w:rsidRPr="001471C8">
        <w:rPr>
          <w:sz w:val="26"/>
          <w:szCs w:val="26"/>
        </w:rPr>
        <w:t xml:space="preserve">OCA’s Formal Complaints and </w:t>
      </w:r>
      <w:r w:rsidR="007758C4">
        <w:rPr>
          <w:sz w:val="26"/>
          <w:szCs w:val="26"/>
        </w:rPr>
        <w:t xml:space="preserve">the </w:t>
      </w:r>
      <w:r w:rsidR="005D03B4" w:rsidRPr="001471C8">
        <w:rPr>
          <w:sz w:val="26"/>
          <w:szCs w:val="26"/>
        </w:rPr>
        <w:t xml:space="preserve">OSBA’s Interventions in both CenturyLink’s 2018 PSI/SPI Filing and its 2019 PSI/SPI Filing.  </w:t>
      </w:r>
      <w:r w:rsidR="00A73903" w:rsidRPr="001471C8">
        <w:rPr>
          <w:sz w:val="26"/>
          <w:szCs w:val="26"/>
        </w:rPr>
        <w:t xml:space="preserve">CenturyLink did not propose changes in rates in either </w:t>
      </w:r>
      <w:r w:rsidR="007758C4">
        <w:rPr>
          <w:sz w:val="26"/>
          <w:szCs w:val="26"/>
        </w:rPr>
        <w:t xml:space="preserve">the </w:t>
      </w:r>
      <w:r w:rsidR="00A73903" w:rsidRPr="001471C8">
        <w:rPr>
          <w:sz w:val="26"/>
          <w:szCs w:val="26"/>
        </w:rPr>
        <w:t>2018 or 2019 PSI/SPI Filing.  Therefore, the only issues implicated in this Settlement concern an amicable resolution of the claims of</w:t>
      </w:r>
      <w:r w:rsidR="007758C4">
        <w:rPr>
          <w:sz w:val="26"/>
          <w:szCs w:val="26"/>
        </w:rPr>
        <w:t xml:space="preserve"> the</w:t>
      </w:r>
      <w:r w:rsidR="00A73903" w:rsidRPr="001471C8">
        <w:rPr>
          <w:sz w:val="26"/>
          <w:szCs w:val="26"/>
        </w:rPr>
        <w:t xml:space="preserve"> OCA and</w:t>
      </w:r>
      <w:r w:rsidR="007758C4">
        <w:rPr>
          <w:sz w:val="26"/>
          <w:szCs w:val="26"/>
        </w:rPr>
        <w:t xml:space="preserve"> the</w:t>
      </w:r>
      <w:r w:rsidR="00A73903" w:rsidRPr="001471C8">
        <w:rPr>
          <w:sz w:val="26"/>
          <w:szCs w:val="26"/>
        </w:rPr>
        <w:t xml:space="preserve"> OSBA relating to the</w:t>
      </w:r>
      <w:r w:rsidR="005D03B4" w:rsidRPr="001471C8">
        <w:rPr>
          <w:sz w:val="26"/>
          <w:szCs w:val="26"/>
        </w:rPr>
        <w:t xml:space="preserve"> </w:t>
      </w:r>
      <w:r w:rsidR="00A73903" w:rsidRPr="001471C8">
        <w:rPr>
          <w:sz w:val="26"/>
          <w:szCs w:val="26"/>
        </w:rPr>
        <w:t>TCJA.</w:t>
      </w:r>
      <w:r w:rsidR="00871153" w:rsidRPr="001471C8">
        <w:rPr>
          <w:sz w:val="26"/>
          <w:szCs w:val="26"/>
        </w:rPr>
        <w:t xml:space="preserve">  Joint Petition at 2.</w:t>
      </w:r>
    </w:p>
    <w:p w14:paraId="5ADB5AA5" w14:textId="59213A90" w:rsidR="00A73903" w:rsidRPr="001471C8" w:rsidRDefault="00A73903" w:rsidP="00217B05">
      <w:pPr>
        <w:widowControl/>
        <w:spacing w:line="360" w:lineRule="auto"/>
        <w:ind w:firstLine="1440"/>
        <w:contextualSpacing/>
        <w:rPr>
          <w:rStyle w:val="Hyperlink"/>
          <w:color w:val="auto"/>
          <w:sz w:val="26"/>
          <w:szCs w:val="26"/>
          <w:u w:val="none"/>
        </w:rPr>
      </w:pPr>
    </w:p>
    <w:p w14:paraId="7F1EAB12" w14:textId="21EFFEF0" w:rsidR="00E856A2" w:rsidRPr="001471C8" w:rsidRDefault="00E856A2" w:rsidP="00217B05">
      <w:pPr>
        <w:widowControl/>
        <w:spacing w:after="200" w:line="360" w:lineRule="auto"/>
        <w:ind w:firstLine="1440"/>
        <w:contextualSpacing/>
        <w:rPr>
          <w:rFonts w:eastAsia="Calibri"/>
          <w:bCs/>
          <w:sz w:val="26"/>
          <w:szCs w:val="26"/>
        </w:rPr>
      </w:pPr>
      <w:r w:rsidRPr="001471C8">
        <w:rPr>
          <w:rFonts w:eastAsia="Calibri"/>
          <w:bCs/>
          <w:sz w:val="26"/>
          <w:szCs w:val="26"/>
        </w:rPr>
        <w:t xml:space="preserve">The essential terms of the Settlement are set forth in Paragraph 27 of the Joint Petition, which is shown below, in full, as </w:t>
      </w:r>
      <w:r w:rsidR="007758C4">
        <w:rPr>
          <w:rFonts w:eastAsia="Calibri"/>
          <w:bCs/>
          <w:sz w:val="26"/>
          <w:szCs w:val="26"/>
        </w:rPr>
        <w:t xml:space="preserve">they </w:t>
      </w:r>
      <w:r w:rsidRPr="001471C8">
        <w:rPr>
          <w:rFonts w:eastAsia="Calibri"/>
          <w:bCs/>
          <w:sz w:val="26"/>
          <w:szCs w:val="26"/>
        </w:rPr>
        <w:t>appear in the Joint Petition:</w:t>
      </w:r>
    </w:p>
    <w:p w14:paraId="7B533BF6" w14:textId="77777777" w:rsidR="007064DC" w:rsidRPr="001471C8" w:rsidRDefault="007064DC" w:rsidP="00BC7DE9">
      <w:pPr>
        <w:widowControl/>
        <w:ind w:firstLine="1440"/>
        <w:contextualSpacing/>
        <w:rPr>
          <w:rStyle w:val="Hyperlink"/>
          <w:color w:val="auto"/>
          <w:sz w:val="26"/>
          <w:szCs w:val="26"/>
          <w:u w:val="none"/>
        </w:rPr>
      </w:pPr>
    </w:p>
    <w:p w14:paraId="5F710747" w14:textId="4389041B" w:rsidR="00836E33" w:rsidRPr="001471C8" w:rsidRDefault="00B3231D" w:rsidP="00217B05">
      <w:pPr>
        <w:widowControl/>
        <w:ind w:left="1440" w:right="1440"/>
        <w:contextualSpacing/>
        <w:rPr>
          <w:sz w:val="26"/>
          <w:szCs w:val="26"/>
        </w:rPr>
      </w:pPr>
      <w:r w:rsidRPr="001471C8">
        <w:rPr>
          <w:sz w:val="26"/>
          <w:szCs w:val="26"/>
        </w:rPr>
        <w:t>27.</w:t>
      </w:r>
      <w:r w:rsidR="00041618" w:rsidRPr="001471C8">
        <w:rPr>
          <w:sz w:val="26"/>
          <w:szCs w:val="26"/>
        </w:rPr>
        <w:tab/>
      </w:r>
      <w:r w:rsidRPr="001471C8">
        <w:rPr>
          <w:sz w:val="26"/>
          <w:szCs w:val="26"/>
        </w:rPr>
        <w:t>In consideration of the mutual promises and provisions contained in the Specific and General Terms and Conditions of this Settlement, the Parties desire to conclude litigation and to settle all claims regarding CenturyLink’s 2018 and 2019</w:t>
      </w:r>
      <w:r w:rsidR="00BC7DE9">
        <w:rPr>
          <w:sz w:val="26"/>
          <w:szCs w:val="26"/>
        </w:rPr>
        <w:t> </w:t>
      </w:r>
      <w:r w:rsidRPr="001471C8">
        <w:rPr>
          <w:sz w:val="26"/>
          <w:szCs w:val="26"/>
        </w:rPr>
        <w:t xml:space="preserve">PSP Filings. </w:t>
      </w:r>
      <w:r w:rsidR="00E856A2" w:rsidRPr="001471C8">
        <w:rPr>
          <w:sz w:val="26"/>
          <w:szCs w:val="26"/>
        </w:rPr>
        <w:t xml:space="preserve"> </w:t>
      </w:r>
      <w:r w:rsidRPr="001471C8">
        <w:rPr>
          <w:sz w:val="26"/>
          <w:szCs w:val="26"/>
        </w:rPr>
        <w:t>The specific terms and conditions of this proposed Settlement Agreement are as follows:</w:t>
      </w:r>
    </w:p>
    <w:p w14:paraId="0CBD02A7" w14:textId="77777777" w:rsidR="00836E33" w:rsidRPr="001471C8" w:rsidRDefault="00836E33" w:rsidP="00217B05">
      <w:pPr>
        <w:widowControl/>
        <w:ind w:left="1440" w:right="1440"/>
        <w:contextualSpacing/>
        <w:rPr>
          <w:sz w:val="26"/>
          <w:szCs w:val="26"/>
        </w:rPr>
      </w:pPr>
    </w:p>
    <w:p w14:paraId="60134663" w14:textId="0FD79EE5" w:rsidR="001E03B0" w:rsidRPr="001471C8" w:rsidRDefault="00B3231D" w:rsidP="00355643">
      <w:pPr>
        <w:widowControl/>
        <w:ind w:left="2880" w:right="1440" w:hanging="720"/>
        <w:contextualSpacing/>
        <w:rPr>
          <w:sz w:val="26"/>
          <w:szCs w:val="26"/>
        </w:rPr>
      </w:pPr>
      <w:r w:rsidRPr="001471C8">
        <w:rPr>
          <w:sz w:val="26"/>
          <w:szCs w:val="26"/>
        </w:rPr>
        <w:t>a.</w:t>
      </w:r>
      <w:r w:rsidR="008475F2" w:rsidRPr="001471C8">
        <w:rPr>
          <w:sz w:val="26"/>
          <w:szCs w:val="26"/>
        </w:rPr>
        <w:tab/>
      </w:r>
      <w:r w:rsidRPr="001471C8">
        <w:rPr>
          <w:sz w:val="26"/>
          <w:szCs w:val="26"/>
        </w:rPr>
        <w:t>On or before September 1, 2020 and pursuant to its Amended Chapter 30 Plan, CenturyLink will file its annual PSP Filing (“2020 PSP Filing”).</w:t>
      </w:r>
      <w:r w:rsidR="0036633C" w:rsidRPr="001471C8">
        <w:rPr>
          <w:rStyle w:val="FootnoteReference"/>
          <w:sz w:val="26"/>
          <w:szCs w:val="26"/>
        </w:rPr>
        <w:footnoteReference w:id="9"/>
      </w:r>
      <w:r w:rsidRPr="001471C8">
        <w:rPr>
          <w:sz w:val="26"/>
          <w:szCs w:val="26"/>
        </w:rPr>
        <w:t xml:space="preserve"> </w:t>
      </w:r>
    </w:p>
    <w:p w14:paraId="752F2C0E" w14:textId="77777777" w:rsidR="001E03B0" w:rsidRPr="001471C8" w:rsidRDefault="001E03B0" w:rsidP="00217B05">
      <w:pPr>
        <w:widowControl/>
        <w:ind w:left="2160" w:right="1440"/>
        <w:contextualSpacing/>
        <w:rPr>
          <w:sz w:val="26"/>
          <w:szCs w:val="26"/>
        </w:rPr>
      </w:pPr>
    </w:p>
    <w:p w14:paraId="55C155C9" w14:textId="162B1635" w:rsidR="001E03B0" w:rsidRPr="001471C8" w:rsidRDefault="00B3231D" w:rsidP="00355643">
      <w:pPr>
        <w:widowControl/>
        <w:ind w:left="2880" w:right="1440" w:hanging="720"/>
        <w:contextualSpacing/>
        <w:rPr>
          <w:sz w:val="26"/>
          <w:szCs w:val="26"/>
        </w:rPr>
      </w:pPr>
      <w:r w:rsidRPr="001471C8">
        <w:rPr>
          <w:sz w:val="26"/>
          <w:szCs w:val="26"/>
        </w:rPr>
        <w:t>b.</w:t>
      </w:r>
      <w:r w:rsidR="008475F2" w:rsidRPr="001471C8">
        <w:rPr>
          <w:sz w:val="26"/>
          <w:szCs w:val="26"/>
        </w:rPr>
        <w:tab/>
      </w:r>
      <w:r w:rsidRPr="001471C8">
        <w:rPr>
          <w:sz w:val="26"/>
          <w:szCs w:val="26"/>
        </w:rPr>
        <w:t xml:space="preserve">CenturyLink agrees in its 2020 PSP Filing to eliminate from its cumulative bank, and never to seek recovery of, both the 2018 maximum allowed noncompetitive revenue increase of $473,890 and the 2019 maximum allowed noncompetitive revenue increase of $438,621, for a total reduction of $912,511 from CenturyLink’s cumulative bank. </w:t>
      </w:r>
    </w:p>
    <w:p w14:paraId="57B06CE0" w14:textId="77777777" w:rsidR="001E03B0" w:rsidRPr="001471C8" w:rsidRDefault="001E03B0" w:rsidP="00355643">
      <w:pPr>
        <w:widowControl/>
        <w:ind w:left="2880" w:right="1440" w:hanging="720"/>
        <w:contextualSpacing/>
        <w:rPr>
          <w:sz w:val="26"/>
          <w:szCs w:val="26"/>
        </w:rPr>
      </w:pPr>
    </w:p>
    <w:p w14:paraId="7F46F1F9" w14:textId="623F8EA1" w:rsidR="00F73D94" w:rsidRPr="001471C8" w:rsidRDefault="00B3231D" w:rsidP="00355643">
      <w:pPr>
        <w:widowControl/>
        <w:ind w:left="2880" w:right="1440" w:hanging="720"/>
        <w:contextualSpacing/>
        <w:rPr>
          <w:rStyle w:val="Hyperlink"/>
          <w:color w:val="auto"/>
          <w:sz w:val="26"/>
          <w:szCs w:val="26"/>
          <w:u w:val="none"/>
        </w:rPr>
      </w:pPr>
      <w:r w:rsidRPr="001471C8">
        <w:rPr>
          <w:sz w:val="26"/>
          <w:szCs w:val="26"/>
        </w:rPr>
        <w:t>c.</w:t>
      </w:r>
      <w:r w:rsidR="008475F2" w:rsidRPr="001471C8">
        <w:rPr>
          <w:sz w:val="26"/>
          <w:szCs w:val="26"/>
        </w:rPr>
        <w:tab/>
      </w:r>
      <w:r w:rsidRPr="001471C8">
        <w:rPr>
          <w:sz w:val="26"/>
          <w:szCs w:val="26"/>
        </w:rPr>
        <w:t xml:space="preserve">CenturyLink further agrees to not add to its cumulative bank the 2020 PSP Filing’s calculated maximum allowed noncompetitive revenue increase. </w:t>
      </w:r>
      <w:r w:rsidR="0082101D">
        <w:rPr>
          <w:sz w:val="26"/>
          <w:szCs w:val="26"/>
        </w:rPr>
        <w:t xml:space="preserve"> </w:t>
      </w:r>
      <w:r w:rsidRPr="001471C8">
        <w:rPr>
          <w:sz w:val="26"/>
          <w:szCs w:val="26"/>
        </w:rPr>
        <w:t>While the maximum allowed noncompetitive change in revenue is not known and measurable at this time, it is estimated that the amount of the 2020 maximum allowed noncompetitive revenue increase should approximate prior years – i.e., $425,000 to $475,000.</w:t>
      </w:r>
    </w:p>
    <w:p w14:paraId="0FEAE538" w14:textId="73A2716C" w:rsidR="00F73D94" w:rsidRPr="001471C8" w:rsidRDefault="00F73D94" w:rsidP="00355643">
      <w:pPr>
        <w:widowControl/>
        <w:ind w:left="2880" w:right="1440" w:hanging="720"/>
        <w:contextualSpacing/>
        <w:rPr>
          <w:rStyle w:val="Hyperlink"/>
          <w:color w:val="auto"/>
          <w:sz w:val="26"/>
          <w:szCs w:val="26"/>
          <w:u w:val="none"/>
        </w:rPr>
      </w:pPr>
    </w:p>
    <w:p w14:paraId="04CE2DDE" w14:textId="553FEC08" w:rsidR="003855F6" w:rsidRPr="001471C8" w:rsidRDefault="003855F6" w:rsidP="00355643">
      <w:pPr>
        <w:widowControl/>
        <w:ind w:left="2880" w:right="1440" w:hanging="720"/>
        <w:contextualSpacing/>
        <w:rPr>
          <w:sz w:val="26"/>
          <w:szCs w:val="26"/>
        </w:rPr>
      </w:pPr>
      <w:r w:rsidRPr="001471C8">
        <w:rPr>
          <w:sz w:val="26"/>
          <w:szCs w:val="26"/>
        </w:rPr>
        <w:t>d.</w:t>
      </w:r>
      <w:r w:rsidR="002A0B7A" w:rsidRPr="001471C8">
        <w:rPr>
          <w:sz w:val="26"/>
          <w:szCs w:val="26"/>
        </w:rPr>
        <w:tab/>
      </w:r>
      <w:r w:rsidRPr="001471C8">
        <w:rPr>
          <w:sz w:val="26"/>
          <w:szCs w:val="26"/>
        </w:rPr>
        <w:t xml:space="preserve">CenturyLink further agrees to not file proposed tariffs to increase rates for noncompetitive services as part of the Company’s 2020 PSP Filing. </w:t>
      </w:r>
      <w:r w:rsidR="0082101D">
        <w:rPr>
          <w:sz w:val="26"/>
          <w:szCs w:val="26"/>
        </w:rPr>
        <w:t xml:space="preserve"> </w:t>
      </w:r>
      <w:r w:rsidRPr="001471C8">
        <w:rPr>
          <w:sz w:val="26"/>
          <w:szCs w:val="26"/>
        </w:rPr>
        <w:t>Because CenturyLink agrees not to increase noncompetitive rates as part of the Company’s 2020 PSP Filing, current noncompetitive services should remain in effect until CenturyLink files its 2021 PSP Filing and the Commission issues an order regarding CenturyLink’s 2021 PSP Filing.</w:t>
      </w:r>
      <w:r w:rsidR="002A7220" w:rsidRPr="001471C8">
        <w:rPr>
          <w:rStyle w:val="FootnoteReference"/>
          <w:sz w:val="26"/>
          <w:szCs w:val="26"/>
        </w:rPr>
        <w:footnoteReference w:id="10"/>
      </w:r>
      <w:r w:rsidR="002A7220" w:rsidRPr="001471C8">
        <w:rPr>
          <w:sz w:val="26"/>
          <w:szCs w:val="26"/>
        </w:rPr>
        <w:t xml:space="preserve"> </w:t>
      </w:r>
      <w:r w:rsidRPr="001471C8">
        <w:rPr>
          <w:sz w:val="26"/>
          <w:szCs w:val="26"/>
        </w:rPr>
        <w:t xml:space="preserve"> Nothing in this Settlement Agreement is intended to limit CenturyLink’s 2021 PSP filing. </w:t>
      </w:r>
    </w:p>
    <w:p w14:paraId="60B2D18C" w14:textId="77777777" w:rsidR="002A0B7A" w:rsidRPr="001471C8" w:rsidRDefault="002A0B7A" w:rsidP="00355643">
      <w:pPr>
        <w:widowControl/>
        <w:ind w:left="2880" w:right="1440" w:hanging="720"/>
        <w:contextualSpacing/>
        <w:rPr>
          <w:sz w:val="26"/>
          <w:szCs w:val="26"/>
        </w:rPr>
      </w:pPr>
    </w:p>
    <w:p w14:paraId="5BAC8172" w14:textId="5C0CDCA7" w:rsidR="003855F6" w:rsidRPr="001471C8" w:rsidRDefault="003855F6" w:rsidP="00355643">
      <w:pPr>
        <w:widowControl/>
        <w:ind w:left="2880" w:right="1440" w:hanging="720"/>
        <w:contextualSpacing/>
        <w:rPr>
          <w:sz w:val="26"/>
          <w:szCs w:val="26"/>
        </w:rPr>
      </w:pPr>
      <w:r w:rsidRPr="001471C8">
        <w:rPr>
          <w:sz w:val="26"/>
          <w:szCs w:val="26"/>
        </w:rPr>
        <w:t>e.</w:t>
      </w:r>
      <w:r w:rsidR="002A0B7A" w:rsidRPr="001471C8">
        <w:rPr>
          <w:sz w:val="26"/>
          <w:szCs w:val="26"/>
        </w:rPr>
        <w:tab/>
      </w:r>
      <w:r w:rsidRPr="001471C8">
        <w:rPr>
          <w:sz w:val="26"/>
          <w:szCs w:val="26"/>
        </w:rPr>
        <w:t xml:space="preserve">The OCA agrees to not file a formal complaint against the CenturyLink 2020 PSP Filing raising the specific issues set forth in the OCA Formal Complaints against the CenturyLink 2018 PSP Filing and 2019 PSP Filing regarding recognition of the impact of the TCJA as an exogenous event. </w:t>
      </w:r>
    </w:p>
    <w:p w14:paraId="7C609CCC" w14:textId="77777777" w:rsidR="003855F6" w:rsidRPr="001471C8" w:rsidRDefault="003855F6" w:rsidP="00355643">
      <w:pPr>
        <w:widowControl/>
        <w:ind w:left="2880" w:right="1440" w:hanging="720"/>
        <w:contextualSpacing/>
        <w:rPr>
          <w:sz w:val="26"/>
          <w:szCs w:val="26"/>
        </w:rPr>
      </w:pPr>
    </w:p>
    <w:p w14:paraId="506017A7" w14:textId="043F1402" w:rsidR="003855F6" w:rsidRPr="001471C8" w:rsidRDefault="003855F6" w:rsidP="00355643">
      <w:pPr>
        <w:widowControl/>
        <w:ind w:left="2880" w:right="1440" w:hanging="720"/>
        <w:contextualSpacing/>
        <w:rPr>
          <w:sz w:val="26"/>
          <w:szCs w:val="26"/>
        </w:rPr>
      </w:pPr>
      <w:r w:rsidRPr="001471C8">
        <w:rPr>
          <w:sz w:val="26"/>
          <w:szCs w:val="26"/>
        </w:rPr>
        <w:t>f.</w:t>
      </w:r>
      <w:r w:rsidR="002A0B7A" w:rsidRPr="001471C8">
        <w:rPr>
          <w:sz w:val="26"/>
          <w:szCs w:val="26"/>
        </w:rPr>
        <w:tab/>
      </w:r>
      <w:r w:rsidRPr="001471C8">
        <w:rPr>
          <w:sz w:val="26"/>
          <w:szCs w:val="26"/>
        </w:rPr>
        <w:t xml:space="preserve">OSBA agrees not to file a formal complaint against the CenturyLink 2020 PSP Filing raising issues regarding recognition of the impact of the TCJA as an exogenous event. </w:t>
      </w:r>
    </w:p>
    <w:p w14:paraId="4FA07898" w14:textId="77777777" w:rsidR="003855F6" w:rsidRPr="001471C8" w:rsidRDefault="003855F6" w:rsidP="00355643">
      <w:pPr>
        <w:widowControl/>
        <w:ind w:left="2880" w:right="1440" w:hanging="720"/>
        <w:contextualSpacing/>
        <w:rPr>
          <w:sz w:val="26"/>
          <w:szCs w:val="26"/>
        </w:rPr>
      </w:pPr>
    </w:p>
    <w:p w14:paraId="39E63193" w14:textId="3068CCF1" w:rsidR="003855F6" w:rsidRPr="001471C8" w:rsidRDefault="003855F6" w:rsidP="00355643">
      <w:pPr>
        <w:widowControl/>
        <w:ind w:left="2880" w:right="1440" w:hanging="720"/>
        <w:contextualSpacing/>
        <w:rPr>
          <w:rStyle w:val="Hyperlink"/>
          <w:color w:val="auto"/>
          <w:sz w:val="26"/>
          <w:szCs w:val="26"/>
          <w:u w:val="none"/>
        </w:rPr>
      </w:pPr>
      <w:r w:rsidRPr="001471C8">
        <w:rPr>
          <w:sz w:val="26"/>
          <w:szCs w:val="26"/>
        </w:rPr>
        <w:t>g.</w:t>
      </w:r>
      <w:r w:rsidR="002A0B7A" w:rsidRPr="001471C8">
        <w:rPr>
          <w:sz w:val="26"/>
          <w:szCs w:val="26"/>
        </w:rPr>
        <w:tab/>
      </w:r>
      <w:r w:rsidRPr="001471C8">
        <w:rPr>
          <w:sz w:val="26"/>
          <w:szCs w:val="26"/>
        </w:rPr>
        <w:t>Notwithstanding the provisions herein, in the event the Pennsylvania General Assembly enacts legislation impacting CenturyLink’s Amended Chapter 30 Plan after Commission approval of this Settlement, nothing in this Settlement Agreement shall be construed to prohibit or limit any rights that may be available under such a legislative change.</w:t>
      </w:r>
    </w:p>
    <w:p w14:paraId="17EC7669" w14:textId="5607CCBF" w:rsidR="003855F6" w:rsidRPr="001471C8" w:rsidRDefault="003855F6" w:rsidP="00355643">
      <w:pPr>
        <w:widowControl/>
        <w:ind w:left="2880" w:right="1440" w:hanging="720"/>
        <w:contextualSpacing/>
        <w:rPr>
          <w:rStyle w:val="Hyperlink"/>
          <w:color w:val="auto"/>
          <w:sz w:val="26"/>
          <w:szCs w:val="26"/>
          <w:u w:val="none"/>
        </w:rPr>
      </w:pPr>
    </w:p>
    <w:p w14:paraId="300A7044" w14:textId="55570D4C" w:rsidR="004E5587" w:rsidRPr="001471C8" w:rsidRDefault="004E5587" w:rsidP="00355643">
      <w:pPr>
        <w:widowControl/>
        <w:ind w:left="2880" w:right="1440" w:hanging="720"/>
        <w:contextualSpacing/>
        <w:rPr>
          <w:sz w:val="26"/>
          <w:szCs w:val="26"/>
        </w:rPr>
      </w:pPr>
      <w:r w:rsidRPr="001471C8">
        <w:rPr>
          <w:sz w:val="26"/>
          <w:szCs w:val="26"/>
        </w:rPr>
        <w:t>h.</w:t>
      </w:r>
      <w:r w:rsidR="002A0B7A" w:rsidRPr="001471C8">
        <w:rPr>
          <w:sz w:val="26"/>
          <w:szCs w:val="26"/>
        </w:rPr>
        <w:tab/>
      </w:r>
      <w:r w:rsidRPr="001471C8">
        <w:rPr>
          <w:sz w:val="26"/>
          <w:szCs w:val="26"/>
        </w:rPr>
        <w:t xml:space="preserve">Furthermore, nothing in this Settlement Agreement shall be construed to prohibit Parties from seeking relief pursuant to Part 3.A. at paragraph 9 and Part 3.B of CenturyLink’s Revised Amended Alternative Regulation Plan (June 9, 2005) (exogenous events) regarding any non-TCJA related exogenous event. </w:t>
      </w:r>
    </w:p>
    <w:p w14:paraId="5B70D192" w14:textId="77777777" w:rsidR="004E5587" w:rsidRPr="001471C8" w:rsidRDefault="004E5587" w:rsidP="00355643">
      <w:pPr>
        <w:widowControl/>
        <w:ind w:left="2880" w:right="1440" w:hanging="720"/>
        <w:contextualSpacing/>
        <w:rPr>
          <w:sz w:val="26"/>
          <w:szCs w:val="26"/>
        </w:rPr>
      </w:pPr>
    </w:p>
    <w:p w14:paraId="263772A8" w14:textId="788C0A8A" w:rsidR="004E5587" w:rsidRPr="001471C8" w:rsidRDefault="004E5587" w:rsidP="00355643">
      <w:pPr>
        <w:widowControl/>
        <w:ind w:left="2880" w:right="1440" w:hanging="720"/>
        <w:contextualSpacing/>
        <w:rPr>
          <w:sz w:val="26"/>
          <w:szCs w:val="26"/>
        </w:rPr>
      </w:pPr>
      <w:proofErr w:type="spellStart"/>
      <w:r w:rsidRPr="001471C8">
        <w:rPr>
          <w:sz w:val="26"/>
          <w:szCs w:val="26"/>
        </w:rPr>
        <w:t>i</w:t>
      </w:r>
      <w:proofErr w:type="spellEnd"/>
      <w:r w:rsidRPr="001471C8">
        <w:rPr>
          <w:sz w:val="26"/>
          <w:szCs w:val="26"/>
        </w:rPr>
        <w:t>.</w:t>
      </w:r>
      <w:r w:rsidR="002A0B7A" w:rsidRPr="001471C8">
        <w:rPr>
          <w:sz w:val="26"/>
          <w:szCs w:val="26"/>
        </w:rPr>
        <w:tab/>
      </w:r>
      <w:r w:rsidRPr="001471C8">
        <w:rPr>
          <w:sz w:val="26"/>
          <w:szCs w:val="26"/>
        </w:rPr>
        <w:t xml:space="preserve">This Settlement Agreement is a compromise result based upon the specific claims and defenses of the Parties and the specific provisions in CenturyLink’s Amended Chapter 30 Plan. </w:t>
      </w:r>
      <w:r w:rsidR="00471DB9">
        <w:rPr>
          <w:sz w:val="26"/>
          <w:szCs w:val="26"/>
        </w:rPr>
        <w:t xml:space="preserve"> </w:t>
      </w:r>
      <w:r w:rsidRPr="001471C8">
        <w:rPr>
          <w:sz w:val="26"/>
          <w:szCs w:val="26"/>
        </w:rPr>
        <w:t xml:space="preserve">This Settlement Agreement represents a complete settlement of CenturyLink’s 2018 and 2019 PSP Filings and fully satisfies all claims arising from the respective Formal Complaints of OCA and the Interventions of OSBA. </w:t>
      </w:r>
    </w:p>
    <w:p w14:paraId="1B4D0FEB" w14:textId="77777777" w:rsidR="004E5587" w:rsidRPr="001471C8" w:rsidRDefault="004E5587" w:rsidP="00355643">
      <w:pPr>
        <w:widowControl/>
        <w:ind w:left="2880" w:right="1440" w:hanging="720"/>
        <w:contextualSpacing/>
        <w:rPr>
          <w:sz w:val="26"/>
          <w:szCs w:val="26"/>
        </w:rPr>
      </w:pPr>
    </w:p>
    <w:p w14:paraId="20C4D2E4" w14:textId="2F7D3D14" w:rsidR="004E5587" w:rsidRPr="001471C8" w:rsidRDefault="004E5587" w:rsidP="00355643">
      <w:pPr>
        <w:widowControl/>
        <w:ind w:left="2880" w:right="1440" w:hanging="720"/>
        <w:contextualSpacing/>
        <w:rPr>
          <w:sz w:val="26"/>
          <w:szCs w:val="26"/>
        </w:rPr>
      </w:pPr>
      <w:r w:rsidRPr="001471C8">
        <w:rPr>
          <w:sz w:val="26"/>
          <w:szCs w:val="26"/>
        </w:rPr>
        <w:t>j.</w:t>
      </w:r>
      <w:r w:rsidR="002A0B7A" w:rsidRPr="001471C8">
        <w:rPr>
          <w:sz w:val="26"/>
          <w:szCs w:val="26"/>
        </w:rPr>
        <w:tab/>
      </w:r>
      <w:r w:rsidRPr="001471C8">
        <w:rPr>
          <w:sz w:val="26"/>
          <w:szCs w:val="26"/>
        </w:rPr>
        <w:t xml:space="preserve">The Parties expressly recognize that this Settlement Agreement’s treatment of the TCJA is specific to CenturyLink in Pennsylvania and the specific provisions in CenturyLink’s Amended Chapter 30 Plan. </w:t>
      </w:r>
      <w:r w:rsidR="00471DB9">
        <w:rPr>
          <w:sz w:val="26"/>
          <w:szCs w:val="26"/>
        </w:rPr>
        <w:t xml:space="preserve"> </w:t>
      </w:r>
      <w:r w:rsidRPr="001471C8">
        <w:rPr>
          <w:sz w:val="26"/>
          <w:szCs w:val="26"/>
        </w:rPr>
        <w:t>Nothing in this Settlement Agreement shall be construed to have applicability to any other entity or carrier, whether located in Pennsylvania or elsewhere.</w:t>
      </w:r>
    </w:p>
    <w:p w14:paraId="273E8EAA" w14:textId="77777777" w:rsidR="004E5587" w:rsidRPr="001471C8" w:rsidRDefault="004E5587" w:rsidP="00355643">
      <w:pPr>
        <w:widowControl/>
        <w:ind w:left="2880" w:right="1440" w:hanging="720"/>
        <w:contextualSpacing/>
        <w:rPr>
          <w:sz w:val="26"/>
          <w:szCs w:val="26"/>
        </w:rPr>
      </w:pPr>
    </w:p>
    <w:p w14:paraId="1B994F19" w14:textId="5C9A4ECB" w:rsidR="004E5587" w:rsidRPr="001471C8" w:rsidRDefault="004E5587" w:rsidP="00355643">
      <w:pPr>
        <w:widowControl/>
        <w:ind w:left="2880" w:right="1440" w:hanging="720"/>
        <w:contextualSpacing/>
        <w:rPr>
          <w:sz w:val="26"/>
          <w:szCs w:val="26"/>
        </w:rPr>
      </w:pPr>
      <w:r w:rsidRPr="001471C8">
        <w:rPr>
          <w:sz w:val="26"/>
          <w:szCs w:val="26"/>
        </w:rPr>
        <w:t>k.</w:t>
      </w:r>
      <w:r w:rsidR="002A0B7A" w:rsidRPr="001471C8">
        <w:rPr>
          <w:sz w:val="26"/>
          <w:szCs w:val="26"/>
        </w:rPr>
        <w:tab/>
      </w:r>
      <w:r w:rsidRPr="001471C8">
        <w:rPr>
          <w:sz w:val="26"/>
          <w:szCs w:val="26"/>
        </w:rPr>
        <w:t xml:space="preserve">This Settlement Agreement is conditioned upon and subject to the approval of the Commission of this Settlement without modification or revision. </w:t>
      </w:r>
    </w:p>
    <w:p w14:paraId="2C94524E" w14:textId="77777777" w:rsidR="004E5587" w:rsidRPr="001471C8" w:rsidRDefault="004E5587" w:rsidP="00355643">
      <w:pPr>
        <w:widowControl/>
        <w:ind w:left="2880" w:right="1440" w:hanging="720"/>
        <w:contextualSpacing/>
        <w:rPr>
          <w:sz w:val="26"/>
          <w:szCs w:val="26"/>
        </w:rPr>
      </w:pPr>
    </w:p>
    <w:p w14:paraId="0446935B" w14:textId="1725E9F5" w:rsidR="004E5587" w:rsidRPr="001471C8" w:rsidRDefault="002A0B7A" w:rsidP="00355643">
      <w:pPr>
        <w:keepNext/>
        <w:widowControl/>
        <w:ind w:left="2880" w:right="1440" w:hanging="720"/>
        <w:contextualSpacing/>
        <w:rPr>
          <w:rStyle w:val="Hyperlink"/>
          <w:color w:val="auto"/>
          <w:sz w:val="26"/>
          <w:szCs w:val="26"/>
          <w:u w:val="none"/>
        </w:rPr>
      </w:pPr>
      <w:r w:rsidRPr="001471C8">
        <w:rPr>
          <w:sz w:val="26"/>
          <w:szCs w:val="26"/>
        </w:rPr>
        <w:t>l</w:t>
      </w:r>
      <w:r w:rsidR="004E5587" w:rsidRPr="001471C8">
        <w:rPr>
          <w:sz w:val="26"/>
          <w:szCs w:val="26"/>
        </w:rPr>
        <w:t>.</w:t>
      </w:r>
      <w:r w:rsidRPr="001471C8">
        <w:rPr>
          <w:sz w:val="26"/>
          <w:szCs w:val="26"/>
        </w:rPr>
        <w:tab/>
      </w:r>
      <w:r w:rsidR="004E5587" w:rsidRPr="001471C8">
        <w:rPr>
          <w:sz w:val="26"/>
          <w:szCs w:val="26"/>
        </w:rPr>
        <w:t>This Settlement Agreement shall remain in effect upon approval by the Commission through mid</w:t>
      </w:r>
      <w:r w:rsidR="00960067">
        <w:rPr>
          <w:sz w:val="26"/>
          <w:szCs w:val="26"/>
        </w:rPr>
        <w:noBreakHyphen/>
      </w:r>
      <w:r w:rsidR="004E5587" w:rsidRPr="001471C8">
        <w:rPr>
          <w:sz w:val="26"/>
          <w:szCs w:val="26"/>
        </w:rPr>
        <w:t>December 2021, unless modified by the Commission and subject to paragraph 30 below.</w:t>
      </w:r>
    </w:p>
    <w:p w14:paraId="00D13227" w14:textId="286CF1FC" w:rsidR="004E5587" w:rsidRPr="001471C8" w:rsidRDefault="004E5587" w:rsidP="00355643">
      <w:pPr>
        <w:keepNext/>
        <w:widowControl/>
        <w:spacing w:line="360" w:lineRule="auto"/>
        <w:ind w:firstLine="1440"/>
        <w:contextualSpacing/>
        <w:rPr>
          <w:rStyle w:val="Hyperlink"/>
          <w:color w:val="auto"/>
          <w:sz w:val="26"/>
          <w:szCs w:val="26"/>
          <w:u w:val="none"/>
        </w:rPr>
      </w:pPr>
    </w:p>
    <w:p w14:paraId="768C1DA5" w14:textId="3398EBEB" w:rsidR="00DC752A" w:rsidRPr="001471C8" w:rsidRDefault="00DC752A" w:rsidP="00BC7DE9">
      <w:pPr>
        <w:keepNext/>
        <w:widowControl/>
        <w:spacing w:line="360" w:lineRule="auto"/>
        <w:contextualSpacing/>
        <w:rPr>
          <w:rStyle w:val="Hyperlink"/>
          <w:color w:val="auto"/>
          <w:sz w:val="26"/>
          <w:szCs w:val="26"/>
          <w:u w:val="none"/>
        </w:rPr>
      </w:pPr>
      <w:r w:rsidRPr="001471C8">
        <w:rPr>
          <w:rStyle w:val="Hyperlink"/>
          <w:color w:val="auto"/>
          <w:sz w:val="26"/>
          <w:szCs w:val="26"/>
          <w:u w:val="none"/>
        </w:rPr>
        <w:t xml:space="preserve">Settlement at </w:t>
      </w:r>
      <w:r w:rsidR="008475F2" w:rsidRPr="001471C8">
        <w:rPr>
          <w:rStyle w:val="Hyperlink"/>
          <w:color w:val="auto"/>
          <w:sz w:val="26"/>
          <w:szCs w:val="26"/>
          <w:u w:val="none"/>
        </w:rPr>
        <w:t>7-9.</w:t>
      </w:r>
    </w:p>
    <w:p w14:paraId="39479A31" w14:textId="56A1F0D9" w:rsidR="00DC752A" w:rsidRPr="001471C8" w:rsidRDefault="00DC752A" w:rsidP="00BC7DE9">
      <w:pPr>
        <w:widowControl/>
        <w:spacing w:line="360" w:lineRule="auto"/>
        <w:ind w:firstLine="1440"/>
        <w:contextualSpacing/>
        <w:rPr>
          <w:rStyle w:val="Hyperlink"/>
          <w:color w:val="auto"/>
          <w:sz w:val="26"/>
          <w:szCs w:val="26"/>
          <w:u w:val="none"/>
        </w:rPr>
      </w:pPr>
    </w:p>
    <w:p w14:paraId="1DA18801" w14:textId="5862D2C0" w:rsidR="00DD5893" w:rsidRPr="001471C8" w:rsidRDefault="006E1566" w:rsidP="00BC7DE9">
      <w:pPr>
        <w:widowControl/>
        <w:spacing w:line="360" w:lineRule="auto"/>
        <w:ind w:firstLine="1440"/>
        <w:contextualSpacing/>
        <w:rPr>
          <w:rStyle w:val="Hyperlink"/>
          <w:color w:val="auto"/>
          <w:sz w:val="26"/>
          <w:szCs w:val="26"/>
          <w:u w:val="none"/>
        </w:rPr>
      </w:pPr>
      <w:r w:rsidRPr="001471C8">
        <w:rPr>
          <w:sz w:val="26"/>
          <w:szCs w:val="26"/>
        </w:rPr>
        <w:t xml:space="preserve">In addition to the specific terms to which the Joint Petitioners have agreed, the Settlement contains other general terms and conditions typically found in settlements submitted to the Commission.  Specifically, the Joint Petitioners </w:t>
      </w:r>
      <w:r w:rsidR="001C1A32">
        <w:rPr>
          <w:sz w:val="26"/>
          <w:szCs w:val="26"/>
        </w:rPr>
        <w:t>reiterated</w:t>
      </w:r>
      <w:r w:rsidRPr="001471C8">
        <w:rPr>
          <w:sz w:val="26"/>
          <w:szCs w:val="26"/>
        </w:rPr>
        <w:t xml:space="preserve"> that the Settlement is conditioned upon the Commission’s approval of all the terms and conditions contained therein without modification.  The Joint Petition establishes the procedure by which any of the Joint Petitioners may withdraw from the Settlement and proceed to litigate this case, if the Commission should act to modify or reject the Settlement.  In addition, the Joint Petitioners </w:t>
      </w:r>
      <w:r w:rsidR="008F2709">
        <w:rPr>
          <w:sz w:val="26"/>
          <w:szCs w:val="26"/>
        </w:rPr>
        <w:t>reinforced</w:t>
      </w:r>
      <w:r w:rsidRPr="001471C8">
        <w:rPr>
          <w:sz w:val="26"/>
          <w:szCs w:val="26"/>
        </w:rPr>
        <w:t xml:space="preserve"> that although the Settlement is proffered to settle the instant case, it may not be cited as precedent in any future proceeding, except to the extent required to implement any term specifically agreed to by the Joint Petitioners.  Further, the Joint Petitioners submitted that the Settlement is made without any admission against, or prejudice to, any position which any of the Joint Petitioners might adopt in future proceedings, except to the extent necessary to effectuate or enforce any term specifically agreed to in the Settlement before us.  Settlement ¶¶ </w:t>
      </w:r>
      <w:r w:rsidR="00B17CDC" w:rsidRPr="001471C8">
        <w:rPr>
          <w:sz w:val="26"/>
          <w:szCs w:val="26"/>
        </w:rPr>
        <w:t>28</w:t>
      </w:r>
      <w:r w:rsidRPr="001471C8">
        <w:rPr>
          <w:sz w:val="26"/>
          <w:szCs w:val="26"/>
        </w:rPr>
        <w:noBreakHyphen/>
      </w:r>
      <w:r w:rsidR="00B17CDC" w:rsidRPr="001471C8">
        <w:rPr>
          <w:sz w:val="26"/>
          <w:szCs w:val="26"/>
        </w:rPr>
        <w:t>33</w:t>
      </w:r>
      <w:r w:rsidRPr="001471C8">
        <w:rPr>
          <w:sz w:val="26"/>
          <w:szCs w:val="26"/>
        </w:rPr>
        <w:t xml:space="preserve"> at </w:t>
      </w:r>
      <w:r w:rsidR="00B17CDC" w:rsidRPr="001471C8">
        <w:rPr>
          <w:sz w:val="26"/>
          <w:szCs w:val="26"/>
        </w:rPr>
        <w:t>1</w:t>
      </w:r>
      <w:r w:rsidRPr="001471C8">
        <w:rPr>
          <w:sz w:val="26"/>
          <w:szCs w:val="26"/>
        </w:rPr>
        <w:t>0-</w:t>
      </w:r>
      <w:r w:rsidR="00B17CDC" w:rsidRPr="001471C8">
        <w:rPr>
          <w:sz w:val="26"/>
          <w:szCs w:val="26"/>
        </w:rPr>
        <w:t>1</w:t>
      </w:r>
      <w:r w:rsidRPr="001471C8">
        <w:rPr>
          <w:sz w:val="26"/>
          <w:szCs w:val="26"/>
        </w:rPr>
        <w:t xml:space="preserve">1.  </w:t>
      </w:r>
    </w:p>
    <w:p w14:paraId="57DBBDA7" w14:textId="0C9F6C51" w:rsidR="00DD5893" w:rsidRPr="001471C8" w:rsidRDefault="00DD5893" w:rsidP="00217B05">
      <w:pPr>
        <w:widowControl/>
        <w:spacing w:line="360" w:lineRule="auto"/>
        <w:ind w:firstLine="1440"/>
        <w:contextualSpacing/>
        <w:rPr>
          <w:rStyle w:val="Hyperlink"/>
          <w:color w:val="auto"/>
          <w:sz w:val="26"/>
          <w:szCs w:val="26"/>
          <w:u w:val="none"/>
        </w:rPr>
      </w:pPr>
    </w:p>
    <w:p w14:paraId="5B0B2003" w14:textId="778C3AEE" w:rsidR="00B17CDC" w:rsidRPr="001471C8" w:rsidRDefault="0009127C"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 xml:space="preserve">The Joint Petitioners insisted that the </w:t>
      </w:r>
      <w:r w:rsidRPr="001471C8">
        <w:rPr>
          <w:sz w:val="26"/>
          <w:szCs w:val="26"/>
        </w:rPr>
        <w:t>Settlement is in the public interest</w:t>
      </w:r>
      <w:r w:rsidR="00986439">
        <w:rPr>
          <w:sz w:val="26"/>
          <w:szCs w:val="26"/>
        </w:rPr>
        <w:t xml:space="preserve"> and</w:t>
      </w:r>
      <w:r w:rsidRPr="001471C8">
        <w:rPr>
          <w:sz w:val="26"/>
          <w:szCs w:val="26"/>
        </w:rPr>
        <w:t xml:space="preserve"> is in the best interest of the Parties, the Commission, and CenturyLink’s customers</w:t>
      </w:r>
      <w:r w:rsidR="00C57C30" w:rsidRPr="001471C8">
        <w:rPr>
          <w:sz w:val="26"/>
          <w:szCs w:val="26"/>
        </w:rPr>
        <w:t xml:space="preserve"> because it </w:t>
      </w:r>
      <w:r w:rsidR="00D4786C" w:rsidRPr="001471C8">
        <w:rPr>
          <w:sz w:val="26"/>
          <w:szCs w:val="26"/>
        </w:rPr>
        <w:t>reduces the uncertainty, which might otherwise arise from the litigation of the OCA’s Formal Complaints and the OSBA’s Interventions</w:t>
      </w:r>
      <w:r w:rsidRPr="001471C8">
        <w:rPr>
          <w:sz w:val="26"/>
          <w:szCs w:val="26"/>
        </w:rPr>
        <w:t xml:space="preserve">.  Therefore, </w:t>
      </w:r>
      <w:r w:rsidR="00374DEF" w:rsidRPr="001471C8">
        <w:rPr>
          <w:sz w:val="26"/>
          <w:szCs w:val="26"/>
        </w:rPr>
        <w:t xml:space="preserve">the Joint Petitioners </w:t>
      </w:r>
      <w:r w:rsidR="00D4786C" w:rsidRPr="001471C8">
        <w:rPr>
          <w:sz w:val="26"/>
          <w:szCs w:val="26"/>
        </w:rPr>
        <w:t>respectfully requested that the Commission</w:t>
      </w:r>
      <w:r w:rsidR="00EC7059">
        <w:rPr>
          <w:sz w:val="26"/>
          <w:szCs w:val="26"/>
        </w:rPr>
        <w:t>:</w:t>
      </w:r>
      <w:r w:rsidR="00D4786C" w:rsidRPr="001471C8">
        <w:rPr>
          <w:sz w:val="26"/>
          <w:szCs w:val="26"/>
        </w:rPr>
        <w:t xml:space="preserve"> </w:t>
      </w:r>
      <w:r w:rsidR="00BC7DE9">
        <w:rPr>
          <w:sz w:val="26"/>
          <w:szCs w:val="26"/>
        </w:rPr>
        <w:t xml:space="preserve"> </w:t>
      </w:r>
      <w:r w:rsidR="00A43781" w:rsidRPr="001471C8">
        <w:rPr>
          <w:sz w:val="26"/>
          <w:szCs w:val="26"/>
        </w:rPr>
        <w:t xml:space="preserve">(1) </w:t>
      </w:r>
      <w:r w:rsidR="00D4786C" w:rsidRPr="001471C8">
        <w:rPr>
          <w:sz w:val="26"/>
          <w:szCs w:val="26"/>
        </w:rPr>
        <w:t>enter an Order approving the Settlement in its entirety</w:t>
      </w:r>
      <w:r w:rsidR="00A43781" w:rsidRPr="001471C8">
        <w:rPr>
          <w:sz w:val="26"/>
          <w:szCs w:val="26"/>
        </w:rPr>
        <w:t>;</w:t>
      </w:r>
      <w:r w:rsidR="00D4786C" w:rsidRPr="001471C8">
        <w:rPr>
          <w:sz w:val="26"/>
          <w:szCs w:val="26"/>
        </w:rPr>
        <w:t xml:space="preserve"> </w:t>
      </w:r>
      <w:r w:rsidR="00A43781" w:rsidRPr="001471C8">
        <w:rPr>
          <w:sz w:val="26"/>
          <w:szCs w:val="26"/>
        </w:rPr>
        <w:t>and (2) deem the Formal Complaints of the OCA and the Notices of Intervention of the OSBA satisfied.</w:t>
      </w:r>
      <w:r w:rsidR="00730707">
        <w:rPr>
          <w:sz w:val="26"/>
          <w:szCs w:val="26"/>
        </w:rPr>
        <w:t xml:space="preserve">  </w:t>
      </w:r>
      <w:r w:rsidR="009529AA">
        <w:rPr>
          <w:sz w:val="26"/>
          <w:szCs w:val="26"/>
        </w:rPr>
        <w:t>Joint Petition</w:t>
      </w:r>
      <w:r w:rsidR="00730707">
        <w:rPr>
          <w:sz w:val="26"/>
          <w:szCs w:val="26"/>
        </w:rPr>
        <w:t xml:space="preserve"> at </w:t>
      </w:r>
      <w:r w:rsidR="009529AA">
        <w:rPr>
          <w:sz w:val="26"/>
          <w:szCs w:val="26"/>
        </w:rPr>
        <w:t>14.</w:t>
      </w:r>
    </w:p>
    <w:p w14:paraId="7DF6521C" w14:textId="77777777" w:rsidR="00B17CDC" w:rsidRPr="001471C8" w:rsidRDefault="00B17CDC" w:rsidP="00217B05">
      <w:pPr>
        <w:widowControl/>
        <w:spacing w:line="360" w:lineRule="auto"/>
        <w:ind w:firstLine="1440"/>
        <w:contextualSpacing/>
        <w:rPr>
          <w:rStyle w:val="Hyperlink"/>
          <w:color w:val="auto"/>
          <w:sz w:val="26"/>
          <w:szCs w:val="26"/>
          <w:u w:val="none"/>
        </w:rPr>
      </w:pPr>
    </w:p>
    <w:p w14:paraId="3409E1EA" w14:textId="780E8528" w:rsidR="00284C33" w:rsidRPr="001471C8" w:rsidRDefault="00B67079" w:rsidP="00217B05">
      <w:pPr>
        <w:pStyle w:val="Heading3"/>
        <w:widowControl/>
        <w:numPr>
          <w:ilvl w:val="0"/>
          <w:numId w:val="3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11" w:name="_Toc91762308"/>
      <w:r w:rsidRPr="001471C8">
        <w:rPr>
          <w:rStyle w:val="Hyperlink"/>
          <w:rFonts w:ascii="Times New Roman" w:hAnsi="Times New Roman" w:cs="Times New Roman"/>
          <w:b/>
          <w:bCs/>
          <w:color w:val="auto"/>
          <w:sz w:val="26"/>
          <w:szCs w:val="26"/>
          <w:u w:val="none"/>
        </w:rPr>
        <w:t>Statements in Support</w:t>
      </w:r>
      <w:r w:rsidR="00E33E71">
        <w:rPr>
          <w:rStyle w:val="Hyperlink"/>
          <w:rFonts w:ascii="Times New Roman" w:hAnsi="Times New Roman" w:cs="Times New Roman"/>
          <w:b/>
          <w:bCs/>
          <w:color w:val="auto"/>
          <w:sz w:val="26"/>
          <w:szCs w:val="26"/>
          <w:u w:val="none"/>
        </w:rPr>
        <w:t xml:space="preserve"> and Verified Witness Statements</w:t>
      </w:r>
      <w:bookmarkEnd w:id="11"/>
    </w:p>
    <w:p w14:paraId="6AFD6ECC" w14:textId="3D6F45AB" w:rsidR="00B67079" w:rsidRPr="001471C8" w:rsidRDefault="00B67079" w:rsidP="00217B05">
      <w:pPr>
        <w:keepNext/>
        <w:keepLines/>
        <w:widowControl/>
        <w:spacing w:line="360" w:lineRule="auto"/>
        <w:ind w:firstLine="1440"/>
        <w:contextualSpacing/>
        <w:rPr>
          <w:rStyle w:val="Hyperlink"/>
          <w:color w:val="auto"/>
          <w:sz w:val="26"/>
          <w:szCs w:val="26"/>
          <w:u w:val="none"/>
        </w:rPr>
      </w:pPr>
    </w:p>
    <w:p w14:paraId="70D078E6" w14:textId="370B5009" w:rsidR="00A83EFA" w:rsidRPr="001471C8" w:rsidRDefault="00A83EFA"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 xml:space="preserve">As previously noted, at the March 2020 Prehearing Conference, the ALJs informed the Joint Petitioners that they were considering rejecting the Settlement.  Therefore, in addition to their </w:t>
      </w:r>
      <w:r w:rsidR="004F185F" w:rsidRPr="001471C8">
        <w:rPr>
          <w:rStyle w:val="Hyperlink"/>
          <w:color w:val="auto"/>
          <w:sz w:val="26"/>
          <w:szCs w:val="26"/>
          <w:u w:val="none"/>
        </w:rPr>
        <w:t xml:space="preserve">Statements in Support attached to the Joint Petition, each Joint Petitioner also provided </w:t>
      </w:r>
      <w:r w:rsidR="00BE2DB3" w:rsidRPr="001471C8">
        <w:rPr>
          <w:rStyle w:val="Hyperlink"/>
          <w:color w:val="auto"/>
          <w:sz w:val="26"/>
          <w:szCs w:val="26"/>
          <w:u w:val="none"/>
        </w:rPr>
        <w:t>a Verified Witness Statement</w:t>
      </w:r>
      <w:r w:rsidR="00126CA3" w:rsidRPr="001471C8">
        <w:rPr>
          <w:rStyle w:val="Hyperlink"/>
          <w:color w:val="auto"/>
          <w:sz w:val="26"/>
          <w:szCs w:val="26"/>
          <w:u w:val="none"/>
        </w:rPr>
        <w:t xml:space="preserve"> in support of their positions on why the Settlement should not be rejected.  Each Joint Petitioner’s Statement in Support and Verified Witness Statement is set forth below.</w:t>
      </w:r>
    </w:p>
    <w:p w14:paraId="0B699673" w14:textId="77777777" w:rsidR="00A83EFA" w:rsidRPr="001471C8" w:rsidRDefault="00A83EFA" w:rsidP="00217B05">
      <w:pPr>
        <w:widowControl/>
        <w:spacing w:line="360" w:lineRule="auto"/>
        <w:ind w:firstLine="1440"/>
        <w:contextualSpacing/>
        <w:rPr>
          <w:rStyle w:val="Hyperlink"/>
          <w:color w:val="auto"/>
          <w:sz w:val="26"/>
          <w:szCs w:val="26"/>
          <w:u w:val="none"/>
        </w:rPr>
      </w:pPr>
    </w:p>
    <w:p w14:paraId="5F30E621" w14:textId="1CA0C773" w:rsidR="009C29B1" w:rsidRPr="001471C8" w:rsidRDefault="0094146F" w:rsidP="00217B05">
      <w:pPr>
        <w:pStyle w:val="Heading4"/>
        <w:keepNext/>
        <w:keepLines/>
        <w:numPr>
          <w:ilvl w:val="0"/>
          <w:numId w:val="36"/>
        </w:numPr>
        <w:spacing w:before="0" w:beforeAutospacing="0" w:after="0" w:afterAutospacing="0" w:line="360" w:lineRule="auto"/>
        <w:ind w:left="2160" w:hanging="720"/>
        <w:contextualSpacing/>
        <w:rPr>
          <w:rStyle w:val="Hyperlink"/>
          <w:color w:val="auto"/>
          <w:sz w:val="26"/>
          <w:szCs w:val="26"/>
          <w:u w:val="none"/>
        </w:rPr>
      </w:pPr>
      <w:r w:rsidRPr="001471C8">
        <w:rPr>
          <w:rStyle w:val="Hyperlink"/>
          <w:color w:val="auto"/>
          <w:sz w:val="26"/>
          <w:szCs w:val="26"/>
          <w:u w:val="none"/>
        </w:rPr>
        <w:t>CenturyLink</w:t>
      </w:r>
    </w:p>
    <w:p w14:paraId="0C615913" w14:textId="0DA2F0D1" w:rsidR="00411440" w:rsidRPr="001471C8" w:rsidRDefault="00411440" w:rsidP="00217B05">
      <w:pPr>
        <w:keepNext/>
        <w:keepLines/>
        <w:widowControl/>
        <w:spacing w:line="360" w:lineRule="auto"/>
        <w:ind w:firstLine="1440"/>
        <w:contextualSpacing/>
        <w:rPr>
          <w:rStyle w:val="Hyperlink"/>
          <w:color w:val="auto"/>
          <w:sz w:val="26"/>
          <w:szCs w:val="26"/>
          <w:u w:val="none"/>
        </w:rPr>
      </w:pPr>
    </w:p>
    <w:p w14:paraId="608B6054" w14:textId="025C28F1" w:rsidR="00A51224" w:rsidRPr="001471C8" w:rsidRDefault="00640664" w:rsidP="00217B05">
      <w:pPr>
        <w:widowControl/>
        <w:spacing w:line="360" w:lineRule="auto"/>
        <w:ind w:firstLine="1440"/>
        <w:contextualSpacing/>
        <w:rPr>
          <w:sz w:val="26"/>
          <w:szCs w:val="26"/>
        </w:rPr>
      </w:pPr>
      <w:r w:rsidRPr="001471C8">
        <w:rPr>
          <w:rStyle w:val="Hyperlink"/>
          <w:color w:val="auto"/>
          <w:sz w:val="26"/>
          <w:szCs w:val="26"/>
          <w:u w:val="none"/>
        </w:rPr>
        <w:t>In its Statement in Support, CenturyLink</w:t>
      </w:r>
      <w:r w:rsidR="007374F6" w:rsidRPr="001471C8">
        <w:rPr>
          <w:rStyle w:val="Hyperlink"/>
          <w:color w:val="auto"/>
          <w:sz w:val="26"/>
          <w:szCs w:val="26"/>
          <w:u w:val="none"/>
        </w:rPr>
        <w:t xml:space="preserve"> </w:t>
      </w:r>
      <w:r w:rsidR="00360CF4" w:rsidRPr="001471C8">
        <w:rPr>
          <w:rStyle w:val="Hyperlink"/>
          <w:color w:val="auto"/>
          <w:sz w:val="26"/>
          <w:szCs w:val="26"/>
          <w:u w:val="none"/>
        </w:rPr>
        <w:t>asserted</w:t>
      </w:r>
      <w:r w:rsidR="002A71D4" w:rsidRPr="001471C8">
        <w:rPr>
          <w:rStyle w:val="Hyperlink"/>
          <w:color w:val="auto"/>
          <w:sz w:val="26"/>
          <w:szCs w:val="26"/>
          <w:u w:val="none"/>
        </w:rPr>
        <w:t xml:space="preserve"> that the</w:t>
      </w:r>
      <w:r w:rsidR="004D28E7" w:rsidRPr="001471C8">
        <w:rPr>
          <w:sz w:val="26"/>
          <w:szCs w:val="26"/>
        </w:rPr>
        <w:t xml:space="preserve"> proposed Settlement is in the public interest and should be approved </w:t>
      </w:r>
      <w:r w:rsidR="004E5AC5" w:rsidRPr="001471C8">
        <w:rPr>
          <w:sz w:val="26"/>
          <w:szCs w:val="26"/>
        </w:rPr>
        <w:t xml:space="preserve">because it </w:t>
      </w:r>
      <w:r w:rsidR="00077A37">
        <w:rPr>
          <w:sz w:val="26"/>
          <w:szCs w:val="26"/>
        </w:rPr>
        <w:t xml:space="preserve">brings an efficient and reasonable end to </w:t>
      </w:r>
      <w:r w:rsidR="00BB159B">
        <w:rPr>
          <w:sz w:val="26"/>
          <w:szCs w:val="26"/>
        </w:rPr>
        <w:t>the controversies</w:t>
      </w:r>
      <w:r w:rsidR="004D28E7" w:rsidRPr="001471C8">
        <w:rPr>
          <w:sz w:val="26"/>
          <w:szCs w:val="26"/>
        </w:rPr>
        <w:t xml:space="preserve"> spanning a two-year period concerning </w:t>
      </w:r>
      <w:r w:rsidR="004E5AC5" w:rsidRPr="001471C8">
        <w:rPr>
          <w:sz w:val="26"/>
          <w:szCs w:val="26"/>
        </w:rPr>
        <w:t xml:space="preserve">any potential </w:t>
      </w:r>
      <w:r w:rsidR="004D28E7" w:rsidRPr="001471C8">
        <w:rPr>
          <w:sz w:val="26"/>
          <w:szCs w:val="26"/>
        </w:rPr>
        <w:t xml:space="preserve">impact of the federal </w:t>
      </w:r>
      <w:r w:rsidR="004E5AC5" w:rsidRPr="001471C8">
        <w:rPr>
          <w:sz w:val="26"/>
          <w:szCs w:val="26"/>
        </w:rPr>
        <w:t>TCJA on the Company’s 2018 and 2019 PSI</w:t>
      </w:r>
      <w:r w:rsidR="00E33E71">
        <w:rPr>
          <w:sz w:val="26"/>
          <w:szCs w:val="26"/>
        </w:rPr>
        <w:t>/SPI</w:t>
      </w:r>
      <w:r w:rsidR="004E5AC5" w:rsidRPr="001471C8">
        <w:rPr>
          <w:sz w:val="26"/>
          <w:szCs w:val="26"/>
        </w:rPr>
        <w:t xml:space="preserve"> </w:t>
      </w:r>
      <w:r w:rsidR="00BB159B">
        <w:rPr>
          <w:sz w:val="26"/>
          <w:szCs w:val="26"/>
        </w:rPr>
        <w:t>F</w:t>
      </w:r>
      <w:r w:rsidR="004E5AC5" w:rsidRPr="001471C8">
        <w:rPr>
          <w:sz w:val="26"/>
          <w:szCs w:val="26"/>
        </w:rPr>
        <w:t xml:space="preserve">ilings.  According to </w:t>
      </w:r>
      <w:r w:rsidR="00360CF4" w:rsidRPr="001471C8">
        <w:rPr>
          <w:sz w:val="26"/>
          <w:szCs w:val="26"/>
        </w:rPr>
        <w:t xml:space="preserve">CenturyLink, because the Joint Petitioners maintain divergent positions regarding the impact of the TCJA, the </w:t>
      </w:r>
      <w:r w:rsidR="0073026A">
        <w:rPr>
          <w:sz w:val="26"/>
          <w:szCs w:val="26"/>
        </w:rPr>
        <w:t xml:space="preserve">Settlement </w:t>
      </w:r>
      <w:r w:rsidR="00360CF4" w:rsidRPr="001471C8">
        <w:rPr>
          <w:sz w:val="26"/>
          <w:szCs w:val="26"/>
        </w:rPr>
        <w:t>results in</w:t>
      </w:r>
      <w:r w:rsidR="00A51224" w:rsidRPr="001471C8">
        <w:rPr>
          <w:sz w:val="26"/>
          <w:szCs w:val="26"/>
        </w:rPr>
        <w:t xml:space="preserve"> significant benefits </w:t>
      </w:r>
      <w:r w:rsidR="00360CF4" w:rsidRPr="001471C8">
        <w:rPr>
          <w:sz w:val="26"/>
          <w:szCs w:val="26"/>
        </w:rPr>
        <w:t>by</w:t>
      </w:r>
      <w:r w:rsidR="00A51224" w:rsidRPr="001471C8">
        <w:rPr>
          <w:sz w:val="26"/>
          <w:szCs w:val="26"/>
        </w:rPr>
        <w:t xml:space="preserve"> saving time, resources, and expenses given the potential for years of protracted litigation on these contentious issues. </w:t>
      </w:r>
      <w:r w:rsidR="00360CF4" w:rsidRPr="001471C8">
        <w:rPr>
          <w:sz w:val="26"/>
          <w:szCs w:val="26"/>
        </w:rPr>
        <w:t xml:space="preserve"> </w:t>
      </w:r>
      <w:r w:rsidR="00A51224" w:rsidRPr="001471C8">
        <w:rPr>
          <w:sz w:val="26"/>
          <w:szCs w:val="26"/>
        </w:rPr>
        <w:t xml:space="preserve">In addition, </w:t>
      </w:r>
      <w:r w:rsidR="00360CF4" w:rsidRPr="001471C8">
        <w:rPr>
          <w:sz w:val="26"/>
          <w:szCs w:val="26"/>
        </w:rPr>
        <w:t xml:space="preserve">CenturyLink </w:t>
      </w:r>
      <w:r w:rsidR="001200C9" w:rsidRPr="001471C8">
        <w:rPr>
          <w:sz w:val="26"/>
          <w:szCs w:val="26"/>
        </w:rPr>
        <w:t xml:space="preserve">noted that the Joint Petitioners </w:t>
      </w:r>
      <w:r w:rsidR="0084664A" w:rsidRPr="001471C8">
        <w:rPr>
          <w:sz w:val="26"/>
          <w:szCs w:val="26"/>
        </w:rPr>
        <w:t>strived to submit the proposed Settlement ahead of the Company’s September 2020 PSI</w:t>
      </w:r>
      <w:r w:rsidR="007F242F">
        <w:rPr>
          <w:sz w:val="26"/>
          <w:szCs w:val="26"/>
        </w:rPr>
        <w:t>/SPI</w:t>
      </w:r>
      <w:r w:rsidR="0084664A" w:rsidRPr="001471C8">
        <w:rPr>
          <w:sz w:val="26"/>
          <w:szCs w:val="26"/>
        </w:rPr>
        <w:t xml:space="preserve"> Filing</w:t>
      </w:r>
      <w:r w:rsidR="005E7B4B" w:rsidRPr="001471C8">
        <w:rPr>
          <w:sz w:val="26"/>
          <w:szCs w:val="26"/>
        </w:rPr>
        <w:t>,</w:t>
      </w:r>
      <w:r w:rsidR="00C02E09">
        <w:rPr>
          <w:rStyle w:val="FootnoteReference"/>
          <w:sz w:val="26"/>
          <w:szCs w:val="26"/>
        </w:rPr>
        <w:footnoteReference w:id="11"/>
      </w:r>
      <w:r w:rsidR="005E7B4B" w:rsidRPr="001471C8">
        <w:rPr>
          <w:sz w:val="26"/>
          <w:szCs w:val="26"/>
        </w:rPr>
        <w:t xml:space="preserve"> thereby providing certainty relative to that filing.  CenturyLink Statement in Support at 1-2.</w:t>
      </w:r>
    </w:p>
    <w:p w14:paraId="12512AAB" w14:textId="77777777" w:rsidR="00A51224" w:rsidRPr="00257DB8" w:rsidRDefault="00A51224" w:rsidP="00217B05">
      <w:pPr>
        <w:widowControl/>
        <w:spacing w:line="360" w:lineRule="auto"/>
        <w:ind w:firstLine="1440"/>
        <w:contextualSpacing/>
        <w:rPr>
          <w:sz w:val="26"/>
          <w:szCs w:val="26"/>
        </w:rPr>
      </w:pPr>
    </w:p>
    <w:p w14:paraId="4763B24B" w14:textId="15000A1B" w:rsidR="002D7600" w:rsidRPr="001471C8" w:rsidRDefault="005B5281" w:rsidP="00217B05">
      <w:pPr>
        <w:widowControl/>
        <w:spacing w:line="360" w:lineRule="auto"/>
        <w:ind w:firstLine="1440"/>
        <w:contextualSpacing/>
        <w:rPr>
          <w:sz w:val="26"/>
          <w:szCs w:val="26"/>
        </w:rPr>
      </w:pPr>
      <w:r w:rsidRPr="001471C8">
        <w:rPr>
          <w:sz w:val="26"/>
          <w:szCs w:val="26"/>
        </w:rPr>
        <w:t xml:space="preserve">CenturyLink also noted that prior to its </w:t>
      </w:r>
      <w:r w:rsidR="004B2C31" w:rsidRPr="001471C8">
        <w:rPr>
          <w:sz w:val="26"/>
          <w:szCs w:val="26"/>
        </w:rPr>
        <w:t>2018 and 2019 PSI</w:t>
      </w:r>
      <w:r w:rsidR="007F242F">
        <w:rPr>
          <w:sz w:val="26"/>
          <w:szCs w:val="26"/>
        </w:rPr>
        <w:t>/SPI</w:t>
      </w:r>
      <w:r w:rsidR="004B2C31" w:rsidRPr="001471C8">
        <w:rPr>
          <w:sz w:val="26"/>
          <w:szCs w:val="26"/>
        </w:rPr>
        <w:t xml:space="preserve"> Filings, the Company’s cumulative bank of allowed increases totaled $9,633,691.  CenturyLink continued that because the Joint Petitioners have agreed that </w:t>
      </w:r>
      <w:r w:rsidR="00D90485" w:rsidRPr="001471C8">
        <w:rPr>
          <w:sz w:val="26"/>
          <w:szCs w:val="26"/>
        </w:rPr>
        <w:t>the Company</w:t>
      </w:r>
      <w:r w:rsidR="004B2C31" w:rsidRPr="001471C8">
        <w:rPr>
          <w:sz w:val="26"/>
          <w:szCs w:val="26"/>
        </w:rPr>
        <w:t xml:space="preserve"> will eliminate from its cumulative bank the $473,890 </w:t>
      </w:r>
      <w:r w:rsidR="00660713">
        <w:rPr>
          <w:sz w:val="26"/>
          <w:szCs w:val="26"/>
        </w:rPr>
        <w:t xml:space="preserve">revenue increase allowed </w:t>
      </w:r>
      <w:r w:rsidR="00577A31">
        <w:rPr>
          <w:sz w:val="26"/>
          <w:szCs w:val="26"/>
        </w:rPr>
        <w:t>under</w:t>
      </w:r>
      <w:r w:rsidR="00660713">
        <w:rPr>
          <w:sz w:val="26"/>
          <w:szCs w:val="26"/>
        </w:rPr>
        <w:t xml:space="preserve"> its 2018 PSI/SPI Filing</w:t>
      </w:r>
      <w:r w:rsidR="004B2C31" w:rsidRPr="001471C8">
        <w:rPr>
          <w:sz w:val="26"/>
          <w:szCs w:val="26"/>
        </w:rPr>
        <w:t xml:space="preserve"> and the $438,621 </w:t>
      </w:r>
      <w:r w:rsidR="00660713">
        <w:rPr>
          <w:sz w:val="26"/>
          <w:szCs w:val="26"/>
        </w:rPr>
        <w:t>revenue increase allowed under its 2019</w:t>
      </w:r>
      <w:r w:rsidR="005A12B6">
        <w:rPr>
          <w:sz w:val="26"/>
          <w:szCs w:val="26"/>
        </w:rPr>
        <w:t xml:space="preserve"> PSI/SPI Filing</w:t>
      </w:r>
      <w:r w:rsidR="004B2C31" w:rsidRPr="001471C8">
        <w:rPr>
          <w:sz w:val="26"/>
          <w:szCs w:val="26"/>
        </w:rPr>
        <w:t xml:space="preserve">, CenturyLink's ratepayers will benefit because the Company will not be able </w:t>
      </w:r>
      <w:r w:rsidR="005A12B6">
        <w:rPr>
          <w:sz w:val="26"/>
          <w:szCs w:val="26"/>
        </w:rPr>
        <w:t>to use these revenue</w:t>
      </w:r>
      <w:r w:rsidR="004B2C31" w:rsidRPr="001471C8">
        <w:rPr>
          <w:sz w:val="26"/>
          <w:szCs w:val="26"/>
        </w:rPr>
        <w:t>s</w:t>
      </w:r>
      <w:r w:rsidR="005A12B6">
        <w:rPr>
          <w:sz w:val="26"/>
          <w:szCs w:val="26"/>
        </w:rPr>
        <w:t xml:space="preserve"> to increase rates in the future</w:t>
      </w:r>
      <w:r w:rsidR="004B2C31" w:rsidRPr="001471C8">
        <w:rPr>
          <w:sz w:val="26"/>
          <w:szCs w:val="26"/>
        </w:rPr>
        <w:t xml:space="preserve">. </w:t>
      </w:r>
      <w:r w:rsidRPr="001471C8">
        <w:rPr>
          <w:sz w:val="26"/>
          <w:szCs w:val="26"/>
        </w:rPr>
        <w:t xml:space="preserve"> </w:t>
      </w:r>
      <w:r w:rsidR="00DC6D1D" w:rsidRPr="001471C8">
        <w:rPr>
          <w:sz w:val="26"/>
          <w:szCs w:val="26"/>
        </w:rPr>
        <w:t xml:space="preserve">CenturyLink </w:t>
      </w:r>
      <w:r w:rsidR="003F70DB">
        <w:rPr>
          <w:sz w:val="26"/>
          <w:szCs w:val="26"/>
        </w:rPr>
        <w:t>added</w:t>
      </w:r>
      <w:r w:rsidR="00DC6D1D" w:rsidRPr="001471C8">
        <w:rPr>
          <w:sz w:val="26"/>
          <w:szCs w:val="26"/>
        </w:rPr>
        <w:t xml:space="preserve"> that it agreed under the Settl</w:t>
      </w:r>
      <w:r w:rsidR="00BB3E88" w:rsidRPr="001471C8">
        <w:rPr>
          <w:sz w:val="26"/>
          <w:szCs w:val="26"/>
        </w:rPr>
        <w:t>e</w:t>
      </w:r>
      <w:r w:rsidR="00DC6D1D" w:rsidRPr="001471C8">
        <w:rPr>
          <w:sz w:val="26"/>
          <w:szCs w:val="26"/>
        </w:rPr>
        <w:t>ment</w:t>
      </w:r>
      <w:r w:rsidR="00722A3D" w:rsidRPr="001471C8">
        <w:rPr>
          <w:sz w:val="26"/>
          <w:szCs w:val="26"/>
        </w:rPr>
        <w:t xml:space="preserve"> not to increase </w:t>
      </w:r>
      <w:r w:rsidR="00307A2D">
        <w:rPr>
          <w:sz w:val="26"/>
          <w:szCs w:val="26"/>
        </w:rPr>
        <w:t>its</w:t>
      </w:r>
      <w:r w:rsidR="00722A3D" w:rsidRPr="001471C8">
        <w:rPr>
          <w:sz w:val="26"/>
          <w:szCs w:val="26"/>
        </w:rPr>
        <w:t xml:space="preserve"> cumulative bank by the maximum allowed noncompetitive revenue increase from </w:t>
      </w:r>
      <w:r w:rsidR="00BB3E88" w:rsidRPr="001471C8">
        <w:rPr>
          <w:sz w:val="26"/>
          <w:szCs w:val="26"/>
        </w:rPr>
        <w:t>its then upcoming</w:t>
      </w:r>
      <w:r w:rsidR="00722A3D" w:rsidRPr="001471C8">
        <w:rPr>
          <w:sz w:val="26"/>
          <w:szCs w:val="26"/>
        </w:rPr>
        <w:t xml:space="preserve"> 2020 PS</w:t>
      </w:r>
      <w:r w:rsidR="00BB3E88" w:rsidRPr="001471C8">
        <w:rPr>
          <w:sz w:val="26"/>
          <w:szCs w:val="26"/>
        </w:rPr>
        <w:t>I</w:t>
      </w:r>
      <w:r w:rsidR="00E41338">
        <w:rPr>
          <w:sz w:val="26"/>
          <w:szCs w:val="26"/>
        </w:rPr>
        <w:t>/SPI</w:t>
      </w:r>
      <w:r w:rsidR="00722A3D" w:rsidRPr="001471C8">
        <w:rPr>
          <w:sz w:val="26"/>
          <w:szCs w:val="26"/>
        </w:rPr>
        <w:t xml:space="preserve"> Filing, an amount which i</w:t>
      </w:r>
      <w:r w:rsidR="00BB3E88" w:rsidRPr="001471C8">
        <w:rPr>
          <w:sz w:val="26"/>
          <w:szCs w:val="26"/>
        </w:rPr>
        <w:t>t</w:t>
      </w:r>
      <w:r w:rsidR="00722A3D" w:rsidRPr="001471C8">
        <w:rPr>
          <w:sz w:val="26"/>
          <w:szCs w:val="26"/>
        </w:rPr>
        <w:t xml:space="preserve"> estimated to range from $425,000 to $475,000. </w:t>
      </w:r>
      <w:r w:rsidR="00BB3E88" w:rsidRPr="001471C8">
        <w:rPr>
          <w:sz w:val="26"/>
          <w:szCs w:val="26"/>
        </w:rPr>
        <w:t xml:space="preserve"> CenturyLink explained that, i</w:t>
      </w:r>
      <w:r w:rsidR="00722A3D" w:rsidRPr="001471C8">
        <w:rPr>
          <w:sz w:val="26"/>
          <w:szCs w:val="26"/>
        </w:rPr>
        <w:t xml:space="preserve">n total, the value associated with </w:t>
      </w:r>
      <w:r w:rsidR="00E6161B">
        <w:rPr>
          <w:sz w:val="26"/>
          <w:szCs w:val="26"/>
        </w:rPr>
        <w:t>eliminating these banked amounts</w:t>
      </w:r>
      <w:r w:rsidR="00722A3D" w:rsidRPr="001471C8">
        <w:rPr>
          <w:sz w:val="26"/>
          <w:szCs w:val="26"/>
        </w:rPr>
        <w:t xml:space="preserve"> ranges from an estimated $1.337 </w:t>
      </w:r>
      <w:r w:rsidR="004F3D38">
        <w:rPr>
          <w:sz w:val="26"/>
          <w:szCs w:val="26"/>
        </w:rPr>
        <w:t>Million</w:t>
      </w:r>
      <w:r w:rsidR="00722A3D" w:rsidRPr="001471C8">
        <w:rPr>
          <w:sz w:val="26"/>
          <w:szCs w:val="26"/>
        </w:rPr>
        <w:t xml:space="preserve"> to $1.387 </w:t>
      </w:r>
      <w:r w:rsidR="004F3D38">
        <w:rPr>
          <w:sz w:val="26"/>
          <w:szCs w:val="26"/>
        </w:rPr>
        <w:t>Million</w:t>
      </w:r>
      <w:r w:rsidR="00681AA3" w:rsidRPr="001471C8">
        <w:rPr>
          <w:sz w:val="26"/>
          <w:szCs w:val="26"/>
        </w:rPr>
        <w:t xml:space="preserve">, which it </w:t>
      </w:r>
      <w:r w:rsidR="00CF43AD" w:rsidRPr="001471C8">
        <w:rPr>
          <w:sz w:val="26"/>
          <w:szCs w:val="26"/>
        </w:rPr>
        <w:t>has agreed to forgo from seeking rate recover</w:t>
      </w:r>
      <w:r w:rsidR="00E079B2">
        <w:rPr>
          <w:sz w:val="26"/>
          <w:szCs w:val="26"/>
        </w:rPr>
        <w:t>y</w:t>
      </w:r>
      <w:r w:rsidR="00CF43AD" w:rsidRPr="001471C8">
        <w:rPr>
          <w:sz w:val="26"/>
          <w:szCs w:val="26"/>
        </w:rPr>
        <w:t xml:space="preserve"> in the future</w:t>
      </w:r>
      <w:r w:rsidR="00722A3D" w:rsidRPr="001471C8">
        <w:rPr>
          <w:sz w:val="26"/>
          <w:szCs w:val="26"/>
        </w:rPr>
        <w:t xml:space="preserve">. </w:t>
      </w:r>
      <w:r w:rsidR="00D5635D" w:rsidRPr="001471C8">
        <w:rPr>
          <w:sz w:val="26"/>
          <w:szCs w:val="26"/>
        </w:rPr>
        <w:t xml:space="preserve"> </w:t>
      </w:r>
      <w:r w:rsidR="00CF43AD" w:rsidRPr="001471C8">
        <w:rPr>
          <w:sz w:val="26"/>
          <w:szCs w:val="26"/>
        </w:rPr>
        <w:t xml:space="preserve">CenturyLink further noted that it </w:t>
      </w:r>
      <w:r w:rsidR="00722A3D" w:rsidRPr="001471C8">
        <w:rPr>
          <w:sz w:val="26"/>
          <w:szCs w:val="26"/>
        </w:rPr>
        <w:t xml:space="preserve">has agreed not to increase any </w:t>
      </w:r>
      <w:r w:rsidR="00FF6542">
        <w:rPr>
          <w:sz w:val="26"/>
          <w:szCs w:val="26"/>
        </w:rPr>
        <w:t xml:space="preserve">rates for its </w:t>
      </w:r>
      <w:r w:rsidR="00722A3D" w:rsidRPr="001471C8">
        <w:rPr>
          <w:sz w:val="26"/>
          <w:szCs w:val="26"/>
        </w:rPr>
        <w:t xml:space="preserve">noncompetitive </w:t>
      </w:r>
      <w:r w:rsidR="00FF6542">
        <w:rPr>
          <w:sz w:val="26"/>
          <w:szCs w:val="26"/>
        </w:rPr>
        <w:t>servic</w:t>
      </w:r>
      <w:r w:rsidR="00722A3D" w:rsidRPr="001471C8">
        <w:rPr>
          <w:sz w:val="26"/>
          <w:szCs w:val="26"/>
        </w:rPr>
        <w:t>es as part of its annual 2020 PS</w:t>
      </w:r>
      <w:r w:rsidR="00CF43AD" w:rsidRPr="001471C8">
        <w:rPr>
          <w:sz w:val="26"/>
          <w:szCs w:val="26"/>
        </w:rPr>
        <w:t>I</w:t>
      </w:r>
      <w:r w:rsidR="00307A2D">
        <w:rPr>
          <w:sz w:val="26"/>
          <w:szCs w:val="26"/>
        </w:rPr>
        <w:t>/SPI</w:t>
      </w:r>
      <w:r w:rsidR="00722A3D" w:rsidRPr="001471C8">
        <w:rPr>
          <w:sz w:val="26"/>
          <w:szCs w:val="26"/>
        </w:rPr>
        <w:t xml:space="preserve"> Filing</w:t>
      </w:r>
      <w:r w:rsidR="00CF43AD" w:rsidRPr="001471C8">
        <w:rPr>
          <w:sz w:val="26"/>
          <w:szCs w:val="26"/>
        </w:rPr>
        <w:t xml:space="preserve">, resulting in rate </w:t>
      </w:r>
      <w:r w:rsidR="007D32B6" w:rsidRPr="001471C8">
        <w:rPr>
          <w:sz w:val="26"/>
          <w:szCs w:val="26"/>
        </w:rPr>
        <w:t>stability for its customers through at least mid-December 2021 (i.e. the effective date of CenturyLink’s 2021 PSI Filing</w:t>
      </w:r>
      <w:r w:rsidR="00FB60EB">
        <w:rPr>
          <w:rStyle w:val="FootnoteReference"/>
          <w:sz w:val="26"/>
          <w:szCs w:val="26"/>
        </w:rPr>
        <w:footnoteReference w:id="12"/>
      </w:r>
      <w:r w:rsidR="007D32B6" w:rsidRPr="001471C8">
        <w:rPr>
          <w:sz w:val="26"/>
          <w:szCs w:val="26"/>
        </w:rPr>
        <w:t xml:space="preserve">). </w:t>
      </w:r>
      <w:r w:rsidR="00722A3D" w:rsidRPr="001471C8">
        <w:rPr>
          <w:sz w:val="26"/>
          <w:szCs w:val="26"/>
        </w:rPr>
        <w:t xml:space="preserve"> </w:t>
      </w:r>
      <w:r w:rsidR="002D7600" w:rsidRPr="001471C8">
        <w:rPr>
          <w:sz w:val="26"/>
          <w:szCs w:val="26"/>
        </w:rPr>
        <w:t xml:space="preserve">CenturyLink Statement in Support at 3-4.  </w:t>
      </w:r>
    </w:p>
    <w:p w14:paraId="340F9605" w14:textId="77777777" w:rsidR="00BC0F95" w:rsidRPr="001471C8" w:rsidRDefault="00BC0F95" w:rsidP="00217B05">
      <w:pPr>
        <w:widowControl/>
        <w:spacing w:line="360" w:lineRule="auto"/>
        <w:ind w:firstLine="1440"/>
        <w:contextualSpacing/>
        <w:rPr>
          <w:sz w:val="26"/>
          <w:szCs w:val="26"/>
        </w:rPr>
      </w:pPr>
    </w:p>
    <w:p w14:paraId="3EFD3D45" w14:textId="66B31CB3" w:rsidR="00411440" w:rsidRPr="001471C8" w:rsidRDefault="005D322F" w:rsidP="00217B05">
      <w:pPr>
        <w:widowControl/>
        <w:spacing w:line="360" w:lineRule="auto"/>
        <w:ind w:firstLine="1440"/>
        <w:contextualSpacing/>
        <w:rPr>
          <w:rStyle w:val="Hyperlink"/>
          <w:color w:val="auto"/>
          <w:sz w:val="26"/>
          <w:szCs w:val="26"/>
          <w:u w:val="none"/>
        </w:rPr>
      </w:pPr>
      <w:r w:rsidRPr="001471C8">
        <w:rPr>
          <w:sz w:val="26"/>
          <w:szCs w:val="26"/>
        </w:rPr>
        <w:t xml:space="preserve">CenturyLink submitted that </w:t>
      </w:r>
      <w:r w:rsidR="00C50898" w:rsidRPr="001471C8">
        <w:rPr>
          <w:sz w:val="26"/>
          <w:szCs w:val="26"/>
        </w:rPr>
        <w:t>o</w:t>
      </w:r>
      <w:r w:rsidR="00ED0CF5" w:rsidRPr="001471C8">
        <w:rPr>
          <w:sz w:val="26"/>
          <w:szCs w:val="26"/>
        </w:rPr>
        <w:t xml:space="preserve">nly one other </w:t>
      </w:r>
      <w:r w:rsidR="00B83A07">
        <w:rPr>
          <w:sz w:val="26"/>
          <w:szCs w:val="26"/>
        </w:rPr>
        <w:t>S</w:t>
      </w:r>
      <w:r w:rsidR="00ED0CF5" w:rsidRPr="001471C8">
        <w:rPr>
          <w:sz w:val="26"/>
          <w:szCs w:val="26"/>
        </w:rPr>
        <w:t xml:space="preserve">tate has sought adjustments to any of CenturyLink's rates due to the potential impact of the </w:t>
      </w:r>
      <w:r w:rsidR="005D070B">
        <w:rPr>
          <w:sz w:val="26"/>
          <w:szCs w:val="26"/>
        </w:rPr>
        <w:t xml:space="preserve">TCJA.  According to CenturyLink, </w:t>
      </w:r>
      <w:r w:rsidR="00C50898" w:rsidRPr="001471C8">
        <w:rPr>
          <w:sz w:val="26"/>
          <w:szCs w:val="26"/>
        </w:rPr>
        <w:t>t</w:t>
      </w:r>
      <w:r w:rsidR="00ED0CF5" w:rsidRPr="001471C8">
        <w:rPr>
          <w:sz w:val="26"/>
          <w:szCs w:val="26"/>
        </w:rPr>
        <w:t xml:space="preserve">he remainder </w:t>
      </w:r>
      <w:r w:rsidR="005D070B">
        <w:rPr>
          <w:sz w:val="26"/>
          <w:szCs w:val="26"/>
        </w:rPr>
        <w:t xml:space="preserve">of </w:t>
      </w:r>
      <w:r w:rsidR="00E7008C">
        <w:rPr>
          <w:sz w:val="26"/>
          <w:szCs w:val="26"/>
        </w:rPr>
        <w:t>the S</w:t>
      </w:r>
      <w:r w:rsidR="005D070B">
        <w:rPr>
          <w:sz w:val="26"/>
          <w:szCs w:val="26"/>
        </w:rPr>
        <w:t xml:space="preserve">tates in which it operates as an ILEC </w:t>
      </w:r>
      <w:r w:rsidR="00ED0CF5" w:rsidRPr="001471C8">
        <w:rPr>
          <w:sz w:val="26"/>
          <w:szCs w:val="26"/>
        </w:rPr>
        <w:t xml:space="preserve">have found </w:t>
      </w:r>
      <w:r w:rsidR="00C50898" w:rsidRPr="001471C8">
        <w:rPr>
          <w:sz w:val="26"/>
          <w:szCs w:val="26"/>
        </w:rPr>
        <w:t xml:space="preserve">either </w:t>
      </w:r>
      <w:r w:rsidR="00ED0CF5" w:rsidRPr="001471C8">
        <w:rPr>
          <w:sz w:val="26"/>
          <w:szCs w:val="26"/>
        </w:rPr>
        <w:t>that it was not appropriate to seek any reductions from telecommunications carriers like CenturyLink</w:t>
      </w:r>
      <w:r w:rsidR="00E7008C">
        <w:rPr>
          <w:sz w:val="26"/>
          <w:szCs w:val="26"/>
        </w:rPr>
        <w:t xml:space="preserve"> as a result of the TCJA’s passage</w:t>
      </w:r>
      <w:r w:rsidR="00ED0CF5" w:rsidRPr="001471C8">
        <w:rPr>
          <w:sz w:val="26"/>
          <w:szCs w:val="26"/>
        </w:rPr>
        <w:t xml:space="preserve"> or simply did not pursue the issue at all. </w:t>
      </w:r>
      <w:r w:rsidR="00C50898" w:rsidRPr="001471C8">
        <w:rPr>
          <w:sz w:val="26"/>
          <w:szCs w:val="26"/>
        </w:rPr>
        <w:t xml:space="preserve"> </w:t>
      </w:r>
      <w:r w:rsidR="002D7600" w:rsidRPr="001471C8">
        <w:rPr>
          <w:rStyle w:val="Hyperlink"/>
          <w:color w:val="auto"/>
          <w:sz w:val="26"/>
          <w:szCs w:val="26"/>
          <w:u w:val="none"/>
        </w:rPr>
        <w:t xml:space="preserve">Therefore, CenturyLink requested that the Commission approve the Settlement in its entirety.  </w:t>
      </w:r>
      <w:r w:rsidR="00C50898" w:rsidRPr="001471C8">
        <w:rPr>
          <w:sz w:val="26"/>
          <w:szCs w:val="26"/>
        </w:rPr>
        <w:t xml:space="preserve">CenturyLink Statement in Support at </w:t>
      </w:r>
      <w:r w:rsidR="002D7600" w:rsidRPr="001471C8">
        <w:rPr>
          <w:sz w:val="26"/>
          <w:szCs w:val="26"/>
        </w:rPr>
        <w:t>4-5.</w:t>
      </w:r>
    </w:p>
    <w:p w14:paraId="64B75946" w14:textId="68E8CFEF" w:rsidR="00640664" w:rsidRPr="001471C8" w:rsidRDefault="00640664" w:rsidP="00217B05">
      <w:pPr>
        <w:widowControl/>
        <w:spacing w:line="360" w:lineRule="auto"/>
        <w:ind w:firstLine="1440"/>
        <w:contextualSpacing/>
        <w:rPr>
          <w:rStyle w:val="Hyperlink"/>
          <w:color w:val="auto"/>
          <w:sz w:val="26"/>
          <w:szCs w:val="26"/>
          <w:u w:val="none"/>
        </w:rPr>
      </w:pPr>
    </w:p>
    <w:p w14:paraId="3928FA39" w14:textId="2EC26335" w:rsidR="00F2493E" w:rsidRDefault="00640664" w:rsidP="00217B05">
      <w:pPr>
        <w:widowControl/>
        <w:spacing w:line="360" w:lineRule="auto"/>
        <w:ind w:firstLine="1440"/>
        <w:contextualSpacing/>
        <w:rPr>
          <w:sz w:val="26"/>
          <w:szCs w:val="26"/>
        </w:rPr>
      </w:pPr>
      <w:r w:rsidRPr="001471C8">
        <w:rPr>
          <w:rStyle w:val="Hyperlink"/>
          <w:color w:val="auto"/>
          <w:sz w:val="26"/>
          <w:szCs w:val="26"/>
          <w:u w:val="none"/>
        </w:rPr>
        <w:t xml:space="preserve">In </w:t>
      </w:r>
      <w:r w:rsidR="009D2E97" w:rsidRPr="001471C8">
        <w:rPr>
          <w:rStyle w:val="Hyperlink"/>
          <w:color w:val="auto"/>
          <w:sz w:val="26"/>
          <w:szCs w:val="26"/>
          <w:u w:val="none"/>
        </w:rPr>
        <w:t xml:space="preserve">his Verified Witness Statement, </w:t>
      </w:r>
      <w:r w:rsidR="007374F6" w:rsidRPr="001471C8">
        <w:rPr>
          <w:rStyle w:val="Hyperlink"/>
          <w:color w:val="auto"/>
          <w:sz w:val="26"/>
          <w:szCs w:val="26"/>
          <w:u w:val="none"/>
        </w:rPr>
        <w:t xml:space="preserve">CenturyLink’s witness </w:t>
      </w:r>
      <w:r w:rsidR="009D2E97" w:rsidRPr="001471C8">
        <w:rPr>
          <w:rStyle w:val="Hyperlink"/>
          <w:color w:val="auto"/>
          <w:sz w:val="26"/>
          <w:szCs w:val="26"/>
          <w:u w:val="none"/>
        </w:rPr>
        <w:t>Mr. H</w:t>
      </w:r>
      <w:r w:rsidR="00BF5641" w:rsidRPr="001471C8">
        <w:rPr>
          <w:rStyle w:val="Hyperlink"/>
          <w:color w:val="auto"/>
          <w:sz w:val="26"/>
          <w:szCs w:val="26"/>
          <w:u w:val="none"/>
        </w:rPr>
        <w:t>arp</w:t>
      </w:r>
      <w:r w:rsidR="009D2E97" w:rsidRPr="001471C8">
        <w:rPr>
          <w:rStyle w:val="Hyperlink"/>
          <w:color w:val="auto"/>
          <w:sz w:val="26"/>
          <w:szCs w:val="26"/>
          <w:u w:val="none"/>
        </w:rPr>
        <w:t xml:space="preserve">er </w:t>
      </w:r>
      <w:r w:rsidR="00F156A9">
        <w:rPr>
          <w:rStyle w:val="Hyperlink"/>
          <w:color w:val="auto"/>
          <w:sz w:val="26"/>
          <w:szCs w:val="26"/>
          <w:u w:val="none"/>
        </w:rPr>
        <w:t xml:space="preserve">submitted that the Settlement is consistent with the </w:t>
      </w:r>
      <w:r w:rsidR="00F156A9">
        <w:rPr>
          <w:rStyle w:val="Hyperlink"/>
          <w:i/>
          <w:iCs/>
          <w:color w:val="auto"/>
          <w:sz w:val="26"/>
          <w:szCs w:val="26"/>
          <w:u w:val="none"/>
        </w:rPr>
        <w:t xml:space="preserve">October 2018 Order </w:t>
      </w:r>
      <w:r w:rsidR="00F947BF" w:rsidRPr="00F947BF">
        <w:rPr>
          <w:sz w:val="26"/>
          <w:szCs w:val="26"/>
        </w:rPr>
        <w:t xml:space="preserve">regarding whether the </w:t>
      </w:r>
      <w:r w:rsidR="00E33E71">
        <w:rPr>
          <w:sz w:val="26"/>
          <w:szCs w:val="26"/>
        </w:rPr>
        <w:t>tax savings resulting from the passage of</w:t>
      </w:r>
      <w:r w:rsidR="00F947BF" w:rsidRPr="00F947BF">
        <w:rPr>
          <w:sz w:val="26"/>
          <w:szCs w:val="26"/>
        </w:rPr>
        <w:t xml:space="preserve"> the TCJA </w:t>
      </w:r>
      <w:r w:rsidR="0023525E">
        <w:rPr>
          <w:sz w:val="26"/>
          <w:szCs w:val="26"/>
        </w:rPr>
        <w:t>is an exogenous event</w:t>
      </w:r>
      <w:r w:rsidR="00F947BF" w:rsidRPr="00F947BF">
        <w:rPr>
          <w:sz w:val="26"/>
          <w:szCs w:val="26"/>
        </w:rPr>
        <w:t xml:space="preserve"> pursuant</w:t>
      </w:r>
      <w:r w:rsidR="00E33E71">
        <w:rPr>
          <w:sz w:val="26"/>
          <w:szCs w:val="26"/>
        </w:rPr>
        <w:t xml:space="preserve"> to</w:t>
      </w:r>
      <w:r w:rsidR="00F947BF" w:rsidRPr="00F947BF">
        <w:rPr>
          <w:sz w:val="26"/>
          <w:szCs w:val="26"/>
        </w:rPr>
        <w:t xml:space="preserve"> </w:t>
      </w:r>
      <w:r w:rsidR="00F947BF">
        <w:rPr>
          <w:sz w:val="26"/>
          <w:szCs w:val="26"/>
        </w:rPr>
        <w:t>the</w:t>
      </w:r>
      <w:r w:rsidR="00F947BF" w:rsidRPr="00F947BF">
        <w:rPr>
          <w:sz w:val="26"/>
          <w:szCs w:val="26"/>
        </w:rPr>
        <w:t xml:space="preserve"> ILECs’ respective Chapter 30 </w:t>
      </w:r>
      <w:r w:rsidR="00F947BF">
        <w:rPr>
          <w:sz w:val="26"/>
          <w:szCs w:val="26"/>
        </w:rPr>
        <w:t>P</w:t>
      </w:r>
      <w:r w:rsidR="00F947BF" w:rsidRPr="00F947BF">
        <w:rPr>
          <w:sz w:val="26"/>
          <w:szCs w:val="26"/>
        </w:rPr>
        <w:t>lans</w:t>
      </w:r>
      <w:r w:rsidR="00F947BF">
        <w:rPr>
          <w:sz w:val="26"/>
          <w:szCs w:val="26"/>
        </w:rPr>
        <w:t xml:space="preserve">.  Mr. Harper provided </w:t>
      </w:r>
      <w:r w:rsidR="00444046">
        <w:rPr>
          <w:sz w:val="26"/>
          <w:szCs w:val="26"/>
        </w:rPr>
        <w:t xml:space="preserve">testimony </w:t>
      </w:r>
      <w:r w:rsidR="00917E75">
        <w:rPr>
          <w:sz w:val="26"/>
          <w:szCs w:val="26"/>
        </w:rPr>
        <w:t>explaining</w:t>
      </w:r>
      <w:r w:rsidR="00444046">
        <w:rPr>
          <w:sz w:val="26"/>
          <w:szCs w:val="26"/>
        </w:rPr>
        <w:t xml:space="preserve"> CenturyLink’s position that it is </w:t>
      </w:r>
      <w:r w:rsidR="00C62F0E">
        <w:rPr>
          <w:sz w:val="26"/>
          <w:szCs w:val="26"/>
        </w:rPr>
        <w:t xml:space="preserve">infeasible for the Company to quantify an impact from the TCJA and that it is also infeasible </w:t>
      </w:r>
      <w:r w:rsidR="006A0D64">
        <w:rPr>
          <w:sz w:val="26"/>
          <w:szCs w:val="26"/>
        </w:rPr>
        <w:t xml:space="preserve">for the Company to implement the exogenous event provisions of its Chapter 30 Plan.  </w:t>
      </w:r>
      <w:r w:rsidR="000C01E4">
        <w:rPr>
          <w:sz w:val="26"/>
          <w:szCs w:val="26"/>
        </w:rPr>
        <w:t xml:space="preserve">Mr. </w:t>
      </w:r>
      <w:r w:rsidR="00926360">
        <w:rPr>
          <w:sz w:val="26"/>
          <w:szCs w:val="26"/>
        </w:rPr>
        <w:t xml:space="preserve">Harper argued that analyzing the potential impacts of the TCJA specifically for </w:t>
      </w:r>
      <w:r w:rsidR="00BD2629">
        <w:rPr>
          <w:sz w:val="26"/>
          <w:szCs w:val="26"/>
        </w:rPr>
        <w:t>Pennsylvania</w:t>
      </w:r>
      <w:r w:rsidR="00926360">
        <w:rPr>
          <w:sz w:val="26"/>
          <w:szCs w:val="26"/>
        </w:rPr>
        <w:t xml:space="preserve"> and for the Company’s </w:t>
      </w:r>
      <w:r w:rsidR="00BD2629" w:rsidRPr="00BD2629">
        <w:rPr>
          <w:sz w:val="26"/>
          <w:szCs w:val="26"/>
        </w:rPr>
        <w:t xml:space="preserve">intrastate services that are subject to the </w:t>
      </w:r>
      <w:r w:rsidR="00BD2629">
        <w:rPr>
          <w:sz w:val="26"/>
          <w:szCs w:val="26"/>
        </w:rPr>
        <w:t>Company’s Price Stability Mechanism (</w:t>
      </w:r>
      <w:r w:rsidR="00BD2629" w:rsidRPr="00BD2629">
        <w:rPr>
          <w:sz w:val="26"/>
          <w:szCs w:val="26"/>
        </w:rPr>
        <w:t>PSM</w:t>
      </w:r>
      <w:r w:rsidR="00BD2629">
        <w:rPr>
          <w:sz w:val="26"/>
          <w:szCs w:val="26"/>
        </w:rPr>
        <w:t>)</w:t>
      </w:r>
      <w:r w:rsidR="00B97D66">
        <w:rPr>
          <w:sz w:val="26"/>
          <w:szCs w:val="26"/>
        </w:rPr>
        <w:t xml:space="preserve"> in its Chapter 30 Plan</w:t>
      </w:r>
      <w:r w:rsidR="00BD2629" w:rsidRPr="00BD2629">
        <w:rPr>
          <w:sz w:val="26"/>
          <w:szCs w:val="26"/>
        </w:rPr>
        <w:t xml:space="preserve"> would be exceptionally complex</w:t>
      </w:r>
      <w:r w:rsidR="00B97D66">
        <w:rPr>
          <w:sz w:val="26"/>
          <w:szCs w:val="26"/>
        </w:rPr>
        <w:t xml:space="preserve"> and would </w:t>
      </w:r>
      <w:r w:rsidR="00BD2629" w:rsidRPr="00BD2629">
        <w:rPr>
          <w:sz w:val="26"/>
          <w:szCs w:val="26"/>
        </w:rPr>
        <w:t>requi</w:t>
      </w:r>
      <w:r w:rsidR="00B97D66">
        <w:rPr>
          <w:sz w:val="26"/>
          <w:szCs w:val="26"/>
        </w:rPr>
        <w:t>re</w:t>
      </w:r>
      <w:r w:rsidR="00BD2629" w:rsidRPr="00BD2629">
        <w:rPr>
          <w:sz w:val="26"/>
          <w:szCs w:val="26"/>
        </w:rPr>
        <w:t xml:space="preserve"> a number of assumptions </w:t>
      </w:r>
      <w:r w:rsidR="006A1B01">
        <w:rPr>
          <w:sz w:val="26"/>
          <w:szCs w:val="26"/>
        </w:rPr>
        <w:t xml:space="preserve">to be made </w:t>
      </w:r>
      <w:r w:rsidR="00BD2629" w:rsidRPr="00BD2629">
        <w:rPr>
          <w:sz w:val="26"/>
          <w:szCs w:val="26"/>
        </w:rPr>
        <w:t xml:space="preserve">and </w:t>
      </w:r>
      <w:r w:rsidR="006A1B01">
        <w:rPr>
          <w:sz w:val="26"/>
          <w:szCs w:val="26"/>
        </w:rPr>
        <w:t xml:space="preserve">a number of </w:t>
      </w:r>
      <w:r w:rsidR="00BD2629" w:rsidRPr="00BD2629">
        <w:rPr>
          <w:sz w:val="26"/>
          <w:szCs w:val="26"/>
        </w:rPr>
        <w:t>parameters to be identified and agreed upon</w:t>
      </w:r>
      <w:r w:rsidR="00E33E71">
        <w:rPr>
          <w:sz w:val="26"/>
          <w:szCs w:val="26"/>
        </w:rPr>
        <w:t>.  According to Mr. Harper, this would</w:t>
      </w:r>
      <w:r w:rsidR="00BD2629" w:rsidRPr="00BD2629">
        <w:rPr>
          <w:sz w:val="26"/>
          <w:szCs w:val="26"/>
        </w:rPr>
        <w:t xml:space="preserve"> ultimately lead</w:t>
      </w:r>
      <w:r w:rsidR="00E33E71">
        <w:rPr>
          <w:sz w:val="26"/>
          <w:szCs w:val="26"/>
        </w:rPr>
        <w:t xml:space="preserve"> to</w:t>
      </w:r>
      <w:r w:rsidR="00BD2629" w:rsidRPr="00BD2629">
        <w:rPr>
          <w:sz w:val="26"/>
          <w:szCs w:val="26"/>
        </w:rPr>
        <w:t xml:space="preserve"> an unneeded exercise</w:t>
      </w:r>
      <w:r w:rsidR="00B97D66">
        <w:rPr>
          <w:sz w:val="26"/>
          <w:szCs w:val="26"/>
        </w:rPr>
        <w:t xml:space="preserve">.  </w:t>
      </w:r>
      <w:r w:rsidR="00F2493E">
        <w:rPr>
          <w:sz w:val="26"/>
          <w:szCs w:val="26"/>
        </w:rPr>
        <w:t>CenturyLink Verified Witness Statement at 3-4.</w:t>
      </w:r>
    </w:p>
    <w:p w14:paraId="45A8B41A" w14:textId="77777777" w:rsidR="00F2493E" w:rsidRDefault="00F2493E" w:rsidP="00217B05">
      <w:pPr>
        <w:widowControl/>
        <w:spacing w:line="360" w:lineRule="auto"/>
        <w:ind w:firstLine="1440"/>
        <w:contextualSpacing/>
        <w:rPr>
          <w:sz w:val="26"/>
          <w:szCs w:val="26"/>
        </w:rPr>
      </w:pPr>
    </w:p>
    <w:p w14:paraId="4413BD5D" w14:textId="503F6DE5" w:rsidR="00DD153D" w:rsidRDefault="0027717D"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Mr. Harper </w:t>
      </w:r>
      <w:r w:rsidR="00E33E71">
        <w:rPr>
          <w:rStyle w:val="Hyperlink"/>
          <w:color w:val="auto"/>
          <w:sz w:val="26"/>
          <w:szCs w:val="26"/>
          <w:u w:val="none"/>
        </w:rPr>
        <w:t xml:space="preserve">provided </w:t>
      </w:r>
      <w:r>
        <w:rPr>
          <w:rStyle w:val="Hyperlink"/>
          <w:color w:val="auto"/>
          <w:sz w:val="26"/>
          <w:szCs w:val="26"/>
          <w:u w:val="none"/>
        </w:rPr>
        <w:t>that because CenturyLink is governed under price</w:t>
      </w:r>
      <w:r w:rsidR="006A1B01">
        <w:rPr>
          <w:rStyle w:val="Hyperlink"/>
          <w:color w:val="auto"/>
          <w:sz w:val="26"/>
          <w:szCs w:val="26"/>
          <w:u w:val="none"/>
        </w:rPr>
        <w:t xml:space="preserve"> </w:t>
      </w:r>
      <w:r>
        <w:rPr>
          <w:rStyle w:val="Hyperlink"/>
          <w:color w:val="auto"/>
          <w:sz w:val="26"/>
          <w:szCs w:val="26"/>
          <w:u w:val="none"/>
        </w:rPr>
        <w:t>cap regulation, which is a complete substitute for traditional rate-base</w:t>
      </w:r>
      <w:r w:rsidR="006A1B01">
        <w:rPr>
          <w:rStyle w:val="Hyperlink"/>
          <w:color w:val="auto"/>
          <w:sz w:val="26"/>
          <w:szCs w:val="26"/>
          <w:u w:val="none"/>
        </w:rPr>
        <w:t>/</w:t>
      </w:r>
      <w:r>
        <w:rPr>
          <w:rStyle w:val="Hyperlink"/>
          <w:color w:val="auto"/>
          <w:sz w:val="26"/>
          <w:szCs w:val="26"/>
          <w:u w:val="none"/>
        </w:rPr>
        <w:t>rate of return regulation, the Company does not have a defined rate base</w:t>
      </w:r>
      <w:r w:rsidR="00037334">
        <w:rPr>
          <w:rStyle w:val="Hyperlink"/>
          <w:color w:val="auto"/>
          <w:sz w:val="26"/>
          <w:szCs w:val="26"/>
          <w:u w:val="none"/>
        </w:rPr>
        <w:t xml:space="preserve">.  Further, he noted </w:t>
      </w:r>
      <w:r w:rsidR="00E33E71">
        <w:rPr>
          <w:rStyle w:val="Hyperlink"/>
          <w:color w:val="auto"/>
          <w:sz w:val="26"/>
          <w:szCs w:val="26"/>
          <w:u w:val="none"/>
        </w:rPr>
        <w:t xml:space="preserve">that </w:t>
      </w:r>
      <w:r w:rsidR="00037334">
        <w:rPr>
          <w:rStyle w:val="Hyperlink"/>
          <w:color w:val="auto"/>
          <w:sz w:val="26"/>
          <w:szCs w:val="26"/>
          <w:u w:val="none"/>
        </w:rPr>
        <w:t xml:space="preserve">while traditional utilities have rates that are tied to a recently computed revenue requirement that includes an allowance for taxes, there is no one-to-one connection between a revenue requirement calculation and CenturyLink’s rates.  </w:t>
      </w:r>
      <w:r>
        <w:rPr>
          <w:rStyle w:val="Hyperlink"/>
          <w:color w:val="auto"/>
          <w:sz w:val="26"/>
          <w:szCs w:val="26"/>
          <w:u w:val="none"/>
        </w:rPr>
        <w:t>As such, Mr. Harper submitted that the GDP-PI component of the Company’s P</w:t>
      </w:r>
      <w:r w:rsidR="00820C60">
        <w:rPr>
          <w:rStyle w:val="Hyperlink"/>
          <w:color w:val="auto"/>
          <w:sz w:val="26"/>
          <w:szCs w:val="26"/>
          <w:u w:val="none"/>
        </w:rPr>
        <w:t>SI formula</w:t>
      </w:r>
      <w:r>
        <w:rPr>
          <w:rStyle w:val="Hyperlink"/>
          <w:color w:val="auto"/>
          <w:sz w:val="26"/>
          <w:szCs w:val="26"/>
          <w:u w:val="none"/>
        </w:rPr>
        <w:t xml:space="preserve"> cannot be easily unraveled for one component, </w:t>
      </w:r>
      <w:r w:rsidR="00E33E71">
        <w:rPr>
          <w:rStyle w:val="Hyperlink"/>
          <w:color w:val="auto"/>
          <w:sz w:val="26"/>
          <w:szCs w:val="26"/>
          <w:u w:val="none"/>
        </w:rPr>
        <w:t>such as</w:t>
      </w:r>
      <w:r>
        <w:rPr>
          <w:rStyle w:val="Hyperlink"/>
          <w:color w:val="auto"/>
          <w:sz w:val="26"/>
          <w:szCs w:val="26"/>
          <w:u w:val="none"/>
        </w:rPr>
        <w:t xml:space="preserve"> the TCJA.  In addition</w:t>
      </w:r>
      <w:r w:rsidR="00B97D66">
        <w:rPr>
          <w:sz w:val="26"/>
          <w:szCs w:val="26"/>
        </w:rPr>
        <w:t>, Mr. Harper continued, Ce</w:t>
      </w:r>
      <w:r w:rsidR="00BD2629" w:rsidRPr="00BD2629">
        <w:rPr>
          <w:sz w:val="26"/>
          <w:szCs w:val="26"/>
        </w:rPr>
        <w:t xml:space="preserve">nturyLink did not pay federal income taxes </w:t>
      </w:r>
      <w:r w:rsidR="00DE11BD">
        <w:rPr>
          <w:sz w:val="26"/>
          <w:szCs w:val="26"/>
        </w:rPr>
        <w:t>i</w:t>
      </w:r>
      <w:r w:rsidR="00BD2629" w:rsidRPr="00BD2629">
        <w:rPr>
          <w:sz w:val="26"/>
          <w:szCs w:val="26"/>
        </w:rPr>
        <w:t>n 2018</w:t>
      </w:r>
      <w:r w:rsidR="00E33E71">
        <w:rPr>
          <w:sz w:val="26"/>
          <w:szCs w:val="26"/>
        </w:rPr>
        <w:t>,</w:t>
      </w:r>
      <w:r w:rsidR="00BD2629" w:rsidRPr="00BD2629">
        <w:rPr>
          <w:sz w:val="26"/>
          <w:szCs w:val="26"/>
        </w:rPr>
        <w:t xml:space="preserve"> and will not for several years to come.</w:t>
      </w:r>
      <w:r w:rsidR="00F947BF">
        <w:rPr>
          <w:i/>
          <w:iCs/>
          <w:sz w:val="26"/>
          <w:szCs w:val="26"/>
        </w:rPr>
        <w:t xml:space="preserve"> </w:t>
      </w:r>
      <w:r w:rsidR="00B97D66">
        <w:rPr>
          <w:rStyle w:val="Hyperlink"/>
          <w:color w:val="auto"/>
          <w:sz w:val="26"/>
          <w:szCs w:val="26"/>
          <w:u w:val="none"/>
        </w:rPr>
        <w:t xml:space="preserve"> </w:t>
      </w:r>
      <w:r w:rsidR="00AB6F1F">
        <w:rPr>
          <w:rStyle w:val="Hyperlink"/>
          <w:color w:val="auto"/>
          <w:sz w:val="26"/>
          <w:szCs w:val="26"/>
          <w:u w:val="none"/>
        </w:rPr>
        <w:t>Mr. Harper submitted that</w:t>
      </w:r>
      <w:r w:rsidR="00DE11BD">
        <w:rPr>
          <w:rStyle w:val="Hyperlink"/>
          <w:color w:val="auto"/>
          <w:sz w:val="26"/>
          <w:szCs w:val="26"/>
          <w:u w:val="none"/>
        </w:rPr>
        <w:t xml:space="preserve"> this has, in turn, led to no tax savings for the Company as a result of the passage of the TCJA.  </w:t>
      </w:r>
      <w:r w:rsidR="004C4E6E">
        <w:rPr>
          <w:rStyle w:val="Hyperlink"/>
          <w:color w:val="auto"/>
          <w:sz w:val="26"/>
          <w:szCs w:val="26"/>
          <w:u w:val="none"/>
        </w:rPr>
        <w:t xml:space="preserve">Thus, Mr. Harper claimed that </w:t>
      </w:r>
      <w:r w:rsidR="004C4E6E">
        <w:rPr>
          <w:sz w:val="26"/>
          <w:szCs w:val="26"/>
        </w:rPr>
        <w:t>although</w:t>
      </w:r>
      <w:r w:rsidR="004C4E6E" w:rsidRPr="004C4E6E">
        <w:rPr>
          <w:sz w:val="26"/>
          <w:szCs w:val="26"/>
        </w:rPr>
        <w:t xml:space="preserve"> the TCJA may have mathematically reduced the corporate </w:t>
      </w:r>
      <w:r w:rsidR="00E33E71">
        <w:rPr>
          <w:sz w:val="26"/>
          <w:szCs w:val="26"/>
        </w:rPr>
        <w:t xml:space="preserve">tax </w:t>
      </w:r>
      <w:r w:rsidR="004C4E6E" w:rsidRPr="004C4E6E">
        <w:rPr>
          <w:sz w:val="26"/>
          <w:szCs w:val="26"/>
        </w:rPr>
        <w:t>rate, it would be extremely difficult and highly controversial to identify and determine</w:t>
      </w:r>
      <w:r w:rsidR="00383C2E">
        <w:rPr>
          <w:sz w:val="26"/>
          <w:szCs w:val="26"/>
        </w:rPr>
        <w:t>,</w:t>
      </w:r>
      <w:r w:rsidR="004C4E6E" w:rsidRPr="004C4E6E">
        <w:rPr>
          <w:sz w:val="26"/>
          <w:szCs w:val="26"/>
        </w:rPr>
        <w:t xml:space="preserve"> with confidence and integrity</w:t>
      </w:r>
      <w:r w:rsidR="00383C2E">
        <w:rPr>
          <w:sz w:val="26"/>
          <w:szCs w:val="26"/>
        </w:rPr>
        <w:t>,</w:t>
      </w:r>
      <w:r w:rsidR="004C4E6E" w:rsidRPr="004C4E6E">
        <w:rPr>
          <w:sz w:val="26"/>
          <w:szCs w:val="26"/>
        </w:rPr>
        <w:t xml:space="preserve"> any </w:t>
      </w:r>
      <w:r w:rsidR="00E33E71">
        <w:rPr>
          <w:sz w:val="26"/>
          <w:szCs w:val="26"/>
        </w:rPr>
        <w:t xml:space="preserve">impact of the </w:t>
      </w:r>
      <w:r w:rsidR="000E0602">
        <w:rPr>
          <w:sz w:val="26"/>
          <w:szCs w:val="26"/>
        </w:rPr>
        <w:t xml:space="preserve">TCJA </w:t>
      </w:r>
      <w:r w:rsidR="00E33E71">
        <w:rPr>
          <w:sz w:val="26"/>
          <w:szCs w:val="26"/>
        </w:rPr>
        <w:t>on</w:t>
      </w:r>
      <w:r w:rsidR="004C4E6E" w:rsidRPr="004C4E6E">
        <w:rPr>
          <w:sz w:val="26"/>
          <w:szCs w:val="26"/>
        </w:rPr>
        <w:t xml:space="preserve"> CenturyLink</w:t>
      </w:r>
      <w:r w:rsidR="00E33E71">
        <w:rPr>
          <w:sz w:val="26"/>
          <w:szCs w:val="26"/>
        </w:rPr>
        <w:t xml:space="preserve"> given the Company</w:t>
      </w:r>
      <w:r w:rsidR="004C4E6E" w:rsidRPr="004C4E6E">
        <w:rPr>
          <w:sz w:val="26"/>
          <w:szCs w:val="26"/>
        </w:rPr>
        <w:t>’s circumstances.</w:t>
      </w:r>
      <w:r w:rsidR="004C4E6E">
        <w:rPr>
          <w:sz w:val="26"/>
          <w:szCs w:val="26"/>
        </w:rPr>
        <w:t xml:space="preserve">  </w:t>
      </w:r>
      <w:r w:rsidR="00DE11BD">
        <w:rPr>
          <w:rStyle w:val="Hyperlink"/>
          <w:color w:val="auto"/>
          <w:sz w:val="26"/>
          <w:szCs w:val="26"/>
          <w:u w:val="none"/>
        </w:rPr>
        <w:t xml:space="preserve">CenturyLink Verified Witness Statement at </w:t>
      </w:r>
      <w:r w:rsidR="00F2493E">
        <w:rPr>
          <w:rStyle w:val="Hyperlink"/>
          <w:color w:val="auto"/>
          <w:sz w:val="26"/>
          <w:szCs w:val="26"/>
          <w:u w:val="none"/>
        </w:rPr>
        <w:t>4</w:t>
      </w:r>
      <w:r w:rsidR="008C168E">
        <w:rPr>
          <w:rStyle w:val="Hyperlink"/>
          <w:color w:val="auto"/>
          <w:sz w:val="26"/>
          <w:szCs w:val="26"/>
          <w:u w:val="none"/>
        </w:rPr>
        <w:t>-5.</w:t>
      </w:r>
    </w:p>
    <w:p w14:paraId="326DCC0E" w14:textId="71F756D2" w:rsidR="008C168E" w:rsidRDefault="008C168E" w:rsidP="00217B05">
      <w:pPr>
        <w:widowControl/>
        <w:spacing w:line="360" w:lineRule="auto"/>
        <w:ind w:firstLine="1440"/>
        <w:contextualSpacing/>
        <w:rPr>
          <w:rStyle w:val="Hyperlink"/>
          <w:color w:val="auto"/>
          <w:sz w:val="26"/>
          <w:szCs w:val="26"/>
          <w:u w:val="none"/>
        </w:rPr>
      </w:pPr>
    </w:p>
    <w:p w14:paraId="467DE72E" w14:textId="28DB497E" w:rsidR="00640664" w:rsidRDefault="004C4E6E"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Next, Mr. Harper argued</w:t>
      </w:r>
      <w:r w:rsidR="002743CF">
        <w:rPr>
          <w:rStyle w:val="Hyperlink"/>
          <w:color w:val="auto"/>
          <w:sz w:val="26"/>
          <w:szCs w:val="26"/>
          <w:u w:val="none"/>
        </w:rPr>
        <w:t xml:space="preserve">, </w:t>
      </w:r>
      <w:r w:rsidR="002743CF">
        <w:rPr>
          <w:rStyle w:val="Hyperlink"/>
          <w:i/>
          <w:iCs/>
          <w:color w:val="auto"/>
          <w:sz w:val="26"/>
          <w:szCs w:val="26"/>
          <w:u w:val="none"/>
        </w:rPr>
        <w:t>inter alia,</w:t>
      </w:r>
      <w:r>
        <w:rPr>
          <w:rStyle w:val="Hyperlink"/>
          <w:color w:val="auto"/>
          <w:sz w:val="26"/>
          <w:szCs w:val="26"/>
          <w:u w:val="none"/>
        </w:rPr>
        <w:t xml:space="preserve"> that </w:t>
      </w:r>
      <w:r w:rsidR="00553D81">
        <w:rPr>
          <w:rStyle w:val="Hyperlink"/>
          <w:color w:val="auto"/>
          <w:sz w:val="26"/>
          <w:szCs w:val="26"/>
          <w:u w:val="none"/>
        </w:rPr>
        <w:t xml:space="preserve">it is the position of CenturyLink that because the passage of </w:t>
      </w:r>
      <w:r w:rsidR="00972BD3">
        <w:rPr>
          <w:rStyle w:val="Hyperlink"/>
          <w:color w:val="auto"/>
          <w:sz w:val="26"/>
          <w:szCs w:val="26"/>
          <w:u w:val="none"/>
        </w:rPr>
        <w:t>the</w:t>
      </w:r>
      <w:r w:rsidR="00553D81">
        <w:rPr>
          <w:rStyle w:val="Hyperlink"/>
          <w:color w:val="auto"/>
          <w:sz w:val="26"/>
          <w:szCs w:val="26"/>
          <w:u w:val="none"/>
        </w:rPr>
        <w:t xml:space="preserve"> TCJA was not unique to the tel</w:t>
      </w:r>
      <w:r w:rsidR="00664F0D">
        <w:rPr>
          <w:rStyle w:val="Hyperlink"/>
          <w:color w:val="auto"/>
          <w:sz w:val="26"/>
          <w:szCs w:val="26"/>
          <w:u w:val="none"/>
        </w:rPr>
        <w:t xml:space="preserve">ephone industry, it does not qualify as an exogenous event under the Company’s Chapter 30 Plan.  According to Mr. Harper, </w:t>
      </w:r>
      <w:r w:rsidR="00404B26" w:rsidRPr="00404B26">
        <w:rPr>
          <w:sz w:val="26"/>
          <w:szCs w:val="26"/>
        </w:rPr>
        <w:t xml:space="preserve">even </w:t>
      </w:r>
      <w:r w:rsidR="00404B26">
        <w:rPr>
          <w:sz w:val="26"/>
          <w:szCs w:val="26"/>
        </w:rPr>
        <w:t>assuming, arguendo, that</w:t>
      </w:r>
      <w:r w:rsidR="00404B26" w:rsidRPr="00404B26">
        <w:rPr>
          <w:sz w:val="26"/>
          <w:szCs w:val="26"/>
        </w:rPr>
        <w:t xml:space="preserve"> TCJA is to be considered an exogenous event, the complex provisions of the TCJA, the corporate filing structure of CenturyLink, and the lack of a model for properly assigning any impact to those services within the</w:t>
      </w:r>
      <w:r w:rsidR="00404B26">
        <w:rPr>
          <w:sz w:val="26"/>
          <w:szCs w:val="26"/>
        </w:rPr>
        <w:t xml:space="preserve"> Company’s</w:t>
      </w:r>
      <w:r w:rsidR="00404B26" w:rsidRPr="00404B26">
        <w:rPr>
          <w:sz w:val="26"/>
          <w:szCs w:val="26"/>
        </w:rPr>
        <w:t xml:space="preserve"> PSM make it infeasible to determine and implement any impact as an exogenous event. </w:t>
      </w:r>
      <w:r w:rsidR="00404B26">
        <w:rPr>
          <w:rStyle w:val="Hyperlink"/>
          <w:color w:val="auto"/>
          <w:sz w:val="26"/>
          <w:szCs w:val="26"/>
          <w:u w:val="none"/>
        </w:rPr>
        <w:t xml:space="preserve"> CenturyLink Verified Witness Statement at 7-9.</w:t>
      </w:r>
    </w:p>
    <w:p w14:paraId="2DDA7338" w14:textId="3082F24D" w:rsidR="00404B26" w:rsidRDefault="00404B26" w:rsidP="00217B05">
      <w:pPr>
        <w:widowControl/>
        <w:spacing w:line="360" w:lineRule="auto"/>
        <w:ind w:firstLine="1440"/>
        <w:contextualSpacing/>
        <w:rPr>
          <w:rStyle w:val="Hyperlink"/>
          <w:color w:val="auto"/>
          <w:sz w:val="26"/>
          <w:szCs w:val="26"/>
          <w:u w:val="none"/>
        </w:rPr>
      </w:pPr>
    </w:p>
    <w:p w14:paraId="2A964E56" w14:textId="698BE130" w:rsidR="00404B26" w:rsidRPr="001471C8" w:rsidRDefault="00404B26"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Additionally, </w:t>
      </w:r>
      <w:r w:rsidR="00405F4D">
        <w:rPr>
          <w:rStyle w:val="Hyperlink"/>
          <w:color w:val="auto"/>
          <w:sz w:val="26"/>
          <w:szCs w:val="26"/>
          <w:u w:val="none"/>
        </w:rPr>
        <w:t xml:space="preserve">Mr. Harper provided responses to specific questions that the ALJs raised during the March 2020 Prehearing Conference </w:t>
      </w:r>
      <w:r w:rsidR="009E3DAA">
        <w:rPr>
          <w:rStyle w:val="Hyperlink"/>
          <w:color w:val="auto"/>
          <w:sz w:val="26"/>
          <w:szCs w:val="26"/>
          <w:u w:val="none"/>
        </w:rPr>
        <w:t>regarding</w:t>
      </w:r>
      <w:r w:rsidR="005565D5">
        <w:rPr>
          <w:rStyle w:val="Hyperlink"/>
          <w:color w:val="auto"/>
          <w:sz w:val="26"/>
          <w:szCs w:val="26"/>
          <w:u w:val="none"/>
        </w:rPr>
        <w:t>:</w:t>
      </w:r>
      <w:r w:rsidR="009E3DAA">
        <w:rPr>
          <w:rStyle w:val="Hyperlink"/>
          <w:color w:val="auto"/>
          <w:sz w:val="26"/>
          <w:szCs w:val="26"/>
          <w:u w:val="none"/>
        </w:rPr>
        <w:t xml:space="preserve"> (1) whether, </w:t>
      </w:r>
      <w:r w:rsidR="005565D5">
        <w:rPr>
          <w:rStyle w:val="Hyperlink"/>
          <w:color w:val="auto"/>
          <w:sz w:val="26"/>
          <w:szCs w:val="26"/>
          <w:u w:val="none"/>
        </w:rPr>
        <w:t xml:space="preserve">by </w:t>
      </w:r>
      <w:r w:rsidR="009E3DAA">
        <w:rPr>
          <w:rStyle w:val="Hyperlink"/>
          <w:color w:val="auto"/>
          <w:sz w:val="26"/>
          <w:szCs w:val="26"/>
          <w:u w:val="none"/>
        </w:rPr>
        <w:t xml:space="preserve">how much, and when the Company previously </w:t>
      </w:r>
      <w:r w:rsidR="005565D5">
        <w:rPr>
          <w:rStyle w:val="Hyperlink"/>
          <w:color w:val="auto"/>
          <w:sz w:val="26"/>
          <w:szCs w:val="26"/>
          <w:u w:val="none"/>
        </w:rPr>
        <w:t>utilized its banked revenue amounts to increase rates; and (2)</w:t>
      </w:r>
      <w:r w:rsidR="00CF46E4">
        <w:rPr>
          <w:rStyle w:val="Hyperlink"/>
          <w:color w:val="auto"/>
          <w:sz w:val="26"/>
          <w:szCs w:val="26"/>
          <w:u w:val="none"/>
        </w:rPr>
        <w:t xml:space="preserve"> </w:t>
      </w:r>
      <w:r w:rsidR="00590B6C">
        <w:rPr>
          <w:rStyle w:val="Hyperlink"/>
          <w:color w:val="auto"/>
          <w:sz w:val="26"/>
          <w:szCs w:val="26"/>
          <w:u w:val="none"/>
        </w:rPr>
        <w:t>how many</w:t>
      </w:r>
      <w:r w:rsidR="00CF46E4">
        <w:rPr>
          <w:rStyle w:val="Hyperlink"/>
          <w:color w:val="auto"/>
          <w:sz w:val="26"/>
          <w:szCs w:val="26"/>
          <w:u w:val="none"/>
        </w:rPr>
        <w:t xml:space="preserve"> of CenturyLink’s </w:t>
      </w:r>
      <w:r w:rsidR="00D3528F">
        <w:rPr>
          <w:rStyle w:val="Hyperlink"/>
          <w:color w:val="auto"/>
          <w:sz w:val="26"/>
          <w:szCs w:val="26"/>
          <w:u w:val="none"/>
        </w:rPr>
        <w:t>current customers are, or could be, impacted by the Company’s PSM.</w:t>
      </w:r>
      <w:r w:rsidR="005565D5">
        <w:rPr>
          <w:rStyle w:val="Hyperlink"/>
          <w:color w:val="auto"/>
          <w:sz w:val="26"/>
          <w:szCs w:val="26"/>
          <w:u w:val="none"/>
        </w:rPr>
        <w:t xml:space="preserve"> </w:t>
      </w:r>
      <w:r w:rsidR="00D3528F">
        <w:rPr>
          <w:rStyle w:val="Hyperlink"/>
          <w:color w:val="auto"/>
          <w:sz w:val="26"/>
          <w:szCs w:val="26"/>
          <w:u w:val="none"/>
        </w:rPr>
        <w:t xml:space="preserve"> Mr. Harper explained that the Company utilized banked</w:t>
      </w:r>
      <w:r w:rsidR="00590B6C">
        <w:rPr>
          <w:rStyle w:val="Hyperlink"/>
          <w:color w:val="auto"/>
          <w:sz w:val="26"/>
          <w:szCs w:val="26"/>
          <w:u w:val="none"/>
        </w:rPr>
        <w:t xml:space="preserve"> revenue</w:t>
      </w:r>
      <w:r w:rsidR="00D3528F">
        <w:rPr>
          <w:rStyle w:val="Hyperlink"/>
          <w:color w:val="auto"/>
          <w:sz w:val="26"/>
          <w:szCs w:val="26"/>
          <w:u w:val="none"/>
        </w:rPr>
        <w:t xml:space="preserve"> amounts in its 2012, 2014, 2015, and 2016 PSI/SPI </w:t>
      </w:r>
      <w:r w:rsidR="00855E1A">
        <w:rPr>
          <w:rStyle w:val="Hyperlink"/>
          <w:color w:val="auto"/>
          <w:sz w:val="26"/>
          <w:szCs w:val="26"/>
          <w:u w:val="none"/>
        </w:rPr>
        <w:t>F</w:t>
      </w:r>
      <w:r w:rsidR="00D3528F">
        <w:rPr>
          <w:rStyle w:val="Hyperlink"/>
          <w:color w:val="auto"/>
          <w:sz w:val="26"/>
          <w:szCs w:val="26"/>
          <w:u w:val="none"/>
        </w:rPr>
        <w:t>ilings</w:t>
      </w:r>
      <w:r w:rsidR="00855E1A">
        <w:rPr>
          <w:rStyle w:val="Hyperlink"/>
          <w:color w:val="auto"/>
          <w:sz w:val="26"/>
          <w:szCs w:val="26"/>
          <w:u w:val="none"/>
        </w:rPr>
        <w:t xml:space="preserve">, </w:t>
      </w:r>
      <w:r w:rsidR="001238F5">
        <w:rPr>
          <w:rStyle w:val="Hyperlink"/>
          <w:color w:val="auto"/>
          <w:sz w:val="26"/>
          <w:szCs w:val="26"/>
          <w:u w:val="none"/>
        </w:rPr>
        <w:t>which</w:t>
      </w:r>
      <w:r w:rsidR="00855E1A">
        <w:rPr>
          <w:rStyle w:val="Hyperlink"/>
          <w:color w:val="auto"/>
          <w:sz w:val="26"/>
          <w:szCs w:val="26"/>
          <w:u w:val="none"/>
        </w:rPr>
        <w:t xml:space="preserve"> resulted in a total of approximately </w:t>
      </w:r>
      <w:r w:rsidR="00855E1A">
        <w:rPr>
          <w:sz w:val="26"/>
          <w:szCs w:val="26"/>
        </w:rPr>
        <w:t xml:space="preserve">$1.6 </w:t>
      </w:r>
      <w:r w:rsidR="004F3D38">
        <w:rPr>
          <w:sz w:val="26"/>
          <w:szCs w:val="26"/>
        </w:rPr>
        <w:t>Million</w:t>
      </w:r>
      <w:r w:rsidR="00855E1A">
        <w:rPr>
          <w:sz w:val="26"/>
          <w:szCs w:val="26"/>
        </w:rPr>
        <w:t xml:space="preserve"> </w:t>
      </w:r>
      <w:r w:rsidR="009D11E3">
        <w:rPr>
          <w:sz w:val="26"/>
          <w:szCs w:val="26"/>
        </w:rPr>
        <w:t>in increased revenues.  Mr. Harper submitted that although the amount of noncompetitive revenues subject to the Company’s Chapter 30 Plan has decreased dramatically</w:t>
      </w:r>
      <w:r w:rsidR="0036295B">
        <w:rPr>
          <w:sz w:val="26"/>
          <w:szCs w:val="26"/>
        </w:rPr>
        <w:t xml:space="preserve"> over the years because of customers choosing other providers or because the Company has deemed certain services </w:t>
      </w:r>
      <w:r w:rsidR="00660AAF">
        <w:rPr>
          <w:sz w:val="26"/>
          <w:szCs w:val="26"/>
        </w:rPr>
        <w:t xml:space="preserve">to be </w:t>
      </w:r>
      <w:r w:rsidR="0036295B">
        <w:rPr>
          <w:sz w:val="26"/>
          <w:szCs w:val="26"/>
        </w:rPr>
        <w:t xml:space="preserve">competitive, there </w:t>
      </w:r>
      <w:r w:rsidR="00777EBA">
        <w:rPr>
          <w:sz w:val="26"/>
          <w:szCs w:val="26"/>
        </w:rPr>
        <w:t xml:space="preserve">is still a significant number of customers that could be impacted by the Company’s PSM.  </w:t>
      </w:r>
      <w:r w:rsidR="00B23F6C">
        <w:rPr>
          <w:sz w:val="26"/>
          <w:szCs w:val="26"/>
        </w:rPr>
        <w:t xml:space="preserve">Mr. Harper provided an attachment containing a partial list of services and customers that </w:t>
      </w:r>
      <w:r w:rsidR="008C69B1">
        <w:rPr>
          <w:sz w:val="26"/>
          <w:szCs w:val="26"/>
        </w:rPr>
        <w:t xml:space="preserve">are still impacted by the PSM.  Mr. Harper claimed that this information provides further support for the Settlement that the Joint Petitioners have reached.  </w:t>
      </w:r>
      <w:r w:rsidR="00FA0E40">
        <w:rPr>
          <w:sz w:val="26"/>
          <w:szCs w:val="26"/>
        </w:rPr>
        <w:t xml:space="preserve">In addition, </w:t>
      </w:r>
      <w:r w:rsidR="00245984">
        <w:rPr>
          <w:sz w:val="26"/>
          <w:szCs w:val="26"/>
        </w:rPr>
        <w:t>Mr. Harper noted the Company’s commitment to forgo</w:t>
      </w:r>
      <w:r w:rsidR="00FA0E40">
        <w:rPr>
          <w:sz w:val="26"/>
          <w:szCs w:val="26"/>
        </w:rPr>
        <w:t xml:space="preserve"> the</w:t>
      </w:r>
      <w:r w:rsidR="00245984">
        <w:rPr>
          <w:sz w:val="26"/>
          <w:szCs w:val="26"/>
        </w:rPr>
        <w:t xml:space="preserve"> banked revenue amounts </w:t>
      </w:r>
      <w:r w:rsidR="00FA0E40">
        <w:rPr>
          <w:sz w:val="26"/>
          <w:szCs w:val="26"/>
        </w:rPr>
        <w:t>authorized under its</w:t>
      </w:r>
      <w:r w:rsidR="00245984">
        <w:rPr>
          <w:sz w:val="26"/>
          <w:szCs w:val="26"/>
        </w:rPr>
        <w:t xml:space="preserve"> 2018, 2019</w:t>
      </w:r>
      <w:r w:rsidR="003F2444">
        <w:rPr>
          <w:sz w:val="26"/>
          <w:szCs w:val="26"/>
        </w:rPr>
        <w:t xml:space="preserve">, </w:t>
      </w:r>
      <w:r w:rsidR="00245984">
        <w:rPr>
          <w:sz w:val="26"/>
          <w:szCs w:val="26"/>
        </w:rPr>
        <w:t xml:space="preserve">and then-upcoming 2020 PSI/SPI Filings and the rate stability </w:t>
      </w:r>
      <w:r w:rsidR="00CA52E2">
        <w:rPr>
          <w:sz w:val="26"/>
          <w:szCs w:val="26"/>
        </w:rPr>
        <w:t xml:space="preserve">that, he claimed, might not otherwise result.  CenturyLink </w:t>
      </w:r>
      <w:r w:rsidR="00E70659">
        <w:rPr>
          <w:sz w:val="26"/>
          <w:szCs w:val="26"/>
        </w:rPr>
        <w:t>Verified Witness Statement at 9-10.</w:t>
      </w:r>
    </w:p>
    <w:p w14:paraId="50CAF444" w14:textId="77777777" w:rsidR="00411440" w:rsidRPr="001471C8" w:rsidRDefault="00411440" w:rsidP="00217B05">
      <w:pPr>
        <w:widowControl/>
        <w:spacing w:line="360" w:lineRule="auto"/>
        <w:ind w:firstLine="1440"/>
        <w:contextualSpacing/>
        <w:rPr>
          <w:rStyle w:val="Hyperlink"/>
          <w:color w:val="auto"/>
          <w:sz w:val="26"/>
          <w:szCs w:val="26"/>
          <w:u w:val="none"/>
        </w:rPr>
      </w:pPr>
    </w:p>
    <w:p w14:paraId="4AE42635" w14:textId="3635F879" w:rsidR="0094146F" w:rsidRPr="001471C8" w:rsidRDefault="0094146F" w:rsidP="00217B05">
      <w:pPr>
        <w:pStyle w:val="Heading4"/>
        <w:keepNext/>
        <w:keepLines/>
        <w:numPr>
          <w:ilvl w:val="0"/>
          <w:numId w:val="36"/>
        </w:numPr>
        <w:spacing w:before="0" w:beforeAutospacing="0" w:after="0" w:afterAutospacing="0" w:line="360" w:lineRule="auto"/>
        <w:ind w:left="2160" w:hanging="720"/>
        <w:contextualSpacing/>
        <w:rPr>
          <w:rStyle w:val="Hyperlink"/>
          <w:color w:val="auto"/>
          <w:sz w:val="26"/>
          <w:szCs w:val="26"/>
          <w:u w:val="none"/>
        </w:rPr>
      </w:pPr>
      <w:r w:rsidRPr="001471C8">
        <w:rPr>
          <w:rStyle w:val="Hyperlink"/>
          <w:color w:val="auto"/>
          <w:sz w:val="26"/>
          <w:szCs w:val="26"/>
          <w:u w:val="none"/>
        </w:rPr>
        <w:t>OCA</w:t>
      </w:r>
    </w:p>
    <w:p w14:paraId="7F5448B5" w14:textId="77777777" w:rsidR="0094146F" w:rsidRPr="001471C8" w:rsidRDefault="0094146F" w:rsidP="00217B05">
      <w:pPr>
        <w:keepNext/>
        <w:keepLines/>
        <w:widowControl/>
        <w:spacing w:line="360" w:lineRule="auto"/>
        <w:ind w:firstLine="1440"/>
        <w:contextualSpacing/>
        <w:rPr>
          <w:rStyle w:val="Hyperlink"/>
          <w:color w:val="auto"/>
          <w:sz w:val="26"/>
          <w:szCs w:val="26"/>
          <w:u w:val="none"/>
        </w:rPr>
      </w:pPr>
    </w:p>
    <w:p w14:paraId="6363AD76" w14:textId="4D559C05" w:rsidR="00B67079" w:rsidRPr="001471C8" w:rsidRDefault="007374F6"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 xml:space="preserve">In its Statement in Support, the OCA </w:t>
      </w:r>
      <w:r w:rsidR="00472B0A" w:rsidRPr="001471C8">
        <w:rPr>
          <w:rStyle w:val="Hyperlink"/>
          <w:color w:val="auto"/>
          <w:sz w:val="26"/>
          <w:szCs w:val="26"/>
          <w:u w:val="none"/>
        </w:rPr>
        <w:t xml:space="preserve">took the position that </w:t>
      </w:r>
      <w:r w:rsidR="00D6187C" w:rsidRPr="001471C8">
        <w:rPr>
          <w:rStyle w:val="Hyperlink"/>
          <w:color w:val="auto"/>
          <w:sz w:val="26"/>
          <w:szCs w:val="26"/>
          <w:u w:val="none"/>
        </w:rPr>
        <w:t xml:space="preserve">the Settlement provides benefits to the Company’s </w:t>
      </w:r>
      <w:r w:rsidR="00D6187C" w:rsidRPr="001471C8">
        <w:rPr>
          <w:sz w:val="26"/>
          <w:szCs w:val="26"/>
        </w:rPr>
        <w:t xml:space="preserve">intrastate, noncompetitive service ratepayers, is in the public interest, and should be approved by the Commission.  </w:t>
      </w:r>
      <w:r w:rsidR="008A01F3" w:rsidRPr="001471C8">
        <w:rPr>
          <w:sz w:val="26"/>
          <w:szCs w:val="26"/>
        </w:rPr>
        <w:t>First, the OCA</w:t>
      </w:r>
      <w:r w:rsidR="00BC0F95" w:rsidRPr="001471C8">
        <w:rPr>
          <w:sz w:val="26"/>
          <w:szCs w:val="26"/>
        </w:rPr>
        <w:t xml:space="preserve"> echoed the Company’s position, </w:t>
      </w:r>
      <w:r w:rsidR="00BC0F95" w:rsidRPr="001471C8">
        <w:rPr>
          <w:i/>
          <w:iCs/>
          <w:sz w:val="26"/>
          <w:szCs w:val="26"/>
        </w:rPr>
        <w:t>supra,</w:t>
      </w:r>
      <w:r w:rsidR="00BC0F95" w:rsidRPr="001471C8">
        <w:rPr>
          <w:sz w:val="26"/>
          <w:szCs w:val="26"/>
        </w:rPr>
        <w:t xml:space="preserve"> regarding the benefit to CenturyLink’s ratepayers that will result from the elimination of the Company’s cumulative banked amounts from its 2018</w:t>
      </w:r>
      <w:r w:rsidR="007368B6">
        <w:rPr>
          <w:sz w:val="26"/>
          <w:szCs w:val="26"/>
        </w:rPr>
        <w:t> </w:t>
      </w:r>
      <w:r w:rsidR="00BC0F95" w:rsidRPr="001471C8">
        <w:rPr>
          <w:sz w:val="26"/>
          <w:szCs w:val="26"/>
        </w:rPr>
        <w:t>and 2019 PSI</w:t>
      </w:r>
      <w:r w:rsidR="008266B3">
        <w:rPr>
          <w:sz w:val="26"/>
          <w:szCs w:val="26"/>
        </w:rPr>
        <w:t>/SP</w:t>
      </w:r>
      <w:r w:rsidR="00BC6F05">
        <w:rPr>
          <w:sz w:val="26"/>
          <w:szCs w:val="26"/>
        </w:rPr>
        <w:t>I</w:t>
      </w:r>
      <w:r w:rsidR="00BC0F95" w:rsidRPr="001471C8">
        <w:rPr>
          <w:sz w:val="26"/>
          <w:szCs w:val="26"/>
        </w:rPr>
        <w:t xml:space="preserve"> </w:t>
      </w:r>
      <w:r w:rsidR="00BC6F05">
        <w:rPr>
          <w:sz w:val="26"/>
          <w:szCs w:val="26"/>
        </w:rPr>
        <w:t>F</w:t>
      </w:r>
      <w:r w:rsidR="00BC0F95" w:rsidRPr="001471C8">
        <w:rPr>
          <w:sz w:val="26"/>
          <w:szCs w:val="26"/>
        </w:rPr>
        <w:t>ilings</w:t>
      </w:r>
      <w:r w:rsidR="006668D8" w:rsidRPr="001471C8">
        <w:rPr>
          <w:sz w:val="26"/>
          <w:szCs w:val="26"/>
        </w:rPr>
        <w:t>, the Company’s agreement not to increase rates as part of its 2020 PSI</w:t>
      </w:r>
      <w:r w:rsidR="00BC6F05">
        <w:rPr>
          <w:sz w:val="26"/>
          <w:szCs w:val="26"/>
        </w:rPr>
        <w:t>/SPI</w:t>
      </w:r>
      <w:r w:rsidR="006668D8" w:rsidRPr="001471C8">
        <w:rPr>
          <w:sz w:val="26"/>
          <w:szCs w:val="26"/>
        </w:rPr>
        <w:t xml:space="preserve"> </w:t>
      </w:r>
      <w:r w:rsidR="00BC6F05">
        <w:rPr>
          <w:sz w:val="26"/>
          <w:szCs w:val="26"/>
        </w:rPr>
        <w:t>F</w:t>
      </w:r>
      <w:r w:rsidR="006668D8" w:rsidRPr="001471C8">
        <w:rPr>
          <w:sz w:val="26"/>
          <w:szCs w:val="26"/>
        </w:rPr>
        <w:t xml:space="preserve">iling, and the </w:t>
      </w:r>
      <w:r w:rsidR="00731238" w:rsidRPr="001471C8">
        <w:rPr>
          <w:sz w:val="26"/>
          <w:szCs w:val="26"/>
        </w:rPr>
        <w:t>rate stability that will result from the fact that the Company’s</w:t>
      </w:r>
      <w:r w:rsidR="008B3B58" w:rsidRPr="001471C8">
        <w:rPr>
          <w:sz w:val="26"/>
          <w:szCs w:val="26"/>
        </w:rPr>
        <w:t xml:space="preserve"> noncompetitive services would remain at present levels through at least mid</w:t>
      </w:r>
      <w:r w:rsidR="00BC6F05">
        <w:rPr>
          <w:sz w:val="26"/>
          <w:szCs w:val="26"/>
        </w:rPr>
        <w:noBreakHyphen/>
      </w:r>
      <w:r w:rsidR="008B3B58" w:rsidRPr="001471C8">
        <w:rPr>
          <w:sz w:val="26"/>
          <w:szCs w:val="26"/>
        </w:rPr>
        <w:t xml:space="preserve">December 2021 </w:t>
      </w:r>
      <w:r w:rsidR="00026AB1" w:rsidRPr="001471C8">
        <w:rPr>
          <w:sz w:val="26"/>
          <w:szCs w:val="26"/>
        </w:rPr>
        <w:t xml:space="preserve"> </w:t>
      </w:r>
      <w:r w:rsidR="001C33DB" w:rsidRPr="001471C8">
        <w:rPr>
          <w:rStyle w:val="Hyperlink"/>
          <w:color w:val="auto"/>
          <w:sz w:val="26"/>
          <w:szCs w:val="26"/>
          <w:u w:val="none"/>
        </w:rPr>
        <w:t xml:space="preserve">Therefore, the OCA argued that the Settlement results in just and reasonable rates for CenturyLink’s noncompetitive services.  </w:t>
      </w:r>
      <w:r w:rsidR="00026AB1" w:rsidRPr="001471C8">
        <w:rPr>
          <w:sz w:val="26"/>
          <w:szCs w:val="26"/>
        </w:rPr>
        <w:t>OCA Statement in Support at 3-4.</w:t>
      </w:r>
      <w:r w:rsidR="00CF758E" w:rsidRPr="001471C8">
        <w:rPr>
          <w:sz w:val="26"/>
          <w:szCs w:val="26"/>
        </w:rPr>
        <w:t xml:space="preserve"> </w:t>
      </w:r>
    </w:p>
    <w:p w14:paraId="45FE0978" w14:textId="44D339D0" w:rsidR="007374F6" w:rsidRPr="001471C8" w:rsidRDefault="007374F6" w:rsidP="00217B05">
      <w:pPr>
        <w:widowControl/>
        <w:spacing w:line="360" w:lineRule="auto"/>
        <w:ind w:firstLine="1440"/>
        <w:contextualSpacing/>
        <w:rPr>
          <w:rStyle w:val="Hyperlink"/>
          <w:color w:val="auto"/>
          <w:sz w:val="26"/>
          <w:szCs w:val="26"/>
          <w:u w:val="none"/>
        </w:rPr>
      </w:pPr>
    </w:p>
    <w:p w14:paraId="765DB634" w14:textId="3E33B8B9" w:rsidR="001B642F" w:rsidRPr="001471C8" w:rsidRDefault="001C33DB"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The OCA also submitted that</w:t>
      </w:r>
      <w:r w:rsidR="005E6F81" w:rsidRPr="001471C8">
        <w:rPr>
          <w:rStyle w:val="Hyperlink"/>
          <w:color w:val="auto"/>
          <w:sz w:val="26"/>
          <w:szCs w:val="26"/>
          <w:u w:val="none"/>
        </w:rPr>
        <w:t xml:space="preserve"> further litigation of the Company’s 2018 and 2019 PSI</w:t>
      </w:r>
      <w:r w:rsidR="00BC6F05">
        <w:rPr>
          <w:rStyle w:val="Hyperlink"/>
          <w:color w:val="auto"/>
          <w:sz w:val="26"/>
          <w:szCs w:val="26"/>
          <w:u w:val="none"/>
        </w:rPr>
        <w:t>/SPI</w:t>
      </w:r>
      <w:r w:rsidR="005E6F81" w:rsidRPr="001471C8">
        <w:rPr>
          <w:rStyle w:val="Hyperlink"/>
          <w:color w:val="auto"/>
          <w:sz w:val="26"/>
          <w:szCs w:val="26"/>
          <w:u w:val="none"/>
        </w:rPr>
        <w:t xml:space="preserve"> </w:t>
      </w:r>
      <w:r w:rsidR="005E462A">
        <w:rPr>
          <w:rStyle w:val="Hyperlink"/>
          <w:color w:val="auto"/>
          <w:sz w:val="26"/>
          <w:szCs w:val="26"/>
          <w:u w:val="none"/>
        </w:rPr>
        <w:t>F</w:t>
      </w:r>
      <w:r w:rsidR="005E6F81" w:rsidRPr="001471C8">
        <w:rPr>
          <w:rStyle w:val="Hyperlink"/>
          <w:color w:val="auto"/>
          <w:sz w:val="26"/>
          <w:szCs w:val="26"/>
          <w:u w:val="none"/>
        </w:rPr>
        <w:t xml:space="preserve">ilings and the </w:t>
      </w:r>
      <w:r w:rsidR="001C7ACC">
        <w:rPr>
          <w:rStyle w:val="Hyperlink"/>
          <w:color w:val="auto"/>
          <w:sz w:val="26"/>
          <w:szCs w:val="26"/>
          <w:u w:val="none"/>
        </w:rPr>
        <w:t xml:space="preserve">OCA’s </w:t>
      </w:r>
      <w:r w:rsidR="005E6F81" w:rsidRPr="001471C8">
        <w:rPr>
          <w:rStyle w:val="Hyperlink"/>
          <w:color w:val="auto"/>
          <w:sz w:val="26"/>
          <w:szCs w:val="26"/>
          <w:u w:val="none"/>
        </w:rPr>
        <w:t xml:space="preserve">associated </w:t>
      </w:r>
      <w:r w:rsidR="0008033B">
        <w:rPr>
          <w:rStyle w:val="Hyperlink"/>
          <w:color w:val="auto"/>
          <w:sz w:val="26"/>
          <w:szCs w:val="26"/>
          <w:u w:val="none"/>
        </w:rPr>
        <w:t xml:space="preserve">2018 and 2019 </w:t>
      </w:r>
      <w:r w:rsidR="005E6F81" w:rsidRPr="001471C8">
        <w:rPr>
          <w:rStyle w:val="Hyperlink"/>
          <w:color w:val="auto"/>
          <w:sz w:val="26"/>
          <w:szCs w:val="26"/>
          <w:u w:val="none"/>
        </w:rPr>
        <w:t>Complaints would involve</w:t>
      </w:r>
      <w:r w:rsidR="00FB2CDD" w:rsidRPr="001471C8">
        <w:rPr>
          <w:sz w:val="26"/>
          <w:szCs w:val="26"/>
        </w:rPr>
        <w:t xml:space="preserve"> complex issues of fact, pertaining to financial and tax records and jurisdictional allocations, as well as </w:t>
      </w:r>
      <w:r w:rsidR="0073747B">
        <w:rPr>
          <w:sz w:val="26"/>
          <w:szCs w:val="26"/>
        </w:rPr>
        <w:t xml:space="preserve">the </w:t>
      </w:r>
      <w:r w:rsidR="00FB2CDD" w:rsidRPr="001471C8">
        <w:rPr>
          <w:sz w:val="26"/>
          <w:szCs w:val="26"/>
        </w:rPr>
        <w:t xml:space="preserve">interpretation of the </w:t>
      </w:r>
      <w:r w:rsidR="00646AF1">
        <w:rPr>
          <w:sz w:val="26"/>
          <w:szCs w:val="26"/>
        </w:rPr>
        <w:t xml:space="preserve">exogenous event provision in the </w:t>
      </w:r>
      <w:r w:rsidR="00FB2CDD" w:rsidRPr="001471C8">
        <w:rPr>
          <w:sz w:val="26"/>
          <w:szCs w:val="26"/>
        </w:rPr>
        <w:t>Company's Chapter 30.</w:t>
      </w:r>
      <w:r w:rsidR="003E2BDB" w:rsidRPr="001471C8">
        <w:rPr>
          <w:sz w:val="26"/>
          <w:szCs w:val="26"/>
        </w:rPr>
        <w:t xml:space="preserve">  According to the OCA, litigating </w:t>
      </w:r>
      <w:r w:rsidR="00657B6B" w:rsidRPr="001471C8">
        <w:rPr>
          <w:sz w:val="26"/>
          <w:szCs w:val="26"/>
        </w:rPr>
        <w:t>th</w:t>
      </w:r>
      <w:r w:rsidR="0008033B">
        <w:rPr>
          <w:sz w:val="26"/>
          <w:szCs w:val="26"/>
        </w:rPr>
        <w:t xml:space="preserve">ese </w:t>
      </w:r>
      <w:r w:rsidR="00646AF1">
        <w:rPr>
          <w:sz w:val="26"/>
          <w:szCs w:val="26"/>
        </w:rPr>
        <w:t>issue</w:t>
      </w:r>
      <w:r w:rsidR="0008033B">
        <w:rPr>
          <w:sz w:val="26"/>
          <w:szCs w:val="26"/>
        </w:rPr>
        <w:t>s</w:t>
      </w:r>
      <w:r w:rsidR="00657B6B" w:rsidRPr="001471C8">
        <w:rPr>
          <w:sz w:val="26"/>
          <w:szCs w:val="26"/>
        </w:rPr>
        <w:t xml:space="preserve"> w</w:t>
      </w:r>
      <w:r w:rsidR="003E2BDB" w:rsidRPr="001471C8">
        <w:rPr>
          <w:sz w:val="26"/>
          <w:szCs w:val="26"/>
        </w:rPr>
        <w:t xml:space="preserve">ould have involved </w:t>
      </w:r>
      <w:r w:rsidR="0008033B">
        <w:rPr>
          <w:sz w:val="26"/>
          <w:szCs w:val="26"/>
        </w:rPr>
        <w:t>additional</w:t>
      </w:r>
      <w:r w:rsidR="003E2BDB" w:rsidRPr="001471C8">
        <w:rPr>
          <w:sz w:val="26"/>
          <w:szCs w:val="26"/>
        </w:rPr>
        <w:t xml:space="preserve"> time, expense, and administrative resources to arrive at an answer to the same question concerning what rates are just and reasonable</w:t>
      </w:r>
      <w:r w:rsidR="00657B6B" w:rsidRPr="001471C8">
        <w:rPr>
          <w:sz w:val="26"/>
          <w:szCs w:val="26"/>
        </w:rPr>
        <w:t xml:space="preserve"> for the period covered by the Company's 2018 and 2019 PSI</w:t>
      </w:r>
      <w:r w:rsidR="0008033B">
        <w:rPr>
          <w:sz w:val="26"/>
          <w:szCs w:val="26"/>
        </w:rPr>
        <w:t>/SPI</w:t>
      </w:r>
      <w:r w:rsidR="00657B6B" w:rsidRPr="001471C8">
        <w:rPr>
          <w:sz w:val="26"/>
          <w:szCs w:val="26"/>
        </w:rPr>
        <w:t xml:space="preserve"> </w:t>
      </w:r>
      <w:r w:rsidR="0008033B">
        <w:rPr>
          <w:sz w:val="26"/>
          <w:szCs w:val="26"/>
        </w:rPr>
        <w:t>F</w:t>
      </w:r>
      <w:r w:rsidR="00657B6B" w:rsidRPr="001471C8">
        <w:rPr>
          <w:sz w:val="26"/>
          <w:szCs w:val="26"/>
        </w:rPr>
        <w:t>ilings</w:t>
      </w:r>
      <w:r w:rsidR="008757A2">
        <w:rPr>
          <w:sz w:val="26"/>
          <w:szCs w:val="26"/>
        </w:rPr>
        <w:t>,</w:t>
      </w:r>
      <w:r w:rsidR="00657B6B" w:rsidRPr="001471C8">
        <w:rPr>
          <w:sz w:val="26"/>
          <w:szCs w:val="26"/>
        </w:rPr>
        <w:t xml:space="preserve"> and </w:t>
      </w:r>
      <w:r w:rsidR="001C7ACC">
        <w:rPr>
          <w:sz w:val="26"/>
          <w:szCs w:val="26"/>
        </w:rPr>
        <w:t>its</w:t>
      </w:r>
      <w:r w:rsidR="00657B6B" w:rsidRPr="001471C8">
        <w:rPr>
          <w:sz w:val="26"/>
          <w:szCs w:val="26"/>
        </w:rPr>
        <w:t xml:space="preserve"> then-upcoming 2020 PSI</w:t>
      </w:r>
      <w:r w:rsidR="001C7ACC">
        <w:rPr>
          <w:sz w:val="26"/>
          <w:szCs w:val="26"/>
        </w:rPr>
        <w:t>/SPI</w:t>
      </w:r>
      <w:r w:rsidR="00657B6B" w:rsidRPr="001471C8">
        <w:rPr>
          <w:sz w:val="26"/>
          <w:szCs w:val="26"/>
        </w:rPr>
        <w:t xml:space="preserve"> </w:t>
      </w:r>
      <w:r w:rsidR="0008033B">
        <w:rPr>
          <w:sz w:val="26"/>
          <w:szCs w:val="26"/>
        </w:rPr>
        <w:t>F</w:t>
      </w:r>
      <w:r w:rsidR="00657B6B" w:rsidRPr="001471C8">
        <w:rPr>
          <w:sz w:val="26"/>
          <w:szCs w:val="26"/>
        </w:rPr>
        <w:t>iling</w:t>
      </w:r>
      <w:r w:rsidR="003E2BDB" w:rsidRPr="001471C8">
        <w:rPr>
          <w:sz w:val="26"/>
          <w:szCs w:val="26"/>
        </w:rPr>
        <w:t>.</w:t>
      </w:r>
      <w:r w:rsidR="00657B6B" w:rsidRPr="001471C8">
        <w:rPr>
          <w:sz w:val="26"/>
          <w:szCs w:val="26"/>
        </w:rPr>
        <w:t xml:space="preserve">  Therefore, the OCA touted </w:t>
      </w:r>
      <w:r w:rsidR="00164605" w:rsidRPr="001471C8">
        <w:rPr>
          <w:sz w:val="26"/>
          <w:szCs w:val="26"/>
        </w:rPr>
        <w:t xml:space="preserve">the Settlement on the basis that it avoids the expense and administrative burden of full litigation.  </w:t>
      </w:r>
      <w:r w:rsidR="00B47FF7" w:rsidRPr="001471C8">
        <w:rPr>
          <w:sz w:val="26"/>
          <w:szCs w:val="26"/>
        </w:rPr>
        <w:t xml:space="preserve">Accordingly, the OCA argued that the </w:t>
      </w:r>
      <w:r w:rsidR="008757A2">
        <w:rPr>
          <w:sz w:val="26"/>
          <w:szCs w:val="26"/>
        </w:rPr>
        <w:t>Commission should approve</w:t>
      </w:r>
      <w:r w:rsidR="00B47FF7" w:rsidRPr="001471C8">
        <w:rPr>
          <w:sz w:val="26"/>
          <w:szCs w:val="26"/>
        </w:rPr>
        <w:t xml:space="preserve"> the Settlement, without modification, as </w:t>
      </w:r>
      <w:r w:rsidR="002E522D">
        <w:rPr>
          <w:sz w:val="26"/>
          <w:szCs w:val="26"/>
        </w:rPr>
        <w:t xml:space="preserve">being </w:t>
      </w:r>
      <w:r w:rsidR="00B47FF7" w:rsidRPr="001471C8">
        <w:rPr>
          <w:sz w:val="26"/>
          <w:szCs w:val="26"/>
        </w:rPr>
        <w:t>in the public interest.</w:t>
      </w:r>
      <w:r w:rsidR="002F518E" w:rsidRPr="001471C8">
        <w:rPr>
          <w:sz w:val="26"/>
          <w:szCs w:val="26"/>
        </w:rPr>
        <w:t xml:space="preserve"> </w:t>
      </w:r>
      <w:r w:rsidR="00627C10">
        <w:rPr>
          <w:sz w:val="26"/>
          <w:szCs w:val="26"/>
        </w:rPr>
        <w:t xml:space="preserve"> </w:t>
      </w:r>
      <w:r w:rsidR="00BD080A" w:rsidRPr="001471C8">
        <w:rPr>
          <w:sz w:val="26"/>
          <w:szCs w:val="26"/>
        </w:rPr>
        <w:t>OCA Statement in Support at 5-</w:t>
      </w:r>
      <w:r w:rsidR="002F518E" w:rsidRPr="001471C8">
        <w:rPr>
          <w:sz w:val="26"/>
          <w:szCs w:val="26"/>
        </w:rPr>
        <w:t>6</w:t>
      </w:r>
      <w:r w:rsidR="00BD080A" w:rsidRPr="001471C8">
        <w:rPr>
          <w:sz w:val="26"/>
          <w:szCs w:val="26"/>
        </w:rPr>
        <w:t>.</w:t>
      </w:r>
    </w:p>
    <w:p w14:paraId="6E7BC904" w14:textId="77777777" w:rsidR="001B642F" w:rsidRPr="001471C8" w:rsidRDefault="001B642F" w:rsidP="00217B05">
      <w:pPr>
        <w:widowControl/>
        <w:spacing w:line="360" w:lineRule="auto"/>
        <w:ind w:firstLine="1440"/>
        <w:contextualSpacing/>
        <w:rPr>
          <w:rStyle w:val="Hyperlink"/>
          <w:color w:val="auto"/>
          <w:sz w:val="26"/>
          <w:szCs w:val="26"/>
          <w:u w:val="none"/>
        </w:rPr>
      </w:pPr>
    </w:p>
    <w:p w14:paraId="231BAD6C" w14:textId="44D7A27A" w:rsidR="00C43BAC" w:rsidRDefault="007374F6" w:rsidP="00217B05">
      <w:pPr>
        <w:widowControl/>
        <w:spacing w:line="360" w:lineRule="auto"/>
        <w:ind w:firstLine="1440"/>
        <w:contextualSpacing/>
        <w:rPr>
          <w:sz w:val="26"/>
          <w:szCs w:val="26"/>
        </w:rPr>
      </w:pPr>
      <w:r w:rsidRPr="001471C8">
        <w:rPr>
          <w:rStyle w:val="Hyperlink"/>
          <w:color w:val="auto"/>
          <w:sz w:val="26"/>
          <w:szCs w:val="26"/>
          <w:u w:val="none"/>
        </w:rPr>
        <w:t xml:space="preserve">In his Verified Witness Statement, </w:t>
      </w:r>
      <w:r w:rsidR="000B4EFF" w:rsidRPr="001471C8">
        <w:rPr>
          <w:rStyle w:val="Hyperlink"/>
          <w:color w:val="auto"/>
          <w:sz w:val="26"/>
          <w:szCs w:val="26"/>
          <w:u w:val="none"/>
        </w:rPr>
        <w:t xml:space="preserve">the OCA’s witness Dr. </w:t>
      </w:r>
      <w:proofErr w:type="spellStart"/>
      <w:r w:rsidR="000B4EFF" w:rsidRPr="001471C8">
        <w:rPr>
          <w:rStyle w:val="Hyperlink"/>
          <w:color w:val="auto"/>
          <w:sz w:val="26"/>
          <w:szCs w:val="26"/>
          <w:u w:val="none"/>
        </w:rPr>
        <w:t>Loube</w:t>
      </w:r>
      <w:proofErr w:type="spellEnd"/>
      <w:r w:rsidR="000B4EFF" w:rsidRPr="001471C8">
        <w:rPr>
          <w:rStyle w:val="Hyperlink"/>
          <w:color w:val="auto"/>
          <w:sz w:val="26"/>
          <w:szCs w:val="26"/>
          <w:u w:val="none"/>
        </w:rPr>
        <w:t xml:space="preserve"> </w:t>
      </w:r>
      <w:r w:rsidR="001C7ACC">
        <w:rPr>
          <w:rStyle w:val="Hyperlink"/>
          <w:color w:val="auto"/>
          <w:sz w:val="26"/>
          <w:szCs w:val="26"/>
          <w:u w:val="none"/>
        </w:rPr>
        <w:t xml:space="preserve">restated the OCA’s position </w:t>
      </w:r>
      <w:r w:rsidR="00C463CD">
        <w:rPr>
          <w:rStyle w:val="Hyperlink"/>
          <w:color w:val="auto"/>
          <w:sz w:val="26"/>
          <w:szCs w:val="26"/>
          <w:u w:val="none"/>
        </w:rPr>
        <w:t>that the</w:t>
      </w:r>
      <w:r w:rsidR="000E6EA9">
        <w:rPr>
          <w:rStyle w:val="Hyperlink"/>
          <w:color w:val="auto"/>
          <w:sz w:val="26"/>
          <w:szCs w:val="26"/>
          <w:u w:val="none"/>
        </w:rPr>
        <w:t xml:space="preserve"> </w:t>
      </w:r>
      <w:r w:rsidR="000E6EA9">
        <w:rPr>
          <w:sz w:val="26"/>
          <w:szCs w:val="26"/>
        </w:rPr>
        <w:t>S</w:t>
      </w:r>
      <w:r w:rsidR="000E6EA9" w:rsidRPr="000E6EA9">
        <w:rPr>
          <w:sz w:val="26"/>
          <w:szCs w:val="26"/>
        </w:rPr>
        <w:t>ettlement is in the public interest because it provides benefits to residential consumers and small businesses without full litigation of the questions presented in the OCA</w:t>
      </w:r>
      <w:r w:rsidR="000E6EA9">
        <w:rPr>
          <w:sz w:val="26"/>
          <w:szCs w:val="26"/>
        </w:rPr>
        <w:t>’s 2018 and 2019 Complaint</w:t>
      </w:r>
      <w:r w:rsidR="00E60D2E">
        <w:rPr>
          <w:sz w:val="26"/>
          <w:szCs w:val="26"/>
        </w:rPr>
        <w:t>s</w:t>
      </w:r>
      <w:r w:rsidR="000E6EA9">
        <w:rPr>
          <w:sz w:val="26"/>
          <w:szCs w:val="26"/>
        </w:rPr>
        <w:t xml:space="preserve">.  </w:t>
      </w:r>
      <w:r w:rsidR="00B617A4">
        <w:rPr>
          <w:sz w:val="26"/>
          <w:szCs w:val="26"/>
        </w:rPr>
        <w:t xml:space="preserve">Dr. </w:t>
      </w:r>
      <w:proofErr w:type="spellStart"/>
      <w:r w:rsidR="00B617A4">
        <w:rPr>
          <w:sz w:val="26"/>
          <w:szCs w:val="26"/>
        </w:rPr>
        <w:t>Loube</w:t>
      </w:r>
      <w:proofErr w:type="spellEnd"/>
      <w:r w:rsidR="00B617A4">
        <w:rPr>
          <w:sz w:val="26"/>
          <w:szCs w:val="26"/>
        </w:rPr>
        <w:t xml:space="preserve"> submitted that</w:t>
      </w:r>
      <w:r w:rsidR="008B3E9D">
        <w:rPr>
          <w:sz w:val="26"/>
          <w:szCs w:val="26"/>
        </w:rPr>
        <w:t xml:space="preserve"> although</w:t>
      </w:r>
      <w:r w:rsidR="00B617A4">
        <w:rPr>
          <w:sz w:val="26"/>
          <w:szCs w:val="26"/>
        </w:rPr>
        <w:t xml:space="preserve"> </w:t>
      </w:r>
      <w:r w:rsidR="00807C5E">
        <w:rPr>
          <w:sz w:val="26"/>
          <w:szCs w:val="26"/>
        </w:rPr>
        <w:t xml:space="preserve">the </w:t>
      </w:r>
      <w:r w:rsidR="00D8470C">
        <w:rPr>
          <w:sz w:val="26"/>
          <w:szCs w:val="26"/>
        </w:rPr>
        <w:t>Company’s agreement to forgo rate increases under</w:t>
      </w:r>
      <w:r w:rsidR="001C7ACC">
        <w:rPr>
          <w:sz w:val="26"/>
          <w:szCs w:val="26"/>
        </w:rPr>
        <w:t xml:space="preserve"> the</w:t>
      </w:r>
      <w:r w:rsidR="00D8470C">
        <w:rPr>
          <w:sz w:val="26"/>
          <w:szCs w:val="26"/>
        </w:rPr>
        <w:t xml:space="preserve"> </w:t>
      </w:r>
      <w:r w:rsidR="008B3E9D">
        <w:rPr>
          <w:sz w:val="26"/>
          <w:szCs w:val="26"/>
        </w:rPr>
        <w:t xml:space="preserve">Settlement </w:t>
      </w:r>
      <w:r w:rsidR="00807C5E" w:rsidRPr="00807C5E">
        <w:rPr>
          <w:sz w:val="26"/>
          <w:szCs w:val="26"/>
        </w:rPr>
        <w:t xml:space="preserve">differs from the procedure used </w:t>
      </w:r>
      <w:r w:rsidR="0087427F">
        <w:rPr>
          <w:sz w:val="26"/>
          <w:szCs w:val="26"/>
        </w:rPr>
        <w:t xml:space="preserve">by utilities governed under traditional regulation </w:t>
      </w:r>
      <w:r w:rsidR="00807C5E" w:rsidRPr="00807C5E">
        <w:rPr>
          <w:sz w:val="26"/>
          <w:szCs w:val="26"/>
        </w:rPr>
        <w:t xml:space="preserve">to share the benefits of the </w:t>
      </w:r>
      <w:r w:rsidR="0087427F">
        <w:rPr>
          <w:sz w:val="26"/>
          <w:szCs w:val="26"/>
        </w:rPr>
        <w:t>TCJA with their</w:t>
      </w:r>
      <w:r w:rsidR="00807C5E" w:rsidRPr="00807C5E">
        <w:rPr>
          <w:sz w:val="26"/>
          <w:szCs w:val="26"/>
        </w:rPr>
        <w:t xml:space="preserve"> customers, </w:t>
      </w:r>
      <w:r w:rsidR="008B3E9D">
        <w:rPr>
          <w:sz w:val="26"/>
          <w:szCs w:val="26"/>
        </w:rPr>
        <w:t xml:space="preserve">it </w:t>
      </w:r>
      <w:r w:rsidR="00807C5E" w:rsidRPr="00807C5E">
        <w:rPr>
          <w:sz w:val="26"/>
          <w:szCs w:val="26"/>
        </w:rPr>
        <w:t>is necessary to use an alternative procedure because there is no agreed upon method to allocate the reduction of the federal tax liability to Pennsylvania intrastate</w:t>
      </w:r>
      <w:r w:rsidR="003718B0">
        <w:rPr>
          <w:sz w:val="26"/>
          <w:szCs w:val="26"/>
        </w:rPr>
        <w:t xml:space="preserve"> telecommunications</w:t>
      </w:r>
      <w:r w:rsidR="00807C5E" w:rsidRPr="00807C5E">
        <w:rPr>
          <w:sz w:val="26"/>
          <w:szCs w:val="26"/>
        </w:rPr>
        <w:t xml:space="preserve"> services. </w:t>
      </w:r>
      <w:r w:rsidR="008B3E9D">
        <w:rPr>
          <w:sz w:val="26"/>
          <w:szCs w:val="26"/>
        </w:rPr>
        <w:t xml:space="preserve"> </w:t>
      </w:r>
      <w:r w:rsidR="00310951">
        <w:rPr>
          <w:sz w:val="26"/>
          <w:szCs w:val="26"/>
        </w:rPr>
        <w:t xml:space="preserve">OCA Verified Witness Statement at </w:t>
      </w:r>
      <w:r w:rsidR="004D01FE">
        <w:rPr>
          <w:sz w:val="26"/>
          <w:szCs w:val="26"/>
        </w:rPr>
        <w:t>3.</w:t>
      </w:r>
    </w:p>
    <w:p w14:paraId="55D60B0A" w14:textId="77777777" w:rsidR="00C43BAC" w:rsidRDefault="00C43BAC" w:rsidP="00217B05">
      <w:pPr>
        <w:widowControl/>
        <w:spacing w:line="360" w:lineRule="auto"/>
        <w:ind w:firstLine="1440"/>
        <w:contextualSpacing/>
        <w:rPr>
          <w:sz w:val="26"/>
          <w:szCs w:val="26"/>
        </w:rPr>
      </w:pPr>
    </w:p>
    <w:p w14:paraId="429B53E4" w14:textId="74F3F8EE" w:rsidR="007374F6" w:rsidRDefault="00C43BAC" w:rsidP="00217B05">
      <w:pPr>
        <w:widowControl/>
        <w:spacing w:line="360" w:lineRule="auto"/>
        <w:ind w:firstLine="1440"/>
        <w:contextualSpacing/>
        <w:rPr>
          <w:sz w:val="26"/>
          <w:szCs w:val="26"/>
        </w:rPr>
      </w:pPr>
      <w:r>
        <w:rPr>
          <w:sz w:val="26"/>
          <w:szCs w:val="26"/>
        </w:rPr>
        <w:t xml:space="preserve">Dr. </w:t>
      </w:r>
      <w:proofErr w:type="spellStart"/>
      <w:r>
        <w:rPr>
          <w:sz w:val="26"/>
          <w:szCs w:val="26"/>
        </w:rPr>
        <w:t>Loube</w:t>
      </w:r>
      <w:proofErr w:type="spellEnd"/>
      <w:r>
        <w:rPr>
          <w:sz w:val="26"/>
          <w:szCs w:val="26"/>
        </w:rPr>
        <w:t xml:space="preserve"> explained that a telecommunications </w:t>
      </w:r>
      <w:r w:rsidR="00EA1701">
        <w:rPr>
          <w:sz w:val="26"/>
          <w:szCs w:val="26"/>
        </w:rPr>
        <w:t>carr</w:t>
      </w:r>
      <w:r w:rsidR="0070341E">
        <w:rPr>
          <w:sz w:val="26"/>
          <w:szCs w:val="26"/>
        </w:rPr>
        <w:t>i</w:t>
      </w:r>
      <w:r w:rsidR="00EA1701">
        <w:rPr>
          <w:sz w:val="26"/>
          <w:szCs w:val="26"/>
        </w:rPr>
        <w:t>er</w:t>
      </w:r>
      <w:r>
        <w:rPr>
          <w:sz w:val="26"/>
          <w:szCs w:val="26"/>
        </w:rPr>
        <w:t xml:space="preserve"> </w:t>
      </w:r>
      <w:r w:rsidRPr="00C43BAC">
        <w:rPr>
          <w:sz w:val="26"/>
          <w:szCs w:val="26"/>
        </w:rPr>
        <w:t>provides a variety of services and operates in a number of different jurisdictions</w:t>
      </w:r>
      <w:r w:rsidR="00EA1701">
        <w:rPr>
          <w:sz w:val="26"/>
          <w:szCs w:val="26"/>
        </w:rPr>
        <w:t xml:space="preserve"> and noted that some </w:t>
      </w:r>
      <w:r w:rsidRPr="00C43BAC">
        <w:rPr>
          <w:sz w:val="26"/>
          <w:szCs w:val="26"/>
        </w:rPr>
        <w:t xml:space="preserve">of the services have been considered regulated </w:t>
      </w:r>
      <w:r w:rsidR="0070341E">
        <w:rPr>
          <w:sz w:val="26"/>
          <w:szCs w:val="26"/>
        </w:rPr>
        <w:t>services, while others have been considered non</w:t>
      </w:r>
      <w:r w:rsidR="008B58E7">
        <w:rPr>
          <w:sz w:val="26"/>
          <w:szCs w:val="26"/>
        </w:rPr>
        <w:noBreakHyphen/>
      </w:r>
      <w:r w:rsidR="0070341E">
        <w:rPr>
          <w:sz w:val="26"/>
          <w:szCs w:val="26"/>
        </w:rPr>
        <w:t xml:space="preserve">regulated services.  Dr. </w:t>
      </w:r>
      <w:proofErr w:type="spellStart"/>
      <w:r w:rsidR="0070341E">
        <w:rPr>
          <w:sz w:val="26"/>
          <w:szCs w:val="26"/>
        </w:rPr>
        <w:t>Loube</w:t>
      </w:r>
      <w:proofErr w:type="spellEnd"/>
      <w:r w:rsidR="00830733">
        <w:rPr>
          <w:sz w:val="26"/>
          <w:szCs w:val="26"/>
        </w:rPr>
        <w:t xml:space="preserve"> stated</w:t>
      </w:r>
      <w:r w:rsidR="008B58E7">
        <w:rPr>
          <w:sz w:val="26"/>
          <w:szCs w:val="26"/>
        </w:rPr>
        <w:t xml:space="preserve"> that</w:t>
      </w:r>
      <w:r w:rsidR="0070341E">
        <w:rPr>
          <w:sz w:val="26"/>
          <w:szCs w:val="26"/>
        </w:rPr>
        <w:t xml:space="preserve"> </w:t>
      </w:r>
      <w:r w:rsidR="002C3537">
        <w:rPr>
          <w:sz w:val="26"/>
          <w:szCs w:val="26"/>
        </w:rPr>
        <w:t xml:space="preserve">the </w:t>
      </w:r>
      <w:r w:rsidR="002C3537" w:rsidRPr="002C3537">
        <w:rPr>
          <w:sz w:val="26"/>
          <w:szCs w:val="26"/>
        </w:rPr>
        <w:t>major jurisdictional divide is between the interstate and intrastate jurisdiction.</w:t>
      </w:r>
      <w:r w:rsidRPr="00C43BAC">
        <w:rPr>
          <w:sz w:val="26"/>
          <w:szCs w:val="26"/>
        </w:rPr>
        <w:t xml:space="preserve"> </w:t>
      </w:r>
      <w:r w:rsidR="002C3537">
        <w:rPr>
          <w:sz w:val="26"/>
          <w:szCs w:val="26"/>
        </w:rPr>
        <w:t xml:space="preserve"> </w:t>
      </w:r>
      <w:r w:rsidR="00BE3C4A">
        <w:rPr>
          <w:sz w:val="26"/>
          <w:szCs w:val="26"/>
        </w:rPr>
        <w:t xml:space="preserve">After providing a history and explanation of </w:t>
      </w:r>
      <w:r w:rsidR="008B6A53" w:rsidRPr="008B6A53">
        <w:rPr>
          <w:sz w:val="26"/>
          <w:szCs w:val="26"/>
        </w:rPr>
        <w:t xml:space="preserve">cost and tax liability allocation rules and changes in cost assignment rules </w:t>
      </w:r>
      <w:r w:rsidR="008B6A53">
        <w:rPr>
          <w:sz w:val="26"/>
          <w:szCs w:val="26"/>
        </w:rPr>
        <w:t>at the Federal Communications</w:t>
      </w:r>
      <w:r w:rsidR="0087427F">
        <w:rPr>
          <w:sz w:val="26"/>
          <w:szCs w:val="26"/>
        </w:rPr>
        <w:t xml:space="preserve"> Commission</w:t>
      </w:r>
      <w:r w:rsidR="008B6A53">
        <w:rPr>
          <w:sz w:val="26"/>
          <w:szCs w:val="26"/>
        </w:rPr>
        <w:t xml:space="preserve"> (FCC) level, </w:t>
      </w:r>
      <w:r w:rsidR="00022A98">
        <w:rPr>
          <w:sz w:val="26"/>
          <w:szCs w:val="26"/>
        </w:rPr>
        <w:t xml:space="preserve">Dr. </w:t>
      </w:r>
      <w:proofErr w:type="spellStart"/>
      <w:r w:rsidR="00022A98">
        <w:rPr>
          <w:sz w:val="26"/>
          <w:szCs w:val="26"/>
        </w:rPr>
        <w:t>Loube</w:t>
      </w:r>
      <w:proofErr w:type="spellEnd"/>
      <w:r w:rsidR="00022A98">
        <w:rPr>
          <w:sz w:val="26"/>
          <w:szCs w:val="26"/>
        </w:rPr>
        <w:t xml:space="preserve"> argued that </w:t>
      </w:r>
      <w:r w:rsidR="00022A98" w:rsidRPr="00022A98">
        <w:rPr>
          <w:sz w:val="26"/>
          <w:szCs w:val="26"/>
        </w:rPr>
        <w:t>even if the Commission could adjudicate th</w:t>
      </w:r>
      <w:r w:rsidR="007D0522">
        <w:rPr>
          <w:sz w:val="26"/>
          <w:szCs w:val="26"/>
        </w:rPr>
        <w:t>e</w:t>
      </w:r>
      <w:r w:rsidR="00022A98" w:rsidRPr="00022A98">
        <w:rPr>
          <w:sz w:val="26"/>
          <w:szCs w:val="26"/>
        </w:rPr>
        <w:t xml:space="preserve"> various adjustments that would be part of a litigated case</w:t>
      </w:r>
      <w:r w:rsidR="00245C91">
        <w:rPr>
          <w:sz w:val="26"/>
          <w:szCs w:val="26"/>
        </w:rPr>
        <w:t xml:space="preserve">, it would still be necessary to devise a method to allocate </w:t>
      </w:r>
      <w:r w:rsidR="00807C5E" w:rsidRPr="00807C5E">
        <w:rPr>
          <w:sz w:val="26"/>
          <w:szCs w:val="26"/>
        </w:rPr>
        <w:t xml:space="preserve">cost and tax liability between competitive and noncompetitive </w:t>
      </w:r>
      <w:r w:rsidR="00082045" w:rsidRPr="00807C5E">
        <w:rPr>
          <w:sz w:val="26"/>
          <w:szCs w:val="26"/>
        </w:rPr>
        <w:t xml:space="preserve">telecommunications </w:t>
      </w:r>
      <w:r w:rsidR="00807C5E" w:rsidRPr="00807C5E">
        <w:rPr>
          <w:sz w:val="26"/>
          <w:szCs w:val="26"/>
        </w:rPr>
        <w:t>services</w:t>
      </w:r>
      <w:r w:rsidR="00082045" w:rsidRPr="00082045">
        <w:rPr>
          <w:sz w:val="26"/>
          <w:szCs w:val="26"/>
        </w:rPr>
        <w:t xml:space="preserve"> </w:t>
      </w:r>
      <w:r w:rsidR="00082045">
        <w:rPr>
          <w:sz w:val="26"/>
          <w:szCs w:val="26"/>
        </w:rPr>
        <w:t xml:space="preserve">in </w:t>
      </w:r>
      <w:r w:rsidR="00082045" w:rsidRPr="00807C5E">
        <w:rPr>
          <w:sz w:val="26"/>
          <w:szCs w:val="26"/>
        </w:rPr>
        <w:t>Pennsylvania</w:t>
      </w:r>
      <w:r w:rsidR="00807C5E" w:rsidRPr="00807C5E">
        <w:rPr>
          <w:sz w:val="26"/>
          <w:szCs w:val="26"/>
        </w:rPr>
        <w:t>.</w:t>
      </w:r>
      <w:r w:rsidR="00310951">
        <w:rPr>
          <w:sz w:val="26"/>
          <w:szCs w:val="26"/>
        </w:rPr>
        <w:t xml:space="preserve"> </w:t>
      </w:r>
      <w:r w:rsidR="00830733">
        <w:rPr>
          <w:sz w:val="26"/>
          <w:szCs w:val="26"/>
        </w:rPr>
        <w:t xml:space="preserve"> OCA Verified Witness Statement at 3-</w:t>
      </w:r>
      <w:r w:rsidR="003F50C1">
        <w:rPr>
          <w:sz w:val="26"/>
          <w:szCs w:val="26"/>
        </w:rPr>
        <w:t>9</w:t>
      </w:r>
      <w:r w:rsidR="00830733">
        <w:rPr>
          <w:sz w:val="26"/>
          <w:szCs w:val="26"/>
        </w:rPr>
        <w:t>.</w:t>
      </w:r>
    </w:p>
    <w:p w14:paraId="07EEBDC6" w14:textId="6CF30B2D" w:rsidR="00830733" w:rsidRDefault="00830733" w:rsidP="00217B05">
      <w:pPr>
        <w:widowControl/>
        <w:spacing w:line="360" w:lineRule="auto"/>
        <w:ind w:firstLine="1440"/>
        <w:contextualSpacing/>
        <w:rPr>
          <w:sz w:val="26"/>
          <w:szCs w:val="26"/>
        </w:rPr>
      </w:pPr>
    </w:p>
    <w:p w14:paraId="4300AAAB" w14:textId="447ACC57" w:rsidR="00830733" w:rsidRDefault="00830733" w:rsidP="00217B05">
      <w:pPr>
        <w:widowControl/>
        <w:spacing w:line="360" w:lineRule="auto"/>
        <w:ind w:firstLine="1440"/>
        <w:contextualSpacing/>
        <w:rPr>
          <w:sz w:val="26"/>
          <w:szCs w:val="26"/>
        </w:rPr>
      </w:pPr>
      <w:r>
        <w:rPr>
          <w:sz w:val="26"/>
          <w:szCs w:val="26"/>
        </w:rPr>
        <w:t>Ac</w:t>
      </w:r>
      <w:r w:rsidR="00B461B0">
        <w:rPr>
          <w:sz w:val="26"/>
          <w:szCs w:val="26"/>
        </w:rPr>
        <w:t xml:space="preserve">cording to Dr. </w:t>
      </w:r>
      <w:proofErr w:type="spellStart"/>
      <w:r w:rsidR="00B461B0">
        <w:rPr>
          <w:sz w:val="26"/>
          <w:szCs w:val="26"/>
        </w:rPr>
        <w:t>Loube</w:t>
      </w:r>
      <w:proofErr w:type="spellEnd"/>
      <w:r w:rsidR="00B461B0">
        <w:rPr>
          <w:sz w:val="26"/>
          <w:szCs w:val="26"/>
        </w:rPr>
        <w:t xml:space="preserve">, </w:t>
      </w:r>
      <w:r w:rsidR="00565865">
        <w:rPr>
          <w:sz w:val="26"/>
          <w:szCs w:val="26"/>
        </w:rPr>
        <w:t>the Commission has never</w:t>
      </w:r>
      <w:r w:rsidR="00565865" w:rsidRPr="00565865">
        <w:rPr>
          <w:sz w:val="26"/>
          <w:szCs w:val="26"/>
        </w:rPr>
        <w:t xml:space="preserve"> required </w:t>
      </w:r>
      <w:r w:rsidR="00565865">
        <w:rPr>
          <w:sz w:val="26"/>
          <w:szCs w:val="26"/>
        </w:rPr>
        <w:t xml:space="preserve">an </w:t>
      </w:r>
      <w:r w:rsidR="00970294">
        <w:rPr>
          <w:sz w:val="26"/>
          <w:szCs w:val="26"/>
        </w:rPr>
        <w:t xml:space="preserve">ILEC </w:t>
      </w:r>
      <w:r w:rsidR="001F14A9">
        <w:rPr>
          <w:sz w:val="26"/>
          <w:szCs w:val="26"/>
        </w:rPr>
        <w:t xml:space="preserve">that is </w:t>
      </w:r>
      <w:r w:rsidR="00970294">
        <w:rPr>
          <w:sz w:val="26"/>
          <w:szCs w:val="26"/>
        </w:rPr>
        <w:t xml:space="preserve">governed under </w:t>
      </w:r>
      <w:r w:rsidR="00AB7C06">
        <w:rPr>
          <w:sz w:val="26"/>
          <w:szCs w:val="26"/>
        </w:rPr>
        <w:t>Chapter 30</w:t>
      </w:r>
      <w:r w:rsidR="00970294">
        <w:rPr>
          <w:sz w:val="26"/>
          <w:szCs w:val="26"/>
        </w:rPr>
        <w:t xml:space="preserve"> alternative regulation</w:t>
      </w:r>
      <w:r w:rsidR="00565865" w:rsidRPr="00565865">
        <w:rPr>
          <w:sz w:val="26"/>
          <w:szCs w:val="26"/>
        </w:rPr>
        <w:t xml:space="preserve"> to construct a cost study that would divide investments, expenses</w:t>
      </w:r>
      <w:r w:rsidR="00970294">
        <w:rPr>
          <w:sz w:val="26"/>
          <w:szCs w:val="26"/>
        </w:rPr>
        <w:t>,</w:t>
      </w:r>
      <w:r w:rsidR="00565865" w:rsidRPr="00565865">
        <w:rPr>
          <w:sz w:val="26"/>
          <w:szCs w:val="26"/>
        </w:rPr>
        <w:t xml:space="preserve"> and taxes between competitive and noncompetitive services</w:t>
      </w:r>
      <w:r w:rsidR="00970294">
        <w:rPr>
          <w:sz w:val="26"/>
          <w:szCs w:val="26"/>
        </w:rPr>
        <w:t xml:space="preserve">.  </w:t>
      </w:r>
      <w:r w:rsidR="007D757F">
        <w:rPr>
          <w:sz w:val="26"/>
          <w:szCs w:val="26"/>
        </w:rPr>
        <w:t xml:space="preserve">Dr. </w:t>
      </w:r>
      <w:proofErr w:type="spellStart"/>
      <w:r w:rsidR="007D757F">
        <w:rPr>
          <w:sz w:val="26"/>
          <w:szCs w:val="26"/>
        </w:rPr>
        <w:t>Loube</w:t>
      </w:r>
      <w:proofErr w:type="spellEnd"/>
      <w:r w:rsidR="007D757F">
        <w:rPr>
          <w:sz w:val="26"/>
          <w:szCs w:val="26"/>
        </w:rPr>
        <w:t xml:space="preserve"> contended that</w:t>
      </w:r>
      <w:r w:rsidR="00E07F10">
        <w:rPr>
          <w:sz w:val="26"/>
          <w:szCs w:val="26"/>
        </w:rPr>
        <w:t xml:space="preserve"> requiring the Parties to undergo </w:t>
      </w:r>
      <w:r w:rsidR="00E07F10" w:rsidRPr="00E07F10">
        <w:rPr>
          <w:sz w:val="26"/>
          <w:szCs w:val="26"/>
        </w:rPr>
        <w:t xml:space="preserve">quantification and allocation of savings arising from the TCJA </w:t>
      </w:r>
      <w:r w:rsidR="007B4DBA">
        <w:rPr>
          <w:sz w:val="26"/>
          <w:szCs w:val="26"/>
        </w:rPr>
        <w:t>would be</w:t>
      </w:r>
      <w:r w:rsidR="00E07F10" w:rsidRPr="00E07F10">
        <w:rPr>
          <w:sz w:val="26"/>
          <w:szCs w:val="26"/>
        </w:rPr>
        <w:t xml:space="preserve"> complicated</w:t>
      </w:r>
      <w:r w:rsidR="00E07F10">
        <w:rPr>
          <w:sz w:val="26"/>
          <w:szCs w:val="26"/>
        </w:rPr>
        <w:t xml:space="preserve"> and unduly burdensome</w:t>
      </w:r>
      <w:r w:rsidR="00373CED">
        <w:rPr>
          <w:sz w:val="26"/>
          <w:szCs w:val="26"/>
        </w:rPr>
        <w:t>,</w:t>
      </w:r>
      <w:r w:rsidR="00E07F10" w:rsidRPr="00E07F10">
        <w:rPr>
          <w:sz w:val="26"/>
          <w:szCs w:val="26"/>
        </w:rPr>
        <w:t xml:space="preserve"> and would consume significant resources</w:t>
      </w:r>
      <w:r w:rsidR="00565865" w:rsidRPr="00565865">
        <w:rPr>
          <w:sz w:val="26"/>
          <w:szCs w:val="26"/>
        </w:rPr>
        <w:t>.</w:t>
      </w:r>
      <w:r w:rsidR="007B4DBA">
        <w:rPr>
          <w:sz w:val="26"/>
          <w:szCs w:val="26"/>
        </w:rPr>
        <w:t xml:space="preserve">  Dr. </w:t>
      </w:r>
      <w:proofErr w:type="spellStart"/>
      <w:r w:rsidR="007B4DBA">
        <w:rPr>
          <w:sz w:val="26"/>
          <w:szCs w:val="26"/>
        </w:rPr>
        <w:t>Loube</w:t>
      </w:r>
      <w:proofErr w:type="spellEnd"/>
      <w:r w:rsidR="007B4DBA">
        <w:rPr>
          <w:sz w:val="26"/>
          <w:szCs w:val="26"/>
        </w:rPr>
        <w:t xml:space="preserve"> also pointed to the size of the Company’s cumulative bank.  More specifically, Dr. </w:t>
      </w:r>
      <w:proofErr w:type="spellStart"/>
      <w:r w:rsidR="007B4DBA">
        <w:rPr>
          <w:sz w:val="26"/>
          <w:szCs w:val="26"/>
        </w:rPr>
        <w:t>Loube</w:t>
      </w:r>
      <w:proofErr w:type="spellEnd"/>
      <w:r w:rsidR="007B4DBA">
        <w:rPr>
          <w:sz w:val="26"/>
          <w:szCs w:val="26"/>
        </w:rPr>
        <w:t xml:space="preserve"> noted that the Company’s cumulative bank was in excess of $9.6 </w:t>
      </w:r>
      <w:r w:rsidR="004F3D38">
        <w:rPr>
          <w:sz w:val="26"/>
          <w:szCs w:val="26"/>
        </w:rPr>
        <w:t>Million</w:t>
      </w:r>
      <w:r w:rsidR="007B4DBA">
        <w:rPr>
          <w:sz w:val="26"/>
          <w:szCs w:val="26"/>
        </w:rPr>
        <w:t xml:space="preserve"> before its </w:t>
      </w:r>
      <w:r w:rsidR="00E345CB">
        <w:rPr>
          <w:sz w:val="26"/>
          <w:szCs w:val="26"/>
        </w:rPr>
        <w:t>2018 and 2019</w:t>
      </w:r>
      <w:r w:rsidR="007368B6">
        <w:rPr>
          <w:sz w:val="26"/>
          <w:szCs w:val="26"/>
        </w:rPr>
        <w:t> </w:t>
      </w:r>
      <w:r w:rsidR="00E345CB">
        <w:rPr>
          <w:sz w:val="26"/>
          <w:szCs w:val="26"/>
        </w:rPr>
        <w:t>PSI</w:t>
      </w:r>
      <w:r w:rsidR="0087427F">
        <w:rPr>
          <w:sz w:val="26"/>
          <w:szCs w:val="26"/>
        </w:rPr>
        <w:t>/SPI</w:t>
      </w:r>
      <w:r w:rsidR="00E345CB">
        <w:rPr>
          <w:sz w:val="26"/>
          <w:szCs w:val="26"/>
        </w:rPr>
        <w:t xml:space="preserve"> Filings</w:t>
      </w:r>
      <w:r w:rsidR="00373CED">
        <w:rPr>
          <w:sz w:val="26"/>
          <w:szCs w:val="26"/>
        </w:rPr>
        <w:t xml:space="preserve">.  As such, Dr. </w:t>
      </w:r>
      <w:proofErr w:type="spellStart"/>
      <w:r w:rsidR="00373CED">
        <w:rPr>
          <w:sz w:val="26"/>
          <w:szCs w:val="26"/>
        </w:rPr>
        <w:t>Loube</w:t>
      </w:r>
      <w:proofErr w:type="spellEnd"/>
      <w:r w:rsidR="00373CED">
        <w:rPr>
          <w:sz w:val="26"/>
          <w:szCs w:val="26"/>
        </w:rPr>
        <w:t xml:space="preserve"> posited</w:t>
      </w:r>
      <w:r w:rsidR="00E345CB">
        <w:rPr>
          <w:sz w:val="26"/>
          <w:szCs w:val="26"/>
        </w:rPr>
        <w:t xml:space="preserve"> that these banked revenue increases </w:t>
      </w:r>
      <w:r w:rsidR="00692BE5" w:rsidRPr="00692BE5">
        <w:rPr>
          <w:sz w:val="26"/>
          <w:szCs w:val="26"/>
        </w:rPr>
        <w:t>could allow the Company to offset</w:t>
      </w:r>
      <w:r w:rsidR="00692BE5">
        <w:rPr>
          <w:sz w:val="26"/>
          <w:szCs w:val="26"/>
        </w:rPr>
        <w:t>,</w:t>
      </w:r>
      <w:r w:rsidR="00692BE5" w:rsidRPr="00692BE5">
        <w:rPr>
          <w:sz w:val="26"/>
          <w:szCs w:val="26"/>
        </w:rPr>
        <w:t xml:space="preserve"> or make short-lived</w:t>
      </w:r>
      <w:r w:rsidR="00692BE5">
        <w:rPr>
          <w:sz w:val="26"/>
          <w:szCs w:val="26"/>
        </w:rPr>
        <w:t>,</w:t>
      </w:r>
      <w:r w:rsidR="00692BE5" w:rsidRPr="00692BE5">
        <w:rPr>
          <w:sz w:val="26"/>
          <w:szCs w:val="26"/>
        </w:rPr>
        <w:t xml:space="preserve"> any rate decrease tied to </w:t>
      </w:r>
      <w:r w:rsidR="0087427F">
        <w:rPr>
          <w:sz w:val="26"/>
          <w:szCs w:val="26"/>
        </w:rPr>
        <w:t xml:space="preserve">the </w:t>
      </w:r>
      <w:r w:rsidR="00692BE5" w:rsidRPr="00692BE5">
        <w:rPr>
          <w:sz w:val="26"/>
          <w:szCs w:val="26"/>
        </w:rPr>
        <w:t xml:space="preserve">quantification of </w:t>
      </w:r>
      <w:r w:rsidR="0087427F">
        <w:rPr>
          <w:sz w:val="26"/>
          <w:szCs w:val="26"/>
        </w:rPr>
        <w:t xml:space="preserve">TCJA </w:t>
      </w:r>
      <w:r w:rsidR="00692BE5" w:rsidRPr="00692BE5">
        <w:rPr>
          <w:sz w:val="26"/>
          <w:szCs w:val="26"/>
        </w:rPr>
        <w:t>tax savings recognized in a</w:t>
      </w:r>
      <w:r w:rsidR="00692BE5">
        <w:rPr>
          <w:sz w:val="26"/>
          <w:szCs w:val="26"/>
        </w:rPr>
        <w:t xml:space="preserve">n annual PSI/SPI Filing.  OCA Verified Witness Statement at </w:t>
      </w:r>
      <w:r w:rsidR="00041A40">
        <w:rPr>
          <w:sz w:val="26"/>
          <w:szCs w:val="26"/>
        </w:rPr>
        <w:t xml:space="preserve">3, </w:t>
      </w:r>
      <w:r w:rsidR="00692BE5">
        <w:rPr>
          <w:sz w:val="26"/>
          <w:szCs w:val="26"/>
        </w:rPr>
        <w:t>9.</w:t>
      </w:r>
    </w:p>
    <w:p w14:paraId="769B2058" w14:textId="3834CF7F" w:rsidR="00692BE5" w:rsidRDefault="00692BE5" w:rsidP="00217B05">
      <w:pPr>
        <w:widowControl/>
        <w:spacing w:line="360" w:lineRule="auto"/>
        <w:ind w:firstLine="1440"/>
        <w:contextualSpacing/>
        <w:rPr>
          <w:sz w:val="26"/>
          <w:szCs w:val="26"/>
        </w:rPr>
      </w:pPr>
    </w:p>
    <w:p w14:paraId="5D091AF8" w14:textId="2BCDA4B5" w:rsidR="00692BE5" w:rsidRPr="001471C8" w:rsidRDefault="00240E7D"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Based on the above</w:t>
      </w:r>
      <w:r w:rsidR="006D5E76">
        <w:rPr>
          <w:rStyle w:val="Hyperlink"/>
          <w:color w:val="auto"/>
          <w:sz w:val="26"/>
          <w:szCs w:val="26"/>
          <w:u w:val="none"/>
        </w:rPr>
        <w:t xml:space="preserve">, Dr. </w:t>
      </w:r>
      <w:proofErr w:type="spellStart"/>
      <w:r w:rsidR="006D5E76">
        <w:rPr>
          <w:rStyle w:val="Hyperlink"/>
          <w:color w:val="auto"/>
          <w:sz w:val="26"/>
          <w:szCs w:val="26"/>
          <w:u w:val="none"/>
        </w:rPr>
        <w:t>Loube</w:t>
      </w:r>
      <w:proofErr w:type="spellEnd"/>
      <w:r w:rsidR="006D5E76">
        <w:rPr>
          <w:rStyle w:val="Hyperlink"/>
          <w:color w:val="auto"/>
          <w:sz w:val="26"/>
          <w:szCs w:val="26"/>
          <w:u w:val="none"/>
        </w:rPr>
        <w:t xml:space="preserve"> submitted that the Settlement should be approved.  In Dr. </w:t>
      </w:r>
      <w:proofErr w:type="spellStart"/>
      <w:r w:rsidR="006D5E76">
        <w:rPr>
          <w:rStyle w:val="Hyperlink"/>
          <w:color w:val="auto"/>
          <w:sz w:val="26"/>
          <w:szCs w:val="26"/>
          <w:u w:val="none"/>
        </w:rPr>
        <w:t>Loube’s</w:t>
      </w:r>
      <w:proofErr w:type="spellEnd"/>
      <w:r w:rsidR="006D5E76">
        <w:rPr>
          <w:rStyle w:val="Hyperlink"/>
          <w:color w:val="auto"/>
          <w:sz w:val="26"/>
          <w:szCs w:val="26"/>
          <w:u w:val="none"/>
        </w:rPr>
        <w:t xml:space="preserve"> view, the Settlement provides benefits to CenturyLink’s customers in the form of the elimination of possible future rate increases</w:t>
      </w:r>
      <w:r w:rsidR="00990809">
        <w:rPr>
          <w:rStyle w:val="Hyperlink"/>
          <w:color w:val="auto"/>
          <w:sz w:val="26"/>
          <w:szCs w:val="26"/>
          <w:u w:val="none"/>
        </w:rPr>
        <w:t xml:space="preserve">.  Dr. </w:t>
      </w:r>
      <w:proofErr w:type="spellStart"/>
      <w:r w:rsidR="00990809">
        <w:rPr>
          <w:rStyle w:val="Hyperlink"/>
          <w:color w:val="auto"/>
          <w:sz w:val="26"/>
          <w:szCs w:val="26"/>
          <w:u w:val="none"/>
        </w:rPr>
        <w:t>Loube</w:t>
      </w:r>
      <w:proofErr w:type="spellEnd"/>
      <w:r w:rsidR="00990809">
        <w:rPr>
          <w:rStyle w:val="Hyperlink"/>
          <w:color w:val="auto"/>
          <w:sz w:val="26"/>
          <w:szCs w:val="26"/>
          <w:u w:val="none"/>
        </w:rPr>
        <w:t xml:space="preserve"> </w:t>
      </w:r>
      <w:r w:rsidR="00D57AE0">
        <w:rPr>
          <w:rStyle w:val="Hyperlink"/>
          <w:color w:val="auto"/>
          <w:sz w:val="26"/>
          <w:szCs w:val="26"/>
          <w:u w:val="none"/>
        </w:rPr>
        <w:t>stressed</w:t>
      </w:r>
      <w:r w:rsidR="00990809">
        <w:rPr>
          <w:rStyle w:val="Hyperlink"/>
          <w:color w:val="auto"/>
          <w:sz w:val="26"/>
          <w:szCs w:val="26"/>
          <w:u w:val="none"/>
        </w:rPr>
        <w:t xml:space="preserve"> </w:t>
      </w:r>
      <w:r w:rsidR="00D57AE0">
        <w:rPr>
          <w:rStyle w:val="Hyperlink"/>
          <w:color w:val="auto"/>
          <w:sz w:val="26"/>
          <w:szCs w:val="26"/>
          <w:u w:val="none"/>
        </w:rPr>
        <w:t>that the Company has agreed</w:t>
      </w:r>
      <w:r w:rsidR="00990809">
        <w:rPr>
          <w:rStyle w:val="Hyperlink"/>
          <w:color w:val="auto"/>
          <w:sz w:val="26"/>
          <w:szCs w:val="26"/>
          <w:u w:val="none"/>
        </w:rPr>
        <w:t xml:space="preserve"> </w:t>
      </w:r>
      <w:r w:rsidR="002D111F">
        <w:rPr>
          <w:rStyle w:val="Hyperlink"/>
          <w:color w:val="auto"/>
          <w:sz w:val="26"/>
          <w:szCs w:val="26"/>
          <w:u w:val="none"/>
        </w:rPr>
        <w:t xml:space="preserve">to </w:t>
      </w:r>
      <w:r w:rsidR="00990809">
        <w:rPr>
          <w:rStyle w:val="Hyperlink"/>
          <w:color w:val="auto"/>
          <w:sz w:val="26"/>
          <w:szCs w:val="26"/>
          <w:u w:val="none"/>
        </w:rPr>
        <w:t xml:space="preserve">postpone any rate increases to its noncompetitive services through at least </w:t>
      </w:r>
      <w:r w:rsidR="00D57AE0">
        <w:rPr>
          <w:rStyle w:val="Hyperlink"/>
          <w:color w:val="auto"/>
          <w:sz w:val="26"/>
          <w:szCs w:val="26"/>
          <w:u w:val="none"/>
        </w:rPr>
        <w:t>mid-</w:t>
      </w:r>
      <w:r w:rsidR="00990809">
        <w:rPr>
          <w:rStyle w:val="Hyperlink"/>
          <w:color w:val="auto"/>
          <w:sz w:val="26"/>
          <w:szCs w:val="26"/>
          <w:u w:val="none"/>
        </w:rPr>
        <w:t>December of 2021 and to forgo</w:t>
      </w:r>
      <w:r w:rsidR="00041A40">
        <w:rPr>
          <w:rStyle w:val="Hyperlink"/>
          <w:color w:val="auto"/>
          <w:sz w:val="26"/>
          <w:szCs w:val="26"/>
          <w:u w:val="none"/>
        </w:rPr>
        <w:t xml:space="preserve"> banking the</w:t>
      </w:r>
      <w:r w:rsidR="0087427F">
        <w:rPr>
          <w:rStyle w:val="Hyperlink"/>
          <w:color w:val="auto"/>
          <w:sz w:val="26"/>
          <w:szCs w:val="26"/>
          <w:u w:val="none"/>
        </w:rPr>
        <w:t xml:space="preserve"> </w:t>
      </w:r>
      <w:r w:rsidR="008725E2">
        <w:rPr>
          <w:rStyle w:val="Hyperlink"/>
          <w:color w:val="auto"/>
          <w:sz w:val="26"/>
          <w:szCs w:val="26"/>
          <w:u w:val="none"/>
        </w:rPr>
        <w:t>authorized revenue increases to its noncompetitive services</w:t>
      </w:r>
      <w:r w:rsidR="00041A40">
        <w:rPr>
          <w:rStyle w:val="Hyperlink"/>
          <w:color w:val="auto"/>
          <w:sz w:val="26"/>
          <w:szCs w:val="26"/>
          <w:u w:val="none"/>
        </w:rPr>
        <w:t xml:space="preserve"> under its 2018, 2019, and 2020 PSI/SPI </w:t>
      </w:r>
      <w:r w:rsidR="005B617A">
        <w:rPr>
          <w:rStyle w:val="Hyperlink"/>
          <w:color w:val="auto"/>
          <w:sz w:val="26"/>
          <w:szCs w:val="26"/>
          <w:u w:val="none"/>
        </w:rPr>
        <w:t>F</w:t>
      </w:r>
      <w:r w:rsidR="00041A40">
        <w:rPr>
          <w:rStyle w:val="Hyperlink"/>
          <w:color w:val="auto"/>
          <w:sz w:val="26"/>
          <w:szCs w:val="26"/>
          <w:u w:val="none"/>
        </w:rPr>
        <w:t>ilings.  OCA Verified Witness Statement at 9</w:t>
      </w:r>
      <w:r w:rsidR="00C645BE">
        <w:rPr>
          <w:rStyle w:val="Hyperlink"/>
          <w:color w:val="auto"/>
          <w:sz w:val="26"/>
          <w:szCs w:val="26"/>
          <w:u w:val="none"/>
        </w:rPr>
        <w:t>.</w:t>
      </w:r>
    </w:p>
    <w:p w14:paraId="1BDCFC47" w14:textId="2DF909D8" w:rsidR="00284C33" w:rsidRPr="001471C8" w:rsidRDefault="00284C33" w:rsidP="00217B05">
      <w:pPr>
        <w:widowControl/>
        <w:spacing w:line="360" w:lineRule="auto"/>
        <w:ind w:firstLine="1440"/>
        <w:contextualSpacing/>
        <w:rPr>
          <w:rStyle w:val="Hyperlink"/>
          <w:color w:val="auto"/>
          <w:sz w:val="26"/>
          <w:szCs w:val="26"/>
          <w:u w:val="none"/>
        </w:rPr>
      </w:pPr>
    </w:p>
    <w:p w14:paraId="45FB6747" w14:textId="2575F01F" w:rsidR="0094146F" w:rsidRPr="001471C8" w:rsidRDefault="0094146F" w:rsidP="00217B05">
      <w:pPr>
        <w:pStyle w:val="Heading4"/>
        <w:keepNext/>
        <w:keepLines/>
        <w:numPr>
          <w:ilvl w:val="0"/>
          <w:numId w:val="36"/>
        </w:numPr>
        <w:spacing w:before="0" w:beforeAutospacing="0" w:after="0" w:afterAutospacing="0" w:line="360" w:lineRule="auto"/>
        <w:ind w:left="2160" w:hanging="720"/>
        <w:contextualSpacing/>
        <w:rPr>
          <w:rStyle w:val="Hyperlink"/>
          <w:color w:val="auto"/>
          <w:sz w:val="26"/>
          <w:szCs w:val="26"/>
          <w:u w:val="none"/>
        </w:rPr>
      </w:pPr>
      <w:r w:rsidRPr="001471C8">
        <w:rPr>
          <w:rStyle w:val="Hyperlink"/>
          <w:color w:val="auto"/>
          <w:sz w:val="26"/>
          <w:szCs w:val="26"/>
          <w:u w:val="none"/>
        </w:rPr>
        <w:t>OSBA</w:t>
      </w:r>
    </w:p>
    <w:p w14:paraId="57E0A70C" w14:textId="3889A67C" w:rsidR="0094146F" w:rsidRPr="001471C8" w:rsidRDefault="0094146F" w:rsidP="00217B05">
      <w:pPr>
        <w:keepNext/>
        <w:keepLines/>
        <w:widowControl/>
        <w:spacing w:line="360" w:lineRule="auto"/>
        <w:ind w:firstLine="1440"/>
        <w:contextualSpacing/>
        <w:rPr>
          <w:rStyle w:val="Hyperlink"/>
          <w:color w:val="auto"/>
          <w:sz w:val="26"/>
          <w:szCs w:val="26"/>
          <w:u w:val="none"/>
        </w:rPr>
      </w:pPr>
    </w:p>
    <w:p w14:paraId="4DE1699D" w14:textId="394A9CF5" w:rsidR="009A0885" w:rsidRPr="001471C8" w:rsidRDefault="000B4EFF" w:rsidP="00217B05">
      <w:pPr>
        <w:widowControl/>
        <w:spacing w:line="360" w:lineRule="auto"/>
        <w:ind w:firstLine="1440"/>
        <w:contextualSpacing/>
        <w:rPr>
          <w:sz w:val="26"/>
          <w:szCs w:val="26"/>
        </w:rPr>
      </w:pPr>
      <w:r w:rsidRPr="001471C8">
        <w:rPr>
          <w:rStyle w:val="Hyperlink"/>
          <w:color w:val="auto"/>
          <w:sz w:val="26"/>
          <w:szCs w:val="26"/>
          <w:u w:val="none"/>
        </w:rPr>
        <w:t>In its Statement in Support, the OSBA</w:t>
      </w:r>
      <w:r w:rsidR="002F6FDB">
        <w:rPr>
          <w:rStyle w:val="Hyperlink"/>
          <w:color w:val="auto"/>
          <w:sz w:val="26"/>
          <w:szCs w:val="26"/>
          <w:u w:val="none"/>
        </w:rPr>
        <w:t>,</w:t>
      </w:r>
      <w:r w:rsidR="00752DAE">
        <w:rPr>
          <w:rStyle w:val="Hyperlink"/>
          <w:color w:val="auto"/>
          <w:sz w:val="26"/>
          <w:szCs w:val="26"/>
          <w:u w:val="none"/>
        </w:rPr>
        <w:t xml:space="preserve"> likewise</w:t>
      </w:r>
      <w:r w:rsidR="002F6FDB">
        <w:rPr>
          <w:rStyle w:val="Hyperlink"/>
          <w:color w:val="auto"/>
          <w:sz w:val="26"/>
          <w:szCs w:val="26"/>
          <w:u w:val="none"/>
        </w:rPr>
        <w:t>,</w:t>
      </w:r>
      <w:r w:rsidR="00631E18">
        <w:rPr>
          <w:rStyle w:val="Hyperlink"/>
          <w:color w:val="auto"/>
          <w:sz w:val="26"/>
          <w:szCs w:val="26"/>
          <w:u w:val="none"/>
        </w:rPr>
        <w:t xml:space="preserve"> </w:t>
      </w:r>
      <w:r w:rsidR="001E50A5">
        <w:rPr>
          <w:rStyle w:val="Hyperlink"/>
          <w:color w:val="auto"/>
          <w:sz w:val="26"/>
          <w:szCs w:val="26"/>
          <w:u w:val="none"/>
        </w:rPr>
        <w:t>noted that</w:t>
      </w:r>
      <w:r w:rsidR="00631E18">
        <w:rPr>
          <w:rStyle w:val="Hyperlink"/>
          <w:color w:val="auto"/>
          <w:sz w:val="26"/>
          <w:szCs w:val="26"/>
          <w:u w:val="none"/>
        </w:rPr>
        <w:t xml:space="preserve"> the </w:t>
      </w:r>
      <w:r w:rsidR="00CB36E2">
        <w:rPr>
          <w:rStyle w:val="Hyperlink"/>
          <w:color w:val="auto"/>
          <w:sz w:val="26"/>
          <w:szCs w:val="26"/>
          <w:u w:val="none"/>
        </w:rPr>
        <w:t xml:space="preserve">electric, natural gas, and water </w:t>
      </w:r>
      <w:r w:rsidR="005E5D10">
        <w:rPr>
          <w:rStyle w:val="Hyperlink"/>
          <w:color w:val="auto"/>
          <w:sz w:val="26"/>
          <w:szCs w:val="26"/>
          <w:u w:val="none"/>
        </w:rPr>
        <w:t>utilities under the Commission’s jurisdiction are subject to traditiona</w:t>
      </w:r>
      <w:r w:rsidR="001E50A5">
        <w:rPr>
          <w:rStyle w:val="Hyperlink"/>
          <w:color w:val="auto"/>
          <w:sz w:val="26"/>
          <w:szCs w:val="26"/>
          <w:u w:val="none"/>
        </w:rPr>
        <w:t>l</w:t>
      </w:r>
      <w:r w:rsidR="005E5D10">
        <w:rPr>
          <w:rStyle w:val="Hyperlink"/>
          <w:color w:val="auto"/>
          <w:sz w:val="26"/>
          <w:szCs w:val="26"/>
          <w:u w:val="none"/>
        </w:rPr>
        <w:t xml:space="preserve"> rate base</w:t>
      </w:r>
      <w:r w:rsidR="002F6FDB">
        <w:rPr>
          <w:rStyle w:val="Hyperlink"/>
          <w:color w:val="auto"/>
          <w:sz w:val="26"/>
          <w:szCs w:val="26"/>
          <w:u w:val="none"/>
        </w:rPr>
        <w:t>/</w:t>
      </w:r>
      <w:r w:rsidR="001E50A5">
        <w:rPr>
          <w:rStyle w:val="Hyperlink"/>
          <w:color w:val="auto"/>
          <w:sz w:val="26"/>
          <w:szCs w:val="26"/>
          <w:u w:val="none"/>
        </w:rPr>
        <w:t>rate of return regulation</w:t>
      </w:r>
      <w:r w:rsidR="004E7A93">
        <w:rPr>
          <w:rStyle w:val="Hyperlink"/>
          <w:color w:val="auto"/>
          <w:sz w:val="26"/>
          <w:szCs w:val="26"/>
          <w:u w:val="none"/>
        </w:rPr>
        <w:t xml:space="preserve">.  As such, the OSBA stated that these utilities have detailed, documented, and readily available financial information.  In contrast, </w:t>
      </w:r>
      <w:r w:rsidR="00EA4B39">
        <w:rPr>
          <w:rStyle w:val="Hyperlink"/>
          <w:color w:val="auto"/>
          <w:sz w:val="26"/>
          <w:szCs w:val="26"/>
          <w:u w:val="none"/>
        </w:rPr>
        <w:t>the OSBA submitted that the ILEC</w:t>
      </w:r>
      <w:r w:rsidR="002F6FDB">
        <w:rPr>
          <w:rStyle w:val="Hyperlink"/>
          <w:color w:val="auto"/>
          <w:sz w:val="26"/>
          <w:szCs w:val="26"/>
          <w:u w:val="none"/>
        </w:rPr>
        <w:t>s</w:t>
      </w:r>
      <w:r w:rsidR="00EA4B39">
        <w:rPr>
          <w:rStyle w:val="Hyperlink"/>
          <w:color w:val="auto"/>
          <w:sz w:val="26"/>
          <w:szCs w:val="26"/>
          <w:u w:val="none"/>
        </w:rPr>
        <w:t xml:space="preserve"> </w:t>
      </w:r>
      <w:r w:rsidR="008F40F2" w:rsidRPr="001471C8">
        <w:rPr>
          <w:sz w:val="26"/>
          <w:szCs w:val="26"/>
        </w:rPr>
        <w:t xml:space="preserve">in Pennsylvania </w:t>
      </w:r>
      <w:r w:rsidR="00014AAB" w:rsidRPr="001471C8">
        <w:rPr>
          <w:sz w:val="26"/>
          <w:szCs w:val="26"/>
        </w:rPr>
        <w:t xml:space="preserve">have been subject to alternative rate regulation since Chapter 30 was first enacted in 1993 such that detailed financial data is no longer available for those companies. </w:t>
      </w:r>
      <w:r w:rsidR="008F40F2" w:rsidRPr="001471C8">
        <w:rPr>
          <w:sz w:val="26"/>
          <w:szCs w:val="26"/>
        </w:rPr>
        <w:t xml:space="preserve"> </w:t>
      </w:r>
      <w:r w:rsidR="0036302C" w:rsidRPr="001471C8">
        <w:rPr>
          <w:sz w:val="26"/>
          <w:szCs w:val="26"/>
        </w:rPr>
        <w:t>According to the OSBA, this</w:t>
      </w:r>
      <w:r w:rsidR="00014AAB" w:rsidRPr="001471C8">
        <w:rPr>
          <w:sz w:val="26"/>
          <w:szCs w:val="26"/>
        </w:rPr>
        <w:t xml:space="preserve"> supports </w:t>
      </w:r>
      <w:r w:rsidR="00A303CD" w:rsidRPr="001471C8">
        <w:rPr>
          <w:sz w:val="26"/>
          <w:szCs w:val="26"/>
        </w:rPr>
        <w:t>a finding</w:t>
      </w:r>
      <w:r w:rsidR="00014AAB" w:rsidRPr="001471C8">
        <w:rPr>
          <w:sz w:val="26"/>
          <w:szCs w:val="26"/>
        </w:rPr>
        <w:t xml:space="preserve"> that the </w:t>
      </w:r>
      <w:r w:rsidR="00A303CD" w:rsidRPr="001471C8">
        <w:rPr>
          <w:sz w:val="26"/>
          <w:szCs w:val="26"/>
        </w:rPr>
        <w:t>S</w:t>
      </w:r>
      <w:r w:rsidR="00014AAB" w:rsidRPr="001471C8">
        <w:rPr>
          <w:sz w:val="26"/>
          <w:szCs w:val="26"/>
        </w:rPr>
        <w:t xml:space="preserve">ettlement is in the public interest because the impact of the TCJA on </w:t>
      </w:r>
      <w:r w:rsidR="00A303CD" w:rsidRPr="001471C8">
        <w:rPr>
          <w:sz w:val="26"/>
          <w:szCs w:val="26"/>
        </w:rPr>
        <w:t>ILECs</w:t>
      </w:r>
      <w:r w:rsidR="00EA4B39">
        <w:rPr>
          <w:sz w:val="26"/>
          <w:szCs w:val="26"/>
        </w:rPr>
        <w:t>, including CenturyLink,</w:t>
      </w:r>
      <w:r w:rsidR="00014AAB" w:rsidRPr="001471C8">
        <w:rPr>
          <w:sz w:val="26"/>
          <w:szCs w:val="26"/>
        </w:rPr>
        <w:t xml:space="preserve"> is difficult to determine</w:t>
      </w:r>
      <w:r w:rsidR="0073545C" w:rsidRPr="001471C8">
        <w:rPr>
          <w:sz w:val="26"/>
          <w:szCs w:val="26"/>
        </w:rPr>
        <w:t xml:space="preserve"> even when the ILECs supply detailed financial data</w:t>
      </w:r>
      <w:r w:rsidR="00014AAB" w:rsidRPr="001471C8">
        <w:rPr>
          <w:sz w:val="26"/>
          <w:szCs w:val="26"/>
        </w:rPr>
        <w:t xml:space="preserve">. </w:t>
      </w:r>
      <w:r w:rsidR="00980054" w:rsidRPr="001471C8">
        <w:rPr>
          <w:sz w:val="26"/>
          <w:szCs w:val="26"/>
        </w:rPr>
        <w:t xml:space="preserve"> </w:t>
      </w:r>
      <w:r w:rsidR="00466E11" w:rsidRPr="001471C8">
        <w:rPr>
          <w:sz w:val="26"/>
          <w:szCs w:val="26"/>
        </w:rPr>
        <w:t>The OSBA</w:t>
      </w:r>
      <w:r w:rsidR="00014AAB" w:rsidRPr="001471C8">
        <w:rPr>
          <w:sz w:val="26"/>
          <w:szCs w:val="26"/>
        </w:rPr>
        <w:t xml:space="preserve"> also noted that there </w:t>
      </w:r>
      <w:r w:rsidR="008E4FBB">
        <w:rPr>
          <w:sz w:val="26"/>
          <w:szCs w:val="26"/>
        </w:rPr>
        <w:t>is an</w:t>
      </w:r>
      <w:r w:rsidR="00014AAB" w:rsidRPr="001471C8">
        <w:rPr>
          <w:sz w:val="26"/>
          <w:szCs w:val="26"/>
        </w:rPr>
        <w:t xml:space="preserve"> absence of reasonable cost allocation procedures</w:t>
      </w:r>
      <w:r w:rsidR="008E4FBB">
        <w:rPr>
          <w:sz w:val="26"/>
          <w:szCs w:val="26"/>
        </w:rPr>
        <w:t xml:space="preserve"> in the telecommunications industry</w:t>
      </w:r>
      <w:r w:rsidR="00014AAB" w:rsidRPr="001471C8">
        <w:rPr>
          <w:sz w:val="26"/>
          <w:szCs w:val="26"/>
        </w:rPr>
        <w:t xml:space="preserve"> in light of contemporary technologies and market conditions. </w:t>
      </w:r>
      <w:r w:rsidR="00466E11" w:rsidRPr="001471C8">
        <w:rPr>
          <w:sz w:val="26"/>
          <w:szCs w:val="26"/>
        </w:rPr>
        <w:t xml:space="preserve"> </w:t>
      </w:r>
      <w:r w:rsidR="009A0885" w:rsidRPr="001471C8">
        <w:rPr>
          <w:sz w:val="26"/>
          <w:szCs w:val="26"/>
        </w:rPr>
        <w:t>OSBA Statement in Support at 2-5.</w:t>
      </w:r>
    </w:p>
    <w:p w14:paraId="465F05F3" w14:textId="77777777" w:rsidR="009A0885" w:rsidRPr="001471C8" w:rsidRDefault="009A0885" w:rsidP="00217B05">
      <w:pPr>
        <w:widowControl/>
        <w:spacing w:line="360" w:lineRule="auto"/>
        <w:ind w:firstLine="1440"/>
        <w:contextualSpacing/>
        <w:rPr>
          <w:sz w:val="26"/>
          <w:szCs w:val="26"/>
        </w:rPr>
      </w:pPr>
    </w:p>
    <w:p w14:paraId="636E005F" w14:textId="68F7FE1A" w:rsidR="000B4EFF" w:rsidRPr="001471C8" w:rsidRDefault="00014AAB" w:rsidP="00217B05">
      <w:pPr>
        <w:widowControl/>
        <w:spacing w:line="360" w:lineRule="auto"/>
        <w:ind w:firstLine="1440"/>
        <w:contextualSpacing/>
        <w:rPr>
          <w:rStyle w:val="Hyperlink"/>
          <w:color w:val="auto"/>
          <w:sz w:val="26"/>
          <w:szCs w:val="26"/>
          <w:u w:val="none"/>
        </w:rPr>
      </w:pPr>
      <w:r w:rsidRPr="001471C8">
        <w:rPr>
          <w:sz w:val="26"/>
          <w:szCs w:val="26"/>
        </w:rPr>
        <w:t xml:space="preserve">The OSBA </w:t>
      </w:r>
      <w:r w:rsidR="008E4FBB">
        <w:rPr>
          <w:sz w:val="26"/>
          <w:szCs w:val="26"/>
        </w:rPr>
        <w:t>next explained that because the Joint Petitioners have d</w:t>
      </w:r>
      <w:r w:rsidRPr="001471C8">
        <w:rPr>
          <w:sz w:val="26"/>
          <w:szCs w:val="26"/>
        </w:rPr>
        <w:t xml:space="preserve">iverging opinions regarding whether the TCJA would qualify as an exogenous event under CenturyLink’s Chapter 30 </w:t>
      </w:r>
      <w:r w:rsidR="00CC7275" w:rsidRPr="001471C8">
        <w:rPr>
          <w:sz w:val="26"/>
          <w:szCs w:val="26"/>
        </w:rPr>
        <w:t>P</w:t>
      </w:r>
      <w:r w:rsidRPr="001471C8">
        <w:rPr>
          <w:sz w:val="26"/>
          <w:szCs w:val="26"/>
        </w:rPr>
        <w:t>lan</w:t>
      </w:r>
      <w:r w:rsidR="00CC7275" w:rsidRPr="001471C8">
        <w:rPr>
          <w:sz w:val="26"/>
          <w:szCs w:val="26"/>
        </w:rPr>
        <w:t xml:space="preserve">, </w:t>
      </w:r>
      <w:r w:rsidRPr="001471C8">
        <w:rPr>
          <w:sz w:val="26"/>
          <w:szCs w:val="26"/>
        </w:rPr>
        <w:t xml:space="preserve">the </w:t>
      </w:r>
      <w:r w:rsidR="009A0885" w:rsidRPr="001471C8">
        <w:rPr>
          <w:sz w:val="26"/>
          <w:szCs w:val="26"/>
        </w:rPr>
        <w:t>S</w:t>
      </w:r>
      <w:r w:rsidRPr="001471C8">
        <w:rPr>
          <w:sz w:val="26"/>
          <w:szCs w:val="26"/>
        </w:rPr>
        <w:t>ettlement is a practical solution to a highly contentious legal issue</w:t>
      </w:r>
      <w:r w:rsidR="00EA5713" w:rsidRPr="001471C8">
        <w:rPr>
          <w:sz w:val="26"/>
          <w:szCs w:val="26"/>
        </w:rPr>
        <w:t xml:space="preserve"> in which the OSBA and the Company have “agreed to disagree</w:t>
      </w:r>
      <w:r w:rsidR="00CC7275" w:rsidRPr="001471C8">
        <w:rPr>
          <w:sz w:val="26"/>
          <w:szCs w:val="26"/>
        </w:rPr>
        <w:t>.</w:t>
      </w:r>
      <w:r w:rsidR="00EA5713" w:rsidRPr="001471C8">
        <w:rPr>
          <w:sz w:val="26"/>
          <w:szCs w:val="26"/>
        </w:rPr>
        <w:t>”</w:t>
      </w:r>
      <w:r w:rsidR="009A0885" w:rsidRPr="001471C8">
        <w:rPr>
          <w:sz w:val="26"/>
          <w:szCs w:val="26"/>
        </w:rPr>
        <w:t xml:space="preserve"> </w:t>
      </w:r>
      <w:r w:rsidR="00475153" w:rsidRPr="001471C8">
        <w:rPr>
          <w:sz w:val="26"/>
          <w:szCs w:val="26"/>
        </w:rPr>
        <w:t xml:space="preserve"> The OSBA trumpeted </w:t>
      </w:r>
      <w:r w:rsidR="00490A0F" w:rsidRPr="001471C8">
        <w:rPr>
          <w:sz w:val="26"/>
          <w:szCs w:val="26"/>
        </w:rPr>
        <w:t xml:space="preserve">CenturyLink’s agreement </w:t>
      </w:r>
      <w:r w:rsidR="00DB7819" w:rsidRPr="001471C8">
        <w:rPr>
          <w:sz w:val="26"/>
          <w:szCs w:val="26"/>
        </w:rPr>
        <w:t xml:space="preserve">to eliminate </w:t>
      </w:r>
      <w:r w:rsidR="008E4FBB">
        <w:rPr>
          <w:sz w:val="26"/>
          <w:szCs w:val="26"/>
        </w:rPr>
        <w:t>the</w:t>
      </w:r>
      <w:r w:rsidR="00EA5C25" w:rsidRPr="001471C8">
        <w:rPr>
          <w:sz w:val="26"/>
          <w:szCs w:val="26"/>
        </w:rPr>
        <w:t xml:space="preserve"> banked revenue increases calculated from </w:t>
      </w:r>
      <w:r w:rsidR="008E4FBB">
        <w:rPr>
          <w:sz w:val="26"/>
          <w:szCs w:val="26"/>
        </w:rPr>
        <w:t>under its</w:t>
      </w:r>
      <w:r w:rsidR="00EA5C25" w:rsidRPr="001471C8">
        <w:rPr>
          <w:sz w:val="26"/>
          <w:szCs w:val="26"/>
        </w:rPr>
        <w:t xml:space="preserve"> 2018, 2019, and 2020 PSI/SPI </w:t>
      </w:r>
      <w:r w:rsidR="0016268C">
        <w:rPr>
          <w:sz w:val="26"/>
          <w:szCs w:val="26"/>
        </w:rPr>
        <w:t>F</w:t>
      </w:r>
      <w:r w:rsidR="00EA5C25" w:rsidRPr="001471C8">
        <w:rPr>
          <w:sz w:val="26"/>
          <w:szCs w:val="26"/>
        </w:rPr>
        <w:t xml:space="preserve">ilings, resulting in the Company forgoing </w:t>
      </w:r>
      <w:r w:rsidR="00BF5FE0" w:rsidRPr="001471C8">
        <w:rPr>
          <w:sz w:val="26"/>
          <w:szCs w:val="26"/>
        </w:rPr>
        <w:t>approximately</w:t>
      </w:r>
      <w:r w:rsidR="00DB7819" w:rsidRPr="001471C8">
        <w:rPr>
          <w:sz w:val="26"/>
          <w:szCs w:val="26"/>
        </w:rPr>
        <w:t xml:space="preserve"> $1.3 </w:t>
      </w:r>
      <w:r w:rsidR="004F3D38">
        <w:rPr>
          <w:sz w:val="26"/>
          <w:szCs w:val="26"/>
        </w:rPr>
        <w:t>Million</w:t>
      </w:r>
      <w:r w:rsidR="00DB7819" w:rsidRPr="001471C8">
        <w:rPr>
          <w:sz w:val="26"/>
          <w:szCs w:val="26"/>
        </w:rPr>
        <w:t xml:space="preserve"> </w:t>
      </w:r>
      <w:r w:rsidR="00EA5C25" w:rsidRPr="001471C8">
        <w:rPr>
          <w:sz w:val="26"/>
          <w:szCs w:val="26"/>
        </w:rPr>
        <w:t xml:space="preserve">in </w:t>
      </w:r>
      <w:r w:rsidR="00BF5FE0" w:rsidRPr="001471C8">
        <w:rPr>
          <w:sz w:val="26"/>
          <w:szCs w:val="26"/>
        </w:rPr>
        <w:t>revenue increase</w:t>
      </w:r>
      <w:r w:rsidR="000E0A27" w:rsidRPr="001471C8">
        <w:rPr>
          <w:sz w:val="26"/>
          <w:szCs w:val="26"/>
        </w:rPr>
        <w:t>s that could have been collected from its customer</w:t>
      </w:r>
      <w:r w:rsidR="00BF5FE0" w:rsidRPr="001471C8">
        <w:rPr>
          <w:sz w:val="26"/>
          <w:szCs w:val="26"/>
        </w:rPr>
        <w:t>s</w:t>
      </w:r>
      <w:r w:rsidR="00EF6E51" w:rsidRPr="001471C8">
        <w:rPr>
          <w:sz w:val="26"/>
          <w:szCs w:val="26"/>
        </w:rPr>
        <w:t xml:space="preserve">.  The OSBA claimed that given that CenturyLink </w:t>
      </w:r>
      <w:r w:rsidR="003C090A" w:rsidRPr="001471C8">
        <w:rPr>
          <w:sz w:val="26"/>
          <w:szCs w:val="26"/>
        </w:rPr>
        <w:t>is governed under the Chapter 30 alternative regulation, this agreement acts</w:t>
      </w:r>
      <w:r w:rsidR="00BF5FE0" w:rsidRPr="001471C8">
        <w:rPr>
          <w:sz w:val="26"/>
          <w:szCs w:val="26"/>
        </w:rPr>
        <w:t xml:space="preserve"> a reasonable substitute for the TCJA rate refunds that have been employed the by electric, natural gas, and water utilities under the Commission’s jurisdiction.  </w:t>
      </w:r>
      <w:r w:rsidR="003C090A" w:rsidRPr="001471C8">
        <w:rPr>
          <w:sz w:val="26"/>
          <w:szCs w:val="26"/>
        </w:rPr>
        <w:t>OSBA Statement in Support at</w:t>
      </w:r>
      <w:r w:rsidR="00355643">
        <w:rPr>
          <w:sz w:val="26"/>
          <w:szCs w:val="26"/>
        </w:rPr>
        <w:t> </w:t>
      </w:r>
      <w:r w:rsidR="003C090A" w:rsidRPr="001471C8">
        <w:rPr>
          <w:sz w:val="26"/>
          <w:szCs w:val="26"/>
        </w:rPr>
        <w:t xml:space="preserve">5-6. </w:t>
      </w:r>
      <w:r w:rsidRPr="001471C8">
        <w:rPr>
          <w:sz w:val="26"/>
          <w:szCs w:val="26"/>
        </w:rPr>
        <w:t xml:space="preserve"> </w:t>
      </w:r>
    </w:p>
    <w:p w14:paraId="39D08E97" w14:textId="77777777" w:rsidR="000E0A27" w:rsidRPr="001471C8" w:rsidRDefault="000E0A27" w:rsidP="00217B05">
      <w:pPr>
        <w:widowControl/>
        <w:spacing w:line="360" w:lineRule="auto"/>
        <w:ind w:firstLine="1440"/>
        <w:contextualSpacing/>
        <w:rPr>
          <w:rStyle w:val="Hyperlink"/>
          <w:color w:val="auto"/>
          <w:sz w:val="26"/>
          <w:szCs w:val="26"/>
          <w:u w:val="none"/>
        </w:rPr>
      </w:pPr>
    </w:p>
    <w:p w14:paraId="1E28D6DB" w14:textId="1A76E792" w:rsidR="005A17AA" w:rsidRDefault="000B4EFF" w:rsidP="00217B05">
      <w:pPr>
        <w:widowControl/>
        <w:spacing w:line="360" w:lineRule="auto"/>
        <w:ind w:firstLine="1440"/>
        <w:contextualSpacing/>
        <w:rPr>
          <w:sz w:val="26"/>
          <w:szCs w:val="26"/>
        </w:rPr>
      </w:pPr>
      <w:r w:rsidRPr="001471C8">
        <w:rPr>
          <w:rStyle w:val="Hyperlink"/>
          <w:color w:val="auto"/>
          <w:sz w:val="26"/>
          <w:szCs w:val="26"/>
          <w:u w:val="none"/>
        </w:rPr>
        <w:t xml:space="preserve">In his Verified Witness Statement, the OSBA’s witness Mr. </w:t>
      </w:r>
      <w:proofErr w:type="spellStart"/>
      <w:r w:rsidR="008844D1" w:rsidRPr="001471C8">
        <w:rPr>
          <w:rStyle w:val="Hyperlink"/>
          <w:color w:val="auto"/>
          <w:sz w:val="26"/>
          <w:szCs w:val="26"/>
          <w:u w:val="none"/>
        </w:rPr>
        <w:t>Gillan</w:t>
      </w:r>
      <w:proofErr w:type="spellEnd"/>
      <w:r w:rsidR="006064C5">
        <w:rPr>
          <w:rStyle w:val="Hyperlink"/>
          <w:color w:val="auto"/>
          <w:sz w:val="26"/>
          <w:szCs w:val="26"/>
          <w:u w:val="none"/>
        </w:rPr>
        <w:t xml:space="preserve"> submitted that </w:t>
      </w:r>
      <w:r w:rsidR="006064C5" w:rsidRPr="006064C5">
        <w:rPr>
          <w:sz w:val="26"/>
          <w:szCs w:val="26"/>
        </w:rPr>
        <w:t>the regulatory tools needed to attribute a portion of the federal income tax reduction</w:t>
      </w:r>
      <w:r w:rsidR="00762342">
        <w:rPr>
          <w:sz w:val="26"/>
          <w:szCs w:val="26"/>
        </w:rPr>
        <w:t xml:space="preserve"> resulting from the passage of the TCJA</w:t>
      </w:r>
      <w:r w:rsidR="006064C5" w:rsidRPr="006064C5">
        <w:rPr>
          <w:sz w:val="26"/>
          <w:szCs w:val="26"/>
        </w:rPr>
        <w:t xml:space="preserve"> to jurisdictionally intrastate</w:t>
      </w:r>
      <w:r w:rsidR="0087427F">
        <w:rPr>
          <w:sz w:val="26"/>
          <w:szCs w:val="26"/>
        </w:rPr>
        <w:t xml:space="preserve"> telecommunications</w:t>
      </w:r>
      <w:r w:rsidR="006064C5" w:rsidRPr="006064C5">
        <w:rPr>
          <w:sz w:val="26"/>
          <w:szCs w:val="26"/>
        </w:rPr>
        <w:t xml:space="preserve"> services</w:t>
      </w:r>
      <w:r w:rsidR="00762342">
        <w:rPr>
          <w:sz w:val="26"/>
          <w:szCs w:val="26"/>
        </w:rPr>
        <w:t>, and</w:t>
      </w:r>
      <w:r w:rsidR="006064C5" w:rsidRPr="006064C5">
        <w:rPr>
          <w:sz w:val="26"/>
          <w:szCs w:val="26"/>
        </w:rPr>
        <w:t xml:space="preserve"> most particularly, a cost allocation mechanism to plausibly determine intrastate profits</w:t>
      </w:r>
      <w:r w:rsidR="00762342">
        <w:rPr>
          <w:sz w:val="26"/>
          <w:szCs w:val="26"/>
        </w:rPr>
        <w:t xml:space="preserve">, </w:t>
      </w:r>
      <w:r w:rsidR="006064C5" w:rsidRPr="006064C5">
        <w:rPr>
          <w:sz w:val="26"/>
          <w:szCs w:val="26"/>
        </w:rPr>
        <w:t xml:space="preserve">have been discarded over the past </w:t>
      </w:r>
      <w:r w:rsidR="00762342">
        <w:rPr>
          <w:sz w:val="26"/>
          <w:szCs w:val="26"/>
        </w:rPr>
        <w:t xml:space="preserve">thirty-five-plus years.  </w:t>
      </w:r>
      <w:r w:rsidR="00C64F4D">
        <w:rPr>
          <w:sz w:val="26"/>
          <w:szCs w:val="26"/>
        </w:rPr>
        <w:t xml:space="preserve">As such, Mr. </w:t>
      </w:r>
      <w:proofErr w:type="spellStart"/>
      <w:r w:rsidR="00C64F4D">
        <w:rPr>
          <w:sz w:val="26"/>
          <w:szCs w:val="26"/>
        </w:rPr>
        <w:t>Gillan</w:t>
      </w:r>
      <w:proofErr w:type="spellEnd"/>
      <w:r w:rsidR="00C64F4D">
        <w:rPr>
          <w:sz w:val="26"/>
          <w:szCs w:val="26"/>
        </w:rPr>
        <w:t xml:space="preserve"> explained that there is no readily-available methodology to determine what </w:t>
      </w:r>
      <w:r w:rsidR="0087427F">
        <w:rPr>
          <w:sz w:val="26"/>
          <w:szCs w:val="26"/>
        </w:rPr>
        <w:t xml:space="preserve">portion of the savings </w:t>
      </w:r>
      <w:r w:rsidR="006B4B54">
        <w:rPr>
          <w:sz w:val="26"/>
          <w:szCs w:val="26"/>
        </w:rPr>
        <w:t xml:space="preserve">that </w:t>
      </w:r>
      <w:r w:rsidR="0087427F">
        <w:rPr>
          <w:sz w:val="26"/>
          <w:szCs w:val="26"/>
        </w:rPr>
        <w:t xml:space="preserve">has resulted from the TCJA tax </w:t>
      </w:r>
      <w:r w:rsidR="00C64F4D">
        <w:rPr>
          <w:sz w:val="26"/>
          <w:szCs w:val="26"/>
        </w:rPr>
        <w:t xml:space="preserve">reduction, if any, </w:t>
      </w:r>
      <w:r w:rsidR="00C66749">
        <w:rPr>
          <w:sz w:val="26"/>
          <w:szCs w:val="26"/>
        </w:rPr>
        <w:t xml:space="preserve">should be allocated to intrastate telecommunications services in Pennsylvania.  </w:t>
      </w:r>
      <w:r w:rsidR="00AC5C79">
        <w:rPr>
          <w:sz w:val="26"/>
          <w:szCs w:val="26"/>
        </w:rPr>
        <w:t>OSBA Verified Witness Statement</w:t>
      </w:r>
      <w:r w:rsidR="005A17AA">
        <w:rPr>
          <w:sz w:val="26"/>
          <w:szCs w:val="26"/>
        </w:rPr>
        <w:t xml:space="preserve"> at 2-3.</w:t>
      </w:r>
    </w:p>
    <w:p w14:paraId="3C7D09C2" w14:textId="77777777" w:rsidR="005A17AA" w:rsidRDefault="005A17AA" w:rsidP="00217B05">
      <w:pPr>
        <w:widowControl/>
        <w:spacing w:line="360" w:lineRule="auto"/>
        <w:ind w:firstLine="1440"/>
        <w:contextualSpacing/>
        <w:rPr>
          <w:sz w:val="26"/>
          <w:szCs w:val="26"/>
        </w:rPr>
      </w:pPr>
    </w:p>
    <w:p w14:paraId="0CFF9409" w14:textId="6D5CFD27" w:rsidR="00366CD4" w:rsidRDefault="00B32D4A"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In a similar fashion to Dr. </w:t>
      </w:r>
      <w:proofErr w:type="spellStart"/>
      <w:r>
        <w:rPr>
          <w:rStyle w:val="Hyperlink"/>
          <w:color w:val="auto"/>
          <w:sz w:val="26"/>
          <w:szCs w:val="26"/>
          <w:u w:val="none"/>
        </w:rPr>
        <w:t>Loube</w:t>
      </w:r>
      <w:proofErr w:type="spellEnd"/>
      <w:r>
        <w:rPr>
          <w:rStyle w:val="Hyperlink"/>
          <w:color w:val="auto"/>
          <w:sz w:val="26"/>
          <w:szCs w:val="26"/>
          <w:u w:val="none"/>
        </w:rPr>
        <w:t xml:space="preserve">, </w:t>
      </w:r>
      <w:r>
        <w:rPr>
          <w:rStyle w:val="Hyperlink"/>
          <w:i/>
          <w:iCs/>
          <w:color w:val="auto"/>
          <w:sz w:val="26"/>
          <w:szCs w:val="26"/>
          <w:u w:val="none"/>
        </w:rPr>
        <w:t xml:space="preserve">supra, </w:t>
      </w:r>
      <w:r>
        <w:rPr>
          <w:rStyle w:val="Hyperlink"/>
          <w:color w:val="auto"/>
          <w:sz w:val="26"/>
          <w:szCs w:val="26"/>
          <w:u w:val="none"/>
        </w:rPr>
        <w:t xml:space="preserve">Mr. </w:t>
      </w:r>
      <w:proofErr w:type="spellStart"/>
      <w:r>
        <w:rPr>
          <w:rStyle w:val="Hyperlink"/>
          <w:color w:val="auto"/>
          <w:sz w:val="26"/>
          <w:szCs w:val="26"/>
          <w:u w:val="none"/>
        </w:rPr>
        <w:t>Gillan</w:t>
      </w:r>
      <w:proofErr w:type="spellEnd"/>
      <w:r>
        <w:rPr>
          <w:rStyle w:val="Hyperlink"/>
          <w:color w:val="auto"/>
          <w:sz w:val="26"/>
          <w:szCs w:val="26"/>
          <w:u w:val="none"/>
        </w:rPr>
        <w:t xml:space="preserve"> discussed the history of cost allocation</w:t>
      </w:r>
      <w:r w:rsidR="00C022E4">
        <w:rPr>
          <w:rStyle w:val="Hyperlink"/>
          <w:color w:val="auto"/>
          <w:sz w:val="26"/>
          <w:szCs w:val="26"/>
          <w:u w:val="none"/>
        </w:rPr>
        <w:t xml:space="preserve"> methods and changes in telecommunications technology.  </w:t>
      </w:r>
      <w:r w:rsidR="00387EA1">
        <w:rPr>
          <w:rStyle w:val="Hyperlink"/>
          <w:color w:val="auto"/>
          <w:sz w:val="26"/>
          <w:szCs w:val="26"/>
          <w:u w:val="none"/>
        </w:rPr>
        <w:t xml:space="preserve">Mr. </w:t>
      </w:r>
      <w:proofErr w:type="spellStart"/>
      <w:r w:rsidR="00387EA1">
        <w:rPr>
          <w:rStyle w:val="Hyperlink"/>
          <w:color w:val="auto"/>
          <w:sz w:val="26"/>
          <w:szCs w:val="26"/>
          <w:u w:val="none"/>
        </w:rPr>
        <w:t>Gillan</w:t>
      </w:r>
      <w:proofErr w:type="spellEnd"/>
      <w:r w:rsidR="00387EA1">
        <w:rPr>
          <w:rStyle w:val="Hyperlink"/>
          <w:color w:val="auto"/>
          <w:sz w:val="26"/>
          <w:szCs w:val="26"/>
          <w:u w:val="none"/>
        </w:rPr>
        <w:t xml:space="preserve"> then noted that CenturyLink’s retail rates have not been </w:t>
      </w:r>
      <w:r w:rsidR="006B549D">
        <w:rPr>
          <w:rStyle w:val="Hyperlink"/>
          <w:color w:val="auto"/>
          <w:sz w:val="26"/>
          <w:szCs w:val="26"/>
          <w:u w:val="none"/>
        </w:rPr>
        <w:t>determined by cost-based regulation since at least 2005</w:t>
      </w:r>
      <w:r w:rsidR="00470512">
        <w:rPr>
          <w:rStyle w:val="Hyperlink"/>
          <w:color w:val="auto"/>
          <w:sz w:val="26"/>
          <w:szCs w:val="26"/>
          <w:u w:val="none"/>
        </w:rPr>
        <w:t xml:space="preserve">.  Rather, Mr. </w:t>
      </w:r>
      <w:proofErr w:type="spellStart"/>
      <w:r w:rsidR="00470512">
        <w:rPr>
          <w:rStyle w:val="Hyperlink"/>
          <w:color w:val="auto"/>
          <w:sz w:val="26"/>
          <w:szCs w:val="26"/>
          <w:u w:val="none"/>
        </w:rPr>
        <w:t>Gillan</w:t>
      </w:r>
      <w:proofErr w:type="spellEnd"/>
      <w:r w:rsidR="00470512">
        <w:rPr>
          <w:rStyle w:val="Hyperlink"/>
          <w:color w:val="auto"/>
          <w:sz w:val="26"/>
          <w:szCs w:val="26"/>
          <w:u w:val="none"/>
        </w:rPr>
        <w:t xml:space="preserve"> continued, the Company’s </w:t>
      </w:r>
      <w:r w:rsidR="007903E4">
        <w:rPr>
          <w:rStyle w:val="Hyperlink"/>
          <w:color w:val="auto"/>
          <w:sz w:val="26"/>
          <w:szCs w:val="26"/>
          <w:u w:val="none"/>
        </w:rPr>
        <w:t xml:space="preserve">rates for its noncompetitive services </w:t>
      </w:r>
      <w:r w:rsidR="00470512">
        <w:rPr>
          <w:rStyle w:val="Hyperlink"/>
          <w:color w:val="auto"/>
          <w:sz w:val="26"/>
          <w:szCs w:val="26"/>
          <w:u w:val="none"/>
        </w:rPr>
        <w:t xml:space="preserve"> have only been </w:t>
      </w:r>
      <w:r w:rsidR="00921779">
        <w:rPr>
          <w:rStyle w:val="Hyperlink"/>
          <w:color w:val="auto"/>
          <w:sz w:val="26"/>
          <w:szCs w:val="26"/>
          <w:u w:val="none"/>
        </w:rPr>
        <w:t xml:space="preserve">periodically adjusted for inflation based on the GDP-PI component of the Company’s PSI formula in its Chapter 30 Plan.  </w:t>
      </w:r>
      <w:r w:rsidR="002A4A1A">
        <w:rPr>
          <w:rStyle w:val="Hyperlink"/>
          <w:color w:val="auto"/>
          <w:sz w:val="26"/>
          <w:szCs w:val="26"/>
          <w:u w:val="none"/>
        </w:rPr>
        <w:t xml:space="preserve">Thus, </w:t>
      </w:r>
      <w:r w:rsidR="002A4A1A">
        <w:rPr>
          <w:sz w:val="26"/>
          <w:szCs w:val="26"/>
        </w:rPr>
        <w:t>Mr.</w:t>
      </w:r>
      <w:r w:rsidR="007368B6">
        <w:rPr>
          <w:sz w:val="26"/>
          <w:szCs w:val="26"/>
        </w:rPr>
        <w:t> </w:t>
      </w:r>
      <w:proofErr w:type="spellStart"/>
      <w:r w:rsidR="002A4A1A">
        <w:rPr>
          <w:sz w:val="26"/>
          <w:szCs w:val="26"/>
        </w:rPr>
        <w:t>Gillan</w:t>
      </w:r>
      <w:proofErr w:type="spellEnd"/>
      <w:r w:rsidR="002A4A1A">
        <w:rPr>
          <w:sz w:val="26"/>
          <w:szCs w:val="26"/>
        </w:rPr>
        <w:t xml:space="preserve"> claimed that while attempting to create a special, “single-use” cost allocation mechanism for determining the impact of the TCJA is impractical, the core benefit of the Settlement</w:t>
      </w:r>
      <w:r w:rsidR="002A4A1A" w:rsidRPr="006064C5">
        <w:rPr>
          <w:sz w:val="26"/>
          <w:szCs w:val="26"/>
        </w:rPr>
        <w:t xml:space="preserve"> </w:t>
      </w:r>
      <w:r w:rsidR="002A4A1A">
        <w:rPr>
          <w:sz w:val="26"/>
          <w:szCs w:val="26"/>
        </w:rPr>
        <w:t xml:space="preserve">offers a valuable concession from the Parties in the form of retail price protection for the Company’s noncompetitive services for at least two years.  </w:t>
      </w:r>
      <w:r w:rsidR="00366CD4">
        <w:rPr>
          <w:sz w:val="26"/>
          <w:szCs w:val="26"/>
        </w:rPr>
        <w:t>OSBA Verified Witness Statement at 3</w:t>
      </w:r>
      <w:r w:rsidR="00366CD4">
        <w:rPr>
          <w:sz w:val="26"/>
          <w:szCs w:val="26"/>
        </w:rPr>
        <w:noBreakHyphen/>
        <w:t>6.</w:t>
      </w:r>
    </w:p>
    <w:p w14:paraId="543D751A" w14:textId="77777777" w:rsidR="00366CD4" w:rsidRDefault="00366CD4" w:rsidP="00217B05">
      <w:pPr>
        <w:widowControl/>
        <w:spacing w:line="360" w:lineRule="auto"/>
        <w:ind w:firstLine="1440"/>
        <w:contextualSpacing/>
        <w:rPr>
          <w:rStyle w:val="Hyperlink"/>
          <w:color w:val="auto"/>
          <w:sz w:val="26"/>
          <w:szCs w:val="26"/>
          <w:u w:val="none"/>
        </w:rPr>
      </w:pPr>
    </w:p>
    <w:p w14:paraId="0947212F" w14:textId="77777777" w:rsidR="006D0917" w:rsidRDefault="00366CD4"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Mr. </w:t>
      </w:r>
      <w:proofErr w:type="spellStart"/>
      <w:r>
        <w:rPr>
          <w:rStyle w:val="Hyperlink"/>
          <w:color w:val="auto"/>
          <w:sz w:val="26"/>
          <w:szCs w:val="26"/>
          <w:u w:val="none"/>
        </w:rPr>
        <w:t>Gillan</w:t>
      </w:r>
      <w:proofErr w:type="spellEnd"/>
      <w:r>
        <w:rPr>
          <w:rStyle w:val="Hyperlink"/>
          <w:color w:val="auto"/>
          <w:sz w:val="26"/>
          <w:szCs w:val="26"/>
          <w:u w:val="none"/>
        </w:rPr>
        <w:t xml:space="preserve"> stated that as a rough measure of the reasonableness of the Settlement, he allocated the estimated federal tax reduction as a portion of the Company’s </w:t>
      </w:r>
      <w:r w:rsidR="0007104E">
        <w:rPr>
          <w:rStyle w:val="Hyperlink"/>
          <w:color w:val="auto"/>
          <w:sz w:val="26"/>
          <w:szCs w:val="26"/>
          <w:u w:val="none"/>
        </w:rPr>
        <w:t xml:space="preserve">revenues.  </w:t>
      </w:r>
      <w:r w:rsidR="00297A1D">
        <w:rPr>
          <w:rStyle w:val="Hyperlink"/>
          <w:color w:val="auto"/>
          <w:sz w:val="26"/>
          <w:szCs w:val="26"/>
          <w:u w:val="none"/>
        </w:rPr>
        <w:t xml:space="preserve">Mr. </w:t>
      </w:r>
      <w:proofErr w:type="spellStart"/>
      <w:r w:rsidR="00297A1D">
        <w:rPr>
          <w:rStyle w:val="Hyperlink"/>
          <w:color w:val="auto"/>
          <w:sz w:val="26"/>
          <w:szCs w:val="26"/>
          <w:u w:val="none"/>
        </w:rPr>
        <w:t>Gillan</w:t>
      </w:r>
      <w:proofErr w:type="spellEnd"/>
      <w:r w:rsidR="00297A1D">
        <w:rPr>
          <w:rStyle w:val="Hyperlink"/>
          <w:color w:val="auto"/>
          <w:sz w:val="26"/>
          <w:szCs w:val="26"/>
          <w:u w:val="none"/>
        </w:rPr>
        <w:t xml:space="preserve"> provided the following table as </w:t>
      </w:r>
      <w:r w:rsidR="00CF2D92">
        <w:rPr>
          <w:rStyle w:val="Hyperlink"/>
          <w:color w:val="auto"/>
          <w:sz w:val="26"/>
          <w:szCs w:val="26"/>
          <w:u w:val="none"/>
        </w:rPr>
        <w:t>Table 2 in his Verified Witness Statement:</w:t>
      </w:r>
      <w:r w:rsidR="008356C2">
        <w:rPr>
          <w:rStyle w:val="Hyperlink"/>
          <w:color w:val="auto"/>
          <w:sz w:val="26"/>
          <w:szCs w:val="26"/>
          <w:u w:val="none"/>
        </w:rPr>
        <w:t xml:space="preserve"> </w:t>
      </w:r>
    </w:p>
    <w:p w14:paraId="4B251CFB" w14:textId="77777777" w:rsidR="006D0917" w:rsidRDefault="006D0917" w:rsidP="00217B05">
      <w:pPr>
        <w:widowControl/>
        <w:spacing w:line="360" w:lineRule="auto"/>
        <w:ind w:firstLine="1440"/>
        <w:contextualSpacing/>
        <w:jc w:val="center"/>
        <w:rPr>
          <w:rStyle w:val="Hyperlink"/>
          <w:color w:val="auto"/>
          <w:sz w:val="26"/>
          <w:szCs w:val="26"/>
          <w:u w:val="none"/>
        </w:rPr>
      </w:pPr>
    </w:p>
    <w:tbl>
      <w:tblPr>
        <w:tblW w:w="0" w:type="auto"/>
        <w:jc w:val="center"/>
        <w:tblLayout w:type="fixed"/>
        <w:tblCellMar>
          <w:left w:w="0" w:type="dxa"/>
          <w:right w:w="0" w:type="dxa"/>
        </w:tblCellMar>
        <w:tblLook w:val="04A0" w:firstRow="1" w:lastRow="0" w:firstColumn="1" w:lastColumn="0" w:noHBand="0" w:noVBand="1"/>
      </w:tblPr>
      <w:tblGrid>
        <w:gridCol w:w="6926"/>
        <w:gridCol w:w="1359"/>
      </w:tblGrid>
      <w:tr w:rsidR="005D5BD4" w:rsidRPr="005D5BD4" w14:paraId="635C25EB" w14:textId="77777777" w:rsidTr="005D5BD4">
        <w:trPr>
          <w:trHeight w:hRule="exact" w:val="302"/>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3C83E419" w14:textId="77777777" w:rsidR="005D5BD4" w:rsidRPr="005D5BD4" w:rsidRDefault="005D5BD4" w:rsidP="00217B05">
            <w:pPr>
              <w:keepNext/>
              <w:keepLines/>
              <w:widowControl/>
              <w:spacing w:before="34" w:line="254" w:lineRule="exact"/>
              <w:ind w:right="1837"/>
              <w:contextualSpacing/>
              <w:jc w:val="right"/>
              <w:textAlignment w:val="baseline"/>
              <w:rPr>
                <w:b/>
                <w:color w:val="000000"/>
                <w:sz w:val="24"/>
                <w:szCs w:val="22"/>
              </w:rPr>
            </w:pPr>
            <w:r w:rsidRPr="005D5BD4">
              <w:rPr>
                <w:b/>
                <w:color w:val="000000"/>
                <w:sz w:val="24"/>
                <w:szCs w:val="22"/>
              </w:rPr>
              <w:t>Revenue Allocation Calculation</w:t>
            </w:r>
          </w:p>
        </w:tc>
        <w:tc>
          <w:tcPr>
            <w:tcW w:w="1359" w:type="dxa"/>
            <w:tcBorders>
              <w:top w:val="single" w:sz="4" w:space="0" w:color="000000"/>
              <w:left w:val="single" w:sz="4" w:space="0" w:color="000000"/>
              <w:bottom w:val="single" w:sz="4" w:space="0" w:color="000000"/>
              <w:right w:val="single" w:sz="4" w:space="0" w:color="000000"/>
            </w:tcBorders>
            <w:vAlign w:val="center"/>
          </w:tcPr>
          <w:p w14:paraId="2AD25D90" w14:textId="3EC8CF72" w:rsidR="005D5BD4" w:rsidRPr="005D5BD4" w:rsidRDefault="005D5BD4" w:rsidP="00217B05">
            <w:pPr>
              <w:keepNext/>
              <w:keepLines/>
              <w:widowControl/>
              <w:spacing w:before="34" w:line="254" w:lineRule="exact"/>
              <w:contextualSpacing/>
              <w:jc w:val="center"/>
              <w:textAlignment w:val="baseline"/>
              <w:rPr>
                <w:b/>
                <w:color w:val="000000"/>
                <w:sz w:val="24"/>
                <w:szCs w:val="22"/>
              </w:rPr>
            </w:pPr>
            <w:r w:rsidRPr="005D5BD4">
              <w:rPr>
                <w:b/>
                <w:color w:val="000000"/>
                <w:sz w:val="24"/>
                <w:szCs w:val="22"/>
              </w:rPr>
              <w:t xml:space="preserve">$ </w:t>
            </w:r>
            <w:r w:rsidR="004F3D38">
              <w:rPr>
                <w:b/>
                <w:color w:val="000000"/>
                <w:sz w:val="24"/>
                <w:szCs w:val="22"/>
              </w:rPr>
              <w:t>Million</w:t>
            </w:r>
            <w:r w:rsidRPr="005D5BD4">
              <w:rPr>
                <w:b/>
                <w:color w:val="000000"/>
                <w:sz w:val="24"/>
                <w:szCs w:val="22"/>
              </w:rPr>
              <w:t>s</w:t>
            </w:r>
          </w:p>
        </w:tc>
      </w:tr>
      <w:tr w:rsidR="005D5BD4" w:rsidRPr="005D5BD4" w14:paraId="24A5B8BA" w14:textId="77777777" w:rsidTr="005D5BD4">
        <w:trPr>
          <w:trHeight w:hRule="exact" w:val="298"/>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61278295" w14:textId="322A12E4" w:rsidR="005D5BD4" w:rsidRPr="005D5BD4" w:rsidRDefault="005D5BD4" w:rsidP="00217B05">
            <w:pPr>
              <w:keepNext/>
              <w:keepLines/>
              <w:widowControl/>
              <w:spacing w:line="268" w:lineRule="exact"/>
              <w:ind w:left="115"/>
              <w:contextualSpacing/>
              <w:textAlignment w:val="baseline"/>
              <w:rPr>
                <w:color w:val="000000"/>
                <w:sz w:val="24"/>
                <w:szCs w:val="22"/>
              </w:rPr>
            </w:pPr>
            <w:r w:rsidRPr="005D5BD4">
              <w:rPr>
                <w:color w:val="000000"/>
                <w:sz w:val="24"/>
                <w:szCs w:val="22"/>
              </w:rPr>
              <w:t xml:space="preserve">Estimated Reduction in Federal Taxes </w:t>
            </w:r>
          </w:p>
        </w:tc>
        <w:tc>
          <w:tcPr>
            <w:tcW w:w="1359" w:type="dxa"/>
            <w:tcBorders>
              <w:top w:val="single" w:sz="4" w:space="0" w:color="000000"/>
              <w:left w:val="single" w:sz="4" w:space="0" w:color="000000"/>
              <w:bottom w:val="single" w:sz="4" w:space="0" w:color="000000"/>
              <w:right w:val="single" w:sz="4" w:space="0" w:color="000000"/>
            </w:tcBorders>
            <w:vAlign w:val="center"/>
          </w:tcPr>
          <w:p w14:paraId="43C982A4" w14:textId="77777777" w:rsidR="005D5BD4" w:rsidRPr="005D5BD4" w:rsidRDefault="005D5BD4" w:rsidP="00217B05">
            <w:pPr>
              <w:keepNext/>
              <w:keepLines/>
              <w:widowControl/>
              <w:tabs>
                <w:tab w:val="decimal" w:pos="720"/>
              </w:tabs>
              <w:spacing w:line="268" w:lineRule="exact"/>
              <w:contextualSpacing/>
              <w:textAlignment w:val="baseline"/>
              <w:rPr>
                <w:color w:val="000000"/>
                <w:sz w:val="24"/>
                <w:szCs w:val="22"/>
              </w:rPr>
            </w:pPr>
            <w:r w:rsidRPr="005D5BD4">
              <w:rPr>
                <w:color w:val="000000"/>
                <w:sz w:val="24"/>
                <w:szCs w:val="22"/>
              </w:rPr>
              <w:t>($10.4)</w:t>
            </w:r>
          </w:p>
        </w:tc>
      </w:tr>
      <w:tr w:rsidR="005D5BD4" w:rsidRPr="005D5BD4" w14:paraId="73427787" w14:textId="77777777" w:rsidTr="005D5BD4">
        <w:trPr>
          <w:trHeight w:hRule="exact" w:val="298"/>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04AC87AC" w14:textId="13238E12" w:rsidR="005D5BD4" w:rsidRPr="005D5BD4" w:rsidRDefault="005D5BD4" w:rsidP="00217B05">
            <w:pPr>
              <w:keepNext/>
              <w:keepLines/>
              <w:widowControl/>
              <w:spacing w:line="273" w:lineRule="exact"/>
              <w:ind w:right="1837"/>
              <w:contextualSpacing/>
              <w:jc w:val="right"/>
              <w:textAlignment w:val="baseline"/>
              <w:rPr>
                <w:color w:val="000000"/>
                <w:sz w:val="24"/>
                <w:szCs w:val="22"/>
              </w:rPr>
            </w:pPr>
            <w:r w:rsidRPr="005D5BD4">
              <w:rPr>
                <w:color w:val="000000"/>
                <w:sz w:val="24"/>
                <w:szCs w:val="22"/>
              </w:rPr>
              <w:t>Percentage of Revenues that are Intrastate</w:t>
            </w:r>
          </w:p>
        </w:tc>
        <w:tc>
          <w:tcPr>
            <w:tcW w:w="1359" w:type="dxa"/>
            <w:tcBorders>
              <w:top w:val="single" w:sz="4" w:space="0" w:color="000000"/>
              <w:left w:val="single" w:sz="4" w:space="0" w:color="000000"/>
              <w:bottom w:val="single" w:sz="4" w:space="0" w:color="000000"/>
              <w:right w:val="single" w:sz="4" w:space="0" w:color="000000"/>
            </w:tcBorders>
            <w:vAlign w:val="center"/>
          </w:tcPr>
          <w:p w14:paraId="69DD8BA0" w14:textId="77777777" w:rsidR="005D5BD4" w:rsidRPr="005D5BD4" w:rsidRDefault="005D5BD4" w:rsidP="00217B05">
            <w:pPr>
              <w:keepNext/>
              <w:keepLines/>
              <w:widowControl/>
              <w:spacing w:line="273" w:lineRule="exact"/>
              <w:ind w:right="367"/>
              <w:contextualSpacing/>
              <w:jc w:val="right"/>
              <w:textAlignment w:val="baseline"/>
              <w:rPr>
                <w:color w:val="000000"/>
                <w:sz w:val="24"/>
                <w:szCs w:val="22"/>
              </w:rPr>
            </w:pPr>
            <w:r w:rsidRPr="005D5BD4">
              <w:rPr>
                <w:color w:val="000000"/>
                <w:sz w:val="24"/>
                <w:szCs w:val="22"/>
              </w:rPr>
              <w:t>45%</w:t>
            </w:r>
          </w:p>
        </w:tc>
      </w:tr>
      <w:tr w:rsidR="005D5BD4" w:rsidRPr="005D5BD4" w14:paraId="265D751E" w14:textId="77777777" w:rsidTr="005D5BD4">
        <w:trPr>
          <w:trHeight w:hRule="exact" w:val="302"/>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57F0604A" w14:textId="73758102" w:rsidR="005D5BD4" w:rsidRPr="005D5BD4" w:rsidRDefault="005D5BD4" w:rsidP="00217B05">
            <w:pPr>
              <w:keepNext/>
              <w:keepLines/>
              <w:widowControl/>
              <w:spacing w:line="273" w:lineRule="exact"/>
              <w:ind w:right="1027"/>
              <w:contextualSpacing/>
              <w:jc w:val="right"/>
              <w:textAlignment w:val="baseline"/>
              <w:rPr>
                <w:color w:val="000000"/>
                <w:sz w:val="24"/>
                <w:szCs w:val="22"/>
              </w:rPr>
            </w:pPr>
            <w:r w:rsidRPr="005D5BD4">
              <w:rPr>
                <w:color w:val="000000"/>
                <w:sz w:val="24"/>
                <w:szCs w:val="22"/>
              </w:rPr>
              <w:t xml:space="preserve">Percentage of Revenues that are Non-Competitive </w:t>
            </w:r>
          </w:p>
        </w:tc>
        <w:tc>
          <w:tcPr>
            <w:tcW w:w="1359" w:type="dxa"/>
            <w:tcBorders>
              <w:top w:val="single" w:sz="4" w:space="0" w:color="000000"/>
              <w:left w:val="single" w:sz="4" w:space="0" w:color="000000"/>
              <w:bottom w:val="single" w:sz="4" w:space="0" w:color="000000"/>
              <w:right w:val="single" w:sz="4" w:space="0" w:color="000000"/>
            </w:tcBorders>
            <w:vAlign w:val="center"/>
          </w:tcPr>
          <w:p w14:paraId="3BAAE69A" w14:textId="77777777" w:rsidR="005D5BD4" w:rsidRPr="005D5BD4" w:rsidRDefault="005D5BD4" w:rsidP="00217B05">
            <w:pPr>
              <w:keepNext/>
              <w:keepLines/>
              <w:widowControl/>
              <w:spacing w:line="273" w:lineRule="exact"/>
              <w:ind w:right="367"/>
              <w:contextualSpacing/>
              <w:jc w:val="right"/>
              <w:textAlignment w:val="baseline"/>
              <w:rPr>
                <w:color w:val="000000"/>
                <w:sz w:val="24"/>
                <w:szCs w:val="22"/>
              </w:rPr>
            </w:pPr>
            <w:r w:rsidRPr="005D5BD4">
              <w:rPr>
                <w:color w:val="000000"/>
                <w:sz w:val="24"/>
                <w:szCs w:val="22"/>
              </w:rPr>
              <w:t>26%</w:t>
            </w:r>
          </w:p>
        </w:tc>
      </w:tr>
      <w:tr w:rsidR="005D5BD4" w:rsidRPr="005D5BD4" w14:paraId="6BD8CC7A" w14:textId="77777777" w:rsidTr="005D5BD4">
        <w:trPr>
          <w:trHeight w:hRule="exact" w:val="293"/>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6A62CB33" w14:textId="52148623" w:rsidR="005D5BD4" w:rsidRPr="005D5BD4" w:rsidRDefault="005D5BD4" w:rsidP="00217B05">
            <w:pPr>
              <w:keepNext/>
              <w:keepLines/>
              <w:widowControl/>
              <w:spacing w:line="268" w:lineRule="exact"/>
              <w:ind w:left="115"/>
              <w:contextualSpacing/>
              <w:textAlignment w:val="baseline"/>
              <w:rPr>
                <w:color w:val="000000"/>
                <w:sz w:val="24"/>
                <w:szCs w:val="22"/>
              </w:rPr>
            </w:pPr>
            <w:r w:rsidRPr="005D5BD4">
              <w:rPr>
                <w:color w:val="000000"/>
                <w:sz w:val="24"/>
                <w:szCs w:val="22"/>
              </w:rPr>
              <w:t>Share of Federal Tax Reduction (proportional to revenues)</w:t>
            </w:r>
          </w:p>
        </w:tc>
        <w:tc>
          <w:tcPr>
            <w:tcW w:w="1359" w:type="dxa"/>
            <w:tcBorders>
              <w:top w:val="single" w:sz="4" w:space="0" w:color="000000"/>
              <w:left w:val="single" w:sz="4" w:space="0" w:color="000000"/>
              <w:bottom w:val="single" w:sz="4" w:space="0" w:color="000000"/>
              <w:right w:val="single" w:sz="4" w:space="0" w:color="000000"/>
            </w:tcBorders>
            <w:vAlign w:val="center"/>
          </w:tcPr>
          <w:p w14:paraId="6B1A526B" w14:textId="77777777" w:rsidR="005D5BD4" w:rsidRPr="005D5BD4" w:rsidRDefault="005D5BD4" w:rsidP="00217B05">
            <w:pPr>
              <w:keepNext/>
              <w:keepLines/>
              <w:widowControl/>
              <w:tabs>
                <w:tab w:val="decimal" w:pos="720"/>
              </w:tabs>
              <w:spacing w:line="268" w:lineRule="exact"/>
              <w:contextualSpacing/>
              <w:textAlignment w:val="baseline"/>
              <w:rPr>
                <w:color w:val="000000"/>
                <w:sz w:val="24"/>
                <w:szCs w:val="22"/>
              </w:rPr>
            </w:pPr>
            <w:r w:rsidRPr="005D5BD4">
              <w:rPr>
                <w:color w:val="000000"/>
                <w:sz w:val="24"/>
                <w:szCs w:val="22"/>
              </w:rPr>
              <w:t>($1.2)</w:t>
            </w:r>
          </w:p>
        </w:tc>
      </w:tr>
      <w:tr w:rsidR="005D5BD4" w:rsidRPr="005D5BD4" w14:paraId="7F06EAF6" w14:textId="77777777" w:rsidTr="005D5BD4">
        <w:trPr>
          <w:trHeight w:hRule="exact" w:val="307"/>
          <w:jc w:val="center"/>
        </w:trPr>
        <w:tc>
          <w:tcPr>
            <w:tcW w:w="6926" w:type="dxa"/>
            <w:tcBorders>
              <w:top w:val="single" w:sz="4" w:space="0" w:color="000000"/>
              <w:left w:val="single" w:sz="4" w:space="0" w:color="000000"/>
              <w:bottom w:val="single" w:sz="4" w:space="0" w:color="000000"/>
              <w:right w:val="single" w:sz="4" w:space="0" w:color="000000"/>
            </w:tcBorders>
            <w:vAlign w:val="center"/>
          </w:tcPr>
          <w:p w14:paraId="77295D07" w14:textId="77777777" w:rsidR="005D5BD4" w:rsidRPr="005D5BD4" w:rsidRDefault="005D5BD4" w:rsidP="00217B05">
            <w:pPr>
              <w:keepNext/>
              <w:keepLines/>
              <w:widowControl/>
              <w:spacing w:line="269" w:lineRule="exact"/>
              <w:ind w:left="115"/>
              <w:contextualSpacing/>
              <w:textAlignment w:val="baseline"/>
              <w:rPr>
                <w:color w:val="000000"/>
                <w:sz w:val="24"/>
                <w:szCs w:val="22"/>
              </w:rPr>
            </w:pPr>
            <w:r w:rsidRPr="005D5BD4">
              <w:rPr>
                <w:color w:val="000000"/>
                <w:sz w:val="24"/>
                <w:szCs w:val="22"/>
              </w:rPr>
              <w:t>Proposed Settlement</w:t>
            </w:r>
          </w:p>
        </w:tc>
        <w:tc>
          <w:tcPr>
            <w:tcW w:w="1359" w:type="dxa"/>
            <w:tcBorders>
              <w:top w:val="single" w:sz="4" w:space="0" w:color="000000"/>
              <w:left w:val="single" w:sz="4" w:space="0" w:color="000000"/>
              <w:bottom w:val="single" w:sz="4" w:space="0" w:color="000000"/>
              <w:right w:val="single" w:sz="4" w:space="0" w:color="000000"/>
            </w:tcBorders>
            <w:vAlign w:val="center"/>
          </w:tcPr>
          <w:p w14:paraId="08E2C75D" w14:textId="77777777" w:rsidR="005D5BD4" w:rsidRPr="005D5BD4" w:rsidRDefault="005D5BD4" w:rsidP="00217B05">
            <w:pPr>
              <w:keepNext/>
              <w:keepLines/>
              <w:widowControl/>
              <w:tabs>
                <w:tab w:val="decimal" w:pos="720"/>
              </w:tabs>
              <w:spacing w:before="34" w:line="259" w:lineRule="exact"/>
              <w:contextualSpacing/>
              <w:textAlignment w:val="baseline"/>
              <w:rPr>
                <w:b/>
                <w:color w:val="000000"/>
                <w:sz w:val="24"/>
                <w:szCs w:val="22"/>
              </w:rPr>
            </w:pPr>
            <w:r w:rsidRPr="005D5BD4">
              <w:rPr>
                <w:b/>
                <w:color w:val="000000"/>
                <w:sz w:val="24"/>
                <w:szCs w:val="22"/>
              </w:rPr>
              <w:t>($1.4)</w:t>
            </w:r>
          </w:p>
        </w:tc>
      </w:tr>
    </w:tbl>
    <w:p w14:paraId="45EB68FE" w14:textId="786AC594" w:rsidR="008356C2" w:rsidRDefault="008356C2" w:rsidP="00217B05">
      <w:pPr>
        <w:widowControl/>
        <w:spacing w:line="360" w:lineRule="auto"/>
        <w:ind w:firstLine="1440"/>
        <w:contextualSpacing/>
        <w:rPr>
          <w:rStyle w:val="Hyperlink"/>
          <w:color w:val="auto"/>
          <w:sz w:val="26"/>
          <w:szCs w:val="26"/>
          <w:u w:val="none"/>
        </w:rPr>
      </w:pPr>
    </w:p>
    <w:p w14:paraId="332AA8F1" w14:textId="6F71957A" w:rsidR="005D5BD4" w:rsidRDefault="005D5BD4" w:rsidP="007368B6">
      <w:pPr>
        <w:widowControl/>
        <w:spacing w:line="360" w:lineRule="auto"/>
        <w:contextualSpacing/>
        <w:rPr>
          <w:rStyle w:val="Hyperlink"/>
          <w:color w:val="auto"/>
          <w:sz w:val="26"/>
          <w:szCs w:val="26"/>
          <w:u w:val="none"/>
        </w:rPr>
      </w:pPr>
      <w:r>
        <w:rPr>
          <w:rStyle w:val="Hyperlink"/>
          <w:color w:val="auto"/>
          <w:sz w:val="26"/>
          <w:szCs w:val="26"/>
          <w:u w:val="none"/>
        </w:rPr>
        <w:t>OSBA Verified Witness Statement at 6-7.</w:t>
      </w:r>
    </w:p>
    <w:p w14:paraId="73805C08" w14:textId="77777777" w:rsidR="005D5BD4" w:rsidRDefault="005D5BD4" w:rsidP="007368B6">
      <w:pPr>
        <w:widowControl/>
        <w:spacing w:line="360" w:lineRule="auto"/>
        <w:contextualSpacing/>
        <w:rPr>
          <w:rStyle w:val="Hyperlink"/>
          <w:color w:val="auto"/>
          <w:sz w:val="26"/>
          <w:szCs w:val="26"/>
          <w:u w:val="none"/>
        </w:rPr>
      </w:pPr>
    </w:p>
    <w:p w14:paraId="54255D00" w14:textId="631652FC" w:rsidR="008356C2" w:rsidRDefault="009B5280" w:rsidP="007368B6">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Based on this table, </w:t>
      </w:r>
      <w:r w:rsidR="008356C2">
        <w:rPr>
          <w:rStyle w:val="Hyperlink"/>
          <w:color w:val="auto"/>
          <w:sz w:val="26"/>
          <w:szCs w:val="26"/>
          <w:u w:val="none"/>
        </w:rPr>
        <w:t xml:space="preserve">Mr. </w:t>
      </w:r>
      <w:proofErr w:type="spellStart"/>
      <w:r w:rsidR="008356C2">
        <w:rPr>
          <w:rStyle w:val="Hyperlink"/>
          <w:color w:val="auto"/>
          <w:sz w:val="26"/>
          <w:szCs w:val="26"/>
          <w:u w:val="none"/>
        </w:rPr>
        <w:t>Gillan</w:t>
      </w:r>
      <w:proofErr w:type="spellEnd"/>
      <w:r>
        <w:rPr>
          <w:rStyle w:val="Hyperlink"/>
          <w:color w:val="auto"/>
          <w:sz w:val="26"/>
          <w:szCs w:val="26"/>
          <w:u w:val="none"/>
        </w:rPr>
        <w:t xml:space="preserve"> </w:t>
      </w:r>
      <w:r w:rsidR="00876184">
        <w:rPr>
          <w:rStyle w:val="Hyperlink"/>
          <w:color w:val="auto"/>
          <w:sz w:val="26"/>
          <w:szCs w:val="26"/>
          <w:u w:val="none"/>
        </w:rPr>
        <w:t>argued that</w:t>
      </w:r>
      <w:r w:rsidR="008356C2">
        <w:rPr>
          <w:rStyle w:val="Hyperlink"/>
          <w:color w:val="auto"/>
          <w:sz w:val="26"/>
          <w:szCs w:val="26"/>
          <w:u w:val="none"/>
        </w:rPr>
        <w:t xml:space="preserve"> the Joint Petitioners’ agreement that the Company will forgo </w:t>
      </w:r>
      <w:r w:rsidR="006E1739">
        <w:rPr>
          <w:rStyle w:val="Hyperlink"/>
          <w:color w:val="auto"/>
          <w:sz w:val="26"/>
          <w:szCs w:val="26"/>
          <w:u w:val="none"/>
        </w:rPr>
        <w:t xml:space="preserve">approximately </w:t>
      </w:r>
      <w:r w:rsidR="008356C2">
        <w:rPr>
          <w:rStyle w:val="Hyperlink"/>
          <w:color w:val="auto"/>
          <w:sz w:val="26"/>
          <w:szCs w:val="26"/>
          <w:u w:val="none"/>
        </w:rPr>
        <w:t xml:space="preserve">$1.4 </w:t>
      </w:r>
      <w:r w:rsidR="004F3D38">
        <w:rPr>
          <w:rStyle w:val="Hyperlink"/>
          <w:color w:val="auto"/>
          <w:sz w:val="26"/>
          <w:szCs w:val="26"/>
          <w:u w:val="none"/>
        </w:rPr>
        <w:t>Million</w:t>
      </w:r>
      <w:r w:rsidR="00E3652F">
        <w:rPr>
          <w:rStyle w:val="FootnoteReference"/>
          <w:sz w:val="26"/>
          <w:szCs w:val="26"/>
        </w:rPr>
        <w:footnoteReference w:id="13"/>
      </w:r>
      <w:r w:rsidR="008356C2">
        <w:rPr>
          <w:rStyle w:val="Hyperlink"/>
          <w:color w:val="auto"/>
          <w:sz w:val="26"/>
          <w:szCs w:val="26"/>
          <w:u w:val="none"/>
        </w:rPr>
        <w:t xml:space="preserve"> in </w:t>
      </w:r>
      <w:r w:rsidR="006F3AFA">
        <w:rPr>
          <w:rStyle w:val="Hyperlink"/>
          <w:color w:val="auto"/>
          <w:sz w:val="26"/>
          <w:szCs w:val="26"/>
          <w:u w:val="none"/>
        </w:rPr>
        <w:t xml:space="preserve">potential revenue increases is roughly equal to the </w:t>
      </w:r>
      <w:r w:rsidR="00506D6E">
        <w:rPr>
          <w:rStyle w:val="Hyperlink"/>
          <w:color w:val="auto"/>
          <w:sz w:val="26"/>
          <w:szCs w:val="26"/>
          <w:u w:val="none"/>
        </w:rPr>
        <w:t>litigated outcome where federal income tax reduction is allocated among jurisdictions and between competitive and noncompetitive</w:t>
      </w:r>
      <w:r w:rsidR="0087427F">
        <w:rPr>
          <w:rStyle w:val="Hyperlink"/>
          <w:color w:val="auto"/>
          <w:sz w:val="26"/>
          <w:szCs w:val="26"/>
          <w:u w:val="none"/>
        </w:rPr>
        <w:t xml:space="preserve"> telecommunications</w:t>
      </w:r>
      <w:r w:rsidR="00506D6E">
        <w:rPr>
          <w:rStyle w:val="Hyperlink"/>
          <w:color w:val="auto"/>
          <w:sz w:val="26"/>
          <w:szCs w:val="26"/>
          <w:u w:val="none"/>
        </w:rPr>
        <w:t xml:space="preserve"> services on the basis of revenues.  </w:t>
      </w:r>
      <w:r w:rsidR="008F1CF0">
        <w:rPr>
          <w:rStyle w:val="Hyperlink"/>
          <w:color w:val="auto"/>
          <w:sz w:val="26"/>
          <w:szCs w:val="26"/>
          <w:u w:val="none"/>
        </w:rPr>
        <w:t xml:space="preserve">Mr. </w:t>
      </w:r>
      <w:proofErr w:type="spellStart"/>
      <w:r w:rsidR="008F1CF0">
        <w:rPr>
          <w:rStyle w:val="Hyperlink"/>
          <w:color w:val="auto"/>
          <w:sz w:val="26"/>
          <w:szCs w:val="26"/>
          <w:u w:val="none"/>
        </w:rPr>
        <w:t>Gillan</w:t>
      </w:r>
      <w:proofErr w:type="spellEnd"/>
      <w:r w:rsidR="008F1CF0">
        <w:rPr>
          <w:rStyle w:val="Hyperlink"/>
          <w:color w:val="auto"/>
          <w:sz w:val="26"/>
          <w:szCs w:val="26"/>
          <w:u w:val="none"/>
        </w:rPr>
        <w:t xml:space="preserve"> </w:t>
      </w:r>
      <w:r w:rsidR="000729CF">
        <w:rPr>
          <w:rStyle w:val="Hyperlink"/>
          <w:color w:val="auto"/>
          <w:sz w:val="26"/>
          <w:szCs w:val="26"/>
          <w:u w:val="none"/>
        </w:rPr>
        <w:t>stressed</w:t>
      </w:r>
      <w:r w:rsidR="00CF255F">
        <w:rPr>
          <w:rStyle w:val="Hyperlink"/>
          <w:color w:val="auto"/>
          <w:sz w:val="26"/>
          <w:szCs w:val="26"/>
          <w:u w:val="none"/>
        </w:rPr>
        <w:t xml:space="preserve"> that his analysis was not precise.  In addition, he proffered that </w:t>
      </w:r>
      <w:r w:rsidR="008F1CF0" w:rsidRPr="008F1CF0">
        <w:rPr>
          <w:sz w:val="26"/>
          <w:szCs w:val="26"/>
        </w:rPr>
        <w:t>it might be that additional rate reductions could be realized under certain assumptions</w:t>
      </w:r>
      <w:r>
        <w:rPr>
          <w:sz w:val="26"/>
          <w:szCs w:val="26"/>
        </w:rPr>
        <w:t xml:space="preserve">.  However, Mr. </w:t>
      </w:r>
      <w:proofErr w:type="spellStart"/>
      <w:r>
        <w:rPr>
          <w:sz w:val="26"/>
          <w:szCs w:val="26"/>
        </w:rPr>
        <w:t>Gillan</w:t>
      </w:r>
      <w:proofErr w:type="spellEnd"/>
      <w:r>
        <w:rPr>
          <w:sz w:val="26"/>
          <w:szCs w:val="26"/>
        </w:rPr>
        <w:t xml:space="preserve"> argued </w:t>
      </w:r>
      <w:r w:rsidR="0087427F">
        <w:rPr>
          <w:sz w:val="26"/>
          <w:szCs w:val="26"/>
        </w:rPr>
        <w:t xml:space="preserve">that </w:t>
      </w:r>
      <w:r w:rsidR="00EA20E0">
        <w:rPr>
          <w:sz w:val="26"/>
          <w:szCs w:val="26"/>
        </w:rPr>
        <w:t>such</w:t>
      </w:r>
      <w:r w:rsidR="008F1CF0" w:rsidRPr="008F1CF0">
        <w:rPr>
          <w:sz w:val="26"/>
          <w:szCs w:val="26"/>
        </w:rPr>
        <w:t xml:space="preserve"> assumptions would </w:t>
      </w:r>
      <w:r w:rsidR="00EA20E0">
        <w:rPr>
          <w:sz w:val="26"/>
          <w:szCs w:val="26"/>
        </w:rPr>
        <w:t>need</w:t>
      </w:r>
      <w:r w:rsidR="008F1CF0" w:rsidRPr="008F1CF0">
        <w:rPr>
          <w:sz w:val="26"/>
          <w:szCs w:val="26"/>
        </w:rPr>
        <w:t xml:space="preserve"> to include the development and acceptance of a single-use cost allocation methodology that does not yet exist and might never be accepted by the Commission</w:t>
      </w:r>
      <w:r>
        <w:rPr>
          <w:sz w:val="26"/>
          <w:szCs w:val="26"/>
        </w:rPr>
        <w:t xml:space="preserve">, </w:t>
      </w:r>
      <w:r w:rsidR="008F1CF0" w:rsidRPr="008F1CF0">
        <w:rPr>
          <w:sz w:val="26"/>
          <w:szCs w:val="26"/>
        </w:rPr>
        <w:t>and, if appealed, the Courts</w:t>
      </w:r>
      <w:r>
        <w:rPr>
          <w:sz w:val="26"/>
          <w:szCs w:val="26"/>
        </w:rPr>
        <w:t>.</w:t>
      </w:r>
      <w:r w:rsidR="00876184">
        <w:rPr>
          <w:sz w:val="26"/>
          <w:szCs w:val="26"/>
        </w:rPr>
        <w:t xml:space="preserve">  Thus, Mr. </w:t>
      </w:r>
      <w:proofErr w:type="spellStart"/>
      <w:r w:rsidR="00876184">
        <w:rPr>
          <w:sz w:val="26"/>
          <w:szCs w:val="26"/>
        </w:rPr>
        <w:t>Gillan</w:t>
      </w:r>
      <w:proofErr w:type="spellEnd"/>
      <w:r w:rsidR="00876184">
        <w:rPr>
          <w:sz w:val="26"/>
          <w:szCs w:val="26"/>
        </w:rPr>
        <w:t xml:space="preserve"> submitted that the Parties’ agreement under the </w:t>
      </w:r>
      <w:r w:rsidR="00122A6E">
        <w:rPr>
          <w:sz w:val="26"/>
          <w:szCs w:val="26"/>
        </w:rPr>
        <w:t xml:space="preserve">Settlement is not only reasonable against the alternative of continued litigation, but is also reasonable in magnitude.  </w:t>
      </w:r>
      <w:r w:rsidR="00E87A79">
        <w:rPr>
          <w:sz w:val="26"/>
          <w:szCs w:val="26"/>
        </w:rPr>
        <w:t>OSBA Verified Witness Statement at 7, 10.</w:t>
      </w:r>
    </w:p>
    <w:p w14:paraId="564DCDD7" w14:textId="77777777" w:rsidR="00CF2D92" w:rsidRDefault="00CF2D92" w:rsidP="00217B05">
      <w:pPr>
        <w:widowControl/>
        <w:spacing w:line="360" w:lineRule="auto"/>
        <w:ind w:firstLine="1440"/>
        <w:contextualSpacing/>
        <w:rPr>
          <w:rStyle w:val="Hyperlink"/>
          <w:color w:val="auto"/>
          <w:sz w:val="26"/>
          <w:szCs w:val="26"/>
          <w:u w:val="none"/>
        </w:rPr>
      </w:pPr>
    </w:p>
    <w:p w14:paraId="0EB90EB6" w14:textId="5B29192C" w:rsidR="0094146F" w:rsidRDefault="00D1051C" w:rsidP="007368B6">
      <w:pPr>
        <w:widowControl/>
        <w:spacing w:line="360" w:lineRule="auto"/>
        <w:ind w:firstLine="1440"/>
        <w:contextualSpacing/>
        <w:rPr>
          <w:sz w:val="26"/>
          <w:szCs w:val="26"/>
        </w:rPr>
      </w:pPr>
      <w:r w:rsidRPr="00D1051C">
        <w:rPr>
          <w:sz w:val="26"/>
          <w:szCs w:val="26"/>
        </w:rPr>
        <w:t xml:space="preserve">Mr. </w:t>
      </w:r>
      <w:proofErr w:type="spellStart"/>
      <w:r w:rsidRPr="00D1051C">
        <w:rPr>
          <w:sz w:val="26"/>
          <w:szCs w:val="26"/>
        </w:rPr>
        <w:t>Gillan</w:t>
      </w:r>
      <w:proofErr w:type="spellEnd"/>
      <w:r w:rsidRPr="00D1051C">
        <w:rPr>
          <w:sz w:val="26"/>
          <w:szCs w:val="26"/>
        </w:rPr>
        <w:t xml:space="preserve"> also stated that</w:t>
      </w:r>
      <w:r w:rsidR="0087427F">
        <w:rPr>
          <w:sz w:val="26"/>
          <w:szCs w:val="26"/>
        </w:rPr>
        <w:t xml:space="preserve"> any</w:t>
      </w:r>
      <w:r w:rsidRPr="00D1051C">
        <w:rPr>
          <w:sz w:val="26"/>
          <w:szCs w:val="26"/>
        </w:rPr>
        <w:t xml:space="preserve"> foregone rate increases</w:t>
      </w:r>
      <w:r w:rsidR="007E14D8">
        <w:rPr>
          <w:sz w:val="26"/>
          <w:szCs w:val="26"/>
        </w:rPr>
        <w:t xml:space="preserve"> by the Company</w:t>
      </w:r>
      <w:r w:rsidRPr="00D1051C">
        <w:rPr>
          <w:sz w:val="26"/>
          <w:szCs w:val="26"/>
        </w:rPr>
        <w:t xml:space="preserve"> are likely to be precluded by alternatives in the future and discussed the pressures that CenturyLink’s services face from wireless and broadband services, including emerging technology. </w:t>
      </w:r>
      <w:r w:rsidR="000945C9">
        <w:rPr>
          <w:sz w:val="26"/>
          <w:szCs w:val="26"/>
        </w:rPr>
        <w:t xml:space="preserve"> </w:t>
      </w:r>
      <w:r w:rsidR="000729CF">
        <w:rPr>
          <w:sz w:val="26"/>
          <w:szCs w:val="26"/>
        </w:rPr>
        <w:t xml:space="preserve">In Mr. </w:t>
      </w:r>
      <w:proofErr w:type="spellStart"/>
      <w:r w:rsidR="000729CF">
        <w:rPr>
          <w:sz w:val="26"/>
          <w:szCs w:val="26"/>
        </w:rPr>
        <w:t>Gillan’s</w:t>
      </w:r>
      <w:proofErr w:type="spellEnd"/>
      <w:r w:rsidR="000729CF">
        <w:rPr>
          <w:sz w:val="26"/>
          <w:szCs w:val="26"/>
        </w:rPr>
        <w:t xml:space="preserve"> view</w:t>
      </w:r>
      <w:r w:rsidRPr="00D1051C">
        <w:rPr>
          <w:sz w:val="26"/>
          <w:szCs w:val="26"/>
        </w:rPr>
        <w:t>, for the purpos</w:t>
      </w:r>
      <w:r w:rsidR="0087427F">
        <w:rPr>
          <w:sz w:val="26"/>
          <w:szCs w:val="26"/>
        </w:rPr>
        <w:t>e</w:t>
      </w:r>
      <w:r w:rsidRPr="00D1051C">
        <w:rPr>
          <w:sz w:val="26"/>
          <w:szCs w:val="26"/>
        </w:rPr>
        <w:t xml:space="preserve"> of his public interest analysis, any price increase delayed is likely to be a price increase denied. </w:t>
      </w:r>
      <w:r w:rsidR="000945C9">
        <w:rPr>
          <w:sz w:val="26"/>
          <w:szCs w:val="26"/>
        </w:rPr>
        <w:t xml:space="preserve"> </w:t>
      </w:r>
      <w:r w:rsidR="004552FE">
        <w:rPr>
          <w:sz w:val="26"/>
          <w:szCs w:val="26"/>
        </w:rPr>
        <w:t xml:space="preserve">Finally, </w:t>
      </w:r>
      <w:r w:rsidRPr="00D1051C">
        <w:rPr>
          <w:sz w:val="26"/>
          <w:szCs w:val="26"/>
        </w:rPr>
        <w:t xml:space="preserve">Mr. </w:t>
      </w:r>
      <w:proofErr w:type="spellStart"/>
      <w:r w:rsidRPr="00D1051C">
        <w:rPr>
          <w:sz w:val="26"/>
          <w:szCs w:val="26"/>
        </w:rPr>
        <w:t>Gillan</w:t>
      </w:r>
      <w:proofErr w:type="spellEnd"/>
      <w:r w:rsidRPr="00D1051C">
        <w:rPr>
          <w:sz w:val="26"/>
          <w:szCs w:val="26"/>
        </w:rPr>
        <w:t xml:space="preserve"> </w:t>
      </w:r>
      <w:r w:rsidR="004552FE">
        <w:rPr>
          <w:sz w:val="26"/>
          <w:szCs w:val="26"/>
        </w:rPr>
        <w:t>submitted that based on the above, the Commission should adopt the Settlement.  OSBA</w:t>
      </w:r>
      <w:r w:rsidR="007368B6">
        <w:rPr>
          <w:sz w:val="26"/>
          <w:szCs w:val="26"/>
        </w:rPr>
        <w:t> </w:t>
      </w:r>
      <w:r w:rsidR="004552FE">
        <w:rPr>
          <w:sz w:val="26"/>
          <w:szCs w:val="26"/>
        </w:rPr>
        <w:t>Verified Witness Statement at 7-10.</w:t>
      </w:r>
    </w:p>
    <w:p w14:paraId="3872D881" w14:textId="77777777" w:rsidR="004552FE" w:rsidRPr="001471C8" w:rsidRDefault="004552FE" w:rsidP="007368B6">
      <w:pPr>
        <w:widowControl/>
        <w:spacing w:line="360" w:lineRule="auto"/>
        <w:ind w:firstLine="1440"/>
        <w:contextualSpacing/>
        <w:rPr>
          <w:rStyle w:val="Hyperlink"/>
          <w:color w:val="auto"/>
          <w:sz w:val="26"/>
          <w:szCs w:val="26"/>
          <w:u w:val="none"/>
        </w:rPr>
      </w:pPr>
    </w:p>
    <w:p w14:paraId="268D7875" w14:textId="5EA29111" w:rsidR="003912A7" w:rsidRPr="001471C8" w:rsidRDefault="003912A7" w:rsidP="007368B6">
      <w:pPr>
        <w:pStyle w:val="Heading3"/>
        <w:widowControl/>
        <w:numPr>
          <w:ilvl w:val="0"/>
          <w:numId w:val="35"/>
        </w:numPr>
        <w:spacing w:line="360" w:lineRule="auto"/>
        <w:ind w:left="1440" w:hanging="720"/>
        <w:contextualSpacing/>
        <w:rPr>
          <w:rStyle w:val="Hyperlink"/>
          <w:rFonts w:ascii="Times New Roman" w:hAnsi="Times New Roman" w:cs="Times New Roman"/>
          <w:b/>
          <w:bCs/>
          <w:color w:val="auto"/>
          <w:sz w:val="26"/>
          <w:szCs w:val="26"/>
          <w:u w:val="none"/>
        </w:rPr>
      </w:pPr>
      <w:bookmarkStart w:id="13" w:name="_Toc91762309"/>
      <w:r w:rsidRPr="001471C8">
        <w:rPr>
          <w:rStyle w:val="Hyperlink"/>
          <w:rFonts w:ascii="Times New Roman" w:hAnsi="Times New Roman" w:cs="Times New Roman"/>
          <w:b/>
          <w:bCs/>
          <w:color w:val="auto"/>
          <w:sz w:val="26"/>
          <w:szCs w:val="26"/>
          <w:u w:val="none"/>
        </w:rPr>
        <w:t>ALJs’ Recommendation</w:t>
      </w:r>
      <w:bookmarkEnd w:id="13"/>
    </w:p>
    <w:p w14:paraId="3649946B" w14:textId="1E0D0856" w:rsidR="003912A7" w:rsidRPr="001471C8" w:rsidRDefault="003912A7" w:rsidP="007368B6">
      <w:pPr>
        <w:keepNext/>
        <w:keepLines/>
        <w:widowControl/>
        <w:spacing w:line="360" w:lineRule="auto"/>
        <w:ind w:firstLine="1440"/>
        <w:contextualSpacing/>
        <w:rPr>
          <w:rStyle w:val="Hyperlink"/>
          <w:color w:val="auto"/>
          <w:sz w:val="26"/>
          <w:szCs w:val="26"/>
          <w:u w:val="none"/>
        </w:rPr>
      </w:pPr>
    </w:p>
    <w:p w14:paraId="7A20D730" w14:textId="35A60BF6" w:rsidR="004B06EF" w:rsidRPr="001471C8" w:rsidRDefault="004B06EF" w:rsidP="007368B6">
      <w:pPr>
        <w:widowControl/>
        <w:spacing w:line="360" w:lineRule="auto"/>
        <w:ind w:firstLine="1440"/>
        <w:contextualSpacing/>
        <w:rPr>
          <w:sz w:val="26"/>
          <w:szCs w:val="26"/>
        </w:rPr>
      </w:pPr>
      <w:r w:rsidRPr="001471C8">
        <w:rPr>
          <w:sz w:val="26"/>
          <w:szCs w:val="26"/>
        </w:rPr>
        <w:t>In th</w:t>
      </w:r>
      <w:r w:rsidR="00E9673C" w:rsidRPr="001471C8">
        <w:rPr>
          <w:sz w:val="26"/>
          <w:szCs w:val="26"/>
        </w:rPr>
        <w:t>ei</w:t>
      </w:r>
      <w:r w:rsidRPr="001471C8">
        <w:rPr>
          <w:sz w:val="26"/>
          <w:szCs w:val="26"/>
        </w:rPr>
        <w:t>r Recommended Decision, the ALJ</w:t>
      </w:r>
      <w:r w:rsidR="00E9673C" w:rsidRPr="001471C8">
        <w:rPr>
          <w:sz w:val="26"/>
          <w:szCs w:val="26"/>
        </w:rPr>
        <w:t>s</w:t>
      </w:r>
      <w:r w:rsidRPr="001471C8">
        <w:rPr>
          <w:sz w:val="26"/>
          <w:szCs w:val="26"/>
        </w:rPr>
        <w:t xml:space="preserve"> reached </w:t>
      </w:r>
      <w:r w:rsidR="000962A1" w:rsidRPr="001471C8">
        <w:rPr>
          <w:sz w:val="26"/>
          <w:szCs w:val="26"/>
        </w:rPr>
        <w:t>nineteen</w:t>
      </w:r>
      <w:r w:rsidRPr="001471C8">
        <w:rPr>
          <w:sz w:val="26"/>
          <w:szCs w:val="26"/>
        </w:rPr>
        <w:t xml:space="preserve"> Conclusions of Law.  R.D. at </w:t>
      </w:r>
      <w:r w:rsidR="000962A1" w:rsidRPr="001471C8">
        <w:rPr>
          <w:sz w:val="26"/>
          <w:szCs w:val="26"/>
        </w:rPr>
        <w:t>26-30</w:t>
      </w:r>
      <w:r w:rsidRPr="001471C8">
        <w:rPr>
          <w:sz w:val="26"/>
          <w:szCs w:val="26"/>
        </w:rPr>
        <w:t>.  The Conclusions of Law are incorporated herein by reference and are adopted without comment unless they are either expressly or by necessary implication rejected or modified by this Opinion and Order.</w:t>
      </w:r>
    </w:p>
    <w:p w14:paraId="6AE28B0D" w14:textId="77777777" w:rsidR="00B045CD" w:rsidRPr="001471C8" w:rsidRDefault="00B045CD" w:rsidP="00217B05">
      <w:pPr>
        <w:widowControl/>
        <w:spacing w:line="360" w:lineRule="auto"/>
        <w:ind w:firstLine="1440"/>
        <w:contextualSpacing/>
        <w:rPr>
          <w:rStyle w:val="Hyperlink"/>
          <w:color w:val="auto"/>
          <w:sz w:val="26"/>
          <w:szCs w:val="26"/>
          <w:u w:val="none"/>
        </w:rPr>
      </w:pPr>
    </w:p>
    <w:p w14:paraId="27051F25" w14:textId="25057F59" w:rsidR="00E8001D" w:rsidRPr="001471C8" w:rsidRDefault="00920B22"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 xml:space="preserve">On review of the Settlement, the Statements in Support, and the </w:t>
      </w:r>
      <w:r w:rsidR="005A748C" w:rsidRPr="001471C8">
        <w:rPr>
          <w:rStyle w:val="Hyperlink"/>
          <w:color w:val="auto"/>
          <w:sz w:val="26"/>
          <w:szCs w:val="26"/>
          <w:u w:val="none"/>
        </w:rPr>
        <w:t xml:space="preserve">Verified Witness Statements, the ALJs recommended that the Commission reject the Settlement.  </w:t>
      </w:r>
      <w:r w:rsidR="00082127">
        <w:rPr>
          <w:rStyle w:val="Hyperlink"/>
          <w:color w:val="auto"/>
          <w:sz w:val="26"/>
          <w:szCs w:val="26"/>
          <w:u w:val="none"/>
        </w:rPr>
        <w:t xml:space="preserve">The ALJs </w:t>
      </w:r>
      <w:r w:rsidR="004A2BEC">
        <w:rPr>
          <w:rStyle w:val="Hyperlink"/>
          <w:color w:val="auto"/>
          <w:sz w:val="26"/>
          <w:szCs w:val="26"/>
          <w:u w:val="none"/>
        </w:rPr>
        <w:t>insisted</w:t>
      </w:r>
      <w:r w:rsidR="00082127">
        <w:rPr>
          <w:rStyle w:val="Hyperlink"/>
          <w:color w:val="auto"/>
          <w:sz w:val="26"/>
          <w:szCs w:val="26"/>
          <w:u w:val="none"/>
        </w:rPr>
        <w:t xml:space="preserve"> that </w:t>
      </w:r>
      <w:r w:rsidR="004A2BEC">
        <w:rPr>
          <w:rStyle w:val="Hyperlink"/>
          <w:color w:val="auto"/>
          <w:sz w:val="26"/>
          <w:szCs w:val="26"/>
          <w:u w:val="none"/>
        </w:rPr>
        <w:t>although</w:t>
      </w:r>
      <w:r w:rsidR="00082127">
        <w:rPr>
          <w:rStyle w:val="Hyperlink"/>
          <w:color w:val="auto"/>
          <w:sz w:val="26"/>
          <w:szCs w:val="26"/>
          <w:u w:val="none"/>
        </w:rPr>
        <w:t xml:space="preserve"> it is unusual to recommend the rejection of a settlement, </w:t>
      </w:r>
      <w:r w:rsidR="007308B4">
        <w:rPr>
          <w:rStyle w:val="Hyperlink"/>
          <w:color w:val="auto"/>
          <w:sz w:val="26"/>
          <w:szCs w:val="26"/>
          <w:u w:val="none"/>
        </w:rPr>
        <w:t xml:space="preserve">it must be done in this instance.  </w:t>
      </w:r>
      <w:r w:rsidR="005A748C" w:rsidRPr="001471C8">
        <w:rPr>
          <w:rStyle w:val="Hyperlink"/>
          <w:color w:val="auto"/>
          <w:sz w:val="26"/>
          <w:szCs w:val="26"/>
          <w:u w:val="none"/>
        </w:rPr>
        <w:t xml:space="preserve">According to the ALJs, the Joint Petitioners </w:t>
      </w:r>
      <w:r w:rsidR="00E8001D" w:rsidRPr="001471C8">
        <w:rPr>
          <w:rStyle w:val="Hyperlink"/>
          <w:color w:val="auto"/>
          <w:sz w:val="26"/>
          <w:szCs w:val="26"/>
          <w:u w:val="none"/>
        </w:rPr>
        <w:t xml:space="preserve">have </w:t>
      </w:r>
      <w:r w:rsidR="005A748C" w:rsidRPr="001471C8">
        <w:rPr>
          <w:rStyle w:val="Hyperlink"/>
          <w:color w:val="auto"/>
          <w:sz w:val="26"/>
          <w:szCs w:val="26"/>
          <w:u w:val="none"/>
        </w:rPr>
        <w:t>failed to respond to the Commission’s directives</w:t>
      </w:r>
      <w:r w:rsidR="007308B4">
        <w:rPr>
          <w:rStyle w:val="Hyperlink"/>
          <w:color w:val="auto"/>
          <w:sz w:val="26"/>
          <w:szCs w:val="26"/>
          <w:u w:val="none"/>
        </w:rPr>
        <w:t xml:space="preserve">, as set forth in the </w:t>
      </w:r>
      <w:r w:rsidR="000F71EB">
        <w:rPr>
          <w:rStyle w:val="Hyperlink"/>
          <w:i/>
          <w:iCs/>
          <w:color w:val="auto"/>
          <w:sz w:val="26"/>
          <w:szCs w:val="26"/>
          <w:u w:val="none"/>
        </w:rPr>
        <w:t xml:space="preserve">October 2018 Order, </w:t>
      </w:r>
      <w:r w:rsidR="00E8001D" w:rsidRPr="001471C8">
        <w:rPr>
          <w:rStyle w:val="Hyperlink"/>
          <w:color w:val="auto"/>
          <w:sz w:val="26"/>
          <w:szCs w:val="26"/>
          <w:u w:val="none"/>
        </w:rPr>
        <w:t>and have failed to support the Settlement with substantial evidence.  R.D. at 16</w:t>
      </w:r>
      <w:r w:rsidR="000F71EB">
        <w:rPr>
          <w:rStyle w:val="Hyperlink"/>
          <w:color w:val="auto"/>
          <w:sz w:val="26"/>
          <w:szCs w:val="26"/>
          <w:u w:val="none"/>
        </w:rPr>
        <w:t>, 26</w:t>
      </w:r>
      <w:r w:rsidR="00E8001D" w:rsidRPr="001471C8">
        <w:rPr>
          <w:rStyle w:val="Hyperlink"/>
          <w:color w:val="auto"/>
          <w:sz w:val="26"/>
          <w:szCs w:val="26"/>
          <w:u w:val="none"/>
        </w:rPr>
        <w:t>.</w:t>
      </w:r>
    </w:p>
    <w:p w14:paraId="363CB462" w14:textId="77777777" w:rsidR="00E8001D" w:rsidRPr="001471C8" w:rsidRDefault="00E8001D" w:rsidP="00217B05">
      <w:pPr>
        <w:widowControl/>
        <w:spacing w:line="360" w:lineRule="auto"/>
        <w:ind w:firstLine="1440"/>
        <w:contextualSpacing/>
        <w:rPr>
          <w:rStyle w:val="Hyperlink"/>
          <w:color w:val="auto"/>
          <w:sz w:val="26"/>
          <w:szCs w:val="26"/>
          <w:u w:val="none"/>
        </w:rPr>
      </w:pPr>
    </w:p>
    <w:p w14:paraId="75058336" w14:textId="49075C9D" w:rsidR="00FF74BC" w:rsidRPr="001471C8" w:rsidRDefault="00E8001D"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 xml:space="preserve">The ALJs began by </w:t>
      </w:r>
      <w:r w:rsidR="00497905" w:rsidRPr="001471C8">
        <w:rPr>
          <w:rStyle w:val="Hyperlink"/>
          <w:color w:val="auto"/>
          <w:sz w:val="26"/>
          <w:szCs w:val="26"/>
          <w:u w:val="none"/>
        </w:rPr>
        <w:t xml:space="preserve">discussing the </w:t>
      </w:r>
      <w:r w:rsidR="00497905" w:rsidRPr="001471C8">
        <w:rPr>
          <w:rStyle w:val="Hyperlink"/>
          <w:i/>
          <w:iCs/>
          <w:color w:val="auto"/>
          <w:sz w:val="26"/>
          <w:szCs w:val="26"/>
          <w:u w:val="none"/>
        </w:rPr>
        <w:t>October 2018 Order, supra</w:t>
      </w:r>
      <w:r w:rsidR="00F32D3F" w:rsidRPr="001471C8">
        <w:rPr>
          <w:rStyle w:val="Hyperlink"/>
          <w:color w:val="auto"/>
          <w:sz w:val="26"/>
          <w:szCs w:val="26"/>
          <w:u w:val="none"/>
        </w:rPr>
        <w:t xml:space="preserve">.  </w:t>
      </w:r>
      <w:r w:rsidR="00DD6C6E" w:rsidRPr="001471C8">
        <w:rPr>
          <w:rStyle w:val="Hyperlink"/>
          <w:color w:val="auto"/>
          <w:sz w:val="26"/>
          <w:szCs w:val="26"/>
          <w:u w:val="none"/>
        </w:rPr>
        <w:t>First, the ALJs stated their finding that</w:t>
      </w:r>
      <w:r w:rsidR="00AA557E" w:rsidRPr="001471C8">
        <w:rPr>
          <w:rStyle w:val="Hyperlink"/>
          <w:color w:val="auto"/>
          <w:sz w:val="26"/>
          <w:szCs w:val="26"/>
          <w:u w:val="none"/>
        </w:rPr>
        <w:t xml:space="preserve"> </w:t>
      </w:r>
      <w:r w:rsidR="007757C6" w:rsidRPr="001471C8">
        <w:rPr>
          <w:rStyle w:val="Hyperlink"/>
          <w:color w:val="auto"/>
          <w:sz w:val="26"/>
          <w:szCs w:val="26"/>
          <w:u w:val="none"/>
        </w:rPr>
        <w:t xml:space="preserve">that </w:t>
      </w:r>
      <w:r w:rsidR="00AA557E" w:rsidRPr="001471C8">
        <w:rPr>
          <w:rStyle w:val="Hyperlink"/>
          <w:color w:val="auto"/>
          <w:sz w:val="26"/>
          <w:szCs w:val="26"/>
          <w:u w:val="none"/>
        </w:rPr>
        <w:t>Settlement fail</w:t>
      </w:r>
      <w:r w:rsidR="007757C6" w:rsidRPr="001471C8">
        <w:rPr>
          <w:rStyle w:val="Hyperlink"/>
          <w:color w:val="auto"/>
          <w:sz w:val="26"/>
          <w:szCs w:val="26"/>
          <w:u w:val="none"/>
        </w:rPr>
        <w:t>ed</w:t>
      </w:r>
      <w:r w:rsidR="00AA557E" w:rsidRPr="001471C8">
        <w:rPr>
          <w:rStyle w:val="Hyperlink"/>
          <w:color w:val="auto"/>
          <w:sz w:val="26"/>
          <w:szCs w:val="26"/>
          <w:u w:val="none"/>
        </w:rPr>
        <w:t xml:space="preserve"> to determine whether the passage of the TCJA is a qualifying exogenous event under CenturyLink’s Chapter 30 Plan.  </w:t>
      </w:r>
      <w:r w:rsidR="00A71925" w:rsidRPr="001471C8">
        <w:rPr>
          <w:rStyle w:val="Hyperlink"/>
          <w:color w:val="auto"/>
          <w:sz w:val="26"/>
          <w:szCs w:val="26"/>
          <w:u w:val="none"/>
        </w:rPr>
        <w:t xml:space="preserve">The ALJs </w:t>
      </w:r>
      <w:r w:rsidR="009D5817">
        <w:rPr>
          <w:rStyle w:val="Hyperlink"/>
          <w:color w:val="auto"/>
          <w:sz w:val="26"/>
          <w:szCs w:val="26"/>
          <w:u w:val="none"/>
        </w:rPr>
        <w:t>concluded</w:t>
      </w:r>
      <w:r w:rsidR="00A71925" w:rsidRPr="001471C8">
        <w:rPr>
          <w:rStyle w:val="Hyperlink"/>
          <w:color w:val="auto"/>
          <w:sz w:val="26"/>
          <w:szCs w:val="26"/>
          <w:u w:val="none"/>
        </w:rPr>
        <w:t xml:space="preserve"> that although the Commission specifically directed in the </w:t>
      </w:r>
      <w:r w:rsidR="00A71925" w:rsidRPr="001471C8">
        <w:rPr>
          <w:rStyle w:val="Hyperlink"/>
          <w:i/>
          <w:iCs/>
          <w:color w:val="auto"/>
          <w:sz w:val="26"/>
          <w:szCs w:val="26"/>
          <w:u w:val="none"/>
        </w:rPr>
        <w:t xml:space="preserve">October 2018 Order </w:t>
      </w:r>
      <w:r w:rsidR="00A71925" w:rsidRPr="001471C8">
        <w:rPr>
          <w:rStyle w:val="Hyperlink"/>
          <w:color w:val="auto"/>
          <w:sz w:val="26"/>
          <w:szCs w:val="26"/>
          <w:u w:val="none"/>
        </w:rPr>
        <w:t xml:space="preserve">that this issue be “decided,” the Joint Petitioners have </w:t>
      </w:r>
      <w:r w:rsidR="00253BC6" w:rsidRPr="001471C8">
        <w:rPr>
          <w:rStyle w:val="Hyperlink"/>
          <w:color w:val="auto"/>
          <w:sz w:val="26"/>
          <w:szCs w:val="26"/>
          <w:u w:val="none"/>
        </w:rPr>
        <w:t xml:space="preserve">failed to resolve this issue.  In contrast, the ALJs found that the record in this proceeding supports a determination that the passage of the TCJA </w:t>
      </w:r>
      <w:r w:rsidR="002A31B0" w:rsidRPr="001471C8">
        <w:rPr>
          <w:rStyle w:val="Hyperlink"/>
          <w:color w:val="auto"/>
          <w:sz w:val="26"/>
          <w:szCs w:val="26"/>
          <w:u w:val="none"/>
        </w:rPr>
        <w:t>definitively qualifies as an exogenous event.  R.D. at 16</w:t>
      </w:r>
      <w:r w:rsidR="00573DF7">
        <w:rPr>
          <w:rStyle w:val="Hyperlink"/>
          <w:color w:val="auto"/>
          <w:sz w:val="26"/>
          <w:szCs w:val="26"/>
          <w:u w:val="none"/>
        </w:rPr>
        <w:noBreakHyphen/>
      </w:r>
      <w:r w:rsidR="002A31B0" w:rsidRPr="001471C8">
        <w:rPr>
          <w:rStyle w:val="Hyperlink"/>
          <w:color w:val="auto"/>
          <w:sz w:val="26"/>
          <w:szCs w:val="26"/>
          <w:u w:val="none"/>
        </w:rPr>
        <w:t>17</w:t>
      </w:r>
      <w:r w:rsidR="004C15CE">
        <w:rPr>
          <w:rStyle w:val="Hyperlink"/>
          <w:color w:val="auto"/>
          <w:sz w:val="26"/>
          <w:szCs w:val="26"/>
          <w:u w:val="none"/>
        </w:rPr>
        <w:t xml:space="preserve"> (citing </w:t>
      </w:r>
      <w:r w:rsidR="004C15CE">
        <w:rPr>
          <w:rStyle w:val="Hyperlink"/>
          <w:i/>
          <w:iCs/>
          <w:color w:val="auto"/>
          <w:sz w:val="26"/>
          <w:szCs w:val="26"/>
          <w:u w:val="none"/>
        </w:rPr>
        <w:t xml:space="preserve">October 2018 Order </w:t>
      </w:r>
      <w:r w:rsidR="004C15CE">
        <w:rPr>
          <w:rStyle w:val="Hyperlink"/>
          <w:color w:val="auto"/>
          <w:sz w:val="26"/>
          <w:szCs w:val="26"/>
          <w:u w:val="none"/>
        </w:rPr>
        <w:t xml:space="preserve">at </w:t>
      </w:r>
      <w:r w:rsidR="00CE6330">
        <w:rPr>
          <w:rStyle w:val="Hyperlink"/>
          <w:color w:val="auto"/>
          <w:sz w:val="26"/>
          <w:szCs w:val="26"/>
          <w:u w:val="none"/>
        </w:rPr>
        <w:t>3-4, 8)</w:t>
      </w:r>
      <w:r w:rsidR="002A31B0" w:rsidRPr="001471C8">
        <w:rPr>
          <w:rStyle w:val="Hyperlink"/>
          <w:color w:val="auto"/>
          <w:sz w:val="26"/>
          <w:szCs w:val="26"/>
          <w:u w:val="none"/>
        </w:rPr>
        <w:t>.</w:t>
      </w:r>
    </w:p>
    <w:p w14:paraId="32E403D9" w14:textId="77777777" w:rsidR="00145828" w:rsidRPr="001471C8" w:rsidRDefault="00145828" w:rsidP="00217B05">
      <w:pPr>
        <w:widowControl/>
        <w:spacing w:line="360" w:lineRule="auto"/>
        <w:ind w:firstLine="1440"/>
        <w:contextualSpacing/>
        <w:rPr>
          <w:rStyle w:val="Hyperlink"/>
          <w:color w:val="auto"/>
          <w:sz w:val="26"/>
          <w:szCs w:val="26"/>
          <w:u w:val="none"/>
        </w:rPr>
      </w:pPr>
    </w:p>
    <w:p w14:paraId="74069317" w14:textId="4069359E" w:rsidR="002A31B0" w:rsidRPr="001471C8" w:rsidRDefault="00746A7B" w:rsidP="00217B05">
      <w:pPr>
        <w:widowControl/>
        <w:spacing w:line="360" w:lineRule="auto"/>
        <w:ind w:firstLine="1440"/>
        <w:contextualSpacing/>
        <w:rPr>
          <w:rStyle w:val="Hyperlink"/>
          <w:color w:val="auto"/>
          <w:sz w:val="26"/>
          <w:szCs w:val="26"/>
          <w:u w:val="none"/>
        </w:rPr>
      </w:pPr>
      <w:r w:rsidRPr="001471C8">
        <w:rPr>
          <w:rStyle w:val="Hyperlink"/>
          <w:color w:val="auto"/>
          <w:sz w:val="26"/>
          <w:szCs w:val="26"/>
          <w:u w:val="none"/>
        </w:rPr>
        <w:t>Next, the</w:t>
      </w:r>
      <w:r w:rsidR="009B0CF5" w:rsidRPr="001471C8">
        <w:rPr>
          <w:rStyle w:val="Hyperlink"/>
          <w:color w:val="auto"/>
          <w:sz w:val="26"/>
          <w:szCs w:val="26"/>
          <w:u w:val="none"/>
        </w:rPr>
        <w:t xml:space="preserve"> ALJs quoted </w:t>
      </w:r>
      <w:r w:rsidR="007270C2" w:rsidRPr="001471C8">
        <w:rPr>
          <w:rStyle w:val="Hyperlink"/>
          <w:color w:val="auto"/>
          <w:sz w:val="26"/>
          <w:szCs w:val="26"/>
          <w:u w:val="none"/>
        </w:rPr>
        <w:t xml:space="preserve">the </w:t>
      </w:r>
      <w:r w:rsidR="00575F8E" w:rsidRPr="001471C8">
        <w:rPr>
          <w:rStyle w:val="Hyperlink"/>
          <w:color w:val="auto"/>
          <w:sz w:val="26"/>
          <w:szCs w:val="26"/>
          <w:u w:val="none"/>
        </w:rPr>
        <w:t>exogenous</w:t>
      </w:r>
      <w:r w:rsidR="007270C2" w:rsidRPr="001471C8">
        <w:rPr>
          <w:rStyle w:val="Hyperlink"/>
          <w:color w:val="auto"/>
          <w:sz w:val="26"/>
          <w:szCs w:val="26"/>
          <w:u w:val="none"/>
        </w:rPr>
        <w:t xml:space="preserve"> event provisions of CenturyLink’s Chapter 30 Plan</w:t>
      </w:r>
      <w:r w:rsidR="00FB1CB8">
        <w:rPr>
          <w:rStyle w:val="Hyperlink"/>
          <w:color w:val="auto"/>
          <w:sz w:val="26"/>
          <w:szCs w:val="26"/>
          <w:u w:val="none"/>
        </w:rPr>
        <w:t>.</w:t>
      </w:r>
      <w:r w:rsidR="008B75FE">
        <w:rPr>
          <w:rStyle w:val="FootnoteReference"/>
          <w:sz w:val="26"/>
          <w:szCs w:val="26"/>
        </w:rPr>
        <w:footnoteReference w:id="14"/>
      </w:r>
      <w:r w:rsidR="00FB1CB8">
        <w:rPr>
          <w:rStyle w:val="Hyperlink"/>
          <w:color w:val="auto"/>
          <w:sz w:val="26"/>
          <w:szCs w:val="26"/>
          <w:u w:val="none"/>
        </w:rPr>
        <w:t xml:space="preserve">  </w:t>
      </w:r>
      <w:r w:rsidRPr="001471C8">
        <w:rPr>
          <w:rStyle w:val="Hyperlink"/>
          <w:color w:val="auto"/>
          <w:sz w:val="26"/>
          <w:szCs w:val="26"/>
          <w:u w:val="none"/>
        </w:rPr>
        <w:t xml:space="preserve">The ALJs </w:t>
      </w:r>
      <w:r w:rsidR="002F3418" w:rsidRPr="001471C8">
        <w:rPr>
          <w:rStyle w:val="Hyperlink"/>
          <w:color w:val="auto"/>
          <w:sz w:val="26"/>
          <w:szCs w:val="26"/>
          <w:u w:val="none"/>
        </w:rPr>
        <w:t xml:space="preserve">opined that although the Joint Petitioners never articulated their respective disagreements as to why the TCJA does or </w:t>
      </w:r>
      <w:r w:rsidR="000176C7">
        <w:rPr>
          <w:rStyle w:val="Hyperlink"/>
          <w:color w:val="auto"/>
          <w:sz w:val="26"/>
          <w:szCs w:val="26"/>
          <w:u w:val="none"/>
        </w:rPr>
        <w:t xml:space="preserve">does </w:t>
      </w:r>
      <w:r w:rsidR="002F3418" w:rsidRPr="001471C8">
        <w:rPr>
          <w:rStyle w:val="Hyperlink"/>
          <w:color w:val="auto"/>
          <w:sz w:val="26"/>
          <w:szCs w:val="26"/>
          <w:u w:val="none"/>
        </w:rPr>
        <w:t xml:space="preserve">not qualify as an exogenous event, </w:t>
      </w:r>
      <w:r w:rsidR="00B90498" w:rsidRPr="001471C8">
        <w:rPr>
          <w:rStyle w:val="Hyperlink"/>
          <w:color w:val="auto"/>
          <w:sz w:val="26"/>
          <w:szCs w:val="26"/>
          <w:u w:val="none"/>
        </w:rPr>
        <w:t xml:space="preserve">it is clear that the TCJA is a subsequent federal legislative change that affects the Company’s revenues or expenses </w:t>
      </w:r>
      <w:r w:rsidR="00051B63">
        <w:rPr>
          <w:rStyle w:val="Hyperlink"/>
          <w:color w:val="auto"/>
          <w:sz w:val="26"/>
          <w:szCs w:val="26"/>
          <w:u w:val="none"/>
        </w:rPr>
        <w:t xml:space="preserve">and </w:t>
      </w:r>
      <w:r w:rsidR="004973F0" w:rsidRPr="001471C8">
        <w:rPr>
          <w:rStyle w:val="Hyperlink"/>
          <w:color w:val="auto"/>
          <w:sz w:val="26"/>
          <w:szCs w:val="26"/>
          <w:u w:val="none"/>
        </w:rPr>
        <w:t>is not captured in the GDP-PI</w:t>
      </w:r>
      <w:r w:rsidR="00051B63">
        <w:rPr>
          <w:rStyle w:val="Hyperlink"/>
          <w:color w:val="auto"/>
          <w:sz w:val="26"/>
          <w:szCs w:val="26"/>
          <w:u w:val="none"/>
        </w:rPr>
        <w:t>.  As such, the ALJs concluded that the TCJA</w:t>
      </w:r>
      <w:r w:rsidR="004973F0" w:rsidRPr="001471C8">
        <w:rPr>
          <w:rStyle w:val="Hyperlink"/>
          <w:color w:val="auto"/>
          <w:sz w:val="26"/>
          <w:szCs w:val="26"/>
          <w:u w:val="none"/>
        </w:rPr>
        <w:t xml:space="preserve"> fits squarely within the definition of </w:t>
      </w:r>
      <w:r w:rsidR="006D4122">
        <w:rPr>
          <w:rStyle w:val="Hyperlink"/>
          <w:color w:val="auto"/>
          <w:sz w:val="26"/>
          <w:szCs w:val="26"/>
          <w:u w:val="none"/>
        </w:rPr>
        <w:t>“</w:t>
      </w:r>
      <w:r w:rsidR="004973F0" w:rsidRPr="001471C8">
        <w:rPr>
          <w:rStyle w:val="Hyperlink"/>
          <w:color w:val="auto"/>
          <w:sz w:val="26"/>
          <w:szCs w:val="26"/>
          <w:u w:val="none"/>
        </w:rPr>
        <w:t>exogenous event</w:t>
      </w:r>
      <w:r w:rsidR="006D4122">
        <w:rPr>
          <w:rStyle w:val="Hyperlink"/>
          <w:color w:val="auto"/>
          <w:sz w:val="26"/>
          <w:szCs w:val="26"/>
          <w:u w:val="none"/>
        </w:rPr>
        <w:t>”</w:t>
      </w:r>
      <w:r w:rsidR="004973F0" w:rsidRPr="001471C8">
        <w:rPr>
          <w:rStyle w:val="Hyperlink"/>
          <w:color w:val="auto"/>
          <w:sz w:val="26"/>
          <w:szCs w:val="26"/>
          <w:u w:val="none"/>
        </w:rPr>
        <w:t xml:space="preserve"> under the Company’s Chapter 30 Plan.  </w:t>
      </w:r>
      <w:r w:rsidR="00906FE7" w:rsidRPr="001471C8">
        <w:rPr>
          <w:rStyle w:val="Hyperlink"/>
          <w:color w:val="auto"/>
          <w:sz w:val="26"/>
          <w:szCs w:val="26"/>
          <w:u w:val="none"/>
        </w:rPr>
        <w:t xml:space="preserve">The ALJs found that </w:t>
      </w:r>
      <w:r w:rsidR="007A165C" w:rsidRPr="001471C8">
        <w:rPr>
          <w:rStyle w:val="Hyperlink"/>
          <w:color w:val="auto"/>
          <w:sz w:val="26"/>
          <w:szCs w:val="26"/>
          <w:u w:val="none"/>
        </w:rPr>
        <w:t>the Joint Petitioners have failed to provide any evidence to demonstrate that the impact of the TCJA will</w:t>
      </w:r>
      <w:r w:rsidR="00793D2E" w:rsidRPr="001471C8">
        <w:rPr>
          <w:rStyle w:val="Hyperlink"/>
          <w:color w:val="auto"/>
          <w:sz w:val="26"/>
          <w:szCs w:val="26"/>
          <w:u w:val="none"/>
        </w:rPr>
        <w:t xml:space="preserve"> already</w:t>
      </w:r>
      <w:r w:rsidR="007A165C" w:rsidRPr="001471C8">
        <w:rPr>
          <w:rStyle w:val="Hyperlink"/>
          <w:color w:val="auto"/>
          <w:sz w:val="26"/>
          <w:szCs w:val="26"/>
          <w:u w:val="none"/>
        </w:rPr>
        <w:t xml:space="preserve"> be reflected in the GDP-PI</w:t>
      </w:r>
      <w:r w:rsidR="0060271B" w:rsidRPr="001471C8">
        <w:rPr>
          <w:rStyle w:val="Hyperlink"/>
          <w:color w:val="auto"/>
          <w:sz w:val="26"/>
          <w:szCs w:val="26"/>
          <w:u w:val="none"/>
        </w:rPr>
        <w:t xml:space="preserve"> such that its impact does not qualify as an exogenous event</w:t>
      </w:r>
      <w:r w:rsidR="00793D2E" w:rsidRPr="001471C8">
        <w:rPr>
          <w:rStyle w:val="Hyperlink"/>
          <w:color w:val="auto"/>
          <w:sz w:val="26"/>
          <w:szCs w:val="26"/>
          <w:u w:val="none"/>
        </w:rPr>
        <w:t xml:space="preserve">. </w:t>
      </w:r>
      <w:r w:rsidR="007A165C" w:rsidRPr="001471C8">
        <w:rPr>
          <w:rStyle w:val="Hyperlink"/>
          <w:color w:val="auto"/>
          <w:sz w:val="26"/>
          <w:szCs w:val="26"/>
          <w:u w:val="none"/>
        </w:rPr>
        <w:t xml:space="preserve"> </w:t>
      </w:r>
      <w:r w:rsidR="00C559F7" w:rsidRPr="001471C8">
        <w:rPr>
          <w:rStyle w:val="Hyperlink"/>
          <w:color w:val="auto"/>
          <w:sz w:val="26"/>
          <w:szCs w:val="26"/>
          <w:u w:val="none"/>
        </w:rPr>
        <w:t>In the ALJs’ view, if the passage of the TCJA does not qualify as an exogenous event</w:t>
      </w:r>
      <w:r w:rsidR="002D657B" w:rsidRPr="001471C8">
        <w:rPr>
          <w:rStyle w:val="Hyperlink"/>
          <w:color w:val="auto"/>
          <w:sz w:val="26"/>
          <w:szCs w:val="26"/>
          <w:u w:val="none"/>
        </w:rPr>
        <w:t xml:space="preserve"> then nothing would qualify</w:t>
      </w:r>
      <w:r w:rsidR="00BF7714">
        <w:rPr>
          <w:rStyle w:val="Hyperlink"/>
          <w:color w:val="auto"/>
          <w:sz w:val="26"/>
          <w:szCs w:val="26"/>
          <w:u w:val="none"/>
        </w:rPr>
        <w:t xml:space="preserve"> as one,</w:t>
      </w:r>
      <w:r w:rsidR="002D657B" w:rsidRPr="001471C8">
        <w:rPr>
          <w:rStyle w:val="Hyperlink"/>
          <w:color w:val="auto"/>
          <w:sz w:val="26"/>
          <w:szCs w:val="26"/>
          <w:u w:val="none"/>
        </w:rPr>
        <w:t xml:space="preserve"> and the exogenous event provision in the </w:t>
      </w:r>
      <w:r w:rsidR="00BF7714">
        <w:rPr>
          <w:rStyle w:val="Hyperlink"/>
          <w:color w:val="auto"/>
          <w:sz w:val="26"/>
          <w:szCs w:val="26"/>
          <w:u w:val="none"/>
        </w:rPr>
        <w:t>Company’s Chapter 30 Plan</w:t>
      </w:r>
      <w:r w:rsidR="002D657B" w:rsidRPr="001471C8">
        <w:rPr>
          <w:rStyle w:val="Hyperlink"/>
          <w:color w:val="auto"/>
          <w:sz w:val="26"/>
          <w:szCs w:val="26"/>
          <w:u w:val="none"/>
        </w:rPr>
        <w:t xml:space="preserve"> would be </w:t>
      </w:r>
      <w:r w:rsidR="00A741B2" w:rsidRPr="001471C8">
        <w:rPr>
          <w:rStyle w:val="Hyperlink"/>
          <w:color w:val="auto"/>
          <w:sz w:val="26"/>
          <w:szCs w:val="26"/>
          <w:u w:val="none"/>
        </w:rPr>
        <w:t>rendered meaningless.  The ALJs continued, noting th</w:t>
      </w:r>
      <w:r w:rsidR="00143632" w:rsidRPr="001471C8">
        <w:rPr>
          <w:rStyle w:val="Hyperlink"/>
          <w:color w:val="auto"/>
          <w:sz w:val="26"/>
          <w:szCs w:val="26"/>
          <w:u w:val="none"/>
        </w:rPr>
        <w:t xml:space="preserve">at they did not believe that the Commission intended for this result when approving CenturyLink’s Chapter 30 Plan.  </w:t>
      </w:r>
      <w:r w:rsidR="00886E66" w:rsidRPr="001471C8">
        <w:rPr>
          <w:rStyle w:val="Hyperlink"/>
          <w:color w:val="auto"/>
          <w:sz w:val="26"/>
          <w:szCs w:val="26"/>
          <w:u w:val="none"/>
        </w:rPr>
        <w:t>R.D. at 17-19.</w:t>
      </w:r>
    </w:p>
    <w:p w14:paraId="2B4C01B2" w14:textId="1DE9D3B2" w:rsidR="00886E66" w:rsidRPr="001471C8" w:rsidRDefault="00886E66" w:rsidP="00217B05">
      <w:pPr>
        <w:widowControl/>
        <w:spacing w:line="360" w:lineRule="auto"/>
        <w:ind w:firstLine="1440"/>
        <w:contextualSpacing/>
        <w:rPr>
          <w:rStyle w:val="Hyperlink"/>
          <w:color w:val="auto"/>
          <w:sz w:val="26"/>
          <w:szCs w:val="26"/>
          <w:u w:val="none"/>
        </w:rPr>
      </w:pPr>
    </w:p>
    <w:p w14:paraId="2E6B18D3" w14:textId="0E69A91F" w:rsidR="00886E66" w:rsidRPr="001471C8" w:rsidRDefault="00886E66" w:rsidP="00217B05">
      <w:pPr>
        <w:widowControl/>
        <w:spacing w:line="360" w:lineRule="auto"/>
        <w:ind w:firstLine="1440"/>
        <w:contextualSpacing/>
        <w:rPr>
          <w:sz w:val="26"/>
          <w:szCs w:val="26"/>
        </w:rPr>
      </w:pPr>
      <w:r w:rsidRPr="001471C8">
        <w:rPr>
          <w:rStyle w:val="Hyperlink"/>
          <w:color w:val="auto"/>
          <w:sz w:val="26"/>
          <w:szCs w:val="26"/>
          <w:u w:val="none"/>
        </w:rPr>
        <w:t xml:space="preserve">Having found </w:t>
      </w:r>
      <w:r w:rsidR="00400BDE" w:rsidRPr="001471C8">
        <w:rPr>
          <w:rStyle w:val="Hyperlink"/>
          <w:color w:val="auto"/>
          <w:sz w:val="26"/>
          <w:szCs w:val="26"/>
          <w:u w:val="none"/>
        </w:rPr>
        <w:t xml:space="preserve">that the TCJA qualifies as an exogenous event under the Company’s Chapter 30 Plan, the ALJs next examined whether the Settlement </w:t>
      </w:r>
      <w:r w:rsidR="00881386" w:rsidRPr="001471C8">
        <w:rPr>
          <w:rStyle w:val="Hyperlink"/>
          <w:color w:val="auto"/>
          <w:sz w:val="26"/>
          <w:szCs w:val="26"/>
          <w:u w:val="none"/>
        </w:rPr>
        <w:t>provides a fully developed evidentiary record upon which the Commission can decide this matter</w:t>
      </w:r>
      <w:r w:rsidR="00164F4D" w:rsidRPr="001471C8">
        <w:rPr>
          <w:rStyle w:val="Hyperlink"/>
          <w:color w:val="auto"/>
          <w:sz w:val="26"/>
          <w:szCs w:val="26"/>
          <w:u w:val="none"/>
        </w:rPr>
        <w:t xml:space="preserve">.  According to the ALJs, </w:t>
      </w:r>
      <w:r w:rsidR="001471C8" w:rsidRPr="001471C8">
        <w:rPr>
          <w:rStyle w:val="Hyperlink"/>
          <w:color w:val="auto"/>
          <w:sz w:val="26"/>
          <w:szCs w:val="26"/>
          <w:u w:val="none"/>
        </w:rPr>
        <w:t>the Commission</w:t>
      </w:r>
      <w:r w:rsidR="00232402">
        <w:rPr>
          <w:rStyle w:val="Hyperlink"/>
          <w:color w:val="auto"/>
          <w:sz w:val="26"/>
          <w:szCs w:val="26"/>
          <w:u w:val="none"/>
        </w:rPr>
        <w:t xml:space="preserve"> concluded</w:t>
      </w:r>
      <w:r w:rsidR="001471C8" w:rsidRPr="001471C8">
        <w:rPr>
          <w:rStyle w:val="Hyperlink"/>
          <w:color w:val="auto"/>
          <w:sz w:val="26"/>
          <w:szCs w:val="26"/>
          <w:u w:val="none"/>
        </w:rPr>
        <w:t xml:space="preserve"> </w:t>
      </w:r>
      <w:r w:rsidR="009319BE" w:rsidRPr="001471C8">
        <w:rPr>
          <w:rStyle w:val="Hyperlink"/>
          <w:color w:val="auto"/>
          <w:sz w:val="26"/>
          <w:szCs w:val="26"/>
          <w:u w:val="none"/>
        </w:rPr>
        <w:t xml:space="preserve">in </w:t>
      </w:r>
      <w:r w:rsidR="00164F4D" w:rsidRPr="001471C8">
        <w:rPr>
          <w:rStyle w:val="Hyperlink"/>
          <w:color w:val="auto"/>
          <w:sz w:val="26"/>
          <w:szCs w:val="26"/>
          <w:u w:val="none"/>
        </w:rPr>
        <w:t xml:space="preserve">the </w:t>
      </w:r>
      <w:r w:rsidR="00164F4D" w:rsidRPr="001471C8">
        <w:rPr>
          <w:rStyle w:val="Hyperlink"/>
          <w:i/>
          <w:iCs/>
          <w:color w:val="auto"/>
          <w:sz w:val="26"/>
          <w:szCs w:val="26"/>
          <w:u w:val="none"/>
        </w:rPr>
        <w:t>October 2018 Order</w:t>
      </w:r>
      <w:r w:rsidR="00164F4D" w:rsidRPr="001471C8">
        <w:rPr>
          <w:i/>
          <w:iCs/>
          <w:sz w:val="26"/>
          <w:szCs w:val="26"/>
        </w:rPr>
        <w:t xml:space="preserve"> </w:t>
      </w:r>
      <w:r w:rsidR="009319BE" w:rsidRPr="001471C8">
        <w:rPr>
          <w:sz w:val="26"/>
          <w:szCs w:val="26"/>
        </w:rPr>
        <w:t>t</w:t>
      </w:r>
      <w:r w:rsidR="001471C8">
        <w:rPr>
          <w:sz w:val="26"/>
          <w:szCs w:val="26"/>
        </w:rPr>
        <w:t xml:space="preserve">hat </w:t>
      </w:r>
      <w:r w:rsidR="00635E97">
        <w:rPr>
          <w:sz w:val="26"/>
          <w:szCs w:val="26"/>
        </w:rPr>
        <w:t>the impact of t</w:t>
      </w:r>
      <w:r w:rsidR="009319BE" w:rsidRPr="001471C8">
        <w:rPr>
          <w:sz w:val="26"/>
          <w:szCs w:val="26"/>
        </w:rPr>
        <w:t>he</w:t>
      </w:r>
      <w:r w:rsidR="00635E97">
        <w:rPr>
          <w:sz w:val="26"/>
          <w:szCs w:val="26"/>
        </w:rPr>
        <w:t xml:space="preserve"> TCJA on ILECs should be examined in the annual PSI/SPI filings of each ILEC.  </w:t>
      </w:r>
      <w:r w:rsidR="00007579">
        <w:rPr>
          <w:sz w:val="26"/>
          <w:szCs w:val="26"/>
        </w:rPr>
        <w:t xml:space="preserve">The ALJs stated their appreciation that the Joint Petitioners submitted Verified Witness Statements in response to their concerns, as articulated at the </w:t>
      </w:r>
      <w:r w:rsidR="00007579" w:rsidRPr="00007579">
        <w:rPr>
          <w:sz w:val="26"/>
          <w:szCs w:val="26"/>
        </w:rPr>
        <w:t>March 2020 Prehearing Conference</w:t>
      </w:r>
      <w:r w:rsidR="00007579">
        <w:rPr>
          <w:sz w:val="26"/>
          <w:szCs w:val="26"/>
        </w:rPr>
        <w:t xml:space="preserve">.  Nonetheless, the ALJs </w:t>
      </w:r>
      <w:r w:rsidR="00F80E4B">
        <w:rPr>
          <w:sz w:val="26"/>
          <w:szCs w:val="26"/>
        </w:rPr>
        <w:t>conclude</w:t>
      </w:r>
      <w:r w:rsidR="00FB1CB8">
        <w:rPr>
          <w:sz w:val="26"/>
          <w:szCs w:val="26"/>
        </w:rPr>
        <w:t>d</w:t>
      </w:r>
      <w:r w:rsidR="00F80E4B">
        <w:rPr>
          <w:sz w:val="26"/>
          <w:szCs w:val="26"/>
        </w:rPr>
        <w:t xml:space="preserve"> that these Verified Witness Statements </w:t>
      </w:r>
      <w:r w:rsidR="00BC76B8">
        <w:rPr>
          <w:sz w:val="26"/>
          <w:szCs w:val="26"/>
        </w:rPr>
        <w:t>have developed</w:t>
      </w:r>
      <w:r w:rsidR="00F80E4B">
        <w:rPr>
          <w:sz w:val="26"/>
          <w:szCs w:val="26"/>
        </w:rPr>
        <w:t xml:space="preserve"> an evidentiary record</w:t>
      </w:r>
      <w:r w:rsidR="002101E0">
        <w:rPr>
          <w:sz w:val="26"/>
          <w:szCs w:val="26"/>
        </w:rPr>
        <w:t xml:space="preserve"> that </w:t>
      </w:r>
      <w:r w:rsidR="00195119">
        <w:rPr>
          <w:sz w:val="26"/>
          <w:szCs w:val="26"/>
        </w:rPr>
        <w:t xml:space="preserve">does not lend itself </w:t>
      </w:r>
      <w:r w:rsidR="00FB7ABB">
        <w:rPr>
          <w:sz w:val="26"/>
          <w:szCs w:val="26"/>
        </w:rPr>
        <w:t xml:space="preserve">to supporting a finding that the Settlement should be adopted. </w:t>
      </w:r>
      <w:r w:rsidR="00F80E4B">
        <w:rPr>
          <w:sz w:val="26"/>
          <w:szCs w:val="26"/>
        </w:rPr>
        <w:t xml:space="preserve"> </w:t>
      </w:r>
      <w:r w:rsidR="004357D4">
        <w:rPr>
          <w:sz w:val="26"/>
          <w:szCs w:val="26"/>
        </w:rPr>
        <w:t>R.D. at 19-20, 21.</w:t>
      </w:r>
    </w:p>
    <w:p w14:paraId="7E87B96C" w14:textId="6EF417DA" w:rsidR="002A31B0" w:rsidRDefault="002A31B0" w:rsidP="00217B05">
      <w:pPr>
        <w:widowControl/>
        <w:spacing w:line="360" w:lineRule="auto"/>
        <w:ind w:firstLine="1440"/>
        <w:contextualSpacing/>
        <w:rPr>
          <w:rStyle w:val="Hyperlink"/>
          <w:color w:val="auto"/>
          <w:sz w:val="26"/>
          <w:szCs w:val="26"/>
          <w:u w:val="none"/>
        </w:rPr>
      </w:pPr>
    </w:p>
    <w:p w14:paraId="2544074C" w14:textId="2B79BE67" w:rsidR="00215C77" w:rsidRDefault="00FA72A5" w:rsidP="00217B05">
      <w:pPr>
        <w:widowControl/>
        <w:spacing w:line="360" w:lineRule="auto"/>
        <w:ind w:firstLine="1440"/>
        <w:contextualSpacing/>
        <w:rPr>
          <w:sz w:val="26"/>
          <w:szCs w:val="26"/>
        </w:rPr>
      </w:pPr>
      <w:r>
        <w:rPr>
          <w:rStyle w:val="Hyperlink"/>
          <w:color w:val="auto"/>
          <w:sz w:val="26"/>
          <w:szCs w:val="26"/>
          <w:u w:val="none"/>
        </w:rPr>
        <w:t>More specifical</w:t>
      </w:r>
      <w:r w:rsidR="008D431D">
        <w:rPr>
          <w:rStyle w:val="Hyperlink"/>
          <w:color w:val="auto"/>
          <w:sz w:val="26"/>
          <w:szCs w:val="26"/>
          <w:u w:val="none"/>
        </w:rPr>
        <w:t>ly, t</w:t>
      </w:r>
      <w:r w:rsidR="00215C77">
        <w:rPr>
          <w:rStyle w:val="Hyperlink"/>
          <w:color w:val="auto"/>
          <w:sz w:val="26"/>
          <w:szCs w:val="26"/>
          <w:u w:val="none"/>
        </w:rPr>
        <w:t xml:space="preserve">he ALJs found that </w:t>
      </w:r>
      <w:r w:rsidR="00A52887">
        <w:rPr>
          <w:rStyle w:val="Hyperlink"/>
          <w:color w:val="auto"/>
          <w:sz w:val="26"/>
          <w:szCs w:val="26"/>
          <w:u w:val="none"/>
        </w:rPr>
        <w:t>t</w:t>
      </w:r>
      <w:r w:rsidR="00215C77">
        <w:rPr>
          <w:rStyle w:val="Hyperlink"/>
          <w:color w:val="auto"/>
          <w:sz w:val="26"/>
          <w:szCs w:val="26"/>
          <w:u w:val="none"/>
        </w:rPr>
        <w:t xml:space="preserve">he Joint Petitioners submitted substantial </w:t>
      </w:r>
      <w:r w:rsidR="009D0CA5">
        <w:rPr>
          <w:rStyle w:val="Hyperlink"/>
          <w:color w:val="auto"/>
          <w:sz w:val="26"/>
          <w:szCs w:val="26"/>
          <w:u w:val="none"/>
        </w:rPr>
        <w:t>evidence regarding the history and intricacies of telecommunication ratemaking</w:t>
      </w:r>
      <w:r w:rsidR="005914FE">
        <w:rPr>
          <w:rStyle w:val="Hyperlink"/>
          <w:color w:val="auto"/>
          <w:sz w:val="26"/>
          <w:szCs w:val="26"/>
          <w:u w:val="none"/>
        </w:rPr>
        <w:t xml:space="preserve"> and telecommunications law</w:t>
      </w:r>
      <w:r w:rsidR="009D0CA5">
        <w:rPr>
          <w:rStyle w:val="Hyperlink"/>
          <w:color w:val="auto"/>
          <w:sz w:val="26"/>
          <w:szCs w:val="26"/>
          <w:u w:val="none"/>
        </w:rPr>
        <w:t xml:space="preserve">, </w:t>
      </w:r>
      <w:r w:rsidR="008555E5">
        <w:rPr>
          <w:rStyle w:val="Hyperlink"/>
          <w:color w:val="auto"/>
          <w:sz w:val="26"/>
          <w:szCs w:val="26"/>
          <w:u w:val="none"/>
        </w:rPr>
        <w:t xml:space="preserve">while focusing on what </w:t>
      </w:r>
      <w:r w:rsidR="008555E5" w:rsidRPr="008555E5">
        <w:rPr>
          <w:sz w:val="26"/>
          <w:szCs w:val="26"/>
        </w:rPr>
        <w:t xml:space="preserve">they </w:t>
      </w:r>
      <w:r w:rsidR="008555E5" w:rsidRPr="00ED4BA5">
        <w:rPr>
          <w:i/>
          <w:iCs/>
          <w:sz w:val="26"/>
          <w:szCs w:val="26"/>
        </w:rPr>
        <w:t>could not</w:t>
      </w:r>
      <w:r w:rsidR="008555E5" w:rsidRPr="008555E5">
        <w:rPr>
          <w:sz w:val="26"/>
          <w:szCs w:val="26"/>
        </w:rPr>
        <w:t xml:space="preserve"> do when determining whether the passage of the TCJA was an exogenous event</w:t>
      </w:r>
      <w:r w:rsidR="008A750C">
        <w:rPr>
          <w:sz w:val="26"/>
          <w:szCs w:val="26"/>
        </w:rPr>
        <w:t>.</w:t>
      </w:r>
      <w:r w:rsidR="008555E5" w:rsidRPr="008555E5">
        <w:rPr>
          <w:sz w:val="26"/>
          <w:szCs w:val="26"/>
        </w:rPr>
        <w:t xml:space="preserve"> </w:t>
      </w:r>
      <w:r w:rsidR="00613F98">
        <w:rPr>
          <w:sz w:val="26"/>
          <w:szCs w:val="26"/>
        </w:rPr>
        <w:t xml:space="preserve"> </w:t>
      </w:r>
      <w:r w:rsidR="00ED4BA5">
        <w:rPr>
          <w:sz w:val="26"/>
          <w:szCs w:val="26"/>
        </w:rPr>
        <w:t>However, a</w:t>
      </w:r>
      <w:r w:rsidR="002801CF">
        <w:rPr>
          <w:sz w:val="26"/>
          <w:szCs w:val="26"/>
        </w:rPr>
        <w:t>ccording to the ALJs, the Joint Petitioners failed to</w:t>
      </w:r>
      <w:r w:rsidR="00DE5947">
        <w:rPr>
          <w:sz w:val="26"/>
          <w:szCs w:val="26"/>
        </w:rPr>
        <w:t xml:space="preserve"> focus </w:t>
      </w:r>
      <w:r w:rsidR="005334A1">
        <w:rPr>
          <w:sz w:val="26"/>
          <w:szCs w:val="26"/>
        </w:rPr>
        <w:t xml:space="preserve">on what they </w:t>
      </w:r>
      <w:r w:rsidR="005334A1" w:rsidRPr="00ED4BA5">
        <w:rPr>
          <w:i/>
          <w:iCs/>
          <w:sz w:val="26"/>
          <w:szCs w:val="26"/>
        </w:rPr>
        <w:t>could</w:t>
      </w:r>
      <w:r w:rsidR="005334A1">
        <w:rPr>
          <w:sz w:val="26"/>
          <w:szCs w:val="26"/>
        </w:rPr>
        <w:t xml:space="preserve"> do in </w:t>
      </w:r>
      <w:r w:rsidR="008555E5" w:rsidRPr="008555E5">
        <w:rPr>
          <w:sz w:val="26"/>
          <w:szCs w:val="26"/>
        </w:rPr>
        <w:t>determining whether the passage of the TCJA was an exogenous event</w:t>
      </w:r>
      <w:r w:rsidR="005334A1">
        <w:rPr>
          <w:sz w:val="26"/>
          <w:szCs w:val="26"/>
        </w:rPr>
        <w:t>.  In</w:t>
      </w:r>
      <w:r w:rsidR="00E95C6C">
        <w:rPr>
          <w:rStyle w:val="Hyperlink"/>
          <w:color w:val="auto"/>
          <w:sz w:val="26"/>
          <w:szCs w:val="26"/>
          <w:u w:val="none"/>
        </w:rPr>
        <w:t xml:space="preserve"> the ALJs’ view, the Commission in its </w:t>
      </w:r>
      <w:r w:rsidR="00E95C6C">
        <w:rPr>
          <w:rStyle w:val="Hyperlink"/>
          <w:i/>
          <w:iCs/>
          <w:color w:val="auto"/>
          <w:sz w:val="26"/>
          <w:szCs w:val="26"/>
          <w:u w:val="none"/>
        </w:rPr>
        <w:t>October 2018 Order</w:t>
      </w:r>
      <w:r w:rsidR="00BF4171">
        <w:rPr>
          <w:rStyle w:val="Hyperlink"/>
          <w:i/>
          <w:iCs/>
          <w:color w:val="auto"/>
          <w:sz w:val="26"/>
          <w:szCs w:val="26"/>
          <w:u w:val="none"/>
        </w:rPr>
        <w:t>,</w:t>
      </w:r>
      <w:r w:rsidR="00E95C6C">
        <w:rPr>
          <w:rStyle w:val="Hyperlink"/>
          <w:i/>
          <w:iCs/>
          <w:color w:val="auto"/>
          <w:sz w:val="26"/>
          <w:szCs w:val="26"/>
          <w:u w:val="none"/>
        </w:rPr>
        <w:t xml:space="preserve"> </w:t>
      </w:r>
      <w:r w:rsidR="00E95C6C">
        <w:rPr>
          <w:rStyle w:val="Hyperlink"/>
          <w:color w:val="auto"/>
          <w:sz w:val="26"/>
          <w:szCs w:val="26"/>
          <w:u w:val="none"/>
        </w:rPr>
        <w:t>did not direct</w:t>
      </w:r>
      <w:r w:rsidR="009258D6">
        <w:rPr>
          <w:rStyle w:val="Hyperlink"/>
          <w:color w:val="auto"/>
          <w:sz w:val="26"/>
          <w:szCs w:val="26"/>
          <w:u w:val="none"/>
        </w:rPr>
        <w:t xml:space="preserve"> the ILECs </w:t>
      </w:r>
      <w:r w:rsidR="00BF4171">
        <w:rPr>
          <w:rStyle w:val="Hyperlink"/>
          <w:color w:val="auto"/>
          <w:sz w:val="26"/>
          <w:szCs w:val="26"/>
          <w:u w:val="none"/>
        </w:rPr>
        <w:t xml:space="preserve">governed </w:t>
      </w:r>
      <w:r w:rsidR="009258D6">
        <w:rPr>
          <w:rStyle w:val="Hyperlink"/>
          <w:color w:val="auto"/>
          <w:sz w:val="26"/>
          <w:szCs w:val="26"/>
          <w:u w:val="none"/>
        </w:rPr>
        <w:t xml:space="preserve">under Chapter 30 </w:t>
      </w:r>
      <w:r w:rsidR="00BF4171">
        <w:rPr>
          <w:rStyle w:val="Hyperlink"/>
          <w:color w:val="auto"/>
          <w:sz w:val="26"/>
          <w:szCs w:val="26"/>
          <w:u w:val="none"/>
        </w:rPr>
        <w:t>price cap regulation</w:t>
      </w:r>
      <w:r w:rsidR="009258D6">
        <w:rPr>
          <w:rStyle w:val="Hyperlink"/>
          <w:color w:val="auto"/>
          <w:sz w:val="26"/>
          <w:szCs w:val="26"/>
          <w:u w:val="none"/>
        </w:rPr>
        <w:t xml:space="preserve"> to address whether it would be difficult to determine if the TCJA qualifies as an exogenous event.  Rather, the ALJs interpreted the</w:t>
      </w:r>
      <w:r w:rsidR="00051FF9">
        <w:rPr>
          <w:rStyle w:val="Hyperlink"/>
          <w:color w:val="auto"/>
          <w:sz w:val="26"/>
          <w:szCs w:val="26"/>
          <w:u w:val="none"/>
        </w:rPr>
        <w:t xml:space="preserve"> </w:t>
      </w:r>
      <w:r w:rsidR="00051FF9">
        <w:rPr>
          <w:rStyle w:val="Hyperlink"/>
          <w:i/>
          <w:iCs/>
          <w:color w:val="auto"/>
          <w:sz w:val="26"/>
          <w:szCs w:val="26"/>
          <w:u w:val="none"/>
        </w:rPr>
        <w:t xml:space="preserve">October 2018 Order </w:t>
      </w:r>
      <w:r w:rsidR="00051FF9">
        <w:rPr>
          <w:rStyle w:val="Hyperlink"/>
          <w:color w:val="auto"/>
          <w:sz w:val="26"/>
          <w:szCs w:val="26"/>
          <w:u w:val="none"/>
        </w:rPr>
        <w:t xml:space="preserve">to direct the ILECs to </w:t>
      </w:r>
      <w:r w:rsidR="008A750C">
        <w:rPr>
          <w:rStyle w:val="Hyperlink"/>
          <w:color w:val="auto"/>
          <w:sz w:val="26"/>
          <w:szCs w:val="26"/>
          <w:u w:val="none"/>
        </w:rPr>
        <w:t>focus on what they could do when determining whether the passage of the TCJA was an exogenous event</w:t>
      </w:r>
      <w:r w:rsidR="00BF4171">
        <w:rPr>
          <w:rStyle w:val="Hyperlink"/>
          <w:color w:val="auto"/>
          <w:sz w:val="26"/>
          <w:szCs w:val="26"/>
          <w:u w:val="none"/>
        </w:rPr>
        <w:t>,</w:t>
      </w:r>
      <w:r w:rsidR="008A750C">
        <w:rPr>
          <w:rStyle w:val="Hyperlink"/>
          <w:color w:val="auto"/>
          <w:sz w:val="26"/>
          <w:szCs w:val="26"/>
          <w:u w:val="none"/>
        </w:rPr>
        <w:t xml:space="preserve"> and to </w:t>
      </w:r>
      <w:r w:rsidR="0055257B">
        <w:rPr>
          <w:rStyle w:val="Hyperlink"/>
          <w:color w:val="auto"/>
          <w:sz w:val="26"/>
          <w:szCs w:val="26"/>
          <w:u w:val="none"/>
        </w:rPr>
        <w:t>explicitly decide this issue</w:t>
      </w:r>
      <w:r w:rsidR="00F70C94">
        <w:rPr>
          <w:rStyle w:val="Hyperlink"/>
          <w:color w:val="auto"/>
          <w:sz w:val="26"/>
          <w:szCs w:val="26"/>
          <w:u w:val="none"/>
        </w:rPr>
        <w:t xml:space="preserve"> </w:t>
      </w:r>
      <w:r w:rsidR="005334A1">
        <w:rPr>
          <w:rStyle w:val="Hyperlink"/>
          <w:color w:val="auto"/>
          <w:sz w:val="26"/>
          <w:szCs w:val="26"/>
          <w:u w:val="none"/>
        </w:rPr>
        <w:t>by establishing a</w:t>
      </w:r>
      <w:r w:rsidR="00F70C94">
        <w:rPr>
          <w:rStyle w:val="Hyperlink"/>
          <w:color w:val="auto"/>
          <w:sz w:val="26"/>
          <w:szCs w:val="26"/>
          <w:u w:val="none"/>
        </w:rPr>
        <w:t xml:space="preserve"> </w:t>
      </w:r>
      <w:r w:rsidR="007358DE">
        <w:rPr>
          <w:rStyle w:val="Hyperlink"/>
          <w:color w:val="auto"/>
          <w:sz w:val="26"/>
          <w:szCs w:val="26"/>
          <w:u w:val="none"/>
        </w:rPr>
        <w:t>fully developed</w:t>
      </w:r>
      <w:r w:rsidR="00F70C94">
        <w:rPr>
          <w:rStyle w:val="Hyperlink"/>
          <w:color w:val="auto"/>
          <w:sz w:val="26"/>
          <w:szCs w:val="26"/>
          <w:u w:val="none"/>
        </w:rPr>
        <w:t xml:space="preserve"> record to support this determination.  As such, the ALJs </w:t>
      </w:r>
      <w:r w:rsidR="00A52887">
        <w:rPr>
          <w:rStyle w:val="Hyperlink"/>
          <w:color w:val="auto"/>
          <w:sz w:val="26"/>
          <w:szCs w:val="26"/>
          <w:u w:val="none"/>
        </w:rPr>
        <w:t xml:space="preserve">found no record evidence to support the Joint Petitioners’ contention </w:t>
      </w:r>
      <w:r w:rsidR="008D431D">
        <w:rPr>
          <w:rStyle w:val="Hyperlink"/>
          <w:color w:val="auto"/>
          <w:sz w:val="26"/>
          <w:szCs w:val="26"/>
          <w:u w:val="none"/>
        </w:rPr>
        <w:t xml:space="preserve">that </w:t>
      </w:r>
      <w:r w:rsidR="008B6109" w:rsidRPr="008B6109">
        <w:rPr>
          <w:sz w:val="26"/>
          <w:szCs w:val="26"/>
        </w:rPr>
        <w:t xml:space="preserve">CenturyLink’s agreement to forgo banking approximately $1.3 </w:t>
      </w:r>
      <w:r w:rsidR="004F3D38">
        <w:rPr>
          <w:sz w:val="26"/>
          <w:szCs w:val="26"/>
        </w:rPr>
        <w:t>Million</w:t>
      </w:r>
      <w:r w:rsidR="008B6109" w:rsidRPr="008B6109">
        <w:rPr>
          <w:sz w:val="26"/>
          <w:szCs w:val="26"/>
        </w:rPr>
        <w:t xml:space="preserve"> in revenues</w:t>
      </w:r>
      <w:r w:rsidR="008B6109">
        <w:rPr>
          <w:sz w:val="26"/>
          <w:szCs w:val="26"/>
        </w:rPr>
        <w:t xml:space="preserve"> that are associated with the Company’s 2018, 2019, and 2020 PSI/SPI </w:t>
      </w:r>
      <w:r w:rsidR="00E4012E">
        <w:rPr>
          <w:sz w:val="26"/>
          <w:szCs w:val="26"/>
        </w:rPr>
        <w:t>F</w:t>
      </w:r>
      <w:r w:rsidR="008B6109">
        <w:rPr>
          <w:sz w:val="26"/>
          <w:szCs w:val="26"/>
        </w:rPr>
        <w:t>ilings</w:t>
      </w:r>
      <w:r w:rsidR="008B6109" w:rsidRPr="008B6109">
        <w:rPr>
          <w:sz w:val="26"/>
          <w:szCs w:val="26"/>
        </w:rPr>
        <w:t xml:space="preserve"> is in the public interest</w:t>
      </w:r>
      <w:r w:rsidR="007358DE">
        <w:rPr>
          <w:sz w:val="26"/>
          <w:szCs w:val="26"/>
        </w:rPr>
        <w:t xml:space="preserve"> or </w:t>
      </w:r>
      <w:r w:rsidR="002F2F07">
        <w:rPr>
          <w:sz w:val="26"/>
          <w:szCs w:val="26"/>
        </w:rPr>
        <w:t>that such action is the proper response</w:t>
      </w:r>
      <w:r w:rsidR="005914FE">
        <w:rPr>
          <w:sz w:val="26"/>
          <w:szCs w:val="26"/>
        </w:rPr>
        <w:t xml:space="preserve"> to </w:t>
      </w:r>
      <w:r w:rsidR="00BF4171">
        <w:rPr>
          <w:sz w:val="26"/>
          <w:szCs w:val="26"/>
        </w:rPr>
        <w:t xml:space="preserve">the passage of </w:t>
      </w:r>
      <w:r w:rsidR="005914FE">
        <w:rPr>
          <w:sz w:val="26"/>
          <w:szCs w:val="26"/>
        </w:rPr>
        <w:t>the TCJA</w:t>
      </w:r>
      <w:r w:rsidR="005B42E7">
        <w:rPr>
          <w:sz w:val="26"/>
          <w:szCs w:val="26"/>
        </w:rPr>
        <w:t xml:space="preserve">.  </w:t>
      </w:r>
      <w:r w:rsidR="002F2F07">
        <w:rPr>
          <w:sz w:val="26"/>
          <w:szCs w:val="26"/>
        </w:rPr>
        <w:t>R.D.</w:t>
      </w:r>
      <w:r w:rsidR="0056511D">
        <w:rPr>
          <w:sz w:val="26"/>
          <w:szCs w:val="26"/>
        </w:rPr>
        <w:t> </w:t>
      </w:r>
      <w:r w:rsidR="002F2F07">
        <w:rPr>
          <w:sz w:val="26"/>
          <w:szCs w:val="26"/>
        </w:rPr>
        <w:t>at 21</w:t>
      </w:r>
      <w:r w:rsidR="008A750C">
        <w:rPr>
          <w:sz w:val="26"/>
          <w:szCs w:val="26"/>
        </w:rPr>
        <w:t>, 24</w:t>
      </w:r>
      <w:r w:rsidR="002F2F07">
        <w:rPr>
          <w:sz w:val="26"/>
          <w:szCs w:val="26"/>
        </w:rPr>
        <w:t>.</w:t>
      </w:r>
    </w:p>
    <w:p w14:paraId="48530C10" w14:textId="1F03FC8B" w:rsidR="002F2F07" w:rsidRDefault="002F2F07" w:rsidP="00217B05">
      <w:pPr>
        <w:widowControl/>
        <w:spacing w:line="360" w:lineRule="auto"/>
        <w:ind w:firstLine="1440"/>
        <w:contextualSpacing/>
        <w:rPr>
          <w:sz w:val="26"/>
          <w:szCs w:val="26"/>
        </w:rPr>
      </w:pPr>
    </w:p>
    <w:p w14:paraId="6DEDBE79" w14:textId="3E146281" w:rsidR="009F338C" w:rsidRDefault="001D7212" w:rsidP="00217B05">
      <w:pPr>
        <w:widowControl/>
        <w:spacing w:line="360" w:lineRule="auto"/>
        <w:ind w:firstLine="1440"/>
        <w:contextualSpacing/>
        <w:rPr>
          <w:sz w:val="26"/>
          <w:szCs w:val="26"/>
        </w:rPr>
      </w:pPr>
      <w:r>
        <w:rPr>
          <w:sz w:val="26"/>
          <w:szCs w:val="26"/>
        </w:rPr>
        <w:t xml:space="preserve">The ALJs opined that even if the Joint </w:t>
      </w:r>
      <w:r w:rsidR="00B94170">
        <w:rPr>
          <w:sz w:val="26"/>
          <w:szCs w:val="26"/>
        </w:rPr>
        <w:t>Petitioners</w:t>
      </w:r>
      <w:r>
        <w:rPr>
          <w:sz w:val="26"/>
          <w:szCs w:val="26"/>
        </w:rPr>
        <w:t xml:space="preserve"> </w:t>
      </w:r>
      <w:r w:rsidR="007B1640" w:rsidRPr="007B1640">
        <w:rPr>
          <w:sz w:val="26"/>
          <w:szCs w:val="26"/>
        </w:rPr>
        <w:t xml:space="preserve">would have provided substantial evidence </w:t>
      </w:r>
      <w:r w:rsidR="00D04DEB">
        <w:rPr>
          <w:sz w:val="26"/>
          <w:szCs w:val="26"/>
        </w:rPr>
        <w:t>to support the</w:t>
      </w:r>
      <w:r w:rsidR="007B1640" w:rsidRPr="007B1640">
        <w:rPr>
          <w:sz w:val="26"/>
          <w:szCs w:val="26"/>
        </w:rPr>
        <w:t xml:space="preserve"> </w:t>
      </w:r>
      <w:r w:rsidR="007B1640">
        <w:rPr>
          <w:sz w:val="26"/>
          <w:szCs w:val="26"/>
        </w:rPr>
        <w:t>S</w:t>
      </w:r>
      <w:r w:rsidR="007B1640" w:rsidRPr="007B1640">
        <w:rPr>
          <w:sz w:val="26"/>
          <w:szCs w:val="26"/>
        </w:rPr>
        <w:t xml:space="preserve">ettlement </w:t>
      </w:r>
      <w:r w:rsidR="00033672">
        <w:rPr>
          <w:sz w:val="26"/>
          <w:szCs w:val="26"/>
        </w:rPr>
        <w:t xml:space="preserve">provision </w:t>
      </w:r>
      <w:r w:rsidR="007B1640" w:rsidRPr="007B1640">
        <w:rPr>
          <w:sz w:val="26"/>
          <w:szCs w:val="26"/>
        </w:rPr>
        <w:t>that CenturyLink will forgo bank</w:t>
      </w:r>
      <w:r w:rsidR="007673D5">
        <w:rPr>
          <w:sz w:val="26"/>
          <w:szCs w:val="26"/>
        </w:rPr>
        <w:t>ing</w:t>
      </w:r>
      <w:r w:rsidR="00494806">
        <w:rPr>
          <w:sz w:val="26"/>
          <w:szCs w:val="26"/>
        </w:rPr>
        <w:t xml:space="preserve"> authorized increases to its</w:t>
      </w:r>
      <w:r w:rsidR="007B1640" w:rsidRPr="007B1640">
        <w:rPr>
          <w:sz w:val="26"/>
          <w:szCs w:val="26"/>
        </w:rPr>
        <w:t xml:space="preserve"> revenues</w:t>
      </w:r>
      <w:r w:rsidR="00494806">
        <w:rPr>
          <w:sz w:val="26"/>
          <w:szCs w:val="26"/>
        </w:rPr>
        <w:t xml:space="preserve"> for its noncompetitive services</w:t>
      </w:r>
      <w:r w:rsidR="007B1640" w:rsidRPr="007B1640">
        <w:rPr>
          <w:sz w:val="26"/>
          <w:szCs w:val="26"/>
        </w:rPr>
        <w:t xml:space="preserve"> in response to</w:t>
      </w:r>
      <w:r w:rsidR="00367D2C">
        <w:rPr>
          <w:sz w:val="26"/>
          <w:szCs w:val="26"/>
        </w:rPr>
        <w:t xml:space="preserve"> </w:t>
      </w:r>
      <w:r w:rsidR="00367D2C" w:rsidRPr="00367D2C">
        <w:rPr>
          <w:sz w:val="26"/>
          <w:szCs w:val="26"/>
        </w:rPr>
        <w:t xml:space="preserve">the TCJA, questions remain as to whether such </w:t>
      </w:r>
      <w:r w:rsidR="0062610A">
        <w:rPr>
          <w:sz w:val="26"/>
          <w:szCs w:val="26"/>
        </w:rPr>
        <w:t xml:space="preserve">an </w:t>
      </w:r>
      <w:r w:rsidR="00367D2C" w:rsidRPr="00367D2C">
        <w:rPr>
          <w:sz w:val="26"/>
          <w:szCs w:val="26"/>
        </w:rPr>
        <w:t>agreement should be adopted.</w:t>
      </w:r>
      <w:r w:rsidR="00367D2C">
        <w:rPr>
          <w:sz w:val="26"/>
          <w:szCs w:val="26"/>
        </w:rPr>
        <w:t xml:space="preserve">  </w:t>
      </w:r>
      <w:r w:rsidR="00612A49">
        <w:rPr>
          <w:sz w:val="26"/>
          <w:szCs w:val="26"/>
        </w:rPr>
        <w:t>The ALJs pointed to the Commission’s Order in</w:t>
      </w:r>
      <w:r w:rsidR="00367D2C">
        <w:rPr>
          <w:sz w:val="26"/>
          <w:szCs w:val="26"/>
        </w:rPr>
        <w:t xml:space="preserve"> </w:t>
      </w:r>
      <w:r w:rsidR="00295A54" w:rsidRPr="00295A54">
        <w:rPr>
          <w:i/>
          <w:iCs/>
          <w:sz w:val="26"/>
          <w:szCs w:val="26"/>
        </w:rPr>
        <w:t>Tax Cut and Jobs Act of 2017, Docket Number M-2018-2641242</w:t>
      </w:r>
      <w:r w:rsidR="00295A54" w:rsidRPr="00295A54">
        <w:rPr>
          <w:sz w:val="26"/>
          <w:szCs w:val="26"/>
        </w:rPr>
        <w:t xml:space="preserve"> (Temporary Rates Order, entered May 17, 2018) (</w:t>
      </w:r>
      <w:r w:rsidR="00295A54" w:rsidRPr="00295A54">
        <w:rPr>
          <w:i/>
          <w:iCs/>
          <w:sz w:val="26"/>
          <w:szCs w:val="26"/>
        </w:rPr>
        <w:t>May 2018 Order</w:t>
      </w:r>
      <w:r w:rsidR="00295A54" w:rsidRPr="00295A54">
        <w:rPr>
          <w:sz w:val="26"/>
          <w:szCs w:val="26"/>
        </w:rPr>
        <w:t>),</w:t>
      </w:r>
      <w:r w:rsidR="005B438F">
        <w:rPr>
          <w:sz w:val="26"/>
          <w:szCs w:val="26"/>
        </w:rPr>
        <w:t xml:space="preserve"> wherein</w:t>
      </w:r>
      <w:r w:rsidR="00295A54" w:rsidRPr="00295A54">
        <w:rPr>
          <w:sz w:val="26"/>
          <w:szCs w:val="26"/>
        </w:rPr>
        <w:t xml:space="preserve"> the Commission required </w:t>
      </w:r>
      <w:r w:rsidR="0062610A">
        <w:rPr>
          <w:sz w:val="26"/>
          <w:szCs w:val="26"/>
        </w:rPr>
        <w:t>seventeen</w:t>
      </w:r>
      <w:r w:rsidR="00295A54" w:rsidRPr="00295A54">
        <w:rPr>
          <w:sz w:val="26"/>
          <w:szCs w:val="26"/>
        </w:rPr>
        <w:t xml:space="preserve"> jurisdictional electric, natural gas, water and wastewater utilities to implement a “negative surcharge</w:t>
      </w:r>
      <w:r w:rsidR="0062610A">
        <w:rPr>
          <w:sz w:val="26"/>
          <w:szCs w:val="26"/>
        </w:rPr>
        <w:t>,</w:t>
      </w:r>
      <w:r w:rsidR="00295A54" w:rsidRPr="00295A54">
        <w:rPr>
          <w:sz w:val="26"/>
          <w:szCs w:val="26"/>
        </w:rPr>
        <w:t>” or monthly credit on customer bills</w:t>
      </w:r>
      <w:r w:rsidR="0062610A">
        <w:rPr>
          <w:sz w:val="26"/>
          <w:szCs w:val="26"/>
        </w:rPr>
        <w:t>,</w:t>
      </w:r>
      <w:r w:rsidR="00295A54" w:rsidRPr="00295A54">
        <w:rPr>
          <w:sz w:val="26"/>
          <w:szCs w:val="26"/>
        </w:rPr>
        <w:t xml:space="preserve"> totaling more than $320 </w:t>
      </w:r>
      <w:r w:rsidR="004F3D38">
        <w:rPr>
          <w:sz w:val="26"/>
          <w:szCs w:val="26"/>
        </w:rPr>
        <w:t>Million</w:t>
      </w:r>
      <w:r w:rsidR="00295A54" w:rsidRPr="00295A54">
        <w:rPr>
          <w:sz w:val="26"/>
          <w:szCs w:val="26"/>
        </w:rPr>
        <w:t xml:space="preserve"> per year as a result of the decrease in federal corporate tax rate and other tax changes under the TCJA which impacted the tax liability of many utilities. </w:t>
      </w:r>
      <w:r w:rsidR="00257568">
        <w:rPr>
          <w:sz w:val="26"/>
          <w:szCs w:val="26"/>
        </w:rPr>
        <w:t xml:space="preserve"> The </w:t>
      </w:r>
      <w:r w:rsidR="00295A54" w:rsidRPr="00295A54">
        <w:rPr>
          <w:sz w:val="26"/>
          <w:szCs w:val="26"/>
        </w:rPr>
        <w:t>A</w:t>
      </w:r>
      <w:r w:rsidR="00257568">
        <w:rPr>
          <w:sz w:val="26"/>
          <w:szCs w:val="26"/>
        </w:rPr>
        <w:t xml:space="preserve">LJs contrasted this with the provisions of the Settlement.  More specifically, the ALJs noted that while </w:t>
      </w:r>
      <w:r w:rsidR="00B4656B">
        <w:rPr>
          <w:sz w:val="26"/>
          <w:szCs w:val="26"/>
        </w:rPr>
        <w:t xml:space="preserve">the Joint Petitioners have agreed that CenturyLink will forgo approximately $1.3 </w:t>
      </w:r>
      <w:r w:rsidR="004F3D38">
        <w:rPr>
          <w:sz w:val="26"/>
          <w:szCs w:val="26"/>
        </w:rPr>
        <w:t>Million</w:t>
      </w:r>
      <w:r w:rsidR="00B4656B">
        <w:rPr>
          <w:sz w:val="26"/>
          <w:szCs w:val="26"/>
        </w:rPr>
        <w:t xml:space="preserve"> in potential future revenue increases from its cumulative bank, </w:t>
      </w:r>
      <w:r w:rsidR="00A61ED0">
        <w:rPr>
          <w:sz w:val="26"/>
          <w:szCs w:val="26"/>
        </w:rPr>
        <w:t xml:space="preserve">there is no provision in the Settlement </w:t>
      </w:r>
      <w:r w:rsidR="00040963">
        <w:rPr>
          <w:sz w:val="26"/>
          <w:szCs w:val="26"/>
        </w:rPr>
        <w:t xml:space="preserve">for the </w:t>
      </w:r>
      <w:r w:rsidR="00656A66">
        <w:rPr>
          <w:sz w:val="26"/>
          <w:szCs w:val="26"/>
        </w:rPr>
        <w:t xml:space="preserve">Company that is similar to what the Commission directed the </w:t>
      </w:r>
      <w:r w:rsidR="0032256D">
        <w:rPr>
          <w:sz w:val="26"/>
          <w:szCs w:val="26"/>
        </w:rPr>
        <w:t xml:space="preserve">electric, natural gas, and water utilities to implement in the </w:t>
      </w:r>
      <w:r w:rsidR="0032256D">
        <w:rPr>
          <w:i/>
          <w:iCs/>
          <w:sz w:val="26"/>
          <w:szCs w:val="26"/>
        </w:rPr>
        <w:t>May 2018 Order</w:t>
      </w:r>
      <w:r w:rsidR="00AC03AD">
        <w:rPr>
          <w:sz w:val="26"/>
          <w:szCs w:val="26"/>
        </w:rPr>
        <w:t xml:space="preserve">.  </w:t>
      </w:r>
      <w:r w:rsidR="00D95293">
        <w:rPr>
          <w:sz w:val="26"/>
          <w:szCs w:val="26"/>
        </w:rPr>
        <w:t xml:space="preserve">R.D. at 21-22.  </w:t>
      </w:r>
    </w:p>
    <w:p w14:paraId="2AF7034C" w14:textId="77777777" w:rsidR="009F338C" w:rsidRDefault="009F338C" w:rsidP="00217B05">
      <w:pPr>
        <w:widowControl/>
        <w:spacing w:line="360" w:lineRule="auto"/>
        <w:ind w:firstLine="1440"/>
        <w:contextualSpacing/>
        <w:rPr>
          <w:sz w:val="26"/>
          <w:szCs w:val="26"/>
        </w:rPr>
      </w:pPr>
    </w:p>
    <w:p w14:paraId="417BB4EF" w14:textId="1885F6F4" w:rsidR="00FF74BC" w:rsidRPr="009F338C" w:rsidRDefault="00AC03AD" w:rsidP="00217B05">
      <w:pPr>
        <w:widowControl/>
        <w:spacing w:line="360" w:lineRule="auto"/>
        <w:ind w:firstLine="1440"/>
        <w:contextualSpacing/>
        <w:rPr>
          <w:sz w:val="26"/>
          <w:szCs w:val="26"/>
        </w:rPr>
      </w:pPr>
      <w:r>
        <w:rPr>
          <w:sz w:val="26"/>
          <w:szCs w:val="26"/>
        </w:rPr>
        <w:t xml:space="preserve">In addition, the ALJs pointed out that the Company already has $9.6 </w:t>
      </w:r>
      <w:r w:rsidR="004F3D38">
        <w:rPr>
          <w:sz w:val="26"/>
          <w:szCs w:val="26"/>
        </w:rPr>
        <w:t>Million</w:t>
      </w:r>
      <w:r>
        <w:rPr>
          <w:sz w:val="26"/>
          <w:szCs w:val="26"/>
        </w:rPr>
        <w:t xml:space="preserve"> in its existing cumulative bank </w:t>
      </w:r>
      <w:r w:rsidR="002F6FD3">
        <w:rPr>
          <w:sz w:val="26"/>
          <w:szCs w:val="26"/>
        </w:rPr>
        <w:t>that is available for use for future rate increases</w:t>
      </w:r>
      <w:r w:rsidR="00BE1699">
        <w:rPr>
          <w:sz w:val="26"/>
          <w:szCs w:val="26"/>
        </w:rPr>
        <w:t xml:space="preserve"> and that it has only ever implemented </w:t>
      </w:r>
      <w:r w:rsidR="00F9332D">
        <w:rPr>
          <w:sz w:val="26"/>
          <w:szCs w:val="26"/>
        </w:rPr>
        <w:t xml:space="preserve">$1.6 </w:t>
      </w:r>
      <w:r w:rsidR="004F3D38">
        <w:rPr>
          <w:sz w:val="26"/>
          <w:szCs w:val="26"/>
        </w:rPr>
        <w:t>Million</w:t>
      </w:r>
      <w:r w:rsidR="00F9332D">
        <w:rPr>
          <w:sz w:val="26"/>
          <w:szCs w:val="26"/>
        </w:rPr>
        <w:t xml:space="preserve"> in increases from its cumulative bank in its past PSI/SPI filings</w:t>
      </w:r>
      <w:r w:rsidR="002F6FD3">
        <w:rPr>
          <w:sz w:val="26"/>
          <w:szCs w:val="26"/>
        </w:rPr>
        <w:t>.</w:t>
      </w:r>
      <w:r w:rsidR="00105C36">
        <w:rPr>
          <w:sz w:val="26"/>
          <w:szCs w:val="26"/>
        </w:rPr>
        <w:t xml:space="preserve">  </w:t>
      </w:r>
      <w:r w:rsidR="00D95293">
        <w:rPr>
          <w:i/>
          <w:iCs/>
          <w:sz w:val="26"/>
          <w:szCs w:val="26"/>
        </w:rPr>
        <w:t xml:space="preserve">Id. </w:t>
      </w:r>
      <w:r w:rsidR="00D95293">
        <w:rPr>
          <w:sz w:val="26"/>
          <w:szCs w:val="26"/>
        </w:rPr>
        <w:t xml:space="preserve">at 22 (citing CenturyLink Verified Witness Statement at 9).  </w:t>
      </w:r>
      <w:r w:rsidR="00AF3165">
        <w:rPr>
          <w:sz w:val="26"/>
          <w:szCs w:val="26"/>
        </w:rPr>
        <w:t xml:space="preserve">Thus, in the ALJs’ view, </w:t>
      </w:r>
      <w:r w:rsidR="00D1039F">
        <w:rPr>
          <w:sz w:val="26"/>
          <w:szCs w:val="26"/>
        </w:rPr>
        <w:t xml:space="preserve">any </w:t>
      </w:r>
      <w:r w:rsidR="00AF3165">
        <w:rPr>
          <w:sz w:val="26"/>
          <w:szCs w:val="26"/>
        </w:rPr>
        <w:t xml:space="preserve">benefit to CenturyLink’s customers of the Company agreeing to forgo </w:t>
      </w:r>
      <w:r w:rsidR="00D1039F">
        <w:rPr>
          <w:sz w:val="26"/>
          <w:szCs w:val="26"/>
        </w:rPr>
        <w:t>its banked amounts from its 2018</w:t>
      </w:r>
      <w:r w:rsidR="00775FE9">
        <w:rPr>
          <w:sz w:val="26"/>
          <w:szCs w:val="26"/>
        </w:rPr>
        <w:t>, 2019, and</w:t>
      </w:r>
      <w:r w:rsidR="00D1039F">
        <w:rPr>
          <w:sz w:val="26"/>
          <w:szCs w:val="26"/>
        </w:rPr>
        <w:t xml:space="preserve"> 2020 PSI/SPI </w:t>
      </w:r>
      <w:r w:rsidR="00775FE9">
        <w:rPr>
          <w:sz w:val="26"/>
          <w:szCs w:val="26"/>
        </w:rPr>
        <w:t>F</w:t>
      </w:r>
      <w:r w:rsidR="00D1039F">
        <w:rPr>
          <w:sz w:val="26"/>
          <w:szCs w:val="26"/>
        </w:rPr>
        <w:t>iling</w:t>
      </w:r>
      <w:r w:rsidR="00775FE9">
        <w:rPr>
          <w:sz w:val="26"/>
          <w:szCs w:val="26"/>
        </w:rPr>
        <w:t>s</w:t>
      </w:r>
      <w:r w:rsidR="00D1039F">
        <w:rPr>
          <w:sz w:val="26"/>
          <w:szCs w:val="26"/>
        </w:rPr>
        <w:t xml:space="preserve"> is minim</w:t>
      </w:r>
      <w:r w:rsidR="00C62D5D">
        <w:rPr>
          <w:sz w:val="26"/>
          <w:szCs w:val="26"/>
        </w:rPr>
        <w:t>al</w:t>
      </w:r>
      <w:r w:rsidR="00D1039F">
        <w:rPr>
          <w:sz w:val="26"/>
          <w:szCs w:val="26"/>
        </w:rPr>
        <w:t xml:space="preserve">.  </w:t>
      </w:r>
      <w:r w:rsidR="00105C36">
        <w:rPr>
          <w:sz w:val="26"/>
          <w:szCs w:val="26"/>
        </w:rPr>
        <w:t>R.D. at 2</w:t>
      </w:r>
      <w:r w:rsidR="00D95293">
        <w:rPr>
          <w:sz w:val="26"/>
          <w:szCs w:val="26"/>
        </w:rPr>
        <w:t>2</w:t>
      </w:r>
      <w:r w:rsidR="00105C36">
        <w:rPr>
          <w:sz w:val="26"/>
          <w:szCs w:val="26"/>
        </w:rPr>
        <w:t>-23.</w:t>
      </w:r>
      <w:r w:rsidR="009F338C">
        <w:rPr>
          <w:sz w:val="26"/>
          <w:szCs w:val="26"/>
        </w:rPr>
        <w:t xml:space="preserve">  </w:t>
      </w:r>
    </w:p>
    <w:p w14:paraId="5C435956" w14:textId="7A6564F1" w:rsidR="00367D2C" w:rsidRDefault="00367D2C" w:rsidP="00217B05">
      <w:pPr>
        <w:widowControl/>
        <w:spacing w:line="360" w:lineRule="auto"/>
        <w:ind w:firstLine="1440"/>
        <w:contextualSpacing/>
        <w:rPr>
          <w:sz w:val="26"/>
          <w:szCs w:val="26"/>
        </w:rPr>
      </w:pPr>
    </w:p>
    <w:p w14:paraId="09B3662D" w14:textId="4BEBC308" w:rsidR="00AB568D" w:rsidRDefault="002D7B62" w:rsidP="00217B05">
      <w:pPr>
        <w:widowControl/>
        <w:spacing w:line="360" w:lineRule="auto"/>
        <w:ind w:firstLine="1440"/>
        <w:contextualSpacing/>
        <w:rPr>
          <w:sz w:val="26"/>
          <w:szCs w:val="26"/>
        </w:rPr>
      </w:pPr>
      <w:r>
        <w:rPr>
          <w:sz w:val="26"/>
          <w:szCs w:val="26"/>
        </w:rPr>
        <w:t xml:space="preserve">Next, the ALJs addressed the OSBA’s </w:t>
      </w:r>
      <w:r w:rsidR="001E1CA0">
        <w:rPr>
          <w:sz w:val="26"/>
          <w:szCs w:val="26"/>
        </w:rPr>
        <w:t>w</w:t>
      </w:r>
      <w:r>
        <w:rPr>
          <w:sz w:val="26"/>
          <w:szCs w:val="26"/>
        </w:rPr>
        <w:t xml:space="preserve">itness Mr. </w:t>
      </w:r>
      <w:proofErr w:type="spellStart"/>
      <w:r w:rsidR="00481DAD">
        <w:rPr>
          <w:sz w:val="26"/>
          <w:szCs w:val="26"/>
        </w:rPr>
        <w:t>Gillan</w:t>
      </w:r>
      <w:r w:rsidR="001E1CA0">
        <w:rPr>
          <w:sz w:val="26"/>
          <w:szCs w:val="26"/>
        </w:rPr>
        <w:t>’s</w:t>
      </w:r>
      <w:proofErr w:type="spellEnd"/>
      <w:r w:rsidR="001E1CA0">
        <w:rPr>
          <w:sz w:val="26"/>
          <w:szCs w:val="26"/>
        </w:rPr>
        <w:t xml:space="preserve"> testimony in his Verified Witness Statement </w:t>
      </w:r>
      <w:r w:rsidR="008C5B76">
        <w:rPr>
          <w:sz w:val="26"/>
          <w:szCs w:val="26"/>
        </w:rPr>
        <w:t xml:space="preserve">regarding a possible alternative way to reflect the impact of the TCJA in the Company’s annual PSI/SPI Filings.  </w:t>
      </w:r>
      <w:r w:rsidR="003F6EC3">
        <w:rPr>
          <w:sz w:val="26"/>
          <w:szCs w:val="26"/>
        </w:rPr>
        <w:t xml:space="preserve">The ALJs quoted </w:t>
      </w:r>
      <w:r w:rsidR="00AB568D">
        <w:rPr>
          <w:sz w:val="26"/>
          <w:szCs w:val="26"/>
        </w:rPr>
        <w:t xml:space="preserve">Mr. </w:t>
      </w:r>
      <w:proofErr w:type="spellStart"/>
      <w:r w:rsidR="00AB568D">
        <w:rPr>
          <w:sz w:val="26"/>
          <w:szCs w:val="26"/>
        </w:rPr>
        <w:t>Gillan’s</w:t>
      </w:r>
      <w:proofErr w:type="spellEnd"/>
      <w:r w:rsidR="00AB568D">
        <w:rPr>
          <w:sz w:val="26"/>
          <w:szCs w:val="26"/>
        </w:rPr>
        <w:t xml:space="preserve"> testimony, in pertinent part, as follows:</w:t>
      </w:r>
    </w:p>
    <w:p w14:paraId="00F47341" w14:textId="77777777" w:rsidR="00AB568D" w:rsidRDefault="00AB568D" w:rsidP="0056511D">
      <w:pPr>
        <w:widowControl/>
        <w:ind w:firstLine="1440"/>
        <w:contextualSpacing/>
        <w:rPr>
          <w:sz w:val="26"/>
          <w:szCs w:val="26"/>
        </w:rPr>
      </w:pPr>
    </w:p>
    <w:p w14:paraId="4ED24502" w14:textId="7F1FFBF4" w:rsidR="00AB568D" w:rsidRDefault="00634A51" w:rsidP="00217B05">
      <w:pPr>
        <w:widowControl/>
        <w:ind w:left="1440" w:right="1440"/>
        <w:contextualSpacing/>
        <w:rPr>
          <w:sz w:val="26"/>
          <w:szCs w:val="26"/>
        </w:rPr>
      </w:pPr>
      <w:r w:rsidRPr="00634A51">
        <w:rPr>
          <w:sz w:val="26"/>
          <w:szCs w:val="26"/>
        </w:rPr>
        <w:t xml:space="preserve">As a rough measure of the reasonableness of the settlement, I allocated the estimated federal tax reduction as a proportion of revenues. </w:t>
      </w:r>
      <w:r>
        <w:rPr>
          <w:sz w:val="26"/>
          <w:szCs w:val="26"/>
        </w:rPr>
        <w:t xml:space="preserve"> [T</w:t>
      </w:r>
      <w:r w:rsidR="001A02AF">
        <w:rPr>
          <w:sz w:val="26"/>
          <w:szCs w:val="26"/>
        </w:rPr>
        <w:t>]</w:t>
      </w:r>
      <w:r w:rsidRPr="00634A51">
        <w:rPr>
          <w:sz w:val="26"/>
          <w:szCs w:val="26"/>
        </w:rPr>
        <w:t xml:space="preserve">he negotiated reduction in potential future rates under the proposed settlement (almost $1.4 </w:t>
      </w:r>
      <w:r w:rsidR="004F3D38">
        <w:rPr>
          <w:sz w:val="26"/>
          <w:szCs w:val="26"/>
        </w:rPr>
        <w:t>Million</w:t>
      </w:r>
      <w:r w:rsidRPr="00634A51">
        <w:rPr>
          <w:sz w:val="26"/>
          <w:szCs w:val="26"/>
        </w:rPr>
        <w:t xml:space="preserve"> per year) is roughly equal to a litigated outcome where the federal income tax reduction is allocated among jurisdictions (and between competitive and non-competitive services) on the basis of revenues.</w:t>
      </w:r>
    </w:p>
    <w:p w14:paraId="7E8ADC5A" w14:textId="77777777" w:rsidR="00AB568D" w:rsidRDefault="00AB568D" w:rsidP="00217B05">
      <w:pPr>
        <w:widowControl/>
        <w:spacing w:line="360" w:lineRule="auto"/>
        <w:ind w:firstLine="1440"/>
        <w:contextualSpacing/>
        <w:rPr>
          <w:sz w:val="26"/>
          <w:szCs w:val="26"/>
        </w:rPr>
      </w:pPr>
    </w:p>
    <w:p w14:paraId="1EDE6FE2" w14:textId="795F9C92" w:rsidR="00DD3D51" w:rsidRDefault="00AB568D" w:rsidP="00217B05">
      <w:pPr>
        <w:widowControl/>
        <w:spacing w:line="360" w:lineRule="auto"/>
        <w:contextualSpacing/>
        <w:rPr>
          <w:sz w:val="26"/>
          <w:szCs w:val="26"/>
        </w:rPr>
      </w:pPr>
      <w:r>
        <w:rPr>
          <w:sz w:val="26"/>
          <w:szCs w:val="26"/>
        </w:rPr>
        <w:t>R.D. at 23 (citing OSBA Verified Witness Statement at 6).</w:t>
      </w:r>
      <w:r w:rsidR="00D828F5">
        <w:rPr>
          <w:sz w:val="26"/>
          <w:szCs w:val="26"/>
        </w:rPr>
        <w:t xml:space="preserve">  The ALJs found that </w:t>
      </w:r>
      <w:r w:rsidR="00CC5EEF">
        <w:rPr>
          <w:sz w:val="26"/>
          <w:szCs w:val="26"/>
        </w:rPr>
        <w:t>Mr.</w:t>
      </w:r>
      <w:r w:rsidR="0056511D">
        <w:rPr>
          <w:sz w:val="26"/>
          <w:szCs w:val="26"/>
        </w:rPr>
        <w:t> </w:t>
      </w:r>
      <w:proofErr w:type="spellStart"/>
      <w:r w:rsidR="00481DAD">
        <w:rPr>
          <w:sz w:val="26"/>
          <w:szCs w:val="26"/>
        </w:rPr>
        <w:t>Gillan</w:t>
      </w:r>
      <w:r w:rsidR="00CC5EEF">
        <w:rPr>
          <w:sz w:val="26"/>
          <w:szCs w:val="26"/>
        </w:rPr>
        <w:t>’s</w:t>
      </w:r>
      <w:proofErr w:type="spellEnd"/>
      <w:r w:rsidR="00CC5EEF">
        <w:rPr>
          <w:sz w:val="26"/>
          <w:szCs w:val="26"/>
        </w:rPr>
        <w:t xml:space="preserve"> analysis </w:t>
      </w:r>
      <w:r w:rsidR="00AC459D">
        <w:rPr>
          <w:sz w:val="26"/>
          <w:szCs w:val="26"/>
        </w:rPr>
        <w:t>demonstrates</w:t>
      </w:r>
      <w:r w:rsidR="00CC5EEF">
        <w:rPr>
          <w:sz w:val="26"/>
          <w:szCs w:val="26"/>
        </w:rPr>
        <w:t xml:space="preserve"> that a </w:t>
      </w:r>
      <w:r w:rsidR="00AC459D">
        <w:rPr>
          <w:sz w:val="26"/>
          <w:szCs w:val="26"/>
        </w:rPr>
        <w:t>quantifiable</w:t>
      </w:r>
      <w:r w:rsidR="00CC5EEF">
        <w:rPr>
          <w:sz w:val="26"/>
          <w:szCs w:val="26"/>
        </w:rPr>
        <w:t xml:space="preserve"> benefit to CenturyLink’s customers as a result of the passage of the TCJ</w:t>
      </w:r>
      <w:r w:rsidR="00AC459D">
        <w:rPr>
          <w:sz w:val="26"/>
          <w:szCs w:val="26"/>
        </w:rPr>
        <w:t>A</w:t>
      </w:r>
      <w:r w:rsidR="00CC5EEF">
        <w:rPr>
          <w:sz w:val="26"/>
          <w:szCs w:val="26"/>
        </w:rPr>
        <w:t xml:space="preserve"> could be estimated</w:t>
      </w:r>
      <w:r w:rsidR="00B5667E">
        <w:rPr>
          <w:sz w:val="26"/>
          <w:szCs w:val="26"/>
        </w:rPr>
        <w:t xml:space="preserve">.  The ALJs opined that such an estimate would be </w:t>
      </w:r>
      <w:r w:rsidR="00BE1699">
        <w:rPr>
          <w:sz w:val="26"/>
          <w:szCs w:val="26"/>
        </w:rPr>
        <w:t xml:space="preserve">more </w:t>
      </w:r>
      <w:r w:rsidR="00053DD6">
        <w:rPr>
          <w:sz w:val="26"/>
          <w:szCs w:val="26"/>
        </w:rPr>
        <w:t>in the public interest</w:t>
      </w:r>
      <w:r w:rsidR="00BE1699">
        <w:rPr>
          <w:sz w:val="26"/>
          <w:szCs w:val="26"/>
        </w:rPr>
        <w:t xml:space="preserve"> than CenturyLink agreeing to forgo </w:t>
      </w:r>
      <w:r w:rsidR="004F6E27">
        <w:rPr>
          <w:sz w:val="26"/>
          <w:szCs w:val="26"/>
        </w:rPr>
        <w:t xml:space="preserve">banking revenue increases that it generally has not otherwise implemented in the past.  </w:t>
      </w:r>
      <w:r w:rsidR="00AC6203">
        <w:rPr>
          <w:sz w:val="26"/>
          <w:szCs w:val="26"/>
        </w:rPr>
        <w:t xml:space="preserve">The ALJs further opined that the </w:t>
      </w:r>
      <w:r w:rsidR="00BF5BE9">
        <w:rPr>
          <w:sz w:val="26"/>
          <w:szCs w:val="26"/>
        </w:rPr>
        <w:t>P</w:t>
      </w:r>
      <w:r w:rsidR="00AC6203">
        <w:rPr>
          <w:sz w:val="26"/>
          <w:szCs w:val="26"/>
        </w:rPr>
        <w:t xml:space="preserve">arties could have instead agreed </w:t>
      </w:r>
      <w:r w:rsidR="00BF5BE9">
        <w:rPr>
          <w:sz w:val="26"/>
          <w:szCs w:val="26"/>
        </w:rPr>
        <w:t>that CenturyLink would implement</w:t>
      </w:r>
      <w:r w:rsidR="00AC6203">
        <w:rPr>
          <w:sz w:val="26"/>
          <w:szCs w:val="26"/>
        </w:rPr>
        <w:t xml:space="preserve"> a negative surcharge totaling </w:t>
      </w:r>
      <w:r w:rsidR="008E4EC5">
        <w:rPr>
          <w:sz w:val="26"/>
          <w:szCs w:val="26"/>
        </w:rPr>
        <w:t xml:space="preserve">$1.3 </w:t>
      </w:r>
      <w:r w:rsidR="004F3D38">
        <w:rPr>
          <w:sz w:val="26"/>
          <w:szCs w:val="26"/>
        </w:rPr>
        <w:t>Million</w:t>
      </w:r>
      <w:r w:rsidR="008E4EC5">
        <w:rPr>
          <w:sz w:val="26"/>
          <w:szCs w:val="26"/>
        </w:rPr>
        <w:t xml:space="preserve">, similar to what </w:t>
      </w:r>
      <w:r w:rsidR="00536F4B">
        <w:rPr>
          <w:sz w:val="26"/>
          <w:szCs w:val="26"/>
        </w:rPr>
        <w:t>seventeen</w:t>
      </w:r>
      <w:r w:rsidR="008E4EC5">
        <w:rPr>
          <w:sz w:val="26"/>
          <w:szCs w:val="26"/>
        </w:rPr>
        <w:t xml:space="preserve"> electric, natural gas, and water</w:t>
      </w:r>
      <w:r w:rsidR="00344E1A">
        <w:rPr>
          <w:sz w:val="26"/>
          <w:szCs w:val="26"/>
        </w:rPr>
        <w:t xml:space="preserve"> and wastewater</w:t>
      </w:r>
      <w:r w:rsidR="008E4EC5">
        <w:rPr>
          <w:sz w:val="26"/>
          <w:szCs w:val="26"/>
        </w:rPr>
        <w:t xml:space="preserve"> companies were required to do in the </w:t>
      </w:r>
      <w:r w:rsidR="008E4EC5">
        <w:rPr>
          <w:i/>
          <w:iCs/>
          <w:sz w:val="26"/>
          <w:szCs w:val="26"/>
        </w:rPr>
        <w:t>May 2018 Order, supra.</w:t>
      </w:r>
      <w:r w:rsidR="00C3224E">
        <w:rPr>
          <w:i/>
          <w:iCs/>
          <w:sz w:val="26"/>
          <w:szCs w:val="26"/>
        </w:rPr>
        <w:t xml:space="preserve">  </w:t>
      </w:r>
      <w:r w:rsidR="00C3224E">
        <w:rPr>
          <w:sz w:val="26"/>
          <w:szCs w:val="26"/>
        </w:rPr>
        <w:t xml:space="preserve">According to the ALJs, the Joint Petitioners’ contention that creating such a benefit would be too difficult given Chapter 30 rate regulations is undermined by Mr. </w:t>
      </w:r>
      <w:proofErr w:type="spellStart"/>
      <w:r w:rsidR="00481DAD">
        <w:rPr>
          <w:sz w:val="26"/>
          <w:szCs w:val="26"/>
        </w:rPr>
        <w:t>Gillan</w:t>
      </w:r>
      <w:r w:rsidR="00C3224E">
        <w:rPr>
          <w:sz w:val="26"/>
          <w:szCs w:val="26"/>
        </w:rPr>
        <w:t>’s</w:t>
      </w:r>
      <w:proofErr w:type="spellEnd"/>
      <w:r w:rsidR="00C3224E">
        <w:rPr>
          <w:sz w:val="26"/>
          <w:szCs w:val="26"/>
        </w:rPr>
        <w:t xml:space="preserve"> analysis in his Verified Witness Statement.  </w:t>
      </w:r>
      <w:r w:rsidR="009736EE">
        <w:rPr>
          <w:sz w:val="26"/>
          <w:szCs w:val="26"/>
        </w:rPr>
        <w:t>R.D. at 23-24.</w:t>
      </w:r>
      <w:r w:rsidR="00025829">
        <w:rPr>
          <w:sz w:val="26"/>
          <w:szCs w:val="26"/>
        </w:rPr>
        <w:t xml:space="preserve"> </w:t>
      </w:r>
      <w:r w:rsidR="00025829" w:rsidRPr="00025829">
        <w:rPr>
          <w:sz w:val="26"/>
          <w:szCs w:val="26"/>
        </w:rPr>
        <w:t xml:space="preserve"> </w:t>
      </w:r>
      <w:r w:rsidR="00025829">
        <w:rPr>
          <w:sz w:val="26"/>
          <w:szCs w:val="26"/>
        </w:rPr>
        <w:t xml:space="preserve">The ALJs highlighted that in the </w:t>
      </w:r>
      <w:r w:rsidR="00025829">
        <w:rPr>
          <w:i/>
          <w:iCs/>
          <w:sz w:val="26"/>
          <w:szCs w:val="26"/>
        </w:rPr>
        <w:t>May 2018 Order</w:t>
      </w:r>
      <w:r w:rsidR="00407584">
        <w:rPr>
          <w:i/>
          <w:iCs/>
          <w:sz w:val="26"/>
          <w:szCs w:val="26"/>
        </w:rPr>
        <w:t>,</w:t>
      </w:r>
      <w:r w:rsidR="00025829">
        <w:rPr>
          <w:i/>
          <w:iCs/>
          <w:sz w:val="26"/>
          <w:szCs w:val="26"/>
        </w:rPr>
        <w:t xml:space="preserve"> </w:t>
      </w:r>
      <w:r w:rsidR="00025829">
        <w:rPr>
          <w:sz w:val="26"/>
          <w:szCs w:val="26"/>
        </w:rPr>
        <w:t xml:space="preserve">the Commission emphasized that while utilities are entitled to recover in rates all reasonable and prudently incurred expenses, there is no warrant for the recovery of taxes or other expenses form consumers that are not incurred.  </w:t>
      </w:r>
      <w:r w:rsidR="00025829">
        <w:rPr>
          <w:i/>
          <w:iCs/>
          <w:sz w:val="26"/>
          <w:szCs w:val="26"/>
        </w:rPr>
        <w:t xml:space="preserve">Id. </w:t>
      </w:r>
      <w:r w:rsidR="00025829">
        <w:rPr>
          <w:sz w:val="26"/>
          <w:szCs w:val="26"/>
        </w:rPr>
        <w:t xml:space="preserve">at 24 (citing </w:t>
      </w:r>
      <w:r w:rsidR="00025829">
        <w:rPr>
          <w:i/>
          <w:iCs/>
          <w:sz w:val="26"/>
          <w:szCs w:val="26"/>
        </w:rPr>
        <w:t xml:space="preserve">May 2018 Order </w:t>
      </w:r>
      <w:r w:rsidR="00025829">
        <w:rPr>
          <w:sz w:val="26"/>
          <w:szCs w:val="26"/>
        </w:rPr>
        <w:t xml:space="preserve">at 16).  The ALJs concluded that this same standard applies to companies, like CenturyLink, that operate under alternative forms of regulation.  </w:t>
      </w:r>
      <w:r w:rsidR="00C93868">
        <w:rPr>
          <w:sz w:val="26"/>
          <w:szCs w:val="26"/>
        </w:rPr>
        <w:t xml:space="preserve">In the ALJs’ view, </w:t>
      </w:r>
      <w:r w:rsidR="00F13B59">
        <w:rPr>
          <w:sz w:val="26"/>
          <w:szCs w:val="26"/>
        </w:rPr>
        <w:t xml:space="preserve">agreeing not to increase rates, as CenturyLink has done </w:t>
      </w:r>
      <w:r w:rsidR="00042505">
        <w:rPr>
          <w:sz w:val="26"/>
          <w:szCs w:val="26"/>
        </w:rPr>
        <w:t>in the Settlement,</w:t>
      </w:r>
      <w:r w:rsidR="00F13B59">
        <w:rPr>
          <w:sz w:val="26"/>
          <w:szCs w:val="26"/>
        </w:rPr>
        <w:t xml:space="preserve"> is not the same as providing a reduction or credit.  </w:t>
      </w:r>
      <w:r w:rsidR="00025829">
        <w:rPr>
          <w:sz w:val="26"/>
          <w:szCs w:val="26"/>
        </w:rPr>
        <w:t>R.D. at 24</w:t>
      </w:r>
      <w:r w:rsidR="00F13B59">
        <w:rPr>
          <w:sz w:val="26"/>
          <w:szCs w:val="26"/>
        </w:rPr>
        <w:t>, 26.</w:t>
      </w:r>
    </w:p>
    <w:p w14:paraId="2A1259B6" w14:textId="1D085663" w:rsidR="00025829" w:rsidRDefault="00025829" w:rsidP="00217B05">
      <w:pPr>
        <w:widowControl/>
        <w:spacing w:line="360" w:lineRule="auto"/>
        <w:ind w:firstLine="1440"/>
        <w:contextualSpacing/>
        <w:rPr>
          <w:sz w:val="26"/>
          <w:szCs w:val="26"/>
        </w:rPr>
      </w:pPr>
    </w:p>
    <w:p w14:paraId="63E6E170" w14:textId="6376CC34" w:rsidR="00025829" w:rsidRDefault="001C0415" w:rsidP="00217B05">
      <w:pPr>
        <w:widowControl/>
        <w:spacing w:line="360" w:lineRule="auto"/>
        <w:ind w:firstLine="1440"/>
        <w:contextualSpacing/>
        <w:rPr>
          <w:sz w:val="26"/>
          <w:szCs w:val="26"/>
        </w:rPr>
      </w:pPr>
      <w:r>
        <w:rPr>
          <w:sz w:val="26"/>
          <w:szCs w:val="26"/>
        </w:rPr>
        <w:t>The ALJs also found the Joint Petitioners’ arguments for why they could not provide a fully developed ev</w:t>
      </w:r>
      <w:r w:rsidR="00F551A4">
        <w:rPr>
          <w:sz w:val="26"/>
          <w:szCs w:val="26"/>
        </w:rPr>
        <w:t>iden</w:t>
      </w:r>
      <w:r>
        <w:rPr>
          <w:sz w:val="26"/>
          <w:szCs w:val="26"/>
        </w:rPr>
        <w:t xml:space="preserve">tiary record regarding the impact of the TCJA on CenturyLink’s </w:t>
      </w:r>
      <w:r w:rsidR="00F551A4">
        <w:rPr>
          <w:sz w:val="26"/>
          <w:szCs w:val="26"/>
        </w:rPr>
        <w:t xml:space="preserve">Chapter 30 Plan to be without merit.  The ALJs </w:t>
      </w:r>
      <w:r w:rsidR="00147478">
        <w:rPr>
          <w:sz w:val="26"/>
          <w:szCs w:val="26"/>
        </w:rPr>
        <w:t xml:space="preserve">found that while CenturyLink argued, in its Statement in Support, that only one other </w:t>
      </w:r>
      <w:r w:rsidR="008D4778">
        <w:rPr>
          <w:sz w:val="26"/>
          <w:szCs w:val="26"/>
        </w:rPr>
        <w:t>S</w:t>
      </w:r>
      <w:r w:rsidR="00147478">
        <w:rPr>
          <w:sz w:val="26"/>
          <w:szCs w:val="26"/>
        </w:rPr>
        <w:t>tate</w:t>
      </w:r>
      <w:r w:rsidR="00BE348C">
        <w:rPr>
          <w:sz w:val="26"/>
          <w:szCs w:val="26"/>
        </w:rPr>
        <w:t xml:space="preserve"> in which the Company operates as an ILEC</w:t>
      </w:r>
      <w:r w:rsidR="00147478">
        <w:rPr>
          <w:sz w:val="26"/>
          <w:szCs w:val="26"/>
        </w:rPr>
        <w:t xml:space="preserve"> has sough</w:t>
      </w:r>
      <w:r w:rsidR="00BE348C">
        <w:rPr>
          <w:sz w:val="26"/>
          <w:szCs w:val="26"/>
        </w:rPr>
        <w:t>t</w:t>
      </w:r>
      <w:r w:rsidR="00147478">
        <w:rPr>
          <w:sz w:val="26"/>
          <w:szCs w:val="26"/>
        </w:rPr>
        <w:t xml:space="preserve"> adjustments to the Company’s rates in light of the potential impact of the </w:t>
      </w:r>
      <w:r w:rsidR="00D574A3">
        <w:rPr>
          <w:sz w:val="26"/>
          <w:szCs w:val="26"/>
        </w:rPr>
        <w:t xml:space="preserve">TCJA, CenturyLink has not demonstrated that those other </w:t>
      </w:r>
      <w:r w:rsidR="008D4778">
        <w:rPr>
          <w:sz w:val="26"/>
          <w:szCs w:val="26"/>
        </w:rPr>
        <w:t>S</w:t>
      </w:r>
      <w:r w:rsidR="00D574A3">
        <w:rPr>
          <w:sz w:val="26"/>
          <w:szCs w:val="26"/>
        </w:rPr>
        <w:t>tates operate under alternative ratemaking plans similar to</w:t>
      </w:r>
      <w:r w:rsidR="00D317AD">
        <w:rPr>
          <w:sz w:val="26"/>
          <w:szCs w:val="26"/>
        </w:rPr>
        <w:t xml:space="preserve"> the Company’s</w:t>
      </w:r>
      <w:r w:rsidR="00D574A3">
        <w:rPr>
          <w:sz w:val="26"/>
          <w:szCs w:val="26"/>
        </w:rPr>
        <w:t xml:space="preserve"> Chapter 30</w:t>
      </w:r>
      <w:r w:rsidR="00D317AD">
        <w:rPr>
          <w:sz w:val="26"/>
          <w:szCs w:val="26"/>
        </w:rPr>
        <w:t xml:space="preserve"> Plan</w:t>
      </w:r>
      <w:r w:rsidR="00D574A3">
        <w:rPr>
          <w:sz w:val="26"/>
          <w:szCs w:val="26"/>
        </w:rPr>
        <w:t xml:space="preserve">.  The ALJs likewise rejected the Joint Petitioners’ arguments that </w:t>
      </w:r>
      <w:r w:rsidR="007C2AB9">
        <w:rPr>
          <w:sz w:val="26"/>
          <w:szCs w:val="26"/>
        </w:rPr>
        <w:t>readily available financial data is not available for CenturyLink</w:t>
      </w:r>
      <w:r w:rsidR="00B83D19">
        <w:rPr>
          <w:sz w:val="26"/>
          <w:szCs w:val="26"/>
        </w:rPr>
        <w:t xml:space="preserve">.  The ALJs opined that CenturyLink could have kept sufficient records since the approval of its Chapter 30 Plan to </w:t>
      </w:r>
      <w:r w:rsidR="00245879">
        <w:rPr>
          <w:sz w:val="26"/>
          <w:szCs w:val="26"/>
        </w:rPr>
        <w:t>support wither a particular event is</w:t>
      </w:r>
      <w:r w:rsidR="002D0841">
        <w:rPr>
          <w:sz w:val="26"/>
          <w:szCs w:val="26"/>
        </w:rPr>
        <w:t>,</w:t>
      </w:r>
      <w:r w:rsidR="00245879">
        <w:rPr>
          <w:sz w:val="26"/>
          <w:szCs w:val="26"/>
        </w:rPr>
        <w:t xml:space="preserve"> or is not</w:t>
      </w:r>
      <w:r w:rsidR="002D0841">
        <w:rPr>
          <w:sz w:val="26"/>
          <w:szCs w:val="26"/>
        </w:rPr>
        <w:t>,</w:t>
      </w:r>
      <w:r w:rsidR="00245879">
        <w:rPr>
          <w:sz w:val="26"/>
          <w:szCs w:val="26"/>
        </w:rPr>
        <w:t xml:space="preserve"> an exogenous event.  </w:t>
      </w:r>
      <w:r w:rsidR="00C40BC9">
        <w:rPr>
          <w:sz w:val="26"/>
          <w:szCs w:val="26"/>
        </w:rPr>
        <w:t>R.D. at 24-25.</w:t>
      </w:r>
    </w:p>
    <w:p w14:paraId="401C2F7E" w14:textId="1456DBBA" w:rsidR="00C40BC9" w:rsidRDefault="00C40BC9" w:rsidP="00217B05">
      <w:pPr>
        <w:widowControl/>
        <w:spacing w:line="360" w:lineRule="auto"/>
        <w:ind w:firstLine="1440"/>
        <w:contextualSpacing/>
        <w:rPr>
          <w:sz w:val="26"/>
          <w:szCs w:val="26"/>
        </w:rPr>
      </w:pPr>
    </w:p>
    <w:p w14:paraId="63383813" w14:textId="040F739A" w:rsidR="00C40BC9" w:rsidRPr="00DA57B6" w:rsidRDefault="007675AB" w:rsidP="00217B05">
      <w:pPr>
        <w:widowControl/>
        <w:spacing w:line="360" w:lineRule="auto"/>
        <w:ind w:firstLine="1440"/>
        <w:contextualSpacing/>
        <w:rPr>
          <w:sz w:val="26"/>
          <w:szCs w:val="26"/>
        </w:rPr>
      </w:pPr>
      <w:r>
        <w:rPr>
          <w:sz w:val="26"/>
          <w:szCs w:val="26"/>
        </w:rPr>
        <w:t xml:space="preserve">Additionally, the ALJs rejected the Joint Petitioners’ contention that the Settlement should be approved because it will conserve resources by avoiding further litigation.  </w:t>
      </w:r>
      <w:r w:rsidR="00933B24">
        <w:rPr>
          <w:sz w:val="26"/>
          <w:szCs w:val="26"/>
        </w:rPr>
        <w:t xml:space="preserve">The ALJs </w:t>
      </w:r>
      <w:r w:rsidR="002617A5">
        <w:rPr>
          <w:sz w:val="26"/>
          <w:szCs w:val="26"/>
        </w:rPr>
        <w:t>stated that while</w:t>
      </w:r>
      <w:r>
        <w:rPr>
          <w:sz w:val="26"/>
          <w:szCs w:val="26"/>
        </w:rPr>
        <w:t xml:space="preserve"> conserving resources may be a sufficient reason to adopt other settlements before the Commission, </w:t>
      </w:r>
      <w:r w:rsidR="00AC148A">
        <w:rPr>
          <w:sz w:val="26"/>
          <w:szCs w:val="26"/>
        </w:rPr>
        <w:t xml:space="preserve">this factor is not applicable in this proceeding.  The ALJs restated their interpretation </w:t>
      </w:r>
      <w:r w:rsidR="00DA57B6">
        <w:rPr>
          <w:sz w:val="26"/>
          <w:szCs w:val="26"/>
        </w:rPr>
        <w:t xml:space="preserve">that in the </w:t>
      </w:r>
      <w:r w:rsidR="00DA57B6">
        <w:rPr>
          <w:i/>
          <w:iCs/>
          <w:sz w:val="26"/>
          <w:szCs w:val="26"/>
        </w:rPr>
        <w:t xml:space="preserve">October 2018 Order, </w:t>
      </w:r>
      <w:r w:rsidR="00DA57B6">
        <w:rPr>
          <w:sz w:val="26"/>
          <w:szCs w:val="26"/>
        </w:rPr>
        <w:t xml:space="preserve">the Commission </w:t>
      </w:r>
      <w:r w:rsidR="001F4954">
        <w:rPr>
          <w:sz w:val="26"/>
          <w:szCs w:val="26"/>
        </w:rPr>
        <w:t>envisioned</w:t>
      </w:r>
      <w:r w:rsidR="00DA57B6">
        <w:rPr>
          <w:sz w:val="26"/>
          <w:szCs w:val="26"/>
        </w:rPr>
        <w:t xml:space="preserve"> that a fully</w:t>
      </w:r>
      <w:r w:rsidR="002617A5">
        <w:rPr>
          <w:sz w:val="26"/>
          <w:szCs w:val="26"/>
        </w:rPr>
        <w:t>-</w:t>
      </w:r>
      <w:r w:rsidR="00DA57B6">
        <w:rPr>
          <w:sz w:val="26"/>
          <w:szCs w:val="26"/>
        </w:rPr>
        <w:t xml:space="preserve">developed record should be developed </w:t>
      </w:r>
      <w:r w:rsidR="001F4954">
        <w:rPr>
          <w:sz w:val="26"/>
          <w:szCs w:val="26"/>
        </w:rPr>
        <w:t xml:space="preserve">in order to </w:t>
      </w:r>
      <w:r w:rsidR="002617A5">
        <w:rPr>
          <w:sz w:val="26"/>
          <w:szCs w:val="26"/>
        </w:rPr>
        <w:t>aid the Commission in making</w:t>
      </w:r>
      <w:r w:rsidR="001F4954">
        <w:rPr>
          <w:sz w:val="26"/>
          <w:szCs w:val="26"/>
        </w:rPr>
        <w:t xml:space="preserve"> a clear determination as to whether the passage of the TCJA qualifies a</w:t>
      </w:r>
      <w:r w:rsidR="00F0738A">
        <w:rPr>
          <w:sz w:val="26"/>
          <w:szCs w:val="26"/>
        </w:rPr>
        <w:t>s</w:t>
      </w:r>
      <w:r w:rsidR="001F4954">
        <w:rPr>
          <w:sz w:val="26"/>
          <w:szCs w:val="26"/>
        </w:rPr>
        <w:t xml:space="preserve"> an exogenous event.  </w:t>
      </w:r>
      <w:r w:rsidR="00B64498">
        <w:rPr>
          <w:sz w:val="26"/>
          <w:szCs w:val="26"/>
        </w:rPr>
        <w:t xml:space="preserve">The ALJs concluded that </w:t>
      </w:r>
      <w:r w:rsidR="00F0738A">
        <w:rPr>
          <w:sz w:val="26"/>
          <w:szCs w:val="26"/>
        </w:rPr>
        <w:t xml:space="preserve">because this question remains unanswered under the proposed Settlement, </w:t>
      </w:r>
      <w:r w:rsidR="003D6E9C">
        <w:rPr>
          <w:sz w:val="26"/>
          <w:szCs w:val="26"/>
        </w:rPr>
        <w:t xml:space="preserve">the Settlement fails to </w:t>
      </w:r>
      <w:r w:rsidR="00BD3B10">
        <w:rPr>
          <w:sz w:val="26"/>
          <w:szCs w:val="26"/>
        </w:rPr>
        <w:t xml:space="preserve">satisfy the public interest standard.  </w:t>
      </w:r>
      <w:r w:rsidR="00FD3672">
        <w:rPr>
          <w:sz w:val="26"/>
          <w:szCs w:val="26"/>
        </w:rPr>
        <w:t xml:space="preserve">Therefore, the ALJs </w:t>
      </w:r>
      <w:r w:rsidR="004D4740">
        <w:rPr>
          <w:sz w:val="26"/>
          <w:szCs w:val="26"/>
        </w:rPr>
        <w:t xml:space="preserve">recommended that this proceeding be remanded to the OALJ for further hearings, as deemed necessary, consistent with the conclusions they reached in their Recommended Decision.  </w:t>
      </w:r>
      <w:r w:rsidR="006C4DF4">
        <w:rPr>
          <w:sz w:val="26"/>
          <w:szCs w:val="26"/>
        </w:rPr>
        <w:t>R.D. at 25-26</w:t>
      </w:r>
      <w:r w:rsidR="004D4740">
        <w:rPr>
          <w:sz w:val="26"/>
          <w:szCs w:val="26"/>
        </w:rPr>
        <w:t>, 31</w:t>
      </w:r>
      <w:r w:rsidR="006C4DF4">
        <w:rPr>
          <w:sz w:val="26"/>
          <w:szCs w:val="26"/>
        </w:rPr>
        <w:t>.</w:t>
      </w:r>
    </w:p>
    <w:p w14:paraId="6575AC76" w14:textId="77777777" w:rsidR="00C12665" w:rsidRPr="001471C8" w:rsidRDefault="00C12665" w:rsidP="00217B05">
      <w:pPr>
        <w:widowControl/>
        <w:spacing w:line="360" w:lineRule="auto"/>
        <w:ind w:firstLine="1440"/>
        <w:contextualSpacing/>
        <w:rPr>
          <w:rStyle w:val="Hyperlink"/>
          <w:color w:val="auto"/>
          <w:sz w:val="26"/>
          <w:szCs w:val="26"/>
          <w:u w:val="none"/>
        </w:rPr>
      </w:pPr>
    </w:p>
    <w:p w14:paraId="744ABC6C" w14:textId="77777777" w:rsidR="00571329" w:rsidRPr="001471C8" w:rsidRDefault="00571329" w:rsidP="00217B05">
      <w:pPr>
        <w:pStyle w:val="Heading2"/>
        <w:widowControl/>
        <w:numPr>
          <w:ilvl w:val="0"/>
          <w:numId w:val="10"/>
        </w:numPr>
        <w:spacing w:before="0" w:line="360" w:lineRule="auto"/>
        <w:ind w:left="720"/>
        <w:contextualSpacing/>
        <w:rPr>
          <w:rFonts w:ascii="Times New Roman" w:hAnsi="Times New Roman" w:cs="Times New Roman"/>
          <w:b/>
          <w:bCs/>
          <w:color w:val="auto"/>
        </w:rPr>
      </w:pPr>
      <w:bookmarkStart w:id="14" w:name="_Toc91762310"/>
      <w:bookmarkStart w:id="15" w:name="_Hlk16597015"/>
      <w:bookmarkStart w:id="16" w:name="_Toc85521261"/>
      <w:r w:rsidRPr="001471C8">
        <w:rPr>
          <w:rFonts w:ascii="Times New Roman" w:hAnsi="Times New Roman" w:cs="Times New Roman"/>
          <w:b/>
          <w:bCs/>
          <w:color w:val="auto"/>
        </w:rPr>
        <w:t>PTA Petition and Motion</w:t>
      </w:r>
      <w:bookmarkEnd w:id="14"/>
    </w:p>
    <w:bookmarkEnd w:id="15"/>
    <w:p w14:paraId="722B6E19" w14:textId="77777777" w:rsidR="00571329" w:rsidRPr="001471C8" w:rsidRDefault="00571329" w:rsidP="00217B05">
      <w:pPr>
        <w:keepNext/>
        <w:keepLines/>
        <w:widowControl/>
        <w:spacing w:line="360" w:lineRule="auto"/>
        <w:ind w:firstLine="1440"/>
        <w:contextualSpacing/>
        <w:rPr>
          <w:sz w:val="26"/>
          <w:szCs w:val="26"/>
        </w:rPr>
      </w:pPr>
    </w:p>
    <w:p w14:paraId="072BA075" w14:textId="77777777" w:rsidR="00571329" w:rsidRPr="001471C8" w:rsidRDefault="00571329" w:rsidP="00217B05">
      <w:pPr>
        <w:pStyle w:val="Heading3"/>
        <w:widowControl/>
        <w:numPr>
          <w:ilvl w:val="0"/>
          <w:numId w:val="1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17" w:name="_Toc91762311"/>
      <w:r w:rsidRPr="001471C8">
        <w:rPr>
          <w:rStyle w:val="Hyperlink"/>
          <w:rFonts w:ascii="Times New Roman" w:hAnsi="Times New Roman" w:cs="Times New Roman"/>
          <w:b/>
          <w:bCs/>
          <w:color w:val="auto"/>
          <w:sz w:val="26"/>
          <w:szCs w:val="26"/>
          <w:u w:val="none"/>
        </w:rPr>
        <w:t>Legal Standards</w:t>
      </w:r>
      <w:bookmarkEnd w:id="17"/>
    </w:p>
    <w:p w14:paraId="2FB76738" w14:textId="77777777" w:rsidR="00571329" w:rsidRPr="001471C8" w:rsidRDefault="00571329" w:rsidP="00217B05">
      <w:pPr>
        <w:keepNext/>
        <w:keepLines/>
        <w:widowControl/>
        <w:spacing w:line="360" w:lineRule="auto"/>
        <w:ind w:firstLine="1440"/>
        <w:contextualSpacing/>
        <w:rPr>
          <w:sz w:val="26"/>
          <w:szCs w:val="26"/>
        </w:rPr>
      </w:pPr>
    </w:p>
    <w:p w14:paraId="29FFAA75" w14:textId="66ED1D4E" w:rsidR="00571329" w:rsidRDefault="00571329" w:rsidP="00217B05">
      <w:pPr>
        <w:widowControl/>
        <w:spacing w:line="360" w:lineRule="auto"/>
        <w:ind w:firstLine="1440"/>
        <w:contextualSpacing/>
        <w:rPr>
          <w:sz w:val="26"/>
          <w:szCs w:val="26"/>
        </w:rPr>
      </w:pPr>
      <w:r>
        <w:rPr>
          <w:sz w:val="26"/>
          <w:szCs w:val="26"/>
        </w:rPr>
        <w:t xml:space="preserve">The PTA filed its Petition and Motion pursuant to the Commission’s Regulations at 52 Pa Code </w:t>
      </w:r>
      <w:r w:rsidRPr="00B32B86">
        <w:rPr>
          <w:sz w:val="26"/>
          <w:szCs w:val="26"/>
        </w:rPr>
        <w:t>§§</w:t>
      </w:r>
      <w:r>
        <w:rPr>
          <w:sz w:val="26"/>
          <w:szCs w:val="26"/>
        </w:rPr>
        <w:t> </w:t>
      </w:r>
      <w:r w:rsidRPr="00B32B86">
        <w:rPr>
          <w:sz w:val="26"/>
          <w:szCs w:val="26"/>
        </w:rPr>
        <w:t>5.71-5.7</w:t>
      </w:r>
      <w:r w:rsidR="00970D10">
        <w:rPr>
          <w:sz w:val="26"/>
          <w:szCs w:val="26"/>
        </w:rPr>
        <w:t>6</w:t>
      </w:r>
      <w:r w:rsidRPr="00B32B86">
        <w:rPr>
          <w:sz w:val="26"/>
          <w:szCs w:val="26"/>
        </w:rPr>
        <w:t xml:space="preserve"> and §</w:t>
      </w:r>
      <w:r>
        <w:rPr>
          <w:sz w:val="26"/>
          <w:szCs w:val="26"/>
        </w:rPr>
        <w:t> </w:t>
      </w:r>
      <w:r w:rsidRPr="00B32B86">
        <w:rPr>
          <w:sz w:val="26"/>
          <w:szCs w:val="26"/>
        </w:rPr>
        <w:t>5.103</w:t>
      </w:r>
      <w:r>
        <w:rPr>
          <w:sz w:val="26"/>
          <w:szCs w:val="26"/>
        </w:rPr>
        <w:t xml:space="preserve">.  </w:t>
      </w:r>
      <w:r w:rsidRPr="00014CB7">
        <w:rPr>
          <w:sz w:val="26"/>
          <w:szCs w:val="26"/>
        </w:rPr>
        <w:t>A petition to intervene may be filed by a person “claiming an interest of such nature that intervention is necessary or appropriate to the administration of a statute under which the proceeding is brought.” 52</w:t>
      </w:r>
      <w:r w:rsidR="0056511D">
        <w:rPr>
          <w:sz w:val="26"/>
          <w:szCs w:val="26"/>
        </w:rPr>
        <w:t> </w:t>
      </w:r>
      <w:r w:rsidRPr="00014CB7">
        <w:rPr>
          <w:sz w:val="26"/>
          <w:szCs w:val="26"/>
        </w:rPr>
        <w:t xml:space="preserve">Pa. Code § 5.72(a). </w:t>
      </w:r>
      <w:r>
        <w:rPr>
          <w:sz w:val="26"/>
          <w:szCs w:val="26"/>
        </w:rPr>
        <w:t xml:space="preserve"> </w:t>
      </w:r>
      <w:r w:rsidRPr="00014CB7">
        <w:rPr>
          <w:sz w:val="26"/>
          <w:szCs w:val="26"/>
        </w:rPr>
        <w:t xml:space="preserve">A petition for intervention must meet the Section 5.72 eligibility criteria and be requested in a timely fashion. </w:t>
      </w:r>
      <w:r>
        <w:rPr>
          <w:sz w:val="26"/>
          <w:szCs w:val="26"/>
        </w:rPr>
        <w:t xml:space="preserve"> </w:t>
      </w:r>
      <w:r w:rsidRPr="00014CB7">
        <w:rPr>
          <w:sz w:val="26"/>
          <w:szCs w:val="26"/>
        </w:rPr>
        <w:t>Section 5.74(b) states the deadline by which “[p]</w:t>
      </w:r>
      <w:proofErr w:type="spellStart"/>
      <w:r w:rsidRPr="00014CB7">
        <w:rPr>
          <w:sz w:val="26"/>
          <w:szCs w:val="26"/>
        </w:rPr>
        <w:t>etitions</w:t>
      </w:r>
      <w:proofErr w:type="spellEnd"/>
      <w:r w:rsidRPr="00014CB7">
        <w:rPr>
          <w:sz w:val="26"/>
          <w:szCs w:val="26"/>
        </w:rPr>
        <w:t xml:space="preserve"> to intervene shall be filed,” </w:t>
      </w:r>
      <w:r w:rsidR="00970D10">
        <w:rPr>
          <w:sz w:val="26"/>
          <w:szCs w:val="26"/>
        </w:rPr>
        <w:t xml:space="preserve">is </w:t>
      </w:r>
      <w:r w:rsidRPr="00014CB7">
        <w:rPr>
          <w:sz w:val="26"/>
          <w:szCs w:val="26"/>
        </w:rPr>
        <w:t xml:space="preserve">tied to the type of proceeding and due dates for responsive pleadings. </w:t>
      </w:r>
      <w:r>
        <w:rPr>
          <w:sz w:val="26"/>
          <w:szCs w:val="26"/>
        </w:rPr>
        <w:t xml:space="preserve"> </w:t>
      </w:r>
      <w:r w:rsidRPr="00014CB7">
        <w:rPr>
          <w:sz w:val="26"/>
          <w:szCs w:val="26"/>
        </w:rPr>
        <w:t xml:space="preserve">52 Pa. Code § 5.74(b). </w:t>
      </w:r>
      <w:r>
        <w:rPr>
          <w:sz w:val="26"/>
          <w:szCs w:val="26"/>
        </w:rPr>
        <w:t xml:space="preserve"> </w:t>
      </w:r>
      <w:r w:rsidRPr="00014CB7">
        <w:rPr>
          <w:sz w:val="26"/>
          <w:szCs w:val="26"/>
        </w:rPr>
        <w:t>Once an evidentiary hearing has concluded, “intervention will not be permitted … absent extraordinary circumstances.” 52 Pa. Code § 5.74(c)</w:t>
      </w:r>
      <w:r w:rsidR="00970D10">
        <w:rPr>
          <w:sz w:val="26"/>
          <w:szCs w:val="26"/>
        </w:rPr>
        <w:t>.</w:t>
      </w:r>
    </w:p>
    <w:p w14:paraId="07361DEC" w14:textId="77777777" w:rsidR="00571329" w:rsidRPr="001471C8" w:rsidRDefault="00571329" w:rsidP="00217B05">
      <w:pPr>
        <w:widowControl/>
        <w:spacing w:line="360" w:lineRule="auto"/>
        <w:ind w:firstLine="1440"/>
        <w:contextualSpacing/>
        <w:rPr>
          <w:sz w:val="26"/>
          <w:szCs w:val="26"/>
        </w:rPr>
      </w:pPr>
    </w:p>
    <w:p w14:paraId="422694F7" w14:textId="77777777" w:rsidR="00571329" w:rsidRPr="001471C8" w:rsidRDefault="00571329" w:rsidP="0056511D">
      <w:pPr>
        <w:pStyle w:val="Heading3"/>
        <w:widowControl/>
        <w:numPr>
          <w:ilvl w:val="0"/>
          <w:numId w:val="15"/>
        </w:numPr>
        <w:spacing w:before="0" w:line="360" w:lineRule="auto"/>
        <w:ind w:left="1440" w:hanging="720"/>
        <w:contextualSpacing/>
        <w:rPr>
          <w:rStyle w:val="Hyperlink"/>
          <w:rFonts w:ascii="Times New Roman" w:hAnsi="Times New Roman" w:cs="Times New Roman"/>
          <w:b/>
          <w:bCs/>
          <w:color w:val="auto"/>
          <w:sz w:val="26"/>
          <w:szCs w:val="26"/>
          <w:u w:val="none"/>
        </w:rPr>
      </w:pPr>
      <w:bookmarkStart w:id="18" w:name="_Toc91762312"/>
      <w:r w:rsidRPr="001471C8">
        <w:rPr>
          <w:rStyle w:val="Hyperlink"/>
          <w:rFonts w:ascii="Times New Roman" w:hAnsi="Times New Roman" w:cs="Times New Roman"/>
          <w:b/>
          <w:bCs/>
          <w:color w:val="auto"/>
          <w:sz w:val="26"/>
          <w:szCs w:val="26"/>
          <w:u w:val="none"/>
        </w:rPr>
        <w:t>Positions of the Parties</w:t>
      </w:r>
      <w:bookmarkEnd w:id="18"/>
    </w:p>
    <w:p w14:paraId="5D2DA457" w14:textId="77777777" w:rsidR="00571329" w:rsidRPr="001471C8" w:rsidRDefault="00571329" w:rsidP="0056511D">
      <w:pPr>
        <w:keepNext/>
        <w:keepLines/>
        <w:widowControl/>
        <w:spacing w:line="360" w:lineRule="auto"/>
        <w:ind w:firstLine="1440"/>
        <w:contextualSpacing/>
        <w:rPr>
          <w:rStyle w:val="Hyperlink"/>
          <w:color w:val="auto"/>
          <w:sz w:val="26"/>
          <w:szCs w:val="26"/>
          <w:u w:val="none"/>
        </w:rPr>
      </w:pPr>
    </w:p>
    <w:p w14:paraId="3B068AED" w14:textId="77777777" w:rsidR="00571329" w:rsidRPr="001471C8" w:rsidRDefault="00571329" w:rsidP="0056511D">
      <w:pPr>
        <w:pStyle w:val="Heading4"/>
        <w:keepNext/>
        <w:keepLines/>
        <w:numPr>
          <w:ilvl w:val="0"/>
          <w:numId w:val="13"/>
        </w:numPr>
        <w:spacing w:before="0" w:beforeAutospacing="0" w:after="0" w:afterAutospacing="0" w:line="360" w:lineRule="auto"/>
        <w:ind w:left="2160" w:hanging="720"/>
        <w:contextualSpacing/>
        <w:rPr>
          <w:rStyle w:val="Hyperlink"/>
          <w:color w:val="auto"/>
          <w:sz w:val="26"/>
          <w:szCs w:val="26"/>
          <w:u w:val="none"/>
        </w:rPr>
      </w:pPr>
      <w:r w:rsidRPr="001471C8">
        <w:rPr>
          <w:rStyle w:val="Hyperlink"/>
          <w:color w:val="auto"/>
          <w:sz w:val="26"/>
          <w:szCs w:val="26"/>
          <w:u w:val="none"/>
        </w:rPr>
        <w:t>PTA Petition and PTA Motion</w:t>
      </w:r>
    </w:p>
    <w:p w14:paraId="050C8077" w14:textId="77777777" w:rsidR="00571329" w:rsidRPr="001471C8" w:rsidRDefault="00571329" w:rsidP="0056511D">
      <w:pPr>
        <w:keepNext/>
        <w:keepLines/>
        <w:widowControl/>
        <w:spacing w:line="360" w:lineRule="auto"/>
        <w:ind w:firstLine="1440"/>
        <w:contextualSpacing/>
        <w:rPr>
          <w:rStyle w:val="Hyperlink"/>
          <w:color w:val="auto"/>
          <w:sz w:val="26"/>
          <w:szCs w:val="26"/>
          <w:u w:val="none"/>
        </w:rPr>
      </w:pPr>
    </w:p>
    <w:p w14:paraId="01697753" w14:textId="7D4DAC8F" w:rsidR="00DE3B45" w:rsidRPr="00DE3B45" w:rsidRDefault="00DE3B45" w:rsidP="0056511D">
      <w:pPr>
        <w:widowControl/>
        <w:spacing w:line="360" w:lineRule="auto"/>
        <w:ind w:firstLine="1440"/>
        <w:contextualSpacing/>
        <w:rPr>
          <w:rFonts w:eastAsia="Calibri"/>
          <w:sz w:val="26"/>
          <w:szCs w:val="26"/>
        </w:rPr>
      </w:pPr>
      <w:r w:rsidRPr="00DE3B45">
        <w:rPr>
          <w:rFonts w:eastAsia="Calibri"/>
          <w:sz w:val="26"/>
          <w:szCs w:val="26"/>
        </w:rPr>
        <w:t>In its Petition, the PTA submits that the Commission’s Regulations at 52</w:t>
      </w:r>
      <w:r w:rsidR="0056511D">
        <w:rPr>
          <w:rFonts w:eastAsia="Calibri"/>
          <w:sz w:val="26"/>
          <w:szCs w:val="26"/>
        </w:rPr>
        <w:t> </w:t>
      </w:r>
      <w:r w:rsidRPr="00DE3B45">
        <w:rPr>
          <w:rFonts w:eastAsia="Calibri"/>
          <w:sz w:val="26"/>
          <w:szCs w:val="26"/>
        </w:rPr>
        <w:t>Pa. Code §§ 5.72(a)(2)-(3) allow intervention in a proceeding where a person, including a corporation or an association, has an interest which may be directly affected and which is not adequately represented by existing parties, and as to which the person may be bound by the action of the Commission in the proceeding.  The PTA states that intervention is also permitted where participation of the person may be in the public interest.  The PTA continues that the Commission’s Regulations at 52 Pa. Code § 5.74(c) provide that “[e]</w:t>
      </w:r>
      <w:proofErr w:type="spellStart"/>
      <w:r w:rsidRPr="00DE3B45">
        <w:rPr>
          <w:rFonts w:eastAsia="Calibri"/>
          <w:sz w:val="26"/>
          <w:szCs w:val="26"/>
        </w:rPr>
        <w:t>xcept</w:t>
      </w:r>
      <w:proofErr w:type="spellEnd"/>
      <w:r w:rsidRPr="00DE3B45">
        <w:rPr>
          <w:rFonts w:eastAsia="Calibri"/>
          <w:sz w:val="26"/>
          <w:szCs w:val="26"/>
        </w:rPr>
        <w:t xml:space="preserve"> with regard to statutory advocates…intervention will not be permitted once an evidentiary hearing has concluded absent extraordinary circumstances.”  According to the PTA, there are extraordinary circumstances in this proceeding that warrant its intervention.  PTA Petition at 5-6.</w:t>
      </w:r>
    </w:p>
    <w:p w14:paraId="461356FC" w14:textId="77777777" w:rsidR="00DE3B45" w:rsidRPr="00DE3B45" w:rsidRDefault="00DE3B45" w:rsidP="00217B05">
      <w:pPr>
        <w:widowControl/>
        <w:spacing w:line="360" w:lineRule="auto"/>
        <w:ind w:firstLine="1440"/>
        <w:contextualSpacing/>
        <w:rPr>
          <w:rFonts w:eastAsia="Calibri"/>
          <w:sz w:val="26"/>
          <w:szCs w:val="26"/>
        </w:rPr>
      </w:pPr>
    </w:p>
    <w:p w14:paraId="6EFCE55A" w14:textId="12C4A8B0" w:rsidR="00DE3B45" w:rsidRPr="00DE3B45" w:rsidRDefault="00DE3B45" w:rsidP="00217B05">
      <w:pPr>
        <w:widowControl/>
        <w:spacing w:line="360" w:lineRule="auto"/>
        <w:ind w:firstLine="1440"/>
        <w:contextualSpacing/>
        <w:rPr>
          <w:rFonts w:eastAsia="Calibri"/>
          <w:sz w:val="26"/>
          <w:szCs w:val="26"/>
        </w:rPr>
      </w:pPr>
      <w:r w:rsidRPr="00DE3B45">
        <w:rPr>
          <w:rFonts w:eastAsia="Calibri"/>
          <w:sz w:val="26"/>
          <w:szCs w:val="26"/>
        </w:rPr>
        <w:t xml:space="preserve">The PTA argues that although it has not participated in this proceeding, all of its member companies have their own pending PSI/SPI filings against which the OCA has filed </w:t>
      </w:r>
      <w:r w:rsidR="0094368E">
        <w:rPr>
          <w:rFonts w:eastAsia="Calibri"/>
          <w:sz w:val="26"/>
          <w:szCs w:val="26"/>
        </w:rPr>
        <w:t xml:space="preserve">formal </w:t>
      </w:r>
      <w:r w:rsidRPr="00DE3B45">
        <w:rPr>
          <w:rFonts w:eastAsia="Calibri"/>
          <w:sz w:val="26"/>
          <w:szCs w:val="26"/>
        </w:rPr>
        <w:t>complaints.  Accordingly, the PTA claims that the legal issues involved in this proceeding regarding whether the tax changes occurring under the TCJA should be classified as an exogenous event and reflected in price cap regulated companies’ rates will directly impact the interests of the PTA member companies.  PTA Petition at 1-2, 6.</w:t>
      </w:r>
    </w:p>
    <w:p w14:paraId="76F790E6" w14:textId="77777777" w:rsidR="00DE3B45" w:rsidRPr="00DE3B45" w:rsidRDefault="00DE3B45" w:rsidP="00217B05">
      <w:pPr>
        <w:widowControl/>
        <w:spacing w:line="360" w:lineRule="auto"/>
        <w:ind w:firstLine="1440"/>
        <w:contextualSpacing/>
        <w:rPr>
          <w:rFonts w:eastAsia="Calibri"/>
          <w:sz w:val="26"/>
          <w:szCs w:val="26"/>
        </w:rPr>
      </w:pPr>
    </w:p>
    <w:p w14:paraId="127EB447" w14:textId="4B805861" w:rsidR="00DE3B45" w:rsidRPr="00DE3B45" w:rsidRDefault="00DE3B45" w:rsidP="00217B05">
      <w:pPr>
        <w:widowControl/>
        <w:spacing w:line="360" w:lineRule="auto"/>
        <w:ind w:firstLine="1440"/>
        <w:contextualSpacing/>
        <w:rPr>
          <w:rFonts w:eastAsia="Calibri"/>
          <w:sz w:val="26"/>
          <w:szCs w:val="26"/>
        </w:rPr>
      </w:pPr>
      <w:r w:rsidRPr="00DE3B45">
        <w:rPr>
          <w:rFonts w:eastAsia="Calibri"/>
          <w:sz w:val="26"/>
          <w:szCs w:val="26"/>
        </w:rPr>
        <w:t>The PTA</w:t>
      </w:r>
      <w:r w:rsidR="00261492">
        <w:rPr>
          <w:rFonts w:eastAsia="Calibri"/>
          <w:sz w:val="26"/>
          <w:szCs w:val="26"/>
        </w:rPr>
        <w:t xml:space="preserve"> also</w:t>
      </w:r>
      <w:r w:rsidRPr="00DE3B45">
        <w:rPr>
          <w:rFonts w:eastAsia="Calibri"/>
          <w:sz w:val="26"/>
          <w:szCs w:val="26"/>
        </w:rPr>
        <w:t xml:space="preserve"> claims that intervention will assist the Commission in developing a full record in response to the ALJs’ recommendation that this proceeding be remanded.  In the PTA’s view, the ALJs’ recommendation has implications that will broadly impact all of its member companies.  </w:t>
      </w:r>
      <w:r w:rsidR="0004007C">
        <w:rPr>
          <w:rFonts w:eastAsia="Calibri"/>
          <w:sz w:val="26"/>
          <w:szCs w:val="26"/>
        </w:rPr>
        <w:t>Thus, the</w:t>
      </w:r>
      <w:r w:rsidRPr="00DE3B45">
        <w:rPr>
          <w:rFonts w:eastAsia="Calibri"/>
          <w:sz w:val="26"/>
          <w:szCs w:val="26"/>
        </w:rPr>
        <w:t xml:space="preserve"> PTA insists that intervention is necessary to prevent prejudice and to accord due process to its member companies</w:t>
      </w:r>
      <w:r w:rsidR="004C5B22">
        <w:rPr>
          <w:rFonts w:eastAsia="Calibri"/>
          <w:sz w:val="26"/>
          <w:szCs w:val="26"/>
        </w:rPr>
        <w:t xml:space="preserve">. </w:t>
      </w:r>
      <w:r w:rsidR="00FA708C">
        <w:rPr>
          <w:rFonts w:eastAsia="Calibri"/>
          <w:sz w:val="26"/>
          <w:szCs w:val="26"/>
        </w:rPr>
        <w:t>Furthermore, t</w:t>
      </w:r>
      <w:r w:rsidR="004C5B22">
        <w:rPr>
          <w:rFonts w:eastAsia="Calibri"/>
          <w:sz w:val="26"/>
          <w:szCs w:val="26"/>
        </w:rPr>
        <w:t xml:space="preserve">he PTA </w:t>
      </w:r>
      <w:r w:rsidR="00301467">
        <w:rPr>
          <w:rFonts w:eastAsia="Calibri"/>
          <w:sz w:val="26"/>
          <w:szCs w:val="26"/>
        </w:rPr>
        <w:t>argues</w:t>
      </w:r>
      <w:r w:rsidR="004C5B22">
        <w:rPr>
          <w:rFonts w:eastAsia="Calibri"/>
          <w:sz w:val="26"/>
          <w:szCs w:val="26"/>
        </w:rPr>
        <w:t xml:space="preserve"> that the Commission has stayed </w:t>
      </w:r>
      <w:r w:rsidRPr="00DE3B45">
        <w:rPr>
          <w:rFonts w:eastAsia="Calibri"/>
          <w:sz w:val="26"/>
          <w:szCs w:val="26"/>
        </w:rPr>
        <w:t xml:space="preserve">its own investigation and </w:t>
      </w:r>
      <w:r w:rsidR="004C5B22">
        <w:rPr>
          <w:rFonts w:eastAsia="Calibri"/>
          <w:sz w:val="26"/>
          <w:szCs w:val="26"/>
        </w:rPr>
        <w:t xml:space="preserve">has </w:t>
      </w:r>
      <w:r w:rsidRPr="00DE3B45">
        <w:rPr>
          <w:rFonts w:eastAsia="Calibri"/>
          <w:sz w:val="26"/>
          <w:szCs w:val="26"/>
        </w:rPr>
        <w:t>defe</w:t>
      </w:r>
      <w:r w:rsidR="00301467">
        <w:rPr>
          <w:rFonts w:eastAsia="Calibri"/>
          <w:sz w:val="26"/>
          <w:szCs w:val="26"/>
        </w:rPr>
        <w:t>r</w:t>
      </w:r>
      <w:r w:rsidRPr="00DE3B45">
        <w:rPr>
          <w:rFonts w:eastAsia="Calibri"/>
          <w:sz w:val="26"/>
          <w:szCs w:val="26"/>
        </w:rPr>
        <w:t>re</w:t>
      </w:r>
      <w:r w:rsidR="004C5B22">
        <w:rPr>
          <w:rFonts w:eastAsia="Calibri"/>
          <w:sz w:val="26"/>
          <w:szCs w:val="26"/>
        </w:rPr>
        <w:t>d</w:t>
      </w:r>
      <w:r w:rsidRPr="00DE3B45">
        <w:rPr>
          <w:rFonts w:eastAsia="Calibri"/>
          <w:sz w:val="26"/>
          <w:szCs w:val="26"/>
        </w:rPr>
        <w:t xml:space="preserve"> to a multiple set of separate dockets involving numerous ILECS and price cap filings as the proper vehicle for resolution.  </w:t>
      </w:r>
      <w:r w:rsidR="00211370">
        <w:rPr>
          <w:rFonts w:eastAsia="Calibri"/>
          <w:sz w:val="26"/>
          <w:szCs w:val="26"/>
        </w:rPr>
        <w:t>The PTA insists</w:t>
      </w:r>
      <w:r w:rsidRPr="00DE3B45">
        <w:rPr>
          <w:rFonts w:eastAsia="Calibri"/>
          <w:sz w:val="26"/>
          <w:szCs w:val="26"/>
        </w:rPr>
        <w:t xml:space="preserve"> that its interests in this proceeding are unique from and not adequately represented by other parties that may seek to intervene, including individual ILECs.  </w:t>
      </w:r>
      <w:r w:rsidR="001444DC">
        <w:rPr>
          <w:rFonts w:eastAsia="Calibri"/>
          <w:sz w:val="26"/>
          <w:szCs w:val="26"/>
        </w:rPr>
        <w:t>For this reason, the PTA contends</w:t>
      </w:r>
      <w:r w:rsidR="002206E8">
        <w:rPr>
          <w:rFonts w:eastAsia="Calibri"/>
          <w:sz w:val="26"/>
          <w:szCs w:val="26"/>
        </w:rPr>
        <w:t xml:space="preserve"> that </w:t>
      </w:r>
      <w:r w:rsidR="008E4166">
        <w:rPr>
          <w:rFonts w:eastAsia="Calibri"/>
          <w:sz w:val="26"/>
          <w:szCs w:val="26"/>
        </w:rPr>
        <w:t>there are</w:t>
      </w:r>
      <w:r w:rsidRPr="00DE3B45">
        <w:rPr>
          <w:rFonts w:eastAsia="Calibri"/>
          <w:sz w:val="26"/>
          <w:szCs w:val="26"/>
        </w:rPr>
        <w:t xml:space="preserve"> unusual circumstances </w:t>
      </w:r>
      <w:r w:rsidR="008E4166">
        <w:rPr>
          <w:rFonts w:eastAsia="Calibri"/>
          <w:sz w:val="26"/>
          <w:szCs w:val="26"/>
        </w:rPr>
        <w:t>such that its</w:t>
      </w:r>
      <w:r w:rsidRPr="00DE3B45">
        <w:rPr>
          <w:rFonts w:eastAsia="Calibri"/>
          <w:sz w:val="26"/>
          <w:szCs w:val="26"/>
        </w:rPr>
        <w:t xml:space="preserve"> involvement at this</w:t>
      </w:r>
      <w:r w:rsidR="008E4166">
        <w:rPr>
          <w:rFonts w:eastAsia="Calibri"/>
          <w:sz w:val="26"/>
          <w:szCs w:val="26"/>
        </w:rPr>
        <w:t xml:space="preserve"> late</w:t>
      </w:r>
      <w:r w:rsidRPr="00DE3B45">
        <w:rPr>
          <w:rFonts w:eastAsia="Calibri"/>
          <w:sz w:val="26"/>
          <w:szCs w:val="26"/>
        </w:rPr>
        <w:t xml:space="preserve"> stage of the proceeding</w:t>
      </w:r>
      <w:r w:rsidR="008E4166">
        <w:rPr>
          <w:rFonts w:eastAsia="Calibri"/>
          <w:sz w:val="26"/>
          <w:szCs w:val="26"/>
        </w:rPr>
        <w:t xml:space="preserve"> is </w:t>
      </w:r>
      <w:r w:rsidR="009F2509">
        <w:rPr>
          <w:rFonts w:eastAsia="Calibri"/>
          <w:sz w:val="26"/>
          <w:szCs w:val="26"/>
        </w:rPr>
        <w:t>warranted</w:t>
      </w:r>
      <w:r w:rsidRPr="00DE3B45">
        <w:rPr>
          <w:rFonts w:eastAsia="Calibri"/>
          <w:sz w:val="26"/>
          <w:szCs w:val="26"/>
        </w:rPr>
        <w:t>.  PTA Petition at 6-7.</w:t>
      </w:r>
    </w:p>
    <w:p w14:paraId="21D6D0DA" w14:textId="77777777" w:rsidR="00DE3B45" w:rsidRPr="00DE3B45" w:rsidRDefault="00DE3B45" w:rsidP="00217B05">
      <w:pPr>
        <w:widowControl/>
        <w:spacing w:line="360" w:lineRule="auto"/>
        <w:ind w:firstLine="1440"/>
        <w:contextualSpacing/>
        <w:rPr>
          <w:rFonts w:eastAsia="Calibri"/>
          <w:sz w:val="26"/>
          <w:szCs w:val="26"/>
        </w:rPr>
      </w:pPr>
    </w:p>
    <w:p w14:paraId="4916F27E" w14:textId="7798AB5A" w:rsidR="00DE3B45" w:rsidRPr="00DE3B45" w:rsidRDefault="00FA708C" w:rsidP="00217B05">
      <w:pPr>
        <w:widowControl/>
        <w:spacing w:line="360" w:lineRule="auto"/>
        <w:ind w:firstLine="1440"/>
        <w:contextualSpacing/>
        <w:rPr>
          <w:rFonts w:eastAsia="Calibri"/>
          <w:sz w:val="26"/>
          <w:szCs w:val="26"/>
        </w:rPr>
      </w:pPr>
      <w:r>
        <w:rPr>
          <w:rFonts w:eastAsia="Calibri"/>
          <w:sz w:val="26"/>
          <w:szCs w:val="26"/>
        </w:rPr>
        <w:t>Next, t</w:t>
      </w:r>
      <w:r w:rsidR="00DE3B45" w:rsidRPr="00DE3B45">
        <w:rPr>
          <w:rFonts w:eastAsia="Calibri"/>
          <w:sz w:val="26"/>
          <w:szCs w:val="26"/>
        </w:rPr>
        <w:t xml:space="preserve">he PTA asserts that intervention is in the public interest because its perspective on the </w:t>
      </w:r>
      <w:r w:rsidR="00EA4EA3">
        <w:rPr>
          <w:rFonts w:eastAsia="Calibri"/>
          <w:sz w:val="26"/>
          <w:szCs w:val="26"/>
        </w:rPr>
        <w:t>impact that would result if the Recommended Decision is adopted</w:t>
      </w:r>
      <w:r w:rsidR="00DE3B45" w:rsidRPr="00DE3B45">
        <w:rPr>
          <w:rFonts w:eastAsia="Calibri"/>
          <w:sz w:val="26"/>
          <w:szCs w:val="26"/>
        </w:rPr>
        <w:t xml:space="preserve"> provides valuable information for the Commission and will enable the Commission to have a broader view of this matter to ensure that its final decision serves the public interest.  The PTA </w:t>
      </w:r>
      <w:r w:rsidR="00655C5F">
        <w:rPr>
          <w:rFonts w:eastAsia="Calibri"/>
          <w:sz w:val="26"/>
          <w:szCs w:val="26"/>
        </w:rPr>
        <w:t>avers</w:t>
      </w:r>
      <w:r w:rsidR="00DE3B45" w:rsidRPr="00DE3B45">
        <w:rPr>
          <w:rFonts w:eastAsia="Calibri"/>
          <w:sz w:val="26"/>
          <w:szCs w:val="26"/>
        </w:rPr>
        <w:t xml:space="preserve"> that it had reasons for not previously intervening in this proceeding prior to the issuance of the Recommended Decision.  Namely, the PTA claims that prior to the issuance of the Recommended Decision, this matter involved only CenturyLink, specifically.  However, the PTA continues</w:t>
      </w:r>
      <w:r w:rsidR="00D862BA">
        <w:rPr>
          <w:rFonts w:eastAsia="Calibri"/>
          <w:sz w:val="26"/>
          <w:szCs w:val="26"/>
        </w:rPr>
        <w:t>,</w:t>
      </w:r>
      <w:r w:rsidR="00DE3B45" w:rsidRPr="00DE3B45">
        <w:rPr>
          <w:rFonts w:eastAsia="Calibri"/>
          <w:sz w:val="26"/>
          <w:szCs w:val="26"/>
        </w:rPr>
        <w:t xml:space="preserve"> the ALJs’ recommendation has changed this dynamic and has now implicated the interests of ILECs </w:t>
      </w:r>
      <w:r w:rsidR="008E4CE6">
        <w:rPr>
          <w:rFonts w:eastAsia="Calibri"/>
          <w:sz w:val="26"/>
          <w:szCs w:val="26"/>
        </w:rPr>
        <w:t xml:space="preserve">governed </w:t>
      </w:r>
      <w:r w:rsidR="00DE3B45" w:rsidRPr="00DE3B45">
        <w:rPr>
          <w:rFonts w:eastAsia="Calibri"/>
          <w:sz w:val="26"/>
          <w:szCs w:val="26"/>
        </w:rPr>
        <w:t xml:space="preserve">under </w:t>
      </w:r>
      <w:r w:rsidR="008E4CE6">
        <w:rPr>
          <w:rFonts w:eastAsia="Calibri"/>
          <w:sz w:val="26"/>
          <w:szCs w:val="26"/>
        </w:rPr>
        <w:t xml:space="preserve">Chapter 30 </w:t>
      </w:r>
      <w:r w:rsidR="00DE3B45" w:rsidRPr="00DE3B45">
        <w:rPr>
          <w:rFonts w:eastAsia="Calibri"/>
          <w:sz w:val="26"/>
          <w:szCs w:val="26"/>
        </w:rPr>
        <w:t xml:space="preserve">price cap </w:t>
      </w:r>
      <w:r w:rsidR="008E4CE6">
        <w:rPr>
          <w:rFonts w:eastAsia="Calibri"/>
          <w:sz w:val="26"/>
          <w:szCs w:val="26"/>
        </w:rPr>
        <w:t xml:space="preserve">alternative </w:t>
      </w:r>
      <w:r w:rsidR="00DE3B45" w:rsidRPr="00DE3B45">
        <w:rPr>
          <w:rFonts w:eastAsia="Calibri"/>
          <w:sz w:val="26"/>
          <w:szCs w:val="26"/>
        </w:rPr>
        <w:t>regulation beyond that of just CenturyLink.  Thus, the PTA submits that while earlier involvement in this matter did not seem appropriate, necessary</w:t>
      </w:r>
      <w:r w:rsidR="00AC24A2">
        <w:rPr>
          <w:rFonts w:eastAsia="Calibri"/>
          <w:sz w:val="26"/>
          <w:szCs w:val="26"/>
        </w:rPr>
        <w:t>,</w:t>
      </w:r>
      <w:r w:rsidR="00DE3B45" w:rsidRPr="00DE3B45">
        <w:rPr>
          <w:rFonts w:eastAsia="Calibri"/>
          <w:sz w:val="26"/>
          <w:szCs w:val="26"/>
        </w:rPr>
        <w:t xml:space="preserve"> or cost effective, such intervention is now necessitated in light of the ALJs’ recommendation.  Accordingly, the PTA requests that the Commission grant its Petition for the purpose of considering its Exceptions.  The PTA states that its Exceptions explain its position as to why TCJA is not an exogenous event, contrary to the finding of the ALJs.  PTA Petition at 1</w:t>
      </w:r>
      <w:r w:rsidR="00DE3B45" w:rsidRPr="00DE3B45">
        <w:rPr>
          <w:rFonts w:eastAsia="Calibri"/>
          <w:sz w:val="26"/>
          <w:szCs w:val="26"/>
        </w:rPr>
        <w:noBreakHyphen/>
        <w:t>2, 7-8.</w:t>
      </w:r>
    </w:p>
    <w:p w14:paraId="1061A790" w14:textId="77777777" w:rsidR="00DE3B45" w:rsidRPr="00DE3B45" w:rsidRDefault="00DE3B45" w:rsidP="00217B05">
      <w:pPr>
        <w:widowControl/>
        <w:spacing w:line="360" w:lineRule="auto"/>
        <w:ind w:firstLine="1440"/>
        <w:contextualSpacing/>
        <w:rPr>
          <w:rFonts w:eastAsia="Calibri"/>
          <w:sz w:val="26"/>
          <w:szCs w:val="26"/>
        </w:rPr>
      </w:pPr>
    </w:p>
    <w:p w14:paraId="0D660659" w14:textId="2827424A" w:rsidR="00DE3B45" w:rsidRPr="00DE3B45" w:rsidRDefault="00DE3B45" w:rsidP="00217B05">
      <w:pPr>
        <w:widowControl/>
        <w:spacing w:line="360" w:lineRule="auto"/>
        <w:ind w:firstLine="1440"/>
        <w:contextualSpacing/>
        <w:rPr>
          <w:rFonts w:eastAsia="Calibri"/>
          <w:sz w:val="26"/>
          <w:szCs w:val="26"/>
        </w:rPr>
      </w:pPr>
      <w:r w:rsidRPr="00DE3B45">
        <w:rPr>
          <w:rFonts w:eastAsia="Calibri"/>
          <w:sz w:val="26"/>
          <w:szCs w:val="26"/>
        </w:rPr>
        <w:t xml:space="preserve">In its Motion, the PTA requests that if the Commission denies its Petition, then that it grant the PTA’s alternative request for leave to accept Exceptions.  According to the PTA, the Commission has previously considered Exceptions filed by a non-party to a proceeding after the issuance of an ALJ’s initial or recommended decision.  Namely, the PTA cites to </w:t>
      </w:r>
      <w:r w:rsidRPr="00DE3B45">
        <w:rPr>
          <w:rFonts w:eastAsia="Calibri"/>
          <w:i/>
          <w:iCs/>
          <w:sz w:val="26"/>
          <w:szCs w:val="26"/>
        </w:rPr>
        <w:t>Application of Sprint Communications Company</w:t>
      </w:r>
      <w:r w:rsidRPr="00DE3B45">
        <w:rPr>
          <w:rFonts w:eastAsia="Calibri"/>
          <w:sz w:val="26"/>
          <w:szCs w:val="26"/>
        </w:rPr>
        <w:t>, Docket No. A</w:t>
      </w:r>
      <w:r w:rsidR="0056511D">
        <w:rPr>
          <w:rFonts w:eastAsia="Calibri"/>
          <w:sz w:val="26"/>
          <w:szCs w:val="26"/>
        </w:rPr>
        <w:noBreakHyphen/>
      </w:r>
      <w:r w:rsidRPr="00DE3B45">
        <w:rPr>
          <w:rFonts w:eastAsia="Calibri"/>
          <w:sz w:val="26"/>
          <w:szCs w:val="26"/>
        </w:rPr>
        <w:t xml:space="preserve">310183F0002AMA, </w:t>
      </w:r>
      <w:r w:rsidRPr="00DE3B45">
        <w:rPr>
          <w:rFonts w:eastAsia="Calibri"/>
          <w:i/>
          <w:iCs/>
          <w:sz w:val="26"/>
          <w:szCs w:val="26"/>
        </w:rPr>
        <w:t>et. al</w:t>
      </w:r>
      <w:r w:rsidRPr="00DE3B45">
        <w:rPr>
          <w:rFonts w:eastAsia="Calibri"/>
          <w:sz w:val="26"/>
          <w:szCs w:val="26"/>
        </w:rPr>
        <w:t xml:space="preserve"> (Order entered December 1, 2006) (</w:t>
      </w:r>
      <w:r w:rsidRPr="00DE3B45">
        <w:rPr>
          <w:rFonts w:eastAsia="Calibri"/>
          <w:i/>
          <w:iCs/>
          <w:sz w:val="26"/>
          <w:szCs w:val="26"/>
        </w:rPr>
        <w:t>Sprint Application Order</w:t>
      </w:r>
      <w:r w:rsidRPr="00DE3B45">
        <w:rPr>
          <w:rFonts w:eastAsia="Calibri"/>
          <w:sz w:val="26"/>
          <w:szCs w:val="26"/>
        </w:rPr>
        <w:t xml:space="preserve">) in which the Broadband Cable Association of Pennsylvania (BCAP) filed a Petition to Intervene and Exceptions after having not been a party to the to the underlying litigation or having been granted official party status in the proceeding.  The PTA continues </w:t>
      </w:r>
      <w:r w:rsidR="00C876B0">
        <w:rPr>
          <w:rFonts w:eastAsia="Calibri"/>
          <w:sz w:val="26"/>
          <w:szCs w:val="26"/>
        </w:rPr>
        <w:t>that the</w:t>
      </w:r>
      <w:r w:rsidRPr="00DE3B45">
        <w:rPr>
          <w:rFonts w:eastAsia="Calibri"/>
          <w:sz w:val="26"/>
          <w:szCs w:val="26"/>
        </w:rPr>
        <w:t xml:space="preserve"> Commission</w:t>
      </w:r>
      <w:r w:rsidR="00225D6E">
        <w:rPr>
          <w:rFonts w:eastAsia="Calibri"/>
          <w:sz w:val="26"/>
          <w:szCs w:val="26"/>
        </w:rPr>
        <w:t>,</w:t>
      </w:r>
      <w:r w:rsidRPr="00DE3B45">
        <w:rPr>
          <w:rFonts w:eastAsia="Calibri"/>
          <w:sz w:val="26"/>
          <w:szCs w:val="26"/>
        </w:rPr>
        <w:t xml:space="preserve"> </w:t>
      </w:r>
      <w:r w:rsidR="00C876B0">
        <w:rPr>
          <w:rFonts w:eastAsia="Calibri"/>
          <w:sz w:val="26"/>
          <w:szCs w:val="26"/>
        </w:rPr>
        <w:t xml:space="preserve">nonetheless, </w:t>
      </w:r>
      <w:r w:rsidRPr="00DE3B45">
        <w:rPr>
          <w:rFonts w:eastAsia="Calibri"/>
          <w:sz w:val="26"/>
          <w:szCs w:val="26"/>
        </w:rPr>
        <w:t xml:space="preserve">extensively considered BCAP’s exceptions in resolving the matter.  PTA Motion at 8-9 (citing </w:t>
      </w:r>
      <w:r w:rsidRPr="00DE3B45">
        <w:rPr>
          <w:rFonts w:eastAsia="Calibri"/>
          <w:i/>
          <w:iCs/>
          <w:sz w:val="26"/>
          <w:szCs w:val="26"/>
        </w:rPr>
        <w:t>Sprint Application Order</w:t>
      </w:r>
      <w:r w:rsidRPr="00DE3B45">
        <w:rPr>
          <w:rFonts w:eastAsia="Calibri"/>
          <w:sz w:val="26"/>
          <w:szCs w:val="26"/>
        </w:rPr>
        <w:t xml:space="preserve"> at 13-16, 26</w:t>
      </w:r>
      <w:r w:rsidR="0056511D">
        <w:rPr>
          <w:rFonts w:eastAsia="Calibri"/>
          <w:sz w:val="26"/>
          <w:szCs w:val="26"/>
        </w:rPr>
        <w:noBreakHyphen/>
      </w:r>
      <w:r w:rsidRPr="00DE3B45">
        <w:rPr>
          <w:rFonts w:eastAsia="Calibri"/>
          <w:sz w:val="26"/>
          <w:szCs w:val="26"/>
        </w:rPr>
        <w:t>28, 31-32).</w:t>
      </w:r>
    </w:p>
    <w:p w14:paraId="1E0E3F4E" w14:textId="77777777" w:rsidR="00DE3B45" w:rsidRPr="00DE3B45" w:rsidRDefault="00DE3B45" w:rsidP="00217B05">
      <w:pPr>
        <w:widowControl/>
        <w:spacing w:line="360" w:lineRule="auto"/>
        <w:ind w:firstLine="1440"/>
        <w:contextualSpacing/>
        <w:rPr>
          <w:rFonts w:eastAsia="Calibri"/>
          <w:sz w:val="26"/>
          <w:szCs w:val="26"/>
        </w:rPr>
      </w:pPr>
    </w:p>
    <w:p w14:paraId="239F44F1" w14:textId="222A8C38" w:rsidR="00DE3B45" w:rsidRPr="00DE3B45" w:rsidRDefault="00DE3B45" w:rsidP="00217B05">
      <w:pPr>
        <w:widowControl/>
        <w:spacing w:line="360" w:lineRule="auto"/>
        <w:ind w:firstLine="1440"/>
        <w:contextualSpacing/>
        <w:rPr>
          <w:rFonts w:eastAsia="Calibri"/>
          <w:sz w:val="26"/>
          <w:szCs w:val="26"/>
        </w:rPr>
      </w:pPr>
      <w:r w:rsidRPr="00DE3B45">
        <w:rPr>
          <w:rFonts w:eastAsia="Calibri"/>
          <w:sz w:val="26"/>
          <w:szCs w:val="26"/>
        </w:rPr>
        <w:t>The PTA also submits that the Commission permits the filing of amicus briefs by non</w:t>
      </w:r>
      <w:r w:rsidRPr="00DE3B45">
        <w:rPr>
          <w:rFonts w:eastAsia="Calibri"/>
          <w:sz w:val="26"/>
          <w:szCs w:val="26"/>
        </w:rPr>
        <w:noBreakHyphen/>
        <w:t>parties to a proceeding, pursuant to the Commission’s Regulations at 52</w:t>
      </w:r>
      <w:r w:rsidR="0056511D">
        <w:rPr>
          <w:rFonts w:eastAsia="Calibri"/>
          <w:sz w:val="26"/>
          <w:szCs w:val="26"/>
        </w:rPr>
        <w:t> </w:t>
      </w:r>
      <w:r w:rsidRPr="00DE3B45">
        <w:rPr>
          <w:rFonts w:eastAsia="Calibri"/>
          <w:sz w:val="26"/>
          <w:szCs w:val="26"/>
        </w:rPr>
        <w:t>Pa.</w:t>
      </w:r>
      <w:r w:rsidR="0056511D">
        <w:rPr>
          <w:rFonts w:eastAsia="Calibri"/>
          <w:sz w:val="26"/>
          <w:szCs w:val="26"/>
        </w:rPr>
        <w:t> </w:t>
      </w:r>
      <w:r w:rsidRPr="00DE3B45">
        <w:rPr>
          <w:rFonts w:eastAsia="Calibri"/>
          <w:sz w:val="26"/>
          <w:szCs w:val="26"/>
        </w:rPr>
        <w:t xml:space="preserve">Code § 5.502(e).  </w:t>
      </w:r>
      <w:r w:rsidR="00225D6E">
        <w:rPr>
          <w:rFonts w:eastAsia="Calibri"/>
          <w:sz w:val="26"/>
          <w:szCs w:val="26"/>
        </w:rPr>
        <w:t xml:space="preserve">The PTA posits that </w:t>
      </w:r>
      <w:r w:rsidRPr="00DE3B45">
        <w:rPr>
          <w:rFonts w:eastAsia="Calibri"/>
          <w:sz w:val="26"/>
          <w:szCs w:val="26"/>
        </w:rPr>
        <w:t xml:space="preserve">the Commission appears to recognize that there are instances in which input from a non-party to a proceeding may provide valuable input to the Commission.  The PTA states that although it acknowledges that such amicus rules apply during the briefing stage of a proceeding, briefs were not submitted in this instant proceeding due to the Settlement.  The PTA further argues that if its Exceptions are accepted, the Joint Petitioners will not be prejudiced because these Exceptions have </w:t>
      </w:r>
      <w:r w:rsidR="00E932D6">
        <w:rPr>
          <w:rFonts w:eastAsia="Calibri"/>
          <w:sz w:val="26"/>
          <w:szCs w:val="26"/>
        </w:rPr>
        <w:t xml:space="preserve">been </w:t>
      </w:r>
      <w:r w:rsidRPr="00DE3B45">
        <w:rPr>
          <w:rFonts w:eastAsia="Calibri"/>
          <w:sz w:val="26"/>
          <w:szCs w:val="26"/>
        </w:rPr>
        <w:t>submitted in accordance with the procedural schedule set by the ALJs.  Therefore, the PTA claims that the Joint Petitioners will have an opportunity to file a reply to PTA’s Exceptions.  PTA Motion at 9</w:t>
      </w:r>
      <w:r>
        <w:rPr>
          <w:rFonts w:eastAsia="Calibri"/>
          <w:sz w:val="26"/>
          <w:szCs w:val="26"/>
        </w:rPr>
        <w:t>.</w:t>
      </w:r>
    </w:p>
    <w:p w14:paraId="2F16158C" w14:textId="77777777" w:rsidR="00571329" w:rsidRPr="001471C8" w:rsidRDefault="00571329" w:rsidP="00217B05">
      <w:pPr>
        <w:widowControl/>
        <w:spacing w:line="360" w:lineRule="auto"/>
        <w:ind w:firstLine="1440"/>
        <w:contextualSpacing/>
        <w:rPr>
          <w:sz w:val="26"/>
          <w:szCs w:val="26"/>
        </w:rPr>
      </w:pPr>
    </w:p>
    <w:p w14:paraId="7D456CB4" w14:textId="77777777" w:rsidR="00571329" w:rsidRPr="001471C8" w:rsidRDefault="00571329" w:rsidP="00217B05">
      <w:pPr>
        <w:pStyle w:val="Heading4"/>
        <w:keepNext/>
        <w:keepLines/>
        <w:numPr>
          <w:ilvl w:val="0"/>
          <w:numId w:val="13"/>
        </w:numPr>
        <w:spacing w:before="0" w:beforeAutospacing="0" w:after="0" w:afterAutospacing="0" w:line="360" w:lineRule="auto"/>
        <w:ind w:left="2160" w:hanging="720"/>
        <w:contextualSpacing/>
        <w:rPr>
          <w:sz w:val="26"/>
          <w:szCs w:val="26"/>
        </w:rPr>
      </w:pPr>
      <w:r w:rsidRPr="001471C8">
        <w:rPr>
          <w:sz w:val="26"/>
          <w:szCs w:val="26"/>
        </w:rPr>
        <w:t>OSBA Answer</w:t>
      </w:r>
    </w:p>
    <w:p w14:paraId="6B683537" w14:textId="77777777" w:rsidR="00571329" w:rsidRPr="001471C8" w:rsidRDefault="00571329" w:rsidP="00217B05">
      <w:pPr>
        <w:keepNext/>
        <w:keepLines/>
        <w:widowControl/>
        <w:spacing w:line="360" w:lineRule="auto"/>
        <w:ind w:firstLine="1440"/>
        <w:contextualSpacing/>
        <w:rPr>
          <w:sz w:val="26"/>
          <w:szCs w:val="26"/>
        </w:rPr>
      </w:pPr>
    </w:p>
    <w:p w14:paraId="5018F254" w14:textId="392B31B4" w:rsidR="00504702" w:rsidRPr="00504702" w:rsidRDefault="00504702" w:rsidP="00217B05">
      <w:pPr>
        <w:widowControl/>
        <w:spacing w:line="360" w:lineRule="auto"/>
        <w:ind w:firstLine="1440"/>
        <w:contextualSpacing/>
        <w:rPr>
          <w:sz w:val="26"/>
          <w:szCs w:val="26"/>
        </w:rPr>
      </w:pPr>
      <w:r w:rsidRPr="00504702">
        <w:rPr>
          <w:sz w:val="26"/>
          <w:szCs w:val="26"/>
        </w:rPr>
        <w:t xml:space="preserve">In its Answer, the OSBA refutes the PTA’s assertion that intervention in this proceeding is necessary and in the public interest.  The OSBA submits that contrary to the PTA’s claims, this proceeding is narrowly focused on whether the Settlement submitted by the Joint Petitioners is just, reasonable, in the public interest, and should be approved.  In contrast, the OSBA takes the position that the PTA’s Petition and Motion are essentially the PTA's Main Brief on the issue of whether the </w:t>
      </w:r>
      <w:r w:rsidR="00670BA9">
        <w:rPr>
          <w:sz w:val="26"/>
          <w:szCs w:val="26"/>
        </w:rPr>
        <w:t xml:space="preserve">passage of the TCJA qualifies as </w:t>
      </w:r>
      <w:r w:rsidRPr="00504702">
        <w:rPr>
          <w:sz w:val="26"/>
          <w:szCs w:val="26"/>
        </w:rPr>
        <w:t xml:space="preserve">an exogenous event.  However, the OSBA notes that the Settlement does not address this issue.  As such, the OSBA argues that if the Commission rejects the Settlement and remands the </w:t>
      </w:r>
      <w:r w:rsidR="006A384D">
        <w:rPr>
          <w:sz w:val="26"/>
          <w:szCs w:val="26"/>
        </w:rPr>
        <w:t>proceeding</w:t>
      </w:r>
      <w:r w:rsidRPr="00504702">
        <w:rPr>
          <w:sz w:val="26"/>
          <w:szCs w:val="26"/>
        </w:rPr>
        <w:t xml:space="preserve">, the PTA can intervene in the remanded proceeding and make its arguments regarding the exogenous event issue at that time.  According to the OSBA, absent a global, generic proceeding, each of the PTA's member companies will have the opportunity to fully litigate the issue of whether the TCJA impacts their respective Chapter 30 Plans.  Therefore, the OSBA </w:t>
      </w:r>
      <w:r w:rsidR="001247D3">
        <w:rPr>
          <w:sz w:val="26"/>
          <w:szCs w:val="26"/>
        </w:rPr>
        <w:t>opines</w:t>
      </w:r>
      <w:r w:rsidRPr="00504702">
        <w:rPr>
          <w:sz w:val="26"/>
          <w:szCs w:val="26"/>
        </w:rPr>
        <w:t xml:space="preserve"> that the PTA’s Petition should be denied.  OSBA Answer at 1-3.</w:t>
      </w:r>
    </w:p>
    <w:p w14:paraId="68154E5D" w14:textId="77777777" w:rsidR="00504702" w:rsidRPr="00504702" w:rsidRDefault="00504702" w:rsidP="00217B05">
      <w:pPr>
        <w:widowControl/>
        <w:spacing w:line="360" w:lineRule="auto"/>
        <w:ind w:firstLine="1440"/>
        <w:contextualSpacing/>
        <w:rPr>
          <w:sz w:val="26"/>
          <w:szCs w:val="26"/>
        </w:rPr>
      </w:pPr>
    </w:p>
    <w:p w14:paraId="146C3B6D" w14:textId="2DFAAF0C" w:rsidR="00504702" w:rsidRPr="00504702" w:rsidRDefault="00504702" w:rsidP="00217B05">
      <w:pPr>
        <w:widowControl/>
        <w:spacing w:line="360" w:lineRule="auto"/>
        <w:ind w:firstLine="1440"/>
        <w:contextualSpacing/>
        <w:rPr>
          <w:sz w:val="26"/>
          <w:szCs w:val="26"/>
        </w:rPr>
      </w:pPr>
      <w:r w:rsidRPr="00504702">
        <w:rPr>
          <w:sz w:val="26"/>
          <w:szCs w:val="26"/>
        </w:rPr>
        <w:t xml:space="preserve">Similarly, the OSBA contends that because the PTA’s Motion and the accompanying Exceptions constitute the PTA’s Main Briefs as to whether the TCJA is an exogenous event, the PTA’s Motion should also be denied.  The OSBA argues, </w:t>
      </w:r>
      <w:r w:rsidRPr="00504702">
        <w:rPr>
          <w:i/>
          <w:iCs/>
          <w:sz w:val="26"/>
          <w:szCs w:val="26"/>
        </w:rPr>
        <w:t>inter alia</w:t>
      </w:r>
      <w:r w:rsidRPr="00504702">
        <w:rPr>
          <w:sz w:val="26"/>
          <w:szCs w:val="26"/>
        </w:rPr>
        <w:t xml:space="preserve">, that the PTA has attempted to introduce new evidence at the Exceptions stage of this proceeding, which is contrary to the Commission’s Regulations.  Additionally, the OSBA stresses its position that because the PTA’s Petition and Motion are untimely, inappropriate, and in contravention to due process, the OSBA will not file Replies to the PTA’s Exceptions.  OSBA Answer at 3-6.  </w:t>
      </w:r>
    </w:p>
    <w:p w14:paraId="67458794" w14:textId="77777777" w:rsidR="00571329" w:rsidRPr="001471C8" w:rsidRDefault="00571329" w:rsidP="00217B05">
      <w:pPr>
        <w:widowControl/>
        <w:spacing w:line="360" w:lineRule="auto"/>
        <w:ind w:firstLine="1440"/>
        <w:contextualSpacing/>
        <w:rPr>
          <w:sz w:val="26"/>
          <w:szCs w:val="26"/>
        </w:rPr>
      </w:pPr>
    </w:p>
    <w:p w14:paraId="716F2A34" w14:textId="77777777" w:rsidR="00571329" w:rsidRPr="001471C8" w:rsidRDefault="00571329" w:rsidP="00217B05">
      <w:pPr>
        <w:pStyle w:val="Heading4"/>
        <w:keepNext/>
        <w:keepLines/>
        <w:numPr>
          <w:ilvl w:val="0"/>
          <w:numId w:val="13"/>
        </w:numPr>
        <w:spacing w:before="0" w:beforeAutospacing="0" w:after="0" w:afterAutospacing="0" w:line="360" w:lineRule="auto"/>
        <w:ind w:left="2160" w:hanging="720"/>
        <w:contextualSpacing/>
        <w:rPr>
          <w:sz w:val="26"/>
          <w:szCs w:val="26"/>
        </w:rPr>
      </w:pPr>
      <w:r w:rsidRPr="001471C8">
        <w:rPr>
          <w:sz w:val="26"/>
          <w:szCs w:val="26"/>
        </w:rPr>
        <w:t>OCA Answer</w:t>
      </w:r>
    </w:p>
    <w:p w14:paraId="50B30D3E" w14:textId="77777777" w:rsidR="00571329" w:rsidRPr="001471C8" w:rsidRDefault="00571329" w:rsidP="00217B05">
      <w:pPr>
        <w:keepNext/>
        <w:keepLines/>
        <w:widowControl/>
        <w:spacing w:line="360" w:lineRule="auto"/>
        <w:ind w:firstLine="1440"/>
        <w:contextualSpacing/>
        <w:rPr>
          <w:sz w:val="26"/>
          <w:szCs w:val="26"/>
        </w:rPr>
      </w:pPr>
    </w:p>
    <w:p w14:paraId="587B14C3" w14:textId="77777777" w:rsidR="00D87CC0" w:rsidRPr="00D87CC0" w:rsidRDefault="00D87CC0" w:rsidP="00217B05">
      <w:pPr>
        <w:widowControl/>
        <w:spacing w:line="360" w:lineRule="auto"/>
        <w:ind w:firstLine="1440"/>
        <w:contextualSpacing/>
        <w:rPr>
          <w:rFonts w:eastAsia="Calibri"/>
          <w:sz w:val="26"/>
          <w:szCs w:val="26"/>
        </w:rPr>
      </w:pPr>
      <w:r w:rsidRPr="00D87CC0">
        <w:rPr>
          <w:rFonts w:eastAsia="Calibri"/>
          <w:sz w:val="26"/>
          <w:szCs w:val="26"/>
        </w:rPr>
        <w:t xml:space="preserve">In its Answer, the OCA notes its general agreement with the OSBA that the PTA’s Petition and Motion should be denied.  The OCA submits that because the PTA is not a party to this proceeding, it lacks standing to file to intervene thereto.  According to the OCA, the PTA’s request runs contrary to Commission Regulations and to fundamental fairness.  OCA Answer at 2-3.  The OCA continues that in 2006, the Commission amended its Regulations by replacing the term “participant” with the term “party.”  The OCA claims that this change ensures that those who wish to appear before the Commission do so consistent with Pennsylvania law and Commission procedure based on standing as a “party.”  </w:t>
      </w:r>
      <w:r w:rsidRPr="00D87CC0">
        <w:rPr>
          <w:rFonts w:eastAsia="Calibri"/>
          <w:i/>
          <w:iCs/>
          <w:sz w:val="26"/>
          <w:szCs w:val="26"/>
        </w:rPr>
        <w:t xml:space="preserve">Id. </w:t>
      </w:r>
      <w:r w:rsidRPr="00D87CC0">
        <w:rPr>
          <w:rFonts w:eastAsia="Calibri"/>
          <w:sz w:val="26"/>
          <w:szCs w:val="26"/>
        </w:rPr>
        <w:t xml:space="preserve">at 3 (citing 36 Pa. B. 2097, 2098 (Apr. 29, 2006)).  </w:t>
      </w:r>
    </w:p>
    <w:p w14:paraId="04D8503D" w14:textId="77777777" w:rsidR="00D87CC0" w:rsidRPr="00D87CC0" w:rsidRDefault="00D87CC0" w:rsidP="00217B05">
      <w:pPr>
        <w:widowControl/>
        <w:spacing w:line="360" w:lineRule="auto"/>
        <w:contextualSpacing/>
        <w:rPr>
          <w:rFonts w:eastAsia="Calibri"/>
          <w:sz w:val="26"/>
          <w:szCs w:val="26"/>
        </w:rPr>
      </w:pPr>
    </w:p>
    <w:p w14:paraId="798AEE00" w14:textId="7F0243AC" w:rsidR="00D87CC0" w:rsidRPr="00D87CC0" w:rsidRDefault="00D87CC0" w:rsidP="0056511D">
      <w:pPr>
        <w:widowControl/>
        <w:spacing w:line="360" w:lineRule="auto"/>
        <w:ind w:firstLine="1440"/>
        <w:contextualSpacing/>
        <w:rPr>
          <w:rFonts w:eastAsia="Calibri"/>
          <w:sz w:val="26"/>
          <w:szCs w:val="26"/>
        </w:rPr>
      </w:pPr>
      <w:r w:rsidRPr="00D87CC0">
        <w:rPr>
          <w:rFonts w:eastAsia="Calibri"/>
          <w:sz w:val="26"/>
          <w:szCs w:val="26"/>
        </w:rPr>
        <w:t>The OCA</w:t>
      </w:r>
      <w:r w:rsidR="007150E3">
        <w:rPr>
          <w:rFonts w:eastAsia="Calibri"/>
          <w:sz w:val="26"/>
          <w:szCs w:val="26"/>
        </w:rPr>
        <w:t xml:space="preserve"> next</w:t>
      </w:r>
      <w:r w:rsidRPr="00D87CC0">
        <w:rPr>
          <w:rFonts w:eastAsia="Calibri"/>
          <w:sz w:val="26"/>
          <w:szCs w:val="26"/>
        </w:rPr>
        <w:t xml:space="preserve"> cites to several previous proceedings before the Commission in which a non</w:t>
      </w:r>
      <w:r w:rsidRPr="00D87CC0">
        <w:rPr>
          <w:rFonts w:eastAsia="Calibri"/>
          <w:sz w:val="26"/>
          <w:szCs w:val="26"/>
        </w:rPr>
        <w:noBreakHyphen/>
        <w:t>party sought to intervene in the proceeding at the Exceptions or Reconsideration stage.  The OCA submits that in each instance, the Commission found that the non-party seeking intervention lacked standing.  For example, the OCA argues that in</w:t>
      </w:r>
      <w:r w:rsidRPr="00D87CC0">
        <w:rPr>
          <w:rFonts w:eastAsia="Calibri"/>
          <w:i/>
          <w:iCs/>
          <w:sz w:val="26"/>
          <w:szCs w:val="26"/>
        </w:rPr>
        <w:t xml:space="preserve"> Verizon Pennsylvania Inc., et. al. v. Penn Telecom, Inc.</w:t>
      </w:r>
      <w:r w:rsidRPr="00D87CC0">
        <w:rPr>
          <w:rFonts w:eastAsia="Calibri"/>
          <w:sz w:val="26"/>
          <w:szCs w:val="26"/>
        </w:rPr>
        <w:t>, Docket No. C-20066987, (Order entered August 29, 2008) (</w:t>
      </w:r>
      <w:r w:rsidRPr="00D87CC0">
        <w:rPr>
          <w:rFonts w:eastAsia="Calibri"/>
          <w:i/>
          <w:iCs/>
          <w:sz w:val="26"/>
          <w:szCs w:val="26"/>
        </w:rPr>
        <w:t>Penn Telecom</w:t>
      </w:r>
      <w:r w:rsidRPr="00D87CC0">
        <w:rPr>
          <w:rFonts w:eastAsia="Calibri"/>
          <w:sz w:val="26"/>
          <w:szCs w:val="26"/>
        </w:rPr>
        <w:t>), the Commission declined to consider exceptions offered by the non-party CTSI as</w:t>
      </w:r>
      <w:r w:rsidRPr="00D87CC0">
        <w:rPr>
          <w:rFonts w:eastAsia="Calibri"/>
          <w:i/>
          <w:iCs/>
          <w:sz w:val="26"/>
          <w:szCs w:val="26"/>
        </w:rPr>
        <w:t xml:space="preserve"> amicus curiae</w:t>
      </w:r>
      <w:r w:rsidRPr="00D87CC0">
        <w:rPr>
          <w:rFonts w:eastAsia="Calibri"/>
          <w:sz w:val="26"/>
          <w:szCs w:val="26"/>
        </w:rPr>
        <w:t xml:space="preserve"> Exceptions because it found that “it would be unfair to the Parties, and a disservice to [the] Commission, to allow a non-party to file </w:t>
      </w:r>
      <w:r w:rsidRPr="00D87CC0">
        <w:rPr>
          <w:rFonts w:eastAsia="Calibri"/>
          <w:i/>
          <w:iCs/>
          <w:sz w:val="26"/>
          <w:szCs w:val="26"/>
        </w:rPr>
        <w:t>amicus curiae</w:t>
      </w:r>
      <w:r w:rsidRPr="00D87CC0">
        <w:rPr>
          <w:rFonts w:eastAsia="Calibri"/>
          <w:sz w:val="26"/>
          <w:szCs w:val="26"/>
        </w:rPr>
        <w:t xml:space="preserve"> exceptions raising issues not raised by the Parties.”  OCA Answer at 3-4 (citing </w:t>
      </w:r>
      <w:r w:rsidRPr="00D87CC0">
        <w:rPr>
          <w:rFonts w:eastAsia="Calibri"/>
          <w:i/>
          <w:iCs/>
          <w:sz w:val="26"/>
          <w:szCs w:val="26"/>
        </w:rPr>
        <w:t xml:space="preserve">Penn Telecom </w:t>
      </w:r>
      <w:r w:rsidRPr="00D87CC0">
        <w:rPr>
          <w:rFonts w:eastAsia="Calibri"/>
          <w:sz w:val="26"/>
          <w:szCs w:val="26"/>
        </w:rPr>
        <w:t xml:space="preserve">at 10).  The OCA submits that the PTA, likewise, lacks standing, </w:t>
      </w:r>
      <w:r w:rsidR="00B40BCD">
        <w:rPr>
          <w:rFonts w:eastAsia="Calibri"/>
          <w:sz w:val="26"/>
          <w:szCs w:val="26"/>
        </w:rPr>
        <w:t xml:space="preserve">and </w:t>
      </w:r>
      <w:r w:rsidRPr="00D87CC0">
        <w:rPr>
          <w:rFonts w:eastAsia="Calibri"/>
          <w:sz w:val="26"/>
          <w:szCs w:val="26"/>
        </w:rPr>
        <w:t>its Petition and Motion should be dismissed</w:t>
      </w:r>
      <w:r w:rsidR="00B40BCD">
        <w:rPr>
          <w:rFonts w:eastAsia="Calibri"/>
          <w:sz w:val="26"/>
          <w:szCs w:val="26"/>
        </w:rPr>
        <w:t xml:space="preserve"> accordingly</w:t>
      </w:r>
      <w:r w:rsidRPr="00D87CC0">
        <w:rPr>
          <w:rFonts w:eastAsia="Calibri"/>
          <w:sz w:val="26"/>
          <w:szCs w:val="26"/>
        </w:rPr>
        <w:t>.  OCA Answer at 5.</w:t>
      </w:r>
    </w:p>
    <w:p w14:paraId="61D97EE4" w14:textId="77777777" w:rsidR="00D87CC0" w:rsidRPr="00D87CC0" w:rsidRDefault="00D87CC0" w:rsidP="0056511D">
      <w:pPr>
        <w:widowControl/>
        <w:spacing w:line="360" w:lineRule="auto"/>
        <w:contextualSpacing/>
        <w:rPr>
          <w:rFonts w:eastAsia="Calibri"/>
          <w:sz w:val="26"/>
          <w:szCs w:val="26"/>
        </w:rPr>
      </w:pPr>
    </w:p>
    <w:p w14:paraId="6FE5EBA2" w14:textId="77777777" w:rsidR="00D87CC0" w:rsidRPr="00D87CC0" w:rsidRDefault="00D87CC0" w:rsidP="0056511D">
      <w:pPr>
        <w:widowControl/>
        <w:spacing w:line="360" w:lineRule="auto"/>
        <w:ind w:firstLine="1440"/>
        <w:contextualSpacing/>
        <w:rPr>
          <w:rFonts w:eastAsia="Calibri"/>
          <w:sz w:val="26"/>
          <w:szCs w:val="26"/>
        </w:rPr>
      </w:pPr>
      <w:r w:rsidRPr="00D87CC0">
        <w:rPr>
          <w:rFonts w:eastAsia="Calibri"/>
          <w:sz w:val="26"/>
          <w:szCs w:val="26"/>
        </w:rPr>
        <w:t>The OCA also submits that the PTA’s Petition should be denied on the grounds that it is late-filed.  The OCA refutes the PTA’s argument that it had reasonable reasons for not intervening at an earlier stage of this proceeding.  According to the OCA, the PTA has not met the Commission’s “extraordinary circumstances” standard for permitting a late-filed petition for intervention.  According to the OCA, under the Commission’s Regulations at 52 Pa. Code § 5.74(c), the following four criteria must be met:</w:t>
      </w:r>
    </w:p>
    <w:p w14:paraId="628D9AE3" w14:textId="77777777" w:rsidR="00D87CC0" w:rsidRPr="00D87CC0" w:rsidRDefault="00D87CC0" w:rsidP="0056511D">
      <w:pPr>
        <w:widowControl/>
        <w:contextualSpacing/>
        <w:rPr>
          <w:rFonts w:eastAsia="Calibri"/>
          <w:sz w:val="26"/>
          <w:szCs w:val="26"/>
        </w:rPr>
      </w:pPr>
    </w:p>
    <w:p w14:paraId="6D7BEC2D" w14:textId="20380BD8" w:rsidR="00D87CC0" w:rsidRPr="00D87CC0" w:rsidRDefault="00D87CC0" w:rsidP="00AC06C6">
      <w:pPr>
        <w:widowControl/>
        <w:ind w:left="2160" w:right="1440" w:hanging="720"/>
        <w:contextualSpacing/>
        <w:rPr>
          <w:rFonts w:eastAsia="Calibri"/>
          <w:sz w:val="26"/>
          <w:szCs w:val="26"/>
        </w:rPr>
      </w:pPr>
      <w:r w:rsidRPr="00D87CC0">
        <w:rPr>
          <w:rFonts w:eastAsia="Calibri"/>
          <w:sz w:val="26"/>
          <w:szCs w:val="26"/>
        </w:rPr>
        <w:t xml:space="preserve">(1) </w:t>
      </w:r>
      <w:r w:rsidR="00AC06C6">
        <w:rPr>
          <w:rFonts w:eastAsia="Calibri"/>
          <w:sz w:val="26"/>
          <w:szCs w:val="26"/>
        </w:rPr>
        <w:tab/>
      </w:r>
      <w:r w:rsidRPr="00D87CC0">
        <w:rPr>
          <w:rFonts w:eastAsia="Calibri"/>
          <w:sz w:val="26"/>
          <w:szCs w:val="26"/>
        </w:rPr>
        <w:t xml:space="preserve">The petitioner has a reasonable excuse for missing the protest due date. </w:t>
      </w:r>
    </w:p>
    <w:p w14:paraId="462061E6" w14:textId="77777777" w:rsidR="00D87CC0" w:rsidRPr="00D87CC0" w:rsidRDefault="00D87CC0" w:rsidP="00AC06C6">
      <w:pPr>
        <w:widowControl/>
        <w:ind w:left="2160" w:right="1440" w:hanging="720"/>
        <w:contextualSpacing/>
        <w:rPr>
          <w:rFonts w:eastAsia="Calibri"/>
          <w:sz w:val="26"/>
          <w:szCs w:val="26"/>
        </w:rPr>
      </w:pPr>
    </w:p>
    <w:p w14:paraId="63588F97" w14:textId="212B3104" w:rsidR="00D87CC0" w:rsidRPr="00D87CC0" w:rsidRDefault="00D87CC0" w:rsidP="00AC06C6">
      <w:pPr>
        <w:widowControl/>
        <w:ind w:left="2160" w:right="1440" w:hanging="720"/>
        <w:contextualSpacing/>
        <w:rPr>
          <w:rFonts w:eastAsia="Calibri"/>
          <w:sz w:val="26"/>
          <w:szCs w:val="26"/>
        </w:rPr>
      </w:pPr>
      <w:r w:rsidRPr="00D87CC0">
        <w:rPr>
          <w:rFonts w:eastAsia="Calibri"/>
          <w:sz w:val="26"/>
          <w:szCs w:val="26"/>
        </w:rPr>
        <w:t xml:space="preserve">(2) </w:t>
      </w:r>
      <w:r w:rsidR="00AC06C6">
        <w:rPr>
          <w:rFonts w:eastAsia="Calibri"/>
          <w:sz w:val="26"/>
          <w:szCs w:val="26"/>
        </w:rPr>
        <w:tab/>
      </w:r>
      <w:r w:rsidRPr="00D87CC0">
        <w:rPr>
          <w:rFonts w:eastAsia="Calibri"/>
          <w:sz w:val="26"/>
          <w:szCs w:val="26"/>
        </w:rPr>
        <w:t xml:space="preserve">The proceeding is contested at the time of the filing of a petition for intervention. </w:t>
      </w:r>
    </w:p>
    <w:p w14:paraId="5789884B" w14:textId="77777777" w:rsidR="00D87CC0" w:rsidRPr="00D87CC0" w:rsidRDefault="00D87CC0" w:rsidP="00AC06C6">
      <w:pPr>
        <w:widowControl/>
        <w:ind w:left="2160" w:right="1440" w:hanging="720"/>
        <w:contextualSpacing/>
        <w:rPr>
          <w:rFonts w:eastAsia="Calibri"/>
          <w:sz w:val="26"/>
          <w:szCs w:val="26"/>
        </w:rPr>
      </w:pPr>
    </w:p>
    <w:p w14:paraId="523E896D" w14:textId="11042E3D" w:rsidR="00D87CC0" w:rsidRPr="00D87CC0" w:rsidRDefault="00D87CC0" w:rsidP="00AC06C6">
      <w:pPr>
        <w:widowControl/>
        <w:ind w:left="2160" w:right="1440" w:hanging="720"/>
        <w:contextualSpacing/>
        <w:rPr>
          <w:rFonts w:eastAsia="Calibri"/>
          <w:sz w:val="26"/>
          <w:szCs w:val="26"/>
        </w:rPr>
      </w:pPr>
      <w:r w:rsidRPr="00D87CC0">
        <w:rPr>
          <w:rFonts w:eastAsia="Calibri"/>
          <w:sz w:val="26"/>
          <w:szCs w:val="26"/>
        </w:rPr>
        <w:t xml:space="preserve">(3) </w:t>
      </w:r>
      <w:r w:rsidR="00AC06C6">
        <w:rPr>
          <w:rFonts w:eastAsia="Calibri"/>
          <w:sz w:val="26"/>
          <w:szCs w:val="26"/>
        </w:rPr>
        <w:tab/>
      </w:r>
      <w:r w:rsidRPr="00D87CC0">
        <w:rPr>
          <w:rFonts w:eastAsia="Calibri"/>
          <w:sz w:val="26"/>
          <w:szCs w:val="26"/>
        </w:rPr>
        <w:t xml:space="preserve">A grant of intervention will not delay the orderly progress of the case; and </w:t>
      </w:r>
    </w:p>
    <w:p w14:paraId="442AEED1" w14:textId="77777777" w:rsidR="00D87CC0" w:rsidRPr="00D87CC0" w:rsidRDefault="00D87CC0" w:rsidP="00AC06C6">
      <w:pPr>
        <w:widowControl/>
        <w:ind w:left="2160" w:right="1440" w:hanging="720"/>
        <w:contextualSpacing/>
        <w:rPr>
          <w:rFonts w:eastAsia="Calibri"/>
          <w:sz w:val="26"/>
          <w:szCs w:val="26"/>
        </w:rPr>
      </w:pPr>
    </w:p>
    <w:p w14:paraId="3E18A80F" w14:textId="686E8E15" w:rsidR="00D87CC0" w:rsidRPr="00D87CC0" w:rsidRDefault="00D87CC0" w:rsidP="00AC06C6">
      <w:pPr>
        <w:keepNext/>
        <w:widowControl/>
        <w:ind w:left="2160" w:right="1440" w:hanging="720"/>
        <w:contextualSpacing/>
        <w:rPr>
          <w:rFonts w:eastAsia="Calibri"/>
          <w:sz w:val="26"/>
          <w:szCs w:val="26"/>
        </w:rPr>
      </w:pPr>
      <w:r w:rsidRPr="00D87CC0">
        <w:rPr>
          <w:rFonts w:eastAsia="Calibri"/>
          <w:sz w:val="26"/>
          <w:szCs w:val="26"/>
        </w:rPr>
        <w:t xml:space="preserve">(4) </w:t>
      </w:r>
      <w:r w:rsidR="00AC06C6">
        <w:rPr>
          <w:rFonts w:eastAsia="Calibri"/>
          <w:sz w:val="26"/>
          <w:szCs w:val="26"/>
        </w:rPr>
        <w:tab/>
      </w:r>
      <w:r w:rsidRPr="00D87CC0">
        <w:rPr>
          <w:rFonts w:eastAsia="Calibri"/>
          <w:sz w:val="26"/>
          <w:szCs w:val="26"/>
        </w:rPr>
        <w:t>The grant of intervention will not broaden significantly the issues or shift the burden of proof</w:t>
      </w:r>
    </w:p>
    <w:p w14:paraId="539D842D" w14:textId="77777777" w:rsidR="00217B05" w:rsidRDefault="00217B05" w:rsidP="00AC06C6">
      <w:pPr>
        <w:keepNext/>
        <w:widowControl/>
        <w:spacing w:line="360" w:lineRule="auto"/>
        <w:contextualSpacing/>
        <w:rPr>
          <w:rFonts w:eastAsia="Calibri"/>
          <w:sz w:val="26"/>
          <w:szCs w:val="26"/>
        </w:rPr>
      </w:pPr>
    </w:p>
    <w:p w14:paraId="7AF00294" w14:textId="7DE4F525" w:rsidR="00D87CC0" w:rsidRPr="00D87CC0" w:rsidRDefault="00D87CC0" w:rsidP="00AC06C6">
      <w:pPr>
        <w:keepNext/>
        <w:widowControl/>
        <w:spacing w:line="360" w:lineRule="auto"/>
        <w:contextualSpacing/>
        <w:rPr>
          <w:rFonts w:eastAsia="Calibri"/>
          <w:sz w:val="26"/>
          <w:szCs w:val="26"/>
        </w:rPr>
      </w:pPr>
      <w:r w:rsidRPr="00D87CC0">
        <w:rPr>
          <w:rFonts w:eastAsia="Calibri"/>
          <w:sz w:val="26"/>
          <w:szCs w:val="26"/>
        </w:rPr>
        <w:t>OCA Answer at 6-7.</w:t>
      </w:r>
    </w:p>
    <w:p w14:paraId="649FD575" w14:textId="77777777" w:rsidR="00D87CC0" w:rsidRPr="00D87CC0" w:rsidRDefault="00D87CC0" w:rsidP="00217B05">
      <w:pPr>
        <w:widowControl/>
        <w:spacing w:line="360" w:lineRule="auto"/>
        <w:contextualSpacing/>
        <w:rPr>
          <w:rFonts w:eastAsia="Calibri"/>
          <w:sz w:val="26"/>
          <w:szCs w:val="26"/>
        </w:rPr>
      </w:pPr>
    </w:p>
    <w:p w14:paraId="62CCE6B5" w14:textId="77777777" w:rsidR="00D87CC0" w:rsidRPr="00D87CC0" w:rsidRDefault="00D87CC0" w:rsidP="00217B05">
      <w:pPr>
        <w:widowControl/>
        <w:spacing w:line="360" w:lineRule="auto"/>
        <w:ind w:firstLine="1440"/>
        <w:contextualSpacing/>
        <w:rPr>
          <w:rFonts w:eastAsia="Calibri"/>
          <w:sz w:val="26"/>
          <w:szCs w:val="26"/>
        </w:rPr>
      </w:pPr>
      <w:r w:rsidRPr="00D87CC0">
        <w:rPr>
          <w:rFonts w:eastAsia="Calibri"/>
          <w:sz w:val="26"/>
          <w:szCs w:val="26"/>
        </w:rPr>
        <w:t>As to the first criterion, the OCA submits that the PTA had ample opportunity to file and receive a ruling on a petition to intervene while the Joint Petitioners conducted discovery and addressed how best to resolve CenturyLink’s 2018 and 2019 PSI/SPI Filings.  The OCA further notes that the PTA did not intervene, as permitted by Section 5.72(a) of the Commission’s Regulations, after the Joint Petitioners submitted the proposed Settlement on January 23, 2020.  In the OCA’s view, the PTA simply refrained from filing a timely petition to intervene by choice, in order to save money and conserve the PTA’s resources.  OCA Answer at 7-8.</w:t>
      </w:r>
    </w:p>
    <w:p w14:paraId="69BB9B99" w14:textId="77777777" w:rsidR="00D87CC0" w:rsidRPr="00D87CC0" w:rsidRDefault="00D87CC0" w:rsidP="00217B05">
      <w:pPr>
        <w:widowControl/>
        <w:spacing w:line="360" w:lineRule="auto"/>
        <w:contextualSpacing/>
        <w:rPr>
          <w:rFonts w:eastAsia="Calibri"/>
          <w:sz w:val="26"/>
          <w:szCs w:val="26"/>
        </w:rPr>
      </w:pPr>
    </w:p>
    <w:p w14:paraId="5D4D215C" w14:textId="77777777" w:rsidR="00D87CC0" w:rsidRPr="00D87CC0" w:rsidRDefault="00D87CC0" w:rsidP="00217B05">
      <w:pPr>
        <w:widowControl/>
        <w:spacing w:line="360" w:lineRule="auto"/>
        <w:ind w:firstLine="1440"/>
        <w:contextualSpacing/>
        <w:rPr>
          <w:rFonts w:eastAsia="Calibri"/>
          <w:sz w:val="26"/>
          <w:szCs w:val="26"/>
        </w:rPr>
      </w:pPr>
      <w:r w:rsidRPr="00D87CC0">
        <w:rPr>
          <w:rFonts w:eastAsia="Calibri"/>
          <w:sz w:val="26"/>
          <w:szCs w:val="26"/>
        </w:rPr>
        <w:t>As to the second criterion, the OCA argues that because the Settlement is what is currently before the Commission for consideration and disposition, this proceeding is not presently contested.  The OCA restates that the Joint Petitioners have mutually agreed to set aside litigation in favor of the Settlement.  The OCA submits that although the ALJs have recommended that the Settlement be rejected, this does not negate the Joint Petitioners’ agreement to resolve this proceeding via Settlement.  OCA Answer at 8-9.</w:t>
      </w:r>
    </w:p>
    <w:p w14:paraId="7305AC06" w14:textId="77777777" w:rsidR="00D87CC0" w:rsidRPr="00D87CC0" w:rsidRDefault="00D87CC0" w:rsidP="00217B05">
      <w:pPr>
        <w:widowControl/>
        <w:spacing w:line="360" w:lineRule="auto"/>
        <w:contextualSpacing/>
        <w:rPr>
          <w:rFonts w:eastAsia="Calibri"/>
          <w:sz w:val="26"/>
          <w:szCs w:val="26"/>
        </w:rPr>
      </w:pPr>
    </w:p>
    <w:p w14:paraId="3BA547B5" w14:textId="77777777" w:rsidR="00D87CC0" w:rsidRPr="00D87CC0" w:rsidRDefault="00D87CC0" w:rsidP="00217B05">
      <w:pPr>
        <w:widowControl/>
        <w:spacing w:line="360" w:lineRule="auto"/>
        <w:ind w:firstLine="1440"/>
        <w:contextualSpacing/>
        <w:rPr>
          <w:rFonts w:eastAsia="Calibri"/>
          <w:sz w:val="26"/>
          <w:szCs w:val="26"/>
        </w:rPr>
      </w:pPr>
      <w:r w:rsidRPr="00D87CC0">
        <w:rPr>
          <w:rFonts w:eastAsia="Calibri"/>
          <w:sz w:val="26"/>
          <w:szCs w:val="26"/>
        </w:rPr>
        <w:t xml:space="preserve">As to the third criterion, the OCA claims that the PTA’s Petition will delay the orderly progress of this proceeding.  In this regard, the OCA notes that the PTA’s filing of its Petition and Motion, if accepted, would trigger a twenty-day answer period pursuant to 52 Pa. Code §§ 5.66 (a) and 5.103(b)(2)-(3), which will serve only to prolong this proceeding.  In addition, the OCA argues that the PTA’s proposed Exceptions seek to litigate a specific issue, </w:t>
      </w:r>
      <w:r w:rsidRPr="00D87CC0">
        <w:rPr>
          <w:rFonts w:eastAsia="Calibri"/>
          <w:i/>
          <w:iCs/>
          <w:sz w:val="26"/>
          <w:szCs w:val="26"/>
        </w:rPr>
        <w:t xml:space="preserve">i.e. </w:t>
      </w:r>
      <w:r w:rsidRPr="00D87CC0">
        <w:rPr>
          <w:rFonts w:eastAsia="Calibri"/>
          <w:sz w:val="26"/>
          <w:szCs w:val="26"/>
        </w:rPr>
        <w:t xml:space="preserve">the exogenous event issue, upon which the Parties have agreed to set aside for the purpose of obtaining Commission approval of the Settlement.  OCA Answer at 9-10. </w:t>
      </w:r>
    </w:p>
    <w:p w14:paraId="4EBCC963" w14:textId="77777777" w:rsidR="00D87CC0" w:rsidRPr="00D87CC0" w:rsidRDefault="00D87CC0" w:rsidP="00217B05">
      <w:pPr>
        <w:widowControl/>
        <w:spacing w:line="360" w:lineRule="auto"/>
        <w:contextualSpacing/>
        <w:rPr>
          <w:rFonts w:eastAsia="Calibri"/>
          <w:sz w:val="26"/>
          <w:szCs w:val="26"/>
        </w:rPr>
      </w:pPr>
    </w:p>
    <w:p w14:paraId="3B86C49D" w14:textId="77777777" w:rsidR="00D87CC0" w:rsidRPr="00D87CC0" w:rsidRDefault="00D87CC0" w:rsidP="00217B05">
      <w:pPr>
        <w:widowControl/>
        <w:spacing w:line="360" w:lineRule="auto"/>
        <w:ind w:firstLine="1440"/>
        <w:contextualSpacing/>
        <w:rPr>
          <w:rFonts w:eastAsia="Calibri"/>
          <w:sz w:val="26"/>
          <w:szCs w:val="26"/>
        </w:rPr>
      </w:pPr>
      <w:r w:rsidRPr="00D87CC0">
        <w:rPr>
          <w:rFonts w:eastAsia="Calibri"/>
          <w:sz w:val="26"/>
          <w:szCs w:val="26"/>
        </w:rPr>
        <w:t>As to the fourth criterion, the OCA submits that contrary to the PTA’s assertion, the Petition will unreasonably broaden the issues in this proceeding.  The OCA echoes the OSBA that the scope of this proceeding is confined solely to the Company’s 2018 and 2019 PSI/SPI filings and to whether the proposed Settlement to resolve these filings should be approved as in the public interest.  According to the OCA, the PTA seeks standing as a party to this proceeding to litigate issues that are beyond the scope of the Settlement.  OCA Answer at 10-11.</w:t>
      </w:r>
    </w:p>
    <w:p w14:paraId="3C319938" w14:textId="77777777" w:rsidR="00D87CC0" w:rsidRPr="00D87CC0" w:rsidRDefault="00D87CC0" w:rsidP="00217B05">
      <w:pPr>
        <w:widowControl/>
        <w:spacing w:line="360" w:lineRule="auto"/>
        <w:contextualSpacing/>
        <w:rPr>
          <w:rFonts w:eastAsia="Calibri"/>
          <w:sz w:val="26"/>
          <w:szCs w:val="26"/>
        </w:rPr>
      </w:pPr>
    </w:p>
    <w:p w14:paraId="7C8C405E" w14:textId="7B5F5C01" w:rsidR="00571329" w:rsidRDefault="00D87CC0" w:rsidP="00217B05">
      <w:pPr>
        <w:widowControl/>
        <w:spacing w:line="360" w:lineRule="auto"/>
        <w:ind w:firstLine="1440"/>
        <w:contextualSpacing/>
        <w:rPr>
          <w:rFonts w:eastAsia="Calibri"/>
          <w:sz w:val="26"/>
          <w:szCs w:val="26"/>
        </w:rPr>
      </w:pPr>
      <w:r w:rsidRPr="00D87CC0">
        <w:rPr>
          <w:rFonts w:eastAsia="Calibri"/>
          <w:sz w:val="26"/>
          <w:szCs w:val="26"/>
        </w:rPr>
        <w:t>Finally, the OCA concurs with the position of the OSBA that it will not file Replies to the PTA’s Exceptions.  The OCA reasons that pursuant to the Commission’s Regulations at 52 Pa. Code § 5.533(a), the ability to file Exceptions and Reply Exceptions is reserved for “parties” to a proceeding based upon sound reasons of procedural fairness and administrative efficiency.  The OCA takes the position that standing and due process matter, especially in light of the ten-day window in which parties have to file Reply Exceptions.  In the OCA’s view, it should not have to engage in the exercise and expense of filing Replies to the PTA’s Exceptions given that PTA is a non-party to this proceeding.  OCA Answer at 5.</w:t>
      </w:r>
    </w:p>
    <w:p w14:paraId="1459980A" w14:textId="77777777" w:rsidR="00AC41F1" w:rsidRPr="001471C8" w:rsidRDefault="00AC41F1" w:rsidP="00217B05">
      <w:pPr>
        <w:widowControl/>
        <w:spacing w:line="360" w:lineRule="auto"/>
        <w:ind w:firstLine="1440"/>
        <w:contextualSpacing/>
        <w:rPr>
          <w:sz w:val="26"/>
          <w:szCs w:val="26"/>
        </w:rPr>
      </w:pPr>
    </w:p>
    <w:p w14:paraId="2B8E475E" w14:textId="77777777" w:rsidR="00571329" w:rsidRPr="001471C8" w:rsidRDefault="00571329" w:rsidP="00217B05">
      <w:pPr>
        <w:pStyle w:val="Heading3"/>
        <w:widowControl/>
        <w:numPr>
          <w:ilvl w:val="0"/>
          <w:numId w:val="15"/>
        </w:numPr>
        <w:spacing w:line="360" w:lineRule="auto"/>
        <w:ind w:left="1440" w:hanging="720"/>
        <w:contextualSpacing/>
        <w:rPr>
          <w:rStyle w:val="Hyperlink"/>
          <w:rFonts w:ascii="Times New Roman" w:hAnsi="Times New Roman" w:cs="Times New Roman"/>
          <w:b/>
          <w:bCs/>
          <w:color w:val="auto"/>
          <w:sz w:val="26"/>
          <w:szCs w:val="26"/>
          <w:u w:val="none"/>
        </w:rPr>
      </w:pPr>
      <w:bookmarkStart w:id="19" w:name="_Toc91762313"/>
      <w:r w:rsidRPr="001471C8">
        <w:rPr>
          <w:rStyle w:val="Hyperlink"/>
          <w:rFonts w:ascii="Times New Roman" w:hAnsi="Times New Roman" w:cs="Times New Roman"/>
          <w:b/>
          <w:bCs/>
          <w:color w:val="auto"/>
          <w:sz w:val="26"/>
          <w:szCs w:val="26"/>
          <w:u w:val="none"/>
        </w:rPr>
        <w:t>Disposition</w:t>
      </w:r>
      <w:bookmarkEnd w:id="19"/>
    </w:p>
    <w:p w14:paraId="0C54B3F3" w14:textId="77777777" w:rsidR="00571329" w:rsidRPr="001471C8" w:rsidRDefault="00571329" w:rsidP="00217B05">
      <w:pPr>
        <w:keepNext/>
        <w:keepLines/>
        <w:widowControl/>
        <w:spacing w:line="360" w:lineRule="auto"/>
        <w:ind w:firstLine="1440"/>
        <w:contextualSpacing/>
        <w:rPr>
          <w:sz w:val="26"/>
          <w:szCs w:val="26"/>
        </w:rPr>
      </w:pPr>
    </w:p>
    <w:p w14:paraId="7AB1DA80" w14:textId="1371BBEA" w:rsidR="00CE4B87" w:rsidRPr="00CE4B87" w:rsidRDefault="00CE4B87" w:rsidP="00217B05">
      <w:pPr>
        <w:widowControl/>
        <w:spacing w:line="360" w:lineRule="auto"/>
        <w:ind w:firstLine="1440"/>
        <w:contextualSpacing/>
        <w:rPr>
          <w:rFonts w:eastAsia="Calibri"/>
          <w:sz w:val="26"/>
          <w:szCs w:val="26"/>
        </w:rPr>
      </w:pPr>
      <w:r w:rsidRPr="00CE4B87">
        <w:rPr>
          <w:rFonts w:eastAsia="Calibri"/>
          <w:sz w:val="26"/>
          <w:szCs w:val="26"/>
        </w:rPr>
        <w:t xml:space="preserve">In our </w:t>
      </w:r>
      <w:r w:rsidRPr="00CE4B87">
        <w:rPr>
          <w:rFonts w:eastAsia="Calibri"/>
          <w:i/>
          <w:iCs/>
          <w:sz w:val="26"/>
          <w:szCs w:val="26"/>
        </w:rPr>
        <w:t xml:space="preserve">October 2018 Order, </w:t>
      </w:r>
      <w:r w:rsidRPr="00CE4B87">
        <w:rPr>
          <w:rFonts w:eastAsia="Calibri"/>
          <w:sz w:val="26"/>
          <w:szCs w:val="26"/>
        </w:rPr>
        <w:t>we invited the filing of petitions to intervene in contested ILEC PSI/SPI filings involving the TCJA.  We specifically noted that “ILECs that have already filed or will soon file their 2018 PSI/SPI or similar filings with the Commission, but are not currently parties to the formal proceeding, may consider petitioning to intervene pursuant to 52 Pa. Code §§ 5.71</w:t>
      </w:r>
      <w:r w:rsidRPr="00CE4B87">
        <w:rPr>
          <w:rFonts w:eastAsia="Calibri"/>
          <w:sz w:val="26"/>
          <w:szCs w:val="26"/>
        </w:rPr>
        <w:noBreakHyphen/>
        <w:t>5.76 to have their voices heard.”  Additionally, we directed the OALJ to “timely address Incumbent Local Exchange Carriers’ Petitions to Intervene, should the carriers choose, in the Formal Complaint proceedings pursuant to 52 Pa. Code §§ 5.71</w:t>
      </w:r>
      <w:r w:rsidRPr="00CE4B87">
        <w:rPr>
          <w:rFonts w:eastAsia="Calibri"/>
          <w:sz w:val="26"/>
          <w:szCs w:val="26"/>
        </w:rPr>
        <w:noBreakHyphen/>
        <w:t xml:space="preserve">5.76.”  </w:t>
      </w:r>
      <w:r w:rsidRPr="00CE4B87">
        <w:rPr>
          <w:rFonts w:eastAsia="Calibri"/>
          <w:i/>
          <w:iCs/>
          <w:sz w:val="26"/>
          <w:szCs w:val="26"/>
        </w:rPr>
        <w:t>October 2018 Order</w:t>
      </w:r>
      <w:r w:rsidRPr="00CE4B87">
        <w:rPr>
          <w:rFonts w:eastAsia="Calibri"/>
          <w:sz w:val="26"/>
          <w:szCs w:val="26"/>
        </w:rPr>
        <w:t xml:space="preserve"> at 8, 9.  Nonetheless, on consideration of the arguments of the PTA, the Answers of the OSBA and the OCA, and the applicable law, we shall deny the PTA’s Petition.</w:t>
      </w:r>
    </w:p>
    <w:p w14:paraId="14186414" w14:textId="77777777" w:rsidR="00CE4B87" w:rsidRPr="00CE4B87" w:rsidRDefault="00CE4B87" w:rsidP="00217B05">
      <w:pPr>
        <w:widowControl/>
        <w:spacing w:line="360" w:lineRule="auto"/>
        <w:ind w:firstLine="1440"/>
        <w:contextualSpacing/>
        <w:rPr>
          <w:rFonts w:eastAsia="Calibri"/>
          <w:sz w:val="26"/>
          <w:szCs w:val="26"/>
        </w:rPr>
      </w:pPr>
    </w:p>
    <w:p w14:paraId="06C4053F" w14:textId="1AE336FE" w:rsidR="00CE4B87" w:rsidRPr="00CE4B87" w:rsidRDefault="00CE4B87" w:rsidP="00217B05">
      <w:pPr>
        <w:widowControl/>
        <w:spacing w:line="360" w:lineRule="auto"/>
        <w:ind w:firstLine="1440"/>
        <w:contextualSpacing/>
        <w:rPr>
          <w:rFonts w:eastAsia="Calibri"/>
          <w:sz w:val="26"/>
          <w:szCs w:val="26"/>
        </w:rPr>
      </w:pPr>
      <w:r w:rsidRPr="00CE4B87">
        <w:rPr>
          <w:rFonts w:eastAsia="Calibri"/>
          <w:sz w:val="26"/>
          <w:szCs w:val="26"/>
        </w:rPr>
        <w:t xml:space="preserve">As the OSBA and the OCA each point out, the PTA has waited until the Exceptions stage of this proceeding to file its Petition.  Thus, we must examine the Petition in light of Section 5.74(c) of our Regulations, which, as previously noted, states that for a non-statutory advocate such as the PTA, “intervention will not be permitted once an evidentiary hearing has concluded </w:t>
      </w:r>
      <w:r w:rsidRPr="00CE4B87">
        <w:rPr>
          <w:rFonts w:eastAsia="Calibri"/>
          <w:i/>
          <w:iCs/>
          <w:sz w:val="26"/>
          <w:szCs w:val="26"/>
        </w:rPr>
        <w:t>absent extraordinary circumstances.</w:t>
      </w:r>
      <w:r w:rsidRPr="00CE4B87">
        <w:rPr>
          <w:rFonts w:eastAsia="Calibri"/>
          <w:sz w:val="26"/>
          <w:szCs w:val="26"/>
        </w:rPr>
        <w:t>”  52</w:t>
      </w:r>
      <w:r w:rsidR="0056511D">
        <w:rPr>
          <w:rFonts w:eastAsia="Calibri"/>
          <w:sz w:val="26"/>
          <w:szCs w:val="26"/>
        </w:rPr>
        <w:t> </w:t>
      </w:r>
      <w:r w:rsidRPr="00CE4B87">
        <w:rPr>
          <w:rFonts w:eastAsia="Calibri"/>
          <w:sz w:val="26"/>
          <w:szCs w:val="26"/>
        </w:rPr>
        <w:t>Pa.</w:t>
      </w:r>
      <w:r w:rsidR="0056511D">
        <w:rPr>
          <w:rFonts w:eastAsia="Calibri"/>
          <w:sz w:val="26"/>
          <w:szCs w:val="26"/>
        </w:rPr>
        <w:t> </w:t>
      </w:r>
      <w:r w:rsidRPr="00CE4B87">
        <w:rPr>
          <w:rFonts w:eastAsia="Calibri"/>
          <w:sz w:val="26"/>
          <w:szCs w:val="26"/>
        </w:rPr>
        <w:t xml:space="preserve">Code § 5.74(c) (emphasis added).  On review, we are not persuaded by the PTA’s arguments that there are extraordinary circumstances, such that its late-filed Petition should be granted.  </w:t>
      </w:r>
    </w:p>
    <w:p w14:paraId="2909FB49" w14:textId="77777777" w:rsidR="00CE4B87" w:rsidRPr="00CE4B87" w:rsidRDefault="00CE4B87" w:rsidP="00217B05">
      <w:pPr>
        <w:widowControl/>
        <w:spacing w:line="360" w:lineRule="auto"/>
        <w:ind w:firstLine="1440"/>
        <w:contextualSpacing/>
        <w:rPr>
          <w:rFonts w:eastAsia="Calibri"/>
          <w:sz w:val="26"/>
          <w:szCs w:val="26"/>
        </w:rPr>
      </w:pPr>
    </w:p>
    <w:p w14:paraId="7EF9D83D" w14:textId="0EC47C12" w:rsidR="00CE4B87" w:rsidRPr="00CE4B87" w:rsidRDefault="00CE4B87" w:rsidP="00217B05">
      <w:pPr>
        <w:widowControl/>
        <w:spacing w:line="360" w:lineRule="auto"/>
        <w:ind w:firstLine="1440"/>
        <w:contextualSpacing/>
        <w:rPr>
          <w:rFonts w:eastAsia="Calibri"/>
          <w:sz w:val="26"/>
          <w:szCs w:val="26"/>
        </w:rPr>
      </w:pPr>
      <w:r w:rsidRPr="00CE4B87">
        <w:rPr>
          <w:rFonts w:eastAsia="Calibri"/>
          <w:sz w:val="26"/>
          <w:szCs w:val="26"/>
        </w:rPr>
        <w:t xml:space="preserve">In its Petition, the PTA claims that it had reasonable </w:t>
      </w:r>
      <w:r w:rsidR="001C1629">
        <w:rPr>
          <w:rFonts w:eastAsia="Calibri"/>
          <w:sz w:val="26"/>
          <w:szCs w:val="26"/>
        </w:rPr>
        <w:t xml:space="preserve">grounds </w:t>
      </w:r>
      <w:r w:rsidRPr="00CE4B87">
        <w:rPr>
          <w:rFonts w:eastAsia="Calibri"/>
          <w:sz w:val="26"/>
          <w:szCs w:val="26"/>
        </w:rPr>
        <w:t>for not intervening in this proceeding prior to the Recommended Decision because this matter involved</w:t>
      </w:r>
      <w:r w:rsidR="00335BD1">
        <w:rPr>
          <w:rFonts w:eastAsia="Calibri"/>
          <w:sz w:val="26"/>
          <w:szCs w:val="26"/>
        </w:rPr>
        <w:t xml:space="preserve"> only</w:t>
      </w:r>
      <w:r w:rsidRPr="00CE4B87">
        <w:rPr>
          <w:rFonts w:eastAsia="Calibri"/>
          <w:sz w:val="26"/>
          <w:szCs w:val="26"/>
        </w:rPr>
        <w:t xml:space="preserve"> CenturyLink</w:t>
      </w:r>
      <w:r w:rsidR="00335BD1">
        <w:rPr>
          <w:rFonts w:eastAsia="Calibri"/>
          <w:sz w:val="26"/>
          <w:szCs w:val="26"/>
        </w:rPr>
        <w:t>,</w:t>
      </w:r>
      <w:r w:rsidRPr="00CE4B87">
        <w:rPr>
          <w:rFonts w:eastAsia="Calibri"/>
          <w:sz w:val="26"/>
          <w:szCs w:val="26"/>
        </w:rPr>
        <w:t xml:space="preserve"> specifically.  </w:t>
      </w:r>
      <w:r w:rsidR="00076699">
        <w:rPr>
          <w:rFonts w:eastAsia="Calibri"/>
          <w:sz w:val="26"/>
          <w:szCs w:val="26"/>
        </w:rPr>
        <w:t xml:space="preserve">As a result, the </w:t>
      </w:r>
      <w:r w:rsidR="00335BD1">
        <w:rPr>
          <w:rFonts w:eastAsia="Calibri"/>
          <w:sz w:val="26"/>
          <w:szCs w:val="26"/>
        </w:rPr>
        <w:t>PTA contends</w:t>
      </w:r>
      <w:r w:rsidRPr="00CE4B87">
        <w:rPr>
          <w:rFonts w:eastAsia="Calibri"/>
          <w:sz w:val="26"/>
          <w:szCs w:val="26"/>
        </w:rPr>
        <w:t xml:space="preserve"> that earlier involvement in this matter did not seem appropriate, necessary, or cost effective.  PTA Petition at 7-8.  We find no merit in these arguments.  </w:t>
      </w:r>
    </w:p>
    <w:p w14:paraId="51E98941" w14:textId="77777777" w:rsidR="00CE4B87" w:rsidRPr="00CE4B87" w:rsidRDefault="00CE4B87" w:rsidP="00217B05">
      <w:pPr>
        <w:widowControl/>
        <w:spacing w:line="360" w:lineRule="auto"/>
        <w:ind w:firstLine="1440"/>
        <w:contextualSpacing/>
        <w:rPr>
          <w:rFonts w:eastAsia="Calibri"/>
          <w:sz w:val="26"/>
          <w:szCs w:val="26"/>
        </w:rPr>
      </w:pPr>
    </w:p>
    <w:p w14:paraId="07436E70" w14:textId="1BB5BD59" w:rsidR="00CE4B87" w:rsidRPr="00CE4B87" w:rsidRDefault="00CE4B87" w:rsidP="00217B05">
      <w:pPr>
        <w:widowControl/>
        <w:spacing w:line="360" w:lineRule="auto"/>
        <w:ind w:firstLine="1440"/>
        <w:contextualSpacing/>
        <w:rPr>
          <w:rFonts w:eastAsia="Calibri"/>
          <w:sz w:val="26"/>
          <w:szCs w:val="26"/>
        </w:rPr>
      </w:pPr>
      <w:r w:rsidRPr="00CE4B87">
        <w:rPr>
          <w:rFonts w:eastAsia="Calibri"/>
          <w:sz w:val="26"/>
          <w:szCs w:val="26"/>
        </w:rPr>
        <w:t>First, the OCA</w:t>
      </w:r>
      <w:r w:rsidR="00335BD1">
        <w:rPr>
          <w:rFonts w:eastAsia="Calibri"/>
          <w:sz w:val="26"/>
          <w:szCs w:val="26"/>
        </w:rPr>
        <w:t>, in its</w:t>
      </w:r>
      <w:r w:rsidRPr="00CE4B87">
        <w:rPr>
          <w:rFonts w:eastAsia="Calibri"/>
          <w:sz w:val="26"/>
          <w:szCs w:val="26"/>
        </w:rPr>
        <w:t xml:space="preserve"> 2018 and 2019 Complaints</w:t>
      </w:r>
      <w:r w:rsidR="00335BD1">
        <w:rPr>
          <w:rFonts w:eastAsia="Calibri"/>
          <w:sz w:val="26"/>
          <w:szCs w:val="26"/>
        </w:rPr>
        <w:t>,</w:t>
      </w:r>
      <w:r w:rsidRPr="00CE4B87">
        <w:rPr>
          <w:rFonts w:eastAsia="Calibri"/>
          <w:sz w:val="26"/>
          <w:szCs w:val="26"/>
        </w:rPr>
        <w:t xml:space="preserve"> raised the issue of whether the TCJA qualifies as an exogenous event under CenturyLink’s Chapter 30 Plan.  As CenturyLink is a member company of the PTA</w:t>
      </w:r>
      <w:r w:rsidR="00AC703F">
        <w:rPr>
          <w:rFonts w:eastAsia="Calibri"/>
          <w:sz w:val="26"/>
          <w:szCs w:val="26"/>
        </w:rPr>
        <w:t xml:space="preserve">, </w:t>
      </w:r>
      <w:r w:rsidRPr="00CE4B87">
        <w:rPr>
          <w:rFonts w:eastAsia="Calibri"/>
          <w:sz w:val="26"/>
          <w:szCs w:val="26"/>
        </w:rPr>
        <w:t>and as the PTA’s other member companies have their own pending PSI/SPI proceedings involving the TCJA, the PTA had sufficient opportunity to intervene at the discovery stage of this proceeding and to present arguments for why it believes that there should be zero adjustment to the Company’s PSI Formula as a result of the TCJA’s passage.  Additionally, as the OCA notes, the PTA had an opportunity to intervene and object to the Joint Settlement, but chose not to.</w:t>
      </w:r>
    </w:p>
    <w:p w14:paraId="65890DB6" w14:textId="1FAF7635" w:rsidR="00CE4B87" w:rsidRPr="00CE4B87" w:rsidRDefault="00CE4B87" w:rsidP="0056511D">
      <w:pPr>
        <w:widowControl/>
        <w:spacing w:line="360" w:lineRule="auto"/>
        <w:ind w:firstLine="1440"/>
        <w:contextualSpacing/>
        <w:rPr>
          <w:rFonts w:eastAsia="Calibri"/>
          <w:sz w:val="26"/>
          <w:szCs w:val="26"/>
        </w:rPr>
      </w:pPr>
      <w:r w:rsidRPr="00CE4B87">
        <w:rPr>
          <w:rFonts w:eastAsia="Calibri"/>
          <w:sz w:val="26"/>
          <w:szCs w:val="26"/>
        </w:rPr>
        <w:t xml:space="preserve">Second, we echo the OCA that given that a Settlement was reached in this proceeding, this proceeding is not presently contested.  As will be discussed in our resolution of the Exceptions filed by the Joint Petitioners, </w:t>
      </w:r>
      <w:r w:rsidRPr="00CE4B87">
        <w:rPr>
          <w:rFonts w:eastAsia="Calibri"/>
          <w:i/>
          <w:iCs/>
          <w:sz w:val="26"/>
          <w:szCs w:val="26"/>
        </w:rPr>
        <w:t xml:space="preserve">infra, </w:t>
      </w:r>
      <w:r w:rsidRPr="00CE4B87">
        <w:rPr>
          <w:rFonts w:eastAsia="Calibri"/>
          <w:sz w:val="26"/>
          <w:szCs w:val="26"/>
        </w:rPr>
        <w:t xml:space="preserve">we shall reverse the recommendation of the ALJs and shall approve the Settlement.  Thus, we concur </w:t>
      </w:r>
      <w:r w:rsidR="004330B9">
        <w:rPr>
          <w:rFonts w:eastAsia="Calibri"/>
          <w:sz w:val="26"/>
          <w:szCs w:val="26"/>
        </w:rPr>
        <w:t xml:space="preserve">with </w:t>
      </w:r>
      <w:r w:rsidRPr="00CE4B87">
        <w:rPr>
          <w:rFonts w:eastAsia="Calibri"/>
          <w:sz w:val="26"/>
          <w:szCs w:val="26"/>
        </w:rPr>
        <w:t xml:space="preserve">both the OCA and the OSBA, that this proceeding is narrowly focused on whether the Settlement submitted by the Joint Petitioners is just, reasonable, in the public interest, and should be approved.  </w:t>
      </w:r>
      <w:r w:rsidR="008E49EA">
        <w:rPr>
          <w:rFonts w:eastAsia="Calibri"/>
          <w:sz w:val="26"/>
          <w:szCs w:val="26"/>
        </w:rPr>
        <w:t>A</w:t>
      </w:r>
      <w:r w:rsidRPr="00CE4B87">
        <w:rPr>
          <w:rFonts w:eastAsia="Calibri"/>
          <w:sz w:val="26"/>
          <w:szCs w:val="26"/>
        </w:rPr>
        <w:t xml:space="preserve">s the OCA notes, the PTA Petition seeks to litigate the exogenous event issue, which the Joint Petitioners have specifically agreed to set aside for the purpose of the </w:t>
      </w:r>
      <w:r w:rsidR="004330B9">
        <w:rPr>
          <w:rFonts w:eastAsia="Calibri"/>
          <w:sz w:val="26"/>
          <w:szCs w:val="26"/>
        </w:rPr>
        <w:t>S</w:t>
      </w:r>
      <w:r w:rsidRPr="00CE4B87">
        <w:rPr>
          <w:rFonts w:eastAsia="Calibri"/>
          <w:sz w:val="26"/>
          <w:szCs w:val="26"/>
        </w:rPr>
        <w:t>ettlement</w:t>
      </w:r>
      <w:r w:rsidR="006E141E">
        <w:rPr>
          <w:rFonts w:eastAsia="Calibri"/>
          <w:sz w:val="26"/>
          <w:szCs w:val="26"/>
        </w:rPr>
        <w:t>.</w:t>
      </w:r>
      <w:r w:rsidRPr="00CE4B87">
        <w:rPr>
          <w:rFonts w:eastAsia="Calibri"/>
          <w:sz w:val="26"/>
          <w:szCs w:val="26"/>
        </w:rPr>
        <w:t xml:space="preserve">  </w:t>
      </w:r>
      <w:r w:rsidRPr="00CE4B87">
        <w:rPr>
          <w:rFonts w:eastAsia="Calibri"/>
          <w:i/>
          <w:iCs/>
          <w:sz w:val="26"/>
          <w:szCs w:val="26"/>
        </w:rPr>
        <w:t xml:space="preserve">See </w:t>
      </w:r>
      <w:r w:rsidRPr="00CE4B87">
        <w:rPr>
          <w:rFonts w:eastAsia="Calibri"/>
          <w:sz w:val="26"/>
          <w:szCs w:val="26"/>
        </w:rPr>
        <w:t>OCA Answer at 10.</w:t>
      </w:r>
      <w:r w:rsidR="008E49EA">
        <w:rPr>
          <w:rFonts w:eastAsia="Calibri"/>
          <w:sz w:val="26"/>
          <w:szCs w:val="26"/>
        </w:rPr>
        <w:t xml:space="preserve">  </w:t>
      </w:r>
      <w:r w:rsidR="008E49EA" w:rsidRPr="00CE4B87">
        <w:rPr>
          <w:rFonts w:eastAsia="Calibri"/>
          <w:sz w:val="26"/>
          <w:szCs w:val="26"/>
        </w:rPr>
        <w:t xml:space="preserve">For this reason, we further concur with the OCA that granting the PTA’s Petition would delay the orderly progress of this </w:t>
      </w:r>
      <w:r w:rsidR="008E49EA">
        <w:rPr>
          <w:rFonts w:eastAsia="Calibri"/>
          <w:sz w:val="26"/>
          <w:szCs w:val="26"/>
        </w:rPr>
        <w:t>proceeding</w:t>
      </w:r>
      <w:r w:rsidR="008E49EA" w:rsidRPr="00CE4B87">
        <w:rPr>
          <w:rFonts w:eastAsia="Calibri"/>
          <w:sz w:val="26"/>
          <w:szCs w:val="26"/>
        </w:rPr>
        <w:t xml:space="preserve"> and would unreasonably broaden the issues.  </w:t>
      </w:r>
      <w:r w:rsidRPr="00CE4B87">
        <w:rPr>
          <w:rFonts w:eastAsia="Calibri"/>
          <w:sz w:val="26"/>
          <w:szCs w:val="26"/>
        </w:rPr>
        <w:t xml:space="preserve">  Having found that the PTA has failed to demonstrate that extraordinary circumstances existed such that it could not file its Petition until the Exceptions stage of this proceeding, we shall decline to exercise our discretion to allow the PTA to intervene at this late stage.</w:t>
      </w:r>
    </w:p>
    <w:p w14:paraId="55DFDA87" w14:textId="77777777" w:rsidR="00CE4B87" w:rsidRPr="00CE4B87" w:rsidRDefault="00CE4B87" w:rsidP="0056511D">
      <w:pPr>
        <w:widowControl/>
        <w:spacing w:line="360" w:lineRule="auto"/>
        <w:ind w:firstLine="1440"/>
        <w:contextualSpacing/>
        <w:rPr>
          <w:rFonts w:eastAsia="Calibri"/>
          <w:sz w:val="26"/>
          <w:szCs w:val="26"/>
        </w:rPr>
      </w:pPr>
    </w:p>
    <w:p w14:paraId="07CF5DF7" w14:textId="0FAB1830" w:rsidR="00CE4B87" w:rsidRPr="006812B6" w:rsidRDefault="00CE4B87" w:rsidP="0056511D">
      <w:pPr>
        <w:widowControl/>
        <w:spacing w:line="360" w:lineRule="auto"/>
        <w:ind w:firstLine="1440"/>
        <w:contextualSpacing/>
        <w:rPr>
          <w:rFonts w:eastAsia="Calibri"/>
          <w:sz w:val="26"/>
          <w:szCs w:val="26"/>
        </w:rPr>
      </w:pPr>
      <w:r w:rsidRPr="00CE4B87">
        <w:rPr>
          <w:rFonts w:eastAsia="Calibri"/>
          <w:sz w:val="26"/>
          <w:szCs w:val="26"/>
        </w:rPr>
        <w:t xml:space="preserve">As to the PTA Motion, we find the arguments of the OSBA against accepting the </w:t>
      </w:r>
      <w:r w:rsidR="00121172">
        <w:rPr>
          <w:rFonts w:eastAsia="Calibri"/>
          <w:sz w:val="26"/>
          <w:szCs w:val="26"/>
        </w:rPr>
        <w:t xml:space="preserve">PTA </w:t>
      </w:r>
      <w:r w:rsidRPr="00CE4B87">
        <w:rPr>
          <w:rFonts w:eastAsia="Calibri"/>
          <w:sz w:val="26"/>
          <w:szCs w:val="26"/>
        </w:rPr>
        <w:t xml:space="preserve">Motion and  accompanying Exceptions compelling.  </w:t>
      </w:r>
      <w:r w:rsidR="00C73E0E">
        <w:rPr>
          <w:rFonts w:eastAsia="Calibri"/>
          <w:sz w:val="26"/>
          <w:szCs w:val="26"/>
        </w:rPr>
        <w:t>On review of the PTA</w:t>
      </w:r>
      <w:r w:rsidRPr="00CE4B87">
        <w:rPr>
          <w:rFonts w:eastAsia="Calibri"/>
          <w:sz w:val="26"/>
          <w:szCs w:val="26"/>
        </w:rPr>
        <w:t xml:space="preserve"> Exceptions</w:t>
      </w:r>
      <w:r w:rsidR="00C73E0E">
        <w:rPr>
          <w:rFonts w:eastAsia="Calibri"/>
          <w:sz w:val="26"/>
          <w:szCs w:val="26"/>
        </w:rPr>
        <w:t xml:space="preserve">, we agree with the position of the </w:t>
      </w:r>
      <w:r w:rsidR="002545B2">
        <w:rPr>
          <w:rFonts w:eastAsia="Calibri"/>
          <w:sz w:val="26"/>
          <w:szCs w:val="26"/>
        </w:rPr>
        <w:t xml:space="preserve">OSBA </w:t>
      </w:r>
      <w:r w:rsidR="00C73E0E">
        <w:rPr>
          <w:rFonts w:eastAsia="Calibri"/>
          <w:sz w:val="26"/>
          <w:szCs w:val="26"/>
        </w:rPr>
        <w:t>that the Exceptions</w:t>
      </w:r>
      <w:r w:rsidRPr="00CE4B87">
        <w:rPr>
          <w:rFonts w:eastAsia="Calibri"/>
          <w:sz w:val="26"/>
          <w:szCs w:val="26"/>
        </w:rPr>
        <w:t xml:space="preserve"> are </w:t>
      </w:r>
      <w:r w:rsidR="00121172">
        <w:rPr>
          <w:rFonts w:eastAsia="Calibri"/>
          <w:sz w:val="26"/>
          <w:szCs w:val="26"/>
        </w:rPr>
        <w:t xml:space="preserve">in the nature of a </w:t>
      </w:r>
      <w:r w:rsidR="00A51AAF">
        <w:rPr>
          <w:rFonts w:eastAsia="Calibri"/>
          <w:sz w:val="26"/>
          <w:szCs w:val="26"/>
        </w:rPr>
        <w:t xml:space="preserve"> PTA</w:t>
      </w:r>
      <w:r w:rsidRPr="00CE4B87">
        <w:rPr>
          <w:rFonts w:eastAsia="Calibri"/>
          <w:sz w:val="26"/>
          <w:szCs w:val="26"/>
        </w:rPr>
        <w:t xml:space="preserve"> Main Brief arguing why it believes that the TCJA does not qualify as an </w:t>
      </w:r>
      <w:r w:rsidRPr="0084035F">
        <w:rPr>
          <w:rFonts w:eastAsia="Calibri"/>
          <w:sz w:val="26"/>
          <w:szCs w:val="26"/>
        </w:rPr>
        <w:t>exogenous event.</w:t>
      </w:r>
      <w:r w:rsidR="0084035F" w:rsidRPr="0084035F">
        <w:rPr>
          <w:rStyle w:val="FootnoteReference"/>
          <w:rFonts w:eastAsia="Calibri"/>
          <w:sz w:val="26"/>
          <w:szCs w:val="26"/>
        </w:rPr>
        <w:footnoteReference w:id="15"/>
      </w:r>
      <w:r w:rsidRPr="0084035F">
        <w:rPr>
          <w:rFonts w:eastAsia="Calibri"/>
          <w:sz w:val="26"/>
          <w:szCs w:val="26"/>
        </w:rPr>
        <w:t xml:space="preserve">  As such</w:t>
      </w:r>
      <w:r w:rsidRPr="00CE4B87">
        <w:rPr>
          <w:rFonts w:eastAsia="Calibri"/>
          <w:sz w:val="26"/>
          <w:szCs w:val="26"/>
        </w:rPr>
        <w:t xml:space="preserve">, we concur with the OSBA that the PTA has attempted to introduce new evidence at the Exceptions stage of this proceeding.  </w:t>
      </w:r>
      <w:r w:rsidR="00925005">
        <w:rPr>
          <w:rFonts w:eastAsia="Calibri"/>
          <w:sz w:val="26"/>
          <w:szCs w:val="26"/>
        </w:rPr>
        <w:t>We</w:t>
      </w:r>
      <w:r w:rsidRPr="00CE4B87">
        <w:rPr>
          <w:rFonts w:eastAsia="Calibri"/>
          <w:sz w:val="26"/>
          <w:szCs w:val="26"/>
        </w:rPr>
        <w:t xml:space="preserve"> note that </w:t>
      </w:r>
      <w:r w:rsidRPr="00CE4B87">
        <w:rPr>
          <w:sz w:val="26"/>
          <w:szCs w:val="24"/>
        </w:rPr>
        <w:t xml:space="preserve">it is axiomatic that this Commission base its decisions on the evidence in the record, and we are prohibited from looking beyond the record for evidence not previously supplied to support a desired finding of fact or conclusion of law.  </w:t>
      </w:r>
      <w:r w:rsidRPr="00CE4B87">
        <w:rPr>
          <w:i/>
          <w:iCs/>
          <w:sz w:val="26"/>
          <w:szCs w:val="24"/>
        </w:rPr>
        <w:t xml:space="preserve">See </w:t>
      </w:r>
      <w:r w:rsidRPr="00CE4B87">
        <w:rPr>
          <w:sz w:val="26"/>
          <w:szCs w:val="24"/>
        </w:rPr>
        <w:t xml:space="preserve">52 Pa. Code § 5.431.  </w:t>
      </w:r>
      <w:r w:rsidR="000170CF" w:rsidRPr="006812B6">
        <w:rPr>
          <w:sz w:val="26"/>
          <w:szCs w:val="26"/>
        </w:rPr>
        <w:t xml:space="preserve">Moreover, </w:t>
      </w:r>
      <w:r w:rsidR="00C34A4A" w:rsidRPr="006812B6">
        <w:rPr>
          <w:sz w:val="26"/>
          <w:szCs w:val="26"/>
        </w:rPr>
        <w:t xml:space="preserve">administrative agencies, such as this Commission, </w:t>
      </w:r>
      <w:r w:rsidR="00A209BF" w:rsidRPr="006812B6">
        <w:rPr>
          <w:sz w:val="26"/>
          <w:szCs w:val="26"/>
        </w:rPr>
        <w:t xml:space="preserve">are required to provide due process to the parties appearing before them.  </w:t>
      </w:r>
      <w:r w:rsidR="008B4950" w:rsidRPr="006812B6">
        <w:rPr>
          <w:i/>
          <w:iCs/>
          <w:sz w:val="26"/>
          <w:szCs w:val="26"/>
        </w:rPr>
        <w:t xml:space="preserve">See </w:t>
      </w:r>
      <w:r w:rsidR="00F11E81" w:rsidRPr="00F766CA">
        <w:rPr>
          <w:i/>
          <w:color w:val="000000"/>
          <w:sz w:val="26"/>
          <w:szCs w:val="26"/>
        </w:rPr>
        <w:t>Schneider v. Pa. PUC</w:t>
      </w:r>
      <w:r w:rsidR="00F11E81" w:rsidRPr="006A2181">
        <w:rPr>
          <w:iCs/>
          <w:color w:val="000000"/>
          <w:sz w:val="26"/>
          <w:szCs w:val="26"/>
        </w:rPr>
        <w:t>,</w:t>
      </w:r>
      <w:r w:rsidR="00F11E81" w:rsidRPr="00F766CA">
        <w:rPr>
          <w:i/>
          <w:color w:val="000000"/>
          <w:sz w:val="26"/>
          <w:szCs w:val="26"/>
        </w:rPr>
        <w:t xml:space="preserve"> </w:t>
      </w:r>
      <w:r w:rsidR="00F11E81" w:rsidRPr="00F766CA">
        <w:rPr>
          <w:color w:val="000000"/>
          <w:sz w:val="26"/>
          <w:szCs w:val="26"/>
        </w:rPr>
        <w:t xml:space="preserve">479 A.2d 10, 15 (Pa. </w:t>
      </w:r>
      <w:proofErr w:type="spellStart"/>
      <w:r w:rsidR="00F11E81" w:rsidRPr="00F766CA">
        <w:rPr>
          <w:color w:val="000000"/>
          <w:sz w:val="26"/>
          <w:szCs w:val="26"/>
        </w:rPr>
        <w:t>Cmwlth</w:t>
      </w:r>
      <w:proofErr w:type="spellEnd"/>
      <w:r w:rsidR="00F11E81" w:rsidRPr="00F766CA">
        <w:rPr>
          <w:color w:val="000000"/>
          <w:sz w:val="26"/>
          <w:szCs w:val="26"/>
        </w:rPr>
        <w:t xml:space="preserve">. 1984); OSBA Answer at 4.  </w:t>
      </w:r>
      <w:r w:rsidR="00E640A0" w:rsidRPr="006812B6">
        <w:rPr>
          <w:sz w:val="26"/>
          <w:szCs w:val="26"/>
        </w:rPr>
        <w:t xml:space="preserve">Thus, if we were to accept the new evidence that the PTA has proffered at the Exceptions stage, </w:t>
      </w:r>
      <w:r w:rsidR="008B4950" w:rsidRPr="006812B6">
        <w:rPr>
          <w:sz w:val="26"/>
          <w:szCs w:val="26"/>
        </w:rPr>
        <w:t xml:space="preserve">we would deprive the OCA and the OSBA of the opportunity to </w:t>
      </w:r>
      <w:r w:rsidR="005B011D" w:rsidRPr="006812B6">
        <w:rPr>
          <w:sz w:val="26"/>
          <w:szCs w:val="26"/>
        </w:rPr>
        <w:t xml:space="preserve">rebut the PTA’s arguments thereto.  </w:t>
      </w:r>
      <w:r w:rsidRPr="006812B6">
        <w:rPr>
          <w:sz w:val="26"/>
          <w:szCs w:val="26"/>
        </w:rPr>
        <w:t xml:space="preserve">Accordingly, we shall </w:t>
      </w:r>
      <w:r w:rsidR="00925005" w:rsidRPr="006812B6">
        <w:rPr>
          <w:sz w:val="26"/>
          <w:szCs w:val="26"/>
        </w:rPr>
        <w:t xml:space="preserve">decline to consider the PTA’s arguments and shall </w:t>
      </w:r>
      <w:r w:rsidRPr="006812B6">
        <w:rPr>
          <w:sz w:val="26"/>
          <w:szCs w:val="26"/>
        </w:rPr>
        <w:t>deny the PTA’s Motion.</w:t>
      </w:r>
    </w:p>
    <w:p w14:paraId="085044CD" w14:textId="0A1B851B" w:rsidR="00571329" w:rsidRPr="006812B6" w:rsidRDefault="00571329" w:rsidP="00217B05">
      <w:pPr>
        <w:widowControl/>
        <w:spacing w:line="360" w:lineRule="auto"/>
        <w:contextualSpacing/>
        <w:rPr>
          <w:rStyle w:val="Hyperlink"/>
          <w:color w:val="auto"/>
          <w:sz w:val="26"/>
          <w:szCs w:val="26"/>
          <w:u w:val="none"/>
        </w:rPr>
      </w:pPr>
    </w:p>
    <w:p w14:paraId="5CCE086A" w14:textId="2F70326B" w:rsidR="00B63E6D" w:rsidRPr="006812B6" w:rsidRDefault="005F7D09" w:rsidP="00217B05">
      <w:pPr>
        <w:pStyle w:val="Heading2"/>
        <w:widowControl/>
        <w:numPr>
          <w:ilvl w:val="0"/>
          <w:numId w:val="10"/>
        </w:numPr>
        <w:spacing w:before="0" w:line="360" w:lineRule="auto"/>
        <w:ind w:left="720"/>
        <w:contextualSpacing/>
        <w:rPr>
          <w:rStyle w:val="Hyperlink"/>
          <w:rFonts w:ascii="Times New Roman" w:hAnsi="Times New Roman" w:cs="Times New Roman"/>
          <w:b/>
          <w:bCs/>
          <w:color w:val="auto"/>
          <w:u w:val="none"/>
        </w:rPr>
      </w:pPr>
      <w:bookmarkStart w:id="20" w:name="_Toc91762314"/>
      <w:r w:rsidRPr="006812B6">
        <w:rPr>
          <w:rStyle w:val="Hyperlink"/>
          <w:rFonts w:ascii="Times New Roman" w:hAnsi="Times New Roman" w:cs="Times New Roman"/>
          <w:b/>
          <w:bCs/>
          <w:color w:val="auto"/>
          <w:u w:val="none"/>
        </w:rPr>
        <w:t>Exceptions</w:t>
      </w:r>
      <w:bookmarkEnd w:id="20"/>
    </w:p>
    <w:p w14:paraId="1AC4A38E" w14:textId="04C3336A" w:rsidR="00B63E6D" w:rsidRPr="006812B6" w:rsidRDefault="00B63E6D" w:rsidP="00217B05">
      <w:pPr>
        <w:keepNext/>
        <w:keepLines/>
        <w:widowControl/>
        <w:spacing w:line="360" w:lineRule="auto"/>
        <w:contextualSpacing/>
        <w:rPr>
          <w:rStyle w:val="Hyperlink"/>
          <w:color w:val="auto"/>
          <w:sz w:val="26"/>
          <w:szCs w:val="26"/>
          <w:u w:val="none"/>
        </w:rPr>
      </w:pPr>
    </w:p>
    <w:p w14:paraId="4F981F28" w14:textId="1933EA5D" w:rsidR="00B63E6D" w:rsidRPr="006A35A5" w:rsidRDefault="00F476E1" w:rsidP="00217B05">
      <w:pPr>
        <w:pStyle w:val="Heading3"/>
        <w:widowControl/>
        <w:numPr>
          <w:ilvl w:val="0"/>
          <w:numId w:val="37"/>
        </w:numPr>
        <w:spacing w:before="0"/>
        <w:ind w:left="1440" w:hanging="720"/>
        <w:contextualSpacing/>
        <w:rPr>
          <w:rStyle w:val="Hyperlink"/>
          <w:rFonts w:ascii="Times New Roman" w:hAnsi="Times New Roman" w:cs="Times New Roman"/>
          <w:b/>
          <w:bCs/>
          <w:color w:val="auto"/>
          <w:sz w:val="26"/>
          <w:szCs w:val="26"/>
          <w:u w:val="none"/>
        </w:rPr>
      </w:pPr>
      <w:bookmarkStart w:id="21" w:name="_Toc91762315"/>
      <w:r>
        <w:rPr>
          <w:rStyle w:val="Hyperlink"/>
          <w:rFonts w:ascii="Times New Roman" w:hAnsi="Times New Roman" w:cs="Times New Roman"/>
          <w:b/>
          <w:bCs/>
          <w:color w:val="auto"/>
          <w:sz w:val="26"/>
          <w:szCs w:val="26"/>
          <w:u w:val="none"/>
        </w:rPr>
        <w:t>Whether the ALJ</w:t>
      </w:r>
      <w:r w:rsidR="0000131A">
        <w:rPr>
          <w:rStyle w:val="Hyperlink"/>
          <w:rFonts w:ascii="Times New Roman" w:hAnsi="Times New Roman" w:cs="Times New Roman"/>
          <w:b/>
          <w:bCs/>
          <w:color w:val="auto"/>
          <w:sz w:val="26"/>
          <w:szCs w:val="26"/>
          <w:u w:val="none"/>
        </w:rPr>
        <w:t>s</w:t>
      </w:r>
      <w:r>
        <w:rPr>
          <w:rStyle w:val="Hyperlink"/>
          <w:rFonts w:ascii="Times New Roman" w:hAnsi="Times New Roman" w:cs="Times New Roman"/>
          <w:b/>
          <w:bCs/>
          <w:color w:val="auto"/>
          <w:sz w:val="26"/>
          <w:szCs w:val="26"/>
          <w:u w:val="none"/>
        </w:rPr>
        <w:t xml:space="preserve"> Erred in Interpreting and Applying the </w:t>
      </w:r>
      <w:r>
        <w:rPr>
          <w:rStyle w:val="Hyperlink"/>
          <w:rFonts w:ascii="Times New Roman" w:hAnsi="Times New Roman" w:cs="Times New Roman"/>
          <w:b/>
          <w:bCs/>
          <w:i/>
          <w:iCs/>
          <w:color w:val="auto"/>
          <w:sz w:val="26"/>
          <w:szCs w:val="26"/>
          <w:u w:val="none"/>
        </w:rPr>
        <w:t>October</w:t>
      </w:r>
      <w:r w:rsidR="0056511D">
        <w:rPr>
          <w:rStyle w:val="Hyperlink"/>
          <w:rFonts w:ascii="Times New Roman" w:hAnsi="Times New Roman" w:cs="Times New Roman"/>
          <w:b/>
          <w:bCs/>
          <w:i/>
          <w:iCs/>
          <w:color w:val="auto"/>
          <w:sz w:val="26"/>
          <w:szCs w:val="26"/>
          <w:u w:val="none"/>
        </w:rPr>
        <w:t> </w:t>
      </w:r>
      <w:r>
        <w:rPr>
          <w:rStyle w:val="Hyperlink"/>
          <w:rFonts w:ascii="Times New Roman" w:hAnsi="Times New Roman" w:cs="Times New Roman"/>
          <w:b/>
          <w:bCs/>
          <w:i/>
          <w:iCs/>
          <w:color w:val="auto"/>
          <w:sz w:val="26"/>
          <w:szCs w:val="26"/>
          <w:u w:val="none"/>
        </w:rPr>
        <w:t>2018 Order</w:t>
      </w:r>
      <w:r>
        <w:rPr>
          <w:rStyle w:val="Hyperlink"/>
          <w:rFonts w:ascii="Times New Roman" w:hAnsi="Times New Roman" w:cs="Times New Roman"/>
          <w:b/>
          <w:bCs/>
          <w:color w:val="auto"/>
          <w:sz w:val="26"/>
          <w:szCs w:val="26"/>
          <w:u w:val="none"/>
        </w:rPr>
        <w:t xml:space="preserve"> </w:t>
      </w:r>
      <w:r w:rsidR="00267169">
        <w:rPr>
          <w:rStyle w:val="Hyperlink"/>
          <w:rFonts w:ascii="Times New Roman" w:hAnsi="Times New Roman" w:cs="Times New Roman"/>
          <w:b/>
          <w:bCs/>
          <w:color w:val="auto"/>
          <w:sz w:val="26"/>
          <w:szCs w:val="26"/>
          <w:u w:val="none"/>
        </w:rPr>
        <w:t>(CenturyLink Exception Nos. 1 and 2; OCA</w:t>
      </w:r>
      <w:r w:rsidR="0056511D">
        <w:rPr>
          <w:rStyle w:val="Hyperlink"/>
          <w:rFonts w:ascii="Times New Roman" w:hAnsi="Times New Roman" w:cs="Times New Roman"/>
          <w:b/>
          <w:bCs/>
          <w:color w:val="auto"/>
          <w:sz w:val="26"/>
          <w:szCs w:val="26"/>
          <w:u w:val="none"/>
        </w:rPr>
        <w:t> </w:t>
      </w:r>
      <w:r w:rsidR="00267169">
        <w:rPr>
          <w:rStyle w:val="Hyperlink"/>
          <w:rFonts w:ascii="Times New Roman" w:hAnsi="Times New Roman" w:cs="Times New Roman"/>
          <w:b/>
          <w:bCs/>
          <w:color w:val="auto"/>
          <w:sz w:val="26"/>
          <w:szCs w:val="26"/>
          <w:u w:val="none"/>
        </w:rPr>
        <w:t xml:space="preserve">Exception No. </w:t>
      </w:r>
      <w:r w:rsidR="003E0513">
        <w:rPr>
          <w:rStyle w:val="Hyperlink"/>
          <w:rFonts w:ascii="Times New Roman" w:hAnsi="Times New Roman" w:cs="Times New Roman"/>
          <w:b/>
          <w:bCs/>
          <w:color w:val="auto"/>
          <w:sz w:val="26"/>
          <w:szCs w:val="26"/>
          <w:u w:val="none"/>
        </w:rPr>
        <w:t>1; OSBA Exception No. 1)</w:t>
      </w:r>
      <w:bookmarkEnd w:id="21"/>
    </w:p>
    <w:p w14:paraId="2BA75990" w14:textId="795D97D5" w:rsidR="00B63E6D" w:rsidRDefault="00B63E6D" w:rsidP="0056511D">
      <w:pPr>
        <w:keepNext/>
        <w:keepLines/>
        <w:widowControl/>
        <w:spacing w:line="480" w:lineRule="auto"/>
        <w:contextualSpacing/>
        <w:rPr>
          <w:rStyle w:val="Hyperlink"/>
          <w:color w:val="auto"/>
          <w:sz w:val="26"/>
          <w:szCs w:val="26"/>
          <w:u w:val="none"/>
        </w:rPr>
      </w:pPr>
    </w:p>
    <w:p w14:paraId="1696B1C1" w14:textId="656BAE0D" w:rsidR="006A35A5" w:rsidRDefault="00935E00"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Each Joint Petitioner </w:t>
      </w:r>
      <w:r w:rsidR="003C3259">
        <w:rPr>
          <w:rStyle w:val="Hyperlink"/>
          <w:color w:val="auto"/>
          <w:sz w:val="26"/>
          <w:szCs w:val="26"/>
          <w:u w:val="none"/>
        </w:rPr>
        <w:t>take</w:t>
      </w:r>
      <w:r w:rsidR="000A2196">
        <w:rPr>
          <w:rStyle w:val="Hyperlink"/>
          <w:color w:val="auto"/>
          <w:sz w:val="26"/>
          <w:szCs w:val="26"/>
          <w:u w:val="none"/>
        </w:rPr>
        <w:t>s</w:t>
      </w:r>
      <w:r w:rsidR="003C3259">
        <w:rPr>
          <w:rStyle w:val="Hyperlink"/>
          <w:color w:val="auto"/>
          <w:sz w:val="26"/>
          <w:szCs w:val="26"/>
          <w:u w:val="none"/>
        </w:rPr>
        <w:t xml:space="preserve"> issue</w:t>
      </w:r>
      <w:r>
        <w:rPr>
          <w:rStyle w:val="Hyperlink"/>
          <w:color w:val="auto"/>
          <w:sz w:val="26"/>
          <w:szCs w:val="26"/>
          <w:u w:val="none"/>
        </w:rPr>
        <w:t xml:space="preserve"> with the ALJs’ finding that </w:t>
      </w:r>
      <w:r w:rsidR="00924380">
        <w:rPr>
          <w:rStyle w:val="Hyperlink"/>
          <w:color w:val="auto"/>
          <w:sz w:val="26"/>
          <w:szCs w:val="26"/>
          <w:u w:val="none"/>
        </w:rPr>
        <w:t xml:space="preserve">the </w:t>
      </w:r>
      <w:r>
        <w:rPr>
          <w:rStyle w:val="Hyperlink"/>
          <w:color w:val="auto"/>
          <w:sz w:val="26"/>
          <w:szCs w:val="26"/>
          <w:u w:val="none"/>
        </w:rPr>
        <w:t xml:space="preserve">Commission, through the </w:t>
      </w:r>
      <w:r>
        <w:rPr>
          <w:rStyle w:val="Hyperlink"/>
          <w:i/>
          <w:iCs/>
          <w:color w:val="auto"/>
          <w:sz w:val="26"/>
          <w:szCs w:val="26"/>
          <w:u w:val="none"/>
        </w:rPr>
        <w:t>October 2018 Order</w:t>
      </w:r>
      <w:r w:rsidRPr="006A2181">
        <w:rPr>
          <w:rStyle w:val="Hyperlink"/>
          <w:color w:val="auto"/>
          <w:sz w:val="26"/>
          <w:szCs w:val="26"/>
          <w:u w:val="none"/>
        </w:rPr>
        <w:t>,</w:t>
      </w:r>
      <w:r>
        <w:rPr>
          <w:rStyle w:val="Hyperlink"/>
          <w:color w:val="auto"/>
          <w:sz w:val="26"/>
          <w:szCs w:val="26"/>
          <w:u w:val="none"/>
        </w:rPr>
        <w:t xml:space="preserve"> mandated that a fu</w:t>
      </w:r>
      <w:r w:rsidR="00855399">
        <w:rPr>
          <w:rStyle w:val="Hyperlink"/>
          <w:color w:val="auto"/>
          <w:sz w:val="26"/>
          <w:szCs w:val="26"/>
          <w:u w:val="none"/>
        </w:rPr>
        <w:t>ll record be developed to decide the issue of whether the TCJA qualifies as an exogenous event.</w:t>
      </w:r>
      <w:r w:rsidR="00185485">
        <w:rPr>
          <w:rStyle w:val="Hyperlink"/>
          <w:color w:val="auto"/>
          <w:sz w:val="26"/>
          <w:szCs w:val="26"/>
          <w:u w:val="none"/>
        </w:rPr>
        <w:t xml:space="preserve">  CenturyLink Exc. at </w:t>
      </w:r>
      <w:r w:rsidR="003D1C70">
        <w:rPr>
          <w:rStyle w:val="Hyperlink"/>
          <w:color w:val="auto"/>
          <w:sz w:val="26"/>
          <w:szCs w:val="26"/>
          <w:u w:val="none"/>
        </w:rPr>
        <w:t xml:space="preserve">3-7; OCA Exc. at </w:t>
      </w:r>
      <w:r w:rsidR="004F2ABD">
        <w:rPr>
          <w:rStyle w:val="Hyperlink"/>
          <w:color w:val="auto"/>
          <w:sz w:val="26"/>
          <w:szCs w:val="26"/>
          <w:u w:val="none"/>
        </w:rPr>
        <w:t>2-5; OSBA Exc. at 3-</w:t>
      </w:r>
      <w:r w:rsidR="005E30F9">
        <w:rPr>
          <w:rStyle w:val="Hyperlink"/>
          <w:color w:val="auto"/>
          <w:sz w:val="26"/>
          <w:szCs w:val="26"/>
          <w:u w:val="none"/>
        </w:rPr>
        <w:t>4, 6</w:t>
      </w:r>
      <w:r w:rsidR="004F2ABD">
        <w:rPr>
          <w:rStyle w:val="Hyperlink"/>
          <w:color w:val="auto"/>
          <w:sz w:val="26"/>
          <w:szCs w:val="26"/>
          <w:u w:val="none"/>
        </w:rPr>
        <w:t>.</w:t>
      </w:r>
    </w:p>
    <w:p w14:paraId="34895B21" w14:textId="135F7AD4" w:rsidR="006A35A5" w:rsidRDefault="006A35A5" w:rsidP="00217B05">
      <w:pPr>
        <w:widowControl/>
        <w:spacing w:line="360" w:lineRule="auto"/>
        <w:contextualSpacing/>
        <w:rPr>
          <w:rStyle w:val="Hyperlink"/>
          <w:color w:val="auto"/>
          <w:sz w:val="26"/>
          <w:szCs w:val="26"/>
          <w:u w:val="none"/>
        </w:rPr>
      </w:pPr>
    </w:p>
    <w:p w14:paraId="50F7D5A8" w14:textId="2A6508A2" w:rsidR="0010191E" w:rsidRDefault="0010191E" w:rsidP="00217B05">
      <w:pPr>
        <w:pStyle w:val="Heading4"/>
        <w:keepNext/>
        <w:keepLines/>
        <w:numPr>
          <w:ilvl w:val="0"/>
          <w:numId w:val="38"/>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Exceptions</w:t>
      </w:r>
    </w:p>
    <w:p w14:paraId="11DF3184" w14:textId="3A7B4E46" w:rsidR="0010191E" w:rsidRDefault="0010191E" w:rsidP="00217B05">
      <w:pPr>
        <w:keepNext/>
        <w:keepLines/>
        <w:widowControl/>
        <w:spacing w:line="360" w:lineRule="auto"/>
        <w:contextualSpacing/>
        <w:rPr>
          <w:rStyle w:val="Hyperlink"/>
          <w:color w:val="auto"/>
          <w:sz w:val="26"/>
          <w:szCs w:val="26"/>
          <w:u w:val="none"/>
        </w:rPr>
      </w:pPr>
    </w:p>
    <w:p w14:paraId="48BC8A96" w14:textId="45505CB6" w:rsidR="0064312C" w:rsidRPr="0064312C" w:rsidRDefault="0064312C" w:rsidP="00217B05">
      <w:pPr>
        <w:widowControl/>
        <w:spacing w:line="360" w:lineRule="auto"/>
        <w:ind w:firstLine="1440"/>
        <w:contextualSpacing/>
        <w:rPr>
          <w:rFonts w:eastAsia="Calibri"/>
          <w:sz w:val="26"/>
          <w:szCs w:val="26"/>
        </w:rPr>
      </w:pPr>
      <w:r w:rsidRPr="0064312C">
        <w:rPr>
          <w:rFonts w:eastAsia="Calibri"/>
          <w:sz w:val="26"/>
          <w:szCs w:val="26"/>
        </w:rPr>
        <w:t xml:space="preserve">In its Exception No. 1, CenturyLink argues that the ALJs erroneously interpreted the reference to a “fully developed evidentiary record” in the </w:t>
      </w:r>
      <w:r w:rsidRPr="0064312C">
        <w:rPr>
          <w:rFonts w:eastAsia="Calibri"/>
          <w:i/>
          <w:iCs/>
          <w:sz w:val="26"/>
          <w:szCs w:val="26"/>
        </w:rPr>
        <w:t>October 2018 Order</w:t>
      </w:r>
      <w:r w:rsidRPr="0064312C">
        <w:rPr>
          <w:rFonts w:eastAsia="Calibri"/>
          <w:sz w:val="26"/>
          <w:szCs w:val="26"/>
        </w:rPr>
        <w:t xml:space="preserve"> to be a directive to create a record on the qualification and quantification of the TCJA as an exogenous event.  According to CenturyLink, the </w:t>
      </w:r>
      <w:r w:rsidRPr="0064312C">
        <w:rPr>
          <w:rFonts w:eastAsia="Calibri"/>
          <w:i/>
          <w:iCs/>
          <w:sz w:val="26"/>
          <w:szCs w:val="26"/>
        </w:rPr>
        <w:t>October 2018 Order</w:t>
      </w:r>
      <w:r w:rsidRPr="0064312C">
        <w:rPr>
          <w:rFonts w:eastAsia="Calibri"/>
          <w:sz w:val="26"/>
          <w:szCs w:val="26"/>
        </w:rPr>
        <w:t xml:space="preserve"> did not in any explicit manner direct the Parties to develop such an evidentiary record.  CenturyLink Exc. at 3.  Rather, CenturyLink contends that when the Commission noted in the </w:t>
      </w:r>
      <w:r w:rsidRPr="0064312C">
        <w:rPr>
          <w:rFonts w:eastAsia="Calibri"/>
          <w:i/>
          <w:iCs/>
          <w:sz w:val="26"/>
          <w:szCs w:val="26"/>
        </w:rPr>
        <w:t>October 2018 Order</w:t>
      </w:r>
      <w:r w:rsidRPr="0064312C">
        <w:rPr>
          <w:rFonts w:eastAsia="Calibri"/>
          <w:sz w:val="26"/>
          <w:szCs w:val="26"/>
        </w:rPr>
        <w:t xml:space="preserve"> that it had not had a “cause to review the impact of an event such as the TCJA,” it was merely stating that the generic investigation </w:t>
      </w:r>
      <w:r w:rsidR="00C0345C">
        <w:rPr>
          <w:rFonts w:eastAsia="Calibri"/>
          <w:sz w:val="26"/>
          <w:szCs w:val="26"/>
        </w:rPr>
        <w:t xml:space="preserve">as to whether the TCJA qualifies as an exogenous event </w:t>
      </w:r>
      <w:r w:rsidRPr="0064312C">
        <w:rPr>
          <w:rFonts w:eastAsia="Calibri"/>
          <w:sz w:val="26"/>
          <w:szCs w:val="26"/>
        </w:rPr>
        <w:t xml:space="preserve">will be aided by the record in the annual PSI/SPI Filings of the ILECs that operate under price cap regulation.  </w:t>
      </w:r>
      <w:r w:rsidRPr="0064312C">
        <w:rPr>
          <w:rFonts w:eastAsia="Calibri"/>
          <w:i/>
          <w:iCs/>
          <w:sz w:val="26"/>
          <w:szCs w:val="26"/>
        </w:rPr>
        <w:t xml:space="preserve">Id. </w:t>
      </w:r>
      <w:r w:rsidRPr="0064312C">
        <w:rPr>
          <w:rFonts w:eastAsia="Calibri"/>
          <w:sz w:val="26"/>
          <w:szCs w:val="26"/>
        </w:rPr>
        <w:t xml:space="preserve">(citing </w:t>
      </w:r>
      <w:r w:rsidRPr="0064312C">
        <w:rPr>
          <w:rFonts w:eastAsia="Calibri"/>
          <w:i/>
          <w:iCs/>
          <w:sz w:val="26"/>
          <w:szCs w:val="26"/>
        </w:rPr>
        <w:t xml:space="preserve">October 2018 Order </w:t>
      </w:r>
      <w:r w:rsidRPr="0064312C">
        <w:rPr>
          <w:rFonts w:eastAsia="Calibri"/>
          <w:sz w:val="26"/>
          <w:szCs w:val="26"/>
        </w:rPr>
        <w:t xml:space="preserve">at 5).  In CenturyLink’s view, if the Commission had intended to develop such a specific evidentiary record, then it would have made that requirement explicit in the ordering paragraphs of the </w:t>
      </w:r>
      <w:r w:rsidRPr="0064312C">
        <w:rPr>
          <w:rFonts w:eastAsia="Calibri"/>
          <w:i/>
          <w:iCs/>
          <w:sz w:val="26"/>
          <w:szCs w:val="26"/>
        </w:rPr>
        <w:t>October 2018 Order</w:t>
      </w:r>
      <w:r w:rsidRPr="0064312C">
        <w:rPr>
          <w:rFonts w:eastAsia="Calibri"/>
          <w:sz w:val="26"/>
          <w:szCs w:val="26"/>
        </w:rPr>
        <w:t xml:space="preserve">.  CenturyLink further reasons that if the Commission had intended to direct or require parties to provide an evidentiary record of the TCJA’s impact, then the Commission would have </w:t>
      </w:r>
      <w:r w:rsidR="00BD7100">
        <w:rPr>
          <w:rFonts w:eastAsia="Calibri"/>
          <w:sz w:val="26"/>
          <w:szCs w:val="26"/>
        </w:rPr>
        <w:t xml:space="preserve">directed </w:t>
      </w:r>
      <w:r w:rsidRPr="0064312C">
        <w:rPr>
          <w:rFonts w:eastAsia="Calibri"/>
          <w:sz w:val="26"/>
          <w:szCs w:val="26"/>
        </w:rPr>
        <w:t xml:space="preserve">I&amp;E to participate in the annual ILEC PSI/SPI filings in order to enforce the development of a specific evidentiary record.  CenturyLink Exc. at 3-4.  </w:t>
      </w:r>
    </w:p>
    <w:p w14:paraId="5E966A9F" w14:textId="3EF2B4B2" w:rsidR="0032271C" w:rsidRDefault="0032271C" w:rsidP="00217B05">
      <w:pPr>
        <w:widowControl/>
        <w:spacing w:line="360" w:lineRule="auto"/>
        <w:contextualSpacing/>
        <w:rPr>
          <w:rStyle w:val="Hyperlink"/>
          <w:color w:val="auto"/>
          <w:sz w:val="26"/>
          <w:szCs w:val="26"/>
          <w:u w:val="none"/>
        </w:rPr>
      </w:pPr>
    </w:p>
    <w:p w14:paraId="7A6F4449" w14:textId="0F3F1FE8" w:rsidR="003849F7" w:rsidRPr="003849F7" w:rsidRDefault="003849F7" w:rsidP="00217B05">
      <w:pPr>
        <w:widowControl/>
        <w:spacing w:line="360" w:lineRule="auto"/>
        <w:ind w:firstLine="1440"/>
        <w:contextualSpacing/>
        <w:rPr>
          <w:rFonts w:eastAsia="Calibri"/>
          <w:sz w:val="26"/>
          <w:szCs w:val="26"/>
        </w:rPr>
      </w:pPr>
      <w:r w:rsidRPr="003849F7">
        <w:rPr>
          <w:rFonts w:eastAsia="Calibri"/>
          <w:sz w:val="26"/>
          <w:szCs w:val="26"/>
        </w:rPr>
        <w:t xml:space="preserve">In its Exception No. 2A the Company submits that in interpreting the </w:t>
      </w:r>
      <w:r w:rsidRPr="003849F7">
        <w:rPr>
          <w:rFonts w:eastAsia="Calibri"/>
          <w:i/>
          <w:iCs/>
          <w:sz w:val="26"/>
          <w:szCs w:val="26"/>
        </w:rPr>
        <w:t>October 2018 Order</w:t>
      </w:r>
      <w:r w:rsidRPr="003849F7">
        <w:rPr>
          <w:rFonts w:eastAsia="Calibri"/>
          <w:sz w:val="26"/>
          <w:szCs w:val="26"/>
        </w:rPr>
        <w:t xml:space="preserve"> as a directive by the Commission to create an evidentiary record as to the TCJA’s qualification and quantification as an exogenous event, the ALJs conflated the concept of litigation and the concept of settlement.  Thus, CenturyLink takes the position that the ALJs have erroneously required the Joint Petitioners to litigate disputed issues, which, in turn, forecloses settlement discussions.  According to CenturyLink, this would unnecessarily protract litigation in this proceeding, and </w:t>
      </w:r>
      <w:r>
        <w:rPr>
          <w:rFonts w:eastAsia="Calibri"/>
          <w:sz w:val="26"/>
          <w:szCs w:val="26"/>
        </w:rPr>
        <w:t xml:space="preserve">would also potentially protract the </w:t>
      </w:r>
      <w:r w:rsidR="005D67C0">
        <w:rPr>
          <w:rFonts w:eastAsia="Calibri"/>
          <w:sz w:val="26"/>
          <w:szCs w:val="26"/>
        </w:rPr>
        <w:t>PSI/SPI proceedings of</w:t>
      </w:r>
      <w:r w:rsidRPr="003849F7">
        <w:rPr>
          <w:rFonts w:eastAsia="Calibri"/>
          <w:sz w:val="26"/>
          <w:szCs w:val="26"/>
        </w:rPr>
        <w:t xml:space="preserve"> </w:t>
      </w:r>
      <w:r w:rsidR="005D67C0">
        <w:rPr>
          <w:rFonts w:eastAsia="Calibri"/>
          <w:sz w:val="26"/>
          <w:szCs w:val="26"/>
        </w:rPr>
        <w:t xml:space="preserve">other </w:t>
      </w:r>
      <w:r w:rsidRPr="003849F7">
        <w:rPr>
          <w:rFonts w:eastAsia="Calibri"/>
          <w:sz w:val="26"/>
          <w:szCs w:val="26"/>
        </w:rPr>
        <w:t>ILECs</w:t>
      </w:r>
      <w:r w:rsidR="005D67C0">
        <w:rPr>
          <w:rFonts w:eastAsia="Calibri"/>
          <w:sz w:val="26"/>
          <w:szCs w:val="26"/>
        </w:rPr>
        <w:t>.</w:t>
      </w:r>
      <w:r w:rsidRPr="003849F7">
        <w:rPr>
          <w:rFonts w:eastAsia="Calibri"/>
          <w:sz w:val="26"/>
          <w:szCs w:val="26"/>
        </w:rPr>
        <w:t xml:space="preserve">  CenturyLink Exc. at 4-5.</w:t>
      </w:r>
    </w:p>
    <w:p w14:paraId="03BD8B7C" w14:textId="199CC953" w:rsidR="00BD7100" w:rsidRDefault="00BD7100" w:rsidP="00217B05">
      <w:pPr>
        <w:widowControl/>
        <w:spacing w:line="360" w:lineRule="auto"/>
        <w:contextualSpacing/>
        <w:rPr>
          <w:rStyle w:val="Hyperlink"/>
          <w:color w:val="auto"/>
          <w:sz w:val="26"/>
          <w:szCs w:val="26"/>
          <w:u w:val="none"/>
        </w:rPr>
      </w:pPr>
    </w:p>
    <w:p w14:paraId="61B2AC53" w14:textId="6DDD02EC" w:rsidR="002027B0" w:rsidRPr="002027B0" w:rsidRDefault="005D67C0" w:rsidP="00217B05">
      <w:pPr>
        <w:widowControl/>
        <w:spacing w:line="360" w:lineRule="auto"/>
        <w:ind w:firstLine="1440"/>
        <w:contextualSpacing/>
        <w:rPr>
          <w:sz w:val="26"/>
          <w:szCs w:val="26"/>
        </w:rPr>
      </w:pPr>
      <w:r>
        <w:rPr>
          <w:rStyle w:val="Hyperlink"/>
          <w:color w:val="auto"/>
          <w:sz w:val="26"/>
          <w:szCs w:val="26"/>
          <w:u w:val="none"/>
        </w:rPr>
        <w:t xml:space="preserve">Additionally, in its Exception No. 2B, </w:t>
      </w:r>
      <w:r w:rsidR="002027B0" w:rsidRPr="002027B0">
        <w:rPr>
          <w:sz w:val="26"/>
          <w:szCs w:val="26"/>
        </w:rPr>
        <w:t>CenturyLink claims that although the ALJs have recommended the rejection of the Settlement and a remand of this proceeding for evidentiary hearings, the ALJs failed to specify the scope of such hearings.  In CenturyLink’s view, creating an evidentiary record solely for the sake of creating such a record is not in the public interest.  Rather, CenturyLink opines that directing a remand is unnecessarily inefficient.  CenturyLink further claims that the ALJs failed to explain how the issue of the TCJA’s alleged qualification</w:t>
      </w:r>
      <w:r w:rsidR="00980642">
        <w:rPr>
          <w:sz w:val="26"/>
          <w:szCs w:val="26"/>
        </w:rPr>
        <w:t xml:space="preserve"> as</w:t>
      </w:r>
      <w:r w:rsidR="002027B0" w:rsidRPr="002027B0">
        <w:rPr>
          <w:sz w:val="26"/>
          <w:szCs w:val="26"/>
        </w:rPr>
        <w:t xml:space="preserve"> an exogenous event is a factual issue requiring litigation and an evidentiary record.  In CenturyLink’s view, this issue is purely legal in nature.  CenturyLink Exc. at 6-7.</w:t>
      </w:r>
    </w:p>
    <w:p w14:paraId="10D03E12" w14:textId="6DEE1D44" w:rsidR="00C26ABE" w:rsidRPr="00C26ABE" w:rsidRDefault="00C26ABE" w:rsidP="00217B05">
      <w:pPr>
        <w:widowControl/>
        <w:spacing w:line="360" w:lineRule="auto"/>
        <w:ind w:firstLine="1440"/>
        <w:contextualSpacing/>
        <w:rPr>
          <w:rFonts w:eastAsia="Calibri"/>
          <w:sz w:val="26"/>
          <w:szCs w:val="26"/>
        </w:rPr>
      </w:pPr>
      <w:r w:rsidRPr="00C26ABE">
        <w:rPr>
          <w:rFonts w:eastAsia="Calibri"/>
          <w:sz w:val="26"/>
          <w:szCs w:val="26"/>
        </w:rPr>
        <w:t xml:space="preserve">The OCA, in its Exception No. 1, likewise claims that the ALJs erred in finding that because it does not fulfill the Commission’s interests as set forth in the </w:t>
      </w:r>
      <w:r w:rsidRPr="00C26ABE">
        <w:rPr>
          <w:rFonts w:eastAsia="Calibri"/>
          <w:i/>
          <w:iCs/>
          <w:sz w:val="26"/>
          <w:szCs w:val="26"/>
        </w:rPr>
        <w:t>October 2018 Order</w:t>
      </w:r>
      <w:r w:rsidRPr="00C26ABE">
        <w:rPr>
          <w:rFonts w:eastAsia="Calibri"/>
          <w:sz w:val="26"/>
          <w:szCs w:val="26"/>
        </w:rPr>
        <w:t>, the Settlement cannot be approved</w:t>
      </w:r>
      <w:r w:rsidRPr="00C26ABE">
        <w:rPr>
          <w:rFonts w:eastAsia="Calibri"/>
          <w:i/>
          <w:iCs/>
          <w:sz w:val="26"/>
          <w:szCs w:val="26"/>
        </w:rPr>
        <w:t>.</w:t>
      </w:r>
      <w:r w:rsidRPr="00C26ABE">
        <w:rPr>
          <w:rFonts w:eastAsia="Calibri"/>
          <w:sz w:val="26"/>
          <w:szCs w:val="26"/>
        </w:rPr>
        <w:t xml:space="preserve">  The OCA submits that the scope of this proceeding is defined by the OCA’s 2018 and 2019 Complaints.  As such, the OCA argues that the Commission should serve as a neutral adjudicator in evaluating the merits of the Settlement.  In this regard, the OCA takes the position that the Commission should not judge the Settlement based upon whether it will assist the Commission in its generic TCJA investigation, because doing so would be at odds with the Commission’s commitment to be a neutral adjudicator of the 2018 and 2019 Complaints and to allow for potentially different outcomes particular to each ILEC.  Thus, according to the OCA, the Commission’s statements in </w:t>
      </w:r>
      <w:r w:rsidRPr="00D75BAA">
        <w:rPr>
          <w:rFonts w:eastAsia="Calibri"/>
          <w:sz w:val="26"/>
          <w:szCs w:val="26"/>
        </w:rPr>
        <w:t>the</w:t>
      </w:r>
      <w:r w:rsidRPr="00C26ABE">
        <w:rPr>
          <w:rFonts w:eastAsia="Calibri"/>
          <w:i/>
          <w:iCs/>
          <w:sz w:val="26"/>
          <w:szCs w:val="26"/>
        </w:rPr>
        <w:t xml:space="preserve"> October 2018 Order</w:t>
      </w:r>
      <w:r w:rsidRPr="00C26ABE">
        <w:rPr>
          <w:rFonts w:eastAsia="Calibri"/>
          <w:sz w:val="26"/>
          <w:szCs w:val="26"/>
        </w:rPr>
        <w:t xml:space="preserve"> regarding the development of a record in each of the ten </w:t>
      </w:r>
      <w:r w:rsidR="00D75BAA">
        <w:rPr>
          <w:rFonts w:eastAsia="Calibri"/>
          <w:sz w:val="26"/>
          <w:szCs w:val="26"/>
        </w:rPr>
        <w:t xml:space="preserve">RLEC </w:t>
      </w:r>
      <w:r w:rsidR="00513246">
        <w:rPr>
          <w:rFonts w:eastAsia="Calibri"/>
          <w:sz w:val="26"/>
          <w:szCs w:val="26"/>
        </w:rPr>
        <w:t>PSI/SPI filings and the associated OCA formal</w:t>
      </w:r>
      <w:r w:rsidR="00980642">
        <w:rPr>
          <w:rFonts w:eastAsia="Calibri"/>
          <w:sz w:val="26"/>
          <w:szCs w:val="26"/>
        </w:rPr>
        <w:t xml:space="preserve"> complaint</w:t>
      </w:r>
      <w:r w:rsidRPr="00C26ABE">
        <w:rPr>
          <w:rFonts w:eastAsia="Calibri"/>
          <w:sz w:val="26"/>
          <w:szCs w:val="26"/>
        </w:rPr>
        <w:t xml:space="preserve"> proceedings cannot be viewed as attempting to control a </w:t>
      </w:r>
      <w:r w:rsidR="00513246">
        <w:rPr>
          <w:rFonts w:eastAsia="Calibri"/>
          <w:sz w:val="26"/>
          <w:szCs w:val="26"/>
        </w:rPr>
        <w:t xml:space="preserve">completely </w:t>
      </w:r>
      <w:r w:rsidRPr="00C26ABE">
        <w:rPr>
          <w:rFonts w:eastAsia="Calibri"/>
          <w:sz w:val="26"/>
          <w:szCs w:val="26"/>
        </w:rPr>
        <w:t xml:space="preserve">separate complaint </w:t>
      </w:r>
      <w:r w:rsidR="00513246">
        <w:rPr>
          <w:rFonts w:eastAsia="Calibri"/>
          <w:sz w:val="26"/>
          <w:szCs w:val="26"/>
        </w:rPr>
        <w:t>proceeding involving CenturyLink</w:t>
      </w:r>
      <w:r w:rsidRPr="00C26ABE">
        <w:rPr>
          <w:rFonts w:eastAsia="Calibri"/>
          <w:sz w:val="26"/>
          <w:szCs w:val="26"/>
        </w:rPr>
        <w:t>.  OCA Exc. at 3-4.</w:t>
      </w:r>
    </w:p>
    <w:p w14:paraId="3DA0B253" w14:textId="3DD4342D" w:rsidR="005D67C0" w:rsidRDefault="005D67C0" w:rsidP="00217B05">
      <w:pPr>
        <w:widowControl/>
        <w:spacing w:line="360" w:lineRule="auto"/>
        <w:ind w:firstLine="1440"/>
        <w:contextualSpacing/>
        <w:rPr>
          <w:rStyle w:val="Hyperlink"/>
          <w:color w:val="auto"/>
          <w:sz w:val="26"/>
          <w:szCs w:val="26"/>
          <w:u w:val="none"/>
        </w:rPr>
      </w:pPr>
    </w:p>
    <w:p w14:paraId="700CDBA4" w14:textId="219E3084" w:rsidR="00BC14E9" w:rsidRPr="00BC14E9" w:rsidRDefault="00BC14E9" w:rsidP="00217B05">
      <w:pPr>
        <w:widowControl/>
        <w:spacing w:line="360" w:lineRule="auto"/>
        <w:ind w:firstLine="1440"/>
        <w:contextualSpacing/>
        <w:rPr>
          <w:rFonts w:eastAsia="Calibri"/>
          <w:sz w:val="26"/>
          <w:szCs w:val="26"/>
        </w:rPr>
      </w:pPr>
      <w:r w:rsidRPr="00BC14E9">
        <w:rPr>
          <w:rFonts w:eastAsia="Calibri"/>
          <w:sz w:val="26"/>
          <w:szCs w:val="26"/>
        </w:rPr>
        <w:t xml:space="preserve">The OCA also submits that on at least three occasions in their Recommended Decision, the ALJs referred to the Commission’s interest in a fully developed evidentiary record as a “request.”  OCA Exc. at 4-5 (citing R.D. at 19, 20, 25).  In the OCA’s view, a request is different from a directive or mandate.  As a result, the OCA argues that </w:t>
      </w:r>
      <w:r w:rsidR="006C338A">
        <w:rPr>
          <w:rFonts w:eastAsia="Calibri"/>
          <w:sz w:val="26"/>
          <w:szCs w:val="26"/>
        </w:rPr>
        <w:t xml:space="preserve">instead </w:t>
      </w:r>
      <w:r w:rsidR="00882E99">
        <w:rPr>
          <w:rFonts w:eastAsia="Calibri"/>
          <w:sz w:val="26"/>
          <w:szCs w:val="26"/>
        </w:rPr>
        <w:t>of</w:t>
      </w:r>
      <w:r w:rsidRPr="00BC14E9">
        <w:rPr>
          <w:rFonts w:eastAsia="Calibri"/>
          <w:sz w:val="26"/>
          <w:szCs w:val="26"/>
        </w:rPr>
        <w:t xml:space="preserve"> adopting the ALJs’ recommendation to remand this proceeding to the OALJ, the Commission should review and approve the Settlement on its own merits as in the public interest and a fair resolution of the contested CenturyLink 2018 and 2019 PSI/SPI Filings.  OCA Exc. at 5.</w:t>
      </w:r>
    </w:p>
    <w:p w14:paraId="10E28A20" w14:textId="4223AB9A" w:rsidR="00C26ABE" w:rsidRDefault="00C26ABE" w:rsidP="00217B05">
      <w:pPr>
        <w:widowControl/>
        <w:spacing w:line="360" w:lineRule="auto"/>
        <w:ind w:firstLine="1440"/>
        <w:contextualSpacing/>
        <w:rPr>
          <w:rStyle w:val="Hyperlink"/>
          <w:color w:val="auto"/>
          <w:sz w:val="26"/>
          <w:szCs w:val="26"/>
          <w:u w:val="none"/>
        </w:rPr>
      </w:pPr>
    </w:p>
    <w:p w14:paraId="28F8D528" w14:textId="30768D78" w:rsidR="006370C1" w:rsidRDefault="00934455" w:rsidP="007169ED">
      <w:pPr>
        <w:keepNext/>
        <w:widowControl/>
        <w:spacing w:line="360" w:lineRule="auto"/>
        <w:ind w:firstLine="1440"/>
        <w:contextualSpacing/>
        <w:rPr>
          <w:rFonts w:eastAsia="Calibri"/>
          <w:sz w:val="26"/>
          <w:szCs w:val="26"/>
        </w:rPr>
      </w:pPr>
      <w:r w:rsidRPr="00934455">
        <w:rPr>
          <w:rFonts w:eastAsia="Calibri"/>
          <w:sz w:val="26"/>
          <w:szCs w:val="26"/>
        </w:rPr>
        <w:t xml:space="preserve">Like CenturyLink and the OCA, the OSBA, is of the opinion that the ALJs erred in finding that the Settlement is not responsive to Commission directives.  </w:t>
      </w:r>
      <w:r w:rsidR="006370C1">
        <w:rPr>
          <w:rFonts w:eastAsia="Calibri"/>
          <w:sz w:val="26"/>
          <w:szCs w:val="26"/>
        </w:rPr>
        <w:t xml:space="preserve">The OSBA articulates its disagreement with this finding in its Exception No. 1.  </w:t>
      </w:r>
      <w:r w:rsidRPr="00934455">
        <w:rPr>
          <w:rFonts w:eastAsia="Calibri"/>
          <w:sz w:val="26"/>
          <w:szCs w:val="26"/>
        </w:rPr>
        <w:t xml:space="preserve">First, the OSBA </w:t>
      </w:r>
      <w:r w:rsidR="004E0371">
        <w:rPr>
          <w:rFonts w:eastAsia="Calibri"/>
          <w:sz w:val="26"/>
          <w:szCs w:val="26"/>
        </w:rPr>
        <w:t>notes</w:t>
      </w:r>
      <w:r w:rsidRPr="00934455">
        <w:rPr>
          <w:rFonts w:eastAsia="Calibri"/>
          <w:sz w:val="26"/>
          <w:szCs w:val="26"/>
        </w:rPr>
        <w:t xml:space="preserve"> Ordering Paragraph Nos. 1 through 4 of the </w:t>
      </w:r>
      <w:r w:rsidRPr="00934455">
        <w:rPr>
          <w:rFonts w:eastAsia="Calibri"/>
          <w:i/>
          <w:iCs/>
          <w:sz w:val="26"/>
          <w:szCs w:val="26"/>
        </w:rPr>
        <w:t>October 2018 Order</w:t>
      </w:r>
      <w:r w:rsidRPr="00934455">
        <w:rPr>
          <w:rFonts w:eastAsia="Calibri"/>
          <w:sz w:val="26"/>
          <w:szCs w:val="26"/>
        </w:rPr>
        <w:t xml:space="preserve">, which: </w:t>
      </w:r>
    </w:p>
    <w:p w14:paraId="085BE66C" w14:textId="77777777" w:rsidR="006370C1" w:rsidRDefault="006370C1" w:rsidP="007169ED">
      <w:pPr>
        <w:keepNext/>
        <w:widowControl/>
        <w:ind w:firstLine="1440"/>
        <w:contextualSpacing/>
        <w:rPr>
          <w:rFonts w:eastAsia="Calibri"/>
          <w:sz w:val="26"/>
          <w:szCs w:val="26"/>
        </w:rPr>
      </w:pPr>
    </w:p>
    <w:p w14:paraId="5BE1978F" w14:textId="4E93606B" w:rsidR="006370C1" w:rsidRDefault="00934455" w:rsidP="007169ED">
      <w:pPr>
        <w:keepNext/>
        <w:widowControl/>
        <w:ind w:left="2160" w:right="1440" w:hanging="720"/>
        <w:contextualSpacing/>
        <w:rPr>
          <w:rFonts w:eastAsia="Calibri"/>
          <w:sz w:val="26"/>
          <w:szCs w:val="26"/>
        </w:rPr>
      </w:pPr>
      <w:r w:rsidRPr="00934455">
        <w:rPr>
          <w:rFonts w:eastAsia="Calibri"/>
          <w:sz w:val="26"/>
          <w:szCs w:val="26"/>
        </w:rPr>
        <w:t xml:space="preserve">(1) </w:t>
      </w:r>
      <w:r w:rsidR="00DF4E53">
        <w:rPr>
          <w:rFonts w:eastAsia="Calibri"/>
          <w:sz w:val="26"/>
          <w:szCs w:val="26"/>
        </w:rPr>
        <w:tab/>
      </w:r>
      <w:r w:rsidRPr="00934455">
        <w:rPr>
          <w:rFonts w:eastAsia="Calibri"/>
          <w:sz w:val="26"/>
          <w:szCs w:val="26"/>
        </w:rPr>
        <w:t xml:space="preserve">stated that the Petition to Rescind Secretarial Letter and Discontinue Temporary Stay, filed by the ten ILECs, was denied; </w:t>
      </w:r>
    </w:p>
    <w:p w14:paraId="4F1CED3A" w14:textId="77777777" w:rsidR="006370C1" w:rsidRDefault="006370C1" w:rsidP="00DF4E53">
      <w:pPr>
        <w:widowControl/>
        <w:ind w:left="2160" w:right="1440" w:hanging="720"/>
        <w:contextualSpacing/>
        <w:rPr>
          <w:rFonts w:eastAsia="Calibri"/>
          <w:sz w:val="26"/>
          <w:szCs w:val="26"/>
        </w:rPr>
      </w:pPr>
    </w:p>
    <w:p w14:paraId="6B8ED9D5" w14:textId="06E6CA6E" w:rsidR="006370C1" w:rsidRDefault="00934455" w:rsidP="00DF4E53">
      <w:pPr>
        <w:widowControl/>
        <w:ind w:left="2160" w:right="1440" w:hanging="720"/>
        <w:contextualSpacing/>
        <w:rPr>
          <w:rFonts w:eastAsia="Calibri"/>
          <w:sz w:val="26"/>
          <w:szCs w:val="26"/>
        </w:rPr>
      </w:pPr>
      <w:r w:rsidRPr="00934455">
        <w:rPr>
          <w:rFonts w:eastAsia="Calibri"/>
          <w:sz w:val="26"/>
          <w:szCs w:val="26"/>
        </w:rPr>
        <w:t xml:space="preserve">(2) </w:t>
      </w:r>
      <w:r w:rsidR="00DF4E53">
        <w:rPr>
          <w:rFonts w:eastAsia="Calibri"/>
          <w:sz w:val="26"/>
          <w:szCs w:val="26"/>
        </w:rPr>
        <w:tab/>
      </w:r>
      <w:r w:rsidRPr="00934455">
        <w:rPr>
          <w:rFonts w:eastAsia="Calibri"/>
          <w:sz w:val="26"/>
          <w:szCs w:val="26"/>
        </w:rPr>
        <w:t xml:space="preserve">directed the OALJ to timely address ILEC petitions to intervene in the outstanding PSI/SPI formal complaint proceedings; </w:t>
      </w:r>
    </w:p>
    <w:p w14:paraId="707B8FD2" w14:textId="77777777" w:rsidR="006370C1" w:rsidRDefault="006370C1" w:rsidP="00DF4E53">
      <w:pPr>
        <w:widowControl/>
        <w:ind w:left="2160" w:right="1440" w:hanging="720"/>
        <w:contextualSpacing/>
        <w:rPr>
          <w:rFonts w:eastAsia="Calibri"/>
          <w:sz w:val="26"/>
          <w:szCs w:val="26"/>
        </w:rPr>
      </w:pPr>
    </w:p>
    <w:p w14:paraId="70A66012" w14:textId="5EF0A478" w:rsidR="006370C1" w:rsidRDefault="00934455" w:rsidP="00DF4E53">
      <w:pPr>
        <w:widowControl/>
        <w:ind w:left="2160" w:right="1440" w:hanging="720"/>
        <w:contextualSpacing/>
        <w:rPr>
          <w:rFonts w:eastAsia="Calibri"/>
          <w:sz w:val="26"/>
          <w:szCs w:val="26"/>
        </w:rPr>
      </w:pPr>
      <w:r w:rsidRPr="00934455">
        <w:rPr>
          <w:rFonts w:eastAsia="Calibri"/>
          <w:sz w:val="26"/>
          <w:szCs w:val="26"/>
        </w:rPr>
        <w:t xml:space="preserve">(3) </w:t>
      </w:r>
      <w:r w:rsidR="00DF4E53">
        <w:rPr>
          <w:rFonts w:eastAsia="Calibri"/>
          <w:sz w:val="26"/>
          <w:szCs w:val="26"/>
        </w:rPr>
        <w:tab/>
      </w:r>
      <w:r w:rsidRPr="00934455">
        <w:rPr>
          <w:rFonts w:eastAsia="Calibri"/>
          <w:sz w:val="26"/>
          <w:szCs w:val="26"/>
        </w:rPr>
        <w:t xml:space="preserve">directed the ILECs participating in the outstanding PSI/SPI formal complaint proceedings to continue to file their annual PSI/SPI filings pursuant to their respective Chapter 30 Plans if a final decision was not reached by the OALJ by May 1, 2019; and </w:t>
      </w:r>
    </w:p>
    <w:p w14:paraId="4F2EECA0" w14:textId="77777777" w:rsidR="006370C1" w:rsidRDefault="006370C1" w:rsidP="00DF4E53">
      <w:pPr>
        <w:widowControl/>
        <w:ind w:left="2160" w:right="1440" w:hanging="720"/>
        <w:contextualSpacing/>
        <w:rPr>
          <w:rFonts w:eastAsia="Calibri"/>
          <w:sz w:val="26"/>
          <w:szCs w:val="26"/>
        </w:rPr>
      </w:pPr>
    </w:p>
    <w:p w14:paraId="2C7FBFEC" w14:textId="50E26683" w:rsidR="006370C1" w:rsidRDefault="00934455" w:rsidP="00DF4E53">
      <w:pPr>
        <w:keepNext/>
        <w:widowControl/>
        <w:ind w:left="2160" w:right="1440" w:hanging="720"/>
        <w:contextualSpacing/>
        <w:rPr>
          <w:rFonts w:eastAsia="Calibri"/>
          <w:sz w:val="26"/>
          <w:szCs w:val="26"/>
        </w:rPr>
      </w:pPr>
      <w:r w:rsidRPr="00934455">
        <w:rPr>
          <w:rFonts w:eastAsia="Calibri"/>
          <w:sz w:val="26"/>
          <w:szCs w:val="26"/>
        </w:rPr>
        <w:t xml:space="preserve">(4) </w:t>
      </w:r>
      <w:r w:rsidR="00DF4E53">
        <w:rPr>
          <w:rFonts w:eastAsia="Calibri"/>
          <w:sz w:val="26"/>
          <w:szCs w:val="26"/>
        </w:rPr>
        <w:tab/>
      </w:r>
      <w:r w:rsidRPr="00934455">
        <w:rPr>
          <w:rFonts w:eastAsia="Calibri"/>
          <w:sz w:val="26"/>
          <w:szCs w:val="26"/>
        </w:rPr>
        <w:t xml:space="preserve">directed the Commission’s Secretary’s Bureau to serve a copy of the </w:t>
      </w:r>
      <w:r w:rsidRPr="00934455">
        <w:rPr>
          <w:rFonts w:eastAsia="Calibri"/>
          <w:i/>
          <w:iCs/>
          <w:sz w:val="26"/>
          <w:szCs w:val="26"/>
        </w:rPr>
        <w:t xml:space="preserve">October 2018 Order </w:t>
      </w:r>
      <w:r w:rsidRPr="00934455">
        <w:rPr>
          <w:rFonts w:eastAsia="Calibri"/>
          <w:sz w:val="26"/>
          <w:szCs w:val="26"/>
        </w:rPr>
        <w:t>on various parties</w:t>
      </w:r>
      <w:r w:rsidR="006370C1">
        <w:rPr>
          <w:rFonts w:eastAsia="Calibri"/>
          <w:sz w:val="26"/>
          <w:szCs w:val="26"/>
        </w:rPr>
        <w:t>.</w:t>
      </w:r>
      <w:r w:rsidRPr="00934455">
        <w:rPr>
          <w:rFonts w:eastAsia="Calibri"/>
          <w:sz w:val="26"/>
          <w:szCs w:val="26"/>
        </w:rPr>
        <w:t xml:space="preserve">  </w:t>
      </w:r>
    </w:p>
    <w:p w14:paraId="6590E607" w14:textId="77777777" w:rsidR="006370C1" w:rsidRDefault="006370C1" w:rsidP="00DF4E53">
      <w:pPr>
        <w:keepNext/>
        <w:widowControl/>
        <w:spacing w:line="360" w:lineRule="auto"/>
        <w:ind w:firstLine="1440"/>
        <w:contextualSpacing/>
        <w:rPr>
          <w:rFonts w:eastAsia="Calibri"/>
          <w:sz w:val="26"/>
          <w:szCs w:val="26"/>
        </w:rPr>
      </w:pPr>
    </w:p>
    <w:p w14:paraId="3E525C00" w14:textId="77777777" w:rsidR="00F47CC2" w:rsidRDefault="00934455" w:rsidP="00DF4E53">
      <w:pPr>
        <w:keepNext/>
        <w:widowControl/>
        <w:spacing w:line="360" w:lineRule="auto"/>
        <w:contextualSpacing/>
        <w:rPr>
          <w:rFonts w:eastAsia="Calibri"/>
          <w:sz w:val="26"/>
          <w:szCs w:val="26"/>
        </w:rPr>
      </w:pPr>
      <w:r w:rsidRPr="00934455">
        <w:rPr>
          <w:rFonts w:eastAsia="Calibri"/>
          <w:sz w:val="26"/>
          <w:szCs w:val="26"/>
        </w:rPr>
        <w:t>OSBA Exc. at 3</w:t>
      </w:r>
      <w:r w:rsidRPr="00934455">
        <w:rPr>
          <w:rFonts w:eastAsia="Calibri"/>
          <w:sz w:val="26"/>
          <w:szCs w:val="26"/>
        </w:rPr>
        <w:noBreakHyphen/>
        <w:t xml:space="preserve">4 (citing </w:t>
      </w:r>
      <w:r w:rsidRPr="00934455">
        <w:rPr>
          <w:rFonts w:eastAsia="Calibri"/>
          <w:i/>
          <w:iCs/>
          <w:sz w:val="26"/>
          <w:szCs w:val="26"/>
        </w:rPr>
        <w:t xml:space="preserve">October 2018 Order </w:t>
      </w:r>
      <w:r w:rsidRPr="00934455">
        <w:rPr>
          <w:rFonts w:eastAsia="Calibri"/>
          <w:sz w:val="26"/>
          <w:szCs w:val="26"/>
        </w:rPr>
        <w:t xml:space="preserve">at 9-10).  </w:t>
      </w:r>
    </w:p>
    <w:p w14:paraId="396D2637" w14:textId="77777777" w:rsidR="00F47CC2" w:rsidRDefault="00F47CC2" w:rsidP="00217B05">
      <w:pPr>
        <w:widowControl/>
        <w:spacing w:line="360" w:lineRule="auto"/>
        <w:contextualSpacing/>
        <w:rPr>
          <w:rFonts w:eastAsia="Calibri"/>
          <w:sz w:val="26"/>
          <w:szCs w:val="26"/>
        </w:rPr>
      </w:pPr>
    </w:p>
    <w:p w14:paraId="43B416E9" w14:textId="61993B90" w:rsidR="00934455" w:rsidRDefault="00934455" w:rsidP="00217B05">
      <w:pPr>
        <w:widowControl/>
        <w:spacing w:line="360" w:lineRule="auto"/>
        <w:ind w:firstLine="1440"/>
        <w:contextualSpacing/>
        <w:rPr>
          <w:rFonts w:eastAsia="Calibri"/>
          <w:sz w:val="26"/>
          <w:szCs w:val="26"/>
        </w:rPr>
      </w:pPr>
      <w:r w:rsidRPr="00934455">
        <w:rPr>
          <w:rFonts w:eastAsia="Calibri"/>
          <w:sz w:val="26"/>
          <w:szCs w:val="26"/>
        </w:rPr>
        <w:t xml:space="preserve">According to the OSBA, when these ordering paragraphs are considered, there is no basis upon which to adopt the ALJs’ conclusion that </w:t>
      </w:r>
      <w:r w:rsidR="004818F1">
        <w:rPr>
          <w:rFonts w:eastAsia="Calibri"/>
          <w:sz w:val="26"/>
          <w:szCs w:val="26"/>
        </w:rPr>
        <w:t xml:space="preserve">the Settlement </w:t>
      </w:r>
      <w:r w:rsidRPr="00934455">
        <w:rPr>
          <w:rFonts w:eastAsia="Calibri"/>
          <w:sz w:val="26"/>
          <w:szCs w:val="26"/>
        </w:rPr>
        <w:t xml:space="preserve">is not responsive to Commission directives.  </w:t>
      </w:r>
      <w:r w:rsidR="00E1131F">
        <w:rPr>
          <w:rFonts w:eastAsia="Calibri"/>
          <w:sz w:val="26"/>
          <w:szCs w:val="26"/>
        </w:rPr>
        <w:t>Th</w:t>
      </w:r>
      <w:r w:rsidR="00E1131F" w:rsidRPr="00E1131F">
        <w:rPr>
          <w:rFonts w:eastAsia="Calibri"/>
          <w:sz w:val="26"/>
          <w:szCs w:val="26"/>
        </w:rPr>
        <w:t xml:space="preserve">e OSBA </w:t>
      </w:r>
      <w:r w:rsidR="00CB30A7">
        <w:rPr>
          <w:rFonts w:eastAsia="Calibri"/>
          <w:sz w:val="26"/>
          <w:szCs w:val="26"/>
        </w:rPr>
        <w:t xml:space="preserve">explains </w:t>
      </w:r>
      <w:r w:rsidR="00F47CC2">
        <w:rPr>
          <w:rFonts w:eastAsia="Calibri"/>
          <w:sz w:val="26"/>
          <w:szCs w:val="26"/>
        </w:rPr>
        <w:t xml:space="preserve">that it signed the Settlement in an attempt to resolve this proceeding in a manner that </w:t>
      </w:r>
      <w:r w:rsidR="00101BC3">
        <w:rPr>
          <w:rFonts w:eastAsia="Calibri"/>
          <w:sz w:val="26"/>
          <w:szCs w:val="26"/>
        </w:rPr>
        <w:t>i</w:t>
      </w:r>
      <w:r w:rsidR="00755E30">
        <w:rPr>
          <w:rFonts w:eastAsia="Calibri"/>
          <w:sz w:val="26"/>
          <w:szCs w:val="26"/>
        </w:rPr>
        <w:t>s just and reasonable and would end the protracted litigation in this proceeding.  The</w:t>
      </w:r>
      <w:r w:rsidR="00291548">
        <w:rPr>
          <w:rFonts w:eastAsia="Calibri"/>
          <w:sz w:val="26"/>
          <w:szCs w:val="26"/>
        </w:rPr>
        <w:t xml:space="preserve"> OSBA</w:t>
      </w:r>
      <w:r w:rsidR="00755E30">
        <w:rPr>
          <w:rFonts w:eastAsia="Calibri"/>
          <w:sz w:val="26"/>
          <w:szCs w:val="26"/>
        </w:rPr>
        <w:t xml:space="preserve"> </w:t>
      </w:r>
      <w:r w:rsidR="00E1131F" w:rsidRPr="00E1131F">
        <w:rPr>
          <w:rFonts w:eastAsia="Calibri"/>
          <w:sz w:val="26"/>
          <w:szCs w:val="26"/>
        </w:rPr>
        <w:t>insists that it did not intend to disregard the direction of the Commission in this matter, but instead concluded that given the difference of opinion that exists between it</w:t>
      </w:r>
      <w:r w:rsidR="004818F1">
        <w:rPr>
          <w:rFonts w:eastAsia="Calibri"/>
          <w:sz w:val="26"/>
          <w:szCs w:val="26"/>
        </w:rPr>
        <w:t>self</w:t>
      </w:r>
      <w:r w:rsidR="00E1131F" w:rsidRPr="00E1131F">
        <w:rPr>
          <w:rFonts w:eastAsia="Calibri"/>
          <w:sz w:val="26"/>
          <w:szCs w:val="26"/>
        </w:rPr>
        <w:t xml:space="preserve"> and the Company regarding the treatment of the TCJA, the Settlement is a practical outcome.  </w:t>
      </w:r>
      <w:r w:rsidR="006A4955">
        <w:rPr>
          <w:rFonts w:eastAsia="Calibri"/>
          <w:sz w:val="26"/>
          <w:szCs w:val="26"/>
        </w:rPr>
        <w:t>In the O</w:t>
      </w:r>
      <w:r w:rsidR="00291548">
        <w:rPr>
          <w:rFonts w:eastAsia="Calibri"/>
          <w:sz w:val="26"/>
          <w:szCs w:val="26"/>
        </w:rPr>
        <w:t xml:space="preserve">SBA’s view, the Parties, through the Settlement, have done </w:t>
      </w:r>
      <w:r w:rsidR="005E41DE">
        <w:rPr>
          <w:rFonts w:eastAsia="Calibri"/>
          <w:sz w:val="26"/>
          <w:szCs w:val="26"/>
        </w:rPr>
        <w:t xml:space="preserve">exactly what the Commission directed by investigating and resolving how to address the effects of the </w:t>
      </w:r>
      <w:r w:rsidR="00C9448B">
        <w:rPr>
          <w:rFonts w:eastAsia="Calibri"/>
          <w:sz w:val="26"/>
          <w:szCs w:val="26"/>
        </w:rPr>
        <w:t xml:space="preserve">TCJA in the Company’s 2018 and 2019 PSI/SPI Filings. </w:t>
      </w:r>
      <w:r w:rsidR="00291548">
        <w:rPr>
          <w:rFonts w:eastAsia="Calibri"/>
          <w:sz w:val="26"/>
          <w:szCs w:val="26"/>
        </w:rPr>
        <w:t xml:space="preserve"> </w:t>
      </w:r>
      <w:r w:rsidR="00E1131F" w:rsidRPr="00E1131F">
        <w:rPr>
          <w:rFonts w:eastAsia="Calibri"/>
          <w:sz w:val="26"/>
          <w:szCs w:val="26"/>
        </w:rPr>
        <w:t xml:space="preserve">OSBA </w:t>
      </w:r>
      <w:r w:rsidR="00DB56A3">
        <w:rPr>
          <w:rFonts w:eastAsia="Calibri"/>
          <w:sz w:val="26"/>
          <w:szCs w:val="26"/>
        </w:rPr>
        <w:t xml:space="preserve">Exc. </w:t>
      </w:r>
      <w:r w:rsidRPr="00934455">
        <w:rPr>
          <w:rFonts w:eastAsia="Calibri"/>
          <w:sz w:val="26"/>
          <w:szCs w:val="26"/>
        </w:rPr>
        <w:t>at 4</w:t>
      </w:r>
      <w:r w:rsidR="00E1131F">
        <w:rPr>
          <w:rFonts w:eastAsia="Calibri"/>
          <w:sz w:val="26"/>
          <w:szCs w:val="26"/>
        </w:rPr>
        <w:t>, 6</w:t>
      </w:r>
      <w:r w:rsidRPr="00934455">
        <w:rPr>
          <w:rFonts w:eastAsia="Calibri"/>
          <w:sz w:val="26"/>
          <w:szCs w:val="26"/>
        </w:rPr>
        <w:t>.</w:t>
      </w:r>
    </w:p>
    <w:p w14:paraId="2FAA7AC4" w14:textId="77777777" w:rsidR="00C26ABE" w:rsidRDefault="00C26ABE" w:rsidP="00217B05">
      <w:pPr>
        <w:widowControl/>
        <w:spacing w:line="360" w:lineRule="auto"/>
        <w:contextualSpacing/>
        <w:rPr>
          <w:rStyle w:val="Hyperlink"/>
          <w:color w:val="auto"/>
          <w:sz w:val="26"/>
          <w:szCs w:val="26"/>
          <w:u w:val="none"/>
        </w:rPr>
      </w:pPr>
    </w:p>
    <w:p w14:paraId="27160591" w14:textId="4CD95A4B" w:rsidR="0010191E" w:rsidRDefault="0032271C" w:rsidP="00217B05">
      <w:pPr>
        <w:pStyle w:val="Heading4"/>
        <w:keepNext/>
        <w:keepLines/>
        <w:numPr>
          <w:ilvl w:val="0"/>
          <w:numId w:val="38"/>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Disposition</w:t>
      </w:r>
    </w:p>
    <w:p w14:paraId="0A0C0436" w14:textId="0A0A4325" w:rsidR="0032271C" w:rsidRDefault="0032271C" w:rsidP="00217B05">
      <w:pPr>
        <w:keepNext/>
        <w:keepLines/>
        <w:widowControl/>
        <w:spacing w:line="360" w:lineRule="auto"/>
        <w:contextualSpacing/>
        <w:rPr>
          <w:rStyle w:val="Hyperlink"/>
          <w:color w:val="auto"/>
          <w:sz w:val="26"/>
          <w:szCs w:val="26"/>
          <w:u w:val="none"/>
        </w:rPr>
      </w:pPr>
    </w:p>
    <w:p w14:paraId="4CB504C3" w14:textId="77777777" w:rsidR="00910473" w:rsidRPr="00910473" w:rsidRDefault="00910473" w:rsidP="00217B05">
      <w:pPr>
        <w:widowControl/>
        <w:spacing w:line="360" w:lineRule="auto"/>
        <w:ind w:firstLine="1440"/>
        <w:contextualSpacing/>
        <w:rPr>
          <w:sz w:val="26"/>
          <w:szCs w:val="26"/>
        </w:rPr>
      </w:pPr>
      <w:r w:rsidRPr="00910473">
        <w:rPr>
          <w:sz w:val="26"/>
          <w:szCs w:val="26"/>
        </w:rPr>
        <w:t xml:space="preserve">On review of the above Exceptions, the Recommended Decision, and our </w:t>
      </w:r>
      <w:r w:rsidRPr="00910473">
        <w:rPr>
          <w:i/>
          <w:iCs/>
          <w:sz w:val="26"/>
          <w:szCs w:val="26"/>
        </w:rPr>
        <w:t xml:space="preserve">October 2018 Order, </w:t>
      </w:r>
      <w:r w:rsidRPr="00910473">
        <w:rPr>
          <w:sz w:val="26"/>
          <w:szCs w:val="26"/>
        </w:rPr>
        <w:t xml:space="preserve">we shall grant the Exceptions of each Joint Petitioner on this issue, consistent with the following discussion.  </w:t>
      </w:r>
    </w:p>
    <w:p w14:paraId="5784816F" w14:textId="77777777" w:rsidR="00910473" w:rsidRPr="00910473" w:rsidRDefault="00910473" w:rsidP="00217B05">
      <w:pPr>
        <w:widowControl/>
        <w:spacing w:line="360" w:lineRule="auto"/>
        <w:ind w:firstLine="1440"/>
        <w:contextualSpacing/>
        <w:rPr>
          <w:sz w:val="26"/>
          <w:szCs w:val="26"/>
        </w:rPr>
      </w:pPr>
    </w:p>
    <w:p w14:paraId="11665BF0" w14:textId="3373FFE3" w:rsidR="00910473" w:rsidRPr="00910473" w:rsidRDefault="00910473" w:rsidP="00217B05">
      <w:pPr>
        <w:widowControl/>
        <w:spacing w:line="360" w:lineRule="auto"/>
        <w:ind w:firstLine="1440"/>
        <w:contextualSpacing/>
        <w:rPr>
          <w:sz w:val="26"/>
          <w:szCs w:val="26"/>
        </w:rPr>
      </w:pPr>
      <w:r w:rsidRPr="00910473">
        <w:rPr>
          <w:sz w:val="26"/>
          <w:szCs w:val="26"/>
        </w:rPr>
        <w:t xml:space="preserve">As noted above, in our </w:t>
      </w:r>
      <w:r w:rsidRPr="00910473">
        <w:rPr>
          <w:i/>
          <w:iCs/>
          <w:sz w:val="26"/>
          <w:szCs w:val="26"/>
        </w:rPr>
        <w:t xml:space="preserve">August 2019 Secretarial Letter, </w:t>
      </w:r>
      <w:r w:rsidRPr="00910473">
        <w:rPr>
          <w:sz w:val="26"/>
          <w:szCs w:val="26"/>
        </w:rPr>
        <w:t xml:space="preserve">we notified all affected Pennsylvania Telecommunications Carriers that we were issuing a temporary stay of the investigation we initiated in our </w:t>
      </w:r>
      <w:r w:rsidRPr="00910473">
        <w:rPr>
          <w:i/>
          <w:iCs/>
          <w:sz w:val="26"/>
          <w:szCs w:val="26"/>
        </w:rPr>
        <w:t>March 2018 Secretarial Letter</w:t>
      </w:r>
      <w:r w:rsidR="00AC390A">
        <w:rPr>
          <w:i/>
          <w:iCs/>
          <w:sz w:val="26"/>
          <w:szCs w:val="26"/>
        </w:rPr>
        <w:t>,</w:t>
      </w:r>
      <w:r w:rsidRPr="00910473">
        <w:rPr>
          <w:i/>
          <w:iCs/>
          <w:sz w:val="26"/>
          <w:szCs w:val="26"/>
        </w:rPr>
        <w:t xml:space="preserve"> </w:t>
      </w:r>
      <w:r w:rsidRPr="00910473">
        <w:rPr>
          <w:sz w:val="26"/>
          <w:szCs w:val="26"/>
        </w:rPr>
        <w:t xml:space="preserve">pending the full litigation and final adjudication of the OCA’s formal complaints against the PSI/SPI filings of the ten RLECs.  We reasoned that in doing so, “the Commission will avoid any prejudgment of any issues that remain pending before it and will have the benefit of a fully developed evidentiary record, the parties’ briefs, and the presiding ALJ’s recommended decision before any final decision is rendered.”  </w:t>
      </w:r>
      <w:r w:rsidRPr="00910473">
        <w:rPr>
          <w:i/>
          <w:iCs/>
          <w:sz w:val="26"/>
          <w:szCs w:val="26"/>
        </w:rPr>
        <w:t xml:space="preserve">August 2018 Secretarial Letter </w:t>
      </w:r>
      <w:r w:rsidRPr="00910473">
        <w:rPr>
          <w:sz w:val="26"/>
          <w:szCs w:val="26"/>
        </w:rPr>
        <w:t>at 1.  In denying the ten RLECs’ Petition to Rescind, we clarified that the scope of our temporary stay was whether the tax rate reductions resulting from the TCJA are a qualifying exogenous event under the ILECs’ respective Commission</w:t>
      </w:r>
      <w:r w:rsidRPr="00910473">
        <w:rPr>
          <w:sz w:val="26"/>
          <w:szCs w:val="26"/>
        </w:rPr>
        <w:noBreakHyphen/>
        <w:t>approved Chapter</w:t>
      </w:r>
      <w:r w:rsidR="0015203E">
        <w:rPr>
          <w:sz w:val="26"/>
          <w:szCs w:val="26"/>
        </w:rPr>
        <w:t> </w:t>
      </w:r>
      <w:r w:rsidRPr="00910473">
        <w:rPr>
          <w:sz w:val="26"/>
          <w:szCs w:val="26"/>
        </w:rPr>
        <w:t xml:space="preserve">30 Plans.  We noted, </w:t>
      </w:r>
      <w:r w:rsidRPr="00910473">
        <w:rPr>
          <w:i/>
          <w:iCs/>
          <w:sz w:val="26"/>
          <w:szCs w:val="26"/>
        </w:rPr>
        <w:t>inter alia,</w:t>
      </w:r>
      <w:r w:rsidRPr="00910473">
        <w:rPr>
          <w:sz w:val="26"/>
          <w:szCs w:val="26"/>
        </w:rPr>
        <w:t xml:space="preserve"> that </w:t>
      </w:r>
      <w:r w:rsidR="00B7288F">
        <w:rPr>
          <w:sz w:val="26"/>
          <w:szCs w:val="26"/>
        </w:rPr>
        <w:t xml:space="preserve">in the time period </w:t>
      </w:r>
      <w:r w:rsidRPr="00910473">
        <w:rPr>
          <w:sz w:val="26"/>
          <w:szCs w:val="26"/>
        </w:rPr>
        <w:t xml:space="preserve">since we initially approved these Chapter 30 Plans, we did not have any cause to review the impact of an event such as the TCJA.  We concluded that because such an event, by magnitude, may or may not be considered within the context of the ILECs’ applicable Chapter 30 PSM’s, the OCA’s pending formal complaint proceedings were a proper forum for the exogenous event issue to be investigated and decided.  </w:t>
      </w:r>
      <w:r w:rsidRPr="00910473">
        <w:rPr>
          <w:i/>
          <w:iCs/>
          <w:sz w:val="26"/>
          <w:szCs w:val="26"/>
        </w:rPr>
        <w:t xml:space="preserve">October 2018 Order </w:t>
      </w:r>
      <w:r w:rsidRPr="00910473">
        <w:rPr>
          <w:sz w:val="26"/>
          <w:szCs w:val="26"/>
        </w:rPr>
        <w:t>at 5.</w:t>
      </w:r>
    </w:p>
    <w:p w14:paraId="1EE1CD26" w14:textId="77777777" w:rsidR="00910473" w:rsidRPr="00910473" w:rsidRDefault="00910473" w:rsidP="00217B05">
      <w:pPr>
        <w:widowControl/>
        <w:spacing w:line="360" w:lineRule="auto"/>
        <w:ind w:firstLine="1440"/>
        <w:contextualSpacing/>
        <w:rPr>
          <w:sz w:val="26"/>
          <w:szCs w:val="26"/>
        </w:rPr>
      </w:pPr>
    </w:p>
    <w:p w14:paraId="5787DECE" w14:textId="4E4E1B3F" w:rsidR="00910473" w:rsidRPr="00910473" w:rsidRDefault="00910473" w:rsidP="00217B05">
      <w:pPr>
        <w:widowControl/>
        <w:spacing w:line="360" w:lineRule="auto"/>
        <w:ind w:firstLine="1440"/>
        <w:contextualSpacing/>
        <w:rPr>
          <w:sz w:val="26"/>
          <w:szCs w:val="26"/>
        </w:rPr>
      </w:pPr>
      <w:r w:rsidRPr="00910473">
        <w:rPr>
          <w:sz w:val="26"/>
          <w:szCs w:val="26"/>
        </w:rPr>
        <w:t xml:space="preserve">We concur with the Company, the OCA, and the OSBA that contrary to the ALJs’ finding, our above conclusion in our </w:t>
      </w:r>
      <w:r w:rsidRPr="00910473">
        <w:rPr>
          <w:i/>
          <w:iCs/>
          <w:sz w:val="26"/>
          <w:szCs w:val="26"/>
        </w:rPr>
        <w:t xml:space="preserve">October 2018 Order </w:t>
      </w:r>
      <w:r w:rsidRPr="00910473">
        <w:rPr>
          <w:sz w:val="26"/>
          <w:szCs w:val="26"/>
        </w:rPr>
        <w:t>did not rise to the level of a mandate.  Although we stated that our generic TCJA investigation would be aided by a fully</w:t>
      </w:r>
      <w:r w:rsidRPr="00910473">
        <w:rPr>
          <w:sz w:val="26"/>
          <w:szCs w:val="26"/>
        </w:rPr>
        <w:noBreakHyphen/>
        <w:t xml:space="preserve">developed evidentiary record regarding the exogenous event issue and other provisions in the RLECs’ Chapter 30 Plans, we also stated that the OCA’s formal complaint proceedings “will depend, in part, on the particular facts of each utility.”  </w:t>
      </w:r>
      <w:r w:rsidRPr="00910473">
        <w:rPr>
          <w:i/>
          <w:iCs/>
          <w:sz w:val="26"/>
          <w:szCs w:val="26"/>
        </w:rPr>
        <w:t xml:space="preserve">October 2018 Order </w:t>
      </w:r>
      <w:r w:rsidRPr="00910473">
        <w:rPr>
          <w:sz w:val="26"/>
          <w:szCs w:val="26"/>
        </w:rPr>
        <w:t xml:space="preserve">at 7, 8.  Thus, we must examine each proceeding individually and must allow for potentially different outcomes that are specific to each ILEC, based on the record in each </w:t>
      </w:r>
      <w:r w:rsidRPr="00EF105C">
        <w:rPr>
          <w:sz w:val="26"/>
          <w:szCs w:val="26"/>
        </w:rPr>
        <w:t>proceeding.</w:t>
      </w:r>
      <w:r w:rsidR="00EF105C" w:rsidRPr="00EF105C">
        <w:rPr>
          <w:color w:val="000000"/>
          <w:sz w:val="26"/>
          <w:szCs w:val="26"/>
        </w:rPr>
        <w:t xml:space="preserve">  Moreover, </w:t>
      </w:r>
      <w:r w:rsidR="00D048BF">
        <w:rPr>
          <w:color w:val="000000"/>
          <w:sz w:val="26"/>
          <w:szCs w:val="26"/>
        </w:rPr>
        <w:t xml:space="preserve">the </w:t>
      </w:r>
      <w:r w:rsidR="00EF105C" w:rsidRPr="00EF105C">
        <w:rPr>
          <w:color w:val="000000"/>
          <w:sz w:val="26"/>
          <w:szCs w:val="26"/>
        </w:rPr>
        <w:t xml:space="preserve">Commission in the </w:t>
      </w:r>
      <w:r w:rsidR="00D048BF">
        <w:rPr>
          <w:i/>
          <w:iCs/>
          <w:color w:val="000000"/>
          <w:sz w:val="26"/>
          <w:szCs w:val="26"/>
        </w:rPr>
        <w:t xml:space="preserve">October 2018 Order </w:t>
      </w:r>
      <w:r w:rsidR="00E15E4A">
        <w:rPr>
          <w:color w:val="000000"/>
          <w:sz w:val="26"/>
          <w:szCs w:val="26"/>
        </w:rPr>
        <w:t xml:space="preserve">noted </w:t>
      </w:r>
      <w:r w:rsidR="00EF105C" w:rsidRPr="00EF105C">
        <w:rPr>
          <w:color w:val="000000"/>
          <w:sz w:val="26"/>
          <w:szCs w:val="26"/>
        </w:rPr>
        <w:t>that</w:t>
      </w:r>
      <w:r w:rsidR="00D048BF">
        <w:rPr>
          <w:color w:val="000000"/>
          <w:sz w:val="26"/>
          <w:szCs w:val="26"/>
        </w:rPr>
        <w:t xml:space="preserve"> the</w:t>
      </w:r>
      <w:r w:rsidR="00EF105C" w:rsidRPr="00EF105C">
        <w:rPr>
          <w:color w:val="000000"/>
          <w:sz w:val="26"/>
          <w:szCs w:val="26"/>
        </w:rPr>
        <w:t xml:space="preserve"> </w:t>
      </w:r>
      <w:r w:rsidR="00EF105C" w:rsidRPr="00EF105C">
        <w:rPr>
          <w:sz w:val="26"/>
          <w:szCs w:val="26"/>
        </w:rPr>
        <w:t>OCA</w:t>
      </w:r>
      <w:r w:rsidR="00D048BF">
        <w:rPr>
          <w:sz w:val="26"/>
          <w:szCs w:val="26"/>
        </w:rPr>
        <w:t>’s</w:t>
      </w:r>
      <w:r w:rsidR="00EF105C" w:rsidRPr="00EF105C">
        <w:rPr>
          <w:sz w:val="26"/>
          <w:szCs w:val="26"/>
        </w:rPr>
        <w:t xml:space="preserve"> formal complaint proceeding</w:t>
      </w:r>
      <w:r w:rsidR="00236B33">
        <w:rPr>
          <w:sz w:val="26"/>
          <w:szCs w:val="26"/>
        </w:rPr>
        <w:t>s are</w:t>
      </w:r>
      <w:r w:rsidR="00EF105C" w:rsidRPr="00EF105C">
        <w:rPr>
          <w:sz w:val="26"/>
          <w:szCs w:val="26"/>
        </w:rPr>
        <w:t xml:space="preserve"> </w:t>
      </w:r>
      <w:r w:rsidR="008A4C01">
        <w:rPr>
          <w:sz w:val="26"/>
          <w:szCs w:val="26"/>
        </w:rPr>
        <w:t>“</w:t>
      </w:r>
      <w:r w:rsidR="00D048BF" w:rsidRPr="00851B61">
        <w:rPr>
          <w:sz w:val="26"/>
          <w:szCs w:val="26"/>
        </w:rPr>
        <w:t>a</w:t>
      </w:r>
      <w:r w:rsidR="00EF105C" w:rsidRPr="00851B61">
        <w:rPr>
          <w:sz w:val="26"/>
          <w:szCs w:val="26"/>
        </w:rPr>
        <w:t xml:space="preserve"> </w:t>
      </w:r>
      <w:r w:rsidR="00D048BF" w:rsidRPr="00851B61">
        <w:rPr>
          <w:sz w:val="26"/>
          <w:szCs w:val="26"/>
        </w:rPr>
        <w:t xml:space="preserve">proper </w:t>
      </w:r>
      <w:r w:rsidR="00EF105C" w:rsidRPr="00851B61">
        <w:rPr>
          <w:sz w:val="26"/>
          <w:szCs w:val="26"/>
        </w:rPr>
        <w:t>forum</w:t>
      </w:r>
      <w:r w:rsidR="00851B61">
        <w:rPr>
          <w:sz w:val="26"/>
          <w:szCs w:val="26"/>
        </w:rPr>
        <w:t>”</w:t>
      </w:r>
      <w:r w:rsidR="00EF105C" w:rsidRPr="00EF105C">
        <w:rPr>
          <w:i/>
          <w:iCs/>
          <w:sz w:val="26"/>
          <w:szCs w:val="26"/>
        </w:rPr>
        <w:t xml:space="preserve"> </w:t>
      </w:r>
      <w:r w:rsidR="005B0C04">
        <w:rPr>
          <w:sz w:val="26"/>
          <w:szCs w:val="26"/>
        </w:rPr>
        <w:t>for the exogenous event issue to be “investigated and decided</w:t>
      </w:r>
      <w:r w:rsidR="00E15E4A">
        <w:rPr>
          <w:sz w:val="26"/>
          <w:szCs w:val="26"/>
        </w:rPr>
        <w:t>.</w:t>
      </w:r>
      <w:r w:rsidR="005B0C04">
        <w:rPr>
          <w:sz w:val="26"/>
          <w:szCs w:val="26"/>
        </w:rPr>
        <w:t>”</w:t>
      </w:r>
      <w:r w:rsidR="00981874">
        <w:rPr>
          <w:sz w:val="26"/>
          <w:szCs w:val="26"/>
        </w:rPr>
        <w:t xml:space="preserve">  </w:t>
      </w:r>
      <w:r w:rsidR="005B0C04">
        <w:rPr>
          <w:i/>
          <w:iCs/>
          <w:sz w:val="26"/>
          <w:szCs w:val="26"/>
        </w:rPr>
        <w:t xml:space="preserve">October 2018 Order </w:t>
      </w:r>
      <w:r w:rsidR="005B0C04">
        <w:rPr>
          <w:sz w:val="26"/>
          <w:szCs w:val="26"/>
        </w:rPr>
        <w:t xml:space="preserve">at </w:t>
      </w:r>
      <w:r w:rsidR="00FB7B43">
        <w:rPr>
          <w:sz w:val="26"/>
          <w:szCs w:val="26"/>
        </w:rPr>
        <w:t>5</w:t>
      </w:r>
      <w:r w:rsidR="005B0C04">
        <w:rPr>
          <w:sz w:val="26"/>
          <w:szCs w:val="26"/>
        </w:rPr>
        <w:t xml:space="preserve">.  </w:t>
      </w:r>
      <w:r w:rsidR="00C072CF">
        <w:rPr>
          <w:sz w:val="26"/>
          <w:szCs w:val="26"/>
        </w:rPr>
        <w:t>Upon review,</w:t>
      </w:r>
      <w:r w:rsidR="00734071">
        <w:rPr>
          <w:sz w:val="26"/>
          <w:szCs w:val="26"/>
        </w:rPr>
        <w:t xml:space="preserve"> </w:t>
      </w:r>
      <w:r w:rsidR="00C87FE2">
        <w:rPr>
          <w:sz w:val="26"/>
          <w:szCs w:val="26"/>
        </w:rPr>
        <w:t xml:space="preserve">a reasonable interpretation of this language is that </w:t>
      </w:r>
      <w:r w:rsidR="0094560A">
        <w:rPr>
          <w:sz w:val="26"/>
          <w:szCs w:val="26"/>
        </w:rPr>
        <w:t>th</w:t>
      </w:r>
      <w:r w:rsidR="004C7263">
        <w:rPr>
          <w:sz w:val="26"/>
          <w:szCs w:val="26"/>
        </w:rPr>
        <w:t xml:space="preserve">e </w:t>
      </w:r>
      <w:r w:rsidR="0094560A">
        <w:rPr>
          <w:sz w:val="26"/>
          <w:szCs w:val="26"/>
        </w:rPr>
        <w:t>OCA formal complaint proceeding</w:t>
      </w:r>
      <w:r w:rsidR="003C19F7">
        <w:rPr>
          <w:sz w:val="26"/>
          <w:szCs w:val="26"/>
        </w:rPr>
        <w:t xml:space="preserve"> </w:t>
      </w:r>
      <w:r w:rsidR="00F53976">
        <w:rPr>
          <w:sz w:val="26"/>
          <w:szCs w:val="26"/>
        </w:rPr>
        <w:t xml:space="preserve">is </w:t>
      </w:r>
      <w:r w:rsidR="003C19F7">
        <w:rPr>
          <w:sz w:val="26"/>
          <w:szCs w:val="26"/>
        </w:rPr>
        <w:t xml:space="preserve">a forum </w:t>
      </w:r>
      <w:r w:rsidR="00D9092A">
        <w:rPr>
          <w:sz w:val="26"/>
          <w:szCs w:val="26"/>
        </w:rPr>
        <w:t xml:space="preserve">where the exogenous events issue </w:t>
      </w:r>
      <w:r w:rsidR="00D9092A" w:rsidRPr="00E90FCB">
        <w:rPr>
          <w:i/>
          <w:iCs/>
          <w:sz w:val="26"/>
          <w:szCs w:val="26"/>
        </w:rPr>
        <w:t>could be decided</w:t>
      </w:r>
      <w:r w:rsidR="00CB50E3">
        <w:rPr>
          <w:color w:val="000000"/>
          <w:sz w:val="26"/>
          <w:szCs w:val="26"/>
        </w:rPr>
        <w:t xml:space="preserve">, not that </w:t>
      </w:r>
      <w:r w:rsidR="004C7263">
        <w:rPr>
          <w:color w:val="000000"/>
          <w:sz w:val="26"/>
          <w:szCs w:val="26"/>
        </w:rPr>
        <w:t>the issue</w:t>
      </w:r>
      <w:r w:rsidR="00CA6E8F">
        <w:rPr>
          <w:color w:val="000000"/>
          <w:sz w:val="26"/>
          <w:szCs w:val="26"/>
        </w:rPr>
        <w:t xml:space="preserve"> </w:t>
      </w:r>
      <w:r w:rsidR="00CA6E8F" w:rsidRPr="00E90FCB">
        <w:rPr>
          <w:i/>
          <w:iCs/>
          <w:color w:val="000000"/>
          <w:sz w:val="26"/>
          <w:szCs w:val="26"/>
        </w:rPr>
        <w:t>ha</w:t>
      </w:r>
      <w:r w:rsidR="00D7645A" w:rsidRPr="00E90FCB">
        <w:rPr>
          <w:i/>
          <w:iCs/>
          <w:color w:val="000000"/>
          <w:sz w:val="26"/>
          <w:szCs w:val="26"/>
        </w:rPr>
        <w:t>d</w:t>
      </w:r>
      <w:r w:rsidR="00CA6E8F" w:rsidRPr="00E90FCB">
        <w:rPr>
          <w:i/>
          <w:iCs/>
          <w:color w:val="000000"/>
          <w:sz w:val="26"/>
          <w:szCs w:val="26"/>
        </w:rPr>
        <w:t xml:space="preserve"> to be decided</w:t>
      </w:r>
      <w:r w:rsidR="00E80558">
        <w:rPr>
          <w:color w:val="000000"/>
          <w:sz w:val="26"/>
          <w:szCs w:val="26"/>
        </w:rPr>
        <w:t>.</w:t>
      </w:r>
      <w:r w:rsidR="00B461FA">
        <w:rPr>
          <w:sz w:val="26"/>
          <w:szCs w:val="26"/>
        </w:rPr>
        <w:t xml:space="preserve"> </w:t>
      </w:r>
      <w:r w:rsidR="0088062A">
        <w:rPr>
          <w:sz w:val="26"/>
          <w:szCs w:val="26"/>
        </w:rPr>
        <w:t>We also point out that this Order does not decide th</w:t>
      </w:r>
      <w:r w:rsidR="00B461FA">
        <w:rPr>
          <w:sz w:val="26"/>
          <w:szCs w:val="26"/>
        </w:rPr>
        <w:t xml:space="preserve">at issue in a manner applicable to stakeholders not parties to this proceeding.  Rather, it approves a settlement whose terms end litigation of the matter among the Parties.  This is a distinction with a difference.  Also, we note that settlements do not represent binding precedent that may be applied in other proceedings.   </w:t>
      </w:r>
    </w:p>
    <w:p w14:paraId="127B60ED" w14:textId="77777777" w:rsidR="00910473" w:rsidRPr="00910473" w:rsidRDefault="00910473" w:rsidP="00217B05">
      <w:pPr>
        <w:widowControl/>
        <w:spacing w:line="360" w:lineRule="auto"/>
        <w:ind w:firstLine="1440"/>
        <w:contextualSpacing/>
        <w:rPr>
          <w:sz w:val="26"/>
          <w:szCs w:val="26"/>
        </w:rPr>
      </w:pPr>
    </w:p>
    <w:p w14:paraId="224220A4" w14:textId="06CABF82" w:rsidR="00910473" w:rsidRPr="00910473" w:rsidRDefault="00094958" w:rsidP="00217B05">
      <w:pPr>
        <w:widowControl/>
        <w:spacing w:line="360" w:lineRule="auto"/>
        <w:ind w:firstLine="1440"/>
        <w:contextualSpacing/>
        <w:rPr>
          <w:sz w:val="26"/>
          <w:szCs w:val="26"/>
        </w:rPr>
      </w:pPr>
      <w:r>
        <w:rPr>
          <w:sz w:val="26"/>
          <w:szCs w:val="26"/>
        </w:rPr>
        <w:t xml:space="preserve">We are also </w:t>
      </w:r>
      <w:r w:rsidR="00125254">
        <w:rPr>
          <w:sz w:val="26"/>
          <w:szCs w:val="26"/>
        </w:rPr>
        <w:t xml:space="preserve">reluctant to interpret </w:t>
      </w:r>
      <w:r w:rsidR="00F03CBD">
        <w:rPr>
          <w:sz w:val="26"/>
          <w:szCs w:val="26"/>
        </w:rPr>
        <w:t>the</w:t>
      </w:r>
      <w:r w:rsidR="00125254">
        <w:rPr>
          <w:sz w:val="26"/>
          <w:szCs w:val="26"/>
        </w:rPr>
        <w:t xml:space="preserve"> </w:t>
      </w:r>
      <w:r w:rsidR="00125254">
        <w:rPr>
          <w:i/>
          <w:iCs/>
          <w:sz w:val="26"/>
          <w:szCs w:val="26"/>
        </w:rPr>
        <w:t xml:space="preserve">October 2018 Order </w:t>
      </w:r>
      <w:r w:rsidR="00125254">
        <w:rPr>
          <w:sz w:val="26"/>
          <w:szCs w:val="26"/>
        </w:rPr>
        <w:t xml:space="preserve">as controlling the scope of </w:t>
      </w:r>
      <w:r w:rsidR="00C8023E">
        <w:rPr>
          <w:sz w:val="26"/>
          <w:szCs w:val="26"/>
        </w:rPr>
        <w:t>what is a</w:t>
      </w:r>
      <w:r w:rsidR="005D051F">
        <w:rPr>
          <w:sz w:val="26"/>
          <w:szCs w:val="26"/>
        </w:rPr>
        <w:t xml:space="preserve"> separate</w:t>
      </w:r>
      <w:r w:rsidR="00125254">
        <w:rPr>
          <w:sz w:val="26"/>
          <w:szCs w:val="26"/>
        </w:rPr>
        <w:t xml:space="preserve"> formal complaint proceeding initiated by a non-Commission entity.  </w:t>
      </w:r>
      <w:r w:rsidR="00910473" w:rsidRPr="00910473">
        <w:rPr>
          <w:sz w:val="26"/>
          <w:szCs w:val="26"/>
        </w:rPr>
        <w:t xml:space="preserve">As the OCA points out, the scope of this current proceeding is defined by the OCA’s 2018 and 2019 Complaints.  Our </w:t>
      </w:r>
      <w:r w:rsidR="00910473" w:rsidRPr="00910473">
        <w:rPr>
          <w:i/>
          <w:iCs/>
          <w:sz w:val="26"/>
          <w:szCs w:val="26"/>
        </w:rPr>
        <w:t xml:space="preserve">2018 CenturyLink PSI/SPI Order </w:t>
      </w:r>
      <w:r w:rsidR="00910473" w:rsidRPr="00910473">
        <w:rPr>
          <w:sz w:val="26"/>
          <w:szCs w:val="26"/>
        </w:rPr>
        <w:t xml:space="preserve">and our </w:t>
      </w:r>
      <w:r w:rsidR="00910473" w:rsidRPr="00910473">
        <w:rPr>
          <w:i/>
          <w:iCs/>
          <w:sz w:val="26"/>
          <w:szCs w:val="26"/>
        </w:rPr>
        <w:t>2019 CenturyLink PSI/SPI Order</w:t>
      </w:r>
      <w:r w:rsidR="00910473" w:rsidRPr="00910473">
        <w:rPr>
          <w:sz w:val="26"/>
          <w:szCs w:val="26"/>
        </w:rPr>
        <w:t xml:space="preserve"> each found the associated CenturyLink PSI/SPI filings to be “procedurally consistent” with the Company’s Chapter 30 Plan, subject to adjustment upon resolution of the OCA’s 2018 Complaint and the OCA’s 2019 Complaint.  </w:t>
      </w:r>
      <w:r w:rsidR="00910473" w:rsidRPr="00910473">
        <w:rPr>
          <w:i/>
          <w:iCs/>
          <w:sz w:val="26"/>
          <w:szCs w:val="26"/>
        </w:rPr>
        <w:t xml:space="preserve">2018 CenturyLink PSI/SPI Order </w:t>
      </w:r>
      <w:r w:rsidR="00910473" w:rsidRPr="00910473">
        <w:rPr>
          <w:sz w:val="26"/>
          <w:szCs w:val="26"/>
        </w:rPr>
        <w:t xml:space="preserve">at 7; </w:t>
      </w:r>
      <w:r w:rsidR="00910473" w:rsidRPr="00910473">
        <w:rPr>
          <w:i/>
          <w:iCs/>
          <w:sz w:val="26"/>
          <w:szCs w:val="26"/>
        </w:rPr>
        <w:t xml:space="preserve">2019 CenturyLink PSI/SPI Order </w:t>
      </w:r>
      <w:r w:rsidR="00910473" w:rsidRPr="00910473">
        <w:rPr>
          <w:sz w:val="26"/>
          <w:szCs w:val="26"/>
        </w:rPr>
        <w:t xml:space="preserve">at 5.  Although the Joint Petitioners did not ultimately reach a consensus in this proceeding as to whether the TCJA is an exogenous event under the Company’s Chapter 30 Plan, they reached a unanimous Settlement to resolve the OCA’s Complaints.  We note, in turn, that nothing in our </w:t>
      </w:r>
      <w:r w:rsidR="00910473" w:rsidRPr="00910473">
        <w:rPr>
          <w:i/>
          <w:iCs/>
          <w:sz w:val="26"/>
          <w:szCs w:val="26"/>
        </w:rPr>
        <w:t xml:space="preserve">October 2018 Order </w:t>
      </w:r>
      <w:r w:rsidR="00910473" w:rsidRPr="00910473">
        <w:rPr>
          <w:sz w:val="26"/>
          <w:szCs w:val="26"/>
        </w:rPr>
        <w:t xml:space="preserve">precluded settlement discussions in the individual PSI/SPI proceedings.  </w:t>
      </w:r>
      <w:r w:rsidR="00B36D7C">
        <w:rPr>
          <w:sz w:val="26"/>
          <w:szCs w:val="26"/>
        </w:rPr>
        <w:t xml:space="preserve">As </w:t>
      </w:r>
      <w:r w:rsidR="00C71E75">
        <w:rPr>
          <w:sz w:val="26"/>
          <w:szCs w:val="26"/>
        </w:rPr>
        <w:t>outline</w:t>
      </w:r>
      <w:r w:rsidR="009850A9">
        <w:rPr>
          <w:sz w:val="26"/>
          <w:szCs w:val="26"/>
        </w:rPr>
        <w:t xml:space="preserve">d, </w:t>
      </w:r>
      <w:r w:rsidR="009850A9">
        <w:rPr>
          <w:i/>
          <w:iCs/>
          <w:sz w:val="26"/>
          <w:szCs w:val="26"/>
        </w:rPr>
        <w:t xml:space="preserve">supra, </w:t>
      </w:r>
      <w:r w:rsidR="009850A9" w:rsidRPr="007A0F2A">
        <w:rPr>
          <w:sz w:val="26"/>
          <w:szCs w:val="26"/>
        </w:rPr>
        <w:t>i</w:t>
      </w:r>
      <w:r w:rsidR="00910473" w:rsidRPr="007A0F2A">
        <w:rPr>
          <w:sz w:val="26"/>
          <w:szCs w:val="26"/>
        </w:rPr>
        <w:t>t is</w:t>
      </w:r>
      <w:r w:rsidR="00910473" w:rsidRPr="00910473">
        <w:rPr>
          <w:sz w:val="26"/>
          <w:szCs w:val="26"/>
        </w:rPr>
        <w:t xml:space="preserve"> the policy of this Commission to encourage settlement discussion and to approve settlements, provided that they are in the public interest.  </w:t>
      </w:r>
      <w:r w:rsidR="00286356" w:rsidRPr="00286356">
        <w:rPr>
          <w:i/>
          <w:sz w:val="26"/>
          <w:szCs w:val="26"/>
        </w:rPr>
        <w:t>See</w:t>
      </w:r>
      <w:r w:rsidR="00286356" w:rsidRPr="00286356">
        <w:rPr>
          <w:sz w:val="26"/>
          <w:szCs w:val="26"/>
        </w:rPr>
        <w:t xml:space="preserve"> 52 Pa. Code §§ 5.231, 69.401. </w:t>
      </w:r>
      <w:r w:rsidR="00286356">
        <w:rPr>
          <w:sz w:val="26"/>
          <w:szCs w:val="26"/>
        </w:rPr>
        <w:t xml:space="preserve"> </w:t>
      </w:r>
      <w:r w:rsidR="00910473" w:rsidRPr="00910473">
        <w:rPr>
          <w:sz w:val="26"/>
          <w:szCs w:val="26"/>
        </w:rPr>
        <w:t xml:space="preserve">A settlement, by </w:t>
      </w:r>
      <w:r w:rsidR="00C71E75">
        <w:rPr>
          <w:sz w:val="26"/>
          <w:szCs w:val="26"/>
        </w:rPr>
        <w:t xml:space="preserve">its </w:t>
      </w:r>
      <w:r w:rsidR="00910473" w:rsidRPr="00910473">
        <w:rPr>
          <w:sz w:val="26"/>
          <w:szCs w:val="26"/>
        </w:rPr>
        <w:t>very nature, represents a compromise among the parties that have entered into it, and it is tailored to resolving that particular proceeding.  It is made without prejudice to a position that a party may take in another proceeding</w:t>
      </w:r>
      <w:r w:rsidR="00286356">
        <w:rPr>
          <w:sz w:val="26"/>
          <w:szCs w:val="26"/>
        </w:rPr>
        <w:t xml:space="preserve">. </w:t>
      </w:r>
      <w:r w:rsidR="00910473" w:rsidRPr="00910473">
        <w:rPr>
          <w:sz w:val="26"/>
          <w:szCs w:val="26"/>
        </w:rPr>
        <w:t xml:space="preserve"> </w:t>
      </w:r>
      <w:r w:rsidR="00932FB0">
        <w:rPr>
          <w:i/>
          <w:iCs/>
          <w:sz w:val="26"/>
          <w:szCs w:val="26"/>
        </w:rPr>
        <w:t>S</w:t>
      </w:r>
      <w:r w:rsidR="00910473" w:rsidRPr="00910473">
        <w:rPr>
          <w:i/>
          <w:iCs/>
          <w:sz w:val="26"/>
          <w:szCs w:val="26"/>
        </w:rPr>
        <w:t xml:space="preserve">ee </w:t>
      </w:r>
      <w:r w:rsidR="00910473" w:rsidRPr="00910473">
        <w:rPr>
          <w:sz w:val="26"/>
          <w:szCs w:val="26"/>
        </w:rPr>
        <w:t xml:space="preserve">Settlement at 9, 10.  The Joint Petitioners noted that their treatment of the TCJA under the Settlement was specific to CenturyLink in Pennsylvania.  </w:t>
      </w:r>
      <w:r w:rsidR="00910473" w:rsidRPr="00910473">
        <w:rPr>
          <w:i/>
          <w:iCs/>
          <w:sz w:val="26"/>
          <w:szCs w:val="26"/>
        </w:rPr>
        <w:t xml:space="preserve">Id. </w:t>
      </w:r>
      <w:r w:rsidR="00910473" w:rsidRPr="00910473">
        <w:rPr>
          <w:sz w:val="26"/>
          <w:szCs w:val="26"/>
        </w:rPr>
        <w:t>at 9.  In our view, the Settlement is narrowly tailored to the resolution of the Company’s 2018 and 2019 PSI/SPI filings, and by extension, the Company’s 2020 PSI/SPI Filing.</w:t>
      </w:r>
    </w:p>
    <w:p w14:paraId="5DEB046D" w14:textId="77777777" w:rsidR="00910473" w:rsidRPr="00910473" w:rsidRDefault="00910473" w:rsidP="00217B05">
      <w:pPr>
        <w:widowControl/>
        <w:spacing w:line="360" w:lineRule="auto"/>
        <w:ind w:firstLine="1440"/>
        <w:contextualSpacing/>
        <w:rPr>
          <w:sz w:val="26"/>
          <w:szCs w:val="26"/>
        </w:rPr>
      </w:pPr>
    </w:p>
    <w:p w14:paraId="46BE8668" w14:textId="3006EA93" w:rsidR="0032271C" w:rsidRDefault="00910473" w:rsidP="00217B05">
      <w:pPr>
        <w:widowControl/>
        <w:spacing w:line="360" w:lineRule="auto"/>
        <w:ind w:firstLine="1440"/>
        <w:contextualSpacing/>
        <w:rPr>
          <w:rStyle w:val="Hyperlink"/>
          <w:color w:val="auto"/>
          <w:sz w:val="26"/>
          <w:szCs w:val="26"/>
          <w:u w:val="none"/>
        </w:rPr>
      </w:pPr>
      <w:r w:rsidRPr="00910473">
        <w:rPr>
          <w:sz w:val="26"/>
          <w:szCs w:val="26"/>
        </w:rPr>
        <w:t xml:space="preserve">Accordingly, </w:t>
      </w:r>
      <w:r w:rsidR="004D384D">
        <w:rPr>
          <w:sz w:val="26"/>
          <w:szCs w:val="26"/>
        </w:rPr>
        <w:t xml:space="preserve">we find that </w:t>
      </w:r>
      <w:r w:rsidRPr="00910473">
        <w:rPr>
          <w:sz w:val="26"/>
          <w:szCs w:val="26"/>
        </w:rPr>
        <w:t xml:space="preserve">our </w:t>
      </w:r>
      <w:r w:rsidRPr="00910473">
        <w:rPr>
          <w:i/>
          <w:iCs/>
          <w:sz w:val="26"/>
          <w:szCs w:val="26"/>
        </w:rPr>
        <w:t xml:space="preserve">October 2018 Order </w:t>
      </w:r>
      <w:r w:rsidRPr="00910473">
        <w:rPr>
          <w:sz w:val="26"/>
          <w:szCs w:val="26"/>
        </w:rPr>
        <w:t>does not serve as a barrier to reviewing the Settlement on its merits.  As a result, we shall reverse the ALJ’s recommendation on this issue and shall grant CenturyLink’s Exception Nos. 1 and 2, the OCA’s Exception No. 1, and the OSBA’s Exception No. 1.</w:t>
      </w:r>
    </w:p>
    <w:p w14:paraId="6F101B2B" w14:textId="77777777" w:rsidR="0032271C" w:rsidRDefault="0032271C" w:rsidP="00217B05">
      <w:pPr>
        <w:widowControl/>
        <w:spacing w:line="360" w:lineRule="auto"/>
        <w:contextualSpacing/>
        <w:rPr>
          <w:rStyle w:val="Hyperlink"/>
          <w:color w:val="auto"/>
          <w:sz w:val="26"/>
          <w:szCs w:val="26"/>
          <w:u w:val="none"/>
        </w:rPr>
      </w:pPr>
    </w:p>
    <w:p w14:paraId="2114D0F7" w14:textId="4C15E1EB" w:rsidR="006A35A5" w:rsidRPr="003674C7" w:rsidRDefault="0000131A" w:rsidP="00217B05">
      <w:pPr>
        <w:pStyle w:val="Heading3"/>
        <w:widowControl/>
        <w:numPr>
          <w:ilvl w:val="0"/>
          <w:numId w:val="37"/>
        </w:numPr>
        <w:spacing w:before="0"/>
        <w:ind w:left="1440" w:hanging="720"/>
        <w:contextualSpacing/>
        <w:rPr>
          <w:rStyle w:val="Hyperlink"/>
          <w:rFonts w:ascii="Times New Roman" w:hAnsi="Times New Roman" w:cs="Times New Roman"/>
          <w:b/>
          <w:bCs/>
          <w:color w:val="auto"/>
          <w:sz w:val="26"/>
          <w:szCs w:val="26"/>
          <w:u w:val="none"/>
        </w:rPr>
      </w:pPr>
      <w:bookmarkStart w:id="22" w:name="_Toc91762316"/>
      <w:r>
        <w:rPr>
          <w:rStyle w:val="Hyperlink"/>
          <w:rFonts w:ascii="Times New Roman" w:hAnsi="Times New Roman" w:cs="Times New Roman"/>
          <w:b/>
          <w:bCs/>
          <w:color w:val="auto"/>
          <w:sz w:val="26"/>
          <w:szCs w:val="26"/>
          <w:u w:val="none"/>
        </w:rPr>
        <w:t xml:space="preserve">Whether the ALJs Erred in </w:t>
      </w:r>
      <w:r w:rsidR="00B30F82">
        <w:rPr>
          <w:rStyle w:val="Hyperlink"/>
          <w:rFonts w:ascii="Times New Roman" w:hAnsi="Times New Roman" w:cs="Times New Roman"/>
          <w:b/>
          <w:bCs/>
          <w:color w:val="auto"/>
          <w:sz w:val="26"/>
          <w:szCs w:val="26"/>
          <w:u w:val="none"/>
        </w:rPr>
        <w:t>R</w:t>
      </w:r>
      <w:r>
        <w:rPr>
          <w:rStyle w:val="Hyperlink"/>
          <w:rFonts w:ascii="Times New Roman" w:hAnsi="Times New Roman" w:cs="Times New Roman"/>
          <w:b/>
          <w:bCs/>
          <w:color w:val="auto"/>
          <w:sz w:val="26"/>
          <w:szCs w:val="26"/>
          <w:u w:val="none"/>
        </w:rPr>
        <w:t xml:space="preserve">eaching a </w:t>
      </w:r>
      <w:r w:rsidR="00B30F82">
        <w:rPr>
          <w:rStyle w:val="Hyperlink"/>
          <w:rFonts w:ascii="Times New Roman" w:hAnsi="Times New Roman" w:cs="Times New Roman"/>
          <w:b/>
          <w:bCs/>
          <w:color w:val="auto"/>
          <w:sz w:val="26"/>
          <w:szCs w:val="26"/>
          <w:u w:val="none"/>
        </w:rPr>
        <w:t>C</w:t>
      </w:r>
      <w:r>
        <w:rPr>
          <w:rStyle w:val="Hyperlink"/>
          <w:rFonts w:ascii="Times New Roman" w:hAnsi="Times New Roman" w:cs="Times New Roman"/>
          <w:b/>
          <w:bCs/>
          <w:color w:val="auto"/>
          <w:sz w:val="26"/>
          <w:szCs w:val="26"/>
          <w:u w:val="none"/>
        </w:rPr>
        <w:t xml:space="preserve">onclusion that the TCJA Qualifies as an Exogenous </w:t>
      </w:r>
      <w:r w:rsidR="00AA7837">
        <w:rPr>
          <w:rStyle w:val="Hyperlink"/>
          <w:rFonts w:ascii="Times New Roman" w:hAnsi="Times New Roman" w:cs="Times New Roman"/>
          <w:b/>
          <w:bCs/>
          <w:color w:val="auto"/>
          <w:sz w:val="26"/>
          <w:szCs w:val="26"/>
          <w:u w:val="none"/>
        </w:rPr>
        <w:t xml:space="preserve">Event under the Company’s Chapter 30 Plan </w:t>
      </w:r>
      <w:r w:rsidR="00BA4FC5">
        <w:rPr>
          <w:rStyle w:val="Hyperlink"/>
          <w:rFonts w:ascii="Times New Roman" w:hAnsi="Times New Roman" w:cs="Times New Roman"/>
          <w:b/>
          <w:bCs/>
          <w:color w:val="auto"/>
          <w:sz w:val="26"/>
          <w:szCs w:val="26"/>
          <w:u w:val="none"/>
        </w:rPr>
        <w:t>(CenturyLink Exception No. 3; OCA Exception No. 2; OSBA Exception No. 1)</w:t>
      </w:r>
      <w:bookmarkEnd w:id="22"/>
    </w:p>
    <w:p w14:paraId="522B2358" w14:textId="3F5F6176" w:rsidR="00E04B7D" w:rsidRDefault="00E04B7D" w:rsidP="008643A0">
      <w:pPr>
        <w:keepNext/>
        <w:keepLines/>
        <w:widowControl/>
        <w:spacing w:line="480" w:lineRule="auto"/>
        <w:contextualSpacing/>
        <w:rPr>
          <w:rStyle w:val="Hyperlink"/>
          <w:color w:val="auto"/>
          <w:sz w:val="26"/>
          <w:szCs w:val="26"/>
          <w:u w:val="none"/>
        </w:rPr>
      </w:pPr>
    </w:p>
    <w:p w14:paraId="62A65E57" w14:textId="62CD9982" w:rsidR="00E04B7D" w:rsidRDefault="00E04B7D"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Although the Joint Petitioners maintain their divergent positions as to whether the TCJA qualifies as an exogenous event under the Company’s Chapter 30 Plan, each Joint Petitioner excepts to the AL</w:t>
      </w:r>
      <w:r w:rsidR="00746A21">
        <w:rPr>
          <w:rStyle w:val="Hyperlink"/>
          <w:color w:val="auto"/>
          <w:sz w:val="26"/>
          <w:szCs w:val="26"/>
          <w:u w:val="none"/>
        </w:rPr>
        <w:t>Js having reached a conclusion on this issue in their Recommended Decision</w:t>
      </w:r>
      <w:r>
        <w:rPr>
          <w:rStyle w:val="Hyperlink"/>
          <w:color w:val="auto"/>
          <w:sz w:val="26"/>
          <w:szCs w:val="26"/>
          <w:u w:val="none"/>
        </w:rPr>
        <w:t xml:space="preserve">.  </w:t>
      </w:r>
      <w:r w:rsidR="002E0F17">
        <w:rPr>
          <w:rStyle w:val="Hyperlink"/>
          <w:color w:val="auto"/>
          <w:sz w:val="26"/>
          <w:szCs w:val="26"/>
          <w:u w:val="none"/>
        </w:rPr>
        <w:t xml:space="preserve">CenturyLink Exc. at </w:t>
      </w:r>
      <w:r w:rsidR="00F13B79">
        <w:rPr>
          <w:rStyle w:val="Hyperlink"/>
          <w:color w:val="auto"/>
          <w:sz w:val="26"/>
          <w:szCs w:val="26"/>
          <w:u w:val="none"/>
        </w:rPr>
        <w:t>7-12; OCA Exc. at 5-7; OSBA</w:t>
      </w:r>
      <w:r w:rsidR="008643A0">
        <w:rPr>
          <w:rStyle w:val="Hyperlink"/>
          <w:color w:val="auto"/>
          <w:sz w:val="26"/>
          <w:szCs w:val="26"/>
          <w:u w:val="none"/>
        </w:rPr>
        <w:t> </w:t>
      </w:r>
      <w:r w:rsidR="00F13B79">
        <w:rPr>
          <w:rStyle w:val="Hyperlink"/>
          <w:color w:val="auto"/>
          <w:sz w:val="26"/>
          <w:szCs w:val="26"/>
          <w:u w:val="none"/>
        </w:rPr>
        <w:t>Exc. at 5-6.</w:t>
      </w:r>
    </w:p>
    <w:p w14:paraId="20EA8689" w14:textId="77777777" w:rsidR="004E72D6" w:rsidRDefault="004E72D6" w:rsidP="00217B05">
      <w:pPr>
        <w:widowControl/>
        <w:spacing w:line="360" w:lineRule="auto"/>
        <w:ind w:firstLine="1440"/>
        <w:contextualSpacing/>
        <w:rPr>
          <w:rStyle w:val="Hyperlink"/>
          <w:color w:val="auto"/>
          <w:sz w:val="26"/>
          <w:szCs w:val="26"/>
          <w:u w:val="none"/>
        </w:rPr>
      </w:pPr>
    </w:p>
    <w:p w14:paraId="5BF7CE71" w14:textId="77777777" w:rsidR="00E04B7D" w:rsidRDefault="00E04B7D" w:rsidP="00217B05">
      <w:pPr>
        <w:pStyle w:val="Heading4"/>
        <w:keepNext/>
        <w:keepLines/>
        <w:numPr>
          <w:ilvl w:val="0"/>
          <w:numId w:val="40"/>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Exceptions</w:t>
      </w:r>
    </w:p>
    <w:p w14:paraId="4CB7BF55" w14:textId="77777777" w:rsidR="00E04B7D" w:rsidRDefault="00E04B7D" w:rsidP="00217B05">
      <w:pPr>
        <w:keepNext/>
        <w:keepLines/>
        <w:widowControl/>
        <w:spacing w:line="360" w:lineRule="auto"/>
        <w:contextualSpacing/>
        <w:rPr>
          <w:rStyle w:val="Hyperlink"/>
          <w:color w:val="auto"/>
          <w:sz w:val="26"/>
          <w:szCs w:val="26"/>
          <w:u w:val="none"/>
        </w:rPr>
      </w:pPr>
    </w:p>
    <w:p w14:paraId="3CE7DF76" w14:textId="77777777" w:rsidR="00932290" w:rsidRPr="00932290" w:rsidRDefault="00932290" w:rsidP="00217B05">
      <w:pPr>
        <w:widowControl/>
        <w:spacing w:line="360" w:lineRule="auto"/>
        <w:ind w:firstLine="1440"/>
        <w:contextualSpacing/>
        <w:rPr>
          <w:rFonts w:eastAsia="Calibri"/>
          <w:sz w:val="26"/>
          <w:szCs w:val="26"/>
        </w:rPr>
      </w:pPr>
      <w:r w:rsidRPr="00932290">
        <w:rPr>
          <w:rFonts w:eastAsia="Calibri"/>
          <w:sz w:val="26"/>
          <w:szCs w:val="26"/>
        </w:rPr>
        <w:t>In its Exception No. 3, CenturyLink claims that the ALJs’ finding that the TCJA qualifies as an exogenous event under the Company’s Chapter 30 Plan is without support.  CenturyLink Exc. at 7.  According to CenturyLink its Chapter 30 Plan clearly delineates that for an event to qualify for exogenous treatment, it must be outside the Company’s control and must meet one of the following additional criteria:</w:t>
      </w:r>
    </w:p>
    <w:p w14:paraId="267486EA" w14:textId="77777777" w:rsidR="00932290" w:rsidRPr="00932290" w:rsidRDefault="00932290" w:rsidP="008643A0">
      <w:pPr>
        <w:widowControl/>
        <w:contextualSpacing/>
        <w:rPr>
          <w:rFonts w:eastAsia="Calibri"/>
          <w:sz w:val="26"/>
          <w:szCs w:val="26"/>
        </w:rPr>
      </w:pPr>
    </w:p>
    <w:p w14:paraId="5F6878B3" w14:textId="101766C8" w:rsidR="00932290" w:rsidRPr="00932290" w:rsidRDefault="00932290" w:rsidP="00DF4E53">
      <w:pPr>
        <w:widowControl/>
        <w:ind w:left="2160" w:right="1440" w:hanging="720"/>
        <w:contextualSpacing/>
        <w:rPr>
          <w:rFonts w:eastAsia="Calibri"/>
          <w:sz w:val="26"/>
          <w:szCs w:val="26"/>
        </w:rPr>
      </w:pPr>
      <w:r w:rsidRPr="00932290">
        <w:rPr>
          <w:rFonts w:eastAsia="Calibri"/>
          <w:sz w:val="26"/>
          <w:szCs w:val="26"/>
        </w:rPr>
        <w:t xml:space="preserve">(a) </w:t>
      </w:r>
      <w:r w:rsidR="00DF4E53">
        <w:rPr>
          <w:rFonts w:eastAsia="Calibri"/>
          <w:sz w:val="26"/>
          <w:szCs w:val="26"/>
        </w:rPr>
        <w:tab/>
      </w:r>
      <w:r w:rsidRPr="00932290">
        <w:rPr>
          <w:rFonts w:eastAsia="Calibri"/>
          <w:sz w:val="26"/>
          <w:szCs w:val="26"/>
        </w:rPr>
        <w:t xml:space="preserve">Jurisdictional shifts in cost recovery when interstate revenues actually change; </w:t>
      </w:r>
    </w:p>
    <w:p w14:paraId="45EB65FC" w14:textId="77777777" w:rsidR="00932290" w:rsidRPr="00932290" w:rsidRDefault="00932290" w:rsidP="00DF4E53">
      <w:pPr>
        <w:widowControl/>
        <w:ind w:left="2160" w:right="1440" w:hanging="720"/>
        <w:contextualSpacing/>
        <w:rPr>
          <w:rFonts w:eastAsia="Calibri"/>
          <w:sz w:val="26"/>
          <w:szCs w:val="26"/>
        </w:rPr>
      </w:pPr>
    </w:p>
    <w:p w14:paraId="72B45128" w14:textId="6CCED10F" w:rsidR="00932290" w:rsidRPr="00932290" w:rsidRDefault="00932290" w:rsidP="00DF4E53">
      <w:pPr>
        <w:widowControl/>
        <w:ind w:left="2160" w:right="1440" w:hanging="720"/>
        <w:contextualSpacing/>
        <w:rPr>
          <w:rFonts w:eastAsia="Calibri"/>
          <w:sz w:val="26"/>
          <w:szCs w:val="26"/>
        </w:rPr>
      </w:pPr>
      <w:r w:rsidRPr="00932290">
        <w:rPr>
          <w:rFonts w:eastAsia="Calibri"/>
          <w:sz w:val="26"/>
          <w:szCs w:val="26"/>
        </w:rPr>
        <w:t xml:space="preserve">(b) </w:t>
      </w:r>
      <w:r w:rsidR="00DF4E53">
        <w:rPr>
          <w:rFonts w:eastAsia="Calibri"/>
          <w:sz w:val="26"/>
          <w:szCs w:val="26"/>
        </w:rPr>
        <w:tab/>
      </w:r>
      <w:r w:rsidRPr="00932290">
        <w:rPr>
          <w:rFonts w:eastAsia="Calibri"/>
          <w:sz w:val="26"/>
          <w:szCs w:val="26"/>
        </w:rPr>
        <w:t xml:space="preserve">Subsequent state or federal regulatory and legislative changes which affect revenues or expenses, to the extent they are not captured in GDP-PI; and </w:t>
      </w:r>
    </w:p>
    <w:p w14:paraId="0A9A58DB" w14:textId="77777777" w:rsidR="00932290" w:rsidRPr="00932290" w:rsidRDefault="00932290" w:rsidP="00DF4E53">
      <w:pPr>
        <w:widowControl/>
        <w:ind w:left="2160" w:right="1440" w:hanging="720"/>
        <w:contextualSpacing/>
        <w:rPr>
          <w:rFonts w:eastAsia="Calibri"/>
          <w:sz w:val="26"/>
          <w:szCs w:val="26"/>
        </w:rPr>
      </w:pPr>
    </w:p>
    <w:p w14:paraId="5E4F7DA2" w14:textId="55371473" w:rsidR="00932290" w:rsidRPr="00932290" w:rsidRDefault="00932290" w:rsidP="00DF4E53">
      <w:pPr>
        <w:widowControl/>
        <w:ind w:left="2160" w:right="1440" w:hanging="720"/>
        <w:contextualSpacing/>
        <w:rPr>
          <w:rFonts w:eastAsia="Calibri"/>
          <w:sz w:val="26"/>
          <w:szCs w:val="26"/>
        </w:rPr>
      </w:pPr>
      <w:r w:rsidRPr="00932290">
        <w:rPr>
          <w:rFonts w:eastAsia="Calibri"/>
          <w:sz w:val="26"/>
          <w:szCs w:val="26"/>
        </w:rPr>
        <w:t xml:space="preserve">(c) </w:t>
      </w:r>
      <w:r w:rsidR="00DF4E53">
        <w:rPr>
          <w:rFonts w:eastAsia="Calibri"/>
          <w:sz w:val="26"/>
          <w:szCs w:val="26"/>
        </w:rPr>
        <w:tab/>
      </w:r>
      <w:r w:rsidRPr="00932290">
        <w:rPr>
          <w:rFonts w:eastAsia="Calibri"/>
          <w:sz w:val="26"/>
          <w:szCs w:val="26"/>
        </w:rPr>
        <w:t>Unique changes in the telephone industry that are not reflected in the overall inflation factor as measured by GDP</w:t>
      </w:r>
      <w:r w:rsidR="002817B0">
        <w:rPr>
          <w:rFonts w:eastAsia="Calibri"/>
          <w:sz w:val="26"/>
          <w:szCs w:val="26"/>
        </w:rPr>
        <w:noBreakHyphen/>
      </w:r>
      <w:r w:rsidRPr="00932290">
        <w:rPr>
          <w:rFonts w:eastAsia="Calibri"/>
          <w:sz w:val="26"/>
          <w:szCs w:val="26"/>
        </w:rPr>
        <w:t>PI.</w:t>
      </w:r>
    </w:p>
    <w:p w14:paraId="2A9392E9" w14:textId="77777777" w:rsidR="00932290" w:rsidRPr="00932290" w:rsidRDefault="00932290" w:rsidP="00217B05">
      <w:pPr>
        <w:widowControl/>
        <w:spacing w:line="360" w:lineRule="auto"/>
        <w:contextualSpacing/>
        <w:rPr>
          <w:rFonts w:eastAsia="Calibri"/>
          <w:sz w:val="26"/>
          <w:szCs w:val="26"/>
        </w:rPr>
      </w:pPr>
    </w:p>
    <w:p w14:paraId="7A77AD10" w14:textId="79F37C70" w:rsidR="00932290" w:rsidRDefault="00932290" w:rsidP="00217B05">
      <w:pPr>
        <w:widowControl/>
        <w:spacing w:line="360" w:lineRule="auto"/>
        <w:contextualSpacing/>
        <w:rPr>
          <w:rFonts w:eastAsia="Calibri"/>
          <w:sz w:val="26"/>
          <w:szCs w:val="26"/>
        </w:rPr>
      </w:pPr>
      <w:r w:rsidRPr="00932290">
        <w:rPr>
          <w:rFonts w:eastAsia="Calibri"/>
          <w:i/>
          <w:iCs/>
          <w:sz w:val="26"/>
          <w:szCs w:val="26"/>
        </w:rPr>
        <w:t xml:space="preserve">Id. </w:t>
      </w:r>
      <w:r w:rsidRPr="00932290">
        <w:rPr>
          <w:rFonts w:eastAsia="Calibri"/>
          <w:sz w:val="26"/>
          <w:szCs w:val="26"/>
        </w:rPr>
        <w:t xml:space="preserve">(citing CenturyLink Chapter 30 Plan at 18-19).  Thus, CenturyLink insists that the ALJs have erroneously concluded that the TCJA is a qualifying exogenous event based on subparts (b) and (c) of the above CenturyLink Chapter 30 Plan language.  However, CenturyLink takes the position that because the TCJA impacts all companies in all industries operating in the United States, and not just in the telephone industry, it cannot be a change affecting “revenues or expenses to the extent not reflected in the overall inflation factor as measured by the GDP-PI.  Based on the above, CenturyLink reinforces its position that the question of whether the TCJA is an exogenous event is not a factual issue based upon the plain reading of the exogenous event provisions in the Company’s Chapter 30 Plan.  CenturyLink Exc. at 8. </w:t>
      </w:r>
    </w:p>
    <w:p w14:paraId="0CF9D2CC" w14:textId="77777777" w:rsidR="009564B7" w:rsidRPr="00932290" w:rsidRDefault="009564B7" w:rsidP="00217B05">
      <w:pPr>
        <w:widowControl/>
        <w:spacing w:line="360" w:lineRule="auto"/>
        <w:contextualSpacing/>
        <w:rPr>
          <w:rFonts w:eastAsia="Calibri"/>
          <w:sz w:val="26"/>
          <w:szCs w:val="26"/>
        </w:rPr>
      </w:pPr>
    </w:p>
    <w:p w14:paraId="4D2EBCFF" w14:textId="1B61A0A9" w:rsidR="00932290" w:rsidRPr="00932290" w:rsidRDefault="00932290" w:rsidP="00217B05">
      <w:pPr>
        <w:widowControl/>
        <w:spacing w:line="360" w:lineRule="auto"/>
        <w:ind w:firstLine="1530"/>
        <w:contextualSpacing/>
        <w:rPr>
          <w:rFonts w:eastAsia="Calibri"/>
          <w:sz w:val="26"/>
          <w:szCs w:val="26"/>
        </w:rPr>
      </w:pPr>
      <w:r w:rsidRPr="00932290">
        <w:rPr>
          <w:rFonts w:eastAsia="Calibri"/>
          <w:sz w:val="26"/>
          <w:szCs w:val="26"/>
        </w:rPr>
        <w:t>CenturyLink also opines that contrary to the ALJs’ findings, the Settlement does not render the exogenous event provision in its Chapter 30 Plan “meaningless.”  According to CenturyLink</w:t>
      </w:r>
      <w:r w:rsidR="00E56705">
        <w:rPr>
          <w:rFonts w:eastAsia="Calibri"/>
          <w:sz w:val="26"/>
          <w:szCs w:val="26"/>
        </w:rPr>
        <w:t>,</w:t>
      </w:r>
      <w:r w:rsidRPr="00932290">
        <w:rPr>
          <w:rFonts w:eastAsia="Calibri"/>
          <w:sz w:val="26"/>
          <w:szCs w:val="26"/>
        </w:rPr>
        <w:t xml:space="preserve"> the proper application of the exogenous event provision is used when an event impacts revenues or expenses beyond a company’s control, is specific to the telecommunications industry, and is not reflected in the GDP</w:t>
      </w:r>
      <w:r w:rsidR="008643A0">
        <w:rPr>
          <w:rFonts w:eastAsia="Calibri"/>
          <w:sz w:val="26"/>
          <w:szCs w:val="26"/>
        </w:rPr>
        <w:noBreakHyphen/>
      </w:r>
      <w:r w:rsidRPr="00932290">
        <w:rPr>
          <w:rFonts w:eastAsia="Calibri"/>
          <w:sz w:val="26"/>
          <w:szCs w:val="26"/>
        </w:rPr>
        <w:t xml:space="preserve">PI.  In CenturyLink’s view, the national tax change that occurred under the passage of the TCJA has already been captured in the GDP-PI.  CenturyLink notes that </w:t>
      </w:r>
      <w:r w:rsidR="005B0839">
        <w:rPr>
          <w:rFonts w:eastAsia="Calibri"/>
          <w:sz w:val="26"/>
          <w:szCs w:val="26"/>
        </w:rPr>
        <w:t xml:space="preserve">the </w:t>
      </w:r>
      <w:r w:rsidR="005B0839" w:rsidRPr="00932290">
        <w:rPr>
          <w:rFonts w:eastAsia="Calibri"/>
          <w:sz w:val="26"/>
          <w:szCs w:val="26"/>
        </w:rPr>
        <w:t>rates and earnings</w:t>
      </w:r>
      <w:r w:rsidR="005B0839">
        <w:rPr>
          <w:rFonts w:eastAsia="Calibri"/>
          <w:sz w:val="26"/>
          <w:szCs w:val="26"/>
        </w:rPr>
        <w:t xml:space="preserve"> of</w:t>
      </w:r>
      <w:r w:rsidR="005B0839" w:rsidRPr="00932290">
        <w:rPr>
          <w:rFonts w:eastAsia="Calibri"/>
          <w:sz w:val="26"/>
          <w:szCs w:val="26"/>
        </w:rPr>
        <w:t xml:space="preserve"> </w:t>
      </w:r>
      <w:r w:rsidRPr="00932290">
        <w:rPr>
          <w:rFonts w:eastAsia="Calibri"/>
          <w:sz w:val="26"/>
          <w:szCs w:val="26"/>
        </w:rPr>
        <w:t xml:space="preserve">utilities that are governed under traditional regulation are directly tied to costs.  CenturyLink reasons that in contrast, such information is not available for ILECs that </w:t>
      </w:r>
      <w:r w:rsidR="005B0839">
        <w:rPr>
          <w:rFonts w:eastAsia="Calibri"/>
          <w:sz w:val="26"/>
          <w:szCs w:val="26"/>
        </w:rPr>
        <w:t xml:space="preserve">are </w:t>
      </w:r>
      <w:r w:rsidRPr="00932290">
        <w:rPr>
          <w:rFonts w:eastAsia="Calibri"/>
          <w:sz w:val="26"/>
          <w:szCs w:val="26"/>
        </w:rPr>
        <w:t xml:space="preserve">governed under alternative regulation.  In this regard, CenturyLink </w:t>
      </w:r>
      <w:r w:rsidR="00815466">
        <w:rPr>
          <w:rFonts w:eastAsia="Calibri"/>
          <w:sz w:val="26"/>
          <w:szCs w:val="26"/>
        </w:rPr>
        <w:t>restates its position that the</w:t>
      </w:r>
      <w:r w:rsidRPr="00932290">
        <w:rPr>
          <w:rFonts w:eastAsia="Calibri"/>
          <w:sz w:val="26"/>
          <w:szCs w:val="26"/>
        </w:rPr>
        <w:t xml:space="preserve"> GDP-PI component in the Company’s PSI formula cannot be easily unraveled for one component (i.e.</w:t>
      </w:r>
      <w:r w:rsidR="00007047">
        <w:rPr>
          <w:rFonts w:eastAsia="Calibri"/>
          <w:sz w:val="26"/>
          <w:szCs w:val="26"/>
        </w:rPr>
        <w:t>,</w:t>
      </w:r>
      <w:r w:rsidRPr="00932290">
        <w:rPr>
          <w:rFonts w:eastAsia="Calibri"/>
          <w:sz w:val="26"/>
          <w:szCs w:val="26"/>
        </w:rPr>
        <w:t xml:space="preserve"> the TCJA) because the underlying information and data, which may exist for other fixed utilities, does not exist for the Company.  Thus, in CenturyLink’s view, the ALJs have failed to understand that under an alternative regulatory scheme, the scope of what can be considered an exogenous event is limiting, rather than expansive.  CenturyLink Exc. at 8-12.</w:t>
      </w:r>
    </w:p>
    <w:p w14:paraId="2783BC8C" w14:textId="687702A6" w:rsidR="00E04B7D" w:rsidRDefault="00E04B7D" w:rsidP="00217B05">
      <w:pPr>
        <w:widowControl/>
        <w:spacing w:line="360" w:lineRule="auto"/>
        <w:contextualSpacing/>
        <w:rPr>
          <w:rStyle w:val="Hyperlink"/>
          <w:color w:val="auto"/>
          <w:sz w:val="26"/>
          <w:szCs w:val="26"/>
          <w:u w:val="none"/>
        </w:rPr>
      </w:pPr>
    </w:p>
    <w:p w14:paraId="7BC9E1C7" w14:textId="7D4186CC" w:rsidR="002D5203" w:rsidRPr="002D5203" w:rsidRDefault="00D00649" w:rsidP="00217B05">
      <w:pPr>
        <w:widowControl/>
        <w:spacing w:line="360" w:lineRule="auto"/>
        <w:ind w:firstLine="1440"/>
        <w:contextualSpacing/>
        <w:rPr>
          <w:sz w:val="26"/>
          <w:szCs w:val="26"/>
        </w:rPr>
      </w:pPr>
      <w:r>
        <w:rPr>
          <w:sz w:val="26"/>
          <w:szCs w:val="26"/>
        </w:rPr>
        <w:t xml:space="preserve">In its Exception No. 2, the OCA does not explicitly take issue with the ALJs’ finding that the TCJA </w:t>
      </w:r>
      <w:r w:rsidR="00144763">
        <w:rPr>
          <w:sz w:val="26"/>
          <w:szCs w:val="26"/>
        </w:rPr>
        <w:t xml:space="preserve">qualifies as an exogenous event under </w:t>
      </w:r>
      <w:r w:rsidR="0024417B">
        <w:rPr>
          <w:sz w:val="26"/>
          <w:szCs w:val="26"/>
        </w:rPr>
        <w:t>CenturyLink’s</w:t>
      </w:r>
      <w:r w:rsidR="00144763">
        <w:rPr>
          <w:sz w:val="26"/>
          <w:szCs w:val="26"/>
        </w:rPr>
        <w:t xml:space="preserve"> Chapter 30 Plan.  Rather, the OCA objects to</w:t>
      </w:r>
      <w:r w:rsidR="002D5203" w:rsidRPr="002D5203">
        <w:rPr>
          <w:sz w:val="26"/>
          <w:szCs w:val="26"/>
        </w:rPr>
        <w:t xml:space="preserve"> the ALJs’ finding that because </w:t>
      </w:r>
      <w:r w:rsidR="00144763">
        <w:rPr>
          <w:sz w:val="26"/>
          <w:szCs w:val="26"/>
        </w:rPr>
        <w:t>the Joint Petitioners have</w:t>
      </w:r>
      <w:r w:rsidR="0024417B">
        <w:rPr>
          <w:sz w:val="26"/>
          <w:szCs w:val="26"/>
        </w:rPr>
        <w:t xml:space="preserve"> failed</w:t>
      </w:r>
      <w:r w:rsidR="002D5203" w:rsidRPr="002D5203">
        <w:rPr>
          <w:sz w:val="26"/>
          <w:szCs w:val="26"/>
        </w:rPr>
        <w:t xml:space="preserve"> to determine whether the TCJA qualifies as an exogenous event, the Settlement should be rejected.  The OCA </w:t>
      </w:r>
      <w:r w:rsidR="0024417B">
        <w:rPr>
          <w:sz w:val="26"/>
          <w:szCs w:val="26"/>
        </w:rPr>
        <w:t>reiterates its argument that the ALJs</w:t>
      </w:r>
      <w:r w:rsidR="002D5203" w:rsidRPr="002D5203">
        <w:rPr>
          <w:sz w:val="26"/>
          <w:szCs w:val="26"/>
        </w:rPr>
        <w:t xml:space="preserve"> erred in </w:t>
      </w:r>
      <w:r w:rsidR="00E026CD">
        <w:rPr>
          <w:sz w:val="26"/>
          <w:szCs w:val="26"/>
        </w:rPr>
        <w:t>finding</w:t>
      </w:r>
      <w:r w:rsidR="002D5203" w:rsidRPr="002D5203">
        <w:rPr>
          <w:sz w:val="26"/>
          <w:szCs w:val="26"/>
        </w:rPr>
        <w:t xml:space="preserve"> that the </w:t>
      </w:r>
      <w:r w:rsidR="002D5203" w:rsidRPr="002D5203">
        <w:rPr>
          <w:i/>
          <w:iCs/>
          <w:sz w:val="26"/>
          <w:szCs w:val="26"/>
        </w:rPr>
        <w:t>October 2018 Order</w:t>
      </w:r>
      <w:r w:rsidR="002D5203" w:rsidRPr="002D5203">
        <w:rPr>
          <w:sz w:val="26"/>
          <w:szCs w:val="26"/>
        </w:rPr>
        <w:t xml:space="preserve"> mandated that such a determination be reached.  </w:t>
      </w:r>
      <w:r w:rsidR="0024417B">
        <w:rPr>
          <w:sz w:val="26"/>
          <w:szCs w:val="26"/>
        </w:rPr>
        <w:t xml:space="preserve">The OCA </w:t>
      </w:r>
      <w:r w:rsidR="00757AF1">
        <w:rPr>
          <w:sz w:val="26"/>
          <w:szCs w:val="26"/>
        </w:rPr>
        <w:t>contends that</w:t>
      </w:r>
      <w:r w:rsidR="002D5203" w:rsidRPr="002D5203">
        <w:rPr>
          <w:sz w:val="26"/>
          <w:szCs w:val="26"/>
        </w:rPr>
        <w:t xml:space="preserve"> </w:t>
      </w:r>
      <w:r w:rsidR="0024417B">
        <w:rPr>
          <w:sz w:val="26"/>
          <w:szCs w:val="26"/>
        </w:rPr>
        <w:t xml:space="preserve">the </w:t>
      </w:r>
      <w:r w:rsidR="002D5203" w:rsidRPr="002D5203">
        <w:rPr>
          <w:sz w:val="26"/>
          <w:szCs w:val="26"/>
        </w:rPr>
        <w:t xml:space="preserve">resolution of the exogenous event questions of fact and law would only be an interim step in determining whether and what level of revenue change should result from each contested CenturyLink PSI/SPI Filing.  The OCA claims that although the Joint Petitioners have reserved their respective positions concerning the TCJA and the exogenous event language in the Company’s Chapter 30 Plan, they have nonetheless negotiated a unanimous Settlement which provides benefits and is in the public interest.  For example, </w:t>
      </w:r>
      <w:r w:rsidR="00757AF1">
        <w:rPr>
          <w:sz w:val="26"/>
          <w:szCs w:val="26"/>
        </w:rPr>
        <w:t xml:space="preserve">as will be discussed in </w:t>
      </w:r>
      <w:r w:rsidR="00F54B11">
        <w:rPr>
          <w:sz w:val="26"/>
          <w:szCs w:val="26"/>
        </w:rPr>
        <w:t xml:space="preserve">more detail in </w:t>
      </w:r>
      <w:r w:rsidR="00757AF1">
        <w:rPr>
          <w:sz w:val="26"/>
          <w:szCs w:val="26"/>
        </w:rPr>
        <w:t>Section III.C.</w:t>
      </w:r>
      <w:r w:rsidR="00F54B11">
        <w:rPr>
          <w:sz w:val="26"/>
          <w:szCs w:val="26"/>
        </w:rPr>
        <w:t xml:space="preserve">3, </w:t>
      </w:r>
      <w:r w:rsidR="00F54B11">
        <w:rPr>
          <w:i/>
          <w:iCs/>
          <w:sz w:val="26"/>
          <w:szCs w:val="26"/>
        </w:rPr>
        <w:t xml:space="preserve">infra, </w:t>
      </w:r>
      <w:r w:rsidR="002D5203" w:rsidRPr="002D5203">
        <w:rPr>
          <w:sz w:val="26"/>
          <w:szCs w:val="26"/>
        </w:rPr>
        <w:t>the OCA trumpets the Joint Petitioners’ agreement that CenturyLink’s cumulative bank of allowed revenue increases will reflect $0</w:t>
      </w:r>
      <w:r w:rsidR="00322D2A">
        <w:rPr>
          <w:sz w:val="26"/>
          <w:szCs w:val="26"/>
        </w:rPr>
        <w:t>.00</w:t>
      </w:r>
      <w:r w:rsidR="002D5203" w:rsidRPr="002D5203">
        <w:rPr>
          <w:sz w:val="26"/>
          <w:szCs w:val="26"/>
        </w:rPr>
        <w:t xml:space="preserve"> for 2018, 2019, and 2020.  OCA Exc. at 5-6.</w:t>
      </w:r>
    </w:p>
    <w:p w14:paraId="0AE79B1D" w14:textId="77777777" w:rsidR="002D5203" w:rsidRPr="002D5203" w:rsidRDefault="002D5203" w:rsidP="00217B05">
      <w:pPr>
        <w:widowControl/>
        <w:spacing w:line="360" w:lineRule="auto"/>
        <w:contextualSpacing/>
        <w:rPr>
          <w:sz w:val="26"/>
          <w:szCs w:val="26"/>
        </w:rPr>
      </w:pPr>
    </w:p>
    <w:p w14:paraId="723658E9" w14:textId="37EFE3A4" w:rsidR="002D5203" w:rsidRPr="002D5203" w:rsidRDefault="00F54B11" w:rsidP="00217B05">
      <w:pPr>
        <w:widowControl/>
        <w:spacing w:line="360" w:lineRule="auto"/>
        <w:ind w:firstLine="1440"/>
        <w:contextualSpacing/>
        <w:rPr>
          <w:sz w:val="26"/>
          <w:szCs w:val="26"/>
        </w:rPr>
      </w:pPr>
      <w:r>
        <w:rPr>
          <w:sz w:val="26"/>
          <w:szCs w:val="26"/>
        </w:rPr>
        <w:t>Next, t</w:t>
      </w:r>
      <w:r w:rsidR="002D5203" w:rsidRPr="002D5203">
        <w:rPr>
          <w:sz w:val="26"/>
          <w:szCs w:val="26"/>
        </w:rPr>
        <w:t xml:space="preserve">he OCA submits that in 2013, the Commission approved a unanimous settlement petition to resolve OSBA and OCA formal complaints against a CenturyLink tariff filing which proposed to implement a portion of the Company’s bank of allowed revenue increases in </w:t>
      </w:r>
      <w:r w:rsidR="002D5203" w:rsidRPr="00177A80">
        <w:rPr>
          <w:i/>
          <w:iCs/>
          <w:sz w:val="26"/>
          <w:szCs w:val="26"/>
        </w:rPr>
        <w:t>Pa. PUC v. United Telephone Company of PA. d/b/a CenturyLink, and Order</w:t>
      </w:r>
      <w:r w:rsidR="002D5203" w:rsidRPr="002D5203">
        <w:rPr>
          <w:sz w:val="26"/>
          <w:szCs w:val="26"/>
        </w:rPr>
        <w:t>, Docket No. R-2013-2367099, et al</w:t>
      </w:r>
      <w:r w:rsidR="008643A0">
        <w:rPr>
          <w:sz w:val="26"/>
          <w:szCs w:val="26"/>
        </w:rPr>
        <w:t>.</w:t>
      </w:r>
      <w:r w:rsidR="002D5203" w:rsidRPr="002D5203">
        <w:rPr>
          <w:sz w:val="26"/>
          <w:szCs w:val="26"/>
        </w:rPr>
        <w:t xml:space="preserve"> (July 29, 2013)</w:t>
      </w:r>
      <w:r w:rsidR="009F0AAE">
        <w:rPr>
          <w:sz w:val="26"/>
          <w:szCs w:val="26"/>
        </w:rPr>
        <w:t xml:space="preserve"> </w:t>
      </w:r>
      <w:r w:rsidR="002D5203" w:rsidRPr="002D5203">
        <w:rPr>
          <w:sz w:val="26"/>
          <w:szCs w:val="26"/>
        </w:rPr>
        <w:t>(</w:t>
      </w:r>
      <w:r w:rsidR="002D5203" w:rsidRPr="002D5203">
        <w:rPr>
          <w:i/>
          <w:iCs/>
          <w:sz w:val="26"/>
          <w:szCs w:val="26"/>
        </w:rPr>
        <w:t>2013</w:t>
      </w:r>
      <w:r w:rsidR="008643A0">
        <w:rPr>
          <w:i/>
          <w:iCs/>
          <w:sz w:val="26"/>
          <w:szCs w:val="26"/>
        </w:rPr>
        <w:t> </w:t>
      </w:r>
      <w:r w:rsidR="002D5203" w:rsidRPr="002D5203">
        <w:rPr>
          <w:i/>
          <w:iCs/>
          <w:sz w:val="26"/>
          <w:szCs w:val="26"/>
        </w:rPr>
        <w:t>CenturyLink Order</w:t>
      </w:r>
      <w:r w:rsidR="002D5203" w:rsidRPr="002D5203">
        <w:rPr>
          <w:sz w:val="26"/>
          <w:szCs w:val="26"/>
        </w:rPr>
        <w:t>).  OCA Exc. at 6.  According to the OCA, the Commission approved that settlement as “a reasonable compromise” and in the public interest, even though the settlement did not resolve an “outstanding legal issue” concerning</w:t>
      </w:r>
      <w:r w:rsidR="004A1FC2">
        <w:rPr>
          <w:sz w:val="26"/>
          <w:szCs w:val="26"/>
        </w:rPr>
        <w:t xml:space="preserve"> whether the language in CenturyLink’s Chapter 30 Plan permits the Company to file for mid-year changes in rates outside</w:t>
      </w:r>
      <w:r w:rsidR="00F17EAF">
        <w:rPr>
          <w:sz w:val="26"/>
          <w:szCs w:val="26"/>
        </w:rPr>
        <w:t xml:space="preserve"> of the time period in which it makes its annual PSI/SPI filings.</w:t>
      </w:r>
      <w:r w:rsidR="002D5203" w:rsidRPr="002D5203">
        <w:rPr>
          <w:sz w:val="26"/>
          <w:szCs w:val="26"/>
        </w:rPr>
        <w:t xml:space="preserve">  The OCA continues that the Commission considered the narrow scope of that settlement and cautioned other ILECs that it did not set a precedent.  </w:t>
      </w:r>
      <w:r w:rsidR="002D5203" w:rsidRPr="002D5203">
        <w:rPr>
          <w:i/>
          <w:iCs/>
          <w:sz w:val="26"/>
          <w:szCs w:val="26"/>
        </w:rPr>
        <w:t>Id</w:t>
      </w:r>
      <w:r w:rsidR="002D5203" w:rsidRPr="002D5203">
        <w:rPr>
          <w:sz w:val="26"/>
          <w:szCs w:val="26"/>
        </w:rPr>
        <w:t xml:space="preserve">. (citing </w:t>
      </w:r>
      <w:r w:rsidR="002D5203" w:rsidRPr="002D5203">
        <w:rPr>
          <w:i/>
          <w:iCs/>
          <w:sz w:val="26"/>
          <w:szCs w:val="26"/>
        </w:rPr>
        <w:t>2013 CenturyLink Order</w:t>
      </w:r>
      <w:r w:rsidR="002D5203" w:rsidRPr="002D5203">
        <w:rPr>
          <w:sz w:val="26"/>
          <w:szCs w:val="26"/>
        </w:rPr>
        <w:t xml:space="preserve"> at 17-18).  The OCA </w:t>
      </w:r>
      <w:r w:rsidR="00391CF7">
        <w:rPr>
          <w:sz w:val="26"/>
          <w:szCs w:val="26"/>
        </w:rPr>
        <w:t>assert</w:t>
      </w:r>
      <w:r w:rsidR="002D5203" w:rsidRPr="002D5203">
        <w:rPr>
          <w:sz w:val="26"/>
          <w:szCs w:val="26"/>
        </w:rPr>
        <w:t>s that the Commission should take this same approach in this current proceeding and approve the Settlement.  OCA Exc. at 6.</w:t>
      </w:r>
    </w:p>
    <w:p w14:paraId="29FDD762" w14:textId="77777777" w:rsidR="002D5203" w:rsidRPr="002D5203" w:rsidRDefault="002D5203" w:rsidP="00217B05">
      <w:pPr>
        <w:widowControl/>
        <w:spacing w:line="360" w:lineRule="auto"/>
        <w:contextualSpacing/>
        <w:rPr>
          <w:sz w:val="26"/>
          <w:szCs w:val="26"/>
        </w:rPr>
      </w:pPr>
    </w:p>
    <w:p w14:paraId="38AD963D" w14:textId="0B5D351C" w:rsidR="00AF2F29" w:rsidRDefault="002D5203" w:rsidP="00217B05">
      <w:pPr>
        <w:widowControl/>
        <w:spacing w:line="360" w:lineRule="auto"/>
        <w:ind w:firstLine="1440"/>
        <w:contextualSpacing/>
        <w:rPr>
          <w:rStyle w:val="Hyperlink"/>
          <w:color w:val="auto"/>
          <w:sz w:val="26"/>
          <w:szCs w:val="26"/>
          <w:u w:val="none"/>
        </w:rPr>
      </w:pPr>
      <w:r w:rsidRPr="002D5203">
        <w:rPr>
          <w:sz w:val="26"/>
          <w:szCs w:val="26"/>
        </w:rPr>
        <w:t>The OCA also cites to several other contested ILEC PSI/SPI filings in which the Commission approved settlements.  The OCA specifically notes that in 2003, several ILECs petitioned the Commission for the recognition of an exogenous event as a result of certain changes in revenues and expenses</w:t>
      </w:r>
      <w:r w:rsidR="004F2DED">
        <w:rPr>
          <w:sz w:val="26"/>
          <w:szCs w:val="26"/>
        </w:rPr>
        <w:t>.  The OCA argues that in these proceedings,</w:t>
      </w:r>
      <w:r w:rsidRPr="002D5203">
        <w:rPr>
          <w:sz w:val="26"/>
          <w:szCs w:val="26"/>
        </w:rPr>
        <w:t xml:space="preserve"> each contested petition was resolved by a settlement that was based on facts specific to each ILEC.  </w:t>
      </w:r>
      <w:bookmarkStart w:id="23" w:name="_MailAutoSig"/>
      <w:r w:rsidR="00AF2BBC" w:rsidRPr="00AF2BBC">
        <w:rPr>
          <w:sz w:val="26"/>
          <w:szCs w:val="26"/>
        </w:rPr>
        <w:t xml:space="preserve">For example, the OCA cites to </w:t>
      </w:r>
      <w:r w:rsidR="00AF2BBC" w:rsidRPr="002817B0">
        <w:rPr>
          <w:i/>
          <w:iCs/>
          <w:sz w:val="26"/>
          <w:szCs w:val="26"/>
        </w:rPr>
        <w:t>Petition of Commonwealth Telephone Company for Recognition of an Exogenous Event under its Alternative Regulation Plan,</w:t>
      </w:r>
      <w:r w:rsidR="00AF2BBC" w:rsidRPr="00AF2BBC">
        <w:rPr>
          <w:sz w:val="26"/>
          <w:szCs w:val="26"/>
        </w:rPr>
        <w:t xml:space="preserve"> Docket Nos. P</w:t>
      </w:r>
      <w:r w:rsidR="00AF2BBC" w:rsidRPr="00AF2BBC">
        <w:rPr>
          <w:sz w:val="26"/>
          <w:szCs w:val="26"/>
        </w:rPr>
        <w:noBreakHyphen/>
        <w:t>00032020, P</w:t>
      </w:r>
      <w:r w:rsidR="00AF2BBC" w:rsidRPr="00AF2BBC">
        <w:rPr>
          <w:sz w:val="26"/>
          <w:szCs w:val="26"/>
        </w:rPr>
        <w:noBreakHyphen/>
        <w:t>00961024F0002, P</w:t>
      </w:r>
      <w:r w:rsidR="00AF2BBC" w:rsidRPr="00AF2BBC">
        <w:rPr>
          <w:sz w:val="26"/>
          <w:szCs w:val="26"/>
        </w:rPr>
        <w:noBreakHyphen/>
        <w:t>00961024, and R</w:t>
      </w:r>
      <w:r w:rsidR="00AF2BBC" w:rsidRPr="00AF2BBC">
        <w:rPr>
          <w:sz w:val="26"/>
          <w:szCs w:val="26"/>
        </w:rPr>
        <w:noBreakHyphen/>
        <w:t xml:space="preserve">00027695 (Order entered July 21, 2003).  The OCA explains that in that proceeding, the Commission adopted the Recommended Decision of ALJ Herbert Smolen wherein he recommended the adoption of a settlement agreement in which the ILEC: </w:t>
      </w:r>
      <w:r w:rsidR="00C827CF">
        <w:rPr>
          <w:sz w:val="26"/>
          <w:szCs w:val="26"/>
        </w:rPr>
        <w:t xml:space="preserve"> </w:t>
      </w:r>
      <w:r w:rsidR="00AF2BBC" w:rsidRPr="00AF2BBC">
        <w:rPr>
          <w:sz w:val="26"/>
          <w:szCs w:val="26"/>
        </w:rPr>
        <w:t>(1) withdrew its petition and recalculated its PSI/SPI filing without including an exogenous event factor; (2) obtained permission to amend the banking language in its then</w:t>
      </w:r>
      <w:r w:rsidR="00AF2BBC" w:rsidRPr="00AF2BBC">
        <w:rPr>
          <w:sz w:val="26"/>
          <w:szCs w:val="26"/>
        </w:rPr>
        <w:noBreakHyphen/>
        <w:t>effective Chapter 30 Plan to allow for the banking of decreases; and (3) agreed to adjust its State Tax Adjustment Surcharge (STAS) to provide a STAS-related refund to its customers. OCA Exc. at 6, n.1.</w:t>
      </w:r>
      <w:bookmarkEnd w:id="23"/>
      <w:r w:rsidR="00AF2BBC">
        <w:rPr>
          <w:sz w:val="26"/>
          <w:szCs w:val="26"/>
        </w:rPr>
        <w:t xml:space="preserve">  </w:t>
      </w:r>
      <w:r w:rsidRPr="002D5203">
        <w:rPr>
          <w:sz w:val="26"/>
          <w:szCs w:val="26"/>
        </w:rPr>
        <w:t xml:space="preserve">Therefore, the OCA takes the position that </w:t>
      </w:r>
      <w:r w:rsidR="00993A0D">
        <w:rPr>
          <w:sz w:val="26"/>
          <w:szCs w:val="26"/>
        </w:rPr>
        <w:t>instead of</w:t>
      </w:r>
      <w:r w:rsidRPr="002D5203">
        <w:rPr>
          <w:sz w:val="26"/>
          <w:szCs w:val="26"/>
        </w:rPr>
        <w:t xml:space="preserve"> focusing on what the proposed Settlement does not do, the Commission should determine that the affirmative provisions </w:t>
      </w:r>
      <w:r w:rsidR="00993A0D">
        <w:rPr>
          <w:sz w:val="26"/>
          <w:szCs w:val="26"/>
        </w:rPr>
        <w:t>of the Settlement and the</w:t>
      </w:r>
      <w:r w:rsidR="00C52980">
        <w:rPr>
          <w:sz w:val="26"/>
          <w:szCs w:val="26"/>
        </w:rPr>
        <w:t xml:space="preserve"> </w:t>
      </w:r>
      <w:r w:rsidRPr="002D5203">
        <w:rPr>
          <w:sz w:val="26"/>
          <w:szCs w:val="26"/>
        </w:rPr>
        <w:t xml:space="preserve">agreement </w:t>
      </w:r>
      <w:r w:rsidR="00C52980">
        <w:rPr>
          <w:sz w:val="26"/>
          <w:szCs w:val="26"/>
        </w:rPr>
        <w:t>among</w:t>
      </w:r>
      <w:r w:rsidRPr="002D5203">
        <w:rPr>
          <w:sz w:val="26"/>
          <w:szCs w:val="26"/>
        </w:rPr>
        <w:t xml:space="preserve"> the Parties will provide benefits to CenturyLink’s ratepayers, and should approve the Settlement as being in the public interest.  The OCA stresses its position that the Settlement does not seek to create a precedent but is tailored to the particular facts of CenturyLink’s Chapter 30 Plan operations and banking provisions.  </w:t>
      </w:r>
      <w:r w:rsidR="00AF2BBC">
        <w:rPr>
          <w:i/>
          <w:iCs/>
          <w:sz w:val="26"/>
          <w:szCs w:val="26"/>
        </w:rPr>
        <w:t>Id</w:t>
      </w:r>
      <w:r w:rsidRPr="002D5203">
        <w:rPr>
          <w:sz w:val="26"/>
          <w:szCs w:val="26"/>
        </w:rPr>
        <w:t>. at 6</w:t>
      </w:r>
      <w:r w:rsidRPr="002D5203">
        <w:rPr>
          <w:sz w:val="26"/>
          <w:szCs w:val="26"/>
        </w:rPr>
        <w:noBreakHyphen/>
        <w:t>7</w:t>
      </w:r>
      <w:r w:rsidR="00993308">
        <w:rPr>
          <w:sz w:val="26"/>
          <w:szCs w:val="26"/>
        </w:rPr>
        <w:t>.</w:t>
      </w:r>
    </w:p>
    <w:p w14:paraId="4485432D" w14:textId="2EC170FD" w:rsidR="00AF2F29" w:rsidRDefault="00AF2F29" w:rsidP="00217B05">
      <w:pPr>
        <w:widowControl/>
        <w:spacing w:line="360" w:lineRule="auto"/>
        <w:contextualSpacing/>
        <w:rPr>
          <w:rStyle w:val="Hyperlink"/>
          <w:color w:val="auto"/>
          <w:sz w:val="26"/>
          <w:szCs w:val="26"/>
          <w:u w:val="none"/>
        </w:rPr>
      </w:pPr>
    </w:p>
    <w:p w14:paraId="65724F14" w14:textId="1795EFC7" w:rsidR="00FE2B55" w:rsidRPr="00FE2B55" w:rsidRDefault="00FE2B55" w:rsidP="00217B05">
      <w:pPr>
        <w:widowControl/>
        <w:spacing w:line="360" w:lineRule="auto"/>
        <w:ind w:firstLine="1440"/>
        <w:contextualSpacing/>
        <w:rPr>
          <w:rFonts w:eastAsia="Calibri"/>
          <w:sz w:val="26"/>
          <w:szCs w:val="26"/>
        </w:rPr>
      </w:pPr>
      <w:r w:rsidRPr="00FE2B55">
        <w:rPr>
          <w:rFonts w:eastAsia="Calibri"/>
          <w:sz w:val="26"/>
          <w:szCs w:val="26"/>
        </w:rPr>
        <w:t xml:space="preserve">In its Exception No. 1, the OSBA argues that the ALJs correctly stated that the Settlement leaves the legal issue of whether the TCJA is a qualifying event under CenturyLink’s Chapter 30 Plan unresolved.  However, the OSBA restates its position that while it is certain that the TCJA is an exogenous event, it and the Company have “agreed to disagree” in order to bring this proceeding to a close.  The OSBA further </w:t>
      </w:r>
      <w:r w:rsidR="00F9446E">
        <w:rPr>
          <w:rFonts w:eastAsia="Calibri"/>
          <w:sz w:val="26"/>
          <w:szCs w:val="26"/>
        </w:rPr>
        <w:t>argues</w:t>
      </w:r>
      <w:r w:rsidRPr="00FE2B55">
        <w:rPr>
          <w:rFonts w:eastAsia="Calibri"/>
          <w:sz w:val="26"/>
          <w:szCs w:val="26"/>
        </w:rPr>
        <w:t xml:space="preserve"> that while the Settlement did not address this question, the OSBA’s witness Mr. </w:t>
      </w:r>
      <w:proofErr w:type="spellStart"/>
      <w:r w:rsidRPr="00FE2B55">
        <w:rPr>
          <w:rFonts w:eastAsia="Calibri"/>
          <w:sz w:val="26"/>
          <w:szCs w:val="26"/>
        </w:rPr>
        <w:t>Gillan</w:t>
      </w:r>
      <w:proofErr w:type="spellEnd"/>
      <w:r w:rsidRPr="00FE2B55">
        <w:rPr>
          <w:rFonts w:eastAsia="Calibri"/>
          <w:sz w:val="26"/>
          <w:szCs w:val="26"/>
        </w:rPr>
        <w:t xml:space="preserve"> assumed in his Verified Witness Statement that the TCJA was an exogenous event and demonstrated that the Settlement was in the public interest as though this issue was decided in favor of the OSBA.  As a result, the OSBA submits that this issue is no longer relevant to the more immediate question of whether the Settlement should be approved.  OSBA Exc. at 5.</w:t>
      </w:r>
    </w:p>
    <w:p w14:paraId="6D509F6F" w14:textId="77777777" w:rsidR="00FE2B55" w:rsidRPr="00FE2B55" w:rsidRDefault="00FE2B55" w:rsidP="00217B05">
      <w:pPr>
        <w:widowControl/>
        <w:spacing w:line="360" w:lineRule="auto"/>
        <w:contextualSpacing/>
        <w:rPr>
          <w:rFonts w:eastAsia="Calibri"/>
          <w:sz w:val="26"/>
          <w:szCs w:val="26"/>
        </w:rPr>
      </w:pPr>
    </w:p>
    <w:p w14:paraId="4E186510" w14:textId="5F622D0A" w:rsidR="002D5203" w:rsidRDefault="00FE2B55" w:rsidP="00217B05">
      <w:pPr>
        <w:widowControl/>
        <w:spacing w:line="360" w:lineRule="auto"/>
        <w:ind w:firstLine="1440"/>
        <w:contextualSpacing/>
        <w:rPr>
          <w:rStyle w:val="Hyperlink"/>
          <w:color w:val="auto"/>
          <w:sz w:val="26"/>
          <w:szCs w:val="26"/>
          <w:u w:val="none"/>
        </w:rPr>
      </w:pPr>
      <w:r w:rsidRPr="00FE2B55">
        <w:rPr>
          <w:rFonts w:eastAsia="Calibri"/>
          <w:sz w:val="26"/>
          <w:szCs w:val="26"/>
        </w:rPr>
        <w:t>The OSBA takes the position that the Commission must clarify what it wants from the Joint Petitioners in this proceeding</w:t>
      </w:r>
      <w:r w:rsidR="0080165E">
        <w:rPr>
          <w:rFonts w:eastAsia="Calibri"/>
          <w:sz w:val="26"/>
          <w:szCs w:val="26"/>
        </w:rPr>
        <w:t>,</w:t>
      </w:r>
      <w:r w:rsidRPr="00FE2B55">
        <w:rPr>
          <w:rFonts w:eastAsia="Calibri"/>
          <w:sz w:val="26"/>
          <w:szCs w:val="26"/>
        </w:rPr>
        <w:t xml:space="preserve"> and from the litigants in </w:t>
      </w:r>
      <w:r w:rsidR="0080165E">
        <w:rPr>
          <w:rFonts w:eastAsia="Calibri"/>
          <w:sz w:val="26"/>
          <w:szCs w:val="26"/>
        </w:rPr>
        <w:t xml:space="preserve">the other </w:t>
      </w:r>
      <w:r w:rsidR="00F41CC5">
        <w:rPr>
          <w:rFonts w:eastAsia="Calibri"/>
          <w:sz w:val="26"/>
          <w:szCs w:val="26"/>
        </w:rPr>
        <w:t>ILEC PSI/SPI proceedings that are currently before the Commission</w:t>
      </w:r>
      <w:r w:rsidRPr="00FE2B55">
        <w:rPr>
          <w:rFonts w:eastAsia="Calibri"/>
          <w:sz w:val="26"/>
          <w:szCs w:val="26"/>
        </w:rPr>
        <w:t xml:space="preserve">.  Namely, the OSBA restates that the Joint Petitioners have proffered the Settlement in good faith to attempt to bring this proceeding to a close.  However, the OSBA </w:t>
      </w:r>
      <w:r w:rsidR="0009754E">
        <w:rPr>
          <w:rFonts w:eastAsia="Calibri"/>
          <w:sz w:val="26"/>
          <w:szCs w:val="26"/>
        </w:rPr>
        <w:t>claims</w:t>
      </w:r>
      <w:r w:rsidR="006215A8">
        <w:rPr>
          <w:rFonts w:eastAsia="Calibri"/>
          <w:sz w:val="26"/>
          <w:szCs w:val="26"/>
        </w:rPr>
        <w:t xml:space="preserve"> </w:t>
      </w:r>
      <w:r w:rsidRPr="00FE2B55">
        <w:rPr>
          <w:rFonts w:eastAsia="Calibri"/>
          <w:sz w:val="26"/>
          <w:szCs w:val="26"/>
        </w:rPr>
        <w:t xml:space="preserve">that if the Commission concurs with the ALJs that the issue of whether the </w:t>
      </w:r>
      <w:r w:rsidR="0053416E">
        <w:rPr>
          <w:rFonts w:eastAsia="Calibri"/>
          <w:sz w:val="26"/>
          <w:szCs w:val="26"/>
        </w:rPr>
        <w:t xml:space="preserve">passage of the </w:t>
      </w:r>
      <w:r w:rsidRPr="00FE2B55">
        <w:rPr>
          <w:rFonts w:eastAsia="Calibri"/>
          <w:sz w:val="26"/>
          <w:szCs w:val="26"/>
        </w:rPr>
        <w:t xml:space="preserve">TCJA is an exogenous event </w:t>
      </w:r>
      <w:r w:rsidR="00020FD9">
        <w:rPr>
          <w:rFonts w:eastAsia="Calibri"/>
          <w:sz w:val="26"/>
          <w:szCs w:val="26"/>
        </w:rPr>
        <w:t xml:space="preserve">that </w:t>
      </w:r>
      <w:r w:rsidRPr="00FE2B55">
        <w:rPr>
          <w:rFonts w:eastAsia="Calibri"/>
          <w:sz w:val="26"/>
          <w:szCs w:val="26"/>
        </w:rPr>
        <w:t xml:space="preserve">must be fully litigated in this proceeding, this will result in additional procedural and legal questions.  More specifically, the OSBA requests clarification as to whether this current proceeding is to serve as precedent for all other ILEC </w:t>
      </w:r>
      <w:r w:rsidR="00CF10E4">
        <w:rPr>
          <w:rFonts w:eastAsia="Calibri"/>
          <w:sz w:val="26"/>
          <w:szCs w:val="26"/>
        </w:rPr>
        <w:t>PSI/SPI proceedings</w:t>
      </w:r>
      <w:r w:rsidRPr="00FE2B55">
        <w:rPr>
          <w:rFonts w:eastAsia="Calibri"/>
          <w:sz w:val="26"/>
          <w:szCs w:val="26"/>
        </w:rPr>
        <w:t xml:space="preserve"> on the issue of whether the TCJA qualifies as an exogenous event, or, in the alternative, if each </w:t>
      </w:r>
      <w:r w:rsidR="00CF10E4">
        <w:rPr>
          <w:rFonts w:eastAsia="Calibri"/>
          <w:sz w:val="26"/>
          <w:szCs w:val="26"/>
        </w:rPr>
        <w:t>proceeding</w:t>
      </w:r>
      <w:r w:rsidRPr="00FE2B55">
        <w:rPr>
          <w:rFonts w:eastAsia="Calibri"/>
          <w:sz w:val="26"/>
          <w:szCs w:val="26"/>
        </w:rPr>
        <w:t xml:space="preserve"> should be separately litigated.  OSBA Exc. at 5-6.</w:t>
      </w:r>
    </w:p>
    <w:p w14:paraId="03E51DDB" w14:textId="77777777" w:rsidR="00E04B7D" w:rsidRDefault="00E04B7D" w:rsidP="00217B05">
      <w:pPr>
        <w:pStyle w:val="Heading4"/>
        <w:keepNext/>
        <w:keepLines/>
        <w:numPr>
          <w:ilvl w:val="0"/>
          <w:numId w:val="40"/>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Disposition</w:t>
      </w:r>
    </w:p>
    <w:p w14:paraId="07B7099E" w14:textId="77777777" w:rsidR="00E04B7D" w:rsidRDefault="00E04B7D" w:rsidP="00217B05">
      <w:pPr>
        <w:keepNext/>
        <w:keepLines/>
        <w:widowControl/>
        <w:spacing w:line="360" w:lineRule="auto"/>
        <w:contextualSpacing/>
        <w:rPr>
          <w:rStyle w:val="Hyperlink"/>
          <w:color w:val="auto"/>
          <w:sz w:val="26"/>
          <w:szCs w:val="26"/>
          <w:u w:val="none"/>
        </w:rPr>
      </w:pPr>
    </w:p>
    <w:p w14:paraId="46E0F264" w14:textId="64C56970" w:rsidR="002C6E1E" w:rsidRPr="00172A8B" w:rsidRDefault="00CB51CA" w:rsidP="00217B05">
      <w:pPr>
        <w:widowControl/>
        <w:spacing w:line="360" w:lineRule="auto"/>
        <w:ind w:firstLine="1440"/>
        <w:contextualSpacing/>
        <w:rPr>
          <w:sz w:val="26"/>
          <w:szCs w:val="26"/>
        </w:rPr>
      </w:pPr>
      <w:r>
        <w:rPr>
          <w:sz w:val="26"/>
          <w:szCs w:val="26"/>
        </w:rPr>
        <w:t xml:space="preserve">We have </w:t>
      </w:r>
      <w:r w:rsidR="00793626">
        <w:rPr>
          <w:sz w:val="26"/>
          <w:szCs w:val="26"/>
        </w:rPr>
        <w:t>established</w:t>
      </w:r>
      <w:r w:rsidR="003E7F89">
        <w:rPr>
          <w:sz w:val="26"/>
          <w:szCs w:val="26"/>
        </w:rPr>
        <w:t xml:space="preserve"> </w:t>
      </w:r>
      <w:r w:rsidR="002C6E1E" w:rsidRPr="002C6E1E">
        <w:rPr>
          <w:sz w:val="26"/>
          <w:szCs w:val="26"/>
        </w:rPr>
        <w:t xml:space="preserve">that the scope of this proceeding is narrowly focused on the OCA’s 2018 and 2019 Complaints against the Company and the </w:t>
      </w:r>
      <w:r w:rsidR="00793626">
        <w:rPr>
          <w:sz w:val="26"/>
          <w:szCs w:val="26"/>
        </w:rPr>
        <w:t xml:space="preserve">unanimous </w:t>
      </w:r>
      <w:r w:rsidR="002C6E1E" w:rsidRPr="002C6E1E">
        <w:rPr>
          <w:sz w:val="26"/>
          <w:szCs w:val="26"/>
        </w:rPr>
        <w:t xml:space="preserve">Settlement that the Joint Petitioners have proffered in attempt to resolve the OCA’s Complaints.  </w:t>
      </w:r>
      <w:r w:rsidR="00B121B3">
        <w:rPr>
          <w:sz w:val="26"/>
          <w:szCs w:val="26"/>
        </w:rPr>
        <w:t>Therefore</w:t>
      </w:r>
      <w:r w:rsidR="002C6E1E" w:rsidRPr="002C6E1E">
        <w:rPr>
          <w:sz w:val="26"/>
          <w:szCs w:val="26"/>
        </w:rPr>
        <w:t xml:space="preserve">, we shall decline to reach a determination in this proceeding as to whether the TCJA qualifies as an exogenous event under the Company’s Chapter 30 Plan.  </w:t>
      </w:r>
      <w:r w:rsidR="00D204C3">
        <w:rPr>
          <w:sz w:val="26"/>
          <w:szCs w:val="26"/>
        </w:rPr>
        <w:t>Rather, w</w:t>
      </w:r>
      <w:r w:rsidR="00622CBE">
        <w:rPr>
          <w:sz w:val="26"/>
          <w:szCs w:val="26"/>
        </w:rPr>
        <w:t>e reinforce</w:t>
      </w:r>
      <w:r w:rsidR="002335DD">
        <w:rPr>
          <w:sz w:val="26"/>
          <w:szCs w:val="26"/>
        </w:rPr>
        <w:t xml:space="preserve"> that </w:t>
      </w:r>
      <w:r w:rsidR="002C6E1E" w:rsidRPr="002C6E1E">
        <w:rPr>
          <w:sz w:val="26"/>
          <w:szCs w:val="26"/>
        </w:rPr>
        <w:t>our focus in this proceeding is</w:t>
      </w:r>
      <w:r w:rsidR="00434024">
        <w:rPr>
          <w:sz w:val="26"/>
          <w:szCs w:val="26"/>
        </w:rPr>
        <w:t xml:space="preserve"> examining the Settlement on its merits to determine</w:t>
      </w:r>
      <w:r w:rsidR="002C6E1E" w:rsidRPr="002C6E1E">
        <w:rPr>
          <w:sz w:val="26"/>
          <w:szCs w:val="26"/>
        </w:rPr>
        <w:t xml:space="preserve"> whether </w:t>
      </w:r>
      <w:r w:rsidR="00434024">
        <w:rPr>
          <w:sz w:val="26"/>
          <w:szCs w:val="26"/>
        </w:rPr>
        <w:t>it is in</w:t>
      </w:r>
      <w:r w:rsidR="002C6E1E" w:rsidRPr="002C6E1E">
        <w:rPr>
          <w:sz w:val="26"/>
          <w:szCs w:val="26"/>
        </w:rPr>
        <w:t xml:space="preserve"> the public interest.  </w:t>
      </w:r>
      <w:r w:rsidR="00172A8B">
        <w:rPr>
          <w:i/>
          <w:iCs/>
          <w:sz w:val="26"/>
          <w:szCs w:val="26"/>
        </w:rPr>
        <w:t xml:space="preserve">See also </w:t>
      </w:r>
      <w:r w:rsidR="00172A8B">
        <w:rPr>
          <w:sz w:val="26"/>
          <w:szCs w:val="26"/>
        </w:rPr>
        <w:t>OSBA Exc. at 5.</w:t>
      </w:r>
    </w:p>
    <w:p w14:paraId="3EBFAFAF" w14:textId="77777777" w:rsidR="002C6E1E" w:rsidRPr="002C6E1E" w:rsidRDefault="002C6E1E" w:rsidP="00217B05">
      <w:pPr>
        <w:widowControl/>
        <w:spacing w:line="360" w:lineRule="auto"/>
        <w:ind w:firstLine="1440"/>
        <w:contextualSpacing/>
        <w:rPr>
          <w:sz w:val="26"/>
          <w:szCs w:val="26"/>
        </w:rPr>
      </w:pPr>
    </w:p>
    <w:p w14:paraId="5AC39FBE" w14:textId="68090C70" w:rsidR="002C6E1E" w:rsidRPr="002C6E1E" w:rsidRDefault="002C6E1E" w:rsidP="00217B05">
      <w:pPr>
        <w:widowControl/>
        <w:spacing w:line="360" w:lineRule="auto"/>
        <w:ind w:firstLine="1440"/>
        <w:contextualSpacing/>
        <w:rPr>
          <w:sz w:val="26"/>
          <w:szCs w:val="26"/>
        </w:rPr>
      </w:pPr>
      <w:r w:rsidRPr="002C6E1E">
        <w:rPr>
          <w:sz w:val="26"/>
          <w:szCs w:val="26"/>
        </w:rPr>
        <w:t xml:space="preserve">As the OCA notes in its Exception No. 2, in our </w:t>
      </w:r>
      <w:r w:rsidRPr="002C6E1E">
        <w:rPr>
          <w:i/>
          <w:iCs/>
          <w:sz w:val="26"/>
          <w:szCs w:val="26"/>
        </w:rPr>
        <w:t>2013 CenturyLink Order,</w:t>
      </w:r>
      <w:r w:rsidRPr="002C6E1E">
        <w:rPr>
          <w:sz w:val="26"/>
          <w:szCs w:val="26"/>
        </w:rPr>
        <w:t xml:space="preserve"> we approved a settlement agreement between CenturyLink, the OCA, and the OSBA to resolve the formal complaints the OCA and the OSBA made against a tariff filing the Company made to increase rates outside of the time period in which it files its annual PSI/SPI filings.  In our discussion approving the settlement, we noted that it “does not conclusively resolve the outstanding legal issue as to whether CenturyLink can implement a mid-year revenue and rate increase, based on the use of banked revenues, that is outside of the time period associated with its annual PSI/SPI Report Filings.”  Nonetheless, we found that the settlement in that proceeding represented a reasonable compromise among the parties within the narrow</w:t>
      </w:r>
      <w:r w:rsidR="00FD668E">
        <w:rPr>
          <w:sz w:val="26"/>
          <w:szCs w:val="26"/>
        </w:rPr>
        <w:t xml:space="preserve"> scope</w:t>
      </w:r>
      <w:r w:rsidRPr="002C6E1E">
        <w:rPr>
          <w:sz w:val="26"/>
          <w:szCs w:val="26"/>
        </w:rPr>
        <w:t xml:space="preserve"> of that specific proceeding.  Additionally, we stressed that that settlement “shall not be construed as setting a precedent for other Pennsylvania ILECs subject to price cap regulation under Chapter</w:t>
      </w:r>
      <w:r w:rsidR="00C827CF">
        <w:rPr>
          <w:sz w:val="26"/>
          <w:szCs w:val="26"/>
        </w:rPr>
        <w:t> </w:t>
      </w:r>
      <w:r w:rsidRPr="002C6E1E">
        <w:rPr>
          <w:sz w:val="26"/>
          <w:szCs w:val="26"/>
        </w:rPr>
        <w:t xml:space="preserve">30.”  </w:t>
      </w:r>
      <w:r w:rsidRPr="002C6E1E">
        <w:rPr>
          <w:i/>
          <w:iCs/>
          <w:sz w:val="26"/>
          <w:szCs w:val="26"/>
        </w:rPr>
        <w:t xml:space="preserve">2013 CenturyLink Order </w:t>
      </w:r>
      <w:r w:rsidRPr="002C6E1E">
        <w:rPr>
          <w:sz w:val="26"/>
          <w:szCs w:val="26"/>
        </w:rPr>
        <w:t xml:space="preserve">at 17-18; OCA Exc. at 6.  We concur with the OCA that a similar approach should be taken in resolving this instant proceeding.  </w:t>
      </w:r>
    </w:p>
    <w:p w14:paraId="1DD42DB1" w14:textId="77777777" w:rsidR="002C6E1E" w:rsidRPr="002C6E1E" w:rsidRDefault="002C6E1E" w:rsidP="00217B05">
      <w:pPr>
        <w:widowControl/>
        <w:spacing w:line="360" w:lineRule="auto"/>
        <w:ind w:firstLine="1440"/>
        <w:contextualSpacing/>
        <w:rPr>
          <w:sz w:val="26"/>
          <w:szCs w:val="26"/>
        </w:rPr>
      </w:pPr>
    </w:p>
    <w:p w14:paraId="13F8A893" w14:textId="0F54FFAA" w:rsidR="00E04B7D" w:rsidRDefault="002C6E1E" w:rsidP="00217B05">
      <w:pPr>
        <w:widowControl/>
        <w:spacing w:line="360" w:lineRule="auto"/>
        <w:ind w:firstLine="1440"/>
        <w:contextualSpacing/>
        <w:rPr>
          <w:rStyle w:val="Hyperlink"/>
          <w:color w:val="auto"/>
          <w:sz w:val="26"/>
          <w:szCs w:val="26"/>
          <w:u w:val="none"/>
        </w:rPr>
      </w:pPr>
      <w:r w:rsidRPr="002C6E1E">
        <w:rPr>
          <w:sz w:val="26"/>
          <w:szCs w:val="26"/>
        </w:rPr>
        <w:t xml:space="preserve">Therefore, in Section III.C.3 of this Opinion and Order, </w:t>
      </w:r>
      <w:r w:rsidRPr="002C6E1E">
        <w:rPr>
          <w:i/>
          <w:iCs/>
          <w:sz w:val="26"/>
          <w:szCs w:val="26"/>
        </w:rPr>
        <w:t xml:space="preserve">infra, </w:t>
      </w:r>
      <w:r w:rsidRPr="002C6E1E">
        <w:rPr>
          <w:sz w:val="26"/>
          <w:szCs w:val="26"/>
        </w:rPr>
        <w:t xml:space="preserve">we shall focus on the affirmative provisions of the Settlement and whether the agreement among the Parties will provide benefits to CenturyLink’s ratepayers.  </w:t>
      </w:r>
      <w:r w:rsidR="008A6464">
        <w:rPr>
          <w:sz w:val="26"/>
          <w:szCs w:val="26"/>
        </w:rPr>
        <w:t>Accordingly,</w:t>
      </w:r>
      <w:r w:rsidRPr="002C6E1E">
        <w:rPr>
          <w:sz w:val="26"/>
          <w:szCs w:val="26"/>
        </w:rPr>
        <w:t xml:space="preserve"> we shall grant the OCA’s Exception No. 2.  Additionally, we shall grant the OSBA’s Exception No. 1 as it relates to the OSBA’s arguments that the legal issue of whether the TCJA is a qualifying event under CenturyLink’s Chapter 30 Plan need not be reached in order to approve the Settlement.  On the other hand, because CenturyLink has asked us to reach a definitive conclusion as to whether the TCJA is a qualifying exogenous event</w:t>
      </w:r>
      <w:r w:rsidR="00514860">
        <w:rPr>
          <w:sz w:val="26"/>
          <w:szCs w:val="26"/>
        </w:rPr>
        <w:t>,</w:t>
      </w:r>
      <w:r w:rsidRPr="002C6E1E">
        <w:rPr>
          <w:sz w:val="26"/>
          <w:szCs w:val="26"/>
        </w:rPr>
        <w:t xml:space="preserve"> and we decline to do so in this proceeding, we shall grant the Company’s Exception No. 3, in part, and shall deny it, in part.</w:t>
      </w:r>
    </w:p>
    <w:p w14:paraId="1EAE8826" w14:textId="28A9D932" w:rsidR="003674C7" w:rsidRDefault="003674C7" w:rsidP="00217B05">
      <w:pPr>
        <w:widowControl/>
        <w:spacing w:line="360" w:lineRule="auto"/>
        <w:contextualSpacing/>
        <w:rPr>
          <w:rStyle w:val="Hyperlink"/>
          <w:color w:val="auto"/>
          <w:sz w:val="26"/>
          <w:szCs w:val="26"/>
          <w:u w:val="none"/>
        </w:rPr>
      </w:pPr>
    </w:p>
    <w:p w14:paraId="16FE2045" w14:textId="6854A0CA" w:rsidR="003674C7" w:rsidRPr="00AA7837" w:rsidRDefault="00AA7837" w:rsidP="00217B05">
      <w:pPr>
        <w:pStyle w:val="Heading3"/>
        <w:widowControl/>
        <w:numPr>
          <w:ilvl w:val="0"/>
          <w:numId w:val="37"/>
        </w:numPr>
        <w:spacing w:before="0"/>
        <w:ind w:left="1440" w:hanging="720"/>
        <w:contextualSpacing/>
        <w:rPr>
          <w:rStyle w:val="Hyperlink"/>
          <w:rFonts w:ascii="Times New Roman" w:hAnsi="Times New Roman" w:cs="Times New Roman"/>
          <w:b/>
          <w:bCs/>
          <w:color w:val="auto"/>
          <w:sz w:val="26"/>
          <w:szCs w:val="26"/>
          <w:u w:val="none"/>
        </w:rPr>
      </w:pPr>
      <w:bookmarkStart w:id="24" w:name="_Toc91762317"/>
      <w:r>
        <w:rPr>
          <w:rStyle w:val="Hyperlink"/>
          <w:rFonts w:ascii="Times New Roman" w:hAnsi="Times New Roman" w:cs="Times New Roman"/>
          <w:b/>
          <w:bCs/>
          <w:color w:val="auto"/>
          <w:sz w:val="26"/>
          <w:szCs w:val="26"/>
          <w:u w:val="none"/>
        </w:rPr>
        <w:t xml:space="preserve">Whether the ALJs Erred in </w:t>
      </w:r>
      <w:r w:rsidR="00B30F82">
        <w:rPr>
          <w:rStyle w:val="Hyperlink"/>
          <w:rFonts w:ascii="Times New Roman" w:hAnsi="Times New Roman" w:cs="Times New Roman"/>
          <w:b/>
          <w:bCs/>
          <w:color w:val="auto"/>
          <w:sz w:val="26"/>
          <w:szCs w:val="26"/>
          <w:u w:val="none"/>
        </w:rPr>
        <w:t>Concluding that the Settlement is not in the Public Interest and Should be Rejected</w:t>
      </w:r>
      <w:r w:rsidR="00884F11">
        <w:rPr>
          <w:rStyle w:val="Hyperlink"/>
          <w:rFonts w:ascii="Times New Roman" w:hAnsi="Times New Roman" w:cs="Times New Roman"/>
          <w:b/>
          <w:bCs/>
          <w:color w:val="auto"/>
          <w:sz w:val="26"/>
          <w:szCs w:val="26"/>
          <w:u w:val="none"/>
        </w:rPr>
        <w:t xml:space="preserve"> (CenturyLink Exception Nos. </w:t>
      </w:r>
      <w:r w:rsidR="00FC7DC7">
        <w:rPr>
          <w:rStyle w:val="Hyperlink"/>
          <w:rFonts w:ascii="Times New Roman" w:hAnsi="Times New Roman" w:cs="Times New Roman"/>
          <w:b/>
          <w:bCs/>
          <w:color w:val="auto"/>
          <w:sz w:val="26"/>
          <w:szCs w:val="26"/>
          <w:u w:val="none"/>
        </w:rPr>
        <w:t xml:space="preserve">2A, </w:t>
      </w:r>
      <w:r w:rsidR="00884F11">
        <w:rPr>
          <w:rStyle w:val="Hyperlink"/>
          <w:rFonts w:ascii="Times New Roman" w:hAnsi="Times New Roman" w:cs="Times New Roman"/>
          <w:b/>
          <w:bCs/>
          <w:color w:val="auto"/>
          <w:sz w:val="26"/>
          <w:szCs w:val="26"/>
          <w:u w:val="none"/>
        </w:rPr>
        <w:t>4</w:t>
      </w:r>
      <w:r w:rsidR="00EE3542">
        <w:rPr>
          <w:rStyle w:val="Hyperlink"/>
          <w:rFonts w:ascii="Times New Roman" w:hAnsi="Times New Roman" w:cs="Times New Roman"/>
          <w:b/>
          <w:bCs/>
          <w:color w:val="auto"/>
          <w:sz w:val="26"/>
          <w:szCs w:val="26"/>
          <w:u w:val="none"/>
        </w:rPr>
        <w:t>,</w:t>
      </w:r>
      <w:r w:rsidR="00884F11">
        <w:rPr>
          <w:rStyle w:val="Hyperlink"/>
          <w:rFonts w:ascii="Times New Roman" w:hAnsi="Times New Roman" w:cs="Times New Roman"/>
          <w:b/>
          <w:bCs/>
          <w:color w:val="auto"/>
          <w:sz w:val="26"/>
          <w:szCs w:val="26"/>
          <w:u w:val="none"/>
        </w:rPr>
        <w:t xml:space="preserve"> and 5; OCA Exception No. 3; OSBA Exception No. 2)</w:t>
      </w:r>
      <w:bookmarkEnd w:id="24"/>
    </w:p>
    <w:p w14:paraId="22841A97" w14:textId="77777777" w:rsidR="00390F7B" w:rsidRDefault="00390F7B" w:rsidP="00C827CF">
      <w:pPr>
        <w:keepNext/>
        <w:keepLines/>
        <w:widowControl/>
        <w:spacing w:line="480" w:lineRule="auto"/>
        <w:contextualSpacing/>
        <w:rPr>
          <w:rStyle w:val="Hyperlink"/>
          <w:color w:val="auto"/>
          <w:sz w:val="26"/>
          <w:szCs w:val="26"/>
          <w:u w:val="none"/>
        </w:rPr>
      </w:pPr>
    </w:p>
    <w:p w14:paraId="7A296E87" w14:textId="66A2B072" w:rsidR="00390F7B" w:rsidRDefault="00FF133F" w:rsidP="00217B05">
      <w:pPr>
        <w:widowControl/>
        <w:spacing w:line="360" w:lineRule="auto"/>
        <w:ind w:firstLine="1440"/>
        <w:contextualSpacing/>
        <w:rPr>
          <w:rStyle w:val="Hyperlink"/>
          <w:color w:val="auto"/>
          <w:sz w:val="26"/>
          <w:szCs w:val="26"/>
          <w:u w:val="none"/>
        </w:rPr>
      </w:pPr>
      <w:r>
        <w:rPr>
          <w:rStyle w:val="Hyperlink"/>
          <w:color w:val="auto"/>
          <w:sz w:val="26"/>
          <w:szCs w:val="26"/>
          <w:u w:val="none"/>
        </w:rPr>
        <w:t xml:space="preserve">Each Joint Petitioner </w:t>
      </w:r>
      <w:r w:rsidR="003C3259">
        <w:rPr>
          <w:rFonts w:eastAsia="Calibri"/>
          <w:sz w:val="26"/>
          <w:szCs w:val="26"/>
        </w:rPr>
        <w:t>finds fault</w:t>
      </w:r>
      <w:r w:rsidR="00593546" w:rsidRPr="00593546">
        <w:rPr>
          <w:rFonts w:eastAsia="Calibri"/>
          <w:sz w:val="26"/>
          <w:szCs w:val="26"/>
        </w:rPr>
        <w:t xml:space="preserve"> with the ALJs’ </w:t>
      </w:r>
      <w:r w:rsidR="00EE3542">
        <w:rPr>
          <w:rFonts w:eastAsia="Calibri"/>
          <w:sz w:val="26"/>
          <w:szCs w:val="26"/>
        </w:rPr>
        <w:t>conclusion</w:t>
      </w:r>
      <w:r w:rsidR="00593546" w:rsidRPr="00593546">
        <w:rPr>
          <w:rFonts w:eastAsia="Calibri"/>
          <w:sz w:val="26"/>
          <w:szCs w:val="26"/>
        </w:rPr>
        <w:t xml:space="preserve"> that the Settlement is not supported by substantial evidence to demonstrate that it is in the public interest.</w:t>
      </w:r>
      <w:r w:rsidR="00260177">
        <w:rPr>
          <w:rFonts w:eastAsia="Calibri"/>
          <w:sz w:val="26"/>
          <w:szCs w:val="26"/>
        </w:rPr>
        <w:t xml:space="preserve">  CenturyLink Exc. at 5-6, 12-21; OCA Exc. at </w:t>
      </w:r>
      <w:r w:rsidR="006352FA">
        <w:rPr>
          <w:rFonts w:eastAsia="Calibri"/>
          <w:sz w:val="26"/>
          <w:szCs w:val="26"/>
        </w:rPr>
        <w:t>7-13; OSBA Exc. at 6-10.</w:t>
      </w:r>
    </w:p>
    <w:p w14:paraId="39D0CAC7" w14:textId="3308162F" w:rsidR="004E72D6" w:rsidRDefault="004E72D6" w:rsidP="00217B05">
      <w:pPr>
        <w:widowControl/>
        <w:spacing w:line="360" w:lineRule="auto"/>
        <w:ind w:firstLine="1440"/>
        <w:contextualSpacing/>
        <w:rPr>
          <w:rStyle w:val="Hyperlink"/>
          <w:color w:val="auto"/>
          <w:sz w:val="26"/>
          <w:szCs w:val="26"/>
          <w:u w:val="none"/>
        </w:rPr>
      </w:pPr>
    </w:p>
    <w:p w14:paraId="1A000AB0" w14:textId="77777777" w:rsidR="004E72D6" w:rsidRDefault="004E72D6" w:rsidP="00217B05">
      <w:pPr>
        <w:pStyle w:val="Heading4"/>
        <w:keepNext/>
        <w:keepLines/>
        <w:numPr>
          <w:ilvl w:val="0"/>
          <w:numId w:val="41"/>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Exceptions</w:t>
      </w:r>
    </w:p>
    <w:p w14:paraId="0EA6C5FA" w14:textId="77777777" w:rsidR="004E72D6" w:rsidRDefault="004E72D6" w:rsidP="00217B05">
      <w:pPr>
        <w:keepNext/>
        <w:keepLines/>
        <w:widowControl/>
        <w:spacing w:line="360" w:lineRule="auto"/>
        <w:contextualSpacing/>
        <w:rPr>
          <w:rStyle w:val="Hyperlink"/>
          <w:color w:val="auto"/>
          <w:sz w:val="26"/>
          <w:szCs w:val="26"/>
          <w:u w:val="none"/>
        </w:rPr>
      </w:pPr>
    </w:p>
    <w:p w14:paraId="2F05B89A" w14:textId="7637E18B" w:rsidR="004E72D6" w:rsidRDefault="00290E18" w:rsidP="00217B05">
      <w:pPr>
        <w:widowControl/>
        <w:spacing w:line="360" w:lineRule="auto"/>
        <w:ind w:firstLine="1440"/>
        <w:contextualSpacing/>
        <w:rPr>
          <w:rStyle w:val="Hyperlink"/>
          <w:color w:val="auto"/>
          <w:sz w:val="26"/>
          <w:szCs w:val="26"/>
          <w:u w:val="none"/>
        </w:rPr>
      </w:pPr>
      <w:r>
        <w:rPr>
          <w:rFonts w:eastAsia="Calibri"/>
          <w:sz w:val="26"/>
          <w:szCs w:val="26"/>
        </w:rPr>
        <w:t>In addition to the arguments</w:t>
      </w:r>
      <w:r w:rsidR="00614DE3">
        <w:rPr>
          <w:rFonts w:eastAsia="Calibri"/>
          <w:sz w:val="26"/>
          <w:szCs w:val="26"/>
        </w:rPr>
        <w:t xml:space="preserve"> outlined, </w:t>
      </w:r>
      <w:r w:rsidR="00614DE3">
        <w:rPr>
          <w:rFonts w:eastAsia="Calibri"/>
          <w:i/>
          <w:iCs/>
          <w:sz w:val="26"/>
          <w:szCs w:val="26"/>
        </w:rPr>
        <w:t xml:space="preserve">supra, </w:t>
      </w:r>
      <w:r w:rsidR="00614DE3">
        <w:rPr>
          <w:rFonts w:eastAsia="Calibri"/>
          <w:sz w:val="26"/>
          <w:szCs w:val="26"/>
        </w:rPr>
        <w:t>CenturyLink, i</w:t>
      </w:r>
      <w:r w:rsidR="000B0B93" w:rsidRPr="000B0B93">
        <w:rPr>
          <w:rFonts w:eastAsia="Calibri"/>
          <w:sz w:val="26"/>
          <w:szCs w:val="26"/>
        </w:rPr>
        <w:t>n its Exception No. 2A, also finds fault with the ALJs’ use of the substantial evidence standard of review for the Settlement.  CenturyLink argues that the term "substantial evidence" has been defined by Pennsylvania appellate courts as such relevant evidence that reasonable minds might accept as adequate to support a conclusion.  In CenturyLink’s view, the Settlement brings an efficient conclusion to this proceeding, and is in the public interest, especially in light of the relationship between this proceeding and the general TCJA matter at Docket No. M</w:t>
      </w:r>
      <w:r w:rsidR="000B0B93" w:rsidRPr="000B0B93">
        <w:rPr>
          <w:rFonts w:eastAsia="Calibri"/>
          <w:sz w:val="26"/>
          <w:szCs w:val="26"/>
        </w:rPr>
        <w:noBreakHyphen/>
        <w:t>2018</w:t>
      </w:r>
      <w:r w:rsidR="000B0B93" w:rsidRPr="000B0B93">
        <w:rPr>
          <w:rFonts w:eastAsia="Calibri"/>
          <w:sz w:val="26"/>
          <w:szCs w:val="26"/>
        </w:rPr>
        <w:noBreakHyphen/>
        <w:t xml:space="preserve">2641242.  CenturyLink submits that given the ALJs’ findings regarding the </w:t>
      </w:r>
      <w:r w:rsidR="000B0B93" w:rsidRPr="000B0B93">
        <w:rPr>
          <w:rFonts w:eastAsia="Calibri"/>
          <w:i/>
          <w:iCs/>
          <w:sz w:val="26"/>
          <w:szCs w:val="26"/>
        </w:rPr>
        <w:t>October 2018 Order</w:t>
      </w:r>
      <w:r w:rsidR="000B0B93" w:rsidRPr="000B0B93">
        <w:rPr>
          <w:rFonts w:eastAsia="Calibri"/>
          <w:sz w:val="26"/>
          <w:szCs w:val="26"/>
        </w:rPr>
        <w:t xml:space="preserve">, the Joint Petitioners are deprived of an opportunity to “agree to disagree” on the legal issue of whether the TCJA </w:t>
      </w:r>
      <w:r w:rsidR="00E570BB">
        <w:rPr>
          <w:rFonts w:eastAsia="Calibri"/>
          <w:sz w:val="26"/>
          <w:szCs w:val="26"/>
        </w:rPr>
        <w:t>i</w:t>
      </w:r>
      <w:r w:rsidR="000B0B93" w:rsidRPr="000B0B93">
        <w:rPr>
          <w:rFonts w:eastAsia="Calibri"/>
          <w:sz w:val="26"/>
          <w:szCs w:val="26"/>
        </w:rPr>
        <w:t>s an exogenous event</w:t>
      </w:r>
      <w:r w:rsidR="00EA6B67">
        <w:rPr>
          <w:rFonts w:eastAsia="Calibri"/>
          <w:sz w:val="26"/>
          <w:szCs w:val="26"/>
        </w:rPr>
        <w:t xml:space="preserve">.  </w:t>
      </w:r>
      <w:r w:rsidR="00884D2D">
        <w:rPr>
          <w:rFonts w:eastAsia="Calibri"/>
          <w:sz w:val="26"/>
          <w:szCs w:val="26"/>
        </w:rPr>
        <w:t>In the Company’s view,</w:t>
      </w:r>
      <w:r w:rsidR="00413DF8">
        <w:rPr>
          <w:rFonts w:eastAsia="Calibri"/>
          <w:sz w:val="26"/>
          <w:szCs w:val="26"/>
        </w:rPr>
        <w:t xml:space="preserve"> the</w:t>
      </w:r>
      <w:r w:rsidR="00884D2D">
        <w:rPr>
          <w:rFonts w:eastAsia="Calibri"/>
          <w:sz w:val="26"/>
          <w:szCs w:val="26"/>
        </w:rPr>
        <w:t>se</w:t>
      </w:r>
      <w:r w:rsidR="00413DF8">
        <w:rPr>
          <w:rFonts w:eastAsia="Calibri"/>
          <w:sz w:val="26"/>
          <w:szCs w:val="26"/>
        </w:rPr>
        <w:t xml:space="preserve"> </w:t>
      </w:r>
      <w:r w:rsidR="00884D2D">
        <w:rPr>
          <w:rFonts w:eastAsia="Calibri"/>
          <w:sz w:val="26"/>
          <w:szCs w:val="26"/>
        </w:rPr>
        <w:t>f</w:t>
      </w:r>
      <w:r w:rsidR="00413DF8">
        <w:rPr>
          <w:rFonts w:eastAsia="Calibri"/>
          <w:sz w:val="26"/>
          <w:szCs w:val="26"/>
        </w:rPr>
        <w:t>indings</w:t>
      </w:r>
      <w:r w:rsidR="000B0B93" w:rsidRPr="000B0B93">
        <w:rPr>
          <w:rFonts w:eastAsia="Calibri"/>
          <w:sz w:val="26"/>
          <w:szCs w:val="26"/>
        </w:rPr>
        <w:t xml:space="preserve"> run contrary to the Commission’s policy of encouraging settlements.  CenturyLink </w:t>
      </w:r>
      <w:r w:rsidR="00413DF8">
        <w:rPr>
          <w:rFonts w:eastAsia="Calibri"/>
          <w:sz w:val="26"/>
          <w:szCs w:val="26"/>
        </w:rPr>
        <w:t>insist</w:t>
      </w:r>
      <w:r w:rsidR="000B0B93" w:rsidRPr="000B0B93">
        <w:rPr>
          <w:rFonts w:eastAsia="Calibri"/>
          <w:sz w:val="26"/>
          <w:szCs w:val="26"/>
        </w:rPr>
        <w:t xml:space="preserve">s that if the Commission, in its </w:t>
      </w:r>
      <w:r w:rsidR="000B0B93" w:rsidRPr="000B0B93">
        <w:rPr>
          <w:rFonts w:eastAsia="Calibri"/>
          <w:i/>
          <w:iCs/>
          <w:sz w:val="26"/>
          <w:szCs w:val="26"/>
        </w:rPr>
        <w:t>October 2018 Order</w:t>
      </w:r>
      <w:r w:rsidR="000B0B93" w:rsidRPr="00C827CF">
        <w:rPr>
          <w:rFonts w:eastAsia="Calibri"/>
          <w:sz w:val="26"/>
          <w:szCs w:val="26"/>
        </w:rPr>
        <w:t>,</w:t>
      </w:r>
      <w:r w:rsidR="000B0B93" w:rsidRPr="000B0B93">
        <w:rPr>
          <w:rFonts w:eastAsia="Calibri"/>
          <w:sz w:val="26"/>
          <w:szCs w:val="26"/>
        </w:rPr>
        <w:t xml:space="preserve"> truly intended to “direct” </w:t>
      </w:r>
      <w:r w:rsidR="00D80F31">
        <w:rPr>
          <w:rFonts w:eastAsia="Calibri"/>
          <w:sz w:val="26"/>
          <w:szCs w:val="26"/>
        </w:rPr>
        <w:t xml:space="preserve">the </w:t>
      </w:r>
      <w:r w:rsidR="000A234C">
        <w:rPr>
          <w:rFonts w:eastAsia="Calibri"/>
          <w:sz w:val="26"/>
          <w:szCs w:val="26"/>
        </w:rPr>
        <w:t>P</w:t>
      </w:r>
      <w:r w:rsidR="000B0B93" w:rsidRPr="000B0B93">
        <w:rPr>
          <w:rFonts w:eastAsia="Calibri"/>
          <w:sz w:val="26"/>
          <w:szCs w:val="26"/>
        </w:rPr>
        <w:t xml:space="preserve">arties to develop a record and litigate their respective positions on the qualification and quantification of </w:t>
      </w:r>
      <w:r w:rsidR="00614DE3">
        <w:rPr>
          <w:rFonts w:eastAsia="Calibri"/>
          <w:sz w:val="26"/>
          <w:szCs w:val="26"/>
        </w:rPr>
        <w:t>the</w:t>
      </w:r>
      <w:r w:rsidR="000B0B93" w:rsidRPr="000B0B93">
        <w:rPr>
          <w:rFonts w:eastAsia="Calibri"/>
          <w:sz w:val="26"/>
          <w:szCs w:val="26"/>
        </w:rPr>
        <w:t xml:space="preserve"> TCJA impact on CenturyLink, then this interpretation and application should have been raised by the ALJs early in this proceeding in order to give </w:t>
      </w:r>
      <w:r w:rsidR="00F75C1F">
        <w:rPr>
          <w:rFonts w:eastAsia="Calibri"/>
          <w:sz w:val="26"/>
          <w:szCs w:val="26"/>
        </w:rPr>
        <w:t xml:space="preserve">the </w:t>
      </w:r>
      <w:r w:rsidR="000B0B93" w:rsidRPr="000B0B93">
        <w:rPr>
          <w:rFonts w:eastAsia="Calibri"/>
          <w:sz w:val="26"/>
          <w:szCs w:val="26"/>
        </w:rPr>
        <w:t>Joint Petitioners an opportunity to seek review or clarification of</w:t>
      </w:r>
      <w:r w:rsidR="00E570BB">
        <w:rPr>
          <w:rFonts w:eastAsia="Calibri"/>
          <w:sz w:val="26"/>
          <w:szCs w:val="26"/>
        </w:rPr>
        <w:t xml:space="preserve"> the</w:t>
      </w:r>
      <w:r w:rsidR="000B0B93" w:rsidRPr="000B0B93">
        <w:rPr>
          <w:rFonts w:eastAsia="Calibri"/>
          <w:sz w:val="26"/>
          <w:szCs w:val="26"/>
        </w:rPr>
        <w:t xml:space="preserve"> </w:t>
      </w:r>
      <w:r w:rsidR="000B0B93" w:rsidRPr="000B0B93">
        <w:rPr>
          <w:rFonts w:eastAsia="Calibri"/>
          <w:i/>
          <w:iCs/>
          <w:sz w:val="26"/>
          <w:szCs w:val="26"/>
        </w:rPr>
        <w:t>October 2018 Order</w:t>
      </w:r>
      <w:r w:rsidR="000B0B93" w:rsidRPr="000B0B93">
        <w:rPr>
          <w:rFonts w:eastAsia="Calibri"/>
          <w:sz w:val="26"/>
          <w:szCs w:val="26"/>
        </w:rPr>
        <w:t xml:space="preserve"> from the Commission.  CenturyLink Exc. at 5-6.</w:t>
      </w:r>
      <w:r w:rsidR="000B0B93">
        <w:rPr>
          <w:rStyle w:val="Hyperlink"/>
          <w:color w:val="auto"/>
          <w:sz w:val="26"/>
          <w:szCs w:val="26"/>
          <w:u w:val="none"/>
        </w:rPr>
        <w:t xml:space="preserve"> </w:t>
      </w:r>
    </w:p>
    <w:p w14:paraId="6153DEE9" w14:textId="2FA4C707" w:rsidR="00C5646E" w:rsidRDefault="00C5646E" w:rsidP="00217B05">
      <w:pPr>
        <w:widowControl/>
        <w:spacing w:line="360" w:lineRule="auto"/>
        <w:ind w:firstLine="1440"/>
        <w:contextualSpacing/>
        <w:rPr>
          <w:rStyle w:val="Hyperlink"/>
          <w:color w:val="auto"/>
          <w:sz w:val="26"/>
          <w:szCs w:val="26"/>
          <w:u w:val="none"/>
        </w:rPr>
      </w:pPr>
    </w:p>
    <w:p w14:paraId="10B17761" w14:textId="0977A9C4" w:rsidR="00ED07DB" w:rsidRPr="00ED07DB" w:rsidRDefault="00ED07DB" w:rsidP="00217B05">
      <w:pPr>
        <w:widowControl/>
        <w:spacing w:line="360" w:lineRule="auto"/>
        <w:ind w:firstLine="1440"/>
        <w:contextualSpacing/>
        <w:rPr>
          <w:sz w:val="26"/>
          <w:szCs w:val="26"/>
        </w:rPr>
      </w:pPr>
      <w:r w:rsidRPr="00ED07DB">
        <w:rPr>
          <w:sz w:val="26"/>
          <w:szCs w:val="26"/>
        </w:rPr>
        <w:t xml:space="preserve">In its Exception No. 4, CenturyLink objects to the ALJs’ recommendation that the Company should be required to implement a negative surcharge, similar to the negative surcharge the Commission directed </w:t>
      </w:r>
      <w:r w:rsidR="00614232">
        <w:rPr>
          <w:sz w:val="26"/>
          <w:szCs w:val="26"/>
        </w:rPr>
        <w:t>seventeen</w:t>
      </w:r>
      <w:r w:rsidRPr="00ED07DB">
        <w:rPr>
          <w:sz w:val="26"/>
          <w:szCs w:val="26"/>
        </w:rPr>
        <w:t xml:space="preserve"> electric, natural gas, water, and wastewater utilities to implement in the </w:t>
      </w:r>
      <w:r w:rsidRPr="00ED07DB">
        <w:rPr>
          <w:i/>
          <w:iCs/>
          <w:sz w:val="26"/>
          <w:szCs w:val="26"/>
        </w:rPr>
        <w:t>May 2018 Order</w:t>
      </w:r>
      <w:r w:rsidRPr="00ED07DB">
        <w:rPr>
          <w:sz w:val="26"/>
          <w:szCs w:val="26"/>
        </w:rPr>
        <w:t xml:space="preserve">.  CenturyLink also takes issue with the ALJs’ associated finding that not increasing rates is not the same as providing a rate reduction or credit.  CenturyLink </w:t>
      </w:r>
      <w:r w:rsidR="00614232">
        <w:rPr>
          <w:sz w:val="26"/>
          <w:szCs w:val="26"/>
        </w:rPr>
        <w:t>reinforces its position</w:t>
      </w:r>
      <w:r w:rsidRPr="00ED07DB">
        <w:rPr>
          <w:sz w:val="26"/>
          <w:szCs w:val="26"/>
        </w:rPr>
        <w:t xml:space="preserve"> that in attempting to require the Company to mirror what other fixed utilities have done, the ALJs failed to understand the difference between alternative regulation and traditional </w:t>
      </w:r>
      <w:r w:rsidR="000A234C">
        <w:rPr>
          <w:sz w:val="26"/>
          <w:szCs w:val="26"/>
        </w:rPr>
        <w:t>rate base/</w:t>
      </w:r>
      <w:r w:rsidRPr="00ED07DB">
        <w:rPr>
          <w:sz w:val="26"/>
          <w:szCs w:val="26"/>
        </w:rPr>
        <w:t>rate of return regulation.  CenturyLink Exc. at 12.</w:t>
      </w:r>
    </w:p>
    <w:p w14:paraId="5F7411B0" w14:textId="147B3719" w:rsidR="00C5646E" w:rsidRDefault="00C5646E" w:rsidP="00217B05">
      <w:pPr>
        <w:widowControl/>
        <w:spacing w:line="360" w:lineRule="auto"/>
        <w:ind w:firstLine="1440"/>
        <w:contextualSpacing/>
        <w:rPr>
          <w:rStyle w:val="Hyperlink"/>
          <w:color w:val="auto"/>
          <w:sz w:val="26"/>
          <w:szCs w:val="26"/>
          <w:u w:val="none"/>
        </w:rPr>
      </w:pPr>
    </w:p>
    <w:p w14:paraId="55FD7666" w14:textId="358CF1E4" w:rsidR="00ED07DB" w:rsidRDefault="004E6F7D" w:rsidP="00217B05">
      <w:pPr>
        <w:widowControl/>
        <w:spacing w:line="360" w:lineRule="auto"/>
        <w:ind w:firstLine="1440"/>
        <w:contextualSpacing/>
        <w:rPr>
          <w:rStyle w:val="Hyperlink"/>
          <w:color w:val="auto"/>
          <w:sz w:val="26"/>
          <w:szCs w:val="26"/>
          <w:u w:val="none"/>
        </w:rPr>
      </w:pPr>
      <w:r w:rsidRPr="004E6F7D">
        <w:rPr>
          <w:rFonts w:eastAsia="Calibri"/>
          <w:sz w:val="26"/>
          <w:szCs w:val="26"/>
        </w:rPr>
        <w:t xml:space="preserve">Next, CenturyLink argues that because the other fixed utilities under the Commission’s jurisdiction do not operate under a Chapter 30 regulatory scheme, they do not face the competitive realities that the ILECs do.  Thus, CenturyLink opines that requiring the Company to implement a negative surcharge similar to that implemented by other fixed utilities disregards the fact that CenturyLink’s competitors will be under no such requirement and will instead be free to choose how to reflect any tax savings in their product offerings or investments.  Conversely, CenturyLink continues, the </w:t>
      </w:r>
      <w:r w:rsidR="000A234C">
        <w:rPr>
          <w:rFonts w:eastAsia="Calibri"/>
          <w:sz w:val="26"/>
          <w:szCs w:val="26"/>
        </w:rPr>
        <w:t>Joint Petitioners</w:t>
      </w:r>
      <w:r w:rsidR="00CA4EFF">
        <w:rPr>
          <w:rFonts w:eastAsia="Calibri"/>
          <w:sz w:val="26"/>
          <w:szCs w:val="26"/>
        </w:rPr>
        <w:t xml:space="preserve">’ agreement under the </w:t>
      </w:r>
      <w:r w:rsidRPr="004E6F7D">
        <w:rPr>
          <w:rFonts w:eastAsia="Calibri"/>
          <w:sz w:val="26"/>
          <w:szCs w:val="26"/>
        </w:rPr>
        <w:t>Settlement</w:t>
      </w:r>
      <w:r w:rsidR="00CA4EFF">
        <w:rPr>
          <w:rFonts w:eastAsia="Calibri"/>
          <w:sz w:val="26"/>
          <w:szCs w:val="26"/>
        </w:rPr>
        <w:t xml:space="preserve"> that the Company will</w:t>
      </w:r>
      <w:r w:rsidRPr="004E6F7D">
        <w:rPr>
          <w:rFonts w:eastAsia="Calibri"/>
          <w:sz w:val="26"/>
          <w:szCs w:val="26"/>
        </w:rPr>
        <w:t xml:space="preserve"> forgo banked revenues does not disadvantage CenturyLink as a competitor.  Thus, CenturyLink insists that the Settlement is in the public interest because it promotes competitive equity.  CenturyLink Exc. at 13-14.</w:t>
      </w:r>
    </w:p>
    <w:p w14:paraId="50D7F440" w14:textId="11798955" w:rsidR="00ED07DB" w:rsidRDefault="00ED07DB" w:rsidP="00217B05">
      <w:pPr>
        <w:widowControl/>
        <w:spacing w:line="360" w:lineRule="auto"/>
        <w:ind w:firstLine="1440"/>
        <w:contextualSpacing/>
        <w:rPr>
          <w:rStyle w:val="Hyperlink"/>
          <w:color w:val="auto"/>
          <w:sz w:val="26"/>
          <w:szCs w:val="26"/>
          <w:u w:val="none"/>
        </w:rPr>
      </w:pPr>
    </w:p>
    <w:p w14:paraId="7E9629D0" w14:textId="66FF3DE2" w:rsidR="004E6F7D" w:rsidRDefault="00F81DF1" w:rsidP="00217B05">
      <w:pPr>
        <w:widowControl/>
        <w:spacing w:line="360" w:lineRule="auto"/>
        <w:ind w:firstLine="1440"/>
        <w:contextualSpacing/>
        <w:rPr>
          <w:rFonts w:eastAsia="Calibri"/>
          <w:sz w:val="26"/>
          <w:szCs w:val="26"/>
        </w:rPr>
      </w:pPr>
      <w:r w:rsidRPr="00F81DF1">
        <w:rPr>
          <w:rFonts w:eastAsia="Calibri"/>
          <w:sz w:val="26"/>
          <w:szCs w:val="26"/>
        </w:rPr>
        <w:t xml:space="preserve">CenturyLink also claims that the ALJs have overly simplified the matter of the unavailability of “financial data.”  More specifically, CenturyLink </w:t>
      </w:r>
      <w:r w:rsidR="000A234C">
        <w:rPr>
          <w:rFonts w:eastAsia="Calibri"/>
          <w:sz w:val="26"/>
          <w:szCs w:val="26"/>
        </w:rPr>
        <w:t>argu</w:t>
      </w:r>
      <w:r w:rsidR="005B2F59">
        <w:rPr>
          <w:rFonts w:eastAsia="Calibri"/>
          <w:sz w:val="26"/>
          <w:szCs w:val="26"/>
        </w:rPr>
        <w:t>e</w:t>
      </w:r>
      <w:r w:rsidRPr="00F81DF1">
        <w:rPr>
          <w:rFonts w:eastAsia="Calibri"/>
          <w:sz w:val="26"/>
          <w:szCs w:val="26"/>
        </w:rPr>
        <w:t>s that in finding that the Company could have kept sufficient records in the time period since its Chapter 30 Plan was approved, the ALJs have overlooked the fundamental and permanent change that occurred in telecommunications regulation upon the passage of Chapter 30</w:t>
      </w:r>
      <w:r w:rsidR="000A234C">
        <w:rPr>
          <w:rFonts w:eastAsia="Calibri"/>
          <w:sz w:val="26"/>
          <w:szCs w:val="26"/>
        </w:rPr>
        <w:t>,</w:t>
      </w:r>
      <w:r w:rsidRPr="00F81DF1">
        <w:rPr>
          <w:rFonts w:eastAsia="Calibri"/>
          <w:sz w:val="26"/>
          <w:szCs w:val="26"/>
        </w:rPr>
        <w:t xml:space="preserve"> such that certain reporting requirements no longer exist.  In addition, CenturyLink submits that no “negative surcharge” has ever been implemented in Pennsylvania relative to a company subject to price cap regulation under Chapter 30.  Moreover, CenturyLink notes that it operates as an ILEC that is governed under price cap regulation in thirty-seven </w:t>
      </w:r>
      <w:r w:rsidR="000A234C">
        <w:rPr>
          <w:rFonts w:eastAsia="Calibri"/>
          <w:sz w:val="26"/>
          <w:szCs w:val="26"/>
        </w:rPr>
        <w:t>S</w:t>
      </w:r>
      <w:r w:rsidRPr="00F81DF1">
        <w:rPr>
          <w:rFonts w:eastAsia="Calibri"/>
          <w:sz w:val="26"/>
          <w:szCs w:val="26"/>
        </w:rPr>
        <w:t xml:space="preserve">tates.  CenturyLink insists that none of the other </w:t>
      </w:r>
      <w:r w:rsidR="005B2F59">
        <w:rPr>
          <w:rFonts w:eastAsia="Calibri"/>
          <w:sz w:val="26"/>
          <w:szCs w:val="26"/>
        </w:rPr>
        <w:t>S</w:t>
      </w:r>
      <w:r w:rsidRPr="00F81DF1">
        <w:rPr>
          <w:rFonts w:eastAsia="Calibri"/>
          <w:sz w:val="26"/>
          <w:szCs w:val="26"/>
        </w:rPr>
        <w:t xml:space="preserve">tate utility commissions in the </w:t>
      </w:r>
      <w:r w:rsidR="005B2F59">
        <w:rPr>
          <w:rFonts w:eastAsia="Calibri"/>
          <w:sz w:val="26"/>
          <w:szCs w:val="26"/>
        </w:rPr>
        <w:t>S</w:t>
      </w:r>
      <w:r w:rsidRPr="00F81DF1">
        <w:rPr>
          <w:rFonts w:eastAsia="Calibri"/>
          <w:sz w:val="26"/>
          <w:szCs w:val="26"/>
        </w:rPr>
        <w:t xml:space="preserve">tates in which it operates as an ILEC have ordered a “negative surcharge” in light of the </w:t>
      </w:r>
      <w:r w:rsidR="00413DF8">
        <w:rPr>
          <w:rFonts w:eastAsia="Calibri"/>
          <w:sz w:val="26"/>
          <w:szCs w:val="26"/>
        </w:rPr>
        <w:t>passage of the TCJA.  Moreover</w:t>
      </w:r>
      <w:r w:rsidRPr="00F81DF1">
        <w:rPr>
          <w:rFonts w:eastAsia="Calibri"/>
          <w:sz w:val="26"/>
          <w:szCs w:val="26"/>
        </w:rPr>
        <w:t xml:space="preserve">, </w:t>
      </w:r>
      <w:r w:rsidR="00413DF8">
        <w:rPr>
          <w:rFonts w:eastAsia="Calibri"/>
          <w:sz w:val="26"/>
          <w:szCs w:val="26"/>
        </w:rPr>
        <w:t>CenturyLink states</w:t>
      </w:r>
      <w:r w:rsidRPr="00F81DF1">
        <w:rPr>
          <w:rFonts w:eastAsia="Calibri"/>
          <w:sz w:val="26"/>
          <w:szCs w:val="26"/>
        </w:rPr>
        <w:t xml:space="preserve"> that only Arizona has an active proceeding examining the effects of the TCJA.</w:t>
      </w:r>
      <w:r w:rsidR="00960688">
        <w:rPr>
          <w:rStyle w:val="FootnoteReference"/>
          <w:rFonts w:eastAsia="Calibri"/>
          <w:sz w:val="26"/>
          <w:szCs w:val="26"/>
        </w:rPr>
        <w:footnoteReference w:id="16"/>
      </w:r>
      <w:r w:rsidRPr="00F81DF1">
        <w:rPr>
          <w:rFonts w:eastAsia="Calibri"/>
          <w:sz w:val="26"/>
          <w:szCs w:val="26"/>
        </w:rPr>
        <w:t xml:space="preserve">  For this reason, CenturyLink submits that the ALJ’s negative surcharge recommendation is an issue of first impression that is not consistent with Chapter 30 law or the Company’s Chapter 30 Plan.  CenturyLink Exc. at 14-15.</w:t>
      </w:r>
    </w:p>
    <w:p w14:paraId="68F5F505" w14:textId="77777777" w:rsidR="000D36C5" w:rsidRDefault="000D36C5" w:rsidP="00217B05">
      <w:pPr>
        <w:widowControl/>
        <w:spacing w:line="360" w:lineRule="auto"/>
        <w:ind w:firstLine="1440"/>
        <w:contextualSpacing/>
        <w:rPr>
          <w:rFonts w:eastAsia="Calibri"/>
          <w:sz w:val="26"/>
          <w:szCs w:val="26"/>
        </w:rPr>
      </w:pPr>
    </w:p>
    <w:p w14:paraId="29A9D46F" w14:textId="1AE1AD7D" w:rsidR="003E61C8" w:rsidRPr="003E61C8" w:rsidRDefault="003E61C8" w:rsidP="00217B05">
      <w:pPr>
        <w:widowControl/>
        <w:spacing w:line="360" w:lineRule="auto"/>
        <w:ind w:firstLine="1440"/>
        <w:contextualSpacing/>
        <w:rPr>
          <w:rFonts w:eastAsia="Calibri"/>
          <w:sz w:val="26"/>
          <w:szCs w:val="26"/>
        </w:rPr>
      </w:pPr>
      <w:r w:rsidRPr="003E61C8">
        <w:rPr>
          <w:rFonts w:eastAsia="Calibri"/>
          <w:sz w:val="26"/>
          <w:szCs w:val="26"/>
        </w:rPr>
        <w:t xml:space="preserve">In its Exception No. 5A, CenturyLink alleges that the ALJs have evaluated the Settlement based upon the incorrect assumption that the </w:t>
      </w:r>
      <w:r w:rsidRPr="003E61C8">
        <w:rPr>
          <w:rFonts w:eastAsia="Calibri"/>
          <w:i/>
          <w:iCs/>
          <w:sz w:val="26"/>
          <w:szCs w:val="26"/>
        </w:rPr>
        <w:t xml:space="preserve">October 2018 Order </w:t>
      </w:r>
      <w:r w:rsidRPr="003E61C8">
        <w:rPr>
          <w:rFonts w:eastAsia="Calibri"/>
          <w:sz w:val="26"/>
          <w:szCs w:val="26"/>
        </w:rPr>
        <w:t xml:space="preserve">requires demonstration of the TCJA’s direct impact on the Company.  In this regard, CenturyLink opines that in the </w:t>
      </w:r>
      <w:r w:rsidRPr="003E61C8">
        <w:rPr>
          <w:rFonts w:eastAsia="Calibri"/>
          <w:i/>
          <w:iCs/>
          <w:sz w:val="26"/>
          <w:szCs w:val="26"/>
        </w:rPr>
        <w:t>October 2018 Order</w:t>
      </w:r>
      <w:r w:rsidRPr="00C827CF">
        <w:rPr>
          <w:rFonts w:eastAsia="Calibri"/>
          <w:sz w:val="26"/>
          <w:szCs w:val="26"/>
        </w:rPr>
        <w:t>,</w:t>
      </w:r>
      <w:r w:rsidRPr="003E61C8">
        <w:rPr>
          <w:rFonts w:eastAsia="Calibri"/>
          <w:i/>
          <w:iCs/>
          <w:sz w:val="26"/>
          <w:szCs w:val="26"/>
        </w:rPr>
        <w:t xml:space="preserve"> </w:t>
      </w:r>
      <w:r w:rsidRPr="003E61C8">
        <w:rPr>
          <w:rFonts w:eastAsia="Calibri"/>
          <w:sz w:val="26"/>
          <w:szCs w:val="26"/>
        </w:rPr>
        <w:t xml:space="preserve">the Commission did not intend to limit possible solutions in this docket to only those that are “similar” to the fixed utilities that operate under traditional </w:t>
      </w:r>
      <w:r w:rsidR="000A234C">
        <w:rPr>
          <w:rFonts w:eastAsia="Calibri"/>
          <w:sz w:val="26"/>
          <w:szCs w:val="26"/>
        </w:rPr>
        <w:t>rate base/</w:t>
      </w:r>
      <w:r w:rsidRPr="003E61C8">
        <w:rPr>
          <w:rFonts w:eastAsia="Calibri"/>
          <w:sz w:val="26"/>
          <w:szCs w:val="26"/>
        </w:rPr>
        <w:t xml:space="preserve">rate of return regulation or only those that directly result from </w:t>
      </w:r>
      <w:r w:rsidR="00614DE3">
        <w:rPr>
          <w:rFonts w:eastAsia="Calibri"/>
          <w:sz w:val="26"/>
          <w:szCs w:val="26"/>
        </w:rPr>
        <w:t xml:space="preserve">the </w:t>
      </w:r>
      <w:r w:rsidRPr="003E61C8">
        <w:rPr>
          <w:rFonts w:eastAsia="Calibri"/>
          <w:sz w:val="26"/>
          <w:szCs w:val="26"/>
        </w:rPr>
        <w:t xml:space="preserve">passage of the TCJA.  </w:t>
      </w:r>
      <w:r w:rsidR="00577A45" w:rsidRPr="004E6F7D">
        <w:rPr>
          <w:rFonts w:eastAsia="Calibri"/>
          <w:sz w:val="26"/>
          <w:szCs w:val="26"/>
        </w:rPr>
        <w:t>CenturyLink</w:t>
      </w:r>
      <w:r w:rsidR="008E2599">
        <w:rPr>
          <w:rFonts w:eastAsia="Calibri"/>
          <w:sz w:val="26"/>
          <w:szCs w:val="26"/>
        </w:rPr>
        <w:t xml:space="preserve"> also</w:t>
      </w:r>
      <w:r w:rsidR="00577A45" w:rsidRPr="004E6F7D">
        <w:rPr>
          <w:rFonts w:eastAsia="Calibri"/>
          <w:sz w:val="26"/>
          <w:szCs w:val="26"/>
        </w:rPr>
        <w:t xml:space="preserve"> submits that the ALJs have overlooked the indirect consumer benefits of the TCJA, including the increased or sustained investment that would have not otherwise been possible.  According to CenturyLink, the overarching purpose of price cap regulation </w:t>
      </w:r>
      <w:r w:rsidR="00577A45">
        <w:rPr>
          <w:rFonts w:eastAsia="Calibri"/>
          <w:sz w:val="26"/>
          <w:szCs w:val="26"/>
        </w:rPr>
        <w:t>i</w:t>
      </w:r>
      <w:r w:rsidR="00577A45" w:rsidRPr="004E6F7D">
        <w:rPr>
          <w:rFonts w:eastAsia="Calibri"/>
          <w:sz w:val="26"/>
          <w:szCs w:val="26"/>
        </w:rPr>
        <w:t xml:space="preserve">s to incent efficiency and innovation in a competitive telecommunications marketplace.  </w:t>
      </w:r>
      <w:r w:rsidRPr="003E61C8">
        <w:rPr>
          <w:rFonts w:eastAsia="Calibri"/>
          <w:sz w:val="26"/>
          <w:szCs w:val="26"/>
        </w:rPr>
        <w:t>CenturyLink Exc. at 15-16.</w:t>
      </w:r>
    </w:p>
    <w:p w14:paraId="73475D05" w14:textId="77777777" w:rsidR="003E61C8" w:rsidRPr="003E61C8" w:rsidRDefault="003E61C8" w:rsidP="00217B05">
      <w:pPr>
        <w:widowControl/>
        <w:spacing w:line="360" w:lineRule="auto"/>
        <w:contextualSpacing/>
        <w:rPr>
          <w:rFonts w:eastAsia="Calibri"/>
          <w:sz w:val="26"/>
          <w:szCs w:val="26"/>
        </w:rPr>
      </w:pPr>
    </w:p>
    <w:p w14:paraId="13C87996" w14:textId="33399226" w:rsidR="003E61C8" w:rsidRPr="003E61C8" w:rsidRDefault="003E61C8" w:rsidP="00217B05">
      <w:pPr>
        <w:widowControl/>
        <w:spacing w:line="360" w:lineRule="auto"/>
        <w:ind w:firstLine="1440"/>
        <w:contextualSpacing/>
        <w:rPr>
          <w:rFonts w:eastAsia="Calibri"/>
          <w:sz w:val="26"/>
          <w:szCs w:val="26"/>
        </w:rPr>
      </w:pPr>
      <w:r w:rsidRPr="003E61C8">
        <w:rPr>
          <w:rFonts w:eastAsia="Calibri"/>
          <w:sz w:val="26"/>
          <w:szCs w:val="26"/>
        </w:rPr>
        <w:t xml:space="preserve">In addition, CenturyLink argues that the ALJs overlooked that CenturyLink, as an ILEC in Pennsylvania, does not file federal income tax returns and does not have any federal income tax obligations.  CenturyLink explains that its parent company, CenturyLink, Inc., operates various subsidiaries, including CenturyLink, and files a consolidated federal income tax return on behalf of all qualifying entities and subsidiaries.  CenturyLink continues that because of offsetting Net Operating Losses (NOLs) applied </w:t>
      </w:r>
      <w:r w:rsidR="00614DE3">
        <w:rPr>
          <w:rFonts w:eastAsia="Calibri"/>
          <w:sz w:val="26"/>
          <w:szCs w:val="26"/>
        </w:rPr>
        <w:t>on its</w:t>
      </w:r>
      <w:r w:rsidRPr="003E61C8">
        <w:rPr>
          <w:rFonts w:eastAsia="Calibri"/>
          <w:sz w:val="26"/>
          <w:szCs w:val="26"/>
        </w:rPr>
        <w:t xml:space="preserve"> parent company</w:t>
      </w:r>
      <w:r w:rsidR="007F11A5">
        <w:rPr>
          <w:rFonts w:eastAsia="Calibri"/>
          <w:sz w:val="26"/>
          <w:szCs w:val="26"/>
        </w:rPr>
        <w:t>’s</w:t>
      </w:r>
      <w:r w:rsidRPr="003E61C8">
        <w:rPr>
          <w:rFonts w:eastAsia="Calibri"/>
          <w:sz w:val="26"/>
          <w:szCs w:val="26"/>
        </w:rPr>
        <w:t xml:space="preserve"> federal tax return, CenturyLink Inc. did not have a cash tax obligation for federal income taxes in 2018 and does not anticipate having a federal income tax liability for several years to come.  The Company submits that the amount of CenturyLink, Inc.’s federal income taxes paid in recent years has been reduced significantly or </w:t>
      </w:r>
      <w:r w:rsidR="00614DE3">
        <w:rPr>
          <w:rFonts w:eastAsia="Calibri"/>
          <w:sz w:val="26"/>
          <w:szCs w:val="26"/>
        </w:rPr>
        <w:t xml:space="preserve">has been </w:t>
      </w:r>
      <w:r w:rsidRPr="003E61C8">
        <w:rPr>
          <w:rFonts w:eastAsia="Calibri"/>
          <w:sz w:val="26"/>
          <w:szCs w:val="26"/>
        </w:rPr>
        <w:t xml:space="preserve">completely offset by </w:t>
      </w:r>
      <w:r w:rsidR="005B1376">
        <w:rPr>
          <w:rFonts w:eastAsia="Calibri"/>
          <w:sz w:val="26"/>
          <w:szCs w:val="26"/>
        </w:rPr>
        <w:t>NOL</w:t>
      </w:r>
      <w:r w:rsidRPr="003E61C8">
        <w:rPr>
          <w:rFonts w:eastAsia="Calibri"/>
          <w:sz w:val="26"/>
          <w:szCs w:val="26"/>
        </w:rPr>
        <w:t xml:space="preserve">s carried forward that have been utilized.  CenturyLink insists that although the TCJA may have mathematically reduced the corporate rate, it would be extremely difficult and highly controversial to identify and determine, with confidence and integrity, any </w:t>
      </w:r>
      <w:r w:rsidR="005B2F59">
        <w:rPr>
          <w:rFonts w:eastAsia="Calibri"/>
          <w:sz w:val="26"/>
          <w:szCs w:val="26"/>
        </w:rPr>
        <w:t xml:space="preserve">impact of the </w:t>
      </w:r>
      <w:r w:rsidRPr="003E61C8">
        <w:rPr>
          <w:rFonts w:eastAsia="Calibri"/>
          <w:sz w:val="26"/>
          <w:szCs w:val="26"/>
        </w:rPr>
        <w:t>TCJA given the Company’s circumstances.  CenturyLink Exc. at 16.</w:t>
      </w:r>
    </w:p>
    <w:p w14:paraId="0CED3135" w14:textId="77777777" w:rsidR="003E61C8" w:rsidRPr="003E61C8" w:rsidRDefault="003E61C8" w:rsidP="00217B05">
      <w:pPr>
        <w:widowControl/>
        <w:spacing w:line="360" w:lineRule="auto"/>
        <w:contextualSpacing/>
        <w:rPr>
          <w:rFonts w:eastAsia="Calibri"/>
          <w:sz w:val="26"/>
          <w:szCs w:val="26"/>
        </w:rPr>
      </w:pPr>
    </w:p>
    <w:p w14:paraId="5620B0D1" w14:textId="1B40A3DB" w:rsidR="003E61C8" w:rsidRPr="003E61C8" w:rsidRDefault="003E61C8" w:rsidP="00C827CF">
      <w:pPr>
        <w:widowControl/>
        <w:spacing w:line="360" w:lineRule="auto"/>
        <w:ind w:firstLine="1440"/>
        <w:contextualSpacing/>
        <w:rPr>
          <w:rFonts w:eastAsia="Calibri"/>
          <w:sz w:val="26"/>
          <w:szCs w:val="26"/>
        </w:rPr>
      </w:pPr>
      <w:r w:rsidRPr="003E61C8">
        <w:rPr>
          <w:rFonts w:eastAsia="Calibri"/>
          <w:sz w:val="26"/>
          <w:szCs w:val="26"/>
        </w:rPr>
        <w:t xml:space="preserve">CenturyLink further submits that the ALJs disregarded the context of the testimony of the OSBA’s witness Mr. </w:t>
      </w:r>
      <w:proofErr w:type="spellStart"/>
      <w:r w:rsidRPr="003E61C8">
        <w:rPr>
          <w:rFonts w:eastAsia="Calibri"/>
          <w:sz w:val="26"/>
          <w:szCs w:val="26"/>
        </w:rPr>
        <w:t>Gillan</w:t>
      </w:r>
      <w:proofErr w:type="spellEnd"/>
      <w:r w:rsidRPr="003E61C8">
        <w:rPr>
          <w:rFonts w:eastAsia="Calibri"/>
          <w:sz w:val="26"/>
          <w:szCs w:val="26"/>
        </w:rPr>
        <w:t xml:space="preserve">.  According to CenturyLink, although Mr. </w:t>
      </w:r>
      <w:proofErr w:type="spellStart"/>
      <w:r w:rsidRPr="003E61C8">
        <w:rPr>
          <w:rFonts w:eastAsia="Calibri"/>
          <w:sz w:val="26"/>
          <w:szCs w:val="26"/>
        </w:rPr>
        <w:t>Gillan</w:t>
      </w:r>
      <w:proofErr w:type="spellEnd"/>
      <w:r w:rsidRPr="003E61C8">
        <w:rPr>
          <w:rFonts w:eastAsia="Calibri"/>
          <w:sz w:val="26"/>
          <w:szCs w:val="26"/>
        </w:rPr>
        <w:t xml:space="preserve"> provided his rough estimate of the potential impact of the TCJA on the Company, he also confirmed that there is no way to translate any TCJA savings to the group of services that remain in CenturyLink’s </w:t>
      </w:r>
      <w:r w:rsidR="000C01E4">
        <w:rPr>
          <w:rFonts w:eastAsia="Calibri"/>
          <w:sz w:val="26"/>
          <w:szCs w:val="26"/>
        </w:rPr>
        <w:t>PSM</w:t>
      </w:r>
      <w:r w:rsidRPr="003E61C8">
        <w:rPr>
          <w:rFonts w:eastAsia="Calibri"/>
          <w:sz w:val="26"/>
          <w:szCs w:val="26"/>
        </w:rPr>
        <w:t xml:space="preserve"> in its Chapter 30 Plan.</w:t>
      </w:r>
      <w:r w:rsidR="00A24ACB">
        <w:rPr>
          <w:rFonts w:eastAsia="Calibri"/>
          <w:sz w:val="26"/>
          <w:szCs w:val="26"/>
        </w:rPr>
        <w:t xml:space="preserve">  </w:t>
      </w:r>
      <w:r w:rsidRPr="003E61C8">
        <w:rPr>
          <w:rFonts w:eastAsia="Calibri"/>
          <w:sz w:val="26"/>
          <w:szCs w:val="26"/>
        </w:rPr>
        <w:t xml:space="preserve">Thus, CenturyLink submits that the Settlement is an appropriate response to the passage of the TCJA because its outcome </w:t>
      </w:r>
      <w:r w:rsidR="00A24ACB">
        <w:rPr>
          <w:rFonts w:eastAsia="Calibri"/>
          <w:sz w:val="26"/>
          <w:szCs w:val="26"/>
        </w:rPr>
        <w:t>that results in the Company forgoing the ability to</w:t>
      </w:r>
      <w:r w:rsidRPr="003E61C8">
        <w:rPr>
          <w:rFonts w:eastAsia="Calibri"/>
          <w:sz w:val="26"/>
          <w:szCs w:val="26"/>
        </w:rPr>
        <w:t xml:space="preserve"> </w:t>
      </w:r>
      <w:r w:rsidR="00A24ACB">
        <w:rPr>
          <w:rFonts w:eastAsia="Calibri"/>
          <w:sz w:val="26"/>
          <w:szCs w:val="26"/>
        </w:rPr>
        <w:t>bank revenues in three PSI/SPI filings</w:t>
      </w:r>
      <w:r w:rsidRPr="003E61C8">
        <w:rPr>
          <w:rFonts w:eastAsia="Calibri"/>
          <w:sz w:val="26"/>
          <w:szCs w:val="26"/>
        </w:rPr>
        <w:t xml:space="preserve"> </w:t>
      </w:r>
      <w:r w:rsidR="005B2F59">
        <w:rPr>
          <w:rFonts w:eastAsia="Calibri"/>
          <w:sz w:val="26"/>
          <w:szCs w:val="26"/>
        </w:rPr>
        <w:t xml:space="preserve">closely mirrors </w:t>
      </w:r>
      <w:r w:rsidR="00542958">
        <w:rPr>
          <w:rFonts w:eastAsia="Calibri"/>
          <w:sz w:val="26"/>
          <w:szCs w:val="26"/>
        </w:rPr>
        <w:t xml:space="preserve">that result achieved under </w:t>
      </w:r>
      <w:r w:rsidRPr="003E61C8">
        <w:rPr>
          <w:rFonts w:eastAsia="Calibri"/>
          <w:sz w:val="26"/>
          <w:szCs w:val="26"/>
        </w:rPr>
        <w:t xml:space="preserve">Mr. </w:t>
      </w:r>
      <w:proofErr w:type="spellStart"/>
      <w:r w:rsidRPr="003E61C8">
        <w:rPr>
          <w:rFonts w:eastAsia="Calibri"/>
          <w:sz w:val="26"/>
          <w:szCs w:val="26"/>
        </w:rPr>
        <w:t>Gillan’s</w:t>
      </w:r>
      <w:proofErr w:type="spellEnd"/>
      <w:r w:rsidRPr="003E61C8">
        <w:rPr>
          <w:rFonts w:eastAsia="Calibri"/>
          <w:sz w:val="26"/>
          <w:szCs w:val="26"/>
        </w:rPr>
        <w:t xml:space="preserve"> high-level estimate.  CenturyLink Exc. at 16-17, 17 n.16 (citing R.D. at 23-24).</w:t>
      </w:r>
    </w:p>
    <w:p w14:paraId="3F2C30F9" w14:textId="77777777" w:rsidR="003E61C8" w:rsidRPr="003E61C8" w:rsidRDefault="003E61C8" w:rsidP="00C827CF">
      <w:pPr>
        <w:widowControl/>
        <w:spacing w:line="360" w:lineRule="auto"/>
        <w:contextualSpacing/>
        <w:rPr>
          <w:rFonts w:eastAsia="Calibri"/>
          <w:sz w:val="26"/>
          <w:szCs w:val="26"/>
        </w:rPr>
      </w:pPr>
    </w:p>
    <w:p w14:paraId="1D5F9248" w14:textId="3ED75527" w:rsidR="003E61C8" w:rsidRPr="003E61C8" w:rsidRDefault="003E61C8" w:rsidP="00C827CF">
      <w:pPr>
        <w:widowControl/>
        <w:spacing w:line="360" w:lineRule="auto"/>
        <w:ind w:firstLine="1440"/>
        <w:contextualSpacing/>
        <w:rPr>
          <w:rFonts w:eastAsia="Calibri"/>
          <w:sz w:val="26"/>
          <w:szCs w:val="26"/>
        </w:rPr>
      </w:pPr>
      <w:r w:rsidRPr="003E61C8">
        <w:rPr>
          <w:rFonts w:eastAsia="Calibri"/>
          <w:sz w:val="26"/>
          <w:szCs w:val="26"/>
        </w:rPr>
        <w:t>In its Exception No. 5B</w:t>
      </w:r>
      <w:r w:rsidR="006962EF">
        <w:rPr>
          <w:rFonts w:eastAsia="Calibri"/>
          <w:sz w:val="26"/>
          <w:szCs w:val="26"/>
        </w:rPr>
        <w:t>,</w:t>
      </w:r>
      <w:r w:rsidRPr="003E61C8">
        <w:rPr>
          <w:rFonts w:eastAsia="Calibri"/>
          <w:sz w:val="26"/>
          <w:szCs w:val="26"/>
        </w:rPr>
        <w:t xml:space="preserve"> CenturyLink contends that the ALJs erred by failing to recognize the public interest benefit of the Company’s agreement under the Settlement to forgo approximately $1.3 </w:t>
      </w:r>
      <w:r w:rsidR="004F3D38">
        <w:rPr>
          <w:rFonts w:eastAsia="Calibri"/>
          <w:sz w:val="26"/>
          <w:szCs w:val="26"/>
        </w:rPr>
        <w:t>Million</w:t>
      </w:r>
      <w:r w:rsidRPr="003E61C8">
        <w:rPr>
          <w:rFonts w:eastAsia="Calibri"/>
          <w:sz w:val="26"/>
          <w:szCs w:val="26"/>
        </w:rPr>
        <w:t xml:space="preserve"> in banked revenues available for future use, in addition to agreeing to not increase any rates in its then-upcoming 2020 PSI/SPI </w:t>
      </w:r>
      <w:r w:rsidR="0028239B">
        <w:rPr>
          <w:rFonts w:eastAsia="Calibri"/>
          <w:sz w:val="26"/>
          <w:szCs w:val="26"/>
        </w:rPr>
        <w:t>F</w:t>
      </w:r>
      <w:r w:rsidRPr="003E61C8">
        <w:rPr>
          <w:rFonts w:eastAsia="Calibri"/>
          <w:sz w:val="26"/>
          <w:szCs w:val="26"/>
        </w:rPr>
        <w:t xml:space="preserve">iling.  CenturyLink argues that by agreeing to eliminate these revenues from its cumulative bank through the Settlement, CenturyLink has agreed to no future revenue recovery opportunity for those amounts.  CenturyLink reasons that the fact that there are additional revenues in </w:t>
      </w:r>
      <w:r w:rsidR="008E2599">
        <w:rPr>
          <w:rFonts w:eastAsia="Calibri"/>
          <w:sz w:val="26"/>
          <w:szCs w:val="26"/>
        </w:rPr>
        <w:t>the Company’</w:t>
      </w:r>
      <w:r w:rsidRPr="003E61C8">
        <w:rPr>
          <w:rFonts w:eastAsia="Calibri"/>
          <w:sz w:val="26"/>
          <w:szCs w:val="26"/>
        </w:rPr>
        <w:t xml:space="preserve">s bank does not </w:t>
      </w:r>
      <w:r w:rsidR="008E2599">
        <w:rPr>
          <w:rFonts w:eastAsia="Calibri"/>
          <w:sz w:val="26"/>
          <w:szCs w:val="26"/>
        </w:rPr>
        <w:t>negat</w:t>
      </w:r>
      <w:r w:rsidRPr="003E61C8">
        <w:rPr>
          <w:rFonts w:eastAsia="Calibri"/>
          <w:sz w:val="26"/>
          <w:szCs w:val="26"/>
        </w:rPr>
        <w:t xml:space="preserve">e the value of permanently eliminating over $1.3 </w:t>
      </w:r>
      <w:r w:rsidR="004F3D38">
        <w:rPr>
          <w:rFonts w:eastAsia="Calibri"/>
          <w:sz w:val="26"/>
          <w:szCs w:val="26"/>
        </w:rPr>
        <w:t>Million</w:t>
      </w:r>
      <w:r w:rsidRPr="003E61C8">
        <w:rPr>
          <w:rFonts w:eastAsia="Calibri"/>
          <w:sz w:val="26"/>
          <w:szCs w:val="26"/>
        </w:rPr>
        <w:t xml:space="preserve"> from the Company’s bank.  According to CenturyLink, the ALJs’ ruling is also misplaced</w:t>
      </w:r>
      <w:r w:rsidR="003532E2">
        <w:rPr>
          <w:rFonts w:eastAsia="Calibri"/>
          <w:sz w:val="26"/>
          <w:szCs w:val="26"/>
        </w:rPr>
        <w:t>,</w:t>
      </w:r>
      <w:r w:rsidRPr="003E61C8">
        <w:rPr>
          <w:rFonts w:eastAsia="Calibri"/>
          <w:sz w:val="26"/>
          <w:szCs w:val="26"/>
        </w:rPr>
        <w:t xml:space="preserve"> because under their application of the “substantial evidence” standard, they have disregarded this provision of the Settlement </w:t>
      </w:r>
      <w:r w:rsidR="00706289">
        <w:rPr>
          <w:rFonts w:eastAsia="Calibri"/>
          <w:sz w:val="26"/>
          <w:szCs w:val="26"/>
        </w:rPr>
        <w:t>given their finding that</w:t>
      </w:r>
      <w:r w:rsidRPr="003E61C8">
        <w:rPr>
          <w:rFonts w:eastAsia="Calibri"/>
          <w:sz w:val="26"/>
          <w:szCs w:val="26"/>
        </w:rPr>
        <w:t xml:space="preserve"> banked revenues are not directly based upon the TCJA’s impact in the same vein as the negative surcharge implemented by utilities governed under traditional regulation.  CenturyLink Exc. at 17, 18-19.</w:t>
      </w:r>
    </w:p>
    <w:p w14:paraId="767B951E" w14:textId="77777777" w:rsidR="003E61C8" w:rsidRPr="003E61C8" w:rsidRDefault="003E61C8" w:rsidP="00217B05">
      <w:pPr>
        <w:widowControl/>
        <w:spacing w:line="360" w:lineRule="auto"/>
        <w:contextualSpacing/>
        <w:rPr>
          <w:rFonts w:eastAsia="Calibri"/>
          <w:sz w:val="26"/>
          <w:szCs w:val="26"/>
        </w:rPr>
      </w:pPr>
    </w:p>
    <w:p w14:paraId="7E148C3E" w14:textId="24E9AC40" w:rsidR="003E61C8" w:rsidRPr="003E61C8" w:rsidRDefault="003E61C8" w:rsidP="00217B05">
      <w:pPr>
        <w:widowControl/>
        <w:spacing w:line="360" w:lineRule="auto"/>
        <w:ind w:firstLine="1440"/>
        <w:contextualSpacing/>
        <w:rPr>
          <w:rFonts w:eastAsia="Calibri"/>
          <w:sz w:val="26"/>
          <w:szCs w:val="26"/>
        </w:rPr>
      </w:pPr>
      <w:r w:rsidRPr="003E61C8">
        <w:rPr>
          <w:rFonts w:eastAsia="Calibri"/>
          <w:sz w:val="26"/>
          <w:szCs w:val="26"/>
        </w:rPr>
        <w:t xml:space="preserve">However, CenturyLink continues that the creation of banked revenues is what is recognized and allowed by Chapter 30 </w:t>
      </w:r>
      <w:r w:rsidR="006207AB">
        <w:rPr>
          <w:rFonts w:eastAsia="Calibri"/>
          <w:sz w:val="26"/>
          <w:szCs w:val="26"/>
        </w:rPr>
        <w:t>a</w:t>
      </w:r>
      <w:r w:rsidRPr="003E61C8">
        <w:rPr>
          <w:rFonts w:eastAsia="Calibri"/>
          <w:sz w:val="26"/>
          <w:szCs w:val="26"/>
        </w:rPr>
        <w:t xml:space="preserve">lternative </w:t>
      </w:r>
      <w:r w:rsidR="006207AB">
        <w:rPr>
          <w:rFonts w:eastAsia="Calibri"/>
          <w:sz w:val="26"/>
          <w:szCs w:val="26"/>
        </w:rPr>
        <w:t>r</w:t>
      </w:r>
      <w:r w:rsidRPr="003E61C8">
        <w:rPr>
          <w:rFonts w:eastAsia="Calibri"/>
          <w:sz w:val="26"/>
          <w:szCs w:val="26"/>
        </w:rPr>
        <w:t xml:space="preserve">egulation, and the reduction of these banked amounts represents the inability to raise rates in the future.  As such, CenturyLink submits that there is nothing about the Company’s regulatory status, </w:t>
      </w:r>
      <w:r w:rsidR="00E149AD">
        <w:rPr>
          <w:rFonts w:eastAsia="Calibri"/>
          <w:sz w:val="26"/>
          <w:szCs w:val="26"/>
        </w:rPr>
        <w:t>Chapter 30 Pla</w:t>
      </w:r>
      <w:r w:rsidRPr="003E61C8">
        <w:rPr>
          <w:rFonts w:eastAsia="Calibri"/>
          <w:sz w:val="26"/>
          <w:szCs w:val="26"/>
        </w:rPr>
        <w:t xml:space="preserve">n, or the competition it faces that is similar to the seventeen utilities referenced by the ALJs in the RD that operate under traditional </w:t>
      </w:r>
      <w:r w:rsidR="008B1C1E">
        <w:rPr>
          <w:rFonts w:eastAsia="Calibri"/>
          <w:sz w:val="26"/>
          <w:szCs w:val="26"/>
        </w:rPr>
        <w:t>rate base/</w:t>
      </w:r>
      <w:r w:rsidRPr="003E61C8">
        <w:rPr>
          <w:rFonts w:eastAsia="Calibri"/>
          <w:sz w:val="26"/>
          <w:szCs w:val="26"/>
        </w:rPr>
        <w:t>rate of return regulation</w:t>
      </w:r>
      <w:r w:rsidR="008B1C1E">
        <w:rPr>
          <w:rFonts w:eastAsia="Calibri"/>
          <w:sz w:val="26"/>
          <w:szCs w:val="26"/>
        </w:rPr>
        <w:t>,</w:t>
      </w:r>
      <w:r w:rsidRPr="003E61C8">
        <w:rPr>
          <w:rFonts w:eastAsia="Calibri"/>
          <w:sz w:val="26"/>
          <w:szCs w:val="26"/>
        </w:rPr>
        <w:t xml:space="preserve"> and who implemented a negative surcharge.  </w:t>
      </w:r>
      <w:r w:rsidR="008B1C1E">
        <w:rPr>
          <w:rFonts w:eastAsia="Calibri"/>
          <w:sz w:val="26"/>
          <w:szCs w:val="26"/>
        </w:rPr>
        <w:t xml:space="preserve">Furthermore, </w:t>
      </w:r>
      <w:r w:rsidRPr="003E61C8">
        <w:rPr>
          <w:rFonts w:eastAsia="Calibri"/>
          <w:sz w:val="26"/>
          <w:szCs w:val="26"/>
        </w:rPr>
        <w:t xml:space="preserve">CenturyLink argues that the ALJs overlooked that in </w:t>
      </w:r>
      <w:r w:rsidR="00AA4EFC">
        <w:rPr>
          <w:rFonts w:eastAsia="Calibri"/>
          <w:sz w:val="26"/>
          <w:szCs w:val="26"/>
        </w:rPr>
        <w:t xml:space="preserve">the </w:t>
      </w:r>
      <w:r w:rsidRPr="003E61C8">
        <w:rPr>
          <w:rFonts w:eastAsia="Calibri"/>
          <w:i/>
          <w:iCs/>
          <w:sz w:val="26"/>
          <w:szCs w:val="26"/>
        </w:rPr>
        <w:t>Joint Application for Approval Under Chapter 11 of the Pennsylvania Public Utility Code of the Change of Control of Qwest Communications Company, LLC and For All Other Approval Required Under the Public Utility Code</w:t>
      </w:r>
      <w:r w:rsidRPr="003E61C8">
        <w:rPr>
          <w:rFonts w:eastAsia="Calibri"/>
          <w:sz w:val="26"/>
          <w:szCs w:val="26"/>
        </w:rPr>
        <w:t>, Docket No. A</w:t>
      </w:r>
      <w:r w:rsidR="007C1908">
        <w:rPr>
          <w:rFonts w:eastAsia="Calibri"/>
          <w:sz w:val="26"/>
          <w:szCs w:val="26"/>
        </w:rPr>
        <w:noBreakHyphen/>
      </w:r>
      <w:r w:rsidRPr="003E61C8">
        <w:rPr>
          <w:rFonts w:eastAsia="Calibri"/>
          <w:sz w:val="26"/>
          <w:szCs w:val="26"/>
        </w:rPr>
        <w:t>2010-2176733 (Order entered October 14, 2010)</w:t>
      </w:r>
      <w:r w:rsidR="00F70A9D">
        <w:rPr>
          <w:rFonts w:eastAsia="Calibri"/>
          <w:sz w:val="26"/>
          <w:szCs w:val="26"/>
        </w:rPr>
        <w:t xml:space="preserve"> </w:t>
      </w:r>
      <w:r w:rsidR="0090486D">
        <w:rPr>
          <w:rFonts w:eastAsia="Calibri"/>
          <w:sz w:val="26"/>
          <w:szCs w:val="26"/>
        </w:rPr>
        <w:t>(</w:t>
      </w:r>
      <w:r w:rsidR="0090486D">
        <w:rPr>
          <w:rFonts w:eastAsia="Calibri"/>
          <w:i/>
          <w:iCs/>
          <w:sz w:val="26"/>
          <w:szCs w:val="26"/>
        </w:rPr>
        <w:t>Qwest</w:t>
      </w:r>
      <w:r w:rsidR="0090486D">
        <w:rPr>
          <w:rFonts w:eastAsia="Calibri"/>
          <w:sz w:val="26"/>
          <w:szCs w:val="26"/>
        </w:rPr>
        <w:t>)</w:t>
      </w:r>
      <w:r w:rsidRPr="003E61C8">
        <w:rPr>
          <w:rFonts w:eastAsia="Calibri"/>
          <w:sz w:val="26"/>
          <w:szCs w:val="26"/>
        </w:rPr>
        <w:t xml:space="preserve"> the Commission approved a previous settlement in which CenturyLink agreed not to bank revenue increases.  CenturyLink insists that the Commission should find </w:t>
      </w:r>
      <w:r w:rsidR="008B1C1E">
        <w:rPr>
          <w:rFonts w:eastAsia="Calibri"/>
          <w:sz w:val="26"/>
          <w:szCs w:val="26"/>
        </w:rPr>
        <w:t xml:space="preserve">that </w:t>
      </w:r>
      <w:r w:rsidRPr="003E61C8">
        <w:rPr>
          <w:rFonts w:eastAsia="Calibri"/>
          <w:sz w:val="26"/>
          <w:szCs w:val="26"/>
        </w:rPr>
        <w:t xml:space="preserve">the same public interest benefit </w:t>
      </w:r>
      <w:r w:rsidR="008B1C1E">
        <w:rPr>
          <w:rFonts w:eastAsia="Calibri"/>
          <w:sz w:val="26"/>
          <w:szCs w:val="26"/>
        </w:rPr>
        <w:t xml:space="preserve">exists </w:t>
      </w:r>
      <w:r w:rsidRPr="003E61C8">
        <w:rPr>
          <w:rFonts w:eastAsia="Calibri"/>
          <w:sz w:val="26"/>
          <w:szCs w:val="26"/>
        </w:rPr>
        <w:t>in this current Settlement.  CenturyLink Exc. at 18-19.</w:t>
      </w:r>
    </w:p>
    <w:p w14:paraId="75551989" w14:textId="77777777" w:rsidR="003E61C8" w:rsidRPr="003E61C8" w:rsidRDefault="003E61C8" w:rsidP="00217B05">
      <w:pPr>
        <w:widowControl/>
        <w:spacing w:line="360" w:lineRule="auto"/>
        <w:contextualSpacing/>
        <w:rPr>
          <w:rFonts w:eastAsia="Calibri"/>
          <w:sz w:val="26"/>
          <w:szCs w:val="26"/>
        </w:rPr>
      </w:pPr>
    </w:p>
    <w:p w14:paraId="7438734E" w14:textId="65EA8F1C" w:rsidR="003E61C8" w:rsidRPr="003E61C8" w:rsidRDefault="003E61C8" w:rsidP="00217B05">
      <w:pPr>
        <w:widowControl/>
        <w:spacing w:line="360" w:lineRule="auto"/>
        <w:ind w:firstLine="1440"/>
        <w:contextualSpacing/>
        <w:rPr>
          <w:rFonts w:eastAsia="Calibri"/>
          <w:sz w:val="26"/>
          <w:szCs w:val="26"/>
        </w:rPr>
      </w:pPr>
      <w:r w:rsidRPr="003E61C8">
        <w:rPr>
          <w:rFonts w:eastAsia="Calibri"/>
          <w:sz w:val="26"/>
          <w:szCs w:val="26"/>
        </w:rPr>
        <w:t xml:space="preserve">In its Exception No. 5C, CenturyLink submits that contrary to the ALJs’ findings, the Settlement is supported by substantial record evidence, is in the public interest, and should be adopted without modification.  </w:t>
      </w:r>
      <w:r w:rsidR="005014C3">
        <w:rPr>
          <w:rFonts w:eastAsia="Calibri"/>
          <w:sz w:val="26"/>
          <w:szCs w:val="26"/>
        </w:rPr>
        <w:t xml:space="preserve">In addition to </w:t>
      </w:r>
      <w:r w:rsidR="00B20FB1">
        <w:rPr>
          <w:rFonts w:eastAsia="Calibri"/>
          <w:sz w:val="26"/>
          <w:szCs w:val="26"/>
        </w:rPr>
        <w:t>reinforcing its position that its agreement to forgo banked revenues provides a benefit to its customers</w:t>
      </w:r>
      <w:r w:rsidR="005014C3">
        <w:rPr>
          <w:rFonts w:eastAsia="Calibri"/>
          <w:sz w:val="26"/>
          <w:szCs w:val="26"/>
        </w:rPr>
        <w:t xml:space="preserve">, </w:t>
      </w:r>
      <w:r w:rsidRPr="003E61C8">
        <w:rPr>
          <w:rFonts w:eastAsia="Calibri"/>
          <w:sz w:val="26"/>
          <w:szCs w:val="26"/>
        </w:rPr>
        <w:t xml:space="preserve">CenturyLink </w:t>
      </w:r>
      <w:r w:rsidR="00B20FB1">
        <w:rPr>
          <w:rFonts w:eastAsia="Calibri"/>
          <w:sz w:val="26"/>
          <w:szCs w:val="26"/>
        </w:rPr>
        <w:t>also points to</w:t>
      </w:r>
      <w:r w:rsidR="00F26C60">
        <w:rPr>
          <w:rFonts w:eastAsia="Calibri"/>
          <w:sz w:val="26"/>
          <w:szCs w:val="26"/>
        </w:rPr>
        <w:t xml:space="preserve"> the </w:t>
      </w:r>
      <w:r w:rsidRPr="003E61C8">
        <w:rPr>
          <w:rFonts w:eastAsia="Calibri"/>
          <w:sz w:val="26"/>
          <w:szCs w:val="26"/>
        </w:rPr>
        <w:t>rate stability</w:t>
      </w:r>
      <w:r w:rsidR="00F26C60">
        <w:rPr>
          <w:rFonts w:eastAsia="Calibri"/>
          <w:sz w:val="26"/>
          <w:szCs w:val="26"/>
        </w:rPr>
        <w:t xml:space="preserve"> that the Settlement achieves</w:t>
      </w:r>
      <w:r w:rsidRPr="003E61C8">
        <w:rPr>
          <w:rFonts w:eastAsia="Calibri"/>
          <w:sz w:val="26"/>
          <w:szCs w:val="26"/>
        </w:rPr>
        <w:t xml:space="preserve"> for its customers through at least mid</w:t>
      </w:r>
      <w:r w:rsidR="001856A4">
        <w:rPr>
          <w:rFonts w:eastAsia="Calibri"/>
          <w:sz w:val="26"/>
          <w:szCs w:val="26"/>
        </w:rPr>
        <w:noBreakHyphen/>
      </w:r>
      <w:r w:rsidRPr="003E61C8">
        <w:rPr>
          <w:rFonts w:eastAsia="Calibri"/>
          <w:sz w:val="26"/>
          <w:szCs w:val="26"/>
        </w:rPr>
        <w:t>December 2021.  CenturyLink posits that absent this Settlement, CenturyLink would have been able to propose to raise rates in its then-upcoming 2020 PSI/SPI Filing by using both the change in the GDP-PI</w:t>
      </w:r>
      <w:r w:rsidR="008900CB">
        <w:rPr>
          <w:rFonts w:eastAsia="Calibri"/>
          <w:sz w:val="26"/>
          <w:szCs w:val="26"/>
        </w:rPr>
        <w:t xml:space="preserve"> between 2019 and 2020</w:t>
      </w:r>
      <w:r w:rsidRPr="003E61C8">
        <w:rPr>
          <w:rFonts w:eastAsia="Calibri"/>
          <w:sz w:val="26"/>
          <w:szCs w:val="26"/>
        </w:rPr>
        <w:t xml:space="preserve"> and any portion of its cumulative bank.  CenturyLink Exc. at </w:t>
      </w:r>
      <w:r w:rsidR="00AA2914">
        <w:rPr>
          <w:rFonts w:eastAsia="Calibri"/>
          <w:sz w:val="26"/>
          <w:szCs w:val="26"/>
        </w:rPr>
        <w:t>19-</w:t>
      </w:r>
      <w:r w:rsidRPr="003E61C8">
        <w:rPr>
          <w:rFonts w:eastAsia="Calibri"/>
          <w:sz w:val="26"/>
          <w:szCs w:val="26"/>
        </w:rPr>
        <w:t>20</w:t>
      </w:r>
    </w:p>
    <w:p w14:paraId="34AC6BB3" w14:textId="77777777" w:rsidR="003E61C8" w:rsidRPr="003E61C8" w:rsidRDefault="003E61C8" w:rsidP="00217B05">
      <w:pPr>
        <w:widowControl/>
        <w:spacing w:line="360" w:lineRule="auto"/>
        <w:contextualSpacing/>
        <w:rPr>
          <w:rFonts w:eastAsia="Calibri"/>
          <w:sz w:val="26"/>
          <w:szCs w:val="26"/>
        </w:rPr>
      </w:pPr>
    </w:p>
    <w:p w14:paraId="55AC8F50" w14:textId="431B3889" w:rsidR="003E61C8" w:rsidRPr="003E61C8" w:rsidRDefault="007158CD" w:rsidP="00217B05">
      <w:pPr>
        <w:widowControl/>
        <w:spacing w:line="360" w:lineRule="auto"/>
        <w:ind w:firstLine="1440"/>
        <w:contextualSpacing/>
        <w:rPr>
          <w:rFonts w:eastAsia="Calibri"/>
          <w:sz w:val="26"/>
          <w:szCs w:val="26"/>
        </w:rPr>
      </w:pPr>
      <w:r>
        <w:rPr>
          <w:rFonts w:eastAsia="Calibri"/>
          <w:sz w:val="26"/>
          <w:szCs w:val="26"/>
        </w:rPr>
        <w:t>CenturyLink adds</w:t>
      </w:r>
      <w:r w:rsidR="003E61C8" w:rsidRPr="003E61C8">
        <w:rPr>
          <w:rFonts w:eastAsia="Calibri"/>
          <w:sz w:val="26"/>
          <w:szCs w:val="26"/>
        </w:rPr>
        <w:t xml:space="preserve"> that the Settlement sets aside contentious and disputed arguments </w:t>
      </w:r>
      <w:r w:rsidR="001856A4">
        <w:rPr>
          <w:rFonts w:eastAsia="Calibri"/>
          <w:sz w:val="26"/>
          <w:szCs w:val="26"/>
        </w:rPr>
        <w:t>that</w:t>
      </w:r>
      <w:r w:rsidR="003E61C8" w:rsidRPr="003E61C8">
        <w:rPr>
          <w:rFonts w:eastAsia="Calibri"/>
          <w:sz w:val="26"/>
          <w:szCs w:val="26"/>
        </w:rPr>
        <w:t xml:space="preserve"> would have been time consuming and expensive to continue to litigate in what has already been a lengthy proceeding.  CenturyLink argues that the ALJs have overlooked the public interest benefit of avoiding protracted litigation.  CenturyLink reasons that if the ALJs’ recommendation is adopted, more litigation and regulatory delay would occur when this proceeding is remanded.  In contrast, CenturyLink restates its argument that its competitors that are not regulated by the Commission are free to conduct business without having to maneuver through the possible imposition of a negative surcharge and having to devote resources to</w:t>
      </w:r>
      <w:r w:rsidR="00985B7B">
        <w:rPr>
          <w:rFonts w:eastAsia="Calibri"/>
          <w:sz w:val="26"/>
          <w:szCs w:val="26"/>
        </w:rPr>
        <w:t xml:space="preserve"> support the Company’s position in</w:t>
      </w:r>
      <w:r w:rsidR="003E61C8" w:rsidRPr="003E61C8">
        <w:rPr>
          <w:rFonts w:eastAsia="Calibri"/>
          <w:sz w:val="26"/>
          <w:szCs w:val="26"/>
        </w:rPr>
        <w:t xml:space="preserve"> a remand</w:t>
      </w:r>
      <w:r w:rsidR="00985B7B">
        <w:rPr>
          <w:rFonts w:eastAsia="Calibri"/>
          <w:sz w:val="26"/>
          <w:szCs w:val="26"/>
        </w:rPr>
        <w:t>ed proceeding</w:t>
      </w:r>
      <w:r w:rsidR="003E61C8" w:rsidRPr="003E61C8">
        <w:rPr>
          <w:rFonts w:eastAsia="Calibri"/>
          <w:sz w:val="26"/>
          <w:szCs w:val="26"/>
        </w:rPr>
        <w:t xml:space="preserve">.  Thus, CenturyLink is of the </w:t>
      </w:r>
      <w:r w:rsidR="00A01952">
        <w:rPr>
          <w:rFonts w:eastAsia="Calibri"/>
          <w:sz w:val="26"/>
          <w:szCs w:val="26"/>
        </w:rPr>
        <w:t>o</w:t>
      </w:r>
      <w:r w:rsidR="003E61C8" w:rsidRPr="003E61C8">
        <w:rPr>
          <w:rFonts w:eastAsia="Calibri"/>
          <w:sz w:val="26"/>
          <w:szCs w:val="26"/>
        </w:rPr>
        <w:t>pinion that the ALJs’ Recommended Decision should be reversed.  CenturyLink Exc. at 20-21.</w:t>
      </w:r>
    </w:p>
    <w:p w14:paraId="353A5861" w14:textId="51A03BB4" w:rsidR="00F81DF1" w:rsidRDefault="00F81DF1" w:rsidP="00217B05">
      <w:pPr>
        <w:widowControl/>
        <w:spacing w:line="360" w:lineRule="auto"/>
        <w:ind w:firstLine="1440"/>
        <w:contextualSpacing/>
        <w:rPr>
          <w:rStyle w:val="Hyperlink"/>
          <w:color w:val="auto"/>
          <w:sz w:val="26"/>
          <w:szCs w:val="26"/>
          <w:u w:val="none"/>
        </w:rPr>
      </w:pPr>
    </w:p>
    <w:p w14:paraId="2F4D370C" w14:textId="6F1474EA" w:rsidR="00DD20E5" w:rsidRDefault="00DD20E5" w:rsidP="00217B05">
      <w:pPr>
        <w:widowControl/>
        <w:spacing w:line="360" w:lineRule="auto"/>
        <w:ind w:firstLine="1440"/>
        <w:contextualSpacing/>
        <w:rPr>
          <w:rFonts w:eastAsia="Calibri"/>
          <w:sz w:val="26"/>
          <w:szCs w:val="26"/>
        </w:rPr>
      </w:pPr>
      <w:r w:rsidRPr="003470EA">
        <w:rPr>
          <w:rFonts w:eastAsia="Calibri"/>
          <w:sz w:val="26"/>
          <w:szCs w:val="26"/>
        </w:rPr>
        <w:t>In its Exception No. 3, the OCA</w:t>
      </w:r>
      <w:r w:rsidR="0031592D">
        <w:rPr>
          <w:rFonts w:eastAsia="Calibri"/>
          <w:sz w:val="26"/>
          <w:szCs w:val="26"/>
        </w:rPr>
        <w:t xml:space="preserve"> likewise</w:t>
      </w:r>
      <w:r w:rsidRPr="003470EA">
        <w:rPr>
          <w:rFonts w:eastAsia="Calibri"/>
          <w:sz w:val="26"/>
          <w:szCs w:val="26"/>
        </w:rPr>
        <w:t xml:space="preserve"> disagrees with the ALJs’ conclusion that the Settlement is not supported by substantial evidence, is not in the public interest, and should be remanded</w:t>
      </w:r>
      <w:r w:rsidR="00E5083A">
        <w:rPr>
          <w:rFonts w:eastAsia="Calibri"/>
          <w:sz w:val="26"/>
          <w:szCs w:val="26"/>
        </w:rPr>
        <w:t>,</w:t>
      </w:r>
      <w:r w:rsidRPr="003470EA">
        <w:rPr>
          <w:rFonts w:eastAsia="Calibri"/>
          <w:sz w:val="26"/>
          <w:szCs w:val="26"/>
        </w:rPr>
        <w:t xml:space="preserve"> regardless of the administrative burdens and financial costs to the Joint Petitioners.  </w:t>
      </w:r>
      <w:r>
        <w:rPr>
          <w:rFonts w:eastAsia="Calibri"/>
          <w:sz w:val="26"/>
          <w:szCs w:val="26"/>
        </w:rPr>
        <w:t>According to the OCA, in reaching th</w:t>
      </w:r>
      <w:r w:rsidR="00E5083A">
        <w:rPr>
          <w:rFonts w:eastAsia="Calibri"/>
          <w:sz w:val="26"/>
          <w:szCs w:val="26"/>
        </w:rPr>
        <w:t>is</w:t>
      </w:r>
      <w:r>
        <w:rPr>
          <w:rFonts w:eastAsia="Calibri"/>
          <w:sz w:val="26"/>
          <w:szCs w:val="26"/>
        </w:rPr>
        <w:t xml:space="preserve"> conclusion, the ALJs have created a new standard that must be met for a settlement to be approved.  </w:t>
      </w:r>
      <w:r w:rsidR="003D10D0">
        <w:rPr>
          <w:rFonts w:eastAsia="Calibri"/>
          <w:sz w:val="26"/>
          <w:szCs w:val="26"/>
        </w:rPr>
        <w:t>Namely, t</w:t>
      </w:r>
      <w:r w:rsidRPr="00DB6F5B">
        <w:rPr>
          <w:rFonts w:eastAsia="Calibri"/>
          <w:sz w:val="26"/>
          <w:szCs w:val="26"/>
        </w:rPr>
        <w:t>he OCA takes the position that the ALJs have unreasonably recommended that there be a fully developed evidentiary record to assist the Commission in evaluating the merits of these Settlement terms.</w:t>
      </w:r>
      <w:r>
        <w:rPr>
          <w:rFonts w:eastAsia="Calibri"/>
          <w:sz w:val="26"/>
          <w:szCs w:val="26"/>
        </w:rPr>
        <w:t xml:space="preserve">  </w:t>
      </w:r>
      <w:r w:rsidR="0031592D">
        <w:rPr>
          <w:rFonts w:eastAsia="Calibri"/>
          <w:sz w:val="26"/>
          <w:szCs w:val="26"/>
        </w:rPr>
        <w:t>The OCA takes the position that</w:t>
      </w:r>
      <w:r>
        <w:rPr>
          <w:rFonts w:eastAsia="Calibri"/>
          <w:sz w:val="26"/>
          <w:szCs w:val="26"/>
        </w:rPr>
        <w:t xml:space="preserve"> the Commission should not adopt such </w:t>
      </w:r>
      <w:r w:rsidR="003D10D0">
        <w:rPr>
          <w:rFonts w:eastAsia="Calibri"/>
          <w:sz w:val="26"/>
          <w:szCs w:val="26"/>
        </w:rPr>
        <w:t xml:space="preserve">a </w:t>
      </w:r>
      <w:r>
        <w:rPr>
          <w:rFonts w:eastAsia="Calibri"/>
          <w:sz w:val="26"/>
          <w:szCs w:val="26"/>
        </w:rPr>
        <w:t xml:space="preserve">standard.  Instead, the OCA continues, the Commission should find that </w:t>
      </w:r>
      <w:r w:rsidRPr="003470EA">
        <w:rPr>
          <w:rFonts w:eastAsia="Calibri"/>
          <w:sz w:val="26"/>
          <w:szCs w:val="26"/>
        </w:rPr>
        <w:t xml:space="preserve">the Settlement reflects the informed judgment of the Parties that the negotiated terms are in the public interest.  </w:t>
      </w:r>
      <w:r>
        <w:rPr>
          <w:rFonts w:eastAsia="Calibri"/>
          <w:sz w:val="26"/>
          <w:szCs w:val="26"/>
        </w:rPr>
        <w:t>OCA Exc. at 8-9, 11.</w:t>
      </w:r>
    </w:p>
    <w:p w14:paraId="4045A6E5" w14:textId="77777777" w:rsidR="00DD20E5" w:rsidRDefault="00DD20E5" w:rsidP="00217B05">
      <w:pPr>
        <w:widowControl/>
        <w:spacing w:line="360" w:lineRule="auto"/>
        <w:ind w:firstLine="1440"/>
        <w:contextualSpacing/>
        <w:rPr>
          <w:rFonts w:eastAsia="Calibri"/>
          <w:sz w:val="26"/>
          <w:szCs w:val="26"/>
        </w:rPr>
      </w:pPr>
    </w:p>
    <w:p w14:paraId="4B20695F" w14:textId="5734625A" w:rsidR="00DD20E5" w:rsidRDefault="00DD20E5" w:rsidP="00217B05">
      <w:pPr>
        <w:widowControl/>
        <w:spacing w:line="360" w:lineRule="auto"/>
        <w:ind w:firstLine="1440"/>
        <w:contextualSpacing/>
        <w:rPr>
          <w:rFonts w:eastAsia="Calibri"/>
          <w:sz w:val="26"/>
          <w:szCs w:val="26"/>
        </w:rPr>
      </w:pPr>
      <w:r>
        <w:rPr>
          <w:rFonts w:eastAsia="Calibri"/>
          <w:sz w:val="26"/>
          <w:szCs w:val="26"/>
        </w:rPr>
        <w:t>More specifically, t</w:t>
      </w:r>
      <w:r w:rsidRPr="003470EA">
        <w:rPr>
          <w:rFonts w:eastAsia="Calibri"/>
          <w:sz w:val="26"/>
          <w:szCs w:val="26"/>
        </w:rPr>
        <w:t xml:space="preserve">he OCA contends that contrary to the ALJs’ findings, the Company’s agreement under the Settlement to not increase rates and to forgo the banking of allowed revenue increases in its 2018, 2019, and 2020 PSI/SPI </w:t>
      </w:r>
      <w:r>
        <w:rPr>
          <w:rFonts w:eastAsia="Calibri"/>
          <w:sz w:val="26"/>
          <w:szCs w:val="26"/>
        </w:rPr>
        <w:t>F</w:t>
      </w:r>
      <w:r w:rsidRPr="003470EA">
        <w:rPr>
          <w:rFonts w:eastAsia="Calibri"/>
          <w:sz w:val="26"/>
          <w:szCs w:val="26"/>
        </w:rPr>
        <w:t xml:space="preserve">ilings provides a benefit to consumers.  </w:t>
      </w:r>
      <w:r>
        <w:rPr>
          <w:rFonts w:eastAsia="Calibri"/>
          <w:sz w:val="26"/>
          <w:szCs w:val="26"/>
        </w:rPr>
        <w:t xml:space="preserve">The OCA argues </w:t>
      </w:r>
      <w:r w:rsidRPr="003470EA">
        <w:rPr>
          <w:rFonts w:eastAsia="Calibri"/>
          <w:sz w:val="26"/>
          <w:szCs w:val="26"/>
        </w:rPr>
        <w:t>that as a result of the</w:t>
      </w:r>
      <w:r w:rsidR="003D10D0">
        <w:rPr>
          <w:rFonts w:eastAsia="Calibri"/>
          <w:sz w:val="26"/>
          <w:szCs w:val="26"/>
        </w:rPr>
        <w:t>se</w:t>
      </w:r>
      <w:r w:rsidRPr="003470EA">
        <w:rPr>
          <w:rFonts w:eastAsia="Calibri"/>
          <w:sz w:val="26"/>
          <w:szCs w:val="26"/>
        </w:rPr>
        <w:t xml:space="preserve"> terms of the Settlement, CenturyLink’s ratepayers will see their rates for noncompetitive services remain at present levels through at least mid-December of 2021.  </w:t>
      </w:r>
      <w:r w:rsidR="00F27724">
        <w:rPr>
          <w:rFonts w:eastAsia="Calibri"/>
          <w:sz w:val="26"/>
          <w:szCs w:val="26"/>
        </w:rPr>
        <w:t>Thus, a</w:t>
      </w:r>
      <w:r w:rsidRPr="00DE2334">
        <w:rPr>
          <w:rFonts w:eastAsia="Calibri"/>
          <w:sz w:val="26"/>
          <w:szCs w:val="26"/>
        </w:rPr>
        <w:t xml:space="preserve">ccording to the OCA, the Settlement provides a mutually-agreed upon resolution regarding the level of revenues and rates that should result from the Company’s contested 2018 and 2019 PSI/SPI </w:t>
      </w:r>
      <w:r w:rsidR="009E3681">
        <w:rPr>
          <w:rFonts w:eastAsia="Calibri"/>
          <w:sz w:val="26"/>
          <w:szCs w:val="26"/>
        </w:rPr>
        <w:t>F</w:t>
      </w:r>
      <w:r w:rsidRPr="00DE2334">
        <w:rPr>
          <w:rFonts w:eastAsia="Calibri"/>
          <w:sz w:val="26"/>
          <w:szCs w:val="26"/>
        </w:rPr>
        <w:t>ilings, without the expense and administrative burden of full litigation of the questions of law and fact tied to the PSM recognition of the impact of the TCJA on Century’s intrastate, noncompetitive services-related tax expenses.</w:t>
      </w:r>
      <w:r>
        <w:rPr>
          <w:rFonts w:eastAsia="Calibri"/>
          <w:sz w:val="26"/>
          <w:szCs w:val="26"/>
        </w:rPr>
        <w:t xml:space="preserve"> </w:t>
      </w:r>
      <w:r w:rsidRPr="003470EA">
        <w:rPr>
          <w:rFonts w:eastAsia="Calibri"/>
          <w:sz w:val="26"/>
          <w:szCs w:val="26"/>
        </w:rPr>
        <w:t xml:space="preserve">Conversely, </w:t>
      </w:r>
      <w:r>
        <w:rPr>
          <w:rFonts w:eastAsia="Calibri"/>
          <w:sz w:val="26"/>
          <w:szCs w:val="26"/>
        </w:rPr>
        <w:t>the OCA claims that</w:t>
      </w:r>
      <w:r w:rsidRPr="003470EA">
        <w:rPr>
          <w:rFonts w:eastAsia="Calibri"/>
          <w:sz w:val="26"/>
          <w:szCs w:val="26"/>
        </w:rPr>
        <w:t xml:space="preserve"> rejecting the Settlement and litigating the exogenous event issue could result in a determination that the TCJA provided CenturyLink with zero tax savings given the testimony of CenturyLink’s witness Mr. Harper that the Company did not pay federal income taxes in 2018 and will not do so for several years.  The OCA reason</w:t>
      </w:r>
      <w:r>
        <w:rPr>
          <w:rFonts w:eastAsia="Calibri"/>
          <w:sz w:val="26"/>
          <w:szCs w:val="26"/>
        </w:rPr>
        <w:t>s</w:t>
      </w:r>
      <w:r w:rsidRPr="003470EA">
        <w:rPr>
          <w:rFonts w:eastAsia="Calibri"/>
          <w:sz w:val="26"/>
          <w:szCs w:val="26"/>
        </w:rPr>
        <w:t xml:space="preserve"> that given the facts specific to CenturyLink, the Company could see </w:t>
      </w:r>
      <w:r w:rsidR="009E3681">
        <w:rPr>
          <w:rFonts w:eastAsia="Calibri"/>
          <w:sz w:val="26"/>
          <w:szCs w:val="26"/>
        </w:rPr>
        <w:t>the</w:t>
      </w:r>
      <w:r w:rsidRPr="003470EA">
        <w:rPr>
          <w:rFonts w:eastAsia="Calibri"/>
          <w:sz w:val="26"/>
          <w:szCs w:val="26"/>
        </w:rPr>
        <w:t xml:space="preserve"> </w:t>
      </w:r>
      <w:r w:rsidR="00A7002C">
        <w:rPr>
          <w:rFonts w:eastAsia="Calibri"/>
          <w:sz w:val="26"/>
          <w:szCs w:val="26"/>
        </w:rPr>
        <w:t xml:space="preserve">full </w:t>
      </w:r>
      <w:r w:rsidRPr="003470EA">
        <w:rPr>
          <w:rFonts w:eastAsia="Calibri"/>
          <w:sz w:val="26"/>
          <w:szCs w:val="26"/>
        </w:rPr>
        <w:t>cumulative banked amounts</w:t>
      </w:r>
      <w:r w:rsidR="00A7002C">
        <w:rPr>
          <w:rFonts w:eastAsia="Calibri"/>
          <w:sz w:val="26"/>
          <w:szCs w:val="26"/>
        </w:rPr>
        <w:t xml:space="preserve"> resulting from the revenue increases authorized under its </w:t>
      </w:r>
      <w:r w:rsidR="00A7002C" w:rsidRPr="00A7002C">
        <w:rPr>
          <w:rFonts w:eastAsia="Calibri"/>
          <w:sz w:val="26"/>
          <w:szCs w:val="26"/>
        </w:rPr>
        <w:t>2018, 2019, and then</w:t>
      </w:r>
      <w:r w:rsidR="00A7002C" w:rsidRPr="00A7002C">
        <w:rPr>
          <w:rFonts w:eastAsia="Calibri"/>
          <w:sz w:val="26"/>
          <w:szCs w:val="26"/>
        </w:rPr>
        <w:noBreakHyphen/>
        <w:t>upcoming 2020</w:t>
      </w:r>
      <w:r w:rsidR="00A7002C">
        <w:rPr>
          <w:rFonts w:eastAsia="Calibri"/>
          <w:sz w:val="26"/>
          <w:szCs w:val="26"/>
        </w:rPr>
        <w:t xml:space="preserve"> PSI/SPI Filings</w:t>
      </w:r>
      <w:r w:rsidRPr="003470EA">
        <w:rPr>
          <w:rFonts w:eastAsia="Calibri"/>
          <w:sz w:val="26"/>
          <w:szCs w:val="26"/>
        </w:rPr>
        <w:t xml:space="preserve"> realized if this proceeding were to be fully litigated.  </w:t>
      </w:r>
      <w:r>
        <w:rPr>
          <w:rFonts w:eastAsia="Calibri"/>
          <w:sz w:val="26"/>
          <w:szCs w:val="26"/>
        </w:rPr>
        <w:t>In the OCA’s view</w:t>
      </w:r>
      <w:r w:rsidRPr="003470EA">
        <w:rPr>
          <w:rFonts w:eastAsia="Calibri"/>
          <w:sz w:val="26"/>
          <w:szCs w:val="26"/>
        </w:rPr>
        <w:t>, the ALJs recommendation that the Commission reject the Settlement and remand this proceeding is nothing more than a “roll of the dice</w:t>
      </w:r>
      <w:r>
        <w:rPr>
          <w:rFonts w:eastAsia="Calibri"/>
          <w:sz w:val="26"/>
          <w:szCs w:val="26"/>
        </w:rPr>
        <w:t>.</w:t>
      </w:r>
      <w:r w:rsidRPr="003470EA">
        <w:rPr>
          <w:rFonts w:eastAsia="Calibri"/>
          <w:sz w:val="26"/>
          <w:szCs w:val="26"/>
        </w:rPr>
        <w:t xml:space="preserve">” OCA Exc. at </w:t>
      </w:r>
      <w:r>
        <w:rPr>
          <w:rFonts w:eastAsia="Calibri"/>
          <w:sz w:val="26"/>
          <w:szCs w:val="26"/>
        </w:rPr>
        <w:t>9-10</w:t>
      </w:r>
      <w:r w:rsidRPr="003470EA">
        <w:rPr>
          <w:rFonts w:eastAsia="Calibri"/>
          <w:sz w:val="26"/>
          <w:szCs w:val="26"/>
        </w:rPr>
        <w:t>.</w:t>
      </w:r>
    </w:p>
    <w:p w14:paraId="09BE39AB" w14:textId="20003C5F" w:rsidR="003470EA" w:rsidRPr="003470EA" w:rsidRDefault="003470EA" w:rsidP="00217B05">
      <w:pPr>
        <w:widowControl/>
        <w:spacing w:line="360" w:lineRule="auto"/>
        <w:ind w:firstLine="1440"/>
        <w:contextualSpacing/>
        <w:rPr>
          <w:rFonts w:eastAsia="Calibri"/>
          <w:sz w:val="26"/>
          <w:szCs w:val="26"/>
        </w:rPr>
      </w:pPr>
      <w:r w:rsidRPr="003470EA">
        <w:rPr>
          <w:rFonts w:eastAsia="Calibri"/>
          <w:sz w:val="26"/>
          <w:szCs w:val="26"/>
        </w:rPr>
        <w:t xml:space="preserve">The OCA also cites to the testimony of both its witness Dr. </w:t>
      </w:r>
      <w:proofErr w:type="spellStart"/>
      <w:r w:rsidRPr="003470EA">
        <w:rPr>
          <w:rFonts w:eastAsia="Calibri"/>
          <w:sz w:val="26"/>
          <w:szCs w:val="26"/>
        </w:rPr>
        <w:t>Loube</w:t>
      </w:r>
      <w:proofErr w:type="spellEnd"/>
      <w:r w:rsidRPr="003470EA">
        <w:rPr>
          <w:rFonts w:eastAsia="Calibri"/>
          <w:sz w:val="26"/>
          <w:szCs w:val="26"/>
        </w:rPr>
        <w:t xml:space="preserve"> and the OSBA’s witness Mr. </w:t>
      </w:r>
      <w:proofErr w:type="spellStart"/>
      <w:r w:rsidRPr="003470EA">
        <w:rPr>
          <w:rFonts w:eastAsia="Calibri"/>
          <w:sz w:val="26"/>
          <w:szCs w:val="26"/>
        </w:rPr>
        <w:t>Gillan</w:t>
      </w:r>
      <w:proofErr w:type="spellEnd"/>
      <w:r w:rsidRPr="003470EA">
        <w:rPr>
          <w:rFonts w:eastAsia="Calibri"/>
          <w:sz w:val="26"/>
          <w:szCs w:val="26"/>
        </w:rPr>
        <w:t xml:space="preserve"> that there are significant risks and uncertainties associated with litigating the exogenous event </w:t>
      </w:r>
      <w:r w:rsidR="00821323">
        <w:rPr>
          <w:rFonts w:eastAsia="Calibri"/>
          <w:sz w:val="26"/>
          <w:szCs w:val="26"/>
        </w:rPr>
        <w:t>issue</w:t>
      </w:r>
      <w:r w:rsidRPr="003470EA">
        <w:rPr>
          <w:rFonts w:eastAsia="Calibri"/>
          <w:sz w:val="26"/>
          <w:szCs w:val="26"/>
        </w:rPr>
        <w:t xml:space="preserve">.  The OCA highlights, </w:t>
      </w:r>
      <w:r w:rsidRPr="003470EA">
        <w:rPr>
          <w:rFonts w:eastAsia="Calibri"/>
          <w:i/>
          <w:iCs/>
          <w:sz w:val="26"/>
          <w:szCs w:val="26"/>
        </w:rPr>
        <w:t>inter alia</w:t>
      </w:r>
      <w:r w:rsidRPr="003470EA">
        <w:rPr>
          <w:rFonts w:eastAsia="Calibri"/>
          <w:sz w:val="26"/>
          <w:szCs w:val="26"/>
        </w:rPr>
        <w:t xml:space="preserve">, the testimony of both witnesses that any revenue reductions identified by litigation could be offset by the </w:t>
      </w:r>
      <w:r w:rsidR="00821323">
        <w:rPr>
          <w:rFonts w:eastAsia="Calibri"/>
          <w:sz w:val="26"/>
          <w:szCs w:val="26"/>
        </w:rPr>
        <w:t xml:space="preserve">revenue amounts that the Company has already deferred that are in its cumulative bank.  As such, the OCA </w:t>
      </w:r>
      <w:r w:rsidR="00DD20E5">
        <w:rPr>
          <w:rFonts w:eastAsia="Calibri"/>
          <w:sz w:val="26"/>
          <w:szCs w:val="26"/>
        </w:rPr>
        <w:t>reinforces its position</w:t>
      </w:r>
      <w:r w:rsidR="0031592D">
        <w:rPr>
          <w:rFonts w:eastAsia="Calibri"/>
          <w:sz w:val="26"/>
          <w:szCs w:val="26"/>
        </w:rPr>
        <w:t xml:space="preserve"> that</w:t>
      </w:r>
      <w:r w:rsidR="00821323">
        <w:rPr>
          <w:rFonts w:eastAsia="Calibri"/>
          <w:sz w:val="26"/>
          <w:szCs w:val="26"/>
        </w:rPr>
        <w:t xml:space="preserve"> </w:t>
      </w:r>
      <w:r w:rsidRPr="003470EA">
        <w:rPr>
          <w:rFonts w:eastAsia="Calibri"/>
          <w:sz w:val="26"/>
          <w:szCs w:val="26"/>
        </w:rPr>
        <w:t>the Settlement provides certain concessions and benefits in the form of rate stability which would not result from litigation.  OCA Exc. at 10</w:t>
      </w:r>
      <w:r w:rsidR="00CC309E">
        <w:rPr>
          <w:rFonts w:eastAsia="Calibri"/>
          <w:sz w:val="26"/>
          <w:szCs w:val="26"/>
        </w:rPr>
        <w:t>, 11-12</w:t>
      </w:r>
      <w:r w:rsidRPr="003470EA">
        <w:rPr>
          <w:rFonts w:eastAsia="Calibri"/>
          <w:sz w:val="26"/>
          <w:szCs w:val="26"/>
        </w:rPr>
        <w:t xml:space="preserve"> (citing OCA Verified Witness Statement at ¶¶</w:t>
      </w:r>
      <w:r w:rsidR="004A6737">
        <w:rPr>
          <w:rFonts w:eastAsia="Calibri"/>
          <w:sz w:val="26"/>
          <w:szCs w:val="26"/>
        </w:rPr>
        <w:t xml:space="preserve"> </w:t>
      </w:r>
      <w:r w:rsidRPr="003470EA">
        <w:rPr>
          <w:rFonts w:eastAsia="Calibri"/>
          <w:sz w:val="26"/>
          <w:szCs w:val="26"/>
        </w:rPr>
        <w:t>3, 18; OSBA Verified Witness Statement at ¶¶</w:t>
      </w:r>
      <w:r w:rsidR="004A6737">
        <w:rPr>
          <w:rFonts w:eastAsia="Calibri"/>
          <w:sz w:val="26"/>
          <w:szCs w:val="26"/>
        </w:rPr>
        <w:t xml:space="preserve"> </w:t>
      </w:r>
      <w:r w:rsidR="001F09C3">
        <w:rPr>
          <w:rFonts w:eastAsia="Calibri"/>
          <w:sz w:val="26"/>
          <w:szCs w:val="26"/>
        </w:rPr>
        <w:t>9</w:t>
      </w:r>
      <w:r w:rsidRPr="003470EA">
        <w:rPr>
          <w:rFonts w:eastAsia="Calibri"/>
          <w:sz w:val="26"/>
          <w:szCs w:val="26"/>
        </w:rPr>
        <w:t xml:space="preserve">-11).  </w:t>
      </w:r>
    </w:p>
    <w:p w14:paraId="61B70885" w14:textId="77777777" w:rsidR="003470EA" w:rsidRPr="003470EA" w:rsidRDefault="003470EA" w:rsidP="00217B05">
      <w:pPr>
        <w:widowControl/>
        <w:spacing w:line="360" w:lineRule="auto"/>
        <w:contextualSpacing/>
        <w:rPr>
          <w:rFonts w:eastAsia="Calibri"/>
          <w:sz w:val="26"/>
          <w:szCs w:val="26"/>
        </w:rPr>
      </w:pPr>
    </w:p>
    <w:p w14:paraId="45CEC762" w14:textId="5A0E05E9" w:rsidR="003470EA" w:rsidRPr="003470EA" w:rsidRDefault="00DD20E5" w:rsidP="00217B05">
      <w:pPr>
        <w:widowControl/>
        <w:spacing w:line="360" w:lineRule="auto"/>
        <w:ind w:firstLine="1440"/>
        <w:contextualSpacing/>
        <w:rPr>
          <w:rFonts w:eastAsia="Calibri"/>
          <w:sz w:val="26"/>
          <w:szCs w:val="26"/>
        </w:rPr>
      </w:pPr>
      <w:r>
        <w:rPr>
          <w:rFonts w:eastAsia="Calibri"/>
          <w:sz w:val="26"/>
          <w:szCs w:val="26"/>
        </w:rPr>
        <w:t>Additionally, the OCA</w:t>
      </w:r>
      <w:r w:rsidR="00821323">
        <w:rPr>
          <w:rFonts w:eastAsia="Calibri"/>
          <w:sz w:val="26"/>
          <w:szCs w:val="26"/>
        </w:rPr>
        <w:t xml:space="preserve"> </w:t>
      </w:r>
      <w:r w:rsidR="003470EA" w:rsidRPr="009E499B">
        <w:rPr>
          <w:rFonts w:eastAsia="Calibri"/>
          <w:sz w:val="26"/>
          <w:szCs w:val="26"/>
        </w:rPr>
        <w:t>echoes CenturyLink that the Company’s</w:t>
      </w:r>
      <w:r w:rsidR="003470EA" w:rsidRPr="003470EA">
        <w:rPr>
          <w:rFonts w:eastAsia="Calibri"/>
          <w:sz w:val="26"/>
          <w:szCs w:val="26"/>
        </w:rPr>
        <w:t xml:space="preserve"> commitment to forgo its banked revenues for three PSI/SPI filings is similar to its commitment to forgo banked revenues as a result of the settlement in </w:t>
      </w:r>
      <w:r w:rsidR="009E499B">
        <w:rPr>
          <w:rFonts w:eastAsia="Calibri"/>
          <w:i/>
          <w:iCs/>
          <w:sz w:val="26"/>
          <w:szCs w:val="26"/>
        </w:rPr>
        <w:t>Qwest</w:t>
      </w:r>
      <w:r w:rsidR="009E499B">
        <w:rPr>
          <w:rFonts w:eastAsia="Calibri"/>
          <w:sz w:val="26"/>
          <w:szCs w:val="26"/>
        </w:rPr>
        <w:t xml:space="preserve">.  </w:t>
      </w:r>
      <w:r w:rsidR="003470EA" w:rsidRPr="003470EA">
        <w:rPr>
          <w:rFonts w:eastAsia="Calibri"/>
          <w:sz w:val="26"/>
          <w:szCs w:val="26"/>
        </w:rPr>
        <w:t>Like CenturyLink, the OCA submits that the Commission should find that the same public interest benefits are present in the instant proceeding and should approve the Settlement.  OCA Exc. at 10-11</w:t>
      </w:r>
      <w:r w:rsidR="00D03735">
        <w:rPr>
          <w:rFonts w:eastAsia="Calibri"/>
          <w:sz w:val="26"/>
          <w:szCs w:val="26"/>
        </w:rPr>
        <w:t>, 12</w:t>
      </w:r>
      <w:r w:rsidR="003470EA" w:rsidRPr="003470EA">
        <w:rPr>
          <w:rFonts w:eastAsia="Calibri"/>
          <w:sz w:val="26"/>
          <w:szCs w:val="26"/>
        </w:rPr>
        <w:t xml:space="preserve">. </w:t>
      </w:r>
    </w:p>
    <w:p w14:paraId="28C3D81D" w14:textId="77777777" w:rsidR="003470EA" w:rsidRPr="003470EA" w:rsidRDefault="003470EA" w:rsidP="00217B05">
      <w:pPr>
        <w:widowControl/>
        <w:spacing w:line="360" w:lineRule="auto"/>
        <w:contextualSpacing/>
        <w:rPr>
          <w:rFonts w:eastAsia="Calibri"/>
          <w:sz w:val="26"/>
          <w:szCs w:val="26"/>
        </w:rPr>
      </w:pPr>
    </w:p>
    <w:p w14:paraId="4A89C4E4" w14:textId="103985E5" w:rsidR="00281B48" w:rsidRPr="00281B48" w:rsidRDefault="00281B48" w:rsidP="00217B05">
      <w:pPr>
        <w:widowControl/>
        <w:spacing w:line="360" w:lineRule="auto"/>
        <w:ind w:firstLine="1440"/>
        <w:contextualSpacing/>
        <w:rPr>
          <w:bCs/>
          <w:color w:val="000000"/>
          <w:spacing w:val="-1"/>
          <w:sz w:val="26"/>
          <w:szCs w:val="26"/>
        </w:rPr>
      </w:pPr>
      <w:r w:rsidRPr="00281B48">
        <w:rPr>
          <w:rFonts w:eastAsia="Calibri"/>
          <w:sz w:val="26"/>
          <w:szCs w:val="26"/>
        </w:rPr>
        <w:t xml:space="preserve">In its Exception No. 2, the OSBA </w:t>
      </w:r>
      <w:r w:rsidR="006C7516">
        <w:rPr>
          <w:rFonts w:eastAsia="Calibri"/>
          <w:sz w:val="26"/>
          <w:szCs w:val="26"/>
        </w:rPr>
        <w:t>joins</w:t>
      </w:r>
      <w:r w:rsidRPr="00281B48">
        <w:rPr>
          <w:rFonts w:eastAsia="Calibri"/>
          <w:sz w:val="26"/>
          <w:szCs w:val="26"/>
        </w:rPr>
        <w:t xml:space="preserve"> the Company and the OCA</w:t>
      </w:r>
      <w:r w:rsidR="007C3908">
        <w:rPr>
          <w:rFonts w:eastAsia="Calibri"/>
          <w:sz w:val="26"/>
          <w:szCs w:val="26"/>
        </w:rPr>
        <w:t xml:space="preserve"> in arguing</w:t>
      </w:r>
      <w:r w:rsidRPr="00281B48">
        <w:rPr>
          <w:rFonts w:eastAsia="Calibri"/>
          <w:sz w:val="26"/>
          <w:szCs w:val="26"/>
        </w:rPr>
        <w:t xml:space="preserve"> that the ALJs erroneously found that the Settlement </w:t>
      </w:r>
      <w:r w:rsidR="00C76569">
        <w:rPr>
          <w:bCs/>
          <w:color w:val="000000"/>
          <w:spacing w:val="-1"/>
          <w:sz w:val="26"/>
          <w:szCs w:val="26"/>
        </w:rPr>
        <w:t>i</w:t>
      </w:r>
      <w:r w:rsidRPr="00281B48">
        <w:rPr>
          <w:bCs/>
          <w:color w:val="000000"/>
          <w:spacing w:val="-1"/>
          <w:sz w:val="26"/>
          <w:szCs w:val="26"/>
        </w:rPr>
        <w:t>s not supported by substantial evidence to demonstrate that it was in the public interest.  The OSBA submits that while the electric, natural gas, and water utilities under the Commission’s jurisdiction were readily able to calculate the rate impact of the TCJA, this was because these utilities are subject to traditional ratemaking under Section 1308(d) of the Code and have detailed financial data at their disposal.  In contrast, the OSBA restates that because the ILECs are governed under Chapter 30 alternative regulation, which is a complete substitute for traditional rate base/rate of return regulation, detailed financial data is not as readily available for the ILECs as it is for traditional fixed utilities.  OSBA Exc. at 6-8.</w:t>
      </w:r>
    </w:p>
    <w:p w14:paraId="22532D35" w14:textId="77777777" w:rsidR="00281B48" w:rsidRPr="00281B48" w:rsidRDefault="00281B48" w:rsidP="00217B05">
      <w:pPr>
        <w:widowControl/>
        <w:spacing w:line="360" w:lineRule="auto"/>
        <w:ind w:firstLine="1440"/>
        <w:contextualSpacing/>
        <w:rPr>
          <w:bCs/>
          <w:color w:val="000000"/>
          <w:spacing w:val="-1"/>
          <w:sz w:val="26"/>
          <w:szCs w:val="26"/>
        </w:rPr>
      </w:pPr>
    </w:p>
    <w:p w14:paraId="6BF9FD94" w14:textId="09152F5B" w:rsidR="00281B48" w:rsidRPr="00281B48" w:rsidRDefault="00281B48" w:rsidP="00217B05">
      <w:pPr>
        <w:widowControl/>
        <w:spacing w:line="360" w:lineRule="auto"/>
        <w:ind w:firstLine="1440"/>
        <w:contextualSpacing/>
        <w:rPr>
          <w:bCs/>
          <w:color w:val="000000"/>
          <w:spacing w:val="-1"/>
          <w:sz w:val="26"/>
          <w:szCs w:val="26"/>
        </w:rPr>
      </w:pPr>
      <w:r w:rsidRPr="00281B48">
        <w:rPr>
          <w:bCs/>
          <w:color w:val="000000"/>
          <w:spacing w:val="-1"/>
          <w:sz w:val="26"/>
          <w:szCs w:val="26"/>
        </w:rPr>
        <w:t xml:space="preserve">Like the </w:t>
      </w:r>
      <w:r w:rsidR="00477E9D">
        <w:rPr>
          <w:bCs/>
          <w:color w:val="000000"/>
          <w:spacing w:val="-1"/>
          <w:sz w:val="26"/>
          <w:szCs w:val="26"/>
        </w:rPr>
        <w:t xml:space="preserve">Company and the </w:t>
      </w:r>
      <w:r w:rsidRPr="00281B48">
        <w:rPr>
          <w:bCs/>
          <w:color w:val="000000"/>
          <w:spacing w:val="-1"/>
          <w:sz w:val="26"/>
          <w:szCs w:val="26"/>
        </w:rPr>
        <w:t xml:space="preserve">OCA, the OSBA points to the testimony of its witness Mr. </w:t>
      </w:r>
      <w:proofErr w:type="spellStart"/>
      <w:r w:rsidRPr="00281B48">
        <w:rPr>
          <w:bCs/>
          <w:color w:val="000000"/>
          <w:spacing w:val="-1"/>
          <w:sz w:val="26"/>
          <w:szCs w:val="26"/>
        </w:rPr>
        <w:t>Gillan</w:t>
      </w:r>
      <w:proofErr w:type="spellEnd"/>
      <w:r w:rsidRPr="00281B48">
        <w:rPr>
          <w:bCs/>
          <w:color w:val="000000"/>
          <w:spacing w:val="-1"/>
          <w:sz w:val="26"/>
          <w:szCs w:val="26"/>
        </w:rPr>
        <w:t xml:space="preserve"> that because the regulatory tools needed to attribute a portion of the federal income tax reduction resulting from the TCJA to revenues from jurisdictionally intrastate services have been discarded over the past thirty-five years, a significant complicating factor in creating “substantial evidence” is the absence of reasonable cost allocation procedures that recognize contemporary technologies and market conditions.  Therefore, the OSBA insists that it is difficult to construct the “substantial evidence” that would appear to satisfy the ALJs and that it is impossible</w:t>
      </w:r>
      <w:r w:rsidR="00A122C2">
        <w:rPr>
          <w:bCs/>
          <w:color w:val="000000"/>
          <w:spacing w:val="-1"/>
          <w:sz w:val="26"/>
          <w:szCs w:val="26"/>
        </w:rPr>
        <w:t xml:space="preserve"> to</w:t>
      </w:r>
      <w:r w:rsidRPr="00281B48">
        <w:rPr>
          <w:bCs/>
          <w:color w:val="000000"/>
          <w:spacing w:val="-1"/>
          <w:sz w:val="26"/>
          <w:szCs w:val="26"/>
        </w:rPr>
        <w:t xml:space="preserve"> perform the type of TCJA impact analysis that was undertaken by traditional </w:t>
      </w:r>
      <w:r w:rsidR="00414A7C">
        <w:rPr>
          <w:bCs/>
          <w:color w:val="000000"/>
          <w:spacing w:val="-1"/>
          <w:sz w:val="26"/>
          <w:szCs w:val="26"/>
        </w:rPr>
        <w:t>rate base/</w:t>
      </w:r>
      <w:r w:rsidRPr="00281B48">
        <w:rPr>
          <w:bCs/>
          <w:color w:val="000000"/>
          <w:spacing w:val="-1"/>
          <w:sz w:val="26"/>
          <w:szCs w:val="26"/>
        </w:rPr>
        <w:t>rate-of-return utilities.  OSBA</w:t>
      </w:r>
      <w:r w:rsidR="004A6737">
        <w:rPr>
          <w:bCs/>
          <w:color w:val="000000"/>
          <w:spacing w:val="-1"/>
          <w:sz w:val="26"/>
          <w:szCs w:val="26"/>
        </w:rPr>
        <w:t> </w:t>
      </w:r>
      <w:r w:rsidRPr="00281B48">
        <w:rPr>
          <w:bCs/>
          <w:color w:val="000000"/>
          <w:spacing w:val="-1"/>
          <w:sz w:val="26"/>
          <w:szCs w:val="26"/>
        </w:rPr>
        <w:t>Exc. at 8-9</w:t>
      </w:r>
      <w:r w:rsidR="007C4409">
        <w:rPr>
          <w:bCs/>
          <w:color w:val="000000"/>
          <w:spacing w:val="-1"/>
          <w:sz w:val="26"/>
          <w:szCs w:val="26"/>
        </w:rPr>
        <w:t xml:space="preserve"> (citing OSBA Verified Witness Statement at 2, </w:t>
      </w:r>
      <w:r w:rsidR="002C1EDA">
        <w:rPr>
          <w:bCs/>
          <w:color w:val="000000"/>
          <w:spacing w:val="-1"/>
          <w:sz w:val="26"/>
          <w:szCs w:val="26"/>
        </w:rPr>
        <w:t>¶8 and 5, ¶20)</w:t>
      </w:r>
      <w:r w:rsidRPr="00281B48">
        <w:rPr>
          <w:bCs/>
          <w:color w:val="000000"/>
          <w:spacing w:val="-1"/>
          <w:sz w:val="26"/>
          <w:szCs w:val="26"/>
        </w:rPr>
        <w:t>.</w:t>
      </w:r>
    </w:p>
    <w:p w14:paraId="708200DD" w14:textId="77777777" w:rsidR="00281B48" w:rsidRPr="00281B48" w:rsidRDefault="00281B48" w:rsidP="00217B05">
      <w:pPr>
        <w:widowControl/>
        <w:spacing w:line="360" w:lineRule="auto"/>
        <w:ind w:firstLine="1440"/>
        <w:contextualSpacing/>
        <w:rPr>
          <w:bCs/>
          <w:color w:val="000000"/>
          <w:spacing w:val="-1"/>
          <w:sz w:val="26"/>
          <w:szCs w:val="26"/>
        </w:rPr>
      </w:pPr>
    </w:p>
    <w:p w14:paraId="4667FFEB" w14:textId="0CC66172" w:rsidR="00281B48" w:rsidRPr="00281B48" w:rsidRDefault="00281B48" w:rsidP="00217B05">
      <w:pPr>
        <w:widowControl/>
        <w:spacing w:line="360" w:lineRule="auto"/>
        <w:ind w:firstLine="1440"/>
        <w:contextualSpacing/>
        <w:rPr>
          <w:rFonts w:eastAsia="Calibri"/>
          <w:sz w:val="26"/>
          <w:szCs w:val="26"/>
        </w:rPr>
      </w:pPr>
      <w:r w:rsidRPr="00281B48">
        <w:rPr>
          <w:bCs/>
          <w:color w:val="000000"/>
          <w:spacing w:val="-1"/>
          <w:sz w:val="26"/>
          <w:szCs w:val="26"/>
        </w:rPr>
        <w:t xml:space="preserve">The OSBA asserts, however, that while Mr. </w:t>
      </w:r>
      <w:proofErr w:type="spellStart"/>
      <w:r w:rsidRPr="00281B48">
        <w:rPr>
          <w:bCs/>
          <w:color w:val="000000"/>
          <w:spacing w:val="-1"/>
          <w:sz w:val="26"/>
          <w:szCs w:val="26"/>
        </w:rPr>
        <w:t>Gillan</w:t>
      </w:r>
      <w:proofErr w:type="spellEnd"/>
      <w:r w:rsidRPr="00281B48">
        <w:rPr>
          <w:bCs/>
          <w:color w:val="000000"/>
          <w:spacing w:val="-1"/>
          <w:sz w:val="26"/>
          <w:szCs w:val="26"/>
        </w:rPr>
        <w:t xml:space="preserve"> explained</w:t>
      </w:r>
      <w:r w:rsidR="00D41E96">
        <w:rPr>
          <w:bCs/>
          <w:color w:val="000000"/>
          <w:spacing w:val="-1"/>
          <w:sz w:val="26"/>
          <w:szCs w:val="26"/>
        </w:rPr>
        <w:t>,</w:t>
      </w:r>
      <w:r w:rsidRPr="00281B48">
        <w:rPr>
          <w:bCs/>
          <w:color w:val="000000"/>
          <w:spacing w:val="-1"/>
          <w:sz w:val="26"/>
          <w:szCs w:val="26"/>
        </w:rPr>
        <w:t xml:space="preserve"> in detail</w:t>
      </w:r>
      <w:r w:rsidR="00D41E96">
        <w:rPr>
          <w:bCs/>
          <w:color w:val="000000"/>
          <w:spacing w:val="-1"/>
          <w:sz w:val="26"/>
          <w:szCs w:val="26"/>
        </w:rPr>
        <w:t>,</w:t>
      </w:r>
      <w:r w:rsidRPr="00281B48">
        <w:rPr>
          <w:bCs/>
          <w:color w:val="000000"/>
          <w:spacing w:val="-1"/>
          <w:sz w:val="26"/>
          <w:szCs w:val="26"/>
        </w:rPr>
        <w:t xml:space="preserve"> why the traditional tools to allocate income tax savings among different services no longer exist in </w:t>
      </w:r>
      <w:r w:rsidR="008A6DBF">
        <w:rPr>
          <w:bCs/>
          <w:color w:val="000000"/>
          <w:spacing w:val="-1"/>
          <w:sz w:val="26"/>
          <w:szCs w:val="26"/>
        </w:rPr>
        <w:t xml:space="preserve">the </w:t>
      </w:r>
      <w:r w:rsidRPr="00281B48">
        <w:rPr>
          <w:bCs/>
          <w:color w:val="000000"/>
          <w:spacing w:val="-1"/>
          <w:sz w:val="26"/>
          <w:szCs w:val="26"/>
        </w:rPr>
        <w:t>telecommunications</w:t>
      </w:r>
      <w:r w:rsidR="008A6DBF">
        <w:rPr>
          <w:bCs/>
          <w:color w:val="000000"/>
          <w:spacing w:val="-1"/>
          <w:sz w:val="26"/>
          <w:szCs w:val="26"/>
        </w:rPr>
        <w:t xml:space="preserve"> industry</w:t>
      </w:r>
      <w:r w:rsidRPr="00281B48">
        <w:rPr>
          <w:bCs/>
          <w:color w:val="000000"/>
          <w:spacing w:val="-1"/>
          <w:sz w:val="26"/>
          <w:szCs w:val="26"/>
        </w:rPr>
        <w:t xml:space="preserve">, he also provided a good faith estimate, which he claimed, was a reasonable allocation to determine whether the magnitude of the concession CenturyLink made in eliminating approximately $1.4 </w:t>
      </w:r>
      <w:r w:rsidR="004F3D38">
        <w:rPr>
          <w:bCs/>
          <w:color w:val="000000"/>
          <w:spacing w:val="-1"/>
          <w:sz w:val="26"/>
          <w:szCs w:val="26"/>
        </w:rPr>
        <w:t>Million</w:t>
      </w:r>
      <w:r w:rsidRPr="00281B48">
        <w:rPr>
          <w:bCs/>
          <w:color w:val="000000"/>
          <w:spacing w:val="-1"/>
          <w:sz w:val="26"/>
          <w:szCs w:val="26"/>
        </w:rPr>
        <w:t xml:space="preserve"> in banked revenues is relatively close to the value of the reduction in federal taxes.  OSBA Exc. at 9 (citing OSBA Verified Witness Statement at ¶¶</w:t>
      </w:r>
      <w:r w:rsidR="004A6737">
        <w:rPr>
          <w:bCs/>
          <w:color w:val="000000"/>
          <w:spacing w:val="-1"/>
          <w:sz w:val="26"/>
          <w:szCs w:val="26"/>
        </w:rPr>
        <w:t xml:space="preserve"> </w:t>
      </w:r>
      <w:r w:rsidRPr="00281B48">
        <w:rPr>
          <w:bCs/>
          <w:color w:val="000000"/>
          <w:spacing w:val="-1"/>
          <w:sz w:val="26"/>
          <w:szCs w:val="26"/>
        </w:rPr>
        <w:t>23-24</w:t>
      </w:r>
      <w:r w:rsidR="00C54148">
        <w:rPr>
          <w:bCs/>
          <w:color w:val="000000"/>
          <w:spacing w:val="-1"/>
          <w:sz w:val="26"/>
          <w:szCs w:val="26"/>
        </w:rPr>
        <w:t>)</w:t>
      </w:r>
      <w:r w:rsidRPr="00281B48">
        <w:rPr>
          <w:bCs/>
          <w:color w:val="000000"/>
          <w:spacing w:val="-1"/>
          <w:sz w:val="26"/>
          <w:szCs w:val="26"/>
        </w:rPr>
        <w:t xml:space="preserve">.  According to the OSBA, while the ALJs pointed to this estimate as evidence that an analysis is possible, they overlooked that this evidence demonstrates that the Settlement is in the public interest.  </w:t>
      </w:r>
      <w:r w:rsidRPr="00281B48">
        <w:rPr>
          <w:rFonts w:eastAsia="Calibri"/>
          <w:sz w:val="26"/>
          <w:szCs w:val="26"/>
        </w:rPr>
        <w:t xml:space="preserve">The OSBA insists that Mr. </w:t>
      </w:r>
      <w:proofErr w:type="spellStart"/>
      <w:r w:rsidRPr="00281B48">
        <w:rPr>
          <w:rFonts w:eastAsia="Calibri"/>
          <w:sz w:val="26"/>
          <w:szCs w:val="26"/>
        </w:rPr>
        <w:t>Gillan</w:t>
      </w:r>
      <w:proofErr w:type="spellEnd"/>
      <w:r w:rsidRPr="00281B48">
        <w:rPr>
          <w:rFonts w:eastAsia="Calibri"/>
          <w:sz w:val="26"/>
          <w:szCs w:val="26"/>
        </w:rPr>
        <w:t xml:space="preserve"> has produced the best estimate available regarding the impact of the TCJA and that continued litigation is not likely to produce a different result.  As such, the OSBA asserts that the Commission should reverse the decision of the ALJs and </w:t>
      </w:r>
      <w:r w:rsidR="007A5062">
        <w:rPr>
          <w:rFonts w:eastAsia="Calibri"/>
          <w:sz w:val="26"/>
          <w:szCs w:val="26"/>
        </w:rPr>
        <w:t xml:space="preserve">should </w:t>
      </w:r>
      <w:r w:rsidRPr="00281B48">
        <w:rPr>
          <w:rFonts w:eastAsia="Calibri"/>
          <w:sz w:val="26"/>
          <w:szCs w:val="26"/>
        </w:rPr>
        <w:t>approve the Settlement.  OSBA Exc. at 9-10.</w:t>
      </w:r>
    </w:p>
    <w:p w14:paraId="0987A8F1" w14:textId="77777777" w:rsidR="004E72D6" w:rsidRDefault="004E72D6" w:rsidP="00217B05">
      <w:pPr>
        <w:widowControl/>
        <w:spacing w:line="360" w:lineRule="auto"/>
        <w:contextualSpacing/>
        <w:rPr>
          <w:rStyle w:val="Hyperlink"/>
          <w:color w:val="auto"/>
          <w:sz w:val="26"/>
          <w:szCs w:val="26"/>
          <w:u w:val="none"/>
        </w:rPr>
      </w:pPr>
    </w:p>
    <w:p w14:paraId="3468D37C" w14:textId="77777777" w:rsidR="004E72D6" w:rsidRDefault="004E72D6" w:rsidP="00217B05">
      <w:pPr>
        <w:pStyle w:val="Heading4"/>
        <w:keepNext/>
        <w:keepLines/>
        <w:numPr>
          <w:ilvl w:val="0"/>
          <w:numId w:val="41"/>
        </w:numPr>
        <w:spacing w:before="0" w:beforeAutospacing="0" w:after="0" w:afterAutospacing="0" w:line="360" w:lineRule="auto"/>
        <w:ind w:left="2160" w:hanging="720"/>
        <w:contextualSpacing/>
        <w:rPr>
          <w:rStyle w:val="Hyperlink"/>
          <w:color w:val="auto"/>
          <w:sz w:val="26"/>
          <w:szCs w:val="26"/>
          <w:u w:val="none"/>
        </w:rPr>
      </w:pPr>
      <w:r>
        <w:rPr>
          <w:rStyle w:val="Hyperlink"/>
          <w:color w:val="auto"/>
          <w:sz w:val="26"/>
          <w:szCs w:val="26"/>
          <w:u w:val="none"/>
        </w:rPr>
        <w:t>Disposition</w:t>
      </w:r>
    </w:p>
    <w:p w14:paraId="3485FCC9" w14:textId="77777777" w:rsidR="004E72D6" w:rsidRDefault="004E72D6" w:rsidP="00217B05">
      <w:pPr>
        <w:keepNext/>
        <w:keepLines/>
        <w:widowControl/>
        <w:spacing w:line="360" w:lineRule="auto"/>
        <w:contextualSpacing/>
        <w:rPr>
          <w:rStyle w:val="Hyperlink"/>
          <w:color w:val="auto"/>
          <w:sz w:val="26"/>
          <w:szCs w:val="26"/>
          <w:u w:val="none"/>
        </w:rPr>
      </w:pPr>
    </w:p>
    <w:p w14:paraId="2E8AAFAC" w14:textId="47D3EC84" w:rsidR="007534C8" w:rsidRPr="007534C8" w:rsidRDefault="007534C8" w:rsidP="00217B05">
      <w:pPr>
        <w:widowControl/>
        <w:spacing w:line="360" w:lineRule="auto"/>
        <w:ind w:firstLine="1440"/>
        <w:contextualSpacing/>
        <w:rPr>
          <w:rFonts w:eastAsia="Calibri"/>
          <w:sz w:val="26"/>
          <w:szCs w:val="26"/>
        </w:rPr>
      </w:pPr>
      <w:r w:rsidRPr="007534C8">
        <w:rPr>
          <w:rFonts w:eastAsia="Calibri"/>
          <w:sz w:val="26"/>
          <w:szCs w:val="26"/>
        </w:rPr>
        <w:t xml:space="preserve">On review, we shall reverse the ALJs’ recommendation and approve the Settlement.  As an initial matter, we concur with the Joint Petitioners that in recommending that this proceeding be remanded to the OALJ such that the Parties must develop a record and litigate their respective positions on the qualification and quantification of the </w:t>
      </w:r>
      <w:r w:rsidR="00F24421">
        <w:rPr>
          <w:rFonts w:eastAsia="Calibri"/>
          <w:sz w:val="26"/>
          <w:szCs w:val="26"/>
        </w:rPr>
        <w:t>impact of the TCJA’s passage</w:t>
      </w:r>
      <w:r w:rsidRPr="007534C8">
        <w:rPr>
          <w:rFonts w:eastAsia="Calibri"/>
          <w:sz w:val="26"/>
          <w:szCs w:val="26"/>
        </w:rPr>
        <w:t xml:space="preserve"> on CenturyLink</w:t>
      </w:r>
      <w:r w:rsidR="000E5331">
        <w:rPr>
          <w:rFonts w:eastAsia="Calibri"/>
          <w:sz w:val="26"/>
          <w:szCs w:val="26"/>
        </w:rPr>
        <w:t>’s rates</w:t>
      </w:r>
      <w:r w:rsidRPr="007534C8">
        <w:rPr>
          <w:rFonts w:eastAsia="Calibri"/>
          <w:sz w:val="26"/>
          <w:szCs w:val="26"/>
        </w:rPr>
        <w:t xml:space="preserve">, the ALJs have created new standards upon which a settlement must be evaluated.  As CenturyLink observes, if this standard were to be adopted, the Joint Petitioners would not be accorded an opportunity to agree to disagree on the legal issue of whether the TCJA qualifies as an exogenous event.  In short, such a standard would run contrary to the very nature of a settlement, which reflects a compromise among the settling parties.  We have determined above that our </w:t>
      </w:r>
      <w:r w:rsidRPr="007534C8">
        <w:rPr>
          <w:rFonts w:eastAsia="Calibri"/>
          <w:i/>
          <w:iCs/>
          <w:sz w:val="26"/>
          <w:szCs w:val="26"/>
        </w:rPr>
        <w:t xml:space="preserve">October 2018 Order </w:t>
      </w:r>
      <w:r w:rsidRPr="007534C8">
        <w:rPr>
          <w:rFonts w:eastAsia="Calibri"/>
          <w:sz w:val="26"/>
          <w:szCs w:val="26"/>
        </w:rPr>
        <w:t xml:space="preserve">did not preclude settlement agreements in the individual ILEC PSI/SPI filings made after the passage of the TCJA.  In turn, the </w:t>
      </w:r>
      <w:r w:rsidRPr="007534C8">
        <w:rPr>
          <w:rFonts w:eastAsia="Calibri"/>
          <w:i/>
          <w:iCs/>
          <w:sz w:val="26"/>
          <w:szCs w:val="26"/>
        </w:rPr>
        <w:t>October</w:t>
      </w:r>
      <w:r w:rsidR="00F70A9D">
        <w:rPr>
          <w:rFonts w:eastAsia="Calibri"/>
          <w:i/>
          <w:iCs/>
          <w:sz w:val="26"/>
          <w:szCs w:val="26"/>
        </w:rPr>
        <w:t> </w:t>
      </w:r>
      <w:r w:rsidRPr="007534C8">
        <w:rPr>
          <w:rFonts w:eastAsia="Calibri"/>
          <w:i/>
          <w:iCs/>
          <w:sz w:val="26"/>
          <w:szCs w:val="26"/>
        </w:rPr>
        <w:t xml:space="preserve">2018 Order </w:t>
      </w:r>
      <w:r w:rsidRPr="007534C8">
        <w:rPr>
          <w:rFonts w:eastAsia="Calibri"/>
          <w:sz w:val="26"/>
          <w:szCs w:val="26"/>
        </w:rPr>
        <w:t xml:space="preserve">does not override our ability to review this current Settlement on its merits.  On review of the Settlement, we are of the opinion that contrary to the ALJs’ conclusions, the proposed Settlement is one that balances the concerns of all Parties involved and is in the public interest.  </w:t>
      </w:r>
    </w:p>
    <w:p w14:paraId="133F8277" w14:textId="20D80E86" w:rsidR="004E72D6" w:rsidRDefault="004E72D6" w:rsidP="00217B05">
      <w:pPr>
        <w:widowControl/>
        <w:spacing w:line="360" w:lineRule="auto"/>
        <w:ind w:firstLine="1440"/>
        <w:contextualSpacing/>
        <w:rPr>
          <w:rStyle w:val="Hyperlink"/>
          <w:color w:val="auto"/>
          <w:sz w:val="26"/>
          <w:szCs w:val="26"/>
          <w:u w:val="none"/>
        </w:rPr>
      </w:pPr>
    </w:p>
    <w:p w14:paraId="65DF82B9" w14:textId="642AFDA3" w:rsidR="00B939B0" w:rsidRPr="00B939B0" w:rsidRDefault="00B939B0" w:rsidP="00217B05">
      <w:pPr>
        <w:widowControl/>
        <w:spacing w:line="360" w:lineRule="auto"/>
        <w:ind w:firstLine="1440"/>
        <w:contextualSpacing/>
        <w:rPr>
          <w:rFonts w:eastAsia="Calibri"/>
          <w:sz w:val="26"/>
          <w:szCs w:val="26"/>
        </w:rPr>
      </w:pPr>
      <w:r w:rsidRPr="00B939B0">
        <w:rPr>
          <w:rFonts w:eastAsia="Calibri"/>
          <w:sz w:val="26"/>
          <w:szCs w:val="26"/>
        </w:rPr>
        <w:t xml:space="preserve">Namely, we echo the Joint Petitioners that there are a number of settled issues within the Settlement that are beneficial to CenturyLink’s ratepayers.  First, we note the Company </w:t>
      </w:r>
      <w:r w:rsidR="00240617">
        <w:rPr>
          <w:rFonts w:eastAsia="Calibri"/>
          <w:sz w:val="26"/>
          <w:szCs w:val="26"/>
        </w:rPr>
        <w:t xml:space="preserve">agreed </w:t>
      </w:r>
      <w:r w:rsidRPr="00B939B0">
        <w:rPr>
          <w:rFonts w:eastAsia="Calibri"/>
          <w:sz w:val="26"/>
          <w:szCs w:val="26"/>
        </w:rPr>
        <w:t xml:space="preserve">not to raise rates under its 2020 PSI/SPI Filing, and </w:t>
      </w:r>
      <w:r w:rsidR="006F3ED7">
        <w:rPr>
          <w:rFonts w:eastAsia="Calibri"/>
          <w:sz w:val="26"/>
          <w:szCs w:val="26"/>
        </w:rPr>
        <w:t xml:space="preserve">also </w:t>
      </w:r>
      <w:r w:rsidR="00240617">
        <w:rPr>
          <w:rFonts w:eastAsia="Calibri"/>
          <w:sz w:val="26"/>
          <w:szCs w:val="26"/>
        </w:rPr>
        <w:t>agreed</w:t>
      </w:r>
      <w:r w:rsidRPr="00B939B0">
        <w:rPr>
          <w:rFonts w:eastAsia="Calibri"/>
          <w:sz w:val="26"/>
          <w:szCs w:val="26"/>
        </w:rPr>
        <w:t xml:space="preserve"> to eliminate from its cumulative bank the annual noncompetitive revenue increase amounts authorized under its 2018, 2019, and 2020 PSI/SPI Filings.  Although we acknowledge the veracity of the ALJs’ statement that agreeing not to increase rates is not the same as providing a reduction or credit, such as the fixed utilities governed under traditional rate base/rate or return regulation have done, we find no violation of the public interest as a result of the Joint Petitioners’ approach under the Settlement.  </w:t>
      </w:r>
    </w:p>
    <w:p w14:paraId="4AA6EA91" w14:textId="77777777" w:rsidR="00B939B0" w:rsidRPr="00B939B0" w:rsidRDefault="00B939B0" w:rsidP="00217B05">
      <w:pPr>
        <w:widowControl/>
        <w:spacing w:line="360" w:lineRule="auto"/>
        <w:ind w:firstLine="1440"/>
        <w:contextualSpacing/>
        <w:rPr>
          <w:rFonts w:eastAsia="Calibri"/>
          <w:sz w:val="26"/>
          <w:szCs w:val="26"/>
        </w:rPr>
      </w:pPr>
    </w:p>
    <w:p w14:paraId="0081A415" w14:textId="77777777" w:rsidR="00B939B0" w:rsidRPr="00B939B0" w:rsidRDefault="00B939B0" w:rsidP="00217B05">
      <w:pPr>
        <w:widowControl/>
        <w:spacing w:line="360" w:lineRule="auto"/>
        <w:ind w:firstLine="1440"/>
        <w:contextualSpacing/>
        <w:rPr>
          <w:rFonts w:eastAsia="Calibri"/>
          <w:sz w:val="26"/>
          <w:szCs w:val="26"/>
        </w:rPr>
      </w:pPr>
      <w:r w:rsidRPr="00B939B0">
        <w:rPr>
          <w:rFonts w:eastAsia="Calibri"/>
          <w:sz w:val="26"/>
          <w:szCs w:val="26"/>
        </w:rPr>
        <w:t xml:space="preserve">As each Joint Petitioner has articulated, CenturyLink is governed under Chapter 30 price cap alternative regulation.  This represents a complete substitute for traditional rate base/rate of return regulation in Pennsylvania for the subset of intrastate noncompetitive services within CenturyLink’s price cap model.  Therefore, the Company’s rates are not cost-based, but are instead tied to the overall inflation factor as measured by the percent change in the GDP-PI from year to year.  </w:t>
      </w:r>
      <w:r w:rsidRPr="00B939B0">
        <w:rPr>
          <w:rFonts w:eastAsia="Calibri"/>
          <w:i/>
          <w:iCs/>
          <w:sz w:val="26"/>
          <w:szCs w:val="26"/>
        </w:rPr>
        <w:t xml:space="preserve">See </w:t>
      </w:r>
      <w:r w:rsidRPr="00B939B0">
        <w:rPr>
          <w:rFonts w:eastAsia="Calibri"/>
          <w:sz w:val="26"/>
          <w:szCs w:val="26"/>
        </w:rPr>
        <w:t xml:space="preserve">CenturyLink Verified Witness Statement at 4-5; OCA Statement in Support at 3; OSBA Verified Witness Statement at 5-6.  </w:t>
      </w:r>
    </w:p>
    <w:p w14:paraId="08806038" w14:textId="77777777" w:rsidR="00B939B0" w:rsidRPr="00B939B0" w:rsidRDefault="00B939B0" w:rsidP="00217B05">
      <w:pPr>
        <w:widowControl/>
        <w:spacing w:line="360" w:lineRule="auto"/>
        <w:ind w:firstLine="1440"/>
        <w:contextualSpacing/>
        <w:rPr>
          <w:rFonts w:eastAsia="Calibri"/>
          <w:sz w:val="26"/>
          <w:szCs w:val="26"/>
        </w:rPr>
      </w:pPr>
    </w:p>
    <w:p w14:paraId="3FF80CBA" w14:textId="77777777" w:rsidR="00B939B0" w:rsidRPr="00B939B0" w:rsidRDefault="00B939B0" w:rsidP="00217B05">
      <w:pPr>
        <w:widowControl/>
        <w:spacing w:line="360" w:lineRule="auto"/>
        <w:ind w:firstLine="1440"/>
        <w:contextualSpacing/>
        <w:rPr>
          <w:rFonts w:eastAsia="Calibri"/>
          <w:sz w:val="26"/>
          <w:szCs w:val="26"/>
        </w:rPr>
      </w:pPr>
      <w:r w:rsidRPr="00B939B0">
        <w:rPr>
          <w:rFonts w:eastAsia="Calibri"/>
          <w:sz w:val="26"/>
          <w:szCs w:val="26"/>
        </w:rPr>
        <w:t xml:space="preserve">Accordingly, as the Joint Petitioners note, given the changes in regulation of the telecommunications industry at both the federal and state levels, CenturyLink’s financial and regulatory accounting framework is not set up to support traditional rate base/rate of return type inquiries.  For example, the Company has been granted reduced reporting requirements under Section 3015(g) of Chapter 30.  Section 3015(g) restricts, in pertinent part, the Commission’s filing and audit requirements for CenturyLink to: </w:t>
      </w:r>
    </w:p>
    <w:p w14:paraId="2A0D0C62" w14:textId="77777777" w:rsidR="00B939B0" w:rsidRPr="00B939B0" w:rsidRDefault="00B939B0" w:rsidP="004A6737">
      <w:pPr>
        <w:widowControl/>
        <w:ind w:firstLine="1440"/>
        <w:contextualSpacing/>
        <w:rPr>
          <w:rFonts w:eastAsia="Calibri"/>
          <w:sz w:val="26"/>
          <w:szCs w:val="26"/>
        </w:rPr>
      </w:pPr>
    </w:p>
    <w:p w14:paraId="51A0CE70" w14:textId="0C967A72" w:rsidR="00B939B0" w:rsidRPr="00B939B0" w:rsidRDefault="00B939B0" w:rsidP="00DF4E53">
      <w:pPr>
        <w:widowControl/>
        <w:ind w:left="2160" w:right="1440" w:hanging="720"/>
        <w:contextualSpacing/>
        <w:rPr>
          <w:rFonts w:eastAsia="Calibri"/>
          <w:sz w:val="26"/>
          <w:szCs w:val="26"/>
        </w:rPr>
      </w:pPr>
      <w:r w:rsidRPr="00B939B0">
        <w:rPr>
          <w:rFonts w:eastAsia="Calibri"/>
          <w:sz w:val="26"/>
          <w:szCs w:val="26"/>
        </w:rPr>
        <w:t xml:space="preserve">(2) </w:t>
      </w:r>
      <w:r w:rsidR="00DF4E53">
        <w:rPr>
          <w:rFonts w:eastAsia="Calibri"/>
          <w:sz w:val="26"/>
          <w:szCs w:val="26"/>
        </w:rPr>
        <w:tab/>
      </w:r>
      <w:r w:rsidRPr="00B939B0">
        <w:rPr>
          <w:rFonts w:eastAsia="Calibri"/>
          <w:sz w:val="26"/>
          <w:szCs w:val="26"/>
        </w:rPr>
        <w:t>An annual financial report consisting of a balance sheet and income statement.</w:t>
      </w:r>
    </w:p>
    <w:p w14:paraId="211C796E" w14:textId="77777777" w:rsidR="00B939B0" w:rsidRPr="00B939B0" w:rsidRDefault="00B939B0" w:rsidP="00DF4E53">
      <w:pPr>
        <w:widowControl/>
        <w:ind w:left="2160" w:right="1440" w:hanging="720"/>
        <w:contextualSpacing/>
        <w:rPr>
          <w:rFonts w:eastAsia="Calibri"/>
          <w:sz w:val="26"/>
          <w:szCs w:val="26"/>
        </w:rPr>
      </w:pPr>
    </w:p>
    <w:p w14:paraId="5C6B2329" w14:textId="77777777" w:rsidR="00B939B0" w:rsidRPr="00B939B0" w:rsidRDefault="00B939B0" w:rsidP="004A6737">
      <w:pPr>
        <w:widowControl/>
        <w:kinsoku w:val="0"/>
        <w:overflowPunct w:val="0"/>
        <w:spacing w:before="285"/>
        <w:ind w:left="1440" w:right="1440"/>
        <w:contextualSpacing/>
        <w:jc w:val="center"/>
        <w:textAlignment w:val="baseline"/>
        <w:rPr>
          <w:spacing w:val="25"/>
          <w:sz w:val="26"/>
          <w:szCs w:val="26"/>
        </w:rPr>
      </w:pPr>
      <w:r w:rsidRPr="00B939B0">
        <w:rPr>
          <w:spacing w:val="25"/>
          <w:sz w:val="26"/>
          <w:szCs w:val="26"/>
        </w:rPr>
        <w:t>*</w:t>
      </w:r>
      <w:r w:rsidRPr="00B939B0">
        <w:rPr>
          <w:spacing w:val="25"/>
          <w:sz w:val="26"/>
          <w:szCs w:val="26"/>
        </w:rPr>
        <w:tab/>
        <w:t>*</w:t>
      </w:r>
      <w:r w:rsidRPr="00B939B0">
        <w:rPr>
          <w:spacing w:val="25"/>
          <w:sz w:val="26"/>
          <w:szCs w:val="26"/>
        </w:rPr>
        <w:tab/>
        <w:t>*</w:t>
      </w:r>
    </w:p>
    <w:p w14:paraId="1530D090" w14:textId="77777777" w:rsidR="00B939B0" w:rsidRPr="00B939B0" w:rsidRDefault="00B939B0" w:rsidP="00DF4E53">
      <w:pPr>
        <w:widowControl/>
        <w:ind w:left="2160" w:right="1440" w:hanging="720"/>
        <w:contextualSpacing/>
        <w:rPr>
          <w:rFonts w:eastAsia="Calibri"/>
          <w:sz w:val="26"/>
          <w:szCs w:val="26"/>
        </w:rPr>
      </w:pPr>
    </w:p>
    <w:p w14:paraId="0CBDD0AC" w14:textId="03E43199" w:rsidR="00B939B0" w:rsidRPr="00B939B0" w:rsidRDefault="00B939B0" w:rsidP="00DF4E53">
      <w:pPr>
        <w:widowControl/>
        <w:ind w:left="2160" w:right="1440" w:hanging="720"/>
        <w:contextualSpacing/>
        <w:rPr>
          <w:rFonts w:eastAsia="Calibri"/>
          <w:sz w:val="26"/>
          <w:szCs w:val="26"/>
        </w:rPr>
      </w:pPr>
      <w:r w:rsidRPr="00B939B0">
        <w:rPr>
          <w:rFonts w:eastAsia="Calibri"/>
          <w:sz w:val="26"/>
          <w:szCs w:val="26"/>
        </w:rPr>
        <w:t xml:space="preserve">(6) </w:t>
      </w:r>
      <w:r w:rsidR="00DF4E53">
        <w:rPr>
          <w:rFonts w:eastAsia="Calibri"/>
          <w:sz w:val="26"/>
          <w:szCs w:val="26"/>
        </w:rPr>
        <w:tab/>
      </w:r>
      <w:r w:rsidRPr="00B939B0">
        <w:rPr>
          <w:rFonts w:eastAsia="Calibri"/>
          <w:sz w:val="26"/>
          <w:szCs w:val="26"/>
        </w:rPr>
        <w:t>An annual access line report.</w:t>
      </w:r>
    </w:p>
    <w:p w14:paraId="68FB1E57" w14:textId="77777777" w:rsidR="00B939B0" w:rsidRPr="00B939B0" w:rsidRDefault="00B939B0" w:rsidP="00DF4E53">
      <w:pPr>
        <w:widowControl/>
        <w:ind w:left="2160" w:right="1440" w:hanging="720"/>
        <w:contextualSpacing/>
        <w:rPr>
          <w:rFonts w:eastAsia="Calibri"/>
          <w:sz w:val="26"/>
          <w:szCs w:val="26"/>
        </w:rPr>
      </w:pPr>
    </w:p>
    <w:p w14:paraId="04C7D0DE" w14:textId="644F6750" w:rsidR="00B939B0" w:rsidRPr="00B939B0" w:rsidRDefault="00B939B0" w:rsidP="00DF4E53">
      <w:pPr>
        <w:widowControl/>
        <w:ind w:left="2160" w:right="1440" w:hanging="720"/>
        <w:contextualSpacing/>
        <w:rPr>
          <w:rFonts w:eastAsia="Calibri"/>
          <w:sz w:val="26"/>
          <w:szCs w:val="26"/>
        </w:rPr>
      </w:pPr>
      <w:r w:rsidRPr="00B939B0">
        <w:rPr>
          <w:rFonts w:eastAsia="Calibri"/>
          <w:sz w:val="26"/>
          <w:szCs w:val="26"/>
        </w:rPr>
        <w:t xml:space="preserve">(7) </w:t>
      </w:r>
      <w:r w:rsidR="00DF4E53">
        <w:rPr>
          <w:rFonts w:eastAsia="Calibri"/>
          <w:sz w:val="26"/>
          <w:szCs w:val="26"/>
        </w:rPr>
        <w:tab/>
      </w:r>
      <w:r w:rsidRPr="00B939B0">
        <w:rPr>
          <w:rFonts w:eastAsia="Calibri"/>
          <w:sz w:val="26"/>
          <w:szCs w:val="26"/>
        </w:rPr>
        <w:t>An annual statement of gross intrastate operating revenues for purposes of calculating assessments for regulatory expenses.</w:t>
      </w:r>
    </w:p>
    <w:p w14:paraId="00A47F49" w14:textId="77777777" w:rsidR="00B939B0" w:rsidRPr="00B939B0" w:rsidRDefault="00B939B0" w:rsidP="00217B05">
      <w:pPr>
        <w:widowControl/>
        <w:spacing w:line="360" w:lineRule="auto"/>
        <w:ind w:firstLine="1440"/>
        <w:contextualSpacing/>
        <w:rPr>
          <w:rFonts w:eastAsia="Calibri"/>
          <w:sz w:val="26"/>
          <w:szCs w:val="26"/>
        </w:rPr>
      </w:pPr>
    </w:p>
    <w:p w14:paraId="41B3D48F" w14:textId="2BAB28F3" w:rsidR="00B939B0" w:rsidRPr="00B939B0" w:rsidRDefault="00B939B0" w:rsidP="00217B05">
      <w:pPr>
        <w:widowControl/>
        <w:spacing w:line="360" w:lineRule="auto"/>
        <w:contextualSpacing/>
        <w:rPr>
          <w:rFonts w:eastAsia="Calibri"/>
          <w:sz w:val="26"/>
          <w:szCs w:val="26"/>
        </w:rPr>
      </w:pPr>
      <w:r w:rsidRPr="00B939B0">
        <w:rPr>
          <w:rFonts w:eastAsia="Calibri"/>
          <w:sz w:val="26"/>
          <w:szCs w:val="26"/>
        </w:rPr>
        <w:t xml:space="preserve">66 Pa. C.S. § 3015(g).  </w:t>
      </w:r>
      <w:r w:rsidRPr="00B939B0">
        <w:rPr>
          <w:rFonts w:eastAsia="Calibri"/>
          <w:i/>
          <w:iCs/>
          <w:sz w:val="26"/>
          <w:szCs w:val="26"/>
        </w:rPr>
        <w:t>See also</w:t>
      </w:r>
      <w:r w:rsidR="004A6737" w:rsidRPr="004A6737">
        <w:rPr>
          <w:rFonts w:eastAsia="Calibri"/>
          <w:sz w:val="26"/>
          <w:szCs w:val="26"/>
        </w:rPr>
        <w:t xml:space="preserve">, </w:t>
      </w:r>
      <w:r w:rsidRPr="00B939B0">
        <w:rPr>
          <w:rFonts w:eastAsia="Calibri"/>
          <w:sz w:val="26"/>
          <w:szCs w:val="26"/>
        </w:rPr>
        <w:t>OCA Exc. at 11-12.  Thus, as the Joint Petitioners note, CenturyLink, and other ILEC</w:t>
      </w:r>
      <w:r w:rsidR="004D6D56">
        <w:rPr>
          <w:rFonts w:eastAsia="Calibri"/>
          <w:sz w:val="26"/>
          <w:szCs w:val="26"/>
        </w:rPr>
        <w:t>s</w:t>
      </w:r>
      <w:r w:rsidRPr="00B939B0">
        <w:rPr>
          <w:rFonts w:eastAsia="Calibri"/>
          <w:sz w:val="26"/>
          <w:szCs w:val="26"/>
        </w:rPr>
        <w:t>, do not have the detailed and readily financial information that other fixed utilities have</w:t>
      </w:r>
      <w:r w:rsidR="00387DFB">
        <w:rPr>
          <w:rFonts w:eastAsia="Calibri"/>
          <w:sz w:val="26"/>
          <w:szCs w:val="26"/>
        </w:rPr>
        <w:t>,</w:t>
      </w:r>
      <w:r w:rsidRPr="00B939B0">
        <w:rPr>
          <w:rFonts w:eastAsia="Calibri"/>
          <w:sz w:val="26"/>
          <w:szCs w:val="26"/>
        </w:rPr>
        <w:t xml:space="preserve"> because Chapter 30 does not require ILECs to report financial information at such a detailed level.  As a result, we concur with CenturyLink and the OCA that the ALJs’ finding that CenturyLink could have kept sufficient records since the passage of Chapter 30 is inapposite.</w:t>
      </w:r>
    </w:p>
    <w:p w14:paraId="2AEE3EE7" w14:textId="77777777" w:rsidR="00B939B0" w:rsidRPr="00B939B0" w:rsidRDefault="00B939B0" w:rsidP="00217B05">
      <w:pPr>
        <w:widowControl/>
        <w:spacing w:line="360" w:lineRule="auto"/>
        <w:contextualSpacing/>
        <w:rPr>
          <w:rFonts w:eastAsia="Calibri"/>
          <w:sz w:val="26"/>
          <w:szCs w:val="26"/>
        </w:rPr>
      </w:pPr>
    </w:p>
    <w:p w14:paraId="1BB1EF17" w14:textId="6F1C3309" w:rsidR="001732C3" w:rsidRDefault="00B939B0" w:rsidP="00217B05">
      <w:pPr>
        <w:widowControl/>
        <w:spacing w:line="360" w:lineRule="auto"/>
        <w:ind w:firstLine="1440"/>
        <w:contextualSpacing/>
        <w:rPr>
          <w:rFonts w:eastAsia="Calibri"/>
          <w:sz w:val="26"/>
          <w:szCs w:val="26"/>
        </w:rPr>
      </w:pPr>
      <w:r w:rsidRPr="00B939B0">
        <w:rPr>
          <w:rFonts w:eastAsia="Calibri"/>
          <w:sz w:val="26"/>
          <w:szCs w:val="26"/>
        </w:rPr>
        <w:t>For these reasons, we find that the Joint Petitioners’ agreement that the Company refrain from increasing revenues under its 2020 PSI/SPI Filing and to eliminate its cumulative banked amounts under its 2018, 2019, and 2020 PSI/SPI Filings provides an affirmative public benefit.</w:t>
      </w:r>
      <w:r w:rsidR="00EB6546">
        <w:rPr>
          <w:rStyle w:val="FootnoteReference"/>
          <w:rFonts w:eastAsia="Calibri"/>
          <w:sz w:val="26"/>
          <w:szCs w:val="26"/>
        </w:rPr>
        <w:footnoteReference w:id="17"/>
      </w:r>
      <w:r w:rsidRPr="00B939B0">
        <w:rPr>
          <w:rFonts w:eastAsia="Calibri"/>
          <w:sz w:val="26"/>
          <w:szCs w:val="26"/>
        </w:rPr>
        <w:t xml:space="preserve">  The reality of the price cap form of alternative rate regulation under which CenturyLink is governed is banked revenues.  CenturyLink’s cumulative bank has been properly accumulated pursuant to its Chapter 30 Plan and the annual Commission orders approving the Company’s annual PSI/SPI Filings.  Banked revenues represent future price increase opportunity</w:t>
      </w:r>
      <w:r w:rsidR="0073044E">
        <w:rPr>
          <w:rFonts w:eastAsia="Calibri"/>
          <w:sz w:val="26"/>
          <w:szCs w:val="26"/>
        </w:rPr>
        <w:t>,</w:t>
      </w:r>
      <w:r w:rsidRPr="00B939B0">
        <w:rPr>
          <w:rFonts w:eastAsia="Calibri"/>
          <w:sz w:val="26"/>
          <w:szCs w:val="26"/>
        </w:rPr>
        <w:t xml:space="preserve"> and the reduction of those amounts in the Company’s cumulative bank represents the inability to raise rates in the future.  CenturyLink Exc. at 16-17.  Under the Settlement, the Company has agreed to eliminate the $473,890 it added to its cumulative bank </w:t>
      </w:r>
      <w:r w:rsidR="0073044E">
        <w:rPr>
          <w:rFonts w:eastAsia="Calibri"/>
          <w:sz w:val="26"/>
          <w:szCs w:val="26"/>
        </w:rPr>
        <w:t>under its</w:t>
      </w:r>
      <w:r w:rsidRPr="00B939B0">
        <w:rPr>
          <w:rFonts w:eastAsia="Calibri"/>
          <w:sz w:val="26"/>
          <w:szCs w:val="26"/>
        </w:rPr>
        <w:t xml:space="preserve"> 2018 PSI/SPI Filing and the $438,621 it added to its cumulative bank </w:t>
      </w:r>
      <w:r w:rsidR="0073044E">
        <w:rPr>
          <w:rFonts w:eastAsia="Calibri"/>
          <w:sz w:val="26"/>
          <w:szCs w:val="26"/>
        </w:rPr>
        <w:t>under</w:t>
      </w:r>
      <w:r w:rsidRPr="00B939B0">
        <w:rPr>
          <w:rFonts w:eastAsia="Calibri"/>
          <w:sz w:val="26"/>
          <w:szCs w:val="26"/>
        </w:rPr>
        <w:t xml:space="preserve"> its 2019 PSI/SPI Filing, representing a total reduction of $912,511 </w:t>
      </w:r>
      <w:r w:rsidR="00C81DDA">
        <w:rPr>
          <w:rFonts w:eastAsia="Calibri"/>
          <w:sz w:val="26"/>
          <w:szCs w:val="26"/>
        </w:rPr>
        <w:t>to</w:t>
      </w:r>
      <w:r w:rsidRPr="00B939B0">
        <w:rPr>
          <w:rFonts w:eastAsia="Calibri"/>
          <w:sz w:val="26"/>
          <w:szCs w:val="26"/>
        </w:rPr>
        <w:t xml:space="preserve"> its cumulative bank</w:t>
      </w:r>
      <w:r w:rsidR="00C9367D">
        <w:rPr>
          <w:rFonts w:eastAsia="Calibri"/>
          <w:sz w:val="26"/>
          <w:szCs w:val="26"/>
        </w:rPr>
        <w:t>.</w:t>
      </w:r>
      <w:r w:rsidR="00C9367D">
        <w:rPr>
          <w:rStyle w:val="FootnoteReference"/>
          <w:rFonts w:eastAsia="Calibri"/>
          <w:sz w:val="26"/>
          <w:szCs w:val="26"/>
        </w:rPr>
        <w:footnoteReference w:id="18"/>
      </w:r>
    </w:p>
    <w:p w14:paraId="27DEDD2D" w14:textId="77777777" w:rsidR="007A0F2A" w:rsidRDefault="007A0F2A" w:rsidP="00217B05">
      <w:pPr>
        <w:widowControl/>
        <w:spacing w:line="360" w:lineRule="auto"/>
        <w:ind w:firstLine="1440"/>
        <w:contextualSpacing/>
        <w:rPr>
          <w:rStyle w:val="Hyperlink"/>
          <w:color w:val="auto"/>
          <w:sz w:val="26"/>
          <w:szCs w:val="26"/>
          <w:u w:val="none"/>
        </w:rPr>
      </w:pPr>
    </w:p>
    <w:p w14:paraId="3883DA3A" w14:textId="3619E7FD" w:rsidR="002D1D0D" w:rsidRPr="002D1D0D" w:rsidRDefault="002D1D0D" w:rsidP="00217B05">
      <w:pPr>
        <w:widowControl/>
        <w:spacing w:line="360" w:lineRule="auto"/>
        <w:ind w:firstLine="1440"/>
        <w:contextualSpacing/>
        <w:rPr>
          <w:sz w:val="26"/>
          <w:szCs w:val="26"/>
        </w:rPr>
      </w:pPr>
      <w:r w:rsidRPr="002D1D0D">
        <w:rPr>
          <w:sz w:val="26"/>
          <w:szCs w:val="26"/>
        </w:rPr>
        <w:t xml:space="preserve">We concur with the Joint Petitioners that this result under the Settlement is preferable to continued litigation of the Company’s 2018 and 2019 PSI/SPI Filings.  We specifically note the testimony provided by the OSBA’s witness Mr. </w:t>
      </w:r>
      <w:proofErr w:type="spellStart"/>
      <w:r w:rsidRPr="002D1D0D">
        <w:rPr>
          <w:sz w:val="26"/>
          <w:szCs w:val="26"/>
        </w:rPr>
        <w:t>Gillan</w:t>
      </w:r>
      <w:proofErr w:type="spellEnd"/>
      <w:r w:rsidRPr="002D1D0D">
        <w:rPr>
          <w:sz w:val="26"/>
          <w:szCs w:val="26"/>
        </w:rPr>
        <w:t>, wherein he provided a good faith estimate of a reasonable allocation of tax savings to determine whether the magnitude of the concession extracted from CenturyLink under the Settlement is relatively close to the value of the reduction in federal taxes.</w:t>
      </w:r>
      <w:r w:rsidRPr="002D1D0D">
        <w:rPr>
          <w:sz w:val="26"/>
          <w:szCs w:val="26"/>
          <w:vertAlign w:val="superscript"/>
        </w:rPr>
        <w:footnoteReference w:id="19"/>
      </w:r>
      <w:r w:rsidRPr="002D1D0D">
        <w:rPr>
          <w:sz w:val="26"/>
          <w:szCs w:val="26"/>
        </w:rPr>
        <w:t xml:space="preserve">  Although the ALJs cited to Mr. </w:t>
      </w:r>
      <w:proofErr w:type="spellStart"/>
      <w:r w:rsidRPr="002D1D0D">
        <w:rPr>
          <w:sz w:val="26"/>
          <w:szCs w:val="26"/>
        </w:rPr>
        <w:t>Gillan’s</w:t>
      </w:r>
      <w:proofErr w:type="spellEnd"/>
      <w:r w:rsidRPr="002D1D0D">
        <w:rPr>
          <w:sz w:val="26"/>
          <w:szCs w:val="26"/>
        </w:rPr>
        <w:t xml:space="preserve"> testimony for the basis that the Joint Petitioners failed to produce substantial evidence, we find that Mr. </w:t>
      </w:r>
      <w:proofErr w:type="spellStart"/>
      <w:r w:rsidRPr="002D1D0D">
        <w:rPr>
          <w:sz w:val="26"/>
          <w:szCs w:val="26"/>
        </w:rPr>
        <w:t>Gillan’s</w:t>
      </w:r>
      <w:proofErr w:type="spellEnd"/>
      <w:r w:rsidRPr="002D1D0D">
        <w:rPr>
          <w:sz w:val="26"/>
          <w:szCs w:val="26"/>
        </w:rPr>
        <w:t xml:space="preserve"> analysis, instead, appears to validate the benefits provided by the Settlement.  Namely, Mr. </w:t>
      </w:r>
      <w:proofErr w:type="spellStart"/>
      <w:r w:rsidRPr="002D1D0D">
        <w:rPr>
          <w:sz w:val="26"/>
          <w:szCs w:val="26"/>
        </w:rPr>
        <w:t>Gillan’s</w:t>
      </w:r>
      <w:proofErr w:type="spellEnd"/>
      <w:r w:rsidRPr="002D1D0D">
        <w:rPr>
          <w:sz w:val="26"/>
          <w:szCs w:val="26"/>
        </w:rPr>
        <w:t xml:space="preserve"> analysis demonstrates that the $1,253,531 in revenue increases that the Company will permanently forgo as a result of the Settlement is commensurate with the amount that it would forgo if this proceeding were to continue to be litigated.  OSBA Verified Witness Statement at 6-7.  Although we acknowledge that Mr. </w:t>
      </w:r>
      <w:proofErr w:type="spellStart"/>
      <w:r w:rsidRPr="002D1D0D">
        <w:rPr>
          <w:sz w:val="26"/>
          <w:szCs w:val="26"/>
        </w:rPr>
        <w:t>Gillan’s</w:t>
      </w:r>
      <w:proofErr w:type="spellEnd"/>
      <w:r w:rsidRPr="002D1D0D">
        <w:rPr>
          <w:sz w:val="26"/>
          <w:szCs w:val="26"/>
        </w:rPr>
        <w:t xml:space="preserve"> analysis is a “rough estimate” based upon several assumptions, we also find that </w:t>
      </w:r>
      <w:r w:rsidR="00F64840">
        <w:rPr>
          <w:sz w:val="26"/>
          <w:szCs w:val="26"/>
        </w:rPr>
        <w:t xml:space="preserve">it </w:t>
      </w:r>
      <w:r w:rsidRPr="002D1D0D">
        <w:rPr>
          <w:sz w:val="26"/>
          <w:szCs w:val="26"/>
        </w:rPr>
        <w:t>represent</w:t>
      </w:r>
      <w:r w:rsidR="00F64840">
        <w:rPr>
          <w:sz w:val="26"/>
          <w:szCs w:val="26"/>
        </w:rPr>
        <w:t>s</w:t>
      </w:r>
      <w:r w:rsidRPr="002D1D0D">
        <w:rPr>
          <w:sz w:val="26"/>
          <w:szCs w:val="26"/>
        </w:rPr>
        <w:t xml:space="preserve"> the best evidence available on the record upon which to make a decision.  Thus, we echo the OSBA that the Settlement is reasonable in magnitude.</w:t>
      </w:r>
    </w:p>
    <w:p w14:paraId="3557AFCC" w14:textId="77777777" w:rsidR="002D1D0D" w:rsidRPr="002D1D0D" w:rsidRDefault="002D1D0D" w:rsidP="00217B05">
      <w:pPr>
        <w:widowControl/>
        <w:spacing w:line="360" w:lineRule="auto"/>
        <w:ind w:firstLine="1440"/>
        <w:contextualSpacing/>
        <w:rPr>
          <w:sz w:val="26"/>
          <w:szCs w:val="26"/>
        </w:rPr>
      </w:pPr>
    </w:p>
    <w:p w14:paraId="7FFFFEF2" w14:textId="2BD7D965" w:rsidR="002D1D0D" w:rsidRDefault="002D1D0D" w:rsidP="00217B05">
      <w:pPr>
        <w:widowControl/>
        <w:spacing w:line="360" w:lineRule="auto"/>
        <w:ind w:firstLine="1440"/>
        <w:contextualSpacing/>
        <w:rPr>
          <w:sz w:val="26"/>
          <w:szCs w:val="26"/>
        </w:rPr>
      </w:pPr>
      <w:r w:rsidRPr="002D1D0D">
        <w:rPr>
          <w:sz w:val="26"/>
          <w:szCs w:val="26"/>
        </w:rPr>
        <w:t>Moreover, as the OCA pointed out, if this proceeding were to be fully litigated, CenturyLink’s existing cumulative bank</w:t>
      </w:r>
      <w:r w:rsidR="001F1E29">
        <w:rPr>
          <w:sz w:val="26"/>
          <w:szCs w:val="26"/>
        </w:rPr>
        <w:t>ed amounts</w:t>
      </w:r>
      <w:r w:rsidRPr="002D1D0D">
        <w:rPr>
          <w:sz w:val="26"/>
          <w:szCs w:val="26"/>
        </w:rPr>
        <w:t xml:space="preserve"> could allow the Company to offset</w:t>
      </w:r>
      <w:r w:rsidR="001F1E29">
        <w:rPr>
          <w:sz w:val="26"/>
          <w:szCs w:val="26"/>
        </w:rPr>
        <w:t>,</w:t>
      </w:r>
      <w:r w:rsidRPr="002D1D0D">
        <w:rPr>
          <w:sz w:val="26"/>
          <w:szCs w:val="26"/>
        </w:rPr>
        <w:t xml:space="preserve"> or make short-lived</w:t>
      </w:r>
      <w:r w:rsidR="001F1E29">
        <w:rPr>
          <w:sz w:val="26"/>
          <w:szCs w:val="26"/>
        </w:rPr>
        <w:t>,</w:t>
      </w:r>
      <w:r w:rsidRPr="002D1D0D">
        <w:rPr>
          <w:sz w:val="26"/>
          <w:szCs w:val="26"/>
        </w:rPr>
        <w:t xml:space="preserve"> any rate decrease tied to </w:t>
      </w:r>
      <w:r w:rsidR="001F1E29">
        <w:rPr>
          <w:sz w:val="26"/>
          <w:szCs w:val="26"/>
        </w:rPr>
        <w:t xml:space="preserve">the </w:t>
      </w:r>
      <w:r w:rsidRPr="002D1D0D">
        <w:rPr>
          <w:sz w:val="26"/>
          <w:szCs w:val="26"/>
        </w:rPr>
        <w:t>quantification of tax savings recognized</w:t>
      </w:r>
      <w:r w:rsidR="001F1E29">
        <w:rPr>
          <w:sz w:val="26"/>
          <w:szCs w:val="26"/>
        </w:rPr>
        <w:t xml:space="preserve"> as a result of the passage of the TCJA</w:t>
      </w:r>
      <w:r w:rsidRPr="002D1D0D">
        <w:rPr>
          <w:sz w:val="26"/>
          <w:szCs w:val="26"/>
        </w:rPr>
        <w:t>.  As previously noted, CenturyLink’s cumulative bank was in excess of $9.6 Million before it</w:t>
      </w:r>
      <w:r w:rsidR="001F1E29">
        <w:rPr>
          <w:sz w:val="26"/>
          <w:szCs w:val="26"/>
        </w:rPr>
        <w:t xml:space="preserve"> made its</w:t>
      </w:r>
      <w:r w:rsidRPr="002D1D0D">
        <w:rPr>
          <w:sz w:val="26"/>
          <w:szCs w:val="26"/>
        </w:rPr>
        <w:t xml:space="preserve"> 2018 and 2019 PSI/SPI Filings.  Absent the proposed Settlement, CenturyLink would </w:t>
      </w:r>
      <w:r w:rsidR="005F1147">
        <w:rPr>
          <w:sz w:val="26"/>
          <w:szCs w:val="26"/>
        </w:rPr>
        <w:t xml:space="preserve">also </w:t>
      </w:r>
      <w:r w:rsidRPr="002D1D0D">
        <w:rPr>
          <w:sz w:val="26"/>
          <w:szCs w:val="26"/>
        </w:rPr>
        <w:t>be able to add an additional $1.2 Million to its cumulative bank</w:t>
      </w:r>
      <w:r w:rsidR="005F1147">
        <w:rPr>
          <w:sz w:val="26"/>
          <w:szCs w:val="26"/>
        </w:rPr>
        <w:t xml:space="preserve"> as a result of its 2020 PSI/SPI Filing</w:t>
      </w:r>
      <w:r w:rsidRPr="002D1D0D">
        <w:rPr>
          <w:sz w:val="26"/>
          <w:szCs w:val="26"/>
        </w:rPr>
        <w:t xml:space="preserve">.  Thus, CenturyLink’s agreement to postpone any rate increase requests and to forgo part of its cumulative bank protects consumers.  </w:t>
      </w:r>
      <w:r w:rsidRPr="002D1D0D">
        <w:rPr>
          <w:i/>
          <w:iCs/>
          <w:sz w:val="26"/>
          <w:szCs w:val="26"/>
        </w:rPr>
        <w:t xml:space="preserve">See </w:t>
      </w:r>
      <w:r w:rsidRPr="002D1D0D">
        <w:rPr>
          <w:sz w:val="26"/>
          <w:szCs w:val="26"/>
        </w:rPr>
        <w:t>OCA Verified Witness Statement at 9; OCA Exc. at 10.</w:t>
      </w:r>
    </w:p>
    <w:p w14:paraId="12BBCD90" w14:textId="77777777" w:rsidR="007A0F2A" w:rsidRPr="002D1D0D" w:rsidRDefault="007A0F2A" w:rsidP="00217B05">
      <w:pPr>
        <w:widowControl/>
        <w:spacing w:line="360" w:lineRule="auto"/>
        <w:ind w:firstLine="1440"/>
        <w:contextualSpacing/>
        <w:rPr>
          <w:sz w:val="26"/>
          <w:szCs w:val="26"/>
        </w:rPr>
      </w:pPr>
    </w:p>
    <w:p w14:paraId="7D4D84A7" w14:textId="4484D237" w:rsidR="00F50643" w:rsidRPr="00F50643" w:rsidRDefault="00F50643" w:rsidP="00217B05">
      <w:pPr>
        <w:widowControl/>
        <w:spacing w:line="360" w:lineRule="auto"/>
        <w:ind w:firstLine="1440"/>
        <w:contextualSpacing/>
        <w:rPr>
          <w:rFonts w:eastAsia="Calibri"/>
          <w:sz w:val="26"/>
          <w:szCs w:val="26"/>
        </w:rPr>
      </w:pPr>
      <w:r w:rsidRPr="00F50643">
        <w:rPr>
          <w:rFonts w:eastAsia="Calibri"/>
          <w:sz w:val="26"/>
          <w:szCs w:val="26"/>
        </w:rPr>
        <w:t xml:space="preserve">In a similar vein, we find the resulting rate stability provided by the Settlement to be a benefit.  As previously noted, in accordance with the terms of the proposed Settlement, CenturyLink did not implement any revenue increases that would have otherwise been authorized under its 2020 PSI/SPI Filing.  Thus, the Settlement ensured rate stability for CenturyLink’s ratepayers through at least mid-December of 2021.  The record indicates that nearly 27,000 residential and business basic service customers, E911 providers, 9,000 customers with customer calling features or Caller ID, and many businesses with data circuits </w:t>
      </w:r>
      <w:r w:rsidR="005F1147">
        <w:rPr>
          <w:rFonts w:eastAsia="Calibri"/>
          <w:sz w:val="26"/>
          <w:szCs w:val="26"/>
        </w:rPr>
        <w:t xml:space="preserve">in CenturyLink’s </w:t>
      </w:r>
      <w:r w:rsidR="00532A5A">
        <w:rPr>
          <w:rFonts w:eastAsia="Calibri"/>
          <w:sz w:val="26"/>
          <w:szCs w:val="26"/>
        </w:rPr>
        <w:t xml:space="preserve">service territory </w:t>
      </w:r>
      <w:r w:rsidRPr="00F50643">
        <w:rPr>
          <w:rFonts w:eastAsia="Calibri"/>
          <w:sz w:val="26"/>
          <w:szCs w:val="26"/>
        </w:rPr>
        <w:t xml:space="preserve">benefitted as a result.  CenturyLink Verified Witness Statement at 10.  </w:t>
      </w:r>
      <w:r w:rsidRPr="00F50643">
        <w:rPr>
          <w:rFonts w:eastAsia="Calibri"/>
          <w:i/>
          <w:iCs/>
          <w:sz w:val="26"/>
          <w:szCs w:val="26"/>
        </w:rPr>
        <w:t xml:space="preserve">See also </w:t>
      </w:r>
      <w:r w:rsidRPr="00F50643">
        <w:rPr>
          <w:rFonts w:eastAsia="Calibri"/>
          <w:sz w:val="26"/>
          <w:szCs w:val="26"/>
        </w:rPr>
        <w:t>CenturyLink Exc. at</w:t>
      </w:r>
      <w:r w:rsidR="00DF4E53">
        <w:rPr>
          <w:rFonts w:eastAsia="Calibri"/>
          <w:sz w:val="26"/>
          <w:szCs w:val="26"/>
        </w:rPr>
        <w:t> </w:t>
      </w:r>
      <w:r w:rsidRPr="00F50643">
        <w:rPr>
          <w:rFonts w:eastAsia="Calibri"/>
          <w:sz w:val="26"/>
          <w:szCs w:val="26"/>
        </w:rPr>
        <w:t>20.</w:t>
      </w:r>
      <w:r w:rsidRPr="00F50643">
        <w:rPr>
          <w:rFonts w:eastAsia="Calibri"/>
          <w:sz w:val="26"/>
          <w:szCs w:val="26"/>
          <w:vertAlign w:val="superscript"/>
        </w:rPr>
        <w:footnoteReference w:id="20"/>
      </w:r>
      <w:r w:rsidRPr="00F50643">
        <w:rPr>
          <w:rFonts w:eastAsia="Calibri"/>
          <w:sz w:val="26"/>
          <w:szCs w:val="26"/>
        </w:rPr>
        <w:t xml:space="preserve">  </w:t>
      </w:r>
    </w:p>
    <w:p w14:paraId="55D4684C" w14:textId="77777777" w:rsidR="00F50643" w:rsidRPr="00F50643" w:rsidRDefault="00F50643" w:rsidP="00217B05">
      <w:pPr>
        <w:widowControl/>
        <w:spacing w:line="360" w:lineRule="auto"/>
        <w:ind w:firstLine="1440"/>
        <w:contextualSpacing/>
        <w:rPr>
          <w:rFonts w:eastAsia="Calibri"/>
          <w:sz w:val="26"/>
          <w:szCs w:val="26"/>
        </w:rPr>
      </w:pPr>
    </w:p>
    <w:p w14:paraId="50B1FFC1" w14:textId="62169344" w:rsidR="00F50643" w:rsidRPr="00F50643" w:rsidRDefault="00F50643" w:rsidP="00217B05">
      <w:pPr>
        <w:widowControl/>
        <w:spacing w:line="360" w:lineRule="auto"/>
        <w:ind w:firstLine="1440"/>
        <w:contextualSpacing/>
        <w:rPr>
          <w:rFonts w:eastAsia="Calibri"/>
          <w:sz w:val="26"/>
          <w:szCs w:val="26"/>
        </w:rPr>
      </w:pPr>
      <w:r w:rsidRPr="00F50643">
        <w:rPr>
          <w:rFonts w:eastAsia="Calibri"/>
          <w:sz w:val="26"/>
          <w:szCs w:val="26"/>
        </w:rPr>
        <w:t xml:space="preserve">Additionally, as we have declined to reach a resolution on the merits of the exogenous event in this proceeding, we concur with the Joint Petitioners that the Settlement provides the benefit of conserving resources.  More specifically, the Settlement will result in significant savings of time and expenses for all parties involved by avoiding the necessity of further administrative proceedings, as well as possible appellate court proceedings.  Thus, for the reasons stated herein and in the settling Parties’ Statements in Support and </w:t>
      </w:r>
      <w:r w:rsidR="00532A5A">
        <w:rPr>
          <w:rFonts w:eastAsia="Calibri"/>
          <w:sz w:val="26"/>
          <w:szCs w:val="26"/>
        </w:rPr>
        <w:t xml:space="preserve">in their </w:t>
      </w:r>
      <w:r w:rsidRPr="00F50643">
        <w:rPr>
          <w:rFonts w:eastAsia="Calibri"/>
          <w:sz w:val="26"/>
          <w:szCs w:val="26"/>
        </w:rPr>
        <w:t>Verified Witness Statements, we concur with the Joint Petitioners that the Settlement is in the public interest.</w:t>
      </w:r>
    </w:p>
    <w:p w14:paraId="57AD6847" w14:textId="77777777" w:rsidR="00F50643" w:rsidRPr="00F50643" w:rsidRDefault="00F50643" w:rsidP="00217B05">
      <w:pPr>
        <w:widowControl/>
        <w:spacing w:line="360" w:lineRule="auto"/>
        <w:ind w:firstLine="1440"/>
        <w:contextualSpacing/>
        <w:rPr>
          <w:rFonts w:eastAsia="Calibri"/>
          <w:sz w:val="26"/>
          <w:szCs w:val="26"/>
        </w:rPr>
      </w:pPr>
    </w:p>
    <w:p w14:paraId="32864B7A" w14:textId="6D4E1607" w:rsidR="00F50643" w:rsidRDefault="00F50643" w:rsidP="00217B05">
      <w:pPr>
        <w:widowControl/>
        <w:spacing w:line="360" w:lineRule="auto"/>
        <w:ind w:firstLine="1440"/>
        <w:contextualSpacing/>
        <w:rPr>
          <w:rFonts w:eastAsia="Calibri"/>
          <w:i/>
          <w:iCs/>
          <w:sz w:val="26"/>
          <w:szCs w:val="26"/>
        </w:rPr>
      </w:pPr>
      <w:r w:rsidRPr="00F50643">
        <w:rPr>
          <w:rFonts w:eastAsia="Calibri"/>
          <w:sz w:val="26"/>
          <w:szCs w:val="26"/>
        </w:rPr>
        <w:t xml:space="preserve">However, before concluding this section, we wish to reinforce that the scope of the instant Settlement is narrowly focused.  The Settlement applies only to the amicable resolution of the Company’s 2018 and 2019 PSI/SPI Filings and, by extension, its 2020 PSI/SPI Filing.  Therefore, it may not be used as a precedent in future annual PSI/SPI Filings made by the Company.  Further, it shall not be construed as setting a precedent for other Pennsylvania ILECs subject to price cap regulation under Chapter 30.  </w:t>
      </w:r>
      <w:r w:rsidRPr="00F50643">
        <w:rPr>
          <w:rFonts w:eastAsia="Calibri"/>
          <w:i/>
          <w:iCs/>
          <w:sz w:val="26"/>
          <w:szCs w:val="26"/>
        </w:rPr>
        <w:t>See 2013 CenturyLink Order, supra.</w:t>
      </w:r>
    </w:p>
    <w:p w14:paraId="67AFFDB5" w14:textId="77777777" w:rsidR="00521645" w:rsidRPr="00F50643" w:rsidRDefault="00521645" w:rsidP="00217B05">
      <w:pPr>
        <w:widowControl/>
        <w:spacing w:line="360" w:lineRule="auto"/>
        <w:ind w:firstLine="1440"/>
        <w:contextualSpacing/>
        <w:rPr>
          <w:rFonts w:eastAsia="Calibri"/>
          <w:i/>
          <w:iCs/>
          <w:sz w:val="26"/>
          <w:szCs w:val="26"/>
        </w:rPr>
      </w:pPr>
    </w:p>
    <w:p w14:paraId="473C1600" w14:textId="59FC168A" w:rsidR="007B70AE" w:rsidRPr="002D1D0D" w:rsidRDefault="00F50643" w:rsidP="004A6737">
      <w:pPr>
        <w:widowControl/>
        <w:spacing w:line="360" w:lineRule="auto"/>
        <w:ind w:firstLine="1440"/>
        <w:contextualSpacing/>
        <w:rPr>
          <w:rStyle w:val="Hyperlink"/>
          <w:color w:val="auto"/>
          <w:sz w:val="26"/>
          <w:szCs w:val="26"/>
          <w:u w:val="none"/>
        </w:rPr>
      </w:pPr>
      <w:r w:rsidRPr="002D1D0D">
        <w:rPr>
          <w:rFonts w:eastAsia="Calibri"/>
          <w:sz w:val="26"/>
          <w:szCs w:val="26"/>
        </w:rPr>
        <w:t>Based on the forgoing, we shall grant CenturyLink’s Exception Nos. 2A, 4, and 5, the OCA’s Exception No. 3, and the OSBA’s Exception No. 2.  Thus, we shall also grant the Joint Petition and adopt the Settlement, without modification.</w:t>
      </w:r>
    </w:p>
    <w:p w14:paraId="3D0E4BB4" w14:textId="3FB8CC73" w:rsidR="00E51E04" w:rsidRPr="002D1D0D" w:rsidRDefault="00E51E04" w:rsidP="004A6737">
      <w:pPr>
        <w:pStyle w:val="Heading1"/>
        <w:widowControl/>
        <w:numPr>
          <w:ilvl w:val="0"/>
          <w:numId w:val="9"/>
        </w:numPr>
        <w:spacing w:before="0" w:line="360" w:lineRule="auto"/>
        <w:ind w:left="0" w:firstLine="0"/>
        <w:contextualSpacing/>
        <w:jc w:val="center"/>
        <w:rPr>
          <w:rFonts w:ascii="Times New Roman" w:hAnsi="Times New Roman" w:cs="Times New Roman"/>
          <w:b/>
          <w:color w:val="auto"/>
          <w:sz w:val="26"/>
          <w:szCs w:val="26"/>
        </w:rPr>
      </w:pPr>
      <w:bookmarkStart w:id="25" w:name="_Toc91762318"/>
      <w:r w:rsidRPr="002D1D0D">
        <w:rPr>
          <w:rFonts w:ascii="Times New Roman" w:hAnsi="Times New Roman" w:cs="Times New Roman"/>
          <w:b/>
          <w:color w:val="auto"/>
          <w:sz w:val="26"/>
          <w:szCs w:val="26"/>
        </w:rPr>
        <w:t>Conclusion</w:t>
      </w:r>
      <w:bookmarkEnd w:id="16"/>
      <w:bookmarkEnd w:id="25"/>
    </w:p>
    <w:p w14:paraId="687AFEF9" w14:textId="77777777" w:rsidR="00E51E04" w:rsidRPr="002D1D0D" w:rsidRDefault="00E51E04" w:rsidP="004A6737">
      <w:pPr>
        <w:keepNext/>
        <w:keepLines/>
        <w:widowControl/>
        <w:spacing w:line="360" w:lineRule="auto"/>
        <w:ind w:firstLine="1440"/>
        <w:contextualSpacing/>
        <w:rPr>
          <w:sz w:val="26"/>
          <w:szCs w:val="26"/>
        </w:rPr>
      </w:pPr>
    </w:p>
    <w:p w14:paraId="47401E4C" w14:textId="0CF314B2" w:rsidR="007A0147" w:rsidRPr="002D1D0D" w:rsidRDefault="00725378" w:rsidP="004A6737">
      <w:pPr>
        <w:widowControl/>
        <w:spacing w:line="360" w:lineRule="auto"/>
        <w:ind w:firstLine="1440"/>
        <w:contextualSpacing/>
        <w:rPr>
          <w:sz w:val="26"/>
          <w:szCs w:val="26"/>
        </w:rPr>
      </w:pPr>
      <w:r w:rsidRPr="002D1D0D">
        <w:rPr>
          <w:sz w:val="26"/>
          <w:szCs w:val="26"/>
        </w:rPr>
        <w:t xml:space="preserve">Based upon </w:t>
      </w:r>
      <w:r w:rsidR="00A56AD9" w:rsidRPr="002D1D0D">
        <w:rPr>
          <w:sz w:val="26"/>
          <w:szCs w:val="26"/>
        </w:rPr>
        <w:t>our review of the record in this proceeding</w:t>
      </w:r>
      <w:r w:rsidRPr="002D1D0D">
        <w:rPr>
          <w:sz w:val="26"/>
          <w:szCs w:val="26"/>
        </w:rPr>
        <w:t>, we shall</w:t>
      </w:r>
      <w:r w:rsidR="006352C7" w:rsidRPr="002D1D0D">
        <w:rPr>
          <w:sz w:val="26"/>
          <w:szCs w:val="26"/>
        </w:rPr>
        <w:t xml:space="preserve">: </w:t>
      </w:r>
      <w:r w:rsidR="004A6737">
        <w:rPr>
          <w:sz w:val="26"/>
          <w:szCs w:val="26"/>
        </w:rPr>
        <w:t xml:space="preserve"> </w:t>
      </w:r>
      <w:r w:rsidR="006352C7" w:rsidRPr="002D1D0D">
        <w:rPr>
          <w:sz w:val="26"/>
          <w:szCs w:val="26"/>
        </w:rPr>
        <w:t>(1) reverse the Recommended Decision of ALJs Cheskis and Meyers</w:t>
      </w:r>
      <w:r w:rsidR="00BF6990" w:rsidRPr="002D1D0D">
        <w:rPr>
          <w:sz w:val="26"/>
          <w:szCs w:val="26"/>
        </w:rPr>
        <w:t xml:space="preserve">; (2) grant the Exceptions of CenturyLink, in part, and deny them, in part; (3) grant the Exceptions of </w:t>
      </w:r>
      <w:r w:rsidR="000A5B5E" w:rsidRPr="002D1D0D">
        <w:rPr>
          <w:sz w:val="26"/>
          <w:szCs w:val="26"/>
        </w:rPr>
        <w:t xml:space="preserve">the OCA and the OSBA; (4) </w:t>
      </w:r>
      <w:r w:rsidR="0069663C" w:rsidRPr="002D1D0D">
        <w:rPr>
          <w:sz w:val="26"/>
          <w:szCs w:val="26"/>
        </w:rPr>
        <w:t xml:space="preserve">approve the </w:t>
      </w:r>
      <w:r w:rsidR="00F10080" w:rsidRPr="002D1D0D">
        <w:rPr>
          <w:sz w:val="26"/>
          <w:szCs w:val="26"/>
        </w:rPr>
        <w:t>Joint Petition for Settlement, without modification; and (5) deny the PTA Petition and the PTA Motion</w:t>
      </w:r>
      <w:r w:rsidR="000229EB">
        <w:rPr>
          <w:sz w:val="26"/>
          <w:szCs w:val="26"/>
        </w:rPr>
        <w:t>, consistent with this Opinion and Order</w:t>
      </w:r>
      <w:r w:rsidRPr="002D1D0D">
        <w:rPr>
          <w:sz w:val="26"/>
          <w:szCs w:val="26"/>
        </w:rPr>
        <w:t xml:space="preserve">; </w:t>
      </w:r>
      <w:r w:rsidRPr="002D1D0D">
        <w:rPr>
          <w:b/>
          <w:sz w:val="26"/>
          <w:szCs w:val="26"/>
        </w:rPr>
        <w:t>THEREFORE,</w:t>
      </w:r>
    </w:p>
    <w:p w14:paraId="20B4E70F" w14:textId="77777777" w:rsidR="00725378" w:rsidRPr="002D1D0D" w:rsidRDefault="00725378" w:rsidP="004A6737">
      <w:pPr>
        <w:widowControl/>
        <w:spacing w:line="360" w:lineRule="auto"/>
        <w:ind w:firstLine="1440"/>
        <w:contextualSpacing/>
        <w:rPr>
          <w:b/>
          <w:sz w:val="26"/>
          <w:szCs w:val="26"/>
        </w:rPr>
      </w:pPr>
    </w:p>
    <w:p w14:paraId="01D72AA5" w14:textId="5B81E181" w:rsidR="00E51E04" w:rsidRPr="002D1D0D" w:rsidRDefault="00E51E04" w:rsidP="004A6737">
      <w:pPr>
        <w:widowControl/>
        <w:spacing w:line="360" w:lineRule="auto"/>
        <w:ind w:firstLine="1440"/>
        <w:contextualSpacing/>
        <w:rPr>
          <w:b/>
          <w:sz w:val="26"/>
          <w:szCs w:val="26"/>
        </w:rPr>
      </w:pPr>
      <w:r w:rsidRPr="002D1D0D">
        <w:rPr>
          <w:b/>
          <w:sz w:val="26"/>
          <w:szCs w:val="26"/>
        </w:rPr>
        <w:t>IT IS ORDERED:</w:t>
      </w:r>
    </w:p>
    <w:p w14:paraId="368BB809" w14:textId="77777777" w:rsidR="007E0A2D" w:rsidRPr="002D1D0D" w:rsidRDefault="007E0A2D" w:rsidP="004A6737">
      <w:pPr>
        <w:widowControl/>
        <w:spacing w:line="360" w:lineRule="auto"/>
        <w:ind w:firstLine="1440"/>
        <w:contextualSpacing/>
        <w:rPr>
          <w:sz w:val="26"/>
          <w:szCs w:val="26"/>
        </w:rPr>
      </w:pPr>
    </w:p>
    <w:p w14:paraId="4CDCBDFD" w14:textId="1D4CF0B2" w:rsidR="007E0A2D" w:rsidRPr="002D1D0D" w:rsidRDefault="008F420C" w:rsidP="004A6737">
      <w:pPr>
        <w:pStyle w:val="ListParagraph"/>
        <w:widowControl/>
        <w:numPr>
          <w:ilvl w:val="1"/>
          <w:numId w:val="43"/>
        </w:numPr>
        <w:spacing w:line="360" w:lineRule="auto"/>
        <w:ind w:left="0" w:firstLine="1440"/>
        <w:rPr>
          <w:sz w:val="26"/>
          <w:szCs w:val="26"/>
        </w:rPr>
      </w:pPr>
      <w:r w:rsidRPr="002D1D0D">
        <w:rPr>
          <w:sz w:val="26"/>
          <w:szCs w:val="26"/>
        </w:rPr>
        <w:t>That the Exceptions filed by</w:t>
      </w:r>
      <w:r w:rsidR="00591808" w:rsidRPr="002D1D0D">
        <w:rPr>
          <w:sz w:val="26"/>
          <w:szCs w:val="26"/>
        </w:rPr>
        <w:t xml:space="preserve"> The</w:t>
      </w:r>
      <w:r w:rsidRPr="002D1D0D">
        <w:rPr>
          <w:sz w:val="26"/>
          <w:szCs w:val="26"/>
        </w:rPr>
        <w:t xml:space="preserve"> </w:t>
      </w:r>
      <w:r w:rsidR="003E1D09" w:rsidRPr="002D1D0D">
        <w:rPr>
          <w:sz w:val="26"/>
          <w:szCs w:val="26"/>
        </w:rPr>
        <w:t>United Telephone Company of Pennsylvania LLC d/b/a CenturyLink on June 22, 2020 are granted, in part, and denied, in part, consistent with this Opinion and Order</w:t>
      </w:r>
      <w:r w:rsidR="00B27098" w:rsidRPr="002D1D0D">
        <w:rPr>
          <w:sz w:val="26"/>
          <w:szCs w:val="26"/>
        </w:rPr>
        <w:t>.</w:t>
      </w:r>
    </w:p>
    <w:p w14:paraId="6A0AD4F7" w14:textId="014ADDD4" w:rsidR="00E92F80" w:rsidRPr="002D1D0D" w:rsidRDefault="00E92F80" w:rsidP="004A6737">
      <w:pPr>
        <w:pStyle w:val="ListParagraph"/>
        <w:widowControl/>
        <w:spacing w:line="360" w:lineRule="auto"/>
        <w:ind w:left="1440"/>
        <w:rPr>
          <w:sz w:val="26"/>
          <w:szCs w:val="26"/>
        </w:rPr>
      </w:pPr>
    </w:p>
    <w:p w14:paraId="559D14B4" w14:textId="070F138B" w:rsidR="00E92F80" w:rsidRPr="002D1D0D" w:rsidRDefault="00E92F80"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Exceptions filed by </w:t>
      </w:r>
      <w:r w:rsidR="00AA49E0" w:rsidRPr="002D1D0D">
        <w:rPr>
          <w:sz w:val="26"/>
          <w:szCs w:val="26"/>
        </w:rPr>
        <w:t>the Office of Consumer Advocate on June 22, 2020 are granted, consistent with this Opinion and Order.</w:t>
      </w:r>
    </w:p>
    <w:p w14:paraId="686D73B1" w14:textId="146BE230" w:rsidR="00AA49E0" w:rsidRPr="002D1D0D" w:rsidRDefault="00AA49E0" w:rsidP="004A6737">
      <w:pPr>
        <w:pStyle w:val="ListParagraph"/>
        <w:widowControl/>
        <w:spacing w:line="360" w:lineRule="auto"/>
        <w:ind w:left="1440"/>
        <w:rPr>
          <w:sz w:val="26"/>
          <w:szCs w:val="26"/>
        </w:rPr>
      </w:pPr>
    </w:p>
    <w:p w14:paraId="3E87174E" w14:textId="61C66C93" w:rsidR="00AA49E0" w:rsidRPr="002D1D0D" w:rsidRDefault="00AA49E0"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Exceptions filed by the </w:t>
      </w:r>
      <w:r w:rsidR="00A60EDC" w:rsidRPr="002D1D0D">
        <w:rPr>
          <w:sz w:val="26"/>
          <w:szCs w:val="26"/>
        </w:rPr>
        <w:t>Office of Small Business Advocate on June 22, 2020 are granted, consistent with this Opinion and Order.</w:t>
      </w:r>
    </w:p>
    <w:p w14:paraId="1440360C" w14:textId="7AE2B66C" w:rsidR="00A60EDC" w:rsidRPr="002D1D0D" w:rsidRDefault="00A60EDC" w:rsidP="004A6737">
      <w:pPr>
        <w:pStyle w:val="ListParagraph"/>
        <w:widowControl/>
        <w:spacing w:line="360" w:lineRule="auto"/>
        <w:ind w:left="1440"/>
        <w:rPr>
          <w:sz w:val="26"/>
          <w:szCs w:val="26"/>
        </w:rPr>
      </w:pPr>
    </w:p>
    <w:p w14:paraId="1D269774" w14:textId="2BC2F3F4" w:rsidR="00A60EDC" w:rsidRPr="00F766CA" w:rsidRDefault="00E95FD1"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Joint Petition for Settlement, </w:t>
      </w:r>
      <w:r w:rsidRPr="002D1D0D">
        <w:rPr>
          <w:rFonts w:eastAsia="Calibri"/>
          <w:sz w:val="26"/>
          <w:szCs w:val="26"/>
        </w:rPr>
        <w:t xml:space="preserve">filed by the United Telephone Company of Pennsylvania LLC d/b/a CenturyLink, the Office of Consumer Advocate, </w:t>
      </w:r>
      <w:r w:rsidR="001F26AE" w:rsidRPr="002D1D0D">
        <w:rPr>
          <w:rFonts w:eastAsia="Calibri"/>
          <w:sz w:val="26"/>
          <w:szCs w:val="26"/>
        </w:rPr>
        <w:t xml:space="preserve">and the Office of Small Business Advocate </w:t>
      </w:r>
      <w:r w:rsidR="0039509F" w:rsidRPr="002D1D0D">
        <w:rPr>
          <w:rFonts w:eastAsia="Calibri"/>
          <w:sz w:val="26"/>
          <w:szCs w:val="26"/>
        </w:rPr>
        <w:t>is granted and the Joint Settlement is thereby approved</w:t>
      </w:r>
      <w:r w:rsidR="00DD6988" w:rsidRPr="002D1D0D">
        <w:rPr>
          <w:rFonts w:eastAsia="Calibri"/>
          <w:sz w:val="26"/>
          <w:szCs w:val="26"/>
        </w:rPr>
        <w:t xml:space="preserve"> in its entirety, without modification</w:t>
      </w:r>
      <w:r w:rsidR="0039509F" w:rsidRPr="002D1D0D">
        <w:rPr>
          <w:rFonts w:eastAsia="Calibri"/>
          <w:sz w:val="26"/>
          <w:szCs w:val="26"/>
        </w:rPr>
        <w:t>, consistent with this Opinion and Order.</w:t>
      </w:r>
    </w:p>
    <w:p w14:paraId="7115A471" w14:textId="77777777" w:rsidR="00F766CA" w:rsidRPr="002D1D0D" w:rsidRDefault="00F766CA" w:rsidP="00F766CA">
      <w:pPr>
        <w:pStyle w:val="ListParagraph"/>
        <w:widowControl/>
        <w:spacing w:line="360" w:lineRule="auto"/>
        <w:ind w:left="1440"/>
        <w:rPr>
          <w:sz w:val="26"/>
          <w:szCs w:val="26"/>
        </w:rPr>
      </w:pPr>
    </w:p>
    <w:p w14:paraId="20FD374D" w14:textId="0E94AA38" w:rsidR="0039509F" w:rsidRPr="002D1D0D" w:rsidRDefault="007A21C1"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Petition to Intervene or, In </w:t>
      </w:r>
      <w:r w:rsidR="00521645">
        <w:rPr>
          <w:sz w:val="26"/>
          <w:szCs w:val="26"/>
        </w:rPr>
        <w:t>T</w:t>
      </w:r>
      <w:r w:rsidRPr="002D1D0D">
        <w:rPr>
          <w:sz w:val="26"/>
          <w:szCs w:val="26"/>
        </w:rPr>
        <w:t>he Alternative, Motion For Leave To Accept Exceptions</w:t>
      </w:r>
      <w:r w:rsidR="009B7554" w:rsidRPr="002D1D0D">
        <w:rPr>
          <w:sz w:val="26"/>
          <w:szCs w:val="26"/>
        </w:rPr>
        <w:t>, filed by the Pennsylvania Telephone Association on June</w:t>
      </w:r>
      <w:r w:rsidR="004A6737">
        <w:rPr>
          <w:sz w:val="26"/>
          <w:szCs w:val="26"/>
        </w:rPr>
        <w:t> </w:t>
      </w:r>
      <w:r w:rsidR="009B7554" w:rsidRPr="002D1D0D">
        <w:rPr>
          <w:sz w:val="26"/>
          <w:szCs w:val="26"/>
        </w:rPr>
        <w:t>22, 2020</w:t>
      </w:r>
      <w:r w:rsidR="00E923B5" w:rsidRPr="002D1D0D">
        <w:rPr>
          <w:sz w:val="26"/>
          <w:szCs w:val="26"/>
        </w:rPr>
        <w:t xml:space="preserve">, is denied, consistent with this Opinion and Order.  </w:t>
      </w:r>
    </w:p>
    <w:p w14:paraId="2E78DA9E" w14:textId="21958281" w:rsidR="00874055" w:rsidRPr="002D1D0D" w:rsidRDefault="00874055"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Recommended Decision of </w:t>
      </w:r>
      <w:r w:rsidR="00A17E47" w:rsidRPr="002D1D0D">
        <w:rPr>
          <w:sz w:val="26"/>
          <w:szCs w:val="26"/>
        </w:rPr>
        <w:t>Deputy Chief Administrative Law Judge Joel H. Cheskis and Administrative Law Judge Benjamin J. Meyers, issued on June 2, 2020, is reversed</w:t>
      </w:r>
      <w:r w:rsidR="00114898" w:rsidRPr="002D1D0D">
        <w:rPr>
          <w:sz w:val="26"/>
          <w:szCs w:val="26"/>
        </w:rPr>
        <w:t>, consistent with this Opinion and Order.</w:t>
      </w:r>
    </w:p>
    <w:p w14:paraId="7FBC4D0D" w14:textId="30D3C768" w:rsidR="00DD6988" w:rsidRPr="002D1D0D" w:rsidRDefault="00DD6988" w:rsidP="004A6737">
      <w:pPr>
        <w:pStyle w:val="ListParagraph"/>
        <w:widowControl/>
        <w:spacing w:line="360" w:lineRule="auto"/>
        <w:ind w:left="1440"/>
        <w:rPr>
          <w:sz w:val="26"/>
          <w:szCs w:val="26"/>
        </w:rPr>
      </w:pPr>
    </w:p>
    <w:p w14:paraId="68391040" w14:textId="23E619E7" w:rsidR="00DD6988" w:rsidRPr="002D1D0D" w:rsidRDefault="00DD6988" w:rsidP="004A6737">
      <w:pPr>
        <w:pStyle w:val="ListParagraph"/>
        <w:widowControl/>
        <w:numPr>
          <w:ilvl w:val="1"/>
          <w:numId w:val="43"/>
        </w:numPr>
        <w:spacing w:line="360" w:lineRule="auto"/>
        <w:ind w:left="0" w:firstLine="1440"/>
        <w:rPr>
          <w:sz w:val="26"/>
          <w:szCs w:val="26"/>
        </w:rPr>
      </w:pPr>
      <w:r w:rsidRPr="002D1D0D">
        <w:rPr>
          <w:sz w:val="26"/>
          <w:szCs w:val="26"/>
        </w:rPr>
        <w:t xml:space="preserve">That the Formal Complaints filed by the Office of Consumer Advocate at Docket Nos. </w:t>
      </w:r>
      <w:r w:rsidRPr="002D1D0D">
        <w:rPr>
          <w:bCs/>
          <w:sz w:val="26"/>
          <w:szCs w:val="26"/>
        </w:rPr>
        <w:t xml:space="preserve">C-2018-3005400 and </w:t>
      </w:r>
      <w:r w:rsidR="00D963FA" w:rsidRPr="002D1D0D">
        <w:rPr>
          <w:bCs/>
          <w:sz w:val="26"/>
          <w:szCs w:val="26"/>
        </w:rPr>
        <w:t>C-2019-3012876 are deemed satisfied.</w:t>
      </w:r>
    </w:p>
    <w:p w14:paraId="4D7C85CA" w14:textId="719A98D3" w:rsidR="00D963FA" w:rsidRPr="00D963FA" w:rsidRDefault="00D963FA" w:rsidP="004A6737">
      <w:pPr>
        <w:pStyle w:val="ListParagraph"/>
        <w:widowControl/>
        <w:spacing w:line="360" w:lineRule="auto"/>
        <w:ind w:left="1440"/>
        <w:rPr>
          <w:sz w:val="26"/>
          <w:szCs w:val="26"/>
        </w:rPr>
      </w:pPr>
    </w:p>
    <w:p w14:paraId="407709C4" w14:textId="055625B8" w:rsidR="00D963FA" w:rsidRPr="00B27098" w:rsidRDefault="00993931" w:rsidP="004A6737">
      <w:pPr>
        <w:pStyle w:val="ListParagraph"/>
        <w:keepNext/>
        <w:keepLines/>
        <w:widowControl/>
        <w:numPr>
          <w:ilvl w:val="1"/>
          <w:numId w:val="43"/>
        </w:numPr>
        <w:spacing w:line="360" w:lineRule="auto"/>
        <w:ind w:left="0" w:firstLine="1440"/>
        <w:rPr>
          <w:sz w:val="26"/>
          <w:szCs w:val="26"/>
        </w:rPr>
      </w:pPr>
      <w:r>
        <w:rPr>
          <w:sz w:val="26"/>
          <w:szCs w:val="26"/>
        </w:rPr>
        <w:t>That this proceeding be marked closed.</w:t>
      </w:r>
    </w:p>
    <w:p w14:paraId="4B715E5D" w14:textId="13C89825" w:rsidR="00590309" w:rsidRPr="001471C8" w:rsidRDefault="00590309" w:rsidP="00217B05">
      <w:pPr>
        <w:keepNext/>
        <w:keepLines/>
        <w:widowControl/>
        <w:spacing w:line="360" w:lineRule="auto"/>
        <w:ind w:firstLine="1440"/>
        <w:contextualSpacing/>
        <w:rPr>
          <w:sz w:val="26"/>
          <w:szCs w:val="26"/>
        </w:rPr>
      </w:pPr>
    </w:p>
    <w:p w14:paraId="573DEC40" w14:textId="1181926B" w:rsidR="00E51E04" w:rsidRPr="001471C8" w:rsidRDefault="005C08C2" w:rsidP="00217B05">
      <w:pPr>
        <w:keepNext/>
        <w:keepLines/>
        <w:widowControl/>
        <w:tabs>
          <w:tab w:val="left" w:pos="-720"/>
        </w:tabs>
        <w:suppressAutoHyphens/>
        <w:contextualSpacing/>
        <w:rPr>
          <w:sz w:val="26"/>
          <w:szCs w:val="26"/>
        </w:rPr>
      </w:pPr>
      <w:r>
        <w:rPr>
          <w:noProof/>
        </w:rPr>
        <w:drawing>
          <wp:anchor distT="0" distB="0" distL="114300" distR="114300" simplePos="0" relativeHeight="251659264" behindDoc="1" locked="0" layoutInCell="1" allowOverlap="1" wp14:anchorId="1E632476" wp14:editId="60270CB5">
            <wp:simplePos x="0" y="0"/>
            <wp:positionH relativeFrom="column">
              <wp:posOffset>3190875</wp:posOffset>
            </wp:positionH>
            <wp:positionV relativeFrom="paragraph">
              <wp:posOffset>181610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51E04" w:rsidRPr="001471C8">
        <w:rPr>
          <w:b/>
          <w:sz w:val="26"/>
          <w:szCs w:val="26"/>
        </w:rPr>
        <w:tab/>
      </w:r>
      <w:r w:rsidR="00E51E04" w:rsidRPr="001471C8">
        <w:rPr>
          <w:b/>
          <w:sz w:val="26"/>
          <w:szCs w:val="26"/>
        </w:rPr>
        <w:tab/>
      </w:r>
      <w:r w:rsidR="00E51E04" w:rsidRPr="001471C8">
        <w:rPr>
          <w:b/>
          <w:sz w:val="26"/>
          <w:szCs w:val="26"/>
        </w:rPr>
        <w:tab/>
      </w:r>
      <w:r w:rsidR="00E51E04" w:rsidRPr="001471C8">
        <w:rPr>
          <w:b/>
          <w:sz w:val="26"/>
          <w:szCs w:val="26"/>
        </w:rPr>
        <w:tab/>
      </w:r>
      <w:r w:rsidR="00E51E04" w:rsidRPr="001471C8">
        <w:rPr>
          <w:b/>
          <w:sz w:val="26"/>
          <w:szCs w:val="26"/>
        </w:rPr>
        <w:tab/>
      </w:r>
      <w:r w:rsidR="00E51E04" w:rsidRPr="001471C8">
        <w:rPr>
          <w:b/>
          <w:sz w:val="26"/>
          <w:szCs w:val="26"/>
        </w:rPr>
        <w:tab/>
      </w:r>
      <w:r w:rsidR="00E51E04" w:rsidRPr="001471C8">
        <w:rPr>
          <w:b/>
          <w:sz w:val="26"/>
          <w:szCs w:val="26"/>
        </w:rPr>
        <w:tab/>
        <w:t>BY THE COMMISSION,</w:t>
      </w:r>
    </w:p>
    <w:p w14:paraId="7D9D449D" w14:textId="77777777" w:rsidR="00E51E04" w:rsidRPr="001471C8" w:rsidRDefault="00E51E04" w:rsidP="00217B05">
      <w:pPr>
        <w:keepNext/>
        <w:keepLines/>
        <w:widowControl/>
        <w:tabs>
          <w:tab w:val="left" w:pos="-720"/>
        </w:tabs>
        <w:suppressAutoHyphens/>
        <w:contextualSpacing/>
        <w:rPr>
          <w:sz w:val="26"/>
          <w:szCs w:val="26"/>
        </w:rPr>
      </w:pPr>
    </w:p>
    <w:p w14:paraId="155E346C" w14:textId="77777777" w:rsidR="00E51E04" w:rsidRPr="001471C8" w:rsidRDefault="00E51E04" w:rsidP="00217B05">
      <w:pPr>
        <w:keepNext/>
        <w:keepLines/>
        <w:widowControl/>
        <w:tabs>
          <w:tab w:val="left" w:pos="-720"/>
        </w:tabs>
        <w:suppressAutoHyphens/>
        <w:contextualSpacing/>
        <w:rPr>
          <w:sz w:val="26"/>
          <w:szCs w:val="26"/>
        </w:rPr>
      </w:pPr>
    </w:p>
    <w:p w14:paraId="5A0DD099" w14:textId="77777777" w:rsidR="00E51E04" w:rsidRPr="001471C8" w:rsidRDefault="00E51E04" w:rsidP="00217B05">
      <w:pPr>
        <w:keepNext/>
        <w:keepLines/>
        <w:widowControl/>
        <w:tabs>
          <w:tab w:val="left" w:pos="-720"/>
        </w:tabs>
        <w:suppressAutoHyphens/>
        <w:contextualSpacing/>
        <w:rPr>
          <w:sz w:val="26"/>
          <w:szCs w:val="26"/>
        </w:rPr>
      </w:pPr>
    </w:p>
    <w:p w14:paraId="5F0874B7" w14:textId="77777777" w:rsidR="00E51E04" w:rsidRPr="001471C8" w:rsidRDefault="00E51E04" w:rsidP="00217B05">
      <w:pPr>
        <w:keepNext/>
        <w:keepLines/>
        <w:widowControl/>
        <w:tabs>
          <w:tab w:val="left" w:pos="-720"/>
        </w:tabs>
        <w:suppressAutoHyphens/>
        <w:contextualSpacing/>
        <w:rPr>
          <w:sz w:val="26"/>
          <w:szCs w:val="26"/>
        </w:rPr>
      </w:pPr>
    </w:p>
    <w:p w14:paraId="62728957" w14:textId="77777777" w:rsidR="00E51E04" w:rsidRPr="001471C8" w:rsidRDefault="00E51E04" w:rsidP="00217B05">
      <w:pPr>
        <w:keepNext/>
        <w:keepLines/>
        <w:widowControl/>
        <w:tabs>
          <w:tab w:val="left" w:pos="-720"/>
        </w:tabs>
        <w:suppressAutoHyphens/>
        <w:contextualSpacing/>
        <w:rPr>
          <w:sz w:val="26"/>
          <w:szCs w:val="26"/>
        </w:rPr>
      </w:pP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t>Rosemary Chiavetta</w:t>
      </w:r>
    </w:p>
    <w:p w14:paraId="5F0BA7EB" w14:textId="77777777" w:rsidR="00E51E04" w:rsidRPr="001471C8" w:rsidRDefault="00E51E04" w:rsidP="00217B05">
      <w:pPr>
        <w:keepNext/>
        <w:keepLines/>
        <w:widowControl/>
        <w:tabs>
          <w:tab w:val="left" w:pos="-720"/>
        </w:tabs>
        <w:suppressAutoHyphens/>
        <w:contextualSpacing/>
        <w:rPr>
          <w:sz w:val="26"/>
          <w:szCs w:val="26"/>
        </w:rPr>
      </w:pP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r>
      <w:r w:rsidRPr="001471C8">
        <w:rPr>
          <w:sz w:val="26"/>
          <w:szCs w:val="26"/>
        </w:rPr>
        <w:tab/>
        <w:t>Secretary</w:t>
      </w:r>
    </w:p>
    <w:p w14:paraId="5D35CFFD" w14:textId="0298429A" w:rsidR="00E51E04" w:rsidRDefault="00E51E04" w:rsidP="00217B05">
      <w:pPr>
        <w:keepNext/>
        <w:keepLines/>
        <w:widowControl/>
        <w:tabs>
          <w:tab w:val="left" w:pos="-720"/>
        </w:tabs>
        <w:suppressAutoHyphens/>
        <w:contextualSpacing/>
        <w:rPr>
          <w:sz w:val="26"/>
          <w:szCs w:val="26"/>
        </w:rPr>
      </w:pPr>
    </w:p>
    <w:p w14:paraId="263FCD56" w14:textId="77777777" w:rsidR="004A6737" w:rsidRPr="001471C8" w:rsidRDefault="004A6737" w:rsidP="00217B05">
      <w:pPr>
        <w:keepNext/>
        <w:keepLines/>
        <w:widowControl/>
        <w:tabs>
          <w:tab w:val="left" w:pos="-720"/>
        </w:tabs>
        <w:suppressAutoHyphens/>
        <w:contextualSpacing/>
        <w:rPr>
          <w:sz w:val="26"/>
          <w:szCs w:val="26"/>
        </w:rPr>
      </w:pPr>
    </w:p>
    <w:p w14:paraId="63E06468" w14:textId="77777777" w:rsidR="00E51E04" w:rsidRPr="001471C8" w:rsidRDefault="00E51E04" w:rsidP="00217B05">
      <w:pPr>
        <w:keepNext/>
        <w:keepLines/>
        <w:widowControl/>
        <w:tabs>
          <w:tab w:val="left" w:pos="-720"/>
        </w:tabs>
        <w:suppressAutoHyphens/>
        <w:contextualSpacing/>
        <w:rPr>
          <w:sz w:val="26"/>
          <w:szCs w:val="26"/>
        </w:rPr>
      </w:pPr>
      <w:r w:rsidRPr="001471C8">
        <w:rPr>
          <w:sz w:val="26"/>
          <w:szCs w:val="26"/>
        </w:rPr>
        <w:t>(SEAL)</w:t>
      </w:r>
    </w:p>
    <w:p w14:paraId="3278CE43" w14:textId="77777777" w:rsidR="00E51E04" w:rsidRPr="001471C8" w:rsidRDefault="00E51E04" w:rsidP="00217B05">
      <w:pPr>
        <w:keepNext/>
        <w:keepLines/>
        <w:widowControl/>
        <w:tabs>
          <w:tab w:val="left" w:pos="-720"/>
        </w:tabs>
        <w:suppressAutoHyphens/>
        <w:contextualSpacing/>
        <w:rPr>
          <w:sz w:val="26"/>
          <w:szCs w:val="26"/>
        </w:rPr>
      </w:pPr>
    </w:p>
    <w:p w14:paraId="5F8DAA11" w14:textId="4101B9F3" w:rsidR="00E51E04" w:rsidRPr="001471C8" w:rsidRDefault="00E51E04" w:rsidP="00217B05">
      <w:pPr>
        <w:keepNext/>
        <w:keepLines/>
        <w:widowControl/>
        <w:tabs>
          <w:tab w:val="left" w:pos="-720"/>
        </w:tabs>
        <w:suppressAutoHyphens/>
        <w:contextualSpacing/>
        <w:rPr>
          <w:sz w:val="26"/>
          <w:szCs w:val="26"/>
        </w:rPr>
      </w:pPr>
      <w:r w:rsidRPr="001471C8">
        <w:rPr>
          <w:sz w:val="26"/>
          <w:szCs w:val="26"/>
        </w:rPr>
        <w:t xml:space="preserve">ORDER ADOPTED:  </w:t>
      </w:r>
      <w:r w:rsidR="009E7212" w:rsidRPr="001471C8">
        <w:rPr>
          <w:sz w:val="26"/>
          <w:szCs w:val="26"/>
        </w:rPr>
        <w:t>January 13, 2022</w:t>
      </w:r>
      <w:r w:rsidRPr="001471C8">
        <w:rPr>
          <w:sz w:val="26"/>
          <w:szCs w:val="26"/>
        </w:rPr>
        <w:t xml:space="preserve"> </w:t>
      </w:r>
    </w:p>
    <w:p w14:paraId="58C24430" w14:textId="77777777" w:rsidR="00E51E04" w:rsidRPr="001471C8" w:rsidRDefault="00E51E04" w:rsidP="00217B05">
      <w:pPr>
        <w:keepNext/>
        <w:keepLines/>
        <w:widowControl/>
        <w:tabs>
          <w:tab w:val="left" w:pos="-720"/>
        </w:tabs>
        <w:suppressAutoHyphens/>
        <w:contextualSpacing/>
        <w:rPr>
          <w:sz w:val="26"/>
          <w:szCs w:val="26"/>
        </w:rPr>
      </w:pPr>
    </w:p>
    <w:p w14:paraId="2FBEC280" w14:textId="67671E6C" w:rsidR="005E00AF" w:rsidRPr="001471C8" w:rsidRDefault="00E51E04" w:rsidP="00217B05">
      <w:pPr>
        <w:keepNext/>
        <w:keepLines/>
        <w:widowControl/>
        <w:tabs>
          <w:tab w:val="left" w:pos="-720"/>
        </w:tabs>
        <w:suppressAutoHyphens/>
        <w:contextualSpacing/>
        <w:rPr>
          <w:sz w:val="26"/>
          <w:szCs w:val="26"/>
        </w:rPr>
      </w:pPr>
      <w:r w:rsidRPr="001471C8">
        <w:rPr>
          <w:sz w:val="26"/>
          <w:szCs w:val="26"/>
        </w:rPr>
        <w:t xml:space="preserve">ORDER ENTERED:  </w:t>
      </w:r>
      <w:r w:rsidR="005C08C2">
        <w:rPr>
          <w:sz w:val="26"/>
          <w:szCs w:val="26"/>
        </w:rPr>
        <w:t>January 13, 2022</w:t>
      </w:r>
    </w:p>
    <w:sectPr w:rsidR="005E00AF" w:rsidRPr="001471C8" w:rsidSect="00825798">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42E8" w14:textId="77777777" w:rsidR="00662579" w:rsidRDefault="00662579" w:rsidP="008F0859">
      <w:r>
        <w:separator/>
      </w:r>
    </w:p>
    <w:p w14:paraId="71C18024" w14:textId="77777777" w:rsidR="00662579" w:rsidRDefault="00662579"/>
  </w:endnote>
  <w:endnote w:type="continuationSeparator" w:id="0">
    <w:p w14:paraId="5640835A" w14:textId="77777777" w:rsidR="00662579" w:rsidRDefault="00662579" w:rsidP="008F0859">
      <w:r>
        <w:continuationSeparator/>
      </w:r>
    </w:p>
    <w:p w14:paraId="03FBEB11" w14:textId="77777777" w:rsidR="00662579" w:rsidRDefault="00662579"/>
  </w:endnote>
  <w:endnote w:type="continuationNotice" w:id="1">
    <w:p w14:paraId="24238C0D" w14:textId="77777777" w:rsidR="00662579" w:rsidRDefault="00662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859929"/>
      <w:docPartObj>
        <w:docPartGallery w:val="Page Numbers (Bottom of Page)"/>
        <w:docPartUnique/>
      </w:docPartObj>
    </w:sdtPr>
    <w:sdtEndPr>
      <w:rPr>
        <w:noProof/>
        <w:sz w:val="26"/>
        <w:szCs w:val="26"/>
      </w:rPr>
    </w:sdtEndPr>
    <w:sdtContent>
      <w:p w14:paraId="34C44022" w14:textId="77777777" w:rsidR="00192BEA" w:rsidRPr="008A14E6" w:rsidRDefault="00192BEA">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E06F74">
          <w:rPr>
            <w:noProof/>
            <w:sz w:val="26"/>
            <w:szCs w:val="26"/>
          </w:rPr>
          <w:t>15</w:t>
        </w:r>
        <w:r w:rsidRPr="008A14E6">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25139"/>
      <w:docPartObj>
        <w:docPartGallery w:val="Page Numbers (Bottom of Page)"/>
        <w:docPartUnique/>
      </w:docPartObj>
    </w:sdtPr>
    <w:sdtEndPr>
      <w:rPr>
        <w:noProof/>
      </w:rPr>
    </w:sdtEndPr>
    <w:sdtContent>
      <w:p w14:paraId="3A3E9BA6" w14:textId="2910CC97" w:rsidR="00773553" w:rsidRDefault="00773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ABF09" w14:textId="77777777" w:rsidR="00BC41B7" w:rsidRDefault="00BC4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576784"/>
      <w:docPartObj>
        <w:docPartGallery w:val="Page Numbers (Bottom of Page)"/>
        <w:docPartUnique/>
      </w:docPartObj>
    </w:sdtPr>
    <w:sdtEndPr>
      <w:rPr>
        <w:noProof/>
        <w:sz w:val="26"/>
        <w:szCs w:val="26"/>
      </w:rPr>
    </w:sdtEndPr>
    <w:sdtContent>
      <w:p w14:paraId="42DA2894" w14:textId="77777777" w:rsidR="00825798" w:rsidRPr="008A14E6" w:rsidRDefault="00825798">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Pr>
            <w:noProof/>
            <w:sz w:val="26"/>
            <w:szCs w:val="26"/>
          </w:rPr>
          <w:t>15</w:t>
        </w:r>
        <w:r w:rsidRPr="008A14E6">
          <w:rPr>
            <w:noProof/>
            <w:sz w:val="26"/>
            <w:szCs w:val="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B30F" w14:textId="77777777" w:rsidR="00BC41B7" w:rsidRDefault="00BC4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D140" w14:textId="77777777" w:rsidR="00662579" w:rsidRDefault="00662579">
      <w:r>
        <w:separator/>
      </w:r>
    </w:p>
  </w:footnote>
  <w:footnote w:type="continuationSeparator" w:id="0">
    <w:p w14:paraId="2719F3EA" w14:textId="77777777" w:rsidR="00662579" w:rsidRDefault="00662579" w:rsidP="008F0859">
      <w:r>
        <w:continuationSeparator/>
      </w:r>
    </w:p>
    <w:p w14:paraId="29AF233D" w14:textId="77777777" w:rsidR="00662579" w:rsidRDefault="00662579"/>
  </w:footnote>
  <w:footnote w:type="continuationNotice" w:id="1">
    <w:p w14:paraId="56743C93" w14:textId="77777777" w:rsidR="00662579" w:rsidRDefault="00662579"/>
  </w:footnote>
  <w:footnote w:id="2">
    <w:p w14:paraId="20ABF319" w14:textId="103B5C8B" w:rsidR="00D12A70" w:rsidRPr="005E068D" w:rsidRDefault="00D12A70" w:rsidP="00355643">
      <w:pPr>
        <w:pStyle w:val="FootnoteText"/>
        <w:keepNext/>
        <w:keepLines/>
        <w:widowControl/>
        <w:spacing w:after="120"/>
        <w:rPr>
          <w:color w:val="000000"/>
          <w:sz w:val="26"/>
          <w:szCs w:val="26"/>
        </w:rPr>
      </w:pPr>
      <w:r w:rsidRPr="005E068D">
        <w:rPr>
          <w:color w:val="000000"/>
          <w:sz w:val="26"/>
          <w:szCs w:val="26"/>
        </w:rPr>
        <w:tab/>
      </w:r>
      <w:r w:rsidRPr="005E068D">
        <w:rPr>
          <w:rStyle w:val="FootnoteReference"/>
          <w:color w:val="000000"/>
          <w:sz w:val="26"/>
          <w:szCs w:val="26"/>
        </w:rPr>
        <w:footnoteRef/>
      </w:r>
      <w:r w:rsidRPr="005E068D">
        <w:rPr>
          <w:color w:val="000000"/>
          <w:sz w:val="26"/>
          <w:szCs w:val="26"/>
        </w:rPr>
        <w:t xml:space="preserve"> </w:t>
      </w:r>
      <w:r w:rsidRPr="005E068D">
        <w:rPr>
          <w:color w:val="000000"/>
          <w:sz w:val="26"/>
          <w:szCs w:val="26"/>
        </w:rPr>
        <w:tab/>
      </w:r>
      <w:r w:rsidRPr="00062C9E">
        <w:rPr>
          <w:i/>
          <w:iCs/>
          <w:color w:val="000000"/>
          <w:sz w:val="26"/>
          <w:szCs w:val="26"/>
        </w:rPr>
        <w:t>See</w:t>
      </w:r>
      <w:r>
        <w:rPr>
          <w:color w:val="000000"/>
          <w:sz w:val="26"/>
          <w:szCs w:val="26"/>
        </w:rPr>
        <w:t xml:space="preserve"> </w:t>
      </w:r>
      <w:r w:rsidRPr="005E068D">
        <w:rPr>
          <w:i/>
          <w:color w:val="000000"/>
          <w:sz w:val="26"/>
          <w:szCs w:val="26"/>
        </w:rPr>
        <w:t>Petition for Amended Alternative Regulation and Network Modernization Plan of The United Telephone Company of Pennsylvania d/b/a CenturyLink</w:t>
      </w:r>
      <w:r w:rsidRPr="005E068D">
        <w:rPr>
          <w:color w:val="000000"/>
          <w:sz w:val="26"/>
          <w:szCs w:val="26"/>
        </w:rPr>
        <w:t>, Docket No. P-00981410F1000 (Order entered June 23, 2005).</w:t>
      </w:r>
    </w:p>
  </w:footnote>
  <w:footnote w:id="3">
    <w:p w14:paraId="2B0DC7DC" w14:textId="5A8ADE2C" w:rsidR="00873964" w:rsidRPr="00A72BDE" w:rsidRDefault="00873964" w:rsidP="00355643">
      <w:pPr>
        <w:pStyle w:val="FootnoteText"/>
        <w:keepNext/>
        <w:keepLines/>
        <w:widowControl/>
        <w:spacing w:after="120"/>
        <w:rPr>
          <w:sz w:val="26"/>
          <w:szCs w:val="26"/>
        </w:rPr>
      </w:pPr>
      <w:r>
        <w:tab/>
      </w:r>
      <w:r w:rsidRPr="00A72BDE">
        <w:rPr>
          <w:rStyle w:val="FootnoteReference"/>
          <w:sz w:val="26"/>
          <w:szCs w:val="26"/>
        </w:rPr>
        <w:footnoteRef/>
      </w:r>
      <w:r w:rsidRPr="00A72BDE">
        <w:rPr>
          <w:sz w:val="26"/>
          <w:szCs w:val="26"/>
        </w:rPr>
        <w:t xml:space="preserve"> </w:t>
      </w:r>
      <w:r w:rsidRPr="00A72BDE">
        <w:rPr>
          <w:sz w:val="26"/>
          <w:szCs w:val="26"/>
        </w:rPr>
        <w:tab/>
      </w:r>
      <w:r>
        <w:rPr>
          <w:sz w:val="26"/>
          <w:szCs w:val="26"/>
        </w:rPr>
        <w:t xml:space="preserve">All Pennsylvania Incumbent Local Exchange Carriers (ILECs) subject to price cap regulation have a </w:t>
      </w:r>
      <w:r w:rsidR="00264F4E">
        <w:rPr>
          <w:sz w:val="26"/>
          <w:szCs w:val="26"/>
        </w:rPr>
        <w:t>PSP</w:t>
      </w:r>
      <w:r>
        <w:rPr>
          <w:sz w:val="26"/>
          <w:szCs w:val="26"/>
        </w:rPr>
        <w:t xml:space="preserve"> included within their respective Chapter 30 Plans.</w:t>
      </w:r>
    </w:p>
  </w:footnote>
  <w:footnote w:id="4">
    <w:p w14:paraId="268B02AA" w14:textId="1E04806C" w:rsidR="00A27210" w:rsidRPr="00A27210" w:rsidRDefault="00A27210" w:rsidP="00FC16C5">
      <w:pPr>
        <w:pStyle w:val="FootnoteText"/>
        <w:keepNext/>
        <w:keepLines/>
        <w:widowControl/>
        <w:rPr>
          <w:sz w:val="26"/>
          <w:szCs w:val="26"/>
        </w:rPr>
      </w:pPr>
      <w:r w:rsidRPr="00A27210">
        <w:rPr>
          <w:sz w:val="26"/>
          <w:szCs w:val="26"/>
        </w:rPr>
        <w:tab/>
      </w:r>
      <w:r w:rsidRPr="00A27210">
        <w:rPr>
          <w:rStyle w:val="FootnoteReference"/>
          <w:sz w:val="26"/>
          <w:szCs w:val="26"/>
        </w:rPr>
        <w:footnoteRef/>
      </w:r>
      <w:r w:rsidRPr="00A27210">
        <w:rPr>
          <w:sz w:val="26"/>
          <w:szCs w:val="26"/>
        </w:rPr>
        <w:tab/>
      </w:r>
      <w:r w:rsidR="00914ABA">
        <w:rPr>
          <w:sz w:val="26"/>
          <w:szCs w:val="26"/>
        </w:rPr>
        <w:t>A “n</w:t>
      </w:r>
      <w:r w:rsidR="00E37F68">
        <w:rPr>
          <w:sz w:val="26"/>
          <w:szCs w:val="26"/>
        </w:rPr>
        <w:t>oncompetitive service</w:t>
      </w:r>
      <w:r w:rsidR="00914ABA">
        <w:rPr>
          <w:sz w:val="26"/>
          <w:szCs w:val="26"/>
        </w:rPr>
        <w:t>”</w:t>
      </w:r>
      <w:r w:rsidR="00E37F68">
        <w:rPr>
          <w:sz w:val="26"/>
          <w:szCs w:val="26"/>
        </w:rPr>
        <w:t xml:space="preserve"> </w:t>
      </w:r>
      <w:r w:rsidR="00914ABA">
        <w:rPr>
          <w:sz w:val="26"/>
          <w:szCs w:val="26"/>
        </w:rPr>
        <w:t>is</w:t>
      </w:r>
      <w:r w:rsidR="00E37F68">
        <w:rPr>
          <w:sz w:val="26"/>
          <w:szCs w:val="26"/>
        </w:rPr>
        <w:t xml:space="preserve"> defined in Section 3012 of the Code, 66</w:t>
      </w:r>
      <w:r w:rsidR="00FC16C5">
        <w:rPr>
          <w:sz w:val="26"/>
          <w:szCs w:val="26"/>
        </w:rPr>
        <w:t> </w:t>
      </w:r>
      <w:r w:rsidR="00E37F68">
        <w:rPr>
          <w:sz w:val="26"/>
          <w:szCs w:val="26"/>
        </w:rPr>
        <w:t>Pa.</w:t>
      </w:r>
      <w:r w:rsidR="00FC16C5">
        <w:rPr>
          <w:sz w:val="26"/>
          <w:szCs w:val="26"/>
        </w:rPr>
        <w:t> </w:t>
      </w:r>
      <w:r w:rsidR="00E37F68">
        <w:rPr>
          <w:sz w:val="26"/>
          <w:szCs w:val="26"/>
        </w:rPr>
        <w:t xml:space="preserve">C.S. § 3012 </w:t>
      </w:r>
      <w:r w:rsidR="00F05E8F">
        <w:rPr>
          <w:sz w:val="26"/>
          <w:szCs w:val="26"/>
        </w:rPr>
        <w:t>as “[a] regulated telecommunications service or business activity that has not been determined or declared to be competitive.”</w:t>
      </w:r>
    </w:p>
  </w:footnote>
  <w:footnote w:id="5">
    <w:p w14:paraId="7D0AD7CA" w14:textId="77777777" w:rsidR="001A2ED8" w:rsidRPr="001A2ED8" w:rsidRDefault="00E61E6E" w:rsidP="00532A5A">
      <w:pPr>
        <w:keepNext/>
        <w:keepLines/>
        <w:widowControl/>
        <w:contextualSpacing/>
        <w:rPr>
          <w:sz w:val="26"/>
          <w:szCs w:val="26"/>
        </w:rPr>
      </w:pPr>
      <w:r>
        <w:rPr>
          <w:sz w:val="26"/>
          <w:szCs w:val="26"/>
        </w:rPr>
        <w:tab/>
      </w:r>
      <w:r w:rsidRPr="001A2ED8">
        <w:rPr>
          <w:rStyle w:val="FootnoteReference"/>
          <w:sz w:val="26"/>
          <w:szCs w:val="26"/>
        </w:rPr>
        <w:footnoteRef/>
      </w:r>
      <w:r w:rsidRPr="001A2ED8">
        <w:rPr>
          <w:sz w:val="26"/>
          <w:szCs w:val="26"/>
        </w:rPr>
        <w:tab/>
      </w:r>
      <w:r w:rsidR="001A2ED8" w:rsidRPr="001A2ED8">
        <w:rPr>
          <w:sz w:val="26"/>
          <w:szCs w:val="26"/>
        </w:rPr>
        <w:t>Section 3012 of the Code, 66 Pa. C. S. § 3012, defines “protected service” as follows:</w:t>
      </w:r>
    </w:p>
    <w:p w14:paraId="2405519A" w14:textId="77777777" w:rsidR="001A2ED8" w:rsidRPr="001A2ED8" w:rsidRDefault="001A2ED8" w:rsidP="00532A5A">
      <w:pPr>
        <w:keepNext/>
        <w:keepLines/>
        <w:widowControl/>
        <w:ind w:firstLine="1440"/>
        <w:contextualSpacing/>
        <w:rPr>
          <w:sz w:val="26"/>
          <w:szCs w:val="26"/>
        </w:rPr>
      </w:pPr>
    </w:p>
    <w:p w14:paraId="7B18461A" w14:textId="77777777" w:rsidR="001A2ED8" w:rsidRPr="001A2ED8" w:rsidRDefault="001A2ED8" w:rsidP="00532A5A">
      <w:pPr>
        <w:keepNext/>
        <w:keepLines/>
        <w:widowControl/>
        <w:ind w:left="2160" w:right="1440"/>
        <w:contextualSpacing/>
        <w:rPr>
          <w:sz w:val="26"/>
          <w:szCs w:val="26"/>
        </w:rPr>
      </w:pPr>
      <w:r w:rsidRPr="001A2ED8">
        <w:rPr>
          <w:b/>
          <w:bCs/>
          <w:sz w:val="26"/>
          <w:szCs w:val="26"/>
        </w:rPr>
        <w:t>“Protected service.”</w:t>
      </w:r>
      <w:r w:rsidRPr="001A2ED8">
        <w:rPr>
          <w:sz w:val="26"/>
          <w:szCs w:val="26"/>
        </w:rPr>
        <w:t xml:space="preserve"> The following telecommunications services provided by a local exchange telecommunications company unless the commission has determined the service to be competitive:</w:t>
      </w:r>
    </w:p>
    <w:p w14:paraId="6D464662" w14:textId="77777777" w:rsidR="001A2ED8" w:rsidRPr="001A2ED8" w:rsidRDefault="001A2ED8" w:rsidP="00532A5A">
      <w:pPr>
        <w:keepNext/>
        <w:keepLines/>
        <w:widowControl/>
        <w:ind w:left="2160" w:right="1440"/>
        <w:contextualSpacing/>
        <w:rPr>
          <w:sz w:val="26"/>
          <w:szCs w:val="26"/>
        </w:rPr>
      </w:pPr>
      <w:r w:rsidRPr="001A2ED8">
        <w:rPr>
          <w:sz w:val="26"/>
          <w:szCs w:val="26"/>
        </w:rPr>
        <w:t>(1) Service provided to residential consumers or business consumers that is necessary to complete a local exchange call.</w:t>
      </w:r>
    </w:p>
    <w:p w14:paraId="3C071005" w14:textId="77777777" w:rsidR="001A2ED8" w:rsidRPr="001A2ED8" w:rsidRDefault="001A2ED8" w:rsidP="00532A5A">
      <w:pPr>
        <w:keepNext/>
        <w:keepLines/>
        <w:widowControl/>
        <w:ind w:left="2160" w:right="1440"/>
        <w:contextualSpacing/>
        <w:rPr>
          <w:sz w:val="26"/>
          <w:szCs w:val="26"/>
        </w:rPr>
      </w:pPr>
      <w:r w:rsidRPr="001A2ED8">
        <w:rPr>
          <w:sz w:val="26"/>
          <w:szCs w:val="26"/>
        </w:rPr>
        <w:t>(2) Touch-tone service.</w:t>
      </w:r>
    </w:p>
    <w:p w14:paraId="75FE5160" w14:textId="77777777" w:rsidR="001A2ED8" w:rsidRPr="001A2ED8" w:rsidRDefault="001A2ED8" w:rsidP="00532A5A">
      <w:pPr>
        <w:keepNext/>
        <w:keepLines/>
        <w:widowControl/>
        <w:ind w:left="2160" w:right="1440"/>
        <w:contextualSpacing/>
        <w:rPr>
          <w:sz w:val="26"/>
          <w:szCs w:val="26"/>
        </w:rPr>
      </w:pPr>
      <w:r w:rsidRPr="001A2ED8">
        <w:rPr>
          <w:sz w:val="26"/>
          <w:szCs w:val="26"/>
        </w:rPr>
        <w:t>(3) Switched access service.</w:t>
      </w:r>
    </w:p>
    <w:p w14:paraId="3884CD9B" w14:textId="77777777" w:rsidR="001A2ED8" w:rsidRPr="001A2ED8" w:rsidRDefault="001A2ED8" w:rsidP="00532A5A">
      <w:pPr>
        <w:keepNext/>
        <w:keepLines/>
        <w:widowControl/>
        <w:ind w:left="2160" w:right="1440"/>
        <w:contextualSpacing/>
        <w:rPr>
          <w:sz w:val="26"/>
          <w:szCs w:val="26"/>
        </w:rPr>
      </w:pPr>
      <w:r w:rsidRPr="001A2ED8">
        <w:rPr>
          <w:sz w:val="26"/>
          <w:szCs w:val="26"/>
        </w:rPr>
        <w:t>(4) Special access service.</w:t>
      </w:r>
    </w:p>
    <w:p w14:paraId="59D0855B" w14:textId="77777777" w:rsidR="001A2ED8" w:rsidRPr="001A2ED8" w:rsidRDefault="001A2ED8" w:rsidP="00532A5A">
      <w:pPr>
        <w:keepNext/>
        <w:keepLines/>
        <w:widowControl/>
        <w:ind w:left="2160" w:right="1440"/>
        <w:contextualSpacing/>
        <w:rPr>
          <w:sz w:val="26"/>
          <w:szCs w:val="26"/>
        </w:rPr>
      </w:pPr>
      <w:r w:rsidRPr="001A2ED8">
        <w:rPr>
          <w:sz w:val="26"/>
          <w:szCs w:val="26"/>
        </w:rPr>
        <w:t xml:space="preserve">(5) Ordering, installation, </w:t>
      </w:r>
      <w:proofErr w:type="gramStart"/>
      <w:r w:rsidRPr="001A2ED8">
        <w:rPr>
          <w:sz w:val="26"/>
          <w:szCs w:val="26"/>
        </w:rPr>
        <w:t>restoration</w:t>
      </w:r>
      <w:proofErr w:type="gramEnd"/>
      <w:r w:rsidRPr="001A2ED8">
        <w:rPr>
          <w:sz w:val="26"/>
          <w:szCs w:val="26"/>
        </w:rPr>
        <w:t xml:space="preserve"> and disconnection of these services.</w:t>
      </w:r>
    </w:p>
    <w:p w14:paraId="2F98C9EE" w14:textId="77777777" w:rsidR="001A2ED8" w:rsidRPr="001A2ED8" w:rsidRDefault="001A2ED8" w:rsidP="00532A5A">
      <w:pPr>
        <w:keepNext/>
        <w:keepLines/>
        <w:widowControl/>
        <w:ind w:left="1440" w:right="1440"/>
        <w:contextualSpacing/>
        <w:rPr>
          <w:sz w:val="26"/>
          <w:szCs w:val="26"/>
        </w:rPr>
      </w:pPr>
    </w:p>
    <w:p w14:paraId="48F0206B" w14:textId="76166CA8" w:rsidR="00C81275" w:rsidRPr="00E61E6E" w:rsidRDefault="001A2ED8" w:rsidP="00532A5A">
      <w:pPr>
        <w:keepNext/>
        <w:keepLines/>
        <w:widowControl/>
        <w:ind w:right="1440"/>
        <w:contextualSpacing/>
        <w:rPr>
          <w:sz w:val="26"/>
          <w:szCs w:val="26"/>
        </w:rPr>
      </w:pPr>
      <w:r w:rsidRPr="001A2ED8">
        <w:rPr>
          <w:sz w:val="26"/>
          <w:szCs w:val="26"/>
        </w:rPr>
        <w:t>66 Pa. C.S. § 3012 (Definition of “protected service”).</w:t>
      </w:r>
    </w:p>
  </w:footnote>
  <w:footnote w:id="6">
    <w:p w14:paraId="7A6ED813" w14:textId="003105CF" w:rsidR="00E2093B" w:rsidRPr="00E2093B" w:rsidRDefault="00E2093B" w:rsidP="00654E68">
      <w:pPr>
        <w:pStyle w:val="FootnoteText"/>
        <w:keepNext/>
        <w:keepLines/>
        <w:widowControl/>
        <w:contextualSpacing/>
        <w:rPr>
          <w:i/>
          <w:sz w:val="26"/>
          <w:szCs w:val="26"/>
        </w:rPr>
      </w:pPr>
      <w:r>
        <w:rPr>
          <w:sz w:val="26"/>
          <w:szCs w:val="26"/>
        </w:rPr>
        <w:tab/>
      </w:r>
      <w:r w:rsidRPr="00E2093B">
        <w:rPr>
          <w:rStyle w:val="FootnoteReference"/>
          <w:sz w:val="26"/>
          <w:szCs w:val="26"/>
        </w:rPr>
        <w:footnoteRef/>
      </w:r>
      <w:r>
        <w:rPr>
          <w:sz w:val="26"/>
          <w:szCs w:val="26"/>
        </w:rPr>
        <w:tab/>
      </w:r>
      <w:r w:rsidRPr="00E2093B">
        <w:rPr>
          <w:sz w:val="26"/>
          <w:szCs w:val="26"/>
        </w:rPr>
        <w:t xml:space="preserve">CenturyLink’s Chapter 30 </w:t>
      </w:r>
      <w:r>
        <w:rPr>
          <w:sz w:val="26"/>
          <w:szCs w:val="26"/>
        </w:rPr>
        <w:t>P</w:t>
      </w:r>
      <w:r w:rsidRPr="00E2093B">
        <w:rPr>
          <w:sz w:val="26"/>
          <w:szCs w:val="26"/>
        </w:rPr>
        <w:t xml:space="preserve">lan </w:t>
      </w:r>
      <w:r>
        <w:rPr>
          <w:sz w:val="26"/>
          <w:szCs w:val="26"/>
        </w:rPr>
        <w:t xml:space="preserve">also </w:t>
      </w:r>
      <w:r w:rsidRPr="00E2093B">
        <w:rPr>
          <w:sz w:val="26"/>
          <w:szCs w:val="26"/>
        </w:rPr>
        <w:t xml:space="preserve">provides that </w:t>
      </w:r>
      <w:r w:rsidR="00FF7B69" w:rsidRPr="00FF7B69">
        <w:rPr>
          <w:sz w:val="26"/>
          <w:szCs w:val="26"/>
        </w:rPr>
        <w:t>certain decreases “may be banked for application in future years, not to exceed four (4) consecutive years.”</w:t>
      </w:r>
      <w:r w:rsidR="00FF7B69">
        <w:rPr>
          <w:sz w:val="26"/>
          <w:szCs w:val="26"/>
        </w:rPr>
        <w:t xml:space="preserve">  In addition, the Company’s Chapter 30 Plan states that </w:t>
      </w:r>
      <w:r w:rsidRPr="00E2093B">
        <w:rPr>
          <w:sz w:val="26"/>
          <w:szCs w:val="26"/>
        </w:rPr>
        <w:t>“[f]or annual price increases, the Company may apply them in future years, without limitation as to time.”</w:t>
      </w:r>
      <w:r w:rsidR="00022F68">
        <w:rPr>
          <w:sz w:val="26"/>
          <w:szCs w:val="26"/>
        </w:rPr>
        <w:t xml:space="preserve"> </w:t>
      </w:r>
      <w:r w:rsidRPr="00E2093B">
        <w:rPr>
          <w:sz w:val="26"/>
          <w:szCs w:val="26"/>
        </w:rPr>
        <w:t xml:space="preserve"> </w:t>
      </w:r>
      <w:r w:rsidRPr="00E2093B">
        <w:rPr>
          <w:i/>
          <w:sz w:val="26"/>
          <w:szCs w:val="26"/>
        </w:rPr>
        <w:t xml:space="preserve">See </w:t>
      </w:r>
      <w:r>
        <w:rPr>
          <w:sz w:val="26"/>
          <w:szCs w:val="26"/>
        </w:rPr>
        <w:t>CenturyLink</w:t>
      </w:r>
      <w:r w:rsidRPr="00E2093B">
        <w:rPr>
          <w:sz w:val="26"/>
          <w:szCs w:val="26"/>
        </w:rPr>
        <w:t xml:space="preserve"> Chapter 30 Plan at 24</w:t>
      </w:r>
      <w:r>
        <w:rPr>
          <w:sz w:val="26"/>
          <w:szCs w:val="26"/>
        </w:rPr>
        <w:t>,</w:t>
      </w:r>
      <w:r w:rsidRPr="00E2093B">
        <w:rPr>
          <w:sz w:val="26"/>
          <w:szCs w:val="26"/>
        </w:rPr>
        <w:t xml:space="preserve"> n.14.</w:t>
      </w:r>
    </w:p>
  </w:footnote>
  <w:footnote w:id="7">
    <w:p w14:paraId="18006484" w14:textId="6E4B692B" w:rsidR="002C4174" w:rsidRPr="00384A6F" w:rsidRDefault="002C4174" w:rsidP="00532A5A">
      <w:pPr>
        <w:pStyle w:val="FootnoteText"/>
        <w:keepNext/>
        <w:keepLines/>
        <w:widowControl/>
        <w:contextualSpacing/>
        <w:rPr>
          <w:sz w:val="26"/>
          <w:szCs w:val="26"/>
        </w:rPr>
      </w:pPr>
      <w:r w:rsidRPr="00384A6F">
        <w:rPr>
          <w:sz w:val="26"/>
          <w:szCs w:val="26"/>
        </w:rPr>
        <w:tab/>
      </w:r>
      <w:r w:rsidRPr="00384A6F">
        <w:rPr>
          <w:rStyle w:val="FootnoteReference"/>
          <w:sz w:val="26"/>
          <w:szCs w:val="26"/>
        </w:rPr>
        <w:footnoteRef/>
      </w:r>
      <w:r w:rsidRPr="00384A6F">
        <w:rPr>
          <w:sz w:val="26"/>
          <w:szCs w:val="26"/>
        </w:rPr>
        <w:tab/>
        <w:t>In this Opinion and Order, we shall use the terms ILEC and RLEC interchangeably.</w:t>
      </w:r>
    </w:p>
  </w:footnote>
  <w:footnote w:id="8">
    <w:p w14:paraId="5F80418E" w14:textId="0FBC6D2E" w:rsidR="00FF1C4B" w:rsidRPr="00FF1C4B" w:rsidRDefault="00FF1C4B" w:rsidP="00532A5A">
      <w:pPr>
        <w:pStyle w:val="FootnoteText"/>
        <w:keepNext/>
        <w:keepLines/>
        <w:widowControl/>
        <w:contextualSpacing/>
        <w:rPr>
          <w:sz w:val="26"/>
          <w:szCs w:val="26"/>
        </w:rPr>
      </w:pPr>
      <w:r w:rsidRPr="00FF1C4B">
        <w:rPr>
          <w:sz w:val="26"/>
          <w:szCs w:val="26"/>
        </w:rPr>
        <w:tab/>
      </w:r>
      <w:r w:rsidRPr="00FF1C4B">
        <w:rPr>
          <w:rStyle w:val="FootnoteReference"/>
          <w:sz w:val="26"/>
          <w:szCs w:val="26"/>
        </w:rPr>
        <w:footnoteRef/>
      </w:r>
      <w:r w:rsidRPr="00FF1C4B">
        <w:rPr>
          <w:sz w:val="26"/>
          <w:szCs w:val="26"/>
        </w:rPr>
        <w:tab/>
        <w:t xml:space="preserve">These ten RLECs were </w:t>
      </w:r>
      <w:r w:rsidRPr="00FF1C4B">
        <w:rPr>
          <w:color w:val="000000"/>
          <w:sz w:val="26"/>
          <w:szCs w:val="26"/>
        </w:rPr>
        <w:t>Consolidated Communications of Pennsylvania Company, Windstream Buffalo Valley, Inc., Windstream Conestoga, Inc., Windstream D&amp;E, Inc., Windstream Pennsylvania, LLC, Bentleyville Communications Corporation,</w:t>
      </w:r>
      <w:r w:rsidRPr="00FF1C4B">
        <w:rPr>
          <w:color w:val="000000"/>
          <w:sz w:val="26"/>
          <w:szCs w:val="26"/>
        </w:rPr>
        <w:br/>
        <w:t>Hickory Telephone Company, Lackawaxen Telecommunications Services, Inc.,</w:t>
      </w:r>
      <w:r w:rsidRPr="00FF1C4B">
        <w:rPr>
          <w:color w:val="000000"/>
          <w:sz w:val="26"/>
          <w:szCs w:val="26"/>
        </w:rPr>
        <w:br/>
        <w:t>Marianna &amp; Scenery Hill Telephone Company, and The North</w:t>
      </w:r>
      <w:r w:rsidRPr="00FF1C4B">
        <w:rPr>
          <w:color w:val="000000"/>
          <w:sz w:val="26"/>
          <w:szCs w:val="26"/>
        </w:rPr>
        <w:noBreakHyphen/>
        <w:t>Eastern Pennsylvania Telephone Company</w:t>
      </w:r>
      <w:r>
        <w:rPr>
          <w:color w:val="000000"/>
          <w:sz w:val="26"/>
          <w:szCs w:val="26"/>
        </w:rPr>
        <w:t xml:space="preserve">.  </w:t>
      </w:r>
      <w:r>
        <w:rPr>
          <w:i/>
          <w:iCs/>
          <w:color w:val="000000"/>
          <w:sz w:val="26"/>
          <w:szCs w:val="26"/>
        </w:rPr>
        <w:t xml:space="preserve">October 2018 Order </w:t>
      </w:r>
      <w:r>
        <w:rPr>
          <w:color w:val="000000"/>
          <w:sz w:val="26"/>
          <w:szCs w:val="26"/>
        </w:rPr>
        <w:t>at 1.</w:t>
      </w:r>
    </w:p>
  </w:footnote>
  <w:footnote w:id="9">
    <w:p w14:paraId="5DF77215" w14:textId="346E4775" w:rsidR="0036633C" w:rsidRPr="00CD736D" w:rsidRDefault="0036633C" w:rsidP="00532A5A">
      <w:pPr>
        <w:pStyle w:val="FootnoteText"/>
        <w:keepNext/>
        <w:keepLines/>
        <w:widowControl/>
        <w:contextualSpacing/>
        <w:rPr>
          <w:sz w:val="26"/>
          <w:szCs w:val="26"/>
        </w:rPr>
      </w:pPr>
      <w:r w:rsidRPr="00CD736D">
        <w:rPr>
          <w:sz w:val="26"/>
          <w:szCs w:val="26"/>
        </w:rPr>
        <w:tab/>
      </w:r>
      <w:r w:rsidRPr="00CD736D">
        <w:rPr>
          <w:rStyle w:val="FootnoteReference"/>
          <w:sz w:val="26"/>
          <w:szCs w:val="26"/>
        </w:rPr>
        <w:footnoteRef/>
      </w:r>
      <w:r w:rsidRPr="00CD736D">
        <w:rPr>
          <w:sz w:val="26"/>
          <w:szCs w:val="26"/>
        </w:rPr>
        <w:tab/>
      </w:r>
      <w:r w:rsidR="00CD736D" w:rsidRPr="00CD736D">
        <w:rPr>
          <w:sz w:val="26"/>
          <w:szCs w:val="26"/>
        </w:rPr>
        <w:t>CenturyLink will provide advance notice of its 2020 PSP Filing in mid</w:t>
      </w:r>
      <w:r w:rsidR="00451289">
        <w:rPr>
          <w:sz w:val="26"/>
          <w:szCs w:val="26"/>
        </w:rPr>
        <w:noBreakHyphen/>
      </w:r>
      <w:r w:rsidR="00CD736D" w:rsidRPr="00CD736D">
        <w:rPr>
          <w:sz w:val="26"/>
          <w:szCs w:val="26"/>
        </w:rPr>
        <w:t>August 2020, as required by CenturyLink’s Amended Chapter 30 Plan.</w:t>
      </w:r>
    </w:p>
  </w:footnote>
  <w:footnote w:id="10">
    <w:p w14:paraId="205B5A6E" w14:textId="42DE5F17" w:rsidR="002A7220" w:rsidRPr="002A7220" w:rsidRDefault="002A7220" w:rsidP="00532A5A">
      <w:pPr>
        <w:pStyle w:val="FootnoteText"/>
        <w:keepNext/>
        <w:keepLines/>
        <w:widowControl/>
        <w:contextualSpacing/>
        <w:rPr>
          <w:sz w:val="26"/>
          <w:szCs w:val="26"/>
        </w:rPr>
      </w:pPr>
      <w:r w:rsidRPr="002A7220">
        <w:rPr>
          <w:sz w:val="26"/>
          <w:szCs w:val="26"/>
        </w:rPr>
        <w:tab/>
      </w:r>
      <w:r w:rsidRPr="002A7220">
        <w:rPr>
          <w:rStyle w:val="FootnoteReference"/>
          <w:sz w:val="26"/>
          <w:szCs w:val="26"/>
        </w:rPr>
        <w:footnoteRef/>
      </w:r>
      <w:r w:rsidRPr="002A7220">
        <w:rPr>
          <w:sz w:val="26"/>
          <w:szCs w:val="26"/>
        </w:rPr>
        <w:tab/>
      </w:r>
      <w:r w:rsidR="00451289" w:rsidRPr="00451289">
        <w:rPr>
          <w:sz w:val="26"/>
          <w:szCs w:val="26"/>
        </w:rPr>
        <w:t xml:space="preserve">CenturyLink’s Amended Chapter 30 Plan requires entry of a Commission Order “within one hundred five (105) days of the filing” of a CenturyLink PSP Filing. CenturyLink Amended Chapter 30 Plan, at page 18 (“Part 3 – Price Stability Plan for Noncompetitive Services”) at Para. 8(A)(8). </w:t>
      </w:r>
      <w:r w:rsidR="00683887">
        <w:rPr>
          <w:sz w:val="26"/>
          <w:szCs w:val="26"/>
        </w:rPr>
        <w:t xml:space="preserve"> </w:t>
      </w:r>
      <w:r w:rsidR="00451289" w:rsidRPr="00451289">
        <w:rPr>
          <w:sz w:val="26"/>
          <w:szCs w:val="26"/>
        </w:rPr>
        <w:t>Accordingly, existing CenturyLink noncompetitive rates should remain in effect through mid-December 2021 sometime, depending upon scheduling of a Commission public meeting.</w:t>
      </w:r>
    </w:p>
  </w:footnote>
  <w:footnote w:id="11">
    <w:p w14:paraId="249B44F3" w14:textId="7EECC701" w:rsidR="00C02E09" w:rsidRPr="002D5049" w:rsidRDefault="00C02E09" w:rsidP="00D16FFC">
      <w:pPr>
        <w:pStyle w:val="FootnoteText"/>
        <w:keepNext/>
        <w:keepLines/>
        <w:widowControl/>
        <w:rPr>
          <w:sz w:val="26"/>
          <w:szCs w:val="26"/>
        </w:rPr>
      </w:pPr>
      <w:r>
        <w:rPr>
          <w:sz w:val="26"/>
          <w:szCs w:val="26"/>
        </w:rPr>
        <w:tab/>
      </w:r>
      <w:r w:rsidRPr="00C02E09">
        <w:rPr>
          <w:rStyle w:val="FootnoteReference"/>
          <w:sz w:val="26"/>
          <w:szCs w:val="26"/>
        </w:rPr>
        <w:footnoteRef/>
      </w:r>
      <w:r>
        <w:rPr>
          <w:sz w:val="26"/>
          <w:szCs w:val="26"/>
        </w:rPr>
        <w:tab/>
        <w:t xml:space="preserve">We note that CenturyLink made its 2020 PSI/SPI Filing on </w:t>
      </w:r>
      <w:r w:rsidR="00A23E83">
        <w:rPr>
          <w:sz w:val="26"/>
          <w:szCs w:val="26"/>
        </w:rPr>
        <w:t>August</w:t>
      </w:r>
      <w:r w:rsidR="00D16FFC">
        <w:rPr>
          <w:sz w:val="26"/>
          <w:szCs w:val="26"/>
        </w:rPr>
        <w:t> </w:t>
      </w:r>
      <w:r w:rsidR="00A23E83">
        <w:rPr>
          <w:sz w:val="26"/>
          <w:szCs w:val="26"/>
        </w:rPr>
        <w:t>31,</w:t>
      </w:r>
      <w:r w:rsidR="00D16FFC">
        <w:rPr>
          <w:sz w:val="26"/>
          <w:szCs w:val="26"/>
        </w:rPr>
        <w:t> </w:t>
      </w:r>
      <w:r w:rsidR="00A23E83">
        <w:rPr>
          <w:sz w:val="26"/>
          <w:szCs w:val="26"/>
        </w:rPr>
        <w:t xml:space="preserve">2020.  This Commission approved CenturyLink’s 2020 PSI/SPI Filing in </w:t>
      </w:r>
      <w:bookmarkStart w:id="12" w:name="_Hlk525136886"/>
      <w:r w:rsidR="002D5049" w:rsidRPr="002D5049">
        <w:rPr>
          <w:i/>
          <w:iCs/>
          <w:sz w:val="26"/>
          <w:szCs w:val="26"/>
        </w:rPr>
        <w:t>The United Telephone Company of Pennsylvania LLC d/b/a CenturyLink 2020 Annual Price Stability Index/Service Price Index Report Filing</w:t>
      </w:r>
      <w:bookmarkEnd w:id="12"/>
      <w:r w:rsidR="002D5049">
        <w:rPr>
          <w:sz w:val="26"/>
          <w:szCs w:val="26"/>
        </w:rPr>
        <w:t xml:space="preserve">, Docket No. </w:t>
      </w:r>
      <w:r w:rsidR="00604F45" w:rsidRPr="00604F45">
        <w:rPr>
          <w:sz w:val="26"/>
          <w:szCs w:val="26"/>
        </w:rPr>
        <w:t>R-2020-3021648</w:t>
      </w:r>
      <w:r w:rsidR="00604F45">
        <w:rPr>
          <w:sz w:val="26"/>
          <w:szCs w:val="26"/>
        </w:rPr>
        <w:t xml:space="preserve"> (Order entered </w:t>
      </w:r>
      <w:r w:rsidR="008B7678">
        <w:rPr>
          <w:sz w:val="26"/>
          <w:szCs w:val="26"/>
        </w:rPr>
        <w:t>November 19, 2020) (</w:t>
      </w:r>
      <w:r w:rsidR="008B7678" w:rsidRPr="008B7678">
        <w:rPr>
          <w:i/>
          <w:iCs/>
          <w:sz w:val="26"/>
          <w:szCs w:val="26"/>
        </w:rPr>
        <w:t>2020 CenturyLink PSI/SPI Order</w:t>
      </w:r>
      <w:r w:rsidR="008B7678">
        <w:rPr>
          <w:sz w:val="26"/>
          <w:szCs w:val="26"/>
        </w:rPr>
        <w:t>).</w:t>
      </w:r>
    </w:p>
  </w:footnote>
  <w:footnote w:id="12">
    <w:p w14:paraId="15B18D23" w14:textId="19A0A013" w:rsidR="00FB60EB" w:rsidRPr="00683887" w:rsidRDefault="00FB60EB" w:rsidP="00D16FFC">
      <w:pPr>
        <w:pStyle w:val="FootnoteText"/>
        <w:keepNext/>
        <w:keepLines/>
        <w:widowControl/>
        <w:rPr>
          <w:sz w:val="26"/>
          <w:szCs w:val="26"/>
        </w:rPr>
      </w:pPr>
      <w:r w:rsidRPr="00683887">
        <w:rPr>
          <w:sz w:val="26"/>
          <w:szCs w:val="26"/>
        </w:rPr>
        <w:tab/>
      </w:r>
      <w:r w:rsidRPr="00683887">
        <w:rPr>
          <w:rStyle w:val="FootnoteReference"/>
          <w:sz w:val="26"/>
          <w:szCs w:val="26"/>
        </w:rPr>
        <w:footnoteRef/>
      </w:r>
      <w:r w:rsidRPr="00683887">
        <w:rPr>
          <w:sz w:val="26"/>
          <w:szCs w:val="26"/>
        </w:rPr>
        <w:tab/>
        <w:t xml:space="preserve">CenturyLink made its </w:t>
      </w:r>
      <w:r w:rsidR="008503F8" w:rsidRPr="00683887">
        <w:rPr>
          <w:sz w:val="26"/>
          <w:szCs w:val="26"/>
        </w:rPr>
        <w:t xml:space="preserve">2021 PSI/SPI Filing on </w:t>
      </w:r>
      <w:r w:rsidR="00D901A5" w:rsidRPr="00683887">
        <w:rPr>
          <w:sz w:val="26"/>
          <w:szCs w:val="26"/>
        </w:rPr>
        <w:t xml:space="preserve">September 1, 2021, which this Commission approved in </w:t>
      </w:r>
      <w:r w:rsidR="00550DC8" w:rsidRPr="00683887">
        <w:rPr>
          <w:i/>
          <w:iCs/>
          <w:sz w:val="26"/>
          <w:szCs w:val="26"/>
        </w:rPr>
        <w:t>The United Telephone Company of Pennsylvania LLC d/b/a CenturyLink 2021 Annual Price Stability Index/Service Price Index Report Filing</w:t>
      </w:r>
      <w:r w:rsidR="00550DC8" w:rsidRPr="00683887">
        <w:rPr>
          <w:sz w:val="26"/>
          <w:szCs w:val="26"/>
        </w:rPr>
        <w:t xml:space="preserve">, Docket No. </w:t>
      </w:r>
      <w:r w:rsidR="00A1374F" w:rsidRPr="00683887">
        <w:rPr>
          <w:sz w:val="26"/>
          <w:szCs w:val="26"/>
        </w:rPr>
        <w:t xml:space="preserve">R-2021-3027905 (Order entered </w:t>
      </w:r>
      <w:r w:rsidR="00522B6B" w:rsidRPr="00683887">
        <w:rPr>
          <w:sz w:val="26"/>
          <w:szCs w:val="26"/>
        </w:rPr>
        <w:t>October 7, 2021) (</w:t>
      </w:r>
      <w:r w:rsidR="00522B6B" w:rsidRPr="00683887">
        <w:rPr>
          <w:i/>
          <w:iCs/>
          <w:sz w:val="26"/>
          <w:szCs w:val="26"/>
        </w:rPr>
        <w:t>2021 CenturyLink PSI/SPI Order</w:t>
      </w:r>
      <w:r w:rsidR="00522B6B" w:rsidRPr="00683887">
        <w:rPr>
          <w:sz w:val="26"/>
          <w:szCs w:val="26"/>
        </w:rPr>
        <w:t xml:space="preserve">).  </w:t>
      </w:r>
    </w:p>
  </w:footnote>
  <w:footnote w:id="13">
    <w:p w14:paraId="56F63E9E" w14:textId="4DD84600" w:rsidR="00E3652F" w:rsidRPr="00457E11" w:rsidRDefault="00E3652F" w:rsidP="00532A5A">
      <w:pPr>
        <w:pStyle w:val="FootnoteText"/>
        <w:keepNext/>
        <w:keepLines/>
        <w:widowControl/>
        <w:contextualSpacing/>
        <w:rPr>
          <w:sz w:val="26"/>
          <w:szCs w:val="26"/>
        </w:rPr>
      </w:pPr>
      <w:r w:rsidRPr="00457E11">
        <w:rPr>
          <w:sz w:val="26"/>
          <w:szCs w:val="26"/>
        </w:rPr>
        <w:tab/>
      </w:r>
      <w:r w:rsidRPr="00457E11">
        <w:rPr>
          <w:rStyle w:val="FootnoteReference"/>
          <w:sz w:val="26"/>
          <w:szCs w:val="26"/>
        </w:rPr>
        <w:footnoteRef/>
      </w:r>
      <w:r w:rsidRPr="00457E11">
        <w:rPr>
          <w:sz w:val="26"/>
          <w:szCs w:val="26"/>
        </w:rPr>
        <w:tab/>
      </w:r>
      <w:r w:rsidR="000126C9" w:rsidRPr="00457E11">
        <w:rPr>
          <w:sz w:val="26"/>
          <w:szCs w:val="26"/>
        </w:rPr>
        <w:t xml:space="preserve">While the Company and the OCA consistently </w:t>
      </w:r>
      <w:r w:rsidR="00F5403F" w:rsidRPr="00457E11">
        <w:rPr>
          <w:sz w:val="26"/>
          <w:szCs w:val="26"/>
        </w:rPr>
        <w:t xml:space="preserve">quote a forgone banked revenue amount of approximately $1.3 Million </w:t>
      </w:r>
      <w:proofErr w:type="gramStart"/>
      <w:r w:rsidR="00F5403F" w:rsidRPr="00457E11">
        <w:rPr>
          <w:sz w:val="26"/>
          <w:szCs w:val="26"/>
        </w:rPr>
        <w:t>as a result of</w:t>
      </w:r>
      <w:proofErr w:type="gramEnd"/>
      <w:r w:rsidR="00F5403F" w:rsidRPr="00457E11">
        <w:rPr>
          <w:sz w:val="26"/>
          <w:szCs w:val="26"/>
        </w:rPr>
        <w:t xml:space="preserve"> the Settlement, the OSBA consistently quotes a forgone banked amount of $1.4 Million</w:t>
      </w:r>
      <w:r w:rsidR="00457E11" w:rsidRPr="00457E11">
        <w:rPr>
          <w:sz w:val="26"/>
          <w:szCs w:val="26"/>
        </w:rPr>
        <w:t xml:space="preserve"> based on the analysis of Mr.</w:t>
      </w:r>
      <w:r w:rsidR="007368B6">
        <w:rPr>
          <w:sz w:val="26"/>
          <w:szCs w:val="26"/>
        </w:rPr>
        <w:t> </w:t>
      </w:r>
      <w:proofErr w:type="spellStart"/>
      <w:r w:rsidR="00457E11" w:rsidRPr="00457E11">
        <w:rPr>
          <w:sz w:val="26"/>
          <w:szCs w:val="26"/>
        </w:rPr>
        <w:t>Gillan</w:t>
      </w:r>
      <w:proofErr w:type="spellEnd"/>
      <w:r w:rsidR="00457E11" w:rsidRPr="00457E11">
        <w:rPr>
          <w:sz w:val="26"/>
          <w:szCs w:val="26"/>
        </w:rPr>
        <w:t>.</w:t>
      </w:r>
      <w:r w:rsidR="00BA1521" w:rsidRPr="00457E11">
        <w:rPr>
          <w:sz w:val="26"/>
          <w:szCs w:val="26"/>
        </w:rPr>
        <w:t xml:space="preserve"> </w:t>
      </w:r>
    </w:p>
  </w:footnote>
  <w:footnote w:id="14">
    <w:p w14:paraId="160DBED1" w14:textId="7F2D9097" w:rsidR="008B75FE" w:rsidRPr="00C602FA" w:rsidRDefault="008B75FE" w:rsidP="00532A5A">
      <w:pPr>
        <w:pStyle w:val="FootnoteText"/>
        <w:keepNext/>
        <w:keepLines/>
        <w:widowControl/>
        <w:contextualSpacing/>
        <w:rPr>
          <w:sz w:val="26"/>
          <w:szCs w:val="26"/>
        </w:rPr>
      </w:pPr>
      <w:r w:rsidRPr="00C602FA">
        <w:rPr>
          <w:sz w:val="26"/>
          <w:szCs w:val="26"/>
        </w:rPr>
        <w:tab/>
      </w:r>
      <w:r w:rsidRPr="00C602FA">
        <w:rPr>
          <w:rStyle w:val="FootnoteReference"/>
          <w:sz w:val="26"/>
          <w:szCs w:val="26"/>
        </w:rPr>
        <w:footnoteRef/>
      </w:r>
      <w:r w:rsidRPr="00C602FA">
        <w:rPr>
          <w:sz w:val="26"/>
          <w:szCs w:val="26"/>
        </w:rPr>
        <w:tab/>
        <w:t>These exogenous event provisions are outlined in our summary of the Company’s Exception No. 3</w:t>
      </w:r>
      <w:r w:rsidR="00C602FA" w:rsidRPr="00C602FA">
        <w:rPr>
          <w:sz w:val="26"/>
          <w:szCs w:val="26"/>
        </w:rPr>
        <w:t xml:space="preserve"> in Section III.C.2 of this Opinion and Order, </w:t>
      </w:r>
      <w:r w:rsidR="00C602FA" w:rsidRPr="00C602FA">
        <w:rPr>
          <w:i/>
          <w:iCs/>
          <w:sz w:val="26"/>
          <w:szCs w:val="26"/>
        </w:rPr>
        <w:t>infra.</w:t>
      </w:r>
    </w:p>
  </w:footnote>
  <w:footnote w:id="15">
    <w:p w14:paraId="31CBA3BC" w14:textId="38F4501D" w:rsidR="0084035F" w:rsidRDefault="0084035F" w:rsidP="00F766CA">
      <w:pPr>
        <w:pStyle w:val="FootnoteText"/>
        <w:keepNext/>
        <w:keepLines/>
        <w:widowControl/>
        <w:contextualSpacing/>
      </w:pPr>
      <w:r>
        <w:tab/>
      </w:r>
      <w:r>
        <w:rPr>
          <w:rStyle w:val="FootnoteReference"/>
        </w:rPr>
        <w:footnoteRef/>
      </w:r>
      <w:r>
        <w:tab/>
      </w:r>
      <w:r w:rsidR="005E5132">
        <w:rPr>
          <w:color w:val="000000"/>
          <w:sz w:val="26"/>
          <w:szCs w:val="26"/>
        </w:rPr>
        <w:t xml:space="preserve">Additionally, we find the position of the PTA to essentially seek to include its position </w:t>
      </w:r>
      <w:proofErr w:type="gramStart"/>
      <w:r w:rsidR="005E5132">
        <w:rPr>
          <w:color w:val="000000"/>
          <w:sz w:val="26"/>
          <w:szCs w:val="26"/>
        </w:rPr>
        <w:t>in the nature of an</w:t>
      </w:r>
      <w:proofErr w:type="gramEnd"/>
      <w:r w:rsidR="005E5132">
        <w:rPr>
          <w:color w:val="000000"/>
          <w:sz w:val="26"/>
          <w:szCs w:val="26"/>
        </w:rPr>
        <w:t xml:space="preserve"> </w:t>
      </w:r>
      <w:r w:rsidR="005E5132">
        <w:rPr>
          <w:i/>
          <w:iCs/>
          <w:color w:val="000000"/>
          <w:sz w:val="26"/>
          <w:szCs w:val="26"/>
        </w:rPr>
        <w:t>amicus</w:t>
      </w:r>
      <w:r w:rsidR="005E5132">
        <w:rPr>
          <w:color w:val="000000"/>
          <w:sz w:val="26"/>
          <w:szCs w:val="26"/>
        </w:rPr>
        <w:t>.</w:t>
      </w:r>
      <w:r w:rsidR="005E5132">
        <w:rPr>
          <w:i/>
          <w:iCs/>
          <w:color w:val="000000"/>
          <w:sz w:val="26"/>
          <w:szCs w:val="26"/>
        </w:rPr>
        <w:t xml:space="preserve">  </w:t>
      </w:r>
      <w:r w:rsidR="005E5132">
        <w:rPr>
          <w:color w:val="000000"/>
          <w:sz w:val="26"/>
          <w:szCs w:val="26"/>
        </w:rPr>
        <w:t>While our Regulations allow for the filing of amicus curiae briefs, see 52 Pa. Code § 5.502(d), our Regulations do not provide for the filing of amicus curiae Exceptions or Replies to Exceptions by a non-party.</w:t>
      </w:r>
      <w:r w:rsidR="005E5132">
        <w:rPr>
          <w:i/>
          <w:iCs/>
          <w:color w:val="000000"/>
          <w:sz w:val="26"/>
          <w:szCs w:val="26"/>
        </w:rPr>
        <w:t xml:space="preserve">  See </w:t>
      </w:r>
      <w:r w:rsidR="005E5132">
        <w:rPr>
          <w:i/>
          <w:iCs/>
          <w:color w:val="000000"/>
          <w:sz w:val="26"/>
          <w:szCs w:val="26"/>
          <w:shd w:val="clear" w:color="auto" w:fill="FFFFFF"/>
        </w:rPr>
        <w:t xml:space="preserve">Catherine J. </w:t>
      </w:r>
      <w:proofErr w:type="spellStart"/>
      <w:r w:rsidR="005E5132">
        <w:rPr>
          <w:i/>
          <w:iCs/>
          <w:color w:val="000000"/>
          <w:sz w:val="26"/>
          <w:szCs w:val="26"/>
          <w:shd w:val="clear" w:color="auto" w:fill="FFFFFF"/>
        </w:rPr>
        <w:t>Frompovich</w:t>
      </w:r>
      <w:proofErr w:type="spellEnd"/>
      <w:r w:rsidR="005E5132">
        <w:rPr>
          <w:i/>
          <w:iCs/>
          <w:color w:val="000000"/>
          <w:sz w:val="26"/>
          <w:szCs w:val="26"/>
        </w:rPr>
        <w:t xml:space="preserve"> v. PECO Energy Company</w:t>
      </w:r>
      <w:r w:rsidR="005E5132">
        <w:rPr>
          <w:color w:val="000000"/>
          <w:sz w:val="26"/>
          <w:szCs w:val="26"/>
        </w:rPr>
        <w:t xml:space="preserve">, Docket No. C-2015-2474602 (Order entered May 3, 2018) at 7 </w:t>
      </w:r>
      <w:r w:rsidR="009E2561">
        <w:rPr>
          <w:color w:val="000000"/>
          <w:sz w:val="26"/>
          <w:szCs w:val="26"/>
        </w:rPr>
        <w:t>(</w:t>
      </w:r>
      <w:r w:rsidR="005E5132">
        <w:rPr>
          <w:color w:val="000000"/>
          <w:sz w:val="26"/>
          <w:szCs w:val="26"/>
        </w:rPr>
        <w:t xml:space="preserve">citing </w:t>
      </w:r>
      <w:r w:rsidR="005E5132">
        <w:rPr>
          <w:rStyle w:val="Emphasis"/>
          <w:color w:val="000000"/>
          <w:sz w:val="26"/>
          <w:szCs w:val="26"/>
          <w:bdr w:val="none" w:sz="0" w:space="0" w:color="auto" w:frame="1"/>
          <w:shd w:val="clear" w:color="auto" w:fill="FFFFFF"/>
        </w:rPr>
        <w:t>Verizon Pennsylvania Inc.</w:t>
      </w:r>
      <w:r w:rsidR="005E5132">
        <w:rPr>
          <w:color w:val="000000"/>
          <w:sz w:val="26"/>
          <w:szCs w:val="26"/>
          <w:shd w:val="clear" w:color="auto" w:fill="FFFFFF"/>
        </w:rPr>
        <w:t>, </w:t>
      </w:r>
      <w:r w:rsidR="005E5132">
        <w:rPr>
          <w:rStyle w:val="Emphasis"/>
          <w:color w:val="000000"/>
          <w:sz w:val="26"/>
          <w:szCs w:val="26"/>
          <w:bdr w:val="none" w:sz="0" w:space="0" w:color="auto" w:frame="1"/>
          <w:shd w:val="clear" w:color="auto" w:fill="FFFFFF"/>
        </w:rPr>
        <w:t>et al</w:t>
      </w:r>
      <w:r w:rsidR="005E5132">
        <w:rPr>
          <w:color w:val="000000"/>
          <w:sz w:val="26"/>
          <w:szCs w:val="26"/>
          <w:shd w:val="clear" w:color="auto" w:fill="FFFFFF"/>
        </w:rPr>
        <w:t>, Docket No. C</w:t>
      </w:r>
      <w:r w:rsidR="005E5132">
        <w:rPr>
          <w:color w:val="000000"/>
          <w:sz w:val="26"/>
          <w:szCs w:val="26"/>
          <w:shd w:val="clear" w:color="auto" w:fill="FFFFFF"/>
        </w:rPr>
        <w:noBreakHyphen/>
        <w:t>20066987 (Order entered August 29, 2008) (finding that </w:t>
      </w:r>
      <w:r w:rsidR="005E5132">
        <w:rPr>
          <w:rStyle w:val="Emphasis"/>
          <w:color w:val="000000"/>
          <w:sz w:val="26"/>
          <w:szCs w:val="26"/>
          <w:bdr w:val="none" w:sz="0" w:space="0" w:color="auto" w:frame="1"/>
          <w:shd w:val="clear" w:color="auto" w:fill="FFFFFF"/>
        </w:rPr>
        <w:t>amicus curiae</w:t>
      </w:r>
      <w:r w:rsidR="005E5132">
        <w:rPr>
          <w:color w:val="000000"/>
          <w:sz w:val="26"/>
          <w:szCs w:val="26"/>
          <w:shd w:val="clear" w:color="auto" w:fill="FFFFFF"/>
        </w:rPr>
        <w:t xml:space="preserve"> exceptions could conflict with the just, </w:t>
      </w:r>
      <w:proofErr w:type="gramStart"/>
      <w:r w:rsidR="005E5132">
        <w:rPr>
          <w:color w:val="000000"/>
          <w:sz w:val="26"/>
          <w:szCs w:val="26"/>
          <w:shd w:val="clear" w:color="auto" w:fill="FFFFFF"/>
        </w:rPr>
        <w:t>speedy</w:t>
      </w:r>
      <w:proofErr w:type="gramEnd"/>
      <w:r w:rsidR="005E5132">
        <w:rPr>
          <w:color w:val="000000"/>
          <w:sz w:val="26"/>
          <w:szCs w:val="26"/>
          <w:shd w:val="clear" w:color="auto" w:fill="FFFFFF"/>
        </w:rPr>
        <w:t xml:space="preserve"> and inexpensive determination of Commission actions and proceedings per 52 Pa. Code § 1.21(a)). </w:t>
      </w:r>
      <w:r w:rsidR="005E5132">
        <w:rPr>
          <w:color w:val="000000"/>
          <w:sz w:val="26"/>
          <w:szCs w:val="26"/>
        </w:rPr>
        <w:t>     </w:t>
      </w:r>
    </w:p>
  </w:footnote>
  <w:footnote w:id="16">
    <w:p w14:paraId="13051CB0" w14:textId="654BB849" w:rsidR="00960688" w:rsidRPr="00C827CF" w:rsidRDefault="00960688" w:rsidP="00C827CF">
      <w:pPr>
        <w:keepNext/>
        <w:keepLines/>
        <w:widowControl/>
        <w:rPr>
          <w:i/>
          <w:iCs/>
          <w:sz w:val="26"/>
          <w:szCs w:val="26"/>
        </w:rPr>
      </w:pPr>
      <w:r>
        <w:rPr>
          <w:sz w:val="26"/>
          <w:szCs w:val="26"/>
        </w:rPr>
        <w:tab/>
      </w:r>
      <w:r w:rsidRPr="008773ED">
        <w:rPr>
          <w:rStyle w:val="FootnoteReference"/>
          <w:sz w:val="26"/>
          <w:szCs w:val="26"/>
        </w:rPr>
        <w:footnoteRef/>
      </w:r>
      <w:r>
        <w:rPr>
          <w:sz w:val="26"/>
          <w:szCs w:val="26"/>
        </w:rPr>
        <w:tab/>
      </w:r>
      <w:r w:rsidR="00555D38">
        <w:rPr>
          <w:i/>
          <w:iCs/>
          <w:sz w:val="26"/>
          <w:szCs w:val="26"/>
        </w:rPr>
        <w:t xml:space="preserve">See Arizona Corporation Commission Inquiry </w:t>
      </w:r>
      <w:r w:rsidR="00F70A9D">
        <w:rPr>
          <w:i/>
          <w:iCs/>
          <w:sz w:val="26"/>
          <w:szCs w:val="26"/>
        </w:rPr>
        <w:t>into</w:t>
      </w:r>
      <w:r w:rsidR="00555D38">
        <w:rPr>
          <w:i/>
          <w:iCs/>
          <w:sz w:val="26"/>
          <w:szCs w:val="26"/>
        </w:rPr>
        <w:t xml:space="preserve"> Possible Modification of the Federal Income Tax Reform Rate Adjustment</w:t>
      </w:r>
      <w:r w:rsidR="00555D38" w:rsidRPr="00F70A9D">
        <w:rPr>
          <w:sz w:val="26"/>
          <w:szCs w:val="26"/>
        </w:rPr>
        <w:t>,</w:t>
      </w:r>
      <w:r w:rsidR="00555D38">
        <w:rPr>
          <w:i/>
          <w:iCs/>
          <w:sz w:val="26"/>
          <w:szCs w:val="26"/>
        </w:rPr>
        <w:t xml:space="preserve"> </w:t>
      </w:r>
      <w:r w:rsidR="00555D38">
        <w:rPr>
          <w:sz w:val="26"/>
          <w:szCs w:val="26"/>
        </w:rPr>
        <w:t>Docket No. AU</w:t>
      </w:r>
      <w:r w:rsidR="00555D38">
        <w:rPr>
          <w:sz w:val="26"/>
          <w:szCs w:val="26"/>
        </w:rPr>
        <w:noBreakHyphen/>
        <w:t>00000A</w:t>
      </w:r>
      <w:r w:rsidR="00555D38">
        <w:rPr>
          <w:sz w:val="26"/>
          <w:szCs w:val="26"/>
        </w:rPr>
        <w:noBreakHyphen/>
      </w:r>
      <w:r w:rsidR="00C827CF">
        <w:rPr>
          <w:sz w:val="26"/>
          <w:szCs w:val="26"/>
        </w:rPr>
        <w:t>1</w:t>
      </w:r>
      <w:r w:rsidR="00555D38">
        <w:rPr>
          <w:sz w:val="26"/>
          <w:szCs w:val="26"/>
        </w:rPr>
        <w:t>7</w:t>
      </w:r>
      <w:r w:rsidR="00555D38">
        <w:rPr>
          <w:sz w:val="26"/>
          <w:szCs w:val="26"/>
        </w:rPr>
        <w:noBreakHyphen/>
        <w:t>0379 (</w:t>
      </w:r>
      <w:r w:rsidR="00555D38">
        <w:rPr>
          <w:i/>
          <w:iCs/>
          <w:sz w:val="26"/>
          <w:szCs w:val="26"/>
        </w:rPr>
        <w:t>Arizona Corporation Commission Investigation</w:t>
      </w:r>
      <w:r w:rsidR="00555D38">
        <w:rPr>
          <w:sz w:val="26"/>
          <w:szCs w:val="26"/>
        </w:rPr>
        <w:t xml:space="preserve">); and </w:t>
      </w:r>
      <w:r w:rsidR="00555D38">
        <w:rPr>
          <w:i/>
          <w:iCs/>
          <w:sz w:val="26"/>
          <w:szCs w:val="26"/>
        </w:rPr>
        <w:t>In the Matter of the Application of Qwest Corporation d/b/a CenturyLink QC to Amend the Maximum Tariffed Rates for certain Competitive Services</w:t>
      </w:r>
      <w:r w:rsidR="00555D38">
        <w:rPr>
          <w:sz w:val="26"/>
          <w:szCs w:val="26"/>
        </w:rPr>
        <w:t>, Docket No. T</w:t>
      </w:r>
      <w:r w:rsidR="00555D38">
        <w:rPr>
          <w:sz w:val="26"/>
          <w:szCs w:val="26"/>
        </w:rPr>
        <w:noBreakHyphen/>
        <w:t>01051B</w:t>
      </w:r>
      <w:r w:rsidR="00555D38">
        <w:rPr>
          <w:sz w:val="26"/>
          <w:szCs w:val="26"/>
        </w:rPr>
        <w:noBreakHyphen/>
        <w:t>18</w:t>
      </w:r>
      <w:r w:rsidR="00555D38">
        <w:rPr>
          <w:sz w:val="26"/>
          <w:szCs w:val="26"/>
        </w:rPr>
        <w:noBreakHyphen/>
        <w:t>0258 (</w:t>
      </w:r>
      <w:r w:rsidR="00555D38">
        <w:rPr>
          <w:i/>
          <w:iCs/>
          <w:sz w:val="26"/>
          <w:szCs w:val="26"/>
        </w:rPr>
        <w:t>CenturyLink Arizona Proceeding</w:t>
      </w:r>
      <w:r w:rsidR="00555D38">
        <w:rPr>
          <w:sz w:val="26"/>
          <w:szCs w:val="26"/>
        </w:rPr>
        <w:t xml:space="preserve">). </w:t>
      </w:r>
      <w:r w:rsidR="002C1F0C">
        <w:rPr>
          <w:sz w:val="26"/>
          <w:szCs w:val="26"/>
        </w:rPr>
        <w:t xml:space="preserve"> </w:t>
      </w:r>
      <w:r w:rsidR="00555D38">
        <w:rPr>
          <w:sz w:val="26"/>
          <w:szCs w:val="26"/>
        </w:rPr>
        <w:t xml:space="preserve">We note that no final decision has yet been reached by the Arizona Corporation Commission in the </w:t>
      </w:r>
      <w:r w:rsidR="00555D38">
        <w:rPr>
          <w:i/>
          <w:iCs/>
          <w:sz w:val="26"/>
          <w:szCs w:val="26"/>
        </w:rPr>
        <w:t>CenturyLink Arizona Proceeding.</w:t>
      </w:r>
    </w:p>
  </w:footnote>
  <w:footnote w:id="17">
    <w:p w14:paraId="1E5A94A0" w14:textId="7EE0125C" w:rsidR="00EB6546" w:rsidRPr="008773ED" w:rsidRDefault="00EB6546" w:rsidP="004A6737">
      <w:pPr>
        <w:pStyle w:val="FootnoteText"/>
        <w:keepNext/>
        <w:keepLines/>
        <w:widowControl/>
        <w:spacing w:after="120"/>
        <w:rPr>
          <w:sz w:val="26"/>
          <w:szCs w:val="26"/>
        </w:rPr>
      </w:pPr>
      <w:r>
        <w:rPr>
          <w:sz w:val="26"/>
          <w:szCs w:val="26"/>
        </w:rPr>
        <w:tab/>
      </w:r>
      <w:r w:rsidRPr="008773ED">
        <w:rPr>
          <w:rStyle w:val="FootnoteReference"/>
          <w:sz w:val="26"/>
          <w:szCs w:val="26"/>
        </w:rPr>
        <w:footnoteRef/>
      </w:r>
      <w:r>
        <w:rPr>
          <w:sz w:val="26"/>
          <w:szCs w:val="26"/>
        </w:rPr>
        <w:tab/>
      </w:r>
      <w:r w:rsidR="00982A36" w:rsidRPr="00982A36">
        <w:rPr>
          <w:sz w:val="26"/>
          <w:szCs w:val="26"/>
        </w:rPr>
        <w:t xml:space="preserve">We note that under its 2020 PSI/SPI Filing, the change in the GDP-PI between the first quarter of 2019 and the first quarter of 2020 yielded a maximum allowed annual noncompetitive revenue increase for the Company of $341,020.  However, CenturyLink honored its commitment under the Settlement not to raise rates in this filing.  </w:t>
      </w:r>
      <w:r w:rsidR="00982A36" w:rsidRPr="00982A36">
        <w:rPr>
          <w:i/>
          <w:iCs/>
          <w:sz w:val="26"/>
          <w:szCs w:val="26"/>
        </w:rPr>
        <w:t xml:space="preserve">CenturyLink 2020 PSI/SPI Order </w:t>
      </w:r>
      <w:r w:rsidR="00982A36" w:rsidRPr="00982A36">
        <w:rPr>
          <w:sz w:val="26"/>
          <w:szCs w:val="26"/>
        </w:rPr>
        <w:t>at 2, 4.</w:t>
      </w:r>
    </w:p>
  </w:footnote>
  <w:footnote w:id="18">
    <w:p w14:paraId="6EA77211" w14:textId="32215779" w:rsidR="00C9367D" w:rsidRPr="008773ED" w:rsidRDefault="00C9367D" w:rsidP="004A6737">
      <w:pPr>
        <w:pStyle w:val="FootnoteText"/>
        <w:keepNext/>
        <w:keepLines/>
        <w:widowControl/>
        <w:rPr>
          <w:sz w:val="26"/>
          <w:szCs w:val="26"/>
        </w:rPr>
      </w:pPr>
      <w:r>
        <w:rPr>
          <w:sz w:val="26"/>
          <w:szCs w:val="26"/>
        </w:rPr>
        <w:tab/>
      </w:r>
      <w:r w:rsidRPr="008773ED">
        <w:rPr>
          <w:rStyle w:val="FootnoteReference"/>
          <w:sz w:val="26"/>
          <w:szCs w:val="26"/>
        </w:rPr>
        <w:footnoteRef/>
      </w:r>
      <w:r>
        <w:rPr>
          <w:sz w:val="26"/>
          <w:szCs w:val="26"/>
        </w:rPr>
        <w:tab/>
      </w:r>
      <w:r w:rsidR="00DE4088" w:rsidRPr="00DE4088">
        <w:rPr>
          <w:sz w:val="26"/>
          <w:szCs w:val="26"/>
        </w:rPr>
        <w:t>Based upon the Company’s maximum allowed annual noncompetitive revenue increase under its 2020 PSI/SPI Filing, the exact amount of banked revenues that the Company has agreed to forgo under the Settlement and to refrain from using in the future is $1,253,231.  This consists of the $473,890 revenue increase authorized under its 2018 PSI/SPI Filing, the $438,621 revenue increase authorized under its 2019 PSI/SPI Filing, and the $341,020 revenue increase authorized under its 2020 PSI/SPI Filing.  [$473,890 + $438,621 + $341,020 = $1,253,531].</w:t>
      </w:r>
      <w:r w:rsidR="00566DEC">
        <w:rPr>
          <w:sz w:val="26"/>
          <w:szCs w:val="26"/>
        </w:rPr>
        <w:t xml:space="preserve">  We further note that </w:t>
      </w:r>
      <w:r w:rsidR="00AA2A55">
        <w:rPr>
          <w:sz w:val="26"/>
          <w:szCs w:val="26"/>
        </w:rPr>
        <w:t xml:space="preserve">CenturyLink did not </w:t>
      </w:r>
      <w:r w:rsidR="0080779E">
        <w:rPr>
          <w:sz w:val="26"/>
          <w:szCs w:val="26"/>
        </w:rPr>
        <w:t>implement an</w:t>
      </w:r>
      <w:r w:rsidR="00394AA3">
        <w:rPr>
          <w:sz w:val="26"/>
          <w:szCs w:val="26"/>
        </w:rPr>
        <w:t>y of portion of the annual noncompetitive revenue increase authorized</w:t>
      </w:r>
      <w:r w:rsidR="00AA2A55">
        <w:rPr>
          <w:sz w:val="26"/>
          <w:szCs w:val="26"/>
        </w:rPr>
        <w:t xml:space="preserve"> under its </w:t>
      </w:r>
      <w:r w:rsidR="00A81531">
        <w:rPr>
          <w:sz w:val="26"/>
          <w:szCs w:val="26"/>
        </w:rPr>
        <w:t>2021 PSI/SPI Filing</w:t>
      </w:r>
      <w:r w:rsidR="003D1B16">
        <w:rPr>
          <w:sz w:val="26"/>
          <w:szCs w:val="26"/>
        </w:rPr>
        <w:t xml:space="preserve">.  </w:t>
      </w:r>
      <w:r w:rsidR="003D1B16">
        <w:rPr>
          <w:i/>
          <w:iCs/>
          <w:sz w:val="26"/>
          <w:szCs w:val="26"/>
        </w:rPr>
        <w:t xml:space="preserve">See 2021 CenturyLink PSI/SPI Order </w:t>
      </w:r>
      <w:r w:rsidR="003D1B16">
        <w:rPr>
          <w:sz w:val="26"/>
          <w:szCs w:val="26"/>
        </w:rPr>
        <w:t>at 3-4.</w:t>
      </w:r>
      <w:r w:rsidR="00566DEC">
        <w:rPr>
          <w:sz w:val="26"/>
          <w:szCs w:val="26"/>
        </w:rPr>
        <w:t xml:space="preserve"> </w:t>
      </w:r>
    </w:p>
  </w:footnote>
  <w:footnote w:id="19">
    <w:p w14:paraId="1AE481F4" w14:textId="77777777" w:rsidR="002D1D0D" w:rsidRPr="0006518C" w:rsidRDefault="002D1D0D" w:rsidP="004A6737">
      <w:pPr>
        <w:pStyle w:val="FootnoteText"/>
        <w:keepNext/>
        <w:keepLines/>
        <w:widowControl/>
        <w:ind w:firstLine="720"/>
        <w:rPr>
          <w:sz w:val="26"/>
          <w:szCs w:val="26"/>
        </w:rPr>
      </w:pPr>
      <w:r w:rsidRPr="0006518C">
        <w:rPr>
          <w:rStyle w:val="FootnoteReference"/>
          <w:sz w:val="26"/>
          <w:szCs w:val="26"/>
        </w:rPr>
        <w:footnoteRef/>
      </w:r>
      <w:r>
        <w:rPr>
          <w:sz w:val="26"/>
          <w:szCs w:val="26"/>
        </w:rPr>
        <w:tab/>
        <w:t>The Joint Petitioners’ Verified Witness Statements were informed by the Parties’ discovery.  OCA Exc. at 2, n.11.</w:t>
      </w:r>
    </w:p>
  </w:footnote>
  <w:footnote w:id="20">
    <w:p w14:paraId="36F99795" w14:textId="2BDDB832" w:rsidR="00F50643" w:rsidRPr="008F6A85" w:rsidRDefault="00F50643" w:rsidP="00532A5A">
      <w:pPr>
        <w:pStyle w:val="FootnoteText"/>
        <w:keepNext/>
        <w:keepLines/>
        <w:widowControl/>
        <w:contextualSpacing/>
        <w:rPr>
          <w:sz w:val="26"/>
          <w:szCs w:val="26"/>
        </w:rPr>
      </w:pPr>
      <w:r>
        <w:rPr>
          <w:sz w:val="26"/>
          <w:szCs w:val="26"/>
        </w:rPr>
        <w:tab/>
      </w:r>
      <w:r w:rsidRPr="008F6A85">
        <w:rPr>
          <w:rStyle w:val="FootnoteReference"/>
          <w:sz w:val="26"/>
          <w:szCs w:val="26"/>
        </w:rPr>
        <w:footnoteRef/>
      </w:r>
      <w:r>
        <w:rPr>
          <w:sz w:val="26"/>
          <w:szCs w:val="26"/>
        </w:rPr>
        <w:tab/>
        <w:t>We note that the Company did not mark these figures as proprietary in either its Verified Witness Statement or its Exceptions</w:t>
      </w:r>
      <w:r w:rsidR="004A6737">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AEB" w14:textId="77777777" w:rsidR="00BC41B7" w:rsidRDefault="00BC4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C98"/>
    <w:multiLevelType w:val="hybridMultilevel"/>
    <w:tmpl w:val="6ABAE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21712B"/>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1BC4977"/>
    <w:multiLevelType w:val="hybridMultilevel"/>
    <w:tmpl w:val="086A2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900EB"/>
    <w:multiLevelType w:val="hybridMultilevel"/>
    <w:tmpl w:val="9CB433D4"/>
    <w:lvl w:ilvl="0" w:tplc="B63EFD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64337"/>
    <w:multiLevelType w:val="hybridMultilevel"/>
    <w:tmpl w:val="9CB433D4"/>
    <w:lvl w:ilvl="0" w:tplc="B63EFD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24E0E"/>
    <w:multiLevelType w:val="hybridMultilevel"/>
    <w:tmpl w:val="3CC22AB2"/>
    <w:lvl w:ilvl="0" w:tplc="7B6C5722">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21C2B"/>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3AE40FE"/>
    <w:multiLevelType w:val="hybridMultilevel"/>
    <w:tmpl w:val="086A2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836F3"/>
    <w:multiLevelType w:val="hybridMultilevel"/>
    <w:tmpl w:val="1FF2DF54"/>
    <w:lvl w:ilvl="0" w:tplc="303482D6">
      <w:start w:val="1"/>
      <w:numFmt w:val="upperRoman"/>
      <w:lvlText w:val="%1."/>
      <w:lvlJc w:val="left"/>
      <w:pPr>
        <w:ind w:left="1080" w:hanging="720"/>
      </w:pPr>
      <w:rPr>
        <w:rFonts w:ascii="Times New Roman" w:hAnsi="Times New Roman" w:cs="Times New Roman" w:hint="default"/>
        <w:b/>
        <w:bCs/>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F104D"/>
    <w:multiLevelType w:val="hybridMultilevel"/>
    <w:tmpl w:val="0D40C962"/>
    <w:lvl w:ilvl="0" w:tplc="0409000F">
      <w:start w:val="1"/>
      <w:numFmt w:val="decimal"/>
      <w:lvlText w:val="%1."/>
      <w:lvlJc w:val="left"/>
      <w:pPr>
        <w:ind w:left="2074" w:hanging="360"/>
      </w:pPr>
      <w:rPr>
        <w:rFonts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10" w15:restartNumberingAfterBreak="0">
    <w:nsid w:val="16C422FC"/>
    <w:multiLevelType w:val="hybridMultilevel"/>
    <w:tmpl w:val="92D0DA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6E535D"/>
    <w:multiLevelType w:val="hybridMultilevel"/>
    <w:tmpl w:val="032628C0"/>
    <w:lvl w:ilvl="0" w:tplc="B63EFD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C1D7E"/>
    <w:multiLevelType w:val="hybridMultilevel"/>
    <w:tmpl w:val="032628C0"/>
    <w:lvl w:ilvl="0" w:tplc="B63EFD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C55D9"/>
    <w:multiLevelType w:val="hybridMultilevel"/>
    <w:tmpl w:val="9CB433D4"/>
    <w:lvl w:ilvl="0" w:tplc="B63EFD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152A5"/>
    <w:multiLevelType w:val="hybridMultilevel"/>
    <w:tmpl w:val="343AFA4E"/>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1F677C7E"/>
    <w:multiLevelType w:val="hybridMultilevel"/>
    <w:tmpl w:val="086A2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7A1179A"/>
    <w:multiLevelType w:val="hybridMultilevel"/>
    <w:tmpl w:val="4F7C9CB4"/>
    <w:lvl w:ilvl="0" w:tplc="FFFFFFFF">
      <w:start w:val="1"/>
      <w:numFmt w:val="decimal"/>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33383271"/>
    <w:multiLevelType w:val="hybridMultilevel"/>
    <w:tmpl w:val="A11A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E6402"/>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50961BD"/>
    <w:multiLevelType w:val="hybridMultilevel"/>
    <w:tmpl w:val="086A2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41A6D"/>
    <w:multiLevelType w:val="hybridMultilevel"/>
    <w:tmpl w:val="011A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B2D4E"/>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3A8B29FA"/>
    <w:multiLevelType w:val="hybridMultilevel"/>
    <w:tmpl w:val="086A2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753626"/>
    <w:multiLevelType w:val="hybridMultilevel"/>
    <w:tmpl w:val="297A9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20D05"/>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33759D8"/>
    <w:multiLevelType w:val="hybridMultilevel"/>
    <w:tmpl w:val="086A2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0603B"/>
    <w:multiLevelType w:val="hybridMultilevel"/>
    <w:tmpl w:val="343AFA4E"/>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A346784"/>
    <w:multiLevelType w:val="hybridMultilevel"/>
    <w:tmpl w:val="D7FC8056"/>
    <w:lvl w:ilvl="0" w:tplc="7F987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97BA0"/>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A6A5FF7"/>
    <w:multiLevelType w:val="hybridMultilevel"/>
    <w:tmpl w:val="871CBA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AF24C6E"/>
    <w:multiLevelType w:val="hybridMultilevel"/>
    <w:tmpl w:val="B9F22D7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16B0081"/>
    <w:multiLevelType w:val="hybridMultilevel"/>
    <w:tmpl w:val="F850C8F6"/>
    <w:lvl w:ilvl="0" w:tplc="B0F4184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E4033"/>
    <w:multiLevelType w:val="hybridMultilevel"/>
    <w:tmpl w:val="39F2678C"/>
    <w:lvl w:ilvl="0" w:tplc="14CC1832">
      <w:start w:val="1"/>
      <w:numFmt w:val="decimal"/>
      <w:lvlText w:val="%1."/>
      <w:lvlJc w:val="left"/>
      <w:pPr>
        <w:ind w:left="720" w:hanging="360"/>
      </w:pPr>
      <w:rPr>
        <w:rFonts w:ascii="Times New Roman" w:hAnsi="Times New Roman" w:cs="Times New Roman" w:hint="default"/>
        <w:color w:val="auto"/>
        <w:sz w:val="26"/>
        <w:szCs w:val="26"/>
      </w:rPr>
    </w:lvl>
    <w:lvl w:ilvl="1" w:tplc="DC86BBC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4475A"/>
    <w:multiLevelType w:val="hybridMultilevel"/>
    <w:tmpl w:val="F96AF1A6"/>
    <w:lvl w:ilvl="0" w:tplc="1E004154">
      <w:start w:val="1"/>
      <w:numFmt w:val="upperLetter"/>
      <w:lvlText w:val="%1."/>
      <w:lvlJc w:val="left"/>
      <w:pPr>
        <w:ind w:left="990" w:hanging="720"/>
      </w:pPr>
      <w:rPr>
        <w:rFonts w:ascii="Times New Roman" w:hAnsi="Times New Roman" w:cs="Times New Roman" w:hint="default"/>
        <w:b/>
        <w:bCs/>
        <w:color w:val="auto"/>
      </w:rPr>
    </w:lvl>
    <w:lvl w:ilvl="1" w:tplc="7D9C6462">
      <w:start w:val="1"/>
      <w:numFmt w:val="decimal"/>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ABA2897"/>
    <w:multiLevelType w:val="hybridMultilevel"/>
    <w:tmpl w:val="B52CFB82"/>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6DCE4C54"/>
    <w:multiLevelType w:val="hybridMultilevel"/>
    <w:tmpl w:val="2DD6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73FB9"/>
    <w:multiLevelType w:val="hybridMultilevel"/>
    <w:tmpl w:val="A11A0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002902"/>
    <w:multiLevelType w:val="hybridMultilevel"/>
    <w:tmpl w:val="D0E2E7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B2EB3"/>
    <w:multiLevelType w:val="hybridMultilevel"/>
    <w:tmpl w:val="6BF886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40" w15:restartNumberingAfterBreak="0">
    <w:nsid w:val="7B203E00"/>
    <w:multiLevelType w:val="hybridMultilevel"/>
    <w:tmpl w:val="086A25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651757"/>
    <w:multiLevelType w:val="hybridMultilevel"/>
    <w:tmpl w:val="343AFA4E"/>
    <w:lvl w:ilvl="0" w:tplc="67664716">
      <w:start w:val="1"/>
      <w:numFmt w:val="lowerLetter"/>
      <w:lvlText w:val="%1."/>
      <w:lvlJc w:val="left"/>
      <w:pPr>
        <w:ind w:left="198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C6167DB"/>
    <w:multiLevelType w:val="hybridMultilevel"/>
    <w:tmpl w:val="18829FE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38"/>
  </w:num>
  <w:num w:numId="2">
    <w:abstractNumId w:val="16"/>
  </w:num>
  <w:num w:numId="3">
    <w:abstractNumId w:val="39"/>
  </w:num>
  <w:num w:numId="4">
    <w:abstractNumId w:val="0"/>
  </w:num>
  <w:num w:numId="5">
    <w:abstractNumId w:val="9"/>
  </w:num>
  <w:num w:numId="6">
    <w:abstractNumId w:val="42"/>
  </w:num>
  <w:num w:numId="7">
    <w:abstractNumId w:val="24"/>
  </w:num>
  <w:num w:numId="8">
    <w:abstractNumId w:val="28"/>
  </w:num>
  <w:num w:numId="9">
    <w:abstractNumId w:val="8"/>
  </w:num>
  <w:num w:numId="10">
    <w:abstractNumId w:val="34"/>
  </w:num>
  <w:num w:numId="11">
    <w:abstractNumId w:val="33"/>
  </w:num>
  <w:num w:numId="12">
    <w:abstractNumId w:val="31"/>
  </w:num>
  <w:num w:numId="13">
    <w:abstractNumId w:val="20"/>
  </w:num>
  <w:num w:numId="14">
    <w:abstractNumId w:val="21"/>
  </w:num>
  <w:num w:numId="15">
    <w:abstractNumId w:val="18"/>
  </w:num>
  <w:num w:numId="16">
    <w:abstractNumId w:val="26"/>
  </w:num>
  <w:num w:numId="17">
    <w:abstractNumId w:val="4"/>
  </w:num>
  <w:num w:numId="18">
    <w:abstractNumId w:val="22"/>
  </w:num>
  <w:num w:numId="19">
    <w:abstractNumId w:val="10"/>
  </w:num>
  <w:num w:numId="20">
    <w:abstractNumId w:val="32"/>
  </w:num>
  <w:num w:numId="21">
    <w:abstractNumId w:val="35"/>
  </w:num>
  <w:num w:numId="22">
    <w:abstractNumId w:val="13"/>
  </w:num>
  <w:num w:numId="23">
    <w:abstractNumId w:val="6"/>
  </w:num>
  <w:num w:numId="24">
    <w:abstractNumId w:val="1"/>
  </w:num>
  <w:num w:numId="25">
    <w:abstractNumId w:val="3"/>
  </w:num>
  <w:num w:numId="26">
    <w:abstractNumId w:val="29"/>
  </w:num>
  <w:num w:numId="27">
    <w:abstractNumId w:val="25"/>
  </w:num>
  <w:num w:numId="28">
    <w:abstractNumId w:val="12"/>
  </w:num>
  <w:num w:numId="29">
    <w:abstractNumId w:val="27"/>
  </w:num>
  <w:num w:numId="30">
    <w:abstractNumId w:val="41"/>
  </w:num>
  <w:num w:numId="31">
    <w:abstractNumId w:val="11"/>
  </w:num>
  <w:num w:numId="32">
    <w:abstractNumId w:val="14"/>
  </w:num>
  <w:num w:numId="33">
    <w:abstractNumId w:val="36"/>
  </w:num>
  <w:num w:numId="34">
    <w:abstractNumId w:val="19"/>
  </w:num>
  <w:num w:numId="35">
    <w:abstractNumId w:val="37"/>
  </w:num>
  <w:num w:numId="36">
    <w:abstractNumId w:val="2"/>
  </w:num>
  <w:num w:numId="37">
    <w:abstractNumId w:val="5"/>
  </w:num>
  <w:num w:numId="38">
    <w:abstractNumId w:val="15"/>
  </w:num>
  <w:num w:numId="39">
    <w:abstractNumId w:val="23"/>
  </w:num>
  <w:num w:numId="40">
    <w:abstractNumId w:val="7"/>
  </w:num>
  <w:num w:numId="41">
    <w:abstractNumId w:val="40"/>
  </w:num>
  <w:num w:numId="42">
    <w:abstractNumId w:val="3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3A"/>
    <w:rsid w:val="00000241"/>
    <w:rsid w:val="00000707"/>
    <w:rsid w:val="00000B64"/>
    <w:rsid w:val="00000BB5"/>
    <w:rsid w:val="00000C3F"/>
    <w:rsid w:val="0000131A"/>
    <w:rsid w:val="0000288E"/>
    <w:rsid w:val="00003162"/>
    <w:rsid w:val="0000335D"/>
    <w:rsid w:val="0000379E"/>
    <w:rsid w:val="000044B5"/>
    <w:rsid w:val="000044BA"/>
    <w:rsid w:val="000058F0"/>
    <w:rsid w:val="00005DBD"/>
    <w:rsid w:val="00006B47"/>
    <w:rsid w:val="00007047"/>
    <w:rsid w:val="00007579"/>
    <w:rsid w:val="00010ACE"/>
    <w:rsid w:val="00011281"/>
    <w:rsid w:val="00011373"/>
    <w:rsid w:val="00011BD6"/>
    <w:rsid w:val="00012241"/>
    <w:rsid w:val="000126C9"/>
    <w:rsid w:val="00013628"/>
    <w:rsid w:val="000144B7"/>
    <w:rsid w:val="00014506"/>
    <w:rsid w:val="00014615"/>
    <w:rsid w:val="00014AAB"/>
    <w:rsid w:val="00014CB7"/>
    <w:rsid w:val="00015646"/>
    <w:rsid w:val="000158AA"/>
    <w:rsid w:val="00016BF3"/>
    <w:rsid w:val="000170CF"/>
    <w:rsid w:val="000176C7"/>
    <w:rsid w:val="00017C28"/>
    <w:rsid w:val="00017CDF"/>
    <w:rsid w:val="00017D3D"/>
    <w:rsid w:val="00020008"/>
    <w:rsid w:val="00020FD9"/>
    <w:rsid w:val="000214E4"/>
    <w:rsid w:val="000215FA"/>
    <w:rsid w:val="00021FBA"/>
    <w:rsid w:val="00022369"/>
    <w:rsid w:val="000229EB"/>
    <w:rsid w:val="00022A98"/>
    <w:rsid w:val="00022D36"/>
    <w:rsid w:val="00022F68"/>
    <w:rsid w:val="0002380B"/>
    <w:rsid w:val="00024455"/>
    <w:rsid w:val="000250AB"/>
    <w:rsid w:val="00025159"/>
    <w:rsid w:val="00025829"/>
    <w:rsid w:val="00025A3F"/>
    <w:rsid w:val="00026AB1"/>
    <w:rsid w:val="00027182"/>
    <w:rsid w:val="000272DF"/>
    <w:rsid w:val="000277FA"/>
    <w:rsid w:val="000301FE"/>
    <w:rsid w:val="00030619"/>
    <w:rsid w:val="0003112D"/>
    <w:rsid w:val="00031737"/>
    <w:rsid w:val="00031B1B"/>
    <w:rsid w:val="000320E9"/>
    <w:rsid w:val="00032184"/>
    <w:rsid w:val="00032F3B"/>
    <w:rsid w:val="00033121"/>
    <w:rsid w:val="00033672"/>
    <w:rsid w:val="0003386B"/>
    <w:rsid w:val="00034198"/>
    <w:rsid w:val="000344B9"/>
    <w:rsid w:val="0003466D"/>
    <w:rsid w:val="00035256"/>
    <w:rsid w:val="000354DC"/>
    <w:rsid w:val="00036104"/>
    <w:rsid w:val="00036525"/>
    <w:rsid w:val="0003686A"/>
    <w:rsid w:val="00037117"/>
    <w:rsid w:val="00037334"/>
    <w:rsid w:val="000373A5"/>
    <w:rsid w:val="000376BB"/>
    <w:rsid w:val="00037ABD"/>
    <w:rsid w:val="0004007C"/>
    <w:rsid w:val="00040963"/>
    <w:rsid w:val="000409A5"/>
    <w:rsid w:val="00041101"/>
    <w:rsid w:val="00041618"/>
    <w:rsid w:val="00041A40"/>
    <w:rsid w:val="00042505"/>
    <w:rsid w:val="000426DC"/>
    <w:rsid w:val="000430CE"/>
    <w:rsid w:val="0004331C"/>
    <w:rsid w:val="000433BC"/>
    <w:rsid w:val="00043776"/>
    <w:rsid w:val="00044CFA"/>
    <w:rsid w:val="000464BC"/>
    <w:rsid w:val="000466DF"/>
    <w:rsid w:val="0004696A"/>
    <w:rsid w:val="0004712D"/>
    <w:rsid w:val="00047232"/>
    <w:rsid w:val="00047FC7"/>
    <w:rsid w:val="000502D5"/>
    <w:rsid w:val="000511AB"/>
    <w:rsid w:val="00051B63"/>
    <w:rsid w:val="00051FF9"/>
    <w:rsid w:val="00052E9B"/>
    <w:rsid w:val="0005325B"/>
    <w:rsid w:val="00053AAD"/>
    <w:rsid w:val="00053DD6"/>
    <w:rsid w:val="0005430E"/>
    <w:rsid w:val="00054911"/>
    <w:rsid w:val="00054C20"/>
    <w:rsid w:val="000551C2"/>
    <w:rsid w:val="000552A2"/>
    <w:rsid w:val="0005539F"/>
    <w:rsid w:val="000556C6"/>
    <w:rsid w:val="000563DE"/>
    <w:rsid w:val="0005718F"/>
    <w:rsid w:val="00060405"/>
    <w:rsid w:val="00060818"/>
    <w:rsid w:val="00060A1E"/>
    <w:rsid w:val="0006202F"/>
    <w:rsid w:val="00062665"/>
    <w:rsid w:val="00062703"/>
    <w:rsid w:val="00062A99"/>
    <w:rsid w:val="00062C9E"/>
    <w:rsid w:val="000631FC"/>
    <w:rsid w:val="0006386F"/>
    <w:rsid w:val="00064083"/>
    <w:rsid w:val="00064C91"/>
    <w:rsid w:val="000654B3"/>
    <w:rsid w:val="00065769"/>
    <w:rsid w:val="00065C52"/>
    <w:rsid w:val="00066653"/>
    <w:rsid w:val="00066880"/>
    <w:rsid w:val="00066F28"/>
    <w:rsid w:val="0006751A"/>
    <w:rsid w:val="000675D2"/>
    <w:rsid w:val="000676EB"/>
    <w:rsid w:val="00067935"/>
    <w:rsid w:val="000701E7"/>
    <w:rsid w:val="00070D79"/>
    <w:rsid w:val="0007104E"/>
    <w:rsid w:val="0007122B"/>
    <w:rsid w:val="0007187A"/>
    <w:rsid w:val="00071A7B"/>
    <w:rsid w:val="00071C61"/>
    <w:rsid w:val="000720E5"/>
    <w:rsid w:val="0007219F"/>
    <w:rsid w:val="000729CF"/>
    <w:rsid w:val="00073105"/>
    <w:rsid w:val="00073B40"/>
    <w:rsid w:val="00074160"/>
    <w:rsid w:val="00074497"/>
    <w:rsid w:val="0007462D"/>
    <w:rsid w:val="00074B37"/>
    <w:rsid w:val="0007547B"/>
    <w:rsid w:val="00076699"/>
    <w:rsid w:val="00076B64"/>
    <w:rsid w:val="0007726C"/>
    <w:rsid w:val="00077A37"/>
    <w:rsid w:val="00077ED4"/>
    <w:rsid w:val="00077EED"/>
    <w:rsid w:val="0008033B"/>
    <w:rsid w:val="00080661"/>
    <w:rsid w:val="000813B1"/>
    <w:rsid w:val="0008158C"/>
    <w:rsid w:val="00082045"/>
    <w:rsid w:val="00082127"/>
    <w:rsid w:val="00082DBB"/>
    <w:rsid w:val="00083B01"/>
    <w:rsid w:val="0008407A"/>
    <w:rsid w:val="000845F1"/>
    <w:rsid w:val="00084874"/>
    <w:rsid w:val="00084B5E"/>
    <w:rsid w:val="00084BE8"/>
    <w:rsid w:val="00084F74"/>
    <w:rsid w:val="0008518F"/>
    <w:rsid w:val="0008535E"/>
    <w:rsid w:val="00085378"/>
    <w:rsid w:val="00085E71"/>
    <w:rsid w:val="000865D1"/>
    <w:rsid w:val="000869F4"/>
    <w:rsid w:val="00087127"/>
    <w:rsid w:val="00087D6C"/>
    <w:rsid w:val="00087DB6"/>
    <w:rsid w:val="00090EF4"/>
    <w:rsid w:val="0009127C"/>
    <w:rsid w:val="00091A1C"/>
    <w:rsid w:val="00092295"/>
    <w:rsid w:val="0009253C"/>
    <w:rsid w:val="00092E8B"/>
    <w:rsid w:val="00092EED"/>
    <w:rsid w:val="000930DC"/>
    <w:rsid w:val="00093A13"/>
    <w:rsid w:val="00093F06"/>
    <w:rsid w:val="000945C9"/>
    <w:rsid w:val="0009474A"/>
    <w:rsid w:val="00094958"/>
    <w:rsid w:val="00094D39"/>
    <w:rsid w:val="00094DF5"/>
    <w:rsid w:val="000956E5"/>
    <w:rsid w:val="000959D2"/>
    <w:rsid w:val="00095DBA"/>
    <w:rsid w:val="000962A1"/>
    <w:rsid w:val="00096494"/>
    <w:rsid w:val="00096714"/>
    <w:rsid w:val="0009692F"/>
    <w:rsid w:val="00096A29"/>
    <w:rsid w:val="00096F48"/>
    <w:rsid w:val="00096FB8"/>
    <w:rsid w:val="0009748F"/>
    <w:rsid w:val="0009754E"/>
    <w:rsid w:val="00097A2D"/>
    <w:rsid w:val="000A089B"/>
    <w:rsid w:val="000A12DF"/>
    <w:rsid w:val="000A172F"/>
    <w:rsid w:val="000A2196"/>
    <w:rsid w:val="000A234C"/>
    <w:rsid w:val="000A2B96"/>
    <w:rsid w:val="000A2F14"/>
    <w:rsid w:val="000A32B4"/>
    <w:rsid w:val="000A3A3F"/>
    <w:rsid w:val="000A519E"/>
    <w:rsid w:val="000A5A25"/>
    <w:rsid w:val="000A5B5E"/>
    <w:rsid w:val="000A601C"/>
    <w:rsid w:val="000A62C8"/>
    <w:rsid w:val="000A67B0"/>
    <w:rsid w:val="000A68E3"/>
    <w:rsid w:val="000A69CA"/>
    <w:rsid w:val="000A7EFD"/>
    <w:rsid w:val="000A7F6E"/>
    <w:rsid w:val="000B02AA"/>
    <w:rsid w:val="000B0A87"/>
    <w:rsid w:val="000B0B93"/>
    <w:rsid w:val="000B0CE8"/>
    <w:rsid w:val="000B0D58"/>
    <w:rsid w:val="000B0DE6"/>
    <w:rsid w:val="000B120E"/>
    <w:rsid w:val="000B1BB4"/>
    <w:rsid w:val="000B1CEF"/>
    <w:rsid w:val="000B2332"/>
    <w:rsid w:val="000B276A"/>
    <w:rsid w:val="000B2D08"/>
    <w:rsid w:val="000B2F7C"/>
    <w:rsid w:val="000B38E0"/>
    <w:rsid w:val="000B39D1"/>
    <w:rsid w:val="000B3EBF"/>
    <w:rsid w:val="000B3FAD"/>
    <w:rsid w:val="000B4EFF"/>
    <w:rsid w:val="000B53AE"/>
    <w:rsid w:val="000B5709"/>
    <w:rsid w:val="000B62BF"/>
    <w:rsid w:val="000B63BA"/>
    <w:rsid w:val="000B6854"/>
    <w:rsid w:val="000B6D83"/>
    <w:rsid w:val="000B6E0E"/>
    <w:rsid w:val="000B6FAA"/>
    <w:rsid w:val="000B7851"/>
    <w:rsid w:val="000C015B"/>
    <w:rsid w:val="000C01E4"/>
    <w:rsid w:val="000C0861"/>
    <w:rsid w:val="000C167D"/>
    <w:rsid w:val="000C1F19"/>
    <w:rsid w:val="000C20E8"/>
    <w:rsid w:val="000C2C43"/>
    <w:rsid w:val="000C31E6"/>
    <w:rsid w:val="000C40D4"/>
    <w:rsid w:val="000C4B30"/>
    <w:rsid w:val="000C5025"/>
    <w:rsid w:val="000C52E0"/>
    <w:rsid w:val="000C5852"/>
    <w:rsid w:val="000C5A58"/>
    <w:rsid w:val="000C5AFA"/>
    <w:rsid w:val="000C7656"/>
    <w:rsid w:val="000C79AB"/>
    <w:rsid w:val="000C7E82"/>
    <w:rsid w:val="000D02C7"/>
    <w:rsid w:val="000D094A"/>
    <w:rsid w:val="000D09EA"/>
    <w:rsid w:val="000D0BD2"/>
    <w:rsid w:val="000D0C9E"/>
    <w:rsid w:val="000D11C6"/>
    <w:rsid w:val="000D14F6"/>
    <w:rsid w:val="000D16D4"/>
    <w:rsid w:val="000D1828"/>
    <w:rsid w:val="000D36C5"/>
    <w:rsid w:val="000D3958"/>
    <w:rsid w:val="000D40B2"/>
    <w:rsid w:val="000D4664"/>
    <w:rsid w:val="000D4DDA"/>
    <w:rsid w:val="000D5601"/>
    <w:rsid w:val="000D58AA"/>
    <w:rsid w:val="000D58FF"/>
    <w:rsid w:val="000D620A"/>
    <w:rsid w:val="000D63F0"/>
    <w:rsid w:val="000D64D4"/>
    <w:rsid w:val="000D68ED"/>
    <w:rsid w:val="000E0602"/>
    <w:rsid w:val="000E094D"/>
    <w:rsid w:val="000E0A27"/>
    <w:rsid w:val="000E0AC1"/>
    <w:rsid w:val="000E1353"/>
    <w:rsid w:val="000E2180"/>
    <w:rsid w:val="000E2966"/>
    <w:rsid w:val="000E3A55"/>
    <w:rsid w:val="000E47A2"/>
    <w:rsid w:val="000E4B8B"/>
    <w:rsid w:val="000E4B9E"/>
    <w:rsid w:val="000E5331"/>
    <w:rsid w:val="000E6EA9"/>
    <w:rsid w:val="000F09EC"/>
    <w:rsid w:val="000F0E31"/>
    <w:rsid w:val="000F1441"/>
    <w:rsid w:val="000F1D30"/>
    <w:rsid w:val="000F1E0C"/>
    <w:rsid w:val="000F1E14"/>
    <w:rsid w:val="000F1E84"/>
    <w:rsid w:val="000F22A7"/>
    <w:rsid w:val="000F284F"/>
    <w:rsid w:val="000F345A"/>
    <w:rsid w:val="000F35CE"/>
    <w:rsid w:val="000F3B20"/>
    <w:rsid w:val="000F3D9D"/>
    <w:rsid w:val="000F4415"/>
    <w:rsid w:val="000F5618"/>
    <w:rsid w:val="000F6502"/>
    <w:rsid w:val="000F655F"/>
    <w:rsid w:val="000F71EB"/>
    <w:rsid w:val="00100217"/>
    <w:rsid w:val="0010191E"/>
    <w:rsid w:val="00101952"/>
    <w:rsid w:val="00101BC3"/>
    <w:rsid w:val="00102081"/>
    <w:rsid w:val="001020D7"/>
    <w:rsid w:val="001025FA"/>
    <w:rsid w:val="001027A0"/>
    <w:rsid w:val="001027C4"/>
    <w:rsid w:val="00102DE3"/>
    <w:rsid w:val="001032A8"/>
    <w:rsid w:val="00103D84"/>
    <w:rsid w:val="00104959"/>
    <w:rsid w:val="00104AA1"/>
    <w:rsid w:val="00104CEE"/>
    <w:rsid w:val="00104D36"/>
    <w:rsid w:val="00105292"/>
    <w:rsid w:val="00105C36"/>
    <w:rsid w:val="00105DBA"/>
    <w:rsid w:val="00105EF1"/>
    <w:rsid w:val="0010746B"/>
    <w:rsid w:val="00107C48"/>
    <w:rsid w:val="00107E24"/>
    <w:rsid w:val="001101ED"/>
    <w:rsid w:val="00111178"/>
    <w:rsid w:val="00111459"/>
    <w:rsid w:val="00111AC7"/>
    <w:rsid w:val="00111ED2"/>
    <w:rsid w:val="00112906"/>
    <w:rsid w:val="0011482B"/>
    <w:rsid w:val="00114898"/>
    <w:rsid w:val="00114E70"/>
    <w:rsid w:val="00116265"/>
    <w:rsid w:val="00116C22"/>
    <w:rsid w:val="001178CF"/>
    <w:rsid w:val="00117A91"/>
    <w:rsid w:val="001200C9"/>
    <w:rsid w:val="00120128"/>
    <w:rsid w:val="00120511"/>
    <w:rsid w:val="00120B75"/>
    <w:rsid w:val="00121172"/>
    <w:rsid w:val="0012235E"/>
    <w:rsid w:val="00122A6E"/>
    <w:rsid w:val="00123085"/>
    <w:rsid w:val="001238F5"/>
    <w:rsid w:val="00124048"/>
    <w:rsid w:val="001247D3"/>
    <w:rsid w:val="00124D7A"/>
    <w:rsid w:val="00124EC8"/>
    <w:rsid w:val="0012501E"/>
    <w:rsid w:val="00125254"/>
    <w:rsid w:val="0012535E"/>
    <w:rsid w:val="00125943"/>
    <w:rsid w:val="00125D85"/>
    <w:rsid w:val="00125E0E"/>
    <w:rsid w:val="001265C3"/>
    <w:rsid w:val="00126A87"/>
    <w:rsid w:val="00126CA3"/>
    <w:rsid w:val="001306B0"/>
    <w:rsid w:val="001312C7"/>
    <w:rsid w:val="001338D4"/>
    <w:rsid w:val="00133B8C"/>
    <w:rsid w:val="001346D8"/>
    <w:rsid w:val="00135AAB"/>
    <w:rsid w:val="0013692F"/>
    <w:rsid w:val="00136B31"/>
    <w:rsid w:val="0013712D"/>
    <w:rsid w:val="0013760D"/>
    <w:rsid w:val="00137628"/>
    <w:rsid w:val="00137BFB"/>
    <w:rsid w:val="00137DE8"/>
    <w:rsid w:val="001408B9"/>
    <w:rsid w:val="001411F5"/>
    <w:rsid w:val="00141312"/>
    <w:rsid w:val="00142568"/>
    <w:rsid w:val="00142CE3"/>
    <w:rsid w:val="0014317E"/>
    <w:rsid w:val="0014332C"/>
    <w:rsid w:val="00143632"/>
    <w:rsid w:val="001444DC"/>
    <w:rsid w:val="0014460F"/>
    <w:rsid w:val="00144763"/>
    <w:rsid w:val="00145828"/>
    <w:rsid w:val="00145DB9"/>
    <w:rsid w:val="0014631F"/>
    <w:rsid w:val="001471C8"/>
    <w:rsid w:val="00147287"/>
    <w:rsid w:val="00147478"/>
    <w:rsid w:val="00147ABC"/>
    <w:rsid w:val="00147B59"/>
    <w:rsid w:val="00150589"/>
    <w:rsid w:val="001515F5"/>
    <w:rsid w:val="00151D78"/>
    <w:rsid w:val="0015203E"/>
    <w:rsid w:val="0015382B"/>
    <w:rsid w:val="0015451C"/>
    <w:rsid w:val="00154959"/>
    <w:rsid w:val="00154C03"/>
    <w:rsid w:val="00154D3F"/>
    <w:rsid w:val="00154F70"/>
    <w:rsid w:val="00155805"/>
    <w:rsid w:val="00155C22"/>
    <w:rsid w:val="00155EC1"/>
    <w:rsid w:val="0015667A"/>
    <w:rsid w:val="00156A05"/>
    <w:rsid w:val="00156ACC"/>
    <w:rsid w:val="00156D1A"/>
    <w:rsid w:val="00157B62"/>
    <w:rsid w:val="0016026B"/>
    <w:rsid w:val="00161668"/>
    <w:rsid w:val="00161AAE"/>
    <w:rsid w:val="00161FDF"/>
    <w:rsid w:val="0016247C"/>
    <w:rsid w:val="0016268C"/>
    <w:rsid w:val="001632E4"/>
    <w:rsid w:val="0016332E"/>
    <w:rsid w:val="001636B4"/>
    <w:rsid w:val="00163737"/>
    <w:rsid w:val="00163CA4"/>
    <w:rsid w:val="00163EA3"/>
    <w:rsid w:val="00163F9F"/>
    <w:rsid w:val="00164251"/>
    <w:rsid w:val="001645C2"/>
    <w:rsid w:val="00164605"/>
    <w:rsid w:val="00164C5B"/>
    <w:rsid w:val="00164F12"/>
    <w:rsid w:val="00164F4D"/>
    <w:rsid w:val="00165BF3"/>
    <w:rsid w:val="00165D01"/>
    <w:rsid w:val="00165D29"/>
    <w:rsid w:val="00165DD3"/>
    <w:rsid w:val="001669C8"/>
    <w:rsid w:val="00166AED"/>
    <w:rsid w:val="00166C8A"/>
    <w:rsid w:val="0016741A"/>
    <w:rsid w:val="00167645"/>
    <w:rsid w:val="00167B6C"/>
    <w:rsid w:val="001713D7"/>
    <w:rsid w:val="00171B00"/>
    <w:rsid w:val="001724B4"/>
    <w:rsid w:val="001725B5"/>
    <w:rsid w:val="00172A8B"/>
    <w:rsid w:val="001732C3"/>
    <w:rsid w:val="001736C6"/>
    <w:rsid w:val="00173D3B"/>
    <w:rsid w:val="001740D6"/>
    <w:rsid w:val="00174C71"/>
    <w:rsid w:val="0017564C"/>
    <w:rsid w:val="001756C2"/>
    <w:rsid w:val="00175D52"/>
    <w:rsid w:val="0017666F"/>
    <w:rsid w:val="00176A49"/>
    <w:rsid w:val="00177361"/>
    <w:rsid w:val="00177A80"/>
    <w:rsid w:val="00177D18"/>
    <w:rsid w:val="00180027"/>
    <w:rsid w:val="0018049E"/>
    <w:rsid w:val="00180B48"/>
    <w:rsid w:val="00181A9D"/>
    <w:rsid w:val="0018218E"/>
    <w:rsid w:val="00182E6A"/>
    <w:rsid w:val="001830B7"/>
    <w:rsid w:val="001830D3"/>
    <w:rsid w:val="0018475B"/>
    <w:rsid w:val="001847C5"/>
    <w:rsid w:val="00184B0E"/>
    <w:rsid w:val="00185485"/>
    <w:rsid w:val="001856A4"/>
    <w:rsid w:val="00185995"/>
    <w:rsid w:val="00185DBC"/>
    <w:rsid w:val="00190323"/>
    <w:rsid w:val="0019033C"/>
    <w:rsid w:val="0019051F"/>
    <w:rsid w:val="00191209"/>
    <w:rsid w:val="00191366"/>
    <w:rsid w:val="00191693"/>
    <w:rsid w:val="00192BEA"/>
    <w:rsid w:val="00192D0D"/>
    <w:rsid w:val="00192E50"/>
    <w:rsid w:val="00193300"/>
    <w:rsid w:val="001933AB"/>
    <w:rsid w:val="0019404A"/>
    <w:rsid w:val="001941A8"/>
    <w:rsid w:val="00195119"/>
    <w:rsid w:val="00195440"/>
    <w:rsid w:val="00197221"/>
    <w:rsid w:val="001A0142"/>
    <w:rsid w:val="001A02AF"/>
    <w:rsid w:val="001A1BB2"/>
    <w:rsid w:val="001A25FA"/>
    <w:rsid w:val="001A2ED8"/>
    <w:rsid w:val="001A3996"/>
    <w:rsid w:val="001A4817"/>
    <w:rsid w:val="001A48BD"/>
    <w:rsid w:val="001A4A44"/>
    <w:rsid w:val="001A4E77"/>
    <w:rsid w:val="001A51BF"/>
    <w:rsid w:val="001A52EB"/>
    <w:rsid w:val="001A6439"/>
    <w:rsid w:val="001A6DBF"/>
    <w:rsid w:val="001A6E2A"/>
    <w:rsid w:val="001A71B1"/>
    <w:rsid w:val="001A7415"/>
    <w:rsid w:val="001B0839"/>
    <w:rsid w:val="001B1944"/>
    <w:rsid w:val="001B1E17"/>
    <w:rsid w:val="001B3474"/>
    <w:rsid w:val="001B3499"/>
    <w:rsid w:val="001B34AC"/>
    <w:rsid w:val="001B522D"/>
    <w:rsid w:val="001B53BA"/>
    <w:rsid w:val="001B642F"/>
    <w:rsid w:val="001B66D6"/>
    <w:rsid w:val="001B6711"/>
    <w:rsid w:val="001B6771"/>
    <w:rsid w:val="001B689D"/>
    <w:rsid w:val="001B717F"/>
    <w:rsid w:val="001B78A6"/>
    <w:rsid w:val="001C02E5"/>
    <w:rsid w:val="001C0415"/>
    <w:rsid w:val="001C0674"/>
    <w:rsid w:val="001C0779"/>
    <w:rsid w:val="001C1060"/>
    <w:rsid w:val="001C155F"/>
    <w:rsid w:val="001C1611"/>
    <w:rsid w:val="001C1629"/>
    <w:rsid w:val="001C1A32"/>
    <w:rsid w:val="001C1CFE"/>
    <w:rsid w:val="001C1E42"/>
    <w:rsid w:val="001C33DB"/>
    <w:rsid w:val="001C416F"/>
    <w:rsid w:val="001C52FF"/>
    <w:rsid w:val="001C5829"/>
    <w:rsid w:val="001C6BF4"/>
    <w:rsid w:val="001C7ACC"/>
    <w:rsid w:val="001C7D88"/>
    <w:rsid w:val="001D008D"/>
    <w:rsid w:val="001D020E"/>
    <w:rsid w:val="001D1D22"/>
    <w:rsid w:val="001D20B9"/>
    <w:rsid w:val="001D2610"/>
    <w:rsid w:val="001D2C0D"/>
    <w:rsid w:val="001D337A"/>
    <w:rsid w:val="001D3610"/>
    <w:rsid w:val="001D38DD"/>
    <w:rsid w:val="001D3B46"/>
    <w:rsid w:val="001D3BAA"/>
    <w:rsid w:val="001D3BB4"/>
    <w:rsid w:val="001D527F"/>
    <w:rsid w:val="001D5A8C"/>
    <w:rsid w:val="001D5ADF"/>
    <w:rsid w:val="001D61BA"/>
    <w:rsid w:val="001D6867"/>
    <w:rsid w:val="001D71EF"/>
    <w:rsid w:val="001D7212"/>
    <w:rsid w:val="001D7940"/>
    <w:rsid w:val="001E01BE"/>
    <w:rsid w:val="001E02A3"/>
    <w:rsid w:val="001E03B0"/>
    <w:rsid w:val="001E057B"/>
    <w:rsid w:val="001E0FF5"/>
    <w:rsid w:val="001E1CA0"/>
    <w:rsid w:val="001E385D"/>
    <w:rsid w:val="001E3BE5"/>
    <w:rsid w:val="001E44E9"/>
    <w:rsid w:val="001E4697"/>
    <w:rsid w:val="001E50A5"/>
    <w:rsid w:val="001E56E4"/>
    <w:rsid w:val="001E5FEB"/>
    <w:rsid w:val="001E61FF"/>
    <w:rsid w:val="001E6214"/>
    <w:rsid w:val="001E655A"/>
    <w:rsid w:val="001E6B4E"/>
    <w:rsid w:val="001E71C1"/>
    <w:rsid w:val="001E79E0"/>
    <w:rsid w:val="001E7FE1"/>
    <w:rsid w:val="001F09C3"/>
    <w:rsid w:val="001F14A9"/>
    <w:rsid w:val="001F195C"/>
    <w:rsid w:val="001F1C87"/>
    <w:rsid w:val="001F1E29"/>
    <w:rsid w:val="001F26AE"/>
    <w:rsid w:val="001F2A83"/>
    <w:rsid w:val="001F2D49"/>
    <w:rsid w:val="001F4954"/>
    <w:rsid w:val="001F551D"/>
    <w:rsid w:val="001F6E05"/>
    <w:rsid w:val="001F7301"/>
    <w:rsid w:val="00200703"/>
    <w:rsid w:val="00200B57"/>
    <w:rsid w:val="00200E59"/>
    <w:rsid w:val="002014F9"/>
    <w:rsid w:val="002016DE"/>
    <w:rsid w:val="0020251D"/>
    <w:rsid w:val="002027B0"/>
    <w:rsid w:val="002030AC"/>
    <w:rsid w:val="002039A0"/>
    <w:rsid w:val="00203B8C"/>
    <w:rsid w:val="00203C3C"/>
    <w:rsid w:val="0020435F"/>
    <w:rsid w:val="002054B6"/>
    <w:rsid w:val="00205C31"/>
    <w:rsid w:val="00205F92"/>
    <w:rsid w:val="002065EF"/>
    <w:rsid w:val="00206A4A"/>
    <w:rsid w:val="00206A8F"/>
    <w:rsid w:val="002077CF"/>
    <w:rsid w:val="002101E0"/>
    <w:rsid w:val="002109CB"/>
    <w:rsid w:val="00211252"/>
    <w:rsid w:val="00211370"/>
    <w:rsid w:val="00211A5F"/>
    <w:rsid w:val="00212088"/>
    <w:rsid w:val="00212365"/>
    <w:rsid w:val="00213947"/>
    <w:rsid w:val="00213B8A"/>
    <w:rsid w:val="00213C4A"/>
    <w:rsid w:val="00213F9C"/>
    <w:rsid w:val="002144F5"/>
    <w:rsid w:val="00214C8F"/>
    <w:rsid w:val="00215105"/>
    <w:rsid w:val="0021532B"/>
    <w:rsid w:val="00215B80"/>
    <w:rsid w:val="00215C77"/>
    <w:rsid w:val="00215ED9"/>
    <w:rsid w:val="00217B05"/>
    <w:rsid w:val="00220615"/>
    <w:rsid w:val="002206E8"/>
    <w:rsid w:val="00220749"/>
    <w:rsid w:val="002217FB"/>
    <w:rsid w:val="0022200B"/>
    <w:rsid w:val="0022385E"/>
    <w:rsid w:val="002241EF"/>
    <w:rsid w:val="0022439B"/>
    <w:rsid w:val="002246DB"/>
    <w:rsid w:val="00224EB5"/>
    <w:rsid w:val="0022531C"/>
    <w:rsid w:val="0022541C"/>
    <w:rsid w:val="0022554D"/>
    <w:rsid w:val="00225D6E"/>
    <w:rsid w:val="002262E1"/>
    <w:rsid w:val="0022788F"/>
    <w:rsid w:val="00227BD2"/>
    <w:rsid w:val="00230074"/>
    <w:rsid w:val="00230261"/>
    <w:rsid w:val="00230B17"/>
    <w:rsid w:val="00230B95"/>
    <w:rsid w:val="002315A6"/>
    <w:rsid w:val="00231EE2"/>
    <w:rsid w:val="00232402"/>
    <w:rsid w:val="002325E8"/>
    <w:rsid w:val="00232D9B"/>
    <w:rsid w:val="00233160"/>
    <w:rsid w:val="0023352F"/>
    <w:rsid w:val="002335DD"/>
    <w:rsid w:val="0023451F"/>
    <w:rsid w:val="00234578"/>
    <w:rsid w:val="00234948"/>
    <w:rsid w:val="002350B8"/>
    <w:rsid w:val="0023525E"/>
    <w:rsid w:val="002352CC"/>
    <w:rsid w:val="0023656C"/>
    <w:rsid w:val="002367BA"/>
    <w:rsid w:val="00236B33"/>
    <w:rsid w:val="002374F1"/>
    <w:rsid w:val="002375DE"/>
    <w:rsid w:val="00237B8C"/>
    <w:rsid w:val="00237C42"/>
    <w:rsid w:val="002401C0"/>
    <w:rsid w:val="002402CE"/>
    <w:rsid w:val="00240617"/>
    <w:rsid w:val="00240797"/>
    <w:rsid w:val="002409BC"/>
    <w:rsid w:val="00240AC0"/>
    <w:rsid w:val="00240E7D"/>
    <w:rsid w:val="0024165A"/>
    <w:rsid w:val="00241ACE"/>
    <w:rsid w:val="00241BC5"/>
    <w:rsid w:val="0024231F"/>
    <w:rsid w:val="0024301D"/>
    <w:rsid w:val="0024344F"/>
    <w:rsid w:val="00243B45"/>
    <w:rsid w:val="00243E86"/>
    <w:rsid w:val="00243F4E"/>
    <w:rsid w:val="00244134"/>
    <w:rsid w:val="0024417B"/>
    <w:rsid w:val="0024469D"/>
    <w:rsid w:val="00245392"/>
    <w:rsid w:val="00245879"/>
    <w:rsid w:val="00245984"/>
    <w:rsid w:val="00245AF5"/>
    <w:rsid w:val="00245C91"/>
    <w:rsid w:val="00246437"/>
    <w:rsid w:val="0025105C"/>
    <w:rsid w:val="002520EA"/>
    <w:rsid w:val="0025213F"/>
    <w:rsid w:val="00252743"/>
    <w:rsid w:val="00252F32"/>
    <w:rsid w:val="00252F82"/>
    <w:rsid w:val="00253356"/>
    <w:rsid w:val="0025335C"/>
    <w:rsid w:val="00253BC6"/>
    <w:rsid w:val="002545B2"/>
    <w:rsid w:val="00254654"/>
    <w:rsid w:val="00254D5B"/>
    <w:rsid w:val="00254F09"/>
    <w:rsid w:val="00254F56"/>
    <w:rsid w:val="00257568"/>
    <w:rsid w:val="00257DB8"/>
    <w:rsid w:val="00257DD4"/>
    <w:rsid w:val="00260177"/>
    <w:rsid w:val="00260AE5"/>
    <w:rsid w:val="00261492"/>
    <w:rsid w:val="002615B3"/>
    <w:rsid w:val="002617A5"/>
    <w:rsid w:val="00261B76"/>
    <w:rsid w:val="00261FE9"/>
    <w:rsid w:val="002623F8"/>
    <w:rsid w:val="0026264A"/>
    <w:rsid w:val="00262841"/>
    <w:rsid w:val="002632F2"/>
    <w:rsid w:val="00263AE4"/>
    <w:rsid w:val="002646F9"/>
    <w:rsid w:val="00264DD1"/>
    <w:rsid w:val="00264F4E"/>
    <w:rsid w:val="00264FBD"/>
    <w:rsid w:val="002654CB"/>
    <w:rsid w:val="00265E4C"/>
    <w:rsid w:val="00265EB8"/>
    <w:rsid w:val="002662B8"/>
    <w:rsid w:val="002669EC"/>
    <w:rsid w:val="00267169"/>
    <w:rsid w:val="002671A7"/>
    <w:rsid w:val="00267D50"/>
    <w:rsid w:val="0027046D"/>
    <w:rsid w:val="00270691"/>
    <w:rsid w:val="002706EB"/>
    <w:rsid w:val="00270C5E"/>
    <w:rsid w:val="00271C9C"/>
    <w:rsid w:val="002722CE"/>
    <w:rsid w:val="0027233C"/>
    <w:rsid w:val="002724AB"/>
    <w:rsid w:val="002737D1"/>
    <w:rsid w:val="00273C33"/>
    <w:rsid w:val="002743CF"/>
    <w:rsid w:val="002745CF"/>
    <w:rsid w:val="002746BB"/>
    <w:rsid w:val="00274E5E"/>
    <w:rsid w:val="00274F87"/>
    <w:rsid w:val="002753BB"/>
    <w:rsid w:val="002755E1"/>
    <w:rsid w:val="00276083"/>
    <w:rsid w:val="00276485"/>
    <w:rsid w:val="002764D0"/>
    <w:rsid w:val="00276BE8"/>
    <w:rsid w:val="00277014"/>
    <w:rsid w:val="0027716E"/>
    <w:rsid w:val="0027717D"/>
    <w:rsid w:val="00277266"/>
    <w:rsid w:val="002801CF"/>
    <w:rsid w:val="00280FD7"/>
    <w:rsid w:val="00281339"/>
    <w:rsid w:val="00281602"/>
    <w:rsid w:val="002817B0"/>
    <w:rsid w:val="00281ABC"/>
    <w:rsid w:val="00281B48"/>
    <w:rsid w:val="0028239B"/>
    <w:rsid w:val="002824AC"/>
    <w:rsid w:val="00282750"/>
    <w:rsid w:val="002830AB"/>
    <w:rsid w:val="00283918"/>
    <w:rsid w:val="00284191"/>
    <w:rsid w:val="00284C33"/>
    <w:rsid w:val="00284C99"/>
    <w:rsid w:val="00284CE0"/>
    <w:rsid w:val="002853A4"/>
    <w:rsid w:val="002859B6"/>
    <w:rsid w:val="00285E8B"/>
    <w:rsid w:val="00286356"/>
    <w:rsid w:val="002863FA"/>
    <w:rsid w:val="00286C0E"/>
    <w:rsid w:val="002879DB"/>
    <w:rsid w:val="00287DE3"/>
    <w:rsid w:val="00290E18"/>
    <w:rsid w:val="00290E23"/>
    <w:rsid w:val="00290FF3"/>
    <w:rsid w:val="002914EE"/>
    <w:rsid w:val="00291548"/>
    <w:rsid w:val="00291738"/>
    <w:rsid w:val="002917D0"/>
    <w:rsid w:val="0029212D"/>
    <w:rsid w:val="0029288D"/>
    <w:rsid w:val="00292C02"/>
    <w:rsid w:val="002935E4"/>
    <w:rsid w:val="002939AD"/>
    <w:rsid w:val="00293FDC"/>
    <w:rsid w:val="00294464"/>
    <w:rsid w:val="0029466A"/>
    <w:rsid w:val="002949A2"/>
    <w:rsid w:val="0029518A"/>
    <w:rsid w:val="00295573"/>
    <w:rsid w:val="002957CA"/>
    <w:rsid w:val="00295924"/>
    <w:rsid w:val="00295A54"/>
    <w:rsid w:val="00295CCA"/>
    <w:rsid w:val="00296244"/>
    <w:rsid w:val="00297A1D"/>
    <w:rsid w:val="00297A3A"/>
    <w:rsid w:val="002A02AB"/>
    <w:rsid w:val="002A0802"/>
    <w:rsid w:val="002A0B7A"/>
    <w:rsid w:val="002A0E28"/>
    <w:rsid w:val="002A137E"/>
    <w:rsid w:val="002A1398"/>
    <w:rsid w:val="002A1F08"/>
    <w:rsid w:val="002A31B0"/>
    <w:rsid w:val="002A3531"/>
    <w:rsid w:val="002A3DC8"/>
    <w:rsid w:val="002A4126"/>
    <w:rsid w:val="002A43B5"/>
    <w:rsid w:val="002A45B5"/>
    <w:rsid w:val="002A461E"/>
    <w:rsid w:val="002A49E9"/>
    <w:rsid w:val="002A4A1A"/>
    <w:rsid w:val="002A586F"/>
    <w:rsid w:val="002A5AA5"/>
    <w:rsid w:val="002A5D2F"/>
    <w:rsid w:val="002A60BA"/>
    <w:rsid w:val="002A6C5E"/>
    <w:rsid w:val="002A71D4"/>
    <w:rsid w:val="002A7220"/>
    <w:rsid w:val="002A7AB7"/>
    <w:rsid w:val="002A7E47"/>
    <w:rsid w:val="002B004E"/>
    <w:rsid w:val="002B019B"/>
    <w:rsid w:val="002B08F4"/>
    <w:rsid w:val="002B0C02"/>
    <w:rsid w:val="002B0D5E"/>
    <w:rsid w:val="002B10E5"/>
    <w:rsid w:val="002B13C5"/>
    <w:rsid w:val="002B15C9"/>
    <w:rsid w:val="002B2340"/>
    <w:rsid w:val="002B2445"/>
    <w:rsid w:val="002B2D0F"/>
    <w:rsid w:val="002B3567"/>
    <w:rsid w:val="002B398B"/>
    <w:rsid w:val="002B4167"/>
    <w:rsid w:val="002B453F"/>
    <w:rsid w:val="002B5459"/>
    <w:rsid w:val="002B556B"/>
    <w:rsid w:val="002B623D"/>
    <w:rsid w:val="002B734B"/>
    <w:rsid w:val="002B7647"/>
    <w:rsid w:val="002C05C2"/>
    <w:rsid w:val="002C082E"/>
    <w:rsid w:val="002C1048"/>
    <w:rsid w:val="002C1EDA"/>
    <w:rsid w:val="002C1F0C"/>
    <w:rsid w:val="002C231A"/>
    <w:rsid w:val="002C335F"/>
    <w:rsid w:val="002C33B9"/>
    <w:rsid w:val="002C3537"/>
    <w:rsid w:val="002C4174"/>
    <w:rsid w:val="002C4731"/>
    <w:rsid w:val="002C49FA"/>
    <w:rsid w:val="002C4A1B"/>
    <w:rsid w:val="002C4DA8"/>
    <w:rsid w:val="002C6516"/>
    <w:rsid w:val="002C684F"/>
    <w:rsid w:val="002C6E1E"/>
    <w:rsid w:val="002C77E6"/>
    <w:rsid w:val="002C7DFC"/>
    <w:rsid w:val="002C7EF4"/>
    <w:rsid w:val="002D014D"/>
    <w:rsid w:val="002D0841"/>
    <w:rsid w:val="002D096C"/>
    <w:rsid w:val="002D0999"/>
    <w:rsid w:val="002D111F"/>
    <w:rsid w:val="002D1897"/>
    <w:rsid w:val="002D1D0D"/>
    <w:rsid w:val="002D22F7"/>
    <w:rsid w:val="002D28B5"/>
    <w:rsid w:val="002D3559"/>
    <w:rsid w:val="002D3B83"/>
    <w:rsid w:val="002D496B"/>
    <w:rsid w:val="002D5049"/>
    <w:rsid w:val="002D5203"/>
    <w:rsid w:val="002D623E"/>
    <w:rsid w:val="002D657B"/>
    <w:rsid w:val="002D672C"/>
    <w:rsid w:val="002D6E7E"/>
    <w:rsid w:val="002D750F"/>
    <w:rsid w:val="002D7600"/>
    <w:rsid w:val="002D7B62"/>
    <w:rsid w:val="002E0C58"/>
    <w:rsid w:val="002E0F17"/>
    <w:rsid w:val="002E2FD5"/>
    <w:rsid w:val="002E3867"/>
    <w:rsid w:val="002E44C7"/>
    <w:rsid w:val="002E522D"/>
    <w:rsid w:val="002E5541"/>
    <w:rsid w:val="002E57DF"/>
    <w:rsid w:val="002E5974"/>
    <w:rsid w:val="002E65C5"/>
    <w:rsid w:val="002E685F"/>
    <w:rsid w:val="002F0598"/>
    <w:rsid w:val="002F1061"/>
    <w:rsid w:val="002F17C4"/>
    <w:rsid w:val="002F2089"/>
    <w:rsid w:val="002F21AB"/>
    <w:rsid w:val="002F2326"/>
    <w:rsid w:val="002F252D"/>
    <w:rsid w:val="002F2F07"/>
    <w:rsid w:val="002F3418"/>
    <w:rsid w:val="002F3E6B"/>
    <w:rsid w:val="002F45A2"/>
    <w:rsid w:val="002F4A29"/>
    <w:rsid w:val="002F50DB"/>
    <w:rsid w:val="002F518E"/>
    <w:rsid w:val="002F56EC"/>
    <w:rsid w:val="002F5E0B"/>
    <w:rsid w:val="002F5FE4"/>
    <w:rsid w:val="002F625A"/>
    <w:rsid w:val="002F643C"/>
    <w:rsid w:val="002F68CE"/>
    <w:rsid w:val="002F6FD3"/>
    <w:rsid w:val="002F6FDB"/>
    <w:rsid w:val="002F772E"/>
    <w:rsid w:val="00300649"/>
    <w:rsid w:val="00300940"/>
    <w:rsid w:val="00300CB0"/>
    <w:rsid w:val="00301467"/>
    <w:rsid w:val="00303061"/>
    <w:rsid w:val="00303799"/>
    <w:rsid w:val="00303E7F"/>
    <w:rsid w:val="003047E2"/>
    <w:rsid w:val="0030480E"/>
    <w:rsid w:val="00305751"/>
    <w:rsid w:val="003058A0"/>
    <w:rsid w:val="00305DBA"/>
    <w:rsid w:val="00305E34"/>
    <w:rsid w:val="00306741"/>
    <w:rsid w:val="00306E90"/>
    <w:rsid w:val="00307453"/>
    <w:rsid w:val="00307A2D"/>
    <w:rsid w:val="00307E49"/>
    <w:rsid w:val="003104BE"/>
    <w:rsid w:val="00310624"/>
    <w:rsid w:val="00310951"/>
    <w:rsid w:val="00311C4E"/>
    <w:rsid w:val="003132A6"/>
    <w:rsid w:val="0031338D"/>
    <w:rsid w:val="003135C0"/>
    <w:rsid w:val="00313ACF"/>
    <w:rsid w:val="00314DC9"/>
    <w:rsid w:val="003152F2"/>
    <w:rsid w:val="00315307"/>
    <w:rsid w:val="00315448"/>
    <w:rsid w:val="0031555F"/>
    <w:rsid w:val="0031592D"/>
    <w:rsid w:val="00315CAE"/>
    <w:rsid w:val="00315D3D"/>
    <w:rsid w:val="00315E86"/>
    <w:rsid w:val="00315F63"/>
    <w:rsid w:val="003164A6"/>
    <w:rsid w:val="00316BB9"/>
    <w:rsid w:val="00316C7D"/>
    <w:rsid w:val="00316D23"/>
    <w:rsid w:val="00316F36"/>
    <w:rsid w:val="00317022"/>
    <w:rsid w:val="00317A7E"/>
    <w:rsid w:val="00320418"/>
    <w:rsid w:val="00320902"/>
    <w:rsid w:val="00321142"/>
    <w:rsid w:val="003213F1"/>
    <w:rsid w:val="0032172F"/>
    <w:rsid w:val="0032215F"/>
    <w:rsid w:val="00322332"/>
    <w:rsid w:val="0032256D"/>
    <w:rsid w:val="0032271C"/>
    <w:rsid w:val="00322D2A"/>
    <w:rsid w:val="00324270"/>
    <w:rsid w:val="003243A8"/>
    <w:rsid w:val="00324E71"/>
    <w:rsid w:val="0032524F"/>
    <w:rsid w:val="0032546E"/>
    <w:rsid w:val="00325509"/>
    <w:rsid w:val="00325F09"/>
    <w:rsid w:val="00326600"/>
    <w:rsid w:val="00326697"/>
    <w:rsid w:val="00326721"/>
    <w:rsid w:val="0032718F"/>
    <w:rsid w:val="0032758B"/>
    <w:rsid w:val="00327922"/>
    <w:rsid w:val="00327B64"/>
    <w:rsid w:val="00327E3D"/>
    <w:rsid w:val="00330529"/>
    <w:rsid w:val="00330745"/>
    <w:rsid w:val="003307B7"/>
    <w:rsid w:val="00330E86"/>
    <w:rsid w:val="00331404"/>
    <w:rsid w:val="00331F99"/>
    <w:rsid w:val="00332867"/>
    <w:rsid w:val="0033289A"/>
    <w:rsid w:val="00333006"/>
    <w:rsid w:val="00333D8E"/>
    <w:rsid w:val="00334A87"/>
    <w:rsid w:val="00335085"/>
    <w:rsid w:val="003357B6"/>
    <w:rsid w:val="00335BD1"/>
    <w:rsid w:val="00335D9F"/>
    <w:rsid w:val="003368D7"/>
    <w:rsid w:val="00337A99"/>
    <w:rsid w:val="00337C5C"/>
    <w:rsid w:val="0034014B"/>
    <w:rsid w:val="00340456"/>
    <w:rsid w:val="003409C9"/>
    <w:rsid w:val="003409D2"/>
    <w:rsid w:val="00341246"/>
    <w:rsid w:val="0034132D"/>
    <w:rsid w:val="00341CA5"/>
    <w:rsid w:val="0034386B"/>
    <w:rsid w:val="00343B63"/>
    <w:rsid w:val="00344675"/>
    <w:rsid w:val="00344E1A"/>
    <w:rsid w:val="003453D5"/>
    <w:rsid w:val="00345501"/>
    <w:rsid w:val="00345D5B"/>
    <w:rsid w:val="00345FA9"/>
    <w:rsid w:val="0034606D"/>
    <w:rsid w:val="003465AA"/>
    <w:rsid w:val="003466A6"/>
    <w:rsid w:val="003467C2"/>
    <w:rsid w:val="003470EA"/>
    <w:rsid w:val="0034710E"/>
    <w:rsid w:val="003508DB"/>
    <w:rsid w:val="0035124A"/>
    <w:rsid w:val="00352036"/>
    <w:rsid w:val="003532E2"/>
    <w:rsid w:val="00354895"/>
    <w:rsid w:val="00355288"/>
    <w:rsid w:val="003554BF"/>
    <w:rsid w:val="00355643"/>
    <w:rsid w:val="00355D0F"/>
    <w:rsid w:val="00356D1A"/>
    <w:rsid w:val="00357228"/>
    <w:rsid w:val="00357D07"/>
    <w:rsid w:val="003603D8"/>
    <w:rsid w:val="00360AA3"/>
    <w:rsid w:val="00360CF4"/>
    <w:rsid w:val="00361126"/>
    <w:rsid w:val="00361678"/>
    <w:rsid w:val="00362076"/>
    <w:rsid w:val="003622DE"/>
    <w:rsid w:val="0036295B"/>
    <w:rsid w:val="00362DDE"/>
    <w:rsid w:val="00362EE2"/>
    <w:rsid w:val="0036300D"/>
    <w:rsid w:val="0036302C"/>
    <w:rsid w:val="003638F0"/>
    <w:rsid w:val="00363B30"/>
    <w:rsid w:val="00363E6A"/>
    <w:rsid w:val="003646D6"/>
    <w:rsid w:val="0036483C"/>
    <w:rsid w:val="00364DFC"/>
    <w:rsid w:val="00365A86"/>
    <w:rsid w:val="0036633C"/>
    <w:rsid w:val="00366606"/>
    <w:rsid w:val="003667A2"/>
    <w:rsid w:val="00366B8B"/>
    <w:rsid w:val="00366CD4"/>
    <w:rsid w:val="00366F9E"/>
    <w:rsid w:val="003672FE"/>
    <w:rsid w:val="0036748F"/>
    <w:rsid w:val="003674C7"/>
    <w:rsid w:val="00367A28"/>
    <w:rsid w:val="00367CD6"/>
    <w:rsid w:val="00367D2C"/>
    <w:rsid w:val="0037098A"/>
    <w:rsid w:val="003718B0"/>
    <w:rsid w:val="00371D56"/>
    <w:rsid w:val="00372628"/>
    <w:rsid w:val="003726C6"/>
    <w:rsid w:val="00372A56"/>
    <w:rsid w:val="00372D60"/>
    <w:rsid w:val="00373B79"/>
    <w:rsid w:val="00373B87"/>
    <w:rsid w:val="00373CED"/>
    <w:rsid w:val="003746E6"/>
    <w:rsid w:val="00374DEF"/>
    <w:rsid w:val="003755D9"/>
    <w:rsid w:val="0037633A"/>
    <w:rsid w:val="00382DCF"/>
    <w:rsid w:val="00383C2E"/>
    <w:rsid w:val="00383DD1"/>
    <w:rsid w:val="003849F7"/>
    <w:rsid w:val="00384A6F"/>
    <w:rsid w:val="003855F6"/>
    <w:rsid w:val="00385C8C"/>
    <w:rsid w:val="00385D17"/>
    <w:rsid w:val="00385FF9"/>
    <w:rsid w:val="003862D1"/>
    <w:rsid w:val="00387DFB"/>
    <w:rsid w:val="00387EA1"/>
    <w:rsid w:val="0039022B"/>
    <w:rsid w:val="00390865"/>
    <w:rsid w:val="00390F7B"/>
    <w:rsid w:val="003912A7"/>
    <w:rsid w:val="00391CF7"/>
    <w:rsid w:val="003921BB"/>
    <w:rsid w:val="003921F8"/>
    <w:rsid w:val="00392320"/>
    <w:rsid w:val="00392360"/>
    <w:rsid w:val="00392636"/>
    <w:rsid w:val="0039281A"/>
    <w:rsid w:val="00392D47"/>
    <w:rsid w:val="00393079"/>
    <w:rsid w:val="003933FC"/>
    <w:rsid w:val="00393413"/>
    <w:rsid w:val="00393AA8"/>
    <w:rsid w:val="00393B17"/>
    <w:rsid w:val="0039407C"/>
    <w:rsid w:val="00394122"/>
    <w:rsid w:val="00394AA3"/>
    <w:rsid w:val="0039509F"/>
    <w:rsid w:val="0039525E"/>
    <w:rsid w:val="00395557"/>
    <w:rsid w:val="00395B37"/>
    <w:rsid w:val="00396067"/>
    <w:rsid w:val="00396691"/>
    <w:rsid w:val="003976A9"/>
    <w:rsid w:val="003A0829"/>
    <w:rsid w:val="003A1348"/>
    <w:rsid w:val="003A2C1D"/>
    <w:rsid w:val="003A53C3"/>
    <w:rsid w:val="003A79C6"/>
    <w:rsid w:val="003B0367"/>
    <w:rsid w:val="003B0BD8"/>
    <w:rsid w:val="003B0E3B"/>
    <w:rsid w:val="003B18B6"/>
    <w:rsid w:val="003B1A72"/>
    <w:rsid w:val="003B1BA0"/>
    <w:rsid w:val="003B34C0"/>
    <w:rsid w:val="003B3DC6"/>
    <w:rsid w:val="003B3F04"/>
    <w:rsid w:val="003B4C90"/>
    <w:rsid w:val="003B51B8"/>
    <w:rsid w:val="003B55B7"/>
    <w:rsid w:val="003B5D70"/>
    <w:rsid w:val="003B5E0A"/>
    <w:rsid w:val="003B7484"/>
    <w:rsid w:val="003B7C33"/>
    <w:rsid w:val="003C0172"/>
    <w:rsid w:val="003C01C8"/>
    <w:rsid w:val="003C087E"/>
    <w:rsid w:val="003C08AB"/>
    <w:rsid w:val="003C090A"/>
    <w:rsid w:val="003C19B2"/>
    <w:rsid w:val="003C19F7"/>
    <w:rsid w:val="003C1A79"/>
    <w:rsid w:val="003C3259"/>
    <w:rsid w:val="003C32E0"/>
    <w:rsid w:val="003C5726"/>
    <w:rsid w:val="003C637A"/>
    <w:rsid w:val="003C68EA"/>
    <w:rsid w:val="003C6AE5"/>
    <w:rsid w:val="003C74D0"/>
    <w:rsid w:val="003C79B4"/>
    <w:rsid w:val="003D007A"/>
    <w:rsid w:val="003D0612"/>
    <w:rsid w:val="003D0CDC"/>
    <w:rsid w:val="003D0DA3"/>
    <w:rsid w:val="003D10D0"/>
    <w:rsid w:val="003D15EF"/>
    <w:rsid w:val="003D1A51"/>
    <w:rsid w:val="003D1B16"/>
    <w:rsid w:val="003D1C70"/>
    <w:rsid w:val="003D21EB"/>
    <w:rsid w:val="003D2485"/>
    <w:rsid w:val="003D262A"/>
    <w:rsid w:val="003D2850"/>
    <w:rsid w:val="003D28E7"/>
    <w:rsid w:val="003D2F3E"/>
    <w:rsid w:val="003D2FED"/>
    <w:rsid w:val="003D3397"/>
    <w:rsid w:val="003D361D"/>
    <w:rsid w:val="003D41CE"/>
    <w:rsid w:val="003D46E3"/>
    <w:rsid w:val="003D6DAD"/>
    <w:rsid w:val="003D6E9C"/>
    <w:rsid w:val="003D746A"/>
    <w:rsid w:val="003E0050"/>
    <w:rsid w:val="003E01A9"/>
    <w:rsid w:val="003E04E7"/>
    <w:rsid w:val="003E0513"/>
    <w:rsid w:val="003E09C5"/>
    <w:rsid w:val="003E1B7B"/>
    <w:rsid w:val="003E1D09"/>
    <w:rsid w:val="003E21F1"/>
    <w:rsid w:val="003E24A3"/>
    <w:rsid w:val="003E2584"/>
    <w:rsid w:val="003E2BDB"/>
    <w:rsid w:val="003E458A"/>
    <w:rsid w:val="003E493D"/>
    <w:rsid w:val="003E4A1C"/>
    <w:rsid w:val="003E53CF"/>
    <w:rsid w:val="003E551A"/>
    <w:rsid w:val="003E5AB7"/>
    <w:rsid w:val="003E61C8"/>
    <w:rsid w:val="003E620B"/>
    <w:rsid w:val="003E69B7"/>
    <w:rsid w:val="003E6F00"/>
    <w:rsid w:val="003E7441"/>
    <w:rsid w:val="003E7827"/>
    <w:rsid w:val="003E7ED3"/>
    <w:rsid w:val="003E7F89"/>
    <w:rsid w:val="003F05D7"/>
    <w:rsid w:val="003F0DCA"/>
    <w:rsid w:val="003F0FE5"/>
    <w:rsid w:val="003F10C6"/>
    <w:rsid w:val="003F1A57"/>
    <w:rsid w:val="003F1E7C"/>
    <w:rsid w:val="003F215C"/>
    <w:rsid w:val="003F2444"/>
    <w:rsid w:val="003F30DB"/>
    <w:rsid w:val="003F3D4A"/>
    <w:rsid w:val="003F4FB3"/>
    <w:rsid w:val="003F50C1"/>
    <w:rsid w:val="003F5C25"/>
    <w:rsid w:val="003F5F6F"/>
    <w:rsid w:val="003F65E4"/>
    <w:rsid w:val="003F69BC"/>
    <w:rsid w:val="003F6EC3"/>
    <w:rsid w:val="003F70DB"/>
    <w:rsid w:val="003F77D4"/>
    <w:rsid w:val="003F78A3"/>
    <w:rsid w:val="00400983"/>
    <w:rsid w:val="00400BDE"/>
    <w:rsid w:val="00400CB3"/>
    <w:rsid w:val="00401755"/>
    <w:rsid w:val="00402BE3"/>
    <w:rsid w:val="00402CAB"/>
    <w:rsid w:val="004036F6"/>
    <w:rsid w:val="00403DC9"/>
    <w:rsid w:val="00404841"/>
    <w:rsid w:val="004048B0"/>
    <w:rsid w:val="00404ABE"/>
    <w:rsid w:val="00404B26"/>
    <w:rsid w:val="00405F4D"/>
    <w:rsid w:val="0040643D"/>
    <w:rsid w:val="004068FB"/>
    <w:rsid w:val="00407126"/>
    <w:rsid w:val="00407584"/>
    <w:rsid w:val="00407948"/>
    <w:rsid w:val="00407CB2"/>
    <w:rsid w:val="00410BF3"/>
    <w:rsid w:val="004112A8"/>
    <w:rsid w:val="0041130A"/>
    <w:rsid w:val="00411440"/>
    <w:rsid w:val="0041202D"/>
    <w:rsid w:val="0041258B"/>
    <w:rsid w:val="00412707"/>
    <w:rsid w:val="00412D3F"/>
    <w:rsid w:val="00412EE5"/>
    <w:rsid w:val="00412FAB"/>
    <w:rsid w:val="00413183"/>
    <w:rsid w:val="0041364E"/>
    <w:rsid w:val="00413DF8"/>
    <w:rsid w:val="00413FFF"/>
    <w:rsid w:val="004143E2"/>
    <w:rsid w:val="00414721"/>
    <w:rsid w:val="00414A7C"/>
    <w:rsid w:val="00414CCF"/>
    <w:rsid w:val="00415333"/>
    <w:rsid w:val="0041541C"/>
    <w:rsid w:val="004162C0"/>
    <w:rsid w:val="0041656A"/>
    <w:rsid w:val="00417DA3"/>
    <w:rsid w:val="004200B2"/>
    <w:rsid w:val="004220C3"/>
    <w:rsid w:val="004226EA"/>
    <w:rsid w:val="004227FF"/>
    <w:rsid w:val="00422CBC"/>
    <w:rsid w:val="00422E23"/>
    <w:rsid w:val="00423245"/>
    <w:rsid w:val="00423446"/>
    <w:rsid w:val="00423F6B"/>
    <w:rsid w:val="00424C42"/>
    <w:rsid w:val="0042516E"/>
    <w:rsid w:val="00425717"/>
    <w:rsid w:val="00425819"/>
    <w:rsid w:val="0042592E"/>
    <w:rsid w:val="00425FB2"/>
    <w:rsid w:val="00426603"/>
    <w:rsid w:val="00427892"/>
    <w:rsid w:val="00427C26"/>
    <w:rsid w:val="00427FB8"/>
    <w:rsid w:val="004307D0"/>
    <w:rsid w:val="004308CB"/>
    <w:rsid w:val="00431D6C"/>
    <w:rsid w:val="00431F95"/>
    <w:rsid w:val="004329C1"/>
    <w:rsid w:val="00432ACF"/>
    <w:rsid w:val="004330B9"/>
    <w:rsid w:val="004331AB"/>
    <w:rsid w:val="00433859"/>
    <w:rsid w:val="00434024"/>
    <w:rsid w:val="00435570"/>
    <w:rsid w:val="004357D4"/>
    <w:rsid w:val="00435961"/>
    <w:rsid w:val="00435E78"/>
    <w:rsid w:val="00436780"/>
    <w:rsid w:val="004367F4"/>
    <w:rsid w:val="00437389"/>
    <w:rsid w:val="004424EF"/>
    <w:rsid w:val="00442861"/>
    <w:rsid w:val="00442D34"/>
    <w:rsid w:val="0044373E"/>
    <w:rsid w:val="00444046"/>
    <w:rsid w:val="00444CAD"/>
    <w:rsid w:val="00444EA6"/>
    <w:rsid w:val="004452A1"/>
    <w:rsid w:val="004460F8"/>
    <w:rsid w:val="00446364"/>
    <w:rsid w:val="00447C6C"/>
    <w:rsid w:val="00451286"/>
    <w:rsid w:val="00451289"/>
    <w:rsid w:val="0045206C"/>
    <w:rsid w:val="00452485"/>
    <w:rsid w:val="00452A2C"/>
    <w:rsid w:val="00452E9E"/>
    <w:rsid w:val="00452EAF"/>
    <w:rsid w:val="00452F0B"/>
    <w:rsid w:val="0045303F"/>
    <w:rsid w:val="00453612"/>
    <w:rsid w:val="004539E8"/>
    <w:rsid w:val="00454910"/>
    <w:rsid w:val="004552FE"/>
    <w:rsid w:val="004557F7"/>
    <w:rsid w:val="00456D04"/>
    <w:rsid w:val="004573BE"/>
    <w:rsid w:val="00457673"/>
    <w:rsid w:val="00457CE1"/>
    <w:rsid w:val="00457E11"/>
    <w:rsid w:val="004601CB"/>
    <w:rsid w:val="0046059D"/>
    <w:rsid w:val="004609B3"/>
    <w:rsid w:val="00460B26"/>
    <w:rsid w:val="004611AF"/>
    <w:rsid w:val="0046197D"/>
    <w:rsid w:val="00462330"/>
    <w:rsid w:val="004628F9"/>
    <w:rsid w:val="004636A9"/>
    <w:rsid w:val="004644AB"/>
    <w:rsid w:val="00465D3D"/>
    <w:rsid w:val="00465F4B"/>
    <w:rsid w:val="004661C9"/>
    <w:rsid w:val="00466E11"/>
    <w:rsid w:val="0046704C"/>
    <w:rsid w:val="00467C5B"/>
    <w:rsid w:val="00467DD5"/>
    <w:rsid w:val="00470512"/>
    <w:rsid w:val="00470C1B"/>
    <w:rsid w:val="00470F2F"/>
    <w:rsid w:val="00470FBD"/>
    <w:rsid w:val="004717C7"/>
    <w:rsid w:val="00471DB9"/>
    <w:rsid w:val="00471E40"/>
    <w:rsid w:val="00472B0A"/>
    <w:rsid w:val="00474624"/>
    <w:rsid w:val="00474BC7"/>
    <w:rsid w:val="00475153"/>
    <w:rsid w:val="00475514"/>
    <w:rsid w:val="00475F01"/>
    <w:rsid w:val="004760C4"/>
    <w:rsid w:val="004760DC"/>
    <w:rsid w:val="00476A50"/>
    <w:rsid w:val="00476AC1"/>
    <w:rsid w:val="004771F3"/>
    <w:rsid w:val="004775D0"/>
    <w:rsid w:val="00477615"/>
    <w:rsid w:val="00477ACE"/>
    <w:rsid w:val="00477E9D"/>
    <w:rsid w:val="00480A37"/>
    <w:rsid w:val="00481553"/>
    <w:rsid w:val="004818F1"/>
    <w:rsid w:val="00481DAD"/>
    <w:rsid w:val="0048243E"/>
    <w:rsid w:val="00484B24"/>
    <w:rsid w:val="00484B9E"/>
    <w:rsid w:val="00484EF9"/>
    <w:rsid w:val="0048520E"/>
    <w:rsid w:val="0048601A"/>
    <w:rsid w:val="004868E3"/>
    <w:rsid w:val="00487CCE"/>
    <w:rsid w:val="00490554"/>
    <w:rsid w:val="004908C4"/>
    <w:rsid w:val="00490A0F"/>
    <w:rsid w:val="00490C26"/>
    <w:rsid w:val="004915E4"/>
    <w:rsid w:val="004932C2"/>
    <w:rsid w:val="00493576"/>
    <w:rsid w:val="00493674"/>
    <w:rsid w:val="004936C7"/>
    <w:rsid w:val="00494806"/>
    <w:rsid w:val="00495116"/>
    <w:rsid w:val="0049579D"/>
    <w:rsid w:val="00495DFE"/>
    <w:rsid w:val="00496110"/>
    <w:rsid w:val="00496FA9"/>
    <w:rsid w:val="004973F0"/>
    <w:rsid w:val="00497905"/>
    <w:rsid w:val="004A0348"/>
    <w:rsid w:val="004A0A8F"/>
    <w:rsid w:val="004A0C0B"/>
    <w:rsid w:val="004A14C2"/>
    <w:rsid w:val="004A14C4"/>
    <w:rsid w:val="004A14E0"/>
    <w:rsid w:val="004A1FC2"/>
    <w:rsid w:val="004A2555"/>
    <w:rsid w:val="004A291F"/>
    <w:rsid w:val="004A2B10"/>
    <w:rsid w:val="004A2BEC"/>
    <w:rsid w:val="004A4C0B"/>
    <w:rsid w:val="004A4E8A"/>
    <w:rsid w:val="004A563B"/>
    <w:rsid w:val="004A5B62"/>
    <w:rsid w:val="004A64A5"/>
    <w:rsid w:val="004A6737"/>
    <w:rsid w:val="004A6E99"/>
    <w:rsid w:val="004A7D7D"/>
    <w:rsid w:val="004B0233"/>
    <w:rsid w:val="004B0554"/>
    <w:rsid w:val="004B06EF"/>
    <w:rsid w:val="004B0D1D"/>
    <w:rsid w:val="004B1680"/>
    <w:rsid w:val="004B1904"/>
    <w:rsid w:val="004B1A17"/>
    <w:rsid w:val="004B2563"/>
    <w:rsid w:val="004B27B9"/>
    <w:rsid w:val="004B2C31"/>
    <w:rsid w:val="004B2D7F"/>
    <w:rsid w:val="004B3E04"/>
    <w:rsid w:val="004B42AC"/>
    <w:rsid w:val="004B47BD"/>
    <w:rsid w:val="004B4966"/>
    <w:rsid w:val="004B4DB7"/>
    <w:rsid w:val="004B682D"/>
    <w:rsid w:val="004B7459"/>
    <w:rsid w:val="004C1052"/>
    <w:rsid w:val="004C15CE"/>
    <w:rsid w:val="004C17CC"/>
    <w:rsid w:val="004C2537"/>
    <w:rsid w:val="004C2D43"/>
    <w:rsid w:val="004C3CF0"/>
    <w:rsid w:val="004C4E6E"/>
    <w:rsid w:val="004C5B22"/>
    <w:rsid w:val="004C5DCB"/>
    <w:rsid w:val="004C6AFC"/>
    <w:rsid w:val="004C6D47"/>
    <w:rsid w:val="004C7263"/>
    <w:rsid w:val="004C74AD"/>
    <w:rsid w:val="004C799E"/>
    <w:rsid w:val="004C7BB7"/>
    <w:rsid w:val="004D01FE"/>
    <w:rsid w:val="004D091E"/>
    <w:rsid w:val="004D0A7B"/>
    <w:rsid w:val="004D15F1"/>
    <w:rsid w:val="004D22F4"/>
    <w:rsid w:val="004D28E7"/>
    <w:rsid w:val="004D29C1"/>
    <w:rsid w:val="004D2BBB"/>
    <w:rsid w:val="004D384D"/>
    <w:rsid w:val="004D3EEF"/>
    <w:rsid w:val="004D444D"/>
    <w:rsid w:val="004D4740"/>
    <w:rsid w:val="004D47D8"/>
    <w:rsid w:val="004D5195"/>
    <w:rsid w:val="004D54F9"/>
    <w:rsid w:val="004D5A35"/>
    <w:rsid w:val="004D5CD8"/>
    <w:rsid w:val="004D6A00"/>
    <w:rsid w:val="004D6D56"/>
    <w:rsid w:val="004D6E02"/>
    <w:rsid w:val="004D7B43"/>
    <w:rsid w:val="004E0371"/>
    <w:rsid w:val="004E0458"/>
    <w:rsid w:val="004E16D0"/>
    <w:rsid w:val="004E1E01"/>
    <w:rsid w:val="004E281A"/>
    <w:rsid w:val="004E3C80"/>
    <w:rsid w:val="004E4AB4"/>
    <w:rsid w:val="004E4C7A"/>
    <w:rsid w:val="004E5587"/>
    <w:rsid w:val="004E5AC5"/>
    <w:rsid w:val="004E6702"/>
    <w:rsid w:val="004E6F7D"/>
    <w:rsid w:val="004E70EE"/>
    <w:rsid w:val="004E72D6"/>
    <w:rsid w:val="004E7A93"/>
    <w:rsid w:val="004E7DF5"/>
    <w:rsid w:val="004F0177"/>
    <w:rsid w:val="004F185F"/>
    <w:rsid w:val="004F1A4F"/>
    <w:rsid w:val="004F1C71"/>
    <w:rsid w:val="004F2ABD"/>
    <w:rsid w:val="004F2DED"/>
    <w:rsid w:val="004F35E3"/>
    <w:rsid w:val="004F35E6"/>
    <w:rsid w:val="004F3D38"/>
    <w:rsid w:val="004F47C3"/>
    <w:rsid w:val="004F4805"/>
    <w:rsid w:val="004F4C8F"/>
    <w:rsid w:val="004F4E4A"/>
    <w:rsid w:val="004F5233"/>
    <w:rsid w:val="004F5D9A"/>
    <w:rsid w:val="004F6D14"/>
    <w:rsid w:val="004F6E27"/>
    <w:rsid w:val="004F7519"/>
    <w:rsid w:val="004F7695"/>
    <w:rsid w:val="004F797B"/>
    <w:rsid w:val="004F7AD4"/>
    <w:rsid w:val="004F7CA9"/>
    <w:rsid w:val="004F7ED0"/>
    <w:rsid w:val="0050005A"/>
    <w:rsid w:val="00500A00"/>
    <w:rsid w:val="00500CE1"/>
    <w:rsid w:val="00500FCC"/>
    <w:rsid w:val="0050142B"/>
    <w:rsid w:val="005014C3"/>
    <w:rsid w:val="005017C8"/>
    <w:rsid w:val="00501BF1"/>
    <w:rsid w:val="00501FA9"/>
    <w:rsid w:val="00502254"/>
    <w:rsid w:val="00502470"/>
    <w:rsid w:val="0050264A"/>
    <w:rsid w:val="00503235"/>
    <w:rsid w:val="00504702"/>
    <w:rsid w:val="00505A7A"/>
    <w:rsid w:val="00505E1C"/>
    <w:rsid w:val="005062BF"/>
    <w:rsid w:val="005064D5"/>
    <w:rsid w:val="005069F9"/>
    <w:rsid w:val="00506BBB"/>
    <w:rsid w:val="00506D6E"/>
    <w:rsid w:val="00507A58"/>
    <w:rsid w:val="00507B58"/>
    <w:rsid w:val="00507D59"/>
    <w:rsid w:val="00510A6D"/>
    <w:rsid w:val="00510B6D"/>
    <w:rsid w:val="00510C30"/>
    <w:rsid w:val="005110C4"/>
    <w:rsid w:val="00511E31"/>
    <w:rsid w:val="00511FD8"/>
    <w:rsid w:val="00513173"/>
    <w:rsid w:val="00513246"/>
    <w:rsid w:val="00513B7B"/>
    <w:rsid w:val="00513D16"/>
    <w:rsid w:val="00513DFC"/>
    <w:rsid w:val="00514860"/>
    <w:rsid w:val="005155DB"/>
    <w:rsid w:val="005156A0"/>
    <w:rsid w:val="00515A87"/>
    <w:rsid w:val="00516124"/>
    <w:rsid w:val="00516146"/>
    <w:rsid w:val="005172DA"/>
    <w:rsid w:val="0052038B"/>
    <w:rsid w:val="00520C0C"/>
    <w:rsid w:val="00520F8E"/>
    <w:rsid w:val="0052118B"/>
    <w:rsid w:val="00521645"/>
    <w:rsid w:val="00521E66"/>
    <w:rsid w:val="00522204"/>
    <w:rsid w:val="00522B6B"/>
    <w:rsid w:val="00522FB3"/>
    <w:rsid w:val="00523B4C"/>
    <w:rsid w:val="00523B5A"/>
    <w:rsid w:val="005245C0"/>
    <w:rsid w:val="00524839"/>
    <w:rsid w:val="00524B6B"/>
    <w:rsid w:val="00524B92"/>
    <w:rsid w:val="00525D46"/>
    <w:rsid w:val="0052746C"/>
    <w:rsid w:val="005276AF"/>
    <w:rsid w:val="005279A5"/>
    <w:rsid w:val="00527DD2"/>
    <w:rsid w:val="00530D58"/>
    <w:rsid w:val="0053100B"/>
    <w:rsid w:val="005313D7"/>
    <w:rsid w:val="0053143D"/>
    <w:rsid w:val="0053190E"/>
    <w:rsid w:val="00531C1C"/>
    <w:rsid w:val="00532A1B"/>
    <w:rsid w:val="00532A5A"/>
    <w:rsid w:val="005334A1"/>
    <w:rsid w:val="00533613"/>
    <w:rsid w:val="005339D9"/>
    <w:rsid w:val="0053416E"/>
    <w:rsid w:val="00534FE6"/>
    <w:rsid w:val="0053554E"/>
    <w:rsid w:val="005360EC"/>
    <w:rsid w:val="0053678D"/>
    <w:rsid w:val="00536D81"/>
    <w:rsid w:val="00536F4B"/>
    <w:rsid w:val="00537389"/>
    <w:rsid w:val="0054027C"/>
    <w:rsid w:val="005402DB"/>
    <w:rsid w:val="00541159"/>
    <w:rsid w:val="005414F0"/>
    <w:rsid w:val="00542096"/>
    <w:rsid w:val="00542139"/>
    <w:rsid w:val="00542451"/>
    <w:rsid w:val="00542958"/>
    <w:rsid w:val="00542ECF"/>
    <w:rsid w:val="00542EE8"/>
    <w:rsid w:val="00543606"/>
    <w:rsid w:val="0054426F"/>
    <w:rsid w:val="005445DD"/>
    <w:rsid w:val="00545865"/>
    <w:rsid w:val="00545A04"/>
    <w:rsid w:val="00545B25"/>
    <w:rsid w:val="00545C7C"/>
    <w:rsid w:val="00545FC9"/>
    <w:rsid w:val="005461B8"/>
    <w:rsid w:val="00546336"/>
    <w:rsid w:val="005465BC"/>
    <w:rsid w:val="00546864"/>
    <w:rsid w:val="00547A05"/>
    <w:rsid w:val="00547A26"/>
    <w:rsid w:val="0055021C"/>
    <w:rsid w:val="0055035F"/>
    <w:rsid w:val="00550DC8"/>
    <w:rsid w:val="005519C9"/>
    <w:rsid w:val="00551B9D"/>
    <w:rsid w:val="00551C32"/>
    <w:rsid w:val="00551E9F"/>
    <w:rsid w:val="0055257B"/>
    <w:rsid w:val="00552794"/>
    <w:rsid w:val="0055296A"/>
    <w:rsid w:val="00552C51"/>
    <w:rsid w:val="00552EB5"/>
    <w:rsid w:val="00553233"/>
    <w:rsid w:val="00553D81"/>
    <w:rsid w:val="00553EAD"/>
    <w:rsid w:val="005546F8"/>
    <w:rsid w:val="00554BE4"/>
    <w:rsid w:val="00554C0A"/>
    <w:rsid w:val="00555D38"/>
    <w:rsid w:val="00555E88"/>
    <w:rsid w:val="005560C7"/>
    <w:rsid w:val="00556170"/>
    <w:rsid w:val="005565D5"/>
    <w:rsid w:val="00556C3C"/>
    <w:rsid w:val="00556F2F"/>
    <w:rsid w:val="00557271"/>
    <w:rsid w:val="00557418"/>
    <w:rsid w:val="005578C7"/>
    <w:rsid w:val="00560727"/>
    <w:rsid w:val="0056276B"/>
    <w:rsid w:val="00563ACD"/>
    <w:rsid w:val="0056511D"/>
    <w:rsid w:val="0056555D"/>
    <w:rsid w:val="00565865"/>
    <w:rsid w:val="00565F85"/>
    <w:rsid w:val="0056631A"/>
    <w:rsid w:val="0056674A"/>
    <w:rsid w:val="00566DEC"/>
    <w:rsid w:val="00567047"/>
    <w:rsid w:val="00567E7E"/>
    <w:rsid w:val="00570FA3"/>
    <w:rsid w:val="005710A3"/>
    <w:rsid w:val="00571329"/>
    <w:rsid w:val="00571B01"/>
    <w:rsid w:val="00571FBC"/>
    <w:rsid w:val="0057372A"/>
    <w:rsid w:val="005737CE"/>
    <w:rsid w:val="00573DF7"/>
    <w:rsid w:val="00573E41"/>
    <w:rsid w:val="00573F9B"/>
    <w:rsid w:val="0057516F"/>
    <w:rsid w:val="0057597D"/>
    <w:rsid w:val="00575D47"/>
    <w:rsid w:val="00575F8E"/>
    <w:rsid w:val="00576605"/>
    <w:rsid w:val="00577A31"/>
    <w:rsid w:val="00577A45"/>
    <w:rsid w:val="00577B71"/>
    <w:rsid w:val="0058082E"/>
    <w:rsid w:val="00580D05"/>
    <w:rsid w:val="00580E82"/>
    <w:rsid w:val="00581E74"/>
    <w:rsid w:val="00583031"/>
    <w:rsid w:val="005831B0"/>
    <w:rsid w:val="0058325E"/>
    <w:rsid w:val="00583405"/>
    <w:rsid w:val="0058350F"/>
    <w:rsid w:val="00584B8F"/>
    <w:rsid w:val="005855B3"/>
    <w:rsid w:val="005855F8"/>
    <w:rsid w:val="005856F4"/>
    <w:rsid w:val="00585FEA"/>
    <w:rsid w:val="0058628F"/>
    <w:rsid w:val="0058646A"/>
    <w:rsid w:val="005866ED"/>
    <w:rsid w:val="005867BA"/>
    <w:rsid w:val="00586D60"/>
    <w:rsid w:val="00586EA1"/>
    <w:rsid w:val="005877E9"/>
    <w:rsid w:val="005878A6"/>
    <w:rsid w:val="00587B52"/>
    <w:rsid w:val="00590309"/>
    <w:rsid w:val="00590596"/>
    <w:rsid w:val="0059095B"/>
    <w:rsid w:val="00590B6C"/>
    <w:rsid w:val="005911FD"/>
    <w:rsid w:val="005914FE"/>
    <w:rsid w:val="00591808"/>
    <w:rsid w:val="00591A34"/>
    <w:rsid w:val="00591D4E"/>
    <w:rsid w:val="00592228"/>
    <w:rsid w:val="00593546"/>
    <w:rsid w:val="0059381C"/>
    <w:rsid w:val="00593D55"/>
    <w:rsid w:val="00593E74"/>
    <w:rsid w:val="00594485"/>
    <w:rsid w:val="0059530F"/>
    <w:rsid w:val="0059594B"/>
    <w:rsid w:val="00595B79"/>
    <w:rsid w:val="005A018F"/>
    <w:rsid w:val="005A0C7B"/>
    <w:rsid w:val="005A0CF8"/>
    <w:rsid w:val="005A0FD9"/>
    <w:rsid w:val="005A12B6"/>
    <w:rsid w:val="005A1585"/>
    <w:rsid w:val="005A17AA"/>
    <w:rsid w:val="005A1915"/>
    <w:rsid w:val="005A1D0F"/>
    <w:rsid w:val="005A1F56"/>
    <w:rsid w:val="005A1F71"/>
    <w:rsid w:val="005A2D63"/>
    <w:rsid w:val="005A366A"/>
    <w:rsid w:val="005A41E8"/>
    <w:rsid w:val="005A4F6B"/>
    <w:rsid w:val="005A51B4"/>
    <w:rsid w:val="005A5BDC"/>
    <w:rsid w:val="005A5F11"/>
    <w:rsid w:val="005A6431"/>
    <w:rsid w:val="005A683D"/>
    <w:rsid w:val="005A748C"/>
    <w:rsid w:val="005A7C8F"/>
    <w:rsid w:val="005B00BE"/>
    <w:rsid w:val="005B011D"/>
    <w:rsid w:val="005B05E0"/>
    <w:rsid w:val="005B0839"/>
    <w:rsid w:val="005B0C04"/>
    <w:rsid w:val="005B1363"/>
    <w:rsid w:val="005B1376"/>
    <w:rsid w:val="005B1B6B"/>
    <w:rsid w:val="005B1C7F"/>
    <w:rsid w:val="005B245B"/>
    <w:rsid w:val="005B2A56"/>
    <w:rsid w:val="005B2E08"/>
    <w:rsid w:val="005B2F59"/>
    <w:rsid w:val="005B42E7"/>
    <w:rsid w:val="005B438F"/>
    <w:rsid w:val="005B4735"/>
    <w:rsid w:val="005B47E7"/>
    <w:rsid w:val="005B5281"/>
    <w:rsid w:val="005B58F7"/>
    <w:rsid w:val="005B617A"/>
    <w:rsid w:val="005B6348"/>
    <w:rsid w:val="005B6A3E"/>
    <w:rsid w:val="005B7A48"/>
    <w:rsid w:val="005B7C69"/>
    <w:rsid w:val="005C0163"/>
    <w:rsid w:val="005C08C2"/>
    <w:rsid w:val="005C2711"/>
    <w:rsid w:val="005C2A1E"/>
    <w:rsid w:val="005C2AA6"/>
    <w:rsid w:val="005C2F57"/>
    <w:rsid w:val="005C2FA8"/>
    <w:rsid w:val="005C32CA"/>
    <w:rsid w:val="005C36C9"/>
    <w:rsid w:val="005C54DD"/>
    <w:rsid w:val="005C6270"/>
    <w:rsid w:val="005C6BC3"/>
    <w:rsid w:val="005C6CE2"/>
    <w:rsid w:val="005C75EA"/>
    <w:rsid w:val="005D03B4"/>
    <w:rsid w:val="005D051F"/>
    <w:rsid w:val="005D05A9"/>
    <w:rsid w:val="005D070B"/>
    <w:rsid w:val="005D1070"/>
    <w:rsid w:val="005D1940"/>
    <w:rsid w:val="005D1A53"/>
    <w:rsid w:val="005D1FBD"/>
    <w:rsid w:val="005D208F"/>
    <w:rsid w:val="005D22B8"/>
    <w:rsid w:val="005D2AE9"/>
    <w:rsid w:val="005D322A"/>
    <w:rsid w:val="005D322F"/>
    <w:rsid w:val="005D36F1"/>
    <w:rsid w:val="005D3741"/>
    <w:rsid w:val="005D425B"/>
    <w:rsid w:val="005D46E7"/>
    <w:rsid w:val="005D4B33"/>
    <w:rsid w:val="005D5BD4"/>
    <w:rsid w:val="005D67C0"/>
    <w:rsid w:val="005D6ABE"/>
    <w:rsid w:val="005D6ED6"/>
    <w:rsid w:val="005D6FE2"/>
    <w:rsid w:val="005D74D5"/>
    <w:rsid w:val="005E00AF"/>
    <w:rsid w:val="005E0402"/>
    <w:rsid w:val="005E0D09"/>
    <w:rsid w:val="005E0DF6"/>
    <w:rsid w:val="005E100D"/>
    <w:rsid w:val="005E10FE"/>
    <w:rsid w:val="005E16D7"/>
    <w:rsid w:val="005E1892"/>
    <w:rsid w:val="005E1953"/>
    <w:rsid w:val="005E2009"/>
    <w:rsid w:val="005E2306"/>
    <w:rsid w:val="005E24D0"/>
    <w:rsid w:val="005E2969"/>
    <w:rsid w:val="005E30F9"/>
    <w:rsid w:val="005E3C7A"/>
    <w:rsid w:val="005E3DCD"/>
    <w:rsid w:val="005E4040"/>
    <w:rsid w:val="005E41DE"/>
    <w:rsid w:val="005E429E"/>
    <w:rsid w:val="005E462A"/>
    <w:rsid w:val="005E4783"/>
    <w:rsid w:val="005E480C"/>
    <w:rsid w:val="005E4FBE"/>
    <w:rsid w:val="005E5132"/>
    <w:rsid w:val="005E51DC"/>
    <w:rsid w:val="005E5D10"/>
    <w:rsid w:val="005E5F8F"/>
    <w:rsid w:val="005E5FE1"/>
    <w:rsid w:val="005E6234"/>
    <w:rsid w:val="005E62CA"/>
    <w:rsid w:val="005E65FB"/>
    <w:rsid w:val="005E6F81"/>
    <w:rsid w:val="005E716D"/>
    <w:rsid w:val="005E7B4B"/>
    <w:rsid w:val="005F0D0F"/>
    <w:rsid w:val="005F1147"/>
    <w:rsid w:val="005F179F"/>
    <w:rsid w:val="005F1B5B"/>
    <w:rsid w:val="005F2A3B"/>
    <w:rsid w:val="005F2AC7"/>
    <w:rsid w:val="005F31F9"/>
    <w:rsid w:val="005F42FB"/>
    <w:rsid w:val="005F518C"/>
    <w:rsid w:val="005F5472"/>
    <w:rsid w:val="005F586C"/>
    <w:rsid w:val="005F64E6"/>
    <w:rsid w:val="005F708A"/>
    <w:rsid w:val="005F7BC7"/>
    <w:rsid w:val="005F7D09"/>
    <w:rsid w:val="005F7F8B"/>
    <w:rsid w:val="00600709"/>
    <w:rsid w:val="00600CEC"/>
    <w:rsid w:val="0060271B"/>
    <w:rsid w:val="00602D7A"/>
    <w:rsid w:val="006036BF"/>
    <w:rsid w:val="00603CCB"/>
    <w:rsid w:val="006044A8"/>
    <w:rsid w:val="00604B78"/>
    <w:rsid w:val="00604F45"/>
    <w:rsid w:val="00605349"/>
    <w:rsid w:val="00605B4A"/>
    <w:rsid w:val="006064C5"/>
    <w:rsid w:val="006067BD"/>
    <w:rsid w:val="00606FFD"/>
    <w:rsid w:val="00607485"/>
    <w:rsid w:val="00610147"/>
    <w:rsid w:val="0061170F"/>
    <w:rsid w:val="00611E1F"/>
    <w:rsid w:val="00611FD1"/>
    <w:rsid w:val="0061209B"/>
    <w:rsid w:val="00612451"/>
    <w:rsid w:val="00612A49"/>
    <w:rsid w:val="00613B32"/>
    <w:rsid w:val="00613BC8"/>
    <w:rsid w:val="00613F98"/>
    <w:rsid w:val="00614232"/>
    <w:rsid w:val="00614DE3"/>
    <w:rsid w:val="00615CA2"/>
    <w:rsid w:val="00615CAC"/>
    <w:rsid w:val="006164C3"/>
    <w:rsid w:val="00616F68"/>
    <w:rsid w:val="00617067"/>
    <w:rsid w:val="006170F1"/>
    <w:rsid w:val="00617B32"/>
    <w:rsid w:val="00617F0C"/>
    <w:rsid w:val="006205F9"/>
    <w:rsid w:val="006206BA"/>
    <w:rsid w:val="006207AB"/>
    <w:rsid w:val="006213D7"/>
    <w:rsid w:val="006215A8"/>
    <w:rsid w:val="00622397"/>
    <w:rsid w:val="00622670"/>
    <w:rsid w:val="00622982"/>
    <w:rsid w:val="00622A45"/>
    <w:rsid w:val="00622CBE"/>
    <w:rsid w:val="006238E1"/>
    <w:rsid w:val="00623950"/>
    <w:rsid w:val="00623E3B"/>
    <w:rsid w:val="00624B57"/>
    <w:rsid w:val="00624E95"/>
    <w:rsid w:val="006255AF"/>
    <w:rsid w:val="006259C6"/>
    <w:rsid w:val="0062610A"/>
    <w:rsid w:val="006263DC"/>
    <w:rsid w:val="00626545"/>
    <w:rsid w:val="0062707F"/>
    <w:rsid w:val="0062790F"/>
    <w:rsid w:val="00627C10"/>
    <w:rsid w:val="006301E9"/>
    <w:rsid w:val="0063106E"/>
    <w:rsid w:val="00631395"/>
    <w:rsid w:val="00631E18"/>
    <w:rsid w:val="006320BF"/>
    <w:rsid w:val="00632FBD"/>
    <w:rsid w:val="006333CE"/>
    <w:rsid w:val="0063385D"/>
    <w:rsid w:val="006347A0"/>
    <w:rsid w:val="00634A51"/>
    <w:rsid w:val="00634EFD"/>
    <w:rsid w:val="006352C7"/>
    <w:rsid w:val="006352FA"/>
    <w:rsid w:val="006356F6"/>
    <w:rsid w:val="006357B4"/>
    <w:rsid w:val="00635E97"/>
    <w:rsid w:val="006365FD"/>
    <w:rsid w:val="00636B17"/>
    <w:rsid w:val="006370C1"/>
    <w:rsid w:val="00637387"/>
    <w:rsid w:val="00637F0B"/>
    <w:rsid w:val="006400D6"/>
    <w:rsid w:val="0064045C"/>
    <w:rsid w:val="00640664"/>
    <w:rsid w:val="00641040"/>
    <w:rsid w:val="00641F92"/>
    <w:rsid w:val="006424A6"/>
    <w:rsid w:val="00642EB2"/>
    <w:rsid w:val="0064312C"/>
    <w:rsid w:val="006439F0"/>
    <w:rsid w:val="00645654"/>
    <w:rsid w:val="00645EFC"/>
    <w:rsid w:val="006462EA"/>
    <w:rsid w:val="00646939"/>
    <w:rsid w:val="00646AF1"/>
    <w:rsid w:val="00646FEE"/>
    <w:rsid w:val="00647B57"/>
    <w:rsid w:val="00647B6C"/>
    <w:rsid w:val="006503FD"/>
    <w:rsid w:val="00650B52"/>
    <w:rsid w:val="006515DC"/>
    <w:rsid w:val="006519F1"/>
    <w:rsid w:val="00652783"/>
    <w:rsid w:val="00652DA5"/>
    <w:rsid w:val="00653748"/>
    <w:rsid w:val="006544B5"/>
    <w:rsid w:val="00654B02"/>
    <w:rsid w:val="00654E68"/>
    <w:rsid w:val="0065587B"/>
    <w:rsid w:val="00655C5F"/>
    <w:rsid w:val="00656A66"/>
    <w:rsid w:val="0065780E"/>
    <w:rsid w:val="00657B2A"/>
    <w:rsid w:val="00657B6B"/>
    <w:rsid w:val="00657BDF"/>
    <w:rsid w:val="00657CF7"/>
    <w:rsid w:val="00660713"/>
    <w:rsid w:val="00660AAF"/>
    <w:rsid w:val="00661E10"/>
    <w:rsid w:val="00662579"/>
    <w:rsid w:val="00662B8F"/>
    <w:rsid w:val="0066315B"/>
    <w:rsid w:val="00664104"/>
    <w:rsid w:val="006641F9"/>
    <w:rsid w:val="0066433B"/>
    <w:rsid w:val="00664512"/>
    <w:rsid w:val="0066484F"/>
    <w:rsid w:val="00664F0D"/>
    <w:rsid w:val="0066551D"/>
    <w:rsid w:val="0066576E"/>
    <w:rsid w:val="006659A9"/>
    <w:rsid w:val="0066666F"/>
    <w:rsid w:val="006668D8"/>
    <w:rsid w:val="006708D0"/>
    <w:rsid w:val="00670BA9"/>
    <w:rsid w:val="0067100A"/>
    <w:rsid w:val="0067164B"/>
    <w:rsid w:val="006722A6"/>
    <w:rsid w:val="006722AE"/>
    <w:rsid w:val="00672314"/>
    <w:rsid w:val="006729EF"/>
    <w:rsid w:val="006734AA"/>
    <w:rsid w:val="00673B03"/>
    <w:rsid w:val="00674203"/>
    <w:rsid w:val="00674767"/>
    <w:rsid w:val="006748D6"/>
    <w:rsid w:val="00674989"/>
    <w:rsid w:val="00674B9A"/>
    <w:rsid w:val="00674C27"/>
    <w:rsid w:val="006754EA"/>
    <w:rsid w:val="006763C1"/>
    <w:rsid w:val="00677329"/>
    <w:rsid w:val="00677C26"/>
    <w:rsid w:val="006812B6"/>
    <w:rsid w:val="00681AA3"/>
    <w:rsid w:val="00681DA8"/>
    <w:rsid w:val="00682767"/>
    <w:rsid w:val="00682DFD"/>
    <w:rsid w:val="00683887"/>
    <w:rsid w:val="006842BF"/>
    <w:rsid w:val="00684999"/>
    <w:rsid w:val="006851B5"/>
    <w:rsid w:val="0068534B"/>
    <w:rsid w:val="00685730"/>
    <w:rsid w:val="00686729"/>
    <w:rsid w:val="00686B60"/>
    <w:rsid w:val="00686D6F"/>
    <w:rsid w:val="006876D7"/>
    <w:rsid w:val="006900AE"/>
    <w:rsid w:val="00690797"/>
    <w:rsid w:val="00690CD3"/>
    <w:rsid w:val="00691285"/>
    <w:rsid w:val="00692303"/>
    <w:rsid w:val="006923A1"/>
    <w:rsid w:val="006929D5"/>
    <w:rsid w:val="00692B59"/>
    <w:rsid w:val="00692BE5"/>
    <w:rsid w:val="00692BEE"/>
    <w:rsid w:val="0069334F"/>
    <w:rsid w:val="00693792"/>
    <w:rsid w:val="00693C62"/>
    <w:rsid w:val="00694FA6"/>
    <w:rsid w:val="00695B2C"/>
    <w:rsid w:val="006962EF"/>
    <w:rsid w:val="0069663C"/>
    <w:rsid w:val="00696838"/>
    <w:rsid w:val="006969C6"/>
    <w:rsid w:val="00696C9D"/>
    <w:rsid w:val="00696D2F"/>
    <w:rsid w:val="00696F2A"/>
    <w:rsid w:val="006A01EA"/>
    <w:rsid w:val="006A0D64"/>
    <w:rsid w:val="006A16C2"/>
    <w:rsid w:val="006A1B01"/>
    <w:rsid w:val="006A2181"/>
    <w:rsid w:val="006A254E"/>
    <w:rsid w:val="006A3169"/>
    <w:rsid w:val="006A35A5"/>
    <w:rsid w:val="006A36C7"/>
    <w:rsid w:val="006A384D"/>
    <w:rsid w:val="006A3951"/>
    <w:rsid w:val="006A3D5B"/>
    <w:rsid w:val="006A4955"/>
    <w:rsid w:val="006A55AB"/>
    <w:rsid w:val="006A6B38"/>
    <w:rsid w:val="006A70E3"/>
    <w:rsid w:val="006A77F1"/>
    <w:rsid w:val="006B259E"/>
    <w:rsid w:val="006B29A4"/>
    <w:rsid w:val="006B3114"/>
    <w:rsid w:val="006B3138"/>
    <w:rsid w:val="006B39D3"/>
    <w:rsid w:val="006B3C88"/>
    <w:rsid w:val="006B4B54"/>
    <w:rsid w:val="006B4C62"/>
    <w:rsid w:val="006B51BE"/>
    <w:rsid w:val="006B5380"/>
    <w:rsid w:val="006B549D"/>
    <w:rsid w:val="006B63A4"/>
    <w:rsid w:val="006B69B1"/>
    <w:rsid w:val="006B6E03"/>
    <w:rsid w:val="006B7004"/>
    <w:rsid w:val="006C010A"/>
    <w:rsid w:val="006C05ED"/>
    <w:rsid w:val="006C092D"/>
    <w:rsid w:val="006C0AB7"/>
    <w:rsid w:val="006C0E40"/>
    <w:rsid w:val="006C17C8"/>
    <w:rsid w:val="006C22B1"/>
    <w:rsid w:val="006C29D0"/>
    <w:rsid w:val="006C338A"/>
    <w:rsid w:val="006C3C8B"/>
    <w:rsid w:val="006C40A9"/>
    <w:rsid w:val="006C44BE"/>
    <w:rsid w:val="006C4DF4"/>
    <w:rsid w:val="006C589B"/>
    <w:rsid w:val="006C5BCB"/>
    <w:rsid w:val="006C60CF"/>
    <w:rsid w:val="006C6F12"/>
    <w:rsid w:val="006C6F4F"/>
    <w:rsid w:val="006C7516"/>
    <w:rsid w:val="006C75DA"/>
    <w:rsid w:val="006C7A8F"/>
    <w:rsid w:val="006D0085"/>
    <w:rsid w:val="006D0917"/>
    <w:rsid w:val="006D0A9F"/>
    <w:rsid w:val="006D25CB"/>
    <w:rsid w:val="006D2DCA"/>
    <w:rsid w:val="006D4122"/>
    <w:rsid w:val="006D41F9"/>
    <w:rsid w:val="006D4B47"/>
    <w:rsid w:val="006D596C"/>
    <w:rsid w:val="006D5E76"/>
    <w:rsid w:val="006D6684"/>
    <w:rsid w:val="006D6BB2"/>
    <w:rsid w:val="006D7691"/>
    <w:rsid w:val="006E00D0"/>
    <w:rsid w:val="006E02B7"/>
    <w:rsid w:val="006E08DD"/>
    <w:rsid w:val="006E141E"/>
    <w:rsid w:val="006E1539"/>
    <w:rsid w:val="006E1566"/>
    <w:rsid w:val="006E1739"/>
    <w:rsid w:val="006E21DD"/>
    <w:rsid w:val="006E2440"/>
    <w:rsid w:val="006E2768"/>
    <w:rsid w:val="006E2CEC"/>
    <w:rsid w:val="006E3108"/>
    <w:rsid w:val="006E3A2E"/>
    <w:rsid w:val="006E3AB3"/>
    <w:rsid w:val="006E3E45"/>
    <w:rsid w:val="006E40CE"/>
    <w:rsid w:val="006E4A08"/>
    <w:rsid w:val="006E4B3D"/>
    <w:rsid w:val="006E4D9D"/>
    <w:rsid w:val="006E4E2E"/>
    <w:rsid w:val="006E4F7D"/>
    <w:rsid w:val="006E503C"/>
    <w:rsid w:val="006E56A0"/>
    <w:rsid w:val="006E5E2D"/>
    <w:rsid w:val="006E5FCF"/>
    <w:rsid w:val="006E6090"/>
    <w:rsid w:val="006E63A3"/>
    <w:rsid w:val="006E70EE"/>
    <w:rsid w:val="006E7BD5"/>
    <w:rsid w:val="006E7D36"/>
    <w:rsid w:val="006F01B9"/>
    <w:rsid w:val="006F1039"/>
    <w:rsid w:val="006F114F"/>
    <w:rsid w:val="006F14AB"/>
    <w:rsid w:val="006F2224"/>
    <w:rsid w:val="006F2B5E"/>
    <w:rsid w:val="006F2CD9"/>
    <w:rsid w:val="006F3499"/>
    <w:rsid w:val="006F3707"/>
    <w:rsid w:val="006F3A7C"/>
    <w:rsid w:val="006F3AFA"/>
    <w:rsid w:val="006F3DE8"/>
    <w:rsid w:val="006F3ED7"/>
    <w:rsid w:val="006F3EE2"/>
    <w:rsid w:val="006F44D9"/>
    <w:rsid w:val="006F4D98"/>
    <w:rsid w:val="006F5060"/>
    <w:rsid w:val="006F508A"/>
    <w:rsid w:val="006F54E6"/>
    <w:rsid w:val="006F55E4"/>
    <w:rsid w:val="006F5B22"/>
    <w:rsid w:val="006F5DBA"/>
    <w:rsid w:val="006F683D"/>
    <w:rsid w:val="006F701D"/>
    <w:rsid w:val="006F7AA2"/>
    <w:rsid w:val="006F7AA3"/>
    <w:rsid w:val="0070017C"/>
    <w:rsid w:val="007004BD"/>
    <w:rsid w:val="00700523"/>
    <w:rsid w:val="007007C1"/>
    <w:rsid w:val="00700E4A"/>
    <w:rsid w:val="0070187F"/>
    <w:rsid w:val="007019AE"/>
    <w:rsid w:val="00701CCC"/>
    <w:rsid w:val="00701FB4"/>
    <w:rsid w:val="00702783"/>
    <w:rsid w:val="00702988"/>
    <w:rsid w:val="00702CB5"/>
    <w:rsid w:val="00703139"/>
    <w:rsid w:val="0070341E"/>
    <w:rsid w:val="0070428C"/>
    <w:rsid w:val="00705257"/>
    <w:rsid w:val="007054CE"/>
    <w:rsid w:val="00705C6A"/>
    <w:rsid w:val="00706289"/>
    <w:rsid w:val="007064DC"/>
    <w:rsid w:val="00706BE2"/>
    <w:rsid w:val="00706D1C"/>
    <w:rsid w:val="00707C17"/>
    <w:rsid w:val="00707FD1"/>
    <w:rsid w:val="00710B8F"/>
    <w:rsid w:val="00711D28"/>
    <w:rsid w:val="00712128"/>
    <w:rsid w:val="00712B88"/>
    <w:rsid w:val="00712FAD"/>
    <w:rsid w:val="0071399E"/>
    <w:rsid w:val="007146C8"/>
    <w:rsid w:val="00714864"/>
    <w:rsid w:val="00714983"/>
    <w:rsid w:val="00714A2D"/>
    <w:rsid w:val="007150E3"/>
    <w:rsid w:val="007158CD"/>
    <w:rsid w:val="007169D8"/>
    <w:rsid w:val="007169ED"/>
    <w:rsid w:val="007170C1"/>
    <w:rsid w:val="00717563"/>
    <w:rsid w:val="00717586"/>
    <w:rsid w:val="00717646"/>
    <w:rsid w:val="00717D48"/>
    <w:rsid w:val="00717DB7"/>
    <w:rsid w:val="00720833"/>
    <w:rsid w:val="007208B7"/>
    <w:rsid w:val="00720B0E"/>
    <w:rsid w:val="00720B11"/>
    <w:rsid w:val="007219C0"/>
    <w:rsid w:val="00721A70"/>
    <w:rsid w:val="007222D8"/>
    <w:rsid w:val="00722A3D"/>
    <w:rsid w:val="00723140"/>
    <w:rsid w:val="00723475"/>
    <w:rsid w:val="00725378"/>
    <w:rsid w:val="00725388"/>
    <w:rsid w:val="00725A02"/>
    <w:rsid w:val="00725F78"/>
    <w:rsid w:val="00726535"/>
    <w:rsid w:val="00726565"/>
    <w:rsid w:val="007267CA"/>
    <w:rsid w:val="007270C2"/>
    <w:rsid w:val="007275F7"/>
    <w:rsid w:val="00727DBA"/>
    <w:rsid w:val="0073026A"/>
    <w:rsid w:val="0073044E"/>
    <w:rsid w:val="00730707"/>
    <w:rsid w:val="00730887"/>
    <w:rsid w:val="007308B4"/>
    <w:rsid w:val="00730C90"/>
    <w:rsid w:val="00731238"/>
    <w:rsid w:val="00732271"/>
    <w:rsid w:val="0073251C"/>
    <w:rsid w:val="00733284"/>
    <w:rsid w:val="00733C33"/>
    <w:rsid w:val="00733E14"/>
    <w:rsid w:val="00733EE0"/>
    <w:rsid w:val="00734071"/>
    <w:rsid w:val="00734953"/>
    <w:rsid w:val="00734CA6"/>
    <w:rsid w:val="0073545C"/>
    <w:rsid w:val="007358AE"/>
    <w:rsid w:val="007358DE"/>
    <w:rsid w:val="00735B53"/>
    <w:rsid w:val="007368B6"/>
    <w:rsid w:val="0073747B"/>
    <w:rsid w:val="007374A1"/>
    <w:rsid w:val="007374F6"/>
    <w:rsid w:val="007376FB"/>
    <w:rsid w:val="00737818"/>
    <w:rsid w:val="00737C6F"/>
    <w:rsid w:val="007400B9"/>
    <w:rsid w:val="00740768"/>
    <w:rsid w:val="00741593"/>
    <w:rsid w:val="0074184D"/>
    <w:rsid w:val="007433B7"/>
    <w:rsid w:val="00743E72"/>
    <w:rsid w:val="00745187"/>
    <w:rsid w:val="0074635F"/>
    <w:rsid w:val="0074645C"/>
    <w:rsid w:val="00746980"/>
    <w:rsid w:val="00746A21"/>
    <w:rsid w:val="00746A7B"/>
    <w:rsid w:val="00747BDD"/>
    <w:rsid w:val="00750C10"/>
    <w:rsid w:val="007515D4"/>
    <w:rsid w:val="007516B4"/>
    <w:rsid w:val="00752769"/>
    <w:rsid w:val="00752DAE"/>
    <w:rsid w:val="00752DB4"/>
    <w:rsid w:val="0075323C"/>
    <w:rsid w:val="007532C9"/>
    <w:rsid w:val="007534C8"/>
    <w:rsid w:val="007534F4"/>
    <w:rsid w:val="00755391"/>
    <w:rsid w:val="00755996"/>
    <w:rsid w:val="00755C27"/>
    <w:rsid w:val="00755E30"/>
    <w:rsid w:val="00756B77"/>
    <w:rsid w:val="00757194"/>
    <w:rsid w:val="0075783A"/>
    <w:rsid w:val="00757968"/>
    <w:rsid w:val="00757AF1"/>
    <w:rsid w:val="00760856"/>
    <w:rsid w:val="0076087B"/>
    <w:rsid w:val="007614DF"/>
    <w:rsid w:val="00761B3E"/>
    <w:rsid w:val="0076210E"/>
    <w:rsid w:val="00762342"/>
    <w:rsid w:val="00763135"/>
    <w:rsid w:val="00763FE6"/>
    <w:rsid w:val="00764F46"/>
    <w:rsid w:val="00765484"/>
    <w:rsid w:val="00766DE9"/>
    <w:rsid w:val="007673D5"/>
    <w:rsid w:val="007675AB"/>
    <w:rsid w:val="00767C2F"/>
    <w:rsid w:val="00770B1C"/>
    <w:rsid w:val="0077217A"/>
    <w:rsid w:val="0077224F"/>
    <w:rsid w:val="007727B1"/>
    <w:rsid w:val="00772B61"/>
    <w:rsid w:val="00773553"/>
    <w:rsid w:val="007747F6"/>
    <w:rsid w:val="00774B65"/>
    <w:rsid w:val="007757C6"/>
    <w:rsid w:val="007758C4"/>
    <w:rsid w:val="00775CE8"/>
    <w:rsid w:val="00775FE9"/>
    <w:rsid w:val="00776438"/>
    <w:rsid w:val="00776644"/>
    <w:rsid w:val="0077683C"/>
    <w:rsid w:val="0077690E"/>
    <w:rsid w:val="00777389"/>
    <w:rsid w:val="00777EBA"/>
    <w:rsid w:val="007804D6"/>
    <w:rsid w:val="00780799"/>
    <w:rsid w:val="00781B30"/>
    <w:rsid w:val="00781BAC"/>
    <w:rsid w:val="00783DA5"/>
    <w:rsid w:val="00784805"/>
    <w:rsid w:val="00785BFC"/>
    <w:rsid w:val="00785DE8"/>
    <w:rsid w:val="00786581"/>
    <w:rsid w:val="007867D1"/>
    <w:rsid w:val="007868E1"/>
    <w:rsid w:val="00786EFC"/>
    <w:rsid w:val="00787098"/>
    <w:rsid w:val="00787329"/>
    <w:rsid w:val="007879C6"/>
    <w:rsid w:val="00790185"/>
    <w:rsid w:val="00790243"/>
    <w:rsid w:val="007903E4"/>
    <w:rsid w:val="00790433"/>
    <w:rsid w:val="0079129F"/>
    <w:rsid w:val="00791566"/>
    <w:rsid w:val="00791EA1"/>
    <w:rsid w:val="00792447"/>
    <w:rsid w:val="00792559"/>
    <w:rsid w:val="00792881"/>
    <w:rsid w:val="0079293C"/>
    <w:rsid w:val="00792B88"/>
    <w:rsid w:val="00793626"/>
    <w:rsid w:val="00793D2E"/>
    <w:rsid w:val="0079419C"/>
    <w:rsid w:val="007951B2"/>
    <w:rsid w:val="0079577B"/>
    <w:rsid w:val="0079664F"/>
    <w:rsid w:val="007972D1"/>
    <w:rsid w:val="00797B43"/>
    <w:rsid w:val="007A0147"/>
    <w:rsid w:val="007A0EC9"/>
    <w:rsid w:val="007A0F2A"/>
    <w:rsid w:val="007A165C"/>
    <w:rsid w:val="007A1F43"/>
    <w:rsid w:val="007A21C1"/>
    <w:rsid w:val="007A2354"/>
    <w:rsid w:val="007A3336"/>
    <w:rsid w:val="007A344C"/>
    <w:rsid w:val="007A4041"/>
    <w:rsid w:val="007A4351"/>
    <w:rsid w:val="007A5062"/>
    <w:rsid w:val="007A5B8C"/>
    <w:rsid w:val="007A6A33"/>
    <w:rsid w:val="007A6DF3"/>
    <w:rsid w:val="007A7DAA"/>
    <w:rsid w:val="007B0D47"/>
    <w:rsid w:val="007B1113"/>
    <w:rsid w:val="007B1640"/>
    <w:rsid w:val="007B1A7E"/>
    <w:rsid w:val="007B2C72"/>
    <w:rsid w:val="007B3194"/>
    <w:rsid w:val="007B342C"/>
    <w:rsid w:val="007B39BE"/>
    <w:rsid w:val="007B3F8C"/>
    <w:rsid w:val="007B45A9"/>
    <w:rsid w:val="007B4DBA"/>
    <w:rsid w:val="007B5F9C"/>
    <w:rsid w:val="007B5FB7"/>
    <w:rsid w:val="007B698D"/>
    <w:rsid w:val="007B69F8"/>
    <w:rsid w:val="007B6DC4"/>
    <w:rsid w:val="007B70AE"/>
    <w:rsid w:val="007B7205"/>
    <w:rsid w:val="007B79C1"/>
    <w:rsid w:val="007C0195"/>
    <w:rsid w:val="007C0E60"/>
    <w:rsid w:val="007C1057"/>
    <w:rsid w:val="007C1908"/>
    <w:rsid w:val="007C1A2D"/>
    <w:rsid w:val="007C1AEB"/>
    <w:rsid w:val="007C214B"/>
    <w:rsid w:val="007C2AB9"/>
    <w:rsid w:val="007C2C25"/>
    <w:rsid w:val="007C3064"/>
    <w:rsid w:val="007C34D4"/>
    <w:rsid w:val="007C3908"/>
    <w:rsid w:val="007C3B9C"/>
    <w:rsid w:val="007C4409"/>
    <w:rsid w:val="007C44BE"/>
    <w:rsid w:val="007C520A"/>
    <w:rsid w:val="007C55BE"/>
    <w:rsid w:val="007C6337"/>
    <w:rsid w:val="007C6AE8"/>
    <w:rsid w:val="007C7E23"/>
    <w:rsid w:val="007D009A"/>
    <w:rsid w:val="007D0522"/>
    <w:rsid w:val="007D19E3"/>
    <w:rsid w:val="007D1CE1"/>
    <w:rsid w:val="007D1FD7"/>
    <w:rsid w:val="007D2063"/>
    <w:rsid w:val="007D22EC"/>
    <w:rsid w:val="007D2C88"/>
    <w:rsid w:val="007D32B6"/>
    <w:rsid w:val="007D34D5"/>
    <w:rsid w:val="007D36FD"/>
    <w:rsid w:val="007D4154"/>
    <w:rsid w:val="007D4E7D"/>
    <w:rsid w:val="007D6869"/>
    <w:rsid w:val="007D757F"/>
    <w:rsid w:val="007E019C"/>
    <w:rsid w:val="007E03B3"/>
    <w:rsid w:val="007E044E"/>
    <w:rsid w:val="007E0715"/>
    <w:rsid w:val="007E0A2D"/>
    <w:rsid w:val="007E14D8"/>
    <w:rsid w:val="007E26DB"/>
    <w:rsid w:val="007E2B74"/>
    <w:rsid w:val="007E2CAD"/>
    <w:rsid w:val="007E2D70"/>
    <w:rsid w:val="007E3299"/>
    <w:rsid w:val="007E36A9"/>
    <w:rsid w:val="007E3772"/>
    <w:rsid w:val="007E397B"/>
    <w:rsid w:val="007E3FC0"/>
    <w:rsid w:val="007E455B"/>
    <w:rsid w:val="007E4995"/>
    <w:rsid w:val="007E4DC5"/>
    <w:rsid w:val="007E50C1"/>
    <w:rsid w:val="007E5A8F"/>
    <w:rsid w:val="007E5A95"/>
    <w:rsid w:val="007E5B04"/>
    <w:rsid w:val="007E5D8A"/>
    <w:rsid w:val="007E6D24"/>
    <w:rsid w:val="007E715A"/>
    <w:rsid w:val="007E716A"/>
    <w:rsid w:val="007E79AE"/>
    <w:rsid w:val="007E7CB5"/>
    <w:rsid w:val="007E7D04"/>
    <w:rsid w:val="007F0008"/>
    <w:rsid w:val="007F11A5"/>
    <w:rsid w:val="007F1619"/>
    <w:rsid w:val="007F1A00"/>
    <w:rsid w:val="007F242F"/>
    <w:rsid w:val="007F3BE6"/>
    <w:rsid w:val="007F3C90"/>
    <w:rsid w:val="007F418C"/>
    <w:rsid w:val="007F4742"/>
    <w:rsid w:val="007F5017"/>
    <w:rsid w:val="007F59CA"/>
    <w:rsid w:val="007F5AF2"/>
    <w:rsid w:val="007F5DDF"/>
    <w:rsid w:val="007F706A"/>
    <w:rsid w:val="007F72CC"/>
    <w:rsid w:val="007F76C2"/>
    <w:rsid w:val="0080165E"/>
    <w:rsid w:val="008044C5"/>
    <w:rsid w:val="00804A75"/>
    <w:rsid w:val="0080504A"/>
    <w:rsid w:val="0080523D"/>
    <w:rsid w:val="008061A6"/>
    <w:rsid w:val="00806234"/>
    <w:rsid w:val="0080650C"/>
    <w:rsid w:val="00806A59"/>
    <w:rsid w:val="00806AF6"/>
    <w:rsid w:val="008070D2"/>
    <w:rsid w:val="008074FD"/>
    <w:rsid w:val="0080779E"/>
    <w:rsid w:val="00807C5E"/>
    <w:rsid w:val="008105A2"/>
    <w:rsid w:val="00811693"/>
    <w:rsid w:val="008116E6"/>
    <w:rsid w:val="008117D0"/>
    <w:rsid w:val="00811998"/>
    <w:rsid w:val="0081231B"/>
    <w:rsid w:val="008124B7"/>
    <w:rsid w:val="0081271D"/>
    <w:rsid w:val="00812CD5"/>
    <w:rsid w:val="008134DF"/>
    <w:rsid w:val="008134E9"/>
    <w:rsid w:val="00813855"/>
    <w:rsid w:val="00813C22"/>
    <w:rsid w:val="008143FC"/>
    <w:rsid w:val="0081465F"/>
    <w:rsid w:val="00815466"/>
    <w:rsid w:val="00815C9F"/>
    <w:rsid w:val="0081624F"/>
    <w:rsid w:val="00816679"/>
    <w:rsid w:val="00816940"/>
    <w:rsid w:val="00816F51"/>
    <w:rsid w:val="00817068"/>
    <w:rsid w:val="008200A6"/>
    <w:rsid w:val="008203BC"/>
    <w:rsid w:val="00820C0A"/>
    <w:rsid w:val="00820C60"/>
    <w:rsid w:val="0082101D"/>
    <w:rsid w:val="00821117"/>
    <w:rsid w:val="00821323"/>
    <w:rsid w:val="00821342"/>
    <w:rsid w:val="0082151E"/>
    <w:rsid w:val="008215C0"/>
    <w:rsid w:val="008217CB"/>
    <w:rsid w:val="0082195A"/>
    <w:rsid w:val="00821F77"/>
    <w:rsid w:val="00822048"/>
    <w:rsid w:val="0082207C"/>
    <w:rsid w:val="0082217B"/>
    <w:rsid w:val="0082342D"/>
    <w:rsid w:val="00825065"/>
    <w:rsid w:val="00825798"/>
    <w:rsid w:val="008266A1"/>
    <w:rsid w:val="008266B3"/>
    <w:rsid w:val="00826C66"/>
    <w:rsid w:val="00830617"/>
    <w:rsid w:val="00830733"/>
    <w:rsid w:val="00830B7E"/>
    <w:rsid w:val="008321F9"/>
    <w:rsid w:val="00832B63"/>
    <w:rsid w:val="008334A5"/>
    <w:rsid w:val="0083422D"/>
    <w:rsid w:val="00834595"/>
    <w:rsid w:val="00834812"/>
    <w:rsid w:val="00834C8E"/>
    <w:rsid w:val="00834F32"/>
    <w:rsid w:val="00834F3B"/>
    <w:rsid w:val="008356C2"/>
    <w:rsid w:val="00835794"/>
    <w:rsid w:val="00835A4F"/>
    <w:rsid w:val="00836CFD"/>
    <w:rsid w:val="00836D9F"/>
    <w:rsid w:val="00836E33"/>
    <w:rsid w:val="00837D7C"/>
    <w:rsid w:val="0084031A"/>
    <w:rsid w:val="0084035F"/>
    <w:rsid w:val="00841192"/>
    <w:rsid w:val="00841EA6"/>
    <w:rsid w:val="00842CB0"/>
    <w:rsid w:val="00842FE7"/>
    <w:rsid w:val="00843048"/>
    <w:rsid w:val="008439F3"/>
    <w:rsid w:val="00843D10"/>
    <w:rsid w:val="0084430C"/>
    <w:rsid w:val="0084444E"/>
    <w:rsid w:val="008445A4"/>
    <w:rsid w:val="00844CD8"/>
    <w:rsid w:val="008455EB"/>
    <w:rsid w:val="00845A59"/>
    <w:rsid w:val="00846612"/>
    <w:rsid w:val="0084664A"/>
    <w:rsid w:val="008469D2"/>
    <w:rsid w:val="008475F2"/>
    <w:rsid w:val="00847A0F"/>
    <w:rsid w:val="00847FF3"/>
    <w:rsid w:val="008503BE"/>
    <w:rsid w:val="008503F8"/>
    <w:rsid w:val="00850C44"/>
    <w:rsid w:val="008517DC"/>
    <w:rsid w:val="00851B61"/>
    <w:rsid w:val="00852333"/>
    <w:rsid w:val="00852CF4"/>
    <w:rsid w:val="00853297"/>
    <w:rsid w:val="00853ADF"/>
    <w:rsid w:val="00854436"/>
    <w:rsid w:val="00855062"/>
    <w:rsid w:val="00855399"/>
    <w:rsid w:val="00855423"/>
    <w:rsid w:val="00855447"/>
    <w:rsid w:val="008555E5"/>
    <w:rsid w:val="00855E1A"/>
    <w:rsid w:val="008560D9"/>
    <w:rsid w:val="0085657D"/>
    <w:rsid w:val="008578E6"/>
    <w:rsid w:val="00857915"/>
    <w:rsid w:val="00857F21"/>
    <w:rsid w:val="008606DC"/>
    <w:rsid w:val="00860804"/>
    <w:rsid w:val="00860FDC"/>
    <w:rsid w:val="00861415"/>
    <w:rsid w:val="00861995"/>
    <w:rsid w:val="008619AE"/>
    <w:rsid w:val="0086212E"/>
    <w:rsid w:val="008625EE"/>
    <w:rsid w:val="00862C71"/>
    <w:rsid w:val="0086339E"/>
    <w:rsid w:val="00863E9B"/>
    <w:rsid w:val="008643A0"/>
    <w:rsid w:val="00864FD5"/>
    <w:rsid w:val="0086600F"/>
    <w:rsid w:val="00866998"/>
    <w:rsid w:val="00866B15"/>
    <w:rsid w:val="0086711B"/>
    <w:rsid w:val="00867304"/>
    <w:rsid w:val="008676BB"/>
    <w:rsid w:val="00867BE8"/>
    <w:rsid w:val="00870F28"/>
    <w:rsid w:val="00871139"/>
    <w:rsid w:val="00871153"/>
    <w:rsid w:val="00871319"/>
    <w:rsid w:val="00871D90"/>
    <w:rsid w:val="00871EF7"/>
    <w:rsid w:val="00872470"/>
    <w:rsid w:val="008725E2"/>
    <w:rsid w:val="00872E80"/>
    <w:rsid w:val="00873279"/>
    <w:rsid w:val="00873845"/>
    <w:rsid w:val="00873964"/>
    <w:rsid w:val="00874055"/>
    <w:rsid w:val="0087427F"/>
    <w:rsid w:val="0087503B"/>
    <w:rsid w:val="008757A2"/>
    <w:rsid w:val="00876184"/>
    <w:rsid w:val="008764B5"/>
    <w:rsid w:val="00876E73"/>
    <w:rsid w:val="00877272"/>
    <w:rsid w:val="008773ED"/>
    <w:rsid w:val="00877475"/>
    <w:rsid w:val="008775A6"/>
    <w:rsid w:val="0088062A"/>
    <w:rsid w:val="00880AC7"/>
    <w:rsid w:val="00880CF5"/>
    <w:rsid w:val="00881386"/>
    <w:rsid w:val="008813E4"/>
    <w:rsid w:val="00881BAC"/>
    <w:rsid w:val="0088244E"/>
    <w:rsid w:val="008827CA"/>
    <w:rsid w:val="0088290A"/>
    <w:rsid w:val="00882D57"/>
    <w:rsid w:val="00882E99"/>
    <w:rsid w:val="0088317F"/>
    <w:rsid w:val="008841EE"/>
    <w:rsid w:val="008844D1"/>
    <w:rsid w:val="00884803"/>
    <w:rsid w:val="00884D2D"/>
    <w:rsid w:val="00884E3C"/>
    <w:rsid w:val="00884F11"/>
    <w:rsid w:val="00885273"/>
    <w:rsid w:val="008857F0"/>
    <w:rsid w:val="00885A1E"/>
    <w:rsid w:val="00885E6D"/>
    <w:rsid w:val="00886596"/>
    <w:rsid w:val="008869B6"/>
    <w:rsid w:val="00886BA0"/>
    <w:rsid w:val="00886BCF"/>
    <w:rsid w:val="00886D20"/>
    <w:rsid w:val="00886E66"/>
    <w:rsid w:val="008872E9"/>
    <w:rsid w:val="00887544"/>
    <w:rsid w:val="00887553"/>
    <w:rsid w:val="008900CB"/>
    <w:rsid w:val="00890E57"/>
    <w:rsid w:val="00890ED0"/>
    <w:rsid w:val="0089162E"/>
    <w:rsid w:val="00891676"/>
    <w:rsid w:val="0089194A"/>
    <w:rsid w:val="00891CFC"/>
    <w:rsid w:val="00892EDF"/>
    <w:rsid w:val="00893672"/>
    <w:rsid w:val="00894284"/>
    <w:rsid w:val="008943C9"/>
    <w:rsid w:val="00894A87"/>
    <w:rsid w:val="00894DA9"/>
    <w:rsid w:val="00896C3C"/>
    <w:rsid w:val="00897074"/>
    <w:rsid w:val="0089737B"/>
    <w:rsid w:val="00897CD6"/>
    <w:rsid w:val="008A01F3"/>
    <w:rsid w:val="008A0C81"/>
    <w:rsid w:val="008A0F99"/>
    <w:rsid w:val="008A1018"/>
    <w:rsid w:val="008A10E7"/>
    <w:rsid w:val="008A14E6"/>
    <w:rsid w:val="008A24CC"/>
    <w:rsid w:val="008A3256"/>
    <w:rsid w:val="008A3786"/>
    <w:rsid w:val="008A393C"/>
    <w:rsid w:val="008A3FE1"/>
    <w:rsid w:val="008A4238"/>
    <w:rsid w:val="008A49AE"/>
    <w:rsid w:val="008A49D1"/>
    <w:rsid w:val="008A4B50"/>
    <w:rsid w:val="008A4C01"/>
    <w:rsid w:val="008A5A37"/>
    <w:rsid w:val="008A6464"/>
    <w:rsid w:val="008A668B"/>
    <w:rsid w:val="008A6DBF"/>
    <w:rsid w:val="008A6DE0"/>
    <w:rsid w:val="008A702A"/>
    <w:rsid w:val="008A750C"/>
    <w:rsid w:val="008A75B8"/>
    <w:rsid w:val="008A75EE"/>
    <w:rsid w:val="008A7B13"/>
    <w:rsid w:val="008A7F15"/>
    <w:rsid w:val="008B033B"/>
    <w:rsid w:val="008B03DB"/>
    <w:rsid w:val="008B158D"/>
    <w:rsid w:val="008B1C1E"/>
    <w:rsid w:val="008B20D7"/>
    <w:rsid w:val="008B25F5"/>
    <w:rsid w:val="008B2696"/>
    <w:rsid w:val="008B2B76"/>
    <w:rsid w:val="008B2C67"/>
    <w:rsid w:val="008B3B58"/>
    <w:rsid w:val="008B3E9D"/>
    <w:rsid w:val="008B3ECA"/>
    <w:rsid w:val="008B445F"/>
    <w:rsid w:val="008B4950"/>
    <w:rsid w:val="008B4C01"/>
    <w:rsid w:val="008B584F"/>
    <w:rsid w:val="008B58E7"/>
    <w:rsid w:val="008B5E16"/>
    <w:rsid w:val="008B6109"/>
    <w:rsid w:val="008B6713"/>
    <w:rsid w:val="008B6751"/>
    <w:rsid w:val="008B6A53"/>
    <w:rsid w:val="008B6C50"/>
    <w:rsid w:val="008B72F5"/>
    <w:rsid w:val="008B743E"/>
    <w:rsid w:val="008B75FE"/>
    <w:rsid w:val="008B7678"/>
    <w:rsid w:val="008B7991"/>
    <w:rsid w:val="008B7E39"/>
    <w:rsid w:val="008C0B53"/>
    <w:rsid w:val="008C1110"/>
    <w:rsid w:val="008C113C"/>
    <w:rsid w:val="008C126A"/>
    <w:rsid w:val="008C145A"/>
    <w:rsid w:val="008C168E"/>
    <w:rsid w:val="008C16D5"/>
    <w:rsid w:val="008C1E63"/>
    <w:rsid w:val="008C2139"/>
    <w:rsid w:val="008C2518"/>
    <w:rsid w:val="008C27A0"/>
    <w:rsid w:val="008C2F72"/>
    <w:rsid w:val="008C3160"/>
    <w:rsid w:val="008C38F5"/>
    <w:rsid w:val="008C3FE2"/>
    <w:rsid w:val="008C439A"/>
    <w:rsid w:val="008C465E"/>
    <w:rsid w:val="008C4A53"/>
    <w:rsid w:val="008C5B76"/>
    <w:rsid w:val="008C5CA7"/>
    <w:rsid w:val="008C634F"/>
    <w:rsid w:val="008C6884"/>
    <w:rsid w:val="008C69B1"/>
    <w:rsid w:val="008C6D77"/>
    <w:rsid w:val="008C7608"/>
    <w:rsid w:val="008D046A"/>
    <w:rsid w:val="008D0577"/>
    <w:rsid w:val="008D0841"/>
    <w:rsid w:val="008D14A2"/>
    <w:rsid w:val="008D1F57"/>
    <w:rsid w:val="008D1F68"/>
    <w:rsid w:val="008D24C0"/>
    <w:rsid w:val="008D2917"/>
    <w:rsid w:val="008D2B47"/>
    <w:rsid w:val="008D2D52"/>
    <w:rsid w:val="008D4279"/>
    <w:rsid w:val="008D431D"/>
    <w:rsid w:val="008D4778"/>
    <w:rsid w:val="008D4AB2"/>
    <w:rsid w:val="008D4ABE"/>
    <w:rsid w:val="008D4B5A"/>
    <w:rsid w:val="008D4C61"/>
    <w:rsid w:val="008D4F19"/>
    <w:rsid w:val="008D53CA"/>
    <w:rsid w:val="008D61F9"/>
    <w:rsid w:val="008D6365"/>
    <w:rsid w:val="008D64F3"/>
    <w:rsid w:val="008D65D0"/>
    <w:rsid w:val="008D65F1"/>
    <w:rsid w:val="008D6AEE"/>
    <w:rsid w:val="008D6C27"/>
    <w:rsid w:val="008D6D55"/>
    <w:rsid w:val="008D7419"/>
    <w:rsid w:val="008D7EED"/>
    <w:rsid w:val="008E08FF"/>
    <w:rsid w:val="008E142D"/>
    <w:rsid w:val="008E2599"/>
    <w:rsid w:val="008E37EB"/>
    <w:rsid w:val="008E3D7E"/>
    <w:rsid w:val="008E4166"/>
    <w:rsid w:val="008E421A"/>
    <w:rsid w:val="008E49EA"/>
    <w:rsid w:val="008E4CE6"/>
    <w:rsid w:val="008E4EC5"/>
    <w:rsid w:val="008E4FBB"/>
    <w:rsid w:val="008E5205"/>
    <w:rsid w:val="008E5909"/>
    <w:rsid w:val="008E595B"/>
    <w:rsid w:val="008E5C4B"/>
    <w:rsid w:val="008E6A8D"/>
    <w:rsid w:val="008E6BA7"/>
    <w:rsid w:val="008E7ADF"/>
    <w:rsid w:val="008E7EE2"/>
    <w:rsid w:val="008F014F"/>
    <w:rsid w:val="008F0859"/>
    <w:rsid w:val="008F156A"/>
    <w:rsid w:val="008F1CF0"/>
    <w:rsid w:val="008F2192"/>
    <w:rsid w:val="008F23D6"/>
    <w:rsid w:val="008F2709"/>
    <w:rsid w:val="008F2796"/>
    <w:rsid w:val="008F2D76"/>
    <w:rsid w:val="008F3162"/>
    <w:rsid w:val="008F37F9"/>
    <w:rsid w:val="008F385C"/>
    <w:rsid w:val="008F3B6D"/>
    <w:rsid w:val="008F3C27"/>
    <w:rsid w:val="008F40F2"/>
    <w:rsid w:val="008F420C"/>
    <w:rsid w:val="008F4583"/>
    <w:rsid w:val="008F482B"/>
    <w:rsid w:val="008F5325"/>
    <w:rsid w:val="008F7179"/>
    <w:rsid w:val="008F73FA"/>
    <w:rsid w:val="008F7A1C"/>
    <w:rsid w:val="008F7A94"/>
    <w:rsid w:val="009002B0"/>
    <w:rsid w:val="009005C2"/>
    <w:rsid w:val="00900B09"/>
    <w:rsid w:val="00900DEF"/>
    <w:rsid w:val="0090181D"/>
    <w:rsid w:val="00901B89"/>
    <w:rsid w:val="00901BD3"/>
    <w:rsid w:val="00901DBE"/>
    <w:rsid w:val="00902340"/>
    <w:rsid w:val="00902D23"/>
    <w:rsid w:val="00902F61"/>
    <w:rsid w:val="009030ED"/>
    <w:rsid w:val="00903540"/>
    <w:rsid w:val="00903D12"/>
    <w:rsid w:val="00903E6C"/>
    <w:rsid w:val="00904278"/>
    <w:rsid w:val="0090486D"/>
    <w:rsid w:val="00904A19"/>
    <w:rsid w:val="00905477"/>
    <w:rsid w:val="009062A8"/>
    <w:rsid w:val="00906385"/>
    <w:rsid w:val="009064D7"/>
    <w:rsid w:val="00906EA8"/>
    <w:rsid w:val="00906FE7"/>
    <w:rsid w:val="00907F85"/>
    <w:rsid w:val="00910473"/>
    <w:rsid w:val="00910536"/>
    <w:rsid w:val="00910BCF"/>
    <w:rsid w:val="00910E8D"/>
    <w:rsid w:val="00910FB9"/>
    <w:rsid w:val="00911038"/>
    <w:rsid w:val="0091192A"/>
    <w:rsid w:val="00911FBE"/>
    <w:rsid w:val="0091293D"/>
    <w:rsid w:val="009134F0"/>
    <w:rsid w:val="0091402A"/>
    <w:rsid w:val="00914ABA"/>
    <w:rsid w:val="00915549"/>
    <w:rsid w:val="00915716"/>
    <w:rsid w:val="00915A49"/>
    <w:rsid w:val="00916A09"/>
    <w:rsid w:val="00916DDD"/>
    <w:rsid w:val="00917593"/>
    <w:rsid w:val="009177A6"/>
    <w:rsid w:val="00917B7F"/>
    <w:rsid w:val="00917E75"/>
    <w:rsid w:val="009204DA"/>
    <w:rsid w:val="00920748"/>
    <w:rsid w:val="009207DC"/>
    <w:rsid w:val="00920B22"/>
    <w:rsid w:val="00921578"/>
    <w:rsid w:val="00921779"/>
    <w:rsid w:val="00921857"/>
    <w:rsid w:val="00921921"/>
    <w:rsid w:val="009221EA"/>
    <w:rsid w:val="0092225A"/>
    <w:rsid w:val="009226F9"/>
    <w:rsid w:val="00922745"/>
    <w:rsid w:val="00923181"/>
    <w:rsid w:val="00923A85"/>
    <w:rsid w:val="00924380"/>
    <w:rsid w:val="00924471"/>
    <w:rsid w:val="009248CD"/>
    <w:rsid w:val="00924CA7"/>
    <w:rsid w:val="00925005"/>
    <w:rsid w:val="00925185"/>
    <w:rsid w:val="00925576"/>
    <w:rsid w:val="0092562A"/>
    <w:rsid w:val="009258D6"/>
    <w:rsid w:val="00926360"/>
    <w:rsid w:val="00927136"/>
    <w:rsid w:val="00927353"/>
    <w:rsid w:val="0092754E"/>
    <w:rsid w:val="00927ADE"/>
    <w:rsid w:val="00927FFC"/>
    <w:rsid w:val="00930196"/>
    <w:rsid w:val="00930BB9"/>
    <w:rsid w:val="009310CB"/>
    <w:rsid w:val="0093117F"/>
    <w:rsid w:val="0093135A"/>
    <w:rsid w:val="009313B5"/>
    <w:rsid w:val="009319BE"/>
    <w:rsid w:val="00931CD0"/>
    <w:rsid w:val="00932290"/>
    <w:rsid w:val="0093244E"/>
    <w:rsid w:val="00932FB0"/>
    <w:rsid w:val="0093340F"/>
    <w:rsid w:val="00933B24"/>
    <w:rsid w:val="00934455"/>
    <w:rsid w:val="00934465"/>
    <w:rsid w:val="0093524F"/>
    <w:rsid w:val="009353B2"/>
    <w:rsid w:val="00935E00"/>
    <w:rsid w:val="009366B2"/>
    <w:rsid w:val="00936AE7"/>
    <w:rsid w:val="009374E3"/>
    <w:rsid w:val="009375A0"/>
    <w:rsid w:val="00937758"/>
    <w:rsid w:val="00940378"/>
    <w:rsid w:val="0094146F"/>
    <w:rsid w:val="00941F20"/>
    <w:rsid w:val="009423C5"/>
    <w:rsid w:val="00942CEE"/>
    <w:rsid w:val="00942ED8"/>
    <w:rsid w:val="00943593"/>
    <w:rsid w:val="0094368E"/>
    <w:rsid w:val="009436EF"/>
    <w:rsid w:val="0094375B"/>
    <w:rsid w:val="009437C1"/>
    <w:rsid w:val="009439A7"/>
    <w:rsid w:val="009445D0"/>
    <w:rsid w:val="0094560A"/>
    <w:rsid w:val="00946659"/>
    <w:rsid w:val="00950C3F"/>
    <w:rsid w:val="009510BA"/>
    <w:rsid w:val="009513FC"/>
    <w:rsid w:val="0095155C"/>
    <w:rsid w:val="0095232C"/>
    <w:rsid w:val="00952845"/>
    <w:rsid w:val="00952936"/>
    <w:rsid w:val="009529AA"/>
    <w:rsid w:val="00952F80"/>
    <w:rsid w:val="00953B7E"/>
    <w:rsid w:val="00953C5D"/>
    <w:rsid w:val="00953EFD"/>
    <w:rsid w:val="0095467A"/>
    <w:rsid w:val="00954867"/>
    <w:rsid w:val="009559FC"/>
    <w:rsid w:val="00955AD4"/>
    <w:rsid w:val="009564B7"/>
    <w:rsid w:val="0095701C"/>
    <w:rsid w:val="0095725A"/>
    <w:rsid w:val="00957B9C"/>
    <w:rsid w:val="00957BAA"/>
    <w:rsid w:val="00960067"/>
    <w:rsid w:val="009605C5"/>
    <w:rsid w:val="00960688"/>
    <w:rsid w:val="0096172A"/>
    <w:rsid w:val="00961E15"/>
    <w:rsid w:val="00961EF8"/>
    <w:rsid w:val="009620BB"/>
    <w:rsid w:val="009620E5"/>
    <w:rsid w:val="009623FF"/>
    <w:rsid w:val="009628FF"/>
    <w:rsid w:val="00962D99"/>
    <w:rsid w:val="00963289"/>
    <w:rsid w:val="00963376"/>
    <w:rsid w:val="00963A1C"/>
    <w:rsid w:val="00964086"/>
    <w:rsid w:val="0096462A"/>
    <w:rsid w:val="00964804"/>
    <w:rsid w:val="00965282"/>
    <w:rsid w:val="0096538E"/>
    <w:rsid w:val="00966607"/>
    <w:rsid w:val="00966FBC"/>
    <w:rsid w:val="009671A3"/>
    <w:rsid w:val="00970294"/>
    <w:rsid w:val="00970812"/>
    <w:rsid w:val="009709BD"/>
    <w:rsid w:val="00970D10"/>
    <w:rsid w:val="00971C66"/>
    <w:rsid w:val="00972BB2"/>
    <w:rsid w:val="00972BD3"/>
    <w:rsid w:val="00972F63"/>
    <w:rsid w:val="009736EE"/>
    <w:rsid w:val="00973D19"/>
    <w:rsid w:val="00974681"/>
    <w:rsid w:val="00975FB9"/>
    <w:rsid w:val="00975FEF"/>
    <w:rsid w:val="0097601C"/>
    <w:rsid w:val="00976A01"/>
    <w:rsid w:val="00976B43"/>
    <w:rsid w:val="009773C3"/>
    <w:rsid w:val="00977847"/>
    <w:rsid w:val="00977F75"/>
    <w:rsid w:val="00980054"/>
    <w:rsid w:val="00980642"/>
    <w:rsid w:val="00980F9E"/>
    <w:rsid w:val="00981035"/>
    <w:rsid w:val="00981874"/>
    <w:rsid w:val="0098189B"/>
    <w:rsid w:val="0098210A"/>
    <w:rsid w:val="00982512"/>
    <w:rsid w:val="00982A36"/>
    <w:rsid w:val="009836AD"/>
    <w:rsid w:val="00983B29"/>
    <w:rsid w:val="0098436E"/>
    <w:rsid w:val="009848A6"/>
    <w:rsid w:val="00984E66"/>
    <w:rsid w:val="009850A9"/>
    <w:rsid w:val="00985B7B"/>
    <w:rsid w:val="00985D1F"/>
    <w:rsid w:val="00986439"/>
    <w:rsid w:val="0098744F"/>
    <w:rsid w:val="009877D9"/>
    <w:rsid w:val="009878C6"/>
    <w:rsid w:val="009878EC"/>
    <w:rsid w:val="00987E2C"/>
    <w:rsid w:val="00987F31"/>
    <w:rsid w:val="0099031A"/>
    <w:rsid w:val="00990809"/>
    <w:rsid w:val="009916BB"/>
    <w:rsid w:val="009922BE"/>
    <w:rsid w:val="009922D1"/>
    <w:rsid w:val="0099234A"/>
    <w:rsid w:val="00992F34"/>
    <w:rsid w:val="00993308"/>
    <w:rsid w:val="00993931"/>
    <w:rsid w:val="00993A0D"/>
    <w:rsid w:val="009943D4"/>
    <w:rsid w:val="00996A7A"/>
    <w:rsid w:val="009A0885"/>
    <w:rsid w:val="009A0A5B"/>
    <w:rsid w:val="009A3419"/>
    <w:rsid w:val="009A3B0F"/>
    <w:rsid w:val="009A3EC2"/>
    <w:rsid w:val="009A404F"/>
    <w:rsid w:val="009A4616"/>
    <w:rsid w:val="009A4CA1"/>
    <w:rsid w:val="009A5EE7"/>
    <w:rsid w:val="009A60D6"/>
    <w:rsid w:val="009A612B"/>
    <w:rsid w:val="009A6132"/>
    <w:rsid w:val="009A6B95"/>
    <w:rsid w:val="009A70B5"/>
    <w:rsid w:val="009A7A71"/>
    <w:rsid w:val="009A7DD1"/>
    <w:rsid w:val="009A7E10"/>
    <w:rsid w:val="009B001B"/>
    <w:rsid w:val="009B0699"/>
    <w:rsid w:val="009B089B"/>
    <w:rsid w:val="009B0CF5"/>
    <w:rsid w:val="009B13C0"/>
    <w:rsid w:val="009B3C14"/>
    <w:rsid w:val="009B3EEB"/>
    <w:rsid w:val="009B4011"/>
    <w:rsid w:val="009B41BD"/>
    <w:rsid w:val="009B45C4"/>
    <w:rsid w:val="009B524C"/>
    <w:rsid w:val="009B526B"/>
    <w:rsid w:val="009B5280"/>
    <w:rsid w:val="009B58E7"/>
    <w:rsid w:val="009B5B25"/>
    <w:rsid w:val="009B5F92"/>
    <w:rsid w:val="009B6E92"/>
    <w:rsid w:val="009B7542"/>
    <w:rsid w:val="009B7554"/>
    <w:rsid w:val="009B7C09"/>
    <w:rsid w:val="009C0AED"/>
    <w:rsid w:val="009C1A4B"/>
    <w:rsid w:val="009C1A64"/>
    <w:rsid w:val="009C20D0"/>
    <w:rsid w:val="009C29B1"/>
    <w:rsid w:val="009C387E"/>
    <w:rsid w:val="009C3E07"/>
    <w:rsid w:val="009C482D"/>
    <w:rsid w:val="009C4AF7"/>
    <w:rsid w:val="009C52F9"/>
    <w:rsid w:val="009C55AA"/>
    <w:rsid w:val="009C561C"/>
    <w:rsid w:val="009C5622"/>
    <w:rsid w:val="009C56F6"/>
    <w:rsid w:val="009C574B"/>
    <w:rsid w:val="009C6557"/>
    <w:rsid w:val="009C779A"/>
    <w:rsid w:val="009C77EC"/>
    <w:rsid w:val="009D038F"/>
    <w:rsid w:val="009D06F8"/>
    <w:rsid w:val="009D09D8"/>
    <w:rsid w:val="009D0CA5"/>
    <w:rsid w:val="009D11E3"/>
    <w:rsid w:val="009D13C1"/>
    <w:rsid w:val="009D13D2"/>
    <w:rsid w:val="009D16B4"/>
    <w:rsid w:val="009D1865"/>
    <w:rsid w:val="009D2298"/>
    <w:rsid w:val="009D24E3"/>
    <w:rsid w:val="009D265E"/>
    <w:rsid w:val="009D2E97"/>
    <w:rsid w:val="009D3C5A"/>
    <w:rsid w:val="009D3DA9"/>
    <w:rsid w:val="009D3DFD"/>
    <w:rsid w:val="009D5102"/>
    <w:rsid w:val="009D5403"/>
    <w:rsid w:val="009D5817"/>
    <w:rsid w:val="009D5F86"/>
    <w:rsid w:val="009D6045"/>
    <w:rsid w:val="009D63B5"/>
    <w:rsid w:val="009D66CA"/>
    <w:rsid w:val="009D6860"/>
    <w:rsid w:val="009D73FD"/>
    <w:rsid w:val="009D7481"/>
    <w:rsid w:val="009D76D1"/>
    <w:rsid w:val="009E04B7"/>
    <w:rsid w:val="009E0867"/>
    <w:rsid w:val="009E1D30"/>
    <w:rsid w:val="009E2561"/>
    <w:rsid w:val="009E2580"/>
    <w:rsid w:val="009E27D1"/>
    <w:rsid w:val="009E2A18"/>
    <w:rsid w:val="009E3681"/>
    <w:rsid w:val="009E36C2"/>
    <w:rsid w:val="009E38DC"/>
    <w:rsid w:val="009E3B89"/>
    <w:rsid w:val="009E3C55"/>
    <w:rsid w:val="009E3DAA"/>
    <w:rsid w:val="009E499B"/>
    <w:rsid w:val="009E4FBA"/>
    <w:rsid w:val="009E5224"/>
    <w:rsid w:val="009E54F9"/>
    <w:rsid w:val="009E572E"/>
    <w:rsid w:val="009E69EB"/>
    <w:rsid w:val="009E6B98"/>
    <w:rsid w:val="009E6C85"/>
    <w:rsid w:val="009E7212"/>
    <w:rsid w:val="009E724C"/>
    <w:rsid w:val="009E72B6"/>
    <w:rsid w:val="009E7DA2"/>
    <w:rsid w:val="009F0AAE"/>
    <w:rsid w:val="009F0D24"/>
    <w:rsid w:val="009F0E3C"/>
    <w:rsid w:val="009F1198"/>
    <w:rsid w:val="009F1E32"/>
    <w:rsid w:val="009F2357"/>
    <w:rsid w:val="009F2509"/>
    <w:rsid w:val="009F338C"/>
    <w:rsid w:val="009F3A33"/>
    <w:rsid w:val="009F4335"/>
    <w:rsid w:val="009F4A72"/>
    <w:rsid w:val="009F4F98"/>
    <w:rsid w:val="009F5148"/>
    <w:rsid w:val="009F5C33"/>
    <w:rsid w:val="009F6D35"/>
    <w:rsid w:val="009F76AE"/>
    <w:rsid w:val="009F7E6E"/>
    <w:rsid w:val="00A01952"/>
    <w:rsid w:val="00A0274A"/>
    <w:rsid w:val="00A02921"/>
    <w:rsid w:val="00A035B3"/>
    <w:rsid w:val="00A03ADF"/>
    <w:rsid w:val="00A03D59"/>
    <w:rsid w:val="00A04ECC"/>
    <w:rsid w:val="00A0509B"/>
    <w:rsid w:val="00A0545C"/>
    <w:rsid w:val="00A05570"/>
    <w:rsid w:val="00A0589B"/>
    <w:rsid w:val="00A05F69"/>
    <w:rsid w:val="00A0707A"/>
    <w:rsid w:val="00A07373"/>
    <w:rsid w:val="00A0739E"/>
    <w:rsid w:val="00A074D5"/>
    <w:rsid w:val="00A101EE"/>
    <w:rsid w:val="00A102FD"/>
    <w:rsid w:val="00A106BF"/>
    <w:rsid w:val="00A11145"/>
    <w:rsid w:val="00A111DC"/>
    <w:rsid w:val="00A113AD"/>
    <w:rsid w:val="00A11598"/>
    <w:rsid w:val="00A1217A"/>
    <w:rsid w:val="00A122C2"/>
    <w:rsid w:val="00A12C52"/>
    <w:rsid w:val="00A12D39"/>
    <w:rsid w:val="00A13557"/>
    <w:rsid w:val="00A13575"/>
    <w:rsid w:val="00A1374F"/>
    <w:rsid w:val="00A13A59"/>
    <w:rsid w:val="00A13BF3"/>
    <w:rsid w:val="00A157CA"/>
    <w:rsid w:val="00A16519"/>
    <w:rsid w:val="00A17E47"/>
    <w:rsid w:val="00A20519"/>
    <w:rsid w:val="00A209BF"/>
    <w:rsid w:val="00A21278"/>
    <w:rsid w:val="00A2148C"/>
    <w:rsid w:val="00A21B80"/>
    <w:rsid w:val="00A22DA8"/>
    <w:rsid w:val="00A23582"/>
    <w:rsid w:val="00A23882"/>
    <w:rsid w:val="00A23E83"/>
    <w:rsid w:val="00A24ACB"/>
    <w:rsid w:val="00A24BB6"/>
    <w:rsid w:val="00A2509E"/>
    <w:rsid w:val="00A25382"/>
    <w:rsid w:val="00A257CB"/>
    <w:rsid w:val="00A26C38"/>
    <w:rsid w:val="00A27210"/>
    <w:rsid w:val="00A277FF"/>
    <w:rsid w:val="00A27B83"/>
    <w:rsid w:val="00A303CD"/>
    <w:rsid w:val="00A30EF9"/>
    <w:rsid w:val="00A311B1"/>
    <w:rsid w:val="00A311EC"/>
    <w:rsid w:val="00A31275"/>
    <w:rsid w:val="00A31EF0"/>
    <w:rsid w:val="00A3260D"/>
    <w:rsid w:val="00A32653"/>
    <w:rsid w:val="00A32B92"/>
    <w:rsid w:val="00A32E7A"/>
    <w:rsid w:val="00A33184"/>
    <w:rsid w:val="00A33447"/>
    <w:rsid w:val="00A33854"/>
    <w:rsid w:val="00A339A1"/>
    <w:rsid w:val="00A33A4D"/>
    <w:rsid w:val="00A33E47"/>
    <w:rsid w:val="00A33F13"/>
    <w:rsid w:val="00A3413A"/>
    <w:rsid w:val="00A345C4"/>
    <w:rsid w:val="00A35221"/>
    <w:rsid w:val="00A35B98"/>
    <w:rsid w:val="00A36F4D"/>
    <w:rsid w:val="00A36F5E"/>
    <w:rsid w:val="00A371FF"/>
    <w:rsid w:val="00A37511"/>
    <w:rsid w:val="00A375E5"/>
    <w:rsid w:val="00A37BBD"/>
    <w:rsid w:val="00A37E73"/>
    <w:rsid w:val="00A40C7C"/>
    <w:rsid w:val="00A414BD"/>
    <w:rsid w:val="00A423D5"/>
    <w:rsid w:val="00A43226"/>
    <w:rsid w:val="00A434F1"/>
    <w:rsid w:val="00A435EA"/>
    <w:rsid w:val="00A43781"/>
    <w:rsid w:val="00A4380F"/>
    <w:rsid w:val="00A43E68"/>
    <w:rsid w:val="00A45114"/>
    <w:rsid w:val="00A451B5"/>
    <w:rsid w:val="00A451CF"/>
    <w:rsid w:val="00A45655"/>
    <w:rsid w:val="00A460D3"/>
    <w:rsid w:val="00A46E30"/>
    <w:rsid w:val="00A47479"/>
    <w:rsid w:val="00A502D4"/>
    <w:rsid w:val="00A5033B"/>
    <w:rsid w:val="00A50698"/>
    <w:rsid w:val="00A5091D"/>
    <w:rsid w:val="00A50C3A"/>
    <w:rsid w:val="00A511A8"/>
    <w:rsid w:val="00A51224"/>
    <w:rsid w:val="00A518DE"/>
    <w:rsid w:val="00A51AAF"/>
    <w:rsid w:val="00A51C75"/>
    <w:rsid w:val="00A5251E"/>
    <w:rsid w:val="00A52887"/>
    <w:rsid w:val="00A52F55"/>
    <w:rsid w:val="00A55B73"/>
    <w:rsid w:val="00A5614F"/>
    <w:rsid w:val="00A564D9"/>
    <w:rsid w:val="00A56565"/>
    <w:rsid w:val="00A565BF"/>
    <w:rsid w:val="00A56AD9"/>
    <w:rsid w:val="00A57612"/>
    <w:rsid w:val="00A60E59"/>
    <w:rsid w:val="00A60EDC"/>
    <w:rsid w:val="00A61047"/>
    <w:rsid w:val="00A614B1"/>
    <w:rsid w:val="00A61A3F"/>
    <w:rsid w:val="00A61B6F"/>
    <w:rsid w:val="00A61ED0"/>
    <w:rsid w:val="00A6234A"/>
    <w:rsid w:val="00A62398"/>
    <w:rsid w:val="00A63112"/>
    <w:rsid w:val="00A631E1"/>
    <w:rsid w:val="00A636F6"/>
    <w:rsid w:val="00A63DD3"/>
    <w:rsid w:val="00A650C9"/>
    <w:rsid w:val="00A65F73"/>
    <w:rsid w:val="00A6666F"/>
    <w:rsid w:val="00A66F90"/>
    <w:rsid w:val="00A670AA"/>
    <w:rsid w:val="00A6730A"/>
    <w:rsid w:val="00A675DE"/>
    <w:rsid w:val="00A6785D"/>
    <w:rsid w:val="00A67978"/>
    <w:rsid w:val="00A67A77"/>
    <w:rsid w:val="00A7002C"/>
    <w:rsid w:val="00A70066"/>
    <w:rsid w:val="00A7064F"/>
    <w:rsid w:val="00A707A0"/>
    <w:rsid w:val="00A710DD"/>
    <w:rsid w:val="00A714BF"/>
    <w:rsid w:val="00A718D4"/>
    <w:rsid w:val="00A71925"/>
    <w:rsid w:val="00A72A86"/>
    <w:rsid w:val="00A72FF2"/>
    <w:rsid w:val="00A7365C"/>
    <w:rsid w:val="00A73903"/>
    <w:rsid w:val="00A741B2"/>
    <w:rsid w:val="00A748D7"/>
    <w:rsid w:val="00A74E31"/>
    <w:rsid w:val="00A751B4"/>
    <w:rsid w:val="00A75559"/>
    <w:rsid w:val="00A75915"/>
    <w:rsid w:val="00A7706F"/>
    <w:rsid w:val="00A77079"/>
    <w:rsid w:val="00A80A2B"/>
    <w:rsid w:val="00A80C8B"/>
    <w:rsid w:val="00A81531"/>
    <w:rsid w:val="00A81661"/>
    <w:rsid w:val="00A816A1"/>
    <w:rsid w:val="00A81915"/>
    <w:rsid w:val="00A81DE8"/>
    <w:rsid w:val="00A8245F"/>
    <w:rsid w:val="00A829D7"/>
    <w:rsid w:val="00A82F05"/>
    <w:rsid w:val="00A83EFA"/>
    <w:rsid w:val="00A83F88"/>
    <w:rsid w:val="00A85EB0"/>
    <w:rsid w:val="00A86489"/>
    <w:rsid w:val="00A878F4"/>
    <w:rsid w:val="00A912FC"/>
    <w:rsid w:val="00A913F8"/>
    <w:rsid w:val="00A91410"/>
    <w:rsid w:val="00A91533"/>
    <w:rsid w:val="00A91D2E"/>
    <w:rsid w:val="00A92C6A"/>
    <w:rsid w:val="00A937EF"/>
    <w:rsid w:val="00A94D2F"/>
    <w:rsid w:val="00A95014"/>
    <w:rsid w:val="00A950F3"/>
    <w:rsid w:val="00A964FC"/>
    <w:rsid w:val="00A96F49"/>
    <w:rsid w:val="00A97044"/>
    <w:rsid w:val="00A97086"/>
    <w:rsid w:val="00A9709B"/>
    <w:rsid w:val="00A9745F"/>
    <w:rsid w:val="00A97C74"/>
    <w:rsid w:val="00AA05B8"/>
    <w:rsid w:val="00AA063F"/>
    <w:rsid w:val="00AA0949"/>
    <w:rsid w:val="00AA0C54"/>
    <w:rsid w:val="00AA0EDD"/>
    <w:rsid w:val="00AA0F6E"/>
    <w:rsid w:val="00AA1B27"/>
    <w:rsid w:val="00AA1CEB"/>
    <w:rsid w:val="00AA1DB7"/>
    <w:rsid w:val="00AA20E6"/>
    <w:rsid w:val="00AA21DF"/>
    <w:rsid w:val="00AA25BF"/>
    <w:rsid w:val="00AA2914"/>
    <w:rsid w:val="00AA2A55"/>
    <w:rsid w:val="00AA2BFA"/>
    <w:rsid w:val="00AA2D70"/>
    <w:rsid w:val="00AA3248"/>
    <w:rsid w:val="00AA36D6"/>
    <w:rsid w:val="00AA388E"/>
    <w:rsid w:val="00AA49E0"/>
    <w:rsid w:val="00AA4EFC"/>
    <w:rsid w:val="00AA4FD7"/>
    <w:rsid w:val="00AA50C7"/>
    <w:rsid w:val="00AA557E"/>
    <w:rsid w:val="00AA589D"/>
    <w:rsid w:val="00AA5AEB"/>
    <w:rsid w:val="00AA5CA6"/>
    <w:rsid w:val="00AA6BE1"/>
    <w:rsid w:val="00AA6EBF"/>
    <w:rsid w:val="00AA6F92"/>
    <w:rsid w:val="00AA75B3"/>
    <w:rsid w:val="00AA7837"/>
    <w:rsid w:val="00AA78F4"/>
    <w:rsid w:val="00AA795B"/>
    <w:rsid w:val="00AA7B02"/>
    <w:rsid w:val="00AA7CBB"/>
    <w:rsid w:val="00AA7CF7"/>
    <w:rsid w:val="00AB113A"/>
    <w:rsid w:val="00AB1625"/>
    <w:rsid w:val="00AB2299"/>
    <w:rsid w:val="00AB23BE"/>
    <w:rsid w:val="00AB2568"/>
    <w:rsid w:val="00AB288F"/>
    <w:rsid w:val="00AB3162"/>
    <w:rsid w:val="00AB330A"/>
    <w:rsid w:val="00AB35AA"/>
    <w:rsid w:val="00AB3CA7"/>
    <w:rsid w:val="00AB568D"/>
    <w:rsid w:val="00AB5864"/>
    <w:rsid w:val="00AB618A"/>
    <w:rsid w:val="00AB62AB"/>
    <w:rsid w:val="00AB6867"/>
    <w:rsid w:val="00AB6E87"/>
    <w:rsid w:val="00AB6F1F"/>
    <w:rsid w:val="00AB6FFD"/>
    <w:rsid w:val="00AB7614"/>
    <w:rsid w:val="00AB7C06"/>
    <w:rsid w:val="00AC03AD"/>
    <w:rsid w:val="00AC06B1"/>
    <w:rsid w:val="00AC06C6"/>
    <w:rsid w:val="00AC0FBE"/>
    <w:rsid w:val="00AC148A"/>
    <w:rsid w:val="00AC1648"/>
    <w:rsid w:val="00AC1923"/>
    <w:rsid w:val="00AC24A2"/>
    <w:rsid w:val="00AC2B1C"/>
    <w:rsid w:val="00AC30CC"/>
    <w:rsid w:val="00AC3228"/>
    <w:rsid w:val="00AC390A"/>
    <w:rsid w:val="00AC4181"/>
    <w:rsid w:val="00AC41F1"/>
    <w:rsid w:val="00AC44FE"/>
    <w:rsid w:val="00AC459D"/>
    <w:rsid w:val="00AC4966"/>
    <w:rsid w:val="00AC4D95"/>
    <w:rsid w:val="00AC5C79"/>
    <w:rsid w:val="00AC61C1"/>
    <w:rsid w:val="00AC6203"/>
    <w:rsid w:val="00AC65E5"/>
    <w:rsid w:val="00AC6E9D"/>
    <w:rsid w:val="00AC703F"/>
    <w:rsid w:val="00AC7CA4"/>
    <w:rsid w:val="00AD0796"/>
    <w:rsid w:val="00AD1BCA"/>
    <w:rsid w:val="00AD2EB0"/>
    <w:rsid w:val="00AD35B6"/>
    <w:rsid w:val="00AD3A9F"/>
    <w:rsid w:val="00AD3C1F"/>
    <w:rsid w:val="00AD4762"/>
    <w:rsid w:val="00AD47C5"/>
    <w:rsid w:val="00AD497E"/>
    <w:rsid w:val="00AD4EF8"/>
    <w:rsid w:val="00AD51B8"/>
    <w:rsid w:val="00AD5537"/>
    <w:rsid w:val="00AD57C4"/>
    <w:rsid w:val="00AD5CD9"/>
    <w:rsid w:val="00AD6AB5"/>
    <w:rsid w:val="00AE099E"/>
    <w:rsid w:val="00AE163D"/>
    <w:rsid w:val="00AE27A9"/>
    <w:rsid w:val="00AE3DF5"/>
    <w:rsid w:val="00AE5035"/>
    <w:rsid w:val="00AE57B2"/>
    <w:rsid w:val="00AE6370"/>
    <w:rsid w:val="00AE6698"/>
    <w:rsid w:val="00AE680E"/>
    <w:rsid w:val="00AE732F"/>
    <w:rsid w:val="00AE738A"/>
    <w:rsid w:val="00AF09FC"/>
    <w:rsid w:val="00AF1185"/>
    <w:rsid w:val="00AF2BBC"/>
    <w:rsid w:val="00AF2F29"/>
    <w:rsid w:val="00AF3165"/>
    <w:rsid w:val="00AF4799"/>
    <w:rsid w:val="00AF47D2"/>
    <w:rsid w:val="00AF5434"/>
    <w:rsid w:val="00AF5561"/>
    <w:rsid w:val="00AF5ABE"/>
    <w:rsid w:val="00AF5C6D"/>
    <w:rsid w:val="00AF5CB5"/>
    <w:rsid w:val="00AF5E76"/>
    <w:rsid w:val="00AF62A9"/>
    <w:rsid w:val="00AF68A0"/>
    <w:rsid w:val="00AF7489"/>
    <w:rsid w:val="00AF797A"/>
    <w:rsid w:val="00AF7A48"/>
    <w:rsid w:val="00B01189"/>
    <w:rsid w:val="00B0205A"/>
    <w:rsid w:val="00B04427"/>
    <w:rsid w:val="00B0459C"/>
    <w:rsid w:val="00B045CD"/>
    <w:rsid w:val="00B051C4"/>
    <w:rsid w:val="00B05264"/>
    <w:rsid w:val="00B05E7B"/>
    <w:rsid w:val="00B0613E"/>
    <w:rsid w:val="00B067D0"/>
    <w:rsid w:val="00B07492"/>
    <w:rsid w:val="00B078A5"/>
    <w:rsid w:val="00B103F2"/>
    <w:rsid w:val="00B1063D"/>
    <w:rsid w:val="00B10C8B"/>
    <w:rsid w:val="00B112B7"/>
    <w:rsid w:val="00B121B3"/>
    <w:rsid w:val="00B12393"/>
    <w:rsid w:val="00B12EEF"/>
    <w:rsid w:val="00B1396C"/>
    <w:rsid w:val="00B13BAD"/>
    <w:rsid w:val="00B13C5F"/>
    <w:rsid w:val="00B13D26"/>
    <w:rsid w:val="00B14286"/>
    <w:rsid w:val="00B14671"/>
    <w:rsid w:val="00B14F17"/>
    <w:rsid w:val="00B150EA"/>
    <w:rsid w:val="00B15239"/>
    <w:rsid w:val="00B152D9"/>
    <w:rsid w:val="00B15C1E"/>
    <w:rsid w:val="00B16D74"/>
    <w:rsid w:val="00B178D9"/>
    <w:rsid w:val="00B17CDC"/>
    <w:rsid w:val="00B17EEE"/>
    <w:rsid w:val="00B20FB1"/>
    <w:rsid w:val="00B2275A"/>
    <w:rsid w:val="00B22AAB"/>
    <w:rsid w:val="00B22E0C"/>
    <w:rsid w:val="00B236CA"/>
    <w:rsid w:val="00B23894"/>
    <w:rsid w:val="00B23F6C"/>
    <w:rsid w:val="00B24675"/>
    <w:rsid w:val="00B25172"/>
    <w:rsid w:val="00B2525E"/>
    <w:rsid w:val="00B2532D"/>
    <w:rsid w:val="00B25AAE"/>
    <w:rsid w:val="00B25D51"/>
    <w:rsid w:val="00B25F27"/>
    <w:rsid w:val="00B268E1"/>
    <w:rsid w:val="00B2703E"/>
    <w:rsid w:val="00B27098"/>
    <w:rsid w:val="00B27F3E"/>
    <w:rsid w:val="00B30DFB"/>
    <w:rsid w:val="00B30F82"/>
    <w:rsid w:val="00B3122C"/>
    <w:rsid w:val="00B31624"/>
    <w:rsid w:val="00B317EB"/>
    <w:rsid w:val="00B31A14"/>
    <w:rsid w:val="00B31B39"/>
    <w:rsid w:val="00B3231D"/>
    <w:rsid w:val="00B32412"/>
    <w:rsid w:val="00B32582"/>
    <w:rsid w:val="00B32B86"/>
    <w:rsid w:val="00B32D4A"/>
    <w:rsid w:val="00B3381B"/>
    <w:rsid w:val="00B33F92"/>
    <w:rsid w:val="00B35379"/>
    <w:rsid w:val="00B35541"/>
    <w:rsid w:val="00B35DB3"/>
    <w:rsid w:val="00B3602F"/>
    <w:rsid w:val="00B36057"/>
    <w:rsid w:val="00B3661E"/>
    <w:rsid w:val="00B36B4B"/>
    <w:rsid w:val="00B36D7C"/>
    <w:rsid w:val="00B37010"/>
    <w:rsid w:val="00B37093"/>
    <w:rsid w:val="00B3730D"/>
    <w:rsid w:val="00B373E5"/>
    <w:rsid w:val="00B379E5"/>
    <w:rsid w:val="00B37D3C"/>
    <w:rsid w:val="00B407F4"/>
    <w:rsid w:val="00B40997"/>
    <w:rsid w:val="00B40A04"/>
    <w:rsid w:val="00B40BCD"/>
    <w:rsid w:val="00B40C7B"/>
    <w:rsid w:val="00B4107C"/>
    <w:rsid w:val="00B415AA"/>
    <w:rsid w:val="00B41CC5"/>
    <w:rsid w:val="00B42886"/>
    <w:rsid w:val="00B43C5A"/>
    <w:rsid w:val="00B4415E"/>
    <w:rsid w:val="00B445DD"/>
    <w:rsid w:val="00B455B0"/>
    <w:rsid w:val="00B461B0"/>
    <w:rsid w:val="00B461FA"/>
    <w:rsid w:val="00B4656B"/>
    <w:rsid w:val="00B46C4C"/>
    <w:rsid w:val="00B46C69"/>
    <w:rsid w:val="00B47145"/>
    <w:rsid w:val="00B47FF7"/>
    <w:rsid w:val="00B500D6"/>
    <w:rsid w:val="00B50116"/>
    <w:rsid w:val="00B514A7"/>
    <w:rsid w:val="00B518BF"/>
    <w:rsid w:val="00B53028"/>
    <w:rsid w:val="00B541D7"/>
    <w:rsid w:val="00B5490F"/>
    <w:rsid w:val="00B54F05"/>
    <w:rsid w:val="00B5667E"/>
    <w:rsid w:val="00B617A4"/>
    <w:rsid w:val="00B6294A"/>
    <w:rsid w:val="00B62C4D"/>
    <w:rsid w:val="00B63114"/>
    <w:rsid w:val="00B6376C"/>
    <w:rsid w:val="00B63E6D"/>
    <w:rsid w:val="00B64498"/>
    <w:rsid w:val="00B64C1E"/>
    <w:rsid w:val="00B64C7A"/>
    <w:rsid w:val="00B64CB9"/>
    <w:rsid w:val="00B64D85"/>
    <w:rsid w:val="00B6569C"/>
    <w:rsid w:val="00B65ED7"/>
    <w:rsid w:val="00B66640"/>
    <w:rsid w:val="00B67079"/>
    <w:rsid w:val="00B671F7"/>
    <w:rsid w:val="00B67F59"/>
    <w:rsid w:val="00B70223"/>
    <w:rsid w:val="00B702F7"/>
    <w:rsid w:val="00B7042D"/>
    <w:rsid w:val="00B70675"/>
    <w:rsid w:val="00B7156A"/>
    <w:rsid w:val="00B719A0"/>
    <w:rsid w:val="00B71B0B"/>
    <w:rsid w:val="00B725AC"/>
    <w:rsid w:val="00B7288F"/>
    <w:rsid w:val="00B72F05"/>
    <w:rsid w:val="00B730CF"/>
    <w:rsid w:val="00B7379E"/>
    <w:rsid w:val="00B73BE2"/>
    <w:rsid w:val="00B74D9A"/>
    <w:rsid w:val="00B752DC"/>
    <w:rsid w:val="00B755E8"/>
    <w:rsid w:val="00B75C3B"/>
    <w:rsid w:val="00B7665A"/>
    <w:rsid w:val="00B772B6"/>
    <w:rsid w:val="00B77662"/>
    <w:rsid w:val="00B77841"/>
    <w:rsid w:val="00B77F1D"/>
    <w:rsid w:val="00B77F2B"/>
    <w:rsid w:val="00B81A11"/>
    <w:rsid w:val="00B81B3F"/>
    <w:rsid w:val="00B81E6D"/>
    <w:rsid w:val="00B8207C"/>
    <w:rsid w:val="00B8223B"/>
    <w:rsid w:val="00B829AA"/>
    <w:rsid w:val="00B82E20"/>
    <w:rsid w:val="00B82F41"/>
    <w:rsid w:val="00B83379"/>
    <w:rsid w:val="00B833F2"/>
    <w:rsid w:val="00B837E9"/>
    <w:rsid w:val="00B83A07"/>
    <w:rsid w:val="00B83C30"/>
    <w:rsid w:val="00B83D19"/>
    <w:rsid w:val="00B84677"/>
    <w:rsid w:val="00B846A6"/>
    <w:rsid w:val="00B84952"/>
    <w:rsid w:val="00B86275"/>
    <w:rsid w:val="00B86A90"/>
    <w:rsid w:val="00B86C8C"/>
    <w:rsid w:val="00B8726F"/>
    <w:rsid w:val="00B87B19"/>
    <w:rsid w:val="00B90498"/>
    <w:rsid w:val="00B90545"/>
    <w:rsid w:val="00B91418"/>
    <w:rsid w:val="00B92E8C"/>
    <w:rsid w:val="00B939B0"/>
    <w:rsid w:val="00B94170"/>
    <w:rsid w:val="00B944A2"/>
    <w:rsid w:val="00B94D55"/>
    <w:rsid w:val="00B94DDC"/>
    <w:rsid w:val="00B97413"/>
    <w:rsid w:val="00B97D66"/>
    <w:rsid w:val="00BA0164"/>
    <w:rsid w:val="00BA1521"/>
    <w:rsid w:val="00BA16EE"/>
    <w:rsid w:val="00BA1A3D"/>
    <w:rsid w:val="00BA1D55"/>
    <w:rsid w:val="00BA1D90"/>
    <w:rsid w:val="00BA27D8"/>
    <w:rsid w:val="00BA2A9E"/>
    <w:rsid w:val="00BA3446"/>
    <w:rsid w:val="00BA4221"/>
    <w:rsid w:val="00BA4D0C"/>
    <w:rsid w:val="00BA4FC5"/>
    <w:rsid w:val="00BA71BA"/>
    <w:rsid w:val="00BA7A55"/>
    <w:rsid w:val="00BB026F"/>
    <w:rsid w:val="00BB090D"/>
    <w:rsid w:val="00BB0A08"/>
    <w:rsid w:val="00BB159B"/>
    <w:rsid w:val="00BB1979"/>
    <w:rsid w:val="00BB1CA6"/>
    <w:rsid w:val="00BB300E"/>
    <w:rsid w:val="00BB30C3"/>
    <w:rsid w:val="00BB3654"/>
    <w:rsid w:val="00BB3E88"/>
    <w:rsid w:val="00BB40DF"/>
    <w:rsid w:val="00BB4493"/>
    <w:rsid w:val="00BB4730"/>
    <w:rsid w:val="00BB4D9D"/>
    <w:rsid w:val="00BB531C"/>
    <w:rsid w:val="00BB6B6B"/>
    <w:rsid w:val="00BB6F83"/>
    <w:rsid w:val="00BB7FD0"/>
    <w:rsid w:val="00BB7FF4"/>
    <w:rsid w:val="00BC0A8D"/>
    <w:rsid w:val="00BC0F95"/>
    <w:rsid w:val="00BC14E9"/>
    <w:rsid w:val="00BC19EB"/>
    <w:rsid w:val="00BC201C"/>
    <w:rsid w:val="00BC2424"/>
    <w:rsid w:val="00BC2C5A"/>
    <w:rsid w:val="00BC2F8C"/>
    <w:rsid w:val="00BC3296"/>
    <w:rsid w:val="00BC41B7"/>
    <w:rsid w:val="00BC478B"/>
    <w:rsid w:val="00BC554C"/>
    <w:rsid w:val="00BC590F"/>
    <w:rsid w:val="00BC6301"/>
    <w:rsid w:val="00BC670B"/>
    <w:rsid w:val="00BC6AE8"/>
    <w:rsid w:val="00BC6F05"/>
    <w:rsid w:val="00BC71E4"/>
    <w:rsid w:val="00BC7307"/>
    <w:rsid w:val="00BC76B8"/>
    <w:rsid w:val="00BC76F8"/>
    <w:rsid w:val="00BC782B"/>
    <w:rsid w:val="00BC7D71"/>
    <w:rsid w:val="00BC7DE9"/>
    <w:rsid w:val="00BD0447"/>
    <w:rsid w:val="00BD080A"/>
    <w:rsid w:val="00BD102C"/>
    <w:rsid w:val="00BD138A"/>
    <w:rsid w:val="00BD174A"/>
    <w:rsid w:val="00BD1D0E"/>
    <w:rsid w:val="00BD20B5"/>
    <w:rsid w:val="00BD21B3"/>
    <w:rsid w:val="00BD237F"/>
    <w:rsid w:val="00BD2629"/>
    <w:rsid w:val="00BD263C"/>
    <w:rsid w:val="00BD2BB5"/>
    <w:rsid w:val="00BD3693"/>
    <w:rsid w:val="00BD3B10"/>
    <w:rsid w:val="00BD51B0"/>
    <w:rsid w:val="00BD5BBB"/>
    <w:rsid w:val="00BD6FB8"/>
    <w:rsid w:val="00BD7100"/>
    <w:rsid w:val="00BD7748"/>
    <w:rsid w:val="00BD7D42"/>
    <w:rsid w:val="00BE0609"/>
    <w:rsid w:val="00BE07F0"/>
    <w:rsid w:val="00BE0828"/>
    <w:rsid w:val="00BE0AFF"/>
    <w:rsid w:val="00BE111F"/>
    <w:rsid w:val="00BE1536"/>
    <w:rsid w:val="00BE1699"/>
    <w:rsid w:val="00BE1974"/>
    <w:rsid w:val="00BE2713"/>
    <w:rsid w:val="00BE2B30"/>
    <w:rsid w:val="00BE2DB3"/>
    <w:rsid w:val="00BE313F"/>
    <w:rsid w:val="00BE33EB"/>
    <w:rsid w:val="00BE348C"/>
    <w:rsid w:val="00BE38FF"/>
    <w:rsid w:val="00BE3C18"/>
    <w:rsid w:val="00BE3C4A"/>
    <w:rsid w:val="00BE424A"/>
    <w:rsid w:val="00BE4BD1"/>
    <w:rsid w:val="00BE4CD3"/>
    <w:rsid w:val="00BE4E3F"/>
    <w:rsid w:val="00BE52B8"/>
    <w:rsid w:val="00BE5703"/>
    <w:rsid w:val="00BE6EE2"/>
    <w:rsid w:val="00BE6FD6"/>
    <w:rsid w:val="00BE70C8"/>
    <w:rsid w:val="00BE730A"/>
    <w:rsid w:val="00BE7545"/>
    <w:rsid w:val="00BE7548"/>
    <w:rsid w:val="00BE7CAC"/>
    <w:rsid w:val="00BF010B"/>
    <w:rsid w:val="00BF1884"/>
    <w:rsid w:val="00BF3243"/>
    <w:rsid w:val="00BF3608"/>
    <w:rsid w:val="00BF3CA7"/>
    <w:rsid w:val="00BF3CF4"/>
    <w:rsid w:val="00BF4171"/>
    <w:rsid w:val="00BF5531"/>
    <w:rsid w:val="00BF5587"/>
    <w:rsid w:val="00BF5641"/>
    <w:rsid w:val="00BF5A0A"/>
    <w:rsid w:val="00BF5BE9"/>
    <w:rsid w:val="00BF5FE0"/>
    <w:rsid w:val="00BF613F"/>
    <w:rsid w:val="00BF64CD"/>
    <w:rsid w:val="00BF6523"/>
    <w:rsid w:val="00BF65E0"/>
    <w:rsid w:val="00BF6990"/>
    <w:rsid w:val="00BF7714"/>
    <w:rsid w:val="00BF7D19"/>
    <w:rsid w:val="00C0046C"/>
    <w:rsid w:val="00C00A7D"/>
    <w:rsid w:val="00C01350"/>
    <w:rsid w:val="00C0218D"/>
    <w:rsid w:val="00C022E4"/>
    <w:rsid w:val="00C0234C"/>
    <w:rsid w:val="00C02460"/>
    <w:rsid w:val="00C02DE4"/>
    <w:rsid w:val="00C02E09"/>
    <w:rsid w:val="00C0311F"/>
    <w:rsid w:val="00C03325"/>
    <w:rsid w:val="00C0345C"/>
    <w:rsid w:val="00C03EED"/>
    <w:rsid w:val="00C04E4C"/>
    <w:rsid w:val="00C051EE"/>
    <w:rsid w:val="00C055F3"/>
    <w:rsid w:val="00C060F1"/>
    <w:rsid w:val="00C068B0"/>
    <w:rsid w:val="00C06D27"/>
    <w:rsid w:val="00C06D6A"/>
    <w:rsid w:val="00C0721D"/>
    <w:rsid w:val="00C072CF"/>
    <w:rsid w:val="00C10691"/>
    <w:rsid w:val="00C10E1E"/>
    <w:rsid w:val="00C10E63"/>
    <w:rsid w:val="00C11708"/>
    <w:rsid w:val="00C1196F"/>
    <w:rsid w:val="00C12665"/>
    <w:rsid w:val="00C12C45"/>
    <w:rsid w:val="00C12DC2"/>
    <w:rsid w:val="00C13000"/>
    <w:rsid w:val="00C1302D"/>
    <w:rsid w:val="00C13339"/>
    <w:rsid w:val="00C14213"/>
    <w:rsid w:val="00C14760"/>
    <w:rsid w:val="00C14790"/>
    <w:rsid w:val="00C14EFA"/>
    <w:rsid w:val="00C15003"/>
    <w:rsid w:val="00C152C0"/>
    <w:rsid w:val="00C1589E"/>
    <w:rsid w:val="00C15B64"/>
    <w:rsid w:val="00C176BB"/>
    <w:rsid w:val="00C20719"/>
    <w:rsid w:val="00C209C3"/>
    <w:rsid w:val="00C20F05"/>
    <w:rsid w:val="00C215DB"/>
    <w:rsid w:val="00C22098"/>
    <w:rsid w:val="00C22159"/>
    <w:rsid w:val="00C222E9"/>
    <w:rsid w:val="00C23127"/>
    <w:rsid w:val="00C24719"/>
    <w:rsid w:val="00C2482D"/>
    <w:rsid w:val="00C24C01"/>
    <w:rsid w:val="00C24EB3"/>
    <w:rsid w:val="00C251BE"/>
    <w:rsid w:val="00C254A5"/>
    <w:rsid w:val="00C256DC"/>
    <w:rsid w:val="00C25B68"/>
    <w:rsid w:val="00C26044"/>
    <w:rsid w:val="00C26105"/>
    <w:rsid w:val="00C262F4"/>
    <w:rsid w:val="00C263CA"/>
    <w:rsid w:val="00C267DE"/>
    <w:rsid w:val="00C26ABE"/>
    <w:rsid w:val="00C26FFF"/>
    <w:rsid w:val="00C2737D"/>
    <w:rsid w:val="00C2760F"/>
    <w:rsid w:val="00C3008B"/>
    <w:rsid w:val="00C301A9"/>
    <w:rsid w:val="00C30273"/>
    <w:rsid w:val="00C30F8F"/>
    <w:rsid w:val="00C321DC"/>
    <w:rsid w:val="00C3224E"/>
    <w:rsid w:val="00C32CCD"/>
    <w:rsid w:val="00C33CE1"/>
    <w:rsid w:val="00C33CEF"/>
    <w:rsid w:val="00C34050"/>
    <w:rsid w:val="00C346D7"/>
    <w:rsid w:val="00C3488E"/>
    <w:rsid w:val="00C34A4A"/>
    <w:rsid w:val="00C34D8A"/>
    <w:rsid w:val="00C3525B"/>
    <w:rsid w:val="00C354B0"/>
    <w:rsid w:val="00C35700"/>
    <w:rsid w:val="00C369F3"/>
    <w:rsid w:val="00C36E66"/>
    <w:rsid w:val="00C37A7B"/>
    <w:rsid w:val="00C37D3A"/>
    <w:rsid w:val="00C400AC"/>
    <w:rsid w:val="00C40BC9"/>
    <w:rsid w:val="00C41B47"/>
    <w:rsid w:val="00C41B4D"/>
    <w:rsid w:val="00C41B94"/>
    <w:rsid w:val="00C42A27"/>
    <w:rsid w:val="00C43BAC"/>
    <w:rsid w:val="00C463CD"/>
    <w:rsid w:val="00C4696D"/>
    <w:rsid w:val="00C46B62"/>
    <w:rsid w:val="00C47077"/>
    <w:rsid w:val="00C47D9F"/>
    <w:rsid w:val="00C47F4A"/>
    <w:rsid w:val="00C47F89"/>
    <w:rsid w:val="00C50898"/>
    <w:rsid w:val="00C50D23"/>
    <w:rsid w:val="00C521E6"/>
    <w:rsid w:val="00C52980"/>
    <w:rsid w:val="00C53078"/>
    <w:rsid w:val="00C53ADC"/>
    <w:rsid w:val="00C5401C"/>
    <w:rsid w:val="00C54148"/>
    <w:rsid w:val="00C559F7"/>
    <w:rsid w:val="00C55DB9"/>
    <w:rsid w:val="00C560DC"/>
    <w:rsid w:val="00C5646E"/>
    <w:rsid w:val="00C567FC"/>
    <w:rsid w:val="00C57045"/>
    <w:rsid w:val="00C57230"/>
    <w:rsid w:val="00C57395"/>
    <w:rsid w:val="00C57C30"/>
    <w:rsid w:val="00C60298"/>
    <w:rsid w:val="00C602FA"/>
    <w:rsid w:val="00C60EDF"/>
    <w:rsid w:val="00C612EB"/>
    <w:rsid w:val="00C61B6D"/>
    <w:rsid w:val="00C621C1"/>
    <w:rsid w:val="00C624C4"/>
    <w:rsid w:val="00C627BF"/>
    <w:rsid w:val="00C62D5D"/>
    <w:rsid w:val="00C62F0E"/>
    <w:rsid w:val="00C63072"/>
    <w:rsid w:val="00C6395C"/>
    <w:rsid w:val="00C6408C"/>
    <w:rsid w:val="00C643EC"/>
    <w:rsid w:val="00C6445E"/>
    <w:rsid w:val="00C645BE"/>
    <w:rsid w:val="00C64F4D"/>
    <w:rsid w:val="00C65CAA"/>
    <w:rsid w:val="00C66474"/>
    <w:rsid w:val="00C66749"/>
    <w:rsid w:val="00C673F9"/>
    <w:rsid w:val="00C7023A"/>
    <w:rsid w:val="00C71C5E"/>
    <w:rsid w:val="00C71E75"/>
    <w:rsid w:val="00C72608"/>
    <w:rsid w:val="00C73301"/>
    <w:rsid w:val="00C7354B"/>
    <w:rsid w:val="00C73AAE"/>
    <w:rsid w:val="00C73B4A"/>
    <w:rsid w:val="00C73E0E"/>
    <w:rsid w:val="00C741A4"/>
    <w:rsid w:val="00C74378"/>
    <w:rsid w:val="00C751A5"/>
    <w:rsid w:val="00C76068"/>
    <w:rsid w:val="00C76569"/>
    <w:rsid w:val="00C76691"/>
    <w:rsid w:val="00C76A3B"/>
    <w:rsid w:val="00C76DA0"/>
    <w:rsid w:val="00C77033"/>
    <w:rsid w:val="00C775AA"/>
    <w:rsid w:val="00C8023E"/>
    <w:rsid w:val="00C81275"/>
    <w:rsid w:val="00C81DDA"/>
    <w:rsid w:val="00C827CF"/>
    <w:rsid w:val="00C83B40"/>
    <w:rsid w:val="00C84297"/>
    <w:rsid w:val="00C8518C"/>
    <w:rsid w:val="00C852C5"/>
    <w:rsid w:val="00C85670"/>
    <w:rsid w:val="00C85BB9"/>
    <w:rsid w:val="00C86B5D"/>
    <w:rsid w:val="00C876B0"/>
    <w:rsid w:val="00C87ECB"/>
    <w:rsid w:val="00C87FE2"/>
    <w:rsid w:val="00C90A26"/>
    <w:rsid w:val="00C91312"/>
    <w:rsid w:val="00C91DA1"/>
    <w:rsid w:val="00C91EEE"/>
    <w:rsid w:val="00C91F8F"/>
    <w:rsid w:val="00C92046"/>
    <w:rsid w:val="00C92C00"/>
    <w:rsid w:val="00C92D78"/>
    <w:rsid w:val="00C92F50"/>
    <w:rsid w:val="00C9367D"/>
    <w:rsid w:val="00C93868"/>
    <w:rsid w:val="00C9448B"/>
    <w:rsid w:val="00C956FF"/>
    <w:rsid w:val="00C95A0C"/>
    <w:rsid w:val="00C95A13"/>
    <w:rsid w:val="00C95D24"/>
    <w:rsid w:val="00C95EB7"/>
    <w:rsid w:val="00C966C9"/>
    <w:rsid w:val="00C96E60"/>
    <w:rsid w:val="00C9707B"/>
    <w:rsid w:val="00C9770D"/>
    <w:rsid w:val="00C97E6F"/>
    <w:rsid w:val="00CA0310"/>
    <w:rsid w:val="00CA079A"/>
    <w:rsid w:val="00CA1406"/>
    <w:rsid w:val="00CA1B1B"/>
    <w:rsid w:val="00CA1DA8"/>
    <w:rsid w:val="00CA21E2"/>
    <w:rsid w:val="00CA3248"/>
    <w:rsid w:val="00CA3284"/>
    <w:rsid w:val="00CA33EF"/>
    <w:rsid w:val="00CA374D"/>
    <w:rsid w:val="00CA3947"/>
    <w:rsid w:val="00CA3B17"/>
    <w:rsid w:val="00CA3EEE"/>
    <w:rsid w:val="00CA4090"/>
    <w:rsid w:val="00CA4EFF"/>
    <w:rsid w:val="00CA52E2"/>
    <w:rsid w:val="00CA6233"/>
    <w:rsid w:val="00CA62AE"/>
    <w:rsid w:val="00CA6420"/>
    <w:rsid w:val="00CA647F"/>
    <w:rsid w:val="00CA6E8F"/>
    <w:rsid w:val="00CA7221"/>
    <w:rsid w:val="00CA727F"/>
    <w:rsid w:val="00CA7490"/>
    <w:rsid w:val="00CB0133"/>
    <w:rsid w:val="00CB1826"/>
    <w:rsid w:val="00CB2320"/>
    <w:rsid w:val="00CB29CA"/>
    <w:rsid w:val="00CB30A7"/>
    <w:rsid w:val="00CB36E2"/>
    <w:rsid w:val="00CB4C39"/>
    <w:rsid w:val="00CB4D5B"/>
    <w:rsid w:val="00CB4F47"/>
    <w:rsid w:val="00CB50E3"/>
    <w:rsid w:val="00CB51CA"/>
    <w:rsid w:val="00CB5C52"/>
    <w:rsid w:val="00CB6004"/>
    <w:rsid w:val="00CB62EE"/>
    <w:rsid w:val="00CB65E1"/>
    <w:rsid w:val="00CB7057"/>
    <w:rsid w:val="00CB76C2"/>
    <w:rsid w:val="00CB7B18"/>
    <w:rsid w:val="00CB7C17"/>
    <w:rsid w:val="00CC1108"/>
    <w:rsid w:val="00CC177D"/>
    <w:rsid w:val="00CC20CA"/>
    <w:rsid w:val="00CC2871"/>
    <w:rsid w:val="00CC2FF9"/>
    <w:rsid w:val="00CC309E"/>
    <w:rsid w:val="00CC3EF3"/>
    <w:rsid w:val="00CC49E6"/>
    <w:rsid w:val="00CC4A80"/>
    <w:rsid w:val="00CC5EE1"/>
    <w:rsid w:val="00CC5EEF"/>
    <w:rsid w:val="00CC7275"/>
    <w:rsid w:val="00CD0C19"/>
    <w:rsid w:val="00CD0F9C"/>
    <w:rsid w:val="00CD1E7E"/>
    <w:rsid w:val="00CD2956"/>
    <w:rsid w:val="00CD2AE5"/>
    <w:rsid w:val="00CD3763"/>
    <w:rsid w:val="00CD5E84"/>
    <w:rsid w:val="00CD69EA"/>
    <w:rsid w:val="00CD6DCD"/>
    <w:rsid w:val="00CD736D"/>
    <w:rsid w:val="00CD73C3"/>
    <w:rsid w:val="00CD742B"/>
    <w:rsid w:val="00CD7582"/>
    <w:rsid w:val="00CE025B"/>
    <w:rsid w:val="00CE0827"/>
    <w:rsid w:val="00CE1C52"/>
    <w:rsid w:val="00CE1F9A"/>
    <w:rsid w:val="00CE2305"/>
    <w:rsid w:val="00CE4B87"/>
    <w:rsid w:val="00CE4EAB"/>
    <w:rsid w:val="00CE52C2"/>
    <w:rsid w:val="00CE53D2"/>
    <w:rsid w:val="00CE5EAC"/>
    <w:rsid w:val="00CE6174"/>
    <w:rsid w:val="00CE6330"/>
    <w:rsid w:val="00CE67A9"/>
    <w:rsid w:val="00CE7264"/>
    <w:rsid w:val="00CE7585"/>
    <w:rsid w:val="00CF0BD3"/>
    <w:rsid w:val="00CF0CC9"/>
    <w:rsid w:val="00CF10E4"/>
    <w:rsid w:val="00CF12DD"/>
    <w:rsid w:val="00CF255F"/>
    <w:rsid w:val="00CF296D"/>
    <w:rsid w:val="00CF2ABE"/>
    <w:rsid w:val="00CF2D92"/>
    <w:rsid w:val="00CF34F6"/>
    <w:rsid w:val="00CF43AD"/>
    <w:rsid w:val="00CF45BE"/>
    <w:rsid w:val="00CF46E4"/>
    <w:rsid w:val="00CF4D69"/>
    <w:rsid w:val="00CF4EF2"/>
    <w:rsid w:val="00CF53E9"/>
    <w:rsid w:val="00CF62EF"/>
    <w:rsid w:val="00CF699A"/>
    <w:rsid w:val="00CF716F"/>
    <w:rsid w:val="00CF758E"/>
    <w:rsid w:val="00CF7730"/>
    <w:rsid w:val="00CF7D0D"/>
    <w:rsid w:val="00CF7D8F"/>
    <w:rsid w:val="00D003D6"/>
    <w:rsid w:val="00D00649"/>
    <w:rsid w:val="00D00901"/>
    <w:rsid w:val="00D00C86"/>
    <w:rsid w:val="00D00F7A"/>
    <w:rsid w:val="00D011A3"/>
    <w:rsid w:val="00D0124B"/>
    <w:rsid w:val="00D012CC"/>
    <w:rsid w:val="00D015F0"/>
    <w:rsid w:val="00D01BC4"/>
    <w:rsid w:val="00D028FE"/>
    <w:rsid w:val="00D02E67"/>
    <w:rsid w:val="00D03735"/>
    <w:rsid w:val="00D048BF"/>
    <w:rsid w:val="00D04DDF"/>
    <w:rsid w:val="00D04DEB"/>
    <w:rsid w:val="00D053EA"/>
    <w:rsid w:val="00D05636"/>
    <w:rsid w:val="00D06104"/>
    <w:rsid w:val="00D062BD"/>
    <w:rsid w:val="00D07D53"/>
    <w:rsid w:val="00D1001E"/>
    <w:rsid w:val="00D1039F"/>
    <w:rsid w:val="00D1051C"/>
    <w:rsid w:val="00D11A47"/>
    <w:rsid w:val="00D11D35"/>
    <w:rsid w:val="00D12A70"/>
    <w:rsid w:val="00D12D2E"/>
    <w:rsid w:val="00D13734"/>
    <w:rsid w:val="00D138CF"/>
    <w:rsid w:val="00D139BB"/>
    <w:rsid w:val="00D13FF2"/>
    <w:rsid w:val="00D14255"/>
    <w:rsid w:val="00D15223"/>
    <w:rsid w:val="00D15C46"/>
    <w:rsid w:val="00D16219"/>
    <w:rsid w:val="00D1624F"/>
    <w:rsid w:val="00D16CED"/>
    <w:rsid w:val="00D16FFC"/>
    <w:rsid w:val="00D1780D"/>
    <w:rsid w:val="00D17A0B"/>
    <w:rsid w:val="00D204C3"/>
    <w:rsid w:val="00D207B2"/>
    <w:rsid w:val="00D20DCB"/>
    <w:rsid w:val="00D21295"/>
    <w:rsid w:val="00D215DA"/>
    <w:rsid w:val="00D21655"/>
    <w:rsid w:val="00D22767"/>
    <w:rsid w:val="00D22ECC"/>
    <w:rsid w:val="00D2390F"/>
    <w:rsid w:val="00D249FB"/>
    <w:rsid w:val="00D264C9"/>
    <w:rsid w:val="00D267C8"/>
    <w:rsid w:val="00D27298"/>
    <w:rsid w:val="00D27FA7"/>
    <w:rsid w:val="00D3024C"/>
    <w:rsid w:val="00D30525"/>
    <w:rsid w:val="00D317AD"/>
    <w:rsid w:val="00D317C3"/>
    <w:rsid w:val="00D32C36"/>
    <w:rsid w:val="00D3528F"/>
    <w:rsid w:val="00D35881"/>
    <w:rsid w:val="00D35B63"/>
    <w:rsid w:val="00D36653"/>
    <w:rsid w:val="00D3760D"/>
    <w:rsid w:val="00D377E7"/>
    <w:rsid w:val="00D37F1C"/>
    <w:rsid w:val="00D4029B"/>
    <w:rsid w:val="00D402FE"/>
    <w:rsid w:val="00D411BC"/>
    <w:rsid w:val="00D41391"/>
    <w:rsid w:val="00D41653"/>
    <w:rsid w:val="00D41794"/>
    <w:rsid w:val="00D41E96"/>
    <w:rsid w:val="00D422F0"/>
    <w:rsid w:val="00D428E3"/>
    <w:rsid w:val="00D4314D"/>
    <w:rsid w:val="00D43DF5"/>
    <w:rsid w:val="00D44A6E"/>
    <w:rsid w:val="00D459F6"/>
    <w:rsid w:val="00D45C58"/>
    <w:rsid w:val="00D461DE"/>
    <w:rsid w:val="00D46AC6"/>
    <w:rsid w:val="00D46BD8"/>
    <w:rsid w:val="00D470B3"/>
    <w:rsid w:val="00D4742D"/>
    <w:rsid w:val="00D4786C"/>
    <w:rsid w:val="00D5024D"/>
    <w:rsid w:val="00D50560"/>
    <w:rsid w:val="00D50AAB"/>
    <w:rsid w:val="00D50C21"/>
    <w:rsid w:val="00D51085"/>
    <w:rsid w:val="00D51817"/>
    <w:rsid w:val="00D521D6"/>
    <w:rsid w:val="00D52E08"/>
    <w:rsid w:val="00D53066"/>
    <w:rsid w:val="00D53685"/>
    <w:rsid w:val="00D538BB"/>
    <w:rsid w:val="00D53FE2"/>
    <w:rsid w:val="00D5421B"/>
    <w:rsid w:val="00D547B4"/>
    <w:rsid w:val="00D557B4"/>
    <w:rsid w:val="00D5635D"/>
    <w:rsid w:val="00D570FE"/>
    <w:rsid w:val="00D574A3"/>
    <w:rsid w:val="00D57AE0"/>
    <w:rsid w:val="00D57B3F"/>
    <w:rsid w:val="00D6097F"/>
    <w:rsid w:val="00D60E40"/>
    <w:rsid w:val="00D60F62"/>
    <w:rsid w:val="00D6187C"/>
    <w:rsid w:val="00D61A65"/>
    <w:rsid w:val="00D62485"/>
    <w:rsid w:val="00D625B7"/>
    <w:rsid w:val="00D62EC2"/>
    <w:rsid w:val="00D63170"/>
    <w:rsid w:val="00D6343C"/>
    <w:rsid w:val="00D63512"/>
    <w:rsid w:val="00D63F5C"/>
    <w:rsid w:val="00D65EAA"/>
    <w:rsid w:val="00D6766F"/>
    <w:rsid w:val="00D67DD6"/>
    <w:rsid w:val="00D7032C"/>
    <w:rsid w:val="00D703AB"/>
    <w:rsid w:val="00D70919"/>
    <w:rsid w:val="00D70F58"/>
    <w:rsid w:val="00D71783"/>
    <w:rsid w:val="00D720B9"/>
    <w:rsid w:val="00D725A4"/>
    <w:rsid w:val="00D73365"/>
    <w:rsid w:val="00D7374A"/>
    <w:rsid w:val="00D73B43"/>
    <w:rsid w:val="00D74430"/>
    <w:rsid w:val="00D74DC7"/>
    <w:rsid w:val="00D75081"/>
    <w:rsid w:val="00D750D9"/>
    <w:rsid w:val="00D75388"/>
    <w:rsid w:val="00D75896"/>
    <w:rsid w:val="00D75BAA"/>
    <w:rsid w:val="00D75E47"/>
    <w:rsid w:val="00D7645A"/>
    <w:rsid w:val="00D76837"/>
    <w:rsid w:val="00D76B68"/>
    <w:rsid w:val="00D7799A"/>
    <w:rsid w:val="00D800EF"/>
    <w:rsid w:val="00D80F31"/>
    <w:rsid w:val="00D81D3F"/>
    <w:rsid w:val="00D81E39"/>
    <w:rsid w:val="00D82042"/>
    <w:rsid w:val="00D827EC"/>
    <w:rsid w:val="00D828F5"/>
    <w:rsid w:val="00D82FDD"/>
    <w:rsid w:val="00D831C5"/>
    <w:rsid w:val="00D83D58"/>
    <w:rsid w:val="00D8470C"/>
    <w:rsid w:val="00D84E86"/>
    <w:rsid w:val="00D85043"/>
    <w:rsid w:val="00D851F7"/>
    <w:rsid w:val="00D860FC"/>
    <w:rsid w:val="00D862BA"/>
    <w:rsid w:val="00D864BF"/>
    <w:rsid w:val="00D8653D"/>
    <w:rsid w:val="00D86D82"/>
    <w:rsid w:val="00D87CC0"/>
    <w:rsid w:val="00D901A5"/>
    <w:rsid w:val="00D90485"/>
    <w:rsid w:val="00D9092A"/>
    <w:rsid w:val="00D9150A"/>
    <w:rsid w:val="00D91F4E"/>
    <w:rsid w:val="00D922FB"/>
    <w:rsid w:val="00D9321A"/>
    <w:rsid w:val="00D93A36"/>
    <w:rsid w:val="00D93EB3"/>
    <w:rsid w:val="00D940EB"/>
    <w:rsid w:val="00D941E2"/>
    <w:rsid w:val="00D94EF0"/>
    <w:rsid w:val="00D95293"/>
    <w:rsid w:val="00D95A23"/>
    <w:rsid w:val="00D96076"/>
    <w:rsid w:val="00D963FA"/>
    <w:rsid w:val="00D96A36"/>
    <w:rsid w:val="00D96D5E"/>
    <w:rsid w:val="00DA0539"/>
    <w:rsid w:val="00DA14AF"/>
    <w:rsid w:val="00DA2B43"/>
    <w:rsid w:val="00DA37F3"/>
    <w:rsid w:val="00DA3D11"/>
    <w:rsid w:val="00DA44F9"/>
    <w:rsid w:val="00DA4D71"/>
    <w:rsid w:val="00DA4FB8"/>
    <w:rsid w:val="00DA57B6"/>
    <w:rsid w:val="00DA57BF"/>
    <w:rsid w:val="00DA5847"/>
    <w:rsid w:val="00DA5D97"/>
    <w:rsid w:val="00DA5E2F"/>
    <w:rsid w:val="00DA688E"/>
    <w:rsid w:val="00DA6924"/>
    <w:rsid w:val="00DA698E"/>
    <w:rsid w:val="00DA7527"/>
    <w:rsid w:val="00DA7CCB"/>
    <w:rsid w:val="00DB0263"/>
    <w:rsid w:val="00DB0369"/>
    <w:rsid w:val="00DB063A"/>
    <w:rsid w:val="00DB0C67"/>
    <w:rsid w:val="00DB1C04"/>
    <w:rsid w:val="00DB1CF1"/>
    <w:rsid w:val="00DB1EDF"/>
    <w:rsid w:val="00DB1F75"/>
    <w:rsid w:val="00DB208B"/>
    <w:rsid w:val="00DB239A"/>
    <w:rsid w:val="00DB2BC8"/>
    <w:rsid w:val="00DB368F"/>
    <w:rsid w:val="00DB3EA6"/>
    <w:rsid w:val="00DB4963"/>
    <w:rsid w:val="00DB4B00"/>
    <w:rsid w:val="00DB4BEE"/>
    <w:rsid w:val="00DB5585"/>
    <w:rsid w:val="00DB5661"/>
    <w:rsid w:val="00DB56A3"/>
    <w:rsid w:val="00DB5B51"/>
    <w:rsid w:val="00DB62B2"/>
    <w:rsid w:val="00DB6C77"/>
    <w:rsid w:val="00DB6F5B"/>
    <w:rsid w:val="00DB7819"/>
    <w:rsid w:val="00DC011F"/>
    <w:rsid w:val="00DC02CA"/>
    <w:rsid w:val="00DC1672"/>
    <w:rsid w:val="00DC1D6E"/>
    <w:rsid w:val="00DC24CF"/>
    <w:rsid w:val="00DC26E6"/>
    <w:rsid w:val="00DC28C2"/>
    <w:rsid w:val="00DC335D"/>
    <w:rsid w:val="00DC4AE4"/>
    <w:rsid w:val="00DC4B90"/>
    <w:rsid w:val="00DC4E94"/>
    <w:rsid w:val="00DC5404"/>
    <w:rsid w:val="00DC5EFD"/>
    <w:rsid w:val="00DC6D1D"/>
    <w:rsid w:val="00DC6D3A"/>
    <w:rsid w:val="00DC715E"/>
    <w:rsid w:val="00DC752A"/>
    <w:rsid w:val="00DC79E6"/>
    <w:rsid w:val="00DD05B3"/>
    <w:rsid w:val="00DD0F33"/>
    <w:rsid w:val="00DD1293"/>
    <w:rsid w:val="00DD1504"/>
    <w:rsid w:val="00DD153D"/>
    <w:rsid w:val="00DD1687"/>
    <w:rsid w:val="00DD1E32"/>
    <w:rsid w:val="00DD20E5"/>
    <w:rsid w:val="00DD2957"/>
    <w:rsid w:val="00DD2977"/>
    <w:rsid w:val="00DD2A90"/>
    <w:rsid w:val="00DD2C89"/>
    <w:rsid w:val="00DD31BB"/>
    <w:rsid w:val="00DD3BF5"/>
    <w:rsid w:val="00DD3D51"/>
    <w:rsid w:val="00DD3DEE"/>
    <w:rsid w:val="00DD4703"/>
    <w:rsid w:val="00DD4717"/>
    <w:rsid w:val="00DD4E0D"/>
    <w:rsid w:val="00DD4E9A"/>
    <w:rsid w:val="00DD5189"/>
    <w:rsid w:val="00DD5893"/>
    <w:rsid w:val="00DD62F4"/>
    <w:rsid w:val="00DD6362"/>
    <w:rsid w:val="00DD650D"/>
    <w:rsid w:val="00DD6988"/>
    <w:rsid w:val="00DD69C0"/>
    <w:rsid w:val="00DD6C6E"/>
    <w:rsid w:val="00DD744C"/>
    <w:rsid w:val="00DD7716"/>
    <w:rsid w:val="00DE0201"/>
    <w:rsid w:val="00DE11BD"/>
    <w:rsid w:val="00DE169E"/>
    <w:rsid w:val="00DE191D"/>
    <w:rsid w:val="00DE1F29"/>
    <w:rsid w:val="00DE2334"/>
    <w:rsid w:val="00DE2CEF"/>
    <w:rsid w:val="00DE37FA"/>
    <w:rsid w:val="00DE3B45"/>
    <w:rsid w:val="00DE4088"/>
    <w:rsid w:val="00DE415B"/>
    <w:rsid w:val="00DE42ED"/>
    <w:rsid w:val="00DE46D8"/>
    <w:rsid w:val="00DE4AE1"/>
    <w:rsid w:val="00DE4F63"/>
    <w:rsid w:val="00DE5947"/>
    <w:rsid w:val="00DE6646"/>
    <w:rsid w:val="00DF011C"/>
    <w:rsid w:val="00DF0CCF"/>
    <w:rsid w:val="00DF143F"/>
    <w:rsid w:val="00DF24AB"/>
    <w:rsid w:val="00DF2859"/>
    <w:rsid w:val="00DF2C33"/>
    <w:rsid w:val="00DF30FF"/>
    <w:rsid w:val="00DF430D"/>
    <w:rsid w:val="00DF4E53"/>
    <w:rsid w:val="00DF72D7"/>
    <w:rsid w:val="00DF7E8F"/>
    <w:rsid w:val="00E01128"/>
    <w:rsid w:val="00E018A9"/>
    <w:rsid w:val="00E01CE6"/>
    <w:rsid w:val="00E020E5"/>
    <w:rsid w:val="00E02376"/>
    <w:rsid w:val="00E026CD"/>
    <w:rsid w:val="00E02715"/>
    <w:rsid w:val="00E03E68"/>
    <w:rsid w:val="00E049DC"/>
    <w:rsid w:val="00E04AB9"/>
    <w:rsid w:val="00E04ADB"/>
    <w:rsid w:val="00E04B7D"/>
    <w:rsid w:val="00E052F9"/>
    <w:rsid w:val="00E057AF"/>
    <w:rsid w:val="00E05D7C"/>
    <w:rsid w:val="00E0618A"/>
    <w:rsid w:val="00E06B61"/>
    <w:rsid w:val="00E06BA0"/>
    <w:rsid w:val="00E06D2A"/>
    <w:rsid w:val="00E06F74"/>
    <w:rsid w:val="00E0769E"/>
    <w:rsid w:val="00E079B2"/>
    <w:rsid w:val="00E07CF3"/>
    <w:rsid w:val="00E07F10"/>
    <w:rsid w:val="00E1017C"/>
    <w:rsid w:val="00E10CF0"/>
    <w:rsid w:val="00E1131F"/>
    <w:rsid w:val="00E1163F"/>
    <w:rsid w:val="00E1217B"/>
    <w:rsid w:val="00E126B7"/>
    <w:rsid w:val="00E14391"/>
    <w:rsid w:val="00E149AD"/>
    <w:rsid w:val="00E15111"/>
    <w:rsid w:val="00E15E4A"/>
    <w:rsid w:val="00E165D0"/>
    <w:rsid w:val="00E16889"/>
    <w:rsid w:val="00E202CE"/>
    <w:rsid w:val="00E2093B"/>
    <w:rsid w:val="00E20985"/>
    <w:rsid w:val="00E2100F"/>
    <w:rsid w:val="00E2142E"/>
    <w:rsid w:val="00E21B95"/>
    <w:rsid w:val="00E22114"/>
    <w:rsid w:val="00E226CD"/>
    <w:rsid w:val="00E2480E"/>
    <w:rsid w:val="00E24CB5"/>
    <w:rsid w:val="00E24E2C"/>
    <w:rsid w:val="00E25AEB"/>
    <w:rsid w:val="00E25D41"/>
    <w:rsid w:val="00E260EF"/>
    <w:rsid w:val="00E2730D"/>
    <w:rsid w:val="00E274C6"/>
    <w:rsid w:val="00E27A01"/>
    <w:rsid w:val="00E27EC8"/>
    <w:rsid w:val="00E30A29"/>
    <w:rsid w:val="00E315C6"/>
    <w:rsid w:val="00E32143"/>
    <w:rsid w:val="00E3235B"/>
    <w:rsid w:val="00E32A13"/>
    <w:rsid w:val="00E32C18"/>
    <w:rsid w:val="00E3312A"/>
    <w:rsid w:val="00E332AB"/>
    <w:rsid w:val="00E33A86"/>
    <w:rsid w:val="00E33B06"/>
    <w:rsid w:val="00E33E71"/>
    <w:rsid w:val="00E34217"/>
    <w:rsid w:val="00E34510"/>
    <w:rsid w:val="00E345CB"/>
    <w:rsid w:val="00E34DE8"/>
    <w:rsid w:val="00E364DB"/>
    <w:rsid w:val="00E3652F"/>
    <w:rsid w:val="00E37F45"/>
    <w:rsid w:val="00E37F68"/>
    <w:rsid w:val="00E4012E"/>
    <w:rsid w:val="00E410DD"/>
    <w:rsid w:val="00E41338"/>
    <w:rsid w:val="00E418D1"/>
    <w:rsid w:val="00E41BD5"/>
    <w:rsid w:val="00E428D1"/>
    <w:rsid w:val="00E42935"/>
    <w:rsid w:val="00E43143"/>
    <w:rsid w:val="00E43576"/>
    <w:rsid w:val="00E43C22"/>
    <w:rsid w:val="00E452B4"/>
    <w:rsid w:val="00E45C78"/>
    <w:rsid w:val="00E465DA"/>
    <w:rsid w:val="00E466B5"/>
    <w:rsid w:val="00E4685A"/>
    <w:rsid w:val="00E46E90"/>
    <w:rsid w:val="00E47065"/>
    <w:rsid w:val="00E470BB"/>
    <w:rsid w:val="00E470EC"/>
    <w:rsid w:val="00E478F4"/>
    <w:rsid w:val="00E5024F"/>
    <w:rsid w:val="00E5083A"/>
    <w:rsid w:val="00E50FF0"/>
    <w:rsid w:val="00E51336"/>
    <w:rsid w:val="00E5171E"/>
    <w:rsid w:val="00E51E04"/>
    <w:rsid w:val="00E51FA3"/>
    <w:rsid w:val="00E52724"/>
    <w:rsid w:val="00E52AB9"/>
    <w:rsid w:val="00E52BF4"/>
    <w:rsid w:val="00E548F5"/>
    <w:rsid w:val="00E54C85"/>
    <w:rsid w:val="00E554F2"/>
    <w:rsid w:val="00E55A4B"/>
    <w:rsid w:val="00E55CB4"/>
    <w:rsid w:val="00E56705"/>
    <w:rsid w:val="00E5683F"/>
    <w:rsid w:val="00E56B4E"/>
    <w:rsid w:val="00E56BDB"/>
    <w:rsid w:val="00E570BB"/>
    <w:rsid w:val="00E57936"/>
    <w:rsid w:val="00E60074"/>
    <w:rsid w:val="00E60183"/>
    <w:rsid w:val="00E603B6"/>
    <w:rsid w:val="00E60D20"/>
    <w:rsid w:val="00E60D2E"/>
    <w:rsid w:val="00E60D2F"/>
    <w:rsid w:val="00E610F2"/>
    <w:rsid w:val="00E6161B"/>
    <w:rsid w:val="00E619BB"/>
    <w:rsid w:val="00E61C21"/>
    <w:rsid w:val="00E61E6E"/>
    <w:rsid w:val="00E61F94"/>
    <w:rsid w:val="00E62250"/>
    <w:rsid w:val="00E62BD9"/>
    <w:rsid w:val="00E63538"/>
    <w:rsid w:val="00E637C3"/>
    <w:rsid w:val="00E6390C"/>
    <w:rsid w:val="00E63DB7"/>
    <w:rsid w:val="00E63E5A"/>
    <w:rsid w:val="00E63F00"/>
    <w:rsid w:val="00E640A0"/>
    <w:rsid w:val="00E64468"/>
    <w:rsid w:val="00E6452A"/>
    <w:rsid w:val="00E64615"/>
    <w:rsid w:val="00E655F2"/>
    <w:rsid w:val="00E669EE"/>
    <w:rsid w:val="00E66BCB"/>
    <w:rsid w:val="00E66E58"/>
    <w:rsid w:val="00E6740B"/>
    <w:rsid w:val="00E67804"/>
    <w:rsid w:val="00E67B77"/>
    <w:rsid w:val="00E7008C"/>
    <w:rsid w:val="00E70217"/>
    <w:rsid w:val="00E70659"/>
    <w:rsid w:val="00E70BAF"/>
    <w:rsid w:val="00E70D6B"/>
    <w:rsid w:val="00E70FAB"/>
    <w:rsid w:val="00E717DB"/>
    <w:rsid w:val="00E71BF5"/>
    <w:rsid w:val="00E732D6"/>
    <w:rsid w:val="00E73316"/>
    <w:rsid w:val="00E74629"/>
    <w:rsid w:val="00E7505F"/>
    <w:rsid w:val="00E765FB"/>
    <w:rsid w:val="00E76A85"/>
    <w:rsid w:val="00E7769D"/>
    <w:rsid w:val="00E77FDF"/>
    <w:rsid w:val="00E8001D"/>
    <w:rsid w:val="00E80558"/>
    <w:rsid w:val="00E815D7"/>
    <w:rsid w:val="00E81D33"/>
    <w:rsid w:val="00E830EF"/>
    <w:rsid w:val="00E8441A"/>
    <w:rsid w:val="00E84A9F"/>
    <w:rsid w:val="00E85287"/>
    <w:rsid w:val="00E855AF"/>
    <w:rsid w:val="00E856A2"/>
    <w:rsid w:val="00E858DC"/>
    <w:rsid w:val="00E85C15"/>
    <w:rsid w:val="00E85F42"/>
    <w:rsid w:val="00E864E4"/>
    <w:rsid w:val="00E86747"/>
    <w:rsid w:val="00E86C32"/>
    <w:rsid w:val="00E87133"/>
    <w:rsid w:val="00E87A79"/>
    <w:rsid w:val="00E900D9"/>
    <w:rsid w:val="00E90448"/>
    <w:rsid w:val="00E90FCB"/>
    <w:rsid w:val="00E911C3"/>
    <w:rsid w:val="00E911EC"/>
    <w:rsid w:val="00E91B49"/>
    <w:rsid w:val="00E923B5"/>
    <w:rsid w:val="00E927A4"/>
    <w:rsid w:val="00E929EA"/>
    <w:rsid w:val="00E92F80"/>
    <w:rsid w:val="00E932D6"/>
    <w:rsid w:val="00E936AA"/>
    <w:rsid w:val="00E9390B"/>
    <w:rsid w:val="00E939BC"/>
    <w:rsid w:val="00E93B53"/>
    <w:rsid w:val="00E94089"/>
    <w:rsid w:val="00E941C6"/>
    <w:rsid w:val="00E94CB2"/>
    <w:rsid w:val="00E95B8C"/>
    <w:rsid w:val="00E95C6C"/>
    <w:rsid w:val="00E95FD1"/>
    <w:rsid w:val="00E96078"/>
    <w:rsid w:val="00E9658A"/>
    <w:rsid w:val="00E9673C"/>
    <w:rsid w:val="00E9684C"/>
    <w:rsid w:val="00E96908"/>
    <w:rsid w:val="00E97041"/>
    <w:rsid w:val="00EA0538"/>
    <w:rsid w:val="00EA0594"/>
    <w:rsid w:val="00EA060E"/>
    <w:rsid w:val="00EA0AF3"/>
    <w:rsid w:val="00EA0F63"/>
    <w:rsid w:val="00EA1701"/>
    <w:rsid w:val="00EA175F"/>
    <w:rsid w:val="00EA20E0"/>
    <w:rsid w:val="00EA23DF"/>
    <w:rsid w:val="00EA2959"/>
    <w:rsid w:val="00EA2D5D"/>
    <w:rsid w:val="00EA3C73"/>
    <w:rsid w:val="00EA3EA3"/>
    <w:rsid w:val="00EA47A2"/>
    <w:rsid w:val="00EA4B39"/>
    <w:rsid w:val="00EA4CB0"/>
    <w:rsid w:val="00EA4D69"/>
    <w:rsid w:val="00EA4EA3"/>
    <w:rsid w:val="00EA5713"/>
    <w:rsid w:val="00EA5C25"/>
    <w:rsid w:val="00EA615C"/>
    <w:rsid w:val="00EA6AF7"/>
    <w:rsid w:val="00EA6B67"/>
    <w:rsid w:val="00EA7BE8"/>
    <w:rsid w:val="00EB0688"/>
    <w:rsid w:val="00EB085F"/>
    <w:rsid w:val="00EB107E"/>
    <w:rsid w:val="00EB147A"/>
    <w:rsid w:val="00EB159A"/>
    <w:rsid w:val="00EB1991"/>
    <w:rsid w:val="00EB1C6E"/>
    <w:rsid w:val="00EB1E01"/>
    <w:rsid w:val="00EB33FB"/>
    <w:rsid w:val="00EB3642"/>
    <w:rsid w:val="00EB3C11"/>
    <w:rsid w:val="00EB42DF"/>
    <w:rsid w:val="00EB4E57"/>
    <w:rsid w:val="00EB5742"/>
    <w:rsid w:val="00EB5E23"/>
    <w:rsid w:val="00EB616D"/>
    <w:rsid w:val="00EB63B4"/>
    <w:rsid w:val="00EB6546"/>
    <w:rsid w:val="00EB6E76"/>
    <w:rsid w:val="00EB73ED"/>
    <w:rsid w:val="00EB7882"/>
    <w:rsid w:val="00EB7929"/>
    <w:rsid w:val="00EC019D"/>
    <w:rsid w:val="00EC06B5"/>
    <w:rsid w:val="00EC105D"/>
    <w:rsid w:val="00EC1227"/>
    <w:rsid w:val="00EC190C"/>
    <w:rsid w:val="00EC24E0"/>
    <w:rsid w:val="00EC2C8F"/>
    <w:rsid w:val="00EC32D3"/>
    <w:rsid w:val="00EC4250"/>
    <w:rsid w:val="00EC4758"/>
    <w:rsid w:val="00EC4A2F"/>
    <w:rsid w:val="00EC4E1F"/>
    <w:rsid w:val="00EC54DF"/>
    <w:rsid w:val="00EC55ED"/>
    <w:rsid w:val="00EC59AB"/>
    <w:rsid w:val="00EC6408"/>
    <w:rsid w:val="00EC68FF"/>
    <w:rsid w:val="00EC7059"/>
    <w:rsid w:val="00EC7537"/>
    <w:rsid w:val="00EC7C15"/>
    <w:rsid w:val="00ED07DB"/>
    <w:rsid w:val="00ED0CF5"/>
    <w:rsid w:val="00ED0D08"/>
    <w:rsid w:val="00ED1B12"/>
    <w:rsid w:val="00ED2C02"/>
    <w:rsid w:val="00ED2CE6"/>
    <w:rsid w:val="00ED2D07"/>
    <w:rsid w:val="00ED338B"/>
    <w:rsid w:val="00ED45DA"/>
    <w:rsid w:val="00ED488B"/>
    <w:rsid w:val="00ED4B92"/>
    <w:rsid w:val="00ED4BA5"/>
    <w:rsid w:val="00ED4C47"/>
    <w:rsid w:val="00ED4C75"/>
    <w:rsid w:val="00ED4EA4"/>
    <w:rsid w:val="00ED510A"/>
    <w:rsid w:val="00ED57CD"/>
    <w:rsid w:val="00ED6091"/>
    <w:rsid w:val="00ED6C83"/>
    <w:rsid w:val="00ED7525"/>
    <w:rsid w:val="00ED778A"/>
    <w:rsid w:val="00EE0223"/>
    <w:rsid w:val="00EE14CC"/>
    <w:rsid w:val="00EE165A"/>
    <w:rsid w:val="00EE16CD"/>
    <w:rsid w:val="00EE16D6"/>
    <w:rsid w:val="00EE1AF1"/>
    <w:rsid w:val="00EE2731"/>
    <w:rsid w:val="00EE2C9A"/>
    <w:rsid w:val="00EE3469"/>
    <w:rsid w:val="00EE3542"/>
    <w:rsid w:val="00EE374D"/>
    <w:rsid w:val="00EE3F4F"/>
    <w:rsid w:val="00EE4C9D"/>
    <w:rsid w:val="00EE512C"/>
    <w:rsid w:val="00EE5D50"/>
    <w:rsid w:val="00EE6F48"/>
    <w:rsid w:val="00EE7C21"/>
    <w:rsid w:val="00EE7E81"/>
    <w:rsid w:val="00EF105C"/>
    <w:rsid w:val="00EF16B8"/>
    <w:rsid w:val="00EF1C9B"/>
    <w:rsid w:val="00EF261F"/>
    <w:rsid w:val="00EF28B9"/>
    <w:rsid w:val="00EF3784"/>
    <w:rsid w:val="00EF40F6"/>
    <w:rsid w:val="00EF471E"/>
    <w:rsid w:val="00EF4EC0"/>
    <w:rsid w:val="00EF54DD"/>
    <w:rsid w:val="00EF67D5"/>
    <w:rsid w:val="00EF6D3E"/>
    <w:rsid w:val="00EF6E51"/>
    <w:rsid w:val="00EF70FC"/>
    <w:rsid w:val="00EF73D4"/>
    <w:rsid w:val="00EF7693"/>
    <w:rsid w:val="00EF794F"/>
    <w:rsid w:val="00EF7E88"/>
    <w:rsid w:val="00F00706"/>
    <w:rsid w:val="00F00C83"/>
    <w:rsid w:val="00F01817"/>
    <w:rsid w:val="00F01D56"/>
    <w:rsid w:val="00F02028"/>
    <w:rsid w:val="00F03B8B"/>
    <w:rsid w:val="00F03CBD"/>
    <w:rsid w:val="00F03D8F"/>
    <w:rsid w:val="00F04803"/>
    <w:rsid w:val="00F04E4F"/>
    <w:rsid w:val="00F051A0"/>
    <w:rsid w:val="00F055B0"/>
    <w:rsid w:val="00F058CE"/>
    <w:rsid w:val="00F05925"/>
    <w:rsid w:val="00F05A10"/>
    <w:rsid w:val="00F05E8F"/>
    <w:rsid w:val="00F068F7"/>
    <w:rsid w:val="00F06927"/>
    <w:rsid w:val="00F06EEC"/>
    <w:rsid w:val="00F0738A"/>
    <w:rsid w:val="00F07395"/>
    <w:rsid w:val="00F07A7D"/>
    <w:rsid w:val="00F10080"/>
    <w:rsid w:val="00F1021A"/>
    <w:rsid w:val="00F10C59"/>
    <w:rsid w:val="00F11AF9"/>
    <w:rsid w:val="00F11E81"/>
    <w:rsid w:val="00F1201D"/>
    <w:rsid w:val="00F12241"/>
    <w:rsid w:val="00F122C4"/>
    <w:rsid w:val="00F13A7D"/>
    <w:rsid w:val="00F13B59"/>
    <w:rsid w:val="00F13B79"/>
    <w:rsid w:val="00F140AC"/>
    <w:rsid w:val="00F1422C"/>
    <w:rsid w:val="00F1440F"/>
    <w:rsid w:val="00F148B4"/>
    <w:rsid w:val="00F156A9"/>
    <w:rsid w:val="00F165A8"/>
    <w:rsid w:val="00F16ABC"/>
    <w:rsid w:val="00F17EAF"/>
    <w:rsid w:val="00F20098"/>
    <w:rsid w:val="00F20B46"/>
    <w:rsid w:val="00F20C65"/>
    <w:rsid w:val="00F21770"/>
    <w:rsid w:val="00F21B4E"/>
    <w:rsid w:val="00F21C96"/>
    <w:rsid w:val="00F22391"/>
    <w:rsid w:val="00F22725"/>
    <w:rsid w:val="00F23EA4"/>
    <w:rsid w:val="00F24421"/>
    <w:rsid w:val="00F2493E"/>
    <w:rsid w:val="00F24B90"/>
    <w:rsid w:val="00F24E6D"/>
    <w:rsid w:val="00F260CA"/>
    <w:rsid w:val="00F2667F"/>
    <w:rsid w:val="00F26AAD"/>
    <w:rsid w:val="00F26BB0"/>
    <w:rsid w:val="00F26C60"/>
    <w:rsid w:val="00F26E15"/>
    <w:rsid w:val="00F26FAA"/>
    <w:rsid w:val="00F2730E"/>
    <w:rsid w:val="00F27357"/>
    <w:rsid w:val="00F274E8"/>
    <w:rsid w:val="00F27724"/>
    <w:rsid w:val="00F27E7A"/>
    <w:rsid w:val="00F30397"/>
    <w:rsid w:val="00F30CEB"/>
    <w:rsid w:val="00F313F3"/>
    <w:rsid w:val="00F319CE"/>
    <w:rsid w:val="00F32882"/>
    <w:rsid w:val="00F32D3F"/>
    <w:rsid w:val="00F33502"/>
    <w:rsid w:val="00F339A8"/>
    <w:rsid w:val="00F33F80"/>
    <w:rsid w:val="00F3419E"/>
    <w:rsid w:val="00F34D92"/>
    <w:rsid w:val="00F35051"/>
    <w:rsid w:val="00F352F2"/>
    <w:rsid w:val="00F3534D"/>
    <w:rsid w:val="00F356DD"/>
    <w:rsid w:val="00F36A3F"/>
    <w:rsid w:val="00F37112"/>
    <w:rsid w:val="00F377E6"/>
    <w:rsid w:val="00F40218"/>
    <w:rsid w:val="00F402D1"/>
    <w:rsid w:val="00F404E1"/>
    <w:rsid w:val="00F40AD0"/>
    <w:rsid w:val="00F40D34"/>
    <w:rsid w:val="00F40F73"/>
    <w:rsid w:val="00F414E0"/>
    <w:rsid w:val="00F41CC5"/>
    <w:rsid w:val="00F41D2E"/>
    <w:rsid w:val="00F41F48"/>
    <w:rsid w:val="00F4257A"/>
    <w:rsid w:val="00F425D0"/>
    <w:rsid w:val="00F4291F"/>
    <w:rsid w:val="00F42D5E"/>
    <w:rsid w:val="00F43A05"/>
    <w:rsid w:val="00F445F9"/>
    <w:rsid w:val="00F44A73"/>
    <w:rsid w:val="00F4614B"/>
    <w:rsid w:val="00F467BA"/>
    <w:rsid w:val="00F47181"/>
    <w:rsid w:val="00F476E1"/>
    <w:rsid w:val="00F47CC2"/>
    <w:rsid w:val="00F50643"/>
    <w:rsid w:val="00F511D4"/>
    <w:rsid w:val="00F51CD9"/>
    <w:rsid w:val="00F52069"/>
    <w:rsid w:val="00F53129"/>
    <w:rsid w:val="00F53840"/>
    <w:rsid w:val="00F538B5"/>
    <w:rsid w:val="00F53976"/>
    <w:rsid w:val="00F5403F"/>
    <w:rsid w:val="00F54209"/>
    <w:rsid w:val="00F543BD"/>
    <w:rsid w:val="00F54B11"/>
    <w:rsid w:val="00F551A4"/>
    <w:rsid w:val="00F55519"/>
    <w:rsid w:val="00F574A9"/>
    <w:rsid w:val="00F57DCF"/>
    <w:rsid w:val="00F6086A"/>
    <w:rsid w:val="00F623C3"/>
    <w:rsid w:val="00F627F4"/>
    <w:rsid w:val="00F62AB4"/>
    <w:rsid w:val="00F62B35"/>
    <w:rsid w:val="00F63673"/>
    <w:rsid w:val="00F64840"/>
    <w:rsid w:val="00F64E08"/>
    <w:rsid w:val="00F65053"/>
    <w:rsid w:val="00F659A9"/>
    <w:rsid w:val="00F66526"/>
    <w:rsid w:val="00F66D85"/>
    <w:rsid w:val="00F67B26"/>
    <w:rsid w:val="00F67BFC"/>
    <w:rsid w:val="00F67D4D"/>
    <w:rsid w:val="00F70A9D"/>
    <w:rsid w:val="00F70C94"/>
    <w:rsid w:val="00F718E8"/>
    <w:rsid w:val="00F72023"/>
    <w:rsid w:val="00F72D8B"/>
    <w:rsid w:val="00F7334F"/>
    <w:rsid w:val="00F73787"/>
    <w:rsid w:val="00F73D94"/>
    <w:rsid w:val="00F73F58"/>
    <w:rsid w:val="00F74284"/>
    <w:rsid w:val="00F74304"/>
    <w:rsid w:val="00F74E42"/>
    <w:rsid w:val="00F752F3"/>
    <w:rsid w:val="00F75451"/>
    <w:rsid w:val="00F7552C"/>
    <w:rsid w:val="00F75C1F"/>
    <w:rsid w:val="00F760D4"/>
    <w:rsid w:val="00F763EB"/>
    <w:rsid w:val="00F766CA"/>
    <w:rsid w:val="00F76C0F"/>
    <w:rsid w:val="00F804BA"/>
    <w:rsid w:val="00F80E4B"/>
    <w:rsid w:val="00F81DF1"/>
    <w:rsid w:val="00F8270F"/>
    <w:rsid w:val="00F82B06"/>
    <w:rsid w:val="00F82CC0"/>
    <w:rsid w:val="00F83409"/>
    <w:rsid w:val="00F84316"/>
    <w:rsid w:val="00F84A4B"/>
    <w:rsid w:val="00F86237"/>
    <w:rsid w:val="00F86887"/>
    <w:rsid w:val="00F869DD"/>
    <w:rsid w:val="00F86B4B"/>
    <w:rsid w:val="00F86C4B"/>
    <w:rsid w:val="00F8761E"/>
    <w:rsid w:val="00F87F76"/>
    <w:rsid w:val="00F9037A"/>
    <w:rsid w:val="00F90CBE"/>
    <w:rsid w:val="00F91FD2"/>
    <w:rsid w:val="00F922E0"/>
    <w:rsid w:val="00F93134"/>
    <w:rsid w:val="00F9332D"/>
    <w:rsid w:val="00F9349E"/>
    <w:rsid w:val="00F935F8"/>
    <w:rsid w:val="00F9446E"/>
    <w:rsid w:val="00F94742"/>
    <w:rsid w:val="00F947BF"/>
    <w:rsid w:val="00F9497A"/>
    <w:rsid w:val="00F956EE"/>
    <w:rsid w:val="00F95938"/>
    <w:rsid w:val="00F9664C"/>
    <w:rsid w:val="00F9691A"/>
    <w:rsid w:val="00F972A0"/>
    <w:rsid w:val="00F972B9"/>
    <w:rsid w:val="00F97C0E"/>
    <w:rsid w:val="00F97F57"/>
    <w:rsid w:val="00FA0791"/>
    <w:rsid w:val="00FA084E"/>
    <w:rsid w:val="00FA0CCB"/>
    <w:rsid w:val="00FA0CCD"/>
    <w:rsid w:val="00FA0E40"/>
    <w:rsid w:val="00FA1548"/>
    <w:rsid w:val="00FA1ECB"/>
    <w:rsid w:val="00FA2377"/>
    <w:rsid w:val="00FA324A"/>
    <w:rsid w:val="00FA329E"/>
    <w:rsid w:val="00FA3606"/>
    <w:rsid w:val="00FA3D28"/>
    <w:rsid w:val="00FA3E66"/>
    <w:rsid w:val="00FA41AF"/>
    <w:rsid w:val="00FA58C0"/>
    <w:rsid w:val="00FA5EEB"/>
    <w:rsid w:val="00FA6752"/>
    <w:rsid w:val="00FA680B"/>
    <w:rsid w:val="00FA708B"/>
    <w:rsid w:val="00FA708C"/>
    <w:rsid w:val="00FA72A5"/>
    <w:rsid w:val="00FA774D"/>
    <w:rsid w:val="00FA7807"/>
    <w:rsid w:val="00FB0957"/>
    <w:rsid w:val="00FB1230"/>
    <w:rsid w:val="00FB129E"/>
    <w:rsid w:val="00FB16B2"/>
    <w:rsid w:val="00FB1721"/>
    <w:rsid w:val="00FB1987"/>
    <w:rsid w:val="00FB1CB8"/>
    <w:rsid w:val="00FB2773"/>
    <w:rsid w:val="00FB2CDD"/>
    <w:rsid w:val="00FB2D81"/>
    <w:rsid w:val="00FB3A36"/>
    <w:rsid w:val="00FB3CF9"/>
    <w:rsid w:val="00FB42EE"/>
    <w:rsid w:val="00FB46A0"/>
    <w:rsid w:val="00FB46EA"/>
    <w:rsid w:val="00FB4A96"/>
    <w:rsid w:val="00FB52F4"/>
    <w:rsid w:val="00FB5BA1"/>
    <w:rsid w:val="00FB60EB"/>
    <w:rsid w:val="00FB6BD9"/>
    <w:rsid w:val="00FB7544"/>
    <w:rsid w:val="00FB7ABB"/>
    <w:rsid w:val="00FB7B43"/>
    <w:rsid w:val="00FC0246"/>
    <w:rsid w:val="00FC16C5"/>
    <w:rsid w:val="00FC1FD6"/>
    <w:rsid w:val="00FC240C"/>
    <w:rsid w:val="00FC24CD"/>
    <w:rsid w:val="00FC26DE"/>
    <w:rsid w:val="00FC394A"/>
    <w:rsid w:val="00FC402B"/>
    <w:rsid w:val="00FC41F3"/>
    <w:rsid w:val="00FC48F5"/>
    <w:rsid w:val="00FC5454"/>
    <w:rsid w:val="00FC5B6B"/>
    <w:rsid w:val="00FC6651"/>
    <w:rsid w:val="00FC6E88"/>
    <w:rsid w:val="00FC7DC7"/>
    <w:rsid w:val="00FD10A1"/>
    <w:rsid w:val="00FD1C51"/>
    <w:rsid w:val="00FD1E6A"/>
    <w:rsid w:val="00FD24BD"/>
    <w:rsid w:val="00FD2DC5"/>
    <w:rsid w:val="00FD3672"/>
    <w:rsid w:val="00FD3B14"/>
    <w:rsid w:val="00FD40B3"/>
    <w:rsid w:val="00FD49DE"/>
    <w:rsid w:val="00FD54C2"/>
    <w:rsid w:val="00FD56EE"/>
    <w:rsid w:val="00FD668E"/>
    <w:rsid w:val="00FD7879"/>
    <w:rsid w:val="00FE1149"/>
    <w:rsid w:val="00FE1A30"/>
    <w:rsid w:val="00FE297E"/>
    <w:rsid w:val="00FE2B55"/>
    <w:rsid w:val="00FE2C8B"/>
    <w:rsid w:val="00FE2E60"/>
    <w:rsid w:val="00FE3047"/>
    <w:rsid w:val="00FE3A60"/>
    <w:rsid w:val="00FE3BA9"/>
    <w:rsid w:val="00FE4B95"/>
    <w:rsid w:val="00FE53BF"/>
    <w:rsid w:val="00FE73D7"/>
    <w:rsid w:val="00FE76C4"/>
    <w:rsid w:val="00FF0B29"/>
    <w:rsid w:val="00FF133F"/>
    <w:rsid w:val="00FF14DE"/>
    <w:rsid w:val="00FF1C4B"/>
    <w:rsid w:val="00FF1D18"/>
    <w:rsid w:val="00FF1E2D"/>
    <w:rsid w:val="00FF209E"/>
    <w:rsid w:val="00FF229A"/>
    <w:rsid w:val="00FF2693"/>
    <w:rsid w:val="00FF2E22"/>
    <w:rsid w:val="00FF5975"/>
    <w:rsid w:val="00FF5C32"/>
    <w:rsid w:val="00FF6542"/>
    <w:rsid w:val="00FF65F9"/>
    <w:rsid w:val="00FF74BC"/>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A0BF74"/>
  <w15:docId w15:val="{08D34423-1947-4104-BDE8-1498C451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80"/>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14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69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1C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uiPriority w:val="99"/>
    <w:rsid w:val="00E51E04"/>
    <w:rPr>
      <w:color w:val="0000FF"/>
      <w:u w:val="single"/>
    </w:rPr>
  </w:style>
  <w:style w:type="character" w:styleId="Emphasis">
    <w:name w:val="Emphasis"/>
    <w:basedOn w:val="DefaultParagraphFont"/>
    <w:uiPriority w:val="20"/>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FOOTNOTE"/>
    <w:basedOn w:val="Normal"/>
    <w:link w:val="FootnoteTextChar"/>
    <w:uiPriority w:val="99"/>
    <w:unhideWhenUsed/>
    <w:qFormat/>
    <w:rsid w:val="00CF716F"/>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CF716F"/>
    <w:rPr>
      <w:rFonts w:ascii="Times New Roman" w:eastAsia="Times New Roman" w:hAnsi="Times New Roman" w:cs="Times New Roman"/>
      <w:sz w:val="20"/>
      <w:szCs w:val="20"/>
    </w:rPr>
  </w:style>
  <w:style w:type="character" w:styleId="FootnoteReference">
    <w:name w:val="footnote reference"/>
    <w:aliases w:val="footnote text,o,fr"/>
    <w:basedOn w:val="DefaultParagraphFont"/>
    <w:uiPriority w:val="99"/>
    <w:unhideWhenUsed/>
    <w:rsid w:val="00CF716F"/>
    <w:rPr>
      <w:vertAlign w:val="superscript"/>
    </w:rPr>
  </w:style>
  <w:style w:type="paragraph" w:customStyle="1" w:styleId="ParaTab1">
    <w:name w:val="ParaTab 1"/>
    <w:rsid w:val="0029557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74B9A"/>
    <w:rPr>
      <w:sz w:val="16"/>
      <w:szCs w:val="16"/>
    </w:rPr>
  </w:style>
  <w:style w:type="paragraph" w:styleId="CommentText">
    <w:name w:val="annotation text"/>
    <w:basedOn w:val="Normal"/>
    <w:link w:val="CommentTextChar"/>
    <w:uiPriority w:val="99"/>
    <w:unhideWhenUsed/>
    <w:rsid w:val="00674B9A"/>
  </w:style>
  <w:style w:type="character" w:customStyle="1" w:styleId="CommentTextChar">
    <w:name w:val="Comment Text Char"/>
    <w:basedOn w:val="DefaultParagraphFont"/>
    <w:link w:val="CommentText"/>
    <w:uiPriority w:val="99"/>
    <w:rsid w:val="00674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B9A"/>
    <w:rPr>
      <w:b/>
      <w:bCs/>
    </w:rPr>
  </w:style>
  <w:style w:type="character" w:customStyle="1" w:styleId="CommentSubjectChar">
    <w:name w:val="Comment Subject Char"/>
    <w:basedOn w:val="CommentTextChar"/>
    <w:link w:val="CommentSubject"/>
    <w:uiPriority w:val="99"/>
    <w:semiHidden/>
    <w:rsid w:val="00674B9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414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69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71C9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B6E92"/>
    <w:pPr>
      <w:spacing w:after="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424C42"/>
    <w:pPr>
      <w:widowControl/>
      <w:spacing w:line="259" w:lineRule="auto"/>
      <w:outlineLvl w:val="9"/>
    </w:pPr>
  </w:style>
  <w:style w:type="paragraph" w:styleId="TOC1">
    <w:name w:val="toc 1"/>
    <w:basedOn w:val="Normal"/>
    <w:next w:val="Normal"/>
    <w:autoRedefine/>
    <w:uiPriority w:val="39"/>
    <w:unhideWhenUsed/>
    <w:rsid w:val="008A7F15"/>
    <w:pPr>
      <w:tabs>
        <w:tab w:val="left" w:pos="720"/>
        <w:tab w:val="right" w:leader="dot" w:pos="9350"/>
      </w:tabs>
      <w:spacing w:after="100"/>
      <w:contextualSpacing/>
    </w:pPr>
  </w:style>
  <w:style w:type="paragraph" w:styleId="TOC2">
    <w:name w:val="toc 2"/>
    <w:basedOn w:val="Normal"/>
    <w:next w:val="Normal"/>
    <w:autoRedefine/>
    <w:uiPriority w:val="39"/>
    <w:unhideWhenUsed/>
    <w:rsid w:val="008A7F15"/>
    <w:pPr>
      <w:tabs>
        <w:tab w:val="left" w:pos="1440"/>
        <w:tab w:val="right" w:leader="dot" w:pos="9350"/>
      </w:tabs>
      <w:spacing w:after="100"/>
      <w:ind w:left="1440" w:hanging="720"/>
      <w:contextualSpacing/>
    </w:pPr>
  </w:style>
  <w:style w:type="paragraph" w:styleId="TOC3">
    <w:name w:val="toc 3"/>
    <w:basedOn w:val="Normal"/>
    <w:next w:val="Normal"/>
    <w:autoRedefine/>
    <w:uiPriority w:val="39"/>
    <w:unhideWhenUsed/>
    <w:rsid w:val="00355643"/>
    <w:pPr>
      <w:widowControl/>
      <w:tabs>
        <w:tab w:val="left" w:pos="2160"/>
        <w:tab w:val="right" w:leader="dot" w:pos="9350"/>
      </w:tabs>
      <w:spacing w:after="100"/>
      <w:ind w:left="2160" w:hanging="720"/>
      <w:contextualSpacing/>
    </w:pPr>
  </w:style>
  <w:style w:type="character" w:styleId="UnresolvedMention">
    <w:name w:val="Unresolved Mention"/>
    <w:basedOn w:val="DefaultParagraphFont"/>
    <w:uiPriority w:val="99"/>
    <w:semiHidden/>
    <w:unhideWhenUsed/>
    <w:rsid w:val="0077224F"/>
    <w:rPr>
      <w:color w:val="605E5C"/>
      <w:shd w:val="clear" w:color="auto" w:fill="E1DFDD"/>
    </w:rPr>
  </w:style>
  <w:style w:type="paragraph" w:styleId="TOC4">
    <w:name w:val="toc 4"/>
    <w:basedOn w:val="Normal"/>
    <w:next w:val="Normal"/>
    <w:autoRedefine/>
    <w:uiPriority w:val="39"/>
    <w:unhideWhenUsed/>
    <w:rsid w:val="005A0FD9"/>
    <w:pPr>
      <w:tabs>
        <w:tab w:val="right" w:leader="dot" w:pos="9350"/>
      </w:tabs>
      <w:spacing w:after="100"/>
      <w:ind w:left="28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4089">
      <w:bodyDiv w:val="1"/>
      <w:marLeft w:val="0"/>
      <w:marRight w:val="0"/>
      <w:marTop w:val="0"/>
      <w:marBottom w:val="0"/>
      <w:divBdr>
        <w:top w:val="none" w:sz="0" w:space="0" w:color="auto"/>
        <w:left w:val="none" w:sz="0" w:space="0" w:color="auto"/>
        <w:bottom w:val="none" w:sz="0" w:space="0" w:color="auto"/>
        <w:right w:val="none" w:sz="0" w:space="0" w:color="auto"/>
      </w:divBdr>
    </w:div>
    <w:div w:id="361714526">
      <w:bodyDiv w:val="1"/>
      <w:marLeft w:val="0"/>
      <w:marRight w:val="0"/>
      <w:marTop w:val="0"/>
      <w:marBottom w:val="0"/>
      <w:divBdr>
        <w:top w:val="none" w:sz="0" w:space="0" w:color="auto"/>
        <w:left w:val="none" w:sz="0" w:space="0" w:color="auto"/>
        <w:bottom w:val="none" w:sz="0" w:space="0" w:color="auto"/>
        <w:right w:val="none" w:sz="0" w:space="0" w:color="auto"/>
      </w:divBdr>
    </w:div>
    <w:div w:id="396365024">
      <w:bodyDiv w:val="1"/>
      <w:marLeft w:val="0"/>
      <w:marRight w:val="0"/>
      <w:marTop w:val="0"/>
      <w:marBottom w:val="0"/>
      <w:divBdr>
        <w:top w:val="none" w:sz="0" w:space="0" w:color="auto"/>
        <w:left w:val="none" w:sz="0" w:space="0" w:color="auto"/>
        <w:bottom w:val="none" w:sz="0" w:space="0" w:color="auto"/>
        <w:right w:val="none" w:sz="0" w:space="0" w:color="auto"/>
      </w:divBdr>
    </w:div>
    <w:div w:id="557976051">
      <w:bodyDiv w:val="1"/>
      <w:marLeft w:val="0"/>
      <w:marRight w:val="0"/>
      <w:marTop w:val="0"/>
      <w:marBottom w:val="0"/>
      <w:divBdr>
        <w:top w:val="none" w:sz="0" w:space="0" w:color="auto"/>
        <w:left w:val="none" w:sz="0" w:space="0" w:color="auto"/>
        <w:bottom w:val="none" w:sz="0" w:space="0" w:color="auto"/>
        <w:right w:val="none" w:sz="0" w:space="0" w:color="auto"/>
      </w:divBdr>
    </w:div>
    <w:div w:id="591398296">
      <w:bodyDiv w:val="1"/>
      <w:marLeft w:val="0"/>
      <w:marRight w:val="0"/>
      <w:marTop w:val="0"/>
      <w:marBottom w:val="0"/>
      <w:divBdr>
        <w:top w:val="none" w:sz="0" w:space="0" w:color="auto"/>
        <w:left w:val="none" w:sz="0" w:space="0" w:color="auto"/>
        <w:bottom w:val="none" w:sz="0" w:space="0" w:color="auto"/>
        <w:right w:val="none" w:sz="0" w:space="0" w:color="auto"/>
      </w:divBdr>
    </w:div>
    <w:div w:id="614948653">
      <w:bodyDiv w:val="1"/>
      <w:marLeft w:val="0"/>
      <w:marRight w:val="0"/>
      <w:marTop w:val="0"/>
      <w:marBottom w:val="0"/>
      <w:divBdr>
        <w:top w:val="none" w:sz="0" w:space="0" w:color="auto"/>
        <w:left w:val="none" w:sz="0" w:space="0" w:color="auto"/>
        <w:bottom w:val="none" w:sz="0" w:space="0" w:color="auto"/>
        <w:right w:val="none" w:sz="0" w:space="0" w:color="auto"/>
      </w:divBdr>
    </w:div>
    <w:div w:id="742874425">
      <w:bodyDiv w:val="1"/>
      <w:marLeft w:val="0"/>
      <w:marRight w:val="0"/>
      <w:marTop w:val="0"/>
      <w:marBottom w:val="0"/>
      <w:divBdr>
        <w:top w:val="none" w:sz="0" w:space="0" w:color="auto"/>
        <w:left w:val="none" w:sz="0" w:space="0" w:color="auto"/>
        <w:bottom w:val="none" w:sz="0" w:space="0" w:color="auto"/>
        <w:right w:val="none" w:sz="0" w:space="0" w:color="auto"/>
      </w:divBdr>
    </w:div>
    <w:div w:id="791479833">
      <w:bodyDiv w:val="1"/>
      <w:marLeft w:val="0"/>
      <w:marRight w:val="0"/>
      <w:marTop w:val="0"/>
      <w:marBottom w:val="0"/>
      <w:divBdr>
        <w:top w:val="none" w:sz="0" w:space="0" w:color="auto"/>
        <w:left w:val="none" w:sz="0" w:space="0" w:color="auto"/>
        <w:bottom w:val="none" w:sz="0" w:space="0" w:color="auto"/>
        <w:right w:val="none" w:sz="0" w:space="0" w:color="auto"/>
      </w:divBdr>
    </w:div>
    <w:div w:id="912668039">
      <w:bodyDiv w:val="1"/>
      <w:marLeft w:val="0"/>
      <w:marRight w:val="0"/>
      <w:marTop w:val="0"/>
      <w:marBottom w:val="0"/>
      <w:divBdr>
        <w:top w:val="none" w:sz="0" w:space="0" w:color="auto"/>
        <w:left w:val="none" w:sz="0" w:space="0" w:color="auto"/>
        <w:bottom w:val="none" w:sz="0" w:space="0" w:color="auto"/>
        <w:right w:val="none" w:sz="0" w:space="0" w:color="auto"/>
      </w:divBdr>
    </w:div>
    <w:div w:id="936906214">
      <w:bodyDiv w:val="1"/>
      <w:marLeft w:val="0"/>
      <w:marRight w:val="0"/>
      <w:marTop w:val="0"/>
      <w:marBottom w:val="0"/>
      <w:divBdr>
        <w:top w:val="none" w:sz="0" w:space="0" w:color="auto"/>
        <w:left w:val="none" w:sz="0" w:space="0" w:color="auto"/>
        <w:bottom w:val="none" w:sz="0" w:space="0" w:color="auto"/>
        <w:right w:val="none" w:sz="0" w:space="0" w:color="auto"/>
      </w:divBdr>
      <w:divsChild>
        <w:div w:id="203542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07315">
      <w:bodyDiv w:val="1"/>
      <w:marLeft w:val="0"/>
      <w:marRight w:val="0"/>
      <w:marTop w:val="0"/>
      <w:marBottom w:val="0"/>
      <w:divBdr>
        <w:top w:val="none" w:sz="0" w:space="0" w:color="auto"/>
        <w:left w:val="none" w:sz="0" w:space="0" w:color="auto"/>
        <w:bottom w:val="none" w:sz="0" w:space="0" w:color="auto"/>
        <w:right w:val="none" w:sz="0" w:space="0" w:color="auto"/>
      </w:divBdr>
    </w:div>
    <w:div w:id="996616497">
      <w:bodyDiv w:val="1"/>
      <w:marLeft w:val="0"/>
      <w:marRight w:val="0"/>
      <w:marTop w:val="0"/>
      <w:marBottom w:val="0"/>
      <w:divBdr>
        <w:top w:val="none" w:sz="0" w:space="0" w:color="auto"/>
        <w:left w:val="none" w:sz="0" w:space="0" w:color="auto"/>
        <w:bottom w:val="none" w:sz="0" w:space="0" w:color="auto"/>
        <w:right w:val="none" w:sz="0" w:space="0" w:color="auto"/>
      </w:divBdr>
    </w:div>
    <w:div w:id="1045376112">
      <w:bodyDiv w:val="1"/>
      <w:marLeft w:val="0"/>
      <w:marRight w:val="0"/>
      <w:marTop w:val="0"/>
      <w:marBottom w:val="0"/>
      <w:divBdr>
        <w:top w:val="none" w:sz="0" w:space="0" w:color="auto"/>
        <w:left w:val="none" w:sz="0" w:space="0" w:color="auto"/>
        <w:bottom w:val="none" w:sz="0" w:space="0" w:color="auto"/>
        <w:right w:val="none" w:sz="0" w:space="0" w:color="auto"/>
      </w:divBdr>
    </w:div>
    <w:div w:id="1107582193">
      <w:bodyDiv w:val="1"/>
      <w:marLeft w:val="0"/>
      <w:marRight w:val="0"/>
      <w:marTop w:val="0"/>
      <w:marBottom w:val="0"/>
      <w:divBdr>
        <w:top w:val="none" w:sz="0" w:space="0" w:color="auto"/>
        <w:left w:val="none" w:sz="0" w:space="0" w:color="auto"/>
        <w:bottom w:val="none" w:sz="0" w:space="0" w:color="auto"/>
        <w:right w:val="none" w:sz="0" w:space="0" w:color="auto"/>
      </w:divBdr>
    </w:div>
    <w:div w:id="1144353039">
      <w:bodyDiv w:val="1"/>
      <w:marLeft w:val="0"/>
      <w:marRight w:val="0"/>
      <w:marTop w:val="0"/>
      <w:marBottom w:val="0"/>
      <w:divBdr>
        <w:top w:val="none" w:sz="0" w:space="0" w:color="auto"/>
        <w:left w:val="none" w:sz="0" w:space="0" w:color="auto"/>
        <w:bottom w:val="none" w:sz="0" w:space="0" w:color="auto"/>
        <w:right w:val="none" w:sz="0" w:space="0" w:color="auto"/>
      </w:divBdr>
    </w:div>
    <w:div w:id="1170213271">
      <w:bodyDiv w:val="1"/>
      <w:marLeft w:val="0"/>
      <w:marRight w:val="0"/>
      <w:marTop w:val="0"/>
      <w:marBottom w:val="0"/>
      <w:divBdr>
        <w:top w:val="none" w:sz="0" w:space="0" w:color="auto"/>
        <w:left w:val="none" w:sz="0" w:space="0" w:color="auto"/>
        <w:bottom w:val="none" w:sz="0" w:space="0" w:color="auto"/>
        <w:right w:val="none" w:sz="0" w:space="0" w:color="auto"/>
      </w:divBdr>
    </w:div>
    <w:div w:id="1193883583">
      <w:bodyDiv w:val="1"/>
      <w:marLeft w:val="0"/>
      <w:marRight w:val="0"/>
      <w:marTop w:val="0"/>
      <w:marBottom w:val="0"/>
      <w:divBdr>
        <w:top w:val="none" w:sz="0" w:space="0" w:color="auto"/>
        <w:left w:val="none" w:sz="0" w:space="0" w:color="auto"/>
        <w:bottom w:val="none" w:sz="0" w:space="0" w:color="auto"/>
        <w:right w:val="none" w:sz="0" w:space="0" w:color="auto"/>
      </w:divBdr>
    </w:div>
    <w:div w:id="1201433741">
      <w:bodyDiv w:val="1"/>
      <w:marLeft w:val="0"/>
      <w:marRight w:val="0"/>
      <w:marTop w:val="0"/>
      <w:marBottom w:val="0"/>
      <w:divBdr>
        <w:top w:val="none" w:sz="0" w:space="0" w:color="auto"/>
        <w:left w:val="none" w:sz="0" w:space="0" w:color="auto"/>
        <w:bottom w:val="none" w:sz="0" w:space="0" w:color="auto"/>
        <w:right w:val="none" w:sz="0" w:space="0" w:color="auto"/>
      </w:divBdr>
    </w:div>
    <w:div w:id="1208179977">
      <w:bodyDiv w:val="1"/>
      <w:marLeft w:val="0"/>
      <w:marRight w:val="0"/>
      <w:marTop w:val="0"/>
      <w:marBottom w:val="0"/>
      <w:divBdr>
        <w:top w:val="none" w:sz="0" w:space="0" w:color="auto"/>
        <w:left w:val="none" w:sz="0" w:space="0" w:color="auto"/>
        <w:bottom w:val="none" w:sz="0" w:space="0" w:color="auto"/>
        <w:right w:val="none" w:sz="0" w:space="0" w:color="auto"/>
      </w:divBdr>
    </w:div>
    <w:div w:id="1292128137">
      <w:bodyDiv w:val="1"/>
      <w:marLeft w:val="0"/>
      <w:marRight w:val="0"/>
      <w:marTop w:val="0"/>
      <w:marBottom w:val="0"/>
      <w:divBdr>
        <w:top w:val="none" w:sz="0" w:space="0" w:color="auto"/>
        <w:left w:val="none" w:sz="0" w:space="0" w:color="auto"/>
        <w:bottom w:val="none" w:sz="0" w:space="0" w:color="auto"/>
        <w:right w:val="none" w:sz="0" w:space="0" w:color="auto"/>
      </w:divBdr>
    </w:div>
    <w:div w:id="1297024464">
      <w:bodyDiv w:val="1"/>
      <w:marLeft w:val="0"/>
      <w:marRight w:val="0"/>
      <w:marTop w:val="0"/>
      <w:marBottom w:val="0"/>
      <w:divBdr>
        <w:top w:val="none" w:sz="0" w:space="0" w:color="auto"/>
        <w:left w:val="none" w:sz="0" w:space="0" w:color="auto"/>
        <w:bottom w:val="none" w:sz="0" w:space="0" w:color="auto"/>
        <w:right w:val="none" w:sz="0" w:space="0" w:color="auto"/>
      </w:divBdr>
    </w:div>
    <w:div w:id="1534489700">
      <w:bodyDiv w:val="1"/>
      <w:marLeft w:val="0"/>
      <w:marRight w:val="0"/>
      <w:marTop w:val="0"/>
      <w:marBottom w:val="0"/>
      <w:divBdr>
        <w:top w:val="none" w:sz="0" w:space="0" w:color="auto"/>
        <w:left w:val="none" w:sz="0" w:space="0" w:color="auto"/>
        <w:bottom w:val="none" w:sz="0" w:space="0" w:color="auto"/>
        <w:right w:val="none" w:sz="0" w:space="0" w:color="auto"/>
      </w:divBdr>
    </w:div>
    <w:div w:id="1545364097">
      <w:bodyDiv w:val="1"/>
      <w:marLeft w:val="0"/>
      <w:marRight w:val="0"/>
      <w:marTop w:val="0"/>
      <w:marBottom w:val="0"/>
      <w:divBdr>
        <w:top w:val="none" w:sz="0" w:space="0" w:color="auto"/>
        <w:left w:val="none" w:sz="0" w:space="0" w:color="auto"/>
        <w:bottom w:val="none" w:sz="0" w:space="0" w:color="auto"/>
        <w:right w:val="none" w:sz="0" w:space="0" w:color="auto"/>
      </w:divBdr>
      <w:divsChild>
        <w:div w:id="187460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9134">
      <w:bodyDiv w:val="1"/>
      <w:marLeft w:val="0"/>
      <w:marRight w:val="0"/>
      <w:marTop w:val="0"/>
      <w:marBottom w:val="0"/>
      <w:divBdr>
        <w:top w:val="none" w:sz="0" w:space="0" w:color="auto"/>
        <w:left w:val="none" w:sz="0" w:space="0" w:color="auto"/>
        <w:bottom w:val="none" w:sz="0" w:space="0" w:color="auto"/>
        <w:right w:val="none" w:sz="0" w:space="0" w:color="auto"/>
      </w:divBdr>
    </w:div>
    <w:div w:id="1722512917">
      <w:bodyDiv w:val="1"/>
      <w:marLeft w:val="0"/>
      <w:marRight w:val="0"/>
      <w:marTop w:val="0"/>
      <w:marBottom w:val="0"/>
      <w:divBdr>
        <w:top w:val="none" w:sz="0" w:space="0" w:color="auto"/>
        <w:left w:val="none" w:sz="0" w:space="0" w:color="auto"/>
        <w:bottom w:val="none" w:sz="0" w:space="0" w:color="auto"/>
        <w:right w:val="none" w:sz="0" w:space="0" w:color="auto"/>
      </w:divBdr>
    </w:div>
    <w:div w:id="1859469656">
      <w:bodyDiv w:val="1"/>
      <w:marLeft w:val="0"/>
      <w:marRight w:val="0"/>
      <w:marTop w:val="0"/>
      <w:marBottom w:val="0"/>
      <w:divBdr>
        <w:top w:val="none" w:sz="0" w:space="0" w:color="auto"/>
        <w:left w:val="none" w:sz="0" w:space="0" w:color="auto"/>
        <w:bottom w:val="none" w:sz="0" w:space="0" w:color="auto"/>
        <w:right w:val="none" w:sz="0" w:space="0" w:color="auto"/>
      </w:divBdr>
    </w:div>
    <w:div w:id="1905724706">
      <w:bodyDiv w:val="1"/>
      <w:marLeft w:val="0"/>
      <w:marRight w:val="0"/>
      <w:marTop w:val="0"/>
      <w:marBottom w:val="0"/>
      <w:divBdr>
        <w:top w:val="none" w:sz="0" w:space="0" w:color="auto"/>
        <w:left w:val="none" w:sz="0" w:space="0" w:color="auto"/>
        <w:bottom w:val="none" w:sz="0" w:space="0" w:color="auto"/>
        <w:right w:val="none" w:sz="0" w:space="0" w:color="auto"/>
      </w:divBdr>
    </w:div>
    <w:div w:id="1942058792">
      <w:bodyDiv w:val="1"/>
      <w:marLeft w:val="0"/>
      <w:marRight w:val="0"/>
      <w:marTop w:val="0"/>
      <w:marBottom w:val="0"/>
      <w:divBdr>
        <w:top w:val="none" w:sz="0" w:space="0" w:color="auto"/>
        <w:left w:val="none" w:sz="0" w:space="0" w:color="auto"/>
        <w:bottom w:val="none" w:sz="0" w:space="0" w:color="auto"/>
        <w:right w:val="none" w:sz="0" w:space="0" w:color="auto"/>
      </w:divBdr>
    </w:div>
    <w:div w:id="2003972755">
      <w:bodyDiv w:val="1"/>
      <w:marLeft w:val="0"/>
      <w:marRight w:val="0"/>
      <w:marTop w:val="0"/>
      <w:marBottom w:val="0"/>
      <w:divBdr>
        <w:top w:val="none" w:sz="0" w:space="0" w:color="auto"/>
        <w:left w:val="none" w:sz="0" w:space="0" w:color="auto"/>
        <w:bottom w:val="none" w:sz="0" w:space="0" w:color="auto"/>
        <w:right w:val="none" w:sz="0" w:space="0" w:color="auto"/>
      </w:divBdr>
    </w:div>
    <w:div w:id="2015377003">
      <w:bodyDiv w:val="1"/>
      <w:marLeft w:val="0"/>
      <w:marRight w:val="0"/>
      <w:marTop w:val="0"/>
      <w:marBottom w:val="0"/>
      <w:divBdr>
        <w:top w:val="none" w:sz="0" w:space="0" w:color="auto"/>
        <w:left w:val="none" w:sz="0" w:space="0" w:color="auto"/>
        <w:bottom w:val="none" w:sz="0" w:space="0" w:color="auto"/>
        <w:right w:val="none" w:sz="0" w:space="0" w:color="auto"/>
      </w:divBdr>
    </w:div>
    <w:div w:id="2081443045">
      <w:bodyDiv w:val="1"/>
      <w:marLeft w:val="0"/>
      <w:marRight w:val="0"/>
      <w:marTop w:val="0"/>
      <w:marBottom w:val="0"/>
      <w:divBdr>
        <w:top w:val="none" w:sz="0" w:space="0" w:color="auto"/>
        <w:left w:val="none" w:sz="0" w:space="0" w:color="auto"/>
        <w:bottom w:val="none" w:sz="0" w:space="0" w:color="auto"/>
        <w:right w:val="none" w:sz="0" w:space="0" w:color="auto"/>
      </w:divBdr>
    </w:div>
    <w:div w:id="2090884050">
      <w:bodyDiv w:val="1"/>
      <w:marLeft w:val="0"/>
      <w:marRight w:val="0"/>
      <w:marTop w:val="0"/>
      <w:marBottom w:val="0"/>
      <w:divBdr>
        <w:top w:val="none" w:sz="0" w:space="0" w:color="auto"/>
        <w:left w:val="none" w:sz="0" w:space="0" w:color="auto"/>
        <w:bottom w:val="none" w:sz="0" w:space="0" w:color="auto"/>
        <w:right w:val="none" w:sz="0" w:space="0" w:color="auto"/>
      </w:divBdr>
    </w:div>
    <w:div w:id="2101485676">
      <w:bodyDiv w:val="1"/>
      <w:marLeft w:val="0"/>
      <w:marRight w:val="0"/>
      <w:marTop w:val="0"/>
      <w:marBottom w:val="0"/>
      <w:divBdr>
        <w:top w:val="none" w:sz="0" w:space="0" w:color="auto"/>
        <w:left w:val="none" w:sz="0" w:space="0" w:color="auto"/>
        <w:bottom w:val="none" w:sz="0" w:space="0" w:color="auto"/>
        <w:right w:val="none" w:sz="0" w:space="0" w:color="auto"/>
      </w:divBdr>
    </w:div>
    <w:div w:id="2126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8" ma:contentTypeDescription="Create a new document." ma:contentTypeScope="" ma:versionID="dbc3153d9e24aee4b5ac1aa4632510d5">
  <xsd:schema xmlns:xsd="http://www.w3.org/2001/XMLSchema" xmlns:xs="http://www.w3.org/2001/XMLSchema" xmlns:p="http://schemas.microsoft.com/office/2006/metadata/properties" xmlns:ns3="d05a8398-04f0-4137-a38f-3b39b52e6d40" targetNamespace="http://schemas.microsoft.com/office/2006/metadata/properties" ma:root="true" ma:fieldsID="d9878835aa979b944a205551ebef9a2b" ns3:_="">
    <xsd:import namespace="d05a8398-04f0-4137-a38f-3b39b52e6d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0453-FFB3-411F-A68F-8B2DEDB05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48AC7-82E6-4B56-847A-6A0476BD7174}">
  <ds:schemaRefs>
    <ds:schemaRef ds:uri="http://schemas.microsoft.com/sharepoint/v3/contenttype/forms"/>
  </ds:schemaRefs>
</ds:datastoreItem>
</file>

<file path=customXml/itemProps3.xml><?xml version="1.0" encoding="utf-8"?>
<ds:datastoreItem xmlns:ds="http://schemas.openxmlformats.org/officeDocument/2006/customXml" ds:itemID="{A93E7862-DFA5-4C82-9F44-43B19EE7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E82F9-3687-4778-AC11-CD0DBCB9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20418</Words>
  <Characters>116386</Characters>
  <Application>Microsoft Office Word</Application>
  <DocSecurity>4</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Wagner, Nathan R</cp:lastModifiedBy>
  <cp:revision>2</cp:revision>
  <cp:lastPrinted>2019-07-02T13:41:00Z</cp:lastPrinted>
  <dcterms:created xsi:type="dcterms:W3CDTF">2022-01-13T15:21:00Z</dcterms:created>
  <dcterms:modified xsi:type="dcterms:W3CDTF">2022-01-13T15:21:00Z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