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600" w:firstRow="0" w:lastRow="0" w:firstColumn="0" w:lastColumn="0" w:noHBand="1" w:noVBand="1"/>
      </w:tblPr>
      <w:tblGrid>
        <w:gridCol w:w="4680"/>
        <w:gridCol w:w="4680"/>
      </w:tblGrid>
      <w:tr w:rsidR="00EF3AFF" w:rsidRPr="00663FBE" w14:paraId="20638E59" w14:textId="77777777" w:rsidTr="00A3182A">
        <w:tc>
          <w:tcPr>
            <w:tcW w:w="5000" w:type="pct"/>
            <w:gridSpan w:val="2"/>
          </w:tcPr>
          <w:p w14:paraId="28F0290D" w14:textId="77777777" w:rsidR="00EF3AFF" w:rsidRPr="00663FBE" w:rsidRDefault="00EF3AFF" w:rsidP="00A3182A">
            <w:pPr>
              <w:overflowPunct/>
              <w:autoSpaceDE/>
              <w:autoSpaceDN/>
              <w:adjustRightInd/>
              <w:jc w:val="right"/>
              <w:textAlignment w:val="auto"/>
              <w:rPr>
                <w:color w:val="2E74B5" w:themeColor="accent5" w:themeShade="BF"/>
                <w:sz w:val="26"/>
                <w:szCs w:val="26"/>
              </w:rPr>
            </w:pPr>
            <w:r w:rsidRPr="00663FBE">
              <w:rPr>
                <w:color w:val="000000"/>
                <w:sz w:val="26"/>
                <w:szCs w:val="26"/>
              </w:rPr>
              <w:t xml:space="preserve">Public Meeting held </w:t>
            </w:r>
            <w:r>
              <w:rPr>
                <w:color w:val="000000"/>
                <w:sz w:val="26"/>
                <w:szCs w:val="26"/>
              </w:rPr>
              <w:t>January</w:t>
            </w:r>
            <w:r w:rsidRPr="00663FBE">
              <w:rPr>
                <w:color w:val="000000"/>
                <w:sz w:val="26"/>
                <w:szCs w:val="26"/>
              </w:rPr>
              <w:t xml:space="preserve"> </w:t>
            </w:r>
            <w:r>
              <w:rPr>
                <w:color w:val="000000"/>
                <w:sz w:val="26"/>
                <w:szCs w:val="26"/>
              </w:rPr>
              <w:t>13</w:t>
            </w:r>
            <w:r w:rsidRPr="00663FBE">
              <w:rPr>
                <w:color w:val="000000"/>
                <w:sz w:val="26"/>
                <w:szCs w:val="26"/>
              </w:rPr>
              <w:t>, 202</w:t>
            </w:r>
            <w:r>
              <w:rPr>
                <w:color w:val="000000"/>
                <w:sz w:val="26"/>
                <w:szCs w:val="26"/>
              </w:rPr>
              <w:t>2</w:t>
            </w:r>
          </w:p>
        </w:tc>
      </w:tr>
      <w:tr w:rsidR="00EF3AFF" w:rsidRPr="009F77D0" w14:paraId="335BDE53" w14:textId="77777777" w:rsidTr="00A3182A">
        <w:tc>
          <w:tcPr>
            <w:tcW w:w="5000" w:type="pct"/>
            <w:gridSpan w:val="2"/>
          </w:tcPr>
          <w:p w14:paraId="2658AFC5" w14:textId="77777777" w:rsidR="00EF3AFF" w:rsidRPr="009F77D0" w:rsidRDefault="00EF3AFF" w:rsidP="00A3182A">
            <w:pPr>
              <w:overflowPunct/>
              <w:autoSpaceDE/>
              <w:autoSpaceDN/>
              <w:adjustRightInd/>
              <w:jc w:val="right"/>
              <w:textAlignment w:val="auto"/>
              <w:rPr>
                <w:color w:val="000000"/>
                <w:sz w:val="26"/>
                <w:szCs w:val="26"/>
                <w:highlight w:val="yellow"/>
              </w:rPr>
            </w:pPr>
          </w:p>
        </w:tc>
      </w:tr>
      <w:tr w:rsidR="00EF3AFF" w:rsidRPr="00DA023F" w14:paraId="7CDDCDD4" w14:textId="77777777" w:rsidTr="00A3182A">
        <w:tc>
          <w:tcPr>
            <w:tcW w:w="5000" w:type="pct"/>
            <w:gridSpan w:val="2"/>
          </w:tcPr>
          <w:p w14:paraId="666CF41C" w14:textId="77777777" w:rsidR="00EF3AFF" w:rsidRPr="00DA023F" w:rsidRDefault="00EF3AFF" w:rsidP="00A3182A">
            <w:pPr>
              <w:overflowPunct/>
              <w:autoSpaceDE/>
              <w:autoSpaceDN/>
              <w:adjustRightInd/>
              <w:textAlignment w:val="auto"/>
              <w:rPr>
                <w:color w:val="000000"/>
                <w:sz w:val="26"/>
                <w:szCs w:val="26"/>
              </w:rPr>
            </w:pPr>
            <w:r w:rsidRPr="00DA023F">
              <w:rPr>
                <w:color w:val="000000"/>
                <w:sz w:val="26"/>
                <w:szCs w:val="26"/>
              </w:rPr>
              <w:t>Commissioners Present:</w:t>
            </w:r>
          </w:p>
        </w:tc>
      </w:tr>
      <w:tr w:rsidR="00EF3AFF" w:rsidRPr="00DA023F" w14:paraId="5D8B96B6" w14:textId="77777777" w:rsidTr="00A3182A">
        <w:tc>
          <w:tcPr>
            <w:tcW w:w="5000" w:type="pct"/>
            <w:gridSpan w:val="2"/>
          </w:tcPr>
          <w:p w14:paraId="642E414A" w14:textId="77777777" w:rsidR="00EF3AFF" w:rsidRPr="00DA023F" w:rsidRDefault="00EF3AFF" w:rsidP="00A3182A">
            <w:pPr>
              <w:overflowPunct/>
              <w:autoSpaceDE/>
              <w:autoSpaceDN/>
              <w:adjustRightInd/>
              <w:textAlignment w:val="auto"/>
              <w:rPr>
                <w:color w:val="000000"/>
                <w:sz w:val="26"/>
                <w:szCs w:val="26"/>
              </w:rPr>
            </w:pPr>
          </w:p>
        </w:tc>
      </w:tr>
      <w:tr w:rsidR="00EF3AFF" w:rsidRPr="00DA023F" w14:paraId="2C4D6604" w14:textId="77777777" w:rsidTr="00A3182A">
        <w:tc>
          <w:tcPr>
            <w:tcW w:w="5000" w:type="pct"/>
            <w:gridSpan w:val="2"/>
          </w:tcPr>
          <w:p w14:paraId="4F21B45C" w14:textId="77777777" w:rsidR="00EF3AFF" w:rsidRPr="00DA023F" w:rsidRDefault="00EF3AFF" w:rsidP="00A3182A">
            <w:pPr>
              <w:overflowPunct/>
              <w:autoSpaceDE/>
              <w:autoSpaceDN/>
              <w:adjustRightInd/>
              <w:ind w:left="720"/>
              <w:textAlignment w:val="auto"/>
              <w:rPr>
                <w:color w:val="000000"/>
                <w:sz w:val="26"/>
                <w:szCs w:val="26"/>
              </w:rPr>
            </w:pPr>
            <w:r w:rsidRPr="00DA023F">
              <w:rPr>
                <w:color w:val="000000"/>
                <w:sz w:val="26"/>
                <w:szCs w:val="26"/>
              </w:rPr>
              <w:t>Gladys Brown Dutrieuille, Chairman</w:t>
            </w:r>
          </w:p>
          <w:p w14:paraId="5B110B02" w14:textId="77777777" w:rsidR="00EF3AFF" w:rsidRPr="00DA023F" w:rsidRDefault="00EF3AFF" w:rsidP="00A3182A">
            <w:pPr>
              <w:overflowPunct/>
              <w:autoSpaceDE/>
              <w:autoSpaceDN/>
              <w:adjustRightInd/>
              <w:ind w:left="720"/>
              <w:textAlignment w:val="auto"/>
              <w:rPr>
                <w:color w:val="000000"/>
                <w:sz w:val="26"/>
                <w:szCs w:val="26"/>
              </w:rPr>
            </w:pPr>
            <w:r w:rsidRPr="00DA023F">
              <w:rPr>
                <w:color w:val="000000"/>
                <w:sz w:val="26"/>
                <w:szCs w:val="26"/>
              </w:rPr>
              <w:t>John F. Coleman, Jr.</w:t>
            </w:r>
            <w:r>
              <w:rPr>
                <w:color w:val="000000"/>
                <w:sz w:val="26"/>
                <w:szCs w:val="26"/>
              </w:rPr>
              <w:t>, Vice Chairman</w:t>
            </w:r>
          </w:p>
          <w:p w14:paraId="37E0208C" w14:textId="77777777" w:rsidR="00EF3AFF" w:rsidRPr="00DA023F" w:rsidRDefault="00EF3AFF" w:rsidP="00A3182A">
            <w:pPr>
              <w:overflowPunct/>
              <w:autoSpaceDE/>
              <w:autoSpaceDN/>
              <w:adjustRightInd/>
              <w:ind w:left="720"/>
              <w:textAlignment w:val="auto"/>
              <w:rPr>
                <w:color w:val="000000"/>
                <w:sz w:val="26"/>
                <w:szCs w:val="26"/>
              </w:rPr>
            </w:pPr>
            <w:r w:rsidRPr="00DA023F">
              <w:rPr>
                <w:color w:val="000000"/>
                <w:sz w:val="26"/>
                <w:szCs w:val="26"/>
              </w:rPr>
              <w:t>Ralph V. Yanora</w:t>
            </w:r>
          </w:p>
        </w:tc>
      </w:tr>
      <w:tr w:rsidR="00EF3AFF" w:rsidRPr="009F77D0" w14:paraId="707141D8" w14:textId="77777777" w:rsidTr="00A3182A">
        <w:tc>
          <w:tcPr>
            <w:tcW w:w="5000" w:type="pct"/>
            <w:gridSpan w:val="2"/>
          </w:tcPr>
          <w:p w14:paraId="304F620C" w14:textId="77777777" w:rsidR="00EF3AFF" w:rsidRPr="009F77D0" w:rsidRDefault="00EF3AFF" w:rsidP="00A3182A">
            <w:pPr>
              <w:overflowPunct/>
              <w:autoSpaceDE/>
              <w:autoSpaceDN/>
              <w:adjustRightInd/>
              <w:ind w:left="-15"/>
              <w:textAlignment w:val="auto"/>
              <w:rPr>
                <w:color w:val="000000"/>
                <w:sz w:val="26"/>
                <w:szCs w:val="26"/>
                <w:highlight w:val="yellow"/>
              </w:rPr>
            </w:pPr>
          </w:p>
        </w:tc>
      </w:tr>
      <w:tr w:rsidR="00EF3AFF" w:rsidRPr="009F77D0" w14:paraId="1A3FB584" w14:textId="77777777" w:rsidTr="00A3182A">
        <w:tc>
          <w:tcPr>
            <w:tcW w:w="5000" w:type="pct"/>
            <w:gridSpan w:val="2"/>
          </w:tcPr>
          <w:p w14:paraId="43F7F35B" w14:textId="77777777" w:rsidR="00EF3AFF" w:rsidRPr="009F77D0" w:rsidRDefault="00EF3AFF" w:rsidP="00A3182A">
            <w:pPr>
              <w:overflowPunct/>
              <w:autoSpaceDE/>
              <w:autoSpaceDN/>
              <w:adjustRightInd/>
              <w:ind w:left="-15"/>
              <w:textAlignment w:val="auto"/>
              <w:rPr>
                <w:color w:val="000000"/>
                <w:sz w:val="26"/>
                <w:szCs w:val="26"/>
                <w:highlight w:val="yellow"/>
              </w:rPr>
            </w:pPr>
          </w:p>
        </w:tc>
      </w:tr>
      <w:tr w:rsidR="00EF3AFF" w:rsidRPr="005D7D6D" w14:paraId="4A28CBEC" w14:textId="77777777" w:rsidTr="00A3182A">
        <w:trPr>
          <w:trHeight w:val="972"/>
        </w:trPr>
        <w:tc>
          <w:tcPr>
            <w:tcW w:w="2500" w:type="pct"/>
          </w:tcPr>
          <w:p w14:paraId="1923390F" w14:textId="77777777" w:rsidR="00EF3AFF" w:rsidRPr="00540289" w:rsidRDefault="00EF3AFF" w:rsidP="00A3182A">
            <w:pPr>
              <w:tabs>
                <w:tab w:val="left" w:pos="720"/>
              </w:tabs>
              <w:overflowPunct/>
              <w:autoSpaceDE/>
              <w:autoSpaceDN/>
              <w:adjustRightInd/>
              <w:textAlignment w:val="auto"/>
              <w:rPr>
                <w:sz w:val="26"/>
                <w:szCs w:val="26"/>
              </w:rPr>
            </w:pPr>
            <w:r>
              <w:rPr>
                <w:sz w:val="26"/>
                <w:szCs w:val="26"/>
              </w:rPr>
              <w:t>Pennsylvania-American Water Company-Wastewater Division Supplement No. 32 to Tariff Wastewater PA P.U.C. No. 16</w:t>
            </w:r>
          </w:p>
          <w:p w14:paraId="7750BF73" w14:textId="77777777" w:rsidR="00EF3AFF" w:rsidRPr="00FF7DAE" w:rsidRDefault="00EF3AFF" w:rsidP="00A3182A">
            <w:pPr>
              <w:tabs>
                <w:tab w:val="left" w:pos="720"/>
              </w:tabs>
              <w:overflowPunct/>
              <w:autoSpaceDE/>
              <w:autoSpaceDN/>
              <w:adjustRightInd/>
              <w:textAlignment w:val="auto"/>
              <w:rPr>
                <w:sz w:val="26"/>
                <w:szCs w:val="26"/>
              </w:rPr>
            </w:pPr>
          </w:p>
        </w:tc>
        <w:tc>
          <w:tcPr>
            <w:tcW w:w="2500" w:type="pct"/>
          </w:tcPr>
          <w:p w14:paraId="6FCD9829" w14:textId="77777777" w:rsidR="00EF3AFF" w:rsidRDefault="00EF3AFF" w:rsidP="00A3182A">
            <w:pPr>
              <w:overflowPunct/>
              <w:autoSpaceDE/>
              <w:autoSpaceDN/>
              <w:adjustRightInd/>
              <w:jc w:val="right"/>
              <w:textAlignment w:val="auto"/>
              <w:rPr>
                <w:sz w:val="26"/>
                <w:szCs w:val="26"/>
              </w:rPr>
            </w:pPr>
          </w:p>
          <w:p w14:paraId="3D5340A0" w14:textId="77777777" w:rsidR="00EF3AFF" w:rsidRPr="005D7D6D" w:rsidRDefault="00EF3AFF" w:rsidP="00A3182A">
            <w:pPr>
              <w:overflowPunct/>
              <w:autoSpaceDE/>
              <w:autoSpaceDN/>
              <w:adjustRightInd/>
              <w:jc w:val="right"/>
              <w:textAlignment w:val="auto"/>
              <w:rPr>
                <w:color w:val="000000"/>
                <w:sz w:val="26"/>
                <w:szCs w:val="26"/>
                <w:highlight w:val="yellow"/>
              </w:rPr>
            </w:pPr>
            <w:r w:rsidRPr="0032106C">
              <w:rPr>
                <w:sz w:val="26"/>
                <w:szCs w:val="26"/>
              </w:rPr>
              <w:t>R-2021-</w:t>
            </w:r>
            <w:r>
              <w:rPr>
                <w:sz w:val="26"/>
                <w:szCs w:val="26"/>
              </w:rPr>
              <w:t>3029631</w:t>
            </w:r>
          </w:p>
          <w:p w14:paraId="3DE30AF9" w14:textId="77777777" w:rsidR="00EF3AFF" w:rsidRPr="005D7D6D" w:rsidRDefault="00EF3AFF" w:rsidP="00A3182A">
            <w:pPr>
              <w:overflowPunct/>
              <w:autoSpaceDE/>
              <w:autoSpaceDN/>
              <w:adjustRightInd/>
              <w:textAlignment w:val="auto"/>
              <w:rPr>
                <w:color w:val="000000"/>
                <w:sz w:val="26"/>
                <w:szCs w:val="26"/>
                <w:highlight w:val="yellow"/>
              </w:rPr>
            </w:pPr>
          </w:p>
        </w:tc>
      </w:tr>
    </w:tbl>
    <w:p w14:paraId="7004FF17" w14:textId="1D9653D6" w:rsidR="00EF3AFF" w:rsidRPr="00D74691" w:rsidRDefault="00EF3AFF" w:rsidP="00EF3AFF">
      <w:pPr>
        <w:spacing w:before="260" w:after="260" w:line="360" w:lineRule="auto"/>
        <w:jc w:val="center"/>
        <w:rPr>
          <w:b/>
          <w:color w:val="000000"/>
          <w:sz w:val="26"/>
          <w:szCs w:val="26"/>
        </w:rPr>
      </w:pPr>
      <w:r w:rsidRPr="00D74691">
        <w:rPr>
          <w:b/>
          <w:color w:val="000000"/>
          <w:sz w:val="26"/>
          <w:szCs w:val="26"/>
        </w:rPr>
        <w:t>ORDER</w:t>
      </w:r>
    </w:p>
    <w:p w14:paraId="0ABB0813" w14:textId="77777777" w:rsidR="00EF3AFF" w:rsidRPr="00D74691" w:rsidRDefault="00EF3AFF" w:rsidP="00EF3AFF">
      <w:pPr>
        <w:spacing w:before="260" w:after="260" w:line="360" w:lineRule="auto"/>
        <w:rPr>
          <w:b/>
          <w:color w:val="000000"/>
          <w:sz w:val="26"/>
          <w:szCs w:val="26"/>
        </w:rPr>
      </w:pPr>
      <w:r w:rsidRPr="00D74691">
        <w:rPr>
          <w:b/>
          <w:color w:val="000000"/>
          <w:sz w:val="26"/>
          <w:szCs w:val="26"/>
        </w:rPr>
        <w:t>BY THE COMMISSION:</w:t>
      </w:r>
    </w:p>
    <w:p w14:paraId="443177FA" w14:textId="77777777" w:rsidR="00EF3AFF" w:rsidRPr="005D7D6D" w:rsidRDefault="00EF3AFF" w:rsidP="00EF3AFF">
      <w:pPr>
        <w:spacing w:after="240" w:line="360" w:lineRule="auto"/>
        <w:ind w:firstLine="720"/>
        <w:rPr>
          <w:sz w:val="26"/>
          <w:szCs w:val="26"/>
          <w:highlight w:val="yellow"/>
        </w:rPr>
      </w:pPr>
      <w:r w:rsidRPr="00252055">
        <w:rPr>
          <w:color w:val="000000" w:themeColor="text1"/>
          <w:sz w:val="26"/>
          <w:szCs w:val="26"/>
        </w:rPr>
        <w:t xml:space="preserve">On </w:t>
      </w:r>
      <w:r>
        <w:rPr>
          <w:color w:val="000000" w:themeColor="text1"/>
          <w:sz w:val="26"/>
          <w:szCs w:val="26"/>
        </w:rPr>
        <w:t>November</w:t>
      </w:r>
      <w:r w:rsidRPr="00252055">
        <w:rPr>
          <w:color w:val="000000" w:themeColor="text1"/>
          <w:sz w:val="26"/>
          <w:szCs w:val="26"/>
        </w:rPr>
        <w:t xml:space="preserve"> </w:t>
      </w:r>
      <w:r>
        <w:rPr>
          <w:color w:val="000000" w:themeColor="text1"/>
          <w:sz w:val="26"/>
          <w:szCs w:val="26"/>
        </w:rPr>
        <w:t>22</w:t>
      </w:r>
      <w:r w:rsidRPr="00252055">
        <w:rPr>
          <w:color w:val="000000" w:themeColor="text1"/>
          <w:sz w:val="26"/>
          <w:szCs w:val="26"/>
        </w:rPr>
        <w:t xml:space="preserve">, 2021, </w:t>
      </w:r>
      <w:r>
        <w:rPr>
          <w:color w:val="000000" w:themeColor="text1"/>
          <w:sz w:val="26"/>
          <w:szCs w:val="26"/>
        </w:rPr>
        <w:t>Pennsylvania-American Water Company-Wastewater Division (PAWC-WD)</w:t>
      </w:r>
      <w:r w:rsidRPr="00252055">
        <w:rPr>
          <w:color w:val="000000" w:themeColor="text1"/>
          <w:sz w:val="26"/>
          <w:szCs w:val="26"/>
        </w:rPr>
        <w:t>, Utility Code</w:t>
      </w:r>
      <w:r>
        <w:rPr>
          <w:color w:val="000000" w:themeColor="text1"/>
          <w:sz w:val="26"/>
          <w:szCs w:val="26"/>
        </w:rPr>
        <w:t xml:space="preserve"> 230073</w:t>
      </w:r>
      <w:r w:rsidRPr="00252055">
        <w:rPr>
          <w:color w:val="000000" w:themeColor="text1"/>
          <w:sz w:val="26"/>
          <w:szCs w:val="26"/>
        </w:rPr>
        <w:t xml:space="preserve">, filed </w:t>
      </w:r>
      <w:r>
        <w:rPr>
          <w:sz w:val="26"/>
          <w:szCs w:val="26"/>
        </w:rPr>
        <w:t>Supplement No. 32 to Tariff Wastewater PA P.U.C. No. 16 (Supplement No. 32)</w:t>
      </w:r>
      <w:r w:rsidRPr="00252055">
        <w:rPr>
          <w:sz w:val="26"/>
          <w:szCs w:val="26"/>
        </w:rPr>
        <w:t xml:space="preserve"> </w:t>
      </w:r>
      <w:r w:rsidRPr="008377FB">
        <w:rPr>
          <w:sz w:val="26"/>
          <w:szCs w:val="26"/>
        </w:rPr>
        <w:t xml:space="preserve">to become effective </w:t>
      </w:r>
      <w:r>
        <w:rPr>
          <w:sz w:val="26"/>
          <w:szCs w:val="26"/>
        </w:rPr>
        <w:t>on January 21, 2022</w:t>
      </w:r>
      <w:r w:rsidRPr="008206FB">
        <w:rPr>
          <w:sz w:val="26"/>
          <w:szCs w:val="26"/>
        </w:rPr>
        <w:t xml:space="preserve">.  </w:t>
      </w:r>
      <w:r w:rsidRPr="00755D3D">
        <w:rPr>
          <w:sz w:val="26"/>
          <w:szCs w:val="26"/>
        </w:rPr>
        <w:t>Supplement No. 3</w:t>
      </w:r>
      <w:r>
        <w:rPr>
          <w:sz w:val="26"/>
          <w:szCs w:val="26"/>
        </w:rPr>
        <w:t>2</w:t>
      </w:r>
      <w:r w:rsidRPr="00755D3D">
        <w:rPr>
          <w:sz w:val="26"/>
          <w:szCs w:val="26"/>
        </w:rPr>
        <w:t xml:space="preserve"> was filed to modify </w:t>
      </w:r>
      <w:r>
        <w:rPr>
          <w:sz w:val="26"/>
          <w:szCs w:val="26"/>
        </w:rPr>
        <w:t>PAWC-WD’s Rate Zone 11 rates</w:t>
      </w:r>
      <w:r w:rsidRPr="00755D3D">
        <w:rPr>
          <w:sz w:val="26"/>
          <w:szCs w:val="26"/>
        </w:rPr>
        <w:t xml:space="preserve"> to</w:t>
      </w:r>
      <w:r>
        <w:rPr>
          <w:sz w:val="26"/>
          <w:szCs w:val="26"/>
        </w:rPr>
        <w:t xml:space="preserve"> include a special rate for Rainbow Washhouse, Inc</w:t>
      </w:r>
      <w:r w:rsidRPr="008206FB">
        <w:rPr>
          <w:sz w:val="26"/>
          <w:szCs w:val="26"/>
        </w:rPr>
        <w:t>.</w:t>
      </w:r>
      <w:r>
        <w:rPr>
          <w:sz w:val="26"/>
          <w:szCs w:val="26"/>
        </w:rPr>
        <w:t xml:space="preserve"> (Rainbow Washhouse).</w:t>
      </w:r>
    </w:p>
    <w:p w14:paraId="38D478B4" w14:textId="77777777" w:rsidR="00EF3AFF" w:rsidRPr="00A502F0" w:rsidRDefault="00EF3AFF" w:rsidP="00EF3AFF">
      <w:pPr>
        <w:numPr>
          <w:ilvl w:val="0"/>
          <w:numId w:val="2"/>
        </w:numPr>
        <w:spacing w:after="240" w:line="360" w:lineRule="auto"/>
        <w:rPr>
          <w:b/>
          <w:sz w:val="26"/>
          <w:szCs w:val="26"/>
        </w:rPr>
      </w:pPr>
      <w:r w:rsidRPr="00A502F0">
        <w:rPr>
          <w:b/>
          <w:sz w:val="26"/>
          <w:szCs w:val="26"/>
        </w:rPr>
        <w:t>AFFECTED ENTITIES</w:t>
      </w:r>
      <w:r>
        <w:rPr>
          <w:b/>
          <w:sz w:val="26"/>
          <w:szCs w:val="26"/>
        </w:rPr>
        <w:t xml:space="preserve"> AND BACKGROUND</w:t>
      </w:r>
    </w:p>
    <w:p w14:paraId="4A2764C9" w14:textId="77777777" w:rsidR="00EF3AFF" w:rsidRPr="00BF11A8" w:rsidRDefault="00EF3AFF" w:rsidP="00EF3AFF">
      <w:pPr>
        <w:spacing w:before="260" w:after="260" w:line="360" w:lineRule="auto"/>
        <w:ind w:firstLine="720"/>
        <w:rPr>
          <w:sz w:val="26"/>
          <w:szCs w:val="26"/>
        </w:rPr>
      </w:pPr>
      <w:r>
        <w:rPr>
          <w:sz w:val="26"/>
          <w:szCs w:val="26"/>
        </w:rPr>
        <w:t>PAWC-WD</w:t>
      </w:r>
      <w:r w:rsidRPr="00BF11A8">
        <w:rPr>
          <w:sz w:val="26"/>
          <w:szCs w:val="26"/>
        </w:rPr>
        <w:t xml:space="preserve"> is a regulated public utility company, duly organized and existing under the laws of the Commonwealth.  </w:t>
      </w:r>
      <w:r>
        <w:rPr>
          <w:sz w:val="26"/>
          <w:szCs w:val="26"/>
        </w:rPr>
        <w:t>PAWC-WD</w:t>
      </w:r>
      <w:r w:rsidRPr="00BF11A8">
        <w:rPr>
          <w:sz w:val="26"/>
          <w:szCs w:val="26"/>
        </w:rPr>
        <w:t xml:space="preserve"> indicated </w:t>
      </w:r>
      <w:r>
        <w:rPr>
          <w:sz w:val="26"/>
          <w:szCs w:val="26"/>
        </w:rPr>
        <w:t xml:space="preserve">in supplemental information filed with the Commission </w:t>
      </w:r>
      <w:r w:rsidRPr="00BF11A8">
        <w:rPr>
          <w:sz w:val="26"/>
          <w:szCs w:val="26"/>
        </w:rPr>
        <w:t>that</w:t>
      </w:r>
      <w:r>
        <w:rPr>
          <w:sz w:val="26"/>
          <w:szCs w:val="26"/>
        </w:rPr>
        <w:t xml:space="preserve"> it </w:t>
      </w:r>
      <w:r w:rsidRPr="00BF11A8">
        <w:rPr>
          <w:sz w:val="26"/>
          <w:szCs w:val="26"/>
        </w:rPr>
        <w:t xml:space="preserve">provides </w:t>
      </w:r>
      <w:r>
        <w:rPr>
          <w:sz w:val="26"/>
          <w:szCs w:val="26"/>
        </w:rPr>
        <w:t>waste</w:t>
      </w:r>
      <w:r w:rsidRPr="00BF11A8">
        <w:rPr>
          <w:sz w:val="26"/>
          <w:szCs w:val="26"/>
        </w:rPr>
        <w:t xml:space="preserve">water service to approximately </w:t>
      </w:r>
      <w:r w:rsidRPr="00D80B10">
        <w:rPr>
          <w:sz w:val="26"/>
          <w:szCs w:val="26"/>
        </w:rPr>
        <w:t>79,020</w:t>
      </w:r>
      <w:r w:rsidRPr="00BF11A8">
        <w:rPr>
          <w:sz w:val="26"/>
          <w:szCs w:val="26"/>
        </w:rPr>
        <w:t xml:space="preserve"> customers throughout </w:t>
      </w:r>
      <w:r>
        <w:rPr>
          <w:sz w:val="26"/>
          <w:szCs w:val="26"/>
        </w:rPr>
        <w:t xml:space="preserve">Pennsylvania, of which approximately 3,125 customers are in its Rate Zone 11.  As explained below, Rate Zone 11 was created for the wastewater customers of the former </w:t>
      </w:r>
      <w:r w:rsidRPr="00920DBF">
        <w:rPr>
          <w:sz w:val="26"/>
          <w:szCs w:val="26"/>
        </w:rPr>
        <w:t>Valley Township</w:t>
      </w:r>
      <w:r>
        <w:rPr>
          <w:sz w:val="26"/>
          <w:szCs w:val="26"/>
        </w:rPr>
        <w:t xml:space="preserve"> (Valley) wastewater system.  </w:t>
      </w:r>
      <w:r w:rsidRPr="00BF11A8">
        <w:rPr>
          <w:sz w:val="26"/>
          <w:szCs w:val="26"/>
        </w:rPr>
        <w:lastRenderedPageBreak/>
        <w:t xml:space="preserve">Additionally, </w:t>
      </w:r>
      <w:r>
        <w:rPr>
          <w:sz w:val="26"/>
          <w:szCs w:val="26"/>
        </w:rPr>
        <w:t>Pennsylvania-American Water Company</w:t>
      </w:r>
      <w:r w:rsidRPr="00BF11A8">
        <w:rPr>
          <w:sz w:val="26"/>
          <w:szCs w:val="26"/>
        </w:rPr>
        <w:t xml:space="preserve"> (</w:t>
      </w:r>
      <w:r>
        <w:rPr>
          <w:sz w:val="26"/>
          <w:szCs w:val="26"/>
        </w:rPr>
        <w:t>PAWC</w:t>
      </w:r>
      <w:r w:rsidRPr="00BF11A8">
        <w:rPr>
          <w:sz w:val="26"/>
          <w:szCs w:val="26"/>
        </w:rPr>
        <w:t xml:space="preserve">), Utility Code </w:t>
      </w:r>
      <w:r>
        <w:rPr>
          <w:sz w:val="26"/>
          <w:szCs w:val="26"/>
        </w:rPr>
        <w:t>212285</w:t>
      </w:r>
      <w:r w:rsidRPr="00BF11A8">
        <w:rPr>
          <w:sz w:val="26"/>
          <w:szCs w:val="26"/>
        </w:rPr>
        <w:t xml:space="preserve">, provides water service throughout </w:t>
      </w:r>
      <w:r>
        <w:rPr>
          <w:sz w:val="26"/>
          <w:szCs w:val="26"/>
        </w:rPr>
        <w:t>Pennsylvania</w:t>
      </w:r>
      <w:r w:rsidRPr="00BF11A8">
        <w:rPr>
          <w:sz w:val="26"/>
          <w:szCs w:val="26"/>
        </w:rPr>
        <w:t>.</w:t>
      </w:r>
      <w:r>
        <w:rPr>
          <w:sz w:val="26"/>
          <w:szCs w:val="26"/>
        </w:rPr>
        <w:t xml:space="preserve">  PAWC-WD is a division of PAWC.</w:t>
      </w:r>
    </w:p>
    <w:p w14:paraId="6452533A" w14:textId="77777777" w:rsidR="00EF3AFF" w:rsidRDefault="00EF3AFF" w:rsidP="00EF3AFF">
      <w:pPr>
        <w:spacing w:before="260" w:after="260" w:line="360" w:lineRule="auto"/>
        <w:ind w:firstLine="720"/>
        <w:rPr>
          <w:sz w:val="26"/>
          <w:szCs w:val="26"/>
        </w:rPr>
      </w:pPr>
      <w:r>
        <w:rPr>
          <w:sz w:val="26"/>
          <w:szCs w:val="26"/>
        </w:rPr>
        <w:t>Rainbow Washhouse is a commercial customer that receives wastewater service from PAWC-WD under Rate Zone 11 rates.  PAWC-WD averred Rainbow Washhouse is the only customer affected by Supplement No. 32 and that it began to provide wastewater service to Rainbow Washhouse on November 19, 2021.</w:t>
      </w:r>
    </w:p>
    <w:p w14:paraId="454FBA9A" w14:textId="77777777" w:rsidR="00EF3AFF" w:rsidRPr="005D7D6D" w:rsidRDefault="00EF3AFF" w:rsidP="00EF3AFF">
      <w:pPr>
        <w:spacing w:before="260" w:after="260" w:line="360" w:lineRule="auto"/>
        <w:ind w:firstLine="720"/>
        <w:rPr>
          <w:sz w:val="26"/>
          <w:szCs w:val="26"/>
          <w:highlight w:val="yellow"/>
        </w:rPr>
      </w:pPr>
      <w:r>
        <w:rPr>
          <w:sz w:val="26"/>
          <w:szCs w:val="26"/>
        </w:rPr>
        <w:t>PAWC-WD</w:t>
      </w:r>
      <w:r w:rsidRPr="00BF11A8">
        <w:rPr>
          <w:sz w:val="26"/>
          <w:szCs w:val="26"/>
        </w:rPr>
        <w:t xml:space="preserve"> submitted proof of service of Supplement No. </w:t>
      </w:r>
      <w:r>
        <w:rPr>
          <w:sz w:val="26"/>
          <w:szCs w:val="26"/>
        </w:rPr>
        <w:t>32</w:t>
      </w:r>
      <w:r w:rsidRPr="00BF11A8">
        <w:rPr>
          <w:sz w:val="26"/>
          <w:szCs w:val="26"/>
        </w:rPr>
        <w:t xml:space="preserve"> on the Office of Consumer Advocate, the Office of Small Business Advocate</w:t>
      </w:r>
      <w:r>
        <w:rPr>
          <w:sz w:val="26"/>
          <w:szCs w:val="26"/>
        </w:rPr>
        <w:t>,</w:t>
      </w:r>
      <w:r w:rsidRPr="00BF11A8">
        <w:rPr>
          <w:sz w:val="26"/>
          <w:szCs w:val="26"/>
        </w:rPr>
        <w:t xml:space="preserve"> the Bureau of Investigation and Enforcement</w:t>
      </w:r>
      <w:r>
        <w:rPr>
          <w:sz w:val="26"/>
          <w:szCs w:val="26"/>
        </w:rPr>
        <w:t>, Rainbow Washhouse, and Valley</w:t>
      </w:r>
      <w:r w:rsidRPr="00BF11A8">
        <w:rPr>
          <w:sz w:val="26"/>
          <w:szCs w:val="26"/>
        </w:rPr>
        <w:t xml:space="preserve">.  </w:t>
      </w:r>
      <w:r>
        <w:rPr>
          <w:sz w:val="26"/>
          <w:szCs w:val="26"/>
        </w:rPr>
        <w:t xml:space="preserve">On December 7, 2021, PAWC-WD attempted to contact Rainbow Washhouse by telephone regarding Supplement No. 32 but was unable to reach Rainbow Washhouse.  On December 10, 2021, PAWC-WD mailed a letter (the December 10 Letter) to Rainbow Washhouse regarding Supplement No. 32.  A copy of the December 10 Letter was provided as supplemental information filed with the Commission and is further discussed below.  </w:t>
      </w:r>
      <w:r w:rsidRPr="00BF11A8">
        <w:rPr>
          <w:sz w:val="26"/>
          <w:szCs w:val="26"/>
        </w:rPr>
        <w:t>No complaints were filed, and no hearings were held.</w:t>
      </w:r>
    </w:p>
    <w:p w14:paraId="1EB67A51" w14:textId="77777777" w:rsidR="00EF3AFF" w:rsidRDefault="00EF3AFF" w:rsidP="00EF3AFF">
      <w:pPr>
        <w:spacing w:before="260" w:after="260" w:line="360" w:lineRule="auto"/>
        <w:ind w:firstLine="720"/>
        <w:rPr>
          <w:sz w:val="26"/>
          <w:szCs w:val="26"/>
        </w:rPr>
      </w:pPr>
      <w:r>
        <w:rPr>
          <w:sz w:val="26"/>
          <w:szCs w:val="26"/>
        </w:rPr>
        <w:t>On October 9, 2020, PAWC-WD filed an application (the Application) at Docket No.</w:t>
      </w:r>
      <w:r w:rsidRPr="009C6673">
        <w:t xml:space="preserve"> </w:t>
      </w:r>
      <w:r w:rsidRPr="009C6673">
        <w:rPr>
          <w:sz w:val="26"/>
          <w:szCs w:val="26"/>
        </w:rPr>
        <w:t>A-2020-30</w:t>
      </w:r>
      <w:r>
        <w:rPr>
          <w:sz w:val="26"/>
          <w:szCs w:val="26"/>
        </w:rPr>
        <w:t xml:space="preserve">20178 under Sections 1102(a) and 1329 of the Public Utility Code (Code), 66 </w:t>
      </w:r>
      <w:proofErr w:type="spellStart"/>
      <w:r>
        <w:rPr>
          <w:sz w:val="26"/>
          <w:szCs w:val="26"/>
        </w:rPr>
        <w:t>Pa.C.S</w:t>
      </w:r>
      <w:proofErr w:type="spellEnd"/>
      <w:r>
        <w:rPr>
          <w:sz w:val="26"/>
          <w:szCs w:val="26"/>
        </w:rPr>
        <w:t xml:space="preserve">. §§ 1102(a) and 1329, for approval of, </w:t>
      </w:r>
      <w:r w:rsidRPr="00633B34">
        <w:rPr>
          <w:i/>
          <w:iCs/>
          <w:sz w:val="26"/>
          <w:szCs w:val="26"/>
        </w:rPr>
        <w:t>inter alia</w:t>
      </w:r>
      <w:r>
        <w:rPr>
          <w:sz w:val="26"/>
          <w:szCs w:val="26"/>
        </w:rPr>
        <w:t xml:space="preserve">, the transfer, by sale, of substantially all of Valley’s assets, properties, and rights related to Valley’s wastewater collection and conveyance system to PAWC-WD and of PAWC-WD’s right to begin to offer, render, furnish, and supply wastewater service to the public in Valley Township and portions of East Fallowfield, </w:t>
      </w:r>
      <w:proofErr w:type="spellStart"/>
      <w:r>
        <w:rPr>
          <w:sz w:val="26"/>
          <w:szCs w:val="26"/>
        </w:rPr>
        <w:t>Sadsbury</w:t>
      </w:r>
      <w:proofErr w:type="spellEnd"/>
      <w:r>
        <w:rPr>
          <w:sz w:val="26"/>
          <w:szCs w:val="26"/>
        </w:rPr>
        <w:t xml:space="preserve">, and West Caln Townships, Chester County.  PAWC-WD’s customer notice for the Application indicated, in pertinent part, “This acquisition will not immediately, but may in the future, affect […] wastewater bills of </w:t>
      </w:r>
      <w:r>
        <w:rPr>
          <w:sz w:val="26"/>
          <w:szCs w:val="26"/>
        </w:rPr>
        <w:lastRenderedPageBreak/>
        <w:t xml:space="preserve">[PAWC-WD] customers, including [Valley] wastewater customers.  […] Your current rates will not change </w:t>
      </w:r>
      <w:proofErr w:type="gramStart"/>
      <w:r>
        <w:rPr>
          <w:sz w:val="26"/>
          <w:szCs w:val="26"/>
        </w:rPr>
        <w:t>as a result of</w:t>
      </w:r>
      <w:proofErr w:type="gramEnd"/>
      <w:r>
        <w:rPr>
          <w:sz w:val="26"/>
          <w:szCs w:val="26"/>
        </w:rPr>
        <w:t xml:space="preserve"> this acquisition[.]”</w:t>
      </w:r>
      <w:r>
        <w:rPr>
          <w:rStyle w:val="FootnoteReference"/>
          <w:szCs w:val="26"/>
        </w:rPr>
        <w:footnoteReference w:id="1"/>
      </w:r>
    </w:p>
    <w:p w14:paraId="597F3D22" w14:textId="77777777" w:rsidR="00EF3AFF" w:rsidRDefault="00EF3AFF" w:rsidP="00EF3AFF">
      <w:pPr>
        <w:spacing w:before="260" w:after="260" w:line="360" w:lineRule="auto"/>
        <w:ind w:firstLine="720"/>
        <w:rPr>
          <w:sz w:val="26"/>
          <w:szCs w:val="26"/>
        </w:rPr>
      </w:pPr>
      <w:r>
        <w:rPr>
          <w:sz w:val="26"/>
          <w:szCs w:val="26"/>
        </w:rPr>
        <w:t xml:space="preserve">By the Commission’s Opinion and Order entered October 28, 2021 (October 2021 Opinion and Order) at Docket No. </w:t>
      </w:r>
      <w:r w:rsidRPr="00A0219C">
        <w:rPr>
          <w:sz w:val="26"/>
          <w:szCs w:val="26"/>
        </w:rPr>
        <w:t>A-2020-30</w:t>
      </w:r>
      <w:r>
        <w:rPr>
          <w:sz w:val="26"/>
          <w:szCs w:val="26"/>
        </w:rPr>
        <w:t>20178, the Commission approved PAWC-WD’s Application.</w:t>
      </w:r>
      <w:r>
        <w:rPr>
          <w:rStyle w:val="FootnoteReference"/>
          <w:szCs w:val="26"/>
        </w:rPr>
        <w:footnoteReference w:id="2"/>
      </w:r>
      <w:r>
        <w:rPr>
          <w:sz w:val="26"/>
          <w:szCs w:val="26"/>
        </w:rPr>
        <w:t xml:space="preserve">  The October 2021 Opinion and Order permitted PAWC-WD to file a tariff supplement implementing rates for Rate Zone 11 customers post-closing, to be effective immediately upon closing of the transaction.</w:t>
      </w:r>
      <w:r>
        <w:rPr>
          <w:rStyle w:val="FootnoteReference"/>
          <w:szCs w:val="26"/>
        </w:rPr>
        <w:footnoteReference w:id="3"/>
      </w:r>
      <w:r>
        <w:rPr>
          <w:sz w:val="26"/>
          <w:szCs w:val="26"/>
        </w:rPr>
        <w:t xml:space="preserve">  On November 19, 2021, PAWC-WD filed a letter (November 2021 Letter) with the Commission indicating that PAWC-WD closed on the transaction, and on the same day PAWC-WD also filed Supplement No. 31 to Tariff Wastewater PA P.U.C. No. 16 (Supplement No. 31) with the Commission, bearing an effective date of November 19, 2021.</w:t>
      </w:r>
      <w:r>
        <w:rPr>
          <w:rStyle w:val="FootnoteReference"/>
          <w:szCs w:val="26"/>
        </w:rPr>
        <w:footnoteReference w:id="4"/>
      </w:r>
    </w:p>
    <w:p w14:paraId="015914AD" w14:textId="77777777" w:rsidR="00EF3AFF" w:rsidRDefault="00EF3AFF" w:rsidP="00EF3AFF">
      <w:pPr>
        <w:spacing w:before="260" w:after="260" w:line="360" w:lineRule="auto"/>
        <w:ind w:firstLine="720"/>
        <w:rPr>
          <w:bCs/>
          <w:sz w:val="26"/>
          <w:szCs w:val="26"/>
        </w:rPr>
      </w:pPr>
      <w:r>
        <w:rPr>
          <w:sz w:val="26"/>
          <w:szCs w:val="26"/>
        </w:rPr>
        <w:t xml:space="preserve">Supplement No. 31 includes PAWC-WD’s current, permitted rates for general wastewater service in Rate Zone 11.  Rate Zone 11 rates are billed monthly, and metered customers other than Westwood Fire Company </w:t>
      </w:r>
      <w:r>
        <w:rPr>
          <w:bCs/>
          <w:sz w:val="26"/>
          <w:szCs w:val="26"/>
        </w:rPr>
        <w:t>are subject to a service</w:t>
      </w:r>
      <w:r w:rsidRPr="00E010BA">
        <w:rPr>
          <w:bCs/>
          <w:sz w:val="26"/>
          <w:szCs w:val="26"/>
        </w:rPr>
        <w:t xml:space="preserve"> charge </w:t>
      </w:r>
      <w:r>
        <w:rPr>
          <w:bCs/>
          <w:sz w:val="26"/>
          <w:szCs w:val="26"/>
        </w:rPr>
        <w:t>of $59.67, which includes the first 3,400 gallons of usage per month, and volumetric charges of $1.12 per 100 gallons of usage above 3,400 gallons.  Westwood Fire Company is subject to a service charge of $0 and volumetric charges of $0 per 100 gallons.  For metered customers other than Rainbow Washhouse, service and volumetric charges in Supplement No. 31 are not affected by Supplement No. 32.  Also, for unmetered customers, charges in Supplement No. 31 are not affected by Supplement No. 32.</w:t>
      </w:r>
    </w:p>
    <w:p w14:paraId="517AE3B9" w14:textId="77777777" w:rsidR="00EF3AFF" w:rsidRDefault="00EF3AFF" w:rsidP="00EF3AFF">
      <w:pPr>
        <w:spacing w:before="260" w:after="260" w:line="360" w:lineRule="auto"/>
        <w:ind w:firstLine="720"/>
        <w:rPr>
          <w:bCs/>
          <w:sz w:val="26"/>
          <w:szCs w:val="26"/>
        </w:rPr>
      </w:pPr>
      <w:r>
        <w:rPr>
          <w:bCs/>
          <w:sz w:val="26"/>
          <w:szCs w:val="26"/>
        </w:rPr>
        <w:t xml:space="preserve">In supplemental information filed with the Commission, PAWC-WD explained that as part of its acquisition integration process, PAWC-WD conducted customer data testing.  PAWC-WD received customer data from Valley to test various customer service </w:t>
      </w:r>
      <w:r>
        <w:rPr>
          <w:bCs/>
          <w:sz w:val="26"/>
          <w:szCs w:val="26"/>
        </w:rPr>
        <w:lastRenderedPageBreak/>
        <w:t>processes, including billing, by mapping customer data.  During customer data mapping, PAWC-WD identified Rainbow Washhouse was listed as a flat rate account despite having usage data and asked Valley about Rainbow Washhouse usage.  Valley reviewed and researched the Rainbow Washhouse account and confirmed usage and the rate Valley charged to Rainbow Washhouse.</w:t>
      </w:r>
    </w:p>
    <w:p w14:paraId="727F16DB" w14:textId="77777777" w:rsidR="00EF3AFF" w:rsidRDefault="00EF3AFF" w:rsidP="00EF3AFF">
      <w:pPr>
        <w:spacing w:before="260" w:after="260" w:line="360" w:lineRule="auto"/>
        <w:ind w:firstLine="720"/>
        <w:rPr>
          <w:bCs/>
          <w:sz w:val="26"/>
          <w:szCs w:val="26"/>
        </w:rPr>
      </w:pPr>
      <w:r>
        <w:rPr>
          <w:bCs/>
          <w:sz w:val="26"/>
          <w:szCs w:val="26"/>
        </w:rPr>
        <w:t>On August 11, 2021, PAWC-WD requested that Valley provide an agreement or resolution that established Rainbow Washhouse’s rates.  On September 21, 2021, Valley’s Board of Supervisors passed Resolution No. 2021-18 Acknowledgement of Existing Rate (Resolution 18).  A copy of Resolution 18 was provided with Supplement No. 32.  Resolution 18 specifies that Rainbow Washhouse’s rates were established some time prior to 2009 and 2013, and that such rates included a charge of $220 per quarter, which included the first 6,000 gallons of usage per quarter, and a charge of $2.07 per 1,000 gallons of usage above 6,000 gallons.</w:t>
      </w:r>
    </w:p>
    <w:p w14:paraId="109CD562" w14:textId="77777777" w:rsidR="00EF3AFF" w:rsidRPr="00222E29" w:rsidRDefault="00EF3AFF" w:rsidP="00EF3AFF">
      <w:pPr>
        <w:spacing w:before="260" w:after="260" w:line="360" w:lineRule="auto"/>
        <w:ind w:firstLine="720"/>
        <w:rPr>
          <w:bCs/>
          <w:sz w:val="26"/>
          <w:szCs w:val="26"/>
        </w:rPr>
      </w:pPr>
      <w:r>
        <w:rPr>
          <w:bCs/>
          <w:sz w:val="26"/>
          <w:szCs w:val="26"/>
        </w:rPr>
        <w:t xml:space="preserve">On December 7, 2021, PAWC-WD served a copy of Supplement No. 32 on Rainbow Washhouse.  Then, through the December 10 Letter, PAWC informed Rainbow Washhouse that Rainbow Washhouse would only be billed for the flat rate included in PAWC’s tariff until PAWC’s tariff is changed, and that Rainbow Washhouse would not be “back billed” for volumetric charges from November 19, </w:t>
      </w:r>
      <w:proofErr w:type="gramStart"/>
      <w:r>
        <w:rPr>
          <w:bCs/>
          <w:sz w:val="26"/>
          <w:szCs w:val="26"/>
        </w:rPr>
        <w:t>2021</w:t>
      </w:r>
      <w:proofErr w:type="gramEnd"/>
      <w:r>
        <w:rPr>
          <w:bCs/>
          <w:sz w:val="26"/>
          <w:szCs w:val="26"/>
        </w:rPr>
        <w:t xml:space="preserve"> until the effective date of Supplement No. 32.  Consistent with the December 10 Letter, PAWC averred in supplemental information filed with the Commission that it will charge Rainbow Washhouse a service charge of $73.33 for unmetered charges until Supplement No. 32 is effective because Rainbow Washhouse’s existing rates (i.e., the rates under Resolution 18) are not part of PAWC-WD’s tariff.</w:t>
      </w:r>
    </w:p>
    <w:p w14:paraId="6BB2D3F6" w14:textId="77777777" w:rsidR="00EF3AFF" w:rsidRPr="004E259E" w:rsidRDefault="00EF3AFF" w:rsidP="00EF3AFF">
      <w:pPr>
        <w:numPr>
          <w:ilvl w:val="0"/>
          <w:numId w:val="2"/>
        </w:numPr>
        <w:spacing w:after="240" w:line="360" w:lineRule="auto"/>
        <w:rPr>
          <w:b/>
          <w:sz w:val="26"/>
          <w:szCs w:val="26"/>
        </w:rPr>
      </w:pPr>
      <w:r w:rsidRPr="004E259E">
        <w:rPr>
          <w:b/>
          <w:sz w:val="26"/>
          <w:szCs w:val="26"/>
        </w:rPr>
        <w:t xml:space="preserve">SUPPLEMENT NO. </w:t>
      </w:r>
      <w:r>
        <w:rPr>
          <w:b/>
          <w:sz w:val="26"/>
          <w:szCs w:val="26"/>
        </w:rPr>
        <w:t>32</w:t>
      </w:r>
    </w:p>
    <w:p w14:paraId="467A6985" w14:textId="77777777" w:rsidR="00EF3AFF" w:rsidRPr="005D3DA7" w:rsidRDefault="00EF3AFF" w:rsidP="00EF3AFF">
      <w:pPr>
        <w:spacing w:after="240" w:line="360" w:lineRule="auto"/>
        <w:ind w:firstLine="720"/>
        <w:rPr>
          <w:b/>
          <w:sz w:val="26"/>
          <w:szCs w:val="26"/>
        </w:rPr>
      </w:pPr>
      <w:r>
        <w:rPr>
          <w:bCs/>
          <w:sz w:val="26"/>
          <w:szCs w:val="26"/>
        </w:rPr>
        <w:t>PAWC-WD</w:t>
      </w:r>
      <w:r w:rsidRPr="00677C42">
        <w:rPr>
          <w:bCs/>
          <w:sz w:val="26"/>
          <w:szCs w:val="26"/>
        </w:rPr>
        <w:t xml:space="preserve"> avers Supplement No. </w:t>
      </w:r>
      <w:r>
        <w:rPr>
          <w:bCs/>
          <w:sz w:val="26"/>
          <w:szCs w:val="26"/>
        </w:rPr>
        <w:t>32</w:t>
      </w:r>
      <w:r w:rsidRPr="00677C42">
        <w:rPr>
          <w:bCs/>
          <w:sz w:val="26"/>
          <w:szCs w:val="26"/>
        </w:rPr>
        <w:t xml:space="preserve"> is being filed </w:t>
      </w:r>
      <w:r>
        <w:rPr>
          <w:bCs/>
          <w:sz w:val="26"/>
          <w:szCs w:val="26"/>
        </w:rPr>
        <w:t>to include a special rate for Rainbow Washhouse</w:t>
      </w:r>
      <w:r w:rsidRPr="00677C42">
        <w:rPr>
          <w:bCs/>
          <w:sz w:val="26"/>
          <w:szCs w:val="26"/>
        </w:rPr>
        <w:t xml:space="preserve">.  </w:t>
      </w:r>
      <w:r>
        <w:rPr>
          <w:bCs/>
          <w:sz w:val="26"/>
          <w:szCs w:val="26"/>
        </w:rPr>
        <w:t xml:space="preserve">Under Supplement No. 32, Rainbow Washhouse would be </w:t>
      </w:r>
      <w:r>
        <w:rPr>
          <w:bCs/>
          <w:sz w:val="26"/>
          <w:szCs w:val="26"/>
        </w:rPr>
        <w:lastRenderedPageBreak/>
        <w:t xml:space="preserve">charged a monthly service charge of $73.33, which includes the first 2,000 gallons of usage, plus a volumetric charge of $0.207 per 100 gallons of usage above 2,000 gallons.  </w:t>
      </w:r>
    </w:p>
    <w:p w14:paraId="612EF58C" w14:textId="77777777" w:rsidR="00EF3AFF" w:rsidRPr="000F5351" w:rsidRDefault="00EF3AFF" w:rsidP="00EF3AFF">
      <w:pPr>
        <w:spacing w:after="240" w:line="360" w:lineRule="auto"/>
        <w:ind w:firstLine="720"/>
        <w:rPr>
          <w:bCs/>
          <w:sz w:val="26"/>
          <w:szCs w:val="26"/>
        </w:rPr>
      </w:pPr>
      <w:r>
        <w:rPr>
          <w:bCs/>
          <w:sz w:val="26"/>
          <w:szCs w:val="26"/>
        </w:rPr>
        <w:t>In supplemental information filed with the Commission, PAWC-WD averred that including the rates indicated in Supplement No. 32 in the tariff supplement that PAWC-WD filed with the Application (i.e., Supplement No. 31) would not have changed the ratemaking rate base, conditions of approval, or customer notice related to the Application.  PAWC-WD also indicated that it is proposing to maintain an existing Valley rate, consistent with the Commission’s approval of other existing Valley rates, and that had PAWC-WD been aware of these rates at the time of filing of the Application, PAWC-WD expects that the Commission would have approved these rates as part of the Application.</w:t>
      </w:r>
    </w:p>
    <w:p w14:paraId="618EDAB8" w14:textId="77777777" w:rsidR="00EF3AFF" w:rsidRPr="004E21E0" w:rsidRDefault="00EF3AFF" w:rsidP="00EF3AFF">
      <w:pPr>
        <w:numPr>
          <w:ilvl w:val="0"/>
          <w:numId w:val="2"/>
        </w:numPr>
        <w:spacing w:after="240" w:line="360" w:lineRule="auto"/>
        <w:rPr>
          <w:b/>
          <w:sz w:val="26"/>
          <w:szCs w:val="26"/>
        </w:rPr>
      </w:pPr>
      <w:r w:rsidRPr="004E21E0">
        <w:rPr>
          <w:b/>
          <w:sz w:val="26"/>
          <w:szCs w:val="26"/>
        </w:rPr>
        <w:t>DISCUSSION</w:t>
      </w:r>
    </w:p>
    <w:p w14:paraId="40699D09" w14:textId="77777777" w:rsidR="00EF3AFF" w:rsidRDefault="00EF3AFF" w:rsidP="00EF3AFF">
      <w:pPr>
        <w:spacing w:after="240" w:line="360" w:lineRule="auto"/>
        <w:ind w:firstLine="720"/>
        <w:rPr>
          <w:sz w:val="26"/>
          <w:szCs w:val="26"/>
        </w:rPr>
      </w:pPr>
      <w:r w:rsidRPr="008E1EB7">
        <w:rPr>
          <w:sz w:val="26"/>
          <w:szCs w:val="26"/>
        </w:rPr>
        <w:t xml:space="preserve">Section 1329(d)(1)(v) of the Code, 66 </w:t>
      </w:r>
      <w:proofErr w:type="spellStart"/>
      <w:r w:rsidRPr="008E1EB7">
        <w:rPr>
          <w:sz w:val="26"/>
          <w:szCs w:val="26"/>
        </w:rPr>
        <w:t>Pa.C.S</w:t>
      </w:r>
      <w:proofErr w:type="spellEnd"/>
      <w:r w:rsidRPr="008E1EB7">
        <w:rPr>
          <w:sz w:val="26"/>
          <w:szCs w:val="26"/>
        </w:rPr>
        <w:t>. § 1329(d)(1)(v), requires that as part of its application</w:t>
      </w:r>
      <w:r>
        <w:rPr>
          <w:sz w:val="26"/>
          <w:szCs w:val="26"/>
        </w:rPr>
        <w:t xml:space="preserve"> to the Commission</w:t>
      </w:r>
      <w:r w:rsidRPr="008E1EB7">
        <w:rPr>
          <w:sz w:val="26"/>
          <w:szCs w:val="26"/>
        </w:rPr>
        <w:t xml:space="preserve">, the acquiring utility is to provide a tariff containing a rate equal to the existing rates of the selling utility at the time of the acquisition.  Once the application is approved, Section 1329(d)(4) of the Code, 66 </w:t>
      </w:r>
      <w:proofErr w:type="spellStart"/>
      <w:r w:rsidRPr="008E1EB7">
        <w:rPr>
          <w:sz w:val="26"/>
          <w:szCs w:val="26"/>
        </w:rPr>
        <w:t>Pa.C.S</w:t>
      </w:r>
      <w:proofErr w:type="spellEnd"/>
      <w:r w:rsidRPr="008E1EB7">
        <w:rPr>
          <w:sz w:val="26"/>
          <w:szCs w:val="26"/>
        </w:rPr>
        <w:t xml:space="preserve">. § 1329(d)(4), requires that </w:t>
      </w:r>
      <w:r>
        <w:rPr>
          <w:sz w:val="26"/>
          <w:szCs w:val="26"/>
        </w:rPr>
        <w:t>this</w:t>
      </w:r>
      <w:r w:rsidRPr="008E1EB7">
        <w:rPr>
          <w:sz w:val="26"/>
          <w:szCs w:val="26"/>
        </w:rPr>
        <w:t xml:space="preserve"> tariff remain in effect until such time as new rates are approved for the acquiring utility as the result of a base rate case proceeding before the Commission.</w:t>
      </w:r>
      <w:r>
        <w:rPr>
          <w:rStyle w:val="FootnoteReference"/>
          <w:szCs w:val="26"/>
        </w:rPr>
        <w:footnoteReference w:id="5"/>
      </w:r>
      <w:r w:rsidRPr="008E1EB7">
        <w:rPr>
          <w:sz w:val="26"/>
          <w:szCs w:val="26"/>
        </w:rPr>
        <w:t xml:space="preserve">  Thus, any changes to rates charged to customers of acquired systems should only occur as the result of a base rate case.</w:t>
      </w:r>
    </w:p>
    <w:p w14:paraId="2EBA3418" w14:textId="77777777" w:rsidR="00EF3AFF" w:rsidRPr="00815186" w:rsidRDefault="00EF3AFF" w:rsidP="00EF3AFF">
      <w:pPr>
        <w:spacing w:after="240" w:line="360" w:lineRule="auto"/>
        <w:ind w:firstLine="720"/>
        <w:rPr>
          <w:sz w:val="26"/>
          <w:szCs w:val="26"/>
        </w:rPr>
      </w:pPr>
      <w:r w:rsidRPr="004E21E0">
        <w:rPr>
          <w:sz w:val="26"/>
          <w:szCs w:val="26"/>
        </w:rPr>
        <w:t>The Commission expects water and wastewater public utilities seeking certificates of public convenience for an acquisition pursuant to Sections 1102(a)(1), 1102(a)(3), and 1329 of the Code</w:t>
      </w:r>
      <w:r>
        <w:rPr>
          <w:sz w:val="26"/>
          <w:szCs w:val="26"/>
        </w:rPr>
        <w:t xml:space="preserve">, </w:t>
      </w:r>
      <w:r w:rsidRPr="004E21E0">
        <w:rPr>
          <w:sz w:val="26"/>
          <w:szCs w:val="26"/>
        </w:rPr>
        <w:t xml:space="preserve">66 </w:t>
      </w:r>
      <w:proofErr w:type="spellStart"/>
      <w:r w:rsidRPr="004E21E0">
        <w:rPr>
          <w:sz w:val="26"/>
          <w:szCs w:val="26"/>
        </w:rPr>
        <w:t>Pa.C.S</w:t>
      </w:r>
      <w:proofErr w:type="spellEnd"/>
      <w:r w:rsidRPr="004E21E0">
        <w:rPr>
          <w:sz w:val="26"/>
          <w:szCs w:val="26"/>
        </w:rPr>
        <w:t xml:space="preserve">. §§ 1102(a)(1), 1102(a)(3), </w:t>
      </w:r>
      <w:r>
        <w:rPr>
          <w:sz w:val="26"/>
          <w:szCs w:val="26"/>
        </w:rPr>
        <w:t xml:space="preserve">and </w:t>
      </w:r>
      <w:r w:rsidRPr="004E21E0">
        <w:rPr>
          <w:sz w:val="26"/>
          <w:szCs w:val="26"/>
        </w:rPr>
        <w:t>1329</w:t>
      </w:r>
      <w:r>
        <w:rPr>
          <w:sz w:val="26"/>
          <w:szCs w:val="26"/>
        </w:rPr>
        <w:t>,</w:t>
      </w:r>
      <w:r w:rsidRPr="004E21E0">
        <w:rPr>
          <w:sz w:val="26"/>
          <w:szCs w:val="26"/>
        </w:rPr>
        <w:t xml:space="preserve"> to carefully review a selling utility’s existing rates and rate structure.  Additionally, as part of any application </w:t>
      </w:r>
      <w:r w:rsidRPr="004E21E0">
        <w:rPr>
          <w:sz w:val="26"/>
          <w:szCs w:val="26"/>
        </w:rPr>
        <w:lastRenderedPageBreak/>
        <w:t>to the Commission for such acquisitions, acquiring utilities should clearly identify and explain the basis for any increase or decrease in customer bills.  This is critical to ensure, among other things, that customers receive adequate notice of rate impacts resulting from the acquisition.  If necessary and appropriate, an acquiring public utility may seek relief from the Commission through a Petition pursuant to Section 703(g) of the Code</w:t>
      </w:r>
      <w:r>
        <w:rPr>
          <w:sz w:val="26"/>
          <w:szCs w:val="26"/>
        </w:rPr>
        <w:t xml:space="preserve"> (relating to rescission and amendment of orders)</w:t>
      </w:r>
      <w:r w:rsidRPr="004E21E0">
        <w:rPr>
          <w:sz w:val="26"/>
          <w:szCs w:val="26"/>
        </w:rPr>
        <w:t xml:space="preserve">, 66 </w:t>
      </w:r>
      <w:proofErr w:type="spellStart"/>
      <w:r w:rsidRPr="004E21E0">
        <w:rPr>
          <w:sz w:val="26"/>
          <w:szCs w:val="26"/>
        </w:rPr>
        <w:t>Pa.C.S</w:t>
      </w:r>
      <w:proofErr w:type="spellEnd"/>
      <w:r w:rsidRPr="004E21E0">
        <w:rPr>
          <w:sz w:val="26"/>
          <w:szCs w:val="26"/>
        </w:rPr>
        <w:t>. § 703(g), to request permission to charge rates that differ from the rates initially presented</w:t>
      </w:r>
      <w:r>
        <w:rPr>
          <w:sz w:val="26"/>
          <w:szCs w:val="26"/>
        </w:rPr>
        <w:t xml:space="preserve"> (i.e</w:t>
      </w:r>
      <w:r w:rsidRPr="00293224">
        <w:rPr>
          <w:sz w:val="26"/>
          <w:szCs w:val="26"/>
        </w:rPr>
        <w:t>., the rates that were being charged to the acquired customers by the selling utility</w:t>
      </w:r>
      <w:r>
        <w:rPr>
          <w:sz w:val="26"/>
          <w:szCs w:val="26"/>
        </w:rPr>
        <w:t>).</w:t>
      </w:r>
    </w:p>
    <w:p w14:paraId="386D3DAF" w14:textId="77777777" w:rsidR="00EF3AFF" w:rsidRDefault="00EF3AFF" w:rsidP="00EF3AFF">
      <w:pPr>
        <w:spacing w:after="240" w:line="360" w:lineRule="auto"/>
        <w:ind w:firstLine="720"/>
        <w:rPr>
          <w:sz w:val="26"/>
          <w:szCs w:val="26"/>
        </w:rPr>
      </w:pPr>
      <w:r>
        <w:rPr>
          <w:sz w:val="26"/>
          <w:szCs w:val="26"/>
        </w:rPr>
        <w:t xml:space="preserve">However, as noted in Section II, above, PAWC-WD </w:t>
      </w:r>
      <w:r w:rsidRPr="001D02F1">
        <w:rPr>
          <w:sz w:val="26"/>
          <w:szCs w:val="26"/>
        </w:rPr>
        <w:t xml:space="preserve">averred that including the rates indicated in Supplement No. 32 in the tariff supplement that PAWC-WD filed with the Application (i.e., Supplement No. 31) would not have changed the ratemaking rate base, </w:t>
      </w:r>
      <w:r>
        <w:rPr>
          <w:sz w:val="26"/>
          <w:szCs w:val="26"/>
        </w:rPr>
        <w:t xml:space="preserve">and that, through Supplement 32, PAWC-WD </w:t>
      </w:r>
      <w:r w:rsidRPr="001D02F1">
        <w:rPr>
          <w:sz w:val="26"/>
          <w:szCs w:val="26"/>
        </w:rPr>
        <w:t>is proposing to maintain an existing Valley rate, consistent with the Commission’s approval of other existing Valley rates</w:t>
      </w:r>
      <w:r>
        <w:rPr>
          <w:sz w:val="26"/>
          <w:szCs w:val="26"/>
        </w:rPr>
        <w:t xml:space="preserve">.  </w:t>
      </w:r>
      <w:r w:rsidRPr="004E21E0">
        <w:rPr>
          <w:sz w:val="26"/>
          <w:szCs w:val="26"/>
        </w:rPr>
        <w:t xml:space="preserve">We note that the outcome in this proceeding is based on the specific facts in the instant adjudication and should not be considered precedential or dispositive of any future Commission determinations in </w:t>
      </w:r>
      <w:r>
        <w:rPr>
          <w:sz w:val="26"/>
          <w:szCs w:val="26"/>
        </w:rPr>
        <w:t xml:space="preserve">application, </w:t>
      </w:r>
      <w:r w:rsidRPr="004E21E0">
        <w:rPr>
          <w:sz w:val="26"/>
          <w:szCs w:val="26"/>
        </w:rPr>
        <w:t>tariff</w:t>
      </w:r>
      <w:r>
        <w:rPr>
          <w:sz w:val="26"/>
          <w:szCs w:val="26"/>
        </w:rPr>
        <w:t xml:space="preserve">, or </w:t>
      </w:r>
      <w:r w:rsidRPr="004E21E0">
        <w:rPr>
          <w:sz w:val="26"/>
          <w:szCs w:val="26"/>
        </w:rPr>
        <w:t>tariff supplement filings.</w:t>
      </w:r>
    </w:p>
    <w:p w14:paraId="51E4288E" w14:textId="77777777" w:rsidR="00EF3AFF" w:rsidRDefault="00EF3AFF" w:rsidP="00EF3AFF">
      <w:pPr>
        <w:spacing w:after="240" w:line="360" w:lineRule="auto"/>
        <w:ind w:firstLine="720"/>
        <w:rPr>
          <w:sz w:val="26"/>
          <w:szCs w:val="26"/>
        </w:rPr>
      </w:pPr>
    </w:p>
    <w:p w14:paraId="38F4C274" w14:textId="77777777" w:rsidR="00EF3AFF" w:rsidRDefault="00EF3AFF" w:rsidP="00EF3AFF">
      <w:pPr>
        <w:spacing w:after="240" w:line="360" w:lineRule="auto"/>
        <w:ind w:firstLine="720"/>
        <w:rPr>
          <w:sz w:val="26"/>
          <w:szCs w:val="26"/>
        </w:rPr>
      </w:pPr>
    </w:p>
    <w:p w14:paraId="20D4A114" w14:textId="77777777" w:rsidR="00EF3AFF" w:rsidRPr="006F65DB" w:rsidRDefault="00EF3AFF" w:rsidP="00EF3AFF">
      <w:pPr>
        <w:numPr>
          <w:ilvl w:val="0"/>
          <w:numId w:val="2"/>
        </w:numPr>
        <w:spacing w:after="240" w:line="360" w:lineRule="auto"/>
        <w:rPr>
          <w:b/>
          <w:sz w:val="26"/>
          <w:szCs w:val="26"/>
        </w:rPr>
      </w:pPr>
      <w:r w:rsidRPr="006F65DB">
        <w:rPr>
          <w:b/>
          <w:sz w:val="26"/>
          <w:szCs w:val="26"/>
        </w:rPr>
        <w:t>CONCLUSION</w:t>
      </w:r>
    </w:p>
    <w:p w14:paraId="183433F1" w14:textId="77777777" w:rsidR="00EF3AFF" w:rsidRPr="00205876" w:rsidRDefault="00EF3AFF" w:rsidP="00EF3AFF">
      <w:pPr>
        <w:spacing w:before="260" w:after="260" w:line="360" w:lineRule="auto"/>
        <w:ind w:firstLine="720"/>
        <w:rPr>
          <w:b/>
          <w:sz w:val="26"/>
        </w:rPr>
      </w:pPr>
      <w:r w:rsidRPr="004E21E0">
        <w:rPr>
          <w:sz w:val="26"/>
          <w:szCs w:val="26"/>
        </w:rPr>
        <w:t>Investigation and analysis of this proposed tarif</w:t>
      </w:r>
      <w:r w:rsidRPr="00205876">
        <w:rPr>
          <w:sz w:val="26"/>
          <w:szCs w:val="26"/>
        </w:rPr>
        <w:t xml:space="preserve">f supplement and the supporting data indicates that the proposed tariff supplement does not appear to be unlawful, unjust, unreasonable, or contrary to public interest.  As such, the proposed tariff supplement should be permitted to become effective on the proposed </w:t>
      </w:r>
      <w:r>
        <w:rPr>
          <w:sz w:val="26"/>
          <w:szCs w:val="26"/>
        </w:rPr>
        <w:t>January</w:t>
      </w:r>
      <w:r w:rsidRPr="00205876">
        <w:rPr>
          <w:sz w:val="26"/>
          <w:szCs w:val="26"/>
        </w:rPr>
        <w:t xml:space="preserve"> </w:t>
      </w:r>
      <w:r>
        <w:rPr>
          <w:sz w:val="26"/>
          <w:szCs w:val="26"/>
        </w:rPr>
        <w:t>21</w:t>
      </w:r>
      <w:r w:rsidRPr="00205876">
        <w:rPr>
          <w:sz w:val="26"/>
          <w:szCs w:val="26"/>
        </w:rPr>
        <w:t>, 202</w:t>
      </w:r>
      <w:r>
        <w:rPr>
          <w:sz w:val="26"/>
          <w:szCs w:val="26"/>
        </w:rPr>
        <w:t>2</w:t>
      </w:r>
      <w:r w:rsidRPr="00205876">
        <w:rPr>
          <w:sz w:val="26"/>
          <w:szCs w:val="26"/>
        </w:rPr>
        <w:t xml:space="preserve">, effective date.  However, this does not constitute a determination that this tariff supplement is just, lawful, and reasonable; rather, this is a determination that suspension or further investigation does not appear to be warranted at this time; </w:t>
      </w:r>
      <w:r w:rsidRPr="00205876">
        <w:rPr>
          <w:b/>
          <w:sz w:val="26"/>
        </w:rPr>
        <w:t>THEREFORE,</w:t>
      </w:r>
    </w:p>
    <w:p w14:paraId="25B95674" w14:textId="77777777" w:rsidR="00EF3AFF" w:rsidRPr="00037DE2" w:rsidRDefault="00EF3AFF" w:rsidP="00EF3AFF">
      <w:pPr>
        <w:spacing w:before="260" w:after="260" w:line="360" w:lineRule="auto"/>
        <w:ind w:firstLine="720"/>
        <w:rPr>
          <w:b/>
          <w:color w:val="000000"/>
          <w:sz w:val="26"/>
        </w:rPr>
      </w:pPr>
      <w:r w:rsidRPr="00037DE2">
        <w:rPr>
          <w:b/>
          <w:color w:val="000000"/>
          <w:sz w:val="26"/>
        </w:rPr>
        <w:lastRenderedPageBreak/>
        <w:t>IT IS ORDERED:</w:t>
      </w:r>
    </w:p>
    <w:p w14:paraId="523678EE" w14:textId="77777777" w:rsidR="00EF3AFF" w:rsidRPr="00037DE2" w:rsidRDefault="00EF3AFF" w:rsidP="00EF3AFF">
      <w:pPr>
        <w:pStyle w:val="ListParagraph"/>
        <w:numPr>
          <w:ilvl w:val="0"/>
          <w:numId w:val="1"/>
        </w:numPr>
        <w:spacing w:before="260" w:after="260" w:line="360" w:lineRule="auto"/>
        <w:ind w:left="0" w:firstLine="720"/>
        <w:contextualSpacing w:val="0"/>
        <w:rPr>
          <w:sz w:val="26"/>
          <w:szCs w:val="26"/>
        </w:rPr>
      </w:pPr>
      <w:r w:rsidRPr="00037DE2">
        <w:rPr>
          <w:sz w:val="26"/>
          <w:szCs w:val="26"/>
        </w:rPr>
        <w:t xml:space="preserve">That </w:t>
      </w:r>
      <w:r>
        <w:rPr>
          <w:sz w:val="26"/>
          <w:szCs w:val="26"/>
        </w:rPr>
        <w:t>Pennsylvania-American Water Company-Wastewater Division’s</w:t>
      </w:r>
      <w:r w:rsidRPr="00037DE2">
        <w:rPr>
          <w:sz w:val="26"/>
          <w:szCs w:val="26"/>
        </w:rPr>
        <w:t xml:space="preserve"> proposed </w:t>
      </w:r>
      <w:r w:rsidRPr="00153FC2">
        <w:rPr>
          <w:color w:val="000000"/>
          <w:sz w:val="26"/>
        </w:rPr>
        <w:t>Supplement No. 3</w:t>
      </w:r>
      <w:r>
        <w:rPr>
          <w:color w:val="000000"/>
          <w:sz w:val="26"/>
        </w:rPr>
        <w:t>2</w:t>
      </w:r>
      <w:r w:rsidRPr="00153FC2">
        <w:rPr>
          <w:color w:val="000000"/>
          <w:sz w:val="26"/>
        </w:rPr>
        <w:t xml:space="preserve"> to Tariff Wastewater PA P.U.C. No. 16 </w:t>
      </w:r>
      <w:r w:rsidRPr="00037DE2">
        <w:rPr>
          <w:color w:val="000000"/>
          <w:sz w:val="26"/>
        </w:rPr>
        <w:t>is</w:t>
      </w:r>
      <w:r w:rsidRPr="00037DE2">
        <w:rPr>
          <w:sz w:val="26"/>
          <w:szCs w:val="26"/>
        </w:rPr>
        <w:t xml:space="preserve"> hereby permitted to become effective </w:t>
      </w:r>
      <w:r>
        <w:rPr>
          <w:sz w:val="26"/>
          <w:szCs w:val="26"/>
        </w:rPr>
        <w:t>January</w:t>
      </w:r>
      <w:r w:rsidRPr="00037DE2">
        <w:rPr>
          <w:sz w:val="26"/>
          <w:szCs w:val="26"/>
        </w:rPr>
        <w:t xml:space="preserve"> </w:t>
      </w:r>
      <w:r>
        <w:rPr>
          <w:sz w:val="26"/>
          <w:szCs w:val="26"/>
        </w:rPr>
        <w:t>21</w:t>
      </w:r>
      <w:r w:rsidRPr="00037DE2">
        <w:rPr>
          <w:sz w:val="26"/>
          <w:szCs w:val="26"/>
        </w:rPr>
        <w:t>, 202</w:t>
      </w:r>
      <w:r>
        <w:rPr>
          <w:sz w:val="26"/>
          <w:szCs w:val="26"/>
        </w:rPr>
        <w:t>2</w:t>
      </w:r>
      <w:r w:rsidRPr="00037DE2">
        <w:rPr>
          <w:sz w:val="26"/>
          <w:szCs w:val="26"/>
        </w:rPr>
        <w:t>.</w:t>
      </w:r>
    </w:p>
    <w:p w14:paraId="0ECA25AB" w14:textId="77777777" w:rsidR="00EF3AFF" w:rsidRDefault="00EF3AFF" w:rsidP="00EF3AFF">
      <w:pPr>
        <w:pStyle w:val="ListParagraph"/>
        <w:numPr>
          <w:ilvl w:val="0"/>
          <w:numId w:val="1"/>
        </w:numPr>
        <w:spacing w:before="260" w:after="260" w:line="360" w:lineRule="auto"/>
        <w:ind w:left="0" w:firstLine="720"/>
        <w:contextualSpacing w:val="0"/>
        <w:rPr>
          <w:sz w:val="26"/>
          <w:szCs w:val="26"/>
        </w:rPr>
      </w:pPr>
      <w:r w:rsidRPr="00037DE2">
        <w:rPr>
          <w:sz w:val="26"/>
          <w:szCs w:val="26"/>
        </w:rPr>
        <w:t>That this Order is without prejudice to any formal complaints timely filed against the proposed tariff supplement.</w:t>
      </w:r>
    </w:p>
    <w:p w14:paraId="7C13D77A" w14:textId="77777777" w:rsidR="00EF3AFF" w:rsidRPr="00704B71" w:rsidRDefault="00EF3AFF" w:rsidP="00EF3AFF">
      <w:pPr>
        <w:pStyle w:val="ListParagraph"/>
        <w:numPr>
          <w:ilvl w:val="0"/>
          <w:numId w:val="1"/>
        </w:numPr>
        <w:overflowPunct/>
        <w:autoSpaceDE/>
        <w:autoSpaceDN/>
        <w:adjustRightInd/>
        <w:spacing w:before="260" w:after="260" w:line="360" w:lineRule="auto"/>
        <w:ind w:left="0" w:firstLine="720"/>
        <w:contextualSpacing w:val="0"/>
        <w:textAlignment w:val="auto"/>
        <w:rPr>
          <w:sz w:val="26"/>
        </w:rPr>
      </w:pPr>
      <w:r w:rsidRPr="00037DE2">
        <w:rPr>
          <w:sz w:val="26"/>
          <w:szCs w:val="26"/>
        </w:rPr>
        <w:t xml:space="preserve">That a copy of this Order shall be served upon </w:t>
      </w:r>
      <w:r>
        <w:rPr>
          <w:sz w:val="26"/>
          <w:szCs w:val="26"/>
        </w:rPr>
        <w:t>Pennsylvania-American Water Company-Wastewater Division</w:t>
      </w:r>
      <w:r w:rsidRPr="00037DE2">
        <w:rPr>
          <w:sz w:val="26"/>
        </w:rPr>
        <w:t xml:space="preserve">, the Bureau of Investigation and Enforcement, the Office of Consumer Advocate, the Office of Small Business Advocate, and any persons who have filed formal complaints against the </w:t>
      </w:r>
      <w:r w:rsidRPr="00037DE2">
        <w:rPr>
          <w:sz w:val="26"/>
          <w:szCs w:val="26"/>
        </w:rPr>
        <w:t>proposed tariff supplement.</w:t>
      </w:r>
    </w:p>
    <w:p w14:paraId="203E52AB" w14:textId="77777777" w:rsidR="00EF3AFF" w:rsidRPr="00205876" w:rsidRDefault="00EF3AFF" w:rsidP="00EF3AFF">
      <w:pPr>
        <w:pStyle w:val="ListParagraph"/>
        <w:numPr>
          <w:ilvl w:val="0"/>
          <w:numId w:val="1"/>
        </w:numPr>
        <w:overflowPunct/>
        <w:autoSpaceDE/>
        <w:autoSpaceDN/>
        <w:adjustRightInd/>
        <w:spacing w:before="260" w:after="260" w:line="360" w:lineRule="auto"/>
        <w:ind w:left="0" w:firstLine="720"/>
        <w:contextualSpacing w:val="0"/>
        <w:textAlignment w:val="auto"/>
        <w:rPr>
          <w:sz w:val="26"/>
        </w:rPr>
      </w:pPr>
      <w:r w:rsidRPr="00205876">
        <w:rPr>
          <w:sz w:val="26"/>
        </w:rPr>
        <w:t>That the proceeding at Docket No. R-2021-30</w:t>
      </w:r>
      <w:r>
        <w:rPr>
          <w:sz w:val="26"/>
        </w:rPr>
        <w:t>29631</w:t>
      </w:r>
      <w:r w:rsidRPr="00205876">
        <w:rPr>
          <w:sz w:val="26"/>
        </w:rPr>
        <w:t xml:space="preserve"> be closed.</w:t>
      </w:r>
    </w:p>
    <w:p w14:paraId="11F61A9A" w14:textId="5D3623DE" w:rsidR="00EF3AFF" w:rsidRPr="00CD4C7D" w:rsidRDefault="00EF3AFF" w:rsidP="00EF3AFF">
      <w:pPr>
        <w:overflowPunct/>
        <w:autoSpaceDE/>
        <w:autoSpaceDN/>
        <w:adjustRightInd/>
        <w:textAlignment w:val="auto"/>
        <w:rPr>
          <w:sz w:val="26"/>
        </w:rPr>
      </w:pPr>
    </w:p>
    <w:p w14:paraId="29674D6E" w14:textId="010AEF91" w:rsidR="00EF3AFF" w:rsidRDefault="00D145DD" w:rsidP="00EF3AFF">
      <w:pPr>
        <w:ind w:left="5040"/>
        <w:rPr>
          <w:sz w:val="26"/>
          <w:szCs w:val="26"/>
        </w:rPr>
      </w:pPr>
      <w:r>
        <w:rPr>
          <w:noProof/>
        </w:rPr>
        <w:drawing>
          <wp:anchor distT="0" distB="0" distL="114300" distR="114300" simplePos="0" relativeHeight="251659264" behindDoc="1" locked="0" layoutInCell="1" allowOverlap="1" wp14:anchorId="78A70FE0" wp14:editId="7B96DE41">
            <wp:simplePos x="0" y="0"/>
            <wp:positionH relativeFrom="column">
              <wp:posOffset>3200400</wp:posOffset>
            </wp:positionH>
            <wp:positionV relativeFrom="paragraph">
              <wp:posOffset>162560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F3AFF" w:rsidRPr="00CD4C7D">
        <w:rPr>
          <w:b/>
          <w:sz w:val="26"/>
          <w:szCs w:val="26"/>
        </w:rPr>
        <w:t>BY THE COMMISSION,</w:t>
      </w:r>
    </w:p>
    <w:p w14:paraId="7B12335F" w14:textId="3C1F2D95" w:rsidR="00EF3AFF" w:rsidRDefault="00EF3AFF" w:rsidP="00EF3AFF">
      <w:pPr>
        <w:ind w:left="5040"/>
        <w:rPr>
          <w:sz w:val="26"/>
          <w:szCs w:val="26"/>
        </w:rPr>
      </w:pPr>
    </w:p>
    <w:p w14:paraId="0449CF7B" w14:textId="77777777" w:rsidR="00EF3AFF" w:rsidRPr="00CD4C7D" w:rsidRDefault="00EF3AFF" w:rsidP="00EF3AFF">
      <w:pPr>
        <w:ind w:left="5040"/>
        <w:rPr>
          <w:sz w:val="26"/>
          <w:szCs w:val="26"/>
        </w:rPr>
      </w:pPr>
    </w:p>
    <w:p w14:paraId="1EA960DA" w14:textId="77777777" w:rsidR="00EF3AFF" w:rsidRPr="00CD4C7D" w:rsidRDefault="00EF3AFF" w:rsidP="00EF3AFF">
      <w:pPr>
        <w:ind w:left="5040"/>
        <w:rPr>
          <w:sz w:val="26"/>
          <w:szCs w:val="26"/>
        </w:rPr>
      </w:pPr>
    </w:p>
    <w:p w14:paraId="62F54364" w14:textId="77777777" w:rsidR="00EF3AFF" w:rsidRPr="00CD4C7D" w:rsidRDefault="00EF3AFF" w:rsidP="00EF3AFF">
      <w:pPr>
        <w:ind w:left="5040"/>
        <w:rPr>
          <w:sz w:val="26"/>
          <w:szCs w:val="26"/>
        </w:rPr>
      </w:pPr>
    </w:p>
    <w:p w14:paraId="76273601" w14:textId="77777777" w:rsidR="00EF3AFF" w:rsidRPr="00CD4C7D" w:rsidRDefault="00EF3AFF" w:rsidP="00EF3AFF">
      <w:pPr>
        <w:ind w:left="5040"/>
        <w:rPr>
          <w:sz w:val="26"/>
          <w:szCs w:val="26"/>
        </w:rPr>
      </w:pPr>
      <w:r w:rsidRPr="00CD4C7D">
        <w:rPr>
          <w:sz w:val="26"/>
          <w:szCs w:val="26"/>
        </w:rPr>
        <w:t>Rosemary Chiavetta</w:t>
      </w:r>
    </w:p>
    <w:p w14:paraId="594FCD08" w14:textId="77777777" w:rsidR="00EF3AFF" w:rsidRPr="00CD4C7D" w:rsidRDefault="00EF3AFF" w:rsidP="00EF3AFF">
      <w:pPr>
        <w:spacing w:after="480"/>
        <w:ind w:left="5040"/>
        <w:rPr>
          <w:sz w:val="26"/>
          <w:szCs w:val="26"/>
        </w:rPr>
      </w:pPr>
      <w:r w:rsidRPr="00CD4C7D">
        <w:rPr>
          <w:sz w:val="26"/>
          <w:szCs w:val="26"/>
        </w:rPr>
        <w:t>Secretary</w:t>
      </w:r>
    </w:p>
    <w:p w14:paraId="657991BB" w14:textId="77777777" w:rsidR="00EF3AFF" w:rsidRPr="00CD4C7D" w:rsidRDefault="00EF3AFF" w:rsidP="00EF3AFF">
      <w:pPr>
        <w:rPr>
          <w:sz w:val="26"/>
          <w:szCs w:val="26"/>
        </w:rPr>
      </w:pPr>
      <w:r w:rsidRPr="00CD4C7D">
        <w:rPr>
          <w:sz w:val="26"/>
          <w:szCs w:val="26"/>
        </w:rPr>
        <w:t>(SEAL)</w:t>
      </w:r>
    </w:p>
    <w:p w14:paraId="03D8AD5F" w14:textId="77777777" w:rsidR="00EF3AFF" w:rsidRPr="00CD4C7D" w:rsidRDefault="00EF3AFF" w:rsidP="00EF3AFF">
      <w:pPr>
        <w:rPr>
          <w:sz w:val="26"/>
          <w:szCs w:val="26"/>
        </w:rPr>
      </w:pPr>
    </w:p>
    <w:p w14:paraId="2A7FC159" w14:textId="77777777" w:rsidR="00EF3AFF" w:rsidRPr="00CD4C7D" w:rsidRDefault="00EF3AFF" w:rsidP="00EF3AFF">
      <w:pPr>
        <w:rPr>
          <w:sz w:val="26"/>
          <w:szCs w:val="26"/>
        </w:rPr>
      </w:pPr>
      <w:r w:rsidRPr="00CD4C7D">
        <w:rPr>
          <w:sz w:val="26"/>
          <w:szCs w:val="26"/>
        </w:rPr>
        <w:t xml:space="preserve">ORDER ADOPTED:  </w:t>
      </w:r>
      <w:r>
        <w:rPr>
          <w:sz w:val="26"/>
          <w:szCs w:val="26"/>
        </w:rPr>
        <w:t>January 13, 2022</w:t>
      </w:r>
    </w:p>
    <w:p w14:paraId="022930C7" w14:textId="61C342BA" w:rsidR="00EF3AFF" w:rsidRPr="00900F52" w:rsidRDefault="00EF3AFF" w:rsidP="00EF3AFF">
      <w:pPr>
        <w:rPr>
          <w:sz w:val="26"/>
          <w:szCs w:val="26"/>
        </w:rPr>
      </w:pPr>
      <w:r w:rsidRPr="00CD4C7D">
        <w:rPr>
          <w:sz w:val="26"/>
          <w:szCs w:val="26"/>
        </w:rPr>
        <w:t>ORDER ENTERED:</w:t>
      </w:r>
      <w:r w:rsidRPr="004F3A4B">
        <w:rPr>
          <w:sz w:val="26"/>
          <w:szCs w:val="26"/>
        </w:rPr>
        <w:t xml:space="preserve">  </w:t>
      </w:r>
      <w:r w:rsidR="00D145DD">
        <w:rPr>
          <w:sz w:val="26"/>
          <w:szCs w:val="26"/>
        </w:rPr>
        <w:t>January 13, 2022</w:t>
      </w:r>
    </w:p>
    <w:p w14:paraId="31B220BF" w14:textId="77777777" w:rsidR="00DD4616" w:rsidRDefault="00DD4616"/>
    <w:sectPr w:rsidR="00DD4616" w:rsidSect="00A45028">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0DC4" w14:textId="77777777" w:rsidR="00EF3AFF" w:rsidRDefault="00EF3AFF" w:rsidP="00EF3AFF">
      <w:r>
        <w:separator/>
      </w:r>
    </w:p>
  </w:endnote>
  <w:endnote w:type="continuationSeparator" w:id="0">
    <w:p w14:paraId="11193CC9" w14:textId="77777777" w:rsidR="00EF3AFF" w:rsidRDefault="00EF3AFF" w:rsidP="00EF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FE1B" w14:textId="77777777" w:rsidR="00E3666E" w:rsidRDefault="00EF3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A1BC3" w14:textId="77777777" w:rsidR="00E3666E" w:rsidRDefault="00D14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0972"/>
      <w:docPartObj>
        <w:docPartGallery w:val="Page Numbers (Bottom of Page)"/>
        <w:docPartUnique/>
      </w:docPartObj>
    </w:sdtPr>
    <w:sdtEndPr>
      <w:rPr>
        <w:noProof/>
        <w:sz w:val="26"/>
        <w:szCs w:val="26"/>
      </w:rPr>
    </w:sdtEndPr>
    <w:sdtContent>
      <w:p w14:paraId="3834AF64" w14:textId="77777777" w:rsidR="00E3666E" w:rsidRPr="00956298" w:rsidRDefault="00EF3AFF" w:rsidP="00956298">
        <w:pPr>
          <w:pStyle w:val="Footer"/>
          <w:jc w:val="center"/>
          <w:rPr>
            <w:sz w:val="26"/>
            <w:szCs w:val="26"/>
          </w:rPr>
        </w:pPr>
        <w:r w:rsidRPr="00956298">
          <w:rPr>
            <w:sz w:val="26"/>
            <w:szCs w:val="26"/>
          </w:rPr>
          <w:fldChar w:fldCharType="begin"/>
        </w:r>
        <w:r w:rsidRPr="00956298">
          <w:rPr>
            <w:sz w:val="26"/>
            <w:szCs w:val="26"/>
          </w:rPr>
          <w:instrText xml:space="preserve"> PAGE   \* MERGEFORMAT </w:instrText>
        </w:r>
        <w:r w:rsidRPr="00956298">
          <w:rPr>
            <w:sz w:val="26"/>
            <w:szCs w:val="26"/>
          </w:rPr>
          <w:fldChar w:fldCharType="separate"/>
        </w:r>
        <w:r>
          <w:rPr>
            <w:noProof/>
            <w:sz w:val="26"/>
            <w:szCs w:val="26"/>
          </w:rPr>
          <w:t>2</w:t>
        </w:r>
        <w:r w:rsidRPr="0095629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1498" w14:textId="77777777" w:rsidR="00EF3AFF" w:rsidRDefault="00EF3AFF" w:rsidP="00EF3AFF">
      <w:r>
        <w:separator/>
      </w:r>
    </w:p>
  </w:footnote>
  <w:footnote w:type="continuationSeparator" w:id="0">
    <w:p w14:paraId="4CF61AC5" w14:textId="77777777" w:rsidR="00EF3AFF" w:rsidRDefault="00EF3AFF" w:rsidP="00EF3AFF">
      <w:r>
        <w:continuationSeparator/>
      </w:r>
    </w:p>
  </w:footnote>
  <w:footnote w:id="1">
    <w:p w14:paraId="0140F3AD" w14:textId="77777777" w:rsidR="00EF3AFF" w:rsidRPr="007A7047" w:rsidRDefault="00EF3AFF" w:rsidP="00EF3AFF">
      <w:pPr>
        <w:pStyle w:val="FootnoteText"/>
        <w:spacing w:after="0"/>
        <w:ind w:firstLine="0"/>
        <w:rPr>
          <w:sz w:val="20"/>
        </w:rPr>
      </w:pPr>
      <w:r w:rsidRPr="007A7047">
        <w:rPr>
          <w:rStyle w:val="FootnoteReference"/>
          <w:sz w:val="20"/>
        </w:rPr>
        <w:footnoteRef/>
      </w:r>
      <w:r w:rsidRPr="007A7047">
        <w:rPr>
          <w:sz w:val="20"/>
        </w:rPr>
        <w:t xml:space="preserve"> </w:t>
      </w:r>
      <w:r>
        <w:rPr>
          <w:sz w:val="20"/>
        </w:rPr>
        <w:t xml:space="preserve"> </w:t>
      </w:r>
      <w:r>
        <w:rPr>
          <w:i/>
          <w:iCs/>
          <w:sz w:val="20"/>
        </w:rPr>
        <w:t>See</w:t>
      </w:r>
      <w:r>
        <w:rPr>
          <w:sz w:val="20"/>
        </w:rPr>
        <w:t xml:space="preserve"> PAWC-WD’s letter dated April 5, 2021, at Docket No. A-2020-3020178, at Page 4.</w:t>
      </w:r>
    </w:p>
  </w:footnote>
  <w:footnote w:id="2">
    <w:p w14:paraId="33D0DBDD" w14:textId="77777777" w:rsidR="00EF3AFF" w:rsidRPr="007A7047" w:rsidRDefault="00EF3AFF" w:rsidP="00EF3AFF">
      <w:pPr>
        <w:pStyle w:val="FootnoteText"/>
        <w:spacing w:after="0"/>
        <w:ind w:firstLine="0"/>
        <w:rPr>
          <w:sz w:val="20"/>
        </w:rPr>
      </w:pPr>
      <w:r w:rsidRPr="007A7047">
        <w:rPr>
          <w:rStyle w:val="FootnoteReference"/>
          <w:sz w:val="20"/>
        </w:rPr>
        <w:footnoteRef/>
      </w:r>
      <w:r w:rsidRPr="007A7047">
        <w:rPr>
          <w:sz w:val="20"/>
        </w:rPr>
        <w:t xml:space="preserve">  </w:t>
      </w:r>
      <w:r w:rsidRPr="007A7047">
        <w:rPr>
          <w:i/>
          <w:iCs/>
          <w:sz w:val="20"/>
        </w:rPr>
        <w:t>See</w:t>
      </w:r>
      <w:r w:rsidRPr="007A7047">
        <w:rPr>
          <w:sz w:val="20"/>
        </w:rPr>
        <w:t xml:space="preserve"> October 2021 Opinion and Order at Pages 63-68, Ordering Paragraph 7.</w:t>
      </w:r>
    </w:p>
  </w:footnote>
  <w:footnote w:id="3">
    <w:p w14:paraId="6E8F779B" w14:textId="77777777" w:rsidR="00EF3AFF" w:rsidRPr="00F83363" w:rsidRDefault="00EF3AFF" w:rsidP="00EF3AFF">
      <w:pPr>
        <w:pStyle w:val="FootnoteText"/>
        <w:spacing w:after="0"/>
        <w:ind w:firstLine="0"/>
        <w:rPr>
          <w:sz w:val="20"/>
        </w:rPr>
      </w:pPr>
      <w:r w:rsidRPr="007A7047">
        <w:rPr>
          <w:rStyle w:val="FootnoteReference"/>
          <w:sz w:val="20"/>
        </w:rPr>
        <w:footnoteRef/>
      </w:r>
      <w:r w:rsidRPr="007A7047">
        <w:rPr>
          <w:sz w:val="20"/>
        </w:rPr>
        <w:t xml:space="preserve">  </w:t>
      </w:r>
      <w:r w:rsidRPr="007A7047">
        <w:rPr>
          <w:i/>
          <w:iCs/>
          <w:sz w:val="20"/>
        </w:rPr>
        <w:t xml:space="preserve">Id. </w:t>
      </w:r>
      <w:r w:rsidRPr="007A7047">
        <w:rPr>
          <w:sz w:val="20"/>
        </w:rPr>
        <w:t>at Page 63, Ordering Paragraph 5.</w:t>
      </w:r>
    </w:p>
  </w:footnote>
  <w:footnote w:id="4">
    <w:p w14:paraId="10EC6990" w14:textId="77777777" w:rsidR="00EF3AFF" w:rsidRPr="00EE61F3" w:rsidRDefault="00EF3AFF" w:rsidP="00EF3AFF">
      <w:pPr>
        <w:pStyle w:val="FootnoteText"/>
        <w:ind w:firstLine="0"/>
        <w:rPr>
          <w:sz w:val="20"/>
        </w:rPr>
      </w:pPr>
      <w:r w:rsidRPr="00F83363">
        <w:rPr>
          <w:rStyle w:val="FootnoteReference"/>
          <w:sz w:val="20"/>
        </w:rPr>
        <w:footnoteRef/>
      </w:r>
      <w:r w:rsidRPr="00F83363">
        <w:t xml:space="preserve"> </w:t>
      </w:r>
      <w:r w:rsidRPr="00F83363">
        <w:rPr>
          <w:sz w:val="20"/>
        </w:rPr>
        <w:t xml:space="preserve"> </w:t>
      </w:r>
      <w:r w:rsidRPr="00F83363">
        <w:rPr>
          <w:i/>
          <w:iCs/>
          <w:sz w:val="20"/>
        </w:rPr>
        <w:t>See</w:t>
      </w:r>
      <w:r w:rsidRPr="00F83363">
        <w:rPr>
          <w:sz w:val="20"/>
        </w:rPr>
        <w:t xml:space="preserve"> </w:t>
      </w:r>
      <w:r>
        <w:rPr>
          <w:sz w:val="20"/>
        </w:rPr>
        <w:t>November 2021 Letter</w:t>
      </w:r>
      <w:r w:rsidRPr="00F83363">
        <w:rPr>
          <w:sz w:val="20"/>
        </w:rPr>
        <w:t xml:space="preserve"> and Supplement No. </w:t>
      </w:r>
      <w:r>
        <w:rPr>
          <w:sz w:val="20"/>
        </w:rPr>
        <w:t>31</w:t>
      </w:r>
      <w:r w:rsidRPr="00F83363">
        <w:rPr>
          <w:sz w:val="20"/>
        </w:rPr>
        <w:t xml:space="preserve"> at Docket No. A-2020-30</w:t>
      </w:r>
      <w:r>
        <w:rPr>
          <w:sz w:val="20"/>
        </w:rPr>
        <w:t>20178</w:t>
      </w:r>
      <w:r w:rsidRPr="00F83363">
        <w:rPr>
          <w:sz w:val="20"/>
        </w:rPr>
        <w:t xml:space="preserve">.  By a Secretarial Letter dated </w:t>
      </w:r>
      <w:r>
        <w:rPr>
          <w:sz w:val="20"/>
        </w:rPr>
        <w:t>November 23</w:t>
      </w:r>
      <w:r w:rsidRPr="00F83363">
        <w:rPr>
          <w:sz w:val="20"/>
        </w:rPr>
        <w:t>, 2021, at Docket No. A-2020-30</w:t>
      </w:r>
      <w:r>
        <w:rPr>
          <w:sz w:val="20"/>
        </w:rPr>
        <w:t>20178</w:t>
      </w:r>
      <w:r w:rsidRPr="00F83363">
        <w:rPr>
          <w:sz w:val="20"/>
        </w:rPr>
        <w:t xml:space="preserve">, the Commission permitted Supplement No. </w:t>
      </w:r>
      <w:r>
        <w:rPr>
          <w:sz w:val="20"/>
        </w:rPr>
        <w:t>31</w:t>
      </w:r>
      <w:r w:rsidRPr="00F83363">
        <w:rPr>
          <w:sz w:val="20"/>
        </w:rPr>
        <w:t xml:space="preserve"> to take effect by operation of law.</w:t>
      </w:r>
    </w:p>
  </w:footnote>
  <w:footnote w:id="5">
    <w:p w14:paraId="589A78ED" w14:textId="77777777" w:rsidR="00EF3AFF" w:rsidRPr="006C5AAA" w:rsidRDefault="00EF3AFF" w:rsidP="00EF3AFF">
      <w:pPr>
        <w:pStyle w:val="FootnoteText"/>
        <w:ind w:firstLine="0"/>
        <w:rPr>
          <w:sz w:val="20"/>
        </w:rPr>
      </w:pPr>
      <w:r w:rsidRPr="006C5AAA">
        <w:rPr>
          <w:rStyle w:val="FootnoteReference"/>
          <w:sz w:val="20"/>
        </w:rPr>
        <w:footnoteRef/>
      </w:r>
      <w:r w:rsidRPr="006C5AAA">
        <w:rPr>
          <w:sz w:val="20"/>
        </w:rPr>
        <w:t xml:space="preserve"> </w:t>
      </w:r>
      <w:r>
        <w:rPr>
          <w:sz w:val="20"/>
        </w:rPr>
        <w:t xml:space="preserve"> An acquiring utility may collect a distribution system improvement charge during this time, as approved by the Commission.  66 </w:t>
      </w:r>
      <w:proofErr w:type="spellStart"/>
      <w:r>
        <w:rPr>
          <w:sz w:val="20"/>
        </w:rPr>
        <w:t>Pa.C.S</w:t>
      </w:r>
      <w:proofErr w:type="spellEnd"/>
      <w:r>
        <w:rPr>
          <w:sz w:val="20"/>
        </w:rPr>
        <w:t>. § 1329(d)(4).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40DE" w14:textId="77777777" w:rsidR="00956298" w:rsidRPr="00847BC5" w:rsidRDefault="00EF3AFF" w:rsidP="00956298">
    <w:pPr>
      <w:jc w:val="center"/>
      <w:rPr>
        <w:b/>
        <w:color w:val="000000"/>
        <w:sz w:val="26"/>
        <w:szCs w:val="26"/>
      </w:rPr>
    </w:pPr>
    <w:r w:rsidRPr="00847BC5">
      <w:rPr>
        <w:b/>
        <w:color w:val="000000"/>
        <w:sz w:val="26"/>
        <w:szCs w:val="26"/>
      </w:rPr>
      <w:t>PENNSYLVANIA</w:t>
    </w:r>
  </w:p>
  <w:p w14:paraId="735F4768" w14:textId="77777777" w:rsidR="00956298" w:rsidRPr="00847BC5" w:rsidRDefault="00EF3AFF" w:rsidP="00956298">
    <w:pPr>
      <w:jc w:val="center"/>
      <w:rPr>
        <w:b/>
        <w:color w:val="000000"/>
        <w:sz w:val="26"/>
        <w:szCs w:val="26"/>
      </w:rPr>
    </w:pPr>
    <w:r w:rsidRPr="00847BC5">
      <w:rPr>
        <w:b/>
        <w:color w:val="000000"/>
        <w:sz w:val="26"/>
        <w:szCs w:val="26"/>
      </w:rPr>
      <w:t>PUBLIC UTILITY COMMISSION</w:t>
    </w:r>
  </w:p>
  <w:p w14:paraId="29435AEB" w14:textId="77777777" w:rsidR="00855B37" w:rsidRDefault="00EF3AFF" w:rsidP="00714F3B">
    <w:pPr>
      <w:pStyle w:val="Header"/>
      <w:spacing w:after="240"/>
      <w:jc w:val="center"/>
      <w:rPr>
        <w:b/>
        <w:color w:val="000000"/>
        <w:sz w:val="26"/>
        <w:szCs w:val="26"/>
      </w:rPr>
    </w:pPr>
    <w:r w:rsidRPr="00847BC5">
      <w:rPr>
        <w:b/>
        <w:color w:val="000000"/>
        <w:sz w:val="26"/>
        <w:szCs w:val="26"/>
      </w:rPr>
      <w:t>HARRISBURG, PA 17120</w:t>
    </w:r>
  </w:p>
  <w:p w14:paraId="18039FD9" w14:textId="77777777" w:rsidR="00A45028" w:rsidRPr="00847BC5" w:rsidRDefault="00D145DD" w:rsidP="00714F3B">
    <w:pPr>
      <w:pStyle w:val="Header"/>
      <w:spacing w:after="24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71BB0"/>
    <w:multiLevelType w:val="hybridMultilevel"/>
    <w:tmpl w:val="DBA29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D3363"/>
    <w:multiLevelType w:val="hybridMultilevel"/>
    <w:tmpl w:val="31005496"/>
    <w:lvl w:ilvl="0" w:tplc="5DCCE07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FF"/>
    <w:rsid w:val="00D145DD"/>
    <w:rsid w:val="00DD4616"/>
    <w:rsid w:val="00E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B4B7"/>
  <w15:chartTrackingRefBased/>
  <w15:docId w15:val="{55559CE0-F3B9-4BD4-B7F6-13E5F78F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EF3AFF"/>
    <w:pPr>
      <w:spacing w:after="120"/>
      <w:ind w:firstLine="720"/>
    </w:pPr>
    <w:rPr>
      <w:sz w:val="26"/>
    </w:rPr>
  </w:style>
  <w:style w:type="character" w:customStyle="1" w:styleId="FootnoteTextChar">
    <w:name w:val="Footnote Text Char"/>
    <w:aliases w:val="fn Char,ALTS FOOTNOTE Char,Footnote Text 2 Char,Footnote text Char,FOOTNOTE Char"/>
    <w:basedOn w:val="DefaultParagraphFont"/>
    <w:link w:val="FootnoteText"/>
    <w:semiHidden/>
    <w:rsid w:val="00EF3AFF"/>
    <w:rPr>
      <w:rFonts w:ascii="Times New Roman" w:eastAsia="Times New Roman" w:hAnsi="Times New Roman" w:cs="Times New Roman"/>
      <w:sz w:val="26"/>
      <w:szCs w:val="20"/>
    </w:rPr>
  </w:style>
  <w:style w:type="character" w:styleId="FootnoteReference">
    <w:name w:val="footnote reference"/>
    <w:basedOn w:val="DefaultParagraphFont"/>
    <w:semiHidden/>
    <w:rsid w:val="00EF3AFF"/>
    <w:rPr>
      <w:vertAlign w:val="superscript"/>
    </w:rPr>
  </w:style>
  <w:style w:type="paragraph" w:styleId="Footer">
    <w:name w:val="footer"/>
    <w:basedOn w:val="Normal"/>
    <w:link w:val="FooterChar"/>
    <w:uiPriority w:val="99"/>
    <w:rsid w:val="00EF3AFF"/>
    <w:pPr>
      <w:tabs>
        <w:tab w:val="center" w:pos="4320"/>
        <w:tab w:val="right" w:pos="8640"/>
      </w:tabs>
    </w:pPr>
  </w:style>
  <w:style w:type="character" w:customStyle="1" w:styleId="FooterChar">
    <w:name w:val="Footer Char"/>
    <w:basedOn w:val="DefaultParagraphFont"/>
    <w:link w:val="Footer"/>
    <w:uiPriority w:val="99"/>
    <w:rsid w:val="00EF3AFF"/>
    <w:rPr>
      <w:rFonts w:ascii="Times New Roman" w:eastAsia="Times New Roman" w:hAnsi="Times New Roman" w:cs="Times New Roman"/>
      <w:sz w:val="20"/>
      <w:szCs w:val="20"/>
    </w:rPr>
  </w:style>
  <w:style w:type="character" w:styleId="PageNumber">
    <w:name w:val="page number"/>
    <w:basedOn w:val="DefaultParagraphFont"/>
    <w:rsid w:val="00EF3AFF"/>
  </w:style>
  <w:style w:type="paragraph" w:styleId="Header">
    <w:name w:val="header"/>
    <w:basedOn w:val="Normal"/>
    <w:link w:val="HeaderChar"/>
    <w:uiPriority w:val="99"/>
    <w:rsid w:val="00EF3AFF"/>
    <w:pPr>
      <w:tabs>
        <w:tab w:val="center" w:pos="4320"/>
        <w:tab w:val="right" w:pos="8640"/>
      </w:tabs>
    </w:pPr>
  </w:style>
  <w:style w:type="character" w:customStyle="1" w:styleId="HeaderChar">
    <w:name w:val="Header Char"/>
    <w:basedOn w:val="DefaultParagraphFont"/>
    <w:link w:val="Header"/>
    <w:uiPriority w:val="99"/>
    <w:rsid w:val="00EF3AFF"/>
    <w:rPr>
      <w:rFonts w:ascii="Times New Roman" w:eastAsia="Times New Roman" w:hAnsi="Times New Roman" w:cs="Times New Roman"/>
      <w:sz w:val="20"/>
      <w:szCs w:val="20"/>
    </w:rPr>
  </w:style>
  <w:style w:type="paragraph" w:styleId="ListParagraph">
    <w:name w:val="List Paragraph"/>
    <w:basedOn w:val="Normal"/>
    <w:uiPriority w:val="34"/>
    <w:qFormat/>
    <w:rsid w:val="00EF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1715</Words>
  <Characters>9781</Characters>
  <Application>Microsoft Office Word</Application>
  <DocSecurity>4</DocSecurity>
  <Lines>81</Lines>
  <Paragraphs>22</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Wagner, Nathan R</cp:lastModifiedBy>
  <cp:revision>2</cp:revision>
  <dcterms:created xsi:type="dcterms:W3CDTF">2022-01-13T15:44:00Z</dcterms:created>
  <dcterms:modified xsi:type="dcterms:W3CDTF">2022-01-13T15:44:00Z</dcterms:modified>
</cp:coreProperties>
</file>