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57EB" w14:textId="77777777" w:rsidR="00F250F5" w:rsidRDefault="00F250F5" w:rsidP="00F250F5">
      <w:pPr>
        <w:jc w:val="center"/>
        <w:rPr>
          <w:b/>
        </w:rPr>
      </w:pPr>
      <w:r>
        <w:rPr>
          <w:b/>
        </w:rPr>
        <w:t>PENNSYLVANIA</w:t>
      </w:r>
    </w:p>
    <w:p w14:paraId="2B8AA3BF" w14:textId="77777777" w:rsidR="00F250F5" w:rsidRDefault="00F250F5" w:rsidP="00F250F5">
      <w:pPr>
        <w:jc w:val="center"/>
        <w:rPr>
          <w:b/>
        </w:rPr>
      </w:pPr>
      <w:r>
        <w:rPr>
          <w:b/>
        </w:rPr>
        <w:t>PUBLIC UTILITY COMMISSION</w:t>
      </w:r>
    </w:p>
    <w:p w14:paraId="00B893E8" w14:textId="77777777" w:rsidR="00F250F5" w:rsidRDefault="00F250F5" w:rsidP="00F250F5">
      <w:pPr>
        <w:jc w:val="center"/>
        <w:rPr>
          <w:b/>
        </w:rPr>
      </w:pPr>
      <w:r>
        <w:rPr>
          <w:b/>
        </w:rPr>
        <w:t>Harrisburg, PA  17120</w:t>
      </w:r>
    </w:p>
    <w:p w14:paraId="440EE3A1" w14:textId="41434242" w:rsidR="00F250F5" w:rsidRDefault="00F250F5" w:rsidP="00F250F5">
      <w:pPr>
        <w:jc w:val="center"/>
        <w:rPr>
          <w:b/>
        </w:rPr>
      </w:pPr>
    </w:p>
    <w:p w14:paraId="4C51A6F5" w14:textId="77777777" w:rsidR="00D21AC2" w:rsidRDefault="00D21AC2" w:rsidP="00F250F5">
      <w:pPr>
        <w:jc w:val="center"/>
        <w:rPr>
          <w:b/>
        </w:rPr>
      </w:pPr>
    </w:p>
    <w:p w14:paraId="0A3F61BF" w14:textId="5DF913A5" w:rsidR="00F250F5" w:rsidRDefault="00F250F5" w:rsidP="00F250F5">
      <w:pPr>
        <w:jc w:val="right"/>
      </w:pPr>
      <w:r>
        <w:t>Public Meeting held January 13, 2022</w:t>
      </w:r>
    </w:p>
    <w:p w14:paraId="3C959B8D" w14:textId="737EDBB1" w:rsidR="00F250F5" w:rsidRDefault="00F250F5" w:rsidP="00F250F5"/>
    <w:p w14:paraId="64BF1B92" w14:textId="77777777" w:rsidR="00D21AC2" w:rsidRDefault="00D21AC2" w:rsidP="00F250F5"/>
    <w:p w14:paraId="527D4EC8" w14:textId="77777777" w:rsidR="00F250F5" w:rsidRDefault="00F250F5" w:rsidP="00F250F5">
      <w:r>
        <w:t>Commissioners Present:</w:t>
      </w:r>
    </w:p>
    <w:p w14:paraId="2C443157" w14:textId="77777777" w:rsidR="00F250F5" w:rsidRDefault="00F250F5" w:rsidP="00F250F5"/>
    <w:p w14:paraId="4F25928C" w14:textId="4A403C6D" w:rsidR="00F250F5" w:rsidRPr="00472F90" w:rsidRDefault="00F250F5" w:rsidP="00F250F5">
      <w:pPr>
        <w:tabs>
          <w:tab w:val="left" w:pos="705"/>
        </w:tabs>
        <w:ind w:firstLine="720"/>
        <w:rPr>
          <w:szCs w:val="26"/>
        </w:rPr>
      </w:pPr>
      <w:r>
        <w:rPr>
          <w:szCs w:val="26"/>
        </w:rPr>
        <w:t xml:space="preserve">Gladys Brown </w:t>
      </w:r>
      <w:r w:rsidRPr="001856C2">
        <w:rPr>
          <w:szCs w:val="26"/>
        </w:rPr>
        <w:t>Dutrieuille,</w:t>
      </w:r>
      <w:r w:rsidRPr="00472F90">
        <w:rPr>
          <w:szCs w:val="26"/>
        </w:rPr>
        <w:t xml:space="preserve"> Chairman</w:t>
      </w:r>
    </w:p>
    <w:p w14:paraId="6F73EAAF" w14:textId="4F6FF193" w:rsidR="00F250F5" w:rsidRDefault="00F0113A" w:rsidP="00F0113A">
      <w:pPr>
        <w:tabs>
          <w:tab w:val="left" w:pos="705"/>
        </w:tabs>
        <w:ind w:firstLine="720"/>
        <w:rPr>
          <w:szCs w:val="26"/>
        </w:rPr>
      </w:pPr>
      <w:r w:rsidRPr="00472F90">
        <w:rPr>
          <w:szCs w:val="26"/>
        </w:rPr>
        <w:t>John F. Coleman, Jr.</w:t>
      </w:r>
      <w:r w:rsidR="00F250F5" w:rsidRPr="001856C2">
        <w:rPr>
          <w:szCs w:val="26"/>
        </w:rPr>
        <w:t>,</w:t>
      </w:r>
      <w:r w:rsidR="00F250F5">
        <w:rPr>
          <w:szCs w:val="26"/>
        </w:rPr>
        <w:t xml:space="preserve"> </w:t>
      </w:r>
      <w:r w:rsidR="00F250F5" w:rsidRPr="00472F90">
        <w:rPr>
          <w:szCs w:val="26"/>
        </w:rPr>
        <w:t>Vice Chairman</w:t>
      </w:r>
    </w:p>
    <w:p w14:paraId="75C7BD12" w14:textId="77777777" w:rsidR="00F250F5" w:rsidRPr="001856C2" w:rsidRDefault="00F250F5" w:rsidP="00F250F5">
      <w:pPr>
        <w:tabs>
          <w:tab w:val="left" w:pos="-720"/>
        </w:tabs>
        <w:ind w:left="720"/>
        <w:rPr>
          <w:szCs w:val="26"/>
        </w:rPr>
      </w:pPr>
      <w:r>
        <w:rPr>
          <w:szCs w:val="26"/>
        </w:rPr>
        <w:t>Ralph V. Yanora</w:t>
      </w:r>
    </w:p>
    <w:p w14:paraId="0AAD4D49" w14:textId="12919D10" w:rsidR="00F250F5" w:rsidRDefault="00F250F5" w:rsidP="00F250F5">
      <w:pPr>
        <w:tabs>
          <w:tab w:val="left" w:pos="705"/>
        </w:tabs>
      </w:pPr>
    </w:p>
    <w:p w14:paraId="77432D4D" w14:textId="77777777" w:rsidR="00D21AC2" w:rsidRDefault="00D21AC2" w:rsidP="00F250F5">
      <w:pPr>
        <w:tabs>
          <w:tab w:val="left" w:pos="705"/>
        </w:tabs>
      </w:pPr>
    </w:p>
    <w:tbl>
      <w:tblPr>
        <w:tblW w:w="9360" w:type="dxa"/>
        <w:tblLook w:val="04A0" w:firstRow="1" w:lastRow="0" w:firstColumn="1" w:lastColumn="0" w:noHBand="0" w:noVBand="1"/>
      </w:tblPr>
      <w:tblGrid>
        <w:gridCol w:w="6750"/>
        <w:gridCol w:w="360"/>
        <w:gridCol w:w="2250"/>
      </w:tblGrid>
      <w:tr w:rsidR="00F250F5" w:rsidRPr="0019098D" w14:paraId="692905CD" w14:textId="77777777" w:rsidTr="003F6BBD">
        <w:trPr>
          <w:trHeight w:val="1593"/>
        </w:trPr>
        <w:tc>
          <w:tcPr>
            <w:tcW w:w="6750" w:type="dxa"/>
          </w:tcPr>
          <w:p w14:paraId="357A92CE" w14:textId="1E949BFE" w:rsidR="00F250F5" w:rsidRPr="0019098D" w:rsidRDefault="00F250F5" w:rsidP="003F6BBD">
            <w:pPr>
              <w:ind w:right="974"/>
              <w:rPr>
                <w:szCs w:val="26"/>
              </w:rPr>
            </w:pPr>
            <w:r w:rsidRPr="0019098D">
              <w:rPr>
                <w:szCs w:val="26"/>
              </w:rPr>
              <w:t xml:space="preserve">Joint Petition of </w:t>
            </w:r>
            <w:r w:rsidR="00F0113A">
              <w:t>The United Telephone Company</w:t>
            </w:r>
            <w:r w:rsidR="004B4757">
              <w:t xml:space="preserve"> </w:t>
            </w:r>
            <w:r w:rsidR="00584C30">
              <w:t xml:space="preserve">of Pennsylvania LLC </w:t>
            </w:r>
            <w:r w:rsidR="004B4757">
              <w:t xml:space="preserve">d/b/a CenturyLink </w:t>
            </w:r>
            <w:r>
              <w:rPr>
                <w:kern w:val="24"/>
                <w:szCs w:val="26"/>
              </w:rPr>
              <w:t xml:space="preserve">and </w:t>
            </w:r>
            <w:r w:rsidR="00F0113A">
              <w:t xml:space="preserve">Dish Wireless L.L.C. </w:t>
            </w:r>
            <w:r w:rsidRPr="0019098D">
              <w:rPr>
                <w:szCs w:val="26"/>
              </w:rPr>
              <w:t xml:space="preserve">for Approval of </w:t>
            </w:r>
            <w:r>
              <w:rPr>
                <w:szCs w:val="26"/>
              </w:rPr>
              <w:t xml:space="preserve">an </w:t>
            </w:r>
            <w:r w:rsidRPr="0019098D">
              <w:rPr>
                <w:szCs w:val="26"/>
              </w:rPr>
              <w:t xml:space="preserve">Amendment to </w:t>
            </w:r>
            <w:r>
              <w:rPr>
                <w:szCs w:val="26"/>
              </w:rPr>
              <w:t>a</w:t>
            </w:r>
            <w:r w:rsidR="009443B4">
              <w:rPr>
                <w:szCs w:val="26"/>
              </w:rPr>
              <w:t>n</w:t>
            </w:r>
            <w:r w:rsidR="006710E7">
              <w:rPr>
                <w:szCs w:val="26"/>
              </w:rPr>
              <w:t xml:space="preserve"> </w:t>
            </w:r>
            <w:r w:rsidRPr="0019098D">
              <w:rPr>
                <w:szCs w:val="26"/>
              </w:rPr>
              <w:t>Interconnection Agreement under Section 252(e) of the Telecommunications Act of 1996</w:t>
            </w:r>
          </w:p>
        </w:tc>
        <w:tc>
          <w:tcPr>
            <w:tcW w:w="2610" w:type="dxa"/>
            <w:gridSpan w:val="2"/>
            <w:hideMark/>
          </w:tcPr>
          <w:p w14:paraId="3A5EC5E6" w14:textId="18CFE698" w:rsidR="00F250F5" w:rsidRPr="0019098D" w:rsidRDefault="00F250F5" w:rsidP="003F6BBD">
            <w:pPr>
              <w:contextualSpacing/>
              <w:jc w:val="right"/>
              <w:rPr>
                <w:szCs w:val="26"/>
              </w:rPr>
            </w:pPr>
            <w:r w:rsidRPr="0019098D">
              <w:rPr>
                <w:szCs w:val="26"/>
              </w:rPr>
              <w:t>A-2021-302</w:t>
            </w:r>
            <w:r>
              <w:rPr>
                <w:szCs w:val="26"/>
              </w:rPr>
              <w:t>9243</w:t>
            </w:r>
          </w:p>
          <w:p w14:paraId="60DAD2F5" w14:textId="77777777" w:rsidR="00F250F5" w:rsidRPr="0019098D" w:rsidRDefault="00F250F5" w:rsidP="003F6BBD">
            <w:pPr>
              <w:contextualSpacing/>
              <w:jc w:val="right"/>
              <w:rPr>
                <w:szCs w:val="26"/>
              </w:rPr>
            </w:pPr>
          </w:p>
          <w:p w14:paraId="45DBE901" w14:textId="77777777" w:rsidR="00F250F5" w:rsidRPr="0019098D" w:rsidRDefault="00F250F5" w:rsidP="003F6BBD">
            <w:pPr>
              <w:contextualSpacing/>
              <w:jc w:val="right"/>
              <w:rPr>
                <w:szCs w:val="26"/>
              </w:rPr>
            </w:pPr>
          </w:p>
          <w:p w14:paraId="2086A9B3" w14:textId="77777777" w:rsidR="00F250F5" w:rsidRPr="0019098D" w:rsidRDefault="00F250F5" w:rsidP="003F6BBD">
            <w:pPr>
              <w:contextualSpacing/>
              <w:jc w:val="right"/>
              <w:rPr>
                <w:szCs w:val="26"/>
              </w:rPr>
            </w:pPr>
          </w:p>
        </w:tc>
      </w:tr>
      <w:tr w:rsidR="00F250F5" w:rsidRPr="0019098D" w14:paraId="08EB944B" w14:textId="77777777" w:rsidTr="003F6BBD">
        <w:trPr>
          <w:trHeight w:val="307"/>
        </w:trPr>
        <w:tc>
          <w:tcPr>
            <w:tcW w:w="7110" w:type="dxa"/>
            <w:gridSpan w:val="2"/>
          </w:tcPr>
          <w:p w14:paraId="65D07824" w14:textId="77777777" w:rsidR="00F250F5" w:rsidRPr="0019098D" w:rsidRDefault="00F250F5" w:rsidP="003F6BBD">
            <w:pPr>
              <w:spacing w:line="276" w:lineRule="auto"/>
              <w:contextualSpacing/>
              <w:rPr>
                <w:szCs w:val="26"/>
              </w:rPr>
            </w:pPr>
          </w:p>
        </w:tc>
        <w:tc>
          <w:tcPr>
            <w:tcW w:w="2250" w:type="dxa"/>
          </w:tcPr>
          <w:p w14:paraId="099DE1C9" w14:textId="77777777" w:rsidR="00F250F5" w:rsidRPr="0019098D" w:rsidRDefault="00F250F5" w:rsidP="003F6BBD">
            <w:pPr>
              <w:spacing w:line="276" w:lineRule="auto"/>
              <w:contextualSpacing/>
              <w:jc w:val="center"/>
              <w:rPr>
                <w:szCs w:val="26"/>
              </w:rPr>
            </w:pPr>
          </w:p>
        </w:tc>
      </w:tr>
    </w:tbl>
    <w:p w14:paraId="382E0BC4" w14:textId="77777777" w:rsidR="00D21AC2" w:rsidRDefault="00D21AC2" w:rsidP="00F250F5">
      <w:pPr>
        <w:jc w:val="center"/>
        <w:rPr>
          <w:b/>
          <w:szCs w:val="26"/>
        </w:rPr>
      </w:pPr>
    </w:p>
    <w:p w14:paraId="6EF665FF" w14:textId="426F0560" w:rsidR="00F250F5" w:rsidRPr="0019098D" w:rsidRDefault="00F250F5" w:rsidP="00F250F5">
      <w:pPr>
        <w:jc w:val="center"/>
        <w:rPr>
          <w:b/>
          <w:szCs w:val="26"/>
        </w:rPr>
      </w:pPr>
      <w:r w:rsidRPr="0019098D">
        <w:rPr>
          <w:b/>
          <w:szCs w:val="26"/>
        </w:rPr>
        <w:t>OPINION AND ORDER</w:t>
      </w:r>
    </w:p>
    <w:p w14:paraId="7DB3CB96" w14:textId="77777777" w:rsidR="00F250F5" w:rsidRPr="0019098D" w:rsidRDefault="00F250F5" w:rsidP="00D21AC2">
      <w:pPr>
        <w:spacing w:line="360" w:lineRule="auto"/>
        <w:jc w:val="center"/>
        <w:rPr>
          <w:b/>
          <w:szCs w:val="26"/>
        </w:rPr>
      </w:pPr>
    </w:p>
    <w:p w14:paraId="759645AE" w14:textId="77777777" w:rsidR="00F250F5" w:rsidRPr="0019098D" w:rsidRDefault="00F250F5" w:rsidP="00F250F5">
      <w:pPr>
        <w:rPr>
          <w:b/>
          <w:szCs w:val="26"/>
        </w:rPr>
      </w:pPr>
      <w:r w:rsidRPr="0019098D">
        <w:rPr>
          <w:b/>
          <w:szCs w:val="26"/>
        </w:rPr>
        <w:t>BY THE COMMISSION:</w:t>
      </w:r>
    </w:p>
    <w:p w14:paraId="20FC1EB9" w14:textId="77777777" w:rsidR="00F250F5" w:rsidRPr="0019098D" w:rsidRDefault="00F250F5" w:rsidP="00F250F5">
      <w:pPr>
        <w:spacing w:line="360" w:lineRule="auto"/>
        <w:rPr>
          <w:b/>
          <w:szCs w:val="26"/>
        </w:rPr>
      </w:pPr>
    </w:p>
    <w:p w14:paraId="03335216" w14:textId="12B603F6" w:rsidR="00F250F5" w:rsidRDefault="00F250F5" w:rsidP="00F250F5">
      <w:pPr>
        <w:spacing w:line="360" w:lineRule="auto"/>
        <w:rPr>
          <w:szCs w:val="26"/>
        </w:rPr>
      </w:pPr>
      <w:r w:rsidRPr="0019098D">
        <w:rPr>
          <w:b/>
          <w:szCs w:val="26"/>
        </w:rPr>
        <w:tab/>
      </w:r>
      <w:r w:rsidRPr="0019098D">
        <w:rPr>
          <w:b/>
          <w:szCs w:val="26"/>
        </w:rPr>
        <w:tab/>
      </w:r>
      <w:r w:rsidRPr="0019098D">
        <w:rPr>
          <w:szCs w:val="26"/>
        </w:rPr>
        <w:t xml:space="preserve">Before the Pennsylvania Public Utility Commission (Commission) for consideration is the Joint Petition requesting approval of </w:t>
      </w:r>
      <w:r>
        <w:rPr>
          <w:szCs w:val="26"/>
        </w:rPr>
        <w:t xml:space="preserve">an </w:t>
      </w:r>
      <w:r w:rsidRPr="0019098D">
        <w:rPr>
          <w:szCs w:val="26"/>
        </w:rPr>
        <w:t xml:space="preserve">Amendment to </w:t>
      </w:r>
      <w:r>
        <w:rPr>
          <w:szCs w:val="26"/>
        </w:rPr>
        <w:t>a</w:t>
      </w:r>
      <w:r w:rsidR="00650A9C">
        <w:t xml:space="preserve"> Commercial Mobile Radio Service (CMRS) Interconnection Agreement </w:t>
      </w:r>
      <w:r w:rsidRPr="0019098D">
        <w:rPr>
          <w:szCs w:val="26"/>
        </w:rPr>
        <w:t>(Amendment)</w:t>
      </w:r>
      <w:r>
        <w:rPr>
          <w:szCs w:val="26"/>
        </w:rPr>
        <w:t xml:space="preserve"> between </w:t>
      </w:r>
      <w:r w:rsidR="00650A9C">
        <w:t>The United Telephone Company of Pennsylvania LLC d/b/a CenturyLink (CenturyLink) and Dish Wireless L.L.C. (Dish Wireless) (collectively, Parties).</w:t>
      </w:r>
      <w:r w:rsidR="001B67D7">
        <w:rPr>
          <w:rStyle w:val="FootnoteReference"/>
        </w:rPr>
        <w:footnoteReference w:id="1"/>
      </w:r>
      <w:r w:rsidR="00650A9C">
        <w:t xml:space="preserve">  </w:t>
      </w:r>
      <w:r w:rsidRPr="0019098D">
        <w:rPr>
          <w:szCs w:val="26"/>
        </w:rPr>
        <w:t>The Amendment w</w:t>
      </w:r>
      <w:r>
        <w:rPr>
          <w:szCs w:val="26"/>
        </w:rPr>
        <w:t>as</w:t>
      </w:r>
      <w:r w:rsidRPr="0019098D">
        <w:rPr>
          <w:szCs w:val="26"/>
        </w:rPr>
        <w:t xml:space="preserve"> filed </w:t>
      </w:r>
      <w:r w:rsidRPr="0019098D">
        <w:rPr>
          <w:szCs w:val="26"/>
        </w:rPr>
        <w:lastRenderedPageBreak/>
        <w:t>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BC2A9CA" w14:textId="77777777" w:rsidR="004E612F" w:rsidRDefault="004E612F" w:rsidP="00F250F5">
      <w:pPr>
        <w:spacing w:line="360" w:lineRule="auto"/>
        <w:rPr>
          <w:szCs w:val="26"/>
        </w:rPr>
      </w:pPr>
    </w:p>
    <w:p w14:paraId="66895C27" w14:textId="77777777" w:rsidR="00F250F5" w:rsidRPr="0019098D" w:rsidRDefault="00F250F5" w:rsidP="00F250F5">
      <w:pPr>
        <w:spacing w:line="360" w:lineRule="auto"/>
        <w:jc w:val="center"/>
        <w:rPr>
          <w:b/>
          <w:szCs w:val="26"/>
        </w:rPr>
      </w:pPr>
      <w:r w:rsidRPr="0019098D">
        <w:rPr>
          <w:b/>
          <w:szCs w:val="26"/>
        </w:rPr>
        <w:t>History of the Proceeding</w:t>
      </w:r>
    </w:p>
    <w:p w14:paraId="3EA12666" w14:textId="77777777" w:rsidR="00F250F5" w:rsidRPr="0019098D" w:rsidRDefault="00F250F5" w:rsidP="00F250F5">
      <w:pPr>
        <w:spacing w:line="360" w:lineRule="auto"/>
        <w:jc w:val="center"/>
        <w:rPr>
          <w:b/>
          <w:szCs w:val="26"/>
          <w:u w:val="single"/>
        </w:rPr>
      </w:pPr>
    </w:p>
    <w:p w14:paraId="474AF5EA" w14:textId="04E5D2DB" w:rsidR="00F250F5" w:rsidRPr="0019098D" w:rsidRDefault="00F250F5" w:rsidP="00F250F5">
      <w:pPr>
        <w:spacing w:line="360" w:lineRule="auto"/>
        <w:rPr>
          <w:szCs w:val="26"/>
        </w:rPr>
      </w:pPr>
      <w:r w:rsidRPr="0019098D">
        <w:rPr>
          <w:szCs w:val="26"/>
        </w:rPr>
        <w:tab/>
      </w:r>
      <w:r w:rsidRPr="0019098D">
        <w:rPr>
          <w:szCs w:val="26"/>
        </w:rPr>
        <w:tab/>
        <w:t xml:space="preserve">On </w:t>
      </w:r>
      <w:r w:rsidR="00650A9C">
        <w:rPr>
          <w:szCs w:val="26"/>
        </w:rPr>
        <w:t>October</w:t>
      </w:r>
      <w:r w:rsidRPr="0019098D">
        <w:rPr>
          <w:szCs w:val="26"/>
        </w:rPr>
        <w:t xml:space="preserve"> </w:t>
      </w:r>
      <w:r w:rsidR="00650A9C">
        <w:rPr>
          <w:szCs w:val="26"/>
        </w:rPr>
        <w:t>22</w:t>
      </w:r>
      <w:r w:rsidRPr="0019098D">
        <w:rPr>
          <w:szCs w:val="26"/>
        </w:rPr>
        <w:t xml:space="preserve">, 2021, </w:t>
      </w:r>
      <w:r w:rsidR="00650A9C">
        <w:rPr>
          <w:szCs w:val="26"/>
        </w:rPr>
        <w:t>CenturyLink</w:t>
      </w:r>
      <w:r>
        <w:rPr>
          <w:szCs w:val="26"/>
        </w:rPr>
        <w:t xml:space="preserve"> and </w:t>
      </w:r>
      <w:r w:rsidR="00D630ED">
        <w:rPr>
          <w:szCs w:val="26"/>
        </w:rPr>
        <w:t>Dish Wireless</w:t>
      </w:r>
      <w:r w:rsidRPr="0019098D">
        <w:rPr>
          <w:szCs w:val="26"/>
        </w:rPr>
        <w:t xml:space="preserve"> filed a Joint Petition for approval of </w:t>
      </w:r>
      <w:r w:rsidR="0002172E">
        <w:rPr>
          <w:szCs w:val="26"/>
        </w:rPr>
        <w:t>an</w:t>
      </w:r>
      <w:r>
        <w:rPr>
          <w:szCs w:val="26"/>
        </w:rPr>
        <w:t xml:space="preserve"> </w:t>
      </w:r>
      <w:r w:rsidRPr="0019098D">
        <w:rPr>
          <w:szCs w:val="26"/>
        </w:rPr>
        <w:t xml:space="preserve">Amendment to </w:t>
      </w:r>
      <w:r>
        <w:rPr>
          <w:szCs w:val="26"/>
        </w:rPr>
        <w:t>a</w:t>
      </w:r>
      <w:r w:rsidR="00B529A5">
        <w:rPr>
          <w:szCs w:val="26"/>
        </w:rPr>
        <w:t xml:space="preserve"> CMRS</w:t>
      </w:r>
      <w:r>
        <w:rPr>
          <w:szCs w:val="26"/>
        </w:rPr>
        <w:t xml:space="preserve"> </w:t>
      </w:r>
      <w:r w:rsidRPr="0019098D">
        <w:rPr>
          <w:szCs w:val="26"/>
        </w:rPr>
        <w:t>Interconnection Agreement</w:t>
      </w:r>
      <w:r>
        <w:rPr>
          <w:szCs w:val="26"/>
        </w:rPr>
        <w:t xml:space="preserve"> between the Parties</w:t>
      </w:r>
      <w:r w:rsidRPr="0019098D">
        <w:rPr>
          <w:szCs w:val="26"/>
        </w:rPr>
        <w:t xml:space="preserve">.  </w:t>
      </w:r>
      <w:r>
        <w:t xml:space="preserve">The Commission’s </w:t>
      </w:r>
      <w:r w:rsidRPr="0019098D">
        <w:rPr>
          <w:i/>
          <w:iCs/>
          <w:szCs w:val="26"/>
        </w:rPr>
        <w:t xml:space="preserve">May 2004 </w:t>
      </w:r>
      <w:r w:rsidRPr="00A84B96">
        <w:rPr>
          <w:i/>
          <w:iCs/>
        </w:rPr>
        <w:t>Implementation Order</w:t>
      </w:r>
      <w:r>
        <w:t xml:space="preserve"> requires Parties to file a signed copy of the Amendment with the Commission within thirty days of its signing.  The last Party signed the Amendment on </w:t>
      </w:r>
      <w:r w:rsidR="00C93CC4">
        <w:t>October</w:t>
      </w:r>
      <w:r>
        <w:t xml:space="preserve"> </w:t>
      </w:r>
      <w:r w:rsidR="00C93CC4">
        <w:t>3</w:t>
      </w:r>
      <w:r>
        <w:t xml:space="preserve">, 2021.  Accordingly, the Amendment was filed in accordance with the required thirty-day deadline.  </w:t>
      </w:r>
      <w:r w:rsidRPr="0019098D">
        <w:rPr>
          <w:szCs w:val="26"/>
        </w:rPr>
        <w:t>Notice of the Joint Petition and Amendment w</w:t>
      </w:r>
      <w:r>
        <w:rPr>
          <w:szCs w:val="26"/>
        </w:rPr>
        <w:t>as</w:t>
      </w:r>
      <w:r w:rsidRPr="0019098D">
        <w:rPr>
          <w:szCs w:val="26"/>
        </w:rPr>
        <w:t xml:space="preserve"> published in the </w:t>
      </w:r>
      <w:r w:rsidRPr="0019098D">
        <w:rPr>
          <w:i/>
          <w:szCs w:val="26"/>
        </w:rPr>
        <w:t>Pennsylvania Bulletin</w:t>
      </w:r>
      <w:r w:rsidRPr="0019098D">
        <w:rPr>
          <w:szCs w:val="26"/>
        </w:rPr>
        <w:t xml:space="preserve"> on </w:t>
      </w:r>
      <w:r w:rsidR="00D630ED">
        <w:rPr>
          <w:szCs w:val="26"/>
        </w:rPr>
        <w:t>November</w:t>
      </w:r>
      <w:r w:rsidRPr="0019098D">
        <w:rPr>
          <w:szCs w:val="26"/>
        </w:rPr>
        <w:t> </w:t>
      </w:r>
      <w:r w:rsidR="00D630ED">
        <w:rPr>
          <w:szCs w:val="26"/>
        </w:rPr>
        <w:t>6</w:t>
      </w:r>
      <w:r w:rsidRPr="0019098D">
        <w:rPr>
          <w:szCs w:val="26"/>
        </w:rPr>
        <w:t>, 2021, at 51 </w:t>
      </w:r>
      <w:r w:rsidRPr="0019098D">
        <w:rPr>
          <w:i/>
          <w:szCs w:val="26"/>
        </w:rPr>
        <w:t>Pa.B</w:t>
      </w:r>
      <w:r w:rsidRPr="0019098D">
        <w:rPr>
          <w:iCs/>
          <w:szCs w:val="26"/>
        </w:rPr>
        <w:t>.</w:t>
      </w:r>
      <w:r w:rsidRPr="0019098D">
        <w:rPr>
          <w:szCs w:val="26"/>
        </w:rPr>
        <w:t> </w:t>
      </w:r>
      <w:r w:rsidR="00D630ED">
        <w:rPr>
          <w:szCs w:val="26"/>
        </w:rPr>
        <w:t>7</w:t>
      </w:r>
      <w:r>
        <w:rPr>
          <w:szCs w:val="26"/>
        </w:rPr>
        <w:t>0</w:t>
      </w:r>
      <w:r w:rsidR="00D630ED">
        <w:rPr>
          <w:szCs w:val="26"/>
        </w:rPr>
        <w:t>35</w:t>
      </w:r>
      <w:r w:rsidRPr="0019098D">
        <w:rPr>
          <w:szCs w:val="26"/>
        </w:rPr>
        <w:t>, advising that any interested parties could file comments concerning the Joint Petition and Amendment within ten days.  No comments have been received.</w:t>
      </w:r>
    </w:p>
    <w:p w14:paraId="21C8EA33" w14:textId="77777777" w:rsidR="00F250F5" w:rsidRPr="0019098D" w:rsidRDefault="00F250F5" w:rsidP="00F250F5">
      <w:pPr>
        <w:spacing w:line="360" w:lineRule="auto"/>
        <w:rPr>
          <w:szCs w:val="26"/>
        </w:rPr>
      </w:pPr>
    </w:p>
    <w:p w14:paraId="33CD785A" w14:textId="2521A04F" w:rsidR="00F250F5" w:rsidRDefault="00F250F5" w:rsidP="00F250F5">
      <w:pPr>
        <w:spacing w:line="360" w:lineRule="auto"/>
        <w:ind w:firstLine="720"/>
        <w:rPr>
          <w:szCs w:val="26"/>
        </w:rPr>
      </w:pPr>
      <w:r w:rsidRPr="0019098D">
        <w:rPr>
          <w:szCs w:val="26"/>
        </w:rPr>
        <w:tab/>
      </w:r>
      <w:r w:rsidR="0095298B">
        <w:t xml:space="preserve">The </w:t>
      </w:r>
      <w:r w:rsidR="005B5A3F">
        <w:t>Amendment</w:t>
      </w:r>
      <w:r w:rsidR="0095298B">
        <w:t xml:space="preserve"> will become effective on the date of the Commission’s approval of the Amendment.  T</w:t>
      </w:r>
      <w:r w:rsidR="0095298B" w:rsidRPr="007713B5">
        <w:t xml:space="preserve">he Parties </w:t>
      </w:r>
      <w:r w:rsidR="0095298B">
        <w:t>also</w:t>
      </w:r>
      <w:r w:rsidR="0095298B" w:rsidRPr="007713B5">
        <w:t xml:space="preserve"> agree </w:t>
      </w:r>
      <w:r w:rsidR="0095298B">
        <w:t>that each Party may</w:t>
      </w:r>
      <w:r w:rsidR="0095298B" w:rsidRPr="007713B5">
        <w:t xml:space="preserve"> implement the</w:t>
      </w:r>
      <w:r w:rsidR="0095298B">
        <w:t xml:space="preserve"> provisions of the Amendment</w:t>
      </w:r>
      <w:r w:rsidR="0095298B" w:rsidRPr="007713B5">
        <w:t xml:space="preserve"> upon </w:t>
      </w:r>
      <w:r w:rsidR="0095298B">
        <w:t xml:space="preserve">its </w:t>
      </w:r>
      <w:r w:rsidR="0095298B" w:rsidRPr="007713B5">
        <w:t>execution</w:t>
      </w:r>
      <w:r w:rsidR="0095298B">
        <w:t xml:space="preserve"> by both Parties.  </w:t>
      </w:r>
      <w:r w:rsidRPr="0019098D">
        <w:rPr>
          <w:szCs w:val="26"/>
        </w:rPr>
        <w:t>Amendment</w:t>
      </w:r>
      <w:r>
        <w:rPr>
          <w:szCs w:val="26"/>
        </w:rPr>
        <w:t xml:space="preserve"> </w:t>
      </w:r>
      <w:r w:rsidRPr="0019098D">
        <w:rPr>
          <w:szCs w:val="26"/>
        </w:rPr>
        <w:t xml:space="preserve">at 1.  In the Joint Petition before us, </w:t>
      </w:r>
      <w:r w:rsidR="00650A9C">
        <w:rPr>
          <w:szCs w:val="26"/>
        </w:rPr>
        <w:t>CenturyLink</w:t>
      </w:r>
      <w:r w:rsidRPr="0019098D">
        <w:rPr>
          <w:szCs w:val="26"/>
        </w:rPr>
        <w:t xml:space="preserve"> is the Incumbent Local Exchange Carrier </w:t>
      </w:r>
      <w:r w:rsidRPr="0019098D">
        <w:rPr>
          <w:szCs w:val="26"/>
        </w:rPr>
        <w:lastRenderedPageBreak/>
        <w:t xml:space="preserve">(ILEC).  </w:t>
      </w:r>
      <w:r w:rsidR="00D630ED">
        <w:rPr>
          <w:szCs w:val="26"/>
        </w:rPr>
        <w:t>Dish Wireless</w:t>
      </w:r>
      <w:r>
        <w:rPr>
          <w:szCs w:val="26"/>
        </w:rPr>
        <w:t xml:space="preserve"> is</w:t>
      </w:r>
      <w:r w:rsidRPr="0019098D">
        <w:rPr>
          <w:szCs w:val="26"/>
        </w:rPr>
        <w:t xml:space="preserve"> certificated Competitive Local Exchange Carrier (CLEC) in the service territory of </w:t>
      </w:r>
      <w:r w:rsidR="00650A9C">
        <w:rPr>
          <w:szCs w:val="26"/>
        </w:rPr>
        <w:t>CenturyLink</w:t>
      </w:r>
      <w:r w:rsidRPr="0019098D">
        <w:rPr>
          <w:szCs w:val="26"/>
        </w:rPr>
        <w:t>.</w:t>
      </w:r>
      <w:r w:rsidRPr="0019098D">
        <w:rPr>
          <w:rStyle w:val="FootnoteReference"/>
          <w:szCs w:val="26"/>
        </w:rPr>
        <w:footnoteReference w:id="2"/>
      </w:r>
    </w:p>
    <w:p w14:paraId="160FC5FA" w14:textId="77777777" w:rsidR="00D21AC2" w:rsidRPr="0019098D" w:rsidRDefault="00D21AC2" w:rsidP="00F250F5">
      <w:pPr>
        <w:spacing w:line="360" w:lineRule="auto"/>
        <w:ind w:firstLine="720"/>
        <w:rPr>
          <w:szCs w:val="26"/>
        </w:rPr>
      </w:pPr>
    </w:p>
    <w:p w14:paraId="6C8ED5A8" w14:textId="77777777" w:rsidR="00F250F5" w:rsidRPr="0019098D" w:rsidRDefault="00F250F5" w:rsidP="00F250F5">
      <w:pPr>
        <w:keepNext/>
        <w:spacing w:line="360" w:lineRule="auto"/>
        <w:jc w:val="center"/>
        <w:rPr>
          <w:b/>
          <w:szCs w:val="26"/>
        </w:rPr>
      </w:pPr>
      <w:r w:rsidRPr="0019098D">
        <w:rPr>
          <w:b/>
          <w:szCs w:val="26"/>
        </w:rPr>
        <w:t>Discussion</w:t>
      </w:r>
    </w:p>
    <w:p w14:paraId="3EA77A61" w14:textId="77777777" w:rsidR="00F250F5" w:rsidRPr="0019098D" w:rsidRDefault="00F250F5" w:rsidP="00F250F5">
      <w:pPr>
        <w:keepNext/>
        <w:keepLines/>
        <w:spacing w:line="360" w:lineRule="auto"/>
        <w:rPr>
          <w:szCs w:val="26"/>
        </w:rPr>
      </w:pPr>
    </w:p>
    <w:p w14:paraId="3A0EA7E4" w14:textId="77777777" w:rsidR="00F250F5" w:rsidRPr="0019098D" w:rsidRDefault="00F250F5" w:rsidP="00F250F5">
      <w:pPr>
        <w:keepNext/>
        <w:keepLines/>
        <w:spacing w:line="360" w:lineRule="auto"/>
        <w:rPr>
          <w:szCs w:val="26"/>
        </w:rPr>
      </w:pPr>
      <w:r w:rsidRPr="0019098D">
        <w:rPr>
          <w:b/>
          <w:szCs w:val="26"/>
        </w:rPr>
        <w:t>A.</w:t>
      </w:r>
      <w:r w:rsidRPr="0019098D">
        <w:rPr>
          <w:b/>
          <w:szCs w:val="26"/>
        </w:rPr>
        <w:tab/>
        <w:t>Standard of Review</w:t>
      </w:r>
    </w:p>
    <w:p w14:paraId="5F4BA8B2" w14:textId="77777777" w:rsidR="00F250F5" w:rsidRPr="0019098D" w:rsidRDefault="00F250F5" w:rsidP="00F250F5">
      <w:pPr>
        <w:keepNext/>
        <w:keepLines/>
        <w:spacing w:line="360" w:lineRule="auto"/>
        <w:rPr>
          <w:szCs w:val="26"/>
          <w:u w:val="single"/>
        </w:rPr>
      </w:pPr>
    </w:p>
    <w:p w14:paraId="7493B0D1" w14:textId="77777777" w:rsidR="00F250F5" w:rsidRPr="0019098D" w:rsidRDefault="00F250F5" w:rsidP="00F250F5">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60F3414D" w14:textId="77777777" w:rsidR="00F250F5" w:rsidRPr="0019098D" w:rsidRDefault="00F250F5" w:rsidP="00F250F5">
      <w:pPr>
        <w:ind w:left="2160" w:hanging="720"/>
        <w:rPr>
          <w:szCs w:val="26"/>
        </w:rPr>
      </w:pPr>
    </w:p>
    <w:p w14:paraId="6F1D1F15" w14:textId="77777777" w:rsidR="00F250F5" w:rsidRPr="0019098D" w:rsidRDefault="00F250F5" w:rsidP="00F250F5">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B3E48FD" w14:textId="77777777" w:rsidR="00F250F5" w:rsidRPr="0019098D" w:rsidRDefault="00F250F5" w:rsidP="00F250F5">
      <w:pPr>
        <w:pStyle w:val="BodyTextIndent"/>
        <w:ind w:left="1440" w:right="1440" w:firstLine="0"/>
        <w:rPr>
          <w:szCs w:val="26"/>
        </w:rPr>
      </w:pPr>
    </w:p>
    <w:p w14:paraId="2F82DC2A" w14:textId="77777777" w:rsidR="00F250F5" w:rsidRPr="0019098D" w:rsidRDefault="00F250F5" w:rsidP="00F250F5">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4A451152" w14:textId="77777777" w:rsidR="00F250F5" w:rsidRPr="0019098D" w:rsidRDefault="00F250F5" w:rsidP="00F250F5">
      <w:pPr>
        <w:pStyle w:val="BodyTextIndent"/>
        <w:ind w:left="1440" w:right="1440" w:firstLine="0"/>
        <w:rPr>
          <w:szCs w:val="26"/>
        </w:rPr>
      </w:pPr>
    </w:p>
    <w:p w14:paraId="56B65D5D" w14:textId="77777777" w:rsidR="00F250F5" w:rsidRPr="0019098D" w:rsidRDefault="00F250F5" w:rsidP="00F250F5">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2D28AC2D" w14:textId="77777777" w:rsidR="00F250F5" w:rsidRPr="0019098D" w:rsidRDefault="00F250F5" w:rsidP="00F250F5">
      <w:pPr>
        <w:pStyle w:val="BodyTextIndent"/>
        <w:keepNext/>
        <w:keepLines/>
        <w:ind w:left="2880" w:right="1440" w:hanging="1440"/>
        <w:rPr>
          <w:szCs w:val="26"/>
        </w:rPr>
      </w:pPr>
    </w:p>
    <w:p w14:paraId="0C6209B3" w14:textId="77777777" w:rsidR="00F250F5" w:rsidRPr="0019098D" w:rsidRDefault="00F250F5" w:rsidP="00F250F5">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281AD937" w14:textId="77777777" w:rsidR="00F250F5" w:rsidRPr="0019098D" w:rsidRDefault="00F250F5" w:rsidP="00F250F5">
      <w:pPr>
        <w:pStyle w:val="BodyTextIndent"/>
        <w:spacing w:line="360" w:lineRule="auto"/>
        <w:ind w:firstLine="0"/>
        <w:rPr>
          <w:szCs w:val="26"/>
        </w:rPr>
      </w:pPr>
    </w:p>
    <w:p w14:paraId="290BEDDF" w14:textId="5D951BE6" w:rsidR="00F250F5" w:rsidRDefault="00F250F5" w:rsidP="00F250F5">
      <w:pPr>
        <w:spacing w:line="360" w:lineRule="auto"/>
        <w:ind w:firstLine="720"/>
        <w:rPr>
          <w:szCs w:val="26"/>
        </w:rPr>
      </w:pPr>
      <w:r>
        <w:rPr>
          <w:szCs w:val="26"/>
        </w:rPr>
        <w:lastRenderedPageBreak/>
        <w:tab/>
      </w:r>
      <w:r w:rsidRPr="0019098D">
        <w:rPr>
          <w:szCs w:val="26"/>
        </w:rPr>
        <w:t xml:space="preserve">With these criteria in mind, we shall review the Amendment submitted by </w:t>
      </w:r>
      <w:r w:rsidR="00650A9C">
        <w:rPr>
          <w:szCs w:val="26"/>
        </w:rPr>
        <w:t>CenturyLink</w:t>
      </w:r>
      <w:r w:rsidRPr="0019098D">
        <w:rPr>
          <w:szCs w:val="26"/>
        </w:rPr>
        <w:t xml:space="preserve"> and </w:t>
      </w:r>
      <w:r w:rsidR="00D630ED">
        <w:rPr>
          <w:szCs w:val="26"/>
        </w:rPr>
        <w:t>Dish Wireless</w:t>
      </w:r>
      <w:r w:rsidRPr="0019098D">
        <w:rPr>
          <w:szCs w:val="26"/>
        </w:rPr>
        <w:t>.</w:t>
      </w:r>
    </w:p>
    <w:p w14:paraId="3C5C263D" w14:textId="77777777" w:rsidR="0014693F" w:rsidRPr="0019098D" w:rsidRDefault="0014693F" w:rsidP="00F250F5">
      <w:pPr>
        <w:spacing w:line="360" w:lineRule="auto"/>
        <w:ind w:firstLine="720"/>
        <w:rPr>
          <w:szCs w:val="26"/>
        </w:rPr>
      </w:pPr>
    </w:p>
    <w:p w14:paraId="667275D0" w14:textId="135786C6" w:rsidR="00F250F5" w:rsidRPr="0019098D" w:rsidRDefault="00F250F5" w:rsidP="00D630ED">
      <w:pPr>
        <w:pStyle w:val="BodyText"/>
        <w:rPr>
          <w:b/>
          <w:szCs w:val="26"/>
        </w:rPr>
      </w:pPr>
      <w:r>
        <w:rPr>
          <w:b/>
        </w:rPr>
        <w:t>B.</w:t>
      </w:r>
      <w:r>
        <w:rPr>
          <w:b/>
        </w:rPr>
        <w:tab/>
      </w:r>
      <w:r w:rsidRPr="0019098D">
        <w:rPr>
          <w:b/>
          <w:szCs w:val="26"/>
        </w:rPr>
        <w:t>Summary of Terms</w:t>
      </w:r>
    </w:p>
    <w:p w14:paraId="501E959C" w14:textId="77777777" w:rsidR="00F250F5" w:rsidRPr="0019098D" w:rsidRDefault="00F250F5" w:rsidP="00F250F5">
      <w:pPr>
        <w:spacing w:line="360" w:lineRule="auto"/>
        <w:rPr>
          <w:szCs w:val="26"/>
        </w:rPr>
      </w:pPr>
    </w:p>
    <w:p w14:paraId="1779809E" w14:textId="140083F4" w:rsidR="006D664D" w:rsidRDefault="00F250F5" w:rsidP="006D664D">
      <w:pPr>
        <w:spacing w:line="360" w:lineRule="auto"/>
        <w:ind w:firstLine="1440"/>
        <w:rPr>
          <w:szCs w:val="26"/>
        </w:rPr>
      </w:pPr>
      <w:r w:rsidRPr="00D24302">
        <w:rPr>
          <w:szCs w:val="26"/>
        </w:rPr>
        <w:t xml:space="preserve">The Amendment </w:t>
      </w:r>
      <w:r w:rsidR="00D814F7" w:rsidRPr="00D24302">
        <w:rPr>
          <w:szCs w:val="26"/>
        </w:rPr>
        <w:t>provide</w:t>
      </w:r>
      <w:r w:rsidR="0025618C" w:rsidRPr="00D24302">
        <w:rPr>
          <w:szCs w:val="26"/>
        </w:rPr>
        <w:t>s</w:t>
      </w:r>
      <w:r w:rsidR="00D814F7" w:rsidRPr="00D24302">
        <w:rPr>
          <w:szCs w:val="26"/>
        </w:rPr>
        <w:t xml:space="preserve"> the conditions under which the Parties may use a </w:t>
      </w:r>
      <w:proofErr w:type="gramStart"/>
      <w:r w:rsidR="00D814F7" w:rsidRPr="00D24302">
        <w:rPr>
          <w:szCs w:val="26"/>
        </w:rPr>
        <w:t>Third Party</w:t>
      </w:r>
      <w:proofErr w:type="gramEnd"/>
      <w:r w:rsidR="00D814F7" w:rsidRPr="00D24302">
        <w:rPr>
          <w:szCs w:val="26"/>
        </w:rPr>
        <w:t xml:space="preserve"> Transit Provider to exchange traffic between their networks</w:t>
      </w:r>
      <w:r w:rsidR="00734D81" w:rsidRPr="00D24302">
        <w:rPr>
          <w:szCs w:val="26"/>
        </w:rPr>
        <w:t>.</w:t>
      </w:r>
      <w:r w:rsidR="00B172C2">
        <w:rPr>
          <w:szCs w:val="26"/>
        </w:rPr>
        <w:t xml:space="preserve">  These conditions provide that</w:t>
      </w:r>
      <w:r w:rsidR="00DC0559" w:rsidRPr="00D24302">
        <w:rPr>
          <w:szCs w:val="26"/>
        </w:rPr>
        <w:t xml:space="preserve"> </w:t>
      </w:r>
      <w:r w:rsidR="00C91F41" w:rsidRPr="00D24302">
        <w:rPr>
          <w:szCs w:val="26"/>
        </w:rPr>
        <w:t xml:space="preserve">Dish Wireless may designate </w:t>
      </w:r>
      <w:r w:rsidR="00C83E4C" w:rsidRPr="00D24302">
        <w:rPr>
          <w:szCs w:val="26"/>
        </w:rPr>
        <w:t>one or more</w:t>
      </w:r>
      <w:r w:rsidR="00C91F41" w:rsidRPr="00D24302">
        <w:rPr>
          <w:szCs w:val="26"/>
        </w:rPr>
        <w:t xml:space="preserve"> Third Party Transit Provider</w:t>
      </w:r>
      <w:r w:rsidR="00FD5E42" w:rsidRPr="00D24302">
        <w:rPr>
          <w:szCs w:val="26"/>
        </w:rPr>
        <w:t>s</w:t>
      </w:r>
      <w:r w:rsidR="00C91F41" w:rsidRPr="00D24302">
        <w:rPr>
          <w:szCs w:val="26"/>
        </w:rPr>
        <w:t xml:space="preserve"> to exchange </w:t>
      </w:r>
      <w:proofErr w:type="spellStart"/>
      <w:r w:rsidR="00C91F41" w:rsidRPr="00D24302">
        <w:rPr>
          <w:szCs w:val="26"/>
        </w:rPr>
        <w:t>InterMTA</w:t>
      </w:r>
      <w:proofErr w:type="spellEnd"/>
      <w:r w:rsidR="00C67D00">
        <w:rPr>
          <w:rStyle w:val="FootnoteReference"/>
          <w:szCs w:val="26"/>
        </w:rPr>
        <w:footnoteReference w:id="3"/>
      </w:r>
      <w:r w:rsidR="00C91F41" w:rsidRPr="00D24302">
        <w:rPr>
          <w:szCs w:val="26"/>
        </w:rPr>
        <w:t xml:space="preserve"> and </w:t>
      </w:r>
      <w:proofErr w:type="spellStart"/>
      <w:r w:rsidR="00C91F41" w:rsidRPr="00D24302">
        <w:rPr>
          <w:szCs w:val="26"/>
        </w:rPr>
        <w:t>IntraMTA</w:t>
      </w:r>
      <w:proofErr w:type="spellEnd"/>
      <w:r w:rsidR="00C91F41" w:rsidRPr="00D24302">
        <w:rPr>
          <w:szCs w:val="26"/>
        </w:rPr>
        <w:t xml:space="preserve"> traffic between the</w:t>
      </w:r>
      <w:r w:rsidR="006B549E" w:rsidRPr="00D24302">
        <w:rPr>
          <w:szCs w:val="26"/>
        </w:rPr>
        <w:t>ir</w:t>
      </w:r>
      <w:r w:rsidR="00C91F41" w:rsidRPr="00D24302">
        <w:rPr>
          <w:szCs w:val="26"/>
        </w:rPr>
        <w:t xml:space="preserve"> networks under the following conditions:</w:t>
      </w:r>
    </w:p>
    <w:p w14:paraId="2642DC33" w14:textId="7DCC5595" w:rsidR="006D664D" w:rsidRDefault="006D664D" w:rsidP="0014693F">
      <w:pPr>
        <w:rPr>
          <w:szCs w:val="26"/>
        </w:rPr>
      </w:pPr>
    </w:p>
    <w:p w14:paraId="1378E791" w14:textId="326695C0" w:rsidR="00D24302" w:rsidRDefault="000E7BC9" w:rsidP="00682E1F">
      <w:pPr>
        <w:ind w:left="2160" w:right="1440" w:hanging="720"/>
      </w:pPr>
      <w:r>
        <w:t>(</w:t>
      </w:r>
      <w:r w:rsidR="00E92B74">
        <w:t>1)</w:t>
      </w:r>
      <w:r w:rsidR="00682E1F">
        <w:tab/>
      </w:r>
      <w:r w:rsidR="00E92B74">
        <w:t>P</w:t>
      </w:r>
      <w:r w:rsidR="00D3759A">
        <w:t xml:space="preserve">rior to the use of </w:t>
      </w:r>
      <w:proofErr w:type="gramStart"/>
      <w:r w:rsidR="00D3759A">
        <w:t>Third Party</w:t>
      </w:r>
      <w:proofErr w:type="gramEnd"/>
      <w:r w:rsidR="00D3759A">
        <w:t xml:space="preserve"> Transit Provid</w:t>
      </w:r>
      <w:r w:rsidR="00D3759A" w:rsidRPr="003A2331">
        <w:t>er</w:t>
      </w:r>
      <w:r w:rsidR="004843AD">
        <w:t xml:space="preserve"> to exchange traffic between the Parties, </w:t>
      </w:r>
      <w:r w:rsidR="00E22903">
        <w:t>Dish Wireless</w:t>
      </w:r>
      <w:r w:rsidR="00C91F41">
        <w:t xml:space="preserve"> will identify the transiting party</w:t>
      </w:r>
      <w:r w:rsidR="00E1763B">
        <w:t>;</w:t>
      </w:r>
      <w:r w:rsidR="00C91F41">
        <w:t xml:space="preserve"> </w:t>
      </w:r>
      <w:r w:rsidR="00DC694B">
        <w:t xml:space="preserve">and </w:t>
      </w:r>
      <w:r w:rsidR="00C91F41">
        <w:t xml:space="preserve">CenturyLink will confirm that the Third Party Transit Provider </w:t>
      </w:r>
      <w:r w:rsidR="00D24302">
        <w:t xml:space="preserve">has a </w:t>
      </w:r>
      <w:r w:rsidR="00C91F41">
        <w:t>current interconnection agreement with CenturyLink</w:t>
      </w:r>
      <w:r w:rsidR="00D24302">
        <w:t>;</w:t>
      </w:r>
    </w:p>
    <w:p w14:paraId="1F42EC30" w14:textId="77777777" w:rsidR="000E7BC9" w:rsidRDefault="000E7BC9" w:rsidP="00682E1F">
      <w:pPr>
        <w:pStyle w:val="ListParagraph"/>
        <w:ind w:left="2160" w:right="1440" w:hanging="720"/>
      </w:pPr>
    </w:p>
    <w:p w14:paraId="7D53FEB2" w14:textId="248BAB50" w:rsidR="00FD2E2F" w:rsidRDefault="004F4192" w:rsidP="00682E1F">
      <w:pPr>
        <w:ind w:left="2160" w:right="1440" w:hanging="720"/>
      </w:pPr>
      <w:r>
        <w:t>(</w:t>
      </w:r>
      <w:r w:rsidR="00C91F41">
        <w:t>2</w:t>
      </w:r>
      <w:r>
        <w:t>)</w:t>
      </w:r>
      <w:r w:rsidR="00682E1F">
        <w:tab/>
      </w:r>
      <w:r w:rsidR="00C91F41">
        <w:t xml:space="preserve">Prior to the use of a </w:t>
      </w:r>
      <w:proofErr w:type="gramStart"/>
      <w:r w:rsidR="00C91F41">
        <w:t>Third Party</w:t>
      </w:r>
      <w:proofErr w:type="gramEnd"/>
      <w:r w:rsidR="00C91F41">
        <w:t xml:space="preserve"> Transit </w:t>
      </w:r>
      <w:r w:rsidR="00C91F41" w:rsidRPr="003A2331">
        <w:t>Provider(s)</w:t>
      </w:r>
      <w:r w:rsidR="00C91F41">
        <w:t xml:space="preserve"> to exchange traffic between the Parties</w:t>
      </w:r>
      <w:r w:rsidR="00E51A2C">
        <w:t>,</w:t>
      </w:r>
      <w:r w:rsidR="00C91F41">
        <w:t xml:space="preserve"> </w:t>
      </w:r>
      <w:r w:rsidR="00E51A2C">
        <w:t>Dish Wireless</w:t>
      </w:r>
      <w:r w:rsidR="00C91F41">
        <w:t xml:space="preserve"> must designate its NPA-NXX</w:t>
      </w:r>
      <w:r w:rsidR="00643BD0">
        <w:rPr>
          <w:rStyle w:val="FootnoteReference"/>
        </w:rPr>
        <w:footnoteReference w:id="4"/>
      </w:r>
      <w:r w:rsidR="00C91F41">
        <w:t xml:space="preserve"> codes in the LERG</w:t>
      </w:r>
      <w:r w:rsidR="002A008D">
        <w:rPr>
          <w:rStyle w:val="FootnoteReference"/>
        </w:rPr>
        <w:footnoteReference w:id="5"/>
      </w:r>
      <w:r w:rsidR="00C91F41">
        <w:t xml:space="preserve"> as homing to each Third Party Transit Provider’s Tandem Switch in the LATA.</w:t>
      </w:r>
      <w:r w:rsidR="00F47991">
        <w:rPr>
          <w:rStyle w:val="FootnoteReference"/>
        </w:rPr>
        <w:footnoteReference w:id="6"/>
      </w:r>
    </w:p>
    <w:p w14:paraId="647E7D63" w14:textId="77777777" w:rsidR="000E7BC9" w:rsidRDefault="000E7BC9" w:rsidP="00682E1F">
      <w:pPr>
        <w:ind w:left="2160" w:right="1440" w:hanging="720"/>
      </w:pPr>
    </w:p>
    <w:p w14:paraId="08E9D4F3" w14:textId="1D37D742" w:rsidR="00D27F1A" w:rsidRDefault="00FD2E2F" w:rsidP="00682E1F">
      <w:pPr>
        <w:ind w:left="2160" w:right="1440" w:hanging="720"/>
      </w:pPr>
      <w:r>
        <w:t>(3)</w:t>
      </w:r>
      <w:r w:rsidR="00682E1F">
        <w:tab/>
      </w:r>
      <w:r w:rsidR="00C91F41">
        <w:t xml:space="preserve">After the Parties have established Direct Interconnection between their networks, neither Party </w:t>
      </w:r>
      <w:r w:rsidR="00C91F41">
        <w:lastRenderedPageBreak/>
        <w:t xml:space="preserve">may continue to transmit its originated InterMTA, IntraMTA and transit traffic </w:t>
      </w:r>
      <w:proofErr w:type="gramStart"/>
      <w:r w:rsidR="00C91F41">
        <w:t>indirectly</w:t>
      </w:r>
      <w:r w:rsidR="00CB12C0">
        <w:t>;</w:t>
      </w:r>
      <w:proofErr w:type="gramEnd"/>
    </w:p>
    <w:p w14:paraId="59DE3273" w14:textId="77777777" w:rsidR="00C37A74" w:rsidRDefault="00C37A74" w:rsidP="00FD2E2F">
      <w:pPr>
        <w:ind w:left="1440" w:right="1440"/>
      </w:pPr>
    </w:p>
    <w:p w14:paraId="3EDD820A" w14:textId="3E9D6B10" w:rsidR="00C91F41" w:rsidRDefault="00D27F1A" w:rsidP="00682E1F">
      <w:pPr>
        <w:ind w:left="2160" w:right="1440" w:hanging="720"/>
        <w:rPr>
          <w:szCs w:val="26"/>
        </w:rPr>
      </w:pPr>
      <w:r>
        <w:t>(4)</w:t>
      </w:r>
      <w:r w:rsidR="00682E1F">
        <w:tab/>
      </w:r>
      <w:r w:rsidR="00C91F41">
        <w:t xml:space="preserve">Each Party that originates the traffic is responsible for payment of any charges incurred and/or billed by a </w:t>
      </w:r>
      <w:proofErr w:type="gramStart"/>
      <w:r w:rsidR="00C91F41">
        <w:t>Third Party</w:t>
      </w:r>
      <w:proofErr w:type="gramEnd"/>
      <w:r w:rsidR="00C91F41">
        <w:t xml:space="preserve"> Transit Provid</w:t>
      </w:r>
      <w:r w:rsidR="00C91F41" w:rsidRPr="003A2331">
        <w:t>er</w:t>
      </w:r>
      <w:r w:rsidR="00C91F41">
        <w:t>, fo</w:t>
      </w:r>
      <w:r w:rsidR="00A32718">
        <w:t xml:space="preserve">r transit, </w:t>
      </w:r>
      <w:r w:rsidR="00285951">
        <w:t>transport</w:t>
      </w:r>
      <w:r w:rsidR="00A32718">
        <w:t xml:space="preserve"> and</w:t>
      </w:r>
      <w:r w:rsidR="00622463">
        <w:t xml:space="preserve">/or termination compensation arrangements that may or may not be </w:t>
      </w:r>
      <w:r w:rsidR="00592954">
        <w:t>c</w:t>
      </w:r>
      <w:r w:rsidR="00622463">
        <w:t>ont</w:t>
      </w:r>
      <w:r w:rsidR="00592954">
        <w:t>a</w:t>
      </w:r>
      <w:r w:rsidR="00622463">
        <w:t>ine</w:t>
      </w:r>
      <w:r w:rsidR="00592954">
        <w:t>d</w:t>
      </w:r>
      <w:r w:rsidR="00622463">
        <w:t xml:space="preserve"> in separate </w:t>
      </w:r>
      <w:r w:rsidR="00AD6685">
        <w:t>agreements</w:t>
      </w:r>
      <w:r w:rsidR="00622463">
        <w:t xml:space="preserve"> with </w:t>
      </w:r>
      <w:r w:rsidR="00C63CE7">
        <w:t>CenturyLink</w:t>
      </w:r>
      <w:r w:rsidR="00622463">
        <w:t xml:space="preserve"> or </w:t>
      </w:r>
      <w:r w:rsidR="00285951">
        <w:t>Dish Wireless</w:t>
      </w:r>
      <w:r w:rsidR="00FC5602">
        <w:t>;</w:t>
      </w:r>
    </w:p>
    <w:p w14:paraId="70B5DA0D" w14:textId="77777777" w:rsidR="00C91F41" w:rsidRDefault="00C91F41" w:rsidP="006D664D">
      <w:pPr>
        <w:ind w:firstLine="1440"/>
        <w:rPr>
          <w:szCs w:val="26"/>
        </w:rPr>
      </w:pPr>
    </w:p>
    <w:p w14:paraId="405E74D6" w14:textId="6538D198" w:rsidR="00F250F5" w:rsidRPr="0019098D" w:rsidRDefault="00331AEE" w:rsidP="00682E1F">
      <w:pPr>
        <w:ind w:left="2160" w:right="1440" w:hanging="720"/>
        <w:rPr>
          <w:szCs w:val="26"/>
        </w:rPr>
      </w:pPr>
      <w:r>
        <w:rPr>
          <w:szCs w:val="26"/>
        </w:rPr>
        <w:t>(5)</w:t>
      </w:r>
      <w:r w:rsidR="00682E1F">
        <w:rPr>
          <w:szCs w:val="26"/>
        </w:rPr>
        <w:tab/>
      </w:r>
      <w:r>
        <w:rPr>
          <w:szCs w:val="26"/>
        </w:rPr>
        <w:t xml:space="preserve">Dish Wireless will pass unaltered to the </w:t>
      </w:r>
      <w:proofErr w:type="gramStart"/>
      <w:r>
        <w:rPr>
          <w:szCs w:val="26"/>
        </w:rPr>
        <w:t>Th</w:t>
      </w:r>
      <w:r w:rsidR="00A31F3A">
        <w:rPr>
          <w:szCs w:val="26"/>
        </w:rPr>
        <w:t>ird Party</w:t>
      </w:r>
      <w:proofErr w:type="gramEnd"/>
      <w:r w:rsidR="00A31F3A">
        <w:rPr>
          <w:szCs w:val="26"/>
        </w:rPr>
        <w:t xml:space="preserve"> Transit </w:t>
      </w:r>
      <w:r w:rsidR="00A31F3A" w:rsidRPr="003A2331">
        <w:rPr>
          <w:szCs w:val="26"/>
        </w:rPr>
        <w:t>Provider(s)</w:t>
      </w:r>
      <w:r w:rsidR="00A31F3A">
        <w:rPr>
          <w:szCs w:val="26"/>
        </w:rPr>
        <w:t xml:space="preserve"> all</w:t>
      </w:r>
      <w:r w:rsidR="00C37A74">
        <w:rPr>
          <w:szCs w:val="26"/>
        </w:rPr>
        <w:t xml:space="preserve"> </w:t>
      </w:r>
      <w:r w:rsidR="00A31F3A" w:rsidRPr="00C37A74">
        <w:t>signaling</w:t>
      </w:r>
      <w:r w:rsidR="00A31F3A">
        <w:rPr>
          <w:szCs w:val="26"/>
        </w:rPr>
        <w:t xml:space="preserve"> information</w:t>
      </w:r>
      <w:r w:rsidR="001177DF">
        <w:rPr>
          <w:szCs w:val="26"/>
        </w:rPr>
        <w:t xml:space="preserve"> in accordan</w:t>
      </w:r>
      <w:r w:rsidR="00F87831">
        <w:rPr>
          <w:szCs w:val="26"/>
        </w:rPr>
        <w:t>ce with 47 C.F.R. §64.1601</w:t>
      </w:r>
      <w:r w:rsidR="00FC5602">
        <w:rPr>
          <w:szCs w:val="26"/>
        </w:rPr>
        <w:t xml:space="preserve"> and industry standards.</w:t>
      </w:r>
    </w:p>
    <w:p w14:paraId="51A44383" w14:textId="77777777" w:rsidR="00F250F5" w:rsidRPr="0019098D" w:rsidRDefault="00F250F5" w:rsidP="00F250F5">
      <w:pPr>
        <w:spacing w:line="360" w:lineRule="auto"/>
        <w:ind w:left="1440" w:right="1440"/>
        <w:rPr>
          <w:szCs w:val="26"/>
        </w:rPr>
      </w:pPr>
    </w:p>
    <w:p w14:paraId="25BEE038" w14:textId="3283B1F8" w:rsidR="00F250F5" w:rsidRDefault="00F250F5" w:rsidP="00B77146">
      <w:pPr>
        <w:spacing w:line="360" w:lineRule="auto"/>
        <w:ind w:right="1440"/>
        <w:rPr>
          <w:szCs w:val="26"/>
        </w:rPr>
      </w:pPr>
      <w:r w:rsidRPr="0019098D">
        <w:rPr>
          <w:szCs w:val="26"/>
        </w:rPr>
        <w:t>Amendment at 1-</w:t>
      </w:r>
      <w:r w:rsidR="005C66FA">
        <w:rPr>
          <w:szCs w:val="26"/>
        </w:rPr>
        <w:t>4</w:t>
      </w:r>
      <w:r w:rsidRPr="0019098D">
        <w:rPr>
          <w:szCs w:val="26"/>
        </w:rPr>
        <w:t>.</w:t>
      </w:r>
    </w:p>
    <w:p w14:paraId="014F4EFD" w14:textId="77777777" w:rsidR="00B37B1B" w:rsidRPr="0019098D" w:rsidRDefault="00B37B1B" w:rsidP="00B77146">
      <w:pPr>
        <w:spacing w:line="360" w:lineRule="auto"/>
        <w:ind w:right="1440"/>
        <w:rPr>
          <w:szCs w:val="26"/>
        </w:rPr>
      </w:pPr>
    </w:p>
    <w:p w14:paraId="50232866" w14:textId="303C3266" w:rsidR="00F250F5" w:rsidRPr="0019098D" w:rsidRDefault="00D630ED" w:rsidP="00B77146">
      <w:pPr>
        <w:keepNext/>
        <w:tabs>
          <w:tab w:val="left" w:pos="-720"/>
        </w:tabs>
        <w:suppressAutoHyphens/>
        <w:spacing w:line="360" w:lineRule="auto"/>
        <w:rPr>
          <w:b/>
          <w:szCs w:val="26"/>
        </w:rPr>
      </w:pPr>
      <w:r>
        <w:rPr>
          <w:b/>
          <w:szCs w:val="26"/>
        </w:rPr>
        <w:t>C</w:t>
      </w:r>
      <w:r w:rsidR="00F250F5" w:rsidRPr="0019098D">
        <w:rPr>
          <w:b/>
          <w:szCs w:val="26"/>
        </w:rPr>
        <w:t>.</w:t>
      </w:r>
      <w:r w:rsidR="00F250F5" w:rsidRPr="0019098D">
        <w:rPr>
          <w:b/>
          <w:szCs w:val="26"/>
        </w:rPr>
        <w:tab/>
        <w:t>Disposition</w:t>
      </w:r>
    </w:p>
    <w:p w14:paraId="6FD1A3A0" w14:textId="77777777" w:rsidR="00F250F5" w:rsidRPr="0019098D" w:rsidRDefault="00F250F5" w:rsidP="00B77146">
      <w:pPr>
        <w:pStyle w:val="BodyText"/>
        <w:keepNext/>
        <w:spacing w:after="0" w:line="360" w:lineRule="auto"/>
        <w:ind w:firstLine="720"/>
        <w:rPr>
          <w:szCs w:val="26"/>
        </w:rPr>
      </w:pPr>
    </w:p>
    <w:p w14:paraId="587F1168" w14:textId="77777777" w:rsidR="00F250F5" w:rsidRPr="0019098D" w:rsidRDefault="00F250F5" w:rsidP="00B77146">
      <w:pPr>
        <w:keepNext/>
        <w:tabs>
          <w:tab w:val="left" w:pos="-720"/>
        </w:tabs>
        <w:suppressAutoHyphens/>
        <w:spacing w:line="360" w:lineRule="auto"/>
        <w:rPr>
          <w:szCs w:val="26"/>
        </w:rPr>
      </w:pPr>
      <w:r w:rsidRPr="0019098D">
        <w:rPr>
          <w:szCs w:val="26"/>
        </w:rPr>
        <w:tab/>
      </w:r>
      <w:r w:rsidRPr="0019098D">
        <w:rPr>
          <w:szCs w:val="26"/>
        </w:rPr>
        <w:tab/>
        <w:t xml:space="preserve">We shall approve the Amendment, finding that </w:t>
      </w:r>
      <w:r>
        <w:rPr>
          <w:szCs w:val="26"/>
        </w:rPr>
        <w:t>i</w:t>
      </w:r>
      <w:r w:rsidRPr="0019098D">
        <w:rPr>
          <w:szCs w:val="26"/>
        </w:rPr>
        <w:t>t satisf</w:t>
      </w:r>
      <w:r>
        <w:rPr>
          <w:szCs w:val="26"/>
        </w:rPr>
        <w:t>ies</w:t>
      </w:r>
      <w:r w:rsidRPr="0019098D">
        <w:rPr>
          <w:szCs w:val="26"/>
        </w:rPr>
        <w:t xml:space="preserve"> the two-pronged criteria of Section 252(e) of TA-96.  We note that in approving th</w:t>
      </w:r>
      <w:r>
        <w:rPr>
          <w:szCs w:val="26"/>
        </w:rPr>
        <w:t>is</w:t>
      </w:r>
      <w:r w:rsidRPr="0019098D">
        <w:rPr>
          <w:szCs w:val="26"/>
        </w:rPr>
        <w:t xml:space="preserve"> privately negotiated Amendment, we express no opinion regarding the enforceability of our independent state authority preserved by 47 U.S.C. § 251(d)(3) and any other applicable law.</w:t>
      </w:r>
    </w:p>
    <w:p w14:paraId="1DCBAC5C" w14:textId="77777777" w:rsidR="00F250F5" w:rsidRPr="0019098D" w:rsidRDefault="00F250F5" w:rsidP="00F250F5">
      <w:pPr>
        <w:tabs>
          <w:tab w:val="left" w:pos="-720"/>
        </w:tabs>
        <w:suppressAutoHyphens/>
        <w:spacing w:line="360" w:lineRule="auto"/>
        <w:rPr>
          <w:szCs w:val="26"/>
        </w:rPr>
      </w:pPr>
    </w:p>
    <w:p w14:paraId="299FF647" w14:textId="0FC8825C" w:rsidR="00F250F5" w:rsidRDefault="00F250F5" w:rsidP="00F250F5">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carriers not parties to the Amendment by providing </w:t>
      </w:r>
      <w:r>
        <w:rPr>
          <w:szCs w:val="26"/>
        </w:rPr>
        <w:t xml:space="preserve">here </w:t>
      </w:r>
      <w:r w:rsidRPr="0019098D">
        <w:rPr>
          <w:szCs w:val="26"/>
        </w:rPr>
        <w:t>that our approval of th</w:t>
      </w:r>
      <w:r>
        <w:rPr>
          <w:szCs w:val="26"/>
        </w:rPr>
        <w:t>e</w:t>
      </w:r>
      <w:r w:rsidRPr="0019098D">
        <w:rPr>
          <w:szCs w:val="26"/>
        </w:rPr>
        <w:t xml:space="preserve">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w:t>
      </w:r>
      <w:r w:rsidR="00BB1C0A">
        <w:rPr>
          <w:i/>
          <w:szCs w:val="26"/>
        </w:rPr>
        <w:t> </w:t>
      </w:r>
      <w:r w:rsidRPr="0019098D">
        <w:rPr>
          <w:i/>
          <w:szCs w:val="26"/>
        </w:rPr>
        <w:t>seq</w:t>
      </w:r>
      <w:r w:rsidRPr="0019098D">
        <w:rPr>
          <w:szCs w:val="26"/>
        </w:rPr>
        <w:t xml:space="preserve">.  </w:t>
      </w:r>
      <w:proofErr w:type="gramStart"/>
      <w:r w:rsidRPr="0019098D">
        <w:rPr>
          <w:szCs w:val="26"/>
        </w:rPr>
        <w:t>On the basis of</w:t>
      </w:r>
      <w:proofErr w:type="gramEnd"/>
      <w:r w:rsidRPr="0019098D">
        <w:rPr>
          <w:szCs w:val="26"/>
        </w:rPr>
        <w:t xml:space="preserve"> the foregoing, we find that the Amendment do</w:t>
      </w:r>
      <w:r>
        <w:rPr>
          <w:szCs w:val="26"/>
        </w:rPr>
        <w:t>es</w:t>
      </w:r>
      <w:r w:rsidRPr="0019098D">
        <w:rPr>
          <w:szCs w:val="26"/>
        </w:rPr>
        <w:t xml:space="preserve"> not discriminate against other telecommunications carriers not parties to the negotiations that resulted in the Amendment or to the Agreement</w:t>
      </w:r>
      <w:r w:rsidR="009F5993">
        <w:rPr>
          <w:szCs w:val="26"/>
        </w:rPr>
        <w:t xml:space="preserve"> itself.</w:t>
      </w:r>
    </w:p>
    <w:p w14:paraId="3D2A4D49" w14:textId="706269C6" w:rsidR="00F250F5" w:rsidRPr="0019098D" w:rsidRDefault="00F250F5" w:rsidP="00F250F5">
      <w:pPr>
        <w:tabs>
          <w:tab w:val="left" w:pos="-720"/>
        </w:tabs>
        <w:suppressAutoHyphens/>
        <w:spacing w:line="360" w:lineRule="auto"/>
        <w:rPr>
          <w:szCs w:val="26"/>
        </w:rPr>
      </w:pPr>
      <w:r w:rsidRPr="0019098D">
        <w:rPr>
          <w:szCs w:val="26"/>
        </w:rPr>
        <w:lastRenderedPageBreak/>
        <w:tab/>
      </w:r>
      <w:r w:rsidRPr="0019098D">
        <w:rPr>
          <w:szCs w:val="26"/>
        </w:rPr>
        <w:tab/>
        <w:t>TA</w:t>
      </w:r>
      <w:r w:rsidRPr="0019098D">
        <w:rPr>
          <w:szCs w:val="26"/>
        </w:rPr>
        <w:noBreakHyphen/>
        <w:t xml:space="preserve">96 requires that the terms of the Amendment be made available for other parties to review.  47 U.S.C. § 252(h).  However, this availability is solely for the purpose of full disclosure of the terms and arrangements contained therein.  The accessibility of the Amendment and </w:t>
      </w:r>
      <w:r>
        <w:rPr>
          <w:szCs w:val="26"/>
        </w:rPr>
        <w:t>its</w:t>
      </w:r>
      <w:r w:rsidRPr="0019098D">
        <w:rPr>
          <w:szCs w:val="26"/>
        </w:rPr>
        <w:t xml:space="preserve"> terms to other parties does not connote any intent</w:t>
      </w:r>
      <w:r w:rsidRPr="0019098D">
        <w:rPr>
          <w:b/>
          <w:szCs w:val="26"/>
        </w:rPr>
        <w:t xml:space="preserve"> </w:t>
      </w:r>
      <w:r w:rsidRPr="0019098D">
        <w:rPr>
          <w:szCs w:val="26"/>
        </w:rPr>
        <w:t xml:space="preserve">that our approval of such </w:t>
      </w:r>
      <w:r w:rsidR="008D348C">
        <w:rPr>
          <w:szCs w:val="26"/>
        </w:rPr>
        <w:t xml:space="preserve">an </w:t>
      </w:r>
      <w:r w:rsidRPr="0019098D">
        <w:rPr>
          <w:szCs w:val="26"/>
        </w:rPr>
        <w:t xml:space="preserve">amendment will affect the status of negotiations between other parties.  In this context, we will not require </w:t>
      </w:r>
      <w:r w:rsidR="00650A9C">
        <w:rPr>
          <w:szCs w:val="26"/>
        </w:rPr>
        <w:t>CenturyLink</w:t>
      </w:r>
      <w:r w:rsidRPr="0019098D">
        <w:rPr>
          <w:szCs w:val="26"/>
        </w:rPr>
        <w:t xml:space="preserve"> and/or </w:t>
      </w:r>
      <w:r w:rsidR="00D630ED">
        <w:rPr>
          <w:szCs w:val="26"/>
        </w:rPr>
        <w:t>Dish Wireless</w:t>
      </w:r>
      <w:r>
        <w:rPr>
          <w:szCs w:val="26"/>
        </w:rPr>
        <w:t xml:space="preserve"> </w:t>
      </w:r>
      <w:r w:rsidRPr="0019098D">
        <w:rPr>
          <w:szCs w:val="26"/>
        </w:rPr>
        <w:t>to embody the terms of the Amendment in a filed tariff.</w:t>
      </w:r>
    </w:p>
    <w:p w14:paraId="1AE3D126" w14:textId="77777777" w:rsidR="00F250F5" w:rsidRPr="0019098D" w:rsidRDefault="00F250F5" w:rsidP="00F250F5">
      <w:pPr>
        <w:tabs>
          <w:tab w:val="left" w:pos="-720"/>
        </w:tabs>
        <w:suppressAutoHyphens/>
        <w:spacing w:line="360" w:lineRule="auto"/>
        <w:rPr>
          <w:szCs w:val="26"/>
        </w:rPr>
      </w:pPr>
    </w:p>
    <w:p w14:paraId="30DB5A4D" w14:textId="77777777" w:rsidR="00F250F5" w:rsidRDefault="00F250F5" w:rsidP="00F250F5">
      <w:pPr>
        <w:tabs>
          <w:tab w:val="left" w:pos="-720"/>
        </w:tabs>
        <w:suppressAutoHyphens/>
        <w:spacing w:line="360" w:lineRule="auto"/>
        <w:rPr>
          <w:szCs w:val="26"/>
        </w:rPr>
      </w:pPr>
      <w:r w:rsidRPr="0019098D">
        <w:rPr>
          <w:color w:val="000000" w:themeColor="text1"/>
          <w:szCs w:val="26"/>
        </w:rPr>
        <w:tab/>
      </w:r>
      <w:r w:rsidRPr="0019098D">
        <w:rPr>
          <w:color w:val="000000" w:themeColor="text1"/>
          <w:szCs w:val="26"/>
        </w:rPr>
        <w:tab/>
      </w:r>
      <w:r w:rsidRPr="00DF2CAD">
        <w:rPr>
          <w:szCs w:val="26"/>
        </w:rPr>
        <w:t>With regard to the public interest element of this matter, we note that under Chapter 30 of the Code,</w:t>
      </w:r>
      <w:r w:rsidRPr="00DF2CAD">
        <w:rPr>
          <w:rStyle w:val="FootnoteReference"/>
          <w:szCs w:val="26"/>
        </w:rPr>
        <w:footnoteReference w:id="7"/>
      </w:r>
      <w:r w:rsidRPr="00DF2CAD">
        <w:rPr>
          <w:szCs w:val="26"/>
        </w:rPr>
        <w:t xml:space="preserve"> a negotiated interconnection agreement does not alter the obligations of any telecommunications carrier with regard to protection of the public safety and welfare, continued service quality, and preservation of the rights of consumers.</w:t>
      </w:r>
      <w:r w:rsidRPr="00DF2CAD">
        <w:rPr>
          <w:rStyle w:val="FootnoteReference"/>
          <w:szCs w:val="26"/>
        </w:rPr>
        <w:footnoteReference w:id="8"/>
      </w:r>
      <w:r w:rsidRPr="00DF2CAD">
        <w:rPr>
          <w:szCs w:val="26"/>
        </w:rPr>
        <w:t xml:space="preserve">  This is consistent with TA</w:t>
      </w:r>
      <w:r w:rsidRPr="00DF2CAD">
        <w:rPr>
          <w:szCs w:val="26"/>
        </w:rPr>
        <w:noBreakHyphen/>
        <w:t xml:space="preserve">96 and Chapter 30, wherein service quality and standards, </w:t>
      </w:r>
      <w:r w:rsidRPr="00DF2CAD">
        <w:rPr>
          <w:i/>
          <w:szCs w:val="26"/>
        </w:rPr>
        <w:t>e.g.</w:t>
      </w:r>
      <w:r w:rsidRPr="00DF2CAD">
        <w:rPr>
          <w:szCs w:val="26"/>
        </w:rPr>
        <w:t>, Universal Service, 911, Enhanced 911,</w:t>
      </w:r>
      <w:r w:rsidRPr="00DF2CAD">
        <w:rPr>
          <w:rStyle w:val="FootnoteReference"/>
          <w:szCs w:val="26"/>
        </w:rPr>
        <w:footnoteReference w:id="9"/>
      </w:r>
      <w:r w:rsidRPr="00DF2CAD">
        <w:rPr>
          <w:szCs w:val="26"/>
        </w:rPr>
        <w:t xml:space="preserve"> and Telecommunications Relay Service, are inherent obligations of the telecommunications carriers and continue unaffected by a negotiated agreement.  In addition, an ILEC cannot, through the negotiation of an interconnection agreement, eliminate its carrier of last resort obligations.</w:t>
      </w:r>
      <w:r w:rsidRPr="00DF2CAD">
        <w:rPr>
          <w:rStyle w:val="FootnoteReference"/>
          <w:szCs w:val="26"/>
        </w:rPr>
        <w:footnoteReference w:id="10"/>
      </w:r>
    </w:p>
    <w:p w14:paraId="6A23F7FD" w14:textId="77777777" w:rsidR="00F250F5" w:rsidRDefault="00F250F5" w:rsidP="00F250F5">
      <w:pPr>
        <w:tabs>
          <w:tab w:val="left" w:pos="-720"/>
        </w:tabs>
        <w:suppressAutoHyphens/>
        <w:spacing w:line="360" w:lineRule="auto"/>
      </w:pPr>
    </w:p>
    <w:p w14:paraId="00ED91B6" w14:textId="6F713CDD" w:rsidR="00F250F5" w:rsidRPr="009F6A22" w:rsidRDefault="00F250F5" w:rsidP="00F250F5">
      <w:pPr>
        <w:tabs>
          <w:tab w:val="left" w:pos="-720"/>
        </w:tabs>
        <w:suppressAutoHyphens/>
        <w:spacing w:line="360" w:lineRule="auto"/>
        <w:rPr>
          <w:b/>
          <w:bCs/>
          <w:i/>
          <w:iCs/>
        </w:rPr>
      </w:pPr>
      <w:r w:rsidRPr="0019098D">
        <w:rPr>
          <w:szCs w:val="26"/>
        </w:rPr>
        <w:tab/>
      </w:r>
      <w:r w:rsidRPr="0019098D">
        <w:rPr>
          <w:szCs w:val="26"/>
        </w:rPr>
        <w:tab/>
      </w:r>
      <w:bookmarkStart w:id="2" w:name="_Hlk59010067"/>
      <w:r w:rsidRPr="0019098D">
        <w:rPr>
          <w:szCs w:val="26"/>
          <w:lang w:bidi="hi-IN"/>
        </w:rPr>
        <w:t>Before concluding,</w:t>
      </w:r>
      <w:r>
        <w:rPr>
          <w:szCs w:val="26"/>
          <w:lang w:bidi="hi-IN"/>
        </w:rPr>
        <w:t xml:space="preserve"> w</w:t>
      </w:r>
      <w:r>
        <w:t xml:space="preserve">e note that the Joint Petitioners have filed a signed, </w:t>
      </w:r>
      <w:proofErr w:type="gramStart"/>
      <w:r>
        <w:t>true</w:t>
      </w:r>
      <w:proofErr w:type="gramEnd"/>
      <w:r>
        <w:t xml:space="preserve"> and correct copy of the Amendment as part of their Joint Petition.  </w:t>
      </w:r>
      <w:r>
        <w:rPr>
          <w:szCs w:val="26"/>
        </w:rPr>
        <w:t xml:space="preserve">We also note that, as identified above, the Amendment was filed within the thirty-day deadline set forth in the Commission’s </w:t>
      </w:r>
      <w:r w:rsidRPr="00A50887">
        <w:rPr>
          <w:i/>
          <w:iCs/>
          <w:szCs w:val="26"/>
        </w:rPr>
        <w:t>Implementation Orders</w:t>
      </w:r>
      <w:r>
        <w:rPr>
          <w:szCs w:val="26"/>
        </w:rPr>
        <w:t xml:space="preserve">.  </w:t>
      </w:r>
    </w:p>
    <w:p w14:paraId="34FB9CB4" w14:textId="77777777" w:rsidR="00F250F5" w:rsidRDefault="00F250F5" w:rsidP="00F250F5">
      <w:pPr>
        <w:tabs>
          <w:tab w:val="left" w:pos="-720"/>
        </w:tabs>
        <w:suppressAutoHyphens/>
        <w:spacing w:line="360" w:lineRule="auto"/>
      </w:pPr>
    </w:p>
    <w:p w14:paraId="33B777F7" w14:textId="77777777" w:rsidR="00F250F5" w:rsidRDefault="00F250F5" w:rsidP="00F250F5">
      <w:pPr>
        <w:tabs>
          <w:tab w:val="left" w:pos="-720"/>
        </w:tabs>
        <w:suppressAutoHyphens/>
        <w:spacing w:line="360" w:lineRule="auto"/>
      </w:pPr>
      <w:r>
        <w:tab/>
      </w:r>
      <w:r>
        <w:tab/>
        <w:t xml:space="preserve">The Commission’s Secretary’s Bureau has published an electronic copy of the Amendment to the Commission’s website prior to publishing notice of the Amendment in the </w:t>
      </w:r>
      <w:r>
        <w:rPr>
          <w:i/>
        </w:rPr>
        <w:t xml:space="preserve">Pennsylvania </w:t>
      </w:r>
      <w:r w:rsidRPr="00671EC1">
        <w:rPr>
          <w:i/>
        </w:rPr>
        <w:t>Bulletin</w:t>
      </w:r>
      <w:r>
        <w:t xml:space="preserve">.  Consistent with our </w:t>
      </w:r>
      <w:r w:rsidRPr="0019098D">
        <w:rPr>
          <w:i/>
          <w:iCs/>
          <w:szCs w:val="26"/>
        </w:rPr>
        <w:t>May 2004 Implementation Order</w:t>
      </w:r>
      <w:r>
        <w:t>, since we will approve the Amendment as filed without any modifications, we will not require the Joint Petitioners to file an electronic copy of the Amendment after the entry of this Opinion and Order.</w:t>
      </w:r>
    </w:p>
    <w:p w14:paraId="20820427" w14:textId="77777777" w:rsidR="00F250F5" w:rsidRPr="0019098D" w:rsidRDefault="00F250F5" w:rsidP="00F250F5">
      <w:pPr>
        <w:tabs>
          <w:tab w:val="left" w:pos="-720"/>
        </w:tabs>
        <w:suppressAutoHyphens/>
        <w:spacing w:line="360" w:lineRule="auto"/>
        <w:contextualSpacing/>
        <w:rPr>
          <w:szCs w:val="26"/>
          <w:lang w:bidi="hi-IN"/>
        </w:rPr>
      </w:pPr>
    </w:p>
    <w:bookmarkEnd w:id="2"/>
    <w:p w14:paraId="36E61DF4" w14:textId="62624637" w:rsidR="00F250F5" w:rsidRDefault="00F250F5" w:rsidP="00F250F5">
      <w:pPr>
        <w:tabs>
          <w:tab w:val="left" w:pos="-720"/>
        </w:tabs>
        <w:suppressAutoHyphens/>
        <w:spacing w:line="360" w:lineRule="auto"/>
        <w:jc w:val="center"/>
        <w:rPr>
          <w:b/>
          <w:szCs w:val="26"/>
        </w:rPr>
      </w:pPr>
      <w:r w:rsidRPr="0019098D">
        <w:rPr>
          <w:b/>
          <w:szCs w:val="26"/>
        </w:rPr>
        <w:t>Conclusion</w:t>
      </w:r>
    </w:p>
    <w:p w14:paraId="6F2C96D3" w14:textId="77777777" w:rsidR="00682E1F" w:rsidRPr="0019098D" w:rsidRDefault="00682E1F" w:rsidP="00F250F5">
      <w:pPr>
        <w:tabs>
          <w:tab w:val="left" w:pos="-720"/>
        </w:tabs>
        <w:suppressAutoHyphens/>
        <w:spacing w:line="360" w:lineRule="auto"/>
        <w:jc w:val="center"/>
        <w:rPr>
          <w:b/>
          <w:szCs w:val="26"/>
        </w:rPr>
      </w:pPr>
    </w:p>
    <w:p w14:paraId="7184673C" w14:textId="6590DC21" w:rsidR="00F250F5" w:rsidRDefault="00F250F5" w:rsidP="00F250F5">
      <w:pPr>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w:t>
      </w:r>
      <w:r w:rsidR="00BE759A">
        <w:rPr>
          <w:szCs w:val="26"/>
        </w:rPr>
        <w:t>CMRS</w:t>
      </w:r>
      <w:r w:rsidR="00BE759A" w:rsidRPr="0019098D">
        <w:rPr>
          <w:szCs w:val="26"/>
        </w:rPr>
        <w:t xml:space="preserve"> </w:t>
      </w:r>
      <w:r w:rsidRPr="0019098D">
        <w:rPr>
          <w:szCs w:val="26"/>
        </w:rPr>
        <w:t xml:space="preserve">Interconnection Agreement between </w:t>
      </w:r>
      <w:r w:rsidR="00650A9C">
        <w:rPr>
          <w:szCs w:val="26"/>
        </w:rPr>
        <w:t>CenturyLink</w:t>
      </w:r>
      <w:r w:rsidRPr="0019098D">
        <w:rPr>
          <w:szCs w:val="26"/>
        </w:rPr>
        <w:t xml:space="preserve"> and </w:t>
      </w:r>
      <w:r w:rsidR="00D630ED">
        <w:rPr>
          <w:szCs w:val="26"/>
        </w:rPr>
        <w:t>Dish Wireless</w:t>
      </w:r>
      <w:r>
        <w:rPr>
          <w:szCs w:val="26"/>
        </w:rPr>
        <w:t xml:space="preserve"> is</w:t>
      </w:r>
      <w:r w:rsidRPr="0019098D">
        <w:rPr>
          <w:szCs w:val="26"/>
        </w:rPr>
        <w:t xml:space="preserve"> non-discriminatory to other telecommunications carriers not party to the Amendment and that </w:t>
      </w:r>
      <w:r>
        <w:rPr>
          <w:szCs w:val="26"/>
        </w:rPr>
        <w:t>it</w:t>
      </w:r>
      <w:r w:rsidRPr="0019098D">
        <w:rPr>
          <w:szCs w:val="26"/>
        </w:rPr>
        <w:t xml:space="preserve"> </w:t>
      </w:r>
      <w:r>
        <w:rPr>
          <w:szCs w:val="26"/>
        </w:rPr>
        <w:t>is</w:t>
      </w:r>
      <w:r w:rsidRPr="0019098D">
        <w:rPr>
          <w:szCs w:val="26"/>
        </w:rPr>
        <w:t xml:space="preserve"> consistent with the public interest; </w:t>
      </w:r>
      <w:r w:rsidRPr="0019098D">
        <w:rPr>
          <w:b/>
          <w:szCs w:val="26"/>
        </w:rPr>
        <w:t>THEREFORE,</w:t>
      </w:r>
    </w:p>
    <w:p w14:paraId="7F794BC6" w14:textId="77777777" w:rsidR="00F250F5" w:rsidRPr="0019098D" w:rsidRDefault="00F250F5" w:rsidP="00F250F5">
      <w:pPr>
        <w:tabs>
          <w:tab w:val="left" w:pos="-720"/>
        </w:tabs>
        <w:suppressAutoHyphens/>
        <w:spacing w:line="360" w:lineRule="auto"/>
        <w:rPr>
          <w:b/>
          <w:szCs w:val="26"/>
        </w:rPr>
      </w:pPr>
    </w:p>
    <w:p w14:paraId="6B5CE92E" w14:textId="77777777" w:rsidR="00F250F5" w:rsidRPr="0019098D" w:rsidRDefault="00F250F5" w:rsidP="00F250F5">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666A8C75" w14:textId="77777777" w:rsidR="00F250F5" w:rsidRPr="0019098D" w:rsidRDefault="00F250F5" w:rsidP="00F250F5">
      <w:pPr>
        <w:keepNext/>
        <w:keepLines/>
        <w:tabs>
          <w:tab w:val="left" w:pos="-720"/>
        </w:tabs>
        <w:suppressAutoHyphens/>
        <w:spacing w:line="360" w:lineRule="auto"/>
        <w:rPr>
          <w:b/>
          <w:szCs w:val="26"/>
        </w:rPr>
      </w:pPr>
    </w:p>
    <w:p w14:paraId="209B635C" w14:textId="39A4BE07" w:rsidR="00F250F5" w:rsidRPr="0019098D" w:rsidRDefault="00F250F5" w:rsidP="00F250F5">
      <w:pPr>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w:t>
      </w:r>
      <w:r w:rsidR="00294B77">
        <w:rPr>
          <w:szCs w:val="26"/>
        </w:rPr>
        <w:t xml:space="preserve">an </w:t>
      </w:r>
      <w:r w:rsidRPr="0019098D">
        <w:rPr>
          <w:szCs w:val="26"/>
        </w:rPr>
        <w:t xml:space="preserve">Amendment to </w:t>
      </w:r>
      <w:r w:rsidR="002C53EB">
        <w:rPr>
          <w:szCs w:val="26"/>
        </w:rPr>
        <w:t>a</w:t>
      </w:r>
      <w:r w:rsidRPr="0019098D">
        <w:rPr>
          <w:szCs w:val="26"/>
        </w:rPr>
        <w:t xml:space="preserve"> </w:t>
      </w:r>
      <w:r w:rsidR="00A35BCF">
        <w:rPr>
          <w:szCs w:val="26"/>
        </w:rPr>
        <w:t>Commercial</w:t>
      </w:r>
      <w:r w:rsidR="006A09BE">
        <w:rPr>
          <w:szCs w:val="26"/>
        </w:rPr>
        <w:t xml:space="preserve"> Mobile Radio S</w:t>
      </w:r>
      <w:r w:rsidR="00A35BCF">
        <w:rPr>
          <w:szCs w:val="26"/>
        </w:rPr>
        <w:t xml:space="preserve">ervices </w:t>
      </w:r>
      <w:r w:rsidRPr="0019098D">
        <w:rPr>
          <w:szCs w:val="26"/>
        </w:rPr>
        <w:t xml:space="preserve">Interconnection Agreement filed on </w:t>
      </w:r>
      <w:r w:rsidR="00D630ED">
        <w:rPr>
          <w:szCs w:val="26"/>
        </w:rPr>
        <w:t>October</w:t>
      </w:r>
      <w:r w:rsidR="000E7B2C">
        <w:rPr>
          <w:szCs w:val="26"/>
        </w:rPr>
        <w:t> </w:t>
      </w:r>
      <w:r w:rsidR="00D630ED">
        <w:rPr>
          <w:szCs w:val="26"/>
        </w:rPr>
        <w:t>22</w:t>
      </w:r>
      <w:r w:rsidRPr="0019098D">
        <w:rPr>
          <w:szCs w:val="26"/>
        </w:rPr>
        <w:t>,</w:t>
      </w:r>
      <w:r w:rsidR="000E7B2C">
        <w:rPr>
          <w:szCs w:val="26"/>
        </w:rPr>
        <w:t> </w:t>
      </w:r>
      <w:r w:rsidRPr="0019098D">
        <w:rPr>
          <w:szCs w:val="26"/>
        </w:rPr>
        <w:t>2021, by</w:t>
      </w:r>
      <w:r>
        <w:rPr>
          <w:szCs w:val="26"/>
        </w:rPr>
        <w:t xml:space="preserve"> </w:t>
      </w:r>
      <w:r w:rsidR="00D630ED">
        <w:rPr>
          <w:szCs w:val="26"/>
        </w:rPr>
        <w:t>The United Telephone C</w:t>
      </w:r>
      <w:r>
        <w:rPr>
          <w:szCs w:val="26"/>
        </w:rPr>
        <w:t xml:space="preserve">ompany </w:t>
      </w:r>
      <w:r w:rsidR="00D630ED">
        <w:rPr>
          <w:szCs w:val="26"/>
        </w:rPr>
        <w:t xml:space="preserve">of Pennsylvania </w:t>
      </w:r>
      <w:r w:rsidR="00442D05">
        <w:rPr>
          <w:szCs w:val="26"/>
        </w:rPr>
        <w:t xml:space="preserve">LLC </w:t>
      </w:r>
      <w:r>
        <w:rPr>
          <w:szCs w:val="26"/>
        </w:rPr>
        <w:t xml:space="preserve">d/b/a </w:t>
      </w:r>
      <w:r w:rsidR="00650A9C">
        <w:rPr>
          <w:szCs w:val="26"/>
        </w:rPr>
        <w:t>CenturyLink</w:t>
      </w:r>
      <w:r>
        <w:rPr>
          <w:szCs w:val="26"/>
        </w:rPr>
        <w:t xml:space="preserve"> and </w:t>
      </w:r>
      <w:r w:rsidR="00D630ED">
        <w:rPr>
          <w:szCs w:val="26"/>
        </w:rPr>
        <w:t>Dish Wireless</w:t>
      </w:r>
      <w:r w:rsidRPr="0019098D">
        <w:rPr>
          <w:szCs w:val="26"/>
        </w:rPr>
        <w:t xml:space="preserve"> </w:t>
      </w:r>
      <w:r>
        <w:rPr>
          <w:szCs w:val="26"/>
        </w:rPr>
        <w:t>L</w:t>
      </w:r>
      <w:r w:rsidR="00D630ED">
        <w:rPr>
          <w:szCs w:val="26"/>
        </w:rPr>
        <w:t>.</w:t>
      </w:r>
      <w:r>
        <w:rPr>
          <w:szCs w:val="26"/>
        </w:rPr>
        <w:t>L</w:t>
      </w:r>
      <w:r w:rsidR="00D630ED">
        <w:rPr>
          <w:szCs w:val="26"/>
        </w:rPr>
        <w:t>.</w:t>
      </w:r>
      <w:r>
        <w:rPr>
          <w:szCs w:val="26"/>
        </w:rPr>
        <w:t>C</w:t>
      </w:r>
      <w:r w:rsidR="00D630ED">
        <w:rPr>
          <w:szCs w:val="26"/>
        </w:rPr>
        <w:t>.</w:t>
      </w:r>
      <w:r w:rsidRPr="0019098D">
        <w:rPr>
          <w:szCs w:val="26"/>
        </w:rPr>
        <w:t xml:space="preserve"> is granted, consistent with this Opinion and Order.</w:t>
      </w:r>
    </w:p>
    <w:p w14:paraId="043F87C2" w14:textId="77777777" w:rsidR="00F250F5" w:rsidRPr="0019098D" w:rsidRDefault="00F250F5" w:rsidP="00F250F5">
      <w:pPr>
        <w:pStyle w:val="FootnoteText"/>
        <w:tabs>
          <w:tab w:val="left" w:pos="-720"/>
        </w:tabs>
        <w:suppressAutoHyphens/>
        <w:spacing w:line="360" w:lineRule="auto"/>
        <w:rPr>
          <w:sz w:val="26"/>
          <w:szCs w:val="26"/>
        </w:rPr>
      </w:pPr>
    </w:p>
    <w:p w14:paraId="1447CDF5" w14:textId="46CF1FD2" w:rsidR="00F250F5" w:rsidRDefault="00F250F5" w:rsidP="00F250F5">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 between non-parties to the Interconnection Agreement and Amendment.</w:t>
      </w:r>
    </w:p>
    <w:p w14:paraId="368734D4" w14:textId="77777777" w:rsidR="00F250F5" w:rsidRPr="0019098D" w:rsidRDefault="00F250F5" w:rsidP="00F250F5">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C026840" w14:textId="77777777" w:rsidR="00F250F5" w:rsidRPr="0019098D" w:rsidRDefault="00F250F5" w:rsidP="00F250F5">
      <w:pPr>
        <w:keepNext/>
        <w:tabs>
          <w:tab w:val="left" w:pos="-720"/>
        </w:tabs>
        <w:suppressAutoHyphens/>
        <w:spacing w:line="360" w:lineRule="auto"/>
        <w:rPr>
          <w:szCs w:val="26"/>
        </w:rPr>
      </w:pPr>
    </w:p>
    <w:p w14:paraId="03666B25" w14:textId="2ED41B44" w:rsidR="00F250F5" w:rsidRPr="0019098D" w:rsidRDefault="006C04E2" w:rsidP="00F250F5">
      <w:pPr>
        <w:keepNext/>
        <w:tabs>
          <w:tab w:val="left" w:pos="-720"/>
        </w:tabs>
        <w:suppressAutoHyphens/>
        <w:rPr>
          <w:b/>
          <w:szCs w:val="26"/>
        </w:rPr>
      </w:pPr>
      <w:r>
        <w:rPr>
          <w:noProof/>
        </w:rPr>
        <w:drawing>
          <wp:anchor distT="0" distB="0" distL="114300" distR="114300" simplePos="0" relativeHeight="251659264" behindDoc="1" locked="0" layoutInCell="1" allowOverlap="1" wp14:anchorId="0B595578" wp14:editId="7BC4A956">
            <wp:simplePos x="0" y="0"/>
            <wp:positionH relativeFrom="column">
              <wp:posOffset>3248025</wp:posOffset>
            </wp:positionH>
            <wp:positionV relativeFrom="paragraph">
              <wp:posOffset>180340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250F5" w:rsidRPr="0019098D">
        <w:rPr>
          <w:b/>
          <w:szCs w:val="26"/>
        </w:rPr>
        <w:tab/>
      </w:r>
      <w:r w:rsidR="00F250F5" w:rsidRPr="0019098D">
        <w:rPr>
          <w:b/>
          <w:szCs w:val="26"/>
        </w:rPr>
        <w:tab/>
      </w:r>
      <w:r w:rsidR="00F250F5" w:rsidRPr="0019098D">
        <w:rPr>
          <w:b/>
          <w:szCs w:val="26"/>
        </w:rPr>
        <w:tab/>
      </w:r>
      <w:r w:rsidR="00F250F5" w:rsidRPr="0019098D">
        <w:rPr>
          <w:b/>
          <w:szCs w:val="26"/>
        </w:rPr>
        <w:tab/>
      </w:r>
      <w:r w:rsidR="00F250F5" w:rsidRPr="0019098D">
        <w:rPr>
          <w:b/>
          <w:szCs w:val="26"/>
        </w:rPr>
        <w:tab/>
      </w:r>
      <w:r w:rsidR="00F250F5" w:rsidRPr="0019098D">
        <w:rPr>
          <w:b/>
          <w:szCs w:val="26"/>
        </w:rPr>
        <w:tab/>
      </w:r>
      <w:r w:rsidR="00F250F5" w:rsidRPr="0019098D">
        <w:rPr>
          <w:b/>
          <w:szCs w:val="26"/>
        </w:rPr>
        <w:tab/>
        <w:t>BY THE COMMISSION,</w:t>
      </w:r>
    </w:p>
    <w:p w14:paraId="0B2922B7" w14:textId="5507DBA8" w:rsidR="00F250F5" w:rsidRPr="0019098D" w:rsidRDefault="00F250F5" w:rsidP="00F250F5">
      <w:pPr>
        <w:keepNext/>
        <w:tabs>
          <w:tab w:val="left" w:pos="-720"/>
        </w:tabs>
        <w:suppressAutoHyphens/>
        <w:rPr>
          <w:b/>
          <w:szCs w:val="26"/>
        </w:rPr>
      </w:pPr>
    </w:p>
    <w:p w14:paraId="442589C4" w14:textId="77777777" w:rsidR="00F250F5" w:rsidRDefault="00F250F5" w:rsidP="00F250F5">
      <w:pPr>
        <w:keepNext/>
        <w:tabs>
          <w:tab w:val="left" w:pos="-720"/>
          <w:tab w:val="left" w:pos="5745"/>
        </w:tabs>
        <w:suppressAutoHyphens/>
        <w:rPr>
          <w:b/>
          <w:szCs w:val="26"/>
        </w:rPr>
      </w:pPr>
    </w:p>
    <w:p w14:paraId="6F230263" w14:textId="77777777" w:rsidR="00F250F5" w:rsidRPr="0019098D" w:rsidRDefault="00F250F5" w:rsidP="00F250F5">
      <w:pPr>
        <w:keepNext/>
        <w:tabs>
          <w:tab w:val="left" w:pos="-720"/>
          <w:tab w:val="left" w:pos="5745"/>
        </w:tabs>
        <w:suppressAutoHyphens/>
        <w:rPr>
          <w:b/>
          <w:szCs w:val="26"/>
        </w:rPr>
      </w:pPr>
    </w:p>
    <w:p w14:paraId="2D1F762B" w14:textId="77777777" w:rsidR="00F250F5" w:rsidRPr="0019098D" w:rsidRDefault="00F250F5" w:rsidP="00F250F5">
      <w:pPr>
        <w:keepNext/>
        <w:tabs>
          <w:tab w:val="left" w:pos="-720"/>
        </w:tabs>
        <w:suppressAutoHyphens/>
        <w:rPr>
          <w:b/>
          <w:szCs w:val="26"/>
        </w:rPr>
      </w:pPr>
    </w:p>
    <w:p w14:paraId="2B05202C" w14:textId="77777777" w:rsidR="00F250F5" w:rsidRPr="0019098D" w:rsidRDefault="00F250F5" w:rsidP="00F250F5">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EAFF592" w14:textId="77777777" w:rsidR="00F250F5" w:rsidRPr="0019098D" w:rsidRDefault="00F250F5" w:rsidP="00F250F5">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3F6CEE15" w14:textId="45FF7B31" w:rsidR="00F250F5" w:rsidRDefault="00F250F5" w:rsidP="00F250F5">
      <w:pPr>
        <w:keepNext/>
        <w:tabs>
          <w:tab w:val="left" w:pos="-720"/>
        </w:tabs>
        <w:suppressAutoHyphens/>
        <w:rPr>
          <w:szCs w:val="26"/>
        </w:rPr>
      </w:pPr>
    </w:p>
    <w:p w14:paraId="7525E2CF" w14:textId="77777777" w:rsidR="000E7B2C" w:rsidRDefault="000E7B2C" w:rsidP="00F250F5">
      <w:pPr>
        <w:keepNext/>
        <w:tabs>
          <w:tab w:val="left" w:pos="-720"/>
        </w:tabs>
        <w:suppressAutoHyphens/>
        <w:rPr>
          <w:szCs w:val="26"/>
        </w:rPr>
      </w:pPr>
    </w:p>
    <w:p w14:paraId="50F661D6" w14:textId="77777777" w:rsidR="00F250F5" w:rsidRPr="0019098D" w:rsidRDefault="00F250F5" w:rsidP="00F250F5">
      <w:pPr>
        <w:keepNext/>
        <w:tabs>
          <w:tab w:val="left" w:pos="-720"/>
        </w:tabs>
        <w:suppressAutoHyphens/>
        <w:rPr>
          <w:szCs w:val="26"/>
        </w:rPr>
      </w:pPr>
      <w:r w:rsidRPr="0019098D">
        <w:rPr>
          <w:szCs w:val="26"/>
        </w:rPr>
        <w:t>(SEAL)</w:t>
      </w:r>
    </w:p>
    <w:p w14:paraId="17143027" w14:textId="77777777" w:rsidR="00F250F5" w:rsidRDefault="00F250F5" w:rsidP="00F250F5">
      <w:pPr>
        <w:keepNext/>
        <w:tabs>
          <w:tab w:val="left" w:pos="-720"/>
        </w:tabs>
        <w:suppressAutoHyphens/>
        <w:rPr>
          <w:szCs w:val="26"/>
        </w:rPr>
      </w:pPr>
    </w:p>
    <w:p w14:paraId="7C8800BC" w14:textId="01C74C18" w:rsidR="00F250F5" w:rsidRPr="0019098D" w:rsidRDefault="00F250F5" w:rsidP="00F250F5">
      <w:pPr>
        <w:keepNext/>
        <w:tabs>
          <w:tab w:val="left" w:pos="-720"/>
        </w:tabs>
        <w:suppressAutoHyphens/>
        <w:rPr>
          <w:szCs w:val="26"/>
        </w:rPr>
      </w:pPr>
      <w:r w:rsidRPr="0019098D">
        <w:rPr>
          <w:szCs w:val="26"/>
        </w:rPr>
        <w:t xml:space="preserve">ORDER ADOPTED:  </w:t>
      </w:r>
      <w:r>
        <w:rPr>
          <w:szCs w:val="26"/>
        </w:rPr>
        <w:t>January</w:t>
      </w:r>
      <w:r w:rsidRPr="0019098D">
        <w:rPr>
          <w:szCs w:val="26"/>
        </w:rPr>
        <w:t xml:space="preserve"> </w:t>
      </w:r>
      <w:r>
        <w:rPr>
          <w:szCs w:val="26"/>
        </w:rPr>
        <w:t>13</w:t>
      </w:r>
      <w:r w:rsidRPr="0019098D">
        <w:rPr>
          <w:szCs w:val="26"/>
        </w:rPr>
        <w:t>, 202</w:t>
      </w:r>
      <w:r>
        <w:rPr>
          <w:szCs w:val="26"/>
        </w:rPr>
        <w:t>2</w:t>
      </w:r>
    </w:p>
    <w:p w14:paraId="089131D3" w14:textId="77777777" w:rsidR="00F250F5" w:rsidRPr="0019098D" w:rsidRDefault="00F250F5" w:rsidP="00F250F5">
      <w:pPr>
        <w:keepNext/>
        <w:rPr>
          <w:szCs w:val="26"/>
        </w:rPr>
      </w:pPr>
    </w:p>
    <w:p w14:paraId="771B23DD" w14:textId="5DCAF3C8" w:rsidR="00CB6DF5" w:rsidRPr="00682E1F" w:rsidRDefault="00F250F5" w:rsidP="00682E1F">
      <w:pPr>
        <w:keepNext/>
        <w:rPr>
          <w:szCs w:val="26"/>
        </w:rPr>
      </w:pPr>
      <w:r w:rsidRPr="0019098D">
        <w:rPr>
          <w:szCs w:val="26"/>
        </w:rPr>
        <w:t>ORDER ENTERED:</w:t>
      </w:r>
      <w:r w:rsidRPr="00954734">
        <w:rPr>
          <w:szCs w:val="26"/>
        </w:rPr>
        <w:t xml:space="preserve">  </w:t>
      </w:r>
      <w:r w:rsidR="006C04E2">
        <w:rPr>
          <w:szCs w:val="26"/>
        </w:rPr>
        <w:t>January 13, 2022</w:t>
      </w:r>
    </w:p>
    <w:sectPr w:rsidR="00CB6DF5" w:rsidRPr="00682E1F" w:rsidSect="00954734">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7490" w14:textId="77777777" w:rsidR="00D6299A" w:rsidRDefault="00D6299A" w:rsidP="00F250F5">
      <w:r>
        <w:separator/>
      </w:r>
    </w:p>
  </w:endnote>
  <w:endnote w:type="continuationSeparator" w:id="0">
    <w:p w14:paraId="5575CBB1" w14:textId="77777777" w:rsidR="00D6299A" w:rsidRDefault="00D6299A" w:rsidP="00F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A319" w14:textId="77777777" w:rsidR="00B86D41" w:rsidRDefault="00612C7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73D983" w14:textId="77777777" w:rsidR="00B86D41" w:rsidRDefault="006C0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FB2E" w14:textId="77777777" w:rsidR="00B86D41" w:rsidRDefault="00612C7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68CC52B" w14:textId="77777777" w:rsidR="00B86D41" w:rsidRDefault="006C0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C7A1" w14:textId="77777777" w:rsidR="00D6299A" w:rsidRDefault="00D6299A" w:rsidP="00F250F5">
      <w:r>
        <w:separator/>
      </w:r>
    </w:p>
  </w:footnote>
  <w:footnote w:type="continuationSeparator" w:id="0">
    <w:p w14:paraId="068638E0" w14:textId="77777777" w:rsidR="00D6299A" w:rsidRDefault="00D6299A" w:rsidP="00F250F5">
      <w:r>
        <w:continuationSeparator/>
      </w:r>
    </w:p>
  </w:footnote>
  <w:footnote w:id="1">
    <w:p w14:paraId="3AC8F57E" w14:textId="686FF84A" w:rsidR="001B67D7" w:rsidRPr="00812C6A" w:rsidRDefault="001B67D7" w:rsidP="00812C6A">
      <w:pPr>
        <w:ind w:firstLine="720"/>
        <w:rPr>
          <w:i/>
          <w:iCs/>
          <w:szCs w:val="26"/>
        </w:rPr>
      </w:pPr>
      <w:r>
        <w:rPr>
          <w:rStyle w:val="FootnoteReference"/>
        </w:rPr>
        <w:footnoteRef/>
      </w:r>
      <w:r>
        <w:t xml:space="preserve"> </w:t>
      </w:r>
      <w:r>
        <w:tab/>
      </w:r>
      <w:r w:rsidR="001218C1">
        <w:t>We note that the</w:t>
      </w:r>
      <w:r>
        <w:t xml:space="preserve"> </w:t>
      </w:r>
      <w:r w:rsidR="00A307E7">
        <w:t xml:space="preserve">original agreement between CenturyLink and Dish Wireless was concurrently </w:t>
      </w:r>
      <w:r w:rsidR="001218C1">
        <w:t xml:space="preserve">filed with </w:t>
      </w:r>
      <w:r w:rsidR="00920171">
        <w:t xml:space="preserve">the amendment and subsequently concurrently </w:t>
      </w:r>
      <w:r w:rsidR="00A307E7">
        <w:t>approved by the Commission</w:t>
      </w:r>
      <w:r w:rsidR="004A08AD">
        <w:t xml:space="preserve"> at the Public Meeting</w:t>
      </w:r>
      <w:r w:rsidR="00770391">
        <w:t xml:space="preserve"> held </w:t>
      </w:r>
      <w:r w:rsidR="00861A0F">
        <w:t xml:space="preserve">on </w:t>
      </w:r>
      <w:r w:rsidR="004A08AD">
        <w:t>January 13, 2022</w:t>
      </w:r>
      <w:r w:rsidR="00770391">
        <w:t xml:space="preserve">.  </w:t>
      </w:r>
      <w:r w:rsidR="00770391" w:rsidRPr="004E612F">
        <w:rPr>
          <w:i/>
          <w:iCs/>
        </w:rPr>
        <w:t>See</w:t>
      </w:r>
      <w:r w:rsidR="00453DCF">
        <w:t xml:space="preserve"> </w:t>
      </w:r>
      <w:r w:rsidR="00453DCF" w:rsidRPr="002907E9">
        <w:rPr>
          <w:i/>
          <w:iCs/>
          <w:szCs w:val="26"/>
        </w:rPr>
        <w:t xml:space="preserve">Joint Petition of The United Telephone Company of Pennsylvania LLC d/b/a CenturyLink </w:t>
      </w:r>
      <w:r w:rsidR="00453DCF" w:rsidRPr="002907E9">
        <w:rPr>
          <w:i/>
          <w:iCs/>
          <w:kern w:val="24"/>
          <w:szCs w:val="26"/>
        </w:rPr>
        <w:t xml:space="preserve">and </w:t>
      </w:r>
      <w:r w:rsidR="00453DCF" w:rsidRPr="002907E9">
        <w:rPr>
          <w:i/>
          <w:iCs/>
          <w:szCs w:val="26"/>
        </w:rPr>
        <w:t>Dish Wireless L.L.C. for Approval of an Interconnection Agreement under Section 252(e) of the Telecommunications Act of 1996</w:t>
      </w:r>
      <w:r w:rsidR="00727282" w:rsidRPr="00D21AC2">
        <w:rPr>
          <w:szCs w:val="26"/>
        </w:rPr>
        <w:t>,</w:t>
      </w:r>
      <w:r w:rsidR="00812C6A">
        <w:rPr>
          <w:i/>
          <w:iCs/>
          <w:szCs w:val="26"/>
        </w:rPr>
        <w:t xml:space="preserve"> </w:t>
      </w:r>
      <w:r w:rsidR="00453DCF" w:rsidRPr="004E612F">
        <w:rPr>
          <w:szCs w:val="26"/>
        </w:rPr>
        <w:t>Docket No. A-2021-3029242.</w:t>
      </w:r>
      <w:r w:rsidR="00453DCF" w:rsidRPr="002907E9">
        <w:rPr>
          <w:i/>
          <w:iCs/>
          <w:szCs w:val="26"/>
        </w:rPr>
        <w:t xml:space="preserve">  </w:t>
      </w:r>
    </w:p>
  </w:footnote>
  <w:footnote w:id="2">
    <w:p w14:paraId="490E649A" w14:textId="49DDA985" w:rsidR="00F250F5" w:rsidRPr="00B6699D" w:rsidRDefault="00F250F5" w:rsidP="004E612F">
      <w:pPr>
        <w:keepNext/>
        <w:keepLines/>
        <w:tabs>
          <w:tab w:val="left" w:pos="720"/>
        </w:tabs>
        <w:ind w:right="446" w:firstLine="720"/>
        <w:rPr>
          <w:sz w:val="22"/>
        </w:rPr>
      </w:pPr>
      <w:r w:rsidRPr="002C5398">
        <w:rPr>
          <w:rStyle w:val="FootnoteReference"/>
          <w:rFonts w:ascii="Times New (W1)" w:hAnsi="Times New (W1)"/>
          <w:szCs w:val="26"/>
        </w:rPr>
        <w:footnoteRef/>
      </w:r>
      <w:r w:rsidRPr="002868AD">
        <w:rPr>
          <w:rFonts w:ascii="Times New (W1)" w:hAnsi="Times New (W1)"/>
        </w:rPr>
        <w:tab/>
      </w:r>
      <w:r w:rsidR="00B6699D" w:rsidRPr="00D374A7">
        <w:t xml:space="preserve">In this instance the interconnection agreement is between a wireline and wireless carrier.  In prior interconnection orders between wireline carriers the Commission has included a notice that all carriers and applicants beginning to provide service in Pennsylvania should not do so without Commission authorization and without complying with applicable provisions to the Public Utility Code (Code) and our Regulations.  Although one carrier in this interconnection agreement is a wireless carrier, and the Commission’s regulatory oversight is more circumscribed under the Code and our Regulations, the Commission will preserve its jurisdiction over those areas allowed by law.  </w:t>
      </w:r>
    </w:p>
  </w:footnote>
  <w:footnote w:id="3">
    <w:p w14:paraId="0A1D260E" w14:textId="4F3829DE" w:rsidR="00C67D00" w:rsidRDefault="00C67D00" w:rsidP="00682E1F">
      <w:pPr>
        <w:pStyle w:val="FootnoteText"/>
        <w:keepNext/>
        <w:keepLines/>
        <w:spacing w:after="120"/>
        <w:ind w:firstLine="720"/>
      </w:pPr>
      <w:r w:rsidRPr="00C67D00">
        <w:rPr>
          <w:rStyle w:val="FootnoteReference"/>
          <w:sz w:val="26"/>
          <w:szCs w:val="26"/>
        </w:rPr>
        <w:footnoteRef/>
      </w:r>
      <w:r>
        <w:tab/>
      </w:r>
      <w:r w:rsidRPr="001663C8">
        <w:rPr>
          <w:sz w:val="26"/>
          <w:szCs w:val="26"/>
        </w:rPr>
        <w:t>MTA is an acronym for Major Trading Area that refers to a F</w:t>
      </w:r>
      <w:r>
        <w:rPr>
          <w:sz w:val="26"/>
          <w:szCs w:val="26"/>
        </w:rPr>
        <w:t xml:space="preserve">ederal </w:t>
      </w:r>
      <w:r w:rsidRPr="001663C8">
        <w:rPr>
          <w:sz w:val="26"/>
          <w:szCs w:val="26"/>
        </w:rPr>
        <w:t>C</w:t>
      </w:r>
      <w:r>
        <w:rPr>
          <w:sz w:val="26"/>
          <w:szCs w:val="26"/>
        </w:rPr>
        <w:t xml:space="preserve">ommunications </w:t>
      </w:r>
      <w:r w:rsidRPr="001663C8">
        <w:rPr>
          <w:sz w:val="26"/>
          <w:szCs w:val="26"/>
        </w:rPr>
        <w:t>C</w:t>
      </w:r>
      <w:r>
        <w:rPr>
          <w:sz w:val="26"/>
          <w:szCs w:val="26"/>
        </w:rPr>
        <w:t>ommission</w:t>
      </w:r>
      <w:r w:rsidRPr="001663C8">
        <w:rPr>
          <w:sz w:val="26"/>
          <w:szCs w:val="26"/>
        </w:rPr>
        <w:t xml:space="preserve"> authorized wireless territory. </w:t>
      </w:r>
    </w:p>
  </w:footnote>
  <w:footnote w:id="4">
    <w:p w14:paraId="2A6F5C80" w14:textId="78C18120" w:rsidR="00643BD0" w:rsidRPr="00643BD0" w:rsidRDefault="00643BD0" w:rsidP="00682E1F">
      <w:pPr>
        <w:pStyle w:val="FootnoteText"/>
        <w:spacing w:after="120"/>
        <w:ind w:firstLine="720"/>
        <w:rPr>
          <w:sz w:val="26"/>
          <w:szCs w:val="26"/>
        </w:rPr>
      </w:pPr>
      <w:r w:rsidRPr="00643BD0">
        <w:rPr>
          <w:rStyle w:val="FootnoteReference"/>
          <w:sz w:val="26"/>
          <w:szCs w:val="26"/>
        </w:rPr>
        <w:footnoteRef/>
      </w:r>
      <w:r w:rsidRPr="00643BD0">
        <w:rPr>
          <w:sz w:val="26"/>
          <w:szCs w:val="26"/>
        </w:rPr>
        <w:tab/>
      </w:r>
      <w:r>
        <w:rPr>
          <w:sz w:val="26"/>
          <w:szCs w:val="26"/>
        </w:rPr>
        <w:t>NPA stands for Numbering Plan Area</w:t>
      </w:r>
      <w:r w:rsidR="00B37B1B">
        <w:rPr>
          <w:sz w:val="26"/>
          <w:szCs w:val="26"/>
        </w:rPr>
        <w:t>,</w:t>
      </w:r>
      <w:r>
        <w:rPr>
          <w:sz w:val="26"/>
          <w:szCs w:val="26"/>
        </w:rPr>
        <w:t xml:space="preserve"> and NXX refers to the first three digits of a telephone number, which identify the specific telephone company central office that serves that number</w:t>
      </w:r>
      <w:r w:rsidR="00B37B1B">
        <w:rPr>
          <w:sz w:val="26"/>
          <w:szCs w:val="26"/>
        </w:rPr>
        <w:t>.</w:t>
      </w:r>
    </w:p>
  </w:footnote>
  <w:footnote w:id="5">
    <w:p w14:paraId="244B9EA4" w14:textId="6EC6D74A" w:rsidR="002A008D" w:rsidRPr="002A008D" w:rsidRDefault="002A008D" w:rsidP="00682E1F">
      <w:pPr>
        <w:pStyle w:val="FootnoteText"/>
        <w:spacing w:after="120"/>
        <w:ind w:firstLine="720"/>
        <w:rPr>
          <w:sz w:val="26"/>
          <w:szCs w:val="26"/>
        </w:rPr>
      </w:pPr>
      <w:r w:rsidRPr="002A008D">
        <w:rPr>
          <w:rStyle w:val="FootnoteReference"/>
          <w:sz w:val="26"/>
          <w:szCs w:val="26"/>
        </w:rPr>
        <w:footnoteRef/>
      </w:r>
      <w:r>
        <w:rPr>
          <w:sz w:val="26"/>
          <w:szCs w:val="26"/>
        </w:rPr>
        <w:tab/>
        <w:t>LERG refers to Local Exchange Routing Guide</w:t>
      </w:r>
      <w:r w:rsidR="00D613B0">
        <w:rPr>
          <w:sz w:val="26"/>
          <w:szCs w:val="26"/>
        </w:rPr>
        <w:t xml:space="preserve"> which </w:t>
      </w:r>
      <w:r>
        <w:rPr>
          <w:sz w:val="26"/>
          <w:szCs w:val="26"/>
        </w:rPr>
        <w:t>is a database of telecommunications numbering resources used by telecommunications service providers for its operations</w:t>
      </w:r>
      <w:r w:rsidR="00B37B1B">
        <w:rPr>
          <w:sz w:val="26"/>
          <w:szCs w:val="26"/>
        </w:rPr>
        <w:t>.</w:t>
      </w:r>
    </w:p>
  </w:footnote>
  <w:footnote w:id="6">
    <w:p w14:paraId="2096E3C4" w14:textId="08EEB7FC" w:rsidR="00F47991" w:rsidRPr="00F47991" w:rsidRDefault="00F47991" w:rsidP="0014693F">
      <w:pPr>
        <w:pStyle w:val="FootnoteText"/>
        <w:ind w:firstLine="720"/>
        <w:rPr>
          <w:sz w:val="26"/>
          <w:szCs w:val="26"/>
        </w:rPr>
      </w:pPr>
      <w:r w:rsidRPr="00F47991">
        <w:rPr>
          <w:rStyle w:val="FootnoteReference"/>
          <w:sz w:val="26"/>
          <w:szCs w:val="26"/>
        </w:rPr>
        <w:footnoteRef/>
      </w:r>
      <w:r>
        <w:rPr>
          <w:sz w:val="26"/>
          <w:szCs w:val="26"/>
        </w:rPr>
        <w:tab/>
      </w:r>
      <w:r w:rsidR="005D1D59">
        <w:rPr>
          <w:sz w:val="26"/>
          <w:szCs w:val="26"/>
        </w:rPr>
        <w:t xml:space="preserve">LATA </w:t>
      </w:r>
      <w:r w:rsidR="006544A8">
        <w:rPr>
          <w:sz w:val="26"/>
          <w:szCs w:val="26"/>
        </w:rPr>
        <w:t>refers to</w:t>
      </w:r>
      <w:r w:rsidR="005D1D59">
        <w:rPr>
          <w:sz w:val="26"/>
          <w:szCs w:val="26"/>
        </w:rPr>
        <w:t xml:space="preserve"> Local Access and Transport Area</w:t>
      </w:r>
      <w:r w:rsidR="00FF4169">
        <w:rPr>
          <w:sz w:val="26"/>
          <w:szCs w:val="26"/>
        </w:rPr>
        <w:t xml:space="preserve"> </w:t>
      </w:r>
      <w:r w:rsidR="00D613B0">
        <w:rPr>
          <w:sz w:val="26"/>
          <w:szCs w:val="26"/>
        </w:rPr>
        <w:t xml:space="preserve">and </w:t>
      </w:r>
      <w:r w:rsidR="00847604">
        <w:rPr>
          <w:sz w:val="26"/>
          <w:szCs w:val="26"/>
        </w:rPr>
        <w:t xml:space="preserve">represents an area within which </w:t>
      </w:r>
      <w:r w:rsidR="00F25DF5">
        <w:rPr>
          <w:sz w:val="26"/>
          <w:szCs w:val="26"/>
        </w:rPr>
        <w:t>a local telephone com</w:t>
      </w:r>
      <w:r w:rsidR="001E1E49">
        <w:rPr>
          <w:sz w:val="26"/>
          <w:szCs w:val="26"/>
        </w:rPr>
        <w:t>p</w:t>
      </w:r>
      <w:r w:rsidR="00F25DF5">
        <w:rPr>
          <w:sz w:val="26"/>
          <w:szCs w:val="26"/>
        </w:rPr>
        <w:t>a</w:t>
      </w:r>
      <w:r w:rsidR="001E1E49">
        <w:rPr>
          <w:sz w:val="26"/>
          <w:szCs w:val="26"/>
        </w:rPr>
        <w:t>n</w:t>
      </w:r>
      <w:r w:rsidR="00F25DF5">
        <w:rPr>
          <w:sz w:val="26"/>
          <w:szCs w:val="26"/>
        </w:rPr>
        <w:t>y is permitted to operate</w:t>
      </w:r>
      <w:r w:rsidR="00733979">
        <w:rPr>
          <w:sz w:val="26"/>
          <w:szCs w:val="26"/>
        </w:rPr>
        <w:t>.</w:t>
      </w:r>
    </w:p>
  </w:footnote>
  <w:footnote w:id="7">
    <w:p w14:paraId="1F46D66B" w14:textId="77777777" w:rsidR="00F250F5" w:rsidRPr="00DA48BE" w:rsidRDefault="00F250F5" w:rsidP="007E774A">
      <w:pPr>
        <w:pStyle w:val="FootnoteText"/>
        <w:spacing w:after="120"/>
        <w:ind w:firstLine="720"/>
        <w:rPr>
          <w:sz w:val="26"/>
          <w:szCs w:val="26"/>
        </w:rPr>
      </w:pPr>
      <w:r w:rsidRPr="00DA48BE">
        <w:rPr>
          <w:rStyle w:val="FootnoteReference"/>
          <w:sz w:val="26"/>
          <w:szCs w:val="26"/>
        </w:rPr>
        <w:footnoteRef/>
      </w:r>
      <w:r>
        <w:rPr>
          <w:sz w:val="26"/>
          <w:szCs w:val="26"/>
        </w:rPr>
        <w:tab/>
        <w:t>66 Pa. C.S. §§ 3011-3019.</w:t>
      </w:r>
    </w:p>
  </w:footnote>
  <w:footnote w:id="8">
    <w:p w14:paraId="7B9C9086" w14:textId="77777777" w:rsidR="00F250F5" w:rsidRPr="002E3AC8" w:rsidRDefault="00F250F5" w:rsidP="007E774A">
      <w:pPr>
        <w:pStyle w:val="FootnoteText"/>
        <w:spacing w:after="120"/>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66 Pa. C.S. § 3019(b).</w:t>
      </w:r>
    </w:p>
  </w:footnote>
  <w:footnote w:id="9">
    <w:p w14:paraId="406153B9" w14:textId="32CB59CC" w:rsidR="00F250F5" w:rsidRPr="008003D3" w:rsidRDefault="00F250F5" w:rsidP="007E774A">
      <w:pPr>
        <w:pStyle w:val="FootnoteText"/>
        <w:keepNext/>
        <w:keepLines/>
        <w:spacing w:after="120"/>
        <w:ind w:firstLine="720"/>
        <w:rPr>
          <w:sz w:val="26"/>
          <w:szCs w:val="26"/>
        </w:rPr>
      </w:pPr>
      <w:r w:rsidRPr="008003D3">
        <w:rPr>
          <w:rStyle w:val="FootnoteReference"/>
          <w:sz w:val="26"/>
          <w:szCs w:val="26"/>
        </w:rPr>
        <w:footnoteRef/>
      </w:r>
      <w:r>
        <w:rPr>
          <w:sz w:val="26"/>
          <w:szCs w:val="26"/>
        </w:rPr>
        <w:tab/>
        <w:t xml:space="preserve">Both ILECs and </w:t>
      </w:r>
      <w:r w:rsidR="000A534B">
        <w:rPr>
          <w:sz w:val="26"/>
          <w:szCs w:val="26"/>
        </w:rPr>
        <w:t xml:space="preserve">wireless carriers </w:t>
      </w:r>
      <w:r>
        <w:rPr>
          <w:sz w:val="26"/>
          <w:szCs w:val="26"/>
        </w:rPr>
        <w:t xml:space="preserve">are under the affirmative obligation to route 911/E911 call traffic to the appropriate public safety answering point (PSAP).  Although </w:t>
      </w:r>
      <w:r w:rsidR="007B0970">
        <w:rPr>
          <w:sz w:val="26"/>
          <w:szCs w:val="26"/>
        </w:rPr>
        <w:t>wireless carriers</w:t>
      </w:r>
      <w:r>
        <w:rPr>
          <w:sz w:val="26"/>
          <w:szCs w:val="26"/>
        </w:rPr>
        <w:t xml:space="preserve"> may have direct trunking arrangements with PSAPs for handling of 911/E911 call traffic, we note that such traffic is often routed to the PSAP through switching and trunking facilities of an interconnected ILEC.</w:t>
      </w:r>
    </w:p>
  </w:footnote>
  <w:footnote w:id="10">
    <w:p w14:paraId="70D5C189" w14:textId="77777777" w:rsidR="00F250F5" w:rsidRPr="000B3962" w:rsidRDefault="00F250F5" w:rsidP="000E7B2C">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1D"/>
    <w:multiLevelType w:val="hybridMultilevel"/>
    <w:tmpl w:val="EED2A23C"/>
    <w:lvl w:ilvl="0" w:tplc="B860D94C">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4619C7"/>
    <w:multiLevelType w:val="hybridMultilevel"/>
    <w:tmpl w:val="4398A20A"/>
    <w:lvl w:ilvl="0" w:tplc="49CA3B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F5"/>
    <w:rsid w:val="000000BE"/>
    <w:rsid w:val="00003A51"/>
    <w:rsid w:val="00003BB5"/>
    <w:rsid w:val="00005FF9"/>
    <w:rsid w:val="00014A6C"/>
    <w:rsid w:val="00020F2E"/>
    <w:rsid w:val="000217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9645D"/>
    <w:rsid w:val="000A1082"/>
    <w:rsid w:val="000A2554"/>
    <w:rsid w:val="000A534B"/>
    <w:rsid w:val="000A53A3"/>
    <w:rsid w:val="000B2B7B"/>
    <w:rsid w:val="000B3473"/>
    <w:rsid w:val="000B4FFD"/>
    <w:rsid w:val="000B5AEF"/>
    <w:rsid w:val="000C4773"/>
    <w:rsid w:val="000E2B62"/>
    <w:rsid w:val="000E2E63"/>
    <w:rsid w:val="000E4B1A"/>
    <w:rsid w:val="000E55AA"/>
    <w:rsid w:val="000E7B2C"/>
    <w:rsid w:val="000E7BC9"/>
    <w:rsid w:val="000F1C78"/>
    <w:rsid w:val="000F3652"/>
    <w:rsid w:val="000F5D32"/>
    <w:rsid w:val="000F5E58"/>
    <w:rsid w:val="000F5EFB"/>
    <w:rsid w:val="000F7359"/>
    <w:rsid w:val="000F7530"/>
    <w:rsid w:val="001027EF"/>
    <w:rsid w:val="00107A17"/>
    <w:rsid w:val="00110943"/>
    <w:rsid w:val="00111654"/>
    <w:rsid w:val="00114839"/>
    <w:rsid w:val="001177DF"/>
    <w:rsid w:val="001218C1"/>
    <w:rsid w:val="00121B14"/>
    <w:rsid w:val="00123203"/>
    <w:rsid w:val="0012383D"/>
    <w:rsid w:val="001329A4"/>
    <w:rsid w:val="00136BFD"/>
    <w:rsid w:val="001411A6"/>
    <w:rsid w:val="00143684"/>
    <w:rsid w:val="00144F0A"/>
    <w:rsid w:val="00146872"/>
    <w:rsid w:val="0014693F"/>
    <w:rsid w:val="00151A7F"/>
    <w:rsid w:val="00151FCD"/>
    <w:rsid w:val="001523B9"/>
    <w:rsid w:val="00153137"/>
    <w:rsid w:val="0015514D"/>
    <w:rsid w:val="00155676"/>
    <w:rsid w:val="00156E4C"/>
    <w:rsid w:val="00157CA7"/>
    <w:rsid w:val="0016358B"/>
    <w:rsid w:val="001663C8"/>
    <w:rsid w:val="00166678"/>
    <w:rsid w:val="00167719"/>
    <w:rsid w:val="00180183"/>
    <w:rsid w:val="001927F3"/>
    <w:rsid w:val="00193A12"/>
    <w:rsid w:val="00196106"/>
    <w:rsid w:val="00196642"/>
    <w:rsid w:val="00197607"/>
    <w:rsid w:val="001A343F"/>
    <w:rsid w:val="001A5F84"/>
    <w:rsid w:val="001A78ED"/>
    <w:rsid w:val="001B1BC1"/>
    <w:rsid w:val="001B21EB"/>
    <w:rsid w:val="001B67D7"/>
    <w:rsid w:val="001C0C27"/>
    <w:rsid w:val="001C340A"/>
    <w:rsid w:val="001C3EBE"/>
    <w:rsid w:val="001C4498"/>
    <w:rsid w:val="001C4F37"/>
    <w:rsid w:val="001C54E7"/>
    <w:rsid w:val="001D294F"/>
    <w:rsid w:val="001D47BA"/>
    <w:rsid w:val="001D52D5"/>
    <w:rsid w:val="001D7D33"/>
    <w:rsid w:val="001E12AF"/>
    <w:rsid w:val="001E1BC0"/>
    <w:rsid w:val="001E1E49"/>
    <w:rsid w:val="001E3B5C"/>
    <w:rsid w:val="001E49A1"/>
    <w:rsid w:val="001E5567"/>
    <w:rsid w:val="001E7510"/>
    <w:rsid w:val="001F0BEF"/>
    <w:rsid w:val="001F475C"/>
    <w:rsid w:val="001F4A2D"/>
    <w:rsid w:val="001F5C1C"/>
    <w:rsid w:val="00202624"/>
    <w:rsid w:val="0020789A"/>
    <w:rsid w:val="0021276B"/>
    <w:rsid w:val="00212D96"/>
    <w:rsid w:val="0021302E"/>
    <w:rsid w:val="00214F5C"/>
    <w:rsid w:val="00216C30"/>
    <w:rsid w:val="00217D7C"/>
    <w:rsid w:val="00217DBA"/>
    <w:rsid w:val="00223FA0"/>
    <w:rsid w:val="002241EB"/>
    <w:rsid w:val="00226575"/>
    <w:rsid w:val="0023407E"/>
    <w:rsid w:val="00235D7C"/>
    <w:rsid w:val="00241573"/>
    <w:rsid w:val="002444BC"/>
    <w:rsid w:val="00250BD5"/>
    <w:rsid w:val="00253358"/>
    <w:rsid w:val="0025618C"/>
    <w:rsid w:val="00256355"/>
    <w:rsid w:val="002610DF"/>
    <w:rsid w:val="0026716E"/>
    <w:rsid w:val="0027091C"/>
    <w:rsid w:val="00270FBE"/>
    <w:rsid w:val="002754AC"/>
    <w:rsid w:val="0027630E"/>
    <w:rsid w:val="002771E5"/>
    <w:rsid w:val="0028014E"/>
    <w:rsid w:val="00283368"/>
    <w:rsid w:val="002848EB"/>
    <w:rsid w:val="00285951"/>
    <w:rsid w:val="00293DFE"/>
    <w:rsid w:val="00294B77"/>
    <w:rsid w:val="002A008D"/>
    <w:rsid w:val="002A1A22"/>
    <w:rsid w:val="002A1B61"/>
    <w:rsid w:val="002A76FC"/>
    <w:rsid w:val="002B1E41"/>
    <w:rsid w:val="002B3C90"/>
    <w:rsid w:val="002B5123"/>
    <w:rsid w:val="002B5138"/>
    <w:rsid w:val="002C0212"/>
    <w:rsid w:val="002C0BAF"/>
    <w:rsid w:val="002C11E7"/>
    <w:rsid w:val="002C1AF6"/>
    <w:rsid w:val="002C53EB"/>
    <w:rsid w:val="002D3554"/>
    <w:rsid w:val="002D4DFB"/>
    <w:rsid w:val="002E3FDE"/>
    <w:rsid w:val="002F187F"/>
    <w:rsid w:val="002F5E7C"/>
    <w:rsid w:val="002F6003"/>
    <w:rsid w:val="002F6C03"/>
    <w:rsid w:val="002F7090"/>
    <w:rsid w:val="002F7D79"/>
    <w:rsid w:val="00302D04"/>
    <w:rsid w:val="0031095B"/>
    <w:rsid w:val="003204F3"/>
    <w:rsid w:val="00323A07"/>
    <w:rsid w:val="00323FF6"/>
    <w:rsid w:val="00325A35"/>
    <w:rsid w:val="00331AEE"/>
    <w:rsid w:val="00334FC5"/>
    <w:rsid w:val="003370ED"/>
    <w:rsid w:val="00341E8A"/>
    <w:rsid w:val="00342F51"/>
    <w:rsid w:val="00343180"/>
    <w:rsid w:val="00344721"/>
    <w:rsid w:val="00353CDF"/>
    <w:rsid w:val="00354EBB"/>
    <w:rsid w:val="00361E8F"/>
    <w:rsid w:val="0036275F"/>
    <w:rsid w:val="00363D5D"/>
    <w:rsid w:val="003734FB"/>
    <w:rsid w:val="00375D37"/>
    <w:rsid w:val="00375DC3"/>
    <w:rsid w:val="00383DC5"/>
    <w:rsid w:val="003873DE"/>
    <w:rsid w:val="0039008C"/>
    <w:rsid w:val="003949F3"/>
    <w:rsid w:val="003A2331"/>
    <w:rsid w:val="003A5309"/>
    <w:rsid w:val="003B04BF"/>
    <w:rsid w:val="003B0854"/>
    <w:rsid w:val="003B3544"/>
    <w:rsid w:val="003B4859"/>
    <w:rsid w:val="003B79E9"/>
    <w:rsid w:val="003C19E0"/>
    <w:rsid w:val="003C2197"/>
    <w:rsid w:val="003D6205"/>
    <w:rsid w:val="003E40B2"/>
    <w:rsid w:val="003F14EF"/>
    <w:rsid w:val="003F2EAA"/>
    <w:rsid w:val="003F4A88"/>
    <w:rsid w:val="003F5AB6"/>
    <w:rsid w:val="003F6D48"/>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339D1"/>
    <w:rsid w:val="00442BE1"/>
    <w:rsid w:val="00442D05"/>
    <w:rsid w:val="00443A62"/>
    <w:rsid w:val="00446BFD"/>
    <w:rsid w:val="00447FE7"/>
    <w:rsid w:val="00451279"/>
    <w:rsid w:val="00453DCF"/>
    <w:rsid w:val="00454165"/>
    <w:rsid w:val="00454458"/>
    <w:rsid w:val="004575CA"/>
    <w:rsid w:val="00471796"/>
    <w:rsid w:val="00481003"/>
    <w:rsid w:val="004818A1"/>
    <w:rsid w:val="004843AD"/>
    <w:rsid w:val="00486BB3"/>
    <w:rsid w:val="00492C80"/>
    <w:rsid w:val="00497DBB"/>
    <w:rsid w:val="004A08AD"/>
    <w:rsid w:val="004A3631"/>
    <w:rsid w:val="004A6C4E"/>
    <w:rsid w:val="004B2A9B"/>
    <w:rsid w:val="004B36A4"/>
    <w:rsid w:val="004B4757"/>
    <w:rsid w:val="004B7962"/>
    <w:rsid w:val="004C2882"/>
    <w:rsid w:val="004C416F"/>
    <w:rsid w:val="004D0B9A"/>
    <w:rsid w:val="004D19F6"/>
    <w:rsid w:val="004D1DEE"/>
    <w:rsid w:val="004D3EB3"/>
    <w:rsid w:val="004D4703"/>
    <w:rsid w:val="004E0B63"/>
    <w:rsid w:val="004E612F"/>
    <w:rsid w:val="004E7CFA"/>
    <w:rsid w:val="004F27F6"/>
    <w:rsid w:val="004F4192"/>
    <w:rsid w:val="004F6B3B"/>
    <w:rsid w:val="005016B5"/>
    <w:rsid w:val="00501946"/>
    <w:rsid w:val="00504048"/>
    <w:rsid w:val="00512140"/>
    <w:rsid w:val="00516FFF"/>
    <w:rsid w:val="0051732E"/>
    <w:rsid w:val="00522749"/>
    <w:rsid w:val="0052543F"/>
    <w:rsid w:val="005256C1"/>
    <w:rsid w:val="00531B3A"/>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4C30"/>
    <w:rsid w:val="005863CB"/>
    <w:rsid w:val="00590BE6"/>
    <w:rsid w:val="00592954"/>
    <w:rsid w:val="00592AC6"/>
    <w:rsid w:val="005953CB"/>
    <w:rsid w:val="005969D4"/>
    <w:rsid w:val="005A0D4B"/>
    <w:rsid w:val="005A507D"/>
    <w:rsid w:val="005B2252"/>
    <w:rsid w:val="005B376D"/>
    <w:rsid w:val="005B37F4"/>
    <w:rsid w:val="005B5A3F"/>
    <w:rsid w:val="005B5C18"/>
    <w:rsid w:val="005B6EFE"/>
    <w:rsid w:val="005C0330"/>
    <w:rsid w:val="005C135C"/>
    <w:rsid w:val="005C22C6"/>
    <w:rsid w:val="005C2EB0"/>
    <w:rsid w:val="005C4F8E"/>
    <w:rsid w:val="005C5F5E"/>
    <w:rsid w:val="005C66FA"/>
    <w:rsid w:val="005C7B1D"/>
    <w:rsid w:val="005D1D59"/>
    <w:rsid w:val="005E491F"/>
    <w:rsid w:val="005E545F"/>
    <w:rsid w:val="00601BCC"/>
    <w:rsid w:val="00604828"/>
    <w:rsid w:val="00605D84"/>
    <w:rsid w:val="00612C76"/>
    <w:rsid w:val="00621DAF"/>
    <w:rsid w:val="00622463"/>
    <w:rsid w:val="00624203"/>
    <w:rsid w:val="006312F4"/>
    <w:rsid w:val="0063167F"/>
    <w:rsid w:val="00632C35"/>
    <w:rsid w:val="00635AB5"/>
    <w:rsid w:val="006371DF"/>
    <w:rsid w:val="006432E9"/>
    <w:rsid w:val="00643BD0"/>
    <w:rsid w:val="006448F1"/>
    <w:rsid w:val="0064601D"/>
    <w:rsid w:val="00650865"/>
    <w:rsid w:val="00650A9C"/>
    <w:rsid w:val="00652401"/>
    <w:rsid w:val="006544A8"/>
    <w:rsid w:val="00657411"/>
    <w:rsid w:val="006605AE"/>
    <w:rsid w:val="006608CE"/>
    <w:rsid w:val="006608F5"/>
    <w:rsid w:val="00663E42"/>
    <w:rsid w:val="00666FD0"/>
    <w:rsid w:val="00667FDF"/>
    <w:rsid w:val="00670B20"/>
    <w:rsid w:val="006710E7"/>
    <w:rsid w:val="00682E1F"/>
    <w:rsid w:val="00685D68"/>
    <w:rsid w:val="00685DE3"/>
    <w:rsid w:val="006866CB"/>
    <w:rsid w:val="006868D8"/>
    <w:rsid w:val="006930BD"/>
    <w:rsid w:val="00694720"/>
    <w:rsid w:val="006947BC"/>
    <w:rsid w:val="006A09BE"/>
    <w:rsid w:val="006A0FBD"/>
    <w:rsid w:val="006A6D37"/>
    <w:rsid w:val="006B0846"/>
    <w:rsid w:val="006B167C"/>
    <w:rsid w:val="006B23BB"/>
    <w:rsid w:val="006B49B3"/>
    <w:rsid w:val="006B4AB9"/>
    <w:rsid w:val="006B549E"/>
    <w:rsid w:val="006C04E2"/>
    <w:rsid w:val="006C42FF"/>
    <w:rsid w:val="006C458C"/>
    <w:rsid w:val="006D4627"/>
    <w:rsid w:val="006D664D"/>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27282"/>
    <w:rsid w:val="00730122"/>
    <w:rsid w:val="00731C83"/>
    <w:rsid w:val="00732687"/>
    <w:rsid w:val="00733394"/>
    <w:rsid w:val="00733979"/>
    <w:rsid w:val="00734D81"/>
    <w:rsid w:val="007368CB"/>
    <w:rsid w:val="00737860"/>
    <w:rsid w:val="00740577"/>
    <w:rsid w:val="00741A2A"/>
    <w:rsid w:val="007424A6"/>
    <w:rsid w:val="007428D5"/>
    <w:rsid w:val="00742A71"/>
    <w:rsid w:val="0075126A"/>
    <w:rsid w:val="0075186B"/>
    <w:rsid w:val="00757731"/>
    <w:rsid w:val="00765412"/>
    <w:rsid w:val="0076646A"/>
    <w:rsid w:val="00767DE1"/>
    <w:rsid w:val="00770391"/>
    <w:rsid w:val="007773F9"/>
    <w:rsid w:val="00787573"/>
    <w:rsid w:val="00791102"/>
    <w:rsid w:val="00792D69"/>
    <w:rsid w:val="00795E7B"/>
    <w:rsid w:val="007A05D1"/>
    <w:rsid w:val="007A061A"/>
    <w:rsid w:val="007A3E90"/>
    <w:rsid w:val="007A4448"/>
    <w:rsid w:val="007A51DA"/>
    <w:rsid w:val="007A5D52"/>
    <w:rsid w:val="007A70EC"/>
    <w:rsid w:val="007A7921"/>
    <w:rsid w:val="007B0473"/>
    <w:rsid w:val="007B0970"/>
    <w:rsid w:val="007B5406"/>
    <w:rsid w:val="007B7138"/>
    <w:rsid w:val="007C3212"/>
    <w:rsid w:val="007C6F42"/>
    <w:rsid w:val="007D2B63"/>
    <w:rsid w:val="007E15AF"/>
    <w:rsid w:val="007E333E"/>
    <w:rsid w:val="007E63E0"/>
    <w:rsid w:val="007E774A"/>
    <w:rsid w:val="007E77EC"/>
    <w:rsid w:val="007F0C50"/>
    <w:rsid w:val="007F55F6"/>
    <w:rsid w:val="007F62C7"/>
    <w:rsid w:val="007F7D37"/>
    <w:rsid w:val="00801335"/>
    <w:rsid w:val="00805FEF"/>
    <w:rsid w:val="00812905"/>
    <w:rsid w:val="00812C6A"/>
    <w:rsid w:val="008227BB"/>
    <w:rsid w:val="00826667"/>
    <w:rsid w:val="00830C19"/>
    <w:rsid w:val="008424BB"/>
    <w:rsid w:val="00845DC8"/>
    <w:rsid w:val="00847604"/>
    <w:rsid w:val="00847BCC"/>
    <w:rsid w:val="008500DF"/>
    <w:rsid w:val="00851214"/>
    <w:rsid w:val="00852DA6"/>
    <w:rsid w:val="00861A0F"/>
    <w:rsid w:val="0086250E"/>
    <w:rsid w:val="00862DEC"/>
    <w:rsid w:val="008644EE"/>
    <w:rsid w:val="008661DA"/>
    <w:rsid w:val="00870B8D"/>
    <w:rsid w:val="0087329E"/>
    <w:rsid w:val="00875EB1"/>
    <w:rsid w:val="00876450"/>
    <w:rsid w:val="008777ED"/>
    <w:rsid w:val="008779B2"/>
    <w:rsid w:val="0088075D"/>
    <w:rsid w:val="00886871"/>
    <w:rsid w:val="0089051D"/>
    <w:rsid w:val="00891D1A"/>
    <w:rsid w:val="00894B92"/>
    <w:rsid w:val="00896B13"/>
    <w:rsid w:val="008979F6"/>
    <w:rsid w:val="008A68E2"/>
    <w:rsid w:val="008A6A17"/>
    <w:rsid w:val="008A6C07"/>
    <w:rsid w:val="008A70E2"/>
    <w:rsid w:val="008B7720"/>
    <w:rsid w:val="008B791E"/>
    <w:rsid w:val="008C4C55"/>
    <w:rsid w:val="008C5A84"/>
    <w:rsid w:val="008C6CC0"/>
    <w:rsid w:val="008C717A"/>
    <w:rsid w:val="008D14DC"/>
    <w:rsid w:val="008D1D7B"/>
    <w:rsid w:val="008D348C"/>
    <w:rsid w:val="008E06F5"/>
    <w:rsid w:val="008E14BA"/>
    <w:rsid w:val="008E25C6"/>
    <w:rsid w:val="008E38A4"/>
    <w:rsid w:val="008E7EEB"/>
    <w:rsid w:val="008F773C"/>
    <w:rsid w:val="00901CF4"/>
    <w:rsid w:val="0090440C"/>
    <w:rsid w:val="00905770"/>
    <w:rsid w:val="009067A2"/>
    <w:rsid w:val="00910B1C"/>
    <w:rsid w:val="00914723"/>
    <w:rsid w:val="00920171"/>
    <w:rsid w:val="00920AA6"/>
    <w:rsid w:val="0092151C"/>
    <w:rsid w:val="009237F2"/>
    <w:rsid w:val="00924273"/>
    <w:rsid w:val="009272E1"/>
    <w:rsid w:val="0093432E"/>
    <w:rsid w:val="009343B9"/>
    <w:rsid w:val="00934EC2"/>
    <w:rsid w:val="0093789D"/>
    <w:rsid w:val="0094161D"/>
    <w:rsid w:val="00943A74"/>
    <w:rsid w:val="009443B4"/>
    <w:rsid w:val="009459DE"/>
    <w:rsid w:val="009505A6"/>
    <w:rsid w:val="00951578"/>
    <w:rsid w:val="00952596"/>
    <w:rsid w:val="0095298B"/>
    <w:rsid w:val="0095368B"/>
    <w:rsid w:val="009561C7"/>
    <w:rsid w:val="00956F2E"/>
    <w:rsid w:val="00960D69"/>
    <w:rsid w:val="00963447"/>
    <w:rsid w:val="009638CF"/>
    <w:rsid w:val="00965F4D"/>
    <w:rsid w:val="009709ED"/>
    <w:rsid w:val="0097762A"/>
    <w:rsid w:val="00981A4E"/>
    <w:rsid w:val="00982E73"/>
    <w:rsid w:val="00984CD1"/>
    <w:rsid w:val="00987C81"/>
    <w:rsid w:val="00987F8B"/>
    <w:rsid w:val="00991044"/>
    <w:rsid w:val="009965A7"/>
    <w:rsid w:val="00997020"/>
    <w:rsid w:val="009A02D3"/>
    <w:rsid w:val="009A2D10"/>
    <w:rsid w:val="009A3899"/>
    <w:rsid w:val="009A6817"/>
    <w:rsid w:val="009B3028"/>
    <w:rsid w:val="009B5435"/>
    <w:rsid w:val="009B5A41"/>
    <w:rsid w:val="009B677F"/>
    <w:rsid w:val="009C4189"/>
    <w:rsid w:val="009C5F96"/>
    <w:rsid w:val="009D1FB7"/>
    <w:rsid w:val="009D4812"/>
    <w:rsid w:val="009E2F4B"/>
    <w:rsid w:val="009F5993"/>
    <w:rsid w:val="00A03FAC"/>
    <w:rsid w:val="00A04948"/>
    <w:rsid w:val="00A05F9F"/>
    <w:rsid w:val="00A16260"/>
    <w:rsid w:val="00A215FC"/>
    <w:rsid w:val="00A23E16"/>
    <w:rsid w:val="00A24034"/>
    <w:rsid w:val="00A25777"/>
    <w:rsid w:val="00A307E7"/>
    <w:rsid w:val="00A30BD5"/>
    <w:rsid w:val="00A31F3A"/>
    <w:rsid w:val="00A32718"/>
    <w:rsid w:val="00A340C0"/>
    <w:rsid w:val="00A35AF2"/>
    <w:rsid w:val="00A35BCF"/>
    <w:rsid w:val="00A43DD3"/>
    <w:rsid w:val="00A51818"/>
    <w:rsid w:val="00A52C1F"/>
    <w:rsid w:val="00A6189B"/>
    <w:rsid w:val="00A66698"/>
    <w:rsid w:val="00A67372"/>
    <w:rsid w:val="00A67F78"/>
    <w:rsid w:val="00A73327"/>
    <w:rsid w:val="00A74EA1"/>
    <w:rsid w:val="00A74ED1"/>
    <w:rsid w:val="00A844F9"/>
    <w:rsid w:val="00A925D7"/>
    <w:rsid w:val="00AA16EA"/>
    <w:rsid w:val="00AA1998"/>
    <w:rsid w:val="00AA5345"/>
    <w:rsid w:val="00AC381A"/>
    <w:rsid w:val="00AC3E9A"/>
    <w:rsid w:val="00AC458D"/>
    <w:rsid w:val="00AC4A07"/>
    <w:rsid w:val="00AC62B8"/>
    <w:rsid w:val="00AD27DE"/>
    <w:rsid w:val="00AD61D8"/>
    <w:rsid w:val="00AD6685"/>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172C2"/>
    <w:rsid w:val="00B21885"/>
    <w:rsid w:val="00B21C9A"/>
    <w:rsid w:val="00B24E5D"/>
    <w:rsid w:val="00B2753E"/>
    <w:rsid w:val="00B27AA9"/>
    <w:rsid w:val="00B32027"/>
    <w:rsid w:val="00B35F74"/>
    <w:rsid w:val="00B37B1B"/>
    <w:rsid w:val="00B37E10"/>
    <w:rsid w:val="00B4151A"/>
    <w:rsid w:val="00B42E93"/>
    <w:rsid w:val="00B44AA7"/>
    <w:rsid w:val="00B50807"/>
    <w:rsid w:val="00B514E5"/>
    <w:rsid w:val="00B51690"/>
    <w:rsid w:val="00B529A5"/>
    <w:rsid w:val="00B53B31"/>
    <w:rsid w:val="00B56BD8"/>
    <w:rsid w:val="00B57913"/>
    <w:rsid w:val="00B57D32"/>
    <w:rsid w:val="00B60CDD"/>
    <w:rsid w:val="00B61EE2"/>
    <w:rsid w:val="00B659BE"/>
    <w:rsid w:val="00B6699D"/>
    <w:rsid w:val="00B67736"/>
    <w:rsid w:val="00B7094E"/>
    <w:rsid w:val="00B7131A"/>
    <w:rsid w:val="00B72265"/>
    <w:rsid w:val="00B72C8C"/>
    <w:rsid w:val="00B7497F"/>
    <w:rsid w:val="00B74E80"/>
    <w:rsid w:val="00B769AD"/>
    <w:rsid w:val="00B77146"/>
    <w:rsid w:val="00B77157"/>
    <w:rsid w:val="00B827B0"/>
    <w:rsid w:val="00B8476F"/>
    <w:rsid w:val="00B87839"/>
    <w:rsid w:val="00B90535"/>
    <w:rsid w:val="00B93347"/>
    <w:rsid w:val="00B93F1F"/>
    <w:rsid w:val="00B955DF"/>
    <w:rsid w:val="00BA00D0"/>
    <w:rsid w:val="00BA0478"/>
    <w:rsid w:val="00BA6D34"/>
    <w:rsid w:val="00BA7FD6"/>
    <w:rsid w:val="00BB1C0A"/>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E759A"/>
    <w:rsid w:val="00BF1F80"/>
    <w:rsid w:val="00BF5A45"/>
    <w:rsid w:val="00BF741C"/>
    <w:rsid w:val="00C04796"/>
    <w:rsid w:val="00C06671"/>
    <w:rsid w:val="00C1072F"/>
    <w:rsid w:val="00C10D0C"/>
    <w:rsid w:val="00C206CD"/>
    <w:rsid w:val="00C312F8"/>
    <w:rsid w:val="00C31AA3"/>
    <w:rsid w:val="00C31DEC"/>
    <w:rsid w:val="00C31E85"/>
    <w:rsid w:val="00C35F0E"/>
    <w:rsid w:val="00C37A74"/>
    <w:rsid w:val="00C37E9E"/>
    <w:rsid w:val="00C5125A"/>
    <w:rsid w:val="00C5319C"/>
    <w:rsid w:val="00C54278"/>
    <w:rsid w:val="00C55037"/>
    <w:rsid w:val="00C55858"/>
    <w:rsid w:val="00C579C1"/>
    <w:rsid w:val="00C61BEC"/>
    <w:rsid w:val="00C63CE7"/>
    <w:rsid w:val="00C67D00"/>
    <w:rsid w:val="00C70F26"/>
    <w:rsid w:val="00C759DC"/>
    <w:rsid w:val="00C83426"/>
    <w:rsid w:val="00C83B18"/>
    <w:rsid w:val="00C83E4C"/>
    <w:rsid w:val="00C91F41"/>
    <w:rsid w:val="00C93CC4"/>
    <w:rsid w:val="00C97BA3"/>
    <w:rsid w:val="00CA0D59"/>
    <w:rsid w:val="00CA3BEC"/>
    <w:rsid w:val="00CA4C48"/>
    <w:rsid w:val="00CB0469"/>
    <w:rsid w:val="00CB11E4"/>
    <w:rsid w:val="00CB12C0"/>
    <w:rsid w:val="00CB4F7F"/>
    <w:rsid w:val="00CB4F83"/>
    <w:rsid w:val="00CB6DF5"/>
    <w:rsid w:val="00CC10AB"/>
    <w:rsid w:val="00CC375A"/>
    <w:rsid w:val="00CC6141"/>
    <w:rsid w:val="00CC7EAA"/>
    <w:rsid w:val="00CD5A03"/>
    <w:rsid w:val="00CD7066"/>
    <w:rsid w:val="00CE6E86"/>
    <w:rsid w:val="00CF201C"/>
    <w:rsid w:val="00CF4411"/>
    <w:rsid w:val="00CF5317"/>
    <w:rsid w:val="00CF6266"/>
    <w:rsid w:val="00D01A6B"/>
    <w:rsid w:val="00D02065"/>
    <w:rsid w:val="00D0303A"/>
    <w:rsid w:val="00D038D4"/>
    <w:rsid w:val="00D03C28"/>
    <w:rsid w:val="00D04D58"/>
    <w:rsid w:val="00D05139"/>
    <w:rsid w:val="00D21615"/>
    <w:rsid w:val="00D21AC2"/>
    <w:rsid w:val="00D24302"/>
    <w:rsid w:val="00D2437F"/>
    <w:rsid w:val="00D25107"/>
    <w:rsid w:val="00D266E7"/>
    <w:rsid w:val="00D27F1A"/>
    <w:rsid w:val="00D308F1"/>
    <w:rsid w:val="00D367E5"/>
    <w:rsid w:val="00D3759A"/>
    <w:rsid w:val="00D40DF3"/>
    <w:rsid w:val="00D5174B"/>
    <w:rsid w:val="00D613B0"/>
    <w:rsid w:val="00D62879"/>
    <w:rsid w:val="00D6299A"/>
    <w:rsid w:val="00D630ED"/>
    <w:rsid w:val="00D6401E"/>
    <w:rsid w:val="00D65EDD"/>
    <w:rsid w:val="00D70955"/>
    <w:rsid w:val="00D72175"/>
    <w:rsid w:val="00D7249F"/>
    <w:rsid w:val="00D804EB"/>
    <w:rsid w:val="00D814F7"/>
    <w:rsid w:val="00D82259"/>
    <w:rsid w:val="00D82E4E"/>
    <w:rsid w:val="00D85C9F"/>
    <w:rsid w:val="00D902C8"/>
    <w:rsid w:val="00D91F63"/>
    <w:rsid w:val="00D93383"/>
    <w:rsid w:val="00D940E9"/>
    <w:rsid w:val="00D957D5"/>
    <w:rsid w:val="00D95E82"/>
    <w:rsid w:val="00D962AA"/>
    <w:rsid w:val="00D96466"/>
    <w:rsid w:val="00D967A1"/>
    <w:rsid w:val="00DA0896"/>
    <w:rsid w:val="00DA4EF3"/>
    <w:rsid w:val="00DA79AD"/>
    <w:rsid w:val="00DB11C7"/>
    <w:rsid w:val="00DB59EB"/>
    <w:rsid w:val="00DC0559"/>
    <w:rsid w:val="00DC0668"/>
    <w:rsid w:val="00DC11C4"/>
    <w:rsid w:val="00DC578E"/>
    <w:rsid w:val="00DC589B"/>
    <w:rsid w:val="00DC68A4"/>
    <w:rsid w:val="00DC694B"/>
    <w:rsid w:val="00DD2DE7"/>
    <w:rsid w:val="00DD368E"/>
    <w:rsid w:val="00DD6E5B"/>
    <w:rsid w:val="00DE09FA"/>
    <w:rsid w:val="00DE102A"/>
    <w:rsid w:val="00DE270D"/>
    <w:rsid w:val="00DE683A"/>
    <w:rsid w:val="00DE7B8A"/>
    <w:rsid w:val="00DF5315"/>
    <w:rsid w:val="00E0096E"/>
    <w:rsid w:val="00E14E97"/>
    <w:rsid w:val="00E16F8C"/>
    <w:rsid w:val="00E1763B"/>
    <w:rsid w:val="00E22903"/>
    <w:rsid w:val="00E23360"/>
    <w:rsid w:val="00E26356"/>
    <w:rsid w:val="00E26653"/>
    <w:rsid w:val="00E31449"/>
    <w:rsid w:val="00E33E6D"/>
    <w:rsid w:val="00E37E7A"/>
    <w:rsid w:val="00E428C3"/>
    <w:rsid w:val="00E44A26"/>
    <w:rsid w:val="00E462A0"/>
    <w:rsid w:val="00E51A2C"/>
    <w:rsid w:val="00E5210F"/>
    <w:rsid w:val="00E55C1D"/>
    <w:rsid w:val="00E56EFE"/>
    <w:rsid w:val="00E7234D"/>
    <w:rsid w:val="00E74650"/>
    <w:rsid w:val="00E7556B"/>
    <w:rsid w:val="00E768DB"/>
    <w:rsid w:val="00E811FF"/>
    <w:rsid w:val="00E9091C"/>
    <w:rsid w:val="00E91BD0"/>
    <w:rsid w:val="00E92B74"/>
    <w:rsid w:val="00E940DE"/>
    <w:rsid w:val="00E946F7"/>
    <w:rsid w:val="00E94B3F"/>
    <w:rsid w:val="00E96659"/>
    <w:rsid w:val="00EA0ADB"/>
    <w:rsid w:val="00EA1946"/>
    <w:rsid w:val="00EA2515"/>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113A"/>
    <w:rsid w:val="00F06936"/>
    <w:rsid w:val="00F11C88"/>
    <w:rsid w:val="00F126DE"/>
    <w:rsid w:val="00F1308D"/>
    <w:rsid w:val="00F250F5"/>
    <w:rsid w:val="00F2522A"/>
    <w:rsid w:val="00F25277"/>
    <w:rsid w:val="00F25DF5"/>
    <w:rsid w:val="00F26103"/>
    <w:rsid w:val="00F270E1"/>
    <w:rsid w:val="00F31AC0"/>
    <w:rsid w:val="00F321C6"/>
    <w:rsid w:val="00F35E19"/>
    <w:rsid w:val="00F40CDD"/>
    <w:rsid w:val="00F47991"/>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87831"/>
    <w:rsid w:val="00F90C43"/>
    <w:rsid w:val="00F91339"/>
    <w:rsid w:val="00FA111C"/>
    <w:rsid w:val="00FA25E7"/>
    <w:rsid w:val="00FA58DF"/>
    <w:rsid w:val="00FB0BE8"/>
    <w:rsid w:val="00FB167A"/>
    <w:rsid w:val="00FB5F85"/>
    <w:rsid w:val="00FC03C7"/>
    <w:rsid w:val="00FC159A"/>
    <w:rsid w:val="00FC2B57"/>
    <w:rsid w:val="00FC4539"/>
    <w:rsid w:val="00FC5602"/>
    <w:rsid w:val="00FC5CB1"/>
    <w:rsid w:val="00FC6105"/>
    <w:rsid w:val="00FC63C1"/>
    <w:rsid w:val="00FD0C6F"/>
    <w:rsid w:val="00FD2E2F"/>
    <w:rsid w:val="00FD30B4"/>
    <w:rsid w:val="00FD5E42"/>
    <w:rsid w:val="00FD7A30"/>
    <w:rsid w:val="00FD7AA5"/>
    <w:rsid w:val="00FD7FB4"/>
    <w:rsid w:val="00FE1A28"/>
    <w:rsid w:val="00FF30A5"/>
    <w:rsid w:val="00FF3BF3"/>
    <w:rsid w:val="00FF4169"/>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3DEA"/>
  <w15:chartTrackingRefBased/>
  <w15:docId w15:val="{F7C371DE-91A0-47BA-8DF6-DD1EED2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F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F250F5"/>
    <w:rPr>
      <w:sz w:val="20"/>
    </w:rPr>
  </w:style>
  <w:style w:type="character" w:customStyle="1" w:styleId="FootnoteTextChar">
    <w:name w:val="Footnote Text Char"/>
    <w:basedOn w:val="DefaultParagraphFont"/>
    <w:uiPriority w:val="99"/>
    <w:semiHidden/>
    <w:rsid w:val="00F250F5"/>
    <w:rPr>
      <w:rFonts w:ascii="Times New Roman" w:eastAsia="Times New Roman" w:hAnsi="Times New Roman" w:cs="Times New Roman"/>
      <w:sz w:val="20"/>
      <w:szCs w:val="20"/>
    </w:rPr>
  </w:style>
  <w:style w:type="character" w:styleId="FootnoteReference">
    <w:name w:val="footnote reference"/>
    <w:aliases w:val="o,fr"/>
    <w:uiPriority w:val="99"/>
    <w:semiHidden/>
    <w:rsid w:val="00F250F5"/>
    <w:rPr>
      <w:vertAlign w:val="superscript"/>
    </w:rPr>
  </w:style>
  <w:style w:type="paragraph" w:styleId="Footer">
    <w:name w:val="footer"/>
    <w:basedOn w:val="Normal"/>
    <w:link w:val="FooterChar"/>
    <w:rsid w:val="00F250F5"/>
    <w:pPr>
      <w:tabs>
        <w:tab w:val="center" w:pos="4320"/>
        <w:tab w:val="right" w:pos="8640"/>
      </w:tabs>
    </w:pPr>
  </w:style>
  <w:style w:type="character" w:customStyle="1" w:styleId="FooterChar">
    <w:name w:val="Footer Char"/>
    <w:basedOn w:val="DefaultParagraphFont"/>
    <w:link w:val="Footer"/>
    <w:rsid w:val="00F250F5"/>
    <w:rPr>
      <w:rFonts w:ascii="Times New Roman" w:eastAsia="Times New Roman" w:hAnsi="Times New Roman" w:cs="Times New Roman"/>
      <w:sz w:val="26"/>
      <w:szCs w:val="20"/>
    </w:rPr>
  </w:style>
  <w:style w:type="character" w:styleId="PageNumber">
    <w:name w:val="page number"/>
    <w:basedOn w:val="DefaultParagraphFont"/>
    <w:rsid w:val="00F250F5"/>
  </w:style>
  <w:style w:type="paragraph" w:styleId="BodyTextIndent">
    <w:name w:val="Body Text Indent"/>
    <w:basedOn w:val="Normal"/>
    <w:link w:val="BodyTextIndentChar"/>
    <w:rsid w:val="00F250F5"/>
    <w:pPr>
      <w:ind w:firstLine="720"/>
    </w:pPr>
    <w:rPr>
      <w:rFonts w:eastAsia="SimSun"/>
    </w:rPr>
  </w:style>
  <w:style w:type="character" w:customStyle="1" w:styleId="BodyTextIndentChar">
    <w:name w:val="Body Text Indent Char"/>
    <w:basedOn w:val="DefaultParagraphFont"/>
    <w:link w:val="BodyTextIndent"/>
    <w:rsid w:val="00F250F5"/>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F250F5"/>
    <w:rPr>
      <w:rFonts w:ascii="Times New Roman" w:eastAsia="Times New Roman" w:hAnsi="Times New Roman" w:cs="Times New Roman"/>
      <w:sz w:val="20"/>
      <w:szCs w:val="20"/>
    </w:rPr>
  </w:style>
  <w:style w:type="paragraph" w:styleId="BodyText">
    <w:name w:val="Body Text"/>
    <w:basedOn w:val="Normal"/>
    <w:link w:val="BodyTextChar"/>
    <w:rsid w:val="00F250F5"/>
    <w:pPr>
      <w:spacing w:after="120"/>
    </w:pPr>
  </w:style>
  <w:style w:type="character" w:customStyle="1" w:styleId="BodyTextChar">
    <w:name w:val="Body Text Char"/>
    <w:basedOn w:val="DefaultParagraphFont"/>
    <w:link w:val="BodyText"/>
    <w:rsid w:val="00F250F5"/>
    <w:rPr>
      <w:rFonts w:ascii="Times New Roman" w:eastAsia="Times New Roman" w:hAnsi="Times New Roman" w:cs="Times New Roman"/>
      <w:sz w:val="26"/>
      <w:szCs w:val="20"/>
    </w:rPr>
  </w:style>
  <w:style w:type="paragraph" w:styleId="ListParagraph">
    <w:name w:val="List Paragraph"/>
    <w:basedOn w:val="Normal"/>
    <w:uiPriority w:val="34"/>
    <w:qFormat/>
    <w:rsid w:val="000E7BC9"/>
    <w:pPr>
      <w:ind w:left="720"/>
      <w:contextualSpacing/>
    </w:pPr>
  </w:style>
  <w:style w:type="character" w:styleId="CommentReference">
    <w:name w:val="annotation reference"/>
    <w:basedOn w:val="DefaultParagraphFont"/>
    <w:uiPriority w:val="99"/>
    <w:semiHidden/>
    <w:unhideWhenUsed/>
    <w:rsid w:val="004B4757"/>
    <w:rPr>
      <w:sz w:val="16"/>
      <w:szCs w:val="16"/>
    </w:rPr>
  </w:style>
  <w:style w:type="paragraph" w:styleId="CommentText">
    <w:name w:val="annotation text"/>
    <w:basedOn w:val="Normal"/>
    <w:link w:val="CommentTextChar"/>
    <w:uiPriority w:val="99"/>
    <w:unhideWhenUsed/>
    <w:rsid w:val="004B4757"/>
    <w:rPr>
      <w:sz w:val="20"/>
    </w:rPr>
  </w:style>
  <w:style w:type="character" w:customStyle="1" w:styleId="CommentTextChar">
    <w:name w:val="Comment Text Char"/>
    <w:basedOn w:val="DefaultParagraphFont"/>
    <w:link w:val="CommentText"/>
    <w:uiPriority w:val="99"/>
    <w:rsid w:val="004B47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757"/>
    <w:rPr>
      <w:b/>
      <w:bCs/>
    </w:rPr>
  </w:style>
  <w:style w:type="character" w:customStyle="1" w:styleId="CommentSubjectChar">
    <w:name w:val="Comment Subject Char"/>
    <w:basedOn w:val="CommentTextChar"/>
    <w:link w:val="CommentSubject"/>
    <w:uiPriority w:val="99"/>
    <w:semiHidden/>
    <w:rsid w:val="004B4757"/>
    <w:rPr>
      <w:rFonts w:ascii="Times New Roman" w:eastAsia="Times New Roman" w:hAnsi="Times New Roman" w:cs="Times New Roman"/>
      <w:b/>
      <w:bCs/>
      <w:sz w:val="20"/>
      <w:szCs w:val="20"/>
    </w:rPr>
  </w:style>
  <w:style w:type="paragraph" w:styleId="Revision">
    <w:name w:val="Revision"/>
    <w:hidden/>
    <w:uiPriority w:val="99"/>
    <w:semiHidden/>
    <w:rsid w:val="004B4757"/>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CDC0-3082-452C-9296-A4297805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2022-01-13T16:20:00Z</dcterms:created>
  <dcterms:modified xsi:type="dcterms:W3CDTF">2022-01-13T16:20:00Z</dcterms:modified>
</cp:coreProperties>
</file>