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F2B4" w14:textId="732BE46E" w:rsidR="00587173" w:rsidRPr="00457E90" w:rsidRDefault="00587173" w:rsidP="00DB360C">
      <w:pPr>
        <w:widowControl/>
        <w:tabs>
          <w:tab w:val="center" w:pos="4680"/>
        </w:tabs>
        <w:suppressAutoHyphens/>
        <w:jc w:val="center"/>
        <w:rPr>
          <w:b/>
          <w:color w:val="000000" w:themeColor="text1"/>
          <w:sz w:val="26"/>
          <w:szCs w:val="26"/>
        </w:rPr>
      </w:pPr>
      <w:r w:rsidRPr="00457E90">
        <w:rPr>
          <w:b/>
          <w:color w:val="000000" w:themeColor="text1"/>
          <w:sz w:val="26"/>
          <w:szCs w:val="26"/>
        </w:rPr>
        <w:t>PENNSYLVANIA</w:t>
      </w:r>
    </w:p>
    <w:p w14:paraId="1CFFD0B7" w14:textId="77777777" w:rsidR="00587173" w:rsidRPr="00457E90" w:rsidRDefault="00587173" w:rsidP="00762F72">
      <w:pPr>
        <w:widowControl/>
        <w:tabs>
          <w:tab w:val="center" w:pos="4680"/>
        </w:tabs>
        <w:suppressAutoHyphens/>
        <w:jc w:val="center"/>
        <w:rPr>
          <w:color w:val="000000" w:themeColor="text1"/>
          <w:sz w:val="26"/>
          <w:szCs w:val="26"/>
        </w:rPr>
      </w:pPr>
      <w:r w:rsidRPr="00457E90">
        <w:rPr>
          <w:b/>
          <w:color w:val="000000" w:themeColor="text1"/>
          <w:sz w:val="26"/>
          <w:szCs w:val="26"/>
        </w:rPr>
        <w:t>PUBLIC UTILITY COMMISSION</w:t>
      </w:r>
    </w:p>
    <w:p w14:paraId="1CF6B07C" w14:textId="0B4B56E4" w:rsidR="00587173" w:rsidRPr="00457E90" w:rsidRDefault="00587173" w:rsidP="00762F72">
      <w:pPr>
        <w:widowControl/>
        <w:tabs>
          <w:tab w:val="center" w:pos="4680"/>
        </w:tabs>
        <w:suppressAutoHyphens/>
        <w:jc w:val="center"/>
        <w:rPr>
          <w:b/>
          <w:color w:val="000000" w:themeColor="text1"/>
          <w:sz w:val="26"/>
          <w:szCs w:val="26"/>
        </w:rPr>
      </w:pPr>
      <w:r w:rsidRPr="00457E90">
        <w:rPr>
          <w:b/>
          <w:color w:val="000000" w:themeColor="text1"/>
          <w:sz w:val="26"/>
          <w:szCs w:val="26"/>
        </w:rPr>
        <w:t xml:space="preserve">Harrisburg, PA </w:t>
      </w:r>
      <w:r w:rsidR="004177C8">
        <w:rPr>
          <w:b/>
          <w:color w:val="000000" w:themeColor="text1"/>
          <w:sz w:val="26"/>
          <w:szCs w:val="26"/>
        </w:rPr>
        <w:t xml:space="preserve"> </w:t>
      </w:r>
      <w:r w:rsidRPr="00457E90">
        <w:rPr>
          <w:b/>
          <w:color w:val="000000" w:themeColor="text1"/>
          <w:sz w:val="26"/>
          <w:szCs w:val="26"/>
        </w:rPr>
        <w:t>171</w:t>
      </w:r>
      <w:r w:rsidR="00ED50E2" w:rsidRPr="00457E90">
        <w:rPr>
          <w:b/>
          <w:color w:val="000000" w:themeColor="text1"/>
          <w:sz w:val="26"/>
          <w:szCs w:val="26"/>
        </w:rPr>
        <w:t>20</w:t>
      </w:r>
    </w:p>
    <w:p w14:paraId="3EDD3AC5" w14:textId="77777777" w:rsidR="00886D40" w:rsidRPr="00457E90" w:rsidRDefault="00886D40" w:rsidP="00762F72">
      <w:pPr>
        <w:widowControl/>
        <w:tabs>
          <w:tab w:val="center" w:pos="4680"/>
        </w:tabs>
        <w:suppressAutoHyphens/>
        <w:jc w:val="center"/>
        <w:rPr>
          <w:b/>
          <w:color w:val="000000" w:themeColor="text1"/>
          <w:sz w:val="26"/>
          <w:szCs w:val="26"/>
        </w:rPr>
      </w:pPr>
    </w:p>
    <w:p w14:paraId="48247A79" w14:textId="77777777" w:rsidR="00886D40" w:rsidRPr="00457E90" w:rsidRDefault="00886D40" w:rsidP="00762F72">
      <w:pPr>
        <w:widowControl/>
        <w:tabs>
          <w:tab w:val="center" w:pos="4680"/>
        </w:tabs>
        <w:suppressAutoHyphens/>
        <w:jc w:val="center"/>
        <w:rPr>
          <w:color w:val="000000" w:themeColor="text1"/>
          <w:sz w:val="26"/>
          <w:szCs w:val="26"/>
        </w:rPr>
      </w:pPr>
    </w:p>
    <w:tbl>
      <w:tblPr>
        <w:tblW w:w="9861" w:type="dxa"/>
        <w:tblLook w:val="04A0" w:firstRow="1" w:lastRow="0" w:firstColumn="1" w:lastColumn="0" w:noHBand="0" w:noVBand="1"/>
      </w:tblPr>
      <w:tblGrid>
        <w:gridCol w:w="5310"/>
        <w:gridCol w:w="4551"/>
      </w:tblGrid>
      <w:tr w:rsidR="00457E90" w:rsidRPr="00457E90" w14:paraId="1F66F1F8" w14:textId="77777777" w:rsidTr="00ED50E2">
        <w:tc>
          <w:tcPr>
            <w:tcW w:w="5310" w:type="dxa"/>
            <w:shd w:val="clear" w:color="auto" w:fill="auto"/>
          </w:tcPr>
          <w:p w14:paraId="3A7B44CE" w14:textId="77777777" w:rsidR="00886D40" w:rsidRPr="00457E90" w:rsidRDefault="00886D40" w:rsidP="00762F72">
            <w:pPr>
              <w:widowControl/>
              <w:rPr>
                <w:color w:val="000000" w:themeColor="text1"/>
                <w:sz w:val="26"/>
                <w:szCs w:val="26"/>
              </w:rPr>
            </w:pPr>
          </w:p>
        </w:tc>
        <w:tc>
          <w:tcPr>
            <w:tcW w:w="4551" w:type="dxa"/>
            <w:shd w:val="clear" w:color="auto" w:fill="auto"/>
          </w:tcPr>
          <w:p w14:paraId="1F469B2B" w14:textId="3044A65E" w:rsidR="00587173" w:rsidRPr="00457E90" w:rsidRDefault="00587173" w:rsidP="00E35A5D">
            <w:pPr>
              <w:widowControl/>
              <w:rPr>
                <w:color w:val="000000" w:themeColor="text1"/>
                <w:sz w:val="26"/>
                <w:szCs w:val="26"/>
              </w:rPr>
            </w:pPr>
            <w:r w:rsidRPr="00457E90">
              <w:rPr>
                <w:color w:val="000000" w:themeColor="text1"/>
                <w:sz w:val="26"/>
                <w:szCs w:val="26"/>
              </w:rPr>
              <w:t>Public</w:t>
            </w:r>
            <w:r w:rsidR="00494B74" w:rsidRPr="00457E90">
              <w:rPr>
                <w:color w:val="000000" w:themeColor="text1"/>
                <w:sz w:val="26"/>
                <w:szCs w:val="26"/>
              </w:rPr>
              <w:t xml:space="preserve"> </w:t>
            </w:r>
            <w:r w:rsidRPr="00457E90">
              <w:rPr>
                <w:color w:val="000000" w:themeColor="text1"/>
                <w:sz w:val="26"/>
                <w:szCs w:val="26"/>
              </w:rPr>
              <w:t>Meeting held</w:t>
            </w:r>
            <w:r w:rsidR="003E45AF" w:rsidRPr="00457E90">
              <w:rPr>
                <w:color w:val="000000" w:themeColor="text1"/>
                <w:sz w:val="26"/>
                <w:szCs w:val="26"/>
              </w:rPr>
              <w:t xml:space="preserve"> </w:t>
            </w:r>
            <w:r w:rsidR="001F5915">
              <w:rPr>
                <w:color w:val="000000" w:themeColor="text1"/>
                <w:sz w:val="26"/>
                <w:szCs w:val="26"/>
              </w:rPr>
              <w:t>January 13, 2022</w:t>
            </w:r>
          </w:p>
          <w:p w14:paraId="72BB8840" w14:textId="77777777" w:rsidR="00587173" w:rsidRPr="00457E90" w:rsidRDefault="00587173" w:rsidP="00762F72">
            <w:pPr>
              <w:widowControl/>
              <w:jc w:val="right"/>
              <w:rPr>
                <w:color w:val="000000" w:themeColor="text1"/>
                <w:sz w:val="26"/>
                <w:szCs w:val="26"/>
              </w:rPr>
            </w:pPr>
          </w:p>
        </w:tc>
      </w:tr>
      <w:tr w:rsidR="008836BC" w:rsidRPr="008836BC" w14:paraId="2B4FEF6D" w14:textId="77777777" w:rsidTr="00ED50E2">
        <w:tc>
          <w:tcPr>
            <w:tcW w:w="5310" w:type="dxa"/>
            <w:shd w:val="clear" w:color="auto" w:fill="auto"/>
          </w:tcPr>
          <w:p w14:paraId="4B5D6E2A" w14:textId="77777777" w:rsidR="00587173" w:rsidRPr="008836BC" w:rsidRDefault="00886D40" w:rsidP="00762F72">
            <w:pPr>
              <w:widowControl/>
              <w:rPr>
                <w:color w:val="000000" w:themeColor="text1"/>
                <w:sz w:val="26"/>
                <w:szCs w:val="26"/>
              </w:rPr>
            </w:pPr>
            <w:r w:rsidRPr="008836BC">
              <w:rPr>
                <w:color w:val="000000" w:themeColor="text1"/>
                <w:sz w:val="26"/>
                <w:szCs w:val="26"/>
              </w:rPr>
              <w:t>Co</w:t>
            </w:r>
            <w:r w:rsidR="00587173" w:rsidRPr="008836BC">
              <w:rPr>
                <w:color w:val="000000" w:themeColor="text1"/>
                <w:sz w:val="26"/>
                <w:szCs w:val="26"/>
              </w:rPr>
              <w:t>mmissioners Present:</w:t>
            </w:r>
          </w:p>
          <w:p w14:paraId="5A582E81" w14:textId="77777777" w:rsidR="00587173" w:rsidRPr="008836BC" w:rsidRDefault="00587173" w:rsidP="00762F72">
            <w:pPr>
              <w:widowControl/>
              <w:rPr>
                <w:color w:val="000000" w:themeColor="text1"/>
                <w:sz w:val="26"/>
                <w:szCs w:val="26"/>
              </w:rPr>
            </w:pPr>
          </w:p>
          <w:p w14:paraId="03FCDE43" w14:textId="7F1E7DDD" w:rsidR="003677F4" w:rsidRPr="008836BC" w:rsidRDefault="003677F4" w:rsidP="00144427">
            <w:pPr>
              <w:widowControl/>
              <w:ind w:left="705"/>
              <w:rPr>
                <w:color w:val="000000" w:themeColor="text1"/>
                <w:sz w:val="26"/>
                <w:szCs w:val="26"/>
              </w:rPr>
            </w:pPr>
            <w:r w:rsidRPr="008836BC">
              <w:rPr>
                <w:color w:val="000000" w:themeColor="text1"/>
                <w:sz w:val="26"/>
                <w:szCs w:val="26"/>
              </w:rPr>
              <w:t>Gladys Brown</w:t>
            </w:r>
            <w:r w:rsidR="00ED50E2" w:rsidRPr="008836BC">
              <w:rPr>
                <w:color w:val="000000" w:themeColor="text1"/>
                <w:sz w:val="26"/>
                <w:szCs w:val="26"/>
              </w:rPr>
              <w:t xml:space="preserve"> Dutrieuille</w:t>
            </w:r>
            <w:r w:rsidRPr="008836BC">
              <w:rPr>
                <w:color w:val="000000" w:themeColor="text1"/>
                <w:sz w:val="26"/>
                <w:szCs w:val="26"/>
              </w:rPr>
              <w:t xml:space="preserve">, </w:t>
            </w:r>
            <w:r w:rsidR="00ED50E2" w:rsidRPr="008836BC">
              <w:rPr>
                <w:color w:val="000000" w:themeColor="text1"/>
                <w:sz w:val="26"/>
                <w:szCs w:val="26"/>
              </w:rPr>
              <w:t>Chairman</w:t>
            </w:r>
          </w:p>
          <w:p w14:paraId="16E76A30" w14:textId="367C2501" w:rsidR="003677F4" w:rsidRPr="008836BC" w:rsidRDefault="008D2B98" w:rsidP="003677F4">
            <w:pPr>
              <w:widowControl/>
              <w:tabs>
                <w:tab w:val="left" w:pos="705"/>
              </w:tabs>
              <w:ind w:firstLine="720"/>
              <w:rPr>
                <w:color w:val="000000" w:themeColor="text1"/>
                <w:sz w:val="26"/>
                <w:szCs w:val="26"/>
              </w:rPr>
            </w:pPr>
            <w:r w:rsidRPr="008836BC">
              <w:rPr>
                <w:color w:val="000000" w:themeColor="text1"/>
                <w:sz w:val="26"/>
                <w:szCs w:val="26"/>
              </w:rPr>
              <w:t>John F. Coleman, Jr.</w:t>
            </w:r>
            <w:r>
              <w:rPr>
                <w:color w:val="000000" w:themeColor="text1"/>
                <w:sz w:val="26"/>
                <w:szCs w:val="26"/>
              </w:rPr>
              <w:t>,</w:t>
            </w:r>
            <w:r w:rsidR="001E2717">
              <w:rPr>
                <w:color w:val="000000" w:themeColor="text1"/>
                <w:sz w:val="26"/>
                <w:szCs w:val="26"/>
              </w:rPr>
              <w:t xml:space="preserve"> </w:t>
            </w:r>
            <w:r w:rsidR="003677F4" w:rsidRPr="008836BC">
              <w:rPr>
                <w:color w:val="000000" w:themeColor="text1"/>
                <w:sz w:val="26"/>
                <w:szCs w:val="26"/>
              </w:rPr>
              <w:t>Vice Chairman</w:t>
            </w:r>
          </w:p>
          <w:p w14:paraId="384717EB" w14:textId="3BAE00E1" w:rsidR="00587173" w:rsidRPr="008836BC" w:rsidRDefault="00ED50E2" w:rsidP="004D57DE">
            <w:pPr>
              <w:widowControl/>
              <w:tabs>
                <w:tab w:val="left" w:pos="705"/>
              </w:tabs>
              <w:ind w:firstLine="720"/>
              <w:rPr>
                <w:color w:val="000000" w:themeColor="text1"/>
                <w:sz w:val="26"/>
                <w:szCs w:val="26"/>
              </w:rPr>
            </w:pPr>
            <w:r w:rsidRPr="008836BC">
              <w:rPr>
                <w:color w:val="000000" w:themeColor="text1"/>
                <w:sz w:val="26"/>
                <w:szCs w:val="26"/>
              </w:rPr>
              <w:t>Ralph V. Yanora</w:t>
            </w:r>
          </w:p>
          <w:p w14:paraId="1A6D65B2" w14:textId="77777777" w:rsidR="005556B4" w:rsidRPr="008836BC" w:rsidRDefault="005556B4" w:rsidP="003677F4">
            <w:pPr>
              <w:widowControl/>
              <w:ind w:left="720"/>
              <w:rPr>
                <w:color w:val="000000" w:themeColor="text1"/>
                <w:sz w:val="26"/>
                <w:szCs w:val="26"/>
              </w:rPr>
            </w:pPr>
          </w:p>
          <w:p w14:paraId="71E3108A" w14:textId="77777777" w:rsidR="003677F4" w:rsidRPr="008836BC" w:rsidRDefault="003677F4" w:rsidP="003677F4">
            <w:pPr>
              <w:widowControl/>
              <w:ind w:left="720"/>
              <w:rPr>
                <w:color w:val="000000" w:themeColor="text1"/>
                <w:sz w:val="26"/>
                <w:szCs w:val="26"/>
              </w:rPr>
            </w:pPr>
          </w:p>
        </w:tc>
        <w:tc>
          <w:tcPr>
            <w:tcW w:w="4551" w:type="dxa"/>
            <w:shd w:val="clear" w:color="auto" w:fill="auto"/>
          </w:tcPr>
          <w:p w14:paraId="2EFE64C9" w14:textId="77777777" w:rsidR="00587173" w:rsidRPr="008836BC" w:rsidRDefault="00587173" w:rsidP="00762F72">
            <w:pPr>
              <w:widowControl/>
              <w:jc w:val="right"/>
              <w:rPr>
                <w:color w:val="000000" w:themeColor="text1"/>
                <w:sz w:val="26"/>
                <w:szCs w:val="26"/>
              </w:rPr>
            </w:pPr>
          </w:p>
          <w:p w14:paraId="706D4729" w14:textId="77777777" w:rsidR="00587173" w:rsidRPr="008836BC" w:rsidRDefault="00587173" w:rsidP="00762F72">
            <w:pPr>
              <w:widowControl/>
              <w:jc w:val="right"/>
              <w:rPr>
                <w:color w:val="000000" w:themeColor="text1"/>
                <w:sz w:val="26"/>
                <w:szCs w:val="26"/>
              </w:rPr>
            </w:pPr>
          </w:p>
        </w:tc>
      </w:tr>
      <w:tr w:rsidR="008836BC" w:rsidRPr="008836BC" w14:paraId="2D880434" w14:textId="77777777" w:rsidTr="00ED50E2">
        <w:tc>
          <w:tcPr>
            <w:tcW w:w="5310" w:type="dxa"/>
            <w:shd w:val="clear" w:color="auto" w:fill="auto"/>
          </w:tcPr>
          <w:p w14:paraId="1B0D8C3B" w14:textId="0E1C2B40" w:rsidR="00B84D00" w:rsidRDefault="000C63FF" w:rsidP="00762F72">
            <w:pPr>
              <w:widowControl/>
              <w:rPr>
                <w:color w:val="000000" w:themeColor="text1"/>
                <w:sz w:val="26"/>
                <w:szCs w:val="26"/>
              </w:rPr>
            </w:pPr>
            <w:r w:rsidRPr="000C63FF">
              <w:rPr>
                <w:color w:val="000000" w:themeColor="text1"/>
                <w:sz w:val="26"/>
                <w:szCs w:val="26"/>
              </w:rPr>
              <w:t>A</w:t>
            </w:r>
            <w:r w:rsidR="00A341A1">
              <w:rPr>
                <w:color w:val="000000" w:themeColor="text1"/>
                <w:sz w:val="26"/>
                <w:szCs w:val="26"/>
              </w:rPr>
              <w:t>.</w:t>
            </w:r>
            <w:r w:rsidRPr="000C63FF">
              <w:rPr>
                <w:color w:val="000000" w:themeColor="text1"/>
                <w:sz w:val="26"/>
                <w:szCs w:val="26"/>
              </w:rPr>
              <w:t xml:space="preserve"> R</w:t>
            </w:r>
            <w:r>
              <w:rPr>
                <w:color w:val="000000" w:themeColor="text1"/>
                <w:sz w:val="26"/>
                <w:szCs w:val="26"/>
              </w:rPr>
              <w:t xml:space="preserve">aymond </w:t>
            </w:r>
            <w:r w:rsidRPr="000C63FF">
              <w:rPr>
                <w:color w:val="000000" w:themeColor="text1"/>
                <w:sz w:val="26"/>
                <w:szCs w:val="26"/>
              </w:rPr>
              <w:t>K</w:t>
            </w:r>
            <w:r>
              <w:rPr>
                <w:color w:val="000000" w:themeColor="text1"/>
                <w:sz w:val="26"/>
                <w:szCs w:val="26"/>
              </w:rPr>
              <w:t>ochis</w:t>
            </w:r>
          </w:p>
          <w:p w14:paraId="2CE80925" w14:textId="77777777" w:rsidR="003D2FA7" w:rsidRPr="008836BC" w:rsidRDefault="003D2FA7" w:rsidP="00762F72">
            <w:pPr>
              <w:widowControl/>
              <w:rPr>
                <w:color w:val="000000" w:themeColor="text1"/>
                <w:sz w:val="26"/>
                <w:szCs w:val="26"/>
              </w:rPr>
            </w:pPr>
          </w:p>
          <w:p w14:paraId="71C9760B" w14:textId="1452E769" w:rsidR="00B76A44" w:rsidRPr="008836BC" w:rsidRDefault="00B76A44" w:rsidP="00144427">
            <w:pPr>
              <w:widowControl/>
              <w:ind w:left="705"/>
              <w:rPr>
                <w:color w:val="000000" w:themeColor="text1"/>
                <w:sz w:val="26"/>
                <w:szCs w:val="26"/>
              </w:rPr>
            </w:pPr>
            <w:r w:rsidRPr="008836BC">
              <w:rPr>
                <w:color w:val="000000" w:themeColor="text1"/>
                <w:sz w:val="26"/>
                <w:szCs w:val="26"/>
              </w:rPr>
              <w:t>v.</w:t>
            </w:r>
          </w:p>
          <w:p w14:paraId="58C27031" w14:textId="77777777" w:rsidR="00B76A44" w:rsidRPr="008836BC" w:rsidRDefault="00B76A44" w:rsidP="00762F72">
            <w:pPr>
              <w:widowControl/>
              <w:tabs>
                <w:tab w:val="left" w:pos="1640"/>
              </w:tabs>
              <w:ind w:left="1440" w:hanging="1440"/>
              <w:rPr>
                <w:color w:val="000000" w:themeColor="text1"/>
                <w:sz w:val="26"/>
                <w:szCs w:val="26"/>
              </w:rPr>
            </w:pPr>
          </w:p>
          <w:p w14:paraId="3FC48F1C" w14:textId="6EB1011C" w:rsidR="00A860F0" w:rsidRPr="008836BC" w:rsidRDefault="000C63FF" w:rsidP="00762F72">
            <w:pPr>
              <w:widowControl/>
              <w:tabs>
                <w:tab w:val="left" w:pos="1640"/>
              </w:tabs>
              <w:rPr>
                <w:color w:val="000000" w:themeColor="text1"/>
                <w:sz w:val="26"/>
                <w:szCs w:val="26"/>
              </w:rPr>
            </w:pPr>
            <w:r>
              <w:rPr>
                <w:color w:val="000000" w:themeColor="text1"/>
                <w:sz w:val="26"/>
                <w:szCs w:val="26"/>
              </w:rPr>
              <w:t>Duquesne Light Company</w:t>
            </w:r>
          </w:p>
        </w:tc>
        <w:tc>
          <w:tcPr>
            <w:tcW w:w="4551" w:type="dxa"/>
            <w:shd w:val="clear" w:color="auto" w:fill="auto"/>
          </w:tcPr>
          <w:p w14:paraId="72B30274" w14:textId="0E5E1CCD" w:rsidR="00587173" w:rsidRPr="008836BC" w:rsidRDefault="0093486A" w:rsidP="00762F72">
            <w:pPr>
              <w:widowControl/>
              <w:ind w:left="-198" w:firstLine="198"/>
              <w:jc w:val="right"/>
              <w:rPr>
                <w:color w:val="000000" w:themeColor="text1"/>
                <w:sz w:val="26"/>
                <w:szCs w:val="26"/>
              </w:rPr>
            </w:pPr>
            <w:r w:rsidRPr="0093486A">
              <w:rPr>
                <w:color w:val="000000" w:themeColor="text1"/>
                <w:sz w:val="26"/>
                <w:szCs w:val="26"/>
              </w:rPr>
              <w:t>C-2019-3012955</w:t>
            </w:r>
          </w:p>
          <w:p w14:paraId="587221D0" w14:textId="77777777" w:rsidR="00E90A93" w:rsidRPr="008836BC" w:rsidRDefault="00E90A93" w:rsidP="00762F72">
            <w:pPr>
              <w:widowControl/>
              <w:jc w:val="right"/>
              <w:rPr>
                <w:color w:val="000000" w:themeColor="text1"/>
                <w:sz w:val="26"/>
                <w:szCs w:val="26"/>
              </w:rPr>
            </w:pPr>
            <w:r w:rsidRPr="008836BC">
              <w:rPr>
                <w:color w:val="000000" w:themeColor="text1"/>
                <w:sz w:val="26"/>
                <w:szCs w:val="26"/>
              </w:rPr>
              <w:t xml:space="preserve">  </w:t>
            </w:r>
          </w:p>
        </w:tc>
      </w:tr>
      <w:tr w:rsidR="008836BC" w:rsidRPr="008836BC" w14:paraId="19C2447B" w14:textId="77777777" w:rsidTr="00ED50E2">
        <w:tc>
          <w:tcPr>
            <w:tcW w:w="5310" w:type="dxa"/>
            <w:shd w:val="clear" w:color="auto" w:fill="auto"/>
          </w:tcPr>
          <w:p w14:paraId="7FBCCFAC" w14:textId="77777777" w:rsidR="00587173" w:rsidRDefault="00587173" w:rsidP="00762F72">
            <w:pPr>
              <w:widowControl/>
              <w:ind w:firstLine="1440"/>
              <w:rPr>
                <w:color w:val="000000" w:themeColor="text1"/>
                <w:sz w:val="26"/>
                <w:szCs w:val="26"/>
              </w:rPr>
            </w:pPr>
          </w:p>
          <w:p w14:paraId="5615F7FC" w14:textId="695512BD" w:rsidR="008D4B51" w:rsidRPr="008836BC" w:rsidRDefault="008D4B51" w:rsidP="00762F72">
            <w:pPr>
              <w:widowControl/>
              <w:ind w:firstLine="1440"/>
              <w:rPr>
                <w:color w:val="000000" w:themeColor="text1"/>
                <w:sz w:val="26"/>
                <w:szCs w:val="26"/>
              </w:rPr>
            </w:pPr>
          </w:p>
        </w:tc>
        <w:tc>
          <w:tcPr>
            <w:tcW w:w="4551" w:type="dxa"/>
            <w:shd w:val="clear" w:color="auto" w:fill="auto"/>
          </w:tcPr>
          <w:p w14:paraId="23D7681F" w14:textId="77777777" w:rsidR="00587173" w:rsidRPr="008836BC" w:rsidRDefault="00587173" w:rsidP="00762F72">
            <w:pPr>
              <w:widowControl/>
              <w:rPr>
                <w:color w:val="000000" w:themeColor="text1"/>
                <w:sz w:val="26"/>
                <w:szCs w:val="26"/>
              </w:rPr>
            </w:pPr>
          </w:p>
        </w:tc>
      </w:tr>
      <w:tr w:rsidR="008836BC" w:rsidRPr="008836BC" w14:paraId="7D83F802" w14:textId="77777777" w:rsidTr="00ED50E2">
        <w:tc>
          <w:tcPr>
            <w:tcW w:w="5310" w:type="dxa"/>
            <w:shd w:val="clear" w:color="auto" w:fill="auto"/>
          </w:tcPr>
          <w:p w14:paraId="4CC9E6A5" w14:textId="77777777" w:rsidR="00587173" w:rsidRPr="008836BC" w:rsidRDefault="00587173" w:rsidP="00762F72">
            <w:pPr>
              <w:widowControl/>
              <w:rPr>
                <w:color w:val="000000" w:themeColor="text1"/>
                <w:sz w:val="26"/>
                <w:szCs w:val="26"/>
              </w:rPr>
            </w:pPr>
          </w:p>
        </w:tc>
        <w:tc>
          <w:tcPr>
            <w:tcW w:w="4551" w:type="dxa"/>
            <w:shd w:val="clear" w:color="auto" w:fill="auto"/>
          </w:tcPr>
          <w:p w14:paraId="78A2181D" w14:textId="77777777" w:rsidR="00587173" w:rsidRPr="008836BC" w:rsidRDefault="00587173" w:rsidP="00762F72">
            <w:pPr>
              <w:widowControl/>
              <w:rPr>
                <w:color w:val="000000" w:themeColor="text1"/>
                <w:sz w:val="26"/>
                <w:szCs w:val="26"/>
              </w:rPr>
            </w:pPr>
          </w:p>
        </w:tc>
      </w:tr>
    </w:tbl>
    <w:p w14:paraId="4ACE5F16" w14:textId="77777777" w:rsidR="00587173" w:rsidRPr="008836BC" w:rsidRDefault="00587173" w:rsidP="00762F72">
      <w:pPr>
        <w:widowControl/>
        <w:jc w:val="center"/>
        <w:rPr>
          <w:b/>
          <w:color w:val="000000" w:themeColor="text1"/>
          <w:sz w:val="26"/>
          <w:szCs w:val="26"/>
        </w:rPr>
      </w:pPr>
      <w:r w:rsidRPr="008836BC">
        <w:rPr>
          <w:b/>
          <w:color w:val="000000" w:themeColor="text1"/>
          <w:sz w:val="26"/>
          <w:szCs w:val="26"/>
        </w:rPr>
        <w:t>OPINION AND ORDER</w:t>
      </w:r>
    </w:p>
    <w:p w14:paraId="6A229A4B" w14:textId="77777777" w:rsidR="00587173" w:rsidRPr="008836BC" w:rsidRDefault="00587173" w:rsidP="00762F72">
      <w:pPr>
        <w:widowControl/>
        <w:jc w:val="center"/>
        <w:rPr>
          <w:bCs/>
          <w:color w:val="000000" w:themeColor="text1"/>
          <w:sz w:val="26"/>
          <w:szCs w:val="26"/>
        </w:rPr>
      </w:pPr>
    </w:p>
    <w:p w14:paraId="4C861E24" w14:textId="77777777" w:rsidR="00587173" w:rsidRPr="008836BC" w:rsidRDefault="00587173" w:rsidP="00762F72">
      <w:pPr>
        <w:widowControl/>
        <w:jc w:val="center"/>
        <w:rPr>
          <w:bCs/>
          <w:color w:val="000000" w:themeColor="text1"/>
          <w:sz w:val="26"/>
          <w:szCs w:val="26"/>
        </w:rPr>
      </w:pPr>
    </w:p>
    <w:p w14:paraId="503F1E53" w14:textId="77777777" w:rsidR="00587173" w:rsidRPr="008836BC" w:rsidRDefault="00587173" w:rsidP="004F5B8E">
      <w:pPr>
        <w:widowControl/>
        <w:spacing w:line="360" w:lineRule="auto"/>
        <w:rPr>
          <w:b/>
          <w:color w:val="000000" w:themeColor="text1"/>
          <w:sz w:val="26"/>
          <w:szCs w:val="26"/>
        </w:rPr>
      </w:pPr>
      <w:r w:rsidRPr="008836BC">
        <w:rPr>
          <w:b/>
          <w:color w:val="000000" w:themeColor="text1"/>
          <w:sz w:val="26"/>
          <w:szCs w:val="26"/>
        </w:rPr>
        <w:t>BY THE COMMISSION:</w:t>
      </w:r>
    </w:p>
    <w:p w14:paraId="2FCAA202" w14:textId="77777777" w:rsidR="00AA548E" w:rsidRPr="008836BC" w:rsidRDefault="00AA548E" w:rsidP="00762F72">
      <w:pPr>
        <w:widowControl/>
        <w:tabs>
          <w:tab w:val="left" w:pos="-720"/>
        </w:tabs>
        <w:suppressAutoHyphens/>
        <w:rPr>
          <w:b/>
          <w:color w:val="000000" w:themeColor="text1"/>
          <w:sz w:val="26"/>
          <w:szCs w:val="26"/>
        </w:rPr>
      </w:pPr>
    </w:p>
    <w:p w14:paraId="33CD30C9" w14:textId="4A93424E" w:rsidR="00A341A1" w:rsidRPr="00A341A1" w:rsidRDefault="00A341A1" w:rsidP="00405733">
      <w:pPr>
        <w:widowControl/>
        <w:suppressAutoHyphens/>
        <w:spacing w:line="360" w:lineRule="auto"/>
        <w:ind w:firstLine="1440"/>
        <w:rPr>
          <w:color w:val="000000" w:themeColor="text1"/>
          <w:sz w:val="26"/>
          <w:szCs w:val="26"/>
        </w:rPr>
      </w:pPr>
      <w:r w:rsidRPr="00A341A1">
        <w:rPr>
          <w:color w:val="000000" w:themeColor="text1"/>
          <w:sz w:val="26"/>
          <w:szCs w:val="26"/>
        </w:rPr>
        <w:t xml:space="preserve">Before the Pennsylvania Public Utility Commission (Commission) for consideration and disposition are the Exceptions filed by </w:t>
      </w:r>
      <w:r>
        <w:rPr>
          <w:color w:val="000000" w:themeColor="text1"/>
          <w:sz w:val="26"/>
          <w:szCs w:val="26"/>
        </w:rPr>
        <w:t>A. Raymond Kochis</w:t>
      </w:r>
      <w:r w:rsidRPr="00A341A1">
        <w:rPr>
          <w:color w:val="000000" w:themeColor="text1"/>
          <w:sz w:val="26"/>
          <w:szCs w:val="26"/>
        </w:rPr>
        <w:t xml:space="preserve"> (the Complainant or Mr. </w:t>
      </w:r>
      <w:r>
        <w:rPr>
          <w:color w:val="000000" w:themeColor="text1"/>
          <w:sz w:val="26"/>
          <w:szCs w:val="26"/>
        </w:rPr>
        <w:t>Kochis</w:t>
      </w:r>
      <w:r w:rsidRPr="00A341A1">
        <w:rPr>
          <w:color w:val="000000" w:themeColor="text1"/>
          <w:sz w:val="26"/>
          <w:szCs w:val="26"/>
        </w:rPr>
        <w:t>)</w:t>
      </w:r>
      <w:r w:rsidR="00AA1F0E">
        <w:rPr>
          <w:color w:val="000000" w:themeColor="text1"/>
          <w:sz w:val="26"/>
          <w:szCs w:val="26"/>
        </w:rPr>
        <w:t xml:space="preserve"> on </w:t>
      </w:r>
      <w:r w:rsidR="002C68A2">
        <w:rPr>
          <w:color w:val="000000" w:themeColor="text1"/>
          <w:sz w:val="26"/>
          <w:szCs w:val="26"/>
        </w:rPr>
        <w:t>October</w:t>
      </w:r>
      <w:r w:rsidR="008A02D6">
        <w:rPr>
          <w:color w:val="000000" w:themeColor="text1"/>
          <w:sz w:val="26"/>
          <w:szCs w:val="26"/>
        </w:rPr>
        <w:t xml:space="preserve"> 20</w:t>
      </w:r>
      <w:r w:rsidR="004563B8">
        <w:rPr>
          <w:color w:val="000000" w:themeColor="text1"/>
          <w:sz w:val="26"/>
          <w:szCs w:val="26"/>
        </w:rPr>
        <w:t>, 2020,</w:t>
      </w:r>
      <w:r w:rsidR="00AA1F0E">
        <w:rPr>
          <w:color w:val="000000" w:themeColor="text1"/>
          <w:sz w:val="26"/>
          <w:szCs w:val="26"/>
        </w:rPr>
        <w:t xml:space="preserve"> </w:t>
      </w:r>
      <w:r w:rsidRPr="00A341A1">
        <w:rPr>
          <w:color w:val="000000" w:themeColor="text1"/>
          <w:sz w:val="26"/>
          <w:szCs w:val="26"/>
        </w:rPr>
        <w:t xml:space="preserve">in response to the Initial Decision (I.D.) of </w:t>
      </w:r>
      <w:r w:rsidR="000A51F6">
        <w:rPr>
          <w:color w:val="000000" w:themeColor="text1"/>
          <w:sz w:val="26"/>
          <w:szCs w:val="26"/>
        </w:rPr>
        <w:t>D</w:t>
      </w:r>
      <w:r w:rsidR="000A51F6" w:rsidRPr="00A341A1">
        <w:rPr>
          <w:color w:val="000000" w:themeColor="text1"/>
          <w:sz w:val="26"/>
          <w:szCs w:val="26"/>
        </w:rPr>
        <w:t xml:space="preserve">eputy Chief Administrative Law Judge </w:t>
      </w:r>
      <w:r w:rsidR="00E90E83">
        <w:rPr>
          <w:color w:val="000000" w:themeColor="text1"/>
          <w:sz w:val="26"/>
          <w:szCs w:val="26"/>
        </w:rPr>
        <w:t xml:space="preserve">(ALJ) </w:t>
      </w:r>
      <w:r w:rsidR="000A51F6" w:rsidRPr="000A51F6">
        <w:rPr>
          <w:color w:val="000000" w:themeColor="text1"/>
          <w:sz w:val="26"/>
          <w:szCs w:val="26"/>
        </w:rPr>
        <w:t>Mark A. Hoyer</w:t>
      </w:r>
      <w:r w:rsidRPr="00A341A1">
        <w:rPr>
          <w:color w:val="000000" w:themeColor="text1"/>
          <w:sz w:val="26"/>
          <w:szCs w:val="26"/>
        </w:rPr>
        <w:t xml:space="preserve">, </w:t>
      </w:r>
      <w:r w:rsidR="008A02D6">
        <w:rPr>
          <w:color w:val="000000" w:themeColor="text1"/>
          <w:sz w:val="26"/>
          <w:szCs w:val="26"/>
        </w:rPr>
        <w:t>issued on September 30, 2020</w:t>
      </w:r>
      <w:r w:rsidR="00056EA7">
        <w:rPr>
          <w:color w:val="000000" w:themeColor="text1"/>
          <w:sz w:val="26"/>
          <w:szCs w:val="26"/>
        </w:rPr>
        <w:t>,</w:t>
      </w:r>
      <w:r w:rsidRPr="00A341A1">
        <w:rPr>
          <w:color w:val="000000" w:themeColor="text1"/>
          <w:sz w:val="26"/>
          <w:szCs w:val="26"/>
        </w:rPr>
        <w:t xml:space="preserve"> in the above-captioned proceeding.  Repl</w:t>
      </w:r>
      <w:r w:rsidR="004E3CAE">
        <w:rPr>
          <w:color w:val="000000" w:themeColor="text1"/>
          <w:sz w:val="26"/>
          <w:szCs w:val="26"/>
        </w:rPr>
        <w:t>y</w:t>
      </w:r>
      <w:r w:rsidRPr="00A341A1">
        <w:rPr>
          <w:color w:val="000000" w:themeColor="text1"/>
          <w:sz w:val="26"/>
          <w:szCs w:val="26"/>
        </w:rPr>
        <w:t xml:space="preserve"> Exceptions were filed by </w:t>
      </w:r>
      <w:r w:rsidR="004E3CAE">
        <w:rPr>
          <w:color w:val="000000" w:themeColor="text1"/>
          <w:sz w:val="26"/>
          <w:szCs w:val="26"/>
        </w:rPr>
        <w:lastRenderedPageBreak/>
        <w:t>Duquesne Light Company</w:t>
      </w:r>
      <w:r w:rsidRPr="00A341A1">
        <w:rPr>
          <w:color w:val="000000" w:themeColor="text1"/>
          <w:sz w:val="26"/>
          <w:szCs w:val="26"/>
        </w:rPr>
        <w:t xml:space="preserve"> (</w:t>
      </w:r>
      <w:r w:rsidR="004E3CAE">
        <w:rPr>
          <w:color w:val="000000" w:themeColor="text1"/>
          <w:sz w:val="26"/>
          <w:szCs w:val="26"/>
        </w:rPr>
        <w:t>Duquesne</w:t>
      </w:r>
      <w:r w:rsidRPr="00A341A1">
        <w:rPr>
          <w:color w:val="000000" w:themeColor="text1"/>
          <w:sz w:val="26"/>
          <w:szCs w:val="26"/>
        </w:rPr>
        <w:t xml:space="preserve"> or the Company) on </w:t>
      </w:r>
      <w:r w:rsidR="004E3CAE">
        <w:rPr>
          <w:color w:val="000000" w:themeColor="text1"/>
          <w:sz w:val="26"/>
          <w:szCs w:val="26"/>
        </w:rPr>
        <w:t>November 30</w:t>
      </w:r>
      <w:r w:rsidRPr="00A341A1">
        <w:rPr>
          <w:color w:val="000000" w:themeColor="text1"/>
          <w:sz w:val="26"/>
          <w:szCs w:val="26"/>
        </w:rPr>
        <w:t>, 202</w:t>
      </w:r>
      <w:r w:rsidR="004E3CAE">
        <w:rPr>
          <w:color w:val="000000" w:themeColor="text1"/>
          <w:sz w:val="26"/>
          <w:szCs w:val="26"/>
        </w:rPr>
        <w:t>0</w:t>
      </w:r>
      <w:r w:rsidRPr="00A341A1">
        <w:rPr>
          <w:color w:val="000000" w:themeColor="text1"/>
          <w:sz w:val="26"/>
          <w:szCs w:val="26"/>
        </w:rPr>
        <w:t>.</w:t>
      </w:r>
      <w:r w:rsidR="00EC0395" w:rsidRPr="00EC0395">
        <w:rPr>
          <w:rStyle w:val="FootnoteReference"/>
          <w:color w:val="000000" w:themeColor="text1"/>
          <w:sz w:val="26"/>
          <w:szCs w:val="26"/>
        </w:rPr>
        <w:t xml:space="preserve"> </w:t>
      </w:r>
      <w:r w:rsidR="00EC0395">
        <w:rPr>
          <w:rStyle w:val="FootnoteReference"/>
          <w:color w:val="000000" w:themeColor="text1"/>
          <w:sz w:val="26"/>
          <w:szCs w:val="26"/>
        </w:rPr>
        <w:footnoteReference w:id="1"/>
      </w:r>
      <w:r w:rsidR="00EC0395" w:rsidRPr="00A341A1">
        <w:rPr>
          <w:color w:val="000000" w:themeColor="text1"/>
          <w:sz w:val="26"/>
          <w:szCs w:val="26"/>
        </w:rPr>
        <w:t xml:space="preserve"> </w:t>
      </w:r>
      <w:r w:rsidRPr="00A341A1">
        <w:rPr>
          <w:color w:val="000000" w:themeColor="text1"/>
          <w:sz w:val="26"/>
          <w:szCs w:val="26"/>
        </w:rPr>
        <w:t xml:space="preserve"> The Initial Decision </w:t>
      </w:r>
      <w:r w:rsidR="004E3CAE">
        <w:rPr>
          <w:color w:val="000000" w:themeColor="text1"/>
          <w:sz w:val="26"/>
          <w:szCs w:val="26"/>
        </w:rPr>
        <w:t>denied</w:t>
      </w:r>
      <w:r w:rsidRPr="00A341A1">
        <w:rPr>
          <w:color w:val="000000" w:themeColor="text1"/>
          <w:sz w:val="26"/>
          <w:szCs w:val="26"/>
        </w:rPr>
        <w:t xml:space="preserve"> the </w:t>
      </w:r>
      <w:r w:rsidR="002B2DF0">
        <w:rPr>
          <w:color w:val="000000" w:themeColor="text1"/>
          <w:sz w:val="26"/>
          <w:szCs w:val="26"/>
        </w:rPr>
        <w:t xml:space="preserve">Formal </w:t>
      </w:r>
      <w:r w:rsidRPr="00A341A1">
        <w:rPr>
          <w:color w:val="000000" w:themeColor="text1"/>
          <w:sz w:val="26"/>
          <w:szCs w:val="26"/>
        </w:rPr>
        <w:t>Complaint</w:t>
      </w:r>
      <w:r w:rsidR="002B2DF0">
        <w:rPr>
          <w:color w:val="000000" w:themeColor="text1"/>
          <w:sz w:val="26"/>
          <w:szCs w:val="26"/>
        </w:rPr>
        <w:t xml:space="preserve"> </w:t>
      </w:r>
      <w:r w:rsidR="00696B12">
        <w:rPr>
          <w:color w:val="000000" w:themeColor="text1"/>
          <w:sz w:val="26"/>
          <w:szCs w:val="26"/>
        </w:rPr>
        <w:t xml:space="preserve">(Complaint) </w:t>
      </w:r>
      <w:r w:rsidR="002B2DF0">
        <w:rPr>
          <w:color w:val="000000" w:themeColor="text1"/>
          <w:sz w:val="26"/>
          <w:szCs w:val="26"/>
        </w:rPr>
        <w:t xml:space="preserve">of </w:t>
      </w:r>
      <w:r w:rsidR="00696B12">
        <w:rPr>
          <w:color w:val="000000" w:themeColor="text1"/>
          <w:sz w:val="26"/>
          <w:szCs w:val="26"/>
        </w:rPr>
        <w:t>Mr. Kochis filed on September 17, 2019</w:t>
      </w:r>
      <w:r w:rsidR="007413DF">
        <w:rPr>
          <w:color w:val="000000" w:themeColor="text1"/>
          <w:sz w:val="26"/>
          <w:szCs w:val="26"/>
        </w:rPr>
        <w:t>.</w:t>
      </w:r>
      <w:r w:rsidRPr="00A341A1">
        <w:rPr>
          <w:color w:val="000000" w:themeColor="text1"/>
          <w:sz w:val="26"/>
          <w:szCs w:val="26"/>
        </w:rPr>
        <w:t xml:space="preserve">  For the reasons discussed below, we shall deny the Complainant’s Exceptions and adopt the ALJ’s Initial Decision, consistent with this Opinion and Order.</w:t>
      </w:r>
    </w:p>
    <w:p w14:paraId="3976A844" w14:textId="77777777" w:rsidR="003C7678" w:rsidRPr="008836BC" w:rsidRDefault="003C7678" w:rsidP="00963DDA">
      <w:pPr>
        <w:widowControl/>
        <w:suppressAutoHyphens/>
        <w:spacing w:line="360" w:lineRule="auto"/>
        <w:rPr>
          <w:color w:val="000000" w:themeColor="text1"/>
          <w:sz w:val="26"/>
          <w:szCs w:val="26"/>
        </w:rPr>
      </w:pPr>
    </w:p>
    <w:p w14:paraId="5F51F715" w14:textId="77777777" w:rsidR="00882750" w:rsidRPr="008836BC" w:rsidRDefault="00882750" w:rsidP="00D042BE">
      <w:pPr>
        <w:keepNext/>
        <w:widowControl/>
        <w:suppressAutoHyphens/>
        <w:spacing w:line="360" w:lineRule="auto"/>
        <w:jc w:val="center"/>
        <w:rPr>
          <w:b/>
          <w:color w:val="000000" w:themeColor="text1"/>
          <w:sz w:val="26"/>
          <w:szCs w:val="26"/>
        </w:rPr>
      </w:pPr>
      <w:r w:rsidRPr="008836BC">
        <w:rPr>
          <w:b/>
          <w:color w:val="000000" w:themeColor="text1"/>
          <w:sz w:val="26"/>
          <w:szCs w:val="26"/>
        </w:rPr>
        <w:t>Procedural History</w:t>
      </w:r>
    </w:p>
    <w:p w14:paraId="6680B6CB" w14:textId="0CEABF27" w:rsidR="00BB6E7C" w:rsidRPr="008836BC" w:rsidRDefault="00BB6E7C" w:rsidP="00656704">
      <w:pPr>
        <w:keepNext/>
        <w:widowControl/>
        <w:spacing w:line="360" w:lineRule="auto"/>
        <w:rPr>
          <w:b/>
          <w:color w:val="000000" w:themeColor="text1"/>
          <w:sz w:val="26"/>
          <w:szCs w:val="26"/>
        </w:rPr>
      </w:pPr>
    </w:p>
    <w:p w14:paraId="425806BB" w14:textId="59A752C9" w:rsidR="007413DF" w:rsidRDefault="007413DF" w:rsidP="0081408A">
      <w:pPr>
        <w:widowControl/>
        <w:spacing w:line="360" w:lineRule="auto"/>
        <w:ind w:firstLine="1440"/>
        <w:rPr>
          <w:color w:val="000000" w:themeColor="text1"/>
          <w:sz w:val="26"/>
          <w:szCs w:val="26"/>
        </w:rPr>
      </w:pPr>
      <w:r w:rsidRPr="007413DF">
        <w:rPr>
          <w:color w:val="000000" w:themeColor="text1"/>
          <w:sz w:val="26"/>
          <w:szCs w:val="26"/>
        </w:rPr>
        <w:t xml:space="preserve">On September 17, 2019, </w:t>
      </w:r>
      <w:r w:rsidR="008D2F55">
        <w:rPr>
          <w:color w:val="000000" w:themeColor="text1"/>
          <w:sz w:val="26"/>
          <w:szCs w:val="26"/>
        </w:rPr>
        <w:t xml:space="preserve">the </w:t>
      </w:r>
      <w:r w:rsidRPr="007413DF">
        <w:rPr>
          <w:color w:val="000000" w:themeColor="text1"/>
          <w:sz w:val="26"/>
          <w:szCs w:val="26"/>
        </w:rPr>
        <w:t xml:space="preserve">Complainant filed </w:t>
      </w:r>
      <w:r w:rsidR="00157762">
        <w:rPr>
          <w:color w:val="000000" w:themeColor="text1"/>
          <w:sz w:val="26"/>
          <w:szCs w:val="26"/>
        </w:rPr>
        <w:t>his</w:t>
      </w:r>
      <w:r w:rsidRPr="007413DF">
        <w:rPr>
          <w:color w:val="000000" w:themeColor="text1"/>
          <w:sz w:val="26"/>
          <w:szCs w:val="26"/>
        </w:rPr>
        <w:t xml:space="preserve"> </w:t>
      </w:r>
      <w:r w:rsidR="00157762">
        <w:rPr>
          <w:color w:val="000000" w:themeColor="text1"/>
          <w:sz w:val="26"/>
          <w:szCs w:val="26"/>
        </w:rPr>
        <w:t>C</w:t>
      </w:r>
      <w:r w:rsidRPr="007413DF">
        <w:rPr>
          <w:color w:val="000000" w:themeColor="text1"/>
          <w:sz w:val="26"/>
          <w:szCs w:val="26"/>
        </w:rPr>
        <w:t xml:space="preserve">omplaint with the Commission against Duquesne. </w:t>
      </w:r>
      <w:r w:rsidR="00157762">
        <w:rPr>
          <w:color w:val="000000" w:themeColor="text1"/>
          <w:sz w:val="26"/>
          <w:szCs w:val="26"/>
        </w:rPr>
        <w:t xml:space="preserve"> </w:t>
      </w:r>
      <w:r w:rsidR="008D2F55">
        <w:rPr>
          <w:color w:val="000000" w:themeColor="text1"/>
          <w:sz w:val="26"/>
          <w:szCs w:val="26"/>
        </w:rPr>
        <w:t xml:space="preserve">The </w:t>
      </w:r>
      <w:r w:rsidRPr="007413DF">
        <w:rPr>
          <w:color w:val="000000" w:themeColor="text1"/>
          <w:sz w:val="26"/>
          <w:szCs w:val="26"/>
        </w:rPr>
        <w:t>Complainant allege</w:t>
      </w:r>
      <w:r w:rsidR="00157762">
        <w:rPr>
          <w:color w:val="000000" w:themeColor="text1"/>
          <w:sz w:val="26"/>
          <w:szCs w:val="26"/>
        </w:rPr>
        <w:t>d</w:t>
      </w:r>
      <w:r w:rsidRPr="007413DF">
        <w:rPr>
          <w:color w:val="000000" w:themeColor="text1"/>
          <w:sz w:val="26"/>
          <w:szCs w:val="26"/>
        </w:rPr>
        <w:t xml:space="preserve"> Duquesne </w:t>
      </w:r>
      <w:r w:rsidR="00157762">
        <w:rPr>
          <w:color w:val="000000" w:themeColor="text1"/>
          <w:sz w:val="26"/>
          <w:szCs w:val="26"/>
        </w:rPr>
        <w:t>was</w:t>
      </w:r>
      <w:r w:rsidRPr="007413DF">
        <w:rPr>
          <w:color w:val="000000" w:themeColor="text1"/>
          <w:sz w:val="26"/>
          <w:szCs w:val="26"/>
        </w:rPr>
        <w:t xml:space="preserve"> threatening to shut off his service and that he want</w:t>
      </w:r>
      <w:r w:rsidR="00157762">
        <w:rPr>
          <w:color w:val="000000" w:themeColor="text1"/>
          <w:sz w:val="26"/>
          <w:szCs w:val="26"/>
        </w:rPr>
        <w:t>ed</w:t>
      </w:r>
      <w:r w:rsidRPr="007413DF">
        <w:rPr>
          <w:color w:val="000000" w:themeColor="text1"/>
          <w:sz w:val="26"/>
          <w:szCs w:val="26"/>
        </w:rPr>
        <w:t xml:space="preserve"> a payment arrangement.</w:t>
      </w:r>
      <w:r w:rsidR="00157762">
        <w:rPr>
          <w:color w:val="000000" w:themeColor="text1"/>
          <w:sz w:val="26"/>
          <w:szCs w:val="26"/>
        </w:rPr>
        <w:t xml:space="preserve"> </w:t>
      </w:r>
      <w:r w:rsidRPr="007413DF">
        <w:rPr>
          <w:color w:val="000000" w:themeColor="text1"/>
          <w:sz w:val="26"/>
          <w:szCs w:val="26"/>
        </w:rPr>
        <w:t xml:space="preserve"> </w:t>
      </w:r>
      <w:r w:rsidR="008D2F55">
        <w:rPr>
          <w:color w:val="000000" w:themeColor="text1"/>
          <w:sz w:val="26"/>
          <w:szCs w:val="26"/>
        </w:rPr>
        <w:t xml:space="preserve">The </w:t>
      </w:r>
      <w:r w:rsidRPr="007413DF">
        <w:rPr>
          <w:color w:val="000000" w:themeColor="text1"/>
          <w:sz w:val="26"/>
          <w:szCs w:val="26"/>
        </w:rPr>
        <w:t>Complainant</w:t>
      </w:r>
      <w:r w:rsidR="00157762">
        <w:rPr>
          <w:color w:val="000000" w:themeColor="text1"/>
          <w:sz w:val="26"/>
          <w:szCs w:val="26"/>
        </w:rPr>
        <w:t xml:space="preserve"> </w:t>
      </w:r>
      <w:r w:rsidRPr="007413DF">
        <w:rPr>
          <w:color w:val="000000" w:themeColor="text1"/>
          <w:sz w:val="26"/>
          <w:szCs w:val="26"/>
        </w:rPr>
        <w:t>also allege</w:t>
      </w:r>
      <w:r w:rsidR="00157762">
        <w:rPr>
          <w:color w:val="000000" w:themeColor="text1"/>
          <w:sz w:val="26"/>
          <w:szCs w:val="26"/>
        </w:rPr>
        <w:t>d</w:t>
      </w:r>
      <w:r w:rsidRPr="007413DF">
        <w:rPr>
          <w:color w:val="000000" w:themeColor="text1"/>
          <w:sz w:val="26"/>
          <w:szCs w:val="26"/>
        </w:rPr>
        <w:t xml:space="preserve"> incorrect charges on his bills and reference</w:t>
      </w:r>
      <w:r w:rsidR="00157762">
        <w:rPr>
          <w:color w:val="000000" w:themeColor="text1"/>
          <w:sz w:val="26"/>
          <w:szCs w:val="26"/>
        </w:rPr>
        <w:t>d</w:t>
      </w:r>
      <w:r w:rsidRPr="007413DF">
        <w:rPr>
          <w:color w:val="000000" w:themeColor="text1"/>
          <w:sz w:val="26"/>
          <w:szCs w:val="26"/>
        </w:rPr>
        <w:t xml:space="preserve"> a prior formal complaint proceeding at Docket No. C-2017-2601038 that was heard and decided regarding the same issues.</w:t>
      </w:r>
      <w:r w:rsidR="00B362A5">
        <w:rPr>
          <w:color w:val="000000" w:themeColor="text1"/>
          <w:sz w:val="26"/>
          <w:szCs w:val="26"/>
        </w:rPr>
        <w:t xml:space="preserve">  </w:t>
      </w:r>
      <w:r w:rsidR="00B362A5">
        <w:rPr>
          <w:i/>
          <w:iCs/>
          <w:color w:val="000000" w:themeColor="text1"/>
          <w:sz w:val="26"/>
          <w:szCs w:val="26"/>
        </w:rPr>
        <w:t>A.</w:t>
      </w:r>
      <w:r w:rsidR="008D4B51">
        <w:rPr>
          <w:i/>
          <w:iCs/>
          <w:color w:val="000000" w:themeColor="text1"/>
          <w:sz w:val="26"/>
          <w:szCs w:val="26"/>
        </w:rPr>
        <w:t> </w:t>
      </w:r>
      <w:r w:rsidR="00B362A5">
        <w:rPr>
          <w:i/>
          <w:iCs/>
          <w:color w:val="000000" w:themeColor="text1"/>
          <w:sz w:val="26"/>
          <w:szCs w:val="26"/>
        </w:rPr>
        <w:t>Raymond Kochis vs. Duquesne Light Company</w:t>
      </w:r>
      <w:r w:rsidR="00B362A5">
        <w:rPr>
          <w:color w:val="000000" w:themeColor="text1"/>
          <w:sz w:val="26"/>
          <w:szCs w:val="26"/>
        </w:rPr>
        <w:t xml:space="preserve">, Docket No. C-2017-2601038, </w:t>
      </w:r>
      <w:r w:rsidR="008D2F55">
        <w:rPr>
          <w:color w:val="000000" w:themeColor="text1"/>
          <w:sz w:val="26"/>
          <w:szCs w:val="26"/>
        </w:rPr>
        <w:t>(</w:t>
      </w:r>
      <w:r w:rsidR="00B362A5">
        <w:rPr>
          <w:color w:val="000000" w:themeColor="text1"/>
          <w:sz w:val="26"/>
          <w:szCs w:val="26"/>
        </w:rPr>
        <w:t>Opinion and Order entered September 20, 2018.</w:t>
      </w:r>
      <w:r w:rsidR="008D2F55">
        <w:rPr>
          <w:color w:val="000000" w:themeColor="text1"/>
          <w:sz w:val="26"/>
          <w:szCs w:val="26"/>
        </w:rPr>
        <w:t>)</w:t>
      </w:r>
    </w:p>
    <w:p w14:paraId="506725AD" w14:textId="77777777" w:rsidR="00AD64CC" w:rsidRPr="00B362A5" w:rsidRDefault="00AD64CC" w:rsidP="0081408A">
      <w:pPr>
        <w:widowControl/>
        <w:spacing w:line="360" w:lineRule="auto"/>
        <w:ind w:firstLine="1440"/>
        <w:rPr>
          <w:color w:val="000000" w:themeColor="text1"/>
          <w:sz w:val="26"/>
          <w:szCs w:val="26"/>
        </w:rPr>
      </w:pPr>
    </w:p>
    <w:p w14:paraId="021FED1C" w14:textId="580597E9" w:rsidR="00B362A5" w:rsidRDefault="00B139A9" w:rsidP="008D2F55">
      <w:pPr>
        <w:widowControl/>
        <w:spacing w:line="360" w:lineRule="auto"/>
        <w:ind w:firstLine="1440"/>
        <w:rPr>
          <w:color w:val="000000" w:themeColor="text1"/>
          <w:sz w:val="26"/>
          <w:szCs w:val="26"/>
        </w:rPr>
      </w:pPr>
      <w:r>
        <w:rPr>
          <w:color w:val="000000" w:themeColor="text1"/>
          <w:sz w:val="26"/>
          <w:szCs w:val="26"/>
        </w:rPr>
        <w:t>O</w:t>
      </w:r>
      <w:r w:rsidRPr="00B362A5">
        <w:rPr>
          <w:color w:val="000000" w:themeColor="text1"/>
          <w:sz w:val="26"/>
          <w:szCs w:val="26"/>
        </w:rPr>
        <w:t>n October 8, 2019</w:t>
      </w:r>
      <w:r>
        <w:rPr>
          <w:color w:val="000000" w:themeColor="text1"/>
          <w:sz w:val="26"/>
          <w:szCs w:val="26"/>
        </w:rPr>
        <w:t xml:space="preserve">, </w:t>
      </w:r>
      <w:r w:rsidR="00B362A5" w:rsidRPr="00B362A5">
        <w:rPr>
          <w:color w:val="000000" w:themeColor="text1"/>
          <w:sz w:val="26"/>
          <w:szCs w:val="26"/>
        </w:rPr>
        <w:t>Duquesne</w:t>
      </w:r>
      <w:r>
        <w:rPr>
          <w:color w:val="000000" w:themeColor="text1"/>
          <w:sz w:val="26"/>
          <w:szCs w:val="26"/>
        </w:rPr>
        <w:t xml:space="preserve"> filed and served</w:t>
      </w:r>
      <w:r w:rsidR="00B362A5" w:rsidRPr="00B362A5">
        <w:rPr>
          <w:color w:val="000000" w:themeColor="text1"/>
          <w:sz w:val="26"/>
          <w:szCs w:val="26"/>
        </w:rPr>
        <w:t xml:space="preserve"> its </w:t>
      </w:r>
      <w:r>
        <w:rPr>
          <w:color w:val="000000" w:themeColor="text1"/>
          <w:sz w:val="26"/>
          <w:szCs w:val="26"/>
        </w:rPr>
        <w:t>A</w:t>
      </w:r>
      <w:r w:rsidR="00B362A5" w:rsidRPr="00B362A5">
        <w:rPr>
          <w:color w:val="000000" w:themeColor="text1"/>
          <w:sz w:val="26"/>
          <w:szCs w:val="26"/>
        </w:rPr>
        <w:t xml:space="preserve">nswer and </w:t>
      </w:r>
      <w:r>
        <w:rPr>
          <w:color w:val="000000" w:themeColor="text1"/>
          <w:sz w:val="26"/>
          <w:szCs w:val="26"/>
        </w:rPr>
        <w:t>N</w:t>
      </w:r>
      <w:r w:rsidR="00B362A5" w:rsidRPr="00B362A5">
        <w:rPr>
          <w:color w:val="000000" w:themeColor="text1"/>
          <w:sz w:val="26"/>
          <w:szCs w:val="26"/>
        </w:rPr>
        <w:t xml:space="preserve">ew </w:t>
      </w:r>
      <w:r>
        <w:rPr>
          <w:color w:val="000000" w:themeColor="text1"/>
          <w:sz w:val="26"/>
          <w:szCs w:val="26"/>
        </w:rPr>
        <w:t>M</w:t>
      </w:r>
      <w:r w:rsidR="00B362A5" w:rsidRPr="00B362A5">
        <w:rPr>
          <w:color w:val="000000" w:themeColor="text1"/>
          <w:sz w:val="26"/>
          <w:szCs w:val="26"/>
        </w:rPr>
        <w:t>atter</w:t>
      </w:r>
      <w:r>
        <w:rPr>
          <w:color w:val="000000" w:themeColor="text1"/>
          <w:sz w:val="26"/>
          <w:szCs w:val="26"/>
        </w:rPr>
        <w:t xml:space="preserve"> (Answer)</w:t>
      </w:r>
      <w:r w:rsidR="00B362A5" w:rsidRPr="00B362A5">
        <w:rPr>
          <w:color w:val="000000" w:themeColor="text1"/>
          <w:sz w:val="26"/>
          <w:szCs w:val="26"/>
        </w:rPr>
        <w:t xml:space="preserve">. </w:t>
      </w:r>
      <w:r>
        <w:rPr>
          <w:color w:val="000000" w:themeColor="text1"/>
          <w:sz w:val="26"/>
          <w:szCs w:val="26"/>
        </w:rPr>
        <w:t xml:space="preserve"> A</w:t>
      </w:r>
      <w:r w:rsidR="00B362A5" w:rsidRPr="00B362A5">
        <w:rPr>
          <w:color w:val="000000" w:themeColor="text1"/>
          <w:sz w:val="26"/>
          <w:szCs w:val="26"/>
        </w:rPr>
        <w:t xml:space="preserve">ccording to Duquesne, the allegations that </w:t>
      </w:r>
      <w:r>
        <w:rPr>
          <w:color w:val="000000" w:themeColor="text1"/>
          <w:sz w:val="26"/>
          <w:szCs w:val="26"/>
        </w:rPr>
        <w:t>it</w:t>
      </w:r>
      <w:r w:rsidR="00B362A5" w:rsidRPr="00B362A5">
        <w:rPr>
          <w:color w:val="000000" w:themeColor="text1"/>
          <w:sz w:val="26"/>
          <w:szCs w:val="26"/>
        </w:rPr>
        <w:t xml:space="preserve"> improperly attempted to terminate </w:t>
      </w:r>
      <w:r w:rsidR="008D2F55">
        <w:rPr>
          <w:color w:val="000000" w:themeColor="text1"/>
          <w:sz w:val="26"/>
          <w:szCs w:val="26"/>
        </w:rPr>
        <w:t xml:space="preserve">the </w:t>
      </w:r>
      <w:r w:rsidR="00B362A5" w:rsidRPr="00B362A5">
        <w:rPr>
          <w:color w:val="000000" w:themeColor="text1"/>
          <w:sz w:val="26"/>
          <w:szCs w:val="26"/>
        </w:rPr>
        <w:t xml:space="preserve">Complainant's electric service and improperly billed him are barred from being litigated again due to the doctrine of collateral estoppel (issue preclusion).  The </w:t>
      </w:r>
      <w:r>
        <w:rPr>
          <w:color w:val="000000" w:themeColor="text1"/>
          <w:sz w:val="26"/>
          <w:szCs w:val="26"/>
        </w:rPr>
        <w:t>A</w:t>
      </w:r>
      <w:r w:rsidR="00B362A5" w:rsidRPr="00B362A5">
        <w:rPr>
          <w:color w:val="000000" w:themeColor="text1"/>
          <w:sz w:val="26"/>
          <w:szCs w:val="26"/>
        </w:rPr>
        <w:t>nswer</w:t>
      </w:r>
      <w:r>
        <w:rPr>
          <w:color w:val="000000" w:themeColor="text1"/>
          <w:sz w:val="26"/>
          <w:szCs w:val="26"/>
        </w:rPr>
        <w:t xml:space="preserve"> also</w:t>
      </w:r>
      <w:r w:rsidR="00B362A5" w:rsidRPr="00B362A5">
        <w:rPr>
          <w:color w:val="000000" w:themeColor="text1"/>
          <w:sz w:val="26"/>
          <w:szCs w:val="26"/>
        </w:rPr>
        <w:t xml:space="preserve"> denied the material allegations contained in the </w:t>
      </w:r>
      <w:r>
        <w:rPr>
          <w:color w:val="000000" w:themeColor="text1"/>
          <w:sz w:val="26"/>
          <w:szCs w:val="26"/>
        </w:rPr>
        <w:t>C</w:t>
      </w:r>
      <w:r w:rsidR="00B362A5" w:rsidRPr="00B362A5">
        <w:rPr>
          <w:color w:val="000000" w:themeColor="text1"/>
          <w:sz w:val="26"/>
          <w:szCs w:val="26"/>
        </w:rPr>
        <w:t>omplaint.</w:t>
      </w:r>
      <w:r>
        <w:rPr>
          <w:color w:val="000000" w:themeColor="text1"/>
          <w:sz w:val="26"/>
          <w:szCs w:val="26"/>
        </w:rPr>
        <w:t xml:space="preserve"> </w:t>
      </w:r>
      <w:r w:rsidR="00B362A5" w:rsidRPr="00B362A5">
        <w:rPr>
          <w:color w:val="000000" w:themeColor="text1"/>
          <w:sz w:val="26"/>
          <w:szCs w:val="26"/>
        </w:rPr>
        <w:t xml:space="preserve"> </w:t>
      </w:r>
      <w:r w:rsidR="001A6D4F">
        <w:rPr>
          <w:color w:val="000000" w:themeColor="text1"/>
          <w:sz w:val="26"/>
          <w:szCs w:val="26"/>
        </w:rPr>
        <w:t xml:space="preserve">The </w:t>
      </w:r>
      <w:r w:rsidR="00B362A5" w:rsidRPr="00B362A5">
        <w:rPr>
          <w:color w:val="000000" w:themeColor="text1"/>
          <w:sz w:val="26"/>
          <w:szCs w:val="26"/>
        </w:rPr>
        <w:t xml:space="preserve">Complainant did not file a reply to the </w:t>
      </w:r>
      <w:r w:rsidR="001A6D4F">
        <w:rPr>
          <w:color w:val="000000" w:themeColor="text1"/>
          <w:sz w:val="26"/>
          <w:szCs w:val="26"/>
        </w:rPr>
        <w:t>N</w:t>
      </w:r>
      <w:r w:rsidR="00B362A5" w:rsidRPr="00B362A5">
        <w:rPr>
          <w:color w:val="000000" w:themeColor="text1"/>
          <w:sz w:val="26"/>
          <w:szCs w:val="26"/>
        </w:rPr>
        <w:t xml:space="preserve">ew </w:t>
      </w:r>
      <w:r w:rsidR="001A6D4F">
        <w:rPr>
          <w:color w:val="000000" w:themeColor="text1"/>
          <w:sz w:val="26"/>
          <w:szCs w:val="26"/>
        </w:rPr>
        <w:t>M</w:t>
      </w:r>
      <w:r w:rsidR="00B362A5" w:rsidRPr="00B362A5">
        <w:rPr>
          <w:color w:val="000000" w:themeColor="text1"/>
          <w:sz w:val="26"/>
          <w:szCs w:val="26"/>
        </w:rPr>
        <w:t>atter</w:t>
      </w:r>
      <w:r>
        <w:rPr>
          <w:color w:val="000000" w:themeColor="text1"/>
          <w:sz w:val="26"/>
          <w:szCs w:val="26"/>
        </w:rPr>
        <w:t xml:space="preserve"> portion of Duquesne’s Answer</w:t>
      </w:r>
      <w:r w:rsidR="00B362A5" w:rsidRPr="00B362A5">
        <w:rPr>
          <w:color w:val="000000" w:themeColor="text1"/>
          <w:sz w:val="26"/>
          <w:szCs w:val="26"/>
        </w:rPr>
        <w:t>.</w:t>
      </w:r>
    </w:p>
    <w:p w14:paraId="69A1B091" w14:textId="77777777" w:rsidR="006D7DD6" w:rsidRPr="00B362A5" w:rsidRDefault="006D7DD6" w:rsidP="008D2F55">
      <w:pPr>
        <w:widowControl/>
        <w:spacing w:line="360" w:lineRule="auto"/>
        <w:ind w:firstLine="1440"/>
        <w:rPr>
          <w:color w:val="000000" w:themeColor="text1"/>
          <w:sz w:val="26"/>
          <w:szCs w:val="26"/>
        </w:rPr>
      </w:pPr>
    </w:p>
    <w:p w14:paraId="4919EED3" w14:textId="7B432CE6" w:rsidR="003C6C75" w:rsidRDefault="00865444" w:rsidP="00397BE8">
      <w:pPr>
        <w:widowControl/>
        <w:spacing w:line="360" w:lineRule="auto"/>
        <w:ind w:firstLine="1440"/>
        <w:rPr>
          <w:color w:val="000000" w:themeColor="text1"/>
          <w:sz w:val="26"/>
          <w:szCs w:val="26"/>
        </w:rPr>
      </w:pPr>
      <w:r>
        <w:rPr>
          <w:color w:val="000000" w:themeColor="text1"/>
          <w:sz w:val="26"/>
          <w:szCs w:val="26"/>
        </w:rPr>
        <w:lastRenderedPageBreak/>
        <w:t>By Call-In Telephone Hearing Notice dated November 5, 2019, an Initial Call-In Telephonic Hearing</w:t>
      </w:r>
      <w:r w:rsidR="007F7BCD">
        <w:rPr>
          <w:color w:val="000000" w:themeColor="text1"/>
          <w:sz w:val="26"/>
          <w:szCs w:val="26"/>
        </w:rPr>
        <w:t xml:space="preserve"> (Telephonic Hearing)</w:t>
      </w:r>
      <w:r>
        <w:rPr>
          <w:color w:val="000000" w:themeColor="text1"/>
          <w:sz w:val="26"/>
          <w:szCs w:val="26"/>
        </w:rPr>
        <w:t xml:space="preserve"> was scheduled for December 9, 2019.</w:t>
      </w:r>
      <w:r w:rsidR="00397BE8">
        <w:rPr>
          <w:color w:val="000000" w:themeColor="text1"/>
          <w:sz w:val="26"/>
          <w:szCs w:val="26"/>
        </w:rPr>
        <w:t xml:space="preserve">  </w:t>
      </w:r>
      <w:r>
        <w:rPr>
          <w:color w:val="000000" w:themeColor="text1"/>
          <w:sz w:val="26"/>
          <w:szCs w:val="26"/>
        </w:rPr>
        <w:t xml:space="preserve">By Prehearing Order dated November 5, 2019, </w:t>
      </w:r>
      <w:r w:rsidR="001A6D4F">
        <w:rPr>
          <w:color w:val="000000" w:themeColor="text1"/>
          <w:sz w:val="26"/>
          <w:szCs w:val="26"/>
        </w:rPr>
        <w:t xml:space="preserve">the </w:t>
      </w:r>
      <w:r>
        <w:rPr>
          <w:color w:val="000000" w:themeColor="text1"/>
          <w:sz w:val="26"/>
          <w:szCs w:val="26"/>
        </w:rPr>
        <w:t xml:space="preserve">Complainant and Duquesne were provided information and instructions for the scheduled December 9, 2019 </w:t>
      </w:r>
      <w:r w:rsidR="007F7BCD">
        <w:rPr>
          <w:color w:val="000000" w:themeColor="text1"/>
          <w:sz w:val="26"/>
          <w:szCs w:val="26"/>
        </w:rPr>
        <w:t>Telephonic Hearing.</w:t>
      </w:r>
    </w:p>
    <w:p w14:paraId="322312AF" w14:textId="77777777" w:rsidR="003C6C75" w:rsidRPr="00B362A5" w:rsidRDefault="003C6C75" w:rsidP="00B362A5">
      <w:pPr>
        <w:widowControl/>
        <w:spacing w:line="360" w:lineRule="auto"/>
        <w:rPr>
          <w:color w:val="000000" w:themeColor="text1"/>
          <w:sz w:val="26"/>
          <w:szCs w:val="26"/>
        </w:rPr>
      </w:pPr>
    </w:p>
    <w:p w14:paraId="02B59375" w14:textId="0D5A7F1B" w:rsidR="00B362A5" w:rsidRPr="00B362A5" w:rsidRDefault="00B362A5" w:rsidP="001A6D4F">
      <w:pPr>
        <w:widowControl/>
        <w:spacing w:line="360" w:lineRule="auto"/>
        <w:ind w:firstLine="1440"/>
        <w:rPr>
          <w:color w:val="000000" w:themeColor="text1"/>
          <w:sz w:val="26"/>
          <w:szCs w:val="26"/>
        </w:rPr>
      </w:pPr>
      <w:r w:rsidRPr="00B362A5">
        <w:rPr>
          <w:color w:val="000000" w:themeColor="text1"/>
          <w:sz w:val="26"/>
          <w:szCs w:val="26"/>
        </w:rPr>
        <w:t xml:space="preserve">On November 14, 2019, Duquesne filed a Motion for Judgment on the Pleadings </w:t>
      </w:r>
      <w:r w:rsidR="003C6C75">
        <w:rPr>
          <w:color w:val="000000" w:themeColor="text1"/>
          <w:sz w:val="26"/>
          <w:szCs w:val="26"/>
        </w:rPr>
        <w:t xml:space="preserve">(Motion) </w:t>
      </w:r>
      <w:r w:rsidRPr="00B362A5">
        <w:rPr>
          <w:color w:val="000000" w:themeColor="text1"/>
          <w:sz w:val="26"/>
          <w:szCs w:val="26"/>
        </w:rPr>
        <w:t xml:space="preserve">requesting that the allegations pertaining to </w:t>
      </w:r>
      <w:r w:rsidR="003C6C75">
        <w:rPr>
          <w:color w:val="000000" w:themeColor="text1"/>
          <w:sz w:val="26"/>
          <w:szCs w:val="26"/>
        </w:rPr>
        <w:t>its</w:t>
      </w:r>
      <w:r w:rsidRPr="00B362A5">
        <w:rPr>
          <w:color w:val="000000" w:themeColor="text1"/>
          <w:sz w:val="26"/>
          <w:szCs w:val="26"/>
        </w:rPr>
        <w:t xml:space="preserve"> termination attempts and the charges </w:t>
      </w:r>
      <w:r w:rsidR="003C6C75">
        <w:rPr>
          <w:color w:val="000000" w:themeColor="text1"/>
          <w:sz w:val="26"/>
          <w:szCs w:val="26"/>
        </w:rPr>
        <w:t>for</w:t>
      </w:r>
      <w:r w:rsidRPr="00B362A5">
        <w:rPr>
          <w:color w:val="000000" w:themeColor="text1"/>
          <w:sz w:val="26"/>
          <w:szCs w:val="26"/>
        </w:rPr>
        <w:t xml:space="preserve"> </w:t>
      </w:r>
      <w:r w:rsidR="00782E58">
        <w:rPr>
          <w:color w:val="000000" w:themeColor="text1"/>
          <w:sz w:val="26"/>
          <w:szCs w:val="26"/>
        </w:rPr>
        <w:t xml:space="preserve">the </w:t>
      </w:r>
      <w:r w:rsidRPr="00B362A5">
        <w:rPr>
          <w:color w:val="000000" w:themeColor="text1"/>
          <w:sz w:val="26"/>
          <w:szCs w:val="26"/>
        </w:rPr>
        <w:t xml:space="preserve">Complainant's electric service be denied on the basis of collateral estoppel and that </w:t>
      </w:r>
      <w:r w:rsidR="00782E58">
        <w:rPr>
          <w:color w:val="000000" w:themeColor="text1"/>
          <w:sz w:val="26"/>
          <w:szCs w:val="26"/>
        </w:rPr>
        <w:t xml:space="preserve">the </w:t>
      </w:r>
      <w:r w:rsidRPr="00B362A5">
        <w:rPr>
          <w:color w:val="000000" w:themeColor="text1"/>
          <w:sz w:val="26"/>
          <w:szCs w:val="26"/>
        </w:rPr>
        <w:t xml:space="preserve">Complainant’s request for a payment arrangement be denied because </w:t>
      </w:r>
      <w:r w:rsidR="00782E58">
        <w:rPr>
          <w:color w:val="000000" w:themeColor="text1"/>
          <w:sz w:val="26"/>
          <w:szCs w:val="26"/>
        </w:rPr>
        <w:t xml:space="preserve">the </w:t>
      </w:r>
      <w:r w:rsidRPr="00B362A5">
        <w:rPr>
          <w:color w:val="000000" w:themeColor="text1"/>
          <w:sz w:val="26"/>
          <w:szCs w:val="26"/>
        </w:rPr>
        <w:t xml:space="preserve">Complainant has not made a good faith attempt to pay for his electric service. </w:t>
      </w:r>
      <w:r w:rsidR="003C6C75">
        <w:rPr>
          <w:color w:val="000000" w:themeColor="text1"/>
          <w:sz w:val="26"/>
          <w:szCs w:val="26"/>
        </w:rPr>
        <w:t xml:space="preserve"> </w:t>
      </w:r>
      <w:r w:rsidRPr="00B362A5">
        <w:rPr>
          <w:color w:val="000000" w:themeColor="text1"/>
          <w:sz w:val="26"/>
          <w:szCs w:val="26"/>
        </w:rPr>
        <w:t xml:space="preserve">Duquesne also requested that the </w:t>
      </w:r>
      <w:r w:rsidR="002C084F">
        <w:rPr>
          <w:color w:val="000000" w:themeColor="text1"/>
          <w:sz w:val="26"/>
          <w:szCs w:val="26"/>
        </w:rPr>
        <w:t>C</w:t>
      </w:r>
      <w:r w:rsidRPr="00B362A5">
        <w:rPr>
          <w:color w:val="000000" w:themeColor="text1"/>
          <w:sz w:val="26"/>
          <w:szCs w:val="26"/>
        </w:rPr>
        <w:t xml:space="preserve">omplaint be dismissed with prejudice. </w:t>
      </w:r>
      <w:r w:rsidR="003C6C75">
        <w:rPr>
          <w:color w:val="000000" w:themeColor="text1"/>
          <w:sz w:val="26"/>
          <w:szCs w:val="26"/>
        </w:rPr>
        <w:t xml:space="preserve"> </w:t>
      </w:r>
      <w:r w:rsidR="00782E58">
        <w:rPr>
          <w:color w:val="000000" w:themeColor="text1"/>
          <w:sz w:val="26"/>
          <w:szCs w:val="26"/>
        </w:rPr>
        <w:t xml:space="preserve">The </w:t>
      </w:r>
      <w:r w:rsidRPr="00B362A5">
        <w:rPr>
          <w:color w:val="000000" w:themeColor="text1"/>
          <w:sz w:val="26"/>
          <w:szCs w:val="26"/>
        </w:rPr>
        <w:t xml:space="preserve">Complainant did not file an </w:t>
      </w:r>
      <w:r w:rsidR="00782E58">
        <w:rPr>
          <w:color w:val="000000" w:themeColor="text1"/>
          <w:sz w:val="26"/>
          <w:szCs w:val="26"/>
        </w:rPr>
        <w:t>A</w:t>
      </w:r>
      <w:r w:rsidRPr="00B362A5">
        <w:rPr>
          <w:color w:val="000000" w:themeColor="text1"/>
          <w:sz w:val="26"/>
          <w:szCs w:val="26"/>
        </w:rPr>
        <w:t xml:space="preserve">nswer to the </w:t>
      </w:r>
      <w:r w:rsidR="003C6C75">
        <w:rPr>
          <w:color w:val="000000" w:themeColor="text1"/>
          <w:sz w:val="26"/>
          <w:szCs w:val="26"/>
        </w:rPr>
        <w:t>M</w:t>
      </w:r>
      <w:r w:rsidRPr="00B362A5">
        <w:rPr>
          <w:color w:val="000000" w:themeColor="text1"/>
          <w:sz w:val="26"/>
          <w:szCs w:val="26"/>
        </w:rPr>
        <w:t>otion.</w:t>
      </w:r>
    </w:p>
    <w:p w14:paraId="0AE69C64" w14:textId="140B7373" w:rsidR="00B362A5" w:rsidRDefault="00B362A5" w:rsidP="00B362A5">
      <w:pPr>
        <w:widowControl/>
        <w:spacing w:line="360" w:lineRule="auto"/>
        <w:rPr>
          <w:color w:val="000000" w:themeColor="text1"/>
          <w:sz w:val="26"/>
          <w:szCs w:val="26"/>
        </w:rPr>
      </w:pPr>
    </w:p>
    <w:p w14:paraId="1658C970" w14:textId="2901F0BD" w:rsidR="003C6C75" w:rsidRPr="00B362A5" w:rsidRDefault="003C6C75" w:rsidP="001702D5">
      <w:pPr>
        <w:widowControl/>
        <w:spacing w:line="360" w:lineRule="auto"/>
        <w:ind w:firstLine="1440"/>
        <w:rPr>
          <w:color w:val="000000" w:themeColor="text1"/>
          <w:sz w:val="26"/>
          <w:szCs w:val="26"/>
        </w:rPr>
      </w:pPr>
      <w:r>
        <w:rPr>
          <w:color w:val="000000" w:themeColor="text1"/>
          <w:sz w:val="26"/>
          <w:szCs w:val="26"/>
        </w:rPr>
        <w:t xml:space="preserve">By </w:t>
      </w:r>
      <w:bookmarkStart w:id="0" w:name="_Hlk89339597"/>
      <w:r>
        <w:rPr>
          <w:color w:val="000000" w:themeColor="text1"/>
          <w:sz w:val="26"/>
          <w:szCs w:val="26"/>
        </w:rPr>
        <w:t xml:space="preserve">Telephonic Hearing Cancellation/Reschedule Notice dated </w:t>
      </w:r>
      <w:bookmarkEnd w:id="0"/>
      <w:r>
        <w:rPr>
          <w:color w:val="000000" w:themeColor="text1"/>
          <w:sz w:val="26"/>
          <w:szCs w:val="26"/>
        </w:rPr>
        <w:t>December</w:t>
      </w:r>
      <w:r w:rsidR="008D4B51">
        <w:rPr>
          <w:color w:val="000000" w:themeColor="text1"/>
          <w:sz w:val="26"/>
          <w:szCs w:val="26"/>
        </w:rPr>
        <w:t> </w:t>
      </w:r>
      <w:r>
        <w:rPr>
          <w:color w:val="000000" w:themeColor="text1"/>
          <w:sz w:val="26"/>
          <w:szCs w:val="26"/>
        </w:rPr>
        <w:t>4,</w:t>
      </w:r>
      <w:r w:rsidR="008D4B51">
        <w:rPr>
          <w:color w:val="000000" w:themeColor="text1"/>
          <w:sz w:val="26"/>
          <w:szCs w:val="26"/>
        </w:rPr>
        <w:t> </w:t>
      </w:r>
      <w:r>
        <w:rPr>
          <w:color w:val="000000" w:themeColor="text1"/>
          <w:sz w:val="26"/>
          <w:szCs w:val="26"/>
        </w:rPr>
        <w:t>2019, an Initial In-person Hearing</w:t>
      </w:r>
      <w:r w:rsidR="007F7BCD">
        <w:rPr>
          <w:color w:val="000000" w:themeColor="text1"/>
          <w:sz w:val="26"/>
          <w:szCs w:val="26"/>
        </w:rPr>
        <w:t xml:space="preserve"> (In-person Hearing)</w:t>
      </w:r>
      <w:r>
        <w:rPr>
          <w:color w:val="000000" w:themeColor="text1"/>
          <w:sz w:val="26"/>
          <w:szCs w:val="26"/>
        </w:rPr>
        <w:t xml:space="preserve"> was scheduled for</w:t>
      </w:r>
      <w:r w:rsidR="008D4B51">
        <w:rPr>
          <w:color w:val="000000" w:themeColor="text1"/>
          <w:sz w:val="26"/>
          <w:szCs w:val="26"/>
        </w:rPr>
        <w:t> </w:t>
      </w:r>
      <w:r>
        <w:rPr>
          <w:color w:val="000000" w:themeColor="text1"/>
          <w:sz w:val="26"/>
          <w:szCs w:val="26"/>
        </w:rPr>
        <w:t>January 17, 2020.</w:t>
      </w:r>
    </w:p>
    <w:p w14:paraId="46361CD7" w14:textId="5F6FF4D8" w:rsidR="00B362A5" w:rsidRDefault="00B362A5" w:rsidP="00D042BE">
      <w:pPr>
        <w:widowControl/>
        <w:spacing w:line="360" w:lineRule="auto"/>
        <w:rPr>
          <w:color w:val="000000" w:themeColor="text1"/>
          <w:sz w:val="26"/>
          <w:szCs w:val="26"/>
        </w:rPr>
      </w:pPr>
    </w:p>
    <w:p w14:paraId="6510EBBE" w14:textId="397C8D9E" w:rsidR="007F7BCD" w:rsidRDefault="007F7BCD" w:rsidP="001702D5">
      <w:pPr>
        <w:widowControl/>
        <w:spacing w:line="360" w:lineRule="auto"/>
        <w:ind w:firstLine="1440"/>
        <w:rPr>
          <w:color w:val="000000" w:themeColor="text1"/>
          <w:sz w:val="26"/>
          <w:szCs w:val="26"/>
        </w:rPr>
      </w:pPr>
      <w:r>
        <w:rPr>
          <w:color w:val="000000" w:themeColor="text1"/>
          <w:sz w:val="26"/>
          <w:szCs w:val="26"/>
        </w:rPr>
        <w:t xml:space="preserve">By </w:t>
      </w:r>
      <w:r w:rsidRPr="007F7BCD">
        <w:rPr>
          <w:color w:val="000000" w:themeColor="text1"/>
          <w:sz w:val="26"/>
          <w:szCs w:val="26"/>
        </w:rPr>
        <w:t>Telephonic Hearing Cancellation/Reschedule Notice dated</w:t>
      </w:r>
      <w:r>
        <w:rPr>
          <w:color w:val="000000" w:themeColor="text1"/>
          <w:sz w:val="26"/>
          <w:szCs w:val="26"/>
        </w:rPr>
        <w:t xml:space="preserve"> December</w:t>
      </w:r>
      <w:r w:rsidR="008D4B51">
        <w:rPr>
          <w:color w:val="000000" w:themeColor="text1"/>
          <w:sz w:val="26"/>
          <w:szCs w:val="26"/>
        </w:rPr>
        <w:t> </w:t>
      </w:r>
      <w:r>
        <w:rPr>
          <w:color w:val="000000" w:themeColor="text1"/>
          <w:sz w:val="26"/>
          <w:szCs w:val="26"/>
        </w:rPr>
        <w:t>5,</w:t>
      </w:r>
      <w:r w:rsidR="008D4B51">
        <w:rPr>
          <w:color w:val="000000" w:themeColor="text1"/>
          <w:sz w:val="26"/>
          <w:szCs w:val="26"/>
        </w:rPr>
        <w:t> </w:t>
      </w:r>
      <w:r>
        <w:rPr>
          <w:color w:val="000000" w:themeColor="text1"/>
          <w:sz w:val="26"/>
          <w:szCs w:val="26"/>
        </w:rPr>
        <w:t>2019, the In-person Hearing was rescheduled to January 6, 2020.</w:t>
      </w:r>
    </w:p>
    <w:p w14:paraId="7BF2C943" w14:textId="2C200A99" w:rsidR="00233CBA" w:rsidRDefault="00233CBA" w:rsidP="00D042BE">
      <w:pPr>
        <w:widowControl/>
        <w:spacing w:line="360" w:lineRule="auto"/>
        <w:rPr>
          <w:color w:val="000000" w:themeColor="text1"/>
          <w:sz w:val="26"/>
          <w:szCs w:val="26"/>
        </w:rPr>
      </w:pPr>
    </w:p>
    <w:p w14:paraId="644361C7" w14:textId="4C08A424" w:rsidR="00233CBA" w:rsidRDefault="00233CBA" w:rsidP="001702D5">
      <w:pPr>
        <w:widowControl/>
        <w:spacing w:line="360" w:lineRule="auto"/>
        <w:ind w:firstLine="1440"/>
        <w:rPr>
          <w:color w:val="000000" w:themeColor="text1"/>
          <w:sz w:val="26"/>
          <w:szCs w:val="26"/>
        </w:rPr>
      </w:pPr>
      <w:r w:rsidRPr="00233CBA">
        <w:rPr>
          <w:color w:val="000000" w:themeColor="text1"/>
          <w:sz w:val="26"/>
          <w:szCs w:val="26"/>
        </w:rPr>
        <w:t>By Telephonic Hearing Cancellation/Reschedule Notice dated</w:t>
      </w:r>
      <w:r>
        <w:rPr>
          <w:color w:val="000000" w:themeColor="text1"/>
          <w:sz w:val="26"/>
          <w:szCs w:val="26"/>
        </w:rPr>
        <w:t xml:space="preserve"> January</w:t>
      </w:r>
      <w:r w:rsidR="008D4B51">
        <w:rPr>
          <w:color w:val="000000" w:themeColor="text1"/>
          <w:sz w:val="26"/>
          <w:szCs w:val="26"/>
        </w:rPr>
        <w:t> </w:t>
      </w:r>
      <w:r>
        <w:rPr>
          <w:color w:val="000000" w:themeColor="text1"/>
          <w:sz w:val="26"/>
          <w:szCs w:val="26"/>
        </w:rPr>
        <w:t>3,</w:t>
      </w:r>
      <w:r w:rsidR="008D4B51">
        <w:rPr>
          <w:color w:val="000000" w:themeColor="text1"/>
          <w:sz w:val="26"/>
          <w:szCs w:val="26"/>
        </w:rPr>
        <w:t> </w:t>
      </w:r>
      <w:r>
        <w:rPr>
          <w:color w:val="000000" w:themeColor="text1"/>
          <w:sz w:val="26"/>
          <w:szCs w:val="26"/>
        </w:rPr>
        <w:t>2020, the In-person Hearing was again rescheduled, this time to February</w:t>
      </w:r>
      <w:r w:rsidR="008D4B51">
        <w:rPr>
          <w:color w:val="000000" w:themeColor="text1"/>
          <w:sz w:val="26"/>
          <w:szCs w:val="26"/>
        </w:rPr>
        <w:t> </w:t>
      </w:r>
      <w:r>
        <w:rPr>
          <w:color w:val="000000" w:themeColor="text1"/>
          <w:sz w:val="26"/>
          <w:szCs w:val="26"/>
        </w:rPr>
        <w:t>10</w:t>
      </w:r>
      <w:r w:rsidR="008D4B51">
        <w:rPr>
          <w:color w:val="000000" w:themeColor="text1"/>
          <w:sz w:val="26"/>
          <w:szCs w:val="26"/>
        </w:rPr>
        <w:t>, </w:t>
      </w:r>
      <w:r>
        <w:rPr>
          <w:color w:val="000000" w:themeColor="text1"/>
          <w:sz w:val="26"/>
          <w:szCs w:val="26"/>
        </w:rPr>
        <w:t>2020.</w:t>
      </w:r>
    </w:p>
    <w:p w14:paraId="49520F61" w14:textId="3EE9B247" w:rsidR="007F7BCD" w:rsidRDefault="007F7BCD" w:rsidP="00D042BE">
      <w:pPr>
        <w:widowControl/>
        <w:spacing w:line="360" w:lineRule="auto"/>
        <w:rPr>
          <w:color w:val="000000" w:themeColor="text1"/>
          <w:sz w:val="26"/>
          <w:szCs w:val="26"/>
        </w:rPr>
      </w:pPr>
    </w:p>
    <w:p w14:paraId="382B8702" w14:textId="18AD12D8" w:rsidR="00852B90" w:rsidRDefault="00233CBA" w:rsidP="001702D5">
      <w:pPr>
        <w:widowControl/>
        <w:spacing w:line="360" w:lineRule="auto"/>
        <w:ind w:firstLine="1440"/>
        <w:rPr>
          <w:color w:val="000000" w:themeColor="text1"/>
          <w:sz w:val="26"/>
          <w:szCs w:val="26"/>
        </w:rPr>
      </w:pPr>
      <w:r>
        <w:rPr>
          <w:color w:val="000000" w:themeColor="text1"/>
          <w:sz w:val="26"/>
          <w:szCs w:val="26"/>
        </w:rPr>
        <w:t xml:space="preserve">The In-person Hearing occurred as scheduled on February 10, 2020.  </w:t>
      </w:r>
      <w:r w:rsidR="001702D5">
        <w:rPr>
          <w:color w:val="000000" w:themeColor="text1"/>
          <w:sz w:val="26"/>
          <w:szCs w:val="26"/>
        </w:rPr>
        <w:t xml:space="preserve">The </w:t>
      </w:r>
      <w:r w:rsidRPr="00233CBA">
        <w:rPr>
          <w:color w:val="000000" w:themeColor="text1"/>
          <w:sz w:val="26"/>
          <w:szCs w:val="26"/>
        </w:rPr>
        <w:t xml:space="preserve">Complainant appeared </w:t>
      </w:r>
      <w:r w:rsidRPr="00233CBA">
        <w:rPr>
          <w:i/>
          <w:color w:val="000000" w:themeColor="text1"/>
          <w:sz w:val="26"/>
          <w:szCs w:val="26"/>
        </w:rPr>
        <w:t xml:space="preserve">pro se </w:t>
      </w:r>
      <w:r w:rsidRPr="00233CBA">
        <w:rPr>
          <w:color w:val="000000" w:themeColor="text1"/>
          <w:sz w:val="26"/>
          <w:szCs w:val="26"/>
        </w:rPr>
        <w:t xml:space="preserve">and testified on his own behalf. </w:t>
      </w:r>
      <w:r w:rsidR="00852B90">
        <w:rPr>
          <w:color w:val="000000" w:themeColor="text1"/>
          <w:sz w:val="26"/>
          <w:szCs w:val="26"/>
        </w:rPr>
        <w:t xml:space="preserve"> </w:t>
      </w:r>
      <w:r w:rsidR="001702D5">
        <w:rPr>
          <w:color w:val="000000" w:themeColor="text1"/>
          <w:sz w:val="26"/>
          <w:szCs w:val="26"/>
        </w:rPr>
        <w:t xml:space="preserve">The </w:t>
      </w:r>
      <w:r w:rsidRPr="00233CBA">
        <w:rPr>
          <w:color w:val="000000" w:themeColor="text1"/>
          <w:sz w:val="26"/>
          <w:szCs w:val="26"/>
        </w:rPr>
        <w:t>Complainant offered one exhibit that was marked and admitted as Complainant’s Ex</w:t>
      </w:r>
      <w:r w:rsidR="00852B90">
        <w:rPr>
          <w:color w:val="000000" w:themeColor="text1"/>
          <w:sz w:val="26"/>
          <w:szCs w:val="26"/>
        </w:rPr>
        <w:t>hibit</w:t>
      </w:r>
      <w:r w:rsidRPr="00233CBA">
        <w:rPr>
          <w:color w:val="000000" w:themeColor="text1"/>
          <w:sz w:val="26"/>
          <w:szCs w:val="26"/>
        </w:rPr>
        <w:t xml:space="preserve"> 1.</w:t>
      </w:r>
      <w:r w:rsidR="00852B90">
        <w:rPr>
          <w:color w:val="000000" w:themeColor="text1"/>
          <w:sz w:val="26"/>
          <w:szCs w:val="26"/>
        </w:rPr>
        <w:t xml:space="preserve"> </w:t>
      </w:r>
      <w:r w:rsidRPr="00233CBA">
        <w:rPr>
          <w:color w:val="000000" w:themeColor="text1"/>
          <w:sz w:val="26"/>
          <w:szCs w:val="26"/>
        </w:rPr>
        <w:t xml:space="preserve"> Duquesne </w:t>
      </w:r>
      <w:r w:rsidR="00852B90">
        <w:rPr>
          <w:color w:val="000000" w:themeColor="text1"/>
          <w:sz w:val="26"/>
          <w:szCs w:val="26"/>
        </w:rPr>
        <w:t>appeared through legal counsel,</w:t>
      </w:r>
      <w:r w:rsidRPr="00233CBA">
        <w:rPr>
          <w:color w:val="000000" w:themeColor="text1"/>
          <w:sz w:val="26"/>
          <w:szCs w:val="26"/>
        </w:rPr>
        <w:t xml:space="preserve"> Emily Farah, Esquire. </w:t>
      </w:r>
      <w:r w:rsidR="00852B90">
        <w:rPr>
          <w:color w:val="000000" w:themeColor="text1"/>
          <w:sz w:val="26"/>
          <w:szCs w:val="26"/>
        </w:rPr>
        <w:t xml:space="preserve"> </w:t>
      </w:r>
      <w:r w:rsidRPr="00233CBA">
        <w:rPr>
          <w:color w:val="000000" w:themeColor="text1"/>
          <w:sz w:val="26"/>
          <w:szCs w:val="26"/>
        </w:rPr>
        <w:t xml:space="preserve">Duquesne presented one witness, </w:t>
      </w:r>
      <w:r w:rsidRPr="00233CBA">
        <w:rPr>
          <w:color w:val="000000" w:themeColor="text1"/>
          <w:sz w:val="26"/>
          <w:szCs w:val="26"/>
        </w:rPr>
        <w:lastRenderedPageBreak/>
        <w:t>Margaret Mueller</w:t>
      </w:r>
      <w:r w:rsidR="00852B90">
        <w:rPr>
          <w:color w:val="000000" w:themeColor="text1"/>
          <w:sz w:val="26"/>
          <w:szCs w:val="26"/>
        </w:rPr>
        <w:t xml:space="preserve"> and</w:t>
      </w:r>
      <w:r w:rsidRPr="00233CBA">
        <w:rPr>
          <w:color w:val="000000" w:themeColor="text1"/>
          <w:sz w:val="26"/>
          <w:szCs w:val="26"/>
        </w:rPr>
        <w:t xml:space="preserve"> offered pre-marked </w:t>
      </w:r>
      <w:r w:rsidR="00D4791C">
        <w:rPr>
          <w:color w:val="000000" w:themeColor="text1"/>
          <w:sz w:val="26"/>
          <w:szCs w:val="26"/>
        </w:rPr>
        <w:t>E</w:t>
      </w:r>
      <w:r w:rsidRPr="00233CBA">
        <w:rPr>
          <w:color w:val="000000" w:themeColor="text1"/>
          <w:sz w:val="26"/>
          <w:szCs w:val="26"/>
        </w:rPr>
        <w:t>xhibits A, C, G, L, and M that were admitted into evidence.</w:t>
      </w:r>
      <w:r w:rsidR="00852B90">
        <w:rPr>
          <w:color w:val="000000" w:themeColor="text1"/>
          <w:sz w:val="26"/>
          <w:szCs w:val="26"/>
        </w:rPr>
        <w:t xml:space="preserve">  </w:t>
      </w:r>
      <w:r w:rsidRPr="00233CBA">
        <w:rPr>
          <w:color w:val="000000" w:themeColor="text1"/>
          <w:sz w:val="26"/>
          <w:szCs w:val="26"/>
        </w:rPr>
        <w:t xml:space="preserve">After the presentation of </w:t>
      </w:r>
      <w:r w:rsidR="001702D5">
        <w:rPr>
          <w:color w:val="000000" w:themeColor="text1"/>
          <w:sz w:val="26"/>
          <w:szCs w:val="26"/>
        </w:rPr>
        <w:t xml:space="preserve">the </w:t>
      </w:r>
      <w:r w:rsidRPr="00233CBA">
        <w:rPr>
          <w:color w:val="000000" w:themeColor="text1"/>
          <w:sz w:val="26"/>
          <w:szCs w:val="26"/>
        </w:rPr>
        <w:t xml:space="preserve">Complainant’s case, counsel for Duquesne moved to dismiss the </w:t>
      </w:r>
      <w:r w:rsidR="00D4791C">
        <w:rPr>
          <w:color w:val="000000" w:themeColor="text1"/>
          <w:sz w:val="26"/>
          <w:szCs w:val="26"/>
        </w:rPr>
        <w:t>C</w:t>
      </w:r>
      <w:r w:rsidRPr="00233CBA">
        <w:rPr>
          <w:color w:val="000000" w:themeColor="text1"/>
          <w:sz w:val="26"/>
          <w:szCs w:val="26"/>
        </w:rPr>
        <w:t xml:space="preserve">omplaint on the basis that the issue of whether </w:t>
      </w:r>
      <w:r w:rsidR="0054334E">
        <w:rPr>
          <w:color w:val="000000" w:themeColor="text1"/>
          <w:sz w:val="26"/>
          <w:szCs w:val="26"/>
        </w:rPr>
        <w:t xml:space="preserve">the </w:t>
      </w:r>
      <w:r w:rsidRPr="00233CBA">
        <w:rPr>
          <w:color w:val="000000" w:themeColor="text1"/>
          <w:sz w:val="26"/>
          <w:szCs w:val="26"/>
        </w:rPr>
        <w:t xml:space="preserve">Complainant is responsible for electric charges while he is away from home was fully litigated and a final Commission decision was rendered on that issue. </w:t>
      </w:r>
      <w:r w:rsidR="00852B90">
        <w:rPr>
          <w:color w:val="000000" w:themeColor="text1"/>
          <w:sz w:val="26"/>
          <w:szCs w:val="26"/>
        </w:rPr>
        <w:t xml:space="preserve"> </w:t>
      </w:r>
      <w:r w:rsidRPr="00233CBA">
        <w:rPr>
          <w:color w:val="000000" w:themeColor="text1"/>
          <w:sz w:val="26"/>
          <w:szCs w:val="26"/>
        </w:rPr>
        <w:t>Transcript (Tr.)</w:t>
      </w:r>
      <w:r w:rsidR="000E68EA">
        <w:rPr>
          <w:color w:val="000000" w:themeColor="text1"/>
          <w:sz w:val="26"/>
          <w:szCs w:val="26"/>
        </w:rPr>
        <w:t xml:space="preserve"> at</w:t>
      </w:r>
      <w:r w:rsidRPr="00233CBA">
        <w:rPr>
          <w:color w:val="000000" w:themeColor="text1"/>
          <w:sz w:val="26"/>
          <w:szCs w:val="26"/>
        </w:rPr>
        <w:t xml:space="preserve"> 53-54. </w:t>
      </w:r>
      <w:r w:rsidR="00852B90">
        <w:rPr>
          <w:color w:val="000000" w:themeColor="text1"/>
          <w:sz w:val="26"/>
          <w:szCs w:val="26"/>
        </w:rPr>
        <w:t xml:space="preserve"> </w:t>
      </w:r>
      <w:r w:rsidRPr="00233CBA">
        <w:rPr>
          <w:color w:val="000000" w:themeColor="text1"/>
          <w:sz w:val="26"/>
          <w:szCs w:val="26"/>
        </w:rPr>
        <w:t xml:space="preserve">The </w:t>
      </w:r>
      <w:r w:rsidR="00133815">
        <w:rPr>
          <w:color w:val="000000" w:themeColor="text1"/>
          <w:sz w:val="26"/>
          <w:szCs w:val="26"/>
        </w:rPr>
        <w:t>M</w:t>
      </w:r>
      <w:r w:rsidRPr="00233CBA">
        <w:rPr>
          <w:color w:val="000000" w:themeColor="text1"/>
          <w:sz w:val="26"/>
          <w:szCs w:val="26"/>
        </w:rPr>
        <w:t>otion was taken under advisement.</w:t>
      </w:r>
      <w:r w:rsidR="00852B90">
        <w:rPr>
          <w:color w:val="000000" w:themeColor="text1"/>
          <w:sz w:val="26"/>
          <w:szCs w:val="26"/>
        </w:rPr>
        <w:t xml:space="preserve">  </w:t>
      </w:r>
      <w:r w:rsidRPr="00233CBA">
        <w:rPr>
          <w:color w:val="000000" w:themeColor="text1"/>
          <w:sz w:val="26"/>
          <w:szCs w:val="26"/>
        </w:rPr>
        <w:t xml:space="preserve">The record consists of the transcript of the </w:t>
      </w:r>
      <w:r w:rsidR="00852B90">
        <w:rPr>
          <w:color w:val="000000" w:themeColor="text1"/>
          <w:sz w:val="26"/>
          <w:szCs w:val="26"/>
        </w:rPr>
        <w:t>In</w:t>
      </w:r>
      <w:r w:rsidR="008D4B51">
        <w:rPr>
          <w:color w:val="000000" w:themeColor="text1"/>
          <w:sz w:val="26"/>
          <w:szCs w:val="26"/>
        </w:rPr>
        <w:noBreakHyphen/>
      </w:r>
      <w:r w:rsidR="00852B90">
        <w:rPr>
          <w:color w:val="000000" w:themeColor="text1"/>
          <w:sz w:val="26"/>
          <w:szCs w:val="26"/>
        </w:rPr>
        <w:t>person H</w:t>
      </w:r>
      <w:r w:rsidRPr="00233CBA">
        <w:rPr>
          <w:color w:val="000000" w:themeColor="text1"/>
          <w:sz w:val="26"/>
          <w:szCs w:val="26"/>
        </w:rPr>
        <w:t xml:space="preserve">earing and the aforementioned </w:t>
      </w:r>
      <w:r w:rsidR="00852B90">
        <w:rPr>
          <w:color w:val="000000" w:themeColor="text1"/>
          <w:sz w:val="26"/>
          <w:szCs w:val="26"/>
        </w:rPr>
        <w:t xml:space="preserve">admitted </w:t>
      </w:r>
      <w:r w:rsidRPr="00233CBA">
        <w:rPr>
          <w:color w:val="000000" w:themeColor="text1"/>
          <w:sz w:val="26"/>
          <w:szCs w:val="26"/>
        </w:rPr>
        <w:t>exhibits.</w:t>
      </w:r>
    </w:p>
    <w:p w14:paraId="59932BC4" w14:textId="77777777" w:rsidR="00852B90" w:rsidRDefault="00852B90" w:rsidP="00233CBA">
      <w:pPr>
        <w:widowControl/>
        <w:spacing w:line="360" w:lineRule="auto"/>
        <w:rPr>
          <w:color w:val="000000" w:themeColor="text1"/>
          <w:sz w:val="26"/>
          <w:szCs w:val="26"/>
        </w:rPr>
      </w:pPr>
    </w:p>
    <w:p w14:paraId="5AE3F4CF" w14:textId="40A50BAF" w:rsidR="00233CBA" w:rsidRPr="00233CBA" w:rsidRDefault="000D1C1B" w:rsidP="0054334E">
      <w:pPr>
        <w:widowControl/>
        <w:spacing w:line="360" w:lineRule="auto"/>
        <w:ind w:firstLine="1440"/>
        <w:rPr>
          <w:color w:val="000000" w:themeColor="text1"/>
          <w:sz w:val="26"/>
          <w:szCs w:val="26"/>
        </w:rPr>
      </w:pPr>
      <w:r>
        <w:rPr>
          <w:color w:val="000000" w:themeColor="text1"/>
          <w:sz w:val="26"/>
          <w:szCs w:val="26"/>
        </w:rPr>
        <w:t xml:space="preserve">By Interim Order Closing </w:t>
      </w:r>
      <w:r w:rsidR="008D4B51">
        <w:rPr>
          <w:color w:val="000000" w:themeColor="text1"/>
          <w:sz w:val="26"/>
          <w:szCs w:val="26"/>
        </w:rPr>
        <w:t>t</w:t>
      </w:r>
      <w:r>
        <w:rPr>
          <w:color w:val="000000" w:themeColor="text1"/>
          <w:sz w:val="26"/>
          <w:szCs w:val="26"/>
        </w:rPr>
        <w:t>he Record dated May 13, 2020, ALJ Hoyer closed the record in this case</w:t>
      </w:r>
      <w:r w:rsidR="00233CBA" w:rsidRPr="00233CBA">
        <w:rPr>
          <w:color w:val="000000" w:themeColor="text1"/>
          <w:sz w:val="26"/>
          <w:szCs w:val="26"/>
        </w:rPr>
        <w:t>.</w:t>
      </w:r>
    </w:p>
    <w:p w14:paraId="26692024" w14:textId="2A02D075" w:rsidR="00233CBA" w:rsidRDefault="00233CBA" w:rsidP="00D042BE">
      <w:pPr>
        <w:widowControl/>
        <w:spacing w:line="360" w:lineRule="auto"/>
        <w:rPr>
          <w:color w:val="000000" w:themeColor="text1"/>
          <w:sz w:val="26"/>
          <w:szCs w:val="26"/>
        </w:rPr>
      </w:pPr>
    </w:p>
    <w:p w14:paraId="4903E801" w14:textId="38CEC373" w:rsidR="00233CBA" w:rsidRPr="00F775CA" w:rsidRDefault="000D1C1B" w:rsidP="0054334E">
      <w:pPr>
        <w:widowControl/>
        <w:spacing w:line="360" w:lineRule="auto"/>
        <w:ind w:firstLine="1440"/>
        <w:rPr>
          <w:color w:val="000000" w:themeColor="text1"/>
          <w:sz w:val="26"/>
          <w:szCs w:val="26"/>
        </w:rPr>
      </w:pPr>
      <w:r>
        <w:rPr>
          <w:color w:val="000000" w:themeColor="text1"/>
          <w:sz w:val="26"/>
          <w:szCs w:val="26"/>
        </w:rPr>
        <w:t xml:space="preserve">By letter dated May 14, 2020, filed May 19, 2020, </w:t>
      </w:r>
      <w:r w:rsidR="0054334E">
        <w:rPr>
          <w:color w:val="000000" w:themeColor="text1"/>
          <w:sz w:val="26"/>
          <w:szCs w:val="26"/>
        </w:rPr>
        <w:t xml:space="preserve">the </w:t>
      </w:r>
      <w:r>
        <w:rPr>
          <w:color w:val="000000" w:themeColor="text1"/>
          <w:sz w:val="26"/>
          <w:szCs w:val="26"/>
        </w:rPr>
        <w:t xml:space="preserve">Complainant </w:t>
      </w:r>
      <w:r w:rsidR="00F775CA">
        <w:rPr>
          <w:color w:val="000000" w:themeColor="text1"/>
          <w:sz w:val="26"/>
          <w:szCs w:val="26"/>
        </w:rPr>
        <w:t xml:space="preserve">stated that it had been over </w:t>
      </w:r>
      <w:r w:rsidR="003A7FB9">
        <w:rPr>
          <w:color w:val="000000" w:themeColor="text1"/>
          <w:sz w:val="26"/>
          <w:szCs w:val="26"/>
        </w:rPr>
        <w:t>ninety</w:t>
      </w:r>
      <w:r w:rsidR="00F775CA">
        <w:rPr>
          <w:color w:val="000000" w:themeColor="text1"/>
          <w:sz w:val="26"/>
          <w:szCs w:val="26"/>
        </w:rPr>
        <w:t xml:space="preserve"> days since the In-person Hearing and requested “a </w:t>
      </w:r>
      <w:r w:rsidR="00F775CA">
        <w:rPr>
          <w:color w:val="000000" w:themeColor="text1"/>
          <w:sz w:val="26"/>
          <w:szCs w:val="26"/>
          <w:u w:val="single"/>
        </w:rPr>
        <w:t>written</w:t>
      </w:r>
      <w:r w:rsidR="00F775CA">
        <w:rPr>
          <w:color w:val="000000" w:themeColor="text1"/>
          <w:sz w:val="26"/>
          <w:szCs w:val="26"/>
        </w:rPr>
        <w:t xml:space="preserve"> report of the recorded meeting” (emphasis in original).</w:t>
      </w:r>
    </w:p>
    <w:p w14:paraId="59BF3FB9" w14:textId="37DBE97B" w:rsidR="00CA3A19" w:rsidRDefault="00CA3A19" w:rsidP="00762F72">
      <w:pPr>
        <w:widowControl/>
        <w:spacing w:line="360" w:lineRule="auto"/>
        <w:rPr>
          <w:color w:val="000000" w:themeColor="text1"/>
          <w:sz w:val="26"/>
          <w:szCs w:val="26"/>
        </w:rPr>
      </w:pPr>
    </w:p>
    <w:p w14:paraId="0A98EC67" w14:textId="03A37393" w:rsidR="00082734" w:rsidRDefault="00096FC5" w:rsidP="0054334E">
      <w:pPr>
        <w:widowControl/>
        <w:spacing w:line="360" w:lineRule="auto"/>
        <w:ind w:firstLine="1440"/>
        <w:rPr>
          <w:color w:val="000000" w:themeColor="text1"/>
          <w:sz w:val="26"/>
          <w:szCs w:val="26"/>
        </w:rPr>
      </w:pPr>
      <w:r>
        <w:rPr>
          <w:color w:val="000000" w:themeColor="text1"/>
          <w:sz w:val="26"/>
          <w:szCs w:val="26"/>
        </w:rPr>
        <w:t>ALJ Hoyer’s</w:t>
      </w:r>
      <w:r w:rsidR="00082734">
        <w:rPr>
          <w:color w:val="000000" w:themeColor="text1"/>
          <w:sz w:val="26"/>
          <w:szCs w:val="26"/>
        </w:rPr>
        <w:t xml:space="preserve"> I</w:t>
      </w:r>
      <w:r w:rsidR="0054334E">
        <w:rPr>
          <w:color w:val="000000" w:themeColor="text1"/>
          <w:sz w:val="26"/>
          <w:szCs w:val="26"/>
        </w:rPr>
        <w:t>nitial</w:t>
      </w:r>
      <w:r w:rsidR="00082734">
        <w:rPr>
          <w:color w:val="000000" w:themeColor="text1"/>
          <w:sz w:val="26"/>
          <w:szCs w:val="26"/>
        </w:rPr>
        <w:t xml:space="preserve"> D</w:t>
      </w:r>
      <w:r w:rsidR="0054334E">
        <w:rPr>
          <w:color w:val="000000" w:themeColor="text1"/>
          <w:sz w:val="26"/>
          <w:szCs w:val="26"/>
        </w:rPr>
        <w:t>ecision</w:t>
      </w:r>
      <w:r w:rsidR="00082734">
        <w:rPr>
          <w:color w:val="000000" w:themeColor="text1"/>
          <w:sz w:val="26"/>
          <w:szCs w:val="26"/>
        </w:rPr>
        <w:t xml:space="preserve"> </w:t>
      </w:r>
      <w:r>
        <w:rPr>
          <w:color w:val="000000" w:themeColor="text1"/>
          <w:sz w:val="26"/>
          <w:szCs w:val="26"/>
        </w:rPr>
        <w:t xml:space="preserve">was served on </w:t>
      </w:r>
      <w:r w:rsidR="00082734">
        <w:rPr>
          <w:color w:val="000000" w:themeColor="text1"/>
          <w:sz w:val="26"/>
          <w:szCs w:val="26"/>
        </w:rPr>
        <w:t>September 30, 2020</w:t>
      </w:r>
      <w:r>
        <w:rPr>
          <w:color w:val="000000" w:themeColor="text1"/>
          <w:sz w:val="26"/>
          <w:szCs w:val="26"/>
        </w:rPr>
        <w:t>.</w:t>
      </w:r>
      <w:r w:rsidR="00A24F7A">
        <w:rPr>
          <w:color w:val="000000" w:themeColor="text1"/>
          <w:sz w:val="26"/>
          <w:szCs w:val="26"/>
        </w:rPr>
        <w:t xml:space="preserve"> </w:t>
      </w:r>
      <w:r w:rsidR="00082734">
        <w:rPr>
          <w:color w:val="000000" w:themeColor="text1"/>
          <w:sz w:val="26"/>
          <w:szCs w:val="26"/>
        </w:rPr>
        <w:t xml:space="preserve"> </w:t>
      </w:r>
    </w:p>
    <w:p w14:paraId="3C4D7AB2" w14:textId="0368C83F" w:rsidR="005B6FCC" w:rsidRDefault="005B6FCC" w:rsidP="00762F72">
      <w:pPr>
        <w:widowControl/>
        <w:spacing w:line="360" w:lineRule="auto"/>
        <w:rPr>
          <w:color w:val="000000" w:themeColor="text1"/>
          <w:sz w:val="26"/>
          <w:szCs w:val="26"/>
        </w:rPr>
      </w:pPr>
    </w:p>
    <w:p w14:paraId="65D6DA99" w14:textId="2CA70C95" w:rsidR="005B6FCC" w:rsidRDefault="00CA27D6" w:rsidP="00547DEB">
      <w:pPr>
        <w:widowControl/>
        <w:spacing w:line="360" w:lineRule="auto"/>
        <w:ind w:firstLine="1440"/>
        <w:rPr>
          <w:color w:val="000000" w:themeColor="text1"/>
          <w:sz w:val="26"/>
          <w:szCs w:val="26"/>
        </w:rPr>
      </w:pPr>
      <w:r>
        <w:rPr>
          <w:color w:val="000000" w:themeColor="text1"/>
          <w:sz w:val="26"/>
          <w:szCs w:val="26"/>
        </w:rPr>
        <w:t>U</w:t>
      </w:r>
      <w:r w:rsidR="005B6FCC">
        <w:rPr>
          <w:color w:val="000000" w:themeColor="text1"/>
          <w:sz w:val="26"/>
          <w:szCs w:val="26"/>
        </w:rPr>
        <w:t>nder cover letter dated September 30, 2020, the Commission</w:t>
      </w:r>
      <w:r>
        <w:rPr>
          <w:color w:val="000000" w:themeColor="text1"/>
          <w:sz w:val="26"/>
          <w:szCs w:val="26"/>
        </w:rPr>
        <w:t>’s</w:t>
      </w:r>
      <w:r w:rsidR="005B6FCC">
        <w:rPr>
          <w:color w:val="000000" w:themeColor="text1"/>
          <w:sz w:val="26"/>
          <w:szCs w:val="26"/>
        </w:rPr>
        <w:t xml:space="preserve"> Secretary served the I</w:t>
      </w:r>
      <w:r w:rsidR="00547DEB">
        <w:rPr>
          <w:color w:val="000000" w:themeColor="text1"/>
          <w:sz w:val="26"/>
          <w:szCs w:val="26"/>
        </w:rPr>
        <w:t>nitial</w:t>
      </w:r>
      <w:r w:rsidR="005B6FCC">
        <w:rPr>
          <w:color w:val="000000" w:themeColor="text1"/>
          <w:sz w:val="26"/>
          <w:szCs w:val="26"/>
        </w:rPr>
        <w:t xml:space="preserve"> D</w:t>
      </w:r>
      <w:r w:rsidR="00547DEB">
        <w:rPr>
          <w:color w:val="000000" w:themeColor="text1"/>
          <w:sz w:val="26"/>
          <w:szCs w:val="26"/>
        </w:rPr>
        <w:t>ecision</w:t>
      </w:r>
      <w:r w:rsidR="005B6FCC">
        <w:rPr>
          <w:color w:val="000000" w:themeColor="text1"/>
          <w:sz w:val="26"/>
          <w:szCs w:val="26"/>
        </w:rPr>
        <w:t xml:space="preserve"> and advised the Complainant and Duquesne that Exceptions were due </w:t>
      </w:r>
      <w:r w:rsidR="003A7FB9">
        <w:rPr>
          <w:color w:val="000000" w:themeColor="text1"/>
          <w:sz w:val="26"/>
          <w:szCs w:val="26"/>
        </w:rPr>
        <w:t>twenty</w:t>
      </w:r>
      <w:r w:rsidR="005B6FCC">
        <w:rPr>
          <w:color w:val="000000" w:themeColor="text1"/>
          <w:sz w:val="26"/>
          <w:szCs w:val="26"/>
        </w:rPr>
        <w:t xml:space="preserve"> days from the date of the letter, </w:t>
      </w:r>
      <w:r w:rsidR="005B6FCC">
        <w:rPr>
          <w:i/>
          <w:iCs/>
          <w:color w:val="000000" w:themeColor="text1"/>
          <w:sz w:val="26"/>
          <w:szCs w:val="26"/>
        </w:rPr>
        <w:t>i.e.</w:t>
      </w:r>
      <w:r w:rsidR="005B6FCC">
        <w:rPr>
          <w:color w:val="000000" w:themeColor="text1"/>
          <w:sz w:val="26"/>
          <w:szCs w:val="26"/>
        </w:rPr>
        <w:t xml:space="preserve">, </w:t>
      </w:r>
      <w:r>
        <w:rPr>
          <w:color w:val="000000" w:themeColor="text1"/>
          <w:sz w:val="26"/>
          <w:szCs w:val="26"/>
        </w:rPr>
        <w:t>by October 20, 2020, and that Replies to Exceptions were due “within ten (10) days of the date when Exceptions are due</w:t>
      </w:r>
      <w:r w:rsidR="00547DEB">
        <w:rPr>
          <w:color w:val="000000" w:themeColor="text1"/>
          <w:sz w:val="26"/>
          <w:szCs w:val="26"/>
        </w:rPr>
        <w:t>,</w:t>
      </w:r>
      <w:r>
        <w:rPr>
          <w:color w:val="000000" w:themeColor="text1"/>
          <w:sz w:val="26"/>
          <w:szCs w:val="26"/>
        </w:rPr>
        <w:t xml:space="preserve">” </w:t>
      </w:r>
      <w:r>
        <w:rPr>
          <w:i/>
          <w:iCs/>
          <w:color w:val="000000" w:themeColor="text1"/>
          <w:sz w:val="26"/>
          <w:szCs w:val="26"/>
        </w:rPr>
        <w:t>i.e.</w:t>
      </w:r>
      <w:r>
        <w:rPr>
          <w:color w:val="000000" w:themeColor="text1"/>
          <w:sz w:val="26"/>
          <w:szCs w:val="26"/>
        </w:rPr>
        <w:t>, by October 30, 2020.</w:t>
      </w:r>
    </w:p>
    <w:p w14:paraId="7A12E56D" w14:textId="41F880BB" w:rsidR="00CA27D6" w:rsidRDefault="00CA27D6" w:rsidP="00762F72">
      <w:pPr>
        <w:widowControl/>
        <w:spacing w:line="360" w:lineRule="auto"/>
        <w:rPr>
          <w:color w:val="000000" w:themeColor="text1"/>
          <w:sz w:val="26"/>
          <w:szCs w:val="26"/>
        </w:rPr>
      </w:pPr>
    </w:p>
    <w:p w14:paraId="756F62C4" w14:textId="66A319A5" w:rsidR="00CA27D6" w:rsidRDefault="002405B3" w:rsidP="00547DEB">
      <w:pPr>
        <w:widowControl/>
        <w:spacing w:line="360" w:lineRule="auto"/>
        <w:ind w:firstLine="1440"/>
        <w:rPr>
          <w:color w:val="000000" w:themeColor="text1"/>
          <w:sz w:val="26"/>
          <w:szCs w:val="26"/>
        </w:rPr>
      </w:pPr>
      <w:r>
        <w:rPr>
          <w:color w:val="000000" w:themeColor="text1"/>
          <w:sz w:val="26"/>
          <w:szCs w:val="26"/>
        </w:rPr>
        <w:t>As noted, o</w:t>
      </w:r>
      <w:r w:rsidR="00055D1D">
        <w:rPr>
          <w:color w:val="000000" w:themeColor="text1"/>
          <w:sz w:val="26"/>
          <w:szCs w:val="26"/>
        </w:rPr>
        <w:t xml:space="preserve">n October 10, 2020, </w:t>
      </w:r>
      <w:r w:rsidR="00FF78BA">
        <w:rPr>
          <w:color w:val="000000" w:themeColor="text1"/>
          <w:sz w:val="26"/>
          <w:szCs w:val="26"/>
        </w:rPr>
        <w:t xml:space="preserve">the </w:t>
      </w:r>
      <w:r w:rsidR="00055D1D">
        <w:rPr>
          <w:color w:val="000000" w:themeColor="text1"/>
          <w:sz w:val="26"/>
          <w:szCs w:val="26"/>
        </w:rPr>
        <w:t xml:space="preserve">Complainant filed a letter that the Commission’s Secretary treated as </w:t>
      </w:r>
      <w:r w:rsidR="00FF78BA">
        <w:rPr>
          <w:color w:val="000000" w:themeColor="text1"/>
          <w:sz w:val="26"/>
          <w:szCs w:val="26"/>
        </w:rPr>
        <w:t xml:space="preserve">the </w:t>
      </w:r>
      <w:r w:rsidR="00055D1D">
        <w:rPr>
          <w:color w:val="000000" w:themeColor="text1"/>
          <w:sz w:val="26"/>
          <w:szCs w:val="26"/>
        </w:rPr>
        <w:t xml:space="preserve">Complainant’s Exceptions.  </w:t>
      </w:r>
      <w:r w:rsidR="00055D1D">
        <w:rPr>
          <w:i/>
          <w:iCs/>
          <w:color w:val="000000" w:themeColor="text1"/>
          <w:sz w:val="26"/>
          <w:szCs w:val="26"/>
        </w:rPr>
        <w:t>See</w:t>
      </w:r>
      <w:r w:rsidR="00055D1D">
        <w:rPr>
          <w:color w:val="000000" w:themeColor="text1"/>
          <w:sz w:val="26"/>
          <w:szCs w:val="26"/>
        </w:rPr>
        <w:t xml:space="preserve"> </w:t>
      </w:r>
      <w:r w:rsidR="00FF78BA">
        <w:rPr>
          <w:color w:val="000000" w:themeColor="text1"/>
          <w:sz w:val="26"/>
          <w:szCs w:val="26"/>
        </w:rPr>
        <w:t>F</w:t>
      </w:r>
      <w:r w:rsidR="00055D1D">
        <w:rPr>
          <w:color w:val="000000" w:themeColor="text1"/>
          <w:sz w:val="26"/>
          <w:szCs w:val="26"/>
        </w:rPr>
        <w:t>ootnote 1, above.</w:t>
      </w:r>
    </w:p>
    <w:p w14:paraId="17F05CD3" w14:textId="7B25D701" w:rsidR="00055D1D" w:rsidRDefault="00055D1D" w:rsidP="00762F72">
      <w:pPr>
        <w:widowControl/>
        <w:spacing w:line="360" w:lineRule="auto"/>
        <w:rPr>
          <w:color w:val="000000" w:themeColor="text1"/>
          <w:sz w:val="26"/>
          <w:szCs w:val="26"/>
        </w:rPr>
      </w:pPr>
    </w:p>
    <w:p w14:paraId="75B62A39" w14:textId="171478E1" w:rsidR="00055D1D" w:rsidRDefault="00055D1D" w:rsidP="00BA2802">
      <w:pPr>
        <w:keepNext/>
        <w:widowControl/>
        <w:spacing w:line="360" w:lineRule="auto"/>
        <w:ind w:firstLine="1440"/>
        <w:rPr>
          <w:color w:val="000000" w:themeColor="text1"/>
          <w:sz w:val="26"/>
          <w:szCs w:val="26"/>
        </w:rPr>
      </w:pPr>
      <w:r>
        <w:rPr>
          <w:color w:val="000000" w:themeColor="text1"/>
          <w:sz w:val="26"/>
          <w:szCs w:val="26"/>
        </w:rPr>
        <w:lastRenderedPageBreak/>
        <w:t xml:space="preserve">On November 20, 2020, the Commission’s Secretary served </w:t>
      </w:r>
      <w:r w:rsidR="00FF78BA">
        <w:rPr>
          <w:color w:val="000000" w:themeColor="text1"/>
          <w:sz w:val="26"/>
          <w:szCs w:val="26"/>
        </w:rPr>
        <w:t xml:space="preserve">the </w:t>
      </w:r>
      <w:r>
        <w:rPr>
          <w:color w:val="000000" w:themeColor="text1"/>
          <w:sz w:val="26"/>
          <w:szCs w:val="26"/>
        </w:rPr>
        <w:t xml:space="preserve">Complainant’s Exceptions (letter filed October 10, 2020) on Duquesne and directed that Reply Exceptions be filed by </w:t>
      </w:r>
      <w:r w:rsidR="00385240">
        <w:rPr>
          <w:color w:val="000000" w:themeColor="text1"/>
          <w:sz w:val="26"/>
          <w:szCs w:val="26"/>
        </w:rPr>
        <w:t>November 30, 2020.</w:t>
      </w:r>
    </w:p>
    <w:p w14:paraId="076E02C5" w14:textId="77777777" w:rsidR="00BA2802" w:rsidRDefault="00BA2802" w:rsidP="00BA2802">
      <w:pPr>
        <w:keepNext/>
        <w:widowControl/>
        <w:spacing w:line="360" w:lineRule="auto"/>
        <w:ind w:firstLine="1440"/>
        <w:rPr>
          <w:color w:val="000000" w:themeColor="text1"/>
          <w:sz w:val="26"/>
          <w:szCs w:val="26"/>
        </w:rPr>
      </w:pPr>
    </w:p>
    <w:p w14:paraId="0F46DF9D" w14:textId="7BB4D079" w:rsidR="00B81B89" w:rsidRPr="00B81B89" w:rsidRDefault="00385240" w:rsidP="00BA2802">
      <w:pPr>
        <w:keepNext/>
        <w:widowControl/>
        <w:spacing w:line="360" w:lineRule="auto"/>
        <w:ind w:firstLine="1440"/>
        <w:rPr>
          <w:color w:val="000000" w:themeColor="text1"/>
          <w:sz w:val="26"/>
          <w:szCs w:val="26"/>
        </w:rPr>
      </w:pPr>
      <w:r>
        <w:rPr>
          <w:color w:val="000000" w:themeColor="text1"/>
          <w:sz w:val="26"/>
          <w:szCs w:val="26"/>
        </w:rPr>
        <w:t xml:space="preserve">On November 30, 2020, Duquesne filed and served its Reply Exceptions.  </w:t>
      </w:r>
    </w:p>
    <w:p w14:paraId="0476B644" w14:textId="2CFD3C17" w:rsidR="00385240" w:rsidRPr="00055D1D" w:rsidRDefault="00385240" w:rsidP="00762F72">
      <w:pPr>
        <w:widowControl/>
        <w:spacing w:line="360" w:lineRule="auto"/>
        <w:rPr>
          <w:color w:val="000000" w:themeColor="text1"/>
          <w:sz w:val="26"/>
          <w:szCs w:val="26"/>
        </w:rPr>
      </w:pPr>
    </w:p>
    <w:p w14:paraId="3B93DDD7" w14:textId="77777777" w:rsidR="00416571" w:rsidRPr="00416571" w:rsidRDefault="00416571" w:rsidP="00D050E7">
      <w:pPr>
        <w:widowControl/>
        <w:spacing w:line="360" w:lineRule="auto"/>
        <w:jc w:val="center"/>
        <w:rPr>
          <w:b/>
          <w:color w:val="000000" w:themeColor="text1"/>
          <w:sz w:val="26"/>
          <w:szCs w:val="26"/>
        </w:rPr>
      </w:pPr>
      <w:r w:rsidRPr="00416571">
        <w:rPr>
          <w:b/>
          <w:color w:val="000000" w:themeColor="text1"/>
          <w:sz w:val="26"/>
          <w:szCs w:val="26"/>
        </w:rPr>
        <w:t>Discussion</w:t>
      </w:r>
    </w:p>
    <w:p w14:paraId="34AE191C" w14:textId="77777777" w:rsidR="00416571" w:rsidRPr="00416571" w:rsidRDefault="00416571" w:rsidP="00416571">
      <w:pPr>
        <w:widowControl/>
        <w:spacing w:line="360" w:lineRule="auto"/>
        <w:rPr>
          <w:bCs/>
          <w:color w:val="000000" w:themeColor="text1"/>
          <w:sz w:val="26"/>
          <w:szCs w:val="26"/>
        </w:rPr>
      </w:pPr>
    </w:p>
    <w:p w14:paraId="16061CD1" w14:textId="15F76710" w:rsidR="00416571" w:rsidRPr="00416571" w:rsidRDefault="00416571" w:rsidP="00AD64CC">
      <w:pPr>
        <w:widowControl/>
        <w:spacing w:line="360" w:lineRule="auto"/>
        <w:ind w:firstLine="1440"/>
        <w:rPr>
          <w:bCs/>
          <w:color w:val="000000" w:themeColor="text1"/>
          <w:sz w:val="26"/>
          <w:szCs w:val="26"/>
        </w:rPr>
      </w:pPr>
      <w:r w:rsidRPr="00416571">
        <w:rPr>
          <w:bCs/>
          <w:color w:val="000000" w:themeColor="text1"/>
          <w:sz w:val="26"/>
          <w:szCs w:val="26"/>
        </w:rPr>
        <w:t xml:space="preserve">ALJ </w:t>
      </w:r>
      <w:r>
        <w:rPr>
          <w:bCs/>
          <w:color w:val="000000" w:themeColor="text1"/>
          <w:sz w:val="26"/>
          <w:szCs w:val="26"/>
        </w:rPr>
        <w:t>Hoyer</w:t>
      </w:r>
      <w:r w:rsidRPr="00416571">
        <w:rPr>
          <w:bCs/>
          <w:color w:val="000000" w:themeColor="text1"/>
          <w:sz w:val="26"/>
          <w:szCs w:val="26"/>
        </w:rPr>
        <w:t xml:space="preserve"> made </w:t>
      </w:r>
      <w:r w:rsidR="001E31A4">
        <w:rPr>
          <w:bCs/>
          <w:color w:val="000000" w:themeColor="text1"/>
          <w:sz w:val="26"/>
          <w:szCs w:val="26"/>
        </w:rPr>
        <w:t>nine</w:t>
      </w:r>
      <w:r w:rsidRPr="00416571">
        <w:rPr>
          <w:bCs/>
          <w:color w:val="000000" w:themeColor="text1"/>
          <w:sz w:val="26"/>
          <w:szCs w:val="26"/>
        </w:rPr>
        <w:t xml:space="preserve"> Findings of Fact</w:t>
      </w:r>
      <w:r w:rsidR="001E31A4">
        <w:rPr>
          <w:bCs/>
          <w:color w:val="000000" w:themeColor="text1"/>
          <w:sz w:val="26"/>
          <w:szCs w:val="26"/>
        </w:rPr>
        <w:t xml:space="preserve"> and reached </w:t>
      </w:r>
      <w:r w:rsidR="00417653">
        <w:rPr>
          <w:bCs/>
          <w:color w:val="000000" w:themeColor="text1"/>
          <w:sz w:val="26"/>
          <w:szCs w:val="26"/>
        </w:rPr>
        <w:t>five Conclusions of Law</w:t>
      </w:r>
      <w:r w:rsidRPr="00416571">
        <w:rPr>
          <w:bCs/>
          <w:color w:val="000000" w:themeColor="text1"/>
          <w:sz w:val="26"/>
          <w:szCs w:val="26"/>
        </w:rPr>
        <w:t>.  I.D. at 3-4</w:t>
      </w:r>
      <w:r w:rsidR="009100F6">
        <w:rPr>
          <w:bCs/>
          <w:color w:val="000000" w:themeColor="text1"/>
          <w:sz w:val="26"/>
          <w:szCs w:val="26"/>
        </w:rPr>
        <w:t>, 8.</w:t>
      </w:r>
      <w:r w:rsidRPr="00416571">
        <w:rPr>
          <w:bCs/>
          <w:color w:val="000000" w:themeColor="text1"/>
          <w:sz w:val="26"/>
          <w:szCs w:val="26"/>
        </w:rPr>
        <w:t xml:space="preserve">  The Findings of Fact </w:t>
      </w:r>
      <w:r w:rsidR="006376B4">
        <w:rPr>
          <w:bCs/>
          <w:color w:val="000000" w:themeColor="text1"/>
          <w:sz w:val="26"/>
          <w:szCs w:val="26"/>
        </w:rPr>
        <w:t xml:space="preserve">and Conclusions of Law </w:t>
      </w:r>
      <w:r w:rsidRPr="00416571">
        <w:rPr>
          <w:bCs/>
          <w:color w:val="000000" w:themeColor="text1"/>
          <w:sz w:val="26"/>
          <w:szCs w:val="26"/>
        </w:rPr>
        <w:t>are incorporated herein by reference and are adopted without comment unless they are either expressly or by necessary implication rejected or modified by this Opinion and Order.</w:t>
      </w:r>
    </w:p>
    <w:p w14:paraId="37D9855A" w14:textId="77777777" w:rsidR="00416571" w:rsidRPr="00416571" w:rsidRDefault="00416571" w:rsidP="00416571">
      <w:pPr>
        <w:widowControl/>
        <w:spacing w:line="360" w:lineRule="auto"/>
        <w:rPr>
          <w:b/>
          <w:color w:val="000000" w:themeColor="text1"/>
          <w:sz w:val="26"/>
          <w:szCs w:val="26"/>
        </w:rPr>
      </w:pPr>
    </w:p>
    <w:p w14:paraId="2EDDAD4E" w14:textId="77777777" w:rsidR="00416571" w:rsidRPr="00416571" w:rsidRDefault="00416571" w:rsidP="00AD64CC">
      <w:pPr>
        <w:widowControl/>
        <w:spacing w:line="360" w:lineRule="auto"/>
        <w:rPr>
          <w:b/>
          <w:color w:val="000000" w:themeColor="text1"/>
          <w:sz w:val="26"/>
          <w:szCs w:val="26"/>
        </w:rPr>
      </w:pPr>
      <w:r w:rsidRPr="00416571">
        <w:rPr>
          <w:b/>
          <w:color w:val="000000" w:themeColor="text1"/>
          <w:sz w:val="26"/>
          <w:szCs w:val="26"/>
        </w:rPr>
        <w:t>Legal Standards</w:t>
      </w:r>
    </w:p>
    <w:p w14:paraId="094E5A7D" w14:textId="77777777" w:rsidR="00416571" w:rsidRPr="00416571" w:rsidRDefault="00416571" w:rsidP="00416571">
      <w:pPr>
        <w:widowControl/>
        <w:spacing w:line="360" w:lineRule="auto"/>
        <w:rPr>
          <w:color w:val="000000" w:themeColor="text1"/>
          <w:sz w:val="26"/>
          <w:szCs w:val="26"/>
        </w:rPr>
      </w:pPr>
    </w:p>
    <w:p w14:paraId="1DF21606" w14:textId="32BA1C3C" w:rsidR="00416571" w:rsidRPr="00416571" w:rsidRDefault="00416571" w:rsidP="00AD64CC">
      <w:pPr>
        <w:widowControl/>
        <w:spacing w:line="360" w:lineRule="auto"/>
        <w:ind w:firstLine="1440"/>
        <w:rPr>
          <w:color w:val="000000" w:themeColor="text1"/>
          <w:sz w:val="26"/>
          <w:szCs w:val="26"/>
        </w:rPr>
      </w:pPr>
      <w:r w:rsidRPr="00416571">
        <w:rPr>
          <w:color w:val="000000" w:themeColor="text1"/>
          <w:sz w:val="26"/>
          <w:szCs w:val="26"/>
        </w:rPr>
        <w:t xml:space="preserve">Before addressing the Exceptions, we note that any issue not specifically discussed shall be deemed to have been duly considered and denied without further discussion.  The Commission is not required to consider expressly or at length each contention or argument raised by the parties.  </w:t>
      </w:r>
      <w:r w:rsidRPr="00416571">
        <w:rPr>
          <w:i/>
          <w:color w:val="000000" w:themeColor="text1"/>
          <w:sz w:val="26"/>
          <w:szCs w:val="26"/>
        </w:rPr>
        <w:t>Consolidated Rail Corp. v. Pa. PUC</w:t>
      </w:r>
      <w:r w:rsidRPr="00416571">
        <w:rPr>
          <w:iCs/>
          <w:color w:val="000000" w:themeColor="text1"/>
          <w:sz w:val="26"/>
          <w:szCs w:val="26"/>
        </w:rPr>
        <w:t>,</w:t>
      </w:r>
      <w:r w:rsidRPr="00416571">
        <w:rPr>
          <w:i/>
          <w:color w:val="000000" w:themeColor="text1"/>
          <w:sz w:val="26"/>
          <w:szCs w:val="26"/>
        </w:rPr>
        <w:t xml:space="preserve"> </w:t>
      </w:r>
      <w:r w:rsidRPr="00416571">
        <w:rPr>
          <w:color w:val="000000" w:themeColor="text1"/>
          <w:sz w:val="26"/>
          <w:szCs w:val="26"/>
        </w:rPr>
        <w:t xml:space="preserve">625 A.2d 741 (Pa. Cmwlth. 1993); </w:t>
      </w:r>
      <w:r w:rsidRPr="00416571">
        <w:rPr>
          <w:i/>
          <w:iCs/>
          <w:color w:val="000000" w:themeColor="text1"/>
          <w:sz w:val="26"/>
          <w:szCs w:val="26"/>
        </w:rPr>
        <w:t>see</w:t>
      </w:r>
      <w:r w:rsidR="000F0679">
        <w:rPr>
          <w:i/>
          <w:iCs/>
          <w:color w:val="000000" w:themeColor="text1"/>
          <w:sz w:val="26"/>
          <w:szCs w:val="26"/>
        </w:rPr>
        <w:t>,</w:t>
      </w:r>
      <w:r w:rsidRPr="00416571">
        <w:rPr>
          <w:i/>
          <w:iCs/>
          <w:color w:val="000000" w:themeColor="text1"/>
          <w:sz w:val="26"/>
          <w:szCs w:val="26"/>
        </w:rPr>
        <w:t xml:space="preserve"> also</w:t>
      </w:r>
      <w:r w:rsidR="000F0679">
        <w:rPr>
          <w:i/>
          <w:iCs/>
          <w:color w:val="000000" w:themeColor="text1"/>
          <w:sz w:val="26"/>
          <w:szCs w:val="26"/>
        </w:rPr>
        <w:t>,</w:t>
      </w:r>
      <w:r w:rsidRPr="00416571">
        <w:rPr>
          <w:i/>
          <w:iCs/>
          <w:color w:val="000000" w:themeColor="text1"/>
          <w:sz w:val="26"/>
          <w:szCs w:val="26"/>
        </w:rPr>
        <w:t xml:space="preserve"> </w:t>
      </w:r>
      <w:r w:rsidRPr="009415D4">
        <w:rPr>
          <w:i/>
          <w:iCs/>
          <w:sz w:val="26"/>
          <w:szCs w:val="26"/>
        </w:rPr>
        <w:t>University of Pennsylvania v. Pa. PUC</w:t>
      </w:r>
      <w:r w:rsidRPr="009415D4">
        <w:rPr>
          <w:sz w:val="26"/>
          <w:szCs w:val="26"/>
        </w:rPr>
        <w:t>, 485 A.2d 1217 (Pa. Cmwlth. 1984).</w:t>
      </w:r>
      <w:r w:rsidRPr="00416571">
        <w:rPr>
          <w:color w:val="000000" w:themeColor="text1"/>
          <w:sz w:val="26"/>
          <w:szCs w:val="26"/>
        </w:rPr>
        <w:t xml:space="preserve">  Therefore, any issue that we do not specifically address or delineate in this decision shall be deemed to have been duly considered and denied without further discussion.</w:t>
      </w:r>
    </w:p>
    <w:p w14:paraId="076FA901" w14:textId="77777777" w:rsidR="00EC6830" w:rsidRDefault="00EC6830" w:rsidP="00762F72">
      <w:pPr>
        <w:widowControl/>
        <w:spacing w:line="360" w:lineRule="auto"/>
        <w:rPr>
          <w:color w:val="000000" w:themeColor="text1"/>
          <w:sz w:val="26"/>
          <w:szCs w:val="26"/>
        </w:rPr>
      </w:pPr>
    </w:p>
    <w:p w14:paraId="665E44C2" w14:textId="7DBB62D4" w:rsidR="00EC6830" w:rsidRPr="004F2549" w:rsidRDefault="00EC6830" w:rsidP="00EC6830">
      <w:pPr>
        <w:widowControl/>
        <w:spacing w:line="360" w:lineRule="auto"/>
        <w:ind w:firstLine="1440"/>
        <w:rPr>
          <w:color w:val="000000" w:themeColor="text1"/>
          <w:sz w:val="26"/>
          <w:szCs w:val="26"/>
        </w:rPr>
      </w:pPr>
      <w:r w:rsidRPr="004F2549">
        <w:rPr>
          <w:color w:val="000000" w:themeColor="text1"/>
          <w:sz w:val="26"/>
          <w:szCs w:val="26"/>
        </w:rPr>
        <w:t xml:space="preserve">As the proponent of a rule or order, the Complainant in this proceeding bears the burden of proof pursuant to Section 332(a) of the </w:t>
      </w:r>
      <w:r w:rsidR="00DD2EAF">
        <w:rPr>
          <w:color w:val="000000" w:themeColor="text1"/>
          <w:sz w:val="26"/>
          <w:szCs w:val="26"/>
        </w:rPr>
        <w:t>Public Utility Code (</w:t>
      </w:r>
      <w:r w:rsidRPr="004F2549">
        <w:rPr>
          <w:color w:val="000000" w:themeColor="text1"/>
          <w:sz w:val="26"/>
          <w:szCs w:val="26"/>
        </w:rPr>
        <w:t>Code</w:t>
      </w:r>
      <w:r w:rsidR="00A82A4A">
        <w:rPr>
          <w:color w:val="000000" w:themeColor="text1"/>
          <w:sz w:val="26"/>
          <w:szCs w:val="26"/>
        </w:rPr>
        <w:t>),</w:t>
      </w:r>
      <w:r w:rsidRPr="004F2549">
        <w:rPr>
          <w:color w:val="000000" w:themeColor="text1"/>
          <w:sz w:val="26"/>
          <w:szCs w:val="26"/>
        </w:rPr>
        <w:t xml:space="preserve"> 66 Pa. C.S. § 332(a).  To establish a sufficient case and satisfy the burden of proof, the Complainant must show that </w:t>
      </w:r>
      <w:r w:rsidR="00372079">
        <w:rPr>
          <w:color w:val="000000" w:themeColor="text1"/>
          <w:sz w:val="26"/>
          <w:szCs w:val="26"/>
        </w:rPr>
        <w:t>Duquesne</w:t>
      </w:r>
      <w:r w:rsidRPr="004F2549">
        <w:rPr>
          <w:color w:val="000000" w:themeColor="text1"/>
          <w:sz w:val="26"/>
          <w:szCs w:val="26"/>
        </w:rPr>
        <w:t xml:space="preserve"> is responsible or accountable for the problem described in the Complaint.  </w:t>
      </w:r>
      <w:r w:rsidRPr="004F2549">
        <w:rPr>
          <w:i/>
          <w:color w:val="000000" w:themeColor="text1"/>
          <w:sz w:val="26"/>
          <w:szCs w:val="26"/>
        </w:rPr>
        <w:t>Patterson v. The Bell Telephone Company of Pennsylvania</w:t>
      </w:r>
      <w:r w:rsidRPr="004F2549">
        <w:rPr>
          <w:color w:val="000000" w:themeColor="text1"/>
          <w:sz w:val="26"/>
          <w:szCs w:val="26"/>
        </w:rPr>
        <w:t xml:space="preserve">, </w:t>
      </w:r>
      <w:r w:rsidRPr="004F2549">
        <w:rPr>
          <w:color w:val="000000" w:themeColor="text1"/>
          <w:sz w:val="26"/>
          <w:szCs w:val="26"/>
        </w:rPr>
        <w:lastRenderedPageBreak/>
        <w:t xml:space="preserve">72 Pa. P.U.C. 196 (1990).  Such a showing must be by a preponderance of the evidence.  </w:t>
      </w:r>
      <w:r w:rsidRPr="004F2549">
        <w:rPr>
          <w:i/>
          <w:iCs/>
          <w:color w:val="000000" w:themeColor="text1"/>
          <w:sz w:val="26"/>
          <w:szCs w:val="26"/>
        </w:rPr>
        <w:t>Samuel J. Lansberry, Inc. v. Pa. PUC</w:t>
      </w:r>
      <w:r w:rsidRPr="004F2549">
        <w:rPr>
          <w:color w:val="000000" w:themeColor="text1"/>
          <w:sz w:val="26"/>
          <w:szCs w:val="26"/>
        </w:rPr>
        <w:t xml:space="preserve">, 578 A.2d 600 (Pa. Cmwlth. 1990), </w:t>
      </w:r>
      <w:r w:rsidRPr="004F2549">
        <w:rPr>
          <w:i/>
          <w:color w:val="000000" w:themeColor="text1"/>
          <w:sz w:val="26"/>
          <w:szCs w:val="26"/>
        </w:rPr>
        <w:t>alloc. denied</w:t>
      </w:r>
      <w:r w:rsidRPr="00AC308E">
        <w:rPr>
          <w:iCs/>
          <w:color w:val="000000" w:themeColor="text1"/>
          <w:sz w:val="26"/>
          <w:szCs w:val="26"/>
        </w:rPr>
        <w:t>,</w:t>
      </w:r>
      <w:r w:rsidRPr="004F2549">
        <w:rPr>
          <w:color w:val="000000" w:themeColor="text1"/>
          <w:sz w:val="26"/>
          <w:szCs w:val="26"/>
        </w:rPr>
        <w:t xml:space="preserve"> 529 Pa. 654, 602 A.2d 863 (1992).  That is, the Complainant’s evidence must be more convincing, by even the smallest amount, than that presented by </w:t>
      </w:r>
      <w:r w:rsidR="002335C8">
        <w:rPr>
          <w:color w:val="000000" w:themeColor="text1"/>
          <w:sz w:val="26"/>
          <w:szCs w:val="26"/>
        </w:rPr>
        <w:t>Duquesne</w:t>
      </w:r>
      <w:r w:rsidRPr="004F2549">
        <w:rPr>
          <w:color w:val="000000" w:themeColor="text1"/>
          <w:sz w:val="26"/>
          <w:szCs w:val="26"/>
        </w:rPr>
        <w:t xml:space="preserve">.  </w:t>
      </w:r>
      <w:r w:rsidRPr="004F2549">
        <w:rPr>
          <w:i/>
          <w:color w:val="000000" w:themeColor="text1"/>
          <w:sz w:val="26"/>
          <w:szCs w:val="26"/>
        </w:rPr>
        <w:t>Se-Ling Hosiery, Inc. v. Margulies</w:t>
      </w:r>
      <w:r w:rsidRPr="004F2549">
        <w:rPr>
          <w:color w:val="000000" w:themeColor="text1"/>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4F2549">
        <w:rPr>
          <w:i/>
          <w:color w:val="000000" w:themeColor="text1"/>
          <w:sz w:val="26"/>
          <w:szCs w:val="26"/>
        </w:rPr>
        <w:t>Norfolk &amp; Western Ry. Co. v. Pa. PUC</w:t>
      </w:r>
      <w:r w:rsidRPr="004F2549">
        <w:rPr>
          <w:iCs/>
          <w:color w:val="000000" w:themeColor="text1"/>
          <w:sz w:val="26"/>
          <w:szCs w:val="26"/>
        </w:rPr>
        <w:t>,</w:t>
      </w:r>
      <w:r w:rsidRPr="004F2549">
        <w:rPr>
          <w:i/>
          <w:color w:val="000000" w:themeColor="text1"/>
          <w:sz w:val="26"/>
          <w:szCs w:val="26"/>
        </w:rPr>
        <w:t xml:space="preserve"> </w:t>
      </w:r>
      <w:r w:rsidRPr="004F2549">
        <w:rPr>
          <w:color w:val="000000" w:themeColor="text1"/>
          <w:sz w:val="26"/>
          <w:szCs w:val="26"/>
        </w:rPr>
        <w:t>489 Pa. 109, 413 A.2d 1037 (1980).</w:t>
      </w:r>
    </w:p>
    <w:p w14:paraId="4980AC27" w14:textId="4CD013B4" w:rsidR="00EC6830" w:rsidRDefault="00EC6830" w:rsidP="00EC6830">
      <w:pPr>
        <w:widowControl/>
        <w:spacing w:line="360" w:lineRule="auto"/>
        <w:rPr>
          <w:color w:val="000000" w:themeColor="text1"/>
          <w:sz w:val="26"/>
          <w:szCs w:val="26"/>
        </w:rPr>
      </w:pPr>
    </w:p>
    <w:p w14:paraId="6590AF10" w14:textId="648F26F8" w:rsidR="006D6EBA" w:rsidRPr="006D7DD6" w:rsidRDefault="006D6EBA" w:rsidP="00EC6830">
      <w:pPr>
        <w:widowControl/>
        <w:spacing w:line="360" w:lineRule="auto"/>
        <w:rPr>
          <w:b/>
          <w:bCs/>
          <w:color w:val="000000" w:themeColor="text1"/>
          <w:sz w:val="26"/>
          <w:szCs w:val="26"/>
        </w:rPr>
      </w:pPr>
      <w:r w:rsidRPr="006D7DD6">
        <w:rPr>
          <w:b/>
          <w:bCs/>
          <w:color w:val="000000" w:themeColor="text1"/>
          <w:sz w:val="26"/>
          <w:szCs w:val="26"/>
        </w:rPr>
        <w:t>ALJ’s Initial Decision</w:t>
      </w:r>
    </w:p>
    <w:p w14:paraId="62D6D621" w14:textId="77777777" w:rsidR="00A24F7A" w:rsidRDefault="00A24F7A" w:rsidP="00EC6830">
      <w:pPr>
        <w:widowControl/>
        <w:spacing w:line="360" w:lineRule="auto"/>
        <w:rPr>
          <w:color w:val="000000" w:themeColor="text1"/>
          <w:sz w:val="26"/>
          <w:szCs w:val="26"/>
        </w:rPr>
      </w:pPr>
    </w:p>
    <w:p w14:paraId="7D52979C" w14:textId="0E638E5E" w:rsidR="00A24F7A" w:rsidRDefault="00A24F7A" w:rsidP="00A24F7A">
      <w:pPr>
        <w:widowControl/>
        <w:spacing w:line="360" w:lineRule="auto"/>
        <w:ind w:firstLine="1440"/>
        <w:rPr>
          <w:color w:val="000000" w:themeColor="text1"/>
          <w:sz w:val="26"/>
          <w:szCs w:val="26"/>
        </w:rPr>
      </w:pPr>
      <w:r>
        <w:rPr>
          <w:color w:val="000000" w:themeColor="text1"/>
          <w:sz w:val="26"/>
          <w:szCs w:val="26"/>
        </w:rPr>
        <w:t xml:space="preserve">The Initial Decision of ALJ Hoyer denied the Complaint on the basis that the Complainant is collaterally estopped from pursuing the issue of being billed for Duquesne’s service for periods that he is not at the service location for extended periods of time.  </w:t>
      </w:r>
      <w:r w:rsidR="00CD5A35">
        <w:rPr>
          <w:color w:val="000000" w:themeColor="text1"/>
          <w:sz w:val="26"/>
          <w:szCs w:val="26"/>
        </w:rPr>
        <w:t>Specifically, ALJ Hoyer noted that n</w:t>
      </w:r>
      <w:r w:rsidR="00CD5A35" w:rsidRPr="00CD5A35">
        <w:rPr>
          <w:color w:val="000000" w:themeColor="text1"/>
          <w:sz w:val="26"/>
          <w:szCs w:val="26"/>
        </w:rPr>
        <w:t xml:space="preserve">o question exists that in both this case and </w:t>
      </w:r>
      <w:r w:rsidR="00CD5A35">
        <w:rPr>
          <w:color w:val="000000" w:themeColor="text1"/>
          <w:sz w:val="26"/>
          <w:szCs w:val="26"/>
        </w:rPr>
        <w:t xml:space="preserve">the </w:t>
      </w:r>
      <w:r w:rsidR="00CD5A35" w:rsidRPr="00CD5A35">
        <w:rPr>
          <w:color w:val="000000" w:themeColor="text1"/>
          <w:sz w:val="26"/>
          <w:szCs w:val="26"/>
        </w:rPr>
        <w:t>Complainant’s previous complaint case at Docket No. C-2017-2601038</w:t>
      </w:r>
      <w:r w:rsidR="00CF634C">
        <w:rPr>
          <w:color w:val="000000" w:themeColor="text1"/>
          <w:sz w:val="26"/>
          <w:szCs w:val="26"/>
        </w:rPr>
        <w:t xml:space="preserve">: </w:t>
      </w:r>
      <w:r w:rsidR="004474B1">
        <w:rPr>
          <w:color w:val="000000" w:themeColor="text1"/>
          <w:sz w:val="26"/>
          <w:szCs w:val="26"/>
        </w:rPr>
        <w:t xml:space="preserve"> (1) </w:t>
      </w:r>
      <w:r w:rsidR="00CD5A35" w:rsidRPr="00CD5A35">
        <w:rPr>
          <w:color w:val="000000" w:themeColor="text1"/>
          <w:sz w:val="26"/>
          <w:szCs w:val="26"/>
        </w:rPr>
        <w:t>the same issues regarding incorrect charges, parties, and capacities of parties existed</w:t>
      </w:r>
      <w:r w:rsidR="004474B1">
        <w:rPr>
          <w:color w:val="000000" w:themeColor="text1"/>
          <w:sz w:val="26"/>
          <w:szCs w:val="26"/>
        </w:rPr>
        <w:t>; and (2) that</w:t>
      </w:r>
      <w:r w:rsidR="00CD5A35" w:rsidRPr="00CD5A35">
        <w:rPr>
          <w:color w:val="000000" w:themeColor="text1"/>
          <w:sz w:val="26"/>
          <w:szCs w:val="26"/>
        </w:rPr>
        <w:t xml:space="preserve"> the issues </w:t>
      </w:r>
      <w:r w:rsidR="004474B1">
        <w:rPr>
          <w:color w:val="000000" w:themeColor="text1"/>
          <w:sz w:val="26"/>
          <w:szCs w:val="26"/>
        </w:rPr>
        <w:t xml:space="preserve">were </w:t>
      </w:r>
      <w:r w:rsidR="00CD5A35" w:rsidRPr="00CD5A35">
        <w:rPr>
          <w:color w:val="000000" w:themeColor="text1"/>
          <w:sz w:val="26"/>
          <w:szCs w:val="26"/>
        </w:rPr>
        <w:t xml:space="preserve">delineated in both instances are the same, </w:t>
      </w:r>
      <w:r w:rsidR="004474B1">
        <w:rPr>
          <w:color w:val="000000" w:themeColor="text1"/>
          <w:sz w:val="26"/>
          <w:szCs w:val="26"/>
        </w:rPr>
        <w:t xml:space="preserve">that </w:t>
      </w:r>
      <w:r w:rsidR="00CD5A35" w:rsidRPr="00CD5A35">
        <w:rPr>
          <w:color w:val="000000" w:themeColor="text1"/>
          <w:sz w:val="26"/>
          <w:szCs w:val="26"/>
        </w:rPr>
        <w:t xml:space="preserve">a final judgment on the merits in the previous complaint case was entered, </w:t>
      </w:r>
      <w:r w:rsidR="004474B1">
        <w:rPr>
          <w:color w:val="000000" w:themeColor="text1"/>
          <w:sz w:val="26"/>
          <w:szCs w:val="26"/>
        </w:rPr>
        <w:t xml:space="preserve">that the </w:t>
      </w:r>
      <w:r w:rsidR="00CD5A35" w:rsidRPr="00CD5A35">
        <w:rPr>
          <w:color w:val="000000" w:themeColor="text1"/>
          <w:sz w:val="26"/>
          <w:szCs w:val="26"/>
        </w:rPr>
        <w:t xml:space="preserve">Complainant was the same person identified in </w:t>
      </w:r>
      <w:r w:rsidR="004474B1">
        <w:rPr>
          <w:color w:val="000000" w:themeColor="text1"/>
          <w:sz w:val="26"/>
          <w:szCs w:val="26"/>
        </w:rPr>
        <w:t>both cases</w:t>
      </w:r>
      <w:r w:rsidR="00CD5A35" w:rsidRPr="00CD5A35">
        <w:rPr>
          <w:color w:val="000000" w:themeColor="text1"/>
          <w:sz w:val="26"/>
          <w:szCs w:val="26"/>
        </w:rPr>
        <w:t xml:space="preserve">, and </w:t>
      </w:r>
      <w:r w:rsidR="004474B1">
        <w:rPr>
          <w:color w:val="000000" w:themeColor="text1"/>
          <w:sz w:val="26"/>
          <w:szCs w:val="26"/>
        </w:rPr>
        <w:t xml:space="preserve">that </w:t>
      </w:r>
      <w:r w:rsidR="00CD5A35" w:rsidRPr="00CD5A35">
        <w:rPr>
          <w:color w:val="000000" w:themeColor="text1"/>
          <w:sz w:val="26"/>
          <w:szCs w:val="26"/>
        </w:rPr>
        <w:t xml:space="preserve">he had a full and fair opportunity to litigate the issues in question in the prior action. </w:t>
      </w:r>
      <w:r w:rsidR="002B465D">
        <w:rPr>
          <w:color w:val="000000" w:themeColor="text1"/>
          <w:sz w:val="26"/>
          <w:szCs w:val="26"/>
        </w:rPr>
        <w:t xml:space="preserve"> </w:t>
      </w:r>
      <w:r w:rsidR="00CD5A35" w:rsidRPr="00CD5A35">
        <w:rPr>
          <w:color w:val="000000" w:themeColor="text1"/>
          <w:sz w:val="26"/>
          <w:szCs w:val="26"/>
        </w:rPr>
        <w:t xml:space="preserve">Therefore, </w:t>
      </w:r>
      <w:r w:rsidR="002B465D">
        <w:rPr>
          <w:color w:val="000000" w:themeColor="text1"/>
          <w:sz w:val="26"/>
          <w:szCs w:val="26"/>
        </w:rPr>
        <w:t xml:space="preserve">the </w:t>
      </w:r>
      <w:r w:rsidR="00CD5A35" w:rsidRPr="00CD5A35">
        <w:rPr>
          <w:color w:val="000000" w:themeColor="text1"/>
          <w:sz w:val="26"/>
          <w:szCs w:val="26"/>
        </w:rPr>
        <w:t xml:space="preserve">consideration of these issues regarding incorrect charges are barred by the doctrine of collateral estoppel. </w:t>
      </w:r>
      <w:r w:rsidR="002B465D">
        <w:rPr>
          <w:color w:val="000000" w:themeColor="text1"/>
          <w:sz w:val="26"/>
          <w:szCs w:val="26"/>
        </w:rPr>
        <w:t xml:space="preserve"> </w:t>
      </w:r>
      <w:r w:rsidR="00CD5A35" w:rsidRPr="00CD5A35">
        <w:rPr>
          <w:color w:val="000000" w:themeColor="text1"/>
          <w:sz w:val="26"/>
          <w:szCs w:val="26"/>
        </w:rPr>
        <w:t xml:space="preserve">In addition, </w:t>
      </w:r>
      <w:r w:rsidR="002B465D">
        <w:rPr>
          <w:color w:val="000000" w:themeColor="text1"/>
          <w:sz w:val="26"/>
          <w:szCs w:val="26"/>
        </w:rPr>
        <w:t>the AL</w:t>
      </w:r>
      <w:r w:rsidR="001E39B3">
        <w:rPr>
          <w:color w:val="000000" w:themeColor="text1"/>
          <w:sz w:val="26"/>
          <w:szCs w:val="26"/>
        </w:rPr>
        <w:t>J</w:t>
      </w:r>
      <w:r w:rsidR="002B465D">
        <w:rPr>
          <w:color w:val="000000" w:themeColor="text1"/>
          <w:sz w:val="26"/>
          <w:szCs w:val="26"/>
        </w:rPr>
        <w:t xml:space="preserve"> noted that </w:t>
      </w:r>
      <w:r w:rsidR="00CD5A35" w:rsidRPr="00CD5A35">
        <w:rPr>
          <w:color w:val="000000" w:themeColor="text1"/>
          <w:sz w:val="26"/>
          <w:szCs w:val="26"/>
        </w:rPr>
        <w:t>these issues are barred by Section 316 of the Code</w:t>
      </w:r>
      <w:r w:rsidR="001B255D">
        <w:rPr>
          <w:color w:val="000000" w:themeColor="text1"/>
          <w:sz w:val="26"/>
          <w:szCs w:val="26"/>
        </w:rPr>
        <w:t xml:space="preserve">. </w:t>
      </w:r>
      <w:r w:rsidR="00CD5A35" w:rsidRPr="00CD5A35">
        <w:rPr>
          <w:color w:val="000000" w:themeColor="text1"/>
          <w:sz w:val="26"/>
          <w:szCs w:val="26"/>
        </w:rPr>
        <w:t xml:space="preserve"> </w:t>
      </w:r>
      <w:r w:rsidR="002B465D">
        <w:rPr>
          <w:color w:val="000000" w:themeColor="text1"/>
          <w:sz w:val="26"/>
          <w:szCs w:val="26"/>
        </w:rPr>
        <w:t xml:space="preserve">Furthermore, </w:t>
      </w:r>
      <w:r>
        <w:rPr>
          <w:color w:val="000000" w:themeColor="text1"/>
          <w:sz w:val="26"/>
          <w:szCs w:val="26"/>
        </w:rPr>
        <w:t>ALJ</w:t>
      </w:r>
      <w:r w:rsidR="00CF634C">
        <w:rPr>
          <w:color w:val="000000" w:themeColor="text1"/>
          <w:sz w:val="26"/>
          <w:szCs w:val="26"/>
        </w:rPr>
        <w:t> </w:t>
      </w:r>
      <w:r>
        <w:rPr>
          <w:color w:val="000000" w:themeColor="text1"/>
          <w:sz w:val="26"/>
          <w:szCs w:val="26"/>
        </w:rPr>
        <w:t>Hoyer also noted that the Complainant’s request for a payment arrangement had been withdrawn by the Complainant at the In-person Hearing.</w:t>
      </w:r>
      <w:r w:rsidR="00F97AFE">
        <w:rPr>
          <w:color w:val="000000" w:themeColor="text1"/>
          <w:sz w:val="26"/>
          <w:szCs w:val="26"/>
        </w:rPr>
        <w:t xml:space="preserve">  I.D. at 4-7. </w:t>
      </w:r>
    </w:p>
    <w:p w14:paraId="6CD41BF1" w14:textId="77777777" w:rsidR="006D6EBA" w:rsidRPr="004F2549" w:rsidRDefault="006D6EBA" w:rsidP="00EC6830">
      <w:pPr>
        <w:widowControl/>
        <w:spacing w:line="360" w:lineRule="auto"/>
        <w:rPr>
          <w:color w:val="000000" w:themeColor="text1"/>
          <w:sz w:val="26"/>
          <w:szCs w:val="26"/>
        </w:rPr>
      </w:pPr>
    </w:p>
    <w:p w14:paraId="34817B27" w14:textId="4F7331B2" w:rsidR="00EC6830" w:rsidRPr="006D7DD6" w:rsidRDefault="00146C8A" w:rsidP="00EE5AF0">
      <w:pPr>
        <w:keepNext/>
        <w:widowControl/>
        <w:spacing w:line="360" w:lineRule="auto"/>
        <w:rPr>
          <w:b/>
          <w:bCs/>
          <w:color w:val="000000" w:themeColor="text1"/>
          <w:sz w:val="26"/>
          <w:szCs w:val="26"/>
        </w:rPr>
      </w:pPr>
      <w:r w:rsidRPr="006D7DD6">
        <w:rPr>
          <w:b/>
          <w:bCs/>
          <w:color w:val="000000" w:themeColor="text1"/>
          <w:sz w:val="26"/>
          <w:szCs w:val="26"/>
        </w:rPr>
        <w:t>Exceptions and Replies</w:t>
      </w:r>
    </w:p>
    <w:p w14:paraId="11465F32" w14:textId="4016255D" w:rsidR="00146C8A" w:rsidRDefault="00146C8A" w:rsidP="00EE5AF0">
      <w:pPr>
        <w:keepNext/>
        <w:widowControl/>
        <w:spacing w:line="360" w:lineRule="auto"/>
        <w:rPr>
          <w:color w:val="000000" w:themeColor="text1"/>
          <w:sz w:val="26"/>
          <w:szCs w:val="26"/>
        </w:rPr>
      </w:pPr>
    </w:p>
    <w:p w14:paraId="51B6791C" w14:textId="0F1487B6" w:rsidR="00CA27D6" w:rsidRDefault="001B3A24" w:rsidP="00EE5AF0">
      <w:pPr>
        <w:keepNext/>
        <w:widowControl/>
        <w:spacing w:line="360" w:lineRule="auto"/>
        <w:rPr>
          <w:color w:val="000000" w:themeColor="text1"/>
          <w:sz w:val="26"/>
          <w:szCs w:val="26"/>
        </w:rPr>
      </w:pPr>
      <w:r>
        <w:rPr>
          <w:color w:val="000000" w:themeColor="text1"/>
          <w:sz w:val="26"/>
          <w:szCs w:val="26"/>
        </w:rPr>
        <w:tab/>
      </w:r>
      <w:r w:rsidR="00BF6218">
        <w:rPr>
          <w:color w:val="000000" w:themeColor="text1"/>
          <w:sz w:val="26"/>
          <w:szCs w:val="26"/>
        </w:rPr>
        <w:tab/>
      </w:r>
      <w:r w:rsidR="008526C9">
        <w:rPr>
          <w:color w:val="000000" w:themeColor="text1"/>
          <w:sz w:val="26"/>
          <w:szCs w:val="26"/>
        </w:rPr>
        <w:t>In his Exceptions, t</w:t>
      </w:r>
      <w:r>
        <w:rPr>
          <w:color w:val="000000" w:themeColor="text1"/>
          <w:sz w:val="26"/>
          <w:szCs w:val="26"/>
        </w:rPr>
        <w:t xml:space="preserve">he Complainant </w:t>
      </w:r>
      <w:r w:rsidR="00E16314">
        <w:rPr>
          <w:color w:val="000000" w:themeColor="text1"/>
          <w:sz w:val="26"/>
          <w:szCs w:val="26"/>
        </w:rPr>
        <w:t>note</w:t>
      </w:r>
      <w:r w:rsidR="008526C9">
        <w:rPr>
          <w:color w:val="000000" w:themeColor="text1"/>
          <w:sz w:val="26"/>
          <w:szCs w:val="26"/>
        </w:rPr>
        <w:t>s</w:t>
      </w:r>
      <w:r w:rsidR="00E16314" w:rsidRPr="006D7DD6">
        <w:rPr>
          <w:i/>
          <w:iCs/>
          <w:color w:val="000000" w:themeColor="text1"/>
          <w:sz w:val="26"/>
          <w:szCs w:val="26"/>
        </w:rPr>
        <w:t>, inter alia</w:t>
      </w:r>
      <w:r w:rsidR="00E16314">
        <w:rPr>
          <w:color w:val="000000" w:themeColor="text1"/>
          <w:sz w:val="26"/>
          <w:szCs w:val="26"/>
        </w:rPr>
        <w:t xml:space="preserve">, that </w:t>
      </w:r>
      <w:r w:rsidR="002959DB">
        <w:rPr>
          <w:color w:val="000000" w:themeColor="text1"/>
          <w:sz w:val="26"/>
          <w:szCs w:val="26"/>
        </w:rPr>
        <w:t xml:space="preserve">he </w:t>
      </w:r>
      <w:r w:rsidR="009724D1">
        <w:rPr>
          <w:color w:val="000000" w:themeColor="text1"/>
          <w:sz w:val="26"/>
          <w:szCs w:val="26"/>
        </w:rPr>
        <w:t xml:space="preserve">spends time away from the service </w:t>
      </w:r>
      <w:r w:rsidR="002959DB">
        <w:rPr>
          <w:color w:val="000000" w:themeColor="text1"/>
          <w:sz w:val="26"/>
          <w:szCs w:val="26"/>
        </w:rPr>
        <w:t>address</w:t>
      </w:r>
      <w:r w:rsidR="009724D1">
        <w:rPr>
          <w:color w:val="000000" w:themeColor="text1"/>
          <w:sz w:val="26"/>
          <w:szCs w:val="26"/>
        </w:rPr>
        <w:t xml:space="preserve">.  Specifically, the </w:t>
      </w:r>
      <w:r w:rsidR="000F0679">
        <w:rPr>
          <w:color w:val="000000" w:themeColor="text1"/>
          <w:sz w:val="26"/>
          <w:szCs w:val="26"/>
        </w:rPr>
        <w:t xml:space="preserve">Complainant contends that he should not be charged by Duquesne for electric service rendered at his residence (the service location) when he is absent from the residence for extended periods of time visiting </w:t>
      </w:r>
      <w:r w:rsidR="0088045D">
        <w:rPr>
          <w:color w:val="000000" w:themeColor="text1"/>
          <w:sz w:val="26"/>
          <w:szCs w:val="26"/>
        </w:rPr>
        <w:t>his daughters at their separate residences.</w:t>
      </w:r>
      <w:r w:rsidR="009A6FA2">
        <w:rPr>
          <w:color w:val="000000" w:themeColor="text1"/>
          <w:sz w:val="26"/>
          <w:szCs w:val="26"/>
        </w:rPr>
        <w:t xml:space="preserve">  Exc. at 1-2.</w:t>
      </w:r>
    </w:p>
    <w:p w14:paraId="70F3A1B0" w14:textId="4D8ED319" w:rsidR="006D6EBA" w:rsidRDefault="006D6EBA" w:rsidP="00762F72">
      <w:pPr>
        <w:widowControl/>
        <w:spacing w:line="360" w:lineRule="auto"/>
        <w:rPr>
          <w:color w:val="000000" w:themeColor="text1"/>
          <w:sz w:val="26"/>
          <w:szCs w:val="26"/>
        </w:rPr>
      </w:pPr>
    </w:p>
    <w:p w14:paraId="7B455127" w14:textId="212598D9" w:rsidR="006D6EBA" w:rsidRDefault="006D6EBA" w:rsidP="00762F72">
      <w:pPr>
        <w:widowControl/>
        <w:spacing w:line="360" w:lineRule="auto"/>
        <w:rPr>
          <w:color w:val="000000" w:themeColor="text1"/>
          <w:sz w:val="26"/>
          <w:szCs w:val="26"/>
        </w:rPr>
      </w:pPr>
      <w:r>
        <w:rPr>
          <w:color w:val="000000" w:themeColor="text1"/>
          <w:sz w:val="26"/>
          <w:szCs w:val="26"/>
        </w:rPr>
        <w:tab/>
      </w:r>
      <w:r>
        <w:rPr>
          <w:color w:val="000000" w:themeColor="text1"/>
          <w:sz w:val="26"/>
          <w:szCs w:val="26"/>
        </w:rPr>
        <w:tab/>
        <w:t>In its Replies, Duquesne aver</w:t>
      </w:r>
      <w:r w:rsidR="008E20E1">
        <w:rPr>
          <w:color w:val="000000" w:themeColor="text1"/>
          <w:sz w:val="26"/>
          <w:szCs w:val="26"/>
        </w:rPr>
        <w:t>s</w:t>
      </w:r>
      <w:r>
        <w:rPr>
          <w:color w:val="000000" w:themeColor="text1"/>
          <w:sz w:val="26"/>
          <w:szCs w:val="26"/>
        </w:rPr>
        <w:t xml:space="preserve"> that the ALJ’s Initial Decisi</w:t>
      </w:r>
      <w:r w:rsidR="00110E69">
        <w:rPr>
          <w:color w:val="000000" w:themeColor="text1"/>
          <w:sz w:val="26"/>
          <w:szCs w:val="26"/>
        </w:rPr>
        <w:t>o</w:t>
      </w:r>
      <w:r>
        <w:rPr>
          <w:color w:val="000000" w:themeColor="text1"/>
          <w:sz w:val="26"/>
          <w:szCs w:val="26"/>
        </w:rPr>
        <w:t>n correctly determined that the issue raised by the Complainant was barred by collateral estoppel and that denial of the Complaint was proper and correct.  The Reply Exceptions also aver</w:t>
      </w:r>
      <w:r w:rsidR="00F85172">
        <w:rPr>
          <w:color w:val="000000" w:themeColor="text1"/>
          <w:sz w:val="26"/>
          <w:szCs w:val="26"/>
        </w:rPr>
        <w:t>s</w:t>
      </w:r>
      <w:r>
        <w:rPr>
          <w:color w:val="000000" w:themeColor="text1"/>
          <w:sz w:val="26"/>
          <w:szCs w:val="26"/>
        </w:rPr>
        <w:t xml:space="preserve"> that the Complainant’s contention that he should not be billed for electric service during extended periods when he was not at the service location was </w:t>
      </w:r>
      <w:r w:rsidRPr="00B81B89">
        <w:rPr>
          <w:color w:val="000000" w:themeColor="text1"/>
          <w:sz w:val="26"/>
          <w:szCs w:val="26"/>
        </w:rPr>
        <w:t>incorrect as a matter of law.</w:t>
      </w:r>
      <w:r w:rsidR="00AF5F70">
        <w:rPr>
          <w:color w:val="000000" w:themeColor="text1"/>
          <w:sz w:val="26"/>
          <w:szCs w:val="26"/>
        </w:rPr>
        <w:t xml:space="preserve">  R. Exc. at 3-5.</w:t>
      </w:r>
    </w:p>
    <w:p w14:paraId="71B6EF28" w14:textId="12DCFACB" w:rsidR="0088045D" w:rsidRDefault="0088045D" w:rsidP="00762F72">
      <w:pPr>
        <w:widowControl/>
        <w:spacing w:line="360" w:lineRule="auto"/>
        <w:rPr>
          <w:color w:val="000000" w:themeColor="text1"/>
          <w:sz w:val="26"/>
          <w:szCs w:val="26"/>
        </w:rPr>
      </w:pPr>
    </w:p>
    <w:p w14:paraId="428DE9F4" w14:textId="5FE9526A" w:rsidR="004C3B2B" w:rsidRPr="006D7DD6" w:rsidRDefault="004C3B2B" w:rsidP="00762F72">
      <w:pPr>
        <w:widowControl/>
        <w:spacing w:line="360" w:lineRule="auto"/>
        <w:rPr>
          <w:b/>
          <w:bCs/>
          <w:color w:val="000000" w:themeColor="text1"/>
          <w:sz w:val="26"/>
          <w:szCs w:val="26"/>
        </w:rPr>
      </w:pPr>
      <w:r w:rsidRPr="006D7DD6">
        <w:rPr>
          <w:b/>
          <w:bCs/>
          <w:color w:val="000000" w:themeColor="text1"/>
          <w:sz w:val="26"/>
          <w:szCs w:val="26"/>
        </w:rPr>
        <w:t>Disposition</w:t>
      </w:r>
    </w:p>
    <w:p w14:paraId="150B93E7" w14:textId="77777777" w:rsidR="004C3B2B" w:rsidRDefault="004C3B2B" w:rsidP="00762F72">
      <w:pPr>
        <w:widowControl/>
        <w:spacing w:line="360" w:lineRule="auto"/>
        <w:rPr>
          <w:color w:val="000000" w:themeColor="text1"/>
          <w:sz w:val="26"/>
          <w:szCs w:val="26"/>
        </w:rPr>
      </w:pPr>
    </w:p>
    <w:p w14:paraId="55B81E7D" w14:textId="2E87CE56" w:rsidR="0088045D" w:rsidRPr="0088045D" w:rsidRDefault="004C3B2B" w:rsidP="00CB605C">
      <w:pPr>
        <w:widowControl/>
        <w:spacing w:line="360" w:lineRule="auto"/>
        <w:ind w:firstLine="1440"/>
        <w:rPr>
          <w:color w:val="000000" w:themeColor="text1"/>
          <w:sz w:val="26"/>
          <w:szCs w:val="26"/>
        </w:rPr>
      </w:pPr>
      <w:r>
        <w:rPr>
          <w:color w:val="000000" w:themeColor="text1"/>
          <w:sz w:val="26"/>
          <w:szCs w:val="26"/>
        </w:rPr>
        <w:t>At the outset we note that t</w:t>
      </w:r>
      <w:r w:rsidR="0088045D">
        <w:rPr>
          <w:color w:val="000000" w:themeColor="text1"/>
          <w:sz w:val="26"/>
          <w:szCs w:val="26"/>
        </w:rPr>
        <w:t xml:space="preserve">his is the identical issue that </w:t>
      </w:r>
      <w:r>
        <w:rPr>
          <w:color w:val="000000" w:themeColor="text1"/>
          <w:sz w:val="26"/>
          <w:szCs w:val="26"/>
        </w:rPr>
        <w:t xml:space="preserve">the </w:t>
      </w:r>
      <w:r w:rsidR="0088045D">
        <w:rPr>
          <w:color w:val="000000" w:themeColor="text1"/>
          <w:sz w:val="26"/>
          <w:szCs w:val="26"/>
        </w:rPr>
        <w:t xml:space="preserve">Complainant litigated in </w:t>
      </w:r>
      <w:r w:rsidR="0088045D" w:rsidRPr="0088045D">
        <w:rPr>
          <w:i/>
          <w:iCs/>
          <w:color w:val="000000" w:themeColor="text1"/>
          <w:sz w:val="26"/>
          <w:szCs w:val="26"/>
        </w:rPr>
        <w:t>A. Raymond Kochis vs. Duquesne Light Company</w:t>
      </w:r>
      <w:r w:rsidR="0088045D" w:rsidRPr="0088045D">
        <w:rPr>
          <w:color w:val="000000" w:themeColor="text1"/>
          <w:sz w:val="26"/>
          <w:szCs w:val="26"/>
        </w:rPr>
        <w:t>, Docket No. C</w:t>
      </w:r>
      <w:r w:rsidR="00CF634C">
        <w:rPr>
          <w:color w:val="000000" w:themeColor="text1"/>
          <w:sz w:val="26"/>
          <w:szCs w:val="26"/>
        </w:rPr>
        <w:noBreakHyphen/>
      </w:r>
      <w:r w:rsidR="0088045D" w:rsidRPr="0088045D">
        <w:rPr>
          <w:color w:val="000000" w:themeColor="text1"/>
          <w:sz w:val="26"/>
          <w:szCs w:val="26"/>
        </w:rPr>
        <w:t>2017</w:t>
      </w:r>
      <w:r w:rsidR="00CF634C">
        <w:rPr>
          <w:color w:val="000000" w:themeColor="text1"/>
          <w:sz w:val="26"/>
          <w:szCs w:val="26"/>
        </w:rPr>
        <w:noBreakHyphen/>
      </w:r>
      <w:r w:rsidR="0088045D" w:rsidRPr="0088045D">
        <w:rPr>
          <w:color w:val="000000" w:themeColor="text1"/>
          <w:sz w:val="26"/>
          <w:szCs w:val="26"/>
        </w:rPr>
        <w:t xml:space="preserve">2601038, </w:t>
      </w:r>
      <w:r w:rsidR="000C6043">
        <w:rPr>
          <w:color w:val="000000" w:themeColor="text1"/>
          <w:sz w:val="26"/>
          <w:szCs w:val="26"/>
        </w:rPr>
        <w:t>(</w:t>
      </w:r>
      <w:r w:rsidR="007070DE">
        <w:rPr>
          <w:color w:val="000000" w:themeColor="text1"/>
          <w:sz w:val="26"/>
          <w:szCs w:val="26"/>
        </w:rPr>
        <w:t xml:space="preserve">Initial Decision </w:t>
      </w:r>
      <w:r w:rsidR="000C6043">
        <w:rPr>
          <w:color w:val="000000" w:themeColor="text1"/>
          <w:sz w:val="26"/>
          <w:szCs w:val="26"/>
        </w:rPr>
        <w:t>entered</w:t>
      </w:r>
      <w:r w:rsidR="007070DE">
        <w:rPr>
          <w:color w:val="000000" w:themeColor="text1"/>
          <w:sz w:val="26"/>
          <w:szCs w:val="26"/>
        </w:rPr>
        <w:t xml:space="preserve"> January </w:t>
      </w:r>
      <w:r w:rsidR="000C6043">
        <w:rPr>
          <w:color w:val="000000" w:themeColor="text1"/>
          <w:sz w:val="26"/>
          <w:szCs w:val="26"/>
        </w:rPr>
        <w:t>30</w:t>
      </w:r>
      <w:r w:rsidR="007070DE">
        <w:rPr>
          <w:color w:val="000000" w:themeColor="text1"/>
          <w:sz w:val="26"/>
          <w:szCs w:val="26"/>
        </w:rPr>
        <w:t>, 2018</w:t>
      </w:r>
      <w:r w:rsidR="00453083">
        <w:rPr>
          <w:color w:val="000000" w:themeColor="text1"/>
          <w:sz w:val="26"/>
          <w:szCs w:val="26"/>
        </w:rPr>
        <w:t>)</w:t>
      </w:r>
      <w:r w:rsidR="002D00AC">
        <w:rPr>
          <w:color w:val="000000" w:themeColor="text1"/>
          <w:sz w:val="26"/>
          <w:szCs w:val="26"/>
        </w:rPr>
        <w:t xml:space="preserve"> </w:t>
      </w:r>
      <w:r w:rsidR="002D00AC" w:rsidRPr="00BD6F5F">
        <w:rPr>
          <w:color w:val="000000" w:themeColor="text1"/>
          <w:sz w:val="26"/>
          <w:szCs w:val="26"/>
        </w:rPr>
        <w:t>(</w:t>
      </w:r>
      <w:r w:rsidR="002D00AC" w:rsidRPr="006D7DD6">
        <w:rPr>
          <w:i/>
          <w:iCs/>
          <w:color w:val="000000" w:themeColor="text1"/>
          <w:sz w:val="26"/>
          <w:szCs w:val="26"/>
        </w:rPr>
        <w:t>January 2018</w:t>
      </w:r>
      <w:r w:rsidR="00BD6F5F" w:rsidRPr="006D7DD6">
        <w:rPr>
          <w:i/>
          <w:iCs/>
          <w:color w:val="000000" w:themeColor="text1"/>
          <w:sz w:val="26"/>
          <w:szCs w:val="26"/>
        </w:rPr>
        <w:t xml:space="preserve"> Order</w:t>
      </w:r>
      <w:r w:rsidR="00BD6F5F" w:rsidRPr="00BD6F5F">
        <w:rPr>
          <w:color w:val="000000" w:themeColor="text1"/>
          <w:sz w:val="26"/>
          <w:szCs w:val="26"/>
        </w:rPr>
        <w:t>)</w:t>
      </w:r>
      <w:r w:rsidR="00B87631">
        <w:rPr>
          <w:color w:val="000000" w:themeColor="text1"/>
          <w:sz w:val="26"/>
          <w:szCs w:val="26"/>
        </w:rPr>
        <w:t>.  A</w:t>
      </w:r>
      <w:r w:rsidR="00CF634C">
        <w:rPr>
          <w:color w:val="000000" w:themeColor="text1"/>
          <w:sz w:val="26"/>
          <w:szCs w:val="26"/>
        </w:rPr>
        <w:t> </w:t>
      </w:r>
      <w:r w:rsidR="00B87631">
        <w:rPr>
          <w:color w:val="000000" w:themeColor="text1"/>
          <w:sz w:val="26"/>
          <w:szCs w:val="26"/>
        </w:rPr>
        <w:t xml:space="preserve">subsequent Petition for Rescission was denied. </w:t>
      </w:r>
      <w:r w:rsidR="007070DE">
        <w:rPr>
          <w:color w:val="000000" w:themeColor="text1"/>
          <w:sz w:val="26"/>
          <w:szCs w:val="26"/>
        </w:rPr>
        <w:t xml:space="preserve"> </w:t>
      </w:r>
      <w:r w:rsidR="007070DE" w:rsidRPr="007070DE">
        <w:rPr>
          <w:i/>
          <w:iCs/>
          <w:color w:val="000000" w:themeColor="text1"/>
          <w:sz w:val="26"/>
          <w:szCs w:val="26"/>
        </w:rPr>
        <w:t xml:space="preserve">Petition for Rescission of A. Raymond </w:t>
      </w:r>
      <w:proofErr w:type="spellStart"/>
      <w:r w:rsidR="007070DE" w:rsidRPr="007070DE">
        <w:rPr>
          <w:i/>
          <w:iCs/>
          <w:color w:val="000000" w:themeColor="text1"/>
          <w:sz w:val="26"/>
          <w:szCs w:val="26"/>
        </w:rPr>
        <w:t>Kochis</w:t>
      </w:r>
      <w:proofErr w:type="spellEnd"/>
      <w:r w:rsidR="007070DE" w:rsidRPr="007070DE">
        <w:rPr>
          <w:color w:val="000000" w:themeColor="text1"/>
          <w:sz w:val="26"/>
          <w:szCs w:val="26"/>
        </w:rPr>
        <w:t xml:space="preserve">, </w:t>
      </w:r>
      <w:r w:rsidR="00B87631">
        <w:rPr>
          <w:color w:val="000000" w:themeColor="text1"/>
          <w:sz w:val="26"/>
          <w:szCs w:val="26"/>
        </w:rPr>
        <w:t>(</w:t>
      </w:r>
      <w:r w:rsidR="0088045D" w:rsidRPr="0088045D">
        <w:rPr>
          <w:color w:val="000000" w:themeColor="text1"/>
          <w:sz w:val="26"/>
          <w:szCs w:val="26"/>
        </w:rPr>
        <w:t>Opinion and Order entered September 20, 2018</w:t>
      </w:r>
      <w:r w:rsidR="00B87631">
        <w:rPr>
          <w:color w:val="000000" w:themeColor="text1"/>
          <w:sz w:val="26"/>
          <w:szCs w:val="26"/>
        </w:rPr>
        <w:t>)</w:t>
      </w:r>
      <w:r w:rsidR="00BD6F5F">
        <w:rPr>
          <w:color w:val="000000" w:themeColor="text1"/>
          <w:sz w:val="26"/>
          <w:szCs w:val="26"/>
        </w:rPr>
        <w:t xml:space="preserve"> (</w:t>
      </w:r>
      <w:r w:rsidR="00BD6F5F" w:rsidRPr="006D7DD6">
        <w:rPr>
          <w:i/>
          <w:iCs/>
          <w:color w:val="000000" w:themeColor="text1"/>
          <w:sz w:val="26"/>
          <w:szCs w:val="26"/>
        </w:rPr>
        <w:t>September 2018 Reconsideration Order</w:t>
      </w:r>
      <w:r w:rsidR="00BD6F5F">
        <w:rPr>
          <w:color w:val="000000" w:themeColor="text1"/>
          <w:sz w:val="26"/>
          <w:szCs w:val="26"/>
        </w:rPr>
        <w:t>)</w:t>
      </w:r>
      <w:r w:rsidR="0088045D" w:rsidRPr="0088045D">
        <w:rPr>
          <w:color w:val="000000" w:themeColor="text1"/>
          <w:sz w:val="26"/>
          <w:szCs w:val="26"/>
        </w:rPr>
        <w:t>.</w:t>
      </w:r>
    </w:p>
    <w:p w14:paraId="6BA401EF" w14:textId="13767602" w:rsidR="0088045D" w:rsidRDefault="0088045D" w:rsidP="00762F72">
      <w:pPr>
        <w:widowControl/>
        <w:spacing w:line="360" w:lineRule="auto"/>
        <w:rPr>
          <w:color w:val="000000" w:themeColor="text1"/>
          <w:sz w:val="26"/>
          <w:szCs w:val="26"/>
        </w:rPr>
      </w:pPr>
    </w:p>
    <w:p w14:paraId="2138A3E4" w14:textId="322431E6" w:rsidR="00CA27D6" w:rsidRDefault="00CB605C" w:rsidP="00762F69">
      <w:pPr>
        <w:widowControl/>
        <w:spacing w:line="360" w:lineRule="auto"/>
        <w:ind w:firstLine="1440"/>
        <w:rPr>
          <w:color w:val="000000" w:themeColor="text1"/>
          <w:sz w:val="26"/>
          <w:szCs w:val="26"/>
        </w:rPr>
      </w:pPr>
      <w:r>
        <w:rPr>
          <w:color w:val="000000" w:themeColor="text1"/>
          <w:sz w:val="26"/>
          <w:szCs w:val="26"/>
        </w:rPr>
        <w:t xml:space="preserve">For the reasons set forth below, we will deny the Complainant’s Exceptions </w:t>
      </w:r>
      <w:r w:rsidR="00762F69">
        <w:rPr>
          <w:color w:val="000000" w:themeColor="text1"/>
          <w:sz w:val="26"/>
          <w:szCs w:val="26"/>
        </w:rPr>
        <w:t xml:space="preserve">because </w:t>
      </w:r>
      <w:r w:rsidR="00160A29">
        <w:rPr>
          <w:color w:val="000000" w:themeColor="text1"/>
          <w:sz w:val="26"/>
          <w:szCs w:val="26"/>
        </w:rPr>
        <w:t xml:space="preserve">ALJ Hoyer </w:t>
      </w:r>
      <w:r>
        <w:rPr>
          <w:color w:val="000000" w:themeColor="text1"/>
          <w:sz w:val="26"/>
          <w:szCs w:val="26"/>
        </w:rPr>
        <w:t xml:space="preserve">correctly </w:t>
      </w:r>
      <w:r w:rsidR="00160A29">
        <w:rPr>
          <w:color w:val="000000" w:themeColor="text1"/>
          <w:sz w:val="26"/>
          <w:szCs w:val="26"/>
        </w:rPr>
        <w:t xml:space="preserve">denied the Complaint on the basis of collateral estoppel.  </w:t>
      </w:r>
    </w:p>
    <w:p w14:paraId="48312E89" w14:textId="21D30EFE" w:rsidR="000F61C7" w:rsidRDefault="000F61C7" w:rsidP="00762F72">
      <w:pPr>
        <w:widowControl/>
        <w:spacing w:line="360" w:lineRule="auto"/>
        <w:rPr>
          <w:color w:val="000000" w:themeColor="text1"/>
          <w:sz w:val="26"/>
          <w:szCs w:val="26"/>
        </w:rPr>
      </w:pPr>
    </w:p>
    <w:p w14:paraId="38F2FC38" w14:textId="2F38F05F" w:rsidR="000F61C7" w:rsidRDefault="000F61C7" w:rsidP="00762F69">
      <w:pPr>
        <w:widowControl/>
        <w:spacing w:line="360" w:lineRule="auto"/>
        <w:ind w:firstLine="1440"/>
        <w:rPr>
          <w:color w:val="000000" w:themeColor="text1"/>
          <w:sz w:val="26"/>
          <w:szCs w:val="26"/>
        </w:rPr>
      </w:pPr>
      <w:r>
        <w:rPr>
          <w:color w:val="000000" w:themeColor="text1"/>
          <w:sz w:val="26"/>
          <w:szCs w:val="26"/>
        </w:rPr>
        <w:t xml:space="preserve">In </w:t>
      </w:r>
      <w:r>
        <w:rPr>
          <w:i/>
          <w:iCs/>
          <w:color w:val="000000" w:themeColor="text1"/>
          <w:sz w:val="26"/>
          <w:szCs w:val="26"/>
        </w:rPr>
        <w:t>Hebden v. WCAB (Bethenergy Mines, Inc.)</w:t>
      </w:r>
      <w:r>
        <w:rPr>
          <w:color w:val="000000" w:themeColor="text1"/>
          <w:sz w:val="26"/>
          <w:szCs w:val="26"/>
        </w:rPr>
        <w:t>, 142 Pa. Commw. 176, 597</w:t>
      </w:r>
      <w:r w:rsidR="00CF634C">
        <w:rPr>
          <w:color w:val="000000" w:themeColor="text1"/>
          <w:sz w:val="26"/>
          <w:szCs w:val="26"/>
        </w:rPr>
        <w:t> </w:t>
      </w:r>
      <w:r>
        <w:rPr>
          <w:color w:val="000000" w:themeColor="text1"/>
          <w:sz w:val="26"/>
          <w:szCs w:val="26"/>
        </w:rPr>
        <w:t xml:space="preserve">A.2d 182 (1991) the Pennsylvania Commonwealth Court set forth a detailed explanation of both </w:t>
      </w:r>
      <w:r w:rsidR="00650483">
        <w:rPr>
          <w:color w:val="000000" w:themeColor="text1"/>
          <w:sz w:val="26"/>
          <w:szCs w:val="26"/>
        </w:rPr>
        <w:t>res judicata and collateral estoppel and the different factors that apply to each</w:t>
      </w:r>
      <w:r w:rsidR="007E1930">
        <w:rPr>
          <w:color w:val="000000" w:themeColor="text1"/>
          <w:sz w:val="26"/>
          <w:szCs w:val="26"/>
        </w:rPr>
        <w:t>:</w:t>
      </w:r>
    </w:p>
    <w:p w14:paraId="6E089F99" w14:textId="77777777" w:rsidR="000C6043" w:rsidRPr="000F61C7" w:rsidRDefault="000C6043" w:rsidP="00CF634C">
      <w:pPr>
        <w:widowControl/>
        <w:ind w:firstLine="1440"/>
        <w:rPr>
          <w:color w:val="000000" w:themeColor="text1"/>
          <w:sz w:val="26"/>
          <w:szCs w:val="26"/>
        </w:rPr>
      </w:pPr>
    </w:p>
    <w:p w14:paraId="3347AB41" w14:textId="4CCB92B0" w:rsidR="00452B31" w:rsidRDefault="00CF634C" w:rsidP="00AC661E">
      <w:pPr>
        <w:widowControl/>
        <w:ind w:left="1440" w:right="1440"/>
        <w:rPr>
          <w:color w:val="000000" w:themeColor="text1"/>
          <w:sz w:val="26"/>
          <w:szCs w:val="26"/>
        </w:rPr>
      </w:pPr>
      <w:r>
        <w:rPr>
          <w:color w:val="000000" w:themeColor="text1"/>
          <w:sz w:val="26"/>
          <w:szCs w:val="26"/>
        </w:rPr>
        <w:t>“</w:t>
      </w:r>
      <w:r w:rsidR="00452B31" w:rsidRPr="00452B31">
        <w:rPr>
          <w:color w:val="000000" w:themeColor="text1"/>
          <w:sz w:val="26"/>
          <w:szCs w:val="26"/>
        </w:rPr>
        <w:t>Res judicata</w:t>
      </w:r>
      <w:r>
        <w:rPr>
          <w:color w:val="000000" w:themeColor="text1"/>
          <w:sz w:val="26"/>
          <w:szCs w:val="26"/>
        </w:rPr>
        <w:t>”</w:t>
      </w:r>
      <w:r w:rsidR="00452B31" w:rsidRPr="00452B31">
        <w:rPr>
          <w:color w:val="000000" w:themeColor="text1"/>
          <w:sz w:val="26"/>
          <w:szCs w:val="26"/>
        </w:rPr>
        <w:t xml:space="preserve"> is a generic term used by courts and litigants to refer to the various ways in which a judgment in an action will have a binding effect in a later action. </w:t>
      </w:r>
      <w:r>
        <w:rPr>
          <w:color w:val="000000" w:themeColor="text1"/>
          <w:sz w:val="26"/>
          <w:szCs w:val="26"/>
        </w:rPr>
        <w:t xml:space="preserve"> </w:t>
      </w:r>
      <w:r w:rsidR="00452B31" w:rsidRPr="00452B31">
        <w:rPr>
          <w:i/>
          <w:iCs/>
          <w:color w:val="000000" w:themeColor="text1"/>
          <w:sz w:val="26"/>
          <w:szCs w:val="26"/>
        </w:rPr>
        <w:t>Clark v. Troutman,</w:t>
      </w:r>
      <w:r w:rsidR="00452B31" w:rsidRPr="00452B31">
        <w:rPr>
          <w:color w:val="000000" w:themeColor="text1"/>
          <w:sz w:val="26"/>
          <w:szCs w:val="26"/>
        </w:rPr>
        <w:t xml:space="preserve"> </w:t>
      </w:r>
      <w:r w:rsidR="00452B31" w:rsidRPr="009415D4">
        <w:rPr>
          <w:sz w:val="26"/>
          <w:szCs w:val="26"/>
        </w:rPr>
        <w:t>509 Pa. 336</w:t>
      </w:r>
      <w:r w:rsidR="00452B31" w:rsidRPr="00452B31">
        <w:rPr>
          <w:color w:val="000000" w:themeColor="text1"/>
          <w:sz w:val="26"/>
          <w:szCs w:val="26"/>
        </w:rPr>
        <w:t xml:space="preserve">, 342, </w:t>
      </w:r>
      <w:r w:rsidR="00452B31" w:rsidRPr="009415D4">
        <w:rPr>
          <w:sz w:val="26"/>
          <w:szCs w:val="26"/>
        </w:rPr>
        <w:t>502 A.2d 137</w:t>
      </w:r>
      <w:r w:rsidR="00452B31" w:rsidRPr="00452B31">
        <w:rPr>
          <w:color w:val="000000" w:themeColor="text1"/>
          <w:sz w:val="26"/>
          <w:szCs w:val="26"/>
        </w:rPr>
        <w:t xml:space="preserve">, 139 (1985). </w:t>
      </w:r>
      <w:r>
        <w:rPr>
          <w:color w:val="000000" w:themeColor="text1"/>
          <w:sz w:val="26"/>
          <w:szCs w:val="26"/>
        </w:rPr>
        <w:t xml:space="preserve"> </w:t>
      </w:r>
      <w:r w:rsidR="00452B31" w:rsidRPr="00452B31">
        <w:rPr>
          <w:color w:val="000000" w:themeColor="text1"/>
          <w:sz w:val="26"/>
          <w:szCs w:val="26"/>
        </w:rPr>
        <w:t xml:space="preserve">The generic term refers to two related principles, </w:t>
      </w:r>
      <w:r>
        <w:rPr>
          <w:color w:val="000000" w:themeColor="text1"/>
          <w:sz w:val="26"/>
          <w:szCs w:val="26"/>
        </w:rPr>
        <w:t>“</w:t>
      </w:r>
      <w:r w:rsidR="00452B31" w:rsidRPr="00452B31">
        <w:rPr>
          <w:color w:val="000000" w:themeColor="text1"/>
          <w:sz w:val="26"/>
          <w:szCs w:val="26"/>
        </w:rPr>
        <w:t>technical res judicata</w:t>
      </w:r>
      <w:r>
        <w:rPr>
          <w:color w:val="000000" w:themeColor="text1"/>
          <w:sz w:val="26"/>
          <w:szCs w:val="26"/>
        </w:rPr>
        <w:t>”</w:t>
      </w:r>
      <w:r w:rsidR="00452B31" w:rsidRPr="00452B31">
        <w:rPr>
          <w:color w:val="000000" w:themeColor="text1"/>
          <w:sz w:val="26"/>
          <w:szCs w:val="26"/>
        </w:rPr>
        <w:t xml:space="preserve"> (sometimes called </w:t>
      </w:r>
      <w:r>
        <w:rPr>
          <w:color w:val="000000" w:themeColor="text1"/>
          <w:sz w:val="26"/>
          <w:szCs w:val="26"/>
        </w:rPr>
        <w:t>“</w:t>
      </w:r>
      <w:r w:rsidR="00452B31" w:rsidRPr="00452B31">
        <w:rPr>
          <w:color w:val="000000" w:themeColor="text1"/>
          <w:sz w:val="26"/>
          <w:szCs w:val="26"/>
        </w:rPr>
        <w:t>strict res judicata</w:t>
      </w:r>
      <w:r>
        <w:rPr>
          <w:color w:val="000000" w:themeColor="text1"/>
          <w:sz w:val="26"/>
          <w:szCs w:val="26"/>
        </w:rPr>
        <w:t>”</w:t>
      </w:r>
      <w:r w:rsidR="00452B31" w:rsidRPr="00452B31">
        <w:rPr>
          <w:color w:val="000000" w:themeColor="text1"/>
          <w:sz w:val="26"/>
          <w:szCs w:val="26"/>
        </w:rPr>
        <w:t xml:space="preserve">), and </w:t>
      </w:r>
      <w:r>
        <w:rPr>
          <w:color w:val="000000" w:themeColor="text1"/>
          <w:sz w:val="26"/>
          <w:szCs w:val="26"/>
        </w:rPr>
        <w:t>“</w:t>
      </w:r>
      <w:r w:rsidR="00452B31" w:rsidRPr="00452B31">
        <w:rPr>
          <w:color w:val="000000" w:themeColor="text1"/>
          <w:sz w:val="26"/>
          <w:szCs w:val="26"/>
        </w:rPr>
        <w:t>broad res judicata</w:t>
      </w:r>
      <w:r>
        <w:rPr>
          <w:color w:val="000000" w:themeColor="text1"/>
          <w:sz w:val="26"/>
          <w:szCs w:val="26"/>
        </w:rPr>
        <w:t>”</w:t>
      </w:r>
      <w:r w:rsidR="00452B31" w:rsidRPr="00452B31">
        <w:rPr>
          <w:color w:val="000000" w:themeColor="text1"/>
          <w:sz w:val="26"/>
          <w:szCs w:val="26"/>
        </w:rPr>
        <w:t xml:space="preserve"> (frequently called </w:t>
      </w:r>
      <w:r>
        <w:rPr>
          <w:color w:val="000000" w:themeColor="text1"/>
          <w:sz w:val="26"/>
          <w:szCs w:val="26"/>
        </w:rPr>
        <w:t>“</w:t>
      </w:r>
      <w:r w:rsidR="00452B31" w:rsidRPr="00452B31">
        <w:rPr>
          <w:color w:val="000000" w:themeColor="text1"/>
          <w:sz w:val="26"/>
          <w:szCs w:val="26"/>
        </w:rPr>
        <w:t>collateral estoppel</w:t>
      </w:r>
      <w:r>
        <w:rPr>
          <w:color w:val="000000" w:themeColor="text1"/>
          <w:sz w:val="26"/>
          <w:szCs w:val="26"/>
        </w:rPr>
        <w:t>”</w:t>
      </w:r>
      <w:r w:rsidR="00452B31" w:rsidRPr="00452B31">
        <w:rPr>
          <w:color w:val="000000" w:themeColor="text1"/>
          <w:sz w:val="26"/>
          <w:szCs w:val="26"/>
        </w:rPr>
        <w:t xml:space="preserve">). </w:t>
      </w:r>
      <w:r>
        <w:rPr>
          <w:color w:val="000000" w:themeColor="text1"/>
          <w:sz w:val="26"/>
          <w:szCs w:val="26"/>
        </w:rPr>
        <w:t xml:space="preserve"> </w:t>
      </w:r>
      <w:r w:rsidR="00452B31" w:rsidRPr="00452B31">
        <w:rPr>
          <w:i/>
          <w:iCs/>
          <w:color w:val="000000" w:themeColor="text1"/>
          <w:sz w:val="26"/>
          <w:szCs w:val="26"/>
        </w:rPr>
        <w:t>Patel v. Workmen's Compensation Appeal Board (Sauquoit Fibers Co.),</w:t>
      </w:r>
      <w:r w:rsidR="00452B31" w:rsidRPr="00452B31">
        <w:rPr>
          <w:color w:val="000000" w:themeColor="text1"/>
          <w:sz w:val="26"/>
          <w:szCs w:val="26"/>
        </w:rPr>
        <w:t xml:space="preserve"> 88 Pa.Commonwealth Ct. 76, 79, 488 A.2d 1177, 1179 (1985).</w:t>
      </w:r>
    </w:p>
    <w:p w14:paraId="4194194A" w14:textId="77777777" w:rsidR="00762F69" w:rsidRPr="00452B31" w:rsidRDefault="00762F69" w:rsidP="00AC661E">
      <w:pPr>
        <w:widowControl/>
        <w:ind w:left="1440" w:right="1440"/>
        <w:rPr>
          <w:color w:val="000000" w:themeColor="text1"/>
          <w:sz w:val="26"/>
          <w:szCs w:val="26"/>
        </w:rPr>
      </w:pPr>
    </w:p>
    <w:p w14:paraId="426E5BED" w14:textId="2E90A376" w:rsidR="00452B31" w:rsidRDefault="00452B31" w:rsidP="00AC661E">
      <w:pPr>
        <w:widowControl/>
        <w:ind w:left="1440" w:right="1440"/>
        <w:rPr>
          <w:color w:val="000000" w:themeColor="text1"/>
          <w:sz w:val="26"/>
          <w:szCs w:val="26"/>
          <w:vertAlign w:val="superscript"/>
        </w:rPr>
      </w:pPr>
      <w:r w:rsidRPr="00452B31">
        <w:rPr>
          <w:color w:val="000000" w:themeColor="text1"/>
          <w:sz w:val="26"/>
          <w:szCs w:val="26"/>
        </w:rPr>
        <w:t xml:space="preserve">As Mr. Justice Roberts explained in </w:t>
      </w:r>
      <w:r w:rsidRPr="00452B31">
        <w:rPr>
          <w:i/>
          <w:iCs/>
          <w:color w:val="000000" w:themeColor="text1"/>
          <w:sz w:val="26"/>
          <w:szCs w:val="26"/>
        </w:rPr>
        <w:t>Duquesne Slag Products Co. v. Lench,</w:t>
      </w:r>
      <w:r w:rsidRPr="00452B31">
        <w:rPr>
          <w:color w:val="000000" w:themeColor="text1"/>
          <w:sz w:val="26"/>
          <w:szCs w:val="26"/>
        </w:rPr>
        <w:t xml:space="preserve"> </w:t>
      </w:r>
      <w:r w:rsidRPr="009415D4">
        <w:rPr>
          <w:sz w:val="26"/>
          <w:szCs w:val="26"/>
        </w:rPr>
        <w:t>490 Pa. 102</w:t>
      </w:r>
      <w:r w:rsidRPr="00452B31">
        <w:rPr>
          <w:color w:val="000000" w:themeColor="text1"/>
          <w:sz w:val="26"/>
          <w:szCs w:val="26"/>
        </w:rPr>
        <w:t xml:space="preserve">, </w:t>
      </w:r>
      <w:r w:rsidRPr="009415D4">
        <w:rPr>
          <w:sz w:val="26"/>
          <w:szCs w:val="26"/>
        </w:rPr>
        <w:t xml:space="preserve">415 A.2d 53 </w:t>
      </w:r>
      <w:r w:rsidRPr="00452B31">
        <w:rPr>
          <w:color w:val="000000" w:themeColor="text1"/>
          <w:sz w:val="26"/>
          <w:szCs w:val="26"/>
        </w:rPr>
        <w:t>(1980), the "modern res judicata doctrine" encompasses two different, though related ways</w:t>
      </w:r>
      <w:r>
        <w:rPr>
          <w:color w:val="000000" w:themeColor="text1"/>
          <w:sz w:val="26"/>
          <w:szCs w:val="26"/>
        </w:rPr>
        <w:t xml:space="preserve"> </w:t>
      </w:r>
      <w:r w:rsidRPr="00452B31">
        <w:rPr>
          <w:color w:val="000000" w:themeColor="text1"/>
          <w:sz w:val="26"/>
          <w:szCs w:val="26"/>
        </w:rPr>
        <w:t>in which a judgment in one action will have a binding effect on another. This includes the effect of the former judgment where the later action proceeds on all or part of the very claim which was the subject of the former. In traditional terminology, this effect is called merger or bar; in modern terminology it is called claim preclusion. A second effect is traditionally known as collateral estoppel and modernly called issue preclusion. It has to do with an issue determined in a first action when the same issue arises in a later action based upon a different claim or demand.</w:t>
      </w:r>
      <w:r>
        <w:rPr>
          <w:color w:val="000000" w:themeColor="text1"/>
          <w:sz w:val="26"/>
          <w:szCs w:val="26"/>
        </w:rPr>
        <w:t xml:space="preserve"> </w:t>
      </w:r>
      <w:r w:rsidRPr="00452B31">
        <w:rPr>
          <w:color w:val="000000" w:themeColor="text1"/>
          <w:sz w:val="26"/>
          <w:szCs w:val="26"/>
        </w:rPr>
        <w:t xml:space="preserve">490 Pa. at 107, </w:t>
      </w:r>
      <w:r w:rsidRPr="009415D4">
        <w:rPr>
          <w:sz w:val="26"/>
          <w:szCs w:val="26"/>
        </w:rPr>
        <w:t xml:space="preserve">415 A.2d at 55 </w:t>
      </w:r>
      <w:r w:rsidRPr="00452B31">
        <w:rPr>
          <w:color w:val="000000" w:themeColor="text1"/>
          <w:sz w:val="26"/>
          <w:szCs w:val="26"/>
        </w:rPr>
        <w:t>(Roberts, J., dissenting) (quoting F.</w:t>
      </w:r>
      <w:r w:rsidR="00BC2C38">
        <w:rPr>
          <w:color w:val="000000" w:themeColor="text1"/>
          <w:sz w:val="26"/>
          <w:szCs w:val="26"/>
        </w:rPr>
        <w:t> </w:t>
      </w:r>
      <w:r w:rsidRPr="00452B31">
        <w:rPr>
          <w:color w:val="000000" w:themeColor="text1"/>
          <w:sz w:val="26"/>
          <w:szCs w:val="26"/>
        </w:rPr>
        <w:t xml:space="preserve">James, Jr. and G. Hazard, Jr., </w:t>
      </w:r>
      <w:r w:rsidRPr="00452B31">
        <w:rPr>
          <w:i/>
          <w:iCs/>
          <w:color w:val="000000" w:themeColor="text1"/>
          <w:sz w:val="26"/>
          <w:szCs w:val="26"/>
        </w:rPr>
        <w:t>Civil Procedure</w:t>
      </w:r>
      <w:r w:rsidRPr="00452B31">
        <w:rPr>
          <w:color w:val="000000" w:themeColor="text1"/>
          <w:sz w:val="26"/>
          <w:szCs w:val="26"/>
        </w:rPr>
        <w:t xml:space="preserve"> 532 (2d ed. 1977)). </w:t>
      </w:r>
      <w:r w:rsidRPr="00452B31">
        <w:rPr>
          <w:i/>
          <w:iCs/>
          <w:color w:val="000000" w:themeColor="text1"/>
          <w:sz w:val="26"/>
          <w:szCs w:val="26"/>
        </w:rPr>
        <w:t>See</w:t>
      </w:r>
      <w:r w:rsidRPr="00452B31">
        <w:rPr>
          <w:color w:val="000000" w:themeColor="text1"/>
          <w:sz w:val="26"/>
          <w:szCs w:val="26"/>
        </w:rPr>
        <w:t xml:space="preserve"> Restatement (Second) of Judgments, § 18 (Judgment for Plaintiff-The General Rule of Merger), § 19 (Judgment for Defendant  The General Rule of Bar), and §</w:t>
      </w:r>
      <w:r w:rsidR="00BC2C38">
        <w:rPr>
          <w:color w:val="000000" w:themeColor="text1"/>
          <w:sz w:val="26"/>
          <w:szCs w:val="26"/>
        </w:rPr>
        <w:t> </w:t>
      </w:r>
      <w:r w:rsidRPr="00452B31">
        <w:rPr>
          <w:color w:val="000000" w:themeColor="text1"/>
          <w:sz w:val="26"/>
          <w:szCs w:val="26"/>
        </w:rPr>
        <w:t>27 (Issue Preclusion-General Rule).</w:t>
      </w:r>
      <w:r w:rsidRPr="00452B31">
        <w:rPr>
          <w:color w:val="000000" w:themeColor="text1"/>
          <w:sz w:val="26"/>
          <w:szCs w:val="26"/>
          <w:vertAlign w:val="superscript"/>
        </w:rPr>
        <w:t>[4]</w:t>
      </w:r>
    </w:p>
    <w:p w14:paraId="7B70D94A" w14:textId="77777777" w:rsidR="00762F69" w:rsidRPr="00452B31" w:rsidRDefault="00762F69" w:rsidP="00AC661E">
      <w:pPr>
        <w:widowControl/>
        <w:ind w:left="1440" w:right="1440"/>
        <w:rPr>
          <w:color w:val="000000" w:themeColor="text1"/>
          <w:sz w:val="26"/>
          <w:szCs w:val="26"/>
        </w:rPr>
      </w:pPr>
    </w:p>
    <w:p w14:paraId="1EC95928" w14:textId="38C75130" w:rsidR="00452B31" w:rsidRDefault="00452B31" w:rsidP="00AC661E">
      <w:pPr>
        <w:widowControl/>
        <w:ind w:left="1440" w:right="1440"/>
        <w:rPr>
          <w:color w:val="000000" w:themeColor="text1"/>
          <w:sz w:val="26"/>
          <w:szCs w:val="26"/>
        </w:rPr>
      </w:pPr>
      <w:r w:rsidRPr="00452B31">
        <w:rPr>
          <w:color w:val="000000" w:themeColor="text1"/>
          <w:sz w:val="26"/>
          <w:szCs w:val="26"/>
        </w:rPr>
        <w:t xml:space="preserve">The modern principle of claim preclusion is that a final, valid judgment on the merits by a court of competent jurisdiction precludes any future suit or action between the parties or their privies on the same cause of action. </w:t>
      </w:r>
      <w:r w:rsidRPr="00452B31">
        <w:rPr>
          <w:i/>
          <w:iCs/>
          <w:color w:val="000000" w:themeColor="text1"/>
          <w:sz w:val="26"/>
          <w:szCs w:val="26"/>
        </w:rPr>
        <w:t>Zarnecki v. Shepegi,</w:t>
      </w:r>
      <w:r w:rsidRPr="00452B31">
        <w:rPr>
          <w:color w:val="000000" w:themeColor="text1"/>
          <w:sz w:val="26"/>
          <w:szCs w:val="26"/>
        </w:rPr>
        <w:t xml:space="preserve"> 367</w:t>
      </w:r>
      <w:r w:rsidR="00BC2C38">
        <w:rPr>
          <w:color w:val="000000" w:themeColor="text1"/>
          <w:sz w:val="26"/>
          <w:szCs w:val="26"/>
        </w:rPr>
        <w:t> </w:t>
      </w:r>
      <w:r w:rsidRPr="00452B31">
        <w:rPr>
          <w:color w:val="000000" w:themeColor="text1"/>
          <w:sz w:val="26"/>
          <w:szCs w:val="26"/>
        </w:rPr>
        <w:t xml:space="preserve">Pa.Superior Ct. 230, 236, </w:t>
      </w:r>
      <w:r w:rsidRPr="009415D4">
        <w:rPr>
          <w:sz w:val="26"/>
          <w:szCs w:val="26"/>
        </w:rPr>
        <w:t>532 A.2d 873</w:t>
      </w:r>
      <w:r w:rsidRPr="00452B31">
        <w:rPr>
          <w:color w:val="000000" w:themeColor="text1"/>
          <w:sz w:val="26"/>
          <w:szCs w:val="26"/>
        </w:rPr>
        <w:t xml:space="preserve">, 877 (1987), </w:t>
      </w:r>
      <w:r w:rsidRPr="00452B31">
        <w:rPr>
          <w:i/>
          <w:iCs/>
          <w:color w:val="000000" w:themeColor="text1"/>
          <w:sz w:val="26"/>
          <w:szCs w:val="26"/>
        </w:rPr>
        <w:t>appeal denied,</w:t>
      </w:r>
      <w:r w:rsidRPr="00452B31">
        <w:rPr>
          <w:color w:val="000000" w:themeColor="text1"/>
          <w:sz w:val="26"/>
          <w:szCs w:val="26"/>
        </w:rPr>
        <w:t xml:space="preserve"> 518 Pa. 643, 542 A.2d 1371 (1988). The "fundamental principle" underlying the rule of claim preclusion is that a judgment should be "conclusive as between the parties and their privies in respect to every fact which properly could have been considered in reaching the determination and in respect to all points of law relating directly to the cause of action and affecting the subject matter before the court." </w:t>
      </w:r>
      <w:r w:rsidRPr="00452B31">
        <w:rPr>
          <w:i/>
          <w:iCs/>
          <w:color w:val="000000" w:themeColor="text1"/>
          <w:sz w:val="26"/>
          <w:szCs w:val="26"/>
        </w:rPr>
        <w:t>Bearoff v. Bearoff Brothers, Inc.,</w:t>
      </w:r>
      <w:r w:rsidRPr="00452B31">
        <w:rPr>
          <w:color w:val="000000" w:themeColor="text1"/>
          <w:sz w:val="26"/>
          <w:szCs w:val="26"/>
        </w:rPr>
        <w:t xml:space="preserve"> </w:t>
      </w:r>
      <w:r w:rsidRPr="009415D4">
        <w:rPr>
          <w:sz w:val="26"/>
          <w:szCs w:val="26"/>
        </w:rPr>
        <w:t>458</w:t>
      </w:r>
      <w:r w:rsidR="00BC2C38">
        <w:rPr>
          <w:sz w:val="26"/>
          <w:szCs w:val="26"/>
        </w:rPr>
        <w:t> </w:t>
      </w:r>
      <w:r w:rsidRPr="009415D4">
        <w:rPr>
          <w:sz w:val="26"/>
          <w:szCs w:val="26"/>
        </w:rPr>
        <w:t>Pa.</w:t>
      </w:r>
      <w:r w:rsidR="00BC2C38">
        <w:rPr>
          <w:sz w:val="26"/>
          <w:szCs w:val="26"/>
        </w:rPr>
        <w:t> </w:t>
      </w:r>
      <w:r w:rsidRPr="009415D4">
        <w:rPr>
          <w:sz w:val="26"/>
          <w:szCs w:val="26"/>
        </w:rPr>
        <w:t>494</w:t>
      </w:r>
      <w:r w:rsidRPr="00452B31">
        <w:rPr>
          <w:color w:val="000000" w:themeColor="text1"/>
          <w:sz w:val="26"/>
          <w:szCs w:val="26"/>
        </w:rPr>
        <w:t xml:space="preserve">, 498, 327 A.2d 72, 75 (1974). Claim preclusion applies not only to matters which were actually litigated, but also to matters which should have been litigated at the first proceeding if they were part of the same cause of action. </w:t>
      </w:r>
      <w:r w:rsidRPr="00452B31">
        <w:rPr>
          <w:i/>
          <w:iCs/>
          <w:color w:val="000000" w:themeColor="text1"/>
          <w:sz w:val="26"/>
          <w:szCs w:val="26"/>
        </w:rPr>
        <w:t>Andersen v. Workmen's Compensation Appeal Board (National Forge Co.),</w:t>
      </w:r>
      <w:r w:rsidRPr="00452B31">
        <w:rPr>
          <w:color w:val="000000" w:themeColor="text1"/>
          <w:sz w:val="26"/>
          <w:szCs w:val="26"/>
        </w:rPr>
        <w:t xml:space="preserve"> 113 Pa.Commonwealth Ct. 601, 604, </w:t>
      </w:r>
      <w:r w:rsidRPr="009415D4">
        <w:rPr>
          <w:sz w:val="26"/>
          <w:szCs w:val="26"/>
        </w:rPr>
        <w:t>537 A.2d 971</w:t>
      </w:r>
      <w:r w:rsidRPr="00452B31">
        <w:rPr>
          <w:color w:val="000000" w:themeColor="text1"/>
          <w:sz w:val="26"/>
          <w:szCs w:val="26"/>
        </w:rPr>
        <w:t>, 973 (1988).</w:t>
      </w:r>
    </w:p>
    <w:p w14:paraId="281E2458" w14:textId="77777777" w:rsidR="00762F69" w:rsidRPr="00452B31" w:rsidRDefault="00762F69" w:rsidP="00AC661E">
      <w:pPr>
        <w:widowControl/>
        <w:ind w:left="1440" w:right="1440"/>
        <w:rPr>
          <w:color w:val="000000" w:themeColor="text1"/>
          <w:sz w:val="26"/>
          <w:szCs w:val="26"/>
        </w:rPr>
      </w:pPr>
    </w:p>
    <w:p w14:paraId="2D6E2701" w14:textId="6D33A75B" w:rsidR="00452B31" w:rsidRDefault="00452B31" w:rsidP="00AC661E">
      <w:pPr>
        <w:widowControl/>
        <w:ind w:left="1440" w:right="1440"/>
        <w:rPr>
          <w:color w:val="000000" w:themeColor="text1"/>
          <w:sz w:val="26"/>
          <w:szCs w:val="26"/>
        </w:rPr>
      </w:pPr>
      <w:r w:rsidRPr="00452B31">
        <w:rPr>
          <w:color w:val="000000" w:themeColor="text1"/>
          <w:sz w:val="26"/>
          <w:szCs w:val="26"/>
        </w:rPr>
        <w:t xml:space="preserve">Issue preclusion, traditionally known as collateral estoppel or broad res judicata, </w:t>
      </w:r>
      <w:r w:rsidR="00AB30BD">
        <w:rPr>
          <w:color w:val="000000" w:themeColor="text1"/>
          <w:sz w:val="26"/>
          <w:szCs w:val="26"/>
        </w:rPr>
        <w:t>“</w:t>
      </w:r>
      <w:r w:rsidRPr="00452B31">
        <w:rPr>
          <w:color w:val="000000" w:themeColor="text1"/>
          <w:sz w:val="26"/>
          <w:szCs w:val="26"/>
        </w:rPr>
        <w:t>forecloses re-litigation in a later action, of an issue of fact or law which was actually litigated and which was necessary to the original judgment.</w:t>
      </w:r>
      <w:r w:rsidR="00AB30BD">
        <w:rPr>
          <w:color w:val="000000" w:themeColor="text1"/>
          <w:sz w:val="26"/>
          <w:szCs w:val="26"/>
        </w:rPr>
        <w:t>”</w:t>
      </w:r>
      <w:r w:rsidRPr="00452B31">
        <w:rPr>
          <w:color w:val="000000" w:themeColor="text1"/>
          <w:sz w:val="26"/>
          <w:szCs w:val="26"/>
        </w:rPr>
        <w:t xml:space="preserve"> </w:t>
      </w:r>
      <w:r w:rsidRPr="00452B31">
        <w:rPr>
          <w:i/>
          <w:iCs/>
          <w:color w:val="000000" w:themeColor="text1"/>
          <w:sz w:val="26"/>
          <w:szCs w:val="26"/>
        </w:rPr>
        <w:t>City of Pittsburgh v. Zoning Board of Adjustment,</w:t>
      </w:r>
      <w:r w:rsidRPr="00452B31">
        <w:rPr>
          <w:color w:val="000000" w:themeColor="text1"/>
          <w:sz w:val="26"/>
          <w:szCs w:val="26"/>
        </w:rPr>
        <w:t xml:space="preserve"> </w:t>
      </w:r>
      <w:r w:rsidRPr="009415D4">
        <w:rPr>
          <w:sz w:val="26"/>
          <w:szCs w:val="26"/>
        </w:rPr>
        <w:t>522 Pa. 44</w:t>
      </w:r>
      <w:r w:rsidRPr="00452B31">
        <w:rPr>
          <w:color w:val="000000" w:themeColor="text1"/>
          <w:sz w:val="26"/>
          <w:szCs w:val="26"/>
        </w:rPr>
        <w:t xml:space="preserve">, 55, </w:t>
      </w:r>
      <w:r w:rsidRPr="009415D4">
        <w:rPr>
          <w:sz w:val="26"/>
          <w:szCs w:val="26"/>
        </w:rPr>
        <w:t>559 A.2d 896</w:t>
      </w:r>
      <w:r w:rsidRPr="00452B31">
        <w:rPr>
          <w:color w:val="000000" w:themeColor="text1"/>
          <w:sz w:val="26"/>
          <w:szCs w:val="26"/>
        </w:rPr>
        <w:t xml:space="preserve">, 901 (1989); </w:t>
      </w:r>
      <w:r w:rsidRPr="00452B31">
        <w:rPr>
          <w:i/>
          <w:iCs/>
          <w:color w:val="000000" w:themeColor="text1"/>
          <w:sz w:val="26"/>
          <w:szCs w:val="26"/>
        </w:rPr>
        <w:t>see also</w:t>
      </w:r>
      <w:r w:rsidRPr="00452B31">
        <w:rPr>
          <w:color w:val="000000" w:themeColor="text1"/>
          <w:sz w:val="26"/>
          <w:szCs w:val="26"/>
        </w:rPr>
        <w:t xml:space="preserve"> </w:t>
      </w:r>
      <w:r w:rsidRPr="00452B31">
        <w:rPr>
          <w:i/>
          <w:iCs/>
          <w:color w:val="000000" w:themeColor="text1"/>
          <w:sz w:val="26"/>
          <w:szCs w:val="26"/>
        </w:rPr>
        <w:t>Odgers v. Unemployment Compensation Board of Review,</w:t>
      </w:r>
      <w:r w:rsidRPr="00452B31">
        <w:rPr>
          <w:color w:val="000000" w:themeColor="text1"/>
          <w:sz w:val="26"/>
          <w:szCs w:val="26"/>
        </w:rPr>
        <w:t xml:space="preserve"> </w:t>
      </w:r>
      <w:r w:rsidRPr="009415D4">
        <w:rPr>
          <w:sz w:val="26"/>
          <w:szCs w:val="26"/>
        </w:rPr>
        <w:t>514 Pa. 378</w:t>
      </w:r>
      <w:r w:rsidRPr="00452B31">
        <w:rPr>
          <w:color w:val="000000" w:themeColor="text1"/>
          <w:sz w:val="26"/>
          <w:szCs w:val="26"/>
        </w:rPr>
        <w:t xml:space="preserve">, 387 n. 13, </w:t>
      </w:r>
      <w:r w:rsidRPr="009415D4">
        <w:rPr>
          <w:sz w:val="26"/>
          <w:szCs w:val="26"/>
        </w:rPr>
        <w:t>525 A.2d 359</w:t>
      </w:r>
      <w:r w:rsidRPr="00452B31">
        <w:rPr>
          <w:color w:val="000000" w:themeColor="text1"/>
          <w:sz w:val="26"/>
          <w:szCs w:val="26"/>
        </w:rPr>
        <w:t xml:space="preserve">, 364 n. 13 (1987). Unlike claim preclusion, there is no requirement that there be an identity of parties between the two actions to preclude relitigation of an issue, and issue preclusion may be asserted as either a </w:t>
      </w:r>
      <w:r w:rsidR="00AB30BD">
        <w:rPr>
          <w:color w:val="000000" w:themeColor="text1"/>
          <w:sz w:val="26"/>
          <w:szCs w:val="26"/>
        </w:rPr>
        <w:t>“</w:t>
      </w:r>
      <w:r w:rsidRPr="00452B31">
        <w:rPr>
          <w:color w:val="000000" w:themeColor="text1"/>
          <w:sz w:val="26"/>
          <w:szCs w:val="26"/>
        </w:rPr>
        <w:t>sword or a shield</w:t>
      </w:r>
      <w:r w:rsidR="00AB30BD">
        <w:rPr>
          <w:color w:val="000000" w:themeColor="text1"/>
          <w:sz w:val="26"/>
          <w:szCs w:val="26"/>
        </w:rPr>
        <w:t>”</w:t>
      </w:r>
      <w:r w:rsidRPr="00452B31">
        <w:rPr>
          <w:color w:val="000000" w:themeColor="text1"/>
          <w:sz w:val="26"/>
          <w:szCs w:val="26"/>
        </w:rPr>
        <w:t xml:space="preserve"> by a stranger to the prior action as long as the party against whom it is asserted was a party or in privity with a party. </w:t>
      </w:r>
      <w:r w:rsidRPr="00452B31">
        <w:rPr>
          <w:i/>
          <w:iCs/>
          <w:color w:val="000000" w:themeColor="text1"/>
          <w:sz w:val="26"/>
          <w:szCs w:val="26"/>
        </w:rPr>
        <w:t>Calesnick v. Board of Finance &amp; Revenue,</w:t>
      </w:r>
      <w:r w:rsidRPr="00452B31">
        <w:rPr>
          <w:color w:val="000000" w:themeColor="text1"/>
          <w:sz w:val="26"/>
          <w:szCs w:val="26"/>
        </w:rPr>
        <w:t xml:space="preserve"> 114 Pa.Commonwealth Ct. 292, 298, </w:t>
      </w:r>
      <w:r w:rsidRPr="009415D4">
        <w:rPr>
          <w:sz w:val="26"/>
          <w:szCs w:val="26"/>
        </w:rPr>
        <w:t>538 A.2d 989</w:t>
      </w:r>
      <w:r w:rsidRPr="00452B31">
        <w:rPr>
          <w:color w:val="000000" w:themeColor="text1"/>
          <w:sz w:val="26"/>
          <w:szCs w:val="26"/>
        </w:rPr>
        <w:t xml:space="preserve">, 991 (1988), (quoting </w:t>
      </w:r>
      <w:r w:rsidRPr="00452B31">
        <w:rPr>
          <w:i/>
          <w:iCs/>
          <w:color w:val="000000" w:themeColor="text1"/>
          <w:sz w:val="26"/>
          <w:szCs w:val="26"/>
        </w:rPr>
        <w:t>Day v. Volkswagenwerk Aktiengesellschaft,</w:t>
      </w:r>
      <w:r w:rsidRPr="00452B31">
        <w:rPr>
          <w:color w:val="000000" w:themeColor="text1"/>
          <w:sz w:val="26"/>
          <w:szCs w:val="26"/>
        </w:rPr>
        <w:t xml:space="preserve"> 318 Pa.Superior Ct. 225, 236-37, </w:t>
      </w:r>
      <w:r w:rsidRPr="009415D4">
        <w:rPr>
          <w:sz w:val="26"/>
          <w:szCs w:val="26"/>
        </w:rPr>
        <w:t>464</w:t>
      </w:r>
      <w:r w:rsidR="00AB30BD">
        <w:rPr>
          <w:sz w:val="26"/>
          <w:szCs w:val="26"/>
        </w:rPr>
        <w:t> </w:t>
      </w:r>
      <w:r w:rsidRPr="009415D4">
        <w:rPr>
          <w:sz w:val="26"/>
          <w:szCs w:val="26"/>
        </w:rPr>
        <w:t>A.2d 1313</w:t>
      </w:r>
      <w:r w:rsidRPr="00452B31">
        <w:rPr>
          <w:color w:val="000000" w:themeColor="text1"/>
          <w:sz w:val="26"/>
          <w:szCs w:val="26"/>
        </w:rPr>
        <w:t xml:space="preserve">, 1318-19 (1983)); </w:t>
      </w:r>
      <w:r w:rsidRPr="00452B31">
        <w:rPr>
          <w:i/>
          <w:iCs/>
          <w:color w:val="000000" w:themeColor="text1"/>
          <w:sz w:val="26"/>
          <w:szCs w:val="26"/>
        </w:rPr>
        <w:t>see also In re Estate of Ellis,</w:t>
      </w:r>
      <w:r w:rsidRPr="00452B31">
        <w:rPr>
          <w:color w:val="000000" w:themeColor="text1"/>
          <w:sz w:val="26"/>
          <w:szCs w:val="26"/>
        </w:rPr>
        <w:t xml:space="preserve"> </w:t>
      </w:r>
      <w:r w:rsidRPr="009415D4">
        <w:rPr>
          <w:sz w:val="26"/>
          <w:szCs w:val="26"/>
        </w:rPr>
        <w:t>460 Pa. 281</w:t>
      </w:r>
      <w:r w:rsidRPr="00452B31">
        <w:rPr>
          <w:color w:val="000000" w:themeColor="text1"/>
          <w:sz w:val="26"/>
          <w:szCs w:val="26"/>
        </w:rPr>
        <w:t xml:space="preserve">, </w:t>
      </w:r>
      <w:r w:rsidRPr="009415D4">
        <w:rPr>
          <w:sz w:val="26"/>
          <w:szCs w:val="26"/>
        </w:rPr>
        <w:t xml:space="preserve">333 A.2d 728 </w:t>
      </w:r>
      <w:r w:rsidRPr="00452B31">
        <w:rPr>
          <w:color w:val="000000" w:themeColor="text1"/>
          <w:sz w:val="26"/>
          <w:szCs w:val="26"/>
        </w:rPr>
        <w:t xml:space="preserve">(1975) (discarding </w:t>
      </w:r>
      <w:r w:rsidR="00AB30BD">
        <w:rPr>
          <w:color w:val="000000" w:themeColor="text1"/>
          <w:sz w:val="26"/>
          <w:szCs w:val="26"/>
        </w:rPr>
        <w:t>“</w:t>
      </w:r>
      <w:r w:rsidRPr="00452B31">
        <w:rPr>
          <w:color w:val="000000" w:themeColor="text1"/>
          <w:sz w:val="26"/>
          <w:szCs w:val="26"/>
        </w:rPr>
        <w:t>mutuality of parties</w:t>
      </w:r>
      <w:r w:rsidR="00AB30BD">
        <w:rPr>
          <w:color w:val="000000" w:themeColor="text1"/>
          <w:sz w:val="26"/>
          <w:szCs w:val="26"/>
        </w:rPr>
        <w:t>”</w:t>
      </w:r>
      <w:r w:rsidRPr="00452B31">
        <w:rPr>
          <w:color w:val="000000" w:themeColor="text1"/>
          <w:sz w:val="26"/>
          <w:szCs w:val="26"/>
        </w:rPr>
        <w:t xml:space="preserve"> requirement for application of issue preclusion, and adopting the position of Justice (later Chief Justice) Traynor in </w:t>
      </w:r>
      <w:r w:rsidRPr="00452B31">
        <w:rPr>
          <w:i/>
          <w:iCs/>
          <w:color w:val="000000" w:themeColor="text1"/>
          <w:sz w:val="26"/>
          <w:szCs w:val="26"/>
        </w:rPr>
        <w:t>Bernhard v. Bank of America National Trust and Savings Association,</w:t>
      </w:r>
      <w:r w:rsidRPr="00452B31">
        <w:rPr>
          <w:color w:val="000000" w:themeColor="text1"/>
          <w:sz w:val="26"/>
          <w:szCs w:val="26"/>
        </w:rPr>
        <w:t xml:space="preserve"> </w:t>
      </w:r>
      <w:r w:rsidRPr="009415D4">
        <w:rPr>
          <w:sz w:val="26"/>
          <w:szCs w:val="26"/>
        </w:rPr>
        <w:t>19 Cal. 2d 807</w:t>
      </w:r>
      <w:r w:rsidRPr="00452B31">
        <w:rPr>
          <w:color w:val="000000" w:themeColor="text1"/>
          <w:sz w:val="26"/>
          <w:szCs w:val="26"/>
        </w:rPr>
        <w:t>, 122 P.2d 892 (1942), that issue preclusion prevents relitigation of an issue where the party against whom it is used or one in privity with that party had a full and fair opportunity to litigate the issue in a prior action).</w:t>
      </w:r>
    </w:p>
    <w:p w14:paraId="5DBDA581" w14:textId="77777777" w:rsidR="00AB30BD" w:rsidRPr="00452B31" w:rsidRDefault="00AB30BD" w:rsidP="00AC661E">
      <w:pPr>
        <w:widowControl/>
        <w:ind w:left="1440" w:right="1440"/>
        <w:rPr>
          <w:color w:val="000000" w:themeColor="text1"/>
          <w:sz w:val="26"/>
          <w:szCs w:val="26"/>
        </w:rPr>
      </w:pPr>
    </w:p>
    <w:p w14:paraId="75DB122C" w14:textId="3544DEE1" w:rsidR="00452B31" w:rsidRDefault="00452B31" w:rsidP="00DC5925">
      <w:pPr>
        <w:widowControl/>
        <w:ind w:left="1440" w:right="1440"/>
        <w:rPr>
          <w:color w:val="000000" w:themeColor="text1"/>
          <w:sz w:val="26"/>
          <w:szCs w:val="26"/>
        </w:rPr>
      </w:pPr>
      <w:r w:rsidRPr="00452B31">
        <w:rPr>
          <w:color w:val="000000" w:themeColor="text1"/>
          <w:sz w:val="26"/>
          <w:szCs w:val="26"/>
        </w:rPr>
        <w:t xml:space="preserve">There is another important distinction between the principles of claim preclusion and issue preclusion. Claim preclusion involves the same claim or cause of action in both the prior and subsequent actions, but issue preclusion operates to prevent relitigation of an issue in a later action based upon a claim or cause of action different from the claim or cause of action previously asserted. </w:t>
      </w:r>
      <w:r w:rsidRPr="00452B31">
        <w:rPr>
          <w:i/>
          <w:iCs/>
          <w:color w:val="000000" w:themeColor="text1"/>
          <w:sz w:val="26"/>
          <w:szCs w:val="26"/>
        </w:rPr>
        <w:t>McCarthy v. Township of McCandless,</w:t>
      </w:r>
      <w:r w:rsidRPr="00452B31">
        <w:rPr>
          <w:color w:val="000000" w:themeColor="text1"/>
          <w:sz w:val="26"/>
          <w:szCs w:val="26"/>
        </w:rPr>
        <w:t xml:space="preserve"> 7 Pa.Commonwealth Ct. 611, 619, 300</w:t>
      </w:r>
      <w:r w:rsidR="00AB30BD">
        <w:rPr>
          <w:color w:val="000000" w:themeColor="text1"/>
          <w:sz w:val="26"/>
          <w:szCs w:val="26"/>
        </w:rPr>
        <w:t> </w:t>
      </w:r>
      <w:r w:rsidRPr="00452B31">
        <w:rPr>
          <w:color w:val="000000" w:themeColor="text1"/>
          <w:sz w:val="26"/>
          <w:szCs w:val="26"/>
        </w:rPr>
        <w:t>A.2d</w:t>
      </w:r>
      <w:r w:rsidR="00AB30BD">
        <w:rPr>
          <w:color w:val="000000" w:themeColor="text1"/>
          <w:sz w:val="26"/>
          <w:szCs w:val="26"/>
        </w:rPr>
        <w:t> </w:t>
      </w:r>
      <w:r w:rsidRPr="00452B31">
        <w:rPr>
          <w:color w:val="000000" w:themeColor="text1"/>
          <w:sz w:val="26"/>
          <w:szCs w:val="26"/>
        </w:rPr>
        <w:t xml:space="preserve">815, 820 (1973); </w:t>
      </w:r>
      <w:r w:rsidRPr="00452B31">
        <w:rPr>
          <w:i/>
          <w:iCs/>
          <w:color w:val="000000" w:themeColor="text1"/>
          <w:sz w:val="26"/>
          <w:szCs w:val="26"/>
        </w:rPr>
        <w:t>Zarnecki v. Shepegi</w:t>
      </w:r>
      <w:r w:rsidRPr="00452B31">
        <w:rPr>
          <w:color w:val="000000" w:themeColor="text1"/>
          <w:sz w:val="26"/>
          <w:szCs w:val="26"/>
        </w:rPr>
        <w:t xml:space="preserve"> 367 Pa.Super. at 236, </w:t>
      </w:r>
      <w:r w:rsidRPr="009415D4">
        <w:rPr>
          <w:sz w:val="26"/>
          <w:szCs w:val="26"/>
        </w:rPr>
        <w:t>532 A.2d at 877</w:t>
      </w:r>
      <w:r w:rsidRPr="00452B31">
        <w:rPr>
          <w:color w:val="000000" w:themeColor="text1"/>
          <w:sz w:val="26"/>
          <w:szCs w:val="26"/>
        </w:rPr>
        <w:t xml:space="preserve">. Issue preclusion is </w:t>
      </w:r>
      <w:r w:rsidR="00AB30BD">
        <w:rPr>
          <w:color w:val="000000" w:themeColor="text1"/>
          <w:sz w:val="26"/>
          <w:szCs w:val="26"/>
        </w:rPr>
        <w:t>“</w:t>
      </w:r>
      <w:r w:rsidRPr="00452B31">
        <w:rPr>
          <w:color w:val="000000" w:themeColor="text1"/>
          <w:sz w:val="26"/>
          <w:szCs w:val="26"/>
        </w:rPr>
        <w:t xml:space="preserve">designed to prevent relitigation of issues which have once been decided </w:t>
      </w:r>
      <w:r w:rsidRPr="00452B31">
        <w:rPr>
          <w:i/>
          <w:iCs/>
          <w:color w:val="000000" w:themeColor="text1"/>
          <w:sz w:val="26"/>
          <w:szCs w:val="26"/>
        </w:rPr>
        <w:t>and have remained substantially static,</w:t>
      </w:r>
      <w:r w:rsidRPr="00452B31">
        <w:rPr>
          <w:color w:val="000000" w:themeColor="text1"/>
          <w:sz w:val="26"/>
          <w:szCs w:val="26"/>
        </w:rPr>
        <w:t xml:space="preserve"> factually and legally.</w:t>
      </w:r>
      <w:r w:rsidR="00AB30BD">
        <w:rPr>
          <w:color w:val="000000" w:themeColor="text1"/>
          <w:sz w:val="26"/>
          <w:szCs w:val="26"/>
        </w:rPr>
        <w:t>”</w:t>
      </w:r>
      <w:r w:rsidRPr="00452B31">
        <w:rPr>
          <w:color w:val="000000" w:themeColor="text1"/>
          <w:sz w:val="26"/>
          <w:szCs w:val="26"/>
        </w:rPr>
        <w:t xml:space="preserve"> </w:t>
      </w:r>
      <w:r w:rsidRPr="00452B31">
        <w:rPr>
          <w:i/>
          <w:iCs/>
          <w:color w:val="000000" w:themeColor="text1"/>
          <w:sz w:val="26"/>
          <w:szCs w:val="26"/>
        </w:rPr>
        <w:t>Keystone Water Co. v. Pennsylvania Public Utility Commission,</w:t>
      </w:r>
      <w:r w:rsidRPr="00452B31">
        <w:rPr>
          <w:color w:val="000000" w:themeColor="text1"/>
          <w:sz w:val="26"/>
          <w:szCs w:val="26"/>
        </w:rPr>
        <w:t xml:space="preserve"> 81 Pa.Commonwealth Ct. 312, 320, 474</w:t>
      </w:r>
      <w:r w:rsidR="00AB30BD">
        <w:rPr>
          <w:color w:val="000000" w:themeColor="text1"/>
          <w:sz w:val="26"/>
          <w:szCs w:val="26"/>
        </w:rPr>
        <w:t> </w:t>
      </w:r>
      <w:r w:rsidRPr="00452B31">
        <w:rPr>
          <w:color w:val="000000" w:themeColor="text1"/>
          <w:sz w:val="26"/>
          <w:szCs w:val="26"/>
        </w:rPr>
        <w:t>A.2d</w:t>
      </w:r>
      <w:r w:rsidR="00AB30BD">
        <w:rPr>
          <w:color w:val="000000" w:themeColor="text1"/>
          <w:sz w:val="26"/>
          <w:szCs w:val="26"/>
        </w:rPr>
        <w:t> </w:t>
      </w:r>
      <w:r w:rsidRPr="00452B31">
        <w:rPr>
          <w:color w:val="000000" w:themeColor="text1"/>
          <w:sz w:val="26"/>
          <w:szCs w:val="26"/>
        </w:rPr>
        <w:t>368, 373 (1984) (emphasis added).</w:t>
      </w:r>
    </w:p>
    <w:p w14:paraId="3E313827" w14:textId="0143FEB2" w:rsidR="00943A1E" w:rsidRDefault="00943A1E" w:rsidP="00DC5925">
      <w:pPr>
        <w:widowControl/>
        <w:ind w:left="1440" w:right="1440"/>
        <w:rPr>
          <w:color w:val="000000" w:themeColor="text1"/>
          <w:sz w:val="26"/>
          <w:szCs w:val="26"/>
        </w:rPr>
      </w:pPr>
    </w:p>
    <w:p w14:paraId="288EB3EE" w14:textId="42C619CE" w:rsidR="00943A1E" w:rsidRDefault="00943A1E" w:rsidP="00DC5925">
      <w:pPr>
        <w:widowControl/>
        <w:ind w:left="1440" w:right="1440"/>
        <w:jc w:val="center"/>
        <w:rPr>
          <w:color w:val="000000" w:themeColor="text1"/>
          <w:sz w:val="26"/>
          <w:szCs w:val="26"/>
        </w:rPr>
      </w:pPr>
      <w:r>
        <w:rPr>
          <w:color w:val="000000" w:themeColor="text1"/>
          <w:sz w:val="26"/>
          <w:szCs w:val="26"/>
        </w:rPr>
        <w:t>***</w:t>
      </w:r>
    </w:p>
    <w:p w14:paraId="69F5BA85" w14:textId="77777777" w:rsidR="00943A1E" w:rsidRPr="00452B31" w:rsidRDefault="00943A1E" w:rsidP="00DC5925">
      <w:pPr>
        <w:widowControl/>
        <w:ind w:left="1440" w:right="1440"/>
        <w:rPr>
          <w:color w:val="000000" w:themeColor="text1"/>
          <w:sz w:val="26"/>
          <w:szCs w:val="26"/>
        </w:rPr>
      </w:pPr>
    </w:p>
    <w:p w14:paraId="1B810FF8" w14:textId="1FF76B95" w:rsidR="00452B31" w:rsidRDefault="00452B31" w:rsidP="00606110">
      <w:pPr>
        <w:widowControl/>
        <w:ind w:left="1440" w:right="1440"/>
        <w:rPr>
          <w:color w:val="000000" w:themeColor="text1"/>
          <w:sz w:val="26"/>
          <w:szCs w:val="26"/>
        </w:rPr>
      </w:pPr>
      <w:r w:rsidRPr="00452B31">
        <w:rPr>
          <w:color w:val="000000" w:themeColor="text1"/>
          <w:sz w:val="26"/>
          <w:szCs w:val="26"/>
        </w:rPr>
        <w:t xml:space="preserve">A final judgment in a prior proceeding operates to preclude a claim </w:t>
      </w:r>
      <w:r w:rsidRPr="00452B31">
        <w:rPr>
          <w:i/>
          <w:iCs/>
          <w:color w:val="000000" w:themeColor="text1"/>
          <w:sz w:val="26"/>
          <w:szCs w:val="26"/>
        </w:rPr>
        <w:t>only</w:t>
      </w:r>
      <w:r w:rsidRPr="00452B31">
        <w:rPr>
          <w:color w:val="000000" w:themeColor="text1"/>
          <w:sz w:val="26"/>
          <w:szCs w:val="26"/>
        </w:rPr>
        <w:t xml:space="preserve"> where there is a concurrence of four conditions: (1) identity of the subject matter; (2) identity of the cause of action; (3) identity of the parties; and (4) identity of the quality or capacity of the parties suing or being sued.</w:t>
      </w:r>
      <w:r w:rsidRPr="00452B31">
        <w:rPr>
          <w:color w:val="000000" w:themeColor="text1"/>
          <w:sz w:val="26"/>
          <w:szCs w:val="26"/>
          <w:vertAlign w:val="superscript"/>
        </w:rPr>
        <w:t>[5]</w:t>
      </w:r>
      <w:r w:rsidRPr="00452B31">
        <w:rPr>
          <w:i/>
          <w:iCs/>
          <w:color w:val="000000" w:themeColor="text1"/>
          <w:sz w:val="26"/>
          <w:szCs w:val="26"/>
        </w:rPr>
        <w:t>Evans v. Workmen's Compensation Appeal Board (Deitch Co.),</w:t>
      </w:r>
      <w:r w:rsidRPr="00452B31">
        <w:rPr>
          <w:color w:val="000000" w:themeColor="text1"/>
          <w:sz w:val="26"/>
          <w:szCs w:val="26"/>
        </w:rPr>
        <w:t xml:space="preserve"> 121</w:t>
      </w:r>
      <w:r w:rsidR="00DC5925">
        <w:rPr>
          <w:color w:val="000000" w:themeColor="text1"/>
          <w:sz w:val="26"/>
          <w:szCs w:val="26"/>
        </w:rPr>
        <w:t> </w:t>
      </w:r>
      <w:proofErr w:type="spellStart"/>
      <w:r w:rsidRPr="00452B31">
        <w:rPr>
          <w:color w:val="000000" w:themeColor="text1"/>
          <w:sz w:val="26"/>
          <w:szCs w:val="26"/>
        </w:rPr>
        <w:t>Pa.Commonwealth</w:t>
      </w:r>
      <w:proofErr w:type="spellEnd"/>
      <w:r w:rsidRPr="00452B31">
        <w:rPr>
          <w:color w:val="000000" w:themeColor="text1"/>
          <w:sz w:val="26"/>
          <w:szCs w:val="26"/>
        </w:rPr>
        <w:t xml:space="preserve"> Ct. 364, 370, 550 A.2d 868, 871 (1988), </w:t>
      </w:r>
      <w:r w:rsidRPr="00452B31">
        <w:rPr>
          <w:i/>
          <w:iCs/>
          <w:color w:val="000000" w:themeColor="text1"/>
          <w:sz w:val="26"/>
          <w:szCs w:val="26"/>
        </w:rPr>
        <w:t>appeal denied,</w:t>
      </w:r>
      <w:r w:rsidRPr="00452B31">
        <w:rPr>
          <w:color w:val="000000" w:themeColor="text1"/>
          <w:sz w:val="26"/>
          <w:szCs w:val="26"/>
        </w:rPr>
        <w:t xml:space="preserve"> 525 Pa. 606, 575 A.2d 571 (1990). It is not possible "to lay down an all-inclusive and satisfying formula to determine whether or not `causes of action' are identical." </w:t>
      </w:r>
      <w:r w:rsidRPr="00452B31">
        <w:rPr>
          <w:i/>
          <w:iCs/>
          <w:color w:val="000000" w:themeColor="text1"/>
          <w:sz w:val="26"/>
          <w:szCs w:val="26"/>
        </w:rPr>
        <w:t>McCarthy v. Township of McCandless,</w:t>
      </w:r>
      <w:r w:rsidRPr="00452B31">
        <w:rPr>
          <w:color w:val="000000" w:themeColor="text1"/>
          <w:sz w:val="26"/>
          <w:szCs w:val="26"/>
        </w:rPr>
        <w:t xml:space="preserve"> 7</w:t>
      </w:r>
      <w:r w:rsidR="00DC5925">
        <w:rPr>
          <w:color w:val="000000" w:themeColor="text1"/>
          <w:sz w:val="26"/>
          <w:szCs w:val="26"/>
        </w:rPr>
        <w:t> </w:t>
      </w:r>
      <w:proofErr w:type="spellStart"/>
      <w:r w:rsidRPr="00452B31">
        <w:rPr>
          <w:color w:val="000000" w:themeColor="text1"/>
          <w:sz w:val="26"/>
          <w:szCs w:val="26"/>
        </w:rPr>
        <w:t>Pa.Commonwealth</w:t>
      </w:r>
      <w:proofErr w:type="spellEnd"/>
      <w:r w:rsidRPr="00452B31">
        <w:rPr>
          <w:color w:val="000000" w:themeColor="text1"/>
          <w:sz w:val="26"/>
          <w:szCs w:val="26"/>
        </w:rPr>
        <w:t xml:space="preserve"> Ct. at 617-18, 300 A.2d at 820 (1973) (footnote omitted). Nevertheless, it generally has been held that there is identity of causes of action when the subject matter and the ultimate issues are the same in both the old and the new proceedings. </w:t>
      </w:r>
      <w:r w:rsidRPr="00452B31">
        <w:rPr>
          <w:i/>
          <w:iCs/>
          <w:color w:val="000000" w:themeColor="text1"/>
          <w:sz w:val="26"/>
          <w:szCs w:val="26"/>
        </w:rPr>
        <w:t>Fields v. Workmen's Compensation Appeal Board (Duquesne Light Co.),</w:t>
      </w:r>
      <w:r w:rsidRPr="00452B31">
        <w:rPr>
          <w:color w:val="000000" w:themeColor="text1"/>
          <w:sz w:val="26"/>
          <w:szCs w:val="26"/>
        </w:rPr>
        <w:t xml:space="preserve"> 114 Pa.Commonwealth Ct. 645, 647, </w:t>
      </w:r>
      <w:r w:rsidRPr="009415D4">
        <w:rPr>
          <w:sz w:val="26"/>
          <w:szCs w:val="26"/>
        </w:rPr>
        <w:t>539 A.2d 507</w:t>
      </w:r>
      <w:r w:rsidRPr="00452B31">
        <w:rPr>
          <w:color w:val="000000" w:themeColor="text1"/>
          <w:sz w:val="26"/>
          <w:szCs w:val="26"/>
        </w:rPr>
        <w:t xml:space="preserve">, 508, </w:t>
      </w:r>
      <w:r w:rsidRPr="00452B31">
        <w:rPr>
          <w:i/>
          <w:iCs/>
          <w:color w:val="000000" w:themeColor="text1"/>
          <w:sz w:val="26"/>
          <w:szCs w:val="26"/>
        </w:rPr>
        <w:t>appeal denied,</w:t>
      </w:r>
      <w:r w:rsidRPr="00452B31">
        <w:rPr>
          <w:color w:val="000000" w:themeColor="text1"/>
          <w:sz w:val="26"/>
          <w:szCs w:val="26"/>
        </w:rPr>
        <w:t xml:space="preserve"> 520 Pa. 599, 552 A.2d 253 (1988) (collecting cases).</w:t>
      </w:r>
    </w:p>
    <w:p w14:paraId="1A3CAC49" w14:textId="24AA1D73" w:rsidR="000F61C7" w:rsidRDefault="000F61C7" w:rsidP="00606110">
      <w:pPr>
        <w:widowControl/>
        <w:ind w:left="1440" w:right="1440"/>
        <w:rPr>
          <w:color w:val="000000" w:themeColor="text1"/>
          <w:sz w:val="26"/>
          <w:szCs w:val="26"/>
        </w:rPr>
      </w:pPr>
    </w:p>
    <w:p w14:paraId="2D388FB5" w14:textId="6C892586" w:rsidR="000F61C7" w:rsidRDefault="000F61C7" w:rsidP="00606110">
      <w:pPr>
        <w:widowControl/>
        <w:ind w:left="1440" w:right="1440"/>
        <w:jc w:val="center"/>
        <w:rPr>
          <w:color w:val="000000" w:themeColor="text1"/>
          <w:sz w:val="26"/>
          <w:szCs w:val="26"/>
        </w:rPr>
      </w:pPr>
      <w:r>
        <w:rPr>
          <w:color w:val="000000" w:themeColor="text1"/>
          <w:sz w:val="26"/>
          <w:szCs w:val="26"/>
        </w:rPr>
        <w:t>***</w:t>
      </w:r>
    </w:p>
    <w:p w14:paraId="59896CAF" w14:textId="77777777" w:rsidR="000F61C7" w:rsidRPr="00452B31" w:rsidRDefault="000F61C7" w:rsidP="00606110">
      <w:pPr>
        <w:widowControl/>
        <w:ind w:left="1440" w:right="1440"/>
        <w:rPr>
          <w:color w:val="000000" w:themeColor="text1"/>
          <w:sz w:val="26"/>
          <w:szCs w:val="26"/>
        </w:rPr>
      </w:pPr>
    </w:p>
    <w:p w14:paraId="074E330F" w14:textId="59258ADC" w:rsidR="00452B31" w:rsidRPr="00AF3ECA" w:rsidRDefault="00452B31" w:rsidP="00606110">
      <w:pPr>
        <w:widowControl/>
        <w:ind w:left="1440" w:right="1440"/>
        <w:rPr>
          <w:color w:val="000000" w:themeColor="text1"/>
          <w:sz w:val="26"/>
          <w:szCs w:val="26"/>
          <w:vertAlign w:val="superscript"/>
        </w:rPr>
      </w:pPr>
      <w:r w:rsidRPr="00452B31">
        <w:rPr>
          <w:color w:val="000000" w:themeColor="text1"/>
          <w:sz w:val="26"/>
          <w:szCs w:val="26"/>
        </w:rPr>
        <w:t xml:space="preserve">Where, as in this case, the parties are the same, the principle of issue preclusion operates to prevent relitigation of those issues decided by a prior final judgment that (1) are identical; (2) were actually litigated; and (3) were essential to the judgment. </w:t>
      </w:r>
      <w:r w:rsidRPr="00452B31">
        <w:rPr>
          <w:i/>
          <w:iCs/>
          <w:color w:val="000000" w:themeColor="text1"/>
          <w:sz w:val="26"/>
          <w:szCs w:val="26"/>
        </w:rPr>
        <w:t>See, e.g., Patel v. Workmen's Compensation Appeal Board (Sauquoit Fibers Co.),</w:t>
      </w:r>
      <w:r w:rsidRPr="00452B31">
        <w:rPr>
          <w:color w:val="000000" w:themeColor="text1"/>
          <w:sz w:val="26"/>
          <w:szCs w:val="26"/>
        </w:rPr>
        <w:t xml:space="preserve"> 88 Pa.Cmwlth. at 81, 488 A.2d at 1179; </w:t>
      </w:r>
      <w:r w:rsidRPr="00452B31">
        <w:rPr>
          <w:i/>
          <w:iCs/>
          <w:color w:val="000000" w:themeColor="text1"/>
          <w:sz w:val="26"/>
          <w:szCs w:val="26"/>
        </w:rPr>
        <w:t>Lambert v. Workmen's Compensation Appeal Board (Reitz Coal Co.),</w:t>
      </w:r>
      <w:r w:rsidRPr="00452B31">
        <w:rPr>
          <w:color w:val="000000" w:themeColor="text1"/>
          <w:sz w:val="26"/>
          <w:szCs w:val="26"/>
        </w:rPr>
        <w:t xml:space="preserve"> 106 Pa.Commonwealth Ct. 565, </w:t>
      </w:r>
      <w:r w:rsidRPr="00AF3ECA">
        <w:rPr>
          <w:color w:val="000000" w:themeColor="text1"/>
          <w:sz w:val="26"/>
          <w:szCs w:val="26"/>
        </w:rPr>
        <w:t xml:space="preserve">569, </w:t>
      </w:r>
      <w:r w:rsidRPr="00AF3ECA">
        <w:rPr>
          <w:sz w:val="26"/>
          <w:szCs w:val="26"/>
        </w:rPr>
        <w:t>526 A.2d 1263</w:t>
      </w:r>
      <w:r w:rsidRPr="00AF3ECA">
        <w:rPr>
          <w:color w:val="000000" w:themeColor="text1"/>
          <w:sz w:val="26"/>
          <w:szCs w:val="26"/>
        </w:rPr>
        <w:t>, 1265 (1987); Restatement (Second) of Judgments, § 27 (1982).</w:t>
      </w:r>
      <w:r w:rsidRPr="00AF3ECA">
        <w:rPr>
          <w:color w:val="000000" w:themeColor="text1"/>
          <w:sz w:val="26"/>
          <w:szCs w:val="26"/>
          <w:vertAlign w:val="superscript"/>
        </w:rPr>
        <w:t>[6]</w:t>
      </w:r>
    </w:p>
    <w:p w14:paraId="104D0393" w14:textId="77777777" w:rsidR="00586744" w:rsidRPr="00AF3ECA" w:rsidRDefault="00586744" w:rsidP="00AF3ECA">
      <w:pPr>
        <w:widowControl/>
        <w:spacing w:line="360" w:lineRule="auto"/>
        <w:ind w:left="1440" w:right="1440"/>
        <w:rPr>
          <w:color w:val="000000" w:themeColor="text1"/>
          <w:sz w:val="26"/>
          <w:szCs w:val="26"/>
          <w:vertAlign w:val="superscript"/>
        </w:rPr>
      </w:pPr>
    </w:p>
    <w:p w14:paraId="2EDA68B3" w14:textId="5365391D" w:rsidR="000F61C7" w:rsidRDefault="00823068" w:rsidP="00452B31">
      <w:pPr>
        <w:widowControl/>
        <w:spacing w:line="360" w:lineRule="auto"/>
        <w:rPr>
          <w:color w:val="000000" w:themeColor="text1"/>
          <w:sz w:val="26"/>
          <w:szCs w:val="26"/>
        </w:rPr>
      </w:pPr>
      <w:r w:rsidRPr="00AF3ECA">
        <w:rPr>
          <w:i/>
          <w:iCs/>
          <w:color w:val="000000" w:themeColor="text1"/>
          <w:sz w:val="26"/>
          <w:szCs w:val="26"/>
        </w:rPr>
        <w:t>Hebden v. WCAB (B</w:t>
      </w:r>
      <w:r w:rsidRPr="00823068">
        <w:rPr>
          <w:i/>
          <w:iCs/>
          <w:color w:val="000000" w:themeColor="text1"/>
          <w:sz w:val="26"/>
          <w:szCs w:val="26"/>
        </w:rPr>
        <w:t>ethenergy Mines, Inc.)</w:t>
      </w:r>
      <w:r w:rsidRPr="00823068">
        <w:rPr>
          <w:color w:val="000000" w:themeColor="text1"/>
          <w:sz w:val="26"/>
          <w:szCs w:val="26"/>
        </w:rPr>
        <w:t>, 142 Pa. Commw. 176, 597 A.2d 182 (1991)</w:t>
      </w:r>
      <w:r w:rsidR="00C91D1B">
        <w:rPr>
          <w:color w:val="000000" w:themeColor="text1"/>
          <w:sz w:val="26"/>
          <w:szCs w:val="26"/>
        </w:rPr>
        <w:t xml:space="preserve"> (internal footnotes omitted).</w:t>
      </w:r>
    </w:p>
    <w:p w14:paraId="483B3539" w14:textId="4A943147" w:rsidR="000F61C7" w:rsidRDefault="000F61C7" w:rsidP="00452B31">
      <w:pPr>
        <w:widowControl/>
        <w:spacing w:line="360" w:lineRule="auto"/>
        <w:rPr>
          <w:color w:val="000000" w:themeColor="text1"/>
          <w:sz w:val="26"/>
          <w:szCs w:val="26"/>
        </w:rPr>
      </w:pPr>
    </w:p>
    <w:p w14:paraId="32334636" w14:textId="59CC4BAD" w:rsidR="00DB0EE9" w:rsidRPr="00E70EA4" w:rsidRDefault="00DB0EE9" w:rsidP="00977612">
      <w:pPr>
        <w:widowControl/>
        <w:spacing w:line="360" w:lineRule="auto"/>
        <w:ind w:firstLine="1440"/>
        <w:rPr>
          <w:color w:val="000000" w:themeColor="text1"/>
          <w:sz w:val="26"/>
          <w:szCs w:val="26"/>
        </w:rPr>
      </w:pPr>
      <w:r>
        <w:rPr>
          <w:color w:val="000000" w:themeColor="text1"/>
          <w:sz w:val="26"/>
          <w:szCs w:val="26"/>
        </w:rPr>
        <w:t xml:space="preserve">It is also noted that </w:t>
      </w:r>
      <w:r w:rsidR="000D1374">
        <w:rPr>
          <w:color w:val="000000" w:themeColor="text1"/>
          <w:sz w:val="26"/>
          <w:szCs w:val="26"/>
        </w:rPr>
        <w:t>“[b]</w:t>
      </w:r>
      <w:r w:rsidR="000D1374" w:rsidRPr="000D1374">
        <w:rPr>
          <w:color w:val="000000" w:themeColor="text1"/>
          <w:sz w:val="26"/>
          <w:szCs w:val="26"/>
        </w:rPr>
        <w:t xml:space="preserve">y law, a public utility is entitled to receive payment for the service it provides.  </w:t>
      </w:r>
      <w:r w:rsidR="000D1374" w:rsidRPr="000D1374">
        <w:rPr>
          <w:i/>
          <w:color w:val="000000" w:themeColor="text1"/>
          <w:sz w:val="26"/>
          <w:szCs w:val="26"/>
        </w:rPr>
        <w:t>Scaccia v. West Penn Power Company</w:t>
      </w:r>
      <w:r w:rsidR="000D1374" w:rsidRPr="000D1374">
        <w:rPr>
          <w:color w:val="000000" w:themeColor="text1"/>
          <w:sz w:val="26"/>
          <w:szCs w:val="26"/>
        </w:rPr>
        <w:t xml:space="preserve">, 55 Pa. PUC 637 (1982).  Otherwise, unpaid bills are included in the utility’s uncollectible expenses, which all of its remaining customers must pay.  </w:t>
      </w:r>
      <w:r w:rsidR="000D1374" w:rsidRPr="000D1374">
        <w:rPr>
          <w:i/>
          <w:color w:val="000000" w:themeColor="text1"/>
          <w:sz w:val="26"/>
          <w:szCs w:val="26"/>
        </w:rPr>
        <w:t>Bolt v. Duquesne Light Company</w:t>
      </w:r>
      <w:r w:rsidR="000D1374" w:rsidRPr="000D1374">
        <w:rPr>
          <w:color w:val="000000" w:themeColor="text1"/>
          <w:sz w:val="26"/>
          <w:szCs w:val="26"/>
        </w:rPr>
        <w:t>, Docket No. Z</w:t>
      </w:r>
      <w:r w:rsidR="000D1374" w:rsidRPr="000D1374">
        <w:rPr>
          <w:color w:val="000000" w:themeColor="text1"/>
          <w:sz w:val="26"/>
          <w:szCs w:val="26"/>
        </w:rPr>
        <w:noBreakHyphen/>
        <w:t>8712758 (Order entered April 8, 1988).</w:t>
      </w:r>
      <w:r w:rsidR="000D1374">
        <w:rPr>
          <w:color w:val="000000" w:themeColor="text1"/>
          <w:sz w:val="26"/>
          <w:szCs w:val="26"/>
        </w:rPr>
        <w:t xml:space="preserve">”  </w:t>
      </w:r>
      <w:r w:rsidR="00E70EA4">
        <w:rPr>
          <w:i/>
          <w:iCs/>
          <w:color w:val="000000" w:themeColor="text1"/>
          <w:sz w:val="26"/>
          <w:szCs w:val="26"/>
        </w:rPr>
        <w:t>Kush v. Pennsylvania American Water Company</w:t>
      </w:r>
      <w:r w:rsidR="00E70EA4">
        <w:rPr>
          <w:color w:val="000000" w:themeColor="text1"/>
          <w:sz w:val="26"/>
          <w:szCs w:val="26"/>
        </w:rPr>
        <w:t xml:space="preserve">, Docket No. C-2016-2533227, </w:t>
      </w:r>
      <w:r w:rsidR="006D0E6B">
        <w:rPr>
          <w:color w:val="000000" w:themeColor="text1"/>
          <w:sz w:val="26"/>
          <w:szCs w:val="26"/>
        </w:rPr>
        <w:t>(</w:t>
      </w:r>
      <w:r w:rsidR="00E70EA4">
        <w:rPr>
          <w:color w:val="000000" w:themeColor="text1"/>
          <w:sz w:val="26"/>
          <w:szCs w:val="26"/>
        </w:rPr>
        <w:t>Final Order entered October 4, 2016</w:t>
      </w:r>
      <w:r w:rsidR="006D0E6B">
        <w:rPr>
          <w:color w:val="000000" w:themeColor="text1"/>
          <w:sz w:val="26"/>
          <w:szCs w:val="26"/>
        </w:rPr>
        <w:t>)</w:t>
      </w:r>
      <w:r w:rsidR="00E70EA4">
        <w:rPr>
          <w:color w:val="000000" w:themeColor="text1"/>
          <w:sz w:val="26"/>
          <w:szCs w:val="26"/>
        </w:rPr>
        <w:t>.</w:t>
      </w:r>
    </w:p>
    <w:p w14:paraId="0CD75886" w14:textId="77777777" w:rsidR="00DB0EE9" w:rsidRDefault="00DB0EE9" w:rsidP="00452B31">
      <w:pPr>
        <w:widowControl/>
        <w:spacing w:line="360" w:lineRule="auto"/>
        <w:rPr>
          <w:color w:val="000000" w:themeColor="text1"/>
          <w:sz w:val="26"/>
          <w:szCs w:val="26"/>
        </w:rPr>
      </w:pPr>
    </w:p>
    <w:p w14:paraId="441FEDAC" w14:textId="5037C15F" w:rsidR="00E70EA4" w:rsidRDefault="008D4828" w:rsidP="00AD64CC">
      <w:pPr>
        <w:widowControl/>
        <w:spacing w:line="360" w:lineRule="auto"/>
        <w:ind w:firstLine="1440"/>
        <w:rPr>
          <w:color w:val="000000" w:themeColor="text1"/>
          <w:sz w:val="26"/>
          <w:szCs w:val="26"/>
        </w:rPr>
      </w:pPr>
      <w:r>
        <w:rPr>
          <w:color w:val="000000" w:themeColor="text1"/>
          <w:sz w:val="26"/>
          <w:szCs w:val="26"/>
        </w:rPr>
        <w:t>Th</w:t>
      </w:r>
      <w:r w:rsidR="00E70EA4">
        <w:rPr>
          <w:color w:val="000000" w:themeColor="text1"/>
          <w:sz w:val="26"/>
          <w:szCs w:val="26"/>
        </w:rPr>
        <w:t xml:space="preserve">e issue </w:t>
      </w:r>
      <w:r>
        <w:rPr>
          <w:color w:val="000000" w:themeColor="text1"/>
          <w:sz w:val="26"/>
          <w:szCs w:val="26"/>
        </w:rPr>
        <w:t xml:space="preserve">raised in this case </w:t>
      </w:r>
      <w:r w:rsidR="00E70EA4">
        <w:rPr>
          <w:color w:val="000000" w:themeColor="text1"/>
          <w:sz w:val="26"/>
          <w:szCs w:val="26"/>
        </w:rPr>
        <w:t xml:space="preserve">of </w:t>
      </w:r>
      <w:r w:rsidR="00977612">
        <w:rPr>
          <w:color w:val="000000" w:themeColor="text1"/>
          <w:sz w:val="26"/>
          <w:szCs w:val="26"/>
        </w:rPr>
        <w:t xml:space="preserve">the </w:t>
      </w:r>
      <w:r w:rsidR="00E70EA4">
        <w:rPr>
          <w:color w:val="000000" w:themeColor="text1"/>
          <w:sz w:val="26"/>
          <w:szCs w:val="26"/>
        </w:rPr>
        <w:t xml:space="preserve">Complainant’s obligation to pay for electric service provided by Duquesne at his residence during his extended absences from the service location was </w:t>
      </w:r>
      <w:r>
        <w:rPr>
          <w:color w:val="000000" w:themeColor="text1"/>
          <w:sz w:val="26"/>
          <w:szCs w:val="26"/>
        </w:rPr>
        <w:t xml:space="preserve">previously </w:t>
      </w:r>
      <w:r w:rsidR="00E70EA4">
        <w:rPr>
          <w:color w:val="000000" w:themeColor="text1"/>
          <w:sz w:val="26"/>
          <w:szCs w:val="26"/>
        </w:rPr>
        <w:t xml:space="preserve">decided.  </w:t>
      </w:r>
      <w:r w:rsidR="002D00AC">
        <w:rPr>
          <w:color w:val="000000" w:themeColor="text1"/>
          <w:sz w:val="26"/>
          <w:szCs w:val="26"/>
        </w:rPr>
        <w:t>As noted, t</w:t>
      </w:r>
      <w:r w:rsidR="00E70EA4">
        <w:rPr>
          <w:color w:val="000000" w:themeColor="text1"/>
          <w:sz w:val="26"/>
          <w:szCs w:val="26"/>
        </w:rPr>
        <w:t xml:space="preserve">his is the identical issue that was litigated in </w:t>
      </w:r>
      <w:r w:rsidR="00FB6A37">
        <w:rPr>
          <w:color w:val="000000" w:themeColor="text1"/>
          <w:sz w:val="26"/>
          <w:szCs w:val="26"/>
        </w:rPr>
        <w:t>the proceeding that resulted in the</w:t>
      </w:r>
      <w:r w:rsidR="00CE53DF">
        <w:rPr>
          <w:color w:val="000000" w:themeColor="text1"/>
          <w:sz w:val="26"/>
          <w:szCs w:val="26"/>
        </w:rPr>
        <w:t xml:space="preserve"> issuance of the</w:t>
      </w:r>
      <w:r w:rsidR="00FB6A37">
        <w:rPr>
          <w:color w:val="000000" w:themeColor="text1"/>
          <w:sz w:val="26"/>
          <w:szCs w:val="26"/>
        </w:rPr>
        <w:t xml:space="preserve"> </w:t>
      </w:r>
      <w:r w:rsidR="00FB6A37" w:rsidRPr="005975EE">
        <w:rPr>
          <w:i/>
          <w:iCs/>
          <w:color w:val="000000" w:themeColor="text1"/>
          <w:sz w:val="26"/>
          <w:szCs w:val="26"/>
        </w:rPr>
        <w:t>January 2018 Order</w:t>
      </w:r>
      <w:r w:rsidR="00FB6A37">
        <w:rPr>
          <w:color w:val="000000" w:themeColor="text1"/>
          <w:sz w:val="26"/>
          <w:szCs w:val="26"/>
        </w:rPr>
        <w:t xml:space="preserve"> and the</w:t>
      </w:r>
      <w:r w:rsidR="00AA17AB">
        <w:rPr>
          <w:color w:val="000000" w:themeColor="text1"/>
          <w:sz w:val="26"/>
          <w:szCs w:val="26"/>
        </w:rPr>
        <w:t xml:space="preserve"> </w:t>
      </w:r>
      <w:r w:rsidR="00AA17AB" w:rsidRPr="005975EE">
        <w:rPr>
          <w:i/>
          <w:iCs/>
          <w:color w:val="000000" w:themeColor="text1"/>
          <w:sz w:val="26"/>
          <w:szCs w:val="26"/>
        </w:rPr>
        <w:t>September 2018 Reconsideration Order</w:t>
      </w:r>
      <w:r w:rsidR="00AA17AB">
        <w:rPr>
          <w:color w:val="000000" w:themeColor="text1"/>
          <w:sz w:val="26"/>
          <w:szCs w:val="26"/>
        </w:rPr>
        <w:t>.</w:t>
      </w:r>
      <w:r w:rsidR="00E70EA4">
        <w:rPr>
          <w:color w:val="000000" w:themeColor="text1"/>
          <w:sz w:val="26"/>
          <w:szCs w:val="26"/>
        </w:rPr>
        <w:t xml:space="preserve">  As the basis for both of </w:t>
      </w:r>
      <w:r w:rsidR="009E32E1">
        <w:rPr>
          <w:color w:val="000000" w:themeColor="text1"/>
          <w:sz w:val="26"/>
          <w:szCs w:val="26"/>
        </w:rPr>
        <w:t xml:space="preserve">the </w:t>
      </w:r>
      <w:r w:rsidR="00E70EA4">
        <w:rPr>
          <w:color w:val="000000" w:themeColor="text1"/>
          <w:sz w:val="26"/>
          <w:szCs w:val="26"/>
        </w:rPr>
        <w:t xml:space="preserve">Complainant’s cases the determination of his responsibility was essential to his prior case, as it is to this one.  </w:t>
      </w:r>
      <w:bookmarkStart w:id="1" w:name="_Hlk90545781"/>
      <w:r w:rsidR="00901DAE">
        <w:rPr>
          <w:color w:val="000000" w:themeColor="text1"/>
          <w:sz w:val="26"/>
          <w:szCs w:val="26"/>
        </w:rPr>
        <w:t>Since t</w:t>
      </w:r>
      <w:r w:rsidR="00E70EA4">
        <w:rPr>
          <w:color w:val="000000" w:themeColor="text1"/>
          <w:sz w:val="26"/>
          <w:szCs w:val="26"/>
        </w:rPr>
        <w:t xml:space="preserve">he issue </w:t>
      </w:r>
      <w:r w:rsidR="00901DAE">
        <w:rPr>
          <w:color w:val="000000" w:themeColor="text1"/>
          <w:sz w:val="26"/>
          <w:szCs w:val="26"/>
        </w:rPr>
        <w:t xml:space="preserve">has </w:t>
      </w:r>
      <w:r w:rsidR="00E70EA4">
        <w:rPr>
          <w:color w:val="000000" w:themeColor="text1"/>
          <w:sz w:val="26"/>
          <w:szCs w:val="26"/>
        </w:rPr>
        <w:t xml:space="preserve">been finally decided in the prior case, </w:t>
      </w:r>
      <w:r w:rsidR="00901DAE">
        <w:rPr>
          <w:color w:val="000000" w:themeColor="text1"/>
          <w:sz w:val="26"/>
          <w:szCs w:val="26"/>
        </w:rPr>
        <w:t xml:space="preserve">the </w:t>
      </w:r>
      <w:r w:rsidR="00E70EA4">
        <w:rPr>
          <w:color w:val="000000" w:themeColor="text1"/>
          <w:sz w:val="26"/>
          <w:szCs w:val="26"/>
        </w:rPr>
        <w:t>Complainant is collaterally estopped from relitigating this issue.</w:t>
      </w:r>
      <w:bookmarkEnd w:id="1"/>
    </w:p>
    <w:p w14:paraId="17EDC670" w14:textId="484B1070" w:rsidR="00E70EA4" w:rsidRDefault="00E70EA4" w:rsidP="00E70EA4">
      <w:pPr>
        <w:widowControl/>
        <w:spacing w:line="360" w:lineRule="auto"/>
        <w:rPr>
          <w:color w:val="000000" w:themeColor="text1"/>
          <w:sz w:val="26"/>
          <w:szCs w:val="26"/>
        </w:rPr>
      </w:pPr>
    </w:p>
    <w:p w14:paraId="7B5B2DCF" w14:textId="06024856" w:rsidR="007E64BB" w:rsidRPr="007E64BB" w:rsidRDefault="008D4828" w:rsidP="000F0519">
      <w:pPr>
        <w:widowControl/>
        <w:spacing w:line="360" w:lineRule="auto"/>
        <w:ind w:firstLine="1440"/>
        <w:rPr>
          <w:color w:val="000000" w:themeColor="text1"/>
          <w:sz w:val="26"/>
          <w:szCs w:val="26"/>
        </w:rPr>
      </w:pPr>
      <w:r>
        <w:rPr>
          <w:color w:val="000000" w:themeColor="text1"/>
          <w:sz w:val="26"/>
          <w:szCs w:val="26"/>
        </w:rPr>
        <w:t>There being no issue raised in this case as to the accuracy of any bills rendered by Duquesne for electric service</w:t>
      </w:r>
      <w:r w:rsidR="007E64BB">
        <w:rPr>
          <w:color w:val="000000" w:themeColor="text1"/>
          <w:sz w:val="26"/>
          <w:szCs w:val="26"/>
        </w:rPr>
        <w:t xml:space="preserve"> provided</w:t>
      </w:r>
      <w:r>
        <w:rPr>
          <w:color w:val="000000" w:themeColor="text1"/>
          <w:sz w:val="26"/>
          <w:szCs w:val="26"/>
        </w:rPr>
        <w:t xml:space="preserve"> to </w:t>
      </w:r>
      <w:r w:rsidR="005A40A6">
        <w:rPr>
          <w:color w:val="000000" w:themeColor="text1"/>
          <w:sz w:val="26"/>
          <w:szCs w:val="26"/>
        </w:rPr>
        <w:t xml:space="preserve">the </w:t>
      </w:r>
      <w:r>
        <w:rPr>
          <w:color w:val="000000" w:themeColor="text1"/>
          <w:sz w:val="26"/>
          <w:szCs w:val="26"/>
        </w:rPr>
        <w:t xml:space="preserve">Complainant </w:t>
      </w:r>
      <w:r w:rsidR="007E64BB">
        <w:rPr>
          <w:color w:val="000000" w:themeColor="text1"/>
          <w:sz w:val="26"/>
          <w:szCs w:val="26"/>
        </w:rPr>
        <w:t xml:space="preserve">at his residence, the service location, his obligation to pay those bills is indisputable.  </w:t>
      </w:r>
      <w:r w:rsidR="007E64BB">
        <w:rPr>
          <w:i/>
          <w:iCs/>
          <w:color w:val="000000" w:themeColor="text1"/>
          <w:sz w:val="26"/>
          <w:szCs w:val="26"/>
        </w:rPr>
        <w:t>See</w:t>
      </w:r>
      <w:r w:rsidR="007E64BB">
        <w:rPr>
          <w:color w:val="000000" w:themeColor="text1"/>
          <w:sz w:val="26"/>
          <w:szCs w:val="26"/>
        </w:rPr>
        <w:t xml:space="preserve"> </w:t>
      </w:r>
      <w:r w:rsidR="007E64BB" w:rsidRPr="007E64BB">
        <w:rPr>
          <w:i/>
          <w:iCs/>
          <w:color w:val="000000" w:themeColor="text1"/>
          <w:sz w:val="26"/>
          <w:szCs w:val="26"/>
        </w:rPr>
        <w:t>Kush v. Pennsylvania American Water Company</w:t>
      </w:r>
      <w:r w:rsidR="007E64BB" w:rsidRPr="007E64BB">
        <w:rPr>
          <w:color w:val="000000" w:themeColor="text1"/>
          <w:sz w:val="26"/>
          <w:szCs w:val="26"/>
        </w:rPr>
        <w:t xml:space="preserve">, Docket No. C-2016-2533227, </w:t>
      </w:r>
      <w:r w:rsidR="003570E1">
        <w:rPr>
          <w:color w:val="000000" w:themeColor="text1"/>
          <w:sz w:val="26"/>
          <w:szCs w:val="26"/>
        </w:rPr>
        <w:t>(</w:t>
      </w:r>
      <w:r w:rsidR="007E64BB" w:rsidRPr="007E64BB">
        <w:rPr>
          <w:color w:val="000000" w:themeColor="text1"/>
          <w:sz w:val="26"/>
          <w:szCs w:val="26"/>
        </w:rPr>
        <w:t>Final Order entered October 4, 2016</w:t>
      </w:r>
      <w:r w:rsidR="003570E1">
        <w:rPr>
          <w:color w:val="000000" w:themeColor="text1"/>
          <w:sz w:val="26"/>
          <w:szCs w:val="26"/>
        </w:rPr>
        <w:t>)</w:t>
      </w:r>
      <w:r w:rsidR="007E64BB" w:rsidRPr="007E64BB">
        <w:rPr>
          <w:color w:val="000000" w:themeColor="text1"/>
          <w:sz w:val="26"/>
          <w:szCs w:val="26"/>
        </w:rPr>
        <w:t>.</w:t>
      </w:r>
    </w:p>
    <w:p w14:paraId="02C27C32" w14:textId="73F95F5F" w:rsidR="008D4828" w:rsidRPr="007E64BB" w:rsidRDefault="008D4828" w:rsidP="00E70EA4">
      <w:pPr>
        <w:widowControl/>
        <w:spacing w:line="360" w:lineRule="auto"/>
        <w:rPr>
          <w:color w:val="000000" w:themeColor="text1"/>
          <w:sz w:val="26"/>
          <w:szCs w:val="26"/>
        </w:rPr>
      </w:pPr>
    </w:p>
    <w:p w14:paraId="728B8F0D" w14:textId="11B4B5B5" w:rsidR="00B4513A" w:rsidRDefault="00B4513A" w:rsidP="00FD3828">
      <w:pPr>
        <w:keepNext/>
        <w:widowControl/>
        <w:spacing w:line="360" w:lineRule="auto"/>
        <w:jc w:val="center"/>
        <w:rPr>
          <w:b/>
          <w:color w:val="000000" w:themeColor="text1"/>
          <w:sz w:val="26"/>
          <w:szCs w:val="26"/>
        </w:rPr>
      </w:pPr>
      <w:r w:rsidRPr="007E64BB">
        <w:rPr>
          <w:b/>
          <w:color w:val="000000" w:themeColor="text1"/>
          <w:sz w:val="26"/>
          <w:szCs w:val="26"/>
        </w:rPr>
        <w:t>Conclusion</w:t>
      </w:r>
    </w:p>
    <w:p w14:paraId="5CAB8BFC" w14:textId="77777777" w:rsidR="00AF3ECA" w:rsidRDefault="00AF3ECA" w:rsidP="00FD3828">
      <w:pPr>
        <w:keepNext/>
        <w:widowControl/>
        <w:spacing w:line="360" w:lineRule="auto"/>
        <w:jc w:val="center"/>
        <w:rPr>
          <w:b/>
          <w:color w:val="000000" w:themeColor="text1"/>
          <w:sz w:val="26"/>
          <w:szCs w:val="26"/>
        </w:rPr>
      </w:pPr>
    </w:p>
    <w:p w14:paraId="5C3F4EEC" w14:textId="56AA705E" w:rsidR="003570E1" w:rsidRPr="004F2549" w:rsidRDefault="003570E1" w:rsidP="003570E1">
      <w:pPr>
        <w:keepNext/>
        <w:widowControl/>
        <w:spacing w:line="360" w:lineRule="auto"/>
        <w:ind w:firstLine="1440"/>
        <w:rPr>
          <w:color w:val="000000" w:themeColor="text1"/>
          <w:sz w:val="26"/>
          <w:szCs w:val="26"/>
        </w:rPr>
      </w:pPr>
      <w:r w:rsidRPr="004F2549">
        <w:rPr>
          <w:color w:val="000000" w:themeColor="text1"/>
          <w:sz w:val="26"/>
          <w:szCs w:val="26"/>
        </w:rPr>
        <w:t xml:space="preserve">Based upon our review of the record and the applicable law, we shall: </w:t>
      </w:r>
      <w:r w:rsidR="00FF6DF0">
        <w:rPr>
          <w:color w:val="000000" w:themeColor="text1"/>
          <w:sz w:val="26"/>
          <w:szCs w:val="26"/>
        </w:rPr>
        <w:t xml:space="preserve"> </w:t>
      </w:r>
      <w:r w:rsidRPr="004F2549">
        <w:rPr>
          <w:color w:val="000000" w:themeColor="text1"/>
          <w:sz w:val="26"/>
          <w:szCs w:val="26"/>
        </w:rPr>
        <w:t>(1) deny the Complainant’s Exceptions; (2) adopt the ALJ’s Initial Decision; and (3) dismiss the Formal Complaint, consistent with this Opinion and Order:</w:t>
      </w:r>
      <w:r w:rsidR="00B74962">
        <w:rPr>
          <w:color w:val="000000" w:themeColor="text1"/>
          <w:sz w:val="26"/>
          <w:szCs w:val="26"/>
        </w:rPr>
        <w:t xml:space="preserve">  </w:t>
      </w:r>
      <w:r w:rsidR="00B74962" w:rsidRPr="004F2549">
        <w:rPr>
          <w:b/>
          <w:color w:val="000000" w:themeColor="text1"/>
          <w:sz w:val="26"/>
          <w:szCs w:val="26"/>
        </w:rPr>
        <w:t>THEREFORE,</w:t>
      </w:r>
    </w:p>
    <w:p w14:paraId="6EFBCCE5" w14:textId="77777777" w:rsidR="00882750" w:rsidRPr="007E64BB" w:rsidRDefault="00882750" w:rsidP="007200C4">
      <w:pPr>
        <w:widowControl/>
        <w:spacing w:line="360" w:lineRule="auto"/>
        <w:ind w:firstLine="1440"/>
        <w:rPr>
          <w:bCs/>
          <w:color w:val="000000" w:themeColor="text1"/>
          <w:sz w:val="26"/>
          <w:szCs w:val="26"/>
        </w:rPr>
      </w:pPr>
    </w:p>
    <w:p w14:paraId="0BC98745" w14:textId="7D2325DF" w:rsidR="00B4513A" w:rsidRDefault="00B4513A" w:rsidP="00AF2516">
      <w:pPr>
        <w:keepNext/>
        <w:widowControl/>
        <w:spacing w:line="360" w:lineRule="auto"/>
        <w:ind w:firstLine="1440"/>
        <w:rPr>
          <w:b/>
          <w:color w:val="000000" w:themeColor="text1"/>
          <w:sz w:val="26"/>
          <w:szCs w:val="26"/>
        </w:rPr>
      </w:pPr>
      <w:r w:rsidRPr="008836BC">
        <w:rPr>
          <w:b/>
          <w:color w:val="000000" w:themeColor="text1"/>
          <w:sz w:val="26"/>
          <w:szCs w:val="26"/>
        </w:rPr>
        <w:t>IT IS ORDERED:</w:t>
      </w:r>
    </w:p>
    <w:p w14:paraId="4870C429" w14:textId="77777777" w:rsidR="004113DB" w:rsidRPr="008836BC" w:rsidRDefault="004113DB" w:rsidP="00AF2516">
      <w:pPr>
        <w:keepNext/>
        <w:widowControl/>
        <w:spacing w:line="360" w:lineRule="auto"/>
        <w:ind w:firstLine="1440"/>
        <w:rPr>
          <w:b/>
          <w:color w:val="000000" w:themeColor="text1"/>
          <w:sz w:val="26"/>
          <w:szCs w:val="26"/>
        </w:rPr>
      </w:pPr>
    </w:p>
    <w:p w14:paraId="0149EC33" w14:textId="6BCE8D14" w:rsidR="007E64BB" w:rsidRPr="007E64BB" w:rsidRDefault="007E64BB" w:rsidP="00AD64CC">
      <w:pPr>
        <w:widowControl/>
        <w:numPr>
          <w:ilvl w:val="0"/>
          <w:numId w:val="9"/>
        </w:numPr>
        <w:spacing w:line="360" w:lineRule="auto"/>
        <w:ind w:left="0" w:firstLine="1440"/>
        <w:rPr>
          <w:bCs/>
          <w:color w:val="000000" w:themeColor="text1"/>
          <w:sz w:val="26"/>
          <w:szCs w:val="26"/>
        </w:rPr>
      </w:pPr>
      <w:r w:rsidRPr="007E64BB">
        <w:rPr>
          <w:bCs/>
          <w:color w:val="000000" w:themeColor="text1"/>
          <w:sz w:val="26"/>
          <w:szCs w:val="26"/>
        </w:rPr>
        <w:t xml:space="preserve">That the Exceptions filed by </w:t>
      </w:r>
      <w:r w:rsidR="004113DB" w:rsidRPr="004113DB">
        <w:rPr>
          <w:bCs/>
          <w:color w:val="000000" w:themeColor="text1"/>
          <w:sz w:val="26"/>
          <w:szCs w:val="26"/>
        </w:rPr>
        <w:t xml:space="preserve">A. </w:t>
      </w:r>
      <w:r w:rsidRPr="007E64BB">
        <w:rPr>
          <w:bCs/>
          <w:color w:val="000000" w:themeColor="text1"/>
          <w:sz w:val="26"/>
          <w:szCs w:val="26"/>
        </w:rPr>
        <w:t>R</w:t>
      </w:r>
      <w:r w:rsidR="004113DB" w:rsidRPr="004113DB">
        <w:rPr>
          <w:bCs/>
          <w:color w:val="000000" w:themeColor="text1"/>
          <w:sz w:val="26"/>
          <w:szCs w:val="26"/>
        </w:rPr>
        <w:t>aymond</w:t>
      </w:r>
      <w:r w:rsidRPr="007E64BB">
        <w:rPr>
          <w:bCs/>
          <w:color w:val="000000" w:themeColor="text1"/>
          <w:sz w:val="26"/>
          <w:szCs w:val="26"/>
        </w:rPr>
        <w:t xml:space="preserve"> </w:t>
      </w:r>
      <w:r w:rsidR="004113DB" w:rsidRPr="004113DB">
        <w:rPr>
          <w:bCs/>
          <w:color w:val="000000" w:themeColor="text1"/>
          <w:sz w:val="26"/>
          <w:szCs w:val="26"/>
        </w:rPr>
        <w:t>Kochis</w:t>
      </w:r>
      <w:r w:rsidRPr="007E64BB">
        <w:rPr>
          <w:bCs/>
          <w:color w:val="000000" w:themeColor="text1"/>
          <w:sz w:val="26"/>
          <w:szCs w:val="26"/>
        </w:rPr>
        <w:t xml:space="preserve"> on </w:t>
      </w:r>
      <w:r w:rsidR="004113DB" w:rsidRPr="004113DB">
        <w:rPr>
          <w:bCs/>
          <w:color w:val="000000" w:themeColor="text1"/>
          <w:sz w:val="26"/>
          <w:szCs w:val="26"/>
        </w:rPr>
        <w:t>October</w:t>
      </w:r>
      <w:r w:rsidR="00FF6DF0">
        <w:rPr>
          <w:bCs/>
          <w:color w:val="000000" w:themeColor="text1"/>
          <w:sz w:val="26"/>
          <w:szCs w:val="26"/>
        </w:rPr>
        <w:t> </w:t>
      </w:r>
      <w:r w:rsidR="004113DB" w:rsidRPr="004113DB">
        <w:rPr>
          <w:bCs/>
          <w:color w:val="000000" w:themeColor="text1"/>
          <w:sz w:val="26"/>
          <w:szCs w:val="26"/>
        </w:rPr>
        <w:t>20,</w:t>
      </w:r>
      <w:r w:rsidR="00FF6DF0">
        <w:rPr>
          <w:bCs/>
          <w:color w:val="000000" w:themeColor="text1"/>
          <w:sz w:val="26"/>
          <w:szCs w:val="26"/>
        </w:rPr>
        <w:t> </w:t>
      </w:r>
      <w:r w:rsidR="004113DB" w:rsidRPr="004113DB">
        <w:rPr>
          <w:bCs/>
          <w:color w:val="000000" w:themeColor="text1"/>
          <w:sz w:val="26"/>
          <w:szCs w:val="26"/>
        </w:rPr>
        <w:t>2020</w:t>
      </w:r>
      <w:r w:rsidRPr="007E64BB">
        <w:rPr>
          <w:bCs/>
          <w:color w:val="000000" w:themeColor="text1"/>
          <w:sz w:val="26"/>
          <w:szCs w:val="26"/>
        </w:rPr>
        <w:t xml:space="preserve">, to the Initial Decision of Deputy Chief Administrative Law Judge </w:t>
      </w:r>
      <w:r w:rsidR="004113DB" w:rsidRPr="004113DB">
        <w:rPr>
          <w:bCs/>
          <w:color w:val="000000" w:themeColor="text1"/>
          <w:sz w:val="26"/>
          <w:szCs w:val="26"/>
        </w:rPr>
        <w:t>Mark A. Hoyer</w:t>
      </w:r>
      <w:r w:rsidRPr="007E64BB">
        <w:rPr>
          <w:bCs/>
          <w:color w:val="000000" w:themeColor="text1"/>
          <w:sz w:val="26"/>
          <w:szCs w:val="26"/>
        </w:rPr>
        <w:t>,</w:t>
      </w:r>
      <w:r w:rsidR="004113DB" w:rsidRPr="004113DB">
        <w:rPr>
          <w:bCs/>
          <w:color w:val="000000" w:themeColor="text1"/>
          <w:sz w:val="26"/>
          <w:szCs w:val="26"/>
        </w:rPr>
        <w:t xml:space="preserve"> </w:t>
      </w:r>
      <w:r w:rsidRPr="007E64BB">
        <w:rPr>
          <w:bCs/>
          <w:color w:val="000000" w:themeColor="text1"/>
          <w:sz w:val="26"/>
          <w:szCs w:val="26"/>
        </w:rPr>
        <w:t xml:space="preserve">issued on </w:t>
      </w:r>
      <w:r w:rsidR="004113DB" w:rsidRPr="004113DB">
        <w:rPr>
          <w:bCs/>
          <w:color w:val="000000" w:themeColor="text1"/>
          <w:sz w:val="26"/>
          <w:szCs w:val="26"/>
        </w:rPr>
        <w:t>September 30</w:t>
      </w:r>
      <w:r w:rsidRPr="007E64BB">
        <w:rPr>
          <w:bCs/>
          <w:color w:val="000000" w:themeColor="text1"/>
          <w:sz w:val="26"/>
          <w:szCs w:val="26"/>
        </w:rPr>
        <w:t>, 202</w:t>
      </w:r>
      <w:r w:rsidR="004113DB" w:rsidRPr="004113DB">
        <w:rPr>
          <w:bCs/>
          <w:color w:val="000000" w:themeColor="text1"/>
          <w:sz w:val="26"/>
          <w:szCs w:val="26"/>
        </w:rPr>
        <w:t>0</w:t>
      </w:r>
      <w:r w:rsidRPr="007E64BB">
        <w:rPr>
          <w:bCs/>
          <w:color w:val="000000" w:themeColor="text1"/>
          <w:sz w:val="26"/>
          <w:szCs w:val="26"/>
        </w:rPr>
        <w:t xml:space="preserve">, at Docket No. </w:t>
      </w:r>
      <w:r w:rsidR="004113DB" w:rsidRPr="004113DB">
        <w:rPr>
          <w:bCs/>
          <w:color w:val="000000" w:themeColor="text1"/>
          <w:sz w:val="26"/>
          <w:szCs w:val="26"/>
        </w:rPr>
        <w:t>C-2019-3012955</w:t>
      </w:r>
      <w:r w:rsidRPr="007E64BB">
        <w:rPr>
          <w:bCs/>
          <w:color w:val="000000" w:themeColor="text1"/>
          <w:sz w:val="26"/>
          <w:szCs w:val="26"/>
        </w:rPr>
        <w:t>, are denied, consistent with this Opinion and Order.</w:t>
      </w:r>
    </w:p>
    <w:p w14:paraId="0BF6FF07" w14:textId="77777777" w:rsidR="007E64BB" w:rsidRPr="007E64BB" w:rsidRDefault="007E64BB" w:rsidP="007E64BB">
      <w:pPr>
        <w:widowControl/>
        <w:spacing w:line="360" w:lineRule="auto"/>
        <w:ind w:firstLine="1440"/>
        <w:rPr>
          <w:bCs/>
          <w:color w:val="000000" w:themeColor="text1"/>
          <w:sz w:val="26"/>
          <w:szCs w:val="26"/>
        </w:rPr>
      </w:pPr>
    </w:p>
    <w:p w14:paraId="1DA26040" w14:textId="3C263B55" w:rsidR="007E64BB" w:rsidRPr="007E64BB" w:rsidRDefault="007E64BB" w:rsidP="00AD64CC">
      <w:pPr>
        <w:widowControl/>
        <w:numPr>
          <w:ilvl w:val="0"/>
          <w:numId w:val="9"/>
        </w:numPr>
        <w:spacing w:line="360" w:lineRule="auto"/>
        <w:ind w:left="0" w:firstLine="1440"/>
        <w:rPr>
          <w:bCs/>
          <w:color w:val="000000" w:themeColor="text1"/>
          <w:sz w:val="26"/>
          <w:szCs w:val="26"/>
        </w:rPr>
      </w:pPr>
      <w:r w:rsidRPr="007E64BB">
        <w:rPr>
          <w:bCs/>
          <w:color w:val="000000" w:themeColor="text1"/>
          <w:sz w:val="26"/>
          <w:szCs w:val="26"/>
        </w:rPr>
        <w:t xml:space="preserve">That the Initial Decision of Deputy Chief Administrative Law Judge </w:t>
      </w:r>
      <w:r w:rsidR="004113DB">
        <w:rPr>
          <w:bCs/>
          <w:color w:val="000000" w:themeColor="text1"/>
          <w:sz w:val="26"/>
          <w:szCs w:val="26"/>
        </w:rPr>
        <w:t>Mark A. Hoyer</w:t>
      </w:r>
      <w:r w:rsidRPr="007E64BB">
        <w:rPr>
          <w:bCs/>
          <w:color w:val="000000" w:themeColor="text1"/>
          <w:sz w:val="26"/>
          <w:szCs w:val="26"/>
        </w:rPr>
        <w:t xml:space="preserve">, </w:t>
      </w:r>
      <w:r w:rsidR="00E35A5D" w:rsidRPr="007E64BB">
        <w:rPr>
          <w:bCs/>
          <w:color w:val="000000" w:themeColor="text1"/>
          <w:sz w:val="26"/>
          <w:szCs w:val="26"/>
        </w:rPr>
        <w:t xml:space="preserve">issued on </w:t>
      </w:r>
      <w:r w:rsidR="00E35A5D" w:rsidRPr="00E35A5D">
        <w:rPr>
          <w:bCs/>
          <w:color w:val="000000" w:themeColor="text1"/>
          <w:sz w:val="26"/>
          <w:szCs w:val="26"/>
        </w:rPr>
        <w:t>September 30</w:t>
      </w:r>
      <w:r w:rsidR="00E35A5D" w:rsidRPr="007E64BB">
        <w:rPr>
          <w:bCs/>
          <w:color w:val="000000" w:themeColor="text1"/>
          <w:sz w:val="26"/>
          <w:szCs w:val="26"/>
        </w:rPr>
        <w:t>, 202</w:t>
      </w:r>
      <w:r w:rsidR="00E35A5D" w:rsidRPr="00E35A5D">
        <w:rPr>
          <w:bCs/>
          <w:color w:val="000000" w:themeColor="text1"/>
          <w:sz w:val="26"/>
          <w:szCs w:val="26"/>
        </w:rPr>
        <w:t>0</w:t>
      </w:r>
      <w:r w:rsidR="00E35A5D" w:rsidRPr="007E64BB">
        <w:rPr>
          <w:bCs/>
          <w:color w:val="000000" w:themeColor="text1"/>
          <w:sz w:val="26"/>
          <w:szCs w:val="26"/>
        </w:rPr>
        <w:t xml:space="preserve">, at Docket No. </w:t>
      </w:r>
      <w:r w:rsidR="00E35A5D" w:rsidRPr="00E35A5D">
        <w:rPr>
          <w:bCs/>
          <w:color w:val="000000" w:themeColor="text1"/>
          <w:sz w:val="26"/>
          <w:szCs w:val="26"/>
        </w:rPr>
        <w:t>C-2019-3012955</w:t>
      </w:r>
      <w:r w:rsidRPr="007E64BB">
        <w:rPr>
          <w:bCs/>
          <w:color w:val="000000" w:themeColor="text1"/>
          <w:sz w:val="26"/>
          <w:szCs w:val="26"/>
        </w:rPr>
        <w:t>, is adopted, consistent with this Opinion and Order.</w:t>
      </w:r>
    </w:p>
    <w:p w14:paraId="795338C6" w14:textId="77777777" w:rsidR="007E64BB" w:rsidRPr="007E64BB" w:rsidRDefault="007E64BB" w:rsidP="007E64BB">
      <w:pPr>
        <w:widowControl/>
        <w:spacing w:line="360" w:lineRule="auto"/>
        <w:ind w:firstLine="1440"/>
        <w:rPr>
          <w:bCs/>
          <w:color w:val="000000" w:themeColor="text1"/>
          <w:sz w:val="26"/>
          <w:szCs w:val="26"/>
        </w:rPr>
      </w:pPr>
    </w:p>
    <w:p w14:paraId="08B5EAFF" w14:textId="4353BC9F" w:rsidR="007E64BB" w:rsidRPr="007E64BB" w:rsidRDefault="007E64BB" w:rsidP="00AD64CC">
      <w:pPr>
        <w:widowControl/>
        <w:numPr>
          <w:ilvl w:val="0"/>
          <w:numId w:val="9"/>
        </w:numPr>
        <w:spacing w:line="360" w:lineRule="auto"/>
        <w:ind w:left="0" w:firstLine="1440"/>
        <w:rPr>
          <w:bCs/>
          <w:color w:val="000000" w:themeColor="text1"/>
          <w:sz w:val="26"/>
          <w:szCs w:val="26"/>
        </w:rPr>
      </w:pPr>
      <w:r w:rsidRPr="007E64BB">
        <w:rPr>
          <w:bCs/>
          <w:color w:val="000000" w:themeColor="text1"/>
          <w:sz w:val="26"/>
          <w:szCs w:val="26"/>
        </w:rPr>
        <w:t xml:space="preserve">That the Formal Complaint filed by </w:t>
      </w:r>
      <w:r w:rsidR="00E35A5D">
        <w:rPr>
          <w:bCs/>
          <w:color w:val="000000" w:themeColor="text1"/>
          <w:sz w:val="26"/>
          <w:szCs w:val="26"/>
        </w:rPr>
        <w:t xml:space="preserve">A. Raymond </w:t>
      </w:r>
      <w:proofErr w:type="spellStart"/>
      <w:r w:rsidR="00E35A5D">
        <w:rPr>
          <w:bCs/>
          <w:color w:val="000000" w:themeColor="text1"/>
          <w:sz w:val="26"/>
          <w:szCs w:val="26"/>
        </w:rPr>
        <w:t>Kochis</w:t>
      </w:r>
      <w:proofErr w:type="spellEnd"/>
      <w:r w:rsidRPr="007E64BB">
        <w:rPr>
          <w:bCs/>
          <w:color w:val="000000" w:themeColor="text1"/>
          <w:sz w:val="26"/>
          <w:szCs w:val="26"/>
        </w:rPr>
        <w:t>, at Docket No.</w:t>
      </w:r>
      <w:r w:rsidR="00B74962">
        <w:rPr>
          <w:bCs/>
          <w:color w:val="000000" w:themeColor="text1"/>
          <w:sz w:val="26"/>
          <w:szCs w:val="26"/>
        </w:rPr>
        <w:t xml:space="preserve"> </w:t>
      </w:r>
      <w:r w:rsidR="00E35A5D" w:rsidRPr="00E35A5D">
        <w:rPr>
          <w:bCs/>
          <w:color w:val="000000" w:themeColor="text1"/>
          <w:sz w:val="26"/>
          <w:szCs w:val="26"/>
        </w:rPr>
        <w:t>C-2019-3012955</w:t>
      </w:r>
      <w:r w:rsidR="00E35A5D">
        <w:rPr>
          <w:bCs/>
          <w:color w:val="000000" w:themeColor="text1"/>
          <w:sz w:val="26"/>
          <w:szCs w:val="26"/>
        </w:rPr>
        <w:t>,</w:t>
      </w:r>
      <w:r w:rsidRPr="007E64BB">
        <w:rPr>
          <w:bCs/>
          <w:color w:val="000000" w:themeColor="text1"/>
          <w:sz w:val="26"/>
          <w:szCs w:val="26"/>
        </w:rPr>
        <w:t xml:space="preserve"> is dismissed.</w:t>
      </w:r>
    </w:p>
    <w:p w14:paraId="4604F973" w14:textId="77777777" w:rsidR="007E64BB" w:rsidRPr="007E64BB" w:rsidRDefault="007E64BB" w:rsidP="007E64BB">
      <w:pPr>
        <w:widowControl/>
        <w:spacing w:line="360" w:lineRule="auto"/>
        <w:ind w:firstLine="1440"/>
        <w:rPr>
          <w:bCs/>
          <w:color w:val="000000" w:themeColor="text1"/>
          <w:sz w:val="26"/>
          <w:szCs w:val="26"/>
        </w:rPr>
      </w:pPr>
    </w:p>
    <w:p w14:paraId="47E28F30" w14:textId="77777777" w:rsidR="007E64BB" w:rsidRPr="007E64BB" w:rsidRDefault="007E64BB" w:rsidP="00AF3ECA">
      <w:pPr>
        <w:keepNext/>
        <w:keepLines/>
        <w:widowControl/>
        <w:numPr>
          <w:ilvl w:val="0"/>
          <w:numId w:val="9"/>
        </w:numPr>
        <w:spacing w:line="360" w:lineRule="auto"/>
        <w:ind w:firstLine="720"/>
        <w:rPr>
          <w:bCs/>
          <w:color w:val="000000" w:themeColor="text1"/>
          <w:sz w:val="26"/>
          <w:szCs w:val="26"/>
        </w:rPr>
      </w:pPr>
      <w:r w:rsidRPr="007E64BB">
        <w:rPr>
          <w:bCs/>
          <w:color w:val="000000" w:themeColor="text1"/>
          <w:sz w:val="26"/>
          <w:szCs w:val="26"/>
        </w:rPr>
        <w:t>That the Secretary’s Bureau mark this matter closed.</w:t>
      </w:r>
    </w:p>
    <w:p w14:paraId="3024BE3D" w14:textId="2D3C2FBF" w:rsidR="00CF0D61" w:rsidRPr="00457E90" w:rsidRDefault="00CF0D61" w:rsidP="00AF3ECA">
      <w:pPr>
        <w:keepNext/>
        <w:keepLines/>
        <w:widowControl/>
        <w:spacing w:line="360" w:lineRule="auto"/>
        <w:rPr>
          <w:color w:val="000000" w:themeColor="text1"/>
          <w:sz w:val="26"/>
          <w:szCs w:val="26"/>
        </w:rPr>
      </w:pPr>
    </w:p>
    <w:p w14:paraId="0CA2F1CC" w14:textId="4BCED55A" w:rsidR="000F1318" w:rsidRPr="00457E90" w:rsidRDefault="000F1318" w:rsidP="00AF3ECA">
      <w:pPr>
        <w:keepNext/>
        <w:keepLines/>
        <w:widowControl/>
        <w:ind w:firstLine="5040"/>
        <w:rPr>
          <w:color w:val="000000" w:themeColor="text1"/>
          <w:sz w:val="26"/>
          <w:szCs w:val="26"/>
        </w:rPr>
      </w:pPr>
      <w:r w:rsidRPr="00457E90">
        <w:rPr>
          <w:b/>
          <w:color w:val="000000" w:themeColor="text1"/>
          <w:sz w:val="26"/>
          <w:szCs w:val="26"/>
        </w:rPr>
        <w:t>BY THE COMMISSION,</w:t>
      </w:r>
    </w:p>
    <w:p w14:paraId="6AF02D71" w14:textId="79007C56" w:rsidR="000F1318" w:rsidRPr="00457E90" w:rsidRDefault="009F586D" w:rsidP="001B1107">
      <w:pPr>
        <w:keepNext/>
        <w:keepLines/>
        <w:widowControl/>
        <w:ind w:firstLine="5040"/>
        <w:rPr>
          <w:color w:val="000000" w:themeColor="text1"/>
          <w:sz w:val="26"/>
          <w:szCs w:val="26"/>
        </w:rPr>
      </w:pPr>
      <w:r>
        <w:rPr>
          <w:noProof/>
        </w:rPr>
        <w:drawing>
          <wp:anchor distT="0" distB="0" distL="114300" distR="114300" simplePos="0" relativeHeight="251659264" behindDoc="1" locked="0" layoutInCell="1" allowOverlap="1" wp14:anchorId="53FB1C1D" wp14:editId="3EEE7D3E">
            <wp:simplePos x="0" y="0"/>
            <wp:positionH relativeFrom="column">
              <wp:posOffset>3114675</wp:posOffset>
            </wp:positionH>
            <wp:positionV relativeFrom="paragraph">
              <wp:posOffset>10795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20C88B7B" w14:textId="77777777" w:rsidR="004538BD" w:rsidRPr="00457E90" w:rsidRDefault="004538BD" w:rsidP="001B1107">
      <w:pPr>
        <w:keepNext/>
        <w:keepLines/>
        <w:widowControl/>
        <w:ind w:firstLine="5040"/>
        <w:rPr>
          <w:color w:val="000000" w:themeColor="text1"/>
          <w:sz w:val="26"/>
          <w:szCs w:val="26"/>
        </w:rPr>
      </w:pPr>
    </w:p>
    <w:p w14:paraId="1B0C2E55" w14:textId="77777777" w:rsidR="008C474D" w:rsidRPr="00457E90" w:rsidRDefault="008C474D" w:rsidP="001B1107">
      <w:pPr>
        <w:keepNext/>
        <w:keepLines/>
        <w:widowControl/>
        <w:ind w:firstLine="5040"/>
        <w:rPr>
          <w:color w:val="000000" w:themeColor="text1"/>
          <w:sz w:val="26"/>
          <w:szCs w:val="26"/>
        </w:rPr>
      </w:pPr>
    </w:p>
    <w:p w14:paraId="3D5A241B" w14:textId="77777777" w:rsidR="00353974" w:rsidRPr="00457E90" w:rsidRDefault="00353974" w:rsidP="001B1107">
      <w:pPr>
        <w:keepNext/>
        <w:keepLines/>
        <w:widowControl/>
        <w:ind w:firstLine="5040"/>
        <w:rPr>
          <w:color w:val="000000" w:themeColor="text1"/>
          <w:sz w:val="26"/>
          <w:szCs w:val="26"/>
        </w:rPr>
      </w:pPr>
    </w:p>
    <w:p w14:paraId="4628069C" w14:textId="77777777" w:rsidR="00600F6F" w:rsidRPr="00457E90" w:rsidRDefault="00600F6F" w:rsidP="001B1107">
      <w:pPr>
        <w:keepNext/>
        <w:keepLines/>
        <w:widowControl/>
        <w:ind w:firstLine="5040"/>
        <w:rPr>
          <w:color w:val="000000" w:themeColor="text1"/>
          <w:sz w:val="26"/>
          <w:szCs w:val="26"/>
        </w:rPr>
      </w:pPr>
      <w:r w:rsidRPr="00457E90">
        <w:rPr>
          <w:color w:val="000000" w:themeColor="text1"/>
          <w:sz w:val="26"/>
          <w:szCs w:val="26"/>
        </w:rPr>
        <w:t>Rosemary Chiavetta</w:t>
      </w:r>
    </w:p>
    <w:p w14:paraId="0892709B" w14:textId="77777777" w:rsidR="000F1318" w:rsidRPr="00457E90" w:rsidRDefault="000F1318" w:rsidP="001B1107">
      <w:pPr>
        <w:keepNext/>
        <w:keepLines/>
        <w:widowControl/>
        <w:ind w:firstLine="5040"/>
        <w:rPr>
          <w:color w:val="000000" w:themeColor="text1"/>
          <w:sz w:val="26"/>
          <w:szCs w:val="26"/>
        </w:rPr>
      </w:pPr>
      <w:r w:rsidRPr="00457E90">
        <w:rPr>
          <w:color w:val="000000" w:themeColor="text1"/>
          <w:sz w:val="26"/>
          <w:szCs w:val="26"/>
        </w:rPr>
        <w:t>Secretary</w:t>
      </w:r>
    </w:p>
    <w:p w14:paraId="74F6AD4B" w14:textId="77777777" w:rsidR="00B12270" w:rsidRPr="00457E90" w:rsidRDefault="00B12270" w:rsidP="00FF6DF0">
      <w:pPr>
        <w:keepNext/>
        <w:keepLines/>
        <w:widowControl/>
        <w:rPr>
          <w:color w:val="000000" w:themeColor="text1"/>
          <w:sz w:val="26"/>
          <w:szCs w:val="26"/>
        </w:rPr>
      </w:pPr>
    </w:p>
    <w:p w14:paraId="3662FEEC" w14:textId="77777777" w:rsidR="000F1318" w:rsidRPr="00457E90" w:rsidRDefault="000F1318">
      <w:pPr>
        <w:keepNext/>
        <w:keepLines/>
        <w:widowControl/>
        <w:rPr>
          <w:color w:val="000000" w:themeColor="text1"/>
          <w:sz w:val="26"/>
          <w:szCs w:val="26"/>
        </w:rPr>
      </w:pPr>
      <w:r w:rsidRPr="00457E90">
        <w:rPr>
          <w:color w:val="000000" w:themeColor="text1"/>
          <w:sz w:val="26"/>
          <w:szCs w:val="26"/>
        </w:rPr>
        <w:t>(SEAL)</w:t>
      </w:r>
    </w:p>
    <w:p w14:paraId="0EDA7423" w14:textId="77777777" w:rsidR="000F1318" w:rsidRPr="00457E90" w:rsidRDefault="000F1318">
      <w:pPr>
        <w:keepNext/>
        <w:keepLines/>
        <w:widowControl/>
        <w:rPr>
          <w:color w:val="000000" w:themeColor="text1"/>
          <w:sz w:val="26"/>
          <w:szCs w:val="26"/>
        </w:rPr>
      </w:pPr>
    </w:p>
    <w:p w14:paraId="6DA6125E" w14:textId="2DA69617" w:rsidR="000F1318" w:rsidRPr="00457E90" w:rsidRDefault="00F248A4" w:rsidP="001B1107">
      <w:pPr>
        <w:keepNext/>
        <w:widowControl/>
        <w:rPr>
          <w:color w:val="000000" w:themeColor="text1"/>
          <w:sz w:val="26"/>
          <w:szCs w:val="26"/>
        </w:rPr>
      </w:pPr>
      <w:r w:rsidRPr="00457E90">
        <w:rPr>
          <w:color w:val="000000" w:themeColor="text1"/>
          <w:sz w:val="26"/>
          <w:szCs w:val="26"/>
        </w:rPr>
        <w:t>ORDER ADOPTED:</w:t>
      </w:r>
      <w:r w:rsidR="00E04E57" w:rsidRPr="00457E90">
        <w:rPr>
          <w:color w:val="000000" w:themeColor="text1"/>
          <w:sz w:val="26"/>
          <w:szCs w:val="26"/>
        </w:rPr>
        <w:t xml:space="preserve">  </w:t>
      </w:r>
      <w:r w:rsidR="001F5915">
        <w:rPr>
          <w:color w:val="000000" w:themeColor="text1"/>
          <w:sz w:val="26"/>
          <w:szCs w:val="26"/>
        </w:rPr>
        <w:t>January 13, 2022</w:t>
      </w:r>
    </w:p>
    <w:p w14:paraId="171B8E12" w14:textId="77777777" w:rsidR="0077592B" w:rsidRPr="00457E90" w:rsidRDefault="0077592B" w:rsidP="001B1107">
      <w:pPr>
        <w:keepNext/>
        <w:widowControl/>
        <w:rPr>
          <w:color w:val="000000" w:themeColor="text1"/>
          <w:sz w:val="26"/>
          <w:szCs w:val="26"/>
        </w:rPr>
      </w:pPr>
    </w:p>
    <w:p w14:paraId="17260E00" w14:textId="71239F9C" w:rsidR="00F272E7" w:rsidRPr="00457E90" w:rsidRDefault="000F1318" w:rsidP="001B1107">
      <w:pPr>
        <w:keepNext/>
        <w:widowControl/>
        <w:rPr>
          <w:b/>
          <w:color w:val="000000" w:themeColor="text1"/>
          <w:sz w:val="26"/>
          <w:szCs w:val="26"/>
        </w:rPr>
      </w:pPr>
      <w:r w:rsidRPr="00457E90">
        <w:rPr>
          <w:color w:val="000000" w:themeColor="text1"/>
          <w:sz w:val="26"/>
          <w:szCs w:val="26"/>
        </w:rPr>
        <w:t>ORDER ENTERED:</w:t>
      </w:r>
      <w:r w:rsidR="002A6384" w:rsidRPr="00457E90">
        <w:rPr>
          <w:color w:val="000000" w:themeColor="text1"/>
          <w:sz w:val="26"/>
          <w:szCs w:val="26"/>
        </w:rPr>
        <w:t xml:space="preserve">  </w:t>
      </w:r>
      <w:r w:rsidR="009F586D">
        <w:rPr>
          <w:color w:val="000000" w:themeColor="text1"/>
          <w:sz w:val="26"/>
          <w:szCs w:val="26"/>
        </w:rPr>
        <w:t>January 13, 2022</w:t>
      </w:r>
    </w:p>
    <w:sectPr w:rsidR="00F272E7" w:rsidRPr="00457E90" w:rsidSect="003742C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D032" w14:textId="77777777" w:rsidR="005E522B" w:rsidRDefault="005E522B">
      <w:r>
        <w:separator/>
      </w:r>
    </w:p>
  </w:endnote>
  <w:endnote w:type="continuationSeparator" w:id="0">
    <w:p w14:paraId="16A6D31F" w14:textId="77777777" w:rsidR="005E522B" w:rsidRDefault="005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27D1" w14:textId="6F7AA943"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817D1">
      <w:rPr>
        <w:rStyle w:val="PageNumber"/>
        <w:noProof/>
        <w:sz w:val="26"/>
      </w:rPr>
      <w:t>8</w:t>
    </w:r>
    <w:r w:rsidRPr="00C7667D">
      <w:rPr>
        <w:rStyle w:val="PageNumber"/>
        <w:sz w:val="26"/>
      </w:rPr>
      <w:fldChar w:fldCharType="end"/>
    </w:r>
  </w:p>
  <w:p w14:paraId="581B4382" w14:textId="77777777" w:rsidR="005E5EF9" w:rsidRDefault="005E5EF9"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951" w14:textId="77777777" w:rsidR="00ED50E2" w:rsidRDefault="00ED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29C01" w14:textId="77777777" w:rsidR="005E522B" w:rsidRDefault="005E522B">
      <w:r>
        <w:separator/>
      </w:r>
    </w:p>
  </w:footnote>
  <w:footnote w:type="continuationSeparator" w:id="0">
    <w:p w14:paraId="42BCCAE9" w14:textId="77777777" w:rsidR="005E522B" w:rsidRDefault="005E522B">
      <w:r>
        <w:continuationSeparator/>
      </w:r>
    </w:p>
  </w:footnote>
  <w:footnote w:id="1">
    <w:p w14:paraId="77B1E990" w14:textId="7E0BEA4A" w:rsidR="00EC0395" w:rsidRPr="00546D2A" w:rsidRDefault="00EC0395" w:rsidP="008D4B51">
      <w:pPr>
        <w:pStyle w:val="FootnoteText"/>
        <w:keepLines/>
        <w:ind w:firstLine="720"/>
        <w:rPr>
          <w:sz w:val="26"/>
          <w:szCs w:val="26"/>
        </w:rPr>
      </w:pPr>
      <w:r w:rsidRPr="00546D2A">
        <w:rPr>
          <w:rStyle w:val="FootnoteReference"/>
          <w:sz w:val="26"/>
          <w:szCs w:val="26"/>
        </w:rPr>
        <w:footnoteRef/>
      </w:r>
      <w:r w:rsidRPr="00546D2A">
        <w:rPr>
          <w:sz w:val="26"/>
          <w:szCs w:val="26"/>
        </w:rPr>
        <w:t xml:space="preserve"> </w:t>
      </w:r>
      <w:r w:rsidRPr="00546D2A">
        <w:rPr>
          <w:sz w:val="26"/>
          <w:szCs w:val="26"/>
        </w:rPr>
        <w:tab/>
        <w:t>On October 20, 2020</w:t>
      </w:r>
      <w:r>
        <w:rPr>
          <w:sz w:val="26"/>
          <w:szCs w:val="26"/>
        </w:rPr>
        <w:t>, the</w:t>
      </w:r>
      <w:r w:rsidRPr="00546D2A">
        <w:rPr>
          <w:sz w:val="26"/>
          <w:szCs w:val="26"/>
        </w:rPr>
        <w:t xml:space="preserve"> Complainant filed a letter that the Commission’s Secretary treated as Exceptions.  Because there was no indication that this letter had been served on Duquesne, by Secretarial Letter dated November 20, 2020</w:t>
      </w:r>
      <w:r>
        <w:rPr>
          <w:sz w:val="26"/>
          <w:szCs w:val="26"/>
        </w:rPr>
        <w:t>,</w:t>
      </w:r>
      <w:r w:rsidRPr="00546D2A">
        <w:rPr>
          <w:sz w:val="26"/>
          <w:szCs w:val="26"/>
        </w:rPr>
        <w:t xml:space="preserve"> the Commission’s Secretary served it on Duquesne</w:t>
      </w:r>
      <w:r>
        <w:rPr>
          <w:sz w:val="26"/>
          <w:szCs w:val="26"/>
        </w:rPr>
        <w:t xml:space="preserve"> </w:t>
      </w:r>
      <w:r w:rsidRPr="00546D2A">
        <w:rPr>
          <w:sz w:val="26"/>
          <w:szCs w:val="26"/>
        </w:rPr>
        <w:t>and directed that a Reply to Exceptions be filed by November 30, 2020.  On November 30, 2020</w:t>
      </w:r>
      <w:r>
        <w:rPr>
          <w:sz w:val="26"/>
          <w:szCs w:val="26"/>
        </w:rPr>
        <w:t>,</w:t>
      </w:r>
      <w:r w:rsidRPr="00546D2A">
        <w:rPr>
          <w:sz w:val="26"/>
          <w:szCs w:val="26"/>
        </w:rPr>
        <w:t xml:space="preserve"> Duquesne filed and served its Reply Exceptions.  Subsequently, on December 8, 2020</w:t>
      </w:r>
      <w:r>
        <w:rPr>
          <w:sz w:val="26"/>
          <w:szCs w:val="26"/>
        </w:rPr>
        <w:t>,</w:t>
      </w:r>
      <w:r w:rsidRPr="00546D2A">
        <w:rPr>
          <w:sz w:val="26"/>
          <w:szCs w:val="26"/>
        </w:rPr>
        <w:t xml:space="preserve"> </w:t>
      </w:r>
      <w:r>
        <w:rPr>
          <w:sz w:val="26"/>
          <w:szCs w:val="26"/>
        </w:rPr>
        <w:t xml:space="preserve">the </w:t>
      </w:r>
      <w:r w:rsidRPr="00546D2A">
        <w:rPr>
          <w:sz w:val="26"/>
          <w:szCs w:val="26"/>
        </w:rPr>
        <w:t>Complainant filed another letter which he labeled “Exceptions</w:t>
      </w:r>
      <w:r>
        <w:rPr>
          <w:sz w:val="26"/>
          <w:szCs w:val="26"/>
        </w:rPr>
        <w:t>.</w:t>
      </w:r>
      <w:r w:rsidRPr="00546D2A">
        <w:rPr>
          <w:sz w:val="26"/>
          <w:szCs w:val="26"/>
        </w:rPr>
        <w:t xml:space="preserve">”  </w:t>
      </w:r>
      <w:r>
        <w:rPr>
          <w:sz w:val="26"/>
          <w:szCs w:val="26"/>
        </w:rPr>
        <w:t xml:space="preserve">The </w:t>
      </w:r>
      <w:r w:rsidRPr="00546D2A">
        <w:rPr>
          <w:sz w:val="26"/>
          <w:szCs w:val="26"/>
        </w:rPr>
        <w:t>Complainant thereafter filed two more letters on January 28, 2021 and February 25,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0665" w14:textId="77777777" w:rsidR="005936DC" w:rsidRDefault="00593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00EC" w14:textId="77777777" w:rsidR="005936DC" w:rsidRDefault="00593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FB64" w14:textId="77777777" w:rsidR="005936DC" w:rsidRDefault="00593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2BF5D13"/>
    <w:multiLevelType w:val="hybridMultilevel"/>
    <w:tmpl w:val="B3881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114A6C"/>
    <w:multiLevelType w:val="hybridMultilevel"/>
    <w:tmpl w:val="748C9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3"/>
  </w:num>
  <w:num w:numId="4">
    <w:abstractNumId w:val="8"/>
  </w:num>
  <w:num w:numId="5">
    <w:abstractNumId w:val="5"/>
  </w:num>
  <w:num w:numId="6">
    <w:abstractNumId w:val="0"/>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0349"/>
    <w:rsid w:val="00001380"/>
    <w:rsid w:val="00001873"/>
    <w:rsid w:val="00001970"/>
    <w:rsid w:val="00002203"/>
    <w:rsid w:val="00002348"/>
    <w:rsid w:val="00002CE4"/>
    <w:rsid w:val="00002F2A"/>
    <w:rsid w:val="00002F49"/>
    <w:rsid w:val="000038D3"/>
    <w:rsid w:val="0000415E"/>
    <w:rsid w:val="0000570A"/>
    <w:rsid w:val="00005EE1"/>
    <w:rsid w:val="00005F78"/>
    <w:rsid w:val="00005FB8"/>
    <w:rsid w:val="0000645C"/>
    <w:rsid w:val="000065AF"/>
    <w:rsid w:val="00007440"/>
    <w:rsid w:val="000074DC"/>
    <w:rsid w:val="00007503"/>
    <w:rsid w:val="00007597"/>
    <w:rsid w:val="00007888"/>
    <w:rsid w:val="0001099D"/>
    <w:rsid w:val="00010E45"/>
    <w:rsid w:val="00012D0C"/>
    <w:rsid w:val="000138C9"/>
    <w:rsid w:val="00013FDE"/>
    <w:rsid w:val="00014C68"/>
    <w:rsid w:val="000158F2"/>
    <w:rsid w:val="00015A01"/>
    <w:rsid w:val="00016B3D"/>
    <w:rsid w:val="00020552"/>
    <w:rsid w:val="00020E43"/>
    <w:rsid w:val="00021A75"/>
    <w:rsid w:val="00022D45"/>
    <w:rsid w:val="00023536"/>
    <w:rsid w:val="0002355F"/>
    <w:rsid w:val="00023FCD"/>
    <w:rsid w:val="000310BE"/>
    <w:rsid w:val="000323A8"/>
    <w:rsid w:val="00033C9A"/>
    <w:rsid w:val="00034CD7"/>
    <w:rsid w:val="00036927"/>
    <w:rsid w:val="000369A9"/>
    <w:rsid w:val="00042598"/>
    <w:rsid w:val="00042F9E"/>
    <w:rsid w:val="000438A2"/>
    <w:rsid w:val="00044CC4"/>
    <w:rsid w:val="000457DE"/>
    <w:rsid w:val="00045A7A"/>
    <w:rsid w:val="00045D01"/>
    <w:rsid w:val="00047D2B"/>
    <w:rsid w:val="000505E5"/>
    <w:rsid w:val="00051647"/>
    <w:rsid w:val="00052BDC"/>
    <w:rsid w:val="00053CED"/>
    <w:rsid w:val="000549A7"/>
    <w:rsid w:val="00055C2D"/>
    <w:rsid w:val="00055D1D"/>
    <w:rsid w:val="00056AD8"/>
    <w:rsid w:val="00056EA7"/>
    <w:rsid w:val="00057057"/>
    <w:rsid w:val="00057859"/>
    <w:rsid w:val="000579BA"/>
    <w:rsid w:val="000606AA"/>
    <w:rsid w:val="000610F9"/>
    <w:rsid w:val="00061850"/>
    <w:rsid w:val="00061B83"/>
    <w:rsid w:val="000620D6"/>
    <w:rsid w:val="0006229E"/>
    <w:rsid w:val="00062704"/>
    <w:rsid w:val="000629CD"/>
    <w:rsid w:val="00063028"/>
    <w:rsid w:val="0006311B"/>
    <w:rsid w:val="00063701"/>
    <w:rsid w:val="00064692"/>
    <w:rsid w:val="00065DB6"/>
    <w:rsid w:val="00065E03"/>
    <w:rsid w:val="00066C24"/>
    <w:rsid w:val="00067196"/>
    <w:rsid w:val="000673D1"/>
    <w:rsid w:val="00067A0D"/>
    <w:rsid w:val="00067E3E"/>
    <w:rsid w:val="00071064"/>
    <w:rsid w:val="00071A8A"/>
    <w:rsid w:val="00072AC2"/>
    <w:rsid w:val="00072D9D"/>
    <w:rsid w:val="00073870"/>
    <w:rsid w:val="00074B9E"/>
    <w:rsid w:val="00075210"/>
    <w:rsid w:val="00075C6D"/>
    <w:rsid w:val="00075F0C"/>
    <w:rsid w:val="00080CCC"/>
    <w:rsid w:val="00080CE8"/>
    <w:rsid w:val="000814F3"/>
    <w:rsid w:val="00081C40"/>
    <w:rsid w:val="00082734"/>
    <w:rsid w:val="0008328F"/>
    <w:rsid w:val="00084DB9"/>
    <w:rsid w:val="00086622"/>
    <w:rsid w:val="00086D0B"/>
    <w:rsid w:val="00086F47"/>
    <w:rsid w:val="000876F1"/>
    <w:rsid w:val="000877E7"/>
    <w:rsid w:val="00087D18"/>
    <w:rsid w:val="0009007E"/>
    <w:rsid w:val="00090AF0"/>
    <w:rsid w:val="00091989"/>
    <w:rsid w:val="0009269E"/>
    <w:rsid w:val="0009275D"/>
    <w:rsid w:val="00092ABD"/>
    <w:rsid w:val="00092E0B"/>
    <w:rsid w:val="00092E40"/>
    <w:rsid w:val="000930E0"/>
    <w:rsid w:val="000940CD"/>
    <w:rsid w:val="0009466E"/>
    <w:rsid w:val="0009476C"/>
    <w:rsid w:val="00094F3D"/>
    <w:rsid w:val="00096F18"/>
    <w:rsid w:val="00096FC5"/>
    <w:rsid w:val="0009781B"/>
    <w:rsid w:val="000A0D32"/>
    <w:rsid w:val="000A1B73"/>
    <w:rsid w:val="000A1EF2"/>
    <w:rsid w:val="000A35F4"/>
    <w:rsid w:val="000A4174"/>
    <w:rsid w:val="000A4770"/>
    <w:rsid w:val="000A51F6"/>
    <w:rsid w:val="000A55D1"/>
    <w:rsid w:val="000A59F2"/>
    <w:rsid w:val="000A5F76"/>
    <w:rsid w:val="000A63CA"/>
    <w:rsid w:val="000A659B"/>
    <w:rsid w:val="000A7169"/>
    <w:rsid w:val="000A748C"/>
    <w:rsid w:val="000A75E5"/>
    <w:rsid w:val="000A7D89"/>
    <w:rsid w:val="000A7DDC"/>
    <w:rsid w:val="000A7F91"/>
    <w:rsid w:val="000A7F96"/>
    <w:rsid w:val="000B2B80"/>
    <w:rsid w:val="000B45BB"/>
    <w:rsid w:val="000B465F"/>
    <w:rsid w:val="000B48E8"/>
    <w:rsid w:val="000B4ED0"/>
    <w:rsid w:val="000B6C00"/>
    <w:rsid w:val="000B729D"/>
    <w:rsid w:val="000B7557"/>
    <w:rsid w:val="000C0702"/>
    <w:rsid w:val="000C22A2"/>
    <w:rsid w:val="000C474C"/>
    <w:rsid w:val="000C5C6E"/>
    <w:rsid w:val="000C6043"/>
    <w:rsid w:val="000C63FF"/>
    <w:rsid w:val="000C70B2"/>
    <w:rsid w:val="000C742F"/>
    <w:rsid w:val="000D03DD"/>
    <w:rsid w:val="000D1374"/>
    <w:rsid w:val="000D1C1B"/>
    <w:rsid w:val="000D2456"/>
    <w:rsid w:val="000D3A39"/>
    <w:rsid w:val="000D42A7"/>
    <w:rsid w:val="000D7483"/>
    <w:rsid w:val="000D7A3F"/>
    <w:rsid w:val="000E014F"/>
    <w:rsid w:val="000E1730"/>
    <w:rsid w:val="000E3D4A"/>
    <w:rsid w:val="000E3D4C"/>
    <w:rsid w:val="000E4BED"/>
    <w:rsid w:val="000E515B"/>
    <w:rsid w:val="000E570C"/>
    <w:rsid w:val="000E5BCD"/>
    <w:rsid w:val="000E68EA"/>
    <w:rsid w:val="000F0519"/>
    <w:rsid w:val="000F0679"/>
    <w:rsid w:val="000F086A"/>
    <w:rsid w:val="000F1318"/>
    <w:rsid w:val="000F22DA"/>
    <w:rsid w:val="000F2540"/>
    <w:rsid w:val="000F2935"/>
    <w:rsid w:val="000F2A1D"/>
    <w:rsid w:val="000F35E6"/>
    <w:rsid w:val="000F3795"/>
    <w:rsid w:val="000F3896"/>
    <w:rsid w:val="000F3AD3"/>
    <w:rsid w:val="000F4467"/>
    <w:rsid w:val="000F4F95"/>
    <w:rsid w:val="000F5177"/>
    <w:rsid w:val="000F5F00"/>
    <w:rsid w:val="000F61C7"/>
    <w:rsid w:val="000F69B0"/>
    <w:rsid w:val="000F6D5A"/>
    <w:rsid w:val="0010013C"/>
    <w:rsid w:val="001006F0"/>
    <w:rsid w:val="00100BA6"/>
    <w:rsid w:val="00101745"/>
    <w:rsid w:val="00102D03"/>
    <w:rsid w:val="00104F15"/>
    <w:rsid w:val="00105084"/>
    <w:rsid w:val="00105193"/>
    <w:rsid w:val="00106400"/>
    <w:rsid w:val="00106537"/>
    <w:rsid w:val="00106BE0"/>
    <w:rsid w:val="00106ECA"/>
    <w:rsid w:val="0011096D"/>
    <w:rsid w:val="00110E69"/>
    <w:rsid w:val="00111A44"/>
    <w:rsid w:val="00111C9B"/>
    <w:rsid w:val="001126B3"/>
    <w:rsid w:val="00112F14"/>
    <w:rsid w:val="00113E6C"/>
    <w:rsid w:val="00114080"/>
    <w:rsid w:val="0011423D"/>
    <w:rsid w:val="00114D80"/>
    <w:rsid w:val="0011580C"/>
    <w:rsid w:val="00116724"/>
    <w:rsid w:val="00116E75"/>
    <w:rsid w:val="001170DB"/>
    <w:rsid w:val="00120FCD"/>
    <w:rsid w:val="00121004"/>
    <w:rsid w:val="00121111"/>
    <w:rsid w:val="001227E2"/>
    <w:rsid w:val="00122941"/>
    <w:rsid w:val="00123375"/>
    <w:rsid w:val="00123802"/>
    <w:rsid w:val="0012456C"/>
    <w:rsid w:val="00124C20"/>
    <w:rsid w:val="00125767"/>
    <w:rsid w:val="00125890"/>
    <w:rsid w:val="001260A0"/>
    <w:rsid w:val="0012641B"/>
    <w:rsid w:val="0012697D"/>
    <w:rsid w:val="001307B6"/>
    <w:rsid w:val="00131517"/>
    <w:rsid w:val="00131A77"/>
    <w:rsid w:val="00131B43"/>
    <w:rsid w:val="00132C3A"/>
    <w:rsid w:val="00133684"/>
    <w:rsid w:val="00133815"/>
    <w:rsid w:val="00134874"/>
    <w:rsid w:val="00134C35"/>
    <w:rsid w:val="00134CC7"/>
    <w:rsid w:val="00134D3A"/>
    <w:rsid w:val="00136E37"/>
    <w:rsid w:val="0013771C"/>
    <w:rsid w:val="00140EBD"/>
    <w:rsid w:val="00141760"/>
    <w:rsid w:val="00141DBB"/>
    <w:rsid w:val="001437B9"/>
    <w:rsid w:val="00144427"/>
    <w:rsid w:val="00146C8A"/>
    <w:rsid w:val="00150989"/>
    <w:rsid w:val="00151166"/>
    <w:rsid w:val="00153234"/>
    <w:rsid w:val="00153B73"/>
    <w:rsid w:val="00154F21"/>
    <w:rsid w:val="0015662E"/>
    <w:rsid w:val="0015669F"/>
    <w:rsid w:val="0015686E"/>
    <w:rsid w:val="00156BE1"/>
    <w:rsid w:val="00157762"/>
    <w:rsid w:val="0015798E"/>
    <w:rsid w:val="00157A84"/>
    <w:rsid w:val="00157BDC"/>
    <w:rsid w:val="0016005F"/>
    <w:rsid w:val="00160565"/>
    <w:rsid w:val="001606BC"/>
    <w:rsid w:val="00160A29"/>
    <w:rsid w:val="00160B7C"/>
    <w:rsid w:val="0016116D"/>
    <w:rsid w:val="00161471"/>
    <w:rsid w:val="0016155A"/>
    <w:rsid w:val="00161E6E"/>
    <w:rsid w:val="001620E4"/>
    <w:rsid w:val="00162420"/>
    <w:rsid w:val="00163AA3"/>
    <w:rsid w:val="00165945"/>
    <w:rsid w:val="00167F11"/>
    <w:rsid w:val="00167F75"/>
    <w:rsid w:val="001702D5"/>
    <w:rsid w:val="00170EA7"/>
    <w:rsid w:val="00170F24"/>
    <w:rsid w:val="001716CD"/>
    <w:rsid w:val="00172C4A"/>
    <w:rsid w:val="001730AD"/>
    <w:rsid w:val="001738D5"/>
    <w:rsid w:val="001743B6"/>
    <w:rsid w:val="00174D7D"/>
    <w:rsid w:val="00175B2F"/>
    <w:rsid w:val="00177A43"/>
    <w:rsid w:val="001802F0"/>
    <w:rsid w:val="00181004"/>
    <w:rsid w:val="00182179"/>
    <w:rsid w:val="0018236E"/>
    <w:rsid w:val="001827DB"/>
    <w:rsid w:val="00183632"/>
    <w:rsid w:val="001836EC"/>
    <w:rsid w:val="001852CF"/>
    <w:rsid w:val="00185B5E"/>
    <w:rsid w:val="00186183"/>
    <w:rsid w:val="00186887"/>
    <w:rsid w:val="001870DE"/>
    <w:rsid w:val="0019093F"/>
    <w:rsid w:val="00190A91"/>
    <w:rsid w:val="00190AEE"/>
    <w:rsid w:val="00191574"/>
    <w:rsid w:val="00191851"/>
    <w:rsid w:val="00192EBC"/>
    <w:rsid w:val="00193CEB"/>
    <w:rsid w:val="00193D64"/>
    <w:rsid w:val="00196100"/>
    <w:rsid w:val="00196484"/>
    <w:rsid w:val="001967BB"/>
    <w:rsid w:val="00196BDC"/>
    <w:rsid w:val="00197F3D"/>
    <w:rsid w:val="001A17C3"/>
    <w:rsid w:val="001A29C7"/>
    <w:rsid w:val="001A4A0C"/>
    <w:rsid w:val="001A53C8"/>
    <w:rsid w:val="001A5C18"/>
    <w:rsid w:val="001A6370"/>
    <w:rsid w:val="001A6D4F"/>
    <w:rsid w:val="001A7FC5"/>
    <w:rsid w:val="001B1107"/>
    <w:rsid w:val="001B1A49"/>
    <w:rsid w:val="001B255D"/>
    <w:rsid w:val="001B2E92"/>
    <w:rsid w:val="001B3A24"/>
    <w:rsid w:val="001B4783"/>
    <w:rsid w:val="001B48DC"/>
    <w:rsid w:val="001B54B3"/>
    <w:rsid w:val="001B5664"/>
    <w:rsid w:val="001B642F"/>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0315"/>
    <w:rsid w:val="001D11B8"/>
    <w:rsid w:val="001D266F"/>
    <w:rsid w:val="001D27D5"/>
    <w:rsid w:val="001D2BAD"/>
    <w:rsid w:val="001D3011"/>
    <w:rsid w:val="001D412C"/>
    <w:rsid w:val="001D41EC"/>
    <w:rsid w:val="001D5A75"/>
    <w:rsid w:val="001D6DAA"/>
    <w:rsid w:val="001D746E"/>
    <w:rsid w:val="001D7EBD"/>
    <w:rsid w:val="001E05C6"/>
    <w:rsid w:val="001E2658"/>
    <w:rsid w:val="001E2717"/>
    <w:rsid w:val="001E2CFB"/>
    <w:rsid w:val="001E31A4"/>
    <w:rsid w:val="001E342B"/>
    <w:rsid w:val="001E3713"/>
    <w:rsid w:val="001E39B3"/>
    <w:rsid w:val="001E4C1C"/>
    <w:rsid w:val="001E51E9"/>
    <w:rsid w:val="001E5417"/>
    <w:rsid w:val="001E5511"/>
    <w:rsid w:val="001E6066"/>
    <w:rsid w:val="001E6DA3"/>
    <w:rsid w:val="001E73AB"/>
    <w:rsid w:val="001F0488"/>
    <w:rsid w:val="001F2321"/>
    <w:rsid w:val="001F2BD2"/>
    <w:rsid w:val="001F3443"/>
    <w:rsid w:val="001F3DC6"/>
    <w:rsid w:val="001F4060"/>
    <w:rsid w:val="001F4C91"/>
    <w:rsid w:val="001F55D5"/>
    <w:rsid w:val="001F5915"/>
    <w:rsid w:val="001F67F2"/>
    <w:rsid w:val="001F794B"/>
    <w:rsid w:val="001F7B55"/>
    <w:rsid w:val="00200E35"/>
    <w:rsid w:val="002013B2"/>
    <w:rsid w:val="00201CF3"/>
    <w:rsid w:val="00201F63"/>
    <w:rsid w:val="00202047"/>
    <w:rsid w:val="0020406A"/>
    <w:rsid w:val="00204650"/>
    <w:rsid w:val="00205839"/>
    <w:rsid w:val="00206720"/>
    <w:rsid w:val="00206A67"/>
    <w:rsid w:val="00206C74"/>
    <w:rsid w:val="00207601"/>
    <w:rsid w:val="00207B98"/>
    <w:rsid w:val="00210B26"/>
    <w:rsid w:val="00210E2F"/>
    <w:rsid w:val="00211405"/>
    <w:rsid w:val="00211442"/>
    <w:rsid w:val="00211B98"/>
    <w:rsid w:val="00213024"/>
    <w:rsid w:val="002139BE"/>
    <w:rsid w:val="00213B95"/>
    <w:rsid w:val="00214542"/>
    <w:rsid w:val="00214830"/>
    <w:rsid w:val="002158D0"/>
    <w:rsid w:val="0021611C"/>
    <w:rsid w:val="0021645F"/>
    <w:rsid w:val="00217C4E"/>
    <w:rsid w:val="00217E3D"/>
    <w:rsid w:val="00220CB3"/>
    <w:rsid w:val="00220CE0"/>
    <w:rsid w:val="00221C10"/>
    <w:rsid w:val="002234B5"/>
    <w:rsid w:val="002235CE"/>
    <w:rsid w:val="0022395C"/>
    <w:rsid w:val="002242F7"/>
    <w:rsid w:val="00224B35"/>
    <w:rsid w:val="00225BD2"/>
    <w:rsid w:val="002260B2"/>
    <w:rsid w:val="0022734C"/>
    <w:rsid w:val="00230396"/>
    <w:rsid w:val="00230BAB"/>
    <w:rsid w:val="00231CDD"/>
    <w:rsid w:val="0023312B"/>
    <w:rsid w:val="002335C8"/>
    <w:rsid w:val="00233CBA"/>
    <w:rsid w:val="00233E2F"/>
    <w:rsid w:val="00234289"/>
    <w:rsid w:val="00234DC2"/>
    <w:rsid w:val="0023535F"/>
    <w:rsid w:val="00235759"/>
    <w:rsid w:val="002357D7"/>
    <w:rsid w:val="002365A9"/>
    <w:rsid w:val="00237CB3"/>
    <w:rsid w:val="002405B3"/>
    <w:rsid w:val="002411CC"/>
    <w:rsid w:val="00241B87"/>
    <w:rsid w:val="0024389A"/>
    <w:rsid w:val="00246BA0"/>
    <w:rsid w:val="00247BB1"/>
    <w:rsid w:val="00252D9D"/>
    <w:rsid w:val="00252E14"/>
    <w:rsid w:val="00253F56"/>
    <w:rsid w:val="00253FD2"/>
    <w:rsid w:val="00255A6D"/>
    <w:rsid w:val="0025691E"/>
    <w:rsid w:val="00256A4C"/>
    <w:rsid w:val="00260041"/>
    <w:rsid w:val="00260366"/>
    <w:rsid w:val="00260547"/>
    <w:rsid w:val="00260A97"/>
    <w:rsid w:val="0026191C"/>
    <w:rsid w:val="002628F9"/>
    <w:rsid w:val="0026347E"/>
    <w:rsid w:val="00263EDB"/>
    <w:rsid w:val="00264ABB"/>
    <w:rsid w:val="00264F2D"/>
    <w:rsid w:val="00264FEB"/>
    <w:rsid w:val="00265263"/>
    <w:rsid w:val="00266827"/>
    <w:rsid w:val="00266A1E"/>
    <w:rsid w:val="00267649"/>
    <w:rsid w:val="00267732"/>
    <w:rsid w:val="002731E0"/>
    <w:rsid w:val="00273B8C"/>
    <w:rsid w:val="00273FE5"/>
    <w:rsid w:val="00274284"/>
    <w:rsid w:val="00274861"/>
    <w:rsid w:val="00275124"/>
    <w:rsid w:val="002751AE"/>
    <w:rsid w:val="002753CE"/>
    <w:rsid w:val="00275C10"/>
    <w:rsid w:val="00275FF7"/>
    <w:rsid w:val="00276166"/>
    <w:rsid w:val="00276C00"/>
    <w:rsid w:val="00277004"/>
    <w:rsid w:val="00281D3B"/>
    <w:rsid w:val="00282D52"/>
    <w:rsid w:val="002836FA"/>
    <w:rsid w:val="002838E3"/>
    <w:rsid w:val="00283F86"/>
    <w:rsid w:val="002847CB"/>
    <w:rsid w:val="00285105"/>
    <w:rsid w:val="00285550"/>
    <w:rsid w:val="00285919"/>
    <w:rsid w:val="00285E1B"/>
    <w:rsid w:val="0028615A"/>
    <w:rsid w:val="002864C6"/>
    <w:rsid w:val="00286F7C"/>
    <w:rsid w:val="00287BE6"/>
    <w:rsid w:val="00287CC5"/>
    <w:rsid w:val="0029085A"/>
    <w:rsid w:val="002931D9"/>
    <w:rsid w:val="002958B5"/>
    <w:rsid w:val="002959DB"/>
    <w:rsid w:val="002959F5"/>
    <w:rsid w:val="00296612"/>
    <w:rsid w:val="0029737E"/>
    <w:rsid w:val="00297C2E"/>
    <w:rsid w:val="002A0136"/>
    <w:rsid w:val="002A1C25"/>
    <w:rsid w:val="002A1E1B"/>
    <w:rsid w:val="002A2303"/>
    <w:rsid w:val="002A2A68"/>
    <w:rsid w:val="002A333F"/>
    <w:rsid w:val="002A38C3"/>
    <w:rsid w:val="002A3A6E"/>
    <w:rsid w:val="002A3AC8"/>
    <w:rsid w:val="002A4546"/>
    <w:rsid w:val="002A4B76"/>
    <w:rsid w:val="002A53EA"/>
    <w:rsid w:val="002A5B9B"/>
    <w:rsid w:val="002A5CB7"/>
    <w:rsid w:val="002A6384"/>
    <w:rsid w:val="002A63DE"/>
    <w:rsid w:val="002A6C1F"/>
    <w:rsid w:val="002A6F9C"/>
    <w:rsid w:val="002A71F9"/>
    <w:rsid w:val="002A740E"/>
    <w:rsid w:val="002B0CAE"/>
    <w:rsid w:val="002B14F1"/>
    <w:rsid w:val="002B2121"/>
    <w:rsid w:val="002B2223"/>
    <w:rsid w:val="002B2DF0"/>
    <w:rsid w:val="002B30F8"/>
    <w:rsid w:val="002B3767"/>
    <w:rsid w:val="002B37EF"/>
    <w:rsid w:val="002B3979"/>
    <w:rsid w:val="002B45BA"/>
    <w:rsid w:val="002B465D"/>
    <w:rsid w:val="002B4AF8"/>
    <w:rsid w:val="002B4B0D"/>
    <w:rsid w:val="002B574E"/>
    <w:rsid w:val="002B576A"/>
    <w:rsid w:val="002C0012"/>
    <w:rsid w:val="002C002A"/>
    <w:rsid w:val="002C011D"/>
    <w:rsid w:val="002C084F"/>
    <w:rsid w:val="002C19D9"/>
    <w:rsid w:val="002C19FE"/>
    <w:rsid w:val="002C3A79"/>
    <w:rsid w:val="002C41C5"/>
    <w:rsid w:val="002C4BF6"/>
    <w:rsid w:val="002C5029"/>
    <w:rsid w:val="002C5E4C"/>
    <w:rsid w:val="002C5EE0"/>
    <w:rsid w:val="002C6054"/>
    <w:rsid w:val="002C68A2"/>
    <w:rsid w:val="002C6BD7"/>
    <w:rsid w:val="002C6E17"/>
    <w:rsid w:val="002C7FAF"/>
    <w:rsid w:val="002D00AC"/>
    <w:rsid w:val="002D1465"/>
    <w:rsid w:val="002D1892"/>
    <w:rsid w:val="002D2D30"/>
    <w:rsid w:val="002D3E11"/>
    <w:rsid w:val="002D430D"/>
    <w:rsid w:val="002D43F8"/>
    <w:rsid w:val="002D443B"/>
    <w:rsid w:val="002D4D00"/>
    <w:rsid w:val="002D4D21"/>
    <w:rsid w:val="002D5A50"/>
    <w:rsid w:val="002D5C5B"/>
    <w:rsid w:val="002D6210"/>
    <w:rsid w:val="002D650D"/>
    <w:rsid w:val="002E035D"/>
    <w:rsid w:val="002E0503"/>
    <w:rsid w:val="002E09D3"/>
    <w:rsid w:val="002E1177"/>
    <w:rsid w:val="002E16FC"/>
    <w:rsid w:val="002E1859"/>
    <w:rsid w:val="002E1C3F"/>
    <w:rsid w:val="002E5790"/>
    <w:rsid w:val="002E6214"/>
    <w:rsid w:val="002E6E40"/>
    <w:rsid w:val="002E6EE9"/>
    <w:rsid w:val="002F0636"/>
    <w:rsid w:val="002F0ADE"/>
    <w:rsid w:val="002F0CED"/>
    <w:rsid w:val="002F1870"/>
    <w:rsid w:val="002F246D"/>
    <w:rsid w:val="002F2CEF"/>
    <w:rsid w:val="002F3827"/>
    <w:rsid w:val="002F480A"/>
    <w:rsid w:val="002F5424"/>
    <w:rsid w:val="002F5D1D"/>
    <w:rsid w:val="002F5FDF"/>
    <w:rsid w:val="002F6418"/>
    <w:rsid w:val="002F714D"/>
    <w:rsid w:val="00301039"/>
    <w:rsid w:val="00301366"/>
    <w:rsid w:val="003013BE"/>
    <w:rsid w:val="00301857"/>
    <w:rsid w:val="00301B0E"/>
    <w:rsid w:val="00302000"/>
    <w:rsid w:val="0030248A"/>
    <w:rsid w:val="00302C76"/>
    <w:rsid w:val="00303366"/>
    <w:rsid w:val="00303C9B"/>
    <w:rsid w:val="003042E5"/>
    <w:rsid w:val="003048DF"/>
    <w:rsid w:val="00304ABF"/>
    <w:rsid w:val="00304E14"/>
    <w:rsid w:val="0030541E"/>
    <w:rsid w:val="003056A2"/>
    <w:rsid w:val="00305C93"/>
    <w:rsid w:val="00305E3C"/>
    <w:rsid w:val="00306147"/>
    <w:rsid w:val="0030758B"/>
    <w:rsid w:val="00310D99"/>
    <w:rsid w:val="0031153E"/>
    <w:rsid w:val="00311E53"/>
    <w:rsid w:val="00312B5A"/>
    <w:rsid w:val="00312E08"/>
    <w:rsid w:val="00313471"/>
    <w:rsid w:val="0031396C"/>
    <w:rsid w:val="003143DF"/>
    <w:rsid w:val="00314635"/>
    <w:rsid w:val="003158CE"/>
    <w:rsid w:val="00316BFA"/>
    <w:rsid w:val="00316E94"/>
    <w:rsid w:val="003177A0"/>
    <w:rsid w:val="003210EC"/>
    <w:rsid w:val="003211A5"/>
    <w:rsid w:val="0032181D"/>
    <w:rsid w:val="003218DD"/>
    <w:rsid w:val="00322A65"/>
    <w:rsid w:val="00323F3D"/>
    <w:rsid w:val="00324197"/>
    <w:rsid w:val="003243FF"/>
    <w:rsid w:val="00324FDF"/>
    <w:rsid w:val="003255BF"/>
    <w:rsid w:val="00325606"/>
    <w:rsid w:val="00325A4D"/>
    <w:rsid w:val="00326A17"/>
    <w:rsid w:val="00330239"/>
    <w:rsid w:val="00330365"/>
    <w:rsid w:val="003336F9"/>
    <w:rsid w:val="00333F9C"/>
    <w:rsid w:val="00335E8E"/>
    <w:rsid w:val="00336FAF"/>
    <w:rsid w:val="00337351"/>
    <w:rsid w:val="00337DFD"/>
    <w:rsid w:val="00340C45"/>
    <w:rsid w:val="00341EBA"/>
    <w:rsid w:val="003432AF"/>
    <w:rsid w:val="00343BD1"/>
    <w:rsid w:val="00343F42"/>
    <w:rsid w:val="00344DE3"/>
    <w:rsid w:val="00345135"/>
    <w:rsid w:val="003470A4"/>
    <w:rsid w:val="00350145"/>
    <w:rsid w:val="00351DD4"/>
    <w:rsid w:val="003525D9"/>
    <w:rsid w:val="0035299F"/>
    <w:rsid w:val="00353974"/>
    <w:rsid w:val="00353BD2"/>
    <w:rsid w:val="00353E07"/>
    <w:rsid w:val="003550FF"/>
    <w:rsid w:val="003551C4"/>
    <w:rsid w:val="003570E1"/>
    <w:rsid w:val="0036013A"/>
    <w:rsid w:val="00360D84"/>
    <w:rsid w:val="0036428E"/>
    <w:rsid w:val="00364782"/>
    <w:rsid w:val="00364C2A"/>
    <w:rsid w:val="0036517D"/>
    <w:rsid w:val="00365293"/>
    <w:rsid w:val="0036594B"/>
    <w:rsid w:val="00366601"/>
    <w:rsid w:val="003669C8"/>
    <w:rsid w:val="00366C7B"/>
    <w:rsid w:val="00367297"/>
    <w:rsid w:val="003677F4"/>
    <w:rsid w:val="00367C68"/>
    <w:rsid w:val="00370077"/>
    <w:rsid w:val="003704B1"/>
    <w:rsid w:val="003708CD"/>
    <w:rsid w:val="00370E2A"/>
    <w:rsid w:val="00372079"/>
    <w:rsid w:val="00372BD1"/>
    <w:rsid w:val="00373F74"/>
    <w:rsid w:val="003742CF"/>
    <w:rsid w:val="00374344"/>
    <w:rsid w:val="00375080"/>
    <w:rsid w:val="0037692B"/>
    <w:rsid w:val="003806A7"/>
    <w:rsid w:val="00380889"/>
    <w:rsid w:val="0038121C"/>
    <w:rsid w:val="003813B6"/>
    <w:rsid w:val="00381C7A"/>
    <w:rsid w:val="00382A4B"/>
    <w:rsid w:val="00383539"/>
    <w:rsid w:val="00384D26"/>
    <w:rsid w:val="00385240"/>
    <w:rsid w:val="00385595"/>
    <w:rsid w:val="00390901"/>
    <w:rsid w:val="00390935"/>
    <w:rsid w:val="00390EAC"/>
    <w:rsid w:val="00390FB3"/>
    <w:rsid w:val="00394289"/>
    <w:rsid w:val="00394901"/>
    <w:rsid w:val="00396DDD"/>
    <w:rsid w:val="00396E0C"/>
    <w:rsid w:val="00396F14"/>
    <w:rsid w:val="00397240"/>
    <w:rsid w:val="0039733C"/>
    <w:rsid w:val="00397A8B"/>
    <w:rsid w:val="00397BE8"/>
    <w:rsid w:val="00397DE1"/>
    <w:rsid w:val="003A0289"/>
    <w:rsid w:val="003A05A4"/>
    <w:rsid w:val="003A1AE3"/>
    <w:rsid w:val="003A1BF7"/>
    <w:rsid w:val="003A1D11"/>
    <w:rsid w:val="003A2F51"/>
    <w:rsid w:val="003A3888"/>
    <w:rsid w:val="003A3A03"/>
    <w:rsid w:val="003A4F76"/>
    <w:rsid w:val="003A50AE"/>
    <w:rsid w:val="003A5385"/>
    <w:rsid w:val="003A5839"/>
    <w:rsid w:val="003A79A7"/>
    <w:rsid w:val="003A7FB9"/>
    <w:rsid w:val="003B1460"/>
    <w:rsid w:val="003B1AD4"/>
    <w:rsid w:val="003B2A95"/>
    <w:rsid w:val="003B3772"/>
    <w:rsid w:val="003B3893"/>
    <w:rsid w:val="003B3CEA"/>
    <w:rsid w:val="003B4CDB"/>
    <w:rsid w:val="003B55BA"/>
    <w:rsid w:val="003B561F"/>
    <w:rsid w:val="003B6407"/>
    <w:rsid w:val="003B6A0D"/>
    <w:rsid w:val="003B6D6F"/>
    <w:rsid w:val="003B6F63"/>
    <w:rsid w:val="003C042A"/>
    <w:rsid w:val="003C05A6"/>
    <w:rsid w:val="003C08A6"/>
    <w:rsid w:val="003C0BFD"/>
    <w:rsid w:val="003C0DCF"/>
    <w:rsid w:val="003C0F72"/>
    <w:rsid w:val="003C135E"/>
    <w:rsid w:val="003C2071"/>
    <w:rsid w:val="003C4355"/>
    <w:rsid w:val="003C4DEE"/>
    <w:rsid w:val="003C54B2"/>
    <w:rsid w:val="003C5758"/>
    <w:rsid w:val="003C59B3"/>
    <w:rsid w:val="003C5CBD"/>
    <w:rsid w:val="003C5CC7"/>
    <w:rsid w:val="003C61AD"/>
    <w:rsid w:val="003C6576"/>
    <w:rsid w:val="003C6624"/>
    <w:rsid w:val="003C6C75"/>
    <w:rsid w:val="003C6D35"/>
    <w:rsid w:val="003C761B"/>
    <w:rsid w:val="003C7678"/>
    <w:rsid w:val="003D0B9B"/>
    <w:rsid w:val="003D1299"/>
    <w:rsid w:val="003D17B2"/>
    <w:rsid w:val="003D234C"/>
    <w:rsid w:val="003D2FA7"/>
    <w:rsid w:val="003D33CC"/>
    <w:rsid w:val="003D34B7"/>
    <w:rsid w:val="003D3538"/>
    <w:rsid w:val="003D3779"/>
    <w:rsid w:val="003D4436"/>
    <w:rsid w:val="003D4638"/>
    <w:rsid w:val="003D4EA1"/>
    <w:rsid w:val="003D509A"/>
    <w:rsid w:val="003D571B"/>
    <w:rsid w:val="003D715B"/>
    <w:rsid w:val="003D7A8D"/>
    <w:rsid w:val="003E206B"/>
    <w:rsid w:val="003E22CB"/>
    <w:rsid w:val="003E3836"/>
    <w:rsid w:val="003E45AF"/>
    <w:rsid w:val="003E6144"/>
    <w:rsid w:val="003E6544"/>
    <w:rsid w:val="003E6D9C"/>
    <w:rsid w:val="003E6DED"/>
    <w:rsid w:val="003E771C"/>
    <w:rsid w:val="003E784C"/>
    <w:rsid w:val="003F07AF"/>
    <w:rsid w:val="003F08B3"/>
    <w:rsid w:val="003F2372"/>
    <w:rsid w:val="003F27D1"/>
    <w:rsid w:val="003F287E"/>
    <w:rsid w:val="003F3E83"/>
    <w:rsid w:val="003F6B49"/>
    <w:rsid w:val="003F7000"/>
    <w:rsid w:val="00400A85"/>
    <w:rsid w:val="004012CB"/>
    <w:rsid w:val="004023F4"/>
    <w:rsid w:val="00402479"/>
    <w:rsid w:val="0040255A"/>
    <w:rsid w:val="004041D5"/>
    <w:rsid w:val="0040425C"/>
    <w:rsid w:val="00404D47"/>
    <w:rsid w:val="00405733"/>
    <w:rsid w:val="00406562"/>
    <w:rsid w:val="004065AF"/>
    <w:rsid w:val="0041052A"/>
    <w:rsid w:val="004113DB"/>
    <w:rsid w:val="004113DE"/>
    <w:rsid w:val="00411CC6"/>
    <w:rsid w:val="00412DCF"/>
    <w:rsid w:val="004144EE"/>
    <w:rsid w:val="004146BE"/>
    <w:rsid w:val="00414855"/>
    <w:rsid w:val="00415460"/>
    <w:rsid w:val="00415483"/>
    <w:rsid w:val="00415C4F"/>
    <w:rsid w:val="00416571"/>
    <w:rsid w:val="00416C72"/>
    <w:rsid w:val="004170E4"/>
    <w:rsid w:val="00417166"/>
    <w:rsid w:val="00417653"/>
    <w:rsid w:val="004177C8"/>
    <w:rsid w:val="00420B2F"/>
    <w:rsid w:val="004214D7"/>
    <w:rsid w:val="004217F6"/>
    <w:rsid w:val="00423D67"/>
    <w:rsid w:val="0042446A"/>
    <w:rsid w:val="0042583F"/>
    <w:rsid w:val="004263C3"/>
    <w:rsid w:val="00426B65"/>
    <w:rsid w:val="00427326"/>
    <w:rsid w:val="00431521"/>
    <w:rsid w:val="004327CF"/>
    <w:rsid w:val="004327EA"/>
    <w:rsid w:val="00433069"/>
    <w:rsid w:val="004337A1"/>
    <w:rsid w:val="00434436"/>
    <w:rsid w:val="00437F57"/>
    <w:rsid w:val="004420AA"/>
    <w:rsid w:val="00442A6D"/>
    <w:rsid w:val="00442CCD"/>
    <w:rsid w:val="00443A8E"/>
    <w:rsid w:val="00443C9A"/>
    <w:rsid w:val="00446BF2"/>
    <w:rsid w:val="0044738E"/>
    <w:rsid w:val="004474B1"/>
    <w:rsid w:val="00450B3B"/>
    <w:rsid w:val="0045283E"/>
    <w:rsid w:val="00452B31"/>
    <w:rsid w:val="00452F66"/>
    <w:rsid w:val="00453083"/>
    <w:rsid w:val="0045374A"/>
    <w:rsid w:val="004538BD"/>
    <w:rsid w:val="00455DFC"/>
    <w:rsid w:val="00455F3A"/>
    <w:rsid w:val="004563B8"/>
    <w:rsid w:val="00456DED"/>
    <w:rsid w:val="00457051"/>
    <w:rsid w:val="0045711B"/>
    <w:rsid w:val="0045730E"/>
    <w:rsid w:val="00457B9F"/>
    <w:rsid w:val="00457E90"/>
    <w:rsid w:val="004600FF"/>
    <w:rsid w:val="004615A0"/>
    <w:rsid w:val="00462519"/>
    <w:rsid w:val="004635D2"/>
    <w:rsid w:val="00464917"/>
    <w:rsid w:val="00464C0F"/>
    <w:rsid w:val="004650C9"/>
    <w:rsid w:val="004657FF"/>
    <w:rsid w:val="00465BFC"/>
    <w:rsid w:val="00467C2D"/>
    <w:rsid w:val="00467DF7"/>
    <w:rsid w:val="00470B07"/>
    <w:rsid w:val="00471CE8"/>
    <w:rsid w:val="00472342"/>
    <w:rsid w:val="004724DE"/>
    <w:rsid w:val="00472F90"/>
    <w:rsid w:val="00473508"/>
    <w:rsid w:val="0047373F"/>
    <w:rsid w:val="00473CA5"/>
    <w:rsid w:val="00475626"/>
    <w:rsid w:val="00475D26"/>
    <w:rsid w:val="00476668"/>
    <w:rsid w:val="00477723"/>
    <w:rsid w:val="00477A9D"/>
    <w:rsid w:val="00480CAA"/>
    <w:rsid w:val="004827A8"/>
    <w:rsid w:val="00482FDC"/>
    <w:rsid w:val="00483911"/>
    <w:rsid w:val="00483C56"/>
    <w:rsid w:val="004840C2"/>
    <w:rsid w:val="0048454A"/>
    <w:rsid w:val="004853BA"/>
    <w:rsid w:val="00486B69"/>
    <w:rsid w:val="004870D9"/>
    <w:rsid w:val="0048747D"/>
    <w:rsid w:val="00490B99"/>
    <w:rsid w:val="004920D8"/>
    <w:rsid w:val="004932B7"/>
    <w:rsid w:val="004938FA"/>
    <w:rsid w:val="00493EA2"/>
    <w:rsid w:val="0049470B"/>
    <w:rsid w:val="004949D0"/>
    <w:rsid w:val="00494B74"/>
    <w:rsid w:val="00495074"/>
    <w:rsid w:val="004950CB"/>
    <w:rsid w:val="00496DAA"/>
    <w:rsid w:val="004970D4"/>
    <w:rsid w:val="0049745E"/>
    <w:rsid w:val="0049771B"/>
    <w:rsid w:val="004A04D3"/>
    <w:rsid w:val="004A0B21"/>
    <w:rsid w:val="004A2460"/>
    <w:rsid w:val="004A34D5"/>
    <w:rsid w:val="004A38B3"/>
    <w:rsid w:val="004A43F1"/>
    <w:rsid w:val="004A45DC"/>
    <w:rsid w:val="004A4D14"/>
    <w:rsid w:val="004A548F"/>
    <w:rsid w:val="004A6496"/>
    <w:rsid w:val="004A6520"/>
    <w:rsid w:val="004A6818"/>
    <w:rsid w:val="004A7831"/>
    <w:rsid w:val="004A7E33"/>
    <w:rsid w:val="004B04B3"/>
    <w:rsid w:val="004B2034"/>
    <w:rsid w:val="004B2FCC"/>
    <w:rsid w:val="004B3A7B"/>
    <w:rsid w:val="004B3BCD"/>
    <w:rsid w:val="004B430B"/>
    <w:rsid w:val="004B486A"/>
    <w:rsid w:val="004B50C5"/>
    <w:rsid w:val="004B5169"/>
    <w:rsid w:val="004B5F0B"/>
    <w:rsid w:val="004B6DAA"/>
    <w:rsid w:val="004C1F63"/>
    <w:rsid w:val="004C2E32"/>
    <w:rsid w:val="004C3611"/>
    <w:rsid w:val="004C39DE"/>
    <w:rsid w:val="004C3B2B"/>
    <w:rsid w:val="004C40E8"/>
    <w:rsid w:val="004C4277"/>
    <w:rsid w:val="004C49FF"/>
    <w:rsid w:val="004C4E52"/>
    <w:rsid w:val="004C4F45"/>
    <w:rsid w:val="004C503C"/>
    <w:rsid w:val="004C5F17"/>
    <w:rsid w:val="004C6AD8"/>
    <w:rsid w:val="004C749A"/>
    <w:rsid w:val="004D0758"/>
    <w:rsid w:val="004D08F5"/>
    <w:rsid w:val="004D149F"/>
    <w:rsid w:val="004D1980"/>
    <w:rsid w:val="004D1C0F"/>
    <w:rsid w:val="004D23D3"/>
    <w:rsid w:val="004D35E2"/>
    <w:rsid w:val="004D36CD"/>
    <w:rsid w:val="004D438D"/>
    <w:rsid w:val="004D4C7E"/>
    <w:rsid w:val="004D54AC"/>
    <w:rsid w:val="004D57DE"/>
    <w:rsid w:val="004D5A16"/>
    <w:rsid w:val="004D5E02"/>
    <w:rsid w:val="004D5EB9"/>
    <w:rsid w:val="004D652F"/>
    <w:rsid w:val="004D667C"/>
    <w:rsid w:val="004D74B6"/>
    <w:rsid w:val="004D7545"/>
    <w:rsid w:val="004D78EC"/>
    <w:rsid w:val="004E1764"/>
    <w:rsid w:val="004E2942"/>
    <w:rsid w:val="004E371F"/>
    <w:rsid w:val="004E3C47"/>
    <w:rsid w:val="004E3CAE"/>
    <w:rsid w:val="004E4DA0"/>
    <w:rsid w:val="004E52A7"/>
    <w:rsid w:val="004E5323"/>
    <w:rsid w:val="004E58C3"/>
    <w:rsid w:val="004F0BF9"/>
    <w:rsid w:val="004F2383"/>
    <w:rsid w:val="004F454F"/>
    <w:rsid w:val="004F5854"/>
    <w:rsid w:val="004F59CD"/>
    <w:rsid w:val="004F5B8E"/>
    <w:rsid w:val="004F637D"/>
    <w:rsid w:val="004F6A40"/>
    <w:rsid w:val="004F7249"/>
    <w:rsid w:val="004F7A65"/>
    <w:rsid w:val="00500B53"/>
    <w:rsid w:val="00500E5D"/>
    <w:rsid w:val="00501313"/>
    <w:rsid w:val="00501A43"/>
    <w:rsid w:val="0050260A"/>
    <w:rsid w:val="00503949"/>
    <w:rsid w:val="00505146"/>
    <w:rsid w:val="00505654"/>
    <w:rsid w:val="00505658"/>
    <w:rsid w:val="00505BA0"/>
    <w:rsid w:val="00505E50"/>
    <w:rsid w:val="00505F0E"/>
    <w:rsid w:val="00506679"/>
    <w:rsid w:val="005121D5"/>
    <w:rsid w:val="005125C4"/>
    <w:rsid w:val="005129AA"/>
    <w:rsid w:val="005135AB"/>
    <w:rsid w:val="005137EC"/>
    <w:rsid w:val="005141DE"/>
    <w:rsid w:val="0051458A"/>
    <w:rsid w:val="00515F69"/>
    <w:rsid w:val="00517397"/>
    <w:rsid w:val="005175D0"/>
    <w:rsid w:val="00517E17"/>
    <w:rsid w:val="005201D8"/>
    <w:rsid w:val="00520BBC"/>
    <w:rsid w:val="0052126B"/>
    <w:rsid w:val="005215ED"/>
    <w:rsid w:val="0052172B"/>
    <w:rsid w:val="005222FF"/>
    <w:rsid w:val="005229E8"/>
    <w:rsid w:val="00523347"/>
    <w:rsid w:val="005233D3"/>
    <w:rsid w:val="00524EF6"/>
    <w:rsid w:val="005251AE"/>
    <w:rsid w:val="0052533D"/>
    <w:rsid w:val="00526309"/>
    <w:rsid w:val="005265A2"/>
    <w:rsid w:val="005272C4"/>
    <w:rsid w:val="00530E74"/>
    <w:rsid w:val="00530F5B"/>
    <w:rsid w:val="005321F4"/>
    <w:rsid w:val="005332F5"/>
    <w:rsid w:val="00534A1D"/>
    <w:rsid w:val="0053555D"/>
    <w:rsid w:val="00536217"/>
    <w:rsid w:val="00536591"/>
    <w:rsid w:val="005406D3"/>
    <w:rsid w:val="00541335"/>
    <w:rsid w:val="005417B5"/>
    <w:rsid w:val="005429B4"/>
    <w:rsid w:val="00542BE8"/>
    <w:rsid w:val="0054334E"/>
    <w:rsid w:val="00543E4D"/>
    <w:rsid w:val="00543F6C"/>
    <w:rsid w:val="00544F99"/>
    <w:rsid w:val="005455AB"/>
    <w:rsid w:val="00545FB5"/>
    <w:rsid w:val="00546D2A"/>
    <w:rsid w:val="00547DEB"/>
    <w:rsid w:val="005515C2"/>
    <w:rsid w:val="00551667"/>
    <w:rsid w:val="005516F8"/>
    <w:rsid w:val="005521B1"/>
    <w:rsid w:val="00552997"/>
    <w:rsid w:val="0055414F"/>
    <w:rsid w:val="00555069"/>
    <w:rsid w:val="005556B4"/>
    <w:rsid w:val="005568E5"/>
    <w:rsid w:val="005579ED"/>
    <w:rsid w:val="005579F7"/>
    <w:rsid w:val="00557A09"/>
    <w:rsid w:val="00557A7D"/>
    <w:rsid w:val="005605A1"/>
    <w:rsid w:val="00560C0D"/>
    <w:rsid w:val="00560E96"/>
    <w:rsid w:val="0056119D"/>
    <w:rsid w:val="005616AB"/>
    <w:rsid w:val="005621B2"/>
    <w:rsid w:val="005626BA"/>
    <w:rsid w:val="00562E63"/>
    <w:rsid w:val="005643F6"/>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299E"/>
    <w:rsid w:val="00583090"/>
    <w:rsid w:val="0058331B"/>
    <w:rsid w:val="00583807"/>
    <w:rsid w:val="00584BB2"/>
    <w:rsid w:val="00584FE6"/>
    <w:rsid w:val="00585213"/>
    <w:rsid w:val="0058529B"/>
    <w:rsid w:val="00586744"/>
    <w:rsid w:val="00587173"/>
    <w:rsid w:val="0058773B"/>
    <w:rsid w:val="00591736"/>
    <w:rsid w:val="005928A5"/>
    <w:rsid w:val="00592CAB"/>
    <w:rsid w:val="005936DC"/>
    <w:rsid w:val="0059612F"/>
    <w:rsid w:val="0059626E"/>
    <w:rsid w:val="0059677D"/>
    <w:rsid w:val="005A0472"/>
    <w:rsid w:val="005A08BE"/>
    <w:rsid w:val="005A0CF6"/>
    <w:rsid w:val="005A1997"/>
    <w:rsid w:val="005A1A65"/>
    <w:rsid w:val="005A1B5E"/>
    <w:rsid w:val="005A1BD4"/>
    <w:rsid w:val="005A2BAC"/>
    <w:rsid w:val="005A2D70"/>
    <w:rsid w:val="005A366E"/>
    <w:rsid w:val="005A40A6"/>
    <w:rsid w:val="005A4358"/>
    <w:rsid w:val="005A4418"/>
    <w:rsid w:val="005A4D2D"/>
    <w:rsid w:val="005A6378"/>
    <w:rsid w:val="005A6C35"/>
    <w:rsid w:val="005A6DEC"/>
    <w:rsid w:val="005A7B45"/>
    <w:rsid w:val="005B01F2"/>
    <w:rsid w:val="005B0EF5"/>
    <w:rsid w:val="005B1396"/>
    <w:rsid w:val="005B1F31"/>
    <w:rsid w:val="005B26C1"/>
    <w:rsid w:val="005B4DDD"/>
    <w:rsid w:val="005B5F54"/>
    <w:rsid w:val="005B6044"/>
    <w:rsid w:val="005B6FCC"/>
    <w:rsid w:val="005C0A52"/>
    <w:rsid w:val="005C1B0A"/>
    <w:rsid w:val="005C1FAF"/>
    <w:rsid w:val="005C27AF"/>
    <w:rsid w:val="005C2C1C"/>
    <w:rsid w:val="005C3415"/>
    <w:rsid w:val="005C4421"/>
    <w:rsid w:val="005C4A52"/>
    <w:rsid w:val="005C5EB6"/>
    <w:rsid w:val="005C70E8"/>
    <w:rsid w:val="005C7772"/>
    <w:rsid w:val="005C78FA"/>
    <w:rsid w:val="005D14A8"/>
    <w:rsid w:val="005D14FC"/>
    <w:rsid w:val="005D18D2"/>
    <w:rsid w:val="005D1E22"/>
    <w:rsid w:val="005D2789"/>
    <w:rsid w:val="005D2D5F"/>
    <w:rsid w:val="005D353A"/>
    <w:rsid w:val="005D3582"/>
    <w:rsid w:val="005D39EC"/>
    <w:rsid w:val="005D482A"/>
    <w:rsid w:val="005D5019"/>
    <w:rsid w:val="005D60FF"/>
    <w:rsid w:val="005D73C6"/>
    <w:rsid w:val="005D7CE3"/>
    <w:rsid w:val="005E0114"/>
    <w:rsid w:val="005E0DB4"/>
    <w:rsid w:val="005E138C"/>
    <w:rsid w:val="005E14FC"/>
    <w:rsid w:val="005E2082"/>
    <w:rsid w:val="005E37F5"/>
    <w:rsid w:val="005E4293"/>
    <w:rsid w:val="005E522B"/>
    <w:rsid w:val="005E59FB"/>
    <w:rsid w:val="005E5EF9"/>
    <w:rsid w:val="005E6F70"/>
    <w:rsid w:val="005F2384"/>
    <w:rsid w:val="005F28ED"/>
    <w:rsid w:val="005F37D2"/>
    <w:rsid w:val="005F4E0F"/>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B15"/>
    <w:rsid w:val="00603E23"/>
    <w:rsid w:val="00604966"/>
    <w:rsid w:val="006049C5"/>
    <w:rsid w:val="006054D5"/>
    <w:rsid w:val="00605D8F"/>
    <w:rsid w:val="00605DED"/>
    <w:rsid w:val="00606110"/>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0D92"/>
    <w:rsid w:val="0062143F"/>
    <w:rsid w:val="006227CD"/>
    <w:rsid w:val="00624559"/>
    <w:rsid w:val="00625036"/>
    <w:rsid w:val="00625B6D"/>
    <w:rsid w:val="00625C7F"/>
    <w:rsid w:val="00626EDC"/>
    <w:rsid w:val="00626FD4"/>
    <w:rsid w:val="006301EB"/>
    <w:rsid w:val="0063290C"/>
    <w:rsid w:val="00632CDD"/>
    <w:rsid w:val="006331A7"/>
    <w:rsid w:val="00634133"/>
    <w:rsid w:val="0063425C"/>
    <w:rsid w:val="00634CD6"/>
    <w:rsid w:val="00635D6D"/>
    <w:rsid w:val="00635E3F"/>
    <w:rsid w:val="00635E50"/>
    <w:rsid w:val="00636142"/>
    <w:rsid w:val="00636377"/>
    <w:rsid w:val="00636AAC"/>
    <w:rsid w:val="006376B4"/>
    <w:rsid w:val="0063783C"/>
    <w:rsid w:val="00637B98"/>
    <w:rsid w:val="006403CA"/>
    <w:rsid w:val="00640AFE"/>
    <w:rsid w:val="00640D08"/>
    <w:rsid w:val="00641994"/>
    <w:rsid w:val="00641F38"/>
    <w:rsid w:val="00642A8F"/>
    <w:rsid w:val="00643BA9"/>
    <w:rsid w:val="00644C8C"/>
    <w:rsid w:val="00645898"/>
    <w:rsid w:val="006464FE"/>
    <w:rsid w:val="00646EA4"/>
    <w:rsid w:val="0064745B"/>
    <w:rsid w:val="00650483"/>
    <w:rsid w:val="0065242B"/>
    <w:rsid w:val="00652638"/>
    <w:rsid w:val="006526C1"/>
    <w:rsid w:val="0065364E"/>
    <w:rsid w:val="00653B67"/>
    <w:rsid w:val="00653BE4"/>
    <w:rsid w:val="00654B86"/>
    <w:rsid w:val="00654CCA"/>
    <w:rsid w:val="00655D2A"/>
    <w:rsid w:val="00656704"/>
    <w:rsid w:val="00656725"/>
    <w:rsid w:val="00656F0F"/>
    <w:rsid w:val="0065707C"/>
    <w:rsid w:val="00657623"/>
    <w:rsid w:val="00657E57"/>
    <w:rsid w:val="00660BC3"/>
    <w:rsid w:val="00660C81"/>
    <w:rsid w:val="00660EDC"/>
    <w:rsid w:val="006617A4"/>
    <w:rsid w:val="006618CB"/>
    <w:rsid w:val="00662981"/>
    <w:rsid w:val="00662F52"/>
    <w:rsid w:val="006643E9"/>
    <w:rsid w:val="00664FE3"/>
    <w:rsid w:val="00665428"/>
    <w:rsid w:val="00665AEA"/>
    <w:rsid w:val="006675B8"/>
    <w:rsid w:val="0066765C"/>
    <w:rsid w:val="00667DA0"/>
    <w:rsid w:val="0067116A"/>
    <w:rsid w:val="0067360F"/>
    <w:rsid w:val="00674B3F"/>
    <w:rsid w:val="00675032"/>
    <w:rsid w:val="00675393"/>
    <w:rsid w:val="006757DB"/>
    <w:rsid w:val="00675992"/>
    <w:rsid w:val="00676B83"/>
    <w:rsid w:val="0067747B"/>
    <w:rsid w:val="00677531"/>
    <w:rsid w:val="00677F26"/>
    <w:rsid w:val="006811E0"/>
    <w:rsid w:val="006812F2"/>
    <w:rsid w:val="006815AB"/>
    <w:rsid w:val="00681F8C"/>
    <w:rsid w:val="00682264"/>
    <w:rsid w:val="00682EFB"/>
    <w:rsid w:val="0068309C"/>
    <w:rsid w:val="0068393B"/>
    <w:rsid w:val="00684876"/>
    <w:rsid w:val="006848D1"/>
    <w:rsid w:val="00684ACB"/>
    <w:rsid w:val="00685BC7"/>
    <w:rsid w:val="00685C47"/>
    <w:rsid w:val="00686D73"/>
    <w:rsid w:val="00686F6C"/>
    <w:rsid w:val="006873A7"/>
    <w:rsid w:val="006873CB"/>
    <w:rsid w:val="0068752B"/>
    <w:rsid w:val="006876F5"/>
    <w:rsid w:val="006878D9"/>
    <w:rsid w:val="00690B52"/>
    <w:rsid w:val="00690C1F"/>
    <w:rsid w:val="0069121A"/>
    <w:rsid w:val="00691986"/>
    <w:rsid w:val="00693AD5"/>
    <w:rsid w:val="00693AF4"/>
    <w:rsid w:val="00693B4A"/>
    <w:rsid w:val="00694612"/>
    <w:rsid w:val="00696B12"/>
    <w:rsid w:val="00696E9D"/>
    <w:rsid w:val="006A0106"/>
    <w:rsid w:val="006A0550"/>
    <w:rsid w:val="006A0B82"/>
    <w:rsid w:val="006A15A1"/>
    <w:rsid w:val="006A207B"/>
    <w:rsid w:val="006A29BE"/>
    <w:rsid w:val="006A41E2"/>
    <w:rsid w:val="006A46D8"/>
    <w:rsid w:val="006A5D48"/>
    <w:rsid w:val="006A780B"/>
    <w:rsid w:val="006A78F3"/>
    <w:rsid w:val="006A78FD"/>
    <w:rsid w:val="006B1632"/>
    <w:rsid w:val="006B2529"/>
    <w:rsid w:val="006B296A"/>
    <w:rsid w:val="006B2CA4"/>
    <w:rsid w:val="006B2D7F"/>
    <w:rsid w:val="006B3206"/>
    <w:rsid w:val="006B40EB"/>
    <w:rsid w:val="006B54BB"/>
    <w:rsid w:val="006B6994"/>
    <w:rsid w:val="006B6AFA"/>
    <w:rsid w:val="006B6D80"/>
    <w:rsid w:val="006B6DB3"/>
    <w:rsid w:val="006B6F21"/>
    <w:rsid w:val="006B7130"/>
    <w:rsid w:val="006C1813"/>
    <w:rsid w:val="006C248C"/>
    <w:rsid w:val="006C2A53"/>
    <w:rsid w:val="006C39F1"/>
    <w:rsid w:val="006C48BC"/>
    <w:rsid w:val="006C4B3A"/>
    <w:rsid w:val="006C5226"/>
    <w:rsid w:val="006C5BFF"/>
    <w:rsid w:val="006C5C44"/>
    <w:rsid w:val="006C5DAF"/>
    <w:rsid w:val="006C7436"/>
    <w:rsid w:val="006D0E6B"/>
    <w:rsid w:val="006D1180"/>
    <w:rsid w:val="006D16EE"/>
    <w:rsid w:val="006D1F59"/>
    <w:rsid w:val="006D3169"/>
    <w:rsid w:val="006D3F69"/>
    <w:rsid w:val="006D44CC"/>
    <w:rsid w:val="006D50F7"/>
    <w:rsid w:val="006D5883"/>
    <w:rsid w:val="006D6EBA"/>
    <w:rsid w:val="006D7C41"/>
    <w:rsid w:val="006D7DD6"/>
    <w:rsid w:val="006E05E8"/>
    <w:rsid w:val="006E0927"/>
    <w:rsid w:val="006E1827"/>
    <w:rsid w:val="006E26F2"/>
    <w:rsid w:val="006E37C1"/>
    <w:rsid w:val="006E40D4"/>
    <w:rsid w:val="006E4730"/>
    <w:rsid w:val="006E4F8A"/>
    <w:rsid w:val="006E6140"/>
    <w:rsid w:val="006E7EAD"/>
    <w:rsid w:val="006F0316"/>
    <w:rsid w:val="006F0A60"/>
    <w:rsid w:val="006F1FC8"/>
    <w:rsid w:val="006F303C"/>
    <w:rsid w:val="006F35C0"/>
    <w:rsid w:val="006F381F"/>
    <w:rsid w:val="006F3A31"/>
    <w:rsid w:val="006F3BFD"/>
    <w:rsid w:val="006F4482"/>
    <w:rsid w:val="006F4677"/>
    <w:rsid w:val="006F57F7"/>
    <w:rsid w:val="006F59F6"/>
    <w:rsid w:val="006F5C22"/>
    <w:rsid w:val="006F611E"/>
    <w:rsid w:val="006F7821"/>
    <w:rsid w:val="0070000C"/>
    <w:rsid w:val="007021E2"/>
    <w:rsid w:val="00702633"/>
    <w:rsid w:val="00702EF7"/>
    <w:rsid w:val="007070DE"/>
    <w:rsid w:val="00707BC4"/>
    <w:rsid w:val="00707E19"/>
    <w:rsid w:val="007104BC"/>
    <w:rsid w:val="00711101"/>
    <w:rsid w:val="00711D2A"/>
    <w:rsid w:val="00713260"/>
    <w:rsid w:val="007143E1"/>
    <w:rsid w:val="00714B3B"/>
    <w:rsid w:val="00714CF1"/>
    <w:rsid w:val="00715EC5"/>
    <w:rsid w:val="007161EE"/>
    <w:rsid w:val="00717887"/>
    <w:rsid w:val="00717AA6"/>
    <w:rsid w:val="007200C4"/>
    <w:rsid w:val="007202D3"/>
    <w:rsid w:val="0072098C"/>
    <w:rsid w:val="00721398"/>
    <w:rsid w:val="007214F3"/>
    <w:rsid w:val="007221DD"/>
    <w:rsid w:val="00722821"/>
    <w:rsid w:val="007228F5"/>
    <w:rsid w:val="00722A5F"/>
    <w:rsid w:val="00724B2D"/>
    <w:rsid w:val="00725DC7"/>
    <w:rsid w:val="00725E15"/>
    <w:rsid w:val="00726535"/>
    <w:rsid w:val="00727214"/>
    <w:rsid w:val="007272EB"/>
    <w:rsid w:val="00731185"/>
    <w:rsid w:val="00731661"/>
    <w:rsid w:val="0073214E"/>
    <w:rsid w:val="00733B06"/>
    <w:rsid w:val="007342FE"/>
    <w:rsid w:val="0073497A"/>
    <w:rsid w:val="00734D57"/>
    <w:rsid w:val="00734F07"/>
    <w:rsid w:val="0073522D"/>
    <w:rsid w:val="00737125"/>
    <w:rsid w:val="00737F05"/>
    <w:rsid w:val="00741103"/>
    <w:rsid w:val="007413DF"/>
    <w:rsid w:val="007417C5"/>
    <w:rsid w:val="007417DE"/>
    <w:rsid w:val="0074182D"/>
    <w:rsid w:val="00742FDA"/>
    <w:rsid w:val="007446FC"/>
    <w:rsid w:val="00745011"/>
    <w:rsid w:val="00745184"/>
    <w:rsid w:val="00745908"/>
    <w:rsid w:val="0074754C"/>
    <w:rsid w:val="007477F4"/>
    <w:rsid w:val="00750358"/>
    <w:rsid w:val="00752644"/>
    <w:rsid w:val="00752F02"/>
    <w:rsid w:val="007538C7"/>
    <w:rsid w:val="00753BFB"/>
    <w:rsid w:val="00754143"/>
    <w:rsid w:val="00755688"/>
    <w:rsid w:val="00756187"/>
    <w:rsid w:val="00756698"/>
    <w:rsid w:val="0075784D"/>
    <w:rsid w:val="00757B89"/>
    <w:rsid w:val="00757C4B"/>
    <w:rsid w:val="00760C68"/>
    <w:rsid w:val="00761767"/>
    <w:rsid w:val="00762F69"/>
    <w:rsid w:val="00762F72"/>
    <w:rsid w:val="007631E0"/>
    <w:rsid w:val="00763515"/>
    <w:rsid w:val="0076375D"/>
    <w:rsid w:val="007655F8"/>
    <w:rsid w:val="00765FB5"/>
    <w:rsid w:val="0076670A"/>
    <w:rsid w:val="00766820"/>
    <w:rsid w:val="00767745"/>
    <w:rsid w:val="0076792F"/>
    <w:rsid w:val="00767F81"/>
    <w:rsid w:val="007700F1"/>
    <w:rsid w:val="00772460"/>
    <w:rsid w:val="0077299B"/>
    <w:rsid w:val="00772F48"/>
    <w:rsid w:val="007736BA"/>
    <w:rsid w:val="00773E1D"/>
    <w:rsid w:val="0077427B"/>
    <w:rsid w:val="00774394"/>
    <w:rsid w:val="0077505E"/>
    <w:rsid w:val="0077592B"/>
    <w:rsid w:val="00775F8A"/>
    <w:rsid w:val="007769FA"/>
    <w:rsid w:val="007800E4"/>
    <w:rsid w:val="00780972"/>
    <w:rsid w:val="00780A9E"/>
    <w:rsid w:val="00780AA2"/>
    <w:rsid w:val="00781A9D"/>
    <w:rsid w:val="00781AF0"/>
    <w:rsid w:val="00781E30"/>
    <w:rsid w:val="00782BD9"/>
    <w:rsid w:val="00782E58"/>
    <w:rsid w:val="00783778"/>
    <w:rsid w:val="00783BA1"/>
    <w:rsid w:val="00783F0C"/>
    <w:rsid w:val="007840BB"/>
    <w:rsid w:val="007841EA"/>
    <w:rsid w:val="00785927"/>
    <w:rsid w:val="00785E2E"/>
    <w:rsid w:val="00785FC2"/>
    <w:rsid w:val="00790151"/>
    <w:rsid w:val="00790164"/>
    <w:rsid w:val="007908C5"/>
    <w:rsid w:val="00791772"/>
    <w:rsid w:val="00792FD3"/>
    <w:rsid w:val="00794734"/>
    <w:rsid w:val="00794A1F"/>
    <w:rsid w:val="00795F22"/>
    <w:rsid w:val="00797EC8"/>
    <w:rsid w:val="007A081A"/>
    <w:rsid w:val="007A1051"/>
    <w:rsid w:val="007A20AD"/>
    <w:rsid w:val="007A2A3C"/>
    <w:rsid w:val="007A3733"/>
    <w:rsid w:val="007A3934"/>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4CDF"/>
    <w:rsid w:val="007B6650"/>
    <w:rsid w:val="007B6B1E"/>
    <w:rsid w:val="007B7CC9"/>
    <w:rsid w:val="007C2AD4"/>
    <w:rsid w:val="007C2DD4"/>
    <w:rsid w:val="007C3B06"/>
    <w:rsid w:val="007C3E46"/>
    <w:rsid w:val="007C49D3"/>
    <w:rsid w:val="007C4F78"/>
    <w:rsid w:val="007C5024"/>
    <w:rsid w:val="007C5CBD"/>
    <w:rsid w:val="007C6FEF"/>
    <w:rsid w:val="007C73B8"/>
    <w:rsid w:val="007D012D"/>
    <w:rsid w:val="007D07AE"/>
    <w:rsid w:val="007D2582"/>
    <w:rsid w:val="007D3225"/>
    <w:rsid w:val="007D3420"/>
    <w:rsid w:val="007D3687"/>
    <w:rsid w:val="007D4EA3"/>
    <w:rsid w:val="007D5362"/>
    <w:rsid w:val="007E000F"/>
    <w:rsid w:val="007E1135"/>
    <w:rsid w:val="007E1930"/>
    <w:rsid w:val="007E1D38"/>
    <w:rsid w:val="007E2056"/>
    <w:rsid w:val="007E29CF"/>
    <w:rsid w:val="007E35D8"/>
    <w:rsid w:val="007E3B2E"/>
    <w:rsid w:val="007E48DE"/>
    <w:rsid w:val="007E496A"/>
    <w:rsid w:val="007E4CD7"/>
    <w:rsid w:val="007E64BB"/>
    <w:rsid w:val="007E6661"/>
    <w:rsid w:val="007E6721"/>
    <w:rsid w:val="007F0DB7"/>
    <w:rsid w:val="007F2E32"/>
    <w:rsid w:val="007F3880"/>
    <w:rsid w:val="007F3B8C"/>
    <w:rsid w:val="007F421B"/>
    <w:rsid w:val="007F7BCD"/>
    <w:rsid w:val="00800530"/>
    <w:rsid w:val="0080062C"/>
    <w:rsid w:val="008020B7"/>
    <w:rsid w:val="008028D5"/>
    <w:rsid w:val="00803236"/>
    <w:rsid w:val="00804D26"/>
    <w:rsid w:val="00807623"/>
    <w:rsid w:val="008078E2"/>
    <w:rsid w:val="00807B53"/>
    <w:rsid w:val="00810D34"/>
    <w:rsid w:val="00811503"/>
    <w:rsid w:val="00812346"/>
    <w:rsid w:val="00812EEE"/>
    <w:rsid w:val="00812F41"/>
    <w:rsid w:val="0081408A"/>
    <w:rsid w:val="00814E45"/>
    <w:rsid w:val="00815680"/>
    <w:rsid w:val="0081620E"/>
    <w:rsid w:val="0081658F"/>
    <w:rsid w:val="0081739B"/>
    <w:rsid w:val="008175D0"/>
    <w:rsid w:val="00817884"/>
    <w:rsid w:val="008179CF"/>
    <w:rsid w:val="00817B5A"/>
    <w:rsid w:val="00817B90"/>
    <w:rsid w:val="00817C45"/>
    <w:rsid w:val="00817F37"/>
    <w:rsid w:val="00820CE5"/>
    <w:rsid w:val="00820E00"/>
    <w:rsid w:val="008213F1"/>
    <w:rsid w:val="00822141"/>
    <w:rsid w:val="00822C5F"/>
    <w:rsid w:val="00823068"/>
    <w:rsid w:val="008230BB"/>
    <w:rsid w:val="00823319"/>
    <w:rsid w:val="00825D43"/>
    <w:rsid w:val="00826068"/>
    <w:rsid w:val="008263F0"/>
    <w:rsid w:val="00826547"/>
    <w:rsid w:val="00826624"/>
    <w:rsid w:val="00830148"/>
    <w:rsid w:val="00830302"/>
    <w:rsid w:val="00830FD2"/>
    <w:rsid w:val="008316AD"/>
    <w:rsid w:val="00833286"/>
    <w:rsid w:val="0083378E"/>
    <w:rsid w:val="00833C7E"/>
    <w:rsid w:val="00834FD5"/>
    <w:rsid w:val="00835878"/>
    <w:rsid w:val="008363A2"/>
    <w:rsid w:val="00836AF5"/>
    <w:rsid w:val="00837125"/>
    <w:rsid w:val="00840A7D"/>
    <w:rsid w:val="00841DAA"/>
    <w:rsid w:val="00842834"/>
    <w:rsid w:val="00842D75"/>
    <w:rsid w:val="008438D2"/>
    <w:rsid w:val="00843952"/>
    <w:rsid w:val="008445D4"/>
    <w:rsid w:val="00844636"/>
    <w:rsid w:val="008446F1"/>
    <w:rsid w:val="00846291"/>
    <w:rsid w:val="00846EC8"/>
    <w:rsid w:val="00846FF0"/>
    <w:rsid w:val="008470AF"/>
    <w:rsid w:val="00847435"/>
    <w:rsid w:val="00850C0F"/>
    <w:rsid w:val="00851BF3"/>
    <w:rsid w:val="008526C9"/>
    <w:rsid w:val="0085298A"/>
    <w:rsid w:val="00852B90"/>
    <w:rsid w:val="00852E40"/>
    <w:rsid w:val="008530EC"/>
    <w:rsid w:val="0085365F"/>
    <w:rsid w:val="0085494F"/>
    <w:rsid w:val="00854C98"/>
    <w:rsid w:val="00855458"/>
    <w:rsid w:val="0085639F"/>
    <w:rsid w:val="0085728C"/>
    <w:rsid w:val="008606DC"/>
    <w:rsid w:val="0086134D"/>
    <w:rsid w:val="008617B6"/>
    <w:rsid w:val="00861B30"/>
    <w:rsid w:val="00861FD7"/>
    <w:rsid w:val="00862C13"/>
    <w:rsid w:val="00862C4C"/>
    <w:rsid w:val="00865036"/>
    <w:rsid w:val="00865057"/>
    <w:rsid w:val="00865444"/>
    <w:rsid w:val="00865472"/>
    <w:rsid w:val="00865F3F"/>
    <w:rsid w:val="00867F17"/>
    <w:rsid w:val="0087080C"/>
    <w:rsid w:val="00870E37"/>
    <w:rsid w:val="00872237"/>
    <w:rsid w:val="00873A3D"/>
    <w:rsid w:val="00874671"/>
    <w:rsid w:val="00875178"/>
    <w:rsid w:val="0087635E"/>
    <w:rsid w:val="00876880"/>
    <w:rsid w:val="00876921"/>
    <w:rsid w:val="00876B68"/>
    <w:rsid w:val="00877698"/>
    <w:rsid w:val="0088013C"/>
    <w:rsid w:val="0088045D"/>
    <w:rsid w:val="00881830"/>
    <w:rsid w:val="008821C7"/>
    <w:rsid w:val="00882750"/>
    <w:rsid w:val="0088286F"/>
    <w:rsid w:val="008836BC"/>
    <w:rsid w:val="00883EAF"/>
    <w:rsid w:val="00884452"/>
    <w:rsid w:val="00885D5A"/>
    <w:rsid w:val="00886D40"/>
    <w:rsid w:val="008875DE"/>
    <w:rsid w:val="00887A02"/>
    <w:rsid w:val="008905D7"/>
    <w:rsid w:val="00890679"/>
    <w:rsid w:val="00890929"/>
    <w:rsid w:val="008926C3"/>
    <w:rsid w:val="00893951"/>
    <w:rsid w:val="00893FC1"/>
    <w:rsid w:val="008952DE"/>
    <w:rsid w:val="008955C5"/>
    <w:rsid w:val="00895B87"/>
    <w:rsid w:val="00896511"/>
    <w:rsid w:val="008966EC"/>
    <w:rsid w:val="00897763"/>
    <w:rsid w:val="0089787B"/>
    <w:rsid w:val="00897A5A"/>
    <w:rsid w:val="008A02D6"/>
    <w:rsid w:val="008A0709"/>
    <w:rsid w:val="008A08D2"/>
    <w:rsid w:val="008A26A7"/>
    <w:rsid w:val="008A2E7B"/>
    <w:rsid w:val="008A3162"/>
    <w:rsid w:val="008A35E6"/>
    <w:rsid w:val="008A3A4A"/>
    <w:rsid w:val="008A4196"/>
    <w:rsid w:val="008A44A5"/>
    <w:rsid w:val="008A4B8E"/>
    <w:rsid w:val="008A56FF"/>
    <w:rsid w:val="008A5C8E"/>
    <w:rsid w:val="008A67D2"/>
    <w:rsid w:val="008B01A1"/>
    <w:rsid w:val="008B1C95"/>
    <w:rsid w:val="008B30B7"/>
    <w:rsid w:val="008B474F"/>
    <w:rsid w:val="008B4D4D"/>
    <w:rsid w:val="008B562E"/>
    <w:rsid w:val="008B5748"/>
    <w:rsid w:val="008B5B9D"/>
    <w:rsid w:val="008B6149"/>
    <w:rsid w:val="008B6355"/>
    <w:rsid w:val="008B6A22"/>
    <w:rsid w:val="008B6B0E"/>
    <w:rsid w:val="008B6E1A"/>
    <w:rsid w:val="008B7513"/>
    <w:rsid w:val="008B77C0"/>
    <w:rsid w:val="008C074A"/>
    <w:rsid w:val="008C10DE"/>
    <w:rsid w:val="008C184C"/>
    <w:rsid w:val="008C1B0A"/>
    <w:rsid w:val="008C2078"/>
    <w:rsid w:val="008C2964"/>
    <w:rsid w:val="008C474D"/>
    <w:rsid w:val="008C4D02"/>
    <w:rsid w:val="008C520E"/>
    <w:rsid w:val="008C5CA5"/>
    <w:rsid w:val="008C5FE2"/>
    <w:rsid w:val="008C7368"/>
    <w:rsid w:val="008C73D6"/>
    <w:rsid w:val="008D0C62"/>
    <w:rsid w:val="008D2462"/>
    <w:rsid w:val="008D2528"/>
    <w:rsid w:val="008D2533"/>
    <w:rsid w:val="008D2B98"/>
    <w:rsid w:val="008D2CD6"/>
    <w:rsid w:val="008D2F55"/>
    <w:rsid w:val="008D39B0"/>
    <w:rsid w:val="008D462B"/>
    <w:rsid w:val="008D4828"/>
    <w:rsid w:val="008D4939"/>
    <w:rsid w:val="008D4B51"/>
    <w:rsid w:val="008D4F0B"/>
    <w:rsid w:val="008D5193"/>
    <w:rsid w:val="008D5BCE"/>
    <w:rsid w:val="008D5DBA"/>
    <w:rsid w:val="008D61FA"/>
    <w:rsid w:val="008D6613"/>
    <w:rsid w:val="008D6632"/>
    <w:rsid w:val="008D6DBD"/>
    <w:rsid w:val="008E0465"/>
    <w:rsid w:val="008E1195"/>
    <w:rsid w:val="008E203E"/>
    <w:rsid w:val="008E20E1"/>
    <w:rsid w:val="008E3AEA"/>
    <w:rsid w:val="008E3D60"/>
    <w:rsid w:val="008E517B"/>
    <w:rsid w:val="008E6B68"/>
    <w:rsid w:val="008E7390"/>
    <w:rsid w:val="008E762D"/>
    <w:rsid w:val="008F000D"/>
    <w:rsid w:val="008F0960"/>
    <w:rsid w:val="008F151B"/>
    <w:rsid w:val="008F179B"/>
    <w:rsid w:val="008F1F00"/>
    <w:rsid w:val="008F2108"/>
    <w:rsid w:val="008F307B"/>
    <w:rsid w:val="008F32A1"/>
    <w:rsid w:val="008F41BE"/>
    <w:rsid w:val="008F4712"/>
    <w:rsid w:val="008F638D"/>
    <w:rsid w:val="008F6D15"/>
    <w:rsid w:val="008F6E84"/>
    <w:rsid w:val="008F7EBB"/>
    <w:rsid w:val="008F7ED1"/>
    <w:rsid w:val="009001B6"/>
    <w:rsid w:val="0090056C"/>
    <w:rsid w:val="00900939"/>
    <w:rsid w:val="00900A35"/>
    <w:rsid w:val="00900DF0"/>
    <w:rsid w:val="00901DAE"/>
    <w:rsid w:val="00903621"/>
    <w:rsid w:val="009050AE"/>
    <w:rsid w:val="0090513E"/>
    <w:rsid w:val="00905898"/>
    <w:rsid w:val="00906329"/>
    <w:rsid w:val="00906339"/>
    <w:rsid w:val="0090652D"/>
    <w:rsid w:val="009075BC"/>
    <w:rsid w:val="009079F0"/>
    <w:rsid w:val="00907EE2"/>
    <w:rsid w:val="009100F6"/>
    <w:rsid w:val="00910F11"/>
    <w:rsid w:val="009113AE"/>
    <w:rsid w:val="00911F60"/>
    <w:rsid w:val="0091240D"/>
    <w:rsid w:val="00912EB2"/>
    <w:rsid w:val="0091347C"/>
    <w:rsid w:val="00914284"/>
    <w:rsid w:val="00914550"/>
    <w:rsid w:val="0091487A"/>
    <w:rsid w:val="00914E36"/>
    <w:rsid w:val="00915300"/>
    <w:rsid w:val="0091657F"/>
    <w:rsid w:val="009173B9"/>
    <w:rsid w:val="00917AE1"/>
    <w:rsid w:val="009202B1"/>
    <w:rsid w:val="0092042A"/>
    <w:rsid w:val="009207AD"/>
    <w:rsid w:val="00920B00"/>
    <w:rsid w:val="009210A5"/>
    <w:rsid w:val="00921355"/>
    <w:rsid w:val="009216CA"/>
    <w:rsid w:val="00922466"/>
    <w:rsid w:val="00922808"/>
    <w:rsid w:val="00922934"/>
    <w:rsid w:val="00923CCF"/>
    <w:rsid w:val="009245CB"/>
    <w:rsid w:val="009259EF"/>
    <w:rsid w:val="00927725"/>
    <w:rsid w:val="00927BF5"/>
    <w:rsid w:val="00930782"/>
    <w:rsid w:val="00930FFB"/>
    <w:rsid w:val="00931452"/>
    <w:rsid w:val="009320E8"/>
    <w:rsid w:val="009332EE"/>
    <w:rsid w:val="0093355A"/>
    <w:rsid w:val="009335BA"/>
    <w:rsid w:val="00933731"/>
    <w:rsid w:val="00934660"/>
    <w:rsid w:val="0093486A"/>
    <w:rsid w:val="00934E21"/>
    <w:rsid w:val="00934FF9"/>
    <w:rsid w:val="00936198"/>
    <w:rsid w:val="009368DE"/>
    <w:rsid w:val="00936B44"/>
    <w:rsid w:val="00936EC8"/>
    <w:rsid w:val="00940BF3"/>
    <w:rsid w:val="009415D4"/>
    <w:rsid w:val="009416FE"/>
    <w:rsid w:val="009417E1"/>
    <w:rsid w:val="0094189E"/>
    <w:rsid w:val="00942439"/>
    <w:rsid w:val="00942AE0"/>
    <w:rsid w:val="00943A1E"/>
    <w:rsid w:val="00945B17"/>
    <w:rsid w:val="00945C13"/>
    <w:rsid w:val="00945D12"/>
    <w:rsid w:val="00945ECB"/>
    <w:rsid w:val="00947933"/>
    <w:rsid w:val="00947F9D"/>
    <w:rsid w:val="00950381"/>
    <w:rsid w:val="00950B84"/>
    <w:rsid w:val="00951A36"/>
    <w:rsid w:val="00953C4E"/>
    <w:rsid w:val="00960A89"/>
    <w:rsid w:val="00962287"/>
    <w:rsid w:val="00962690"/>
    <w:rsid w:val="00963DDA"/>
    <w:rsid w:val="009643F6"/>
    <w:rsid w:val="00964564"/>
    <w:rsid w:val="00971077"/>
    <w:rsid w:val="00971B25"/>
    <w:rsid w:val="0097220B"/>
    <w:rsid w:val="009724D1"/>
    <w:rsid w:val="0097266B"/>
    <w:rsid w:val="00972EDB"/>
    <w:rsid w:val="00973FD3"/>
    <w:rsid w:val="00973FE6"/>
    <w:rsid w:val="009740C4"/>
    <w:rsid w:val="00976F69"/>
    <w:rsid w:val="00977612"/>
    <w:rsid w:val="009817D1"/>
    <w:rsid w:val="00981F79"/>
    <w:rsid w:val="009825C9"/>
    <w:rsid w:val="009850EF"/>
    <w:rsid w:val="00985278"/>
    <w:rsid w:val="009868FC"/>
    <w:rsid w:val="00990471"/>
    <w:rsid w:val="00990A70"/>
    <w:rsid w:val="00991558"/>
    <w:rsid w:val="00991A16"/>
    <w:rsid w:val="00992433"/>
    <w:rsid w:val="00992BE2"/>
    <w:rsid w:val="009941C2"/>
    <w:rsid w:val="0099562E"/>
    <w:rsid w:val="00996000"/>
    <w:rsid w:val="00996DDC"/>
    <w:rsid w:val="00997288"/>
    <w:rsid w:val="0099744B"/>
    <w:rsid w:val="009A2E41"/>
    <w:rsid w:val="009A52C1"/>
    <w:rsid w:val="009A5EA7"/>
    <w:rsid w:val="009A6FA2"/>
    <w:rsid w:val="009B3EDA"/>
    <w:rsid w:val="009B455D"/>
    <w:rsid w:val="009B4E8F"/>
    <w:rsid w:val="009B5EBC"/>
    <w:rsid w:val="009B71D6"/>
    <w:rsid w:val="009B7769"/>
    <w:rsid w:val="009C133F"/>
    <w:rsid w:val="009C2436"/>
    <w:rsid w:val="009C2A3B"/>
    <w:rsid w:val="009C441C"/>
    <w:rsid w:val="009C4C6F"/>
    <w:rsid w:val="009C4FDD"/>
    <w:rsid w:val="009C50AA"/>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597"/>
    <w:rsid w:val="009D58D1"/>
    <w:rsid w:val="009D7565"/>
    <w:rsid w:val="009D7787"/>
    <w:rsid w:val="009D7D9C"/>
    <w:rsid w:val="009E02C9"/>
    <w:rsid w:val="009E121C"/>
    <w:rsid w:val="009E13A6"/>
    <w:rsid w:val="009E161B"/>
    <w:rsid w:val="009E1B98"/>
    <w:rsid w:val="009E23CD"/>
    <w:rsid w:val="009E2E51"/>
    <w:rsid w:val="009E32E1"/>
    <w:rsid w:val="009E39DC"/>
    <w:rsid w:val="009E3E51"/>
    <w:rsid w:val="009E3FAC"/>
    <w:rsid w:val="009E4153"/>
    <w:rsid w:val="009E5378"/>
    <w:rsid w:val="009E56B4"/>
    <w:rsid w:val="009E5881"/>
    <w:rsid w:val="009E6D68"/>
    <w:rsid w:val="009E7BE8"/>
    <w:rsid w:val="009E7F39"/>
    <w:rsid w:val="009F029A"/>
    <w:rsid w:val="009F0DA4"/>
    <w:rsid w:val="009F1B61"/>
    <w:rsid w:val="009F28C9"/>
    <w:rsid w:val="009F2C50"/>
    <w:rsid w:val="009F3C2E"/>
    <w:rsid w:val="009F4081"/>
    <w:rsid w:val="009F43C3"/>
    <w:rsid w:val="009F4A70"/>
    <w:rsid w:val="009F4D28"/>
    <w:rsid w:val="009F586D"/>
    <w:rsid w:val="009F6110"/>
    <w:rsid w:val="009F615E"/>
    <w:rsid w:val="009F6933"/>
    <w:rsid w:val="009F6EDF"/>
    <w:rsid w:val="009F7D43"/>
    <w:rsid w:val="00A012D0"/>
    <w:rsid w:val="00A01523"/>
    <w:rsid w:val="00A015E7"/>
    <w:rsid w:val="00A0389C"/>
    <w:rsid w:val="00A043FE"/>
    <w:rsid w:val="00A05729"/>
    <w:rsid w:val="00A05803"/>
    <w:rsid w:val="00A05916"/>
    <w:rsid w:val="00A06E1B"/>
    <w:rsid w:val="00A0794D"/>
    <w:rsid w:val="00A10898"/>
    <w:rsid w:val="00A10EFF"/>
    <w:rsid w:val="00A1290A"/>
    <w:rsid w:val="00A13975"/>
    <w:rsid w:val="00A16741"/>
    <w:rsid w:val="00A1701D"/>
    <w:rsid w:val="00A172A1"/>
    <w:rsid w:val="00A209C7"/>
    <w:rsid w:val="00A20EC8"/>
    <w:rsid w:val="00A2114F"/>
    <w:rsid w:val="00A218A7"/>
    <w:rsid w:val="00A21FBD"/>
    <w:rsid w:val="00A2216E"/>
    <w:rsid w:val="00A22A96"/>
    <w:rsid w:val="00A2370B"/>
    <w:rsid w:val="00A24782"/>
    <w:rsid w:val="00A24F7A"/>
    <w:rsid w:val="00A25885"/>
    <w:rsid w:val="00A265F3"/>
    <w:rsid w:val="00A26CAA"/>
    <w:rsid w:val="00A26CCB"/>
    <w:rsid w:val="00A27AFB"/>
    <w:rsid w:val="00A304C5"/>
    <w:rsid w:val="00A31536"/>
    <w:rsid w:val="00A31956"/>
    <w:rsid w:val="00A31A93"/>
    <w:rsid w:val="00A3399F"/>
    <w:rsid w:val="00A33C0B"/>
    <w:rsid w:val="00A33DC9"/>
    <w:rsid w:val="00A33F77"/>
    <w:rsid w:val="00A341A1"/>
    <w:rsid w:val="00A34236"/>
    <w:rsid w:val="00A3490C"/>
    <w:rsid w:val="00A34A62"/>
    <w:rsid w:val="00A35831"/>
    <w:rsid w:val="00A365C9"/>
    <w:rsid w:val="00A36CCE"/>
    <w:rsid w:val="00A36E14"/>
    <w:rsid w:val="00A3743F"/>
    <w:rsid w:val="00A378E5"/>
    <w:rsid w:val="00A37DA4"/>
    <w:rsid w:val="00A40872"/>
    <w:rsid w:val="00A412EF"/>
    <w:rsid w:val="00A42EF2"/>
    <w:rsid w:val="00A4355E"/>
    <w:rsid w:val="00A44D84"/>
    <w:rsid w:val="00A4560F"/>
    <w:rsid w:val="00A45BD2"/>
    <w:rsid w:val="00A46829"/>
    <w:rsid w:val="00A46F60"/>
    <w:rsid w:val="00A4716C"/>
    <w:rsid w:val="00A479EA"/>
    <w:rsid w:val="00A50436"/>
    <w:rsid w:val="00A5086E"/>
    <w:rsid w:val="00A5275D"/>
    <w:rsid w:val="00A52A12"/>
    <w:rsid w:val="00A52ED5"/>
    <w:rsid w:val="00A5372E"/>
    <w:rsid w:val="00A54194"/>
    <w:rsid w:val="00A54BC7"/>
    <w:rsid w:val="00A54E6E"/>
    <w:rsid w:val="00A5515B"/>
    <w:rsid w:val="00A56953"/>
    <w:rsid w:val="00A5774E"/>
    <w:rsid w:val="00A578D4"/>
    <w:rsid w:val="00A60EBF"/>
    <w:rsid w:val="00A61015"/>
    <w:rsid w:val="00A61324"/>
    <w:rsid w:val="00A61D6F"/>
    <w:rsid w:val="00A61D7A"/>
    <w:rsid w:val="00A61E5B"/>
    <w:rsid w:val="00A63622"/>
    <w:rsid w:val="00A64735"/>
    <w:rsid w:val="00A64A5F"/>
    <w:rsid w:val="00A653BF"/>
    <w:rsid w:val="00A654E5"/>
    <w:rsid w:val="00A659E2"/>
    <w:rsid w:val="00A65E71"/>
    <w:rsid w:val="00A65F01"/>
    <w:rsid w:val="00A66936"/>
    <w:rsid w:val="00A7085C"/>
    <w:rsid w:val="00A70C84"/>
    <w:rsid w:val="00A72F5E"/>
    <w:rsid w:val="00A7322E"/>
    <w:rsid w:val="00A73FFB"/>
    <w:rsid w:val="00A757FC"/>
    <w:rsid w:val="00A76523"/>
    <w:rsid w:val="00A766F9"/>
    <w:rsid w:val="00A8035D"/>
    <w:rsid w:val="00A807A3"/>
    <w:rsid w:val="00A80D96"/>
    <w:rsid w:val="00A81E2E"/>
    <w:rsid w:val="00A8265A"/>
    <w:rsid w:val="00A82A4A"/>
    <w:rsid w:val="00A833D0"/>
    <w:rsid w:val="00A83F16"/>
    <w:rsid w:val="00A84303"/>
    <w:rsid w:val="00A84D22"/>
    <w:rsid w:val="00A8510A"/>
    <w:rsid w:val="00A85D7B"/>
    <w:rsid w:val="00A860D4"/>
    <w:rsid w:val="00A860F0"/>
    <w:rsid w:val="00A8651D"/>
    <w:rsid w:val="00A87E35"/>
    <w:rsid w:val="00A90276"/>
    <w:rsid w:val="00A9067D"/>
    <w:rsid w:val="00A90807"/>
    <w:rsid w:val="00A91BFE"/>
    <w:rsid w:val="00A92240"/>
    <w:rsid w:val="00A931DE"/>
    <w:rsid w:val="00A93D89"/>
    <w:rsid w:val="00A94EBF"/>
    <w:rsid w:val="00A95566"/>
    <w:rsid w:val="00A95A99"/>
    <w:rsid w:val="00A95EB3"/>
    <w:rsid w:val="00A964C1"/>
    <w:rsid w:val="00AA0AB4"/>
    <w:rsid w:val="00AA1034"/>
    <w:rsid w:val="00AA17AB"/>
    <w:rsid w:val="00AA1F0E"/>
    <w:rsid w:val="00AA4A4A"/>
    <w:rsid w:val="00AA548E"/>
    <w:rsid w:val="00AA5C5A"/>
    <w:rsid w:val="00AA6178"/>
    <w:rsid w:val="00AB2251"/>
    <w:rsid w:val="00AB2C4F"/>
    <w:rsid w:val="00AB30BD"/>
    <w:rsid w:val="00AB5F73"/>
    <w:rsid w:val="00AB6968"/>
    <w:rsid w:val="00AB77C7"/>
    <w:rsid w:val="00AC014D"/>
    <w:rsid w:val="00AC2EB4"/>
    <w:rsid w:val="00AC308E"/>
    <w:rsid w:val="00AC3F25"/>
    <w:rsid w:val="00AC409E"/>
    <w:rsid w:val="00AC42D7"/>
    <w:rsid w:val="00AC43E5"/>
    <w:rsid w:val="00AC4A08"/>
    <w:rsid w:val="00AC4A8D"/>
    <w:rsid w:val="00AC4FFA"/>
    <w:rsid w:val="00AC661E"/>
    <w:rsid w:val="00AC7204"/>
    <w:rsid w:val="00AC7EA1"/>
    <w:rsid w:val="00AD0771"/>
    <w:rsid w:val="00AD07F3"/>
    <w:rsid w:val="00AD0B76"/>
    <w:rsid w:val="00AD0DB8"/>
    <w:rsid w:val="00AD12A0"/>
    <w:rsid w:val="00AD1F22"/>
    <w:rsid w:val="00AD21FB"/>
    <w:rsid w:val="00AD3629"/>
    <w:rsid w:val="00AD3C01"/>
    <w:rsid w:val="00AD427A"/>
    <w:rsid w:val="00AD43BF"/>
    <w:rsid w:val="00AD445A"/>
    <w:rsid w:val="00AD4625"/>
    <w:rsid w:val="00AD4DBC"/>
    <w:rsid w:val="00AD58D7"/>
    <w:rsid w:val="00AD5DA0"/>
    <w:rsid w:val="00AD5E93"/>
    <w:rsid w:val="00AD5FC5"/>
    <w:rsid w:val="00AD64CC"/>
    <w:rsid w:val="00AD6ADC"/>
    <w:rsid w:val="00AD7D0B"/>
    <w:rsid w:val="00AE1258"/>
    <w:rsid w:val="00AE157F"/>
    <w:rsid w:val="00AE1999"/>
    <w:rsid w:val="00AE22A4"/>
    <w:rsid w:val="00AE32D0"/>
    <w:rsid w:val="00AE37B8"/>
    <w:rsid w:val="00AE3A0E"/>
    <w:rsid w:val="00AE49C7"/>
    <w:rsid w:val="00AE5BCC"/>
    <w:rsid w:val="00AE6208"/>
    <w:rsid w:val="00AE665F"/>
    <w:rsid w:val="00AE67D7"/>
    <w:rsid w:val="00AE719F"/>
    <w:rsid w:val="00AF03C9"/>
    <w:rsid w:val="00AF0428"/>
    <w:rsid w:val="00AF0CAE"/>
    <w:rsid w:val="00AF2516"/>
    <w:rsid w:val="00AF3BFA"/>
    <w:rsid w:val="00AF3E3E"/>
    <w:rsid w:val="00AF3ECA"/>
    <w:rsid w:val="00AF3F47"/>
    <w:rsid w:val="00AF490E"/>
    <w:rsid w:val="00AF570B"/>
    <w:rsid w:val="00AF57F6"/>
    <w:rsid w:val="00AF5F70"/>
    <w:rsid w:val="00AF5FE4"/>
    <w:rsid w:val="00AF629B"/>
    <w:rsid w:val="00AF67A4"/>
    <w:rsid w:val="00AF73CD"/>
    <w:rsid w:val="00B0399B"/>
    <w:rsid w:val="00B04D8B"/>
    <w:rsid w:val="00B05533"/>
    <w:rsid w:val="00B068F4"/>
    <w:rsid w:val="00B06FFF"/>
    <w:rsid w:val="00B075DE"/>
    <w:rsid w:val="00B07704"/>
    <w:rsid w:val="00B07E37"/>
    <w:rsid w:val="00B11100"/>
    <w:rsid w:val="00B11C81"/>
    <w:rsid w:val="00B11D1A"/>
    <w:rsid w:val="00B11E5B"/>
    <w:rsid w:val="00B12270"/>
    <w:rsid w:val="00B12E10"/>
    <w:rsid w:val="00B139A9"/>
    <w:rsid w:val="00B13A08"/>
    <w:rsid w:val="00B146AF"/>
    <w:rsid w:val="00B146EB"/>
    <w:rsid w:val="00B14A28"/>
    <w:rsid w:val="00B14ABA"/>
    <w:rsid w:val="00B155F6"/>
    <w:rsid w:val="00B210A2"/>
    <w:rsid w:val="00B216E3"/>
    <w:rsid w:val="00B217E8"/>
    <w:rsid w:val="00B21E03"/>
    <w:rsid w:val="00B22FC7"/>
    <w:rsid w:val="00B23540"/>
    <w:rsid w:val="00B2360F"/>
    <w:rsid w:val="00B236E4"/>
    <w:rsid w:val="00B24B12"/>
    <w:rsid w:val="00B258FE"/>
    <w:rsid w:val="00B26BB7"/>
    <w:rsid w:val="00B30888"/>
    <w:rsid w:val="00B3107C"/>
    <w:rsid w:val="00B310CB"/>
    <w:rsid w:val="00B32AE3"/>
    <w:rsid w:val="00B32D74"/>
    <w:rsid w:val="00B3398A"/>
    <w:rsid w:val="00B35C62"/>
    <w:rsid w:val="00B35E0E"/>
    <w:rsid w:val="00B362A5"/>
    <w:rsid w:val="00B36C27"/>
    <w:rsid w:val="00B37C7B"/>
    <w:rsid w:val="00B40231"/>
    <w:rsid w:val="00B407F3"/>
    <w:rsid w:val="00B41911"/>
    <w:rsid w:val="00B4513A"/>
    <w:rsid w:val="00B45526"/>
    <w:rsid w:val="00B46787"/>
    <w:rsid w:val="00B501B5"/>
    <w:rsid w:val="00B508E9"/>
    <w:rsid w:val="00B50A32"/>
    <w:rsid w:val="00B512B9"/>
    <w:rsid w:val="00B51417"/>
    <w:rsid w:val="00B519A3"/>
    <w:rsid w:val="00B523D5"/>
    <w:rsid w:val="00B524AB"/>
    <w:rsid w:val="00B52B1B"/>
    <w:rsid w:val="00B52E64"/>
    <w:rsid w:val="00B531F1"/>
    <w:rsid w:val="00B54027"/>
    <w:rsid w:val="00B55F29"/>
    <w:rsid w:val="00B562F0"/>
    <w:rsid w:val="00B56CBE"/>
    <w:rsid w:val="00B56E5D"/>
    <w:rsid w:val="00B57587"/>
    <w:rsid w:val="00B60F8C"/>
    <w:rsid w:val="00B6365C"/>
    <w:rsid w:val="00B63878"/>
    <w:rsid w:val="00B63B8E"/>
    <w:rsid w:val="00B64ED4"/>
    <w:rsid w:val="00B663B8"/>
    <w:rsid w:val="00B67C28"/>
    <w:rsid w:val="00B70517"/>
    <w:rsid w:val="00B70664"/>
    <w:rsid w:val="00B713D0"/>
    <w:rsid w:val="00B715C6"/>
    <w:rsid w:val="00B71ED5"/>
    <w:rsid w:val="00B74962"/>
    <w:rsid w:val="00B74EE2"/>
    <w:rsid w:val="00B75272"/>
    <w:rsid w:val="00B75BB3"/>
    <w:rsid w:val="00B75CFC"/>
    <w:rsid w:val="00B76878"/>
    <w:rsid w:val="00B76A44"/>
    <w:rsid w:val="00B76BFB"/>
    <w:rsid w:val="00B76E07"/>
    <w:rsid w:val="00B802C9"/>
    <w:rsid w:val="00B8045B"/>
    <w:rsid w:val="00B81B89"/>
    <w:rsid w:val="00B81DF2"/>
    <w:rsid w:val="00B8210E"/>
    <w:rsid w:val="00B83125"/>
    <w:rsid w:val="00B831D5"/>
    <w:rsid w:val="00B8325D"/>
    <w:rsid w:val="00B83574"/>
    <w:rsid w:val="00B84B13"/>
    <w:rsid w:val="00B84D00"/>
    <w:rsid w:val="00B8546D"/>
    <w:rsid w:val="00B85E95"/>
    <w:rsid w:val="00B85EED"/>
    <w:rsid w:val="00B86EF9"/>
    <w:rsid w:val="00B875C0"/>
    <w:rsid w:val="00B87631"/>
    <w:rsid w:val="00B9035C"/>
    <w:rsid w:val="00B9185F"/>
    <w:rsid w:val="00B922CA"/>
    <w:rsid w:val="00B95925"/>
    <w:rsid w:val="00B96A3D"/>
    <w:rsid w:val="00B97BD5"/>
    <w:rsid w:val="00B97EF6"/>
    <w:rsid w:val="00BA05E5"/>
    <w:rsid w:val="00BA090D"/>
    <w:rsid w:val="00BA194E"/>
    <w:rsid w:val="00BA1A0B"/>
    <w:rsid w:val="00BA24D2"/>
    <w:rsid w:val="00BA26FC"/>
    <w:rsid w:val="00BA2802"/>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4CA"/>
    <w:rsid w:val="00BB24F7"/>
    <w:rsid w:val="00BB2C8C"/>
    <w:rsid w:val="00BB30D2"/>
    <w:rsid w:val="00BB348E"/>
    <w:rsid w:val="00BB354F"/>
    <w:rsid w:val="00BB36A8"/>
    <w:rsid w:val="00BB4777"/>
    <w:rsid w:val="00BB4EEB"/>
    <w:rsid w:val="00BB5B0A"/>
    <w:rsid w:val="00BB5B74"/>
    <w:rsid w:val="00BB6E7C"/>
    <w:rsid w:val="00BB7A47"/>
    <w:rsid w:val="00BC06C3"/>
    <w:rsid w:val="00BC2C38"/>
    <w:rsid w:val="00BC4B1E"/>
    <w:rsid w:val="00BC55DE"/>
    <w:rsid w:val="00BC5C7E"/>
    <w:rsid w:val="00BC67A3"/>
    <w:rsid w:val="00BD019D"/>
    <w:rsid w:val="00BD0BDE"/>
    <w:rsid w:val="00BD1988"/>
    <w:rsid w:val="00BD481F"/>
    <w:rsid w:val="00BD4AA6"/>
    <w:rsid w:val="00BD4F56"/>
    <w:rsid w:val="00BD4FD8"/>
    <w:rsid w:val="00BD6F5F"/>
    <w:rsid w:val="00BE0304"/>
    <w:rsid w:val="00BE17D6"/>
    <w:rsid w:val="00BE1981"/>
    <w:rsid w:val="00BE19A2"/>
    <w:rsid w:val="00BE25C9"/>
    <w:rsid w:val="00BE3507"/>
    <w:rsid w:val="00BE37E1"/>
    <w:rsid w:val="00BE4E81"/>
    <w:rsid w:val="00BE5BD9"/>
    <w:rsid w:val="00BE5EA8"/>
    <w:rsid w:val="00BE6BBF"/>
    <w:rsid w:val="00BE78A4"/>
    <w:rsid w:val="00BF05C9"/>
    <w:rsid w:val="00BF1182"/>
    <w:rsid w:val="00BF4C43"/>
    <w:rsid w:val="00BF5FB6"/>
    <w:rsid w:val="00BF6218"/>
    <w:rsid w:val="00BF778F"/>
    <w:rsid w:val="00BF7D4A"/>
    <w:rsid w:val="00C0063A"/>
    <w:rsid w:val="00C017BF"/>
    <w:rsid w:val="00C0199F"/>
    <w:rsid w:val="00C01E70"/>
    <w:rsid w:val="00C02983"/>
    <w:rsid w:val="00C03981"/>
    <w:rsid w:val="00C03F37"/>
    <w:rsid w:val="00C04218"/>
    <w:rsid w:val="00C043E0"/>
    <w:rsid w:val="00C05009"/>
    <w:rsid w:val="00C0565A"/>
    <w:rsid w:val="00C0592B"/>
    <w:rsid w:val="00C0680D"/>
    <w:rsid w:val="00C07042"/>
    <w:rsid w:val="00C0704F"/>
    <w:rsid w:val="00C0708D"/>
    <w:rsid w:val="00C07844"/>
    <w:rsid w:val="00C10C95"/>
    <w:rsid w:val="00C118E6"/>
    <w:rsid w:val="00C11B45"/>
    <w:rsid w:val="00C11E3E"/>
    <w:rsid w:val="00C14AB0"/>
    <w:rsid w:val="00C15225"/>
    <w:rsid w:val="00C15CEE"/>
    <w:rsid w:val="00C15E9D"/>
    <w:rsid w:val="00C167D1"/>
    <w:rsid w:val="00C17130"/>
    <w:rsid w:val="00C17D3D"/>
    <w:rsid w:val="00C2001B"/>
    <w:rsid w:val="00C212AB"/>
    <w:rsid w:val="00C214F0"/>
    <w:rsid w:val="00C23B27"/>
    <w:rsid w:val="00C26422"/>
    <w:rsid w:val="00C26C7C"/>
    <w:rsid w:val="00C27672"/>
    <w:rsid w:val="00C31030"/>
    <w:rsid w:val="00C3269F"/>
    <w:rsid w:val="00C3288D"/>
    <w:rsid w:val="00C33A1B"/>
    <w:rsid w:val="00C342DB"/>
    <w:rsid w:val="00C34F0D"/>
    <w:rsid w:val="00C40EF8"/>
    <w:rsid w:val="00C4152A"/>
    <w:rsid w:val="00C417FE"/>
    <w:rsid w:val="00C42785"/>
    <w:rsid w:val="00C43321"/>
    <w:rsid w:val="00C44280"/>
    <w:rsid w:val="00C44A63"/>
    <w:rsid w:val="00C45243"/>
    <w:rsid w:val="00C45B43"/>
    <w:rsid w:val="00C46031"/>
    <w:rsid w:val="00C4681F"/>
    <w:rsid w:val="00C468C6"/>
    <w:rsid w:val="00C47CB8"/>
    <w:rsid w:val="00C50450"/>
    <w:rsid w:val="00C504ED"/>
    <w:rsid w:val="00C52184"/>
    <w:rsid w:val="00C5255F"/>
    <w:rsid w:val="00C53234"/>
    <w:rsid w:val="00C533F3"/>
    <w:rsid w:val="00C53989"/>
    <w:rsid w:val="00C53AF1"/>
    <w:rsid w:val="00C53E83"/>
    <w:rsid w:val="00C5470E"/>
    <w:rsid w:val="00C54865"/>
    <w:rsid w:val="00C54F52"/>
    <w:rsid w:val="00C553B7"/>
    <w:rsid w:val="00C5798E"/>
    <w:rsid w:val="00C57D4A"/>
    <w:rsid w:val="00C60A09"/>
    <w:rsid w:val="00C61F13"/>
    <w:rsid w:val="00C62AF8"/>
    <w:rsid w:val="00C62F2D"/>
    <w:rsid w:val="00C64AE9"/>
    <w:rsid w:val="00C65356"/>
    <w:rsid w:val="00C65A41"/>
    <w:rsid w:val="00C674D2"/>
    <w:rsid w:val="00C67C95"/>
    <w:rsid w:val="00C67EE6"/>
    <w:rsid w:val="00C70497"/>
    <w:rsid w:val="00C70D5A"/>
    <w:rsid w:val="00C71284"/>
    <w:rsid w:val="00C72121"/>
    <w:rsid w:val="00C72DC6"/>
    <w:rsid w:val="00C7307F"/>
    <w:rsid w:val="00C7375E"/>
    <w:rsid w:val="00C7463A"/>
    <w:rsid w:val="00C74CA2"/>
    <w:rsid w:val="00C756E0"/>
    <w:rsid w:val="00C75F35"/>
    <w:rsid w:val="00C75F58"/>
    <w:rsid w:val="00C7667D"/>
    <w:rsid w:val="00C7765F"/>
    <w:rsid w:val="00C77E8A"/>
    <w:rsid w:val="00C81238"/>
    <w:rsid w:val="00C81F24"/>
    <w:rsid w:val="00C84B57"/>
    <w:rsid w:val="00C8615B"/>
    <w:rsid w:val="00C8685F"/>
    <w:rsid w:val="00C869F3"/>
    <w:rsid w:val="00C87B7D"/>
    <w:rsid w:val="00C90B5C"/>
    <w:rsid w:val="00C91119"/>
    <w:rsid w:val="00C91249"/>
    <w:rsid w:val="00C91D1B"/>
    <w:rsid w:val="00C92B71"/>
    <w:rsid w:val="00C93A1C"/>
    <w:rsid w:val="00C9495E"/>
    <w:rsid w:val="00C94E7E"/>
    <w:rsid w:val="00C97C9B"/>
    <w:rsid w:val="00CA0008"/>
    <w:rsid w:val="00CA08AE"/>
    <w:rsid w:val="00CA0E3A"/>
    <w:rsid w:val="00CA12F4"/>
    <w:rsid w:val="00CA1C47"/>
    <w:rsid w:val="00CA27D6"/>
    <w:rsid w:val="00CA3333"/>
    <w:rsid w:val="00CA3A19"/>
    <w:rsid w:val="00CA4F93"/>
    <w:rsid w:val="00CA6A22"/>
    <w:rsid w:val="00CA6E12"/>
    <w:rsid w:val="00CB004D"/>
    <w:rsid w:val="00CB08D8"/>
    <w:rsid w:val="00CB0B66"/>
    <w:rsid w:val="00CB0E84"/>
    <w:rsid w:val="00CB1F67"/>
    <w:rsid w:val="00CB34CC"/>
    <w:rsid w:val="00CB3AB0"/>
    <w:rsid w:val="00CB42F2"/>
    <w:rsid w:val="00CB4618"/>
    <w:rsid w:val="00CB605C"/>
    <w:rsid w:val="00CB67BD"/>
    <w:rsid w:val="00CB6D21"/>
    <w:rsid w:val="00CB710A"/>
    <w:rsid w:val="00CC04CB"/>
    <w:rsid w:val="00CC04D2"/>
    <w:rsid w:val="00CC14C4"/>
    <w:rsid w:val="00CC17D6"/>
    <w:rsid w:val="00CC3B3F"/>
    <w:rsid w:val="00CC4EAB"/>
    <w:rsid w:val="00CC5527"/>
    <w:rsid w:val="00CC7447"/>
    <w:rsid w:val="00CC7AE0"/>
    <w:rsid w:val="00CD04C5"/>
    <w:rsid w:val="00CD06B5"/>
    <w:rsid w:val="00CD1C68"/>
    <w:rsid w:val="00CD312E"/>
    <w:rsid w:val="00CD32A8"/>
    <w:rsid w:val="00CD39BC"/>
    <w:rsid w:val="00CD437D"/>
    <w:rsid w:val="00CD46D5"/>
    <w:rsid w:val="00CD5A35"/>
    <w:rsid w:val="00CD682B"/>
    <w:rsid w:val="00CD7494"/>
    <w:rsid w:val="00CD754D"/>
    <w:rsid w:val="00CD7C27"/>
    <w:rsid w:val="00CD7F80"/>
    <w:rsid w:val="00CE02AD"/>
    <w:rsid w:val="00CE053C"/>
    <w:rsid w:val="00CE080E"/>
    <w:rsid w:val="00CE10A4"/>
    <w:rsid w:val="00CE10E3"/>
    <w:rsid w:val="00CE186F"/>
    <w:rsid w:val="00CE23AA"/>
    <w:rsid w:val="00CE295E"/>
    <w:rsid w:val="00CE2B42"/>
    <w:rsid w:val="00CE2FED"/>
    <w:rsid w:val="00CE319B"/>
    <w:rsid w:val="00CE34FC"/>
    <w:rsid w:val="00CE3EAE"/>
    <w:rsid w:val="00CE40E3"/>
    <w:rsid w:val="00CE4A86"/>
    <w:rsid w:val="00CE4CAE"/>
    <w:rsid w:val="00CE53DF"/>
    <w:rsid w:val="00CE55DA"/>
    <w:rsid w:val="00CE69C0"/>
    <w:rsid w:val="00CE7C58"/>
    <w:rsid w:val="00CF021C"/>
    <w:rsid w:val="00CF0D25"/>
    <w:rsid w:val="00CF0D61"/>
    <w:rsid w:val="00CF38F4"/>
    <w:rsid w:val="00CF44B5"/>
    <w:rsid w:val="00CF5879"/>
    <w:rsid w:val="00CF634C"/>
    <w:rsid w:val="00D00375"/>
    <w:rsid w:val="00D01935"/>
    <w:rsid w:val="00D022DC"/>
    <w:rsid w:val="00D0253C"/>
    <w:rsid w:val="00D03292"/>
    <w:rsid w:val="00D0330C"/>
    <w:rsid w:val="00D04171"/>
    <w:rsid w:val="00D042BE"/>
    <w:rsid w:val="00D046C9"/>
    <w:rsid w:val="00D050E7"/>
    <w:rsid w:val="00D05183"/>
    <w:rsid w:val="00D05704"/>
    <w:rsid w:val="00D05993"/>
    <w:rsid w:val="00D05E58"/>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4620"/>
    <w:rsid w:val="00D250CE"/>
    <w:rsid w:val="00D253C6"/>
    <w:rsid w:val="00D26D50"/>
    <w:rsid w:val="00D276A4"/>
    <w:rsid w:val="00D30181"/>
    <w:rsid w:val="00D309AF"/>
    <w:rsid w:val="00D30A21"/>
    <w:rsid w:val="00D30B29"/>
    <w:rsid w:val="00D3112B"/>
    <w:rsid w:val="00D312C0"/>
    <w:rsid w:val="00D31CBB"/>
    <w:rsid w:val="00D32257"/>
    <w:rsid w:val="00D332FB"/>
    <w:rsid w:val="00D3464C"/>
    <w:rsid w:val="00D34EE3"/>
    <w:rsid w:val="00D3501F"/>
    <w:rsid w:val="00D361C1"/>
    <w:rsid w:val="00D36224"/>
    <w:rsid w:val="00D3657A"/>
    <w:rsid w:val="00D40DAC"/>
    <w:rsid w:val="00D41625"/>
    <w:rsid w:val="00D416AA"/>
    <w:rsid w:val="00D416F5"/>
    <w:rsid w:val="00D4262E"/>
    <w:rsid w:val="00D4403B"/>
    <w:rsid w:val="00D44111"/>
    <w:rsid w:val="00D44386"/>
    <w:rsid w:val="00D444A1"/>
    <w:rsid w:val="00D4621F"/>
    <w:rsid w:val="00D4655A"/>
    <w:rsid w:val="00D46A93"/>
    <w:rsid w:val="00D4791C"/>
    <w:rsid w:val="00D5084C"/>
    <w:rsid w:val="00D50EE4"/>
    <w:rsid w:val="00D51945"/>
    <w:rsid w:val="00D51C1B"/>
    <w:rsid w:val="00D522BB"/>
    <w:rsid w:val="00D52328"/>
    <w:rsid w:val="00D53045"/>
    <w:rsid w:val="00D5474F"/>
    <w:rsid w:val="00D55056"/>
    <w:rsid w:val="00D5547C"/>
    <w:rsid w:val="00D55C90"/>
    <w:rsid w:val="00D57267"/>
    <w:rsid w:val="00D61635"/>
    <w:rsid w:val="00D626A9"/>
    <w:rsid w:val="00D628C5"/>
    <w:rsid w:val="00D62FAE"/>
    <w:rsid w:val="00D63DB5"/>
    <w:rsid w:val="00D64E8B"/>
    <w:rsid w:val="00D6726D"/>
    <w:rsid w:val="00D7066E"/>
    <w:rsid w:val="00D7078F"/>
    <w:rsid w:val="00D72BC6"/>
    <w:rsid w:val="00D7390D"/>
    <w:rsid w:val="00D74447"/>
    <w:rsid w:val="00D74609"/>
    <w:rsid w:val="00D7481F"/>
    <w:rsid w:val="00D75026"/>
    <w:rsid w:val="00D75DD0"/>
    <w:rsid w:val="00D7673F"/>
    <w:rsid w:val="00D76EF3"/>
    <w:rsid w:val="00D77FB0"/>
    <w:rsid w:val="00D807BE"/>
    <w:rsid w:val="00D808B5"/>
    <w:rsid w:val="00D80DD7"/>
    <w:rsid w:val="00D82050"/>
    <w:rsid w:val="00D838FD"/>
    <w:rsid w:val="00D83927"/>
    <w:rsid w:val="00D8400C"/>
    <w:rsid w:val="00D84056"/>
    <w:rsid w:val="00D84954"/>
    <w:rsid w:val="00D84E23"/>
    <w:rsid w:val="00D8588C"/>
    <w:rsid w:val="00D85A30"/>
    <w:rsid w:val="00D85F48"/>
    <w:rsid w:val="00D86245"/>
    <w:rsid w:val="00D87378"/>
    <w:rsid w:val="00D87CCB"/>
    <w:rsid w:val="00D9043F"/>
    <w:rsid w:val="00D9099A"/>
    <w:rsid w:val="00D914D1"/>
    <w:rsid w:val="00D91604"/>
    <w:rsid w:val="00D91632"/>
    <w:rsid w:val="00D91C87"/>
    <w:rsid w:val="00D92BFE"/>
    <w:rsid w:val="00D92E74"/>
    <w:rsid w:val="00D94CBE"/>
    <w:rsid w:val="00D95671"/>
    <w:rsid w:val="00D9594F"/>
    <w:rsid w:val="00D97AB4"/>
    <w:rsid w:val="00D97F34"/>
    <w:rsid w:val="00DA020B"/>
    <w:rsid w:val="00DA10D6"/>
    <w:rsid w:val="00DA1B87"/>
    <w:rsid w:val="00DA2243"/>
    <w:rsid w:val="00DA27CE"/>
    <w:rsid w:val="00DA2C5A"/>
    <w:rsid w:val="00DA3A4E"/>
    <w:rsid w:val="00DA3E5A"/>
    <w:rsid w:val="00DA3FEA"/>
    <w:rsid w:val="00DA4918"/>
    <w:rsid w:val="00DA5B39"/>
    <w:rsid w:val="00DA6AA2"/>
    <w:rsid w:val="00DA7199"/>
    <w:rsid w:val="00DB07BF"/>
    <w:rsid w:val="00DB0C5B"/>
    <w:rsid w:val="00DB0EE9"/>
    <w:rsid w:val="00DB1A45"/>
    <w:rsid w:val="00DB1C3D"/>
    <w:rsid w:val="00DB1CF4"/>
    <w:rsid w:val="00DB1EB8"/>
    <w:rsid w:val="00DB360C"/>
    <w:rsid w:val="00DB5416"/>
    <w:rsid w:val="00DB613E"/>
    <w:rsid w:val="00DB76CD"/>
    <w:rsid w:val="00DC0B04"/>
    <w:rsid w:val="00DC1D2F"/>
    <w:rsid w:val="00DC20CB"/>
    <w:rsid w:val="00DC262C"/>
    <w:rsid w:val="00DC28F4"/>
    <w:rsid w:val="00DC2DC4"/>
    <w:rsid w:val="00DC335A"/>
    <w:rsid w:val="00DC3D25"/>
    <w:rsid w:val="00DC3D2E"/>
    <w:rsid w:val="00DC4FD4"/>
    <w:rsid w:val="00DC5766"/>
    <w:rsid w:val="00DC5925"/>
    <w:rsid w:val="00DC5F21"/>
    <w:rsid w:val="00DC6174"/>
    <w:rsid w:val="00DC61FD"/>
    <w:rsid w:val="00DC6A06"/>
    <w:rsid w:val="00DC6E87"/>
    <w:rsid w:val="00DC72ED"/>
    <w:rsid w:val="00DC7506"/>
    <w:rsid w:val="00DC7E6C"/>
    <w:rsid w:val="00DD035E"/>
    <w:rsid w:val="00DD0AC0"/>
    <w:rsid w:val="00DD111C"/>
    <w:rsid w:val="00DD1C92"/>
    <w:rsid w:val="00DD2EAF"/>
    <w:rsid w:val="00DD461A"/>
    <w:rsid w:val="00DD4CBC"/>
    <w:rsid w:val="00DD5079"/>
    <w:rsid w:val="00DD58FD"/>
    <w:rsid w:val="00DD6654"/>
    <w:rsid w:val="00DD6697"/>
    <w:rsid w:val="00DD6765"/>
    <w:rsid w:val="00DD6E93"/>
    <w:rsid w:val="00DD75E5"/>
    <w:rsid w:val="00DD7963"/>
    <w:rsid w:val="00DE04DD"/>
    <w:rsid w:val="00DE0EDC"/>
    <w:rsid w:val="00DE1461"/>
    <w:rsid w:val="00DE1E03"/>
    <w:rsid w:val="00DE252A"/>
    <w:rsid w:val="00DE2736"/>
    <w:rsid w:val="00DE2F69"/>
    <w:rsid w:val="00DE49C0"/>
    <w:rsid w:val="00DE5402"/>
    <w:rsid w:val="00DE5864"/>
    <w:rsid w:val="00DE6237"/>
    <w:rsid w:val="00DE7564"/>
    <w:rsid w:val="00DE7AB3"/>
    <w:rsid w:val="00DE7F24"/>
    <w:rsid w:val="00DF0036"/>
    <w:rsid w:val="00DF013F"/>
    <w:rsid w:val="00DF0724"/>
    <w:rsid w:val="00DF1C9D"/>
    <w:rsid w:val="00DF2929"/>
    <w:rsid w:val="00DF2C56"/>
    <w:rsid w:val="00DF4709"/>
    <w:rsid w:val="00DF5DEB"/>
    <w:rsid w:val="00DF678F"/>
    <w:rsid w:val="00DF7501"/>
    <w:rsid w:val="00DF788A"/>
    <w:rsid w:val="00DF7A28"/>
    <w:rsid w:val="00E0081B"/>
    <w:rsid w:val="00E0114E"/>
    <w:rsid w:val="00E01BE5"/>
    <w:rsid w:val="00E01E3E"/>
    <w:rsid w:val="00E01FDB"/>
    <w:rsid w:val="00E03674"/>
    <w:rsid w:val="00E04231"/>
    <w:rsid w:val="00E0486D"/>
    <w:rsid w:val="00E04E57"/>
    <w:rsid w:val="00E05050"/>
    <w:rsid w:val="00E05419"/>
    <w:rsid w:val="00E05C7D"/>
    <w:rsid w:val="00E05EB1"/>
    <w:rsid w:val="00E064FC"/>
    <w:rsid w:val="00E07488"/>
    <w:rsid w:val="00E10031"/>
    <w:rsid w:val="00E10136"/>
    <w:rsid w:val="00E103C4"/>
    <w:rsid w:val="00E1127B"/>
    <w:rsid w:val="00E118A2"/>
    <w:rsid w:val="00E11B88"/>
    <w:rsid w:val="00E1207C"/>
    <w:rsid w:val="00E12101"/>
    <w:rsid w:val="00E12301"/>
    <w:rsid w:val="00E12B86"/>
    <w:rsid w:val="00E13CEA"/>
    <w:rsid w:val="00E14272"/>
    <w:rsid w:val="00E15A12"/>
    <w:rsid w:val="00E16314"/>
    <w:rsid w:val="00E16CC8"/>
    <w:rsid w:val="00E2019B"/>
    <w:rsid w:val="00E2096B"/>
    <w:rsid w:val="00E20C02"/>
    <w:rsid w:val="00E21290"/>
    <w:rsid w:val="00E21838"/>
    <w:rsid w:val="00E21C8C"/>
    <w:rsid w:val="00E22360"/>
    <w:rsid w:val="00E23BB7"/>
    <w:rsid w:val="00E25274"/>
    <w:rsid w:val="00E2573D"/>
    <w:rsid w:val="00E266C1"/>
    <w:rsid w:val="00E26E0C"/>
    <w:rsid w:val="00E302B8"/>
    <w:rsid w:val="00E306BC"/>
    <w:rsid w:val="00E30ED8"/>
    <w:rsid w:val="00E31018"/>
    <w:rsid w:val="00E338C6"/>
    <w:rsid w:val="00E33FA7"/>
    <w:rsid w:val="00E34E03"/>
    <w:rsid w:val="00E35A5D"/>
    <w:rsid w:val="00E35F60"/>
    <w:rsid w:val="00E36AE9"/>
    <w:rsid w:val="00E375EE"/>
    <w:rsid w:val="00E40018"/>
    <w:rsid w:val="00E40854"/>
    <w:rsid w:val="00E40F9B"/>
    <w:rsid w:val="00E412C8"/>
    <w:rsid w:val="00E41345"/>
    <w:rsid w:val="00E4165A"/>
    <w:rsid w:val="00E423C1"/>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2795"/>
    <w:rsid w:val="00E538F0"/>
    <w:rsid w:val="00E53E02"/>
    <w:rsid w:val="00E5420B"/>
    <w:rsid w:val="00E5492C"/>
    <w:rsid w:val="00E549E2"/>
    <w:rsid w:val="00E54B68"/>
    <w:rsid w:val="00E55021"/>
    <w:rsid w:val="00E5535D"/>
    <w:rsid w:val="00E55595"/>
    <w:rsid w:val="00E55866"/>
    <w:rsid w:val="00E5620B"/>
    <w:rsid w:val="00E57269"/>
    <w:rsid w:val="00E5737B"/>
    <w:rsid w:val="00E57E04"/>
    <w:rsid w:val="00E60082"/>
    <w:rsid w:val="00E6065B"/>
    <w:rsid w:val="00E606C0"/>
    <w:rsid w:val="00E61A9C"/>
    <w:rsid w:val="00E626BD"/>
    <w:rsid w:val="00E626D5"/>
    <w:rsid w:val="00E627A0"/>
    <w:rsid w:val="00E64BA9"/>
    <w:rsid w:val="00E64E09"/>
    <w:rsid w:val="00E64F5C"/>
    <w:rsid w:val="00E66472"/>
    <w:rsid w:val="00E66A5E"/>
    <w:rsid w:val="00E70EA4"/>
    <w:rsid w:val="00E71CCA"/>
    <w:rsid w:val="00E743CA"/>
    <w:rsid w:val="00E74669"/>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CC3"/>
    <w:rsid w:val="00E86E77"/>
    <w:rsid w:val="00E90641"/>
    <w:rsid w:val="00E907C3"/>
    <w:rsid w:val="00E90A93"/>
    <w:rsid w:val="00E90E8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20C9"/>
    <w:rsid w:val="00EA212C"/>
    <w:rsid w:val="00EA238A"/>
    <w:rsid w:val="00EA355D"/>
    <w:rsid w:val="00EA4B71"/>
    <w:rsid w:val="00EA4EBA"/>
    <w:rsid w:val="00EA6567"/>
    <w:rsid w:val="00EA7585"/>
    <w:rsid w:val="00EA79E3"/>
    <w:rsid w:val="00EA7D9B"/>
    <w:rsid w:val="00EB037C"/>
    <w:rsid w:val="00EB24BD"/>
    <w:rsid w:val="00EB2F11"/>
    <w:rsid w:val="00EB3C81"/>
    <w:rsid w:val="00EB40AE"/>
    <w:rsid w:val="00EB51CF"/>
    <w:rsid w:val="00EB60D3"/>
    <w:rsid w:val="00EB77D2"/>
    <w:rsid w:val="00EB7826"/>
    <w:rsid w:val="00EC0156"/>
    <w:rsid w:val="00EC0395"/>
    <w:rsid w:val="00EC0860"/>
    <w:rsid w:val="00EC094E"/>
    <w:rsid w:val="00EC18D0"/>
    <w:rsid w:val="00EC285B"/>
    <w:rsid w:val="00EC4AB0"/>
    <w:rsid w:val="00EC4E83"/>
    <w:rsid w:val="00EC56D6"/>
    <w:rsid w:val="00EC5EF0"/>
    <w:rsid w:val="00EC6384"/>
    <w:rsid w:val="00EC6830"/>
    <w:rsid w:val="00EC7055"/>
    <w:rsid w:val="00EC7477"/>
    <w:rsid w:val="00EC7841"/>
    <w:rsid w:val="00ED090C"/>
    <w:rsid w:val="00ED1ED0"/>
    <w:rsid w:val="00ED250C"/>
    <w:rsid w:val="00ED3709"/>
    <w:rsid w:val="00ED3B3B"/>
    <w:rsid w:val="00ED3C7F"/>
    <w:rsid w:val="00ED44C9"/>
    <w:rsid w:val="00ED463F"/>
    <w:rsid w:val="00ED46F3"/>
    <w:rsid w:val="00ED4AB7"/>
    <w:rsid w:val="00ED50E2"/>
    <w:rsid w:val="00ED76C6"/>
    <w:rsid w:val="00ED785A"/>
    <w:rsid w:val="00ED793C"/>
    <w:rsid w:val="00ED7D8E"/>
    <w:rsid w:val="00ED7F27"/>
    <w:rsid w:val="00EE17D4"/>
    <w:rsid w:val="00EE1E70"/>
    <w:rsid w:val="00EE26B1"/>
    <w:rsid w:val="00EE415D"/>
    <w:rsid w:val="00EE4B52"/>
    <w:rsid w:val="00EE5727"/>
    <w:rsid w:val="00EE5AF0"/>
    <w:rsid w:val="00EE60D8"/>
    <w:rsid w:val="00EE74DE"/>
    <w:rsid w:val="00EE77AD"/>
    <w:rsid w:val="00EE7916"/>
    <w:rsid w:val="00EE7A1F"/>
    <w:rsid w:val="00EE7F74"/>
    <w:rsid w:val="00EF1579"/>
    <w:rsid w:val="00EF245F"/>
    <w:rsid w:val="00EF25C0"/>
    <w:rsid w:val="00EF27FA"/>
    <w:rsid w:val="00EF2F1F"/>
    <w:rsid w:val="00EF311A"/>
    <w:rsid w:val="00EF3ECB"/>
    <w:rsid w:val="00EF40EA"/>
    <w:rsid w:val="00EF41B6"/>
    <w:rsid w:val="00EF492B"/>
    <w:rsid w:val="00EF56AC"/>
    <w:rsid w:val="00EF67D7"/>
    <w:rsid w:val="00EF70EB"/>
    <w:rsid w:val="00EF77F3"/>
    <w:rsid w:val="00F00436"/>
    <w:rsid w:val="00F014A8"/>
    <w:rsid w:val="00F0212A"/>
    <w:rsid w:val="00F02BCC"/>
    <w:rsid w:val="00F031D2"/>
    <w:rsid w:val="00F05A99"/>
    <w:rsid w:val="00F05B65"/>
    <w:rsid w:val="00F07004"/>
    <w:rsid w:val="00F07424"/>
    <w:rsid w:val="00F079B7"/>
    <w:rsid w:val="00F101E4"/>
    <w:rsid w:val="00F10C02"/>
    <w:rsid w:val="00F10EEE"/>
    <w:rsid w:val="00F11287"/>
    <w:rsid w:val="00F1144F"/>
    <w:rsid w:val="00F11C17"/>
    <w:rsid w:val="00F124E6"/>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67E"/>
    <w:rsid w:val="00F25E7F"/>
    <w:rsid w:val="00F25EDD"/>
    <w:rsid w:val="00F272E7"/>
    <w:rsid w:val="00F27BAE"/>
    <w:rsid w:val="00F312BE"/>
    <w:rsid w:val="00F313CD"/>
    <w:rsid w:val="00F32049"/>
    <w:rsid w:val="00F3270B"/>
    <w:rsid w:val="00F32B4B"/>
    <w:rsid w:val="00F32CDB"/>
    <w:rsid w:val="00F332CF"/>
    <w:rsid w:val="00F33BA3"/>
    <w:rsid w:val="00F33E68"/>
    <w:rsid w:val="00F34510"/>
    <w:rsid w:val="00F356BD"/>
    <w:rsid w:val="00F35995"/>
    <w:rsid w:val="00F365EB"/>
    <w:rsid w:val="00F3684A"/>
    <w:rsid w:val="00F36ED1"/>
    <w:rsid w:val="00F372C0"/>
    <w:rsid w:val="00F378C1"/>
    <w:rsid w:val="00F408A7"/>
    <w:rsid w:val="00F409F0"/>
    <w:rsid w:val="00F43B25"/>
    <w:rsid w:val="00F4477B"/>
    <w:rsid w:val="00F45117"/>
    <w:rsid w:val="00F4563D"/>
    <w:rsid w:val="00F45705"/>
    <w:rsid w:val="00F461F8"/>
    <w:rsid w:val="00F478C0"/>
    <w:rsid w:val="00F50C10"/>
    <w:rsid w:val="00F52C7E"/>
    <w:rsid w:val="00F53844"/>
    <w:rsid w:val="00F5537D"/>
    <w:rsid w:val="00F55602"/>
    <w:rsid w:val="00F55C05"/>
    <w:rsid w:val="00F56F7E"/>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0C02"/>
    <w:rsid w:val="00F71424"/>
    <w:rsid w:val="00F72200"/>
    <w:rsid w:val="00F74B38"/>
    <w:rsid w:val="00F755DA"/>
    <w:rsid w:val="00F7666B"/>
    <w:rsid w:val="00F775CA"/>
    <w:rsid w:val="00F7790D"/>
    <w:rsid w:val="00F80010"/>
    <w:rsid w:val="00F804C8"/>
    <w:rsid w:val="00F805B1"/>
    <w:rsid w:val="00F814EE"/>
    <w:rsid w:val="00F8156C"/>
    <w:rsid w:val="00F8487F"/>
    <w:rsid w:val="00F85172"/>
    <w:rsid w:val="00F8555D"/>
    <w:rsid w:val="00F858CC"/>
    <w:rsid w:val="00F86AFF"/>
    <w:rsid w:val="00F90276"/>
    <w:rsid w:val="00F904B3"/>
    <w:rsid w:val="00F90584"/>
    <w:rsid w:val="00F9099C"/>
    <w:rsid w:val="00F90DA9"/>
    <w:rsid w:val="00F9223A"/>
    <w:rsid w:val="00F92CFC"/>
    <w:rsid w:val="00F93027"/>
    <w:rsid w:val="00F9451F"/>
    <w:rsid w:val="00F96208"/>
    <w:rsid w:val="00F9654A"/>
    <w:rsid w:val="00F9717F"/>
    <w:rsid w:val="00F97826"/>
    <w:rsid w:val="00F979DB"/>
    <w:rsid w:val="00F97AFE"/>
    <w:rsid w:val="00FA1E4A"/>
    <w:rsid w:val="00FA2770"/>
    <w:rsid w:val="00FA2DE8"/>
    <w:rsid w:val="00FA4180"/>
    <w:rsid w:val="00FA4F12"/>
    <w:rsid w:val="00FA5D6D"/>
    <w:rsid w:val="00FA675F"/>
    <w:rsid w:val="00FA6C19"/>
    <w:rsid w:val="00FA6CA3"/>
    <w:rsid w:val="00FB0722"/>
    <w:rsid w:val="00FB434F"/>
    <w:rsid w:val="00FB4C38"/>
    <w:rsid w:val="00FB65AC"/>
    <w:rsid w:val="00FB6A37"/>
    <w:rsid w:val="00FB7B78"/>
    <w:rsid w:val="00FC14C8"/>
    <w:rsid w:val="00FC196D"/>
    <w:rsid w:val="00FC2F4F"/>
    <w:rsid w:val="00FC3309"/>
    <w:rsid w:val="00FC3DEB"/>
    <w:rsid w:val="00FC42DB"/>
    <w:rsid w:val="00FC45C9"/>
    <w:rsid w:val="00FC4BD9"/>
    <w:rsid w:val="00FC4D9A"/>
    <w:rsid w:val="00FC50D2"/>
    <w:rsid w:val="00FC5243"/>
    <w:rsid w:val="00FC620D"/>
    <w:rsid w:val="00FC68DF"/>
    <w:rsid w:val="00FC695B"/>
    <w:rsid w:val="00FC71E8"/>
    <w:rsid w:val="00FD0540"/>
    <w:rsid w:val="00FD0659"/>
    <w:rsid w:val="00FD17F6"/>
    <w:rsid w:val="00FD1C3A"/>
    <w:rsid w:val="00FD2521"/>
    <w:rsid w:val="00FD2638"/>
    <w:rsid w:val="00FD2B91"/>
    <w:rsid w:val="00FD34AB"/>
    <w:rsid w:val="00FD3828"/>
    <w:rsid w:val="00FD3B29"/>
    <w:rsid w:val="00FD4381"/>
    <w:rsid w:val="00FD4FB3"/>
    <w:rsid w:val="00FD564A"/>
    <w:rsid w:val="00FD5776"/>
    <w:rsid w:val="00FD5BB3"/>
    <w:rsid w:val="00FD7C06"/>
    <w:rsid w:val="00FE0830"/>
    <w:rsid w:val="00FE0A6B"/>
    <w:rsid w:val="00FE0C89"/>
    <w:rsid w:val="00FE1B00"/>
    <w:rsid w:val="00FE3446"/>
    <w:rsid w:val="00FE4072"/>
    <w:rsid w:val="00FE4AD9"/>
    <w:rsid w:val="00FE53E9"/>
    <w:rsid w:val="00FE6467"/>
    <w:rsid w:val="00FE6936"/>
    <w:rsid w:val="00FE7C3C"/>
    <w:rsid w:val="00FF0555"/>
    <w:rsid w:val="00FF06B3"/>
    <w:rsid w:val="00FF1289"/>
    <w:rsid w:val="00FF1598"/>
    <w:rsid w:val="00FF24BC"/>
    <w:rsid w:val="00FF44BD"/>
    <w:rsid w:val="00FF4A8A"/>
    <w:rsid w:val="00FF4CF7"/>
    <w:rsid w:val="00FF4F7F"/>
    <w:rsid w:val="00FF5B94"/>
    <w:rsid w:val="00FF66C1"/>
    <w:rsid w:val="00FF6DF0"/>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2">
    <w:name w:val="heading 2"/>
    <w:basedOn w:val="Normal"/>
    <w:next w:val="Normal"/>
    <w:link w:val="Heading2Char"/>
    <w:semiHidden/>
    <w:unhideWhenUsed/>
    <w:qFormat/>
    <w:rsid w:val="00452B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semiHidden/>
    <w:unhideWhenUsed/>
    <w:rsid w:val="004A2460"/>
  </w:style>
  <w:style w:type="character" w:customStyle="1" w:styleId="CommentTextChar">
    <w:name w:val="Comment Text Char"/>
    <w:basedOn w:val="DefaultParagraphFont"/>
    <w:link w:val="CommentText"/>
    <w:semiHidden/>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 w:type="character" w:styleId="UnresolvedMention">
    <w:name w:val="Unresolved Mention"/>
    <w:basedOn w:val="DefaultParagraphFont"/>
    <w:uiPriority w:val="99"/>
    <w:semiHidden/>
    <w:unhideWhenUsed/>
    <w:rsid w:val="004A38B3"/>
    <w:rPr>
      <w:color w:val="605E5C"/>
      <w:shd w:val="clear" w:color="auto" w:fill="E1DFDD"/>
    </w:rPr>
  </w:style>
  <w:style w:type="character" w:customStyle="1" w:styleId="FootnoteTextChar">
    <w:name w:val="Footnote Text Char"/>
    <w:basedOn w:val="DefaultParagraphFont"/>
    <w:link w:val="FootnoteText"/>
    <w:semiHidden/>
    <w:rsid w:val="00875178"/>
  </w:style>
  <w:style w:type="paragraph" w:styleId="BodyText">
    <w:name w:val="Body Text"/>
    <w:basedOn w:val="Normal"/>
    <w:link w:val="BodyTextChar"/>
    <w:semiHidden/>
    <w:unhideWhenUsed/>
    <w:rsid w:val="000A51F6"/>
    <w:pPr>
      <w:spacing w:after="120"/>
    </w:pPr>
  </w:style>
  <w:style w:type="character" w:customStyle="1" w:styleId="BodyTextChar">
    <w:name w:val="Body Text Char"/>
    <w:basedOn w:val="DefaultParagraphFont"/>
    <w:link w:val="BodyText"/>
    <w:semiHidden/>
    <w:rsid w:val="000A51F6"/>
  </w:style>
  <w:style w:type="character" w:customStyle="1" w:styleId="Heading2Char">
    <w:name w:val="Heading 2 Char"/>
    <w:basedOn w:val="DefaultParagraphFont"/>
    <w:link w:val="Heading2"/>
    <w:semiHidden/>
    <w:rsid w:val="00452B31"/>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05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8151">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013268893">
      <w:bodyDiv w:val="1"/>
      <w:marLeft w:val="0"/>
      <w:marRight w:val="0"/>
      <w:marTop w:val="0"/>
      <w:marBottom w:val="0"/>
      <w:divBdr>
        <w:top w:val="none" w:sz="0" w:space="0" w:color="auto"/>
        <w:left w:val="none" w:sz="0" w:space="0" w:color="auto"/>
        <w:bottom w:val="none" w:sz="0" w:space="0" w:color="auto"/>
        <w:right w:val="none" w:sz="0" w:space="0" w:color="auto"/>
      </w:divBdr>
      <w:divsChild>
        <w:div w:id="677850820">
          <w:marLeft w:val="0"/>
          <w:marRight w:val="0"/>
          <w:marTop w:val="0"/>
          <w:marBottom w:val="0"/>
          <w:divBdr>
            <w:top w:val="none" w:sz="0" w:space="0" w:color="auto"/>
            <w:left w:val="none" w:sz="0" w:space="0" w:color="auto"/>
            <w:bottom w:val="none" w:sz="0" w:space="0" w:color="auto"/>
            <w:right w:val="none" w:sz="0" w:space="0" w:color="auto"/>
          </w:divBdr>
          <w:divsChild>
            <w:div w:id="1625192054">
              <w:marLeft w:val="0"/>
              <w:marRight w:val="0"/>
              <w:marTop w:val="0"/>
              <w:marBottom w:val="0"/>
              <w:divBdr>
                <w:top w:val="none" w:sz="0" w:space="0" w:color="auto"/>
                <w:left w:val="none" w:sz="0" w:space="0" w:color="auto"/>
                <w:bottom w:val="none" w:sz="0" w:space="0" w:color="auto"/>
                <w:right w:val="none" w:sz="0" w:space="0" w:color="auto"/>
              </w:divBdr>
              <w:divsChild>
                <w:div w:id="906182973">
                  <w:marLeft w:val="0"/>
                  <w:marRight w:val="0"/>
                  <w:marTop w:val="0"/>
                  <w:marBottom w:val="0"/>
                  <w:divBdr>
                    <w:top w:val="none" w:sz="0" w:space="0" w:color="auto"/>
                    <w:left w:val="none" w:sz="0" w:space="0" w:color="auto"/>
                    <w:bottom w:val="none" w:sz="0" w:space="0" w:color="auto"/>
                    <w:right w:val="none" w:sz="0" w:space="0" w:color="auto"/>
                  </w:divBdr>
                  <w:divsChild>
                    <w:div w:id="343022462">
                      <w:marLeft w:val="0"/>
                      <w:marRight w:val="0"/>
                      <w:marTop w:val="0"/>
                      <w:marBottom w:val="0"/>
                      <w:divBdr>
                        <w:top w:val="none" w:sz="0" w:space="0" w:color="auto"/>
                        <w:left w:val="none" w:sz="0" w:space="0" w:color="auto"/>
                        <w:bottom w:val="none" w:sz="0" w:space="0" w:color="auto"/>
                        <w:right w:val="none" w:sz="0" w:space="0" w:color="auto"/>
                      </w:divBdr>
                      <w:divsChild>
                        <w:div w:id="1472482663">
                          <w:marLeft w:val="0"/>
                          <w:marRight w:val="0"/>
                          <w:marTop w:val="0"/>
                          <w:marBottom w:val="0"/>
                          <w:divBdr>
                            <w:top w:val="none" w:sz="0" w:space="0" w:color="auto"/>
                            <w:left w:val="none" w:sz="0" w:space="0" w:color="auto"/>
                            <w:bottom w:val="none" w:sz="0" w:space="0" w:color="auto"/>
                            <w:right w:val="none" w:sz="0" w:space="0" w:color="auto"/>
                          </w:divBdr>
                          <w:divsChild>
                            <w:div w:id="243683186">
                              <w:marLeft w:val="0"/>
                              <w:marRight w:val="0"/>
                              <w:marTop w:val="0"/>
                              <w:marBottom w:val="0"/>
                              <w:divBdr>
                                <w:top w:val="none" w:sz="0" w:space="0" w:color="auto"/>
                                <w:left w:val="none" w:sz="0" w:space="0" w:color="auto"/>
                                <w:bottom w:val="none" w:sz="0" w:space="0" w:color="auto"/>
                                <w:right w:val="none" w:sz="0" w:space="0" w:color="auto"/>
                              </w:divBdr>
                              <w:divsChild>
                                <w:div w:id="709034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403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20193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06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04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48BEE-1391-48D7-AA9F-6C754F16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5A5B5-B874-4EB8-B716-F14F01BF39FA}">
  <ds:schemaRefs>
    <ds:schemaRef ds:uri="http://schemas.openxmlformats.org/officeDocument/2006/bibliography"/>
  </ds:schemaRefs>
</ds:datastoreItem>
</file>

<file path=customXml/itemProps3.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4.xml><?xml version="1.0" encoding="utf-8"?>
<ds:datastoreItem xmlns:ds="http://schemas.openxmlformats.org/officeDocument/2006/customXml" ds:itemID="{7F36C30F-CB46-4B0E-95FC-7F12551196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3164</Words>
  <Characters>16799</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19924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2</cp:revision>
  <cp:lastPrinted>2017-09-19T20:03:00Z</cp:lastPrinted>
  <dcterms:created xsi:type="dcterms:W3CDTF">2022-01-13T16:25:00Z</dcterms:created>
  <dcterms:modified xsi:type="dcterms:W3CDTF">2022-01-13T16:25:00Z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