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7B051" w14:textId="77777777" w:rsidR="0038698E" w:rsidRPr="00B34E15" w:rsidRDefault="0038698E" w:rsidP="007C55D4">
      <w:pPr>
        <w:widowControl/>
        <w:suppressAutoHyphens/>
        <w:jc w:val="center"/>
        <w:rPr>
          <w:b/>
          <w:sz w:val="26"/>
          <w:szCs w:val="26"/>
        </w:rPr>
      </w:pPr>
      <w:r w:rsidRPr="00B34E15">
        <w:rPr>
          <w:b/>
          <w:sz w:val="26"/>
          <w:szCs w:val="26"/>
        </w:rPr>
        <w:t>PENNSYLVANIA</w:t>
      </w:r>
    </w:p>
    <w:p w14:paraId="1223F68F" w14:textId="77777777" w:rsidR="0038698E" w:rsidRPr="00B34E15" w:rsidRDefault="0038698E" w:rsidP="007C55D4">
      <w:pPr>
        <w:widowControl/>
        <w:suppressAutoHyphens/>
        <w:jc w:val="center"/>
        <w:rPr>
          <w:sz w:val="26"/>
          <w:szCs w:val="26"/>
        </w:rPr>
      </w:pPr>
      <w:r w:rsidRPr="00B34E15">
        <w:rPr>
          <w:b/>
          <w:sz w:val="26"/>
          <w:szCs w:val="26"/>
        </w:rPr>
        <w:t>PUBLIC UTILITY COMMISSION</w:t>
      </w:r>
    </w:p>
    <w:p w14:paraId="08B68B58" w14:textId="5A6D59AD" w:rsidR="0038698E" w:rsidRPr="00B34E15" w:rsidRDefault="0038698E" w:rsidP="007C55D4">
      <w:pPr>
        <w:widowControl/>
        <w:suppressAutoHyphens/>
        <w:jc w:val="center"/>
        <w:rPr>
          <w:b/>
          <w:sz w:val="26"/>
          <w:szCs w:val="26"/>
        </w:rPr>
      </w:pPr>
      <w:r w:rsidRPr="00B34E15">
        <w:rPr>
          <w:b/>
          <w:sz w:val="26"/>
          <w:szCs w:val="26"/>
        </w:rPr>
        <w:t xml:space="preserve">Harrisburg, PA </w:t>
      </w:r>
      <w:r w:rsidR="00CD31F3">
        <w:rPr>
          <w:b/>
          <w:sz w:val="26"/>
          <w:szCs w:val="26"/>
        </w:rPr>
        <w:t xml:space="preserve"> </w:t>
      </w:r>
      <w:r w:rsidRPr="00B34E15">
        <w:rPr>
          <w:b/>
          <w:sz w:val="26"/>
          <w:szCs w:val="26"/>
        </w:rPr>
        <w:t>171</w:t>
      </w:r>
      <w:r w:rsidR="00F148E4">
        <w:rPr>
          <w:b/>
          <w:sz w:val="26"/>
          <w:szCs w:val="26"/>
        </w:rPr>
        <w:t>20</w:t>
      </w:r>
    </w:p>
    <w:p w14:paraId="1A40D713" w14:textId="22D40D63" w:rsidR="0038698E" w:rsidRDefault="0038698E" w:rsidP="007C55D4">
      <w:pPr>
        <w:widowControl/>
        <w:suppressAutoHyphens/>
        <w:rPr>
          <w:sz w:val="26"/>
          <w:szCs w:val="26"/>
        </w:rPr>
      </w:pPr>
    </w:p>
    <w:p w14:paraId="3C124AFC" w14:textId="77777777" w:rsidR="00CC5420" w:rsidRPr="00B34E15" w:rsidRDefault="00CC5420" w:rsidP="007C55D4">
      <w:pPr>
        <w:widowControl/>
        <w:suppressAutoHyphens/>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539"/>
      </w:tblGrid>
      <w:tr w:rsidR="00B1336C" w:rsidRPr="00E54925" w14:paraId="3F1C65D4" w14:textId="77777777" w:rsidTr="00A327F3">
        <w:tc>
          <w:tcPr>
            <w:tcW w:w="4821" w:type="dxa"/>
          </w:tcPr>
          <w:p w14:paraId="5DF78976" w14:textId="77777777" w:rsidR="00B1336C" w:rsidRPr="00E54925" w:rsidRDefault="00B1336C" w:rsidP="00A327F3">
            <w:pPr>
              <w:rPr>
                <w:sz w:val="26"/>
                <w:szCs w:val="26"/>
              </w:rPr>
            </w:pPr>
          </w:p>
        </w:tc>
        <w:tc>
          <w:tcPr>
            <w:tcW w:w="4539" w:type="dxa"/>
          </w:tcPr>
          <w:p w14:paraId="7C6162E8" w14:textId="46D25BF7" w:rsidR="00B1336C" w:rsidRPr="00E54925" w:rsidRDefault="00B1336C" w:rsidP="00A327F3">
            <w:pPr>
              <w:jc w:val="right"/>
              <w:rPr>
                <w:sz w:val="26"/>
                <w:szCs w:val="26"/>
              </w:rPr>
            </w:pPr>
            <w:r w:rsidRPr="00E54925">
              <w:rPr>
                <w:sz w:val="26"/>
                <w:szCs w:val="26"/>
              </w:rPr>
              <w:t xml:space="preserve">Public Meeting held </w:t>
            </w:r>
            <w:r>
              <w:rPr>
                <w:sz w:val="26"/>
                <w:szCs w:val="26"/>
              </w:rPr>
              <w:t>January 13</w:t>
            </w:r>
            <w:r w:rsidRPr="00E54925">
              <w:rPr>
                <w:sz w:val="26"/>
                <w:szCs w:val="26"/>
              </w:rPr>
              <w:t>, 20</w:t>
            </w:r>
            <w:r>
              <w:rPr>
                <w:sz w:val="26"/>
                <w:szCs w:val="26"/>
              </w:rPr>
              <w:t>22</w:t>
            </w:r>
          </w:p>
        </w:tc>
      </w:tr>
      <w:tr w:rsidR="00B1336C" w:rsidRPr="00E54925" w14:paraId="7A4D8684" w14:textId="77777777" w:rsidTr="00A327F3">
        <w:trPr>
          <w:trHeight w:val="2547"/>
        </w:trPr>
        <w:tc>
          <w:tcPr>
            <w:tcW w:w="9360" w:type="dxa"/>
            <w:gridSpan w:val="2"/>
          </w:tcPr>
          <w:p w14:paraId="3F7B401F" w14:textId="4A8EE91C" w:rsidR="00B1336C" w:rsidRDefault="00B1336C" w:rsidP="00A327F3">
            <w:pPr>
              <w:rPr>
                <w:sz w:val="26"/>
                <w:szCs w:val="26"/>
              </w:rPr>
            </w:pPr>
          </w:p>
          <w:p w14:paraId="6791A1CC" w14:textId="77777777" w:rsidR="004A2F8C" w:rsidRPr="00E54925" w:rsidRDefault="004A2F8C" w:rsidP="00A327F3">
            <w:pPr>
              <w:rPr>
                <w:sz w:val="26"/>
                <w:szCs w:val="26"/>
              </w:rPr>
            </w:pPr>
          </w:p>
          <w:p w14:paraId="7657B163" w14:textId="77777777" w:rsidR="00B1336C" w:rsidRPr="00E54925" w:rsidRDefault="00B1336C" w:rsidP="00A327F3">
            <w:pPr>
              <w:rPr>
                <w:sz w:val="26"/>
                <w:szCs w:val="26"/>
              </w:rPr>
            </w:pPr>
            <w:r w:rsidRPr="00E54925">
              <w:rPr>
                <w:sz w:val="26"/>
                <w:szCs w:val="26"/>
              </w:rPr>
              <w:t>Commissioners Present:</w:t>
            </w:r>
          </w:p>
          <w:p w14:paraId="1D3D11C9" w14:textId="77777777" w:rsidR="00B1336C" w:rsidRPr="00E54925" w:rsidRDefault="00B1336C" w:rsidP="00A327F3">
            <w:pPr>
              <w:rPr>
                <w:sz w:val="26"/>
                <w:szCs w:val="26"/>
              </w:rPr>
            </w:pPr>
          </w:p>
          <w:p w14:paraId="4AE0185F" w14:textId="77777777" w:rsidR="00B1336C" w:rsidRPr="00E54925" w:rsidRDefault="00B1336C" w:rsidP="00A327F3">
            <w:pPr>
              <w:tabs>
                <w:tab w:val="left" w:pos="-720"/>
              </w:tabs>
              <w:ind w:left="720"/>
              <w:rPr>
                <w:sz w:val="26"/>
                <w:szCs w:val="26"/>
              </w:rPr>
            </w:pPr>
            <w:r w:rsidRPr="00E54925">
              <w:rPr>
                <w:sz w:val="26"/>
                <w:szCs w:val="26"/>
              </w:rPr>
              <w:t>Gladys Brown</w:t>
            </w:r>
            <w:r>
              <w:rPr>
                <w:sz w:val="26"/>
                <w:szCs w:val="26"/>
              </w:rPr>
              <w:t xml:space="preserve"> </w:t>
            </w:r>
            <w:r w:rsidRPr="00E54925">
              <w:rPr>
                <w:sz w:val="26"/>
                <w:szCs w:val="26"/>
              </w:rPr>
              <w:t>Dutrieuille, Chairman</w:t>
            </w:r>
          </w:p>
          <w:p w14:paraId="1213D1E0" w14:textId="432F427D" w:rsidR="00B1336C" w:rsidRPr="00E54925" w:rsidRDefault="00B1336C" w:rsidP="00A327F3">
            <w:pPr>
              <w:tabs>
                <w:tab w:val="left" w:pos="-720"/>
              </w:tabs>
              <w:ind w:left="720"/>
              <w:rPr>
                <w:sz w:val="26"/>
                <w:szCs w:val="26"/>
              </w:rPr>
            </w:pPr>
            <w:r>
              <w:rPr>
                <w:sz w:val="26"/>
                <w:szCs w:val="26"/>
              </w:rPr>
              <w:t>John F. Coleman, Jr.</w:t>
            </w:r>
            <w:r w:rsidRPr="00E54925">
              <w:rPr>
                <w:sz w:val="26"/>
                <w:szCs w:val="26"/>
              </w:rPr>
              <w:t>, Vice Chairman</w:t>
            </w:r>
          </w:p>
          <w:p w14:paraId="10F74CE4" w14:textId="6002858C" w:rsidR="00B1336C" w:rsidRPr="00E54925" w:rsidRDefault="00B1336C" w:rsidP="00B1336C">
            <w:pPr>
              <w:tabs>
                <w:tab w:val="left" w:pos="-720"/>
              </w:tabs>
              <w:ind w:left="720"/>
              <w:rPr>
                <w:sz w:val="26"/>
                <w:szCs w:val="26"/>
              </w:rPr>
            </w:pPr>
            <w:r>
              <w:rPr>
                <w:sz w:val="26"/>
                <w:szCs w:val="26"/>
              </w:rPr>
              <w:t>Ralph V. Yanora</w:t>
            </w:r>
          </w:p>
        </w:tc>
      </w:tr>
      <w:tr w:rsidR="00B1336C" w:rsidRPr="00E54925" w14:paraId="28208A69" w14:textId="77777777" w:rsidTr="00A327F3">
        <w:tc>
          <w:tcPr>
            <w:tcW w:w="4821" w:type="dxa"/>
          </w:tcPr>
          <w:p w14:paraId="2B81A697" w14:textId="77777777" w:rsidR="004A2F8C" w:rsidRDefault="004A2F8C" w:rsidP="00A327F3">
            <w:pPr>
              <w:rPr>
                <w:sz w:val="26"/>
                <w:szCs w:val="26"/>
              </w:rPr>
            </w:pPr>
          </w:p>
          <w:p w14:paraId="0B2E5EEE" w14:textId="3F57EF3C" w:rsidR="00B1336C" w:rsidRPr="00E54925" w:rsidRDefault="00B1336C" w:rsidP="00A327F3">
            <w:pPr>
              <w:rPr>
                <w:sz w:val="26"/>
                <w:szCs w:val="26"/>
              </w:rPr>
            </w:pPr>
            <w:r w:rsidRPr="00B1336C">
              <w:rPr>
                <w:sz w:val="26"/>
                <w:szCs w:val="26"/>
              </w:rPr>
              <w:t>Application of</w:t>
            </w:r>
            <w:r>
              <w:rPr>
                <w:sz w:val="26"/>
                <w:szCs w:val="26"/>
              </w:rPr>
              <w:t xml:space="preserve"> Aqua Pennsylvania Wastewater, Inc.</w:t>
            </w:r>
            <w:r w:rsidRPr="00B1336C">
              <w:rPr>
                <w:sz w:val="26"/>
                <w:szCs w:val="26"/>
              </w:rPr>
              <w:t xml:space="preserve">, </w:t>
            </w:r>
            <w:r>
              <w:rPr>
                <w:sz w:val="26"/>
                <w:szCs w:val="26"/>
              </w:rPr>
              <w:t>pursuant</w:t>
            </w:r>
            <w:r w:rsidR="00985B36">
              <w:rPr>
                <w:sz w:val="26"/>
                <w:szCs w:val="26"/>
              </w:rPr>
              <w:t xml:space="preserve"> to</w:t>
            </w:r>
            <w:r w:rsidRPr="00B1336C">
              <w:rPr>
                <w:sz w:val="26"/>
                <w:szCs w:val="26"/>
              </w:rPr>
              <w:t xml:space="preserve"> 66 Pa.</w:t>
            </w:r>
            <w:r w:rsidR="00982D30">
              <w:rPr>
                <w:sz w:val="26"/>
                <w:szCs w:val="26"/>
              </w:rPr>
              <w:t xml:space="preserve"> </w:t>
            </w:r>
            <w:r w:rsidRPr="00B1336C">
              <w:rPr>
                <w:sz w:val="26"/>
                <w:szCs w:val="26"/>
              </w:rPr>
              <w:t>C.S. §§</w:t>
            </w:r>
            <w:r w:rsidR="000D72D7">
              <w:rPr>
                <w:sz w:val="26"/>
                <w:szCs w:val="26"/>
              </w:rPr>
              <w:t> </w:t>
            </w:r>
            <w:r w:rsidRPr="00B1336C">
              <w:rPr>
                <w:sz w:val="26"/>
                <w:szCs w:val="26"/>
              </w:rPr>
              <w:t xml:space="preserve">1102(a) and 1329 (relating to enumeration of acts requiring certificate; and valuation of acquired water and wastewater systems) for approval of: </w:t>
            </w:r>
            <w:r w:rsidR="000D72D7">
              <w:rPr>
                <w:sz w:val="26"/>
                <w:szCs w:val="26"/>
              </w:rPr>
              <w:t xml:space="preserve"> </w:t>
            </w:r>
            <w:r w:rsidRPr="00B1336C">
              <w:rPr>
                <w:sz w:val="26"/>
                <w:szCs w:val="26"/>
              </w:rPr>
              <w:t>(1)</w:t>
            </w:r>
            <w:r w:rsidR="000D72D7">
              <w:rPr>
                <w:sz w:val="26"/>
                <w:szCs w:val="26"/>
              </w:rPr>
              <w:t> </w:t>
            </w:r>
            <w:r w:rsidRPr="00B1336C">
              <w:rPr>
                <w:sz w:val="26"/>
                <w:szCs w:val="26"/>
              </w:rPr>
              <w:t xml:space="preserve">the transfer by sale, of substantially all of the wastewater system assets, properties and rights of Lower Makefield Township related to its wastewater collection and conveyance system; (2) the right of </w:t>
            </w:r>
            <w:r w:rsidR="00985B36">
              <w:rPr>
                <w:sz w:val="26"/>
                <w:szCs w:val="26"/>
              </w:rPr>
              <w:t>Aqua Pennsylvania Wastewater, Inc.</w:t>
            </w:r>
            <w:r w:rsidRPr="00B1336C">
              <w:rPr>
                <w:sz w:val="26"/>
                <w:szCs w:val="26"/>
              </w:rPr>
              <w:t xml:space="preserve"> to begin to offer or furnish wastewater service to the public in </w:t>
            </w:r>
            <w:r w:rsidR="00985B36">
              <w:rPr>
                <w:sz w:val="26"/>
                <w:szCs w:val="26"/>
              </w:rPr>
              <w:t>Lower Makefield Township</w:t>
            </w:r>
            <w:r w:rsidRPr="00B1336C">
              <w:rPr>
                <w:sz w:val="26"/>
                <w:szCs w:val="26"/>
              </w:rPr>
              <w:t xml:space="preserve">, Bucks County; and (3) the use for ratemaking purposes of the lesser fair market value or the negotiated purchase price of the </w:t>
            </w:r>
            <w:r w:rsidR="00985B36">
              <w:rPr>
                <w:sz w:val="26"/>
                <w:szCs w:val="26"/>
              </w:rPr>
              <w:t>Lower Makefield Township</w:t>
            </w:r>
            <w:r w:rsidRPr="00B1336C">
              <w:rPr>
                <w:sz w:val="26"/>
                <w:szCs w:val="26"/>
              </w:rPr>
              <w:t xml:space="preserve"> assets related to its wastewater collection and conveyance system.</w:t>
            </w:r>
          </w:p>
        </w:tc>
        <w:tc>
          <w:tcPr>
            <w:tcW w:w="4539" w:type="dxa"/>
          </w:tcPr>
          <w:p w14:paraId="756087C1" w14:textId="77777777" w:rsidR="004A2F8C" w:rsidRDefault="00B1336C" w:rsidP="00A327F3">
            <w:pPr>
              <w:jc w:val="right"/>
              <w:rPr>
                <w:sz w:val="26"/>
                <w:szCs w:val="26"/>
              </w:rPr>
            </w:pPr>
            <w:r w:rsidRPr="00E54925">
              <w:rPr>
                <w:sz w:val="26"/>
                <w:szCs w:val="26"/>
              </w:rPr>
              <w:t xml:space="preserve">                                      </w:t>
            </w:r>
          </w:p>
          <w:p w14:paraId="0CFC965F" w14:textId="27E0C7DF" w:rsidR="00B1336C" w:rsidRPr="00E54925" w:rsidRDefault="00B1336C" w:rsidP="00A327F3">
            <w:pPr>
              <w:jc w:val="right"/>
              <w:rPr>
                <w:sz w:val="26"/>
                <w:szCs w:val="26"/>
              </w:rPr>
            </w:pPr>
            <w:r w:rsidRPr="00E54925">
              <w:rPr>
                <w:sz w:val="26"/>
                <w:szCs w:val="26"/>
              </w:rPr>
              <w:t>A-20</w:t>
            </w:r>
            <w:r>
              <w:rPr>
                <w:sz w:val="26"/>
                <w:szCs w:val="26"/>
              </w:rPr>
              <w:t>21</w:t>
            </w:r>
            <w:r w:rsidRPr="00E54925">
              <w:rPr>
                <w:sz w:val="26"/>
                <w:szCs w:val="26"/>
              </w:rPr>
              <w:t>-30</w:t>
            </w:r>
            <w:r>
              <w:rPr>
                <w:sz w:val="26"/>
                <w:szCs w:val="26"/>
              </w:rPr>
              <w:t>24267</w:t>
            </w:r>
          </w:p>
          <w:p w14:paraId="5121800B" w14:textId="77777777" w:rsidR="00B1336C" w:rsidRPr="00E54925" w:rsidRDefault="00B1336C" w:rsidP="00A327F3">
            <w:pPr>
              <w:keepNext/>
              <w:jc w:val="right"/>
              <w:outlineLvl w:val="0"/>
              <w:rPr>
                <w:b/>
                <w:sz w:val="26"/>
                <w:szCs w:val="26"/>
              </w:rPr>
            </w:pPr>
          </w:p>
          <w:p w14:paraId="0D3A156B" w14:textId="77777777" w:rsidR="00B1336C" w:rsidRPr="00E54925" w:rsidRDefault="00B1336C" w:rsidP="00A327F3">
            <w:pPr>
              <w:jc w:val="right"/>
              <w:rPr>
                <w:sz w:val="26"/>
                <w:szCs w:val="26"/>
              </w:rPr>
            </w:pPr>
          </w:p>
          <w:p w14:paraId="0854612C" w14:textId="77777777" w:rsidR="00B1336C" w:rsidRPr="00E54925" w:rsidRDefault="00B1336C" w:rsidP="00A327F3">
            <w:pPr>
              <w:jc w:val="right"/>
              <w:rPr>
                <w:sz w:val="26"/>
                <w:szCs w:val="26"/>
              </w:rPr>
            </w:pPr>
          </w:p>
        </w:tc>
      </w:tr>
      <w:tr w:rsidR="00B1336C" w:rsidRPr="00E54925" w14:paraId="606E3B2D" w14:textId="77777777" w:rsidTr="00A327F3">
        <w:tc>
          <w:tcPr>
            <w:tcW w:w="4821" w:type="dxa"/>
          </w:tcPr>
          <w:p w14:paraId="036AA52E" w14:textId="77777777" w:rsidR="00B1336C" w:rsidRPr="00E54925" w:rsidRDefault="00B1336C" w:rsidP="00A327F3">
            <w:pPr>
              <w:ind w:firstLine="1440"/>
              <w:rPr>
                <w:sz w:val="26"/>
                <w:szCs w:val="26"/>
              </w:rPr>
            </w:pPr>
          </w:p>
        </w:tc>
        <w:tc>
          <w:tcPr>
            <w:tcW w:w="4539" w:type="dxa"/>
          </w:tcPr>
          <w:p w14:paraId="2D4F90AE" w14:textId="77777777" w:rsidR="00B1336C" w:rsidRPr="00E54925" w:rsidRDefault="00B1336C" w:rsidP="00A327F3">
            <w:pPr>
              <w:rPr>
                <w:sz w:val="26"/>
                <w:szCs w:val="26"/>
              </w:rPr>
            </w:pPr>
          </w:p>
        </w:tc>
      </w:tr>
    </w:tbl>
    <w:p w14:paraId="33E469C3" w14:textId="49F5355B" w:rsidR="00344C68" w:rsidRDefault="00344C68" w:rsidP="007C55D4">
      <w:pPr>
        <w:widowControl/>
        <w:rPr>
          <w:b/>
          <w:sz w:val="26"/>
          <w:szCs w:val="26"/>
        </w:rPr>
      </w:pPr>
    </w:p>
    <w:p w14:paraId="6648642D" w14:textId="0237FA34" w:rsidR="00865783" w:rsidRDefault="00865783" w:rsidP="007C55D4">
      <w:pPr>
        <w:widowControl/>
        <w:rPr>
          <w:b/>
          <w:sz w:val="26"/>
          <w:szCs w:val="26"/>
        </w:rPr>
      </w:pPr>
    </w:p>
    <w:p w14:paraId="388646ED" w14:textId="7F90CB11" w:rsidR="00865783" w:rsidRDefault="00865783" w:rsidP="00865783">
      <w:pPr>
        <w:widowControl/>
        <w:jc w:val="center"/>
        <w:rPr>
          <w:b/>
          <w:sz w:val="26"/>
          <w:szCs w:val="26"/>
        </w:rPr>
      </w:pPr>
      <w:r w:rsidRPr="00DF4899">
        <w:rPr>
          <w:b/>
          <w:sz w:val="26"/>
          <w:szCs w:val="26"/>
        </w:rPr>
        <w:t>OPINION AND ORDER</w:t>
      </w:r>
    </w:p>
    <w:p w14:paraId="0DACE716" w14:textId="5FF5408D" w:rsidR="00865783" w:rsidRDefault="00865783" w:rsidP="007C55D4">
      <w:pPr>
        <w:widowControl/>
        <w:rPr>
          <w:b/>
          <w:sz w:val="26"/>
          <w:szCs w:val="26"/>
        </w:rPr>
      </w:pPr>
    </w:p>
    <w:bookmarkStart w:id="0" w:name="_Hlk523834991" w:displacedByCustomXml="next"/>
    <w:sdt>
      <w:sdtPr>
        <w:rPr>
          <w:sz w:val="26"/>
          <w:szCs w:val="26"/>
        </w:rPr>
        <w:id w:val="934635144"/>
        <w:docPartObj>
          <w:docPartGallery w:val="Table of Contents"/>
          <w:docPartUnique/>
        </w:docPartObj>
      </w:sdtPr>
      <w:sdtEndPr>
        <w:rPr>
          <w:noProof/>
        </w:rPr>
      </w:sdtEndPr>
      <w:sdtContent>
        <w:p w14:paraId="24056A15" w14:textId="77777777" w:rsidR="00A32A88" w:rsidRDefault="00A32A88" w:rsidP="00985B36">
          <w:pPr>
            <w:widowControl/>
            <w:spacing w:before="480" w:line="360" w:lineRule="auto"/>
            <w:rPr>
              <w:sz w:val="26"/>
              <w:szCs w:val="26"/>
            </w:rPr>
            <w:sectPr w:rsidR="00A32A88" w:rsidSect="003742CF">
              <w:footerReference w:type="even" r:id="rId8"/>
              <w:footerReference w:type="default" r:id="rId9"/>
              <w:footerReference w:type="first" r:id="rId10"/>
              <w:pgSz w:w="12240" w:h="15840"/>
              <w:pgMar w:top="1440" w:right="1440" w:bottom="1440" w:left="1440" w:header="720" w:footer="720" w:gutter="0"/>
              <w:cols w:space="720"/>
              <w:titlePg/>
              <w:docGrid w:linePitch="360"/>
            </w:sectPr>
          </w:pPr>
        </w:p>
        <w:p w14:paraId="6D81C4A3" w14:textId="082F921F" w:rsidR="005A74D5" w:rsidRPr="0008272C" w:rsidRDefault="005A74D5" w:rsidP="005A74D5">
          <w:pPr>
            <w:widowControl/>
            <w:spacing w:before="480" w:line="360" w:lineRule="auto"/>
            <w:jc w:val="center"/>
            <w:rPr>
              <w:b/>
              <w:bCs/>
              <w:sz w:val="26"/>
              <w:szCs w:val="26"/>
              <w:lang w:eastAsia="ja-JP"/>
            </w:rPr>
          </w:pPr>
          <w:r w:rsidRPr="0008272C">
            <w:rPr>
              <w:b/>
              <w:sz w:val="26"/>
              <w:szCs w:val="26"/>
            </w:rPr>
            <w:lastRenderedPageBreak/>
            <w:t>Table of</w:t>
          </w:r>
          <w:r w:rsidRPr="0008272C">
            <w:rPr>
              <w:sz w:val="26"/>
              <w:szCs w:val="26"/>
            </w:rPr>
            <w:t xml:space="preserve"> </w:t>
          </w:r>
          <w:r w:rsidRPr="0008272C">
            <w:rPr>
              <w:b/>
              <w:bCs/>
              <w:sz w:val="26"/>
              <w:szCs w:val="26"/>
              <w:lang w:eastAsia="ja-JP"/>
            </w:rPr>
            <w:t>Contents</w:t>
          </w:r>
        </w:p>
        <w:p w14:paraId="26618FF6" w14:textId="77777777" w:rsidR="005A74D5" w:rsidRPr="0008272C" w:rsidRDefault="005A74D5" w:rsidP="005A74D5">
          <w:pPr>
            <w:widowControl/>
            <w:ind w:firstLine="1440"/>
            <w:rPr>
              <w:sz w:val="26"/>
              <w:szCs w:val="26"/>
              <w:lang w:eastAsia="ja-JP"/>
            </w:rPr>
          </w:pPr>
        </w:p>
        <w:p w14:paraId="0EC87599" w14:textId="19E65F7D" w:rsidR="007F0272" w:rsidRPr="0082628D" w:rsidRDefault="005A74D5" w:rsidP="0082628D">
          <w:pPr>
            <w:pStyle w:val="TOC1"/>
            <w:rPr>
              <w:rFonts w:eastAsiaTheme="minorEastAsia"/>
              <w:noProof/>
              <w:szCs w:val="26"/>
            </w:rPr>
          </w:pPr>
          <w:r w:rsidRPr="0008272C">
            <w:rPr>
              <w:szCs w:val="26"/>
            </w:rPr>
            <w:fldChar w:fldCharType="begin"/>
          </w:r>
          <w:r w:rsidRPr="0008272C">
            <w:rPr>
              <w:szCs w:val="26"/>
            </w:rPr>
            <w:instrText xml:space="preserve"> TOC \o "1-4" \h \z \u </w:instrText>
          </w:r>
          <w:r w:rsidRPr="0008272C">
            <w:rPr>
              <w:szCs w:val="26"/>
            </w:rPr>
            <w:fldChar w:fldCharType="separate"/>
          </w:r>
          <w:hyperlink w:anchor="_Toc90970697" w:history="1">
            <w:r w:rsidR="007F0272" w:rsidRPr="0082628D">
              <w:rPr>
                <w:rStyle w:val="Hyperlink"/>
                <w:noProof/>
                <w:szCs w:val="26"/>
              </w:rPr>
              <w:t>I.</w:t>
            </w:r>
            <w:r w:rsidR="007F0272" w:rsidRPr="0082628D">
              <w:rPr>
                <w:rFonts w:eastAsiaTheme="minorEastAsia"/>
                <w:noProof/>
                <w:szCs w:val="26"/>
              </w:rPr>
              <w:tab/>
            </w:r>
            <w:r w:rsidR="007F0272" w:rsidRPr="0082628D">
              <w:rPr>
                <w:rStyle w:val="Hyperlink"/>
                <w:noProof/>
                <w:szCs w:val="26"/>
              </w:rPr>
              <w:t>Procedural History</w:t>
            </w:r>
            <w:r w:rsidR="007F0272" w:rsidRPr="0082628D">
              <w:rPr>
                <w:noProof/>
                <w:webHidden/>
                <w:szCs w:val="26"/>
              </w:rPr>
              <w:tab/>
            </w:r>
            <w:r w:rsidR="007F0272" w:rsidRPr="0082628D">
              <w:rPr>
                <w:noProof/>
                <w:webHidden/>
                <w:szCs w:val="26"/>
              </w:rPr>
              <w:fldChar w:fldCharType="begin"/>
            </w:r>
            <w:r w:rsidR="007F0272" w:rsidRPr="0082628D">
              <w:rPr>
                <w:noProof/>
                <w:webHidden/>
                <w:szCs w:val="26"/>
              </w:rPr>
              <w:instrText xml:space="preserve"> PAGEREF _Toc90970697 \h </w:instrText>
            </w:r>
            <w:r w:rsidR="007F0272" w:rsidRPr="0082628D">
              <w:rPr>
                <w:noProof/>
                <w:webHidden/>
                <w:szCs w:val="26"/>
              </w:rPr>
            </w:r>
            <w:r w:rsidR="007F0272" w:rsidRPr="0082628D">
              <w:rPr>
                <w:noProof/>
                <w:webHidden/>
                <w:szCs w:val="26"/>
              </w:rPr>
              <w:fldChar w:fldCharType="separate"/>
            </w:r>
            <w:r w:rsidR="004F1DF7">
              <w:rPr>
                <w:noProof/>
                <w:webHidden/>
                <w:szCs w:val="26"/>
              </w:rPr>
              <w:t>1</w:t>
            </w:r>
            <w:r w:rsidR="007F0272" w:rsidRPr="0082628D">
              <w:rPr>
                <w:noProof/>
                <w:webHidden/>
                <w:szCs w:val="26"/>
              </w:rPr>
              <w:fldChar w:fldCharType="end"/>
            </w:r>
          </w:hyperlink>
        </w:p>
        <w:p w14:paraId="3B542A73" w14:textId="68FB5616" w:rsidR="007F0272" w:rsidRPr="0082628D" w:rsidRDefault="00927F92" w:rsidP="0082628D">
          <w:pPr>
            <w:pStyle w:val="TOC1"/>
            <w:rPr>
              <w:rFonts w:eastAsiaTheme="minorEastAsia"/>
              <w:noProof/>
              <w:szCs w:val="26"/>
            </w:rPr>
          </w:pPr>
          <w:hyperlink w:anchor="_Toc90970698" w:history="1">
            <w:r w:rsidR="007F0272" w:rsidRPr="0082628D">
              <w:rPr>
                <w:rStyle w:val="Hyperlink"/>
                <w:noProof/>
                <w:szCs w:val="26"/>
              </w:rPr>
              <w:t>II.</w:t>
            </w:r>
            <w:r w:rsidR="007F0272" w:rsidRPr="0082628D">
              <w:rPr>
                <w:rFonts w:eastAsiaTheme="minorEastAsia"/>
                <w:noProof/>
                <w:szCs w:val="26"/>
              </w:rPr>
              <w:tab/>
            </w:r>
            <w:r w:rsidR="007F0272" w:rsidRPr="0082628D">
              <w:rPr>
                <w:rStyle w:val="Hyperlink"/>
                <w:noProof/>
                <w:szCs w:val="26"/>
              </w:rPr>
              <w:t>Legal Standards</w:t>
            </w:r>
            <w:r w:rsidR="007F0272" w:rsidRPr="0082628D">
              <w:rPr>
                <w:noProof/>
                <w:webHidden/>
                <w:szCs w:val="26"/>
              </w:rPr>
              <w:tab/>
            </w:r>
            <w:r w:rsidR="007F0272" w:rsidRPr="0082628D">
              <w:rPr>
                <w:noProof/>
                <w:webHidden/>
                <w:szCs w:val="26"/>
              </w:rPr>
              <w:fldChar w:fldCharType="begin"/>
            </w:r>
            <w:r w:rsidR="007F0272" w:rsidRPr="0082628D">
              <w:rPr>
                <w:noProof/>
                <w:webHidden/>
                <w:szCs w:val="26"/>
              </w:rPr>
              <w:instrText xml:space="preserve"> PAGEREF _Toc90970698 \h </w:instrText>
            </w:r>
            <w:r w:rsidR="007F0272" w:rsidRPr="0082628D">
              <w:rPr>
                <w:noProof/>
                <w:webHidden/>
                <w:szCs w:val="26"/>
              </w:rPr>
            </w:r>
            <w:r w:rsidR="007F0272" w:rsidRPr="0082628D">
              <w:rPr>
                <w:noProof/>
                <w:webHidden/>
                <w:szCs w:val="26"/>
              </w:rPr>
              <w:fldChar w:fldCharType="separate"/>
            </w:r>
            <w:r w:rsidR="004F1DF7">
              <w:rPr>
                <w:noProof/>
                <w:webHidden/>
                <w:szCs w:val="26"/>
              </w:rPr>
              <w:t>5</w:t>
            </w:r>
            <w:r w:rsidR="007F0272" w:rsidRPr="0082628D">
              <w:rPr>
                <w:noProof/>
                <w:webHidden/>
                <w:szCs w:val="26"/>
              </w:rPr>
              <w:fldChar w:fldCharType="end"/>
            </w:r>
          </w:hyperlink>
        </w:p>
        <w:p w14:paraId="26ED5CA3" w14:textId="14453E01" w:rsidR="007F0272" w:rsidRPr="0082628D" w:rsidRDefault="00927F92" w:rsidP="004F1DF7">
          <w:pPr>
            <w:pStyle w:val="TOC2"/>
            <w:rPr>
              <w:rFonts w:eastAsiaTheme="minorEastAsia"/>
              <w:noProof/>
            </w:rPr>
          </w:pPr>
          <w:hyperlink w:anchor="_Toc90970699" w:history="1">
            <w:r w:rsidR="007F0272" w:rsidRPr="0082628D">
              <w:rPr>
                <w:rStyle w:val="Hyperlink"/>
                <w:noProof/>
                <w:szCs w:val="26"/>
              </w:rPr>
              <w:t>A.</w:t>
            </w:r>
            <w:r w:rsidR="007F0272" w:rsidRPr="0082628D">
              <w:rPr>
                <w:rFonts w:eastAsiaTheme="minorEastAsia"/>
                <w:noProof/>
              </w:rPr>
              <w:tab/>
            </w:r>
            <w:r w:rsidR="007F0272" w:rsidRPr="0082628D">
              <w:rPr>
                <w:rStyle w:val="Hyperlink"/>
                <w:noProof/>
                <w:szCs w:val="26"/>
              </w:rPr>
              <w:t>Burden of Proof, 66 Pa. C.S. § 332(a)</w:t>
            </w:r>
            <w:r w:rsidR="007F0272" w:rsidRPr="0082628D">
              <w:rPr>
                <w:noProof/>
                <w:webHidden/>
              </w:rPr>
              <w:tab/>
            </w:r>
            <w:r w:rsidR="007F0272" w:rsidRPr="0082628D">
              <w:rPr>
                <w:noProof/>
                <w:webHidden/>
              </w:rPr>
              <w:fldChar w:fldCharType="begin"/>
            </w:r>
            <w:r w:rsidR="007F0272" w:rsidRPr="0082628D">
              <w:rPr>
                <w:noProof/>
                <w:webHidden/>
              </w:rPr>
              <w:instrText xml:space="preserve"> PAGEREF _Toc90970699 \h </w:instrText>
            </w:r>
            <w:r w:rsidR="007F0272" w:rsidRPr="0082628D">
              <w:rPr>
                <w:noProof/>
                <w:webHidden/>
              </w:rPr>
            </w:r>
            <w:r w:rsidR="007F0272" w:rsidRPr="0082628D">
              <w:rPr>
                <w:noProof/>
                <w:webHidden/>
              </w:rPr>
              <w:fldChar w:fldCharType="separate"/>
            </w:r>
            <w:r w:rsidR="004F1DF7">
              <w:rPr>
                <w:noProof/>
                <w:webHidden/>
              </w:rPr>
              <w:t>5</w:t>
            </w:r>
            <w:r w:rsidR="007F0272" w:rsidRPr="0082628D">
              <w:rPr>
                <w:noProof/>
                <w:webHidden/>
              </w:rPr>
              <w:fldChar w:fldCharType="end"/>
            </w:r>
          </w:hyperlink>
        </w:p>
        <w:p w14:paraId="7B07B167" w14:textId="6230C1E5" w:rsidR="007F0272" w:rsidRPr="0082628D" w:rsidRDefault="00927F92" w:rsidP="004F1DF7">
          <w:pPr>
            <w:pStyle w:val="TOC2"/>
            <w:rPr>
              <w:rFonts w:eastAsiaTheme="minorEastAsia"/>
              <w:noProof/>
            </w:rPr>
          </w:pPr>
          <w:hyperlink w:anchor="_Toc90970700" w:history="1">
            <w:r w:rsidR="007F0272" w:rsidRPr="0082628D">
              <w:rPr>
                <w:rStyle w:val="Hyperlink"/>
                <w:noProof/>
                <w:szCs w:val="26"/>
              </w:rPr>
              <w:t>B.</w:t>
            </w:r>
            <w:r w:rsidR="007F0272" w:rsidRPr="0082628D">
              <w:rPr>
                <w:rFonts w:eastAsiaTheme="minorEastAsia"/>
                <w:noProof/>
              </w:rPr>
              <w:tab/>
            </w:r>
            <w:r w:rsidR="007F0272" w:rsidRPr="0082628D">
              <w:rPr>
                <w:rStyle w:val="Hyperlink"/>
                <w:noProof/>
                <w:szCs w:val="26"/>
              </w:rPr>
              <w:t>Certificate of Public Convenience, 66 Pa. C.S. §§ 1102, 1103</w:t>
            </w:r>
            <w:r w:rsidR="007F0272" w:rsidRPr="0082628D">
              <w:rPr>
                <w:noProof/>
                <w:webHidden/>
              </w:rPr>
              <w:tab/>
            </w:r>
            <w:r w:rsidR="007F0272" w:rsidRPr="0082628D">
              <w:rPr>
                <w:noProof/>
                <w:webHidden/>
              </w:rPr>
              <w:fldChar w:fldCharType="begin"/>
            </w:r>
            <w:r w:rsidR="007F0272" w:rsidRPr="0082628D">
              <w:rPr>
                <w:noProof/>
                <w:webHidden/>
              </w:rPr>
              <w:instrText xml:space="preserve"> PAGEREF _Toc90970700 \h </w:instrText>
            </w:r>
            <w:r w:rsidR="007F0272" w:rsidRPr="0082628D">
              <w:rPr>
                <w:noProof/>
                <w:webHidden/>
              </w:rPr>
            </w:r>
            <w:r w:rsidR="007F0272" w:rsidRPr="0082628D">
              <w:rPr>
                <w:noProof/>
                <w:webHidden/>
              </w:rPr>
              <w:fldChar w:fldCharType="separate"/>
            </w:r>
            <w:r w:rsidR="004F1DF7">
              <w:rPr>
                <w:noProof/>
                <w:webHidden/>
              </w:rPr>
              <w:t>6</w:t>
            </w:r>
            <w:r w:rsidR="007F0272" w:rsidRPr="0082628D">
              <w:rPr>
                <w:noProof/>
                <w:webHidden/>
              </w:rPr>
              <w:fldChar w:fldCharType="end"/>
            </w:r>
          </w:hyperlink>
        </w:p>
        <w:p w14:paraId="712DB49A" w14:textId="2E929936" w:rsidR="007F0272" w:rsidRPr="0082628D" w:rsidRDefault="00927F92" w:rsidP="004F1DF7">
          <w:pPr>
            <w:pStyle w:val="TOC2"/>
            <w:rPr>
              <w:rFonts w:eastAsiaTheme="minorEastAsia"/>
              <w:noProof/>
            </w:rPr>
          </w:pPr>
          <w:hyperlink w:anchor="_Toc90970701" w:history="1">
            <w:r w:rsidR="007F0272" w:rsidRPr="0082628D">
              <w:rPr>
                <w:rStyle w:val="Hyperlink"/>
                <w:noProof/>
                <w:szCs w:val="26"/>
              </w:rPr>
              <w:t>C.</w:t>
            </w:r>
            <w:r w:rsidR="007F0272" w:rsidRPr="0082628D">
              <w:rPr>
                <w:rFonts w:eastAsiaTheme="minorEastAsia"/>
                <w:noProof/>
              </w:rPr>
              <w:tab/>
            </w:r>
            <w:r w:rsidR="007F0272" w:rsidRPr="0082628D">
              <w:rPr>
                <w:rStyle w:val="Hyperlink"/>
                <w:noProof/>
                <w:szCs w:val="26"/>
              </w:rPr>
              <w:t>Ratemaking Rate Base Value, 66 Pa. C.S. § 1329</w:t>
            </w:r>
            <w:r w:rsidR="007F0272" w:rsidRPr="0082628D">
              <w:rPr>
                <w:noProof/>
                <w:webHidden/>
              </w:rPr>
              <w:tab/>
            </w:r>
            <w:r w:rsidR="007F0272" w:rsidRPr="0082628D">
              <w:rPr>
                <w:noProof/>
                <w:webHidden/>
              </w:rPr>
              <w:fldChar w:fldCharType="begin"/>
            </w:r>
            <w:r w:rsidR="007F0272" w:rsidRPr="0082628D">
              <w:rPr>
                <w:noProof/>
                <w:webHidden/>
              </w:rPr>
              <w:instrText xml:space="preserve"> PAGEREF _Toc90970701 \h </w:instrText>
            </w:r>
            <w:r w:rsidR="007F0272" w:rsidRPr="0082628D">
              <w:rPr>
                <w:noProof/>
                <w:webHidden/>
              </w:rPr>
            </w:r>
            <w:r w:rsidR="007F0272" w:rsidRPr="0082628D">
              <w:rPr>
                <w:noProof/>
                <w:webHidden/>
              </w:rPr>
              <w:fldChar w:fldCharType="separate"/>
            </w:r>
            <w:r w:rsidR="004F1DF7">
              <w:rPr>
                <w:noProof/>
                <w:webHidden/>
              </w:rPr>
              <w:t>9</w:t>
            </w:r>
            <w:r w:rsidR="007F0272" w:rsidRPr="0082628D">
              <w:rPr>
                <w:noProof/>
                <w:webHidden/>
              </w:rPr>
              <w:fldChar w:fldCharType="end"/>
            </w:r>
          </w:hyperlink>
        </w:p>
        <w:p w14:paraId="01765F47" w14:textId="5B1EC0EC" w:rsidR="007F0272" w:rsidRPr="0082628D" w:rsidRDefault="00927F92" w:rsidP="004F1DF7">
          <w:pPr>
            <w:pStyle w:val="TOC2"/>
            <w:rPr>
              <w:rFonts w:eastAsiaTheme="minorEastAsia"/>
              <w:noProof/>
            </w:rPr>
          </w:pPr>
          <w:hyperlink w:anchor="_Toc90970702" w:history="1">
            <w:r w:rsidR="007F0272" w:rsidRPr="0082628D">
              <w:rPr>
                <w:rStyle w:val="Hyperlink"/>
                <w:noProof/>
                <w:szCs w:val="26"/>
              </w:rPr>
              <w:t>D.</w:t>
            </w:r>
            <w:r w:rsidR="007F0272" w:rsidRPr="0082628D">
              <w:rPr>
                <w:rFonts w:eastAsiaTheme="minorEastAsia"/>
                <w:noProof/>
              </w:rPr>
              <w:tab/>
            </w:r>
            <w:r w:rsidR="007F0272" w:rsidRPr="0082628D">
              <w:rPr>
                <w:rStyle w:val="Hyperlink"/>
                <w:noProof/>
                <w:szCs w:val="26"/>
              </w:rPr>
              <w:t>Utility-Municipal Contracts, 66 Pa. C.S. § 507</w:t>
            </w:r>
            <w:r w:rsidR="007F0272" w:rsidRPr="0082628D">
              <w:rPr>
                <w:noProof/>
                <w:webHidden/>
              </w:rPr>
              <w:tab/>
            </w:r>
            <w:r w:rsidR="007F0272" w:rsidRPr="0082628D">
              <w:rPr>
                <w:noProof/>
                <w:webHidden/>
              </w:rPr>
              <w:fldChar w:fldCharType="begin"/>
            </w:r>
            <w:r w:rsidR="007F0272" w:rsidRPr="0082628D">
              <w:rPr>
                <w:noProof/>
                <w:webHidden/>
              </w:rPr>
              <w:instrText xml:space="preserve"> PAGEREF _Toc90970702 \h </w:instrText>
            </w:r>
            <w:r w:rsidR="007F0272" w:rsidRPr="0082628D">
              <w:rPr>
                <w:noProof/>
                <w:webHidden/>
              </w:rPr>
            </w:r>
            <w:r w:rsidR="007F0272" w:rsidRPr="0082628D">
              <w:rPr>
                <w:noProof/>
                <w:webHidden/>
              </w:rPr>
              <w:fldChar w:fldCharType="separate"/>
            </w:r>
            <w:r w:rsidR="004F1DF7">
              <w:rPr>
                <w:noProof/>
                <w:webHidden/>
              </w:rPr>
              <w:t>10</w:t>
            </w:r>
            <w:r w:rsidR="007F0272" w:rsidRPr="0082628D">
              <w:rPr>
                <w:noProof/>
                <w:webHidden/>
              </w:rPr>
              <w:fldChar w:fldCharType="end"/>
            </w:r>
          </w:hyperlink>
        </w:p>
        <w:p w14:paraId="3531C67D" w14:textId="75F0D111" w:rsidR="007F0272" w:rsidRPr="0082628D" w:rsidRDefault="00927F92" w:rsidP="004F1DF7">
          <w:pPr>
            <w:pStyle w:val="TOC2"/>
            <w:rPr>
              <w:rFonts w:eastAsiaTheme="minorEastAsia"/>
              <w:noProof/>
            </w:rPr>
          </w:pPr>
          <w:hyperlink w:anchor="_Toc90970703" w:history="1">
            <w:r w:rsidR="007F0272" w:rsidRPr="0082628D">
              <w:rPr>
                <w:rStyle w:val="Hyperlink"/>
                <w:noProof/>
                <w:szCs w:val="26"/>
              </w:rPr>
              <w:t>E.</w:t>
            </w:r>
            <w:r w:rsidR="007F0272" w:rsidRPr="0082628D">
              <w:rPr>
                <w:rFonts w:eastAsiaTheme="minorEastAsia"/>
                <w:noProof/>
              </w:rPr>
              <w:tab/>
            </w:r>
            <w:r w:rsidR="007F0272" w:rsidRPr="0082628D">
              <w:rPr>
                <w:rStyle w:val="Hyperlink"/>
                <w:noProof/>
                <w:szCs w:val="26"/>
              </w:rPr>
              <w:t>Settlements in the Public Interest</w:t>
            </w:r>
            <w:r w:rsidR="007F0272" w:rsidRPr="0082628D">
              <w:rPr>
                <w:noProof/>
                <w:webHidden/>
              </w:rPr>
              <w:tab/>
            </w:r>
            <w:r w:rsidR="007F0272" w:rsidRPr="0082628D">
              <w:rPr>
                <w:noProof/>
                <w:webHidden/>
              </w:rPr>
              <w:fldChar w:fldCharType="begin"/>
            </w:r>
            <w:r w:rsidR="007F0272" w:rsidRPr="0082628D">
              <w:rPr>
                <w:noProof/>
                <w:webHidden/>
              </w:rPr>
              <w:instrText xml:space="preserve"> PAGEREF _Toc90970703 \h </w:instrText>
            </w:r>
            <w:r w:rsidR="007F0272" w:rsidRPr="0082628D">
              <w:rPr>
                <w:noProof/>
                <w:webHidden/>
              </w:rPr>
            </w:r>
            <w:r w:rsidR="007F0272" w:rsidRPr="0082628D">
              <w:rPr>
                <w:noProof/>
                <w:webHidden/>
              </w:rPr>
              <w:fldChar w:fldCharType="separate"/>
            </w:r>
            <w:r w:rsidR="004F1DF7">
              <w:rPr>
                <w:noProof/>
                <w:webHidden/>
              </w:rPr>
              <w:t>11</w:t>
            </w:r>
            <w:r w:rsidR="007F0272" w:rsidRPr="0082628D">
              <w:rPr>
                <w:noProof/>
                <w:webHidden/>
              </w:rPr>
              <w:fldChar w:fldCharType="end"/>
            </w:r>
          </w:hyperlink>
        </w:p>
        <w:p w14:paraId="51987CE1" w14:textId="23FBA7A3" w:rsidR="007F0272" w:rsidRPr="0082628D" w:rsidRDefault="00927F92" w:rsidP="004F1DF7">
          <w:pPr>
            <w:pStyle w:val="TOC2"/>
            <w:rPr>
              <w:rFonts w:eastAsiaTheme="minorEastAsia"/>
              <w:noProof/>
            </w:rPr>
          </w:pPr>
          <w:hyperlink w:anchor="_Toc90970704" w:history="1">
            <w:r w:rsidR="007F0272" w:rsidRPr="0082628D">
              <w:rPr>
                <w:rStyle w:val="Hyperlink"/>
                <w:noProof/>
                <w:szCs w:val="26"/>
              </w:rPr>
              <w:t>F.</w:t>
            </w:r>
            <w:r w:rsidR="007F0272" w:rsidRPr="0082628D">
              <w:rPr>
                <w:rFonts w:eastAsiaTheme="minorEastAsia"/>
                <w:noProof/>
              </w:rPr>
              <w:tab/>
            </w:r>
            <w:r w:rsidR="007F0272" w:rsidRPr="0082628D">
              <w:rPr>
                <w:rStyle w:val="Hyperlink"/>
                <w:noProof/>
                <w:szCs w:val="26"/>
              </w:rPr>
              <w:t>General Standards</w:t>
            </w:r>
            <w:r w:rsidR="007F0272" w:rsidRPr="0082628D">
              <w:rPr>
                <w:noProof/>
                <w:webHidden/>
              </w:rPr>
              <w:tab/>
            </w:r>
            <w:r w:rsidR="007F0272" w:rsidRPr="0082628D">
              <w:rPr>
                <w:noProof/>
                <w:webHidden/>
              </w:rPr>
              <w:fldChar w:fldCharType="begin"/>
            </w:r>
            <w:r w:rsidR="007F0272" w:rsidRPr="0082628D">
              <w:rPr>
                <w:noProof/>
                <w:webHidden/>
              </w:rPr>
              <w:instrText xml:space="preserve"> PAGEREF _Toc90970704 \h </w:instrText>
            </w:r>
            <w:r w:rsidR="007F0272" w:rsidRPr="0082628D">
              <w:rPr>
                <w:noProof/>
                <w:webHidden/>
              </w:rPr>
            </w:r>
            <w:r w:rsidR="007F0272" w:rsidRPr="0082628D">
              <w:rPr>
                <w:noProof/>
                <w:webHidden/>
              </w:rPr>
              <w:fldChar w:fldCharType="separate"/>
            </w:r>
            <w:r w:rsidR="004F1DF7">
              <w:rPr>
                <w:noProof/>
                <w:webHidden/>
              </w:rPr>
              <w:t>11</w:t>
            </w:r>
            <w:r w:rsidR="007F0272" w:rsidRPr="0082628D">
              <w:rPr>
                <w:noProof/>
                <w:webHidden/>
              </w:rPr>
              <w:fldChar w:fldCharType="end"/>
            </w:r>
          </w:hyperlink>
        </w:p>
        <w:p w14:paraId="61FBB66A" w14:textId="7C228725" w:rsidR="007F0272" w:rsidRPr="0082628D" w:rsidRDefault="00927F92" w:rsidP="0082628D">
          <w:pPr>
            <w:pStyle w:val="TOC1"/>
            <w:rPr>
              <w:rFonts w:eastAsiaTheme="minorEastAsia"/>
              <w:noProof/>
              <w:szCs w:val="26"/>
            </w:rPr>
          </w:pPr>
          <w:hyperlink w:anchor="_Toc90970705" w:history="1">
            <w:r w:rsidR="007F0272" w:rsidRPr="0082628D">
              <w:rPr>
                <w:rStyle w:val="Hyperlink"/>
                <w:noProof/>
                <w:szCs w:val="26"/>
              </w:rPr>
              <w:t>III.</w:t>
            </w:r>
            <w:r w:rsidR="007F0272" w:rsidRPr="0082628D">
              <w:rPr>
                <w:rFonts w:eastAsiaTheme="minorEastAsia"/>
                <w:noProof/>
                <w:szCs w:val="26"/>
              </w:rPr>
              <w:tab/>
            </w:r>
            <w:r w:rsidR="007F0272" w:rsidRPr="0082628D">
              <w:rPr>
                <w:rStyle w:val="Hyperlink"/>
                <w:noProof/>
                <w:szCs w:val="26"/>
              </w:rPr>
              <w:t>Transaction Overview</w:t>
            </w:r>
            <w:r w:rsidR="007F0272" w:rsidRPr="0082628D">
              <w:rPr>
                <w:noProof/>
                <w:webHidden/>
                <w:szCs w:val="26"/>
              </w:rPr>
              <w:tab/>
            </w:r>
            <w:r w:rsidR="007F0272" w:rsidRPr="0082628D">
              <w:rPr>
                <w:noProof/>
                <w:webHidden/>
                <w:szCs w:val="26"/>
              </w:rPr>
              <w:fldChar w:fldCharType="begin"/>
            </w:r>
            <w:r w:rsidR="007F0272" w:rsidRPr="0082628D">
              <w:rPr>
                <w:noProof/>
                <w:webHidden/>
                <w:szCs w:val="26"/>
              </w:rPr>
              <w:instrText xml:space="preserve"> PAGEREF _Toc90970705 \h </w:instrText>
            </w:r>
            <w:r w:rsidR="007F0272" w:rsidRPr="0082628D">
              <w:rPr>
                <w:noProof/>
                <w:webHidden/>
                <w:szCs w:val="26"/>
              </w:rPr>
            </w:r>
            <w:r w:rsidR="007F0272" w:rsidRPr="0082628D">
              <w:rPr>
                <w:noProof/>
                <w:webHidden/>
                <w:szCs w:val="26"/>
              </w:rPr>
              <w:fldChar w:fldCharType="separate"/>
            </w:r>
            <w:r w:rsidR="004F1DF7">
              <w:rPr>
                <w:noProof/>
                <w:webHidden/>
                <w:szCs w:val="26"/>
              </w:rPr>
              <w:t>12</w:t>
            </w:r>
            <w:r w:rsidR="007F0272" w:rsidRPr="0082628D">
              <w:rPr>
                <w:noProof/>
                <w:webHidden/>
                <w:szCs w:val="26"/>
              </w:rPr>
              <w:fldChar w:fldCharType="end"/>
            </w:r>
          </w:hyperlink>
        </w:p>
        <w:p w14:paraId="1091ED9B" w14:textId="7ADE3C83" w:rsidR="007F0272" w:rsidRPr="0082628D" w:rsidRDefault="00927F92" w:rsidP="0082628D">
          <w:pPr>
            <w:pStyle w:val="TOC1"/>
            <w:rPr>
              <w:rFonts w:eastAsiaTheme="minorEastAsia"/>
              <w:noProof/>
              <w:szCs w:val="26"/>
            </w:rPr>
          </w:pPr>
          <w:hyperlink w:anchor="_Toc90970706" w:history="1">
            <w:r w:rsidR="007F0272" w:rsidRPr="0082628D">
              <w:rPr>
                <w:rStyle w:val="Hyperlink"/>
                <w:noProof/>
                <w:szCs w:val="26"/>
              </w:rPr>
              <w:t>IV.</w:t>
            </w:r>
            <w:r w:rsidR="007F0272" w:rsidRPr="0082628D">
              <w:rPr>
                <w:rFonts w:eastAsiaTheme="minorEastAsia"/>
                <w:noProof/>
                <w:szCs w:val="26"/>
              </w:rPr>
              <w:tab/>
            </w:r>
            <w:r w:rsidR="007F0272" w:rsidRPr="0082628D">
              <w:rPr>
                <w:rStyle w:val="Hyperlink"/>
                <w:noProof/>
                <w:szCs w:val="26"/>
              </w:rPr>
              <w:t>Joint Petition for Partial Settlement</w:t>
            </w:r>
            <w:r w:rsidR="007F0272" w:rsidRPr="0082628D">
              <w:rPr>
                <w:noProof/>
                <w:webHidden/>
                <w:szCs w:val="26"/>
              </w:rPr>
              <w:tab/>
            </w:r>
            <w:r w:rsidR="007F0272" w:rsidRPr="0082628D">
              <w:rPr>
                <w:noProof/>
                <w:webHidden/>
                <w:szCs w:val="26"/>
              </w:rPr>
              <w:fldChar w:fldCharType="begin"/>
            </w:r>
            <w:r w:rsidR="007F0272" w:rsidRPr="0082628D">
              <w:rPr>
                <w:noProof/>
                <w:webHidden/>
                <w:szCs w:val="26"/>
              </w:rPr>
              <w:instrText xml:space="preserve"> PAGEREF _Toc90970706 \h </w:instrText>
            </w:r>
            <w:r w:rsidR="007F0272" w:rsidRPr="0082628D">
              <w:rPr>
                <w:noProof/>
                <w:webHidden/>
                <w:szCs w:val="26"/>
              </w:rPr>
            </w:r>
            <w:r w:rsidR="007F0272" w:rsidRPr="0082628D">
              <w:rPr>
                <w:noProof/>
                <w:webHidden/>
                <w:szCs w:val="26"/>
              </w:rPr>
              <w:fldChar w:fldCharType="separate"/>
            </w:r>
            <w:r w:rsidR="004F1DF7">
              <w:rPr>
                <w:noProof/>
                <w:webHidden/>
                <w:szCs w:val="26"/>
              </w:rPr>
              <w:t>14</w:t>
            </w:r>
            <w:r w:rsidR="007F0272" w:rsidRPr="0082628D">
              <w:rPr>
                <w:noProof/>
                <w:webHidden/>
                <w:szCs w:val="26"/>
              </w:rPr>
              <w:fldChar w:fldCharType="end"/>
            </w:r>
          </w:hyperlink>
        </w:p>
        <w:p w14:paraId="495518C4" w14:textId="76B86FE6" w:rsidR="007F0272" w:rsidRPr="0082628D" w:rsidRDefault="00927F92" w:rsidP="004F1DF7">
          <w:pPr>
            <w:pStyle w:val="TOC2"/>
            <w:rPr>
              <w:rFonts w:eastAsiaTheme="minorEastAsia"/>
              <w:noProof/>
            </w:rPr>
          </w:pPr>
          <w:hyperlink w:anchor="_Toc90970707" w:history="1">
            <w:r w:rsidR="007F0272" w:rsidRPr="0082628D">
              <w:rPr>
                <w:rStyle w:val="Hyperlink"/>
                <w:noProof/>
                <w:szCs w:val="26"/>
              </w:rPr>
              <w:t>A.</w:t>
            </w:r>
            <w:r w:rsidR="007F0272" w:rsidRPr="0082628D">
              <w:rPr>
                <w:rFonts w:eastAsiaTheme="minorEastAsia"/>
                <w:noProof/>
              </w:rPr>
              <w:tab/>
            </w:r>
            <w:r w:rsidR="007F0272" w:rsidRPr="0082628D">
              <w:rPr>
                <w:rStyle w:val="Hyperlink"/>
                <w:noProof/>
                <w:szCs w:val="26"/>
              </w:rPr>
              <w:t>Terms and Conditions of the Partial Settlement</w:t>
            </w:r>
            <w:r w:rsidR="007F0272" w:rsidRPr="0082628D">
              <w:rPr>
                <w:noProof/>
                <w:webHidden/>
              </w:rPr>
              <w:tab/>
            </w:r>
            <w:r w:rsidR="007F0272" w:rsidRPr="0082628D">
              <w:rPr>
                <w:noProof/>
                <w:webHidden/>
              </w:rPr>
              <w:fldChar w:fldCharType="begin"/>
            </w:r>
            <w:r w:rsidR="007F0272" w:rsidRPr="0082628D">
              <w:rPr>
                <w:noProof/>
                <w:webHidden/>
              </w:rPr>
              <w:instrText xml:space="preserve"> PAGEREF _Toc90970707 \h </w:instrText>
            </w:r>
            <w:r w:rsidR="007F0272" w:rsidRPr="0082628D">
              <w:rPr>
                <w:noProof/>
                <w:webHidden/>
              </w:rPr>
            </w:r>
            <w:r w:rsidR="007F0272" w:rsidRPr="0082628D">
              <w:rPr>
                <w:noProof/>
                <w:webHidden/>
              </w:rPr>
              <w:fldChar w:fldCharType="separate"/>
            </w:r>
            <w:r w:rsidR="004F1DF7">
              <w:rPr>
                <w:noProof/>
                <w:webHidden/>
              </w:rPr>
              <w:t>14</w:t>
            </w:r>
            <w:r w:rsidR="007F0272" w:rsidRPr="0082628D">
              <w:rPr>
                <w:noProof/>
                <w:webHidden/>
              </w:rPr>
              <w:fldChar w:fldCharType="end"/>
            </w:r>
          </w:hyperlink>
        </w:p>
        <w:p w14:paraId="60A3FFA7" w14:textId="61FE02F1" w:rsidR="007F0272" w:rsidRPr="0082628D" w:rsidRDefault="00927F92" w:rsidP="004F1DF7">
          <w:pPr>
            <w:pStyle w:val="TOC2"/>
            <w:rPr>
              <w:rFonts w:eastAsiaTheme="minorEastAsia"/>
              <w:noProof/>
            </w:rPr>
          </w:pPr>
          <w:hyperlink w:anchor="_Toc90970708" w:history="1">
            <w:r w:rsidR="007F0272" w:rsidRPr="0082628D">
              <w:rPr>
                <w:rStyle w:val="Hyperlink"/>
                <w:noProof/>
                <w:szCs w:val="26"/>
              </w:rPr>
              <w:t>B.</w:t>
            </w:r>
            <w:r w:rsidR="007F0272" w:rsidRPr="0082628D">
              <w:rPr>
                <w:rFonts w:eastAsiaTheme="minorEastAsia"/>
                <w:noProof/>
              </w:rPr>
              <w:tab/>
            </w:r>
            <w:r w:rsidR="007F0272" w:rsidRPr="0082628D">
              <w:rPr>
                <w:rStyle w:val="Hyperlink"/>
                <w:noProof/>
                <w:szCs w:val="26"/>
              </w:rPr>
              <w:t>ALJ’s Recommendation on the Partial Settlement</w:t>
            </w:r>
            <w:r w:rsidR="007F0272" w:rsidRPr="0082628D">
              <w:rPr>
                <w:noProof/>
                <w:webHidden/>
              </w:rPr>
              <w:tab/>
            </w:r>
            <w:r w:rsidR="007F0272" w:rsidRPr="0082628D">
              <w:rPr>
                <w:noProof/>
                <w:webHidden/>
              </w:rPr>
              <w:fldChar w:fldCharType="begin"/>
            </w:r>
            <w:r w:rsidR="007F0272" w:rsidRPr="0082628D">
              <w:rPr>
                <w:noProof/>
                <w:webHidden/>
              </w:rPr>
              <w:instrText xml:space="preserve"> PAGEREF _Toc90970708 \h </w:instrText>
            </w:r>
            <w:r w:rsidR="007F0272" w:rsidRPr="0082628D">
              <w:rPr>
                <w:noProof/>
                <w:webHidden/>
              </w:rPr>
            </w:r>
            <w:r w:rsidR="007F0272" w:rsidRPr="0082628D">
              <w:rPr>
                <w:noProof/>
                <w:webHidden/>
              </w:rPr>
              <w:fldChar w:fldCharType="separate"/>
            </w:r>
            <w:r w:rsidR="004F1DF7">
              <w:rPr>
                <w:noProof/>
                <w:webHidden/>
              </w:rPr>
              <w:t>19</w:t>
            </w:r>
            <w:r w:rsidR="007F0272" w:rsidRPr="0082628D">
              <w:rPr>
                <w:noProof/>
                <w:webHidden/>
              </w:rPr>
              <w:fldChar w:fldCharType="end"/>
            </w:r>
          </w:hyperlink>
        </w:p>
        <w:p w14:paraId="0E938B74" w14:textId="064E9CBD" w:rsidR="007F0272" w:rsidRPr="0082628D" w:rsidRDefault="00927F92" w:rsidP="0082628D">
          <w:pPr>
            <w:pStyle w:val="TOC3"/>
            <w:rPr>
              <w:rFonts w:eastAsiaTheme="minorEastAsia"/>
              <w:noProof/>
              <w:szCs w:val="26"/>
            </w:rPr>
          </w:pPr>
          <w:hyperlink w:anchor="_Toc90970709" w:history="1">
            <w:r w:rsidR="007F0272" w:rsidRPr="0082628D">
              <w:rPr>
                <w:rStyle w:val="Hyperlink"/>
                <w:noProof/>
                <w:szCs w:val="26"/>
              </w:rPr>
              <w:t>1.</w:t>
            </w:r>
            <w:r w:rsidR="007F0272" w:rsidRPr="0082628D">
              <w:rPr>
                <w:rFonts w:eastAsiaTheme="minorEastAsia"/>
                <w:noProof/>
                <w:szCs w:val="26"/>
              </w:rPr>
              <w:tab/>
            </w:r>
            <w:r w:rsidR="007F0272" w:rsidRPr="0082628D">
              <w:rPr>
                <w:rStyle w:val="Hyperlink"/>
                <w:noProof/>
                <w:szCs w:val="26"/>
              </w:rPr>
              <w:t>Approval of Application and Acquisition</w:t>
            </w:r>
            <w:r w:rsidR="007F0272" w:rsidRPr="0082628D">
              <w:rPr>
                <w:noProof/>
                <w:webHidden/>
                <w:szCs w:val="26"/>
              </w:rPr>
              <w:tab/>
            </w:r>
            <w:r w:rsidR="007F0272" w:rsidRPr="0082628D">
              <w:rPr>
                <w:noProof/>
                <w:webHidden/>
                <w:szCs w:val="26"/>
              </w:rPr>
              <w:fldChar w:fldCharType="begin"/>
            </w:r>
            <w:r w:rsidR="007F0272" w:rsidRPr="0082628D">
              <w:rPr>
                <w:noProof/>
                <w:webHidden/>
                <w:szCs w:val="26"/>
              </w:rPr>
              <w:instrText xml:space="preserve"> PAGEREF _Toc90970709 \h </w:instrText>
            </w:r>
            <w:r w:rsidR="007F0272" w:rsidRPr="0082628D">
              <w:rPr>
                <w:noProof/>
                <w:webHidden/>
                <w:szCs w:val="26"/>
              </w:rPr>
            </w:r>
            <w:r w:rsidR="007F0272" w:rsidRPr="0082628D">
              <w:rPr>
                <w:noProof/>
                <w:webHidden/>
                <w:szCs w:val="26"/>
              </w:rPr>
              <w:fldChar w:fldCharType="separate"/>
            </w:r>
            <w:r w:rsidR="004F1DF7">
              <w:rPr>
                <w:noProof/>
                <w:webHidden/>
                <w:szCs w:val="26"/>
              </w:rPr>
              <w:t>20</w:t>
            </w:r>
            <w:r w:rsidR="007F0272" w:rsidRPr="0082628D">
              <w:rPr>
                <w:noProof/>
                <w:webHidden/>
                <w:szCs w:val="26"/>
              </w:rPr>
              <w:fldChar w:fldCharType="end"/>
            </w:r>
          </w:hyperlink>
        </w:p>
        <w:p w14:paraId="4D599630" w14:textId="52BAEA08" w:rsidR="007F0272" w:rsidRPr="0082628D" w:rsidRDefault="00927F92" w:rsidP="0082628D">
          <w:pPr>
            <w:pStyle w:val="TOC3"/>
            <w:rPr>
              <w:rFonts w:eastAsiaTheme="minorEastAsia"/>
              <w:noProof/>
              <w:szCs w:val="26"/>
            </w:rPr>
          </w:pPr>
          <w:hyperlink w:anchor="_Toc90970710" w:history="1">
            <w:r w:rsidR="007F0272" w:rsidRPr="0082628D">
              <w:rPr>
                <w:rStyle w:val="Hyperlink"/>
                <w:noProof/>
                <w:szCs w:val="26"/>
              </w:rPr>
              <w:t>2.</w:t>
            </w:r>
            <w:r w:rsidR="007F0272" w:rsidRPr="0082628D">
              <w:rPr>
                <w:rFonts w:eastAsiaTheme="minorEastAsia"/>
                <w:noProof/>
                <w:szCs w:val="26"/>
              </w:rPr>
              <w:tab/>
            </w:r>
            <w:r w:rsidR="007F0272" w:rsidRPr="0082628D">
              <w:rPr>
                <w:rStyle w:val="Hyperlink"/>
                <w:noProof/>
                <w:szCs w:val="26"/>
              </w:rPr>
              <w:t>Tariff</w:t>
            </w:r>
            <w:r w:rsidR="007F0272" w:rsidRPr="0082628D">
              <w:rPr>
                <w:noProof/>
                <w:webHidden/>
                <w:szCs w:val="26"/>
              </w:rPr>
              <w:tab/>
            </w:r>
            <w:r w:rsidR="007F0272" w:rsidRPr="0082628D">
              <w:rPr>
                <w:noProof/>
                <w:webHidden/>
                <w:szCs w:val="26"/>
              </w:rPr>
              <w:fldChar w:fldCharType="begin"/>
            </w:r>
            <w:r w:rsidR="007F0272" w:rsidRPr="0082628D">
              <w:rPr>
                <w:noProof/>
                <w:webHidden/>
                <w:szCs w:val="26"/>
              </w:rPr>
              <w:instrText xml:space="preserve"> PAGEREF _Toc90970710 \h </w:instrText>
            </w:r>
            <w:r w:rsidR="007F0272" w:rsidRPr="0082628D">
              <w:rPr>
                <w:noProof/>
                <w:webHidden/>
                <w:szCs w:val="26"/>
              </w:rPr>
            </w:r>
            <w:r w:rsidR="007F0272" w:rsidRPr="0082628D">
              <w:rPr>
                <w:noProof/>
                <w:webHidden/>
                <w:szCs w:val="26"/>
              </w:rPr>
              <w:fldChar w:fldCharType="separate"/>
            </w:r>
            <w:r w:rsidR="004F1DF7">
              <w:rPr>
                <w:noProof/>
                <w:webHidden/>
                <w:szCs w:val="26"/>
              </w:rPr>
              <w:t>21</w:t>
            </w:r>
            <w:r w:rsidR="007F0272" w:rsidRPr="0082628D">
              <w:rPr>
                <w:noProof/>
                <w:webHidden/>
                <w:szCs w:val="26"/>
              </w:rPr>
              <w:fldChar w:fldCharType="end"/>
            </w:r>
          </w:hyperlink>
        </w:p>
        <w:p w14:paraId="00E3A05C" w14:textId="5FF48A29" w:rsidR="007F0272" w:rsidRPr="0082628D" w:rsidRDefault="00927F92" w:rsidP="0082628D">
          <w:pPr>
            <w:pStyle w:val="TOC3"/>
            <w:rPr>
              <w:rFonts w:eastAsiaTheme="minorEastAsia"/>
              <w:noProof/>
              <w:szCs w:val="26"/>
            </w:rPr>
          </w:pPr>
          <w:hyperlink w:anchor="_Toc90970711" w:history="1">
            <w:r w:rsidR="007F0272" w:rsidRPr="0082628D">
              <w:rPr>
                <w:rStyle w:val="Hyperlink"/>
                <w:rFonts w:eastAsiaTheme="minorHAnsi"/>
                <w:noProof/>
                <w:szCs w:val="26"/>
              </w:rPr>
              <w:t>3.</w:t>
            </w:r>
            <w:r w:rsidR="007F0272" w:rsidRPr="0082628D">
              <w:rPr>
                <w:rFonts w:eastAsiaTheme="minorEastAsia"/>
                <w:noProof/>
                <w:szCs w:val="26"/>
              </w:rPr>
              <w:tab/>
            </w:r>
            <w:r w:rsidR="007F0272" w:rsidRPr="0082628D">
              <w:rPr>
                <w:rStyle w:val="Hyperlink"/>
                <w:rFonts w:eastAsiaTheme="minorHAnsi"/>
                <w:noProof/>
                <w:szCs w:val="26"/>
              </w:rPr>
              <w:t>Engineering Assessment</w:t>
            </w:r>
            <w:r w:rsidR="007F0272" w:rsidRPr="0082628D">
              <w:rPr>
                <w:noProof/>
                <w:webHidden/>
                <w:szCs w:val="26"/>
              </w:rPr>
              <w:tab/>
            </w:r>
            <w:r w:rsidR="007F0272" w:rsidRPr="0082628D">
              <w:rPr>
                <w:noProof/>
                <w:webHidden/>
                <w:szCs w:val="26"/>
              </w:rPr>
              <w:fldChar w:fldCharType="begin"/>
            </w:r>
            <w:r w:rsidR="007F0272" w:rsidRPr="0082628D">
              <w:rPr>
                <w:noProof/>
                <w:webHidden/>
                <w:szCs w:val="26"/>
              </w:rPr>
              <w:instrText xml:space="preserve"> PAGEREF _Toc90970711 \h </w:instrText>
            </w:r>
            <w:r w:rsidR="007F0272" w:rsidRPr="0082628D">
              <w:rPr>
                <w:noProof/>
                <w:webHidden/>
                <w:szCs w:val="26"/>
              </w:rPr>
            </w:r>
            <w:r w:rsidR="007F0272" w:rsidRPr="0082628D">
              <w:rPr>
                <w:noProof/>
                <w:webHidden/>
                <w:szCs w:val="26"/>
              </w:rPr>
              <w:fldChar w:fldCharType="separate"/>
            </w:r>
            <w:r w:rsidR="004F1DF7">
              <w:rPr>
                <w:noProof/>
                <w:webHidden/>
                <w:szCs w:val="26"/>
              </w:rPr>
              <w:t>21</w:t>
            </w:r>
            <w:r w:rsidR="007F0272" w:rsidRPr="0082628D">
              <w:rPr>
                <w:noProof/>
                <w:webHidden/>
                <w:szCs w:val="26"/>
              </w:rPr>
              <w:fldChar w:fldCharType="end"/>
            </w:r>
          </w:hyperlink>
        </w:p>
        <w:p w14:paraId="378B92A2" w14:textId="02F55F04" w:rsidR="007F0272" w:rsidRPr="0082628D" w:rsidRDefault="00927F92" w:rsidP="0082628D">
          <w:pPr>
            <w:pStyle w:val="TOC3"/>
            <w:rPr>
              <w:rFonts w:eastAsiaTheme="minorEastAsia"/>
              <w:noProof/>
              <w:szCs w:val="26"/>
            </w:rPr>
          </w:pPr>
          <w:hyperlink w:anchor="_Toc90970712" w:history="1">
            <w:r w:rsidR="007F0272" w:rsidRPr="0082628D">
              <w:rPr>
                <w:rStyle w:val="Hyperlink"/>
                <w:noProof/>
                <w:szCs w:val="26"/>
              </w:rPr>
              <w:t>4.</w:t>
            </w:r>
            <w:r w:rsidR="007F0272" w:rsidRPr="0082628D">
              <w:rPr>
                <w:rFonts w:eastAsiaTheme="minorEastAsia"/>
                <w:noProof/>
                <w:szCs w:val="26"/>
              </w:rPr>
              <w:tab/>
            </w:r>
            <w:r w:rsidR="007F0272" w:rsidRPr="0082628D">
              <w:rPr>
                <w:rStyle w:val="Hyperlink"/>
                <w:noProof/>
                <w:szCs w:val="26"/>
              </w:rPr>
              <w:t>Easements and Other Property Rights</w:t>
            </w:r>
            <w:r w:rsidR="007F0272" w:rsidRPr="0082628D">
              <w:rPr>
                <w:noProof/>
                <w:webHidden/>
                <w:szCs w:val="26"/>
              </w:rPr>
              <w:tab/>
            </w:r>
            <w:r w:rsidR="007F0272" w:rsidRPr="0082628D">
              <w:rPr>
                <w:noProof/>
                <w:webHidden/>
                <w:szCs w:val="26"/>
              </w:rPr>
              <w:fldChar w:fldCharType="begin"/>
            </w:r>
            <w:r w:rsidR="007F0272" w:rsidRPr="0082628D">
              <w:rPr>
                <w:noProof/>
                <w:webHidden/>
                <w:szCs w:val="26"/>
              </w:rPr>
              <w:instrText xml:space="preserve"> PAGEREF _Toc90970712 \h </w:instrText>
            </w:r>
            <w:r w:rsidR="007F0272" w:rsidRPr="0082628D">
              <w:rPr>
                <w:noProof/>
                <w:webHidden/>
                <w:szCs w:val="26"/>
              </w:rPr>
            </w:r>
            <w:r w:rsidR="007F0272" w:rsidRPr="0082628D">
              <w:rPr>
                <w:noProof/>
                <w:webHidden/>
                <w:szCs w:val="26"/>
              </w:rPr>
              <w:fldChar w:fldCharType="separate"/>
            </w:r>
            <w:r w:rsidR="004F1DF7">
              <w:rPr>
                <w:noProof/>
                <w:webHidden/>
                <w:szCs w:val="26"/>
              </w:rPr>
              <w:t>22</w:t>
            </w:r>
            <w:r w:rsidR="007F0272" w:rsidRPr="0082628D">
              <w:rPr>
                <w:noProof/>
                <w:webHidden/>
                <w:szCs w:val="26"/>
              </w:rPr>
              <w:fldChar w:fldCharType="end"/>
            </w:r>
          </w:hyperlink>
        </w:p>
        <w:p w14:paraId="008526F3" w14:textId="1A01C348" w:rsidR="007F0272" w:rsidRPr="0082628D" w:rsidRDefault="00927F92" w:rsidP="0082628D">
          <w:pPr>
            <w:pStyle w:val="TOC3"/>
            <w:rPr>
              <w:rFonts w:eastAsiaTheme="minorEastAsia"/>
              <w:noProof/>
              <w:szCs w:val="26"/>
            </w:rPr>
          </w:pPr>
          <w:hyperlink w:anchor="_Toc90970713" w:history="1">
            <w:r w:rsidR="007F0272" w:rsidRPr="0082628D">
              <w:rPr>
                <w:rStyle w:val="Hyperlink"/>
                <w:noProof/>
                <w:szCs w:val="26"/>
              </w:rPr>
              <w:t>5.</w:t>
            </w:r>
            <w:r w:rsidR="007F0272" w:rsidRPr="0082628D">
              <w:rPr>
                <w:rFonts w:eastAsiaTheme="minorEastAsia"/>
                <w:noProof/>
                <w:szCs w:val="26"/>
              </w:rPr>
              <w:tab/>
            </w:r>
            <w:r w:rsidR="007F0272" w:rsidRPr="0082628D">
              <w:rPr>
                <w:rStyle w:val="Hyperlink"/>
                <w:noProof/>
                <w:szCs w:val="26"/>
              </w:rPr>
              <w:t>Cost of Service Study</w:t>
            </w:r>
            <w:r w:rsidR="007F0272" w:rsidRPr="0082628D">
              <w:rPr>
                <w:noProof/>
                <w:webHidden/>
                <w:szCs w:val="26"/>
              </w:rPr>
              <w:tab/>
            </w:r>
            <w:r w:rsidR="007F0272" w:rsidRPr="0082628D">
              <w:rPr>
                <w:noProof/>
                <w:webHidden/>
                <w:szCs w:val="26"/>
              </w:rPr>
              <w:fldChar w:fldCharType="begin"/>
            </w:r>
            <w:r w:rsidR="007F0272" w:rsidRPr="0082628D">
              <w:rPr>
                <w:noProof/>
                <w:webHidden/>
                <w:szCs w:val="26"/>
              </w:rPr>
              <w:instrText xml:space="preserve"> PAGEREF _Toc90970713 \h </w:instrText>
            </w:r>
            <w:r w:rsidR="007F0272" w:rsidRPr="0082628D">
              <w:rPr>
                <w:noProof/>
                <w:webHidden/>
                <w:szCs w:val="26"/>
              </w:rPr>
            </w:r>
            <w:r w:rsidR="007F0272" w:rsidRPr="0082628D">
              <w:rPr>
                <w:noProof/>
                <w:webHidden/>
                <w:szCs w:val="26"/>
              </w:rPr>
              <w:fldChar w:fldCharType="separate"/>
            </w:r>
            <w:r w:rsidR="004F1DF7">
              <w:rPr>
                <w:noProof/>
                <w:webHidden/>
                <w:szCs w:val="26"/>
              </w:rPr>
              <w:t>23</w:t>
            </w:r>
            <w:r w:rsidR="007F0272" w:rsidRPr="0082628D">
              <w:rPr>
                <w:noProof/>
                <w:webHidden/>
                <w:szCs w:val="26"/>
              </w:rPr>
              <w:fldChar w:fldCharType="end"/>
            </w:r>
          </w:hyperlink>
        </w:p>
        <w:p w14:paraId="0F33EBE8" w14:textId="192335ED" w:rsidR="007F0272" w:rsidRPr="0082628D" w:rsidRDefault="00927F92" w:rsidP="0082628D">
          <w:pPr>
            <w:pStyle w:val="TOC3"/>
            <w:rPr>
              <w:rFonts w:eastAsiaTheme="minorEastAsia"/>
              <w:noProof/>
              <w:szCs w:val="26"/>
            </w:rPr>
          </w:pPr>
          <w:hyperlink w:anchor="_Toc90970714" w:history="1">
            <w:r w:rsidR="007F0272" w:rsidRPr="0082628D">
              <w:rPr>
                <w:rStyle w:val="Hyperlink"/>
                <w:noProof/>
                <w:szCs w:val="26"/>
              </w:rPr>
              <w:t>6.</w:t>
            </w:r>
            <w:r w:rsidR="007F0272" w:rsidRPr="0082628D">
              <w:rPr>
                <w:rFonts w:eastAsiaTheme="minorEastAsia"/>
                <w:noProof/>
                <w:szCs w:val="26"/>
              </w:rPr>
              <w:tab/>
            </w:r>
            <w:r w:rsidR="007F0272" w:rsidRPr="0082628D">
              <w:rPr>
                <w:rStyle w:val="Hyperlink"/>
                <w:noProof/>
                <w:szCs w:val="26"/>
              </w:rPr>
              <w:t>Allowance for Funds Used During Construction, Deferral of Depreciation and Transaction Costs</w:t>
            </w:r>
            <w:r w:rsidR="007F0272" w:rsidRPr="0082628D">
              <w:rPr>
                <w:noProof/>
                <w:webHidden/>
                <w:szCs w:val="26"/>
              </w:rPr>
              <w:tab/>
            </w:r>
            <w:r w:rsidR="007F0272" w:rsidRPr="0082628D">
              <w:rPr>
                <w:noProof/>
                <w:webHidden/>
                <w:szCs w:val="26"/>
              </w:rPr>
              <w:fldChar w:fldCharType="begin"/>
            </w:r>
            <w:r w:rsidR="007F0272" w:rsidRPr="0082628D">
              <w:rPr>
                <w:noProof/>
                <w:webHidden/>
                <w:szCs w:val="26"/>
              </w:rPr>
              <w:instrText xml:space="preserve"> PAGEREF _Toc90970714 \h </w:instrText>
            </w:r>
            <w:r w:rsidR="007F0272" w:rsidRPr="0082628D">
              <w:rPr>
                <w:noProof/>
                <w:webHidden/>
                <w:szCs w:val="26"/>
              </w:rPr>
            </w:r>
            <w:r w:rsidR="007F0272" w:rsidRPr="0082628D">
              <w:rPr>
                <w:noProof/>
                <w:webHidden/>
                <w:szCs w:val="26"/>
              </w:rPr>
              <w:fldChar w:fldCharType="separate"/>
            </w:r>
            <w:r w:rsidR="004F1DF7">
              <w:rPr>
                <w:noProof/>
                <w:webHidden/>
                <w:szCs w:val="26"/>
              </w:rPr>
              <w:t>24</w:t>
            </w:r>
            <w:r w:rsidR="007F0272" w:rsidRPr="0082628D">
              <w:rPr>
                <w:noProof/>
                <w:webHidden/>
                <w:szCs w:val="26"/>
              </w:rPr>
              <w:fldChar w:fldCharType="end"/>
            </w:r>
          </w:hyperlink>
        </w:p>
        <w:p w14:paraId="55EDDC87" w14:textId="25871D8D" w:rsidR="007F0272" w:rsidRPr="0082628D" w:rsidRDefault="00927F92" w:rsidP="0082628D">
          <w:pPr>
            <w:pStyle w:val="TOC3"/>
            <w:rPr>
              <w:rFonts w:eastAsiaTheme="minorEastAsia"/>
              <w:noProof/>
              <w:szCs w:val="26"/>
            </w:rPr>
          </w:pPr>
          <w:hyperlink w:anchor="_Toc90970715" w:history="1">
            <w:r w:rsidR="007F0272" w:rsidRPr="0082628D">
              <w:rPr>
                <w:rStyle w:val="Hyperlink"/>
                <w:noProof/>
                <w:szCs w:val="26"/>
              </w:rPr>
              <w:t>7.</w:t>
            </w:r>
            <w:r w:rsidR="007F0272" w:rsidRPr="0082628D">
              <w:rPr>
                <w:rFonts w:eastAsiaTheme="minorEastAsia"/>
                <w:noProof/>
                <w:szCs w:val="26"/>
              </w:rPr>
              <w:tab/>
            </w:r>
            <w:r w:rsidR="007F0272" w:rsidRPr="0082628D">
              <w:rPr>
                <w:rStyle w:val="Hyperlink"/>
                <w:noProof/>
                <w:szCs w:val="26"/>
              </w:rPr>
              <w:t>Long Term Infrastructure Improvement Plan and Distribution System Improvement Charge</w:t>
            </w:r>
            <w:r w:rsidR="007F0272" w:rsidRPr="0082628D">
              <w:rPr>
                <w:noProof/>
                <w:webHidden/>
                <w:szCs w:val="26"/>
              </w:rPr>
              <w:tab/>
            </w:r>
            <w:r w:rsidR="007F0272" w:rsidRPr="0082628D">
              <w:rPr>
                <w:noProof/>
                <w:webHidden/>
                <w:szCs w:val="26"/>
              </w:rPr>
              <w:fldChar w:fldCharType="begin"/>
            </w:r>
            <w:r w:rsidR="007F0272" w:rsidRPr="0082628D">
              <w:rPr>
                <w:noProof/>
                <w:webHidden/>
                <w:szCs w:val="26"/>
              </w:rPr>
              <w:instrText xml:space="preserve"> PAGEREF _Toc90970715 \h </w:instrText>
            </w:r>
            <w:r w:rsidR="007F0272" w:rsidRPr="0082628D">
              <w:rPr>
                <w:noProof/>
                <w:webHidden/>
                <w:szCs w:val="26"/>
              </w:rPr>
            </w:r>
            <w:r w:rsidR="007F0272" w:rsidRPr="0082628D">
              <w:rPr>
                <w:noProof/>
                <w:webHidden/>
                <w:szCs w:val="26"/>
              </w:rPr>
              <w:fldChar w:fldCharType="separate"/>
            </w:r>
            <w:r w:rsidR="004F1DF7">
              <w:rPr>
                <w:noProof/>
                <w:webHidden/>
                <w:szCs w:val="26"/>
              </w:rPr>
              <w:t>24</w:t>
            </w:r>
            <w:r w:rsidR="007F0272" w:rsidRPr="0082628D">
              <w:rPr>
                <w:noProof/>
                <w:webHidden/>
                <w:szCs w:val="26"/>
              </w:rPr>
              <w:fldChar w:fldCharType="end"/>
            </w:r>
          </w:hyperlink>
        </w:p>
        <w:p w14:paraId="213203B2" w14:textId="610A50F6" w:rsidR="007F0272" w:rsidRPr="0082628D" w:rsidRDefault="00927F92" w:rsidP="0082628D">
          <w:pPr>
            <w:pStyle w:val="TOC3"/>
            <w:rPr>
              <w:rFonts w:eastAsiaTheme="minorEastAsia"/>
              <w:noProof/>
              <w:szCs w:val="26"/>
            </w:rPr>
          </w:pPr>
          <w:hyperlink w:anchor="_Toc90970716" w:history="1">
            <w:r w:rsidR="007F0272" w:rsidRPr="0082628D">
              <w:rPr>
                <w:rStyle w:val="Hyperlink"/>
                <w:noProof/>
                <w:szCs w:val="26"/>
              </w:rPr>
              <w:t>8.</w:t>
            </w:r>
            <w:r w:rsidR="007F0272" w:rsidRPr="0082628D">
              <w:rPr>
                <w:rFonts w:eastAsiaTheme="minorEastAsia"/>
                <w:noProof/>
                <w:szCs w:val="26"/>
              </w:rPr>
              <w:tab/>
            </w:r>
            <w:r w:rsidR="007F0272" w:rsidRPr="0082628D">
              <w:rPr>
                <w:rStyle w:val="Hyperlink"/>
                <w:noProof/>
                <w:szCs w:val="26"/>
              </w:rPr>
              <w:t>Township Rates</w:t>
            </w:r>
            <w:r w:rsidR="007F0272" w:rsidRPr="0082628D">
              <w:rPr>
                <w:noProof/>
                <w:webHidden/>
                <w:szCs w:val="26"/>
              </w:rPr>
              <w:tab/>
            </w:r>
            <w:r w:rsidR="007F0272" w:rsidRPr="0082628D">
              <w:rPr>
                <w:noProof/>
                <w:webHidden/>
                <w:szCs w:val="26"/>
              </w:rPr>
              <w:fldChar w:fldCharType="begin"/>
            </w:r>
            <w:r w:rsidR="007F0272" w:rsidRPr="0082628D">
              <w:rPr>
                <w:noProof/>
                <w:webHidden/>
                <w:szCs w:val="26"/>
              </w:rPr>
              <w:instrText xml:space="preserve"> PAGEREF _Toc90970716 \h </w:instrText>
            </w:r>
            <w:r w:rsidR="007F0272" w:rsidRPr="0082628D">
              <w:rPr>
                <w:noProof/>
                <w:webHidden/>
                <w:szCs w:val="26"/>
              </w:rPr>
            </w:r>
            <w:r w:rsidR="007F0272" w:rsidRPr="0082628D">
              <w:rPr>
                <w:noProof/>
                <w:webHidden/>
                <w:szCs w:val="26"/>
              </w:rPr>
              <w:fldChar w:fldCharType="separate"/>
            </w:r>
            <w:r w:rsidR="004F1DF7">
              <w:rPr>
                <w:noProof/>
                <w:webHidden/>
                <w:szCs w:val="26"/>
              </w:rPr>
              <w:t>25</w:t>
            </w:r>
            <w:r w:rsidR="007F0272" w:rsidRPr="0082628D">
              <w:rPr>
                <w:noProof/>
                <w:webHidden/>
                <w:szCs w:val="26"/>
              </w:rPr>
              <w:fldChar w:fldCharType="end"/>
            </w:r>
          </w:hyperlink>
        </w:p>
        <w:p w14:paraId="16C47AF7" w14:textId="7F19DB19" w:rsidR="007F0272" w:rsidRPr="0082628D" w:rsidRDefault="00927F92" w:rsidP="0082628D">
          <w:pPr>
            <w:pStyle w:val="TOC3"/>
            <w:rPr>
              <w:rFonts w:eastAsiaTheme="minorEastAsia"/>
              <w:noProof/>
              <w:szCs w:val="26"/>
            </w:rPr>
          </w:pPr>
          <w:hyperlink w:anchor="_Toc90970717" w:history="1">
            <w:r w:rsidR="007F0272" w:rsidRPr="0082628D">
              <w:rPr>
                <w:rStyle w:val="Hyperlink"/>
                <w:noProof/>
                <w:szCs w:val="26"/>
              </w:rPr>
              <w:t>9.</w:t>
            </w:r>
            <w:r w:rsidR="007F0272" w:rsidRPr="0082628D">
              <w:rPr>
                <w:rFonts w:eastAsiaTheme="minorEastAsia"/>
                <w:noProof/>
                <w:szCs w:val="26"/>
              </w:rPr>
              <w:tab/>
            </w:r>
            <w:r w:rsidR="007F0272" w:rsidRPr="0082628D">
              <w:rPr>
                <w:rStyle w:val="Hyperlink"/>
                <w:noProof/>
                <w:szCs w:val="26"/>
              </w:rPr>
              <w:t>Welcome Letter</w:t>
            </w:r>
            <w:r w:rsidR="007F0272" w:rsidRPr="0082628D">
              <w:rPr>
                <w:noProof/>
                <w:webHidden/>
                <w:szCs w:val="26"/>
              </w:rPr>
              <w:tab/>
            </w:r>
            <w:r w:rsidR="007F0272" w:rsidRPr="0082628D">
              <w:rPr>
                <w:noProof/>
                <w:webHidden/>
                <w:szCs w:val="26"/>
              </w:rPr>
              <w:fldChar w:fldCharType="begin"/>
            </w:r>
            <w:r w:rsidR="007F0272" w:rsidRPr="0082628D">
              <w:rPr>
                <w:noProof/>
                <w:webHidden/>
                <w:szCs w:val="26"/>
              </w:rPr>
              <w:instrText xml:space="preserve"> PAGEREF _Toc90970717 \h </w:instrText>
            </w:r>
            <w:r w:rsidR="007F0272" w:rsidRPr="0082628D">
              <w:rPr>
                <w:noProof/>
                <w:webHidden/>
                <w:szCs w:val="26"/>
              </w:rPr>
            </w:r>
            <w:r w:rsidR="007F0272" w:rsidRPr="0082628D">
              <w:rPr>
                <w:noProof/>
                <w:webHidden/>
                <w:szCs w:val="26"/>
              </w:rPr>
              <w:fldChar w:fldCharType="separate"/>
            </w:r>
            <w:r w:rsidR="004F1DF7">
              <w:rPr>
                <w:noProof/>
                <w:webHidden/>
                <w:szCs w:val="26"/>
              </w:rPr>
              <w:t>26</w:t>
            </w:r>
            <w:r w:rsidR="007F0272" w:rsidRPr="0082628D">
              <w:rPr>
                <w:noProof/>
                <w:webHidden/>
                <w:szCs w:val="26"/>
              </w:rPr>
              <w:fldChar w:fldCharType="end"/>
            </w:r>
          </w:hyperlink>
        </w:p>
        <w:p w14:paraId="0AAE0B28" w14:textId="6A7BBB10" w:rsidR="007F0272" w:rsidRPr="0082628D" w:rsidRDefault="00927F92" w:rsidP="0082628D">
          <w:pPr>
            <w:pStyle w:val="TOC3"/>
            <w:rPr>
              <w:rFonts w:eastAsiaTheme="minorEastAsia"/>
              <w:noProof/>
              <w:szCs w:val="26"/>
            </w:rPr>
          </w:pPr>
          <w:hyperlink w:anchor="_Toc90970718" w:history="1">
            <w:r w:rsidR="007F0272" w:rsidRPr="0082628D">
              <w:rPr>
                <w:rStyle w:val="Hyperlink"/>
                <w:noProof/>
                <w:szCs w:val="26"/>
              </w:rPr>
              <w:t>10.</w:t>
            </w:r>
            <w:r w:rsidR="007F0272" w:rsidRPr="0082628D">
              <w:rPr>
                <w:rFonts w:eastAsiaTheme="minorEastAsia"/>
                <w:noProof/>
                <w:szCs w:val="26"/>
              </w:rPr>
              <w:tab/>
            </w:r>
            <w:r w:rsidR="007F0272" w:rsidRPr="0082628D">
              <w:rPr>
                <w:rStyle w:val="Hyperlink"/>
                <w:noProof/>
                <w:szCs w:val="26"/>
              </w:rPr>
              <w:t>Legal Fees</w:t>
            </w:r>
            <w:r w:rsidR="007F0272" w:rsidRPr="0082628D">
              <w:rPr>
                <w:noProof/>
                <w:webHidden/>
                <w:szCs w:val="26"/>
              </w:rPr>
              <w:tab/>
            </w:r>
            <w:r w:rsidR="007F0272" w:rsidRPr="0082628D">
              <w:rPr>
                <w:noProof/>
                <w:webHidden/>
                <w:szCs w:val="26"/>
              </w:rPr>
              <w:fldChar w:fldCharType="begin"/>
            </w:r>
            <w:r w:rsidR="007F0272" w:rsidRPr="0082628D">
              <w:rPr>
                <w:noProof/>
                <w:webHidden/>
                <w:szCs w:val="26"/>
              </w:rPr>
              <w:instrText xml:space="preserve"> PAGEREF _Toc90970718 \h </w:instrText>
            </w:r>
            <w:r w:rsidR="007F0272" w:rsidRPr="0082628D">
              <w:rPr>
                <w:noProof/>
                <w:webHidden/>
                <w:szCs w:val="26"/>
              </w:rPr>
            </w:r>
            <w:r w:rsidR="007F0272" w:rsidRPr="0082628D">
              <w:rPr>
                <w:noProof/>
                <w:webHidden/>
                <w:szCs w:val="26"/>
              </w:rPr>
              <w:fldChar w:fldCharType="separate"/>
            </w:r>
            <w:r w:rsidR="004F1DF7">
              <w:rPr>
                <w:noProof/>
                <w:webHidden/>
                <w:szCs w:val="26"/>
              </w:rPr>
              <w:t>26</w:t>
            </w:r>
            <w:r w:rsidR="007F0272" w:rsidRPr="0082628D">
              <w:rPr>
                <w:noProof/>
                <w:webHidden/>
                <w:szCs w:val="26"/>
              </w:rPr>
              <w:fldChar w:fldCharType="end"/>
            </w:r>
          </w:hyperlink>
        </w:p>
        <w:p w14:paraId="51EEC490" w14:textId="312D55FB" w:rsidR="007F0272" w:rsidRPr="0082628D" w:rsidRDefault="00927F92" w:rsidP="0082628D">
          <w:pPr>
            <w:pStyle w:val="TOC3"/>
            <w:rPr>
              <w:rFonts w:eastAsiaTheme="minorEastAsia"/>
              <w:noProof/>
              <w:szCs w:val="26"/>
            </w:rPr>
          </w:pPr>
          <w:hyperlink w:anchor="_Toc90970719" w:history="1">
            <w:r w:rsidR="007F0272" w:rsidRPr="0082628D">
              <w:rPr>
                <w:rStyle w:val="Hyperlink"/>
                <w:noProof/>
                <w:szCs w:val="26"/>
              </w:rPr>
              <w:t>11.</w:t>
            </w:r>
            <w:r w:rsidR="007F0272" w:rsidRPr="0082628D">
              <w:rPr>
                <w:rFonts w:eastAsiaTheme="minorEastAsia"/>
                <w:noProof/>
                <w:szCs w:val="26"/>
              </w:rPr>
              <w:tab/>
            </w:r>
            <w:r w:rsidR="007F0272" w:rsidRPr="0082628D">
              <w:rPr>
                <w:rStyle w:val="Hyperlink"/>
                <w:noProof/>
                <w:szCs w:val="26"/>
              </w:rPr>
              <w:t>Section 507 Approval and Other Approvals, Certificates, Registrations and Relief, if any, under the Code</w:t>
            </w:r>
            <w:r w:rsidR="007F0272" w:rsidRPr="0082628D">
              <w:rPr>
                <w:noProof/>
                <w:webHidden/>
                <w:szCs w:val="26"/>
              </w:rPr>
              <w:tab/>
            </w:r>
            <w:r w:rsidR="007F0272" w:rsidRPr="0082628D">
              <w:rPr>
                <w:noProof/>
                <w:webHidden/>
                <w:szCs w:val="26"/>
              </w:rPr>
              <w:fldChar w:fldCharType="begin"/>
            </w:r>
            <w:r w:rsidR="007F0272" w:rsidRPr="0082628D">
              <w:rPr>
                <w:noProof/>
                <w:webHidden/>
                <w:szCs w:val="26"/>
              </w:rPr>
              <w:instrText xml:space="preserve"> PAGEREF _Toc90970719 \h </w:instrText>
            </w:r>
            <w:r w:rsidR="007F0272" w:rsidRPr="0082628D">
              <w:rPr>
                <w:noProof/>
                <w:webHidden/>
                <w:szCs w:val="26"/>
              </w:rPr>
            </w:r>
            <w:r w:rsidR="007F0272" w:rsidRPr="0082628D">
              <w:rPr>
                <w:noProof/>
                <w:webHidden/>
                <w:szCs w:val="26"/>
              </w:rPr>
              <w:fldChar w:fldCharType="separate"/>
            </w:r>
            <w:r w:rsidR="004F1DF7">
              <w:rPr>
                <w:noProof/>
                <w:webHidden/>
                <w:szCs w:val="26"/>
              </w:rPr>
              <w:t>27</w:t>
            </w:r>
            <w:r w:rsidR="007F0272" w:rsidRPr="0082628D">
              <w:rPr>
                <w:noProof/>
                <w:webHidden/>
                <w:szCs w:val="26"/>
              </w:rPr>
              <w:fldChar w:fldCharType="end"/>
            </w:r>
          </w:hyperlink>
        </w:p>
        <w:p w14:paraId="4FF7A9A5" w14:textId="78842B60" w:rsidR="007F0272" w:rsidRPr="0082628D" w:rsidRDefault="00927F92" w:rsidP="004F1DF7">
          <w:pPr>
            <w:pStyle w:val="TOC2"/>
            <w:rPr>
              <w:rFonts w:eastAsiaTheme="minorEastAsia"/>
              <w:noProof/>
            </w:rPr>
          </w:pPr>
          <w:hyperlink w:anchor="_Toc90970720" w:history="1">
            <w:r w:rsidR="007F0272" w:rsidRPr="0082628D">
              <w:rPr>
                <w:rStyle w:val="Hyperlink"/>
                <w:noProof/>
                <w:szCs w:val="26"/>
              </w:rPr>
              <w:t>C.</w:t>
            </w:r>
            <w:r w:rsidR="007F0272" w:rsidRPr="0082628D">
              <w:rPr>
                <w:rFonts w:eastAsiaTheme="minorEastAsia"/>
                <w:noProof/>
              </w:rPr>
              <w:tab/>
            </w:r>
            <w:r w:rsidR="007F0272" w:rsidRPr="0082628D">
              <w:rPr>
                <w:rStyle w:val="Hyperlink"/>
                <w:noProof/>
                <w:szCs w:val="26"/>
              </w:rPr>
              <w:t>Public Interest Analysis of the Settlement</w:t>
            </w:r>
            <w:r w:rsidR="007F0272" w:rsidRPr="0082628D">
              <w:rPr>
                <w:noProof/>
                <w:webHidden/>
              </w:rPr>
              <w:tab/>
            </w:r>
            <w:r w:rsidR="007F0272" w:rsidRPr="0082628D">
              <w:rPr>
                <w:noProof/>
                <w:webHidden/>
              </w:rPr>
              <w:fldChar w:fldCharType="begin"/>
            </w:r>
            <w:r w:rsidR="007F0272" w:rsidRPr="0082628D">
              <w:rPr>
                <w:noProof/>
                <w:webHidden/>
              </w:rPr>
              <w:instrText xml:space="preserve"> PAGEREF _Toc90970720 \h </w:instrText>
            </w:r>
            <w:r w:rsidR="007F0272" w:rsidRPr="0082628D">
              <w:rPr>
                <w:noProof/>
                <w:webHidden/>
              </w:rPr>
            </w:r>
            <w:r w:rsidR="007F0272" w:rsidRPr="0082628D">
              <w:rPr>
                <w:noProof/>
                <w:webHidden/>
              </w:rPr>
              <w:fldChar w:fldCharType="separate"/>
            </w:r>
            <w:r w:rsidR="004F1DF7">
              <w:rPr>
                <w:noProof/>
                <w:webHidden/>
              </w:rPr>
              <w:t>27</w:t>
            </w:r>
            <w:r w:rsidR="007F0272" w:rsidRPr="0082628D">
              <w:rPr>
                <w:noProof/>
                <w:webHidden/>
              </w:rPr>
              <w:fldChar w:fldCharType="end"/>
            </w:r>
          </w:hyperlink>
        </w:p>
        <w:p w14:paraId="6B33F6E8" w14:textId="54E4E064" w:rsidR="007F0272" w:rsidRPr="0082628D" w:rsidRDefault="00927F92" w:rsidP="0082628D">
          <w:pPr>
            <w:pStyle w:val="TOC1"/>
            <w:rPr>
              <w:rFonts w:eastAsiaTheme="minorEastAsia"/>
              <w:noProof/>
              <w:szCs w:val="26"/>
            </w:rPr>
          </w:pPr>
          <w:hyperlink w:anchor="_Toc90970721" w:history="1">
            <w:r w:rsidR="007F0272" w:rsidRPr="0082628D">
              <w:rPr>
                <w:rStyle w:val="Hyperlink"/>
                <w:noProof/>
                <w:szCs w:val="26"/>
              </w:rPr>
              <w:t>V.</w:t>
            </w:r>
            <w:r w:rsidR="007F0272" w:rsidRPr="0082628D">
              <w:rPr>
                <w:rFonts w:eastAsiaTheme="minorEastAsia"/>
                <w:noProof/>
                <w:szCs w:val="26"/>
              </w:rPr>
              <w:tab/>
            </w:r>
            <w:r w:rsidR="007F0272" w:rsidRPr="0082628D">
              <w:rPr>
                <w:rStyle w:val="Hyperlink"/>
                <w:noProof/>
                <w:szCs w:val="26"/>
              </w:rPr>
              <w:t>Unresolved Issues</w:t>
            </w:r>
            <w:r w:rsidR="007F0272" w:rsidRPr="0082628D">
              <w:rPr>
                <w:noProof/>
                <w:webHidden/>
                <w:szCs w:val="26"/>
              </w:rPr>
              <w:tab/>
            </w:r>
            <w:r w:rsidR="007F0272" w:rsidRPr="0082628D">
              <w:rPr>
                <w:noProof/>
                <w:webHidden/>
                <w:szCs w:val="26"/>
              </w:rPr>
              <w:fldChar w:fldCharType="begin"/>
            </w:r>
            <w:r w:rsidR="007F0272" w:rsidRPr="0082628D">
              <w:rPr>
                <w:noProof/>
                <w:webHidden/>
                <w:szCs w:val="26"/>
              </w:rPr>
              <w:instrText xml:space="preserve"> PAGEREF _Toc90970721 \h </w:instrText>
            </w:r>
            <w:r w:rsidR="007F0272" w:rsidRPr="0082628D">
              <w:rPr>
                <w:noProof/>
                <w:webHidden/>
                <w:szCs w:val="26"/>
              </w:rPr>
            </w:r>
            <w:r w:rsidR="007F0272" w:rsidRPr="0082628D">
              <w:rPr>
                <w:noProof/>
                <w:webHidden/>
                <w:szCs w:val="26"/>
              </w:rPr>
              <w:fldChar w:fldCharType="separate"/>
            </w:r>
            <w:r w:rsidR="004F1DF7">
              <w:rPr>
                <w:noProof/>
                <w:webHidden/>
                <w:szCs w:val="26"/>
              </w:rPr>
              <w:t>28</w:t>
            </w:r>
            <w:r w:rsidR="007F0272" w:rsidRPr="0082628D">
              <w:rPr>
                <w:noProof/>
                <w:webHidden/>
                <w:szCs w:val="26"/>
              </w:rPr>
              <w:fldChar w:fldCharType="end"/>
            </w:r>
          </w:hyperlink>
        </w:p>
        <w:p w14:paraId="43940590" w14:textId="705FBDA0" w:rsidR="007F0272" w:rsidRPr="0082628D" w:rsidRDefault="00927F92" w:rsidP="004F1DF7">
          <w:pPr>
            <w:pStyle w:val="TOC2"/>
            <w:rPr>
              <w:rFonts w:eastAsiaTheme="minorEastAsia"/>
              <w:noProof/>
            </w:rPr>
          </w:pPr>
          <w:hyperlink w:anchor="_Toc90970722" w:history="1">
            <w:r w:rsidR="007F0272" w:rsidRPr="0082628D">
              <w:rPr>
                <w:rStyle w:val="Hyperlink"/>
                <w:noProof/>
                <w:szCs w:val="26"/>
              </w:rPr>
              <w:t>A.</w:t>
            </w:r>
            <w:r w:rsidR="007F0272" w:rsidRPr="0082628D">
              <w:rPr>
                <w:rFonts w:eastAsiaTheme="minorEastAsia"/>
                <w:noProof/>
              </w:rPr>
              <w:tab/>
            </w:r>
            <w:r w:rsidR="007F0272" w:rsidRPr="0082628D">
              <w:rPr>
                <w:rStyle w:val="Hyperlink"/>
                <w:noProof/>
                <w:szCs w:val="26"/>
              </w:rPr>
              <w:t>Determination of Ratemaking Rate Base</w:t>
            </w:r>
            <w:r w:rsidR="007F0272" w:rsidRPr="0082628D">
              <w:rPr>
                <w:noProof/>
                <w:webHidden/>
              </w:rPr>
              <w:tab/>
            </w:r>
            <w:r w:rsidR="007F0272" w:rsidRPr="0082628D">
              <w:rPr>
                <w:noProof/>
                <w:webHidden/>
              </w:rPr>
              <w:fldChar w:fldCharType="begin"/>
            </w:r>
            <w:r w:rsidR="007F0272" w:rsidRPr="0082628D">
              <w:rPr>
                <w:noProof/>
                <w:webHidden/>
              </w:rPr>
              <w:instrText xml:space="preserve"> PAGEREF _Toc90970722 \h </w:instrText>
            </w:r>
            <w:r w:rsidR="007F0272" w:rsidRPr="0082628D">
              <w:rPr>
                <w:noProof/>
                <w:webHidden/>
              </w:rPr>
            </w:r>
            <w:r w:rsidR="007F0272" w:rsidRPr="0082628D">
              <w:rPr>
                <w:noProof/>
                <w:webHidden/>
              </w:rPr>
              <w:fldChar w:fldCharType="separate"/>
            </w:r>
            <w:r w:rsidR="004F1DF7">
              <w:rPr>
                <w:noProof/>
                <w:webHidden/>
              </w:rPr>
              <w:t>28</w:t>
            </w:r>
            <w:r w:rsidR="007F0272" w:rsidRPr="0082628D">
              <w:rPr>
                <w:noProof/>
                <w:webHidden/>
              </w:rPr>
              <w:fldChar w:fldCharType="end"/>
            </w:r>
          </w:hyperlink>
        </w:p>
        <w:p w14:paraId="20A632B7" w14:textId="1A91A8EF" w:rsidR="007F0272" w:rsidRPr="0082628D" w:rsidRDefault="00927F92" w:rsidP="0082628D">
          <w:pPr>
            <w:pStyle w:val="TOC3"/>
            <w:rPr>
              <w:rFonts w:eastAsiaTheme="minorEastAsia"/>
              <w:noProof/>
              <w:szCs w:val="26"/>
            </w:rPr>
          </w:pPr>
          <w:hyperlink w:anchor="_Toc90970723" w:history="1">
            <w:r w:rsidR="007F0272" w:rsidRPr="0082628D">
              <w:rPr>
                <w:rStyle w:val="Hyperlink"/>
                <w:noProof/>
                <w:szCs w:val="26"/>
              </w:rPr>
              <w:t>1.</w:t>
            </w:r>
            <w:r w:rsidR="007F0272" w:rsidRPr="0082628D">
              <w:rPr>
                <w:rFonts w:eastAsiaTheme="minorEastAsia"/>
                <w:noProof/>
                <w:szCs w:val="26"/>
              </w:rPr>
              <w:tab/>
            </w:r>
            <w:r w:rsidR="007F0272" w:rsidRPr="0082628D">
              <w:rPr>
                <w:rStyle w:val="Hyperlink"/>
                <w:noProof/>
                <w:szCs w:val="26"/>
              </w:rPr>
              <w:t>Aqua’s Application</w:t>
            </w:r>
            <w:r w:rsidR="007F0272" w:rsidRPr="0082628D">
              <w:rPr>
                <w:noProof/>
                <w:webHidden/>
                <w:szCs w:val="26"/>
              </w:rPr>
              <w:tab/>
            </w:r>
            <w:r w:rsidR="007F0272" w:rsidRPr="0082628D">
              <w:rPr>
                <w:noProof/>
                <w:webHidden/>
                <w:szCs w:val="26"/>
              </w:rPr>
              <w:fldChar w:fldCharType="begin"/>
            </w:r>
            <w:r w:rsidR="007F0272" w:rsidRPr="0082628D">
              <w:rPr>
                <w:noProof/>
                <w:webHidden/>
                <w:szCs w:val="26"/>
              </w:rPr>
              <w:instrText xml:space="preserve"> PAGEREF _Toc90970723 \h </w:instrText>
            </w:r>
            <w:r w:rsidR="007F0272" w:rsidRPr="0082628D">
              <w:rPr>
                <w:noProof/>
                <w:webHidden/>
                <w:szCs w:val="26"/>
              </w:rPr>
            </w:r>
            <w:r w:rsidR="007F0272" w:rsidRPr="0082628D">
              <w:rPr>
                <w:noProof/>
                <w:webHidden/>
                <w:szCs w:val="26"/>
              </w:rPr>
              <w:fldChar w:fldCharType="separate"/>
            </w:r>
            <w:r w:rsidR="004F1DF7">
              <w:rPr>
                <w:noProof/>
                <w:webHidden/>
                <w:szCs w:val="26"/>
              </w:rPr>
              <w:t>31</w:t>
            </w:r>
            <w:r w:rsidR="007F0272" w:rsidRPr="0082628D">
              <w:rPr>
                <w:noProof/>
                <w:webHidden/>
                <w:szCs w:val="26"/>
              </w:rPr>
              <w:fldChar w:fldCharType="end"/>
            </w:r>
          </w:hyperlink>
        </w:p>
        <w:p w14:paraId="22F4624F" w14:textId="610AA83F" w:rsidR="007F0272" w:rsidRPr="0082628D" w:rsidRDefault="00927F92" w:rsidP="0082628D">
          <w:pPr>
            <w:pStyle w:val="TOC3"/>
            <w:rPr>
              <w:rFonts w:eastAsiaTheme="minorEastAsia"/>
              <w:noProof/>
              <w:szCs w:val="26"/>
            </w:rPr>
          </w:pPr>
          <w:hyperlink w:anchor="_Toc90970724" w:history="1">
            <w:r w:rsidR="007F0272" w:rsidRPr="0082628D">
              <w:rPr>
                <w:rStyle w:val="Hyperlink"/>
                <w:noProof/>
                <w:szCs w:val="26"/>
              </w:rPr>
              <w:t>2.</w:t>
            </w:r>
            <w:r w:rsidR="007F0272" w:rsidRPr="0082628D">
              <w:rPr>
                <w:rFonts w:eastAsiaTheme="minorEastAsia"/>
                <w:noProof/>
                <w:szCs w:val="26"/>
              </w:rPr>
              <w:tab/>
            </w:r>
            <w:r w:rsidR="007F0272" w:rsidRPr="0082628D">
              <w:rPr>
                <w:rStyle w:val="Hyperlink"/>
                <w:noProof/>
                <w:szCs w:val="26"/>
              </w:rPr>
              <w:t>Cost Approach</w:t>
            </w:r>
            <w:r w:rsidR="007F0272" w:rsidRPr="0082628D">
              <w:rPr>
                <w:noProof/>
                <w:webHidden/>
                <w:szCs w:val="26"/>
              </w:rPr>
              <w:tab/>
            </w:r>
            <w:r w:rsidR="007F0272" w:rsidRPr="0082628D">
              <w:rPr>
                <w:noProof/>
                <w:webHidden/>
                <w:szCs w:val="26"/>
              </w:rPr>
              <w:fldChar w:fldCharType="begin"/>
            </w:r>
            <w:r w:rsidR="007F0272" w:rsidRPr="0082628D">
              <w:rPr>
                <w:noProof/>
                <w:webHidden/>
                <w:szCs w:val="26"/>
              </w:rPr>
              <w:instrText xml:space="preserve"> PAGEREF _Toc90970724 \h </w:instrText>
            </w:r>
            <w:r w:rsidR="007F0272" w:rsidRPr="0082628D">
              <w:rPr>
                <w:noProof/>
                <w:webHidden/>
                <w:szCs w:val="26"/>
              </w:rPr>
            </w:r>
            <w:r w:rsidR="007F0272" w:rsidRPr="0082628D">
              <w:rPr>
                <w:noProof/>
                <w:webHidden/>
                <w:szCs w:val="26"/>
              </w:rPr>
              <w:fldChar w:fldCharType="separate"/>
            </w:r>
            <w:r w:rsidR="004F1DF7">
              <w:rPr>
                <w:noProof/>
                <w:webHidden/>
                <w:szCs w:val="26"/>
              </w:rPr>
              <w:t>34</w:t>
            </w:r>
            <w:r w:rsidR="007F0272" w:rsidRPr="0082628D">
              <w:rPr>
                <w:noProof/>
                <w:webHidden/>
                <w:szCs w:val="26"/>
              </w:rPr>
              <w:fldChar w:fldCharType="end"/>
            </w:r>
          </w:hyperlink>
        </w:p>
        <w:p w14:paraId="146C43A6" w14:textId="71F1ECC6" w:rsidR="007F0272" w:rsidRPr="0082628D" w:rsidRDefault="00927F92" w:rsidP="0082628D">
          <w:pPr>
            <w:pStyle w:val="TOC4"/>
            <w:tabs>
              <w:tab w:val="clear" w:pos="1100"/>
              <w:tab w:val="left" w:pos="2880"/>
            </w:tabs>
            <w:ind w:left="2160"/>
            <w:rPr>
              <w:rFonts w:eastAsiaTheme="minorEastAsia"/>
              <w:noProof/>
              <w:sz w:val="26"/>
              <w:szCs w:val="26"/>
            </w:rPr>
          </w:pPr>
          <w:hyperlink w:anchor="_Toc90970725" w:history="1">
            <w:r w:rsidR="007F0272" w:rsidRPr="0082628D">
              <w:rPr>
                <w:rStyle w:val="Hyperlink"/>
                <w:noProof/>
                <w:sz w:val="26"/>
                <w:szCs w:val="26"/>
              </w:rPr>
              <w:t>a.</w:t>
            </w:r>
            <w:r w:rsidR="007F0272" w:rsidRPr="0082628D">
              <w:rPr>
                <w:rFonts w:eastAsiaTheme="minorEastAsia"/>
                <w:noProof/>
                <w:sz w:val="26"/>
                <w:szCs w:val="26"/>
              </w:rPr>
              <w:tab/>
            </w:r>
            <w:r w:rsidR="007F0272" w:rsidRPr="0082628D">
              <w:rPr>
                <w:rStyle w:val="Hyperlink"/>
                <w:noProof/>
                <w:sz w:val="26"/>
                <w:szCs w:val="26"/>
              </w:rPr>
              <w:t>Positions of the Parties</w:t>
            </w:r>
            <w:r w:rsidR="007F0272" w:rsidRPr="0082628D">
              <w:rPr>
                <w:noProof/>
                <w:webHidden/>
                <w:sz w:val="26"/>
                <w:szCs w:val="26"/>
              </w:rPr>
              <w:tab/>
            </w:r>
            <w:r w:rsidR="007F0272" w:rsidRPr="0082628D">
              <w:rPr>
                <w:noProof/>
                <w:webHidden/>
                <w:sz w:val="26"/>
                <w:szCs w:val="26"/>
              </w:rPr>
              <w:fldChar w:fldCharType="begin"/>
            </w:r>
            <w:r w:rsidR="007F0272" w:rsidRPr="0082628D">
              <w:rPr>
                <w:noProof/>
                <w:webHidden/>
                <w:sz w:val="26"/>
                <w:szCs w:val="26"/>
              </w:rPr>
              <w:instrText xml:space="preserve"> PAGEREF _Toc90970725 \h </w:instrText>
            </w:r>
            <w:r w:rsidR="007F0272" w:rsidRPr="0082628D">
              <w:rPr>
                <w:noProof/>
                <w:webHidden/>
                <w:sz w:val="26"/>
                <w:szCs w:val="26"/>
              </w:rPr>
            </w:r>
            <w:r w:rsidR="007F0272" w:rsidRPr="0082628D">
              <w:rPr>
                <w:noProof/>
                <w:webHidden/>
                <w:sz w:val="26"/>
                <w:szCs w:val="26"/>
              </w:rPr>
              <w:fldChar w:fldCharType="separate"/>
            </w:r>
            <w:r w:rsidR="004F1DF7">
              <w:rPr>
                <w:noProof/>
                <w:webHidden/>
                <w:sz w:val="26"/>
                <w:szCs w:val="26"/>
              </w:rPr>
              <w:t>34</w:t>
            </w:r>
            <w:r w:rsidR="007F0272" w:rsidRPr="0082628D">
              <w:rPr>
                <w:noProof/>
                <w:webHidden/>
                <w:sz w:val="26"/>
                <w:szCs w:val="26"/>
              </w:rPr>
              <w:fldChar w:fldCharType="end"/>
            </w:r>
          </w:hyperlink>
        </w:p>
        <w:p w14:paraId="186BEDB5" w14:textId="70E56767" w:rsidR="007F0272" w:rsidRPr="0082628D" w:rsidRDefault="00927F92" w:rsidP="0082628D">
          <w:pPr>
            <w:pStyle w:val="TOC4"/>
            <w:tabs>
              <w:tab w:val="clear" w:pos="1100"/>
              <w:tab w:val="left" w:pos="2880"/>
            </w:tabs>
            <w:ind w:left="2160"/>
            <w:rPr>
              <w:rFonts w:eastAsiaTheme="minorEastAsia"/>
              <w:noProof/>
              <w:sz w:val="26"/>
              <w:szCs w:val="26"/>
            </w:rPr>
          </w:pPr>
          <w:hyperlink w:anchor="_Toc90970726" w:history="1">
            <w:r w:rsidR="007F0272" w:rsidRPr="0082628D">
              <w:rPr>
                <w:rStyle w:val="Hyperlink"/>
                <w:noProof/>
                <w:sz w:val="26"/>
                <w:szCs w:val="26"/>
              </w:rPr>
              <w:t>b.</w:t>
            </w:r>
            <w:r w:rsidR="007F0272" w:rsidRPr="0082628D">
              <w:rPr>
                <w:rFonts w:eastAsiaTheme="minorEastAsia"/>
                <w:noProof/>
                <w:sz w:val="26"/>
                <w:szCs w:val="26"/>
              </w:rPr>
              <w:tab/>
            </w:r>
            <w:r w:rsidR="007F0272" w:rsidRPr="0082628D">
              <w:rPr>
                <w:rStyle w:val="Hyperlink"/>
                <w:noProof/>
                <w:sz w:val="26"/>
                <w:szCs w:val="26"/>
              </w:rPr>
              <w:t>ALJ’s Recommendation</w:t>
            </w:r>
            <w:r w:rsidR="007F0272" w:rsidRPr="0082628D">
              <w:rPr>
                <w:noProof/>
                <w:webHidden/>
                <w:sz w:val="26"/>
                <w:szCs w:val="26"/>
              </w:rPr>
              <w:tab/>
            </w:r>
            <w:r w:rsidR="007F0272" w:rsidRPr="0082628D">
              <w:rPr>
                <w:noProof/>
                <w:webHidden/>
                <w:sz w:val="26"/>
                <w:szCs w:val="26"/>
              </w:rPr>
              <w:fldChar w:fldCharType="begin"/>
            </w:r>
            <w:r w:rsidR="007F0272" w:rsidRPr="0082628D">
              <w:rPr>
                <w:noProof/>
                <w:webHidden/>
                <w:sz w:val="26"/>
                <w:szCs w:val="26"/>
              </w:rPr>
              <w:instrText xml:space="preserve"> PAGEREF _Toc90970726 \h </w:instrText>
            </w:r>
            <w:r w:rsidR="007F0272" w:rsidRPr="0082628D">
              <w:rPr>
                <w:noProof/>
                <w:webHidden/>
                <w:sz w:val="26"/>
                <w:szCs w:val="26"/>
              </w:rPr>
            </w:r>
            <w:r w:rsidR="007F0272" w:rsidRPr="0082628D">
              <w:rPr>
                <w:noProof/>
                <w:webHidden/>
                <w:sz w:val="26"/>
                <w:szCs w:val="26"/>
              </w:rPr>
              <w:fldChar w:fldCharType="separate"/>
            </w:r>
            <w:r w:rsidR="004F1DF7">
              <w:rPr>
                <w:noProof/>
                <w:webHidden/>
                <w:sz w:val="26"/>
                <w:szCs w:val="26"/>
              </w:rPr>
              <w:t>38</w:t>
            </w:r>
            <w:r w:rsidR="007F0272" w:rsidRPr="0082628D">
              <w:rPr>
                <w:noProof/>
                <w:webHidden/>
                <w:sz w:val="26"/>
                <w:szCs w:val="26"/>
              </w:rPr>
              <w:fldChar w:fldCharType="end"/>
            </w:r>
          </w:hyperlink>
        </w:p>
        <w:p w14:paraId="7F8AE748" w14:textId="2BBCD78D" w:rsidR="007F0272" w:rsidRPr="0082628D" w:rsidRDefault="00927F92" w:rsidP="0082628D">
          <w:pPr>
            <w:pStyle w:val="TOC4"/>
            <w:tabs>
              <w:tab w:val="clear" w:pos="1100"/>
              <w:tab w:val="left" w:pos="2880"/>
            </w:tabs>
            <w:ind w:left="2160"/>
            <w:rPr>
              <w:rFonts w:eastAsiaTheme="minorEastAsia"/>
              <w:noProof/>
              <w:sz w:val="26"/>
              <w:szCs w:val="26"/>
            </w:rPr>
          </w:pPr>
          <w:hyperlink w:anchor="_Toc90970727" w:history="1">
            <w:r w:rsidR="007F0272" w:rsidRPr="0082628D">
              <w:rPr>
                <w:rStyle w:val="Hyperlink"/>
                <w:noProof/>
                <w:sz w:val="26"/>
                <w:szCs w:val="26"/>
              </w:rPr>
              <w:t>c.</w:t>
            </w:r>
            <w:r w:rsidR="007F0272" w:rsidRPr="0082628D">
              <w:rPr>
                <w:rFonts w:eastAsiaTheme="minorEastAsia"/>
                <w:noProof/>
                <w:sz w:val="26"/>
                <w:szCs w:val="26"/>
              </w:rPr>
              <w:tab/>
            </w:r>
            <w:r w:rsidR="007F0272" w:rsidRPr="0082628D">
              <w:rPr>
                <w:rStyle w:val="Hyperlink"/>
                <w:noProof/>
                <w:sz w:val="26"/>
                <w:szCs w:val="26"/>
              </w:rPr>
              <w:t>Aqua Exception No. 3 and Replies</w:t>
            </w:r>
            <w:r w:rsidR="007F0272" w:rsidRPr="0082628D">
              <w:rPr>
                <w:noProof/>
                <w:webHidden/>
                <w:sz w:val="26"/>
                <w:szCs w:val="26"/>
              </w:rPr>
              <w:tab/>
            </w:r>
            <w:r w:rsidR="007F0272" w:rsidRPr="0082628D">
              <w:rPr>
                <w:noProof/>
                <w:webHidden/>
                <w:sz w:val="26"/>
                <w:szCs w:val="26"/>
              </w:rPr>
              <w:fldChar w:fldCharType="begin"/>
            </w:r>
            <w:r w:rsidR="007F0272" w:rsidRPr="0082628D">
              <w:rPr>
                <w:noProof/>
                <w:webHidden/>
                <w:sz w:val="26"/>
                <w:szCs w:val="26"/>
              </w:rPr>
              <w:instrText xml:space="preserve"> PAGEREF _Toc90970727 \h </w:instrText>
            </w:r>
            <w:r w:rsidR="007F0272" w:rsidRPr="0082628D">
              <w:rPr>
                <w:noProof/>
                <w:webHidden/>
                <w:sz w:val="26"/>
                <w:szCs w:val="26"/>
              </w:rPr>
            </w:r>
            <w:r w:rsidR="007F0272" w:rsidRPr="0082628D">
              <w:rPr>
                <w:noProof/>
                <w:webHidden/>
                <w:sz w:val="26"/>
                <w:szCs w:val="26"/>
              </w:rPr>
              <w:fldChar w:fldCharType="separate"/>
            </w:r>
            <w:r w:rsidR="004F1DF7">
              <w:rPr>
                <w:noProof/>
                <w:webHidden/>
                <w:sz w:val="26"/>
                <w:szCs w:val="26"/>
              </w:rPr>
              <w:t>39</w:t>
            </w:r>
            <w:r w:rsidR="007F0272" w:rsidRPr="0082628D">
              <w:rPr>
                <w:noProof/>
                <w:webHidden/>
                <w:sz w:val="26"/>
                <w:szCs w:val="26"/>
              </w:rPr>
              <w:fldChar w:fldCharType="end"/>
            </w:r>
          </w:hyperlink>
        </w:p>
        <w:p w14:paraId="0ED7ADA5" w14:textId="7FA9B5E9" w:rsidR="007F0272" w:rsidRPr="0082628D" w:rsidRDefault="00927F92" w:rsidP="0082628D">
          <w:pPr>
            <w:pStyle w:val="TOC4"/>
            <w:tabs>
              <w:tab w:val="clear" w:pos="1100"/>
              <w:tab w:val="left" w:pos="2880"/>
            </w:tabs>
            <w:ind w:left="2160"/>
            <w:rPr>
              <w:rFonts w:eastAsiaTheme="minorEastAsia"/>
              <w:noProof/>
              <w:sz w:val="26"/>
              <w:szCs w:val="26"/>
            </w:rPr>
          </w:pPr>
          <w:hyperlink w:anchor="_Toc90970728" w:history="1">
            <w:r w:rsidR="007F0272" w:rsidRPr="0082628D">
              <w:rPr>
                <w:rStyle w:val="Hyperlink"/>
                <w:noProof/>
                <w:sz w:val="26"/>
                <w:szCs w:val="26"/>
              </w:rPr>
              <w:t>d.</w:t>
            </w:r>
            <w:r w:rsidR="007F0272" w:rsidRPr="0082628D">
              <w:rPr>
                <w:rFonts w:eastAsiaTheme="minorEastAsia"/>
                <w:noProof/>
                <w:sz w:val="26"/>
                <w:szCs w:val="26"/>
              </w:rPr>
              <w:tab/>
            </w:r>
            <w:r w:rsidR="007F0272" w:rsidRPr="0082628D">
              <w:rPr>
                <w:rStyle w:val="Hyperlink"/>
                <w:noProof/>
                <w:sz w:val="26"/>
                <w:szCs w:val="26"/>
              </w:rPr>
              <w:t>Disposition</w:t>
            </w:r>
            <w:r w:rsidR="007F0272" w:rsidRPr="0082628D">
              <w:rPr>
                <w:noProof/>
                <w:webHidden/>
                <w:sz w:val="26"/>
                <w:szCs w:val="26"/>
              </w:rPr>
              <w:tab/>
            </w:r>
            <w:r w:rsidR="007F0272" w:rsidRPr="0082628D">
              <w:rPr>
                <w:noProof/>
                <w:webHidden/>
                <w:sz w:val="26"/>
                <w:szCs w:val="26"/>
              </w:rPr>
              <w:fldChar w:fldCharType="begin"/>
            </w:r>
            <w:r w:rsidR="007F0272" w:rsidRPr="0082628D">
              <w:rPr>
                <w:noProof/>
                <w:webHidden/>
                <w:sz w:val="26"/>
                <w:szCs w:val="26"/>
              </w:rPr>
              <w:instrText xml:space="preserve"> PAGEREF _Toc90970728 \h </w:instrText>
            </w:r>
            <w:r w:rsidR="007F0272" w:rsidRPr="0082628D">
              <w:rPr>
                <w:noProof/>
                <w:webHidden/>
                <w:sz w:val="26"/>
                <w:szCs w:val="26"/>
              </w:rPr>
            </w:r>
            <w:r w:rsidR="007F0272" w:rsidRPr="0082628D">
              <w:rPr>
                <w:noProof/>
                <w:webHidden/>
                <w:sz w:val="26"/>
                <w:szCs w:val="26"/>
              </w:rPr>
              <w:fldChar w:fldCharType="separate"/>
            </w:r>
            <w:r w:rsidR="004F1DF7">
              <w:rPr>
                <w:noProof/>
                <w:webHidden/>
                <w:sz w:val="26"/>
                <w:szCs w:val="26"/>
              </w:rPr>
              <w:t>43</w:t>
            </w:r>
            <w:r w:rsidR="007F0272" w:rsidRPr="0082628D">
              <w:rPr>
                <w:noProof/>
                <w:webHidden/>
                <w:sz w:val="26"/>
                <w:szCs w:val="26"/>
              </w:rPr>
              <w:fldChar w:fldCharType="end"/>
            </w:r>
          </w:hyperlink>
        </w:p>
        <w:p w14:paraId="032D496B" w14:textId="06A5FCE4" w:rsidR="007F0272" w:rsidRPr="0082628D" w:rsidRDefault="00927F92" w:rsidP="0082628D">
          <w:pPr>
            <w:pStyle w:val="TOC3"/>
            <w:rPr>
              <w:rFonts w:eastAsiaTheme="minorEastAsia"/>
              <w:noProof/>
              <w:szCs w:val="26"/>
            </w:rPr>
          </w:pPr>
          <w:hyperlink w:anchor="_Toc90970729" w:history="1">
            <w:r w:rsidR="007F0272" w:rsidRPr="0082628D">
              <w:rPr>
                <w:rStyle w:val="Hyperlink"/>
                <w:noProof/>
                <w:szCs w:val="26"/>
              </w:rPr>
              <w:t>3.</w:t>
            </w:r>
            <w:r w:rsidR="007F0272" w:rsidRPr="0082628D">
              <w:rPr>
                <w:rFonts w:eastAsiaTheme="minorEastAsia"/>
                <w:noProof/>
                <w:szCs w:val="26"/>
              </w:rPr>
              <w:tab/>
            </w:r>
            <w:r w:rsidR="007F0272" w:rsidRPr="0082628D">
              <w:rPr>
                <w:rStyle w:val="Hyperlink"/>
                <w:noProof/>
                <w:szCs w:val="26"/>
              </w:rPr>
              <w:t>Income Approach</w:t>
            </w:r>
            <w:r w:rsidR="007F0272" w:rsidRPr="0082628D">
              <w:rPr>
                <w:noProof/>
                <w:webHidden/>
                <w:szCs w:val="26"/>
              </w:rPr>
              <w:tab/>
            </w:r>
            <w:r w:rsidR="007F0272" w:rsidRPr="0082628D">
              <w:rPr>
                <w:noProof/>
                <w:webHidden/>
                <w:szCs w:val="26"/>
              </w:rPr>
              <w:fldChar w:fldCharType="begin"/>
            </w:r>
            <w:r w:rsidR="007F0272" w:rsidRPr="0082628D">
              <w:rPr>
                <w:noProof/>
                <w:webHidden/>
                <w:szCs w:val="26"/>
              </w:rPr>
              <w:instrText xml:space="preserve"> PAGEREF _Toc90970729 \h </w:instrText>
            </w:r>
            <w:r w:rsidR="007F0272" w:rsidRPr="0082628D">
              <w:rPr>
                <w:noProof/>
                <w:webHidden/>
                <w:szCs w:val="26"/>
              </w:rPr>
            </w:r>
            <w:r w:rsidR="007F0272" w:rsidRPr="0082628D">
              <w:rPr>
                <w:noProof/>
                <w:webHidden/>
                <w:szCs w:val="26"/>
              </w:rPr>
              <w:fldChar w:fldCharType="separate"/>
            </w:r>
            <w:r w:rsidR="004F1DF7">
              <w:rPr>
                <w:noProof/>
                <w:webHidden/>
                <w:szCs w:val="26"/>
              </w:rPr>
              <w:t>45</w:t>
            </w:r>
            <w:r w:rsidR="007F0272" w:rsidRPr="0082628D">
              <w:rPr>
                <w:noProof/>
                <w:webHidden/>
                <w:szCs w:val="26"/>
              </w:rPr>
              <w:fldChar w:fldCharType="end"/>
            </w:r>
          </w:hyperlink>
        </w:p>
        <w:p w14:paraId="7B66435E" w14:textId="28E360F1" w:rsidR="007F0272" w:rsidRPr="0082628D" w:rsidRDefault="00927F92" w:rsidP="0082628D">
          <w:pPr>
            <w:pStyle w:val="TOC4"/>
            <w:tabs>
              <w:tab w:val="clear" w:pos="1100"/>
              <w:tab w:val="left" w:pos="2880"/>
            </w:tabs>
            <w:ind w:left="2160"/>
            <w:rPr>
              <w:rFonts w:eastAsiaTheme="minorEastAsia"/>
              <w:noProof/>
              <w:sz w:val="26"/>
              <w:szCs w:val="26"/>
            </w:rPr>
          </w:pPr>
          <w:hyperlink w:anchor="_Toc90970730" w:history="1">
            <w:r w:rsidR="007F0272" w:rsidRPr="0082628D">
              <w:rPr>
                <w:rStyle w:val="Hyperlink"/>
                <w:noProof/>
                <w:sz w:val="26"/>
                <w:szCs w:val="26"/>
              </w:rPr>
              <w:t>a.</w:t>
            </w:r>
            <w:r w:rsidR="007F0272" w:rsidRPr="0082628D">
              <w:rPr>
                <w:rFonts w:eastAsiaTheme="minorEastAsia"/>
                <w:noProof/>
                <w:sz w:val="26"/>
                <w:szCs w:val="26"/>
              </w:rPr>
              <w:tab/>
            </w:r>
            <w:r w:rsidR="007F0272" w:rsidRPr="0082628D">
              <w:rPr>
                <w:rStyle w:val="Hyperlink"/>
                <w:noProof/>
                <w:sz w:val="26"/>
                <w:szCs w:val="26"/>
              </w:rPr>
              <w:t>Positions of the Parties</w:t>
            </w:r>
            <w:r w:rsidR="007F0272" w:rsidRPr="0082628D">
              <w:rPr>
                <w:noProof/>
                <w:webHidden/>
                <w:sz w:val="26"/>
                <w:szCs w:val="26"/>
              </w:rPr>
              <w:tab/>
            </w:r>
            <w:r w:rsidR="007F0272" w:rsidRPr="0082628D">
              <w:rPr>
                <w:noProof/>
                <w:webHidden/>
                <w:sz w:val="26"/>
                <w:szCs w:val="26"/>
              </w:rPr>
              <w:fldChar w:fldCharType="begin"/>
            </w:r>
            <w:r w:rsidR="007F0272" w:rsidRPr="0082628D">
              <w:rPr>
                <w:noProof/>
                <w:webHidden/>
                <w:sz w:val="26"/>
                <w:szCs w:val="26"/>
              </w:rPr>
              <w:instrText xml:space="preserve"> PAGEREF _Toc90970730 \h </w:instrText>
            </w:r>
            <w:r w:rsidR="007F0272" w:rsidRPr="0082628D">
              <w:rPr>
                <w:noProof/>
                <w:webHidden/>
                <w:sz w:val="26"/>
                <w:szCs w:val="26"/>
              </w:rPr>
            </w:r>
            <w:r w:rsidR="007F0272" w:rsidRPr="0082628D">
              <w:rPr>
                <w:noProof/>
                <w:webHidden/>
                <w:sz w:val="26"/>
                <w:szCs w:val="26"/>
              </w:rPr>
              <w:fldChar w:fldCharType="separate"/>
            </w:r>
            <w:r w:rsidR="004F1DF7">
              <w:rPr>
                <w:noProof/>
                <w:webHidden/>
                <w:sz w:val="26"/>
                <w:szCs w:val="26"/>
              </w:rPr>
              <w:t>48</w:t>
            </w:r>
            <w:r w:rsidR="007F0272" w:rsidRPr="0082628D">
              <w:rPr>
                <w:noProof/>
                <w:webHidden/>
                <w:sz w:val="26"/>
                <w:szCs w:val="26"/>
              </w:rPr>
              <w:fldChar w:fldCharType="end"/>
            </w:r>
          </w:hyperlink>
        </w:p>
        <w:p w14:paraId="1D336184" w14:textId="360AB42D" w:rsidR="007F0272" w:rsidRPr="0082628D" w:rsidRDefault="00927F92" w:rsidP="0082628D">
          <w:pPr>
            <w:pStyle w:val="TOC4"/>
            <w:tabs>
              <w:tab w:val="clear" w:pos="1100"/>
              <w:tab w:val="left" w:pos="2880"/>
            </w:tabs>
            <w:ind w:left="2160"/>
            <w:rPr>
              <w:rFonts w:eastAsiaTheme="minorEastAsia"/>
              <w:noProof/>
              <w:sz w:val="26"/>
              <w:szCs w:val="26"/>
            </w:rPr>
          </w:pPr>
          <w:hyperlink w:anchor="_Toc90970731" w:history="1">
            <w:r w:rsidR="007F0272" w:rsidRPr="0082628D">
              <w:rPr>
                <w:rStyle w:val="Hyperlink"/>
                <w:noProof/>
                <w:sz w:val="26"/>
                <w:szCs w:val="26"/>
              </w:rPr>
              <w:t>b.</w:t>
            </w:r>
            <w:r w:rsidR="007F0272" w:rsidRPr="0082628D">
              <w:rPr>
                <w:rFonts w:eastAsiaTheme="minorEastAsia"/>
                <w:noProof/>
                <w:sz w:val="26"/>
                <w:szCs w:val="26"/>
              </w:rPr>
              <w:tab/>
            </w:r>
            <w:r w:rsidR="007F0272" w:rsidRPr="0082628D">
              <w:rPr>
                <w:rStyle w:val="Hyperlink"/>
                <w:noProof/>
                <w:sz w:val="26"/>
                <w:szCs w:val="26"/>
              </w:rPr>
              <w:t>ALJ’s Recommendation</w:t>
            </w:r>
            <w:r w:rsidR="007F0272" w:rsidRPr="0082628D">
              <w:rPr>
                <w:noProof/>
                <w:webHidden/>
                <w:sz w:val="26"/>
                <w:szCs w:val="26"/>
              </w:rPr>
              <w:tab/>
            </w:r>
            <w:r w:rsidR="007F0272" w:rsidRPr="0082628D">
              <w:rPr>
                <w:noProof/>
                <w:webHidden/>
                <w:sz w:val="26"/>
                <w:szCs w:val="26"/>
              </w:rPr>
              <w:fldChar w:fldCharType="begin"/>
            </w:r>
            <w:r w:rsidR="007F0272" w:rsidRPr="0082628D">
              <w:rPr>
                <w:noProof/>
                <w:webHidden/>
                <w:sz w:val="26"/>
                <w:szCs w:val="26"/>
              </w:rPr>
              <w:instrText xml:space="preserve"> PAGEREF _Toc90970731 \h </w:instrText>
            </w:r>
            <w:r w:rsidR="007F0272" w:rsidRPr="0082628D">
              <w:rPr>
                <w:noProof/>
                <w:webHidden/>
                <w:sz w:val="26"/>
                <w:szCs w:val="26"/>
              </w:rPr>
            </w:r>
            <w:r w:rsidR="007F0272" w:rsidRPr="0082628D">
              <w:rPr>
                <w:noProof/>
                <w:webHidden/>
                <w:sz w:val="26"/>
                <w:szCs w:val="26"/>
              </w:rPr>
              <w:fldChar w:fldCharType="separate"/>
            </w:r>
            <w:r w:rsidR="004F1DF7">
              <w:rPr>
                <w:noProof/>
                <w:webHidden/>
                <w:sz w:val="26"/>
                <w:szCs w:val="26"/>
              </w:rPr>
              <w:t>58</w:t>
            </w:r>
            <w:r w:rsidR="007F0272" w:rsidRPr="0082628D">
              <w:rPr>
                <w:noProof/>
                <w:webHidden/>
                <w:sz w:val="26"/>
                <w:szCs w:val="26"/>
              </w:rPr>
              <w:fldChar w:fldCharType="end"/>
            </w:r>
          </w:hyperlink>
        </w:p>
        <w:p w14:paraId="5730D2CD" w14:textId="53AEE5C8" w:rsidR="007F0272" w:rsidRPr="0082628D" w:rsidRDefault="00927F92" w:rsidP="0082628D">
          <w:pPr>
            <w:pStyle w:val="TOC4"/>
            <w:tabs>
              <w:tab w:val="clear" w:pos="1100"/>
              <w:tab w:val="left" w:pos="2880"/>
            </w:tabs>
            <w:ind w:left="2160"/>
            <w:rPr>
              <w:rFonts w:eastAsiaTheme="minorEastAsia"/>
              <w:noProof/>
              <w:sz w:val="26"/>
              <w:szCs w:val="26"/>
            </w:rPr>
          </w:pPr>
          <w:hyperlink w:anchor="_Toc90970732" w:history="1">
            <w:r w:rsidR="007F0272" w:rsidRPr="0082628D">
              <w:rPr>
                <w:rStyle w:val="Hyperlink"/>
                <w:noProof/>
                <w:sz w:val="26"/>
                <w:szCs w:val="26"/>
              </w:rPr>
              <w:t>c.</w:t>
            </w:r>
            <w:r w:rsidR="007F0272" w:rsidRPr="0082628D">
              <w:rPr>
                <w:rFonts w:eastAsiaTheme="minorEastAsia"/>
                <w:noProof/>
                <w:sz w:val="26"/>
                <w:szCs w:val="26"/>
              </w:rPr>
              <w:tab/>
            </w:r>
            <w:r w:rsidR="007F0272" w:rsidRPr="0082628D">
              <w:rPr>
                <w:rStyle w:val="Hyperlink"/>
                <w:noProof/>
                <w:sz w:val="26"/>
                <w:szCs w:val="26"/>
              </w:rPr>
              <w:t>Aqua Exception No. 1 and Replies</w:t>
            </w:r>
            <w:r w:rsidR="007F0272" w:rsidRPr="0082628D">
              <w:rPr>
                <w:noProof/>
                <w:webHidden/>
                <w:sz w:val="26"/>
                <w:szCs w:val="26"/>
              </w:rPr>
              <w:tab/>
            </w:r>
            <w:r w:rsidR="007F0272" w:rsidRPr="0082628D">
              <w:rPr>
                <w:noProof/>
                <w:webHidden/>
                <w:sz w:val="26"/>
                <w:szCs w:val="26"/>
              </w:rPr>
              <w:fldChar w:fldCharType="begin"/>
            </w:r>
            <w:r w:rsidR="007F0272" w:rsidRPr="0082628D">
              <w:rPr>
                <w:noProof/>
                <w:webHidden/>
                <w:sz w:val="26"/>
                <w:szCs w:val="26"/>
              </w:rPr>
              <w:instrText xml:space="preserve"> PAGEREF _Toc90970732 \h </w:instrText>
            </w:r>
            <w:r w:rsidR="007F0272" w:rsidRPr="0082628D">
              <w:rPr>
                <w:noProof/>
                <w:webHidden/>
                <w:sz w:val="26"/>
                <w:szCs w:val="26"/>
              </w:rPr>
            </w:r>
            <w:r w:rsidR="007F0272" w:rsidRPr="0082628D">
              <w:rPr>
                <w:noProof/>
                <w:webHidden/>
                <w:sz w:val="26"/>
                <w:szCs w:val="26"/>
              </w:rPr>
              <w:fldChar w:fldCharType="separate"/>
            </w:r>
            <w:r w:rsidR="004F1DF7">
              <w:rPr>
                <w:noProof/>
                <w:webHidden/>
                <w:sz w:val="26"/>
                <w:szCs w:val="26"/>
              </w:rPr>
              <w:t>59</w:t>
            </w:r>
            <w:r w:rsidR="007F0272" w:rsidRPr="0082628D">
              <w:rPr>
                <w:noProof/>
                <w:webHidden/>
                <w:sz w:val="26"/>
                <w:szCs w:val="26"/>
              </w:rPr>
              <w:fldChar w:fldCharType="end"/>
            </w:r>
          </w:hyperlink>
        </w:p>
        <w:p w14:paraId="0713F81D" w14:textId="77B215C6" w:rsidR="007F0272" w:rsidRPr="0082628D" w:rsidRDefault="00927F92" w:rsidP="0082628D">
          <w:pPr>
            <w:pStyle w:val="TOC4"/>
            <w:tabs>
              <w:tab w:val="clear" w:pos="1100"/>
              <w:tab w:val="left" w:pos="2880"/>
            </w:tabs>
            <w:ind w:left="2160"/>
            <w:rPr>
              <w:rFonts w:eastAsiaTheme="minorEastAsia"/>
              <w:noProof/>
              <w:sz w:val="26"/>
              <w:szCs w:val="26"/>
            </w:rPr>
          </w:pPr>
          <w:hyperlink w:anchor="_Toc90970733" w:history="1">
            <w:r w:rsidR="007F0272" w:rsidRPr="0082628D">
              <w:rPr>
                <w:rStyle w:val="Hyperlink"/>
                <w:noProof/>
                <w:sz w:val="26"/>
                <w:szCs w:val="26"/>
              </w:rPr>
              <w:t>d.</w:t>
            </w:r>
            <w:r w:rsidR="007F0272" w:rsidRPr="0082628D">
              <w:rPr>
                <w:rFonts w:eastAsiaTheme="minorEastAsia"/>
                <w:noProof/>
                <w:sz w:val="26"/>
                <w:szCs w:val="26"/>
              </w:rPr>
              <w:tab/>
            </w:r>
            <w:r w:rsidR="007F0272" w:rsidRPr="0082628D">
              <w:rPr>
                <w:rStyle w:val="Hyperlink"/>
                <w:noProof/>
                <w:sz w:val="26"/>
                <w:szCs w:val="26"/>
              </w:rPr>
              <w:t>Aqua Exception No. 2 and Replies</w:t>
            </w:r>
            <w:r w:rsidR="007F0272" w:rsidRPr="0082628D">
              <w:rPr>
                <w:noProof/>
                <w:webHidden/>
                <w:sz w:val="26"/>
                <w:szCs w:val="26"/>
              </w:rPr>
              <w:tab/>
            </w:r>
            <w:r w:rsidR="007F0272" w:rsidRPr="0082628D">
              <w:rPr>
                <w:noProof/>
                <w:webHidden/>
                <w:sz w:val="26"/>
                <w:szCs w:val="26"/>
              </w:rPr>
              <w:fldChar w:fldCharType="begin"/>
            </w:r>
            <w:r w:rsidR="007F0272" w:rsidRPr="0082628D">
              <w:rPr>
                <w:noProof/>
                <w:webHidden/>
                <w:sz w:val="26"/>
                <w:szCs w:val="26"/>
              </w:rPr>
              <w:instrText xml:space="preserve"> PAGEREF _Toc90970733 \h </w:instrText>
            </w:r>
            <w:r w:rsidR="007F0272" w:rsidRPr="0082628D">
              <w:rPr>
                <w:noProof/>
                <w:webHidden/>
                <w:sz w:val="26"/>
                <w:szCs w:val="26"/>
              </w:rPr>
            </w:r>
            <w:r w:rsidR="007F0272" w:rsidRPr="0082628D">
              <w:rPr>
                <w:noProof/>
                <w:webHidden/>
                <w:sz w:val="26"/>
                <w:szCs w:val="26"/>
              </w:rPr>
              <w:fldChar w:fldCharType="separate"/>
            </w:r>
            <w:r w:rsidR="004F1DF7">
              <w:rPr>
                <w:noProof/>
                <w:webHidden/>
                <w:sz w:val="26"/>
                <w:szCs w:val="26"/>
              </w:rPr>
              <w:t>65</w:t>
            </w:r>
            <w:r w:rsidR="007F0272" w:rsidRPr="0082628D">
              <w:rPr>
                <w:noProof/>
                <w:webHidden/>
                <w:sz w:val="26"/>
                <w:szCs w:val="26"/>
              </w:rPr>
              <w:fldChar w:fldCharType="end"/>
            </w:r>
          </w:hyperlink>
        </w:p>
        <w:p w14:paraId="24222AC2" w14:textId="05FA5142" w:rsidR="007F0272" w:rsidRPr="0082628D" w:rsidRDefault="00927F92" w:rsidP="0082628D">
          <w:pPr>
            <w:pStyle w:val="TOC4"/>
            <w:tabs>
              <w:tab w:val="clear" w:pos="1100"/>
              <w:tab w:val="left" w:pos="2880"/>
            </w:tabs>
            <w:ind w:left="2160"/>
            <w:rPr>
              <w:rFonts w:eastAsiaTheme="minorEastAsia"/>
              <w:noProof/>
              <w:sz w:val="26"/>
              <w:szCs w:val="26"/>
            </w:rPr>
          </w:pPr>
          <w:hyperlink w:anchor="_Toc90970734" w:history="1">
            <w:r w:rsidR="007F0272" w:rsidRPr="0082628D">
              <w:rPr>
                <w:rStyle w:val="Hyperlink"/>
                <w:noProof/>
                <w:sz w:val="26"/>
                <w:szCs w:val="26"/>
              </w:rPr>
              <w:t>e.</w:t>
            </w:r>
            <w:r w:rsidR="007F0272" w:rsidRPr="0082628D">
              <w:rPr>
                <w:rFonts w:eastAsiaTheme="minorEastAsia"/>
                <w:noProof/>
                <w:sz w:val="26"/>
                <w:szCs w:val="26"/>
              </w:rPr>
              <w:tab/>
            </w:r>
            <w:r w:rsidR="007F0272" w:rsidRPr="0082628D">
              <w:rPr>
                <w:rStyle w:val="Hyperlink"/>
                <w:noProof/>
                <w:sz w:val="26"/>
                <w:szCs w:val="26"/>
              </w:rPr>
              <w:t>Disposition</w:t>
            </w:r>
            <w:r w:rsidR="007F0272" w:rsidRPr="0082628D">
              <w:rPr>
                <w:noProof/>
                <w:webHidden/>
                <w:sz w:val="26"/>
                <w:szCs w:val="26"/>
              </w:rPr>
              <w:tab/>
            </w:r>
            <w:r w:rsidR="007F0272" w:rsidRPr="0082628D">
              <w:rPr>
                <w:noProof/>
                <w:webHidden/>
                <w:sz w:val="26"/>
                <w:szCs w:val="26"/>
              </w:rPr>
              <w:fldChar w:fldCharType="begin"/>
            </w:r>
            <w:r w:rsidR="007F0272" w:rsidRPr="0082628D">
              <w:rPr>
                <w:noProof/>
                <w:webHidden/>
                <w:sz w:val="26"/>
                <w:szCs w:val="26"/>
              </w:rPr>
              <w:instrText xml:space="preserve"> PAGEREF _Toc90970734 \h </w:instrText>
            </w:r>
            <w:r w:rsidR="007F0272" w:rsidRPr="0082628D">
              <w:rPr>
                <w:noProof/>
                <w:webHidden/>
                <w:sz w:val="26"/>
                <w:szCs w:val="26"/>
              </w:rPr>
            </w:r>
            <w:r w:rsidR="007F0272" w:rsidRPr="0082628D">
              <w:rPr>
                <w:noProof/>
                <w:webHidden/>
                <w:sz w:val="26"/>
                <w:szCs w:val="26"/>
              </w:rPr>
              <w:fldChar w:fldCharType="separate"/>
            </w:r>
            <w:r w:rsidR="004F1DF7">
              <w:rPr>
                <w:noProof/>
                <w:webHidden/>
                <w:sz w:val="26"/>
                <w:szCs w:val="26"/>
              </w:rPr>
              <w:t>66</w:t>
            </w:r>
            <w:r w:rsidR="007F0272" w:rsidRPr="0082628D">
              <w:rPr>
                <w:noProof/>
                <w:webHidden/>
                <w:sz w:val="26"/>
                <w:szCs w:val="26"/>
              </w:rPr>
              <w:fldChar w:fldCharType="end"/>
            </w:r>
          </w:hyperlink>
        </w:p>
        <w:p w14:paraId="4DCF0D1F" w14:textId="6F0BFC0F" w:rsidR="007F0272" w:rsidRPr="0082628D" w:rsidRDefault="00927F92" w:rsidP="0082628D">
          <w:pPr>
            <w:pStyle w:val="TOC3"/>
            <w:rPr>
              <w:rFonts w:eastAsiaTheme="minorEastAsia"/>
              <w:noProof/>
              <w:szCs w:val="26"/>
            </w:rPr>
          </w:pPr>
          <w:hyperlink w:anchor="_Toc90970735" w:history="1">
            <w:r w:rsidR="007F0272" w:rsidRPr="0082628D">
              <w:rPr>
                <w:rStyle w:val="Hyperlink"/>
                <w:noProof/>
                <w:szCs w:val="26"/>
              </w:rPr>
              <w:t>4.</w:t>
            </w:r>
            <w:r w:rsidR="007F0272" w:rsidRPr="0082628D">
              <w:rPr>
                <w:rFonts w:eastAsiaTheme="minorEastAsia"/>
                <w:noProof/>
                <w:szCs w:val="26"/>
              </w:rPr>
              <w:tab/>
            </w:r>
            <w:r w:rsidR="007F0272" w:rsidRPr="0082628D">
              <w:rPr>
                <w:rStyle w:val="Hyperlink"/>
                <w:noProof/>
                <w:szCs w:val="26"/>
              </w:rPr>
              <w:t>Market Approach</w:t>
            </w:r>
            <w:r w:rsidR="007F0272" w:rsidRPr="0082628D">
              <w:rPr>
                <w:noProof/>
                <w:webHidden/>
                <w:szCs w:val="26"/>
              </w:rPr>
              <w:tab/>
            </w:r>
            <w:r w:rsidR="007F0272" w:rsidRPr="0082628D">
              <w:rPr>
                <w:noProof/>
                <w:webHidden/>
                <w:szCs w:val="26"/>
              </w:rPr>
              <w:fldChar w:fldCharType="begin"/>
            </w:r>
            <w:r w:rsidR="007F0272" w:rsidRPr="0082628D">
              <w:rPr>
                <w:noProof/>
                <w:webHidden/>
                <w:szCs w:val="26"/>
              </w:rPr>
              <w:instrText xml:space="preserve"> PAGEREF _Toc90970735 \h </w:instrText>
            </w:r>
            <w:r w:rsidR="007F0272" w:rsidRPr="0082628D">
              <w:rPr>
                <w:noProof/>
                <w:webHidden/>
                <w:szCs w:val="26"/>
              </w:rPr>
            </w:r>
            <w:r w:rsidR="007F0272" w:rsidRPr="0082628D">
              <w:rPr>
                <w:noProof/>
                <w:webHidden/>
                <w:szCs w:val="26"/>
              </w:rPr>
              <w:fldChar w:fldCharType="separate"/>
            </w:r>
            <w:r w:rsidR="004F1DF7">
              <w:rPr>
                <w:noProof/>
                <w:webHidden/>
                <w:szCs w:val="26"/>
              </w:rPr>
              <w:t>70</w:t>
            </w:r>
            <w:r w:rsidR="007F0272" w:rsidRPr="0082628D">
              <w:rPr>
                <w:noProof/>
                <w:webHidden/>
                <w:szCs w:val="26"/>
              </w:rPr>
              <w:fldChar w:fldCharType="end"/>
            </w:r>
          </w:hyperlink>
        </w:p>
        <w:p w14:paraId="1B374464" w14:textId="39D1B64C" w:rsidR="007F0272" w:rsidRPr="0082628D" w:rsidRDefault="00927F92" w:rsidP="0082628D">
          <w:pPr>
            <w:pStyle w:val="TOC4"/>
            <w:tabs>
              <w:tab w:val="clear" w:pos="1100"/>
              <w:tab w:val="left" w:pos="2880"/>
            </w:tabs>
            <w:ind w:left="2160"/>
            <w:rPr>
              <w:rFonts w:eastAsiaTheme="minorEastAsia"/>
              <w:noProof/>
              <w:sz w:val="26"/>
              <w:szCs w:val="26"/>
            </w:rPr>
          </w:pPr>
          <w:hyperlink w:anchor="_Toc90970736" w:history="1">
            <w:r w:rsidR="007F0272" w:rsidRPr="0082628D">
              <w:rPr>
                <w:rStyle w:val="Hyperlink"/>
                <w:noProof/>
                <w:sz w:val="26"/>
                <w:szCs w:val="26"/>
              </w:rPr>
              <w:t>a.</w:t>
            </w:r>
            <w:r w:rsidR="007F0272" w:rsidRPr="0082628D">
              <w:rPr>
                <w:rFonts w:eastAsiaTheme="minorEastAsia"/>
                <w:noProof/>
                <w:sz w:val="26"/>
                <w:szCs w:val="26"/>
              </w:rPr>
              <w:tab/>
            </w:r>
            <w:r w:rsidR="007F0272" w:rsidRPr="0082628D">
              <w:rPr>
                <w:rStyle w:val="Hyperlink"/>
                <w:noProof/>
                <w:sz w:val="26"/>
                <w:szCs w:val="26"/>
              </w:rPr>
              <w:t>Positions of the Parties</w:t>
            </w:r>
            <w:r w:rsidR="007F0272" w:rsidRPr="0082628D">
              <w:rPr>
                <w:noProof/>
                <w:webHidden/>
                <w:sz w:val="26"/>
                <w:szCs w:val="26"/>
              </w:rPr>
              <w:tab/>
            </w:r>
            <w:r w:rsidR="007F0272" w:rsidRPr="0082628D">
              <w:rPr>
                <w:noProof/>
                <w:webHidden/>
                <w:sz w:val="26"/>
                <w:szCs w:val="26"/>
              </w:rPr>
              <w:fldChar w:fldCharType="begin"/>
            </w:r>
            <w:r w:rsidR="007F0272" w:rsidRPr="0082628D">
              <w:rPr>
                <w:noProof/>
                <w:webHidden/>
                <w:sz w:val="26"/>
                <w:szCs w:val="26"/>
              </w:rPr>
              <w:instrText xml:space="preserve"> PAGEREF _Toc90970736 \h </w:instrText>
            </w:r>
            <w:r w:rsidR="007F0272" w:rsidRPr="0082628D">
              <w:rPr>
                <w:noProof/>
                <w:webHidden/>
                <w:sz w:val="26"/>
                <w:szCs w:val="26"/>
              </w:rPr>
            </w:r>
            <w:r w:rsidR="007F0272" w:rsidRPr="0082628D">
              <w:rPr>
                <w:noProof/>
                <w:webHidden/>
                <w:sz w:val="26"/>
                <w:szCs w:val="26"/>
              </w:rPr>
              <w:fldChar w:fldCharType="separate"/>
            </w:r>
            <w:r w:rsidR="004F1DF7">
              <w:rPr>
                <w:noProof/>
                <w:webHidden/>
                <w:sz w:val="26"/>
                <w:szCs w:val="26"/>
              </w:rPr>
              <w:t>71</w:t>
            </w:r>
            <w:r w:rsidR="007F0272" w:rsidRPr="0082628D">
              <w:rPr>
                <w:noProof/>
                <w:webHidden/>
                <w:sz w:val="26"/>
                <w:szCs w:val="26"/>
              </w:rPr>
              <w:fldChar w:fldCharType="end"/>
            </w:r>
          </w:hyperlink>
        </w:p>
        <w:p w14:paraId="324779E9" w14:textId="3D4B5C59" w:rsidR="007F0272" w:rsidRPr="0082628D" w:rsidRDefault="00927F92" w:rsidP="0082628D">
          <w:pPr>
            <w:pStyle w:val="TOC4"/>
            <w:tabs>
              <w:tab w:val="clear" w:pos="1100"/>
              <w:tab w:val="left" w:pos="2880"/>
            </w:tabs>
            <w:ind w:left="2160"/>
            <w:rPr>
              <w:rFonts w:eastAsiaTheme="minorEastAsia"/>
              <w:noProof/>
              <w:sz w:val="26"/>
              <w:szCs w:val="26"/>
            </w:rPr>
          </w:pPr>
          <w:hyperlink w:anchor="_Toc90970737" w:history="1">
            <w:r w:rsidR="007F0272" w:rsidRPr="0082628D">
              <w:rPr>
                <w:rStyle w:val="Hyperlink"/>
                <w:noProof/>
                <w:sz w:val="26"/>
                <w:szCs w:val="26"/>
              </w:rPr>
              <w:t>b.</w:t>
            </w:r>
            <w:r w:rsidR="007F0272" w:rsidRPr="0082628D">
              <w:rPr>
                <w:rFonts w:eastAsiaTheme="minorEastAsia"/>
                <w:noProof/>
                <w:sz w:val="26"/>
                <w:szCs w:val="26"/>
              </w:rPr>
              <w:tab/>
            </w:r>
            <w:r w:rsidR="007F0272" w:rsidRPr="0082628D">
              <w:rPr>
                <w:rStyle w:val="Hyperlink"/>
                <w:noProof/>
                <w:sz w:val="26"/>
                <w:szCs w:val="26"/>
              </w:rPr>
              <w:t>ALJ’s Recommendation</w:t>
            </w:r>
            <w:r w:rsidR="007F0272" w:rsidRPr="0082628D">
              <w:rPr>
                <w:noProof/>
                <w:webHidden/>
                <w:sz w:val="26"/>
                <w:szCs w:val="26"/>
              </w:rPr>
              <w:tab/>
            </w:r>
            <w:r w:rsidR="007F0272" w:rsidRPr="0082628D">
              <w:rPr>
                <w:noProof/>
                <w:webHidden/>
                <w:sz w:val="26"/>
                <w:szCs w:val="26"/>
              </w:rPr>
              <w:fldChar w:fldCharType="begin"/>
            </w:r>
            <w:r w:rsidR="007F0272" w:rsidRPr="0082628D">
              <w:rPr>
                <w:noProof/>
                <w:webHidden/>
                <w:sz w:val="26"/>
                <w:szCs w:val="26"/>
              </w:rPr>
              <w:instrText xml:space="preserve"> PAGEREF _Toc90970737 \h </w:instrText>
            </w:r>
            <w:r w:rsidR="007F0272" w:rsidRPr="0082628D">
              <w:rPr>
                <w:noProof/>
                <w:webHidden/>
                <w:sz w:val="26"/>
                <w:szCs w:val="26"/>
              </w:rPr>
            </w:r>
            <w:r w:rsidR="007F0272" w:rsidRPr="0082628D">
              <w:rPr>
                <w:noProof/>
                <w:webHidden/>
                <w:sz w:val="26"/>
                <w:szCs w:val="26"/>
              </w:rPr>
              <w:fldChar w:fldCharType="separate"/>
            </w:r>
            <w:r w:rsidR="004F1DF7">
              <w:rPr>
                <w:noProof/>
                <w:webHidden/>
                <w:sz w:val="26"/>
                <w:szCs w:val="26"/>
              </w:rPr>
              <w:t>72</w:t>
            </w:r>
            <w:r w:rsidR="007F0272" w:rsidRPr="0082628D">
              <w:rPr>
                <w:noProof/>
                <w:webHidden/>
                <w:sz w:val="26"/>
                <w:szCs w:val="26"/>
              </w:rPr>
              <w:fldChar w:fldCharType="end"/>
            </w:r>
          </w:hyperlink>
        </w:p>
        <w:p w14:paraId="7B1CA15A" w14:textId="0F229AE7" w:rsidR="007F0272" w:rsidRPr="0082628D" w:rsidRDefault="00927F92" w:rsidP="0082628D">
          <w:pPr>
            <w:pStyle w:val="TOC4"/>
            <w:tabs>
              <w:tab w:val="clear" w:pos="1100"/>
              <w:tab w:val="left" w:pos="2880"/>
            </w:tabs>
            <w:ind w:left="2160"/>
            <w:rPr>
              <w:rFonts w:eastAsiaTheme="minorEastAsia"/>
              <w:noProof/>
              <w:sz w:val="26"/>
              <w:szCs w:val="26"/>
            </w:rPr>
          </w:pPr>
          <w:hyperlink w:anchor="_Toc90970738" w:history="1">
            <w:r w:rsidR="007F0272" w:rsidRPr="0082628D">
              <w:rPr>
                <w:rStyle w:val="Hyperlink"/>
                <w:noProof/>
                <w:sz w:val="26"/>
                <w:szCs w:val="26"/>
              </w:rPr>
              <w:t>c.</w:t>
            </w:r>
            <w:r w:rsidR="007F0272" w:rsidRPr="0082628D">
              <w:rPr>
                <w:rFonts w:eastAsiaTheme="minorEastAsia"/>
                <w:noProof/>
                <w:sz w:val="26"/>
                <w:szCs w:val="26"/>
              </w:rPr>
              <w:tab/>
            </w:r>
            <w:r w:rsidR="007F0272" w:rsidRPr="0082628D">
              <w:rPr>
                <w:rStyle w:val="Hyperlink"/>
                <w:noProof/>
                <w:sz w:val="26"/>
                <w:szCs w:val="26"/>
              </w:rPr>
              <w:t>Aqua Exception No. 4 and Replies</w:t>
            </w:r>
            <w:r w:rsidR="007F0272" w:rsidRPr="0082628D">
              <w:rPr>
                <w:noProof/>
                <w:webHidden/>
                <w:sz w:val="26"/>
                <w:szCs w:val="26"/>
              </w:rPr>
              <w:tab/>
            </w:r>
            <w:r w:rsidR="007F0272" w:rsidRPr="0082628D">
              <w:rPr>
                <w:noProof/>
                <w:webHidden/>
                <w:sz w:val="26"/>
                <w:szCs w:val="26"/>
              </w:rPr>
              <w:fldChar w:fldCharType="begin"/>
            </w:r>
            <w:r w:rsidR="007F0272" w:rsidRPr="0082628D">
              <w:rPr>
                <w:noProof/>
                <w:webHidden/>
                <w:sz w:val="26"/>
                <w:szCs w:val="26"/>
              </w:rPr>
              <w:instrText xml:space="preserve"> PAGEREF _Toc90970738 \h </w:instrText>
            </w:r>
            <w:r w:rsidR="007F0272" w:rsidRPr="0082628D">
              <w:rPr>
                <w:noProof/>
                <w:webHidden/>
                <w:sz w:val="26"/>
                <w:szCs w:val="26"/>
              </w:rPr>
            </w:r>
            <w:r w:rsidR="007F0272" w:rsidRPr="0082628D">
              <w:rPr>
                <w:noProof/>
                <w:webHidden/>
                <w:sz w:val="26"/>
                <w:szCs w:val="26"/>
              </w:rPr>
              <w:fldChar w:fldCharType="separate"/>
            </w:r>
            <w:r w:rsidR="004F1DF7">
              <w:rPr>
                <w:noProof/>
                <w:webHidden/>
                <w:sz w:val="26"/>
                <w:szCs w:val="26"/>
              </w:rPr>
              <w:t>73</w:t>
            </w:r>
            <w:r w:rsidR="007F0272" w:rsidRPr="0082628D">
              <w:rPr>
                <w:noProof/>
                <w:webHidden/>
                <w:sz w:val="26"/>
                <w:szCs w:val="26"/>
              </w:rPr>
              <w:fldChar w:fldCharType="end"/>
            </w:r>
          </w:hyperlink>
        </w:p>
        <w:p w14:paraId="1467055D" w14:textId="3D9D37DB" w:rsidR="007F0272" w:rsidRPr="0082628D" w:rsidRDefault="00927F92" w:rsidP="0082628D">
          <w:pPr>
            <w:pStyle w:val="TOC4"/>
            <w:tabs>
              <w:tab w:val="clear" w:pos="1100"/>
              <w:tab w:val="left" w:pos="2880"/>
            </w:tabs>
            <w:ind w:left="2160"/>
            <w:rPr>
              <w:rFonts w:eastAsiaTheme="minorEastAsia"/>
              <w:noProof/>
              <w:sz w:val="26"/>
              <w:szCs w:val="26"/>
            </w:rPr>
          </w:pPr>
          <w:hyperlink w:anchor="_Toc90970739" w:history="1">
            <w:r w:rsidR="007F0272" w:rsidRPr="0082628D">
              <w:rPr>
                <w:rStyle w:val="Hyperlink"/>
                <w:noProof/>
                <w:sz w:val="26"/>
                <w:szCs w:val="26"/>
              </w:rPr>
              <w:t>d.</w:t>
            </w:r>
            <w:r w:rsidR="007F0272" w:rsidRPr="0082628D">
              <w:rPr>
                <w:rFonts w:eastAsiaTheme="minorEastAsia"/>
                <w:noProof/>
                <w:sz w:val="26"/>
                <w:szCs w:val="26"/>
              </w:rPr>
              <w:tab/>
            </w:r>
            <w:r w:rsidR="007F0272" w:rsidRPr="0082628D">
              <w:rPr>
                <w:rStyle w:val="Hyperlink"/>
                <w:noProof/>
                <w:sz w:val="26"/>
                <w:szCs w:val="26"/>
              </w:rPr>
              <w:t>Disposition</w:t>
            </w:r>
            <w:r w:rsidR="007F0272" w:rsidRPr="0082628D">
              <w:rPr>
                <w:noProof/>
                <w:webHidden/>
                <w:sz w:val="26"/>
                <w:szCs w:val="26"/>
              </w:rPr>
              <w:tab/>
            </w:r>
            <w:r w:rsidR="007F0272" w:rsidRPr="0082628D">
              <w:rPr>
                <w:noProof/>
                <w:webHidden/>
                <w:sz w:val="26"/>
                <w:szCs w:val="26"/>
              </w:rPr>
              <w:fldChar w:fldCharType="begin"/>
            </w:r>
            <w:r w:rsidR="007F0272" w:rsidRPr="0082628D">
              <w:rPr>
                <w:noProof/>
                <w:webHidden/>
                <w:sz w:val="26"/>
                <w:szCs w:val="26"/>
              </w:rPr>
              <w:instrText xml:space="preserve"> PAGEREF _Toc90970739 \h </w:instrText>
            </w:r>
            <w:r w:rsidR="007F0272" w:rsidRPr="0082628D">
              <w:rPr>
                <w:noProof/>
                <w:webHidden/>
                <w:sz w:val="26"/>
                <w:szCs w:val="26"/>
              </w:rPr>
            </w:r>
            <w:r w:rsidR="007F0272" w:rsidRPr="0082628D">
              <w:rPr>
                <w:noProof/>
                <w:webHidden/>
                <w:sz w:val="26"/>
                <w:szCs w:val="26"/>
              </w:rPr>
              <w:fldChar w:fldCharType="separate"/>
            </w:r>
            <w:r w:rsidR="004F1DF7">
              <w:rPr>
                <w:noProof/>
                <w:webHidden/>
                <w:sz w:val="26"/>
                <w:szCs w:val="26"/>
              </w:rPr>
              <w:t>74</w:t>
            </w:r>
            <w:r w:rsidR="007F0272" w:rsidRPr="0082628D">
              <w:rPr>
                <w:noProof/>
                <w:webHidden/>
                <w:sz w:val="26"/>
                <w:szCs w:val="26"/>
              </w:rPr>
              <w:fldChar w:fldCharType="end"/>
            </w:r>
          </w:hyperlink>
        </w:p>
        <w:p w14:paraId="4F458A70" w14:textId="53749F47" w:rsidR="007F0272" w:rsidRPr="0082628D" w:rsidRDefault="00927F92" w:rsidP="0082628D">
          <w:pPr>
            <w:pStyle w:val="TOC3"/>
            <w:rPr>
              <w:rFonts w:eastAsiaTheme="minorEastAsia"/>
              <w:noProof/>
              <w:szCs w:val="26"/>
            </w:rPr>
          </w:pPr>
          <w:hyperlink w:anchor="_Toc90970740" w:history="1">
            <w:r w:rsidR="007F0272" w:rsidRPr="0082628D">
              <w:rPr>
                <w:rStyle w:val="Hyperlink"/>
                <w:noProof/>
                <w:szCs w:val="26"/>
              </w:rPr>
              <w:t>5.</w:t>
            </w:r>
            <w:r w:rsidR="007F0272" w:rsidRPr="0082628D">
              <w:rPr>
                <w:rFonts w:eastAsiaTheme="minorEastAsia"/>
                <w:noProof/>
                <w:szCs w:val="26"/>
              </w:rPr>
              <w:tab/>
            </w:r>
            <w:r w:rsidR="007F0272" w:rsidRPr="0082628D">
              <w:rPr>
                <w:rStyle w:val="Hyperlink"/>
                <w:noProof/>
                <w:szCs w:val="26"/>
              </w:rPr>
              <w:t>Conclusion – Section 1329 Fair Market Valuation</w:t>
            </w:r>
            <w:r w:rsidR="007F0272" w:rsidRPr="0082628D">
              <w:rPr>
                <w:noProof/>
                <w:webHidden/>
                <w:szCs w:val="26"/>
              </w:rPr>
              <w:tab/>
            </w:r>
            <w:r w:rsidR="007F0272" w:rsidRPr="0082628D">
              <w:rPr>
                <w:noProof/>
                <w:webHidden/>
                <w:szCs w:val="26"/>
              </w:rPr>
              <w:fldChar w:fldCharType="begin"/>
            </w:r>
            <w:r w:rsidR="007F0272" w:rsidRPr="0082628D">
              <w:rPr>
                <w:noProof/>
                <w:webHidden/>
                <w:szCs w:val="26"/>
              </w:rPr>
              <w:instrText xml:space="preserve"> PAGEREF _Toc90970740 \h </w:instrText>
            </w:r>
            <w:r w:rsidR="007F0272" w:rsidRPr="0082628D">
              <w:rPr>
                <w:noProof/>
                <w:webHidden/>
                <w:szCs w:val="26"/>
              </w:rPr>
            </w:r>
            <w:r w:rsidR="007F0272" w:rsidRPr="0082628D">
              <w:rPr>
                <w:noProof/>
                <w:webHidden/>
                <w:szCs w:val="26"/>
              </w:rPr>
              <w:fldChar w:fldCharType="separate"/>
            </w:r>
            <w:r w:rsidR="004F1DF7">
              <w:rPr>
                <w:noProof/>
                <w:webHidden/>
                <w:szCs w:val="26"/>
              </w:rPr>
              <w:t>74</w:t>
            </w:r>
            <w:r w:rsidR="007F0272" w:rsidRPr="0082628D">
              <w:rPr>
                <w:noProof/>
                <w:webHidden/>
                <w:szCs w:val="26"/>
              </w:rPr>
              <w:fldChar w:fldCharType="end"/>
            </w:r>
          </w:hyperlink>
        </w:p>
        <w:p w14:paraId="39DCD9BB" w14:textId="3C0F5503" w:rsidR="007F0272" w:rsidRPr="0082628D" w:rsidRDefault="00927F92" w:rsidP="0082628D">
          <w:pPr>
            <w:pStyle w:val="TOC4"/>
            <w:tabs>
              <w:tab w:val="clear" w:pos="1100"/>
              <w:tab w:val="left" w:pos="2880"/>
            </w:tabs>
            <w:ind w:left="2160"/>
            <w:rPr>
              <w:rFonts w:eastAsiaTheme="minorEastAsia"/>
              <w:noProof/>
              <w:sz w:val="26"/>
              <w:szCs w:val="26"/>
            </w:rPr>
          </w:pPr>
          <w:hyperlink w:anchor="_Toc90970741" w:history="1">
            <w:r w:rsidR="007F0272" w:rsidRPr="0082628D">
              <w:rPr>
                <w:rStyle w:val="Hyperlink"/>
                <w:noProof/>
                <w:sz w:val="26"/>
                <w:szCs w:val="26"/>
              </w:rPr>
              <w:t>a.</w:t>
            </w:r>
            <w:r w:rsidR="007F0272" w:rsidRPr="0082628D">
              <w:rPr>
                <w:rFonts w:eastAsiaTheme="minorEastAsia"/>
                <w:noProof/>
                <w:sz w:val="26"/>
                <w:szCs w:val="26"/>
              </w:rPr>
              <w:tab/>
            </w:r>
            <w:r w:rsidR="007F0272" w:rsidRPr="0082628D">
              <w:rPr>
                <w:rStyle w:val="Hyperlink"/>
                <w:noProof/>
                <w:sz w:val="26"/>
                <w:szCs w:val="26"/>
              </w:rPr>
              <w:t>Positions of the Parties</w:t>
            </w:r>
            <w:r w:rsidR="007F0272" w:rsidRPr="0082628D">
              <w:rPr>
                <w:noProof/>
                <w:webHidden/>
                <w:sz w:val="26"/>
                <w:szCs w:val="26"/>
              </w:rPr>
              <w:tab/>
            </w:r>
            <w:r w:rsidR="007F0272" w:rsidRPr="0082628D">
              <w:rPr>
                <w:noProof/>
                <w:webHidden/>
                <w:sz w:val="26"/>
                <w:szCs w:val="26"/>
              </w:rPr>
              <w:fldChar w:fldCharType="begin"/>
            </w:r>
            <w:r w:rsidR="007F0272" w:rsidRPr="0082628D">
              <w:rPr>
                <w:noProof/>
                <w:webHidden/>
                <w:sz w:val="26"/>
                <w:szCs w:val="26"/>
              </w:rPr>
              <w:instrText xml:space="preserve"> PAGEREF _Toc90970741 \h </w:instrText>
            </w:r>
            <w:r w:rsidR="007F0272" w:rsidRPr="0082628D">
              <w:rPr>
                <w:noProof/>
                <w:webHidden/>
                <w:sz w:val="26"/>
                <w:szCs w:val="26"/>
              </w:rPr>
            </w:r>
            <w:r w:rsidR="007F0272" w:rsidRPr="0082628D">
              <w:rPr>
                <w:noProof/>
                <w:webHidden/>
                <w:sz w:val="26"/>
                <w:szCs w:val="26"/>
              </w:rPr>
              <w:fldChar w:fldCharType="separate"/>
            </w:r>
            <w:r w:rsidR="004F1DF7">
              <w:rPr>
                <w:noProof/>
                <w:webHidden/>
                <w:sz w:val="26"/>
                <w:szCs w:val="26"/>
              </w:rPr>
              <w:t>74</w:t>
            </w:r>
            <w:r w:rsidR="007F0272" w:rsidRPr="0082628D">
              <w:rPr>
                <w:noProof/>
                <w:webHidden/>
                <w:sz w:val="26"/>
                <w:szCs w:val="26"/>
              </w:rPr>
              <w:fldChar w:fldCharType="end"/>
            </w:r>
          </w:hyperlink>
        </w:p>
        <w:p w14:paraId="6899BC1D" w14:textId="333D3559" w:rsidR="007F0272" w:rsidRPr="0082628D" w:rsidRDefault="00927F92" w:rsidP="0082628D">
          <w:pPr>
            <w:pStyle w:val="TOC4"/>
            <w:tabs>
              <w:tab w:val="clear" w:pos="1100"/>
              <w:tab w:val="left" w:pos="2880"/>
            </w:tabs>
            <w:ind w:left="2160"/>
            <w:rPr>
              <w:rFonts w:eastAsiaTheme="minorEastAsia"/>
              <w:noProof/>
              <w:sz w:val="26"/>
              <w:szCs w:val="26"/>
            </w:rPr>
          </w:pPr>
          <w:hyperlink w:anchor="_Toc90970742" w:history="1">
            <w:r w:rsidR="007F0272" w:rsidRPr="0082628D">
              <w:rPr>
                <w:rStyle w:val="Hyperlink"/>
                <w:noProof/>
                <w:sz w:val="26"/>
                <w:szCs w:val="26"/>
              </w:rPr>
              <w:t>b.</w:t>
            </w:r>
            <w:r w:rsidR="007F0272" w:rsidRPr="0082628D">
              <w:rPr>
                <w:rFonts w:eastAsiaTheme="minorEastAsia"/>
                <w:noProof/>
                <w:sz w:val="26"/>
                <w:szCs w:val="26"/>
              </w:rPr>
              <w:tab/>
            </w:r>
            <w:r w:rsidR="007F0272" w:rsidRPr="0082628D">
              <w:rPr>
                <w:rStyle w:val="Hyperlink"/>
                <w:noProof/>
                <w:sz w:val="26"/>
                <w:szCs w:val="26"/>
              </w:rPr>
              <w:t>ALJ’s Recommendation</w:t>
            </w:r>
            <w:r w:rsidR="007F0272" w:rsidRPr="0082628D">
              <w:rPr>
                <w:noProof/>
                <w:webHidden/>
                <w:sz w:val="26"/>
                <w:szCs w:val="26"/>
              </w:rPr>
              <w:tab/>
            </w:r>
            <w:r w:rsidR="007F0272" w:rsidRPr="0082628D">
              <w:rPr>
                <w:noProof/>
                <w:webHidden/>
                <w:sz w:val="26"/>
                <w:szCs w:val="26"/>
              </w:rPr>
              <w:fldChar w:fldCharType="begin"/>
            </w:r>
            <w:r w:rsidR="007F0272" w:rsidRPr="0082628D">
              <w:rPr>
                <w:noProof/>
                <w:webHidden/>
                <w:sz w:val="26"/>
                <w:szCs w:val="26"/>
              </w:rPr>
              <w:instrText xml:space="preserve"> PAGEREF _Toc90970742 \h </w:instrText>
            </w:r>
            <w:r w:rsidR="007F0272" w:rsidRPr="0082628D">
              <w:rPr>
                <w:noProof/>
                <w:webHidden/>
                <w:sz w:val="26"/>
                <w:szCs w:val="26"/>
              </w:rPr>
            </w:r>
            <w:r w:rsidR="007F0272" w:rsidRPr="0082628D">
              <w:rPr>
                <w:noProof/>
                <w:webHidden/>
                <w:sz w:val="26"/>
                <w:szCs w:val="26"/>
              </w:rPr>
              <w:fldChar w:fldCharType="separate"/>
            </w:r>
            <w:r w:rsidR="004F1DF7">
              <w:rPr>
                <w:noProof/>
                <w:webHidden/>
                <w:sz w:val="26"/>
                <w:szCs w:val="26"/>
              </w:rPr>
              <w:t>75</w:t>
            </w:r>
            <w:r w:rsidR="007F0272" w:rsidRPr="0082628D">
              <w:rPr>
                <w:noProof/>
                <w:webHidden/>
                <w:sz w:val="26"/>
                <w:szCs w:val="26"/>
              </w:rPr>
              <w:fldChar w:fldCharType="end"/>
            </w:r>
          </w:hyperlink>
        </w:p>
        <w:p w14:paraId="6CD294ED" w14:textId="4E346854" w:rsidR="007F0272" w:rsidRPr="0082628D" w:rsidRDefault="00927F92" w:rsidP="0082628D">
          <w:pPr>
            <w:pStyle w:val="TOC4"/>
            <w:tabs>
              <w:tab w:val="clear" w:pos="1100"/>
              <w:tab w:val="left" w:pos="2880"/>
            </w:tabs>
            <w:ind w:left="2160"/>
            <w:rPr>
              <w:rFonts w:eastAsiaTheme="minorEastAsia"/>
              <w:noProof/>
              <w:sz w:val="26"/>
              <w:szCs w:val="26"/>
            </w:rPr>
          </w:pPr>
          <w:hyperlink w:anchor="_Toc90970743" w:history="1">
            <w:r w:rsidR="007F0272" w:rsidRPr="0082628D">
              <w:rPr>
                <w:rStyle w:val="Hyperlink"/>
                <w:noProof/>
                <w:sz w:val="26"/>
                <w:szCs w:val="26"/>
              </w:rPr>
              <w:t>c.</w:t>
            </w:r>
            <w:r w:rsidR="007F0272" w:rsidRPr="0082628D">
              <w:rPr>
                <w:rFonts w:eastAsiaTheme="minorEastAsia"/>
                <w:noProof/>
                <w:sz w:val="26"/>
                <w:szCs w:val="26"/>
              </w:rPr>
              <w:tab/>
            </w:r>
            <w:r w:rsidR="007F0272" w:rsidRPr="0082628D">
              <w:rPr>
                <w:rStyle w:val="Hyperlink"/>
                <w:noProof/>
                <w:sz w:val="26"/>
                <w:szCs w:val="26"/>
              </w:rPr>
              <w:t>Aqua’s Exception No. 5 and Replies</w:t>
            </w:r>
            <w:r w:rsidR="007F0272" w:rsidRPr="0082628D">
              <w:rPr>
                <w:noProof/>
                <w:webHidden/>
                <w:sz w:val="26"/>
                <w:szCs w:val="26"/>
              </w:rPr>
              <w:tab/>
            </w:r>
            <w:r w:rsidR="007F0272" w:rsidRPr="0082628D">
              <w:rPr>
                <w:noProof/>
                <w:webHidden/>
                <w:sz w:val="26"/>
                <w:szCs w:val="26"/>
              </w:rPr>
              <w:fldChar w:fldCharType="begin"/>
            </w:r>
            <w:r w:rsidR="007F0272" w:rsidRPr="0082628D">
              <w:rPr>
                <w:noProof/>
                <w:webHidden/>
                <w:sz w:val="26"/>
                <w:szCs w:val="26"/>
              </w:rPr>
              <w:instrText xml:space="preserve"> PAGEREF _Toc90970743 \h </w:instrText>
            </w:r>
            <w:r w:rsidR="007F0272" w:rsidRPr="0082628D">
              <w:rPr>
                <w:noProof/>
                <w:webHidden/>
                <w:sz w:val="26"/>
                <w:szCs w:val="26"/>
              </w:rPr>
            </w:r>
            <w:r w:rsidR="007F0272" w:rsidRPr="0082628D">
              <w:rPr>
                <w:noProof/>
                <w:webHidden/>
                <w:sz w:val="26"/>
                <w:szCs w:val="26"/>
              </w:rPr>
              <w:fldChar w:fldCharType="separate"/>
            </w:r>
            <w:r w:rsidR="004F1DF7">
              <w:rPr>
                <w:noProof/>
                <w:webHidden/>
                <w:sz w:val="26"/>
                <w:szCs w:val="26"/>
              </w:rPr>
              <w:t>75</w:t>
            </w:r>
            <w:r w:rsidR="007F0272" w:rsidRPr="0082628D">
              <w:rPr>
                <w:noProof/>
                <w:webHidden/>
                <w:sz w:val="26"/>
                <w:szCs w:val="26"/>
              </w:rPr>
              <w:fldChar w:fldCharType="end"/>
            </w:r>
          </w:hyperlink>
        </w:p>
        <w:p w14:paraId="65A8339E" w14:textId="4B9345EB" w:rsidR="007F0272" w:rsidRPr="0082628D" w:rsidRDefault="00927F92" w:rsidP="0082628D">
          <w:pPr>
            <w:pStyle w:val="TOC4"/>
            <w:tabs>
              <w:tab w:val="clear" w:pos="1100"/>
              <w:tab w:val="left" w:pos="2880"/>
            </w:tabs>
            <w:ind w:left="2160"/>
            <w:rPr>
              <w:rFonts w:eastAsiaTheme="minorEastAsia"/>
              <w:noProof/>
              <w:sz w:val="26"/>
              <w:szCs w:val="26"/>
            </w:rPr>
          </w:pPr>
          <w:hyperlink w:anchor="_Toc90970744" w:history="1">
            <w:r w:rsidR="007F0272" w:rsidRPr="0082628D">
              <w:rPr>
                <w:rStyle w:val="Hyperlink"/>
                <w:noProof/>
                <w:sz w:val="26"/>
                <w:szCs w:val="26"/>
              </w:rPr>
              <w:t>d.</w:t>
            </w:r>
            <w:r w:rsidR="007F0272" w:rsidRPr="0082628D">
              <w:rPr>
                <w:rFonts w:eastAsiaTheme="minorEastAsia"/>
                <w:noProof/>
                <w:sz w:val="26"/>
                <w:szCs w:val="26"/>
              </w:rPr>
              <w:tab/>
            </w:r>
            <w:r w:rsidR="007F0272" w:rsidRPr="0082628D">
              <w:rPr>
                <w:rStyle w:val="Hyperlink"/>
                <w:noProof/>
                <w:sz w:val="26"/>
                <w:szCs w:val="26"/>
              </w:rPr>
              <w:t>Disposition</w:t>
            </w:r>
            <w:r w:rsidR="007F0272" w:rsidRPr="0082628D">
              <w:rPr>
                <w:noProof/>
                <w:webHidden/>
                <w:sz w:val="26"/>
                <w:szCs w:val="26"/>
              </w:rPr>
              <w:tab/>
            </w:r>
            <w:r w:rsidR="007F0272" w:rsidRPr="0082628D">
              <w:rPr>
                <w:noProof/>
                <w:webHidden/>
                <w:sz w:val="26"/>
                <w:szCs w:val="26"/>
              </w:rPr>
              <w:fldChar w:fldCharType="begin"/>
            </w:r>
            <w:r w:rsidR="007F0272" w:rsidRPr="0082628D">
              <w:rPr>
                <w:noProof/>
                <w:webHidden/>
                <w:sz w:val="26"/>
                <w:szCs w:val="26"/>
              </w:rPr>
              <w:instrText xml:space="preserve"> PAGEREF _Toc90970744 \h </w:instrText>
            </w:r>
            <w:r w:rsidR="007F0272" w:rsidRPr="0082628D">
              <w:rPr>
                <w:noProof/>
                <w:webHidden/>
                <w:sz w:val="26"/>
                <w:szCs w:val="26"/>
              </w:rPr>
            </w:r>
            <w:r w:rsidR="007F0272" w:rsidRPr="0082628D">
              <w:rPr>
                <w:noProof/>
                <w:webHidden/>
                <w:sz w:val="26"/>
                <w:szCs w:val="26"/>
              </w:rPr>
              <w:fldChar w:fldCharType="separate"/>
            </w:r>
            <w:r w:rsidR="004F1DF7">
              <w:rPr>
                <w:noProof/>
                <w:webHidden/>
                <w:sz w:val="26"/>
                <w:szCs w:val="26"/>
              </w:rPr>
              <w:t>78</w:t>
            </w:r>
            <w:r w:rsidR="007F0272" w:rsidRPr="0082628D">
              <w:rPr>
                <w:noProof/>
                <w:webHidden/>
                <w:sz w:val="26"/>
                <w:szCs w:val="26"/>
              </w:rPr>
              <w:fldChar w:fldCharType="end"/>
            </w:r>
          </w:hyperlink>
        </w:p>
        <w:p w14:paraId="00D1276B" w14:textId="6BEE1552" w:rsidR="007F0272" w:rsidRPr="0082628D" w:rsidRDefault="00927F92" w:rsidP="004F1DF7">
          <w:pPr>
            <w:pStyle w:val="TOC2"/>
            <w:rPr>
              <w:rFonts w:eastAsiaTheme="minorEastAsia"/>
              <w:noProof/>
            </w:rPr>
          </w:pPr>
          <w:hyperlink w:anchor="_Toc90970745" w:history="1">
            <w:r w:rsidR="007F0272" w:rsidRPr="0082628D">
              <w:rPr>
                <w:rStyle w:val="Hyperlink"/>
                <w:noProof/>
                <w:szCs w:val="26"/>
              </w:rPr>
              <w:t>B.</w:t>
            </w:r>
            <w:r w:rsidR="007F0272" w:rsidRPr="0082628D">
              <w:rPr>
                <w:rFonts w:eastAsiaTheme="minorEastAsia"/>
                <w:noProof/>
              </w:rPr>
              <w:tab/>
            </w:r>
            <w:r w:rsidR="007F0272" w:rsidRPr="0082628D">
              <w:rPr>
                <w:rStyle w:val="Hyperlink"/>
                <w:noProof/>
                <w:szCs w:val="26"/>
              </w:rPr>
              <w:t>Income Tax Savings on Repairs Deductions</w:t>
            </w:r>
            <w:r w:rsidR="007F0272" w:rsidRPr="0082628D">
              <w:rPr>
                <w:noProof/>
                <w:webHidden/>
              </w:rPr>
              <w:tab/>
            </w:r>
            <w:r w:rsidR="007F0272" w:rsidRPr="0082628D">
              <w:rPr>
                <w:noProof/>
                <w:webHidden/>
              </w:rPr>
              <w:fldChar w:fldCharType="begin"/>
            </w:r>
            <w:r w:rsidR="007F0272" w:rsidRPr="0082628D">
              <w:rPr>
                <w:noProof/>
                <w:webHidden/>
              </w:rPr>
              <w:instrText xml:space="preserve"> PAGEREF _Toc90970745 \h </w:instrText>
            </w:r>
            <w:r w:rsidR="007F0272" w:rsidRPr="0082628D">
              <w:rPr>
                <w:noProof/>
                <w:webHidden/>
              </w:rPr>
            </w:r>
            <w:r w:rsidR="007F0272" w:rsidRPr="0082628D">
              <w:rPr>
                <w:noProof/>
                <w:webHidden/>
              </w:rPr>
              <w:fldChar w:fldCharType="separate"/>
            </w:r>
            <w:r w:rsidR="004F1DF7">
              <w:rPr>
                <w:noProof/>
                <w:webHidden/>
              </w:rPr>
              <w:t>81</w:t>
            </w:r>
            <w:r w:rsidR="007F0272" w:rsidRPr="0082628D">
              <w:rPr>
                <w:noProof/>
                <w:webHidden/>
              </w:rPr>
              <w:fldChar w:fldCharType="end"/>
            </w:r>
          </w:hyperlink>
        </w:p>
        <w:p w14:paraId="72E1E060" w14:textId="27B4D989" w:rsidR="007F0272" w:rsidRPr="0082628D" w:rsidRDefault="00927F92" w:rsidP="0082628D">
          <w:pPr>
            <w:pStyle w:val="TOC3"/>
            <w:rPr>
              <w:rFonts w:eastAsiaTheme="minorEastAsia"/>
              <w:noProof/>
              <w:szCs w:val="26"/>
            </w:rPr>
          </w:pPr>
          <w:hyperlink w:anchor="_Toc90970746" w:history="1">
            <w:r w:rsidR="007F0272" w:rsidRPr="0082628D">
              <w:rPr>
                <w:rStyle w:val="Hyperlink"/>
                <w:noProof/>
                <w:szCs w:val="26"/>
              </w:rPr>
              <w:t>1.</w:t>
            </w:r>
            <w:r w:rsidR="007F0272" w:rsidRPr="0082628D">
              <w:rPr>
                <w:rFonts w:eastAsiaTheme="minorEastAsia"/>
                <w:noProof/>
                <w:szCs w:val="26"/>
              </w:rPr>
              <w:tab/>
            </w:r>
            <w:r w:rsidR="007F0272" w:rsidRPr="0082628D">
              <w:rPr>
                <w:rStyle w:val="Hyperlink"/>
                <w:noProof/>
                <w:szCs w:val="26"/>
              </w:rPr>
              <w:t>Positions of the Parties</w:t>
            </w:r>
            <w:r w:rsidR="007F0272" w:rsidRPr="0082628D">
              <w:rPr>
                <w:noProof/>
                <w:webHidden/>
                <w:szCs w:val="26"/>
              </w:rPr>
              <w:tab/>
            </w:r>
            <w:r w:rsidR="007F0272" w:rsidRPr="0082628D">
              <w:rPr>
                <w:noProof/>
                <w:webHidden/>
                <w:szCs w:val="26"/>
              </w:rPr>
              <w:fldChar w:fldCharType="begin"/>
            </w:r>
            <w:r w:rsidR="007F0272" w:rsidRPr="0082628D">
              <w:rPr>
                <w:noProof/>
                <w:webHidden/>
                <w:szCs w:val="26"/>
              </w:rPr>
              <w:instrText xml:space="preserve"> PAGEREF _Toc90970746 \h </w:instrText>
            </w:r>
            <w:r w:rsidR="007F0272" w:rsidRPr="0082628D">
              <w:rPr>
                <w:noProof/>
                <w:webHidden/>
                <w:szCs w:val="26"/>
              </w:rPr>
            </w:r>
            <w:r w:rsidR="007F0272" w:rsidRPr="0082628D">
              <w:rPr>
                <w:noProof/>
                <w:webHidden/>
                <w:szCs w:val="26"/>
              </w:rPr>
              <w:fldChar w:fldCharType="separate"/>
            </w:r>
            <w:r w:rsidR="004F1DF7">
              <w:rPr>
                <w:noProof/>
                <w:webHidden/>
                <w:szCs w:val="26"/>
              </w:rPr>
              <w:t>81</w:t>
            </w:r>
            <w:r w:rsidR="007F0272" w:rsidRPr="0082628D">
              <w:rPr>
                <w:noProof/>
                <w:webHidden/>
                <w:szCs w:val="26"/>
              </w:rPr>
              <w:fldChar w:fldCharType="end"/>
            </w:r>
          </w:hyperlink>
        </w:p>
        <w:p w14:paraId="5E69BF08" w14:textId="600A223A" w:rsidR="007F0272" w:rsidRPr="0082628D" w:rsidRDefault="00927F92" w:rsidP="0082628D">
          <w:pPr>
            <w:pStyle w:val="TOC3"/>
            <w:rPr>
              <w:rFonts w:eastAsiaTheme="minorEastAsia"/>
              <w:noProof/>
              <w:szCs w:val="26"/>
            </w:rPr>
          </w:pPr>
          <w:hyperlink w:anchor="_Toc90970747" w:history="1">
            <w:r w:rsidR="007F0272" w:rsidRPr="0082628D">
              <w:rPr>
                <w:rStyle w:val="Hyperlink"/>
                <w:noProof/>
                <w:szCs w:val="26"/>
              </w:rPr>
              <w:t>2.</w:t>
            </w:r>
            <w:r w:rsidR="007F0272" w:rsidRPr="0082628D">
              <w:rPr>
                <w:rFonts w:eastAsiaTheme="minorEastAsia"/>
                <w:noProof/>
                <w:szCs w:val="26"/>
              </w:rPr>
              <w:tab/>
            </w:r>
            <w:r w:rsidR="007F0272" w:rsidRPr="0082628D">
              <w:rPr>
                <w:rStyle w:val="Hyperlink"/>
                <w:noProof/>
                <w:szCs w:val="26"/>
              </w:rPr>
              <w:t>ALJ’s Recommendation</w:t>
            </w:r>
            <w:r w:rsidR="007F0272" w:rsidRPr="0082628D">
              <w:rPr>
                <w:noProof/>
                <w:webHidden/>
                <w:szCs w:val="26"/>
              </w:rPr>
              <w:tab/>
            </w:r>
            <w:r w:rsidR="007F0272" w:rsidRPr="0082628D">
              <w:rPr>
                <w:noProof/>
                <w:webHidden/>
                <w:szCs w:val="26"/>
              </w:rPr>
              <w:fldChar w:fldCharType="begin"/>
            </w:r>
            <w:r w:rsidR="007F0272" w:rsidRPr="0082628D">
              <w:rPr>
                <w:noProof/>
                <w:webHidden/>
                <w:szCs w:val="26"/>
              </w:rPr>
              <w:instrText xml:space="preserve"> PAGEREF _Toc90970747 \h </w:instrText>
            </w:r>
            <w:r w:rsidR="007F0272" w:rsidRPr="0082628D">
              <w:rPr>
                <w:noProof/>
                <w:webHidden/>
                <w:szCs w:val="26"/>
              </w:rPr>
            </w:r>
            <w:r w:rsidR="007F0272" w:rsidRPr="0082628D">
              <w:rPr>
                <w:noProof/>
                <w:webHidden/>
                <w:szCs w:val="26"/>
              </w:rPr>
              <w:fldChar w:fldCharType="separate"/>
            </w:r>
            <w:r w:rsidR="004F1DF7">
              <w:rPr>
                <w:noProof/>
                <w:webHidden/>
                <w:szCs w:val="26"/>
              </w:rPr>
              <w:t>83</w:t>
            </w:r>
            <w:r w:rsidR="007F0272" w:rsidRPr="0082628D">
              <w:rPr>
                <w:noProof/>
                <w:webHidden/>
                <w:szCs w:val="26"/>
              </w:rPr>
              <w:fldChar w:fldCharType="end"/>
            </w:r>
          </w:hyperlink>
        </w:p>
        <w:p w14:paraId="19D27A8A" w14:textId="7FCFF384" w:rsidR="007F0272" w:rsidRPr="0082628D" w:rsidRDefault="00927F92" w:rsidP="0082628D">
          <w:pPr>
            <w:pStyle w:val="TOC3"/>
            <w:rPr>
              <w:rFonts w:eastAsiaTheme="minorEastAsia"/>
              <w:noProof/>
              <w:szCs w:val="26"/>
            </w:rPr>
          </w:pPr>
          <w:hyperlink w:anchor="_Toc90970748" w:history="1">
            <w:r w:rsidR="007F0272" w:rsidRPr="0082628D">
              <w:rPr>
                <w:rStyle w:val="Hyperlink"/>
                <w:noProof/>
                <w:szCs w:val="26"/>
              </w:rPr>
              <w:t>3.</w:t>
            </w:r>
            <w:r w:rsidR="007F0272" w:rsidRPr="0082628D">
              <w:rPr>
                <w:rFonts w:eastAsiaTheme="minorEastAsia"/>
                <w:noProof/>
                <w:szCs w:val="26"/>
              </w:rPr>
              <w:tab/>
            </w:r>
            <w:r w:rsidR="007F0272" w:rsidRPr="0082628D">
              <w:rPr>
                <w:rStyle w:val="Hyperlink"/>
                <w:noProof/>
                <w:szCs w:val="26"/>
              </w:rPr>
              <w:t>OCA Exception No. 1 and Replies</w:t>
            </w:r>
            <w:r w:rsidR="007F0272" w:rsidRPr="0082628D">
              <w:rPr>
                <w:noProof/>
                <w:webHidden/>
                <w:szCs w:val="26"/>
              </w:rPr>
              <w:tab/>
            </w:r>
            <w:r w:rsidR="007F0272" w:rsidRPr="0082628D">
              <w:rPr>
                <w:noProof/>
                <w:webHidden/>
                <w:szCs w:val="26"/>
              </w:rPr>
              <w:fldChar w:fldCharType="begin"/>
            </w:r>
            <w:r w:rsidR="007F0272" w:rsidRPr="0082628D">
              <w:rPr>
                <w:noProof/>
                <w:webHidden/>
                <w:szCs w:val="26"/>
              </w:rPr>
              <w:instrText xml:space="preserve"> PAGEREF _Toc90970748 \h </w:instrText>
            </w:r>
            <w:r w:rsidR="007F0272" w:rsidRPr="0082628D">
              <w:rPr>
                <w:noProof/>
                <w:webHidden/>
                <w:szCs w:val="26"/>
              </w:rPr>
            </w:r>
            <w:r w:rsidR="007F0272" w:rsidRPr="0082628D">
              <w:rPr>
                <w:noProof/>
                <w:webHidden/>
                <w:szCs w:val="26"/>
              </w:rPr>
              <w:fldChar w:fldCharType="separate"/>
            </w:r>
            <w:r w:rsidR="004F1DF7">
              <w:rPr>
                <w:noProof/>
                <w:webHidden/>
                <w:szCs w:val="26"/>
              </w:rPr>
              <w:t>85</w:t>
            </w:r>
            <w:r w:rsidR="007F0272" w:rsidRPr="0082628D">
              <w:rPr>
                <w:noProof/>
                <w:webHidden/>
                <w:szCs w:val="26"/>
              </w:rPr>
              <w:fldChar w:fldCharType="end"/>
            </w:r>
          </w:hyperlink>
        </w:p>
        <w:p w14:paraId="3AB3B170" w14:textId="67BE1719" w:rsidR="007F0272" w:rsidRPr="0082628D" w:rsidRDefault="00927F92" w:rsidP="0082628D">
          <w:pPr>
            <w:pStyle w:val="TOC3"/>
            <w:rPr>
              <w:rFonts w:eastAsiaTheme="minorEastAsia"/>
              <w:noProof/>
              <w:szCs w:val="26"/>
            </w:rPr>
          </w:pPr>
          <w:hyperlink w:anchor="_Toc90970749" w:history="1">
            <w:r w:rsidR="007F0272" w:rsidRPr="0082628D">
              <w:rPr>
                <w:rStyle w:val="Hyperlink"/>
                <w:noProof/>
                <w:szCs w:val="26"/>
              </w:rPr>
              <w:t>4.</w:t>
            </w:r>
            <w:r w:rsidR="007F0272" w:rsidRPr="0082628D">
              <w:rPr>
                <w:rFonts w:eastAsiaTheme="minorEastAsia"/>
                <w:noProof/>
                <w:szCs w:val="26"/>
              </w:rPr>
              <w:tab/>
            </w:r>
            <w:r w:rsidR="007F0272" w:rsidRPr="0082628D">
              <w:rPr>
                <w:rStyle w:val="Hyperlink"/>
                <w:noProof/>
                <w:szCs w:val="26"/>
              </w:rPr>
              <w:t>Disposition</w:t>
            </w:r>
            <w:r w:rsidR="007F0272" w:rsidRPr="0082628D">
              <w:rPr>
                <w:noProof/>
                <w:webHidden/>
                <w:szCs w:val="26"/>
              </w:rPr>
              <w:tab/>
            </w:r>
            <w:r w:rsidR="007F0272" w:rsidRPr="0082628D">
              <w:rPr>
                <w:noProof/>
                <w:webHidden/>
                <w:szCs w:val="26"/>
              </w:rPr>
              <w:fldChar w:fldCharType="begin"/>
            </w:r>
            <w:r w:rsidR="007F0272" w:rsidRPr="0082628D">
              <w:rPr>
                <w:noProof/>
                <w:webHidden/>
                <w:szCs w:val="26"/>
              </w:rPr>
              <w:instrText xml:space="preserve"> PAGEREF _Toc90970749 \h </w:instrText>
            </w:r>
            <w:r w:rsidR="007F0272" w:rsidRPr="0082628D">
              <w:rPr>
                <w:noProof/>
                <w:webHidden/>
                <w:szCs w:val="26"/>
              </w:rPr>
            </w:r>
            <w:r w:rsidR="007F0272" w:rsidRPr="0082628D">
              <w:rPr>
                <w:noProof/>
                <w:webHidden/>
                <w:szCs w:val="26"/>
              </w:rPr>
              <w:fldChar w:fldCharType="separate"/>
            </w:r>
            <w:r w:rsidR="004F1DF7">
              <w:rPr>
                <w:noProof/>
                <w:webHidden/>
                <w:szCs w:val="26"/>
              </w:rPr>
              <w:t>88</w:t>
            </w:r>
            <w:r w:rsidR="007F0272" w:rsidRPr="0082628D">
              <w:rPr>
                <w:noProof/>
                <w:webHidden/>
                <w:szCs w:val="26"/>
              </w:rPr>
              <w:fldChar w:fldCharType="end"/>
            </w:r>
          </w:hyperlink>
        </w:p>
        <w:p w14:paraId="1AAADD19" w14:textId="0288F593" w:rsidR="007F0272" w:rsidRPr="0082628D" w:rsidRDefault="00927F92" w:rsidP="0082628D">
          <w:pPr>
            <w:pStyle w:val="TOC1"/>
            <w:rPr>
              <w:rFonts w:eastAsiaTheme="minorEastAsia"/>
              <w:noProof/>
              <w:szCs w:val="26"/>
            </w:rPr>
          </w:pPr>
          <w:hyperlink w:anchor="_Toc90970750" w:history="1">
            <w:r w:rsidR="007F0272" w:rsidRPr="0082628D">
              <w:rPr>
                <w:rStyle w:val="Hyperlink"/>
                <w:noProof/>
                <w:szCs w:val="26"/>
              </w:rPr>
              <w:t>VI.</w:t>
            </w:r>
            <w:r w:rsidR="007F0272" w:rsidRPr="0082628D">
              <w:rPr>
                <w:rFonts w:eastAsiaTheme="minorEastAsia"/>
                <w:noProof/>
                <w:szCs w:val="26"/>
              </w:rPr>
              <w:tab/>
            </w:r>
            <w:r w:rsidR="007F0272" w:rsidRPr="0082628D">
              <w:rPr>
                <w:rStyle w:val="Hyperlink"/>
                <w:noProof/>
                <w:szCs w:val="26"/>
              </w:rPr>
              <w:t>Conclusion</w:t>
            </w:r>
            <w:r w:rsidR="007F0272" w:rsidRPr="0082628D">
              <w:rPr>
                <w:noProof/>
                <w:webHidden/>
                <w:szCs w:val="26"/>
              </w:rPr>
              <w:tab/>
            </w:r>
            <w:r w:rsidR="007F0272" w:rsidRPr="0082628D">
              <w:rPr>
                <w:noProof/>
                <w:webHidden/>
                <w:szCs w:val="26"/>
              </w:rPr>
              <w:fldChar w:fldCharType="begin"/>
            </w:r>
            <w:r w:rsidR="007F0272" w:rsidRPr="0082628D">
              <w:rPr>
                <w:noProof/>
                <w:webHidden/>
                <w:szCs w:val="26"/>
              </w:rPr>
              <w:instrText xml:space="preserve"> PAGEREF _Toc90970750 \h </w:instrText>
            </w:r>
            <w:r w:rsidR="007F0272" w:rsidRPr="0082628D">
              <w:rPr>
                <w:noProof/>
                <w:webHidden/>
                <w:szCs w:val="26"/>
              </w:rPr>
            </w:r>
            <w:r w:rsidR="007F0272" w:rsidRPr="0082628D">
              <w:rPr>
                <w:noProof/>
                <w:webHidden/>
                <w:szCs w:val="26"/>
              </w:rPr>
              <w:fldChar w:fldCharType="separate"/>
            </w:r>
            <w:r w:rsidR="004F1DF7">
              <w:rPr>
                <w:noProof/>
                <w:webHidden/>
                <w:szCs w:val="26"/>
              </w:rPr>
              <w:t>90</w:t>
            </w:r>
            <w:r w:rsidR="007F0272" w:rsidRPr="0082628D">
              <w:rPr>
                <w:noProof/>
                <w:webHidden/>
                <w:szCs w:val="26"/>
              </w:rPr>
              <w:fldChar w:fldCharType="end"/>
            </w:r>
          </w:hyperlink>
        </w:p>
        <w:p w14:paraId="4CC2016A" w14:textId="27F0BF88" w:rsidR="005A74D5" w:rsidRDefault="005A74D5" w:rsidP="005A74D5">
          <w:pPr>
            <w:widowControl/>
            <w:rPr>
              <w:noProof/>
              <w:sz w:val="26"/>
              <w:szCs w:val="26"/>
            </w:rPr>
          </w:pPr>
          <w:r w:rsidRPr="0008272C">
            <w:rPr>
              <w:sz w:val="26"/>
              <w:szCs w:val="26"/>
            </w:rPr>
            <w:fldChar w:fldCharType="end"/>
          </w:r>
        </w:p>
      </w:sdtContent>
    </w:sdt>
    <w:bookmarkEnd w:id="0" w:displacedByCustomXml="prev"/>
    <w:p w14:paraId="2E3C9DF1" w14:textId="1B5510A1" w:rsidR="005A74D5" w:rsidRDefault="005A74D5" w:rsidP="007C55D4">
      <w:pPr>
        <w:widowControl/>
        <w:spacing w:line="360" w:lineRule="auto"/>
        <w:jc w:val="center"/>
        <w:rPr>
          <w:b/>
          <w:sz w:val="26"/>
          <w:szCs w:val="26"/>
        </w:rPr>
      </w:pPr>
    </w:p>
    <w:p w14:paraId="296BC070" w14:textId="25C25B43" w:rsidR="005B7603" w:rsidRDefault="005B7603" w:rsidP="007C55D4">
      <w:pPr>
        <w:widowControl/>
        <w:spacing w:line="360" w:lineRule="auto"/>
        <w:jc w:val="center"/>
        <w:rPr>
          <w:b/>
          <w:sz w:val="26"/>
          <w:szCs w:val="26"/>
        </w:rPr>
      </w:pPr>
    </w:p>
    <w:p w14:paraId="7C58F892" w14:textId="77777777" w:rsidR="00A32A88" w:rsidRDefault="00A32A88" w:rsidP="00865783">
      <w:pPr>
        <w:widowControl/>
        <w:spacing w:line="360" w:lineRule="auto"/>
        <w:rPr>
          <w:b/>
          <w:sz w:val="26"/>
          <w:szCs w:val="26"/>
        </w:rPr>
        <w:sectPr w:rsidR="00A32A88" w:rsidSect="00A32A88">
          <w:pgSz w:w="12240" w:h="15840"/>
          <w:pgMar w:top="1440" w:right="1440" w:bottom="1440" w:left="1440" w:header="720" w:footer="720" w:gutter="0"/>
          <w:pgNumType w:fmt="lowerRoman" w:start="1"/>
          <w:cols w:space="720"/>
          <w:titlePg/>
          <w:docGrid w:linePitch="360"/>
        </w:sectPr>
      </w:pPr>
    </w:p>
    <w:p w14:paraId="7A0F3CB7" w14:textId="50080BDE" w:rsidR="00CE01AD" w:rsidRDefault="00CE01AD" w:rsidP="007C55D4">
      <w:pPr>
        <w:widowControl/>
        <w:spacing w:line="360" w:lineRule="auto"/>
        <w:rPr>
          <w:b/>
          <w:sz w:val="26"/>
          <w:szCs w:val="26"/>
        </w:rPr>
      </w:pPr>
      <w:r>
        <w:rPr>
          <w:b/>
          <w:sz w:val="26"/>
          <w:szCs w:val="26"/>
        </w:rPr>
        <w:lastRenderedPageBreak/>
        <w:t>BY THE COMMISSION:</w:t>
      </w:r>
    </w:p>
    <w:p w14:paraId="5FBC1505" w14:textId="77777777" w:rsidR="000D72D7" w:rsidRDefault="000D72D7" w:rsidP="000D72D7">
      <w:pPr>
        <w:widowControl/>
        <w:rPr>
          <w:b/>
          <w:sz w:val="26"/>
          <w:szCs w:val="26"/>
        </w:rPr>
      </w:pPr>
    </w:p>
    <w:p w14:paraId="27A36B70" w14:textId="5350ECAC" w:rsidR="00DF5FE4" w:rsidRDefault="000F1318" w:rsidP="00DF5FE4">
      <w:pPr>
        <w:widowControl/>
        <w:tabs>
          <w:tab w:val="left" w:pos="-720"/>
        </w:tabs>
        <w:suppressAutoHyphens/>
        <w:spacing w:line="360" w:lineRule="auto"/>
        <w:ind w:firstLine="1440"/>
        <w:rPr>
          <w:sz w:val="26"/>
          <w:szCs w:val="26"/>
        </w:rPr>
      </w:pPr>
      <w:r w:rsidRPr="00027664">
        <w:rPr>
          <w:sz w:val="26"/>
        </w:rPr>
        <w:t xml:space="preserve">Before the </w:t>
      </w:r>
      <w:r w:rsidR="005C7928">
        <w:rPr>
          <w:sz w:val="26"/>
        </w:rPr>
        <w:t xml:space="preserve">Pennsylvania Public Utility </w:t>
      </w:r>
      <w:r w:rsidRPr="00027664">
        <w:rPr>
          <w:sz w:val="26"/>
        </w:rPr>
        <w:t xml:space="preserve">Commission </w:t>
      </w:r>
      <w:r w:rsidR="005C7928">
        <w:rPr>
          <w:sz w:val="26"/>
        </w:rPr>
        <w:t xml:space="preserve">(Commission) </w:t>
      </w:r>
      <w:r w:rsidRPr="00027664">
        <w:rPr>
          <w:sz w:val="26"/>
        </w:rPr>
        <w:t>for co</w:t>
      </w:r>
      <w:r w:rsidR="00893951">
        <w:rPr>
          <w:sz w:val="26"/>
        </w:rPr>
        <w:t xml:space="preserve">nsideration and </w:t>
      </w:r>
      <w:bookmarkStart w:id="1" w:name="_Hlk37835909"/>
      <w:r w:rsidR="00893951">
        <w:rPr>
          <w:sz w:val="26"/>
        </w:rPr>
        <w:t>disposition</w:t>
      </w:r>
      <w:r w:rsidR="00DA78C3">
        <w:rPr>
          <w:sz w:val="26"/>
        </w:rPr>
        <w:t xml:space="preserve"> are the Exceptions of Aqua Pennsylvania Wastewater, Inc. (Aqua, the Company, or the Applicant) and the Office of Consumer Advocate (OCA), filed on November 29, 2021,</w:t>
      </w:r>
      <w:r w:rsidR="00D340F2">
        <w:rPr>
          <w:sz w:val="26"/>
        </w:rPr>
        <w:t xml:space="preserve"> </w:t>
      </w:r>
      <w:r w:rsidR="00DA78C3">
        <w:rPr>
          <w:sz w:val="26"/>
        </w:rPr>
        <w:t>to</w:t>
      </w:r>
      <w:r w:rsidR="00584FED">
        <w:rPr>
          <w:sz w:val="26"/>
        </w:rPr>
        <w:t xml:space="preserve"> the Recommended Decision (R.D.) of Administrative Law Judge (ALJ) </w:t>
      </w:r>
      <w:r w:rsidR="0081177A">
        <w:rPr>
          <w:sz w:val="26"/>
        </w:rPr>
        <w:t>Jeffrey A. Watson</w:t>
      </w:r>
      <w:r w:rsidR="00584FED">
        <w:rPr>
          <w:sz w:val="26"/>
        </w:rPr>
        <w:t xml:space="preserve">, issued on </w:t>
      </w:r>
      <w:r w:rsidR="0081177A">
        <w:rPr>
          <w:sz w:val="26"/>
        </w:rPr>
        <w:t>November 17</w:t>
      </w:r>
      <w:r w:rsidR="00584FED">
        <w:rPr>
          <w:sz w:val="26"/>
        </w:rPr>
        <w:t xml:space="preserve">, 2021, in the above-captioned proceeding.  </w:t>
      </w:r>
      <w:r w:rsidR="00DA78C3">
        <w:rPr>
          <w:sz w:val="26"/>
        </w:rPr>
        <w:t xml:space="preserve">Aqua and the OCA filed </w:t>
      </w:r>
      <w:r w:rsidR="00DF5FE4">
        <w:rPr>
          <w:sz w:val="26"/>
        </w:rPr>
        <w:t>Replies to Exceptions on December</w:t>
      </w:r>
      <w:r w:rsidR="000D72D7">
        <w:rPr>
          <w:sz w:val="26"/>
        </w:rPr>
        <w:t> </w:t>
      </w:r>
      <w:r w:rsidR="00DF5FE4">
        <w:rPr>
          <w:sz w:val="26"/>
        </w:rPr>
        <w:t>6,</w:t>
      </w:r>
      <w:r w:rsidR="000D72D7">
        <w:rPr>
          <w:sz w:val="26"/>
        </w:rPr>
        <w:t> </w:t>
      </w:r>
      <w:r w:rsidR="00DF5FE4">
        <w:rPr>
          <w:sz w:val="26"/>
        </w:rPr>
        <w:t xml:space="preserve">2021.  </w:t>
      </w:r>
      <w:r w:rsidR="00584FED">
        <w:rPr>
          <w:sz w:val="26"/>
        </w:rPr>
        <w:t xml:space="preserve">Also, before the Commission is the Joint Petition for Approval of Partial Settlement (Joint Petition or Partial Settlement) </w:t>
      </w:r>
      <w:r w:rsidR="00DF5FE4">
        <w:rPr>
          <w:sz w:val="26"/>
        </w:rPr>
        <w:t>filed by</w:t>
      </w:r>
      <w:r w:rsidR="00584FED">
        <w:rPr>
          <w:sz w:val="26"/>
        </w:rPr>
        <w:t xml:space="preserve"> </w:t>
      </w:r>
      <w:r w:rsidR="00486E14">
        <w:rPr>
          <w:sz w:val="26"/>
        </w:rPr>
        <w:t xml:space="preserve">Aqua, </w:t>
      </w:r>
      <w:r w:rsidR="003D5D3A" w:rsidRPr="003D5D3A">
        <w:rPr>
          <w:sz w:val="26"/>
        </w:rPr>
        <w:t>the Commission’s Bureau of Investigation and Enforcement (I&amp;E)</w:t>
      </w:r>
      <w:r w:rsidR="003D5D3A">
        <w:rPr>
          <w:sz w:val="26"/>
        </w:rPr>
        <w:t>, the OCA, the Office of Small Business Advocate (OSBA), and Lower Makefield Township (LMT or the Township)</w:t>
      </w:r>
      <w:r w:rsidR="00C747A4">
        <w:rPr>
          <w:sz w:val="26"/>
        </w:rPr>
        <w:t xml:space="preserve"> (</w:t>
      </w:r>
      <w:r w:rsidR="00DF5FE4">
        <w:rPr>
          <w:sz w:val="26"/>
        </w:rPr>
        <w:t xml:space="preserve">collectively, </w:t>
      </w:r>
      <w:r w:rsidR="007F6BF4" w:rsidRPr="007F6BF4">
        <w:rPr>
          <w:sz w:val="26"/>
        </w:rPr>
        <w:t>Joint Petitioners</w:t>
      </w:r>
      <w:r w:rsidR="00C747A4">
        <w:rPr>
          <w:sz w:val="26"/>
        </w:rPr>
        <w:t xml:space="preserve">), on </w:t>
      </w:r>
      <w:r w:rsidR="002D4076">
        <w:rPr>
          <w:sz w:val="26"/>
        </w:rPr>
        <w:t>October 8, 2021</w:t>
      </w:r>
      <w:r w:rsidR="00C747A4">
        <w:rPr>
          <w:sz w:val="26"/>
        </w:rPr>
        <w:t>.</w:t>
      </w:r>
      <w:bookmarkEnd w:id="1"/>
      <w:r w:rsidR="00DF5FE4">
        <w:rPr>
          <w:sz w:val="26"/>
        </w:rPr>
        <w:t xml:space="preserve">  </w:t>
      </w:r>
      <w:bookmarkStart w:id="2" w:name="_Hlk90381107"/>
      <w:r w:rsidR="00317685" w:rsidRPr="00AA7225">
        <w:rPr>
          <w:sz w:val="26"/>
          <w:szCs w:val="26"/>
        </w:rPr>
        <w:t>For the reasons stated</w:t>
      </w:r>
      <w:bookmarkStart w:id="3" w:name="_Hlk90556142"/>
      <w:r w:rsidR="00317685" w:rsidRPr="00AA7225">
        <w:rPr>
          <w:sz w:val="26"/>
          <w:szCs w:val="26"/>
        </w:rPr>
        <w:t xml:space="preserve">, </w:t>
      </w:r>
      <w:r w:rsidR="00317685" w:rsidRPr="00AA7225">
        <w:rPr>
          <w:i/>
          <w:sz w:val="26"/>
          <w:szCs w:val="26"/>
        </w:rPr>
        <w:t>infra</w:t>
      </w:r>
      <w:r w:rsidR="00317685" w:rsidRPr="00AA7225">
        <w:rPr>
          <w:sz w:val="26"/>
          <w:szCs w:val="26"/>
        </w:rPr>
        <w:t>,</w:t>
      </w:r>
      <w:bookmarkEnd w:id="3"/>
      <w:r w:rsidR="00317685" w:rsidRPr="00AA7225">
        <w:rPr>
          <w:sz w:val="26"/>
          <w:szCs w:val="26"/>
        </w:rPr>
        <w:t xml:space="preserve"> we </w:t>
      </w:r>
      <w:r w:rsidR="00471425" w:rsidRPr="00AA7225">
        <w:rPr>
          <w:sz w:val="26"/>
          <w:szCs w:val="26"/>
        </w:rPr>
        <w:t>shall</w:t>
      </w:r>
      <w:r w:rsidR="00DF5FE4">
        <w:rPr>
          <w:sz w:val="26"/>
          <w:szCs w:val="26"/>
        </w:rPr>
        <w:t>:</w:t>
      </w:r>
      <w:r w:rsidR="00CD31F3">
        <w:rPr>
          <w:sz w:val="26"/>
          <w:szCs w:val="26"/>
        </w:rPr>
        <w:t xml:space="preserve"> </w:t>
      </w:r>
      <w:r w:rsidR="00DF5FE4">
        <w:rPr>
          <w:sz w:val="26"/>
          <w:szCs w:val="26"/>
        </w:rPr>
        <w:t xml:space="preserve"> </w:t>
      </w:r>
      <w:r w:rsidR="00DF5FE4" w:rsidRPr="00DF5FE4">
        <w:rPr>
          <w:sz w:val="26"/>
          <w:szCs w:val="26"/>
        </w:rPr>
        <w:t>(1) grant, in part, and deny, in part, the Exceptions of Aqua; (2) deny the Exceptions of the OCA;</w:t>
      </w:r>
      <w:r w:rsidR="00DF5FE4">
        <w:rPr>
          <w:sz w:val="26"/>
          <w:szCs w:val="26"/>
        </w:rPr>
        <w:t xml:space="preserve"> </w:t>
      </w:r>
      <w:r w:rsidR="00DF5FE4" w:rsidRPr="00DF5FE4">
        <w:rPr>
          <w:sz w:val="26"/>
          <w:szCs w:val="26"/>
        </w:rPr>
        <w:t>(3) adopt the ALJ’s Recommended Decision, as modified, consistent with this Opinion and Order</w:t>
      </w:r>
      <w:r w:rsidR="00DF5FE4">
        <w:rPr>
          <w:sz w:val="26"/>
          <w:szCs w:val="26"/>
        </w:rPr>
        <w:t>; and (4) approve the Joint Petition, without modification, as being in the public interest.</w:t>
      </w:r>
      <w:bookmarkEnd w:id="2"/>
    </w:p>
    <w:p w14:paraId="2BCBA742" w14:textId="77777777" w:rsidR="00526D6D" w:rsidRPr="00C76F83" w:rsidRDefault="00526D6D" w:rsidP="00DF5FE4">
      <w:pPr>
        <w:widowControl/>
        <w:tabs>
          <w:tab w:val="left" w:pos="-720"/>
        </w:tabs>
        <w:spacing w:line="360" w:lineRule="auto"/>
        <w:rPr>
          <w:sz w:val="26"/>
        </w:rPr>
      </w:pPr>
    </w:p>
    <w:p w14:paraId="6422F3F1" w14:textId="0E83C14A" w:rsidR="00B00BC3" w:rsidRDefault="002D4076" w:rsidP="0009690C">
      <w:pPr>
        <w:pStyle w:val="Heading1"/>
      </w:pPr>
      <w:bookmarkStart w:id="4" w:name="_Toc90970697"/>
      <w:r>
        <w:t>Procedural History</w:t>
      </w:r>
      <w:bookmarkEnd w:id="4"/>
    </w:p>
    <w:p w14:paraId="0A156998" w14:textId="6F9AE58F" w:rsidR="008175BD" w:rsidRDefault="008175BD" w:rsidP="008175BD">
      <w:pPr>
        <w:spacing w:line="360" w:lineRule="auto"/>
        <w:ind w:firstLine="1440"/>
        <w:rPr>
          <w:sz w:val="26"/>
          <w:szCs w:val="26"/>
        </w:rPr>
      </w:pPr>
    </w:p>
    <w:p w14:paraId="24658933" w14:textId="435F49EB" w:rsidR="002D4076" w:rsidRDefault="000C7642" w:rsidP="000C7642">
      <w:pPr>
        <w:spacing w:line="360" w:lineRule="auto"/>
        <w:ind w:firstLine="1440"/>
        <w:rPr>
          <w:sz w:val="26"/>
          <w:szCs w:val="26"/>
        </w:rPr>
      </w:pPr>
      <w:r w:rsidRPr="000C7642">
        <w:rPr>
          <w:sz w:val="26"/>
          <w:szCs w:val="26"/>
        </w:rPr>
        <w:t>On Ma</w:t>
      </w:r>
      <w:r w:rsidR="003A501C">
        <w:rPr>
          <w:sz w:val="26"/>
          <w:szCs w:val="26"/>
        </w:rPr>
        <w:t>y</w:t>
      </w:r>
      <w:r w:rsidRPr="000C7642">
        <w:rPr>
          <w:sz w:val="26"/>
          <w:szCs w:val="26"/>
        </w:rPr>
        <w:t xml:space="preserve"> 14, 2021, Aqua filed an</w:t>
      </w:r>
      <w:r>
        <w:rPr>
          <w:sz w:val="26"/>
          <w:szCs w:val="26"/>
        </w:rPr>
        <w:t xml:space="preserve"> </w:t>
      </w:r>
      <w:r w:rsidRPr="000C7642">
        <w:rPr>
          <w:sz w:val="26"/>
          <w:szCs w:val="26"/>
        </w:rPr>
        <w:t>Application under Sections 507, 1102, and</w:t>
      </w:r>
      <w:r w:rsidR="0082628D">
        <w:rPr>
          <w:sz w:val="26"/>
          <w:szCs w:val="26"/>
        </w:rPr>
        <w:t> </w:t>
      </w:r>
      <w:r w:rsidRPr="000C7642">
        <w:rPr>
          <w:sz w:val="26"/>
          <w:szCs w:val="26"/>
        </w:rPr>
        <w:t>1329 of the</w:t>
      </w:r>
      <w:r w:rsidR="004C7EA8">
        <w:rPr>
          <w:sz w:val="26"/>
          <w:szCs w:val="26"/>
        </w:rPr>
        <w:t xml:space="preserve"> </w:t>
      </w:r>
      <w:r w:rsidRPr="000C7642">
        <w:rPr>
          <w:sz w:val="26"/>
          <w:szCs w:val="26"/>
        </w:rPr>
        <w:t>Public Utility Code</w:t>
      </w:r>
      <w:r>
        <w:rPr>
          <w:sz w:val="26"/>
          <w:szCs w:val="26"/>
        </w:rPr>
        <w:t xml:space="preserve"> (Code)</w:t>
      </w:r>
      <w:r w:rsidRPr="000C7642">
        <w:rPr>
          <w:sz w:val="26"/>
          <w:szCs w:val="26"/>
        </w:rPr>
        <w:t xml:space="preserve"> </w:t>
      </w:r>
      <w:r w:rsidR="004C7EA8">
        <w:rPr>
          <w:sz w:val="26"/>
          <w:szCs w:val="26"/>
        </w:rPr>
        <w:t>seeking approval of</w:t>
      </w:r>
      <w:r w:rsidRPr="000C7642">
        <w:rPr>
          <w:sz w:val="26"/>
          <w:szCs w:val="26"/>
        </w:rPr>
        <w:t>:</w:t>
      </w:r>
      <w:r w:rsidR="009331B2">
        <w:rPr>
          <w:sz w:val="26"/>
          <w:szCs w:val="26"/>
        </w:rPr>
        <w:t xml:space="preserve"> </w:t>
      </w:r>
      <w:r w:rsidRPr="000C7642">
        <w:rPr>
          <w:sz w:val="26"/>
          <w:szCs w:val="26"/>
        </w:rPr>
        <w:t xml:space="preserve"> (1) the acquisition</w:t>
      </w:r>
      <w:r w:rsidR="004C7EA8">
        <w:rPr>
          <w:sz w:val="26"/>
          <w:szCs w:val="26"/>
        </w:rPr>
        <w:t>, by Aqua,</w:t>
      </w:r>
      <w:r w:rsidRPr="000C7642">
        <w:rPr>
          <w:sz w:val="26"/>
          <w:szCs w:val="26"/>
        </w:rPr>
        <w:t xml:space="preserve"> of the wastewater system</w:t>
      </w:r>
      <w:r>
        <w:rPr>
          <w:sz w:val="26"/>
          <w:szCs w:val="26"/>
        </w:rPr>
        <w:t xml:space="preserve"> </w:t>
      </w:r>
      <w:r w:rsidRPr="000C7642">
        <w:rPr>
          <w:sz w:val="26"/>
          <w:szCs w:val="26"/>
        </w:rPr>
        <w:t>assets of</w:t>
      </w:r>
      <w:r w:rsidR="004C7EA8">
        <w:rPr>
          <w:sz w:val="26"/>
          <w:szCs w:val="26"/>
        </w:rPr>
        <w:t xml:space="preserve"> the Township</w:t>
      </w:r>
      <w:r w:rsidRPr="000C7642">
        <w:rPr>
          <w:sz w:val="26"/>
          <w:szCs w:val="26"/>
        </w:rPr>
        <w:t>; (2)</w:t>
      </w:r>
      <w:r>
        <w:rPr>
          <w:sz w:val="26"/>
          <w:szCs w:val="26"/>
        </w:rPr>
        <w:t xml:space="preserve"> </w:t>
      </w:r>
      <w:r w:rsidRPr="000C7642">
        <w:rPr>
          <w:sz w:val="26"/>
          <w:szCs w:val="26"/>
        </w:rPr>
        <w:t>the right of Aqua to</w:t>
      </w:r>
      <w:r>
        <w:rPr>
          <w:sz w:val="26"/>
          <w:szCs w:val="26"/>
        </w:rPr>
        <w:t xml:space="preserve"> </w:t>
      </w:r>
      <w:r w:rsidR="004C7EA8">
        <w:rPr>
          <w:sz w:val="26"/>
          <w:szCs w:val="26"/>
        </w:rPr>
        <w:t>begin to offer</w:t>
      </w:r>
      <w:r w:rsidR="007812A5">
        <w:rPr>
          <w:sz w:val="26"/>
          <w:szCs w:val="26"/>
        </w:rPr>
        <w:t>, render, furnish and supply</w:t>
      </w:r>
      <w:r w:rsidRPr="000C7642">
        <w:rPr>
          <w:sz w:val="26"/>
          <w:szCs w:val="26"/>
        </w:rPr>
        <w:t xml:space="preserve"> wastewater service</w:t>
      </w:r>
      <w:r w:rsidR="007812A5">
        <w:rPr>
          <w:sz w:val="26"/>
          <w:szCs w:val="26"/>
        </w:rPr>
        <w:t xml:space="preserve"> to the public</w:t>
      </w:r>
      <w:r w:rsidRPr="000C7642">
        <w:rPr>
          <w:sz w:val="26"/>
          <w:szCs w:val="26"/>
        </w:rPr>
        <w:t xml:space="preserve"> in the requested territory; and (3) </w:t>
      </w:r>
      <w:r w:rsidR="007812A5">
        <w:rPr>
          <w:sz w:val="26"/>
          <w:szCs w:val="26"/>
        </w:rPr>
        <w:t>an order</w:t>
      </w:r>
      <w:r w:rsidRPr="000C7642">
        <w:rPr>
          <w:sz w:val="26"/>
          <w:szCs w:val="26"/>
        </w:rPr>
        <w:t xml:space="preserve"> approving the</w:t>
      </w:r>
      <w:r>
        <w:rPr>
          <w:sz w:val="26"/>
          <w:szCs w:val="26"/>
        </w:rPr>
        <w:t xml:space="preserve"> </w:t>
      </w:r>
      <w:r w:rsidRPr="000C7642">
        <w:rPr>
          <w:sz w:val="26"/>
          <w:szCs w:val="26"/>
        </w:rPr>
        <w:t>acquisition</w:t>
      </w:r>
      <w:r w:rsidR="007812A5">
        <w:rPr>
          <w:sz w:val="26"/>
          <w:szCs w:val="26"/>
        </w:rPr>
        <w:t xml:space="preserve"> that includes</w:t>
      </w:r>
      <w:r w:rsidRPr="000C7642">
        <w:rPr>
          <w:sz w:val="26"/>
          <w:szCs w:val="26"/>
        </w:rPr>
        <w:t xml:space="preserve"> the ratemaking rate base of the</w:t>
      </w:r>
      <w:r w:rsidR="007812A5">
        <w:rPr>
          <w:sz w:val="26"/>
          <w:szCs w:val="26"/>
        </w:rPr>
        <w:t xml:space="preserve"> Township’s wastewater system</w:t>
      </w:r>
      <w:r w:rsidRPr="000C7642">
        <w:rPr>
          <w:sz w:val="26"/>
          <w:szCs w:val="26"/>
        </w:rPr>
        <w:t xml:space="preserve"> </w:t>
      </w:r>
      <w:r>
        <w:rPr>
          <w:sz w:val="26"/>
          <w:szCs w:val="26"/>
        </w:rPr>
        <w:t>a</w:t>
      </w:r>
      <w:r w:rsidRPr="000C7642">
        <w:rPr>
          <w:sz w:val="26"/>
          <w:szCs w:val="26"/>
        </w:rPr>
        <w:t xml:space="preserve">ssets </w:t>
      </w:r>
      <w:r w:rsidR="007812A5">
        <w:rPr>
          <w:sz w:val="26"/>
          <w:szCs w:val="26"/>
        </w:rPr>
        <w:t>pursuant to</w:t>
      </w:r>
      <w:r w:rsidRPr="000C7642">
        <w:rPr>
          <w:sz w:val="26"/>
          <w:szCs w:val="26"/>
        </w:rPr>
        <w:t xml:space="preserve"> Section 1329(c)(2) of the Code</w:t>
      </w:r>
      <w:r w:rsidR="007812A5">
        <w:rPr>
          <w:sz w:val="26"/>
          <w:szCs w:val="26"/>
        </w:rPr>
        <w:t xml:space="preserve">, </w:t>
      </w:r>
      <w:r w:rsidR="007812A5" w:rsidRPr="007812A5">
        <w:rPr>
          <w:sz w:val="26"/>
          <w:szCs w:val="26"/>
        </w:rPr>
        <w:lastRenderedPageBreak/>
        <w:t>66</w:t>
      </w:r>
      <w:r w:rsidR="000D72D7">
        <w:rPr>
          <w:sz w:val="26"/>
          <w:szCs w:val="26"/>
        </w:rPr>
        <w:t> </w:t>
      </w:r>
      <w:r w:rsidR="007812A5" w:rsidRPr="007812A5">
        <w:rPr>
          <w:sz w:val="26"/>
          <w:szCs w:val="26"/>
        </w:rPr>
        <w:t>Pa.</w:t>
      </w:r>
      <w:r w:rsidR="000D72D7">
        <w:rPr>
          <w:sz w:val="26"/>
          <w:szCs w:val="26"/>
        </w:rPr>
        <w:t> </w:t>
      </w:r>
      <w:r w:rsidR="007812A5" w:rsidRPr="007812A5">
        <w:rPr>
          <w:sz w:val="26"/>
          <w:szCs w:val="26"/>
        </w:rPr>
        <w:t>C.S. § 1329(c)(2).</w:t>
      </w:r>
      <w:r w:rsidR="007765FE">
        <w:rPr>
          <w:rStyle w:val="FootnoteReference"/>
          <w:sz w:val="26"/>
          <w:szCs w:val="26"/>
        </w:rPr>
        <w:footnoteReference w:id="2"/>
      </w:r>
      <w:r w:rsidR="007812A5">
        <w:rPr>
          <w:sz w:val="26"/>
          <w:szCs w:val="26"/>
        </w:rPr>
        <w:t xml:space="preserve">  </w:t>
      </w:r>
      <w:r w:rsidRPr="000C7642">
        <w:rPr>
          <w:sz w:val="26"/>
          <w:szCs w:val="26"/>
        </w:rPr>
        <w:t xml:space="preserve">Application at ¶ 3. </w:t>
      </w:r>
      <w:r>
        <w:rPr>
          <w:sz w:val="26"/>
          <w:szCs w:val="26"/>
        </w:rPr>
        <w:t xml:space="preserve"> </w:t>
      </w:r>
      <w:r w:rsidRPr="000C7642">
        <w:rPr>
          <w:sz w:val="26"/>
          <w:szCs w:val="26"/>
        </w:rPr>
        <w:t>Aqua also requested approval of the Asset Purchase</w:t>
      </w:r>
      <w:r>
        <w:rPr>
          <w:sz w:val="26"/>
          <w:szCs w:val="26"/>
        </w:rPr>
        <w:t xml:space="preserve"> </w:t>
      </w:r>
      <w:r w:rsidRPr="000C7642">
        <w:rPr>
          <w:sz w:val="26"/>
          <w:szCs w:val="26"/>
        </w:rPr>
        <w:t>Agreement (APA) dated September 17, 2020</w:t>
      </w:r>
      <w:r w:rsidR="00E6254D">
        <w:rPr>
          <w:sz w:val="26"/>
          <w:szCs w:val="26"/>
        </w:rPr>
        <w:t>,</w:t>
      </w:r>
      <w:r w:rsidRPr="000C7642">
        <w:rPr>
          <w:sz w:val="26"/>
          <w:szCs w:val="26"/>
        </w:rPr>
        <w:t xml:space="preserve"> as well as other municipal agreements, pursuant to</w:t>
      </w:r>
      <w:r>
        <w:rPr>
          <w:sz w:val="26"/>
          <w:szCs w:val="26"/>
        </w:rPr>
        <w:t xml:space="preserve"> </w:t>
      </w:r>
      <w:r w:rsidRPr="000C7642">
        <w:rPr>
          <w:sz w:val="26"/>
          <w:szCs w:val="26"/>
        </w:rPr>
        <w:t>Section 507 of the Code,</w:t>
      </w:r>
      <w:r w:rsidR="00E6254D" w:rsidRPr="00E6254D">
        <w:rPr>
          <w:color w:val="000000"/>
          <w:sz w:val="26"/>
          <w:szCs w:val="26"/>
        </w:rPr>
        <w:t xml:space="preserve"> </w:t>
      </w:r>
      <w:r w:rsidR="00E6254D" w:rsidRPr="00E6254D">
        <w:rPr>
          <w:sz w:val="26"/>
          <w:szCs w:val="26"/>
        </w:rPr>
        <w:t>66 Pa. C.S. § </w:t>
      </w:r>
      <w:r w:rsidR="00E6254D">
        <w:rPr>
          <w:sz w:val="26"/>
          <w:szCs w:val="26"/>
        </w:rPr>
        <w:t xml:space="preserve">507, </w:t>
      </w:r>
      <w:r w:rsidRPr="000C7642">
        <w:rPr>
          <w:sz w:val="26"/>
          <w:szCs w:val="26"/>
        </w:rPr>
        <w:t xml:space="preserve">and requested that the Commission issue an </w:t>
      </w:r>
      <w:r w:rsidR="00E6254D">
        <w:rPr>
          <w:sz w:val="26"/>
          <w:szCs w:val="26"/>
        </w:rPr>
        <w:t>o</w:t>
      </w:r>
      <w:r w:rsidRPr="000C7642">
        <w:rPr>
          <w:sz w:val="26"/>
          <w:szCs w:val="26"/>
        </w:rPr>
        <w:t>rder and</w:t>
      </w:r>
      <w:r>
        <w:rPr>
          <w:sz w:val="26"/>
          <w:szCs w:val="26"/>
        </w:rPr>
        <w:t xml:space="preserve"> </w:t>
      </w:r>
      <w:r w:rsidRPr="000C7642">
        <w:rPr>
          <w:sz w:val="26"/>
          <w:szCs w:val="26"/>
        </w:rPr>
        <w:t xml:space="preserve">Certificate of Public Convenience approving and addressing the items requested in </w:t>
      </w:r>
      <w:r w:rsidR="00DA0063">
        <w:rPr>
          <w:sz w:val="26"/>
          <w:szCs w:val="26"/>
        </w:rPr>
        <w:t>its</w:t>
      </w:r>
      <w:r>
        <w:rPr>
          <w:sz w:val="26"/>
          <w:szCs w:val="26"/>
        </w:rPr>
        <w:t xml:space="preserve"> </w:t>
      </w:r>
      <w:r w:rsidRPr="000C7642">
        <w:rPr>
          <w:sz w:val="26"/>
          <w:szCs w:val="26"/>
        </w:rPr>
        <w:t>Application.</w:t>
      </w:r>
      <w:r w:rsidR="00E6254D">
        <w:rPr>
          <w:sz w:val="26"/>
          <w:szCs w:val="26"/>
        </w:rPr>
        <w:t xml:space="preserve">  </w:t>
      </w:r>
      <w:r w:rsidRPr="000C7642">
        <w:rPr>
          <w:sz w:val="26"/>
          <w:szCs w:val="26"/>
        </w:rPr>
        <w:t>Application at ¶ 5.</w:t>
      </w:r>
    </w:p>
    <w:p w14:paraId="74D58263" w14:textId="3DF7F532" w:rsidR="003E0D79" w:rsidRDefault="003E0D79" w:rsidP="008175BD">
      <w:pPr>
        <w:spacing w:line="360" w:lineRule="auto"/>
        <w:ind w:firstLine="1440"/>
        <w:rPr>
          <w:sz w:val="26"/>
          <w:szCs w:val="26"/>
        </w:rPr>
      </w:pPr>
    </w:p>
    <w:p w14:paraId="6C8641EC" w14:textId="7FC604FD" w:rsidR="003E0D79" w:rsidRDefault="003E0D79" w:rsidP="003E0D79">
      <w:pPr>
        <w:spacing w:line="360" w:lineRule="auto"/>
        <w:ind w:firstLine="1440"/>
        <w:rPr>
          <w:sz w:val="26"/>
          <w:szCs w:val="26"/>
        </w:rPr>
      </w:pPr>
      <w:r w:rsidRPr="003E0D79">
        <w:rPr>
          <w:sz w:val="26"/>
          <w:szCs w:val="26"/>
        </w:rPr>
        <w:t xml:space="preserve">On June 9, 2021, the </w:t>
      </w:r>
      <w:r w:rsidR="004F7790">
        <w:rPr>
          <w:sz w:val="26"/>
          <w:szCs w:val="26"/>
        </w:rPr>
        <w:t>OSBA</w:t>
      </w:r>
      <w:r w:rsidRPr="003E0D79">
        <w:rPr>
          <w:sz w:val="26"/>
          <w:szCs w:val="26"/>
        </w:rPr>
        <w:t xml:space="preserve"> filed a Notice of Intervention and</w:t>
      </w:r>
      <w:r>
        <w:rPr>
          <w:sz w:val="26"/>
          <w:szCs w:val="26"/>
        </w:rPr>
        <w:t xml:space="preserve"> </w:t>
      </w:r>
      <w:r w:rsidRPr="003E0D79">
        <w:rPr>
          <w:sz w:val="26"/>
          <w:szCs w:val="26"/>
        </w:rPr>
        <w:t xml:space="preserve">Public Statement. </w:t>
      </w:r>
      <w:r>
        <w:rPr>
          <w:sz w:val="26"/>
          <w:szCs w:val="26"/>
        </w:rPr>
        <w:t xml:space="preserve"> </w:t>
      </w:r>
      <w:r w:rsidRPr="003E0D79">
        <w:rPr>
          <w:sz w:val="26"/>
          <w:szCs w:val="26"/>
        </w:rPr>
        <w:t xml:space="preserve">On June 16, 2021, </w:t>
      </w:r>
      <w:r>
        <w:rPr>
          <w:sz w:val="26"/>
          <w:szCs w:val="26"/>
        </w:rPr>
        <w:t xml:space="preserve">I&amp;E </w:t>
      </w:r>
      <w:r w:rsidRPr="003E0D79">
        <w:rPr>
          <w:sz w:val="26"/>
          <w:szCs w:val="26"/>
        </w:rPr>
        <w:t>filed a Notice of Appearance.</w:t>
      </w:r>
      <w:r>
        <w:rPr>
          <w:sz w:val="26"/>
          <w:szCs w:val="26"/>
        </w:rPr>
        <w:t xml:space="preserve">  </w:t>
      </w:r>
    </w:p>
    <w:p w14:paraId="08D067FF" w14:textId="3E326333" w:rsidR="003E0D79" w:rsidRDefault="003E0D79" w:rsidP="003E0D79">
      <w:pPr>
        <w:spacing w:line="360" w:lineRule="auto"/>
        <w:ind w:firstLine="1440"/>
        <w:rPr>
          <w:sz w:val="26"/>
          <w:szCs w:val="26"/>
        </w:rPr>
      </w:pPr>
    </w:p>
    <w:p w14:paraId="2E1472E5" w14:textId="1EFE7495" w:rsidR="003E0D79" w:rsidRDefault="008F3C7B" w:rsidP="008F3C7B">
      <w:pPr>
        <w:spacing w:line="360" w:lineRule="auto"/>
        <w:ind w:firstLine="1440"/>
        <w:rPr>
          <w:sz w:val="26"/>
          <w:szCs w:val="26"/>
        </w:rPr>
      </w:pPr>
      <w:r w:rsidRPr="008F3C7B">
        <w:rPr>
          <w:sz w:val="26"/>
          <w:szCs w:val="26"/>
        </w:rPr>
        <w:t xml:space="preserve">By </w:t>
      </w:r>
      <w:r>
        <w:rPr>
          <w:sz w:val="26"/>
          <w:szCs w:val="26"/>
        </w:rPr>
        <w:t>Secretarial L</w:t>
      </w:r>
      <w:r w:rsidRPr="008F3C7B">
        <w:rPr>
          <w:sz w:val="26"/>
          <w:szCs w:val="26"/>
        </w:rPr>
        <w:t>etter dated June 25, 2021, the Commission conditionally accepted the Application for</w:t>
      </w:r>
      <w:r>
        <w:rPr>
          <w:sz w:val="26"/>
          <w:szCs w:val="26"/>
        </w:rPr>
        <w:t xml:space="preserve"> </w:t>
      </w:r>
      <w:r w:rsidRPr="008F3C7B">
        <w:rPr>
          <w:sz w:val="26"/>
          <w:szCs w:val="26"/>
        </w:rPr>
        <w:t>filing.</w:t>
      </w:r>
      <w:r>
        <w:rPr>
          <w:sz w:val="26"/>
          <w:szCs w:val="26"/>
        </w:rPr>
        <w:t xml:space="preserve"> </w:t>
      </w:r>
      <w:r w:rsidRPr="008F3C7B">
        <w:rPr>
          <w:sz w:val="26"/>
          <w:szCs w:val="26"/>
        </w:rPr>
        <w:t xml:space="preserve"> </w:t>
      </w:r>
      <w:r w:rsidR="00647DB5" w:rsidRPr="00647DB5">
        <w:rPr>
          <w:sz w:val="26"/>
          <w:szCs w:val="26"/>
        </w:rPr>
        <w:t xml:space="preserve">The Commission required individual notice to be provided to Aqua’s existing water and wastewater customers, that Aqua ensure concurrent notice </w:t>
      </w:r>
      <w:r w:rsidR="004F7790">
        <w:rPr>
          <w:sz w:val="26"/>
          <w:szCs w:val="26"/>
        </w:rPr>
        <w:t>was</w:t>
      </w:r>
      <w:r w:rsidR="00647DB5" w:rsidRPr="00647DB5">
        <w:rPr>
          <w:sz w:val="26"/>
          <w:szCs w:val="26"/>
        </w:rPr>
        <w:t xml:space="preserve"> provided to all current LMT wastewater customers, and that newspaper notice in the LMT area be provided. </w:t>
      </w:r>
      <w:r w:rsidR="00647DB5">
        <w:rPr>
          <w:sz w:val="26"/>
          <w:szCs w:val="26"/>
        </w:rPr>
        <w:t xml:space="preserve"> </w:t>
      </w:r>
      <w:r w:rsidR="00647DB5" w:rsidRPr="00647DB5">
        <w:rPr>
          <w:sz w:val="26"/>
          <w:szCs w:val="26"/>
        </w:rPr>
        <w:t>Upon completion, Aqua was directed to file a verification that the notice had been provided</w:t>
      </w:r>
      <w:r w:rsidRPr="008F3C7B">
        <w:rPr>
          <w:sz w:val="26"/>
          <w:szCs w:val="26"/>
        </w:rPr>
        <w:t>.</w:t>
      </w:r>
      <w:r w:rsidR="00647DB5" w:rsidRPr="00647DB5">
        <w:rPr>
          <w:color w:val="000000"/>
          <w:sz w:val="23"/>
          <w:szCs w:val="23"/>
        </w:rPr>
        <w:t xml:space="preserve"> </w:t>
      </w:r>
      <w:r w:rsidR="00647DB5">
        <w:rPr>
          <w:color w:val="000000"/>
          <w:sz w:val="23"/>
          <w:szCs w:val="23"/>
        </w:rPr>
        <w:t xml:space="preserve"> </w:t>
      </w:r>
      <w:r w:rsidR="00647DB5" w:rsidRPr="00647DB5">
        <w:rPr>
          <w:sz w:val="26"/>
          <w:szCs w:val="26"/>
        </w:rPr>
        <w:t xml:space="preserve">On June 30, 2021, Aqua filed a letter with the Commission, with </w:t>
      </w:r>
      <w:r w:rsidR="00647DB5">
        <w:rPr>
          <w:sz w:val="26"/>
          <w:szCs w:val="26"/>
        </w:rPr>
        <w:t>the</w:t>
      </w:r>
      <w:r w:rsidR="00647DB5" w:rsidRPr="00647DB5">
        <w:rPr>
          <w:sz w:val="26"/>
          <w:szCs w:val="26"/>
        </w:rPr>
        <w:t xml:space="preserve"> attached verification, stating that it had complied with the notice requirements</w:t>
      </w:r>
      <w:r w:rsidR="00647DB5">
        <w:rPr>
          <w:sz w:val="26"/>
          <w:szCs w:val="26"/>
        </w:rPr>
        <w:t>.</w:t>
      </w:r>
    </w:p>
    <w:p w14:paraId="0925D9F0" w14:textId="2CE46777" w:rsidR="00647DB5" w:rsidRDefault="00647DB5" w:rsidP="008F3C7B">
      <w:pPr>
        <w:spacing w:line="360" w:lineRule="auto"/>
        <w:ind w:firstLine="1440"/>
        <w:rPr>
          <w:sz w:val="26"/>
          <w:szCs w:val="26"/>
        </w:rPr>
      </w:pPr>
    </w:p>
    <w:p w14:paraId="63198333" w14:textId="18E1E44C" w:rsidR="00647DB5" w:rsidRPr="00647DB5" w:rsidRDefault="00647DB5" w:rsidP="00647DB5">
      <w:pPr>
        <w:spacing w:line="360" w:lineRule="auto"/>
        <w:ind w:firstLine="1440"/>
        <w:rPr>
          <w:sz w:val="26"/>
          <w:szCs w:val="26"/>
        </w:rPr>
      </w:pPr>
      <w:r w:rsidRPr="00647DB5">
        <w:rPr>
          <w:sz w:val="26"/>
          <w:szCs w:val="26"/>
        </w:rPr>
        <w:t xml:space="preserve">On June 29, 2021, LMT filed a Petition to Intervene.  The OCA filed a Protest and Public Statement on July 2, 2021.  </w:t>
      </w:r>
    </w:p>
    <w:p w14:paraId="24D3190A" w14:textId="51744C4E" w:rsidR="008F3C7B" w:rsidRDefault="008F3C7B" w:rsidP="00647DB5">
      <w:pPr>
        <w:spacing w:line="360" w:lineRule="auto"/>
        <w:rPr>
          <w:sz w:val="26"/>
          <w:szCs w:val="26"/>
        </w:rPr>
      </w:pPr>
    </w:p>
    <w:p w14:paraId="427E18CF" w14:textId="2CFFE8EA" w:rsidR="007678A1" w:rsidRDefault="008F3C7B" w:rsidP="00292CD9">
      <w:pPr>
        <w:spacing w:line="360" w:lineRule="auto"/>
        <w:ind w:firstLine="1440"/>
        <w:rPr>
          <w:sz w:val="26"/>
          <w:szCs w:val="26"/>
        </w:rPr>
      </w:pPr>
      <w:r w:rsidRPr="008F3C7B">
        <w:rPr>
          <w:sz w:val="26"/>
          <w:szCs w:val="26"/>
        </w:rPr>
        <w:t>By</w:t>
      </w:r>
      <w:r>
        <w:rPr>
          <w:sz w:val="26"/>
          <w:szCs w:val="26"/>
        </w:rPr>
        <w:t xml:space="preserve"> </w:t>
      </w:r>
      <w:r w:rsidRPr="008F3C7B">
        <w:rPr>
          <w:sz w:val="26"/>
          <w:szCs w:val="26"/>
        </w:rPr>
        <w:t xml:space="preserve">Secretarial Letter dated August </w:t>
      </w:r>
      <w:r w:rsidR="00A26B44">
        <w:rPr>
          <w:sz w:val="26"/>
          <w:szCs w:val="26"/>
        </w:rPr>
        <w:t>5</w:t>
      </w:r>
      <w:r w:rsidRPr="008F3C7B">
        <w:rPr>
          <w:sz w:val="26"/>
          <w:szCs w:val="26"/>
        </w:rPr>
        <w:t>, 2021, the Commission informed Aqua that it had accepted the</w:t>
      </w:r>
      <w:r>
        <w:rPr>
          <w:sz w:val="26"/>
          <w:szCs w:val="26"/>
        </w:rPr>
        <w:t xml:space="preserve"> </w:t>
      </w:r>
      <w:r w:rsidRPr="008F3C7B">
        <w:rPr>
          <w:sz w:val="26"/>
          <w:szCs w:val="26"/>
        </w:rPr>
        <w:t>Application for filing.</w:t>
      </w:r>
      <w:r w:rsidR="00292CD9">
        <w:rPr>
          <w:sz w:val="26"/>
          <w:szCs w:val="26"/>
        </w:rPr>
        <w:t xml:space="preserve">  The Commission published a notice </w:t>
      </w:r>
      <w:r w:rsidR="00292CD9">
        <w:rPr>
          <w:sz w:val="26"/>
          <w:szCs w:val="26"/>
        </w:rPr>
        <w:lastRenderedPageBreak/>
        <w:t xml:space="preserve">of the Application in the </w:t>
      </w:r>
      <w:r w:rsidR="007678A1" w:rsidRPr="007678A1">
        <w:rPr>
          <w:sz w:val="26"/>
          <w:szCs w:val="26"/>
        </w:rPr>
        <w:t xml:space="preserve">August 21, </w:t>
      </w:r>
      <w:proofErr w:type="gramStart"/>
      <w:r w:rsidR="007678A1" w:rsidRPr="007678A1">
        <w:rPr>
          <w:sz w:val="26"/>
          <w:szCs w:val="26"/>
        </w:rPr>
        <w:t>2021</w:t>
      </w:r>
      <w:proofErr w:type="gramEnd"/>
      <w:r w:rsidR="007678A1" w:rsidRPr="007678A1">
        <w:rPr>
          <w:sz w:val="26"/>
          <w:szCs w:val="26"/>
        </w:rPr>
        <w:t xml:space="preserve"> edition of the </w:t>
      </w:r>
      <w:r w:rsidR="007678A1" w:rsidRPr="007678A1">
        <w:rPr>
          <w:i/>
          <w:iCs/>
          <w:sz w:val="26"/>
          <w:szCs w:val="26"/>
        </w:rPr>
        <w:t xml:space="preserve">Pennsylvania Bulletin </w:t>
      </w:r>
      <w:r w:rsidR="007678A1" w:rsidRPr="007678A1">
        <w:rPr>
          <w:sz w:val="26"/>
          <w:szCs w:val="26"/>
        </w:rPr>
        <w:t>with a protest deadline of September 7, 2021.</w:t>
      </w:r>
      <w:r w:rsidR="00292CD9">
        <w:rPr>
          <w:sz w:val="26"/>
          <w:szCs w:val="26"/>
        </w:rPr>
        <w:t xml:space="preserve">  </w:t>
      </w:r>
      <w:r w:rsidR="007678A1" w:rsidRPr="007678A1">
        <w:rPr>
          <w:sz w:val="26"/>
          <w:szCs w:val="26"/>
        </w:rPr>
        <w:t xml:space="preserve">51 </w:t>
      </w:r>
      <w:r w:rsidR="007678A1" w:rsidRPr="004F7790">
        <w:rPr>
          <w:i/>
          <w:iCs/>
          <w:sz w:val="26"/>
          <w:szCs w:val="26"/>
        </w:rPr>
        <w:t>Pa.</w:t>
      </w:r>
      <w:r w:rsidR="00292CD9" w:rsidRPr="004F7790">
        <w:rPr>
          <w:i/>
          <w:iCs/>
          <w:sz w:val="26"/>
          <w:szCs w:val="26"/>
        </w:rPr>
        <w:t xml:space="preserve"> </w:t>
      </w:r>
      <w:r w:rsidR="007678A1" w:rsidRPr="004F7790">
        <w:rPr>
          <w:i/>
          <w:iCs/>
          <w:sz w:val="26"/>
          <w:szCs w:val="26"/>
        </w:rPr>
        <w:t>B</w:t>
      </w:r>
      <w:r w:rsidR="007678A1" w:rsidRPr="007678A1">
        <w:rPr>
          <w:sz w:val="26"/>
          <w:szCs w:val="26"/>
        </w:rPr>
        <w:t>. 5343.</w:t>
      </w:r>
    </w:p>
    <w:p w14:paraId="70972069" w14:textId="70C36051" w:rsidR="00E9438C" w:rsidRDefault="00E9438C" w:rsidP="00292CD9">
      <w:pPr>
        <w:spacing w:line="360" w:lineRule="auto"/>
        <w:ind w:firstLine="1440"/>
        <w:rPr>
          <w:sz w:val="26"/>
          <w:szCs w:val="26"/>
        </w:rPr>
      </w:pPr>
    </w:p>
    <w:p w14:paraId="1252ED27" w14:textId="74D80E45" w:rsidR="00E9438C" w:rsidRDefault="00870E23" w:rsidP="00292CD9">
      <w:pPr>
        <w:spacing w:line="360" w:lineRule="auto"/>
        <w:ind w:firstLine="1440"/>
        <w:rPr>
          <w:sz w:val="26"/>
          <w:szCs w:val="26"/>
        </w:rPr>
      </w:pPr>
      <w:r>
        <w:rPr>
          <w:sz w:val="26"/>
          <w:szCs w:val="26"/>
        </w:rPr>
        <w:t>Six</w:t>
      </w:r>
      <w:r w:rsidR="00E9438C" w:rsidRPr="00647DB5">
        <w:rPr>
          <w:sz w:val="26"/>
          <w:szCs w:val="26"/>
        </w:rPr>
        <w:t xml:space="preserve"> protests</w:t>
      </w:r>
      <w:r w:rsidR="00E9438C" w:rsidRPr="00E9438C">
        <w:rPr>
          <w:sz w:val="26"/>
          <w:szCs w:val="26"/>
        </w:rPr>
        <w:t xml:space="preserve"> to the Application</w:t>
      </w:r>
      <w:r w:rsidR="00E9438C" w:rsidRPr="00647DB5">
        <w:rPr>
          <w:sz w:val="26"/>
          <w:szCs w:val="26"/>
        </w:rPr>
        <w:t xml:space="preserve"> were filed by </w:t>
      </w:r>
      <w:r w:rsidR="00E9438C" w:rsidRPr="00647DB5">
        <w:rPr>
          <w:i/>
          <w:iCs/>
          <w:sz w:val="26"/>
          <w:szCs w:val="26"/>
        </w:rPr>
        <w:t>pro se</w:t>
      </w:r>
      <w:r w:rsidR="00E9438C" w:rsidRPr="00647DB5">
        <w:rPr>
          <w:sz w:val="26"/>
          <w:szCs w:val="26"/>
        </w:rPr>
        <w:t xml:space="preserve"> individuals.</w:t>
      </w:r>
      <w:r w:rsidR="00E9438C" w:rsidRPr="00E9438C">
        <w:rPr>
          <w:sz w:val="26"/>
          <w:szCs w:val="26"/>
          <w:vertAlign w:val="superscript"/>
        </w:rPr>
        <w:footnoteReference w:id="3"/>
      </w:r>
    </w:p>
    <w:p w14:paraId="26C2B122" w14:textId="1612317B" w:rsidR="007678A1" w:rsidRDefault="007678A1" w:rsidP="008175BD">
      <w:pPr>
        <w:spacing w:line="360" w:lineRule="auto"/>
        <w:ind w:firstLine="1440"/>
        <w:rPr>
          <w:sz w:val="26"/>
          <w:szCs w:val="26"/>
        </w:rPr>
      </w:pPr>
    </w:p>
    <w:p w14:paraId="53010423" w14:textId="6F565C7C" w:rsidR="007678A1" w:rsidRDefault="007D5470" w:rsidP="004A0740">
      <w:pPr>
        <w:spacing w:line="360" w:lineRule="auto"/>
        <w:ind w:firstLine="1440"/>
        <w:rPr>
          <w:sz w:val="26"/>
          <w:szCs w:val="26"/>
        </w:rPr>
      </w:pPr>
      <w:r>
        <w:rPr>
          <w:sz w:val="26"/>
          <w:szCs w:val="26"/>
        </w:rPr>
        <w:t>On September 9, 2021, a Telephonic Prehearing Conference convened, as scheduled, in which Aqua, I&amp;E, the OCA, the OSBA, LMT, Protestant Summers, and Protestant Lachance participated.</w:t>
      </w:r>
      <w:r>
        <w:rPr>
          <w:rStyle w:val="FootnoteReference"/>
          <w:sz w:val="26"/>
          <w:szCs w:val="26"/>
        </w:rPr>
        <w:footnoteReference w:id="4"/>
      </w:r>
      <w:r>
        <w:rPr>
          <w:sz w:val="26"/>
          <w:szCs w:val="26"/>
        </w:rPr>
        <w:t xml:space="preserve">  </w:t>
      </w:r>
      <w:r w:rsidR="004A0740" w:rsidRPr="004A0740">
        <w:rPr>
          <w:sz w:val="26"/>
          <w:szCs w:val="26"/>
        </w:rPr>
        <w:t xml:space="preserve">A litigation schedule was adopted providing for, </w:t>
      </w:r>
      <w:r w:rsidR="004A0740" w:rsidRPr="004A0740">
        <w:rPr>
          <w:i/>
          <w:iCs/>
          <w:sz w:val="26"/>
          <w:szCs w:val="26"/>
        </w:rPr>
        <w:t>inter</w:t>
      </w:r>
      <w:r w:rsidR="0031096D">
        <w:rPr>
          <w:i/>
          <w:iCs/>
          <w:sz w:val="26"/>
          <w:szCs w:val="26"/>
        </w:rPr>
        <w:t> </w:t>
      </w:r>
      <w:r w:rsidR="004A0740" w:rsidRPr="004A0740">
        <w:rPr>
          <w:i/>
          <w:iCs/>
          <w:sz w:val="26"/>
          <w:szCs w:val="26"/>
        </w:rPr>
        <w:t>alia</w:t>
      </w:r>
      <w:r w:rsidR="004A0740" w:rsidRPr="004A0740">
        <w:rPr>
          <w:sz w:val="26"/>
          <w:szCs w:val="26"/>
        </w:rPr>
        <w:t>, the</w:t>
      </w:r>
      <w:r w:rsidR="004A0740">
        <w:rPr>
          <w:sz w:val="26"/>
          <w:szCs w:val="26"/>
        </w:rPr>
        <w:t xml:space="preserve"> </w:t>
      </w:r>
      <w:r w:rsidR="004A0740" w:rsidRPr="004A0740">
        <w:rPr>
          <w:sz w:val="26"/>
          <w:szCs w:val="26"/>
        </w:rPr>
        <w:t>distribution of direct testimony of other parties,</w:t>
      </w:r>
      <w:r w:rsidR="004A0740">
        <w:rPr>
          <w:rStyle w:val="FootnoteReference"/>
          <w:sz w:val="26"/>
          <w:szCs w:val="26"/>
        </w:rPr>
        <w:footnoteReference w:id="5"/>
      </w:r>
      <w:r w:rsidR="004A0740" w:rsidRPr="004A0740">
        <w:rPr>
          <w:rFonts w:ascii="TimesNewRomanPSMT" w:hAnsi="TimesNewRomanPSMT" w:cs="TimesNewRomanPSMT"/>
          <w:sz w:val="24"/>
          <w:szCs w:val="24"/>
        </w:rPr>
        <w:t xml:space="preserve"> </w:t>
      </w:r>
      <w:r w:rsidR="004A0740" w:rsidRPr="004A0740">
        <w:rPr>
          <w:sz w:val="26"/>
          <w:szCs w:val="26"/>
        </w:rPr>
        <w:t>rebuttal, surrebuttal and outlines of oral rejoinder</w:t>
      </w:r>
      <w:r w:rsidR="004A0740">
        <w:rPr>
          <w:sz w:val="26"/>
          <w:szCs w:val="26"/>
        </w:rPr>
        <w:t xml:space="preserve"> </w:t>
      </w:r>
      <w:r w:rsidR="004A0740" w:rsidRPr="004A0740">
        <w:rPr>
          <w:sz w:val="26"/>
          <w:szCs w:val="26"/>
        </w:rPr>
        <w:t>testimony</w:t>
      </w:r>
      <w:r w:rsidR="004F7790">
        <w:rPr>
          <w:sz w:val="26"/>
          <w:szCs w:val="26"/>
        </w:rPr>
        <w:t>,</w:t>
      </w:r>
      <w:r w:rsidR="004A0740" w:rsidRPr="004A0740">
        <w:rPr>
          <w:sz w:val="26"/>
          <w:szCs w:val="26"/>
        </w:rPr>
        <w:t xml:space="preserve"> and evidentiary hearings on September</w:t>
      </w:r>
      <w:r w:rsidR="0082628D">
        <w:rPr>
          <w:sz w:val="26"/>
          <w:szCs w:val="26"/>
        </w:rPr>
        <w:t> </w:t>
      </w:r>
      <w:r w:rsidR="004A0740" w:rsidRPr="004A0740">
        <w:rPr>
          <w:sz w:val="26"/>
          <w:szCs w:val="26"/>
        </w:rPr>
        <w:t>29</w:t>
      </w:r>
      <w:r w:rsidR="0082628D">
        <w:rPr>
          <w:sz w:val="26"/>
          <w:szCs w:val="26"/>
        </w:rPr>
        <w:t> </w:t>
      </w:r>
      <w:r w:rsidR="004A0740" w:rsidRPr="004A0740">
        <w:rPr>
          <w:sz w:val="26"/>
          <w:szCs w:val="26"/>
        </w:rPr>
        <w:t>and</w:t>
      </w:r>
      <w:r w:rsidR="0082628D">
        <w:rPr>
          <w:sz w:val="26"/>
          <w:szCs w:val="26"/>
        </w:rPr>
        <w:t> </w:t>
      </w:r>
      <w:r w:rsidR="004A0740" w:rsidRPr="004A0740">
        <w:rPr>
          <w:sz w:val="26"/>
          <w:szCs w:val="26"/>
        </w:rPr>
        <w:t>30,</w:t>
      </w:r>
      <w:r w:rsidR="0082628D">
        <w:rPr>
          <w:sz w:val="26"/>
          <w:szCs w:val="26"/>
        </w:rPr>
        <w:t> </w:t>
      </w:r>
      <w:r w:rsidR="004A0740" w:rsidRPr="004A0740">
        <w:rPr>
          <w:sz w:val="26"/>
          <w:szCs w:val="26"/>
        </w:rPr>
        <w:t>2021.</w:t>
      </w:r>
    </w:p>
    <w:p w14:paraId="09B13A38" w14:textId="26C76CA5" w:rsidR="00B5198B" w:rsidRDefault="00B5198B" w:rsidP="008175BD">
      <w:pPr>
        <w:spacing w:line="360" w:lineRule="auto"/>
        <w:ind w:firstLine="1440"/>
        <w:rPr>
          <w:sz w:val="26"/>
          <w:szCs w:val="26"/>
        </w:rPr>
      </w:pPr>
    </w:p>
    <w:p w14:paraId="6067CBAD" w14:textId="51C6B20A" w:rsidR="004A0740" w:rsidRDefault="0062145D" w:rsidP="0031096D">
      <w:pPr>
        <w:widowControl/>
        <w:spacing w:line="360" w:lineRule="auto"/>
        <w:ind w:firstLine="1440"/>
        <w:rPr>
          <w:sz w:val="26"/>
          <w:szCs w:val="26"/>
        </w:rPr>
      </w:pPr>
      <w:r w:rsidRPr="0062145D">
        <w:rPr>
          <w:sz w:val="26"/>
          <w:szCs w:val="26"/>
        </w:rPr>
        <w:t>A Telephonic Public Input Hearing was held on September 23, 2021</w:t>
      </w:r>
      <w:r w:rsidR="003518AB">
        <w:rPr>
          <w:sz w:val="26"/>
          <w:szCs w:val="26"/>
        </w:rPr>
        <w:t xml:space="preserve">, </w:t>
      </w:r>
      <w:r w:rsidR="00D242B8">
        <w:rPr>
          <w:sz w:val="26"/>
          <w:szCs w:val="26"/>
        </w:rPr>
        <w:t>during</w:t>
      </w:r>
      <w:r w:rsidR="003518AB">
        <w:rPr>
          <w:sz w:val="26"/>
          <w:szCs w:val="26"/>
        </w:rPr>
        <w:t xml:space="preserve"> which</w:t>
      </w:r>
      <w:r w:rsidR="006A205E">
        <w:rPr>
          <w:sz w:val="26"/>
          <w:szCs w:val="26"/>
        </w:rPr>
        <w:t xml:space="preserve"> </w:t>
      </w:r>
      <w:r w:rsidR="003518AB">
        <w:rPr>
          <w:sz w:val="26"/>
          <w:szCs w:val="26"/>
        </w:rPr>
        <w:t>t</w:t>
      </w:r>
      <w:r w:rsidRPr="0062145D">
        <w:rPr>
          <w:sz w:val="26"/>
          <w:szCs w:val="26"/>
        </w:rPr>
        <w:t>hree witnesses</w:t>
      </w:r>
      <w:r>
        <w:rPr>
          <w:sz w:val="26"/>
          <w:szCs w:val="26"/>
        </w:rPr>
        <w:t xml:space="preserve"> </w:t>
      </w:r>
      <w:r w:rsidRPr="0062145D">
        <w:rPr>
          <w:sz w:val="26"/>
          <w:szCs w:val="26"/>
        </w:rPr>
        <w:t>offered testimony</w:t>
      </w:r>
      <w:r w:rsidR="00251DBE">
        <w:rPr>
          <w:sz w:val="26"/>
          <w:szCs w:val="26"/>
        </w:rPr>
        <w:t xml:space="preserve"> (Protestant Summers, Jeffrey Hall-Gale, and Protestant Lachance).</w:t>
      </w:r>
      <w:r w:rsidR="00EF6040">
        <w:rPr>
          <w:rStyle w:val="FootnoteReference"/>
          <w:sz w:val="26"/>
          <w:szCs w:val="26"/>
        </w:rPr>
        <w:footnoteReference w:id="6"/>
      </w:r>
      <w:r w:rsidR="004F7790">
        <w:rPr>
          <w:sz w:val="26"/>
          <w:szCs w:val="26"/>
        </w:rPr>
        <w:t xml:space="preserve">  The testimony from the Public Input Hearing is discussed in more detail in the Recommended Decision on pages 50 through 51.</w:t>
      </w:r>
    </w:p>
    <w:p w14:paraId="4EA917C7" w14:textId="77777777" w:rsidR="0031096D" w:rsidRDefault="0031096D" w:rsidP="0031096D">
      <w:pPr>
        <w:widowControl/>
        <w:spacing w:line="360" w:lineRule="auto"/>
        <w:ind w:firstLine="1440"/>
        <w:rPr>
          <w:sz w:val="26"/>
          <w:szCs w:val="26"/>
        </w:rPr>
      </w:pPr>
    </w:p>
    <w:p w14:paraId="56129D27" w14:textId="13D2E6F5" w:rsidR="00B5231A" w:rsidRDefault="00163177" w:rsidP="00377EC4">
      <w:pPr>
        <w:widowControl/>
        <w:spacing w:line="360" w:lineRule="auto"/>
        <w:ind w:firstLine="1440"/>
        <w:rPr>
          <w:sz w:val="26"/>
          <w:szCs w:val="26"/>
        </w:rPr>
      </w:pPr>
      <w:r>
        <w:rPr>
          <w:sz w:val="26"/>
          <w:szCs w:val="26"/>
        </w:rPr>
        <w:t>A</w:t>
      </w:r>
      <w:r w:rsidR="00594329" w:rsidRPr="00594329">
        <w:rPr>
          <w:sz w:val="26"/>
          <w:szCs w:val="26"/>
        </w:rPr>
        <w:t xml:space="preserve"> call-in evidentiary hearing was convened on September 29, 2021, as scheduled.</w:t>
      </w:r>
      <w:r w:rsidR="00594329">
        <w:rPr>
          <w:sz w:val="26"/>
          <w:szCs w:val="26"/>
        </w:rPr>
        <w:t xml:space="preserve">  </w:t>
      </w:r>
      <w:r w:rsidR="00594329" w:rsidRPr="00594329">
        <w:rPr>
          <w:sz w:val="26"/>
          <w:szCs w:val="26"/>
        </w:rPr>
        <w:t>Written testimony was admitted into the evidentiary record by stipulation and cross examination</w:t>
      </w:r>
      <w:r w:rsidR="00594329">
        <w:rPr>
          <w:sz w:val="26"/>
          <w:szCs w:val="26"/>
        </w:rPr>
        <w:t xml:space="preserve"> </w:t>
      </w:r>
      <w:r w:rsidR="00594329" w:rsidRPr="00594329">
        <w:rPr>
          <w:sz w:val="26"/>
          <w:szCs w:val="26"/>
        </w:rPr>
        <w:t>was waived.</w:t>
      </w:r>
      <w:r w:rsidR="00787DFB">
        <w:rPr>
          <w:rStyle w:val="FootnoteReference"/>
          <w:sz w:val="26"/>
          <w:szCs w:val="26"/>
        </w:rPr>
        <w:footnoteReference w:id="7"/>
      </w:r>
      <w:r w:rsidR="00594329" w:rsidRPr="00594329">
        <w:rPr>
          <w:sz w:val="26"/>
          <w:szCs w:val="26"/>
        </w:rPr>
        <w:t xml:space="preserve"> </w:t>
      </w:r>
      <w:r w:rsidR="00594329">
        <w:rPr>
          <w:sz w:val="26"/>
          <w:szCs w:val="26"/>
        </w:rPr>
        <w:t xml:space="preserve"> </w:t>
      </w:r>
      <w:r w:rsidR="00594329" w:rsidRPr="00594329">
        <w:rPr>
          <w:sz w:val="26"/>
          <w:szCs w:val="26"/>
        </w:rPr>
        <w:t>Oral rejoinder testimony by the Utility Valuation Experts</w:t>
      </w:r>
      <w:r w:rsidR="004F7790">
        <w:rPr>
          <w:sz w:val="26"/>
          <w:szCs w:val="26"/>
        </w:rPr>
        <w:t xml:space="preserve"> (UVEs)</w:t>
      </w:r>
      <w:r w:rsidR="00594329" w:rsidRPr="00594329">
        <w:rPr>
          <w:sz w:val="26"/>
          <w:szCs w:val="26"/>
        </w:rPr>
        <w:t xml:space="preserve"> was presented and</w:t>
      </w:r>
      <w:r w:rsidR="004F7790">
        <w:rPr>
          <w:sz w:val="26"/>
          <w:szCs w:val="26"/>
        </w:rPr>
        <w:t xml:space="preserve"> subject to</w:t>
      </w:r>
      <w:r w:rsidR="00594329" w:rsidRPr="00594329">
        <w:rPr>
          <w:sz w:val="26"/>
          <w:szCs w:val="26"/>
        </w:rPr>
        <w:t xml:space="preserve"> cross</w:t>
      </w:r>
      <w:r w:rsidR="00594329">
        <w:rPr>
          <w:sz w:val="26"/>
          <w:szCs w:val="26"/>
        </w:rPr>
        <w:t xml:space="preserve"> </w:t>
      </w:r>
      <w:r w:rsidR="00594329" w:rsidRPr="00594329">
        <w:rPr>
          <w:sz w:val="26"/>
          <w:szCs w:val="26"/>
        </w:rPr>
        <w:t>examin</w:t>
      </w:r>
      <w:r w:rsidR="004F7790">
        <w:rPr>
          <w:sz w:val="26"/>
          <w:szCs w:val="26"/>
        </w:rPr>
        <w:t>ation.</w:t>
      </w:r>
    </w:p>
    <w:p w14:paraId="71B4A14F" w14:textId="2A9760AE" w:rsidR="00C21766" w:rsidRDefault="00C21766" w:rsidP="00377EC4">
      <w:pPr>
        <w:widowControl/>
        <w:spacing w:line="360" w:lineRule="auto"/>
        <w:ind w:firstLine="1440"/>
        <w:rPr>
          <w:sz w:val="26"/>
          <w:szCs w:val="26"/>
        </w:rPr>
      </w:pPr>
    </w:p>
    <w:p w14:paraId="0C64C470" w14:textId="347C6A35" w:rsidR="00594329" w:rsidRDefault="00377EC4" w:rsidP="00377EC4">
      <w:pPr>
        <w:widowControl/>
        <w:spacing w:line="360" w:lineRule="auto"/>
        <w:ind w:firstLine="1440"/>
        <w:rPr>
          <w:sz w:val="26"/>
          <w:szCs w:val="26"/>
        </w:rPr>
      </w:pPr>
      <w:r>
        <w:rPr>
          <w:sz w:val="26"/>
          <w:szCs w:val="26"/>
        </w:rPr>
        <w:t xml:space="preserve">ALJ </w:t>
      </w:r>
      <w:r w:rsidRPr="00377EC4">
        <w:rPr>
          <w:sz w:val="26"/>
          <w:szCs w:val="26"/>
        </w:rPr>
        <w:t>Watson approved the Joint Stipulation by Interim Order, dated September</w:t>
      </w:r>
      <w:r>
        <w:rPr>
          <w:sz w:val="26"/>
          <w:szCs w:val="26"/>
        </w:rPr>
        <w:t xml:space="preserve"> </w:t>
      </w:r>
      <w:r w:rsidRPr="00377EC4">
        <w:rPr>
          <w:sz w:val="26"/>
          <w:szCs w:val="26"/>
        </w:rPr>
        <w:t>29, 2021, Approving Joint Stipulation for the Admission of Testimony and Exhibits, Providing for</w:t>
      </w:r>
      <w:r>
        <w:rPr>
          <w:sz w:val="26"/>
          <w:szCs w:val="26"/>
        </w:rPr>
        <w:t xml:space="preserve"> </w:t>
      </w:r>
      <w:r w:rsidRPr="00377EC4">
        <w:rPr>
          <w:sz w:val="26"/>
          <w:szCs w:val="26"/>
        </w:rPr>
        <w:t>the Filing of Objections to Any Settlement and Responses to Objections and Revising Litigation</w:t>
      </w:r>
      <w:r>
        <w:rPr>
          <w:sz w:val="26"/>
          <w:szCs w:val="26"/>
        </w:rPr>
        <w:t xml:space="preserve"> </w:t>
      </w:r>
      <w:r w:rsidRPr="00377EC4">
        <w:rPr>
          <w:sz w:val="26"/>
          <w:szCs w:val="26"/>
        </w:rPr>
        <w:t>Schedule</w:t>
      </w:r>
      <w:r>
        <w:rPr>
          <w:sz w:val="26"/>
          <w:szCs w:val="26"/>
        </w:rPr>
        <w:t>.</w:t>
      </w:r>
    </w:p>
    <w:p w14:paraId="02F85A38" w14:textId="0CA9DB5B" w:rsidR="007E6253" w:rsidRDefault="007E6253" w:rsidP="00813FD1">
      <w:pPr>
        <w:widowControl/>
        <w:spacing w:line="360" w:lineRule="auto"/>
        <w:rPr>
          <w:sz w:val="26"/>
          <w:szCs w:val="26"/>
        </w:rPr>
      </w:pPr>
    </w:p>
    <w:p w14:paraId="131EBA34" w14:textId="07EE7655" w:rsidR="00504345" w:rsidRDefault="007E6253" w:rsidP="00377EC4">
      <w:pPr>
        <w:widowControl/>
        <w:spacing w:line="360" w:lineRule="auto"/>
        <w:ind w:firstLine="1440"/>
        <w:rPr>
          <w:sz w:val="26"/>
          <w:szCs w:val="26"/>
        </w:rPr>
      </w:pPr>
      <w:r w:rsidRPr="007E6253">
        <w:rPr>
          <w:sz w:val="26"/>
          <w:szCs w:val="26"/>
        </w:rPr>
        <w:t xml:space="preserve">On October 8, 2021, Aqua, </w:t>
      </w:r>
      <w:r>
        <w:rPr>
          <w:sz w:val="26"/>
          <w:szCs w:val="26"/>
        </w:rPr>
        <w:t>I&amp;E</w:t>
      </w:r>
      <w:r w:rsidRPr="007E6253">
        <w:rPr>
          <w:sz w:val="26"/>
          <w:szCs w:val="26"/>
        </w:rPr>
        <w:t xml:space="preserve">, the </w:t>
      </w:r>
      <w:r>
        <w:rPr>
          <w:sz w:val="26"/>
          <w:szCs w:val="26"/>
        </w:rPr>
        <w:t>OCA</w:t>
      </w:r>
      <w:r w:rsidRPr="007E6253">
        <w:rPr>
          <w:sz w:val="26"/>
          <w:szCs w:val="26"/>
        </w:rPr>
        <w:t xml:space="preserve">, the </w:t>
      </w:r>
      <w:r>
        <w:rPr>
          <w:sz w:val="26"/>
          <w:szCs w:val="26"/>
        </w:rPr>
        <w:t xml:space="preserve">OSBA </w:t>
      </w:r>
      <w:r w:rsidRPr="007E6253">
        <w:rPr>
          <w:sz w:val="26"/>
          <w:szCs w:val="26"/>
        </w:rPr>
        <w:t xml:space="preserve">and </w:t>
      </w:r>
      <w:r>
        <w:rPr>
          <w:sz w:val="26"/>
          <w:szCs w:val="26"/>
        </w:rPr>
        <w:t>LMT</w:t>
      </w:r>
      <w:r w:rsidR="00504345">
        <w:rPr>
          <w:sz w:val="26"/>
          <w:szCs w:val="26"/>
        </w:rPr>
        <w:t xml:space="preserve"> filed a Joint Petition</w:t>
      </w:r>
      <w:r w:rsidRPr="007E6253">
        <w:rPr>
          <w:sz w:val="26"/>
          <w:szCs w:val="26"/>
        </w:rPr>
        <w:t xml:space="preserve"> for Approval of Partial Settlement</w:t>
      </w:r>
      <w:r w:rsidR="00504345">
        <w:rPr>
          <w:sz w:val="26"/>
          <w:szCs w:val="26"/>
        </w:rPr>
        <w:t xml:space="preserve"> proposing a resolution of all issues with the exception of</w:t>
      </w:r>
      <w:r w:rsidR="001C30D9">
        <w:rPr>
          <w:sz w:val="26"/>
          <w:szCs w:val="26"/>
        </w:rPr>
        <w:t>:</w:t>
      </w:r>
      <w:r w:rsidR="00504345">
        <w:rPr>
          <w:sz w:val="26"/>
          <w:szCs w:val="26"/>
        </w:rPr>
        <w:t xml:space="preserve"> </w:t>
      </w:r>
      <w:r w:rsidR="00592E79">
        <w:rPr>
          <w:sz w:val="26"/>
          <w:szCs w:val="26"/>
        </w:rPr>
        <w:t xml:space="preserve"> </w:t>
      </w:r>
      <w:r w:rsidR="00504345">
        <w:rPr>
          <w:sz w:val="26"/>
          <w:szCs w:val="26"/>
        </w:rPr>
        <w:t>(1) the determination of ratemaking rate base; and (2) the treatment of income tax savings on repairs deductions.</w:t>
      </w:r>
    </w:p>
    <w:p w14:paraId="742B9DE5" w14:textId="77777777" w:rsidR="00504345" w:rsidRDefault="00504345" w:rsidP="00377EC4">
      <w:pPr>
        <w:widowControl/>
        <w:spacing w:line="360" w:lineRule="auto"/>
        <w:ind w:firstLine="1440"/>
        <w:rPr>
          <w:sz w:val="26"/>
          <w:szCs w:val="26"/>
        </w:rPr>
      </w:pPr>
    </w:p>
    <w:p w14:paraId="6B50F0B3" w14:textId="72453A0C" w:rsidR="007E6253" w:rsidRDefault="007E6253" w:rsidP="00377EC4">
      <w:pPr>
        <w:widowControl/>
        <w:spacing w:line="360" w:lineRule="auto"/>
        <w:ind w:firstLine="1440"/>
        <w:rPr>
          <w:sz w:val="26"/>
          <w:szCs w:val="26"/>
        </w:rPr>
      </w:pPr>
      <w:r w:rsidRPr="007E6253">
        <w:rPr>
          <w:sz w:val="26"/>
          <w:szCs w:val="26"/>
        </w:rPr>
        <w:t>On October 8, 2021, Main Briefs were filed by Aqua and</w:t>
      </w:r>
      <w:r>
        <w:rPr>
          <w:sz w:val="26"/>
          <w:szCs w:val="26"/>
        </w:rPr>
        <w:t xml:space="preserve"> the</w:t>
      </w:r>
      <w:r w:rsidRPr="007E6253">
        <w:rPr>
          <w:sz w:val="26"/>
          <w:szCs w:val="26"/>
        </w:rPr>
        <w:t xml:space="preserve"> OCA</w:t>
      </w:r>
      <w:r w:rsidR="00B947EB">
        <w:rPr>
          <w:sz w:val="26"/>
          <w:szCs w:val="26"/>
        </w:rPr>
        <w:t>, addressing the two unresolved issu</w:t>
      </w:r>
      <w:r w:rsidR="001902E6">
        <w:rPr>
          <w:sz w:val="26"/>
          <w:szCs w:val="26"/>
        </w:rPr>
        <w:t>es</w:t>
      </w:r>
      <w:r w:rsidRPr="007E6253">
        <w:rPr>
          <w:sz w:val="26"/>
          <w:szCs w:val="26"/>
        </w:rPr>
        <w:t>.</w:t>
      </w:r>
      <w:r w:rsidR="00813FD1">
        <w:rPr>
          <w:rStyle w:val="FootnoteReference"/>
          <w:sz w:val="26"/>
          <w:szCs w:val="26"/>
        </w:rPr>
        <w:footnoteReference w:id="8"/>
      </w:r>
      <w:r>
        <w:rPr>
          <w:sz w:val="26"/>
          <w:szCs w:val="26"/>
        </w:rPr>
        <w:t xml:space="preserve"> </w:t>
      </w:r>
      <w:r w:rsidRPr="007E6253">
        <w:rPr>
          <w:sz w:val="26"/>
          <w:szCs w:val="26"/>
        </w:rPr>
        <w:t xml:space="preserve"> Reply Briefs were filed by Aqua and</w:t>
      </w:r>
      <w:r>
        <w:rPr>
          <w:sz w:val="26"/>
          <w:szCs w:val="26"/>
        </w:rPr>
        <w:t xml:space="preserve"> the</w:t>
      </w:r>
      <w:r w:rsidRPr="007E6253">
        <w:rPr>
          <w:sz w:val="26"/>
          <w:szCs w:val="26"/>
        </w:rPr>
        <w:t xml:space="preserve"> OCA on October 18, 2021</w:t>
      </w:r>
      <w:r w:rsidR="002F79E2">
        <w:rPr>
          <w:sz w:val="26"/>
          <w:szCs w:val="26"/>
        </w:rPr>
        <w:t>, closing t</w:t>
      </w:r>
      <w:r w:rsidR="002F79E2" w:rsidRPr="002F79E2">
        <w:rPr>
          <w:sz w:val="26"/>
          <w:szCs w:val="26"/>
        </w:rPr>
        <w:t>he record in this proceeding</w:t>
      </w:r>
      <w:r w:rsidR="002F79E2">
        <w:rPr>
          <w:sz w:val="26"/>
          <w:szCs w:val="26"/>
        </w:rPr>
        <w:t xml:space="preserve">.  </w:t>
      </w:r>
    </w:p>
    <w:p w14:paraId="7273A895" w14:textId="5AF25226" w:rsidR="007E6253" w:rsidRDefault="007E6253" w:rsidP="00377EC4">
      <w:pPr>
        <w:widowControl/>
        <w:spacing w:line="360" w:lineRule="auto"/>
        <w:ind w:firstLine="1440"/>
        <w:rPr>
          <w:sz w:val="26"/>
          <w:szCs w:val="26"/>
        </w:rPr>
      </w:pPr>
    </w:p>
    <w:p w14:paraId="1EB46AAC" w14:textId="7B7E085E" w:rsidR="006E438C" w:rsidRDefault="006E438C" w:rsidP="006E438C">
      <w:pPr>
        <w:widowControl/>
        <w:spacing w:line="360" w:lineRule="auto"/>
        <w:ind w:firstLine="1440"/>
        <w:rPr>
          <w:sz w:val="26"/>
          <w:szCs w:val="26"/>
        </w:rPr>
      </w:pPr>
      <w:r>
        <w:rPr>
          <w:sz w:val="26"/>
          <w:szCs w:val="26"/>
        </w:rPr>
        <w:t>In the Recommended Decision issued on November 17, 2021, ALJ Watson recommended approving the Joint Petition without modification</w:t>
      </w:r>
      <w:r w:rsidR="00783BE2" w:rsidRPr="00783BE2">
        <w:rPr>
          <w:color w:val="000000"/>
          <w:sz w:val="23"/>
          <w:szCs w:val="23"/>
        </w:rPr>
        <w:t xml:space="preserve"> </w:t>
      </w:r>
      <w:r w:rsidR="00783BE2" w:rsidRPr="00783BE2">
        <w:rPr>
          <w:sz w:val="26"/>
          <w:szCs w:val="26"/>
        </w:rPr>
        <w:t>because it is supported by substantial evidence and is in the public interest</w:t>
      </w:r>
      <w:r>
        <w:rPr>
          <w:sz w:val="26"/>
          <w:szCs w:val="26"/>
        </w:rPr>
        <w:t>.</w:t>
      </w:r>
      <w:r w:rsidR="00783BE2">
        <w:rPr>
          <w:sz w:val="26"/>
          <w:szCs w:val="26"/>
        </w:rPr>
        <w:t xml:space="preserve">  R.D. at 1, 98.</w:t>
      </w:r>
      <w:r>
        <w:rPr>
          <w:sz w:val="26"/>
          <w:szCs w:val="26"/>
        </w:rPr>
        <w:t xml:space="preserve">  Concerning the two issues reserved for litigation:</w:t>
      </w:r>
      <w:r w:rsidR="00592E79">
        <w:rPr>
          <w:sz w:val="26"/>
          <w:szCs w:val="26"/>
        </w:rPr>
        <w:t xml:space="preserve"> </w:t>
      </w:r>
      <w:r>
        <w:rPr>
          <w:sz w:val="26"/>
          <w:szCs w:val="26"/>
        </w:rPr>
        <w:t xml:space="preserve"> (1) ALJ Watson recommended adoption of the OCA’s proposed adjustments to the fair market value</w:t>
      </w:r>
      <w:r w:rsidR="0083263F">
        <w:rPr>
          <w:sz w:val="26"/>
          <w:szCs w:val="26"/>
        </w:rPr>
        <w:t xml:space="preserve"> (FMV)</w:t>
      </w:r>
      <w:r>
        <w:rPr>
          <w:sz w:val="26"/>
          <w:szCs w:val="26"/>
        </w:rPr>
        <w:t xml:space="preserve"> appraisals of </w:t>
      </w:r>
      <w:bookmarkStart w:id="5" w:name="_Hlk89500222"/>
      <w:r>
        <w:rPr>
          <w:sz w:val="26"/>
          <w:szCs w:val="26"/>
        </w:rPr>
        <w:t>Gannett Fleming and AUS</w:t>
      </w:r>
      <w:bookmarkEnd w:id="5"/>
      <w:r>
        <w:rPr>
          <w:sz w:val="26"/>
          <w:szCs w:val="26"/>
        </w:rPr>
        <w:t xml:space="preserve">.  The effect of the adjustments reduces the ratemaking rate base for the </w:t>
      </w:r>
      <w:r w:rsidR="00785B97">
        <w:rPr>
          <w:sz w:val="26"/>
          <w:szCs w:val="26"/>
        </w:rPr>
        <w:t xml:space="preserve">acquired assets </w:t>
      </w:r>
      <w:r w:rsidR="00DE6B08">
        <w:rPr>
          <w:sz w:val="26"/>
          <w:szCs w:val="26"/>
        </w:rPr>
        <w:t xml:space="preserve">by $1,763,741 </w:t>
      </w:r>
      <w:r w:rsidR="00785B97">
        <w:rPr>
          <w:sz w:val="26"/>
          <w:szCs w:val="26"/>
        </w:rPr>
        <w:t xml:space="preserve">from the </w:t>
      </w:r>
      <w:r w:rsidR="00543427">
        <w:rPr>
          <w:sz w:val="26"/>
          <w:szCs w:val="26"/>
        </w:rPr>
        <w:t>proposed</w:t>
      </w:r>
      <w:r w:rsidR="00785B97">
        <w:rPr>
          <w:sz w:val="26"/>
          <w:szCs w:val="26"/>
        </w:rPr>
        <w:t xml:space="preserve"> $53,000,000 to $51,236,259, and (2) as to the treatment of income tax savings on repairs deductions, ALJ Watson rejected the OCA’s proposal to record the income tax effect of repairs deductions in a regulatory liability account to be addressed in Aqua’s next base rate case.</w:t>
      </w:r>
      <w:r w:rsidR="0008379C">
        <w:rPr>
          <w:sz w:val="26"/>
          <w:szCs w:val="26"/>
        </w:rPr>
        <w:t xml:space="preserve">  R.D. at </w:t>
      </w:r>
      <w:r w:rsidR="00A73ABF">
        <w:rPr>
          <w:sz w:val="26"/>
          <w:szCs w:val="26"/>
        </w:rPr>
        <w:t xml:space="preserve">92, </w:t>
      </w:r>
      <w:r w:rsidR="0008379C">
        <w:rPr>
          <w:sz w:val="26"/>
          <w:szCs w:val="26"/>
        </w:rPr>
        <w:t>9</w:t>
      </w:r>
      <w:r w:rsidR="00A73ABF">
        <w:rPr>
          <w:sz w:val="26"/>
          <w:szCs w:val="26"/>
        </w:rPr>
        <w:t>6</w:t>
      </w:r>
      <w:r w:rsidR="0008379C">
        <w:rPr>
          <w:sz w:val="26"/>
          <w:szCs w:val="26"/>
        </w:rPr>
        <w:t>-99.</w:t>
      </w:r>
    </w:p>
    <w:p w14:paraId="6E1A7D76" w14:textId="62567E9D" w:rsidR="006E438C" w:rsidRDefault="006E438C" w:rsidP="006E438C">
      <w:pPr>
        <w:widowControl/>
        <w:spacing w:line="360" w:lineRule="auto"/>
        <w:ind w:firstLine="1440"/>
        <w:rPr>
          <w:sz w:val="26"/>
          <w:szCs w:val="26"/>
        </w:rPr>
      </w:pPr>
    </w:p>
    <w:p w14:paraId="2B442D52" w14:textId="2E44EF24" w:rsidR="002F19B1" w:rsidRPr="006E438C" w:rsidRDefault="002F19B1" w:rsidP="006E438C">
      <w:pPr>
        <w:widowControl/>
        <w:spacing w:line="360" w:lineRule="auto"/>
        <w:ind w:firstLine="1440"/>
        <w:rPr>
          <w:sz w:val="26"/>
          <w:szCs w:val="26"/>
        </w:rPr>
      </w:pPr>
      <w:r>
        <w:rPr>
          <w:sz w:val="26"/>
          <w:szCs w:val="26"/>
        </w:rPr>
        <w:t xml:space="preserve">As </w:t>
      </w:r>
      <w:r w:rsidR="00E36540">
        <w:rPr>
          <w:sz w:val="26"/>
          <w:szCs w:val="26"/>
        </w:rPr>
        <w:t>noted above, Aqua and the OCA filed Exceptions on November</w:t>
      </w:r>
      <w:r w:rsidR="0031096D">
        <w:rPr>
          <w:sz w:val="26"/>
          <w:szCs w:val="26"/>
        </w:rPr>
        <w:t> </w:t>
      </w:r>
      <w:r w:rsidR="00E36540">
        <w:rPr>
          <w:sz w:val="26"/>
          <w:szCs w:val="26"/>
        </w:rPr>
        <w:t>29,</w:t>
      </w:r>
      <w:r w:rsidR="0031096D">
        <w:rPr>
          <w:sz w:val="26"/>
          <w:szCs w:val="26"/>
        </w:rPr>
        <w:t> </w:t>
      </w:r>
      <w:r w:rsidR="00E36540">
        <w:rPr>
          <w:sz w:val="26"/>
          <w:szCs w:val="26"/>
        </w:rPr>
        <w:t>202</w:t>
      </w:r>
      <w:r w:rsidR="00AA7225">
        <w:rPr>
          <w:sz w:val="26"/>
          <w:szCs w:val="26"/>
        </w:rPr>
        <w:t>1</w:t>
      </w:r>
      <w:r w:rsidR="002D24FB">
        <w:rPr>
          <w:sz w:val="26"/>
          <w:szCs w:val="26"/>
        </w:rPr>
        <w:t>; Aqua excepting to</w:t>
      </w:r>
      <w:r w:rsidR="004F7790">
        <w:rPr>
          <w:sz w:val="26"/>
          <w:szCs w:val="26"/>
        </w:rPr>
        <w:t xml:space="preserve"> the</w:t>
      </w:r>
      <w:r w:rsidR="002D24FB">
        <w:rPr>
          <w:sz w:val="26"/>
          <w:szCs w:val="26"/>
        </w:rPr>
        <w:t xml:space="preserve"> recommended reduction of ratemaking rate ba</w:t>
      </w:r>
      <w:r w:rsidR="004F7790">
        <w:rPr>
          <w:sz w:val="26"/>
          <w:szCs w:val="26"/>
        </w:rPr>
        <w:t>s</w:t>
      </w:r>
      <w:r w:rsidR="002D24FB">
        <w:rPr>
          <w:sz w:val="26"/>
          <w:szCs w:val="26"/>
        </w:rPr>
        <w:t>e from $53,000,000 to $5</w:t>
      </w:r>
      <w:r w:rsidR="00CD692B">
        <w:rPr>
          <w:sz w:val="26"/>
          <w:szCs w:val="26"/>
        </w:rPr>
        <w:t>1,236,259, and the OCA excepting to the denial of its proposed recording of the income tax effect of repairs deductions in a regulatory liability account.</w:t>
      </w:r>
      <w:r w:rsidR="00E36540">
        <w:rPr>
          <w:sz w:val="26"/>
          <w:szCs w:val="26"/>
        </w:rPr>
        <w:t xml:space="preserve">  </w:t>
      </w:r>
      <w:r w:rsidR="00E36540" w:rsidRPr="002D24FB">
        <w:rPr>
          <w:sz w:val="26"/>
          <w:szCs w:val="26"/>
        </w:rPr>
        <w:t>On December 6, 2021, Aqua and the OCA filed Replies to Exceptions.</w:t>
      </w:r>
    </w:p>
    <w:p w14:paraId="7D6C7131" w14:textId="77777777" w:rsidR="007E6253" w:rsidRPr="00C21766" w:rsidRDefault="007E6253" w:rsidP="00E36540">
      <w:pPr>
        <w:keepNext/>
        <w:keepLines/>
        <w:widowControl/>
        <w:spacing w:line="360" w:lineRule="auto"/>
        <w:rPr>
          <w:sz w:val="26"/>
          <w:szCs w:val="26"/>
        </w:rPr>
      </w:pPr>
    </w:p>
    <w:p w14:paraId="55591110" w14:textId="77F5C143" w:rsidR="003B3F33" w:rsidRDefault="00DA2034" w:rsidP="00866709">
      <w:pPr>
        <w:pStyle w:val="Heading1"/>
      </w:pPr>
      <w:bookmarkStart w:id="6" w:name="_Hlk35439594"/>
      <w:bookmarkStart w:id="7" w:name="_Toc90970698"/>
      <w:r w:rsidRPr="003B3F33">
        <w:t>Legal Standards</w:t>
      </w:r>
      <w:bookmarkEnd w:id="6"/>
      <w:bookmarkEnd w:id="7"/>
    </w:p>
    <w:p w14:paraId="2A04297E" w14:textId="77777777" w:rsidR="003B3F33" w:rsidRPr="003B3F33" w:rsidRDefault="003B3F33" w:rsidP="00866709">
      <w:pPr>
        <w:spacing w:line="360" w:lineRule="auto"/>
        <w:rPr>
          <w:sz w:val="26"/>
          <w:szCs w:val="26"/>
        </w:rPr>
      </w:pPr>
    </w:p>
    <w:p w14:paraId="6D8B6950" w14:textId="77777777" w:rsidR="008C5970" w:rsidRPr="008C5970" w:rsidRDefault="008C5970" w:rsidP="00866709">
      <w:pPr>
        <w:pStyle w:val="Heading2"/>
        <w:keepNext w:val="0"/>
        <w:keepLines w:val="0"/>
        <w:ind w:hanging="720"/>
      </w:pPr>
      <w:bookmarkStart w:id="8" w:name="_Toc90970699"/>
      <w:bookmarkStart w:id="9" w:name="_Hlk89411888"/>
      <w:r>
        <w:t xml:space="preserve">Burden </w:t>
      </w:r>
      <w:r w:rsidRPr="008C5970">
        <w:t>of Proof, 66 Pa. C.S. § 332(a)</w:t>
      </w:r>
      <w:bookmarkEnd w:id="8"/>
    </w:p>
    <w:bookmarkEnd w:id="9"/>
    <w:p w14:paraId="09E1A4B2" w14:textId="4A4F976E" w:rsidR="003B3F33" w:rsidRDefault="003B3F33" w:rsidP="00866709">
      <w:pPr>
        <w:spacing w:line="360" w:lineRule="auto"/>
        <w:rPr>
          <w:sz w:val="26"/>
          <w:szCs w:val="26"/>
        </w:rPr>
      </w:pPr>
    </w:p>
    <w:p w14:paraId="4AC36CF1" w14:textId="6D50CBA1" w:rsidR="002863A0" w:rsidRDefault="008C5970" w:rsidP="004B1ABE">
      <w:pPr>
        <w:spacing w:line="360" w:lineRule="auto"/>
        <w:ind w:firstLine="1440"/>
        <w:rPr>
          <w:sz w:val="26"/>
          <w:szCs w:val="26"/>
        </w:rPr>
      </w:pPr>
      <w:r w:rsidRPr="008C5970">
        <w:rPr>
          <w:sz w:val="26"/>
          <w:szCs w:val="26"/>
        </w:rPr>
        <w:t xml:space="preserve">As the proponent of a rule or order in this proceeding, </w:t>
      </w:r>
      <w:r>
        <w:rPr>
          <w:sz w:val="26"/>
          <w:szCs w:val="26"/>
        </w:rPr>
        <w:t>Aqua</w:t>
      </w:r>
      <w:r w:rsidRPr="008C5970">
        <w:rPr>
          <w:sz w:val="26"/>
          <w:szCs w:val="26"/>
        </w:rPr>
        <w:t xml:space="preserve"> has the burden of proof to establish that it is entitled to the relief it is seeking.  66 Pa. C.S. § 332(a).  The Applicant must establish its case by a preponderance of the evidence.  </w:t>
      </w:r>
      <w:r w:rsidRPr="008C5970">
        <w:rPr>
          <w:i/>
          <w:iCs/>
          <w:sz w:val="26"/>
          <w:szCs w:val="26"/>
        </w:rPr>
        <w:t>Samuel J. Lansberry, Inc. v. Pa. PUC</w:t>
      </w:r>
      <w:r w:rsidRPr="008C5970">
        <w:rPr>
          <w:sz w:val="26"/>
          <w:szCs w:val="26"/>
        </w:rPr>
        <w:t xml:space="preserve">, 578 A.2d 600 (Pa. Cmwlth. 1990), </w:t>
      </w:r>
      <w:r w:rsidRPr="008C5970">
        <w:rPr>
          <w:i/>
          <w:iCs/>
          <w:sz w:val="26"/>
          <w:szCs w:val="26"/>
        </w:rPr>
        <w:t>alloc. denied</w:t>
      </w:r>
      <w:r w:rsidRPr="008C5970">
        <w:rPr>
          <w:sz w:val="26"/>
          <w:szCs w:val="26"/>
        </w:rPr>
        <w:t>, 529</w:t>
      </w:r>
      <w:r w:rsidR="000F2103">
        <w:rPr>
          <w:sz w:val="26"/>
          <w:szCs w:val="26"/>
        </w:rPr>
        <w:t> </w:t>
      </w:r>
      <w:r w:rsidRPr="008C5970">
        <w:rPr>
          <w:sz w:val="26"/>
          <w:szCs w:val="26"/>
        </w:rPr>
        <w:t>Pa.</w:t>
      </w:r>
      <w:r w:rsidR="000F2103">
        <w:rPr>
          <w:sz w:val="26"/>
          <w:szCs w:val="26"/>
        </w:rPr>
        <w:t> </w:t>
      </w:r>
      <w:r w:rsidRPr="008C5970">
        <w:rPr>
          <w:sz w:val="26"/>
          <w:szCs w:val="26"/>
        </w:rPr>
        <w:t xml:space="preserve">654, 602 A.2d 863 (1992).  That is, the Applicant’s evidence must be more convincing, by even the smallest amount, than that presented by any opposing party.  </w:t>
      </w:r>
      <w:r w:rsidRPr="008C5970">
        <w:rPr>
          <w:i/>
          <w:iCs/>
          <w:sz w:val="26"/>
          <w:szCs w:val="26"/>
        </w:rPr>
        <w:t>Se</w:t>
      </w:r>
      <w:r w:rsidRPr="008C5970">
        <w:rPr>
          <w:i/>
          <w:iCs/>
          <w:sz w:val="26"/>
          <w:szCs w:val="26"/>
        </w:rPr>
        <w:noBreakHyphen/>
        <w:t>Ling Hosiery, Inc. v. Margulies</w:t>
      </w:r>
      <w:r w:rsidRPr="008C5970">
        <w:rPr>
          <w:sz w:val="26"/>
          <w:szCs w:val="26"/>
        </w:rPr>
        <w:t xml:space="preserve">, 364 Pa. 45, 70 A.2d 854 (1950).  Additionally, this Commission’s decision must be supported by substantial evidence in the record.  More is required than a mere trace of evidence or a suspicion of the existence of a fact sought to be established.  </w:t>
      </w:r>
      <w:r w:rsidRPr="008C5970">
        <w:rPr>
          <w:i/>
          <w:iCs/>
          <w:sz w:val="26"/>
          <w:szCs w:val="26"/>
        </w:rPr>
        <w:t>Norfolk &amp; Western Ry. Co. v. Pa. PUC</w:t>
      </w:r>
      <w:r w:rsidRPr="008C5970">
        <w:rPr>
          <w:sz w:val="26"/>
          <w:szCs w:val="26"/>
        </w:rPr>
        <w:t>, 489 Pa. 109, 413 A.2d 1037 (1980).</w:t>
      </w:r>
    </w:p>
    <w:p w14:paraId="4FA0CE28" w14:textId="77777777" w:rsidR="000F2103" w:rsidRPr="004B1ABE" w:rsidRDefault="000F2103" w:rsidP="004B1ABE">
      <w:pPr>
        <w:spacing w:line="360" w:lineRule="auto"/>
        <w:ind w:firstLine="1440"/>
        <w:rPr>
          <w:sz w:val="26"/>
          <w:szCs w:val="26"/>
        </w:rPr>
      </w:pPr>
    </w:p>
    <w:p w14:paraId="3E149BBE" w14:textId="7ACB0CBC" w:rsidR="003B3F33" w:rsidRDefault="008C5970" w:rsidP="003B3F33">
      <w:pPr>
        <w:pStyle w:val="Heading2"/>
        <w:ind w:hanging="720"/>
      </w:pPr>
      <w:bookmarkStart w:id="10" w:name="_Toc90970700"/>
      <w:r>
        <w:t xml:space="preserve">Certificate </w:t>
      </w:r>
      <w:r w:rsidRPr="008C5970">
        <w:t>of Public Convenience, 66 Pa. C.S. §§ 1102, 1103</w:t>
      </w:r>
      <w:bookmarkEnd w:id="10"/>
    </w:p>
    <w:p w14:paraId="007B4A7D" w14:textId="521A42D3" w:rsidR="003B3F33" w:rsidRDefault="003B3F33" w:rsidP="00FD2A9D">
      <w:pPr>
        <w:keepNext/>
        <w:keepLines/>
        <w:widowControl/>
        <w:spacing w:line="360" w:lineRule="auto"/>
        <w:contextualSpacing/>
        <w:rPr>
          <w:b/>
          <w:sz w:val="26"/>
          <w:szCs w:val="26"/>
        </w:rPr>
      </w:pPr>
    </w:p>
    <w:p w14:paraId="01D02793" w14:textId="77777777" w:rsidR="008C5970" w:rsidRPr="008C5970" w:rsidRDefault="008C5970" w:rsidP="008C5970">
      <w:pPr>
        <w:keepNext/>
        <w:widowControl/>
        <w:spacing w:line="360" w:lineRule="auto"/>
        <w:ind w:firstLine="1440"/>
        <w:rPr>
          <w:rFonts w:eastAsia="Calibri"/>
          <w:sz w:val="26"/>
          <w:szCs w:val="26"/>
        </w:rPr>
      </w:pPr>
      <w:r w:rsidRPr="008C5970">
        <w:rPr>
          <w:rFonts w:eastAsia="Calibri"/>
          <w:color w:val="000000"/>
          <w:sz w:val="26"/>
          <w:szCs w:val="26"/>
        </w:rPr>
        <w:t xml:space="preserve">Section 1102(a)(1)(i) of the Code requires a utility to first obtain a Certificate of Public Convenience (Certificate) prior to beginning to offer or supply utility service to a different territory than that previously authorized by the Commission.  </w:t>
      </w:r>
      <w:r w:rsidRPr="008C5970">
        <w:rPr>
          <w:rFonts w:eastAsia="Calibri"/>
          <w:sz w:val="26"/>
          <w:szCs w:val="26"/>
        </w:rPr>
        <w:t>66 Pa. C.S. § 1102(a)(1)(i).</w:t>
      </w:r>
    </w:p>
    <w:p w14:paraId="298AD4F2" w14:textId="77777777" w:rsidR="008C5970" w:rsidRPr="008C5970" w:rsidRDefault="008C5970" w:rsidP="008C5970">
      <w:pPr>
        <w:widowControl/>
        <w:spacing w:line="360" w:lineRule="auto"/>
        <w:rPr>
          <w:rFonts w:eastAsia="Calibri"/>
          <w:sz w:val="26"/>
          <w:szCs w:val="26"/>
        </w:rPr>
      </w:pPr>
    </w:p>
    <w:p w14:paraId="4E1817A4" w14:textId="77777777" w:rsidR="008C5970" w:rsidRPr="008C5970" w:rsidRDefault="008C5970" w:rsidP="008C5970">
      <w:pPr>
        <w:widowControl/>
        <w:spacing w:line="360" w:lineRule="auto"/>
        <w:ind w:firstLine="1440"/>
        <w:rPr>
          <w:rFonts w:eastAsia="Calibri"/>
          <w:sz w:val="26"/>
          <w:szCs w:val="26"/>
        </w:rPr>
      </w:pPr>
      <w:r w:rsidRPr="008C5970">
        <w:rPr>
          <w:rFonts w:eastAsia="Calibri"/>
          <w:color w:val="000000"/>
          <w:sz w:val="26"/>
          <w:szCs w:val="26"/>
        </w:rPr>
        <w:t xml:space="preserve">Section 1102(a)(3) of the Code </w:t>
      </w:r>
      <w:r w:rsidRPr="008C5970">
        <w:rPr>
          <w:rFonts w:eastAsia="Calibri"/>
          <w:sz w:val="26"/>
          <w:szCs w:val="26"/>
        </w:rPr>
        <w:t>requires a utility to first obtain a Certificate from the Commission prior to a utility or an affiliated interest of a utility to acquire or transfer, to any person or corporation by any method, property used or useful in the public service.  66 Pa. C.S. § 1102(a)(3).</w:t>
      </w:r>
    </w:p>
    <w:p w14:paraId="0D4FC340" w14:textId="77777777" w:rsidR="008C5970" w:rsidRPr="008C5970" w:rsidRDefault="008C5970" w:rsidP="008C5970">
      <w:pPr>
        <w:widowControl/>
        <w:spacing w:line="360" w:lineRule="auto"/>
        <w:ind w:firstLine="1440"/>
        <w:rPr>
          <w:rFonts w:eastAsia="Calibri"/>
          <w:sz w:val="26"/>
          <w:szCs w:val="26"/>
        </w:rPr>
      </w:pPr>
    </w:p>
    <w:p w14:paraId="48022B77" w14:textId="77777777" w:rsidR="008C5970" w:rsidRPr="008C5970" w:rsidRDefault="008C5970" w:rsidP="008C5970">
      <w:pPr>
        <w:keepNext/>
        <w:widowControl/>
        <w:spacing w:line="360" w:lineRule="auto"/>
        <w:ind w:firstLine="1440"/>
        <w:rPr>
          <w:rFonts w:eastAsia="Calibri"/>
          <w:color w:val="000000"/>
          <w:sz w:val="26"/>
          <w:szCs w:val="26"/>
        </w:rPr>
      </w:pPr>
      <w:r w:rsidRPr="008C5970">
        <w:rPr>
          <w:rFonts w:eastAsia="Calibri"/>
          <w:sz w:val="26"/>
          <w:szCs w:val="26"/>
        </w:rPr>
        <w:t>Section 1103(a) of the Code establishes the standard for granting a Certificate required under Section 1102:</w:t>
      </w:r>
    </w:p>
    <w:p w14:paraId="164A5D6F" w14:textId="77777777" w:rsidR="008C5970" w:rsidRPr="008C5970" w:rsidRDefault="008C5970" w:rsidP="008C5970">
      <w:pPr>
        <w:keepNext/>
        <w:widowControl/>
        <w:ind w:firstLine="1440"/>
        <w:rPr>
          <w:rFonts w:eastAsia="Calibri"/>
          <w:sz w:val="26"/>
          <w:szCs w:val="26"/>
        </w:rPr>
      </w:pPr>
    </w:p>
    <w:p w14:paraId="3DEF1FB3" w14:textId="77777777" w:rsidR="008C5970" w:rsidRPr="008C5970" w:rsidRDefault="008C5970" w:rsidP="008C5970">
      <w:pPr>
        <w:widowControl/>
        <w:ind w:left="1440" w:right="1440"/>
        <w:rPr>
          <w:rFonts w:eastAsia="Calibri"/>
          <w:sz w:val="26"/>
          <w:szCs w:val="26"/>
          <w:lang w:val="en"/>
        </w:rPr>
      </w:pPr>
      <w:r w:rsidRPr="008C5970">
        <w:rPr>
          <w:rFonts w:eastAsia="Calibri"/>
          <w:sz w:val="26"/>
          <w:szCs w:val="26"/>
          <w:lang w:val="en"/>
        </w:rPr>
        <w:t xml:space="preserve">A certificate of public convenience shall be granted . . . only if the commission shall find or determine that the granting of such certificate </w:t>
      </w:r>
      <w:r w:rsidRPr="008C5970">
        <w:rPr>
          <w:rFonts w:eastAsia="Calibri"/>
          <w:i/>
          <w:sz w:val="26"/>
          <w:szCs w:val="26"/>
          <w:lang w:val="en"/>
        </w:rPr>
        <w:t xml:space="preserve">is necessary or proper for the service, accommodation, </w:t>
      </w:r>
      <w:proofErr w:type="gramStart"/>
      <w:r w:rsidRPr="008C5970">
        <w:rPr>
          <w:rFonts w:eastAsia="Calibri"/>
          <w:i/>
          <w:sz w:val="26"/>
          <w:szCs w:val="26"/>
          <w:lang w:val="en"/>
        </w:rPr>
        <w:t>convenience</w:t>
      </w:r>
      <w:proofErr w:type="gramEnd"/>
      <w:r w:rsidRPr="008C5970">
        <w:rPr>
          <w:rFonts w:eastAsia="Calibri"/>
          <w:i/>
          <w:sz w:val="26"/>
          <w:szCs w:val="26"/>
          <w:lang w:val="en"/>
        </w:rPr>
        <w:t xml:space="preserve"> or safety of the public</w:t>
      </w:r>
      <w:r w:rsidRPr="008C5970">
        <w:rPr>
          <w:rFonts w:eastAsia="Calibri"/>
          <w:sz w:val="26"/>
          <w:szCs w:val="26"/>
          <w:lang w:val="en"/>
        </w:rPr>
        <w:t>.  The commission, in granting such certificate, may impose such conditions as it may deem to be just and reasonable.</w:t>
      </w:r>
    </w:p>
    <w:p w14:paraId="199FEE98" w14:textId="77777777" w:rsidR="008C5970" w:rsidRPr="008C5970" w:rsidRDefault="008C5970" w:rsidP="008C5970">
      <w:pPr>
        <w:widowControl/>
        <w:spacing w:line="360" w:lineRule="auto"/>
        <w:rPr>
          <w:rFonts w:eastAsia="Calibri"/>
          <w:sz w:val="26"/>
          <w:szCs w:val="26"/>
          <w:lang w:val="en"/>
        </w:rPr>
      </w:pPr>
    </w:p>
    <w:p w14:paraId="27910B85" w14:textId="77777777" w:rsidR="008C5970" w:rsidRPr="008C5970" w:rsidRDefault="008C5970" w:rsidP="008C5970">
      <w:pPr>
        <w:widowControl/>
        <w:spacing w:line="360" w:lineRule="auto"/>
        <w:rPr>
          <w:rFonts w:eastAsia="Calibri"/>
          <w:sz w:val="26"/>
          <w:szCs w:val="26"/>
        </w:rPr>
      </w:pPr>
      <w:r w:rsidRPr="008C5970">
        <w:rPr>
          <w:rFonts w:eastAsia="Calibri"/>
          <w:sz w:val="26"/>
          <w:szCs w:val="26"/>
          <w:lang w:val="en"/>
        </w:rPr>
        <w:t xml:space="preserve">66 Pa. C.S. § 1103(a) (emphasis added); </w:t>
      </w:r>
      <w:r w:rsidRPr="008C5970">
        <w:rPr>
          <w:rFonts w:eastAsia="Calibri"/>
          <w:i/>
          <w:iCs/>
          <w:sz w:val="26"/>
          <w:szCs w:val="26"/>
        </w:rPr>
        <w:t>see also Seaboard Tank Lines v. Pa. PUC</w:t>
      </w:r>
      <w:r w:rsidRPr="008C5970">
        <w:rPr>
          <w:rFonts w:eastAsia="Calibri"/>
          <w:sz w:val="26"/>
          <w:szCs w:val="26"/>
        </w:rPr>
        <w:t>,</w:t>
      </w:r>
      <w:r w:rsidRPr="008C5970">
        <w:rPr>
          <w:rFonts w:eastAsia="Calibri"/>
          <w:i/>
          <w:iCs/>
          <w:sz w:val="26"/>
          <w:szCs w:val="26"/>
        </w:rPr>
        <w:t xml:space="preserve"> </w:t>
      </w:r>
      <w:r w:rsidRPr="008C5970">
        <w:rPr>
          <w:rFonts w:eastAsia="Calibri"/>
          <w:sz w:val="26"/>
          <w:szCs w:val="26"/>
        </w:rPr>
        <w:t>502 A.2d 763, 764-65 (Pa. Cmwlth. 1985).</w:t>
      </w:r>
    </w:p>
    <w:p w14:paraId="0273C00B" w14:textId="77777777" w:rsidR="008C5970" w:rsidRPr="008C5970" w:rsidRDefault="008C5970" w:rsidP="008C5970">
      <w:pPr>
        <w:widowControl/>
        <w:spacing w:line="360" w:lineRule="auto"/>
        <w:rPr>
          <w:rFonts w:eastAsia="Calibri"/>
          <w:color w:val="000000"/>
          <w:sz w:val="26"/>
          <w:szCs w:val="26"/>
        </w:rPr>
      </w:pPr>
    </w:p>
    <w:p w14:paraId="2D9B077E" w14:textId="77777777" w:rsidR="008C5970" w:rsidRPr="008C5970" w:rsidRDefault="008C5970" w:rsidP="008C5970">
      <w:pPr>
        <w:widowControl/>
        <w:spacing w:line="360" w:lineRule="auto"/>
        <w:ind w:firstLine="1440"/>
        <w:rPr>
          <w:rFonts w:eastAsia="Calibri"/>
          <w:iCs/>
          <w:sz w:val="26"/>
          <w:szCs w:val="26"/>
          <w:lang w:val="en"/>
        </w:rPr>
      </w:pPr>
      <w:r w:rsidRPr="008C5970">
        <w:rPr>
          <w:rFonts w:eastAsia="Calibri"/>
          <w:sz w:val="26"/>
          <w:szCs w:val="26"/>
          <w:lang w:val="en"/>
        </w:rPr>
        <w:t xml:space="preserve">According to the Pennsylvania Supreme Court, satisfying the standard of Section 1103(a) requires the Commission to find that the proposed transaction will “affirmatively promote the service, accommodation, convenience, or safety of the pubic in some substantial way.”  </w:t>
      </w:r>
      <w:r w:rsidRPr="008C5970">
        <w:rPr>
          <w:rFonts w:eastAsia="Calibri"/>
          <w:i/>
          <w:sz w:val="26"/>
          <w:szCs w:val="26"/>
          <w:lang w:val="en"/>
        </w:rPr>
        <w:t>City of York v. Pa. PUC</w:t>
      </w:r>
      <w:r w:rsidRPr="008C5970">
        <w:rPr>
          <w:rFonts w:eastAsia="Calibri"/>
          <w:sz w:val="26"/>
          <w:szCs w:val="26"/>
          <w:lang w:val="en"/>
        </w:rPr>
        <w:t>, 449 Pa. 136, 141, 295 A.2d 825, 828 (1972) (</w:t>
      </w:r>
      <w:r w:rsidRPr="008C5970">
        <w:rPr>
          <w:rFonts w:eastAsia="Calibri"/>
          <w:i/>
          <w:sz w:val="26"/>
          <w:szCs w:val="26"/>
          <w:lang w:val="en"/>
        </w:rPr>
        <w:t>City of York</w:t>
      </w:r>
      <w:r w:rsidRPr="008C5970">
        <w:rPr>
          <w:rFonts w:eastAsia="Calibri"/>
          <w:sz w:val="26"/>
          <w:szCs w:val="26"/>
          <w:lang w:val="en"/>
        </w:rPr>
        <w:t xml:space="preserve">).  In establishing this precedent, the Court held that the statute’s clear command is that the Commission must find that the granting of a certificate “will affirmatively benefit the public.”  </w:t>
      </w:r>
      <w:r w:rsidRPr="008C5970">
        <w:rPr>
          <w:rFonts w:eastAsia="Calibri"/>
          <w:i/>
          <w:sz w:val="26"/>
          <w:szCs w:val="26"/>
          <w:lang w:val="en"/>
        </w:rPr>
        <w:t>Id</w:t>
      </w:r>
      <w:r w:rsidRPr="008C5970">
        <w:rPr>
          <w:rFonts w:eastAsia="Calibri"/>
          <w:sz w:val="26"/>
          <w:szCs w:val="26"/>
          <w:lang w:val="en"/>
        </w:rPr>
        <w:t xml:space="preserve">. (overruling in part, </w:t>
      </w:r>
      <w:r w:rsidRPr="008C5970">
        <w:rPr>
          <w:rFonts w:eastAsia="Calibri"/>
          <w:i/>
          <w:sz w:val="26"/>
          <w:szCs w:val="26"/>
          <w:lang w:val="en"/>
        </w:rPr>
        <w:t>Northern Pennsylvania Power Co</w:t>
      </w:r>
      <w:r w:rsidRPr="008C5970">
        <w:rPr>
          <w:rFonts w:eastAsia="Calibri"/>
          <w:sz w:val="26"/>
          <w:szCs w:val="26"/>
          <w:lang w:val="en"/>
        </w:rPr>
        <w:t xml:space="preserve">. </w:t>
      </w:r>
      <w:r w:rsidRPr="008C5970">
        <w:rPr>
          <w:rFonts w:eastAsia="Calibri"/>
          <w:i/>
          <w:iCs/>
          <w:sz w:val="26"/>
          <w:szCs w:val="26"/>
          <w:lang w:val="en"/>
        </w:rPr>
        <w:t>v. Pa. PUC</w:t>
      </w:r>
      <w:r w:rsidRPr="008C5970">
        <w:rPr>
          <w:rFonts w:eastAsia="Calibri"/>
          <w:sz w:val="26"/>
          <w:szCs w:val="26"/>
          <w:lang w:val="en"/>
        </w:rPr>
        <w:t>, 333 Pa. 265, 267, 5 A.2d 133, 134)</w:t>
      </w:r>
      <w:r w:rsidRPr="008C5970">
        <w:rPr>
          <w:rFonts w:eastAsia="Calibri"/>
          <w:iCs/>
          <w:sz w:val="26"/>
          <w:szCs w:val="26"/>
          <w:lang w:val="en"/>
        </w:rPr>
        <w:t>.</w:t>
      </w:r>
    </w:p>
    <w:p w14:paraId="2F7B27AC" w14:textId="77777777" w:rsidR="008C5970" w:rsidRPr="008C5970" w:rsidRDefault="008C5970" w:rsidP="008C5970">
      <w:pPr>
        <w:widowControl/>
        <w:spacing w:line="360" w:lineRule="auto"/>
        <w:ind w:firstLine="1440"/>
        <w:rPr>
          <w:rFonts w:eastAsia="Calibri"/>
          <w:iCs/>
          <w:sz w:val="26"/>
          <w:szCs w:val="26"/>
          <w:lang w:val="en"/>
        </w:rPr>
      </w:pPr>
    </w:p>
    <w:p w14:paraId="22ADB320" w14:textId="77777777" w:rsidR="008C5970" w:rsidRPr="008C5970" w:rsidRDefault="008C5970" w:rsidP="008C5970">
      <w:pPr>
        <w:keepNext/>
        <w:widowControl/>
        <w:spacing w:line="360" w:lineRule="auto"/>
        <w:ind w:firstLine="1440"/>
        <w:rPr>
          <w:rFonts w:eastAsia="Calibri"/>
          <w:sz w:val="26"/>
          <w:szCs w:val="26"/>
          <w:lang w:val="en"/>
        </w:rPr>
      </w:pPr>
      <w:r w:rsidRPr="008C5970">
        <w:rPr>
          <w:rFonts w:eastAsia="Calibri"/>
          <w:sz w:val="26"/>
          <w:szCs w:val="26"/>
          <w:lang w:val="en"/>
        </w:rPr>
        <w:t>The Supreme Court further held:</w:t>
      </w:r>
    </w:p>
    <w:p w14:paraId="7CBD8A98" w14:textId="77777777" w:rsidR="008C5970" w:rsidRPr="008C5970" w:rsidRDefault="008C5970" w:rsidP="008C5970">
      <w:pPr>
        <w:keepNext/>
        <w:widowControl/>
        <w:ind w:firstLine="1440"/>
        <w:rPr>
          <w:rFonts w:eastAsia="Calibri"/>
          <w:sz w:val="26"/>
          <w:szCs w:val="26"/>
        </w:rPr>
      </w:pPr>
    </w:p>
    <w:p w14:paraId="0E7ADD5C" w14:textId="77777777" w:rsidR="008C5970" w:rsidRPr="008C5970" w:rsidRDefault="008C5970" w:rsidP="008C5970">
      <w:pPr>
        <w:keepNext/>
        <w:widowControl/>
        <w:ind w:left="1440" w:right="1440"/>
        <w:rPr>
          <w:rFonts w:eastAsia="Calibri"/>
          <w:sz w:val="26"/>
          <w:szCs w:val="26"/>
        </w:rPr>
      </w:pPr>
      <w:bookmarkStart w:id="11" w:name="_Hlk15564363"/>
      <w:r w:rsidRPr="008C5970">
        <w:rPr>
          <w:rFonts w:eastAsia="Calibri"/>
          <w:sz w:val="26"/>
          <w:szCs w:val="26"/>
          <w:lang w:val="en"/>
        </w:rPr>
        <w:t xml:space="preserve">In conducting the underlying inquiry, the Commission is </w:t>
      </w:r>
      <w:r w:rsidRPr="008C5970">
        <w:rPr>
          <w:rFonts w:eastAsia="Calibri"/>
          <w:sz w:val="26"/>
          <w:szCs w:val="26"/>
        </w:rPr>
        <w:t>not required to secure legally binding commitments or to quantify benefits where this may be impractical, burdensome, or impossible; rather, the PUC properly applies a preponderance of the evidence standard to make factually-based determinations (including predictive ones informed by expert judgment) concerning certification matters.</w:t>
      </w:r>
    </w:p>
    <w:p w14:paraId="1A8ADAE1" w14:textId="77777777" w:rsidR="008C5970" w:rsidRPr="008C5970" w:rsidRDefault="008C5970" w:rsidP="008C5970">
      <w:pPr>
        <w:widowControl/>
        <w:spacing w:line="360" w:lineRule="auto"/>
        <w:rPr>
          <w:rFonts w:eastAsia="Calibri"/>
          <w:i/>
          <w:sz w:val="26"/>
          <w:szCs w:val="26"/>
          <w:lang w:val="en"/>
        </w:rPr>
      </w:pPr>
    </w:p>
    <w:p w14:paraId="5BFBB604" w14:textId="3792990F" w:rsidR="008C5970" w:rsidRPr="008C5970" w:rsidRDefault="008C5970" w:rsidP="008C5970">
      <w:pPr>
        <w:widowControl/>
        <w:spacing w:line="360" w:lineRule="auto"/>
        <w:rPr>
          <w:rFonts w:eastAsia="Calibri"/>
          <w:sz w:val="26"/>
          <w:szCs w:val="26"/>
        </w:rPr>
      </w:pPr>
      <w:r w:rsidRPr="008C5970">
        <w:rPr>
          <w:rFonts w:eastAsia="Calibri"/>
          <w:i/>
          <w:sz w:val="26"/>
          <w:szCs w:val="26"/>
          <w:lang w:val="en"/>
        </w:rPr>
        <w:t>Popowsky v. Pa. PUC</w:t>
      </w:r>
      <w:r w:rsidRPr="008C5970">
        <w:rPr>
          <w:rFonts w:eastAsia="Calibri"/>
          <w:sz w:val="26"/>
          <w:szCs w:val="26"/>
          <w:lang w:val="en"/>
        </w:rPr>
        <w:t xml:space="preserve">, 594 Pa. 583, 611, 937 A.2d 1040, 1057 (2007) </w:t>
      </w:r>
      <w:r w:rsidRPr="008C5970">
        <w:rPr>
          <w:rFonts w:eastAsia="Calibri"/>
          <w:i/>
          <w:sz w:val="26"/>
          <w:szCs w:val="26"/>
          <w:lang w:val="en"/>
        </w:rPr>
        <w:t xml:space="preserve">(Popowsky).  </w:t>
      </w:r>
      <w:r w:rsidRPr="008C5970">
        <w:rPr>
          <w:rFonts w:eastAsia="Calibri"/>
          <w:sz w:val="26"/>
          <w:szCs w:val="26"/>
          <w:lang w:val="en"/>
        </w:rPr>
        <w:t xml:space="preserve">Further, the Court explained that demonstration of the affirmative public benefit does not require that every customer receive a benefit from the proposed transaction.  </w:t>
      </w:r>
      <w:r w:rsidRPr="008C5970">
        <w:rPr>
          <w:rFonts w:eastAsia="Calibri"/>
          <w:i/>
          <w:sz w:val="26"/>
          <w:szCs w:val="26"/>
          <w:lang w:val="en"/>
        </w:rPr>
        <w:t>Id</w:t>
      </w:r>
      <w:r w:rsidRPr="008C5970">
        <w:rPr>
          <w:rFonts w:eastAsia="Calibri"/>
          <w:sz w:val="26"/>
          <w:szCs w:val="26"/>
          <w:lang w:val="en"/>
        </w:rPr>
        <w:t>.</w:t>
      </w:r>
      <w:r w:rsidR="000F2103">
        <w:rPr>
          <w:rFonts w:eastAsia="Calibri"/>
          <w:sz w:val="26"/>
          <w:szCs w:val="26"/>
          <w:lang w:val="en"/>
        </w:rPr>
        <w:t> </w:t>
      </w:r>
      <w:r w:rsidRPr="008C5970">
        <w:rPr>
          <w:rFonts w:eastAsia="Calibri"/>
          <w:color w:val="000000"/>
          <w:sz w:val="26"/>
          <w:szCs w:val="26"/>
        </w:rPr>
        <w:t>at</w:t>
      </w:r>
      <w:r w:rsidR="000F2103">
        <w:rPr>
          <w:rFonts w:eastAsia="Calibri"/>
          <w:color w:val="000000"/>
          <w:sz w:val="26"/>
          <w:szCs w:val="26"/>
        </w:rPr>
        <w:t> </w:t>
      </w:r>
      <w:r w:rsidRPr="008C5970">
        <w:rPr>
          <w:rFonts w:eastAsia="Calibri"/>
          <w:color w:val="000000"/>
          <w:sz w:val="26"/>
          <w:szCs w:val="26"/>
        </w:rPr>
        <w:t>617</w:t>
      </w:r>
      <w:r w:rsidRPr="008C5970">
        <w:rPr>
          <w:rFonts w:eastAsia="Calibri"/>
          <w:color w:val="000000"/>
          <w:sz w:val="26"/>
          <w:szCs w:val="26"/>
        </w:rPr>
        <w:noBreakHyphen/>
        <w:t xml:space="preserve">618, 937 A.2d at 1061.  </w:t>
      </w:r>
      <w:r w:rsidRPr="008C5970">
        <w:rPr>
          <w:rFonts w:eastAsia="Calibri"/>
          <w:sz w:val="26"/>
          <w:szCs w:val="26"/>
        </w:rPr>
        <w:t xml:space="preserve">In addition, “in some circumstances conditions may be necessary to satisfy the Commission that public benefits sufficient to meet the requirement of Section 1103(a) will ensue.”  </w:t>
      </w:r>
      <w:r w:rsidRPr="008C5970">
        <w:rPr>
          <w:rFonts w:eastAsia="Calibri"/>
          <w:i/>
          <w:iCs/>
          <w:sz w:val="26"/>
          <w:szCs w:val="26"/>
        </w:rPr>
        <w:t>Id.</w:t>
      </w:r>
      <w:r w:rsidRPr="008C5970">
        <w:rPr>
          <w:rFonts w:eastAsia="Calibri"/>
          <w:sz w:val="26"/>
          <w:szCs w:val="26"/>
        </w:rPr>
        <w:t xml:space="preserve"> at n.21.  The Commission can, under Section 1103(a), impose conditions that it deems just and reasonable.  66 Pa. C.S. § 1103(a).</w:t>
      </w:r>
      <w:bookmarkEnd w:id="11"/>
    </w:p>
    <w:p w14:paraId="458881DE" w14:textId="77777777" w:rsidR="008C5970" w:rsidRPr="008C5970" w:rsidRDefault="008C5970" w:rsidP="008C5970">
      <w:pPr>
        <w:widowControl/>
        <w:spacing w:line="360" w:lineRule="auto"/>
        <w:ind w:left="90" w:firstLine="1350"/>
        <w:rPr>
          <w:rFonts w:eastAsia="Calibri"/>
          <w:sz w:val="26"/>
          <w:szCs w:val="26"/>
        </w:rPr>
      </w:pPr>
      <w:r w:rsidRPr="008C5970">
        <w:rPr>
          <w:rFonts w:eastAsia="Calibri"/>
          <w:sz w:val="26"/>
          <w:szCs w:val="26"/>
        </w:rPr>
        <w:t xml:space="preserve">One of the factors that the Supreme Court identified in the </w:t>
      </w:r>
      <w:r w:rsidRPr="008C5970">
        <w:rPr>
          <w:rFonts w:eastAsia="Calibri"/>
          <w:i/>
          <w:iCs/>
          <w:sz w:val="26"/>
          <w:szCs w:val="26"/>
        </w:rPr>
        <w:t>City of York</w:t>
      </w:r>
      <w:r w:rsidRPr="008C5970">
        <w:rPr>
          <w:rFonts w:eastAsia="Calibri"/>
          <w:sz w:val="26"/>
          <w:szCs w:val="26"/>
        </w:rPr>
        <w:t xml:space="preserve"> for the Commission to consider, in determining whether there is an affirmative public benefit is:</w:t>
      </w:r>
    </w:p>
    <w:p w14:paraId="20EAF8CB" w14:textId="77777777" w:rsidR="008C5970" w:rsidRPr="008C5970" w:rsidRDefault="008C5970" w:rsidP="008C5970">
      <w:pPr>
        <w:widowControl/>
        <w:autoSpaceDE w:val="0"/>
        <w:autoSpaceDN w:val="0"/>
        <w:adjustRightInd w:val="0"/>
        <w:ind w:firstLine="720"/>
        <w:jc w:val="both"/>
        <w:rPr>
          <w:rFonts w:eastAsia="Calibri"/>
          <w:sz w:val="26"/>
          <w:szCs w:val="26"/>
        </w:rPr>
      </w:pPr>
    </w:p>
    <w:p w14:paraId="715740BC" w14:textId="54AB0976" w:rsidR="008C5970" w:rsidRPr="008C5970" w:rsidRDefault="008C5970" w:rsidP="004B1ABE">
      <w:pPr>
        <w:widowControl/>
        <w:autoSpaceDE w:val="0"/>
        <w:autoSpaceDN w:val="0"/>
        <w:adjustRightInd w:val="0"/>
        <w:ind w:left="1440" w:right="1440"/>
        <w:rPr>
          <w:rFonts w:eastAsia="Calibri"/>
          <w:color w:val="000000"/>
          <w:sz w:val="26"/>
          <w:szCs w:val="26"/>
        </w:rPr>
      </w:pPr>
      <w:r w:rsidRPr="008C5970">
        <w:rPr>
          <w:rFonts w:eastAsia="Calibri"/>
          <w:color w:val="000000"/>
          <w:sz w:val="26"/>
          <w:szCs w:val="26"/>
        </w:rPr>
        <w:t xml:space="preserve">[A]t least in a general fashion, the effect that a proposed merger is likely to have </w:t>
      </w:r>
      <w:bookmarkStart w:id="12" w:name="co_pp_sp_7691_1065_1"/>
      <w:bookmarkEnd w:id="12"/>
      <w:r w:rsidRPr="008C5970">
        <w:rPr>
          <w:rFonts w:eastAsia="Calibri"/>
          <w:color w:val="000000"/>
          <w:sz w:val="26"/>
          <w:szCs w:val="26"/>
        </w:rPr>
        <w:t xml:space="preserve">on future rates to consumers. </w:t>
      </w:r>
      <w:r w:rsidR="004B1ABE">
        <w:rPr>
          <w:rFonts w:eastAsia="Calibri"/>
          <w:color w:val="000000"/>
          <w:sz w:val="26"/>
          <w:szCs w:val="26"/>
        </w:rPr>
        <w:t xml:space="preserve"> </w:t>
      </w:r>
      <w:r w:rsidRPr="008C5970">
        <w:rPr>
          <w:rFonts w:eastAsia="Calibri"/>
          <w:color w:val="000000"/>
          <w:sz w:val="26"/>
          <w:szCs w:val="26"/>
        </w:rPr>
        <w:t xml:space="preserve">Along with the likely effect of a proposed merger upon the service that will be rendered to consumers, the probable general effect of the merger upon rates is certainly a </w:t>
      </w:r>
      <w:proofErr w:type="gramStart"/>
      <w:r w:rsidRPr="008C5970">
        <w:rPr>
          <w:rFonts w:eastAsia="Calibri"/>
          <w:color w:val="000000"/>
          <w:sz w:val="26"/>
          <w:szCs w:val="26"/>
        </w:rPr>
        <w:t>relevant criteria</w:t>
      </w:r>
      <w:proofErr w:type="gramEnd"/>
      <w:r w:rsidRPr="008C5970">
        <w:rPr>
          <w:rFonts w:eastAsia="Calibri"/>
          <w:color w:val="000000"/>
          <w:sz w:val="26"/>
          <w:szCs w:val="26"/>
        </w:rPr>
        <w:t xml:space="preserve"> of whether the merger will benefit the public.</w:t>
      </w:r>
    </w:p>
    <w:p w14:paraId="315583CF" w14:textId="77777777" w:rsidR="004B1ABE" w:rsidRDefault="004B1ABE" w:rsidP="004B1ABE">
      <w:pPr>
        <w:widowControl/>
        <w:autoSpaceDE w:val="0"/>
        <w:autoSpaceDN w:val="0"/>
        <w:adjustRightInd w:val="0"/>
        <w:spacing w:line="360" w:lineRule="auto"/>
        <w:jc w:val="both"/>
        <w:rPr>
          <w:rFonts w:eastAsia="Calibri"/>
          <w:color w:val="000000"/>
          <w:sz w:val="26"/>
          <w:szCs w:val="26"/>
        </w:rPr>
      </w:pPr>
    </w:p>
    <w:p w14:paraId="02DF8157" w14:textId="0E06B722" w:rsidR="008C5970" w:rsidRDefault="008C5970" w:rsidP="004B1ABE">
      <w:pPr>
        <w:widowControl/>
        <w:autoSpaceDE w:val="0"/>
        <w:autoSpaceDN w:val="0"/>
        <w:adjustRightInd w:val="0"/>
        <w:spacing w:line="360" w:lineRule="auto"/>
        <w:jc w:val="both"/>
        <w:rPr>
          <w:rFonts w:eastAsia="Calibri"/>
          <w:sz w:val="26"/>
          <w:szCs w:val="26"/>
        </w:rPr>
      </w:pPr>
      <w:r w:rsidRPr="008C5970">
        <w:rPr>
          <w:rFonts w:eastAsia="Calibri"/>
          <w:i/>
          <w:iCs/>
          <w:sz w:val="26"/>
          <w:szCs w:val="26"/>
        </w:rPr>
        <w:t>City of York</w:t>
      </w:r>
      <w:r w:rsidRPr="008C5970">
        <w:rPr>
          <w:rFonts w:eastAsia="Calibri"/>
          <w:sz w:val="26"/>
          <w:szCs w:val="26"/>
        </w:rPr>
        <w:t>, 295 A.2d at 829.</w:t>
      </w:r>
    </w:p>
    <w:p w14:paraId="32AC4F4C" w14:textId="77777777" w:rsidR="000F2103" w:rsidRPr="008C5970" w:rsidRDefault="000F2103" w:rsidP="004B1ABE">
      <w:pPr>
        <w:widowControl/>
        <w:autoSpaceDE w:val="0"/>
        <w:autoSpaceDN w:val="0"/>
        <w:adjustRightInd w:val="0"/>
        <w:spacing w:line="360" w:lineRule="auto"/>
        <w:jc w:val="both"/>
        <w:rPr>
          <w:rFonts w:eastAsia="Calibri"/>
          <w:sz w:val="26"/>
          <w:szCs w:val="26"/>
        </w:rPr>
      </w:pPr>
    </w:p>
    <w:p w14:paraId="537194FC" w14:textId="77777777" w:rsidR="008C5970" w:rsidRPr="008C5970" w:rsidRDefault="008C5970" w:rsidP="000F2103">
      <w:pPr>
        <w:widowControl/>
        <w:spacing w:line="360" w:lineRule="auto"/>
        <w:ind w:right="180" w:firstLine="1440"/>
        <w:rPr>
          <w:rFonts w:eastAsia="Calibri"/>
          <w:sz w:val="26"/>
          <w:szCs w:val="26"/>
        </w:rPr>
      </w:pPr>
      <w:r w:rsidRPr="008C5970">
        <w:rPr>
          <w:rFonts w:eastAsia="Calibri"/>
          <w:sz w:val="26"/>
          <w:szCs w:val="26"/>
        </w:rPr>
        <w:t xml:space="preserve">In applying this specific factor, the Pennsylvania Commonwealth Court recently held that the Commission must perform “the balancing test required by Section 1102 of the Code to weigh all the factors for and against the transaction, </w:t>
      </w:r>
      <w:r w:rsidRPr="008C5970">
        <w:rPr>
          <w:rFonts w:eastAsia="Calibri"/>
          <w:i/>
          <w:iCs/>
          <w:sz w:val="26"/>
          <w:szCs w:val="26"/>
        </w:rPr>
        <w:t>including the impact on rates</w:t>
      </w:r>
      <w:r w:rsidRPr="008C5970">
        <w:rPr>
          <w:rFonts w:eastAsia="Calibri"/>
          <w:sz w:val="26"/>
          <w:szCs w:val="26"/>
        </w:rPr>
        <w:t xml:space="preserve">, to determine if there is a substantial public benefit.”  </w:t>
      </w:r>
      <w:r w:rsidRPr="008C5970">
        <w:rPr>
          <w:rFonts w:eastAsia="Calibri"/>
          <w:i/>
          <w:iCs/>
          <w:sz w:val="26"/>
          <w:szCs w:val="26"/>
        </w:rPr>
        <w:t>McCloskey v. Pa. PUC</w:t>
      </w:r>
      <w:r w:rsidRPr="008C5970">
        <w:rPr>
          <w:rFonts w:eastAsia="Calibri"/>
          <w:iCs/>
          <w:sz w:val="26"/>
          <w:szCs w:val="26"/>
        </w:rPr>
        <w:t>,</w:t>
      </w:r>
      <w:r w:rsidRPr="008C5970">
        <w:rPr>
          <w:rFonts w:eastAsia="Calibri"/>
          <w:i/>
          <w:iCs/>
          <w:sz w:val="26"/>
          <w:szCs w:val="26"/>
        </w:rPr>
        <w:t xml:space="preserve"> </w:t>
      </w:r>
      <w:r w:rsidRPr="008C5970">
        <w:rPr>
          <w:rFonts w:eastAsia="Calibri"/>
          <w:sz w:val="26"/>
          <w:szCs w:val="26"/>
        </w:rPr>
        <w:t xml:space="preserve">195 A.3d 1055, 1066-1067 (Pa. Cmwlth. 2018), </w:t>
      </w:r>
      <w:r w:rsidRPr="008C5970">
        <w:rPr>
          <w:rFonts w:eastAsia="Calibri"/>
          <w:i/>
          <w:iCs/>
          <w:sz w:val="26"/>
          <w:szCs w:val="26"/>
        </w:rPr>
        <w:t>appeal denied</w:t>
      </w:r>
      <w:r w:rsidRPr="008C5970">
        <w:rPr>
          <w:rFonts w:eastAsia="Calibri"/>
          <w:sz w:val="26"/>
          <w:szCs w:val="26"/>
        </w:rPr>
        <w:t>,</w:t>
      </w:r>
      <w:r w:rsidRPr="008C5970">
        <w:rPr>
          <w:rFonts w:eastAsia="Calibri"/>
          <w:i/>
          <w:iCs/>
          <w:sz w:val="26"/>
          <w:szCs w:val="26"/>
        </w:rPr>
        <w:t xml:space="preserve"> </w:t>
      </w:r>
      <w:r w:rsidRPr="008C5970">
        <w:rPr>
          <w:rFonts w:eastAsia="Calibri"/>
          <w:sz w:val="26"/>
          <w:szCs w:val="26"/>
        </w:rPr>
        <w:t>207 A.3d 290 (Pa. 2019) (</w:t>
      </w:r>
      <w:r w:rsidRPr="008C5970">
        <w:rPr>
          <w:rFonts w:eastAsia="Calibri"/>
          <w:i/>
          <w:iCs/>
          <w:sz w:val="26"/>
          <w:szCs w:val="26"/>
        </w:rPr>
        <w:t>McCloskey</w:t>
      </w:r>
      <w:r w:rsidRPr="008C5970">
        <w:rPr>
          <w:rFonts w:eastAsia="Calibri"/>
          <w:sz w:val="26"/>
          <w:szCs w:val="26"/>
        </w:rPr>
        <w:t xml:space="preserve">) (emphasis added).  While </w:t>
      </w:r>
      <w:r w:rsidRPr="008C5970">
        <w:rPr>
          <w:rFonts w:eastAsia="Calibri"/>
          <w:i/>
          <w:iCs/>
          <w:sz w:val="26"/>
          <w:szCs w:val="26"/>
        </w:rPr>
        <w:t xml:space="preserve">McCloskey </w:t>
      </w:r>
      <w:r w:rsidRPr="008C5970">
        <w:rPr>
          <w:rFonts w:eastAsia="Calibri"/>
          <w:sz w:val="26"/>
          <w:szCs w:val="26"/>
        </w:rPr>
        <w:t>held that rate impact must be addressed, it recognized that “the Commission is charged with deciding whether the impact of rates…is outweighed by … other positive factors that…served [as] a substantial public benefit.”  195 A.3d at 1067.</w:t>
      </w:r>
    </w:p>
    <w:p w14:paraId="476D7219" w14:textId="77777777" w:rsidR="008C5970" w:rsidRPr="008C5970" w:rsidRDefault="008C5970" w:rsidP="000F2103">
      <w:pPr>
        <w:widowControl/>
        <w:spacing w:line="360" w:lineRule="auto"/>
        <w:ind w:firstLine="1440"/>
        <w:rPr>
          <w:rFonts w:eastAsia="Calibri"/>
          <w:sz w:val="26"/>
          <w:szCs w:val="26"/>
        </w:rPr>
      </w:pPr>
    </w:p>
    <w:p w14:paraId="4CBEFECD" w14:textId="0F341C76" w:rsidR="008C5970" w:rsidRPr="008C5970" w:rsidRDefault="008C5970" w:rsidP="000F2103">
      <w:pPr>
        <w:widowControl/>
        <w:spacing w:line="360" w:lineRule="auto"/>
        <w:ind w:firstLine="1440"/>
        <w:rPr>
          <w:rFonts w:eastAsia="Calibri"/>
          <w:sz w:val="26"/>
          <w:szCs w:val="26"/>
        </w:rPr>
      </w:pPr>
      <w:r w:rsidRPr="008C5970">
        <w:rPr>
          <w:rFonts w:eastAsia="Calibri"/>
          <w:sz w:val="26"/>
          <w:szCs w:val="26"/>
        </w:rPr>
        <w:t xml:space="preserve">The Commission and the courts have held that granting a certificate need not be “absolutely necessary” </w:t>
      </w:r>
      <w:proofErr w:type="gramStart"/>
      <w:r w:rsidRPr="008C5970">
        <w:rPr>
          <w:rFonts w:eastAsia="Calibri"/>
          <w:sz w:val="26"/>
          <w:szCs w:val="26"/>
        </w:rPr>
        <w:t>in order to</w:t>
      </w:r>
      <w:proofErr w:type="gramEnd"/>
      <w:r w:rsidRPr="008C5970">
        <w:rPr>
          <w:rFonts w:eastAsia="Calibri"/>
          <w:sz w:val="26"/>
          <w:szCs w:val="26"/>
        </w:rPr>
        <w:t xml:space="preserve"> be in the public interest. </w:t>
      </w:r>
      <w:r w:rsidRPr="008C5970">
        <w:rPr>
          <w:rFonts w:eastAsia="Calibri"/>
          <w:i/>
          <w:iCs/>
          <w:sz w:val="26"/>
          <w:szCs w:val="26"/>
        </w:rPr>
        <w:t xml:space="preserve"> See</w:t>
      </w:r>
      <w:r w:rsidRPr="008C5970">
        <w:rPr>
          <w:rFonts w:eastAsia="Calibri"/>
          <w:sz w:val="26"/>
          <w:szCs w:val="26"/>
        </w:rPr>
        <w:t xml:space="preserve"> </w:t>
      </w:r>
      <w:r w:rsidRPr="008C5970">
        <w:rPr>
          <w:rFonts w:eastAsia="Calibri"/>
          <w:i/>
          <w:iCs/>
          <w:sz w:val="26"/>
          <w:szCs w:val="26"/>
        </w:rPr>
        <w:t>Hess v. Pa. PUC</w:t>
      </w:r>
      <w:r w:rsidRPr="008C5970">
        <w:rPr>
          <w:rFonts w:eastAsia="Calibri"/>
          <w:sz w:val="26"/>
          <w:szCs w:val="26"/>
        </w:rPr>
        <w:t>,</w:t>
      </w:r>
      <w:r w:rsidRPr="008C5970">
        <w:rPr>
          <w:rFonts w:eastAsia="Calibri"/>
          <w:i/>
          <w:iCs/>
          <w:sz w:val="26"/>
          <w:szCs w:val="26"/>
        </w:rPr>
        <w:t xml:space="preserve"> </w:t>
      </w:r>
      <w:r w:rsidRPr="008C5970">
        <w:rPr>
          <w:rFonts w:eastAsia="Calibri"/>
          <w:sz w:val="26"/>
          <w:szCs w:val="26"/>
        </w:rPr>
        <w:t>107 A.3d 246</w:t>
      </w:r>
      <w:r w:rsidR="00364A8C">
        <w:rPr>
          <w:rFonts w:eastAsia="Calibri"/>
          <w:sz w:val="26"/>
          <w:szCs w:val="26"/>
        </w:rPr>
        <w:t>,</w:t>
      </w:r>
      <w:r w:rsidRPr="008C5970">
        <w:rPr>
          <w:rFonts w:eastAsia="Calibri"/>
          <w:sz w:val="26"/>
          <w:szCs w:val="26"/>
        </w:rPr>
        <w:t xml:space="preserve"> 262 (Pa. Cmwlth. 2014).  The Commonwealth Court reasoned, “[n]</w:t>
      </w:r>
      <w:proofErr w:type="spellStart"/>
      <w:r w:rsidRPr="008C5970">
        <w:rPr>
          <w:rFonts w:eastAsia="Calibri"/>
          <w:sz w:val="26"/>
          <w:szCs w:val="26"/>
        </w:rPr>
        <w:t>ot</w:t>
      </w:r>
      <w:proofErr w:type="spellEnd"/>
      <w:r w:rsidRPr="008C5970">
        <w:rPr>
          <w:rFonts w:eastAsia="Calibri"/>
          <w:sz w:val="26"/>
          <w:szCs w:val="26"/>
        </w:rPr>
        <w:t xml:space="preserve"> only would this approach be impractical and unrealistic, it would actually pose a danger to the health, safety and welfare of the public.”  </w:t>
      </w:r>
      <w:r w:rsidRPr="008C5970">
        <w:rPr>
          <w:rFonts w:eastAsia="Calibri"/>
          <w:i/>
          <w:iCs/>
          <w:sz w:val="26"/>
          <w:szCs w:val="26"/>
        </w:rPr>
        <w:t xml:space="preserve">Id.  </w:t>
      </w:r>
      <w:r w:rsidRPr="008C5970">
        <w:rPr>
          <w:rFonts w:eastAsia="Calibri"/>
          <w:sz w:val="26"/>
          <w:szCs w:val="26"/>
        </w:rPr>
        <w:t>In addition, when considering the public interest, the Commission may consider how the benefits and detriments impact “</w:t>
      </w:r>
      <w:r w:rsidRPr="008C5970">
        <w:rPr>
          <w:rFonts w:eastAsia="Calibri"/>
          <w:i/>
          <w:iCs/>
          <w:sz w:val="26"/>
          <w:szCs w:val="26"/>
        </w:rPr>
        <w:t>all affected parties</w:t>
      </w:r>
      <w:r w:rsidRPr="008C5970">
        <w:rPr>
          <w:rFonts w:eastAsia="Calibri"/>
          <w:sz w:val="26"/>
          <w:szCs w:val="26"/>
        </w:rPr>
        <w:t xml:space="preserve">, and not merely one particular group or geographic subdivision.”  </w:t>
      </w:r>
      <w:r w:rsidRPr="008C5970">
        <w:rPr>
          <w:rFonts w:eastAsia="Calibri"/>
          <w:i/>
          <w:iCs/>
          <w:sz w:val="26"/>
          <w:szCs w:val="26"/>
        </w:rPr>
        <w:t>Middletown Twp. v. Pa. PUC</w:t>
      </w:r>
      <w:r w:rsidRPr="008C5970">
        <w:rPr>
          <w:rFonts w:eastAsia="Calibri"/>
          <w:sz w:val="26"/>
          <w:szCs w:val="26"/>
        </w:rPr>
        <w:t>,</w:t>
      </w:r>
      <w:r w:rsidRPr="008C5970">
        <w:rPr>
          <w:rFonts w:eastAsia="Calibri"/>
          <w:i/>
          <w:iCs/>
          <w:sz w:val="26"/>
          <w:szCs w:val="26"/>
        </w:rPr>
        <w:t xml:space="preserve"> </w:t>
      </w:r>
      <w:r w:rsidRPr="008C5970">
        <w:rPr>
          <w:rFonts w:eastAsia="Calibri"/>
          <w:sz w:val="26"/>
          <w:szCs w:val="26"/>
        </w:rPr>
        <w:t xml:space="preserve">482 A.2d 674, 682 (Pa. Cmwlth. 1984) (emphasis in original); </w:t>
      </w:r>
      <w:r w:rsidRPr="008C5970">
        <w:rPr>
          <w:rFonts w:eastAsia="Calibri"/>
          <w:i/>
          <w:iCs/>
          <w:sz w:val="26"/>
          <w:szCs w:val="26"/>
        </w:rPr>
        <w:t>see also</w:t>
      </w:r>
      <w:r w:rsidRPr="008C5970">
        <w:rPr>
          <w:rFonts w:eastAsia="Calibri"/>
          <w:sz w:val="26"/>
          <w:szCs w:val="26"/>
        </w:rPr>
        <w:t xml:space="preserve">, </w:t>
      </w:r>
      <w:r w:rsidRPr="008C5970">
        <w:rPr>
          <w:rFonts w:eastAsia="Calibri"/>
          <w:i/>
          <w:iCs/>
          <w:sz w:val="26"/>
          <w:szCs w:val="26"/>
        </w:rPr>
        <w:t>Dunk v. Pa. PUC</w:t>
      </w:r>
      <w:r w:rsidRPr="008C5970">
        <w:rPr>
          <w:rFonts w:eastAsia="Calibri"/>
          <w:sz w:val="26"/>
          <w:szCs w:val="26"/>
        </w:rPr>
        <w:t>,</w:t>
      </w:r>
      <w:r w:rsidRPr="008C5970">
        <w:rPr>
          <w:rFonts w:eastAsia="Calibri"/>
          <w:i/>
          <w:iCs/>
          <w:sz w:val="26"/>
          <w:szCs w:val="26"/>
        </w:rPr>
        <w:t xml:space="preserve"> </w:t>
      </w:r>
      <w:r w:rsidRPr="008C5970">
        <w:rPr>
          <w:rFonts w:eastAsia="Calibri"/>
          <w:sz w:val="26"/>
          <w:szCs w:val="26"/>
        </w:rPr>
        <w:t>232 A.2d 231, 234-35 (Pa. Super. 1967),</w:t>
      </w:r>
      <w:r w:rsidRPr="008C5970">
        <w:rPr>
          <w:rFonts w:eastAsia="Calibri"/>
          <w:i/>
          <w:sz w:val="26"/>
          <w:szCs w:val="26"/>
        </w:rPr>
        <w:t xml:space="preserve"> aff’d</w:t>
      </w:r>
      <w:r w:rsidRPr="008C5970">
        <w:rPr>
          <w:rFonts w:eastAsia="Calibri"/>
          <w:sz w:val="26"/>
          <w:szCs w:val="26"/>
        </w:rPr>
        <w:t>, 252 A.2d 589 (1969) (where public benefit included companies and customers other than the proponent utility).</w:t>
      </w:r>
    </w:p>
    <w:p w14:paraId="5641D085" w14:textId="77777777" w:rsidR="008C5970" w:rsidRPr="008C5970" w:rsidRDefault="008C5970" w:rsidP="008C5970">
      <w:pPr>
        <w:widowControl/>
        <w:spacing w:line="360" w:lineRule="auto"/>
        <w:ind w:firstLine="1440"/>
        <w:rPr>
          <w:rFonts w:eastAsia="Calibri"/>
          <w:sz w:val="26"/>
          <w:szCs w:val="26"/>
        </w:rPr>
      </w:pPr>
    </w:p>
    <w:p w14:paraId="35E9542F" w14:textId="77777777" w:rsidR="008C5970" w:rsidRPr="008C5970" w:rsidRDefault="008C5970" w:rsidP="00B01907">
      <w:pPr>
        <w:widowControl/>
        <w:spacing w:line="360" w:lineRule="auto"/>
        <w:ind w:firstLine="1440"/>
        <w:rPr>
          <w:rFonts w:eastAsia="Calibri"/>
          <w:i/>
          <w:iCs/>
          <w:sz w:val="26"/>
          <w:szCs w:val="26"/>
        </w:rPr>
      </w:pPr>
      <w:r w:rsidRPr="008C5970">
        <w:rPr>
          <w:rFonts w:eastAsia="Calibri"/>
          <w:sz w:val="26"/>
          <w:szCs w:val="26"/>
        </w:rPr>
        <w:t xml:space="preserve">To obtain a Certificate, the acquiring public utility has the burden, by a preponderance of the evidence, to establish that it is technically, legally, and financially fit to provide the proposed service.  </w:t>
      </w:r>
      <w:r w:rsidRPr="008C5970">
        <w:rPr>
          <w:rFonts w:eastAsia="Calibri"/>
          <w:i/>
          <w:iCs/>
          <w:sz w:val="26"/>
          <w:szCs w:val="26"/>
        </w:rPr>
        <w:t>McCloskey</w:t>
      </w:r>
      <w:r w:rsidRPr="008C5970">
        <w:rPr>
          <w:rFonts w:eastAsia="Calibri"/>
          <w:sz w:val="26"/>
          <w:szCs w:val="26"/>
        </w:rPr>
        <w:t xml:space="preserve">, 195 A.3d at 1058.  An existing certificate holder is entitled to a “continuing presumption regarding its fitness to operate,” which includes a presumption that the certificate holder has a propensity to operate legally.  </w:t>
      </w:r>
      <w:r w:rsidRPr="008C5970">
        <w:rPr>
          <w:rFonts w:eastAsia="Calibri"/>
          <w:i/>
          <w:iCs/>
          <w:sz w:val="26"/>
          <w:szCs w:val="26"/>
        </w:rPr>
        <w:t>Lehigh Valley Transp. Servs., Inc. v. Pa. PUC</w:t>
      </w:r>
      <w:r w:rsidRPr="008C5970">
        <w:rPr>
          <w:rFonts w:eastAsia="Calibri"/>
          <w:sz w:val="26"/>
          <w:szCs w:val="26"/>
        </w:rPr>
        <w:t>, 56 A.3d 49, 58 (Pa. Cmwlth. 2012) (</w:t>
      </w:r>
      <w:r w:rsidRPr="008C5970">
        <w:rPr>
          <w:rFonts w:eastAsia="Calibri"/>
          <w:i/>
          <w:iCs/>
          <w:sz w:val="26"/>
          <w:szCs w:val="26"/>
        </w:rPr>
        <w:t>Lehigh Valley Transp.</w:t>
      </w:r>
      <w:r w:rsidRPr="008C5970">
        <w:rPr>
          <w:rFonts w:eastAsia="Calibri"/>
          <w:sz w:val="26"/>
          <w:szCs w:val="26"/>
        </w:rPr>
        <w:t xml:space="preserve">); </w:t>
      </w:r>
      <w:r w:rsidRPr="008C5970">
        <w:rPr>
          <w:rFonts w:eastAsia="Calibri"/>
          <w:i/>
          <w:iCs/>
          <w:sz w:val="26"/>
          <w:szCs w:val="26"/>
        </w:rPr>
        <w:t>South Hills Movers, Inc. v. Pa. PUC</w:t>
      </w:r>
      <w:r w:rsidRPr="008C5970">
        <w:rPr>
          <w:rFonts w:eastAsia="Calibri"/>
          <w:sz w:val="26"/>
          <w:szCs w:val="26"/>
        </w:rPr>
        <w:t>,</w:t>
      </w:r>
      <w:r w:rsidRPr="008C5970">
        <w:rPr>
          <w:rFonts w:eastAsia="Calibri"/>
          <w:i/>
          <w:iCs/>
          <w:sz w:val="26"/>
          <w:szCs w:val="26"/>
        </w:rPr>
        <w:t xml:space="preserve"> </w:t>
      </w:r>
      <w:r w:rsidRPr="008C5970">
        <w:rPr>
          <w:rFonts w:eastAsia="Calibri"/>
          <w:sz w:val="26"/>
          <w:szCs w:val="26"/>
        </w:rPr>
        <w:t xml:space="preserve">601 A.2d 1308, 1310 (Pa. Cmwlth. 1992).  It is the protestant’s burden to rebut that presumption.  </w:t>
      </w:r>
      <w:r w:rsidRPr="008C5970">
        <w:rPr>
          <w:rFonts w:eastAsia="Calibri"/>
          <w:i/>
          <w:iCs/>
          <w:sz w:val="26"/>
          <w:szCs w:val="26"/>
        </w:rPr>
        <w:t>Lehigh Valley Transp.</w:t>
      </w:r>
      <w:r w:rsidRPr="008C5970">
        <w:rPr>
          <w:rFonts w:eastAsia="Calibri"/>
          <w:sz w:val="26"/>
          <w:szCs w:val="26"/>
        </w:rPr>
        <w:t xml:space="preserve">  Where an Applicant is both presumed fit and sets forth affirmative evidence demonstrating fitness, this burden is particularly heavy.  </w:t>
      </w:r>
      <w:r w:rsidRPr="008C5970">
        <w:rPr>
          <w:rFonts w:eastAsia="Calibri"/>
          <w:i/>
          <w:iCs/>
          <w:sz w:val="26"/>
          <w:szCs w:val="26"/>
        </w:rPr>
        <w:t>Id.</w:t>
      </w:r>
    </w:p>
    <w:p w14:paraId="5482781D" w14:textId="3A37C3D1" w:rsidR="008C5970" w:rsidRDefault="008C5970" w:rsidP="00B01907">
      <w:pPr>
        <w:keepNext/>
        <w:keepLines/>
        <w:widowControl/>
        <w:spacing w:line="360" w:lineRule="auto"/>
        <w:contextualSpacing/>
        <w:rPr>
          <w:bCs/>
          <w:sz w:val="26"/>
          <w:szCs w:val="26"/>
        </w:rPr>
      </w:pPr>
    </w:p>
    <w:p w14:paraId="085FF9C7" w14:textId="3F54FF6A" w:rsidR="008C5970" w:rsidRPr="008C5970" w:rsidRDefault="008C5970" w:rsidP="00B01907">
      <w:pPr>
        <w:pStyle w:val="Heading2"/>
        <w:widowControl/>
        <w:ind w:hanging="720"/>
        <w:contextualSpacing/>
      </w:pPr>
      <w:bookmarkStart w:id="13" w:name="_Toc90970701"/>
      <w:bookmarkStart w:id="14" w:name="_Hlk89417226"/>
      <w:r>
        <w:t xml:space="preserve">Ratemaking </w:t>
      </w:r>
      <w:r w:rsidRPr="008C5970">
        <w:t>Rate Base Value, 66 Pa. C.S. § 1329</w:t>
      </w:r>
      <w:bookmarkEnd w:id="13"/>
    </w:p>
    <w:bookmarkEnd w:id="14"/>
    <w:p w14:paraId="2798C1EB" w14:textId="3F584BF9" w:rsidR="004B66E5" w:rsidRDefault="004B66E5" w:rsidP="00B01907">
      <w:pPr>
        <w:widowControl/>
        <w:spacing w:line="360" w:lineRule="auto"/>
        <w:ind w:firstLine="1440"/>
        <w:contextualSpacing/>
        <w:rPr>
          <w:sz w:val="26"/>
          <w:szCs w:val="26"/>
        </w:rPr>
      </w:pPr>
    </w:p>
    <w:p w14:paraId="79FE6CD6" w14:textId="77777777" w:rsidR="008924A4" w:rsidRPr="008924A4" w:rsidRDefault="008924A4" w:rsidP="00B01907">
      <w:pPr>
        <w:widowControl/>
        <w:spacing w:line="360" w:lineRule="auto"/>
        <w:ind w:firstLine="1440"/>
        <w:contextualSpacing/>
        <w:rPr>
          <w:sz w:val="26"/>
          <w:szCs w:val="26"/>
        </w:rPr>
      </w:pPr>
      <w:r w:rsidRPr="008924A4">
        <w:rPr>
          <w:sz w:val="26"/>
          <w:szCs w:val="26"/>
        </w:rPr>
        <w:t>Section 1329 of the Code establishes a process for ratemaking purposes to value the plant of municipal-owned water and wastewater systems to be acquired by certificated public utilities.  66 Pa. C.S. § 1329.</w:t>
      </w:r>
      <w:r w:rsidRPr="008924A4">
        <w:rPr>
          <w:sz w:val="26"/>
          <w:szCs w:val="26"/>
          <w:vertAlign w:val="superscript"/>
        </w:rPr>
        <w:footnoteReference w:id="9"/>
      </w:r>
      <w:r w:rsidRPr="008924A4">
        <w:rPr>
          <w:sz w:val="26"/>
          <w:szCs w:val="26"/>
        </w:rPr>
        <w:t xml:space="preserve">  Under Section 1329, the value of water and wastewater system assets to be included in the acquiring utility’s rate base for ratemaking purposes will be the lesser of the purchase price negotiated by the acquiring utility and seller or the “fair market value” of the selling utility’s system.  66 Pa. C.S. § 1329(c)(2).</w:t>
      </w:r>
    </w:p>
    <w:p w14:paraId="30A2500B" w14:textId="77777777" w:rsidR="008924A4" w:rsidRPr="008924A4" w:rsidRDefault="008924A4" w:rsidP="008924A4">
      <w:pPr>
        <w:widowControl/>
        <w:spacing w:line="360" w:lineRule="auto"/>
        <w:ind w:firstLine="1440"/>
        <w:contextualSpacing/>
        <w:rPr>
          <w:sz w:val="26"/>
          <w:szCs w:val="26"/>
        </w:rPr>
      </w:pPr>
    </w:p>
    <w:p w14:paraId="5DE58B0A" w14:textId="7F25C219" w:rsidR="008924A4" w:rsidRPr="008924A4" w:rsidRDefault="008924A4" w:rsidP="008924A4">
      <w:pPr>
        <w:widowControl/>
        <w:spacing w:line="360" w:lineRule="auto"/>
        <w:ind w:firstLine="1440"/>
        <w:contextualSpacing/>
        <w:rPr>
          <w:sz w:val="26"/>
          <w:szCs w:val="26"/>
        </w:rPr>
      </w:pPr>
      <w:r w:rsidRPr="008924A4">
        <w:rPr>
          <w:sz w:val="26"/>
          <w:szCs w:val="26"/>
        </w:rPr>
        <w:t xml:space="preserve">The </w:t>
      </w:r>
      <w:r w:rsidR="0083263F">
        <w:rPr>
          <w:sz w:val="26"/>
          <w:szCs w:val="26"/>
        </w:rPr>
        <w:t>FMV</w:t>
      </w:r>
      <w:r w:rsidRPr="008924A4">
        <w:rPr>
          <w:sz w:val="26"/>
          <w:szCs w:val="26"/>
        </w:rPr>
        <w:t xml:space="preserve"> process under Section 1329 where the acquiring utility and the seller must elect and agree to have the </w:t>
      </w:r>
      <w:r w:rsidR="0083263F">
        <w:rPr>
          <w:sz w:val="26"/>
          <w:szCs w:val="26"/>
        </w:rPr>
        <w:t>FMV</w:t>
      </w:r>
      <w:r w:rsidRPr="008924A4">
        <w:rPr>
          <w:sz w:val="26"/>
          <w:szCs w:val="26"/>
        </w:rPr>
        <w:t xml:space="preserve"> of the seller’s assets established through separate, independent appraisals conducted by UVEs is voluntary.  66 Pa. C.S. § 1329(a).  The Commission maintains a list of qualified UVEs from which the acquiring utility and seller must choose their respective appraisers.  66 Pa. C.S. §§ 1329(a)(1), (2).</w:t>
      </w:r>
    </w:p>
    <w:p w14:paraId="4A13DEB1" w14:textId="77777777" w:rsidR="008924A4" w:rsidRPr="008924A4" w:rsidRDefault="008924A4" w:rsidP="008924A4">
      <w:pPr>
        <w:widowControl/>
        <w:spacing w:line="360" w:lineRule="auto"/>
        <w:ind w:firstLine="1440"/>
        <w:contextualSpacing/>
        <w:rPr>
          <w:sz w:val="26"/>
          <w:szCs w:val="26"/>
        </w:rPr>
      </w:pPr>
    </w:p>
    <w:p w14:paraId="775300E4" w14:textId="50689C0D" w:rsidR="008924A4" w:rsidRPr="008924A4" w:rsidRDefault="008924A4" w:rsidP="008924A4">
      <w:pPr>
        <w:widowControl/>
        <w:spacing w:line="360" w:lineRule="auto"/>
        <w:ind w:firstLine="1440"/>
        <w:contextualSpacing/>
        <w:rPr>
          <w:sz w:val="26"/>
          <w:szCs w:val="26"/>
        </w:rPr>
      </w:pPr>
      <w:r w:rsidRPr="008924A4">
        <w:rPr>
          <w:sz w:val="26"/>
          <w:szCs w:val="26"/>
        </w:rPr>
        <w:t xml:space="preserve">The UVEs must prepare an appraisal of the seller’s system assets in compliance with the Uniform Standards of Professional Appraisal Practice (USPAP), employing the </w:t>
      </w:r>
      <w:r w:rsidR="00780DE4">
        <w:rPr>
          <w:sz w:val="26"/>
          <w:szCs w:val="26"/>
        </w:rPr>
        <w:t>C</w:t>
      </w:r>
      <w:r w:rsidRPr="008924A4">
        <w:rPr>
          <w:sz w:val="26"/>
          <w:szCs w:val="26"/>
        </w:rPr>
        <w:t xml:space="preserve">ost, </w:t>
      </w:r>
      <w:proofErr w:type="gramStart"/>
      <w:r w:rsidR="00780DE4">
        <w:rPr>
          <w:sz w:val="26"/>
          <w:szCs w:val="26"/>
        </w:rPr>
        <w:t>M</w:t>
      </w:r>
      <w:r w:rsidRPr="008924A4">
        <w:rPr>
          <w:sz w:val="26"/>
          <w:szCs w:val="26"/>
        </w:rPr>
        <w:t>arket</w:t>
      </w:r>
      <w:proofErr w:type="gramEnd"/>
      <w:r w:rsidRPr="008924A4">
        <w:rPr>
          <w:sz w:val="26"/>
          <w:szCs w:val="26"/>
        </w:rPr>
        <w:t xml:space="preserve"> and </w:t>
      </w:r>
      <w:r w:rsidR="00780DE4">
        <w:rPr>
          <w:sz w:val="26"/>
          <w:szCs w:val="26"/>
        </w:rPr>
        <w:t>I</w:t>
      </w:r>
      <w:r w:rsidRPr="008924A4">
        <w:rPr>
          <w:sz w:val="26"/>
          <w:szCs w:val="26"/>
        </w:rPr>
        <w:t xml:space="preserve">ncome </w:t>
      </w:r>
      <w:r w:rsidR="00780DE4">
        <w:rPr>
          <w:sz w:val="26"/>
          <w:szCs w:val="26"/>
        </w:rPr>
        <w:t>A</w:t>
      </w:r>
      <w:r w:rsidRPr="008924A4">
        <w:rPr>
          <w:sz w:val="26"/>
          <w:szCs w:val="26"/>
        </w:rPr>
        <w:t xml:space="preserve">pproaches.  66 Pa. C.S. § 1329(a)(3).  The </w:t>
      </w:r>
      <w:r w:rsidR="0083263F">
        <w:rPr>
          <w:sz w:val="26"/>
          <w:szCs w:val="26"/>
        </w:rPr>
        <w:t xml:space="preserve">FMV </w:t>
      </w:r>
      <w:r w:rsidRPr="008924A4">
        <w:rPr>
          <w:sz w:val="26"/>
          <w:szCs w:val="26"/>
        </w:rPr>
        <w:t>of the system is defined as the average of the two separate UVE appraisals conducted in compliance with Section 1329(a)(3).  66 Pa. C.S. § 1329(g).</w:t>
      </w:r>
    </w:p>
    <w:p w14:paraId="46562DCD" w14:textId="77777777" w:rsidR="008924A4" w:rsidRPr="008924A4" w:rsidRDefault="008924A4" w:rsidP="008924A4">
      <w:pPr>
        <w:widowControl/>
        <w:spacing w:line="360" w:lineRule="auto"/>
        <w:ind w:firstLine="1440"/>
        <w:contextualSpacing/>
        <w:rPr>
          <w:sz w:val="26"/>
          <w:szCs w:val="26"/>
        </w:rPr>
      </w:pPr>
    </w:p>
    <w:p w14:paraId="7327FECA" w14:textId="77777777" w:rsidR="008924A4" w:rsidRPr="008924A4" w:rsidRDefault="008924A4" w:rsidP="008924A4">
      <w:pPr>
        <w:widowControl/>
        <w:spacing w:line="360" w:lineRule="auto"/>
        <w:ind w:firstLine="1440"/>
        <w:contextualSpacing/>
        <w:rPr>
          <w:sz w:val="26"/>
          <w:szCs w:val="26"/>
        </w:rPr>
      </w:pPr>
      <w:r w:rsidRPr="008924A4">
        <w:rPr>
          <w:sz w:val="26"/>
          <w:szCs w:val="26"/>
        </w:rPr>
        <w:t>The Applicant must provide to the Commission copies of the appraisals; the purchase price; the ratemaking rate base; the closing costs; and, if applicable, a tariff and rate stabilization plan.  66 Pa. C.S. § 1329(d)(1).</w:t>
      </w:r>
    </w:p>
    <w:p w14:paraId="3967755C" w14:textId="55509E86" w:rsidR="008C5970" w:rsidRDefault="008C5970" w:rsidP="004B66E5">
      <w:pPr>
        <w:widowControl/>
        <w:spacing w:line="360" w:lineRule="auto"/>
        <w:ind w:firstLine="1440"/>
        <w:contextualSpacing/>
        <w:rPr>
          <w:sz w:val="26"/>
          <w:szCs w:val="26"/>
        </w:rPr>
      </w:pPr>
    </w:p>
    <w:p w14:paraId="3595CADA" w14:textId="36C9CDE7" w:rsidR="002778C1" w:rsidRPr="008C5970" w:rsidRDefault="002778C1" w:rsidP="002778C1">
      <w:pPr>
        <w:pStyle w:val="Heading2"/>
        <w:widowControl/>
        <w:ind w:hanging="720"/>
        <w:contextualSpacing/>
      </w:pPr>
      <w:bookmarkStart w:id="15" w:name="_Toc90970702"/>
      <w:bookmarkStart w:id="16" w:name="_Hlk89417358"/>
      <w:r>
        <w:t xml:space="preserve">Utility-Municipal Contracts, </w:t>
      </w:r>
      <w:r w:rsidRPr="002778C1">
        <w:t>66 Pa. C.S. § 507</w:t>
      </w:r>
      <w:bookmarkEnd w:id="15"/>
    </w:p>
    <w:bookmarkEnd w:id="16"/>
    <w:p w14:paraId="10DE6C33" w14:textId="77777777" w:rsidR="002778C1" w:rsidRPr="004B66E5" w:rsidRDefault="002778C1" w:rsidP="002778C1">
      <w:pPr>
        <w:widowControl/>
        <w:spacing w:line="360" w:lineRule="auto"/>
        <w:contextualSpacing/>
        <w:rPr>
          <w:sz w:val="26"/>
          <w:szCs w:val="26"/>
        </w:rPr>
      </w:pPr>
    </w:p>
    <w:p w14:paraId="689F4E85" w14:textId="77777777" w:rsidR="002778C1" w:rsidRPr="002778C1" w:rsidRDefault="002778C1" w:rsidP="002778C1">
      <w:pPr>
        <w:keepNext/>
        <w:widowControl/>
        <w:spacing w:line="360" w:lineRule="auto"/>
        <w:ind w:firstLine="1440"/>
        <w:rPr>
          <w:rFonts w:eastAsia="Calibri"/>
          <w:sz w:val="26"/>
          <w:szCs w:val="26"/>
        </w:rPr>
      </w:pPr>
      <w:r w:rsidRPr="002778C1">
        <w:rPr>
          <w:rFonts w:eastAsia="Calibri"/>
          <w:sz w:val="26"/>
          <w:szCs w:val="26"/>
        </w:rPr>
        <w:t>Section 507 of the Code provides as follows regarding a utility’s contract with a municipal corporation:</w:t>
      </w:r>
    </w:p>
    <w:p w14:paraId="42943A67" w14:textId="77777777" w:rsidR="002778C1" w:rsidRPr="002778C1" w:rsidRDefault="002778C1" w:rsidP="002778C1">
      <w:pPr>
        <w:widowControl/>
        <w:ind w:firstLine="1440"/>
        <w:rPr>
          <w:rFonts w:eastAsia="Calibri"/>
          <w:sz w:val="26"/>
          <w:szCs w:val="26"/>
        </w:rPr>
      </w:pPr>
    </w:p>
    <w:p w14:paraId="4B916572" w14:textId="77777777" w:rsidR="002778C1" w:rsidRPr="002778C1" w:rsidRDefault="002778C1" w:rsidP="002778C1">
      <w:pPr>
        <w:widowControl/>
        <w:ind w:left="1440" w:right="1440"/>
        <w:rPr>
          <w:rFonts w:eastAsia="Calibri"/>
          <w:sz w:val="26"/>
          <w:szCs w:val="26"/>
        </w:rPr>
      </w:pPr>
      <w:r w:rsidRPr="002778C1">
        <w:rPr>
          <w:rFonts w:eastAsia="Calibri"/>
          <w:sz w:val="26"/>
          <w:szCs w:val="26"/>
        </w:rPr>
        <w:t>Except for a contract between a public utility and a municipal corporation to furnish service at the regularly filed and published tariff rates, no contract or agreement between any public utility and any municipal corporation shall be valid unless filed with the commission at least 30 days prior to its effective date.  Upon notice to the municipal authorities, and the public utility concerned, the Commission may, prior to the effective date of such contract or agreement institute proceedings to determine the reasonableness, legality or any other matter affecting the validity thereof.  Upon the institution of such proceedings, such contract or agreement shall not be effective until the Commission grants its approval thereof.</w:t>
      </w:r>
    </w:p>
    <w:p w14:paraId="23EDB310" w14:textId="77777777" w:rsidR="002778C1" w:rsidRPr="002778C1" w:rsidRDefault="002778C1" w:rsidP="002778C1">
      <w:pPr>
        <w:widowControl/>
        <w:spacing w:line="360" w:lineRule="auto"/>
        <w:rPr>
          <w:rFonts w:eastAsia="Calibri"/>
          <w:sz w:val="26"/>
          <w:szCs w:val="26"/>
        </w:rPr>
      </w:pPr>
    </w:p>
    <w:p w14:paraId="66E42EA7" w14:textId="70FB2ED2" w:rsidR="00155774" w:rsidRPr="002778C1" w:rsidRDefault="002778C1" w:rsidP="002778C1">
      <w:pPr>
        <w:keepNext/>
        <w:keepLines/>
        <w:widowControl/>
        <w:spacing w:line="360" w:lineRule="auto"/>
        <w:contextualSpacing/>
        <w:rPr>
          <w:bCs/>
          <w:sz w:val="26"/>
          <w:szCs w:val="26"/>
        </w:rPr>
      </w:pPr>
      <w:r w:rsidRPr="002778C1">
        <w:rPr>
          <w:rFonts w:eastAsia="Calibri"/>
          <w:sz w:val="26"/>
          <w:szCs w:val="26"/>
        </w:rPr>
        <w:t xml:space="preserve">66 Pa. C.S. § 507.  Thus, pursuant to Section 507, the Commission has discretionary power to institute proceedings to determine the reasonableness, </w:t>
      </w:r>
      <w:proofErr w:type="gramStart"/>
      <w:r w:rsidRPr="002778C1">
        <w:rPr>
          <w:rFonts w:eastAsia="Calibri"/>
          <w:sz w:val="26"/>
          <w:szCs w:val="26"/>
        </w:rPr>
        <w:t>legality</w:t>
      </w:r>
      <w:proofErr w:type="gramEnd"/>
      <w:r w:rsidRPr="002778C1">
        <w:rPr>
          <w:rFonts w:eastAsia="Calibri"/>
          <w:sz w:val="26"/>
          <w:szCs w:val="26"/>
        </w:rPr>
        <w:t xml:space="preserve"> and validity of the contracts between a municipality and a public utility.  </w:t>
      </w:r>
      <w:r w:rsidRPr="002778C1">
        <w:rPr>
          <w:rFonts w:eastAsia="Calibri"/>
          <w:i/>
          <w:iCs/>
          <w:sz w:val="26"/>
          <w:szCs w:val="26"/>
        </w:rPr>
        <w:t>Id</w:t>
      </w:r>
      <w:r w:rsidRPr="002778C1">
        <w:rPr>
          <w:rFonts w:eastAsia="Calibri"/>
          <w:sz w:val="26"/>
          <w:szCs w:val="26"/>
        </w:rPr>
        <w:t xml:space="preserve">.; </w:t>
      </w:r>
      <w:r w:rsidRPr="002778C1">
        <w:rPr>
          <w:rFonts w:eastAsia="Calibri"/>
          <w:i/>
          <w:iCs/>
          <w:sz w:val="26"/>
          <w:szCs w:val="26"/>
        </w:rPr>
        <w:t>see also County of Allegheny v. Pa. PUC</w:t>
      </w:r>
      <w:r w:rsidRPr="002778C1">
        <w:rPr>
          <w:rFonts w:eastAsia="Calibri"/>
          <w:sz w:val="26"/>
          <w:szCs w:val="26"/>
        </w:rPr>
        <w:t>,</w:t>
      </w:r>
      <w:r w:rsidRPr="002778C1">
        <w:rPr>
          <w:rFonts w:eastAsia="Calibri"/>
          <w:i/>
          <w:iCs/>
          <w:sz w:val="26"/>
          <w:szCs w:val="26"/>
        </w:rPr>
        <w:t xml:space="preserve"> </w:t>
      </w:r>
      <w:r w:rsidRPr="002778C1">
        <w:rPr>
          <w:rFonts w:eastAsia="Calibri"/>
          <w:sz w:val="26"/>
          <w:szCs w:val="26"/>
        </w:rPr>
        <w:t>159 A.2d 227, 233 (Pa. Super. 1960).</w:t>
      </w:r>
    </w:p>
    <w:p w14:paraId="2E1201E2" w14:textId="51217475" w:rsidR="002778C1" w:rsidRDefault="002778C1" w:rsidP="00FD2A9D">
      <w:pPr>
        <w:keepNext/>
        <w:keepLines/>
        <w:widowControl/>
        <w:spacing w:line="360" w:lineRule="auto"/>
        <w:contextualSpacing/>
        <w:rPr>
          <w:b/>
          <w:sz w:val="26"/>
          <w:szCs w:val="26"/>
        </w:rPr>
      </w:pPr>
    </w:p>
    <w:p w14:paraId="5DE77C0A" w14:textId="3A2443B2" w:rsidR="002778C1" w:rsidRPr="008C5970" w:rsidRDefault="002778C1" w:rsidP="002778C1">
      <w:pPr>
        <w:pStyle w:val="Heading2"/>
        <w:widowControl/>
        <w:ind w:hanging="720"/>
        <w:contextualSpacing/>
      </w:pPr>
      <w:bookmarkStart w:id="17" w:name="_Toc90970703"/>
      <w:bookmarkStart w:id="18" w:name="_Hlk89417465"/>
      <w:r>
        <w:t>Settlements in the Public Interest</w:t>
      </w:r>
      <w:bookmarkEnd w:id="17"/>
    </w:p>
    <w:bookmarkEnd w:id="18"/>
    <w:p w14:paraId="0B7D8692" w14:textId="69A04F40" w:rsidR="002778C1" w:rsidRDefault="002778C1" w:rsidP="00FD2A9D">
      <w:pPr>
        <w:keepNext/>
        <w:keepLines/>
        <w:widowControl/>
        <w:spacing w:line="360" w:lineRule="auto"/>
        <w:contextualSpacing/>
        <w:rPr>
          <w:b/>
          <w:sz w:val="26"/>
          <w:szCs w:val="26"/>
        </w:rPr>
      </w:pPr>
    </w:p>
    <w:p w14:paraId="720F3F63" w14:textId="77777777" w:rsidR="002778C1" w:rsidRPr="00BC5326" w:rsidRDefault="002778C1" w:rsidP="002778C1">
      <w:pPr>
        <w:spacing w:line="360" w:lineRule="auto"/>
        <w:ind w:firstLine="1440"/>
        <w:rPr>
          <w:sz w:val="26"/>
          <w:szCs w:val="26"/>
        </w:rPr>
      </w:pPr>
      <w:r w:rsidRPr="00BC5326">
        <w:rPr>
          <w:sz w:val="26"/>
          <w:szCs w:val="26"/>
        </w:rPr>
        <w:t xml:space="preserve">Pursuant to our Regulations at 52 Pa. Code § 5.231, it is the Commission’s policy to promote settlements.  A full settlement of all the issues in a proceeding eliminates the time, effort and expense that otherwise would have been used in litigating the proceeding, while a partial settlement may significantly reduce the time, </w:t>
      </w:r>
      <w:proofErr w:type="gramStart"/>
      <w:r w:rsidRPr="00BC5326">
        <w:rPr>
          <w:sz w:val="26"/>
          <w:szCs w:val="26"/>
        </w:rPr>
        <w:t>effort</w:t>
      </w:r>
      <w:proofErr w:type="gramEnd"/>
      <w:r w:rsidRPr="00BC5326">
        <w:rPr>
          <w:sz w:val="26"/>
          <w:szCs w:val="26"/>
        </w:rPr>
        <w:t xml:space="preserve"> and expense of litigating a case.  A settlement, whether whole or partial, benefits not only the named parties directly, but, indirectly, all customers of the public utility involved in the case.  </w:t>
      </w:r>
      <w:r w:rsidRPr="00BC5326">
        <w:rPr>
          <w:i/>
          <w:sz w:val="26"/>
          <w:szCs w:val="26"/>
        </w:rPr>
        <w:t>Pa. PUC, et al. v. Columbia Gas of Pennsylvania, Inc.</w:t>
      </w:r>
      <w:r w:rsidRPr="00BC5326">
        <w:rPr>
          <w:sz w:val="26"/>
          <w:szCs w:val="26"/>
        </w:rPr>
        <w:t>, Docket Nos. R</w:t>
      </w:r>
      <w:r w:rsidRPr="00BC5326">
        <w:rPr>
          <w:sz w:val="26"/>
          <w:szCs w:val="26"/>
        </w:rPr>
        <w:noBreakHyphen/>
        <w:t>2015</w:t>
      </w:r>
      <w:r w:rsidRPr="00BC5326">
        <w:rPr>
          <w:sz w:val="26"/>
          <w:szCs w:val="26"/>
        </w:rPr>
        <w:noBreakHyphen/>
        <w:t xml:space="preserve">2468056, </w:t>
      </w:r>
      <w:r w:rsidRPr="00BC5326">
        <w:rPr>
          <w:i/>
          <w:sz w:val="26"/>
          <w:szCs w:val="26"/>
        </w:rPr>
        <w:t>et al.</w:t>
      </w:r>
      <w:r w:rsidRPr="00BC5326">
        <w:rPr>
          <w:sz w:val="26"/>
          <w:szCs w:val="26"/>
        </w:rPr>
        <w:t xml:space="preserve"> (Order entered December 3, 2015) at 6-7.  Despite this policy, the Commission does not simply rubber stamp settlements without determining whether the terms are in the public interest.  </w:t>
      </w:r>
      <w:r w:rsidRPr="00BC5326">
        <w:rPr>
          <w:i/>
          <w:sz w:val="26"/>
          <w:szCs w:val="26"/>
        </w:rPr>
        <w:t>Pa. PUC v. Philadelphia Gas Works</w:t>
      </w:r>
      <w:r w:rsidRPr="00BC5326">
        <w:rPr>
          <w:sz w:val="26"/>
          <w:szCs w:val="26"/>
        </w:rPr>
        <w:t>, Docket No. M</w:t>
      </w:r>
      <w:r w:rsidRPr="00BC5326">
        <w:rPr>
          <w:sz w:val="26"/>
          <w:szCs w:val="26"/>
        </w:rPr>
        <w:noBreakHyphen/>
        <w:t xml:space="preserve">00031768 (Order entered January 7, 2004); </w:t>
      </w:r>
      <w:r w:rsidRPr="00BC5326">
        <w:rPr>
          <w:i/>
          <w:sz w:val="26"/>
          <w:szCs w:val="26"/>
        </w:rPr>
        <w:t>Pa. PUC v. CS Water and Sewer Assoc.</w:t>
      </w:r>
      <w:r w:rsidRPr="00BC5326">
        <w:rPr>
          <w:sz w:val="26"/>
          <w:szCs w:val="26"/>
        </w:rPr>
        <w:t xml:space="preserve">, 74 Pa. P.U.C. 767 (1991); </w:t>
      </w:r>
      <w:r w:rsidRPr="00BC5326">
        <w:rPr>
          <w:i/>
          <w:sz w:val="26"/>
          <w:szCs w:val="26"/>
        </w:rPr>
        <w:t>Pa. PUC v. Philadelphia Electric Co.</w:t>
      </w:r>
      <w:r w:rsidRPr="00BC5326">
        <w:rPr>
          <w:sz w:val="26"/>
          <w:szCs w:val="26"/>
        </w:rPr>
        <w:t>, 60 Pa. P.U.C. 1 (1985).</w:t>
      </w:r>
    </w:p>
    <w:p w14:paraId="460D3DA4" w14:textId="1C45D62A" w:rsidR="002778C1" w:rsidRDefault="002778C1" w:rsidP="00FD2A9D">
      <w:pPr>
        <w:keepNext/>
        <w:keepLines/>
        <w:widowControl/>
        <w:spacing w:line="360" w:lineRule="auto"/>
        <w:contextualSpacing/>
        <w:rPr>
          <w:b/>
          <w:sz w:val="26"/>
          <w:szCs w:val="26"/>
        </w:rPr>
      </w:pPr>
    </w:p>
    <w:p w14:paraId="7BACC0B3" w14:textId="3EE59F3E" w:rsidR="003A3F6F" w:rsidRPr="008C5970" w:rsidRDefault="003A3F6F" w:rsidP="003A3F6F">
      <w:pPr>
        <w:pStyle w:val="Heading2"/>
        <w:widowControl/>
        <w:ind w:hanging="720"/>
        <w:contextualSpacing/>
      </w:pPr>
      <w:bookmarkStart w:id="19" w:name="_Toc90970704"/>
      <w:r>
        <w:t>General Standards</w:t>
      </w:r>
      <w:bookmarkEnd w:id="19"/>
    </w:p>
    <w:p w14:paraId="3E35BC36" w14:textId="0A1ADDB3" w:rsidR="002778C1" w:rsidRDefault="002778C1" w:rsidP="00FD2A9D">
      <w:pPr>
        <w:keepNext/>
        <w:keepLines/>
        <w:widowControl/>
        <w:spacing w:line="360" w:lineRule="auto"/>
        <w:contextualSpacing/>
        <w:rPr>
          <w:b/>
          <w:sz w:val="26"/>
          <w:szCs w:val="26"/>
        </w:rPr>
      </w:pPr>
    </w:p>
    <w:p w14:paraId="5CDD9B1E" w14:textId="77C2487B" w:rsidR="003A3F6F" w:rsidRPr="00BC5326" w:rsidRDefault="003A3F6F" w:rsidP="00AA3BD5">
      <w:pPr>
        <w:keepNext/>
        <w:widowControl/>
        <w:spacing w:line="360" w:lineRule="auto"/>
        <w:ind w:firstLine="1440"/>
        <w:rPr>
          <w:sz w:val="26"/>
          <w:szCs w:val="26"/>
        </w:rPr>
      </w:pPr>
      <w:r w:rsidRPr="00BC5326">
        <w:rPr>
          <w:sz w:val="26"/>
          <w:szCs w:val="26"/>
        </w:rPr>
        <w:t xml:space="preserve">In the Recommended Decision, </w:t>
      </w:r>
      <w:r>
        <w:rPr>
          <w:sz w:val="26"/>
          <w:szCs w:val="26"/>
        </w:rPr>
        <w:t>ALJ Watson</w:t>
      </w:r>
      <w:r w:rsidRPr="00BC5326">
        <w:rPr>
          <w:sz w:val="26"/>
          <w:szCs w:val="26"/>
        </w:rPr>
        <w:t xml:space="preserve"> made </w:t>
      </w:r>
      <w:r>
        <w:rPr>
          <w:sz w:val="26"/>
          <w:szCs w:val="26"/>
        </w:rPr>
        <w:t>twenty-two</w:t>
      </w:r>
      <w:r w:rsidRPr="00BC5326">
        <w:rPr>
          <w:sz w:val="26"/>
          <w:szCs w:val="26"/>
        </w:rPr>
        <w:t xml:space="preserve"> Findings of Fact and reached </w:t>
      </w:r>
      <w:r>
        <w:rPr>
          <w:sz w:val="26"/>
          <w:szCs w:val="26"/>
        </w:rPr>
        <w:t>thirty-one</w:t>
      </w:r>
      <w:r w:rsidRPr="00BC5326">
        <w:rPr>
          <w:sz w:val="26"/>
          <w:szCs w:val="26"/>
        </w:rPr>
        <w:t xml:space="preserve"> Conclusions of Law.  </w:t>
      </w:r>
      <w:r w:rsidRPr="00BC5326">
        <w:rPr>
          <w:i/>
          <w:sz w:val="26"/>
          <w:szCs w:val="26"/>
        </w:rPr>
        <w:t>See</w:t>
      </w:r>
      <w:r w:rsidRPr="00BC5326">
        <w:rPr>
          <w:sz w:val="26"/>
          <w:szCs w:val="26"/>
        </w:rPr>
        <w:t xml:space="preserve"> R.D. at </w:t>
      </w:r>
      <w:r>
        <w:rPr>
          <w:sz w:val="26"/>
          <w:szCs w:val="26"/>
        </w:rPr>
        <w:t>10-13</w:t>
      </w:r>
      <w:r w:rsidRPr="00BC5326">
        <w:rPr>
          <w:sz w:val="26"/>
          <w:szCs w:val="26"/>
        </w:rPr>
        <w:t xml:space="preserve">, </w:t>
      </w:r>
      <w:r>
        <w:rPr>
          <w:sz w:val="26"/>
          <w:szCs w:val="26"/>
        </w:rPr>
        <w:t>99-105</w:t>
      </w:r>
      <w:r w:rsidRPr="00BC5326">
        <w:rPr>
          <w:sz w:val="26"/>
          <w:szCs w:val="26"/>
        </w:rPr>
        <w:t>.  The Findings of Fact and Conclusions of Law are incorporated herein by reference and are adopted without comment unless they are either expressly or by necessary implication rejected or modified by this Opinion and Order.</w:t>
      </w:r>
    </w:p>
    <w:p w14:paraId="3C94A62A" w14:textId="77777777" w:rsidR="003A3F6F" w:rsidRPr="00BC5326" w:rsidRDefault="003A3F6F" w:rsidP="003A3F6F">
      <w:pPr>
        <w:spacing w:line="360" w:lineRule="auto"/>
        <w:ind w:firstLine="1440"/>
        <w:rPr>
          <w:sz w:val="26"/>
          <w:szCs w:val="26"/>
        </w:rPr>
      </w:pPr>
    </w:p>
    <w:p w14:paraId="2DB7720D" w14:textId="77777777" w:rsidR="003A3F6F" w:rsidRPr="00BC5326" w:rsidRDefault="003A3F6F" w:rsidP="001151E5">
      <w:pPr>
        <w:spacing w:line="360" w:lineRule="auto"/>
        <w:ind w:firstLine="1440"/>
        <w:rPr>
          <w:sz w:val="26"/>
          <w:szCs w:val="26"/>
        </w:rPr>
      </w:pPr>
      <w:r w:rsidRPr="00BC5326">
        <w:rPr>
          <w:sz w:val="26"/>
          <w:szCs w:val="26"/>
        </w:rPr>
        <w:t xml:space="preserve">As we proceed in our review of the various positions of the Parties in this proceeding, we are reminded that the Commission is not required to consider expressly or at length each contention or argument raised by the parties.  </w:t>
      </w:r>
      <w:hyperlink r:id="rId11" w:history="1">
        <w:r w:rsidRPr="00BC5326">
          <w:rPr>
            <w:i/>
            <w:iCs/>
            <w:sz w:val="26"/>
            <w:szCs w:val="26"/>
          </w:rPr>
          <w:t>Consolidated Rail Corp. v. Pa. PUC</w:t>
        </w:r>
        <w:r w:rsidRPr="00BC5326">
          <w:rPr>
            <w:sz w:val="26"/>
            <w:szCs w:val="26"/>
          </w:rPr>
          <w:t>,</w:t>
        </w:r>
        <w:r w:rsidRPr="00BC5326">
          <w:rPr>
            <w:i/>
            <w:iCs/>
            <w:sz w:val="26"/>
            <w:szCs w:val="26"/>
          </w:rPr>
          <w:t xml:space="preserve"> </w:t>
        </w:r>
        <w:r w:rsidRPr="00BC5326">
          <w:rPr>
            <w:sz w:val="26"/>
            <w:szCs w:val="26"/>
          </w:rPr>
          <w:t>625 A.2d 741 (Pa. Cmwlth. 1993);</w:t>
        </w:r>
      </w:hyperlink>
      <w:r w:rsidRPr="00BC5326">
        <w:rPr>
          <w:sz w:val="26"/>
          <w:szCs w:val="26"/>
        </w:rPr>
        <w:t xml:space="preserve"> </w:t>
      </w:r>
      <w:r w:rsidRPr="00BC5326">
        <w:rPr>
          <w:i/>
          <w:sz w:val="26"/>
          <w:szCs w:val="26"/>
        </w:rPr>
        <w:t xml:space="preserve">also </w:t>
      </w:r>
      <w:r w:rsidRPr="00BC5326">
        <w:rPr>
          <w:i/>
          <w:iCs/>
          <w:sz w:val="26"/>
          <w:szCs w:val="26"/>
        </w:rPr>
        <w:t>see</w:t>
      </w:r>
      <w:r w:rsidRPr="00BC5326">
        <w:rPr>
          <w:i/>
          <w:iCs/>
          <w:color w:val="000000"/>
          <w:sz w:val="26"/>
          <w:szCs w:val="26"/>
        </w:rPr>
        <w:t xml:space="preserve">, generally, </w:t>
      </w:r>
      <w:hyperlink r:id="rId12" w:history="1">
        <w:r w:rsidRPr="00BC5326">
          <w:rPr>
            <w:i/>
            <w:iCs/>
            <w:color w:val="000000"/>
            <w:sz w:val="26"/>
            <w:szCs w:val="26"/>
          </w:rPr>
          <w:t>University of Pennsylvania v. Pa. PUC</w:t>
        </w:r>
        <w:r w:rsidRPr="00BC5326">
          <w:rPr>
            <w:color w:val="000000"/>
            <w:sz w:val="26"/>
            <w:szCs w:val="26"/>
          </w:rPr>
          <w:t>, 485 A.2d 1217 (Pa. Cmwlth. 1984).</w:t>
        </w:r>
      </w:hyperlink>
      <w:r w:rsidRPr="00BC5326">
        <w:rPr>
          <w:color w:val="000000"/>
          <w:sz w:val="26"/>
          <w:szCs w:val="26"/>
        </w:rPr>
        <w:t xml:space="preserve">  </w:t>
      </w:r>
      <w:r w:rsidRPr="00BC5326">
        <w:rPr>
          <w:sz w:val="26"/>
          <w:szCs w:val="26"/>
        </w:rPr>
        <w:t>Exceptions that we do not specifically address shall be deemed to have been duly considered and denied without further discussion.</w:t>
      </w:r>
    </w:p>
    <w:p w14:paraId="43B7DD24" w14:textId="77777777" w:rsidR="003A3F6F" w:rsidRDefault="003A3F6F" w:rsidP="001151E5">
      <w:pPr>
        <w:widowControl/>
        <w:spacing w:line="360" w:lineRule="auto"/>
        <w:contextualSpacing/>
        <w:rPr>
          <w:b/>
          <w:sz w:val="26"/>
          <w:szCs w:val="26"/>
        </w:rPr>
      </w:pPr>
    </w:p>
    <w:p w14:paraId="034CE6BE" w14:textId="3CC469D7" w:rsidR="001C1F2E" w:rsidRDefault="001C1F2E" w:rsidP="004B1ABE">
      <w:pPr>
        <w:pStyle w:val="Heading1"/>
        <w:keepNext/>
        <w:keepLines/>
      </w:pPr>
      <w:bookmarkStart w:id="20" w:name="_Toc90970705"/>
      <w:r>
        <w:t>Transaction Overview</w:t>
      </w:r>
      <w:bookmarkEnd w:id="20"/>
    </w:p>
    <w:p w14:paraId="7C74DD2F" w14:textId="561D2C3B" w:rsidR="003A3F6F" w:rsidRDefault="003A3F6F" w:rsidP="004B1ABE">
      <w:pPr>
        <w:keepNext/>
        <w:keepLines/>
        <w:widowControl/>
        <w:spacing w:line="360" w:lineRule="auto"/>
        <w:contextualSpacing/>
        <w:rPr>
          <w:b/>
          <w:sz w:val="26"/>
          <w:szCs w:val="26"/>
        </w:rPr>
      </w:pPr>
    </w:p>
    <w:p w14:paraId="3836A615" w14:textId="5F29ECA0" w:rsidR="001C1F2E" w:rsidRPr="008A3B79" w:rsidRDefault="008A3B79" w:rsidP="004B1ABE">
      <w:pPr>
        <w:keepNext/>
        <w:keepLines/>
        <w:widowControl/>
        <w:spacing w:line="360" w:lineRule="auto"/>
        <w:ind w:firstLine="1440"/>
        <w:contextualSpacing/>
        <w:rPr>
          <w:bCs/>
          <w:sz w:val="26"/>
          <w:szCs w:val="26"/>
        </w:rPr>
      </w:pPr>
      <w:r w:rsidRPr="008A3B79">
        <w:rPr>
          <w:bCs/>
          <w:sz w:val="26"/>
          <w:szCs w:val="26"/>
        </w:rPr>
        <w:t>Aqua is a certificated provider of wastewater service, duly organized and existing under</w:t>
      </w:r>
      <w:r>
        <w:rPr>
          <w:bCs/>
          <w:sz w:val="26"/>
          <w:szCs w:val="26"/>
        </w:rPr>
        <w:t xml:space="preserve"> </w:t>
      </w:r>
      <w:r w:rsidRPr="008A3B79">
        <w:rPr>
          <w:bCs/>
          <w:sz w:val="26"/>
          <w:szCs w:val="26"/>
        </w:rPr>
        <w:t xml:space="preserve">the laws of the Commonwealth of Pennsylvania. </w:t>
      </w:r>
      <w:r>
        <w:rPr>
          <w:bCs/>
          <w:sz w:val="26"/>
          <w:szCs w:val="26"/>
        </w:rPr>
        <w:t xml:space="preserve"> </w:t>
      </w:r>
      <w:r w:rsidRPr="008A3B79">
        <w:rPr>
          <w:bCs/>
          <w:sz w:val="26"/>
          <w:szCs w:val="26"/>
        </w:rPr>
        <w:t>Aqua provides wastewater service to</w:t>
      </w:r>
      <w:r>
        <w:rPr>
          <w:bCs/>
          <w:sz w:val="26"/>
          <w:szCs w:val="26"/>
        </w:rPr>
        <w:t xml:space="preserve"> </w:t>
      </w:r>
      <w:r w:rsidRPr="008A3B79">
        <w:rPr>
          <w:bCs/>
          <w:sz w:val="26"/>
          <w:szCs w:val="26"/>
        </w:rPr>
        <w:t xml:space="preserve">approximately 45,000 customer accounts in various </w:t>
      </w:r>
      <w:r w:rsidR="00364A8C">
        <w:rPr>
          <w:bCs/>
          <w:sz w:val="26"/>
          <w:szCs w:val="26"/>
        </w:rPr>
        <w:t>c</w:t>
      </w:r>
      <w:r w:rsidRPr="008A3B79">
        <w:rPr>
          <w:bCs/>
          <w:sz w:val="26"/>
          <w:szCs w:val="26"/>
        </w:rPr>
        <w:t>ounties throughout Pennsylvania including</w:t>
      </w:r>
      <w:r>
        <w:rPr>
          <w:bCs/>
          <w:sz w:val="26"/>
          <w:szCs w:val="26"/>
        </w:rPr>
        <w:t xml:space="preserve"> </w:t>
      </w:r>
      <w:r w:rsidRPr="008A3B79">
        <w:rPr>
          <w:bCs/>
          <w:sz w:val="26"/>
          <w:szCs w:val="26"/>
        </w:rPr>
        <w:t>parts of Bucks County.</w:t>
      </w:r>
      <w:r w:rsidR="001C30D9">
        <w:rPr>
          <w:bCs/>
          <w:sz w:val="26"/>
          <w:szCs w:val="26"/>
        </w:rPr>
        <w:t xml:space="preserve">  Application at ¶ 7.</w:t>
      </w:r>
    </w:p>
    <w:p w14:paraId="7460592C" w14:textId="77777777" w:rsidR="001151E5" w:rsidRDefault="001151E5" w:rsidP="001151E5">
      <w:pPr>
        <w:widowControl/>
        <w:spacing w:line="360" w:lineRule="auto"/>
        <w:contextualSpacing/>
        <w:rPr>
          <w:b/>
          <w:sz w:val="26"/>
          <w:szCs w:val="26"/>
        </w:rPr>
      </w:pPr>
    </w:p>
    <w:p w14:paraId="0F0F8905" w14:textId="44051720" w:rsidR="008C5970" w:rsidRPr="001151E5" w:rsidRDefault="001151E5" w:rsidP="004824F6">
      <w:pPr>
        <w:widowControl/>
        <w:spacing w:line="360" w:lineRule="auto"/>
        <w:ind w:firstLine="1440"/>
        <w:contextualSpacing/>
        <w:rPr>
          <w:bCs/>
          <w:sz w:val="26"/>
          <w:szCs w:val="26"/>
        </w:rPr>
      </w:pPr>
      <w:r w:rsidRPr="001151E5">
        <w:rPr>
          <w:bCs/>
          <w:sz w:val="26"/>
          <w:szCs w:val="26"/>
        </w:rPr>
        <w:t>LMT owns a sanitary wastewater collection system operated by the Municipal Sewer</w:t>
      </w:r>
      <w:r>
        <w:rPr>
          <w:bCs/>
          <w:sz w:val="26"/>
          <w:szCs w:val="26"/>
        </w:rPr>
        <w:t xml:space="preserve"> </w:t>
      </w:r>
      <w:r w:rsidRPr="001151E5">
        <w:rPr>
          <w:bCs/>
          <w:sz w:val="26"/>
          <w:szCs w:val="26"/>
        </w:rPr>
        <w:t>Authority of the Township of Lower Makefield, which provides direct wastewater service to</w:t>
      </w:r>
      <w:r>
        <w:rPr>
          <w:bCs/>
          <w:sz w:val="26"/>
          <w:szCs w:val="26"/>
        </w:rPr>
        <w:t xml:space="preserve"> </w:t>
      </w:r>
      <w:r w:rsidRPr="001151E5">
        <w:rPr>
          <w:bCs/>
          <w:sz w:val="26"/>
          <w:szCs w:val="26"/>
        </w:rPr>
        <w:t xml:space="preserve">11,151 customers in </w:t>
      </w:r>
      <w:r w:rsidR="00A9321C">
        <w:rPr>
          <w:bCs/>
          <w:sz w:val="26"/>
          <w:szCs w:val="26"/>
        </w:rPr>
        <w:t>the</w:t>
      </w:r>
      <w:r w:rsidRPr="001151E5">
        <w:rPr>
          <w:bCs/>
          <w:sz w:val="26"/>
          <w:szCs w:val="26"/>
        </w:rPr>
        <w:t xml:space="preserve"> Township.</w:t>
      </w:r>
      <w:r>
        <w:rPr>
          <w:bCs/>
          <w:sz w:val="26"/>
          <w:szCs w:val="26"/>
        </w:rPr>
        <w:t xml:space="preserve"> </w:t>
      </w:r>
      <w:r w:rsidRPr="001151E5">
        <w:rPr>
          <w:bCs/>
          <w:sz w:val="26"/>
          <w:szCs w:val="26"/>
        </w:rPr>
        <w:t xml:space="preserve"> Application at ¶ 8; Aqua St. 2 at 10. </w:t>
      </w:r>
      <w:r>
        <w:rPr>
          <w:bCs/>
          <w:sz w:val="26"/>
          <w:szCs w:val="26"/>
        </w:rPr>
        <w:t xml:space="preserve"> </w:t>
      </w:r>
      <w:r w:rsidRPr="001151E5">
        <w:rPr>
          <w:bCs/>
          <w:sz w:val="26"/>
          <w:szCs w:val="26"/>
        </w:rPr>
        <w:t>LMT does</w:t>
      </w:r>
      <w:r>
        <w:rPr>
          <w:bCs/>
          <w:sz w:val="26"/>
          <w:szCs w:val="26"/>
        </w:rPr>
        <w:t xml:space="preserve"> </w:t>
      </w:r>
      <w:r w:rsidRPr="001151E5">
        <w:rPr>
          <w:bCs/>
          <w:sz w:val="26"/>
          <w:szCs w:val="26"/>
        </w:rPr>
        <w:t xml:space="preserve">not own a wastewater treatment plant. </w:t>
      </w:r>
      <w:r>
        <w:rPr>
          <w:bCs/>
          <w:sz w:val="26"/>
          <w:szCs w:val="26"/>
        </w:rPr>
        <w:t xml:space="preserve"> </w:t>
      </w:r>
      <w:r w:rsidRPr="001151E5">
        <w:rPr>
          <w:bCs/>
          <w:sz w:val="26"/>
          <w:szCs w:val="26"/>
        </w:rPr>
        <w:t>Wastewater treatment is mainly provided by the Municipal</w:t>
      </w:r>
      <w:r>
        <w:rPr>
          <w:bCs/>
          <w:sz w:val="26"/>
          <w:szCs w:val="26"/>
        </w:rPr>
        <w:t xml:space="preserve"> </w:t>
      </w:r>
      <w:r w:rsidRPr="001151E5">
        <w:rPr>
          <w:bCs/>
          <w:sz w:val="26"/>
          <w:szCs w:val="26"/>
        </w:rPr>
        <w:t xml:space="preserve">Authority of the Borough of Morrisville </w:t>
      </w:r>
      <w:proofErr w:type="gramStart"/>
      <w:r w:rsidRPr="001151E5">
        <w:rPr>
          <w:bCs/>
          <w:sz w:val="26"/>
          <w:szCs w:val="26"/>
        </w:rPr>
        <w:t>and also</w:t>
      </w:r>
      <w:proofErr w:type="gramEnd"/>
      <w:r w:rsidRPr="001151E5">
        <w:rPr>
          <w:bCs/>
          <w:sz w:val="26"/>
          <w:szCs w:val="26"/>
        </w:rPr>
        <w:t xml:space="preserve"> by Yardley Borough Sewer Authority.</w:t>
      </w:r>
      <w:r>
        <w:rPr>
          <w:bCs/>
          <w:sz w:val="26"/>
          <w:szCs w:val="26"/>
        </w:rPr>
        <w:t xml:space="preserve">  </w:t>
      </w:r>
      <w:r w:rsidRPr="001151E5">
        <w:rPr>
          <w:bCs/>
          <w:sz w:val="26"/>
          <w:szCs w:val="26"/>
        </w:rPr>
        <w:t>Application at ¶ 15.</w:t>
      </w:r>
    </w:p>
    <w:p w14:paraId="72091CDB" w14:textId="62A4E52F" w:rsidR="001151E5" w:rsidRDefault="001151E5" w:rsidP="004824F6">
      <w:pPr>
        <w:widowControl/>
        <w:spacing w:line="360" w:lineRule="auto"/>
        <w:contextualSpacing/>
        <w:rPr>
          <w:b/>
          <w:sz w:val="26"/>
          <w:szCs w:val="26"/>
        </w:rPr>
      </w:pPr>
    </w:p>
    <w:p w14:paraId="31A7ADE5" w14:textId="4E048CB5" w:rsidR="00E96F78" w:rsidRDefault="00816257" w:rsidP="00FD4A1C">
      <w:pPr>
        <w:widowControl/>
        <w:spacing w:line="360" w:lineRule="auto"/>
        <w:ind w:firstLine="1440"/>
        <w:contextualSpacing/>
        <w:rPr>
          <w:bCs/>
          <w:sz w:val="26"/>
          <w:szCs w:val="26"/>
        </w:rPr>
      </w:pPr>
      <w:r>
        <w:rPr>
          <w:bCs/>
          <w:sz w:val="26"/>
          <w:szCs w:val="26"/>
        </w:rPr>
        <w:t xml:space="preserve">On September 17, 2020, </w:t>
      </w:r>
      <w:r w:rsidR="004560D6" w:rsidRPr="004560D6">
        <w:rPr>
          <w:bCs/>
          <w:sz w:val="26"/>
          <w:szCs w:val="26"/>
        </w:rPr>
        <w:t xml:space="preserve">Aqua and </w:t>
      </w:r>
      <w:r w:rsidR="004560D6">
        <w:rPr>
          <w:bCs/>
          <w:sz w:val="26"/>
          <w:szCs w:val="26"/>
        </w:rPr>
        <w:t>LMT</w:t>
      </w:r>
      <w:r w:rsidR="004560D6" w:rsidRPr="004560D6">
        <w:rPr>
          <w:bCs/>
          <w:sz w:val="26"/>
          <w:szCs w:val="26"/>
        </w:rPr>
        <w:t xml:space="preserve"> </w:t>
      </w:r>
      <w:proofErr w:type="gramStart"/>
      <w:r>
        <w:rPr>
          <w:bCs/>
          <w:sz w:val="26"/>
          <w:szCs w:val="26"/>
        </w:rPr>
        <w:t>entered into</w:t>
      </w:r>
      <w:proofErr w:type="gramEnd"/>
      <w:r>
        <w:rPr>
          <w:bCs/>
          <w:sz w:val="26"/>
          <w:szCs w:val="26"/>
        </w:rPr>
        <w:t xml:space="preserve"> an APA for the sale</w:t>
      </w:r>
      <w:r w:rsidR="00CE1804">
        <w:rPr>
          <w:bCs/>
          <w:sz w:val="26"/>
          <w:szCs w:val="26"/>
        </w:rPr>
        <w:t xml:space="preserve"> of </w:t>
      </w:r>
      <w:r w:rsidR="00CE1804" w:rsidRPr="00CE1804">
        <w:rPr>
          <w:bCs/>
          <w:sz w:val="26"/>
          <w:szCs w:val="26"/>
        </w:rPr>
        <w:t xml:space="preserve">substantially all </w:t>
      </w:r>
      <w:r w:rsidR="00CE1804">
        <w:rPr>
          <w:bCs/>
          <w:sz w:val="26"/>
          <w:szCs w:val="26"/>
        </w:rPr>
        <w:t>of the</w:t>
      </w:r>
      <w:r w:rsidR="00CE1804" w:rsidRPr="00CE1804">
        <w:rPr>
          <w:bCs/>
          <w:sz w:val="26"/>
          <w:szCs w:val="26"/>
        </w:rPr>
        <w:t xml:space="preserve"> assets,</w:t>
      </w:r>
      <w:r w:rsidR="00CE1804">
        <w:rPr>
          <w:bCs/>
          <w:sz w:val="26"/>
          <w:szCs w:val="26"/>
        </w:rPr>
        <w:t xml:space="preserve"> </w:t>
      </w:r>
      <w:r w:rsidR="00CE1804" w:rsidRPr="00CE1804">
        <w:rPr>
          <w:bCs/>
          <w:sz w:val="26"/>
          <w:szCs w:val="26"/>
        </w:rPr>
        <w:t>properties</w:t>
      </w:r>
      <w:r w:rsidR="00CE1804">
        <w:rPr>
          <w:bCs/>
          <w:sz w:val="26"/>
          <w:szCs w:val="26"/>
        </w:rPr>
        <w:t>,</w:t>
      </w:r>
      <w:r w:rsidR="00CE1804" w:rsidRPr="00CE1804">
        <w:rPr>
          <w:bCs/>
          <w:sz w:val="26"/>
          <w:szCs w:val="26"/>
        </w:rPr>
        <w:t xml:space="preserve"> and rights related to </w:t>
      </w:r>
      <w:r w:rsidR="008000C2">
        <w:rPr>
          <w:bCs/>
          <w:sz w:val="26"/>
          <w:szCs w:val="26"/>
        </w:rPr>
        <w:t>the Township’s</w:t>
      </w:r>
      <w:r w:rsidR="00CE1804" w:rsidRPr="00CE1804">
        <w:rPr>
          <w:bCs/>
          <w:sz w:val="26"/>
          <w:szCs w:val="26"/>
        </w:rPr>
        <w:t xml:space="preserve"> wastewater</w:t>
      </w:r>
      <w:r w:rsidR="004824F6">
        <w:rPr>
          <w:bCs/>
          <w:sz w:val="26"/>
          <w:szCs w:val="26"/>
        </w:rPr>
        <w:t xml:space="preserve"> </w:t>
      </w:r>
      <w:r w:rsidR="00CE1804" w:rsidRPr="00CE1804">
        <w:rPr>
          <w:bCs/>
          <w:sz w:val="26"/>
          <w:szCs w:val="26"/>
        </w:rPr>
        <w:t>system</w:t>
      </w:r>
      <w:r w:rsidR="008000C2">
        <w:rPr>
          <w:bCs/>
          <w:sz w:val="26"/>
          <w:szCs w:val="26"/>
        </w:rPr>
        <w:t xml:space="preserve"> at an agreed-upon price of $53,000,000.</w:t>
      </w:r>
      <w:r w:rsidR="00950AF2">
        <w:rPr>
          <w:rStyle w:val="FootnoteReference"/>
          <w:bCs/>
          <w:sz w:val="26"/>
          <w:szCs w:val="26"/>
        </w:rPr>
        <w:footnoteReference w:id="10"/>
      </w:r>
      <w:r w:rsidR="004824F6">
        <w:rPr>
          <w:bCs/>
          <w:sz w:val="26"/>
          <w:szCs w:val="26"/>
        </w:rPr>
        <w:t xml:space="preserve">  </w:t>
      </w:r>
      <w:r w:rsidR="00E038C3">
        <w:rPr>
          <w:bCs/>
          <w:sz w:val="26"/>
          <w:szCs w:val="26"/>
        </w:rPr>
        <w:t xml:space="preserve">Thereafter, </w:t>
      </w:r>
      <w:r w:rsidR="00E038C3" w:rsidRPr="00E038C3">
        <w:rPr>
          <w:bCs/>
          <w:sz w:val="26"/>
          <w:szCs w:val="26"/>
        </w:rPr>
        <w:t xml:space="preserve">Aqua and the Township agreed to use the process presented in Section 1329 of the Code to determine the </w:t>
      </w:r>
      <w:r w:rsidR="0083263F">
        <w:rPr>
          <w:bCs/>
          <w:sz w:val="26"/>
          <w:szCs w:val="26"/>
        </w:rPr>
        <w:t>FMV</w:t>
      </w:r>
      <w:r w:rsidR="00E038C3" w:rsidRPr="00E038C3">
        <w:rPr>
          <w:bCs/>
          <w:sz w:val="26"/>
          <w:szCs w:val="26"/>
        </w:rPr>
        <w:t xml:space="preserve"> of the wastewater system assets and the ratemaking rate base</w:t>
      </w:r>
      <w:r w:rsidR="00E038C3">
        <w:rPr>
          <w:bCs/>
          <w:sz w:val="26"/>
          <w:szCs w:val="26"/>
        </w:rPr>
        <w:t xml:space="preserve">. </w:t>
      </w:r>
      <w:r w:rsidR="00E038C3" w:rsidRPr="00E038C3">
        <w:rPr>
          <w:bCs/>
          <w:sz w:val="26"/>
          <w:szCs w:val="26"/>
        </w:rPr>
        <w:t xml:space="preserve"> </w:t>
      </w:r>
      <w:r w:rsidR="00312506">
        <w:rPr>
          <w:bCs/>
          <w:sz w:val="26"/>
          <w:szCs w:val="26"/>
        </w:rPr>
        <w:t>As required by Section 1329, Aqua and LMT jointly retained the services of Ebert Engineering</w:t>
      </w:r>
      <w:r w:rsidR="00950AF2">
        <w:rPr>
          <w:bCs/>
          <w:sz w:val="26"/>
          <w:szCs w:val="26"/>
        </w:rPr>
        <w:t>, Inc.</w:t>
      </w:r>
      <w:r w:rsidR="004824F6">
        <w:rPr>
          <w:bCs/>
          <w:sz w:val="26"/>
          <w:szCs w:val="26"/>
        </w:rPr>
        <w:t>,</w:t>
      </w:r>
      <w:r w:rsidR="00950AF2">
        <w:rPr>
          <w:bCs/>
          <w:sz w:val="26"/>
          <w:szCs w:val="26"/>
        </w:rPr>
        <w:t xml:space="preserve"> Consulting Engineers</w:t>
      </w:r>
      <w:r w:rsidR="004824F6">
        <w:rPr>
          <w:bCs/>
          <w:sz w:val="26"/>
          <w:szCs w:val="26"/>
        </w:rPr>
        <w:t xml:space="preserve"> (</w:t>
      </w:r>
      <w:bookmarkStart w:id="21" w:name="_Hlk89438926"/>
      <w:r w:rsidR="004824F6">
        <w:rPr>
          <w:bCs/>
          <w:sz w:val="26"/>
          <w:szCs w:val="26"/>
        </w:rPr>
        <w:t>Ebert</w:t>
      </w:r>
      <w:bookmarkEnd w:id="21"/>
      <w:r w:rsidR="004824F6">
        <w:rPr>
          <w:bCs/>
          <w:sz w:val="26"/>
          <w:szCs w:val="26"/>
        </w:rPr>
        <w:t>) to complete the engineer</w:t>
      </w:r>
      <w:r w:rsidR="00024A95">
        <w:rPr>
          <w:bCs/>
          <w:sz w:val="26"/>
          <w:szCs w:val="26"/>
        </w:rPr>
        <w:t>ing</w:t>
      </w:r>
      <w:r w:rsidR="004824F6">
        <w:rPr>
          <w:bCs/>
          <w:sz w:val="26"/>
          <w:szCs w:val="26"/>
        </w:rPr>
        <w:t xml:space="preserve"> assessment and original cost</w:t>
      </w:r>
      <w:r w:rsidR="00FD4A1C">
        <w:rPr>
          <w:bCs/>
          <w:sz w:val="26"/>
          <w:szCs w:val="26"/>
        </w:rPr>
        <w:t xml:space="preserve"> estimate</w:t>
      </w:r>
      <w:r w:rsidR="004824F6">
        <w:rPr>
          <w:bCs/>
          <w:sz w:val="26"/>
          <w:szCs w:val="26"/>
        </w:rPr>
        <w:t xml:space="preserve"> of the wastewater system</w:t>
      </w:r>
      <w:r w:rsidR="00FD4A1C">
        <w:rPr>
          <w:bCs/>
          <w:sz w:val="26"/>
          <w:szCs w:val="26"/>
        </w:rPr>
        <w:t xml:space="preserve"> (</w:t>
      </w:r>
      <w:bookmarkStart w:id="22" w:name="_Hlk89671299"/>
      <w:r w:rsidR="00FD4A1C">
        <w:rPr>
          <w:bCs/>
          <w:sz w:val="26"/>
          <w:szCs w:val="26"/>
        </w:rPr>
        <w:t>Assessment of Tangible Property</w:t>
      </w:r>
      <w:bookmarkEnd w:id="22"/>
      <w:r w:rsidR="00FD4A1C">
        <w:rPr>
          <w:bCs/>
          <w:sz w:val="26"/>
          <w:szCs w:val="26"/>
        </w:rPr>
        <w:t>)</w:t>
      </w:r>
      <w:r w:rsidR="004824F6">
        <w:rPr>
          <w:bCs/>
          <w:sz w:val="26"/>
          <w:szCs w:val="26"/>
        </w:rPr>
        <w:t>.</w:t>
      </w:r>
      <w:r w:rsidR="00FD4A1C">
        <w:rPr>
          <w:bCs/>
          <w:sz w:val="26"/>
          <w:szCs w:val="26"/>
        </w:rPr>
        <w:t xml:space="preserve">  </w:t>
      </w:r>
      <w:r w:rsidR="00312506">
        <w:rPr>
          <w:bCs/>
          <w:sz w:val="26"/>
          <w:szCs w:val="26"/>
        </w:rPr>
        <w:t>Aqua St. 1 at 20; Application at ¶ 11.</w:t>
      </w:r>
      <w:r w:rsidR="001E62AC">
        <w:rPr>
          <w:bCs/>
          <w:sz w:val="26"/>
          <w:szCs w:val="26"/>
        </w:rPr>
        <w:t xml:space="preserve">  Aqua</w:t>
      </w:r>
      <w:r w:rsidR="002F1DEA">
        <w:rPr>
          <w:bCs/>
          <w:sz w:val="26"/>
          <w:szCs w:val="26"/>
        </w:rPr>
        <w:t xml:space="preserve"> selected Gannett Fleming, and the Township selected AUS, as their respective UVEs to prepare </w:t>
      </w:r>
      <w:r w:rsidR="0083263F">
        <w:rPr>
          <w:bCs/>
          <w:sz w:val="26"/>
          <w:szCs w:val="26"/>
        </w:rPr>
        <w:t>FMV</w:t>
      </w:r>
      <w:r w:rsidR="002F1DEA">
        <w:rPr>
          <w:bCs/>
          <w:sz w:val="26"/>
          <w:szCs w:val="26"/>
        </w:rPr>
        <w:t xml:space="preserve"> appraisals of the wastewater system.  </w:t>
      </w:r>
      <w:bookmarkStart w:id="23" w:name="_Hlk89422658"/>
      <w:r w:rsidR="002F1DEA" w:rsidRPr="002F1DEA">
        <w:rPr>
          <w:bCs/>
          <w:sz w:val="26"/>
          <w:szCs w:val="26"/>
        </w:rPr>
        <w:t xml:space="preserve">Application </w:t>
      </w:r>
      <w:r w:rsidR="002F1DEA">
        <w:rPr>
          <w:bCs/>
          <w:sz w:val="26"/>
          <w:szCs w:val="26"/>
        </w:rPr>
        <w:t xml:space="preserve">at </w:t>
      </w:r>
      <w:r w:rsidR="002F1DEA" w:rsidRPr="002F1DEA">
        <w:rPr>
          <w:bCs/>
          <w:sz w:val="26"/>
          <w:szCs w:val="26"/>
        </w:rPr>
        <w:t>¶</w:t>
      </w:r>
      <w:r w:rsidR="002F1DEA">
        <w:t> </w:t>
      </w:r>
      <w:r w:rsidR="002F1DEA" w:rsidRPr="002F1DEA">
        <w:rPr>
          <w:bCs/>
          <w:sz w:val="26"/>
          <w:szCs w:val="26"/>
        </w:rPr>
        <w:t>53</w:t>
      </w:r>
      <w:bookmarkEnd w:id="23"/>
      <w:r w:rsidR="000D7948">
        <w:rPr>
          <w:bCs/>
          <w:sz w:val="26"/>
          <w:szCs w:val="26"/>
        </w:rPr>
        <w:t xml:space="preserve">.  </w:t>
      </w:r>
      <w:r w:rsidR="00512DE5">
        <w:rPr>
          <w:bCs/>
          <w:sz w:val="26"/>
          <w:szCs w:val="26"/>
        </w:rPr>
        <w:t xml:space="preserve">Gannett Fleming’s </w:t>
      </w:r>
      <w:r w:rsidR="0083263F">
        <w:rPr>
          <w:bCs/>
          <w:sz w:val="26"/>
          <w:szCs w:val="26"/>
        </w:rPr>
        <w:t>FMV</w:t>
      </w:r>
      <w:r w:rsidR="00512DE5">
        <w:rPr>
          <w:bCs/>
          <w:sz w:val="26"/>
          <w:szCs w:val="26"/>
        </w:rPr>
        <w:t xml:space="preserve"> report concluded that the value of the wastewater system was $55,505,000; AUS’ </w:t>
      </w:r>
      <w:r w:rsidR="0083263F">
        <w:rPr>
          <w:bCs/>
          <w:sz w:val="26"/>
          <w:szCs w:val="26"/>
        </w:rPr>
        <w:t>FMV</w:t>
      </w:r>
      <w:r w:rsidR="00512DE5">
        <w:rPr>
          <w:bCs/>
          <w:sz w:val="26"/>
          <w:szCs w:val="26"/>
        </w:rPr>
        <w:t xml:space="preserve"> was $54,430,591.</w:t>
      </w:r>
      <w:r w:rsidR="004368AB">
        <w:rPr>
          <w:bCs/>
          <w:sz w:val="26"/>
          <w:szCs w:val="26"/>
        </w:rPr>
        <w:t xml:space="preserve">  </w:t>
      </w:r>
      <w:r w:rsidR="004368AB" w:rsidRPr="004368AB">
        <w:rPr>
          <w:bCs/>
          <w:sz w:val="26"/>
          <w:szCs w:val="26"/>
        </w:rPr>
        <w:t>Application Exhs. Q and R</w:t>
      </w:r>
      <w:r w:rsidR="004368AB">
        <w:rPr>
          <w:bCs/>
          <w:sz w:val="26"/>
          <w:szCs w:val="26"/>
        </w:rPr>
        <w:t xml:space="preserve">. </w:t>
      </w:r>
      <w:r w:rsidR="00512DE5">
        <w:rPr>
          <w:bCs/>
          <w:sz w:val="26"/>
          <w:szCs w:val="26"/>
        </w:rPr>
        <w:t xml:space="preserve"> Both appraisals were prepared in compliance with the USPAP standards.</w:t>
      </w:r>
      <w:r w:rsidR="004368AB">
        <w:rPr>
          <w:bCs/>
          <w:sz w:val="26"/>
          <w:szCs w:val="26"/>
        </w:rPr>
        <w:t xml:space="preserve">  </w:t>
      </w:r>
      <w:r w:rsidR="004368AB" w:rsidRPr="004368AB">
        <w:rPr>
          <w:bCs/>
          <w:sz w:val="26"/>
          <w:szCs w:val="26"/>
        </w:rPr>
        <w:t>Application at ¶ </w:t>
      </w:r>
      <w:r w:rsidR="004368AB">
        <w:rPr>
          <w:bCs/>
          <w:sz w:val="26"/>
          <w:szCs w:val="26"/>
        </w:rPr>
        <w:t xml:space="preserve">61; Application Exhs. T1 and T2.  </w:t>
      </w:r>
    </w:p>
    <w:p w14:paraId="08EACDE6" w14:textId="32E99B31" w:rsidR="00A571CC" w:rsidRDefault="00A571CC" w:rsidP="00FD4A1C">
      <w:pPr>
        <w:widowControl/>
        <w:spacing w:line="360" w:lineRule="auto"/>
        <w:ind w:firstLine="1440"/>
        <w:contextualSpacing/>
        <w:rPr>
          <w:bCs/>
          <w:sz w:val="26"/>
          <w:szCs w:val="26"/>
        </w:rPr>
      </w:pPr>
    </w:p>
    <w:p w14:paraId="46F367D7" w14:textId="5FCCC959" w:rsidR="00A571CC" w:rsidRDefault="00A571CC" w:rsidP="00FD4A1C">
      <w:pPr>
        <w:widowControl/>
        <w:spacing w:line="360" w:lineRule="auto"/>
        <w:ind w:firstLine="1440"/>
        <w:contextualSpacing/>
        <w:rPr>
          <w:bCs/>
          <w:sz w:val="26"/>
          <w:szCs w:val="26"/>
        </w:rPr>
      </w:pPr>
      <w:r>
        <w:rPr>
          <w:bCs/>
          <w:sz w:val="26"/>
          <w:szCs w:val="26"/>
        </w:rPr>
        <w:t>In its Application, Aqua proposed a ratemaking rate base of $53,000,000 based on the agreed-to purchase price of $53,000,000.  This amount is less than the average of the two UVE appraisals for the wastewater system (($55,505,000 + $54,430,591)/2 = $</w:t>
      </w:r>
      <w:r w:rsidR="00E038C3">
        <w:rPr>
          <w:bCs/>
          <w:sz w:val="26"/>
          <w:szCs w:val="26"/>
        </w:rPr>
        <w:t xml:space="preserve">54,967,796).  OCA M.B. at 6; </w:t>
      </w:r>
      <w:r w:rsidR="00E038C3" w:rsidRPr="001151E5">
        <w:rPr>
          <w:bCs/>
          <w:i/>
          <w:iCs/>
          <w:sz w:val="26"/>
          <w:szCs w:val="26"/>
        </w:rPr>
        <w:t>See</w:t>
      </w:r>
      <w:r w:rsidR="00E038C3" w:rsidRPr="001151E5">
        <w:rPr>
          <w:bCs/>
          <w:sz w:val="26"/>
          <w:szCs w:val="26"/>
        </w:rPr>
        <w:t xml:space="preserve"> 66 Pa. C.S.</w:t>
      </w:r>
      <w:r w:rsidR="00E038C3" w:rsidRPr="00E038C3">
        <w:rPr>
          <w:bCs/>
          <w:sz w:val="26"/>
          <w:szCs w:val="26"/>
        </w:rPr>
        <w:t xml:space="preserve"> </w:t>
      </w:r>
      <w:r w:rsidR="00E038C3" w:rsidRPr="001151E5">
        <w:rPr>
          <w:bCs/>
          <w:sz w:val="26"/>
          <w:szCs w:val="26"/>
        </w:rPr>
        <w:t>§ 1329(c)(2)</w:t>
      </w:r>
      <w:r w:rsidR="00E038C3">
        <w:rPr>
          <w:bCs/>
          <w:sz w:val="26"/>
          <w:szCs w:val="26"/>
        </w:rPr>
        <w:t>.</w:t>
      </w:r>
    </w:p>
    <w:p w14:paraId="4E0F0FFC" w14:textId="77777777" w:rsidR="00950AF2" w:rsidRDefault="00950AF2" w:rsidP="00950AF2">
      <w:pPr>
        <w:widowControl/>
        <w:spacing w:line="360" w:lineRule="auto"/>
        <w:ind w:firstLine="1440"/>
        <w:contextualSpacing/>
        <w:rPr>
          <w:bCs/>
          <w:sz w:val="26"/>
          <w:szCs w:val="26"/>
        </w:rPr>
      </w:pPr>
    </w:p>
    <w:p w14:paraId="1B5E66AB" w14:textId="2BCCFA8F" w:rsidR="00950AF2" w:rsidRPr="00244E15" w:rsidRDefault="001151E5" w:rsidP="00AA3BD5">
      <w:pPr>
        <w:widowControl/>
        <w:spacing w:line="360" w:lineRule="auto"/>
        <w:ind w:firstLine="1440"/>
        <w:contextualSpacing/>
        <w:rPr>
          <w:bCs/>
          <w:sz w:val="26"/>
          <w:szCs w:val="26"/>
        </w:rPr>
      </w:pPr>
      <w:r w:rsidRPr="001151E5">
        <w:rPr>
          <w:bCs/>
          <w:sz w:val="26"/>
          <w:szCs w:val="26"/>
        </w:rPr>
        <w:t xml:space="preserve">In addition, Aqua </w:t>
      </w:r>
      <w:r w:rsidR="00DE1D2E">
        <w:rPr>
          <w:bCs/>
          <w:sz w:val="26"/>
          <w:szCs w:val="26"/>
        </w:rPr>
        <w:t>is seeking</w:t>
      </w:r>
      <w:r w:rsidRPr="001151E5">
        <w:rPr>
          <w:bCs/>
          <w:sz w:val="26"/>
          <w:szCs w:val="26"/>
        </w:rPr>
        <w:t xml:space="preserve"> approval of the APA with </w:t>
      </w:r>
      <w:r w:rsidR="00B86205">
        <w:rPr>
          <w:bCs/>
          <w:sz w:val="26"/>
          <w:szCs w:val="26"/>
        </w:rPr>
        <w:t>LMT</w:t>
      </w:r>
      <w:r w:rsidRPr="001151E5">
        <w:rPr>
          <w:bCs/>
          <w:sz w:val="26"/>
          <w:szCs w:val="26"/>
        </w:rPr>
        <w:t xml:space="preserve">. </w:t>
      </w:r>
      <w:r w:rsidR="00B86205">
        <w:rPr>
          <w:bCs/>
          <w:sz w:val="26"/>
          <w:szCs w:val="26"/>
        </w:rPr>
        <w:t xml:space="preserve"> </w:t>
      </w:r>
      <w:r w:rsidRPr="001151E5">
        <w:rPr>
          <w:bCs/>
          <w:sz w:val="26"/>
          <w:szCs w:val="26"/>
        </w:rPr>
        <w:t>Application</w:t>
      </w:r>
      <w:r>
        <w:rPr>
          <w:bCs/>
          <w:sz w:val="26"/>
          <w:szCs w:val="26"/>
        </w:rPr>
        <w:t xml:space="preserve"> </w:t>
      </w:r>
      <w:r w:rsidRPr="001151E5">
        <w:rPr>
          <w:bCs/>
          <w:sz w:val="26"/>
          <w:szCs w:val="26"/>
        </w:rPr>
        <w:t xml:space="preserve">Exh. B. </w:t>
      </w:r>
      <w:r w:rsidR="00B86205">
        <w:rPr>
          <w:bCs/>
          <w:sz w:val="26"/>
          <w:szCs w:val="26"/>
        </w:rPr>
        <w:t xml:space="preserve"> </w:t>
      </w:r>
      <w:r w:rsidRPr="001151E5">
        <w:rPr>
          <w:bCs/>
          <w:sz w:val="26"/>
          <w:szCs w:val="26"/>
        </w:rPr>
        <w:t xml:space="preserve">The APA requires Aqua to implement rates that are no higher than </w:t>
      </w:r>
      <w:r w:rsidR="00B86205">
        <w:rPr>
          <w:bCs/>
          <w:sz w:val="26"/>
          <w:szCs w:val="26"/>
        </w:rPr>
        <w:t>the Township’s</w:t>
      </w:r>
      <w:r>
        <w:rPr>
          <w:bCs/>
          <w:sz w:val="26"/>
          <w:szCs w:val="26"/>
        </w:rPr>
        <w:t xml:space="preserve"> </w:t>
      </w:r>
      <w:r w:rsidRPr="001151E5">
        <w:rPr>
          <w:bCs/>
          <w:sz w:val="26"/>
          <w:szCs w:val="26"/>
        </w:rPr>
        <w:t xml:space="preserve">rates in effect at closing. </w:t>
      </w:r>
      <w:r w:rsidR="00B86205">
        <w:rPr>
          <w:bCs/>
          <w:sz w:val="26"/>
          <w:szCs w:val="26"/>
        </w:rPr>
        <w:t xml:space="preserve"> </w:t>
      </w:r>
      <w:r w:rsidRPr="001151E5">
        <w:rPr>
          <w:bCs/>
          <w:sz w:val="26"/>
          <w:szCs w:val="26"/>
        </w:rPr>
        <w:t xml:space="preserve">Application Exh. B at Section 7.04. </w:t>
      </w:r>
      <w:r w:rsidR="00B86205">
        <w:rPr>
          <w:bCs/>
          <w:sz w:val="26"/>
          <w:szCs w:val="26"/>
        </w:rPr>
        <w:t xml:space="preserve"> </w:t>
      </w:r>
      <w:r w:rsidRPr="001151E5">
        <w:rPr>
          <w:bCs/>
          <w:sz w:val="26"/>
          <w:szCs w:val="26"/>
        </w:rPr>
        <w:t>The APA also provides that Aqua</w:t>
      </w:r>
      <w:r>
        <w:rPr>
          <w:bCs/>
          <w:sz w:val="26"/>
          <w:szCs w:val="26"/>
        </w:rPr>
        <w:t xml:space="preserve"> </w:t>
      </w:r>
      <w:r w:rsidRPr="001151E5">
        <w:rPr>
          <w:bCs/>
          <w:sz w:val="26"/>
          <w:szCs w:val="26"/>
        </w:rPr>
        <w:t xml:space="preserve">intends to bill customers </w:t>
      </w:r>
      <w:proofErr w:type="gramStart"/>
      <w:r w:rsidRPr="001151E5">
        <w:rPr>
          <w:bCs/>
          <w:sz w:val="26"/>
          <w:szCs w:val="26"/>
        </w:rPr>
        <w:t>on a monthly basis</w:t>
      </w:r>
      <w:proofErr w:type="gramEnd"/>
      <w:r w:rsidRPr="001151E5">
        <w:rPr>
          <w:bCs/>
          <w:sz w:val="26"/>
          <w:szCs w:val="26"/>
        </w:rPr>
        <w:t xml:space="preserve"> instead of an annual basis. </w:t>
      </w:r>
      <w:r w:rsidR="00B86205">
        <w:rPr>
          <w:bCs/>
          <w:sz w:val="26"/>
          <w:szCs w:val="26"/>
        </w:rPr>
        <w:t xml:space="preserve"> </w:t>
      </w:r>
      <w:r w:rsidRPr="001151E5">
        <w:rPr>
          <w:bCs/>
          <w:i/>
          <w:iCs/>
          <w:sz w:val="26"/>
          <w:szCs w:val="26"/>
        </w:rPr>
        <w:t>Id</w:t>
      </w:r>
      <w:r w:rsidRPr="001151E5">
        <w:rPr>
          <w:bCs/>
          <w:sz w:val="26"/>
          <w:szCs w:val="26"/>
        </w:rPr>
        <w:t>.</w:t>
      </w:r>
      <w:r w:rsidR="00B86205">
        <w:rPr>
          <w:bCs/>
          <w:sz w:val="26"/>
          <w:szCs w:val="26"/>
        </w:rPr>
        <w:t xml:space="preserve"> </w:t>
      </w:r>
      <w:r w:rsidRPr="001151E5">
        <w:rPr>
          <w:bCs/>
          <w:sz w:val="26"/>
          <w:szCs w:val="26"/>
        </w:rPr>
        <w:t xml:space="preserve"> Moreover, in</w:t>
      </w:r>
      <w:r w:rsidR="00B86205">
        <w:rPr>
          <w:bCs/>
          <w:sz w:val="26"/>
          <w:szCs w:val="26"/>
        </w:rPr>
        <w:t xml:space="preserve"> </w:t>
      </w:r>
      <w:r w:rsidRPr="001151E5">
        <w:rPr>
          <w:bCs/>
          <w:sz w:val="26"/>
          <w:szCs w:val="26"/>
        </w:rPr>
        <w:t xml:space="preserve">accordance with Section 1102 of the Code, Aqua is requesting a Certificate </w:t>
      </w:r>
      <w:proofErr w:type="gramStart"/>
      <w:r w:rsidRPr="001151E5">
        <w:rPr>
          <w:bCs/>
          <w:sz w:val="26"/>
          <w:szCs w:val="26"/>
        </w:rPr>
        <w:t>in order to</w:t>
      </w:r>
      <w:proofErr w:type="gramEnd"/>
      <w:r w:rsidRPr="001151E5">
        <w:rPr>
          <w:bCs/>
          <w:sz w:val="26"/>
          <w:szCs w:val="26"/>
        </w:rPr>
        <w:t xml:space="preserve"> provide wastewater services to the </w:t>
      </w:r>
      <w:r w:rsidR="00B86205">
        <w:rPr>
          <w:bCs/>
          <w:sz w:val="26"/>
          <w:szCs w:val="26"/>
        </w:rPr>
        <w:t>Township</w:t>
      </w:r>
      <w:r w:rsidRPr="001151E5">
        <w:rPr>
          <w:bCs/>
          <w:sz w:val="26"/>
          <w:szCs w:val="26"/>
        </w:rPr>
        <w:t xml:space="preserve"> customers.</w:t>
      </w:r>
      <w:r w:rsidR="00B86205">
        <w:rPr>
          <w:bCs/>
          <w:sz w:val="26"/>
          <w:szCs w:val="26"/>
        </w:rPr>
        <w:t xml:space="preserve"> </w:t>
      </w:r>
      <w:r>
        <w:rPr>
          <w:bCs/>
          <w:sz w:val="26"/>
          <w:szCs w:val="26"/>
        </w:rPr>
        <w:t xml:space="preserve"> </w:t>
      </w:r>
      <w:r w:rsidRPr="001151E5">
        <w:rPr>
          <w:bCs/>
          <w:sz w:val="26"/>
          <w:szCs w:val="26"/>
        </w:rPr>
        <w:t>Application at ¶ 5.</w:t>
      </w:r>
      <w:r w:rsidR="00B86205">
        <w:rPr>
          <w:bCs/>
          <w:sz w:val="26"/>
          <w:szCs w:val="26"/>
        </w:rPr>
        <w:t xml:space="preserve"> </w:t>
      </w:r>
      <w:r w:rsidRPr="001151E5">
        <w:rPr>
          <w:bCs/>
          <w:sz w:val="26"/>
          <w:szCs w:val="26"/>
        </w:rPr>
        <w:t xml:space="preserve"> Separate customer notices were sent to the </w:t>
      </w:r>
      <w:r w:rsidR="00B86205">
        <w:rPr>
          <w:bCs/>
          <w:sz w:val="26"/>
          <w:szCs w:val="26"/>
        </w:rPr>
        <w:t>Township</w:t>
      </w:r>
      <w:r w:rsidRPr="001151E5">
        <w:rPr>
          <w:bCs/>
          <w:sz w:val="26"/>
          <w:szCs w:val="26"/>
        </w:rPr>
        <w:t xml:space="preserve"> customers and</w:t>
      </w:r>
      <w:r>
        <w:rPr>
          <w:bCs/>
          <w:sz w:val="26"/>
          <w:szCs w:val="26"/>
        </w:rPr>
        <w:t xml:space="preserve"> </w:t>
      </w:r>
      <w:r w:rsidRPr="001151E5">
        <w:rPr>
          <w:bCs/>
          <w:sz w:val="26"/>
          <w:szCs w:val="26"/>
        </w:rPr>
        <w:t>current Aqua customers informing them of the proposed transaction and the potential rate impact.</w:t>
      </w:r>
    </w:p>
    <w:p w14:paraId="57869B80" w14:textId="77777777" w:rsidR="00950AF2" w:rsidRDefault="00950AF2" w:rsidP="00AA3BD5">
      <w:pPr>
        <w:widowControl/>
        <w:spacing w:line="360" w:lineRule="auto"/>
        <w:contextualSpacing/>
        <w:rPr>
          <w:b/>
          <w:sz w:val="26"/>
          <w:szCs w:val="26"/>
        </w:rPr>
      </w:pPr>
    </w:p>
    <w:p w14:paraId="65C7281D" w14:textId="459525E9" w:rsidR="00D046DE" w:rsidRPr="002826C5" w:rsidRDefault="0024751F" w:rsidP="00AA3BD5">
      <w:pPr>
        <w:pStyle w:val="Heading1"/>
        <w:keepNext/>
        <w:keepLines/>
      </w:pPr>
      <w:bookmarkStart w:id="24" w:name="_Toc90970706"/>
      <w:r>
        <w:t xml:space="preserve">Joint Petition for </w:t>
      </w:r>
      <w:r w:rsidR="009235EB">
        <w:t xml:space="preserve">Partial </w:t>
      </w:r>
      <w:r>
        <w:t>Settlement</w:t>
      </w:r>
      <w:bookmarkEnd w:id="24"/>
    </w:p>
    <w:p w14:paraId="1AC0C99E" w14:textId="77777777" w:rsidR="000F4F11" w:rsidRDefault="000F4F11" w:rsidP="00AA3BD5">
      <w:pPr>
        <w:keepNext/>
        <w:keepLines/>
        <w:widowControl/>
        <w:spacing w:line="360" w:lineRule="auto"/>
        <w:contextualSpacing/>
        <w:rPr>
          <w:b/>
          <w:sz w:val="26"/>
          <w:szCs w:val="26"/>
        </w:rPr>
      </w:pPr>
    </w:p>
    <w:p w14:paraId="0E2C14F3" w14:textId="77777777" w:rsidR="009235EB" w:rsidRPr="006A631A" w:rsidRDefault="009235EB" w:rsidP="00AA3BD5">
      <w:pPr>
        <w:pStyle w:val="Heading2"/>
        <w:numPr>
          <w:ilvl w:val="0"/>
          <w:numId w:val="5"/>
        </w:numPr>
        <w:ind w:hanging="720"/>
      </w:pPr>
      <w:bookmarkStart w:id="25" w:name="_Toc55888187"/>
      <w:bookmarkStart w:id="26" w:name="_Toc90970707"/>
      <w:bookmarkStart w:id="27" w:name="_Hlk54185476"/>
      <w:r w:rsidRPr="006A631A">
        <w:t>Terms and Conditions of the Partial Settlement</w:t>
      </w:r>
      <w:bookmarkEnd w:id="25"/>
      <w:bookmarkEnd w:id="26"/>
    </w:p>
    <w:bookmarkEnd w:id="27"/>
    <w:p w14:paraId="32AAC78C" w14:textId="2A1DF7E9" w:rsidR="0024751F" w:rsidRDefault="0024751F" w:rsidP="00AA3BD5">
      <w:pPr>
        <w:widowControl/>
        <w:spacing w:line="360" w:lineRule="auto"/>
        <w:contextualSpacing/>
        <w:rPr>
          <w:b/>
          <w:sz w:val="26"/>
          <w:szCs w:val="26"/>
        </w:rPr>
      </w:pPr>
    </w:p>
    <w:p w14:paraId="5D58882C" w14:textId="7FA0CD76" w:rsidR="000F4F11" w:rsidRPr="000F4F11" w:rsidRDefault="000F4F11" w:rsidP="00AA3BD5">
      <w:pPr>
        <w:widowControl/>
        <w:spacing w:line="360" w:lineRule="auto"/>
        <w:ind w:firstLine="1440"/>
        <w:rPr>
          <w:bCs/>
          <w:sz w:val="26"/>
          <w:szCs w:val="26"/>
        </w:rPr>
      </w:pPr>
      <w:r w:rsidRPr="000F4F11">
        <w:rPr>
          <w:bCs/>
          <w:sz w:val="26"/>
          <w:szCs w:val="26"/>
        </w:rPr>
        <w:t xml:space="preserve">As previously indicated, the Partial Settlement resolves all but two issues raised in this proceeding, which are reserved for litigation: </w:t>
      </w:r>
      <w:r w:rsidR="00DC2365">
        <w:rPr>
          <w:bCs/>
          <w:sz w:val="26"/>
          <w:szCs w:val="26"/>
        </w:rPr>
        <w:t xml:space="preserve"> </w:t>
      </w:r>
      <w:r w:rsidRPr="000F4F11">
        <w:rPr>
          <w:bCs/>
          <w:sz w:val="26"/>
          <w:szCs w:val="26"/>
        </w:rPr>
        <w:t xml:space="preserve">(1) the determination of ratemaking rate base; and (2) the income tax savings on repairs deductions.  </w:t>
      </w:r>
      <w:bookmarkStart w:id="28" w:name="_Hlk87287703"/>
      <w:r w:rsidRPr="000F4F11">
        <w:rPr>
          <w:bCs/>
          <w:sz w:val="26"/>
          <w:szCs w:val="26"/>
        </w:rPr>
        <w:t xml:space="preserve">The Joint Petition contains the Partial Settlement Terms and Conditions.  The </w:t>
      </w:r>
      <w:bookmarkEnd w:id="28"/>
      <w:r w:rsidRPr="000F4F11">
        <w:rPr>
          <w:bCs/>
          <w:sz w:val="26"/>
          <w:szCs w:val="26"/>
        </w:rPr>
        <w:t xml:space="preserve">Statements in Support of Aqua, I&amp;E, the OCA, the OSBA, and the Township are Attachments A through E, respectively, of the Joint Petition.  Proposed Findings of Fact, Proposed Conclusions of Law, and Proposed Ordering Paragraphs are attached to the Joint Petition as Attachments F through H, respectively.  </w:t>
      </w:r>
    </w:p>
    <w:p w14:paraId="286CE01E" w14:textId="77777777" w:rsidR="000F4F11" w:rsidRPr="000F4F11" w:rsidRDefault="000F4F11" w:rsidP="000F4F11">
      <w:pPr>
        <w:widowControl/>
        <w:spacing w:line="360" w:lineRule="auto"/>
        <w:ind w:firstLine="1440"/>
        <w:rPr>
          <w:bCs/>
          <w:sz w:val="26"/>
          <w:szCs w:val="26"/>
        </w:rPr>
      </w:pPr>
    </w:p>
    <w:p w14:paraId="73DEBA75" w14:textId="77777777" w:rsidR="000F4F11" w:rsidRPr="000F4F11" w:rsidRDefault="000F4F11" w:rsidP="000F4F11">
      <w:pPr>
        <w:widowControl/>
        <w:spacing w:line="360" w:lineRule="auto"/>
        <w:ind w:firstLine="1440"/>
        <w:rPr>
          <w:bCs/>
          <w:sz w:val="26"/>
          <w:szCs w:val="26"/>
        </w:rPr>
      </w:pPr>
      <w:r w:rsidRPr="000F4F11">
        <w:rPr>
          <w:bCs/>
          <w:sz w:val="26"/>
          <w:szCs w:val="26"/>
        </w:rPr>
        <w:t>The essential terms and conditions of the Partial Settlement are set forth in Section II of the Joint Petition, and are shown below in full as they appear in the Joint Petition:</w:t>
      </w:r>
    </w:p>
    <w:p w14:paraId="2FF2AAFB" w14:textId="7B0B7BA6" w:rsidR="00B121E9" w:rsidRDefault="00B121E9" w:rsidP="001636CA">
      <w:pPr>
        <w:widowControl/>
        <w:spacing w:line="360" w:lineRule="auto"/>
        <w:ind w:firstLine="1440"/>
        <w:rPr>
          <w:sz w:val="26"/>
          <w:szCs w:val="26"/>
        </w:rPr>
      </w:pPr>
    </w:p>
    <w:p w14:paraId="0FB11EF5" w14:textId="77777777" w:rsidR="00C62B40" w:rsidRPr="00C62B40" w:rsidRDefault="00C62B40" w:rsidP="00AA3BD5">
      <w:pPr>
        <w:keepNext/>
        <w:widowControl/>
        <w:ind w:left="1440" w:right="1440"/>
        <w:rPr>
          <w:rFonts w:eastAsiaTheme="minorHAnsi"/>
          <w:b/>
          <w:bCs/>
          <w:sz w:val="26"/>
          <w:szCs w:val="26"/>
        </w:rPr>
      </w:pPr>
      <w:r w:rsidRPr="00C62B40">
        <w:rPr>
          <w:rFonts w:eastAsiaTheme="minorHAnsi"/>
          <w:b/>
          <w:bCs/>
          <w:sz w:val="26"/>
          <w:szCs w:val="26"/>
        </w:rPr>
        <w:t>A.</w:t>
      </w:r>
      <w:r w:rsidRPr="00C62B40">
        <w:rPr>
          <w:rFonts w:eastAsiaTheme="minorHAnsi"/>
          <w:b/>
          <w:bCs/>
          <w:sz w:val="26"/>
          <w:szCs w:val="26"/>
        </w:rPr>
        <w:tab/>
        <w:t xml:space="preserve">Approval of Application and Acquisition </w:t>
      </w:r>
    </w:p>
    <w:p w14:paraId="18FD4864" w14:textId="77777777" w:rsidR="00C62B40" w:rsidRPr="00C62B40" w:rsidRDefault="00C62B40" w:rsidP="00AA3BD5">
      <w:pPr>
        <w:keepNext/>
        <w:widowControl/>
        <w:ind w:right="1440"/>
        <w:rPr>
          <w:rFonts w:eastAsiaTheme="minorHAnsi"/>
          <w:bCs/>
          <w:sz w:val="26"/>
          <w:szCs w:val="26"/>
        </w:rPr>
      </w:pPr>
    </w:p>
    <w:p w14:paraId="47CEDE53" w14:textId="77777777" w:rsidR="00C62B40" w:rsidRPr="00C62B40" w:rsidRDefault="00C62B40" w:rsidP="00AA3BD5">
      <w:pPr>
        <w:keepNext/>
        <w:keepLines/>
        <w:widowControl/>
        <w:ind w:left="2160" w:right="1440" w:hanging="720"/>
        <w:contextualSpacing/>
        <w:rPr>
          <w:rFonts w:eastAsiaTheme="minorHAnsi"/>
          <w:bCs/>
          <w:sz w:val="26"/>
          <w:szCs w:val="26"/>
        </w:rPr>
      </w:pPr>
      <w:r w:rsidRPr="00C62B40">
        <w:rPr>
          <w:rFonts w:eastAsiaTheme="minorHAnsi"/>
          <w:bCs/>
          <w:sz w:val="26"/>
          <w:szCs w:val="26"/>
        </w:rPr>
        <w:t>(1)</w:t>
      </w:r>
      <w:r w:rsidRPr="00C62B40">
        <w:rPr>
          <w:rFonts w:eastAsiaTheme="minorHAnsi"/>
          <w:bCs/>
          <w:sz w:val="26"/>
          <w:szCs w:val="26"/>
        </w:rPr>
        <w:tab/>
        <w:t xml:space="preserve">The Commission should approve Aqua’s acquisition of Lower Makefield Township wastewater collection system assets and Aqua’s right to begin to offer, render, furnish, or supply wastewater service in the areas served by Lower Makefield.  </w:t>
      </w:r>
    </w:p>
    <w:p w14:paraId="6633E041" w14:textId="77777777" w:rsidR="00C62B40" w:rsidRPr="00C62B40" w:rsidRDefault="00C62B40" w:rsidP="00AA3BD5">
      <w:pPr>
        <w:widowControl/>
        <w:ind w:left="1440" w:right="1440"/>
        <w:rPr>
          <w:rFonts w:eastAsiaTheme="minorHAnsi"/>
          <w:bCs/>
          <w:sz w:val="26"/>
          <w:szCs w:val="26"/>
        </w:rPr>
      </w:pPr>
      <w:r w:rsidRPr="00C62B40">
        <w:rPr>
          <w:rFonts w:eastAsiaTheme="minorHAnsi"/>
          <w:bCs/>
          <w:sz w:val="26"/>
          <w:szCs w:val="26"/>
        </w:rPr>
        <w:t xml:space="preserve"> </w:t>
      </w:r>
    </w:p>
    <w:p w14:paraId="6F2F101A" w14:textId="68B73D5E" w:rsidR="00C62B40" w:rsidRPr="00C62B40" w:rsidRDefault="00C62B40" w:rsidP="00AA3BD5">
      <w:pPr>
        <w:keepNext/>
        <w:keepLines/>
        <w:widowControl/>
        <w:ind w:left="2160" w:right="1440" w:hanging="720"/>
        <w:contextualSpacing/>
        <w:rPr>
          <w:rFonts w:eastAsiaTheme="minorHAnsi"/>
          <w:bCs/>
          <w:sz w:val="26"/>
          <w:szCs w:val="26"/>
        </w:rPr>
      </w:pPr>
      <w:r w:rsidRPr="00C62B40">
        <w:rPr>
          <w:rFonts w:eastAsiaTheme="minorHAnsi"/>
          <w:bCs/>
          <w:sz w:val="26"/>
          <w:szCs w:val="26"/>
        </w:rPr>
        <w:t>(2)</w:t>
      </w:r>
      <w:r w:rsidRPr="00C62B40">
        <w:rPr>
          <w:rFonts w:eastAsiaTheme="minorHAnsi"/>
          <w:bCs/>
          <w:sz w:val="26"/>
          <w:szCs w:val="26"/>
        </w:rPr>
        <w:tab/>
        <w:t>The Commission shall issue any necessary approvals or certificates for the transaction pursuant to 66</w:t>
      </w:r>
      <w:r w:rsidR="00AA3BD5">
        <w:rPr>
          <w:rFonts w:eastAsiaTheme="minorHAnsi"/>
          <w:bCs/>
          <w:sz w:val="26"/>
          <w:szCs w:val="26"/>
        </w:rPr>
        <w:t> </w:t>
      </w:r>
      <w:r w:rsidRPr="00C62B40">
        <w:rPr>
          <w:rFonts w:eastAsiaTheme="minorHAnsi"/>
          <w:bCs/>
          <w:sz w:val="26"/>
          <w:szCs w:val="26"/>
        </w:rPr>
        <w:t>Pa.</w:t>
      </w:r>
      <w:r w:rsidR="00AA3BD5">
        <w:rPr>
          <w:rFonts w:eastAsiaTheme="minorHAnsi"/>
          <w:bCs/>
          <w:sz w:val="26"/>
          <w:szCs w:val="26"/>
        </w:rPr>
        <w:t> </w:t>
      </w:r>
      <w:r w:rsidRPr="00C62B40">
        <w:rPr>
          <w:rFonts w:eastAsiaTheme="minorHAnsi"/>
          <w:bCs/>
          <w:sz w:val="26"/>
          <w:szCs w:val="26"/>
        </w:rPr>
        <w:t>C.S. Section 507.</w:t>
      </w:r>
      <w:r w:rsidRPr="00C62B40">
        <w:rPr>
          <w:rFonts w:eastAsiaTheme="minorHAnsi"/>
          <w:bCs/>
          <w:sz w:val="26"/>
          <w:szCs w:val="26"/>
          <w:vertAlign w:val="superscript"/>
        </w:rPr>
        <w:footnoteReference w:id="11"/>
      </w:r>
      <w:r w:rsidRPr="00C62B40">
        <w:rPr>
          <w:rFonts w:eastAsiaTheme="minorHAnsi"/>
          <w:bCs/>
          <w:sz w:val="26"/>
          <w:szCs w:val="26"/>
        </w:rPr>
        <w:t xml:space="preserve"> </w:t>
      </w:r>
    </w:p>
    <w:p w14:paraId="7B89A443" w14:textId="77777777" w:rsidR="00C62B40" w:rsidRPr="00C62B40" w:rsidRDefault="00C62B40" w:rsidP="00AA3BD5">
      <w:pPr>
        <w:widowControl/>
        <w:ind w:right="1440"/>
        <w:rPr>
          <w:rFonts w:eastAsiaTheme="minorHAnsi"/>
          <w:bCs/>
          <w:sz w:val="26"/>
          <w:szCs w:val="26"/>
        </w:rPr>
      </w:pPr>
    </w:p>
    <w:p w14:paraId="6A6F910E" w14:textId="77777777" w:rsidR="00C62B40" w:rsidRPr="00C62B40" w:rsidRDefault="00C62B40" w:rsidP="00AA3BD5">
      <w:pPr>
        <w:keepNext/>
        <w:keepLines/>
        <w:widowControl/>
        <w:ind w:left="1440" w:right="1440"/>
        <w:rPr>
          <w:rFonts w:eastAsiaTheme="minorHAnsi"/>
          <w:b/>
          <w:bCs/>
          <w:sz w:val="26"/>
          <w:szCs w:val="26"/>
        </w:rPr>
      </w:pPr>
      <w:bookmarkStart w:id="29" w:name="_Hlk87283238"/>
      <w:r w:rsidRPr="00C62B40">
        <w:rPr>
          <w:rFonts w:eastAsiaTheme="minorHAnsi"/>
          <w:b/>
          <w:bCs/>
          <w:sz w:val="26"/>
          <w:szCs w:val="26"/>
        </w:rPr>
        <w:t>B.</w:t>
      </w:r>
      <w:r w:rsidRPr="00C62B40">
        <w:rPr>
          <w:rFonts w:eastAsiaTheme="minorHAnsi"/>
          <w:b/>
          <w:bCs/>
          <w:sz w:val="26"/>
          <w:szCs w:val="26"/>
        </w:rPr>
        <w:tab/>
        <w:t>Tariff</w:t>
      </w:r>
    </w:p>
    <w:p w14:paraId="551CA385" w14:textId="77777777" w:rsidR="00C62B40" w:rsidRPr="00C62B40" w:rsidRDefault="00C62B40" w:rsidP="00AA3BD5">
      <w:pPr>
        <w:keepNext/>
        <w:keepLines/>
        <w:widowControl/>
        <w:ind w:right="1440"/>
        <w:rPr>
          <w:rFonts w:eastAsiaTheme="minorHAnsi"/>
          <w:bCs/>
          <w:sz w:val="26"/>
          <w:szCs w:val="26"/>
        </w:rPr>
      </w:pPr>
    </w:p>
    <w:bookmarkEnd w:id="29"/>
    <w:p w14:paraId="46BA1290" w14:textId="77777777" w:rsidR="00C62B40" w:rsidRPr="00C62B40" w:rsidRDefault="00C62B40" w:rsidP="00AA3BD5">
      <w:pPr>
        <w:keepNext/>
        <w:keepLines/>
        <w:widowControl/>
        <w:ind w:left="1440" w:right="1440"/>
        <w:contextualSpacing/>
        <w:rPr>
          <w:rFonts w:eastAsiaTheme="minorHAnsi"/>
          <w:bCs/>
          <w:sz w:val="26"/>
          <w:szCs w:val="26"/>
        </w:rPr>
      </w:pPr>
      <w:r w:rsidRPr="00C62B40">
        <w:rPr>
          <w:rFonts w:eastAsiaTheme="minorHAnsi"/>
          <w:bCs/>
          <w:sz w:val="26"/>
          <w:szCs w:val="26"/>
        </w:rPr>
        <w:t xml:space="preserve">The pro forma tariff submitted with the Application, as updated in Aqua’s supplemental information filed by letter dated June 21, 2021, including all rates, </w:t>
      </w:r>
      <w:proofErr w:type="gramStart"/>
      <w:r w:rsidRPr="00C62B40">
        <w:rPr>
          <w:rFonts w:eastAsiaTheme="minorHAnsi"/>
          <w:bCs/>
          <w:sz w:val="26"/>
          <w:szCs w:val="26"/>
        </w:rPr>
        <w:t>rules</w:t>
      </w:r>
      <w:proofErr w:type="gramEnd"/>
      <w:r w:rsidRPr="00C62B40">
        <w:rPr>
          <w:rFonts w:eastAsiaTheme="minorHAnsi"/>
          <w:bCs/>
          <w:sz w:val="26"/>
          <w:szCs w:val="26"/>
        </w:rPr>
        <w:t xml:space="preserve"> and regulations regarding conditions of Aqua’s wastewater service, shall be permitted to become effective immediately upon closing of the transaction.</w:t>
      </w:r>
    </w:p>
    <w:p w14:paraId="6B66F1B5" w14:textId="77777777" w:rsidR="00C62B40" w:rsidRPr="00C62B40" w:rsidRDefault="00C62B40" w:rsidP="00AA3BD5">
      <w:pPr>
        <w:widowControl/>
        <w:ind w:right="1440"/>
        <w:rPr>
          <w:rFonts w:eastAsiaTheme="minorHAnsi"/>
          <w:b/>
          <w:bCs/>
          <w:sz w:val="26"/>
          <w:szCs w:val="26"/>
        </w:rPr>
      </w:pPr>
    </w:p>
    <w:p w14:paraId="67538CF6" w14:textId="77777777" w:rsidR="00C62B40" w:rsidRPr="00C62B40" w:rsidRDefault="00C62B40" w:rsidP="00AA3BD5">
      <w:pPr>
        <w:keepNext/>
        <w:widowControl/>
        <w:ind w:left="1440" w:right="1440"/>
        <w:rPr>
          <w:rFonts w:eastAsiaTheme="minorHAnsi"/>
          <w:b/>
          <w:bCs/>
          <w:sz w:val="26"/>
          <w:szCs w:val="26"/>
        </w:rPr>
      </w:pPr>
      <w:r w:rsidRPr="00C62B40">
        <w:rPr>
          <w:rFonts w:eastAsiaTheme="minorHAnsi"/>
          <w:b/>
          <w:bCs/>
          <w:sz w:val="26"/>
          <w:szCs w:val="26"/>
        </w:rPr>
        <w:t>C.</w:t>
      </w:r>
      <w:r w:rsidRPr="00C62B40">
        <w:rPr>
          <w:rFonts w:eastAsiaTheme="minorHAnsi"/>
          <w:b/>
          <w:bCs/>
          <w:sz w:val="26"/>
          <w:szCs w:val="26"/>
        </w:rPr>
        <w:tab/>
        <w:t>Engineering Assessment</w:t>
      </w:r>
    </w:p>
    <w:p w14:paraId="0B539BE7" w14:textId="77777777" w:rsidR="00C62B40" w:rsidRPr="00C62B40" w:rsidRDefault="00C62B40" w:rsidP="00AA3BD5">
      <w:pPr>
        <w:keepNext/>
        <w:widowControl/>
        <w:ind w:left="720" w:right="1440"/>
        <w:rPr>
          <w:rFonts w:eastAsiaTheme="minorHAnsi"/>
          <w:b/>
          <w:bCs/>
          <w:sz w:val="26"/>
          <w:szCs w:val="26"/>
        </w:rPr>
      </w:pPr>
    </w:p>
    <w:p w14:paraId="21909AED" w14:textId="77777777" w:rsidR="00C62B40" w:rsidRPr="00C62B40" w:rsidRDefault="00C62B40" w:rsidP="00AA3BD5">
      <w:pPr>
        <w:keepNext/>
        <w:keepLines/>
        <w:widowControl/>
        <w:ind w:left="1440" w:right="1440"/>
        <w:contextualSpacing/>
        <w:rPr>
          <w:rFonts w:eastAsiaTheme="minorHAnsi"/>
          <w:bCs/>
          <w:sz w:val="26"/>
          <w:szCs w:val="26"/>
        </w:rPr>
      </w:pPr>
      <w:r w:rsidRPr="00C62B40">
        <w:rPr>
          <w:rFonts w:eastAsiaTheme="minorHAnsi"/>
          <w:bCs/>
          <w:sz w:val="26"/>
          <w:szCs w:val="26"/>
        </w:rPr>
        <w:t xml:space="preserve">On a going forward basis, Aqua will require engineering firms conducting Section 1329 assessments to present, as part of the engineering assessment, a detailed Engineer’s Assessment Study containing the seller’s utility assets description of the condition of inventory and assets.  The designation of condition shall be limited to those assets that can be observed and whether the categories of system assets appraised are in poor, fair, </w:t>
      </w:r>
      <w:proofErr w:type="gramStart"/>
      <w:r w:rsidRPr="00C62B40">
        <w:rPr>
          <w:rFonts w:eastAsiaTheme="minorHAnsi"/>
          <w:bCs/>
          <w:sz w:val="26"/>
          <w:szCs w:val="26"/>
        </w:rPr>
        <w:t>good</w:t>
      </w:r>
      <w:proofErr w:type="gramEnd"/>
      <w:r w:rsidRPr="00C62B40">
        <w:rPr>
          <w:rFonts w:eastAsiaTheme="minorHAnsi"/>
          <w:bCs/>
          <w:sz w:val="26"/>
          <w:szCs w:val="26"/>
        </w:rPr>
        <w:t xml:space="preserve"> or very good condition.</w:t>
      </w:r>
    </w:p>
    <w:p w14:paraId="43943DCE" w14:textId="77777777" w:rsidR="00C62B40" w:rsidRPr="00C62B40" w:rsidRDefault="00C62B40" w:rsidP="00C62B40">
      <w:pPr>
        <w:widowControl/>
        <w:ind w:right="1440"/>
        <w:rPr>
          <w:rFonts w:eastAsiaTheme="minorHAnsi"/>
          <w:b/>
          <w:bCs/>
          <w:sz w:val="26"/>
          <w:szCs w:val="26"/>
        </w:rPr>
      </w:pPr>
    </w:p>
    <w:p w14:paraId="2913DB28" w14:textId="77777777" w:rsidR="00C62B40" w:rsidRPr="00C62B40" w:rsidRDefault="00C62B40" w:rsidP="00C62B40">
      <w:pPr>
        <w:keepNext/>
        <w:widowControl/>
        <w:ind w:left="1440" w:right="1440"/>
        <w:rPr>
          <w:rFonts w:eastAsiaTheme="minorHAnsi"/>
          <w:b/>
          <w:bCs/>
          <w:sz w:val="26"/>
          <w:szCs w:val="26"/>
        </w:rPr>
      </w:pPr>
      <w:r w:rsidRPr="00C62B40">
        <w:rPr>
          <w:rFonts w:eastAsiaTheme="minorHAnsi"/>
          <w:b/>
          <w:bCs/>
          <w:sz w:val="26"/>
          <w:szCs w:val="26"/>
        </w:rPr>
        <w:t>D.</w:t>
      </w:r>
      <w:r w:rsidRPr="00C62B40">
        <w:rPr>
          <w:rFonts w:eastAsiaTheme="minorHAnsi"/>
          <w:b/>
          <w:bCs/>
          <w:sz w:val="26"/>
          <w:szCs w:val="26"/>
        </w:rPr>
        <w:tab/>
        <w:t>Easements and Other Property Rights</w:t>
      </w:r>
    </w:p>
    <w:p w14:paraId="79CB66C5" w14:textId="77777777" w:rsidR="00C62B40" w:rsidRPr="00C62B40" w:rsidRDefault="00C62B40" w:rsidP="00C62B40">
      <w:pPr>
        <w:keepNext/>
        <w:widowControl/>
        <w:ind w:left="720" w:right="1440"/>
        <w:rPr>
          <w:rFonts w:eastAsiaTheme="minorHAnsi"/>
          <w:b/>
          <w:bCs/>
          <w:sz w:val="26"/>
          <w:szCs w:val="26"/>
        </w:rPr>
      </w:pPr>
    </w:p>
    <w:p w14:paraId="0B327A39" w14:textId="77777777" w:rsidR="00C62B40" w:rsidRPr="00C62B40" w:rsidRDefault="00C62B40" w:rsidP="00C62B40">
      <w:pPr>
        <w:keepNext/>
        <w:keepLines/>
        <w:widowControl/>
        <w:ind w:left="1440" w:right="1440"/>
        <w:contextualSpacing/>
        <w:rPr>
          <w:rFonts w:eastAsiaTheme="minorHAnsi"/>
          <w:sz w:val="26"/>
          <w:szCs w:val="26"/>
        </w:rPr>
      </w:pPr>
      <w:r w:rsidRPr="00C62B40">
        <w:rPr>
          <w:rFonts w:eastAsiaTheme="minorHAnsi"/>
          <w:sz w:val="26"/>
          <w:szCs w:val="26"/>
        </w:rPr>
        <w:t xml:space="preserve">Aqua and Lower Makefield will work to ensure the transfer of all real property rights including easements and missing easements as defined in the Asset Purchase Agreement (“APA”) by Closing.  However, Aqua shall be permitted in its discretion to close without the transfer of </w:t>
      </w:r>
      <w:proofErr w:type="gramStart"/>
      <w:r w:rsidRPr="00C62B40">
        <w:rPr>
          <w:rFonts w:eastAsiaTheme="minorHAnsi"/>
          <w:sz w:val="26"/>
          <w:szCs w:val="26"/>
        </w:rPr>
        <w:t>all of</w:t>
      </w:r>
      <w:proofErr w:type="gramEnd"/>
      <w:r w:rsidRPr="00C62B40">
        <w:rPr>
          <w:rFonts w:eastAsiaTheme="minorHAnsi"/>
          <w:sz w:val="26"/>
          <w:szCs w:val="26"/>
        </w:rPr>
        <w:t xml:space="preserve"> the Real Property Rights, provided that an escrow is established from the Purchase Price to be used to obtain any post-Closing transfers of the Real Property Rights.  Aqua will provide an update to I&amp;E, OCA, and OSBA approximately 30 days in advance of the anticipated Closing Date and a final update before Closing regarding the status of the transfer of real property rights including easements related to the system.</w:t>
      </w:r>
    </w:p>
    <w:p w14:paraId="2A878A7D" w14:textId="77777777" w:rsidR="00C62B40" w:rsidRPr="00C62B40" w:rsidRDefault="00C62B40" w:rsidP="00C62B40">
      <w:pPr>
        <w:widowControl/>
        <w:ind w:left="720" w:right="1440"/>
        <w:rPr>
          <w:rFonts w:eastAsiaTheme="minorHAnsi"/>
          <w:b/>
          <w:bCs/>
          <w:sz w:val="26"/>
          <w:szCs w:val="26"/>
        </w:rPr>
      </w:pPr>
    </w:p>
    <w:p w14:paraId="2CD8B694" w14:textId="77777777" w:rsidR="00C62B40" w:rsidRPr="00C62B40" w:rsidRDefault="00C62B40" w:rsidP="00AA3BD5">
      <w:pPr>
        <w:keepNext/>
        <w:widowControl/>
        <w:ind w:left="1440" w:right="1440"/>
        <w:rPr>
          <w:rFonts w:eastAsiaTheme="minorHAnsi"/>
          <w:b/>
          <w:bCs/>
          <w:sz w:val="26"/>
          <w:szCs w:val="26"/>
        </w:rPr>
      </w:pPr>
      <w:r w:rsidRPr="00C62B40">
        <w:rPr>
          <w:rFonts w:eastAsiaTheme="minorHAnsi"/>
          <w:b/>
          <w:bCs/>
          <w:sz w:val="26"/>
          <w:szCs w:val="26"/>
        </w:rPr>
        <w:t>E.</w:t>
      </w:r>
      <w:r w:rsidRPr="00C62B40">
        <w:rPr>
          <w:rFonts w:eastAsiaTheme="minorHAnsi"/>
          <w:b/>
          <w:bCs/>
          <w:sz w:val="26"/>
          <w:szCs w:val="26"/>
        </w:rPr>
        <w:tab/>
        <w:t>Cost of Service Study</w:t>
      </w:r>
    </w:p>
    <w:p w14:paraId="10E10517" w14:textId="77777777" w:rsidR="00C62B40" w:rsidRPr="001C30D9" w:rsidRDefault="00C62B40" w:rsidP="00AA3BD5">
      <w:pPr>
        <w:keepNext/>
        <w:widowControl/>
        <w:ind w:left="720" w:right="1440"/>
        <w:rPr>
          <w:rFonts w:eastAsiaTheme="minorHAnsi"/>
          <w:b/>
          <w:bCs/>
          <w:sz w:val="26"/>
          <w:szCs w:val="26"/>
        </w:rPr>
      </w:pPr>
    </w:p>
    <w:p w14:paraId="238CF51C" w14:textId="77777777" w:rsidR="00C62B40" w:rsidRPr="001C30D9" w:rsidRDefault="00C62B40" w:rsidP="00AA3BD5">
      <w:pPr>
        <w:keepNext/>
        <w:keepLines/>
        <w:widowControl/>
        <w:numPr>
          <w:ilvl w:val="0"/>
          <w:numId w:val="13"/>
        </w:numPr>
        <w:ind w:left="2160" w:right="1440" w:hanging="720"/>
        <w:contextualSpacing/>
        <w:rPr>
          <w:rFonts w:eastAsiaTheme="minorHAnsi"/>
          <w:sz w:val="26"/>
          <w:szCs w:val="26"/>
        </w:rPr>
      </w:pPr>
      <w:r w:rsidRPr="001C30D9">
        <w:rPr>
          <w:rFonts w:eastAsiaTheme="minorHAnsi"/>
          <w:sz w:val="26"/>
          <w:szCs w:val="26"/>
        </w:rPr>
        <w:t>In the first base rate case that includes Lower Makefield wastewater system assets, Aqua will submit a wastewater cost of service study that removes all costs and revenues associated with the operation of the Lower Makefield system.</w:t>
      </w:r>
    </w:p>
    <w:p w14:paraId="71A3FE06" w14:textId="77777777" w:rsidR="00C62B40" w:rsidRPr="001C30D9" w:rsidRDefault="00C62B40" w:rsidP="00AA3BD5">
      <w:pPr>
        <w:widowControl/>
        <w:ind w:left="720" w:right="1440"/>
        <w:rPr>
          <w:rFonts w:eastAsiaTheme="minorHAnsi"/>
          <w:b/>
          <w:bCs/>
          <w:sz w:val="26"/>
          <w:szCs w:val="26"/>
        </w:rPr>
      </w:pPr>
    </w:p>
    <w:p w14:paraId="3B5517A1" w14:textId="77777777" w:rsidR="00C62B40" w:rsidRPr="001C30D9" w:rsidRDefault="00C62B40" w:rsidP="00AA3BD5">
      <w:pPr>
        <w:keepNext/>
        <w:keepLines/>
        <w:widowControl/>
        <w:numPr>
          <w:ilvl w:val="0"/>
          <w:numId w:val="13"/>
        </w:numPr>
        <w:ind w:left="2160" w:right="1440" w:hanging="720"/>
        <w:contextualSpacing/>
        <w:rPr>
          <w:rFonts w:eastAsiaTheme="minorHAnsi"/>
          <w:sz w:val="26"/>
          <w:szCs w:val="26"/>
        </w:rPr>
      </w:pPr>
      <w:r w:rsidRPr="001C30D9">
        <w:rPr>
          <w:rFonts w:eastAsiaTheme="minorHAnsi"/>
          <w:sz w:val="26"/>
          <w:szCs w:val="26"/>
        </w:rPr>
        <w:t>In the first base rate case that includes Lower Makefield wastewater system assets, Aqua will also provide a separate cost of service study for the Lower Makefield system.  Aqua will file a Cost of Service Study separately for the Lower Makefield system consistent with typically filed rate making exhibits including, but not limited to the following: Rate Base (Measures of Value), Statement of Operating Income, and Rate of Return, which correspond to the applicable test year, future test year, and fully projected future test year measurement periods.</w:t>
      </w:r>
    </w:p>
    <w:p w14:paraId="4A78413F" w14:textId="77777777" w:rsidR="00C62B40" w:rsidRPr="001C30D9" w:rsidRDefault="00C62B40" w:rsidP="00AA3BD5">
      <w:pPr>
        <w:widowControl/>
        <w:ind w:right="1440"/>
        <w:rPr>
          <w:rFonts w:eastAsiaTheme="minorHAnsi"/>
          <w:b/>
          <w:bCs/>
          <w:sz w:val="26"/>
          <w:szCs w:val="26"/>
        </w:rPr>
      </w:pPr>
    </w:p>
    <w:p w14:paraId="026BEBDA" w14:textId="77777777" w:rsidR="00C62B40" w:rsidRPr="001C30D9" w:rsidRDefault="00C62B40" w:rsidP="00AA3BD5">
      <w:pPr>
        <w:keepNext/>
        <w:keepLines/>
        <w:widowControl/>
        <w:ind w:left="2160" w:right="1440" w:hanging="720"/>
        <w:rPr>
          <w:rFonts w:eastAsiaTheme="minorHAnsi"/>
          <w:b/>
          <w:bCs/>
          <w:sz w:val="26"/>
          <w:szCs w:val="26"/>
        </w:rPr>
      </w:pPr>
      <w:r w:rsidRPr="001C30D9">
        <w:rPr>
          <w:rFonts w:eastAsiaTheme="minorHAnsi"/>
          <w:b/>
          <w:bCs/>
          <w:sz w:val="26"/>
          <w:szCs w:val="26"/>
        </w:rPr>
        <w:t>F.</w:t>
      </w:r>
      <w:r w:rsidRPr="001C30D9">
        <w:rPr>
          <w:rFonts w:eastAsiaTheme="minorHAnsi"/>
          <w:b/>
          <w:bCs/>
          <w:sz w:val="26"/>
          <w:szCs w:val="26"/>
        </w:rPr>
        <w:tab/>
        <w:t>Allowance for Funds Used During Construction (“AFUDC”), Deferral of Depreciation and Transaction Costs</w:t>
      </w:r>
    </w:p>
    <w:p w14:paraId="0143B522" w14:textId="77777777" w:rsidR="00C62B40" w:rsidRPr="001C30D9" w:rsidRDefault="00C62B40" w:rsidP="00AA3BD5">
      <w:pPr>
        <w:widowControl/>
        <w:ind w:left="720" w:right="1440"/>
        <w:rPr>
          <w:rFonts w:eastAsiaTheme="minorHAnsi"/>
          <w:b/>
          <w:bCs/>
          <w:sz w:val="26"/>
          <w:szCs w:val="26"/>
        </w:rPr>
      </w:pPr>
    </w:p>
    <w:p w14:paraId="1D888FE7" w14:textId="77777777" w:rsidR="00C62B40" w:rsidRPr="001C30D9" w:rsidRDefault="00C62B40" w:rsidP="00AA3BD5">
      <w:pPr>
        <w:widowControl/>
        <w:numPr>
          <w:ilvl w:val="0"/>
          <w:numId w:val="14"/>
        </w:numPr>
        <w:ind w:left="2160" w:right="1440" w:hanging="720"/>
        <w:contextualSpacing/>
        <w:rPr>
          <w:rFonts w:eastAsiaTheme="minorHAnsi"/>
          <w:sz w:val="26"/>
          <w:szCs w:val="26"/>
        </w:rPr>
      </w:pPr>
      <w:r w:rsidRPr="001C30D9">
        <w:rPr>
          <w:rFonts w:eastAsiaTheme="minorHAnsi"/>
          <w:sz w:val="26"/>
          <w:szCs w:val="26"/>
        </w:rPr>
        <w:t>Any claims for AFUDC and deferred depreciation related to post-acquisition improvements not recovered through the Distribution System Improvement Charge (“DSIC”) for book and ratemaking purposes, will be addressed in Aqua’s first base rate case which includes Lower Makefield wastewater system assets.</w:t>
      </w:r>
    </w:p>
    <w:p w14:paraId="1B056463" w14:textId="77777777" w:rsidR="00C62B40" w:rsidRPr="001C30D9" w:rsidRDefault="00C62B40" w:rsidP="001C30D9">
      <w:pPr>
        <w:widowControl/>
        <w:ind w:left="2160" w:right="1440"/>
        <w:contextualSpacing/>
        <w:rPr>
          <w:rFonts w:eastAsiaTheme="minorHAnsi"/>
          <w:sz w:val="26"/>
          <w:szCs w:val="26"/>
        </w:rPr>
      </w:pPr>
    </w:p>
    <w:p w14:paraId="38E8D7A2" w14:textId="77777777" w:rsidR="00C62B40" w:rsidRPr="001C30D9" w:rsidRDefault="00C62B40" w:rsidP="001C30D9">
      <w:pPr>
        <w:widowControl/>
        <w:numPr>
          <w:ilvl w:val="0"/>
          <w:numId w:val="14"/>
        </w:numPr>
        <w:ind w:left="2160" w:right="1440" w:hanging="720"/>
        <w:contextualSpacing/>
        <w:rPr>
          <w:rFonts w:eastAsiaTheme="minorHAnsi"/>
          <w:sz w:val="26"/>
          <w:szCs w:val="26"/>
        </w:rPr>
      </w:pPr>
      <w:r w:rsidRPr="001C30D9">
        <w:rPr>
          <w:rFonts w:eastAsiaTheme="minorHAnsi"/>
          <w:sz w:val="26"/>
          <w:szCs w:val="26"/>
        </w:rPr>
        <w:t>Regarding future claims for AFUDC, deferral of depreciation, and transaction costs related to this acquisition, Joint Petitioners reserve the right to litigate their positions fully in future rate cases when these issues are ripe for review.  The parties’ assent to this agreement should not be construed to operate as its preapproval of Aqua’s requests.</w:t>
      </w:r>
    </w:p>
    <w:p w14:paraId="57A543BF" w14:textId="77777777" w:rsidR="00C62B40" w:rsidRPr="001C30D9" w:rsidRDefault="00C62B40" w:rsidP="001C30D9">
      <w:pPr>
        <w:widowControl/>
        <w:ind w:left="720" w:right="1440"/>
        <w:rPr>
          <w:rFonts w:eastAsiaTheme="minorHAnsi"/>
          <w:b/>
          <w:bCs/>
          <w:sz w:val="26"/>
          <w:szCs w:val="26"/>
        </w:rPr>
      </w:pPr>
    </w:p>
    <w:p w14:paraId="7A24C91B" w14:textId="77777777" w:rsidR="00C62B40" w:rsidRPr="001C30D9" w:rsidRDefault="00C62B40" w:rsidP="00AA3BD5">
      <w:pPr>
        <w:keepNext/>
        <w:keepLines/>
        <w:widowControl/>
        <w:ind w:left="2160" w:right="1440" w:hanging="720"/>
        <w:rPr>
          <w:rFonts w:eastAsiaTheme="minorHAnsi"/>
          <w:b/>
          <w:bCs/>
          <w:sz w:val="26"/>
          <w:szCs w:val="26"/>
        </w:rPr>
      </w:pPr>
      <w:r w:rsidRPr="001C30D9">
        <w:rPr>
          <w:rFonts w:eastAsiaTheme="minorHAnsi"/>
          <w:b/>
          <w:bCs/>
          <w:sz w:val="26"/>
          <w:szCs w:val="26"/>
        </w:rPr>
        <w:t>G.</w:t>
      </w:r>
      <w:r w:rsidRPr="001C30D9">
        <w:rPr>
          <w:rFonts w:eastAsiaTheme="minorHAnsi"/>
          <w:b/>
          <w:bCs/>
          <w:sz w:val="26"/>
          <w:szCs w:val="26"/>
        </w:rPr>
        <w:tab/>
        <w:t>Long Term Infrastructure Improvement Plan (“LTIIP”) and Distribution System Improvement Charge</w:t>
      </w:r>
    </w:p>
    <w:p w14:paraId="7043FF07" w14:textId="77777777" w:rsidR="00C62B40" w:rsidRPr="001C30D9" w:rsidRDefault="00C62B40" w:rsidP="00AA3BD5">
      <w:pPr>
        <w:keepNext/>
        <w:keepLines/>
        <w:widowControl/>
        <w:ind w:left="720" w:right="1440"/>
        <w:rPr>
          <w:rFonts w:eastAsiaTheme="minorHAnsi"/>
          <w:b/>
          <w:bCs/>
          <w:sz w:val="26"/>
          <w:szCs w:val="26"/>
        </w:rPr>
      </w:pPr>
    </w:p>
    <w:p w14:paraId="7B9B90DF" w14:textId="77777777" w:rsidR="00C62B40" w:rsidRPr="001C30D9" w:rsidRDefault="00C62B40" w:rsidP="00AA3BD5">
      <w:pPr>
        <w:keepNext/>
        <w:keepLines/>
        <w:widowControl/>
        <w:numPr>
          <w:ilvl w:val="0"/>
          <w:numId w:val="15"/>
        </w:numPr>
        <w:ind w:left="2160" w:right="1440" w:hanging="720"/>
        <w:contextualSpacing/>
        <w:rPr>
          <w:rFonts w:eastAsiaTheme="minorHAnsi"/>
          <w:sz w:val="26"/>
          <w:szCs w:val="26"/>
        </w:rPr>
      </w:pPr>
      <w:bookmarkStart w:id="30" w:name="_Hlk89353698"/>
      <w:r w:rsidRPr="001C30D9">
        <w:rPr>
          <w:rFonts w:eastAsiaTheme="minorHAnsi"/>
          <w:sz w:val="26"/>
          <w:szCs w:val="26"/>
        </w:rPr>
        <w:t>If Aqua proposes to modify its LTIIP to include the Lower Makefield wastewater system, the projects added for Lower Makefield will be in addition to those that Aqua plans for its existing systems.</w:t>
      </w:r>
    </w:p>
    <w:p w14:paraId="1A11B96B" w14:textId="77777777" w:rsidR="00C62B40" w:rsidRPr="001C30D9" w:rsidRDefault="00C62B40" w:rsidP="001C30D9">
      <w:pPr>
        <w:widowControl/>
        <w:ind w:left="1440" w:right="1440"/>
        <w:contextualSpacing/>
        <w:rPr>
          <w:rFonts w:eastAsiaTheme="minorHAnsi"/>
          <w:sz w:val="26"/>
          <w:szCs w:val="26"/>
        </w:rPr>
      </w:pPr>
    </w:p>
    <w:p w14:paraId="350301D5" w14:textId="77777777" w:rsidR="00C62B40" w:rsidRPr="001C30D9" w:rsidRDefault="00C62B40" w:rsidP="001C30D9">
      <w:pPr>
        <w:keepNext/>
        <w:keepLines/>
        <w:widowControl/>
        <w:numPr>
          <w:ilvl w:val="0"/>
          <w:numId w:val="15"/>
        </w:numPr>
        <w:ind w:left="2160" w:right="1440" w:hanging="720"/>
        <w:contextualSpacing/>
        <w:rPr>
          <w:rFonts w:eastAsiaTheme="minorHAnsi"/>
          <w:sz w:val="26"/>
          <w:szCs w:val="26"/>
        </w:rPr>
      </w:pPr>
      <w:r w:rsidRPr="001C30D9">
        <w:rPr>
          <w:rFonts w:eastAsiaTheme="minorHAnsi"/>
          <w:sz w:val="26"/>
          <w:szCs w:val="26"/>
        </w:rPr>
        <w:t>In future LTIIPs or Annual Asset Optimization Plans (“AAOP”) that include the Lower Makefield wastewater system, Aqua will not reprioritize other existing capital improvements that the Company already committed to undertake.  This section does not limit Aqua’s current practice and ability to allocate projects as needed for its capital program.</w:t>
      </w:r>
    </w:p>
    <w:p w14:paraId="4F6A188D" w14:textId="77777777" w:rsidR="00C62B40" w:rsidRPr="001C30D9" w:rsidRDefault="00C62B40" w:rsidP="001C30D9">
      <w:pPr>
        <w:widowControl/>
        <w:tabs>
          <w:tab w:val="left" w:pos="720"/>
        </w:tabs>
        <w:ind w:left="2160" w:right="1440"/>
        <w:contextualSpacing/>
        <w:rPr>
          <w:rFonts w:eastAsiaTheme="minorHAnsi"/>
          <w:sz w:val="26"/>
          <w:szCs w:val="26"/>
        </w:rPr>
      </w:pPr>
    </w:p>
    <w:p w14:paraId="343CC0B3" w14:textId="77777777" w:rsidR="00C62B40" w:rsidRPr="001C30D9" w:rsidRDefault="00C62B40" w:rsidP="001C30D9">
      <w:pPr>
        <w:keepLines/>
        <w:widowControl/>
        <w:numPr>
          <w:ilvl w:val="0"/>
          <w:numId w:val="15"/>
        </w:numPr>
        <w:ind w:left="2160" w:right="1440" w:hanging="720"/>
        <w:contextualSpacing/>
        <w:rPr>
          <w:rFonts w:eastAsiaTheme="minorHAnsi"/>
          <w:sz w:val="26"/>
          <w:szCs w:val="26"/>
        </w:rPr>
      </w:pPr>
      <w:r w:rsidRPr="001C30D9">
        <w:rPr>
          <w:rFonts w:eastAsiaTheme="minorHAnsi"/>
          <w:sz w:val="26"/>
          <w:szCs w:val="26"/>
        </w:rPr>
        <w:t>Upon approval of the Commission of a modification to its LTIIP which includes the Lower Makefield wastewater system, Aqua shall be permitted to collect a DSIC related to the Lower Makefield wastewater system prior to the first base rate case in which the Lower Makefield assets are incorporated into rate base.</w:t>
      </w:r>
      <w:bookmarkEnd w:id="30"/>
    </w:p>
    <w:p w14:paraId="78AF3C89" w14:textId="77777777" w:rsidR="00C62B40" w:rsidRPr="001C30D9" w:rsidRDefault="00C62B40" w:rsidP="001C30D9">
      <w:pPr>
        <w:keepLines/>
        <w:widowControl/>
        <w:ind w:right="1440"/>
        <w:contextualSpacing/>
        <w:rPr>
          <w:rFonts w:eastAsiaTheme="minorHAnsi"/>
          <w:sz w:val="26"/>
          <w:szCs w:val="26"/>
        </w:rPr>
      </w:pPr>
    </w:p>
    <w:p w14:paraId="75B23FD0" w14:textId="77777777" w:rsidR="00C62B40" w:rsidRPr="001C30D9" w:rsidRDefault="00C62B40" w:rsidP="001C30D9">
      <w:pPr>
        <w:keepNext/>
        <w:widowControl/>
        <w:ind w:left="1440" w:right="1440"/>
        <w:rPr>
          <w:rFonts w:eastAsiaTheme="minorHAnsi"/>
          <w:b/>
          <w:bCs/>
          <w:sz w:val="26"/>
          <w:szCs w:val="26"/>
        </w:rPr>
      </w:pPr>
      <w:r w:rsidRPr="001C30D9">
        <w:rPr>
          <w:rFonts w:eastAsiaTheme="minorHAnsi"/>
          <w:b/>
          <w:bCs/>
          <w:sz w:val="26"/>
          <w:szCs w:val="26"/>
        </w:rPr>
        <w:t>H.</w:t>
      </w:r>
      <w:r w:rsidRPr="001C30D9">
        <w:rPr>
          <w:rFonts w:eastAsiaTheme="minorHAnsi"/>
          <w:b/>
          <w:bCs/>
          <w:sz w:val="26"/>
          <w:szCs w:val="26"/>
        </w:rPr>
        <w:tab/>
        <w:t>Lower Makefield Rates</w:t>
      </w:r>
    </w:p>
    <w:p w14:paraId="52470C11" w14:textId="77777777" w:rsidR="00C62B40" w:rsidRPr="001C30D9" w:rsidRDefault="00C62B40" w:rsidP="001C30D9">
      <w:pPr>
        <w:widowControl/>
        <w:ind w:left="720" w:right="1440"/>
        <w:rPr>
          <w:rFonts w:eastAsiaTheme="minorHAnsi"/>
          <w:b/>
          <w:bCs/>
          <w:sz w:val="26"/>
          <w:szCs w:val="26"/>
        </w:rPr>
      </w:pPr>
    </w:p>
    <w:p w14:paraId="0AA6CB9C" w14:textId="77777777" w:rsidR="00C62B40" w:rsidRPr="001C30D9" w:rsidRDefault="00C62B40" w:rsidP="001C30D9">
      <w:pPr>
        <w:keepNext/>
        <w:keepLines/>
        <w:widowControl/>
        <w:numPr>
          <w:ilvl w:val="0"/>
          <w:numId w:val="16"/>
        </w:numPr>
        <w:tabs>
          <w:tab w:val="left" w:pos="1440"/>
        </w:tabs>
        <w:ind w:left="2160" w:right="1440" w:hanging="720"/>
        <w:contextualSpacing/>
        <w:textAlignment w:val="baseline"/>
        <w:rPr>
          <w:rFonts w:ascii="Arial" w:hAnsi="Arial" w:cstheme="minorBidi"/>
          <w:color w:val="000000"/>
          <w:sz w:val="26"/>
          <w:szCs w:val="26"/>
        </w:rPr>
      </w:pPr>
      <w:r w:rsidRPr="001C30D9">
        <w:rPr>
          <w:rFonts w:cstheme="minorBidi"/>
          <w:color w:val="000000"/>
          <w:sz w:val="26"/>
          <w:szCs w:val="26"/>
        </w:rPr>
        <w:t>The current average Lower Makefield residential rate is $74.32 per month based on four thousand seven hundred gallons of usage.  As set forth in the notice sent to Lower Makefield customers in this proceeding (Application Exhibit I2), Aqua provided a non-binding, estimated incremental rate effect of the proposed rate base addition on Lower Makefield wastewater customers of 28.17%.</w:t>
      </w:r>
    </w:p>
    <w:p w14:paraId="3BDDD492" w14:textId="77777777" w:rsidR="00C62B40" w:rsidRPr="001C30D9" w:rsidRDefault="00C62B40" w:rsidP="001C30D9">
      <w:pPr>
        <w:widowControl/>
        <w:tabs>
          <w:tab w:val="left" w:pos="1440"/>
        </w:tabs>
        <w:ind w:left="2160" w:right="1440"/>
        <w:contextualSpacing/>
        <w:textAlignment w:val="baseline"/>
        <w:rPr>
          <w:rFonts w:ascii="Arial" w:hAnsi="Arial" w:cstheme="minorBidi"/>
          <w:color w:val="000000"/>
          <w:sz w:val="26"/>
          <w:szCs w:val="26"/>
        </w:rPr>
      </w:pPr>
    </w:p>
    <w:p w14:paraId="4830C805" w14:textId="77777777" w:rsidR="00C62B40" w:rsidRPr="001C30D9" w:rsidRDefault="00C62B40" w:rsidP="001C30D9">
      <w:pPr>
        <w:keepNext/>
        <w:keepLines/>
        <w:widowControl/>
        <w:numPr>
          <w:ilvl w:val="0"/>
          <w:numId w:val="16"/>
        </w:numPr>
        <w:tabs>
          <w:tab w:val="left" w:pos="1440"/>
        </w:tabs>
        <w:ind w:left="2160" w:right="1440" w:hanging="720"/>
        <w:contextualSpacing/>
        <w:textAlignment w:val="baseline"/>
        <w:rPr>
          <w:rFonts w:ascii="Arial" w:hAnsi="Arial" w:cstheme="minorBidi"/>
          <w:color w:val="000000"/>
          <w:spacing w:val="-1"/>
          <w:sz w:val="26"/>
          <w:szCs w:val="26"/>
        </w:rPr>
      </w:pPr>
      <w:r w:rsidRPr="001C30D9">
        <w:rPr>
          <w:rFonts w:cstheme="minorBidi"/>
          <w:color w:val="000000"/>
          <w:spacing w:val="-1"/>
          <w:sz w:val="26"/>
          <w:szCs w:val="26"/>
        </w:rPr>
        <w:t xml:space="preserve">Joint Petitioners acknowledge that the Commission retains ultimate authority to set rates including, but not limited to, the authority to allocate revenues to the Lower Makefield customers that are </w:t>
      </w:r>
      <w:proofErr w:type="gramStart"/>
      <w:r w:rsidRPr="001C30D9">
        <w:rPr>
          <w:rFonts w:cstheme="minorBidi"/>
          <w:color w:val="000000"/>
          <w:spacing w:val="-1"/>
          <w:sz w:val="26"/>
          <w:szCs w:val="26"/>
        </w:rPr>
        <w:t>in excess of</w:t>
      </w:r>
      <w:proofErr w:type="gramEnd"/>
      <w:r w:rsidRPr="001C30D9">
        <w:rPr>
          <w:rFonts w:cstheme="minorBidi"/>
          <w:color w:val="000000"/>
          <w:spacing w:val="-1"/>
          <w:sz w:val="26"/>
          <w:szCs w:val="26"/>
        </w:rPr>
        <w:t xml:space="preserve"> the restrictions contained in Section 7.03 of the APA.</w:t>
      </w:r>
    </w:p>
    <w:p w14:paraId="12763FA3" w14:textId="77777777" w:rsidR="00C62B40" w:rsidRPr="001C30D9" w:rsidRDefault="00C62B40" w:rsidP="001C30D9">
      <w:pPr>
        <w:widowControl/>
        <w:tabs>
          <w:tab w:val="left" w:pos="1440"/>
        </w:tabs>
        <w:ind w:right="1440"/>
        <w:contextualSpacing/>
        <w:textAlignment w:val="baseline"/>
        <w:rPr>
          <w:rFonts w:ascii="Arial" w:hAnsi="Arial" w:cstheme="minorBidi"/>
          <w:color w:val="000000"/>
          <w:spacing w:val="-1"/>
          <w:sz w:val="26"/>
          <w:szCs w:val="26"/>
        </w:rPr>
      </w:pPr>
    </w:p>
    <w:p w14:paraId="5D73FF32" w14:textId="77777777" w:rsidR="00C62B40" w:rsidRPr="001C30D9" w:rsidRDefault="00C62B40" w:rsidP="001C30D9">
      <w:pPr>
        <w:widowControl/>
        <w:numPr>
          <w:ilvl w:val="0"/>
          <w:numId w:val="16"/>
        </w:numPr>
        <w:tabs>
          <w:tab w:val="left" w:pos="1440"/>
        </w:tabs>
        <w:ind w:left="2160" w:right="1440" w:hanging="720"/>
        <w:contextualSpacing/>
        <w:textAlignment w:val="baseline"/>
        <w:rPr>
          <w:rFonts w:ascii="Arial" w:hAnsi="Arial" w:cstheme="minorBidi"/>
          <w:color w:val="000000"/>
          <w:sz w:val="26"/>
          <w:szCs w:val="26"/>
        </w:rPr>
      </w:pPr>
      <w:r w:rsidRPr="001C30D9">
        <w:rPr>
          <w:rFonts w:cstheme="minorBidi"/>
          <w:color w:val="000000"/>
          <w:sz w:val="26"/>
          <w:szCs w:val="26"/>
        </w:rPr>
        <w:t>Aqua and Lower Makefield agree that, at the time of Aqua’s first base rate case that includes the Lower Makefield system, Aqua will propose the timing of the rate effect consistent with the terms of Section 7.03 of the APA.  All parties reserve their rights to address Aqua’s proposal.</w:t>
      </w:r>
      <w:r w:rsidRPr="001C30D9">
        <w:rPr>
          <w:rFonts w:cstheme="minorBidi"/>
          <w:color w:val="000000"/>
          <w:sz w:val="26"/>
          <w:szCs w:val="26"/>
        </w:rPr>
        <w:br/>
      </w:r>
    </w:p>
    <w:p w14:paraId="4611F6BB" w14:textId="77777777" w:rsidR="00C62B40" w:rsidRPr="001C30D9" w:rsidRDefault="00C62B40" w:rsidP="001C30D9">
      <w:pPr>
        <w:widowControl/>
        <w:numPr>
          <w:ilvl w:val="0"/>
          <w:numId w:val="16"/>
        </w:numPr>
        <w:tabs>
          <w:tab w:val="left" w:pos="1440"/>
        </w:tabs>
        <w:ind w:left="2160" w:right="1440" w:hanging="720"/>
        <w:contextualSpacing/>
        <w:textAlignment w:val="baseline"/>
        <w:rPr>
          <w:rFonts w:ascii="Arial" w:hAnsi="Arial" w:cstheme="minorBidi"/>
          <w:color w:val="000000"/>
          <w:sz w:val="26"/>
          <w:szCs w:val="26"/>
        </w:rPr>
      </w:pPr>
      <w:r w:rsidRPr="001C30D9">
        <w:rPr>
          <w:rFonts w:cstheme="minorBidi"/>
          <w:color w:val="000000"/>
          <w:sz w:val="26"/>
          <w:szCs w:val="26"/>
        </w:rPr>
        <w:t xml:space="preserve">In the first base rate proceeding filed by Aqua that includes Lower </w:t>
      </w:r>
      <w:proofErr w:type="spellStart"/>
      <w:r w:rsidRPr="001C30D9">
        <w:rPr>
          <w:rFonts w:cstheme="minorBidi"/>
          <w:color w:val="000000"/>
          <w:sz w:val="26"/>
          <w:szCs w:val="26"/>
        </w:rPr>
        <w:t>Makefield’s</w:t>
      </w:r>
      <w:proofErr w:type="spellEnd"/>
      <w:r w:rsidRPr="001C30D9">
        <w:rPr>
          <w:rFonts w:cstheme="minorBidi"/>
          <w:color w:val="000000"/>
          <w:sz w:val="26"/>
          <w:szCs w:val="26"/>
        </w:rPr>
        <w:t xml:space="preserve"> wastewater system assets, Aqua shall propose to move the Lower Makefield system to its cost of service, based on a separate cost of service study for Lower </w:t>
      </w:r>
      <w:proofErr w:type="spellStart"/>
      <w:r w:rsidRPr="001C30D9">
        <w:rPr>
          <w:rFonts w:cstheme="minorBidi"/>
          <w:color w:val="000000"/>
          <w:sz w:val="26"/>
          <w:szCs w:val="26"/>
        </w:rPr>
        <w:t>Makefield’s</w:t>
      </w:r>
      <w:proofErr w:type="spellEnd"/>
      <w:r w:rsidRPr="001C30D9">
        <w:rPr>
          <w:rFonts w:cstheme="minorBidi"/>
          <w:color w:val="000000"/>
          <w:sz w:val="26"/>
          <w:szCs w:val="26"/>
        </w:rPr>
        <w:t xml:space="preserve"> system; provided, however, that Aqua will not be obligated to propose Lower Makefield wastewater rates </w:t>
      </w:r>
      <w:proofErr w:type="gramStart"/>
      <w:r w:rsidRPr="001C30D9">
        <w:rPr>
          <w:rFonts w:cstheme="minorBidi"/>
          <w:color w:val="000000"/>
          <w:sz w:val="26"/>
          <w:szCs w:val="26"/>
        </w:rPr>
        <w:t>in excess of</w:t>
      </w:r>
      <w:proofErr w:type="gramEnd"/>
      <w:r w:rsidRPr="001C30D9">
        <w:rPr>
          <w:rFonts w:cstheme="minorBidi"/>
          <w:color w:val="000000"/>
          <w:sz w:val="26"/>
          <w:szCs w:val="26"/>
        </w:rPr>
        <w:t xml:space="preserve"> Aqua’s proposed Rate Zone 1 system-average rates.  The Joint Petitioners acknowledge, however, that Aqua may agree to rates other than those proposed for Lower Makefield customers in the context of a settlement of the base rate case.  OCA, I&amp;E, OSBA and Lower Makefield reserve their rights to fully address this proposal, and to make other rate proposals in the base rate case.  In the next rate case, Aqua agrees to provide written notice to Lower Makefield Township customers of the rate filing and the level of increase, if any, resulting from this provision.</w:t>
      </w:r>
    </w:p>
    <w:p w14:paraId="3A334E68" w14:textId="77777777" w:rsidR="00C62B40" w:rsidRPr="001C30D9" w:rsidRDefault="00C62B40" w:rsidP="001C30D9">
      <w:pPr>
        <w:widowControl/>
        <w:tabs>
          <w:tab w:val="left" w:pos="1440"/>
        </w:tabs>
        <w:ind w:right="1440"/>
        <w:contextualSpacing/>
        <w:textAlignment w:val="baseline"/>
        <w:rPr>
          <w:rFonts w:ascii="Arial" w:hAnsi="Arial" w:cstheme="minorBidi"/>
          <w:color w:val="000000"/>
          <w:sz w:val="26"/>
          <w:szCs w:val="26"/>
        </w:rPr>
      </w:pPr>
    </w:p>
    <w:p w14:paraId="5D53C9E4" w14:textId="77777777" w:rsidR="00C62B40" w:rsidRPr="001C30D9" w:rsidRDefault="00C62B40" w:rsidP="001C30D9">
      <w:pPr>
        <w:widowControl/>
        <w:ind w:left="1440" w:right="1440"/>
        <w:rPr>
          <w:rFonts w:eastAsiaTheme="minorHAnsi"/>
          <w:b/>
          <w:bCs/>
          <w:sz w:val="26"/>
          <w:szCs w:val="26"/>
        </w:rPr>
      </w:pPr>
      <w:r w:rsidRPr="001C30D9">
        <w:rPr>
          <w:rFonts w:eastAsiaTheme="minorHAnsi"/>
          <w:b/>
          <w:bCs/>
          <w:sz w:val="26"/>
          <w:szCs w:val="26"/>
        </w:rPr>
        <w:t>I.</w:t>
      </w:r>
      <w:r w:rsidRPr="001C30D9">
        <w:rPr>
          <w:rFonts w:eastAsiaTheme="minorHAnsi"/>
          <w:b/>
          <w:bCs/>
          <w:sz w:val="26"/>
          <w:szCs w:val="26"/>
        </w:rPr>
        <w:tab/>
        <w:t>Welcome Letter</w:t>
      </w:r>
    </w:p>
    <w:p w14:paraId="72750F0F" w14:textId="77777777" w:rsidR="00C62B40" w:rsidRPr="001C30D9" w:rsidRDefault="00C62B40" w:rsidP="001C30D9">
      <w:pPr>
        <w:widowControl/>
        <w:ind w:left="720" w:right="1440"/>
        <w:rPr>
          <w:rFonts w:eastAsiaTheme="minorHAnsi"/>
          <w:b/>
          <w:bCs/>
          <w:sz w:val="26"/>
          <w:szCs w:val="26"/>
        </w:rPr>
      </w:pPr>
    </w:p>
    <w:p w14:paraId="0FCFAD7C" w14:textId="77777777" w:rsidR="00C62B40" w:rsidRPr="001C30D9" w:rsidRDefault="00C62B40" w:rsidP="001C30D9">
      <w:pPr>
        <w:widowControl/>
        <w:ind w:left="1440" w:right="1440"/>
        <w:contextualSpacing/>
        <w:rPr>
          <w:rFonts w:eastAsiaTheme="minorHAnsi"/>
          <w:sz w:val="26"/>
          <w:szCs w:val="26"/>
        </w:rPr>
      </w:pPr>
      <w:r w:rsidRPr="001C30D9">
        <w:rPr>
          <w:rFonts w:eastAsiaTheme="minorHAnsi"/>
          <w:sz w:val="26"/>
          <w:szCs w:val="26"/>
        </w:rPr>
        <w:t>Aqua will send a welcome letter to Lower Makefield Wastewater customers within 30 days following Closing which will include information regarding the conversion to monthly billing for their sewer service.</w:t>
      </w:r>
    </w:p>
    <w:p w14:paraId="2D3F2B6A" w14:textId="77777777" w:rsidR="00C62B40" w:rsidRPr="001C30D9" w:rsidRDefault="00C62B40" w:rsidP="001C30D9">
      <w:pPr>
        <w:widowControl/>
        <w:ind w:left="720" w:right="1440"/>
        <w:rPr>
          <w:rFonts w:eastAsiaTheme="minorHAnsi"/>
          <w:b/>
          <w:bCs/>
          <w:sz w:val="26"/>
          <w:szCs w:val="26"/>
        </w:rPr>
      </w:pPr>
    </w:p>
    <w:p w14:paraId="6B715247" w14:textId="77777777" w:rsidR="00C62B40" w:rsidRPr="001C30D9" w:rsidRDefault="00C62B40" w:rsidP="001C30D9">
      <w:pPr>
        <w:widowControl/>
        <w:ind w:left="1440" w:right="1440"/>
        <w:rPr>
          <w:rFonts w:eastAsiaTheme="minorHAnsi"/>
          <w:b/>
          <w:bCs/>
          <w:sz w:val="26"/>
          <w:szCs w:val="26"/>
        </w:rPr>
      </w:pPr>
      <w:r w:rsidRPr="001C30D9">
        <w:rPr>
          <w:rFonts w:eastAsiaTheme="minorHAnsi"/>
          <w:b/>
          <w:bCs/>
          <w:sz w:val="26"/>
          <w:szCs w:val="26"/>
        </w:rPr>
        <w:t>J.</w:t>
      </w:r>
      <w:r w:rsidRPr="001C30D9">
        <w:rPr>
          <w:rFonts w:eastAsiaTheme="minorHAnsi"/>
          <w:b/>
          <w:bCs/>
          <w:sz w:val="26"/>
          <w:szCs w:val="26"/>
        </w:rPr>
        <w:tab/>
        <w:t>Legal Fees</w:t>
      </w:r>
    </w:p>
    <w:p w14:paraId="756E66A6" w14:textId="77777777" w:rsidR="00C62B40" w:rsidRPr="001C30D9" w:rsidRDefault="00C62B40" w:rsidP="001C30D9">
      <w:pPr>
        <w:widowControl/>
        <w:ind w:left="720" w:right="1440"/>
        <w:rPr>
          <w:rFonts w:eastAsiaTheme="minorHAnsi"/>
          <w:b/>
          <w:bCs/>
          <w:sz w:val="26"/>
          <w:szCs w:val="26"/>
        </w:rPr>
      </w:pPr>
    </w:p>
    <w:p w14:paraId="2764EE0F" w14:textId="77777777" w:rsidR="00C62B40" w:rsidRPr="00C62B40" w:rsidRDefault="00C62B40" w:rsidP="00455CC3">
      <w:pPr>
        <w:keepNext/>
        <w:widowControl/>
        <w:ind w:left="1440" w:right="1440"/>
        <w:contextualSpacing/>
        <w:rPr>
          <w:rFonts w:eastAsiaTheme="minorHAnsi"/>
          <w:bCs/>
          <w:sz w:val="26"/>
          <w:szCs w:val="26"/>
        </w:rPr>
      </w:pPr>
      <w:r w:rsidRPr="001C30D9">
        <w:rPr>
          <w:rFonts w:eastAsiaTheme="minorHAnsi"/>
          <w:bCs/>
          <w:sz w:val="26"/>
          <w:szCs w:val="26"/>
        </w:rPr>
        <w:t>In its next base rate case, Aqua shall separately identify any legal fees included in its transaction and closing costs pursuant to the APA between Aqua and Lower Makefield and specify amounts expended by Aqua</w:t>
      </w:r>
      <w:r w:rsidRPr="00C62B40">
        <w:rPr>
          <w:rFonts w:eastAsiaTheme="minorHAnsi"/>
          <w:bCs/>
          <w:sz w:val="26"/>
          <w:szCs w:val="26"/>
        </w:rPr>
        <w:t xml:space="preserve"> on behalf of Lower Makefield.  I&amp;E, OCA and OSBA reserve the right to challenge the reasonableness, prudency, and basis for such fees.</w:t>
      </w:r>
    </w:p>
    <w:p w14:paraId="660D83BF" w14:textId="77777777" w:rsidR="00C62B40" w:rsidRPr="00C62B40" w:rsidRDefault="00C62B40" w:rsidP="00455CC3">
      <w:pPr>
        <w:keepNext/>
        <w:widowControl/>
        <w:spacing w:line="360" w:lineRule="auto"/>
        <w:ind w:right="1440"/>
        <w:rPr>
          <w:rFonts w:eastAsiaTheme="minorHAnsi"/>
          <w:bCs/>
          <w:sz w:val="26"/>
          <w:szCs w:val="26"/>
        </w:rPr>
      </w:pPr>
    </w:p>
    <w:p w14:paraId="2F842F79" w14:textId="77777777" w:rsidR="00C62B40" w:rsidRPr="00C62B40" w:rsidRDefault="00C62B40" w:rsidP="00455CC3">
      <w:pPr>
        <w:keepNext/>
        <w:widowControl/>
        <w:spacing w:line="360" w:lineRule="auto"/>
        <w:ind w:right="1440"/>
        <w:rPr>
          <w:rFonts w:eastAsiaTheme="minorHAnsi"/>
          <w:bCs/>
          <w:sz w:val="26"/>
          <w:szCs w:val="26"/>
        </w:rPr>
      </w:pPr>
      <w:r w:rsidRPr="00C62B40">
        <w:rPr>
          <w:rFonts w:eastAsiaTheme="minorHAnsi"/>
          <w:bCs/>
          <w:sz w:val="26"/>
          <w:szCs w:val="26"/>
        </w:rPr>
        <w:t>Joint Petition at 6-9.</w:t>
      </w:r>
    </w:p>
    <w:p w14:paraId="7D1DFCCF" w14:textId="77777777" w:rsidR="00C62B40" w:rsidRPr="00C62B40" w:rsidRDefault="00C62B40" w:rsidP="00455CC3">
      <w:pPr>
        <w:widowControl/>
        <w:spacing w:line="360" w:lineRule="auto"/>
        <w:rPr>
          <w:rFonts w:eastAsiaTheme="minorHAnsi"/>
          <w:bCs/>
          <w:sz w:val="26"/>
          <w:szCs w:val="26"/>
        </w:rPr>
      </w:pPr>
    </w:p>
    <w:p w14:paraId="027898D3" w14:textId="77777777" w:rsidR="00C62B40" w:rsidRPr="00C62B40" w:rsidRDefault="00C62B40" w:rsidP="00455CC3">
      <w:pPr>
        <w:widowControl/>
        <w:spacing w:line="360" w:lineRule="auto"/>
        <w:ind w:firstLine="1440"/>
        <w:rPr>
          <w:rFonts w:eastAsiaTheme="minorHAnsi"/>
          <w:bCs/>
          <w:sz w:val="26"/>
          <w:szCs w:val="26"/>
        </w:rPr>
      </w:pPr>
      <w:r w:rsidRPr="00C62B40">
        <w:rPr>
          <w:rFonts w:eastAsiaTheme="minorHAnsi"/>
          <w:bCs/>
          <w:sz w:val="26"/>
          <w:szCs w:val="26"/>
        </w:rPr>
        <w:t xml:space="preserve">In addition to the specific terms and conditions to which the Joint Petitioners have agreed, the Partial Settlement contains other general terms and conditions typically found in settlements submitted to the Commission.  Specifically, the Joint Petitioners agreed that the Partial Settlement is conditioned upon the Commission’s approval of all the terms and conditions contained therein without modification.  The Joint Petition establishes the procedure by which any of the Joint Petitioners may withdraw from the Partial Settlement and proceed to litigate this case if the Commission should act to modify or reject the Partial Settlement.  Additionally, the Joint Petitioners submitted that the Partial Settlement is made without any admission against, or prejudice to, any position which any of the Joint Petitioners might adopt in any subsequent litigation of this proceeding or in future proceedings.  Moreover, the Joint Petitioners waived their right to file Exceptions concerning the issues in the Partial Settlement if the ALJ recommended that the Commission adopt the Partial Settlement without modification.  </w:t>
      </w:r>
      <w:r w:rsidRPr="00C62B40">
        <w:rPr>
          <w:rFonts w:eastAsiaTheme="minorHAnsi"/>
          <w:bCs/>
          <w:i/>
          <w:iCs/>
          <w:sz w:val="26"/>
          <w:szCs w:val="26"/>
        </w:rPr>
        <w:t>Id</w:t>
      </w:r>
      <w:r w:rsidRPr="00C62B40">
        <w:rPr>
          <w:rFonts w:eastAsiaTheme="minorHAnsi"/>
          <w:bCs/>
          <w:sz w:val="26"/>
          <w:szCs w:val="26"/>
        </w:rPr>
        <w:t>. at 10.</w:t>
      </w:r>
    </w:p>
    <w:p w14:paraId="02937C1B" w14:textId="08216CA3" w:rsidR="00C62B40" w:rsidRDefault="00C62B40" w:rsidP="00C62B40">
      <w:pPr>
        <w:widowControl/>
        <w:spacing w:line="360" w:lineRule="auto"/>
        <w:rPr>
          <w:sz w:val="26"/>
          <w:szCs w:val="26"/>
        </w:rPr>
      </w:pPr>
    </w:p>
    <w:p w14:paraId="055165D6" w14:textId="151E49AE" w:rsidR="00C62B40" w:rsidRDefault="00C62B40" w:rsidP="00C62B40">
      <w:pPr>
        <w:pStyle w:val="Heading2"/>
        <w:ind w:hanging="720"/>
      </w:pPr>
      <w:bookmarkStart w:id="31" w:name="_Toc90970708"/>
      <w:r>
        <w:t>ALJ’s Recommendation on the Partial Settlement</w:t>
      </w:r>
      <w:bookmarkEnd w:id="31"/>
    </w:p>
    <w:p w14:paraId="378A5019" w14:textId="502F9ECE" w:rsidR="000E0052" w:rsidRDefault="000E0052" w:rsidP="00950AF2">
      <w:pPr>
        <w:widowControl/>
        <w:spacing w:line="360" w:lineRule="auto"/>
        <w:rPr>
          <w:sz w:val="26"/>
          <w:szCs w:val="26"/>
        </w:rPr>
      </w:pPr>
    </w:p>
    <w:p w14:paraId="094E8BF6" w14:textId="13423C2A" w:rsidR="00C62B40" w:rsidRDefault="00C62B40" w:rsidP="004B1ABE">
      <w:pPr>
        <w:widowControl/>
        <w:spacing w:line="360" w:lineRule="auto"/>
        <w:ind w:firstLine="1440"/>
        <w:contextualSpacing/>
        <w:rPr>
          <w:sz w:val="26"/>
          <w:szCs w:val="26"/>
        </w:rPr>
      </w:pPr>
      <w:r w:rsidRPr="00C62B40">
        <w:rPr>
          <w:sz w:val="26"/>
          <w:szCs w:val="26"/>
        </w:rPr>
        <w:t xml:space="preserve">In the Recommended Decision, the ALJ set forth the terms and conditions of the Partial Settlement and recommended approval of the Joint Petition, without modification, finding that it is supported by substantial evidence and is in the public interest.  </w:t>
      </w:r>
      <w:r w:rsidRPr="00C62B40">
        <w:rPr>
          <w:rFonts w:eastAsiaTheme="minorHAnsi"/>
          <w:sz w:val="26"/>
          <w:szCs w:val="26"/>
        </w:rPr>
        <w:t>The ALJ determined that the Partial Settlement complies with the relevant Sections of the Code regarding applications for the acquisition of wastewater system assets and is consistent with the Commission’s Regulations promoting settlements.</w:t>
      </w:r>
      <w:r w:rsidRPr="00C62B40">
        <w:rPr>
          <w:rFonts w:ascii="Arial" w:eastAsiaTheme="minorHAnsi" w:hAnsi="Arial" w:cstheme="minorBidi"/>
          <w:sz w:val="23"/>
          <w:szCs w:val="23"/>
        </w:rPr>
        <w:t xml:space="preserve">  </w:t>
      </w:r>
      <w:r w:rsidRPr="00C62B40">
        <w:rPr>
          <w:sz w:val="26"/>
          <w:szCs w:val="26"/>
        </w:rPr>
        <w:t>R.D.</w:t>
      </w:r>
      <w:r w:rsidR="00455CC3">
        <w:rPr>
          <w:sz w:val="26"/>
          <w:szCs w:val="26"/>
        </w:rPr>
        <w:t> </w:t>
      </w:r>
      <w:r w:rsidRPr="00C62B40">
        <w:rPr>
          <w:sz w:val="26"/>
          <w:szCs w:val="26"/>
        </w:rPr>
        <w:t xml:space="preserve">at 1, 51-53.  </w:t>
      </w:r>
    </w:p>
    <w:p w14:paraId="255C1397" w14:textId="77777777" w:rsidR="00C62B40" w:rsidRPr="00C62B40" w:rsidRDefault="00C62B40" w:rsidP="00C62B40">
      <w:pPr>
        <w:widowControl/>
        <w:spacing w:line="360" w:lineRule="auto"/>
        <w:ind w:firstLine="1440"/>
        <w:contextualSpacing/>
        <w:rPr>
          <w:sz w:val="26"/>
          <w:szCs w:val="26"/>
        </w:rPr>
      </w:pPr>
      <w:r w:rsidRPr="00C62B40">
        <w:rPr>
          <w:rFonts w:eastAsiaTheme="minorHAnsi"/>
          <w:sz w:val="26"/>
          <w:szCs w:val="26"/>
        </w:rPr>
        <w:t xml:space="preserve">The ALJ reasoned that the Partial Settlement will ensure that the Township’s residents will receive quality wastewater service from Aqua, a certificated public utility with the necessary financial, technical, and legal resources to provide that service into the foreseeable future.  The ALJ concluded that bringing the Township’s existing customers into Aqua’s customer base will also ensure that the Township’s residents have access to the Commission’s procedures for investigating and enforcing any complaints the residents may have </w:t>
      </w:r>
      <w:proofErr w:type="gramStart"/>
      <w:r w:rsidRPr="00C62B40">
        <w:rPr>
          <w:rFonts w:eastAsiaTheme="minorHAnsi"/>
          <w:sz w:val="26"/>
          <w:szCs w:val="26"/>
        </w:rPr>
        <w:t>concerning</w:t>
      </w:r>
      <w:proofErr w:type="gramEnd"/>
      <w:r w:rsidRPr="00C62B40">
        <w:rPr>
          <w:rFonts w:eastAsiaTheme="minorHAnsi"/>
          <w:sz w:val="26"/>
          <w:szCs w:val="26"/>
        </w:rPr>
        <w:t xml:space="preserve"> the Township’s wastewater service and that future rate increases will be subject to the Commission’s jurisdiction.  R.D. at 51.  </w:t>
      </w:r>
    </w:p>
    <w:p w14:paraId="58685CAC" w14:textId="77777777" w:rsidR="00C62B40" w:rsidRPr="00C62B40" w:rsidRDefault="00C62B40" w:rsidP="00C62B40">
      <w:pPr>
        <w:widowControl/>
        <w:spacing w:line="360" w:lineRule="auto"/>
        <w:ind w:left="72" w:right="72" w:firstLine="1440"/>
        <w:contextualSpacing/>
        <w:textAlignment w:val="baseline"/>
        <w:rPr>
          <w:color w:val="000000"/>
          <w:sz w:val="26"/>
          <w:szCs w:val="26"/>
        </w:rPr>
      </w:pPr>
    </w:p>
    <w:p w14:paraId="36B82400" w14:textId="77777777" w:rsidR="00C62B40" w:rsidRPr="00C62B40" w:rsidRDefault="00C62B40" w:rsidP="00C62B40">
      <w:pPr>
        <w:widowControl/>
        <w:spacing w:line="360" w:lineRule="auto"/>
        <w:ind w:left="72" w:right="72" w:firstLine="1440"/>
        <w:contextualSpacing/>
        <w:textAlignment w:val="baseline"/>
        <w:rPr>
          <w:color w:val="000000"/>
          <w:sz w:val="26"/>
          <w:szCs w:val="26"/>
        </w:rPr>
      </w:pPr>
      <w:r w:rsidRPr="00C62B40">
        <w:rPr>
          <w:color w:val="000000"/>
          <w:sz w:val="26"/>
          <w:szCs w:val="26"/>
        </w:rPr>
        <w:t>The ALJ’s analysis of the essential Partial Settlement terms and recommendation for approval of the Joint Petition, without modification, is summarized as follows:</w:t>
      </w:r>
      <w:r w:rsidRPr="00C62B40">
        <w:rPr>
          <w:color w:val="000000"/>
          <w:sz w:val="26"/>
          <w:szCs w:val="26"/>
          <w:vertAlign w:val="superscript"/>
        </w:rPr>
        <w:footnoteReference w:id="12"/>
      </w:r>
    </w:p>
    <w:p w14:paraId="4DEC28DD" w14:textId="77E892EE" w:rsidR="000E0052" w:rsidRDefault="000E0052" w:rsidP="00950AF2">
      <w:pPr>
        <w:widowControl/>
        <w:spacing w:line="360" w:lineRule="auto"/>
        <w:rPr>
          <w:sz w:val="26"/>
          <w:szCs w:val="26"/>
        </w:rPr>
      </w:pPr>
    </w:p>
    <w:p w14:paraId="30599CD6" w14:textId="44B4A277" w:rsidR="000E0052" w:rsidRDefault="00763D84" w:rsidP="00763D84">
      <w:pPr>
        <w:pStyle w:val="Heading3"/>
      </w:pPr>
      <w:bookmarkStart w:id="32" w:name="_Toc90970709"/>
      <w:r>
        <w:t>Approval of Application and Acquisition</w:t>
      </w:r>
      <w:bookmarkEnd w:id="32"/>
    </w:p>
    <w:p w14:paraId="28063EFE" w14:textId="60C982A0" w:rsidR="000E0052" w:rsidRDefault="000E0052" w:rsidP="00950AF2">
      <w:pPr>
        <w:widowControl/>
        <w:spacing w:line="360" w:lineRule="auto"/>
        <w:rPr>
          <w:sz w:val="26"/>
          <w:szCs w:val="26"/>
        </w:rPr>
      </w:pPr>
    </w:p>
    <w:p w14:paraId="71D8B2B0" w14:textId="60E007BF" w:rsidR="00763D84" w:rsidRPr="00763D84" w:rsidRDefault="00763D84" w:rsidP="00763D84">
      <w:pPr>
        <w:widowControl/>
        <w:autoSpaceDE w:val="0"/>
        <w:autoSpaceDN w:val="0"/>
        <w:adjustRightInd w:val="0"/>
        <w:spacing w:line="360" w:lineRule="auto"/>
        <w:ind w:firstLine="1354"/>
        <w:rPr>
          <w:rFonts w:eastAsiaTheme="minorHAnsi"/>
          <w:color w:val="000000"/>
          <w:sz w:val="26"/>
          <w:szCs w:val="26"/>
        </w:rPr>
      </w:pPr>
      <w:r w:rsidRPr="00763D84">
        <w:rPr>
          <w:rFonts w:eastAsiaTheme="minorHAnsi"/>
          <w:color w:val="000000"/>
          <w:sz w:val="26"/>
          <w:szCs w:val="26"/>
        </w:rPr>
        <w:t xml:space="preserve">The ALJ determined that the record supports the findings that Aqua is technically, legally, and financially fit to acquire the Township’s wastewater system, and none of the Parties have rebutted these findings through record evidence.  R.D. at 23-24.  The ALJ also determined that this transaction will provide affirmative public benefits, as fully set forth in Aqua’s direct testimony, which include furthering the goal of regionalizing water systems, better management practices, economies of scale, and greater customer, environmental, and economic benefits.  Further, the ALJ determined that the value of the public benefits will be better realized under the Partial Settlement because the Partial Settlement contains numerous terms that protect Aqua’s existing and future ratepayers and will ensure that Aqua’s ratepayers receive the benefit of the bargain that Aqua negotiated without being subject to protracted and expensive litigation.  </w:t>
      </w:r>
      <w:r w:rsidRPr="00763D84">
        <w:rPr>
          <w:rFonts w:eastAsiaTheme="minorHAnsi"/>
          <w:i/>
          <w:iCs/>
          <w:color w:val="000000"/>
          <w:sz w:val="26"/>
          <w:szCs w:val="26"/>
        </w:rPr>
        <w:t>Id</w:t>
      </w:r>
      <w:r w:rsidRPr="00763D84">
        <w:rPr>
          <w:rFonts w:eastAsiaTheme="minorHAnsi"/>
          <w:color w:val="000000"/>
          <w:sz w:val="26"/>
          <w:szCs w:val="26"/>
        </w:rPr>
        <w:t>.</w:t>
      </w:r>
      <w:r w:rsidR="00455CC3">
        <w:rPr>
          <w:rFonts w:eastAsiaTheme="minorHAnsi"/>
          <w:color w:val="000000"/>
          <w:sz w:val="26"/>
          <w:szCs w:val="26"/>
        </w:rPr>
        <w:t> </w:t>
      </w:r>
      <w:r w:rsidRPr="00763D84">
        <w:rPr>
          <w:rFonts w:eastAsiaTheme="minorHAnsi"/>
          <w:color w:val="000000"/>
          <w:sz w:val="26"/>
          <w:szCs w:val="26"/>
        </w:rPr>
        <w:t>at</w:t>
      </w:r>
      <w:r w:rsidR="00455CC3">
        <w:rPr>
          <w:rFonts w:eastAsiaTheme="minorHAnsi"/>
          <w:color w:val="000000"/>
          <w:sz w:val="26"/>
          <w:szCs w:val="26"/>
        </w:rPr>
        <w:t> </w:t>
      </w:r>
      <w:r w:rsidRPr="00763D84">
        <w:rPr>
          <w:rFonts w:eastAsiaTheme="minorHAnsi"/>
          <w:color w:val="000000"/>
          <w:sz w:val="26"/>
          <w:szCs w:val="26"/>
        </w:rPr>
        <w:t xml:space="preserve">24.  The ALJ noted that the transaction, with the conditions described in the Partial Settlement, benefits </w:t>
      </w:r>
      <w:proofErr w:type="gramStart"/>
      <w:r w:rsidRPr="00763D84">
        <w:rPr>
          <w:rFonts w:eastAsiaTheme="minorHAnsi"/>
          <w:color w:val="000000"/>
          <w:sz w:val="26"/>
          <w:szCs w:val="26"/>
        </w:rPr>
        <w:t>all of</w:t>
      </w:r>
      <w:proofErr w:type="gramEnd"/>
      <w:r w:rsidRPr="00763D84">
        <w:rPr>
          <w:rFonts w:eastAsiaTheme="minorHAnsi"/>
          <w:color w:val="000000"/>
          <w:sz w:val="26"/>
          <w:szCs w:val="26"/>
        </w:rPr>
        <w:t xml:space="preserve"> the stakeholder groups impacted by the transaction: </w:t>
      </w:r>
      <w:r w:rsidR="00F11864">
        <w:rPr>
          <w:rFonts w:eastAsiaTheme="minorHAnsi"/>
          <w:color w:val="000000"/>
          <w:sz w:val="26"/>
          <w:szCs w:val="26"/>
        </w:rPr>
        <w:t xml:space="preserve"> </w:t>
      </w:r>
      <w:r w:rsidRPr="00763D84">
        <w:rPr>
          <w:rFonts w:eastAsiaTheme="minorHAnsi"/>
          <w:color w:val="000000"/>
          <w:sz w:val="26"/>
          <w:szCs w:val="26"/>
        </w:rPr>
        <w:t>the public-at</w:t>
      </w:r>
      <w:r w:rsidR="00F11864">
        <w:rPr>
          <w:rFonts w:eastAsiaTheme="minorHAnsi"/>
          <w:color w:val="000000"/>
          <w:sz w:val="26"/>
          <w:szCs w:val="26"/>
        </w:rPr>
        <w:t>-</w:t>
      </w:r>
      <w:r w:rsidRPr="00763D84">
        <w:rPr>
          <w:rFonts w:eastAsiaTheme="minorHAnsi"/>
          <w:color w:val="000000"/>
          <w:sz w:val="26"/>
          <w:szCs w:val="26"/>
        </w:rPr>
        <w:t xml:space="preserve">large; the Township (as seller of the System); the Township’s existing customers; and Aqua’s existing customers.  </w:t>
      </w:r>
      <w:r w:rsidRPr="00763D84">
        <w:rPr>
          <w:rFonts w:eastAsiaTheme="minorHAnsi"/>
          <w:i/>
          <w:iCs/>
          <w:color w:val="000000"/>
          <w:sz w:val="26"/>
          <w:szCs w:val="26"/>
        </w:rPr>
        <w:t>Id</w:t>
      </w:r>
      <w:r w:rsidRPr="00763D84">
        <w:rPr>
          <w:rFonts w:eastAsiaTheme="minorHAnsi"/>
          <w:color w:val="000000"/>
          <w:sz w:val="26"/>
          <w:szCs w:val="26"/>
        </w:rPr>
        <w:t xml:space="preserve">. at 25.  The ALJ reasoned that the transaction benefits members of the public-at-large and the Township and Aqua’s existing customers because it promotes the Commission’s policy favoring regionalization and consolidation of water and wastewater systems.  </w:t>
      </w:r>
      <w:r w:rsidRPr="00763D84">
        <w:rPr>
          <w:rFonts w:eastAsiaTheme="minorHAnsi"/>
          <w:i/>
          <w:iCs/>
          <w:color w:val="000000"/>
          <w:sz w:val="26"/>
          <w:szCs w:val="26"/>
        </w:rPr>
        <w:t>Id</w:t>
      </w:r>
      <w:r w:rsidRPr="00763D84">
        <w:rPr>
          <w:rFonts w:eastAsiaTheme="minorHAnsi"/>
          <w:color w:val="000000"/>
          <w:sz w:val="26"/>
          <w:szCs w:val="26"/>
        </w:rPr>
        <w:t xml:space="preserve">. (citing 52 Pa. Code § 69.721(a); Aqua St. 1 at 17). </w:t>
      </w:r>
    </w:p>
    <w:p w14:paraId="2DA51456" w14:textId="3109E369" w:rsidR="00763D84" w:rsidRDefault="00763D84" w:rsidP="00950AF2">
      <w:pPr>
        <w:widowControl/>
        <w:spacing w:line="360" w:lineRule="auto"/>
        <w:rPr>
          <w:sz w:val="26"/>
          <w:szCs w:val="26"/>
        </w:rPr>
      </w:pPr>
    </w:p>
    <w:p w14:paraId="63660783" w14:textId="44CE7BC1" w:rsidR="00763D84" w:rsidRDefault="00763D84" w:rsidP="001C30D9">
      <w:pPr>
        <w:pStyle w:val="Heading3"/>
        <w:keepNext/>
        <w:keepLines/>
      </w:pPr>
      <w:bookmarkStart w:id="33" w:name="_Toc90970710"/>
      <w:r>
        <w:t>Tariff</w:t>
      </w:r>
      <w:bookmarkEnd w:id="33"/>
    </w:p>
    <w:p w14:paraId="0E1D167D" w14:textId="406E67C4" w:rsidR="000E0052" w:rsidRDefault="000E0052" w:rsidP="001C30D9">
      <w:pPr>
        <w:keepNext/>
        <w:keepLines/>
        <w:widowControl/>
        <w:spacing w:line="360" w:lineRule="auto"/>
        <w:rPr>
          <w:sz w:val="26"/>
          <w:szCs w:val="26"/>
        </w:rPr>
      </w:pPr>
    </w:p>
    <w:p w14:paraId="2A7E9384" w14:textId="01618C5D" w:rsidR="00763D84" w:rsidRDefault="00763D84" w:rsidP="001C30D9">
      <w:pPr>
        <w:keepNext/>
        <w:keepLines/>
        <w:widowControl/>
        <w:autoSpaceDE w:val="0"/>
        <w:autoSpaceDN w:val="0"/>
        <w:adjustRightInd w:val="0"/>
        <w:spacing w:line="360" w:lineRule="auto"/>
        <w:ind w:firstLine="1440"/>
        <w:rPr>
          <w:rFonts w:eastAsiaTheme="minorHAnsi"/>
          <w:color w:val="000000"/>
          <w:sz w:val="26"/>
          <w:szCs w:val="26"/>
        </w:rPr>
      </w:pPr>
      <w:r w:rsidRPr="00763D84">
        <w:rPr>
          <w:rFonts w:eastAsiaTheme="minorHAnsi"/>
          <w:color w:val="000000"/>
          <w:sz w:val="26"/>
          <w:szCs w:val="26"/>
        </w:rPr>
        <w:t xml:space="preserve">The ALJ observed that the Joint Petitioners agreed that the </w:t>
      </w:r>
      <w:r w:rsidRPr="00763D84">
        <w:rPr>
          <w:rFonts w:eastAsiaTheme="minorHAnsi"/>
          <w:i/>
          <w:iCs/>
          <w:color w:val="000000"/>
          <w:sz w:val="26"/>
          <w:szCs w:val="26"/>
        </w:rPr>
        <w:t xml:space="preserve">pro forma </w:t>
      </w:r>
      <w:r w:rsidRPr="00763D84">
        <w:rPr>
          <w:rFonts w:eastAsiaTheme="minorHAnsi"/>
          <w:color w:val="000000"/>
          <w:sz w:val="26"/>
          <w:szCs w:val="26"/>
        </w:rPr>
        <w:t xml:space="preserve">tariff Aqua submitted with its Application, as updated in the supplemental information submitted by letter dated June 21, 2021, will become effective upon Closing.  The ALJ stated that the </w:t>
      </w:r>
      <w:r w:rsidRPr="00763D84">
        <w:rPr>
          <w:rFonts w:eastAsiaTheme="minorHAnsi"/>
          <w:i/>
          <w:iCs/>
          <w:color w:val="000000"/>
          <w:sz w:val="26"/>
          <w:szCs w:val="26"/>
        </w:rPr>
        <w:t xml:space="preserve">pro forma </w:t>
      </w:r>
      <w:r w:rsidRPr="00763D84">
        <w:rPr>
          <w:rFonts w:eastAsiaTheme="minorHAnsi"/>
          <w:color w:val="000000"/>
          <w:sz w:val="26"/>
          <w:szCs w:val="26"/>
        </w:rPr>
        <w:t xml:space="preserve">tariff will implement the Township’s current rates inclusive of any then-existing miscellaneous fees and charges.  The ALJ also stated that the Township currently bills on a quarterly basis.  R.D. at 26.  Aqua plans to convert certain customers who receive water service from Pennsylvania-American Water Company to monthly billing, and customers that receive water service from the Municipal Authority of the Borough of Morrisville will continue with quarterly billing after closing.  </w:t>
      </w:r>
      <w:r w:rsidRPr="00763D84">
        <w:rPr>
          <w:rFonts w:eastAsiaTheme="minorHAnsi"/>
          <w:i/>
          <w:iCs/>
          <w:color w:val="000000"/>
          <w:sz w:val="26"/>
          <w:szCs w:val="26"/>
        </w:rPr>
        <w:t>Id</w:t>
      </w:r>
      <w:r w:rsidRPr="00763D84">
        <w:rPr>
          <w:rFonts w:eastAsiaTheme="minorHAnsi"/>
          <w:color w:val="000000"/>
          <w:sz w:val="26"/>
          <w:szCs w:val="26"/>
        </w:rPr>
        <w:t xml:space="preserve">. (citing Aqua Statement in Support at 11).  Accordingly, the ALJ concluded that the </w:t>
      </w:r>
      <w:r w:rsidRPr="00763D84">
        <w:rPr>
          <w:rFonts w:eastAsiaTheme="minorHAnsi"/>
          <w:i/>
          <w:iCs/>
          <w:color w:val="000000"/>
          <w:sz w:val="26"/>
          <w:szCs w:val="26"/>
        </w:rPr>
        <w:t xml:space="preserve">pro forma </w:t>
      </w:r>
      <w:r w:rsidRPr="00763D84">
        <w:rPr>
          <w:rFonts w:eastAsiaTheme="minorHAnsi"/>
          <w:color w:val="000000"/>
          <w:sz w:val="26"/>
          <w:szCs w:val="26"/>
        </w:rPr>
        <w:t xml:space="preserve">tariff will accurately include all rates, rules, and regulations regarding the conditions of Aqua’s wastewater service, and this full and accurate disclosure of rates is in the public interest.  R.D. at 27.  </w:t>
      </w:r>
    </w:p>
    <w:p w14:paraId="16526E7B" w14:textId="391857E9" w:rsidR="00763D84" w:rsidRDefault="00763D84" w:rsidP="00763D84">
      <w:pPr>
        <w:widowControl/>
        <w:autoSpaceDE w:val="0"/>
        <w:autoSpaceDN w:val="0"/>
        <w:adjustRightInd w:val="0"/>
        <w:spacing w:line="360" w:lineRule="auto"/>
        <w:rPr>
          <w:rFonts w:eastAsiaTheme="minorHAnsi"/>
          <w:color w:val="000000"/>
          <w:sz w:val="26"/>
          <w:szCs w:val="26"/>
        </w:rPr>
      </w:pPr>
    </w:p>
    <w:p w14:paraId="75F1591D" w14:textId="69AD7417" w:rsidR="00763D84" w:rsidRPr="00763D84" w:rsidRDefault="00763D84" w:rsidP="00763D84">
      <w:pPr>
        <w:pStyle w:val="Heading3"/>
        <w:rPr>
          <w:rFonts w:eastAsiaTheme="minorHAnsi"/>
        </w:rPr>
      </w:pPr>
      <w:bookmarkStart w:id="34" w:name="_Toc90970711"/>
      <w:r>
        <w:rPr>
          <w:rFonts w:eastAsiaTheme="minorHAnsi"/>
        </w:rPr>
        <w:t>Engineering Assessment</w:t>
      </w:r>
      <w:bookmarkEnd w:id="34"/>
    </w:p>
    <w:p w14:paraId="668F9D12" w14:textId="2E89B7B2" w:rsidR="00763D84" w:rsidRDefault="00763D84" w:rsidP="00950AF2">
      <w:pPr>
        <w:widowControl/>
        <w:spacing w:line="360" w:lineRule="auto"/>
        <w:rPr>
          <w:sz w:val="26"/>
          <w:szCs w:val="26"/>
        </w:rPr>
      </w:pPr>
    </w:p>
    <w:p w14:paraId="745900AD" w14:textId="2807FD09" w:rsidR="00763D84" w:rsidRDefault="00763D84" w:rsidP="00763D84">
      <w:pPr>
        <w:widowControl/>
        <w:spacing w:line="360" w:lineRule="auto"/>
        <w:ind w:firstLine="1440"/>
        <w:rPr>
          <w:sz w:val="26"/>
          <w:szCs w:val="26"/>
        </w:rPr>
      </w:pPr>
      <w:r>
        <w:rPr>
          <w:bCs/>
          <w:sz w:val="26"/>
          <w:szCs w:val="26"/>
        </w:rPr>
        <w:t>The ALJ stated that Aqua</w:t>
      </w:r>
      <w:r w:rsidRPr="00AB2006">
        <w:rPr>
          <w:sz w:val="26"/>
          <w:szCs w:val="26"/>
        </w:rPr>
        <w:t xml:space="preserve"> agreed </w:t>
      </w:r>
      <w:r>
        <w:rPr>
          <w:sz w:val="26"/>
          <w:szCs w:val="26"/>
        </w:rPr>
        <w:t xml:space="preserve">in the Partial Settlement </w:t>
      </w:r>
      <w:r w:rsidRPr="00AB2006">
        <w:rPr>
          <w:sz w:val="26"/>
          <w:szCs w:val="26"/>
        </w:rPr>
        <w:t xml:space="preserve">that in any future Section 1329 applications it submits, the engineering assessment required under 66 Pa. C.S. § 1329(a)(4) will designate the condition of the inventory and assets appraised. </w:t>
      </w:r>
      <w:r>
        <w:rPr>
          <w:sz w:val="26"/>
          <w:szCs w:val="26"/>
        </w:rPr>
        <w:t xml:space="preserve"> </w:t>
      </w:r>
      <w:r w:rsidRPr="00AB2006">
        <w:rPr>
          <w:sz w:val="26"/>
          <w:szCs w:val="26"/>
        </w:rPr>
        <w:t xml:space="preserve">Aqua </w:t>
      </w:r>
      <w:r>
        <w:rPr>
          <w:sz w:val="26"/>
          <w:szCs w:val="26"/>
        </w:rPr>
        <w:t>also</w:t>
      </w:r>
      <w:r w:rsidRPr="00AB2006">
        <w:rPr>
          <w:sz w:val="26"/>
          <w:szCs w:val="26"/>
        </w:rPr>
        <w:t xml:space="preserve"> agreed that such designation of </w:t>
      </w:r>
      <w:r>
        <w:rPr>
          <w:sz w:val="26"/>
          <w:szCs w:val="26"/>
        </w:rPr>
        <w:t xml:space="preserve">the </w:t>
      </w:r>
      <w:r w:rsidRPr="00AB2006">
        <w:rPr>
          <w:sz w:val="26"/>
          <w:szCs w:val="26"/>
        </w:rPr>
        <w:t xml:space="preserve">condition shall be limited to whether the categories of system assets appraised are in poor, fair, good, or very good condition. </w:t>
      </w:r>
      <w:r>
        <w:rPr>
          <w:sz w:val="26"/>
          <w:szCs w:val="26"/>
        </w:rPr>
        <w:t xml:space="preserve"> R.D. at 28.  The ALJ concluded that the Joint Petitioners agreed to t</w:t>
      </w:r>
      <w:r w:rsidRPr="00AB2006">
        <w:rPr>
          <w:sz w:val="26"/>
          <w:szCs w:val="26"/>
        </w:rPr>
        <w:t xml:space="preserve">his term and, as I&amp;E explained, ensuring that incongruent valuations are not produced in the future </w:t>
      </w:r>
      <w:proofErr w:type="gramStart"/>
      <w:r w:rsidRPr="00AB2006">
        <w:rPr>
          <w:sz w:val="26"/>
          <w:szCs w:val="26"/>
        </w:rPr>
        <w:t>as a result of</w:t>
      </w:r>
      <w:proofErr w:type="gramEnd"/>
      <w:r w:rsidRPr="00AB2006">
        <w:rPr>
          <w:sz w:val="26"/>
          <w:szCs w:val="26"/>
        </w:rPr>
        <w:t xml:space="preserve"> the engineering report’s lack of condition designation is necessary to protect the integrity of the fair market valuations and the Section 1329 process.</w:t>
      </w:r>
      <w:r>
        <w:rPr>
          <w:sz w:val="26"/>
          <w:szCs w:val="26"/>
        </w:rPr>
        <w:t xml:space="preserve">  </w:t>
      </w:r>
      <w:r w:rsidRPr="00FD6571">
        <w:rPr>
          <w:i/>
          <w:iCs/>
          <w:sz w:val="26"/>
          <w:szCs w:val="26"/>
        </w:rPr>
        <w:t>Id</w:t>
      </w:r>
      <w:r>
        <w:rPr>
          <w:sz w:val="26"/>
          <w:szCs w:val="26"/>
        </w:rPr>
        <w:t xml:space="preserve">. (citing </w:t>
      </w:r>
      <w:r w:rsidRPr="00AB2006">
        <w:rPr>
          <w:sz w:val="26"/>
          <w:szCs w:val="26"/>
        </w:rPr>
        <w:t>Joint Petition</w:t>
      </w:r>
      <w:r>
        <w:rPr>
          <w:sz w:val="26"/>
          <w:szCs w:val="26"/>
        </w:rPr>
        <w:t xml:space="preserve"> at</w:t>
      </w:r>
      <w:r w:rsidRPr="00AB2006">
        <w:rPr>
          <w:sz w:val="26"/>
          <w:szCs w:val="26"/>
        </w:rPr>
        <w:t xml:space="preserve"> 11-12</w:t>
      </w:r>
      <w:r>
        <w:rPr>
          <w:sz w:val="26"/>
          <w:szCs w:val="26"/>
        </w:rPr>
        <w:t>)</w:t>
      </w:r>
      <w:r w:rsidRPr="00AB2006">
        <w:rPr>
          <w:sz w:val="26"/>
          <w:szCs w:val="26"/>
        </w:rPr>
        <w:t>.</w:t>
      </w:r>
    </w:p>
    <w:p w14:paraId="6FF67601" w14:textId="29A93896" w:rsidR="00763D84" w:rsidRDefault="00763D84" w:rsidP="00950AF2">
      <w:pPr>
        <w:widowControl/>
        <w:spacing w:line="360" w:lineRule="auto"/>
        <w:rPr>
          <w:sz w:val="26"/>
          <w:szCs w:val="26"/>
        </w:rPr>
      </w:pPr>
    </w:p>
    <w:p w14:paraId="5BECA2E4" w14:textId="0D527598" w:rsidR="00763D84" w:rsidRDefault="00763D84" w:rsidP="00763D84">
      <w:pPr>
        <w:pStyle w:val="Heading3"/>
      </w:pPr>
      <w:bookmarkStart w:id="35" w:name="_Toc90970712"/>
      <w:r>
        <w:t>Easements and Other Property Rights</w:t>
      </w:r>
      <w:bookmarkEnd w:id="35"/>
    </w:p>
    <w:p w14:paraId="33A57E64" w14:textId="77777777" w:rsidR="00763D84" w:rsidRDefault="00763D84" w:rsidP="00950AF2">
      <w:pPr>
        <w:widowControl/>
        <w:spacing w:line="360" w:lineRule="auto"/>
        <w:rPr>
          <w:sz w:val="26"/>
          <w:szCs w:val="26"/>
        </w:rPr>
      </w:pPr>
    </w:p>
    <w:p w14:paraId="310D0211" w14:textId="1F3699D4" w:rsidR="00763D84" w:rsidRPr="00763D84" w:rsidRDefault="00763D84" w:rsidP="00763D84">
      <w:pPr>
        <w:widowControl/>
        <w:autoSpaceDE w:val="0"/>
        <w:autoSpaceDN w:val="0"/>
        <w:adjustRightInd w:val="0"/>
        <w:spacing w:line="360" w:lineRule="auto"/>
        <w:ind w:firstLine="1440"/>
        <w:rPr>
          <w:rFonts w:eastAsiaTheme="minorHAnsi"/>
          <w:color w:val="000000"/>
          <w:sz w:val="26"/>
          <w:szCs w:val="26"/>
        </w:rPr>
      </w:pPr>
      <w:r w:rsidRPr="00763D84">
        <w:rPr>
          <w:rFonts w:eastAsiaTheme="minorHAnsi"/>
          <w:color w:val="000000"/>
          <w:sz w:val="26"/>
          <w:szCs w:val="26"/>
        </w:rPr>
        <w:t>The ALJ observed that under the Partial Settlement, Aqua has agreed to work with the Township to ensure the transfer of all real property rights, including easements and missing easements as defined in the APA, by Closing and to provide an update to I&amp;E, the OCA, and the OSBA in advance of Closing and a final update before Closing regarding the status of the transfer of real property rights including easements.  The Partial Settlement also includes a provision for the establishment of an escrow from the purchase price to ensure transfer of the real property rights.</w:t>
      </w:r>
      <w:r w:rsidR="00EB1FCA">
        <w:rPr>
          <w:rFonts w:eastAsiaTheme="minorHAnsi"/>
          <w:color w:val="000000"/>
          <w:sz w:val="26"/>
          <w:szCs w:val="26"/>
        </w:rPr>
        <w:t xml:space="preserve">  </w:t>
      </w:r>
      <w:r w:rsidRPr="00763D84">
        <w:rPr>
          <w:rFonts w:eastAsiaTheme="minorHAnsi"/>
          <w:color w:val="000000"/>
          <w:sz w:val="26"/>
          <w:szCs w:val="26"/>
        </w:rPr>
        <w:t xml:space="preserve">The ALJ noted that I&amp;E explained the public interest would be harmed if Aqua paid a purchase price that assumed that all rights necessary to operate the Township would be transferred, and at the Township’s cost, and such action did not occur.  To protect against this possibility, the Partial Settlement includes establishment of an escrow account that would be imposed on the Township to ensure that any right not transferred at closing must be financially accounted for by payment to the escrow account.  R.D. at 31.  The ALJ found that this Partial Settlement term is in the public interest and, as I&amp;E asserted, provides an additional layer of accountability if Aqua and the Township would mutually decide to waive the applicable sections of the APA that bind it to deliver good and marketable title to all real property necessary for the operation of the acquired system.  </w:t>
      </w:r>
      <w:r w:rsidRPr="00763D84">
        <w:rPr>
          <w:rFonts w:eastAsiaTheme="minorHAnsi"/>
          <w:i/>
          <w:iCs/>
          <w:color w:val="000000"/>
          <w:sz w:val="26"/>
          <w:szCs w:val="26"/>
        </w:rPr>
        <w:t>Id</w:t>
      </w:r>
      <w:r w:rsidRPr="00763D84">
        <w:rPr>
          <w:rFonts w:eastAsiaTheme="minorHAnsi"/>
          <w:color w:val="000000"/>
          <w:sz w:val="26"/>
          <w:szCs w:val="26"/>
        </w:rPr>
        <w:t xml:space="preserve">. at 31-32 (citing I&amp;E Statement in Support at 9). </w:t>
      </w:r>
    </w:p>
    <w:p w14:paraId="5B1505A4" w14:textId="77777777" w:rsidR="00763D84" w:rsidRPr="00763D84" w:rsidRDefault="00763D84" w:rsidP="00763D84">
      <w:pPr>
        <w:widowControl/>
        <w:autoSpaceDE w:val="0"/>
        <w:autoSpaceDN w:val="0"/>
        <w:adjustRightInd w:val="0"/>
        <w:spacing w:line="360" w:lineRule="auto"/>
        <w:rPr>
          <w:rFonts w:eastAsiaTheme="minorHAnsi"/>
          <w:color w:val="000000"/>
          <w:sz w:val="26"/>
          <w:szCs w:val="26"/>
        </w:rPr>
      </w:pPr>
    </w:p>
    <w:p w14:paraId="492B4C10" w14:textId="0D961ADC" w:rsidR="00763D84" w:rsidRDefault="00763D84" w:rsidP="00380257">
      <w:pPr>
        <w:widowControl/>
        <w:autoSpaceDE w:val="0"/>
        <w:autoSpaceDN w:val="0"/>
        <w:adjustRightInd w:val="0"/>
        <w:spacing w:line="360" w:lineRule="auto"/>
        <w:ind w:firstLine="1440"/>
        <w:rPr>
          <w:rFonts w:eastAsiaTheme="minorHAnsi"/>
          <w:color w:val="000000"/>
          <w:sz w:val="26"/>
          <w:szCs w:val="26"/>
        </w:rPr>
      </w:pPr>
      <w:r w:rsidRPr="00763D84">
        <w:rPr>
          <w:rFonts w:eastAsiaTheme="minorHAnsi"/>
          <w:color w:val="000000"/>
          <w:sz w:val="26"/>
          <w:szCs w:val="26"/>
        </w:rPr>
        <w:t>The ALJ also found that Aqua’s agreement to provide the Statutory Parties with an update on the status of the transfer of real property rights related to the system in advance of the anticipated Closing Date provides an effective mechanism to monitor the Township’s progress in meeting its property transfer obligations, and it enables the Statutory Parties to take any action that may be warranted and available to ensure that Aqua’s ratepayers are not paying for property rights that are not obtained or paying any costs associated with obtaining those rights.  R.D. at 32 (citing I&amp;E Statement in Support at 9-10).</w:t>
      </w:r>
    </w:p>
    <w:p w14:paraId="52910FAF" w14:textId="77777777" w:rsidR="00455CC3" w:rsidRPr="00380257" w:rsidRDefault="00455CC3" w:rsidP="00380257">
      <w:pPr>
        <w:widowControl/>
        <w:autoSpaceDE w:val="0"/>
        <w:autoSpaceDN w:val="0"/>
        <w:adjustRightInd w:val="0"/>
        <w:spacing w:line="360" w:lineRule="auto"/>
        <w:ind w:firstLine="1440"/>
        <w:rPr>
          <w:rFonts w:eastAsiaTheme="minorHAnsi"/>
          <w:color w:val="000000"/>
          <w:sz w:val="26"/>
          <w:szCs w:val="26"/>
        </w:rPr>
      </w:pPr>
    </w:p>
    <w:p w14:paraId="6819126A" w14:textId="68483C48" w:rsidR="00763D84" w:rsidRDefault="00763D84" w:rsidP="00763D84">
      <w:pPr>
        <w:pStyle w:val="Heading3"/>
      </w:pPr>
      <w:bookmarkStart w:id="36" w:name="_Toc90970713"/>
      <w:r>
        <w:t>Cost of Service Study</w:t>
      </w:r>
      <w:bookmarkEnd w:id="36"/>
    </w:p>
    <w:p w14:paraId="694DFDBF" w14:textId="77777777" w:rsidR="00763D84" w:rsidRDefault="00763D84" w:rsidP="00950AF2">
      <w:pPr>
        <w:widowControl/>
        <w:spacing w:line="360" w:lineRule="auto"/>
        <w:rPr>
          <w:sz w:val="26"/>
          <w:szCs w:val="26"/>
        </w:rPr>
      </w:pPr>
    </w:p>
    <w:p w14:paraId="6FDB85D6" w14:textId="742FCC4F" w:rsidR="00763D84" w:rsidRPr="00763D84" w:rsidRDefault="00763D84" w:rsidP="00763D84">
      <w:pPr>
        <w:widowControl/>
        <w:autoSpaceDE w:val="0"/>
        <w:autoSpaceDN w:val="0"/>
        <w:adjustRightInd w:val="0"/>
        <w:spacing w:line="360" w:lineRule="auto"/>
        <w:ind w:firstLine="1440"/>
        <w:rPr>
          <w:rFonts w:eastAsiaTheme="minorHAnsi"/>
          <w:b/>
          <w:bCs/>
          <w:sz w:val="26"/>
          <w:szCs w:val="26"/>
        </w:rPr>
      </w:pPr>
      <w:r w:rsidRPr="00763D84">
        <w:rPr>
          <w:rFonts w:eastAsiaTheme="minorHAnsi"/>
          <w:color w:val="000000"/>
          <w:sz w:val="26"/>
          <w:szCs w:val="26"/>
        </w:rPr>
        <w:t xml:space="preserve">The ALJ explained that the Partial Settlement provides that in Aqua’s first base rate case following closing in which the Company includes the Township’s assets in rate base, Aqua will submit a wastewater cost of service study that removes all costs and revenues associated with the Township system, and the Company will also provide a separate cost of service study for the Township system.  The ALJ reasoned that these Partial Settlement terms will provide a mechanism for the parties to use the cost of service data to set rates for the Township’s customers that differ, as appropriate, from rates established for other wastewater customers.  The ALJ agreed with I&amp;E’s position that </w:t>
      </w:r>
      <w:r w:rsidRPr="00763D84">
        <w:rPr>
          <w:rFonts w:eastAsiaTheme="minorHAnsi"/>
          <w:sz w:val="26"/>
          <w:szCs w:val="26"/>
        </w:rPr>
        <w:t>without a cost of service study, the Commission’s ability to evaluate the rate impact of the acquisition upon existing Aqua customers and its options of addressing that impact to provide any appropriate relief to existing customers could be compromised.  R.D.</w:t>
      </w:r>
      <w:r w:rsidR="00455CC3">
        <w:rPr>
          <w:rFonts w:eastAsiaTheme="minorHAnsi"/>
          <w:sz w:val="26"/>
          <w:szCs w:val="26"/>
        </w:rPr>
        <w:t> </w:t>
      </w:r>
      <w:r w:rsidRPr="00763D84">
        <w:rPr>
          <w:rFonts w:eastAsiaTheme="minorHAnsi"/>
          <w:sz w:val="26"/>
          <w:szCs w:val="26"/>
        </w:rPr>
        <w:t>at</w:t>
      </w:r>
      <w:r w:rsidR="00455CC3">
        <w:rPr>
          <w:rFonts w:eastAsiaTheme="minorHAnsi"/>
          <w:sz w:val="26"/>
          <w:szCs w:val="26"/>
        </w:rPr>
        <w:t> </w:t>
      </w:r>
      <w:r w:rsidRPr="00763D84">
        <w:rPr>
          <w:rFonts w:eastAsiaTheme="minorHAnsi"/>
          <w:sz w:val="26"/>
          <w:szCs w:val="26"/>
        </w:rPr>
        <w:t xml:space="preserve">34.  The ALJ further agreed with I&amp;E’s position that Aqua’s cost of service study commitment will serve the public interest, because a cost of service study can establish the existence and extent of subsidization (inter and intra-class) and assist in determining the appropriate amount of revenue requirement that is reasonable to shift from the wastewater customers to the water customers.  </w:t>
      </w:r>
      <w:r w:rsidRPr="00763D84">
        <w:rPr>
          <w:rFonts w:eastAsiaTheme="minorHAnsi"/>
          <w:i/>
          <w:iCs/>
          <w:sz w:val="26"/>
          <w:szCs w:val="26"/>
        </w:rPr>
        <w:t>Id</w:t>
      </w:r>
      <w:r w:rsidRPr="00763D84">
        <w:rPr>
          <w:rFonts w:eastAsiaTheme="minorHAnsi"/>
          <w:sz w:val="26"/>
          <w:szCs w:val="26"/>
        </w:rPr>
        <w:t>. (citing I&amp;E Statement in Support at</w:t>
      </w:r>
      <w:r w:rsidR="00455CC3">
        <w:rPr>
          <w:rFonts w:eastAsiaTheme="minorHAnsi"/>
          <w:sz w:val="26"/>
          <w:szCs w:val="26"/>
        </w:rPr>
        <w:t> </w:t>
      </w:r>
      <w:r w:rsidRPr="00763D84">
        <w:rPr>
          <w:rFonts w:eastAsiaTheme="minorHAnsi"/>
          <w:sz w:val="26"/>
          <w:szCs w:val="26"/>
        </w:rPr>
        <w:t>10</w:t>
      </w:r>
      <w:r w:rsidR="00455CC3">
        <w:rPr>
          <w:rFonts w:eastAsiaTheme="minorHAnsi"/>
          <w:sz w:val="26"/>
          <w:szCs w:val="26"/>
        </w:rPr>
        <w:noBreakHyphen/>
      </w:r>
      <w:r w:rsidRPr="00763D84">
        <w:rPr>
          <w:rFonts w:eastAsiaTheme="minorHAnsi"/>
          <w:sz w:val="26"/>
          <w:szCs w:val="26"/>
        </w:rPr>
        <w:t>11).</w:t>
      </w:r>
    </w:p>
    <w:p w14:paraId="5F5037BC" w14:textId="543ADE01" w:rsidR="00763D84" w:rsidRDefault="00763D84" w:rsidP="00950AF2">
      <w:pPr>
        <w:widowControl/>
        <w:spacing w:line="360" w:lineRule="auto"/>
        <w:rPr>
          <w:sz w:val="26"/>
          <w:szCs w:val="26"/>
        </w:rPr>
      </w:pPr>
    </w:p>
    <w:p w14:paraId="7163B470" w14:textId="59289CCE" w:rsidR="00763D84" w:rsidRDefault="00097AFA" w:rsidP="00097AFA">
      <w:pPr>
        <w:pStyle w:val="Heading3"/>
        <w:spacing w:line="240" w:lineRule="auto"/>
      </w:pPr>
      <w:bookmarkStart w:id="37" w:name="_Toc90970714"/>
      <w:r>
        <w:t>Allowance for Funds Used During Construction, Deferral of Depreciation and Transaction Costs</w:t>
      </w:r>
      <w:bookmarkEnd w:id="37"/>
    </w:p>
    <w:p w14:paraId="4BD506ED" w14:textId="06148220" w:rsidR="00763D84" w:rsidRDefault="00763D84" w:rsidP="00950AF2">
      <w:pPr>
        <w:widowControl/>
        <w:spacing w:line="360" w:lineRule="auto"/>
        <w:rPr>
          <w:sz w:val="26"/>
          <w:szCs w:val="26"/>
        </w:rPr>
      </w:pPr>
    </w:p>
    <w:p w14:paraId="0ECFA3CD" w14:textId="77777777" w:rsidR="00097AFA" w:rsidRPr="00097AFA" w:rsidRDefault="00097AFA" w:rsidP="00097AFA">
      <w:pPr>
        <w:widowControl/>
        <w:autoSpaceDE w:val="0"/>
        <w:autoSpaceDN w:val="0"/>
        <w:adjustRightInd w:val="0"/>
        <w:spacing w:line="360" w:lineRule="auto"/>
        <w:ind w:firstLine="1440"/>
        <w:rPr>
          <w:rFonts w:eastAsiaTheme="minorHAnsi"/>
          <w:color w:val="000000"/>
          <w:sz w:val="26"/>
          <w:szCs w:val="26"/>
        </w:rPr>
      </w:pPr>
      <w:r w:rsidRPr="00097AFA">
        <w:rPr>
          <w:rFonts w:eastAsiaTheme="minorHAnsi"/>
          <w:color w:val="000000"/>
          <w:sz w:val="26"/>
          <w:szCs w:val="26"/>
        </w:rPr>
        <w:t xml:space="preserve">The ALJ stated that Aqua agreed in the Partial Settlement that any claims for AFUDC and deferred depreciation related to post-acquisition improvements not recovered through the DSIC will be addressed in Aqua’s first base rate case which includes Township wastewater system assets, and the Joint Petitioners reserve the right to litigate claims for AFUDC, deferral of depreciation, and transaction costs in future rate cases.  R.D. at 36.  The ALJ noted that as Aqua explained, the Commission has previously directed a similar condition to meet the affirmative public benefit standard.  </w:t>
      </w:r>
      <w:r w:rsidRPr="00097AFA">
        <w:rPr>
          <w:rFonts w:eastAsiaTheme="minorHAnsi"/>
          <w:i/>
          <w:iCs/>
          <w:color w:val="000000"/>
          <w:sz w:val="26"/>
          <w:szCs w:val="26"/>
        </w:rPr>
        <w:t>Id</w:t>
      </w:r>
      <w:r w:rsidRPr="00097AFA">
        <w:rPr>
          <w:rFonts w:eastAsiaTheme="minorHAnsi"/>
          <w:color w:val="000000"/>
          <w:sz w:val="26"/>
          <w:szCs w:val="26"/>
        </w:rPr>
        <w:t xml:space="preserve">. (citing </w:t>
      </w:r>
      <w:r w:rsidRPr="00097AFA">
        <w:rPr>
          <w:rFonts w:eastAsiaTheme="minorHAnsi"/>
          <w:i/>
          <w:iCs/>
          <w:sz w:val="26"/>
          <w:szCs w:val="26"/>
        </w:rPr>
        <w:t>Application of Aqua Pennsylvania Wastewater, Inc. Pursuant to Sections 1102, 1329, and 507 of the Public Utility Code</w:t>
      </w:r>
      <w:r w:rsidRPr="00097AFA">
        <w:rPr>
          <w:rFonts w:eastAsiaTheme="minorHAnsi"/>
          <w:sz w:val="26"/>
          <w:szCs w:val="26"/>
        </w:rPr>
        <w:t>, Docket No. A-2019-3008491 (Order entered November 5, 2019).  The ALJ concluded that p</w:t>
      </w:r>
      <w:r w:rsidRPr="00097AFA">
        <w:rPr>
          <w:rFonts w:eastAsiaTheme="minorHAnsi"/>
          <w:color w:val="000000"/>
          <w:sz w:val="26"/>
          <w:szCs w:val="26"/>
        </w:rPr>
        <w:t>reserving the ability to litigate any of Aqua’s proposed AFUDC and deferred depreciation treatment protects the public interest by ensuring that interested parties are not hindered in developing a full and complete record for the Commission on this issue when additional information is available, and ratemaking issues are ripe for determination.  R.D. at 36 (citing I&amp;E Statement in Support at 11).</w:t>
      </w:r>
    </w:p>
    <w:p w14:paraId="5BD0BFB1" w14:textId="7256E0BC" w:rsidR="00097AFA" w:rsidRDefault="00097AFA" w:rsidP="00950AF2">
      <w:pPr>
        <w:widowControl/>
        <w:spacing w:line="360" w:lineRule="auto"/>
        <w:rPr>
          <w:sz w:val="26"/>
          <w:szCs w:val="26"/>
        </w:rPr>
      </w:pPr>
    </w:p>
    <w:p w14:paraId="09F87AAB" w14:textId="40E32758" w:rsidR="00097AFA" w:rsidRDefault="00097AFA" w:rsidP="00097AFA">
      <w:pPr>
        <w:pStyle w:val="Heading3"/>
        <w:spacing w:line="240" w:lineRule="auto"/>
      </w:pPr>
      <w:bookmarkStart w:id="38" w:name="_Toc90970715"/>
      <w:r>
        <w:t>Long Term Infrastructure Improvement Plan and Distribution System Improvement Charge</w:t>
      </w:r>
      <w:bookmarkEnd w:id="38"/>
    </w:p>
    <w:p w14:paraId="63DB7641" w14:textId="77777777" w:rsidR="00097AFA" w:rsidRDefault="00097AFA" w:rsidP="00455CC3">
      <w:pPr>
        <w:widowControl/>
        <w:spacing w:line="480" w:lineRule="auto"/>
        <w:rPr>
          <w:sz w:val="26"/>
          <w:szCs w:val="26"/>
        </w:rPr>
      </w:pPr>
    </w:p>
    <w:p w14:paraId="29BDD302" w14:textId="03E7E51C" w:rsidR="00763D84" w:rsidRDefault="00097AFA" w:rsidP="00455CC3">
      <w:pPr>
        <w:widowControl/>
        <w:spacing w:line="360" w:lineRule="auto"/>
        <w:ind w:firstLine="1440"/>
        <w:rPr>
          <w:sz w:val="26"/>
          <w:szCs w:val="26"/>
        </w:rPr>
      </w:pPr>
      <w:r>
        <w:rPr>
          <w:bCs/>
          <w:sz w:val="26"/>
          <w:szCs w:val="26"/>
        </w:rPr>
        <w:t xml:space="preserve">The ALJ noted that under the Partial </w:t>
      </w:r>
      <w:r w:rsidRPr="00770B02">
        <w:rPr>
          <w:sz w:val="26"/>
          <w:szCs w:val="26"/>
        </w:rPr>
        <w:t>Settlement</w:t>
      </w:r>
      <w:r>
        <w:rPr>
          <w:sz w:val="26"/>
          <w:szCs w:val="26"/>
        </w:rPr>
        <w:t>, the Joint Petitioners</w:t>
      </w:r>
      <w:r w:rsidRPr="00770B02">
        <w:rPr>
          <w:sz w:val="26"/>
          <w:szCs w:val="26"/>
        </w:rPr>
        <w:t xml:space="preserve"> agreed that Aqua may apply the DSIC to customers in the Township service area </w:t>
      </w:r>
      <w:r>
        <w:rPr>
          <w:sz w:val="26"/>
          <w:szCs w:val="26"/>
        </w:rPr>
        <w:t>before</w:t>
      </w:r>
      <w:r w:rsidRPr="00770B02">
        <w:rPr>
          <w:sz w:val="26"/>
          <w:szCs w:val="26"/>
        </w:rPr>
        <w:t xml:space="preserve"> the first base rate case in which the system’s plant in service is incorporated into rate base pursuant to Section 1329(d)(4) </w:t>
      </w:r>
      <w:r>
        <w:rPr>
          <w:sz w:val="26"/>
          <w:szCs w:val="26"/>
        </w:rPr>
        <w:t xml:space="preserve">of the Code.  R.D. at 38.  The Partial Settlement provisions provide that </w:t>
      </w:r>
      <w:r w:rsidRPr="00770B02">
        <w:rPr>
          <w:sz w:val="26"/>
          <w:szCs w:val="26"/>
        </w:rPr>
        <w:t xml:space="preserve">if Aqua proposes to revise its LTIIP to include </w:t>
      </w:r>
      <w:r>
        <w:rPr>
          <w:sz w:val="26"/>
          <w:szCs w:val="26"/>
        </w:rPr>
        <w:t xml:space="preserve">the </w:t>
      </w:r>
      <w:r w:rsidRPr="00770B02">
        <w:rPr>
          <w:sz w:val="26"/>
          <w:szCs w:val="26"/>
        </w:rPr>
        <w:t xml:space="preserve">Township and related projects, the projects added for the acquired system will be in addition to those that Aqua plans for its existing </w:t>
      </w:r>
      <w:proofErr w:type="gramStart"/>
      <w:r w:rsidRPr="00770B02">
        <w:rPr>
          <w:sz w:val="26"/>
          <w:szCs w:val="26"/>
        </w:rPr>
        <w:t>systems</w:t>
      </w:r>
      <w:r>
        <w:rPr>
          <w:sz w:val="26"/>
          <w:szCs w:val="26"/>
        </w:rPr>
        <w:t>, and</w:t>
      </w:r>
      <w:proofErr w:type="gramEnd"/>
      <w:r>
        <w:rPr>
          <w:sz w:val="26"/>
          <w:szCs w:val="26"/>
        </w:rPr>
        <w:t xml:space="preserve"> are in addition to the projects already included in Aqua’s approved LTIPP</w:t>
      </w:r>
      <w:r w:rsidRPr="00770B02">
        <w:rPr>
          <w:sz w:val="26"/>
          <w:szCs w:val="26"/>
        </w:rPr>
        <w:t xml:space="preserve">. </w:t>
      </w:r>
      <w:r>
        <w:rPr>
          <w:sz w:val="26"/>
          <w:szCs w:val="26"/>
        </w:rPr>
        <w:t xml:space="preserve"> </w:t>
      </w:r>
      <w:r w:rsidRPr="00731EF8">
        <w:rPr>
          <w:i/>
          <w:iCs/>
          <w:sz w:val="26"/>
          <w:szCs w:val="26"/>
        </w:rPr>
        <w:t>Id</w:t>
      </w:r>
      <w:r>
        <w:rPr>
          <w:sz w:val="26"/>
          <w:szCs w:val="26"/>
        </w:rPr>
        <w:t>. at 38-39.  The ALJ reasoned that t</w:t>
      </w:r>
      <w:r w:rsidRPr="00770B02">
        <w:rPr>
          <w:sz w:val="26"/>
          <w:szCs w:val="26"/>
        </w:rPr>
        <w:t xml:space="preserve">his </w:t>
      </w:r>
      <w:r>
        <w:rPr>
          <w:sz w:val="26"/>
          <w:szCs w:val="26"/>
        </w:rPr>
        <w:t>Partial S</w:t>
      </w:r>
      <w:r w:rsidRPr="00770B02">
        <w:rPr>
          <w:sz w:val="26"/>
          <w:szCs w:val="26"/>
        </w:rPr>
        <w:t xml:space="preserve">ettlement term allows </w:t>
      </w:r>
      <w:r>
        <w:rPr>
          <w:sz w:val="26"/>
          <w:szCs w:val="26"/>
        </w:rPr>
        <w:t>Township</w:t>
      </w:r>
      <w:r w:rsidRPr="00770B02">
        <w:rPr>
          <w:sz w:val="26"/>
          <w:szCs w:val="26"/>
        </w:rPr>
        <w:t xml:space="preserve"> customers to begin contributing</w:t>
      </w:r>
      <w:r>
        <w:rPr>
          <w:sz w:val="26"/>
          <w:szCs w:val="26"/>
        </w:rPr>
        <w:t>,</w:t>
      </w:r>
      <w:r w:rsidRPr="00770B02">
        <w:rPr>
          <w:sz w:val="26"/>
          <w:szCs w:val="26"/>
        </w:rPr>
        <w:t xml:space="preserve"> up to 5% of their total wastewater bill, toward DSIC-eligible capital projects. </w:t>
      </w:r>
      <w:r>
        <w:rPr>
          <w:sz w:val="26"/>
          <w:szCs w:val="26"/>
        </w:rPr>
        <w:t xml:space="preserve"> </w:t>
      </w:r>
      <w:r w:rsidRPr="004D4C0C">
        <w:rPr>
          <w:i/>
          <w:iCs/>
          <w:sz w:val="26"/>
          <w:szCs w:val="26"/>
        </w:rPr>
        <w:t>Id</w:t>
      </w:r>
      <w:r>
        <w:rPr>
          <w:sz w:val="26"/>
          <w:szCs w:val="26"/>
        </w:rPr>
        <w:t xml:space="preserve">. at 39 (citing </w:t>
      </w:r>
      <w:r w:rsidRPr="00770B02">
        <w:rPr>
          <w:sz w:val="26"/>
          <w:szCs w:val="26"/>
        </w:rPr>
        <w:t>Joint Petition</w:t>
      </w:r>
      <w:r>
        <w:rPr>
          <w:sz w:val="26"/>
          <w:szCs w:val="26"/>
        </w:rPr>
        <w:t xml:space="preserve"> at</w:t>
      </w:r>
      <w:r w:rsidR="00455CC3">
        <w:rPr>
          <w:sz w:val="26"/>
          <w:szCs w:val="26"/>
        </w:rPr>
        <w:t> </w:t>
      </w:r>
      <w:r w:rsidRPr="00770B02">
        <w:rPr>
          <w:sz w:val="26"/>
          <w:szCs w:val="26"/>
        </w:rPr>
        <w:t>13</w:t>
      </w:r>
      <w:r>
        <w:rPr>
          <w:sz w:val="26"/>
          <w:szCs w:val="26"/>
        </w:rPr>
        <w:t>)</w:t>
      </w:r>
      <w:r w:rsidRPr="00770B02">
        <w:rPr>
          <w:sz w:val="26"/>
          <w:szCs w:val="26"/>
        </w:rPr>
        <w:t xml:space="preserve">. </w:t>
      </w:r>
      <w:r>
        <w:rPr>
          <w:sz w:val="26"/>
          <w:szCs w:val="26"/>
        </w:rPr>
        <w:t xml:space="preserve"> The Partial Settlement further provides that if </w:t>
      </w:r>
      <w:r w:rsidRPr="00377B7F">
        <w:rPr>
          <w:sz w:val="26"/>
          <w:szCs w:val="26"/>
        </w:rPr>
        <w:t xml:space="preserve">Aqua seeks to modify its LTIIP to include the </w:t>
      </w:r>
      <w:r>
        <w:rPr>
          <w:sz w:val="26"/>
          <w:szCs w:val="26"/>
        </w:rPr>
        <w:t>Township</w:t>
      </w:r>
      <w:r w:rsidRPr="00377B7F">
        <w:rPr>
          <w:sz w:val="26"/>
          <w:szCs w:val="26"/>
        </w:rPr>
        <w:t xml:space="preserve"> system, Aqua will not reprioritize other existing capital improvements that the Company already committed to undertake in other service areas. </w:t>
      </w:r>
      <w:r>
        <w:rPr>
          <w:sz w:val="26"/>
          <w:szCs w:val="26"/>
        </w:rPr>
        <w:t xml:space="preserve"> R.D. at 39.  The ALJ agreed with the Joint Petitioners that t</w:t>
      </w:r>
      <w:r w:rsidRPr="00377B7F">
        <w:rPr>
          <w:sz w:val="26"/>
          <w:szCs w:val="26"/>
        </w:rPr>
        <w:t xml:space="preserve">hese terms help to ensure that projects and expenditures already planned for existing Aqua wastewater customers will not be given less priority </w:t>
      </w:r>
      <w:proofErr w:type="gramStart"/>
      <w:r w:rsidRPr="00377B7F">
        <w:rPr>
          <w:sz w:val="26"/>
          <w:szCs w:val="26"/>
        </w:rPr>
        <w:t>as a result of</w:t>
      </w:r>
      <w:proofErr w:type="gramEnd"/>
      <w:r w:rsidRPr="00377B7F">
        <w:rPr>
          <w:sz w:val="26"/>
          <w:szCs w:val="26"/>
        </w:rPr>
        <w:t xml:space="preserve"> the </w:t>
      </w:r>
      <w:r>
        <w:rPr>
          <w:sz w:val="26"/>
          <w:szCs w:val="26"/>
        </w:rPr>
        <w:t>Township</w:t>
      </w:r>
      <w:r w:rsidRPr="00377B7F">
        <w:rPr>
          <w:sz w:val="26"/>
          <w:szCs w:val="26"/>
        </w:rPr>
        <w:t xml:space="preserve"> acquisition. </w:t>
      </w:r>
      <w:r>
        <w:rPr>
          <w:sz w:val="26"/>
          <w:szCs w:val="26"/>
        </w:rPr>
        <w:t xml:space="preserve"> </w:t>
      </w:r>
      <w:r w:rsidRPr="00796574">
        <w:rPr>
          <w:i/>
          <w:iCs/>
          <w:sz w:val="26"/>
          <w:szCs w:val="26"/>
        </w:rPr>
        <w:t>Id</w:t>
      </w:r>
      <w:r>
        <w:rPr>
          <w:sz w:val="26"/>
          <w:szCs w:val="26"/>
        </w:rPr>
        <w:t xml:space="preserve">. (citing </w:t>
      </w:r>
      <w:r w:rsidRPr="00377B7F">
        <w:rPr>
          <w:sz w:val="26"/>
          <w:szCs w:val="26"/>
        </w:rPr>
        <w:t>Aqua St</w:t>
      </w:r>
      <w:r>
        <w:rPr>
          <w:sz w:val="26"/>
          <w:szCs w:val="26"/>
        </w:rPr>
        <w:t>atement</w:t>
      </w:r>
      <w:r w:rsidRPr="00377B7F">
        <w:rPr>
          <w:sz w:val="26"/>
          <w:szCs w:val="26"/>
        </w:rPr>
        <w:t xml:space="preserve"> in Support </w:t>
      </w:r>
      <w:r>
        <w:rPr>
          <w:sz w:val="26"/>
          <w:szCs w:val="26"/>
        </w:rPr>
        <w:t>at</w:t>
      </w:r>
      <w:r w:rsidRPr="00377B7F">
        <w:rPr>
          <w:sz w:val="26"/>
          <w:szCs w:val="26"/>
        </w:rPr>
        <w:t xml:space="preserve"> 14</w:t>
      </w:r>
      <w:r>
        <w:rPr>
          <w:sz w:val="26"/>
          <w:szCs w:val="26"/>
        </w:rPr>
        <w:t>)</w:t>
      </w:r>
      <w:r w:rsidRPr="00377B7F">
        <w:rPr>
          <w:sz w:val="26"/>
          <w:szCs w:val="26"/>
        </w:rPr>
        <w:t xml:space="preserve">. </w:t>
      </w:r>
      <w:r>
        <w:rPr>
          <w:sz w:val="26"/>
          <w:szCs w:val="26"/>
        </w:rPr>
        <w:t xml:space="preserve"> </w:t>
      </w:r>
    </w:p>
    <w:p w14:paraId="0B0CA244" w14:textId="7EB9D481" w:rsidR="00097AFA" w:rsidRDefault="00097AFA" w:rsidP="00455CC3">
      <w:pPr>
        <w:widowControl/>
        <w:spacing w:line="360" w:lineRule="auto"/>
        <w:rPr>
          <w:sz w:val="26"/>
          <w:szCs w:val="26"/>
        </w:rPr>
      </w:pPr>
    </w:p>
    <w:p w14:paraId="3A1A55D8" w14:textId="1816C64C" w:rsidR="00097AFA" w:rsidRDefault="00097AFA" w:rsidP="00455CC3">
      <w:pPr>
        <w:pStyle w:val="Heading3"/>
      </w:pPr>
      <w:bookmarkStart w:id="39" w:name="_Toc90970716"/>
      <w:r>
        <w:t>Township Rates</w:t>
      </w:r>
      <w:bookmarkEnd w:id="39"/>
    </w:p>
    <w:p w14:paraId="2FD85E83" w14:textId="1AAE8303" w:rsidR="00097AFA" w:rsidRDefault="00097AFA" w:rsidP="00455CC3">
      <w:pPr>
        <w:widowControl/>
        <w:spacing w:line="360" w:lineRule="auto"/>
        <w:rPr>
          <w:sz w:val="26"/>
          <w:szCs w:val="26"/>
        </w:rPr>
      </w:pPr>
    </w:p>
    <w:p w14:paraId="409EDB2A" w14:textId="724CF254" w:rsidR="00097AFA" w:rsidRPr="00097AFA" w:rsidRDefault="00097AFA" w:rsidP="00455CC3">
      <w:pPr>
        <w:widowControl/>
        <w:autoSpaceDE w:val="0"/>
        <w:autoSpaceDN w:val="0"/>
        <w:adjustRightInd w:val="0"/>
        <w:spacing w:line="360" w:lineRule="auto"/>
        <w:ind w:firstLine="1440"/>
        <w:rPr>
          <w:rFonts w:eastAsiaTheme="minorHAnsi"/>
          <w:color w:val="000000"/>
          <w:sz w:val="26"/>
          <w:szCs w:val="26"/>
        </w:rPr>
      </w:pPr>
      <w:r w:rsidRPr="00097AFA">
        <w:rPr>
          <w:rFonts w:eastAsiaTheme="minorHAnsi"/>
          <w:color w:val="000000"/>
          <w:sz w:val="26"/>
          <w:szCs w:val="26"/>
        </w:rPr>
        <w:t xml:space="preserve">The ALJ observed that the Township indicated that the current average Township residential rate is $74.32 per month, and notice sent to the Township’s customers provided a non-binding estimated incremental rate effect of 28.17% </w:t>
      </w:r>
      <w:proofErr w:type="gramStart"/>
      <w:r w:rsidRPr="00097AFA">
        <w:rPr>
          <w:rFonts w:eastAsiaTheme="minorHAnsi"/>
          <w:color w:val="000000"/>
          <w:sz w:val="26"/>
          <w:szCs w:val="26"/>
        </w:rPr>
        <w:t>as a result of</w:t>
      </w:r>
      <w:proofErr w:type="gramEnd"/>
      <w:r w:rsidRPr="00097AFA">
        <w:rPr>
          <w:rFonts w:eastAsiaTheme="minorHAnsi"/>
          <w:color w:val="000000"/>
          <w:sz w:val="26"/>
          <w:szCs w:val="26"/>
        </w:rPr>
        <w:t xml:space="preserve"> the proposed rate base addition.  R.D. at 41 (citing Township Statement in Support at 7).  In the Partial Settlement, the Joint Petitioners agreed to a framework for addressing Township rates in the first base rate proceeding that includes </w:t>
      </w:r>
      <w:r w:rsidR="00EB1FCA">
        <w:rPr>
          <w:rFonts w:eastAsiaTheme="minorHAnsi"/>
          <w:color w:val="000000"/>
          <w:sz w:val="26"/>
          <w:szCs w:val="26"/>
        </w:rPr>
        <w:t>LMT’s</w:t>
      </w:r>
      <w:r w:rsidRPr="00097AFA">
        <w:rPr>
          <w:rFonts w:eastAsiaTheme="minorHAnsi"/>
          <w:color w:val="000000"/>
          <w:sz w:val="26"/>
          <w:szCs w:val="26"/>
        </w:rPr>
        <w:t xml:space="preserve"> wastewater system assets.  R.D. at 41-42.  The ALJ stated that the framework provides that: </w:t>
      </w:r>
      <w:r w:rsidR="00275661">
        <w:rPr>
          <w:rFonts w:eastAsiaTheme="minorHAnsi"/>
          <w:color w:val="000000"/>
          <w:sz w:val="26"/>
          <w:szCs w:val="26"/>
        </w:rPr>
        <w:t xml:space="preserve"> </w:t>
      </w:r>
      <w:r w:rsidRPr="00097AFA">
        <w:rPr>
          <w:rFonts w:eastAsiaTheme="minorHAnsi"/>
          <w:color w:val="000000"/>
          <w:sz w:val="26"/>
          <w:szCs w:val="26"/>
        </w:rPr>
        <w:t>(1) Aqua shall propose to move the Township system to its cost of service, based on a separate cost of service study for the Township’s system; provided, however, that Aqua will not be obligated to propose Township wastewater rates in excess of Aqua’s proposed Rate Zone</w:t>
      </w:r>
      <w:r w:rsidR="00455CC3">
        <w:rPr>
          <w:rFonts w:eastAsiaTheme="minorHAnsi"/>
          <w:color w:val="000000"/>
          <w:sz w:val="26"/>
          <w:szCs w:val="26"/>
        </w:rPr>
        <w:t> </w:t>
      </w:r>
      <w:r w:rsidRPr="00097AFA">
        <w:rPr>
          <w:rFonts w:eastAsiaTheme="minorHAnsi"/>
          <w:color w:val="000000"/>
          <w:sz w:val="26"/>
          <w:szCs w:val="26"/>
        </w:rPr>
        <w:t>1 system-average rates; (2) Aqua may agree to rates other than those proposed for the Township’s customers in the context of a settlement of the first base rate case; (3) at the time of Aqua’s first base rate case that includes the Township system, Aqua will propose the timing of the rate effect consistent with the terms of Section 7.03 of the APA; (4) Aqua will provide written notice to the Township’s customers of a base rate case filing and the level of increase in the first base rate case that includes the Township’s assets; and (5) the OCA, I&amp;E, the OSBA, and the Township reserve their rights to fully address Aqua’s proposal, and to make other rate proposals in the base rate case.  R.D.</w:t>
      </w:r>
      <w:r w:rsidR="00455CC3">
        <w:rPr>
          <w:rFonts w:eastAsiaTheme="minorHAnsi"/>
          <w:color w:val="000000"/>
          <w:sz w:val="26"/>
          <w:szCs w:val="26"/>
        </w:rPr>
        <w:t> </w:t>
      </w:r>
      <w:r w:rsidRPr="00097AFA">
        <w:rPr>
          <w:rFonts w:eastAsiaTheme="minorHAnsi"/>
          <w:color w:val="000000"/>
          <w:sz w:val="26"/>
          <w:szCs w:val="26"/>
        </w:rPr>
        <w:t>at</w:t>
      </w:r>
      <w:r w:rsidR="00455CC3">
        <w:rPr>
          <w:rFonts w:eastAsiaTheme="minorHAnsi"/>
          <w:color w:val="000000"/>
          <w:sz w:val="26"/>
          <w:szCs w:val="26"/>
        </w:rPr>
        <w:t> </w:t>
      </w:r>
      <w:r w:rsidRPr="00097AFA">
        <w:rPr>
          <w:rFonts w:eastAsiaTheme="minorHAnsi"/>
          <w:color w:val="000000"/>
          <w:sz w:val="26"/>
          <w:szCs w:val="26"/>
        </w:rPr>
        <w:t>42 (citing Joint Petition at 13-14).</w:t>
      </w:r>
    </w:p>
    <w:p w14:paraId="33E4BF24" w14:textId="3CC21C77" w:rsidR="00097AFA" w:rsidRDefault="00097AFA" w:rsidP="00950AF2">
      <w:pPr>
        <w:widowControl/>
        <w:spacing w:line="360" w:lineRule="auto"/>
        <w:rPr>
          <w:sz w:val="26"/>
          <w:szCs w:val="26"/>
        </w:rPr>
      </w:pPr>
    </w:p>
    <w:p w14:paraId="7DCAC650" w14:textId="103E6937" w:rsidR="00097AFA" w:rsidRDefault="00097AFA" w:rsidP="00097AFA">
      <w:pPr>
        <w:pStyle w:val="Heading3"/>
      </w:pPr>
      <w:bookmarkStart w:id="40" w:name="_Toc90970717"/>
      <w:r>
        <w:t>Welcome Letter</w:t>
      </w:r>
      <w:bookmarkEnd w:id="40"/>
    </w:p>
    <w:p w14:paraId="5814445E" w14:textId="153AC545" w:rsidR="00097AFA" w:rsidRDefault="00097AFA" w:rsidP="00950AF2">
      <w:pPr>
        <w:widowControl/>
        <w:spacing w:line="360" w:lineRule="auto"/>
        <w:rPr>
          <w:sz w:val="26"/>
          <w:szCs w:val="26"/>
        </w:rPr>
      </w:pPr>
    </w:p>
    <w:p w14:paraId="24BB9527" w14:textId="77777777" w:rsidR="00097AFA" w:rsidRPr="00097AFA" w:rsidRDefault="00097AFA" w:rsidP="00097AFA">
      <w:pPr>
        <w:widowControl/>
        <w:autoSpaceDE w:val="0"/>
        <w:autoSpaceDN w:val="0"/>
        <w:adjustRightInd w:val="0"/>
        <w:spacing w:line="360" w:lineRule="auto"/>
        <w:ind w:firstLine="1440"/>
        <w:rPr>
          <w:rFonts w:eastAsiaTheme="minorHAnsi"/>
          <w:color w:val="000000"/>
          <w:sz w:val="26"/>
          <w:szCs w:val="26"/>
        </w:rPr>
      </w:pPr>
      <w:r w:rsidRPr="00097AFA">
        <w:rPr>
          <w:rFonts w:eastAsiaTheme="minorHAnsi"/>
          <w:color w:val="000000"/>
          <w:sz w:val="26"/>
          <w:szCs w:val="26"/>
        </w:rPr>
        <w:t xml:space="preserve">The ALJ noted that Aqua has agreed to send a Welcome Letter to Township wastewater customers within thirty days following Closing, and the Letter will include information about the conversion to monthly billing for the Township customers’ sewer service.  The ALJ found that this Settlement provision is in the public interest and will ensure that the newly acquired customers are aware of the conversion to monthly billing in a timely manner.  R.D. at 43.  </w:t>
      </w:r>
    </w:p>
    <w:p w14:paraId="0AAEB10D" w14:textId="0F5E0BFE" w:rsidR="00097AFA" w:rsidRDefault="00097AFA" w:rsidP="00950AF2">
      <w:pPr>
        <w:widowControl/>
        <w:spacing w:line="360" w:lineRule="auto"/>
        <w:rPr>
          <w:sz w:val="26"/>
          <w:szCs w:val="26"/>
        </w:rPr>
      </w:pPr>
    </w:p>
    <w:p w14:paraId="25FED09D" w14:textId="600BAB74" w:rsidR="00097AFA" w:rsidRDefault="00097AFA" w:rsidP="00097AFA">
      <w:pPr>
        <w:pStyle w:val="Heading3"/>
      </w:pPr>
      <w:bookmarkStart w:id="41" w:name="_Toc90970718"/>
      <w:r>
        <w:t>Legal Fees</w:t>
      </w:r>
      <w:bookmarkEnd w:id="41"/>
    </w:p>
    <w:p w14:paraId="7EC5BB65" w14:textId="77777777" w:rsidR="00097AFA" w:rsidRDefault="00097AFA" w:rsidP="00950AF2">
      <w:pPr>
        <w:widowControl/>
        <w:spacing w:line="360" w:lineRule="auto"/>
        <w:rPr>
          <w:sz w:val="26"/>
          <w:szCs w:val="26"/>
        </w:rPr>
      </w:pPr>
    </w:p>
    <w:p w14:paraId="066802A2" w14:textId="7E870A3E" w:rsidR="00097AFA" w:rsidRDefault="00097AFA" w:rsidP="00097AFA">
      <w:pPr>
        <w:widowControl/>
        <w:spacing w:line="360" w:lineRule="auto"/>
        <w:ind w:firstLine="1440"/>
        <w:rPr>
          <w:sz w:val="26"/>
          <w:szCs w:val="26"/>
        </w:rPr>
      </w:pPr>
      <w:r>
        <w:rPr>
          <w:bCs/>
          <w:sz w:val="26"/>
          <w:szCs w:val="26"/>
        </w:rPr>
        <w:t xml:space="preserve">The ALJ noted that under the Partial </w:t>
      </w:r>
      <w:r w:rsidRPr="004E5281">
        <w:rPr>
          <w:sz w:val="26"/>
          <w:szCs w:val="26"/>
        </w:rPr>
        <w:t xml:space="preserve">Settlement, Aqua has agreed to separately identify legal fees included in its transaction and closing costs pursuant to the APA between Aqua and </w:t>
      </w:r>
      <w:r>
        <w:rPr>
          <w:sz w:val="26"/>
          <w:szCs w:val="26"/>
        </w:rPr>
        <w:t>the Township</w:t>
      </w:r>
      <w:r w:rsidRPr="004E5281">
        <w:rPr>
          <w:sz w:val="26"/>
          <w:szCs w:val="26"/>
        </w:rPr>
        <w:t xml:space="preserve"> and </w:t>
      </w:r>
      <w:r>
        <w:rPr>
          <w:sz w:val="26"/>
          <w:szCs w:val="26"/>
        </w:rPr>
        <w:t xml:space="preserve">to </w:t>
      </w:r>
      <w:r w:rsidRPr="004E5281">
        <w:rPr>
          <w:sz w:val="26"/>
          <w:szCs w:val="26"/>
        </w:rPr>
        <w:t xml:space="preserve">specify amounts </w:t>
      </w:r>
      <w:r>
        <w:rPr>
          <w:sz w:val="26"/>
          <w:szCs w:val="26"/>
        </w:rPr>
        <w:t xml:space="preserve">Aqua </w:t>
      </w:r>
      <w:r w:rsidRPr="004E5281">
        <w:rPr>
          <w:sz w:val="26"/>
          <w:szCs w:val="26"/>
        </w:rPr>
        <w:t>expend</w:t>
      </w:r>
      <w:r>
        <w:rPr>
          <w:sz w:val="26"/>
          <w:szCs w:val="26"/>
        </w:rPr>
        <w:t>s o</w:t>
      </w:r>
      <w:r w:rsidRPr="004E5281">
        <w:rPr>
          <w:sz w:val="26"/>
          <w:szCs w:val="26"/>
        </w:rPr>
        <w:t xml:space="preserve">n behalf of the Township. </w:t>
      </w:r>
      <w:r>
        <w:rPr>
          <w:sz w:val="26"/>
          <w:szCs w:val="26"/>
        </w:rPr>
        <w:t xml:space="preserve"> Additionally,</w:t>
      </w:r>
      <w:r w:rsidRPr="004E5281">
        <w:rPr>
          <w:sz w:val="26"/>
          <w:szCs w:val="26"/>
        </w:rPr>
        <w:t xml:space="preserve"> the Statutory Advocates reserve the right to challenge the reasonableness and basis for these legal fees.</w:t>
      </w:r>
      <w:r>
        <w:rPr>
          <w:sz w:val="26"/>
          <w:szCs w:val="26"/>
        </w:rPr>
        <w:t xml:space="preserve">  R.D. at 45.  The ALJ agreed with I&amp;E’s positions that </w:t>
      </w:r>
      <w:r w:rsidRPr="001E572C">
        <w:rPr>
          <w:sz w:val="26"/>
          <w:szCs w:val="26"/>
        </w:rPr>
        <w:t>Aqua’s commitment to separately identify these legal fees is consistent with ensuring that Aqua will only be permitted to recover prudently incurred costs from ratepayers</w:t>
      </w:r>
      <w:r>
        <w:rPr>
          <w:sz w:val="26"/>
          <w:szCs w:val="26"/>
        </w:rPr>
        <w:t xml:space="preserve"> and </w:t>
      </w:r>
      <w:r w:rsidRPr="001E572C">
        <w:rPr>
          <w:sz w:val="26"/>
          <w:szCs w:val="26"/>
        </w:rPr>
        <w:t xml:space="preserve">that </w:t>
      </w:r>
      <w:r>
        <w:rPr>
          <w:sz w:val="26"/>
          <w:szCs w:val="26"/>
        </w:rPr>
        <w:t xml:space="preserve">the </w:t>
      </w:r>
      <w:r w:rsidRPr="001E572C">
        <w:rPr>
          <w:sz w:val="26"/>
          <w:szCs w:val="26"/>
        </w:rPr>
        <w:t xml:space="preserve">statutory parties will be able to challenge the basis of any claimed </w:t>
      </w:r>
      <w:r>
        <w:rPr>
          <w:sz w:val="26"/>
          <w:szCs w:val="26"/>
        </w:rPr>
        <w:t>Township</w:t>
      </w:r>
      <w:r w:rsidRPr="001E572C">
        <w:rPr>
          <w:sz w:val="26"/>
          <w:szCs w:val="26"/>
        </w:rPr>
        <w:t xml:space="preserve"> legal fees. </w:t>
      </w:r>
      <w:r>
        <w:rPr>
          <w:sz w:val="26"/>
          <w:szCs w:val="26"/>
        </w:rPr>
        <w:t xml:space="preserve"> </w:t>
      </w:r>
      <w:r w:rsidRPr="002115E7">
        <w:rPr>
          <w:i/>
          <w:iCs/>
          <w:sz w:val="26"/>
          <w:szCs w:val="26"/>
        </w:rPr>
        <w:t>Id</w:t>
      </w:r>
      <w:r>
        <w:rPr>
          <w:sz w:val="26"/>
          <w:szCs w:val="26"/>
        </w:rPr>
        <w:t xml:space="preserve">. (citing </w:t>
      </w:r>
      <w:r w:rsidRPr="001E572C">
        <w:rPr>
          <w:sz w:val="26"/>
          <w:szCs w:val="26"/>
        </w:rPr>
        <w:t>I&amp;E St</w:t>
      </w:r>
      <w:r>
        <w:rPr>
          <w:sz w:val="26"/>
          <w:szCs w:val="26"/>
        </w:rPr>
        <w:t>atement</w:t>
      </w:r>
      <w:r w:rsidRPr="001E572C">
        <w:rPr>
          <w:sz w:val="26"/>
          <w:szCs w:val="26"/>
        </w:rPr>
        <w:t xml:space="preserve"> in Support </w:t>
      </w:r>
      <w:r>
        <w:rPr>
          <w:sz w:val="26"/>
          <w:szCs w:val="26"/>
        </w:rPr>
        <w:t xml:space="preserve">at </w:t>
      </w:r>
      <w:r w:rsidRPr="001E572C">
        <w:rPr>
          <w:sz w:val="26"/>
          <w:szCs w:val="26"/>
        </w:rPr>
        <w:t>13</w:t>
      </w:r>
      <w:r>
        <w:rPr>
          <w:sz w:val="26"/>
          <w:szCs w:val="26"/>
        </w:rPr>
        <w:t>-14)</w:t>
      </w:r>
      <w:r w:rsidRPr="001E572C">
        <w:rPr>
          <w:sz w:val="26"/>
          <w:szCs w:val="26"/>
        </w:rPr>
        <w:t xml:space="preserve">. </w:t>
      </w:r>
      <w:r>
        <w:rPr>
          <w:sz w:val="26"/>
          <w:szCs w:val="26"/>
        </w:rPr>
        <w:t xml:space="preserve"> The ALJ found that </w:t>
      </w:r>
      <w:r w:rsidRPr="004E5281">
        <w:rPr>
          <w:sz w:val="26"/>
          <w:szCs w:val="26"/>
        </w:rPr>
        <w:t>the combined commitments</w:t>
      </w:r>
      <w:r>
        <w:rPr>
          <w:sz w:val="26"/>
          <w:szCs w:val="26"/>
        </w:rPr>
        <w:t xml:space="preserve"> in the Settlement</w:t>
      </w:r>
      <w:r w:rsidRPr="004E5281">
        <w:rPr>
          <w:sz w:val="26"/>
          <w:szCs w:val="26"/>
        </w:rPr>
        <w:t xml:space="preserve"> will protect Aqua’s ratepayers from bearing the burden of </w:t>
      </w:r>
      <w:r>
        <w:rPr>
          <w:sz w:val="26"/>
          <w:szCs w:val="26"/>
        </w:rPr>
        <w:t>the Township’s</w:t>
      </w:r>
      <w:r w:rsidRPr="004E5281">
        <w:rPr>
          <w:sz w:val="26"/>
          <w:szCs w:val="26"/>
        </w:rPr>
        <w:t xml:space="preserve"> legal fees.</w:t>
      </w:r>
      <w:r>
        <w:rPr>
          <w:sz w:val="26"/>
          <w:szCs w:val="26"/>
        </w:rPr>
        <w:t xml:space="preserve">  R.D. at 45-46.  </w:t>
      </w:r>
    </w:p>
    <w:p w14:paraId="38DD19FD" w14:textId="5D5AF2C6" w:rsidR="00097AFA" w:rsidRDefault="00097AFA" w:rsidP="00950AF2">
      <w:pPr>
        <w:widowControl/>
        <w:spacing w:line="360" w:lineRule="auto"/>
        <w:rPr>
          <w:sz w:val="26"/>
          <w:szCs w:val="26"/>
        </w:rPr>
      </w:pPr>
    </w:p>
    <w:p w14:paraId="05207A30" w14:textId="5F71DB5D" w:rsidR="00097AFA" w:rsidRDefault="00097AFA" w:rsidP="00455CC3">
      <w:pPr>
        <w:pStyle w:val="Heading3"/>
        <w:keepNext/>
        <w:spacing w:line="240" w:lineRule="auto"/>
      </w:pPr>
      <w:bookmarkStart w:id="42" w:name="_Toc90970719"/>
      <w:r>
        <w:t>Section 507 Approval and Other Approvals, Certificates, Registrations and Relief, if any, under the Code</w:t>
      </w:r>
      <w:bookmarkEnd w:id="42"/>
    </w:p>
    <w:p w14:paraId="4D735550" w14:textId="77777777" w:rsidR="00097AFA" w:rsidRDefault="00097AFA" w:rsidP="00455CC3">
      <w:pPr>
        <w:keepNext/>
        <w:widowControl/>
        <w:spacing w:line="480" w:lineRule="auto"/>
        <w:rPr>
          <w:sz w:val="26"/>
          <w:szCs w:val="26"/>
        </w:rPr>
      </w:pPr>
    </w:p>
    <w:p w14:paraId="56B4A1B7" w14:textId="6D67AC31" w:rsidR="00097AFA" w:rsidRDefault="00097AFA" w:rsidP="00455CC3">
      <w:pPr>
        <w:keepNext/>
        <w:widowControl/>
        <w:spacing w:line="360" w:lineRule="auto"/>
        <w:ind w:firstLine="1440"/>
        <w:rPr>
          <w:sz w:val="26"/>
          <w:szCs w:val="26"/>
        </w:rPr>
      </w:pPr>
      <w:r w:rsidRPr="002B7AF0">
        <w:rPr>
          <w:sz w:val="26"/>
          <w:szCs w:val="26"/>
        </w:rPr>
        <w:t>The</w:t>
      </w:r>
      <w:r>
        <w:rPr>
          <w:bCs/>
          <w:sz w:val="26"/>
          <w:szCs w:val="26"/>
        </w:rPr>
        <w:t xml:space="preserve"> Partial Settlement provides that the “Commission shall issue any necessary approvals or certificates for the transaction pursuant to </w:t>
      </w:r>
      <w:r w:rsidRPr="008B5B5B">
        <w:rPr>
          <w:bCs/>
          <w:sz w:val="26"/>
          <w:szCs w:val="26"/>
        </w:rPr>
        <w:t>66 Pa. C.S. Section</w:t>
      </w:r>
      <w:r w:rsidR="00455CC3">
        <w:rPr>
          <w:bCs/>
          <w:sz w:val="26"/>
          <w:szCs w:val="26"/>
        </w:rPr>
        <w:t> </w:t>
      </w:r>
      <w:r w:rsidRPr="008B5B5B">
        <w:rPr>
          <w:bCs/>
          <w:sz w:val="26"/>
          <w:szCs w:val="26"/>
        </w:rPr>
        <w:t>507</w:t>
      </w:r>
      <w:r w:rsidRPr="002542DF">
        <w:rPr>
          <w:bCs/>
          <w:sz w:val="26"/>
          <w:szCs w:val="26"/>
        </w:rPr>
        <w:t>.</w:t>
      </w:r>
      <w:r w:rsidR="00275661">
        <w:rPr>
          <w:bCs/>
          <w:sz w:val="26"/>
          <w:szCs w:val="26"/>
        </w:rPr>
        <w:t>”</w:t>
      </w:r>
      <w:r>
        <w:rPr>
          <w:bCs/>
          <w:sz w:val="26"/>
          <w:szCs w:val="26"/>
        </w:rPr>
        <w:t xml:space="preserve">  The ALJ lists the various agreements for which the Joint Petitioners request that </w:t>
      </w:r>
      <w:r w:rsidRPr="00011C44">
        <w:rPr>
          <w:sz w:val="26"/>
          <w:szCs w:val="26"/>
        </w:rPr>
        <w:t>the Commission issue Certificates of Filing pursuant to Section 507</w:t>
      </w:r>
      <w:r>
        <w:rPr>
          <w:sz w:val="26"/>
          <w:szCs w:val="26"/>
        </w:rPr>
        <w:t xml:space="preserve">.  </w:t>
      </w:r>
      <w:r w:rsidRPr="00011C44">
        <w:rPr>
          <w:i/>
          <w:iCs/>
          <w:sz w:val="26"/>
          <w:szCs w:val="26"/>
        </w:rPr>
        <w:t>See</w:t>
      </w:r>
      <w:r>
        <w:rPr>
          <w:sz w:val="26"/>
          <w:szCs w:val="26"/>
        </w:rPr>
        <w:t xml:space="preserve"> R.D. at 48-49; Joint Petition at 15-17.  The ALJ noted that t</w:t>
      </w:r>
      <w:r w:rsidRPr="00DF59C6">
        <w:rPr>
          <w:sz w:val="26"/>
          <w:szCs w:val="26"/>
        </w:rPr>
        <w:t>here is no opposition to the issuance of the Certificates of Filing for the contracts</w:t>
      </w:r>
      <w:r>
        <w:rPr>
          <w:sz w:val="26"/>
          <w:szCs w:val="26"/>
        </w:rPr>
        <w:t xml:space="preserve"> and directed that Certificates of Filing be issued for the various agreements between Aqua and the Township</w:t>
      </w:r>
      <w:r w:rsidRPr="00DF59C6">
        <w:rPr>
          <w:sz w:val="26"/>
          <w:szCs w:val="26"/>
        </w:rPr>
        <w:t>.</w:t>
      </w:r>
      <w:r w:rsidR="0092596A">
        <w:rPr>
          <w:rStyle w:val="FootnoteReference"/>
          <w:sz w:val="26"/>
          <w:szCs w:val="26"/>
        </w:rPr>
        <w:footnoteReference w:id="13"/>
      </w:r>
      <w:r>
        <w:rPr>
          <w:sz w:val="26"/>
          <w:szCs w:val="26"/>
        </w:rPr>
        <w:t xml:space="preserve">  </w:t>
      </w:r>
      <w:r w:rsidRPr="008C7C2D">
        <w:rPr>
          <w:i/>
          <w:iCs/>
          <w:sz w:val="26"/>
          <w:szCs w:val="26"/>
        </w:rPr>
        <w:t>See</w:t>
      </w:r>
      <w:r w:rsidR="00455CC3">
        <w:rPr>
          <w:sz w:val="26"/>
          <w:szCs w:val="26"/>
        </w:rPr>
        <w:t> </w:t>
      </w:r>
      <w:r>
        <w:rPr>
          <w:sz w:val="26"/>
          <w:szCs w:val="26"/>
        </w:rPr>
        <w:t>R.D.</w:t>
      </w:r>
      <w:r w:rsidR="00455CC3">
        <w:rPr>
          <w:sz w:val="26"/>
          <w:szCs w:val="26"/>
        </w:rPr>
        <w:t> </w:t>
      </w:r>
      <w:r>
        <w:rPr>
          <w:sz w:val="26"/>
          <w:szCs w:val="26"/>
        </w:rPr>
        <w:t xml:space="preserve">Ordering Paragraph No. 5.   </w:t>
      </w:r>
      <w:r>
        <w:rPr>
          <w:sz w:val="23"/>
          <w:szCs w:val="23"/>
        </w:rPr>
        <w:t xml:space="preserve"> </w:t>
      </w:r>
      <w:r>
        <w:rPr>
          <w:sz w:val="26"/>
          <w:szCs w:val="26"/>
        </w:rPr>
        <w:t xml:space="preserve">    </w:t>
      </w:r>
    </w:p>
    <w:p w14:paraId="56138866" w14:textId="4664A62B" w:rsidR="00097AFA" w:rsidRDefault="00097AFA" w:rsidP="00950AF2">
      <w:pPr>
        <w:widowControl/>
        <w:spacing w:line="360" w:lineRule="auto"/>
        <w:rPr>
          <w:sz w:val="26"/>
          <w:szCs w:val="26"/>
        </w:rPr>
      </w:pPr>
    </w:p>
    <w:p w14:paraId="1E47ACCB" w14:textId="59C2E33E" w:rsidR="00097AFA" w:rsidRDefault="00EB1FCA" w:rsidP="00EB1FCA">
      <w:pPr>
        <w:pStyle w:val="Heading2"/>
        <w:ind w:hanging="720"/>
      </w:pPr>
      <w:bookmarkStart w:id="43" w:name="_Toc90970720"/>
      <w:r>
        <w:t>Public Interest Analysis of the Settlement</w:t>
      </w:r>
      <w:bookmarkEnd w:id="43"/>
    </w:p>
    <w:p w14:paraId="29737F69" w14:textId="2494AD1F" w:rsidR="00EB1FCA" w:rsidRDefault="00EB1FCA" w:rsidP="00950AF2">
      <w:pPr>
        <w:widowControl/>
        <w:spacing w:line="360" w:lineRule="auto"/>
        <w:rPr>
          <w:sz w:val="26"/>
          <w:szCs w:val="26"/>
        </w:rPr>
      </w:pPr>
    </w:p>
    <w:p w14:paraId="76CFD99C" w14:textId="77777777" w:rsidR="00EB1FCA" w:rsidRPr="00EB1FCA" w:rsidRDefault="00EB1FCA" w:rsidP="00EB1FCA">
      <w:pPr>
        <w:widowControl/>
        <w:spacing w:line="360" w:lineRule="auto"/>
        <w:ind w:firstLine="1440"/>
        <w:textAlignment w:val="baseline"/>
        <w:rPr>
          <w:sz w:val="26"/>
          <w:szCs w:val="26"/>
        </w:rPr>
      </w:pPr>
      <w:r w:rsidRPr="00EB1FCA">
        <w:rPr>
          <w:rFonts w:cstheme="minorBidi"/>
          <w:color w:val="000000"/>
          <w:spacing w:val="-1"/>
          <w:sz w:val="26"/>
          <w:szCs w:val="26"/>
        </w:rPr>
        <w:t xml:space="preserve">Upon review of the record and the Statements in Support of the Joint Petitioners, we determine that the Partial Settlement is in the public interest and should be approved without modification.  We concur with the ALJ’s </w:t>
      </w:r>
      <w:r w:rsidRPr="00EB1FCA">
        <w:rPr>
          <w:sz w:val="26"/>
          <w:szCs w:val="26"/>
        </w:rPr>
        <w:t xml:space="preserve">well-reasoned analysis and summary of the extensive public benefits that will result from the Partial Settlement, as set forth in detail above.  We also agree with the ALJ that </w:t>
      </w:r>
      <w:r w:rsidRPr="00EB1FCA">
        <w:rPr>
          <w:rFonts w:eastAsiaTheme="minorHAnsi"/>
          <w:sz w:val="26"/>
          <w:szCs w:val="26"/>
        </w:rPr>
        <w:t xml:space="preserve">the Partial Settlement will ensure that the Township’s existing customers will receive quality wastewater service from Aqua and, </w:t>
      </w:r>
      <w:proofErr w:type="gramStart"/>
      <w:r w:rsidRPr="00EB1FCA">
        <w:rPr>
          <w:rFonts w:eastAsiaTheme="minorHAnsi"/>
          <w:sz w:val="26"/>
          <w:szCs w:val="26"/>
        </w:rPr>
        <w:t>as a result of</w:t>
      </w:r>
      <w:proofErr w:type="gramEnd"/>
      <w:r w:rsidRPr="00EB1FCA">
        <w:rPr>
          <w:rFonts w:eastAsiaTheme="minorHAnsi"/>
          <w:sz w:val="26"/>
          <w:szCs w:val="26"/>
        </w:rPr>
        <w:t xml:space="preserve"> the transaction, will benefit from the Commission’s protections and procedures for investigating and enforcing any complaints concerning wastewater service as well as the Commission’s jurisdiction over any future rate increases.    </w:t>
      </w:r>
    </w:p>
    <w:p w14:paraId="1EDC1F40" w14:textId="77777777" w:rsidR="00EB1FCA" w:rsidRPr="00EB1FCA" w:rsidRDefault="00EB1FCA" w:rsidP="00EB1FCA">
      <w:pPr>
        <w:widowControl/>
        <w:spacing w:after="200" w:line="276" w:lineRule="auto"/>
        <w:ind w:firstLine="1440"/>
        <w:contextualSpacing/>
        <w:rPr>
          <w:sz w:val="26"/>
          <w:szCs w:val="26"/>
        </w:rPr>
      </w:pPr>
    </w:p>
    <w:p w14:paraId="7DA78B2D" w14:textId="77777777" w:rsidR="00EB1FCA" w:rsidRPr="00EB1FCA" w:rsidRDefault="00EB1FCA" w:rsidP="00EB1FCA">
      <w:pPr>
        <w:widowControl/>
        <w:spacing w:line="360" w:lineRule="auto"/>
        <w:ind w:firstLine="1440"/>
        <w:contextualSpacing/>
        <w:rPr>
          <w:rFonts w:eastAsiaTheme="minorHAnsi"/>
          <w:sz w:val="26"/>
          <w:szCs w:val="26"/>
        </w:rPr>
      </w:pPr>
      <w:r w:rsidRPr="00EB1FCA">
        <w:rPr>
          <w:sz w:val="26"/>
          <w:szCs w:val="26"/>
        </w:rPr>
        <w:t xml:space="preserve">Additional affirmative public benefits that will result from the Partial Settlement include the following:  </w:t>
      </w:r>
      <w:r w:rsidRPr="00EB1FCA">
        <w:rPr>
          <w:rFonts w:eastAsiaTheme="minorHAnsi"/>
          <w:sz w:val="26"/>
          <w:szCs w:val="26"/>
        </w:rPr>
        <w:t xml:space="preserve">furthering the goal of consolidation/regionalization of water and wastewater systems throughout Pennsylvania, enhanced management practices, capital improvements, expense efficiencies, economies of scale, and the resulting customer, environmental, and economic benefits.  </w:t>
      </w:r>
      <w:r w:rsidRPr="00EB1FCA">
        <w:rPr>
          <w:rFonts w:eastAsiaTheme="minorHAnsi"/>
          <w:i/>
          <w:iCs/>
          <w:sz w:val="26"/>
          <w:szCs w:val="26"/>
        </w:rPr>
        <w:t>See</w:t>
      </w:r>
      <w:r w:rsidRPr="00EB1FCA">
        <w:rPr>
          <w:rFonts w:eastAsiaTheme="minorHAnsi"/>
          <w:sz w:val="26"/>
          <w:szCs w:val="26"/>
        </w:rPr>
        <w:t xml:space="preserve"> Aqua Statement in Support at 6-9; Aqua Application, Exhibit U, St. 1 at 13-19; I&amp;E Statement in Support at 7.  Through the Partial Settlement, the public benefits will be better realized because the Partial Settlement contains various terms that protect both Aqua’s existing ratepayers and those who will become Aqua’s ratepayers </w:t>
      </w:r>
      <w:proofErr w:type="gramStart"/>
      <w:r w:rsidRPr="00EB1FCA">
        <w:rPr>
          <w:rFonts w:eastAsiaTheme="minorHAnsi"/>
          <w:sz w:val="26"/>
          <w:szCs w:val="26"/>
        </w:rPr>
        <w:t>as a result of</w:t>
      </w:r>
      <w:proofErr w:type="gramEnd"/>
      <w:r w:rsidRPr="00EB1FCA">
        <w:rPr>
          <w:rFonts w:eastAsiaTheme="minorHAnsi"/>
          <w:sz w:val="26"/>
          <w:szCs w:val="26"/>
        </w:rPr>
        <w:t xml:space="preserve"> this transaction.  </w:t>
      </w:r>
    </w:p>
    <w:p w14:paraId="1F932EA4" w14:textId="77777777" w:rsidR="00EB1FCA" w:rsidRPr="00EB1FCA" w:rsidRDefault="00EB1FCA" w:rsidP="00EB1FCA">
      <w:pPr>
        <w:widowControl/>
        <w:spacing w:line="360" w:lineRule="auto"/>
        <w:ind w:firstLine="1440"/>
        <w:contextualSpacing/>
        <w:rPr>
          <w:rFonts w:eastAsiaTheme="minorHAnsi"/>
          <w:sz w:val="26"/>
          <w:szCs w:val="26"/>
        </w:rPr>
      </w:pPr>
    </w:p>
    <w:p w14:paraId="6C7115A1" w14:textId="77777777" w:rsidR="00EB1FCA" w:rsidRPr="00EB1FCA" w:rsidRDefault="00EB1FCA" w:rsidP="00043BE0">
      <w:pPr>
        <w:widowControl/>
        <w:spacing w:line="360" w:lineRule="auto"/>
        <w:ind w:firstLine="1440"/>
        <w:contextualSpacing/>
        <w:rPr>
          <w:sz w:val="26"/>
          <w:szCs w:val="26"/>
        </w:rPr>
      </w:pPr>
      <w:r w:rsidRPr="00EB1FCA">
        <w:rPr>
          <w:rFonts w:eastAsiaTheme="minorHAnsi"/>
          <w:sz w:val="26"/>
          <w:szCs w:val="26"/>
        </w:rPr>
        <w:t>Moreover, by resolving all but two of the issues in this proceeding, the Partial Settlement reflects a consensus on many of the issues in this proceeding and has</w:t>
      </w:r>
      <w:r w:rsidRPr="00EB1FCA">
        <w:rPr>
          <w:sz w:val="26"/>
          <w:szCs w:val="26"/>
        </w:rPr>
        <w:t xml:space="preserve"> reduced the time, effort, and expense of litigating this case in full.  This benefits not only the named Parties directly, but, indirectly, benefits customers of the Company, as litigation </w:t>
      </w:r>
      <w:r w:rsidRPr="00EB1FCA">
        <w:rPr>
          <w:rFonts w:eastAsiaTheme="minorHAnsi"/>
          <w:sz w:val="26"/>
          <w:szCs w:val="26"/>
        </w:rPr>
        <w:t xml:space="preserve">costs are borne not only by the Company but also by the Company’s customers.  For </w:t>
      </w:r>
      <w:proofErr w:type="gramStart"/>
      <w:r w:rsidRPr="00EB1FCA">
        <w:rPr>
          <w:rFonts w:eastAsiaTheme="minorHAnsi"/>
          <w:sz w:val="26"/>
          <w:szCs w:val="26"/>
        </w:rPr>
        <w:t>all of</w:t>
      </w:r>
      <w:proofErr w:type="gramEnd"/>
      <w:r w:rsidRPr="00EB1FCA">
        <w:rPr>
          <w:rFonts w:eastAsiaTheme="minorHAnsi"/>
          <w:sz w:val="26"/>
          <w:szCs w:val="26"/>
        </w:rPr>
        <w:t xml:space="preserve"> these reasons, </w:t>
      </w:r>
      <w:r w:rsidRPr="00EB1FCA">
        <w:rPr>
          <w:sz w:val="26"/>
          <w:szCs w:val="26"/>
        </w:rPr>
        <w:t>we shall adopt the ALJ’s recommendation and approve the Joint Petition, without modification.</w:t>
      </w:r>
    </w:p>
    <w:p w14:paraId="5457648C" w14:textId="77777777" w:rsidR="00EB1FCA" w:rsidRDefault="00EB1FCA" w:rsidP="00043BE0">
      <w:pPr>
        <w:widowControl/>
        <w:spacing w:line="360" w:lineRule="auto"/>
        <w:rPr>
          <w:sz w:val="26"/>
          <w:szCs w:val="26"/>
        </w:rPr>
      </w:pPr>
    </w:p>
    <w:p w14:paraId="58EE4D25" w14:textId="41473294" w:rsidR="000E0052" w:rsidRPr="00DA2034" w:rsidRDefault="000D7B9D" w:rsidP="00043BE0">
      <w:pPr>
        <w:pStyle w:val="Heading1"/>
      </w:pPr>
      <w:bookmarkStart w:id="44" w:name="_Toc90970721"/>
      <w:r>
        <w:t>Unresolved</w:t>
      </w:r>
      <w:r w:rsidR="000E0052">
        <w:t xml:space="preserve"> Issues</w:t>
      </w:r>
      <w:bookmarkEnd w:id="44"/>
    </w:p>
    <w:p w14:paraId="18B16A40" w14:textId="6945DD6F" w:rsidR="000E0052" w:rsidRDefault="000E0052" w:rsidP="00043BE0">
      <w:pPr>
        <w:widowControl/>
        <w:spacing w:line="360" w:lineRule="auto"/>
        <w:rPr>
          <w:sz w:val="26"/>
          <w:szCs w:val="26"/>
        </w:rPr>
      </w:pPr>
    </w:p>
    <w:p w14:paraId="46EACB79" w14:textId="0479C7AF" w:rsidR="007A35FF" w:rsidRPr="006A631A" w:rsidRDefault="007A35FF" w:rsidP="00043BE0">
      <w:pPr>
        <w:pStyle w:val="Heading2"/>
        <w:keepNext w:val="0"/>
        <w:keepLines w:val="0"/>
        <w:numPr>
          <w:ilvl w:val="0"/>
          <w:numId w:val="6"/>
        </w:numPr>
        <w:ind w:hanging="720"/>
      </w:pPr>
      <w:bookmarkStart w:id="45" w:name="_Toc90970722"/>
      <w:bookmarkStart w:id="46" w:name="_Hlk89434155"/>
      <w:r>
        <w:t>Determination of Ratemaking Rate Base</w:t>
      </w:r>
      <w:bookmarkEnd w:id="45"/>
    </w:p>
    <w:bookmarkEnd w:id="46"/>
    <w:p w14:paraId="1393FFD2" w14:textId="4607C926" w:rsidR="00B83EF3" w:rsidRDefault="00B83EF3" w:rsidP="00043BE0">
      <w:pPr>
        <w:widowControl/>
        <w:spacing w:line="360" w:lineRule="auto"/>
        <w:rPr>
          <w:sz w:val="26"/>
          <w:szCs w:val="26"/>
        </w:rPr>
      </w:pPr>
    </w:p>
    <w:p w14:paraId="008BDCEB" w14:textId="1D07E8F5" w:rsidR="00004D12" w:rsidRDefault="00004D12" w:rsidP="00043BE0">
      <w:pPr>
        <w:widowControl/>
        <w:spacing w:line="360" w:lineRule="auto"/>
        <w:ind w:firstLine="1440"/>
        <w:rPr>
          <w:sz w:val="26"/>
          <w:szCs w:val="26"/>
        </w:rPr>
      </w:pPr>
      <w:r w:rsidRPr="00004D12">
        <w:rPr>
          <w:sz w:val="26"/>
          <w:szCs w:val="26"/>
        </w:rPr>
        <w:t xml:space="preserve">As a preliminary matter, we shall address the ability of parties to challenge FMV appraisals.  Aqua argued that the Commission should not adopt the OCA’s proposed adjustments by arguing that OCA witness, Mr. </w:t>
      </w:r>
      <w:r w:rsidR="00380257">
        <w:rPr>
          <w:sz w:val="26"/>
          <w:szCs w:val="26"/>
        </w:rPr>
        <w:t xml:space="preserve">Ralph </w:t>
      </w:r>
      <w:r w:rsidRPr="00004D12">
        <w:rPr>
          <w:sz w:val="26"/>
          <w:szCs w:val="26"/>
        </w:rPr>
        <w:t>Smith, did not perform an appraisal of the Township’s system, presented “no evidence showing that he has the experience or legal competency to critique the appraisals of certified UVEs,” and that “Mr. Smith’s adjustments do not meet a standard of value of fair market value.”  Aqua M.B. at 10.</w:t>
      </w:r>
      <w:r>
        <w:rPr>
          <w:sz w:val="26"/>
          <w:szCs w:val="26"/>
        </w:rPr>
        <w:t xml:space="preserve">  </w:t>
      </w:r>
      <w:r w:rsidRPr="00004D12">
        <w:rPr>
          <w:sz w:val="26"/>
          <w:szCs w:val="26"/>
        </w:rPr>
        <w:t xml:space="preserve">The OCA countered that “Aqua’s position that parties cannot challenge UVE appraisals has repeatedly been rejected by the Commission and it should be rejected in this proceeding as well.”  OCA R.B. at 4.  </w:t>
      </w:r>
    </w:p>
    <w:p w14:paraId="78BBA65C" w14:textId="51EA111B" w:rsidR="00004D12" w:rsidRDefault="00004D12" w:rsidP="00004D12">
      <w:pPr>
        <w:widowControl/>
        <w:spacing w:line="360" w:lineRule="auto"/>
        <w:ind w:firstLine="1440"/>
        <w:rPr>
          <w:sz w:val="26"/>
          <w:szCs w:val="26"/>
        </w:rPr>
      </w:pPr>
    </w:p>
    <w:p w14:paraId="6498F3EB" w14:textId="1600A07B" w:rsidR="00004D12" w:rsidRDefault="00004D12" w:rsidP="009631FF">
      <w:pPr>
        <w:widowControl/>
        <w:spacing w:line="360" w:lineRule="auto"/>
        <w:ind w:firstLine="1440"/>
        <w:rPr>
          <w:sz w:val="26"/>
          <w:szCs w:val="26"/>
        </w:rPr>
      </w:pPr>
      <w:r w:rsidRPr="00004D12">
        <w:rPr>
          <w:sz w:val="26"/>
          <w:szCs w:val="26"/>
        </w:rPr>
        <w:t>ALJ Watson noted this disagreement as to whether the Commission or other parties may challenge the appropriateness of the FMV determinations of the UVEs</w:t>
      </w:r>
      <w:r w:rsidR="00883B1C">
        <w:rPr>
          <w:sz w:val="26"/>
          <w:szCs w:val="26"/>
        </w:rPr>
        <w:t>, finding that Section 1329 does not eliminate the Commission’s authority to determine rate base or prohibit the consideration of the OCA’s testimony on FMV</w:t>
      </w:r>
      <w:r w:rsidRPr="00004D12">
        <w:rPr>
          <w:sz w:val="26"/>
          <w:szCs w:val="26"/>
        </w:rPr>
        <w:t xml:space="preserve">.  R.D. at </w:t>
      </w:r>
      <w:r w:rsidR="00D47F07">
        <w:rPr>
          <w:sz w:val="26"/>
          <w:szCs w:val="26"/>
        </w:rPr>
        <w:t xml:space="preserve">69-70, </w:t>
      </w:r>
      <w:r w:rsidR="00883B1C">
        <w:rPr>
          <w:sz w:val="26"/>
          <w:szCs w:val="26"/>
        </w:rPr>
        <w:t>80-81</w:t>
      </w:r>
      <w:r w:rsidRPr="00004D12">
        <w:rPr>
          <w:sz w:val="26"/>
          <w:szCs w:val="26"/>
        </w:rPr>
        <w:t>.  The ALJ</w:t>
      </w:r>
      <w:r w:rsidR="00585D1B">
        <w:rPr>
          <w:sz w:val="26"/>
          <w:szCs w:val="26"/>
        </w:rPr>
        <w:t xml:space="preserve">, in agreement with the OCA, noted that the Commission has stated that “Section 1329 contains no prohibitions on the ability of the Parties to review the UVE appraisals and make arguments as to their reasonableness and to recommend adjustments.”  </w:t>
      </w:r>
      <w:r w:rsidR="004425E2" w:rsidRPr="004425E2">
        <w:rPr>
          <w:i/>
          <w:iCs/>
          <w:sz w:val="26"/>
          <w:szCs w:val="26"/>
        </w:rPr>
        <w:t>Application of Aqua Pennsylvania Wastewater, Inc. Pursuant to Sections</w:t>
      </w:r>
      <w:r w:rsidR="00455CC3">
        <w:rPr>
          <w:i/>
          <w:iCs/>
          <w:sz w:val="26"/>
          <w:szCs w:val="26"/>
        </w:rPr>
        <w:t> </w:t>
      </w:r>
      <w:r w:rsidR="004425E2" w:rsidRPr="004425E2">
        <w:rPr>
          <w:i/>
          <w:iCs/>
          <w:sz w:val="26"/>
          <w:szCs w:val="26"/>
        </w:rPr>
        <w:t xml:space="preserve">1102 and 1329 of the Public Utility Code for Approval of its Acquisition of the Wastewater System Assets of New Garden Township and the New Garden Township Sewer Authority, </w:t>
      </w:r>
      <w:r w:rsidR="004425E2" w:rsidRPr="004425E2">
        <w:rPr>
          <w:sz w:val="26"/>
          <w:szCs w:val="26"/>
        </w:rPr>
        <w:t xml:space="preserve">Docket No. A-2016-2580061 </w:t>
      </w:r>
      <w:r w:rsidR="004425E2">
        <w:rPr>
          <w:sz w:val="26"/>
          <w:szCs w:val="26"/>
        </w:rPr>
        <w:t>(</w:t>
      </w:r>
      <w:r w:rsidR="004425E2" w:rsidRPr="004425E2">
        <w:rPr>
          <w:sz w:val="26"/>
          <w:szCs w:val="26"/>
        </w:rPr>
        <w:t>Order entered June 29, 2017</w:t>
      </w:r>
      <w:r w:rsidR="004425E2">
        <w:rPr>
          <w:sz w:val="26"/>
          <w:szCs w:val="26"/>
        </w:rPr>
        <w:t>)</w:t>
      </w:r>
      <w:r w:rsidR="004425E2">
        <w:rPr>
          <w:i/>
          <w:iCs/>
          <w:sz w:val="26"/>
          <w:szCs w:val="26"/>
        </w:rPr>
        <w:t xml:space="preserve"> </w:t>
      </w:r>
      <w:r w:rsidR="009631FF">
        <w:rPr>
          <w:sz w:val="26"/>
          <w:szCs w:val="26"/>
        </w:rPr>
        <w:t>at 53</w:t>
      </w:r>
      <w:r w:rsidR="00C66505" w:rsidRPr="00C66505">
        <w:rPr>
          <w:sz w:val="26"/>
          <w:szCs w:val="26"/>
        </w:rPr>
        <w:t xml:space="preserve"> (</w:t>
      </w:r>
      <w:r w:rsidR="00C66505" w:rsidRPr="00C66505">
        <w:rPr>
          <w:i/>
          <w:iCs/>
          <w:sz w:val="26"/>
          <w:szCs w:val="26"/>
        </w:rPr>
        <w:t>New</w:t>
      </w:r>
      <w:r w:rsidR="00455CC3">
        <w:rPr>
          <w:i/>
          <w:iCs/>
          <w:sz w:val="26"/>
          <w:szCs w:val="26"/>
        </w:rPr>
        <w:t> </w:t>
      </w:r>
      <w:r w:rsidR="00C66505" w:rsidRPr="00C66505">
        <w:rPr>
          <w:i/>
          <w:iCs/>
          <w:sz w:val="26"/>
          <w:szCs w:val="26"/>
        </w:rPr>
        <w:t>Garden</w:t>
      </w:r>
      <w:r w:rsidR="00C66505" w:rsidRPr="00C66505">
        <w:rPr>
          <w:sz w:val="26"/>
          <w:szCs w:val="26"/>
        </w:rPr>
        <w:t>).</w:t>
      </w:r>
    </w:p>
    <w:p w14:paraId="2163F2DD" w14:textId="1268D3F7" w:rsidR="00343245" w:rsidRDefault="00343245" w:rsidP="009631FF">
      <w:pPr>
        <w:widowControl/>
        <w:spacing w:line="360" w:lineRule="auto"/>
        <w:ind w:firstLine="1440"/>
        <w:rPr>
          <w:sz w:val="26"/>
          <w:szCs w:val="26"/>
        </w:rPr>
      </w:pPr>
    </w:p>
    <w:p w14:paraId="5A986FBD" w14:textId="550BA739" w:rsidR="00343245" w:rsidRDefault="00343245" w:rsidP="009631FF">
      <w:pPr>
        <w:widowControl/>
        <w:spacing w:line="360" w:lineRule="auto"/>
        <w:ind w:firstLine="1440"/>
        <w:rPr>
          <w:sz w:val="26"/>
          <w:szCs w:val="26"/>
        </w:rPr>
      </w:pPr>
      <w:r>
        <w:rPr>
          <w:sz w:val="26"/>
          <w:szCs w:val="26"/>
        </w:rPr>
        <w:t>The ALJ cited to</w:t>
      </w:r>
      <w:r w:rsidR="009455F0">
        <w:rPr>
          <w:sz w:val="26"/>
          <w:szCs w:val="26"/>
        </w:rPr>
        <w:t xml:space="preserve"> two</w:t>
      </w:r>
      <w:r>
        <w:rPr>
          <w:sz w:val="26"/>
          <w:szCs w:val="26"/>
        </w:rPr>
        <w:t xml:space="preserve"> subsequent</w:t>
      </w:r>
      <w:r w:rsidRPr="00343245">
        <w:rPr>
          <w:sz w:val="26"/>
          <w:szCs w:val="26"/>
        </w:rPr>
        <w:t xml:space="preserve"> Section 1329 proceeding</w:t>
      </w:r>
      <w:r w:rsidR="009455F0">
        <w:rPr>
          <w:sz w:val="26"/>
          <w:szCs w:val="26"/>
        </w:rPr>
        <w:t>s</w:t>
      </w:r>
      <w:r w:rsidRPr="00343245">
        <w:rPr>
          <w:sz w:val="26"/>
          <w:szCs w:val="26"/>
        </w:rPr>
        <w:t xml:space="preserve">, </w:t>
      </w:r>
      <w:r>
        <w:rPr>
          <w:sz w:val="26"/>
          <w:szCs w:val="26"/>
        </w:rPr>
        <w:t xml:space="preserve">in which </w:t>
      </w:r>
      <w:r w:rsidRPr="00343245">
        <w:rPr>
          <w:sz w:val="26"/>
          <w:szCs w:val="26"/>
        </w:rPr>
        <w:t>the Commission reiterated that Section 1329 contains no prohibitions on the ability of parties to review the UVE appraisals as to their reasonableness and stated as follows:</w:t>
      </w:r>
    </w:p>
    <w:p w14:paraId="388A60FE" w14:textId="2FB7BF8D" w:rsidR="00343245" w:rsidRDefault="00343245" w:rsidP="00455CC3">
      <w:pPr>
        <w:widowControl/>
        <w:ind w:firstLine="1440"/>
        <w:rPr>
          <w:sz w:val="26"/>
          <w:szCs w:val="26"/>
        </w:rPr>
      </w:pPr>
    </w:p>
    <w:p w14:paraId="373C3E71" w14:textId="33D02A48" w:rsidR="00343245" w:rsidRDefault="00343245" w:rsidP="00343245">
      <w:pPr>
        <w:widowControl/>
        <w:ind w:left="1440" w:right="1440"/>
        <w:rPr>
          <w:sz w:val="26"/>
          <w:szCs w:val="26"/>
        </w:rPr>
      </w:pPr>
      <w:r w:rsidRPr="00343245">
        <w:rPr>
          <w:sz w:val="26"/>
          <w:szCs w:val="26"/>
        </w:rPr>
        <w:t>We agree that Section 1329 does not prevent a review of the UVE assumptions for reasonableness, and for the reasons discussed below, we find that the ALJ appropriately considered several of the recommendations to the fair market appraisals of the Limerick system.</w:t>
      </w:r>
    </w:p>
    <w:p w14:paraId="19E4A7FD" w14:textId="65B4EAC2" w:rsidR="00004D12" w:rsidRDefault="00004D12" w:rsidP="00950AF2">
      <w:pPr>
        <w:widowControl/>
        <w:spacing w:line="360" w:lineRule="auto"/>
        <w:rPr>
          <w:sz w:val="26"/>
          <w:szCs w:val="26"/>
        </w:rPr>
      </w:pPr>
    </w:p>
    <w:p w14:paraId="689EF98D" w14:textId="748DF251" w:rsidR="00282C6C" w:rsidRDefault="00162FAC" w:rsidP="00950AF2">
      <w:pPr>
        <w:widowControl/>
        <w:spacing w:line="360" w:lineRule="auto"/>
        <w:rPr>
          <w:sz w:val="26"/>
          <w:szCs w:val="26"/>
        </w:rPr>
      </w:pPr>
      <w:r>
        <w:rPr>
          <w:sz w:val="26"/>
          <w:szCs w:val="26"/>
        </w:rPr>
        <w:t>R.D. at 70 (</w:t>
      </w:r>
      <w:r w:rsidRPr="00466C8F">
        <w:rPr>
          <w:sz w:val="26"/>
          <w:szCs w:val="26"/>
        </w:rPr>
        <w:t>citing</w:t>
      </w:r>
      <w:r w:rsidRPr="003A3954">
        <w:rPr>
          <w:i/>
          <w:iCs/>
          <w:sz w:val="26"/>
          <w:szCs w:val="26"/>
        </w:rPr>
        <w:t xml:space="preserve"> </w:t>
      </w:r>
      <w:r w:rsidR="00343245" w:rsidRPr="00343245">
        <w:rPr>
          <w:i/>
          <w:iCs/>
          <w:sz w:val="26"/>
          <w:szCs w:val="26"/>
        </w:rPr>
        <w:t>Application of Aqua P</w:t>
      </w:r>
      <w:r w:rsidR="00343245">
        <w:rPr>
          <w:i/>
          <w:iCs/>
          <w:sz w:val="26"/>
          <w:szCs w:val="26"/>
        </w:rPr>
        <w:t>ennsylvania</w:t>
      </w:r>
      <w:r w:rsidR="00343245" w:rsidRPr="00343245">
        <w:rPr>
          <w:i/>
          <w:iCs/>
          <w:sz w:val="26"/>
          <w:szCs w:val="26"/>
        </w:rPr>
        <w:t xml:space="preserve"> Wastewater, Inc.</w:t>
      </w:r>
      <w:r w:rsidR="0033213D">
        <w:rPr>
          <w:i/>
          <w:iCs/>
          <w:sz w:val="26"/>
          <w:szCs w:val="26"/>
        </w:rPr>
        <w:t xml:space="preserve"> Pursuant to Sections 1102 and 1329 of the Public Utility Code for Approval of its Acquisition of the Wastewater System Assets of Limerick Township</w:t>
      </w:r>
      <w:r w:rsidR="00343245" w:rsidRPr="00343245">
        <w:rPr>
          <w:i/>
          <w:iCs/>
          <w:sz w:val="26"/>
          <w:szCs w:val="26"/>
        </w:rPr>
        <w:t xml:space="preserve">, </w:t>
      </w:r>
      <w:r w:rsidR="00343245" w:rsidRPr="00343245">
        <w:rPr>
          <w:sz w:val="26"/>
          <w:szCs w:val="26"/>
        </w:rPr>
        <w:t>Docket No. A-2017-2605434</w:t>
      </w:r>
      <w:r w:rsidR="00343245">
        <w:rPr>
          <w:sz w:val="26"/>
          <w:szCs w:val="26"/>
        </w:rPr>
        <w:t xml:space="preserve"> (</w:t>
      </w:r>
      <w:r w:rsidR="00343245" w:rsidRPr="00343245">
        <w:rPr>
          <w:sz w:val="26"/>
          <w:szCs w:val="26"/>
        </w:rPr>
        <w:t xml:space="preserve">Order </w:t>
      </w:r>
      <w:r w:rsidR="00343245">
        <w:rPr>
          <w:sz w:val="26"/>
          <w:szCs w:val="26"/>
        </w:rPr>
        <w:t xml:space="preserve">entered </w:t>
      </w:r>
      <w:r w:rsidR="00343245" w:rsidRPr="00343245">
        <w:rPr>
          <w:sz w:val="26"/>
          <w:szCs w:val="26"/>
        </w:rPr>
        <w:t>Nov</w:t>
      </w:r>
      <w:r w:rsidR="000D55A7">
        <w:rPr>
          <w:sz w:val="26"/>
          <w:szCs w:val="26"/>
        </w:rPr>
        <w:t>ember</w:t>
      </w:r>
      <w:r w:rsidR="00343245" w:rsidRPr="00343245">
        <w:rPr>
          <w:sz w:val="26"/>
          <w:szCs w:val="26"/>
        </w:rPr>
        <w:t xml:space="preserve"> 29, 2017)</w:t>
      </w:r>
      <w:r w:rsidR="00343245">
        <w:rPr>
          <w:sz w:val="26"/>
          <w:szCs w:val="26"/>
        </w:rPr>
        <w:t xml:space="preserve"> at 36</w:t>
      </w:r>
      <w:r w:rsidR="00343245" w:rsidRPr="00343245">
        <w:rPr>
          <w:sz w:val="26"/>
          <w:szCs w:val="26"/>
        </w:rPr>
        <w:t xml:space="preserve"> (</w:t>
      </w:r>
      <w:r w:rsidR="00343245" w:rsidRPr="00343245">
        <w:rPr>
          <w:i/>
          <w:iCs/>
          <w:sz w:val="26"/>
          <w:szCs w:val="26"/>
        </w:rPr>
        <w:t>Limerick</w:t>
      </w:r>
      <w:r w:rsidR="00343245" w:rsidRPr="00343245">
        <w:rPr>
          <w:sz w:val="26"/>
          <w:szCs w:val="26"/>
        </w:rPr>
        <w:t>)</w:t>
      </w:r>
      <w:r w:rsidR="0033213D">
        <w:rPr>
          <w:sz w:val="26"/>
          <w:szCs w:val="26"/>
        </w:rPr>
        <w:t>)</w:t>
      </w:r>
      <w:r w:rsidR="00343245" w:rsidRPr="00343245">
        <w:rPr>
          <w:sz w:val="26"/>
          <w:szCs w:val="26"/>
        </w:rPr>
        <w:t>.</w:t>
      </w:r>
    </w:p>
    <w:p w14:paraId="1855B4DB" w14:textId="2B07F6AC" w:rsidR="009455F0" w:rsidRDefault="009455F0" w:rsidP="00455CC3">
      <w:pPr>
        <w:widowControl/>
        <w:rPr>
          <w:sz w:val="26"/>
          <w:szCs w:val="26"/>
        </w:rPr>
      </w:pPr>
    </w:p>
    <w:p w14:paraId="6B8EF867" w14:textId="2D1B26FB" w:rsidR="009455F0" w:rsidRDefault="009455F0" w:rsidP="009455F0">
      <w:pPr>
        <w:widowControl/>
        <w:ind w:left="1440" w:right="1440"/>
        <w:rPr>
          <w:sz w:val="26"/>
          <w:szCs w:val="26"/>
        </w:rPr>
      </w:pPr>
      <w:r w:rsidRPr="009455F0">
        <w:rPr>
          <w:sz w:val="26"/>
          <w:szCs w:val="26"/>
        </w:rPr>
        <w:t>[T]he Commission has already considered and rejected Aqua’s position and determined that Section 1329 contains no prohibitions on the ability of parties, or the Commission, to review the UVE appraisals as to their reasonableness and, accordingly, propose, or adopt, adjustments to the UVE appraisals.</w:t>
      </w:r>
      <w:r w:rsidR="00BD2F08">
        <w:rPr>
          <w:sz w:val="26"/>
          <w:szCs w:val="26"/>
        </w:rPr>
        <w:t xml:space="preserve"> </w:t>
      </w:r>
      <w:r w:rsidRPr="009455F0">
        <w:rPr>
          <w:sz w:val="26"/>
          <w:szCs w:val="26"/>
        </w:rPr>
        <w:t xml:space="preserve"> Specifically, in the </w:t>
      </w:r>
      <w:r w:rsidRPr="009455F0">
        <w:rPr>
          <w:i/>
          <w:iCs/>
          <w:sz w:val="26"/>
          <w:szCs w:val="26"/>
        </w:rPr>
        <w:t>Limerick Order</w:t>
      </w:r>
      <w:r w:rsidRPr="009455F0">
        <w:rPr>
          <w:sz w:val="26"/>
          <w:szCs w:val="26"/>
        </w:rPr>
        <w:t xml:space="preserve">, citing to the </w:t>
      </w:r>
      <w:r w:rsidRPr="009455F0">
        <w:rPr>
          <w:i/>
          <w:iCs/>
          <w:sz w:val="26"/>
          <w:szCs w:val="26"/>
        </w:rPr>
        <w:t>New Garden Order</w:t>
      </w:r>
      <w:r w:rsidRPr="009455F0">
        <w:rPr>
          <w:sz w:val="26"/>
          <w:szCs w:val="26"/>
        </w:rPr>
        <w:t xml:space="preserve">, we rejected Aqua’s position in those cases, the position Aqua reiterated in this proceeding. </w:t>
      </w:r>
      <w:r w:rsidRPr="009455F0">
        <w:rPr>
          <w:i/>
          <w:iCs/>
          <w:sz w:val="26"/>
          <w:szCs w:val="26"/>
        </w:rPr>
        <w:t xml:space="preserve">Limerick Order </w:t>
      </w:r>
      <w:r w:rsidRPr="009455F0">
        <w:rPr>
          <w:sz w:val="26"/>
          <w:szCs w:val="26"/>
        </w:rPr>
        <w:t>at 35-36.</w:t>
      </w:r>
    </w:p>
    <w:p w14:paraId="51408312" w14:textId="77777777" w:rsidR="00282C6C" w:rsidRDefault="00282C6C" w:rsidP="00950AF2">
      <w:pPr>
        <w:widowControl/>
        <w:spacing w:line="360" w:lineRule="auto"/>
        <w:rPr>
          <w:sz w:val="26"/>
          <w:szCs w:val="26"/>
        </w:rPr>
      </w:pPr>
    </w:p>
    <w:p w14:paraId="65BCBFD3" w14:textId="7D03ED01" w:rsidR="00321D1B" w:rsidRDefault="00162FAC" w:rsidP="00321D1B">
      <w:pPr>
        <w:widowControl/>
        <w:spacing w:line="360" w:lineRule="auto"/>
        <w:rPr>
          <w:sz w:val="26"/>
          <w:szCs w:val="26"/>
        </w:rPr>
      </w:pPr>
      <w:r>
        <w:rPr>
          <w:sz w:val="26"/>
          <w:szCs w:val="26"/>
        </w:rPr>
        <w:t>R.D. at 81 (</w:t>
      </w:r>
      <w:r w:rsidRPr="00466C8F">
        <w:rPr>
          <w:sz w:val="26"/>
          <w:szCs w:val="26"/>
        </w:rPr>
        <w:t>citing</w:t>
      </w:r>
      <w:r w:rsidRPr="003A3954">
        <w:rPr>
          <w:i/>
          <w:iCs/>
          <w:sz w:val="26"/>
          <w:szCs w:val="26"/>
        </w:rPr>
        <w:t xml:space="preserve"> </w:t>
      </w:r>
      <w:r w:rsidR="000D55A7" w:rsidRPr="000D55A7">
        <w:rPr>
          <w:i/>
          <w:iCs/>
          <w:sz w:val="26"/>
          <w:szCs w:val="26"/>
        </w:rPr>
        <w:t>Application of Aqua Pennsylvania Wastewater, Inc.</w:t>
      </w:r>
      <w:r w:rsidR="008B4331">
        <w:rPr>
          <w:i/>
          <w:iCs/>
          <w:sz w:val="26"/>
          <w:szCs w:val="26"/>
        </w:rPr>
        <w:t xml:space="preserve"> Pursuant to Sections 1102, 1329 &amp; 507 of the Public Utility Code for Approval of its Acquisition of the Wastewater System Assets of Cheltenham Twp. &amp; Contracts between Aqua Pennsylvania Wastewater, Inc. &amp; Cheltenham Twp.</w:t>
      </w:r>
      <w:r w:rsidR="000D55A7" w:rsidRPr="00070FED">
        <w:rPr>
          <w:sz w:val="26"/>
          <w:szCs w:val="26"/>
        </w:rPr>
        <w:t>,</w:t>
      </w:r>
      <w:r w:rsidR="000D55A7" w:rsidRPr="000D55A7">
        <w:rPr>
          <w:i/>
          <w:iCs/>
          <w:sz w:val="26"/>
          <w:szCs w:val="26"/>
        </w:rPr>
        <w:t xml:space="preserve"> </w:t>
      </w:r>
      <w:r w:rsidR="000D55A7" w:rsidRPr="000D55A7">
        <w:rPr>
          <w:sz w:val="26"/>
          <w:szCs w:val="26"/>
        </w:rPr>
        <w:t>Docket No. A-201</w:t>
      </w:r>
      <w:r w:rsidR="000D55A7">
        <w:rPr>
          <w:sz w:val="26"/>
          <w:szCs w:val="26"/>
        </w:rPr>
        <w:t>9-3008491</w:t>
      </w:r>
      <w:r w:rsidR="000D55A7" w:rsidRPr="000D55A7">
        <w:rPr>
          <w:sz w:val="26"/>
          <w:szCs w:val="26"/>
        </w:rPr>
        <w:t xml:space="preserve"> (Order</w:t>
      </w:r>
      <w:r w:rsidR="00455CC3">
        <w:rPr>
          <w:sz w:val="26"/>
          <w:szCs w:val="26"/>
        </w:rPr>
        <w:t> </w:t>
      </w:r>
      <w:r w:rsidR="000D55A7" w:rsidRPr="000D55A7">
        <w:rPr>
          <w:sz w:val="26"/>
          <w:szCs w:val="26"/>
        </w:rPr>
        <w:t>entered Nov</w:t>
      </w:r>
      <w:r w:rsidR="000D55A7">
        <w:rPr>
          <w:sz w:val="26"/>
          <w:szCs w:val="26"/>
        </w:rPr>
        <w:t>ember</w:t>
      </w:r>
      <w:r w:rsidR="000D55A7" w:rsidRPr="000D55A7">
        <w:rPr>
          <w:sz w:val="26"/>
          <w:szCs w:val="26"/>
        </w:rPr>
        <w:t xml:space="preserve"> </w:t>
      </w:r>
      <w:r w:rsidR="000D55A7">
        <w:rPr>
          <w:sz w:val="26"/>
          <w:szCs w:val="26"/>
        </w:rPr>
        <w:t>5</w:t>
      </w:r>
      <w:r w:rsidR="000D55A7" w:rsidRPr="000D55A7">
        <w:rPr>
          <w:sz w:val="26"/>
          <w:szCs w:val="26"/>
        </w:rPr>
        <w:t>, 201</w:t>
      </w:r>
      <w:r w:rsidR="000D55A7">
        <w:rPr>
          <w:sz w:val="26"/>
          <w:szCs w:val="26"/>
        </w:rPr>
        <w:t>9</w:t>
      </w:r>
      <w:r w:rsidR="000D55A7" w:rsidRPr="000D55A7">
        <w:rPr>
          <w:sz w:val="26"/>
          <w:szCs w:val="26"/>
        </w:rPr>
        <w:t xml:space="preserve">) at </w:t>
      </w:r>
      <w:r w:rsidR="000D55A7">
        <w:rPr>
          <w:sz w:val="26"/>
          <w:szCs w:val="26"/>
        </w:rPr>
        <w:t>39</w:t>
      </w:r>
      <w:r w:rsidR="000D55A7" w:rsidRPr="000D55A7">
        <w:rPr>
          <w:sz w:val="26"/>
          <w:szCs w:val="26"/>
        </w:rPr>
        <w:t xml:space="preserve"> (</w:t>
      </w:r>
      <w:r w:rsidR="000D55A7">
        <w:rPr>
          <w:i/>
          <w:iCs/>
          <w:sz w:val="26"/>
          <w:szCs w:val="26"/>
        </w:rPr>
        <w:t>Cheltenham</w:t>
      </w:r>
      <w:r w:rsidR="000D55A7" w:rsidRPr="000D55A7">
        <w:rPr>
          <w:sz w:val="26"/>
          <w:szCs w:val="26"/>
        </w:rPr>
        <w:t>)</w:t>
      </w:r>
      <w:r w:rsidR="008B4331">
        <w:rPr>
          <w:sz w:val="26"/>
          <w:szCs w:val="26"/>
        </w:rPr>
        <w:t>)</w:t>
      </w:r>
      <w:r w:rsidR="000D55A7" w:rsidRPr="000D55A7">
        <w:rPr>
          <w:sz w:val="26"/>
          <w:szCs w:val="26"/>
        </w:rPr>
        <w:t>.</w:t>
      </w:r>
      <w:r w:rsidR="00321D1B">
        <w:rPr>
          <w:sz w:val="26"/>
          <w:szCs w:val="26"/>
        </w:rPr>
        <w:t xml:space="preserve">  As such, the ALJ noted that the Commission has already made the determination</w:t>
      </w:r>
      <w:r w:rsidR="00321D1B" w:rsidRPr="00321D1B">
        <w:rPr>
          <w:sz w:val="26"/>
          <w:szCs w:val="26"/>
        </w:rPr>
        <w:t>, as it</w:t>
      </w:r>
      <w:r w:rsidR="00321D1B">
        <w:rPr>
          <w:sz w:val="26"/>
          <w:szCs w:val="26"/>
        </w:rPr>
        <w:t xml:space="preserve"> </w:t>
      </w:r>
      <w:r w:rsidR="00321D1B" w:rsidRPr="00321D1B">
        <w:rPr>
          <w:sz w:val="26"/>
          <w:szCs w:val="26"/>
        </w:rPr>
        <w:t xml:space="preserve">did in other Aqua Section 1329 acquisitions such as </w:t>
      </w:r>
      <w:r w:rsidR="00321D1B" w:rsidRPr="00321D1B">
        <w:rPr>
          <w:i/>
          <w:iCs/>
          <w:sz w:val="26"/>
          <w:szCs w:val="26"/>
        </w:rPr>
        <w:t>New Garden</w:t>
      </w:r>
      <w:r w:rsidR="00876A03">
        <w:rPr>
          <w:sz w:val="26"/>
          <w:szCs w:val="26"/>
        </w:rPr>
        <w:t xml:space="preserve">, </w:t>
      </w:r>
      <w:r w:rsidR="00321D1B" w:rsidRPr="00321D1B">
        <w:rPr>
          <w:i/>
          <w:iCs/>
          <w:sz w:val="26"/>
          <w:szCs w:val="26"/>
        </w:rPr>
        <w:t>Limerick</w:t>
      </w:r>
      <w:r w:rsidR="00876A03">
        <w:rPr>
          <w:sz w:val="26"/>
          <w:szCs w:val="26"/>
        </w:rPr>
        <w:t xml:space="preserve">, and </w:t>
      </w:r>
      <w:r w:rsidR="00876A03">
        <w:rPr>
          <w:i/>
          <w:iCs/>
          <w:sz w:val="26"/>
          <w:szCs w:val="26"/>
        </w:rPr>
        <w:t>Cheltenham</w:t>
      </w:r>
      <w:r w:rsidR="00321D1B" w:rsidRPr="00321D1B">
        <w:rPr>
          <w:sz w:val="26"/>
          <w:szCs w:val="26"/>
        </w:rPr>
        <w:t xml:space="preserve">, </w:t>
      </w:r>
      <w:r w:rsidR="00321D1B">
        <w:rPr>
          <w:sz w:val="26"/>
          <w:szCs w:val="26"/>
        </w:rPr>
        <w:t>that challenges to appraisals are permissible.</w:t>
      </w:r>
      <w:r w:rsidR="00936204">
        <w:rPr>
          <w:sz w:val="26"/>
          <w:szCs w:val="26"/>
        </w:rPr>
        <w:t xml:space="preserve">  R.D. at 70.  </w:t>
      </w:r>
    </w:p>
    <w:p w14:paraId="2D29EAD9" w14:textId="78B12335" w:rsidR="009455F0" w:rsidRDefault="009455F0" w:rsidP="00950AF2">
      <w:pPr>
        <w:widowControl/>
        <w:spacing w:line="360" w:lineRule="auto"/>
        <w:rPr>
          <w:sz w:val="26"/>
          <w:szCs w:val="26"/>
        </w:rPr>
      </w:pPr>
    </w:p>
    <w:p w14:paraId="552E72A6" w14:textId="6D8ED430" w:rsidR="002E7C16" w:rsidRDefault="00524EB9" w:rsidP="009E6CCA">
      <w:pPr>
        <w:widowControl/>
        <w:spacing w:line="360" w:lineRule="auto"/>
        <w:ind w:firstLine="1440"/>
        <w:rPr>
          <w:sz w:val="26"/>
          <w:szCs w:val="26"/>
        </w:rPr>
      </w:pPr>
      <w:r>
        <w:rPr>
          <w:sz w:val="26"/>
          <w:szCs w:val="26"/>
        </w:rPr>
        <w:t>N</w:t>
      </w:r>
      <w:r w:rsidR="00007C6B" w:rsidRPr="00007C6B">
        <w:rPr>
          <w:sz w:val="26"/>
          <w:szCs w:val="26"/>
        </w:rPr>
        <w:t>o Party filed Exceptions on this issue.</w:t>
      </w:r>
      <w:r w:rsidR="00D96166">
        <w:rPr>
          <w:rStyle w:val="FootnoteReference"/>
          <w:sz w:val="26"/>
          <w:szCs w:val="26"/>
        </w:rPr>
        <w:footnoteReference w:id="14"/>
      </w:r>
      <w:r w:rsidR="009E6CCA">
        <w:rPr>
          <w:sz w:val="26"/>
          <w:szCs w:val="26"/>
        </w:rPr>
        <w:t xml:space="preserve">  </w:t>
      </w:r>
      <w:r w:rsidR="00007C6B" w:rsidRPr="00007C6B">
        <w:rPr>
          <w:sz w:val="26"/>
          <w:szCs w:val="26"/>
        </w:rPr>
        <w:t>Finding the ALJ’s recommendation to be reasonable and supported by substantial evidence in the record, we shall adopt it without further comment.</w:t>
      </w:r>
      <w:r w:rsidR="00B34689">
        <w:rPr>
          <w:sz w:val="26"/>
          <w:szCs w:val="26"/>
        </w:rPr>
        <w:t xml:space="preserve">  Therefore, we will continue with our discussion and consideration of Aqua’s Exceptions, regarding the ALJ’s recommendation and acceptance of the OCA’s proposed adjustments to several of the UVE</w:t>
      </w:r>
      <w:r w:rsidR="00327ACE">
        <w:rPr>
          <w:sz w:val="26"/>
          <w:szCs w:val="26"/>
        </w:rPr>
        <w:t xml:space="preserve"> appraisal approaches.</w:t>
      </w:r>
    </w:p>
    <w:p w14:paraId="3EC3505A" w14:textId="65EE6B67" w:rsidR="00D84617" w:rsidRDefault="00D84617" w:rsidP="009E6CCA">
      <w:pPr>
        <w:widowControl/>
        <w:spacing w:line="360" w:lineRule="auto"/>
        <w:rPr>
          <w:sz w:val="26"/>
          <w:szCs w:val="26"/>
        </w:rPr>
      </w:pPr>
    </w:p>
    <w:p w14:paraId="069B3F0A" w14:textId="2F9DFEB4" w:rsidR="00D84617" w:rsidRPr="00D84617" w:rsidRDefault="00D84617" w:rsidP="009E6CCA">
      <w:pPr>
        <w:pStyle w:val="Heading3"/>
        <w:numPr>
          <w:ilvl w:val="0"/>
          <w:numId w:val="19"/>
        </w:numPr>
        <w:ind w:left="1440" w:hanging="720"/>
      </w:pPr>
      <w:bookmarkStart w:id="48" w:name="_Toc90970723"/>
      <w:r>
        <w:t xml:space="preserve">Aqua’s </w:t>
      </w:r>
      <w:r w:rsidRPr="00D84617">
        <w:t>Application</w:t>
      </w:r>
      <w:bookmarkEnd w:id="48"/>
    </w:p>
    <w:p w14:paraId="5B410A9E" w14:textId="77777777" w:rsidR="00D84617" w:rsidRPr="00D84617" w:rsidRDefault="00D84617" w:rsidP="009E6CCA">
      <w:pPr>
        <w:widowControl/>
        <w:spacing w:line="360" w:lineRule="auto"/>
        <w:rPr>
          <w:sz w:val="26"/>
          <w:szCs w:val="26"/>
        </w:rPr>
      </w:pPr>
    </w:p>
    <w:p w14:paraId="08531D00" w14:textId="3A9344CD" w:rsidR="00784F3D" w:rsidRPr="00784F3D" w:rsidRDefault="00FF23DE" w:rsidP="009E6CCA">
      <w:pPr>
        <w:widowControl/>
        <w:spacing w:line="360" w:lineRule="auto"/>
        <w:ind w:firstLine="1440"/>
        <w:rPr>
          <w:sz w:val="26"/>
          <w:szCs w:val="26"/>
        </w:rPr>
      </w:pPr>
      <w:r w:rsidRPr="00D84617">
        <w:rPr>
          <w:sz w:val="26"/>
          <w:szCs w:val="26"/>
        </w:rPr>
        <w:t xml:space="preserve">As previously indicated, </w:t>
      </w:r>
      <w:r w:rsidR="00D56354" w:rsidRPr="00D84617">
        <w:rPr>
          <w:sz w:val="26"/>
          <w:szCs w:val="26"/>
        </w:rPr>
        <w:t>appraisers, Gannett Fleming and AUS, found appraised values of approximately</w:t>
      </w:r>
      <w:r w:rsidR="00D56354">
        <w:rPr>
          <w:sz w:val="26"/>
          <w:szCs w:val="26"/>
        </w:rPr>
        <w:t xml:space="preserve"> $55.505 million and $54.431 million, respectively</w:t>
      </w:r>
      <w:r w:rsidR="00EF283E">
        <w:rPr>
          <w:sz w:val="26"/>
          <w:szCs w:val="26"/>
        </w:rPr>
        <w:t>,</w:t>
      </w:r>
      <w:r w:rsidR="00D56354">
        <w:rPr>
          <w:sz w:val="26"/>
          <w:szCs w:val="26"/>
        </w:rPr>
        <w:t xml:space="preserve"> for an averaged appraised value of approximately $54.968 million.  </w:t>
      </w:r>
      <w:r w:rsidR="00784F3D" w:rsidRPr="00784F3D">
        <w:rPr>
          <w:sz w:val="26"/>
          <w:szCs w:val="26"/>
        </w:rPr>
        <w:t xml:space="preserve">The purchase price of $53 million is below the average appraised value; consequently, Aqua </w:t>
      </w:r>
      <w:r w:rsidR="00784F3D">
        <w:rPr>
          <w:sz w:val="26"/>
          <w:szCs w:val="26"/>
        </w:rPr>
        <w:t>proposed</w:t>
      </w:r>
      <w:r w:rsidR="00784F3D" w:rsidRPr="00784F3D">
        <w:rPr>
          <w:sz w:val="26"/>
          <w:szCs w:val="26"/>
        </w:rPr>
        <w:t xml:space="preserve"> the $53 million purchase price amount be included in rate </w:t>
      </w:r>
      <w:proofErr w:type="gramStart"/>
      <w:r w:rsidR="00784F3D" w:rsidRPr="00784F3D">
        <w:rPr>
          <w:sz w:val="26"/>
          <w:szCs w:val="26"/>
        </w:rPr>
        <w:t>base, if</w:t>
      </w:r>
      <w:proofErr w:type="gramEnd"/>
      <w:r w:rsidR="00784F3D" w:rsidRPr="00784F3D">
        <w:rPr>
          <w:sz w:val="26"/>
          <w:szCs w:val="26"/>
        </w:rPr>
        <w:t xml:space="preserve"> the transaction is approved.</w:t>
      </w:r>
      <w:r w:rsidR="00784F3D">
        <w:rPr>
          <w:sz w:val="26"/>
          <w:szCs w:val="26"/>
        </w:rPr>
        <w:t xml:space="preserve">  Application at ¶ 21; 66 Pa. C.S. § </w:t>
      </w:r>
      <w:r w:rsidR="00784F3D" w:rsidRPr="00784F3D">
        <w:rPr>
          <w:sz w:val="26"/>
          <w:szCs w:val="26"/>
        </w:rPr>
        <w:t>1329(c)(2)</w:t>
      </w:r>
      <w:r w:rsidR="00784F3D">
        <w:rPr>
          <w:sz w:val="26"/>
          <w:szCs w:val="26"/>
        </w:rPr>
        <w:t xml:space="preserve">.  </w:t>
      </w:r>
    </w:p>
    <w:p w14:paraId="6936E478" w14:textId="5137DAAF" w:rsidR="00D56354" w:rsidRDefault="00D56354" w:rsidP="009E6CCA">
      <w:pPr>
        <w:widowControl/>
        <w:spacing w:line="360" w:lineRule="auto"/>
        <w:ind w:firstLine="1440"/>
        <w:rPr>
          <w:sz w:val="26"/>
          <w:szCs w:val="26"/>
        </w:rPr>
      </w:pPr>
    </w:p>
    <w:p w14:paraId="67188603" w14:textId="3233700D" w:rsidR="001D040D" w:rsidRDefault="00BD3451" w:rsidP="009E6CCA">
      <w:pPr>
        <w:widowControl/>
        <w:spacing w:line="360" w:lineRule="auto"/>
        <w:ind w:firstLine="1440"/>
        <w:rPr>
          <w:sz w:val="26"/>
          <w:szCs w:val="26"/>
        </w:rPr>
      </w:pPr>
      <w:r w:rsidRPr="00BD3451">
        <w:rPr>
          <w:sz w:val="26"/>
          <w:szCs w:val="26"/>
        </w:rPr>
        <w:t>The two appraisals</w:t>
      </w:r>
      <w:r>
        <w:rPr>
          <w:sz w:val="26"/>
          <w:szCs w:val="26"/>
        </w:rPr>
        <w:t xml:space="preserve"> p</w:t>
      </w:r>
      <w:r w:rsidR="00593DD6">
        <w:rPr>
          <w:sz w:val="26"/>
          <w:szCs w:val="26"/>
        </w:rPr>
        <w:t>rovided</w:t>
      </w:r>
      <w:r>
        <w:rPr>
          <w:sz w:val="26"/>
          <w:szCs w:val="26"/>
        </w:rPr>
        <w:t xml:space="preserve"> by Gannett Fleming and AUS</w:t>
      </w:r>
      <w:r w:rsidRPr="00BD3451">
        <w:rPr>
          <w:sz w:val="26"/>
          <w:szCs w:val="26"/>
        </w:rPr>
        <w:t xml:space="preserve"> </w:t>
      </w:r>
      <w:r w:rsidR="00593DD6">
        <w:rPr>
          <w:sz w:val="26"/>
          <w:szCs w:val="26"/>
        </w:rPr>
        <w:t>were prepared in accordance with</w:t>
      </w:r>
      <w:r w:rsidRPr="00BD3451">
        <w:rPr>
          <w:sz w:val="26"/>
          <w:szCs w:val="26"/>
        </w:rPr>
        <w:t xml:space="preserve"> the USPAP</w:t>
      </w:r>
      <w:r w:rsidR="00593DD6">
        <w:rPr>
          <w:sz w:val="26"/>
          <w:szCs w:val="26"/>
        </w:rPr>
        <w:t>,</w:t>
      </w:r>
      <w:r w:rsidRPr="00BD3451">
        <w:rPr>
          <w:sz w:val="26"/>
          <w:szCs w:val="26"/>
        </w:rPr>
        <w:t xml:space="preserve"> employing the </w:t>
      </w:r>
      <w:r w:rsidR="00EE42F1">
        <w:rPr>
          <w:sz w:val="26"/>
          <w:szCs w:val="26"/>
        </w:rPr>
        <w:t>Cost</w:t>
      </w:r>
      <w:r w:rsidRPr="00BD3451">
        <w:rPr>
          <w:sz w:val="26"/>
          <w:szCs w:val="26"/>
        </w:rPr>
        <w:t xml:space="preserve">, </w:t>
      </w:r>
      <w:r w:rsidR="00EE42F1">
        <w:rPr>
          <w:sz w:val="26"/>
          <w:szCs w:val="26"/>
        </w:rPr>
        <w:t>M</w:t>
      </w:r>
      <w:r w:rsidRPr="00BD3451">
        <w:rPr>
          <w:sz w:val="26"/>
          <w:szCs w:val="26"/>
        </w:rPr>
        <w:t xml:space="preserve">arket, and </w:t>
      </w:r>
      <w:r w:rsidR="00EE42F1">
        <w:rPr>
          <w:sz w:val="26"/>
          <w:szCs w:val="26"/>
        </w:rPr>
        <w:t>I</w:t>
      </w:r>
      <w:r w:rsidRPr="00BD3451">
        <w:rPr>
          <w:sz w:val="26"/>
          <w:szCs w:val="26"/>
        </w:rPr>
        <w:t xml:space="preserve">ncome </w:t>
      </w:r>
      <w:r w:rsidR="00EE42F1">
        <w:rPr>
          <w:sz w:val="26"/>
          <w:szCs w:val="26"/>
        </w:rPr>
        <w:t>A</w:t>
      </w:r>
      <w:r w:rsidRPr="00BD3451">
        <w:rPr>
          <w:sz w:val="26"/>
          <w:szCs w:val="26"/>
        </w:rPr>
        <w:t xml:space="preserve">pproaches to arrive at the </w:t>
      </w:r>
      <w:r w:rsidR="0083263F">
        <w:rPr>
          <w:sz w:val="26"/>
          <w:szCs w:val="26"/>
        </w:rPr>
        <w:t>FMV</w:t>
      </w:r>
      <w:r w:rsidRPr="00BD3451">
        <w:rPr>
          <w:sz w:val="26"/>
          <w:szCs w:val="26"/>
        </w:rPr>
        <w:t xml:space="preserve"> of the system.</w:t>
      </w:r>
      <w:r w:rsidR="00DA1936">
        <w:rPr>
          <w:sz w:val="26"/>
          <w:szCs w:val="26"/>
        </w:rPr>
        <w:t xml:space="preserve">  Both firms were pre-certified as authorized UVEs.  Aqua M.B. at 6-7.</w:t>
      </w:r>
      <w:r w:rsidR="007009E7">
        <w:rPr>
          <w:sz w:val="26"/>
          <w:szCs w:val="26"/>
        </w:rPr>
        <w:t xml:space="preserve">  In </w:t>
      </w:r>
      <w:r w:rsidR="0027282F">
        <w:rPr>
          <w:sz w:val="26"/>
          <w:szCs w:val="26"/>
        </w:rPr>
        <w:t>arriving at its estimate, Gannett Fleming considered all three approaches, assigning an equal weight to the result of each approach.</w:t>
      </w:r>
      <w:r w:rsidR="007009E7">
        <w:rPr>
          <w:sz w:val="26"/>
          <w:szCs w:val="26"/>
        </w:rPr>
        <w:t xml:space="preserve"> </w:t>
      </w:r>
      <w:r w:rsidR="0027282F">
        <w:rPr>
          <w:sz w:val="26"/>
          <w:szCs w:val="26"/>
        </w:rPr>
        <w:t xml:space="preserve"> </w:t>
      </w:r>
      <w:r w:rsidR="007009E7">
        <w:rPr>
          <w:sz w:val="26"/>
          <w:szCs w:val="26"/>
        </w:rPr>
        <w:t xml:space="preserve">While </w:t>
      </w:r>
      <w:r w:rsidR="001D040D">
        <w:rPr>
          <w:sz w:val="26"/>
          <w:szCs w:val="26"/>
        </w:rPr>
        <w:t xml:space="preserve">AUS primarily relied on the </w:t>
      </w:r>
      <w:r w:rsidR="00EE42F1">
        <w:rPr>
          <w:sz w:val="26"/>
          <w:szCs w:val="26"/>
        </w:rPr>
        <w:t>C</w:t>
      </w:r>
      <w:r w:rsidR="001D040D">
        <w:rPr>
          <w:sz w:val="26"/>
          <w:szCs w:val="26"/>
        </w:rPr>
        <w:t xml:space="preserve">ost </w:t>
      </w:r>
      <w:r w:rsidR="00EE42F1">
        <w:rPr>
          <w:sz w:val="26"/>
          <w:szCs w:val="26"/>
        </w:rPr>
        <w:t>A</w:t>
      </w:r>
      <w:r w:rsidR="001D040D">
        <w:rPr>
          <w:sz w:val="26"/>
          <w:szCs w:val="26"/>
        </w:rPr>
        <w:t xml:space="preserve">pproach, with the </w:t>
      </w:r>
      <w:r w:rsidR="00EE42F1">
        <w:rPr>
          <w:sz w:val="26"/>
          <w:szCs w:val="26"/>
        </w:rPr>
        <w:t>I</w:t>
      </w:r>
      <w:r w:rsidR="001D040D">
        <w:rPr>
          <w:sz w:val="26"/>
          <w:szCs w:val="26"/>
        </w:rPr>
        <w:t xml:space="preserve">ncome and </w:t>
      </w:r>
      <w:r w:rsidR="00EE42F1">
        <w:rPr>
          <w:sz w:val="26"/>
          <w:szCs w:val="26"/>
        </w:rPr>
        <w:t>M</w:t>
      </w:r>
      <w:r w:rsidR="001D040D">
        <w:rPr>
          <w:sz w:val="26"/>
          <w:szCs w:val="26"/>
        </w:rPr>
        <w:t xml:space="preserve">arket </w:t>
      </w:r>
      <w:r w:rsidR="00EE42F1">
        <w:rPr>
          <w:sz w:val="26"/>
          <w:szCs w:val="26"/>
        </w:rPr>
        <w:t>A</w:t>
      </w:r>
      <w:r w:rsidR="001D040D">
        <w:rPr>
          <w:sz w:val="26"/>
          <w:szCs w:val="26"/>
        </w:rPr>
        <w:t>pproaches being utilized to confirm the overall value of the wastewater system’s operation.</w:t>
      </w:r>
      <w:r w:rsidR="00B4158D">
        <w:rPr>
          <w:rStyle w:val="FootnoteReference"/>
          <w:sz w:val="26"/>
          <w:szCs w:val="26"/>
        </w:rPr>
        <w:footnoteReference w:id="15"/>
      </w:r>
      <w:r w:rsidR="001D040D">
        <w:rPr>
          <w:sz w:val="26"/>
          <w:szCs w:val="26"/>
        </w:rPr>
        <w:t xml:space="preserve">  </w:t>
      </w:r>
      <w:r w:rsidR="00491946">
        <w:rPr>
          <w:sz w:val="26"/>
          <w:szCs w:val="26"/>
        </w:rPr>
        <w:t xml:space="preserve">The results </w:t>
      </w:r>
      <w:r w:rsidR="00F525C2">
        <w:rPr>
          <w:sz w:val="26"/>
          <w:szCs w:val="26"/>
        </w:rPr>
        <w:t xml:space="preserve">of each </w:t>
      </w:r>
      <w:r w:rsidR="00491946">
        <w:rPr>
          <w:sz w:val="26"/>
          <w:szCs w:val="26"/>
        </w:rPr>
        <w:t>are summarized as follows:</w:t>
      </w:r>
    </w:p>
    <w:p w14:paraId="6BC6A473" w14:textId="7BE2637D" w:rsidR="00B83EF3" w:rsidRPr="00E2165C" w:rsidRDefault="00B83EF3" w:rsidP="002E7C16">
      <w:pPr>
        <w:widowControl/>
        <w:spacing w:line="360" w:lineRule="auto"/>
        <w:rPr>
          <w:sz w:val="26"/>
          <w:szCs w:val="26"/>
        </w:rPr>
      </w:pPr>
    </w:p>
    <w:p w14:paraId="370FB4F0" w14:textId="3B71B68B" w:rsidR="00C45FE7" w:rsidRPr="00E2165C" w:rsidRDefault="00E2165C" w:rsidP="00C45FE7">
      <w:pPr>
        <w:widowControl/>
        <w:spacing w:line="360" w:lineRule="auto"/>
        <w:jc w:val="center"/>
        <w:rPr>
          <w:sz w:val="26"/>
          <w:szCs w:val="26"/>
        </w:rPr>
      </w:pPr>
      <w:r w:rsidRPr="00E2165C">
        <w:rPr>
          <w:noProof/>
        </w:rPr>
        <w:drawing>
          <wp:inline distT="0" distB="0" distL="0" distR="0" wp14:anchorId="354ADEB8" wp14:editId="67D0419B">
            <wp:extent cx="5448300" cy="259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8300" cy="2590800"/>
                    </a:xfrm>
                    <a:prstGeom prst="rect">
                      <a:avLst/>
                    </a:prstGeom>
                    <a:noFill/>
                    <a:ln>
                      <a:noFill/>
                    </a:ln>
                  </pic:spPr>
                </pic:pic>
              </a:graphicData>
            </a:graphic>
          </wp:inline>
        </w:drawing>
      </w:r>
    </w:p>
    <w:p w14:paraId="56B5457F" w14:textId="185C9754" w:rsidR="00C45FE7" w:rsidRPr="00E2165C" w:rsidRDefault="00C45FE7" w:rsidP="002E7C16">
      <w:pPr>
        <w:widowControl/>
        <w:spacing w:line="360" w:lineRule="auto"/>
        <w:rPr>
          <w:sz w:val="26"/>
          <w:szCs w:val="26"/>
        </w:rPr>
      </w:pPr>
    </w:p>
    <w:p w14:paraId="373293EC" w14:textId="548CAEEF" w:rsidR="00845885" w:rsidRDefault="00C45FE7" w:rsidP="002E7C16">
      <w:pPr>
        <w:widowControl/>
        <w:spacing w:line="360" w:lineRule="auto"/>
        <w:rPr>
          <w:sz w:val="26"/>
          <w:szCs w:val="26"/>
        </w:rPr>
      </w:pPr>
      <w:r w:rsidRPr="00C45FE7">
        <w:rPr>
          <w:i/>
          <w:iCs/>
          <w:sz w:val="26"/>
          <w:szCs w:val="26"/>
        </w:rPr>
        <w:t>See</w:t>
      </w:r>
      <w:r>
        <w:rPr>
          <w:sz w:val="26"/>
          <w:szCs w:val="26"/>
        </w:rPr>
        <w:t xml:space="preserve"> Aqua St. 4 at 13.</w:t>
      </w:r>
      <w:r w:rsidR="0090474D">
        <w:rPr>
          <w:sz w:val="26"/>
          <w:szCs w:val="26"/>
        </w:rPr>
        <w:t xml:space="preserve">  In summary, Gannett Fleming’s </w:t>
      </w:r>
      <w:r w:rsidR="0005113D">
        <w:rPr>
          <w:sz w:val="26"/>
          <w:szCs w:val="26"/>
        </w:rPr>
        <w:t>C</w:t>
      </w:r>
      <w:r w:rsidR="0090474D">
        <w:rPr>
          <w:sz w:val="26"/>
          <w:szCs w:val="26"/>
        </w:rPr>
        <w:t xml:space="preserve">ost </w:t>
      </w:r>
      <w:r w:rsidR="0005113D">
        <w:rPr>
          <w:sz w:val="26"/>
          <w:szCs w:val="26"/>
        </w:rPr>
        <w:t>A</w:t>
      </w:r>
      <w:r w:rsidR="0090474D">
        <w:rPr>
          <w:sz w:val="26"/>
          <w:szCs w:val="26"/>
        </w:rPr>
        <w:t>pproach utilized the original cost new (OCN) to calculate the trended original cost (TOC) measures, or the reproduction cost of the depreciable assets by multiplying the OCN by specific cost indices</w:t>
      </w:r>
      <w:r w:rsidR="006D368F">
        <w:rPr>
          <w:sz w:val="26"/>
          <w:szCs w:val="26"/>
        </w:rPr>
        <w:t>.  Reproduction cost new w</w:t>
      </w:r>
      <w:r w:rsidR="00BD2F08">
        <w:rPr>
          <w:sz w:val="26"/>
          <w:szCs w:val="26"/>
        </w:rPr>
        <w:t>as</w:t>
      </w:r>
      <w:r w:rsidR="006D368F">
        <w:rPr>
          <w:sz w:val="26"/>
          <w:szCs w:val="26"/>
        </w:rPr>
        <w:t xml:space="preserve"> converted to replacement cost new after factoring in obsolescence.  Gannett Fleming indicated its use of the TOC method over the reproduction </w:t>
      </w:r>
      <w:proofErr w:type="gramStart"/>
      <w:r w:rsidR="006D368F">
        <w:rPr>
          <w:sz w:val="26"/>
          <w:szCs w:val="26"/>
        </w:rPr>
        <w:t>cost</w:t>
      </w:r>
      <w:proofErr w:type="gramEnd"/>
      <w:r w:rsidR="006D368F">
        <w:rPr>
          <w:sz w:val="26"/>
          <w:szCs w:val="26"/>
        </w:rPr>
        <w:t xml:space="preserve"> or the replacement cost methods was essentially dictated by the mandated use of the </w:t>
      </w:r>
      <w:r w:rsidR="006D368F" w:rsidRPr="006D368F">
        <w:rPr>
          <w:sz w:val="26"/>
          <w:szCs w:val="26"/>
        </w:rPr>
        <w:t>Assessment of Tangible Property</w:t>
      </w:r>
      <w:r w:rsidR="006D368F">
        <w:rPr>
          <w:sz w:val="26"/>
          <w:szCs w:val="26"/>
        </w:rPr>
        <w:t>’s original cost.</w:t>
      </w:r>
      <w:r w:rsidR="00845885">
        <w:rPr>
          <w:sz w:val="26"/>
          <w:szCs w:val="26"/>
        </w:rPr>
        <w:t xml:space="preserve">  Its </w:t>
      </w:r>
      <w:r w:rsidR="00EE42F1">
        <w:rPr>
          <w:sz w:val="26"/>
          <w:szCs w:val="26"/>
        </w:rPr>
        <w:t>I</w:t>
      </w:r>
      <w:r w:rsidR="00845885">
        <w:rPr>
          <w:sz w:val="26"/>
          <w:szCs w:val="26"/>
        </w:rPr>
        <w:t xml:space="preserve">ncome </w:t>
      </w:r>
      <w:r w:rsidR="00EE42F1">
        <w:rPr>
          <w:sz w:val="26"/>
          <w:szCs w:val="26"/>
        </w:rPr>
        <w:t>A</w:t>
      </w:r>
      <w:r w:rsidR="00845885">
        <w:rPr>
          <w:sz w:val="26"/>
          <w:szCs w:val="26"/>
        </w:rPr>
        <w:t xml:space="preserve">pproach </w:t>
      </w:r>
      <w:r w:rsidR="00CD140F">
        <w:rPr>
          <w:sz w:val="26"/>
          <w:szCs w:val="26"/>
        </w:rPr>
        <w:t>considers</w:t>
      </w:r>
      <w:r w:rsidR="00845885">
        <w:rPr>
          <w:sz w:val="26"/>
          <w:szCs w:val="26"/>
        </w:rPr>
        <w:t xml:space="preserve"> the results of </w:t>
      </w:r>
      <w:r w:rsidR="00CD140F">
        <w:rPr>
          <w:sz w:val="26"/>
          <w:szCs w:val="26"/>
        </w:rPr>
        <w:t xml:space="preserve">two types of discounted cash flow (DCF) analyses, </w:t>
      </w:r>
      <w:r w:rsidR="00845885">
        <w:rPr>
          <w:sz w:val="26"/>
          <w:szCs w:val="26"/>
        </w:rPr>
        <w:t xml:space="preserve">the </w:t>
      </w:r>
      <w:r w:rsidR="00CD140F">
        <w:rPr>
          <w:sz w:val="26"/>
          <w:szCs w:val="26"/>
        </w:rPr>
        <w:t>EBIT and EBITDA terminal value model (Market Multiple DCF) and the capitalization of terminal value model (Capitalization DCF) (</w:t>
      </w:r>
      <w:r w:rsidR="00590B3C">
        <w:rPr>
          <w:sz w:val="26"/>
          <w:szCs w:val="26"/>
        </w:rPr>
        <w:t>collectively referred to as the DCF method</w:t>
      </w:r>
      <w:r w:rsidR="00E0613D">
        <w:rPr>
          <w:sz w:val="26"/>
          <w:szCs w:val="26"/>
        </w:rPr>
        <w:t>s</w:t>
      </w:r>
      <w:r w:rsidR="00590B3C">
        <w:rPr>
          <w:sz w:val="26"/>
          <w:szCs w:val="26"/>
        </w:rPr>
        <w:t>)</w:t>
      </w:r>
      <w:r w:rsidR="00845885">
        <w:rPr>
          <w:sz w:val="26"/>
          <w:szCs w:val="26"/>
        </w:rPr>
        <w:t>.</w:t>
      </w:r>
      <w:r w:rsidR="00755B26">
        <w:rPr>
          <w:rStyle w:val="FootnoteReference"/>
          <w:sz w:val="26"/>
          <w:szCs w:val="26"/>
        </w:rPr>
        <w:footnoteReference w:id="16"/>
      </w:r>
      <w:r w:rsidR="00845885">
        <w:rPr>
          <w:sz w:val="26"/>
          <w:szCs w:val="26"/>
        </w:rPr>
        <w:t xml:space="preserve">  Gannett Fleming’s </w:t>
      </w:r>
      <w:r w:rsidR="0005113D">
        <w:rPr>
          <w:sz w:val="26"/>
          <w:szCs w:val="26"/>
        </w:rPr>
        <w:t>M</w:t>
      </w:r>
      <w:r w:rsidR="00845885">
        <w:rPr>
          <w:sz w:val="26"/>
          <w:szCs w:val="26"/>
        </w:rPr>
        <w:t xml:space="preserve">arket </w:t>
      </w:r>
      <w:r w:rsidR="0005113D">
        <w:rPr>
          <w:sz w:val="26"/>
          <w:szCs w:val="26"/>
        </w:rPr>
        <w:t>A</w:t>
      </w:r>
      <w:r w:rsidR="00845885">
        <w:rPr>
          <w:sz w:val="26"/>
          <w:szCs w:val="26"/>
        </w:rPr>
        <w:t>pproach</w:t>
      </w:r>
      <w:r w:rsidR="00590B3C">
        <w:rPr>
          <w:sz w:val="26"/>
          <w:szCs w:val="26"/>
        </w:rPr>
        <w:t xml:space="preserve"> is supported by the market multiples method and selected transaction method.  </w:t>
      </w:r>
      <w:r w:rsidR="00845885">
        <w:rPr>
          <w:sz w:val="26"/>
          <w:szCs w:val="26"/>
        </w:rPr>
        <w:t>Aqua St. 4 at 16-</w:t>
      </w:r>
      <w:r w:rsidR="00590B3C">
        <w:rPr>
          <w:sz w:val="26"/>
          <w:szCs w:val="26"/>
        </w:rPr>
        <w:t>18, 24.</w:t>
      </w:r>
    </w:p>
    <w:p w14:paraId="65F62532" w14:textId="77777777" w:rsidR="004B1ABE" w:rsidRPr="00E2165C" w:rsidRDefault="004B1ABE" w:rsidP="002E7C16">
      <w:pPr>
        <w:widowControl/>
        <w:spacing w:line="360" w:lineRule="auto"/>
        <w:rPr>
          <w:sz w:val="26"/>
          <w:szCs w:val="26"/>
        </w:rPr>
      </w:pPr>
    </w:p>
    <w:p w14:paraId="01D7F079" w14:textId="266D8515" w:rsidR="00C45FE7" w:rsidRPr="00E2165C" w:rsidRDefault="003B5477" w:rsidP="00C45FE7">
      <w:pPr>
        <w:widowControl/>
        <w:spacing w:line="360" w:lineRule="auto"/>
        <w:jc w:val="center"/>
        <w:rPr>
          <w:sz w:val="26"/>
          <w:szCs w:val="26"/>
        </w:rPr>
      </w:pPr>
      <w:r w:rsidRPr="003B5477">
        <w:rPr>
          <w:noProof/>
        </w:rPr>
        <w:drawing>
          <wp:inline distT="0" distB="0" distL="0" distR="0" wp14:anchorId="111633A4" wp14:editId="2E3AF248">
            <wp:extent cx="5448300" cy="2619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8300" cy="2619375"/>
                    </a:xfrm>
                    <a:prstGeom prst="rect">
                      <a:avLst/>
                    </a:prstGeom>
                    <a:noFill/>
                    <a:ln>
                      <a:noFill/>
                    </a:ln>
                  </pic:spPr>
                </pic:pic>
              </a:graphicData>
            </a:graphic>
          </wp:inline>
        </w:drawing>
      </w:r>
    </w:p>
    <w:p w14:paraId="133AC076" w14:textId="4FF638F9" w:rsidR="00C45FE7" w:rsidRPr="00E2165C" w:rsidRDefault="00C45FE7" w:rsidP="00043BE0">
      <w:pPr>
        <w:widowControl/>
        <w:rPr>
          <w:sz w:val="26"/>
          <w:szCs w:val="26"/>
        </w:rPr>
      </w:pPr>
    </w:p>
    <w:p w14:paraId="09B21F84" w14:textId="43AD0809" w:rsidR="00F35602" w:rsidRDefault="00C45FE7" w:rsidP="002E7C16">
      <w:pPr>
        <w:widowControl/>
        <w:spacing w:line="360" w:lineRule="auto"/>
        <w:rPr>
          <w:sz w:val="26"/>
          <w:szCs w:val="26"/>
        </w:rPr>
      </w:pPr>
      <w:r w:rsidRPr="00C45FE7">
        <w:rPr>
          <w:i/>
          <w:iCs/>
          <w:sz w:val="26"/>
          <w:szCs w:val="26"/>
        </w:rPr>
        <w:t>See</w:t>
      </w:r>
      <w:r>
        <w:rPr>
          <w:sz w:val="26"/>
          <w:szCs w:val="26"/>
        </w:rPr>
        <w:t xml:space="preserve"> Aqua St. 5 at 3.</w:t>
      </w:r>
      <w:r w:rsidR="00F35602">
        <w:rPr>
          <w:sz w:val="26"/>
          <w:szCs w:val="26"/>
        </w:rPr>
        <w:t xml:space="preserve">  In summary, AUS’ </w:t>
      </w:r>
      <w:r w:rsidR="0005113D">
        <w:rPr>
          <w:sz w:val="26"/>
          <w:szCs w:val="26"/>
        </w:rPr>
        <w:t>C</w:t>
      </w:r>
      <w:r w:rsidR="00F35602">
        <w:rPr>
          <w:sz w:val="26"/>
          <w:szCs w:val="26"/>
        </w:rPr>
        <w:t xml:space="preserve">ost </w:t>
      </w:r>
      <w:r w:rsidR="0005113D">
        <w:rPr>
          <w:sz w:val="26"/>
          <w:szCs w:val="26"/>
        </w:rPr>
        <w:t>A</w:t>
      </w:r>
      <w:r w:rsidR="00F35602">
        <w:rPr>
          <w:sz w:val="26"/>
          <w:szCs w:val="26"/>
        </w:rPr>
        <w:t xml:space="preserve">pproach is supported </w:t>
      </w:r>
      <w:r w:rsidR="00F613FB">
        <w:rPr>
          <w:sz w:val="26"/>
          <w:szCs w:val="26"/>
        </w:rPr>
        <w:t xml:space="preserve">by the results from the </w:t>
      </w:r>
      <w:r w:rsidR="00E868C6">
        <w:rPr>
          <w:sz w:val="26"/>
          <w:szCs w:val="26"/>
        </w:rPr>
        <w:t>replacement cost method</w:t>
      </w:r>
      <w:r w:rsidR="00C07427">
        <w:rPr>
          <w:sz w:val="26"/>
          <w:szCs w:val="26"/>
        </w:rPr>
        <w:t xml:space="preserve"> less accrued depreciation.  The results from the DCF method formed the basis for AUS’ </w:t>
      </w:r>
      <w:r w:rsidR="0005113D">
        <w:rPr>
          <w:sz w:val="26"/>
          <w:szCs w:val="26"/>
        </w:rPr>
        <w:t>I</w:t>
      </w:r>
      <w:r w:rsidR="00C07427">
        <w:rPr>
          <w:sz w:val="26"/>
          <w:szCs w:val="26"/>
        </w:rPr>
        <w:t xml:space="preserve">ncome </w:t>
      </w:r>
      <w:r w:rsidR="0005113D">
        <w:rPr>
          <w:sz w:val="26"/>
          <w:szCs w:val="26"/>
        </w:rPr>
        <w:t>A</w:t>
      </w:r>
      <w:r w:rsidR="00C07427">
        <w:rPr>
          <w:sz w:val="26"/>
          <w:szCs w:val="26"/>
        </w:rPr>
        <w:t xml:space="preserve">pproach.  AUS’ </w:t>
      </w:r>
      <w:r w:rsidR="0005113D">
        <w:rPr>
          <w:sz w:val="26"/>
          <w:szCs w:val="26"/>
        </w:rPr>
        <w:t>M</w:t>
      </w:r>
      <w:r w:rsidR="00C07427">
        <w:rPr>
          <w:sz w:val="26"/>
          <w:szCs w:val="26"/>
        </w:rPr>
        <w:t xml:space="preserve">arket </w:t>
      </w:r>
      <w:r w:rsidR="0005113D">
        <w:rPr>
          <w:sz w:val="26"/>
          <w:szCs w:val="26"/>
        </w:rPr>
        <w:t>A</w:t>
      </w:r>
      <w:r w:rsidR="00C07427">
        <w:rPr>
          <w:sz w:val="26"/>
          <w:szCs w:val="26"/>
        </w:rPr>
        <w:t xml:space="preserve">pproach is supported by the </w:t>
      </w:r>
      <w:r w:rsidR="00D950AA">
        <w:rPr>
          <w:sz w:val="26"/>
          <w:szCs w:val="26"/>
        </w:rPr>
        <w:t xml:space="preserve">comparable sales method.  </w:t>
      </w:r>
      <w:r w:rsidR="00F35602">
        <w:rPr>
          <w:sz w:val="26"/>
          <w:szCs w:val="26"/>
        </w:rPr>
        <w:t xml:space="preserve">Aqua St. 5 at </w:t>
      </w:r>
      <w:r w:rsidR="00E868C6">
        <w:rPr>
          <w:sz w:val="26"/>
          <w:szCs w:val="26"/>
        </w:rPr>
        <w:t>6</w:t>
      </w:r>
      <w:r w:rsidR="00D950AA">
        <w:rPr>
          <w:sz w:val="26"/>
          <w:szCs w:val="26"/>
        </w:rPr>
        <w:t>-8, 11.</w:t>
      </w:r>
    </w:p>
    <w:p w14:paraId="1F33DA51" w14:textId="77777777" w:rsidR="00D950AA" w:rsidRDefault="00D950AA" w:rsidP="002E7C16">
      <w:pPr>
        <w:widowControl/>
        <w:spacing w:line="360" w:lineRule="auto"/>
        <w:rPr>
          <w:sz w:val="26"/>
          <w:szCs w:val="26"/>
        </w:rPr>
      </w:pPr>
    </w:p>
    <w:p w14:paraId="1F1E7DE9" w14:textId="4D49FF50" w:rsidR="00C45FE7" w:rsidRDefault="0083263F" w:rsidP="0083263F">
      <w:pPr>
        <w:widowControl/>
        <w:spacing w:line="360" w:lineRule="auto"/>
        <w:ind w:firstLine="1440"/>
        <w:rPr>
          <w:sz w:val="26"/>
          <w:szCs w:val="26"/>
        </w:rPr>
      </w:pPr>
      <w:r w:rsidRPr="0083263F">
        <w:rPr>
          <w:sz w:val="26"/>
          <w:szCs w:val="26"/>
        </w:rPr>
        <w:t>Even before reviewing the specifics of each consultant’s analyses</w:t>
      </w:r>
      <w:r>
        <w:rPr>
          <w:sz w:val="26"/>
          <w:szCs w:val="26"/>
        </w:rPr>
        <w:t>, as summarized above</w:t>
      </w:r>
      <w:r w:rsidRPr="0083263F">
        <w:rPr>
          <w:sz w:val="26"/>
          <w:szCs w:val="26"/>
        </w:rPr>
        <w:t xml:space="preserve">, </w:t>
      </w:r>
      <w:r w:rsidR="00611638">
        <w:rPr>
          <w:sz w:val="26"/>
          <w:szCs w:val="26"/>
        </w:rPr>
        <w:t xml:space="preserve">the </w:t>
      </w:r>
      <w:r w:rsidRPr="0083263F">
        <w:rPr>
          <w:sz w:val="26"/>
          <w:szCs w:val="26"/>
        </w:rPr>
        <w:t>OCA assert</w:t>
      </w:r>
      <w:r w:rsidR="00611638">
        <w:rPr>
          <w:sz w:val="26"/>
          <w:szCs w:val="26"/>
        </w:rPr>
        <w:t>ed</w:t>
      </w:r>
      <w:r w:rsidR="00380257">
        <w:rPr>
          <w:sz w:val="26"/>
          <w:szCs w:val="26"/>
        </w:rPr>
        <w:t xml:space="preserve"> that</w:t>
      </w:r>
      <w:r w:rsidRPr="0083263F">
        <w:rPr>
          <w:sz w:val="26"/>
          <w:szCs w:val="26"/>
        </w:rPr>
        <w:t xml:space="preserve"> </w:t>
      </w:r>
      <w:proofErr w:type="gramStart"/>
      <w:r w:rsidRPr="0083263F">
        <w:rPr>
          <w:sz w:val="26"/>
          <w:szCs w:val="26"/>
        </w:rPr>
        <w:t>it is clear that judgment</w:t>
      </w:r>
      <w:proofErr w:type="gramEnd"/>
      <w:r w:rsidRPr="0083263F">
        <w:rPr>
          <w:sz w:val="26"/>
          <w:szCs w:val="26"/>
        </w:rPr>
        <w:t xml:space="preserve"> is involved in the inputs used, the weighting given to each approach and the determinations. </w:t>
      </w:r>
      <w:r>
        <w:rPr>
          <w:sz w:val="26"/>
          <w:szCs w:val="26"/>
        </w:rPr>
        <w:t xml:space="preserve"> </w:t>
      </w:r>
      <w:r w:rsidRPr="0083263F">
        <w:rPr>
          <w:sz w:val="26"/>
          <w:szCs w:val="26"/>
        </w:rPr>
        <w:t xml:space="preserve">That is why two UVEs have reached different </w:t>
      </w:r>
      <w:r>
        <w:rPr>
          <w:sz w:val="26"/>
          <w:szCs w:val="26"/>
        </w:rPr>
        <w:t>FMV</w:t>
      </w:r>
      <w:r w:rsidRPr="0083263F">
        <w:rPr>
          <w:sz w:val="26"/>
          <w:szCs w:val="26"/>
        </w:rPr>
        <w:t xml:space="preserve"> results for the</w:t>
      </w:r>
      <w:r w:rsidR="00611638">
        <w:rPr>
          <w:sz w:val="26"/>
          <w:szCs w:val="26"/>
        </w:rPr>
        <w:t xml:space="preserve"> Township’s</w:t>
      </w:r>
      <w:r w:rsidRPr="0083263F">
        <w:rPr>
          <w:sz w:val="26"/>
          <w:szCs w:val="26"/>
        </w:rPr>
        <w:t xml:space="preserve"> system.</w:t>
      </w:r>
      <w:r w:rsidR="00611638">
        <w:rPr>
          <w:sz w:val="26"/>
          <w:szCs w:val="26"/>
        </w:rPr>
        <w:t xml:space="preserve">  </w:t>
      </w:r>
      <w:r w:rsidRPr="0083263F">
        <w:rPr>
          <w:sz w:val="26"/>
          <w:szCs w:val="26"/>
        </w:rPr>
        <w:t>OCA M</w:t>
      </w:r>
      <w:r w:rsidR="00611638">
        <w:rPr>
          <w:sz w:val="26"/>
          <w:szCs w:val="26"/>
        </w:rPr>
        <w:t>.B. at</w:t>
      </w:r>
      <w:r w:rsidR="00070FED">
        <w:rPr>
          <w:sz w:val="26"/>
          <w:szCs w:val="26"/>
        </w:rPr>
        <w:t> </w:t>
      </w:r>
      <w:r w:rsidRPr="0083263F">
        <w:rPr>
          <w:sz w:val="26"/>
          <w:szCs w:val="26"/>
        </w:rPr>
        <w:t>8-9.</w:t>
      </w:r>
    </w:p>
    <w:p w14:paraId="0A9974B6" w14:textId="77777777" w:rsidR="00845885" w:rsidRDefault="00845885" w:rsidP="00BF6111">
      <w:pPr>
        <w:widowControl/>
        <w:spacing w:line="360" w:lineRule="auto"/>
        <w:ind w:firstLine="1440"/>
        <w:rPr>
          <w:sz w:val="26"/>
          <w:szCs w:val="26"/>
        </w:rPr>
      </w:pPr>
    </w:p>
    <w:p w14:paraId="59ADF151" w14:textId="399695C8" w:rsidR="00C45FE7" w:rsidRDefault="0017723D" w:rsidP="00BF6111">
      <w:pPr>
        <w:widowControl/>
        <w:spacing w:line="360" w:lineRule="auto"/>
        <w:ind w:firstLine="1440"/>
        <w:rPr>
          <w:sz w:val="26"/>
          <w:szCs w:val="26"/>
        </w:rPr>
      </w:pPr>
      <w:r>
        <w:rPr>
          <w:sz w:val="26"/>
          <w:szCs w:val="26"/>
        </w:rPr>
        <w:t xml:space="preserve">As discussed below, OCA witness Ralph Smith </w:t>
      </w:r>
      <w:r w:rsidRPr="0017723D">
        <w:rPr>
          <w:sz w:val="26"/>
          <w:szCs w:val="26"/>
        </w:rPr>
        <w:t>proposed adjustments to several of the UVE appraisal approaches</w:t>
      </w:r>
      <w:r w:rsidR="008B701C">
        <w:rPr>
          <w:sz w:val="26"/>
          <w:szCs w:val="26"/>
        </w:rPr>
        <w:t xml:space="preserve"> in this proceeding.  In summary, the culmination of </w:t>
      </w:r>
      <w:r w:rsidR="00AE78AC">
        <w:rPr>
          <w:sz w:val="26"/>
          <w:szCs w:val="26"/>
        </w:rPr>
        <w:t xml:space="preserve">the OCA’s proposed adjustments to (1) the service life for Gravity Collection Mains utilized in AUS’s </w:t>
      </w:r>
      <w:r w:rsidR="0005113D">
        <w:rPr>
          <w:sz w:val="26"/>
          <w:szCs w:val="26"/>
        </w:rPr>
        <w:t>C</w:t>
      </w:r>
      <w:r w:rsidR="00AE78AC">
        <w:rPr>
          <w:sz w:val="26"/>
          <w:szCs w:val="26"/>
        </w:rPr>
        <w:t xml:space="preserve">ost </w:t>
      </w:r>
      <w:r w:rsidR="0005113D">
        <w:rPr>
          <w:sz w:val="26"/>
          <w:szCs w:val="26"/>
        </w:rPr>
        <w:t>A</w:t>
      </w:r>
      <w:r w:rsidR="00AE78AC">
        <w:rPr>
          <w:sz w:val="26"/>
          <w:szCs w:val="26"/>
        </w:rPr>
        <w:t>pproach;</w:t>
      </w:r>
      <w:r w:rsidR="00BF6111">
        <w:rPr>
          <w:sz w:val="26"/>
          <w:szCs w:val="26"/>
        </w:rPr>
        <w:t xml:space="preserve"> and</w:t>
      </w:r>
      <w:r w:rsidR="00AE78AC">
        <w:rPr>
          <w:sz w:val="26"/>
          <w:szCs w:val="26"/>
        </w:rPr>
        <w:t xml:space="preserve"> (2) </w:t>
      </w:r>
      <w:r w:rsidR="002626A2">
        <w:rPr>
          <w:sz w:val="26"/>
          <w:szCs w:val="26"/>
        </w:rPr>
        <w:t xml:space="preserve">the </w:t>
      </w:r>
      <w:r w:rsidR="0005113D">
        <w:rPr>
          <w:sz w:val="26"/>
          <w:szCs w:val="26"/>
        </w:rPr>
        <w:t>I</w:t>
      </w:r>
      <w:r w:rsidR="002626A2">
        <w:rPr>
          <w:sz w:val="26"/>
          <w:szCs w:val="26"/>
        </w:rPr>
        <w:t xml:space="preserve">ncome </w:t>
      </w:r>
      <w:r w:rsidR="0005113D">
        <w:rPr>
          <w:sz w:val="26"/>
          <w:szCs w:val="26"/>
        </w:rPr>
        <w:t>A</w:t>
      </w:r>
      <w:r w:rsidR="002626A2">
        <w:rPr>
          <w:sz w:val="26"/>
          <w:szCs w:val="26"/>
        </w:rPr>
        <w:t>pproaches utilized by both Gannett Fleming and AUS</w:t>
      </w:r>
      <w:r w:rsidR="00BF6111">
        <w:rPr>
          <w:sz w:val="26"/>
          <w:szCs w:val="26"/>
        </w:rPr>
        <w:t>, results in a $1,763,741 reduction to Aqua’s requested rate base of $53,000,000.</w:t>
      </w:r>
      <w:r w:rsidR="00BF6111">
        <w:rPr>
          <w:rStyle w:val="FootnoteReference"/>
          <w:sz w:val="26"/>
          <w:szCs w:val="26"/>
        </w:rPr>
        <w:footnoteReference w:id="17"/>
      </w:r>
      <w:r w:rsidR="00BF6111">
        <w:rPr>
          <w:sz w:val="26"/>
          <w:szCs w:val="26"/>
          <w:vertAlign w:val="superscript"/>
        </w:rPr>
        <w:t xml:space="preserve">, </w:t>
      </w:r>
      <w:r w:rsidR="00F116A5">
        <w:rPr>
          <w:rStyle w:val="FootnoteReference"/>
          <w:sz w:val="26"/>
          <w:szCs w:val="26"/>
        </w:rPr>
        <w:footnoteReference w:id="18"/>
      </w:r>
    </w:p>
    <w:p w14:paraId="671A98F9" w14:textId="77777777" w:rsidR="00022468" w:rsidRPr="002E7C16" w:rsidRDefault="00022468" w:rsidP="002E7C16">
      <w:pPr>
        <w:widowControl/>
        <w:spacing w:line="360" w:lineRule="auto"/>
        <w:rPr>
          <w:sz w:val="26"/>
          <w:szCs w:val="26"/>
        </w:rPr>
      </w:pPr>
    </w:p>
    <w:p w14:paraId="2353BA1D" w14:textId="7B9039E3" w:rsidR="007A35FF" w:rsidRPr="00702188" w:rsidRDefault="00702188" w:rsidP="00702188">
      <w:pPr>
        <w:pStyle w:val="Heading3"/>
      </w:pPr>
      <w:bookmarkStart w:id="52" w:name="_Toc90970724"/>
      <w:r>
        <w:t>Cost Approach</w:t>
      </w:r>
      <w:bookmarkEnd w:id="52"/>
    </w:p>
    <w:p w14:paraId="35195519" w14:textId="6FADF486" w:rsidR="00702188" w:rsidRDefault="00702188" w:rsidP="00702188">
      <w:pPr>
        <w:spacing w:line="360" w:lineRule="auto"/>
        <w:rPr>
          <w:sz w:val="26"/>
          <w:szCs w:val="26"/>
        </w:rPr>
      </w:pPr>
    </w:p>
    <w:p w14:paraId="7F8AB1D6" w14:textId="048F74C9" w:rsidR="006964AD" w:rsidRPr="00070FED" w:rsidRDefault="006964AD" w:rsidP="006964AD">
      <w:pPr>
        <w:spacing w:line="360" w:lineRule="auto"/>
        <w:ind w:firstLine="1440"/>
        <w:rPr>
          <w:sz w:val="26"/>
          <w:szCs w:val="26"/>
        </w:rPr>
      </w:pPr>
      <w:r w:rsidRPr="00070FED">
        <w:rPr>
          <w:sz w:val="26"/>
          <w:szCs w:val="26"/>
        </w:rPr>
        <w:t>Cost approach is defined as, “A procedure to estimate the current costs to reproduce or create a property with another of comparable use and marketability.”  OCA St. 1 at 28 (</w:t>
      </w:r>
      <w:r w:rsidR="007C7721" w:rsidRPr="00070FED">
        <w:rPr>
          <w:sz w:val="26"/>
          <w:szCs w:val="26"/>
        </w:rPr>
        <w:t xml:space="preserve">citing </w:t>
      </w:r>
      <w:r w:rsidR="007C7721" w:rsidRPr="00070FED">
        <w:rPr>
          <w:i/>
          <w:iCs/>
          <w:sz w:val="26"/>
          <w:szCs w:val="26"/>
        </w:rPr>
        <w:t>Approaches to Value</w:t>
      </w:r>
      <w:r w:rsidR="00726C82" w:rsidRPr="00070FED">
        <w:rPr>
          <w:sz w:val="26"/>
          <w:szCs w:val="26"/>
        </w:rPr>
        <w:t>.</w:t>
      </w:r>
      <w:r w:rsidR="007C7721" w:rsidRPr="00070FED">
        <w:rPr>
          <w:sz w:val="26"/>
          <w:szCs w:val="26"/>
        </w:rPr>
        <w:t xml:space="preserve"> American Society of Appraisers </w:t>
      </w:r>
      <w:r w:rsidRPr="00070FED">
        <w:rPr>
          <w:sz w:val="26"/>
          <w:szCs w:val="26"/>
        </w:rPr>
        <w:t>accessed Jan.</w:t>
      </w:r>
      <w:r w:rsidR="00070FED" w:rsidRPr="00070FED">
        <w:rPr>
          <w:sz w:val="26"/>
          <w:szCs w:val="26"/>
        </w:rPr>
        <w:t> </w:t>
      </w:r>
      <w:r w:rsidRPr="00070FED">
        <w:rPr>
          <w:sz w:val="26"/>
          <w:szCs w:val="26"/>
        </w:rPr>
        <w:t>27,</w:t>
      </w:r>
      <w:r w:rsidR="00070FED" w:rsidRPr="00070FED">
        <w:rPr>
          <w:sz w:val="26"/>
          <w:szCs w:val="26"/>
        </w:rPr>
        <w:t> </w:t>
      </w:r>
      <w:r w:rsidRPr="00070FED">
        <w:rPr>
          <w:sz w:val="26"/>
          <w:szCs w:val="26"/>
        </w:rPr>
        <w:t xml:space="preserve">2017, </w:t>
      </w:r>
      <w:hyperlink r:id="rId15" w:history="1">
        <w:r w:rsidR="004F34A1" w:rsidRPr="00070FED">
          <w:rPr>
            <w:rStyle w:val="Hyperlink"/>
            <w:sz w:val="26"/>
            <w:szCs w:val="26"/>
          </w:rPr>
          <w:t>http://www.appraisers.org/Disciplines/Personal-Property/pp-appraiser-resources/approaches-to-value</w:t>
        </w:r>
      </w:hyperlink>
      <w:r w:rsidRPr="00070FED">
        <w:rPr>
          <w:sz w:val="26"/>
          <w:szCs w:val="26"/>
        </w:rPr>
        <w:t>).</w:t>
      </w:r>
    </w:p>
    <w:p w14:paraId="46E8E535" w14:textId="77777777" w:rsidR="006964AD" w:rsidRPr="00702188" w:rsidRDefault="006964AD" w:rsidP="00702188">
      <w:pPr>
        <w:spacing w:line="360" w:lineRule="auto"/>
        <w:rPr>
          <w:sz w:val="26"/>
          <w:szCs w:val="26"/>
        </w:rPr>
      </w:pPr>
    </w:p>
    <w:p w14:paraId="36694489" w14:textId="02C14CA1" w:rsidR="00702188" w:rsidRPr="00702188" w:rsidRDefault="004E6B79" w:rsidP="00702188">
      <w:pPr>
        <w:pStyle w:val="Heading4"/>
      </w:pPr>
      <w:bookmarkStart w:id="53" w:name="_Toc90970725"/>
      <w:r>
        <w:t>Positions of the Parties</w:t>
      </w:r>
      <w:bookmarkEnd w:id="53"/>
    </w:p>
    <w:p w14:paraId="7BF6B56C" w14:textId="08164142" w:rsidR="00702188" w:rsidRDefault="00702188" w:rsidP="00702188">
      <w:pPr>
        <w:widowControl/>
        <w:spacing w:line="360" w:lineRule="auto"/>
        <w:rPr>
          <w:sz w:val="26"/>
          <w:szCs w:val="26"/>
        </w:rPr>
      </w:pPr>
    </w:p>
    <w:p w14:paraId="7094BF8F" w14:textId="5504CFD2" w:rsidR="00E62D5F" w:rsidRPr="00E62D5F" w:rsidRDefault="00E62D5F" w:rsidP="00E62D5F">
      <w:pPr>
        <w:widowControl/>
        <w:spacing w:line="360" w:lineRule="auto"/>
        <w:ind w:firstLine="1440"/>
        <w:rPr>
          <w:sz w:val="26"/>
          <w:szCs w:val="26"/>
        </w:rPr>
      </w:pPr>
      <w:r w:rsidRPr="00E62D5F">
        <w:rPr>
          <w:sz w:val="26"/>
          <w:szCs w:val="26"/>
        </w:rPr>
        <w:t xml:space="preserve">The UVEs rely on the Assessment of Tangible Property in performing the cost approach analysis.  Using the </w:t>
      </w:r>
      <w:r w:rsidRPr="00E62D5F">
        <w:rPr>
          <w:bCs/>
          <w:sz w:val="26"/>
          <w:szCs w:val="26"/>
        </w:rPr>
        <w:t>Assessment of Tangible Property developed by Ebert, Gannett Fleming showed the original cost of LMT’s wastewater system and land to be $32,003,924 with calculated accumulated depreciation of $12,195,650, for a net depreciated original cost of the LMT wastewater assets of $19,808,274.</w:t>
      </w:r>
      <w:r w:rsidRPr="00E62D5F">
        <w:rPr>
          <w:bCs/>
          <w:sz w:val="26"/>
          <w:szCs w:val="26"/>
          <w:vertAlign w:val="superscript"/>
        </w:rPr>
        <w:footnoteReference w:id="19"/>
      </w:r>
      <w:r>
        <w:rPr>
          <w:bCs/>
          <w:sz w:val="26"/>
          <w:szCs w:val="26"/>
        </w:rPr>
        <w:t xml:space="preserve">  As illustrated in the following table, </w:t>
      </w:r>
      <w:r w:rsidR="00415900">
        <w:rPr>
          <w:bCs/>
          <w:sz w:val="26"/>
          <w:szCs w:val="26"/>
        </w:rPr>
        <w:t xml:space="preserve">and noted by OCA witness Smith, the largest single account, by far, in the LMT wastewater system is </w:t>
      </w:r>
      <w:r w:rsidR="001E0E76">
        <w:rPr>
          <w:bCs/>
          <w:sz w:val="26"/>
          <w:szCs w:val="26"/>
        </w:rPr>
        <w:t>A</w:t>
      </w:r>
      <w:r w:rsidR="00415900">
        <w:rPr>
          <w:bCs/>
          <w:sz w:val="26"/>
          <w:szCs w:val="26"/>
        </w:rPr>
        <w:t>ccount 361.20 – Gravity Collection Mains.  OCA</w:t>
      </w:r>
      <w:r w:rsidR="00070FED">
        <w:rPr>
          <w:bCs/>
          <w:sz w:val="26"/>
          <w:szCs w:val="26"/>
        </w:rPr>
        <w:t> </w:t>
      </w:r>
      <w:r w:rsidR="00415900">
        <w:rPr>
          <w:bCs/>
          <w:sz w:val="26"/>
          <w:szCs w:val="26"/>
        </w:rPr>
        <w:t xml:space="preserve">St. 1 at 21-22.  </w:t>
      </w:r>
    </w:p>
    <w:p w14:paraId="11DA5491" w14:textId="2A859C62" w:rsidR="00E62D5F" w:rsidRDefault="00E62D5F" w:rsidP="00702188">
      <w:pPr>
        <w:widowControl/>
        <w:spacing w:line="360" w:lineRule="auto"/>
        <w:rPr>
          <w:sz w:val="26"/>
          <w:szCs w:val="26"/>
        </w:rPr>
      </w:pPr>
    </w:p>
    <w:p w14:paraId="62CD2A20" w14:textId="525BB7FD" w:rsidR="002526A0" w:rsidRDefault="002526A0" w:rsidP="00702188">
      <w:pPr>
        <w:widowControl/>
        <w:spacing w:line="360" w:lineRule="auto"/>
        <w:rPr>
          <w:sz w:val="26"/>
          <w:szCs w:val="26"/>
        </w:rPr>
      </w:pPr>
      <w:r w:rsidRPr="002526A0">
        <w:rPr>
          <w:rFonts w:eastAsia="Calibri"/>
          <w:noProof/>
          <w:sz w:val="26"/>
          <w:szCs w:val="26"/>
        </w:rPr>
        <w:drawing>
          <wp:inline distT="0" distB="0" distL="0" distR="0" wp14:anchorId="23AE444C" wp14:editId="6F7ED3D9">
            <wp:extent cx="5771515" cy="2451295"/>
            <wp:effectExtent l="19050" t="19050" r="19685" b="2540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4464" cy="2461042"/>
                    </a:xfrm>
                    <a:prstGeom prst="rect">
                      <a:avLst/>
                    </a:prstGeom>
                    <a:noFill/>
                    <a:ln w="6350">
                      <a:solidFill>
                        <a:sysClr val="windowText" lastClr="000000"/>
                      </a:solidFill>
                    </a:ln>
                  </pic:spPr>
                </pic:pic>
              </a:graphicData>
            </a:graphic>
          </wp:inline>
        </w:drawing>
      </w:r>
    </w:p>
    <w:p w14:paraId="722E7A1B" w14:textId="7C0F4056" w:rsidR="002526A0" w:rsidRDefault="002526A0" w:rsidP="00070FED">
      <w:pPr>
        <w:widowControl/>
        <w:spacing w:line="480" w:lineRule="auto"/>
        <w:rPr>
          <w:sz w:val="26"/>
          <w:szCs w:val="26"/>
        </w:rPr>
      </w:pPr>
    </w:p>
    <w:p w14:paraId="70241E0C" w14:textId="44F743EE" w:rsidR="002526A0" w:rsidRDefault="00FF2660" w:rsidP="00FF2660">
      <w:pPr>
        <w:widowControl/>
        <w:spacing w:line="360" w:lineRule="auto"/>
        <w:ind w:firstLine="1440"/>
        <w:rPr>
          <w:sz w:val="26"/>
          <w:szCs w:val="26"/>
        </w:rPr>
      </w:pPr>
      <w:r>
        <w:rPr>
          <w:sz w:val="26"/>
          <w:szCs w:val="26"/>
        </w:rPr>
        <w:t xml:space="preserve">AUS witness, </w:t>
      </w:r>
      <w:r w:rsidRPr="00FF2660">
        <w:rPr>
          <w:sz w:val="26"/>
          <w:szCs w:val="26"/>
        </w:rPr>
        <w:t>Jerome C. Weinert</w:t>
      </w:r>
      <w:r>
        <w:rPr>
          <w:sz w:val="26"/>
          <w:szCs w:val="26"/>
        </w:rPr>
        <w:t xml:space="preserve"> used an 80-year</w:t>
      </w:r>
      <w:r w:rsidR="001E0E76">
        <w:rPr>
          <w:sz w:val="26"/>
          <w:szCs w:val="26"/>
        </w:rPr>
        <w:t>,</w:t>
      </w:r>
      <w:r>
        <w:rPr>
          <w:sz w:val="26"/>
          <w:szCs w:val="26"/>
        </w:rPr>
        <w:t xml:space="preserve"> 80</w:t>
      </w:r>
      <w:r>
        <w:rPr>
          <w:sz w:val="26"/>
          <w:szCs w:val="26"/>
        </w:rPr>
        <w:noBreakHyphen/>
        <w:t>R2.5</w:t>
      </w:r>
      <w:r w:rsidR="001E0E76">
        <w:rPr>
          <w:sz w:val="26"/>
          <w:szCs w:val="26"/>
        </w:rPr>
        <w:t>,</w:t>
      </w:r>
      <w:r>
        <w:rPr>
          <w:sz w:val="26"/>
          <w:szCs w:val="26"/>
        </w:rPr>
        <w:t xml:space="preserve"> depreciable </w:t>
      </w:r>
      <w:proofErr w:type="gramStart"/>
      <w:r>
        <w:rPr>
          <w:sz w:val="26"/>
          <w:szCs w:val="26"/>
        </w:rPr>
        <w:t>life</w:t>
      </w:r>
      <w:proofErr w:type="gramEnd"/>
      <w:r>
        <w:rPr>
          <w:sz w:val="26"/>
          <w:szCs w:val="26"/>
        </w:rPr>
        <w:t xml:space="preserve"> and survivor curve for this account in the AUS </w:t>
      </w:r>
      <w:r w:rsidR="0005113D">
        <w:rPr>
          <w:sz w:val="26"/>
          <w:szCs w:val="26"/>
        </w:rPr>
        <w:t>C</w:t>
      </w:r>
      <w:r>
        <w:rPr>
          <w:sz w:val="26"/>
          <w:szCs w:val="26"/>
        </w:rPr>
        <w:t xml:space="preserve">ost </w:t>
      </w:r>
      <w:r w:rsidR="0005113D">
        <w:rPr>
          <w:sz w:val="26"/>
          <w:szCs w:val="26"/>
        </w:rPr>
        <w:t>A</w:t>
      </w:r>
      <w:r>
        <w:rPr>
          <w:sz w:val="26"/>
          <w:szCs w:val="26"/>
        </w:rPr>
        <w:t xml:space="preserve">pproach.  </w:t>
      </w:r>
      <w:r w:rsidR="001E0E76">
        <w:rPr>
          <w:sz w:val="26"/>
          <w:szCs w:val="26"/>
        </w:rPr>
        <w:t>The OCA argued that AUS’ 80-year service life for Account 361.20 is 15 years longer than the 65-year, 65</w:t>
      </w:r>
      <w:r w:rsidR="001E0E76">
        <w:rPr>
          <w:sz w:val="26"/>
          <w:szCs w:val="26"/>
        </w:rPr>
        <w:noBreakHyphen/>
        <w:t>R2.5 curve utilized by Gannett Fleming for the same account</w:t>
      </w:r>
      <w:r w:rsidR="00DD47D7">
        <w:rPr>
          <w:sz w:val="26"/>
          <w:szCs w:val="26"/>
        </w:rPr>
        <w:t>, and that such a discrepancy could lead to misstated results.</w:t>
      </w:r>
      <w:r w:rsidR="006B038D">
        <w:rPr>
          <w:sz w:val="26"/>
          <w:szCs w:val="26"/>
        </w:rPr>
        <w:t xml:space="preserve">  OCA St. 1 at 35-36.  </w:t>
      </w:r>
    </w:p>
    <w:p w14:paraId="5CF5C857" w14:textId="77777777" w:rsidR="00043BE0" w:rsidRDefault="00043BE0" w:rsidP="00FF2660">
      <w:pPr>
        <w:widowControl/>
        <w:spacing w:line="360" w:lineRule="auto"/>
        <w:ind w:firstLine="1440"/>
        <w:rPr>
          <w:sz w:val="26"/>
          <w:szCs w:val="26"/>
        </w:rPr>
      </w:pPr>
    </w:p>
    <w:p w14:paraId="73859943" w14:textId="46B4BCB5" w:rsidR="00A231A2" w:rsidRDefault="00BD2F08" w:rsidP="00FF2660">
      <w:pPr>
        <w:widowControl/>
        <w:spacing w:line="360" w:lineRule="auto"/>
        <w:ind w:firstLine="1440"/>
        <w:rPr>
          <w:sz w:val="26"/>
          <w:szCs w:val="26"/>
        </w:rPr>
      </w:pPr>
      <w:r>
        <w:rPr>
          <w:sz w:val="26"/>
          <w:szCs w:val="26"/>
        </w:rPr>
        <w:t xml:space="preserve">The </w:t>
      </w:r>
      <w:r w:rsidR="00A231A2" w:rsidRPr="00A231A2">
        <w:rPr>
          <w:sz w:val="26"/>
          <w:szCs w:val="26"/>
        </w:rPr>
        <w:t>OCA argue</w:t>
      </w:r>
      <w:r w:rsidR="00A231A2">
        <w:rPr>
          <w:sz w:val="26"/>
          <w:szCs w:val="26"/>
        </w:rPr>
        <w:t>d</w:t>
      </w:r>
      <w:r w:rsidR="00A231A2" w:rsidRPr="00A231A2">
        <w:rPr>
          <w:sz w:val="26"/>
          <w:szCs w:val="26"/>
        </w:rPr>
        <w:t xml:space="preserve"> that Aqua has not met its burden of proof to support an 80-year service life for the account at issue. </w:t>
      </w:r>
      <w:r w:rsidR="00A231A2">
        <w:rPr>
          <w:sz w:val="26"/>
          <w:szCs w:val="26"/>
        </w:rPr>
        <w:t xml:space="preserve"> </w:t>
      </w:r>
      <w:r w:rsidR="00A231A2" w:rsidRPr="00A231A2">
        <w:rPr>
          <w:sz w:val="26"/>
          <w:szCs w:val="26"/>
        </w:rPr>
        <w:t xml:space="preserve">Given that there is missing documentation concerning the type and age of the pipe and the susceptibility of old Vitrified Clay Pipe </w:t>
      </w:r>
      <w:r w:rsidR="00A231A2">
        <w:rPr>
          <w:sz w:val="26"/>
          <w:szCs w:val="26"/>
        </w:rPr>
        <w:t>(</w:t>
      </w:r>
      <w:r w:rsidR="00A231A2" w:rsidRPr="00A231A2">
        <w:rPr>
          <w:sz w:val="26"/>
          <w:szCs w:val="26"/>
        </w:rPr>
        <w:t>VCP</w:t>
      </w:r>
      <w:r w:rsidR="00A231A2">
        <w:rPr>
          <w:sz w:val="26"/>
          <w:szCs w:val="26"/>
        </w:rPr>
        <w:t>)</w:t>
      </w:r>
      <w:r w:rsidR="00A231A2" w:rsidRPr="00A231A2">
        <w:rPr>
          <w:sz w:val="26"/>
          <w:szCs w:val="26"/>
        </w:rPr>
        <w:t xml:space="preserve"> to cracking, for valuation purposes, OCA witness Smith recommended adjusting the 80-year service life used in AUS’ appraisal to match the 65-year service life for this same account utilized by Gannett Fleming</w:t>
      </w:r>
      <w:r w:rsidR="00B70998">
        <w:rPr>
          <w:sz w:val="26"/>
          <w:szCs w:val="26"/>
        </w:rPr>
        <w:t xml:space="preserve">, which would reduce the AUS </w:t>
      </w:r>
      <w:r w:rsidR="0005113D">
        <w:rPr>
          <w:sz w:val="26"/>
          <w:szCs w:val="26"/>
        </w:rPr>
        <w:t>C</w:t>
      </w:r>
      <w:r w:rsidR="00B70998">
        <w:rPr>
          <w:sz w:val="26"/>
          <w:szCs w:val="26"/>
        </w:rPr>
        <w:t xml:space="preserve">ost </w:t>
      </w:r>
      <w:r w:rsidR="0005113D">
        <w:rPr>
          <w:sz w:val="26"/>
          <w:szCs w:val="26"/>
        </w:rPr>
        <w:t>A</w:t>
      </w:r>
      <w:r w:rsidR="00B70998">
        <w:rPr>
          <w:sz w:val="26"/>
          <w:szCs w:val="26"/>
        </w:rPr>
        <w:t>pproach by $4,714,</w:t>
      </w:r>
      <w:r w:rsidR="00221764">
        <w:rPr>
          <w:sz w:val="26"/>
          <w:szCs w:val="26"/>
        </w:rPr>
        <w:t>148</w:t>
      </w:r>
      <w:r w:rsidR="00B70998">
        <w:rPr>
          <w:sz w:val="26"/>
          <w:szCs w:val="26"/>
        </w:rPr>
        <w:t xml:space="preserve"> from $51,414,555 to $46,700,407</w:t>
      </w:r>
      <w:r w:rsidR="00A231A2" w:rsidRPr="00A231A2">
        <w:rPr>
          <w:sz w:val="26"/>
          <w:szCs w:val="26"/>
        </w:rPr>
        <w:t xml:space="preserve">. </w:t>
      </w:r>
      <w:r w:rsidR="00A231A2">
        <w:rPr>
          <w:sz w:val="26"/>
          <w:szCs w:val="26"/>
        </w:rPr>
        <w:t xml:space="preserve"> </w:t>
      </w:r>
      <w:r w:rsidR="00A231A2" w:rsidRPr="00A231A2">
        <w:rPr>
          <w:sz w:val="26"/>
          <w:szCs w:val="26"/>
        </w:rPr>
        <w:t>OCA St. 1 at 23, 36; OCA M</w:t>
      </w:r>
      <w:r w:rsidR="00A231A2">
        <w:rPr>
          <w:sz w:val="26"/>
          <w:szCs w:val="26"/>
        </w:rPr>
        <w:t>.B. at</w:t>
      </w:r>
      <w:r w:rsidR="00A231A2" w:rsidRPr="00A231A2">
        <w:rPr>
          <w:sz w:val="26"/>
          <w:szCs w:val="26"/>
        </w:rPr>
        <w:t xml:space="preserve"> 12</w:t>
      </w:r>
      <w:r w:rsidR="00221764">
        <w:rPr>
          <w:sz w:val="26"/>
          <w:szCs w:val="26"/>
        </w:rPr>
        <w:t xml:space="preserve">; </w:t>
      </w:r>
      <w:r w:rsidR="00221764" w:rsidRPr="00221764">
        <w:rPr>
          <w:sz w:val="26"/>
          <w:szCs w:val="26"/>
        </w:rPr>
        <w:t>OCA Exh</w:t>
      </w:r>
      <w:r w:rsidR="00A249B6">
        <w:rPr>
          <w:sz w:val="26"/>
          <w:szCs w:val="26"/>
        </w:rPr>
        <w:t>s</w:t>
      </w:r>
      <w:r w:rsidR="00221764" w:rsidRPr="00221764">
        <w:rPr>
          <w:sz w:val="26"/>
          <w:szCs w:val="26"/>
        </w:rPr>
        <w:t xml:space="preserve">. </w:t>
      </w:r>
      <w:r w:rsidR="00A249B6">
        <w:rPr>
          <w:sz w:val="26"/>
          <w:szCs w:val="26"/>
        </w:rPr>
        <w:t xml:space="preserve">RCS-1 and </w:t>
      </w:r>
      <w:r w:rsidR="00221764" w:rsidRPr="00221764">
        <w:rPr>
          <w:sz w:val="26"/>
          <w:szCs w:val="26"/>
        </w:rPr>
        <w:t>RCS-1</w:t>
      </w:r>
      <w:r w:rsidR="00A249B6">
        <w:rPr>
          <w:sz w:val="26"/>
          <w:szCs w:val="26"/>
        </w:rPr>
        <w:t>SR</w:t>
      </w:r>
      <w:r w:rsidR="00221764" w:rsidRPr="00221764">
        <w:rPr>
          <w:sz w:val="26"/>
          <w:szCs w:val="26"/>
        </w:rPr>
        <w:t>, Col</w:t>
      </w:r>
      <w:r w:rsidR="00221764">
        <w:rPr>
          <w:sz w:val="26"/>
          <w:szCs w:val="26"/>
        </w:rPr>
        <w:t>s</w:t>
      </w:r>
      <w:r w:rsidR="00221764" w:rsidRPr="00221764">
        <w:rPr>
          <w:sz w:val="26"/>
          <w:szCs w:val="26"/>
        </w:rPr>
        <w:t xml:space="preserve">. </w:t>
      </w:r>
      <w:r w:rsidR="00221764">
        <w:rPr>
          <w:sz w:val="26"/>
          <w:szCs w:val="26"/>
        </w:rPr>
        <w:t>A, C and E</w:t>
      </w:r>
      <w:r w:rsidR="00221764" w:rsidRPr="00221764">
        <w:rPr>
          <w:sz w:val="26"/>
          <w:szCs w:val="26"/>
        </w:rPr>
        <w:t>, ln. 1</w:t>
      </w:r>
      <w:r w:rsidR="00221764">
        <w:rPr>
          <w:sz w:val="26"/>
          <w:szCs w:val="26"/>
        </w:rPr>
        <w:t>.</w:t>
      </w:r>
    </w:p>
    <w:p w14:paraId="42D6E820" w14:textId="4993E0F3" w:rsidR="00B70998" w:rsidRDefault="00B70998" w:rsidP="00FF2660">
      <w:pPr>
        <w:widowControl/>
        <w:spacing w:line="360" w:lineRule="auto"/>
        <w:ind w:firstLine="1440"/>
        <w:rPr>
          <w:sz w:val="26"/>
          <w:szCs w:val="26"/>
        </w:rPr>
      </w:pPr>
    </w:p>
    <w:p w14:paraId="4929B580" w14:textId="75E6EC75" w:rsidR="00B70998" w:rsidRDefault="00B70998" w:rsidP="00FF2660">
      <w:pPr>
        <w:widowControl/>
        <w:spacing w:line="360" w:lineRule="auto"/>
        <w:ind w:firstLine="1440"/>
        <w:rPr>
          <w:sz w:val="26"/>
          <w:szCs w:val="26"/>
        </w:rPr>
      </w:pPr>
      <w:r>
        <w:rPr>
          <w:sz w:val="26"/>
          <w:szCs w:val="26"/>
        </w:rPr>
        <w:t xml:space="preserve">In support of its recommendation the OCA explained that this issue was previously addressed in the </w:t>
      </w:r>
      <w:r w:rsidRPr="00B70998">
        <w:rPr>
          <w:i/>
          <w:iCs/>
          <w:sz w:val="26"/>
          <w:szCs w:val="26"/>
        </w:rPr>
        <w:t>Cheltenham</w:t>
      </w:r>
      <w:r>
        <w:rPr>
          <w:sz w:val="26"/>
          <w:szCs w:val="26"/>
        </w:rPr>
        <w:t xml:space="preserve"> proceeding as follows:</w:t>
      </w:r>
    </w:p>
    <w:p w14:paraId="370A338C" w14:textId="1D686332" w:rsidR="00B70998" w:rsidRDefault="00B70998" w:rsidP="00070FED">
      <w:pPr>
        <w:widowControl/>
        <w:ind w:firstLine="1440"/>
        <w:rPr>
          <w:sz w:val="26"/>
          <w:szCs w:val="26"/>
        </w:rPr>
      </w:pPr>
    </w:p>
    <w:p w14:paraId="3387CA8F" w14:textId="357D0F3B" w:rsidR="00B70998" w:rsidRDefault="00B70998" w:rsidP="001C7041">
      <w:pPr>
        <w:widowControl/>
        <w:ind w:left="1440" w:right="1440" w:firstLine="720"/>
        <w:rPr>
          <w:sz w:val="26"/>
          <w:szCs w:val="26"/>
        </w:rPr>
      </w:pPr>
      <w:r w:rsidRPr="00B70998">
        <w:rPr>
          <w:sz w:val="26"/>
          <w:szCs w:val="26"/>
        </w:rPr>
        <w:t xml:space="preserve">Upon review of the record, the ALJ’s Recommended Decision and the Parties’ Exceptions, we find that the ALJ properly considered and rejected Aqua’s arguments regarding the use of a 90-year service life for VCP mains, laterals, and manholes in the AUS’ cost approach. </w:t>
      </w:r>
      <w:r w:rsidR="00466C8F">
        <w:rPr>
          <w:sz w:val="26"/>
          <w:szCs w:val="26"/>
        </w:rPr>
        <w:t xml:space="preserve"> </w:t>
      </w:r>
      <w:r w:rsidRPr="00B70998">
        <w:rPr>
          <w:sz w:val="26"/>
          <w:szCs w:val="26"/>
        </w:rPr>
        <w:t xml:space="preserve">Aqua did not meet its burden of proof on this issue. </w:t>
      </w:r>
      <w:r w:rsidR="00466C8F">
        <w:rPr>
          <w:sz w:val="26"/>
          <w:szCs w:val="26"/>
        </w:rPr>
        <w:t xml:space="preserve"> </w:t>
      </w:r>
      <w:r w:rsidRPr="00B70998">
        <w:rPr>
          <w:sz w:val="26"/>
          <w:szCs w:val="26"/>
        </w:rPr>
        <w:t>It presented no testimony to support its arguments that “[t]he AUS extended service lives are also supported by the Engineer’s Assessment and the AUS detailed cost approach calculations” and that using relining techniques extends the life expectancy of the mains.</w:t>
      </w:r>
      <w:r w:rsidR="00466C8F">
        <w:rPr>
          <w:sz w:val="26"/>
          <w:szCs w:val="26"/>
        </w:rPr>
        <w:t xml:space="preserve">  </w:t>
      </w:r>
      <w:r w:rsidRPr="00B70998">
        <w:rPr>
          <w:sz w:val="26"/>
          <w:szCs w:val="26"/>
        </w:rPr>
        <w:t xml:space="preserve">Aqua Exc. at 7. </w:t>
      </w:r>
      <w:r w:rsidR="00466C8F">
        <w:rPr>
          <w:sz w:val="26"/>
          <w:szCs w:val="26"/>
        </w:rPr>
        <w:t xml:space="preserve"> </w:t>
      </w:r>
      <w:r w:rsidRPr="00B70998">
        <w:rPr>
          <w:sz w:val="26"/>
          <w:szCs w:val="26"/>
        </w:rPr>
        <w:t xml:space="preserve">Mr. Weinert, AUS’ UVE, in testimony did not address the relining of mains, so it is not clear whether AUS considered the relining of a very small portion of the collection mains to be relevant to the service life of the collection mains. </w:t>
      </w:r>
    </w:p>
    <w:p w14:paraId="3420C160" w14:textId="6D6A0FC9" w:rsidR="00B70998" w:rsidRPr="00B70998" w:rsidRDefault="001C7041" w:rsidP="00B70998">
      <w:pPr>
        <w:widowControl/>
        <w:ind w:left="1440" w:right="1440"/>
        <w:rPr>
          <w:sz w:val="26"/>
          <w:szCs w:val="26"/>
        </w:rPr>
      </w:pPr>
      <w:r>
        <w:rPr>
          <w:sz w:val="26"/>
          <w:szCs w:val="26"/>
        </w:rPr>
        <w:tab/>
      </w:r>
    </w:p>
    <w:p w14:paraId="7B72A00B" w14:textId="62C3104D" w:rsidR="00B70998" w:rsidRDefault="00B70998" w:rsidP="001C7041">
      <w:pPr>
        <w:widowControl/>
        <w:ind w:left="1440" w:right="1440" w:firstLine="720"/>
        <w:rPr>
          <w:sz w:val="26"/>
          <w:szCs w:val="26"/>
        </w:rPr>
      </w:pPr>
      <w:r w:rsidRPr="00B70998">
        <w:rPr>
          <w:sz w:val="26"/>
          <w:szCs w:val="26"/>
        </w:rPr>
        <w:t xml:space="preserve">We find it compelling that, Mr. Walker, Aqua’s UVE, based his appraisal on the same Engineer’s Assessment and concluded that a 75-year service life for these same-lined VCP mains was appropriate. </w:t>
      </w:r>
      <w:r w:rsidR="00466C8F">
        <w:rPr>
          <w:sz w:val="26"/>
          <w:szCs w:val="26"/>
        </w:rPr>
        <w:t xml:space="preserve"> </w:t>
      </w:r>
      <w:r w:rsidRPr="00B70998">
        <w:rPr>
          <w:sz w:val="26"/>
          <w:szCs w:val="26"/>
        </w:rPr>
        <w:t xml:space="preserve">OCA R. Exc. at 4 (citing OCA St. 1 at 11). </w:t>
      </w:r>
      <w:r w:rsidR="00466C8F">
        <w:rPr>
          <w:sz w:val="26"/>
          <w:szCs w:val="26"/>
        </w:rPr>
        <w:t xml:space="preserve"> </w:t>
      </w:r>
      <w:r w:rsidRPr="00B70998">
        <w:rPr>
          <w:sz w:val="26"/>
          <w:szCs w:val="26"/>
        </w:rPr>
        <w:t>In addition, Aqua’s own testimony indicates that the average age of the pipe in the system is approximately 75</w:t>
      </w:r>
      <w:r w:rsidR="00070FED">
        <w:rPr>
          <w:sz w:val="26"/>
          <w:szCs w:val="26"/>
        </w:rPr>
        <w:t> </w:t>
      </w:r>
      <w:r w:rsidRPr="00B70998">
        <w:rPr>
          <w:sz w:val="26"/>
          <w:szCs w:val="26"/>
        </w:rPr>
        <w:t xml:space="preserve">years old. </w:t>
      </w:r>
      <w:r w:rsidR="00466C8F">
        <w:rPr>
          <w:sz w:val="26"/>
          <w:szCs w:val="26"/>
        </w:rPr>
        <w:t xml:space="preserve"> </w:t>
      </w:r>
      <w:r w:rsidRPr="00B70998">
        <w:rPr>
          <w:sz w:val="26"/>
          <w:szCs w:val="26"/>
        </w:rPr>
        <w:t xml:space="preserve">Aqua St. No. 2 at 8. </w:t>
      </w:r>
      <w:r w:rsidR="00466C8F">
        <w:rPr>
          <w:sz w:val="26"/>
          <w:szCs w:val="26"/>
        </w:rPr>
        <w:t xml:space="preserve"> </w:t>
      </w:r>
      <w:r w:rsidRPr="00B70998">
        <w:rPr>
          <w:sz w:val="26"/>
          <w:szCs w:val="26"/>
        </w:rPr>
        <w:t xml:space="preserve">Moreover, with Aqua’s budgeted $54.8 million for implementing corrective actions needed under the DEP Corrective Action Plan to address the system’s chronic I&amp;I, and the focus of the Corrective Action Plan on lines, manholes and laterals that may be sources of I&amp;I, the service life of 90 years used by AUS is not reasonable. </w:t>
      </w:r>
      <w:r w:rsidR="004B1ABE">
        <w:rPr>
          <w:sz w:val="26"/>
          <w:szCs w:val="26"/>
        </w:rPr>
        <w:t xml:space="preserve"> </w:t>
      </w:r>
      <w:r w:rsidRPr="00B70998">
        <w:rPr>
          <w:sz w:val="26"/>
          <w:szCs w:val="26"/>
        </w:rPr>
        <w:t>See Aqua St. No. 2 at 7.</w:t>
      </w:r>
      <w:r w:rsidR="004B1ABE">
        <w:rPr>
          <w:sz w:val="26"/>
          <w:szCs w:val="26"/>
        </w:rPr>
        <w:t xml:space="preserve"> </w:t>
      </w:r>
      <w:r w:rsidRPr="00B70998">
        <w:rPr>
          <w:sz w:val="26"/>
          <w:szCs w:val="26"/>
        </w:rPr>
        <w:t xml:space="preserve"> Accordingly, for </w:t>
      </w:r>
      <w:proofErr w:type="gramStart"/>
      <w:r w:rsidRPr="00B70998">
        <w:rPr>
          <w:sz w:val="26"/>
          <w:szCs w:val="26"/>
        </w:rPr>
        <w:t>all of</w:t>
      </w:r>
      <w:proofErr w:type="gramEnd"/>
      <w:r w:rsidRPr="00B70998">
        <w:rPr>
          <w:sz w:val="26"/>
          <w:szCs w:val="26"/>
        </w:rPr>
        <w:t xml:space="preserve"> the foregoing reasons stated above, we deny Aqua Exception No. 2. </w:t>
      </w:r>
    </w:p>
    <w:p w14:paraId="18384987" w14:textId="77777777" w:rsidR="00B70998" w:rsidRPr="00B70998" w:rsidRDefault="00B70998" w:rsidP="00B70998">
      <w:pPr>
        <w:widowControl/>
        <w:ind w:left="1440" w:right="1440"/>
        <w:rPr>
          <w:sz w:val="26"/>
          <w:szCs w:val="26"/>
        </w:rPr>
      </w:pPr>
    </w:p>
    <w:p w14:paraId="48B226C4" w14:textId="3ED01244" w:rsidR="00B70998" w:rsidRDefault="00B70998" w:rsidP="001C7041">
      <w:pPr>
        <w:widowControl/>
        <w:ind w:left="1440" w:right="1440" w:firstLine="720"/>
        <w:rPr>
          <w:sz w:val="26"/>
          <w:szCs w:val="26"/>
        </w:rPr>
      </w:pPr>
      <w:r w:rsidRPr="00B70998">
        <w:rPr>
          <w:sz w:val="26"/>
          <w:szCs w:val="26"/>
        </w:rPr>
        <w:t>We agree with the OCA that the use of a 75-year service life for VCP mains, laterals and manholes is both reasonable and consistent with Gannett Fleming’s depreciation analysis under the cost approach in this proceeding.</w:t>
      </w:r>
      <w:r w:rsidR="004B1ABE">
        <w:rPr>
          <w:sz w:val="26"/>
          <w:szCs w:val="26"/>
        </w:rPr>
        <w:t xml:space="preserve">  </w:t>
      </w:r>
      <w:r w:rsidRPr="00B70998">
        <w:rPr>
          <w:sz w:val="26"/>
          <w:szCs w:val="26"/>
        </w:rPr>
        <w:t xml:space="preserve">We also agree with the OCA that the correct adjustment amount to the AUS cost approach to reflect the adjustment from a 90-year to a 75-year service life for VCP mains, laterals and manholes is $12,339,645 to the AUS cost approach (correcting the typographical error shown in the R.D. of $12,319,645, see R.D. at 41). </w:t>
      </w:r>
      <w:r w:rsidR="004B1ABE">
        <w:rPr>
          <w:sz w:val="26"/>
          <w:szCs w:val="26"/>
        </w:rPr>
        <w:t xml:space="preserve"> </w:t>
      </w:r>
      <w:r w:rsidRPr="00B70998">
        <w:rPr>
          <w:sz w:val="26"/>
          <w:szCs w:val="26"/>
        </w:rPr>
        <w:t xml:space="preserve">We shall grant OCA Exception No. 1. </w:t>
      </w:r>
      <w:r w:rsidR="004B1ABE">
        <w:rPr>
          <w:sz w:val="26"/>
          <w:szCs w:val="26"/>
        </w:rPr>
        <w:t xml:space="preserve"> </w:t>
      </w:r>
      <w:r w:rsidRPr="00B70998">
        <w:rPr>
          <w:sz w:val="26"/>
          <w:szCs w:val="26"/>
        </w:rPr>
        <w:t>This produces an adjusted AUS cost approach result of $37,544,813.</w:t>
      </w:r>
    </w:p>
    <w:p w14:paraId="043FD48F" w14:textId="1FCA2C19" w:rsidR="00387C2D" w:rsidRDefault="00387C2D" w:rsidP="00702188">
      <w:pPr>
        <w:widowControl/>
        <w:spacing w:line="360" w:lineRule="auto"/>
        <w:rPr>
          <w:sz w:val="26"/>
          <w:szCs w:val="26"/>
        </w:rPr>
      </w:pPr>
    </w:p>
    <w:p w14:paraId="2A0A6CC3" w14:textId="741282D5" w:rsidR="00387C2D" w:rsidRDefault="001C7041" w:rsidP="00702188">
      <w:pPr>
        <w:widowControl/>
        <w:spacing w:line="360" w:lineRule="auto"/>
        <w:rPr>
          <w:sz w:val="26"/>
          <w:szCs w:val="26"/>
        </w:rPr>
      </w:pPr>
      <w:r>
        <w:rPr>
          <w:sz w:val="26"/>
          <w:szCs w:val="26"/>
        </w:rPr>
        <w:t>OCA St. 1 at 36-37 (</w:t>
      </w:r>
      <w:r w:rsidRPr="00466C8F">
        <w:rPr>
          <w:sz w:val="26"/>
          <w:szCs w:val="26"/>
        </w:rPr>
        <w:t>citing</w:t>
      </w:r>
      <w:r w:rsidRPr="003A3954">
        <w:rPr>
          <w:i/>
          <w:iCs/>
          <w:sz w:val="26"/>
          <w:szCs w:val="26"/>
        </w:rPr>
        <w:t xml:space="preserve"> Cheltenham</w:t>
      </w:r>
      <w:r>
        <w:rPr>
          <w:sz w:val="26"/>
          <w:szCs w:val="26"/>
        </w:rPr>
        <w:t xml:space="preserve"> at 44-45).</w:t>
      </w:r>
    </w:p>
    <w:p w14:paraId="442303F1" w14:textId="1E9E3B06" w:rsidR="001C7041" w:rsidRDefault="001C7041" w:rsidP="00702188">
      <w:pPr>
        <w:widowControl/>
        <w:spacing w:line="360" w:lineRule="auto"/>
        <w:rPr>
          <w:sz w:val="26"/>
          <w:szCs w:val="26"/>
        </w:rPr>
      </w:pPr>
    </w:p>
    <w:p w14:paraId="374B11B9" w14:textId="65B0475E" w:rsidR="00E37404" w:rsidRDefault="00E37404" w:rsidP="00E37404">
      <w:pPr>
        <w:widowControl/>
        <w:spacing w:line="360" w:lineRule="auto"/>
        <w:ind w:firstLine="1440"/>
        <w:rPr>
          <w:sz w:val="26"/>
          <w:szCs w:val="26"/>
        </w:rPr>
      </w:pPr>
      <w:r>
        <w:rPr>
          <w:sz w:val="26"/>
          <w:szCs w:val="26"/>
        </w:rPr>
        <w:t xml:space="preserve">The </w:t>
      </w:r>
      <w:r w:rsidRPr="00E37404">
        <w:rPr>
          <w:sz w:val="26"/>
          <w:szCs w:val="26"/>
        </w:rPr>
        <w:t>OCA note</w:t>
      </w:r>
      <w:r>
        <w:rPr>
          <w:sz w:val="26"/>
          <w:szCs w:val="26"/>
        </w:rPr>
        <w:t xml:space="preserve">d </w:t>
      </w:r>
      <w:r w:rsidRPr="00E37404">
        <w:rPr>
          <w:sz w:val="26"/>
          <w:szCs w:val="26"/>
        </w:rPr>
        <w:t>that, in Mr. Weinert’s previous appraisals, he has typically used between 65 and 75 years as the service life for gravity collection systems.</w:t>
      </w:r>
      <w:r>
        <w:rPr>
          <w:sz w:val="26"/>
          <w:szCs w:val="26"/>
        </w:rPr>
        <w:t xml:space="preserve"> </w:t>
      </w:r>
      <w:r w:rsidRPr="00E37404">
        <w:rPr>
          <w:sz w:val="26"/>
          <w:szCs w:val="26"/>
        </w:rPr>
        <w:t xml:space="preserve"> Moreover, Mr. Weinert’s previous appraisals indicate his use of a 75-year service life for VCP. </w:t>
      </w:r>
      <w:r>
        <w:rPr>
          <w:sz w:val="26"/>
          <w:szCs w:val="26"/>
        </w:rPr>
        <w:t xml:space="preserve"> </w:t>
      </w:r>
      <w:r w:rsidRPr="00E37404">
        <w:rPr>
          <w:sz w:val="26"/>
          <w:szCs w:val="26"/>
        </w:rPr>
        <w:t xml:space="preserve">As noted above, in </w:t>
      </w:r>
      <w:r w:rsidRPr="00E37404">
        <w:rPr>
          <w:i/>
          <w:iCs/>
          <w:sz w:val="26"/>
          <w:szCs w:val="26"/>
        </w:rPr>
        <w:t xml:space="preserve">Cheltenham </w:t>
      </w:r>
      <w:r w:rsidRPr="00E37404">
        <w:rPr>
          <w:sz w:val="26"/>
          <w:szCs w:val="26"/>
        </w:rPr>
        <w:t xml:space="preserve">Mr. Weinert utilized a 75-year service life for VCP mains, laterals, and manholes, consistent with Gannett Fleming’s depreciation analysis in that proceeding. </w:t>
      </w:r>
      <w:r>
        <w:rPr>
          <w:sz w:val="26"/>
          <w:szCs w:val="26"/>
        </w:rPr>
        <w:t xml:space="preserve"> </w:t>
      </w:r>
      <w:r w:rsidRPr="00E37404">
        <w:rPr>
          <w:i/>
          <w:iCs/>
          <w:sz w:val="26"/>
          <w:szCs w:val="26"/>
        </w:rPr>
        <w:t xml:space="preserve">See Cheltenham </w:t>
      </w:r>
      <w:r w:rsidRPr="00E37404">
        <w:rPr>
          <w:sz w:val="26"/>
          <w:szCs w:val="26"/>
        </w:rPr>
        <w:t xml:space="preserve">at 44-45; OCA </w:t>
      </w:r>
      <w:r>
        <w:rPr>
          <w:sz w:val="26"/>
          <w:szCs w:val="26"/>
        </w:rPr>
        <w:t>M.B. at</w:t>
      </w:r>
      <w:r w:rsidRPr="00E37404">
        <w:rPr>
          <w:sz w:val="26"/>
          <w:szCs w:val="26"/>
        </w:rPr>
        <w:t xml:space="preserve"> 13.</w:t>
      </w:r>
    </w:p>
    <w:p w14:paraId="36AEC21B" w14:textId="6959614B" w:rsidR="00761208" w:rsidRDefault="00761208" w:rsidP="00E37404">
      <w:pPr>
        <w:widowControl/>
        <w:spacing w:line="360" w:lineRule="auto"/>
        <w:ind w:firstLine="1440"/>
        <w:rPr>
          <w:sz w:val="26"/>
          <w:szCs w:val="26"/>
        </w:rPr>
      </w:pPr>
    </w:p>
    <w:p w14:paraId="24F67222" w14:textId="3D5E0FEC" w:rsidR="00761208" w:rsidRDefault="00761208" w:rsidP="00E37404">
      <w:pPr>
        <w:widowControl/>
        <w:spacing w:line="360" w:lineRule="auto"/>
        <w:ind w:firstLine="1440"/>
        <w:rPr>
          <w:sz w:val="26"/>
          <w:szCs w:val="26"/>
        </w:rPr>
      </w:pPr>
      <w:r>
        <w:rPr>
          <w:sz w:val="26"/>
          <w:szCs w:val="26"/>
        </w:rPr>
        <w:t>Aqua countered that the OCA’s attempt to shorten the service life for Gravity Collection Mains is not reflective of, and is at odds with, the new practice of relining existing pipe and associated manholes with cure-in-place plastic (CIPP) linings, which Aqua submitted, significantly extends the life of existing pipe.  Aqua M.B. at 12.</w:t>
      </w:r>
    </w:p>
    <w:p w14:paraId="5C959D62" w14:textId="6264E786" w:rsidR="00761208" w:rsidRDefault="00761208" w:rsidP="00E37404">
      <w:pPr>
        <w:widowControl/>
        <w:spacing w:line="360" w:lineRule="auto"/>
        <w:ind w:firstLine="1440"/>
        <w:rPr>
          <w:sz w:val="26"/>
          <w:szCs w:val="26"/>
        </w:rPr>
      </w:pPr>
    </w:p>
    <w:p w14:paraId="5412D9AB" w14:textId="1115F433" w:rsidR="00B54E13" w:rsidRDefault="00B54E13" w:rsidP="00E37404">
      <w:pPr>
        <w:widowControl/>
        <w:spacing w:line="360" w:lineRule="auto"/>
        <w:ind w:firstLine="1440"/>
        <w:rPr>
          <w:sz w:val="26"/>
          <w:szCs w:val="26"/>
        </w:rPr>
      </w:pPr>
      <w:r>
        <w:rPr>
          <w:sz w:val="26"/>
          <w:szCs w:val="26"/>
        </w:rPr>
        <w:t>Aqua</w:t>
      </w:r>
      <w:r w:rsidRPr="00B54E13">
        <w:rPr>
          <w:sz w:val="26"/>
          <w:szCs w:val="26"/>
        </w:rPr>
        <w:t xml:space="preserve"> further pointed out that a service life for Gravity Collection Mains in the range of 75 years to 80 years is supported</w:t>
      </w:r>
      <w:r w:rsidRPr="00B54E13">
        <w:rPr>
          <w:color w:val="000000"/>
          <w:sz w:val="26"/>
          <w:szCs w:val="26"/>
        </w:rPr>
        <w:t xml:space="preserve"> </w:t>
      </w:r>
      <w:r w:rsidRPr="00B54E13">
        <w:rPr>
          <w:sz w:val="26"/>
          <w:szCs w:val="26"/>
        </w:rPr>
        <w:t>by depreciation studies filed by Aqua and Pennsylvania</w:t>
      </w:r>
      <w:r w:rsidR="00380257">
        <w:rPr>
          <w:sz w:val="26"/>
          <w:szCs w:val="26"/>
        </w:rPr>
        <w:t>-</w:t>
      </w:r>
      <w:r w:rsidRPr="00B54E13">
        <w:rPr>
          <w:sz w:val="26"/>
          <w:szCs w:val="26"/>
        </w:rPr>
        <w:t>American Water Company (PAWC) in their recent base rate proceedings.  Aqua explain</w:t>
      </w:r>
      <w:r>
        <w:rPr>
          <w:sz w:val="26"/>
          <w:szCs w:val="26"/>
        </w:rPr>
        <w:t>ed</w:t>
      </w:r>
      <w:r w:rsidRPr="00B54E13">
        <w:rPr>
          <w:sz w:val="26"/>
          <w:szCs w:val="26"/>
        </w:rPr>
        <w:t xml:space="preserve"> the depreciation parameters determined in those depreciation studies were the result of analysis of historical survival and retirement experience over a wide span of years thus representing actual service life experience of wastewater plant</w:t>
      </w:r>
      <w:r>
        <w:rPr>
          <w:sz w:val="26"/>
          <w:szCs w:val="26"/>
        </w:rPr>
        <w:t>.  Aqua</w:t>
      </w:r>
      <w:r w:rsidR="00070FED">
        <w:rPr>
          <w:sz w:val="26"/>
          <w:szCs w:val="26"/>
        </w:rPr>
        <w:t> </w:t>
      </w:r>
      <w:r>
        <w:rPr>
          <w:sz w:val="26"/>
          <w:szCs w:val="26"/>
        </w:rPr>
        <w:t>M.B. at 12-13.</w:t>
      </w:r>
    </w:p>
    <w:p w14:paraId="75DC76DE" w14:textId="77777777" w:rsidR="00E62D5F" w:rsidRPr="00702188" w:rsidRDefault="00E62D5F" w:rsidP="00702188">
      <w:pPr>
        <w:widowControl/>
        <w:spacing w:line="360" w:lineRule="auto"/>
        <w:rPr>
          <w:sz w:val="26"/>
          <w:szCs w:val="26"/>
        </w:rPr>
      </w:pPr>
    </w:p>
    <w:p w14:paraId="69571B14" w14:textId="37F92529" w:rsidR="002E7C16" w:rsidRPr="00702188" w:rsidRDefault="004E6B79" w:rsidP="00043BE0">
      <w:pPr>
        <w:pStyle w:val="Heading4"/>
      </w:pPr>
      <w:bookmarkStart w:id="54" w:name="_Toc90970726"/>
      <w:r>
        <w:t>ALJ’s Recommendation</w:t>
      </w:r>
      <w:bookmarkEnd w:id="54"/>
    </w:p>
    <w:p w14:paraId="58847376" w14:textId="41438336" w:rsidR="002E7C16" w:rsidRDefault="002E7C16" w:rsidP="00043BE0">
      <w:pPr>
        <w:keepNext/>
        <w:spacing w:line="360" w:lineRule="auto"/>
        <w:rPr>
          <w:sz w:val="26"/>
          <w:szCs w:val="26"/>
        </w:rPr>
      </w:pPr>
    </w:p>
    <w:p w14:paraId="4C69A1A0" w14:textId="77777777" w:rsidR="008054E8" w:rsidRPr="008249FC" w:rsidRDefault="008054E8" w:rsidP="00043BE0">
      <w:pPr>
        <w:keepNext/>
        <w:spacing w:line="360" w:lineRule="auto"/>
        <w:ind w:firstLine="1440"/>
        <w:rPr>
          <w:sz w:val="26"/>
          <w:szCs w:val="26"/>
        </w:rPr>
      </w:pPr>
      <w:r w:rsidRPr="008249FC">
        <w:rPr>
          <w:sz w:val="26"/>
          <w:szCs w:val="26"/>
        </w:rPr>
        <w:t xml:space="preserve">The ALJ provided that a service life of 65 years for gravity collection sewers municipally owned and consisting of a large quantity of </w:t>
      </w:r>
      <w:r>
        <w:rPr>
          <w:sz w:val="26"/>
          <w:szCs w:val="26"/>
        </w:rPr>
        <w:t>VCP</w:t>
      </w:r>
      <w:r w:rsidRPr="008249FC">
        <w:rPr>
          <w:sz w:val="26"/>
          <w:szCs w:val="26"/>
        </w:rPr>
        <w:t xml:space="preserve"> is appropriate and supported by the record evidence in this proceeding.  The ALJ explained that the record evidence included the engineering assessment provided as Exhibit D to the Application.  Exhibit D identified the quantity of VCP in the L</w:t>
      </w:r>
      <w:r>
        <w:rPr>
          <w:sz w:val="26"/>
          <w:szCs w:val="26"/>
        </w:rPr>
        <w:t>MT</w:t>
      </w:r>
      <w:r w:rsidRPr="008249FC">
        <w:rPr>
          <w:sz w:val="26"/>
          <w:szCs w:val="26"/>
        </w:rPr>
        <w:t xml:space="preserve"> system.  R.D. at 90.  </w:t>
      </w:r>
    </w:p>
    <w:p w14:paraId="0B6A5E28" w14:textId="77777777" w:rsidR="008054E8" w:rsidRDefault="008054E8" w:rsidP="008054E8">
      <w:pPr>
        <w:spacing w:line="360" w:lineRule="auto"/>
        <w:rPr>
          <w:sz w:val="26"/>
          <w:szCs w:val="26"/>
        </w:rPr>
      </w:pPr>
    </w:p>
    <w:p w14:paraId="0AAACEA5" w14:textId="77777777" w:rsidR="008054E8" w:rsidRDefault="008054E8" w:rsidP="008054E8">
      <w:pPr>
        <w:spacing w:line="360" w:lineRule="auto"/>
        <w:ind w:firstLine="1440"/>
        <w:rPr>
          <w:sz w:val="26"/>
          <w:szCs w:val="26"/>
        </w:rPr>
      </w:pPr>
      <w:r w:rsidRPr="008249FC">
        <w:rPr>
          <w:sz w:val="26"/>
          <w:szCs w:val="26"/>
        </w:rPr>
        <w:t>The ALJ explained further that the appropriate service life is dependent on various factors including the materials used in the construction of the collection system.  The ALJ noted that Aqua argue</w:t>
      </w:r>
      <w:r>
        <w:rPr>
          <w:sz w:val="26"/>
          <w:szCs w:val="26"/>
        </w:rPr>
        <w:t>d</w:t>
      </w:r>
      <w:r w:rsidRPr="008249FC">
        <w:rPr>
          <w:sz w:val="26"/>
          <w:szCs w:val="26"/>
        </w:rPr>
        <w:t xml:space="preserve"> the use of CIPP linings has the effect of extending the useful service life of mains and manholes by 50 years thereby extending the useful life of these assets into the low 100-year range.  R.D. at 91 (citing Aqua M.B. at 12).  The ALJ stated that the problem with this argument is that there is no evidence that </w:t>
      </w:r>
      <w:r>
        <w:rPr>
          <w:sz w:val="26"/>
          <w:szCs w:val="26"/>
        </w:rPr>
        <w:t>LMT</w:t>
      </w:r>
      <w:r w:rsidRPr="008249FC">
        <w:rPr>
          <w:sz w:val="26"/>
          <w:szCs w:val="26"/>
        </w:rPr>
        <w:t xml:space="preserve"> has used this technology to extend </w:t>
      </w:r>
      <w:r>
        <w:rPr>
          <w:sz w:val="26"/>
          <w:szCs w:val="26"/>
        </w:rPr>
        <w:t>the</w:t>
      </w:r>
      <w:r w:rsidRPr="008249FC">
        <w:rPr>
          <w:sz w:val="26"/>
          <w:szCs w:val="26"/>
        </w:rPr>
        <w:t xml:space="preserve"> service li</w:t>
      </w:r>
      <w:r>
        <w:rPr>
          <w:sz w:val="26"/>
          <w:szCs w:val="26"/>
        </w:rPr>
        <w:t>f</w:t>
      </w:r>
      <w:r w:rsidRPr="008249FC">
        <w:rPr>
          <w:sz w:val="26"/>
          <w:szCs w:val="26"/>
        </w:rPr>
        <w:t>e of its VCP.  The ALJ reasoned that the service life applied to the asset</w:t>
      </w:r>
      <w:r>
        <w:rPr>
          <w:sz w:val="26"/>
          <w:szCs w:val="26"/>
        </w:rPr>
        <w:t>s</w:t>
      </w:r>
      <w:r w:rsidRPr="008249FC">
        <w:rPr>
          <w:sz w:val="26"/>
          <w:szCs w:val="26"/>
        </w:rPr>
        <w:t xml:space="preserve"> should be reflective of the actual assets being acquired in the condition that they are being acquired, in this case a collection system which includes a large quantity of VCP installed by developers and the township.  R.D. at 91.</w:t>
      </w:r>
    </w:p>
    <w:p w14:paraId="55C64690" w14:textId="77777777" w:rsidR="008054E8" w:rsidRDefault="008054E8" w:rsidP="008054E8">
      <w:pPr>
        <w:spacing w:line="360" w:lineRule="auto"/>
        <w:rPr>
          <w:sz w:val="26"/>
          <w:szCs w:val="26"/>
        </w:rPr>
      </w:pPr>
    </w:p>
    <w:p w14:paraId="328DEC1D" w14:textId="3DEBED22" w:rsidR="008054E8" w:rsidRPr="008249FC" w:rsidRDefault="008054E8" w:rsidP="008054E8">
      <w:pPr>
        <w:spacing w:line="360" w:lineRule="auto"/>
        <w:ind w:firstLine="1440"/>
        <w:rPr>
          <w:sz w:val="26"/>
          <w:szCs w:val="26"/>
        </w:rPr>
      </w:pPr>
      <w:r w:rsidRPr="008249FC">
        <w:rPr>
          <w:sz w:val="26"/>
          <w:szCs w:val="26"/>
        </w:rPr>
        <w:t xml:space="preserve">The ALJ noted that Mr. Weinert failed to provide any reasonable basis to conclude that the 80-year service life that he uses for collection mains is more appropriate than the 65-year service life used by Gannett Fleming in this proceeding.  The ALJ agreed with the OCA witness Mr. Smith’s recommended adjustment of $4,714,148 to the AUS appraisal to match the 65-year service life utilized by Gannett Fleming.  R.D. at 91 (citing OCA Table I at Col. D, </w:t>
      </w:r>
      <w:r>
        <w:rPr>
          <w:sz w:val="26"/>
          <w:szCs w:val="26"/>
        </w:rPr>
        <w:t>l</w:t>
      </w:r>
      <w:r w:rsidRPr="008249FC">
        <w:rPr>
          <w:sz w:val="26"/>
          <w:szCs w:val="26"/>
        </w:rPr>
        <w:t xml:space="preserve">n. 2).  </w:t>
      </w:r>
      <w:r>
        <w:rPr>
          <w:sz w:val="26"/>
          <w:szCs w:val="26"/>
        </w:rPr>
        <w:t>The ALJ recommended that the OCA’s proposed 65-year service life for Gravity Collection Mains be adopted.  R.D. at 92.</w:t>
      </w:r>
    </w:p>
    <w:p w14:paraId="65C46518" w14:textId="77777777" w:rsidR="008249FC" w:rsidRPr="002E7C16" w:rsidRDefault="008249FC" w:rsidP="002E7C16">
      <w:pPr>
        <w:spacing w:line="360" w:lineRule="auto"/>
        <w:rPr>
          <w:sz w:val="26"/>
          <w:szCs w:val="26"/>
        </w:rPr>
      </w:pPr>
    </w:p>
    <w:p w14:paraId="343F13A5" w14:textId="32AFA878" w:rsidR="002E7C16" w:rsidRPr="002E7C16" w:rsidRDefault="003010F9" w:rsidP="00043BE0">
      <w:pPr>
        <w:pStyle w:val="Heading4"/>
      </w:pPr>
      <w:bookmarkStart w:id="55" w:name="_Toc90970727"/>
      <w:r>
        <w:t>Aqua Exception No. 3</w:t>
      </w:r>
      <w:r w:rsidR="004E6B79">
        <w:t xml:space="preserve"> and Replies</w:t>
      </w:r>
      <w:bookmarkEnd w:id="55"/>
    </w:p>
    <w:p w14:paraId="5301FC59" w14:textId="46EDBA84" w:rsidR="000E0052" w:rsidRDefault="000E0052" w:rsidP="00043BE0">
      <w:pPr>
        <w:keepNext/>
        <w:widowControl/>
        <w:spacing w:line="360" w:lineRule="auto"/>
        <w:rPr>
          <w:sz w:val="26"/>
          <w:szCs w:val="26"/>
        </w:rPr>
      </w:pPr>
    </w:p>
    <w:p w14:paraId="6912D560" w14:textId="77777777" w:rsidR="008054E8" w:rsidRDefault="008054E8" w:rsidP="00043BE0">
      <w:pPr>
        <w:keepNext/>
        <w:widowControl/>
        <w:spacing w:line="360" w:lineRule="auto"/>
        <w:ind w:firstLine="1440"/>
        <w:rPr>
          <w:sz w:val="26"/>
          <w:szCs w:val="26"/>
        </w:rPr>
      </w:pPr>
      <w:r w:rsidRPr="003010F9">
        <w:rPr>
          <w:sz w:val="26"/>
          <w:szCs w:val="26"/>
        </w:rPr>
        <w:t>In its Exception No. 3, Aqua contends that Mr. Weinert offered very clear and convincing support for his use of an 80-year service life for Gravity Collection Mains.  Aqua provides that Mr. Weinert explained that an 80-year service life is ref</w:t>
      </w:r>
      <w:r>
        <w:rPr>
          <w:sz w:val="26"/>
          <w:szCs w:val="26"/>
        </w:rPr>
        <w:t>lect</w:t>
      </w:r>
      <w:r w:rsidRPr="003010F9">
        <w:rPr>
          <w:sz w:val="26"/>
          <w:szCs w:val="26"/>
        </w:rPr>
        <w:t>ive of the new practice of relining existing pipe and associated manholes with CIPP linings, which extends the useful servi</w:t>
      </w:r>
      <w:r>
        <w:rPr>
          <w:sz w:val="26"/>
          <w:szCs w:val="26"/>
        </w:rPr>
        <w:t>c</w:t>
      </w:r>
      <w:r w:rsidRPr="003010F9">
        <w:rPr>
          <w:sz w:val="26"/>
          <w:szCs w:val="26"/>
        </w:rPr>
        <w:t>e li</w:t>
      </w:r>
      <w:r>
        <w:rPr>
          <w:sz w:val="26"/>
          <w:szCs w:val="26"/>
        </w:rPr>
        <w:t>f</w:t>
      </w:r>
      <w:r w:rsidRPr="003010F9">
        <w:rPr>
          <w:sz w:val="26"/>
          <w:szCs w:val="26"/>
        </w:rPr>
        <w:t xml:space="preserve">e by 50 years thus </w:t>
      </w:r>
      <w:r>
        <w:rPr>
          <w:sz w:val="26"/>
          <w:szCs w:val="26"/>
        </w:rPr>
        <w:t>extending</w:t>
      </w:r>
      <w:r w:rsidRPr="003010F9">
        <w:rPr>
          <w:sz w:val="26"/>
          <w:szCs w:val="26"/>
        </w:rPr>
        <w:t xml:space="preserve"> the useful life beyond 80-years into the low 100-year range.  Aqua Exc. at 18.  </w:t>
      </w:r>
    </w:p>
    <w:p w14:paraId="1290B70B" w14:textId="77777777" w:rsidR="008054E8" w:rsidRDefault="008054E8" w:rsidP="008054E8">
      <w:pPr>
        <w:widowControl/>
        <w:spacing w:line="360" w:lineRule="auto"/>
        <w:rPr>
          <w:sz w:val="26"/>
          <w:szCs w:val="26"/>
        </w:rPr>
      </w:pPr>
    </w:p>
    <w:p w14:paraId="54CADB70" w14:textId="25BE578D" w:rsidR="008054E8" w:rsidRPr="003010F9" w:rsidRDefault="008054E8" w:rsidP="008054E8">
      <w:pPr>
        <w:widowControl/>
        <w:spacing w:line="360" w:lineRule="auto"/>
        <w:ind w:firstLine="1440"/>
        <w:rPr>
          <w:sz w:val="26"/>
          <w:szCs w:val="26"/>
        </w:rPr>
      </w:pPr>
      <w:r w:rsidRPr="003010F9">
        <w:rPr>
          <w:sz w:val="26"/>
          <w:szCs w:val="26"/>
        </w:rPr>
        <w:t>Aqua avers that there is no evidence of record that the OCA witness Mr.</w:t>
      </w:r>
      <w:r w:rsidR="00070FED">
        <w:rPr>
          <w:sz w:val="26"/>
          <w:szCs w:val="26"/>
        </w:rPr>
        <w:t> </w:t>
      </w:r>
      <w:r w:rsidRPr="003010F9">
        <w:rPr>
          <w:sz w:val="26"/>
          <w:szCs w:val="26"/>
        </w:rPr>
        <w:t xml:space="preserve">Smith considered, or was even aware of, CIPP lining and its significance in the development of service lives within the </w:t>
      </w:r>
      <w:r>
        <w:rPr>
          <w:sz w:val="26"/>
          <w:szCs w:val="26"/>
        </w:rPr>
        <w:t>c</w:t>
      </w:r>
      <w:r w:rsidRPr="003010F9">
        <w:rPr>
          <w:sz w:val="26"/>
          <w:szCs w:val="26"/>
        </w:rPr>
        <w:t xml:space="preserve">ost </w:t>
      </w:r>
      <w:r>
        <w:rPr>
          <w:sz w:val="26"/>
          <w:szCs w:val="26"/>
        </w:rPr>
        <w:t>a</w:t>
      </w:r>
      <w:r w:rsidRPr="003010F9">
        <w:rPr>
          <w:sz w:val="26"/>
          <w:szCs w:val="26"/>
        </w:rPr>
        <w:t xml:space="preserve">pproach.  </w:t>
      </w:r>
      <w:r w:rsidRPr="00CA4FFF">
        <w:rPr>
          <w:i/>
          <w:iCs/>
          <w:sz w:val="26"/>
          <w:szCs w:val="26"/>
        </w:rPr>
        <w:t>Id.</w:t>
      </w:r>
      <w:r>
        <w:rPr>
          <w:sz w:val="26"/>
          <w:szCs w:val="26"/>
        </w:rPr>
        <w:t xml:space="preserve"> </w:t>
      </w:r>
    </w:p>
    <w:p w14:paraId="05514B9B" w14:textId="77777777" w:rsidR="008054E8" w:rsidRDefault="008054E8" w:rsidP="008054E8">
      <w:pPr>
        <w:widowControl/>
        <w:spacing w:line="360" w:lineRule="auto"/>
        <w:rPr>
          <w:sz w:val="26"/>
          <w:szCs w:val="26"/>
        </w:rPr>
      </w:pPr>
    </w:p>
    <w:p w14:paraId="1ACE2CB6" w14:textId="2EFDCA94" w:rsidR="008054E8" w:rsidRDefault="008054E8" w:rsidP="008054E8">
      <w:pPr>
        <w:widowControl/>
        <w:spacing w:line="360" w:lineRule="auto"/>
        <w:ind w:firstLine="1440"/>
        <w:rPr>
          <w:sz w:val="26"/>
          <w:szCs w:val="26"/>
        </w:rPr>
      </w:pPr>
      <w:r w:rsidRPr="003010F9">
        <w:rPr>
          <w:sz w:val="26"/>
          <w:szCs w:val="26"/>
        </w:rPr>
        <w:t>Aqua contends that the R</w:t>
      </w:r>
      <w:r>
        <w:rPr>
          <w:sz w:val="26"/>
          <w:szCs w:val="26"/>
        </w:rPr>
        <w:t>ecommended Decision</w:t>
      </w:r>
      <w:r w:rsidRPr="003010F9">
        <w:rPr>
          <w:sz w:val="26"/>
          <w:szCs w:val="26"/>
        </w:rPr>
        <w:t xml:space="preserve"> dismisses the significance of CIPP lining stating that there is no evidence that </w:t>
      </w:r>
      <w:r>
        <w:rPr>
          <w:sz w:val="26"/>
          <w:szCs w:val="26"/>
        </w:rPr>
        <w:t>LMT</w:t>
      </w:r>
      <w:r w:rsidRPr="003010F9">
        <w:rPr>
          <w:sz w:val="26"/>
          <w:szCs w:val="26"/>
        </w:rPr>
        <w:t xml:space="preserve"> has used this technology to extend the service life of VCP.  Aqua provides that there is substantial evidence that L</w:t>
      </w:r>
      <w:r>
        <w:rPr>
          <w:sz w:val="26"/>
          <w:szCs w:val="26"/>
        </w:rPr>
        <w:t>MT</w:t>
      </w:r>
      <w:r w:rsidRPr="003010F9">
        <w:rPr>
          <w:sz w:val="26"/>
          <w:szCs w:val="26"/>
        </w:rPr>
        <w:t xml:space="preserve"> has used and is using CIPP lining.</w:t>
      </w:r>
      <w:r>
        <w:rPr>
          <w:sz w:val="26"/>
          <w:szCs w:val="26"/>
        </w:rPr>
        <w:t xml:space="preserve">  </w:t>
      </w:r>
      <w:r w:rsidRPr="003010F9">
        <w:rPr>
          <w:sz w:val="26"/>
          <w:szCs w:val="26"/>
        </w:rPr>
        <w:t>Aqua notes that the Chapter 94 Reports submitted with the Application explain that the Township undertook CIPP lining in 2020</w:t>
      </w:r>
      <w:r>
        <w:rPr>
          <w:sz w:val="26"/>
          <w:szCs w:val="26"/>
        </w:rPr>
        <w:t xml:space="preserve"> as follows:</w:t>
      </w:r>
    </w:p>
    <w:p w14:paraId="59515A51" w14:textId="77777777" w:rsidR="004B1ABE" w:rsidRDefault="004B1ABE" w:rsidP="00070FED">
      <w:pPr>
        <w:widowControl/>
        <w:ind w:firstLine="1440"/>
        <w:rPr>
          <w:sz w:val="26"/>
          <w:szCs w:val="26"/>
        </w:rPr>
      </w:pPr>
    </w:p>
    <w:p w14:paraId="72960CD1" w14:textId="471AB2C1" w:rsidR="008054E8" w:rsidRDefault="008054E8" w:rsidP="008054E8">
      <w:pPr>
        <w:autoSpaceDE w:val="0"/>
        <w:autoSpaceDN w:val="0"/>
        <w:adjustRightInd w:val="0"/>
        <w:ind w:left="1440" w:right="1440"/>
        <w:rPr>
          <w:sz w:val="26"/>
          <w:szCs w:val="26"/>
        </w:rPr>
      </w:pPr>
      <w:r w:rsidRPr="00D16F21">
        <w:rPr>
          <w:sz w:val="26"/>
          <w:szCs w:val="26"/>
        </w:rPr>
        <w:t>Lower Makefield Township significantly increased the Township budget to address</w:t>
      </w:r>
      <w:r>
        <w:rPr>
          <w:sz w:val="26"/>
          <w:szCs w:val="26"/>
        </w:rPr>
        <w:t xml:space="preserve"> </w:t>
      </w:r>
      <w:r w:rsidRPr="00222662">
        <w:rPr>
          <w:sz w:val="26"/>
          <w:szCs w:val="26"/>
        </w:rPr>
        <w:t>I/I</w:t>
      </w:r>
      <w:r w:rsidRPr="00D16F21">
        <w:rPr>
          <w:i/>
          <w:iCs/>
          <w:sz w:val="26"/>
          <w:szCs w:val="26"/>
        </w:rPr>
        <w:t xml:space="preserve"> </w:t>
      </w:r>
      <w:r w:rsidRPr="00D16F21">
        <w:rPr>
          <w:sz w:val="26"/>
          <w:szCs w:val="26"/>
        </w:rPr>
        <w:t>issues as well as the need to upgrade their existing pump stations. Starting in</w:t>
      </w:r>
      <w:r>
        <w:rPr>
          <w:sz w:val="26"/>
          <w:szCs w:val="26"/>
        </w:rPr>
        <w:t xml:space="preserve"> </w:t>
      </w:r>
      <w:r w:rsidRPr="00D16F21">
        <w:rPr>
          <w:sz w:val="26"/>
          <w:szCs w:val="26"/>
        </w:rPr>
        <w:t>2020 and moving forward Lower Makefield Township has budgeted approximately</w:t>
      </w:r>
      <w:r>
        <w:rPr>
          <w:sz w:val="26"/>
          <w:szCs w:val="26"/>
        </w:rPr>
        <w:t xml:space="preserve"> </w:t>
      </w:r>
      <w:r w:rsidRPr="00D16F21">
        <w:rPr>
          <w:sz w:val="26"/>
          <w:szCs w:val="26"/>
        </w:rPr>
        <w:t>$215,000.00 per year for Cured In Place Pipe (CIPP) liners and $20,000.00 per year</w:t>
      </w:r>
      <w:r>
        <w:rPr>
          <w:sz w:val="26"/>
          <w:szCs w:val="26"/>
        </w:rPr>
        <w:t xml:space="preserve"> </w:t>
      </w:r>
      <w:r w:rsidRPr="00D16F21">
        <w:rPr>
          <w:sz w:val="26"/>
          <w:szCs w:val="26"/>
        </w:rPr>
        <w:t xml:space="preserve">to rehabilitate manholes. </w:t>
      </w:r>
      <w:r>
        <w:rPr>
          <w:sz w:val="26"/>
          <w:szCs w:val="26"/>
        </w:rPr>
        <w:t xml:space="preserve"> </w:t>
      </w:r>
      <w:r w:rsidRPr="00D16F21">
        <w:rPr>
          <w:sz w:val="26"/>
          <w:szCs w:val="26"/>
        </w:rPr>
        <w:t>In 2020 Lower Makefield Township lined approximately</w:t>
      </w:r>
      <w:r>
        <w:rPr>
          <w:sz w:val="26"/>
          <w:szCs w:val="26"/>
        </w:rPr>
        <w:t xml:space="preserve"> </w:t>
      </w:r>
      <w:r w:rsidRPr="00D16F21">
        <w:rPr>
          <w:sz w:val="26"/>
          <w:szCs w:val="26"/>
        </w:rPr>
        <w:t xml:space="preserve">2,125 linear feet of twelve inch sanitary sewer mains and lined six manholes. </w:t>
      </w:r>
      <w:r>
        <w:rPr>
          <w:sz w:val="26"/>
          <w:szCs w:val="26"/>
        </w:rPr>
        <w:t xml:space="preserve"> </w:t>
      </w:r>
      <w:r w:rsidRPr="00D16F21">
        <w:rPr>
          <w:sz w:val="26"/>
          <w:szCs w:val="26"/>
        </w:rPr>
        <w:t>The</w:t>
      </w:r>
      <w:r>
        <w:rPr>
          <w:sz w:val="26"/>
          <w:szCs w:val="26"/>
        </w:rPr>
        <w:t xml:space="preserve"> </w:t>
      </w:r>
      <w:r w:rsidRPr="00D16F21">
        <w:rPr>
          <w:sz w:val="26"/>
          <w:szCs w:val="26"/>
        </w:rPr>
        <w:t>same amount of work is currently being bid for 2021.</w:t>
      </w:r>
    </w:p>
    <w:p w14:paraId="0176B1CE" w14:textId="77777777" w:rsidR="008054E8" w:rsidRDefault="008054E8" w:rsidP="008054E8">
      <w:pPr>
        <w:autoSpaceDE w:val="0"/>
        <w:autoSpaceDN w:val="0"/>
        <w:adjustRightInd w:val="0"/>
        <w:ind w:left="1440" w:right="1440"/>
        <w:rPr>
          <w:sz w:val="26"/>
          <w:szCs w:val="26"/>
        </w:rPr>
      </w:pPr>
    </w:p>
    <w:p w14:paraId="418FD353" w14:textId="77777777" w:rsidR="008054E8" w:rsidRPr="00D16F21" w:rsidRDefault="008054E8" w:rsidP="008054E8">
      <w:pPr>
        <w:autoSpaceDE w:val="0"/>
        <w:autoSpaceDN w:val="0"/>
        <w:adjustRightInd w:val="0"/>
        <w:ind w:left="1440" w:right="1440"/>
        <w:rPr>
          <w:sz w:val="26"/>
          <w:szCs w:val="26"/>
        </w:rPr>
      </w:pPr>
      <w:r w:rsidRPr="00D16F21">
        <w:rPr>
          <w:sz w:val="26"/>
          <w:szCs w:val="26"/>
        </w:rPr>
        <w:t>Lower Makefield Township as part of the CAP and in conjunction with their I/I</w:t>
      </w:r>
      <w:r>
        <w:rPr>
          <w:sz w:val="26"/>
          <w:szCs w:val="26"/>
        </w:rPr>
        <w:t xml:space="preserve"> </w:t>
      </w:r>
      <w:r w:rsidRPr="00D16F21">
        <w:rPr>
          <w:sz w:val="26"/>
          <w:szCs w:val="26"/>
        </w:rPr>
        <w:t>program budgeted $175,000.00 for cured in place pipe liners and $20,000.00 for</w:t>
      </w:r>
    </w:p>
    <w:p w14:paraId="45AAE66D" w14:textId="66487306" w:rsidR="008054E8" w:rsidRDefault="008054E8" w:rsidP="008054E8">
      <w:pPr>
        <w:autoSpaceDE w:val="0"/>
        <w:autoSpaceDN w:val="0"/>
        <w:adjustRightInd w:val="0"/>
        <w:ind w:left="1440" w:right="1440"/>
        <w:rPr>
          <w:sz w:val="26"/>
          <w:szCs w:val="26"/>
        </w:rPr>
      </w:pPr>
      <w:r w:rsidRPr="00D16F21">
        <w:rPr>
          <w:sz w:val="26"/>
          <w:szCs w:val="26"/>
        </w:rPr>
        <w:t xml:space="preserve">manhole rehabilitation in 2020. </w:t>
      </w:r>
      <w:r>
        <w:rPr>
          <w:sz w:val="26"/>
          <w:szCs w:val="26"/>
        </w:rPr>
        <w:t xml:space="preserve"> </w:t>
      </w:r>
      <w:r w:rsidRPr="00D16F21">
        <w:rPr>
          <w:sz w:val="26"/>
          <w:szCs w:val="26"/>
        </w:rPr>
        <w:t>These projects were completed and 1,977 linear</w:t>
      </w:r>
      <w:r>
        <w:rPr>
          <w:sz w:val="26"/>
          <w:szCs w:val="26"/>
        </w:rPr>
        <w:t xml:space="preserve"> </w:t>
      </w:r>
      <w:r w:rsidRPr="00D16F21">
        <w:rPr>
          <w:sz w:val="26"/>
          <w:szCs w:val="26"/>
        </w:rPr>
        <w:t>feet of ten inch sanitary sewer mains were lined using CIPP and 5 manholes were</w:t>
      </w:r>
      <w:r>
        <w:rPr>
          <w:sz w:val="26"/>
          <w:szCs w:val="26"/>
        </w:rPr>
        <w:t xml:space="preserve"> </w:t>
      </w:r>
      <w:r w:rsidRPr="00D16F21">
        <w:rPr>
          <w:sz w:val="26"/>
          <w:szCs w:val="26"/>
        </w:rPr>
        <w:t>rehabilitated utilizing a spray liner in 2020.</w:t>
      </w:r>
      <w:r>
        <w:rPr>
          <w:sz w:val="23"/>
          <w:szCs w:val="23"/>
        </w:rPr>
        <w:t xml:space="preserve"> </w:t>
      </w:r>
    </w:p>
    <w:p w14:paraId="4856CFA5" w14:textId="77777777" w:rsidR="008054E8" w:rsidRDefault="008054E8" w:rsidP="008054E8">
      <w:pPr>
        <w:widowControl/>
        <w:spacing w:line="360" w:lineRule="auto"/>
        <w:ind w:firstLine="1440"/>
        <w:rPr>
          <w:sz w:val="26"/>
          <w:szCs w:val="26"/>
        </w:rPr>
      </w:pPr>
    </w:p>
    <w:p w14:paraId="4568C3EF" w14:textId="77777777" w:rsidR="008054E8" w:rsidRDefault="008054E8" w:rsidP="008054E8">
      <w:pPr>
        <w:widowControl/>
        <w:spacing w:line="360" w:lineRule="auto"/>
        <w:rPr>
          <w:sz w:val="26"/>
          <w:szCs w:val="26"/>
        </w:rPr>
      </w:pPr>
      <w:r w:rsidRPr="003010F9">
        <w:rPr>
          <w:sz w:val="26"/>
          <w:szCs w:val="26"/>
        </w:rPr>
        <w:t>Aqua Exc. at 19 (citing Aqua Exh. 1, Application Exh. E2 at 231; Aqua Exh. 1, Application Exh. E1 at 68).</w:t>
      </w:r>
    </w:p>
    <w:p w14:paraId="5F317D3E" w14:textId="77777777" w:rsidR="008054E8" w:rsidRDefault="008054E8" w:rsidP="008054E8">
      <w:pPr>
        <w:widowControl/>
        <w:spacing w:line="360" w:lineRule="auto"/>
        <w:rPr>
          <w:sz w:val="26"/>
          <w:szCs w:val="26"/>
        </w:rPr>
      </w:pPr>
    </w:p>
    <w:p w14:paraId="089E9010" w14:textId="77777777" w:rsidR="008054E8" w:rsidRPr="003010F9" w:rsidRDefault="008054E8" w:rsidP="008054E8">
      <w:pPr>
        <w:widowControl/>
        <w:spacing w:line="360" w:lineRule="auto"/>
        <w:ind w:firstLine="1440"/>
        <w:rPr>
          <w:sz w:val="26"/>
          <w:szCs w:val="26"/>
        </w:rPr>
      </w:pPr>
      <w:r w:rsidRPr="003010F9">
        <w:rPr>
          <w:sz w:val="26"/>
          <w:szCs w:val="26"/>
        </w:rPr>
        <w:t>Aqua argues that it was inappropriate for the R</w:t>
      </w:r>
      <w:r>
        <w:rPr>
          <w:sz w:val="26"/>
          <w:szCs w:val="26"/>
        </w:rPr>
        <w:t>ecommended Decision</w:t>
      </w:r>
      <w:r w:rsidRPr="003010F9">
        <w:rPr>
          <w:sz w:val="26"/>
          <w:szCs w:val="26"/>
        </w:rPr>
        <w:t xml:space="preserve"> to rely on Gannett Fleming’s use of a 65-year service life for Gravity Collection Mains to reduce the service life in AUS’ </w:t>
      </w:r>
      <w:r>
        <w:rPr>
          <w:sz w:val="26"/>
          <w:szCs w:val="26"/>
        </w:rPr>
        <w:t>c</w:t>
      </w:r>
      <w:r w:rsidRPr="003010F9">
        <w:rPr>
          <w:sz w:val="26"/>
          <w:szCs w:val="26"/>
        </w:rPr>
        <w:t xml:space="preserve">ost </w:t>
      </w:r>
      <w:r>
        <w:rPr>
          <w:sz w:val="26"/>
          <w:szCs w:val="26"/>
        </w:rPr>
        <w:t>a</w:t>
      </w:r>
      <w:r w:rsidRPr="003010F9">
        <w:rPr>
          <w:sz w:val="26"/>
          <w:szCs w:val="26"/>
        </w:rPr>
        <w:t>pproach from 80 to 65 years.  Aqua maintains that the Gannett Fleming and AUS appraisals were conducted independently, and it is reasonable and appropriate for the appraisal results to differ.</w:t>
      </w:r>
      <w:r>
        <w:rPr>
          <w:sz w:val="26"/>
          <w:szCs w:val="26"/>
        </w:rPr>
        <w:t xml:space="preserve">  </w:t>
      </w:r>
      <w:r w:rsidRPr="003010F9">
        <w:rPr>
          <w:sz w:val="26"/>
          <w:szCs w:val="26"/>
        </w:rPr>
        <w:t>Aqua Exc. at 20.</w:t>
      </w:r>
    </w:p>
    <w:p w14:paraId="460975CD" w14:textId="77777777" w:rsidR="008054E8" w:rsidRDefault="008054E8" w:rsidP="008054E8">
      <w:pPr>
        <w:widowControl/>
        <w:spacing w:line="360" w:lineRule="auto"/>
        <w:rPr>
          <w:sz w:val="26"/>
          <w:szCs w:val="26"/>
        </w:rPr>
      </w:pPr>
    </w:p>
    <w:p w14:paraId="73F917F4" w14:textId="77777777" w:rsidR="008054E8" w:rsidRPr="003010F9" w:rsidRDefault="008054E8" w:rsidP="008054E8">
      <w:pPr>
        <w:widowControl/>
        <w:spacing w:line="360" w:lineRule="auto"/>
        <w:ind w:firstLine="1440"/>
        <w:rPr>
          <w:sz w:val="26"/>
          <w:szCs w:val="26"/>
        </w:rPr>
      </w:pPr>
      <w:r w:rsidRPr="003010F9">
        <w:rPr>
          <w:sz w:val="26"/>
          <w:szCs w:val="26"/>
        </w:rPr>
        <w:t xml:space="preserve">Aqua submits that Mr. Weinert emphasized that a service life for Gravity Collection Mains in the range of 75 to 80 years is supported by the depreciation studies filed by Aqua and PAWC in their recent general rate proceedings.  Aqua maintains that the depreciation parameters determined in those depreciation studies were the result of analysis of historical survival and retirement experience over a wide span of years thus representing actual service life experience of wastewater plant.  Aqua Exc. at 20 (citing Aqua St. 5-R at 4-5).  </w:t>
      </w:r>
    </w:p>
    <w:p w14:paraId="3618EDB8" w14:textId="77777777" w:rsidR="008054E8" w:rsidRDefault="008054E8" w:rsidP="008054E8">
      <w:pPr>
        <w:widowControl/>
        <w:spacing w:line="360" w:lineRule="auto"/>
        <w:rPr>
          <w:sz w:val="26"/>
          <w:szCs w:val="26"/>
        </w:rPr>
      </w:pPr>
    </w:p>
    <w:p w14:paraId="75646BE8" w14:textId="004EE5C0" w:rsidR="008054E8" w:rsidRDefault="008054E8" w:rsidP="008054E8">
      <w:pPr>
        <w:widowControl/>
        <w:spacing w:line="360" w:lineRule="auto"/>
        <w:ind w:firstLine="1440"/>
        <w:rPr>
          <w:sz w:val="26"/>
          <w:szCs w:val="26"/>
        </w:rPr>
      </w:pPr>
      <w:r w:rsidRPr="003010F9">
        <w:rPr>
          <w:sz w:val="26"/>
          <w:szCs w:val="26"/>
        </w:rPr>
        <w:t xml:space="preserve">Further, Aqua argues that the Commission’s decision in </w:t>
      </w:r>
      <w:r w:rsidRPr="003010F9">
        <w:rPr>
          <w:i/>
          <w:iCs/>
          <w:sz w:val="26"/>
          <w:szCs w:val="26"/>
        </w:rPr>
        <w:t>Cheltenham</w:t>
      </w:r>
      <w:r w:rsidRPr="003010F9">
        <w:rPr>
          <w:sz w:val="26"/>
          <w:szCs w:val="26"/>
        </w:rPr>
        <w:t xml:space="preserve"> cited by the OCA does not support the use of a 65-year service life for Gravity Collection Mains in this proceeding.  Rather, the question in </w:t>
      </w:r>
      <w:r w:rsidRPr="003010F9">
        <w:rPr>
          <w:i/>
          <w:iCs/>
          <w:sz w:val="26"/>
          <w:szCs w:val="26"/>
        </w:rPr>
        <w:t>Cheltenham</w:t>
      </w:r>
      <w:r w:rsidRPr="003010F9">
        <w:rPr>
          <w:sz w:val="26"/>
          <w:szCs w:val="26"/>
        </w:rPr>
        <w:t xml:space="preserve"> was whether the Commission should reduce the AUS service life for manholes and laterals from 90 to 75</w:t>
      </w:r>
      <w:r w:rsidR="00070FED">
        <w:rPr>
          <w:sz w:val="26"/>
          <w:szCs w:val="26"/>
        </w:rPr>
        <w:t> </w:t>
      </w:r>
      <w:r w:rsidRPr="003010F9">
        <w:rPr>
          <w:sz w:val="26"/>
          <w:szCs w:val="26"/>
        </w:rPr>
        <w:t xml:space="preserve">years and does not support the further reduction here to 65 years.  Aqua Exc. at 20 (citing R.D. at 83).  </w:t>
      </w:r>
    </w:p>
    <w:p w14:paraId="288C88BC" w14:textId="77777777" w:rsidR="008054E8" w:rsidRDefault="008054E8" w:rsidP="008054E8">
      <w:pPr>
        <w:widowControl/>
        <w:spacing w:line="360" w:lineRule="auto"/>
        <w:ind w:firstLine="1440"/>
        <w:rPr>
          <w:sz w:val="26"/>
          <w:szCs w:val="26"/>
        </w:rPr>
      </w:pPr>
    </w:p>
    <w:p w14:paraId="32666C0A" w14:textId="59E5C384" w:rsidR="008054E8" w:rsidRDefault="008054E8" w:rsidP="008054E8">
      <w:pPr>
        <w:spacing w:line="360" w:lineRule="auto"/>
        <w:ind w:firstLine="1440"/>
        <w:rPr>
          <w:sz w:val="26"/>
          <w:szCs w:val="26"/>
        </w:rPr>
      </w:pPr>
      <w:r>
        <w:rPr>
          <w:sz w:val="26"/>
          <w:szCs w:val="26"/>
        </w:rPr>
        <w:t>In its Replies to Aqua Exception No. 3, the OCA notes that Aqua argues that use of an 80-year service life is appropriate as Mr. Weinert relied upon depreciation studies prepared for Aqua and P</w:t>
      </w:r>
      <w:r w:rsidR="00380257">
        <w:rPr>
          <w:sz w:val="26"/>
          <w:szCs w:val="26"/>
        </w:rPr>
        <w:t>AWC</w:t>
      </w:r>
      <w:r>
        <w:rPr>
          <w:sz w:val="26"/>
          <w:szCs w:val="26"/>
        </w:rPr>
        <w:t xml:space="preserve"> by a recognized firm in the depreciation consulting area, Gannett Fleming.  OCA R. Exc. at 7 (citing Aqua Exc. at 20).  The OCA points out that Gannett Fleming’s UVE utilized a shorter service life for gravity collection mains in the LMT system.  The OCA witness, Mr. Smith explained:  </w:t>
      </w:r>
    </w:p>
    <w:p w14:paraId="1E4B8A03" w14:textId="77777777" w:rsidR="008054E8" w:rsidRDefault="008054E8" w:rsidP="00070FED">
      <w:pPr>
        <w:ind w:firstLine="1440"/>
        <w:rPr>
          <w:sz w:val="26"/>
          <w:szCs w:val="26"/>
        </w:rPr>
      </w:pPr>
    </w:p>
    <w:p w14:paraId="52FA486A" w14:textId="77777777" w:rsidR="008054E8" w:rsidRDefault="008054E8" w:rsidP="008054E8">
      <w:pPr>
        <w:autoSpaceDE w:val="0"/>
        <w:autoSpaceDN w:val="0"/>
        <w:adjustRightInd w:val="0"/>
        <w:ind w:left="1440" w:right="1440"/>
        <w:rPr>
          <w:sz w:val="26"/>
          <w:szCs w:val="26"/>
        </w:rPr>
      </w:pPr>
      <w:r w:rsidRPr="001A38BB">
        <w:rPr>
          <w:sz w:val="26"/>
          <w:szCs w:val="26"/>
        </w:rPr>
        <w:t>A 65-R2.5 survivor curve has been recommended by Gannett Fleming for this LMT</w:t>
      </w:r>
      <w:r>
        <w:rPr>
          <w:sz w:val="26"/>
          <w:szCs w:val="26"/>
        </w:rPr>
        <w:t xml:space="preserve"> </w:t>
      </w:r>
      <w:r w:rsidRPr="001A38BB">
        <w:rPr>
          <w:sz w:val="26"/>
          <w:szCs w:val="26"/>
        </w:rPr>
        <w:t>account.</w:t>
      </w:r>
      <w:r>
        <w:rPr>
          <w:sz w:val="26"/>
          <w:szCs w:val="26"/>
        </w:rPr>
        <w:t xml:space="preserve">  </w:t>
      </w:r>
      <w:r w:rsidRPr="001A38BB">
        <w:rPr>
          <w:sz w:val="26"/>
          <w:szCs w:val="26"/>
        </w:rPr>
        <w:t xml:space="preserve">Gannett Fleming is the firm that performed </w:t>
      </w:r>
      <w:proofErr w:type="gramStart"/>
      <w:r w:rsidRPr="001A38BB">
        <w:rPr>
          <w:sz w:val="26"/>
          <w:szCs w:val="26"/>
        </w:rPr>
        <w:t>a number of</w:t>
      </w:r>
      <w:proofErr w:type="gramEnd"/>
      <w:r w:rsidRPr="001A38BB">
        <w:rPr>
          <w:sz w:val="26"/>
          <w:szCs w:val="26"/>
        </w:rPr>
        <w:t xml:space="preserve"> depreciation rate</w:t>
      </w:r>
      <w:r>
        <w:rPr>
          <w:sz w:val="26"/>
          <w:szCs w:val="26"/>
        </w:rPr>
        <w:t xml:space="preserve"> </w:t>
      </w:r>
      <w:r w:rsidRPr="001A38BB">
        <w:rPr>
          <w:sz w:val="26"/>
          <w:szCs w:val="26"/>
        </w:rPr>
        <w:t>studies for Pennsylvania utilities, including the depreciation rate studies for Aqua</w:t>
      </w:r>
      <w:r>
        <w:rPr>
          <w:sz w:val="26"/>
          <w:szCs w:val="26"/>
        </w:rPr>
        <w:t xml:space="preserve"> </w:t>
      </w:r>
      <w:r w:rsidRPr="001A38BB">
        <w:rPr>
          <w:sz w:val="26"/>
          <w:szCs w:val="26"/>
        </w:rPr>
        <w:t>and PAWC that are being relied upon by Mr. Weinert of AUS Consultants.</w:t>
      </w:r>
      <w:r>
        <w:rPr>
          <w:sz w:val="26"/>
          <w:szCs w:val="26"/>
        </w:rPr>
        <w:t xml:space="preserve">  </w:t>
      </w:r>
      <w:r w:rsidRPr="001A38BB">
        <w:rPr>
          <w:sz w:val="26"/>
          <w:szCs w:val="26"/>
        </w:rPr>
        <w:t>Those</w:t>
      </w:r>
      <w:r>
        <w:rPr>
          <w:sz w:val="26"/>
          <w:szCs w:val="26"/>
        </w:rPr>
        <w:t xml:space="preserve"> </w:t>
      </w:r>
      <w:r w:rsidRPr="001A38BB">
        <w:rPr>
          <w:sz w:val="26"/>
          <w:szCs w:val="26"/>
        </w:rPr>
        <w:t>studies do not specifically address the composition of Gravity Mains in LMT’s</w:t>
      </w:r>
      <w:r>
        <w:rPr>
          <w:sz w:val="26"/>
          <w:szCs w:val="26"/>
        </w:rPr>
        <w:t xml:space="preserve"> </w:t>
      </w:r>
      <w:r w:rsidRPr="001A38BB">
        <w:rPr>
          <w:sz w:val="26"/>
          <w:szCs w:val="26"/>
        </w:rPr>
        <w:t xml:space="preserve">system or its useful life. </w:t>
      </w:r>
      <w:r>
        <w:rPr>
          <w:sz w:val="26"/>
          <w:szCs w:val="26"/>
        </w:rPr>
        <w:t xml:space="preserve"> </w:t>
      </w:r>
      <w:r w:rsidRPr="001A38BB">
        <w:rPr>
          <w:sz w:val="26"/>
          <w:szCs w:val="26"/>
        </w:rPr>
        <w:t>The LMT specific survivor curve / useful life</w:t>
      </w:r>
      <w:r>
        <w:rPr>
          <w:sz w:val="26"/>
          <w:szCs w:val="26"/>
        </w:rPr>
        <w:t xml:space="preserve"> </w:t>
      </w:r>
      <w:r w:rsidRPr="001A38BB">
        <w:rPr>
          <w:sz w:val="26"/>
          <w:szCs w:val="26"/>
        </w:rPr>
        <w:t>recommendation in this current LMT acquisition case, of 65 years, should therefore</w:t>
      </w:r>
      <w:r>
        <w:rPr>
          <w:sz w:val="26"/>
          <w:szCs w:val="26"/>
        </w:rPr>
        <w:t xml:space="preserve"> </w:t>
      </w:r>
      <w:r w:rsidRPr="001A38BB">
        <w:rPr>
          <w:sz w:val="26"/>
          <w:szCs w:val="26"/>
        </w:rPr>
        <w:t>carry far more weight than the non-LMT specific studies that were relied upon by</w:t>
      </w:r>
      <w:r>
        <w:rPr>
          <w:sz w:val="26"/>
          <w:szCs w:val="26"/>
        </w:rPr>
        <w:t xml:space="preserve"> </w:t>
      </w:r>
      <w:r w:rsidRPr="001A38BB">
        <w:rPr>
          <w:sz w:val="26"/>
          <w:szCs w:val="26"/>
        </w:rPr>
        <w:t>Mr. Weinert.</w:t>
      </w:r>
    </w:p>
    <w:p w14:paraId="66B8F49B" w14:textId="77777777" w:rsidR="008054E8" w:rsidRPr="001A38BB" w:rsidRDefault="008054E8" w:rsidP="008054E8">
      <w:pPr>
        <w:autoSpaceDE w:val="0"/>
        <w:autoSpaceDN w:val="0"/>
        <w:adjustRightInd w:val="0"/>
        <w:spacing w:line="360" w:lineRule="auto"/>
        <w:ind w:left="1440" w:right="1440"/>
        <w:rPr>
          <w:sz w:val="26"/>
          <w:szCs w:val="26"/>
        </w:rPr>
      </w:pPr>
    </w:p>
    <w:p w14:paraId="608CBFF0" w14:textId="77777777" w:rsidR="008054E8" w:rsidRDefault="008054E8" w:rsidP="008054E8">
      <w:pPr>
        <w:spacing w:line="360" w:lineRule="auto"/>
        <w:rPr>
          <w:sz w:val="26"/>
          <w:szCs w:val="26"/>
        </w:rPr>
      </w:pPr>
      <w:r>
        <w:rPr>
          <w:sz w:val="26"/>
          <w:szCs w:val="26"/>
        </w:rPr>
        <w:t xml:space="preserve">OCA R. Exc. at 7 (citing OCA St. 1SR at 18).  </w:t>
      </w:r>
    </w:p>
    <w:p w14:paraId="12AC4E08" w14:textId="77777777" w:rsidR="008054E8" w:rsidRDefault="008054E8" w:rsidP="008054E8">
      <w:pPr>
        <w:spacing w:line="360" w:lineRule="auto"/>
        <w:ind w:firstLine="1440"/>
        <w:rPr>
          <w:sz w:val="26"/>
          <w:szCs w:val="26"/>
        </w:rPr>
      </w:pPr>
    </w:p>
    <w:p w14:paraId="773A3556" w14:textId="77777777" w:rsidR="008054E8" w:rsidRDefault="008054E8" w:rsidP="008054E8">
      <w:pPr>
        <w:spacing w:line="360" w:lineRule="auto"/>
        <w:ind w:firstLine="1440"/>
        <w:rPr>
          <w:sz w:val="26"/>
          <w:szCs w:val="26"/>
        </w:rPr>
      </w:pPr>
      <w:r>
        <w:rPr>
          <w:sz w:val="26"/>
          <w:szCs w:val="26"/>
        </w:rPr>
        <w:t xml:space="preserve">While Aqua argues that the comparison of the AUS Market Value appraisal to the Gannett Fleming value is inappropriate, the OCA avers that use of a 65-year service life by Gannett Fleming is not the only reason that using an 80-year service life is not reasonable.  OCA R. Exc. at 7-8 (citing Aqua Exc. at 19).  The OCA provides that there is a lack of historical records for the LMT system and there is an assumption that the older plant in the Collection Sewers-Gravity Mains plant account for LMT is VCP.  OCA R. Exc. at 8 (citing OCA St. 1SR at 18-19).  The OCA notes that the Ebert Engineering Report stated that documentation was missing for the age, </w:t>
      </w:r>
      <w:proofErr w:type="gramStart"/>
      <w:r>
        <w:rPr>
          <w:sz w:val="26"/>
          <w:szCs w:val="26"/>
        </w:rPr>
        <w:t>size</w:t>
      </w:r>
      <w:proofErr w:type="gramEnd"/>
      <w:r>
        <w:rPr>
          <w:sz w:val="26"/>
          <w:szCs w:val="26"/>
        </w:rPr>
        <w:t xml:space="preserve"> and material of the gravity collection mains in the LMT system, but estimates were made using the Township staff’s institutional knowledge that sanitary gravity pipe was assumed to be VCP if constructed before 1980, and SDR-35</w:t>
      </w:r>
      <w:r>
        <w:rPr>
          <w:rStyle w:val="FootnoteReference"/>
          <w:sz w:val="26"/>
          <w:szCs w:val="26"/>
        </w:rPr>
        <w:footnoteReference w:id="20"/>
      </w:r>
      <w:r>
        <w:rPr>
          <w:sz w:val="26"/>
          <w:szCs w:val="26"/>
        </w:rPr>
        <w:t xml:space="preserve"> after 1980.  OCA R. Exc. at 8 (citing Application Exh. D at 2).  </w:t>
      </w:r>
    </w:p>
    <w:p w14:paraId="0F1D196F" w14:textId="77777777" w:rsidR="008054E8" w:rsidRDefault="008054E8" w:rsidP="008054E8">
      <w:pPr>
        <w:spacing w:line="360" w:lineRule="auto"/>
        <w:ind w:firstLine="1440"/>
        <w:rPr>
          <w:sz w:val="26"/>
          <w:szCs w:val="26"/>
        </w:rPr>
      </w:pPr>
    </w:p>
    <w:p w14:paraId="6A656E18" w14:textId="457EF854" w:rsidR="008054E8" w:rsidRDefault="008054E8" w:rsidP="008054E8">
      <w:pPr>
        <w:spacing w:line="360" w:lineRule="auto"/>
        <w:ind w:firstLine="1440"/>
        <w:rPr>
          <w:sz w:val="26"/>
          <w:szCs w:val="26"/>
        </w:rPr>
      </w:pPr>
      <w:r>
        <w:rPr>
          <w:sz w:val="26"/>
          <w:szCs w:val="26"/>
        </w:rPr>
        <w:t xml:space="preserve">The OCA provides that in other Section 1329 acquisitions, Mr. Weinert’s previous appraisals indicated a 75-year service life for VCP gravity collection mains. </w:t>
      </w:r>
      <w:r w:rsidR="00192C49">
        <w:rPr>
          <w:sz w:val="26"/>
          <w:szCs w:val="26"/>
        </w:rPr>
        <w:t xml:space="preserve"> </w:t>
      </w:r>
      <w:r>
        <w:rPr>
          <w:sz w:val="26"/>
          <w:szCs w:val="26"/>
        </w:rPr>
        <w:t>OCA R. Exc. at 8 (citing OCA M.B. at 12-13).</w:t>
      </w:r>
      <w:r w:rsidR="000C605D">
        <w:rPr>
          <w:sz w:val="26"/>
          <w:szCs w:val="26"/>
        </w:rPr>
        <w:t xml:space="preserve">  </w:t>
      </w:r>
      <w:r>
        <w:rPr>
          <w:sz w:val="26"/>
          <w:szCs w:val="26"/>
        </w:rPr>
        <w:t xml:space="preserve">In </w:t>
      </w:r>
      <w:r w:rsidRPr="005A7E87">
        <w:rPr>
          <w:i/>
          <w:iCs/>
          <w:sz w:val="26"/>
          <w:szCs w:val="26"/>
        </w:rPr>
        <w:t>Cheltenham</w:t>
      </w:r>
      <w:r>
        <w:rPr>
          <w:sz w:val="26"/>
          <w:szCs w:val="26"/>
        </w:rPr>
        <w:t xml:space="preserve">, Mr. Weinert utilized a 90-year service life for all of Cheltenham’s gravity collection mains.  The Commission agreed with Gannett Fleming, Aqua’s UVE in the Cheltenham case, and recommended a 75-year life for VCP mains, </w:t>
      </w:r>
      <w:proofErr w:type="gramStart"/>
      <w:r>
        <w:rPr>
          <w:sz w:val="26"/>
          <w:szCs w:val="26"/>
        </w:rPr>
        <w:t>laterals</w:t>
      </w:r>
      <w:proofErr w:type="gramEnd"/>
      <w:r>
        <w:rPr>
          <w:sz w:val="26"/>
          <w:szCs w:val="26"/>
        </w:rPr>
        <w:t xml:space="preserve"> and manholes.  OCA R. Exc. at 8-9 (</w:t>
      </w:r>
      <w:r w:rsidRPr="00B35ECF">
        <w:rPr>
          <w:sz w:val="26"/>
          <w:szCs w:val="26"/>
        </w:rPr>
        <w:t>citing</w:t>
      </w:r>
      <w:r w:rsidRPr="00AC3061">
        <w:rPr>
          <w:i/>
          <w:iCs/>
          <w:sz w:val="26"/>
          <w:szCs w:val="26"/>
        </w:rPr>
        <w:t xml:space="preserve"> Cheltenham</w:t>
      </w:r>
      <w:r>
        <w:rPr>
          <w:sz w:val="26"/>
          <w:szCs w:val="26"/>
        </w:rPr>
        <w:t xml:space="preserve"> at 44-45).  The OCA notes that Mr. Weinert acknowledged that he relied on Gannett Fleming’s depreciation studies in formulating the AUS Cost Approach.  OCA</w:t>
      </w:r>
      <w:r w:rsidR="00070FED">
        <w:rPr>
          <w:sz w:val="26"/>
          <w:szCs w:val="26"/>
        </w:rPr>
        <w:t> </w:t>
      </w:r>
      <w:r>
        <w:rPr>
          <w:sz w:val="26"/>
          <w:szCs w:val="26"/>
        </w:rPr>
        <w:t>R.</w:t>
      </w:r>
      <w:r w:rsidR="00070FED">
        <w:rPr>
          <w:sz w:val="26"/>
          <w:szCs w:val="26"/>
        </w:rPr>
        <w:t> </w:t>
      </w:r>
      <w:r>
        <w:rPr>
          <w:sz w:val="26"/>
          <w:szCs w:val="26"/>
        </w:rPr>
        <w:t>Exc. at 9 (citing Tr. at 77).</w:t>
      </w:r>
    </w:p>
    <w:p w14:paraId="503D8674" w14:textId="77777777" w:rsidR="008054E8" w:rsidRDefault="008054E8" w:rsidP="008054E8">
      <w:pPr>
        <w:spacing w:line="360" w:lineRule="auto"/>
        <w:ind w:firstLine="1440"/>
        <w:rPr>
          <w:sz w:val="26"/>
          <w:szCs w:val="26"/>
        </w:rPr>
      </w:pPr>
    </w:p>
    <w:p w14:paraId="635BF405" w14:textId="1EB85495" w:rsidR="008054E8" w:rsidRDefault="008054E8" w:rsidP="008054E8">
      <w:pPr>
        <w:spacing w:line="360" w:lineRule="auto"/>
        <w:ind w:firstLine="1440"/>
        <w:rPr>
          <w:sz w:val="26"/>
          <w:szCs w:val="26"/>
        </w:rPr>
      </w:pPr>
      <w:r>
        <w:rPr>
          <w:sz w:val="26"/>
          <w:szCs w:val="26"/>
        </w:rPr>
        <w:t xml:space="preserve">While Aqua contends that OCA witness Mr. Smith did not consider CIPP, the OCA indicates that there is no mention of CIPP in either AUS’ appraisal or the engineering report filed with the Application.  OCA R. Exc. at 9-10 (citing Application Exhs. D, Q).  </w:t>
      </w:r>
    </w:p>
    <w:p w14:paraId="20919007" w14:textId="77777777" w:rsidR="00BD2F08" w:rsidRDefault="00BD2F08" w:rsidP="008054E8">
      <w:pPr>
        <w:spacing w:line="360" w:lineRule="auto"/>
        <w:ind w:firstLine="1440"/>
        <w:rPr>
          <w:sz w:val="26"/>
          <w:szCs w:val="26"/>
        </w:rPr>
      </w:pPr>
    </w:p>
    <w:p w14:paraId="59AD4286" w14:textId="77777777" w:rsidR="008054E8" w:rsidRDefault="008054E8" w:rsidP="00070FED">
      <w:pPr>
        <w:widowControl/>
        <w:spacing w:line="360" w:lineRule="auto"/>
        <w:ind w:firstLine="1440"/>
        <w:rPr>
          <w:sz w:val="26"/>
          <w:szCs w:val="26"/>
        </w:rPr>
      </w:pPr>
      <w:r>
        <w:rPr>
          <w:sz w:val="26"/>
          <w:szCs w:val="26"/>
        </w:rPr>
        <w:t>The OCA disagrees with Aqua’s contention that it was inappropriate for the Recommended Decision to rely on Gannett Fleming’s use of a 65-year service life.  The OCA provides that the Recommended Decision did not rely solely on Gannett Fleming’s 65-year service life estimate, but rather the ALJ stated:</w:t>
      </w:r>
    </w:p>
    <w:p w14:paraId="66DDFF4B" w14:textId="77777777" w:rsidR="008054E8" w:rsidRDefault="008054E8" w:rsidP="00070FED">
      <w:pPr>
        <w:ind w:firstLine="1440"/>
        <w:rPr>
          <w:sz w:val="26"/>
          <w:szCs w:val="26"/>
        </w:rPr>
      </w:pPr>
    </w:p>
    <w:p w14:paraId="76930D0F" w14:textId="5E8A8275" w:rsidR="008054E8" w:rsidRDefault="008054E8" w:rsidP="00380257">
      <w:pPr>
        <w:autoSpaceDE w:val="0"/>
        <w:autoSpaceDN w:val="0"/>
        <w:adjustRightInd w:val="0"/>
        <w:ind w:left="1440" w:right="1440"/>
        <w:rPr>
          <w:sz w:val="26"/>
          <w:szCs w:val="26"/>
        </w:rPr>
      </w:pPr>
      <w:r w:rsidRPr="006C1705">
        <w:rPr>
          <w:sz w:val="26"/>
          <w:szCs w:val="26"/>
        </w:rPr>
        <w:t>Obviously, the appropriate service life is dependent on various factors including the materials used in the</w:t>
      </w:r>
      <w:r>
        <w:rPr>
          <w:sz w:val="26"/>
          <w:szCs w:val="26"/>
        </w:rPr>
        <w:t xml:space="preserve"> </w:t>
      </w:r>
      <w:r w:rsidRPr="006C1705">
        <w:rPr>
          <w:sz w:val="26"/>
          <w:szCs w:val="26"/>
        </w:rPr>
        <w:t>construction of the collection system.</w:t>
      </w:r>
      <w:r>
        <w:rPr>
          <w:sz w:val="26"/>
          <w:szCs w:val="26"/>
        </w:rPr>
        <w:t xml:space="preserve"> </w:t>
      </w:r>
      <w:r w:rsidRPr="006C1705">
        <w:rPr>
          <w:sz w:val="26"/>
          <w:szCs w:val="26"/>
        </w:rPr>
        <w:t xml:space="preserve"> Aqua argues the use of CIPP linings has the effect of extending the useful service life of mains and manholes by 50 years thus pushing the useful life of these assets into the low 100-year range.</w:t>
      </w:r>
      <w:r>
        <w:rPr>
          <w:sz w:val="26"/>
          <w:szCs w:val="26"/>
        </w:rPr>
        <w:t xml:space="preserve"> </w:t>
      </w:r>
      <w:r w:rsidRPr="006C1705">
        <w:rPr>
          <w:sz w:val="26"/>
          <w:szCs w:val="26"/>
        </w:rPr>
        <w:t xml:space="preserve"> Aqua Main Brief p. 12. </w:t>
      </w:r>
      <w:r>
        <w:rPr>
          <w:sz w:val="26"/>
          <w:szCs w:val="26"/>
        </w:rPr>
        <w:t xml:space="preserve"> </w:t>
      </w:r>
      <w:r w:rsidRPr="006C1705">
        <w:rPr>
          <w:sz w:val="26"/>
          <w:szCs w:val="26"/>
        </w:rPr>
        <w:t xml:space="preserve">The problem with this argument is that there is no evidence that Lower Makefield has used this technology to extend its service life of its VCP. </w:t>
      </w:r>
      <w:r>
        <w:rPr>
          <w:sz w:val="26"/>
          <w:szCs w:val="26"/>
        </w:rPr>
        <w:t xml:space="preserve"> </w:t>
      </w:r>
      <w:r w:rsidRPr="006C1705">
        <w:rPr>
          <w:sz w:val="26"/>
          <w:szCs w:val="26"/>
        </w:rPr>
        <w:t>The service life applied to the asset should be reflective of the actual</w:t>
      </w:r>
      <w:r>
        <w:rPr>
          <w:sz w:val="26"/>
          <w:szCs w:val="26"/>
        </w:rPr>
        <w:t xml:space="preserve"> </w:t>
      </w:r>
      <w:r w:rsidRPr="006C1705">
        <w:rPr>
          <w:sz w:val="26"/>
          <w:szCs w:val="26"/>
        </w:rPr>
        <w:t xml:space="preserve">assets being </w:t>
      </w:r>
      <w:r w:rsidRPr="00AC3061">
        <w:rPr>
          <w:sz w:val="26"/>
          <w:szCs w:val="26"/>
        </w:rPr>
        <w:t xml:space="preserve">acquired in the condition that they are being acquired, in this case a collection system which includes of </w:t>
      </w:r>
      <w:r w:rsidR="000C605D">
        <w:rPr>
          <w:sz w:val="26"/>
          <w:szCs w:val="26"/>
        </w:rPr>
        <w:t xml:space="preserve">[sic] </w:t>
      </w:r>
      <w:r w:rsidRPr="00AC3061">
        <w:rPr>
          <w:sz w:val="26"/>
          <w:szCs w:val="26"/>
        </w:rPr>
        <w:t xml:space="preserve">a large quantity of VCP installed by developers and the township.  </w:t>
      </w:r>
    </w:p>
    <w:p w14:paraId="0268EBEB" w14:textId="77777777" w:rsidR="008054E8" w:rsidRDefault="008054E8" w:rsidP="008054E8">
      <w:pPr>
        <w:autoSpaceDE w:val="0"/>
        <w:autoSpaceDN w:val="0"/>
        <w:adjustRightInd w:val="0"/>
        <w:ind w:left="1440" w:right="1440"/>
        <w:rPr>
          <w:sz w:val="26"/>
          <w:szCs w:val="26"/>
        </w:rPr>
      </w:pPr>
      <w:r w:rsidRPr="006C1705">
        <w:rPr>
          <w:sz w:val="26"/>
          <w:szCs w:val="26"/>
        </w:rPr>
        <w:t>Mr. Weinert failed to provide any reasonable basis to conclude that the 80-year service life that he uses for collection mains is more appropriate than the 65-year service life for the same collections mains that was used by Gannett Fleming in this proceeding.</w:t>
      </w:r>
      <w:r>
        <w:rPr>
          <w:sz w:val="26"/>
          <w:szCs w:val="26"/>
        </w:rPr>
        <w:t xml:space="preserve"> </w:t>
      </w:r>
      <w:r w:rsidRPr="006C1705">
        <w:rPr>
          <w:sz w:val="26"/>
          <w:szCs w:val="26"/>
        </w:rPr>
        <w:t xml:space="preserve"> Accordingly, OCA witness Smith recommended an adjustment of $4,714,148 to the AUS appraisal to match the 65-year service life utilized by</w:t>
      </w:r>
      <w:r>
        <w:rPr>
          <w:sz w:val="26"/>
          <w:szCs w:val="26"/>
        </w:rPr>
        <w:t xml:space="preserve"> </w:t>
      </w:r>
      <w:r w:rsidRPr="006C1705">
        <w:rPr>
          <w:sz w:val="26"/>
          <w:szCs w:val="26"/>
        </w:rPr>
        <w:t xml:space="preserve">Gannett Fleming. </w:t>
      </w:r>
      <w:r>
        <w:rPr>
          <w:sz w:val="26"/>
          <w:szCs w:val="26"/>
        </w:rPr>
        <w:t xml:space="preserve"> </w:t>
      </w:r>
      <w:r w:rsidRPr="006C1705">
        <w:rPr>
          <w:sz w:val="26"/>
          <w:szCs w:val="26"/>
        </w:rPr>
        <w:t xml:space="preserve">OCA Table I at Col. D, Ln. 2. </w:t>
      </w:r>
      <w:r>
        <w:rPr>
          <w:sz w:val="26"/>
          <w:szCs w:val="26"/>
        </w:rPr>
        <w:t xml:space="preserve"> </w:t>
      </w:r>
      <w:r w:rsidRPr="006C1705">
        <w:rPr>
          <w:sz w:val="26"/>
          <w:szCs w:val="26"/>
        </w:rPr>
        <w:t>I agree with OCA and conclude that Mr. Smith’s adjustment to the Cos</w:t>
      </w:r>
      <w:r>
        <w:rPr>
          <w:sz w:val="26"/>
          <w:szCs w:val="26"/>
        </w:rPr>
        <w:t xml:space="preserve">t </w:t>
      </w:r>
      <w:r w:rsidRPr="006C1705">
        <w:rPr>
          <w:sz w:val="26"/>
          <w:szCs w:val="26"/>
        </w:rPr>
        <w:t>Approach should be accepted.</w:t>
      </w:r>
    </w:p>
    <w:p w14:paraId="0E2F4667" w14:textId="77777777" w:rsidR="008054E8" w:rsidRPr="006C1705" w:rsidRDefault="008054E8" w:rsidP="008054E8">
      <w:pPr>
        <w:autoSpaceDE w:val="0"/>
        <w:autoSpaceDN w:val="0"/>
        <w:adjustRightInd w:val="0"/>
        <w:spacing w:line="360" w:lineRule="auto"/>
        <w:ind w:left="1440" w:right="1440"/>
        <w:rPr>
          <w:sz w:val="26"/>
          <w:szCs w:val="26"/>
        </w:rPr>
      </w:pPr>
    </w:p>
    <w:p w14:paraId="46ACA175" w14:textId="48F0A269" w:rsidR="008054E8" w:rsidRPr="006C1705" w:rsidRDefault="008054E8" w:rsidP="00070FED">
      <w:pPr>
        <w:autoSpaceDE w:val="0"/>
        <w:autoSpaceDN w:val="0"/>
        <w:adjustRightInd w:val="0"/>
        <w:spacing w:line="360" w:lineRule="auto"/>
        <w:rPr>
          <w:sz w:val="26"/>
          <w:szCs w:val="26"/>
        </w:rPr>
      </w:pPr>
      <w:r>
        <w:rPr>
          <w:sz w:val="26"/>
          <w:szCs w:val="26"/>
        </w:rPr>
        <w:t>OCA</w:t>
      </w:r>
      <w:r w:rsidR="000C605D">
        <w:rPr>
          <w:sz w:val="26"/>
          <w:szCs w:val="26"/>
        </w:rPr>
        <w:t xml:space="preserve"> R.</w:t>
      </w:r>
      <w:r>
        <w:rPr>
          <w:sz w:val="26"/>
          <w:szCs w:val="26"/>
        </w:rPr>
        <w:t xml:space="preserve"> Exc. at 10 (citing </w:t>
      </w:r>
      <w:r w:rsidRPr="006C1705">
        <w:rPr>
          <w:sz w:val="26"/>
          <w:szCs w:val="26"/>
        </w:rPr>
        <w:t>R.D. at 91</w:t>
      </w:r>
      <w:r>
        <w:rPr>
          <w:sz w:val="26"/>
          <w:szCs w:val="26"/>
        </w:rPr>
        <w:t>)</w:t>
      </w:r>
      <w:r w:rsidRPr="006C1705">
        <w:rPr>
          <w:sz w:val="26"/>
          <w:szCs w:val="26"/>
        </w:rPr>
        <w:t>.</w:t>
      </w:r>
    </w:p>
    <w:p w14:paraId="67BACD48" w14:textId="77777777" w:rsidR="008054E8" w:rsidRDefault="008054E8" w:rsidP="00070FED">
      <w:pPr>
        <w:spacing w:line="360" w:lineRule="auto"/>
        <w:ind w:firstLine="1440"/>
        <w:rPr>
          <w:sz w:val="26"/>
          <w:szCs w:val="26"/>
        </w:rPr>
      </w:pPr>
    </w:p>
    <w:p w14:paraId="59FD3E68" w14:textId="04719004" w:rsidR="00596CCB" w:rsidRDefault="008054E8" w:rsidP="00070FED">
      <w:pPr>
        <w:spacing w:line="360" w:lineRule="auto"/>
        <w:ind w:firstLine="1440"/>
        <w:rPr>
          <w:sz w:val="26"/>
          <w:szCs w:val="26"/>
        </w:rPr>
      </w:pPr>
      <w:r>
        <w:rPr>
          <w:sz w:val="26"/>
          <w:szCs w:val="26"/>
        </w:rPr>
        <w:t>The OCA submits that Mr. Weinert failed to provide any reasonable basis to conclude that the 80-year service life that he uses is more appropriate than the 65-year service life for the same collections mains that was used by Gannett Fleming in this proceeding.  OCA R. Exc. at 10 (citing R.D. at 90-92).  According to the OCA, the Recommended Decision properly determined that the 80-year estimated useful life for Gravity Mains proposed by Mr. Weinert has no reasonable basis and should be rejected.  OCA R. Exc. at 11.</w:t>
      </w:r>
    </w:p>
    <w:p w14:paraId="13AE8CF9" w14:textId="77777777" w:rsidR="008054E8" w:rsidRDefault="008054E8" w:rsidP="008054E8">
      <w:pPr>
        <w:spacing w:line="360" w:lineRule="auto"/>
        <w:ind w:firstLine="1440"/>
        <w:rPr>
          <w:sz w:val="26"/>
          <w:szCs w:val="26"/>
        </w:rPr>
      </w:pPr>
    </w:p>
    <w:p w14:paraId="7C1DD33F" w14:textId="43E66C6E" w:rsidR="00D84617" w:rsidRDefault="004E6B79" w:rsidP="004E6B79">
      <w:pPr>
        <w:pStyle w:val="Heading4"/>
      </w:pPr>
      <w:bookmarkStart w:id="56" w:name="_Toc90970728"/>
      <w:r w:rsidRPr="004E6B79">
        <w:t>Disposition</w:t>
      </w:r>
      <w:bookmarkEnd w:id="56"/>
    </w:p>
    <w:p w14:paraId="69E9D45C" w14:textId="61D5B394" w:rsidR="004E6B79" w:rsidRDefault="004E6B79" w:rsidP="002E7C16">
      <w:pPr>
        <w:widowControl/>
        <w:spacing w:line="360" w:lineRule="auto"/>
        <w:rPr>
          <w:sz w:val="26"/>
          <w:szCs w:val="26"/>
        </w:rPr>
      </w:pPr>
    </w:p>
    <w:p w14:paraId="19AB7C7B" w14:textId="5BBE0E8B" w:rsidR="008054E8" w:rsidRDefault="008054E8" w:rsidP="008054E8">
      <w:pPr>
        <w:spacing w:line="360" w:lineRule="auto"/>
        <w:ind w:firstLine="1440"/>
        <w:rPr>
          <w:sz w:val="26"/>
          <w:szCs w:val="26"/>
        </w:rPr>
      </w:pPr>
      <w:r w:rsidRPr="008965A2">
        <w:rPr>
          <w:sz w:val="26"/>
          <w:szCs w:val="26"/>
        </w:rPr>
        <w:t xml:space="preserve">We note that AUS proposed an 80-year life for the </w:t>
      </w:r>
      <w:r>
        <w:rPr>
          <w:sz w:val="26"/>
          <w:szCs w:val="26"/>
        </w:rPr>
        <w:t xml:space="preserve">gravity </w:t>
      </w:r>
      <w:r w:rsidRPr="008965A2">
        <w:rPr>
          <w:sz w:val="26"/>
          <w:szCs w:val="26"/>
        </w:rPr>
        <w:t xml:space="preserve">collection mains in LMT, while Gannett Fleming proposed a 65-year life for the same collection mains.  AUS based its service life (with an increase of 5 years) on Gannett Fleming’s depreciation studies </w:t>
      </w:r>
      <w:r>
        <w:rPr>
          <w:sz w:val="26"/>
          <w:szCs w:val="26"/>
        </w:rPr>
        <w:t xml:space="preserve">used in other 1329 cases </w:t>
      </w:r>
      <w:r w:rsidRPr="008965A2">
        <w:rPr>
          <w:sz w:val="26"/>
          <w:szCs w:val="26"/>
        </w:rPr>
        <w:t>that proposed a 75-year life.</w:t>
      </w:r>
      <w:r>
        <w:rPr>
          <w:sz w:val="26"/>
          <w:szCs w:val="26"/>
        </w:rPr>
        <w:t xml:space="preserve">  Tr. at 209.  While AUS used three depreciation studies previously done by Gannett Fleming for other 1329 proceedings, </w:t>
      </w:r>
      <w:r w:rsidRPr="008965A2">
        <w:rPr>
          <w:sz w:val="26"/>
          <w:szCs w:val="26"/>
        </w:rPr>
        <w:t xml:space="preserve">Gannett Fleming based the 65-year life in its UVE report in this case on </w:t>
      </w:r>
      <w:r>
        <w:rPr>
          <w:sz w:val="26"/>
          <w:szCs w:val="26"/>
        </w:rPr>
        <w:t xml:space="preserve">more site-specific information about </w:t>
      </w:r>
      <w:r w:rsidRPr="008965A2">
        <w:rPr>
          <w:sz w:val="26"/>
          <w:szCs w:val="26"/>
        </w:rPr>
        <w:t>LMT</w:t>
      </w:r>
      <w:r>
        <w:rPr>
          <w:sz w:val="26"/>
          <w:szCs w:val="26"/>
        </w:rPr>
        <w:t xml:space="preserve"> as follows:  </w:t>
      </w:r>
    </w:p>
    <w:p w14:paraId="62D32923" w14:textId="77777777" w:rsidR="008054E8" w:rsidRDefault="008054E8" w:rsidP="00070FED">
      <w:pPr>
        <w:ind w:firstLine="1440"/>
        <w:rPr>
          <w:sz w:val="26"/>
          <w:szCs w:val="26"/>
        </w:rPr>
      </w:pPr>
    </w:p>
    <w:p w14:paraId="59DE153B" w14:textId="77777777" w:rsidR="008054E8" w:rsidRPr="003A3954" w:rsidRDefault="008054E8" w:rsidP="008054E8">
      <w:pPr>
        <w:autoSpaceDE w:val="0"/>
        <w:autoSpaceDN w:val="0"/>
        <w:adjustRightInd w:val="0"/>
        <w:ind w:left="1440" w:right="1440"/>
        <w:rPr>
          <w:sz w:val="26"/>
          <w:szCs w:val="26"/>
        </w:rPr>
      </w:pPr>
      <w:r w:rsidRPr="00DF693E">
        <w:rPr>
          <w:sz w:val="26"/>
          <w:szCs w:val="26"/>
        </w:rPr>
        <w:t>Gannett Fleming viewed or observed the Wastewater System</w:t>
      </w:r>
      <w:r>
        <w:rPr>
          <w:sz w:val="26"/>
          <w:szCs w:val="26"/>
        </w:rPr>
        <w:t>’</w:t>
      </w:r>
      <w:r w:rsidRPr="00DF693E">
        <w:rPr>
          <w:sz w:val="26"/>
          <w:szCs w:val="26"/>
        </w:rPr>
        <w:t>s facilities on April</w:t>
      </w:r>
      <w:r>
        <w:rPr>
          <w:sz w:val="26"/>
          <w:szCs w:val="26"/>
        </w:rPr>
        <w:t xml:space="preserve"> </w:t>
      </w:r>
      <w:r w:rsidRPr="00DF693E">
        <w:rPr>
          <w:sz w:val="26"/>
          <w:szCs w:val="26"/>
        </w:rPr>
        <w:t>6, 2021.</w:t>
      </w:r>
      <w:r>
        <w:rPr>
          <w:sz w:val="26"/>
          <w:szCs w:val="26"/>
        </w:rPr>
        <w:t xml:space="preserve">  </w:t>
      </w:r>
      <w:r w:rsidRPr="00DF693E">
        <w:rPr>
          <w:sz w:val="26"/>
          <w:szCs w:val="26"/>
        </w:rPr>
        <w:t>The functionality of the system asse</w:t>
      </w:r>
      <w:r>
        <w:rPr>
          <w:sz w:val="26"/>
          <w:szCs w:val="26"/>
        </w:rPr>
        <w:t>t</w:t>
      </w:r>
      <w:r w:rsidRPr="00DF693E">
        <w:rPr>
          <w:sz w:val="26"/>
          <w:szCs w:val="26"/>
        </w:rPr>
        <w:t>s was determined based on the</w:t>
      </w:r>
      <w:r>
        <w:rPr>
          <w:sz w:val="26"/>
          <w:szCs w:val="26"/>
        </w:rPr>
        <w:t xml:space="preserve"> </w:t>
      </w:r>
      <w:r w:rsidRPr="00DF693E">
        <w:rPr>
          <w:sz w:val="26"/>
          <w:szCs w:val="26"/>
        </w:rPr>
        <w:t>Engineering Assessment Study, Wastewater System's Chapter 94 Reports, the</w:t>
      </w:r>
      <w:r>
        <w:rPr>
          <w:sz w:val="26"/>
          <w:szCs w:val="26"/>
        </w:rPr>
        <w:t xml:space="preserve"> </w:t>
      </w:r>
      <w:r w:rsidRPr="00DF693E">
        <w:rPr>
          <w:sz w:val="26"/>
          <w:szCs w:val="26"/>
        </w:rPr>
        <w:t>Wastewater System's Corrective Action Plan, the Wastewater System</w:t>
      </w:r>
      <w:r>
        <w:rPr>
          <w:sz w:val="26"/>
          <w:szCs w:val="26"/>
        </w:rPr>
        <w:t>’</w:t>
      </w:r>
      <w:r w:rsidRPr="00DF693E">
        <w:rPr>
          <w:sz w:val="26"/>
          <w:szCs w:val="26"/>
        </w:rPr>
        <w:t>s</w:t>
      </w:r>
      <w:r>
        <w:rPr>
          <w:sz w:val="26"/>
          <w:szCs w:val="26"/>
        </w:rPr>
        <w:t xml:space="preserve"> </w:t>
      </w:r>
      <w:r w:rsidRPr="00DF693E">
        <w:rPr>
          <w:sz w:val="26"/>
          <w:szCs w:val="26"/>
        </w:rPr>
        <w:t>Connection Management Plan, and other information provided by Aqua/LMT.</w:t>
      </w:r>
      <w:r>
        <w:rPr>
          <w:sz w:val="26"/>
          <w:szCs w:val="26"/>
        </w:rPr>
        <w:t xml:space="preserve">  </w:t>
      </w:r>
      <w:r w:rsidRPr="00DF693E">
        <w:rPr>
          <w:sz w:val="26"/>
          <w:szCs w:val="26"/>
        </w:rPr>
        <w:t>Gannett Fleming determined the average service lives of depreciable assets based</w:t>
      </w:r>
      <w:r>
        <w:rPr>
          <w:sz w:val="26"/>
          <w:szCs w:val="26"/>
        </w:rPr>
        <w:t xml:space="preserve"> </w:t>
      </w:r>
      <w:r w:rsidRPr="00DF693E">
        <w:rPr>
          <w:sz w:val="26"/>
          <w:szCs w:val="26"/>
        </w:rPr>
        <w:t>on the materials used for construction and how long the depreciable assets are</w:t>
      </w:r>
      <w:r>
        <w:rPr>
          <w:sz w:val="26"/>
          <w:szCs w:val="26"/>
        </w:rPr>
        <w:t xml:space="preserve"> </w:t>
      </w:r>
      <w:r w:rsidRPr="00DF693E">
        <w:rPr>
          <w:sz w:val="26"/>
          <w:szCs w:val="26"/>
        </w:rPr>
        <w:t>likely to meet service de</w:t>
      </w:r>
      <w:r>
        <w:rPr>
          <w:sz w:val="26"/>
          <w:szCs w:val="26"/>
        </w:rPr>
        <w:t>m</w:t>
      </w:r>
      <w:r w:rsidRPr="00DF693E">
        <w:rPr>
          <w:sz w:val="26"/>
          <w:szCs w:val="26"/>
        </w:rPr>
        <w:t xml:space="preserve">ands. </w:t>
      </w:r>
      <w:r>
        <w:rPr>
          <w:sz w:val="26"/>
          <w:szCs w:val="26"/>
        </w:rPr>
        <w:t xml:space="preserve"> </w:t>
      </w:r>
      <w:r w:rsidRPr="00DF693E">
        <w:rPr>
          <w:sz w:val="26"/>
          <w:szCs w:val="26"/>
        </w:rPr>
        <w:t>We determined the average service lives of</w:t>
      </w:r>
      <w:r>
        <w:rPr>
          <w:sz w:val="26"/>
          <w:szCs w:val="26"/>
        </w:rPr>
        <w:t xml:space="preserve"> </w:t>
      </w:r>
      <w:r w:rsidRPr="00DF693E">
        <w:rPr>
          <w:sz w:val="26"/>
          <w:szCs w:val="26"/>
        </w:rPr>
        <w:t>depreciable assets based on our experience of having determined average service</w:t>
      </w:r>
      <w:r>
        <w:rPr>
          <w:sz w:val="26"/>
          <w:szCs w:val="26"/>
        </w:rPr>
        <w:t xml:space="preserve"> </w:t>
      </w:r>
      <w:r w:rsidRPr="00DF693E">
        <w:rPr>
          <w:sz w:val="26"/>
          <w:szCs w:val="26"/>
        </w:rPr>
        <w:t>lives for numerous other water and wastewater utilities and given the fact the</w:t>
      </w:r>
      <w:r>
        <w:rPr>
          <w:sz w:val="26"/>
          <w:szCs w:val="26"/>
        </w:rPr>
        <w:t xml:space="preserve"> </w:t>
      </w:r>
      <w:r w:rsidRPr="00DF693E">
        <w:rPr>
          <w:sz w:val="26"/>
          <w:szCs w:val="26"/>
        </w:rPr>
        <w:t xml:space="preserve">system assets resemble those </w:t>
      </w:r>
      <w:r w:rsidRPr="003A3954">
        <w:rPr>
          <w:sz w:val="26"/>
          <w:szCs w:val="26"/>
        </w:rPr>
        <w:t>used by other Pennsylvania wastewater companies.</w:t>
      </w:r>
    </w:p>
    <w:p w14:paraId="37E15964" w14:textId="77777777" w:rsidR="008054E8" w:rsidRPr="003A3954" w:rsidRDefault="008054E8" w:rsidP="008054E8">
      <w:pPr>
        <w:spacing w:line="360" w:lineRule="auto"/>
        <w:ind w:left="1440" w:right="1440"/>
        <w:rPr>
          <w:sz w:val="26"/>
          <w:szCs w:val="26"/>
        </w:rPr>
      </w:pPr>
    </w:p>
    <w:p w14:paraId="5B2F2CD0" w14:textId="77777777" w:rsidR="008054E8" w:rsidRPr="003A3954" w:rsidRDefault="008054E8" w:rsidP="008054E8">
      <w:pPr>
        <w:spacing w:line="360" w:lineRule="auto"/>
        <w:rPr>
          <w:sz w:val="26"/>
          <w:szCs w:val="26"/>
        </w:rPr>
      </w:pPr>
      <w:r w:rsidRPr="003A3954">
        <w:rPr>
          <w:sz w:val="26"/>
          <w:szCs w:val="26"/>
        </w:rPr>
        <w:t xml:space="preserve">OCA </w:t>
      </w:r>
      <w:r>
        <w:rPr>
          <w:sz w:val="26"/>
          <w:szCs w:val="26"/>
        </w:rPr>
        <w:t xml:space="preserve">Hearing </w:t>
      </w:r>
      <w:r w:rsidRPr="003A3954">
        <w:rPr>
          <w:sz w:val="26"/>
          <w:szCs w:val="26"/>
        </w:rPr>
        <w:t xml:space="preserve">Exh. 2 at 1.   </w:t>
      </w:r>
    </w:p>
    <w:p w14:paraId="3BD71F73" w14:textId="77777777" w:rsidR="008054E8" w:rsidRPr="003A3954" w:rsidRDefault="008054E8" w:rsidP="008054E8">
      <w:pPr>
        <w:spacing w:line="360" w:lineRule="auto"/>
        <w:ind w:firstLine="1440"/>
        <w:rPr>
          <w:sz w:val="26"/>
          <w:szCs w:val="26"/>
        </w:rPr>
      </w:pPr>
    </w:p>
    <w:p w14:paraId="7F2F98B9" w14:textId="713E6536" w:rsidR="004E6B79" w:rsidRDefault="008054E8" w:rsidP="008054E8">
      <w:pPr>
        <w:widowControl/>
        <w:spacing w:line="360" w:lineRule="auto"/>
        <w:ind w:firstLine="1440"/>
        <w:rPr>
          <w:sz w:val="26"/>
          <w:szCs w:val="26"/>
        </w:rPr>
      </w:pPr>
      <w:r>
        <w:rPr>
          <w:sz w:val="26"/>
          <w:szCs w:val="26"/>
        </w:rPr>
        <w:t>Aqua contends that the 80-year life used by AUS is appropriate for VCP that has been lined using CIPP.  The OCA provided that CIPP is not mentioned in either the AUS’ appraisal or the engineering report filed with the Application.  OCA R. Exc. at</w:t>
      </w:r>
      <w:r w:rsidR="00070FED">
        <w:rPr>
          <w:sz w:val="26"/>
          <w:szCs w:val="26"/>
        </w:rPr>
        <w:t> </w:t>
      </w:r>
      <w:r>
        <w:rPr>
          <w:sz w:val="26"/>
          <w:szCs w:val="26"/>
        </w:rPr>
        <w:t xml:space="preserve">10 (citing Application Exhs. D, Q).  </w:t>
      </w:r>
      <w:r w:rsidRPr="008965A2">
        <w:rPr>
          <w:sz w:val="26"/>
          <w:szCs w:val="26"/>
        </w:rPr>
        <w:t xml:space="preserve">While Aqua </w:t>
      </w:r>
      <w:r>
        <w:rPr>
          <w:sz w:val="26"/>
          <w:szCs w:val="26"/>
        </w:rPr>
        <w:t>claimed</w:t>
      </w:r>
      <w:r w:rsidRPr="008965A2">
        <w:rPr>
          <w:sz w:val="26"/>
          <w:szCs w:val="26"/>
        </w:rPr>
        <w:t xml:space="preserve"> that the Section 94 report for </w:t>
      </w:r>
      <w:r>
        <w:rPr>
          <w:sz w:val="26"/>
          <w:szCs w:val="26"/>
        </w:rPr>
        <w:t>LMT</w:t>
      </w:r>
      <w:r w:rsidRPr="008965A2">
        <w:rPr>
          <w:sz w:val="26"/>
          <w:szCs w:val="26"/>
        </w:rPr>
        <w:t xml:space="preserve"> </w:t>
      </w:r>
      <w:r>
        <w:rPr>
          <w:sz w:val="26"/>
          <w:szCs w:val="26"/>
        </w:rPr>
        <w:t>cited</w:t>
      </w:r>
      <w:r w:rsidRPr="008965A2">
        <w:rPr>
          <w:sz w:val="26"/>
          <w:szCs w:val="26"/>
        </w:rPr>
        <w:t xml:space="preserve"> the use of C</w:t>
      </w:r>
      <w:r>
        <w:rPr>
          <w:sz w:val="26"/>
          <w:szCs w:val="26"/>
        </w:rPr>
        <w:t>IP</w:t>
      </w:r>
      <w:r w:rsidRPr="008965A2">
        <w:rPr>
          <w:sz w:val="26"/>
          <w:szCs w:val="26"/>
        </w:rPr>
        <w:t xml:space="preserve">P, we cannot assume </w:t>
      </w:r>
      <w:r>
        <w:rPr>
          <w:sz w:val="26"/>
          <w:szCs w:val="26"/>
        </w:rPr>
        <w:t>CIP</w:t>
      </w:r>
      <w:r w:rsidRPr="008965A2">
        <w:rPr>
          <w:sz w:val="26"/>
          <w:szCs w:val="26"/>
        </w:rPr>
        <w:t xml:space="preserve">P has been widely used throughout the LMT system.  </w:t>
      </w:r>
      <w:r>
        <w:rPr>
          <w:sz w:val="26"/>
          <w:szCs w:val="26"/>
        </w:rPr>
        <w:t xml:space="preserve">The Section 94 reports state that the CIPP program began in 2020 with approximately 2,000 linear feet at a cost of approximately $200,000.  Aqua Exc. at 19. </w:t>
      </w:r>
      <w:r w:rsidRPr="008965A2">
        <w:rPr>
          <w:sz w:val="26"/>
          <w:szCs w:val="26"/>
        </w:rPr>
        <w:t>The amount of pipe that has been lined according to the Section 94 report</w:t>
      </w:r>
      <w:r>
        <w:rPr>
          <w:sz w:val="26"/>
          <w:szCs w:val="26"/>
        </w:rPr>
        <w:t>s</w:t>
      </w:r>
      <w:r w:rsidRPr="008965A2">
        <w:rPr>
          <w:sz w:val="26"/>
          <w:szCs w:val="26"/>
        </w:rPr>
        <w:t xml:space="preserve"> is </w:t>
      </w:r>
      <w:r>
        <w:rPr>
          <w:sz w:val="26"/>
          <w:szCs w:val="26"/>
        </w:rPr>
        <w:t xml:space="preserve">only </w:t>
      </w:r>
      <w:r w:rsidRPr="008965A2">
        <w:rPr>
          <w:sz w:val="26"/>
          <w:szCs w:val="26"/>
        </w:rPr>
        <w:t>a small portion</w:t>
      </w:r>
      <w:r>
        <w:rPr>
          <w:rStyle w:val="FootnoteReference"/>
          <w:sz w:val="26"/>
          <w:szCs w:val="26"/>
        </w:rPr>
        <w:footnoteReference w:id="21"/>
      </w:r>
      <w:r w:rsidRPr="008965A2">
        <w:rPr>
          <w:sz w:val="26"/>
          <w:szCs w:val="26"/>
        </w:rPr>
        <w:t xml:space="preserve"> of the total</w:t>
      </w:r>
      <w:r>
        <w:rPr>
          <w:sz w:val="26"/>
          <w:szCs w:val="26"/>
        </w:rPr>
        <w:t xml:space="preserve"> VCP in the system</w:t>
      </w:r>
      <w:r w:rsidRPr="008965A2">
        <w:rPr>
          <w:sz w:val="26"/>
          <w:szCs w:val="26"/>
        </w:rPr>
        <w:t xml:space="preserve">.  </w:t>
      </w:r>
      <w:r>
        <w:rPr>
          <w:sz w:val="26"/>
          <w:szCs w:val="26"/>
        </w:rPr>
        <w:t xml:space="preserve">The remainder of the VCP to be lined and the cost to do so are substantial.  </w:t>
      </w:r>
      <w:r w:rsidRPr="008965A2">
        <w:rPr>
          <w:sz w:val="26"/>
          <w:szCs w:val="26"/>
        </w:rPr>
        <w:t xml:space="preserve">As the OCA provided, records are not available for the detailed characterization of the </w:t>
      </w:r>
      <w:r>
        <w:rPr>
          <w:sz w:val="26"/>
          <w:szCs w:val="26"/>
        </w:rPr>
        <w:t xml:space="preserve">gravity </w:t>
      </w:r>
      <w:r w:rsidRPr="008965A2">
        <w:rPr>
          <w:sz w:val="26"/>
          <w:szCs w:val="26"/>
        </w:rPr>
        <w:t xml:space="preserve">collection mains in the LMT system.  We can only assume that pipe constructed before 1980 is VCP and another type after 1980.  As the ALJ stated “The service life applied to the asset should be reflective of the actual assets being acquired in the condition that they are being acquired, in this case a collection system which includes a large quantity of VCP installed by developers and the township.”  R.D. at 91.  </w:t>
      </w:r>
      <w:r>
        <w:rPr>
          <w:sz w:val="26"/>
          <w:szCs w:val="26"/>
        </w:rPr>
        <w:t>As the Gannett Fleming service life is based on a more site-specific study and only a small portion of the system may be lined VCP, w</w:t>
      </w:r>
      <w:r w:rsidRPr="008965A2">
        <w:rPr>
          <w:sz w:val="26"/>
          <w:szCs w:val="26"/>
        </w:rPr>
        <w:t>e find that the use of the Gannett Fleming 65-year service life for gravity collection mains is reasonable.  The OCA’s recommended adjustment</w:t>
      </w:r>
      <w:r>
        <w:rPr>
          <w:sz w:val="26"/>
          <w:szCs w:val="26"/>
        </w:rPr>
        <w:t>,</w:t>
      </w:r>
      <w:r w:rsidRPr="008965A2">
        <w:rPr>
          <w:sz w:val="26"/>
          <w:szCs w:val="26"/>
        </w:rPr>
        <w:t xml:space="preserve"> </w:t>
      </w:r>
      <w:r>
        <w:rPr>
          <w:sz w:val="26"/>
          <w:szCs w:val="26"/>
        </w:rPr>
        <w:t xml:space="preserve">as adopted by the </w:t>
      </w:r>
      <w:r w:rsidRPr="008965A2">
        <w:rPr>
          <w:sz w:val="26"/>
          <w:szCs w:val="26"/>
        </w:rPr>
        <w:t>ALJ</w:t>
      </w:r>
      <w:r>
        <w:rPr>
          <w:sz w:val="26"/>
          <w:szCs w:val="26"/>
        </w:rPr>
        <w:t>,</w:t>
      </w:r>
      <w:r w:rsidRPr="008965A2">
        <w:rPr>
          <w:sz w:val="26"/>
          <w:szCs w:val="26"/>
        </w:rPr>
        <w:t xml:space="preserve"> to the AUS Cost Approach to reduce the service life for Gravity Collection Mains from 80-years to 65-years is appropriate.  The AUS Cost Approach is adjusted by $4,714,000 from $51,414,555 to $46,700,407.  </w:t>
      </w:r>
      <w:r>
        <w:rPr>
          <w:sz w:val="26"/>
          <w:szCs w:val="26"/>
        </w:rPr>
        <w:t xml:space="preserve">The overall FMV is also adjusted as discussed </w:t>
      </w:r>
      <w:r w:rsidRPr="00F73FA0">
        <w:rPr>
          <w:i/>
          <w:iCs/>
          <w:sz w:val="26"/>
          <w:szCs w:val="26"/>
        </w:rPr>
        <w:t>infra.</w:t>
      </w:r>
      <w:r>
        <w:rPr>
          <w:sz w:val="26"/>
          <w:szCs w:val="26"/>
        </w:rPr>
        <w:t xml:space="preserve">  </w:t>
      </w:r>
      <w:r w:rsidRPr="008965A2">
        <w:rPr>
          <w:sz w:val="26"/>
          <w:szCs w:val="26"/>
        </w:rPr>
        <w:t>Accordingly, we will deny Aqua Exception No. 3.</w:t>
      </w:r>
    </w:p>
    <w:p w14:paraId="71D57368" w14:textId="77777777" w:rsidR="008054E8" w:rsidRDefault="008054E8" w:rsidP="008054E8">
      <w:pPr>
        <w:widowControl/>
        <w:spacing w:line="360" w:lineRule="auto"/>
        <w:ind w:firstLine="1440"/>
        <w:rPr>
          <w:sz w:val="26"/>
          <w:szCs w:val="26"/>
        </w:rPr>
      </w:pPr>
    </w:p>
    <w:p w14:paraId="691FBB7B" w14:textId="46BB7E2A" w:rsidR="004E6B79" w:rsidRDefault="004E6B79" w:rsidP="004E6B79">
      <w:pPr>
        <w:pStyle w:val="Heading3"/>
      </w:pPr>
      <w:bookmarkStart w:id="57" w:name="_Toc90970729"/>
      <w:r>
        <w:t>Income Approach</w:t>
      </w:r>
      <w:bookmarkEnd w:id="57"/>
      <w:r w:rsidR="004F7CDF">
        <w:t xml:space="preserve"> </w:t>
      </w:r>
    </w:p>
    <w:p w14:paraId="337E7EE7" w14:textId="37F44526" w:rsidR="004F7CDF" w:rsidRDefault="004F7CDF" w:rsidP="002E7C16">
      <w:pPr>
        <w:widowControl/>
        <w:spacing w:line="360" w:lineRule="auto"/>
        <w:rPr>
          <w:sz w:val="26"/>
          <w:szCs w:val="26"/>
        </w:rPr>
      </w:pPr>
    </w:p>
    <w:p w14:paraId="310D83EB" w14:textId="6B1A30B1" w:rsidR="008A1FA0" w:rsidRDefault="008A1FA0" w:rsidP="008A1FA0">
      <w:pPr>
        <w:widowControl/>
        <w:spacing w:line="360" w:lineRule="auto"/>
        <w:ind w:firstLine="1440"/>
        <w:rPr>
          <w:sz w:val="26"/>
          <w:szCs w:val="26"/>
        </w:rPr>
      </w:pPr>
      <w:r>
        <w:rPr>
          <w:sz w:val="26"/>
          <w:szCs w:val="26"/>
        </w:rPr>
        <w:t xml:space="preserve">The theory behind </w:t>
      </w:r>
      <w:r w:rsidR="0005113D">
        <w:rPr>
          <w:sz w:val="26"/>
          <w:szCs w:val="26"/>
        </w:rPr>
        <w:t>I</w:t>
      </w:r>
      <w:r>
        <w:rPr>
          <w:sz w:val="26"/>
          <w:szCs w:val="26"/>
        </w:rPr>
        <w:t xml:space="preserve">ncome </w:t>
      </w:r>
      <w:r w:rsidR="0005113D">
        <w:rPr>
          <w:sz w:val="26"/>
          <w:szCs w:val="26"/>
        </w:rPr>
        <w:t>A</w:t>
      </w:r>
      <w:r>
        <w:rPr>
          <w:sz w:val="26"/>
          <w:szCs w:val="26"/>
        </w:rPr>
        <w:t xml:space="preserve">pproach valuation is that the value of a business is the future economic benefit that ownership will provide.  OCA St. 1 at 29-30.  The </w:t>
      </w:r>
      <w:r w:rsidR="00B90BF9">
        <w:rPr>
          <w:sz w:val="26"/>
          <w:szCs w:val="26"/>
        </w:rPr>
        <w:t>I</w:t>
      </w:r>
      <w:r>
        <w:rPr>
          <w:sz w:val="26"/>
          <w:szCs w:val="26"/>
        </w:rPr>
        <w:t xml:space="preserve">ncome </w:t>
      </w:r>
      <w:r w:rsidR="00B90BF9">
        <w:rPr>
          <w:sz w:val="26"/>
          <w:szCs w:val="26"/>
        </w:rPr>
        <w:t>A</w:t>
      </w:r>
      <w:r>
        <w:rPr>
          <w:sz w:val="26"/>
          <w:szCs w:val="26"/>
        </w:rPr>
        <w:t xml:space="preserve">pproach is defined as: </w:t>
      </w:r>
    </w:p>
    <w:p w14:paraId="314B0596" w14:textId="262206D6" w:rsidR="008A1FA0" w:rsidRDefault="008A1FA0" w:rsidP="00070FED">
      <w:pPr>
        <w:widowControl/>
        <w:ind w:firstLine="1440"/>
        <w:rPr>
          <w:sz w:val="26"/>
          <w:szCs w:val="26"/>
        </w:rPr>
      </w:pPr>
    </w:p>
    <w:p w14:paraId="026D1431" w14:textId="608EC8CF" w:rsidR="008A1FA0" w:rsidRDefault="008A1FA0" w:rsidP="008A1FA0">
      <w:pPr>
        <w:widowControl/>
        <w:ind w:left="1440" w:right="1440"/>
        <w:rPr>
          <w:sz w:val="26"/>
          <w:szCs w:val="26"/>
        </w:rPr>
      </w:pPr>
      <w:r w:rsidRPr="008A1FA0">
        <w:rPr>
          <w:sz w:val="26"/>
          <w:szCs w:val="26"/>
        </w:rPr>
        <w:t>A procedure to conclude an opinion of present value by calculating the anticipated</w:t>
      </w:r>
      <w:r>
        <w:rPr>
          <w:sz w:val="26"/>
          <w:szCs w:val="26"/>
        </w:rPr>
        <w:t xml:space="preserve"> </w:t>
      </w:r>
      <w:r w:rsidRPr="008A1FA0">
        <w:rPr>
          <w:sz w:val="26"/>
          <w:szCs w:val="26"/>
        </w:rPr>
        <w:t>monetary benefits (such as a stream of income) for an income-producing property</w:t>
      </w:r>
      <w:r>
        <w:rPr>
          <w:sz w:val="26"/>
          <w:szCs w:val="26"/>
        </w:rPr>
        <w:t>.</w:t>
      </w:r>
    </w:p>
    <w:p w14:paraId="60BA908D" w14:textId="77777777" w:rsidR="00043BE0" w:rsidRDefault="00043BE0" w:rsidP="00043BE0">
      <w:pPr>
        <w:widowControl/>
        <w:spacing w:line="360" w:lineRule="auto"/>
        <w:ind w:left="1440" w:right="1440"/>
        <w:rPr>
          <w:sz w:val="26"/>
          <w:szCs w:val="26"/>
        </w:rPr>
      </w:pPr>
    </w:p>
    <w:p w14:paraId="6B071701" w14:textId="46983837" w:rsidR="008A1FA0" w:rsidRPr="00070FED" w:rsidRDefault="008A1FA0" w:rsidP="008A1FA0">
      <w:pPr>
        <w:widowControl/>
        <w:autoSpaceDE w:val="0"/>
        <w:autoSpaceDN w:val="0"/>
        <w:adjustRightInd w:val="0"/>
        <w:spacing w:line="360" w:lineRule="auto"/>
        <w:rPr>
          <w:sz w:val="26"/>
          <w:szCs w:val="26"/>
        </w:rPr>
      </w:pPr>
      <w:r w:rsidRPr="00070FED">
        <w:rPr>
          <w:sz w:val="26"/>
          <w:szCs w:val="26"/>
        </w:rPr>
        <w:t xml:space="preserve">OCA St. 1 at 29-30 (citing </w:t>
      </w:r>
      <w:r w:rsidRPr="00070FED">
        <w:rPr>
          <w:i/>
          <w:iCs/>
          <w:sz w:val="26"/>
          <w:szCs w:val="26"/>
        </w:rPr>
        <w:t>Approaches to Value</w:t>
      </w:r>
      <w:r w:rsidRPr="00070FED">
        <w:rPr>
          <w:sz w:val="26"/>
          <w:szCs w:val="26"/>
        </w:rPr>
        <w:t>. American Society of Appraisers accessed March 5, 2020,</w:t>
      </w:r>
      <w:r w:rsidR="00162B6C" w:rsidRPr="00070FED">
        <w:rPr>
          <w:sz w:val="26"/>
          <w:szCs w:val="26"/>
        </w:rPr>
        <w:t xml:space="preserve"> </w:t>
      </w:r>
      <w:hyperlink r:id="rId17" w:history="1">
        <w:r w:rsidR="00162B6C" w:rsidRPr="00070FED">
          <w:rPr>
            <w:rStyle w:val="Hyperlink"/>
            <w:sz w:val="26"/>
            <w:szCs w:val="26"/>
          </w:rPr>
          <w:t>http://www.appraisers.org/Disciplines/Personal-Property/pp-appraiser-resources/approaches-to-value</w:t>
        </w:r>
      </w:hyperlink>
      <w:r w:rsidR="00162B6C" w:rsidRPr="00070FED">
        <w:rPr>
          <w:sz w:val="26"/>
          <w:szCs w:val="26"/>
        </w:rPr>
        <w:t xml:space="preserve">).  </w:t>
      </w:r>
    </w:p>
    <w:p w14:paraId="2BA30579" w14:textId="77777777" w:rsidR="008D604A" w:rsidRDefault="008D604A" w:rsidP="008A1FA0">
      <w:pPr>
        <w:widowControl/>
        <w:autoSpaceDE w:val="0"/>
        <w:autoSpaceDN w:val="0"/>
        <w:adjustRightInd w:val="0"/>
        <w:spacing w:line="360" w:lineRule="auto"/>
        <w:rPr>
          <w:sz w:val="26"/>
          <w:szCs w:val="26"/>
        </w:rPr>
      </w:pPr>
    </w:p>
    <w:p w14:paraId="1F064A88" w14:textId="341C61F9" w:rsidR="00BB7F5B" w:rsidRDefault="00DE607D" w:rsidP="00BB7F5B">
      <w:pPr>
        <w:widowControl/>
        <w:autoSpaceDE w:val="0"/>
        <w:autoSpaceDN w:val="0"/>
        <w:adjustRightInd w:val="0"/>
        <w:spacing w:line="360" w:lineRule="auto"/>
        <w:ind w:firstLine="1440"/>
        <w:rPr>
          <w:sz w:val="26"/>
          <w:szCs w:val="26"/>
        </w:rPr>
      </w:pPr>
      <w:r>
        <w:rPr>
          <w:sz w:val="26"/>
          <w:szCs w:val="26"/>
        </w:rPr>
        <w:t xml:space="preserve">There are two commonly used methods of the </w:t>
      </w:r>
      <w:r w:rsidR="00B90BF9">
        <w:rPr>
          <w:sz w:val="26"/>
          <w:szCs w:val="26"/>
        </w:rPr>
        <w:t>I</w:t>
      </w:r>
      <w:r>
        <w:rPr>
          <w:sz w:val="26"/>
          <w:szCs w:val="26"/>
        </w:rPr>
        <w:t xml:space="preserve">ncome </w:t>
      </w:r>
      <w:r w:rsidR="00B90BF9">
        <w:rPr>
          <w:sz w:val="26"/>
          <w:szCs w:val="26"/>
        </w:rPr>
        <w:t>A</w:t>
      </w:r>
      <w:r>
        <w:rPr>
          <w:sz w:val="26"/>
          <w:szCs w:val="26"/>
        </w:rPr>
        <w:t>pproach</w:t>
      </w:r>
      <w:r w:rsidR="000C605D">
        <w:rPr>
          <w:sz w:val="26"/>
          <w:szCs w:val="26"/>
        </w:rPr>
        <w:t>:</w:t>
      </w:r>
      <w:r w:rsidR="00192C49">
        <w:rPr>
          <w:sz w:val="26"/>
          <w:szCs w:val="26"/>
        </w:rPr>
        <w:t xml:space="preserve"> </w:t>
      </w:r>
      <w:r>
        <w:rPr>
          <w:sz w:val="26"/>
          <w:szCs w:val="26"/>
        </w:rPr>
        <w:t xml:space="preserve"> the</w:t>
      </w:r>
      <w:r w:rsidR="00CD140F">
        <w:rPr>
          <w:sz w:val="26"/>
          <w:szCs w:val="26"/>
        </w:rPr>
        <w:t xml:space="preserve"> </w:t>
      </w:r>
      <w:r>
        <w:rPr>
          <w:sz w:val="26"/>
          <w:szCs w:val="26"/>
        </w:rPr>
        <w:t>DCF approach and the capitalized</w:t>
      </w:r>
      <w:r w:rsidR="00B90BF9">
        <w:rPr>
          <w:sz w:val="26"/>
          <w:szCs w:val="26"/>
        </w:rPr>
        <w:t xml:space="preserve"> in</w:t>
      </w:r>
      <w:r>
        <w:rPr>
          <w:sz w:val="26"/>
          <w:szCs w:val="26"/>
        </w:rPr>
        <w:t xml:space="preserve">come </w:t>
      </w:r>
      <w:r w:rsidR="00B90BF9">
        <w:rPr>
          <w:sz w:val="26"/>
          <w:szCs w:val="26"/>
        </w:rPr>
        <w:t>a</w:t>
      </w:r>
      <w:r>
        <w:rPr>
          <w:sz w:val="26"/>
          <w:szCs w:val="26"/>
        </w:rPr>
        <w:t>pproach.</w:t>
      </w:r>
      <w:r w:rsidR="008D604A">
        <w:rPr>
          <w:sz w:val="26"/>
          <w:szCs w:val="26"/>
        </w:rPr>
        <w:t xml:space="preserve">  </w:t>
      </w:r>
      <w:r w:rsidR="00BB7F5B">
        <w:rPr>
          <w:sz w:val="26"/>
          <w:szCs w:val="26"/>
        </w:rPr>
        <w:t xml:space="preserve">Mr. </w:t>
      </w:r>
      <w:r w:rsidR="00BB7F5B" w:rsidRPr="00BB7F5B">
        <w:rPr>
          <w:sz w:val="26"/>
          <w:szCs w:val="26"/>
        </w:rPr>
        <w:t xml:space="preserve">Smith described the </w:t>
      </w:r>
      <w:r w:rsidR="00B90BF9">
        <w:rPr>
          <w:sz w:val="26"/>
          <w:szCs w:val="26"/>
        </w:rPr>
        <w:t>I</w:t>
      </w:r>
      <w:r w:rsidR="00BB7F5B" w:rsidRPr="00BB7F5B">
        <w:rPr>
          <w:sz w:val="26"/>
          <w:szCs w:val="26"/>
        </w:rPr>
        <w:t xml:space="preserve">ncome </w:t>
      </w:r>
      <w:r w:rsidR="00B90BF9">
        <w:rPr>
          <w:sz w:val="26"/>
          <w:szCs w:val="26"/>
        </w:rPr>
        <w:t>A</w:t>
      </w:r>
      <w:r w:rsidR="00BB7F5B" w:rsidRPr="00BB7F5B">
        <w:rPr>
          <w:sz w:val="26"/>
          <w:szCs w:val="26"/>
        </w:rPr>
        <w:t>pproach models utilized by the UVEs in this</w:t>
      </w:r>
      <w:r w:rsidR="00BB7F5B">
        <w:rPr>
          <w:sz w:val="26"/>
          <w:szCs w:val="26"/>
        </w:rPr>
        <w:t xml:space="preserve"> </w:t>
      </w:r>
      <w:r w:rsidR="00BB7F5B" w:rsidRPr="00BB7F5B">
        <w:rPr>
          <w:sz w:val="26"/>
          <w:szCs w:val="26"/>
        </w:rPr>
        <w:t>proceeding as follows:</w:t>
      </w:r>
    </w:p>
    <w:p w14:paraId="5C6DF7B1" w14:textId="01C41F6A" w:rsidR="00BB7F5B" w:rsidRDefault="00BB7F5B" w:rsidP="005676F3">
      <w:pPr>
        <w:widowControl/>
        <w:autoSpaceDE w:val="0"/>
        <w:autoSpaceDN w:val="0"/>
        <w:adjustRightInd w:val="0"/>
        <w:ind w:firstLine="1440"/>
        <w:rPr>
          <w:sz w:val="26"/>
          <w:szCs w:val="26"/>
        </w:rPr>
      </w:pPr>
    </w:p>
    <w:p w14:paraId="5BF5DE61" w14:textId="0C7772D3" w:rsidR="00BB7F5B" w:rsidRDefault="00FF5F8C" w:rsidP="00FF5F8C">
      <w:pPr>
        <w:widowControl/>
        <w:autoSpaceDE w:val="0"/>
        <w:autoSpaceDN w:val="0"/>
        <w:adjustRightInd w:val="0"/>
        <w:ind w:left="1440" w:right="1440"/>
        <w:rPr>
          <w:sz w:val="26"/>
          <w:szCs w:val="26"/>
        </w:rPr>
      </w:pPr>
      <w:r w:rsidRPr="00FF5F8C">
        <w:rPr>
          <w:sz w:val="26"/>
          <w:szCs w:val="26"/>
        </w:rPr>
        <w:t>The income approach models utilized by both the buyer and seller employ a</w:t>
      </w:r>
      <w:r>
        <w:rPr>
          <w:sz w:val="26"/>
          <w:szCs w:val="26"/>
        </w:rPr>
        <w:t xml:space="preserve"> </w:t>
      </w:r>
      <w:r w:rsidRPr="00FF5F8C">
        <w:rPr>
          <w:sz w:val="26"/>
          <w:szCs w:val="26"/>
        </w:rPr>
        <w:t>discounted cash flow model wherein annual cash flows are projected based upon</w:t>
      </w:r>
      <w:r>
        <w:rPr>
          <w:sz w:val="26"/>
          <w:szCs w:val="26"/>
        </w:rPr>
        <w:t xml:space="preserve"> </w:t>
      </w:r>
      <w:r w:rsidRPr="00FF5F8C">
        <w:rPr>
          <w:sz w:val="26"/>
          <w:szCs w:val="26"/>
        </w:rPr>
        <w:t>forecasted levels of revenues, cash O&amp;M</w:t>
      </w:r>
      <w:r w:rsidR="00F71546">
        <w:rPr>
          <w:sz w:val="26"/>
          <w:szCs w:val="26"/>
        </w:rPr>
        <w:t xml:space="preserve"> [Operation and Maintenance]</w:t>
      </w:r>
      <w:r w:rsidRPr="00FF5F8C">
        <w:rPr>
          <w:sz w:val="26"/>
          <w:szCs w:val="26"/>
        </w:rPr>
        <w:t xml:space="preserve"> expenses, income taxes, capital</w:t>
      </w:r>
      <w:r>
        <w:rPr>
          <w:sz w:val="26"/>
          <w:szCs w:val="26"/>
        </w:rPr>
        <w:t xml:space="preserve"> </w:t>
      </w:r>
      <w:r w:rsidRPr="00FF5F8C">
        <w:rPr>
          <w:sz w:val="26"/>
          <w:szCs w:val="26"/>
        </w:rPr>
        <w:t xml:space="preserve">expenditures and changes in working capital. </w:t>
      </w:r>
      <w:r>
        <w:rPr>
          <w:sz w:val="26"/>
          <w:szCs w:val="26"/>
        </w:rPr>
        <w:t xml:space="preserve"> </w:t>
      </w:r>
      <w:r w:rsidRPr="00FF5F8C">
        <w:rPr>
          <w:sz w:val="26"/>
          <w:szCs w:val="26"/>
        </w:rPr>
        <w:t>These annual cash flows are modeled</w:t>
      </w:r>
      <w:r>
        <w:rPr>
          <w:sz w:val="26"/>
          <w:szCs w:val="26"/>
        </w:rPr>
        <w:t xml:space="preserve"> </w:t>
      </w:r>
      <w:r w:rsidRPr="00FF5F8C">
        <w:rPr>
          <w:sz w:val="26"/>
          <w:szCs w:val="26"/>
        </w:rPr>
        <w:t>for a set number of years into the future and then a terminal value is added to the</w:t>
      </w:r>
      <w:r>
        <w:rPr>
          <w:sz w:val="26"/>
          <w:szCs w:val="26"/>
        </w:rPr>
        <w:t xml:space="preserve"> </w:t>
      </w:r>
      <w:r w:rsidRPr="00FF5F8C">
        <w:rPr>
          <w:sz w:val="26"/>
          <w:szCs w:val="26"/>
        </w:rPr>
        <w:t>previous discounted annual cash flows as a measure of the expected cash flows in</w:t>
      </w:r>
      <w:r>
        <w:rPr>
          <w:sz w:val="26"/>
          <w:szCs w:val="26"/>
        </w:rPr>
        <w:t xml:space="preserve"> </w:t>
      </w:r>
      <w:r w:rsidRPr="00FF5F8C">
        <w:rPr>
          <w:sz w:val="26"/>
          <w:szCs w:val="26"/>
        </w:rPr>
        <w:t>perpetuity.</w:t>
      </w:r>
    </w:p>
    <w:p w14:paraId="18049386" w14:textId="37B2931D" w:rsidR="00BB7F5B" w:rsidRDefault="00BB7F5B" w:rsidP="008A1FA0">
      <w:pPr>
        <w:widowControl/>
        <w:autoSpaceDE w:val="0"/>
        <w:autoSpaceDN w:val="0"/>
        <w:adjustRightInd w:val="0"/>
        <w:spacing w:line="360" w:lineRule="auto"/>
        <w:rPr>
          <w:sz w:val="26"/>
          <w:szCs w:val="26"/>
        </w:rPr>
      </w:pPr>
    </w:p>
    <w:p w14:paraId="58C2A13E" w14:textId="15EFD127" w:rsidR="00BB7F5B" w:rsidRDefault="00FF5F8C" w:rsidP="008A1FA0">
      <w:pPr>
        <w:widowControl/>
        <w:autoSpaceDE w:val="0"/>
        <w:autoSpaceDN w:val="0"/>
        <w:adjustRightInd w:val="0"/>
        <w:spacing w:line="360" w:lineRule="auto"/>
        <w:rPr>
          <w:sz w:val="26"/>
          <w:szCs w:val="26"/>
        </w:rPr>
      </w:pPr>
      <w:r>
        <w:rPr>
          <w:sz w:val="26"/>
          <w:szCs w:val="26"/>
        </w:rPr>
        <w:t>OCA St. 1 at 30-31.</w:t>
      </w:r>
    </w:p>
    <w:p w14:paraId="2C379498" w14:textId="69306CF8" w:rsidR="0043391C" w:rsidRDefault="0043391C" w:rsidP="008A1FA0">
      <w:pPr>
        <w:widowControl/>
        <w:autoSpaceDE w:val="0"/>
        <w:autoSpaceDN w:val="0"/>
        <w:adjustRightInd w:val="0"/>
        <w:spacing w:line="360" w:lineRule="auto"/>
        <w:rPr>
          <w:sz w:val="26"/>
          <w:szCs w:val="26"/>
        </w:rPr>
      </w:pPr>
    </w:p>
    <w:p w14:paraId="6486A844" w14:textId="228EBC25" w:rsidR="007137A8" w:rsidRPr="007137A8" w:rsidRDefault="007137A8" w:rsidP="007137A8">
      <w:pPr>
        <w:widowControl/>
        <w:autoSpaceDE w:val="0"/>
        <w:autoSpaceDN w:val="0"/>
        <w:adjustRightInd w:val="0"/>
        <w:spacing w:line="360" w:lineRule="auto"/>
        <w:ind w:firstLine="1440"/>
        <w:rPr>
          <w:sz w:val="26"/>
          <w:szCs w:val="26"/>
        </w:rPr>
      </w:pPr>
      <w:r w:rsidRPr="007137A8">
        <w:rPr>
          <w:sz w:val="26"/>
          <w:szCs w:val="26"/>
        </w:rPr>
        <w:t>Gannett Fleming’s DCF methods use two different assumptions for LMT system operations over the next twenty-four years:</w:t>
      </w:r>
      <w:r w:rsidR="00192C49">
        <w:rPr>
          <w:sz w:val="26"/>
          <w:szCs w:val="26"/>
        </w:rPr>
        <w:t xml:space="preserve"> </w:t>
      </w:r>
      <w:r w:rsidRPr="007137A8">
        <w:rPr>
          <w:sz w:val="26"/>
          <w:szCs w:val="26"/>
        </w:rPr>
        <w:t xml:space="preserve"> (1) a municipal-owned (MUNI)</w:t>
      </w:r>
      <w:r>
        <w:rPr>
          <w:sz w:val="26"/>
          <w:szCs w:val="26"/>
        </w:rPr>
        <w:t xml:space="preserve"> </w:t>
      </w:r>
      <w:r w:rsidRPr="007137A8">
        <w:rPr>
          <w:sz w:val="26"/>
          <w:szCs w:val="26"/>
        </w:rPr>
        <w:t>scenario;</w:t>
      </w:r>
      <w:r w:rsidRPr="007137A8">
        <w:rPr>
          <w:sz w:val="26"/>
          <w:szCs w:val="26"/>
          <w:vertAlign w:val="superscript"/>
        </w:rPr>
        <w:footnoteReference w:id="22"/>
      </w:r>
      <w:r w:rsidRPr="007137A8">
        <w:rPr>
          <w:sz w:val="26"/>
          <w:szCs w:val="26"/>
        </w:rPr>
        <w:t xml:space="preserve"> and (2) an investor-owned utility (IOU) scenar</w:t>
      </w:r>
      <w:r>
        <w:rPr>
          <w:sz w:val="26"/>
          <w:szCs w:val="26"/>
        </w:rPr>
        <w:t>io</w:t>
      </w:r>
      <w:r w:rsidRPr="007137A8">
        <w:rPr>
          <w:sz w:val="26"/>
          <w:szCs w:val="26"/>
        </w:rPr>
        <w:t>.</w:t>
      </w:r>
      <w:r w:rsidRPr="007137A8">
        <w:rPr>
          <w:sz w:val="26"/>
          <w:szCs w:val="26"/>
          <w:vertAlign w:val="superscript"/>
        </w:rPr>
        <w:footnoteReference w:id="23"/>
      </w:r>
      <w:r w:rsidRPr="007137A8">
        <w:rPr>
          <w:sz w:val="26"/>
          <w:szCs w:val="26"/>
        </w:rPr>
        <w:t xml:space="preserve"> </w:t>
      </w:r>
    </w:p>
    <w:p w14:paraId="1CF23610" w14:textId="77777777" w:rsidR="007137A8" w:rsidRPr="007137A8" w:rsidRDefault="007137A8" w:rsidP="007137A8">
      <w:pPr>
        <w:widowControl/>
        <w:autoSpaceDE w:val="0"/>
        <w:autoSpaceDN w:val="0"/>
        <w:adjustRightInd w:val="0"/>
        <w:spacing w:line="360" w:lineRule="auto"/>
        <w:rPr>
          <w:sz w:val="26"/>
          <w:szCs w:val="26"/>
        </w:rPr>
      </w:pPr>
    </w:p>
    <w:p w14:paraId="1310B2DF" w14:textId="7633A36F" w:rsidR="007137A8" w:rsidRPr="007137A8" w:rsidRDefault="007137A8" w:rsidP="007137A8">
      <w:pPr>
        <w:widowControl/>
        <w:autoSpaceDE w:val="0"/>
        <w:autoSpaceDN w:val="0"/>
        <w:adjustRightInd w:val="0"/>
        <w:spacing w:line="360" w:lineRule="auto"/>
        <w:ind w:firstLine="1440"/>
        <w:rPr>
          <w:sz w:val="26"/>
          <w:szCs w:val="26"/>
        </w:rPr>
      </w:pPr>
      <w:r w:rsidRPr="007137A8">
        <w:rPr>
          <w:sz w:val="26"/>
          <w:szCs w:val="26"/>
        </w:rPr>
        <w:t>Under the MUNI ownership scenario, the results of the Capitalization DCF show</w:t>
      </w:r>
      <w:r w:rsidR="0088338C">
        <w:rPr>
          <w:sz w:val="26"/>
          <w:szCs w:val="26"/>
        </w:rPr>
        <w:t xml:space="preserve"> a</w:t>
      </w:r>
      <w:r w:rsidRPr="007137A8">
        <w:rPr>
          <w:sz w:val="26"/>
          <w:szCs w:val="26"/>
        </w:rPr>
        <w:t xml:space="preserve"> range of value for the Township’s system of $59.0 million to $60.9 million, and the results of the Market Multiple DCF show a value of $57.1 million.  </w:t>
      </w:r>
    </w:p>
    <w:p w14:paraId="02AACB30" w14:textId="77777777" w:rsidR="007137A8" w:rsidRPr="007137A8" w:rsidRDefault="007137A8" w:rsidP="007137A8">
      <w:pPr>
        <w:widowControl/>
        <w:autoSpaceDE w:val="0"/>
        <w:autoSpaceDN w:val="0"/>
        <w:adjustRightInd w:val="0"/>
        <w:spacing w:line="360" w:lineRule="auto"/>
        <w:rPr>
          <w:sz w:val="26"/>
          <w:szCs w:val="26"/>
        </w:rPr>
      </w:pPr>
    </w:p>
    <w:p w14:paraId="6D41B06C" w14:textId="77777777" w:rsidR="007137A8" w:rsidRPr="007137A8" w:rsidRDefault="007137A8" w:rsidP="007137A8">
      <w:pPr>
        <w:widowControl/>
        <w:autoSpaceDE w:val="0"/>
        <w:autoSpaceDN w:val="0"/>
        <w:adjustRightInd w:val="0"/>
        <w:spacing w:line="360" w:lineRule="auto"/>
        <w:ind w:firstLine="1440"/>
        <w:rPr>
          <w:sz w:val="26"/>
          <w:szCs w:val="26"/>
        </w:rPr>
      </w:pPr>
      <w:r w:rsidRPr="007137A8">
        <w:rPr>
          <w:sz w:val="26"/>
          <w:szCs w:val="26"/>
        </w:rPr>
        <w:t xml:space="preserve">Under the IOU scenario, results of the Capitalization DCF show a range of value for the Township’s system of $39.0 million to $47.2 million, and the results of the Market Multiple DCF show a range of value of $49.7 million to $58.9 million.  </w:t>
      </w:r>
    </w:p>
    <w:p w14:paraId="0C1A2417" w14:textId="77777777" w:rsidR="007137A8" w:rsidRPr="007137A8" w:rsidRDefault="007137A8" w:rsidP="007137A8">
      <w:pPr>
        <w:widowControl/>
        <w:autoSpaceDE w:val="0"/>
        <w:autoSpaceDN w:val="0"/>
        <w:adjustRightInd w:val="0"/>
        <w:spacing w:line="360" w:lineRule="auto"/>
        <w:rPr>
          <w:sz w:val="26"/>
          <w:szCs w:val="26"/>
        </w:rPr>
      </w:pPr>
    </w:p>
    <w:p w14:paraId="61E72C58" w14:textId="13E5C5FA" w:rsidR="007137A8" w:rsidRPr="007137A8" w:rsidRDefault="007137A8" w:rsidP="007137A8">
      <w:pPr>
        <w:widowControl/>
        <w:autoSpaceDE w:val="0"/>
        <w:autoSpaceDN w:val="0"/>
        <w:adjustRightInd w:val="0"/>
        <w:spacing w:line="360" w:lineRule="auto"/>
        <w:ind w:firstLine="1440"/>
        <w:rPr>
          <w:sz w:val="26"/>
          <w:szCs w:val="26"/>
        </w:rPr>
      </w:pPr>
      <w:r w:rsidRPr="007137A8">
        <w:rPr>
          <w:sz w:val="26"/>
          <w:szCs w:val="26"/>
        </w:rPr>
        <w:t xml:space="preserve">As shown in the following table, the results of Gannett Fleming’s DCF methods based on the MUNI ownership scenario indicated a value of approximately $59.0 million for the Township’s system.  The results of its DCF methods based on the IOU scenario indicated a value of approximately $48.5 million for the Township’s wastewater system.  Collectively, Gannett Fleming’s DCF methods indicate a value of approximately $53.7 million based on the </w:t>
      </w:r>
      <w:r w:rsidR="00B90BF9">
        <w:rPr>
          <w:sz w:val="26"/>
          <w:szCs w:val="26"/>
        </w:rPr>
        <w:t>I</w:t>
      </w:r>
      <w:r w:rsidRPr="007137A8">
        <w:rPr>
          <w:sz w:val="26"/>
          <w:szCs w:val="26"/>
        </w:rPr>
        <w:t xml:space="preserve">ncome </w:t>
      </w:r>
      <w:r w:rsidR="00B90BF9">
        <w:rPr>
          <w:sz w:val="26"/>
          <w:szCs w:val="26"/>
        </w:rPr>
        <w:t>A</w:t>
      </w:r>
      <w:r w:rsidRPr="007137A8">
        <w:rPr>
          <w:sz w:val="26"/>
          <w:szCs w:val="26"/>
        </w:rPr>
        <w:t>pproach.</w:t>
      </w:r>
    </w:p>
    <w:p w14:paraId="7C9D0953" w14:textId="77777777" w:rsidR="007137A8" w:rsidRPr="007137A8" w:rsidRDefault="007137A8" w:rsidP="007137A8">
      <w:pPr>
        <w:widowControl/>
        <w:autoSpaceDE w:val="0"/>
        <w:autoSpaceDN w:val="0"/>
        <w:adjustRightInd w:val="0"/>
        <w:spacing w:line="360" w:lineRule="auto"/>
        <w:rPr>
          <w:sz w:val="26"/>
          <w:szCs w:val="26"/>
        </w:rPr>
      </w:pPr>
    </w:p>
    <w:p w14:paraId="2F7BC1CB" w14:textId="77777777" w:rsidR="007137A8" w:rsidRPr="007137A8" w:rsidRDefault="007137A8" w:rsidP="007137A8">
      <w:pPr>
        <w:widowControl/>
        <w:autoSpaceDE w:val="0"/>
        <w:autoSpaceDN w:val="0"/>
        <w:adjustRightInd w:val="0"/>
        <w:spacing w:line="360" w:lineRule="auto"/>
        <w:rPr>
          <w:sz w:val="26"/>
          <w:szCs w:val="26"/>
        </w:rPr>
      </w:pPr>
      <w:r w:rsidRPr="007137A8">
        <w:rPr>
          <w:noProof/>
          <w:sz w:val="26"/>
          <w:szCs w:val="26"/>
        </w:rPr>
        <w:drawing>
          <wp:inline distT="0" distB="0" distL="0" distR="0" wp14:anchorId="390A49EE" wp14:editId="5AC2F272">
            <wp:extent cx="5810250" cy="3901168"/>
            <wp:effectExtent l="0" t="0" r="0" b="444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2924" cy="3902963"/>
                    </a:xfrm>
                    <a:prstGeom prst="rect">
                      <a:avLst/>
                    </a:prstGeom>
                    <a:noFill/>
                  </pic:spPr>
                </pic:pic>
              </a:graphicData>
            </a:graphic>
          </wp:inline>
        </w:drawing>
      </w:r>
    </w:p>
    <w:p w14:paraId="39C66057" w14:textId="77777777" w:rsidR="007137A8" w:rsidRPr="007137A8" w:rsidRDefault="007137A8" w:rsidP="005676F3">
      <w:pPr>
        <w:widowControl/>
        <w:autoSpaceDE w:val="0"/>
        <w:autoSpaceDN w:val="0"/>
        <w:adjustRightInd w:val="0"/>
        <w:rPr>
          <w:sz w:val="26"/>
          <w:szCs w:val="26"/>
        </w:rPr>
      </w:pPr>
    </w:p>
    <w:p w14:paraId="0A6AAA0C" w14:textId="77777777" w:rsidR="007137A8" w:rsidRPr="007137A8" w:rsidRDefault="007137A8" w:rsidP="007137A8">
      <w:pPr>
        <w:widowControl/>
        <w:autoSpaceDE w:val="0"/>
        <w:autoSpaceDN w:val="0"/>
        <w:adjustRightInd w:val="0"/>
        <w:spacing w:line="360" w:lineRule="auto"/>
        <w:rPr>
          <w:sz w:val="26"/>
          <w:szCs w:val="26"/>
        </w:rPr>
      </w:pPr>
      <w:r w:rsidRPr="007137A8">
        <w:rPr>
          <w:i/>
          <w:iCs/>
          <w:sz w:val="26"/>
          <w:szCs w:val="26"/>
        </w:rPr>
        <w:t>See</w:t>
      </w:r>
      <w:r w:rsidRPr="007137A8">
        <w:rPr>
          <w:sz w:val="26"/>
          <w:szCs w:val="26"/>
        </w:rPr>
        <w:t xml:space="preserve"> OCA Exh. RCS-5.  </w:t>
      </w:r>
    </w:p>
    <w:p w14:paraId="01D14B40" w14:textId="554091F8" w:rsidR="007137A8" w:rsidRDefault="007137A8" w:rsidP="008A1FA0">
      <w:pPr>
        <w:widowControl/>
        <w:autoSpaceDE w:val="0"/>
        <w:autoSpaceDN w:val="0"/>
        <w:adjustRightInd w:val="0"/>
        <w:spacing w:line="360" w:lineRule="auto"/>
        <w:rPr>
          <w:sz w:val="26"/>
          <w:szCs w:val="26"/>
        </w:rPr>
      </w:pPr>
    </w:p>
    <w:p w14:paraId="36A2D41A" w14:textId="63DA2209" w:rsidR="006929A4" w:rsidRDefault="00DE74F0" w:rsidP="006929A4">
      <w:pPr>
        <w:widowControl/>
        <w:autoSpaceDE w:val="0"/>
        <w:autoSpaceDN w:val="0"/>
        <w:adjustRightInd w:val="0"/>
        <w:spacing w:line="360" w:lineRule="auto"/>
        <w:ind w:firstLine="1440"/>
        <w:rPr>
          <w:sz w:val="26"/>
          <w:szCs w:val="26"/>
        </w:rPr>
      </w:pPr>
      <w:r>
        <w:rPr>
          <w:sz w:val="26"/>
          <w:szCs w:val="26"/>
        </w:rPr>
        <w:t xml:space="preserve">The </w:t>
      </w:r>
      <w:r w:rsidR="00B90BF9">
        <w:rPr>
          <w:sz w:val="26"/>
          <w:szCs w:val="26"/>
        </w:rPr>
        <w:t>I</w:t>
      </w:r>
      <w:r>
        <w:rPr>
          <w:sz w:val="26"/>
          <w:szCs w:val="26"/>
        </w:rPr>
        <w:t xml:space="preserve">ncome </w:t>
      </w:r>
      <w:r w:rsidR="00B90BF9">
        <w:rPr>
          <w:sz w:val="26"/>
          <w:szCs w:val="26"/>
        </w:rPr>
        <w:t>A</w:t>
      </w:r>
      <w:r>
        <w:rPr>
          <w:sz w:val="26"/>
          <w:szCs w:val="26"/>
        </w:rPr>
        <w:t>pproach analysis presented by the Township’s witness, Mr.</w:t>
      </w:r>
      <w:r w:rsidR="00043BE0">
        <w:rPr>
          <w:sz w:val="26"/>
          <w:szCs w:val="26"/>
        </w:rPr>
        <w:t> </w:t>
      </w:r>
      <w:r>
        <w:rPr>
          <w:sz w:val="26"/>
          <w:szCs w:val="26"/>
        </w:rPr>
        <w:t>Weinert from AUS, also utilized the DCF technique</w:t>
      </w:r>
      <w:r w:rsidR="00B9594B">
        <w:rPr>
          <w:sz w:val="26"/>
          <w:szCs w:val="26"/>
        </w:rPr>
        <w:t xml:space="preserve">.  AUS’ income indicator of value was set equal to the sum of the present value of the projected cash flows over </w:t>
      </w:r>
      <w:r w:rsidR="000B6F58">
        <w:rPr>
          <w:sz w:val="26"/>
          <w:szCs w:val="26"/>
        </w:rPr>
        <w:t>nineteen</w:t>
      </w:r>
      <w:r w:rsidR="00B9594B">
        <w:rPr>
          <w:sz w:val="26"/>
          <w:szCs w:val="26"/>
        </w:rPr>
        <w:t xml:space="preserve"> period</w:t>
      </w:r>
      <w:r w:rsidR="006D35AB">
        <w:rPr>
          <w:sz w:val="26"/>
          <w:szCs w:val="26"/>
        </w:rPr>
        <w:t xml:space="preserve">s, including the present value of period twenty cash flows as if it will </w:t>
      </w:r>
      <w:proofErr w:type="gramStart"/>
      <w:r w:rsidR="006D35AB">
        <w:rPr>
          <w:sz w:val="26"/>
          <w:szCs w:val="26"/>
        </w:rPr>
        <w:t>continue on</w:t>
      </w:r>
      <w:proofErr w:type="gramEnd"/>
      <w:r w:rsidR="006D35AB">
        <w:rPr>
          <w:sz w:val="26"/>
          <w:szCs w:val="26"/>
        </w:rPr>
        <w:t xml:space="preserve"> indefinitely for future per</w:t>
      </w:r>
      <w:r w:rsidR="006D35AB" w:rsidRPr="0088338C">
        <w:rPr>
          <w:sz w:val="26"/>
          <w:szCs w:val="26"/>
        </w:rPr>
        <w:t>iods</w:t>
      </w:r>
      <w:r w:rsidR="000B6F58" w:rsidRPr="0088338C">
        <w:rPr>
          <w:sz w:val="26"/>
          <w:szCs w:val="26"/>
        </w:rPr>
        <w:t>.</w:t>
      </w:r>
      <w:r w:rsidR="006D35AB" w:rsidRPr="0088338C">
        <w:rPr>
          <w:rFonts w:eastAsiaTheme="minorHAnsi"/>
          <w:sz w:val="26"/>
          <w:szCs w:val="26"/>
        </w:rPr>
        <w:t xml:space="preserve">  </w:t>
      </w:r>
      <w:r w:rsidR="0088338C">
        <w:rPr>
          <w:rFonts w:eastAsiaTheme="minorHAnsi"/>
          <w:sz w:val="26"/>
          <w:szCs w:val="26"/>
        </w:rPr>
        <w:t xml:space="preserve">The </w:t>
      </w:r>
      <w:r w:rsidR="006D35AB" w:rsidRPr="0088338C">
        <w:rPr>
          <w:rFonts w:eastAsiaTheme="minorHAnsi"/>
          <w:sz w:val="26"/>
          <w:szCs w:val="26"/>
        </w:rPr>
        <w:t>AUS DCF analysis</w:t>
      </w:r>
      <w:r w:rsidR="006D35AB">
        <w:rPr>
          <w:rFonts w:eastAsiaTheme="minorHAnsi"/>
          <w:sz w:val="26"/>
          <w:szCs w:val="26"/>
        </w:rPr>
        <w:t xml:space="preserve"> indic</w:t>
      </w:r>
      <w:r w:rsidR="000C605D">
        <w:rPr>
          <w:rFonts w:eastAsiaTheme="minorHAnsi"/>
          <w:sz w:val="26"/>
          <w:szCs w:val="26"/>
        </w:rPr>
        <w:t>a</w:t>
      </w:r>
      <w:r w:rsidR="006D35AB">
        <w:rPr>
          <w:rFonts w:eastAsiaTheme="minorHAnsi"/>
          <w:sz w:val="26"/>
          <w:szCs w:val="26"/>
        </w:rPr>
        <w:t>t</w:t>
      </w:r>
      <w:r w:rsidR="006929A4">
        <w:rPr>
          <w:rFonts w:eastAsiaTheme="minorHAnsi"/>
          <w:sz w:val="26"/>
          <w:szCs w:val="26"/>
        </w:rPr>
        <w:t xml:space="preserve">ed a value of approximately $57.9 million.  </w:t>
      </w:r>
      <w:r w:rsidR="00B90BF9">
        <w:rPr>
          <w:sz w:val="26"/>
          <w:szCs w:val="26"/>
        </w:rPr>
        <w:t>Application</w:t>
      </w:r>
      <w:r w:rsidR="00C95F5B" w:rsidRPr="00C95F5B">
        <w:rPr>
          <w:sz w:val="26"/>
          <w:szCs w:val="26"/>
        </w:rPr>
        <w:t xml:space="preserve"> Exh. R, Narrative Report at 9.</w:t>
      </w:r>
    </w:p>
    <w:p w14:paraId="28DA023A" w14:textId="77777777" w:rsidR="004B056E" w:rsidRPr="006929A4" w:rsidRDefault="004B056E" w:rsidP="006929A4">
      <w:pPr>
        <w:widowControl/>
        <w:autoSpaceDE w:val="0"/>
        <w:autoSpaceDN w:val="0"/>
        <w:adjustRightInd w:val="0"/>
        <w:spacing w:line="360" w:lineRule="auto"/>
        <w:ind w:firstLine="1440"/>
        <w:rPr>
          <w:sz w:val="26"/>
          <w:szCs w:val="26"/>
        </w:rPr>
      </w:pPr>
    </w:p>
    <w:p w14:paraId="6A2760A4" w14:textId="51F543E5" w:rsidR="0043391C" w:rsidRDefault="006929A4" w:rsidP="006929A4">
      <w:pPr>
        <w:widowControl/>
        <w:autoSpaceDE w:val="0"/>
        <w:autoSpaceDN w:val="0"/>
        <w:adjustRightInd w:val="0"/>
        <w:spacing w:line="360" w:lineRule="auto"/>
        <w:ind w:firstLine="1440"/>
        <w:rPr>
          <w:sz w:val="26"/>
          <w:szCs w:val="26"/>
        </w:rPr>
      </w:pPr>
      <w:r>
        <w:rPr>
          <w:sz w:val="26"/>
          <w:szCs w:val="26"/>
        </w:rPr>
        <w:t>In summary</w:t>
      </w:r>
      <w:r w:rsidR="0043391C">
        <w:rPr>
          <w:sz w:val="26"/>
          <w:szCs w:val="26"/>
        </w:rPr>
        <w:t>, Gannett Fleming’s</w:t>
      </w:r>
      <w:r w:rsidR="00B90BF9">
        <w:rPr>
          <w:sz w:val="26"/>
          <w:szCs w:val="26"/>
        </w:rPr>
        <w:t xml:space="preserve"> I</w:t>
      </w:r>
      <w:r w:rsidR="0043391C">
        <w:rPr>
          <w:sz w:val="26"/>
          <w:szCs w:val="26"/>
        </w:rPr>
        <w:t xml:space="preserve">ncome </w:t>
      </w:r>
      <w:r w:rsidR="00B90BF9">
        <w:rPr>
          <w:sz w:val="26"/>
          <w:szCs w:val="26"/>
        </w:rPr>
        <w:t>A</w:t>
      </w:r>
      <w:r w:rsidR="0043391C">
        <w:rPr>
          <w:sz w:val="26"/>
          <w:szCs w:val="26"/>
        </w:rPr>
        <w:t>pproach using the DCF method</w:t>
      </w:r>
      <w:r w:rsidR="00405159">
        <w:rPr>
          <w:sz w:val="26"/>
          <w:szCs w:val="26"/>
        </w:rPr>
        <w:t>s</w:t>
      </w:r>
      <w:r w:rsidR="0043391C">
        <w:rPr>
          <w:sz w:val="26"/>
          <w:szCs w:val="26"/>
        </w:rPr>
        <w:t xml:space="preserve"> </w:t>
      </w:r>
      <w:r w:rsidR="00636E72">
        <w:rPr>
          <w:sz w:val="26"/>
          <w:szCs w:val="26"/>
        </w:rPr>
        <w:t>resulted in an estimated fair market</w:t>
      </w:r>
      <w:r w:rsidR="0043391C">
        <w:rPr>
          <w:sz w:val="26"/>
          <w:szCs w:val="26"/>
        </w:rPr>
        <w:t xml:space="preserve"> value of $53,741,785 for the LMT system.</w:t>
      </w:r>
      <w:r w:rsidR="00A7181E">
        <w:rPr>
          <w:rStyle w:val="FootnoteReference"/>
          <w:sz w:val="26"/>
          <w:szCs w:val="26"/>
        </w:rPr>
        <w:footnoteReference w:id="24"/>
      </w:r>
      <w:r w:rsidR="003263B7">
        <w:rPr>
          <w:sz w:val="26"/>
          <w:szCs w:val="26"/>
        </w:rPr>
        <w:t xml:space="preserve">  The AUS </w:t>
      </w:r>
      <w:r w:rsidR="00B90BF9">
        <w:rPr>
          <w:sz w:val="26"/>
          <w:szCs w:val="26"/>
        </w:rPr>
        <w:t>I</w:t>
      </w:r>
      <w:r w:rsidR="003263B7">
        <w:rPr>
          <w:sz w:val="26"/>
          <w:szCs w:val="26"/>
        </w:rPr>
        <w:t xml:space="preserve">ncome </w:t>
      </w:r>
      <w:r w:rsidR="00B90BF9">
        <w:rPr>
          <w:sz w:val="26"/>
          <w:szCs w:val="26"/>
        </w:rPr>
        <w:t>a</w:t>
      </w:r>
      <w:r w:rsidR="003263B7">
        <w:rPr>
          <w:sz w:val="26"/>
          <w:szCs w:val="26"/>
        </w:rPr>
        <w:t>pproach indicated a value of $57,872,959 for the LMT system.</w:t>
      </w:r>
    </w:p>
    <w:p w14:paraId="7BFE698B" w14:textId="77777777" w:rsidR="00B30A14" w:rsidRDefault="00B30A14" w:rsidP="006929A4">
      <w:pPr>
        <w:widowControl/>
        <w:autoSpaceDE w:val="0"/>
        <w:autoSpaceDN w:val="0"/>
        <w:adjustRightInd w:val="0"/>
        <w:spacing w:line="360" w:lineRule="auto"/>
        <w:rPr>
          <w:sz w:val="26"/>
          <w:szCs w:val="26"/>
        </w:rPr>
      </w:pPr>
    </w:p>
    <w:p w14:paraId="427EAB24" w14:textId="0B64D765" w:rsidR="00E30927" w:rsidRDefault="00E30927" w:rsidP="0053240F">
      <w:pPr>
        <w:pStyle w:val="Heading4"/>
        <w:keepNext w:val="0"/>
        <w:keepLines w:val="0"/>
        <w:numPr>
          <w:ilvl w:val="0"/>
          <w:numId w:val="12"/>
        </w:numPr>
        <w:ind w:left="2160" w:hanging="720"/>
      </w:pPr>
      <w:bookmarkStart w:id="58" w:name="_Toc90970730"/>
      <w:r>
        <w:t>Positions of the Parties</w:t>
      </w:r>
      <w:bookmarkEnd w:id="58"/>
    </w:p>
    <w:p w14:paraId="36A7FB5C" w14:textId="77777777" w:rsidR="00E30927" w:rsidRDefault="00E30927" w:rsidP="008A1FA0">
      <w:pPr>
        <w:widowControl/>
        <w:autoSpaceDE w:val="0"/>
        <w:autoSpaceDN w:val="0"/>
        <w:adjustRightInd w:val="0"/>
        <w:spacing w:line="360" w:lineRule="auto"/>
        <w:rPr>
          <w:sz w:val="26"/>
          <w:szCs w:val="26"/>
        </w:rPr>
      </w:pPr>
    </w:p>
    <w:p w14:paraId="4EEC93C9" w14:textId="5B296CF8" w:rsidR="00AA05A0" w:rsidRDefault="00F32BB7" w:rsidP="00AA05A0">
      <w:pPr>
        <w:widowControl/>
        <w:autoSpaceDE w:val="0"/>
        <w:autoSpaceDN w:val="0"/>
        <w:adjustRightInd w:val="0"/>
        <w:spacing w:line="360" w:lineRule="auto"/>
        <w:ind w:firstLine="1440"/>
        <w:rPr>
          <w:sz w:val="26"/>
          <w:szCs w:val="26"/>
        </w:rPr>
      </w:pPr>
      <w:r>
        <w:rPr>
          <w:sz w:val="26"/>
          <w:szCs w:val="26"/>
        </w:rPr>
        <w:t>As discussed below, t</w:t>
      </w:r>
      <w:r w:rsidR="00AA05A0">
        <w:rPr>
          <w:sz w:val="26"/>
          <w:szCs w:val="26"/>
        </w:rPr>
        <w:t>he OCA argued that the fundamental flaw in both the Gannett Fleming and AUS analyses is</w:t>
      </w:r>
      <w:r w:rsidR="002A5D29">
        <w:rPr>
          <w:sz w:val="26"/>
          <w:szCs w:val="26"/>
        </w:rPr>
        <w:t xml:space="preserve"> in</w:t>
      </w:r>
      <w:r w:rsidR="00AA05A0">
        <w:rPr>
          <w:sz w:val="26"/>
          <w:szCs w:val="26"/>
        </w:rPr>
        <w:t xml:space="preserve"> the calculation of the terminal values for LMT’s wastewater operations.  </w:t>
      </w:r>
      <w:r w:rsidR="00DB14B6">
        <w:rPr>
          <w:sz w:val="26"/>
          <w:szCs w:val="26"/>
        </w:rPr>
        <w:t>Aqua explained the “terminal value” as follows:</w:t>
      </w:r>
    </w:p>
    <w:p w14:paraId="09CBCB3D" w14:textId="6A409031" w:rsidR="00DB14B6" w:rsidRDefault="00DB14B6" w:rsidP="005676F3">
      <w:pPr>
        <w:widowControl/>
        <w:autoSpaceDE w:val="0"/>
        <w:autoSpaceDN w:val="0"/>
        <w:adjustRightInd w:val="0"/>
        <w:ind w:firstLine="1440"/>
        <w:rPr>
          <w:sz w:val="26"/>
          <w:szCs w:val="26"/>
        </w:rPr>
      </w:pPr>
    </w:p>
    <w:p w14:paraId="49E88802" w14:textId="14F4FD97" w:rsidR="00DB14B6" w:rsidRDefault="00DB14B6" w:rsidP="00DB14B6">
      <w:pPr>
        <w:widowControl/>
        <w:autoSpaceDE w:val="0"/>
        <w:autoSpaceDN w:val="0"/>
        <w:adjustRightInd w:val="0"/>
        <w:ind w:left="1440" w:right="1440"/>
        <w:rPr>
          <w:sz w:val="26"/>
          <w:szCs w:val="26"/>
        </w:rPr>
      </w:pPr>
      <w:r w:rsidRPr="00DB14B6">
        <w:rPr>
          <w:sz w:val="26"/>
          <w:szCs w:val="26"/>
        </w:rPr>
        <w:t xml:space="preserve">Simply put, the “terminal value” is a mathematical shortcut to avoid having to show and/or calculate annual Debt Free Net Cash Flows for hundreds of time periods, or hundreds of years.  Within the Discounted Cash Flow analysis, the “terminal value” is simply a point in time in which the growth in annual Debt Free Net Cash Flows changes from multiple growth rates to a constant growth rate.  For example, in our Discounted Cash Flow analysis, the growth rate of annual Debt Free Net Cash Flows during time periods 1 through 24 changes multiple times due to the various general assumptions listed in the Gannett Fleming Appraisal Report.  After </w:t>
      </w:r>
      <w:proofErr w:type="gramStart"/>
      <w:r w:rsidRPr="00DB14B6">
        <w:rPr>
          <w:sz w:val="26"/>
          <w:szCs w:val="26"/>
        </w:rPr>
        <w:t>time period</w:t>
      </w:r>
      <w:proofErr w:type="gramEnd"/>
      <w:r w:rsidRPr="00DB14B6">
        <w:rPr>
          <w:sz w:val="26"/>
          <w:szCs w:val="26"/>
        </w:rPr>
        <w:t xml:space="preserve"> 24, the growth in annual Debt Free Net Cash Flows is a constant growth rate.</w:t>
      </w:r>
      <w:r w:rsidR="000550AB">
        <w:rPr>
          <w:sz w:val="26"/>
          <w:szCs w:val="26"/>
        </w:rPr>
        <w:t xml:space="preserve">  </w:t>
      </w:r>
      <w:r w:rsidRPr="00DB14B6">
        <w:rPr>
          <w:sz w:val="26"/>
          <w:szCs w:val="26"/>
        </w:rPr>
        <w:t>Accordingly, period 24, or year 24, is the “terminal value” year in our DCF method.</w:t>
      </w:r>
    </w:p>
    <w:p w14:paraId="26F77712" w14:textId="2E507C21" w:rsidR="00AA05A0" w:rsidRDefault="00AA05A0" w:rsidP="008A1FA0">
      <w:pPr>
        <w:widowControl/>
        <w:autoSpaceDE w:val="0"/>
        <w:autoSpaceDN w:val="0"/>
        <w:adjustRightInd w:val="0"/>
        <w:spacing w:line="360" w:lineRule="auto"/>
        <w:rPr>
          <w:sz w:val="26"/>
          <w:szCs w:val="26"/>
        </w:rPr>
      </w:pPr>
    </w:p>
    <w:p w14:paraId="60B6DBB9" w14:textId="18EF35F8" w:rsidR="00DB14B6" w:rsidRDefault="00DB14B6" w:rsidP="008A1FA0">
      <w:pPr>
        <w:widowControl/>
        <w:autoSpaceDE w:val="0"/>
        <w:autoSpaceDN w:val="0"/>
        <w:adjustRightInd w:val="0"/>
        <w:spacing w:line="360" w:lineRule="auto"/>
        <w:rPr>
          <w:sz w:val="26"/>
          <w:szCs w:val="26"/>
        </w:rPr>
      </w:pPr>
      <w:r>
        <w:rPr>
          <w:sz w:val="26"/>
          <w:szCs w:val="26"/>
        </w:rPr>
        <w:t xml:space="preserve">Aqua St. 4 at 23-24. </w:t>
      </w:r>
    </w:p>
    <w:p w14:paraId="2BF62AC9" w14:textId="1DD423A2" w:rsidR="00DB14B6" w:rsidRDefault="00DB14B6" w:rsidP="008A1FA0">
      <w:pPr>
        <w:widowControl/>
        <w:autoSpaceDE w:val="0"/>
        <w:autoSpaceDN w:val="0"/>
        <w:adjustRightInd w:val="0"/>
        <w:spacing w:line="360" w:lineRule="auto"/>
        <w:rPr>
          <w:sz w:val="26"/>
          <w:szCs w:val="26"/>
        </w:rPr>
      </w:pPr>
    </w:p>
    <w:p w14:paraId="295BE1D2" w14:textId="3A449A1D" w:rsidR="009E6A59" w:rsidRDefault="009E6A59" w:rsidP="00F71546">
      <w:pPr>
        <w:widowControl/>
        <w:autoSpaceDE w:val="0"/>
        <w:autoSpaceDN w:val="0"/>
        <w:adjustRightInd w:val="0"/>
        <w:spacing w:line="360" w:lineRule="auto"/>
        <w:ind w:firstLine="1440"/>
        <w:rPr>
          <w:sz w:val="26"/>
          <w:szCs w:val="26"/>
        </w:rPr>
      </w:pPr>
      <w:r>
        <w:rPr>
          <w:sz w:val="26"/>
          <w:szCs w:val="26"/>
        </w:rPr>
        <w:t>The OCA noted</w:t>
      </w:r>
      <w:r w:rsidRPr="009E6A59">
        <w:rPr>
          <w:sz w:val="26"/>
          <w:szCs w:val="26"/>
        </w:rPr>
        <w:t xml:space="preserve"> that, in calculating terminal values,</w:t>
      </w:r>
      <w:r>
        <w:rPr>
          <w:sz w:val="26"/>
          <w:szCs w:val="26"/>
        </w:rPr>
        <w:t xml:space="preserve"> </w:t>
      </w:r>
      <w:r w:rsidRPr="009E6A59">
        <w:rPr>
          <w:sz w:val="26"/>
          <w:szCs w:val="26"/>
        </w:rPr>
        <w:t>both UVEs utilized a “capitalization rate” to project future cash flows in perpetuity.</w:t>
      </w:r>
      <w:r w:rsidR="000C605D">
        <w:rPr>
          <w:sz w:val="26"/>
          <w:szCs w:val="26"/>
        </w:rPr>
        <w:t xml:space="preserve">  </w:t>
      </w:r>
      <w:r>
        <w:rPr>
          <w:sz w:val="26"/>
          <w:szCs w:val="26"/>
        </w:rPr>
        <w:t xml:space="preserve">The </w:t>
      </w:r>
      <w:r w:rsidRPr="009E6A59">
        <w:rPr>
          <w:sz w:val="26"/>
          <w:szCs w:val="26"/>
        </w:rPr>
        <w:t>OCA witness</w:t>
      </w:r>
      <w:r>
        <w:rPr>
          <w:sz w:val="26"/>
          <w:szCs w:val="26"/>
        </w:rPr>
        <w:t xml:space="preserve">, Mr. </w:t>
      </w:r>
      <w:r w:rsidRPr="009E6A59">
        <w:rPr>
          <w:sz w:val="26"/>
          <w:szCs w:val="26"/>
        </w:rPr>
        <w:t>Smith testified as follows:</w:t>
      </w:r>
    </w:p>
    <w:p w14:paraId="74D926C5" w14:textId="77777777" w:rsidR="005676F3" w:rsidRDefault="005676F3" w:rsidP="005676F3">
      <w:pPr>
        <w:widowControl/>
        <w:autoSpaceDE w:val="0"/>
        <w:autoSpaceDN w:val="0"/>
        <w:adjustRightInd w:val="0"/>
        <w:ind w:firstLine="1440"/>
        <w:rPr>
          <w:sz w:val="26"/>
          <w:szCs w:val="26"/>
        </w:rPr>
      </w:pPr>
    </w:p>
    <w:p w14:paraId="3AF73DE7" w14:textId="39F295A7" w:rsidR="009E6A59" w:rsidRDefault="009E6A59" w:rsidP="009E6A59">
      <w:pPr>
        <w:widowControl/>
        <w:tabs>
          <w:tab w:val="left" w:pos="1440"/>
        </w:tabs>
        <w:autoSpaceDE w:val="0"/>
        <w:autoSpaceDN w:val="0"/>
        <w:adjustRightInd w:val="0"/>
        <w:ind w:left="1440" w:right="1440"/>
        <w:rPr>
          <w:sz w:val="26"/>
          <w:szCs w:val="26"/>
        </w:rPr>
      </w:pPr>
      <w:r w:rsidRPr="009E6A59">
        <w:rPr>
          <w:sz w:val="26"/>
          <w:szCs w:val="26"/>
        </w:rPr>
        <w:t>In calculating the terminal value, both UVEs utilized what is known as a</w:t>
      </w:r>
      <w:r>
        <w:rPr>
          <w:sz w:val="26"/>
          <w:szCs w:val="26"/>
        </w:rPr>
        <w:t xml:space="preserve"> </w:t>
      </w:r>
      <w:r w:rsidRPr="009E6A59">
        <w:rPr>
          <w:sz w:val="26"/>
          <w:szCs w:val="26"/>
        </w:rPr>
        <w:t xml:space="preserve">“capitalization rate” to project future cash flows in perpetuity. </w:t>
      </w:r>
      <w:r>
        <w:rPr>
          <w:sz w:val="26"/>
          <w:szCs w:val="26"/>
        </w:rPr>
        <w:t xml:space="preserve"> </w:t>
      </w:r>
      <w:r w:rsidRPr="009E6A59">
        <w:rPr>
          <w:sz w:val="26"/>
          <w:szCs w:val="26"/>
        </w:rPr>
        <w:t>In simple terms,</w:t>
      </w:r>
      <w:r>
        <w:rPr>
          <w:sz w:val="26"/>
          <w:szCs w:val="26"/>
        </w:rPr>
        <w:t xml:space="preserve"> </w:t>
      </w:r>
      <w:r w:rsidRPr="009E6A59">
        <w:rPr>
          <w:sz w:val="26"/>
          <w:szCs w:val="26"/>
        </w:rPr>
        <w:t>each UVE calculated a terminal value (in nominal terms) by applying the projected</w:t>
      </w:r>
      <w:r>
        <w:rPr>
          <w:sz w:val="26"/>
          <w:szCs w:val="26"/>
        </w:rPr>
        <w:t xml:space="preserve"> </w:t>
      </w:r>
      <w:r w:rsidRPr="009E6A59">
        <w:rPr>
          <w:sz w:val="26"/>
          <w:szCs w:val="26"/>
        </w:rPr>
        <w:t>cash flow in the last year of the model to a capitalization rate. Specifically, the last</w:t>
      </w:r>
      <w:r>
        <w:rPr>
          <w:sz w:val="26"/>
          <w:szCs w:val="26"/>
        </w:rPr>
        <w:t xml:space="preserve"> </w:t>
      </w:r>
      <w:r w:rsidRPr="009E6A59">
        <w:rPr>
          <w:sz w:val="26"/>
          <w:szCs w:val="26"/>
        </w:rPr>
        <w:t>model year’s annual cash flow is multiplied by 1, and then divided by the calculated</w:t>
      </w:r>
      <w:r>
        <w:rPr>
          <w:sz w:val="26"/>
          <w:szCs w:val="26"/>
        </w:rPr>
        <w:t xml:space="preserve"> </w:t>
      </w:r>
      <w:r w:rsidRPr="009E6A59">
        <w:rPr>
          <w:sz w:val="26"/>
          <w:szCs w:val="26"/>
        </w:rPr>
        <w:t xml:space="preserve">capitalization rate. </w:t>
      </w:r>
      <w:r>
        <w:rPr>
          <w:sz w:val="26"/>
          <w:szCs w:val="26"/>
        </w:rPr>
        <w:t xml:space="preserve"> </w:t>
      </w:r>
      <w:r w:rsidRPr="009E6A59">
        <w:rPr>
          <w:sz w:val="26"/>
          <w:szCs w:val="26"/>
        </w:rPr>
        <w:t>Mathematically, this approach escalates annual cash flows at a</w:t>
      </w:r>
      <w:r>
        <w:rPr>
          <w:sz w:val="26"/>
          <w:szCs w:val="26"/>
        </w:rPr>
        <w:t xml:space="preserve"> </w:t>
      </w:r>
      <w:r w:rsidRPr="009E6A59">
        <w:rPr>
          <w:sz w:val="26"/>
          <w:szCs w:val="26"/>
        </w:rPr>
        <w:t>constant annual growth rate (percent) in perpetuity.</w:t>
      </w:r>
      <w:r>
        <w:rPr>
          <w:sz w:val="26"/>
          <w:szCs w:val="26"/>
        </w:rPr>
        <w:t xml:space="preserve"> </w:t>
      </w:r>
      <w:r w:rsidRPr="009E6A59">
        <w:rPr>
          <w:sz w:val="26"/>
          <w:szCs w:val="26"/>
        </w:rPr>
        <w:t xml:space="preserve"> </w:t>
      </w:r>
      <w:r w:rsidRPr="009E6A59">
        <w:rPr>
          <w:b/>
          <w:bCs/>
          <w:sz w:val="26"/>
          <w:szCs w:val="26"/>
        </w:rPr>
        <w:t>It essentially assumes that</w:t>
      </w:r>
      <w:r>
        <w:rPr>
          <w:sz w:val="26"/>
          <w:szCs w:val="26"/>
        </w:rPr>
        <w:t xml:space="preserve"> </w:t>
      </w:r>
      <w:r w:rsidRPr="009E6A59">
        <w:rPr>
          <w:b/>
          <w:bCs/>
          <w:sz w:val="26"/>
          <w:szCs w:val="26"/>
        </w:rPr>
        <w:t>net cash flows would grow at a constant annual growth rate to infinity.</w:t>
      </w:r>
      <w:r w:rsidR="001C0036">
        <w:rPr>
          <w:b/>
          <w:bCs/>
          <w:sz w:val="26"/>
          <w:szCs w:val="26"/>
        </w:rPr>
        <w:t xml:space="preserve"> </w:t>
      </w:r>
      <w:r w:rsidRPr="009E6A59">
        <w:rPr>
          <w:b/>
          <w:bCs/>
          <w:sz w:val="26"/>
          <w:szCs w:val="26"/>
        </w:rPr>
        <w:t xml:space="preserve"> </w:t>
      </w:r>
      <w:r w:rsidRPr="009E6A59">
        <w:rPr>
          <w:sz w:val="26"/>
          <w:szCs w:val="26"/>
        </w:rPr>
        <w:t>A</w:t>
      </w:r>
      <w:r>
        <w:rPr>
          <w:sz w:val="26"/>
          <w:szCs w:val="26"/>
        </w:rPr>
        <w:t xml:space="preserve"> </w:t>
      </w:r>
      <w:r w:rsidRPr="009E6A59">
        <w:rPr>
          <w:sz w:val="26"/>
          <w:szCs w:val="26"/>
        </w:rPr>
        <w:t>capitalization rate is defined as a firm’s total cost of capital (k) minus its expected</w:t>
      </w:r>
      <w:r>
        <w:rPr>
          <w:sz w:val="26"/>
          <w:szCs w:val="26"/>
        </w:rPr>
        <w:t xml:space="preserve"> </w:t>
      </w:r>
      <w:r w:rsidRPr="009E6A59">
        <w:rPr>
          <w:sz w:val="26"/>
          <w:szCs w:val="26"/>
        </w:rPr>
        <w:t>future annual constant rate of growth (g).</w:t>
      </w:r>
    </w:p>
    <w:p w14:paraId="748FBCDD" w14:textId="1AA8A6B7" w:rsidR="009E6A59" w:rsidRDefault="009E6A59" w:rsidP="008A1FA0">
      <w:pPr>
        <w:widowControl/>
        <w:autoSpaceDE w:val="0"/>
        <w:autoSpaceDN w:val="0"/>
        <w:adjustRightInd w:val="0"/>
        <w:spacing w:line="360" w:lineRule="auto"/>
        <w:rPr>
          <w:sz w:val="26"/>
          <w:szCs w:val="26"/>
        </w:rPr>
      </w:pPr>
    </w:p>
    <w:p w14:paraId="53106809" w14:textId="6D58ABF0" w:rsidR="009E6A59" w:rsidRDefault="009E6A59" w:rsidP="005676F3">
      <w:pPr>
        <w:widowControl/>
        <w:autoSpaceDE w:val="0"/>
        <w:autoSpaceDN w:val="0"/>
        <w:adjustRightInd w:val="0"/>
        <w:spacing w:line="360" w:lineRule="auto"/>
        <w:rPr>
          <w:sz w:val="26"/>
          <w:szCs w:val="26"/>
        </w:rPr>
      </w:pPr>
      <w:r>
        <w:rPr>
          <w:sz w:val="26"/>
          <w:szCs w:val="26"/>
        </w:rPr>
        <w:t>OCA M.B. at 14 (citing OCA St. 1 at 31)</w:t>
      </w:r>
      <w:r w:rsidR="0088338C">
        <w:rPr>
          <w:sz w:val="26"/>
          <w:szCs w:val="26"/>
        </w:rPr>
        <w:t>(emphasis in original)</w:t>
      </w:r>
      <w:r>
        <w:rPr>
          <w:sz w:val="26"/>
          <w:szCs w:val="26"/>
        </w:rPr>
        <w:t>.</w:t>
      </w:r>
    </w:p>
    <w:p w14:paraId="36073CAE" w14:textId="15C21F41" w:rsidR="009E6A59" w:rsidRDefault="009E6A59" w:rsidP="005676F3">
      <w:pPr>
        <w:widowControl/>
        <w:autoSpaceDE w:val="0"/>
        <w:autoSpaceDN w:val="0"/>
        <w:adjustRightInd w:val="0"/>
        <w:spacing w:line="360" w:lineRule="auto"/>
        <w:rPr>
          <w:sz w:val="26"/>
          <w:szCs w:val="26"/>
        </w:rPr>
      </w:pPr>
    </w:p>
    <w:p w14:paraId="32C2694D" w14:textId="737700AF" w:rsidR="00E92248" w:rsidRDefault="00C32F82" w:rsidP="005676F3">
      <w:pPr>
        <w:widowControl/>
        <w:autoSpaceDE w:val="0"/>
        <w:autoSpaceDN w:val="0"/>
        <w:adjustRightInd w:val="0"/>
        <w:spacing w:line="360" w:lineRule="auto"/>
        <w:ind w:firstLine="1440"/>
        <w:rPr>
          <w:sz w:val="26"/>
          <w:szCs w:val="26"/>
        </w:rPr>
      </w:pPr>
      <w:r w:rsidRPr="00C32F82">
        <w:rPr>
          <w:sz w:val="26"/>
          <w:szCs w:val="26"/>
        </w:rPr>
        <w:t>The OCA contended that it is inappropriate to apply a capitalization rate concept to estimate the terminal value of a regulated utility</w:t>
      </w:r>
      <w:r>
        <w:rPr>
          <w:sz w:val="26"/>
          <w:szCs w:val="26"/>
        </w:rPr>
        <w:t>, as was done by the UVEs in this proceeding</w:t>
      </w:r>
      <w:r w:rsidRPr="00C32F82">
        <w:rPr>
          <w:sz w:val="26"/>
          <w:szCs w:val="26"/>
        </w:rPr>
        <w:t xml:space="preserve">.  </w:t>
      </w:r>
      <w:r w:rsidR="00381413">
        <w:rPr>
          <w:sz w:val="26"/>
          <w:szCs w:val="26"/>
        </w:rPr>
        <w:t>Rather</w:t>
      </w:r>
      <w:r w:rsidR="00946075">
        <w:rPr>
          <w:sz w:val="26"/>
          <w:szCs w:val="26"/>
        </w:rPr>
        <w:t>,</w:t>
      </w:r>
      <w:r w:rsidR="00381413">
        <w:rPr>
          <w:sz w:val="26"/>
          <w:szCs w:val="26"/>
        </w:rPr>
        <w:t xml:space="preserve"> t</w:t>
      </w:r>
      <w:r w:rsidR="001D65AE" w:rsidRPr="00C32F82">
        <w:rPr>
          <w:sz w:val="26"/>
          <w:szCs w:val="26"/>
        </w:rPr>
        <w:t xml:space="preserve">he </w:t>
      </w:r>
      <w:bookmarkStart w:id="59" w:name="_Hlk89864660"/>
      <w:r w:rsidR="001D65AE" w:rsidRPr="00C32F82">
        <w:rPr>
          <w:sz w:val="26"/>
          <w:szCs w:val="26"/>
        </w:rPr>
        <w:t xml:space="preserve">OCA proposed </w:t>
      </w:r>
      <w:r w:rsidR="00F5739E">
        <w:rPr>
          <w:sz w:val="26"/>
          <w:szCs w:val="26"/>
        </w:rPr>
        <w:t xml:space="preserve">adjustments to the </w:t>
      </w:r>
      <w:r w:rsidR="00B90BF9">
        <w:rPr>
          <w:sz w:val="26"/>
          <w:szCs w:val="26"/>
        </w:rPr>
        <w:t>I</w:t>
      </w:r>
      <w:r w:rsidR="00F5739E">
        <w:rPr>
          <w:sz w:val="26"/>
          <w:szCs w:val="26"/>
        </w:rPr>
        <w:t xml:space="preserve">ncome </w:t>
      </w:r>
      <w:r w:rsidR="00B90BF9">
        <w:rPr>
          <w:sz w:val="26"/>
          <w:szCs w:val="26"/>
        </w:rPr>
        <w:t>A</w:t>
      </w:r>
      <w:r w:rsidR="00F5739E">
        <w:rPr>
          <w:sz w:val="26"/>
          <w:szCs w:val="26"/>
        </w:rPr>
        <w:t xml:space="preserve">pproach of </w:t>
      </w:r>
      <w:r w:rsidR="0088338C">
        <w:rPr>
          <w:sz w:val="26"/>
          <w:szCs w:val="26"/>
        </w:rPr>
        <w:t xml:space="preserve">the </w:t>
      </w:r>
      <w:r w:rsidR="00F5739E">
        <w:rPr>
          <w:sz w:val="26"/>
          <w:szCs w:val="26"/>
        </w:rPr>
        <w:t>UVEs to recalculate the terminal value using the amount of net plant less accumulated deferred income taxes (ADIT) projected to be remaining at the end of</w:t>
      </w:r>
      <w:r w:rsidR="00E92248">
        <w:rPr>
          <w:sz w:val="26"/>
          <w:szCs w:val="26"/>
        </w:rPr>
        <w:t xml:space="preserve"> period 24 and 19</w:t>
      </w:r>
      <w:r w:rsidR="00F5739E">
        <w:rPr>
          <w:sz w:val="26"/>
          <w:szCs w:val="26"/>
        </w:rPr>
        <w:t>, respectively</w:t>
      </w:r>
      <w:bookmarkEnd w:id="59"/>
      <w:r w:rsidR="001D65AE" w:rsidRPr="00C32F82">
        <w:rPr>
          <w:sz w:val="26"/>
          <w:szCs w:val="26"/>
        </w:rPr>
        <w:t>.  OCA St. 1 at 33</w:t>
      </w:r>
      <w:r w:rsidR="00F5739E">
        <w:rPr>
          <w:sz w:val="26"/>
          <w:szCs w:val="26"/>
        </w:rPr>
        <w:t>, 38</w:t>
      </w:r>
      <w:r w:rsidR="001D65AE" w:rsidRPr="00C32F82">
        <w:rPr>
          <w:sz w:val="26"/>
          <w:szCs w:val="26"/>
        </w:rPr>
        <w:t>.</w:t>
      </w:r>
      <w:r w:rsidRPr="00C32F82">
        <w:rPr>
          <w:sz w:val="26"/>
          <w:szCs w:val="26"/>
        </w:rPr>
        <w:t xml:space="preserve">  The OCA </w:t>
      </w:r>
      <w:r w:rsidR="005A1049">
        <w:rPr>
          <w:sz w:val="26"/>
          <w:szCs w:val="26"/>
        </w:rPr>
        <w:t xml:space="preserve">argued that the approach utilized by the UVEs in quantifying the terminal value </w:t>
      </w:r>
      <w:r w:rsidR="00C4327B">
        <w:rPr>
          <w:sz w:val="26"/>
          <w:szCs w:val="26"/>
        </w:rPr>
        <w:t>fails</w:t>
      </w:r>
      <w:r w:rsidR="00E121F1">
        <w:rPr>
          <w:sz w:val="26"/>
          <w:szCs w:val="26"/>
        </w:rPr>
        <w:t xml:space="preserve"> to</w:t>
      </w:r>
      <w:r w:rsidR="005A1049">
        <w:rPr>
          <w:sz w:val="26"/>
          <w:szCs w:val="26"/>
        </w:rPr>
        <w:t xml:space="preserve"> recognize that the wastewater assets are for a regulated utility, not a </w:t>
      </w:r>
      <w:r w:rsidR="003A1254">
        <w:rPr>
          <w:sz w:val="26"/>
          <w:szCs w:val="26"/>
        </w:rPr>
        <w:t>non-</w:t>
      </w:r>
      <w:r w:rsidR="005A1049">
        <w:rPr>
          <w:sz w:val="26"/>
          <w:szCs w:val="26"/>
        </w:rPr>
        <w:t xml:space="preserve">regulated business, and therefore, result in a significant overstatement of the terminal value component.  </w:t>
      </w:r>
      <w:r w:rsidR="006B03F8">
        <w:rPr>
          <w:sz w:val="26"/>
          <w:szCs w:val="26"/>
        </w:rPr>
        <w:t xml:space="preserve">The </w:t>
      </w:r>
      <w:r w:rsidR="006B03F8" w:rsidRPr="006B03F8">
        <w:rPr>
          <w:sz w:val="26"/>
          <w:szCs w:val="26"/>
        </w:rPr>
        <w:t xml:space="preserve">OCA </w:t>
      </w:r>
      <w:r w:rsidR="006B03F8">
        <w:rPr>
          <w:sz w:val="26"/>
          <w:szCs w:val="26"/>
        </w:rPr>
        <w:t>explained</w:t>
      </w:r>
      <w:r w:rsidR="006B03F8" w:rsidRPr="006B03F8">
        <w:rPr>
          <w:sz w:val="26"/>
          <w:szCs w:val="26"/>
        </w:rPr>
        <w:t xml:space="preserve"> the theory underlying the use of capitalization rates is that a firm’s net cash flow will grow at a constant rate in perpetuity without significant reinvestment greater than historical depreciation. </w:t>
      </w:r>
      <w:r w:rsidR="006B03F8">
        <w:rPr>
          <w:sz w:val="26"/>
          <w:szCs w:val="26"/>
        </w:rPr>
        <w:t xml:space="preserve"> </w:t>
      </w:r>
      <w:r w:rsidR="006B03F8" w:rsidRPr="006B03F8">
        <w:rPr>
          <w:sz w:val="26"/>
          <w:szCs w:val="26"/>
        </w:rPr>
        <w:t xml:space="preserve">OCA St. 1 at 31. </w:t>
      </w:r>
      <w:r w:rsidR="006B03F8">
        <w:rPr>
          <w:sz w:val="26"/>
          <w:szCs w:val="26"/>
        </w:rPr>
        <w:t xml:space="preserve"> </w:t>
      </w:r>
      <w:r w:rsidR="0088338C">
        <w:rPr>
          <w:sz w:val="26"/>
          <w:szCs w:val="26"/>
        </w:rPr>
        <w:t>According to the OCA</w:t>
      </w:r>
      <w:r w:rsidR="006B03F8" w:rsidRPr="006B03F8">
        <w:rPr>
          <w:sz w:val="26"/>
          <w:szCs w:val="26"/>
        </w:rPr>
        <w:t>, this is not the case for regulated utilities.</w:t>
      </w:r>
      <w:r w:rsidR="006B03F8">
        <w:rPr>
          <w:sz w:val="26"/>
          <w:szCs w:val="26"/>
        </w:rPr>
        <w:t xml:space="preserve"> </w:t>
      </w:r>
      <w:r w:rsidR="006B03F8" w:rsidRPr="006B03F8">
        <w:rPr>
          <w:sz w:val="26"/>
          <w:szCs w:val="26"/>
        </w:rPr>
        <w:t xml:space="preserve"> A regulated utility’s net cash flow is a direct function of its plant in service. </w:t>
      </w:r>
      <w:r w:rsidR="006B03F8">
        <w:rPr>
          <w:sz w:val="26"/>
          <w:szCs w:val="26"/>
        </w:rPr>
        <w:t xml:space="preserve"> </w:t>
      </w:r>
      <w:r w:rsidR="006B03F8" w:rsidRPr="006B03F8">
        <w:rPr>
          <w:sz w:val="26"/>
          <w:szCs w:val="26"/>
        </w:rPr>
        <w:t>OCA St. 1 at 32.</w:t>
      </w:r>
      <w:r w:rsidR="00E92248">
        <w:rPr>
          <w:sz w:val="26"/>
          <w:szCs w:val="26"/>
        </w:rPr>
        <w:t xml:space="preserve">  Regarding a regulated utility, the OCA noted that Mr. Smith explained as follows:</w:t>
      </w:r>
    </w:p>
    <w:p w14:paraId="376221E0" w14:textId="77777777" w:rsidR="005676F3" w:rsidRDefault="005676F3" w:rsidP="005676F3">
      <w:pPr>
        <w:widowControl/>
        <w:autoSpaceDE w:val="0"/>
        <w:autoSpaceDN w:val="0"/>
        <w:adjustRightInd w:val="0"/>
        <w:ind w:firstLine="1440"/>
        <w:rPr>
          <w:sz w:val="26"/>
          <w:szCs w:val="26"/>
        </w:rPr>
      </w:pPr>
    </w:p>
    <w:p w14:paraId="6A109E3D" w14:textId="7F28E3CD" w:rsidR="00E92248" w:rsidRDefault="00E92248" w:rsidP="00E92248">
      <w:pPr>
        <w:keepNext/>
        <w:keepLines/>
        <w:widowControl/>
        <w:autoSpaceDE w:val="0"/>
        <w:autoSpaceDN w:val="0"/>
        <w:adjustRightInd w:val="0"/>
        <w:ind w:left="1440" w:right="1440"/>
        <w:contextualSpacing/>
        <w:rPr>
          <w:sz w:val="26"/>
          <w:szCs w:val="26"/>
        </w:rPr>
      </w:pPr>
      <w:r>
        <w:rPr>
          <w:sz w:val="26"/>
          <w:szCs w:val="26"/>
        </w:rPr>
        <w:t xml:space="preserve">A utility’s </w:t>
      </w:r>
      <w:r w:rsidRPr="00F70480">
        <w:rPr>
          <w:sz w:val="26"/>
          <w:szCs w:val="26"/>
        </w:rPr>
        <w:t>allowable revenue requirement is equal to its cash operating expenses plus depreciation plus a return on its net investment (rate base) plus income taxes on the return.</w:t>
      </w:r>
      <w:r>
        <w:rPr>
          <w:sz w:val="26"/>
          <w:szCs w:val="26"/>
        </w:rPr>
        <w:t xml:space="preserve"> </w:t>
      </w:r>
      <w:r w:rsidR="001C0036">
        <w:rPr>
          <w:sz w:val="26"/>
          <w:szCs w:val="26"/>
        </w:rPr>
        <w:t xml:space="preserve"> </w:t>
      </w:r>
      <w:r w:rsidRPr="00F70480">
        <w:rPr>
          <w:sz w:val="26"/>
          <w:szCs w:val="26"/>
        </w:rPr>
        <w:t xml:space="preserve">Therefore, the resulting annual net cash flow is equal to depreciation plus the after-tax return on the net investment. </w:t>
      </w:r>
      <w:r>
        <w:rPr>
          <w:sz w:val="26"/>
          <w:szCs w:val="26"/>
        </w:rPr>
        <w:t xml:space="preserve"> </w:t>
      </w:r>
      <w:r w:rsidRPr="00F70480">
        <w:rPr>
          <w:sz w:val="26"/>
          <w:szCs w:val="26"/>
        </w:rPr>
        <w:t>As such, the higher the assumed level of investment, the higher the periodic cash flows and the higher the ultimate valuation</w:t>
      </w:r>
      <w:r w:rsidR="005676F3">
        <w:rPr>
          <w:sz w:val="26"/>
          <w:szCs w:val="26"/>
        </w:rPr>
        <w:t>.</w:t>
      </w:r>
    </w:p>
    <w:p w14:paraId="6FA505D4" w14:textId="77777777" w:rsidR="00E92248" w:rsidRDefault="00E92248" w:rsidP="005676F3">
      <w:pPr>
        <w:widowControl/>
        <w:autoSpaceDE w:val="0"/>
        <w:autoSpaceDN w:val="0"/>
        <w:adjustRightInd w:val="0"/>
        <w:spacing w:line="360" w:lineRule="auto"/>
        <w:ind w:firstLine="1440"/>
        <w:rPr>
          <w:sz w:val="26"/>
          <w:szCs w:val="26"/>
        </w:rPr>
      </w:pPr>
    </w:p>
    <w:p w14:paraId="68C3E9A5" w14:textId="0D67E0F8" w:rsidR="00795FEF" w:rsidRDefault="00E92248" w:rsidP="00E92248">
      <w:pPr>
        <w:widowControl/>
        <w:autoSpaceDE w:val="0"/>
        <w:autoSpaceDN w:val="0"/>
        <w:adjustRightInd w:val="0"/>
        <w:spacing w:line="360" w:lineRule="auto"/>
        <w:rPr>
          <w:sz w:val="26"/>
          <w:szCs w:val="26"/>
        </w:rPr>
      </w:pPr>
      <w:r>
        <w:rPr>
          <w:sz w:val="26"/>
          <w:szCs w:val="26"/>
        </w:rPr>
        <w:t xml:space="preserve">OCA St. 1 at 30.  </w:t>
      </w:r>
      <w:r w:rsidR="006B03F8" w:rsidRPr="006B03F8">
        <w:rPr>
          <w:sz w:val="26"/>
          <w:szCs w:val="26"/>
        </w:rPr>
        <w:t>A utility’s net cash flow can, and will, only grow with increases to its plant investment and rate base</w:t>
      </w:r>
      <w:r w:rsidR="006B03F8" w:rsidRPr="006B03F8">
        <w:rPr>
          <w:i/>
          <w:iCs/>
          <w:sz w:val="26"/>
          <w:szCs w:val="26"/>
        </w:rPr>
        <w:t>.</w:t>
      </w:r>
      <w:r w:rsidR="0094546E">
        <w:rPr>
          <w:i/>
          <w:iCs/>
          <w:sz w:val="26"/>
          <w:szCs w:val="26"/>
        </w:rPr>
        <w:t xml:space="preserve">  </w:t>
      </w:r>
      <w:r w:rsidR="0094546E" w:rsidRPr="0094546E">
        <w:rPr>
          <w:sz w:val="26"/>
          <w:szCs w:val="26"/>
        </w:rPr>
        <w:t xml:space="preserve">The utility recoups these additional investments over time through future depreciation rates. </w:t>
      </w:r>
      <w:r w:rsidR="0094546E">
        <w:rPr>
          <w:sz w:val="26"/>
          <w:szCs w:val="26"/>
        </w:rPr>
        <w:t xml:space="preserve"> </w:t>
      </w:r>
      <w:r w:rsidR="0094546E" w:rsidRPr="0094546E">
        <w:rPr>
          <w:sz w:val="26"/>
          <w:szCs w:val="26"/>
        </w:rPr>
        <w:t xml:space="preserve">Unlike the private sector, for rate regulated utilities, spending on plant additions is a </w:t>
      </w:r>
      <w:r w:rsidR="0094546E" w:rsidRPr="0094546E">
        <w:rPr>
          <w:i/>
          <w:iCs/>
          <w:sz w:val="26"/>
          <w:szCs w:val="26"/>
        </w:rPr>
        <w:t xml:space="preserve">use </w:t>
      </w:r>
      <w:r w:rsidR="0094546E" w:rsidRPr="0094546E">
        <w:rPr>
          <w:sz w:val="26"/>
          <w:szCs w:val="26"/>
        </w:rPr>
        <w:t xml:space="preserve">of cash and depreciation expense is a </w:t>
      </w:r>
      <w:r w:rsidR="0094546E" w:rsidRPr="0094546E">
        <w:rPr>
          <w:i/>
          <w:iCs/>
          <w:sz w:val="26"/>
          <w:szCs w:val="26"/>
        </w:rPr>
        <w:t xml:space="preserve">source </w:t>
      </w:r>
      <w:r w:rsidR="0094546E" w:rsidRPr="0094546E">
        <w:rPr>
          <w:sz w:val="26"/>
          <w:szCs w:val="26"/>
        </w:rPr>
        <w:t>of cash.</w:t>
      </w:r>
      <w:r>
        <w:rPr>
          <w:sz w:val="26"/>
          <w:szCs w:val="26"/>
        </w:rPr>
        <w:t xml:space="preserve">  OCA St. 1 at 32.</w:t>
      </w:r>
    </w:p>
    <w:p w14:paraId="107311DE" w14:textId="652E4EE0" w:rsidR="00DE1706" w:rsidRDefault="00DE1706" w:rsidP="009D0E74">
      <w:pPr>
        <w:widowControl/>
        <w:autoSpaceDE w:val="0"/>
        <w:autoSpaceDN w:val="0"/>
        <w:adjustRightInd w:val="0"/>
        <w:spacing w:line="360" w:lineRule="auto"/>
        <w:rPr>
          <w:sz w:val="26"/>
          <w:szCs w:val="26"/>
        </w:rPr>
      </w:pPr>
    </w:p>
    <w:p w14:paraId="3B8ACAFC" w14:textId="5CD97DF2" w:rsidR="00E92248" w:rsidRDefault="00E92248" w:rsidP="00E92248">
      <w:pPr>
        <w:widowControl/>
        <w:autoSpaceDE w:val="0"/>
        <w:autoSpaceDN w:val="0"/>
        <w:adjustRightInd w:val="0"/>
        <w:spacing w:line="360" w:lineRule="auto"/>
        <w:ind w:firstLine="1440"/>
        <w:contextualSpacing/>
        <w:rPr>
          <w:sz w:val="26"/>
          <w:szCs w:val="26"/>
        </w:rPr>
      </w:pPr>
      <w:r>
        <w:rPr>
          <w:sz w:val="26"/>
          <w:szCs w:val="26"/>
        </w:rPr>
        <w:t xml:space="preserve">The OCA pointed out that in both UVEs’ estimation of a terminal value, the capital expenditures in the final year of the model are less than the depreciation expense on existing plant during that year, meaning that LMT would be depreciating and depleting its plant faster and to a higher degree than investments are being made to replace that plant.  OCA St. 1 at 32.  Accordingly, the OCA asserted that the terminal value approach used by Gannett Fleming and AUS unrealistically overstates the valuation and would result in excessive valuation and return.  </w:t>
      </w:r>
      <w:bookmarkStart w:id="60" w:name="_Hlk90216398"/>
      <w:r>
        <w:rPr>
          <w:sz w:val="26"/>
          <w:szCs w:val="26"/>
        </w:rPr>
        <w:t xml:space="preserve">OCA M.B. at 16. </w:t>
      </w:r>
      <w:bookmarkEnd w:id="60"/>
      <w:r>
        <w:rPr>
          <w:sz w:val="26"/>
          <w:szCs w:val="26"/>
        </w:rPr>
        <w:t xml:space="preserve"> </w:t>
      </w:r>
    </w:p>
    <w:p w14:paraId="569A0B00" w14:textId="77777777" w:rsidR="00E92248" w:rsidRDefault="00E92248" w:rsidP="00E92248">
      <w:pPr>
        <w:widowControl/>
        <w:autoSpaceDE w:val="0"/>
        <w:autoSpaceDN w:val="0"/>
        <w:adjustRightInd w:val="0"/>
        <w:spacing w:line="360" w:lineRule="auto"/>
        <w:ind w:firstLine="1440"/>
        <w:contextualSpacing/>
        <w:rPr>
          <w:sz w:val="26"/>
          <w:szCs w:val="26"/>
        </w:rPr>
      </w:pPr>
    </w:p>
    <w:p w14:paraId="6EA4D697" w14:textId="6DBB3F63" w:rsidR="00E92248" w:rsidRDefault="00E92248" w:rsidP="00E92248">
      <w:pPr>
        <w:widowControl/>
        <w:autoSpaceDE w:val="0"/>
        <w:autoSpaceDN w:val="0"/>
        <w:adjustRightInd w:val="0"/>
        <w:spacing w:line="360" w:lineRule="auto"/>
        <w:ind w:firstLine="1440"/>
        <w:contextualSpacing/>
        <w:rPr>
          <w:sz w:val="26"/>
          <w:szCs w:val="26"/>
        </w:rPr>
      </w:pPr>
      <w:r>
        <w:rPr>
          <w:sz w:val="26"/>
          <w:szCs w:val="26"/>
        </w:rPr>
        <w:t>Conversely, the OCA provided that Mr. Smith’s approach</w:t>
      </w:r>
      <w:proofErr w:type="gramStart"/>
      <w:r>
        <w:rPr>
          <w:sz w:val="26"/>
          <w:szCs w:val="26"/>
        </w:rPr>
        <w:t>:</w:t>
      </w:r>
      <w:r w:rsidR="00CA3070">
        <w:rPr>
          <w:sz w:val="26"/>
          <w:szCs w:val="26"/>
        </w:rPr>
        <w:t xml:space="preserve"> </w:t>
      </w:r>
      <w:r>
        <w:rPr>
          <w:sz w:val="26"/>
          <w:szCs w:val="26"/>
        </w:rPr>
        <w:t xml:space="preserve"> (</w:t>
      </w:r>
      <w:proofErr w:type="gramEnd"/>
      <w:r>
        <w:rPr>
          <w:sz w:val="26"/>
          <w:szCs w:val="26"/>
        </w:rPr>
        <w:t xml:space="preserve">1) will ensure that investors will earn a fair rate of return over the life of the plant in service and recoup their initial investment through depreciation; and (2) will not increase rates to provide excessive returns over the life of the plant.  </w:t>
      </w:r>
      <w:r w:rsidRPr="00722620">
        <w:rPr>
          <w:sz w:val="26"/>
          <w:szCs w:val="26"/>
        </w:rPr>
        <w:t>OCA M.B. at 16.</w:t>
      </w:r>
    </w:p>
    <w:p w14:paraId="3C94DDD6" w14:textId="360F3B40" w:rsidR="00E92248" w:rsidRDefault="00E92248" w:rsidP="009D0E74">
      <w:pPr>
        <w:widowControl/>
        <w:autoSpaceDE w:val="0"/>
        <w:autoSpaceDN w:val="0"/>
        <w:adjustRightInd w:val="0"/>
        <w:spacing w:line="360" w:lineRule="auto"/>
        <w:rPr>
          <w:sz w:val="26"/>
          <w:szCs w:val="26"/>
        </w:rPr>
      </w:pPr>
    </w:p>
    <w:p w14:paraId="17BFD1E8" w14:textId="0F266F41" w:rsidR="00795FEF" w:rsidRDefault="00795FEF" w:rsidP="00EA33D5">
      <w:pPr>
        <w:widowControl/>
        <w:autoSpaceDE w:val="0"/>
        <w:autoSpaceDN w:val="0"/>
        <w:adjustRightInd w:val="0"/>
        <w:spacing w:line="360" w:lineRule="auto"/>
        <w:ind w:firstLine="1440"/>
        <w:rPr>
          <w:sz w:val="26"/>
          <w:szCs w:val="26"/>
        </w:rPr>
      </w:pPr>
      <w:r>
        <w:rPr>
          <w:sz w:val="26"/>
          <w:szCs w:val="26"/>
        </w:rPr>
        <w:t>The result of the OCA’s recommendation to use net plant less ADIT as the terminal value, in lieu of a capitalization rate concept, is a downward adjustment of $4,024,687</w:t>
      </w:r>
      <w:r w:rsidR="009D0E74">
        <w:rPr>
          <w:sz w:val="26"/>
          <w:szCs w:val="26"/>
        </w:rPr>
        <w:t xml:space="preserve"> ($53,741,785 - $49,717,098)</w:t>
      </w:r>
      <w:r>
        <w:rPr>
          <w:sz w:val="26"/>
          <w:szCs w:val="26"/>
        </w:rPr>
        <w:t xml:space="preserve"> to the Gannett Fleming </w:t>
      </w:r>
      <w:r w:rsidR="00B90BF9">
        <w:rPr>
          <w:sz w:val="26"/>
          <w:szCs w:val="26"/>
        </w:rPr>
        <w:t>I</w:t>
      </w:r>
      <w:r>
        <w:rPr>
          <w:sz w:val="26"/>
          <w:szCs w:val="26"/>
        </w:rPr>
        <w:t xml:space="preserve">ncome </w:t>
      </w:r>
      <w:r w:rsidR="00B90BF9">
        <w:rPr>
          <w:sz w:val="26"/>
          <w:szCs w:val="26"/>
        </w:rPr>
        <w:t>A</w:t>
      </w:r>
      <w:r>
        <w:rPr>
          <w:sz w:val="26"/>
          <w:szCs w:val="26"/>
        </w:rPr>
        <w:t>pproach to value.</w:t>
      </w:r>
      <w:r w:rsidR="009D0E74">
        <w:rPr>
          <w:rStyle w:val="FootnoteReference"/>
          <w:sz w:val="26"/>
          <w:szCs w:val="26"/>
        </w:rPr>
        <w:footnoteReference w:id="25"/>
      </w:r>
      <w:r>
        <w:rPr>
          <w:sz w:val="26"/>
          <w:szCs w:val="26"/>
        </w:rPr>
        <w:t xml:space="preserve">  </w:t>
      </w:r>
      <w:r w:rsidRPr="00243DC2">
        <w:rPr>
          <w:i/>
          <w:iCs/>
          <w:sz w:val="26"/>
          <w:szCs w:val="26"/>
        </w:rPr>
        <w:t>See</w:t>
      </w:r>
      <w:r>
        <w:rPr>
          <w:sz w:val="26"/>
          <w:szCs w:val="26"/>
        </w:rPr>
        <w:t xml:space="preserve"> OCA Exh. RCS-1SR, Col. D, ln. </w:t>
      </w:r>
      <w:r w:rsidR="00D558A9">
        <w:rPr>
          <w:sz w:val="26"/>
          <w:szCs w:val="26"/>
        </w:rPr>
        <w:t>7.</w:t>
      </w:r>
    </w:p>
    <w:p w14:paraId="463F1F97" w14:textId="0369F91C" w:rsidR="00B62A85" w:rsidRDefault="00B62A85" w:rsidP="008A1FA0">
      <w:pPr>
        <w:widowControl/>
        <w:autoSpaceDE w:val="0"/>
        <w:autoSpaceDN w:val="0"/>
        <w:adjustRightInd w:val="0"/>
        <w:spacing w:line="360" w:lineRule="auto"/>
        <w:rPr>
          <w:sz w:val="26"/>
          <w:szCs w:val="26"/>
        </w:rPr>
      </w:pPr>
    </w:p>
    <w:p w14:paraId="13865D93" w14:textId="3BEDF740" w:rsidR="00B62A85" w:rsidRDefault="00B62A85" w:rsidP="00B62A85">
      <w:pPr>
        <w:widowControl/>
        <w:autoSpaceDE w:val="0"/>
        <w:autoSpaceDN w:val="0"/>
        <w:adjustRightInd w:val="0"/>
        <w:spacing w:line="360" w:lineRule="auto"/>
        <w:ind w:firstLine="1440"/>
        <w:rPr>
          <w:sz w:val="26"/>
          <w:szCs w:val="26"/>
        </w:rPr>
      </w:pPr>
      <w:bookmarkStart w:id="63" w:name="_Hlk89865843"/>
      <w:r>
        <w:rPr>
          <w:sz w:val="26"/>
          <w:szCs w:val="26"/>
        </w:rPr>
        <w:t xml:space="preserve">Consistent with its adjustment to the terminal value for the Gannett Fleming </w:t>
      </w:r>
      <w:r w:rsidR="00D704CE">
        <w:rPr>
          <w:sz w:val="26"/>
          <w:szCs w:val="26"/>
        </w:rPr>
        <w:t>I</w:t>
      </w:r>
      <w:r>
        <w:rPr>
          <w:sz w:val="26"/>
          <w:szCs w:val="26"/>
        </w:rPr>
        <w:t xml:space="preserve">ncome </w:t>
      </w:r>
      <w:r w:rsidR="00D704CE">
        <w:rPr>
          <w:sz w:val="26"/>
          <w:szCs w:val="26"/>
        </w:rPr>
        <w:t>A</w:t>
      </w:r>
      <w:r>
        <w:rPr>
          <w:sz w:val="26"/>
          <w:szCs w:val="26"/>
        </w:rPr>
        <w:t xml:space="preserve">pproach, the OCA, likewise, proposed an adjustment to the AUS </w:t>
      </w:r>
      <w:r w:rsidR="00D704CE">
        <w:rPr>
          <w:sz w:val="26"/>
          <w:szCs w:val="26"/>
        </w:rPr>
        <w:t>I</w:t>
      </w:r>
      <w:r>
        <w:rPr>
          <w:sz w:val="26"/>
          <w:szCs w:val="26"/>
        </w:rPr>
        <w:t xml:space="preserve">ncome </w:t>
      </w:r>
      <w:r w:rsidR="00D704CE">
        <w:rPr>
          <w:sz w:val="26"/>
          <w:szCs w:val="26"/>
        </w:rPr>
        <w:t>A</w:t>
      </w:r>
      <w:r>
        <w:rPr>
          <w:sz w:val="26"/>
          <w:szCs w:val="26"/>
        </w:rPr>
        <w:t xml:space="preserve">pproach.  </w:t>
      </w:r>
      <w:r w:rsidRPr="00B62A85">
        <w:rPr>
          <w:i/>
          <w:iCs/>
          <w:sz w:val="26"/>
          <w:szCs w:val="26"/>
        </w:rPr>
        <w:t xml:space="preserve">See </w:t>
      </w:r>
      <w:r>
        <w:rPr>
          <w:sz w:val="26"/>
          <w:szCs w:val="26"/>
        </w:rPr>
        <w:t xml:space="preserve">OCA Exh. RCS-4.  The OCA’s adjustment reduced the </w:t>
      </w:r>
      <w:r w:rsidR="00D704CE">
        <w:rPr>
          <w:sz w:val="26"/>
          <w:szCs w:val="26"/>
        </w:rPr>
        <w:t>I</w:t>
      </w:r>
      <w:r>
        <w:rPr>
          <w:sz w:val="26"/>
          <w:szCs w:val="26"/>
        </w:rPr>
        <w:t xml:space="preserve">ncome </w:t>
      </w:r>
      <w:r w:rsidR="00D704CE">
        <w:rPr>
          <w:sz w:val="26"/>
          <w:szCs w:val="26"/>
        </w:rPr>
        <w:t>A</w:t>
      </w:r>
      <w:r>
        <w:rPr>
          <w:sz w:val="26"/>
          <w:szCs w:val="26"/>
        </w:rPr>
        <w:t>pproach amount in the AUS appraisal by approximately $9.41 million</w:t>
      </w:r>
      <w:r w:rsidR="00BF3DB5">
        <w:rPr>
          <w:sz w:val="26"/>
          <w:szCs w:val="26"/>
        </w:rPr>
        <w:t xml:space="preserve"> </w:t>
      </w:r>
      <w:bookmarkEnd w:id="63"/>
      <w:r w:rsidR="00BF3DB5">
        <w:rPr>
          <w:sz w:val="26"/>
          <w:szCs w:val="26"/>
        </w:rPr>
        <w:t>($57,872,959</w:t>
      </w:r>
      <w:r w:rsidR="005676F3">
        <w:rPr>
          <w:sz w:val="26"/>
          <w:szCs w:val="26"/>
        </w:rPr>
        <w:t> </w:t>
      </w:r>
      <w:r w:rsidR="00BF3DB5">
        <w:rPr>
          <w:sz w:val="26"/>
          <w:szCs w:val="26"/>
        </w:rPr>
        <w:t>-</w:t>
      </w:r>
      <w:r w:rsidR="005676F3">
        <w:rPr>
          <w:sz w:val="26"/>
          <w:szCs w:val="26"/>
        </w:rPr>
        <w:t> </w:t>
      </w:r>
      <w:r w:rsidR="00BF3DB5">
        <w:rPr>
          <w:sz w:val="26"/>
          <w:szCs w:val="26"/>
        </w:rPr>
        <w:t>$48,462,957)</w:t>
      </w:r>
      <w:r>
        <w:rPr>
          <w:sz w:val="26"/>
          <w:szCs w:val="26"/>
        </w:rPr>
        <w:t xml:space="preserve">.  </w:t>
      </w:r>
      <w:r w:rsidRPr="00243DC2">
        <w:rPr>
          <w:i/>
          <w:iCs/>
          <w:sz w:val="26"/>
          <w:szCs w:val="26"/>
        </w:rPr>
        <w:t>See</w:t>
      </w:r>
      <w:r>
        <w:rPr>
          <w:sz w:val="26"/>
          <w:szCs w:val="26"/>
        </w:rPr>
        <w:t xml:space="preserve"> OCA Exh. RCS-1SR, Col. D, ln. </w:t>
      </w:r>
      <w:r w:rsidR="005650E7">
        <w:rPr>
          <w:sz w:val="26"/>
          <w:szCs w:val="26"/>
        </w:rPr>
        <w:t>2</w:t>
      </w:r>
      <w:r w:rsidR="00CC1C64">
        <w:rPr>
          <w:sz w:val="26"/>
          <w:szCs w:val="26"/>
        </w:rPr>
        <w:t xml:space="preserve">; OCA Exh. RCS-4.  </w:t>
      </w:r>
    </w:p>
    <w:p w14:paraId="1F74A713" w14:textId="593A4E3B" w:rsidR="00F47D67" w:rsidRDefault="00F47D67" w:rsidP="00B62A85">
      <w:pPr>
        <w:widowControl/>
        <w:autoSpaceDE w:val="0"/>
        <w:autoSpaceDN w:val="0"/>
        <w:adjustRightInd w:val="0"/>
        <w:spacing w:line="360" w:lineRule="auto"/>
        <w:ind w:firstLine="1440"/>
        <w:rPr>
          <w:sz w:val="26"/>
          <w:szCs w:val="26"/>
        </w:rPr>
      </w:pPr>
    </w:p>
    <w:p w14:paraId="1FEEDFA7" w14:textId="62BF31A6" w:rsidR="00F47D67" w:rsidRPr="00F47D67" w:rsidRDefault="00F47D67" w:rsidP="00F47D67">
      <w:pPr>
        <w:widowControl/>
        <w:autoSpaceDE w:val="0"/>
        <w:autoSpaceDN w:val="0"/>
        <w:adjustRightInd w:val="0"/>
        <w:spacing w:line="360" w:lineRule="auto"/>
        <w:ind w:firstLine="1440"/>
        <w:rPr>
          <w:sz w:val="26"/>
          <w:szCs w:val="26"/>
        </w:rPr>
      </w:pPr>
      <w:r w:rsidRPr="00F47D67">
        <w:rPr>
          <w:sz w:val="26"/>
          <w:szCs w:val="26"/>
        </w:rPr>
        <w:t xml:space="preserve">Terminal </w:t>
      </w:r>
      <w:r w:rsidR="00124A5E">
        <w:rPr>
          <w:sz w:val="26"/>
          <w:szCs w:val="26"/>
        </w:rPr>
        <w:t>v</w:t>
      </w:r>
      <w:r w:rsidRPr="00F47D67">
        <w:rPr>
          <w:sz w:val="26"/>
          <w:szCs w:val="26"/>
        </w:rPr>
        <w:t>alue is a</w:t>
      </w:r>
      <w:r>
        <w:rPr>
          <w:sz w:val="26"/>
          <w:szCs w:val="26"/>
        </w:rPr>
        <w:t xml:space="preserve">n </w:t>
      </w:r>
      <w:r w:rsidRPr="00F47D67">
        <w:rPr>
          <w:sz w:val="26"/>
          <w:szCs w:val="26"/>
        </w:rPr>
        <w:t xml:space="preserve">important concept in </w:t>
      </w:r>
      <w:r>
        <w:rPr>
          <w:sz w:val="26"/>
          <w:szCs w:val="26"/>
        </w:rPr>
        <w:t>DCF analyses</w:t>
      </w:r>
      <w:r w:rsidRPr="00F47D67">
        <w:rPr>
          <w:sz w:val="26"/>
          <w:szCs w:val="26"/>
        </w:rPr>
        <w:t xml:space="preserve"> as it</w:t>
      </w:r>
      <w:r w:rsidR="00BB19DA">
        <w:rPr>
          <w:sz w:val="26"/>
          <w:szCs w:val="26"/>
        </w:rPr>
        <w:t xml:space="preserve"> may</w:t>
      </w:r>
      <w:r w:rsidRPr="00F47D67">
        <w:rPr>
          <w:sz w:val="26"/>
          <w:szCs w:val="26"/>
        </w:rPr>
        <w:t xml:space="preserve"> account for </w:t>
      </w:r>
      <w:r>
        <w:rPr>
          <w:sz w:val="26"/>
          <w:szCs w:val="26"/>
        </w:rPr>
        <w:t>a significant percentage</w:t>
      </w:r>
      <w:r w:rsidRPr="00F47D67">
        <w:rPr>
          <w:sz w:val="26"/>
          <w:szCs w:val="26"/>
        </w:rPr>
        <w:t xml:space="preserve"> of the total valuation </w:t>
      </w:r>
      <w:r w:rsidR="00D64247">
        <w:rPr>
          <w:sz w:val="26"/>
          <w:szCs w:val="26"/>
        </w:rPr>
        <w:t>under the Income Approach.  The effect</w:t>
      </w:r>
      <w:r w:rsidR="00D94D9B">
        <w:rPr>
          <w:sz w:val="26"/>
          <w:szCs w:val="26"/>
        </w:rPr>
        <w:t>s</w:t>
      </w:r>
      <w:r w:rsidR="00D64247">
        <w:rPr>
          <w:sz w:val="26"/>
          <w:szCs w:val="26"/>
        </w:rPr>
        <w:t xml:space="preserve"> of the OCA’s proposed adjustments are summarized below in the following tables.</w:t>
      </w:r>
    </w:p>
    <w:p w14:paraId="2CD80E78" w14:textId="77AFCDAF" w:rsidR="00F47D67" w:rsidRPr="008269C2" w:rsidRDefault="00F47D67" w:rsidP="00B62A85">
      <w:pPr>
        <w:widowControl/>
        <w:autoSpaceDE w:val="0"/>
        <w:autoSpaceDN w:val="0"/>
        <w:adjustRightInd w:val="0"/>
        <w:spacing w:line="360" w:lineRule="auto"/>
        <w:ind w:firstLine="1440"/>
        <w:rPr>
          <w:sz w:val="26"/>
          <w:szCs w:val="26"/>
        </w:rPr>
      </w:pPr>
    </w:p>
    <w:p w14:paraId="57D66B89" w14:textId="0754F2BB" w:rsidR="00D94D9B" w:rsidRPr="008269C2" w:rsidRDefault="008269C2" w:rsidP="00D94D9B">
      <w:pPr>
        <w:widowControl/>
        <w:autoSpaceDE w:val="0"/>
        <w:autoSpaceDN w:val="0"/>
        <w:adjustRightInd w:val="0"/>
        <w:spacing w:line="360" w:lineRule="auto"/>
        <w:rPr>
          <w:sz w:val="26"/>
          <w:szCs w:val="26"/>
        </w:rPr>
      </w:pPr>
      <w:r w:rsidRPr="008269C2">
        <w:rPr>
          <w:noProof/>
        </w:rPr>
        <w:drawing>
          <wp:inline distT="0" distB="0" distL="0" distR="0" wp14:anchorId="0E0F66B8" wp14:editId="743A1854">
            <wp:extent cx="5943600" cy="39579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957955"/>
                    </a:xfrm>
                    <a:prstGeom prst="rect">
                      <a:avLst/>
                    </a:prstGeom>
                    <a:noFill/>
                    <a:ln>
                      <a:noFill/>
                    </a:ln>
                  </pic:spPr>
                </pic:pic>
              </a:graphicData>
            </a:graphic>
          </wp:inline>
        </w:drawing>
      </w:r>
    </w:p>
    <w:p w14:paraId="340A7978" w14:textId="10E2C8CA" w:rsidR="00D94D9B" w:rsidRPr="008269C2" w:rsidRDefault="00D94D9B" w:rsidP="005676F3">
      <w:pPr>
        <w:widowControl/>
        <w:autoSpaceDE w:val="0"/>
        <w:autoSpaceDN w:val="0"/>
        <w:adjustRightInd w:val="0"/>
        <w:rPr>
          <w:sz w:val="26"/>
          <w:szCs w:val="26"/>
        </w:rPr>
      </w:pPr>
    </w:p>
    <w:p w14:paraId="673D98D7" w14:textId="30671144" w:rsidR="00D94D9B" w:rsidRDefault="00D94D9B" w:rsidP="005676F3">
      <w:pPr>
        <w:widowControl/>
        <w:autoSpaceDE w:val="0"/>
        <w:autoSpaceDN w:val="0"/>
        <w:adjustRightInd w:val="0"/>
        <w:spacing w:line="360" w:lineRule="auto"/>
        <w:rPr>
          <w:sz w:val="26"/>
          <w:szCs w:val="26"/>
        </w:rPr>
      </w:pPr>
      <w:r w:rsidRPr="008702CE">
        <w:rPr>
          <w:i/>
          <w:iCs/>
          <w:sz w:val="26"/>
          <w:szCs w:val="26"/>
        </w:rPr>
        <w:t>See</w:t>
      </w:r>
      <w:r>
        <w:rPr>
          <w:sz w:val="26"/>
          <w:szCs w:val="26"/>
        </w:rPr>
        <w:t xml:space="preserve"> Application Exh. Q, Gannett Fleming Fair Market Value Appraisal Report, Exhs</w:t>
      </w:r>
      <w:r w:rsidR="002C4423">
        <w:rPr>
          <w:sz w:val="26"/>
          <w:szCs w:val="26"/>
        </w:rPr>
        <w:t>.</w:t>
      </w:r>
      <w:r>
        <w:rPr>
          <w:sz w:val="26"/>
          <w:szCs w:val="26"/>
        </w:rPr>
        <w:t xml:space="preserve"> 15, 16; OCA Exh. RCS</w:t>
      </w:r>
      <w:r w:rsidR="008702CE">
        <w:rPr>
          <w:sz w:val="26"/>
          <w:szCs w:val="26"/>
        </w:rPr>
        <w:t xml:space="preserve">-2SR. </w:t>
      </w:r>
    </w:p>
    <w:p w14:paraId="65FC797C" w14:textId="77777777" w:rsidR="00D94D9B" w:rsidRDefault="00D94D9B" w:rsidP="005676F3">
      <w:pPr>
        <w:widowControl/>
        <w:autoSpaceDE w:val="0"/>
        <w:autoSpaceDN w:val="0"/>
        <w:adjustRightInd w:val="0"/>
        <w:spacing w:line="360" w:lineRule="auto"/>
        <w:rPr>
          <w:sz w:val="26"/>
          <w:szCs w:val="26"/>
        </w:rPr>
      </w:pPr>
    </w:p>
    <w:p w14:paraId="447BA24D" w14:textId="18C17246" w:rsidR="00D94D9B" w:rsidRPr="00D94D9B" w:rsidRDefault="00D94D9B" w:rsidP="005676F3">
      <w:pPr>
        <w:widowControl/>
        <w:autoSpaceDE w:val="0"/>
        <w:autoSpaceDN w:val="0"/>
        <w:adjustRightInd w:val="0"/>
        <w:spacing w:line="360" w:lineRule="auto"/>
        <w:ind w:firstLine="1440"/>
        <w:rPr>
          <w:sz w:val="26"/>
          <w:szCs w:val="26"/>
        </w:rPr>
      </w:pPr>
      <w:bookmarkStart w:id="64" w:name="_Hlk90202298"/>
      <w:r>
        <w:rPr>
          <w:sz w:val="26"/>
          <w:szCs w:val="26"/>
        </w:rPr>
        <w:t xml:space="preserve">As can be seen from the above table, </w:t>
      </w:r>
      <w:bookmarkStart w:id="65" w:name="_Hlk90369720"/>
      <w:r>
        <w:rPr>
          <w:sz w:val="26"/>
          <w:szCs w:val="26"/>
        </w:rPr>
        <w:t>the OCA’s proposal has the effect of reducing the portion of Gannett Fleming’s DCF analysis attributable to the present value of the terminal value from 41% to 37%.  Likewise, a</w:t>
      </w:r>
      <w:r w:rsidRPr="00D94D9B">
        <w:rPr>
          <w:sz w:val="26"/>
          <w:szCs w:val="26"/>
        </w:rPr>
        <w:t xml:space="preserve">s </w:t>
      </w:r>
      <w:r>
        <w:rPr>
          <w:sz w:val="26"/>
          <w:szCs w:val="26"/>
        </w:rPr>
        <w:t>illustrated in the following table</w:t>
      </w:r>
      <w:r w:rsidRPr="00D94D9B">
        <w:rPr>
          <w:sz w:val="26"/>
          <w:szCs w:val="26"/>
        </w:rPr>
        <w:t xml:space="preserve">, the OCA’s proposal has the effect of reducing the portion of </w:t>
      </w:r>
      <w:r>
        <w:rPr>
          <w:sz w:val="26"/>
          <w:szCs w:val="26"/>
        </w:rPr>
        <w:t>AUS’</w:t>
      </w:r>
      <w:r w:rsidRPr="00D94D9B">
        <w:rPr>
          <w:sz w:val="26"/>
          <w:szCs w:val="26"/>
        </w:rPr>
        <w:t xml:space="preserve"> DCF analysis attributable to the present value of the terminal value from </w:t>
      </w:r>
      <w:r>
        <w:rPr>
          <w:sz w:val="26"/>
          <w:szCs w:val="26"/>
        </w:rPr>
        <w:t>28</w:t>
      </w:r>
      <w:r w:rsidRPr="00D94D9B">
        <w:rPr>
          <w:sz w:val="26"/>
          <w:szCs w:val="26"/>
        </w:rPr>
        <w:t xml:space="preserve">% to </w:t>
      </w:r>
      <w:r>
        <w:rPr>
          <w:sz w:val="26"/>
          <w:szCs w:val="26"/>
        </w:rPr>
        <w:t>15</w:t>
      </w:r>
      <w:r w:rsidRPr="00D94D9B">
        <w:rPr>
          <w:sz w:val="26"/>
          <w:szCs w:val="26"/>
        </w:rPr>
        <w:t>%.</w:t>
      </w:r>
    </w:p>
    <w:bookmarkEnd w:id="65"/>
    <w:p w14:paraId="418B4A7E" w14:textId="560E338C" w:rsidR="00D94D9B" w:rsidRDefault="00D94D9B" w:rsidP="00B62A85">
      <w:pPr>
        <w:widowControl/>
        <w:autoSpaceDE w:val="0"/>
        <w:autoSpaceDN w:val="0"/>
        <w:adjustRightInd w:val="0"/>
        <w:spacing w:line="360" w:lineRule="auto"/>
        <w:ind w:firstLine="1440"/>
        <w:rPr>
          <w:sz w:val="26"/>
          <w:szCs w:val="26"/>
        </w:rPr>
      </w:pPr>
    </w:p>
    <w:bookmarkEnd w:id="64"/>
    <w:p w14:paraId="5BA51E08" w14:textId="7ECF90D2" w:rsidR="000A08D7" w:rsidRDefault="008269C2" w:rsidP="00CF59AA">
      <w:pPr>
        <w:widowControl/>
        <w:autoSpaceDE w:val="0"/>
        <w:autoSpaceDN w:val="0"/>
        <w:adjustRightInd w:val="0"/>
        <w:spacing w:line="360" w:lineRule="auto"/>
        <w:jc w:val="center"/>
        <w:rPr>
          <w:sz w:val="26"/>
          <w:szCs w:val="26"/>
        </w:rPr>
      </w:pPr>
      <w:r w:rsidRPr="008269C2">
        <w:rPr>
          <w:noProof/>
        </w:rPr>
        <w:drawing>
          <wp:inline distT="0" distB="0" distL="0" distR="0" wp14:anchorId="115E8491" wp14:editId="6BE54FF0">
            <wp:extent cx="4333875" cy="35729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44974" cy="3582060"/>
                    </a:xfrm>
                    <a:prstGeom prst="rect">
                      <a:avLst/>
                    </a:prstGeom>
                    <a:noFill/>
                    <a:ln>
                      <a:noFill/>
                    </a:ln>
                  </pic:spPr>
                </pic:pic>
              </a:graphicData>
            </a:graphic>
          </wp:inline>
        </w:drawing>
      </w:r>
    </w:p>
    <w:p w14:paraId="39C01774" w14:textId="19507F01" w:rsidR="000A08D7" w:rsidRDefault="000A08D7" w:rsidP="005676F3">
      <w:pPr>
        <w:widowControl/>
        <w:autoSpaceDE w:val="0"/>
        <w:autoSpaceDN w:val="0"/>
        <w:adjustRightInd w:val="0"/>
        <w:ind w:firstLine="1440"/>
        <w:rPr>
          <w:sz w:val="26"/>
          <w:szCs w:val="26"/>
        </w:rPr>
      </w:pPr>
    </w:p>
    <w:p w14:paraId="362841C8" w14:textId="1F25F2CE" w:rsidR="008702CE" w:rsidRDefault="008702CE" w:rsidP="008702CE">
      <w:pPr>
        <w:widowControl/>
        <w:autoSpaceDE w:val="0"/>
        <w:autoSpaceDN w:val="0"/>
        <w:adjustRightInd w:val="0"/>
        <w:spacing w:line="360" w:lineRule="auto"/>
        <w:rPr>
          <w:sz w:val="26"/>
          <w:szCs w:val="26"/>
        </w:rPr>
      </w:pPr>
      <w:r w:rsidRPr="008702CE">
        <w:rPr>
          <w:i/>
          <w:iCs/>
          <w:sz w:val="26"/>
          <w:szCs w:val="26"/>
        </w:rPr>
        <w:t>See</w:t>
      </w:r>
      <w:r>
        <w:rPr>
          <w:sz w:val="26"/>
          <w:szCs w:val="26"/>
        </w:rPr>
        <w:t xml:space="preserve"> Application Exh. R, Narrative Report at 9; OCA Exh. RCS-4. </w:t>
      </w:r>
    </w:p>
    <w:p w14:paraId="6F3A4016" w14:textId="28B98C6C" w:rsidR="00637343" w:rsidRDefault="00637343" w:rsidP="008A1FA0">
      <w:pPr>
        <w:widowControl/>
        <w:autoSpaceDE w:val="0"/>
        <w:autoSpaceDN w:val="0"/>
        <w:adjustRightInd w:val="0"/>
        <w:spacing w:line="360" w:lineRule="auto"/>
        <w:rPr>
          <w:sz w:val="26"/>
          <w:szCs w:val="26"/>
        </w:rPr>
      </w:pPr>
    </w:p>
    <w:p w14:paraId="46500CA4" w14:textId="3600E891" w:rsidR="00C84CB5" w:rsidRPr="004B056E" w:rsidRDefault="00C84CB5" w:rsidP="00C84CB5">
      <w:pPr>
        <w:widowControl/>
        <w:autoSpaceDE w:val="0"/>
        <w:autoSpaceDN w:val="0"/>
        <w:adjustRightInd w:val="0"/>
        <w:spacing w:line="360" w:lineRule="auto"/>
        <w:ind w:firstLine="1440"/>
        <w:rPr>
          <w:sz w:val="26"/>
          <w:szCs w:val="26"/>
        </w:rPr>
      </w:pPr>
      <w:r w:rsidRPr="004B056E">
        <w:rPr>
          <w:sz w:val="26"/>
          <w:szCs w:val="26"/>
        </w:rPr>
        <w:t xml:space="preserve">Aqua disagrees with the OCA’s criticism of the Gannett Fleming and AUS terminal values, submitting that as it has been presented in several Section 1329 proceedings and thoroughly rejected by the certified UVEs in each instance.  Aqua argued that Mr. Smith’s criticism is flawed because it changes the present value analysis, which is essential to the </w:t>
      </w:r>
      <w:r w:rsidR="00D704CE">
        <w:rPr>
          <w:sz w:val="26"/>
          <w:szCs w:val="26"/>
        </w:rPr>
        <w:t>I</w:t>
      </w:r>
      <w:r w:rsidRPr="004B056E">
        <w:rPr>
          <w:sz w:val="26"/>
          <w:szCs w:val="26"/>
        </w:rPr>
        <w:t xml:space="preserve">ncome </w:t>
      </w:r>
      <w:r w:rsidR="00D704CE">
        <w:rPr>
          <w:sz w:val="26"/>
          <w:szCs w:val="26"/>
        </w:rPr>
        <w:t>A</w:t>
      </w:r>
      <w:r w:rsidRPr="004B056E">
        <w:rPr>
          <w:sz w:val="26"/>
          <w:szCs w:val="26"/>
        </w:rPr>
        <w:t xml:space="preserve">pproach, to a hybrid analysis that incorporates part of a present value </w:t>
      </w:r>
      <w:r w:rsidR="00D704CE">
        <w:rPr>
          <w:sz w:val="26"/>
          <w:szCs w:val="26"/>
        </w:rPr>
        <w:t>I</w:t>
      </w:r>
      <w:r w:rsidRPr="004B056E">
        <w:rPr>
          <w:sz w:val="26"/>
          <w:szCs w:val="26"/>
        </w:rPr>
        <w:t xml:space="preserve">ncome </w:t>
      </w:r>
      <w:r w:rsidR="00D704CE">
        <w:rPr>
          <w:sz w:val="26"/>
          <w:szCs w:val="26"/>
        </w:rPr>
        <w:t>A</w:t>
      </w:r>
      <w:r w:rsidRPr="004B056E">
        <w:rPr>
          <w:sz w:val="26"/>
          <w:szCs w:val="26"/>
        </w:rPr>
        <w:t xml:space="preserve">pproach with part of a future book value </w:t>
      </w:r>
      <w:r w:rsidR="00D704CE">
        <w:rPr>
          <w:sz w:val="26"/>
          <w:szCs w:val="26"/>
        </w:rPr>
        <w:t>C</w:t>
      </w:r>
      <w:r w:rsidRPr="004B056E">
        <w:rPr>
          <w:sz w:val="26"/>
          <w:szCs w:val="26"/>
        </w:rPr>
        <w:t xml:space="preserve">ost </w:t>
      </w:r>
      <w:r w:rsidR="00D704CE">
        <w:rPr>
          <w:sz w:val="26"/>
          <w:szCs w:val="26"/>
        </w:rPr>
        <w:t>A</w:t>
      </w:r>
      <w:r w:rsidRPr="004B056E">
        <w:rPr>
          <w:sz w:val="26"/>
          <w:szCs w:val="26"/>
        </w:rPr>
        <w:t xml:space="preserve">pproach.  As such, Aqua argued, it is contrary to legislative intent and inconsistent with statutory language that requires a fair market value appraisal reflective of an </w:t>
      </w:r>
      <w:r w:rsidR="00D704CE">
        <w:rPr>
          <w:sz w:val="26"/>
          <w:szCs w:val="26"/>
        </w:rPr>
        <w:t>I</w:t>
      </w:r>
      <w:r w:rsidRPr="004B056E">
        <w:rPr>
          <w:sz w:val="26"/>
          <w:szCs w:val="26"/>
        </w:rPr>
        <w:t xml:space="preserve">ncome </w:t>
      </w:r>
      <w:r w:rsidR="00D704CE">
        <w:rPr>
          <w:sz w:val="26"/>
          <w:szCs w:val="26"/>
        </w:rPr>
        <w:t>A</w:t>
      </w:r>
      <w:r w:rsidRPr="004B056E">
        <w:rPr>
          <w:sz w:val="26"/>
          <w:szCs w:val="26"/>
        </w:rPr>
        <w:t xml:space="preserve">pproach to valuation, not a hybrid </w:t>
      </w:r>
      <w:r w:rsidR="00D704CE">
        <w:rPr>
          <w:sz w:val="26"/>
          <w:szCs w:val="26"/>
        </w:rPr>
        <w:t>I</w:t>
      </w:r>
      <w:r w:rsidRPr="004B056E">
        <w:rPr>
          <w:sz w:val="26"/>
          <w:szCs w:val="26"/>
        </w:rPr>
        <w:t xml:space="preserve">ncome </w:t>
      </w:r>
      <w:r w:rsidR="00D704CE">
        <w:rPr>
          <w:sz w:val="26"/>
          <w:szCs w:val="26"/>
        </w:rPr>
        <w:t>A</w:t>
      </w:r>
      <w:r w:rsidRPr="004B056E">
        <w:rPr>
          <w:sz w:val="26"/>
          <w:szCs w:val="26"/>
        </w:rPr>
        <w:t xml:space="preserve">pproach / </w:t>
      </w:r>
      <w:r w:rsidR="00D704CE">
        <w:rPr>
          <w:sz w:val="26"/>
          <w:szCs w:val="26"/>
        </w:rPr>
        <w:t>C</w:t>
      </w:r>
      <w:r w:rsidRPr="004B056E">
        <w:rPr>
          <w:sz w:val="26"/>
          <w:szCs w:val="26"/>
        </w:rPr>
        <w:t xml:space="preserve">ost </w:t>
      </w:r>
      <w:r w:rsidR="00D704CE">
        <w:rPr>
          <w:sz w:val="26"/>
          <w:szCs w:val="26"/>
        </w:rPr>
        <w:t>A</w:t>
      </w:r>
      <w:r w:rsidRPr="004B056E">
        <w:rPr>
          <w:sz w:val="26"/>
          <w:szCs w:val="26"/>
        </w:rPr>
        <w:t xml:space="preserve">pproach to valuation.  Aqua M.B. at 14.  </w:t>
      </w:r>
    </w:p>
    <w:p w14:paraId="0801D4A9" w14:textId="77777777" w:rsidR="00C84CB5" w:rsidRPr="004B056E" w:rsidRDefault="00C84CB5" w:rsidP="00C84CB5">
      <w:pPr>
        <w:widowControl/>
        <w:autoSpaceDE w:val="0"/>
        <w:autoSpaceDN w:val="0"/>
        <w:adjustRightInd w:val="0"/>
        <w:spacing w:line="360" w:lineRule="auto"/>
        <w:rPr>
          <w:sz w:val="26"/>
          <w:szCs w:val="26"/>
        </w:rPr>
      </w:pPr>
    </w:p>
    <w:p w14:paraId="49480C25" w14:textId="2FC9B7C5" w:rsidR="00C84CB5" w:rsidRPr="004B056E" w:rsidRDefault="00C84CB5" w:rsidP="00C84CB5">
      <w:pPr>
        <w:widowControl/>
        <w:autoSpaceDE w:val="0"/>
        <w:autoSpaceDN w:val="0"/>
        <w:adjustRightInd w:val="0"/>
        <w:spacing w:line="360" w:lineRule="auto"/>
        <w:ind w:firstLine="1440"/>
        <w:rPr>
          <w:sz w:val="26"/>
          <w:szCs w:val="26"/>
        </w:rPr>
      </w:pPr>
      <w:r w:rsidRPr="004B056E">
        <w:rPr>
          <w:sz w:val="26"/>
          <w:szCs w:val="26"/>
        </w:rPr>
        <w:t xml:space="preserve">Aqua asserted that, in this proceeding, the value of the investment in plant and equipment for the LMT system assets is being determined based upon a fair market value standard instead of an original cost standard.  Aqua M.B. at 17 (citing Aqua St. 4-R at 4-5).  Aqua further submitted that the OCA’s proposed use of net plant value from time period 24 (or year 2045) as the terminal value in the </w:t>
      </w:r>
      <w:r w:rsidR="00D704CE">
        <w:rPr>
          <w:sz w:val="26"/>
          <w:szCs w:val="26"/>
        </w:rPr>
        <w:t>I</w:t>
      </w:r>
      <w:r w:rsidRPr="004B056E">
        <w:rPr>
          <w:sz w:val="26"/>
          <w:szCs w:val="26"/>
        </w:rPr>
        <w:t xml:space="preserve">ncome </w:t>
      </w:r>
      <w:r w:rsidR="00D704CE">
        <w:rPr>
          <w:sz w:val="26"/>
          <w:szCs w:val="26"/>
        </w:rPr>
        <w:t>A</w:t>
      </w:r>
      <w:r w:rsidRPr="004B056E">
        <w:rPr>
          <w:sz w:val="26"/>
          <w:szCs w:val="26"/>
        </w:rPr>
        <w:t>pproach:</w:t>
      </w:r>
      <w:r w:rsidR="00CA3070">
        <w:rPr>
          <w:sz w:val="26"/>
          <w:szCs w:val="26"/>
        </w:rPr>
        <w:t xml:space="preserve"> </w:t>
      </w:r>
      <w:r w:rsidRPr="004B056E">
        <w:rPr>
          <w:sz w:val="26"/>
          <w:szCs w:val="26"/>
        </w:rPr>
        <w:t xml:space="preserve"> (1) is not in accordance with accepted valuation practice; (2) is unreasonable; (3) was rejected by the Commission in </w:t>
      </w:r>
      <w:r w:rsidRPr="004B056E">
        <w:rPr>
          <w:i/>
          <w:iCs/>
          <w:sz w:val="26"/>
          <w:szCs w:val="26"/>
        </w:rPr>
        <w:t>Cheltenham</w:t>
      </w:r>
      <w:r w:rsidRPr="004B056E">
        <w:rPr>
          <w:sz w:val="26"/>
          <w:szCs w:val="26"/>
        </w:rPr>
        <w:t xml:space="preserve">; and (4) is inconsistent with the Commission’s decision in </w:t>
      </w:r>
      <w:r w:rsidRPr="004B056E">
        <w:rPr>
          <w:i/>
          <w:iCs/>
          <w:sz w:val="26"/>
          <w:szCs w:val="26"/>
        </w:rPr>
        <w:t>Limerick</w:t>
      </w:r>
      <w:r w:rsidRPr="004B056E">
        <w:rPr>
          <w:sz w:val="26"/>
          <w:szCs w:val="26"/>
        </w:rPr>
        <w:t>, where the Commission accepted “Aqua’s arguments in support of the 13-year model,” which utilized the Gannett Fleming appraisal.</w:t>
      </w:r>
      <w:r w:rsidR="000B5ACE">
        <w:rPr>
          <w:rStyle w:val="FootnoteReference"/>
          <w:sz w:val="26"/>
          <w:szCs w:val="26"/>
        </w:rPr>
        <w:footnoteReference w:id="26"/>
      </w:r>
      <w:r w:rsidRPr="004B056E">
        <w:rPr>
          <w:sz w:val="26"/>
          <w:szCs w:val="26"/>
        </w:rPr>
        <w:t xml:space="preserve">  Aqua M.B. at 16, 17 (citing Aqua St. 4-R at 5, 7; </w:t>
      </w:r>
      <w:r w:rsidRPr="004B056E">
        <w:rPr>
          <w:i/>
          <w:iCs/>
          <w:sz w:val="26"/>
          <w:szCs w:val="26"/>
        </w:rPr>
        <w:t xml:space="preserve">Limerick </w:t>
      </w:r>
      <w:r w:rsidRPr="004B056E">
        <w:rPr>
          <w:sz w:val="26"/>
          <w:szCs w:val="26"/>
        </w:rPr>
        <w:t>at 50).</w:t>
      </w:r>
    </w:p>
    <w:p w14:paraId="6C06BC7C" w14:textId="77777777" w:rsidR="00C84CB5" w:rsidRPr="004B056E" w:rsidRDefault="00C84CB5" w:rsidP="00C84CB5">
      <w:pPr>
        <w:widowControl/>
        <w:autoSpaceDE w:val="0"/>
        <w:autoSpaceDN w:val="0"/>
        <w:adjustRightInd w:val="0"/>
        <w:spacing w:line="360" w:lineRule="auto"/>
        <w:ind w:firstLine="1440"/>
        <w:rPr>
          <w:sz w:val="26"/>
          <w:szCs w:val="26"/>
        </w:rPr>
      </w:pPr>
    </w:p>
    <w:p w14:paraId="5979C11B" w14:textId="77777777" w:rsidR="00C84CB5" w:rsidRPr="004B056E" w:rsidRDefault="00C84CB5" w:rsidP="00C84CB5">
      <w:pPr>
        <w:widowControl/>
        <w:autoSpaceDE w:val="0"/>
        <w:autoSpaceDN w:val="0"/>
        <w:adjustRightInd w:val="0"/>
        <w:spacing w:line="360" w:lineRule="auto"/>
        <w:ind w:firstLine="1440"/>
        <w:rPr>
          <w:sz w:val="26"/>
          <w:szCs w:val="26"/>
        </w:rPr>
      </w:pPr>
      <w:r w:rsidRPr="004B056E">
        <w:rPr>
          <w:sz w:val="26"/>
          <w:szCs w:val="26"/>
        </w:rPr>
        <w:t>The Company provided that the Gannett Fleming appraisal lists the current market multiples applicable to the corresponding financial and operating statistics of the LMT system.  Aqua M.B. at 17 (citing Aqua Exh. 1, Application Exhs. Q, 17 at 1-3).  Aqua stated that its witness, Mr. Walker of Gannett Fleming, provided the following evidentiary analysis demonstrating the market multiples and corresponding financial and operating statistics of the LMT system which were utilized by Mr. Smith:</w:t>
      </w:r>
    </w:p>
    <w:p w14:paraId="2EF1FD8E" w14:textId="77777777" w:rsidR="00C84CB5" w:rsidRPr="004B056E" w:rsidRDefault="00C84CB5" w:rsidP="00C84CB5">
      <w:pPr>
        <w:widowControl/>
        <w:autoSpaceDE w:val="0"/>
        <w:autoSpaceDN w:val="0"/>
        <w:adjustRightInd w:val="0"/>
        <w:spacing w:line="360" w:lineRule="auto"/>
        <w:ind w:firstLine="1440"/>
        <w:rPr>
          <w:sz w:val="26"/>
          <w:szCs w:val="26"/>
        </w:rPr>
      </w:pPr>
    </w:p>
    <w:p w14:paraId="1498F4C6" w14:textId="77777777" w:rsidR="00C84CB5" w:rsidRPr="004B056E" w:rsidRDefault="00C84CB5" w:rsidP="00C84CB5">
      <w:pPr>
        <w:keepNext/>
        <w:keepLines/>
        <w:widowControl/>
        <w:autoSpaceDE w:val="0"/>
        <w:autoSpaceDN w:val="0"/>
        <w:adjustRightInd w:val="0"/>
        <w:spacing w:line="360" w:lineRule="auto"/>
        <w:jc w:val="center"/>
        <w:rPr>
          <w:sz w:val="26"/>
          <w:szCs w:val="26"/>
        </w:rPr>
      </w:pPr>
      <w:r w:rsidRPr="004B056E">
        <w:rPr>
          <w:sz w:val="26"/>
          <w:szCs w:val="26"/>
        </w:rPr>
        <w:t>Table 1</w:t>
      </w:r>
    </w:p>
    <w:p w14:paraId="4AF30EA5" w14:textId="77777777" w:rsidR="00C84CB5" w:rsidRPr="004B056E" w:rsidRDefault="00C84CB5" w:rsidP="00C84CB5">
      <w:pPr>
        <w:widowControl/>
        <w:autoSpaceDE w:val="0"/>
        <w:autoSpaceDN w:val="0"/>
        <w:adjustRightInd w:val="0"/>
        <w:spacing w:line="360" w:lineRule="auto"/>
        <w:jc w:val="center"/>
        <w:rPr>
          <w:sz w:val="26"/>
          <w:szCs w:val="26"/>
        </w:rPr>
      </w:pPr>
      <w:r w:rsidRPr="004B056E">
        <w:rPr>
          <w:noProof/>
          <w:sz w:val="26"/>
          <w:szCs w:val="26"/>
        </w:rPr>
        <w:drawing>
          <wp:inline distT="0" distB="0" distL="0" distR="0" wp14:anchorId="65C7AF0C" wp14:editId="4AA4C4B3">
            <wp:extent cx="4706007" cy="3705742"/>
            <wp:effectExtent l="19050" t="19050" r="18415" b="28575"/>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21"/>
                    <a:stretch>
                      <a:fillRect/>
                    </a:stretch>
                  </pic:blipFill>
                  <pic:spPr>
                    <a:xfrm>
                      <a:off x="0" y="0"/>
                      <a:ext cx="4706007" cy="3705742"/>
                    </a:xfrm>
                    <a:prstGeom prst="rect">
                      <a:avLst/>
                    </a:prstGeom>
                    <a:ln w="9525">
                      <a:solidFill>
                        <a:schemeClr val="tx1"/>
                      </a:solidFill>
                    </a:ln>
                  </pic:spPr>
                </pic:pic>
              </a:graphicData>
            </a:graphic>
          </wp:inline>
        </w:drawing>
      </w:r>
    </w:p>
    <w:p w14:paraId="6985AB0D" w14:textId="77777777" w:rsidR="00C84CB5" w:rsidRPr="004B056E" w:rsidRDefault="00C84CB5" w:rsidP="005676F3">
      <w:pPr>
        <w:widowControl/>
        <w:autoSpaceDE w:val="0"/>
        <w:autoSpaceDN w:val="0"/>
        <w:adjustRightInd w:val="0"/>
        <w:jc w:val="center"/>
        <w:rPr>
          <w:sz w:val="26"/>
          <w:szCs w:val="26"/>
        </w:rPr>
      </w:pPr>
    </w:p>
    <w:p w14:paraId="48000D21" w14:textId="77777777" w:rsidR="00C84CB5" w:rsidRPr="004B056E" w:rsidRDefault="00C84CB5" w:rsidP="00C84CB5">
      <w:pPr>
        <w:widowControl/>
        <w:autoSpaceDE w:val="0"/>
        <w:autoSpaceDN w:val="0"/>
        <w:adjustRightInd w:val="0"/>
        <w:spacing w:line="360" w:lineRule="auto"/>
        <w:rPr>
          <w:sz w:val="26"/>
          <w:szCs w:val="26"/>
        </w:rPr>
      </w:pPr>
      <w:r w:rsidRPr="004B056E">
        <w:rPr>
          <w:sz w:val="26"/>
          <w:szCs w:val="26"/>
        </w:rPr>
        <w:t>Aqua M.B. at 17-18; Aqua St. 4-R at 6.  In referring to the above Table 1, Aqua explained that the indicated future market value in period 24 (year 2045) applicable to each metric range, from $81.664 million to $169.716 million, collectively proves that net plant value (</w:t>
      </w:r>
      <w:proofErr w:type="gramStart"/>
      <w:r w:rsidRPr="004B056E">
        <w:rPr>
          <w:i/>
          <w:iCs/>
          <w:sz w:val="26"/>
          <w:szCs w:val="26"/>
        </w:rPr>
        <w:t>i.e.</w:t>
      </w:r>
      <w:proofErr w:type="gramEnd"/>
      <w:r w:rsidRPr="004B056E">
        <w:rPr>
          <w:sz w:val="26"/>
          <w:szCs w:val="26"/>
        </w:rPr>
        <w:t xml:space="preserve"> $56.320 million) is not a good measure or proxy for future market value, or sales price, of existing assets because the indicated future market value is about 194% higher than Mr. Smith’s recommendation of $56.320 million.  Aqua M.B. at 18 (citing Aqua St. 4-R at 6-7).</w:t>
      </w:r>
    </w:p>
    <w:p w14:paraId="45048B0C" w14:textId="7ED0734B" w:rsidR="00C84CB5" w:rsidRPr="004B056E" w:rsidRDefault="00F347D8" w:rsidP="00C84CB5">
      <w:pPr>
        <w:widowControl/>
        <w:autoSpaceDE w:val="0"/>
        <w:autoSpaceDN w:val="0"/>
        <w:adjustRightInd w:val="0"/>
        <w:spacing w:line="360" w:lineRule="auto"/>
        <w:rPr>
          <w:sz w:val="26"/>
          <w:szCs w:val="26"/>
        </w:rPr>
      </w:pPr>
      <w:r>
        <w:rPr>
          <w:sz w:val="26"/>
          <w:szCs w:val="26"/>
        </w:rPr>
        <w:t xml:space="preserve"> </w:t>
      </w:r>
    </w:p>
    <w:p w14:paraId="5A571FF4" w14:textId="77777777" w:rsidR="00C84CB5" w:rsidRPr="004B056E" w:rsidRDefault="00C84CB5" w:rsidP="00C84CB5">
      <w:pPr>
        <w:widowControl/>
        <w:autoSpaceDE w:val="0"/>
        <w:autoSpaceDN w:val="0"/>
        <w:adjustRightInd w:val="0"/>
        <w:spacing w:line="360" w:lineRule="auto"/>
        <w:ind w:firstLine="1440"/>
        <w:rPr>
          <w:sz w:val="26"/>
          <w:szCs w:val="26"/>
        </w:rPr>
      </w:pPr>
      <w:r w:rsidRPr="004B056E">
        <w:rPr>
          <w:sz w:val="26"/>
          <w:szCs w:val="26"/>
        </w:rPr>
        <w:t>Aqua noted that Mr. Walker disagreed with Mr. Smith’s assertion that a “regulated utility’s net cash flow is a direct function of its plant in service.”  Aqua M.B. at 18 (citing Aqua St. 4-R at 7).  Regarding the LMT system assets, the Company provided that the value of the investment in plant and equipment is being determined in these proceedings.  Aqua further provided that the appraised value estimated by AUS and Gannett Fleming of $54.4 million and $55.5 million, respectively, and the purchase price negotiated by Aqua and LMT of $53.0 million, are higher than the present value of terminal value of the net plant and equipment cost of $28.1 million to $10.0 million used by Mr. Smith.  Aqua M.B. at 18 (citing Aqua St. 4-R at 7; OCA Exhs. RCS-1 at 2-3).</w:t>
      </w:r>
    </w:p>
    <w:p w14:paraId="5B71B040" w14:textId="77777777" w:rsidR="00C84CB5" w:rsidRPr="004B056E" w:rsidRDefault="00C84CB5" w:rsidP="00C84CB5">
      <w:pPr>
        <w:widowControl/>
        <w:autoSpaceDE w:val="0"/>
        <w:autoSpaceDN w:val="0"/>
        <w:adjustRightInd w:val="0"/>
        <w:spacing w:line="360" w:lineRule="auto"/>
        <w:ind w:firstLine="1440"/>
        <w:rPr>
          <w:sz w:val="26"/>
          <w:szCs w:val="26"/>
        </w:rPr>
      </w:pPr>
    </w:p>
    <w:p w14:paraId="33837492" w14:textId="4343EC55" w:rsidR="00C84CB5" w:rsidRPr="004B056E" w:rsidRDefault="00C84CB5" w:rsidP="00C84CB5">
      <w:pPr>
        <w:widowControl/>
        <w:autoSpaceDE w:val="0"/>
        <w:autoSpaceDN w:val="0"/>
        <w:adjustRightInd w:val="0"/>
        <w:spacing w:line="360" w:lineRule="auto"/>
        <w:ind w:firstLine="1440"/>
        <w:rPr>
          <w:sz w:val="26"/>
          <w:szCs w:val="26"/>
        </w:rPr>
      </w:pPr>
      <w:bookmarkStart w:id="66" w:name="_Hlk90025346"/>
      <w:r w:rsidRPr="004B056E">
        <w:rPr>
          <w:sz w:val="26"/>
          <w:szCs w:val="26"/>
        </w:rPr>
        <w:t>Aqua also disagreed with Mr. Smith’s statement that, under the UVE assumptions and modeling techniques, LMT is depreciating and using up its existing plant faster, and to a higher degree, than it is making investments to replace that plant.  The Company countered that, over the course of the 24-year DCF model, the depreciation expense totals $48.251 million and the capital expenditures total $53.979 million.  In the 24th year (2045), Aqua continued, the depreciation expense of $2.357 million and the capital expenditures of $2.321 million result in a difference of less than 2%.  Aqua concluded that, assuming a net plant investment of $56.320 million (year 2045) and a $0.036 million difference between depreciation expense and capital expenditures ($2.357</w:t>
      </w:r>
      <w:r w:rsidR="005676F3">
        <w:rPr>
          <w:sz w:val="26"/>
          <w:szCs w:val="26"/>
        </w:rPr>
        <w:t> </w:t>
      </w:r>
      <w:r w:rsidRPr="004B056E">
        <w:rPr>
          <w:sz w:val="26"/>
          <w:szCs w:val="26"/>
        </w:rPr>
        <w:t>- $2.321), it would take 1,564 years to use up the existing plant investment ($56.320 / $0.036 = 1,564).  Aqua R.B. at 7; Aqua M.B. at 18-19 (citing Aqua St. 4-R at</w:t>
      </w:r>
      <w:r w:rsidR="005676F3">
        <w:rPr>
          <w:sz w:val="26"/>
          <w:szCs w:val="26"/>
        </w:rPr>
        <w:t> </w:t>
      </w:r>
      <w:r w:rsidRPr="004B056E">
        <w:rPr>
          <w:sz w:val="26"/>
          <w:szCs w:val="26"/>
        </w:rPr>
        <w:t>8).</w:t>
      </w:r>
    </w:p>
    <w:bookmarkEnd w:id="66"/>
    <w:p w14:paraId="551BDF67" w14:textId="77777777" w:rsidR="00C84CB5" w:rsidRPr="004B056E" w:rsidRDefault="00C84CB5" w:rsidP="00C84CB5">
      <w:pPr>
        <w:widowControl/>
        <w:autoSpaceDE w:val="0"/>
        <w:autoSpaceDN w:val="0"/>
        <w:adjustRightInd w:val="0"/>
        <w:spacing w:line="360" w:lineRule="auto"/>
        <w:ind w:firstLine="1440"/>
        <w:rPr>
          <w:sz w:val="26"/>
          <w:szCs w:val="26"/>
        </w:rPr>
      </w:pPr>
    </w:p>
    <w:p w14:paraId="29564E82" w14:textId="653500D0" w:rsidR="00C84CB5" w:rsidRPr="004B056E" w:rsidRDefault="00C84CB5" w:rsidP="00C84CB5">
      <w:pPr>
        <w:widowControl/>
        <w:autoSpaceDE w:val="0"/>
        <w:autoSpaceDN w:val="0"/>
        <w:adjustRightInd w:val="0"/>
        <w:spacing w:line="360" w:lineRule="auto"/>
        <w:ind w:firstLine="1440"/>
        <w:rPr>
          <w:sz w:val="26"/>
          <w:szCs w:val="26"/>
        </w:rPr>
      </w:pPr>
      <w:r w:rsidRPr="004B056E">
        <w:rPr>
          <w:sz w:val="26"/>
          <w:szCs w:val="26"/>
        </w:rPr>
        <w:t xml:space="preserve">Additionally, Aqua pointed out that, Mr. Smith acknowledged that he did not properly account for ADIT in his terminal value calculations.  Aqua M.B. at 19 (citing OCA St. 1SR at 15; </w:t>
      </w:r>
      <w:r w:rsidR="002E7048">
        <w:rPr>
          <w:sz w:val="26"/>
          <w:szCs w:val="26"/>
        </w:rPr>
        <w:t xml:space="preserve">OCA </w:t>
      </w:r>
      <w:r w:rsidRPr="004B056E">
        <w:rPr>
          <w:sz w:val="26"/>
          <w:szCs w:val="26"/>
        </w:rPr>
        <w:t>Exh. RCS-2).  However, Aqua contended that, despite Mr. Smith’s suggestion that the oversight occurred because Gannett Fleming had not identified ADIT in its valuation support, Mr. Smith had no reason to think that Gannett Fleming’s valuation supporting details were deficient.  Aqua M.B. at 19.</w:t>
      </w:r>
    </w:p>
    <w:p w14:paraId="6F0E8DC4" w14:textId="77777777" w:rsidR="00C84CB5" w:rsidRPr="004B056E" w:rsidRDefault="00C84CB5" w:rsidP="00C84CB5">
      <w:pPr>
        <w:widowControl/>
        <w:autoSpaceDE w:val="0"/>
        <w:autoSpaceDN w:val="0"/>
        <w:adjustRightInd w:val="0"/>
        <w:spacing w:line="360" w:lineRule="auto"/>
        <w:ind w:firstLine="1440"/>
        <w:rPr>
          <w:sz w:val="26"/>
          <w:szCs w:val="26"/>
        </w:rPr>
      </w:pPr>
    </w:p>
    <w:p w14:paraId="3E835E1F" w14:textId="6FEE3480" w:rsidR="005D033C" w:rsidRDefault="00C84CB5" w:rsidP="00C84CB5">
      <w:pPr>
        <w:widowControl/>
        <w:autoSpaceDE w:val="0"/>
        <w:autoSpaceDN w:val="0"/>
        <w:adjustRightInd w:val="0"/>
        <w:spacing w:line="360" w:lineRule="auto"/>
        <w:ind w:firstLine="1440"/>
        <w:rPr>
          <w:sz w:val="26"/>
          <w:szCs w:val="26"/>
        </w:rPr>
      </w:pPr>
      <w:r w:rsidRPr="004B056E">
        <w:rPr>
          <w:sz w:val="26"/>
          <w:szCs w:val="26"/>
        </w:rPr>
        <w:t xml:space="preserve">Finally, Aqua noted Mr. Walker’s additional observations of Mr. Smith’s use of net plant as the terminal value in the </w:t>
      </w:r>
      <w:r w:rsidR="00786190">
        <w:rPr>
          <w:sz w:val="26"/>
          <w:szCs w:val="26"/>
        </w:rPr>
        <w:t>I</w:t>
      </w:r>
      <w:r w:rsidRPr="004B056E">
        <w:rPr>
          <w:sz w:val="26"/>
          <w:szCs w:val="26"/>
        </w:rPr>
        <w:t xml:space="preserve">ncome </w:t>
      </w:r>
      <w:r w:rsidR="00786190">
        <w:rPr>
          <w:sz w:val="26"/>
          <w:szCs w:val="26"/>
        </w:rPr>
        <w:t>A</w:t>
      </w:r>
      <w:r w:rsidRPr="004B056E">
        <w:rPr>
          <w:sz w:val="26"/>
          <w:szCs w:val="26"/>
        </w:rPr>
        <w:t xml:space="preserve">pproach, including that: </w:t>
      </w:r>
      <w:r w:rsidR="002D3A68">
        <w:rPr>
          <w:sz w:val="26"/>
          <w:szCs w:val="26"/>
        </w:rPr>
        <w:t xml:space="preserve"> </w:t>
      </w:r>
      <w:r w:rsidRPr="004B056E">
        <w:rPr>
          <w:sz w:val="26"/>
          <w:szCs w:val="26"/>
        </w:rPr>
        <w:t>(1) the use of original cost net plant as the terminal value is incorrect; (2) although Gannett Fleming’s analysis used a present value factor of 7.14%, Mr. Smith used a present value factor of 7.61%; (3) although the ratio of ADIT to net plant is never the same for two companies or two income approaches, Mr. Smith’s analysis used a hypothetical value for ADIT; and (4) although the cash flows from the deferred taxes that resulted in the ADIT would offset the negative effect of ADIT, Mr. Smith’s analysis did not include such cash flows.  Aqua M.B. at 19-20.</w:t>
      </w:r>
    </w:p>
    <w:p w14:paraId="74E8D26E" w14:textId="2D074598" w:rsidR="005D033C" w:rsidRPr="005D033C" w:rsidRDefault="005D033C" w:rsidP="005D033C">
      <w:pPr>
        <w:widowControl/>
        <w:autoSpaceDE w:val="0"/>
        <w:autoSpaceDN w:val="0"/>
        <w:adjustRightInd w:val="0"/>
        <w:spacing w:line="360" w:lineRule="auto"/>
        <w:rPr>
          <w:sz w:val="26"/>
          <w:szCs w:val="26"/>
        </w:rPr>
      </w:pPr>
    </w:p>
    <w:p w14:paraId="22AB35A8" w14:textId="7300F7C6" w:rsidR="00EA33D5" w:rsidRDefault="00EA33D5" w:rsidP="00EA33D5">
      <w:pPr>
        <w:widowControl/>
        <w:autoSpaceDE w:val="0"/>
        <w:autoSpaceDN w:val="0"/>
        <w:adjustRightInd w:val="0"/>
        <w:spacing w:line="360" w:lineRule="auto"/>
        <w:ind w:firstLine="1440"/>
        <w:contextualSpacing/>
        <w:rPr>
          <w:sz w:val="26"/>
          <w:szCs w:val="26"/>
        </w:rPr>
      </w:pPr>
      <w:r>
        <w:rPr>
          <w:sz w:val="26"/>
          <w:szCs w:val="26"/>
        </w:rPr>
        <w:t xml:space="preserve">As noted, </w:t>
      </w:r>
      <w:r w:rsidRPr="00937C62">
        <w:rPr>
          <w:i/>
          <w:iCs/>
          <w:sz w:val="26"/>
          <w:szCs w:val="26"/>
        </w:rPr>
        <w:t>supra</w:t>
      </w:r>
      <w:r>
        <w:rPr>
          <w:sz w:val="26"/>
          <w:szCs w:val="26"/>
        </w:rPr>
        <w:t>, t</w:t>
      </w:r>
      <w:r w:rsidRPr="00FB5AB3">
        <w:rPr>
          <w:sz w:val="26"/>
          <w:szCs w:val="26"/>
        </w:rPr>
        <w:t xml:space="preserve">he AUS Income Approach indicated a value </w:t>
      </w:r>
      <w:r>
        <w:rPr>
          <w:sz w:val="26"/>
          <w:szCs w:val="26"/>
        </w:rPr>
        <w:t xml:space="preserve">for the LMT system </w:t>
      </w:r>
      <w:r w:rsidRPr="00FB5AB3">
        <w:rPr>
          <w:sz w:val="26"/>
          <w:szCs w:val="26"/>
        </w:rPr>
        <w:t>of $57,872,959</w:t>
      </w:r>
      <w:r>
        <w:rPr>
          <w:sz w:val="26"/>
          <w:szCs w:val="26"/>
        </w:rPr>
        <w:t>, and Mr. Smith’s adjustment is a downward, or negative, adjustment to the AUS Income Approach value of $9.41 million</w:t>
      </w:r>
      <w:r w:rsidRPr="00FB5AB3">
        <w:rPr>
          <w:sz w:val="26"/>
          <w:szCs w:val="26"/>
        </w:rPr>
        <w:t>.</w:t>
      </w:r>
      <w:r>
        <w:rPr>
          <w:sz w:val="26"/>
          <w:szCs w:val="26"/>
        </w:rPr>
        <w:t xml:space="preserve">  Aqua averred that, </w:t>
      </w:r>
      <w:proofErr w:type="gramStart"/>
      <w:r>
        <w:rPr>
          <w:sz w:val="26"/>
          <w:szCs w:val="26"/>
        </w:rPr>
        <w:t>similar to</w:t>
      </w:r>
      <w:proofErr w:type="gramEnd"/>
      <w:r>
        <w:rPr>
          <w:sz w:val="26"/>
          <w:szCs w:val="26"/>
        </w:rPr>
        <w:t xml:space="preserve"> the Company’s discussion regarding Mr. Smith’s proposed adjustment to the Gannett Fleming Income Approach to value, Mr. Smith’s proposed use of net plant as the terminal value in the AUS Income Approach to value should be denied and rejected for the same reasons.  Aqua M.B. at 20-21.</w:t>
      </w:r>
    </w:p>
    <w:p w14:paraId="1D36451A" w14:textId="77777777" w:rsidR="00EA33D5" w:rsidRDefault="00EA33D5" w:rsidP="00EA33D5">
      <w:pPr>
        <w:widowControl/>
        <w:autoSpaceDE w:val="0"/>
        <w:autoSpaceDN w:val="0"/>
        <w:adjustRightInd w:val="0"/>
        <w:spacing w:line="360" w:lineRule="auto"/>
        <w:ind w:firstLine="1440"/>
        <w:contextualSpacing/>
        <w:rPr>
          <w:sz w:val="26"/>
          <w:szCs w:val="26"/>
        </w:rPr>
      </w:pPr>
    </w:p>
    <w:p w14:paraId="4605AC78" w14:textId="412D41B1" w:rsidR="00EA33D5" w:rsidRDefault="00EA33D5" w:rsidP="00EA33D5">
      <w:pPr>
        <w:widowControl/>
        <w:autoSpaceDE w:val="0"/>
        <w:autoSpaceDN w:val="0"/>
        <w:adjustRightInd w:val="0"/>
        <w:spacing w:line="360" w:lineRule="auto"/>
        <w:ind w:firstLine="1440"/>
        <w:contextualSpacing/>
        <w:rPr>
          <w:sz w:val="26"/>
          <w:szCs w:val="26"/>
        </w:rPr>
      </w:pPr>
      <w:r>
        <w:rPr>
          <w:sz w:val="26"/>
          <w:szCs w:val="26"/>
        </w:rPr>
        <w:t xml:space="preserve">Aqua provided that, according to Mr. Weinert of AUS, Mr. Smith’s proposed use of net plant as the terminal value is unreasonable because Mr. Smith’s analysis replicates AUS’ DCF analysis </w:t>
      </w:r>
      <w:proofErr w:type="gramStart"/>
      <w:r>
        <w:rPr>
          <w:sz w:val="26"/>
          <w:szCs w:val="26"/>
        </w:rPr>
        <w:t>with the exception of</w:t>
      </w:r>
      <w:proofErr w:type="gramEnd"/>
      <w:r>
        <w:rPr>
          <w:sz w:val="26"/>
          <w:szCs w:val="26"/>
        </w:rPr>
        <w:t xml:space="preserve"> period 20 and forward, for which a net book value adjusted for ADIT was substituted.  Further, Mr. Weinert provided that Mr. Smith’s analysis is incorrect for several reasons, including:</w:t>
      </w:r>
      <w:r w:rsidR="002D3A68">
        <w:rPr>
          <w:sz w:val="26"/>
          <w:szCs w:val="26"/>
        </w:rPr>
        <w:t xml:space="preserve"> </w:t>
      </w:r>
      <w:r>
        <w:rPr>
          <w:sz w:val="26"/>
          <w:szCs w:val="26"/>
        </w:rPr>
        <w:t xml:space="preserve"> (1) the benefits to the owner and customers for operating the property efficiently are eliminated; (2) the fact that the LMT property will continue to remain in service for several years after period 19 of the DCF analysis, </w:t>
      </w:r>
      <w:r w:rsidRPr="004F2726">
        <w:rPr>
          <w:sz w:val="26"/>
          <w:szCs w:val="26"/>
        </w:rPr>
        <w:t>which the capitalization of the operation’s cashflows related to periods 20 and beyond is intended to represent</w:t>
      </w:r>
      <w:r>
        <w:rPr>
          <w:sz w:val="26"/>
          <w:szCs w:val="26"/>
        </w:rPr>
        <w:t>,</w:t>
      </w:r>
      <w:r w:rsidRPr="004F2726">
        <w:rPr>
          <w:sz w:val="26"/>
          <w:szCs w:val="26"/>
        </w:rPr>
        <w:t xml:space="preserve"> </w:t>
      </w:r>
      <w:r>
        <w:rPr>
          <w:sz w:val="26"/>
          <w:szCs w:val="26"/>
        </w:rPr>
        <w:t xml:space="preserve">is ignored; and (3) </w:t>
      </w:r>
      <w:r w:rsidRPr="00836D49">
        <w:rPr>
          <w:sz w:val="26"/>
          <w:szCs w:val="26"/>
        </w:rPr>
        <w:t xml:space="preserve">the fact that, during the forecast of future periods cashflows, </w:t>
      </w:r>
      <w:r>
        <w:rPr>
          <w:sz w:val="26"/>
          <w:szCs w:val="26"/>
        </w:rPr>
        <w:t xml:space="preserve">the </w:t>
      </w:r>
      <w:r w:rsidRPr="00836D49">
        <w:rPr>
          <w:sz w:val="26"/>
          <w:szCs w:val="26"/>
        </w:rPr>
        <w:t xml:space="preserve">capital expenditures </w:t>
      </w:r>
      <w:r>
        <w:rPr>
          <w:sz w:val="26"/>
          <w:szCs w:val="26"/>
        </w:rPr>
        <w:t xml:space="preserve">that </w:t>
      </w:r>
      <w:r w:rsidRPr="00836D49">
        <w:rPr>
          <w:sz w:val="26"/>
          <w:szCs w:val="26"/>
        </w:rPr>
        <w:t>amount to $7.6 million</w:t>
      </w:r>
      <w:r>
        <w:rPr>
          <w:sz w:val="26"/>
          <w:szCs w:val="26"/>
        </w:rPr>
        <w:t xml:space="preserve"> for </w:t>
      </w:r>
      <w:r w:rsidRPr="00836D49">
        <w:rPr>
          <w:sz w:val="26"/>
          <w:szCs w:val="26"/>
        </w:rPr>
        <w:t xml:space="preserve">each of those periods </w:t>
      </w:r>
      <w:r>
        <w:rPr>
          <w:sz w:val="26"/>
          <w:szCs w:val="26"/>
        </w:rPr>
        <w:t xml:space="preserve">is ignored.  Moreover, Mr. Weinert noted that the </w:t>
      </w:r>
      <w:r w:rsidRPr="006835FD">
        <w:rPr>
          <w:sz w:val="26"/>
          <w:szCs w:val="26"/>
        </w:rPr>
        <w:t xml:space="preserve">capital expenditures reflect plant renewal which will allow the </w:t>
      </w:r>
      <w:r>
        <w:rPr>
          <w:sz w:val="26"/>
          <w:szCs w:val="26"/>
        </w:rPr>
        <w:t>LMT</w:t>
      </w:r>
      <w:r w:rsidRPr="006835FD">
        <w:rPr>
          <w:sz w:val="26"/>
          <w:szCs w:val="26"/>
        </w:rPr>
        <w:t xml:space="preserve"> property to continue </w:t>
      </w:r>
      <w:r>
        <w:rPr>
          <w:sz w:val="26"/>
          <w:szCs w:val="26"/>
        </w:rPr>
        <w:t>providing</w:t>
      </w:r>
      <w:r w:rsidRPr="006835FD">
        <w:rPr>
          <w:sz w:val="26"/>
          <w:szCs w:val="26"/>
        </w:rPr>
        <w:t xml:space="preserve"> service for the </w:t>
      </w:r>
      <w:r>
        <w:rPr>
          <w:sz w:val="26"/>
          <w:szCs w:val="26"/>
        </w:rPr>
        <w:t>LMT</w:t>
      </w:r>
      <w:r w:rsidRPr="006835FD">
        <w:rPr>
          <w:sz w:val="26"/>
          <w:szCs w:val="26"/>
        </w:rPr>
        <w:t xml:space="preserve"> customers, </w:t>
      </w:r>
      <w:r>
        <w:rPr>
          <w:sz w:val="26"/>
          <w:szCs w:val="26"/>
        </w:rPr>
        <w:t>thereby providing</w:t>
      </w:r>
      <w:r w:rsidRPr="006835FD">
        <w:rPr>
          <w:sz w:val="26"/>
          <w:szCs w:val="26"/>
        </w:rPr>
        <w:t xml:space="preserve"> economic benefit to the property’s owner.</w:t>
      </w:r>
      <w:r>
        <w:rPr>
          <w:sz w:val="26"/>
          <w:szCs w:val="26"/>
        </w:rPr>
        <w:t xml:space="preserve">  Aqua M.B. at 21 (citing Aqua St. 5-R at 9).</w:t>
      </w:r>
    </w:p>
    <w:p w14:paraId="62B65002" w14:textId="77777777" w:rsidR="00EA33D5" w:rsidRDefault="00EA33D5" w:rsidP="00EA33D5">
      <w:pPr>
        <w:widowControl/>
        <w:autoSpaceDE w:val="0"/>
        <w:autoSpaceDN w:val="0"/>
        <w:adjustRightInd w:val="0"/>
        <w:spacing w:line="360" w:lineRule="auto"/>
        <w:ind w:firstLine="1440"/>
        <w:contextualSpacing/>
        <w:rPr>
          <w:sz w:val="26"/>
          <w:szCs w:val="26"/>
        </w:rPr>
      </w:pPr>
    </w:p>
    <w:p w14:paraId="07284375" w14:textId="77777777" w:rsidR="00EA33D5" w:rsidRDefault="00EA33D5" w:rsidP="00EA33D5">
      <w:pPr>
        <w:widowControl/>
        <w:autoSpaceDE w:val="0"/>
        <w:autoSpaceDN w:val="0"/>
        <w:adjustRightInd w:val="0"/>
        <w:spacing w:line="360" w:lineRule="auto"/>
        <w:ind w:firstLine="1440"/>
        <w:contextualSpacing/>
        <w:rPr>
          <w:sz w:val="26"/>
          <w:szCs w:val="26"/>
        </w:rPr>
      </w:pPr>
      <w:r>
        <w:rPr>
          <w:sz w:val="26"/>
          <w:szCs w:val="26"/>
        </w:rPr>
        <w:t>Additionally, Aqua noted that, Mr. Weinert demonstrated that, if the AUS DCF forecast period is increased from 20 periods to 60 periods, the impact of ADIT declines from $4,871,174 to $948,406, with a corresponding present worth of cash flows, based on Mr. Smith’s methodology, of $57,809,909.  Aqua asserted that, when compared to AUS’ original Income Approach value of $57,872,959, Mr. Smith’s adjustment of AUS’ Income Approach to value by a negative $9.41 million to $48,462,957 does not quantify the sum of LMT’s economic returns.  Aqua M.B. at 21-22 (citing Aqua St. 5-R at 10-11).</w:t>
      </w:r>
    </w:p>
    <w:p w14:paraId="3CFC0801" w14:textId="77777777" w:rsidR="00B62A85" w:rsidRPr="008A1FA0" w:rsidRDefault="00B62A85" w:rsidP="008A1FA0">
      <w:pPr>
        <w:widowControl/>
        <w:autoSpaceDE w:val="0"/>
        <w:autoSpaceDN w:val="0"/>
        <w:adjustRightInd w:val="0"/>
        <w:spacing w:line="360" w:lineRule="auto"/>
        <w:rPr>
          <w:sz w:val="26"/>
          <w:szCs w:val="26"/>
        </w:rPr>
      </w:pPr>
    </w:p>
    <w:p w14:paraId="69B395A8" w14:textId="0DE975D4" w:rsidR="004E6B79" w:rsidRPr="008A1FA0" w:rsidRDefault="00A3582A" w:rsidP="005B5A11">
      <w:pPr>
        <w:pStyle w:val="Heading4"/>
      </w:pPr>
      <w:bookmarkStart w:id="67" w:name="_Toc90970731"/>
      <w:r>
        <w:t xml:space="preserve">ALJ’s </w:t>
      </w:r>
      <w:r w:rsidRPr="005B5A11">
        <w:t>Recommendation</w:t>
      </w:r>
      <w:bookmarkEnd w:id="67"/>
    </w:p>
    <w:p w14:paraId="36B5505E" w14:textId="620135E5" w:rsidR="004E6B79" w:rsidRDefault="00A3582A" w:rsidP="002E7C16">
      <w:pPr>
        <w:widowControl/>
        <w:spacing w:line="360" w:lineRule="auto"/>
        <w:rPr>
          <w:sz w:val="26"/>
          <w:szCs w:val="26"/>
        </w:rPr>
      </w:pPr>
      <w:r>
        <w:rPr>
          <w:sz w:val="26"/>
          <w:szCs w:val="26"/>
        </w:rPr>
        <w:t xml:space="preserve"> </w:t>
      </w:r>
    </w:p>
    <w:p w14:paraId="4D0EC9EE" w14:textId="19017075" w:rsidR="00423FE4" w:rsidRDefault="003B3416" w:rsidP="00423FE4">
      <w:pPr>
        <w:widowControl/>
        <w:spacing w:line="360" w:lineRule="auto"/>
        <w:ind w:firstLine="1440"/>
        <w:rPr>
          <w:sz w:val="26"/>
          <w:szCs w:val="26"/>
        </w:rPr>
      </w:pPr>
      <w:r>
        <w:rPr>
          <w:sz w:val="26"/>
          <w:szCs w:val="26"/>
        </w:rPr>
        <w:t>The</w:t>
      </w:r>
      <w:r w:rsidR="005C524B">
        <w:rPr>
          <w:sz w:val="26"/>
          <w:szCs w:val="26"/>
        </w:rPr>
        <w:t xml:space="preserve"> ALJ’s Recommended Decision adopts the OCA’s proposed adjustment</w:t>
      </w:r>
      <w:r w:rsidR="00C11DF3">
        <w:rPr>
          <w:sz w:val="26"/>
          <w:szCs w:val="26"/>
        </w:rPr>
        <w:t xml:space="preserve">s to the </w:t>
      </w:r>
      <w:r w:rsidR="00786190">
        <w:rPr>
          <w:sz w:val="26"/>
          <w:szCs w:val="26"/>
        </w:rPr>
        <w:t>I</w:t>
      </w:r>
      <w:r w:rsidR="00C11DF3">
        <w:rPr>
          <w:sz w:val="26"/>
          <w:szCs w:val="26"/>
        </w:rPr>
        <w:t xml:space="preserve">ncome </w:t>
      </w:r>
      <w:r w:rsidR="00786190">
        <w:rPr>
          <w:sz w:val="26"/>
          <w:szCs w:val="26"/>
        </w:rPr>
        <w:t>A</w:t>
      </w:r>
      <w:r w:rsidR="00C11DF3">
        <w:rPr>
          <w:sz w:val="26"/>
          <w:szCs w:val="26"/>
        </w:rPr>
        <w:t>pproach of Gannett Fleming’s and AUS’ UVEs</w:t>
      </w:r>
      <w:r w:rsidR="0074784C">
        <w:rPr>
          <w:sz w:val="26"/>
          <w:szCs w:val="26"/>
        </w:rPr>
        <w:t>, which recalculates the terminal value using the amount of net plant less ADIT projected to be remaining at the</w:t>
      </w:r>
      <w:r w:rsidR="0049266D">
        <w:rPr>
          <w:sz w:val="26"/>
          <w:szCs w:val="26"/>
        </w:rPr>
        <w:t xml:space="preserve"> end of </w:t>
      </w:r>
      <w:r w:rsidR="00E92248">
        <w:rPr>
          <w:sz w:val="26"/>
          <w:szCs w:val="26"/>
        </w:rPr>
        <w:t>period 24</w:t>
      </w:r>
      <w:r w:rsidR="0049266D">
        <w:rPr>
          <w:sz w:val="26"/>
          <w:szCs w:val="26"/>
        </w:rPr>
        <w:t xml:space="preserve"> and </w:t>
      </w:r>
      <w:r w:rsidR="00E92248">
        <w:rPr>
          <w:sz w:val="26"/>
          <w:szCs w:val="26"/>
        </w:rPr>
        <w:t>19</w:t>
      </w:r>
      <w:r w:rsidR="0049266D">
        <w:rPr>
          <w:sz w:val="26"/>
          <w:szCs w:val="26"/>
        </w:rPr>
        <w:t>, respectively.  ALJ Watson determined that</w:t>
      </w:r>
      <w:r w:rsidR="00423FE4">
        <w:rPr>
          <w:sz w:val="26"/>
          <w:szCs w:val="26"/>
        </w:rPr>
        <w:t xml:space="preserve"> the OCA’s proposal is appropriate</w:t>
      </w:r>
      <w:r w:rsidR="0049266D">
        <w:rPr>
          <w:sz w:val="26"/>
          <w:szCs w:val="26"/>
        </w:rPr>
        <w:t xml:space="preserve"> </w:t>
      </w:r>
      <w:proofErr w:type="gramStart"/>
      <w:r w:rsidR="0049266D">
        <w:rPr>
          <w:sz w:val="26"/>
          <w:szCs w:val="26"/>
        </w:rPr>
        <w:t>in order to</w:t>
      </w:r>
      <w:proofErr w:type="gramEnd"/>
      <w:r w:rsidR="0049266D">
        <w:rPr>
          <w:sz w:val="26"/>
          <w:szCs w:val="26"/>
        </w:rPr>
        <w:t xml:space="preserve"> properly</w:t>
      </w:r>
      <w:r w:rsidR="00C11DF3">
        <w:rPr>
          <w:sz w:val="26"/>
          <w:szCs w:val="26"/>
        </w:rPr>
        <w:t xml:space="preserve"> reflect financial and ratemaking principles under Pennsylvania la</w:t>
      </w:r>
      <w:r w:rsidR="00423FE4">
        <w:rPr>
          <w:sz w:val="26"/>
          <w:szCs w:val="26"/>
        </w:rPr>
        <w:t xml:space="preserve">w. </w:t>
      </w:r>
      <w:r w:rsidR="00C11DF3">
        <w:rPr>
          <w:sz w:val="26"/>
          <w:szCs w:val="26"/>
        </w:rPr>
        <w:t xml:space="preserve"> R.D. at 1, 92</w:t>
      </w:r>
      <w:r w:rsidR="0074784C">
        <w:rPr>
          <w:sz w:val="26"/>
          <w:szCs w:val="26"/>
        </w:rPr>
        <w:t>, and Ordering Paragraph No. 7.</w:t>
      </w:r>
      <w:r w:rsidR="00423FE4">
        <w:rPr>
          <w:sz w:val="26"/>
          <w:szCs w:val="26"/>
        </w:rPr>
        <w:t xml:space="preserve">  </w:t>
      </w:r>
    </w:p>
    <w:p w14:paraId="108229F6" w14:textId="77777777" w:rsidR="00423FE4" w:rsidRDefault="00423FE4" w:rsidP="00423FE4">
      <w:pPr>
        <w:widowControl/>
        <w:spacing w:line="360" w:lineRule="auto"/>
        <w:ind w:firstLine="1440"/>
        <w:rPr>
          <w:sz w:val="26"/>
          <w:szCs w:val="26"/>
        </w:rPr>
      </w:pPr>
    </w:p>
    <w:p w14:paraId="08329A37" w14:textId="1D61715C" w:rsidR="003B3416" w:rsidRDefault="005C524B" w:rsidP="00423FE4">
      <w:pPr>
        <w:widowControl/>
        <w:spacing w:line="360" w:lineRule="auto"/>
        <w:ind w:firstLine="1440"/>
        <w:rPr>
          <w:sz w:val="26"/>
          <w:szCs w:val="26"/>
        </w:rPr>
      </w:pPr>
      <w:r>
        <w:rPr>
          <w:sz w:val="26"/>
          <w:szCs w:val="26"/>
        </w:rPr>
        <w:t>The result of the OCA’s</w:t>
      </w:r>
      <w:r w:rsidR="00A44AD8">
        <w:rPr>
          <w:sz w:val="26"/>
          <w:szCs w:val="26"/>
        </w:rPr>
        <w:t xml:space="preserve"> recommendation, adopted by the ALJ, is a downward adjustment of $4,024,687 to the Gannett Fleming </w:t>
      </w:r>
      <w:r w:rsidR="00786190">
        <w:rPr>
          <w:sz w:val="26"/>
          <w:szCs w:val="26"/>
        </w:rPr>
        <w:t>I</w:t>
      </w:r>
      <w:r w:rsidR="00A44AD8">
        <w:rPr>
          <w:sz w:val="26"/>
          <w:szCs w:val="26"/>
        </w:rPr>
        <w:t xml:space="preserve">ncome </w:t>
      </w:r>
      <w:r w:rsidR="00786190">
        <w:rPr>
          <w:sz w:val="26"/>
          <w:szCs w:val="26"/>
        </w:rPr>
        <w:t>A</w:t>
      </w:r>
      <w:r w:rsidR="00A44AD8">
        <w:rPr>
          <w:sz w:val="26"/>
          <w:szCs w:val="26"/>
        </w:rPr>
        <w:t>pproach to value.</w:t>
      </w:r>
      <w:r w:rsidR="004323E8">
        <w:rPr>
          <w:rStyle w:val="FootnoteReference"/>
          <w:sz w:val="26"/>
          <w:szCs w:val="26"/>
        </w:rPr>
        <w:footnoteReference w:id="27"/>
      </w:r>
      <w:r w:rsidR="00DA5A4C">
        <w:rPr>
          <w:sz w:val="26"/>
          <w:szCs w:val="26"/>
        </w:rPr>
        <w:t xml:space="preserve">  </w:t>
      </w:r>
      <w:r w:rsidR="00953D59">
        <w:rPr>
          <w:sz w:val="26"/>
          <w:szCs w:val="26"/>
        </w:rPr>
        <w:t xml:space="preserve">Likewise, adoption of the OCA’s recommendation on this issue results in a downward adjustment of approximately $9.41 million to the AUS </w:t>
      </w:r>
      <w:r w:rsidR="00786190">
        <w:rPr>
          <w:sz w:val="26"/>
          <w:szCs w:val="26"/>
        </w:rPr>
        <w:t>I</w:t>
      </w:r>
      <w:r w:rsidR="00953D59">
        <w:rPr>
          <w:sz w:val="26"/>
          <w:szCs w:val="26"/>
        </w:rPr>
        <w:t xml:space="preserve">ncome </w:t>
      </w:r>
      <w:r w:rsidR="00786190">
        <w:rPr>
          <w:sz w:val="26"/>
          <w:szCs w:val="26"/>
        </w:rPr>
        <w:t>A</w:t>
      </w:r>
      <w:r w:rsidR="00953D59">
        <w:rPr>
          <w:sz w:val="26"/>
          <w:szCs w:val="26"/>
        </w:rPr>
        <w:t xml:space="preserve">pproach to value.  </w:t>
      </w:r>
      <w:r w:rsidR="00953D59" w:rsidRPr="00953D59">
        <w:rPr>
          <w:i/>
          <w:iCs/>
          <w:sz w:val="26"/>
          <w:szCs w:val="26"/>
        </w:rPr>
        <w:t xml:space="preserve">See </w:t>
      </w:r>
      <w:r w:rsidR="00953D59" w:rsidRPr="00953D59">
        <w:rPr>
          <w:sz w:val="26"/>
          <w:szCs w:val="26"/>
        </w:rPr>
        <w:t>OCA Exh. RCS-4</w:t>
      </w:r>
      <w:r w:rsidR="00953D59">
        <w:rPr>
          <w:sz w:val="26"/>
          <w:szCs w:val="26"/>
        </w:rPr>
        <w:t>.</w:t>
      </w:r>
    </w:p>
    <w:p w14:paraId="64C1BE52" w14:textId="77777777" w:rsidR="00DA5A4C" w:rsidRDefault="00DA5A4C" w:rsidP="002E7C16">
      <w:pPr>
        <w:widowControl/>
        <w:spacing w:line="360" w:lineRule="auto"/>
        <w:rPr>
          <w:sz w:val="26"/>
          <w:szCs w:val="26"/>
        </w:rPr>
      </w:pPr>
    </w:p>
    <w:p w14:paraId="25217B54" w14:textId="038DEC66" w:rsidR="00A3582A" w:rsidRDefault="00A3582A" w:rsidP="005676F3">
      <w:pPr>
        <w:pStyle w:val="Heading4"/>
      </w:pPr>
      <w:bookmarkStart w:id="68" w:name="_Toc90970732"/>
      <w:r>
        <w:t>Aqua Exception No. 1 and Replies</w:t>
      </w:r>
      <w:bookmarkEnd w:id="68"/>
    </w:p>
    <w:p w14:paraId="6977901A" w14:textId="326CB6FD" w:rsidR="004F7CDF" w:rsidRDefault="004F7CDF" w:rsidP="005676F3">
      <w:pPr>
        <w:widowControl/>
        <w:spacing w:line="360" w:lineRule="auto"/>
        <w:rPr>
          <w:sz w:val="26"/>
          <w:szCs w:val="26"/>
        </w:rPr>
      </w:pPr>
    </w:p>
    <w:p w14:paraId="7E3B943D" w14:textId="3A43F787" w:rsidR="00113513" w:rsidRPr="004B056E" w:rsidRDefault="00113513" w:rsidP="005676F3">
      <w:pPr>
        <w:widowControl/>
        <w:spacing w:line="360" w:lineRule="auto"/>
        <w:ind w:firstLine="1440"/>
        <w:contextualSpacing/>
        <w:rPr>
          <w:sz w:val="26"/>
          <w:szCs w:val="26"/>
        </w:rPr>
      </w:pPr>
      <w:r w:rsidRPr="004B056E">
        <w:rPr>
          <w:sz w:val="26"/>
          <w:szCs w:val="26"/>
        </w:rPr>
        <w:t xml:space="preserve">In its Exception No. 1, Aqua maintains that the OCA’s proposed adjustments are not in accordance with valuation practice.  Further, </w:t>
      </w:r>
      <w:r w:rsidR="002E7048">
        <w:rPr>
          <w:sz w:val="26"/>
          <w:szCs w:val="26"/>
        </w:rPr>
        <w:t>Aqua</w:t>
      </w:r>
      <w:r w:rsidRPr="004B056E">
        <w:rPr>
          <w:sz w:val="26"/>
          <w:szCs w:val="26"/>
        </w:rPr>
        <w:t xml:space="preserve"> disagrees with the ALJ’s acceptance of the OCA’s recommended adjustment to the Gannett Fleming </w:t>
      </w:r>
      <w:r w:rsidR="00786190">
        <w:rPr>
          <w:sz w:val="26"/>
          <w:szCs w:val="26"/>
        </w:rPr>
        <w:t>I</w:t>
      </w:r>
      <w:r w:rsidRPr="004B056E">
        <w:rPr>
          <w:sz w:val="26"/>
          <w:szCs w:val="26"/>
        </w:rPr>
        <w:t xml:space="preserve">ncome </w:t>
      </w:r>
      <w:r w:rsidR="00786190">
        <w:rPr>
          <w:sz w:val="26"/>
          <w:szCs w:val="26"/>
        </w:rPr>
        <w:t>A</w:t>
      </w:r>
      <w:r w:rsidRPr="004B056E">
        <w:rPr>
          <w:sz w:val="26"/>
          <w:szCs w:val="26"/>
        </w:rPr>
        <w:t xml:space="preserve">pproach.  The Company argues that the adjustment proposed by the OCA is inconsistent with Commission precedent and the use of net plant as the terminal value in the </w:t>
      </w:r>
      <w:r w:rsidR="00786190">
        <w:rPr>
          <w:sz w:val="26"/>
          <w:szCs w:val="26"/>
        </w:rPr>
        <w:t>I</w:t>
      </w:r>
      <w:r w:rsidRPr="004B056E">
        <w:rPr>
          <w:sz w:val="26"/>
          <w:szCs w:val="26"/>
        </w:rPr>
        <w:t xml:space="preserve">ncome </w:t>
      </w:r>
      <w:r w:rsidR="00786190">
        <w:rPr>
          <w:sz w:val="26"/>
          <w:szCs w:val="26"/>
        </w:rPr>
        <w:t>A</w:t>
      </w:r>
      <w:r w:rsidRPr="004B056E">
        <w:rPr>
          <w:sz w:val="26"/>
          <w:szCs w:val="26"/>
        </w:rPr>
        <w:t xml:space="preserve">pproach, which was rejected by the Commission in </w:t>
      </w:r>
      <w:r w:rsidRPr="004B056E">
        <w:rPr>
          <w:i/>
          <w:iCs/>
          <w:sz w:val="26"/>
          <w:szCs w:val="26"/>
        </w:rPr>
        <w:t>Cheltenham</w:t>
      </w:r>
      <w:r w:rsidRPr="004B056E">
        <w:rPr>
          <w:sz w:val="26"/>
          <w:szCs w:val="26"/>
        </w:rPr>
        <w:t>, is inappropriate in this proceeding.  Aqua Exc. at 6-7 (citing R.D. at 92; Aqua St. 4-R at 7).  Aqua provides that its witness, Mr. Walker of Gannett Fleming, noted that in the instant proceeding, Gannett Fleming utilized the same capitalization rate concept in several prior 1329 proceedings and the concept was not adjusted by the Commission in any of those prior proceedings.</w:t>
      </w:r>
      <w:r w:rsidR="00E12690">
        <w:rPr>
          <w:rStyle w:val="FootnoteReference"/>
          <w:sz w:val="26"/>
          <w:szCs w:val="26"/>
        </w:rPr>
        <w:footnoteReference w:id="28"/>
      </w:r>
      <w:r w:rsidRPr="004B056E">
        <w:rPr>
          <w:sz w:val="26"/>
          <w:szCs w:val="26"/>
        </w:rPr>
        <w:t xml:space="preserve">  Aqua Exc. at 7 (citing Aqua 4-R at 3).</w:t>
      </w:r>
    </w:p>
    <w:p w14:paraId="4EB2E045" w14:textId="77777777" w:rsidR="00113513" w:rsidRPr="004B056E" w:rsidRDefault="00113513" w:rsidP="005676F3">
      <w:pPr>
        <w:widowControl/>
        <w:spacing w:line="360" w:lineRule="auto"/>
        <w:ind w:firstLine="1440"/>
        <w:contextualSpacing/>
        <w:rPr>
          <w:sz w:val="26"/>
          <w:szCs w:val="26"/>
        </w:rPr>
      </w:pPr>
    </w:p>
    <w:p w14:paraId="3F529780" w14:textId="72775989" w:rsidR="00113513" w:rsidRPr="004B056E" w:rsidRDefault="00113513" w:rsidP="005676F3">
      <w:pPr>
        <w:widowControl/>
        <w:spacing w:line="360" w:lineRule="auto"/>
        <w:ind w:firstLine="1440"/>
        <w:contextualSpacing/>
        <w:rPr>
          <w:sz w:val="26"/>
          <w:szCs w:val="26"/>
        </w:rPr>
      </w:pPr>
      <w:r w:rsidRPr="004B056E">
        <w:rPr>
          <w:sz w:val="26"/>
          <w:szCs w:val="26"/>
        </w:rPr>
        <w:t xml:space="preserve">Aqua contends that, contrary to the conclusion of the Recommended Decision, the results and approaches of the OCA’s witness, Mr. Smith, are unreasonable and inconsistent with the Code and the Commission’s analysis in </w:t>
      </w:r>
      <w:r w:rsidRPr="004B056E">
        <w:rPr>
          <w:i/>
          <w:iCs/>
          <w:sz w:val="26"/>
          <w:szCs w:val="26"/>
        </w:rPr>
        <w:t>Cheltenham</w:t>
      </w:r>
      <w:r w:rsidRPr="004B056E">
        <w:rPr>
          <w:sz w:val="26"/>
          <w:szCs w:val="26"/>
        </w:rPr>
        <w:t xml:space="preserve">.  Aqua Exc. at 9.  Aqua cites the </w:t>
      </w:r>
      <w:r w:rsidRPr="004B056E">
        <w:rPr>
          <w:i/>
          <w:iCs/>
          <w:sz w:val="26"/>
          <w:szCs w:val="26"/>
        </w:rPr>
        <w:t>Cheltenham</w:t>
      </w:r>
      <w:r w:rsidRPr="004B056E">
        <w:rPr>
          <w:sz w:val="26"/>
          <w:szCs w:val="26"/>
        </w:rPr>
        <w:t xml:space="preserve"> case to note that the basis to determine whether an adjustment to a UVE’s </w:t>
      </w:r>
      <w:r w:rsidR="00A2048D">
        <w:rPr>
          <w:sz w:val="26"/>
          <w:szCs w:val="26"/>
        </w:rPr>
        <w:t>I</w:t>
      </w:r>
      <w:r w:rsidRPr="004B056E">
        <w:rPr>
          <w:sz w:val="26"/>
          <w:szCs w:val="26"/>
        </w:rPr>
        <w:t xml:space="preserve">ncome </w:t>
      </w:r>
      <w:r w:rsidR="00A2048D">
        <w:rPr>
          <w:sz w:val="26"/>
          <w:szCs w:val="26"/>
        </w:rPr>
        <w:t>A</w:t>
      </w:r>
      <w:r w:rsidRPr="004B056E">
        <w:rPr>
          <w:sz w:val="26"/>
          <w:szCs w:val="26"/>
        </w:rPr>
        <w:t xml:space="preserve">pproach is necessary involves a precedent established for “unreasonable approach” and “unreasonable results.”  </w:t>
      </w:r>
      <w:bookmarkStart w:id="69" w:name="_Hlk90012651"/>
      <w:r w:rsidRPr="004B056E">
        <w:rPr>
          <w:sz w:val="26"/>
          <w:szCs w:val="26"/>
        </w:rPr>
        <w:t xml:space="preserve">Aqua Exc. at </w:t>
      </w:r>
      <w:bookmarkEnd w:id="69"/>
      <w:r w:rsidRPr="004B056E">
        <w:rPr>
          <w:sz w:val="26"/>
          <w:szCs w:val="26"/>
        </w:rPr>
        <w:t>8 (</w:t>
      </w:r>
      <w:r w:rsidRPr="002E7048">
        <w:rPr>
          <w:sz w:val="26"/>
          <w:szCs w:val="26"/>
        </w:rPr>
        <w:t>citing</w:t>
      </w:r>
      <w:r w:rsidRPr="004B056E">
        <w:rPr>
          <w:i/>
          <w:iCs/>
          <w:sz w:val="26"/>
          <w:szCs w:val="26"/>
        </w:rPr>
        <w:t xml:space="preserve"> Cheltenham</w:t>
      </w:r>
      <w:r w:rsidRPr="004B056E">
        <w:rPr>
          <w:sz w:val="26"/>
          <w:szCs w:val="26"/>
        </w:rPr>
        <w:t xml:space="preserve"> at 55, Recommended Decision issued August 1, 2019, at 36-37).  The Company explains that, because Gannett Fleming’s </w:t>
      </w:r>
      <w:r w:rsidR="00A2048D">
        <w:rPr>
          <w:sz w:val="26"/>
          <w:szCs w:val="26"/>
        </w:rPr>
        <w:t>I</w:t>
      </w:r>
      <w:r w:rsidRPr="004B056E">
        <w:rPr>
          <w:sz w:val="26"/>
          <w:szCs w:val="26"/>
        </w:rPr>
        <w:t xml:space="preserve">ncome </w:t>
      </w:r>
      <w:r w:rsidR="00A2048D">
        <w:rPr>
          <w:sz w:val="26"/>
          <w:szCs w:val="26"/>
        </w:rPr>
        <w:t>A</w:t>
      </w:r>
      <w:r w:rsidRPr="004B056E">
        <w:rPr>
          <w:sz w:val="26"/>
          <w:szCs w:val="26"/>
        </w:rPr>
        <w:t xml:space="preserve">pproach produced a value that is approximately 99% of the indicated value determined by Gannett Fleming’s </w:t>
      </w:r>
      <w:r w:rsidR="00A2048D">
        <w:rPr>
          <w:sz w:val="26"/>
          <w:szCs w:val="26"/>
        </w:rPr>
        <w:t>C</w:t>
      </w:r>
      <w:r w:rsidRPr="004B056E">
        <w:rPr>
          <w:sz w:val="26"/>
          <w:szCs w:val="26"/>
        </w:rPr>
        <w:t xml:space="preserve">ost </w:t>
      </w:r>
      <w:r w:rsidR="00A2048D">
        <w:rPr>
          <w:sz w:val="26"/>
          <w:szCs w:val="26"/>
        </w:rPr>
        <w:t>A</w:t>
      </w:r>
      <w:r w:rsidRPr="004B056E">
        <w:rPr>
          <w:sz w:val="26"/>
          <w:szCs w:val="26"/>
        </w:rPr>
        <w:t xml:space="preserve">pproach, the OCA’s witness, Mr. Smith, did not recommend adjusting Gannett Fleming’s </w:t>
      </w:r>
      <w:r w:rsidR="00A2048D">
        <w:rPr>
          <w:sz w:val="26"/>
          <w:szCs w:val="26"/>
        </w:rPr>
        <w:t>C</w:t>
      </w:r>
      <w:r w:rsidRPr="004B056E">
        <w:rPr>
          <w:sz w:val="26"/>
          <w:szCs w:val="26"/>
        </w:rPr>
        <w:t xml:space="preserve">ost </w:t>
      </w:r>
      <w:r w:rsidR="00A2048D">
        <w:rPr>
          <w:sz w:val="26"/>
          <w:szCs w:val="26"/>
        </w:rPr>
        <w:t>A</w:t>
      </w:r>
      <w:r w:rsidRPr="004B056E">
        <w:rPr>
          <w:sz w:val="26"/>
          <w:szCs w:val="26"/>
        </w:rPr>
        <w:t xml:space="preserve">pproach, nor did he claim that Gannett Fleming’s </w:t>
      </w:r>
      <w:r w:rsidR="00A2048D">
        <w:rPr>
          <w:sz w:val="26"/>
          <w:szCs w:val="26"/>
        </w:rPr>
        <w:t>I</w:t>
      </w:r>
      <w:r w:rsidRPr="004B056E">
        <w:rPr>
          <w:sz w:val="26"/>
          <w:szCs w:val="26"/>
        </w:rPr>
        <w:t xml:space="preserve">ncome </w:t>
      </w:r>
      <w:r w:rsidR="00A2048D">
        <w:rPr>
          <w:sz w:val="26"/>
          <w:szCs w:val="26"/>
        </w:rPr>
        <w:t>A</w:t>
      </w:r>
      <w:r w:rsidRPr="004B056E">
        <w:rPr>
          <w:sz w:val="26"/>
          <w:szCs w:val="26"/>
        </w:rPr>
        <w:t xml:space="preserve">pproach was unreasonable or produced unreasonable results.  Comparatively, Aqua continues, Mr. Smith recommended an </w:t>
      </w:r>
      <w:r w:rsidR="00A2048D">
        <w:rPr>
          <w:sz w:val="26"/>
          <w:szCs w:val="26"/>
        </w:rPr>
        <w:t>I</w:t>
      </w:r>
      <w:r w:rsidRPr="004B056E">
        <w:rPr>
          <w:sz w:val="26"/>
          <w:szCs w:val="26"/>
        </w:rPr>
        <w:t xml:space="preserve">ncome </w:t>
      </w:r>
      <w:r w:rsidR="00A2048D">
        <w:rPr>
          <w:sz w:val="26"/>
          <w:szCs w:val="26"/>
        </w:rPr>
        <w:t>A</w:t>
      </w:r>
      <w:r w:rsidRPr="004B056E">
        <w:rPr>
          <w:sz w:val="26"/>
          <w:szCs w:val="26"/>
        </w:rPr>
        <w:t xml:space="preserve">pproach value of $49,717,098, which is 91% and 85% of Mr. Smith’s indicated values recommended under the </w:t>
      </w:r>
      <w:r w:rsidR="00A2048D">
        <w:rPr>
          <w:sz w:val="26"/>
          <w:szCs w:val="26"/>
        </w:rPr>
        <w:t>C</w:t>
      </w:r>
      <w:r w:rsidRPr="004B056E">
        <w:rPr>
          <w:sz w:val="26"/>
          <w:szCs w:val="26"/>
        </w:rPr>
        <w:t xml:space="preserve">ost </w:t>
      </w:r>
      <w:r w:rsidR="00A2048D">
        <w:rPr>
          <w:sz w:val="26"/>
          <w:szCs w:val="26"/>
        </w:rPr>
        <w:t>A</w:t>
      </w:r>
      <w:r w:rsidRPr="004B056E">
        <w:rPr>
          <w:sz w:val="26"/>
          <w:szCs w:val="26"/>
        </w:rPr>
        <w:t xml:space="preserve">pproach and </w:t>
      </w:r>
      <w:r w:rsidR="00A2048D">
        <w:rPr>
          <w:sz w:val="26"/>
          <w:szCs w:val="26"/>
        </w:rPr>
        <w:t>M</w:t>
      </w:r>
      <w:r w:rsidRPr="004B056E">
        <w:rPr>
          <w:sz w:val="26"/>
          <w:szCs w:val="26"/>
        </w:rPr>
        <w:t xml:space="preserve">arket </w:t>
      </w:r>
      <w:r w:rsidR="00A2048D">
        <w:rPr>
          <w:sz w:val="26"/>
          <w:szCs w:val="26"/>
        </w:rPr>
        <w:t>A</w:t>
      </w:r>
      <w:r w:rsidRPr="004B056E">
        <w:rPr>
          <w:sz w:val="26"/>
          <w:szCs w:val="26"/>
        </w:rPr>
        <w:t xml:space="preserve">pproach, respectively.  Aqua Exc. at 9.  </w:t>
      </w:r>
    </w:p>
    <w:p w14:paraId="5E8ADA92" w14:textId="77777777" w:rsidR="00113513" w:rsidRPr="004B056E" w:rsidRDefault="00113513" w:rsidP="00113513">
      <w:pPr>
        <w:widowControl/>
        <w:spacing w:line="360" w:lineRule="auto"/>
        <w:ind w:firstLine="1440"/>
        <w:rPr>
          <w:sz w:val="26"/>
          <w:szCs w:val="26"/>
        </w:rPr>
      </w:pPr>
    </w:p>
    <w:p w14:paraId="0FF00169" w14:textId="77777777" w:rsidR="00113513" w:rsidRPr="004B056E" w:rsidRDefault="00113513" w:rsidP="00113513">
      <w:pPr>
        <w:widowControl/>
        <w:spacing w:line="360" w:lineRule="auto"/>
        <w:ind w:firstLine="1440"/>
        <w:rPr>
          <w:sz w:val="26"/>
          <w:szCs w:val="26"/>
        </w:rPr>
      </w:pPr>
      <w:r w:rsidRPr="004B056E">
        <w:rPr>
          <w:sz w:val="26"/>
          <w:szCs w:val="26"/>
        </w:rPr>
        <w:t>Aqua also claims that, if the Recommended Decision were adopted, then the only method to value assets would be an original cost less depreciation analysis and, therefore, the need to appraise plant assets would be eliminated.  The Company maintains that in this proceeding, the determination of the value of the investment in plant and equipment for the LMT assets is based upon a standard of value of fair market value and not a standard of value of original cost.  Aqua Exc. at 9-10.</w:t>
      </w:r>
    </w:p>
    <w:p w14:paraId="0572E1FB" w14:textId="77777777" w:rsidR="00113513" w:rsidRPr="004B056E" w:rsidRDefault="00113513" w:rsidP="00113513">
      <w:pPr>
        <w:widowControl/>
        <w:spacing w:line="360" w:lineRule="auto"/>
        <w:ind w:firstLine="1440"/>
        <w:rPr>
          <w:sz w:val="26"/>
          <w:szCs w:val="26"/>
        </w:rPr>
      </w:pPr>
    </w:p>
    <w:p w14:paraId="2353FC94" w14:textId="10A9CD3F" w:rsidR="00113513" w:rsidRPr="004B056E" w:rsidRDefault="00113513" w:rsidP="00113513">
      <w:pPr>
        <w:widowControl/>
        <w:spacing w:line="360" w:lineRule="auto"/>
        <w:ind w:firstLine="1440"/>
        <w:rPr>
          <w:sz w:val="26"/>
          <w:szCs w:val="26"/>
        </w:rPr>
      </w:pPr>
      <w:r w:rsidRPr="004B056E">
        <w:rPr>
          <w:sz w:val="26"/>
          <w:szCs w:val="26"/>
        </w:rPr>
        <w:t xml:space="preserve">Aqua reiterates its disagreement with the use of net plant to determine terminal value, explaining that such an action is inconsistent with statutory language because it will change the present value analysis, which is essential to the </w:t>
      </w:r>
      <w:r w:rsidR="00A2048D">
        <w:rPr>
          <w:sz w:val="26"/>
          <w:szCs w:val="26"/>
        </w:rPr>
        <w:t>I</w:t>
      </w:r>
      <w:r w:rsidRPr="004B056E">
        <w:rPr>
          <w:sz w:val="26"/>
          <w:szCs w:val="26"/>
        </w:rPr>
        <w:t xml:space="preserve">ncome </w:t>
      </w:r>
      <w:r w:rsidR="00A2048D">
        <w:rPr>
          <w:sz w:val="26"/>
          <w:szCs w:val="26"/>
        </w:rPr>
        <w:t>A</w:t>
      </w:r>
      <w:r w:rsidRPr="004B056E">
        <w:rPr>
          <w:sz w:val="26"/>
          <w:szCs w:val="26"/>
        </w:rPr>
        <w:t xml:space="preserve">pproach, to a hybrid analysis, which incorporates part of a present value </w:t>
      </w:r>
      <w:r w:rsidR="00A2048D">
        <w:rPr>
          <w:sz w:val="26"/>
          <w:szCs w:val="26"/>
        </w:rPr>
        <w:t>I</w:t>
      </w:r>
      <w:r w:rsidRPr="004B056E">
        <w:rPr>
          <w:sz w:val="26"/>
          <w:szCs w:val="26"/>
        </w:rPr>
        <w:t xml:space="preserve">ncome </w:t>
      </w:r>
      <w:r w:rsidR="00A2048D">
        <w:rPr>
          <w:sz w:val="26"/>
          <w:szCs w:val="26"/>
        </w:rPr>
        <w:t>A</w:t>
      </w:r>
      <w:r w:rsidRPr="004B056E">
        <w:rPr>
          <w:sz w:val="26"/>
          <w:szCs w:val="26"/>
        </w:rPr>
        <w:t xml:space="preserve">pproach and part of a future book value </w:t>
      </w:r>
      <w:r w:rsidR="00A2048D">
        <w:rPr>
          <w:sz w:val="26"/>
          <w:szCs w:val="26"/>
        </w:rPr>
        <w:t>C</w:t>
      </w:r>
      <w:r w:rsidRPr="004B056E">
        <w:rPr>
          <w:sz w:val="26"/>
          <w:szCs w:val="26"/>
        </w:rPr>
        <w:t xml:space="preserve">ost </w:t>
      </w:r>
      <w:r w:rsidR="00A2048D">
        <w:rPr>
          <w:sz w:val="26"/>
          <w:szCs w:val="26"/>
        </w:rPr>
        <w:t>A</w:t>
      </w:r>
      <w:r w:rsidRPr="004B056E">
        <w:rPr>
          <w:sz w:val="26"/>
          <w:szCs w:val="26"/>
        </w:rPr>
        <w:t xml:space="preserve">pproach.  Aqua Exc. at 10.  The Company argues that the use of a terminal value within the </w:t>
      </w:r>
      <w:r w:rsidR="00A2048D">
        <w:rPr>
          <w:sz w:val="26"/>
          <w:szCs w:val="26"/>
        </w:rPr>
        <w:t>I</w:t>
      </w:r>
      <w:r w:rsidRPr="004B056E">
        <w:rPr>
          <w:sz w:val="26"/>
          <w:szCs w:val="26"/>
        </w:rPr>
        <w:t xml:space="preserve">ncome </w:t>
      </w:r>
      <w:r w:rsidR="00A2048D">
        <w:rPr>
          <w:sz w:val="26"/>
          <w:szCs w:val="26"/>
        </w:rPr>
        <w:t>A</w:t>
      </w:r>
      <w:r w:rsidRPr="004B056E">
        <w:rPr>
          <w:sz w:val="26"/>
          <w:szCs w:val="26"/>
        </w:rPr>
        <w:t>pproach based on something other than a present value analysis is incorrect and inconsistent with Mr. Smith’s statement that the “income approach involves capitalizing and discounting a future income stream to a present value.”  Aqua Exc. at 10 (citing OCA St. 1 at 30).</w:t>
      </w:r>
    </w:p>
    <w:p w14:paraId="680D7B8D" w14:textId="77777777" w:rsidR="00113513" w:rsidRPr="004B056E" w:rsidRDefault="00113513" w:rsidP="00113513">
      <w:pPr>
        <w:widowControl/>
        <w:spacing w:line="360" w:lineRule="auto"/>
        <w:ind w:firstLine="1440"/>
        <w:rPr>
          <w:sz w:val="26"/>
          <w:szCs w:val="26"/>
        </w:rPr>
      </w:pPr>
    </w:p>
    <w:p w14:paraId="6849BC7E" w14:textId="6B5DC89A" w:rsidR="00113513" w:rsidRPr="004B056E" w:rsidRDefault="00113513" w:rsidP="00113513">
      <w:pPr>
        <w:widowControl/>
        <w:spacing w:line="360" w:lineRule="auto"/>
        <w:ind w:firstLine="1440"/>
        <w:rPr>
          <w:sz w:val="26"/>
          <w:szCs w:val="26"/>
        </w:rPr>
      </w:pPr>
      <w:r w:rsidRPr="004B056E">
        <w:rPr>
          <w:sz w:val="26"/>
          <w:szCs w:val="26"/>
        </w:rPr>
        <w:t>Aqua also repeats that its witness, Mr. Walker, a qualified UVE of Gannett Fleming, explained that the use of net plant from time period 24 as the terminal value in the Gannett</w:t>
      </w:r>
      <w:r w:rsidR="002E7048">
        <w:rPr>
          <w:sz w:val="26"/>
          <w:szCs w:val="26"/>
        </w:rPr>
        <w:t xml:space="preserve"> Fleming</w:t>
      </w:r>
      <w:r w:rsidRPr="004B056E">
        <w:rPr>
          <w:sz w:val="26"/>
          <w:szCs w:val="26"/>
        </w:rPr>
        <w:t xml:space="preserve"> </w:t>
      </w:r>
      <w:r w:rsidR="00A2048D">
        <w:rPr>
          <w:sz w:val="26"/>
          <w:szCs w:val="26"/>
        </w:rPr>
        <w:t>I</w:t>
      </w:r>
      <w:r w:rsidRPr="004B056E">
        <w:rPr>
          <w:sz w:val="26"/>
          <w:szCs w:val="26"/>
        </w:rPr>
        <w:t xml:space="preserve">ncome </w:t>
      </w:r>
      <w:r w:rsidR="00A2048D">
        <w:rPr>
          <w:sz w:val="26"/>
          <w:szCs w:val="26"/>
        </w:rPr>
        <w:t>A</w:t>
      </w:r>
      <w:r w:rsidRPr="004B056E">
        <w:rPr>
          <w:sz w:val="26"/>
          <w:szCs w:val="26"/>
        </w:rPr>
        <w:t>pproach is not in accordance with valuation practice and is not a good measure or proxy for future market value.</w:t>
      </w:r>
      <w:r w:rsidRPr="004B056E">
        <w:rPr>
          <w:rStyle w:val="FootnoteReference"/>
          <w:sz w:val="26"/>
          <w:szCs w:val="26"/>
        </w:rPr>
        <w:footnoteReference w:id="29"/>
      </w:r>
      <w:r w:rsidRPr="004B056E">
        <w:rPr>
          <w:sz w:val="26"/>
          <w:szCs w:val="26"/>
        </w:rPr>
        <w:t xml:space="preserve">  Aqua refers to Mr. Walker’s analysis of market multiples and the corresponding financial and operating statistics of the LMT system provided, which was utilized by Mr. Smith, to criticize Mr. Smith’s recommendation of future net plant value of $56.320 million (year 2045).  Aqua Exc. at</w:t>
      </w:r>
      <w:r w:rsidR="005676F3">
        <w:rPr>
          <w:sz w:val="26"/>
          <w:szCs w:val="26"/>
        </w:rPr>
        <w:t> </w:t>
      </w:r>
      <w:r w:rsidRPr="004B056E">
        <w:rPr>
          <w:sz w:val="26"/>
          <w:szCs w:val="26"/>
        </w:rPr>
        <w:t xml:space="preserve">11-12 (citing Aqua St. 4-R at 6-7).  According to Aqua, the statement that the values in Mr. Walker’s analysis are “grossly excessive” reflects a misapprehension of the purpose of those values, as the values reflect </w:t>
      </w:r>
      <w:r w:rsidRPr="004B056E">
        <w:rPr>
          <w:i/>
          <w:iCs/>
          <w:sz w:val="26"/>
          <w:szCs w:val="26"/>
        </w:rPr>
        <w:t>future</w:t>
      </w:r>
      <w:r w:rsidRPr="004B056E">
        <w:rPr>
          <w:sz w:val="26"/>
          <w:szCs w:val="26"/>
        </w:rPr>
        <w:t xml:space="preserve"> values (year 2045), but the OCA’s comparison of those values to Gannett Fleming’s </w:t>
      </w:r>
      <w:r w:rsidR="00AF22A3">
        <w:rPr>
          <w:sz w:val="26"/>
          <w:szCs w:val="26"/>
        </w:rPr>
        <w:t>I</w:t>
      </w:r>
      <w:r w:rsidRPr="004B056E">
        <w:rPr>
          <w:sz w:val="26"/>
          <w:szCs w:val="26"/>
        </w:rPr>
        <w:t xml:space="preserve">ncome </w:t>
      </w:r>
      <w:r w:rsidR="00AF22A3">
        <w:rPr>
          <w:sz w:val="26"/>
          <w:szCs w:val="26"/>
        </w:rPr>
        <w:t>A</w:t>
      </w:r>
      <w:r w:rsidRPr="004B056E">
        <w:rPr>
          <w:sz w:val="26"/>
          <w:szCs w:val="26"/>
        </w:rPr>
        <w:t xml:space="preserve">pproach of $53.741 million reflects a </w:t>
      </w:r>
      <w:r w:rsidRPr="004B056E">
        <w:rPr>
          <w:i/>
          <w:iCs/>
          <w:sz w:val="26"/>
          <w:szCs w:val="26"/>
        </w:rPr>
        <w:t>present</w:t>
      </w:r>
      <w:r w:rsidRPr="004B056E">
        <w:rPr>
          <w:sz w:val="26"/>
          <w:szCs w:val="26"/>
        </w:rPr>
        <w:t xml:space="preserve"> value (year 2021).  Aqua Exc. at 12 (citing R.D. at 85).</w:t>
      </w:r>
    </w:p>
    <w:p w14:paraId="6FD119AB" w14:textId="77777777" w:rsidR="00113513" w:rsidRPr="004B056E" w:rsidRDefault="00113513" w:rsidP="00113513">
      <w:pPr>
        <w:widowControl/>
        <w:spacing w:line="360" w:lineRule="auto"/>
        <w:ind w:firstLine="1440"/>
        <w:rPr>
          <w:sz w:val="26"/>
          <w:szCs w:val="26"/>
        </w:rPr>
      </w:pPr>
    </w:p>
    <w:p w14:paraId="43D2A48A" w14:textId="12A0D8DE" w:rsidR="00113513" w:rsidRPr="004B056E" w:rsidRDefault="00113513" w:rsidP="00B93E05">
      <w:pPr>
        <w:widowControl/>
        <w:spacing w:line="360" w:lineRule="auto"/>
        <w:ind w:firstLine="1440"/>
        <w:rPr>
          <w:sz w:val="26"/>
          <w:szCs w:val="26"/>
        </w:rPr>
      </w:pPr>
      <w:r w:rsidRPr="004B056E">
        <w:rPr>
          <w:sz w:val="26"/>
          <w:szCs w:val="26"/>
        </w:rPr>
        <w:t xml:space="preserve">Aqua maintains its disagreement with Mr. Smith’s statement that, under the assumptions and modeling techniques of the UVE, LMT is depreciating and using up its existing plant faster than it is making investments for plant replacement.  The Company continues to claim $48.251 million of depreciation expense and $53.979 million of capital expense over the 24-year DCF model and, in the 24th year (2045), the depreciation expenses are $2.357 </w:t>
      </w:r>
      <w:proofErr w:type="gramStart"/>
      <w:r w:rsidRPr="004B056E">
        <w:rPr>
          <w:sz w:val="26"/>
          <w:szCs w:val="26"/>
        </w:rPr>
        <w:t>million</w:t>
      </w:r>
      <w:proofErr w:type="gramEnd"/>
      <w:r w:rsidRPr="004B056E">
        <w:rPr>
          <w:sz w:val="26"/>
          <w:szCs w:val="26"/>
        </w:rPr>
        <w:t xml:space="preserve"> and the capital expenditures are $2.321 million, resulting in a difference of less than 2%.  Therefore, Aqua concludes that, based on a net </w:t>
      </w:r>
      <w:bookmarkStart w:id="70" w:name="_Hlk90026968"/>
      <w:r w:rsidRPr="004B056E">
        <w:rPr>
          <w:sz w:val="26"/>
          <w:szCs w:val="26"/>
        </w:rPr>
        <w:t xml:space="preserve">plant investment of $56.320 million </w:t>
      </w:r>
      <w:bookmarkEnd w:id="70"/>
      <w:r w:rsidRPr="004B056E">
        <w:rPr>
          <w:sz w:val="26"/>
          <w:szCs w:val="26"/>
        </w:rPr>
        <w:t>(year 2045) and a $0.036 million difference between depreciation expense and capital expenditures ($2.357 - $2.321), Mr. Smith was incorrect to suggest that the rate base approaches zero or becomes negative.  Aqua Exc. at 12-13 (citing R.D. at 85-87; Aqua St. 4-R at 8).  Additionally, Aqua clarifies, based on the $0.036 million difference between depreciation expense and capital expenditures, the $56.320 million plant investment account balance would last 1,564 years.  Aqua Exc. at</w:t>
      </w:r>
      <w:r w:rsidR="005676F3">
        <w:rPr>
          <w:sz w:val="26"/>
          <w:szCs w:val="26"/>
        </w:rPr>
        <w:t> </w:t>
      </w:r>
      <w:r w:rsidRPr="004B056E">
        <w:rPr>
          <w:sz w:val="26"/>
          <w:szCs w:val="26"/>
        </w:rPr>
        <w:t>13.</w:t>
      </w:r>
    </w:p>
    <w:p w14:paraId="02FF1FDF" w14:textId="77777777" w:rsidR="00113513" w:rsidRPr="004B056E" w:rsidRDefault="00113513" w:rsidP="00B93E05">
      <w:pPr>
        <w:widowControl/>
        <w:spacing w:line="360" w:lineRule="auto"/>
        <w:ind w:firstLine="1440"/>
        <w:rPr>
          <w:sz w:val="26"/>
          <w:szCs w:val="26"/>
        </w:rPr>
      </w:pPr>
    </w:p>
    <w:p w14:paraId="10766A68" w14:textId="4F33B1AE" w:rsidR="00113513" w:rsidRPr="004B056E" w:rsidRDefault="00113513" w:rsidP="00B93E05">
      <w:pPr>
        <w:widowControl/>
        <w:spacing w:line="360" w:lineRule="auto"/>
        <w:ind w:firstLine="1440"/>
        <w:contextualSpacing/>
        <w:rPr>
          <w:sz w:val="26"/>
          <w:szCs w:val="26"/>
        </w:rPr>
      </w:pPr>
      <w:r w:rsidRPr="004B056E">
        <w:rPr>
          <w:sz w:val="26"/>
          <w:szCs w:val="26"/>
        </w:rPr>
        <w:t xml:space="preserve">Aqua also criticizes Mr. Smith’s use of net plant to determine the terminal value.  According to the Company, Mr. Smith recommended that net plant is worth at least 1.45x under the </w:t>
      </w:r>
      <w:r w:rsidR="00AF22A3">
        <w:rPr>
          <w:sz w:val="26"/>
          <w:szCs w:val="26"/>
        </w:rPr>
        <w:t>M</w:t>
      </w:r>
      <w:r w:rsidRPr="004B056E">
        <w:rPr>
          <w:sz w:val="26"/>
          <w:szCs w:val="26"/>
        </w:rPr>
        <w:t xml:space="preserve">arket </w:t>
      </w:r>
      <w:r w:rsidR="00AF22A3">
        <w:rPr>
          <w:sz w:val="26"/>
          <w:szCs w:val="26"/>
        </w:rPr>
        <w:t>A</w:t>
      </w:r>
      <w:r w:rsidRPr="004B056E">
        <w:rPr>
          <w:sz w:val="26"/>
          <w:szCs w:val="26"/>
        </w:rPr>
        <w:t xml:space="preserve">pproach; however, Mr. Smith claims in his </w:t>
      </w:r>
      <w:r w:rsidR="00AF22A3">
        <w:rPr>
          <w:sz w:val="26"/>
          <w:szCs w:val="26"/>
        </w:rPr>
        <w:t>I</w:t>
      </w:r>
      <w:r w:rsidRPr="004B056E">
        <w:rPr>
          <w:sz w:val="26"/>
          <w:szCs w:val="26"/>
        </w:rPr>
        <w:t xml:space="preserve">ncome </w:t>
      </w:r>
      <w:r w:rsidR="00AF22A3">
        <w:rPr>
          <w:sz w:val="26"/>
          <w:szCs w:val="26"/>
        </w:rPr>
        <w:t>A</w:t>
      </w:r>
      <w:r w:rsidRPr="004B056E">
        <w:rPr>
          <w:sz w:val="26"/>
          <w:szCs w:val="26"/>
        </w:rPr>
        <w:t xml:space="preserve">pproach that net plant used to determine terminal value is worth 1.00x.  Aqua Exc. at 13 (citing OCA St. 1 at 34).   </w:t>
      </w:r>
    </w:p>
    <w:p w14:paraId="29DCDAB2" w14:textId="77777777" w:rsidR="00113513" w:rsidRPr="004B056E" w:rsidRDefault="00113513" w:rsidP="00113513">
      <w:pPr>
        <w:widowControl/>
        <w:spacing w:line="360" w:lineRule="auto"/>
        <w:ind w:firstLine="1440"/>
        <w:contextualSpacing/>
        <w:rPr>
          <w:sz w:val="26"/>
          <w:szCs w:val="26"/>
        </w:rPr>
      </w:pPr>
    </w:p>
    <w:p w14:paraId="18BEB103" w14:textId="5F325637" w:rsidR="00113513" w:rsidRPr="004B056E" w:rsidRDefault="00113513" w:rsidP="00113513">
      <w:pPr>
        <w:widowControl/>
        <w:autoSpaceDE w:val="0"/>
        <w:autoSpaceDN w:val="0"/>
        <w:adjustRightInd w:val="0"/>
        <w:spacing w:line="360" w:lineRule="auto"/>
        <w:ind w:firstLine="1440"/>
        <w:rPr>
          <w:sz w:val="26"/>
          <w:szCs w:val="26"/>
        </w:rPr>
      </w:pPr>
      <w:r w:rsidRPr="004B056E">
        <w:rPr>
          <w:sz w:val="26"/>
          <w:szCs w:val="26"/>
        </w:rPr>
        <w:t>Additionally, Aqua repeats its disagreement regarding the determination of the value of the investment in plant and equipment system assets of LMT.  Aqua maintains that the appraised values estimated by AUS and Gannett Fleming of $54.4 million and $55.5 million, respectively, and the purchase price negotiated by Aqua and LMT of $53.0 million, are higher than Mr. Smith’s present value of terminal value of net plant and equipment cost of $28.1 million to $10.0 million.  Aqua Exc. at 13-14 (citing Aqua St. 4-R at 7; OCA Exh. RCS-1 at 2-3).</w:t>
      </w:r>
    </w:p>
    <w:p w14:paraId="66998B77" w14:textId="77777777" w:rsidR="00113513" w:rsidRPr="004B056E" w:rsidRDefault="00113513" w:rsidP="00113513">
      <w:pPr>
        <w:widowControl/>
        <w:autoSpaceDE w:val="0"/>
        <w:autoSpaceDN w:val="0"/>
        <w:adjustRightInd w:val="0"/>
        <w:spacing w:line="360" w:lineRule="auto"/>
        <w:ind w:firstLine="1440"/>
        <w:rPr>
          <w:sz w:val="26"/>
          <w:szCs w:val="26"/>
        </w:rPr>
      </w:pPr>
    </w:p>
    <w:p w14:paraId="2B884A18" w14:textId="14E9124B" w:rsidR="00113513" w:rsidRPr="004B056E" w:rsidRDefault="00113513" w:rsidP="005676F3">
      <w:pPr>
        <w:widowControl/>
        <w:autoSpaceDE w:val="0"/>
        <w:autoSpaceDN w:val="0"/>
        <w:adjustRightInd w:val="0"/>
        <w:spacing w:line="360" w:lineRule="auto"/>
        <w:ind w:firstLine="1440"/>
        <w:rPr>
          <w:sz w:val="26"/>
          <w:szCs w:val="26"/>
        </w:rPr>
      </w:pPr>
      <w:r w:rsidRPr="004B056E">
        <w:rPr>
          <w:sz w:val="26"/>
          <w:szCs w:val="26"/>
        </w:rPr>
        <w:t xml:space="preserve">Aqua also reiterates Mr. Walker’s criticisms of Mr. Smith’s use of net plant as the terminal value in the </w:t>
      </w:r>
      <w:r w:rsidR="00AF22A3">
        <w:rPr>
          <w:sz w:val="26"/>
          <w:szCs w:val="26"/>
        </w:rPr>
        <w:t>I</w:t>
      </w:r>
      <w:r w:rsidRPr="004B056E">
        <w:rPr>
          <w:sz w:val="26"/>
          <w:szCs w:val="26"/>
        </w:rPr>
        <w:t xml:space="preserve">ncome </w:t>
      </w:r>
      <w:r w:rsidR="00AF22A3">
        <w:rPr>
          <w:sz w:val="26"/>
          <w:szCs w:val="26"/>
        </w:rPr>
        <w:t>A</w:t>
      </w:r>
      <w:r w:rsidRPr="004B056E">
        <w:rPr>
          <w:sz w:val="26"/>
          <w:szCs w:val="26"/>
        </w:rPr>
        <w:t>pproach, including that:</w:t>
      </w:r>
      <w:r w:rsidR="008B5984">
        <w:rPr>
          <w:sz w:val="26"/>
          <w:szCs w:val="26"/>
        </w:rPr>
        <w:t xml:space="preserve"> </w:t>
      </w:r>
      <w:r w:rsidRPr="004B056E">
        <w:rPr>
          <w:sz w:val="26"/>
          <w:szCs w:val="26"/>
        </w:rPr>
        <w:t xml:space="preserve"> (1) the use of original cost net plant as the terminal value is incorrect; (2) although Gannett Fleming’s analysis used a discount rate of 7.14%, Mr. Smith used an incorrect discount rate of 7.61%; (3)</w:t>
      </w:r>
      <w:r w:rsidR="005676F3">
        <w:rPr>
          <w:sz w:val="26"/>
          <w:szCs w:val="26"/>
        </w:rPr>
        <w:t> </w:t>
      </w:r>
      <w:r w:rsidRPr="004B056E">
        <w:rPr>
          <w:sz w:val="26"/>
          <w:szCs w:val="26"/>
        </w:rPr>
        <w:t xml:space="preserve">although the ratio of ADIT to net plant is never the same for two companies or two </w:t>
      </w:r>
      <w:r w:rsidR="00AF22A3">
        <w:rPr>
          <w:sz w:val="26"/>
          <w:szCs w:val="26"/>
        </w:rPr>
        <w:t>I</w:t>
      </w:r>
      <w:r w:rsidRPr="004B056E">
        <w:rPr>
          <w:sz w:val="26"/>
          <w:szCs w:val="26"/>
        </w:rPr>
        <w:t xml:space="preserve">ncome </w:t>
      </w:r>
      <w:r w:rsidR="00AF22A3">
        <w:rPr>
          <w:sz w:val="26"/>
          <w:szCs w:val="26"/>
        </w:rPr>
        <w:t>A</w:t>
      </w:r>
      <w:r w:rsidRPr="004B056E">
        <w:rPr>
          <w:sz w:val="26"/>
          <w:szCs w:val="26"/>
        </w:rPr>
        <w:t>pproaches, Mr. Smith’s analysis used a hypothetical value for ADIT; and (4)</w:t>
      </w:r>
      <w:r w:rsidR="005676F3">
        <w:rPr>
          <w:sz w:val="26"/>
          <w:szCs w:val="26"/>
        </w:rPr>
        <w:t> </w:t>
      </w:r>
      <w:r w:rsidRPr="004B056E">
        <w:rPr>
          <w:sz w:val="26"/>
          <w:szCs w:val="26"/>
        </w:rPr>
        <w:t>although the cash flows from the deferred taxes that resulted in the ADIT would offset the negative effect of ADIT, Mr. Smith’s analysis did not include such cash flows.  Aqua Exc. at 14.</w:t>
      </w:r>
    </w:p>
    <w:p w14:paraId="268F49D8" w14:textId="77777777" w:rsidR="00113513" w:rsidRPr="004B056E" w:rsidRDefault="00113513" w:rsidP="00113513">
      <w:pPr>
        <w:widowControl/>
        <w:autoSpaceDE w:val="0"/>
        <w:autoSpaceDN w:val="0"/>
        <w:adjustRightInd w:val="0"/>
        <w:spacing w:line="360" w:lineRule="auto"/>
        <w:ind w:firstLine="1440"/>
        <w:rPr>
          <w:sz w:val="26"/>
          <w:szCs w:val="26"/>
        </w:rPr>
      </w:pPr>
    </w:p>
    <w:p w14:paraId="7B203721" w14:textId="07BC19FA" w:rsidR="00CA69D7" w:rsidRDefault="00113513" w:rsidP="004B056E">
      <w:pPr>
        <w:widowControl/>
        <w:spacing w:line="360" w:lineRule="auto"/>
        <w:ind w:firstLine="1440"/>
        <w:contextualSpacing/>
        <w:rPr>
          <w:sz w:val="26"/>
          <w:szCs w:val="26"/>
        </w:rPr>
      </w:pPr>
      <w:r w:rsidRPr="004B056E">
        <w:rPr>
          <w:sz w:val="26"/>
          <w:szCs w:val="26"/>
        </w:rPr>
        <w:t xml:space="preserve">Finally, Aqua notes that the effect of the OCA’s proposed adjustment to the </w:t>
      </w:r>
      <w:r w:rsidR="00AF22A3">
        <w:rPr>
          <w:sz w:val="26"/>
          <w:szCs w:val="26"/>
        </w:rPr>
        <w:t>I</w:t>
      </w:r>
      <w:r w:rsidRPr="004B056E">
        <w:rPr>
          <w:sz w:val="26"/>
          <w:szCs w:val="26"/>
        </w:rPr>
        <w:t xml:space="preserve">ncome </w:t>
      </w:r>
      <w:r w:rsidR="00AF22A3">
        <w:rPr>
          <w:sz w:val="26"/>
          <w:szCs w:val="26"/>
        </w:rPr>
        <w:t>A</w:t>
      </w:r>
      <w:r w:rsidRPr="004B056E">
        <w:rPr>
          <w:sz w:val="26"/>
          <w:szCs w:val="26"/>
        </w:rPr>
        <w:t>pproach would result in double counting the impact of ADIT on ratemaking rate base.  The Company explains that, in the determination of rate base during a base rate case, subtracting ADIT from net plant gives effect to ADIT and, in this proceeding and in a subsequent rate case, the effect would be double counted.  Aqua e</w:t>
      </w:r>
      <w:r w:rsidR="002E7048">
        <w:rPr>
          <w:sz w:val="26"/>
          <w:szCs w:val="26"/>
        </w:rPr>
        <w:t>xplains</w:t>
      </w:r>
      <w:r w:rsidRPr="004B056E">
        <w:rPr>
          <w:sz w:val="26"/>
          <w:szCs w:val="26"/>
        </w:rPr>
        <w:t xml:space="preserve"> that, </w:t>
      </w:r>
      <w:proofErr w:type="gramStart"/>
      <w:r w:rsidRPr="004B056E">
        <w:rPr>
          <w:sz w:val="26"/>
          <w:szCs w:val="26"/>
        </w:rPr>
        <w:t>assuming that</w:t>
      </w:r>
      <w:proofErr w:type="gramEnd"/>
      <w:r w:rsidRPr="004B056E">
        <w:rPr>
          <w:sz w:val="26"/>
          <w:szCs w:val="26"/>
        </w:rPr>
        <w:t xml:space="preserve"> net plant in a Section 1329 application proceeding were $100 and then reduced by $10 of ADIT as part of the </w:t>
      </w:r>
      <w:r w:rsidR="00AF22A3">
        <w:rPr>
          <w:sz w:val="26"/>
          <w:szCs w:val="26"/>
        </w:rPr>
        <w:t>I</w:t>
      </w:r>
      <w:r w:rsidRPr="004B056E">
        <w:rPr>
          <w:sz w:val="26"/>
          <w:szCs w:val="26"/>
        </w:rPr>
        <w:t xml:space="preserve">ncome </w:t>
      </w:r>
      <w:r w:rsidR="00AF22A3">
        <w:rPr>
          <w:sz w:val="26"/>
          <w:szCs w:val="26"/>
        </w:rPr>
        <w:t>A</w:t>
      </w:r>
      <w:r w:rsidRPr="004B056E">
        <w:rPr>
          <w:sz w:val="26"/>
          <w:szCs w:val="26"/>
        </w:rPr>
        <w:t>pproach, the resulting ratemaking rate base would be $90 and, in the next rate case, the ratemaking rate base of $90 would again be reduced by ADIT of $10, thereby resulting in a ratemaking rate base of $80 and a double counted ADIT.  Aqua Exc. at 14-15.</w:t>
      </w:r>
    </w:p>
    <w:p w14:paraId="50936E87" w14:textId="77777777" w:rsidR="004B056E" w:rsidRDefault="004B056E" w:rsidP="004B056E">
      <w:pPr>
        <w:widowControl/>
        <w:spacing w:line="360" w:lineRule="auto"/>
        <w:ind w:firstLine="1440"/>
        <w:contextualSpacing/>
        <w:rPr>
          <w:sz w:val="26"/>
          <w:szCs w:val="26"/>
        </w:rPr>
      </w:pPr>
    </w:p>
    <w:p w14:paraId="0807977D" w14:textId="2668E7BB" w:rsidR="00DA06E1" w:rsidRPr="00DA06E1" w:rsidRDefault="00DA06E1" w:rsidP="00DA06E1">
      <w:pPr>
        <w:widowControl/>
        <w:spacing w:line="360" w:lineRule="auto"/>
        <w:ind w:firstLine="1440"/>
        <w:rPr>
          <w:sz w:val="26"/>
          <w:szCs w:val="26"/>
        </w:rPr>
      </w:pPr>
      <w:bookmarkStart w:id="71" w:name="_Hlk90200254"/>
      <w:r w:rsidRPr="00DA06E1">
        <w:rPr>
          <w:sz w:val="26"/>
          <w:szCs w:val="26"/>
        </w:rPr>
        <w:t xml:space="preserve">In its Replies to Aqua’s Exception No. 1, the OCA counters that the adjustment to the terminal value of the Gannett Fleming </w:t>
      </w:r>
      <w:r>
        <w:rPr>
          <w:sz w:val="26"/>
          <w:szCs w:val="26"/>
        </w:rPr>
        <w:t>I</w:t>
      </w:r>
      <w:r w:rsidRPr="00DA06E1">
        <w:rPr>
          <w:sz w:val="26"/>
          <w:szCs w:val="26"/>
        </w:rPr>
        <w:t xml:space="preserve">ncome </w:t>
      </w:r>
      <w:r>
        <w:rPr>
          <w:sz w:val="26"/>
          <w:szCs w:val="26"/>
        </w:rPr>
        <w:t>A</w:t>
      </w:r>
      <w:r w:rsidRPr="00DA06E1">
        <w:rPr>
          <w:sz w:val="26"/>
          <w:szCs w:val="26"/>
        </w:rPr>
        <w:t>pproach is reasonable, appropriate, and consistent with ratemaking principles.  The OCA maintains that the assumptions used by the Company’s witness, Mr. Walker of Gannett Fleming, are flawed and inconsistent with ratemaking principles.  OCA R. Exc. at 1 (citing OCA R.B. at 8-11; OCA M.B. at 14-17).  Accordingly, the OCA submits that, in place of Gannet Fleming’s proposed amount of $53,741,785, the Recommended Decision’s Income Approach valuation of $48,462,957 should be adopted.  OCA R. Exc. at 4 (citing OCA R.B. at 11; OCA Exh. RCS-3SR).</w:t>
      </w:r>
    </w:p>
    <w:p w14:paraId="264B4192" w14:textId="77777777" w:rsidR="00DA06E1" w:rsidRPr="00DA06E1" w:rsidRDefault="00DA06E1" w:rsidP="00DA06E1">
      <w:pPr>
        <w:widowControl/>
        <w:spacing w:line="360" w:lineRule="auto"/>
        <w:ind w:firstLine="1440"/>
        <w:rPr>
          <w:sz w:val="26"/>
          <w:szCs w:val="26"/>
        </w:rPr>
      </w:pPr>
    </w:p>
    <w:p w14:paraId="301F497E" w14:textId="6C847436" w:rsidR="00DA06E1" w:rsidRPr="00DA06E1" w:rsidRDefault="00DA06E1" w:rsidP="00DA06E1">
      <w:pPr>
        <w:widowControl/>
        <w:spacing w:line="360" w:lineRule="auto"/>
        <w:ind w:firstLine="1440"/>
        <w:rPr>
          <w:sz w:val="26"/>
          <w:szCs w:val="26"/>
        </w:rPr>
      </w:pPr>
      <w:r w:rsidRPr="00DA06E1">
        <w:rPr>
          <w:sz w:val="26"/>
          <w:szCs w:val="26"/>
        </w:rPr>
        <w:t>The OCA contends that, based on the traditional concepts of cost-based utility regulation, the focus of an approach to terminal value for a rate-regulated public utility should be the remaining amount of net plant and not a “perpetual capitalization of prospective earnings.”  OCA R. Exc. at 1 (citing OCA St. 1SR at 19).  The OCA further argues that the present value of the future cash flow for a firm that is expected to earn a return on investment at its cost of capital and recover its depreciation expense is equal to the present value of the firm’s investment.  OCA R. Exc. at 1-2 (citing OCA St. 1SR at</w:t>
      </w:r>
      <w:r w:rsidR="005676F3">
        <w:rPr>
          <w:sz w:val="26"/>
          <w:szCs w:val="26"/>
        </w:rPr>
        <w:t> </w:t>
      </w:r>
      <w:r w:rsidRPr="00DA06E1">
        <w:rPr>
          <w:sz w:val="26"/>
          <w:szCs w:val="26"/>
        </w:rPr>
        <w:t>13).</w:t>
      </w:r>
    </w:p>
    <w:p w14:paraId="3B533D3E" w14:textId="77777777" w:rsidR="00DA06E1" w:rsidRPr="00DA06E1" w:rsidRDefault="00DA06E1" w:rsidP="00DA06E1">
      <w:pPr>
        <w:widowControl/>
        <w:spacing w:line="360" w:lineRule="auto"/>
        <w:ind w:firstLine="1440"/>
        <w:rPr>
          <w:sz w:val="26"/>
          <w:szCs w:val="26"/>
        </w:rPr>
      </w:pPr>
    </w:p>
    <w:p w14:paraId="03613E88" w14:textId="48EFA0CB" w:rsidR="00DA06E1" w:rsidRPr="00DA06E1" w:rsidRDefault="00DA06E1" w:rsidP="00DA06E1">
      <w:pPr>
        <w:widowControl/>
        <w:spacing w:line="360" w:lineRule="auto"/>
        <w:ind w:firstLine="1440"/>
        <w:rPr>
          <w:sz w:val="26"/>
          <w:szCs w:val="26"/>
        </w:rPr>
      </w:pPr>
      <w:r w:rsidRPr="00DA06E1">
        <w:rPr>
          <w:sz w:val="26"/>
          <w:szCs w:val="26"/>
        </w:rPr>
        <w:t xml:space="preserve">In </w:t>
      </w:r>
      <w:r w:rsidRPr="005676F3">
        <w:rPr>
          <w:sz w:val="26"/>
          <w:szCs w:val="26"/>
        </w:rPr>
        <w:t xml:space="preserve">responding to the Company’s assertion that its witness, Mr. Smith, did not attempt to distinguish the LMT acquisition from previous Section 1329 acquisitions and the Commission’s determinations in prior cases, the OCA cites the testimony of Mr. Smith to discount Aqua’s assertion as meritless.  OCA R. Exc. at 2-3 (citing Aqua Exc. at 7; OCA St. 1SR at 12-13).  Further, in response to Aqua’s position that the annual debt free net cash flows </w:t>
      </w:r>
      <w:proofErr w:type="gramStart"/>
      <w:r w:rsidRPr="005676F3">
        <w:rPr>
          <w:sz w:val="26"/>
          <w:szCs w:val="26"/>
        </w:rPr>
        <w:t>is</w:t>
      </w:r>
      <w:proofErr w:type="gramEnd"/>
      <w:r w:rsidRPr="005676F3">
        <w:rPr>
          <w:sz w:val="26"/>
          <w:szCs w:val="26"/>
        </w:rPr>
        <w:t xml:space="preserve"> a constant growth rate after time period 24 (year 2045), the OCA asserts that each of the values presented by Mr. Walker in his “Market Multiples Valuation” are excessive, even in comparison to his own recommended Income Approach result of $53,741,785.  OCA R. Exc. at 3 (citing Aqua Exc. at 6; OCA R.B. at 10; Aqua St. 4-R at 6).  The OCA asserts that, Mr. Smith correctly explained that, if</w:t>
      </w:r>
      <w:r w:rsidRPr="00DA06E1">
        <w:rPr>
          <w:sz w:val="26"/>
          <w:szCs w:val="26"/>
        </w:rPr>
        <w:t xml:space="preserve"> depreciation exceeds capital expenditures, a public utility cannot be sustained under the rate base or rate of return approach to determine revenue requirement.  </w:t>
      </w:r>
      <w:r w:rsidRPr="00DA06E1">
        <w:rPr>
          <w:i/>
          <w:iCs/>
          <w:sz w:val="26"/>
          <w:szCs w:val="26"/>
        </w:rPr>
        <w:t>Id.</w:t>
      </w:r>
      <w:r w:rsidRPr="00DA06E1">
        <w:rPr>
          <w:sz w:val="26"/>
          <w:szCs w:val="26"/>
        </w:rPr>
        <w:t xml:space="preserve"> (citing OCA St</w:t>
      </w:r>
      <w:r>
        <w:rPr>
          <w:sz w:val="26"/>
          <w:szCs w:val="26"/>
        </w:rPr>
        <w:t>.</w:t>
      </w:r>
      <w:r w:rsidRPr="00DA06E1">
        <w:rPr>
          <w:sz w:val="26"/>
          <w:szCs w:val="26"/>
        </w:rPr>
        <w:t xml:space="preserve"> 1SR at 14-15).</w:t>
      </w:r>
    </w:p>
    <w:p w14:paraId="44A89410" w14:textId="77777777" w:rsidR="00DA06E1" w:rsidRPr="00DA06E1" w:rsidRDefault="00DA06E1" w:rsidP="00DA06E1">
      <w:pPr>
        <w:widowControl/>
        <w:spacing w:line="360" w:lineRule="auto"/>
        <w:ind w:firstLine="1440"/>
        <w:rPr>
          <w:sz w:val="26"/>
          <w:szCs w:val="26"/>
        </w:rPr>
      </w:pPr>
    </w:p>
    <w:p w14:paraId="12450D8C" w14:textId="1BAF26CD" w:rsidR="00DA06E1" w:rsidRPr="00DA06E1" w:rsidRDefault="00DA06E1" w:rsidP="00DA06E1">
      <w:pPr>
        <w:widowControl/>
        <w:spacing w:line="360" w:lineRule="auto"/>
        <w:ind w:firstLine="1440"/>
        <w:rPr>
          <w:sz w:val="26"/>
          <w:szCs w:val="26"/>
        </w:rPr>
      </w:pPr>
      <w:r w:rsidRPr="00DA06E1">
        <w:rPr>
          <w:sz w:val="26"/>
          <w:szCs w:val="26"/>
        </w:rPr>
        <w:t xml:space="preserve">Regarding the depletion of existing plant, the OCA argues that, although no LMT plant has a depreciation life that will last 1,564 years, the investment dollars in the plant account balance would last 1,564 years and the accumulated depreciation is an offset to the plant account balance.  OCA R. Exc. at 3 (citing Aqua Exc. at 12-13).  The OCA avers that, Aqua fails to address that whenever depreciation exceeds capital expenditures, utility rate base declines and, if the decline continues, rate base would eventually approach zero.  Accordingly, the OCA asserts that, by recalculating the valuation of the terminal value using the amount of net plant less ADIT remaining at the end of year 24, Mr. Smith properly adjusted Gannett Fleming’s </w:t>
      </w:r>
      <w:r w:rsidR="00E92052">
        <w:rPr>
          <w:sz w:val="26"/>
          <w:szCs w:val="26"/>
        </w:rPr>
        <w:t>I</w:t>
      </w:r>
      <w:r w:rsidRPr="00DA06E1">
        <w:rPr>
          <w:sz w:val="26"/>
          <w:szCs w:val="26"/>
        </w:rPr>
        <w:t xml:space="preserve">ncome </w:t>
      </w:r>
      <w:r w:rsidR="00E92052">
        <w:rPr>
          <w:sz w:val="26"/>
          <w:szCs w:val="26"/>
        </w:rPr>
        <w:t>A</w:t>
      </w:r>
      <w:r w:rsidRPr="00DA06E1">
        <w:rPr>
          <w:sz w:val="26"/>
          <w:szCs w:val="26"/>
        </w:rPr>
        <w:t>pproach.  OCA</w:t>
      </w:r>
      <w:r w:rsidR="005676F3">
        <w:rPr>
          <w:sz w:val="26"/>
          <w:szCs w:val="26"/>
        </w:rPr>
        <w:t> </w:t>
      </w:r>
      <w:r w:rsidRPr="00DA06E1">
        <w:rPr>
          <w:sz w:val="26"/>
          <w:szCs w:val="26"/>
        </w:rPr>
        <w:t>R. Exc. at 3-4 (citing OCA Exh. RCS-2SR at 3).</w:t>
      </w:r>
    </w:p>
    <w:p w14:paraId="7E255E44" w14:textId="77777777" w:rsidR="00DA06E1" w:rsidRPr="00DA06E1" w:rsidRDefault="00DA06E1" w:rsidP="00DA06E1">
      <w:pPr>
        <w:widowControl/>
        <w:spacing w:line="360" w:lineRule="auto"/>
        <w:ind w:firstLine="1440"/>
        <w:rPr>
          <w:sz w:val="26"/>
          <w:szCs w:val="26"/>
        </w:rPr>
      </w:pPr>
    </w:p>
    <w:p w14:paraId="7A9BAE71" w14:textId="288E976E" w:rsidR="00976511" w:rsidRDefault="00DA06E1" w:rsidP="00F94B6C">
      <w:pPr>
        <w:widowControl/>
        <w:spacing w:line="360" w:lineRule="auto"/>
        <w:ind w:firstLine="1440"/>
        <w:rPr>
          <w:sz w:val="26"/>
          <w:szCs w:val="26"/>
        </w:rPr>
      </w:pPr>
      <w:r w:rsidRPr="00DA06E1">
        <w:rPr>
          <w:sz w:val="26"/>
          <w:szCs w:val="26"/>
        </w:rPr>
        <w:t xml:space="preserve">The OCA notes that Aqua’s arguments regarding an unreasonable double count of the impact of ADIT on rate base is misleading, </w:t>
      </w:r>
      <w:proofErr w:type="gramStart"/>
      <w:r w:rsidRPr="00DA06E1">
        <w:rPr>
          <w:sz w:val="26"/>
          <w:szCs w:val="26"/>
        </w:rPr>
        <w:t>inappropriate</w:t>
      </w:r>
      <w:proofErr w:type="gramEnd"/>
      <w:r w:rsidRPr="00DA06E1">
        <w:rPr>
          <w:sz w:val="26"/>
          <w:szCs w:val="26"/>
        </w:rPr>
        <w:t xml:space="preserve"> and moot.  OCA R.</w:t>
      </w:r>
      <w:r w:rsidR="005676F3">
        <w:rPr>
          <w:sz w:val="26"/>
          <w:szCs w:val="26"/>
        </w:rPr>
        <w:t> </w:t>
      </w:r>
      <w:r w:rsidRPr="00DA06E1">
        <w:rPr>
          <w:sz w:val="26"/>
          <w:szCs w:val="26"/>
        </w:rPr>
        <w:t xml:space="preserve">Exc. at 4 (citing Aqua Exc. at 14-15; Aqua M.B. at 19-20; OCA R.B. at 10-11; OCA St. 1SR at 15-16; OCA Exh. RCS-2SR).  The OCA explains that, in response to the Company’s claim that Mr. Smith did not subtract ADIT from his calculations, Mr. Smith addressed the oversight in OCA Exhibit RCS-2-SR and reflected the deduction of ADIT from the amount of net plant.  </w:t>
      </w:r>
      <w:r w:rsidRPr="00DA06E1">
        <w:rPr>
          <w:i/>
          <w:iCs/>
          <w:sz w:val="26"/>
          <w:szCs w:val="26"/>
        </w:rPr>
        <w:t>Id.</w:t>
      </w:r>
      <w:r w:rsidRPr="00DA06E1">
        <w:rPr>
          <w:sz w:val="26"/>
          <w:szCs w:val="26"/>
        </w:rPr>
        <w:t xml:space="preserve"> (citing OCA R.B. at 11; OCA St. 1SR at 15; OCA Exh. RCS-2SR).  The OCA also notes that AUS also reflected a deduction for ADIT in its </w:t>
      </w:r>
      <w:r w:rsidR="00E92052">
        <w:rPr>
          <w:sz w:val="26"/>
          <w:szCs w:val="26"/>
        </w:rPr>
        <w:t>I</w:t>
      </w:r>
      <w:r w:rsidRPr="00DA06E1">
        <w:rPr>
          <w:sz w:val="26"/>
          <w:szCs w:val="26"/>
        </w:rPr>
        <w:t xml:space="preserve">ncome </w:t>
      </w:r>
      <w:r w:rsidR="00E92052">
        <w:rPr>
          <w:sz w:val="26"/>
          <w:szCs w:val="26"/>
        </w:rPr>
        <w:t>A</w:t>
      </w:r>
      <w:r w:rsidRPr="00DA06E1">
        <w:rPr>
          <w:sz w:val="26"/>
          <w:szCs w:val="26"/>
        </w:rPr>
        <w:t xml:space="preserve">pproach and that Mr. Smith agreed with both UVEs that ADIT should be deducted from utility net plant for the investor ownership scenarios in the </w:t>
      </w:r>
      <w:r w:rsidR="00E92052">
        <w:rPr>
          <w:sz w:val="26"/>
          <w:szCs w:val="26"/>
        </w:rPr>
        <w:t>I</w:t>
      </w:r>
      <w:r w:rsidRPr="00DA06E1">
        <w:rPr>
          <w:sz w:val="26"/>
          <w:szCs w:val="26"/>
        </w:rPr>
        <w:t xml:space="preserve">ncome </w:t>
      </w:r>
      <w:r w:rsidR="00E92052">
        <w:rPr>
          <w:sz w:val="26"/>
          <w:szCs w:val="26"/>
        </w:rPr>
        <w:t>A</w:t>
      </w:r>
      <w:r w:rsidRPr="00DA06E1">
        <w:rPr>
          <w:sz w:val="26"/>
          <w:szCs w:val="26"/>
        </w:rPr>
        <w:t xml:space="preserve">pproach.  </w:t>
      </w:r>
      <w:r w:rsidRPr="00DA06E1">
        <w:rPr>
          <w:i/>
          <w:iCs/>
          <w:sz w:val="26"/>
          <w:szCs w:val="26"/>
        </w:rPr>
        <w:t xml:space="preserve">Id. </w:t>
      </w:r>
      <w:r w:rsidRPr="00DA06E1">
        <w:rPr>
          <w:sz w:val="26"/>
          <w:szCs w:val="26"/>
        </w:rPr>
        <w:t>(citing OCA R.B. at 11).</w:t>
      </w:r>
      <w:bookmarkEnd w:id="71"/>
    </w:p>
    <w:p w14:paraId="76814762" w14:textId="77777777" w:rsidR="00D50003" w:rsidRDefault="00D50003" w:rsidP="00F94B6C">
      <w:pPr>
        <w:widowControl/>
        <w:tabs>
          <w:tab w:val="left" w:pos="1125"/>
        </w:tabs>
        <w:spacing w:line="360" w:lineRule="auto"/>
        <w:rPr>
          <w:sz w:val="26"/>
          <w:szCs w:val="26"/>
        </w:rPr>
      </w:pPr>
    </w:p>
    <w:p w14:paraId="7C843602" w14:textId="3248039A" w:rsidR="00A3582A" w:rsidRDefault="00A3582A" w:rsidP="005676F3">
      <w:pPr>
        <w:pStyle w:val="Heading4"/>
        <w:keepLines w:val="0"/>
      </w:pPr>
      <w:bookmarkStart w:id="72" w:name="_Toc90970733"/>
      <w:r>
        <w:t>Aqua Exception No. 2 and Replies</w:t>
      </w:r>
      <w:bookmarkEnd w:id="72"/>
    </w:p>
    <w:p w14:paraId="1F0A23B5" w14:textId="25460277" w:rsidR="004F7CDF" w:rsidRDefault="004F7CDF" w:rsidP="005676F3">
      <w:pPr>
        <w:keepNext/>
        <w:widowControl/>
        <w:spacing w:line="360" w:lineRule="auto"/>
        <w:rPr>
          <w:sz w:val="26"/>
          <w:szCs w:val="26"/>
        </w:rPr>
      </w:pPr>
    </w:p>
    <w:p w14:paraId="3F9F7E76" w14:textId="23E17EE2" w:rsidR="00914A00" w:rsidRPr="00914A00" w:rsidRDefault="00914A00" w:rsidP="005676F3">
      <w:pPr>
        <w:keepNext/>
        <w:widowControl/>
        <w:autoSpaceDE w:val="0"/>
        <w:autoSpaceDN w:val="0"/>
        <w:adjustRightInd w:val="0"/>
        <w:spacing w:line="360" w:lineRule="auto"/>
        <w:ind w:firstLine="1440"/>
        <w:contextualSpacing/>
        <w:rPr>
          <w:sz w:val="26"/>
          <w:szCs w:val="26"/>
        </w:rPr>
      </w:pPr>
      <w:r w:rsidRPr="00914A00">
        <w:rPr>
          <w:sz w:val="26"/>
          <w:szCs w:val="26"/>
        </w:rPr>
        <w:t xml:space="preserve">In its Exception No. 2, Aqua avers that, </w:t>
      </w:r>
      <w:proofErr w:type="gramStart"/>
      <w:r w:rsidRPr="00914A00">
        <w:rPr>
          <w:sz w:val="26"/>
          <w:szCs w:val="26"/>
        </w:rPr>
        <w:t>similar to</w:t>
      </w:r>
      <w:proofErr w:type="gramEnd"/>
      <w:r w:rsidRPr="00914A00">
        <w:rPr>
          <w:sz w:val="26"/>
          <w:szCs w:val="26"/>
        </w:rPr>
        <w:t xml:space="preserve"> the Company’s disagreement regarding Mr. Smith’s proposed adjustment to the Gannett Fleming Income Approach to value, Mr. Smith’s proposed use of net plant </w:t>
      </w:r>
      <w:r>
        <w:rPr>
          <w:sz w:val="26"/>
          <w:szCs w:val="26"/>
        </w:rPr>
        <w:t xml:space="preserve">less ADIT </w:t>
      </w:r>
      <w:r w:rsidRPr="00914A00">
        <w:rPr>
          <w:sz w:val="26"/>
          <w:szCs w:val="26"/>
        </w:rPr>
        <w:t>as the terminal value in the AUS Income Approach to value should be denied and rejected for the same reasons.  Aqua Exc. at 15-16.</w:t>
      </w:r>
    </w:p>
    <w:p w14:paraId="64C33DEC" w14:textId="77777777" w:rsidR="00914A00" w:rsidRPr="00914A00" w:rsidRDefault="00914A00" w:rsidP="00914A00">
      <w:pPr>
        <w:widowControl/>
        <w:autoSpaceDE w:val="0"/>
        <w:autoSpaceDN w:val="0"/>
        <w:adjustRightInd w:val="0"/>
        <w:spacing w:line="360" w:lineRule="auto"/>
        <w:ind w:firstLine="1440"/>
        <w:contextualSpacing/>
        <w:rPr>
          <w:sz w:val="26"/>
          <w:szCs w:val="26"/>
        </w:rPr>
      </w:pPr>
    </w:p>
    <w:p w14:paraId="312B6465" w14:textId="191C26C4" w:rsidR="00914A00" w:rsidRPr="00914A00" w:rsidRDefault="00914A00" w:rsidP="00914A00">
      <w:pPr>
        <w:widowControl/>
        <w:autoSpaceDE w:val="0"/>
        <w:autoSpaceDN w:val="0"/>
        <w:adjustRightInd w:val="0"/>
        <w:spacing w:line="360" w:lineRule="auto"/>
        <w:ind w:firstLine="1440"/>
        <w:contextualSpacing/>
        <w:rPr>
          <w:sz w:val="26"/>
          <w:szCs w:val="26"/>
        </w:rPr>
      </w:pPr>
      <w:r w:rsidRPr="00914A00">
        <w:rPr>
          <w:sz w:val="26"/>
          <w:szCs w:val="26"/>
        </w:rPr>
        <w:t xml:space="preserve">Aqua repeats the observation offered by its witness, Mr. Weinert of AUS, that Mr. Smith’s analysis, </w:t>
      </w:r>
      <w:proofErr w:type="gramStart"/>
      <w:r w:rsidRPr="00914A00">
        <w:rPr>
          <w:sz w:val="26"/>
          <w:szCs w:val="26"/>
        </w:rPr>
        <w:t>with the exception of</w:t>
      </w:r>
      <w:proofErr w:type="gramEnd"/>
      <w:r w:rsidRPr="00914A00">
        <w:rPr>
          <w:sz w:val="26"/>
          <w:szCs w:val="26"/>
        </w:rPr>
        <w:t xml:space="preserve"> period 20 and forward, replicates AUS’ DCF analysis for which a net book value adjusted for ADIT was substituted.  The Company also reiterates Mr. Weinert’s reasons that Mr. Smith’s analysis is not accurate, including:</w:t>
      </w:r>
      <w:r w:rsidR="00884508">
        <w:rPr>
          <w:sz w:val="26"/>
          <w:szCs w:val="26"/>
        </w:rPr>
        <w:t xml:space="preserve"> </w:t>
      </w:r>
      <w:r w:rsidRPr="00914A00">
        <w:rPr>
          <w:sz w:val="26"/>
          <w:szCs w:val="26"/>
        </w:rPr>
        <w:t xml:space="preserve"> (1) the benefits of efficient property operations are eliminated; (2) the continued operation and capitalization of the LMT operation’s cashflows, related to periods 20 and beyond, is ignored; and (3) the capital expenditures, which amount to an estimated $7.6 million for the future periods cashflows and will allow the LMT property to continue providing service for the LMT customers, is ignored.  Aqua Exc. at 16 (citing Aqua St. 5-R at 9).</w:t>
      </w:r>
    </w:p>
    <w:p w14:paraId="68B7527A" w14:textId="77777777" w:rsidR="00914A00" w:rsidRPr="00914A00" w:rsidRDefault="00914A00" w:rsidP="00914A00">
      <w:pPr>
        <w:widowControl/>
        <w:autoSpaceDE w:val="0"/>
        <w:autoSpaceDN w:val="0"/>
        <w:adjustRightInd w:val="0"/>
        <w:spacing w:line="360" w:lineRule="auto"/>
        <w:ind w:firstLine="1440"/>
        <w:contextualSpacing/>
        <w:rPr>
          <w:sz w:val="26"/>
          <w:szCs w:val="26"/>
        </w:rPr>
      </w:pPr>
    </w:p>
    <w:p w14:paraId="5BE3FFB7" w14:textId="5DBC53B7" w:rsidR="00914A00" w:rsidRPr="00914A00" w:rsidRDefault="00914A00" w:rsidP="00914A00">
      <w:pPr>
        <w:widowControl/>
        <w:autoSpaceDE w:val="0"/>
        <w:autoSpaceDN w:val="0"/>
        <w:adjustRightInd w:val="0"/>
        <w:spacing w:line="360" w:lineRule="auto"/>
        <w:ind w:firstLine="1440"/>
        <w:contextualSpacing/>
        <w:rPr>
          <w:sz w:val="26"/>
          <w:szCs w:val="26"/>
        </w:rPr>
      </w:pPr>
      <w:r w:rsidRPr="00914A00">
        <w:rPr>
          <w:sz w:val="26"/>
          <w:szCs w:val="26"/>
        </w:rPr>
        <w:t>Additionally, Aqua maintains that, if the AUS DCF forecast period is increased from 20 periods to 60 periods, then the impact of ADIT will decline from $4,871,174 to $948,406, with a corresponding present worth of cash flows, based on Mr.</w:t>
      </w:r>
      <w:r w:rsidR="00043BE0">
        <w:rPr>
          <w:sz w:val="26"/>
          <w:szCs w:val="26"/>
        </w:rPr>
        <w:t> </w:t>
      </w:r>
      <w:r w:rsidRPr="00914A00">
        <w:rPr>
          <w:sz w:val="26"/>
          <w:szCs w:val="26"/>
        </w:rPr>
        <w:t>Smith’s methodology, of $57,809,909, in comparison to AUS’ original Income Approach value of $57,872,959.  The Company concludes that Mr. Smith’s recommended adjustment to AUS’ Income Approach to value does not quantify the sum of LMT’s economic returns.  Aqua Exc. at 17 (citing Aqua St. 5-R at 10-11).</w:t>
      </w:r>
    </w:p>
    <w:p w14:paraId="54D5F0D0" w14:textId="77777777" w:rsidR="00914A00" w:rsidRPr="00914A00" w:rsidRDefault="00914A00" w:rsidP="00914A00">
      <w:pPr>
        <w:widowControl/>
        <w:autoSpaceDE w:val="0"/>
        <w:autoSpaceDN w:val="0"/>
        <w:adjustRightInd w:val="0"/>
        <w:spacing w:line="360" w:lineRule="auto"/>
        <w:ind w:firstLine="1440"/>
        <w:contextualSpacing/>
        <w:rPr>
          <w:sz w:val="26"/>
          <w:szCs w:val="26"/>
        </w:rPr>
      </w:pPr>
    </w:p>
    <w:p w14:paraId="2E843388" w14:textId="535FDA87" w:rsidR="00914A00" w:rsidRPr="00914A00" w:rsidRDefault="00914A00" w:rsidP="00914A00">
      <w:pPr>
        <w:widowControl/>
        <w:autoSpaceDE w:val="0"/>
        <w:autoSpaceDN w:val="0"/>
        <w:adjustRightInd w:val="0"/>
        <w:spacing w:line="360" w:lineRule="auto"/>
        <w:ind w:firstLine="1440"/>
        <w:contextualSpacing/>
        <w:rPr>
          <w:sz w:val="26"/>
          <w:szCs w:val="26"/>
        </w:rPr>
      </w:pPr>
      <w:r w:rsidRPr="00914A00">
        <w:rPr>
          <w:sz w:val="26"/>
          <w:szCs w:val="26"/>
        </w:rPr>
        <w:t>In its Replies to Aqua’s Exception No. 2, the OCA maintains that Mr. Smith’s recommended adjustment to the AUS Income Approach is reasonable, supported, and should be adopted.  OCA R. Exc. at 6-7 (citing OCA R.B. at 12; OCA St.</w:t>
      </w:r>
      <w:r w:rsidR="00726637">
        <w:rPr>
          <w:sz w:val="26"/>
          <w:szCs w:val="26"/>
        </w:rPr>
        <w:t> </w:t>
      </w:r>
      <w:r w:rsidRPr="00914A00">
        <w:rPr>
          <w:sz w:val="26"/>
          <w:szCs w:val="26"/>
        </w:rPr>
        <w:t xml:space="preserve">1SR at 10; OCA Exh. RCS-1SR).  The OCA counters that the benefits to the owner at the end of the valuation period are not eliminated by the terminal value approach.  The Company elaborates that the terminal value calculates the remaining benefit in a reasonable manner and reflects that LMT, under Aqua’s ownership, is a regulated public utility and not a competitive business.  Aqua also clarifies that, at the end of the valuation period for the Income Approach, a terminal value provides a benefit to the owner of the system of $7.038 million, thereby demonstrating that the benefit to the owner at the end of the valuation period is not eliminated.  OCA R. Exc. at 5 (citing OCA R.B. at 12).  </w:t>
      </w:r>
    </w:p>
    <w:p w14:paraId="20B9A553" w14:textId="77777777" w:rsidR="00914A00" w:rsidRPr="00914A00" w:rsidRDefault="00914A00" w:rsidP="00914A00">
      <w:pPr>
        <w:widowControl/>
        <w:autoSpaceDE w:val="0"/>
        <w:autoSpaceDN w:val="0"/>
        <w:adjustRightInd w:val="0"/>
        <w:spacing w:line="360" w:lineRule="auto"/>
        <w:ind w:firstLine="1440"/>
        <w:contextualSpacing/>
        <w:rPr>
          <w:sz w:val="26"/>
          <w:szCs w:val="26"/>
        </w:rPr>
      </w:pPr>
    </w:p>
    <w:p w14:paraId="0D082E7B" w14:textId="53501FE8" w:rsidR="00914A00" w:rsidRPr="00914A00" w:rsidRDefault="00914A00" w:rsidP="005676F3">
      <w:pPr>
        <w:widowControl/>
        <w:autoSpaceDE w:val="0"/>
        <w:autoSpaceDN w:val="0"/>
        <w:adjustRightInd w:val="0"/>
        <w:spacing w:line="360" w:lineRule="auto"/>
        <w:ind w:firstLine="1440"/>
        <w:contextualSpacing/>
        <w:rPr>
          <w:sz w:val="26"/>
          <w:szCs w:val="26"/>
        </w:rPr>
      </w:pPr>
      <w:r w:rsidRPr="00914A00">
        <w:rPr>
          <w:sz w:val="26"/>
          <w:szCs w:val="26"/>
        </w:rPr>
        <w:t>Additionally, the OCA notes that the value of the LMT utility property, which is a rate regulated public utility and not a competitive business, should be calculated based on the equivalent of a utility net depreciated plant rate base amount, net of the ADIT offset.  Furthermore, the OCA cites the testimony of Mr. Smith to note that extending the Income Approach an additional 40 years, as presented by AUS, is “inherently unreliable.”  OCA R. Exc. at 5-6 (citing OCA R.B. at 12-13; OCA St. 1SR at</w:t>
      </w:r>
      <w:r w:rsidR="005676F3">
        <w:rPr>
          <w:sz w:val="26"/>
          <w:szCs w:val="26"/>
        </w:rPr>
        <w:t> </w:t>
      </w:r>
      <w:r w:rsidRPr="00914A00">
        <w:rPr>
          <w:sz w:val="26"/>
          <w:szCs w:val="26"/>
        </w:rPr>
        <w:t>9-10).</w:t>
      </w:r>
    </w:p>
    <w:p w14:paraId="4D012E0A" w14:textId="77777777" w:rsidR="004B056E" w:rsidRDefault="004B056E" w:rsidP="005676F3">
      <w:pPr>
        <w:widowControl/>
        <w:spacing w:line="360" w:lineRule="auto"/>
        <w:rPr>
          <w:sz w:val="26"/>
          <w:szCs w:val="26"/>
        </w:rPr>
      </w:pPr>
    </w:p>
    <w:p w14:paraId="72E2FA10" w14:textId="36E11EFA" w:rsidR="004E6B79" w:rsidRDefault="00A3582A" w:rsidP="005676F3">
      <w:pPr>
        <w:pStyle w:val="Heading4"/>
        <w:keepNext w:val="0"/>
        <w:keepLines w:val="0"/>
      </w:pPr>
      <w:bookmarkStart w:id="73" w:name="_Toc90970734"/>
      <w:r>
        <w:t>Disposition</w:t>
      </w:r>
      <w:bookmarkEnd w:id="73"/>
    </w:p>
    <w:p w14:paraId="03305E9F" w14:textId="1B62374F" w:rsidR="004E6B79" w:rsidRDefault="004E6B79" w:rsidP="005676F3">
      <w:pPr>
        <w:widowControl/>
        <w:spacing w:line="360" w:lineRule="auto"/>
        <w:rPr>
          <w:sz w:val="26"/>
          <w:szCs w:val="26"/>
        </w:rPr>
      </w:pPr>
    </w:p>
    <w:p w14:paraId="15429E71" w14:textId="687CFC75" w:rsidR="005F1F0E" w:rsidRDefault="0061291F" w:rsidP="005676F3">
      <w:pPr>
        <w:widowControl/>
        <w:spacing w:line="360" w:lineRule="auto"/>
        <w:ind w:firstLine="1440"/>
        <w:rPr>
          <w:sz w:val="26"/>
          <w:szCs w:val="26"/>
        </w:rPr>
      </w:pPr>
      <w:r w:rsidRPr="0061291F">
        <w:rPr>
          <w:sz w:val="26"/>
          <w:szCs w:val="26"/>
        </w:rPr>
        <w:t xml:space="preserve">Upon review of the record, the Recommended </w:t>
      </w:r>
      <w:r w:rsidR="008362EA" w:rsidRPr="0061291F">
        <w:rPr>
          <w:sz w:val="26"/>
          <w:szCs w:val="26"/>
        </w:rPr>
        <w:t>Decision,</w:t>
      </w:r>
      <w:r w:rsidRPr="0061291F">
        <w:rPr>
          <w:sz w:val="26"/>
          <w:szCs w:val="26"/>
        </w:rPr>
        <w:t xml:space="preserve"> and the Parties’ Exceptions</w:t>
      </w:r>
      <w:r w:rsidR="008362EA">
        <w:rPr>
          <w:sz w:val="26"/>
          <w:szCs w:val="26"/>
        </w:rPr>
        <w:t xml:space="preserve"> and Replies thereto</w:t>
      </w:r>
      <w:r w:rsidRPr="0061291F">
        <w:rPr>
          <w:sz w:val="26"/>
          <w:szCs w:val="26"/>
        </w:rPr>
        <w:t xml:space="preserve">, we shall </w:t>
      </w:r>
      <w:r w:rsidR="00875CD9">
        <w:rPr>
          <w:sz w:val="26"/>
          <w:szCs w:val="26"/>
        </w:rPr>
        <w:t>grant</w:t>
      </w:r>
      <w:r w:rsidRPr="0061291F">
        <w:rPr>
          <w:sz w:val="26"/>
          <w:szCs w:val="26"/>
        </w:rPr>
        <w:t xml:space="preserve"> </w:t>
      </w:r>
      <w:r w:rsidR="00875CD9">
        <w:rPr>
          <w:sz w:val="26"/>
          <w:szCs w:val="26"/>
        </w:rPr>
        <w:t>the first and second Exceptions</w:t>
      </w:r>
      <w:r w:rsidR="000C311F">
        <w:rPr>
          <w:sz w:val="26"/>
          <w:szCs w:val="26"/>
        </w:rPr>
        <w:t xml:space="preserve"> filed by</w:t>
      </w:r>
      <w:r w:rsidR="00875CD9">
        <w:rPr>
          <w:sz w:val="26"/>
          <w:szCs w:val="26"/>
        </w:rPr>
        <w:t xml:space="preserve"> Aqua.</w:t>
      </w:r>
      <w:r w:rsidR="000C311F">
        <w:rPr>
          <w:sz w:val="26"/>
          <w:szCs w:val="26"/>
        </w:rPr>
        <w:t xml:space="preserve">  </w:t>
      </w:r>
      <w:r w:rsidR="00454EBC">
        <w:rPr>
          <w:sz w:val="26"/>
          <w:szCs w:val="26"/>
        </w:rPr>
        <w:t xml:space="preserve">In our view, the discussion and </w:t>
      </w:r>
      <w:r w:rsidR="005B4DAE">
        <w:rPr>
          <w:sz w:val="26"/>
          <w:szCs w:val="26"/>
        </w:rPr>
        <w:t xml:space="preserve">subsequent </w:t>
      </w:r>
      <w:r w:rsidR="00454EBC">
        <w:rPr>
          <w:sz w:val="26"/>
          <w:szCs w:val="26"/>
        </w:rPr>
        <w:t>recommendation</w:t>
      </w:r>
      <w:r w:rsidR="000931B0">
        <w:rPr>
          <w:sz w:val="26"/>
          <w:szCs w:val="26"/>
        </w:rPr>
        <w:t xml:space="preserve"> in the Recommended Decision</w:t>
      </w:r>
      <w:r w:rsidR="00454EBC">
        <w:rPr>
          <w:sz w:val="26"/>
          <w:szCs w:val="26"/>
        </w:rPr>
        <w:t xml:space="preserve"> regarding the </w:t>
      </w:r>
      <w:r w:rsidR="005B4DAE">
        <w:rPr>
          <w:sz w:val="26"/>
          <w:szCs w:val="26"/>
        </w:rPr>
        <w:t xml:space="preserve">inclusion of the </w:t>
      </w:r>
      <w:r w:rsidR="00454EBC">
        <w:rPr>
          <w:sz w:val="26"/>
          <w:szCs w:val="26"/>
        </w:rPr>
        <w:t xml:space="preserve">appropriate </w:t>
      </w:r>
      <w:r w:rsidR="00454EBC" w:rsidRPr="00500EEC">
        <w:rPr>
          <w:sz w:val="26"/>
          <w:szCs w:val="26"/>
        </w:rPr>
        <w:t>terminal value</w:t>
      </w:r>
      <w:r w:rsidR="005B4DAE">
        <w:rPr>
          <w:sz w:val="26"/>
          <w:szCs w:val="26"/>
        </w:rPr>
        <w:t>,</w:t>
      </w:r>
      <w:r w:rsidR="00454EBC" w:rsidRPr="00500EEC">
        <w:rPr>
          <w:sz w:val="26"/>
          <w:szCs w:val="26"/>
        </w:rPr>
        <w:t xml:space="preserve"> following the period of explicit net cash flow forecasts</w:t>
      </w:r>
      <w:r w:rsidR="005B4DAE">
        <w:rPr>
          <w:sz w:val="26"/>
          <w:szCs w:val="26"/>
        </w:rPr>
        <w:t>,</w:t>
      </w:r>
      <w:r w:rsidR="00E83E51">
        <w:rPr>
          <w:sz w:val="26"/>
          <w:szCs w:val="26"/>
        </w:rPr>
        <w:t xml:space="preserve"> in the valuation under the Income Approach</w:t>
      </w:r>
      <w:r w:rsidR="005B4DAE">
        <w:rPr>
          <w:sz w:val="26"/>
          <w:szCs w:val="26"/>
        </w:rPr>
        <w:t xml:space="preserve"> conflict with one another.</w:t>
      </w:r>
      <w:r w:rsidR="00487138">
        <w:rPr>
          <w:sz w:val="26"/>
          <w:szCs w:val="26"/>
        </w:rPr>
        <w:t xml:space="preserve">  </w:t>
      </w:r>
      <w:r w:rsidR="0088731E">
        <w:rPr>
          <w:sz w:val="26"/>
          <w:szCs w:val="26"/>
        </w:rPr>
        <w:t>Although</w:t>
      </w:r>
      <w:r w:rsidR="00487138" w:rsidRPr="00487138">
        <w:rPr>
          <w:sz w:val="26"/>
          <w:szCs w:val="26"/>
        </w:rPr>
        <w:t xml:space="preserve"> </w:t>
      </w:r>
      <w:r w:rsidR="0088731E">
        <w:rPr>
          <w:sz w:val="26"/>
          <w:szCs w:val="26"/>
        </w:rPr>
        <w:t xml:space="preserve">Section 1329 is a relatively new statute, </w:t>
      </w:r>
      <w:r w:rsidR="000931B0">
        <w:rPr>
          <w:sz w:val="26"/>
          <w:szCs w:val="26"/>
        </w:rPr>
        <w:t>the OCA’s approach as adopted in the Recommended Decision conflicts with prior Commission precedent</w:t>
      </w:r>
      <w:r w:rsidR="003779EB">
        <w:rPr>
          <w:sz w:val="26"/>
          <w:szCs w:val="26"/>
        </w:rPr>
        <w:t xml:space="preserve">.  Notably, in </w:t>
      </w:r>
      <w:r w:rsidR="003779EB" w:rsidRPr="003779EB">
        <w:rPr>
          <w:i/>
          <w:iCs/>
          <w:sz w:val="26"/>
          <w:szCs w:val="26"/>
        </w:rPr>
        <w:t>Cheltenham</w:t>
      </w:r>
      <w:r w:rsidR="003779EB">
        <w:rPr>
          <w:sz w:val="26"/>
          <w:szCs w:val="26"/>
        </w:rPr>
        <w:t xml:space="preserve">, the ALJ and the Commission rejected the use of net plant as the terminal value in the Income Approach.  The </w:t>
      </w:r>
      <w:r w:rsidR="003779EB" w:rsidRPr="00F92C70">
        <w:rPr>
          <w:i/>
          <w:iCs/>
          <w:sz w:val="26"/>
          <w:szCs w:val="26"/>
        </w:rPr>
        <w:t>Cheltenham</w:t>
      </w:r>
      <w:r w:rsidR="003779EB">
        <w:rPr>
          <w:sz w:val="26"/>
          <w:szCs w:val="26"/>
        </w:rPr>
        <w:t xml:space="preserve"> Order noted the following </w:t>
      </w:r>
      <w:proofErr w:type="gramStart"/>
      <w:r w:rsidR="003779EB">
        <w:rPr>
          <w:sz w:val="26"/>
          <w:szCs w:val="26"/>
        </w:rPr>
        <w:t>in regard to</w:t>
      </w:r>
      <w:proofErr w:type="gramEnd"/>
      <w:r w:rsidR="003779EB">
        <w:rPr>
          <w:sz w:val="26"/>
          <w:szCs w:val="26"/>
        </w:rPr>
        <w:t xml:space="preserve"> the </w:t>
      </w:r>
      <w:r w:rsidR="005F1F0E">
        <w:rPr>
          <w:sz w:val="26"/>
          <w:szCs w:val="26"/>
        </w:rPr>
        <w:t>UVEs</w:t>
      </w:r>
      <w:r w:rsidR="001C3426">
        <w:rPr>
          <w:sz w:val="26"/>
          <w:szCs w:val="26"/>
        </w:rPr>
        <w:t>’</w:t>
      </w:r>
      <w:r w:rsidR="005F1F0E">
        <w:rPr>
          <w:sz w:val="26"/>
          <w:szCs w:val="26"/>
        </w:rPr>
        <w:t xml:space="preserve"> terminal values and, in doing so its rejection of the OCA’s criticism of it:</w:t>
      </w:r>
    </w:p>
    <w:p w14:paraId="1DEE02E0" w14:textId="77777777" w:rsidR="005676F3" w:rsidRDefault="005676F3" w:rsidP="005676F3">
      <w:pPr>
        <w:widowControl/>
        <w:ind w:firstLine="1440"/>
        <w:rPr>
          <w:sz w:val="26"/>
          <w:szCs w:val="26"/>
        </w:rPr>
      </w:pPr>
    </w:p>
    <w:p w14:paraId="59A5E3CC" w14:textId="1FA9B5E3" w:rsidR="005F1F0E" w:rsidRDefault="00F92C70" w:rsidP="005F1F0E">
      <w:pPr>
        <w:widowControl/>
        <w:ind w:left="1440" w:right="1440"/>
        <w:rPr>
          <w:sz w:val="26"/>
          <w:szCs w:val="26"/>
        </w:rPr>
      </w:pPr>
      <w:r>
        <w:rPr>
          <w:sz w:val="26"/>
          <w:szCs w:val="26"/>
        </w:rPr>
        <w:t>…[R]</w:t>
      </w:r>
      <w:proofErr w:type="spellStart"/>
      <w:r w:rsidR="005F1F0E" w:rsidRPr="005F1F0E">
        <w:rPr>
          <w:sz w:val="26"/>
          <w:szCs w:val="26"/>
        </w:rPr>
        <w:t>egarding</w:t>
      </w:r>
      <w:proofErr w:type="spellEnd"/>
      <w:r w:rsidR="005F1F0E" w:rsidRPr="005F1F0E">
        <w:rPr>
          <w:sz w:val="26"/>
          <w:szCs w:val="26"/>
        </w:rPr>
        <w:t xml:space="preserve"> the OCA’s proposed adjustments relating to the UVEs’ use of a terminal value, the ALJ rejected the OCA’s arguments challenging Gannett’s use of a 13-year terminal value and AUS’ use of a 20-year terminal.  We adopt the ALJ’s recommendation and note the ALJ’s recommendation is consistent with our decision in </w:t>
      </w:r>
      <w:r w:rsidR="005F1F0E" w:rsidRPr="005F1F0E">
        <w:rPr>
          <w:i/>
          <w:iCs/>
          <w:sz w:val="26"/>
          <w:szCs w:val="26"/>
        </w:rPr>
        <w:t>Limerick</w:t>
      </w:r>
      <w:r w:rsidR="005F1F0E" w:rsidRPr="005F1F0E">
        <w:rPr>
          <w:sz w:val="26"/>
          <w:szCs w:val="26"/>
        </w:rPr>
        <w:t xml:space="preserve">.  </w:t>
      </w:r>
      <w:r w:rsidR="005F1F0E" w:rsidRPr="005F1F0E">
        <w:rPr>
          <w:i/>
          <w:iCs/>
          <w:sz w:val="26"/>
          <w:szCs w:val="26"/>
        </w:rPr>
        <w:t xml:space="preserve">See Limerick Order </w:t>
      </w:r>
      <w:r w:rsidR="005F1F0E" w:rsidRPr="005F1F0E">
        <w:rPr>
          <w:sz w:val="26"/>
          <w:szCs w:val="26"/>
        </w:rPr>
        <w:t>at 22.</w:t>
      </w:r>
    </w:p>
    <w:p w14:paraId="24C934CA" w14:textId="77777777" w:rsidR="005F1F0E" w:rsidRDefault="005F1F0E" w:rsidP="005F1F0E">
      <w:pPr>
        <w:widowControl/>
        <w:spacing w:line="360" w:lineRule="auto"/>
        <w:rPr>
          <w:sz w:val="26"/>
          <w:szCs w:val="26"/>
        </w:rPr>
      </w:pPr>
    </w:p>
    <w:p w14:paraId="5F20E948" w14:textId="563D3062" w:rsidR="00B31BF8" w:rsidRDefault="005F1F0E" w:rsidP="00B31BF8">
      <w:pPr>
        <w:widowControl/>
        <w:spacing w:line="360" w:lineRule="auto"/>
        <w:rPr>
          <w:sz w:val="26"/>
          <w:szCs w:val="26"/>
        </w:rPr>
      </w:pPr>
      <w:r w:rsidRPr="00F92C70">
        <w:rPr>
          <w:i/>
          <w:iCs/>
          <w:sz w:val="26"/>
          <w:szCs w:val="26"/>
        </w:rPr>
        <w:t>Cheltenham</w:t>
      </w:r>
      <w:r>
        <w:rPr>
          <w:sz w:val="26"/>
          <w:szCs w:val="26"/>
        </w:rPr>
        <w:t xml:space="preserve"> at</w:t>
      </w:r>
      <w:r w:rsidR="00F92C70">
        <w:rPr>
          <w:sz w:val="26"/>
          <w:szCs w:val="26"/>
        </w:rPr>
        <w:t xml:space="preserve"> 56.</w:t>
      </w:r>
      <w:r w:rsidR="00E86677">
        <w:rPr>
          <w:sz w:val="26"/>
          <w:szCs w:val="26"/>
        </w:rPr>
        <w:t xml:space="preserve">  </w:t>
      </w:r>
      <w:r w:rsidR="000931B0">
        <w:rPr>
          <w:sz w:val="26"/>
          <w:szCs w:val="26"/>
        </w:rPr>
        <w:t xml:space="preserve">In this proceeding, the Recommended Decision nonetheless </w:t>
      </w:r>
      <w:r w:rsidR="00487138" w:rsidRPr="00487138">
        <w:rPr>
          <w:sz w:val="26"/>
          <w:szCs w:val="26"/>
        </w:rPr>
        <w:t xml:space="preserve">recommended that the </w:t>
      </w:r>
      <w:r w:rsidR="006B6F5B">
        <w:rPr>
          <w:sz w:val="26"/>
          <w:szCs w:val="26"/>
        </w:rPr>
        <w:t xml:space="preserve">terminal </w:t>
      </w:r>
      <w:r w:rsidR="006B6F5B" w:rsidRPr="00D86D50">
        <w:rPr>
          <w:sz w:val="26"/>
          <w:szCs w:val="26"/>
        </w:rPr>
        <w:t>value</w:t>
      </w:r>
      <w:r w:rsidR="00D33D2A">
        <w:rPr>
          <w:sz w:val="26"/>
          <w:szCs w:val="26"/>
        </w:rPr>
        <w:t xml:space="preserve">s </w:t>
      </w:r>
      <w:r w:rsidR="006B6F5B" w:rsidRPr="00D86D50">
        <w:rPr>
          <w:sz w:val="26"/>
          <w:szCs w:val="26"/>
        </w:rPr>
        <w:t xml:space="preserve">be calculated based on the equivalent of net plant </w:t>
      </w:r>
      <w:r w:rsidR="00D33D2A">
        <w:rPr>
          <w:sz w:val="26"/>
          <w:szCs w:val="26"/>
        </w:rPr>
        <w:t>less ADIT, as proposed by the OCA,</w:t>
      </w:r>
      <w:r w:rsidR="00542847">
        <w:rPr>
          <w:rStyle w:val="FootnoteReference"/>
          <w:sz w:val="26"/>
          <w:szCs w:val="26"/>
        </w:rPr>
        <w:footnoteReference w:id="30"/>
      </w:r>
      <w:r w:rsidR="00D33D2A">
        <w:rPr>
          <w:sz w:val="26"/>
          <w:szCs w:val="26"/>
        </w:rPr>
        <w:t xml:space="preserve"> </w:t>
      </w:r>
      <w:r w:rsidR="000931B0">
        <w:rPr>
          <w:sz w:val="26"/>
          <w:szCs w:val="26"/>
        </w:rPr>
        <w:t>finding</w:t>
      </w:r>
      <w:r w:rsidR="007E4848">
        <w:rPr>
          <w:sz w:val="26"/>
          <w:szCs w:val="26"/>
        </w:rPr>
        <w:t xml:space="preserve"> the OCA’s recommended adjustments to be “…</w:t>
      </w:r>
      <w:r w:rsidR="00D33D2A">
        <w:rPr>
          <w:sz w:val="26"/>
          <w:szCs w:val="26"/>
        </w:rPr>
        <w:t>reasonable</w:t>
      </w:r>
      <w:r w:rsidR="007E4848">
        <w:rPr>
          <w:sz w:val="26"/>
          <w:szCs w:val="26"/>
        </w:rPr>
        <w:t>…</w:t>
      </w:r>
      <w:r w:rsidR="00D33D2A">
        <w:rPr>
          <w:sz w:val="26"/>
          <w:szCs w:val="26"/>
        </w:rPr>
        <w:t>,</w:t>
      </w:r>
      <w:r w:rsidR="007E4848">
        <w:rPr>
          <w:sz w:val="26"/>
          <w:szCs w:val="26"/>
        </w:rPr>
        <w:t>” and “…</w:t>
      </w:r>
      <w:r w:rsidR="00D33D2A">
        <w:rPr>
          <w:sz w:val="26"/>
          <w:szCs w:val="26"/>
        </w:rPr>
        <w:t>consistent with the Public Utility Code and precedent….</w:t>
      </w:r>
      <w:r w:rsidR="0065139C">
        <w:rPr>
          <w:sz w:val="26"/>
          <w:szCs w:val="26"/>
        </w:rPr>
        <w:t xml:space="preserve">”  R.D. at 92.  </w:t>
      </w:r>
    </w:p>
    <w:p w14:paraId="04761205" w14:textId="409E0B4E" w:rsidR="002E7048" w:rsidRDefault="002E7048" w:rsidP="00B31BF8">
      <w:pPr>
        <w:widowControl/>
        <w:spacing w:line="360" w:lineRule="auto"/>
        <w:rPr>
          <w:sz w:val="26"/>
          <w:szCs w:val="26"/>
        </w:rPr>
      </w:pPr>
    </w:p>
    <w:p w14:paraId="0A247FBD" w14:textId="53BF9A71" w:rsidR="002E7048" w:rsidRDefault="002E7048" w:rsidP="002E7048">
      <w:pPr>
        <w:widowControl/>
        <w:spacing w:line="360" w:lineRule="auto"/>
        <w:ind w:firstLine="1440"/>
        <w:rPr>
          <w:sz w:val="26"/>
          <w:szCs w:val="26"/>
        </w:rPr>
      </w:pPr>
      <w:r>
        <w:rPr>
          <w:sz w:val="26"/>
          <w:szCs w:val="26"/>
        </w:rPr>
        <w:t xml:space="preserve">The ALJ in </w:t>
      </w:r>
      <w:r w:rsidRPr="002E7048">
        <w:rPr>
          <w:i/>
          <w:iCs/>
          <w:sz w:val="26"/>
          <w:szCs w:val="26"/>
        </w:rPr>
        <w:t>Cheltenham</w:t>
      </w:r>
      <w:r>
        <w:rPr>
          <w:sz w:val="26"/>
          <w:szCs w:val="26"/>
        </w:rPr>
        <w:t xml:space="preserve"> explained as follows:</w:t>
      </w:r>
    </w:p>
    <w:p w14:paraId="3848B1C2" w14:textId="77777777" w:rsidR="00245B03" w:rsidRDefault="00245B03" w:rsidP="00245B03">
      <w:pPr>
        <w:ind w:left="1440" w:right="1440"/>
        <w:rPr>
          <w:sz w:val="26"/>
          <w:szCs w:val="26"/>
        </w:rPr>
      </w:pPr>
    </w:p>
    <w:p w14:paraId="26C3CD9F" w14:textId="2DF94594" w:rsidR="002E7048" w:rsidRPr="005A10D2" w:rsidRDefault="002E7048" w:rsidP="00245B03">
      <w:pPr>
        <w:ind w:left="1440" w:right="1440"/>
        <w:rPr>
          <w:sz w:val="26"/>
          <w:szCs w:val="26"/>
        </w:rPr>
      </w:pPr>
      <w:r w:rsidRPr="005A10D2">
        <w:rPr>
          <w:sz w:val="26"/>
          <w:szCs w:val="26"/>
        </w:rPr>
        <w:t xml:space="preserve">OCA advocates for using revised revenues sufficient to earn a return on rate base typically authorized by the Commission and a revised terminal value. </w:t>
      </w:r>
      <w:r w:rsidR="002B1289">
        <w:rPr>
          <w:sz w:val="26"/>
          <w:szCs w:val="26"/>
        </w:rPr>
        <w:t xml:space="preserve"> </w:t>
      </w:r>
      <w:r w:rsidRPr="005A10D2">
        <w:rPr>
          <w:sz w:val="26"/>
          <w:szCs w:val="26"/>
        </w:rPr>
        <w:t xml:space="preserve">OCA bases its revised revenues </w:t>
      </w:r>
      <w:proofErr w:type="gramStart"/>
      <w:r w:rsidRPr="005A10D2">
        <w:rPr>
          <w:sz w:val="26"/>
          <w:szCs w:val="26"/>
        </w:rPr>
        <w:t>off of</w:t>
      </w:r>
      <w:proofErr w:type="gramEnd"/>
      <w:r w:rsidRPr="005A10D2">
        <w:rPr>
          <w:sz w:val="26"/>
          <w:szCs w:val="26"/>
        </w:rPr>
        <w:t xml:space="preserve"> its proposed </w:t>
      </w:r>
      <w:r w:rsidR="000C605D">
        <w:rPr>
          <w:sz w:val="26"/>
          <w:szCs w:val="26"/>
        </w:rPr>
        <w:t>[depreciated original cost</w:t>
      </w:r>
      <w:r w:rsidR="006D2A59">
        <w:rPr>
          <w:sz w:val="26"/>
          <w:szCs w:val="26"/>
        </w:rPr>
        <w:t xml:space="preserve"> (</w:t>
      </w:r>
      <w:r w:rsidRPr="005A10D2">
        <w:rPr>
          <w:sz w:val="26"/>
          <w:szCs w:val="26"/>
        </w:rPr>
        <w:t>DOC</w:t>
      </w:r>
      <w:r w:rsidR="006D2A59">
        <w:rPr>
          <w:sz w:val="26"/>
          <w:szCs w:val="26"/>
        </w:rPr>
        <w:t>)]</w:t>
      </w:r>
      <w:r w:rsidRPr="005A10D2">
        <w:rPr>
          <w:sz w:val="26"/>
          <w:szCs w:val="26"/>
        </w:rPr>
        <w:t xml:space="preserve"> rate base. </w:t>
      </w:r>
      <w:r w:rsidR="002B1289">
        <w:rPr>
          <w:sz w:val="26"/>
          <w:szCs w:val="26"/>
        </w:rPr>
        <w:t xml:space="preserve"> </w:t>
      </w:r>
      <w:r w:rsidRPr="005A10D2">
        <w:rPr>
          <w:sz w:val="26"/>
          <w:szCs w:val="26"/>
        </w:rPr>
        <w:t xml:space="preserve">OCA MB at 27. </w:t>
      </w:r>
      <w:r w:rsidR="002B1289">
        <w:rPr>
          <w:sz w:val="26"/>
          <w:szCs w:val="26"/>
        </w:rPr>
        <w:t xml:space="preserve"> </w:t>
      </w:r>
      <w:r w:rsidRPr="005A10D2">
        <w:rPr>
          <w:sz w:val="26"/>
          <w:szCs w:val="26"/>
        </w:rPr>
        <w:t xml:space="preserve">OCA bases its terminal value </w:t>
      </w:r>
      <w:proofErr w:type="gramStart"/>
      <w:r w:rsidRPr="005A10D2">
        <w:rPr>
          <w:sz w:val="26"/>
          <w:szCs w:val="26"/>
        </w:rPr>
        <w:t>off of</w:t>
      </w:r>
      <w:proofErr w:type="gramEnd"/>
      <w:r w:rsidRPr="005A10D2">
        <w:rPr>
          <w:sz w:val="26"/>
          <w:szCs w:val="26"/>
        </w:rPr>
        <w:t xml:space="preserve"> the value of the CT system’s net investment in the 20th year. </w:t>
      </w:r>
      <w:r w:rsidR="002B1289">
        <w:rPr>
          <w:sz w:val="26"/>
          <w:szCs w:val="26"/>
        </w:rPr>
        <w:t xml:space="preserve"> </w:t>
      </w:r>
      <w:r w:rsidRPr="005A10D2">
        <w:rPr>
          <w:i/>
          <w:iCs/>
          <w:sz w:val="26"/>
          <w:szCs w:val="26"/>
        </w:rPr>
        <w:t>Id</w:t>
      </w:r>
      <w:r w:rsidRPr="005A10D2">
        <w:rPr>
          <w:sz w:val="26"/>
          <w:szCs w:val="26"/>
        </w:rPr>
        <w:t xml:space="preserve">. at 30. </w:t>
      </w:r>
    </w:p>
    <w:p w14:paraId="1DE7C0EB" w14:textId="77777777" w:rsidR="00245B03" w:rsidRDefault="00245B03" w:rsidP="00245B03">
      <w:pPr>
        <w:ind w:left="1440" w:right="1440"/>
        <w:rPr>
          <w:sz w:val="26"/>
          <w:szCs w:val="26"/>
        </w:rPr>
      </w:pPr>
    </w:p>
    <w:p w14:paraId="40B408DB" w14:textId="2668FB4A" w:rsidR="002E7048" w:rsidRPr="005A10D2" w:rsidRDefault="006D2A59" w:rsidP="002E7048">
      <w:pPr>
        <w:ind w:left="1440" w:right="1440"/>
        <w:rPr>
          <w:sz w:val="26"/>
          <w:szCs w:val="26"/>
        </w:rPr>
      </w:pPr>
      <w:r>
        <w:rPr>
          <w:sz w:val="26"/>
          <w:szCs w:val="26"/>
        </w:rPr>
        <w:t>[Aqua, herein “</w:t>
      </w:r>
      <w:r w:rsidR="002E7048" w:rsidRPr="005A10D2">
        <w:rPr>
          <w:sz w:val="26"/>
          <w:szCs w:val="26"/>
        </w:rPr>
        <w:t>APW</w:t>
      </w:r>
      <w:r>
        <w:rPr>
          <w:sz w:val="26"/>
          <w:szCs w:val="26"/>
        </w:rPr>
        <w:t>”]</w:t>
      </w:r>
      <w:r w:rsidR="002E7048" w:rsidRPr="005A10D2">
        <w:rPr>
          <w:sz w:val="26"/>
          <w:szCs w:val="26"/>
        </w:rPr>
        <w:t xml:space="preserve"> also agrees that the ratemaking required return is the correct return to apply to the Commission-determined rate base in calculating the system’s revenue requirements. </w:t>
      </w:r>
      <w:r w:rsidR="002B1289">
        <w:rPr>
          <w:sz w:val="26"/>
          <w:szCs w:val="26"/>
        </w:rPr>
        <w:t xml:space="preserve"> </w:t>
      </w:r>
      <w:r w:rsidR="002E7048" w:rsidRPr="005A10D2">
        <w:rPr>
          <w:sz w:val="26"/>
          <w:szCs w:val="26"/>
        </w:rPr>
        <w:t xml:space="preserve">APW MB at 57. </w:t>
      </w:r>
      <w:r w:rsidR="002B1289">
        <w:rPr>
          <w:sz w:val="26"/>
          <w:szCs w:val="26"/>
        </w:rPr>
        <w:t xml:space="preserve"> </w:t>
      </w:r>
      <w:r w:rsidR="002E7048" w:rsidRPr="005A10D2">
        <w:rPr>
          <w:sz w:val="26"/>
          <w:szCs w:val="26"/>
        </w:rPr>
        <w:t xml:space="preserve">APW notes accepting DOC as the terminal value eliminates the need to appraise plant assets since the indicated value of DOC is DOC. </w:t>
      </w:r>
      <w:r w:rsidR="002B1289">
        <w:rPr>
          <w:sz w:val="26"/>
          <w:szCs w:val="26"/>
        </w:rPr>
        <w:t xml:space="preserve"> </w:t>
      </w:r>
      <w:r w:rsidR="002E7048" w:rsidRPr="005A10D2">
        <w:rPr>
          <w:sz w:val="26"/>
          <w:szCs w:val="26"/>
        </w:rPr>
        <w:t xml:space="preserve">APW MB at 53. </w:t>
      </w:r>
      <w:r w:rsidR="002B1289">
        <w:rPr>
          <w:sz w:val="26"/>
          <w:szCs w:val="26"/>
        </w:rPr>
        <w:t xml:space="preserve"> </w:t>
      </w:r>
      <w:r w:rsidR="002E7048" w:rsidRPr="005A10D2">
        <w:rPr>
          <w:sz w:val="26"/>
          <w:szCs w:val="26"/>
        </w:rPr>
        <w:t xml:space="preserve">I find the following testimony of OCA witness Watkin’s particularly compelling, </w:t>
      </w:r>
    </w:p>
    <w:p w14:paraId="26397F5D" w14:textId="77777777" w:rsidR="002B1289" w:rsidRDefault="002E7048" w:rsidP="002B1289">
      <w:pPr>
        <w:ind w:left="2160" w:right="2160"/>
        <w:rPr>
          <w:sz w:val="26"/>
          <w:szCs w:val="26"/>
        </w:rPr>
      </w:pPr>
      <w:r w:rsidRPr="005A10D2">
        <w:rPr>
          <w:sz w:val="26"/>
          <w:szCs w:val="26"/>
        </w:rPr>
        <w:t xml:space="preserve">[I]f a firm is expected to earn a return on its investment at its cost of capital </w:t>
      </w:r>
      <w:proofErr w:type="gramStart"/>
      <w:r w:rsidRPr="005A10D2">
        <w:rPr>
          <w:sz w:val="26"/>
          <w:szCs w:val="26"/>
        </w:rPr>
        <w:t>and also</w:t>
      </w:r>
      <w:proofErr w:type="gramEnd"/>
      <w:r w:rsidRPr="005A10D2">
        <w:rPr>
          <w:sz w:val="26"/>
          <w:szCs w:val="26"/>
        </w:rPr>
        <w:t xml:space="preserve"> recover its depreciation expense, the present value of that future cash flow is exactly equal to the present value of its investment.</w:t>
      </w:r>
      <w:r w:rsidR="002B1289">
        <w:rPr>
          <w:sz w:val="26"/>
          <w:szCs w:val="26"/>
        </w:rPr>
        <w:t xml:space="preserve">  </w:t>
      </w:r>
    </w:p>
    <w:p w14:paraId="60D87A5C" w14:textId="77777777" w:rsidR="002B1289" w:rsidRDefault="002B1289" w:rsidP="002B1289">
      <w:pPr>
        <w:ind w:right="2160"/>
        <w:rPr>
          <w:sz w:val="26"/>
          <w:szCs w:val="26"/>
        </w:rPr>
      </w:pPr>
    </w:p>
    <w:p w14:paraId="55C486F5" w14:textId="69403FB2" w:rsidR="002E7048" w:rsidRDefault="002E7048" w:rsidP="002B1289">
      <w:pPr>
        <w:ind w:left="1440" w:right="2160"/>
        <w:rPr>
          <w:sz w:val="26"/>
          <w:szCs w:val="26"/>
        </w:rPr>
      </w:pPr>
      <w:r w:rsidRPr="005A10D2">
        <w:rPr>
          <w:sz w:val="26"/>
          <w:szCs w:val="26"/>
        </w:rPr>
        <w:t xml:space="preserve">OCA St. 2 at 16-17. </w:t>
      </w:r>
    </w:p>
    <w:p w14:paraId="6E1AE093" w14:textId="77777777" w:rsidR="00245B03" w:rsidRDefault="00245B03" w:rsidP="00245B03">
      <w:pPr>
        <w:ind w:left="1440" w:right="1440"/>
        <w:rPr>
          <w:sz w:val="26"/>
          <w:szCs w:val="26"/>
        </w:rPr>
      </w:pPr>
    </w:p>
    <w:p w14:paraId="6F7A5731" w14:textId="5EE0B8B5" w:rsidR="002E7048" w:rsidRDefault="002E7048" w:rsidP="00245B03">
      <w:pPr>
        <w:ind w:left="1440" w:right="1440"/>
        <w:rPr>
          <w:sz w:val="26"/>
          <w:szCs w:val="26"/>
        </w:rPr>
      </w:pPr>
      <w:r w:rsidRPr="005A10D2">
        <w:rPr>
          <w:sz w:val="26"/>
          <w:szCs w:val="26"/>
        </w:rPr>
        <w:t>As previously discussed, I disagree with OCA’s contention that the RCNLD rate base used by AUS is unreasonable.</w:t>
      </w:r>
      <w:r w:rsidR="005903CF">
        <w:rPr>
          <w:sz w:val="26"/>
          <w:szCs w:val="26"/>
        </w:rPr>
        <w:t xml:space="preserve">  </w:t>
      </w:r>
      <w:r w:rsidRPr="005A10D2">
        <w:rPr>
          <w:sz w:val="26"/>
          <w:szCs w:val="26"/>
        </w:rPr>
        <w:t xml:space="preserve">However, I find no fault in OCA’s argument; the reasonable result of AUS’s income approach is inevitable. Because the Commission would not reasonably permit a utility to earn an excessive return on its rate base, AUS’s income approach must be adjusted to be equal to AUS’s initial RCNLD rate base, as adjusted. </w:t>
      </w:r>
    </w:p>
    <w:p w14:paraId="150B0F81" w14:textId="77777777" w:rsidR="00245B03" w:rsidRDefault="00245B03" w:rsidP="00245B03">
      <w:pPr>
        <w:ind w:left="1440" w:right="1440"/>
        <w:rPr>
          <w:sz w:val="26"/>
          <w:szCs w:val="26"/>
        </w:rPr>
      </w:pPr>
    </w:p>
    <w:p w14:paraId="2095E797" w14:textId="18266C07" w:rsidR="002E7048" w:rsidRDefault="002E7048" w:rsidP="00245B03">
      <w:pPr>
        <w:ind w:left="1440" w:right="1440"/>
        <w:rPr>
          <w:sz w:val="26"/>
          <w:szCs w:val="26"/>
        </w:rPr>
      </w:pPr>
      <w:r w:rsidRPr="005A10D2">
        <w:rPr>
          <w:sz w:val="26"/>
          <w:szCs w:val="26"/>
        </w:rPr>
        <w:t xml:space="preserve">OCA also contends the capital structure and cost of equity employed by AUS are unreasonable. </w:t>
      </w:r>
      <w:r w:rsidR="005903CF">
        <w:rPr>
          <w:sz w:val="26"/>
          <w:szCs w:val="26"/>
        </w:rPr>
        <w:t xml:space="preserve"> </w:t>
      </w:r>
      <w:r w:rsidRPr="005A10D2">
        <w:rPr>
          <w:sz w:val="26"/>
          <w:szCs w:val="26"/>
        </w:rPr>
        <w:t xml:space="preserve">OCA MB at 25. </w:t>
      </w:r>
      <w:r w:rsidR="005903CF">
        <w:rPr>
          <w:sz w:val="26"/>
          <w:szCs w:val="26"/>
        </w:rPr>
        <w:t xml:space="preserve"> </w:t>
      </w:r>
      <w:r w:rsidRPr="005A10D2">
        <w:rPr>
          <w:sz w:val="26"/>
          <w:szCs w:val="26"/>
        </w:rPr>
        <w:t>APW posits that AUS’s assumptions regarding the capital structure used to finance the acquisition and to earn a required return on rate base are reasonable.</w:t>
      </w:r>
      <w:r w:rsidR="005903CF">
        <w:rPr>
          <w:sz w:val="26"/>
          <w:szCs w:val="26"/>
        </w:rPr>
        <w:t xml:space="preserve">  </w:t>
      </w:r>
      <w:r w:rsidRPr="00155A80">
        <w:rPr>
          <w:sz w:val="26"/>
          <w:szCs w:val="26"/>
        </w:rPr>
        <w:t xml:space="preserve">APW RB at 11-12. </w:t>
      </w:r>
      <w:r w:rsidR="005903CF">
        <w:rPr>
          <w:sz w:val="26"/>
          <w:szCs w:val="26"/>
        </w:rPr>
        <w:t xml:space="preserve"> </w:t>
      </w:r>
      <w:r w:rsidRPr="00155A80">
        <w:rPr>
          <w:sz w:val="26"/>
          <w:szCs w:val="26"/>
        </w:rPr>
        <w:t>Based upon the record, I find that OCA has not adequately shown that the capital structure and cost of equity values used by AUS in its RCNLD model would result in excessive returns for a potential buyer.</w:t>
      </w:r>
    </w:p>
    <w:p w14:paraId="7C7C5260" w14:textId="4871352B" w:rsidR="002E7048" w:rsidRDefault="002E7048" w:rsidP="00B31BF8">
      <w:pPr>
        <w:widowControl/>
        <w:spacing w:line="360" w:lineRule="auto"/>
        <w:rPr>
          <w:sz w:val="26"/>
          <w:szCs w:val="26"/>
        </w:rPr>
      </w:pPr>
    </w:p>
    <w:p w14:paraId="3A119C0C" w14:textId="02A569AB" w:rsidR="002E7048" w:rsidRDefault="005903CF" w:rsidP="00B31BF8">
      <w:pPr>
        <w:widowControl/>
        <w:spacing w:line="360" w:lineRule="auto"/>
        <w:rPr>
          <w:sz w:val="26"/>
          <w:szCs w:val="26"/>
        </w:rPr>
      </w:pPr>
      <w:r w:rsidRPr="005903CF">
        <w:rPr>
          <w:i/>
          <w:iCs/>
          <w:sz w:val="26"/>
          <w:szCs w:val="26"/>
        </w:rPr>
        <w:t>Cheltenham</w:t>
      </w:r>
      <w:r>
        <w:rPr>
          <w:sz w:val="26"/>
          <w:szCs w:val="26"/>
        </w:rPr>
        <w:t xml:space="preserve"> R.D. at 37-3</w:t>
      </w:r>
      <w:r w:rsidR="006D2A59">
        <w:rPr>
          <w:sz w:val="26"/>
          <w:szCs w:val="26"/>
        </w:rPr>
        <w:t>8</w:t>
      </w:r>
      <w:r>
        <w:rPr>
          <w:sz w:val="26"/>
          <w:szCs w:val="26"/>
        </w:rPr>
        <w:t>.</w:t>
      </w:r>
    </w:p>
    <w:p w14:paraId="1BD3BFE6" w14:textId="77777777" w:rsidR="002E7048" w:rsidRDefault="002E7048" w:rsidP="00B31BF8">
      <w:pPr>
        <w:widowControl/>
        <w:spacing w:line="360" w:lineRule="auto"/>
        <w:rPr>
          <w:sz w:val="26"/>
          <w:szCs w:val="26"/>
        </w:rPr>
      </w:pPr>
    </w:p>
    <w:p w14:paraId="1BEB600E" w14:textId="4FA1FB0F" w:rsidR="007C6357" w:rsidRDefault="006D2A59" w:rsidP="00057614">
      <w:pPr>
        <w:widowControl/>
        <w:spacing w:line="360" w:lineRule="auto"/>
        <w:ind w:firstLine="1440"/>
        <w:rPr>
          <w:sz w:val="26"/>
          <w:szCs w:val="26"/>
        </w:rPr>
      </w:pPr>
      <w:r>
        <w:rPr>
          <w:sz w:val="26"/>
          <w:szCs w:val="26"/>
        </w:rPr>
        <w:t>Here, w</w:t>
      </w:r>
      <w:r w:rsidR="007E273E">
        <w:rPr>
          <w:sz w:val="26"/>
          <w:szCs w:val="26"/>
        </w:rPr>
        <w:t>e agree with Aqua that the OCA’s reasoning for</w:t>
      </w:r>
      <w:r w:rsidR="00B31BF8">
        <w:rPr>
          <w:sz w:val="26"/>
          <w:szCs w:val="26"/>
        </w:rPr>
        <w:t xml:space="preserve"> a downward adjustment of the respective UVEs’ Income Approach</w:t>
      </w:r>
      <w:r w:rsidR="00FC6E15">
        <w:rPr>
          <w:sz w:val="26"/>
          <w:szCs w:val="26"/>
        </w:rPr>
        <w:t>e</w:t>
      </w:r>
      <w:r w:rsidR="00B31BF8">
        <w:rPr>
          <w:sz w:val="26"/>
          <w:szCs w:val="26"/>
        </w:rPr>
        <w:t>s</w:t>
      </w:r>
      <w:r w:rsidR="00FC6E15">
        <w:rPr>
          <w:sz w:val="26"/>
          <w:szCs w:val="26"/>
        </w:rPr>
        <w:t>,</w:t>
      </w:r>
      <w:r w:rsidR="00B31BF8">
        <w:rPr>
          <w:sz w:val="26"/>
          <w:szCs w:val="26"/>
        </w:rPr>
        <w:t xml:space="preserve"> based on the use of net plant less ADIT as the terminal value</w:t>
      </w:r>
      <w:r w:rsidR="00FC6E15">
        <w:rPr>
          <w:sz w:val="26"/>
          <w:szCs w:val="26"/>
        </w:rPr>
        <w:t>,</w:t>
      </w:r>
      <w:r w:rsidR="00B31BF8">
        <w:rPr>
          <w:sz w:val="26"/>
          <w:szCs w:val="26"/>
        </w:rPr>
        <w:t xml:space="preserve"> </w:t>
      </w:r>
      <w:r w:rsidR="007E273E">
        <w:rPr>
          <w:sz w:val="26"/>
          <w:szCs w:val="26"/>
        </w:rPr>
        <w:t>is not well founded in Commission precedent</w:t>
      </w:r>
      <w:r w:rsidR="00750C69">
        <w:rPr>
          <w:sz w:val="26"/>
          <w:szCs w:val="26"/>
        </w:rPr>
        <w:t xml:space="preserve">.  </w:t>
      </w:r>
      <w:r w:rsidR="006C12A8">
        <w:rPr>
          <w:sz w:val="26"/>
          <w:szCs w:val="26"/>
        </w:rPr>
        <w:t xml:space="preserve">The </w:t>
      </w:r>
      <w:r w:rsidR="00750C69">
        <w:rPr>
          <w:sz w:val="26"/>
          <w:szCs w:val="26"/>
        </w:rPr>
        <w:t>Recommended Decision, therefore, strays from prior Commission precedent</w:t>
      </w:r>
      <w:r w:rsidR="00057614">
        <w:rPr>
          <w:sz w:val="26"/>
          <w:szCs w:val="26"/>
        </w:rPr>
        <w:t>, and makes no</w:t>
      </w:r>
      <w:r w:rsidR="007C6357">
        <w:rPr>
          <w:sz w:val="26"/>
          <w:szCs w:val="26"/>
        </w:rPr>
        <w:t xml:space="preserve"> attempt to distinguish Aqua’s acquisition of LMT’s wastewater assets from </w:t>
      </w:r>
      <w:r w:rsidR="007C6357" w:rsidRPr="007C6357">
        <w:rPr>
          <w:i/>
          <w:iCs/>
          <w:sz w:val="26"/>
          <w:szCs w:val="26"/>
        </w:rPr>
        <w:t>Cheltenham</w:t>
      </w:r>
      <w:r w:rsidR="00522B97">
        <w:rPr>
          <w:sz w:val="26"/>
          <w:szCs w:val="26"/>
        </w:rPr>
        <w:t xml:space="preserve"> or</w:t>
      </w:r>
      <w:r>
        <w:rPr>
          <w:sz w:val="26"/>
          <w:szCs w:val="26"/>
        </w:rPr>
        <w:t xml:space="preserve"> explain</w:t>
      </w:r>
      <w:r w:rsidR="00522B97">
        <w:rPr>
          <w:sz w:val="26"/>
          <w:szCs w:val="26"/>
        </w:rPr>
        <w:t xml:space="preserve"> why the use of net plant less ADIT, previously rejected by the Commission, is appropriate in this proceeding.</w:t>
      </w:r>
    </w:p>
    <w:p w14:paraId="280AFCAA" w14:textId="77777777" w:rsidR="00E42B6D" w:rsidRDefault="00E42B6D" w:rsidP="002E7C16">
      <w:pPr>
        <w:widowControl/>
        <w:spacing w:line="360" w:lineRule="auto"/>
        <w:rPr>
          <w:sz w:val="26"/>
          <w:szCs w:val="26"/>
        </w:rPr>
      </w:pPr>
    </w:p>
    <w:p w14:paraId="7003E036" w14:textId="6624EF27" w:rsidR="00C10D4B" w:rsidRDefault="00914A00" w:rsidP="002C4FA3">
      <w:pPr>
        <w:widowControl/>
        <w:spacing w:line="360" w:lineRule="auto"/>
        <w:ind w:firstLine="1440"/>
        <w:rPr>
          <w:sz w:val="26"/>
          <w:szCs w:val="26"/>
        </w:rPr>
      </w:pPr>
      <w:r>
        <w:rPr>
          <w:sz w:val="26"/>
          <w:szCs w:val="26"/>
        </w:rPr>
        <w:t>Furthermore, w</w:t>
      </w:r>
      <w:r w:rsidR="009B5011">
        <w:rPr>
          <w:sz w:val="26"/>
          <w:szCs w:val="26"/>
        </w:rPr>
        <w:t xml:space="preserve">e find persuasive Aqua’s argument that the OCA’s proposal </w:t>
      </w:r>
      <w:r w:rsidR="009B5011" w:rsidRPr="009B5011">
        <w:rPr>
          <w:sz w:val="26"/>
          <w:szCs w:val="26"/>
        </w:rPr>
        <w:t>cha</w:t>
      </w:r>
      <w:r w:rsidR="009B5011">
        <w:rPr>
          <w:sz w:val="26"/>
          <w:szCs w:val="26"/>
        </w:rPr>
        <w:t>nges</w:t>
      </w:r>
      <w:r w:rsidR="009B5011" w:rsidRPr="009B5011">
        <w:rPr>
          <w:sz w:val="26"/>
          <w:szCs w:val="26"/>
        </w:rPr>
        <w:t xml:space="preserve"> the present value analysis, essential to the Income Approach, to a hybrid analysis that incorporates part of a present value Income Approach with part of a future book value Cost</w:t>
      </w:r>
      <w:r w:rsidR="009B5011">
        <w:rPr>
          <w:sz w:val="26"/>
          <w:szCs w:val="26"/>
        </w:rPr>
        <w:t xml:space="preserve"> Approach</w:t>
      </w:r>
      <w:r w:rsidR="002E495C">
        <w:rPr>
          <w:sz w:val="26"/>
          <w:szCs w:val="26"/>
        </w:rPr>
        <w:t xml:space="preserve">.  </w:t>
      </w:r>
      <w:r w:rsidR="002C4FA3">
        <w:rPr>
          <w:sz w:val="26"/>
          <w:szCs w:val="26"/>
        </w:rPr>
        <w:t>Aqua M.B. at 14; Aqua R.B. at 5-6.</w:t>
      </w:r>
    </w:p>
    <w:p w14:paraId="5C0433FB" w14:textId="77777777" w:rsidR="002C4FA3" w:rsidRDefault="002C4FA3" w:rsidP="002C4FA3">
      <w:pPr>
        <w:widowControl/>
        <w:spacing w:line="360" w:lineRule="auto"/>
        <w:ind w:firstLine="1440"/>
        <w:rPr>
          <w:sz w:val="26"/>
          <w:szCs w:val="26"/>
        </w:rPr>
      </w:pPr>
    </w:p>
    <w:p w14:paraId="5F85F9B3" w14:textId="3BFB0812" w:rsidR="00A34BF0" w:rsidRDefault="002E495C" w:rsidP="00C533CF">
      <w:pPr>
        <w:widowControl/>
        <w:spacing w:line="360" w:lineRule="auto"/>
        <w:ind w:firstLine="1440"/>
        <w:rPr>
          <w:sz w:val="26"/>
          <w:szCs w:val="26"/>
        </w:rPr>
      </w:pPr>
      <w:r w:rsidRPr="002E495C">
        <w:rPr>
          <w:sz w:val="26"/>
          <w:szCs w:val="26"/>
        </w:rPr>
        <w:t>Historically,</w:t>
      </w:r>
      <w:r>
        <w:rPr>
          <w:sz w:val="26"/>
          <w:szCs w:val="26"/>
        </w:rPr>
        <w:t xml:space="preserve"> regulated utilities under the Commission’s jurisdiction have</w:t>
      </w:r>
      <w:r w:rsidRPr="002E495C">
        <w:rPr>
          <w:sz w:val="26"/>
          <w:szCs w:val="26"/>
        </w:rPr>
        <w:t xml:space="preserve"> predominantly followed a standard and practice of using </w:t>
      </w:r>
      <w:r w:rsidR="00142F3D">
        <w:rPr>
          <w:sz w:val="26"/>
          <w:szCs w:val="26"/>
        </w:rPr>
        <w:t>depreciated original cost</w:t>
      </w:r>
      <w:r w:rsidRPr="002E495C">
        <w:rPr>
          <w:sz w:val="26"/>
          <w:szCs w:val="26"/>
        </w:rPr>
        <w:t xml:space="preserve"> value (with various adjustments) as the rate base in which</w:t>
      </w:r>
      <w:r>
        <w:rPr>
          <w:sz w:val="26"/>
          <w:szCs w:val="26"/>
        </w:rPr>
        <w:t xml:space="preserve"> </w:t>
      </w:r>
      <w:r w:rsidR="00985852">
        <w:rPr>
          <w:sz w:val="26"/>
          <w:szCs w:val="26"/>
        </w:rPr>
        <w:t>they</w:t>
      </w:r>
      <w:r w:rsidRPr="002E495C">
        <w:rPr>
          <w:sz w:val="26"/>
          <w:szCs w:val="26"/>
        </w:rPr>
        <w:t xml:space="preserve"> may recover </w:t>
      </w:r>
      <w:r w:rsidR="00985852">
        <w:rPr>
          <w:sz w:val="26"/>
          <w:szCs w:val="26"/>
        </w:rPr>
        <w:t>their</w:t>
      </w:r>
      <w:r w:rsidRPr="002E495C">
        <w:rPr>
          <w:sz w:val="26"/>
          <w:szCs w:val="26"/>
        </w:rPr>
        <w:t xml:space="preserve"> capital investment and earn a rate of return on the unrecouped asset value or rate base. </w:t>
      </w:r>
      <w:r>
        <w:rPr>
          <w:sz w:val="26"/>
          <w:szCs w:val="26"/>
        </w:rPr>
        <w:t xml:space="preserve"> </w:t>
      </w:r>
      <w:r w:rsidRPr="002E495C">
        <w:rPr>
          <w:sz w:val="26"/>
          <w:szCs w:val="26"/>
        </w:rPr>
        <w:t xml:space="preserve">However, </w:t>
      </w:r>
      <w:r w:rsidR="00A34BF0">
        <w:rPr>
          <w:sz w:val="26"/>
          <w:szCs w:val="26"/>
        </w:rPr>
        <w:t>Section 1329 establishes fair market value, not original cost, as the ratemaking rate base for municipal transactions</w:t>
      </w:r>
      <w:r w:rsidR="004B4ADF">
        <w:rPr>
          <w:sz w:val="26"/>
          <w:szCs w:val="26"/>
        </w:rPr>
        <w:t>.  Under Section 1329, it is fair value, ratemaking rate base that, ultimately, will be used for ratemaking purposes, rather than being constrained by depreciated original cost value.</w:t>
      </w:r>
      <w:r w:rsidR="006128F6">
        <w:rPr>
          <w:sz w:val="26"/>
          <w:szCs w:val="26"/>
        </w:rPr>
        <w:t xml:space="preserve">  As indicated by Aqua, “[t]he OCA’s proposed adjustments to the Income Approach are also contrary to the language in </w:t>
      </w:r>
      <w:r w:rsidR="006128F6" w:rsidRPr="00C533CF">
        <w:rPr>
          <w:i/>
          <w:iCs/>
          <w:sz w:val="26"/>
          <w:szCs w:val="26"/>
        </w:rPr>
        <w:t>McCloskey</w:t>
      </w:r>
      <w:r w:rsidR="006128F6">
        <w:rPr>
          <w:sz w:val="26"/>
          <w:szCs w:val="26"/>
        </w:rPr>
        <w:t xml:space="preserve"> where the Commonwealth Court clearly stated that ‘Section 1329 allows a private utility to acquire a government utility’s assets at its fair market value </w:t>
      </w:r>
      <w:r w:rsidR="006128F6" w:rsidRPr="006128F6">
        <w:rPr>
          <w:i/>
          <w:iCs/>
          <w:sz w:val="26"/>
          <w:szCs w:val="26"/>
        </w:rPr>
        <w:t>rather than at the original cost of assets minus the accumulated depreciation</w:t>
      </w:r>
      <w:r w:rsidR="006128F6">
        <w:rPr>
          <w:sz w:val="26"/>
          <w:szCs w:val="26"/>
        </w:rPr>
        <w:t xml:space="preserve"> and then add that amount to rate base.’”  Aqua R.B. at 6</w:t>
      </w:r>
      <w:r w:rsidR="00C533CF">
        <w:rPr>
          <w:sz w:val="26"/>
          <w:szCs w:val="26"/>
        </w:rPr>
        <w:t xml:space="preserve"> (</w:t>
      </w:r>
      <w:r w:rsidR="00C533CF" w:rsidRPr="004B1ABE">
        <w:rPr>
          <w:sz w:val="26"/>
          <w:szCs w:val="26"/>
        </w:rPr>
        <w:t>citing</w:t>
      </w:r>
      <w:r w:rsidR="00C533CF">
        <w:rPr>
          <w:sz w:val="26"/>
          <w:szCs w:val="26"/>
        </w:rPr>
        <w:t xml:space="preserve"> </w:t>
      </w:r>
      <w:r w:rsidR="008268F0" w:rsidRPr="008268F0">
        <w:rPr>
          <w:i/>
          <w:iCs/>
          <w:sz w:val="26"/>
          <w:szCs w:val="26"/>
        </w:rPr>
        <w:t>McCloskey</w:t>
      </w:r>
      <w:r w:rsidR="008268F0" w:rsidRPr="00726637">
        <w:rPr>
          <w:sz w:val="26"/>
          <w:szCs w:val="26"/>
        </w:rPr>
        <w:t>,</w:t>
      </w:r>
      <w:r w:rsidR="008268F0" w:rsidRPr="008268F0">
        <w:rPr>
          <w:i/>
          <w:iCs/>
          <w:sz w:val="26"/>
          <w:szCs w:val="26"/>
        </w:rPr>
        <w:t xml:space="preserve"> </w:t>
      </w:r>
      <w:r w:rsidR="008268F0" w:rsidRPr="008268F0">
        <w:rPr>
          <w:sz w:val="26"/>
          <w:szCs w:val="26"/>
        </w:rPr>
        <w:t>195 A.3d at 105</w:t>
      </w:r>
      <w:r w:rsidR="008268F0">
        <w:rPr>
          <w:sz w:val="26"/>
          <w:szCs w:val="26"/>
        </w:rPr>
        <w:t>5).</w:t>
      </w:r>
    </w:p>
    <w:p w14:paraId="37920ADF" w14:textId="78B7ED71" w:rsidR="00142F3D" w:rsidRDefault="00142F3D" w:rsidP="00914A00">
      <w:pPr>
        <w:widowControl/>
        <w:spacing w:line="360" w:lineRule="auto"/>
        <w:ind w:firstLine="1440"/>
        <w:rPr>
          <w:sz w:val="26"/>
          <w:szCs w:val="26"/>
        </w:rPr>
      </w:pPr>
    </w:p>
    <w:p w14:paraId="65E568F7" w14:textId="77777777" w:rsidR="009D53AF" w:rsidRDefault="00142F3D" w:rsidP="002807D4">
      <w:pPr>
        <w:widowControl/>
        <w:spacing w:line="360" w:lineRule="auto"/>
        <w:ind w:firstLine="1440"/>
        <w:rPr>
          <w:sz w:val="26"/>
          <w:szCs w:val="26"/>
        </w:rPr>
      </w:pPr>
      <w:r>
        <w:rPr>
          <w:sz w:val="26"/>
          <w:szCs w:val="26"/>
        </w:rPr>
        <w:t>As previously indicated, the Income Approach is based on the premise that the value of a property is the present value</w:t>
      </w:r>
      <w:r w:rsidR="00601EE7">
        <w:rPr>
          <w:sz w:val="26"/>
          <w:szCs w:val="26"/>
        </w:rPr>
        <w:t xml:space="preserve"> of the future net benefits of owning the property.  This approach is relevant when the property being valued generates or is anticipated to generate net income.  </w:t>
      </w:r>
      <w:r w:rsidR="00601EE7" w:rsidRPr="00601EE7">
        <w:rPr>
          <w:sz w:val="26"/>
          <w:szCs w:val="26"/>
        </w:rPr>
        <w:t xml:space="preserve">For </w:t>
      </w:r>
      <w:r w:rsidR="0062359E">
        <w:rPr>
          <w:sz w:val="26"/>
          <w:szCs w:val="26"/>
        </w:rPr>
        <w:t>regulated</w:t>
      </w:r>
      <w:r w:rsidR="00601EE7" w:rsidRPr="00601EE7">
        <w:rPr>
          <w:sz w:val="26"/>
          <w:szCs w:val="26"/>
        </w:rPr>
        <w:t xml:space="preserve"> utility properties, benefits originate from the cooperative effort of a group of integrated assets functioning as a single unit.</w:t>
      </w:r>
      <w:r w:rsidR="00601EE7">
        <w:rPr>
          <w:sz w:val="26"/>
          <w:szCs w:val="26"/>
        </w:rPr>
        <w:t xml:space="preserve"> </w:t>
      </w:r>
      <w:r w:rsidR="0062359E">
        <w:rPr>
          <w:sz w:val="26"/>
          <w:szCs w:val="26"/>
        </w:rPr>
        <w:t xml:space="preserve"> </w:t>
      </w:r>
      <w:r w:rsidR="00601EE7" w:rsidRPr="00601EE7">
        <w:rPr>
          <w:sz w:val="26"/>
          <w:szCs w:val="26"/>
        </w:rPr>
        <w:t>Income arises in the aggregate and is not known or recorded on an asset-by-asset basis.</w:t>
      </w:r>
      <w:r w:rsidR="00601EE7">
        <w:rPr>
          <w:sz w:val="26"/>
          <w:szCs w:val="26"/>
        </w:rPr>
        <w:t xml:space="preserve"> </w:t>
      </w:r>
      <w:r w:rsidR="0062359E">
        <w:rPr>
          <w:sz w:val="26"/>
          <w:szCs w:val="26"/>
        </w:rPr>
        <w:t xml:space="preserve"> </w:t>
      </w:r>
      <w:r w:rsidR="00601EE7" w:rsidRPr="00601EE7">
        <w:rPr>
          <w:sz w:val="26"/>
          <w:szCs w:val="26"/>
        </w:rPr>
        <w:t>Each asset required for the system operation makes an implicit contribution to income through its beneficial use regardless of whether it is included in or excluded from a rate</w:t>
      </w:r>
      <w:r w:rsidR="00601EE7">
        <w:rPr>
          <w:sz w:val="26"/>
          <w:szCs w:val="26"/>
        </w:rPr>
        <w:t xml:space="preserve"> </w:t>
      </w:r>
      <w:r w:rsidR="00601EE7" w:rsidRPr="00601EE7">
        <w:rPr>
          <w:sz w:val="26"/>
          <w:szCs w:val="26"/>
        </w:rPr>
        <w:t>base calculation used in establishing revenue requirements.</w:t>
      </w:r>
      <w:r w:rsidR="002807D4">
        <w:rPr>
          <w:sz w:val="26"/>
          <w:szCs w:val="26"/>
        </w:rPr>
        <w:t xml:space="preserve">  </w:t>
      </w:r>
    </w:p>
    <w:p w14:paraId="5A286162" w14:textId="77777777" w:rsidR="009D53AF" w:rsidRDefault="009D53AF" w:rsidP="002807D4">
      <w:pPr>
        <w:widowControl/>
        <w:spacing w:line="360" w:lineRule="auto"/>
        <w:ind w:firstLine="1440"/>
        <w:rPr>
          <w:sz w:val="26"/>
          <w:szCs w:val="26"/>
        </w:rPr>
      </w:pPr>
    </w:p>
    <w:p w14:paraId="4B3FE3C5" w14:textId="17929453" w:rsidR="002807D4" w:rsidRDefault="002807D4" w:rsidP="002807D4">
      <w:pPr>
        <w:widowControl/>
        <w:spacing w:line="360" w:lineRule="auto"/>
        <w:ind w:firstLine="1440"/>
        <w:rPr>
          <w:sz w:val="26"/>
          <w:szCs w:val="26"/>
        </w:rPr>
      </w:pPr>
      <w:r w:rsidRPr="002807D4">
        <w:rPr>
          <w:sz w:val="26"/>
          <w:szCs w:val="26"/>
        </w:rPr>
        <w:t xml:space="preserve">As such, </w:t>
      </w:r>
      <w:r>
        <w:rPr>
          <w:sz w:val="26"/>
          <w:szCs w:val="26"/>
        </w:rPr>
        <w:t>Aqua makes a compelling argument that</w:t>
      </w:r>
      <w:r w:rsidR="00A35AAC">
        <w:rPr>
          <w:sz w:val="26"/>
          <w:szCs w:val="26"/>
        </w:rPr>
        <w:t xml:space="preserve"> the</w:t>
      </w:r>
      <w:r>
        <w:rPr>
          <w:sz w:val="26"/>
          <w:szCs w:val="26"/>
        </w:rPr>
        <w:t xml:space="preserve"> OCA’s </w:t>
      </w:r>
      <w:r w:rsidRPr="002807D4">
        <w:rPr>
          <w:sz w:val="26"/>
          <w:szCs w:val="26"/>
        </w:rPr>
        <w:t>adjustments are contrary to legislative intent and inconsistent with clear statutory</w:t>
      </w:r>
      <w:r>
        <w:rPr>
          <w:sz w:val="26"/>
          <w:szCs w:val="26"/>
        </w:rPr>
        <w:t xml:space="preserve"> </w:t>
      </w:r>
      <w:r w:rsidRPr="002807D4">
        <w:rPr>
          <w:sz w:val="26"/>
          <w:szCs w:val="26"/>
        </w:rPr>
        <w:t>language that requires a fair market value appraisal reflective of an Income Approach to valuation</w:t>
      </w:r>
      <w:r>
        <w:rPr>
          <w:sz w:val="26"/>
          <w:szCs w:val="26"/>
        </w:rPr>
        <w:t xml:space="preserve"> </w:t>
      </w:r>
      <w:r w:rsidRPr="002807D4">
        <w:rPr>
          <w:sz w:val="26"/>
          <w:szCs w:val="26"/>
        </w:rPr>
        <w:t>- not a hybrid Income Approach</w:t>
      </w:r>
      <w:r>
        <w:rPr>
          <w:sz w:val="26"/>
          <w:szCs w:val="26"/>
        </w:rPr>
        <w:t xml:space="preserve"> / </w:t>
      </w:r>
      <w:r w:rsidRPr="002807D4">
        <w:rPr>
          <w:sz w:val="26"/>
          <w:szCs w:val="26"/>
        </w:rPr>
        <w:t>Cost Approach to valuation</w:t>
      </w:r>
      <w:r w:rsidR="009D53AF">
        <w:rPr>
          <w:sz w:val="26"/>
          <w:szCs w:val="26"/>
        </w:rPr>
        <w:t>, where</w:t>
      </w:r>
      <w:r w:rsidR="000639A7">
        <w:rPr>
          <w:sz w:val="26"/>
          <w:szCs w:val="26"/>
        </w:rPr>
        <w:t>in</w:t>
      </w:r>
      <w:r w:rsidR="009D53AF">
        <w:rPr>
          <w:sz w:val="26"/>
          <w:szCs w:val="26"/>
        </w:rPr>
        <w:t xml:space="preserve"> 37% </w:t>
      </w:r>
      <w:r w:rsidR="00A5258D">
        <w:rPr>
          <w:sz w:val="26"/>
          <w:szCs w:val="26"/>
        </w:rPr>
        <w:t>of Gannett Fleming’s DCF analysis and 15% of AUS’ DCF analysis would be attribut</w:t>
      </w:r>
      <w:r w:rsidR="000639A7">
        <w:rPr>
          <w:sz w:val="26"/>
          <w:szCs w:val="26"/>
        </w:rPr>
        <w:t>able</w:t>
      </w:r>
      <w:r w:rsidR="00A5258D">
        <w:rPr>
          <w:sz w:val="26"/>
          <w:szCs w:val="26"/>
        </w:rPr>
        <w:t xml:space="preserve"> to the present value of a </w:t>
      </w:r>
      <w:r w:rsidR="00324EB0">
        <w:rPr>
          <w:sz w:val="26"/>
          <w:szCs w:val="26"/>
        </w:rPr>
        <w:t>projected</w:t>
      </w:r>
      <w:r w:rsidR="00A5258D">
        <w:rPr>
          <w:sz w:val="26"/>
          <w:szCs w:val="26"/>
        </w:rPr>
        <w:t xml:space="preserve"> net plant less ADIT balance</w:t>
      </w:r>
      <w:r w:rsidR="00553291">
        <w:rPr>
          <w:sz w:val="26"/>
          <w:szCs w:val="26"/>
        </w:rPr>
        <w:t xml:space="preserve"> (</w:t>
      </w:r>
      <w:r w:rsidR="00553291" w:rsidRPr="00530BCC">
        <w:rPr>
          <w:i/>
          <w:iCs/>
          <w:sz w:val="26"/>
          <w:szCs w:val="26"/>
        </w:rPr>
        <w:t>i.e</w:t>
      </w:r>
      <w:r w:rsidR="00553291">
        <w:rPr>
          <w:sz w:val="26"/>
          <w:szCs w:val="26"/>
        </w:rPr>
        <w:t>., the OCA’s proposed terminal values).</w:t>
      </w:r>
    </w:p>
    <w:p w14:paraId="6232903E" w14:textId="7F7C6191" w:rsidR="002807D4" w:rsidRDefault="002807D4" w:rsidP="002807D4">
      <w:pPr>
        <w:widowControl/>
        <w:spacing w:line="360" w:lineRule="auto"/>
        <w:ind w:firstLine="1440"/>
        <w:rPr>
          <w:sz w:val="26"/>
          <w:szCs w:val="26"/>
        </w:rPr>
      </w:pPr>
    </w:p>
    <w:p w14:paraId="61B7E332" w14:textId="753C9078" w:rsidR="0092278F" w:rsidRDefault="0092278F" w:rsidP="002807D4">
      <w:pPr>
        <w:widowControl/>
        <w:spacing w:line="360" w:lineRule="auto"/>
        <w:ind w:firstLine="1440"/>
        <w:rPr>
          <w:sz w:val="26"/>
          <w:szCs w:val="26"/>
        </w:rPr>
      </w:pPr>
      <w:r>
        <w:rPr>
          <w:sz w:val="26"/>
          <w:szCs w:val="26"/>
        </w:rPr>
        <w:t xml:space="preserve">Although the OCA acknowledged the Company’s reliance on </w:t>
      </w:r>
      <w:r w:rsidRPr="0092278F">
        <w:rPr>
          <w:i/>
          <w:iCs/>
          <w:sz w:val="26"/>
          <w:szCs w:val="26"/>
        </w:rPr>
        <w:t>Cheltenham</w:t>
      </w:r>
      <w:r>
        <w:rPr>
          <w:sz w:val="26"/>
          <w:szCs w:val="26"/>
        </w:rPr>
        <w:t xml:space="preserve">, there has been no effort </w:t>
      </w:r>
      <w:r w:rsidR="005903CF">
        <w:rPr>
          <w:sz w:val="26"/>
          <w:szCs w:val="26"/>
        </w:rPr>
        <w:t xml:space="preserve">by the OCA </w:t>
      </w:r>
      <w:r>
        <w:rPr>
          <w:sz w:val="26"/>
          <w:szCs w:val="26"/>
        </w:rPr>
        <w:t>to distinguish the prior precedent, or to persuasively argue that we should depart from our prior determination on this issue in this proceeding.</w:t>
      </w:r>
    </w:p>
    <w:p w14:paraId="464923A5" w14:textId="77777777" w:rsidR="0092278F" w:rsidRDefault="0092278F" w:rsidP="002807D4">
      <w:pPr>
        <w:widowControl/>
        <w:spacing w:line="360" w:lineRule="auto"/>
        <w:ind w:firstLine="1440"/>
        <w:rPr>
          <w:sz w:val="26"/>
          <w:szCs w:val="26"/>
        </w:rPr>
      </w:pPr>
    </w:p>
    <w:p w14:paraId="4D897362" w14:textId="517F9AF6" w:rsidR="009B5011" w:rsidRDefault="00B62E9D" w:rsidP="002807D4">
      <w:pPr>
        <w:widowControl/>
        <w:spacing w:line="360" w:lineRule="auto"/>
        <w:ind w:firstLine="1440"/>
        <w:rPr>
          <w:sz w:val="26"/>
          <w:szCs w:val="26"/>
        </w:rPr>
      </w:pPr>
      <w:r w:rsidRPr="00B62E9D">
        <w:rPr>
          <w:sz w:val="26"/>
          <w:szCs w:val="26"/>
        </w:rPr>
        <w:t xml:space="preserve">Accordingly, </w:t>
      </w:r>
      <w:r w:rsidR="00985244">
        <w:rPr>
          <w:sz w:val="26"/>
          <w:szCs w:val="26"/>
        </w:rPr>
        <w:t>we find no support for the conclusion in the Recommended Decision that the OCA’s proposal</w:t>
      </w:r>
      <w:r w:rsidR="008356CC">
        <w:rPr>
          <w:sz w:val="26"/>
          <w:szCs w:val="26"/>
        </w:rPr>
        <w:t xml:space="preserve"> to modify the terminal value used in the Income Approach</w:t>
      </w:r>
      <w:r w:rsidR="00985244">
        <w:rPr>
          <w:sz w:val="26"/>
          <w:szCs w:val="26"/>
        </w:rPr>
        <w:t xml:space="preserve"> is reasonable and consistent with the Code and prior Commission Orders.  Therefore, </w:t>
      </w:r>
      <w:r w:rsidRPr="00B62E9D">
        <w:rPr>
          <w:sz w:val="26"/>
          <w:szCs w:val="26"/>
        </w:rPr>
        <w:t>we shall gran</w:t>
      </w:r>
      <w:r>
        <w:rPr>
          <w:sz w:val="26"/>
          <w:szCs w:val="26"/>
        </w:rPr>
        <w:t>t Aqua</w:t>
      </w:r>
      <w:r w:rsidRPr="00B62E9D">
        <w:rPr>
          <w:sz w:val="26"/>
          <w:szCs w:val="26"/>
        </w:rPr>
        <w:t>’s Exception No</w:t>
      </w:r>
      <w:r>
        <w:rPr>
          <w:sz w:val="26"/>
          <w:szCs w:val="26"/>
        </w:rPr>
        <w:t>s</w:t>
      </w:r>
      <w:r w:rsidRPr="00B62E9D">
        <w:rPr>
          <w:sz w:val="26"/>
          <w:szCs w:val="26"/>
        </w:rPr>
        <w:t>. 1</w:t>
      </w:r>
      <w:r>
        <w:rPr>
          <w:sz w:val="26"/>
          <w:szCs w:val="26"/>
        </w:rPr>
        <w:t xml:space="preserve"> and 2</w:t>
      </w:r>
      <w:r w:rsidR="0086413D">
        <w:rPr>
          <w:sz w:val="26"/>
          <w:szCs w:val="26"/>
        </w:rPr>
        <w:t xml:space="preserve">, and </w:t>
      </w:r>
      <w:r w:rsidR="0086413D" w:rsidRPr="0086413D">
        <w:rPr>
          <w:sz w:val="26"/>
          <w:szCs w:val="26"/>
        </w:rPr>
        <w:t>reverse the ALJ’s Recommended Decision, in part, consistent with the discussion in this Opinion and Order</w:t>
      </w:r>
      <w:r w:rsidR="0086413D">
        <w:rPr>
          <w:sz w:val="26"/>
          <w:szCs w:val="26"/>
        </w:rPr>
        <w:t>.</w:t>
      </w:r>
    </w:p>
    <w:p w14:paraId="485617C6" w14:textId="77777777" w:rsidR="00B62E9D" w:rsidRDefault="00B62E9D" w:rsidP="002E7C16">
      <w:pPr>
        <w:widowControl/>
        <w:spacing w:line="360" w:lineRule="auto"/>
        <w:rPr>
          <w:sz w:val="26"/>
          <w:szCs w:val="26"/>
        </w:rPr>
      </w:pPr>
    </w:p>
    <w:p w14:paraId="48B4C6D7" w14:textId="4E642FC8" w:rsidR="004E6B79" w:rsidRDefault="004E6B79" w:rsidP="004E6B79">
      <w:pPr>
        <w:pStyle w:val="Heading3"/>
      </w:pPr>
      <w:bookmarkStart w:id="74" w:name="_Toc90970735"/>
      <w:bookmarkStart w:id="75" w:name="_Hlk89678606"/>
      <w:r>
        <w:t>Market Approach</w:t>
      </w:r>
      <w:bookmarkEnd w:id="74"/>
    </w:p>
    <w:bookmarkEnd w:id="75"/>
    <w:p w14:paraId="6FB569C9" w14:textId="52275350" w:rsidR="004E6B79" w:rsidRPr="008917E5" w:rsidRDefault="004E6B79" w:rsidP="002E7C16">
      <w:pPr>
        <w:widowControl/>
        <w:spacing w:line="360" w:lineRule="auto"/>
        <w:rPr>
          <w:sz w:val="26"/>
          <w:szCs w:val="26"/>
        </w:rPr>
      </w:pPr>
    </w:p>
    <w:p w14:paraId="4950E998" w14:textId="77777777" w:rsidR="008917E5" w:rsidRPr="008917E5" w:rsidRDefault="008917E5" w:rsidP="006D2A59">
      <w:pPr>
        <w:autoSpaceDE w:val="0"/>
        <w:autoSpaceDN w:val="0"/>
        <w:adjustRightInd w:val="0"/>
        <w:spacing w:line="360" w:lineRule="auto"/>
        <w:ind w:firstLine="1440"/>
        <w:rPr>
          <w:sz w:val="26"/>
          <w:szCs w:val="26"/>
        </w:rPr>
      </w:pPr>
      <w:r w:rsidRPr="008917E5">
        <w:rPr>
          <w:sz w:val="26"/>
          <w:szCs w:val="26"/>
        </w:rPr>
        <w:t>The Market Approach (called the Sales Comparison Approach by The American Society of Appraisers) is defined by The American Society of Appraisers as follows:</w:t>
      </w:r>
    </w:p>
    <w:p w14:paraId="401E51F9" w14:textId="77777777" w:rsidR="008917E5" w:rsidRPr="008917E5" w:rsidRDefault="008917E5" w:rsidP="005676F3">
      <w:pPr>
        <w:autoSpaceDE w:val="0"/>
        <w:autoSpaceDN w:val="0"/>
        <w:adjustRightInd w:val="0"/>
        <w:rPr>
          <w:sz w:val="26"/>
          <w:szCs w:val="26"/>
        </w:rPr>
      </w:pPr>
      <w:r w:rsidRPr="008917E5">
        <w:rPr>
          <w:sz w:val="26"/>
          <w:szCs w:val="26"/>
        </w:rPr>
        <w:t xml:space="preserve"> </w:t>
      </w:r>
    </w:p>
    <w:p w14:paraId="663B8A8E" w14:textId="77777777" w:rsidR="008917E5" w:rsidRPr="008917E5" w:rsidRDefault="008917E5" w:rsidP="008917E5">
      <w:pPr>
        <w:autoSpaceDE w:val="0"/>
        <w:autoSpaceDN w:val="0"/>
        <w:adjustRightInd w:val="0"/>
        <w:ind w:left="1440" w:right="1440"/>
        <w:rPr>
          <w:sz w:val="26"/>
          <w:szCs w:val="26"/>
        </w:rPr>
      </w:pPr>
      <w:r w:rsidRPr="008917E5">
        <w:rPr>
          <w:sz w:val="26"/>
          <w:szCs w:val="26"/>
        </w:rPr>
        <w:t>A procedure to conclude an opinion of value for a property by</w:t>
      </w:r>
    </w:p>
    <w:p w14:paraId="7A23E3B1" w14:textId="7989CB2B" w:rsidR="008917E5" w:rsidRDefault="008917E5" w:rsidP="005676F3">
      <w:pPr>
        <w:widowControl/>
        <w:autoSpaceDE w:val="0"/>
        <w:autoSpaceDN w:val="0"/>
        <w:adjustRightInd w:val="0"/>
        <w:ind w:left="1440" w:right="1440"/>
        <w:rPr>
          <w:sz w:val="26"/>
          <w:szCs w:val="26"/>
        </w:rPr>
      </w:pPr>
      <w:r w:rsidRPr="008917E5">
        <w:rPr>
          <w:sz w:val="26"/>
          <w:szCs w:val="26"/>
        </w:rPr>
        <w:t xml:space="preserve">comparing it with similar properties that have been sold or are for sale in the relevant marketplace by </w:t>
      </w:r>
      <w:proofErr w:type="gramStart"/>
      <w:r w:rsidRPr="008917E5">
        <w:rPr>
          <w:sz w:val="26"/>
          <w:szCs w:val="26"/>
        </w:rPr>
        <w:t>making adjustments to</w:t>
      </w:r>
      <w:proofErr w:type="gramEnd"/>
      <w:r w:rsidRPr="008917E5">
        <w:rPr>
          <w:sz w:val="26"/>
          <w:szCs w:val="26"/>
        </w:rPr>
        <w:t xml:space="preserve"> prices based on marketplace conditions and the properties’ characteristics of value.</w:t>
      </w:r>
      <w:r w:rsidRPr="008917E5">
        <w:rPr>
          <w:rStyle w:val="FootnoteReference"/>
          <w:sz w:val="26"/>
          <w:szCs w:val="26"/>
        </w:rPr>
        <w:footnoteReference w:id="31"/>
      </w:r>
    </w:p>
    <w:p w14:paraId="36442789" w14:textId="77777777" w:rsidR="006D2A59" w:rsidRDefault="006D2A59" w:rsidP="005676F3">
      <w:pPr>
        <w:autoSpaceDE w:val="0"/>
        <w:autoSpaceDN w:val="0"/>
        <w:adjustRightInd w:val="0"/>
        <w:spacing w:line="480" w:lineRule="auto"/>
        <w:ind w:left="1440" w:right="1440"/>
        <w:rPr>
          <w:sz w:val="26"/>
          <w:szCs w:val="26"/>
        </w:rPr>
      </w:pPr>
    </w:p>
    <w:p w14:paraId="1DA6C509" w14:textId="25ED130D" w:rsidR="004E6B79" w:rsidRDefault="004E6B79" w:rsidP="00C36D79">
      <w:pPr>
        <w:pStyle w:val="Heading4"/>
        <w:numPr>
          <w:ilvl w:val="0"/>
          <w:numId w:val="9"/>
        </w:numPr>
        <w:ind w:left="2160" w:hanging="720"/>
      </w:pPr>
      <w:bookmarkStart w:id="76" w:name="_Toc90970736"/>
      <w:r>
        <w:t>Positions of the Parties</w:t>
      </w:r>
      <w:bookmarkEnd w:id="76"/>
    </w:p>
    <w:p w14:paraId="7F25DD7C" w14:textId="4DE2E4DA" w:rsidR="004E6B79" w:rsidRDefault="004E6B79" w:rsidP="002E7C16">
      <w:pPr>
        <w:widowControl/>
        <w:spacing w:line="360" w:lineRule="auto"/>
        <w:rPr>
          <w:sz w:val="26"/>
          <w:szCs w:val="26"/>
        </w:rPr>
      </w:pPr>
    </w:p>
    <w:p w14:paraId="7BA7E62D" w14:textId="77777777" w:rsidR="008356CC" w:rsidRPr="002E594B" w:rsidRDefault="008356CC" w:rsidP="008356CC">
      <w:pPr>
        <w:autoSpaceDE w:val="0"/>
        <w:autoSpaceDN w:val="0"/>
        <w:adjustRightInd w:val="0"/>
        <w:spacing w:line="360" w:lineRule="auto"/>
        <w:ind w:firstLine="1440"/>
        <w:rPr>
          <w:sz w:val="26"/>
          <w:szCs w:val="26"/>
        </w:rPr>
      </w:pPr>
      <w:r w:rsidRPr="002E594B">
        <w:rPr>
          <w:sz w:val="26"/>
          <w:szCs w:val="26"/>
        </w:rPr>
        <w:t xml:space="preserve">The Gannett Fleming valuation produced a Market Approach result of $58.24 million.  The AUS valuation shows a Market Approach result of $55.741 million.  AUS included the Delaware County Regional Water Quality Authority (DELCORA) in its comparison group and indicated a final purchase price of $276,500,000 for DELCORA.  OCA M.B. at 17 (citing OCA St. 1 at 38-39; </w:t>
      </w:r>
      <w:r>
        <w:rPr>
          <w:sz w:val="26"/>
          <w:szCs w:val="26"/>
        </w:rPr>
        <w:t>Application</w:t>
      </w:r>
      <w:r w:rsidRPr="002E594B">
        <w:rPr>
          <w:sz w:val="26"/>
          <w:szCs w:val="26"/>
        </w:rPr>
        <w:t xml:space="preserve"> Exh. </w:t>
      </w:r>
      <w:proofErr w:type="spellStart"/>
      <w:r w:rsidRPr="002E594B">
        <w:rPr>
          <w:sz w:val="26"/>
          <w:szCs w:val="26"/>
        </w:rPr>
        <w:t>R at</w:t>
      </w:r>
      <w:proofErr w:type="spellEnd"/>
      <w:r w:rsidRPr="002E594B">
        <w:rPr>
          <w:sz w:val="26"/>
          <w:szCs w:val="26"/>
        </w:rPr>
        <w:t xml:space="preserve"> 10).  The OCA recommended that the DELCORA acquisition be removed from AUS’ comparison group.  The adjustment has no impact on the AUS Market Approach valuation.  AUS witness, Mr. Weinert explained that it is not necessary to exclude the Aqua-DELCORA wastewater acquisition as a comparable, as the purchase price used in the AUS Market Approach is a comparison of the purchase price as detailed in the initial asset purchase agreement to the various comparability measures, </w:t>
      </w:r>
      <w:r w:rsidRPr="006D2A59">
        <w:rPr>
          <w:i/>
          <w:iCs/>
          <w:sz w:val="26"/>
          <w:szCs w:val="26"/>
        </w:rPr>
        <w:t>i.e</w:t>
      </w:r>
      <w:r w:rsidRPr="002E594B">
        <w:rPr>
          <w:sz w:val="26"/>
          <w:szCs w:val="26"/>
        </w:rPr>
        <w:t xml:space="preserve">., original cost less depreciation, replacement cost less depreciation, customer, and cash flows (EBITDA).  Aqua M.B. at 22 (citing Aqua St. 5-R at 11-12).  </w:t>
      </w:r>
    </w:p>
    <w:p w14:paraId="73365324" w14:textId="77777777" w:rsidR="008356CC" w:rsidRPr="002E594B" w:rsidRDefault="008356CC" w:rsidP="008356CC">
      <w:pPr>
        <w:autoSpaceDE w:val="0"/>
        <w:autoSpaceDN w:val="0"/>
        <w:adjustRightInd w:val="0"/>
        <w:spacing w:line="360" w:lineRule="auto"/>
        <w:ind w:firstLine="1440"/>
        <w:rPr>
          <w:sz w:val="26"/>
          <w:szCs w:val="26"/>
        </w:rPr>
      </w:pPr>
    </w:p>
    <w:p w14:paraId="06208398" w14:textId="427D0DE8" w:rsidR="008356CC" w:rsidRDefault="008356CC" w:rsidP="008356CC">
      <w:pPr>
        <w:autoSpaceDE w:val="0"/>
        <w:autoSpaceDN w:val="0"/>
        <w:adjustRightInd w:val="0"/>
        <w:spacing w:line="360" w:lineRule="auto"/>
        <w:ind w:firstLine="1440"/>
        <w:rPr>
          <w:sz w:val="26"/>
          <w:szCs w:val="26"/>
        </w:rPr>
      </w:pPr>
      <w:r w:rsidRPr="002E594B">
        <w:rPr>
          <w:sz w:val="26"/>
          <w:szCs w:val="26"/>
        </w:rPr>
        <w:t>The OCA contend</w:t>
      </w:r>
      <w:r>
        <w:rPr>
          <w:sz w:val="26"/>
          <w:szCs w:val="26"/>
        </w:rPr>
        <w:t>ed</w:t>
      </w:r>
      <w:r w:rsidRPr="002E594B">
        <w:rPr>
          <w:sz w:val="26"/>
          <w:szCs w:val="26"/>
        </w:rPr>
        <w:t xml:space="preserve"> that the Aqua-DELCORA acquisition is an ongoing matter and has not closed.  The OCA explain</w:t>
      </w:r>
      <w:r>
        <w:rPr>
          <w:sz w:val="26"/>
          <w:szCs w:val="26"/>
        </w:rPr>
        <w:t>ed</w:t>
      </w:r>
      <w:r w:rsidRPr="002E594B">
        <w:rPr>
          <w:sz w:val="26"/>
          <w:szCs w:val="26"/>
        </w:rPr>
        <w:t xml:space="preserve"> that the $276,500,000 purchase price and ratemaking rate base proposed by Aqua in the DELCORA proceeding has not been finalized and, further, in March 2021, the Commission issued an Order to vacate the Recommended Decision, reopen the record, and remand the proceeding, which has been stayed.  OCA M.B. at 18 (citing </w:t>
      </w:r>
      <w:r w:rsidRPr="002E594B">
        <w:rPr>
          <w:i/>
          <w:iCs/>
          <w:sz w:val="26"/>
          <w:szCs w:val="26"/>
        </w:rPr>
        <w:t>Application of Aqua Pennsylvania Wastewater, Inc.</w:t>
      </w:r>
      <w:r w:rsidRPr="002E594B">
        <w:rPr>
          <w:sz w:val="26"/>
          <w:szCs w:val="26"/>
        </w:rPr>
        <w:t>, A</w:t>
      </w:r>
      <w:r w:rsidR="00967CCA">
        <w:rPr>
          <w:sz w:val="26"/>
          <w:szCs w:val="26"/>
        </w:rPr>
        <w:noBreakHyphen/>
      </w:r>
      <w:r w:rsidRPr="002E594B">
        <w:rPr>
          <w:sz w:val="26"/>
          <w:szCs w:val="26"/>
        </w:rPr>
        <w:t>2017-2606103, ALJ Order Staying Proceeding (April 16, 2021)).  The OCA argue</w:t>
      </w:r>
      <w:r>
        <w:rPr>
          <w:sz w:val="26"/>
          <w:szCs w:val="26"/>
        </w:rPr>
        <w:t>d</w:t>
      </w:r>
      <w:r w:rsidRPr="002E594B">
        <w:rPr>
          <w:sz w:val="26"/>
          <w:szCs w:val="26"/>
        </w:rPr>
        <w:t xml:space="preserve"> that including the DELCORA acquisition and indicating $276,500,000 as the “final purchase price” for the DELCORA system is inaccurate and potentially misleading.  OCA M.B. at 18.  </w:t>
      </w:r>
    </w:p>
    <w:p w14:paraId="286506E8" w14:textId="77777777" w:rsidR="008356CC" w:rsidRPr="002E594B" w:rsidRDefault="008356CC" w:rsidP="008356CC">
      <w:pPr>
        <w:autoSpaceDE w:val="0"/>
        <w:autoSpaceDN w:val="0"/>
        <w:adjustRightInd w:val="0"/>
        <w:spacing w:line="360" w:lineRule="auto"/>
        <w:ind w:firstLine="1440"/>
        <w:rPr>
          <w:sz w:val="26"/>
          <w:szCs w:val="26"/>
        </w:rPr>
      </w:pPr>
    </w:p>
    <w:p w14:paraId="46C6BDF5" w14:textId="77777777" w:rsidR="008356CC" w:rsidRPr="002E594B" w:rsidRDefault="008356CC" w:rsidP="008356CC">
      <w:pPr>
        <w:autoSpaceDE w:val="0"/>
        <w:autoSpaceDN w:val="0"/>
        <w:adjustRightInd w:val="0"/>
        <w:spacing w:line="360" w:lineRule="auto"/>
        <w:ind w:firstLine="1440"/>
        <w:rPr>
          <w:sz w:val="26"/>
          <w:szCs w:val="26"/>
        </w:rPr>
      </w:pPr>
      <w:r w:rsidRPr="002E594B">
        <w:rPr>
          <w:sz w:val="26"/>
          <w:szCs w:val="26"/>
        </w:rPr>
        <w:t>The OCA provide</w:t>
      </w:r>
      <w:r>
        <w:rPr>
          <w:sz w:val="26"/>
          <w:szCs w:val="26"/>
        </w:rPr>
        <w:t>d</w:t>
      </w:r>
      <w:r w:rsidRPr="002E594B">
        <w:rPr>
          <w:sz w:val="26"/>
          <w:szCs w:val="26"/>
        </w:rPr>
        <w:t xml:space="preserve"> that the</w:t>
      </w:r>
      <w:r>
        <w:rPr>
          <w:sz w:val="26"/>
          <w:szCs w:val="26"/>
        </w:rPr>
        <w:t xml:space="preserve"> </w:t>
      </w:r>
      <w:r w:rsidRPr="00D250AA">
        <w:rPr>
          <w:i/>
          <w:iCs/>
          <w:sz w:val="26"/>
          <w:szCs w:val="26"/>
        </w:rPr>
        <w:t>FSIO</w:t>
      </w:r>
      <w:r>
        <w:rPr>
          <w:rStyle w:val="FootnoteReference"/>
          <w:i/>
          <w:iCs/>
          <w:sz w:val="26"/>
          <w:szCs w:val="26"/>
        </w:rPr>
        <w:footnoteReference w:id="32"/>
      </w:r>
      <w:r w:rsidRPr="002E594B">
        <w:rPr>
          <w:sz w:val="26"/>
          <w:szCs w:val="26"/>
        </w:rPr>
        <w:t xml:space="preserve"> states as follows regarding the jurisdictional exceptions under the Market Approach:</w:t>
      </w:r>
    </w:p>
    <w:p w14:paraId="51724B60" w14:textId="77777777" w:rsidR="008356CC" w:rsidRPr="002E594B" w:rsidRDefault="008356CC" w:rsidP="008356CC">
      <w:pPr>
        <w:autoSpaceDE w:val="0"/>
        <w:autoSpaceDN w:val="0"/>
        <w:adjustRightInd w:val="0"/>
        <w:ind w:firstLine="1440"/>
        <w:rPr>
          <w:sz w:val="26"/>
          <w:szCs w:val="26"/>
        </w:rPr>
      </w:pPr>
    </w:p>
    <w:p w14:paraId="28C286E1" w14:textId="77777777" w:rsidR="008356CC" w:rsidRPr="002E594B" w:rsidRDefault="008356CC" w:rsidP="008356CC">
      <w:pPr>
        <w:autoSpaceDE w:val="0"/>
        <w:autoSpaceDN w:val="0"/>
        <w:adjustRightInd w:val="0"/>
        <w:ind w:left="1440" w:right="1440"/>
        <w:rPr>
          <w:sz w:val="26"/>
          <w:szCs w:val="26"/>
          <w:u w:val="single"/>
        </w:rPr>
      </w:pPr>
      <w:r w:rsidRPr="002E594B">
        <w:rPr>
          <w:sz w:val="26"/>
          <w:szCs w:val="26"/>
        </w:rPr>
        <w:t xml:space="preserve">3. </w:t>
      </w:r>
      <w:r w:rsidRPr="002E594B">
        <w:rPr>
          <w:sz w:val="26"/>
          <w:szCs w:val="26"/>
          <w:u w:val="single"/>
        </w:rPr>
        <w:t>Speculative growth adjustments will not be used.</w:t>
      </w:r>
    </w:p>
    <w:p w14:paraId="49BD39E2" w14:textId="77777777" w:rsidR="008356CC" w:rsidRPr="002E594B" w:rsidRDefault="008356CC" w:rsidP="008356CC">
      <w:pPr>
        <w:autoSpaceDE w:val="0"/>
        <w:autoSpaceDN w:val="0"/>
        <w:adjustRightInd w:val="0"/>
        <w:ind w:left="1440" w:right="1440"/>
        <w:rPr>
          <w:sz w:val="26"/>
          <w:szCs w:val="26"/>
          <w:u w:val="single"/>
        </w:rPr>
      </w:pPr>
    </w:p>
    <w:p w14:paraId="7B626C43" w14:textId="77777777" w:rsidR="008356CC" w:rsidRPr="002E594B" w:rsidRDefault="008356CC" w:rsidP="008356CC">
      <w:pPr>
        <w:autoSpaceDE w:val="0"/>
        <w:autoSpaceDN w:val="0"/>
        <w:adjustRightInd w:val="0"/>
        <w:ind w:left="1440" w:right="1440"/>
        <w:rPr>
          <w:sz w:val="26"/>
          <w:szCs w:val="26"/>
          <w:u w:val="single"/>
        </w:rPr>
      </w:pPr>
      <w:r w:rsidRPr="002E594B">
        <w:rPr>
          <w:sz w:val="26"/>
          <w:szCs w:val="26"/>
        </w:rPr>
        <w:t xml:space="preserve">6. </w:t>
      </w:r>
      <w:r w:rsidRPr="002E594B">
        <w:rPr>
          <w:sz w:val="26"/>
          <w:szCs w:val="26"/>
          <w:u w:val="single"/>
        </w:rPr>
        <w:t>Comparable sales used to establish the valuation should use the   current customers.</w:t>
      </w:r>
    </w:p>
    <w:p w14:paraId="09E04C64" w14:textId="77777777" w:rsidR="008356CC" w:rsidRPr="002E594B" w:rsidRDefault="008356CC" w:rsidP="008356CC">
      <w:pPr>
        <w:autoSpaceDE w:val="0"/>
        <w:autoSpaceDN w:val="0"/>
        <w:adjustRightInd w:val="0"/>
        <w:spacing w:line="360" w:lineRule="auto"/>
        <w:ind w:left="1440" w:right="1440"/>
        <w:rPr>
          <w:sz w:val="26"/>
          <w:szCs w:val="26"/>
        </w:rPr>
      </w:pPr>
    </w:p>
    <w:p w14:paraId="7CDF4A27" w14:textId="77777777" w:rsidR="008356CC" w:rsidRPr="002E594B" w:rsidRDefault="008356CC" w:rsidP="00726637">
      <w:pPr>
        <w:autoSpaceDE w:val="0"/>
        <w:autoSpaceDN w:val="0"/>
        <w:adjustRightInd w:val="0"/>
        <w:spacing w:line="360" w:lineRule="auto"/>
        <w:ind w:right="1440"/>
        <w:rPr>
          <w:sz w:val="26"/>
          <w:szCs w:val="26"/>
        </w:rPr>
      </w:pPr>
      <w:r w:rsidRPr="002E594B">
        <w:rPr>
          <w:sz w:val="26"/>
          <w:szCs w:val="26"/>
        </w:rPr>
        <w:t xml:space="preserve">OCA M.B. at 18 (citing </w:t>
      </w:r>
      <w:r w:rsidRPr="00D250AA">
        <w:rPr>
          <w:i/>
          <w:iCs/>
          <w:sz w:val="26"/>
          <w:szCs w:val="26"/>
        </w:rPr>
        <w:t>FSIO</w:t>
      </w:r>
      <w:r w:rsidRPr="002E594B">
        <w:rPr>
          <w:sz w:val="26"/>
          <w:szCs w:val="26"/>
        </w:rPr>
        <w:t xml:space="preserve"> at 87-88 (emphasis in original)).  </w:t>
      </w:r>
    </w:p>
    <w:p w14:paraId="1D2CB25B" w14:textId="77777777" w:rsidR="008356CC" w:rsidRPr="002E594B" w:rsidRDefault="008356CC" w:rsidP="00726637">
      <w:pPr>
        <w:autoSpaceDE w:val="0"/>
        <w:autoSpaceDN w:val="0"/>
        <w:adjustRightInd w:val="0"/>
        <w:spacing w:line="360" w:lineRule="auto"/>
        <w:ind w:right="1440"/>
        <w:rPr>
          <w:sz w:val="26"/>
          <w:szCs w:val="26"/>
        </w:rPr>
      </w:pPr>
    </w:p>
    <w:p w14:paraId="56C30E05" w14:textId="77777777" w:rsidR="008356CC" w:rsidRPr="002E594B" w:rsidRDefault="008356CC" w:rsidP="00726637">
      <w:pPr>
        <w:autoSpaceDE w:val="0"/>
        <w:autoSpaceDN w:val="0"/>
        <w:adjustRightInd w:val="0"/>
        <w:spacing w:line="360" w:lineRule="auto"/>
        <w:ind w:firstLine="1440"/>
        <w:rPr>
          <w:sz w:val="26"/>
          <w:szCs w:val="26"/>
        </w:rPr>
      </w:pPr>
      <w:r w:rsidRPr="002E594B">
        <w:rPr>
          <w:sz w:val="26"/>
          <w:szCs w:val="26"/>
        </w:rPr>
        <w:t xml:space="preserve">The OCA witness, Mr. Smith recommended that the </w:t>
      </w:r>
      <w:r>
        <w:rPr>
          <w:sz w:val="26"/>
          <w:szCs w:val="26"/>
        </w:rPr>
        <w:t>Aqua-DELCORA</w:t>
      </w:r>
      <w:r w:rsidRPr="002E594B">
        <w:rPr>
          <w:sz w:val="26"/>
          <w:szCs w:val="26"/>
        </w:rPr>
        <w:t xml:space="preserve"> acquisition be removed from AUS’ comparison group as the DELCORA system has not been purchased and there is no final purchase price for the system.  OCA M.B. at 18 (citing OCA St. 1 at 39).  The OCA also explain</w:t>
      </w:r>
      <w:r>
        <w:rPr>
          <w:sz w:val="26"/>
          <w:szCs w:val="26"/>
        </w:rPr>
        <w:t>ed</w:t>
      </w:r>
      <w:r w:rsidRPr="002E594B">
        <w:rPr>
          <w:sz w:val="26"/>
          <w:szCs w:val="26"/>
        </w:rPr>
        <w:t xml:space="preserve"> that the DELCORA customers are not currently customers of Aqua.  According to the OCA, eliminating the DELCORA acquisition from the comparison group did not impact the final resulting valuation under the AUS Market Approach but it is reasonable to make the elimination.  </w:t>
      </w:r>
      <w:r w:rsidRPr="002E594B">
        <w:rPr>
          <w:i/>
          <w:iCs/>
          <w:sz w:val="26"/>
          <w:szCs w:val="26"/>
        </w:rPr>
        <w:t>Id.</w:t>
      </w:r>
    </w:p>
    <w:p w14:paraId="0FAF76FF" w14:textId="77777777" w:rsidR="00A3582A" w:rsidRDefault="00A3582A" w:rsidP="002E7C16">
      <w:pPr>
        <w:widowControl/>
        <w:spacing w:line="360" w:lineRule="auto"/>
        <w:rPr>
          <w:sz w:val="26"/>
          <w:szCs w:val="26"/>
        </w:rPr>
      </w:pPr>
    </w:p>
    <w:p w14:paraId="009F50C5" w14:textId="30F60221" w:rsidR="004E6B79" w:rsidRDefault="004E6B79" w:rsidP="004E6B79">
      <w:pPr>
        <w:pStyle w:val="Heading4"/>
      </w:pPr>
      <w:bookmarkStart w:id="77" w:name="_Toc90970737"/>
      <w:r>
        <w:t>ALJ’s Recommendation</w:t>
      </w:r>
      <w:bookmarkEnd w:id="77"/>
    </w:p>
    <w:p w14:paraId="0A0970C6" w14:textId="0CCA650B" w:rsidR="004E6B79" w:rsidRDefault="004E6B79" w:rsidP="002E7C16">
      <w:pPr>
        <w:widowControl/>
        <w:spacing w:line="360" w:lineRule="auto"/>
        <w:rPr>
          <w:sz w:val="26"/>
          <w:szCs w:val="26"/>
        </w:rPr>
      </w:pPr>
    </w:p>
    <w:p w14:paraId="62573478" w14:textId="440B0489" w:rsidR="00BD71E2" w:rsidRDefault="00BD71E2" w:rsidP="00AA6E82">
      <w:pPr>
        <w:widowControl/>
        <w:spacing w:line="360" w:lineRule="auto"/>
        <w:ind w:firstLine="1440"/>
        <w:rPr>
          <w:sz w:val="26"/>
          <w:szCs w:val="26"/>
        </w:rPr>
      </w:pPr>
      <w:r w:rsidRPr="00BD71E2">
        <w:rPr>
          <w:sz w:val="26"/>
          <w:szCs w:val="26"/>
        </w:rPr>
        <w:t xml:space="preserve">The ALJ found the OCA witness Mr. Smith’s adjustment to the AUS </w:t>
      </w:r>
      <w:r w:rsidR="00AB4017">
        <w:rPr>
          <w:sz w:val="26"/>
          <w:szCs w:val="26"/>
        </w:rPr>
        <w:t>M</w:t>
      </w:r>
      <w:r w:rsidRPr="00BD71E2">
        <w:rPr>
          <w:sz w:val="26"/>
          <w:szCs w:val="26"/>
        </w:rPr>
        <w:t xml:space="preserve">arket </w:t>
      </w:r>
      <w:r w:rsidR="00AB4017">
        <w:rPr>
          <w:sz w:val="26"/>
          <w:szCs w:val="26"/>
        </w:rPr>
        <w:t>A</w:t>
      </w:r>
      <w:r w:rsidRPr="00BD71E2">
        <w:rPr>
          <w:sz w:val="26"/>
          <w:szCs w:val="26"/>
        </w:rPr>
        <w:t>pproach comparison group to be reasonable.  The ALJ provided that whether the DELCORA acquisition will close and have a final purchase price of $276,500,000 is speculative.  Further, the ALJ noted that the DELCORA customers are not currently customers of Aqua.  R.D. at 89-90.</w:t>
      </w:r>
    </w:p>
    <w:p w14:paraId="75B9D11C" w14:textId="77777777" w:rsidR="00967CCA" w:rsidRDefault="00967CCA" w:rsidP="00AA6E82">
      <w:pPr>
        <w:widowControl/>
        <w:spacing w:line="360" w:lineRule="auto"/>
        <w:ind w:firstLine="1440"/>
        <w:rPr>
          <w:sz w:val="26"/>
          <w:szCs w:val="26"/>
        </w:rPr>
      </w:pPr>
    </w:p>
    <w:p w14:paraId="750EAD25" w14:textId="56C98A45" w:rsidR="004E6B79" w:rsidRDefault="00BD71E2" w:rsidP="004E6B79">
      <w:pPr>
        <w:pStyle w:val="Heading4"/>
      </w:pPr>
      <w:bookmarkStart w:id="78" w:name="_Toc90970738"/>
      <w:r>
        <w:t xml:space="preserve">Aqua </w:t>
      </w:r>
      <w:r w:rsidR="004E6B79">
        <w:t>Exception</w:t>
      </w:r>
      <w:r>
        <w:t xml:space="preserve"> No. 4</w:t>
      </w:r>
      <w:r w:rsidR="004E6B79">
        <w:t xml:space="preserve"> and Replies</w:t>
      </w:r>
      <w:bookmarkEnd w:id="78"/>
    </w:p>
    <w:p w14:paraId="016FAEF4" w14:textId="79210794" w:rsidR="004E6B79" w:rsidRDefault="004E6B79" w:rsidP="002E7C16">
      <w:pPr>
        <w:widowControl/>
        <w:spacing w:line="360" w:lineRule="auto"/>
        <w:rPr>
          <w:sz w:val="26"/>
          <w:szCs w:val="26"/>
        </w:rPr>
      </w:pPr>
    </w:p>
    <w:p w14:paraId="2B14194E" w14:textId="77777777" w:rsidR="008356CC" w:rsidRDefault="008356CC" w:rsidP="008356CC">
      <w:pPr>
        <w:widowControl/>
        <w:spacing w:line="360" w:lineRule="auto"/>
        <w:ind w:firstLine="1440"/>
        <w:rPr>
          <w:sz w:val="26"/>
          <w:szCs w:val="26"/>
        </w:rPr>
      </w:pPr>
      <w:r w:rsidRPr="00BD71E2">
        <w:rPr>
          <w:sz w:val="26"/>
          <w:szCs w:val="26"/>
        </w:rPr>
        <w:t xml:space="preserve">In its Exception No. 4, Aqua argues that the removal of the DELCORA transaction from the AUS </w:t>
      </w:r>
      <w:r>
        <w:rPr>
          <w:sz w:val="26"/>
          <w:szCs w:val="26"/>
        </w:rPr>
        <w:t>M</w:t>
      </w:r>
      <w:r w:rsidRPr="00BD71E2">
        <w:rPr>
          <w:sz w:val="26"/>
          <w:szCs w:val="26"/>
        </w:rPr>
        <w:t xml:space="preserve">arket </w:t>
      </w:r>
      <w:r>
        <w:rPr>
          <w:sz w:val="26"/>
          <w:szCs w:val="26"/>
        </w:rPr>
        <w:t>A</w:t>
      </w:r>
      <w:r w:rsidRPr="00BD71E2">
        <w:rPr>
          <w:sz w:val="26"/>
          <w:szCs w:val="26"/>
        </w:rPr>
        <w:t xml:space="preserve">pproach is neither reasonable nor necessary.  Aqua provides that Mr. Weinert explained that although the DELCORA acquisition has not been finalized, it is not necessary to exclude it as a comparable.  Aqua explains that the comparison used is of a purchase price in the original asset purchase agreement comparability measures.  Aqua avers that the OCA’s criticism of the AUS </w:t>
      </w:r>
      <w:r>
        <w:rPr>
          <w:sz w:val="26"/>
          <w:szCs w:val="26"/>
        </w:rPr>
        <w:t>M</w:t>
      </w:r>
      <w:r w:rsidRPr="00BD71E2">
        <w:rPr>
          <w:sz w:val="26"/>
          <w:szCs w:val="26"/>
        </w:rPr>
        <w:t xml:space="preserve">arket </w:t>
      </w:r>
      <w:r>
        <w:rPr>
          <w:sz w:val="26"/>
          <w:szCs w:val="26"/>
        </w:rPr>
        <w:t>A</w:t>
      </w:r>
      <w:r w:rsidRPr="00BD71E2">
        <w:rPr>
          <w:sz w:val="26"/>
          <w:szCs w:val="26"/>
        </w:rPr>
        <w:t xml:space="preserve">pproach and the proposed removal of the Aqua-DELCORA transaction from the AUS comparables should be rejected.  Aqua Exc. at 21.  </w:t>
      </w:r>
    </w:p>
    <w:p w14:paraId="3D1B8912" w14:textId="77777777" w:rsidR="008356CC" w:rsidRPr="00BD71E2" w:rsidRDefault="008356CC" w:rsidP="008356CC">
      <w:pPr>
        <w:widowControl/>
        <w:spacing w:line="360" w:lineRule="auto"/>
        <w:ind w:firstLine="1440"/>
        <w:rPr>
          <w:sz w:val="26"/>
          <w:szCs w:val="26"/>
        </w:rPr>
      </w:pPr>
    </w:p>
    <w:p w14:paraId="6466592B" w14:textId="77777777" w:rsidR="008356CC" w:rsidRDefault="008356CC" w:rsidP="008356CC">
      <w:pPr>
        <w:spacing w:line="360" w:lineRule="auto"/>
        <w:ind w:firstLine="1440"/>
        <w:rPr>
          <w:sz w:val="26"/>
          <w:szCs w:val="26"/>
        </w:rPr>
      </w:pPr>
      <w:r>
        <w:rPr>
          <w:sz w:val="26"/>
          <w:szCs w:val="26"/>
        </w:rPr>
        <w:t xml:space="preserve">In its Replies to Aqua Exception No. 4, the OCA argues that the $276,500,00 “final purchase price” for DELCORA from AUS’ comparison price should be removed because the DELCORA system has not been purchased.  OCA R. Exc. at 11 (citing OCA M.B. at 18-19; OCA St. 1 at 39).  The OCA disagrees with Aqua’s assertion that the DELCORA acquisition should remain since the comparison is of a purchase price in the asset purchase agreement to comparability measures, such as customers.  OCA R. Exc. at 11 (citing Aqua Exc. at 21).  According to the OCA, the DELCORA acquisition is an outlier.  </w:t>
      </w:r>
      <w:proofErr w:type="gramStart"/>
      <w:r>
        <w:rPr>
          <w:sz w:val="26"/>
          <w:szCs w:val="26"/>
        </w:rPr>
        <w:t>All of</w:t>
      </w:r>
      <w:proofErr w:type="gramEnd"/>
      <w:r>
        <w:rPr>
          <w:sz w:val="26"/>
          <w:szCs w:val="26"/>
        </w:rPr>
        <w:t xml:space="preserve"> the other acquisitions in the comparison group are closed transactions.  The OCA explains that including the DELCORA acquisition and indicating $276,500,000 as a “final purchase price” for that system is inaccurate and potentially misleading.  OCA R. Exc. at 11. </w:t>
      </w:r>
    </w:p>
    <w:p w14:paraId="76AD30D0" w14:textId="77777777" w:rsidR="00BD71E2" w:rsidRDefault="00BD71E2" w:rsidP="002E7C16">
      <w:pPr>
        <w:widowControl/>
        <w:spacing w:line="360" w:lineRule="auto"/>
        <w:rPr>
          <w:sz w:val="26"/>
          <w:szCs w:val="26"/>
        </w:rPr>
      </w:pPr>
    </w:p>
    <w:p w14:paraId="588A87B1" w14:textId="3EF8FB7F" w:rsidR="004E6B79" w:rsidRDefault="004E6B79" w:rsidP="00967CCA">
      <w:pPr>
        <w:pStyle w:val="Heading4"/>
        <w:widowControl/>
      </w:pPr>
      <w:bookmarkStart w:id="79" w:name="_Toc90970739"/>
      <w:r>
        <w:t>Disposition</w:t>
      </w:r>
      <w:bookmarkEnd w:id="79"/>
    </w:p>
    <w:p w14:paraId="571A12B4" w14:textId="642402C7" w:rsidR="004E6B79" w:rsidRDefault="004E6B79" w:rsidP="00967CCA">
      <w:pPr>
        <w:keepNext/>
        <w:widowControl/>
        <w:spacing w:line="360" w:lineRule="auto"/>
        <w:rPr>
          <w:sz w:val="26"/>
          <w:szCs w:val="26"/>
        </w:rPr>
      </w:pPr>
    </w:p>
    <w:p w14:paraId="13CFDFB2" w14:textId="77777777" w:rsidR="00F0748E" w:rsidRPr="00F0748E" w:rsidRDefault="00F0748E" w:rsidP="00967CCA">
      <w:pPr>
        <w:keepNext/>
        <w:widowControl/>
        <w:spacing w:line="360" w:lineRule="auto"/>
        <w:ind w:firstLine="1440"/>
        <w:rPr>
          <w:sz w:val="26"/>
          <w:szCs w:val="26"/>
        </w:rPr>
      </w:pPr>
      <w:r w:rsidRPr="00F0748E">
        <w:rPr>
          <w:sz w:val="26"/>
          <w:szCs w:val="26"/>
        </w:rPr>
        <w:t xml:space="preserve">The Aqua-DELCORA acquisition is not final and should not be used in the AUS comparison group.  The “final purchase price” is not known at this time.  The proposed Aqua-DELCORA acquisition is indeed an “outlier” as the OCA argued, as it is the only acquisition in the AUS comparison group that is not finalized.  Use of the proposed Aqua-DELCORA transaction in the AUS comparison group is speculative.  For these reasons, Aqua Exception No. 4 is denied.  </w:t>
      </w:r>
    </w:p>
    <w:p w14:paraId="69F48EC0" w14:textId="5AFCE241" w:rsidR="0033660A" w:rsidRDefault="0033660A" w:rsidP="00967CCA">
      <w:pPr>
        <w:widowControl/>
        <w:spacing w:line="360" w:lineRule="auto"/>
        <w:rPr>
          <w:sz w:val="26"/>
          <w:szCs w:val="26"/>
        </w:rPr>
      </w:pPr>
    </w:p>
    <w:p w14:paraId="2B43A15E" w14:textId="1D91C309" w:rsidR="0033660A" w:rsidRDefault="0033660A" w:rsidP="00967CCA">
      <w:pPr>
        <w:pStyle w:val="Heading3"/>
        <w:keepNext/>
        <w:keepLines/>
      </w:pPr>
      <w:bookmarkStart w:id="80" w:name="_Toc90970740"/>
      <w:r>
        <w:t>Conclusion – Section 1329 Fair Market Valuation</w:t>
      </w:r>
      <w:bookmarkEnd w:id="80"/>
    </w:p>
    <w:p w14:paraId="5F686B73" w14:textId="77777777" w:rsidR="0033660A" w:rsidRDefault="0033660A" w:rsidP="00967CCA">
      <w:pPr>
        <w:keepNext/>
        <w:keepLines/>
        <w:widowControl/>
        <w:spacing w:line="360" w:lineRule="auto"/>
        <w:rPr>
          <w:sz w:val="26"/>
          <w:szCs w:val="26"/>
        </w:rPr>
      </w:pPr>
    </w:p>
    <w:p w14:paraId="3280B3C7" w14:textId="7C68E6BA" w:rsidR="0033660A" w:rsidRDefault="0033660A" w:rsidP="00967CCA">
      <w:pPr>
        <w:pStyle w:val="Heading4"/>
        <w:numPr>
          <w:ilvl w:val="0"/>
          <w:numId w:val="11"/>
        </w:numPr>
        <w:ind w:left="2160" w:hanging="720"/>
      </w:pPr>
      <w:bookmarkStart w:id="81" w:name="_Toc90970741"/>
      <w:r>
        <w:t>Positions of the Parties</w:t>
      </w:r>
      <w:bookmarkEnd w:id="81"/>
    </w:p>
    <w:p w14:paraId="2707F2CF" w14:textId="2FC98717" w:rsidR="004E6B79" w:rsidRDefault="004E6B79" w:rsidP="00967CCA">
      <w:pPr>
        <w:widowControl/>
        <w:spacing w:line="360" w:lineRule="auto"/>
        <w:rPr>
          <w:sz w:val="26"/>
          <w:szCs w:val="26"/>
        </w:rPr>
      </w:pPr>
    </w:p>
    <w:p w14:paraId="3FA2BC09" w14:textId="47CD0559" w:rsidR="008356CC" w:rsidRPr="009774D2" w:rsidRDefault="008356CC" w:rsidP="00967CCA">
      <w:pPr>
        <w:widowControl/>
        <w:spacing w:line="360" w:lineRule="auto"/>
        <w:ind w:firstLine="1440"/>
        <w:rPr>
          <w:rFonts w:eastAsia="Calibri"/>
          <w:sz w:val="26"/>
          <w:szCs w:val="26"/>
        </w:rPr>
      </w:pPr>
      <w:r w:rsidRPr="009774D2">
        <w:rPr>
          <w:rFonts w:eastAsia="Calibri"/>
          <w:sz w:val="26"/>
          <w:szCs w:val="26"/>
        </w:rPr>
        <w:t>Aqua submit</w:t>
      </w:r>
      <w:r>
        <w:rPr>
          <w:rFonts w:eastAsia="Calibri"/>
          <w:sz w:val="26"/>
          <w:szCs w:val="26"/>
        </w:rPr>
        <w:t>ted</w:t>
      </w:r>
      <w:r w:rsidRPr="009774D2">
        <w:rPr>
          <w:rFonts w:eastAsia="Calibri"/>
          <w:sz w:val="26"/>
          <w:szCs w:val="26"/>
        </w:rPr>
        <w:t xml:space="preserve"> that the ratemaking rate base of the L</w:t>
      </w:r>
      <w:r>
        <w:rPr>
          <w:rFonts w:eastAsia="Calibri"/>
          <w:sz w:val="26"/>
          <w:szCs w:val="26"/>
        </w:rPr>
        <w:t>MT</w:t>
      </w:r>
      <w:r w:rsidRPr="009774D2">
        <w:rPr>
          <w:rFonts w:eastAsia="Calibri"/>
          <w:sz w:val="26"/>
          <w:szCs w:val="26"/>
        </w:rPr>
        <w:t xml:space="preserve"> wastewater system, determined pursuant to Section 1329(c)(2), is $53,000,000, the lesser of the negotiated purchase price of $53,000,000 and the average of the UVE appraisals of $54,967,796.  Aqua aver</w:t>
      </w:r>
      <w:r>
        <w:rPr>
          <w:rFonts w:eastAsia="Calibri"/>
          <w:sz w:val="26"/>
          <w:szCs w:val="26"/>
        </w:rPr>
        <w:t>red</w:t>
      </w:r>
      <w:r w:rsidRPr="009774D2">
        <w:rPr>
          <w:rFonts w:eastAsia="Calibri"/>
          <w:sz w:val="26"/>
          <w:szCs w:val="26"/>
        </w:rPr>
        <w:t xml:space="preserve"> that the OCA’s criticisms of the appraisals should be rejected and given no weight.  Aqua M.B. at 22.  </w:t>
      </w:r>
    </w:p>
    <w:p w14:paraId="61147F1B" w14:textId="77777777" w:rsidR="008356CC" w:rsidRPr="009774D2" w:rsidRDefault="008356CC" w:rsidP="008356CC">
      <w:pPr>
        <w:widowControl/>
        <w:spacing w:line="360" w:lineRule="auto"/>
        <w:ind w:firstLine="1440"/>
        <w:rPr>
          <w:rFonts w:eastAsia="Calibri"/>
          <w:sz w:val="26"/>
          <w:szCs w:val="26"/>
        </w:rPr>
      </w:pPr>
    </w:p>
    <w:p w14:paraId="6A5D26D7" w14:textId="77777777" w:rsidR="008356CC" w:rsidRPr="009774D2" w:rsidRDefault="008356CC" w:rsidP="008356CC">
      <w:pPr>
        <w:widowControl/>
        <w:spacing w:line="360" w:lineRule="auto"/>
        <w:ind w:firstLine="1440"/>
        <w:rPr>
          <w:rFonts w:eastAsia="Calibri"/>
          <w:sz w:val="26"/>
          <w:szCs w:val="26"/>
        </w:rPr>
      </w:pPr>
      <w:r w:rsidRPr="009774D2">
        <w:rPr>
          <w:rFonts w:eastAsia="Calibri"/>
          <w:sz w:val="26"/>
          <w:szCs w:val="26"/>
        </w:rPr>
        <w:t>The OCA provide</w:t>
      </w:r>
      <w:r>
        <w:rPr>
          <w:rFonts w:eastAsia="Calibri"/>
          <w:sz w:val="26"/>
          <w:szCs w:val="26"/>
        </w:rPr>
        <w:t>d</w:t>
      </w:r>
      <w:r w:rsidRPr="009774D2">
        <w:rPr>
          <w:rFonts w:eastAsia="Calibri"/>
          <w:sz w:val="26"/>
          <w:szCs w:val="26"/>
        </w:rPr>
        <w:t xml:space="preserve"> that the OCA witness Smith calculated that, </w:t>
      </w:r>
      <w:proofErr w:type="gramStart"/>
      <w:r w:rsidRPr="009774D2">
        <w:rPr>
          <w:rFonts w:eastAsia="Calibri"/>
          <w:sz w:val="26"/>
          <w:szCs w:val="26"/>
        </w:rPr>
        <w:t>in order to</w:t>
      </w:r>
      <w:proofErr w:type="gramEnd"/>
      <w:r w:rsidRPr="009774D2">
        <w:rPr>
          <w:rFonts w:eastAsia="Calibri"/>
          <w:sz w:val="26"/>
          <w:szCs w:val="26"/>
        </w:rPr>
        <w:t xml:space="preserve"> properly reflect financial and ratemaking principles under Pennsylvania law, the adjusted Gannett Fleming appraisal result would be $54,163,000 and the adjusted AUS appraisal result would be $48,309,516, in order to properly reflect financial and ratemaking principles.</w:t>
      </w:r>
      <w:r w:rsidRPr="009774D2">
        <w:rPr>
          <w:rFonts w:eastAsia="Calibri"/>
          <w:sz w:val="26"/>
          <w:szCs w:val="26"/>
          <w:vertAlign w:val="superscript"/>
        </w:rPr>
        <w:footnoteReference w:id="33"/>
      </w:r>
      <w:r w:rsidRPr="009774D2">
        <w:rPr>
          <w:rFonts w:eastAsia="Calibri"/>
          <w:sz w:val="26"/>
          <w:szCs w:val="26"/>
        </w:rPr>
        <w:t xml:space="preserve">  OCA R.B. at 14 (citing OCA Exh. RCS-1SR at Col. G, </w:t>
      </w:r>
      <w:proofErr w:type="spellStart"/>
      <w:r>
        <w:rPr>
          <w:rFonts w:eastAsia="Calibri"/>
          <w:sz w:val="26"/>
          <w:szCs w:val="26"/>
        </w:rPr>
        <w:t>l</w:t>
      </w:r>
      <w:r w:rsidRPr="009774D2">
        <w:rPr>
          <w:rFonts w:eastAsia="Calibri"/>
          <w:sz w:val="26"/>
          <w:szCs w:val="26"/>
        </w:rPr>
        <w:t>n</w:t>
      </w:r>
      <w:r>
        <w:rPr>
          <w:rFonts w:eastAsia="Calibri"/>
          <w:sz w:val="26"/>
          <w:szCs w:val="26"/>
        </w:rPr>
        <w:t>s</w:t>
      </w:r>
      <w:proofErr w:type="spellEnd"/>
      <w:r w:rsidRPr="009774D2">
        <w:rPr>
          <w:rFonts w:eastAsia="Calibri"/>
          <w:sz w:val="26"/>
          <w:szCs w:val="26"/>
        </w:rPr>
        <w:t>. 5, 10).  The OCA aver</w:t>
      </w:r>
      <w:r>
        <w:rPr>
          <w:rFonts w:eastAsia="Calibri"/>
          <w:sz w:val="26"/>
          <w:szCs w:val="26"/>
        </w:rPr>
        <w:t>red</w:t>
      </w:r>
      <w:r w:rsidRPr="009774D2">
        <w:rPr>
          <w:rFonts w:eastAsia="Calibri"/>
          <w:sz w:val="26"/>
          <w:szCs w:val="26"/>
        </w:rPr>
        <w:t xml:space="preserve"> that Mr. Smith’s recommended adjustments are reasonable, consistent with </w:t>
      </w:r>
      <w:r>
        <w:rPr>
          <w:rFonts w:eastAsia="Calibri"/>
          <w:sz w:val="26"/>
          <w:szCs w:val="26"/>
        </w:rPr>
        <w:t xml:space="preserve">the </w:t>
      </w:r>
      <w:r w:rsidRPr="009774D2">
        <w:rPr>
          <w:rFonts w:eastAsia="Calibri"/>
          <w:sz w:val="26"/>
          <w:szCs w:val="26"/>
        </w:rPr>
        <w:t xml:space="preserve">Code and precedent, and should be adopted by the Commission in this proceeding.  OCA R.B. at 14.  </w:t>
      </w:r>
    </w:p>
    <w:p w14:paraId="03C2DB61" w14:textId="77777777" w:rsidR="00F0748E" w:rsidRDefault="00F0748E" w:rsidP="002E7C16">
      <w:pPr>
        <w:widowControl/>
        <w:spacing w:line="360" w:lineRule="auto"/>
        <w:rPr>
          <w:sz w:val="26"/>
          <w:szCs w:val="26"/>
        </w:rPr>
      </w:pPr>
    </w:p>
    <w:p w14:paraId="5CF120B8" w14:textId="6DAB733E" w:rsidR="0033660A" w:rsidRDefault="0033660A" w:rsidP="0033660A">
      <w:pPr>
        <w:pStyle w:val="Heading4"/>
      </w:pPr>
      <w:bookmarkStart w:id="82" w:name="_Toc90970742"/>
      <w:r>
        <w:t>ALJ’s Recommendation</w:t>
      </w:r>
      <w:bookmarkEnd w:id="82"/>
    </w:p>
    <w:p w14:paraId="570424EB" w14:textId="706130D2" w:rsidR="0033660A" w:rsidRDefault="0033660A" w:rsidP="002E7C16">
      <w:pPr>
        <w:widowControl/>
        <w:spacing w:line="360" w:lineRule="auto"/>
        <w:rPr>
          <w:sz w:val="26"/>
          <w:szCs w:val="26"/>
        </w:rPr>
      </w:pPr>
    </w:p>
    <w:p w14:paraId="38D68F80" w14:textId="77777777" w:rsidR="008356CC" w:rsidRPr="00F411EA" w:rsidRDefault="008356CC" w:rsidP="00726637">
      <w:pPr>
        <w:spacing w:line="360" w:lineRule="auto"/>
        <w:ind w:firstLine="1440"/>
        <w:rPr>
          <w:sz w:val="26"/>
          <w:szCs w:val="26"/>
        </w:rPr>
      </w:pPr>
      <w:r w:rsidRPr="00F411EA">
        <w:rPr>
          <w:sz w:val="26"/>
          <w:szCs w:val="26"/>
        </w:rPr>
        <w:t xml:space="preserve">The ALJ adopted the OCA’s recommendation to adjust the Income Approach values of both </w:t>
      </w:r>
      <w:r>
        <w:rPr>
          <w:sz w:val="26"/>
          <w:szCs w:val="26"/>
        </w:rPr>
        <w:t xml:space="preserve">the </w:t>
      </w:r>
      <w:r w:rsidRPr="00F411EA">
        <w:rPr>
          <w:sz w:val="26"/>
          <w:szCs w:val="26"/>
        </w:rPr>
        <w:t xml:space="preserve">Gannett Fleming and AUS appraisals.  The ALJ also adopted the OCA’s recommendation to use the 65-year service life for Gravity </w:t>
      </w:r>
      <w:r>
        <w:rPr>
          <w:sz w:val="26"/>
          <w:szCs w:val="26"/>
        </w:rPr>
        <w:t xml:space="preserve">Collection </w:t>
      </w:r>
      <w:r w:rsidRPr="00F411EA">
        <w:rPr>
          <w:sz w:val="26"/>
          <w:szCs w:val="26"/>
        </w:rPr>
        <w:t xml:space="preserve">Mains in the AUS </w:t>
      </w:r>
      <w:r>
        <w:rPr>
          <w:sz w:val="26"/>
          <w:szCs w:val="26"/>
        </w:rPr>
        <w:t>C</w:t>
      </w:r>
      <w:r w:rsidRPr="00F411EA">
        <w:rPr>
          <w:sz w:val="26"/>
          <w:szCs w:val="26"/>
        </w:rPr>
        <w:t xml:space="preserve">ost </w:t>
      </w:r>
      <w:r>
        <w:rPr>
          <w:sz w:val="26"/>
          <w:szCs w:val="26"/>
        </w:rPr>
        <w:t>A</w:t>
      </w:r>
      <w:r w:rsidRPr="00F411EA">
        <w:rPr>
          <w:sz w:val="26"/>
          <w:szCs w:val="26"/>
        </w:rPr>
        <w:t>pproach.  The resulting recalculated average of the two appraisal results is $51,236,259, which the ALJ recommended for establishing rate base under Section 1329 rather than the $53,000,000 proposed by Aqua.  R.D. at 92</w:t>
      </w:r>
      <w:r>
        <w:rPr>
          <w:sz w:val="26"/>
          <w:szCs w:val="26"/>
        </w:rPr>
        <w:t xml:space="preserve">; </w:t>
      </w:r>
      <w:r w:rsidRPr="003E6D6B">
        <w:rPr>
          <w:i/>
          <w:iCs/>
          <w:sz w:val="26"/>
          <w:szCs w:val="26"/>
        </w:rPr>
        <w:t>see also</w:t>
      </w:r>
      <w:r w:rsidRPr="00F411EA">
        <w:rPr>
          <w:sz w:val="26"/>
          <w:szCs w:val="26"/>
        </w:rPr>
        <w:t xml:space="preserve"> OCA Exh. RCS-1SR at Col. G, </w:t>
      </w:r>
      <w:proofErr w:type="spellStart"/>
      <w:r>
        <w:rPr>
          <w:sz w:val="26"/>
          <w:szCs w:val="26"/>
        </w:rPr>
        <w:t>l</w:t>
      </w:r>
      <w:r w:rsidRPr="00F411EA">
        <w:rPr>
          <w:sz w:val="26"/>
          <w:szCs w:val="26"/>
        </w:rPr>
        <w:t>n</w:t>
      </w:r>
      <w:r>
        <w:rPr>
          <w:sz w:val="26"/>
          <w:szCs w:val="26"/>
        </w:rPr>
        <w:t>s</w:t>
      </w:r>
      <w:proofErr w:type="spellEnd"/>
      <w:r w:rsidRPr="00F411EA">
        <w:rPr>
          <w:sz w:val="26"/>
          <w:szCs w:val="26"/>
        </w:rPr>
        <w:t xml:space="preserve">. 5, 10.  </w:t>
      </w:r>
    </w:p>
    <w:p w14:paraId="0931A218" w14:textId="77777777" w:rsidR="0033660A" w:rsidRDefault="0033660A" w:rsidP="00726637">
      <w:pPr>
        <w:widowControl/>
        <w:spacing w:line="360" w:lineRule="auto"/>
        <w:rPr>
          <w:sz w:val="26"/>
          <w:szCs w:val="26"/>
        </w:rPr>
      </w:pPr>
    </w:p>
    <w:p w14:paraId="7F357B33" w14:textId="6052E15B" w:rsidR="0033660A" w:rsidRDefault="0033660A" w:rsidP="00726637">
      <w:pPr>
        <w:pStyle w:val="Heading4"/>
      </w:pPr>
      <w:bookmarkStart w:id="83" w:name="_Toc90970743"/>
      <w:r>
        <w:t>Aqua’s Exception No. 5 and Replies</w:t>
      </w:r>
      <w:bookmarkEnd w:id="83"/>
    </w:p>
    <w:p w14:paraId="2373E29E" w14:textId="3C54F97C" w:rsidR="0033660A" w:rsidRDefault="0033660A" w:rsidP="00726637">
      <w:pPr>
        <w:widowControl/>
        <w:spacing w:line="360" w:lineRule="auto"/>
        <w:rPr>
          <w:sz w:val="26"/>
          <w:szCs w:val="26"/>
        </w:rPr>
      </w:pPr>
    </w:p>
    <w:p w14:paraId="4FD40180" w14:textId="77777777" w:rsidR="008356CC" w:rsidRDefault="008356CC" w:rsidP="00726637">
      <w:pPr>
        <w:widowControl/>
        <w:spacing w:line="360" w:lineRule="auto"/>
        <w:ind w:firstLine="1440"/>
        <w:rPr>
          <w:sz w:val="26"/>
          <w:szCs w:val="26"/>
        </w:rPr>
      </w:pPr>
      <w:r w:rsidRPr="00267DC4">
        <w:rPr>
          <w:sz w:val="26"/>
          <w:szCs w:val="26"/>
        </w:rPr>
        <w:t>In its Exception Nos. 1, 2</w:t>
      </w:r>
      <w:r>
        <w:rPr>
          <w:sz w:val="26"/>
          <w:szCs w:val="26"/>
        </w:rPr>
        <w:t>,</w:t>
      </w:r>
      <w:r w:rsidRPr="00267DC4">
        <w:rPr>
          <w:sz w:val="26"/>
          <w:szCs w:val="26"/>
        </w:rPr>
        <w:t xml:space="preserve"> and </w:t>
      </w:r>
      <w:r>
        <w:rPr>
          <w:sz w:val="26"/>
          <w:szCs w:val="26"/>
        </w:rPr>
        <w:t>3</w:t>
      </w:r>
      <w:r w:rsidRPr="00267DC4">
        <w:rPr>
          <w:sz w:val="26"/>
          <w:szCs w:val="26"/>
        </w:rPr>
        <w:t xml:space="preserve">, Aqua excepts to the individual adjustments to the Gannett Fleming </w:t>
      </w:r>
      <w:r>
        <w:rPr>
          <w:sz w:val="26"/>
          <w:szCs w:val="26"/>
        </w:rPr>
        <w:t>Inc</w:t>
      </w:r>
      <w:r w:rsidRPr="00267DC4">
        <w:rPr>
          <w:sz w:val="26"/>
          <w:szCs w:val="26"/>
        </w:rPr>
        <w:t xml:space="preserve">ome </w:t>
      </w:r>
      <w:r>
        <w:rPr>
          <w:sz w:val="26"/>
          <w:szCs w:val="26"/>
        </w:rPr>
        <w:t>A</w:t>
      </w:r>
      <w:r w:rsidRPr="00267DC4">
        <w:rPr>
          <w:sz w:val="26"/>
          <w:szCs w:val="26"/>
        </w:rPr>
        <w:t xml:space="preserve">pproach and to the AUS </w:t>
      </w:r>
      <w:r>
        <w:rPr>
          <w:sz w:val="26"/>
          <w:szCs w:val="26"/>
        </w:rPr>
        <w:t>C</w:t>
      </w:r>
      <w:r w:rsidRPr="00267DC4">
        <w:rPr>
          <w:sz w:val="26"/>
          <w:szCs w:val="26"/>
        </w:rPr>
        <w:t xml:space="preserve">ost and </w:t>
      </w:r>
      <w:r>
        <w:rPr>
          <w:sz w:val="26"/>
          <w:szCs w:val="26"/>
        </w:rPr>
        <w:t>Income</w:t>
      </w:r>
      <w:r w:rsidRPr="00267DC4">
        <w:rPr>
          <w:sz w:val="26"/>
          <w:szCs w:val="26"/>
        </w:rPr>
        <w:t xml:space="preserve"> </w:t>
      </w:r>
      <w:r>
        <w:rPr>
          <w:sz w:val="26"/>
          <w:szCs w:val="26"/>
        </w:rPr>
        <w:t>A</w:t>
      </w:r>
      <w:r w:rsidRPr="00267DC4">
        <w:rPr>
          <w:sz w:val="26"/>
          <w:szCs w:val="26"/>
        </w:rPr>
        <w:t>pproaches that reduce the ratemaking</w:t>
      </w:r>
      <w:r w:rsidRPr="00C77680">
        <w:rPr>
          <w:sz w:val="26"/>
          <w:szCs w:val="26"/>
        </w:rPr>
        <w:t xml:space="preserve"> rate base.  In Exception No. 5, Aqua excepts to </w:t>
      </w:r>
      <w:proofErr w:type="gramStart"/>
      <w:r w:rsidRPr="00C77680">
        <w:rPr>
          <w:sz w:val="26"/>
          <w:szCs w:val="26"/>
        </w:rPr>
        <w:t>the end result</w:t>
      </w:r>
      <w:proofErr w:type="gramEnd"/>
      <w:r w:rsidRPr="00C77680">
        <w:rPr>
          <w:sz w:val="26"/>
          <w:szCs w:val="26"/>
        </w:rPr>
        <w:t xml:space="preserve"> of those adjustments that reduce the ratemaking rate base from $53,000,000 to $51,236,259.  Aqua Exc. at 22.</w:t>
      </w:r>
    </w:p>
    <w:p w14:paraId="134A6C9C" w14:textId="77777777" w:rsidR="008356CC" w:rsidRDefault="008356CC" w:rsidP="008356CC">
      <w:pPr>
        <w:widowControl/>
        <w:spacing w:line="360" w:lineRule="auto"/>
        <w:ind w:firstLine="1440"/>
        <w:rPr>
          <w:sz w:val="26"/>
          <w:szCs w:val="26"/>
        </w:rPr>
      </w:pPr>
    </w:p>
    <w:p w14:paraId="29355FBC" w14:textId="77777777" w:rsidR="008356CC" w:rsidRPr="00C77680" w:rsidRDefault="008356CC" w:rsidP="008356CC">
      <w:pPr>
        <w:widowControl/>
        <w:spacing w:line="360" w:lineRule="auto"/>
        <w:ind w:firstLine="1440"/>
        <w:rPr>
          <w:sz w:val="26"/>
          <w:szCs w:val="26"/>
        </w:rPr>
      </w:pPr>
      <w:r w:rsidRPr="00C77680">
        <w:rPr>
          <w:sz w:val="26"/>
          <w:szCs w:val="26"/>
        </w:rPr>
        <w:t xml:space="preserve">Additionally, Aqua disagrees with the Recommended Decision and the adjustment of the </w:t>
      </w:r>
      <w:r>
        <w:rPr>
          <w:sz w:val="26"/>
          <w:szCs w:val="26"/>
        </w:rPr>
        <w:t>a</w:t>
      </w:r>
      <w:r w:rsidRPr="00C77680">
        <w:rPr>
          <w:sz w:val="26"/>
          <w:szCs w:val="26"/>
        </w:rPr>
        <w:t>ppraisals on a basis other than the USPAP – specifically, the application of “financial and ratemaking” principles to support the adjustments.  Aqua contends that the statutory standard is “fair market value in compliance with the</w:t>
      </w:r>
      <w:r>
        <w:rPr>
          <w:sz w:val="26"/>
          <w:szCs w:val="26"/>
        </w:rPr>
        <w:t xml:space="preserve"> </w:t>
      </w:r>
      <w:r w:rsidRPr="00C77680">
        <w:rPr>
          <w:sz w:val="26"/>
          <w:szCs w:val="26"/>
        </w:rPr>
        <w:t>USPAP employing the cost, market, and income approaches.”  Aqua Exc. at 22 (citing 66 Pa. C.S. § 1329(a)(3)).</w:t>
      </w:r>
    </w:p>
    <w:p w14:paraId="7FA67893" w14:textId="77777777" w:rsidR="008356CC" w:rsidRDefault="008356CC" w:rsidP="008356CC">
      <w:pPr>
        <w:widowControl/>
        <w:spacing w:line="360" w:lineRule="auto"/>
        <w:ind w:firstLine="1440"/>
        <w:rPr>
          <w:sz w:val="26"/>
          <w:szCs w:val="26"/>
        </w:rPr>
      </w:pPr>
    </w:p>
    <w:p w14:paraId="306C91F8" w14:textId="2B7B2FDE" w:rsidR="008356CC" w:rsidRPr="00C77680" w:rsidRDefault="008356CC" w:rsidP="00726637">
      <w:pPr>
        <w:widowControl/>
        <w:spacing w:line="360" w:lineRule="auto"/>
        <w:ind w:firstLine="1440"/>
        <w:rPr>
          <w:sz w:val="26"/>
          <w:szCs w:val="26"/>
        </w:rPr>
      </w:pPr>
      <w:r w:rsidRPr="00C77680">
        <w:rPr>
          <w:sz w:val="26"/>
          <w:szCs w:val="26"/>
        </w:rPr>
        <w:t xml:space="preserve">Aqua maintains that this was affirmed in </w:t>
      </w:r>
      <w:r w:rsidRPr="00C77680">
        <w:rPr>
          <w:i/>
          <w:iCs/>
          <w:sz w:val="26"/>
          <w:szCs w:val="26"/>
        </w:rPr>
        <w:t>New Garden</w:t>
      </w:r>
      <w:r>
        <w:rPr>
          <w:i/>
          <w:iCs/>
          <w:sz w:val="26"/>
          <w:szCs w:val="26"/>
          <w:vertAlign w:val="superscript"/>
        </w:rPr>
        <w:t xml:space="preserve"> </w:t>
      </w:r>
      <w:r w:rsidRPr="00C77680">
        <w:rPr>
          <w:sz w:val="26"/>
          <w:szCs w:val="26"/>
        </w:rPr>
        <w:t>where the Commission stated that “when construing Section 1329 in conjunction with both Section</w:t>
      </w:r>
      <w:r w:rsidR="00967CCA">
        <w:rPr>
          <w:sz w:val="26"/>
          <w:szCs w:val="26"/>
        </w:rPr>
        <w:t> </w:t>
      </w:r>
      <w:r w:rsidRPr="00C77680">
        <w:rPr>
          <w:sz w:val="26"/>
          <w:szCs w:val="26"/>
        </w:rPr>
        <w:t>505 and Section 1103(b) of the Code, it is clear that the Commission retains the authority to review and analyze the UVE valuations to determine compliance with the USPAP standards and whether the three methods were accurately applied to the UVEs’ analyses.”  Aqua Exc. at 23 (</w:t>
      </w:r>
      <w:r w:rsidRPr="008356CC">
        <w:rPr>
          <w:sz w:val="26"/>
          <w:szCs w:val="26"/>
        </w:rPr>
        <w:t>citing</w:t>
      </w:r>
      <w:r w:rsidRPr="00C77680">
        <w:rPr>
          <w:sz w:val="26"/>
          <w:szCs w:val="26"/>
        </w:rPr>
        <w:t xml:space="preserve"> </w:t>
      </w:r>
      <w:r w:rsidRPr="00C77680">
        <w:rPr>
          <w:i/>
          <w:iCs/>
          <w:sz w:val="26"/>
          <w:szCs w:val="26"/>
        </w:rPr>
        <w:t>New Garden</w:t>
      </w:r>
      <w:r w:rsidRPr="00C77680">
        <w:rPr>
          <w:sz w:val="26"/>
          <w:szCs w:val="26"/>
        </w:rPr>
        <w:t xml:space="preserve"> at 14).</w:t>
      </w:r>
    </w:p>
    <w:p w14:paraId="5028A698" w14:textId="77777777" w:rsidR="008356CC" w:rsidRDefault="008356CC" w:rsidP="00726637">
      <w:pPr>
        <w:widowControl/>
        <w:spacing w:line="360" w:lineRule="auto"/>
        <w:ind w:firstLine="1440"/>
        <w:rPr>
          <w:sz w:val="26"/>
          <w:szCs w:val="26"/>
        </w:rPr>
      </w:pPr>
    </w:p>
    <w:p w14:paraId="428BE458" w14:textId="77777777" w:rsidR="008356CC" w:rsidRPr="00C77680" w:rsidRDefault="008356CC" w:rsidP="00726637">
      <w:pPr>
        <w:widowControl/>
        <w:spacing w:line="360" w:lineRule="auto"/>
        <w:ind w:firstLine="1440"/>
        <w:rPr>
          <w:sz w:val="26"/>
          <w:szCs w:val="26"/>
        </w:rPr>
      </w:pPr>
      <w:bookmarkStart w:id="84" w:name="_Hlk90555808"/>
      <w:r w:rsidRPr="00C77680">
        <w:rPr>
          <w:sz w:val="26"/>
          <w:szCs w:val="26"/>
        </w:rPr>
        <w:t>Aqua states that it is not suggesting that the determination of ratemaking rate base must be “formulaic” or that the Appraisals cannot be challenged</w:t>
      </w:r>
      <w:bookmarkEnd w:id="84"/>
      <w:r w:rsidRPr="00C77680">
        <w:rPr>
          <w:sz w:val="26"/>
          <w:szCs w:val="26"/>
        </w:rPr>
        <w:t xml:space="preserve">.  Aqua submits that the UVE appraisals are prepared and sponsored by certified UVEs who are qualified by statute and Commission sanction.  Aqua Exc. at 23.  Aqua holds that the ratemaking rate base determined pursuant to Section 1329(c)(2) is $53,000,000 being the lesser of the negotiated purchase price of $53,000,000 and the average of the UVE appraisals of $54,967,796.  Aqua avers that the Gannett Fleming and AUS appraisals are supported by the evidence of record and consistent with the Code and precedent.  </w:t>
      </w:r>
      <w:r w:rsidRPr="00C77680">
        <w:rPr>
          <w:i/>
          <w:iCs/>
          <w:sz w:val="26"/>
          <w:szCs w:val="26"/>
        </w:rPr>
        <w:t>Id.</w:t>
      </w:r>
      <w:r w:rsidRPr="00C77680">
        <w:rPr>
          <w:sz w:val="26"/>
          <w:szCs w:val="26"/>
        </w:rPr>
        <w:t xml:space="preserve">  </w:t>
      </w:r>
    </w:p>
    <w:p w14:paraId="0BC3D69E" w14:textId="77777777" w:rsidR="008356CC" w:rsidRDefault="008356CC" w:rsidP="00726637">
      <w:pPr>
        <w:widowControl/>
        <w:spacing w:line="360" w:lineRule="auto"/>
        <w:ind w:firstLine="1440"/>
        <w:rPr>
          <w:sz w:val="26"/>
          <w:szCs w:val="26"/>
        </w:rPr>
      </w:pPr>
    </w:p>
    <w:p w14:paraId="730D2C49" w14:textId="77777777" w:rsidR="008356CC" w:rsidRPr="00FE5C4C" w:rsidRDefault="008356CC" w:rsidP="00726637">
      <w:pPr>
        <w:widowControl/>
        <w:autoSpaceDE w:val="0"/>
        <w:autoSpaceDN w:val="0"/>
        <w:adjustRightInd w:val="0"/>
        <w:spacing w:line="360" w:lineRule="auto"/>
        <w:ind w:firstLine="1440"/>
        <w:rPr>
          <w:rFonts w:eastAsia="Calibri"/>
          <w:sz w:val="26"/>
          <w:szCs w:val="26"/>
        </w:rPr>
      </w:pPr>
      <w:r w:rsidRPr="00FE5C4C">
        <w:rPr>
          <w:rFonts w:eastAsia="Calibri"/>
          <w:sz w:val="26"/>
          <w:szCs w:val="26"/>
        </w:rPr>
        <w:t>In its Replies to Aqua Exception No. 5, the OCA explains that Section 1329 creates a valuation process, which begins with two UVEs providing individual appraisals of “fair market value.” OCA R.</w:t>
      </w:r>
      <w:r>
        <w:rPr>
          <w:rFonts w:eastAsia="Calibri"/>
          <w:sz w:val="26"/>
          <w:szCs w:val="26"/>
        </w:rPr>
        <w:t xml:space="preserve"> </w:t>
      </w:r>
      <w:r w:rsidRPr="00FE5C4C">
        <w:rPr>
          <w:rFonts w:eastAsia="Calibri"/>
          <w:sz w:val="26"/>
          <w:szCs w:val="26"/>
        </w:rPr>
        <w:t>Exc. at 12 (citing 66 Pa. C.S. § 1329(a)(3)).  The OCA explains further that the statute anticipates that these appraisals will differ and provides for the appraisals to be averaged.  OCA R.</w:t>
      </w:r>
      <w:r>
        <w:rPr>
          <w:rFonts w:eastAsia="Calibri"/>
          <w:sz w:val="26"/>
          <w:szCs w:val="26"/>
        </w:rPr>
        <w:t xml:space="preserve"> </w:t>
      </w:r>
      <w:r w:rsidRPr="00FE5C4C">
        <w:rPr>
          <w:rFonts w:eastAsia="Calibri"/>
          <w:sz w:val="26"/>
          <w:szCs w:val="26"/>
        </w:rPr>
        <w:t>Exc. at 12 (citing 66 Pa. C.S. § 1329(g)).</w:t>
      </w:r>
    </w:p>
    <w:p w14:paraId="5B68D1E5" w14:textId="77777777" w:rsidR="008356CC" w:rsidRPr="00FE5C4C" w:rsidRDefault="008356CC" w:rsidP="00726637">
      <w:pPr>
        <w:widowControl/>
        <w:autoSpaceDE w:val="0"/>
        <w:autoSpaceDN w:val="0"/>
        <w:adjustRightInd w:val="0"/>
        <w:spacing w:line="360" w:lineRule="auto"/>
        <w:ind w:firstLine="1440"/>
        <w:rPr>
          <w:rFonts w:eastAsia="Calibri"/>
          <w:sz w:val="26"/>
          <w:szCs w:val="26"/>
        </w:rPr>
      </w:pPr>
    </w:p>
    <w:p w14:paraId="5F493540" w14:textId="77777777" w:rsidR="008356CC" w:rsidRPr="00FE5C4C" w:rsidRDefault="008356CC" w:rsidP="00726637">
      <w:pPr>
        <w:widowControl/>
        <w:autoSpaceDE w:val="0"/>
        <w:autoSpaceDN w:val="0"/>
        <w:adjustRightInd w:val="0"/>
        <w:spacing w:line="360" w:lineRule="auto"/>
        <w:ind w:firstLine="1440"/>
        <w:rPr>
          <w:rFonts w:eastAsia="Calibri"/>
          <w:sz w:val="26"/>
          <w:szCs w:val="26"/>
        </w:rPr>
      </w:pPr>
      <w:r w:rsidRPr="00FE5C4C">
        <w:rPr>
          <w:rFonts w:eastAsia="Calibri"/>
          <w:sz w:val="26"/>
          <w:szCs w:val="26"/>
        </w:rPr>
        <w:t>The OCA avers that the two UVEs, who both must comply with the USPAP and employ the Cost, Market, and Income Approaches, may recommend different fair market values establishes that the appraisal process is not simply a “formulaic” mathematical exercise.  OCA R.</w:t>
      </w:r>
      <w:r>
        <w:rPr>
          <w:rFonts w:eastAsia="Calibri"/>
          <w:sz w:val="26"/>
          <w:szCs w:val="26"/>
        </w:rPr>
        <w:t xml:space="preserve"> </w:t>
      </w:r>
      <w:r w:rsidRPr="00FE5C4C">
        <w:rPr>
          <w:rFonts w:eastAsia="Calibri"/>
          <w:sz w:val="26"/>
          <w:szCs w:val="26"/>
        </w:rPr>
        <w:t>Exc. at 12-13.</w:t>
      </w:r>
    </w:p>
    <w:p w14:paraId="3233A484" w14:textId="77777777" w:rsidR="008356CC" w:rsidRDefault="008356CC" w:rsidP="00726637">
      <w:pPr>
        <w:widowControl/>
        <w:autoSpaceDE w:val="0"/>
        <w:autoSpaceDN w:val="0"/>
        <w:adjustRightInd w:val="0"/>
        <w:spacing w:line="360" w:lineRule="auto"/>
        <w:ind w:firstLine="1440"/>
        <w:rPr>
          <w:rFonts w:eastAsia="Calibri"/>
          <w:sz w:val="26"/>
          <w:szCs w:val="26"/>
        </w:rPr>
      </w:pPr>
    </w:p>
    <w:p w14:paraId="023B22D7" w14:textId="77777777" w:rsidR="008356CC" w:rsidRPr="00FE5C4C" w:rsidRDefault="008356CC" w:rsidP="008356CC">
      <w:pPr>
        <w:widowControl/>
        <w:autoSpaceDE w:val="0"/>
        <w:autoSpaceDN w:val="0"/>
        <w:adjustRightInd w:val="0"/>
        <w:spacing w:line="360" w:lineRule="auto"/>
        <w:ind w:firstLine="1440"/>
        <w:rPr>
          <w:rFonts w:eastAsia="Calibri"/>
          <w:sz w:val="26"/>
          <w:szCs w:val="26"/>
        </w:rPr>
      </w:pPr>
      <w:r w:rsidRPr="00FE5C4C">
        <w:rPr>
          <w:rFonts w:eastAsia="Calibri"/>
          <w:sz w:val="26"/>
          <w:szCs w:val="26"/>
        </w:rPr>
        <w:t xml:space="preserve">According to the OCA, the UVEs are required to make judgments in each type of analysis and in how much weight is given to each approach.  The OCA reasons that the consumer interest can only be protected if the Commission may consider evidence regarding errors and unsupported adjustments in the UVE appraisals.  </w:t>
      </w:r>
      <w:r w:rsidRPr="00A6048C">
        <w:rPr>
          <w:rFonts w:eastAsia="Calibri"/>
          <w:i/>
          <w:iCs/>
          <w:sz w:val="26"/>
          <w:szCs w:val="26"/>
        </w:rPr>
        <w:t>Id.</w:t>
      </w:r>
      <w:r>
        <w:rPr>
          <w:rFonts w:eastAsia="Calibri"/>
          <w:sz w:val="26"/>
          <w:szCs w:val="26"/>
        </w:rPr>
        <w:t xml:space="preserve"> </w:t>
      </w:r>
    </w:p>
    <w:p w14:paraId="31B43F23" w14:textId="77777777" w:rsidR="008356CC" w:rsidRPr="00FE5C4C" w:rsidRDefault="008356CC" w:rsidP="008356CC">
      <w:pPr>
        <w:widowControl/>
        <w:autoSpaceDE w:val="0"/>
        <w:autoSpaceDN w:val="0"/>
        <w:adjustRightInd w:val="0"/>
        <w:spacing w:line="360" w:lineRule="auto"/>
        <w:ind w:firstLine="1440"/>
        <w:rPr>
          <w:rFonts w:eastAsia="Calibri"/>
          <w:sz w:val="26"/>
          <w:szCs w:val="26"/>
        </w:rPr>
      </w:pPr>
    </w:p>
    <w:p w14:paraId="6AE701EC" w14:textId="77777777" w:rsidR="008356CC" w:rsidRPr="00FE5C4C" w:rsidRDefault="008356CC" w:rsidP="008356CC">
      <w:pPr>
        <w:widowControl/>
        <w:autoSpaceDE w:val="0"/>
        <w:autoSpaceDN w:val="0"/>
        <w:adjustRightInd w:val="0"/>
        <w:spacing w:line="360" w:lineRule="auto"/>
        <w:ind w:firstLine="1440"/>
        <w:rPr>
          <w:rFonts w:eastAsia="Calibri"/>
          <w:sz w:val="26"/>
          <w:szCs w:val="26"/>
        </w:rPr>
      </w:pPr>
      <w:r w:rsidRPr="00FE5C4C">
        <w:rPr>
          <w:rFonts w:eastAsia="Calibri"/>
          <w:sz w:val="26"/>
          <w:szCs w:val="26"/>
        </w:rPr>
        <w:t xml:space="preserve">The OCA notes that the Commission has previously ruled on Aqua’s argument on whether compliance with the USPAP </w:t>
      </w:r>
      <w:proofErr w:type="gramStart"/>
      <w:r w:rsidRPr="00FE5C4C">
        <w:rPr>
          <w:rFonts w:eastAsia="Calibri"/>
          <w:sz w:val="26"/>
          <w:szCs w:val="26"/>
        </w:rPr>
        <w:t>is the sole standard of review for the ratemaking rate base valuation in a Section 1329 Application</w:t>
      </w:r>
      <w:proofErr w:type="gramEnd"/>
      <w:r w:rsidRPr="00FE5C4C">
        <w:rPr>
          <w:rFonts w:eastAsia="Calibri"/>
          <w:sz w:val="26"/>
          <w:szCs w:val="26"/>
        </w:rPr>
        <w:t>.  OCA Exc. at 13 (</w:t>
      </w:r>
      <w:r w:rsidRPr="0096691B">
        <w:rPr>
          <w:rFonts w:eastAsia="Calibri"/>
          <w:sz w:val="26"/>
          <w:szCs w:val="26"/>
        </w:rPr>
        <w:t>citing</w:t>
      </w:r>
      <w:r w:rsidRPr="00FE5C4C">
        <w:rPr>
          <w:rFonts w:eastAsia="Calibri"/>
          <w:sz w:val="26"/>
          <w:szCs w:val="26"/>
        </w:rPr>
        <w:t xml:space="preserve"> </w:t>
      </w:r>
      <w:r w:rsidRPr="00FE5C4C">
        <w:rPr>
          <w:rFonts w:eastAsia="Calibri"/>
          <w:i/>
          <w:iCs/>
          <w:sz w:val="26"/>
          <w:szCs w:val="26"/>
        </w:rPr>
        <w:t>Cheltenham</w:t>
      </w:r>
      <w:r w:rsidRPr="00FE5C4C">
        <w:rPr>
          <w:rFonts w:eastAsia="Calibri"/>
          <w:sz w:val="26"/>
          <w:szCs w:val="26"/>
        </w:rPr>
        <w:t xml:space="preserve"> at 34-40).  According to the OCA, the Commission previously viewed Aqua’s argument as an “attempt to unreasonably tie the Commission’s hands to an unreasonably narrow standard by which the Commission can review a UVE’s valuation of utility property for determining the ratemaking rate base – that is, whether a UVE’s valuation of utility property is compliant with USPAP.”  OCA R.</w:t>
      </w:r>
      <w:r>
        <w:rPr>
          <w:rFonts w:eastAsia="Calibri"/>
          <w:sz w:val="26"/>
          <w:szCs w:val="26"/>
        </w:rPr>
        <w:t xml:space="preserve"> </w:t>
      </w:r>
      <w:r w:rsidRPr="00FE5C4C">
        <w:rPr>
          <w:rFonts w:eastAsia="Calibri"/>
          <w:sz w:val="26"/>
          <w:szCs w:val="26"/>
        </w:rPr>
        <w:t>Exc. at 13 (</w:t>
      </w:r>
      <w:r w:rsidRPr="00610E57">
        <w:rPr>
          <w:rFonts w:eastAsia="Calibri"/>
          <w:sz w:val="26"/>
          <w:szCs w:val="26"/>
        </w:rPr>
        <w:t>citing</w:t>
      </w:r>
      <w:r w:rsidRPr="00507B37">
        <w:rPr>
          <w:rFonts w:eastAsia="Calibri"/>
          <w:i/>
          <w:iCs/>
          <w:sz w:val="26"/>
          <w:szCs w:val="26"/>
        </w:rPr>
        <w:t xml:space="preserve"> Cheltenham </w:t>
      </w:r>
      <w:r w:rsidRPr="00FE5C4C">
        <w:rPr>
          <w:rFonts w:eastAsia="Calibri"/>
          <w:sz w:val="26"/>
          <w:szCs w:val="26"/>
        </w:rPr>
        <w:t xml:space="preserve">at 36-37).  The OCA provides that the Commission further stated that Aqua’s position represents a very narrow construction of Section 1329 that would support the proposition that Section 1301’s mandate for just and reasonable rates be given </w:t>
      </w:r>
      <w:r w:rsidRPr="00FE5C4C">
        <w:rPr>
          <w:rFonts w:eastAsia="Calibri"/>
          <w:i/>
          <w:iCs/>
          <w:sz w:val="26"/>
          <w:szCs w:val="26"/>
        </w:rPr>
        <w:t>no effect</w:t>
      </w:r>
      <w:r w:rsidRPr="00FE5C4C">
        <w:rPr>
          <w:rFonts w:eastAsia="Calibri"/>
          <w:sz w:val="26"/>
          <w:szCs w:val="26"/>
        </w:rPr>
        <w:t xml:space="preserve">.  </w:t>
      </w:r>
      <w:r w:rsidRPr="00FE5C4C">
        <w:rPr>
          <w:rFonts w:eastAsia="Calibri"/>
          <w:i/>
          <w:iCs/>
          <w:sz w:val="26"/>
          <w:szCs w:val="26"/>
        </w:rPr>
        <w:t>Id.</w:t>
      </w:r>
      <w:r w:rsidRPr="00FE5C4C">
        <w:rPr>
          <w:rFonts w:eastAsia="Calibri"/>
          <w:sz w:val="26"/>
          <w:szCs w:val="26"/>
        </w:rPr>
        <w:t xml:space="preserve">  The OCA states that the Commission concluded as follows:</w:t>
      </w:r>
    </w:p>
    <w:p w14:paraId="3B41B445" w14:textId="77777777" w:rsidR="008356CC" w:rsidRPr="00FE5C4C" w:rsidRDefault="008356CC" w:rsidP="00967CCA">
      <w:pPr>
        <w:widowControl/>
        <w:autoSpaceDE w:val="0"/>
        <w:autoSpaceDN w:val="0"/>
        <w:adjustRightInd w:val="0"/>
        <w:rPr>
          <w:rFonts w:eastAsia="Calibri"/>
          <w:sz w:val="26"/>
          <w:szCs w:val="26"/>
        </w:rPr>
      </w:pPr>
    </w:p>
    <w:p w14:paraId="62AD8684" w14:textId="77777777" w:rsidR="008356CC" w:rsidRPr="00FE5C4C" w:rsidRDefault="008356CC" w:rsidP="008356CC">
      <w:pPr>
        <w:widowControl/>
        <w:autoSpaceDE w:val="0"/>
        <w:autoSpaceDN w:val="0"/>
        <w:adjustRightInd w:val="0"/>
        <w:ind w:left="1440" w:right="1440"/>
        <w:rPr>
          <w:rFonts w:eastAsia="Calibri"/>
          <w:sz w:val="26"/>
          <w:szCs w:val="26"/>
        </w:rPr>
      </w:pPr>
      <w:r w:rsidRPr="00FE5C4C">
        <w:rPr>
          <w:rFonts w:eastAsia="Calibri"/>
          <w:sz w:val="26"/>
          <w:szCs w:val="26"/>
        </w:rPr>
        <w:t>Therefore, we agree with the OCA and the ALJ that the statutory appraisal process is not simply a formulaic mathematical exercise, nor is the Commission acting as</w:t>
      </w:r>
    </w:p>
    <w:p w14:paraId="360E72C9" w14:textId="77777777" w:rsidR="008356CC" w:rsidRPr="00FE5C4C" w:rsidRDefault="008356CC" w:rsidP="008356CC">
      <w:pPr>
        <w:widowControl/>
        <w:autoSpaceDE w:val="0"/>
        <w:autoSpaceDN w:val="0"/>
        <w:adjustRightInd w:val="0"/>
        <w:ind w:left="1440" w:right="1440"/>
        <w:rPr>
          <w:rFonts w:eastAsia="Calibri"/>
          <w:sz w:val="26"/>
          <w:szCs w:val="26"/>
        </w:rPr>
      </w:pPr>
      <w:r w:rsidRPr="00FE5C4C">
        <w:rPr>
          <w:rFonts w:eastAsia="Calibri"/>
          <w:sz w:val="26"/>
          <w:szCs w:val="26"/>
        </w:rPr>
        <w:t>some type of USPAP-compliance board.</w:t>
      </w:r>
      <w:r>
        <w:rPr>
          <w:rFonts w:eastAsia="Calibri"/>
          <w:sz w:val="26"/>
          <w:szCs w:val="26"/>
        </w:rPr>
        <w:t xml:space="preserve">  </w:t>
      </w:r>
      <w:r w:rsidRPr="00FE5C4C">
        <w:rPr>
          <w:rFonts w:eastAsia="Calibri"/>
          <w:sz w:val="26"/>
          <w:szCs w:val="26"/>
        </w:rPr>
        <w:t xml:space="preserve">We agree that review of the appraisals provided by </w:t>
      </w:r>
      <w:proofErr w:type="gramStart"/>
      <w:r w:rsidRPr="00FE5C4C">
        <w:rPr>
          <w:rFonts w:eastAsia="Calibri"/>
          <w:sz w:val="26"/>
          <w:szCs w:val="26"/>
        </w:rPr>
        <w:t>Aqua</w:t>
      </w:r>
      <w:proofErr w:type="gramEnd"/>
      <w:r w:rsidRPr="00FE5C4C">
        <w:rPr>
          <w:rFonts w:eastAsia="Calibri"/>
          <w:sz w:val="26"/>
          <w:szCs w:val="26"/>
        </w:rPr>
        <w:t xml:space="preserve"> and Cheltenham UVEs shows that there are judgments made in each type of analysis as well as in how much weight is to be given to each approach. </w:t>
      </w:r>
      <w:r>
        <w:rPr>
          <w:rFonts w:eastAsia="Calibri"/>
          <w:sz w:val="26"/>
          <w:szCs w:val="26"/>
        </w:rPr>
        <w:t xml:space="preserve"> </w:t>
      </w:r>
      <w:r w:rsidRPr="00FE5C4C">
        <w:rPr>
          <w:rFonts w:eastAsia="Calibri"/>
          <w:sz w:val="26"/>
          <w:szCs w:val="26"/>
        </w:rPr>
        <w:t>We also agree that it would be inconsistent with the requirements of the Code and prior Commission orders to permit Aqua to simply present a rate base number,</w:t>
      </w:r>
    </w:p>
    <w:p w14:paraId="63565405" w14:textId="77777777" w:rsidR="008356CC" w:rsidRPr="00FE5C4C" w:rsidRDefault="008356CC" w:rsidP="008356CC">
      <w:pPr>
        <w:widowControl/>
        <w:autoSpaceDE w:val="0"/>
        <w:autoSpaceDN w:val="0"/>
        <w:adjustRightInd w:val="0"/>
        <w:ind w:left="1440" w:right="1440"/>
        <w:rPr>
          <w:rFonts w:eastAsia="Calibri"/>
          <w:sz w:val="26"/>
          <w:szCs w:val="26"/>
        </w:rPr>
      </w:pPr>
      <w:r w:rsidRPr="00FE5C4C">
        <w:rPr>
          <w:rFonts w:eastAsia="Calibri"/>
          <w:sz w:val="26"/>
          <w:szCs w:val="26"/>
        </w:rPr>
        <w:t xml:space="preserve">show that the appraisers chose numbers to fill in all the blanks in the formulas and based solely upon the judgments of the UVEs, and to not permit any review or challenges of those inputs, </w:t>
      </w:r>
      <w:proofErr w:type="gramStart"/>
      <w:r w:rsidRPr="00FE5C4C">
        <w:rPr>
          <w:rFonts w:eastAsia="Calibri"/>
          <w:sz w:val="26"/>
          <w:szCs w:val="26"/>
        </w:rPr>
        <w:t>methods</w:t>
      </w:r>
      <w:proofErr w:type="gramEnd"/>
      <w:r w:rsidRPr="00FE5C4C">
        <w:rPr>
          <w:rFonts w:eastAsia="Calibri"/>
          <w:sz w:val="26"/>
          <w:szCs w:val="26"/>
        </w:rPr>
        <w:t xml:space="preserve"> or judgments.</w:t>
      </w:r>
    </w:p>
    <w:p w14:paraId="01E23D34" w14:textId="77777777" w:rsidR="008356CC" w:rsidRPr="00FE5C4C" w:rsidRDefault="008356CC" w:rsidP="008356CC">
      <w:pPr>
        <w:widowControl/>
        <w:autoSpaceDE w:val="0"/>
        <w:autoSpaceDN w:val="0"/>
        <w:adjustRightInd w:val="0"/>
        <w:spacing w:line="360" w:lineRule="auto"/>
        <w:rPr>
          <w:rFonts w:eastAsia="Calibri"/>
          <w:sz w:val="26"/>
          <w:szCs w:val="26"/>
        </w:rPr>
      </w:pPr>
    </w:p>
    <w:p w14:paraId="5F52B141" w14:textId="74F8DE49" w:rsidR="008356CC" w:rsidRPr="00FE5C4C" w:rsidRDefault="008356CC" w:rsidP="008356CC">
      <w:pPr>
        <w:widowControl/>
        <w:autoSpaceDE w:val="0"/>
        <w:autoSpaceDN w:val="0"/>
        <w:adjustRightInd w:val="0"/>
        <w:spacing w:line="360" w:lineRule="auto"/>
        <w:rPr>
          <w:rFonts w:eastAsia="Calibri"/>
          <w:sz w:val="26"/>
          <w:szCs w:val="26"/>
        </w:rPr>
      </w:pPr>
      <w:r w:rsidRPr="00FE5C4C">
        <w:rPr>
          <w:rFonts w:eastAsia="Calibri"/>
          <w:sz w:val="26"/>
          <w:szCs w:val="26"/>
        </w:rPr>
        <w:t>OCA R.</w:t>
      </w:r>
      <w:r>
        <w:rPr>
          <w:rFonts w:eastAsia="Calibri"/>
          <w:sz w:val="26"/>
          <w:szCs w:val="26"/>
        </w:rPr>
        <w:t xml:space="preserve"> </w:t>
      </w:r>
      <w:r w:rsidRPr="00FE5C4C">
        <w:rPr>
          <w:rFonts w:eastAsia="Calibri"/>
          <w:sz w:val="26"/>
          <w:szCs w:val="26"/>
        </w:rPr>
        <w:t>Exc. at 13 (</w:t>
      </w:r>
      <w:r w:rsidRPr="0012554F">
        <w:rPr>
          <w:rFonts w:eastAsia="Calibri"/>
          <w:sz w:val="26"/>
          <w:szCs w:val="26"/>
        </w:rPr>
        <w:t>citing</w:t>
      </w:r>
      <w:r w:rsidRPr="00FE5C4C">
        <w:rPr>
          <w:rFonts w:eastAsia="Calibri"/>
          <w:sz w:val="26"/>
          <w:szCs w:val="26"/>
        </w:rPr>
        <w:t xml:space="preserve"> </w:t>
      </w:r>
      <w:r w:rsidRPr="00FE5C4C">
        <w:rPr>
          <w:rFonts w:eastAsia="Calibri"/>
          <w:i/>
          <w:iCs/>
          <w:sz w:val="26"/>
          <w:szCs w:val="26"/>
        </w:rPr>
        <w:t>Cheltenham</w:t>
      </w:r>
      <w:r w:rsidRPr="00FE5C4C">
        <w:rPr>
          <w:rFonts w:eastAsia="Calibri"/>
          <w:sz w:val="26"/>
          <w:szCs w:val="26"/>
        </w:rPr>
        <w:t xml:space="preserve"> at 40, </w:t>
      </w:r>
      <w:r w:rsidRPr="003E6D6B">
        <w:rPr>
          <w:rFonts w:eastAsia="Calibri"/>
          <w:i/>
          <w:iCs/>
          <w:sz w:val="26"/>
          <w:szCs w:val="26"/>
        </w:rPr>
        <w:t>see also</w:t>
      </w:r>
      <w:r w:rsidRPr="00FE5C4C">
        <w:rPr>
          <w:rFonts w:eastAsia="Calibri"/>
          <w:sz w:val="26"/>
          <w:szCs w:val="26"/>
        </w:rPr>
        <w:t xml:space="preserve"> the full discussion at </w:t>
      </w:r>
      <w:r w:rsidRPr="00507B37">
        <w:rPr>
          <w:rFonts w:eastAsia="Calibri"/>
          <w:i/>
          <w:iCs/>
          <w:sz w:val="26"/>
          <w:szCs w:val="26"/>
        </w:rPr>
        <w:t>Cheltenham</w:t>
      </w:r>
      <w:r w:rsidRPr="00FE5C4C">
        <w:rPr>
          <w:rFonts w:eastAsia="Calibri"/>
          <w:sz w:val="26"/>
          <w:szCs w:val="26"/>
        </w:rPr>
        <w:t xml:space="preserve"> at</w:t>
      </w:r>
      <w:r w:rsidR="00967CCA">
        <w:rPr>
          <w:rFonts w:eastAsia="Calibri"/>
          <w:sz w:val="26"/>
          <w:szCs w:val="26"/>
        </w:rPr>
        <w:t> </w:t>
      </w:r>
      <w:r w:rsidRPr="00FE5C4C">
        <w:rPr>
          <w:rFonts w:eastAsia="Calibri"/>
          <w:sz w:val="26"/>
          <w:szCs w:val="26"/>
        </w:rPr>
        <w:t xml:space="preserve">36-40).  </w:t>
      </w:r>
    </w:p>
    <w:p w14:paraId="026701C1" w14:textId="77777777" w:rsidR="008356CC" w:rsidRPr="00FE5C4C" w:rsidRDefault="008356CC" w:rsidP="008356CC">
      <w:pPr>
        <w:widowControl/>
        <w:autoSpaceDE w:val="0"/>
        <w:autoSpaceDN w:val="0"/>
        <w:adjustRightInd w:val="0"/>
        <w:spacing w:line="360" w:lineRule="auto"/>
        <w:rPr>
          <w:rFonts w:eastAsia="Calibri"/>
          <w:sz w:val="26"/>
          <w:szCs w:val="26"/>
        </w:rPr>
      </w:pPr>
      <w:r w:rsidRPr="00FE5C4C">
        <w:rPr>
          <w:rFonts w:eastAsia="Calibri"/>
          <w:sz w:val="26"/>
          <w:szCs w:val="26"/>
        </w:rPr>
        <w:t xml:space="preserve"> </w:t>
      </w:r>
    </w:p>
    <w:p w14:paraId="44BB0C40" w14:textId="77777777" w:rsidR="008356CC" w:rsidRPr="00FE5C4C" w:rsidRDefault="008356CC" w:rsidP="008356CC">
      <w:pPr>
        <w:widowControl/>
        <w:autoSpaceDE w:val="0"/>
        <w:autoSpaceDN w:val="0"/>
        <w:adjustRightInd w:val="0"/>
        <w:spacing w:line="360" w:lineRule="auto"/>
        <w:ind w:firstLine="1440"/>
        <w:rPr>
          <w:rFonts w:eastAsia="Calibri"/>
          <w:sz w:val="26"/>
          <w:szCs w:val="26"/>
        </w:rPr>
      </w:pPr>
      <w:r w:rsidRPr="00FE5C4C">
        <w:rPr>
          <w:rFonts w:eastAsia="Calibri"/>
          <w:sz w:val="26"/>
          <w:szCs w:val="26"/>
        </w:rPr>
        <w:t xml:space="preserve">Further, the OCA argues, in </w:t>
      </w:r>
      <w:r w:rsidRPr="00FE5C4C">
        <w:rPr>
          <w:rFonts w:eastAsia="Calibri"/>
          <w:i/>
          <w:iCs/>
          <w:sz w:val="26"/>
          <w:szCs w:val="26"/>
        </w:rPr>
        <w:t>Limerick</w:t>
      </w:r>
      <w:r w:rsidRPr="00FE5C4C">
        <w:rPr>
          <w:rFonts w:eastAsia="Calibri"/>
          <w:i/>
          <w:iCs/>
          <w:sz w:val="26"/>
          <w:szCs w:val="26"/>
          <w:vertAlign w:val="superscript"/>
        </w:rPr>
        <w:footnoteReference w:id="34"/>
      </w:r>
      <w:r w:rsidRPr="00FE5C4C">
        <w:rPr>
          <w:rFonts w:eastAsia="Calibri"/>
          <w:sz w:val="26"/>
          <w:szCs w:val="26"/>
        </w:rPr>
        <w:t>, the Commission was clear that the USPAP is not the controlling text for Section 1329 valuations involving regulated utilities.  OCA R.</w:t>
      </w:r>
      <w:r>
        <w:rPr>
          <w:rFonts w:eastAsia="Calibri"/>
          <w:sz w:val="26"/>
          <w:szCs w:val="26"/>
        </w:rPr>
        <w:t xml:space="preserve"> </w:t>
      </w:r>
      <w:r w:rsidRPr="00FE5C4C">
        <w:rPr>
          <w:rFonts w:eastAsia="Calibri"/>
          <w:sz w:val="26"/>
          <w:szCs w:val="26"/>
        </w:rPr>
        <w:t xml:space="preserve">Exc. at 12-13.  </w:t>
      </w:r>
    </w:p>
    <w:p w14:paraId="56D1C380" w14:textId="77777777" w:rsidR="008356CC" w:rsidRPr="00FE5C4C" w:rsidRDefault="008356CC" w:rsidP="008356CC">
      <w:pPr>
        <w:widowControl/>
        <w:autoSpaceDE w:val="0"/>
        <w:autoSpaceDN w:val="0"/>
        <w:adjustRightInd w:val="0"/>
        <w:spacing w:line="360" w:lineRule="auto"/>
        <w:rPr>
          <w:rFonts w:eastAsia="Calibri"/>
          <w:sz w:val="26"/>
          <w:szCs w:val="26"/>
        </w:rPr>
      </w:pPr>
      <w:r w:rsidRPr="00FE5C4C">
        <w:rPr>
          <w:rFonts w:eastAsia="Calibri"/>
          <w:sz w:val="26"/>
          <w:szCs w:val="26"/>
        </w:rPr>
        <w:t xml:space="preserve"> </w:t>
      </w:r>
    </w:p>
    <w:p w14:paraId="4845E495" w14:textId="77777777" w:rsidR="008356CC" w:rsidRDefault="008356CC" w:rsidP="008356CC">
      <w:pPr>
        <w:widowControl/>
        <w:spacing w:line="360" w:lineRule="auto"/>
        <w:ind w:firstLine="1440"/>
        <w:rPr>
          <w:rFonts w:eastAsia="Calibri"/>
          <w:sz w:val="26"/>
          <w:szCs w:val="26"/>
        </w:rPr>
      </w:pPr>
      <w:r w:rsidRPr="00FE5C4C">
        <w:rPr>
          <w:rFonts w:eastAsia="Calibri"/>
          <w:sz w:val="26"/>
          <w:szCs w:val="26"/>
        </w:rPr>
        <w:t xml:space="preserve">The OCA argues that non-UVEs are permitted to recommend adjustments as there is no prohibition on the ability of the parties to recommend adjustments </w:t>
      </w:r>
      <w:proofErr w:type="gramStart"/>
      <w:r w:rsidRPr="00FE5C4C">
        <w:rPr>
          <w:rFonts w:eastAsia="Calibri"/>
          <w:sz w:val="26"/>
          <w:szCs w:val="26"/>
        </w:rPr>
        <w:t>in order to</w:t>
      </w:r>
      <w:proofErr w:type="gramEnd"/>
      <w:r w:rsidRPr="00FE5C4C">
        <w:rPr>
          <w:rFonts w:eastAsia="Calibri"/>
          <w:sz w:val="26"/>
          <w:szCs w:val="26"/>
        </w:rPr>
        <w:t xml:space="preserve"> ensure that proposed transactions under Section 1329 comply with Pennsylvania law and result in just and reasonable rates.</w:t>
      </w:r>
      <w:r>
        <w:rPr>
          <w:rFonts w:eastAsia="Calibri"/>
          <w:sz w:val="26"/>
          <w:szCs w:val="26"/>
        </w:rPr>
        <w:t xml:space="preserve">  </w:t>
      </w:r>
      <w:r w:rsidRPr="00FE5C4C">
        <w:rPr>
          <w:rFonts w:eastAsia="Calibri"/>
          <w:sz w:val="26"/>
          <w:szCs w:val="26"/>
        </w:rPr>
        <w:t>The OCA avers that Mr. Smith is highly qualified to review the appraisals and present his critiques.   OCA R.</w:t>
      </w:r>
      <w:r>
        <w:rPr>
          <w:rFonts w:eastAsia="Calibri"/>
          <w:sz w:val="26"/>
          <w:szCs w:val="26"/>
        </w:rPr>
        <w:t xml:space="preserve"> </w:t>
      </w:r>
      <w:r w:rsidRPr="00FE5C4C">
        <w:rPr>
          <w:rFonts w:eastAsia="Calibri"/>
          <w:sz w:val="26"/>
          <w:szCs w:val="26"/>
        </w:rPr>
        <w:t>Exc. at 14.</w:t>
      </w:r>
    </w:p>
    <w:p w14:paraId="509E6B57" w14:textId="77777777" w:rsidR="00507B37" w:rsidRDefault="00507B37" w:rsidP="00507B37">
      <w:pPr>
        <w:widowControl/>
        <w:spacing w:line="360" w:lineRule="auto"/>
        <w:ind w:firstLine="1440"/>
        <w:rPr>
          <w:sz w:val="26"/>
          <w:szCs w:val="26"/>
        </w:rPr>
      </w:pPr>
    </w:p>
    <w:p w14:paraId="1669D75F" w14:textId="446FA0AC" w:rsidR="0033660A" w:rsidRDefault="0033660A" w:rsidP="0033660A">
      <w:pPr>
        <w:pStyle w:val="Heading4"/>
      </w:pPr>
      <w:bookmarkStart w:id="85" w:name="_Toc90970744"/>
      <w:r>
        <w:t>Disposition</w:t>
      </w:r>
      <w:bookmarkEnd w:id="85"/>
    </w:p>
    <w:p w14:paraId="1CD6B4B8" w14:textId="710F512D" w:rsidR="0033660A" w:rsidRDefault="0033660A" w:rsidP="002E7C16">
      <w:pPr>
        <w:widowControl/>
        <w:spacing w:line="360" w:lineRule="auto"/>
        <w:rPr>
          <w:sz w:val="26"/>
          <w:szCs w:val="26"/>
        </w:rPr>
      </w:pPr>
    </w:p>
    <w:p w14:paraId="2A2F3CA7" w14:textId="77777777" w:rsidR="00466C8F" w:rsidRDefault="00466C8F" w:rsidP="00466C8F">
      <w:pPr>
        <w:pStyle w:val="ListParagraph"/>
        <w:spacing w:line="360" w:lineRule="auto"/>
        <w:ind w:left="0" w:firstLine="1440"/>
        <w:contextualSpacing w:val="0"/>
        <w:rPr>
          <w:sz w:val="26"/>
          <w:szCs w:val="26"/>
        </w:rPr>
      </w:pPr>
      <w:bookmarkStart w:id="86" w:name="_Hlk90555776"/>
      <w:r w:rsidRPr="00D71D12">
        <w:rPr>
          <w:sz w:val="26"/>
          <w:szCs w:val="26"/>
        </w:rPr>
        <w:t xml:space="preserve">We disagree with Aqua’s argument regarding </w:t>
      </w:r>
      <w:r w:rsidRPr="009B5BB4">
        <w:rPr>
          <w:i/>
          <w:iCs/>
          <w:sz w:val="26"/>
          <w:szCs w:val="26"/>
        </w:rPr>
        <w:t>New Garden</w:t>
      </w:r>
      <w:r w:rsidRPr="00D71D12">
        <w:rPr>
          <w:sz w:val="26"/>
          <w:szCs w:val="26"/>
        </w:rPr>
        <w:t>, that the Commission</w:t>
      </w:r>
      <w:r>
        <w:rPr>
          <w:sz w:val="26"/>
          <w:szCs w:val="26"/>
        </w:rPr>
        <w:t>’</w:t>
      </w:r>
      <w:r w:rsidRPr="00D71D12">
        <w:rPr>
          <w:sz w:val="26"/>
          <w:szCs w:val="26"/>
        </w:rPr>
        <w:t>s review is constrained to compliance with USPAP</w:t>
      </w:r>
      <w:bookmarkEnd w:id="86"/>
      <w:r w:rsidRPr="00D71D12">
        <w:rPr>
          <w:sz w:val="26"/>
          <w:szCs w:val="26"/>
        </w:rPr>
        <w:t xml:space="preserve">.  </w:t>
      </w:r>
      <w:r>
        <w:rPr>
          <w:sz w:val="26"/>
          <w:szCs w:val="26"/>
        </w:rPr>
        <w:t xml:space="preserve">While Aqua cited to </w:t>
      </w:r>
      <w:r w:rsidRPr="00E974F0">
        <w:rPr>
          <w:i/>
          <w:iCs/>
          <w:sz w:val="26"/>
          <w:szCs w:val="26"/>
        </w:rPr>
        <w:t>New Garden</w:t>
      </w:r>
      <w:r>
        <w:rPr>
          <w:rStyle w:val="FootnoteReference"/>
          <w:i/>
          <w:iCs/>
          <w:sz w:val="26"/>
          <w:szCs w:val="26"/>
        </w:rPr>
        <w:footnoteReference w:id="35"/>
      </w:r>
      <w:r>
        <w:rPr>
          <w:i/>
          <w:iCs/>
          <w:sz w:val="26"/>
          <w:szCs w:val="26"/>
        </w:rPr>
        <w:t xml:space="preserve"> </w:t>
      </w:r>
      <w:r w:rsidRPr="00EE6652">
        <w:rPr>
          <w:sz w:val="26"/>
          <w:szCs w:val="26"/>
        </w:rPr>
        <w:t>as reason to disagree with the Recommended Decision and the adjustment of the Appraisals on a basis other than the USPAP</w:t>
      </w:r>
      <w:r>
        <w:rPr>
          <w:sz w:val="26"/>
          <w:szCs w:val="26"/>
        </w:rPr>
        <w:t xml:space="preserve">, the very next paragraphs in </w:t>
      </w:r>
      <w:r w:rsidRPr="00EE6652">
        <w:rPr>
          <w:i/>
          <w:iCs/>
          <w:sz w:val="26"/>
          <w:szCs w:val="26"/>
        </w:rPr>
        <w:t>New Garden</w:t>
      </w:r>
      <w:r>
        <w:rPr>
          <w:sz w:val="26"/>
          <w:szCs w:val="26"/>
        </w:rPr>
        <w:t xml:space="preserve"> explain that the Commission in </w:t>
      </w:r>
      <w:r w:rsidRPr="00E974F0">
        <w:rPr>
          <w:i/>
          <w:iCs/>
          <w:sz w:val="26"/>
          <w:szCs w:val="26"/>
        </w:rPr>
        <w:t>New Garden</w:t>
      </w:r>
      <w:r>
        <w:rPr>
          <w:sz w:val="26"/>
          <w:szCs w:val="26"/>
        </w:rPr>
        <w:t xml:space="preserve"> is not recommending that the Commission’s review focus only on the USPAP compliance as follows:</w:t>
      </w:r>
    </w:p>
    <w:p w14:paraId="7136993F" w14:textId="77777777" w:rsidR="00466C8F" w:rsidRDefault="00466C8F" w:rsidP="00967CCA">
      <w:pPr>
        <w:pStyle w:val="ListParagraph"/>
        <w:ind w:left="0" w:firstLine="1440"/>
        <w:contextualSpacing w:val="0"/>
        <w:rPr>
          <w:sz w:val="26"/>
          <w:szCs w:val="26"/>
        </w:rPr>
      </w:pPr>
    </w:p>
    <w:p w14:paraId="56A20A22" w14:textId="3A534ACF" w:rsidR="00466C8F" w:rsidRPr="00EE6652" w:rsidRDefault="00466C8F" w:rsidP="00466C8F">
      <w:pPr>
        <w:pStyle w:val="ListParagraph"/>
        <w:ind w:left="1440" w:right="1440"/>
        <w:contextualSpacing w:val="0"/>
        <w:rPr>
          <w:sz w:val="26"/>
          <w:szCs w:val="26"/>
        </w:rPr>
      </w:pPr>
      <w:r w:rsidRPr="00EE6652">
        <w:rPr>
          <w:sz w:val="26"/>
          <w:szCs w:val="26"/>
        </w:rPr>
        <w:t xml:space="preserve">There is no language in Section 1329 abrogating or repealing the Commission’s authority under Section 505 to conduct an inquiry into the value of the assets that Aqua seeks to acquire. </w:t>
      </w:r>
      <w:r>
        <w:rPr>
          <w:sz w:val="26"/>
          <w:szCs w:val="26"/>
        </w:rPr>
        <w:t xml:space="preserve"> </w:t>
      </w:r>
      <w:r w:rsidRPr="00EE6652">
        <w:rPr>
          <w:sz w:val="26"/>
          <w:szCs w:val="26"/>
        </w:rPr>
        <w:t>Likewise, because the Application proceeding includes the determination of whether a Certificate should be granted, the Commission retains the authority under Section 1103(b) to “make such inquiries, physical examinations, valuations, and investigations, and may require such plans, specifications, and estimates of cost, as it may deem necessary or proper in enabling it to reach a finding or determination.”  66 Pa. C.S. §</w:t>
      </w:r>
      <w:r w:rsidR="00967CCA">
        <w:rPr>
          <w:sz w:val="26"/>
          <w:szCs w:val="26"/>
        </w:rPr>
        <w:t> </w:t>
      </w:r>
      <w:r w:rsidRPr="00EE6652">
        <w:rPr>
          <w:sz w:val="26"/>
          <w:szCs w:val="26"/>
        </w:rPr>
        <w:t>1103(b).  Section 1329 does not contain language invalidating the General Assembly’s delegation of investigatory authority to the Commission under Section</w:t>
      </w:r>
      <w:r w:rsidR="00726637">
        <w:rPr>
          <w:sz w:val="26"/>
          <w:szCs w:val="26"/>
        </w:rPr>
        <w:t> </w:t>
      </w:r>
      <w:r w:rsidRPr="00EE6652">
        <w:rPr>
          <w:sz w:val="26"/>
          <w:szCs w:val="26"/>
        </w:rPr>
        <w:t xml:space="preserve">1103.  </w:t>
      </w:r>
    </w:p>
    <w:p w14:paraId="216BAB1F" w14:textId="77777777" w:rsidR="00466C8F" w:rsidRPr="00EE6652" w:rsidRDefault="00466C8F" w:rsidP="00466C8F">
      <w:pPr>
        <w:pStyle w:val="ListParagraph"/>
        <w:ind w:left="1440" w:right="1440"/>
        <w:contextualSpacing w:val="0"/>
        <w:rPr>
          <w:sz w:val="26"/>
          <w:szCs w:val="26"/>
        </w:rPr>
      </w:pPr>
    </w:p>
    <w:p w14:paraId="3A9085E6" w14:textId="0BE48F57" w:rsidR="00466C8F" w:rsidRPr="00EE6652" w:rsidRDefault="00466C8F" w:rsidP="00466C8F">
      <w:pPr>
        <w:pStyle w:val="ListParagraph"/>
        <w:ind w:left="1440" w:right="1440"/>
        <w:contextualSpacing w:val="0"/>
        <w:rPr>
          <w:sz w:val="26"/>
          <w:szCs w:val="26"/>
        </w:rPr>
      </w:pPr>
      <w:r w:rsidRPr="00EE6652">
        <w:rPr>
          <w:sz w:val="26"/>
          <w:szCs w:val="26"/>
        </w:rPr>
        <w:t xml:space="preserve">We agree with I&amp;E that Section 1329, despite being a later enacted statute, is reconcilable with Sections 505 and 1103(b).  Thus, consistent with 1 Pa. C.S. § 1971(c), we do not believe the General Assembly intended to repeal the earlier enacted provisions under Sections 505 and 1103(b) of the Code.  </w:t>
      </w:r>
      <w:r w:rsidRPr="00EE6652">
        <w:rPr>
          <w:i/>
          <w:sz w:val="26"/>
          <w:szCs w:val="26"/>
        </w:rPr>
        <w:t>See also</w:t>
      </w:r>
      <w:r w:rsidRPr="00EE6652">
        <w:rPr>
          <w:sz w:val="26"/>
          <w:szCs w:val="26"/>
        </w:rPr>
        <w:t xml:space="preserve">, </w:t>
      </w:r>
      <w:r w:rsidRPr="00EE6652">
        <w:rPr>
          <w:i/>
          <w:sz w:val="26"/>
          <w:szCs w:val="26"/>
        </w:rPr>
        <w:t xml:space="preserve">Royal </w:t>
      </w:r>
      <w:proofErr w:type="spellStart"/>
      <w:r w:rsidRPr="00EE6652">
        <w:rPr>
          <w:i/>
          <w:sz w:val="26"/>
          <w:szCs w:val="26"/>
        </w:rPr>
        <w:t>Indem</w:t>
      </w:r>
      <w:proofErr w:type="spellEnd"/>
      <w:r w:rsidRPr="00EE6652">
        <w:rPr>
          <w:i/>
          <w:sz w:val="26"/>
          <w:szCs w:val="26"/>
        </w:rPr>
        <w:t>. Co. v. Adams</w:t>
      </w:r>
      <w:r w:rsidRPr="00EE6652">
        <w:rPr>
          <w:sz w:val="26"/>
          <w:szCs w:val="26"/>
        </w:rPr>
        <w:t>, 455</w:t>
      </w:r>
      <w:r w:rsidR="00967CCA">
        <w:rPr>
          <w:sz w:val="26"/>
          <w:szCs w:val="26"/>
        </w:rPr>
        <w:t> </w:t>
      </w:r>
      <w:r w:rsidRPr="00EE6652">
        <w:rPr>
          <w:sz w:val="26"/>
          <w:szCs w:val="26"/>
        </w:rPr>
        <w:t>A.2d</w:t>
      </w:r>
      <w:r w:rsidR="00967CCA">
        <w:rPr>
          <w:sz w:val="26"/>
          <w:szCs w:val="26"/>
        </w:rPr>
        <w:t> </w:t>
      </w:r>
      <w:r w:rsidRPr="00EE6652">
        <w:rPr>
          <w:sz w:val="26"/>
          <w:szCs w:val="26"/>
        </w:rPr>
        <w:t>135, 141 (Pa. Super. 1983) (“When interpreting statutes, they should be interpreted as being in harmony with each other and construed as a component of the whole statutory structure.”).   Accordingly, we find that Section</w:t>
      </w:r>
      <w:r w:rsidR="00967CCA">
        <w:rPr>
          <w:sz w:val="26"/>
          <w:szCs w:val="26"/>
        </w:rPr>
        <w:t> </w:t>
      </w:r>
      <w:r w:rsidRPr="00EE6652">
        <w:rPr>
          <w:sz w:val="26"/>
          <w:szCs w:val="26"/>
        </w:rPr>
        <w:t xml:space="preserve">1329 permits the Commission and the Parties to develop a record pertaining to the review and analysis of the fair market value appraisals of the UVEs.  </w:t>
      </w:r>
    </w:p>
    <w:p w14:paraId="556DA6E3" w14:textId="77777777" w:rsidR="00466C8F" w:rsidRDefault="00466C8F" w:rsidP="00466C8F">
      <w:pPr>
        <w:pStyle w:val="ListParagraph"/>
        <w:spacing w:line="360" w:lineRule="auto"/>
        <w:ind w:left="0" w:firstLine="1440"/>
        <w:contextualSpacing w:val="0"/>
        <w:rPr>
          <w:sz w:val="26"/>
          <w:szCs w:val="26"/>
        </w:rPr>
      </w:pPr>
    </w:p>
    <w:p w14:paraId="6AA8469A" w14:textId="77777777" w:rsidR="00466C8F" w:rsidRDefault="00466C8F" w:rsidP="00466C8F">
      <w:pPr>
        <w:pStyle w:val="ListParagraph"/>
        <w:spacing w:line="360" w:lineRule="auto"/>
        <w:ind w:left="0"/>
        <w:contextualSpacing w:val="0"/>
        <w:rPr>
          <w:sz w:val="26"/>
          <w:szCs w:val="26"/>
        </w:rPr>
      </w:pPr>
      <w:r w:rsidRPr="00F141C0">
        <w:rPr>
          <w:i/>
          <w:iCs/>
          <w:sz w:val="26"/>
          <w:szCs w:val="26"/>
        </w:rPr>
        <w:t>New Garden</w:t>
      </w:r>
      <w:r w:rsidRPr="00EE6652">
        <w:rPr>
          <w:sz w:val="26"/>
          <w:szCs w:val="26"/>
        </w:rPr>
        <w:t xml:space="preserve"> at 34-35, footnote omitted.</w:t>
      </w:r>
    </w:p>
    <w:p w14:paraId="54A9709D" w14:textId="77777777" w:rsidR="00466C8F" w:rsidRDefault="00466C8F" w:rsidP="00466C8F">
      <w:pPr>
        <w:pStyle w:val="ListParagraph"/>
        <w:spacing w:line="360" w:lineRule="auto"/>
        <w:ind w:left="0"/>
        <w:contextualSpacing w:val="0"/>
        <w:rPr>
          <w:sz w:val="26"/>
          <w:szCs w:val="26"/>
        </w:rPr>
      </w:pPr>
    </w:p>
    <w:p w14:paraId="03521BBE" w14:textId="77777777" w:rsidR="00466C8F" w:rsidRDefault="00466C8F" w:rsidP="00466C8F">
      <w:pPr>
        <w:pStyle w:val="ListParagraph"/>
        <w:spacing w:line="360" w:lineRule="auto"/>
        <w:ind w:left="0" w:firstLine="1440"/>
        <w:contextualSpacing w:val="0"/>
        <w:rPr>
          <w:sz w:val="26"/>
          <w:szCs w:val="26"/>
        </w:rPr>
      </w:pPr>
      <w:r>
        <w:rPr>
          <w:sz w:val="26"/>
          <w:szCs w:val="26"/>
        </w:rPr>
        <w:t xml:space="preserve">As the ALJ in this proceeding noted, </w:t>
      </w:r>
      <w:r w:rsidRPr="00834A52">
        <w:rPr>
          <w:i/>
          <w:iCs/>
          <w:sz w:val="26"/>
          <w:szCs w:val="26"/>
        </w:rPr>
        <w:t>Cheltenham</w:t>
      </w:r>
      <w:r>
        <w:rPr>
          <w:sz w:val="26"/>
          <w:szCs w:val="26"/>
        </w:rPr>
        <w:t xml:space="preserve"> has addressed this very issue as follows:  </w:t>
      </w:r>
    </w:p>
    <w:p w14:paraId="7FFF004A" w14:textId="77777777" w:rsidR="00466C8F" w:rsidRDefault="00466C8F" w:rsidP="00967CCA">
      <w:pPr>
        <w:pStyle w:val="ListParagraph"/>
        <w:ind w:left="0"/>
        <w:contextualSpacing w:val="0"/>
        <w:rPr>
          <w:sz w:val="26"/>
          <w:szCs w:val="26"/>
        </w:rPr>
      </w:pPr>
    </w:p>
    <w:p w14:paraId="74BB26E5" w14:textId="77777777" w:rsidR="00466C8F" w:rsidRDefault="00466C8F" w:rsidP="00466C8F">
      <w:pPr>
        <w:pStyle w:val="Default"/>
        <w:ind w:left="1440" w:right="1440"/>
        <w:rPr>
          <w:sz w:val="26"/>
          <w:szCs w:val="26"/>
        </w:rPr>
      </w:pPr>
      <w:r w:rsidRPr="00561B13">
        <w:rPr>
          <w:sz w:val="26"/>
          <w:szCs w:val="26"/>
        </w:rPr>
        <w:t>[T]he Commission has already considered and rejected Aqua’s position and determined that Section 1329 contains no prohibitions on the ability of parties, or the Commission, to review the UVE appraisals as to their reasonableness and, accordingly, propose, or adopt, adjustments to the UVE appraisals.</w:t>
      </w:r>
      <w:r>
        <w:rPr>
          <w:sz w:val="26"/>
          <w:szCs w:val="26"/>
        </w:rPr>
        <w:t xml:space="preserve">  </w:t>
      </w:r>
      <w:r w:rsidRPr="00561B13">
        <w:rPr>
          <w:sz w:val="26"/>
          <w:szCs w:val="26"/>
        </w:rPr>
        <w:t xml:space="preserve">Specifically, in the </w:t>
      </w:r>
      <w:r w:rsidRPr="00561B13">
        <w:rPr>
          <w:i/>
          <w:iCs/>
          <w:sz w:val="26"/>
          <w:szCs w:val="26"/>
        </w:rPr>
        <w:t>Limerick Order</w:t>
      </w:r>
      <w:r w:rsidRPr="00561B13">
        <w:rPr>
          <w:sz w:val="26"/>
          <w:szCs w:val="26"/>
        </w:rPr>
        <w:t xml:space="preserve">, citing to the </w:t>
      </w:r>
      <w:r w:rsidRPr="00561B13">
        <w:rPr>
          <w:i/>
          <w:iCs/>
          <w:sz w:val="26"/>
          <w:szCs w:val="26"/>
        </w:rPr>
        <w:t>New Garden Order</w:t>
      </w:r>
      <w:r w:rsidRPr="00561B13">
        <w:rPr>
          <w:sz w:val="26"/>
          <w:szCs w:val="26"/>
        </w:rPr>
        <w:t>, we rejected Aqua’s position in those cases, the position Aqua reiterated in this proceeding.</w:t>
      </w:r>
      <w:r>
        <w:rPr>
          <w:sz w:val="26"/>
          <w:szCs w:val="26"/>
        </w:rPr>
        <w:t xml:space="preserve">  </w:t>
      </w:r>
      <w:r w:rsidRPr="00561B13">
        <w:rPr>
          <w:i/>
          <w:iCs/>
          <w:sz w:val="26"/>
          <w:szCs w:val="26"/>
        </w:rPr>
        <w:t xml:space="preserve">Limerick Order </w:t>
      </w:r>
      <w:r w:rsidRPr="00561B13">
        <w:rPr>
          <w:sz w:val="26"/>
          <w:szCs w:val="26"/>
        </w:rPr>
        <w:t xml:space="preserve">at 35-36. </w:t>
      </w:r>
    </w:p>
    <w:p w14:paraId="4AD01474" w14:textId="77777777" w:rsidR="00466C8F" w:rsidRPr="00561B13" w:rsidRDefault="00466C8F" w:rsidP="00967CCA">
      <w:pPr>
        <w:pStyle w:val="Default"/>
        <w:spacing w:line="360" w:lineRule="auto"/>
        <w:ind w:left="1440" w:right="1440"/>
        <w:rPr>
          <w:sz w:val="26"/>
          <w:szCs w:val="26"/>
        </w:rPr>
      </w:pPr>
    </w:p>
    <w:p w14:paraId="2BAD8A52" w14:textId="77777777" w:rsidR="00466C8F" w:rsidRPr="00F73505" w:rsidRDefault="00466C8F" w:rsidP="00466C8F">
      <w:pPr>
        <w:pStyle w:val="ListParagraph"/>
        <w:spacing w:line="360" w:lineRule="auto"/>
        <w:ind w:left="0"/>
        <w:contextualSpacing w:val="0"/>
        <w:rPr>
          <w:sz w:val="26"/>
          <w:szCs w:val="26"/>
        </w:rPr>
      </w:pPr>
      <w:r w:rsidRPr="00F73505">
        <w:rPr>
          <w:sz w:val="26"/>
          <w:szCs w:val="26"/>
        </w:rPr>
        <w:t xml:space="preserve">R.D. at 81 </w:t>
      </w:r>
      <w:r>
        <w:rPr>
          <w:sz w:val="26"/>
          <w:szCs w:val="26"/>
        </w:rPr>
        <w:t>(</w:t>
      </w:r>
      <w:r w:rsidRPr="00BA6807">
        <w:rPr>
          <w:sz w:val="26"/>
          <w:szCs w:val="26"/>
        </w:rPr>
        <w:t>citing</w:t>
      </w:r>
      <w:r w:rsidRPr="00F73505">
        <w:rPr>
          <w:i/>
          <w:iCs/>
          <w:sz w:val="26"/>
          <w:szCs w:val="26"/>
        </w:rPr>
        <w:t xml:space="preserve"> Cheltenham </w:t>
      </w:r>
      <w:r w:rsidRPr="00F73505">
        <w:rPr>
          <w:sz w:val="26"/>
          <w:szCs w:val="26"/>
        </w:rPr>
        <w:t>at 39</w:t>
      </w:r>
      <w:r>
        <w:rPr>
          <w:sz w:val="26"/>
          <w:szCs w:val="26"/>
        </w:rPr>
        <w:t>)</w:t>
      </w:r>
      <w:r w:rsidRPr="00F73505">
        <w:rPr>
          <w:sz w:val="26"/>
          <w:szCs w:val="26"/>
        </w:rPr>
        <w:t>.</w:t>
      </w:r>
    </w:p>
    <w:p w14:paraId="3BA04002" w14:textId="77777777" w:rsidR="00466C8F" w:rsidRDefault="00466C8F" w:rsidP="00466C8F">
      <w:pPr>
        <w:pStyle w:val="ListParagraph"/>
        <w:spacing w:line="360" w:lineRule="auto"/>
        <w:ind w:left="0" w:firstLine="1440"/>
        <w:contextualSpacing w:val="0"/>
        <w:rPr>
          <w:sz w:val="26"/>
          <w:szCs w:val="26"/>
        </w:rPr>
      </w:pPr>
    </w:p>
    <w:p w14:paraId="0DC46CDD" w14:textId="77777777" w:rsidR="00466C8F" w:rsidRDefault="00466C8F" w:rsidP="00967CCA">
      <w:pPr>
        <w:pStyle w:val="ListParagraph"/>
        <w:widowControl/>
        <w:spacing w:line="360" w:lineRule="auto"/>
        <w:ind w:left="0" w:firstLine="1440"/>
        <w:contextualSpacing w:val="0"/>
        <w:rPr>
          <w:szCs w:val="26"/>
        </w:rPr>
      </w:pPr>
      <w:r w:rsidRPr="00B06A9E">
        <w:rPr>
          <w:i/>
          <w:iCs/>
          <w:sz w:val="26"/>
          <w:szCs w:val="26"/>
        </w:rPr>
        <w:t>Cheltenham</w:t>
      </w:r>
      <w:r w:rsidRPr="00D71D12">
        <w:rPr>
          <w:sz w:val="26"/>
          <w:szCs w:val="26"/>
        </w:rPr>
        <w:t xml:space="preserve"> has </w:t>
      </w:r>
      <w:r>
        <w:rPr>
          <w:sz w:val="26"/>
          <w:szCs w:val="26"/>
        </w:rPr>
        <w:t xml:space="preserve">further </w:t>
      </w:r>
      <w:r w:rsidRPr="00D71D12">
        <w:rPr>
          <w:sz w:val="26"/>
          <w:szCs w:val="26"/>
        </w:rPr>
        <w:t xml:space="preserve">clarified that </w:t>
      </w:r>
      <w:r w:rsidRPr="00F34BC5">
        <w:rPr>
          <w:sz w:val="26"/>
          <w:szCs w:val="26"/>
        </w:rPr>
        <w:t xml:space="preserve">“the statutory appraisal process is not simply a formulaic mathematical exercise, nor is the Commission acting as some type of USPAP-compliance board.”  </w:t>
      </w:r>
      <w:r w:rsidRPr="002D4B62">
        <w:rPr>
          <w:i/>
          <w:iCs/>
          <w:sz w:val="26"/>
          <w:szCs w:val="26"/>
        </w:rPr>
        <w:t>Cheltenham</w:t>
      </w:r>
      <w:r w:rsidRPr="00F34BC5">
        <w:rPr>
          <w:sz w:val="26"/>
          <w:szCs w:val="26"/>
        </w:rPr>
        <w:t xml:space="preserve"> at 40.</w:t>
      </w:r>
      <w:r>
        <w:rPr>
          <w:szCs w:val="26"/>
        </w:rPr>
        <w:t xml:space="preserve">  </w:t>
      </w:r>
    </w:p>
    <w:p w14:paraId="43910F7C" w14:textId="77777777" w:rsidR="00466C8F" w:rsidRDefault="00466C8F" w:rsidP="00466C8F">
      <w:pPr>
        <w:pStyle w:val="ListParagraph"/>
        <w:spacing w:line="360" w:lineRule="auto"/>
        <w:ind w:left="0" w:firstLine="1440"/>
        <w:contextualSpacing w:val="0"/>
        <w:rPr>
          <w:szCs w:val="26"/>
        </w:rPr>
      </w:pPr>
    </w:p>
    <w:p w14:paraId="0E7A338A" w14:textId="1C5C1092" w:rsidR="00F266C8" w:rsidRDefault="00466C8F" w:rsidP="00466C8F">
      <w:pPr>
        <w:pStyle w:val="ListParagraph"/>
        <w:spacing w:line="360" w:lineRule="auto"/>
        <w:ind w:left="0" w:firstLine="1440"/>
        <w:contextualSpacing w:val="0"/>
        <w:rPr>
          <w:sz w:val="26"/>
          <w:szCs w:val="26"/>
        </w:rPr>
      </w:pPr>
      <w:r>
        <w:rPr>
          <w:sz w:val="26"/>
          <w:szCs w:val="26"/>
        </w:rPr>
        <w:t xml:space="preserve">As discussed </w:t>
      </w:r>
      <w:r w:rsidRPr="001C14D3">
        <w:rPr>
          <w:i/>
          <w:iCs/>
          <w:sz w:val="26"/>
          <w:szCs w:val="26"/>
        </w:rPr>
        <w:t>supra</w:t>
      </w:r>
      <w:r>
        <w:rPr>
          <w:sz w:val="26"/>
          <w:szCs w:val="26"/>
        </w:rPr>
        <w:t>, w</w:t>
      </w:r>
      <w:r w:rsidRPr="00D71D12">
        <w:rPr>
          <w:sz w:val="26"/>
          <w:szCs w:val="26"/>
        </w:rPr>
        <w:t xml:space="preserve">e agree with the ALJ that OCA’s proposed adjustment to the </w:t>
      </w:r>
      <w:r>
        <w:rPr>
          <w:sz w:val="26"/>
          <w:szCs w:val="26"/>
        </w:rPr>
        <w:t xml:space="preserve">AUS Cost Approach is </w:t>
      </w:r>
      <w:r w:rsidRPr="00D71D12">
        <w:rPr>
          <w:sz w:val="26"/>
          <w:szCs w:val="26"/>
        </w:rPr>
        <w:t xml:space="preserve">reasonable and appropriate.  </w:t>
      </w:r>
      <w:r>
        <w:rPr>
          <w:sz w:val="26"/>
          <w:szCs w:val="26"/>
        </w:rPr>
        <w:t xml:space="preserve">We disagree with the OCA’s adjustment to the Gannett Fleming and AUS Income Approaches.  </w:t>
      </w:r>
      <w:bookmarkStart w:id="87" w:name="_Hlk90380554"/>
      <w:r>
        <w:rPr>
          <w:sz w:val="26"/>
          <w:szCs w:val="26"/>
        </w:rPr>
        <w:t xml:space="preserve">We have adopted the ALJ’s recommendations to adjust the AUS Cost Approach </w:t>
      </w:r>
      <w:bookmarkEnd w:id="87"/>
      <w:r>
        <w:rPr>
          <w:sz w:val="26"/>
          <w:szCs w:val="26"/>
        </w:rPr>
        <w:t xml:space="preserve">and rejected the ALJ’s recommendations to adjust the Income Approaches and modified the ALJ’s recommendation to the UVE appraisal values.  The Gannett Fleming Appraisal is unchanged at </w:t>
      </w:r>
      <w:r w:rsidRPr="00BA0895">
        <w:rPr>
          <w:sz w:val="26"/>
          <w:szCs w:val="26"/>
        </w:rPr>
        <w:t xml:space="preserve">$55,505,000 </w:t>
      </w:r>
      <w:r>
        <w:rPr>
          <w:sz w:val="26"/>
          <w:szCs w:val="26"/>
        </w:rPr>
        <w:t>from that proposed by Gannett Fleming.  The AUS Appraisal is modified by reducing the Cost Approach from</w:t>
      </w:r>
      <w:r w:rsidRPr="00F41B0E">
        <w:t xml:space="preserve"> </w:t>
      </w:r>
      <w:r w:rsidRPr="00F41B0E">
        <w:rPr>
          <w:sz w:val="26"/>
          <w:szCs w:val="26"/>
        </w:rPr>
        <w:t xml:space="preserve">$51,414,555 </w:t>
      </w:r>
      <w:r>
        <w:rPr>
          <w:sz w:val="26"/>
          <w:szCs w:val="26"/>
        </w:rPr>
        <w:t>to $</w:t>
      </w:r>
      <w:r w:rsidRPr="00027CD9">
        <w:rPr>
          <w:sz w:val="26"/>
          <w:szCs w:val="26"/>
        </w:rPr>
        <w:t>46,700,407</w:t>
      </w:r>
      <w:r>
        <w:rPr>
          <w:sz w:val="26"/>
          <w:szCs w:val="26"/>
        </w:rPr>
        <w:t xml:space="preserve">, a reduction of $4,714,148 to reflect the change in service life for Gravity Collection Mains from 80 to 65 years.  The recalculated AUS Appraisal result is </w:t>
      </w:r>
      <w:r w:rsidRPr="00132157">
        <w:rPr>
          <w:sz w:val="26"/>
          <w:szCs w:val="26"/>
        </w:rPr>
        <w:t>$52,073,51</w:t>
      </w:r>
      <w:r w:rsidR="00F266C8">
        <w:rPr>
          <w:sz w:val="26"/>
          <w:szCs w:val="26"/>
        </w:rPr>
        <w:t>7</w:t>
      </w:r>
      <w:r>
        <w:rPr>
          <w:sz w:val="26"/>
          <w:szCs w:val="26"/>
        </w:rPr>
        <w:t xml:space="preserve">.  The recalculated average of the Gannett Fleming Appraisal result and the adjusted AUS Appraisal result is </w:t>
      </w:r>
      <w:r w:rsidRPr="00B62DE5">
        <w:rPr>
          <w:sz w:val="26"/>
          <w:szCs w:val="26"/>
        </w:rPr>
        <w:t>$53,789,</w:t>
      </w:r>
      <w:r>
        <w:rPr>
          <w:sz w:val="26"/>
          <w:szCs w:val="26"/>
        </w:rPr>
        <w:t>258</w:t>
      </w:r>
      <w:r w:rsidR="00F266C8">
        <w:rPr>
          <w:sz w:val="26"/>
          <w:szCs w:val="26"/>
        </w:rPr>
        <w:t>, as follows:</w:t>
      </w:r>
    </w:p>
    <w:p w14:paraId="0D717847" w14:textId="77777777" w:rsidR="00F266C8" w:rsidRDefault="00F266C8" w:rsidP="00466C8F">
      <w:pPr>
        <w:pStyle w:val="ListParagraph"/>
        <w:spacing w:line="360" w:lineRule="auto"/>
        <w:ind w:left="0" w:firstLine="1440"/>
        <w:contextualSpacing w:val="0"/>
        <w:rPr>
          <w:sz w:val="26"/>
          <w:szCs w:val="26"/>
        </w:rPr>
      </w:pPr>
    </w:p>
    <w:p w14:paraId="2F0BE08A" w14:textId="3A1EEBCB" w:rsidR="00466C8F" w:rsidRDefault="00F266C8" w:rsidP="00F266C8">
      <w:pPr>
        <w:pStyle w:val="ListParagraph"/>
        <w:spacing w:line="360" w:lineRule="auto"/>
        <w:ind w:left="0"/>
        <w:contextualSpacing w:val="0"/>
        <w:jc w:val="center"/>
        <w:rPr>
          <w:sz w:val="26"/>
          <w:szCs w:val="26"/>
        </w:rPr>
      </w:pPr>
      <w:r w:rsidRPr="00F266C8">
        <w:rPr>
          <w:noProof/>
        </w:rPr>
        <w:drawing>
          <wp:inline distT="0" distB="0" distL="0" distR="0" wp14:anchorId="62886D32" wp14:editId="2DDB1438">
            <wp:extent cx="5199631" cy="35401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12475" cy="3548868"/>
                    </a:xfrm>
                    <a:prstGeom prst="rect">
                      <a:avLst/>
                    </a:prstGeom>
                    <a:noFill/>
                    <a:ln>
                      <a:noFill/>
                    </a:ln>
                  </pic:spPr>
                </pic:pic>
              </a:graphicData>
            </a:graphic>
          </wp:inline>
        </w:drawing>
      </w:r>
    </w:p>
    <w:p w14:paraId="75B1D576" w14:textId="77777777" w:rsidR="00466C8F" w:rsidRDefault="00466C8F" w:rsidP="00466C8F">
      <w:pPr>
        <w:pStyle w:val="ListParagraph"/>
        <w:spacing w:line="360" w:lineRule="auto"/>
        <w:ind w:left="0" w:firstLine="1440"/>
        <w:contextualSpacing w:val="0"/>
        <w:rPr>
          <w:sz w:val="26"/>
          <w:szCs w:val="26"/>
        </w:rPr>
      </w:pPr>
    </w:p>
    <w:p w14:paraId="484D9752" w14:textId="42570D13" w:rsidR="002D4B62" w:rsidRPr="00D71D12" w:rsidRDefault="00466C8F" w:rsidP="00466C8F">
      <w:pPr>
        <w:pStyle w:val="ListParagraph"/>
        <w:spacing w:line="360" w:lineRule="auto"/>
        <w:ind w:left="0" w:firstLine="1440"/>
        <w:contextualSpacing w:val="0"/>
        <w:rPr>
          <w:sz w:val="26"/>
          <w:szCs w:val="26"/>
        </w:rPr>
      </w:pPr>
      <w:r>
        <w:rPr>
          <w:sz w:val="26"/>
          <w:szCs w:val="26"/>
        </w:rPr>
        <w:t xml:space="preserve">The FMV is the lesser of the purchase price and the average of the appraisal results, or $53,000,000.  For the reasons above, we shall adopt, in part, and deny, in part, Aqua Exception No. 5. </w:t>
      </w:r>
      <w:r w:rsidR="002D4B62">
        <w:rPr>
          <w:sz w:val="26"/>
          <w:szCs w:val="26"/>
        </w:rPr>
        <w:t xml:space="preserve">  </w:t>
      </w:r>
    </w:p>
    <w:p w14:paraId="3447EB55" w14:textId="77777777" w:rsidR="0033660A" w:rsidRPr="002E7C16" w:rsidRDefault="0033660A" w:rsidP="002E7C16">
      <w:pPr>
        <w:widowControl/>
        <w:spacing w:line="360" w:lineRule="auto"/>
        <w:rPr>
          <w:sz w:val="26"/>
          <w:szCs w:val="26"/>
        </w:rPr>
      </w:pPr>
    </w:p>
    <w:p w14:paraId="69B394E9" w14:textId="3EB840A1" w:rsidR="007A35FF" w:rsidRPr="006A631A" w:rsidRDefault="007A35FF" w:rsidP="00C36D79">
      <w:pPr>
        <w:pStyle w:val="Heading2"/>
        <w:keepNext w:val="0"/>
        <w:keepLines w:val="0"/>
        <w:numPr>
          <w:ilvl w:val="0"/>
          <w:numId w:val="6"/>
        </w:numPr>
        <w:ind w:hanging="720"/>
      </w:pPr>
      <w:bookmarkStart w:id="88" w:name="_Toc90970745"/>
      <w:r>
        <w:t>Income Tax Savings on Repairs Deductions</w:t>
      </w:r>
      <w:bookmarkEnd w:id="88"/>
    </w:p>
    <w:p w14:paraId="00515EA4" w14:textId="4CA867F5" w:rsidR="000E0052" w:rsidRDefault="000E0052" w:rsidP="00950AF2">
      <w:pPr>
        <w:widowControl/>
        <w:spacing w:line="360" w:lineRule="auto"/>
        <w:rPr>
          <w:sz w:val="26"/>
          <w:szCs w:val="26"/>
        </w:rPr>
      </w:pPr>
    </w:p>
    <w:p w14:paraId="73A90C8D" w14:textId="5030E72F" w:rsidR="000E0052" w:rsidRDefault="0078305F" w:rsidP="00C36D79">
      <w:pPr>
        <w:pStyle w:val="Heading3"/>
        <w:numPr>
          <w:ilvl w:val="0"/>
          <w:numId w:val="7"/>
        </w:numPr>
        <w:ind w:left="1440" w:hanging="720"/>
      </w:pPr>
      <w:bookmarkStart w:id="89" w:name="_Toc90970746"/>
      <w:r>
        <w:t>Positions of the Parties</w:t>
      </w:r>
      <w:bookmarkEnd w:id="89"/>
    </w:p>
    <w:p w14:paraId="1716E655" w14:textId="56B2DED3" w:rsidR="000E0052" w:rsidRDefault="000E0052" w:rsidP="00950AF2">
      <w:pPr>
        <w:widowControl/>
        <w:spacing w:line="360" w:lineRule="auto"/>
        <w:rPr>
          <w:sz w:val="26"/>
          <w:szCs w:val="26"/>
        </w:rPr>
      </w:pPr>
    </w:p>
    <w:p w14:paraId="267454F9" w14:textId="0633F88E" w:rsidR="00E3748F" w:rsidRPr="00E3748F" w:rsidRDefault="00C4589D" w:rsidP="00E3748F">
      <w:pPr>
        <w:widowControl/>
        <w:spacing w:line="360" w:lineRule="auto"/>
        <w:ind w:firstLine="1440"/>
        <w:rPr>
          <w:sz w:val="26"/>
          <w:szCs w:val="26"/>
        </w:rPr>
      </w:pPr>
      <w:r w:rsidRPr="00C4589D">
        <w:rPr>
          <w:sz w:val="26"/>
          <w:szCs w:val="26"/>
        </w:rPr>
        <w:t xml:space="preserve">The OCA submitted that, if the Commission approves the acquisition of LMT by Aqua, then the impact on income tax expense experienced from repairs deductions claimed by the Company for LMT system assets should be: </w:t>
      </w:r>
      <w:r w:rsidR="003558DE">
        <w:rPr>
          <w:sz w:val="26"/>
          <w:szCs w:val="26"/>
        </w:rPr>
        <w:t xml:space="preserve"> </w:t>
      </w:r>
      <w:r w:rsidRPr="00C4589D">
        <w:rPr>
          <w:sz w:val="26"/>
          <w:szCs w:val="26"/>
        </w:rPr>
        <w:t>(1) recorded in a regulatory liability account; and (2) addressed in Aqua’s first base rate case that includes rates for the acquired LMT customers.  OCA M.B. at 19 (citing OCA St. 1 at 41)</w:t>
      </w:r>
      <w:r>
        <w:rPr>
          <w:sz w:val="26"/>
          <w:szCs w:val="26"/>
        </w:rPr>
        <w:t>.</w:t>
      </w:r>
    </w:p>
    <w:p w14:paraId="57EC9B43" w14:textId="77777777" w:rsidR="00E3748F" w:rsidRPr="00E3748F" w:rsidRDefault="00E3748F" w:rsidP="00E3748F">
      <w:pPr>
        <w:widowControl/>
        <w:spacing w:line="360" w:lineRule="auto"/>
        <w:rPr>
          <w:sz w:val="26"/>
          <w:szCs w:val="26"/>
        </w:rPr>
      </w:pPr>
    </w:p>
    <w:p w14:paraId="382E7251" w14:textId="3623AFCE" w:rsidR="00E3748F" w:rsidRDefault="00C4589D" w:rsidP="00C4589D">
      <w:pPr>
        <w:widowControl/>
        <w:spacing w:line="360" w:lineRule="auto"/>
        <w:ind w:firstLine="1440"/>
        <w:rPr>
          <w:sz w:val="26"/>
          <w:szCs w:val="26"/>
        </w:rPr>
      </w:pPr>
      <w:r w:rsidRPr="00C4589D">
        <w:rPr>
          <w:sz w:val="26"/>
          <w:szCs w:val="26"/>
        </w:rPr>
        <w:t>The OCA explained that the Company is expected to have federal income tax deductions for repairs to the acquired LMT wastewater system and, as such, Aqua can take advantage of tax deductions for the repairs, including where the accounting treatment results in the costs for the repairs being capitalized for book purposes.  The OCA noted that the repairs deductions can be substantial and result in a reduction to income tax expense.  Further, the OCA noted that its witness, Mr. Smith, stated that the Company has treated federal income tax deductions for repairs for regulatory purposes by applying flow-through accounting for the impact of those deductions.  Mr. Smith, therefore, anticipated that upon the completion of a property assessment relative to the Internal Revenue Service (IRS) tangible property regulations, Aqua would attempt to utilize flow-through accounting for the impact of repair deductions related to the assets of LMT.  OCA M.B. at 19-20 (citing OCA St. 1 at 40).</w:t>
      </w:r>
    </w:p>
    <w:p w14:paraId="055C2EE4" w14:textId="77777777" w:rsidR="00C4589D" w:rsidRPr="00E3748F" w:rsidRDefault="00C4589D" w:rsidP="00C4589D">
      <w:pPr>
        <w:widowControl/>
        <w:spacing w:line="360" w:lineRule="auto"/>
        <w:ind w:firstLine="1440"/>
        <w:rPr>
          <w:sz w:val="26"/>
          <w:szCs w:val="26"/>
        </w:rPr>
      </w:pPr>
    </w:p>
    <w:p w14:paraId="10E511C0" w14:textId="121C429D" w:rsidR="00C4589D" w:rsidRPr="00C4589D" w:rsidRDefault="00C4589D" w:rsidP="00C4589D">
      <w:pPr>
        <w:widowControl/>
        <w:spacing w:line="360" w:lineRule="auto"/>
        <w:ind w:firstLine="1440"/>
        <w:rPr>
          <w:sz w:val="26"/>
          <w:szCs w:val="26"/>
        </w:rPr>
      </w:pPr>
      <w:r w:rsidRPr="00C4589D">
        <w:rPr>
          <w:sz w:val="26"/>
          <w:szCs w:val="26"/>
        </w:rPr>
        <w:t xml:space="preserve">The OCA detailed that the federal income tax repairs deductions for the acquired LMT system are related to the Company’s ownership of LMT and represent a potentially significant benefit to Aqua’s ratepayers that could help offset the estimated rate increases projected by the Company.  Further, the OCA noted that not requiring deferred accounting would allow income tax savings from repairs deductions for the LMT system, from the acquisition date through Aqua’s next base rate case that includes LMT, to be retained by the Company for its investors.  Accordingly, the OCA recommended that Aqua be required to account for the impact of the tax savings resulting from claimed repairs deductions in a regulatory liability account that would be addressed in the Company’s next base rate case that includes the LMT system.  OCA M.B. at 20-21 (citing OCA St. 1SR at 6).  </w:t>
      </w:r>
    </w:p>
    <w:p w14:paraId="1E997F06" w14:textId="77777777" w:rsidR="00E3748F" w:rsidRPr="00E3748F" w:rsidRDefault="00E3748F" w:rsidP="00E3748F">
      <w:pPr>
        <w:widowControl/>
        <w:spacing w:line="360" w:lineRule="auto"/>
        <w:rPr>
          <w:sz w:val="26"/>
          <w:szCs w:val="26"/>
        </w:rPr>
      </w:pPr>
    </w:p>
    <w:p w14:paraId="42FD07BB" w14:textId="407FF737" w:rsidR="00C4589D" w:rsidRPr="00C4589D" w:rsidRDefault="00C4589D" w:rsidP="00C4589D">
      <w:pPr>
        <w:widowControl/>
        <w:spacing w:line="360" w:lineRule="auto"/>
        <w:ind w:firstLine="1440"/>
        <w:rPr>
          <w:sz w:val="26"/>
          <w:szCs w:val="26"/>
        </w:rPr>
      </w:pPr>
      <w:r w:rsidRPr="00C4589D">
        <w:rPr>
          <w:sz w:val="26"/>
          <w:szCs w:val="26"/>
        </w:rPr>
        <w:t xml:space="preserve">In opposition, Aqua stated Mr. Smith’s proposal to defer one cost of service component and conditionally create a regulatory liability account is unreasonable and inappropriate.  Aqua M.B. at 23-24.  The Company explained that at its existing rates, </w:t>
      </w:r>
      <w:r w:rsidR="006D2A59">
        <w:rPr>
          <w:sz w:val="26"/>
          <w:szCs w:val="26"/>
        </w:rPr>
        <w:t xml:space="preserve">the </w:t>
      </w:r>
      <w:r w:rsidRPr="00C4589D">
        <w:rPr>
          <w:sz w:val="26"/>
          <w:szCs w:val="26"/>
        </w:rPr>
        <w:t>LMT system has a deficiency in revenue requirement and, given that it will be a few years until the LMT system is presented in a base rate case, Aqua will carry the deficiency in revenue requirement as regulatory lag without deferral.  Further, Aqua asserted that, if the Company does yield a tax repair benefit, then during the time leading up to the rate case that would include the L</w:t>
      </w:r>
      <w:r w:rsidR="00F259FD">
        <w:rPr>
          <w:sz w:val="26"/>
          <w:szCs w:val="26"/>
        </w:rPr>
        <w:t>M</w:t>
      </w:r>
      <w:r w:rsidRPr="00C4589D">
        <w:rPr>
          <w:sz w:val="26"/>
          <w:szCs w:val="26"/>
        </w:rPr>
        <w:t xml:space="preserve">T system, the revenue requirement deficiency would be offset by the benefit.  Aqua M.B. at 23 (citing Aqua St. 1-R at 10).  Moreover, Aqua averred that when the Company does present itself before the Commission in a base rate case, any repair benefits will accrue to customers at that time and going forward.  Additionally, Aqua stated that, IRS regulations dictate that </w:t>
      </w:r>
      <w:proofErr w:type="gramStart"/>
      <w:r w:rsidRPr="00C4589D">
        <w:rPr>
          <w:sz w:val="26"/>
          <w:szCs w:val="26"/>
        </w:rPr>
        <w:t>in order to</w:t>
      </w:r>
      <w:proofErr w:type="gramEnd"/>
      <w:r w:rsidRPr="00C4589D">
        <w:rPr>
          <w:sz w:val="26"/>
          <w:szCs w:val="26"/>
        </w:rPr>
        <w:t xml:space="preserve"> claim repairs deductions on assets, the “wear and tear” on those assets must have occurred during the taxpayer’s use of those assets.  Aqua M.B. at 23.  The Company averred that because the wear and tear on the system assets has been under the ownership of LMT and not Aqua, it is unlikely that a material repair benefit would be realized.  Accordingly, Aqua disagrees with the OCA’s proposed condition and creation of a regulatory liability account.  Aqua M.B. at 23-24.</w:t>
      </w:r>
    </w:p>
    <w:p w14:paraId="3D431B46" w14:textId="77777777" w:rsidR="0078305F" w:rsidRDefault="0078305F" w:rsidP="00950AF2">
      <w:pPr>
        <w:widowControl/>
        <w:spacing w:line="360" w:lineRule="auto"/>
        <w:rPr>
          <w:sz w:val="26"/>
          <w:szCs w:val="26"/>
        </w:rPr>
      </w:pPr>
    </w:p>
    <w:p w14:paraId="7E9867E1" w14:textId="01476C8B" w:rsidR="0078305F" w:rsidRDefault="0078305F" w:rsidP="0078305F">
      <w:pPr>
        <w:pStyle w:val="Heading3"/>
      </w:pPr>
      <w:bookmarkStart w:id="90" w:name="_Toc90970747"/>
      <w:r>
        <w:t>ALJ’s Recommendation</w:t>
      </w:r>
      <w:bookmarkEnd w:id="90"/>
    </w:p>
    <w:p w14:paraId="06D63D36" w14:textId="10CAF2C6" w:rsidR="000E0052" w:rsidRDefault="000E0052" w:rsidP="00950AF2">
      <w:pPr>
        <w:widowControl/>
        <w:spacing w:line="360" w:lineRule="auto"/>
        <w:rPr>
          <w:sz w:val="26"/>
          <w:szCs w:val="26"/>
        </w:rPr>
      </w:pPr>
    </w:p>
    <w:p w14:paraId="6ED04F32" w14:textId="77777777" w:rsidR="00C4589D" w:rsidRPr="00C4589D" w:rsidRDefault="00C4589D" w:rsidP="00C4589D">
      <w:pPr>
        <w:widowControl/>
        <w:spacing w:line="360" w:lineRule="auto"/>
        <w:ind w:firstLine="1440"/>
        <w:rPr>
          <w:sz w:val="26"/>
          <w:szCs w:val="26"/>
        </w:rPr>
      </w:pPr>
      <w:r w:rsidRPr="00C4589D">
        <w:rPr>
          <w:sz w:val="26"/>
          <w:szCs w:val="26"/>
        </w:rPr>
        <w:t xml:space="preserve">In his Recommended Decision, the ALJ recommended that the Commission deny the proposed accumulation of the income tax effect of repairs deductions in a regulatory liability account as a condition for approval of the transaction.  The ALJ explained that, </w:t>
      </w:r>
      <w:proofErr w:type="gramStart"/>
      <w:r w:rsidRPr="00C4589D">
        <w:rPr>
          <w:sz w:val="26"/>
          <w:szCs w:val="26"/>
        </w:rPr>
        <w:t>in order to</w:t>
      </w:r>
      <w:proofErr w:type="gramEnd"/>
      <w:r w:rsidRPr="00C4589D">
        <w:rPr>
          <w:sz w:val="26"/>
          <w:szCs w:val="26"/>
        </w:rPr>
        <w:t xml:space="preserve"> direct the use of a regulatory liability for repairs tax reductions, the Commission is required to determine that such amounts are, or appear to be, extraordinary, substantial, and non-recurring.  Accordingly, the ALJ found that the OCA failed to demonstrate that such repairs tax reductions are, or appear to be, substantial.  R.D. at 96-97.</w:t>
      </w:r>
    </w:p>
    <w:p w14:paraId="487B2620" w14:textId="77777777" w:rsidR="00C4589D" w:rsidRPr="00C4589D" w:rsidRDefault="00C4589D" w:rsidP="00C4589D">
      <w:pPr>
        <w:widowControl/>
        <w:spacing w:line="360" w:lineRule="auto"/>
        <w:rPr>
          <w:sz w:val="26"/>
          <w:szCs w:val="26"/>
        </w:rPr>
      </w:pPr>
    </w:p>
    <w:p w14:paraId="3772884C" w14:textId="61D06A38" w:rsidR="00C4589D" w:rsidRPr="00C4589D" w:rsidRDefault="00C4589D" w:rsidP="00C4589D">
      <w:pPr>
        <w:widowControl/>
        <w:spacing w:line="360" w:lineRule="auto"/>
        <w:ind w:firstLine="1440"/>
        <w:rPr>
          <w:sz w:val="26"/>
          <w:szCs w:val="26"/>
        </w:rPr>
      </w:pPr>
      <w:r w:rsidRPr="00C4589D">
        <w:rPr>
          <w:sz w:val="26"/>
          <w:szCs w:val="26"/>
        </w:rPr>
        <w:t>The ALJ provided that, in the case of a utility seeking Commission authorization to defer and record specific expenses as a regulatory asset, the Commission found that the standard that must be met to secure Commission authorization is whether, based on Commission precedent, “the expense item appears to be within the scope of the type of items that the Commission has allowed as an exception to the general rule against retroactive recovery of expenses (Eligible Deferral Item).”  R.D. at 96 (</w:t>
      </w:r>
      <w:r w:rsidRPr="004B1ABE">
        <w:rPr>
          <w:sz w:val="26"/>
          <w:szCs w:val="26"/>
        </w:rPr>
        <w:t>citing</w:t>
      </w:r>
      <w:r w:rsidRPr="00C4589D">
        <w:rPr>
          <w:sz w:val="26"/>
          <w:szCs w:val="26"/>
        </w:rPr>
        <w:t xml:space="preserve"> </w:t>
      </w:r>
      <w:r w:rsidRPr="00C4589D">
        <w:rPr>
          <w:i/>
          <w:sz w:val="26"/>
          <w:szCs w:val="26"/>
        </w:rPr>
        <w:t>Petition of Pennsylvania American Water Company</w:t>
      </w:r>
      <w:r w:rsidRPr="00C4589D">
        <w:rPr>
          <w:sz w:val="26"/>
          <w:szCs w:val="26"/>
        </w:rPr>
        <w:t>, P-2012-2308982 (Order entered August</w:t>
      </w:r>
      <w:r w:rsidR="00967CCA">
        <w:rPr>
          <w:sz w:val="26"/>
          <w:szCs w:val="26"/>
        </w:rPr>
        <w:t> </w:t>
      </w:r>
      <w:r w:rsidRPr="00C4589D">
        <w:rPr>
          <w:sz w:val="26"/>
          <w:szCs w:val="26"/>
        </w:rPr>
        <w:t>30,</w:t>
      </w:r>
      <w:r w:rsidR="00967CCA">
        <w:rPr>
          <w:sz w:val="26"/>
          <w:szCs w:val="26"/>
        </w:rPr>
        <w:t> </w:t>
      </w:r>
      <w:r w:rsidRPr="00C4589D">
        <w:rPr>
          <w:sz w:val="26"/>
          <w:szCs w:val="26"/>
        </w:rPr>
        <w:t>2012) (</w:t>
      </w:r>
      <w:r w:rsidRPr="00C4589D">
        <w:rPr>
          <w:i/>
          <w:iCs/>
          <w:sz w:val="26"/>
          <w:szCs w:val="26"/>
        </w:rPr>
        <w:t>PAWC 2012</w:t>
      </w:r>
      <w:r w:rsidRPr="00C4589D">
        <w:rPr>
          <w:sz w:val="26"/>
          <w:szCs w:val="26"/>
        </w:rPr>
        <w:t xml:space="preserve">)).  The ALJ noted that, in </w:t>
      </w:r>
      <w:r w:rsidRPr="00C4589D">
        <w:rPr>
          <w:i/>
          <w:iCs/>
          <w:sz w:val="26"/>
          <w:szCs w:val="26"/>
        </w:rPr>
        <w:t>PAWC 2012</w:t>
      </w:r>
      <w:r w:rsidRPr="00C4589D">
        <w:rPr>
          <w:sz w:val="26"/>
          <w:szCs w:val="26"/>
        </w:rPr>
        <w:t>, the Commission stated that authorizations for deferral accounting are not intended to develop a factual record and are not an assurance of future ratemaking treatment.  The ALJ found that, in the instant case, it appears reasonable to apply a similar standard.  R.D. at 96.</w:t>
      </w:r>
    </w:p>
    <w:p w14:paraId="3FE389F3" w14:textId="77777777" w:rsidR="00C4589D" w:rsidRPr="00C4589D" w:rsidRDefault="00C4589D" w:rsidP="00C4589D">
      <w:pPr>
        <w:widowControl/>
        <w:spacing w:line="360" w:lineRule="auto"/>
        <w:rPr>
          <w:sz w:val="26"/>
          <w:szCs w:val="26"/>
        </w:rPr>
      </w:pPr>
    </w:p>
    <w:p w14:paraId="17300DEA" w14:textId="77777777" w:rsidR="00C4589D" w:rsidRPr="00C4589D" w:rsidRDefault="00C4589D" w:rsidP="00C4589D">
      <w:pPr>
        <w:widowControl/>
        <w:spacing w:line="360" w:lineRule="auto"/>
        <w:ind w:firstLine="1440"/>
        <w:rPr>
          <w:sz w:val="26"/>
          <w:szCs w:val="26"/>
        </w:rPr>
      </w:pPr>
      <w:bookmarkStart w:id="91" w:name="_Hlk90291057"/>
      <w:r w:rsidRPr="00C4589D">
        <w:rPr>
          <w:sz w:val="26"/>
          <w:szCs w:val="26"/>
        </w:rPr>
        <w:t>The ALJ reasoned that the OCA, as the proponent for deferral accounting, must demonstrate that, based on Commission precedent, repairs tax reductions appear to be within the scope of the type of items that the Commission has allowed as an exception to the general rule against retroactive ratemaking</w:t>
      </w:r>
      <w:bookmarkEnd w:id="91"/>
      <w:r w:rsidRPr="00C4589D">
        <w:rPr>
          <w:sz w:val="26"/>
          <w:szCs w:val="26"/>
        </w:rPr>
        <w:t>.  Therefore, the ALJ concluded that, based on the record, the OCA did not present sufficient evidence to determine that repairs tax reductions are an Eligible Deferral Item and, accordingly, the ALJ did not recommend that the Commission approve the creation of a regulatory liability at this time.  R.D. at 96.</w:t>
      </w:r>
    </w:p>
    <w:p w14:paraId="29928D4C" w14:textId="77777777" w:rsidR="00C4589D" w:rsidRPr="00C4589D" w:rsidRDefault="00C4589D" w:rsidP="00C4589D">
      <w:pPr>
        <w:widowControl/>
        <w:spacing w:line="360" w:lineRule="auto"/>
        <w:rPr>
          <w:sz w:val="26"/>
          <w:szCs w:val="26"/>
        </w:rPr>
      </w:pPr>
    </w:p>
    <w:p w14:paraId="7643546E" w14:textId="7E0E1503" w:rsidR="00C4589D" w:rsidRPr="00C4589D" w:rsidRDefault="00C4589D" w:rsidP="00C4589D">
      <w:pPr>
        <w:widowControl/>
        <w:spacing w:line="360" w:lineRule="auto"/>
        <w:ind w:firstLine="1440"/>
        <w:rPr>
          <w:sz w:val="26"/>
          <w:szCs w:val="26"/>
        </w:rPr>
      </w:pPr>
      <w:r w:rsidRPr="00C4589D">
        <w:rPr>
          <w:sz w:val="26"/>
          <w:szCs w:val="26"/>
        </w:rPr>
        <w:t xml:space="preserve">Additionally, the ALJ noted that, notwithstanding whether repairs tax reductions are an Eligible Deferral Item, the OCA’s recommendation necessitates the Commission directing, rather than allowing, deferral accounting.  The ALJ referenced the </w:t>
      </w:r>
      <w:r w:rsidRPr="00C4589D">
        <w:rPr>
          <w:i/>
          <w:iCs/>
          <w:sz w:val="26"/>
          <w:szCs w:val="26"/>
        </w:rPr>
        <w:t>Tax Cuts and Jobs Act of 2017</w:t>
      </w:r>
      <w:r w:rsidRPr="00C4589D">
        <w:rPr>
          <w:sz w:val="26"/>
          <w:szCs w:val="26"/>
        </w:rPr>
        <w:t>, Docket No. M-2018-</w:t>
      </w:r>
      <w:r w:rsidRPr="00C4589D">
        <w:rPr>
          <w:sz w:val="26"/>
          <w:szCs w:val="26"/>
        </w:rPr>
        <w:softHyphen/>
        <w:t>2641242 (Order entered May</w:t>
      </w:r>
      <w:r w:rsidR="00967CCA">
        <w:rPr>
          <w:sz w:val="26"/>
          <w:szCs w:val="26"/>
        </w:rPr>
        <w:t> </w:t>
      </w:r>
      <w:r w:rsidRPr="00C4589D">
        <w:rPr>
          <w:sz w:val="26"/>
          <w:szCs w:val="26"/>
        </w:rPr>
        <w:t>17,</w:t>
      </w:r>
      <w:r w:rsidR="00967CCA">
        <w:rPr>
          <w:sz w:val="26"/>
          <w:szCs w:val="26"/>
        </w:rPr>
        <w:t> </w:t>
      </w:r>
      <w:r w:rsidRPr="00C4589D">
        <w:rPr>
          <w:sz w:val="26"/>
          <w:szCs w:val="26"/>
        </w:rPr>
        <w:t>2018) (</w:t>
      </w:r>
      <w:r w:rsidRPr="00C4589D">
        <w:rPr>
          <w:i/>
          <w:iCs/>
          <w:sz w:val="26"/>
          <w:szCs w:val="26"/>
        </w:rPr>
        <w:t>TCJA 2017</w:t>
      </w:r>
      <w:r w:rsidRPr="00C4589D">
        <w:rPr>
          <w:sz w:val="26"/>
          <w:szCs w:val="26"/>
        </w:rPr>
        <w:t xml:space="preserve">) to note that, in the case of the Commission directing utilities to defer and record certain expense reductions as a regulatory liability, the Commission found that such expense reductions were extraordinary, substantial, and non-recurring.  R.D. at 96. </w:t>
      </w:r>
    </w:p>
    <w:p w14:paraId="2E9E4FC0" w14:textId="3C10A7C1" w:rsidR="00F50AA7" w:rsidRDefault="00F50AA7" w:rsidP="00950AF2">
      <w:pPr>
        <w:widowControl/>
        <w:spacing w:line="360" w:lineRule="auto"/>
        <w:rPr>
          <w:sz w:val="26"/>
          <w:szCs w:val="26"/>
        </w:rPr>
      </w:pPr>
    </w:p>
    <w:p w14:paraId="66006C01" w14:textId="1C69BE3C" w:rsidR="00F50AA7" w:rsidRDefault="00384E34" w:rsidP="00967CCA">
      <w:pPr>
        <w:pStyle w:val="Heading3"/>
        <w:keepNext/>
      </w:pPr>
      <w:bookmarkStart w:id="92" w:name="_Toc90970748"/>
      <w:r>
        <w:t>OCA Exception No. 1</w:t>
      </w:r>
      <w:r w:rsidR="00F50AA7">
        <w:t xml:space="preserve"> and Replies</w:t>
      </w:r>
      <w:bookmarkEnd w:id="92"/>
    </w:p>
    <w:p w14:paraId="0E39CD8C" w14:textId="7AB092BF" w:rsidR="00F50AA7" w:rsidRDefault="00F50AA7" w:rsidP="00967CCA">
      <w:pPr>
        <w:keepNext/>
        <w:widowControl/>
        <w:spacing w:line="360" w:lineRule="auto"/>
        <w:rPr>
          <w:sz w:val="26"/>
          <w:szCs w:val="26"/>
        </w:rPr>
      </w:pPr>
    </w:p>
    <w:p w14:paraId="67597CD5" w14:textId="385EF572" w:rsidR="00C4589D" w:rsidRPr="00C4589D" w:rsidRDefault="00C4589D" w:rsidP="00967CCA">
      <w:pPr>
        <w:keepNext/>
        <w:widowControl/>
        <w:spacing w:line="360" w:lineRule="auto"/>
        <w:ind w:firstLine="1440"/>
        <w:rPr>
          <w:sz w:val="26"/>
          <w:szCs w:val="26"/>
        </w:rPr>
      </w:pPr>
      <w:r w:rsidRPr="00C4589D">
        <w:rPr>
          <w:sz w:val="26"/>
          <w:szCs w:val="26"/>
        </w:rPr>
        <w:t xml:space="preserve">In its Exception No. 1, the OCA challenges the ALJ’s recommendation that the Commission deny the OCA’s recommendation that, if the Commission approves the transaction, then the impact of the income tax expense savings resulting from claimed repairs deductions claimed by Aqua for LMT system assets should be recorded in a regulatory account and addressed in the Company’s first base rate case that includes the acquired LMT system.  Specifically, the OCA disagrees with the ALJ’s conclusion that the OCA failed to demonstrate that the tax repairs deductions are, or appear to be, substantial.  OCA Exc. at 3 (citing R.D. at 96-97).  The OCA asserts that, given the size of the proposed transaction and the potential benefits of utilizing tax repairs, requiring the Company to defer the tax savings for later review is reasonable and appropriate.  Accordingly, the OCA requests that the Commission include the recommendation of the OCA’s witness, Mr. Smith, </w:t>
      </w:r>
      <w:bookmarkStart w:id="93" w:name="_Hlk90291120"/>
      <w:r w:rsidRPr="00C4589D">
        <w:rPr>
          <w:sz w:val="26"/>
          <w:szCs w:val="26"/>
        </w:rPr>
        <w:t xml:space="preserve">regarding the treatment of tax repairs deductions </w:t>
      </w:r>
      <w:bookmarkEnd w:id="93"/>
      <w:r w:rsidRPr="00C4589D">
        <w:rPr>
          <w:sz w:val="26"/>
          <w:szCs w:val="26"/>
        </w:rPr>
        <w:t>as part of its Order in this proceeding.  OCA Exc. at 5.</w:t>
      </w:r>
    </w:p>
    <w:p w14:paraId="6F16EDEA" w14:textId="77777777" w:rsidR="00C4589D" w:rsidRPr="00C4589D" w:rsidRDefault="00C4589D" w:rsidP="00C4589D">
      <w:pPr>
        <w:widowControl/>
        <w:spacing w:line="360" w:lineRule="auto"/>
        <w:ind w:firstLine="1440"/>
        <w:rPr>
          <w:sz w:val="26"/>
          <w:szCs w:val="26"/>
        </w:rPr>
      </w:pPr>
    </w:p>
    <w:p w14:paraId="5DB2117B" w14:textId="3B36E675" w:rsidR="00C4589D" w:rsidRPr="00C4589D" w:rsidRDefault="00C4589D" w:rsidP="00C4589D">
      <w:pPr>
        <w:widowControl/>
        <w:spacing w:line="360" w:lineRule="auto"/>
        <w:ind w:firstLine="1440"/>
        <w:rPr>
          <w:sz w:val="26"/>
          <w:szCs w:val="26"/>
        </w:rPr>
      </w:pPr>
      <w:r w:rsidRPr="00C4589D">
        <w:rPr>
          <w:sz w:val="26"/>
          <w:szCs w:val="26"/>
        </w:rPr>
        <w:t>The OCA notes that, although Aqua asserted that the size of the repairs deductions is currently unknown, the OCA witness, Mr. Smith testified that repairs deductions can be substantial and result in reducing income tax expense.  OCA Exc. at</w:t>
      </w:r>
      <w:r w:rsidR="00967CCA">
        <w:rPr>
          <w:sz w:val="26"/>
          <w:szCs w:val="26"/>
        </w:rPr>
        <w:t> </w:t>
      </w:r>
      <w:r w:rsidRPr="00C4589D">
        <w:rPr>
          <w:sz w:val="26"/>
          <w:szCs w:val="26"/>
        </w:rPr>
        <w:t>3</w:t>
      </w:r>
      <w:r w:rsidRPr="00C4589D">
        <w:rPr>
          <w:sz w:val="26"/>
          <w:szCs w:val="26"/>
        </w:rPr>
        <w:noBreakHyphen/>
        <w:t xml:space="preserve">4 (citing OCA St. 1 at 40; Aqua St. 1-R at 9-10; OCA St. 1SR at 6).  The OCA also argues that Aqua did not provide evidence demonstrating that the costs are insubstantial and that, </w:t>
      </w:r>
      <w:proofErr w:type="gramStart"/>
      <w:r w:rsidRPr="00C4589D">
        <w:rPr>
          <w:sz w:val="26"/>
          <w:szCs w:val="26"/>
        </w:rPr>
        <w:t>as a result of</w:t>
      </w:r>
      <w:proofErr w:type="gramEnd"/>
      <w:r w:rsidRPr="00C4589D">
        <w:rPr>
          <w:sz w:val="26"/>
          <w:szCs w:val="26"/>
        </w:rPr>
        <w:t xml:space="preserve"> the proposed transaction, Aqua is expected to have federal income tax deductions for repairs for the acquired LMT system.  OCA Exc. at 4 (citing OCA M.B. at 20-22; OCA St. 1 at 40-42).  Accordingly, the OCA avers that, where the accounting treatment results in the repairs costs being capitalized for book purposes, Aqua can avail itself of tax deductions for repairs.  OCA Exc. at 4</w:t>
      </w:r>
    </w:p>
    <w:p w14:paraId="1355960B" w14:textId="77777777" w:rsidR="00C4589D" w:rsidRPr="00C4589D" w:rsidRDefault="00C4589D" w:rsidP="00C4589D">
      <w:pPr>
        <w:widowControl/>
        <w:spacing w:line="360" w:lineRule="auto"/>
        <w:ind w:firstLine="1440"/>
        <w:rPr>
          <w:sz w:val="26"/>
          <w:szCs w:val="26"/>
        </w:rPr>
      </w:pPr>
    </w:p>
    <w:p w14:paraId="5569EF39" w14:textId="16AC7C40" w:rsidR="00C4589D" w:rsidRPr="00C4589D" w:rsidRDefault="00C4589D" w:rsidP="00C4589D">
      <w:pPr>
        <w:widowControl/>
        <w:spacing w:line="360" w:lineRule="auto"/>
        <w:ind w:firstLine="1440"/>
        <w:rPr>
          <w:sz w:val="26"/>
          <w:szCs w:val="26"/>
        </w:rPr>
      </w:pPr>
      <w:r w:rsidRPr="00C4589D">
        <w:rPr>
          <w:sz w:val="26"/>
          <w:szCs w:val="26"/>
        </w:rPr>
        <w:t>The OCA notes that its witness, Mr. Smith recommended that the Company be required to account for the impact of the tax savings resulting from claimed repairs deductions in a regulatory liability account that would be addressed in Aqua’s next base rate case that includes the acquired LMT system.  OCA Exc. at 4 (citing OCA St. 1SR at</w:t>
      </w:r>
      <w:r w:rsidR="00967CCA">
        <w:rPr>
          <w:sz w:val="26"/>
          <w:szCs w:val="26"/>
        </w:rPr>
        <w:t> </w:t>
      </w:r>
      <w:r w:rsidRPr="00C4589D">
        <w:rPr>
          <w:sz w:val="26"/>
          <w:szCs w:val="26"/>
        </w:rPr>
        <w:t xml:space="preserve">7).  Further, the OCA contends that, although the OCA does not bear the burden of proof in this proceeding, Aqua posits an unsupported expectation that repairs deductions will be relatively small and such an expectation is not sound reasoning against the recommendation of deferred accounting.  </w:t>
      </w:r>
      <w:r w:rsidRPr="00C4589D">
        <w:rPr>
          <w:i/>
          <w:iCs/>
          <w:sz w:val="26"/>
          <w:szCs w:val="26"/>
        </w:rPr>
        <w:t>Id.</w:t>
      </w:r>
      <w:r w:rsidRPr="00C4589D">
        <w:rPr>
          <w:sz w:val="26"/>
          <w:szCs w:val="26"/>
        </w:rPr>
        <w:t xml:space="preserve"> (citing Aqua St. 1-R at 10).  Moreover, the OCA notes that it is not possible to determine the size of future tax repairs deductions and a deferral account would preserve the issue so that the tax repairs deductions are able to be addressed in the first base rate case that includes LMT.  Furthermore, the OCA maintains that such deferred accounting would allow the income tax savings from repairs deductions for the LMT system, from the acquisition date through Aqua’s next base rate case including LMT, to be retained by the Company for its investors.  </w:t>
      </w:r>
      <w:r w:rsidRPr="00C4589D">
        <w:rPr>
          <w:i/>
          <w:iCs/>
          <w:sz w:val="26"/>
          <w:szCs w:val="26"/>
        </w:rPr>
        <w:t>Id.</w:t>
      </w:r>
      <w:r w:rsidRPr="00C4589D">
        <w:rPr>
          <w:sz w:val="26"/>
          <w:szCs w:val="26"/>
        </w:rPr>
        <w:t xml:space="preserve"> (citing OCA R.B. at 16; OCA St. 1SR at 6).  The OCA adds that the savings in setting rates in the next rate case that includes the acquired LMT system would not be experienced by Aqua’s ratepayers.  </w:t>
      </w:r>
      <w:r w:rsidRPr="00C4589D">
        <w:rPr>
          <w:i/>
          <w:iCs/>
          <w:sz w:val="26"/>
          <w:szCs w:val="26"/>
        </w:rPr>
        <w:t>Id.</w:t>
      </w:r>
    </w:p>
    <w:p w14:paraId="5C0B45A2" w14:textId="77777777" w:rsidR="00C4589D" w:rsidRPr="00C4589D" w:rsidRDefault="00C4589D" w:rsidP="00C4589D">
      <w:pPr>
        <w:widowControl/>
        <w:spacing w:line="360" w:lineRule="auto"/>
        <w:ind w:firstLine="1440"/>
        <w:rPr>
          <w:sz w:val="26"/>
          <w:szCs w:val="26"/>
        </w:rPr>
      </w:pPr>
    </w:p>
    <w:p w14:paraId="377B2F38" w14:textId="77777777" w:rsidR="00C4589D" w:rsidRPr="00C4589D" w:rsidRDefault="00C4589D" w:rsidP="00C4589D">
      <w:pPr>
        <w:widowControl/>
        <w:spacing w:line="360" w:lineRule="auto"/>
        <w:ind w:firstLine="1440"/>
        <w:rPr>
          <w:sz w:val="26"/>
          <w:szCs w:val="26"/>
        </w:rPr>
      </w:pPr>
      <w:r w:rsidRPr="00C4589D">
        <w:rPr>
          <w:sz w:val="26"/>
          <w:szCs w:val="26"/>
        </w:rPr>
        <w:t>The OCA notes that accounting for Aqua’s repairs deductions for the acquired LMT system, from the date of the acquisition through the test year being used in the Company’s next base rate case, in a deferred regulatory liability account will preserve the issue for Aqua’s next rate case.  Further, the OCA notes that, at this point and in the context of a base rate case, the actual tax repairs deductions that the Company receives can be reviewed by the OCA, the Parties, and the Commission.  Moreover, the OCA is not requesting that retroactive ratemaking treatment be given to unknown tax repairs deductions, as requiring the accounting of the impact of the tax savings resulting from claimed repairs deductions in a regulatory liability account addresses any retroactive ratemaking concern by preserving the issue so that it could be addressed in Aqua’s next base rate case that includes the acquired LMT system.  Furthermore, the OCA notes that, if Aqua believes that the amounts accumulated in the regulatory liability account for LMT repairs deductions should not be used to offset rate increases in that case, the Company would have the opportunity to present its reasoning in that future rate case.  OCA Exc. at 4-5.</w:t>
      </w:r>
    </w:p>
    <w:p w14:paraId="0BCF493E" w14:textId="77777777" w:rsidR="00C4589D" w:rsidRPr="00C4589D" w:rsidRDefault="00C4589D" w:rsidP="00C4589D">
      <w:pPr>
        <w:widowControl/>
        <w:spacing w:line="360" w:lineRule="auto"/>
        <w:ind w:firstLine="1440"/>
        <w:rPr>
          <w:sz w:val="26"/>
          <w:szCs w:val="26"/>
        </w:rPr>
      </w:pPr>
    </w:p>
    <w:p w14:paraId="2A399775" w14:textId="77777777" w:rsidR="00C4589D" w:rsidRPr="00C4589D" w:rsidRDefault="00C4589D" w:rsidP="00C4589D">
      <w:pPr>
        <w:widowControl/>
        <w:spacing w:line="360" w:lineRule="auto"/>
        <w:ind w:firstLine="1440"/>
        <w:rPr>
          <w:sz w:val="26"/>
          <w:szCs w:val="26"/>
        </w:rPr>
      </w:pPr>
      <w:r w:rsidRPr="00C4589D">
        <w:rPr>
          <w:sz w:val="26"/>
          <w:szCs w:val="26"/>
        </w:rPr>
        <w:t>In its Replies to the OCA’s Exception No. 1, Aqua counters that the OCA’s claim that repairs deductions could be substantial is an insufficient basis to conclude that the deductions are an Eligible Deferral Item, as the same claim could be made by the OCA or a utility for any utility cost component.  Aqua asserts that the Recommended Decision properly concluded that the OCA did not present sufficient evidence to determine that repairs tax reductions are an Eligible Deferral Item.  Further, the Company questions the OCA’s statement that it is not requesting retroactive ratemaking treatment, adding that the OCA’s proposal indicates otherwise.  Aqua R. Exc. at 3, 5.</w:t>
      </w:r>
    </w:p>
    <w:p w14:paraId="7E74255D" w14:textId="77777777" w:rsidR="00C4589D" w:rsidRPr="00C4589D" w:rsidRDefault="00C4589D" w:rsidP="00C4589D">
      <w:pPr>
        <w:widowControl/>
        <w:spacing w:line="360" w:lineRule="auto"/>
        <w:ind w:firstLine="1440"/>
        <w:rPr>
          <w:sz w:val="26"/>
          <w:szCs w:val="26"/>
        </w:rPr>
      </w:pPr>
    </w:p>
    <w:p w14:paraId="48CA5406" w14:textId="672C3A7E" w:rsidR="00C4589D" w:rsidRPr="00C4589D" w:rsidRDefault="00C4589D" w:rsidP="00C4589D">
      <w:pPr>
        <w:widowControl/>
        <w:spacing w:line="360" w:lineRule="auto"/>
        <w:ind w:firstLine="1440"/>
        <w:rPr>
          <w:sz w:val="26"/>
          <w:szCs w:val="26"/>
        </w:rPr>
      </w:pPr>
      <w:r w:rsidRPr="00C4589D">
        <w:rPr>
          <w:sz w:val="26"/>
          <w:szCs w:val="26"/>
        </w:rPr>
        <w:t xml:space="preserve">Aqua argues that deferral accounting is an exception to the rule against retroactive recovery of expenses and, in the instant case, the OCA does not support its claim that repairs tax deductions should be allowed.  The Company notes that the OCA does not cite one instance where the Commission has required, as a condition for approval of a fair market value transaction, the creation of a regulatory liability account.  Further, Aqua notes that, contrary to the OCA’s contention, there is no evidence that the repairs tax deductions will ultimately be substantial.  The Company notes that its witness, Mr. Packer, testified that in the first five years of the Company’s ownership prior to the inclusion of the LMT system in an Aqua rate case, the likelihood of repairs deductions being realized or availed </w:t>
      </w:r>
      <w:proofErr w:type="gramStart"/>
      <w:r w:rsidRPr="00C4589D">
        <w:rPr>
          <w:sz w:val="26"/>
          <w:szCs w:val="26"/>
        </w:rPr>
        <w:t>to</w:t>
      </w:r>
      <w:proofErr w:type="gramEnd"/>
      <w:r w:rsidRPr="00C4589D">
        <w:rPr>
          <w:sz w:val="26"/>
          <w:szCs w:val="26"/>
        </w:rPr>
        <w:t xml:space="preserve"> Aqua is remote.  Aqua R. Exc. at 3 (citing Aqua St. 1-R at 9).  </w:t>
      </w:r>
    </w:p>
    <w:p w14:paraId="1506521C" w14:textId="77777777" w:rsidR="00C4589D" w:rsidRPr="00C4589D" w:rsidRDefault="00C4589D" w:rsidP="00C4589D">
      <w:pPr>
        <w:widowControl/>
        <w:spacing w:line="360" w:lineRule="auto"/>
        <w:ind w:firstLine="1440"/>
        <w:rPr>
          <w:sz w:val="26"/>
          <w:szCs w:val="26"/>
        </w:rPr>
      </w:pPr>
    </w:p>
    <w:p w14:paraId="2E88AD2D" w14:textId="26CCE418" w:rsidR="00C4589D" w:rsidRPr="00C4589D" w:rsidRDefault="00C4589D" w:rsidP="00C4589D">
      <w:pPr>
        <w:widowControl/>
        <w:spacing w:line="360" w:lineRule="auto"/>
        <w:ind w:firstLine="1440"/>
        <w:rPr>
          <w:sz w:val="26"/>
          <w:szCs w:val="26"/>
        </w:rPr>
      </w:pPr>
      <w:r w:rsidRPr="00C4589D">
        <w:rPr>
          <w:sz w:val="26"/>
          <w:szCs w:val="26"/>
        </w:rPr>
        <w:t xml:space="preserve">Aqua maintains that it is unlikely that any meaningful repair benefit would be realized.  Aqua also reiterates that, Mr. Packer testified that IRS regulations require that the “wear and tear” on the utility assets acquired must have occurred during the taxpayer's use of the assets and, to date, </w:t>
      </w:r>
      <w:proofErr w:type="gramStart"/>
      <w:r w:rsidRPr="00C4589D">
        <w:rPr>
          <w:sz w:val="26"/>
          <w:szCs w:val="26"/>
        </w:rPr>
        <w:t>wear</w:t>
      </w:r>
      <w:proofErr w:type="gramEnd"/>
      <w:r w:rsidRPr="00C4589D">
        <w:rPr>
          <w:sz w:val="26"/>
          <w:szCs w:val="26"/>
        </w:rPr>
        <w:t xml:space="preserve"> and tear on the LMT system has been under LMT ownership.  Aqua R. Exc. at 4 (citing Aqua St. 1-R at 9-10).</w:t>
      </w:r>
    </w:p>
    <w:p w14:paraId="4C68693E" w14:textId="77777777" w:rsidR="00C4589D" w:rsidRPr="00C4589D" w:rsidRDefault="00C4589D" w:rsidP="00C4589D">
      <w:pPr>
        <w:widowControl/>
        <w:spacing w:line="360" w:lineRule="auto"/>
        <w:ind w:firstLine="1440"/>
        <w:rPr>
          <w:sz w:val="26"/>
          <w:szCs w:val="26"/>
        </w:rPr>
      </w:pPr>
      <w:r w:rsidRPr="00C4589D">
        <w:rPr>
          <w:sz w:val="26"/>
          <w:szCs w:val="26"/>
        </w:rPr>
        <w:t xml:space="preserve"> </w:t>
      </w:r>
    </w:p>
    <w:p w14:paraId="5C9A5DD1" w14:textId="74E586D7" w:rsidR="00C4589D" w:rsidRPr="00C4589D" w:rsidRDefault="00C4589D" w:rsidP="00C4589D">
      <w:pPr>
        <w:widowControl/>
        <w:spacing w:line="360" w:lineRule="auto"/>
        <w:ind w:firstLine="1440"/>
        <w:rPr>
          <w:sz w:val="26"/>
          <w:szCs w:val="26"/>
        </w:rPr>
      </w:pPr>
      <w:r w:rsidRPr="00C4589D">
        <w:rPr>
          <w:sz w:val="26"/>
          <w:szCs w:val="26"/>
        </w:rPr>
        <w:t>Further, Aqua submits that, although the Company has the burden of proof to support its request for an order granting the Application and issuance of certificates of public convenience, the Company does not have the burden to disprove a deferred accounting proposal submitted by the OCA’s witness.  The Company also submits that, consistent with the reasoning presented in the Recommended Decision, the OCA is obligated to present sufficient evidence to determine that repairs tax reductions are an Eligible Deferral Item and that the amounts involved are substantial.  Aqua R. Exc. at 4.</w:t>
      </w:r>
    </w:p>
    <w:p w14:paraId="290E0327" w14:textId="77777777" w:rsidR="00C4589D" w:rsidRPr="00C4589D" w:rsidRDefault="00C4589D" w:rsidP="00C4589D">
      <w:pPr>
        <w:widowControl/>
        <w:spacing w:line="360" w:lineRule="auto"/>
        <w:ind w:firstLine="1440"/>
        <w:rPr>
          <w:sz w:val="26"/>
          <w:szCs w:val="26"/>
        </w:rPr>
      </w:pPr>
    </w:p>
    <w:p w14:paraId="199BBC0C" w14:textId="690BFCB1" w:rsidR="00C4589D" w:rsidRPr="00C4589D" w:rsidRDefault="00C4589D" w:rsidP="00C4589D">
      <w:pPr>
        <w:widowControl/>
        <w:spacing w:line="360" w:lineRule="auto"/>
        <w:ind w:firstLine="1440"/>
        <w:rPr>
          <w:sz w:val="26"/>
          <w:szCs w:val="26"/>
        </w:rPr>
      </w:pPr>
      <w:r w:rsidRPr="00C4589D">
        <w:rPr>
          <w:sz w:val="26"/>
          <w:szCs w:val="26"/>
        </w:rPr>
        <w:t xml:space="preserve">Moreover, Aqua points out that the OCA’s proposal is one-sided and repeats that, given LMT’s existing rates and the amount of time before the LMT system is presented in a base rate case, the deficiency in revenue requirement will be borne by the Company as a regulatory lag.  Aqua also emphasizes that the Company is not requesting that the revenue deficiency be </w:t>
      </w:r>
      <w:proofErr w:type="gramStart"/>
      <w:r w:rsidRPr="00C4589D">
        <w:rPr>
          <w:sz w:val="26"/>
          <w:szCs w:val="26"/>
        </w:rPr>
        <w:t>deferred</w:t>
      </w:r>
      <w:proofErr w:type="gramEnd"/>
      <w:r w:rsidRPr="00C4589D">
        <w:rPr>
          <w:sz w:val="26"/>
          <w:szCs w:val="26"/>
        </w:rPr>
        <w:t xml:space="preserve"> and any tax repair benefit yielded by Aqua would be offset the revenue deficiency.  Aqua R. Exc. at 4 (citing Aqua St. 1-R at</w:t>
      </w:r>
      <w:r w:rsidR="00967CCA">
        <w:rPr>
          <w:sz w:val="26"/>
          <w:szCs w:val="26"/>
        </w:rPr>
        <w:t> </w:t>
      </w:r>
      <w:r w:rsidRPr="00C4589D">
        <w:rPr>
          <w:sz w:val="26"/>
          <w:szCs w:val="26"/>
        </w:rPr>
        <w:t>10).</w:t>
      </w:r>
    </w:p>
    <w:p w14:paraId="0689D9C7" w14:textId="77777777" w:rsidR="00C4589D" w:rsidRPr="00C4589D" w:rsidRDefault="00C4589D" w:rsidP="00C4589D">
      <w:pPr>
        <w:widowControl/>
        <w:spacing w:line="360" w:lineRule="auto"/>
        <w:ind w:firstLine="1440"/>
        <w:rPr>
          <w:sz w:val="26"/>
          <w:szCs w:val="26"/>
        </w:rPr>
      </w:pPr>
    </w:p>
    <w:p w14:paraId="71744A5B" w14:textId="6BD9C256" w:rsidR="00C4589D" w:rsidRPr="00C4589D" w:rsidRDefault="00C4589D" w:rsidP="00C4589D">
      <w:pPr>
        <w:widowControl/>
        <w:spacing w:line="360" w:lineRule="auto"/>
        <w:ind w:firstLine="1440"/>
        <w:rPr>
          <w:sz w:val="26"/>
          <w:szCs w:val="26"/>
        </w:rPr>
      </w:pPr>
      <w:r w:rsidRPr="00C4589D">
        <w:rPr>
          <w:sz w:val="26"/>
          <w:szCs w:val="26"/>
        </w:rPr>
        <w:t xml:space="preserve">Aqua repeats that when the Company presents itself before </w:t>
      </w:r>
      <w:r w:rsidR="0095432C">
        <w:rPr>
          <w:sz w:val="26"/>
          <w:szCs w:val="26"/>
        </w:rPr>
        <w:t>th</w:t>
      </w:r>
      <w:r w:rsidRPr="00C4589D">
        <w:rPr>
          <w:sz w:val="26"/>
          <w:szCs w:val="26"/>
        </w:rPr>
        <w:t>e Commission in a base rate case, any repair benefits will accrue to customers at that point and going forward.  Furthermore, Aqua notes that the OCA’s proposed treatment of income tax savings on repairs deductions ignores other costs of providing service that are likely to increase and be borne by the Company as regulatory lag until the LMT system is included in the rate case.  Aqua R. Exc. at 4.</w:t>
      </w:r>
    </w:p>
    <w:p w14:paraId="31C66F16" w14:textId="77777777" w:rsidR="00EA6FE9" w:rsidRDefault="00EA6FE9" w:rsidP="00EA6FE9">
      <w:pPr>
        <w:widowControl/>
        <w:spacing w:line="360" w:lineRule="auto"/>
        <w:ind w:firstLine="1440"/>
        <w:rPr>
          <w:sz w:val="26"/>
          <w:szCs w:val="26"/>
        </w:rPr>
      </w:pPr>
    </w:p>
    <w:p w14:paraId="3F2D13B4" w14:textId="13C8287F" w:rsidR="00F50AA7" w:rsidRDefault="00B71019" w:rsidP="00B71019">
      <w:pPr>
        <w:pStyle w:val="Heading3"/>
      </w:pPr>
      <w:bookmarkStart w:id="94" w:name="_Toc90970749"/>
      <w:r>
        <w:t>Disposition</w:t>
      </w:r>
      <w:bookmarkEnd w:id="94"/>
    </w:p>
    <w:p w14:paraId="6CFA4141" w14:textId="57A64E74" w:rsidR="00F50AA7" w:rsidRDefault="00F50AA7" w:rsidP="00950AF2">
      <w:pPr>
        <w:widowControl/>
        <w:spacing w:line="360" w:lineRule="auto"/>
        <w:rPr>
          <w:sz w:val="26"/>
          <w:szCs w:val="26"/>
        </w:rPr>
      </w:pPr>
    </w:p>
    <w:p w14:paraId="381EBDCC" w14:textId="3415FD58" w:rsidR="00C4589D" w:rsidRPr="00C4589D" w:rsidRDefault="00C4589D" w:rsidP="00C4589D">
      <w:pPr>
        <w:widowControl/>
        <w:spacing w:line="360" w:lineRule="auto"/>
        <w:ind w:firstLine="1440"/>
        <w:rPr>
          <w:sz w:val="26"/>
          <w:szCs w:val="26"/>
        </w:rPr>
      </w:pPr>
      <w:r w:rsidRPr="00C4589D">
        <w:rPr>
          <w:sz w:val="26"/>
          <w:szCs w:val="26"/>
        </w:rPr>
        <w:t xml:space="preserve">We agree with the ALJ’s recommendation to deny the OCA’s proposal that, as a condition for approval of the LMT transaction, the accumulation of the income tax effect of repairs deductions be accounted for in a regulatory liability account.  The OCA claims that after the Company’s acquisition of LMT, Aqua will have potentially large federal income tax deductions for repairs to the LMT wastewater system.  Although the OCA argues that repairs deductions “can be” substantial, the record evidence does not demonstrate that repairs deductions for the LMT wastewater system </w:t>
      </w:r>
      <w:r w:rsidRPr="00C4589D">
        <w:rPr>
          <w:i/>
          <w:iCs/>
          <w:sz w:val="26"/>
          <w:szCs w:val="26"/>
        </w:rPr>
        <w:t>will</w:t>
      </w:r>
      <w:r w:rsidRPr="00C4589D">
        <w:rPr>
          <w:sz w:val="26"/>
          <w:szCs w:val="26"/>
        </w:rPr>
        <w:t xml:space="preserve"> be substantial.  OCA Exc. at 3 (citing OCA St. 1 at 40).  Indeed, as discussed by the ALJ, the OCA, as the advocate for deferral accounting, must demonstrate that deductions for repairs are, or appear to be, substantial.  R.D. at 96.</w:t>
      </w:r>
    </w:p>
    <w:p w14:paraId="0E641B19" w14:textId="77777777" w:rsidR="00C4589D" w:rsidRPr="00C4589D" w:rsidRDefault="00C4589D" w:rsidP="00C4589D">
      <w:pPr>
        <w:widowControl/>
        <w:spacing w:line="360" w:lineRule="auto"/>
        <w:rPr>
          <w:sz w:val="26"/>
          <w:szCs w:val="26"/>
        </w:rPr>
      </w:pPr>
    </w:p>
    <w:p w14:paraId="31703558" w14:textId="0E4FDECA" w:rsidR="00C4589D" w:rsidRPr="00C4589D" w:rsidRDefault="00C4589D" w:rsidP="00C4589D">
      <w:pPr>
        <w:widowControl/>
        <w:spacing w:line="360" w:lineRule="auto"/>
        <w:ind w:firstLine="1440"/>
        <w:rPr>
          <w:sz w:val="26"/>
          <w:szCs w:val="26"/>
        </w:rPr>
      </w:pPr>
      <w:r w:rsidRPr="00C4589D">
        <w:rPr>
          <w:sz w:val="26"/>
          <w:szCs w:val="26"/>
        </w:rPr>
        <w:t>Nevertheless, the OCA contends that, based on the possibility of substantial repairs deductions that can result in a reduction to income tax expense, Aqua should be required to account for the resulting impact on income tax expense in a regulatory liability account.  We agree with the ALJ’s reasoning that directing, rather than allowing, Aqua to defer and record specific expense reductions in a regulatory liability account requires the Commission to determine that such expense reduction amounts “are, or appear to be, extraordinary, substantial, and non-recurring.”  R.D. at 96 (</w:t>
      </w:r>
      <w:r w:rsidRPr="004B1ABE">
        <w:rPr>
          <w:sz w:val="26"/>
          <w:szCs w:val="26"/>
        </w:rPr>
        <w:t>citing</w:t>
      </w:r>
      <w:r w:rsidRPr="003A3954">
        <w:rPr>
          <w:i/>
          <w:iCs/>
          <w:sz w:val="26"/>
          <w:szCs w:val="26"/>
        </w:rPr>
        <w:t xml:space="preserve"> </w:t>
      </w:r>
      <w:r w:rsidRPr="00C4589D">
        <w:rPr>
          <w:i/>
          <w:iCs/>
          <w:sz w:val="26"/>
          <w:szCs w:val="26"/>
        </w:rPr>
        <w:t>TCJA 2017</w:t>
      </w:r>
      <w:r w:rsidRPr="00C4589D">
        <w:rPr>
          <w:sz w:val="26"/>
          <w:szCs w:val="26"/>
        </w:rPr>
        <w:t>).  Given that the record evidence does not support a finding that the repairs deductions for the LMT system will be substantial, we conclude that the OCA’s proposal that, as a condition of the LMT acquisition, the Company be required to account for the tax savings effect resulting from claimed repairs to the LMT system in a regulatory liability account, be denied.</w:t>
      </w:r>
      <w:r w:rsidR="00F259FD" w:rsidRPr="00F259FD">
        <w:rPr>
          <w:sz w:val="26"/>
          <w:szCs w:val="26"/>
          <w:vertAlign w:val="superscript"/>
        </w:rPr>
        <w:t xml:space="preserve"> </w:t>
      </w:r>
      <w:r w:rsidR="00F259FD" w:rsidRPr="00F259FD">
        <w:rPr>
          <w:sz w:val="26"/>
          <w:szCs w:val="26"/>
          <w:vertAlign w:val="superscript"/>
        </w:rPr>
        <w:footnoteReference w:id="36"/>
      </w:r>
    </w:p>
    <w:p w14:paraId="19171AE5" w14:textId="77777777" w:rsidR="00B121E9" w:rsidRPr="00CE1D00" w:rsidRDefault="00B121E9" w:rsidP="00950AF2">
      <w:pPr>
        <w:widowControl/>
        <w:spacing w:line="360" w:lineRule="auto"/>
        <w:rPr>
          <w:sz w:val="26"/>
          <w:szCs w:val="26"/>
        </w:rPr>
      </w:pPr>
    </w:p>
    <w:p w14:paraId="2650CB59" w14:textId="77A9EBC9" w:rsidR="00073000" w:rsidRPr="00DA2034" w:rsidRDefault="00073000" w:rsidP="00967CCA">
      <w:pPr>
        <w:pStyle w:val="Heading1"/>
        <w:keepNext/>
      </w:pPr>
      <w:bookmarkStart w:id="95" w:name="_Toc90970750"/>
      <w:bookmarkStart w:id="96" w:name="_Hlk89433995"/>
      <w:r w:rsidRPr="00DA2034">
        <w:t>Conclusion</w:t>
      </w:r>
      <w:bookmarkEnd w:id="95"/>
    </w:p>
    <w:bookmarkEnd w:id="96"/>
    <w:p w14:paraId="167B00AE" w14:textId="1D702AD8" w:rsidR="00A05D2B" w:rsidRDefault="00A05D2B" w:rsidP="00950AF2">
      <w:pPr>
        <w:widowControl/>
        <w:spacing w:line="360" w:lineRule="auto"/>
        <w:rPr>
          <w:sz w:val="26"/>
        </w:rPr>
      </w:pPr>
    </w:p>
    <w:p w14:paraId="73285AD6" w14:textId="52B2C910" w:rsidR="006067A0" w:rsidRDefault="006067A0" w:rsidP="00F829ED">
      <w:pPr>
        <w:widowControl/>
        <w:spacing w:line="360" w:lineRule="auto"/>
        <w:ind w:firstLine="1440"/>
        <w:rPr>
          <w:b/>
          <w:sz w:val="26"/>
          <w:szCs w:val="26"/>
        </w:rPr>
      </w:pPr>
      <w:r w:rsidRPr="003C351F">
        <w:rPr>
          <w:color w:val="000000"/>
          <w:sz w:val="26"/>
          <w:szCs w:val="26"/>
        </w:rPr>
        <w:t xml:space="preserve">Based </w:t>
      </w:r>
      <w:r w:rsidR="009A7A1D">
        <w:rPr>
          <w:color w:val="000000"/>
          <w:sz w:val="26"/>
          <w:szCs w:val="26"/>
        </w:rPr>
        <w:t xml:space="preserve">on the foregoing discussion, we </w:t>
      </w:r>
      <w:r w:rsidR="00871104">
        <w:rPr>
          <w:color w:val="000000"/>
          <w:sz w:val="26"/>
          <w:szCs w:val="26"/>
        </w:rPr>
        <w:t>shall</w:t>
      </w:r>
      <w:r w:rsidR="00F829ED" w:rsidRPr="00F829ED">
        <w:rPr>
          <w:color w:val="000000"/>
          <w:sz w:val="26"/>
          <w:szCs w:val="26"/>
        </w:rPr>
        <w:t xml:space="preserve">: </w:t>
      </w:r>
      <w:r w:rsidR="0095432C">
        <w:rPr>
          <w:color w:val="000000"/>
          <w:sz w:val="26"/>
          <w:szCs w:val="26"/>
        </w:rPr>
        <w:t xml:space="preserve"> </w:t>
      </w:r>
      <w:r w:rsidR="00F829ED" w:rsidRPr="00F829ED">
        <w:rPr>
          <w:color w:val="000000"/>
          <w:sz w:val="26"/>
          <w:szCs w:val="26"/>
        </w:rPr>
        <w:t>(1) grant, in part, and deny, in part, the Exceptions of Aqua; (2) deny the Exceptions of the OCA; (3) adopt the ALJ’s Recommended Decision, as modified, consistent with this Opinion and Order; and (4)</w:t>
      </w:r>
      <w:r w:rsidR="00967CCA">
        <w:rPr>
          <w:color w:val="000000"/>
          <w:sz w:val="26"/>
          <w:szCs w:val="26"/>
        </w:rPr>
        <w:t> </w:t>
      </w:r>
      <w:r w:rsidR="00F829ED" w:rsidRPr="00F829ED">
        <w:rPr>
          <w:color w:val="000000"/>
          <w:sz w:val="26"/>
          <w:szCs w:val="26"/>
        </w:rPr>
        <w:t>approve the Joint Petition, without modification, as being in the public interest</w:t>
      </w:r>
      <w:r w:rsidR="00E676F4">
        <w:rPr>
          <w:color w:val="000000"/>
          <w:sz w:val="26"/>
          <w:szCs w:val="26"/>
        </w:rPr>
        <w:t>, consistent with this Opinion and Order</w:t>
      </w:r>
      <w:r w:rsidRPr="003C351F">
        <w:rPr>
          <w:sz w:val="26"/>
          <w:szCs w:val="26"/>
        </w:rPr>
        <w:t xml:space="preserve">; </w:t>
      </w:r>
      <w:r w:rsidRPr="003C351F">
        <w:rPr>
          <w:b/>
          <w:sz w:val="26"/>
          <w:szCs w:val="26"/>
        </w:rPr>
        <w:t>THEREFORE,</w:t>
      </w:r>
    </w:p>
    <w:p w14:paraId="717C65F9" w14:textId="77777777" w:rsidR="00F829ED" w:rsidRPr="00F829ED" w:rsidRDefault="00F829ED" w:rsidP="00F829ED">
      <w:pPr>
        <w:widowControl/>
        <w:spacing w:line="360" w:lineRule="auto"/>
        <w:ind w:firstLine="1440"/>
        <w:rPr>
          <w:color w:val="000000"/>
          <w:sz w:val="26"/>
          <w:szCs w:val="26"/>
        </w:rPr>
      </w:pPr>
    </w:p>
    <w:p w14:paraId="3DD28D83" w14:textId="77777777" w:rsidR="006067A0" w:rsidRPr="006067A0" w:rsidRDefault="006067A0" w:rsidP="006067A0">
      <w:pPr>
        <w:widowControl/>
        <w:spacing w:after="200" w:line="360" w:lineRule="auto"/>
        <w:ind w:firstLine="1440"/>
        <w:contextualSpacing/>
        <w:rPr>
          <w:rFonts w:eastAsiaTheme="minorHAnsi"/>
          <w:b/>
          <w:sz w:val="26"/>
          <w:szCs w:val="26"/>
        </w:rPr>
      </w:pPr>
      <w:r w:rsidRPr="006067A0">
        <w:rPr>
          <w:rFonts w:eastAsiaTheme="minorHAnsi"/>
          <w:b/>
          <w:sz w:val="26"/>
          <w:szCs w:val="26"/>
        </w:rPr>
        <w:t>IT IS ORDERED:</w:t>
      </w:r>
    </w:p>
    <w:p w14:paraId="518BA6CB" w14:textId="77777777" w:rsidR="006067A0" w:rsidRPr="006067A0" w:rsidRDefault="006067A0" w:rsidP="006067A0">
      <w:pPr>
        <w:widowControl/>
        <w:spacing w:after="200" w:line="360" w:lineRule="auto"/>
        <w:ind w:firstLine="1440"/>
        <w:contextualSpacing/>
        <w:rPr>
          <w:rFonts w:eastAsiaTheme="minorHAnsi"/>
          <w:sz w:val="26"/>
          <w:szCs w:val="26"/>
        </w:rPr>
      </w:pPr>
    </w:p>
    <w:p w14:paraId="758A892B" w14:textId="186F5997" w:rsidR="006067A0" w:rsidRDefault="006067A0" w:rsidP="006067A0">
      <w:pPr>
        <w:widowControl/>
        <w:spacing w:after="200" w:line="360" w:lineRule="auto"/>
        <w:ind w:firstLine="1440"/>
        <w:contextualSpacing/>
        <w:rPr>
          <w:sz w:val="26"/>
        </w:rPr>
      </w:pPr>
      <w:r w:rsidRPr="006067A0">
        <w:rPr>
          <w:rFonts w:eastAsiaTheme="minorHAnsi"/>
          <w:sz w:val="26"/>
          <w:szCs w:val="26"/>
        </w:rPr>
        <w:t>1.</w:t>
      </w:r>
      <w:r w:rsidRPr="006067A0">
        <w:rPr>
          <w:rFonts w:eastAsiaTheme="minorHAnsi"/>
          <w:sz w:val="26"/>
          <w:szCs w:val="26"/>
        </w:rPr>
        <w:tab/>
      </w:r>
      <w:r w:rsidRPr="00B16EE3">
        <w:rPr>
          <w:rFonts w:eastAsiaTheme="minorHAnsi"/>
          <w:sz w:val="26"/>
          <w:szCs w:val="26"/>
        </w:rPr>
        <w:t xml:space="preserve">That </w:t>
      </w:r>
      <w:r w:rsidR="006F56CC">
        <w:rPr>
          <w:rFonts w:eastAsiaTheme="minorHAnsi"/>
          <w:sz w:val="26"/>
          <w:szCs w:val="26"/>
        </w:rPr>
        <w:t>the Exceptions of Aqua Pennsylvania Wastewater, Inc.</w:t>
      </w:r>
      <w:r w:rsidR="00171B97">
        <w:rPr>
          <w:rFonts w:eastAsiaTheme="minorHAnsi"/>
          <w:sz w:val="26"/>
          <w:szCs w:val="26"/>
        </w:rPr>
        <w:t xml:space="preserve"> filed</w:t>
      </w:r>
      <w:r w:rsidR="006F56CC">
        <w:rPr>
          <w:rFonts w:eastAsiaTheme="minorHAnsi"/>
          <w:sz w:val="26"/>
          <w:szCs w:val="26"/>
        </w:rPr>
        <w:t xml:space="preserve"> on November 29, 2021, to the Recommended Decision of Administrative Law Judge </w:t>
      </w:r>
      <w:r w:rsidR="006F56CC">
        <w:rPr>
          <w:sz w:val="26"/>
        </w:rPr>
        <w:t>Jeffrey</w:t>
      </w:r>
      <w:r w:rsidR="00967CCA">
        <w:rPr>
          <w:sz w:val="26"/>
        </w:rPr>
        <w:t> </w:t>
      </w:r>
      <w:r w:rsidR="006F56CC">
        <w:rPr>
          <w:sz w:val="26"/>
        </w:rPr>
        <w:t>A. Watson, issued on November 17, 2021</w:t>
      </w:r>
      <w:r w:rsidR="00171B97">
        <w:rPr>
          <w:sz w:val="26"/>
        </w:rPr>
        <w:t>, are granted, in part, and denied, in part, consistent with this Opinion and Order.</w:t>
      </w:r>
    </w:p>
    <w:p w14:paraId="5EBD2524" w14:textId="77777777" w:rsidR="006067A0" w:rsidRPr="006067A0" w:rsidRDefault="006067A0" w:rsidP="00044BF6">
      <w:pPr>
        <w:widowControl/>
        <w:spacing w:after="200" w:line="360" w:lineRule="auto"/>
        <w:contextualSpacing/>
        <w:rPr>
          <w:rFonts w:eastAsiaTheme="minorHAnsi"/>
          <w:sz w:val="26"/>
          <w:szCs w:val="26"/>
        </w:rPr>
      </w:pPr>
    </w:p>
    <w:p w14:paraId="1946ACEC" w14:textId="02E77844" w:rsidR="006067A0" w:rsidRDefault="006067A0" w:rsidP="006067A0">
      <w:pPr>
        <w:widowControl/>
        <w:spacing w:after="200" w:line="360" w:lineRule="auto"/>
        <w:ind w:firstLine="1440"/>
        <w:contextualSpacing/>
        <w:rPr>
          <w:rFonts w:eastAsiaTheme="minorHAnsi"/>
          <w:sz w:val="26"/>
          <w:szCs w:val="26"/>
        </w:rPr>
      </w:pPr>
      <w:r w:rsidRPr="006067A0">
        <w:rPr>
          <w:rFonts w:eastAsiaTheme="minorHAnsi"/>
          <w:sz w:val="26"/>
          <w:szCs w:val="26"/>
        </w:rPr>
        <w:t>2.</w:t>
      </w:r>
      <w:r w:rsidRPr="006067A0">
        <w:rPr>
          <w:rFonts w:eastAsiaTheme="minorHAnsi"/>
          <w:sz w:val="26"/>
          <w:szCs w:val="26"/>
        </w:rPr>
        <w:tab/>
      </w:r>
      <w:bookmarkStart w:id="97" w:name="_Hlk527442937"/>
      <w:r w:rsidRPr="006067A0">
        <w:rPr>
          <w:rFonts w:eastAsiaTheme="minorHAnsi"/>
          <w:sz w:val="26"/>
          <w:szCs w:val="26"/>
        </w:rPr>
        <w:t>That</w:t>
      </w:r>
      <w:r w:rsidR="00171B97">
        <w:rPr>
          <w:rFonts w:eastAsiaTheme="minorHAnsi"/>
          <w:sz w:val="26"/>
          <w:szCs w:val="26"/>
        </w:rPr>
        <w:t xml:space="preserve"> the Exception of the Office of Consumer Advocate filed on November 29, 2021, to the Recommended Decision of Administrative Law Judge Jeffrey</w:t>
      </w:r>
      <w:r w:rsidR="00967CCA">
        <w:rPr>
          <w:rFonts w:eastAsiaTheme="minorHAnsi"/>
          <w:sz w:val="26"/>
          <w:szCs w:val="26"/>
        </w:rPr>
        <w:t> </w:t>
      </w:r>
      <w:r w:rsidR="00171B97">
        <w:rPr>
          <w:rFonts w:eastAsiaTheme="minorHAnsi"/>
          <w:sz w:val="26"/>
          <w:szCs w:val="26"/>
        </w:rPr>
        <w:t>A. Watson, issued on November 17, 2021, is denied, consistent with this Opinion and Order.</w:t>
      </w:r>
    </w:p>
    <w:bookmarkEnd w:id="97"/>
    <w:p w14:paraId="52592F93" w14:textId="77777777" w:rsidR="006E40BB" w:rsidRPr="006067A0" w:rsidRDefault="006E40BB" w:rsidP="00833D56">
      <w:pPr>
        <w:widowControl/>
        <w:spacing w:after="200" w:line="360" w:lineRule="auto"/>
        <w:contextualSpacing/>
        <w:rPr>
          <w:rFonts w:eastAsiaTheme="minorHAnsi"/>
          <w:sz w:val="26"/>
          <w:szCs w:val="26"/>
        </w:rPr>
      </w:pPr>
    </w:p>
    <w:p w14:paraId="00822005" w14:textId="4603839F" w:rsidR="006067A0" w:rsidRDefault="00AD4F26" w:rsidP="006067A0">
      <w:pPr>
        <w:widowControl/>
        <w:spacing w:after="200" w:line="360" w:lineRule="auto"/>
        <w:ind w:firstLine="1440"/>
        <w:contextualSpacing/>
        <w:rPr>
          <w:rFonts w:eastAsiaTheme="minorHAnsi"/>
          <w:sz w:val="26"/>
          <w:szCs w:val="26"/>
        </w:rPr>
      </w:pPr>
      <w:r>
        <w:rPr>
          <w:rFonts w:eastAsiaTheme="minorHAnsi"/>
          <w:sz w:val="26"/>
          <w:szCs w:val="26"/>
        </w:rPr>
        <w:t>3</w:t>
      </w:r>
      <w:r w:rsidR="006067A0" w:rsidRPr="006067A0">
        <w:rPr>
          <w:rFonts w:eastAsiaTheme="minorHAnsi"/>
          <w:sz w:val="26"/>
          <w:szCs w:val="26"/>
        </w:rPr>
        <w:t>.</w:t>
      </w:r>
      <w:r w:rsidR="006067A0" w:rsidRPr="006067A0">
        <w:rPr>
          <w:rFonts w:eastAsiaTheme="minorHAnsi"/>
          <w:sz w:val="26"/>
          <w:szCs w:val="26"/>
        </w:rPr>
        <w:tab/>
      </w:r>
      <w:r w:rsidR="006067A0" w:rsidRPr="00B16EE3">
        <w:rPr>
          <w:rFonts w:eastAsiaTheme="minorHAnsi"/>
          <w:sz w:val="26"/>
          <w:szCs w:val="26"/>
        </w:rPr>
        <w:t xml:space="preserve">That </w:t>
      </w:r>
      <w:r w:rsidR="00171B97">
        <w:rPr>
          <w:rFonts w:eastAsiaTheme="minorHAnsi"/>
          <w:sz w:val="26"/>
          <w:szCs w:val="26"/>
        </w:rPr>
        <w:t>the Recommended Decision of Administrative Law Judge Jeffrey A. Watson, issued on November 17, 2021, is adopted as modified, consistent with this Opinion and Order.</w:t>
      </w:r>
    </w:p>
    <w:p w14:paraId="0FDD4A4C" w14:textId="37780FCA" w:rsidR="00171B97" w:rsidRDefault="00171B97" w:rsidP="006067A0">
      <w:pPr>
        <w:widowControl/>
        <w:spacing w:after="200" w:line="360" w:lineRule="auto"/>
        <w:ind w:firstLine="1440"/>
        <w:contextualSpacing/>
        <w:rPr>
          <w:rFonts w:eastAsiaTheme="minorHAnsi"/>
          <w:sz w:val="26"/>
          <w:szCs w:val="26"/>
        </w:rPr>
      </w:pPr>
    </w:p>
    <w:p w14:paraId="14028B7B" w14:textId="55BDB007" w:rsidR="00171B97" w:rsidRDefault="00171B97" w:rsidP="006067A0">
      <w:pPr>
        <w:widowControl/>
        <w:spacing w:after="200" w:line="360" w:lineRule="auto"/>
        <w:ind w:firstLine="1440"/>
        <w:contextualSpacing/>
        <w:rPr>
          <w:rFonts w:eastAsiaTheme="minorHAnsi"/>
          <w:sz w:val="26"/>
          <w:szCs w:val="26"/>
        </w:rPr>
      </w:pPr>
      <w:r>
        <w:rPr>
          <w:rFonts w:eastAsiaTheme="minorHAnsi"/>
          <w:sz w:val="26"/>
          <w:szCs w:val="26"/>
        </w:rPr>
        <w:t>4.</w:t>
      </w:r>
      <w:r>
        <w:rPr>
          <w:rFonts w:eastAsiaTheme="minorHAnsi"/>
          <w:sz w:val="26"/>
          <w:szCs w:val="26"/>
        </w:rPr>
        <w:tab/>
        <w:t xml:space="preserve">That the </w:t>
      </w:r>
      <w:r w:rsidRPr="00171B97">
        <w:rPr>
          <w:rFonts w:eastAsiaTheme="minorHAnsi"/>
          <w:sz w:val="26"/>
          <w:szCs w:val="26"/>
        </w:rPr>
        <w:t>Joint Petition for Approval of Partial Settlement filed by</w:t>
      </w:r>
      <w:r w:rsidR="00B220B5">
        <w:rPr>
          <w:rFonts w:eastAsiaTheme="minorHAnsi"/>
          <w:sz w:val="26"/>
          <w:szCs w:val="26"/>
        </w:rPr>
        <w:t xml:space="preserve"> </w:t>
      </w:r>
      <w:r w:rsidRPr="00171B97">
        <w:rPr>
          <w:rFonts w:eastAsiaTheme="minorHAnsi"/>
          <w:sz w:val="26"/>
          <w:szCs w:val="26"/>
        </w:rPr>
        <w:t>Aqua</w:t>
      </w:r>
      <w:r w:rsidR="00B220B5">
        <w:rPr>
          <w:rFonts w:eastAsiaTheme="minorHAnsi"/>
          <w:sz w:val="26"/>
          <w:szCs w:val="26"/>
        </w:rPr>
        <w:t xml:space="preserve"> Pennsylvania Wastewater, Inc.</w:t>
      </w:r>
      <w:r w:rsidRPr="00171B97">
        <w:rPr>
          <w:rFonts w:eastAsiaTheme="minorHAnsi"/>
          <w:sz w:val="26"/>
          <w:szCs w:val="26"/>
        </w:rPr>
        <w:t>, the Commission’s Bureau of Investigation and Enforcement, the</w:t>
      </w:r>
      <w:r w:rsidR="00B220B5">
        <w:rPr>
          <w:rFonts w:eastAsiaTheme="minorHAnsi"/>
          <w:sz w:val="26"/>
          <w:szCs w:val="26"/>
        </w:rPr>
        <w:t xml:space="preserve"> Office of Consumer Advocate</w:t>
      </w:r>
      <w:r w:rsidRPr="00171B97">
        <w:rPr>
          <w:rFonts w:eastAsiaTheme="minorHAnsi"/>
          <w:sz w:val="26"/>
          <w:szCs w:val="26"/>
        </w:rPr>
        <w:t>, the Office of Small Business Advocate, and Lower Makefield Township on October 8, 2021</w:t>
      </w:r>
      <w:r w:rsidR="00B220B5">
        <w:rPr>
          <w:rFonts w:eastAsiaTheme="minorHAnsi"/>
          <w:sz w:val="26"/>
          <w:szCs w:val="26"/>
        </w:rPr>
        <w:t>, at Docket No. A-2021-3024267, including all terms and conditions thereof, is approved without modification.</w:t>
      </w:r>
    </w:p>
    <w:p w14:paraId="03BEF76A" w14:textId="19C6ADDF" w:rsidR="00B220B5" w:rsidRDefault="00B220B5" w:rsidP="006067A0">
      <w:pPr>
        <w:widowControl/>
        <w:spacing w:after="200" w:line="360" w:lineRule="auto"/>
        <w:ind w:firstLine="1440"/>
        <w:contextualSpacing/>
        <w:rPr>
          <w:rFonts w:eastAsiaTheme="minorHAnsi"/>
          <w:sz w:val="26"/>
          <w:szCs w:val="26"/>
        </w:rPr>
      </w:pPr>
      <w:r>
        <w:rPr>
          <w:rFonts w:eastAsiaTheme="minorHAnsi"/>
          <w:sz w:val="26"/>
          <w:szCs w:val="26"/>
        </w:rPr>
        <w:t>5.</w:t>
      </w:r>
      <w:r>
        <w:rPr>
          <w:rFonts w:eastAsiaTheme="minorHAnsi"/>
          <w:sz w:val="26"/>
          <w:szCs w:val="26"/>
        </w:rPr>
        <w:tab/>
      </w:r>
      <w:r w:rsidR="009D7212">
        <w:rPr>
          <w:rFonts w:eastAsiaTheme="minorHAnsi"/>
          <w:sz w:val="26"/>
          <w:szCs w:val="26"/>
        </w:rPr>
        <w:t>That the Application of Aqua Pennsylvania, Inc., filed on</w:t>
      </w:r>
      <w:r w:rsidR="00B772E9">
        <w:rPr>
          <w:rFonts w:eastAsiaTheme="minorHAnsi"/>
          <w:sz w:val="26"/>
          <w:szCs w:val="26"/>
        </w:rPr>
        <w:t xml:space="preserve"> May</w:t>
      </w:r>
      <w:r w:rsidR="00967CCA">
        <w:rPr>
          <w:rFonts w:eastAsiaTheme="minorHAnsi"/>
          <w:sz w:val="26"/>
          <w:szCs w:val="26"/>
        </w:rPr>
        <w:t> </w:t>
      </w:r>
      <w:r w:rsidR="00B772E9">
        <w:rPr>
          <w:rFonts w:eastAsiaTheme="minorHAnsi"/>
          <w:sz w:val="26"/>
          <w:szCs w:val="26"/>
        </w:rPr>
        <w:t>14,</w:t>
      </w:r>
      <w:r w:rsidR="00967CCA">
        <w:rPr>
          <w:rFonts w:eastAsiaTheme="minorHAnsi"/>
          <w:sz w:val="26"/>
          <w:szCs w:val="26"/>
        </w:rPr>
        <w:t> </w:t>
      </w:r>
      <w:r w:rsidR="00B772E9">
        <w:rPr>
          <w:rFonts w:eastAsiaTheme="minorHAnsi"/>
          <w:sz w:val="26"/>
          <w:szCs w:val="26"/>
        </w:rPr>
        <w:t>2021, seeking approval of:</w:t>
      </w:r>
      <w:r w:rsidR="0095432C">
        <w:rPr>
          <w:rFonts w:eastAsiaTheme="minorHAnsi"/>
          <w:sz w:val="26"/>
          <w:szCs w:val="26"/>
        </w:rPr>
        <w:t xml:space="preserve"> </w:t>
      </w:r>
      <w:r w:rsidR="00B772E9">
        <w:rPr>
          <w:rFonts w:eastAsiaTheme="minorHAnsi"/>
          <w:sz w:val="26"/>
          <w:szCs w:val="26"/>
        </w:rPr>
        <w:t xml:space="preserve"> (1) the acquisition</w:t>
      </w:r>
      <w:r w:rsidR="00D35F1D">
        <w:rPr>
          <w:rFonts w:eastAsiaTheme="minorHAnsi"/>
          <w:sz w:val="26"/>
          <w:szCs w:val="26"/>
        </w:rPr>
        <w:t>, by Aqua Pennsylvania Wastewater, Inc., of the wastewater system assets of Lower Makefield Township situated within the Township of Lower Makefield and Yardley Borough, Bucks County, Pennsylvania, pursuant to 66 Pa. C.S. § 1102(a)(3); (2) the right of Aqua Pennsylvania Wastewater, Inc. to begin to offer, render, furnish, and supply wastewater service to the public in Lower Makefield Township, pursuant to 66 Pa. C.S. § 1102(a)(1); (3)</w:t>
      </w:r>
      <w:r w:rsidR="0057689B">
        <w:rPr>
          <w:rFonts w:eastAsiaTheme="minorHAnsi"/>
          <w:sz w:val="26"/>
          <w:szCs w:val="26"/>
        </w:rPr>
        <w:t xml:space="preserve"> certain contracts in connection with the proposed acquisition, including the assignments of certain contracts, pursuant to 66 Pa. C.S. § 507; </w:t>
      </w:r>
      <w:bookmarkStart w:id="98" w:name="_Hlk90991701"/>
      <w:r w:rsidR="0057689B">
        <w:rPr>
          <w:rFonts w:eastAsiaTheme="minorHAnsi"/>
          <w:sz w:val="26"/>
          <w:szCs w:val="26"/>
        </w:rPr>
        <w:t>and (4) an order establishing the ratemaking rate base of Lower Makefield Township’s wastewater system assets pursuant to 66 Pa. C.S. §</w:t>
      </w:r>
      <w:r w:rsidR="00967CCA">
        <w:rPr>
          <w:rFonts w:eastAsiaTheme="minorHAnsi"/>
          <w:sz w:val="26"/>
          <w:szCs w:val="26"/>
        </w:rPr>
        <w:t> </w:t>
      </w:r>
      <w:r w:rsidR="0057689B">
        <w:rPr>
          <w:rFonts w:eastAsiaTheme="minorHAnsi"/>
          <w:sz w:val="26"/>
          <w:szCs w:val="26"/>
        </w:rPr>
        <w:t>1329(c)(2), is approved subject to the following conditions in (a)</w:t>
      </w:r>
      <w:r w:rsidR="00967CCA">
        <w:rPr>
          <w:rFonts w:eastAsiaTheme="minorHAnsi"/>
          <w:sz w:val="26"/>
          <w:szCs w:val="26"/>
        </w:rPr>
        <w:t> </w:t>
      </w:r>
      <w:r w:rsidR="0057689B">
        <w:rPr>
          <w:rFonts w:eastAsiaTheme="minorHAnsi"/>
          <w:sz w:val="26"/>
          <w:szCs w:val="26"/>
        </w:rPr>
        <w:t>through</w:t>
      </w:r>
      <w:r w:rsidR="00967CCA">
        <w:rPr>
          <w:rFonts w:eastAsiaTheme="minorHAnsi"/>
          <w:sz w:val="26"/>
          <w:szCs w:val="26"/>
        </w:rPr>
        <w:t> </w:t>
      </w:r>
      <w:r w:rsidR="0057689B">
        <w:rPr>
          <w:rFonts w:eastAsiaTheme="minorHAnsi"/>
          <w:sz w:val="26"/>
          <w:szCs w:val="26"/>
        </w:rPr>
        <w:t>(</w:t>
      </w:r>
      <w:r w:rsidR="00F56071">
        <w:rPr>
          <w:rFonts w:eastAsiaTheme="minorHAnsi"/>
          <w:sz w:val="26"/>
          <w:szCs w:val="26"/>
        </w:rPr>
        <w:t>p</w:t>
      </w:r>
      <w:r w:rsidR="0057689B">
        <w:rPr>
          <w:rFonts w:eastAsiaTheme="minorHAnsi"/>
          <w:sz w:val="26"/>
          <w:szCs w:val="26"/>
        </w:rPr>
        <w:t xml:space="preserve">) below, and subject to Ordering Paragraph Nos. </w:t>
      </w:r>
      <w:r w:rsidR="00403CFB">
        <w:rPr>
          <w:rFonts w:eastAsiaTheme="minorHAnsi"/>
          <w:sz w:val="26"/>
          <w:szCs w:val="26"/>
        </w:rPr>
        <w:t>6</w:t>
      </w:r>
      <w:r w:rsidR="00091CDA">
        <w:rPr>
          <w:rFonts w:eastAsiaTheme="minorHAnsi"/>
          <w:sz w:val="26"/>
          <w:szCs w:val="26"/>
        </w:rPr>
        <w:t>, 7</w:t>
      </w:r>
      <w:r w:rsidR="00CF3E06">
        <w:rPr>
          <w:rFonts w:eastAsiaTheme="minorHAnsi"/>
          <w:sz w:val="26"/>
          <w:szCs w:val="26"/>
        </w:rPr>
        <w:t>, 8</w:t>
      </w:r>
      <w:r w:rsidR="00E21489">
        <w:rPr>
          <w:rFonts w:eastAsiaTheme="minorHAnsi"/>
          <w:sz w:val="26"/>
          <w:szCs w:val="26"/>
        </w:rPr>
        <w:t xml:space="preserve"> and </w:t>
      </w:r>
      <w:r w:rsidR="00091CDA">
        <w:rPr>
          <w:rFonts w:eastAsiaTheme="minorHAnsi"/>
          <w:sz w:val="26"/>
          <w:szCs w:val="26"/>
        </w:rPr>
        <w:t>1</w:t>
      </w:r>
      <w:r w:rsidR="00CF3E06">
        <w:rPr>
          <w:rFonts w:eastAsiaTheme="minorHAnsi"/>
          <w:sz w:val="26"/>
          <w:szCs w:val="26"/>
        </w:rPr>
        <w:t>1</w:t>
      </w:r>
      <w:r w:rsidR="0057689B">
        <w:rPr>
          <w:rFonts w:eastAsiaTheme="minorHAnsi"/>
          <w:sz w:val="26"/>
          <w:szCs w:val="26"/>
        </w:rPr>
        <w:t>, below:</w:t>
      </w:r>
      <w:bookmarkEnd w:id="98"/>
    </w:p>
    <w:p w14:paraId="533ECA80" w14:textId="7E85796A" w:rsidR="00EA1445" w:rsidRDefault="00EA1445" w:rsidP="00967CCA">
      <w:pPr>
        <w:widowControl/>
        <w:spacing w:after="200"/>
        <w:ind w:firstLine="1440"/>
        <w:contextualSpacing/>
        <w:rPr>
          <w:rFonts w:eastAsiaTheme="minorHAnsi"/>
          <w:sz w:val="26"/>
          <w:szCs w:val="26"/>
        </w:rPr>
      </w:pPr>
    </w:p>
    <w:p w14:paraId="45B06BBC" w14:textId="0743A912" w:rsidR="00F56071" w:rsidRPr="00FB0687" w:rsidRDefault="00F56071" w:rsidP="0053240F">
      <w:pPr>
        <w:widowControl/>
        <w:numPr>
          <w:ilvl w:val="0"/>
          <w:numId w:val="17"/>
        </w:numPr>
        <w:autoSpaceDE w:val="0"/>
        <w:autoSpaceDN w:val="0"/>
        <w:adjustRightInd w:val="0"/>
        <w:spacing w:line="360" w:lineRule="auto"/>
        <w:ind w:firstLine="720"/>
        <w:contextualSpacing/>
        <w:rPr>
          <w:rFonts w:eastAsiaTheme="minorHAnsi"/>
          <w:color w:val="000000"/>
          <w:sz w:val="26"/>
          <w:szCs w:val="26"/>
        </w:rPr>
      </w:pPr>
      <w:r w:rsidRPr="00FB0687">
        <w:rPr>
          <w:rFonts w:eastAsiaTheme="minorHAnsi"/>
          <w:color w:val="000000"/>
          <w:sz w:val="26"/>
          <w:szCs w:val="26"/>
        </w:rPr>
        <w:t>The pro forma tariff submitted with the Application, as amended in Aqua Pennsylvania Wastewater, Inc.’s supplemental information filed by letter dated June 21, 2021, including all rates, rules and regulations regarding conditions of Aqua’s wastewater service, shall be permitted to become effective immediately upon closing of the transaction.</w:t>
      </w:r>
    </w:p>
    <w:p w14:paraId="49B9D2E2" w14:textId="77777777" w:rsidR="00F56071" w:rsidRPr="00F56071" w:rsidRDefault="00F56071" w:rsidP="00F56071">
      <w:pPr>
        <w:widowControl/>
        <w:autoSpaceDE w:val="0"/>
        <w:autoSpaceDN w:val="0"/>
        <w:adjustRightInd w:val="0"/>
        <w:spacing w:line="360" w:lineRule="auto"/>
        <w:ind w:left="1440"/>
        <w:contextualSpacing/>
        <w:rPr>
          <w:rFonts w:eastAsiaTheme="minorHAnsi"/>
          <w:color w:val="000000"/>
          <w:sz w:val="26"/>
          <w:szCs w:val="26"/>
        </w:rPr>
      </w:pPr>
    </w:p>
    <w:p w14:paraId="592C87D0" w14:textId="4E50CA8F" w:rsidR="00EA1445" w:rsidRPr="00EA1445" w:rsidRDefault="00434015" w:rsidP="0053240F">
      <w:pPr>
        <w:widowControl/>
        <w:numPr>
          <w:ilvl w:val="0"/>
          <w:numId w:val="17"/>
        </w:numPr>
        <w:autoSpaceDE w:val="0"/>
        <w:autoSpaceDN w:val="0"/>
        <w:adjustRightInd w:val="0"/>
        <w:spacing w:line="360" w:lineRule="auto"/>
        <w:ind w:firstLine="720"/>
        <w:contextualSpacing/>
        <w:rPr>
          <w:rFonts w:eastAsiaTheme="minorHAnsi"/>
          <w:color w:val="000000"/>
          <w:sz w:val="26"/>
          <w:szCs w:val="26"/>
        </w:rPr>
      </w:pPr>
      <w:r>
        <w:rPr>
          <w:color w:val="000000"/>
          <w:sz w:val="26"/>
          <w:szCs w:val="26"/>
        </w:rPr>
        <w:t xml:space="preserve">On a going forward basis, Aqua Pennsylvania Wastewater, Inc. </w:t>
      </w:r>
      <w:r w:rsidR="00832E79">
        <w:rPr>
          <w:color w:val="000000"/>
          <w:sz w:val="26"/>
          <w:szCs w:val="26"/>
        </w:rPr>
        <w:t>shall</w:t>
      </w:r>
      <w:r>
        <w:rPr>
          <w:color w:val="000000"/>
          <w:sz w:val="26"/>
          <w:szCs w:val="26"/>
        </w:rPr>
        <w:t xml:space="preserve"> require engineering firms conducting Section 1329 assessments to present, as part of the engineering assessment, a detailed Engineer’s Assessment Study containing the seller’s utility assets description of the condition of inventory and assets</w:t>
      </w:r>
      <w:r w:rsidR="00EA1445" w:rsidRPr="00EA1445">
        <w:rPr>
          <w:sz w:val="26"/>
          <w:szCs w:val="26"/>
        </w:rPr>
        <w:t>.</w:t>
      </w:r>
      <w:r>
        <w:rPr>
          <w:sz w:val="26"/>
          <w:szCs w:val="26"/>
        </w:rPr>
        <w:t xml:space="preserve">  The designation of condition shall be limited to those assets that can be observed and whether the categories of system assets appraised are in poor, fair, </w:t>
      </w:r>
      <w:proofErr w:type="gramStart"/>
      <w:r>
        <w:rPr>
          <w:sz w:val="26"/>
          <w:szCs w:val="26"/>
        </w:rPr>
        <w:t>good</w:t>
      </w:r>
      <w:proofErr w:type="gramEnd"/>
      <w:r>
        <w:rPr>
          <w:sz w:val="26"/>
          <w:szCs w:val="26"/>
        </w:rPr>
        <w:t xml:space="preserve"> or very good condition.</w:t>
      </w:r>
    </w:p>
    <w:p w14:paraId="1C631DE4" w14:textId="77777777" w:rsidR="00EA1445" w:rsidRPr="00EA1445" w:rsidRDefault="00EA1445" w:rsidP="00EA1445">
      <w:pPr>
        <w:widowControl/>
        <w:autoSpaceDE w:val="0"/>
        <w:autoSpaceDN w:val="0"/>
        <w:adjustRightInd w:val="0"/>
        <w:spacing w:line="360" w:lineRule="auto"/>
        <w:ind w:left="1440"/>
        <w:contextualSpacing/>
        <w:rPr>
          <w:rFonts w:eastAsiaTheme="minorHAnsi"/>
          <w:color w:val="000000"/>
          <w:sz w:val="26"/>
          <w:szCs w:val="26"/>
        </w:rPr>
      </w:pPr>
    </w:p>
    <w:p w14:paraId="217E79D0" w14:textId="45B81E9E" w:rsidR="00EA1445" w:rsidRPr="00EA1445" w:rsidRDefault="00EA1445" w:rsidP="0053240F">
      <w:pPr>
        <w:widowControl/>
        <w:numPr>
          <w:ilvl w:val="0"/>
          <w:numId w:val="17"/>
        </w:numPr>
        <w:autoSpaceDE w:val="0"/>
        <w:autoSpaceDN w:val="0"/>
        <w:adjustRightInd w:val="0"/>
        <w:spacing w:line="360" w:lineRule="auto"/>
        <w:ind w:firstLine="720"/>
        <w:contextualSpacing/>
        <w:rPr>
          <w:sz w:val="26"/>
          <w:szCs w:val="26"/>
        </w:rPr>
      </w:pPr>
      <w:r w:rsidRPr="00EA1445">
        <w:rPr>
          <w:color w:val="000000"/>
          <w:sz w:val="26"/>
          <w:szCs w:val="26"/>
        </w:rPr>
        <w:t>Aqua Pennsylvania Wastewater, Inc.</w:t>
      </w:r>
      <w:r w:rsidRPr="00EA1445">
        <w:rPr>
          <w:sz w:val="26"/>
          <w:szCs w:val="26"/>
        </w:rPr>
        <w:t xml:space="preserve"> </w:t>
      </w:r>
      <w:r w:rsidRPr="00EA1445">
        <w:rPr>
          <w:rFonts w:eastAsiaTheme="minorHAnsi"/>
          <w:color w:val="000000"/>
          <w:sz w:val="26"/>
          <w:szCs w:val="26"/>
        </w:rPr>
        <w:t>and</w:t>
      </w:r>
      <w:r w:rsidR="003D244A">
        <w:rPr>
          <w:rFonts w:eastAsiaTheme="minorHAnsi"/>
          <w:color w:val="000000"/>
          <w:sz w:val="26"/>
          <w:szCs w:val="26"/>
        </w:rPr>
        <w:t xml:space="preserve"> Lower Makefield Township</w:t>
      </w:r>
      <w:r w:rsidRPr="00EA1445">
        <w:rPr>
          <w:rFonts w:eastAsiaTheme="minorHAnsi"/>
          <w:color w:val="000000"/>
          <w:sz w:val="26"/>
          <w:szCs w:val="26"/>
        </w:rPr>
        <w:t xml:space="preserve"> </w:t>
      </w:r>
      <w:r w:rsidR="00832E79">
        <w:rPr>
          <w:sz w:val="26"/>
          <w:szCs w:val="26"/>
        </w:rPr>
        <w:t>shall</w:t>
      </w:r>
      <w:r w:rsidRPr="00EA1445">
        <w:rPr>
          <w:sz w:val="26"/>
          <w:szCs w:val="26"/>
        </w:rPr>
        <w:t xml:space="preserve"> work to ensure the transfer of all real property rights including easements and missing easements as defined in the Asset Purchase Agreement </w:t>
      </w:r>
      <w:r w:rsidR="003D244A">
        <w:rPr>
          <w:sz w:val="26"/>
          <w:szCs w:val="26"/>
        </w:rPr>
        <w:t>by</w:t>
      </w:r>
      <w:r w:rsidRPr="00EA1445">
        <w:rPr>
          <w:sz w:val="26"/>
          <w:szCs w:val="26"/>
        </w:rPr>
        <w:t xml:space="preserve"> </w:t>
      </w:r>
      <w:r w:rsidR="003D244A">
        <w:rPr>
          <w:sz w:val="26"/>
          <w:szCs w:val="26"/>
        </w:rPr>
        <w:t>C</w:t>
      </w:r>
      <w:r w:rsidRPr="00EA1445">
        <w:rPr>
          <w:sz w:val="26"/>
          <w:szCs w:val="26"/>
        </w:rPr>
        <w:t>losing.</w:t>
      </w:r>
      <w:r w:rsidR="003D244A">
        <w:rPr>
          <w:sz w:val="26"/>
          <w:szCs w:val="26"/>
        </w:rPr>
        <w:t xml:space="preserve">  </w:t>
      </w:r>
      <w:r w:rsidR="003D244A" w:rsidRPr="003D244A">
        <w:rPr>
          <w:sz w:val="26"/>
          <w:szCs w:val="26"/>
        </w:rPr>
        <w:t>However, Aqua</w:t>
      </w:r>
      <w:r w:rsidR="003D244A">
        <w:rPr>
          <w:sz w:val="26"/>
          <w:szCs w:val="26"/>
        </w:rPr>
        <w:t xml:space="preserve"> Pennsylvania Wastewater, Inc.</w:t>
      </w:r>
      <w:r w:rsidR="003D244A" w:rsidRPr="003D244A">
        <w:rPr>
          <w:sz w:val="26"/>
          <w:szCs w:val="26"/>
        </w:rPr>
        <w:t xml:space="preserve"> shall</w:t>
      </w:r>
      <w:r w:rsidR="003D244A">
        <w:rPr>
          <w:sz w:val="26"/>
          <w:szCs w:val="26"/>
        </w:rPr>
        <w:t xml:space="preserve"> </w:t>
      </w:r>
      <w:r w:rsidR="003D244A" w:rsidRPr="003D244A">
        <w:rPr>
          <w:sz w:val="26"/>
          <w:szCs w:val="26"/>
        </w:rPr>
        <w:t xml:space="preserve">be permitted in its discretion to close without the transfer of </w:t>
      </w:r>
      <w:proofErr w:type="gramStart"/>
      <w:r w:rsidR="003D244A" w:rsidRPr="003D244A">
        <w:rPr>
          <w:sz w:val="26"/>
          <w:szCs w:val="26"/>
        </w:rPr>
        <w:t>all of</w:t>
      </w:r>
      <w:proofErr w:type="gramEnd"/>
      <w:r w:rsidR="003D244A" w:rsidRPr="003D244A">
        <w:rPr>
          <w:sz w:val="26"/>
          <w:szCs w:val="26"/>
        </w:rPr>
        <w:t xml:space="preserve"> the Real Property Rights, provided that an escrow is established from the Purchase Price to be used to obtain any post-Closing transfers of the Real Property</w:t>
      </w:r>
      <w:r w:rsidR="003D244A">
        <w:rPr>
          <w:sz w:val="26"/>
          <w:szCs w:val="26"/>
        </w:rPr>
        <w:t xml:space="preserve"> </w:t>
      </w:r>
      <w:r w:rsidR="003D244A" w:rsidRPr="003D244A">
        <w:rPr>
          <w:sz w:val="26"/>
          <w:szCs w:val="26"/>
        </w:rPr>
        <w:t>Rights</w:t>
      </w:r>
      <w:r w:rsidRPr="00EA1445">
        <w:rPr>
          <w:sz w:val="26"/>
          <w:szCs w:val="26"/>
        </w:rPr>
        <w:t xml:space="preserve">.  </w:t>
      </w:r>
      <w:r w:rsidRPr="00EA1445">
        <w:rPr>
          <w:color w:val="000000"/>
          <w:sz w:val="26"/>
          <w:szCs w:val="26"/>
        </w:rPr>
        <w:t>Aqua Pennsylvania Wastewater, Inc.</w:t>
      </w:r>
      <w:r w:rsidRPr="00EA1445">
        <w:rPr>
          <w:sz w:val="26"/>
          <w:szCs w:val="26"/>
        </w:rPr>
        <w:t xml:space="preserve"> </w:t>
      </w:r>
      <w:r w:rsidR="00832E79">
        <w:rPr>
          <w:sz w:val="26"/>
          <w:szCs w:val="26"/>
        </w:rPr>
        <w:t>shall</w:t>
      </w:r>
      <w:r w:rsidRPr="00EA1445">
        <w:rPr>
          <w:sz w:val="26"/>
          <w:szCs w:val="26"/>
        </w:rPr>
        <w:t xml:space="preserve"> provide an update to the Bureau of Investigation &amp; Enforcement</w:t>
      </w:r>
      <w:r w:rsidR="003D244A">
        <w:rPr>
          <w:sz w:val="26"/>
          <w:szCs w:val="26"/>
        </w:rPr>
        <w:t>, the Office of Consumer Advocate, and the Office of Small Business Advocate</w:t>
      </w:r>
      <w:r w:rsidRPr="00EA1445">
        <w:rPr>
          <w:sz w:val="26"/>
          <w:szCs w:val="26"/>
        </w:rPr>
        <w:t xml:space="preserve"> </w:t>
      </w:r>
      <w:r w:rsidR="003D244A">
        <w:rPr>
          <w:sz w:val="26"/>
          <w:szCs w:val="26"/>
        </w:rPr>
        <w:t>approximately thirty (30) days in advance of the anticipated Closing Date and a final update before Closing regarding</w:t>
      </w:r>
      <w:r w:rsidR="0057695E">
        <w:rPr>
          <w:sz w:val="26"/>
          <w:szCs w:val="26"/>
        </w:rPr>
        <w:t xml:space="preserve"> the status of the transfer of real property rights including easements related to the system</w:t>
      </w:r>
      <w:r w:rsidRPr="00EA1445">
        <w:rPr>
          <w:sz w:val="26"/>
          <w:szCs w:val="26"/>
        </w:rPr>
        <w:t xml:space="preserve">.  </w:t>
      </w:r>
    </w:p>
    <w:p w14:paraId="0C13ED11" w14:textId="77777777" w:rsidR="00EA1445" w:rsidRPr="00EA1445" w:rsidRDefault="00EA1445" w:rsidP="00EA1445">
      <w:pPr>
        <w:widowControl/>
        <w:spacing w:line="360" w:lineRule="auto"/>
        <w:ind w:left="720"/>
        <w:contextualSpacing/>
        <w:rPr>
          <w:color w:val="000000"/>
          <w:sz w:val="26"/>
          <w:szCs w:val="26"/>
        </w:rPr>
      </w:pPr>
    </w:p>
    <w:p w14:paraId="3A459235" w14:textId="664C5C44" w:rsidR="00EA1445" w:rsidRDefault="00692F5F" w:rsidP="0053240F">
      <w:pPr>
        <w:widowControl/>
        <w:numPr>
          <w:ilvl w:val="0"/>
          <w:numId w:val="17"/>
        </w:numPr>
        <w:autoSpaceDE w:val="0"/>
        <w:autoSpaceDN w:val="0"/>
        <w:adjustRightInd w:val="0"/>
        <w:spacing w:line="360" w:lineRule="auto"/>
        <w:ind w:firstLine="720"/>
        <w:contextualSpacing/>
        <w:rPr>
          <w:color w:val="000000"/>
          <w:sz w:val="26"/>
          <w:szCs w:val="26"/>
        </w:rPr>
      </w:pPr>
      <w:r w:rsidRPr="00692F5F">
        <w:rPr>
          <w:color w:val="000000"/>
          <w:sz w:val="26"/>
          <w:szCs w:val="26"/>
        </w:rPr>
        <w:t>In the first base rate case that includes Lower Makefield</w:t>
      </w:r>
      <w:r w:rsidR="00DA1C06">
        <w:rPr>
          <w:color w:val="000000"/>
          <w:sz w:val="26"/>
          <w:szCs w:val="26"/>
        </w:rPr>
        <w:t xml:space="preserve"> Township</w:t>
      </w:r>
      <w:r w:rsidRPr="00692F5F">
        <w:rPr>
          <w:color w:val="000000"/>
          <w:sz w:val="26"/>
          <w:szCs w:val="26"/>
        </w:rPr>
        <w:t xml:space="preserve"> wastewater</w:t>
      </w:r>
      <w:r>
        <w:rPr>
          <w:color w:val="000000"/>
          <w:sz w:val="26"/>
          <w:szCs w:val="26"/>
        </w:rPr>
        <w:t xml:space="preserve"> </w:t>
      </w:r>
      <w:r w:rsidRPr="00692F5F">
        <w:rPr>
          <w:color w:val="000000"/>
          <w:sz w:val="26"/>
          <w:szCs w:val="26"/>
        </w:rPr>
        <w:t xml:space="preserve">system assets, Aqua </w:t>
      </w:r>
      <w:r w:rsidR="00DA1C06">
        <w:rPr>
          <w:color w:val="000000"/>
          <w:sz w:val="26"/>
          <w:szCs w:val="26"/>
        </w:rPr>
        <w:t xml:space="preserve">Pennsylvania Wastewater, Inc. </w:t>
      </w:r>
      <w:r w:rsidR="00832E79">
        <w:rPr>
          <w:color w:val="000000"/>
          <w:sz w:val="26"/>
          <w:szCs w:val="26"/>
        </w:rPr>
        <w:t>shall</w:t>
      </w:r>
      <w:r w:rsidRPr="00692F5F">
        <w:rPr>
          <w:color w:val="000000"/>
          <w:sz w:val="26"/>
          <w:szCs w:val="26"/>
        </w:rPr>
        <w:t xml:space="preserve"> submit a wastewater cost of service study</w:t>
      </w:r>
      <w:r>
        <w:rPr>
          <w:color w:val="000000"/>
          <w:sz w:val="26"/>
          <w:szCs w:val="26"/>
        </w:rPr>
        <w:t xml:space="preserve"> </w:t>
      </w:r>
      <w:r w:rsidRPr="00692F5F">
        <w:rPr>
          <w:color w:val="000000"/>
          <w:sz w:val="26"/>
          <w:szCs w:val="26"/>
        </w:rPr>
        <w:t>that removes all costs and revenues associated with the operation of</w:t>
      </w:r>
      <w:r>
        <w:rPr>
          <w:color w:val="000000"/>
          <w:sz w:val="26"/>
          <w:szCs w:val="26"/>
        </w:rPr>
        <w:t xml:space="preserve"> </w:t>
      </w:r>
      <w:r w:rsidRPr="00692F5F">
        <w:rPr>
          <w:color w:val="000000"/>
          <w:sz w:val="26"/>
          <w:szCs w:val="26"/>
        </w:rPr>
        <w:t>the Lower Makefield</w:t>
      </w:r>
      <w:r w:rsidR="00DA1C06">
        <w:rPr>
          <w:color w:val="000000"/>
          <w:sz w:val="26"/>
          <w:szCs w:val="26"/>
        </w:rPr>
        <w:t xml:space="preserve"> Township wastewater</w:t>
      </w:r>
      <w:r w:rsidRPr="00692F5F">
        <w:rPr>
          <w:color w:val="000000"/>
          <w:sz w:val="26"/>
          <w:szCs w:val="26"/>
        </w:rPr>
        <w:t xml:space="preserve"> system.</w:t>
      </w:r>
    </w:p>
    <w:p w14:paraId="6F3D4651" w14:textId="77777777" w:rsidR="00692F5F" w:rsidRDefault="00692F5F" w:rsidP="00692F5F">
      <w:pPr>
        <w:pStyle w:val="ListParagraph"/>
        <w:rPr>
          <w:color w:val="000000"/>
          <w:sz w:val="26"/>
          <w:szCs w:val="26"/>
        </w:rPr>
      </w:pPr>
    </w:p>
    <w:p w14:paraId="695EA719" w14:textId="5C251E0A" w:rsidR="00692F5F" w:rsidRDefault="002058CD" w:rsidP="0053240F">
      <w:pPr>
        <w:widowControl/>
        <w:numPr>
          <w:ilvl w:val="0"/>
          <w:numId w:val="17"/>
        </w:numPr>
        <w:autoSpaceDE w:val="0"/>
        <w:autoSpaceDN w:val="0"/>
        <w:adjustRightInd w:val="0"/>
        <w:spacing w:line="360" w:lineRule="auto"/>
        <w:ind w:firstLine="720"/>
        <w:contextualSpacing/>
        <w:rPr>
          <w:color w:val="000000"/>
          <w:sz w:val="26"/>
          <w:szCs w:val="26"/>
        </w:rPr>
      </w:pPr>
      <w:r>
        <w:rPr>
          <w:color w:val="000000"/>
          <w:sz w:val="26"/>
          <w:szCs w:val="26"/>
        </w:rPr>
        <w:t xml:space="preserve">In the first </w:t>
      </w:r>
      <w:r w:rsidRPr="002058CD">
        <w:rPr>
          <w:color w:val="000000"/>
          <w:sz w:val="26"/>
          <w:szCs w:val="26"/>
        </w:rPr>
        <w:t xml:space="preserve">base rate case that includes Lower Makefield </w:t>
      </w:r>
      <w:r>
        <w:rPr>
          <w:color w:val="000000"/>
          <w:sz w:val="26"/>
          <w:szCs w:val="26"/>
        </w:rPr>
        <w:t xml:space="preserve">Township </w:t>
      </w:r>
      <w:r w:rsidRPr="002058CD">
        <w:rPr>
          <w:color w:val="000000"/>
          <w:sz w:val="26"/>
          <w:szCs w:val="26"/>
        </w:rPr>
        <w:t>wastewater</w:t>
      </w:r>
      <w:r>
        <w:rPr>
          <w:color w:val="000000"/>
          <w:sz w:val="26"/>
          <w:szCs w:val="26"/>
        </w:rPr>
        <w:t xml:space="preserve"> </w:t>
      </w:r>
      <w:r w:rsidRPr="002058CD">
        <w:rPr>
          <w:color w:val="000000"/>
          <w:sz w:val="26"/>
          <w:szCs w:val="26"/>
        </w:rPr>
        <w:t xml:space="preserve">system assets, Aqua </w:t>
      </w:r>
      <w:r w:rsidR="00832E79">
        <w:rPr>
          <w:color w:val="000000"/>
          <w:sz w:val="26"/>
          <w:szCs w:val="26"/>
        </w:rPr>
        <w:t>Pennsylvania Wastewater, Inc. shall</w:t>
      </w:r>
      <w:r w:rsidRPr="002058CD">
        <w:rPr>
          <w:color w:val="000000"/>
          <w:sz w:val="26"/>
          <w:szCs w:val="26"/>
        </w:rPr>
        <w:t xml:space="preserve"> also provide a separate cost of service study</w:t>
      </w:r>
      <w:r>
        <w:rPr>
          <w:color w:val="000000"/>
          <w:sz w:val="26"/>
          <w:szCs w:val="26"/>
        </w:rPr>
        <w:t xml:space="preserve"> </w:t>
      </w:r>
      <w:r w:rsidRPr="002058CD">
        <w:rPr>
          <w:color w:val="000000"/>
          <w:sz w:val="26"/>
          <w:szCs w:val="26"/>
        </w:rPr>
        <w:t>for the Lower Makefield</w:t>
      </w:r>
      <w:r>
        <w:rPr>
          <w:color w:val="000000"/>
          <w:sz w:val="26"/>
          <w:szCs w:val="26"/>
        </w:rPr>
        <w:t xml:space="preserve"> Township wastewater</w:t>
      </w:r>
      <w:r w:rsidRPr="002058CD">
        <w:rPr>
          <w:color w:val="000000"/>
          <w:sz w:val="26"/>
          <w:szCs w:val="26"/>
        </w:rPr>
        <w:t xml:space="preserve"> system. </w:t>
      </w:r>
      <w:r>
        <w:rPr>
          <w:color w:val="000000"/>
          <w:sz w:val="26"/>
          <w:szCs w:val="26"/>
        </w:rPr>
        <w:t xml:space="preserve"> </w:t>
      </w:r>
      <w:r w:rsidRPr="002058CD">
        <w:rPr>
          <w:color w:val="000000"/>
          <w:sz w:val="26"/>
          <w:szCs w:val="26"/>
        </w:rPr>
        <w:t>Aqua</w:t>
      </w:r>
      <w:r w:rsidR="00832E79">
        <w:rPr>
          <w:color w:val="000000"/>
          <w:sz w:val="26"/>
          <w:szCs w:val="26"/>
        </w:rPr>
        <w:t xml:space="preserve"> Pennsylvania Wastewater, Inc.</w:t>
      </w:r>
      <w:r w:rsidRPr="002058CD">
        <w:rPr>
          <w:color w:val="000000"/>
          <w:sz w:val="26"/>
          <w:szCs w:val="26"/>
        </w:rPr>
        <w:t xml:space="preserve"> </w:t>
      </w:r>
      <w:r w:rsidR="00832E79">
        <w:rPr>
          <w:color w:val="000000"/>
          <w:sz w:val="26"/>
          <w:szCs w:val="26"/>
        </w:rPr>
        <w:t>shall</w:t>
      </w:r>
      <w:r w:rsidRPr="002058CD">
        <w:rPr>
          <w:color w:val="000000"/>
          <w:sz w:val="26"/>
          <w:szCs w:val="26"/>
        </w:rPr>
        <w:t xml:space="preserve"> file a Cost of Service</w:t>
      </w:r>
      <w:r>
        <w:rPr>
          <w:color w:val="000000"/>
          <w:sz w:val="26"/>
          <w:szCs w:val="26"/>
        </w:rPr>
        <w:t xml:space="preserve"> </w:t>
      </w:r>
      <w:r w:rsidRPr="002058CD">
        <w:rPr>
          <w:color w:val="000000"/>
          <w:sz w:val="26"/>
          <w:szCs w:val="26"/>
        </w:rPr>
        <w:t xml:space="preserve">Study separately for the Lower Makefield </w:t>
      </w:r>
      <w:r>
        <w:rPr>
          <w:color w:val="000000"/>
          <w:sz w:val="26"/>
          <w:szCs w:val="26"/>
        </w:rPr>
        <w:t xml:space="preserve">Township wastewater </w:t>
      </w:r>
      <w:r w:rsidRPr="002058CD">
        <w:rPr>
          <w:color w:val="000000"/>
          <w:sz w:val="26"/>
          <w:szCs w:val="26"/>
        </w:rPr>
        <w:t>system consistent with</w:t>
      </w:r>
      <w:r>
        <w:rPr>
          <w:color w:val="000000"/>
          <w:sz w:val="26"/>
          <w:szCs w:val="26"/>
        </w:rPr>
        <w:t xml:space="preserve"> </w:t>
      </w:r>
      <w:r w:rsidRPr="002058CD">
        <w:rPr>
          <w:color w:val="000000"/>
          <w:sz w:val="26"/>
          <w:szCs w:val="26"/>
        </w:rPr>
        <w:t>typically filed rate making exhibits including, but not limited to the</w:t>
      </w:r>
      <w:r>
        <w:rPr>
          <w:color w:val="000000"/>
          <w:sz w:val="26"/>
          <w:szCs w:val="26"/>
        </w:rPr>
        <w:t xml:space="preserve"> </w:t>
      </w:r>
      <w:r w:rsidRPr="002058CD">
        <w:rPr>
          <w:color w:val="000000"/>
          <w:sz w:val="26"/>
          <w:szCs w:val="26"/>
        </w:rPr>
        <w:t xml:space="preserve">following: </w:t>
      </w:r>
      <w:r w:rsidR="00FA62B0">
        <w:rPr>
          <w:color w:val="000000"/>
          <w:sz w:val="26"/>
          <w:szCs w:val="26"/>
        </w:rPr>
        <w:t xml:space="preserve"> </w:t>
      </w:r>
      <w:r w:rsidRPr="002058CD">
        <w:rPr>
          <w:color w:val="000000"/>
          <w:sz w:val="26"/>
          <w:szCs w:val="26"/>
        </w:rPr>
        <w:t>Rate Base (Measures of Value), Statement of Operating</w:t>
      </w:r>
      <w:r>
        <w:rPr>
          <w:color w:val="000000"/>
          <w:sz w:val="26"/>
          <w:szCs w:val="26"/>
        </w:rPr>
        <w:t xml:space="preserve"> </w:t>
      </w:r>
      <w:r w:rsidRPr="002058CD">
        <w:rPr>
          <w:color w:val="000000"/>
          <w:sz w:val="26"/>
          <w:szCs w:val="26"/>
        </w:rPr>
        <w:t>Income, and Rate of Return, which correspond to the applicable test</w:t>
      </w:r>
      <w:r>
        <w:rPr>
          <w:color w:val="000000"/>
          <w:sz w:val="26"/>
          <w:szCs w:val="26"/>
        </w:rPr>
        <w:t xml:space="preserve"> </w:t>
      </w:r>
      <w:r w:rsidRPr="002058CD">
        <w:rPr>
          <w:color w:val="000000"/>
          <w:sz w:val="26"/>
          <w:szCs w:val="26"/>
        </w:rPr>
        <w:t>year, future test year, and fully projected future test year</w:t>
      </w:r>
      <w:r>
        <w:rPr>
          <w:color w:val="000000"/>
          <w:sz w:val="26"/>
          <w:szCs w:val="26"/>
        </w:rPr>
        <w:t xml:space="preserve"> </w:t>
      </w:r>
      <w:r w:rsidRPr="002058CD">
        <w:rPr>
          <w:color w:val="000000"/>
          <w:sz w:val="26"/>
          <w:szCs w:val="26"/>
        </w:rPr>
        <w:t>measurement periods.</w:t>
      </w:r>
    </w:p>
    <w:p w14:paraId="2842127E" w14:textId="77777777" w:rsidR="002058CD" w:rsidRDefault="002058CD" w:rsidP="00044BF6">
      <w:pPr>
        <w:pStyle w:val="ListParagraph"/>
        <w:spacing w:line="360" w:lineRule="auto"/>
        <w:rPr>
          <w:color w:val="000000"/>
          <w:sz w:val="26"/>
          <w:szCs w:val="26"/>
        </w:rPr>
      </w:pPr>
    </w:p>
    <w:p w14:paraId="6B0B36CC" w14:textId="57DB3DB2" w:rsidR="002058CD" w:rsidRDefault="00BE6088" w:rsidP="0053240F">
      <w:pPr>
        <w:widowControl/>
        <w:numPr>
          <w:ilvl w:val="0"/>
          <w:numId w:val="17"/>
        </w:numPr>
        <w:autoSpaceDE w:val="0"/>
        <w:autoSpaceDN w:val="0"/>
        <w:adjustRightInd w:val="0"/>
        <w:spacing w:line="360" w:lineRule="auto"/>
        <w:ind w:firstLine="720"/>
        <w:contextualSpacing/>
        <w:rPr>
          <w:color w:val="000000"/>
          <w:sz w:val="26"/>
          <w:szCs w:val="26"/>
        </w:rPr>
      </w:pPr>
      <w:r>
        <w:rPr>
          <w:color w:val="000000"/>
          <w:sz w:val="26"/>
          <w:szCs w:val="26"/>
        </w:rPr>
        <w:t xml:space="preserve">Any </w:t>
      </w:r>
      <w:r w:rsidRPr="00BE6088">
        <w:rPr>
          <w:color w:val="000000"/>
          <w:sz w:val="26"/>
          <w:szCs w:val="26"/>
        </w:rPr>
        <w:t xml:space="preserve">claims for </w:t>
      </w:r>
      <w:bookmarkStart w:id="99" w:name="_Hlk90386614"/>
      <w:r w:rsidRPr="00BE6088">
        <w:rPr>
          <w:color w:val="000000"/>
          <w:sz w:val="26"/>
          <w:szCs w:val="26"/>
        </w:rPr>
        <w:t>Allowance for Funds Used During Construction</w:t>
      </w:r>
      <w:bookmarkEnd w:id="99"/>
      <w:r w:rsidRPr="00BE6088">
        <w:rPr>
          <w:color w:val="000000"/>
          <w:sz w:val="26"/>
          <w:szCs w:val="26"/>
        </w:rPr>
        <w:t xml:space="preserve"> and deferred depreciation related to post</w:t>
      </w:r>
      <w:r>
        <w:rPr>
          <w:color w:val="000000"/>
          <w:sz w:val="26"/>
          <w:szCs w:val="26"/>
        </w:rPr>
        <w:t>-</w:t>
      </w:r>
      <w:r w:rsidRPr="00BE6088">
        <w:rPr>
          <w:color w:val="000000"/>
          <w:sz w:val="26"/>
          <w:szCs w:val="26"/>
        </w:rPr>
        <w:t>acquisition</w:t>
      </w:r>
      <w:r>
        <w:rPr>
          <w:color w:val="000000"/>
          <w:sz w:val="26"/>
          <w:szCs w:val="26"/>
        </w:rPr>
        <w:t xml:space="preserve"> </w:t>
      </w:r>
      <w:r w:rsidRPr="00BE6088">
        <w:rPr>
          <w:color w:val="000000"/>
          <w:sz w:val="26"/>
          <w:szCs w:val="26"/>
        </w:rPr>
        <w:t>improvements not recovered through the Distribution</w:t>
      </w:r>
      <w:r>
        <w:rPr>
          <w:color w:val="000000"/>
          <w:sz w:val="26"/>
          <w:szCs w:val="26"/>
        </w:rPr>
        <w:t xml:space="preserve"> </w:t>
      </w:r>
      <w:r w:rsidRPr="00BE6088">
        <w:rPr>
          <w:color w:val="000000"/>
          <w:sz w:val="26"/>
          <w:szCs w:val="26"/>
        </w:rPr>
        <w:t>System Improvement Charge</w:t>
      </w:r>
      <w:r w:rsidR="00804C77">
        <w:rPr>
          <w:color w:val="000000"/>
          <w:sz w:val="26"/>
          <w:szCs w:val="26"/>
        </w:rPr>
        <w:t xml:space="preserve"> </w:t>
      </w:r>
      <w:r w:rsidRPr="00BE6088">
        <w:rPr>
          <w:color w:val="000000"/>
          <w:sz w:val="26"/>
          <w:szCs w:val="26"/>
        </w:rPr>
        <w:t>for book and ratemaking</w:t>
      </w:r>
      <w:r>
        <w:rPr>
          <w:color w:val="000000"/>
          <w:sz w:val="26"/>
          <w:szCs w:val="26"/>
        </w:rPr>
        <w:t xml:space="preserve"> </w:t>
      </w:r>
      <w:r w:rsidRPr="00BE6088">
        <w:rPr>
          <w:color w:val="000000"/>
          <w:sz w:val="26"/>
          <w:szCs w:val="26"/>
        </w:rPr>
        <w:t xml:space="preserve">purposes, </w:t>
      </w:r>
      <w:r w:rsidR="00832E79">
        <w:rPr>
          <w:color w:val="000000"/>
          <w:sz w:val="26"/>
          <w:szCs w:val="26"/>
        </w:rPr>
        <w:t>shall</w:t>
      </w:r>
      <w:r w:rsidRPr="00BE6088">
        <w:rPr>
          <w:color w:val="000000"/>
          <w:sz w:val="26"/>
          <w:szCs w:val="26"/>
        </w:rPr>
        <w:t xml:space="preserve"> be addressed in Aqua</w:t>
      </w:r>
      <w:r>
        <w:rPr>
          <w:color w:val="000000"/>
          <w:sz w:val="26"/>
          <w:szCs w:val="26"/>
        </w:rPr>
        <w:t xml:space="preserve"> Pennsylvania Wastewater, Inc.</w:t>
      </w:r>
      <w:r w:rsidRPr="00BE6088">
        <w:rPr>
          <w:color w:val="000000"/>
          <w:sz w:val="26"/>
          <w:szCs w:val="26"/>
        </w:rPr>
        <w:t>’s first base rate case which</w:t>
      </w:r>
      <w:r>
        <w:rPr>
          <w:color w:val="000000"/>
          <w:sz w:val="26"/>
          <w:szCs w:val="26"/>
        </w:rPr>
        <w:t xml:space="preserve"> </w:t>
      </w:r>
      <w:r w:rsidRPr="00BE6088">
        <w:rPr>
          <w:color w:val="000000"/>
          <w:sz w:val="26"/>
          <w:szCs w:val="26"/>
        </w:rPr>
        <w:t xml:space="preserve">includes Lower Makefield </w:t>
      </w:r>
      <w:r w:rsidR="00804C77">
        <w:rPr>
          <w:color w:val="000000"/>
          <w:sz w:val="26"/>
          <w:szCs w:val="26"/>
        </w:rPr>
        <w:t xml:space="preserve">Township </w:t>
      </w:r>
      <w:r w:rsidRPr="00BE6088">
        <w:rPr>
          <w:color w:val="000000"/>
          <w:sz w:val="26"/>
          <w:szCs w:val="26"/>
        </w:rPr>
        <w:t>wastewater system assets.</w:t>
      </w:r>
    </w:p>
    <w:p w14:paraId="737A0ADF" w14:textId="77777777" w:rsidR="00804C77" w:rsidRDefault="00804C77" w:rsidP="00044BF6">
      <w:pPr>
        <w:pStyle w:val="ListParagraph"/>
        <w:spacing w:line="360" w:lineRule="auto"/>
        <w:rPr>
          <w:color w:val="000000"/>
          <w:sz w:val="26"/>
          <w:szCs w:val="26"/>
        </w:rPr>
      </w:pPr>
    </w:p>
    <w:p w14:paraId="3DB56896" w14:textId="441E4D9B" w:rsidR="00804C77" w:rsidRDefault="00804C77" w:rsidP="0053240F">
      <w:pPr>
        <w:widowControl/>
        <w:numPr>
          <w:ilvl w:val="0"/>
          <w:numId w:val="17"/>
        </w:numPr>
        <w:autoSpaceDE w:val="0"/>
        <w:autoSpaceDN w:val="0"/>
        <w:adjustRightInd w:val="0"/>
        <w:spacing w:line="360" w:lineRule="auto"/>
        <w:ind w:firstLine="720"/>
        <w:contextualSpacing/>
        <w:rPr>
          <w:color w:val="000000"/>
          <w:sz w:val="26"/>
          <w:szCs w:val="26"/>
        </w:rPr>
      </w:pPr>
      <w:r>
        <w:rPr>
          <w:color w:val="000000"/>
          <w:sz w:val="26"/>
          <w:szCs w:val="26"/>
        </w:rPr>
        <w:t xml:space="preserve">Regarding </w:t>
      </w:r>
      <w:r w:rsidRPr="00804C77">
        <w:rPr>
          <w:color w:val="000000"/>
          <w:sz w:val="26"/>
          <w:szCs w:val="26"/>
        </w:rPr>
        <w:t>future claims for Allowance for Funds Used During Construction, deferral of depreciation, and</w:t>
      </w:r>
      <w:r>
        <w:rPr>
          <w:color w:val="000000"/>
          <w:sz w:val="26"/>
          <w:szCs w:val="26"/>
        </w:rPr>
        <w:t xml:space="preserve"> </w:t>
      </w:r>
      <w:r w:rsidRPr="00804C77">
        <w:rPr>
          <w:color w:val="000000"/>
          <w:sz w:val="26"/>
          <w:szCs w:val="26"/>
        </w:rPr>
        <w:t>transaction costs related to this acquisition, Joint Petitioners reserve</w:t>
      </w:r>
      <w:r>
        <w:rPr>
          <w:color w:val="000000"/>
          <w:sz w:val="26"/>
          <w:szCs w:val="26"/>
        </w:rPr>
        <w:t xml:space="preserve"> </w:t>
      </w:r>
      <w:r w:rsidRPr="00804C77">
        <w:rPr>
          <w:color w:val="000000"/>
          <w:sz w:val="26"/>
          <w:szCs w:val="26"/>
        </w:rPr>
        <w:t>the right to litigate their positions fully in future rate cases when</w:t>
      </w:r>
      <w:r>
        <w:rPr>
          <w:color w:val="000000"/>
          <w:sz w:val="26"/>
          <w:szCs w:val="26"/>
        </w:rPr>
        <w:t xml:space="preserve"> </w:t>
      </w:r>
      <w:r w:rsidRPr="00804C77">
        <w:rPr>
          <w:color w:val="000000"/>
          <w:sz w:val="26"/>
          <w:szCs w:val="26"/>
        </w:rPr>
        <w:t>these issues are ripe for review.</w:t>
      </w:r>
      <w:r>
        <w:rPr>
          <w:color w:val="000000"/>
          <w:sz w:val="26"/>
          <w:szCs w:val="26"/>
        </w:rPr>
        <w:t xml:space="preserve">  </w:t>
      </w:r>
      <w:r w:rsidRPr="00804C77">
        <w:rPr>
          <w:color w:val="000000"/>
          <w:sz w:val="26"/>
          <w:szCs w:val="26"/>
        </w:rPr>
        <w:t xml:space="preserve">The </w:t>
      </w:r>
      <w:r>
        <w:rPr>
          <w:color w:val="000000"/>
          <w:sz w:val="26"/>
          <w:szCs w:val="26"/>
        </w:rPr>
        <w:t>Parties’</w:t>
      </w:r>
      <w:r w:rsidRPr="00804C77">
        <w:rPr>
          <w:color w:val="000000"/>
          <w:sz w:val="26"/>
          <w:szCs w:val="26"/>
        </w:rPr>
        <w:t xml:space="preserve"> assent to this agreement</w:t>
      </w:r>
      <w:r>
        <w:rPr>
          <w:color w:val="000000"/>
          <w:sz w:val="26"/>
          <w:szCs w:val="26"/>
        </w:rPr>
        <w:t xml:space="preserve"> </w:t>
      </w:r>
      <w:r w:rsidRPr="00804C77">
        <w:rPr>
          <w:color w:val="000000"/>
          <w:sz w:val="26"/>
          <w:szCs w:val="26"/>
        </w:rPr>
        <w:t>sh</w:t>
      </w:r>
      <w:r w:rsidR="00832E79">
        <w:rPr>
          <w:color w:val="000000"/>
          <w:sz w:val="26"/>
          <w:szCs w:val="26"/>
        </w:rPr>
        <w:t>all</w:t>
      </w:r>
      <w:r w:rsidRPr="00804C77">
        <w:rPr>
          <w:color w:val="000000"/>
          <w:sz w:val="26"/>
          <w:szCs w:val="26"/>
        </w:rPr>
        <w:t xml:space="preserve"> not be construed to operate as its preapproval of Aqua</w:t>
      </w:r>
      <w:r>
        <w:rPr>
          <w:color w:val="000000"/>
          <w:sz w:val="26"/>
          <w:szCs w:val="26"/>
        </w:rPr>
        <w:t xml:space="preserve"> Pennsylvania Wastewater, Inc.’s </w:t>
      </w:r>
      <w:r w:rsidRPr="00804C77">
        <w:rPr>
          <w:color w:val="000000"/>
          <w:sz w:val="26"/>
          <w:szCs w:val="26"/>
        </w:rPr>
        <w:t>requests.</w:t>
      </w:r>
    </w:p>
    <w:p w14:paraId="65F068FC" w14:textId="77777777" w:rsidR="00804C77" w:rsidRPr="00804C77" w:rsidRDefault="00804C77" w:rsidP="00044BF6">
      <w:pPr>
        <w:pStyle w:val="ListParagraph"/>
        <w:spacing w:line="360" w:lineRule="auto"/>
        <w:rPr>
          <w:color w:val="000000"/>
          <w:sz w:val="26"/>
          <w:szCs w:val="26"/>
        </w:rPr>
      </w:pPr>
    </w:p>
    <w:p w14:paraId="455EEE7F" w14:textId="3EB9F9DF" w:rsidR="00804C77" w:rsidRDefault="00804C77" w:rsidP="0053240F">
      <w:pPr>
        <w:widowControl/>
        <w:numPr>
          <w:ilvl w:val="0"/>
          <w:numId w:val="17"/>
        </w:numPr>
        <w:autoSpaceDE w:val="0"/>
        <w:autoSpaceDN w:val="0"/>
        <w:adjustRightInd w:val="0"/>
        <w:spacing w:line="360" w:lineRule="auto"/>
        <w:ind w:firstLine="720"/>
        <w:contextualSpacing/>
        <w:rPr>
          <w:color w:val="000000"/>
          <w:sz w:val="26"/>
          <w:szCs w:val="26"/>
        </w:rPr>
      </w:pPr>
      <w:r w:rsidRPr="00804C77">
        <w:rPr>
          <w:color w:val="000000"/>
          <w:sz w:val="26"/>
          <w:szCs w:val="26"/>
        </w:rPr>
        <w:t xml:space="preserve">If Aqua Pennsylvania Wastewater, Inc. proposes to modify its </w:t>
      </w:r>
      <w:bookmarkStart w:id="100" w:name="_Hlk90386839"/>
      <w:r w:rsidRPr="00804C77">
        <w:rPr>
          <w:color w:val="000000"/>
          <w:sz w:val="26"/>
          <w:szCs w:val="26"/>
        </w:rPr>
        <w:t>Long-Term Infrastructure Improvement Plan</w:t>
      </w:r>
      <w:bookmarkEnd w:id="100"/>
      <w:r w:rsidRPr="00804C77">
        <w:rPr>
          <w:color w:val="000000"/>
          <w:sz w:val="26"/>
          <w:szCs w:val="26"/>
        </w:rPr>
        <w:t xml:space="preserve"> to include the Lower Makefield</w:t>
      </w:r>
      <w:r>
        <w:rPr>
          <w:color w:val="000000"/>
          <w:sz w:val="26"/>
          <w:szCs w:val="26"/>
        </w:rPr>
        <w:t xml:space="preserve"> Township </w:t>
      </w:r>
      <w:r w:rsidRPr="00804C77">
        <w:rPr>
          <w:color w:val="000000"/>
          <w:sz w:val="26"/>
          <w:szCs w:val="26"/>
        </w:rPr>
        <w:t>wastewater system, the projects added for Lower Makefield</w:t>
      </w:r>
      <w:r>
        <w:rPr>
          <w:color w:val="000000"/>
          <w:sz w:val="26"/>
          <w:szCs w:val="26"/>
        </w:rPr>
        <w:t xml:space="preserve"> Township</w:t>
      </w:r>
      <w:r w:rsidRPr="00804C77">
        <w:rPr>
          <w:color w:val="000000"/>
          <w:sz w:val="26"/>
          <w:szCs w:val="26"/>
        </w:rPr>
        <w:t xml:space="preserve"> </w:t>
      </w:r>
      <w:r w:rsidR="00832E79">
        <w:rPr>
          <w:color w:val="000000"/>
          <w:sz w:val="26"/>
          <w:szCs w:val="26"/>
        </w:rPr>
        <w:t xml:space="preserve">shall </w:t>
      </w:r>
      <w:r w:rsidRPr="00804C77">
        <w:rPr>
          <w:color w:val="000000"/>
          <w:sz w:val="26"/>
          <w:szCs w:val="26"/>
        </w:rPr>
        <w:t>be in</w:t>
      </w:r>
      <w:r>
        <w:rPr>
          <w:color w:val="000000"/>
          <w:sz w:val="26"/>
          <w:szCs w:val="26"/>
        </w:rPr>
        <w:t xml:space="preserve"> </w:t>
      </w:r>
      <w:r w:rsidRPr="00804C77">
        <w:rPr>
          <w:color w:val="000000"/>
          <w:sz w:val="26"/>
          <w:szCs w:val="26"/>
        </w:rPr>
        <w:t>addition to those that Aqua</w:t>
      </w:r>
      <w:r>
        <w:rPr>
          <w:color w:val="000000"/>
          <w:sz w:val="26"/>
          <w:szCs w:val="26"/>
        </w:rPr>
        <w:t xml:space="preserve"> Pennsylvania Wastewater, Inc.</w:t>
      </w:r>
      <w:r w:rsidRPr="00804C77">
        <w:rPr>
          <w:color w:val="000000"/>
          <w:sz w:val="26"/>
          <w:szCs w:val="26"/>
        </w:rPr>
        <w:t xml:space="preserve"> plans for its existing systems.</w:t>
      </w:r>
    </w:p>
    <w:p w14:paraId="36F78AA4" w14:textId="77777777" w:rsidR="00804C77" w:rsidRDefault="00804C77" w:rsidP="00804C77">
      <w:pPr>
        <w:pStyle w:val="ListParagraph"/>
        <w:rPr>
          <w:color w:val="000000"/>
          <w:sz w:val="26"/>
          <w:szCs w:val="26"/>
        </w:rPr>
      </w:pPr>
    </w:p>
    <w:p w14:paraId="2233C41E" w14:textId="60C16E1B" w:rsidR="00804C77" w:rsidRDefault="00804C77" w:rsidP="0053240F">
      <w:pPr>
        <w:widowControl/>
        <w:numPr>
          <w:ilvl w:val="0"/>
          <w:numId w:val="17"/>
        </w:numPr>
        <w:autoSpaceDE w:val="0"/>
        <w:autoSpaceDN w:val="0"/>
        <w:adjustRightInd w:val="0"/>
        <w:spacing w:line="360" w:lineRule="auto"/>
        <w:ind w:firstLine="720"/>
        <w:contextualSpacing/>
        <w:rPr>
          <w:color w:val="000000"/>
          <w:sz w:val="26"/>
          <w:szCs w:val="26"/>
        </w:rPr>
      </w:pPr>
      <w:r>
        <w:rPr>
          <w:color w:val="000000"/>
          <w:sz w:val="26"/>
          <w:szCs w:val="26"/>
        </w:rPr>
        <w:t xml:space="preserve">In </w:t>
      </w:r>
      <w:r w:rsidRPr="00804C77">
        <w:rPr>
          <w:color w:val="000000"/>
          <w:sz w:val="26"/>
          <w:szCs w:val="26"/>
        </w:rPr>
        <w:t>future Long-Term Infrastructure Improvement Plans or Annual Asset Optimization Plans that</w:t>
      </w:r>
      <w:r>
        <w:rPr>
          <w:color w:val="000000"/>
          <w:sz w:val="26"/>
          <w:szCs w:val="26"/>
        </w:rPr>
        <w:t xml:space="preserve"> </w:t>
      </w:r>
      <w:r w:rsidRPr="00804C77">
        <w:rPr>
          <w:color w:val="000000"/>
          <w:sz w:val="26"/>
          <w:szCs w:val="26"/>
        </w:rPr>
        <w:t xml:space="preserve">include the Lower Makefield </w:t>
      </w:r>
      <w:r w:rsidR="00DD169D">
        <w:rPr>
          <w:color w:val="000000"/>
          <w:sz w:val="26"/>
          <w:szCs w:val="26"/>
        </w:rPr>
        <w:t xml:space="preserve">Township </w:t>
      </w:r>
      <w:r w:rsidRPr="00804C77">
        <w:rPr>
          <w:color w:val="000000"/>
          <w:sz w:val="26"/>
          <w:szCs w:val="26"/>
        </w:rPr>
        <w:t xml:space="preserve">wastewater system, Aqua </w:t>
      </w:r>
      <w:r w:rsidR="00DD169D">
        <w:rPr>
          <w:color w:val="000000"/>
          <w:sz w:val="26"/>
          <w:szCs w:val="26"/>
        </w:rPr>
        <w:t xml:space="preserve">Pennsylvania Wastewater, Inc. </w:t>
      </w:r>
      <w:r w:rsidR="00832E79">
        <w:rPr>
          <w:color w:val="000000"/>
          <w:sz w:val="26"/>
          <w:szCs w:val="26"/>
        </w:rPr>
        <w:t>shall</w:t>
      </w:r>
      <w:r w:rsidRPr="00804C77">
        <w:rPr>
          <w:color w:val="000000"/>
          <w:sz w:val="26"/>
          <w:szCs w:val="26"/>
        </w:rPr>
        <w:t xml:space="preserve"> not reprioritize</w:t>
      </w:r>
      <w:r>
        <w:rPr>
          <w:color w:val="000000"/>
          <w:sz w:val="26"/>
          <w:szCs w:val="26"/>
        </w:rPr>
        <w:t xml:space="preserve"> </w:t>
      </w:r>
      <w:r w:rsidRPr="00804C77">
        <w:rPr>
          <w:color w:val="000000"/>
          <w:sz w:val="26"/>
          <w:szCs w:val="26"/>
        </w:rPr>
        <w:t>other existing capital improvements that the Company already committed</w:t>
      </w:r>
      <w:r>
        <w:rPr>
          <w:color w:val="000000"/>
          <w:sz w:val="26"/>
          <w:szCs w:val="26"/>
        </w:rPr>
        <w:t xml:space="preserve"> </w:t>
      </w:r>
      <w:r w:rsidRPr="00804C77">
        <w:rPr>
          <w:color w:val="000000"/>
          <w:sz w:val="26"/>
          <w:szCs w:val="26"/>
        </w:rPr>
        <w:t>to undertake.</w:t>
      </w:r>
      <w:r w:rsidR="00DD169D">
        <w:rPr>
          <w:color w:val="000000"/>
          <w:sz w:val="26"/>
          <w:szCs w:val="26"/>
        </w:rPr>
        <w:t xml:space="preserve">  </w:t>
      </w:r>
      <w:r w:rsidRPr="00804C77">
        <w:rPr>
          <w:color w:val="000000"/>
          <w:sz w:val="26"/>
          <w:szCs w:val="26"/>
        </w:rPr>
        <w:t>This section does not limit Aqua</w:t>
      </w:r>
      <w:r w:rsidR="00DD169D">
        <w:rPr>
          <w:color w:val="000000"/>
          <w:sz w:val="26"/>
          <w:szCs w:val="26"/>
        </w:rPr>
        <w:t xml:space="preserve"> Pennsylvania Wastewater, Inc</w:t>
      </w:r>
      <w:r w:rsidRPr="00804C77">
        <w:rPr>
          <w:color w:val="000000"/>
          <w:sz w:val="26"/>
          <w:szCs w:val="26"/>
        </w:rPr>
        <w:t>’s current practice and ability</w:t>
      </w:r>
      <w:r>
        <w:rPr>
          <w:color w:val="000000"/>
          <w:sz w:val="26"/>
          <w:szCs w:val="26"/>
        </w:rPr>
        <w:t xml:space="preserve"> </w:t>
      </w:r>
      <w:r w:rsidRPr="00804C77">
        <w:rPr>
          <w:color w:val="000000"/>
          <w:sz w:val="26"/>
          <w:szCs w:val="26"/>
        </w:rPr>
        <w:t>to allocate projects as needed for its capital program.</w:t>
      </w:r>
    </w:p>
    <w:p w14:paraId="43F492B4" w14:textId="77777777" w:rsidR="00DD169D" w:rsidRDefault="00DD169D" w:rsidP="00044BF6">
      <w:pPr>
        <w:pStyle w:val="ListParagraph"/>
        <w:spacing w:line="360" w:lineRule="auto"/>
        <w:rPr>
          <w:color w:val="000000"/>
          <w:sz w:val="26"/>
          <w:szCs w:val="26"/>
        </w:rPr>
      </w:pPr>
    </w:p>
    <w:p w14:paraId="732094AC" w14:textId="6FC65BEC" w:rsidR="00DD169D" w:rsidRDefault="00366784" w:rsidP="0053240F">
      <w:pPr>
        <w:widowControl/>
        <w:numPr>
          <w:ilvl w:val="0"/>
          <w:numId w:val="17"/>
        </w:numPr>
        <w:autoSpaceDE w:val="0"/>
        <w:autoSpaceDN w:val="0"/>
        <w:adjustRightInd w:val="0"/>
        <w:spacing w:line="360" w:lineRule="auto"/>
        <w:ind w:firstLine="720"/>
        <w:contextualSpacing/>
        <w:rPr>
          <w:color w:val="000000"/>
          <w:sz w:val="26"/>
          <w:szCs w:val="26"/>
        </w:rPr>
      </w:pPr>
      <w:r>
        <w:rPr>
          <w:color w:val="000000"/>
          <w:sz w:val="26"/>
          <w:szCs w:val="26"/>
        </w:rPr>
        <w:t xml:space="preserve">Upon </w:t>
      </w:r>
      <w:r w:rsidRPr="00366784">
        <w:rPr>
          <w:color w:val="000000"/>
          <w:sz w:val="26"/>
          <w:szCs w:val="26"/>
        </w:rPr>
        <w:t>approval of the Commission of a modification to its Long-Term Infrastructure Improvement Plan which</w:t>
      </w:r>
      <w:r>
        <w:rPr>
          <w:color w:val="000000"/>
          <w:sz w:val="26"/>
          <w:szCs w:val="26"/>
        </w:rPr>
        <w:t xml:space="preserve"> </w:t>
      </w:r>
      <w:r w:rsidRPr="00366784">
        <w:rPr>
          <w:color w:val="000000"/>
          <w:sz w:val="26"/>
          <w:szCs w:val="26"/>
        </w:rPr>
        <w:t xml:space="preserve">includes the Lower Makefield </w:t>
      </w:r>
      <w:r>
        <w:rPr>
          <w:color w:val="000000"/>
          <w:sz w:val="26"/>
          <w:szCs w:val="26"/>
        </w:rPr>
        <w:t xml:space="preserve">Township </w:t>
      </w:r>
      <w:r w:rsidRPr="00366784">
        <w:rPr>
          <w:color w:val="000000"/>
          <w:sz w:val="26"/>
          <w:szCs w:val="26"/>
        </w:rPr>
        <w:t xml:space="preserve">wastewater system, Aqua </w:t>
      </w:r>
      <w:r>
        <w:rPr>
          <w:color w:val="000000"/>
          <w:sz w:val="26"/>
          <w:szCs w:val="26"/>
        </w:rPr>
        <w:t xml:space="preserve">Pennsylvania Wastewater, Inc. </w:t>
      </w:r>
      <w:r w:rsidRPr="00366784">
        <w:rPr>
          <w:color w:val="000000"/>
          <w:sz w:val="26"/>
          <w:szCs w:val="26"/>
        </w:rPr>
        <w:t>shall be permitted</w:t>
      </w:r>
      <w:r>
        <w:rPr>
          <w:color w:val="000000"/>
          <w:sz w:val="26"/>
          <w:szCs w:val="26"/>
        </w:rPr>
        <w:t xml:space="preserve"> </w:t>
      </w:r>
      <w:r w:rsidRPr="00366784">
        <w:rPr>
          <w:color w:val="000000"/>
          <w:sz w:val="26"/>
          <w:szCs w:val="26"/>
        </w:rPr>
        <w:t xml:space="preserve">to collect a </w:t>
      </w:r>
      <w:r w:rsidRPr="00BE6088">
        <w:rPr>
          <w:color w:val="000000"/>
          <w:sz w:val="26"/>
          <w:szCs w:val="26"/>
        </w:rPr>
        <w:t>Distribution</w:t>
      </w:r>
      <w:r w:rsidRPr="00366784">
        <w:rPr>
          <w:color w:val="000000"/>
          <w:sz w:val="26"/>
          <w:szCs w:val="26"/>
        </w:rPr>
        <w:t xml:space="preserve"> </w:t>
      </w:r>
      <w:r w:rsidRPr="00BE6088">
        <w:rPr>
          <w:color w:val="000000"/>
          <w:sz w:val="26"/>
          <w:szCs w:val="26"/>
        </w:rPr>
        <w:t>System Improvement Charge</w:t>
      </w:r>
      <w:r w:rsidRPr="00366784">
        <w:rPr>
          <w:color w:val="000000"/>
          <w:sz w:val="26"/>
          <w:szCs w:val="26"/>
        </w:rPr>
        <w:t xml:space="preserve"> related to the Lower Makefield </w:t>
      </w:r>
      <w:r>
        <w:rPr>
          <w:color w:val="000000"/>
          <w:sz w:val="26"/>
          <w:szCs w:val="26"/>
        </w:rPr>
        <w:t xml:space="preserve">Township </w:t>
      </w:r>
      <w:r w:rsidRPr="00366784">
        <w:rPr>
          <w:color w:val="000000"/>
          <w:sz w:val="26"/>
          <w:szCs w:val="26"/>
        </w:rPr>
        <w:t>wastewater system prior</w:t>
      </w:r>
      <w:r>
        <w:rPr>
          <w:color w:val="000000"/>
          <w:sz w:val="26"/>
          <w:szCs w:val="26"/>
        </w:rPr>
        <w:t xml:space="preserve"> </w:t>
      </w:r>
      <w:r w:rsidRPr="00366784">
        <w:rPr>
          <w:color w:val="000000"/>
          <w:sz w:val="26"/>
          <w:szCs w:val="26"/>
        </w:rPr>
        <w:t>to the first base rate case in which the Lower Makefield</w:t>
      </w:r>
      <w:r>
        <w:rPr>
          <w:color w:val="000000"/>
          <w:sz w:val="26"/>
          <w:szCs w:val="26"/>
        </w:rPr>
        <w:t xml:space="preserve"> Township wastewater</w:t>
      </w:r>
      <w:r w:rsidRPr="00366784">
        <w:rPr>
          <w:color w:val="000000"/>
          <w:sz w:val="26"/>
          <w:szCs w:val="26"/>
        </w:rPr>
        <w:t xml:space="preserve"> assets are</w:t>
      </w:r>
      <w:r>
        <w:rPr>
          <w:color w:val="000000"/>
          <w:sz w:val="26"/>
          <w:szCs w:val="26"/>
        </w:rPr>
        <w:t xml:space="preserve"> </w:t>
      </w:r>
      <w:r w:rsidRPr="00366784">
        <w:rPr>
          <w:color w:val="000000"/>
          <w:sz w:val="26"/>
          <w:szCs w:val="26"/>
        </w:rPr>
        <w:t>incorporated into rate base.</w:t>
      </w:r>
    </w:p>
    <w:p w14:paraId="43183DF3" w14:textId="77777777" w:rsidR="00366784" w:rsidRDefault="00366784" w:rsidP="00044BF6">
      <w:pPr>
        <w:pStyle w:val="ListParagraph"/>
        <w:spacing w:line="360" w:lineRule="auto"/>
        <w:rPr>
          <w:color w:val="000000"/>
          <w:sz w:val="26"/>
          <w:szCs w:val="26"/>
        </w:rPr>
      </w:pPr>
    </w:p>
    <w:p w14:paraId="27C170FC" w14:textId="109A39B9" w:rsidR="00366784" w:rsidRDefault="009749B5" w:rsidP="0053240F">
      <w:pPr>
        <w:widowControl/>
        <w:numPr>
          <w:ilvl w:val="0"/>
          <w:numId w:val="17"/>
        </w:numPr>
        <w:autoSpaceDE w:val="0"/>
        <w:autoSpaceDN w:val="0"/>
        <w:adjustRightInd w:val="0"/>
        <w:spacing w:line="360" w:lineRule="auto"/>
        <w:ind w:firstLine="720"/>
        <w:contextualSpacing/>
        <w:rPr>
          <w:color w:val="000000"/>
          <w:sz w:val="26"/>
          <w:szCs w:val="26"/>
        </w:rPr>
      </w:pPr>
      <w:r>
        <w:rPr>
          <w:color w:val="000000"/>
          <w:sz w:val="26"/>
          <w:szCs w:val="26"/>
        </w:rPr>
        <w:t>The</w:t>
      </w:r>
      <w:r w:rsidRPr="009749B5">
        <w:rPr>
          <w:color w:val="000000"/>
          <w:sz w:val="26"/>
          <w:szCs w:val="26"/>
        </w:rPr>
        <w:t xml:space="preserve"> current average Lower Makefield</w:t>
      </w:r>
      <w:r>
        <w:rPr>
          <w:color w:val="000000"/>
          <w:sz w:val="26"/>
          <w:szCs w:val="26"/>
        </w:rPr>
        <w:t xml:space="preserve"> Township</w:t>
      </w:r>
      <w:r w:rsidRPr="009749B5">
        <w:rPr>
          <w:color w:val="000000"/>
          <w:sz w:val="26"/>
          <w:szCs w:val="26"/>
        </w:rPr>
        <w:t xml:space="preserve"> residential rate is $74.32 per</w:t>
      </w:r>
      <w:r>
        <w:rPr>
          <w:color w:val="000000"/>
          <w:sz w:val="26"/>
          <w:szCs w:val="26"/>
        </w:rPr>
        <w:t xml:space="preserve"> </w:t>
      </w:r>
      <w:r w:rsidRPr="009749B5">
        <w:rPr>
          <w:color w:val="000000"/>
          <w:sz w:val="26"/>
          <w:szCs w:val="26"/>
        </w:rPr>
        <w:t xml:space="preserve">month based on four thousand seven hundred gallons of usage. </w:t>
      </w:r>
      <w:r>
        <w:rPr>
          <w:color w:val="000000"/>
          <w:sz w:val="26"/>
          <w:szCs w:val="26"/>
        </w:rPr>
        <w:t xml:space="preserve"> </w:t>
      </w:r>
      <w:r w:rsidRPr="009749B5">
        <w:rPr>
          <w:color w:val="000000"/>
          <w:sz w:val="26"/>
          <w:szCs w:val="26"/>
        </w:rPr>
        <w:t>As</w:t>
      </w:r>
      <w:r>
        <w:rPr>
          <w:color w:val="000000"/>
          <w:sz w:val="26"/>
          <w:szCs w:val="26"/>
        </w:rPr>
        <w:t xml:space="preserve"> </w:t>
      </w:r>
      <w:r w:rsidRPr="009749B5">
        <w:rPr>
          <w:color w:val="000000"/>
          <w:sz w:val="26"/>
          <w:szCs w:val="26"/>
        </w:rPr>
        <w:t xml:space="preserve">set forth in the notice sent to Lower Makefield </w:t>
      </w:r>
      <w:r>
        <w:rPr>
          <w:color w:val="000000"/>
          <w:sz w:val="26"/>
          <w:szCs w:val="26"/>
        </w:rPr>
        <w:t xml:space="preserve">Township </w:t>
      </w:r>
      <w:r w:rsidRPr="009749B5">
        <w:rPr>
          <w:color w:val="000000"/>
          <w:sz w:val="26"/>
          <w:szCs w:val="26"/>
        </w:rPr>
        <w:t>customers in this</w:t>
      </w:r>
      <w:r>
        <w:rPr>
          <w:color w:val="000000"/>
          <w:sz w:val="26"/>
          <w:szCs w:val="26"/>
        </w:rPr>
        <w:t xml:space="preserve"> </w:t>
      </w:r>
      <w:r w:rsidRPr="009749B5">
        <w:rPr>
          <w:color w:val="000000"/>
          <w:sz w:val="26"/>
          <w:szCs w:val="26"/>
        </w:rPr>
        <w:t>proceeding (Application Exhibit I2), Aqua</w:t>
      </w:r>
      <w:r>
        <w:rPr>
          <w:color w:val="000000"/>
          <w:sz w:val="26"/>
          <w:szCs w:val="26"/>
        </w:rPr>
        <w:t xml:space="preserve"> Pennsylvania Wastewater, Inc.</w:t>
      </w:r>
      <w:r w:rsidRPr="009749B5">
        <w:rPr>
          <w:color w:val="000000"/>
          <w:sz w:val="26"/>
          <w:szCs w:val="26"/>
        </w:rPr>
        <w:t xml:space="preserve"> provided a non-binding,</w:t>
      </w:r>
      <w:r>
        <w:rPr>
          <w:color w:val="000000"/>
          <w:sz w:val="26"/>
          <w:szCs w:val="26"/>
        </w:rPr>
        <w:t xml:space="preserve"> </w:t>
      </w:r>
      <w:r w:rsidRPr="009749B5">
        <w:rPr>
          <w:color w:val="000000"/>
          <w:sz w:val="26"/>
          <w:szCs w:val="26"/>
        </w:rPr>
        <w:t>estimated incremental rate effect of the proposed rate base addition</w:t>
      </w:r>
      <w:r>
        <w:rPr>
          <w:color w:val="000000"/>
          <w:sz w:val="26"/>
          <w:szCs w:val="26"/>
        </w:rPr>
        <w:t xml:space="preserve"> </w:t>
      </w:r>
      <w:r w:rsidRPr="009749B5">
        <w:rPr>
          <w:color w:val="000000"/>
          <w:sz w:val="26"/>
          <w:szCs w:val="26"/>
        </w:rPr>
        <w:t xml:space="preserve">on Lower Makefield </w:t>
      </w:r>
      <w:r>
        <w:rPr>
          <w:color w:val="000000"/>
          <w:sz w:val="26"/>
          <w:szCs w:val="26"/>
        </w:rPr>
        <w:t xml:space="preserve">Township </w:t>
      </w:r>
      <w:r w:rsidRPr="009749B5">
        <w:rPr>
          <w:color w:val="000000"/>
          <w:sz w:val="26"/>
          <w:szCs w:val="26"/>
        </w:rPr>
        <w:t>wastewater customers of 28.17%.</w:t>
      </w:r>
    </w:p>
    <w:p w14:paraId="671B0773" w14:textId="77777777" w:rsidR="009749B5" w:rsidRDefault="009749B5" w:rsidP="00044BF6">
      <w:pPr>
        <w:pStyle w:val="ListParagraph"/>
        <w:spacing w:line="360" w:lineRule="auto"/>
        <w:rPr>
          <w:color w:val="000000"/>
          <w:sz w:val="26"/>
          <w:szCs w:val="26"/>
        </w:rPr>
      </w:pPr>
    </w:p>
    <w:p w14:paraId="07A52F7A" w14:textId="3C86BD38" w:rsidR="009749B5" w:rsidRDefault="009749B5" w:rsidP="0053240F">
      <w:pPr>
        <w:widowControl/>
        <w:numPr>
          <w:ilvl w:val="0"/>
          <w:numId w:val="17"/>
        </w:numPr>
        <w:autoSpaceDE w:val="0"/>
        <w:autoSpaceDN w:val="0"/>
        <w:adjustRightInd w:val="0"/>
        <w:spacing w:line="360" w:lineRule="auto"/>
        <w:ind w:firstLine="720"/>
        <w:contextualSpacing/>
        <w:rPr>
          <w:color w:val="000000"/>
          <w:sz w:val="26"/>
          <w:szCs w:val="26"/>
        </w:rPr>
      </w:pPr>
      <w:r>
        <w:rPr>
          <w:color w:val="000000"/>
          <w:sz w:val="26"/>
          <w:szCs w:val="26"/>
        </w:rPr>
        <w:t>Joint</w:t>
      </w:r>
      <w:r w:rsidRPr="009749B5">
        <w:rPr>
          <w:rFonts w:ascii="TimesNewRomanPSMT" w:hAnsi="TimesNewRomanPSMT" w:cs="TimesNewRomanPSMT"/>
          <w:sz w:val="24"/>
          <w:szCs w:val="24"/>
        </w:rPr>
        <w:t xml:space="preserve"> </w:t>
      </w:r>
      <w:r w:rsidRPr="009749B5">
        <w:rPr>
          <w:color w:val="000000"/>
          <w:sz w:val="26"/>
          <w:szCs w:val="26"/>
        </w:rPr>
        <w:t>Petitioners acknowledge that the Commission retains ultimate</w:t>
      </w:r>
      <w:r>
        <w:rPr>
          <w:color w:val="000000"/>
          <w:sz w:val="26"/>
          <w:szCs w:val="26"/>
        </w:rPr>
        <w:t xml:space="preserve"> </w:t>
      </w:r>
      <w:r w:rsidRPr="009749B5">
        <w:rPr>
          <w:color w:val="000000"/>
          <w:sz w:val="26"/>
          <w:szCs w:val="26"/>
        </w:rPr>
        <w:t>authority to set rates including, but not limited to, the authority to</w:t>
      </w:r>
      <w:r>
        <w:rPr>
          <w:color w:val="000000"/>
          <w:sz w:val="26"/>
          <w:szCs w:val="26"/>
        </w:rPr>
        <w:t xml:space="preserve"> </w:t>
      </w:r>
      <w:r w:rsidRPr="009749B5">
        <w:rPr>
          <w:color w:val="000000"/>
          <w:sz w:val="26"/>
          <w:szCs w:val="26"/>
        </w:rPr>
        <w:t>allocate revenues to the Lower Makefield</w:t>
      </w:r>
      <w:r>
        <w:rPr>
          <w:color w:val="000000"/>
          <w:sz w:val="26"/>
          <w:szCs w:val="26"/>
        </w:rPr>
        <w:t xml:space="preserve"> Township</w:t>
      </w:r>
      <w:r w:rsidRPr="009749B5">
        <w:rPr>
          <w:color w:val="000000"/>
          <w:sz w:val="26"/>
          <w:szCs w:val="26"/>
        </w:rPr>
        <w:t xml:space="preserve"> customers that are </w:t>
      </w:r>
      <w:proofErr w:type="gramStart"/>
      <w:r w:rsidRPr="009749B5">
        <w:rPr>
          <w:color w:val="000000"/>
          <w:sz w:val="26"/>
          <w:szCs w:val="26"/>
        </w:rPr>
        <w:t>in</w:t>
      </w:r>
      <w:r>
        <w:rPr>
          <w:color w:val="000000"/>
          <w:sz w:val="26"/>
          <w:szCs w:val="26"/>
        </w:rPr>
        <w:t xml:space="preserve"> </w:t>
      </w:r>
      <w:r w:rsidRPr="009749B5">
        <w:rPr>
          <w:color w:val="000000"/>
          <w:sz w:val="26"/>
          <w:szCs w:val="26"/>
        </w:rPr>
        <w:t>excess of</w:t>
      </w:r>
      <w:proofErr w:type="gramEnd"/>
      <w:r w:rsidRPr="009749B5">
        <w:rPr>
          <w:color w:val="000000"/>
          <w:sz w:val="26"/>
          <w:szCs w:val="26"/>
        </w:rPr>
        <w:t xml:space="preserve"> the restrictions contained in Section 7.03 of the</w:t>
      </w:r>
      <w:r w:rsidR="0089379E">
        <w:rPr>
          <w:color w:val="000000"/>
          <w:sz w:val="26"/>
          <w:szCs w:val="26"/>
        </w:rPr>
        <w:t xml:space="preserve"> </w:t>
      </w:r>
      <w:r w:rsidR="0089379E" w:rsidRPr="00EA1445">
        <w:rPr>
          <w:color w:val="000000"/>
          <w:sz w:val="26"/>
          <w:szCs w:val="26"/>
        </w:rPr>
        <w:t>Asset Purchase Agreement</w:t>
      </w:r>
      <w:r w:rsidR="0089379E">
        <w:rPr>
          <w:color w:val="000000"/>
          <w:sz w:val="26"/>
          <w:szCs w:val="26"/>
        </w:rPr>
        <w:t>.</w:t>
      </w:r>
    </w:p>
    <w:p w14:paraId="1D49D11E" w14:textId="77777777" w:rsidR="0089379E" w:rsidRDefault="0089379E" w:rsidP="00044BF6">
      <w:pPr>
        <w:pStyle w:val="ListParagraph"/>
        <w:spacing w:line="360" w:lineRule="auto"/>
        <w:rPr>
          <w:color w:val="000000"/>
          <w:sz w:val="26"/>
          <w:szCs w:val="26"/>
        </w:rPr>
      </w:pPr>
    </w:p>
    <w:p w14:paraId="1815F44C" w14:textId="22CA6781" w:rsidR="0089379E" w:rsidRDefault="007915C4" w:rsidP="0053240F">
      <w:pPr>
        <w:widowControl/>
        <w:numPr>
          <w:ilvl w:val="0"/>
          <w:numId w:val="17"/>
        </w:numPr>
        <w:autoSpaceDE w:val="0"/>
        <w:autoSpaceDN w:val="0"/>
        <w:adjustRightInd w:val="0"/>
        <w:spacing w:line="360" w:lineRule="auto"/>
        <w:ind w:firstLine="720"/>
        <w:contextualSpacing/>
        <w:rPr>
          <w:color w:val="000000"/>
          <w:sz w:val="26"/>
          <w:szCs w:val="26"/>
        </w:rPr>
      </w:pPr>
      <w:r>
        <w:rPr>
          <w:color w:val="000000"/>
          <w:sz w:val="26"/>
          <w:szCs w:val="26"/>
        </w:rPr>
        <w:t>A</w:t>
      </w:r>
      <w:r w:rsidR="0089379E" w:rsidRPr="0089379E">
        <w:rPr>
          <w:color w:val="000000"/>
          <w:sz w:val="26"/>
          <w:szCs w:val="26"/>
        </w:rPr>
        <w:t>t the time of Aqua</w:t>
      </w:r>
      <w:r w:rsidR="0089379E">
        <w:rPr>
          <w:color w:val="000000"/>
          <w:sz w:val="26"/>
          <w:szCs w:val="26"/>
        </w:rPr>
        <w:t xml:space="preserve"> Pennsylvania Wastewater, Inc.</w:t>
      </w:r>
      <w:r w:rsidR="0089379E" w:rsidRPr="0089379E">
        <w:rPr>
          <w:color w:val="000000"/>
          <w:sz w:val="26"/>
          <w:szCs w:val="26"/>
        </w:rPr>
        <w:t>’s first</w:t>
      </w:r>
      <w:r w:rsidR="0089379E">
        <w:rPr>
          <w:color w:val="000000"/>
          <w:sz w:val="26"/>
          <w:szCs w:val="26"/>
        </w:rPr>
        <w:t xml:space="preserve"> </w:t>
      </w:r>
      <w:r w:rsidR="0089379E" w:rsidRPr="0089379E">
        <w:rPr>
          <w:color w:val="000000"/>
          <w:sz w:val="26"/>
          <w:szCs w:val="26"/>
        </w:rPr>
        <w:t xml:space="preserve">base rate case that includes the Lower Makefield </w:t>
      </w:r>
      <w:r w:rsidR="0089379E">
        <w:rPr>
          <w:color w:val="000000"/>
          <w:sz w:val="26"/>
          <w:szCs w:val="26"/>
        </w:rPr>
        <w:t xml:space="preserve">Township wastewater </w:t>
      </w:r>
      <w:r w:rsidR="0089379E" w:rsidRPr="0089379E">
        <w:rPr>
          <w:color w:val="000000"/>
          <w:sz w:val="26"/>
          <w:szCs w:val="26"/>
        </w:rPr>
        <w:t xml:space="preserve">system, Aqua </w:t>
      </w:r>
      <w:r w:rsidR="0089379E">
        <w:rPr>
          <w:color w:val="000000"/>
          <w:sz w:val="26"/>
          <w:szCs w:val="26"/>
        </w:rPr>
        <w:t xml:space="preserve">Pennsylvania Wastewater, Inc. </w:t>
      </w:r>
      <w:r>
        <w:rPr>
          <w:color w:val="000000"/>
          <w:sz w:val="26"/>
          <w:szCs w:val="26"/>
        </w:rPr>
        <w:t>shall</w:t>
      </w:r>
      <w:r w:rsidR="0089379E">
        <w:rPr>
          <w:color w:val="000000"/>
          <w:sz w:val="26"/>
          <w:szCs w:val="26"/>
        </w:rPr>
        <w:t xml:space="preserve"> </w:t>
      </w:r>
      <w:r w:rsidR="0089379E" w:rsidRPr="0089379E">
        <w:rPr>
          <w:color w:val="000000"/>
          <w:sz w:val="26"/>
          <w:szCs w:val="26"/>
        </w:rPr>
        <w:t>propose the timing of the rate effect consistent with the terms of</w:t>
      </w:r>
      <w:r w:rsidR="0089379E">
        <w:rPr>
          <w:color w:val="000000"/>
          <w:sz w:val="26"/>
          <w:szCs w:val="26"/>
        </w:rPr>
        <w:t xml:space="preserve"> </w:t>
      </w:r>
      <w:r w:rsidR="0089379E" w:rsidRPr="0089379E">
        <w:rPr>
          <w:color w:val="000000"/>
          <w:sz w:val="26"/>
          <w:szCs w:val="26"/>
        </w:rPr>
        <w:t>Section 7.03 of the A</w:t>
      </w:r>
      <w:r w:rsidR="0089379E">
        <w:rPr>
          <w:color w:val="000000"/>
          <w:sz w:val="26"/>
          <w:szCs w:val="26"/>
        </w:rPr>
        <w:t>sset Purchase Agreement</w:t>
      </w:r>
      <w:r w:rsidR="0089379E" w:rsidRPr="0089379E">
        <w:rPr>
          <w:color w:val="000000"/>
          <w:sz w:val="26"/>
          <w:szCs w:val="26"/>
        </w:rPr>
        <w:t xml:space="preserve">. </w:t>
      </w:r>
      <w:r w:rsidR="0089379E">
        <w:rPr>
          <w:color w:val="000000"/>
          <w:sz w:val="26"/>
          <w:szCs w:val="26"/>
        </w:rPr>
        <w:t xml:space="preserve"> </w:t>
      </w:r>
      <w:r w:rsidR="0089379E" w:rsidRPr="0089379E">
        <w:rPr>
          <w:color w:val="000000"/>
          <w:sz w:val="26"/>
          <w:szCs w:val="26"/>
        </w:rPr>
        <w:t xml:space="preserve">All </w:t>
      </w:r>
      <w:r w:rsidR="0089379E">
        <w:rPr>
          <w:color w:val="000000"/>
          <w:sz w:val="26"/>
          <w:szCs w:val="26"/>
        </w:rPr>
        <w:t>P</w:t>
      </w:r>
      <w:r w:rsidR="0089379E" w:rsidRPr="0089379E">
        <w:rPr>
          <w:color w:val="000000"/>
          <w:sz w:val="26"/>
          <w:szCs w:val="26"/>
        </w:rPr>
        <w:t>arties reserve their rights to address</w:t>
      </w:r>
      <w:r w:rsidR="0089379E">
        <w:rPr>
          <w:color w:val="000000"/>
          <w:sz w:val="26"/>
          <w:szCs w:val="26"/>
        </w:rPr>
        <w:t xml:space="preserve"> </w:t>
      </w:r>
      <w:r w:rsidR="0089379E" w:rsidRPr="0089379E">
        <w:rPr>
          <w:color w:val="000000"/>
          <w:sz w:val="26"/>
          <w:szCs w:val="26"/>
        </w:rPr>
        <w:t>Aqua</w:t>
      </w:r>
      <w:r w:rsidR="0089379E">
        <w:rPr>
          <w:color w:val="000000"/>
          <w:sz w:val="26"/>
          <w:szCs w:val="26"/>
        </w:rPr>
        <w:t xml:space="preserve"> Pennsylvania Wastewater, Inc.’</w:t>
      </w:r>
      <w:r w:rsidR="0089379E" w:rsidRPr="0089379E">
        <w:rPr>
          <w:color w:val="000000"/>
          <w:sz w:val="26"/>
          <w:szCs w:val="26"/>
        </w:rPr>
        <w:t>s proposal.</w:t>
      </w:r>
    </w:p>
    <w:p w14:paraId="2BB51ED9" w14:textId="77777777" w:rsidR="00573B46" w:rsidRDefault="00573B46" w:rsidP="00044BF6">
      <w:pPr>
        <w:pStyle w:val="ListParagraph"/>
        <w:spacing w:line="360" w:lineRule="auto"/>
        <w:rPr>
          <w:color w:val="000000"/>
          <w:sz w:val="26"/>
          <w:szCs w:val="26"/>
        </w:rPr>
      </w:pPr>
    </w:p>
    <w:p w14:paraId="20605BF9" w14:textId="3903A872" w:rsidR="00573B46" w:rsidRDefault="00573B46" w:rsidP="0053240F">
      <w:pPr>
        <w:widowControl/>
        <w:numPr>
          <w:ilvl w:val="0"/>
          <w:numId w:val="17"/>
        </w:numPr>
        <w:autoSpaceDE w:val="0"/>
        <w:autoSpaceDN w:val="0"/>
        <w:adjustRightInd w:val="0"/>
        <w:spacing w:line="360" w:lineRule="auto"/>
        <w:ind w:firstLine="720"/>
        <w:contextualSpacing/>
        <w:rPr>
          <w:color w:val="000000"/>
          <w:sz w:val="26"/>
          <w:szCs w:val="26"/>
        </w:rPr>
      </w:pPr>
      <w:r>
        <w:rPr>
          <w:color w:val="000000"/>
          <w:sz w:val="26"/>
          <w:szCs w:val="26"/>
        </w:rPr>
        <w:t>In the first</w:t>
      </w:r>
      <w:r w:rsidRPr="00573B46">
        <w:rPr>
          <w:color w:val="000000"/>
          <w:sz w:val="26"/>
          <w:szCs w:val="26"/>
        </w:rPr>
        <w:t xml:space="preserve"> </w:t>
      </w:r>
      <w:r>
        <w:rPr>
          <w:color w:val="000000"/>
          <w:sz w:val="26"/>
          <w:szCs w:val="26"/>
        </w:rPr>
        <w:t xml:space="preserve">base </w:t>
      </w:r>
      <w:r w:rsidRPr="00573B46">
        <w:rPr>
          <w:color w:val="000000"/>
          <w:sz w:val="26"/>
          <w:szCs w:val="26"/>
        </w:rPr>
        <w:t xml:space="preserve">rate proceeding filed by Aqua Pennsylvania Wastewater, Inc. that includes Lower </w:t>
      </w:r>
      <w:r w:rsidRPr="007374C1">
        <w:rPr>
          <w:color w:val="000000"/>
          <w:sz w:val="26"/>
          <w:szCs w:val="26"/>
        </w:rPr>
        <w:t>Makefield</w:t>
      </w:r>
      <w:r w:rsidRPr="00573B46">
        <w:rPr>
          <w:color w:val="000000"/>
          <w:sz w:val="26"/>
          <w:szCs w:val="26"/>
        </w:rPr>
        <w:t xml:space="preserve"> Township</w:t>
      </w:r>
      <w:r w:rsidRPr="007374C1">
        <w:rPr>
          <w:color w:val="000000"/>
          <w:sz w:val="26"/>
          <w:szCs w:val="26"/>
        </w:rPr>
        <w:t xml:space="preserve">’s wastewater system assets, </w:t>
      </w:r>
      <w:r w:rsidRPr="00573B46">
        <w:rPr>
          <w:color w:val="000000"/>
          <w:sz w:val="26"/>
          <w:szCs w:val="26"/>
        </w:rPr>
        <w:t>Aqua Pennsylvania Wastewater, Inc.</w:t>
      </w:r>
      <w:r w:rsidRPr="007374C1">
        <w:rPr>
          <w:color w:val="000000"/>
          <w:sz w:val="26"/>
          <w:szCs w:val="26"/>
        </w:rPr>
        <w:t xml:space="preserve"> shall propose to move</w:t>
      </w:r>
      <w:r w:rsidRPr="00573B46">
        <w:rPr>
          <w:color w:val="000000"/>
          <w:sz w:val="26"/>
          <w:szCs w:val="26"/>
        </w:rPr>
        <w:t xml:space="preserve"> </w:t>
      </w:r>
      <w:r w:rsidRPr="007374C1">
        <w:rPr>
          <w:color w:val="000000"/>
          <w:sz w:val="26"/>
          <w:szCs w:val="26"/>
        </w:rPr>
        <w:t>the Lower Makefield</w:t>
      </w:r>
      <w:r w:rsidRPr="00573B46">
        <w:rPr>
          <w:color w:val="000000"/>
          <w:sz w:val="26"/>
          <w:szCs w:val="26"/>
        </w:rPr>
        <w:t xml:space="preserve"> Township</w:t>
      </w:r>
      <w:r w:rsidRPr="007374C1">
        <w:rPr>
          <w:color w:val="000000"/>
          <w:sz w:val="26"/>
          <w:szCs w:val="26"/>
        </w:rPr>
        <w:t xml:space="preserve"> system to its cost of service, based on a</w:t>
      </w:r>
      <w:r w:rsidRPr="00573B46">
        <w:rPr>
          <w:color w:val="000000"/>
          <w:sz w:val="26"/>
          <w:szCs w:val="26"/>
        </w:rPr>
        <w:t xml:space="preserve"> </w:t>
      </w:r>
      <w:r w:rsidRPr="007374C1">
        <w:rPr>
          <w:color w:val="000000"/>
          <w:sz w:val="26"/>
          <w:szCs w:val="26"/>
        </w:rPr>
        <w:t>separate cost of service study for Lower Makefield</w:t>
      </w:r>
      <w:r w:rsidRPr="00573B46">
        <w:rPr>
          <w:color w:val="000000"/>
          <w:sz w:val="26"/>
          <w:szCs w:val="26"/>
        </w:rPr>
        <w:t xml:space="preserve"> Township</w:t>
      </w:r>
      <w:r w:rsidRPr="007374C1">
        <w:rPr>
          <w:color w:val="000000"/>
          <w:sz w:val="26"/>
          <w:szCs w:val="26"/>
        </w:rPr>
        <w:t>’s</w:t>
      </w:r>
      <w:r w:rsidRPr="00573B46">
        <w:rPr>
          <w:color w:val="000000"/>
          <w:sz w:val="26"/>
          <w:szCs w:val="26"/>
        </w:rPr>
        <w:t xml:space="preserve"> wastewater</w:t>
      </w:r>
      <w:r w:rsidRPr="007374C1">
        <w:rPr>
          <w:color w:val="000000"/>
          <w:sz w:val="26"/>
          <w:szCs w:val="26"/>
        </w:rPr>
        <w:t xml:space="preserve"> system;</w:t>
      </w:r>
      <w:r w:rsidRPr="00573B46">
        <w:rPr>
          <w:color w:val="000000"/>
          <w:sz w:val="26"/>
          <w:szCs w:val="26"/>
        </w:rPr>
        <w:t xml:space="preserve"> </w:t>
      </w:r>
      <w:r w:rsidRPr="007374C1">
        <w:rPr>
          <w:color w:val="000000"/>
          <w:sz w:val="26"/>
          <w:szCs w:val="26"/>
        </w:rPr>
        <w:t xml:space="preserve">provided, however, that </w:t>
      </w:r>
      <w:r w:rsidRPr="00573B46">
        <w:rPr>
          <w:color w:val="000000"/>
          <w:sz w:val="26"/>
          <w:szCs w:val="26"/>
        </w:rPr>
        <w:t>Aqua Pennsylvania Wastewater, Inc.</w:t>
      </w:r>
      <w:r w:rsidRPr="007374C1">
        <w:rPr>
          <w:color w:val="000000"/>
          <w:sz w:val="26"/>
          <w:szCs w:val="26"/>
        </w:rPr>
        <w:t xml:space="preserve"> </w:t>
      </w:r>
      <w:r w:rsidR="007915C4">
        <w:rPr>
          <w:color w:val="000000"/>
          <w:sz w:val="26"/>
          <w:szCs w:val="26"/>
        </w:rPr>
        <w:t>shall</w:t>
      </w:r>
      <w:r w:rsidRPr="007374C1">
        <w:rPr>
          <w:color w:val="000000"/>
          <w:sz w:val="26"/>
          <w:szCs w:val="26"/>
        </w:rPr>
        <w:t xml:space="preserve"> not be obligated to propose</w:t>
      </w:r>
      <w:r w:rsidRPr="00573B46">
        <w:rPr>
          <w:color w:val="000000"/>
          <w:sz w:val="26"/>
          <w:szCs w:val="26"/>
        </w:rPr>
        <w:t xml:space="preserve"> </w:t>
      </w:r>
      <w:r w:rsidRPr="007374C1">
        <w:rPr>
          <w:color w:val="000000"/>
          <w:sz w:val="26"/>
          <w:szCs w:val="26"/>
        </w:rPr>
        <w:t>Lower Makefield</w:t>
      </w:r>
      <w:r w:rsidRPr="00573B46">
        <w:rPr>
          <w:color w:val="000000"/>
          <w:sz w:val="26"/>
          <w:szCs w:val="26"/>
        </w:rPr>
        <w:t xml:space="preserve"> Township</w:t>
      </w:r>
      <w:r w:rsidRPr="007374C1">
        <w:rPr>
          <w:color w:val="000000"/>
          <w:sz w:val="26"/>
          <w:szCs w:val="26"/>
        </w:rPr>
        <w:t xml:space="preserve"> wastewater rates in excess of </w:t>
      </w:r>
      <w:r w:rsidRPr="00573B46">
        <w:rPr>
          <w:color w:val="000000"/>
          <w:sz w:val="26"/>
          <w:szCs w:val="26"/>
        </w:rPr>
        <w:t>Aqua Pennsylvania Wastewater, Inc.</w:t>
      </w:r>
      <w:r w:rsidRPr="007374C1">
        <w:rPr>
          <w:color w:val="000000"/>
          <w:sz w:val="26"/>
          <w:szCs w:val="26"/>
        </w:rPr>
        <w:t>’s proposed</w:t>
      </w:r>
      <w:r w:rsidRPr="00573B46">
        <w:rPr>
          <w:color w:val="000000"/>
          <w:sz w:val="26"/>
          <w:szCs w:val="26"/>
        </w:rPr>
        <w:t xml:space="preserve"> </w:t>
      </w:r>
      <w:r w:rsidRPr="007374C1">
        <w:rPr>
          <w:color w:val="000000"/>
          <w:sz w:val="26"/>
          <w:szCs w:val="26"/>
        </w:rPr>
        <w:t>Rate Zone 1 system-average rates.</w:t>
      </w:r>
      <w:r w:rsidRPr="00573B46">
        <w:rPr>
          <w:color w:val="000000"/>
          <w:sz w:val="26"/>
          <w:szCs w:val="26"/>
        </w:rPr>
        <w:t xml:space="preserve">  </w:t>
      </w:r>
      <w:r w:rsidRPr="007374C1">
        <w:rPr>
          <w:color w:val="000000"/>
          <w:sz w:val="26"/>
          <w:szCs w:val="26"/>
        </w:rPr>
        <w:t>The Joint Petitioners</w:t>
      </w:r>
      <w:r w:rsidRPr="00573B46">
        <w:rPr>
          <w:color w:val="000000"/>
          <w:sz w:val="26"/>
          <w:szCs w:val="26"/>
        </w:rPr>
        <w:t xml:space="preserve"> </w:t>
      </w:r>
      <w:r w:rsidRPr="007374C1">
        <w:rPr>
          <w:color w:val="000000"/>
          <w:sz w:val="26"/>
          <w:szCs w:val="26"/>
        </w:rPr>
        <w:t xml:space="preserve">acknowledge, however, that </w:t>
      </w:r>
      <w:r w:rsidRPr="00573B46">
        <w:rPr>
          <w:color w:val="000000"/>
          <w:sz w:val="26"/>
          <w:szCs w:val="26"/>
        </w:rPr>
        <w:t>Aqua Pennsylvania Wastewater, Inc.</w:t>
      </w:r>
      <w:r w:rsidRPr="007374C1">
        <w:rPr>
          <w:color w:val="000000"/>
          <w:sz w:val="26"/>
          <w:szCs w:val="26"/>
        </w:rPr>
        <w:t xml:space="preserve"> may agree to rates other than</w:t>
      </w:r>
      <w:r w:rsidRPr="00573B46">
        <w:rPr>
          <w:color w:val="000000"/>
          <w:sz w:val="26"/>
          <w:szCs w:val="26"/>
        </w:rPr>
        <w:t xml:space="preserve"> </w:t>
      </w:r>
      <w:r w:rsidRPr="007374C1">
        <w:rPr>
          <w:color w:val="000000"/>
          <w:sz w:val="26"/>
          <w:szCs w:val="26"/>
        </w:rPr>
        <w:t xml:space="preserve">those proposed for Lower Makefield </w:t>
      </w:r>
      <w:r w:rsidRPr="00573B46">
        <w:rPr>
          <w:color w:val="000000"/>
          <w:sz w:val="26"/>
          <w:szCs w:val="26"/>
        </w:rPr>
        <w:t xml:space="preserve">Township </w:t>
      </w:r>
      <w:r w:rsidRPr="007374C1">
        <w:rPr>
          <w:color w:val="000000"/>
          <w:sz w:val="26"/>
          <w:szCs w:val="26"/>
        </w:rPr>
        <w:t>customers in the context of a</w:t>
      </w:r>
      <w:r w:rsidRPr="00573B46">
        <w:rPr>
          <w:color w:val="000000"/>
          <w:sz w:val="26"/>
          <w:szCs w:val="26"/>
        </w:rPr>
        <w:t xml:space="preserve"> </w:t>
      </w:r>
      <w:r w:rsidRPr="007374C1">
        <w:rPr>
          <w:color w:val="000000"/>
          <w:sz w:val="26"/>
          <w:szCs w:val="26"/>
        </w:rPr>
        <w:t xml:space="preserve">settlement of the base rate case. </w:t>
      </w:r>
      <w:r w:rsidRPr="00573B46">
        <w:rPr>
          <w:color w:val="000000"/>
          <w:sz w:val="26"/>
          <w:szCs w:val="26"/>
        </w:rPr>
        <w:t xml:space="preserve"> The Office of Consumer Advocate</w:t>
      </w:r>
      <w:r w:rsidRPr="007374C1">
        <w:rPr>
          <w:color w:val="000000"/>
          <w:sz w:val="26"/>
          <w:szCs w:val="26"/>
        </w:rPr>
        <w:t xml:space="preserve">, </w:t>
      </w:r>
      <w:r w:rsidRPr="00573B46">
        <w:rPr>
          <w:color w:val="000000"/>
          <w:sz w:val="26"/>
          <w:szCs w:val="26"/>
        </w:rPr>
        <w:t>the Commission’s Bureau of Investigation and Enforcement</w:t>
      </w:r>
      <w:r w:rsidRPr="007374C1">
        <w:rPr>
          <w:color w:val="000000"/>
          <w:sz w:val="26"/>
          <w:szCs w:val="26"/>
        </w:rPr>
        <w:t xml:space="preserve">, </w:t>
      </w:r>
      <w:r w:rsidRPr="00573B46">
        <w:rPr>
          <w:color w:val="000000"/>
          <w:sz w:val="26"/>
          <w:szCs w:val="26"/>
        </w:rPr>
        <w:t>the Office of Small Business Advocate</w:t>
      </w:r>
      <w:r w:rsidRPr="007374C1">
        <w:rPr>
          <w:color w:val="000000"/>
          <w:sz w:val="26"/>
          <w:szCs w:val="26"/>
        </w:rPr>
        <w:t xml:space="preserve"> and Lower</w:t>
      </w:r>
      <w:r w:rsidRPr="00573B46">
        <w:rPr>
          <w:color w:val="000000"/>
          <w:sz w:val="26"/>
          <w:szCs w:val="26"/>
        </w:rPr>
        <w:t xml:space="preserve"> </w:t>
      </w:r>
      <w:r w:rsidRPr="007374C1">
        <w:rPr>
          <w:color w:val="000000"/>
          <w:sz w:val="26"/>
          <w:szCs w:val="26"/>
        </w:rPr>
        <w:t>Makefield</w:t>
      </w:r>
      <w:r w:rsidRPr="00573B46">
        <w:rPr>
          <w:color w:val="000000"/>
          <w:sz w:val="26"/>
          <w:szCs w:val="26"/>
        </w:rPr>
        <w:t xml:space="preserve"> Township</w:t>
      </w:r>
      <w:r w:rsidRPr="007374C1">
        <w:rPr>
          <w:color w:val="000000"/>
          <w:sz w:val="26"/>
          <w:szCs w:val="26"/>
        </w:rPr>
        <w:t xml:space="preserve"> reserve their rights to fully address this proposal, and to</w:t>
      </w:r>
      <w:r w:rsidRPr="00573B46">
        <w:rPr>
          <w:color w:val="000000"/>
          <w:sz w:val="26"/>
          <w:szCs w:val="26"/>
        </w:rPr>
        <w:t xml:space="preserve"> </w:t>
      </w:r>
      <w:r w:rsidRPr="007374C1">
        <w:rPr>
          <w:color w:val="000000"/>
          <w:sz w:val="26"/>
          <w:szCs w:val="26"/>
        </w:rPr>
        <w:t xml:space="preserve">make other rate proposals in the base rate case. </w:t>
      </w:r>
      <w:r w:rsidRPr="00573B46">
        <w:rPr>
          <w:color w:val="000000"/>
          <w:sz w:val="26"/>
          <w:szCs w:val="26"/>
        </w:rPr>
        <w:t xml:space="preserve"> </w:t>
      </w:r>
      <w:r w:rsidRPr="007374C1">
        <w:rPr>
          <w:color w:val="000000"/>
          <w:sz w:val="26"/>
          <w:szCs w:val="26"/>
        </w:rPr>
        <w:t>In the next rate case,</w:t>
      </w:r>
      <w:r w:rsidRPr="00573B46">
        <w:rPr>
          <w:color w:val="000000"/>
          <w:sz w:val="26"/>
          <w:szCs w:val="26"/>
        </w:rPr>
        <w:t xml:space="preserve"> Aqua Pennsylvania Wastewater, Inc.</w:t>
      </w:r>
      <w:r w:rsidRPr="007374C1">
        <w:rPr>
          <w:color w:val="000000"/>
          <w:sz w:val="26"/>
          <w:szCs w:val="26"/>
        </w:rPr>
        <w:t xml:space="preserve"> </w:t>
      </w:r>
      <w:r w:rsidR="007915C4">
        <w:rPr>
          <w:color w:val="000000"/>
          <w:sz w:val="26"/>
          <w:szCs w:val="26"/>
        </w:rPr>
        <w:t>shall</w:t>
      </w:r>
      <w:r w:rsidRPr="007374C1">
        <w:rPr>
          <w:color w:val="000000"/>
          <w:sz w:val="26"/>
          <w:szCs w:val="26"/>
        </w:rPr>
        <w:t xml:space="preserve"> provide written notice to Lower Makefield</w:t>
      </w:r>
      <w:r w:rsidRPr="00573B46">
        <w:rPr>
          <w:color w:val="000000"/>
          <w:sz w:val="26"/>
          <w:szCs w:val="26"/>
        </w:rPr>
        <w:t xml:space="preserve"> </w:t>
      </w:r>
      <w:r w:rsidRPr="007374C1">
        <w:rPr>
          <w:color w:val="000000"/>
          <w:sz w:val="26"/>
          <w:szCs w:val="26"/>
        </w:rPr>
        <w:t>Township customers of the rate</w:t>
      </w:r>
      <w:r w:rsidRPr="00573B46">
        <w:rPr>
          <w:color w:val="000000"/>
          <w:sz w:val="26"/>
          <w:szCs w:val="26"/>
        </w:rPr>
        <w:t xml:space="preserve"> </w:t>
      </w:r>
      <w:r w:rsidRPr="007374C1">
        <w:rPr>
          <w:color w:val="000000"/>
          <w:sz w:val="26"/>
          <w:szCs w:val="26"/>
        </w:rPr>
        <w:t>filing and the level of increase, if</w:t>
      </w:r>
      <w:r w:rsidRPr="00573B46">
        <w:rPr>
          <w:color w:val="000000"/>
          <w:sz w:val="26"/>
          <w:szCs w:val="26"/>
        </w:rPr>
        <w:t xml:space="preserve"> any, resulting from this provision</w:t>
      </w:r>
    </w:p>
    <w:p w14:paraId="4DAFBEDF" w14:textId="77777777" w:rsidR="00573B46" w:rsidRDefault="00573B46" w:rsidP="00044BF6">
      <w:pPr>
        <w:pStyle w:val="ListParagraph"/>
        <w:spacing w:line="360" w:lineRule="auto"/>
        <w:rPr>
          <w:color w:val="000000"/>
          <w:sz w:val="26"/>
          <w:szCs w:val="26"/>
        </w:rPr>
      </w:pPr>
    </w:p>
    <w:p w14:paraId="136D76FC" w14:textId="7AADEA01" w:rsidR="00573B46" w:rsidRPr="00573B46" w:rsidRDefault="00573B46" w:rsidP="0053240F">
      <w:pPr>
        <w:widowControl/>
        <w:numPr>
          <w:ilvl w:val="0"/>
          <w:numId w:val="17"/>
        </w:numPr>
        <w:autoSpaceDE w:val="0"/>
        <w:autoSpaceDN w:val="0"/>
        <w:adjustRightInd w:val="0"/>
        <w:spacing w:line="360" w:lineRule="auto"/>
        <w:ind w:firstLine="720"/>
        <w:contextualSpacing/>
        <w:rPr>
          <w:color w:val="000000"/>
          <w:sz w:val="26"/>
          <w:szCs w:val="26"/>
        </w:rPr>
      </w:pPr>
      <w:r w:rsidRPr="00573B46">
        <w:rPr>
          <w:color w:val="000000"/>
          <w:sz w:val="26"/>
          <w:szCs w:val="26"/>
        </w:rPr>
        <w:t xml:space="preserve">Aqua </w:t>
      </w:r>
      <w:r>
        <w:rPr>
          <w:color w:val="000000"/>
          <w:sz w:val="26"/>
          <w:szCs w:val="26"/>
        </w:rPr>
        <w:t xml:space="preserve">Pennsylvania Wastewater, Inc. </w:t>
      </w:r>
      <w:r w:rsidR="007915C4">
        <w:rPr>
          <w:color w:val="000000"/>
          <w:sz w:val="26"/>
          <w:szCs w:val="26"/>
        </w:rPr>
        <w:t>shall</w:t>
      </w:r>
      <w:r w:rsidRPr="00573B46">
        <w:rPr>
          <w:color w:val="000000"/>
          <w:sz w:val="26"/>
          <w:szCs w:val="26"/>
        </w:rPr>
        <w:t xml:space="preserve"> send a welcome letter to Lower Makefield </w:t>
      </w:r>
      <w:r>
        <w:rPr>
          <w:color w:val="000000"/>
          <w:sz w:val="26"/>
          <w:szCs w:val="26"/>
        </w:rPr>
        <w:t>Township w</w:t>
      </w:r>
      <w:r w:rsidRPr="00573B46">
        <w:rPr>
          <w:color w:val="000000"/>
          <w:sz w:val="26"/>
          <w:szCs w:val="26"/>
        </w:rPr>
        <w:t>astewater customers</w:t>
      </w:r>
      <w:r>
        <w:rPr>
          <w:color w:val="000000"/>
          <w:sz w:val="26"/>
          <w:szCs w:val="26"/>
        </w:rPr>
        <w:t xml:space="preserve"> </w:t>
      </w:r>
      <w:r w:rsidRPr="00573B46">
        <w:rPr>
          <w:color w:val="000000"/>
          <w:sz w:val="26"/>
          <w:szCs w:val="26"/>
        </w:rPr>
        <w:t xml:space="preserve">within </w:t>
      </w:r>
      <w:r>
        <w:rPr>
          <w:color w:val="000000"/>
          <w:sz w:val="26"/>
          <w:szCs w:val="26"/>
        </w:rPr>
        <w:t>thirty (</w:t>
      </w:r>
      <w:r w:rsidRPr="00573B46">
        <w:rPr>
          <w:color w:val="000000"/>
          <w:sz w:val="26"/>
          <w:szCs w:val="26"/>
        </w:rPr>
        <w:t>30</w:t>
      </w:r>
      <w:r w:rsidR="009604DB">
        <w:rPr>
          <w:color w:val="000000"/>
          <w:sz w:val="26"/>
          <w:szCs w:val="26"/>
        </w:rPr>
        <w:t>)</w:t>
      </w:r>
      <w:r w:rsidRPr="00573B46">
        <w:rPr>
          <w:color w:val="000000"/>
          <w:sz w:val="26"/>
          <w:szCs w:val="26"/>
        </w:rPr>
        <w:t xml:space="preserve"> days following Closing which </w:t>
      </w:r>
      <w:r w:rsidR="007915C4">
        <w:rPr>
          <w:color w:val="000000"/>
          <w:sz w:val="26"/>
          <w:szCs w:val="26"/>
        </w:rPr>
        <w:t>shall</w:t>
      </w:r>
      <w:r w:rsidRPr="00573B46">
        <w:rPr>
          <w:color w:val="000000"/>
          <w:sz w:val="26"/>
          <w:szCs w:val="26"/>
        </w:rPr>
        <w:t xml:space="preserve"> include information regarding</w:t>
      </w:r>
      <w:r>
        <w:rPr>
          <w:color w:val="000000"/>
          <w:sz w:val="26"/>
          <w:szCs w:val="26"/>
        </w:rPr>
        <w:t xml:space="preserve"> </w:t>
      </w:r>
      <w:r w:rsidRPr="00573B46">
        <w:rPr>
          <w:color w:val="000000"/>
          <w:sz w:val="26"/>
          <w:szCs w:val="26"/>
        </w:rPr>
        <w:t>the conversion to monthly billing for their sewer service.</w:t>
      </w:r>
    </w:p>
    <w:p w14:paraId="6782F8E5" w14:textId="77777777" w:rsidR="007374C1" w:rsidRDefault="007374C1" w:rsidP="007374C1">
      <w:pPr>
        <w:pStyle w:val="ListParagraph"/>
        <w:rPr>
          <w:color w:val="000000"/>
          <w:sz w:val="26"/>
          <w:szCs w:val="26"/>
        </w:rPr>
      </w:pPr>
    </w:p>
    <w:p w14:paraId="52DB8E64" w14:textId="3485AF30" w:rsidR="00573B46" w:rsidRPr="007F7713" w:rsidRDefault="007374C1" w:rsidP="0053240F">
      <w:pPr>
        <w:widowControl/>
        <w:numPr>
          <w:ilvl w:val="0"/>
          <w:numId w:val="17"/>
        </w:numPr>
        <w:autoSpaceDE w:val="0"/>
        <w:autoSpaceDN w:val="0"/>
        <w:adjustRightInd w:val="0"/>
        <w:spacing w:line="360" w:lineRule="auto"/>
        <w:ind w:firstLine="720"/>
        <w:contextualSpacing/>
        <w:rPr>
          <w:color w:val="000000"/>
          <w:sz w:val="26"/>
          <w:szCs w:val="26"/>
        </w:rPr>
      </w:pPr>
      <w:r>
        <w:rPr>
          <w:color w:val="000000"/>
          <w:sz w:val="26"/>
          <w:szCs w:val="26"/>
        </w:rPr>
        <w:t xml:space="preserve">In </w:t>
      </w:r>
      <w:r w:rsidR="007F7713" w:rsidRPr="007F7713">
        <w:rPr>
          <w:color w:val="000000"/>
          <w:sz w:val="26"/>
          <w:szCs w:val="26"/>
        </w:rPr>
        <w:t>its next base rate case, Aqua</w:t>
      </w:r>
      <w:r w:rsidR="007F7713">
        <w:rPr>
          <w:color w:val="000000"/>
          <w:sz w:val="26"/>
          <w:szCs w:val="26"/>
        </w:rPr>
        <w:t xml:space="preserve"> Pennsylvania Wastewater, Inc.</w:t>
      </w:r>
      <w:r w:rsidR="007F7713" w:rsidRPr="007F7713">
        <w:rPr>
          <w:color w:val="000000"/>
          <w:sz w:val="26"/>
          <w:szCs w:val="26"/>
        </w:rPr>
        <w:t xml:space="preserve"> shall separately identify any legal fees</w:t>
      </w:r>
      <w:r w:rsidR="007F7713">
        <w:rPr>
          <w:color w:val="000000"/>
          <w:sz w:val="26"/>
          <w:szCs w:val="26"/>
        </w:rPr>
        <w:t xml:space="preserve"> </w:t>
      </w:r>
      <w:r w:rsidR="007F7713" w:rsidRPr="007F7713">
        <w:rPr>
          <w:color w:val="000000"/>
          <w:sz w:val="26"/>
          <w:szCs w:val="26"/>
        </w:rPr>
        <w:t>included in its transaction and closing costs pursuant to the A</w:t>
      </w:r>
      <w:r w:rsidR="007F7713">
        <w:rPr>
          <w:color w:val="000000"/>
          <w:sz w:val="26"/>
          <w:szCs w:val="26"/>
        </w:rPr>
        <w:t>sset Purchase Agreement</w:t>
      </w:r>
      <w:r w:rsidR="007F7713" w:rsidRPr="007F7713">
        <w:rPr>
          <w:color w:val="000000"/>
          <w:sz w:val="26"/>
          <w:szCs w:val="26"/>
        </w:rPr>
        <w:t xml:space="preserve"> between</w:t>
      </w:r>
      <w:r w:rsidR="007F7713">
        <w:rPr>
          <w:color w:val="000000"/>
          <w:sz w:val="26"/>
          <w:szCs w:val="26"/>
        </w:rPr>
        <w:t xml:space="preserve"> </w:t>
      </w:r>
      <w:r w:rsidR="007F7713" w:rsidRPr="007F7713">
        <w:rPr>
          <w:color w:val="000000"/>
          <w:sz w:val="26"/>
          <w:szCs w:val="26"/>
        </w:rPr>
        <w:t>Aqua</w:t>
      </w:r>
      <w:r w:rsidR="007F7713">
        <w:rPr>
          <w:color w:val="000000"/>
          <w:sz w:val="26"/>
          <w:szCs w:val="26"/>
        </w:rPr>
        <w:t xml:space="preserve"> Pennsylvania Wastewater, Inc.</w:t>
      </w:r>
      <w:r w:rsidR="007F7713" w:rsidRPr="007F7713">
        <w:rPr>
          <w:color w:val="000000"/>
          <w:sz w:val="26"/>
          <w:szCs w:val="26"/>
        </w:rPr>
        <w:t xml:space="preserve"> and Lower Makefield </w:t>
      </w:r>
      <w:r w:rsidR="007F7713">
        <w:rPr>
          <w:color w:val="000000"/>
          <w:sz w:val="26"/>
          <w:szCs w:val="26"/>
        </w:rPr>
        <w:t xml:space="preserve">Township </w:t>
      </w:r>
      <w:r w:rsidR="007F7713" w:rsidRPr="007F7713">
        <w:rPr>
          <w:color w:val="000000"/>
          <w:sz w:val="26"/>
          <w:szCs w:val="26"/>
        </w:rPr>
        <w:t>and specify amounts expended by Aqua Pennsylvania Wastewater, Inc.</w:t>
      </w:r>
      <w:r w:rsidR="007F7713">
        <w:rPr>
          <w:color w:val="000000"/>
          <w:sz w:val="26"/>
          <w:szCs w:val="26"/>
        </w:rPr>
        <w:t xml:space="preserve"> </w:t>
      </w:r>
      <w:r w:rsidR="007F7713" w:rsidRPr="007F7713">
        <w:rPr>
          <w:color w:val="000000"/>
          <w:sz w:val="26"/>
          <w:szCs w:val="26"/>
        </w:rPr>
        <w:t>on</w:t>
      </w:r>
      <w:r w:rsidR="007F7713">
        <w:rPr>
          <w:color w:val="000000"/>
          <w:sz w:val="26"/>
          <w:szCs w:val="26"/>
        </w:rPr>
        <w:t xml:space="preserve"> </w:t>
      </w:r>
      <w:r w:rsidR="007F7713" w:rsidRPr="007F7713">
        <w:rPr>
          <w:color w:val="000000"/>
          <w:sz w:val="26"/>
          <w:szCs w:val="26"/>
        </w:rPr>
        <w:t>behalf of Lower Makefield</w:t>
      </w:r>
      <w:r w:rsidR="007F7713">
        <w:rPr>
          <w:color w:val="000000"/>
          <w:sz w:val="26"/>
          <w:szCs w:val="26"/>
        </w:rPr>
        <w:t xml:space="preserve"> Township.  The Commission’s Bureau of Investigation and Enforcement</w:t>
      </w:r>
      <w:r w:rsidR="007F7713" w:rsidRPr="007F7713">
        <w:rPr>
          <w:color w:val="000000"/>
          <w:sz w:val="26"/>
          <w:szCs w:val="26"/>
        </w:rPr>
        <w:t>,</w:t>
      </w:r>
      <w:r w:rsidR="007F7713">
        <w:rPr>
          <w:color w:val="000000"/>
          <w:sz w:val="26"/>
          <w:szCs w:val="26"/>
        </w:rPr>
        <w:t xml:space="preserve"> the Office of Consumer Advocate</w:t>
      </w:r>
      <w:r w:rsidR="007F7713" w:rsidRPr="007F7713">
        <w:rPr>
          <w:color w:val="000000"/>
          <w:sz w:val="26"/>
          <w:szCs w:val="26"/>
        </w:rPr>
        <w:t xml:space="preserve"> and </w:t>
      </w:r>
      <w:r w:rsidR="007F7713">
        <w:rPr>
          <w:color w:val="000000"/>
          <w:sz w:val="26"/>
          <w:szCs w:val="26"/>
        </w:rPr>
        <w:t>the Office of Small Business Advocate</w:t>
      </w:r>
      <w:r w:rsidR="007F7713" w:rsidRPr="007F7713">
        <w:rPr>
          <w:color w:val="000000"/>
          <w:sz w:val="26"/>
          <w:szCs w:val="26"/>
        </w:rPr>
        <w:t xml:space="preserve"> reserve the right to</w:t>
      </w:r>
      <w:r w:rsidR="007F7713">
        <w:rPr>
          <w:color w:val="000000"/>
          <w:sz w:val="26"/>
          <w:szCs w:val="26"/>
        </w:rPr>
        <w:t xml:space="preserve"> </w:t>
      </w:r>
      <w:r w:rsidR="007F7713" w:rsidRPr="007F7713">
        <w:rPr>
          <w:color w:val="000000"/>
          <w:sz w:val="26"/>
          <w:szCs w:val="26"/>
        </w:rPr>
        <w:t>challenge the reasonableness, prudency, and basis for such fees.</w:t>
      </w:r>
    </w:p>
    <w:p w14:paraId="7336A37F" w14:textId="77777777" w:rsidR="00573B46" w:rsidRPr="00EA1445" w:rsidRDefault="00573B46" w:rsidP="00573B46">
      <w:pPr>
        <w:widowControl/>
        <w:autoSpaceDE w:val="0"/>
        <w:autoSpaceDN w:val="0"/>
        <w:adjustRightInd w:val="0"/>
        <w:spacing w:line="360" w:lineRule="auto"/>
        <w:ind w:left="1440"/>
        <w:contextualSpacing/>
        <w:rPr>
          <w:color w:val="000000"/>
          <w:sz w:val="26"/>
          <w:szCs w:val="26"/>
        </w:rPr>
      </w:pPr>
    </w:p>
    <w:p w14:paraId="19CAE5A6" w14:textId="1C5E0629" w:rsidR="004C327C" w:rsidRDefault="004C327C" w:rsidP="004C327C">
      <w:pPr>
        <w:widowControl/>
        <w:spacing w:after="200" w:line="360" w:lineRule="auto"/>
        <w:ind w:firstLine="1440"/>
        <w:contextualSpacing/>
        <w:rPr>
          <w:rFonts w:eastAsiaTheme="minorHAnsi"/>
          <w:sz w:val="26"/>
          <w:szCs w:val="26"/>
        </w:rPr>
      </w:pPr>
      <w:r>
        <w:rPr>
          <w:rFonts w:eastAsiaTheme="minorHAnsi"/>
          <w:sz w:val="26"/>
          <w:szCs w:val="26"/>
        </w:rPr>
        <w:t>6</w:t>
      </w:r>
      <w:r w:rsidRPr="004C327C">
        <w:rPr>
          <w:rFonts w:eastAsiaTheme="minorHAnsi"/>
          <w:sz w:val="26"/>
          <w:szCs w:val="26"/>
        </w:rPr>
        <w:t>.</w:t>
      </w:r>
      <w:r w:rsidRPr="004C327C">
        <w:rPr>
          <w:rFonts w:eastAsiaTheme="minorHAnsi"/>
          <w:sz w:val="26"/>
          <w:szCs w:val="26"/>
        </w:rPr>
        <w:tab/>
        <w:t xml:space="preserve">That, pursuant to 66 Pa. C.S. § 1329(c)(2), the ratemaking rate base of the </w:t>
      </w:r>
      <w:r>
        <w:rPr>
          <w:rFonts w:eastAsiaTheme="minorHAnsi"/>
          <w:sz w:val="26"/>
          <w:szCs w:val="26"/>
        </w:rPr>
        <w:t>Lower Makefield</w:t>
      </w:r>
      <w:r w:rsidRPr="004C327C">
        <w:rPr>
          <w:rFonts w:eastAsiaTheme="minorHAnsi"/>
          <w:sz w:val="26"/>
          <w:szCs w:val="26"/>
        </w:rPr>
        <w:t xml:space="preserve"> Township wastewater system assets is $</w:t>
      </w:r>
      <w:r w:rsidR="003E1470">
        <w:rPr>
          <w:rFonts w:eastAsiaTheme="minorHAnsi"/>
          <w:sz w:val="26"/>
          <w:szCs w:val="26"/>
        </w:rPr>
        <w:t>53,000,000</w:t>
      </w:r>
      <w:r w:rsidRPr="004C327C">
        <w:rPr>
          <w:rFonts w:eastAsiaTheme="minorHAnsi"/>
          <w:sz w:val="26"/>
          <w:szCs w:val="26"/>
        </w:rPr>
        <w:t>.</w:t>
      </w:r>
    </w:p>
    <w:p w14:paraId="5E1F09F7" w14:textId="7C982FE1" w:rsidR="00091CDA" w:rsidRDefault="00091CDA" w:rsidP="004C327C">
      <w:pPr>
        <w:widowControl/>
        <w:spacing w:after="200" w:line="360" w:lineRule="auto"/>
        <w:ind w:firstLine="1440"/>
        <w:contextualSpacing/>
        <w:rPr>
          <w:rFonts w:eastAsiaTheme="minorHAnsi"/>
          <w:sz w:val="26"/>
          <w:szCs w:val="26"/>
        </w:rPr>
      </w:pPr>
    </w:p>
    <w:p w14:paraId="7571C518" w14:textId="7760CF45" w:rsidR="00091CDA" w:rsidRDefault="00091CDA" w:rsidP="004C327C">
      <w:pPr>
        <w:widowControl/>
        <w:spacing w:after="200" w:line="360" w:lineRule="auto"/>
        <w:ind w:firstLine="1440"/>
        <w:contextualSpacing/>
        <w:rPr>
          <w:rFonts w:eastAsiaTheme="minorHAnsi"/>
          <w:sz w:val="26"/>
          <w:szCs w:val="26"/>
        </w:rPr>
      </w:pPr>
      <w:r>
        <w:rPr>
          <w:rFonts w:eastAsiaTheme="minorHAnsi"/>
          <w:sz w:val="26"/>
          <w:szCs w:val="26"/>
        </w:rPr>
        <w:t>7.</w:t>
      </w:r>
      <w:r>
        <w:rPr>
          <w:rFonts w:eastAsiaTheme="minorHAnsi"/>
          <w:sz w:val="26"/>
          <w:szCs w:val="26"/>
        </w:rPr>
        <w:tab/>
        <w:t xml:space="preserve">That the </w:t>
      </w:r>
      <w:r w:rsidR="0027614D">
        <w:rPr>
          <w:rFonts w:eastAsiaTheme="minorHAnsi"/>
          <w:sz w:val="26"/>
          <w:szCs w:val="26"/>
        </w:rPr>
        <w:t>Office of Consumer Advocate</w:t>
      </w:r>
      <w:r w:rsidR="007915C4">
        <w:rPr>
          <w:rFonts w:eastAsiaTheme="minorHAnsi"/>
          <w:sz w:val="26"/>
          <w:szCs w:val="26"/>
        </w:rPr>
        <w:t>’s</w:t>
      </w:r>
      <w:r w:rsidR="0027614D">
        <w:rPr>
          <w:rFonts w:eastAsiaTheme="minorHAnsi"/>
          <w:sz w:val="26"/>
          <w:szCs w:val="26"/>
        </w:rPr>
        <w:t xml:space="preserve"> </w:t>
      </w:r>
      <w:r>
        <w:rPr>
          <w:rFonts w:eastAsiaTheme="minorHAnsi"/>
          <w:sz w:val="26"/>
          <w:szCs w:val="26"/>
        </w:rPr>
        <w:t>proposed accumulation of the income tax effect of repairs deductions in a regulatory liability account as a condition for approval of the transaction is denied.</w:t>
      </w:r>
    </w:p>
    <w:p w14:paraId="57993D4B" w14:textId="2CD139A5" w:rsidR="0027614D" w:rsidRDefault="0027614D" w:rsidP="004C327C">
      <w:pPr>
        <w:widowControl/>
        <w:spacing w:after="200" w:line="360" w:lineRule="auto"/>
        <w:ind w:firstLine="1440"/>
        <w:contextualSpacing/>
        <w:rPr>
          <w:rFonts w:eastAsiaTheme="minorHAnsi"/>
          <w:sz w:val="26"/>
          <w:szCs w:val="26"/>
        </w:rPr>
      </w:pPr>
    </w:p>
    <w:p w14:paraId="719D28C9" w14:textId="1D6685F0" w:rsidR="0027614D" w:rsidRDefault="0027614D" w:rsidP="004C327C">
      <w:pPr>
        <w:widowControl/>
        <w:spacing w:after="200" w:line="360" w:lineRule="auto"/>
        <w:ind w:firstLine="1440"/>
        <w:contextualSpacing/>
        <w:rPr>
          <w:rFonts w:eastAsiaTheme="minorHAnsi"/>
          <w:sz w:val="26"/>
          <w:szCs w:val="26"/>
        </w:rPr>
      </w:pPr>
      <w:r>
        <w:rPr>
          <w:rFonts w:eastAsiaTheme="minorHAnsi"/>
          <w:sz w:val="26"/>
          <w:szCs w:val="26"/>
        </w:rPr>
        <w:t>8.</w:t>
      </w:r>
      <w:r>
        <w:rPr>
          <w:rFonts w:eastAsiaTheme="minorHAnsi"/>
          <w:sz w:val="26"/>
          <w:szCs w:val="26"/>
        </w:rPr>
        <w:tab/>
        <w:t>That the Office of Consumer Advocate</w:t>
      </w:r>
      <w:r w:rsidR="007915C4">
        <w:rPr>
          <w:rFonts w:eastAsiaTheme="minorHAnsi"/>
          <w:sz w:val="26"/>
          <w:szCs w:val="26"/>
        </w:rPr>
        <w:t>’s</w:t>
      </w:r>
      <w:r>
        <w:rPr>
          <w:rFonts w:eastAsiaTheme="minorHAnsi"/>
          <w:sz w:val="26"/>
          <w:szCs w:val="26"/>
        </w:rPr>
        <w:t xml:space="preserve"> proposed income tax expense from repairs deduction and request </w:t>
      </w:r>
      <w:r w:rsidR="00CF3E06">
        <w:rPr>
          <w:rFonts w:eastAsiaTheme="minorHAnsi"/>
          <w:sz w:val="26"/>
          <w:szCs w:val="26"/>
        </w:rPr>
        <w:t xml:space="preserve">that </w:t>
      </w:r>
      <w:r w:rsidR="007A11A2">
        <w:rPr>
          <w:rFonts w:eastAsiaTheme="minorHAnsi"/>
          <w:sz w:val="26"/>
          <w:szCs w:val="26"/>
        </w:rPr>
        <w:t xml:space="preserve">Lower Makefield Township </w:t>
      </w:r>
      <w:r w:rsidR="00CF3E06">
        <w:rPr>
          <w:rFonts w:eastAsiaTheme="minorHAnsi"/>
          <w:sz w:val="26"/>
          <w:szCs w:val="26"/>
        </w:rPr>
        <w:t>wastewater utility system assets be recorded in a regulatory liability account and addressed in Aqua Pennsylvania Wastewater, Inc.’s first base rate proceeding in which rates for the acquired Lower Makefield Township wastewater utility customers</w:t>
      </w:r>
      <w:r w:rsidR="007915C4">
        <w:rPr>
          <w:rFonts w:eastAsiaTheme="minorHAnsi"/>
          <w:sz w:val="26"/>
          <w:szCs w:val="26"/>
        </w:rPr>
        <w:t xml:space="preserve"> are included</w:t>
      </w:r>
      <w:r w:rsidR="00CF3E06">
        <w:rPr>
          <w:rFonts w:eastAsiaTheme="minorHAnsi"/>
          <w:sz w:val="26"/>
          <w:szCs w:val="26"/>
        </w:rPr>
        <w:t xml:space="preserve"> is denied.</w:t>
      </w:r>
    </w:p>
    <w:p w14:paraId="36C16BAF" w14:textId="614F723E" w:rsidR="003E1470" w:rsidRDefault="003E1470" w:rsidP="004C327C">
      <w:pPr>
        <w:widowControl/>
        <w:spacing w:after="200" w:line="360" w:lineRule="auto"/>
        <w:ind w:firstLine="1440"/>
        <w:contextualSpacing/>
        <w:rPr>
          <w:rFonts w:eastAsiaTheme="minorHAnsi"/>
          <w:sz w:val="26"/>
          <w:szCs w:val="26"/>
        </w:rPr>
      </w:pPr>
    </w:p>
    <w:p w14:paraId="2920F71B" w14:textId="06642023" w:rsidR="009604DB" w:rsidRPr="00FB0687" w:rsidRDefault="00CF3E06" w:rsidP="009604DB">
      <w:pPr>
        <w:widowControl/>
        <w:spacing w:after="200" w:line="360" w:lineRule="auto"/>
        <w:ind w:firstLine="1440"/>
        <w:contextualSpacing/>
        <w:rPr>
          <w:rFonts w:eastAsiaTheme="minorHAnsi"/>
          <w:sz w:val="26"/>
          <w:szCs w:val="26"/>
        </w:rPr>
      </w:pPr>
      <w:r>
        <w:rPr>
          <w:rFonts w:eastAsiaTheme="minorHAnsi"/>
          <w:sz w:val="26"/>
          <w:szCs w:val="26"/>
        </w:rPr>
        <w:t>9</w:t>
      </w:r>
      <w:r w:rsidR="003E1470">
        <w:rPr>
          <w:rFonts w:eastAsiaTheme="minorHAnsi"/>
          <w:sz w:val="26"/>
          <w:szCs w:val="26"/>
        </w:rPr>
        <w:t>.</w:t>
      </w:r>
      <w:r w:rsidR="003E1470">
        <w:rPr>
          <w:rFonts w:eastAsiaTheme="minorHAnsi"/>
          <w:sz w:val="26"/>
          <w:szCs w:val="26"/>
        </w:rPr>
        <w:tab/>
      </w:r>
      <w:r w:rsidR="009604DB" w:rsidRPr="00FB0687">
        <w:rPr>
          <w:rFonts w:eastAsiaTheme="minorHAnsi"/>
          <w:sz w:val="26"/>
          <w:szCs w:val="26"/>
        </w:rPr>
        <w:t>That the Commission’s Secretary</w:t>
      </w:r>
      <w:r w:rsidR="007915C4" w:rsidRPr="00FB0687">
        <w:rPr>
          <w:rFonts w:eastAsiaTheme="minorHAnsi"/>
          <w:sz w:val="26"/>
          <w:szCs w:val="26"/>
        </w:rPr>
        <w:t xml:space="preserve"> shall</w:t>
      </w:r>
      <w:r w:rsidR="009604DB" w:rsidRPr="00FB0687">
        <w:rPr>
          <w:rFonts w:eastAsiaTheme="minorHAnsi"/>
          <w:sz w:val="26"/>
          <w:szCs w:val="26"/>
        </w:rPr>
        <w:t xml:space="preserve"> issue a Certificate of Public Convenience evidencing Aqua Pennsylvania Wastewater, Inc.’s right under Sections</w:t>
      </w:r>
      <w:r w:rsidR="00967CCA" w:rsidRPr="00FB0687">
        <w:rPr>
          <w:rFonts w:eastAsiaTheme="minorHAnsi"/>
          <w:sz w:val="26"/>
          <w:szCs w:val="26"/>
        </w:rPr>
        <w:t> </w:t>
      </w:r>
      <w:r w:rsidR="009604DB" w:rsidRPr="00FB0687">
        <w:rPr>
          <w:rFonts w:eastAsiaTheme="minorHAnsi"/>
          <w:sz w:val="26"/>
          <w:szCs w:val="26"/>
        </w:rPr>
        <w:t>1102(a)(1), 1102(a)(3) and 1329(c)(2) of the Pennsylvania Public Utility Code, 66 Pa. C.S. §§ 1102(a)(1), 1102(a)(3) and 1329(c)(2), subject to the conditions set forth in this Opinion and Order, to:</w:t>
      </w:r>
      <w:r w:rsidR="005D263F" w:rsidRPr="00FB0687">
        <w:rPr>
          <w:rFonts w:eastAsiaTheme="minorHAnsi"/>
          <w:sz w:val="26"/>
          <w:szCs w:val="26"/>
        </w:rPr>
        <w:t xml:space="preserve"> </w:t>
      </w:r>
      <w:r w:rsidR="009604DB" w:rsidRPr="00FB0687">
        <w:rPr>
          <w:rFonts w:eastAsiaTheme="minorHAnsi"/>
          <w:sz w:val="26"/>
          <w:szCs w:val="26"/>
        </w:rPr>
        <w:t xml:space="preserve"> (a) acquire, by sale, the wastewater system assets of </w:t>
      </w:r>
      <w:r w:rsidR="006A26C5" w:rsidRPr="00FB0687">
        <w:rPr>
          <w:rFonts w:eastAsiaTheme="minorHAnsi"/>
          <w:sz w:val="26"/>
          <w:szCs w:val="26"/>
        </w:rPr>
        <w:t xml:space="preserve">Lower Makefield </w:t>
      </w:r>
      <w:r w:rsidR="009604DB" w:rsidRPr="00FB0687">
        <w:rPr>
          <w:rFonts w:eastAsiaTheme="minorHAnsi"/>
          <w:sz w:val="26"/>
          <w:szCs w:val="26"/>
        </w:rPr>
        <w:t xml:space="preserve">Township; (b) the right of Aqua Pennsylvania Wastewater, Inc.to begin to offer, render, furnish and supply wastewater service to the public in portions of </w:t>
      </w:r>
      <w:r w:rsidR="006A26C5" w:rsidRPr="00FB0687">
        <w:rPr>
          <w:rFonts w:eastAsiaTheme="minorHAnsi"/>
          <w:sz w:val="26"/>
          <w:szCs w:val="26"/>
        </w:rPr>
        <w:t>Lower Makefield</w:t>
      </w:r>
      <w:r w:rsidR="009604DB" w:rsidRPr="00FB0687">
        <w:rPr>
          <w:rFonts w:eastAsiaTheme="minorHAnsi"/>
          <w:sz w:val="26"/>
          <w:szCs w:val="26"/>
        </w:rPr>
        <w:t xml:space="preserve"> Township, </w:t>
      </w:r>
      <w:r w:rsidR="006A26C5" w:rsidRPr="00FB0687">
        <w:rPr>
          <w:rFonts w:eastAsiaTheme="minorHAnsi"/>
          <w:sz w:val="26"/>
          <w:szCs w:val="26"/>
        </w:rPr>
        <w:t>Bucks</w:t>
      </w:r>
      <w:r w:rsidR="009604DB" w:rsidRPr="00FB0687">
        <w:rPr>
          <w:rFonts w:eastAsiaTheme="minorHAnsi"/>
          <w:sz w:val="26"/>
          <w:szCs w:val="26"/>
        </w:rPr>
        <w:t xml:space="preserve"> County, Pennsylvania; and (c) allow Aqua Pennsylvania Wastewater, Inc. to incorporate the ratemaking rate base of $</w:t>
      </w:r>
      <w:r w:rsidR="006A26C5" w:rsidRPr="00FB0687">
        <w:rPr>
          <w:rFonts w:eastAsiaTheme="minorHAnsi"/>
          <w:sz w:val="26"/>
          <w:szCs w:val="26"/>
        </w:rPr>
        <w:t>53,000,000</w:t>
      </w:r>
      <w:r w:rsidR="009604DB" w:rsidRPr="00FB0687">
        <w:rPr>
          <w:rFonts w:eastAsiaTheme="minorHAnsi"/>
          <w:sz w:val="26"/>
          <w:szCs w:val="26"/>
        </w:rPr>
        <w:t xml:space="preserve"> for the </w:t>
      </w:r>
      <w:r w:rsidR="006A26C5" w:rsidRPr="00FB0687">
        <w:rPr>
          <w:rFonts w:eastAsiaTheme="minorHAnsi"/>
          <w:sz w:val="26"/>
          <w:szCs w:val="26"/>
        </w:rPr>
        <w:t>Lower Makefield</w:t>
      </w:r>
      <w:r w:rsidR="009604DB" w:rsidRPr="00FB0687">
        <w:rPr>
          <w:rFonts w:eastAsiaTheme="minorHAnsi"/>
          <w:sz w:val="26"/>
          <w:szCs w:val="26"/>
        </w:rPr>
        <w:t xml:space="preserve"> Township wastewater system assets in its next base rate case pursuant to 66 Pa. C.S. § 1329(c)(2).</w:t>
      </w:r>
    </w:p>
    <w:p w14:paraId="4A42FBC3" w14:textId="06C14581" w:rsidR="00432E95" w:rsidRPr="00FB0687" w:rsidRDefault="00432E95" w:rsidP="009604DB">
      <w:pPr>
        <w:widowControl/>
        <w:spacing w:after="200" w:line="360" w:lineRule="auto"/>
        <w:ind w:firstLine="1440"/>
        <w:contextualSpacing/>
        <w:rPr>
          <w:rFonts w:eastAsiaTheme="minorHAnsi"/>
          <w:sz w:val="26"/>
          <w:szCs w:val="26"/>
        </w:rPr>
      </w:pPr>
    </w:p>
    <w:p w14:paraId="72A5303F" w14:textId="21EF00A4" w:rsidR="00DB3FA3" w:rsidRPr="00FB0687" w:rsidRDefault="00CF3E06" w:rsidP="009604DB">
      <w:pPr>
        <w:widowControl/>
        <w:spacing w:after="200" w:line="360" w:lineRule="auto"/>
        <w:ind w:firstLine="1440"/>
        <w:contextualSpacing/>
        <w:rPr>
          <w:rFonts w:eastAsiaTheme="minorHAnsi"/>
          <w:sz w:val="26"/>
          <w:szCs w:val="26"/>
        </w:rPr>
      </w:pPr>
      <w:r w:rsidRPr="00FB0687">
        <w:rPr>
          <w:rFonts w:eastAsiaTheme="minorHAnsi"/>
          <w:sz w:val="26"/>
          <w:szCs w:val="26"/>
        </w:rPr>
        <w:t>10</w:t>
      </w:r>
      <w:r w:rsidR="00432E95" w:rsidRPr="00FB0687">
        <w:rPr>
          <w:rFonts w:eastAsiaTheme="minorHAnsi"/>
          <w:sz w:val="26"/>
          <w:szCs w:val="26"/>
        </w:rPr>
        <w:t>.</w:t>
      </w:r>
      <w:r w:rsidR="00432E95" w:rsidRPr="00FB0687">
        <w:rPr>
          <w:rFonts w:eastAsiaTheme="minorHAnsi"/>
          <w:sz w:val="26"/>
          <w:szCs w:val="26"/>
        </w:rPr>
        <w:tab/>
        <w:t>That the Commission’s Secretary</w:t>
      </w:r>
      <w:r w:rsidR="007915C4" w:rsidRPr="00FB0687">
        <w:rPr>
          <w:rFonts w:eastAsiaTheme="minorHAnsi"/>
          <w:sz w:val="26"/>
          <w:szCs w:val="26"/>
        </w:rPr>
        <w:t xml:space="preserve"> shall</w:t>
      </w:r>
      <w:r w:rsidR="00432E95" w:rsidRPr="00FB0687">
        <w:rPr>
          <w:rFonts w:eastAsiaTheme="minorHAnsi"/>
          <w:sz w:val="26"/>
          <w:szCs w:val="26"/>
        </w:rPr>
        <w:t xml:space="preserve"> issue a Certificate of Filing under Section 507 of the Public Utility Code, 66 Pa. C.S. § 507, for </w:t>
      </w:r>
      <w:r w:rsidR="00DB3FA3" w:rsidRPr="00FB0687">
        <w:rPr>
          <w:rFonts w:eastAsiaTheme="minorHAnsi"/>
          <w:sz w:val="26"/>
          <w:szCs w:val="26"/>
        </w:rPr>
        <w:t>each of the following agreements:</w:t>
      </w:r>
    </w:p>
    <w:p w14:paraId="0DEC6EDE" w14:textId="540DB146" w:rsidR="00DB3FA3" w:rsidRPr="00FB0687" w:rsidRDefault="00DB3FA3" w:rsidP="00E92F92">
      <w:pPr>
        <w:widowControl/>
        <w:spacing w:after="200" w:line="360" w:lineRule="auto"/>
        <w:ind w:firstLine="1440"/>
        <w:contextualSpacing/>
        <w:rPr>
          <w:rFonts w:eastAsiaTheme="minorHAnsi"/>
          <w:sz w:val="26"/>
          <w:szCs w:val="26"/>
        </w:rPr>
      </w:pPr>
    </w:p>
    <w:p w14:paraId="329F83E1" w14:textId="6F6B43C4" w:rsidR="00DB3FA3" w:rsidRPr="00DB3FA3" w:rsidRDefault="00DB3FA3" w:rsidP="0053240F">
      <w:pPr>
        <w:widowControl/>
        <w:numPr>
          <w:ilvl w:val="0"/>
          <w:numId w:val="18"/>
        </w:numPr>
        <w:autoSpaceDE w:val="0"/>
        <w:autoSpaceDN w:val="0"/>
        <w:adjustRightInd w:val="0"/>
        <w:spacing w:line="360" w:lineRule="auto"/>
        <w:ind w:firstLine="720"/>
        <w:rPr>
          <w:rFonts w:eastAsiaTheme="minorHAnsi"/>
          <w:color w:val="000000"/>
          <w:sz w:val="26"/>
          <w:szCs w:val="26"/>
        </w:rPr>
      </w:pPr>
      <w:r w:rsidRPr="00FB0687">
        <w:rPr>
          <w:rFonts w:eastAsiaTheme="minorHAnsi"/>
          <w:color w:val="000000"/>
          <w:sz w:val="26"/>
          <w:szCs w:val="26"/>
        </w:rPr>
        <w:t>Asset Purchase</w:t>
      </w:r>
      <w:r w:rsidRPr="00DB3FA3">
        <w:rPr>
          <w:rFonts w:eastAsiaTheme="minorHAnsi"/>
          <w:color w:val="000000"/>
          <w:sz w:val="26"/>
          <w:szCs w:val="26"/>
        </w:rPr>
        <w:t xml:space="preserve"> Agreement between the Township of Lower Makefield (as Seller) and Aqua Pennsylvania Wastewater, Inc. (as Buyer), dated as of September 17, 2020, as attached to the Application as Exhibit B.</w:t>
      </w:r>
    </w:p>
    <w:p w14:paraId="241E2C39" w14:textId="2D4935C9" w:rsidR="00DB3FA3" w:rsidRPr="00DB3FA3" w:rsidRDefault="00DB3FA3" w:rsidP="00E92F92">
      <w:pPr>
        <w:widowControl/>
        <w:numPr>
          <w:ilvl w:val="0"/>
          <w:numId w:val="18"/>
        </w:numPr>
        <w:autoSpaceDE w:val="0"/>
        <w:autoSpaceDN w:val="0"/>
        <w:adjustRightInd w:val="0"/>
        <w:spacing w:line="360" w:lineRule="auto"/>
        <w:ind w:firstLine="720"/>
        <w:rPr>
          <w:rFonts w:eastAsiaTheme="minorHAnsi"/>
          <w:color w:val="000000"/>
          <w:sz w:val="26"/>
          <w:szCs w:val="26"/>
        </w:rPr>
      </w:pPr>
      <w:proofErr w:type="gramStart"/>
      <w:r w:rsidRPr="00DB3FA3">
        <w:rPr>
          <w:rFonts w:eastAsiaTheme="minorHAnsi"/>
          <w:color w:val="000000"/>
          <w:sz w:val="26"/>
          <w:szCs w:val="26"/>
        </w:rPr>
        <w:t>Sewage Transportation Agreement,</w:t>
      </w:r>
      <w:proofErr w:type="gramEnd"/>
      <w:r w:rsidRPr="00DB3FA3">
        <w:rPr>
          <w:rFonts w:eastAsiaTheme="minorHAnsi"/>
          <w:color w:val="000000"/>
          <w:sz w:val="26"/>
          <w:szCs w:val="26"/>
        </w:rPr>
        <w:t xml:space="preserve"> dated November 20, 2015, by and</w:t>
      </w:r>
      <w:r>
        <w:rPr>
          <w:rFonts w:eastAsiaTheme="minorHAnsi"/>
          <w:color w:val="000000"/>
          <w:sz w:val="26"/>
          <w:szCs w:val="26"/>
        </w:rPr>
        <w:t xml:space="preserve"> </w:t>
      </w:r>
      <w:r w:rsidRPr="00DB3FA3">
        <w:rPr>
          <w:rFonts w:eastAsiaTheme="minorHAnsi"/>
          <w:color w:val="000000"/>
          <w:sz w:val="26"/>
          <w:szCs w:val="26"/>
        </w:rPr>
        <w:t>among the Municipal Sewer Authority of the Township of Lower</w:t>
      </w:r>
      <w:r>
        <w:rPr>
          <w:rFonts w:eastAsiaTheme="minorHAnsi"/>
          <w:color w:val="000000"/>
          <w:sz w:val="26"/>
          <w:szCs w:val="26"/>
        </w:rPr>
        <w:t xml:space="preserve"> </w:t>
      </w:r>
      <w:r w:rsidRPr="00DB3FA3">
        <w:rPr>
          <w:rFonts w:eastAsiaTheme="minorHAnsi"/>
          <w:color w:val="000000"/>
          <w:sz w:val="26"/>
          <w:szCs w:val="26"/>
        </w:rPr>
        <w:t>Makefield, Lower Makef</w:t>
      </w:r>
      <w:r>
        <w:rPr>
          <w:rFonts w:eastAsiaTheme="minorHAnsi"/>
          <w:color w:val="000000"/>
          <w:sz w:val="26"/>
          <w:szCs w:val="26"/>
        </w:rPr>
        <w:t>iel</w:t>
      </w:r>
      <w:r w:rsidRPr="00DB3FA3">
        <w:rPr>
          <w:rFonts w:eastAsiaTheme="minorHAnsi"/>
          <w:color w:val="000000"/>
          <w:sz w:val="26"/>
          <w:szCs w:val="26"/>
        </w:rPr>
        <w:t>d Township, and Yardley Borough Sewer</w:t>
      </w:r>
      <w:r>
        <w:rPr>
          <w:rFonts w:eastAsiaTheme="minorHAnsi"/>
          <w:color w:val="000000"/>
          <w:sz w:val="26"/>
          <w:szCs w:val="26"/>
        </w:rPr>
        <w:t xml:space="preserve"> </w:t>
      </w:r>
      <w:r w:rsidRPr="00DB3FA3">
        <w:rPr>
          <w:rFonts w:eastAsiaTheme="minorHAnsi"/>
          <w:color w:val="000000"/>
          <w:sz w:val="26"/>
          <w:szCs w:val="26"/>
        </w:rPr>
        <w:t>Authority</w:t>
      </w:r>
      <w:r>
        <w:rPr>
          <w:rFonts w:eastAsiaTheme="minorHAnsi"/>
          <w:color w:val="000000"/>
          <w:sz w:val="26"/>
          <w:szCs w:val="26"/>
        </w:rPr>
        <w:t>, attached to the Application as Exhibit F1.</w:t>
      </w:r>
    </w:p>
    <w:p w14:paraId="34935F20" w14:textId="77777777" w:rsidR="00DB3FA3" w:rsidRPr="00DB3FA3" w:rsidRDefault="00DB3FA3" w:rsidP="00E92F92">
      <w:pPr>
        <w:widowControl/>
        <w:autoSpaceDE w:val="0"/>
        <w:autoSpaceDN w:val="0"/>
        <w:adjustRightInd w:val="0"/>
        <w:spacing w:line="360" w:lineRule="auto"/>
        <w:ind w:left="1080" w:firstLine="720"/>
        <w:rPr>
          <w:rFonts w:eastAsiaTheme="minorHAnsi"/>
          <w:color w:val="000000"/>
          <w:sz w:val="26"/>
          <w:szCs w:val="26"/>
        </w:rPr>
      </w:pPr>
    </w:p>
    <w:p w14:paraId="14B50EFE" w14:textId="1685E5AA" w:rsidR="00DB3FA3" w:rsidRDefault="00E04CF1" w:rsidP="00E92F92">
      <w:pPr>
        <w:widowControl/>
        <w:numPr>
          <w:ilvl w:val="0"/>
          <w:numId w:val="18"/>
        </w:numPr>
        <w:autoSpaceDE w:val="0"/>
        <w:autoSpaceDN w:val="0"/>
        <w:adjustRightInd w:val="0"/>
        <w:spacing w:line="360" w:lineRule="auto"/>
        <w:ind w:firstLine="720"/>
        <w:rPr>
          <w:rFonts w:eastAsiaTheme="minorHAnsi"/>
          <w:color w:val="000000"/>
          <w:sz w:val="26"/>
          <w:szCs w:val="26"/>
        </w:rPr>
      </w:pPr>
      <w:proofErr w:type="gramStart"/>
      <w:r w:rsidRPr="00E04CF1">
        <w:rPr>
          <w:rFonts w:eastAsiaTheme="minorHAnsi"/>
          <w:color w:val="000000"/>
          <w:sz w:val="26"/>
          <w:szCs w:val="26"/>
        </w:rPr>
        <w:t>Agreement</w:t>
      </w:r>
      <w:r>
        <w:rPr>
          <w:rFonts w:eastAsiaTheme="minorHAnsi"/>
          <w:color w:val="000000"/>
          <w:sz w:val="26"/>
          <w:szCs w:val="26"/>
        </w:rPr>
        <w:t>,</w:t>
      </w:r>
      <w:proofErr w:type="gramEnd"/>
      <w:r w:rsidRPr="00E04CF1">
        <w:rPr>
          <w:rFonts w:eastAsiaTheme="minorHAnsi"/>
          <w:color w:val="000000"/>
          <w:sz w:val="26"/>
          <w:szCs w:val="26"/>
        </w:rPr>
        <w:t xml:space="preserve"> dated September 1, 1977, by and among the Municipal</w:t>
      </w:r>
      <w:r>
        <w:rPr>
          <w:rFonts w:eastAsiaTheme="minorHAnsi"/>
          <w:color w:val="000000"/>
          <w:sz w:val="26"/>
          <w:szCs w:val="26"/>
        </w:rPr>
        <w:t xml:space="preserve"> </w:t>
      </w:r>
      <w:r w:rsidRPr="00E04CF1">
        <w:rPr>
          <w:rFonts w:eastAsiaTheme="minorHAnsi"/>
          <w:color w:val="000000"/>
          <w:sz w:val="26"/>
          <w:szCs w:val="26"/>
        </w:rPr>
        <w:t>Authority of the Borough of Morrisville, Borough of Yardley, Yardley</w:t>
      </w:r>
      <w:r>
        <w:rPr>
          <w:rFonts w:eastAsiaTheme="minorHAnsi"/>
          <w:color w:val="000000"/>
          <w:sz w:val="26"/>
          <w:szCs w:val="26"/>
        </w:rPr>
        <w:t xml:space="preserve"> </w:t>
      </w:r>
      <w:r w:rsidRPr="00E04CF1">
        <w:rPr>
          <w:rFonts w:eastAsiaTheme="minorHAnsi"/>
          <w:color w:val="000000"/>
          <w:sz w:val="26"/>
          <w:szCs w:val="26"/>
        </w:rPr>
        <w:t>Borough Sewer Authority, Township of Lower Makefield, and the</w:t>
      </w:r>
      <w:r>
        <w:rPr>
          <w:rFonts w:eastAsiaTheme="minorHAnsi"/>
          <w:color w:val="000000"/>
          <w:sz w:val="26"/>
          <w:szCs w:val="26"/>
        </w:rPr>
        <w:t xml:space="preserve"> </w:t>
      </w:r>
      <w:r w:rsidRPr="00E04CF1">
        <w:rPr>
          <w:rFonts w:eastAsiaTheme="minorHAnsi"/>
          <w:color w:val="000000"/>
          <w:sz w:val="26"/>
          <w:szCs w:val="26"/>
        </w:rPr>
        <w:t>Municipal Sewer Authority of the Township of Lower Makefield</w:t>
      </w:r>
      <w:r>
        <w:rPr>
          <w:rFonts w:eastAsiaTheme="minorHAnsi"/>
          <w:color w:val="000000"/>
          <w:sz w:val="26"/>
          <w:szCs w:val="26"/>
        </w:rPr>
        <w:t>, attached to the Application as Exhibit F2.</w:t>
      </w:r>
    </w:p>
    <w:p w14:paraId="71DE9A2D" w14:textId="77777777" w:rsidR="00E04CF1" w:rsidRDefault="00E04CF1" w:rsidP="00E92F92">
      <w:pPr>
        <w:pStyle w:val="ListParagraph"/>
        <w:spacing w:line="360" w:lineRule="auto"/>
        <w:rPr>
          <w:rFonts w:eastAsiaTheme="minorHAnsi"/>
          <w:color w:val="000000"/>
          <w:sz w:val="26"/>
          <w:szCs w:val="26"/>
        </w:rPr>
      </w:pPr>
    </w:p>
    <w:p w14:paraId="3E522EEA" w14:textId="7054B7B7" w:rsidR="00E04CF1" w:rsidRDefault="00E04CF1" w:rsidP="00E92F92">
      <w:pPr>
        <w:widowControl/>
        <w:numPr>
          <w:ilvl w:val="0"/>
          <w:numId w:val="18"/>
        </w:numPr>
        <w:autoSpaceDE w:val="0"/>
        <w:autoSpaceDN w:val="0"/>
        <w:adjustRightInd w:val="0"/>
        <w:spacing w:line="360" w:lineRule="auto"/>
        <w:ind w:firstLine="720"/>
        <w:rPr>
          <w:rFonts w:eastAsiaTheme="minorHAnsi"/>
          <w:color w:val="000000"/>
          <w:sz w:val="26"/>
          <w:szCs w:val="26"/>
        </w:rPr>
      </w:pPr>
      <w:proofErr w:type="gramStart"/>
      <w:r>
        <w:rPr>
          <w:rFonts w:eastAsiaTheme="minorHAnsi"/>
          <w:color w:val="000000"/>
          <w:sz w:val="26"/>
          <w:szCs w:val="26"/>
        </w:rPr>
        <w:t>Agreement,</w:t>
      </w:r>
      <w:proofErr w:type="gramEnd"/>
      <w:r>
        <w:rPr>
          <w:rFonts w:eastAsiaTheme="minorHAnsi"/>
          <w:color w:val="000000"/>
          <w:sz w:val="26"/>
          <w:szCs w:val="26"/>
        </w:rPr>
        <w:t xml:space="preserve"> </w:t>
      </w:r>
      <w:r w:rsidRPr="00E04CF1">
        <w:rPr>
          <w:rFonts w:eastAsiaTheme="minorHAnsi"/>
          <w:color w:val="000000"/>
          <w:sz w:val="26"/>
          <w:szCs w:val="26"/>
        </w:rPr>
        <w:t>dated February 18, 1982 by and between the Municipal</w:t>
      </w:r>
      <w:r>
        <w:rPr>
          <w:rFonts w:eastAsiaTheme="minorHAnsi"/>
          <w:color w:val="000000"/>
          <w:sz w:val="26"/>
          <w:szCs w:val="26"/>
        </w:rPr>
        <w:t xml:space="preserve"> </w:t>
      </w:r>
      <w:r w:rsidRPr="00E04CF1">
        <w:rPr>
          <w:rFonts w:eastAsiaTheme="minorHAnsi"/>
          <w:color w:val="000000"/>
          <w:sz w:val="26"/>
          <w:szCs w:val="26"/>
        </w:rPr>
        <w:t>Authority of the Borough of Morrisville, Yardley Borough Sewer</w:t>
      </w:r>
      <w:r>
        <w:rPr>
          <w:rFonts w:eastAsiaTheme="minorHAnsi"/>
          <w:color w:val="000000"/>
          <w:sz w:val="26"/>
          <w:szCs w:val="26"/>
        </w:rPr>
        <w:t xml:space="preserve"> </w:t>
      </w:r>
      <w:r w:rsidRPr="00E04CF1">
        <w:rPr>
          <w:rFonts w:eastAsiaTheme="minorHAnsi"/>
          <w:color w:val="000000"/>
          <w:sz w:val="26"/>
          <w:szCs w:val="26"/>
        </w:rPr>
        <w:t>Authority, Township of Lower Makefield, and the Municipal Sewer</w:t>
      </w:r>
      <w:r>
        <w:rPr>
          <w:rFonts w:eastAsiaTheme="minorHAnsi"/>
          <w:color w:val="000000"/>
          <w:sz w:val="26"/>
          <w:szCs w:val="26"/>
        </w:rPr>
        <w:t xml:space="preserve"> </w:t>
      </w:r>
      <w:r w:rsidRPr="00E04CF1">
        <w:rPr>
          <w:rFonts w:eastAsiaTheme="minorHAnsi"/>
          <w:color w:val="000000"/>
          <w:sz w:val="26"/>
          <w:szCs w:val="26"/>
        </w:rPr>
        <w:t>Authority of the Township of Lower Makefield</w:t>
      </w:r>
      <w:r>
        <w:rPr>
          <w:rFonts w:eastAsiaTheme="minorHAnsi"/>
          <w:color w:val="000000"/>
          <w:sz w:val="26"/>
          <w:szCs w:val="26"/>
        </w:rPr>
        <w:t>, attached to the Application as Exhibit F3.</w:t>
      </w:r>
    </w:p>
    <w:p w14:paraId="3AC2CCD8" w14:textId="77777777" w:rsidR="00E04CF1" w:rsidRDefault="00E04CF1" w:rsidP="00E92F92">
      <w:pPr>
        <w:pStyle w:val="ListParagraph"/>
        <w:spacing w:line="360" w:lineRule="auto"/>
        <w:rPr>
          <w:rFonts w:eastAsiaTheme="minorHAnsi"/>
          <w:color w:val="000000"/>
          <w:sz w:val="26"/>
          <w:szCs w:val="26"/>
        </w:rPr>
      </w:pPr>
    </w:p>
    <w:p w14:paraId="7D18C822" w14:textId="5C266EB5" w:rsidR="00E04CF1" w:rsidRDefault="00E04CF1" w:rsidP="00E92F92">
      <w:pPr>
        <w:widowControl/>
        <w:numPr>
          <w:ilvl w:val="0"/>
          <w:numId w:val="18"/>
        </w:numPr>
        <w:autoSpaceDE w:val="0"/>
        <w:autoSpaceDN w:val="0"/>
        <w:adjustRightInd w:val="0"/>
        <w:spacing w:line="360" w:lineRule="auto"/>
        <w:ind w:firstLine="720"/>
        <w:rPr>
          <w:rFonts w:eastAsiaTheme="minorHAnsi"/>
          <w:color w:val="000000"/>
          <w:sz w:val="26"/>
          <w:szCs w:val="26"/>
        </w:rPr>
      </w:pPr>
      <w:proofErr w:type="gramStart"/>
      <w:r>
        <w:rPr>
          <w:rFonts w:eastAsiaTheme="minorHAnsi"/>
          <w:color w:val="000000"/>
          <w:sz w:val="26"/>
          <w:szCs w:val="26"/>
        </w:rPr>
        <w:t xml:space="preserve">Amendment </w:t>
      </w:r>
      <w:r w:rsidRPr="00E04CF1">
        <w:rPr>
          <w:rFonts w:eastAsiaTheme="minorHAnsi"/>
          <w:color w:val="000000"/>
          <w:sz w:val="26"/>
          <w:szCs w:val="26"/>
        </w:rPr>
        <w:t>Agreement,</w:t>
      </w:r>
      <w:proofErr w:type="gramEnd"/>
      <w:r w:rsidRPr="00E04CF1">
        <w:rPr>
          <w:rFonts w:eastAsiaTheme="minorHAnsi"/>
          <w:color w:val="000000"/>
          <w:sz w:val="26"/>
          <w:szCs w:val="26"/>
        </w:rPr>
        <w:t xml:space="preserve"> dated October 8, 1991, by and between the</w:t>
      </w:r>
      <w:r>
        <w:rPr>
          <w:rFonts w:eastAsiaTheme="minorHAnsi"/>
          <w:color w:val="000000"/>
          <w:sz w:val="26"/>
          <w:szCs w:val="26"/>
        </w:rPr>
        <w:t xml:space="preserve"> </w:t>
      </w:r>
      <w:r w:rsidRPr="00E04CF1">
        <w:rPr>
          <w:rFonts w:eastAsiaTheme="minorHAnsi"/>
          <w:color w:val="000000"/>
          <w:sz w:val="26"/>
          <w:szCs w:val="26"/>
        </w:rPr>
        <w:t>Municipal Authority of the Borough of Morrisville, Township of Lower</w:t>
      </w:r>
      <w:r>
        <w:rPr>
          <w:rFonts w:eastAsiaTheme="minorHAnsi"/>
          <w:color w:val="000000"/>
          <w:sz w:val="26"/>
          <w:szCs w:val="26"/>
        </w:rPr>
        <w:t xml:space="preserve"> </w:t>
      </w:r>
      <w:r w:rsidRPr="00E04CF1">
        <w:rPr>
          <w:rFonts w:eastAsiaTheme="minorHAnsi"/>
          <w:color w:val="000000"/>
          <w:sz w:val="26"/>
          <w:szCs w:val="26"/>
        </w:rPr>
        <w:t>Makefield, the Municipal Sewer Authority of the Township of Lower</w:t>
      </w:r>
      <w:r>
        <w:rPr>
          <w:rFonts w:eastAsiaTheme="minorHAnsi"/>
          <w:color w:val="000000"/>
          <w:sz w:val="26"/>
          <w:szCs w:val="26"/>
        </w:rPr>
        <w:t xml:space="preserve"> </w:t>
      </w:r>
      <w:r w:rsidRPr="00E04CF1">
        <w:rPr>
          <w:rFonts w:eastAsiaTheme="minorHAnsi"/>
          <w:color w:val="000000"/>
          <w:sz w:val="26"/>
          <w:szCs w:val="26"/>
        </w:rPr>
        <w:t>Makefield, and Yardley Borough Sewer Authority</w:t>
      </w:r>
      <w:r>
        <w:rPr>
          <w:rFonts w:eastAsiaTheme="minorHAnsi"/>
          <w:color w:val="000000"/>
          <w:sz w:val="26"/>
          <w:szCs w:val="26"/>
        </w:rPr>
        <w:t>, attached to the Application as Exhibit F4.</w:t>
      </w:r>
    </w:p>
    <w:p w14:paraId="359C4DE3" w14:textId="77777777" w:rsidR="00E04CF1" w:rsidRDefault="00E04CF1" w:rsidP="00044BF6">
      <w:pPr>
        <w:pStyle w:val="ListParagraph"/>
        <w:spacing w:line="360" w:lineRule="auto"/>
        <w:rPr>
          <w:rFonts w:eastAsiaTheme="minorHAnsi"/>
          <w:color w:val="000000"/>
          <w:sz w:val="26"/>
          <w:szCs w:val="26"/>
        </w:rPr>
      </w:pPr>
    </w:p>
    <w:p w14:paraId="497200FA" w14:textId="0764A981" w:rsidR="00E04CF1" w:rsidRDefault="00E04CF1" w:rsidP="0053240F">
      <w:pPr>
        <w:widowControl/>
        <w:numPr>
          <w:ilvl w:val="0"/>
          <w:numId w:val="18"/>
        </w:numPr>
        <w:autoSpaceDE w:val="0"/>
        <w:autoSpaceDN w:val="0"/>
        <w:adjustRightInd w:val="0"/>
        <w:spacing w:line="360" w:lineRule="auto"/>
        <w:ind w:firstLine="720"/>
        <w:rPr>
          <w:rFonts w:eastAsiaTheme="minorHAnsi"/>
          <w:color w:val="000000"/>
          <w:sz w:val="26"/>
          <w:szCs w:val="26"/>
        </w:rPr>
      </w:pPr>
      <w:proofErr w:type="gramStart"/>
      <w:r>
        <w:rPr>
          <w:rFonts w:eastAsiaTheme="minorHAnsi"/>
          <w:color w:val="000000"/>
          <w:sz w:val="26"/>
          <w:szCs w:val="26"/>
        </w:rPr>
        <w:t xml:space="preserve">Second </w:t>
      </w:r>
      <w:r w:rsidRPr="00E04CF1">
        <w:rPr>
          <w:rFonts w:eastAsiaTheme="minorHAnsi"/>
          <w:color w:val="000000"/>
          <w:sz w:val="26"/>
          <w:szCs w:val="26"/>
        </w:rPr>
        <w:t>Amendment Agreement,</w:t>
      </w:r>
      <w:proofErr w:type="gramEnd"/>
      <w:r w:rsidRPr="00E04CF1">
        <w:rPr>
          <w:rFonts w:eastAsiaTheme="minorHAnsi"/>
          <w:color w:val="000000"/>
          <w:sz w:val="26"/>
          <w:szCs w:val="26"/>
        </w:rPr>
        <w:t xml:space="preserve"> dated June 24, 1993, by and between the</w:t>
      </w:r>
      <w:r>
        <w:rPr>
          <w:rFonts w:eastAsiaTheme="minorHAnsi"/>
          <w:color w:val="000000"/>
          <w:sz w:val="26"/>
          <w:szCs w:val="26"/>
        </w:rPr>
        <w:t xml:space="preserve"> </w:t>
      </w:r>
      <w:r w:rsidRPr="00E04CF1">
        <w:rPr>
          <w:rFonts w:eastAsiaTheme="minorHAnsi"/>
          <w:color w:val="000000"/>
          <w:sz w:val="26"/>
          <w:szCs w:val="26"/>
        </w:rPr>
        <w:t>Municipal Authority of the Borough of Morrisville, Township of Lower</w:t>
      </w:r>
      <w:r>
        <w:rPr>
          <w:rFonts w:eastAsiaTheme="minorHAnsi"/>
          <w:color w:val="000000"/>
          <w:sz w:val="26"/>
          <w:szCs w:val="26"/>
        </w:rPr>
        <w:t xml:space="preserve"> </w:t>
      </w:r>
      <w:r w:rsidRPr="00E04CF1">
        <w:rPr>
          <w:rFonts w:eastAsiaTheme="minorHAnsi"/>
          <w:color w:val="000000"/>
          <w:sz w:val="26"/>
          <w:szCs w:val="26"/>
        </w:rPr>
        <w:t>Makefield, the Municipal Sewer Authority of the Township of Lower</w:t>
      </w:r>
      <w:r>
        <w:rPr>
          <w:rFonts w:eastAsiaTheme="minorHAnsi"/>
          <w:color w:val="000000"/>
          <w:sz w:val="26"/>
          <w:szCs w:val="26"/>
        </w:rPr>
        <w:t xml:space="preserve"> </w:t>
      </w:r>
      <w:r w:rsidRPr="00E04CF1">
        <w:rPr>
          <w:rFonts w:eastAsiaTheme="minorHAnsi"/>
          <w:color w:val="000000"/>
          <w:sz w:val="26"/>
          <w:szCs w:val="26"/>
        </w:rPr>
        <w:t>Makefield, and Yardley Borough Sewer Authority</w:t>
      </w:r>
      <w:r>
        <w:rPr>
          <w:rFonts w:eastAsiaTheme="minorHAnsi"/>
          <w:color w:val="000000"/>
          <w:sz w:val="26"/>
          <w:szCs w:val="26"/>
        </w:rPr>
        <w:t>, attached to the Application as Exhibit F5.</w:t>
      </w:r>
    </w:p>
    <w:p w14:paraId="6AB50B8E" w14:textId="77777777" w:rsidR="00E04CF1" w:rsidRDefault="00E04CF1" w:rsidP="00044BF6">
      <w:pPr>
        <w:pStyle w:val="ListParagraph"/>
        <w:spacing w:line="360" w:lineRule="auto"/>
        <w:rPr>
          <w:rFonts w:eastAsiaTheme="minorHAnsi"/>
          <w:color w:val="000000"/>
          <w:sz w:val="26"/>
          <w:szCs w:val="26"/>
        </w:rPr>
      </w:pPr>
    </w:p>
    <w:p w14:paraId="3BC75FDA" w14:textId="5EB1C9C9" w:rsidR="00E04CF1" w:rsidRDefault="00E04CF1" w:rsidP="00E92F92">
      <w:pPr>
        <w:widowControl/>
        <w:numPr>
          <w:ilvl w:val="0"/>
          <w:numId w:val="18"/>
        </w:numPr>
        <w:autoSpaceDE w:val="0"/>
        <w:autoSpaceDN w:val="0"/>
        <w:adjustRightInd w:val="0"/>
        <w:spacing w:line="360" w:lineRule="auto"/>
        <w:ind w:firstLine="720"/>
        <w:rPr>
          <w:rFonts w:eastAsiaTheme="minorHAnsi"/>
          <w:color w:val="000000"/>
          <w:sz w:val="26"/>
          <w:szCs w:val="26"/>
        </w:rPr>
      </w:pPr>
      <w:proofErr w:type="gramStart"/>
      <w:r>
        <w:rPr>
          <w:rFonts w:eastAsiaTheme="minorHAnsi"/>
          <w:color w:val="000000"/>
          <w:sz w:val="26"/>
          <w:szCs w:val="26"/>
        </w:rPr>
        <w:t>Agreement,</w:t>
      </w:r>
      <w:proofErr w:type="gramEnd"/>
      <w:r>
        <w:rPr>
          <w:rFonts w:eastAsiaTheme="minorHAnsi"/>
          <w:color w:val="000000"/>
          <w:sz w:val="26"/>
          <w:szCs w:val="26"/>
        </w:rPr>
        <w:t xml:space="preserve"> </w:t>
      </w:r>
      <w:r w:rsidRPr="00E04CF1">
        <w:rPr>
          <w:rFonts w:eastAsiaTheme="minorHAnsi"/>
          <w:color w:val="000000"/>
          <w:sz w:val="26"/>
          <w:szCs w:val="26"/>
        </w:rPr>
        <w:t>dated March 13, 1965, by and between the Township of Falls</w:t>
      </w:r>
      <w:r>
        <w:rPr>
          <w:rFonts w:eastAsiaTheme="minorHAnsi"/>
          <w:color w:val="000000"/>
          <w:sz w:val="26"/>
          <w:szCs w:val="26"/>
        </w:rPr>
        <w:t xml:space="preserve"> </w:t>
      </w:r>
      <w:r w:rsidRPr="00E04CF1">
        <w:rPr>
          <w:rFonts w:eastAsiaTheme="minorHAnsi"/>
          <w:color w:val="000000"/>
          <w:sz w:val="26"/>
          <w:szCs w:val="26"/>
        </w:rPr>
        <w:t>Authority, Township of Lower Makefield, and the Municipal Sewer</w:t>
      </w:r>
      <w:r>
        <w:rPr>
          <w:rFonts w:eastAsiaTheme="minorHAnsi"/>
          <w:color w:val="000000"/>
          <w:sz w:val="26"/>
          <w:szCs w:val="26"/>
        </w:rPr>
        <w:t xml:space="preserve"> </w:t>
      </w:r>
      <w:r w:rsidRPr="00E04CF1">
        <w:rPr>
          <w:rFonts w:eastAsiaTheme="minorHAnsi"/>
          <w:color w:val="000000"/>
          <w:sz w:val="26"/>
          <w:szCs w:val="26"/>
        </w:rPr>
        <w:t>Authority of the Township of Lower Makefield</w:t>
      </w:r>
      <w:r>
        <w:rPr>
          <w:rFonts w:eastAsiaTheme="minorHAnsi"/>
          <w:color w:val="000000"/>
          <w:sz w:val="26"/>
          <w:szCs w:val="26"/>
        </w:rPr>
        <w:t>, attached to the Application as Exhibit F6.</w:t>
      </w:r>
    </w:p>
    <w:p w14:paraId="6F5BB2A6" w14:textId="77777777" w:rsidR="00E04CF1" w:rsidRDefault="00E04CF1" w:rsidP="00E92F92">
      <w:pPr>
        <w:pStyle w:val="ListParagraph"/>
        <w:spacing w:line="360" w:lineRule="auto"/>
        <w:rPr>
          <w:rFonts w:eastAsiaTheme="minorHAnsi"/>
          <w:color w:val="000000"/>
          <w:sz w:val="26"/>
          <w:szCs w:val="26"/>
        </w:rPr>
      </w:pPr>
    </w:p>
    <w:p w14:paraId="6597105D" w14:textId="0EAF47AF" w:rsidR="00E04CF1" w:rsidRDefault="00255DCB" w:rsidP="00E92F92">
      <w:pPr>
        <w:widowControl/>
        <w:numPr>
          <w:ilvl w:val="0"/>
          <w:numId w:val="18"/>
        </w:numPr>
        <w:autoSpaceDE w:val="0"/>
        <w:autoSpaceDN w:val="0"/>
        <w:adjustRightInd w:val="0"/>
        <w:spacing w:line="360" w:lineRule="auto"/>
        <w:ind w:firstLine="720"/>
        <w:rPr>
          <w:rFonts w:eastAsiaTheme="minorHAnsi"/>
          <w:color w:val="000000"/>
          <w:sz w:val="26"/>
          <w:szCs w:val="26"/>
        </w:rPr>
      </w:pPr>
      <w:r>
        <w:rPr>
          <w:rFonts w:eastAsiaTheme="minorHAnsi"/>
          <w:color w:val="000000"/>
          <w:sz w:val="26"/>
          <w:szCs w:val="26"/>
        </w:rPr>
        <w:t xml:space="preserve">First </w:t>
      </w:r>
      <w:r w:rsidRPr="00255DCB">
        <w:rPr>
          <w:rFonts w:eastAsiaTheme="minorHAnsi"/>
          <w:color w:val="000000"/>
          <w:sz w:val="26"/>
          <w:szCs w:val="26"/>
        </w:rPr>
        <w:t>Supplemental Agreement, dated February 6, 1975, by and between the</w:t>
      </w:r>
      <w:r>
        <w:rPr>
          <w:rFonts w:eastAsiaTheme="minorHAnsi"/>
          <w:color w:val="000000"/>
          <w:sz w:val="26"/>
          <w:szCs w:val="26"/>
        </w:rPr>
        <w:t xml:space="preserve"> </w:t>
      </w:r>
      <w:r w:rsidRPr="00255DCB">
        <w:rPr>
          <w:rFonts w:eastAsiaTheme="minorHAnsi"/>
          <w:color w:val="000000"/>
          <w:sz w:val="26"/>
          <w:szCs w:val="26"/>
        </w:rPr>
        <w:t>Township of Falls Authority, Township of Lower Makefield, and the</w:t>
      </w:r>
      <w:r>
        <w:rPr>
          <w:rFonts w:eastAsiaTheme="minorHAnsi"/>
          <w:color w:val="000000"/>
          <w:sz w:val="26"/>
          <w:szCs w:val="26"/>
        </w:rPr>
        <w:t xml:space="preserve"> </w:t>
      </w:r>
      <w:r w:rsidRPr="00255DCB">
        <w:rPr>
          <w:rFonts w:eastAsiaTheme="minorHAnsi"/>
          <w:color w:val="000000"/>
          <w:sz w:val="26"/>
          <w:szCs w:val="26"/>
        </w:rPr>
        <w:t>Municipal Sewer Authority of the Township of Lower Makefield</w:t>
      </w:r>
      <w:r>
        <w:rPr>
          <w:rFonts w:eastAsiaTheme="minorHAnsi"/>
          <w:color w:val="000000"/>
          <w:sz w:val="26"/>
          <w:szCs w:val="26"/>
        </w:rPr>
        <w:t>, attached to the Application as Exhibit F7.</w:t>
      </w:r>
    </w:p>
    <w:p w14:paraId="26A72531" w14:textId="77777777" w:rsidR="00255DCB" w:rsidRDefault="00255DCB" w:rsidP="00E92F92">
      <w:pPr>
        <w:pStyle w:val="ListParagraph"/>
        <w:spacing w:line="360" w:lineRule="auto"/>
        <w:rPr>
          <w:rFonts w:eastAsiaTheme="minorHAnsi"/>
          <w:color w:val="000000"/>
          <w:sz w:val="26"/>
          <w:szCs w:val="26"/>
        </w:rPr>
      </w:pPr>
    </w:p>
    <w:p w14:paraId="755DB2F4" w14:textId="2711BCB3" w:rsidR="00255DCB" w:rsidRDefault="00255DCB" w:rsidP="00E92F92">
      <w:pPr>
        <w:widowControl/>
        <w:numPr>
          <w:ilvl w:val="0"/>
          <w:numId w:val="18"/>
        </w:numPr>
        <w:autoSpaceDE w:val="0"/>
        <w:autoSpaceDN w:val="0"/>
        <w:adjustRightInd w:val="0"/>
        <w:spacing w:line="360" w:lineRule="auto"/>
        <w:ind w:firstLine="720"/>
        <w:rPr>
          <w:rFonts w:eastAsiaTheme="minorHAnsi"/>
          <w:color w:val="000000"/>
          <w:sz w:val="26"/>
          <w:szCs w:val="26"/>
        </w:rPr>
      </w:pPr>
      <w:proofErr w:type="gramStart"/>
      <w:r>
        <w:rPr>
          <w:rFonts w:eastAsiaTheme="minorHAnsi"/>
          <w:color w:val="000000"/>
          <w:sz w:val="26"/>
          <w:szCs w:val="26"/>
        </w:rPr>
        <w:t>Agreement,</w:t>
      </w:r>
      <w:proofErr w:type="gramEnd"/>
      <w:r>
        <w:rPr>
          <w:rFonts w:eastAsiaTheme="minorHAnsi"/>
          <w:color w:val="000000"/>
          <w:sz w:val="26"/>
          <w:szCs w:val="26"/>
        </w:rPr>
        <w:t xml:space="preserve"> </w:t>
      </w:r>
      <w:r w:rsidRPr="00255DCB">
        <w:rPr>
          <w:rFonts w:eastAsiaTheme="minorHAnsi"/>
          <w:color w:val="000000"/>
          <w:sz w:val="26"/>
          <w:szCs w:val="26"/>
        </w:rPr>
        <w:t>dated December 12, 1988, by and between the Township of</w:t>
      </w:r>
      <w:r>
        <w:rPr>
          <w:rFonts w:eastAsiaTheme="minorHAnsi"/>
          <w:color w:val="000000"/>
          <w:sz w:val="26"/>
          <w:szCs w:val="26"/>
        </w:rPr>
        <w:t xml:space="preserve"> </w:t>
      </w:r>
      <w:r w:rsidRPr="00255DCB">
        <w:rPr>
          <w:rFonts w:eastAsiaTheme="minorHAnsi"/>
          <w:color w:val="000000"/>
          <w:sz w:val="26"/>
          <w:szCs w:val="26"/>
        </w:rPr>
        <w:t>Lower Makefield, the Municipal Sewer Authority of the Township of</w:t>
      </w:r>
      <w:r>
        <w:rPr>
          <w:rFonts w:eastAsiaTheme="minorHAnsi"/>
          <w:color w:val="000000"/>
          <w:sz w:val="26"/>
          <w:szCs w:val="26"/>
        </w:rPr>
        <w:t xml:space="preserve"> </w:t>
      </w:r>
      <w:r w:rsidRPr="00255DCB">
        <w:rPr>
          <w:rFonts w:eastAsiaTheme="minorHAnsi"/>
          <w:color w:val="000000"/>
          <w:sz w:val="26"/>
          <w:szCs w:val="26"/>
        </w:rPr>
        <w:t>Lower Makefield, and the Township of Falls Authority</w:t>
      </w:r>
      <w:r>
        <w:rPr>
          <w:rFonts w:eastAsiaTheme="minorHAnsi"/>
          <w:color w:val="000000"/>
          <w:sz w:val="26"/>
          <w:szCs w:val="26"/>
        </w:rPr>
        <w:t>, attached to the Application as Exhibit F8.</w:t>
      </w:r>
    </w:p>
    <w:p w14:paraId="607720C1" w14:textId="77777777" w:rsidR="00255DCB" w:rsidRDefault="00255DCB" w:rsidP="00E92F92">
      <w:pPr>
        <w:pStyle w:val="ListParagraph"/>
        <w:spacing w:line="360" w:lineRule="auto"/>
        <w:rPr>
          <w:rFonts w:eastAsiaTheme="minorHAnsi"/>
          <w:color w:val="000000"/>
          <w:sz w:val="26"/>
          <w:szCs w:val="26"/>
        </w:rPr>
      </w:pPr>
    </w:p>
    <w:p w14:paraId="143376F1" w14:textId="43426C44" w:rsidR="00255DCB" w:rsidRDefault="00255DCB" w:rsidP="00E92F92">
      <w:pPr>
        <w:widowControl/>
        <w:numPr>
          <w:ilvl w:val="0"/>
          <w:numId w:val="18"/>
        </w:numPr>
        <w:autoSpaceDE w:val="0"/>
        <w:autoSpaceDN w:val="0"/>
        <w:adjustRightInd w:val="0"/>
        <w:spacing w:line="360" w:lineRule="auto"/>
        <w:ind w:firstLine="720"/>
        <w:rPr>
          <w:rFonts w:eastAsiaTheme="minorHAnsi"/>
          <w:color w:val="000000"/>
          <w:sz w:val="26"/>
          <w:szCs w:val="26"/>
        </w:rPr>
      </w:pPr>
      <w:proofErr w:type="gramStart"/>
      <w:r>
        <w:rPr>
          <w:rFonts w:eastAsiaTheme="minorHAnsi"/>
          <w:color w:val="000000"/>
          <w:sz w:val="26"/>
          <w:szCs w:val="26"/>
        </w:rPr>
        <w:t>Agreement,</w:t>
      </w:r>
      <w:proofErr w:type="gramEnd"/>
      <w:r>
        <w:rPr>
          <w:rFonts w:eastAsiaTheme="minorHAnsi"/>
          <w:color w:val="000000"/>
          <w:sz w:val="26"/>
          <w:szCs w:val="26"/>
        </w:rPr>
        <w:t xml:space="preserve"> </w:t>
      </w:r>
      <w:r w:rsidRPr="00255DCB">
        <w:rPr>
          <w:rFonts w:eastAsiaTheme="minorHAnsi"/>
          <w:color w:val="000000"/>
          <w:sz w:val="26"/>
          <w:szCs w:val="26"/>
        </w:rPr>
        <w:t>dated April 18, 1996, by and between the Township of Falls,</w:t>
      </w:r>
      <w:r>
        <w:rPr>
          <w:rFonts w:eastAsiaTheme="minorHAnsi"/>
          <w:color w:val="000000"/>
          <w:sz w:val="26"/>
          <w:szCs w:val="26"/>
        </w:rPr>
        <w:t xml:space="preserve"> </w:t>
      </w:r>
      <w:r w:rsidRPr="00255DCB">
        <w:rPr>
          <w:rFonts w:eastAsiaTheme="minorHAnsi"/>
          <w:color w:val="000000"/>
          <w:sz w:val="26"/>
          <w:szCs w:val="26"/>
        </w:rPr>
        <w:t>the Township of Lower Makefield, and the Lower Makefield Township</w:t>
      </w:r>
      <w:r>
        <w:rPr>
          <w:rFonts w:eastAsiaTheme="minorHAnsi"/>
          <w:color w:val="000000"/>
          <w:sz w:val="26"/>
          <w:szCs w:val="26"/>
        </w:rPr>
        <w:t xml:space="preserve"> </w:t>
      </w:r>
      <w:r w:rsidRPr="00255DCB">
        <w:rPr>
          <w:rFonts w:eastAsiaTheme="minorHAnsi"/>
          <w:color w:val="000000"/>
          <w:sz w:val="26"/>
          <w:szCs w:val="26"/>
        </w:rPr>
        <w:t>Sewer Authority</w:t>
      </w:r>
      <w:r>
        <w:rPr>
          <w:rFonts w:eastAsiaTheme="minorHAnsi"/>
          <w:color w:val="000000"/>
          <w:sz w:val="26"/>
          <w:szCs w:val="26"/>
        </w:rPr>
        <w:t>, attached to the Application as Exhibit F9.</w:t>
      </w:r>
    </w:p>
    <w:p w14:paraId="66403874" w14:textId="77777777" w:rsidR="00967CCA" w:rsidRPr="00044BF6" w:rsidRDefault="00967CCA" w:rsidP="00E92F92">
      <w:pPr>
        <w:widowControl/>
        <w:autoSpaceDE w:val="0"/>
        <w:autoSpaceDN w:val="0"/>
        <w:adjustRightInd w:val="0"/>
        <w:spacing w:line="360" w:lineRule="auto"/>
        <w:rPr>
          <w:rFonts w:eastAsiaTheme="minorHAnsi"/>
          <w:color w:val="000000"/>
          <w:sz w:val="26"/>
          <w:szCs w:val="26"/>
        </w:rPr>
      </w:pPr>
    </w:p>
    <w:p w14:paraId="60360A3C" w14:textId="4DA932B1" w:rsidR="00255DCB" w:rsidRDefault="00255DCB" w:rsidP="00E92F92">
      <w:pPr>
        <w:widowControl/>
        <w:numPr>
          <w:ilvl w:val="0"/>
          <w:numId w:val="18"/>
        </w:numPr>
        <w:autoSpaceDE w:val="0"/>
        <w:autoSpaceDN w:val="0"/>
        <w:adjustRightInd w:val="0"/>
        <w:spacing w:line="360" w:lineRule="auto"/>
        <w:ind w:firstLine="720"/>
        <w:rPr>
          <w:rFonts w:eastAsiaTheme="minorHAnsi"/>
          <w:color w:val="000000"/>
          <w:sz w:val="26"/>
          <w:szCs w:val="26"/>
        </w:rPr>
      </w:pPr>
      <w:proofErr w:type="gramStart"/>
      <w:r>
        <w:rPr>
          <w:rFonts w:eastAsiaTheme="minorHAnsi"/>
          <w:color w:val="000000"/>
          <w:sz w:val="26"/>
          <w:szCs w:val="26"/>
        </w:rPr>
        <w:t>Agreement,</w:t>
      </w:r>
      <w:proofErr w:type="gramEnd"/>
      <w:r>
        <w:rPr>
          <w:rFonts w:eastAsiaTheme="minorHAnsi"/>
          <w:color w:val="000000"/>
          <w:sz w:val="26"/>
          <w:szCs w:val="26"/>
        </w:rPr>
        <w:t xml:space="preserve"> </w:t>
      </w:r>
      <w:r w:rsidRPr="00255DCB">
        <w:rPr>
          <w:rFonts w:eastAsiaTheme="minorHAnsi"/>
          <w:color w:val="000000"/>
          <w:sz w:val="26"/>
          <w:szCs w:val="26"/>
        </w:rPr>
        <w:t>dated April 11, 1974, by and between Middletown Township</w:t>
      </w:r>
      <w:r>
        <w:rPr>
          <w:rFonts w:eastAsiaTheme="minorHAnsi"/>
          <w:color w:val="000000"/>
          <w:sz w:val="26"/>
          <w:szCs w:val="26"/>
        </w:rPr>
        <w:t xml:space="preserve"> </w:t>
      </w:r>
      <w:r w:rsidRPr="00255DCB">
        <w:rPr>
          <w:rFonts w:eastAsiaTheme="minorHAnsi"/>
          <w:color w:val="000000"/>
          <w:sz w:val="26"/>
          <w:szCs w:val="26"/>
        </w:rPr>
        <w:t>Bucks County Municipal Authority, Middletown Township Board of</w:t>
      </w:r>
      <w:r>
        <w:rPr>
          <w:rFonts w:eastAsiaTheme="minorHAnsi"/>
          <w:color w:val="000000"/>
          <w:sz w:val="26"/>
          <w:szCs w:val="26"/>
        </w:rPr>
        <w:t xml:space="preserve"> </w:t>
      </w:r>
      <w:r w:rsidRPr="00255DCB">
        <w:rPr>
          <w:rFonts w:eastAsiaTheme="minorHAnsi"/>
          <w:color w:val="000000"/>
          <w:sz w:val="26"/>
          <w:szCs w:val="26"/>
        </w:rPr>
        <w:t>Supervisors, the Municipal Sewer Authority of the Township of Lower</w:t>
      </w:r>
      <w:r>
        <w:rPr>
          <w:rFonts w:eastAsiaTheme="minorHAnsi"/>
          <w:color w:val="000000"/>
          <w:sz w:val="26"/>
          <w:szCs w:val="26"/>
        </w:rPr>
        <w:t xml:space="preserve"> </w:t>
      </w:r>
      <w:r w:rsidRPr="00255DCB">
        <w:rPr>
          <w:rFonts w:eastAsiaTheme="minorHAnsi"/>
          <w:color w:val="000000"/>
          <w:sz w:val="26"/>
          <w:szCs w:val="26"/>
        </w:rPr>
        <w:t>Makefield, Lower Makefield Township Board of Supervisors, and Buck</w:t>
      </w:r>
      <w:r>
        <w:rPr>
          <w:rFonts w:eastAsiaTheme="minorHAnsi"/>
          <w:color w:val="000000"/>
          <w:sz w:val="26"/>
          <w:szCs w:val="26"/>
        </w:rPr>
        <w:t xml:space="preserve">s </w:t>
      </w:r>
      <w:r w:rsidRPr="00255DCB">
        <w:rPr>
          <w:rFonts w:eastAsiaTheme="minorHAnsi"/>
          <w:color w:val="000000"/>
          <w:sz w:val="26"/>
          <w:szCs w:val="26"/>
        </w:rPr>
        <w:t>County Water and Sewer Authority</w:t>
      </w:r>
      <w:r>
        <w:rPr>
          <w:rFonts w:eastAsiaTheme="minorHAnsi"/>
          <w:color w:val="000000"/>
          <w:sz w:val="26"/>
          <w:szCs w:val="26"/>
        </w:rPr>
        <w:t>, attached to the Application as Exhibit F10.</w:t>
      </w:r>
    </w:p>
    <w:p w14:paraId="046D8137" w14:textId="77777777" w:rsidR="00255DCB" w:rsidRDefault="00255DCB" w:rsidP="00E92F92">
      <w:pPr>
        <w:pStyle w:val="ListParagraph"/>
        <w:spacing w:line="360" w:lineRule="auto"/>
        <w:rPr>
          <w:rFonts w:eastAsiaTheme="minorHAnsi"/>
          <w:color w:val="000000"/>
          <w:sz w:val="26"/>
          <w:szCs w:val="26"/>
        </w:rPr>
      </w:pPr>
    </w:p>
    <w:p w14:paraId="6F0A97C6" w14:textId="0843479B" w:rsidR="00255DCB" w:rsidRDefault="00255DCB" w:rsidP="0053240F">
      <w:pPr>
        <w:widowControl/>
        <w:numPr>
          <w:ilvl w:val="0"/>
          <w:numId w:val="18"/>
        </w:numPr>
        <w:autoSpaceDE w:val="0"/>
        <w:autoSpaceDN w:val="0"/>
        <w:adjustRightInd w:val="0"/>
        <w:spacing w:line="360" w:lineRule="auto"/>
        <w:ind w:firstLine="720"/>
        <w:rPr>
          <w:rFonts w:eastAsiaTheme="minorHAnsi"/>
          <w:color w:val="000000"/>
          <w:sz w:val="26"/>
          <w:szCs w:val="26"/>
        </w:rPr>
      </w:pPr>
      <w:r>
        <w:rPr>
          <w:rFonts w:eastAsiaTheme="minorHAnsi"/>
          <w:color w:val="000000"/>
          <w:sz w:val="26"/>
          <w:szCs w:val="26"/>
        </w:rPr>
        <w:t xml:space="preserve">Addendum </w:t>
      </w:r>
      <w:r w:rsidRPr="00255DCB">
        <w:rPr>
          <w:rFonts w:eastAsiaTheme="minorHAnsi"/>
          <w:color w:val="000000"/>
          <w:sz w:val="26"/>
          <w:szCs w:val="26"/>
        </w:rPr>
        <w:t>Agreement to be attached and made part of the Agreement dated</w:t>
      </w:r>
      <w:r>
        <w:rPr>
          <w:rFonts w:eastAsiaTheme="minorHAnsi"/>
          <w:color w:val="000000"/>
          <w:sz w:val="26"/>
          <w:szCs w:val="26"/>
        </w:rPr>
        <w:t xml:space="preserve"> </w:t>
      </w:r>
      <w:r w:rsidRPr="00255DCB">
        <w:rPr>
          <w:rFonts w:eastAsiaTheme="minorHAnsi"/>
          <w:color w:val="000000"/>
          <w:sz w:val="26"/>
          <w:szCs w:val="26"/>
        </w:rPr>
        <w:t>April 11, 1974, by and between Middletown Township Bucks County</w:t>
      </w:r>
      <w:r>
        <w:rPr>
          <w:rFonts w:eastAsiaTheme="minorHAnsi"/>
          <w:color w:val="000000"/>
          <w:sz w:val="26"/>
          <w:szCs w:val="26"/>
        </w:rPr>
        <w:t xml:space="preserve"> </w:t>
      </w:r>
      <w:r w:rsidRPr="00255DCB">
        <w:rPr>
          <w:rFonts w:eastAsiaTheme="minorHAnsi"/>
          <w:color w:val="000000"/>
          <w:sz w:val="26"/>
          <w:szCs w:val="26"/>
        </w:rPr>
        <w:t>Municipal Authority, Middletown Township Board of Supervisors, the</w:t>
      </w:r>
      <w:r>
        <w:rPr>
          <w:rFonts w:eastAsiaTheme="minorHAnsi"/>
          <w:color w:val="000000"/>
          <w:sz w:val="26"/>
          <w:szCs w:val="26"/>
        </w:rPr>
        <w:t xml:space="preserve"> </w:t>
      </w:r>
      <w:r w:rsidRPr="00255DCB">
        <w:rPr>
          <w:rFonts w:eastAsiaTheme="minorHAnsi"/>
          <w:color w:val="000000"/>
          <w:sz w:val="26"/>
          <w:szCs w:val="26"/>
        </w:rPr>
        <w:t>Municipal Sewer Authority of the Township of Lower Makefield, and</w:t>
      </w:r>
      <w:r>
        <w:rPr>
          <w:rFonts w:eastAsiaTheme="minorHAnsi"/>
          <w:color w:val="000000"/>
          <w:sz w:val="26"/>
          <w:szCs w:val="26"/>
        </w:rPr>
        <w:t xml:space="preserve"> </w:t>
      </w:r>
      <w:r w:rsidRPr="00255DCB">
        <w:rPr>
          <w:rFonts w:eastAsiaTheme="minorHAnsi"/>
          <w:color w:val="000000"/>
          <w:sz w:val="26"/>
          <w:szCs w:val="26"/>
        </w:rPr>
        <w:t>Lower Makefield Township Board of Supervisors</w:t>
      </w:r>
      <w:r>
        <w:rPr>
          <w:rFonts w:eastAsiaTheme="minorHAnsi"/>
          <w:color w:val="000000"/>
          <w:sz w:val="26"/>
          <w:szCs w:val="26"/>
        </w:rPr>
        <w:t>, attached to the Application as Exhibit</w:t>
      </w:r>
      <w:r w:rsidR="00E92F92">
        <w:rPr>
          <w:rFonts w:eastAsiaTheme="minorHAnsi"/>
          <w:color w:val="000000"/>
          <w:sz w:val="26"/>
          <w:szCs w:val="26"/>
        </w:rPr>
        <w:t> </w:t>
      </w:r>
      <w:r>
        <w:rPr>
          <w:rFonts w:eastAsiaTheme="minorHAnsi"/>
          <w:color w:val="000000"/>
          <w:sz w:val="26"/>
          <w:szCs w:val="26"/>
        </w:rPr>
        <w:t xml:space="preserve">F11.  </w:t>
      </w:r>
    </w:p>
    <w:p w14:paraId="047AEDA6" w14:textId="2EF0EBD8" w:rsidR="00255DCB" w:rsidRDefault="00255DCB" w:rsidP="0053240F">
      <w:pPr>
        <w:widowControl/>
        <w:numPr>
          <w:ilvl w:val="0"/>
          <w:numId w:val="18"/>
        </w:numPr>
        <w:autoSpaceDE w:val="0"/>
        <w:autoSpaceDN w:val="0"/>
        <w:adjustRightInd w:val="0"/>
        <w:spacing w:line="360" w:lineRule="auto"/>
        <w:ind w:firstLine="720"/>
        <w:rPr>
          <w:rFonts w:eastAsiaTheme="minorHAnsi"/>
          <w:color w:val="000000"/>
          <w:sz w:val="26"/>
          <w:szCs w:val="26"/>
        </w:rPr>
      </w:pPr>
      <w:proofErr w:type="gramStart"/>
      <w:r>
        <w:rPr>
          <w:rFonts w:eastAsiaTheme="minorHAnsi"/>
          <w:color w:val="000000"/>
          <w:sz w:val="26"/>
          <w:szCs w:val="26"/>
        </w:rPr>
        <w:t>Agreement,</w:t>
      </w:r>
      <w:proofErr w:type="gramEnd"/>
      <w:r>
        <w:rPr>
          <w:rFonts w:eastAsiaTheme="minorHAnsi"/>
          <w:color w:val="000000"/>
          <w:sz w:val="26"/>
          <w:szCs w:val="26"/>
        </w:rPr>
        <w:t xml:space="preserve"> </w:t>
      </w:r>
      <w:r w:rsidRPr="00255DCB">
        <w:rPr>
          <w:rFonts w:eastAsiaTheme="minorHAnsi"/>
          <w:color w:val="000000"/>
          <w:sz w:val="26"/>
          <w:szCs w:val="26"/>
        </w:rPr>
        <w:t>dated October 23, 1975, by and between the Bucks County</w:t>
      </w:r>
      <w:r>
        <w:rPr>
          <w:rFonts w:eastAsiaTheme="minorHAnsi"/>
          <w:color w:val="000000"/>
          <w:sz w:val="26"/>
          <w:szCs w:val="26"/>
        </w:rPr>
        <w:t xml:space="preserve"> </w:t>
      </w:r>
      <w:r w:rsidRPr="00255DCB">
        <w:rPr>
          <w:rFonts w:eastAsiaTheme="minorHAnsi"/>
          <w:color w:val="000000"/>
          <w:sz w:val="26"/>
          <w:szCs w:val="26"/>
        </w:rPr>
        <w:t>Water and Sewer Authority, Township of Lower Makefield, and the</w:t>
      </w:r>
      <w:r>
        <w:rPr>
          <w:rFonts w:eastAsiaTheme="minorHAnsi"/>
          <w:color w:val="000000"/>
          <w:sz w:val="26"/>
          <w:szCs w:val="26"/>
        </w:rPr>
        <w:t xml:space="preserve"> </w:t>
      </w:r>
      <w:r w:rsidRPr="00255DCB">
        <w:rPr>
          <w:rFonts w:eastAsiaTheme="minorHAnsi"/>
          <w:color w:val="000000"/>
          <w:sz w:val="26"/>
          <w:szCs w:val="26"/>
        </w:rPr>
        <w:t>Municipal Sewer Authority of the Township of Lower Makefield</w:t>
      </w:r>
      <w:r>
        <w:rPr>
          <w:rFonts w:eastAsiaTheme="minorHAnsi"/>
          <w:color w:val="000000"/>
          <w:sz w:val="26"/>
          <w:szCs w:val="26"/>
        </w:rPr>
        <w:t>, attached to the Application as Exhibit F12.</w:t>
      </w:r>
    </w:p>
    <w:p w14:paraId="3A7591CD" w14:textId="77777777" w:rsidR="00255DCB" w:rsidRDefault="00255DCB" w:rsidP="00E92F92">
      <w:pPr>
        <w:pStyle w:val="ListParagraph"/>
        <w:spacing w:line="360" w:lineRule="auto"/>
        <w:rPr>
          <w:rFonts w:eastAsiaTheme="minorHAnsi"/>
          <w:color w:val="000000"/>
          <w:sz w:val="26"/>
          <w:szCs w:val="26"/>
        </w:rPr>
      </w:pPr>
    </w:p>
    <w:p w14:paraId="6B947C68" w14:textId="1E818814" w:rsidR="00255DCB" w:rsidRDefault="00D75BBC" w:rsidP="00E92F92">
      <w:pPr>
        <w:widowControl/>
        <w:numPr>
          <w:ilvl w:val="0"/>
          <w:numId w:val="18"/>
        </w:numPr>
        <w:autoSpaceDE w:val="0"/>
        <w:autoSpaceDN w:val="0"/>
        <w:adjustRightInd w:val="0"/>
        <w:spacing w:line="360" w:lineRule="auto"/>
        <w:ind w:firstLine="720"/>
        <w:rPr>
          <w:rFonts w:eastAsiaTheme="minorHAnsi"/>
          <w:color w:val="000000"/>
          <w:sz w:val="26"/>
          <w:szCs w:val="26"/>
        </w:rPr>
      </w:pPr>
      <w:proofErr w:type="gramStart"/>
      <w:r>
        <w:rPr>
          <w:rFonts w:eastAsiaTheme="minorHAnsi"/>
          <w:color w:val="000000"/>
          <w:sz w:val="26"/>
          <w:szCs w:val="26"/>
        </w:rPr>
        <w:t>Agreement,</w:t>
      </w:r>
      <w:proofErr w:type="gramEnd"/>
      <w:r>
        <w:rPr>
          <w:rFonts w:eastAsiaTheme="minorHAnsi"/>
          <w:color w:val="000000"/>
          <w:sz w:val="26"/>
          <w:szCs w:val="26"/>
        </w:rPr>
        <w:t xml:space="preserve"> </w:t>
      </w:r>
      <w:r w:rsidRPr="00D75BBC">
        <w:rPr>
          <w:rFonts w:eastAsiaTheme="minorHAnsi"/>
          <w:color w:val="000000"/>
          <w:sz w:val="26"/>
          <w:szCs w:val="26"/>
        </w:rPr>
        <w:t>dated October 28, 1975, by and between the Bucks County</w:t>
      </w:r>
      <w:r>
        <w:rPr>
          <w:rFonts w:eastAsiaTheme="minorHAnsi"/>
          <w:color w:val="000000"/>
          <w:sz w:val="26"/>
          <w:szCs w:val="26"/>
        </w:rPr>
        <w:t xml:space="preserve"> </w:t>
      </w:r>
      <w:r w:rsidRPr="00D75BBC">
        <w:rPr>
          <w:rFonts w:eastAsiaTheme="minorHAnsi"/>
          <w:color w:val="000000"/>
          <w:sz w:val="26"/>
          <w:szCs w:val="26"/>
        </w:rPr>
        <w:t>Water and Sewer Authority, Township of Lower Makefield, and the</w:t>
      </w:r>
      <w:r>
        <w:rPr>
          <w:rFonts w:eastAsiaTheme="minorHAnsi"/>
          <w:color w:val="000000"/>
          <w:sz w:val="26"/>
          <w:szCs w:val="26"/>
        </w:rPr>
        <w:t xml:space="preserve"> </w:t>
      </w:r>
      <w:r w:rsidRPr="00D75BBC">
        <w:rPr>
          <w:rFonts w:eastAsiaTheme="minorHAnsi"/>
          <w:color w:val="000000"/>
          <w:sz w:val="26"/>
          <w:szCs w:val="26"/>
        </w:rPr>
        <w:t>Municipal Sewer Authority of the Township of Lower Makefield</w:t>
      </w:r>
      <w:r>
        <w:rPr>
          <w:rFonts w:eastAsiaTheme="minorHAnsi"/>
          <w:color w:val="000000"/>
          <w:sz w:val="26"/>
          <w:szCs w:val="26"/>
        </w:rPr>
        <w:t>, attached to the Application as Exhibit F13.</w:t>
      </w:r>
    </w:p>
    <w:p w14:paraId="543BFBFA" w14:textId="77777777" w:rsidR="00D75BBC" w:rsidRDefault="00D75BBC" w:rsidP="00E92F92">
      <w:pPr>
        <w:pStyle w:val="ListParagraph"/>
        <w:spacing w:line="360" w:lineRule="auto"/>
        <w:rPr>
          <w:rFonts w:eastAsiaTheme="minorHAnsi"/>
          <w:color w:val="000000"/>
          <w:sz w:val="26"/>
          <w:szCs w:val="26"/>
        </w:rPr>
      </w:pPr>
    </w:p>
    <w:p w14:paraId="6A4E2DB2" w14:textId="4D0C3547" w:rsidR="00D75BBC" w:rsidRDefault="00D75BBC" w:rsidP="00E92F92">
      <w:pPr>
        <w:widowControl/>
        <w:numPr>
          <w:ilvl w:val="0"/>
          <w:numId w:val="18"/>
        </w:numPr>
        <w:autoSpaceDE w:val="0"/>
        <w:autoSpaceDN w:val="0"/>
        <w:adjustRightInd w:val="0"/>
        <w:spacing w:line="360" w:lineRule="auto"/>
        <w:ind w:firstLine="720"/>
        <w:rPr>
          <w:rFonts w:eastAsiaTheme="minorHAnsi"/>
          <w:color w:val="000000"/>
          <w:sz w:val="26"/>
          <w:szCs w:val="26"/>
        </w:rPr>
      </w:pPr>
      <w:proofErr w:type="gramStart"/>
      <w:r>
        <w:rPr>
          <w:rFonts w:eastAsiaTheme="minorHAnsi"/>
          <w:color w:val="000000"/>
          <w:sz w:val="26"/>
          <w:szCs w:val="26"/>
        </w:rPr>
        <w:t xml:space="preserve">Supplemental </w:t>
      </w:r>
      <w:r w:rsidRPr="00D75BBC">
        <w:rPr>
          <w:rFonts w:eastAsiaTheme="minorHAnsi"/>
          <w:color w:val="000000"/>
          <w:sz w:val="26"/>
          <w:szCs w:val="26"/>
        </w:rPr>
        <w:t>Agreement Neshaminy Interceptor,</w:t>
      </w:r>
      <w:proofErr w:type="gramEnd"/>
      <w:r w:rsidRPr="00D75BBC">
        <w:rPr>
          <w:rFonts w:eastAsiaTheme="minorHAnsi"/>
          <w:color w:val="000000"/>
          <w:sz w:val="26"/>
          <w:szCs w:val="26"/>
        </w:rPr>
        <w:t xml:space="preserve"> dated February</w:t>
      </w:r>
      <w:r w:rsidR="00967CCA">
        <w:rPr>
          <w:rFonts w:eastAsiaTheme="minorHAnsi"/>
          <w:color w:val="000000"/>
          <w:sz w:val="26"/>
          <w:szCs w:val="26"/>
        </w:rPr>
        <w:t> </w:t>
      </w:r>
      <w:r w:rsidRPr="00D75BBC">
        <w:rPr>
          <w:rFonts w:eastAsiaTheme="minorHAnsi"/>
          <w:color w:val="000000"/>
          <w:sz w:val="26"/>
          <w:szCs w:val="26"/>
        </w:rPr>
        <w:t>7,</w:t>
      </w:r>
      <w:r w:rsidR="00967CCA">
        <w:rPr>
          <w:rFonts w:eastAsiaTheme="minorHAnsi"/>
          <w:color w:val="000000"/>
          <w:sz w:val="26"/>
          <w:szCs w:val="26"/>
        </w:rPr>
        <w:t> </w:t>
      </w:r>
      <w:r w:rsidRPr="00D75BBC">
        <w:rPr>
          <w:rFonts w:eastAsiaTheme="minorHAnsi"/>
          <w:color w:val="000000"/>
          <w:sz w:val="26"/>
          <w:szCs w:val="26"/>
        </w:rPr>
        <w:t>2018,</w:t>
      </w:r>
      <w:r>
        <w:rPr>
          <w:rFonts w:eastAsiaTheme="minorHAnsi"/>
          <w:color w:val="000000"/>
          <w:sz w:val="26"/>
          <w:szCs w:val="26"/>
        </w:rPr>
        <w:t xml:space="preserve"> </w:t>
      </w:r>
      <w:r w:rsidRPr="00D75BBC">
        <w:rPr>
          <w:rFonts w:eastAsiaTheme="minorHAnsi"/>
          <w:color w:val="000000"/>
          <w:sz w:val="26"/>
          <w:szCs w:val="26"/>
        </w:rPr>
        <w:t>by and between the Bucks County Water and Sewer Authority and the</w:t>
      </w:r>
      <w:r>
        <w:rPr>
          <w:rFonts w:eastAsiaTheme="minorHAnsi"/>
          <w:color w:val="000000"/>
          <w:sz w:val="26"/>
          <w:szCs w:val="26"/>
        </w:rPr>
        <w:t xml:space="preserve"> </w:t>
      </w:r>
      <w:r w:rsidRPr="00D75BBC">
        <w:rPr>
          <w:rFonts w:eastAsiaTheme="minorHAnsi"/>
          <w:color w:val="000000"/>
          <w:sz w:val="26"/>
          <w:szCs w:val="26"/>
        </w:rPr>
        <w:t>Township of Lower Makefield</w:t>
      </w:r>
      <w:r>
        <w:rPr>
          <w:rFonts w:eastAsiaTheme="minorHAnsi"/>
          <w:color w:val="000000"/>
          <w:sz w:val="26"/>
          <w:szCs w:val="26"/>
        </w:rPr>
        <w:t>, attached to the Application as Exhibit F14.</w:t>
      </w:r>
    </w:p>
    <w:p w14:paraId="3204DB82" w14:textId="77777777" w:rsidR="00D75BBC" w:rsidRDefault="00D75BBC" w:rsidP="00E92F92">
      <w:pPr>
        <w:pStyle w:val="ListParagraph"/>
        <w:spacing w:line="360" w:lineRule="auto"/>
        <w:rPr>
          <w:rFonts w:eastAsiaTheme="minorHAnsi"/>
          <w:color w:val="000000"/>
          <w:sz w:val="26"/>
          <w:szCs w:val="26"/>
        </w:rPr>
      </w:pPr>
    </w:p>
    <w:p w14:paraId="2CFE475F" w14:textId="3D78EAB5" w:rsidR="00D75BBC" w:rsidRDefault="00D75BBC" w:rsidP="00E92F92">
      <w:pPr>
        <w:widowControl/>
        <w:numPr>
          <w:ilvl w:val="0"/>
          <w:numId w:val="18"/>
        </w:numPr>
        <w:autoSpaceDE w:val="0"/>
        <w:autoSpaceDN w:val="0"/>
        <w:adjustRightInd w:val="0"/>
        <w:spacing w:line="360" w:lineRule="auto"/>
        <w:ind w:firstLine="720"/>
        <w:rPr>
          <w:rFonts w:eastAsiaTheme="minorHAnsi"/>
          <w:color w:val="000000"/>
          <w:sz w:val="26"/>
          <w:szCs w:val="26"/>
        </w:rPr>
      </w:pPr>
      <w:proofErr w:type="gramStart"/>
      <w:r>
        <w:rPr>
          <w:rFonts w:eastAsiaTheme="minorHAnsi"/>
          <w:color w:val="000000"/>
          <w:sz w:val="26"/>
          <w:szCs w:val="26"/>
        </w:rPr>
        <w:t>Agreement,</w:t>
      </w:r>
      <w:proofErr w:type="gramEnd"/>
      <w:r>
        <w:rPr>
          <w:rFonts w:eastAsiaTheme="minorHAnsi"/>
          <w:color w:val="000000"/>
          <w:sz w:val="26"/>
          <w:szCs w:val="26"/>
        </w:rPr>
        <w:t xml:space="preserve"> </w:t>
      </w:r>
      <w:r w:rsidRPr="00D75BBC">
        <w:rPr>
          <w:rFonts w:eastAsiaTheme="minorHAnsi"/>
          <w:color w:val="000000"/>
          <w:sz w:val="26"/>
          <w:szCs w:val="26"/>
        </w:rPr>
        <w:t>dated January 28, 1980, by and between Middletown</w:t>
      </w:r>
      <w:r>
        <w:rPr>
          <w:rFonts w:eastAsiaTheme="minorHAnsi"/>
          <w:color w:val="000000"/>
          <w:sz w:val="26"/>
          <w:szCs w:val="26"/>
        </w:rPr>
        <w:t xml:space="preserve"> </w:t>
      </w:r>
      <w:r w:rsidRPr="00D75BBC">
        <w:rPr>
          <w:rFonts w:eastAsiaTheme="minorHAnsi"/>
          <w:color w:val="000000"/>
          <w:sz w:val="26"/>
          <w:szCs w:val="26"/>
        </w:rPr>
        <w:t>Township, Lower Makefield Township, the Municipal Sewer Authority of</w:t>
      </w:r>
      <w:r>
        <w:rPr>
          <w:rFonts w:eastAsiaTheme="minorHAnsi"/>
          <w:color w:val="000000"/>
          <w:sz w:val="26"/>
          <w:szCs w:val="26"/>
        </w:rPr>
        <w:t xml:space="preserve"> </w:t>
      </w:r>
      <w:r w:rsidRPr="00D75BBC">
        <w:rPr>
          <w:rFonts w:eastAsiaTheme="minorHAnsi"/>
          <w:color w:val="000000"/>
          <w:sz w:val="26"/>
          <w:szCs w:val="26"/>
        </w:rPr>
        <w:t>the Township of Lower Makefield, and the Bucks County Water and Sewer</w:t>
      </w:r>
      <w:r>
        <w:rPr>
          <w:rFonts w:eastAsiaTheme="minorHAnsi"/>
          <w:color w:val="000000"/>
          <w:sz w:val="26"/>
          <w:szCs w:val="26"/>
        </w:rPr>
        <w:t xml:space="preserve"> </w:t>
      </w:r>
      <w:r w:rsidRPr="00D75BBC">
        <w:rPr>
          <w:rFonts w:eastAsiaTheme="minorHAnsi"/>
          <w:color w:val="000000"/>
          <w:sz w:val="26"/>
          <w:szCs w:val="26"/>
        </w:rPr>
        <w:t>Authority</w:t>
      </w:r>
      <w:r>
        <w:rPr>
          <w:rFonts w:eastAsiaTheme="minorHAnsi"/>
          <w:color w:val="000000"/>
          <w:sz w:val="26"/>
          <w:szCs w:val="26"/>
        </w:rPr>
        <w:t>, attached to the Application as Exhibit F15.</w:t>
      </w:r>
    </w:p>
    <w:p w14:paraId="0819D355" w14:textId="77777777" w:rsidR="00D75BBC" w:rsidRDefault="00D75BBC" w:rsidP="00E92F92">
      <w:pPr>
        <w:pStyle w:val="ListParagraph"/>
        <w:spacing w:line="360" w:lineRule="auto"/>
        <w:rPr>
          <w:rFonts w:eastAsiaTheme="minorHAnsi"/>
          <w:color w:val="000000"/>
          <w:sz w:val="26"/>
          <w:szCs w:val="26"/>
        </w:rPr>
      </w:pPr>
    </w:p>
    <w:p w14:paraId="62D10781" w14:textId="309217E0" w:rsidR="00D75BBC" w:rsidRDefault="00D75BBC" w:rsidP="00E92F92">
      <w:pPr>
        <w:widowControl/>
        <w:numPr>
          <w:ilvl w:val="0"/>
          <w:numId w:val="18"/>
        </w:numPr>
        <w:autoSpaceDE w:val="0"/>
        <w:autoSpaceDN w:val="0"/>
        <w:adjustRightInd w:val="0"/>
        <w:spacing w:line="360" w:lineRule="auto"/>
        <w:ind w:firstLine="720"/>
        <w:rPr>
          <w:rFonts w:eastAsiaTheme="minorHAnsi"/>
          <w:color w:val="000000"/>
          <w:sz w:val="26"/>
          <w:szCs w:val="26"/>
        </w:rPr>
      </w:pPr>
      <w:proofErr w:type="gramStart"/>
      <w:r>
        <w:rPr>
          <w:rFonts w:eastAsiaTheme="minorHAnsi"/>
          <w:color w:val="000000"/>
          <w:sz w:val="26"/>
          <w:szCs w:val="26"/>
        </w:rPr>
        <w:t xml:space="preserve">Addendum </w:t>
      </w:r>
      <w:r w:rsidRPr="00D75BBC">
        <w:rPr>
          <w:rFonts w:eastAsiaTheme="minorHAnsi"/>
          <w:color w:val="000000"/>
          <w:sz w:val="26"/>
          <w:szCs w:val="26"/>
        </w:rPr>
        <w:t>Agreement,</w:t>
      </w:r>
      <w:proofErr w:type="gramEnd"/>
      <w:r w:rsidRPr="00D75BBC">
        <w:rPr>
          <w:rFonts w:eastAsiaTheme="minorHAnsi"/>
          <w:color w:val="000000"/>
          <w:sz w:val="26"/>
          <w:szCs w:val="26"/>
        </w:rPr>
        <w:t xml:space="preserve"> dated April 11, 1989, by and between Middletown</w:t>
      </w:r>
      <w:r>
        <w:rPr>
          <w:rFonts w:eastAsiaTheme="minorHAnsi"/>
          <w:color w:val="000000"/>
          <w:sz w:val="26"/>
          <w:szCs w:val="26"/>
        </w:rPr>
        <w:t xml:space="preserve"> </w:t>
      </w:r>
      <w:r w:rsidRPr="00D75BBC">
        <w:rPr>
          <w:rFonts w:eastAsiaTheme="minorHAnsi"/>
          <w:color w:val="000000"/>
          <w:sz w:val="26"/>
          <w:szCs w:val="26"/>
        </w:rPr>
        <w:t>Township, Lower Makefield Township, and the Municipal Sewer Authority</w:t>
      </w:r>
      <w:r>
        <w:rPr>
          <w:rFonts w:eastAsiaTheme="minorHAnsi"/>
          <w:color w:val="000000"/>
          <w:sz w:val="26"/>
          <w:szCs w:val="26"/>
        </w:rPr>
        <w:t xml:space="preserve"> </w:t>
      </w:r>
      <w:r w:rsidRPr="00D75BBC">
        <w:rPr>
          <w:rFonts w:eastAsiaTheme="minorHAnsi"/>
          <w:color w:val="000000"/>
          <w:sz w:val="26"/>
          <w:szCs w:val="26"/>
        </w:rPr>
        <w:t>of the Township of Lower Makefield</w:t>
      </w:r>
      <w:r>
        <w:rPr>
          <w:rFonts w:eastAsiaTheme="minorHAnsi"/>
          <w:color w:val="000000"/>
          <w:sz w:val="26"/>
          <w:szCs w:val="26"/>
        </w:rPr>
        <w:t>, attached to the Application as Exhibit F16.</w:t>
      </w:r>
    </w:p>
    <w:p w14:paraId="022A6432" w14:textId="77777777" w:rsidR="00D75BBC" w:rsidRDefault="00D75BBC" w:rsidP="00E92F92">
      <w:pPr>
        <w:pStyle w:val="ListParagraph"/>
        <w:spacing w:line="360" w:lineRule="auto"/>
        <w:rPr>
          <w:rFonts w:eastAsiaTheme="minorHAnsi"/>
          <w:color w:val="000000"/>
          <w:sz w:val="26"/>
          <w:szCs w:val="26"/>
        </w:rPr>
      </w:pPr>
    </w:p>
    <w:p w14:paraId="6FAAAFE2" w14:textId="77E54384" w:rsidR="00D75BBC" w:rsidRDefault="00D75BBC" w:rsidP="004F4905">
      <w:pPr>
        <w:widowControl/>
        <w:numPr>
          <w:ilvl w:val="0"/>
          <w:numId w:val="18"/>
        </w:numPr>
        <w:autoSpaceDE w:val="0"/>
        <w:autoSpaceDN w:val="0"/>
        <w:adjustRightInd w:val="0"/>
        <w:spacing w:line="360" w:lineRule="auto"/>
        <w:ind w:firstLine="720"/>
        <w:rPr>
          <w:rFonts w:eastAsiaTheme="minorHAnsi"/>
          <w:color w:val="000000"/>
          <w:sz w:val="26"/>
          <w:szCs w:val="26"/>
        </w:rPr>
      </w:pPr>
      <w:proofErr w:type="gramStart"/>
      <w:r>
        <w:rPr>
          <w:rFonts w:eastAsiaTheme="minorHAnsi"/>
          <w:color w:val="000000"/>
          <w:sz w:val="26"/>
          <w:szCs w:val="26"/>
        </w:rPr>
        <w:t>Agreement,</w:t>
      </w:r>
      <w:proofErr w:type="gramEnd"/>
      <w:r>
        <w:rPr>
          <w:rFonts w:eastAsiaTheme="minorHAnsi"/>
          <w:color w:val="000000"/>
          <w:sz w:val="26"/>
          <w:szCs w:val="26"/>
        </w:rPr>
        <w:t xml:space="preserve"> </w:t>
      </w:r>
      <w:r w:rsidRPr="00D75BBC">
        <w:rPr>
          <w:rFonts w:eastAsiaTheme="minorHAnsi"/>
          <w:color w:val="000000"/>
          <w:sz w:val="26"/>
          <w:szCs w:val="26"/>
        </w:rPr>
        <w:t>dated September 14, 1987, by and between Newtown Joint</w:t>
      </w:r>
      <w:r>
        <w:rPr>
          <w:rFonts w:eastAsiaTheme="minorHAnsi"/>
          <w:color w:val="000000"/>
          <w:sz w:val="26"/>
          <w:szCs w:val="26"/>
        </w:rPr>
        <w:t xml:space="preserve"> </w:t>
      </w:r>
      <w:r w:rsidRPr="00D75BBC">
        <w:rPr>
          <w:rFonts w:eastAsiaTheme="minorHAnsi"/>
          <w:color w:val="000000"/>
          <w:sz w:val="26"/>
          <w:szCs w:val="26"/>
        </w:rPr>
        <w:t>Municipal Authority and the Municipal Sewer Authority of the Township</w:t>
      </w:r>
      <w:r>
        <w:rPr>
          <w:rFonts w:eastAsiaTheme="minorHAnsi"/>
          <w:color w:val="000000"/>
          <w:sz w:val="26"/>
          <w:szCs w:val="26"/>
        </w:rPr>
        <w:t xml:space="preserve"> </w:t>
      </w:r>
      <w:r w:rsidRPr="00D75BBC">
        <w:rPr>
          <w:rFonts w:eastAsiaTheme="minorHAnsi"/>
          <w:color w:val="000000"/>
          <w:sz w:val="26"/>
          <w:szCs w:val="26"/>
        </w:rPr>
        <w:t>of Lower Makefield</w:t>
      </w:r>
      <w:r>
        <w:rPr>
          <w:rFonts w:eastAsiaTheme="minorHAnsi"/>
          <w:color w:val="000000"/>
          <w:sz w:val="26"/>
          <w:szCs w:val="26"/>
        </w:rPr>
        <w:t>, attached to the Application as Exhibit F17.</w:t>
      </w:r>
    </w:p>
    <w:p w14:paraId="3640D1FC" w14:textId="77777777" w:rsidR="004F4905" w:rsidRDefault="004F4905" w:rsidP="004F4905">
      <w:pPr>
        <w:pStyle w:val="ListParagraph"/>
        <w:rPr>
          <w:rFonts w:eastAsiaTheme="minorHAnsi"/>
          <w:color w:val="000000"/>
          <w:sz w:val="26"/>
          <w:szCs w:val="26"/>
        </w:rPr>
      </w:pPr>
    </w:p>
    <w:p w14:paraId="315C1FE8" w14:textId="66C9FCF7" w:rsidR="004F4905" w:rsidRPr="004F4905" w:rsidRDefault="004F4905" w:rsidP="00726637">
      <w:pPr>
        <w:widowControl/>
        <w:numPr>
          <w:ilvl w:val="0"/>
          <w:numId w:val="18"/>
        </w:numPr>
        <w:autoSpaceDE w:val="0"/>
        <w:autoSpaceDN w:val="0"/>
        <w:adjustRightInd w:val="0"/>
        <w:spacing w:line="360" w:lineRule="auto"/>
        <w:ind w:firstLine="720"/>
        <w:rPr>
          <w:rFonts w:eastAsiaTheme="minorHAnsi"/>
          <w:color w:val="000000"/>
          <w:sz w:val="26"/>
          <w:szCs w:val="26"/>
        </w:rPr>
      </w:pPr>
      <w:bookmarkStart w:id="101" w:name="_Hlk92785300"/>
      <w:proofErr w:type="gramStart"/>
      <w:r w:rsidRPr="004F4905">
        <w:rPr>
          <w:rFonts w:eastAsiaTheme="minorHAnsi"/>
          <w:color w:val="000000"/>
          <w:sz w:val="26"/>
          <w:szCs w:val="26"/>
        </w:rPr>
        <w:t>Water Service Termination Agreement,</w:t>
      </w:r>
      <w:proofErr w:type="gramEnd"/>
      <w:r w:rsidRPr="004F4905">
        <w:rPr>
          <w:rFonts w:eastAsiaTheme="minorHAnsi"/>
          <w:color w:val="000000"/>
          <w:sz w:val="26"/>
          <w:szCs w:val="26"/>
        </w:rPr>
        <w:t xml:space="preserve"> dated March 17, 2005, by and between Lower Makefield Township and the Municipal Authority of the Borough of Morrisville, attached to the Application as Exhibit F18.</w:t>
      </w:r>
    </w:p>
    <w:bookmarkEnd w:id="101"/>
    <w:p w14:paraId="15F565A2" w14:textId="0248BD04" w:rsidR="003E4214" w:rsidRDefault="003E4214" w:rsidP="00726637">
      <w:pPr>
        <w:widowControl/>
        <w:spacing w:after="200" w:line="360" w:lineRule="auto"/>
        <w:contextualSpacing/>
        <w:rPr>
          <w:rFonts w:eastAsiaTheme="minorHAnsi"/>
          <w:sz w:val="26"/>
          <w:szCs w:val="26"/>
        </w:rPr>
      </w:pPr>
    </w:p>
    <w:p w14:paraId="1E232820" w14:textId="244F0BF1" w:rsidR="007A4CD6" w:rsidRDefault="00091CDA" w:rsidP="00726637">
      <w:pPr>
        <w:widowControl/>
        <w:spacing w:after="200" w:line="360" w:lineRule="auto"/>
        <w:ind w:firstLine="1440"/>
        <w:contextualSpacing/>
        <w:rPr>
          <w:rFonts w:eastAsiaTheme="minorHAnsi"/>
          <w:sz w:val="26"/>
          <w:szCs w:val="26"/>
        </w:rPr>
      </w:pPr>
      <w:r>
        <w:rPr>
          <w:rFonts w:eastAsiaTheme="minorHAnsi"/>
          <w:sz w:val="26"/>
          <w:szCs w:val="26"/>
        </w:rPr>
        <w:t>1</w:t>
      </w:r>
      <w:r w:rsidR="00CF3E06">
        <w:rPr>
          <w:rFonts w:eastAsiaTheme="minorHAnsi"/>
          <w:sz w:val="26"/>
          <w:szCs w:val="26"/>
        </w:rPr>
        <w:t>1</w:t>
      </w:r>
      <w:r w:rsidR="003E4214">
        <w:rPr>
          <w:rFonts w:eastAsiaTheme="minorHAnsi"/>
          <w:sz w:val="26"/>
          <w:szCs w:val="26"/>
        </w:rPr>
        <w:t>.</w:t>
      </w:r>
      <w:r w:rsidR="003E4214">
        <w:rPr>
          <w:rFonts w:eastAsiaTheme="minorHAnsi"/>
          <w:sz w:val="26"/>
          <w:szCs w:val="26"/>
        </w:rPr>
        <w:tab/>
      </w:r>
      <w:r w:rsidR="00EF2C80" w:rsidRPr="00FB0687">
        <w:rPr>
          <w:rFonts w:eastAsiaTheme="minorHAnsi"/>
          <w:sz w:val="26"/>
          <w:szCs w:val="26"/>
        </w:rPr>
        <w:t xml:space="preserve">That Aqua Pennsylvania Wastewater, Inc., </w:t>
      </w:r>
      <w:r w:rsidR="007A4CD6" w:rsidRPr="00FB0687">
        <w:rPr>
          <w:rFonts w:eastAsiaTheme="minorHAnsi"/>
          <w:sz w:val="26"/>
          <w:szCs w:val="26"/>
        </w:rPr>
        <w:t>within ten (10) days after</w:t>
      </w:r>
      <w:r w:rsidR="00EF2C80" w:rsidRPr="00FB0687">
        <w:rPr>
          <w:rFonts w:eastAsiaTheme="minorHAnsi"/>
          <w:sz w:val="26"/>
          <w:szCs w:val="26"/>
        </w:rPr>
        <w:t xml:space="preserve"> closing of the acquisition, shall </w:t>
      </w:r>
      <w:r w:rsidR="00FB0687">
        <w:rPr>
          <w:rFonts w:eastAsiaTheme="minorHAnsi"/>
          <w:sz w:val="26"/>
          <w:szCs w:val="26"/>
        </w:rPr>
        <w:t>file with the Commission</w:t>
      </w:r>
      <w:r w:rsidR="00EF2C80" w:rsidRPr="00FB0687">
        <w:rPr>
          <w:rFonts w:eastAsiaTheme="minorHAnsi"/>
          <w:sz w:val="26"/>
          <w:szCs w:val="26"/>
        </w:rPr>
        <w:t xml:space="preserve"> a compliance tariff supplement</w:t>
      </w:r>
      <w:r w:rsidR="00FB0687">
        <w:rPr>
          <w:rFonts w:eastAsiaTheme="minorHAnsi"/>
          <w:sz w:val="26"/>
          <w:szCs w:val="26"/>
        </w:rPr>
        <w:t xml:space="preserve"> to be effective on one day’s notice</w:t>
      </w:r>
      <w:r w:rsidR="00EF2C80" w:rsidRPr="00FB0687">
        <w:rPr>
          <w:rFonts w:eastAsiaTheme="minorHAnsi"/>
          <w:sz w:val="26"/>
          <w:szCs w:val="26"/>
        </w:rPr>
        <w:t xml:space="preserve">, consistent </w:t>
      </w:r>
      <w:r w:rsidR="00A336D6">
        <w:rPr>
          <w:rFonts w:eastAsiaTheme="minorHAnsi"/>
          <w:sz w:val="26"/>
          <w:szCs w:val="26"/>
        </w:rPr>
        <w:t xml:space="preserve">in form and content </w:t>
      </w:r>
      <w:r w:rsidR="00EF2C80" w:rsidRPr="00FB0687">
        <w:rPr>
          <w:rFonts w:eastAsiaTheme="minorHAnsi"/>
          <w:sz w:val="26"/>
          <w:szCs w:val="26"/>
        </w:rPr>
        <w:t xml:space="preserve">with </w:t>
      </w:r>
      <w:r w:rsidR="007A4CD6" w:rsidRPr="00FB0687">
        <w:rPr>
          <w:rFonts w:eastAsiaTheme="minorHAnsi"/>
          <w:sz w:val="26"/>
          <w:szCs w:val="26"/>
        </w:rPr>
        <w:t>the Tariff Supplement attached to the Application</w:t>
      </w:r>
      <w:r w:rsidR="00E21489" w:rsidRPr="00FB0687">
        <w:rPr>
          <w:rFonts w:eastAsiaTheme="minorHAnsi"/>
          <w:sz w:val="26"/>
          <w:szCs w:val="26"/>
        </w:rPr>
        <w:t>, filed on May 14, 2021, as amended in Aqua Pennsylvania Wastewater, Inc.’s supplemental information filed by letter dated June</w:t>
      </w:r>
      <w:r w:rsidR="00E92F92">
        <w:rPr>
          <w:rFonts w:eastAsiaTheme="minorHAnsi"/>
          <w:sz w:val="26"/>
          <w:szCs w:val="26"/>
        </w:rPr>
        <w:t> </w:t>
      </w:r>
      <w:r w:rsidR="00E21489" w:rsidRPr="00FB0687">
        <w:rPr>
          <w:rFonts w:eastAsiaTheme="minorHAnsi"/>
          <w:sz w:val="26"/>
          <w:szCs w:val="26"/>
        </w:rPr>
        <w:t>21,</w:t>
      </w:r>
      <w:r w:rsidR="00E92F92">
        <w:rPr>
          <w:rFonts w:eastAsiaTheme="minorHAnsi"/>
          <w:sz w:val="26"/>
          <w:szCs w:val="26"/>
        </w:rPr>
        <w:t> </w:t>
      </w:r>
      <w:r w:rsidR="00E21489" w:rsidRPr="00FB0687">
        <w:rPr>
          <w:rFonts w:eastAsiaTheme="minorHAnsi"/>
          <w:sz w:val="26"/>
          <w:szCs w:val="26"/>
        </w:rPr>
        <w:t>2021, implementing rates for Lower Makefield Township customers post-closing.</w:t>
      </w:r>
    </w:p>
    <w:p w14:paraId="029A3826" w14:textId="7168B363" w:rsidR="00EF2C80" w:rsidRDefault="00EF2C80" w:rsidP="00E21489">
      <w:pPr>
        <w:widowControl/>
        <w:spacing w:after="200" w:line="360" w:lineRule="auto"/>
        <w:contextualSpacing/>
        <w:rPr>
          <w:rFonts w:eastAsiaTheme="minorHAnsi"/>
          <w:sz w:val="26"/>
          <w:szCs w:val="26"/>
        </w:rPr>
      </w:pPr>
    </w:p>
    <w:p w14:paraId="58B6D5E6" w14:textId="26335C5F" w:rsidR="00EF2C80" w:rsidRPr="009604DB" w:rsidRDefault="00EF2C80" w:rsidP="009604DB">
      <w:pPr>
        <w:widowControl/>
        <w:spacing w:after="200" w:line="360" w:lineRule="auto"/>
        <w:ind w:firstLine="1440"/>
        <w:contextualSpacing/>
        <w:rPr>
          <w:rFonts w:eastAsiaTheme="minorHAnsi"/>
          <w:sz w:val="26"/>
          <w:szCs w:val="26"/>
        </w:rPr>
      </w:pPr>
      <w:r>
        <w:rPr>
          <w:rFonts w:eastAsiaTheme="minorHAnsi"/>
          <w:sz w:val="26"/>
          <w:szCs w:val="26"/>
        </w:rPr>
        <w:t>1</w:t>
      </w:r>
      <w:r w:rsidR="00CF3E06">
        <w:rPr>
          <w:rFonts w:eastAsiaTheme="minorHAnsi"/>
          <w:sz w:val="26"/>
          <w:szCs w:val="26"/>
        </w:rPr>
        <w:t>2</w:t>
      </w:r>
      <w:r>
        <w:rPr>
          <w:rFonts w:eastAsiaTheme="minorHAnsi"/>
          <w:sz w:val="26"/>
          <w:szCs w:val="26"/>
        </w:rPr>
        <w:t>.</w:t>
      </w:r>
      <w:r>
        <w:rPr>
          <w:rFonts w:eastAsiaTheme="minorHAnsi"/>
          <w:sz w:val="26"/>
          <w:szCs w:val="26"/>
        </w:rPr>
        <w:tab/>
        <w:t xml:space="preserve">That </w:t>
      </w:r>
      <w:r w:rsidRPr="00EF2C80">
        <w:rPr>
          <w:rFonts w:eastAsiaTheme="minorHAnsi"/>
          <w:sz w:val="26"/>
          <w:szCs w:val="26"/>
        </w:rPr>
        <w:t xml:space="preserve">the Commission’s Secretary, upon the receipt of written notice from Aqua Pennsylvania Wastewater, Inc. filed with the Secretary’s Bureau notifying the Commission of the closing of the acquisition and upon the completion of Ordering Paragraph No. </w:t>
      </w:r>
      <w:r w:rsidR="00091CDA">
        <w:rPr>
          <w:rFonts w:eastAsiaTheme="minorHAnsi"/>
          <w:sz w:val="26"/>
          <w:szCs w:val="26"/>
        </w:rPr>
        <w:t>1</w:t>
      </w:r>
      <w:r w:rsidR="00CF3E06">
        <w:rPr>
          <w:rFonts w:eastAsiaTheme="minorHAnsi"/>
          <w:sz w:val="26"/>
          <w:szCs w:val="26"/>
        </w:rPr>
        <w:t>1</w:t>
      </w:r>
      <w:r w:rsidRPr="00EF2C80">
        <w:rPr>
          <w:rFonts w:eastAsiaTheme="minorHAnsi"/>
          <w:sz w:val="26"/>
          <w:szCs w:val="26"/>
        </w:rPr>
        <w:t xml:space="preserve"> above, mark this docket closed.</w:t>
      </w:r>
    </w:p>
    <w:p w14:paraId="783110D2" w14:textId="6ED6880E" w:rsidR="000F1318" w:rsidRPr="00027664" w:rsidRDefault="000F1318" w:rsidP="007C55D4">
      <w:pPr>
        <w:widowControl/>
        <w:rPr>
          <w:sz w:val="26"/>
          <w:szCs w:val="26"/>
        </w:rPr>
      </w:pPr>
    </w:p>
    <w:p w14:paraId="0D5F48A5" w14:textId="372E7048" w:rsidR="000F1318" w:rsidRPr="00027664" w:rsidRDefault="00927F92" w:rsidP="00E92F92">
      <w:pPr>
        <w:widowControl/>
        <w:ind w:firstLine="5040"/>
        <w:rPr>
          <w:sz w:val="26"/>
          <w:szCs w:val="26"/>
        </w:rPr>
      </w:pPr>
      <w:r>
        <w:rPr>
          <w:noProof/>
        </w:rPr>
        <w:drawing>
          <wp:anchor distT="0" distB="0" distL="114300" distR="114300" simplePos="0" relativeHeight="251659264" behindDoc="1" locked="0" layoutInCell="1" allowOverlap="1" wp14:anchorId="26FC5CBD" wp14:editId="05DD205C">
            <wp:simplePos x="0" y="0"/>
            <wp:positionH relativeFrom="column">
              <wp:posOffset>3200400</wp:posOffset>
            </wp:positionH>
            <wp:positionV relativeFrom="paragraph">
              <wp:posOffset>172085</wp:posOffset>
            </wp:positionV>
            <wp:extent cx="2200275" cy="838200"/>
            <wp:effectExtent l="19050" t="0" r="9525" b="0"/>
            <wp:wrapNone/>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hape&#10;&#10;Description automatically generated"/>
                    <pic:cNvPicPr>
                      <a:picLocks noChangeAspect="1" noChangeArrowheads="1"/>
                    </pic:cNvPicPr>
                  </pic:nvPicPr>
                  <pic:blipFill>
                    <a:blip r:embed="rId2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0F1318" w:rsidRPr="00027664">
        <w:rPr>
          <w:b/>
          <w:sz w:val="26"/>
          <w:szCs w:val="26"/>
        </w:rPr>
        <w:t>BY THE COMMISSION,</w:t>
      </w:r>
    </w:p>
    <w:p w14:paraId="1B729B44" w14:textId="3FB1DFD6" w:rsidR="000F1318" w:rsidRPr="00027664" w:rsidRDefault="000F1318" w:rsidP="00E92F92">
      <w:pPr>
        <w:widowControl/>
        <w:ind w:firstLine="5040"/>
        <w:rPr>
          <w:sz w:val="26"/>
          <w:szCs w:val="26"/>
        </w:rPr>
      </w:pPr>
    </w:p>
    <w:p w14:paraId="16BB3175" w14:textId="136DE139" w:rsidR="000F1318" w:rsidRDefault="000F1318" w:rsidP="00E92F92">
      <w:pPr>
        <w:widowControl/>
        <w:ind w:firstLine="5040"/>
        <w:rPr>
          <w:sz w:val="26"/>
          <w:szCs w:val="26"/>
        </w:rPr>
      </w:pPr>
    </w:p>
    <w:p w14:paraId="4853AF9B" w14:textId="37285499" w:rsidR="000D7B91" w:rsidRPr="00027664" w:rsidRDefault="000D7B91" w:rsidP="00E92F92">
      <w:pPr>
        <w:widowControl/>
        <w:ind w:firstLine="5040"/>
        <w:rPr>
          <w:sz w:val="26"/>
          <w:szCs w:val="26"/>
        </w:rPr>
      </w:pPr>
    </w:p>
    <w:p w14:paraId="2665205C" w14:textId="77777777" w:rsidR="000F1318" w:rsidRDefault="000F1318" w:rsidP="00E92F92">
      <w:pPr>
        <w:widowControl/>
        <w:ind w:firstLine="5040"/>
        <w:rPr>
          <w:sz w:val="26"/>
          <w:szCs w:val="26"/>
        </w:rPr>
      </w:pPr>
    </w:p>
    <w:p w14:paraId="10972E82" w14:textId="77777777" w:rsidR="00600F6F" w:rsidRPr="00027664" w:rsidRDefault="00600F6F" w:rsidP="00E92F92">
      <w:pPr>
        <w:widowControl/>
        <w:ind w:firstLine="5040"/>
        <w:rPr>
          <w:sz w:val="26"/>
          <w:szCs w:val="26"/>
        </w:rPr>
      </w:pPr>
      <w:r>
        <w:rPr>
          <w:sz w:val="26"/>
          <w:szCs w:val="26"/>
        </w:rPr>
        <w:t>Rosemary Chiavetta</w:t>
      </w:r>
    </w:p>
    <w:p w14:paraId="12DFF6D7" w14:textId="77777777" w:rsidR="000F1318" w:rsidRPr="00027664" w:rsidRDefault="000F1318" w:rsidP="00E92F92">
      <w:pPr>
        <w:widowControl/>
        <w:ind w:firstLine="5040"/>
        <w:rPr>
          <w:sz w:val="26"/>
          <w:szCs w:val="26"/>
        </w:rPr>
      </w:pPr>
      <w:r w:rsidRPr="00027664">
        <w:rPr>
          <w:sz w:val="26"/>
          <w:szCs w:val="26"/>
        </w:rPr>
        <w:t>Secretary</w:t>
      </w:r>
    </w:p>
    <w:p w14:paraId="350D3FC4" w14:textId="5F14ACA1" w:rsidR="000F1318" w:rsidRDefault="000F1318" w:rsidP="00967CCA">
      <w:pPr>
        <w:widowControl/>
        <w:rPr>
          <w:sz w:val="26"/>
          <w:szCs w:val="26"/>
        </w:rPr>
      </w:pPr>
    </w:p>
    <w:p w14:paraId="372F73DB" w14:textId="77777777" w:rsidR="00E92F92" w:rsidRPr="00027664" w:rsidRDefault="00E92F92" w:rsidP="00967CCA">
      <w:pPr>
        <w:widowControl/>
        <w:rPr>
          <w:sz w:val="26"/>
          <w:szCs w:val="26"/>
        </w:rPr>
      </w:pPr>
    </w:p>
    <w:p w14:paraId="58541BBE" w14:textId="0E72A445" w:rsidR="000F1318" w:rsidRPr="00027664" w:rsidRDefault="000F1318" w:rsidP="00967CCA">
      <w:pPr>
        <w:widowControl/>
        <w:rPr>
          <w:sz w:val="26"/>
          <w:szCs w:val="26"/>
        </w:rPr>
      </w:pPr>
      <w:r w:rsidRPr="00027664">
        <w:rPr>
          <w:sz w:val="26"/>
          <w:szCs w:val="26"/>
        </w:rPr>
        <w:t>(SEAL)</w:t>
      </w:r>
    </w:p>
    <w:p w14:paraId="2DB92430" w14:textId="77777777" w:rsidR="000F1318" w:rsidRPr="00027664" w:rsidRDefault="000F1318" w:rsidP="00967CCA">
      <w:pPr>
        <w:widowControl/>
        <w:rPr>
          <w:sz w:val="26"/>
          <w:szCs w:val="26"/>
        </w:rPr>
      </w:pPr>
    </w:p>
    <w:p w14:paraId="5DD592A5" w14:textId="1036CF50" w:rsidR="000D7B91" w:rsidRDefault="00F248A4" w:rsidP="00967CCA">
      <w:pPr>
        <w:widowControl/>
        <w:rPr>
          <w:sz w:val="26"/>
          <w:szCs w:val="26"/>
        </w:rPr>
      </w:pPr>
      <w:r>
        <w:rPr>
          <w:sz w:val="26"/>
          <w:szCs w:val="26"/>
        </w:rPr>
        <w:t>ORDER ADOPTED:</w:t>
      </w:r>
      <w:r w:rsidR="00776AD2">
        <w:rPr>
          <w:sz w:val="26"/>
          <w:szCs w:val="26"/>
        </w:rPr>
        <w:t xml:space="preserve">  </w:t>
      </w:r>
      <w:r w:rsidR="00985B36">
        <w:rPr>
          <w:sz w:val="26"/>
          <w:szCs w:val="26"/>
        </w:rPr>
        <w:t>January 13</w:t>
      </w:r>
      <w:r w:rsidR="003F19BF">
        <w:rPr>
          <w:sz w:val="26"/>
          <w:szCs w:val="26"/>
        </w:rPr>
        <w:t>, 20</w:t>
      </w:r>
      <w:r w:rsidR="00B104A2">
        <w:rPr>
          <w:sz w:val="26"/>
          <w:szCs w:val="26"/>
        </w:rPr>
        <w:t>2</w:t>
      </w:r>
      <w:r w:rsidR="00985B36">
        <w:rPr>
          <w:sz w:val="26"/>
          <w:szCs w:val="26"/>
        </w:rPr>
        <w:t>2</w:t>
      </w:r>
    </w:p>
    <w:p w14:paraId="77DBB4DA" w14:textId="77777777" w:rsidR="000D7B91" w:rsidRDefault="000D7B91" w:rsidP="00967CCA">
      <w:pPr>
        <w:widowControl/>
        <w:rPr>
          <w:sz w:val="26"/>
          <w:szCs w:val="26"/>
        </w:rPr>
      </w:pPr>
    </w:p>
    <w:p w14:paraId="2FE4E797" w14:textId="3AC95DAC" w:rsidR="004F47A7" w:rsidRDefault="000D7B91" w:rsidP="00967CCA">
      <w:pPr>
        <w:widowControl/>
        <w:rPr>
          <w:b/>
          <w:sz w:val="26"/>
        </w:rPr>
      </w:pPr>
      <w:r>
        <w:rPr>
          <w:sz w:val="26"/>
          <w:szCs w:val="26"/>
        </w:rPr>
        <w:t>O</w:t>
      </w:r>
      <w:r w:rsidR="000F1318" w:rsidRPr="00027664">
        <w:rPr>
          <w:sz w:val="26"/>
          <w:szCs w:val="26"/>
        </w:rPr>
        <w:t>RDER ENTERED:</w:t>
      </w:r>
      <w:r w:rsidR="00503ACC">
        <w:rPr>
          <w:b/>
          <w:sz w:val="26"/>
        </w:rPr>
        <w:t xml:space="preserve"> </w:t>
      </w:r>
      <w:r w:rsidR="00927F92" w:rsidRPr="00927F92">
        <w:rPr>
          <w:bCs/>
          <w:sz w:val="26"/>
        </w:rPr>
        <w:t>January 13, 2022</w:t>
      </w:r>
    </w:p>
    <w:sectPr w:rsidR="004F47A7" w:rsidSect="005127F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E3BD0" w14:textId="77777777" w:rsidR="002C33C4" w:rsidRDefault="002C33C4">
      <w:r>
        <w:separator/>
      </w:r>
    </w:p>
    <w:p w14:paraId="7D29602B" w14:textId="77777777" w:rsidR="002C33C4" w:rsidRDefault="002C33C4"/>
    <w:p w14:paraId="375B4802" w14:textId="77777777" w:rsidR="002C33C4" w:rsidRDefault="002C33C4" w:rsidP="002826C5"/>
  </w:endnote>
  <w:endnote w:type="continuationSeparator" w:id="0">
    <w:p w14:paraId="755562DD" w14:textId="77777777" w:rsidR="002C33C4" w:rsidRDefault="002C33C4">
      <w:r>
        <w:continuationSeparator/>
      </w:r>
    </w:p>
    <w:p w14:paraId="67BEA228" w14:textId="77777777" w:rsidR="002C33C4" w:rsidRDefault="002C33C4"/>
    <w:p w14:paraId="175FCBB3" w14:textId="77777777" w:rsidR="002C33C4" w:rsidRDefault="002C33C4" w:rsidP="002826C5"/>
  </w:endnote>
  <w:endnote w:type="continuationNotice" w:id="1">
    <w:p w14:paraId="5F808B82" w14:textId="77777777" w:rsidR="002C33C4" w:rsidRDefault="002C33C4"/>
    <w:p w14:paraId="6174D3FD" w14:textId="77777777" w:rsidR="002C33C4" w:rsidRDefault="002C33C4"/>
    <w:p w14:paraId="59F581FA" w14:textId="77777777" w:rsidR="002C33C4" w:rsidRDefault="002C33C4" w:rsidP="002826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372A" w14:textId="77777777" w:rsidR="002E702F" w:rsidRDefault="002E702F" w:rsidP="00610A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2A25DE" w14:textId="77777777" w:rsidR="002E702F" w:rsidRDefault="002E7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0F16" w14:textId="77777777" w:rsidR="002E702F" w:rsidRPr="00C7667D" w:rsidRDefault="002E702F" w:rsidP="00610A49">
    <w:pPr>
      <w:pStyle w:val="Footer"/>
      <w:framePr w:wrap="around" w:vAnchor="text" w:hAnchor="margin" w:xAlign="center" w:y="1"/>
      <w:rPr>
        <w:rStyle w:val="PageNumber"/>
        <w:sz w:val="26"/>
      </w:rPr>
    </w:pPr>
    <w:r w:rsidRPr="00C7667D">
      <w:rPr>
        <w:rStyle w:val="PageNumber"/>
        <w:sz w:val="26"/>
      </w:rPr>
      <w:fldChar w:fldCharType="begin"/>
    </w:r>
    <w:r w:rsidRPr="00C7667D">
      <w:rPr>
        <w:rStyle w:val="PageNumber"/>
        <w:sz w:val="26"/>
      </w:rPr>
      <w:instrText xml:space="preserve">PAGE  </w:instrText>
    </w:r>
    <w:r w:rsidRPr="00C7667D">
      <w:rPr>
        <w:rStyle w:val="PageNumber"/>
        <w:sz w:val="26"/>
      </w:rPr>
      <w:fldChar w:fldCharType="separate"/>
    </w:r>
    <w:r>
      <w:rPr>
        <w:rStyle w:val="PageNumber"/>
        <w:noProof/>
        <w:sz w:val="26"/>
      </w:rPr>
      <w:t>2</w:t>
    </w:r>
    <w:r w:rsidRPr="00C7667D">
      <w:rPr>
        <w:rStyle w:val="PageNumber"/>
        <w:sz w:val="26"/>
      </w:rPr>
      <w:fldChar w:fldCharType="end"/>
    </w:r>
  </w:p>
  <w:p w14:paraId="74A283B3" w14:textId="77777777" w:rsidR="002E702F" w:rsidRDefault="002E702F" w:rsidP="00C766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2384" w14:textId="77777777" w:rsidR="002E702F" w:rsidRDefault="002E702F" w:rsidP="00A32A8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A1D2" w14:textId="77777777" w:rsidR="002C33C4" w:rsidRDefault="002C33C4" w:rsidP="002826C5">
      <w:r>
        <w:separator/>
      </w:r>
    </w:p>
  </w:footnote>
  <w:footnote w:type="continuationSeparator" w:id="0">
    <w:p w14:paraId="09758070" w14:textId="77777777" w:rsidR="002C33C4" w:rsidRDefault="002C33C4">
      <w:r>
        <w:continuationSeparator/>
      </w:r>
    </w:p>
    <w:p w14:paraId="7BCCF019" w14:textId="77777777" w:rsidR="002C33C4" w:rsidRDefault="002C33C4"/>
    <w:p w14:paraId="0023DDC1" w14:textId="77777777" w:rsidR="002C33C4" w:rsidRDefault="002C33C4" w:rsidP="002826C5"/>
  </w:footnote>
  <w:footnote w:type="continuationNotice" w:id="1">
    <w:p w14:paraId="21D167A6" w14:textId="77777777" w:rsidR="002C33C4" w:rsidRDefault="002C33C4"/>
    <w:p w14:paraId="798218DA" w14:textId="77777777" w:rsidR="002C33C4" w:rsidRDefault="002C33C4"/>
    <w:p w14:paraId="0F006353" w14:textId="77777777" w:rsidR="002C33C4" w:rsidRDefault="002C33C4" w:rsidP="002826C5"/>
  </w:footnote>
  <w:footnote w:id="2">
    <w:p w14:paraId="1D0B29A1" w14:textId="5BEA6D94" w:rsidR="007765FE" w:rsidRPr="008425A6" w:rsidRDefault="007765FE" w:rsidP="000D72D7">
      <w:pPr>
        <w:pStyle w:val="FootnoteText"/>
        <w:keepNext/>
        <w:keepLines/>
        <w:ind w:firstLine="720"/>
        <w:rPr>
          <w:sz w:val="26"/>
          <w:szCs w:val="26"/>
        </w:rPr>
      </w:pPr>
      <w:r w:rsidRPr="008425A6">
        <w:rPr>
          <w:rStyle w:val="FootnoteReference"/>
          <w:sz w:val="26"/>
          <w:szCs w:val="26"/>
        </w:rPr>
        <w:footnoteRef/>
      </w:r>
      <w:r w:rsidRPr="008425A6">
        <w:rPr>
          <w:sz w:val="26"/>
          <w:szCs w:val="26"/>
        </w:rPr>
        <w:t xml:space="preserve"> </w:t>
      </w:r>
      <w:r w:rsidRPr="008425A6">
        <w:rPr>
          <w:sz w:val="26"/>
          <w:szCs w:val="26"/>
        </w:rPr>
        <w:tab/>
      </w:r>
      <w:r w:rsidR="008425A6" w:rsidRPr="008425A6">
        <w:rPr>
          <w:sz w:val="26"/>
          <w:szCs w:val="26"/>
        </w:rPr>
        <w:t xml:space="preserve">Under 66 Pa. C.S. § 1329, </w:t>
      </w:r>
      <w:r w:rsidR="008425A6" w:rsidRPr="008425A6">
        <w:rPr>
          <w:i/>
          <w:iCs/>
          <w:sz w:val="26"/>
          <w:szCs w:val="26"/>
        </w:rPr>
        <w:t>inter alia</w:t>
      </w:r>
      <w:r w:rsidR="008425A6">
        <w:rPr>
          <w:sz w:val="26"/>
          <w:szCs w:val="26"/>
        </w:rPr>
        <w:t>,</w:t>
      </w:r>
      <w:r w:rsidR="008425A6" w:rsidRPr="008425A6">
        <w:rPr>
          <w:sz w:val="26"/>
          <w:szCs w:val="26"/>
        </w:rPr>
        <w:t xml:space="preserve"> Aqua </w:t>
      </w:r>
      <w:r w:rsidR="008425A6">
        <w:rPr>
          <w:sz w:val="26"/>
          <w:szCs w:val="26"/>
        </w:rPr>
        <w:t>sought</w:t>
      </w:r>
      <w:r w:rsidR="008425A6" w:rsidRPr="008425A6">
        <w:rPr>
          <w:sz w:val="26"/>
          <w:szCs w:val="26"/>
        </w:rPr>
        <w:t xml:space="preserve"> to</w:t>
      </w:r>
      <w:r w:rsidR="00545B07">
        <w:rPr>
          <w:sz w:val="26"/>
          <w:szCs w:val="26"/>
        </w:rPr>
        <w:t xml:space="preserve"> </w:t>
      </w:r>
      <w:r w:rsidR="008425A6" w:rsidRPr="008425A6">
        <w:rPr>
          <w:sz w:val="26"/>
          <w:szCs w:val="26"/>
        </w:rPr>
        <w:t>establish</w:t>
      </w:r>
      <w:r w:rsidR="00545B07">
        <w:rPr>
          <w:sz w:val="26"/>
          <w:szCs w:val="26"/>
        </w:rPr>
        <w:t xml:space="preserve"> a</w:t>
      </w:r>
      <w:r w:rsidR="008425A6" w:rsidRPr="008425A6">
        <w:rPr>
          <w:sz w:val="26"/>
          <w:szCs w:val="26"/>
        </w:rPr>
        <w:t xml:space="preserve"> ratemaking rate base of $53</w:t>
      </w:r>
      <w:r w:rsidR="00596375">
        <w:rPr>
          <w:sz w:val="26"/>
          <w:szCs w:val="26"/>
        </w:rPr>
        <w:t xml:space="preserve"> million</w:t>
      </w:r>
      <w:r w:rsidR="008425A6" w:rsidRPr="008425A6">
        <w:rPr>
          <w:sz w:val="26"/>
          <w:szCs w:val="26"/>
        </w:rPr>
        <w:t xml:space="preserve"> for LMT’s wastewater system assets based on the negotiated purchase price</w:t>
      </w:r>
      <w:r w:rsidR="00596375">
        <w:rPr>
          <w:sz w:val="26"/>
          <w:szCs w:val="26"/>
        </w:rPr>
        <w:t>, as the negotiated purchase price of $53 million is less than the average of the fair market value appraisals</w:t>
      </w:r>
      <w:r w:rsidR="004F7790">
        <w:rPr>
          <w:sz w:val="26"/>
          <w:szCs w:val="26"/>
        </w:rPr>
        <w:t>,</w:t>
      </w:r>
      <w:r w:rsidR="00596375">
        <w:rPr>
          <w:sz w:val="26"/>
          <w:szCs w:val="26"/>
        </w:rPr>
        <w:t xml:space="preserve"> which </w:t>
      </w:r>
      <w:r w:rsidR="004F7790">
        <w:rPr>
          <w:sz w:val="26"/>
          <w:szCs w:val="26"/>
        </w:rPr>
        <w:t>are</w:t>
      </w:r>
      <w:r w:rsidR="00596375">
        <w:rPr>
          <w:sz w:val="26"/>
          <w:szCs w:val="26"/>
        </w:rPr>
        <w:t xml:space="preserve"> $54,967,796 (determined by $</w:t>
      </w:r>
      <w:r w:rsidR="00551C8B">
        <w:rPr>
          <w:sz w:val="26"/>
          <w:szCs w:val="26"/>
        </w:rPr>
        <w:t>55,505,000 presented</w:t>
      </w:r>
      <w:r w:rsidR="00596375">
        <w:rPr>
          <w:sz w:val="26"/>
          <w:szCs w:val="26"/>
        </w:rPr>
        <w:t xml:space="preserve"> in the appraisal of Gannett Fleming Valuation and Rate Consultants</w:t>
      </w:r>
      <w:r w:rsidR="00551C8B">
        <w:rPr>
          <w:sz w:val="26"/>
          <w:szCs w:val="26"/>
        </w:rPr>
        <w:t>, LLC (Gannett Fleming)</w:t>
      </w:r>
      <w:r w:rsidR="00596375">
        <w:rPr>
          <w:sz w:val="26"/>
          <w:szCs w:val="26"/>
        </w:rPr>
        <w:t xml:space="preserve"> and $54,430,591 presented in the appraisal of AUS Consultants</w:t>
      </w:r>
      <w:r w:rsidR="00551C8B">
        <w:rPr>
          <w:sz w:val="26"/>
          <w:szCs w:val="26"/>
        </w:rPr>
        <w:t>, Inc. (AUS)</w:t>
      </w:r>
      <w:r w:rsidR="00BB400E">
        <w:rPr>
          <w:sz w:val="26"/>
          <w:szCs w:val="26"/>
        </w:rPr>
        <w:t>)</w:t>
      </w:r>
      <w:r w:rsidR="00596375">
        <w:rPr>
          <w:sz w:val="26"/>
          <w:szCs w:val="26"/>
        </w:rPr>
        <w:t xml:space="preserve">.  Application at 17.  </w:t>
      </w:r>
    </w:p>
  </w:footnote>
  <w:footnote w:id="3">
    <w:p w14:paraId="2FE116A2" w14:textId="1723EE45" w:rsidR="00E9438C" w:rsidRPr="00A11179" w:rsidRDefault="00E9438C" w:rsidP="00F5649B">
      <w:pPr>
        <w:pStyle w:val="FootnoteText"/>
        <w:keepNext/>
        <w:keepLines/>
        <w:spacing w:after="120"/>
        <w:ind w:firstLine="720"/>
        <w:rPr>
          <w:sz w:val="26"/>
          <w:szCs w:val="26"/>
        </w:rPr>
      </w:pPr>
      <w:r w:rsidRPr="00A11179">
        <w:rPr>
          <w:rStyle w:val="FootnoteReference"/>
          <w:sz w:val="26"/>
          <w:szCs w:val="26"/>
        </w:rPr>
        <w:footnoteRef/>
      </w:r>
      <w:r w:rsidRPr="00A11179">
        <w:rPr>
          <w:sz w:val="26"/>
          <w:szCs w:val="26"/>
        </w:rPr>
        <w:t xml:space="preserve"> </w:t>
      </w:r>
      <w:r w:rsidRPr="00A11179">
        <w:rPr>
          <w:sz w:val="26"/>
          <w:szCs w:val="26"/>
        </w:rPr>
        <w:tab/>
        <w:t>Protests were filed by John Char on August 2, 2021, Barry Summers (Protestant Summers) on August 5, 2021, Kevin and Beth Cauley on August 13, 2021, Jaan Pesti on August 25, 2021, and Peter A. Lachance (Protestant Lachance) on August</w:t>
      </w:r>
      <w:r w:rsidR="0031096D">
        <w:rPr>
          <w:sz w:val="26"/>
          <w:szCs w:val="26"/>
        </w:rPr>
        <w:t> </w:t>
      </w:r>
      <w:r w:rsidRPr="00A11179">
        <w:rPr>
          <w:sz w:val="26"/>
          <w:szCs w:val="26"/>
        </w:rPr>
        <w:t>27, 2021.</w:t>
      </w:r>
      <w:r w:rsidR="00870E23">
        <w:rPr>
          <w:sz w:val="26"/>
          <w:szCs w:val="26"/>
        </w:rPr>
        <w:t xml:space="preserve">  An additional protest was filed after the protest deadline of September</w:t>
      </w:r>
      <w:r w:rsidR="0031096D">
        <w:rPr>
          <w:sz w:val="26"/>
          <w:szCs w:val="26"/>
        </w:rPr>
        <w:t> </w:t>
      </w:r>
      <w:r w:rsidR="00870E23">
        <w:rPr>
          <w:sz w:val="26"/>
          <w:szCs w:val="26"/>
        </w:rPr>
        <w:t>7, 2021 by Keisha Jackson-Spence on September 10, 2021.</w:t>
      </w:r>
    </w:p>
  </w:footnote>
  <w:footnote w:id="4">
    <w:p w14:paraId="3D276ADC" w14:textId="2A311AC4" w:rsidR="007D5470" w:rsidRPr="007D5470" w:rsidRDefault="007D5470" w:rsidP="00F5649B">
      <w:pPr>
        <w:pStyle w:val="FootnoteText"/>
        <w:keepNext/>
        <w:keepLines/>
        <w:spacing w:after="120"/>
        <w:ind w:firstLine="720"/>
        <w:rPr>
          <w:sz w:val="26"/>
          <w:szCs w:val="26"/>
        </w:rPr>
      </w:pPr>
      <w:r w:rsidRPr="007D5470">
        <w:rPr>
          <w:rStyle w:val="FootnoteReference"/>
          <w:sz w:val="26"/>
          <w:szCs w:val="26"/>
        </w:rPr>
        <w:footnoteRef/>
      </w:r>
      <w:r w:rsidRPr="007D5470">
        <w:rPr>
          <w:sz w:val="26"/>
          <w:szCs w:val="26"/>
        </w:rPr>
        <w:t xml:space="preserve"> </w:t>
      </w:r>
      <w:r w:rsidRPr="007D5470">
        <w:rPr>
          <w:sz w:val="26"/>
          <w:szCs w:val="26"/>
        </w:rPr>
        <w:tab/>
        <w:t>Subsequent to the Prehearing Conference,</w:t>
      </w:r>
      <w:r>
        <w:rPr>
          <w:sz w:val="26"/>
          <w:szCs w:val="26"/>
        </w:rPr>
        <w:t xml:space="preserve"> ALJ</w:t>
      </w:r>
      <w:r w:rsidRPr="007D5470">
        <w:rPr>
          <w:sz w:val="26"/>
          <w:szCs w:val="26"/>
        </w:rPr>
        <w:t xml:space="preserve"> Watson issued an Initial Decision, </w:t>
      </w:r>
      <w:r w:rsidR="008D4FE4">
        <w:rPr>
          <w:sz w:val="26"/>
          <w:szCs w:val="26"/>
        </w:rPr>
        <w:t>entered</w:t>
      </w:r>
      <w:r w:rsidRPr="007D5470">
        <w:rPr>
          <w:sz w:val="26"/>
          <w:szCs w:val="26"/>
        </w:rPr>
        <w:t xml:space="preserve"> September </w:t>
      </w:r>
      <w:r w:rsidR="00943DF7">
        <w:rPr>
          <w:sz w:val="26"/>
          <w:szCs w:val="26"/>
        </w:rPr>
        <w:t>20</w:t>
      </w:r>
      <w:r w:rsidRPr="007D5470">
        <w:rPr>
          <w:sz w:val="26"/>
          <w:szCs w:val="26"/>
        </w:rPr>
        <w:t xml:space="preserve">, 2021, dismissing the Protest of </w:t>
      </w:r>
      <w:r>
        <w:rPr>
          <w:sz w:val="26"/>
          <w:szCs w:val="26"/>
        </w:rPr>
        <w:t>Protestant</w:t>
      </w:r>
      <w:r w:rsidRPr="007D5470">
        <w:rPr>
          <w:sz w:val="26"/>
          <w:szCs w:val="26"/>
        </w:rPr>
        <w:t xml:space="preserve"> Lachance for lack of standing. </w:t>
      </w:r>
      <w:r w:rsidR="00792D1C">
        <w:rPr>
          <w:sz w:val="26"/>
          <w:szCs w:val="26"/>
        </w:rPr>
        <w:t xml:space="preserve"> </w:t>
      </w:r>
      <w:r w:rsidRPr="007D5470">
        <w:rPr>
          <w:sz w:val="26"/>
          <w:szCs w:val="26"/>
        </w:rPr>
        <w:t xml:space="preserve">Aqua and the Township had opposed </w:t>
      </w:r>
      <w:r w:rsidR="00792D1C">
        <w:rPr>
          <w:sz w:val="26"/>
          <w:szCs w:val="26"/>
        </w:rPr>
        <w:t>Protestant</w:t>
      </w:r>
      <w:r w:rsidRPr="007D5470">
        <w:rPr>
          <w:sz w:val="26"/>
          <w:szCs w:val="26"/>
        </w:rPr>
        <w:t xml:space="preserve"> Lachance’s participation in the proceeding</w:t>
      </w:r>
      <w:r w:rsidR="00622556">
        <w:rPr>
          <w:sz w:val="26"/>
          <w:szCs w:val="26"/>
        </w:rPr>
        <w:t>, filing preliminary objections</w:t>
      </w:r>
      <w:r w:rsidR="00605DDD">
        <w:rPr>
          <w:sz w:val="26"/>
          <w:szCs w:val="26"/>
        </w:rPr>
        <w:t xml:space="preserve"> seeking dismissal of the protest on September 8, 2021 and September 10, 2021, respectively.</w:t>
      </w:r>
    </w:p>
  </w:footnote>
  <w:footnote w:id="5">
    <w:p w14:paraId="1650672A" w14:textId="584C6A7A" w:rsidR="004A0740" w:rsidRPr="00EF6040" w:rsidRDefault="004A0740" w:rsidP="0082628D">
      <w:pPr>
        <w:pStyle w:val="FootnoteText"/>
        <w:keepNext/>
        <w:keepLines/>
        <w:spacing w:after="120"/>
        <w:ind w:firstLine="720"/>
        <w:rPr>
          <w:sz w:val="26"/>
          <w:szCs w:val="26"/>
        </w:rPr>
      </w:pPr>
      <w:r w:rsidRPr="004A0740">
        <w:rPr>
          <w:rStyle w:val="FootnoteReference"/>
          <w:sz w:val="26"/>
          <w:szCs w:val="26"/>
        </w:rPr>
        <w:footnoteRef/>
      </w:r>
      <w:r w:rsidRPr="004A0740">
        <w:rPr>
          <w:sz w:val="26"/>
          <w:szCs w:val="26"/>
        </w:rPr>
        <w:t xml:space="preserve"> </w:t>
      </w:r>
      <w:r w:rsidRPr="004A0740">
        <w:rPr>
          <w:sz w:val="26"/>
          <w:szCs w:val="26"/>
        </w:rPr>
        <w:tab/>
        <w:t xml:space="preserve">Aqua included the direct testimony of William C. Packer, Mark J. Bubel, Sr., Kurt M. Ferguson, Harold Walker, III, and Jerome C. Weinert as </w:t>
      </w:r>
      <w:r>
        <w:rPr>
          <w:sz w:val="26"/>
          <w:szCs w:val="26"/>
        </w:rPr>
        <w:t xml:space="preserve">Aqua </w:t>
      </w:r>
      <w:r w:rsidRPr="004A0740">
        <w:rPr>
          <w:sz w:val="26"/>
          <w:szCs w:val="26"/>
        </w:rPr>
        <w:t xml:space="preserve">Exhibits U, </w:t>
      </w:r>
      <w:r w:rsidRPr="00EF6040">
        <w:rPr>
          <w:sz w:val="26"/>
          <w:szCs w:val="26"/>
        </w:rPr>
        <w:t>V, W, X</w:t>
      </w:r>
      <w:r w:rsidR="0031096D">
        <w:rPr>
          <w:sz w:val="26"/>
          <w:szCs w:val="26"/>
        </w:rPr>
        <w:t xml:space="preserve">, </w:t>
      </w:r>
      <w:r w:rsidRPr="00EF6040">
        <w:rPr>
          <w:sz w:val="26"/>
          <w:szCs w:val="26"/>
        </w:rPr>
        <w:t>and Y, respectively, to its Application filed May 14, 2021.</w:t>
      </w:r>
    </w:p>
  </w:footnote>
  <w:footnote w:id="6">
    <w:p w14:paraId="7E896198" w14:textId="3A31FE19" w:rsidR="00EF6040" w:rsidRDefault="00EF6040" w:rsidP="00F5649B">
      <w:pPr>
        <w:pStyle w:val="FootnoteText"/>
        <w:keepNext/>
        <w:keepLines/>
        <w:spacing w:after="120"/>
        <w:ind w:firstLine="720"/>
      </w:pPr>
      <w:r w:rsidRPr="00EF6040">
        <w:rPr>
          <w:rStyle w:val="FootnoteReference"/>
          <w:sz w:val="26"/>
          <w:szCs w:val="26"/>
        </w:rPr>
        <w:footnoteRef/>
      </w:r>
      <w:r w:rsidRPr="00EF6040">
        <w:rPr>
          <w:sz w:val="26"/>
          <w:szCs w:val="26"/>
        </w:rPr>
        <w:t xml:space="preserve"> </w:t>
      </w:r>
      <w:r w:rsidRPr="00EF6040">
        <w:rPr>
          <w:sz w:val="26"/>
          <w:szCs w:val="26"/>
        </w:rPr>
        <w:tab/>
        <w:t>Protestant Summers elected to withdraw his written direct and surrebuttal testimonies served on September 10, 2021 and September 22, 2021, respectively</w:t>
      </w:r>
      <w:r>
        <w:rPr>
          <w:sz w:val="26"/>
          <w:szCs w:val="26"/>
        </w:rPr>
        <w:t>.  R.D.</w:t>
      </w:r>
      <w:r w:rsidR="0031096D">
        <w:rPr>
          <w:sz w:val="26"/>
          <w:szCs w:val="26"/>
        </w:rPr>
        <w:t> </w:t>
      </w:r>
      <w:r>
        <w:rPr>
          <w:sz w:val="26"/>
          <w:szCs w:val="26"/>
        </w:rPr>
        <w:t>at</w:t>
      </w:r>
      <w:r w:rsidR="0031096D">
        <w:rPr>
          <w:sz w:val="26"/>
          <w:szCs w:val="26"/>
        </w:rPr>
        <w:t> </w:t>
      </w:r>
      <w:r>
        <w:rPr>
          <w:sz w:val="26"/>
          <w:szCs w:val="26"/>
        </w:rPr>
        <w:t>6.</w:t>
      </w:r>
      <w:r w:rsidR="00BB6D32">
        <w:rPr>
          <w:sz w:val="26"/>
          <w:szCs w:val="26"/>
        </w:rPr>
        <w:t xml:space="preserve">  Additionally, on September 23, 2021,</w:t>
      </w:r>
      <w:r w:rsidR="00DA74B7">
        <w:rPr>
          <w:sz w:val="26"/>
          <w:szCs w:val="26"/>
        </w:rPr>
        <w:t xml:space="preserve"> an Interim Order was entered granting the Motion of Aqua to strike the written testimony of Protestant Lachance</w:t>
      </w:r>
      <w:r w:rsidR="0054748C">
        <w:rPr>
          <w:sz w:val="26"/>
          <w:szCs w:val="26"/>
        </w:rPr>
        <w:t xml:space="preserve">.  R.D. at 5. </w:t>
      </w:r>
    </w:p>
  </w:footnote>
  <w:footnote w:id="7">
    <w:p w14:paraId="029EFCB7" w14:textId="7407AC73" w:rsidR="00787DFB" w:rsidRPr="00813FD1" w:rsidRDefault="00787DFB" w:rsidP="0031096D">
      <w:pPr>
        <w:pStyle w:val="FootnoteText"/>
        <w:keepNext/>
        <w:keepLines/>
        <w:ind w:firstLine="720"/>
        <w:rPr>
          <w:sz w:val="26"/>
          <w:szCs w:val="26"/>
        </w:rPr>
      </w:pPr>
      <w:r w:rsidRPr="00787DFB">
        <w:rPr>
          <w:rStyle w:val="FootnoteReference"/>
          <w:sz w:val="26"/>
          <w:szCs w:val="26"/>
        </w:rPr>
        <w:footnoteRef/>
      </w:r>
      <w:r w:rsidRPr="00787DFB">
        <w:rPr>
          <w:sz w:val="26"/>
          <w:szCs w:val="26"/>
        </w:rPr>
        <w:t xml:space="preserve"> </w:t>
      </w:r>
      <w:r w:rsidRPr="00787DFB">
        <w:rPr>
          <w:sz w:val="26"/>
          <w:szCs w:val="26"/>
        </w:rPr>
        <w:tab/>
        <w:t xml:space="preserve">Prior to the start of the hearing on September 29, 2021, Aqua, I&amp;E, </w:t>
      </w:r>
      <w:r w:rsidR="00A761C3">
        <w:rPr>
          <w:sz w:val="26"/>
          <w:szCs w:val="26"/>
        </w:rPr>
        <w:t xml:space="preserve">the </w:t>
      </w:r>
      <w:r w:rsidRPr="00787DFB">
        <w:rPr>
          <w:sz w:val="26"/>
          <w:szCs w:val="26"/>
        </w:rPr>
        <w:t xml:space="preserve">OCA, </w:t>
      </w:r>
      <w:r w:rsidR="00A761C3">
        <w:rPr>
          <w:sz w:val="26"/>
          <w:szCs w:val="26"/>
        </w:rPr>
        <w:t xml:space="preserve">the </w:t>
      </w:r>
      <w:r w:rsidRPr="00787DFB">
        <w:rPr>
          <w:sz w:val="26"/>
          <w:szCs w:val="26"/>
        </w:rPr>
        <w:t>OSBA, and L</w:t>
      </w:r>
      <w:r w:rsidR="00A761C3">
        <w:rPr>
          <w:sz w:val="26"/>
          <w:szCs w:val="26"/>
        </w:rPr>
        <w:t>MT</w:t>
      </w:r>
      <w:r w:rsidRPr="00787DFB">
        <w:rPr>
          <w:sz w:val="26"/>
          <w:szCs w:val="26"/>
        </w:rPr>
        <w:t xml:space="preserve"> submitted a Joint Stipulation for Admission of Testimony and Exhibits (Joint Stipulation) to </w:t>
      </w:r>
      <w:r w:rsidR="00A761C3">
        <w:rPr>
          <w:sz w:val="26"/>
          <w:szCs w:val="26"/>
        </w:rPr>
        <w:t>ALJ</w:t>
      </w:r>
      <w:r w:rsidRPr="00787DFB">
        <w:rPr>
          <w:sz w:val="26"/>
          <w:szCs w:val="26"/>
        </w:rPr>
        <w:t xml:space="preserve"> Watson providing, </w:t>
      </w:r>
      <w:r w:rsidRPr="00787DFB">
        <w:rPr>
          <w:i/>
          <w:iCs/>
          <w:sz w:val="26"/>
          <w:szCs w:val="26"/>
        </w:rPr>
        <w:t>inter alia</w:t>
      </w:r>
      <w:r w:rsidRPr="00787DFB">
        <w:rPr>
          <w:sz w:val="26"/>
          <w:szCs w:val="26"/>
        </w:rPr>
        <w:t>, for the</w:t>
      </w:r>
      <w:r>
        <w:rPr>
          <w:sz w:val="26"/>
          <w:szCs w:val="26"/>
        </w:rPr>
        <w:t xml:space="preserve"> </w:t>
      </w:r>
      <w:r w:rsidRPr="00787DFB">
        <w:rPr>
          <w:sz w:val="26"/>
          <w:szCs w:val="26"/>
        </w:rPr>
        <w:t xml:space="preserve">stipulation of written testimony and exhibits into the evidentiary record and the waiver of cross examination of each other’s written testimony. </w:t>
      </w:r>
      <w:r w:rsidR="00A761C3">
        <w:rPr>
          <w:sz w:val="26"/>
          <w:szCs w:val="26"/>
        </w:rPr>
        <w:t xml:space="preserve"> </w:t>
      </w:r>
      <w:r w:rsidR="00897821">
        <w:rPr>
          <w:sz w:val="26"/>
          <w:szCs w:val="26"/>
        </w:rPr>
        <w:t>Protestant</w:t>
      </w:r>
      <w:r w:rsidRPr="00787DFB">
        <w:rPr>
          <w:sz w:val="26"/>
          <w:szCs w:val="26"/>
        </w:rPr>
        <w:t xml:space="preserve"> Summers joined in the Joint </w:t>
      </w:r>
      <w:r w:rsidRPr="00813FD1">
        <w:rPr>
          <w:sz w:val="26"/>
          <w:szCs w:val="26"/>
        </w:rPr>
        <w:t>Stipulation during the course of the hearing.</w:t>
      </w:r>
    </w:p>
  </w:footnote>
  <w:footnote w:id="8">
    <w:p w14:paraId="64D0DEDC" w14:textId="62794F6E" w:rsidR="00813FD1" w:rsidRDefault="00813FD1" w:rsidP="000F2103">
      <w:pPr>
        <w:pStyle w:val="FootnoteText"/>
        <w:keepNext/>
        <w:keepLines/>
        <w:ind w:firstLine="720"/>
      </w:pPr>
      <w:r w:rsidRPr="00813FD1">
        <w:rPr>
          <w:rStyle w:val="FootnoteReference"/>
          <w:sz w:val="26"/>
          <w:szCs w:val="26"/>
        </w:rPr>
        <w:footnoteRef/>
      </w:r>
      <w:r w:rsidRPr="00813FD1">
        <w:rPr>
          <w:sz w:val="26"/>
          <w:szCs w:val="26"/>
        </w:rPr>
        <w:t xml:space="preserve"> </w:t>
      </w:r>
      <w:r w:rsidRPr="00813FD1">
        <w:rPr>
          <w:sz w:val="26"/>
          <w:szCs w:val="26"/>
        </w:rPr>
        <w:tab/>
        <w:t>On October 8, 2021, the Township filed a letter in support of Aqua</w:t>
      </w:r>
      <w:r>
        <w:rPr>
          <w:sz w:val="26"/>
          <w:szCs w:val="26"/>
        </w:rPr>
        <w:t>’s</w:t>
      </w:r>
      <w:r w:rsidRPr="00813FD1">
        <w:rPr>
          <w:sz w:val="26"/>
          <w:szCs w:val="26"/>
        </w:rPr>
        <w:t xml:space="preserve"> Main Brief regarding the</w:t>
      </w:r>
      <w:r>
        <w:rPr>
          <w:sz w:val="26"/>
          <w:szCs w:val="26"/>
        </w:rPr>
        <w:t xml:space="preserve"> </w:t>
      </w:r>
      <w:r w:rsidRPr="00813FD1">
        <w:rPr>
          <w:sz w:val="26"/>
          <w:szCs w:val="26"/>
        </w:rPr>
        <w:t>ratemaking rate base for the Township’s system</w:t>
      </w:r>
      <w:r>
        <w:rPr>
          <w:sz w:val="26"/>
          <w:szCs w:val="26"/>
        </w:rPr>
        <w:t>.</w:t>
      </w:r>
    </w:p>
  </w:footnote>
  <w:footnote w:id="9">
    <w:p w14:paraId="60668C1C" w14:textId="240E8367" w:rsidR="008924A4" w:rsidRPr="008A141C" w:rsidRDefault="008924A4" w:rsidP="00AA3BD5">
      <w:pPr>
        <w:keepNext/>
        <w:keepLines/>
        <w:widowControl/>
        <w:ind w:firstLine="720"/>
        <w:rPr>
          <w:sz w:val="26"/>
          <w:szCs w:val="26"/>
        </w:rPr>
      </w:pPr>
      <w:r w:rsidRPr="008A141C">
        <w:rPr>
          <w:rStyle w:val="FootnoteReference"/>
          <w:sz w:val="26"/>
          <w:szCs w:val="26"/>
        </w:rPr>
        <w:footnoteRef/>
      </w:r>
      <w:r w:rsidRPr="008A141C">
        <w:rPr>
          <w:sz w:val="26"/>
          <w:szCs w:val="26"/>
        </w:rPr>
        <w:t xml:space="preserve"> </w:t>
      </w:r>
      <w:r w:rsidRPr="008A141C">
        <w:rPr>
          <w:sz w:val="26"/>
          <w:szCs w:val="26"/>
        </w:rPr>
        <w:tab/>
        <w:t xml:space="preserve">Governor Wolf signed into law Act 12 of 2016 </w:t>
      </w:r>
      <w:r>
        <w:rPr>
          <w:sz w:val="26"/>
          <w:szCs w:val="26"/>
        </w:rPr>
        <w:t xml:space="preserve">(Act 12) </w:t>
      </w:r>
      <w:r w:rsidRPr="008A141C">
        <w:rPr>
          <w:sz w:val="26"/>
          <w:szCs w:val="26"/>
        </w:rPr>
        <w:t xml:space="preserve">on April 14, 2016. </w:t>
      </w:r>
      <w:r>
        <w:rPr>
          <w:sz w:val="26"/>
          <w:szCs w:val="26"/>
        </w:rPr>
        <w:t xml:space="preserve"> </w:t>
      </w:r>
      <w:r w:rsidRPr="008A141C">
        <w:rPr>
          <w:sz w:val="26"/>
          <w:szCs w:val="26"/>
        </w:rPr>
        <w:t>This Act amended Chapter 13 of the Code by adding a new section, Section 1329, which became effective on June 13, 201</w:t>
      </w:r>
      <w:r>
        <w:rPr>
          <w:sz w:val="26"/>
          <w:szCs w:val="26"/>
        </w:rPr>
        <w:t>6</w:t>
      </w:r>
      <w:r w:rsidRPr="008A141C">
        <w:rPr>
          <w:sz w:val="26"/>
          <w:szCs w:val="26"/>
        </w:rPr>
        <w:t xml:space="preserve">. </w:t>
      </w:r>
      <w:r>
        <w:rPr>
          <w:sz w:val="26"/>
          <w:szCs w:val="26"/>
        </w:rPr>
        <w:t xml:space="preserve"> </w:t>
      </w:r>
      <w:r w:rsidRPr="008A141C">
        <w:rPr>
          <w:sz w:val="26"/>
          <w:szCs w:val="26"/>
        </w:rPr>
        <w:t>66 Pa.</w:t>
      </w:r>
      <w:r>
        <w:rPr>
          <w:sz w:val="26"/>
          <w:szCs w:val="26"/>
        </w:rPr>
        <w:t xml:space="preserve"> </w:t>
      </w:r>
      <w:r w:rsidRPr="008A141C">
        <w:rPr>
          <w:sz w:val="26"/>
          <w:szCs w:val="26"/>
        </w:rPr>
        <w:t>C.S. § 1329.</w:t>
      </w:r>
    </w:p>
  </w:footnote>
  <w:footnote w:id="10">
    <w:p w14:paraId="38845190" w14:textId="70E24760" w:rsidR="00950AF2" w:rsidRPr="00950AF2" w:rsidRDefault="00950AF2" w:rsidP="00AA3BD5">
      <w:pPr>
        <w:pStyle w:val="FootnoteText"/>
        <w:keepNext/>
        <w:keepLines/>
        <w:ind w:firstLine="720"/>
        <w:rPr>
          <w:sz w:val="26"/>
          <w:szCs w:val="26"/>
        </w:rPr>
      </w:pPr>
      <w:r w:rsidRPr="00950AF2">
        <w:rPr>
          <w:rStyle w:val="FootnoteReference"/>
          <w:sz w:val="26"/>
          <w:szCs w:val="26"/>
        </w:rPr>
        <w:footnoteRef/>
      </w:r>
      <w:r w:rsidRPr="00950AF2">
        <w:rPr>
          <w:sz w:val="26"/>
          <w:szCs w:val="26"/>
        </w:rPr>
        <w:t xml:space="preserve"> </w:t>
      </w:r>
      <w:r w:rsidRPr="00950AF2">
        <w:rPr>
          <w:sz w:val="26"/>
          <w:szCs w:val="26"/>
        </w:rPr>
        <w:tab/>
        <w:t xml:space="preserve">All assets are located in the Township except for a portion of a main that collects wastewater from a small segment of residents in Yardley Borough.  The main is located on University Blvd. and is owned by LMT which loops into, then out of, Yardley Borough.  The residents in Yardley Borough that are connected to </w:t>
      </w:r>
      <w:r w:rsidR="00364A8C">
        <w:rPr>
          <w:sz w:val="26"/>
          <w:szCs w:val="26"/>
        </w:rPr>
        <w:t>t</w:t>
      </w:r>
      <w:r w:rsidRPr="00950AF2">
        <w:rPr>
          <w:sz w:val="26"/>
          <w:szCs w:val="26"/>
        </w:rPr>
        <w:t>his main are billed by Yardley Borough.  Application at 3.</w:t>
      </w:r>
    </w:p>
  </w:footnote>
  <w:footnote w:id="11">
    <w:p w14:paraId="678B816F" w14:textId="77777777" w:rsidR="00C62B40" w:rsidRPr="008B5B5B" w:rsidRDefault="00C62B40" w:rsidP="00AA3BD5">
      <w:pPr>
        <w:pStyle w:val="FootnoteText"/>
        <w:keepNext/>
        <w:keepLines/>
        <w:ind w:firstLine="720"/>
        <w:contextualSpacing/>
        <w:rPr>
          <w:sz w:val="26"/>
          <w:szCs w:val="26"/>
        </w:rPr>
      </w:pPr>
      <w:r w:rsidRPr="008B5B5B">
        <w:rPr>
          <w:rStyle w:val="FootnoteReference"/>
          <w:sz w:val="26"/>
          <w:szCs w:val="26"/>
        </w:rPr>
        <w:footnoteRef/>
      </w:r>
      <w:r w:rsidRPr="008B5B5B">
        <w:rPr>
          <w:sz w:val="26"/>
          <w:szCs w:val="26"/>
        </w:rPr>
        <w:tab/>
        <w:t>The OCA does not join in this Subparagraph A(2) but does not oppose Aqua’s request.</w:t>
      </w:r>
    </w:p>
  </w:footnote>
  <w:footnote w:id="12">
    <w:p w14:paraId="5149F4F5" w14:textId="21EBFB10" w:rsidR="00C62B40" w:rsidRPr="003D598F" w:rsidRDefault="00C62B40" w:rsidP="00455CC3">
      <w:pPr>
        <w:pStyle w:val="FootnoteText"/>
        <w:keepNext/>
        <w:keepLines/>
        <w:ind w:firstLine="720"/>
        <w:rPr>
          <w:sz w:val="26"/>
          <w:szCs w:val="26"/>
        </w:rPr>
      </w:pPr>
      <w:r w:rsidRPr="003D598F">
        <w:rPr>
          <w:rStyle w:val="FootnoteReference"/>
          <w:sz w:val="26"/>
          <w:szCs w:val="26"/>
        </w:rPr>
        <w:footnoteRef/>
      </w:r>
      <w:r w:rsidRPr="003D598F">
        <w:rPr>
          <w:sz w:val="26"/>
          <w:szCs w:val="26"/>
        </w:rPr>
        <w:t xml:space="preserve"> </w:t>
      </w:r>
      <w:r w:rsidRPr="003D598F">
        <w:rPr>
          <w:sz w:val="26"/>
          <w:szCs w:val="26"/>
        </w:rPr>
        <w:tab/>
        <w:t xml:space="preserve">The ALJ also provides a detailed summary of the </w:t>
      </w:r>
      <w:r>
        <w:rPr>
          <w:sz w:val="26"/>
          <w:szCs w:val="26"/>
        </w:rPr>
        <w:t>Joint Petitioners</w:t>
      </w:r>
      <w:r w:rsidRPr="003D598F">
        <w:rPr>
          <w:sz w:val="26"/>
          <w:szCs w:val="26"/>
        </w:rPr>
        <w:t>’</w:t>
      </w:r>
      <w:r w:rsidR="00871104">
        <w:rPr>
          <w:sz w:val="26"/>
          <w:szCs w:val="26"/>
        </w:rPr>
        <w:t xml:space="preserve"> </w:t>
      </w:r>
      <w:r w:rsidRPr="003D598F">
        <w:rPr>
          <w:sz w:val="26"/>
          <w:szCs w:val="26"/>
        </w:rPr>
        <w:t xml:space="preserve">positions on each of the essential Settlement terms as set forth in their respective Statements in Support.  </w:t>
      </w:r>
      <w:r w:rsidRPr="003D598F">
        <w:rPr>
          <w:i/>
          <w:iCs/>
          <w:sz w:val="26"/>
          <w:szCs w:val="26"/>
        </w:rPr>
        <w:t xml:space="preserve">See </w:t>
      </w:r>
      <w:r>
        <w:rPr>
          <w:sz w:val="26"/>
          <w:szCs w:val="26"/>
        </w:rPr>
        <w:t>R.D. at 22-47.</w:t>
      </w:r>
      <w:r w:rsidRPr="003D598F">
        <w:rPr>
          <w:sz w:val="26"/>
          <w:szCs w:val="26"/>
        </w:rPr>
        <w:t xml:space="preserve"> </w:t>
      </w:r>
    </w:p>
  </w:footnote>
  <w:footnote w:id="13">
    <w:p w14:paraId="3D45C983" w14:textId="71A1FD83" w:rsidR="0092596A" w:rsidRPr="00043BE0" w:rsidRDefault="0092596A" w:rsidP="00043BE0">
      <w:pPr>
        <w:ind w:firstLine="720"/>
        <w:rPr>
          <w:sz w:val="26"/>
          <w:szCs w:val="26"/>
        </w:rPr>
      </w:pPr>
      <w:r w:rsidRPr="0092596A">
        <w:rPr>
          <w:rStyle w:val="FootnoteReference"/>
          <w:sz w:val="26"/>
          <w:szCs w:val="26"/>
        </w:rPr>
        <w:footnoteRef/>
      </w:r>
      <w:r w:rsidRPr="0092596A">
        <w:rPr>
          <w:sz w:val="26"/>
          <w:szCs w:val="26"/>
        </w:rPr>
        <w:t xml:space="preserve"> </w:t>
      </w:r>
      <w:r>
        <w:rPr>
          <w:sz w:val="26"/>
          <w:szCs w:val="26"/>
        </w:rPr>
        <w:tab/>
        <w:t xml:space="preserve">We note that </w:t>
      </w:r>
      <w:r w:rsidRPr="0092596A">
        <w:rPr>
          <w:sz w:val="26"/>
          <w:szCs w:val="26"/>
        </w:rPr>
        <w:t xml:space="preserve">the Parties appear to have </w:t>
      </w:r>
      <w:r>
        <w:rPr>
          <w:sz w:val="26"/>
          <w:szCs w:val="26"/>
        </w:rPr>
        <w:t xml:space="preserve">inadvertently </w:t>
      </w:r>
      <w:r w:rsidRPr="0092596A">
        <w:rPr>
          <w:sz w:val="26"/>
          <w:szCs w:val="26"/>
        </w:rPr>
        <w:t>exclud</w:t>
      </w:r>
      <w:r>
        <w:rPr>
          <w:sz w:val="26"/>
          <w:szCs w:val="26"/>
        </w:rPr>
        <w:t>ed</w:t>
      </w:r>
      <w:r w:rsidRPr="0092596A">
        <w:rPr>
          <w:sz w:val="26"/>
          <w:szCs w:val="26"/>
        </w:rPr>
        <w:t xml:space="preserve"> </w:t>
      </w:r>
      <w:r w:rsidR="00293234">
        <w:rPr>
          <w:sz w:val="26"/>
          <w:szCs w:val="26"/>
        </w:rPr>
        <w:t xml:space="preserve">Exhibit F18: </w:t>
      </w:r>
      <w:r w:rsidR="00293234" w:rsidRPr="00293234">
        <w:rPr>
          <w:sz w:val="26"/>
          <w:szCs w:val="26"/>
        </w:rPr>
        <w:t xml:space="preserve">Water Service Termination Agreement, </w:t>
      </w:r>
      <w:r w:rsidR="00293234">
        <w:rPr>
          <w:sz w:val="26"/>
          <w:szCs w:val="26"/>
        </w:rPr>
        <w:t>by</w:t>
      </w:r>
      <w:r w:rsidR="00293234" w:rsidRPr="00293234">
        <w:rPr>
          <w:sz w:val="26"/>
          <w:szCs w:val="26"/>
        </w:rPr>
        <w:t xml:space="preserve"> and between Lower Makefield Township and the Municipal Authority of the Borough of Morrisville, </w:t>
      </w:r>
      <w:r w:rsidRPr="0092596A">
        <w:rPr>
          <w:sz w:val="26"/>
          <w:szCs w:val="26"/>
        </w:rPr>
        <w:t>from the Settlement and the Proposed Ordering Paragraphs.  The ALJ u</w:t>
      </w:r>
      <w:r>
        <w:rPr>
          <w:sz w:val="26"/>
          <w:szCs w:val="26"/>
        </w:rPr>
        <w:t>tilized</w:t>
      </w:r>
      <w:r w:rsidRPr="0092596A">
        <w:rPr>
          <w:sz w:val="26"/>
          <w:szCs w:val="26"/>
        </w:rPr>
        <w:t xml:space="preserve"> the </w:t>
      </w:r>
      <w:r w:rsidR="00482AE0">
        <w:rPr>
          <w:sz w:val="26"/>
          <w:szCs w:val="26"/>
        </w:rPr>
        <w:t>P</w:t>
      </w:r>
      <w:r w:rsidRPr="0092596A">
        <w:rPr>
          <w:sz w:val="26"/>
          <w:szCs w:val="26"/>
        </w:rPr>
        <w:t xml:space="preserve">roposed Ordering Paragraphs and thus also excluded </w:t>
      </w:r>
      <w:r w:rsidR="00293234">
        <w:rPr>
          <w:sz w:val="26"/>
          <w:szCs w:val="26"/>
        </w:rPr>
        <w:t xml:space="preserve">Exhibit </w:t>
      </w:r>
      <w:r w:rsidRPr="0092596A">
        <w:rPr>
          <w:sz w:val="26"/>
          <w:szCs w:val="26"/>
        </w:rPr>
        <w:t>F-18 from the O</w:t>
      </w:r>
      <w:r>
        <w:rPr>
          <w:sz w:val="26"/>
          <w:szCs w:val="26"/>
        </w:rPr>
        <w:t xml:space="preserve">rdering </w:t>
      </w:r>
      <w:r w:rsidRPr="0092596A">
        <w:rPr>
          <w:sz w:val="26"/>
          <w:szCs w:val="26"/>
        </w:rPr>
        <w:t>P</w:t>
      </w:r>
      <w:r>
        <w:rPr>
          <w:sz w:val="26"/>
          <w:szCs w:val="26"/>
        </w:rPr>
        <w:t>aragraph</w:t>
      </w:r>
      <w:r w:rsidRPr="0092596A">
        <w:rPr>
          <w:sz w:val="26"/>
          <w:szCs w:val="26"/>
        </w:rPr>
        <w:t>s in the R</w:t>
      </w:r>
      <w:r>
        <w:rPr>
          <w:sz w:val="26"/>
          <w:szCs w:val="26"/>
        </w:rPr>
        <w:t>ecommended Decision</w:t>
      </w:r>
      <w:r w:rsidRPr="0092596A">
        <w:rPr>
          <w:sz w:val="26"/>
          <w:szCs w:val="26"/>
        </w:rPr>
        <w:t xml:space="preserve">.  Although the Parties did not </w:t>
      </w:r>
      <w:r w:rsidR="00482AE0">
        <w:rPr>
          <w:sz w:val="26"/>
          <w:szCs w:val="26"/>
        </w:rPr>
        <w:t xml:space="preserve">note </w:t>
      </w:r>
      <w:r w:rsidRPr="0092596A">
        <w:rPr>
          <w:sz w:val="26"/>
          <w:szCs w:val="26"/>
        </w:rPr>
        <w:t>this apparent error in the R</w:t>
      </w:r>
      <w:r w:rsidR="00482AE0">
        <w:rPr>
          <w:sz w:val="26"/>
          <w:szCs w:val="26"/>
        </w:rPr>
        <w:t xml:space="preserve">ecommended </w:t>
      </w:r>
      <w:r w:rsidRPr="0092596A">
        <w:rPr>
          <w:sz w:val="26"/>
          <w:szCs w:val="26"/>
        </w:rPr>
        <w:t>D</w:t>
      </w:r>
      <w:r w:rsidR="00482AE0">
        <w:rPr>
          <w:sz w:val="26"/>
          <w:szCs w:val="26"/>
        </w:rPr>
        <w:t>ecision</w:t>
      </w:r>
      <w:r w:rsidRPr="0092596A">
        <w:rPr>
          <w:sz w:val="26"/>
          <w:szCs w:val="26"/>
        </w:rPr>
        <w:t xml:space="preserve">, it is clear that the Agreement (Aqua Exh. No. 1 with Exhibits A through AA2, and thus including F-18) were admitted into the evidentiary record.  </w:t>
      </w:r>
      <w:r w:rsidR="00482AE0">
        <w:rPr>
          <w:sz w:val="26"/>
          <w:szCs w:val="26"/>
        </w:rPr>
        <w:t xml:space="preserve">We have included </w:t>
      </w:r>
      <w:r w:rsidR="00293234">
        <w:rPr>
          <w:sz w:val="26"/>
          <w:szCs w:val="26"/>
        </w:rPr>
        <w:t xml:space="preserve">Exhibit </w:t>
      </w:r>
      <w:r w:rsidR="00482AE0">
        <w:rPr>
          <w:sz w:val="26"/>
          <w:szCs w:val="26"/>
        </w:rPr>
        <w:t xml:space="preserve">F-18 in Ordering Paragraph No. 10 </w:t>
      </w:r>
      <w:r w:rsidR="00482AE0" w:rsidRPr="00482AE0">
        <w:rPr>
          <w:i/>
          <w:iCs/>
          <w:sz w:val="26"/>
          <w:szCs w:val="26"/>
        </w:rPr>
        <w:t>infra.</w:t>
      </w:r>
      <w:r w:rsidR="00482AE0">
        <w:rPr>
          <w:sz w:val="26"/>
          <w:szCs w:val="26"/>
        </w:rPr>
        <w:t xml:space="preserve">  </w:t>
      </w:r>
      <w:r w:rsidRPr="0092596A">
        <w:rPr>
          <w:sz w:val="26"/>
          <w:szCs w:val="26"/>
        </w:rPr>
        <w:t xml:space="preserve">See Tr. at 161.  </w:t>
      </w:r>
    </w:p>
  </w:footnote>
  <w:footnote w:id="14">
    <w:p w14:paraId="7EF4768A" w14:textId="2FACE73D" w:rsidR="00D96166" w:rsidRPr="00F5649B" w:rsidRDefault="00D96166" w:rsidP="00043BE0">
      <w:pPr>
        <w:pStyle w:val="FootnoteText"/>
        <w:keepNext/>
        <w:keepLines/>
        <w:ind w:firstLine="720"/>
        <w:rPr>
          <w:sz w:val="26"/>
          <w:szCs w:val="26"/>
        </w:rPr>
      </w:pPr>
      <w:r w:rsidRPr="00F5649B">
        <w:rPr>
          <w:rStyle w:val="FootnoteReference"/>
          <w:sz w:val="26"/>
          <w:szCs w:val="26"/>
        </w:rPr>
        <w:footnoteRef/>
      </w:r>
      <w:r w:rsidRPr="00F5649B">
        <w:rPr>
          <w:sz w:val="26"/>
          <w:szCs w:val="26"/>
        </w:rPr>
        <w:t xml:space="preserve"> </w:t>
      </w:r>
      <w:r w:rsidRPr="00F5649B">
        <w:rPr>
          <w:sz w:val="26"/>
          <w:szCs w:val="26"/>
        </w:rPr>
        <w:tab/>
      </w:r>
      <w:bookmarkStart w:id="47" w:name="_Hlk90556263"/>
      <w:r w:rsidRPr="00F5649B">
        <w:rPr>
          <w:sz w:val="26"/>
          <w:szCs w:val="26"/>
        </w:rPr>
        <w:t xml:space="preserve">It should be noted that, while no Party disagreed that challenges to appraisals are permissible, </w:t>
      </w:r>
      <w:r w:rsidR="00F5649B" w:rsidRPr="00F5649B">
        <w:rPr>
          <w:sz w:val="26"/>
          <w:szCs w:val="26"/>
        </w:rPr>
        <w:t>Aqua’s Exception No. 5,</w:t>
      </w:r>
      <w:r w:rsidR="00F5649B">
        <w:rPr>
          <w:sz w:val="26"/>
          <w:szCs w:val="26"/>
        </w:rPr>
        <w:t xml:space="preserve"> discussed</w:t>
      </w:r>
      <w:r w:rsidR="00F5649B" w:rsidRPr="00F5649B">
        <w:rPr>
          <w:sz w:val="26"/>
          <w:szCs w:val="26"/>
        </w:rPr>
        <w:t xml:space="preserve"> </w:t>
      </w:r>
      <w:r w:rsidR="00F5649B" w:rsidRPr="00F5649B">
        <w:rPr>
          <w:i/>
          <w:sz w:val="26"/>
          <w:szCs w:val="26"/>
        </w:rPr>
        <w:t>infra</w:t>
      </w:r>
      <w:r w:rsidR="00F5649B" w:rsidRPr="00F5649B">
        <w:rPr>
          <w:sz w:val="26"/>
          <w:szCs w:val="26"/>
        </w:rPr>
        <w:t>, contends that the Commission’s review is constrained to compliance with USPAP.</w:t>
      </w:r>
      <w:bookmarkEnd w:id="47"/>
      <w:r w:rsidR="004326B3">
        <w:rPr>
          <w:sz w:val="26"/>
          <w:szCs w:val="26"/>
        </w:rPr>
        <w:t xml:space="preserve">  </w:t>
      </w:r>
      <w:r w:rsidR="004326B3" w:rsidRPr="004326B3">
        <w:rPr>
          <w:i/>
          <w:iCs/>
          <w:sz w:val="26"/>
          <w:szCs w:val="26"/>
        </w:rPr>
        <w:t>See</w:t>
      </w:r>
      <w:r w:rsidR="004326B3">
        <w:rPr>
          <w:sz w:val="26"/>
          <w:szCs w:val="26"/>
        </w:rPr>
        <w:t xml:space="preserve"> Aqua Exc. at</w:t>
      </w:r>
      <w:r w:rsidR="00070FED">
        <w:rPr>
          <w:sz w:val="26"/>
          <w:szCs w:val="26"/>
        </w:rPr>
        <w:t> </w:t>
      </w:r>
      <w:r w:rsidR="004326B3">
        <w:rPr>
          <w:sz w:val="26"/>
          <w:szCs w:val="26"/>
        </w:rPr>
        <w:t>22</w:t>
      </w:r>
      <w:r w:rsidR="00070FED">
        <w:rPr>
          <w:sz w:val="26"/>
          <w:szCs w:val="26"/>
        </w:rPr>
        <w:noBreakHyphen/>
      </w:r>
      <w:r w:rsidR="004326B3">
        <w:rPr>
          <w:sz w:val="26"/>
          <w:szCs w:val="26"/>
        </w:rPr>
        <w:t>23.</w:t>
      </w:r>
    </w:p>
  </w:footnote>
  <w:footnote w:id="15">
    <w:p w14:paraId="1014966E" w14:textId="3DF53982" w:rsidR="00B4158D" w:rsidRPr="00B4158D" w:rsidRDefault="00B4158D" w:rsidP="00070FED">
      <w:pPr>
        <w:keepNext/>
        <w:keepLines/>
        <w:widowControl/>
        <w:autoSpaceDE w:val="0"/>
        <w:autoSpaceDN w:val="0"/>
        <w:adjustRightInd w:val="0"/>
        <w:ind w:firstLine="720"/>
        <w:rPr>
          <w:sz w:val="26"/>
          <w:szCs w:val="26"/>
        </w:rPr>
      </w:pPr>
      <w:r w:rsidRPr="00B4158D">
        <w:rPr>
          <w:rStyle w:val="FootnoteReference"/>
          <w:sz w:val="26"/>
          <w:szCs w:val="26"/>
        </w:rPr>
        <w:footnoteRef/>
      </w:r>
      <w:r w:rsidRPr="00B4158D">
        <w:rPr>
          <w:sz w:val="26"/>
          <w:szCs w:val="26"/>
        </w:rPr>
        <w:t xml:space="preserve"> </w:t>
      </w:r>
      <w:r>
        <w:rPr>
          <w:sz w:val="26"/>
          <w:szCs w:val="26"/>
        </w:rPr>
        <w:tab/>
      </w:r>
      <w:r w:rsidRPr="00B4158D">
        <w:rPr>
          <w:sz w:val="26"/>
          <w:szCs w:val="26"/>
        </w:rPr>
        <w:t xml:space="preserve">In </w:t>
      </w:r>
      <w:r w:rsidR="007009E7">
        <w:rPr>
          <w:sz w:val="26"/>
          <w:szCs w:val="26"/>
        </w:rPr>
        <w:t xml:space="preserve">preparation of their </w:t>
      </w:r>
      <w:r w:rsidR="0083263F">
        <w:rPr>
          <w:sz w:val="26"/>
          <w:szCs w:val="26"/>
        </w:rPr>
        <w:t>FMV</w:t>
      </w:r>
      <w:r w:rsidR="007009E7">
        <w:rPr>
          <w:sz w:val="26"/>
          <w:szCs w:val="26"/>
        </w:rPr>
        <w:t xml:space="preserve"> estimates</w:t>
      </w:r>
      <w:r w:rsidR="00491946">
        <w:rPr>
          <w:sz w:val="26"/>
          <w:szCs w:val="26"/>
        </w:rPr>
        <w:t>, specifically in the cost approach,</w:t>
      </w:r>
      <w:r w:rsidR="007009E7">
        <w:rPr>
          <w:sz w:val="26"/>
          <w:szCs w:val="26"/>
        </w:rPr>
        <w:t xml:space="preserve"> Gannett Fleming and</w:t>
      </w:r>
      <w:r w:rsidRPr="00B4158D">
        <w:rPr>
          <w:sz w:val="26"/>
          <w:szCs w:val="26"/>
        </w:rPr>
        <w:t xml:space="preserve"> </w:t>
      </w:r>
      <w:r>
        <w:rPr>
          <w:sz w:val="26"/>
          <w:szCs w:val="26"/>
        </w:rPr>
        <w:t xml:space="preserve">AUS </w:t>
      </w:r>
      <w:r w:rsidR="004433D8">
        <w:rPr>
          <w:sz w:val="26"/>
          <w:szCs w:val="26"/>
        </w:rPr>
        <w:t xml:space="preserve">utilized the </w:t>
      </w:r>
      <w:r w:rsidR="00B44A69" w:rsidRPr="00B44A69">
        <w:rPr>
          <w:bCs/>
          <w:sz w:val="26"/>
          <w:szCs w:val="26"/>
        </w:rPr>
        <w:t>Assessment of Tangible Property</w:t>
      </w:r>
      <w:r w:rsidR="00B44A69" w:rsidRPr="00B44A69">
        <w:rPr>
          <w:sz w:val="26"/>
          <w:szCs w:val="26"/>
        </w:rPr>
        <w:t xml:space="preserve"> </w:t>
      </w:r>
      <w:r w:rsidRPr="00B4158D">
        <w:rPr>
          <w:sz w:val="26"/>
          <w:szCs w:val="26"/>
        </w:rPr>
        <w:t>p</w:t>
      </w:r>
      <w:r w:rsidR="004433D8">
        <w:rPr>
          <w:sz w:val="26"/>
          <w:szCs w:val="26"/>
        </w:rPr>
        <w:t>rovided</w:t>
      </w:r>
      <w:r w:rsidRPr="00B4158D">
        <w:rPr>
          <w:bCs/>
          <w:sz w:val="26"/>
          <w:szCs w:val="26"/>
        </w:rPr>
        <w:t xml:space="preserve"> </w:t>
      </w:r>
      <w:r>
        <w:rPr>
          <w:bCs/>
          <w:sz w:val="26"/>
          <w:szCs w:val="26"/>
        </w:rPr>
        <w:t>by Ebert</w:t>
      </w:r>
      <w:r w:rsidRPr="00B4158D">
        <w:rPr>
          <w:sz w:val="26"/>
          <w:szCs w:val="26"/>
        </w:rPr>
        <w:t>.</w:t>
      </w:r>
      <w:r w:rsidR="004130F2">
        <w:rPr>
          <w:sz w:val="26"/>
          <w:szCs w:val="26"/>
        </w:rPr>
        <w:t xml:space="preserve">  Aqua St. 4 at 16; </w:t>
      </w:r>
      <w:r w:rsidR="00AC3061">
        <w:rPr>
          <w:sz w:val="26"/>
          <w:szCs w:val="26"/>
        </w:rPr>
        <w:t>Application</w:t>
      </w:r>
      <w:r w:rsidR="00491946">
        <w:rPr>
          <w:sz w:val="26"/>
          <w:szCs w:val="26"/>
        </w:rPr>
        <w:t xml:space="preserve"> Exh. R, Narrative Report at 2.</w:t>
      </w:r>
    </w:p>
  </w:footnote>
  <w:footnote w:id="16">
    <w:p w14:paraId="2B3C6CE9" w14:textId="38AE2D14" w:rsidR="00755B26" w:rsidRPr="00101D7D" w:rsidRDefault="00755B26" w:rsidP="00070FED">
      <w:pPr>
        <w:pStyle w:val="FootnoteText"/>
        <w:keepNext/>
        <w:keepLines/>
        <w:ind w:firstLine="720"/>
        <w:rPr>
          <w:sz w:val="26"/>
          <w:szCs w:val="26"/>
        </w:rPr>
      </w:pPr>
      <w:r w:rsidRPr="00101D7D">
        <w:rPr>
          <w:rStyle w:val="FootnoteReference"/>
          <w:sz w:val="26"/>
          <w:szCs w:val="26"/>
        </w:rPr>
        <w:footnoteRef/>
      </w:r>
      <w:r w:rsidRPr="00101D7D">
        <w:rPr>
          <w:sz w:val="26"/>
          <w:szCs w:val="26"/>
        </w:rPr>
        <w:tab/>
        <w:t xml:space="preserve">EBIT is earnings before interest and taxes and </w:t>
      </w:r>
      <w:r w:rsidR="00101D7D" w:rsidRPr="00101D7D">
        <w:rPr>
          <w:sz w:val="26"/>
          <w:szCs w:val="26"/>
        </w:rPr>
        <w:t>EBITDA is earnings before interest, tax, depreciation, and amortization.</w:t>
      </w:r>
    </w:p>
  </w:footnote>
  <w:footnote w:id="17">
    <w:p w14:paraId="07C3DD86" w14:textId="2584C05D" w:rsidR="00BF6111" w:rsidRPr="00BF6111" w:rsidRDefault="00BF6111" w:rsidP="00F5649B">
      <w:pPr>
        <w:pStyle w:val="FootnoteText"/>
        <w:keepNext/>
        <w:keepLines/>
        <w:spacing w:after="120"/>
        <w:ind w:firstLine="720"/>
        <w:rPr>
          <w:sz w:val="26"/>
          <w:szCs w:val="26"/>
        </w:rPr>
      </w:pPr>
      <w:r w:rsidRPr="00BF6111">
        <w:rPr>
          <w:rStyle w:val="FootnoteReference"/>
          <w:sz w:val="26"/>
          <w:szCs w:val="26"/>
        </w:rPr>
        <w:footnoteRef/>
      </w:r>
      <w:r w:rsidRPr="00BF6111">
        <w:rPr>
          <w:sz w:val="26"/>
          <w:szCs w:val="26"/>
        </w:rPr>
        <w:t xml:space="preserve"> </w:t>
      </w:r>
      <w:r w:rsidRPr="00BF6111">
        <w:rPr>
          <w:sz w:val="26"/>
          <w:szCs w:val="26"/>
        </w:rPr>
        <w:tab/>
        <w:t xml:space="preserve">The OCA also proposed an adjustment to the AUS </w:t>
      </w:r>
      <w:r w:rsidR="0005113D">
        <w:rPr>
          <w:sz w:val="26"/>
          <w:szCs w:val="26"/>
        </w:rPr>
        <w:t>M</w:t>
      </w:r>
      <w:r w:rsidRPr="00BF6111">
        <w:rPr>
          <w:sz w:val="26"/>
          <w:szCs w:val="26"/>
        </w:rPr>
        <w:t xml:space="preserve">arket </w:t>
      </w:r>
      <w:r w:rsidR="0005113D">
        <w:rPr>
          <w:sz w:val="26"/>
          <w:szCs w:val="26"/>
        </w:rPr>
        <w:t>A</w:t>
      </w:r>
      <w:r w:rsidRPr="00BF6111">
        <w:rPr>
          <w:sz w:val="26"/>
          <w:szCs w:val="26"/>
        </w:rPr>
        <w:t>pproach; however, this adjustment has no impact on the determination of ratemaking rate base.</w:t>
      </w:r>
    </w:p>
  </w:footnote>
  <w:footnote w:id="18">
    <w:p w14:paraId="29DA1E04" w14:textId="668CDC96" w:rsidR="00F116A5" w:rsidRPr="00F116A5" w:rsidRDefault="00F116A5" w:rsidP="00043BE0">
      <w:pPr>
        <w:pStyle w:val="FootnoteText"/>
        <w:keepNext/>
        <w:keepLines/>
        <w:spacing w:after="120"/>
        <w:ind w:firstLine="720"/>
        <w:rPr>
          <w:sz w:val="26"/>
          <w:szCs w:val="26"/>
        </w:rPr>
      </w:pPr>
      <w:r w:rsidRPr="00F116A5">
        <w:rPr>
          <w:rStyle w:val="FootnoteReference"/>
          <w:sz w:val="26"/>
          <w:szCs w:val="26"/>
        </w:rPr>
        <w:footnoteRef/>
      </w:r>
      <w:r w:rsidRPr="00F116A5">
        <w:rPr>
          <w:sz w:val="26"/>
          <w:szCs w:val="26"/>
        </w:rPr>
        <w:t xml:space="preserve"> </w:t>
      </w:r>
      <w:r w:rsidRPr="00F116A5">
        <w:rPr>
          <w:sz w:val="26"/>
          <w:szCs w:val="26"/>
        </w:rPr>
        <w:tab/>
        <w:t>The OCA calculated that the adjusted Gannett Fleming appraisal result would be $</w:t>
      </w:r>
      <w:r w:rsidR="00280E7C">
        <w:rPr>
          <w:sz w:val="26"/>
          <w:szCs w:val="26"/>
        </w:rPr>
        <w:t>54,163,000</w:t>
      </w:r>
      <w:r w:rsidRPr="00F116A5">
        <w:rPr>
          <w:sz w:val="26"/>
          <w:szCs w:val="26"/>
        </w:rPr>
        <w:t>, and the adjusted AUS appraisal result would be $</w:t>
      </w:r>
      <w:r w:rsidR="00280E7C">
        <w:rPr>
          <w:sz w:val="26"/>
          <w:szCs w:val="26"/>
        </w:rPr>
        <w:t>48,309,516</w:t>
      </w:r>
      <w:r w:rsidRPr="00F116A5">
        <w:rPr>
          <w:sz w:val="26"/>
          <w:szCs w:val="26"/>
        </w:rPr>
        <w:t>, in order to properly reflect financial and ratemaking principles.  OCA</w:t>
      </w:r>
      <w:r w:rsidR="0000217A">
        <w:rPr>
          <w:sz w:val="26"/>
          <w:szCs w:val="26"/>
        </w:rPr>
        <w:t xml:space="preserve"> Exh. RCS-1</w:t>
      </w:r>
      <w:r w:rsidR="00280E7C">
        <w:rPr>
          <w:sz w:val="26"/>
          <w:szCs w:val="26"/>
        </w:rPr>
        <w:t>SR</w:t>
      </w:r>
      <w:r w:rsidR="0000217A">
        <w:rPr>
          <w:sz w:val="26"/>
          <w:szCs w:val="26"/>
        </w:rPr>
        <w:t>, C</w:t>
      </w:r>
      <w:r w:rsidRPr="00F116A5">
        <w:rPr>
          <w:sz w:val="26"/>
          <w:szCs w:val="26"/>
        </w:rPr>
        <w:t>ol.</w:t>
      </w:r>
      <w:r w:rsidR="00043BE0">
        <w:rPr>
          <w:sz w:val="26"/>
          <w:szCs w:val="26"/>
        </w:rPr>
        <w:t> </w:t>
      </w:r>
      <w:r w:rsidRPr="00F116A5">
        <w:rPr>
          <w:sz w:val="26"/>
          <w:szCs w:val="26"/>
        </w:rPr>
        <w:t xml:space="preserve">G, </w:t>
      </w:r>
      <w:r w:rsidR="0000217A">
        <w:rPr>
          <w:sz w:val="26"/>
          <w:szCs w:val="26"/>
        </w:rPr>
        <w:t>l</w:t>
      </w:r>
      <w:r w:rsidRPr="00F116A5">
        <w:rPr>
          <w:sz w:val="26"/>
          <w:szCs w:val="26"/>
        </w:rPr>
        <w:t>n</w:t>
      </w:r>
      <w:r w:rsidR="0000217A">
        <w:rPr>
          <w:sz w:val="26"/>
          <w:szCs w:val="26"/>
        </w:rPr>
        <w:t>s</w:t>
      </w:r>
      <w:r w:rsidRPr="00F116A5">
        <w:rPr>
          <w:sz w:val="26"/>
          <w:szCs w:val="26"/>
        </w:rPr>
        <w:t>. 5</w:t>
      </w:r>
      <w:r w:rsidR="0000217A">
        <w:rPr>
          <w:sz w:val="26"/>
          <w:szCs w:val="26"/>
        </w:rPr>
        <w:t xml:space="preserve"> and</w:t>
      </w:r>
      <w:r w:rsidRPr="00F116A5">
        <w:rPr>
          <w:sz w:val="26"/>
          <w:szCs w:val="26"/>
        </w:rPr>
        <w:t xml:space="preserve"> 10.</w:t>
      </w:r>
      <w:r>
        <w:rPr>
          <w:sz w:val="26"/>
          <w:szCs w:val="26"/>
        </w:rPr>
        <w:t xml:space="preserve">  </w:t>
      </w:r>
      <w:r w:rsidRPr="00F116A5">
        <w:rPr>
          <w:sz w:val="26"/>
          <w:szCs w:val="26"/>
        </w:rPr>
        <w:t xml:space="preserve">The recalculated average of the two appraisal results is </w:t>
      </w:r>
      <w:bookmarkStart w:id="49" w:name="_Hlk89670384"/>
      <w:r w:rsidRPr="00F116A5">
        <w:rPr>
          <w:sz w:val="26"/>
          <w:szCs w:val="26"/>
        </w:rPr>
        <w:t>$51,236,259</w:t>
      </w:r>
      <w:bookmarkEnd w:id="49"/>
      <w:r w:rsidRPr="00F116A5">
        <w:rPr>
          <w:sz w:val="26"/>
          <w:szCs w:val="26"/>
        </w:rPr>
        <w:t xml:space="preserve">, which is the amount the OCA recommended be used by the Commission for establishing rate base under Section 1329 rather than the </w:t>
      </w:r>
      <w:bookmarkStart w:id="50" w:name="_Hlk89670392"/>
      <w:r w:rsidRPr="00F116A5">
        <w:rPr>
          <w:sz w:val="26"/>
          <w:szCs w:val="26"/>
        </w:rPr>
        <w:t xml:space="preserve">$53,000,000 </w:t>
      </w:r>
      <w:bookmarkEnd w:id="50"/>
      <w:r w:rsidRPr="00F116A5">
        <w:rPr>
          <w:sz w:val="26"/>
          <w:szCs w:val="26"/>
        </w:rPr>
        <w:t xml:space="preserve">proposed by Aqua.  </w:t>
      </w:r>
      <w:bookmarkStart w:id="51" w:name="_Hlk89676697"/>
      <w:r w:rsidRPr="00F116A5">
        <w:rPr>
          <w:sz w:val="26"/>
          <w:szCs w:val="26"/>
        </w:rPr>
        <w:t>O</w:t>
      </w:r>
      <w:r w:rsidR="0000217A">
        <w:rPr>
          <w:sz w:val="26"/>
          <w:szCs w:val="26"/>
        </w:rPr>
        <w:t xml:space="preserve">CA </w:t>
      </w:r>
      <w:r w:rsidR="00221764">
        <w:rPr>
          <w:sz w:val="26"/>
          <w:szCs w:val="26"/>
        </w:rPr>
        <w:t xml:space="preserve">Exh. </w:t>
      </w:r>
      <w:r w:rsidR="0000217A">
        <w:rPr>
          <w:sz w:val="26"/>
          <w:szCs w:val="26"/>
        </w:rPr>
        <w:t>RCS-1</w:t>
      </w:r>
      <w:r w:rsidR="00280E7C">
        <w:rPr>
          <w:sz w:val="26"/>
          <w:szCs w:val="26"/>
        </w:rPr>
        <w:t>SR</w:t>
      </w:r>
      <w:r w:rsidR="0000217A">
        <w:rPr>
          <w:sz w:val="26"/>
          <w:szCs w:val="26"/>
        </w:rPr>
        <w:t xml:space="preserve">, </w:t>
      </w:r>
      <w:r w:rsidRPr="00F116A5">
        <w:rPr>
          <w:sz w:val="26"/>
          <w:szCs w:val="26"/>
        </w:rPr>
        <w:t xml:space="preserve">Col. G, </w:t>
      </w:r>
      <w:r w:rsidR="0000217A">
        <w:rPr>
          <w:sz w:val="26"/>
          <w:szCs w:val="26"/>
        </w:rPr>
        <w:t>l</w:t>
      </w:r>
      <w:r w:rsidRPr="00F116A5">
        <w:rPr>
          <w:sz w:val="26"/>
          <w:szCs w:val="26"/>
        </w:rPr>
        <w:t>n. 1</w:t>
      </w:r>
      <w:bookmarkEnd w:id="51"/>
      <w:r w:rsidR="00280E7C">
        <w:rPr>
          <w:sz w:val="26"/>
          <w:szCs w:val="26"/>
        </w:rPr>
        <w:t>3</w:t>
      </w:r>
      <w:r w:rsidRPr="00F116A5">
        <w:rPr>
          <w:sz w:val="26"/>
          <w:szCs w:val="26"/>
        </w:rPr>
        <w:t>; OCA M.B at 9.</w:t>
      </w:r>
    </w:p>
  </w:footnote>
  <w:footnote w:id="19">
    <w:p w14:paraId="48E9DBE1" w14:textId="2E2726FD" w:rsidR="00E62D5F" w:rsidRPr="002110C1" w:rsidRDefault="00E62D5F" w:rsidP="00070FED">
      <w:pPr>
        <w:pStyle w:val="FootnoteText"/>
        <w:keepNext/>
        <w:keepLines/>
        <w:ind w:firstLine="720"/>
        <w:rPr>
          <w:sz w:val="26"/>
          <w:szCs w:val="26"/>
        </w:rPr>
      </w:pPr>
      <w:r w:rsidRPr="002110C1">
        <w:rPr>
          <w:rStyle w:val="FootnoteReference"/>
          <w:sz w:val="26"/>
          <w:szCs w:val="26"/>
        </w:rPr>
        <w:footnoteRef/>
      </w:r>
      <w:r w:rsidRPr="002110C1">
        <w:rPr>
          <w:sz w:val="26"/>
          <w:szCs w:val="26"/>
        </w:rPr>
        <w:t xml:space="preserve"> </w:t>
      </w:r>
      <w:r w:rsidRPr="002110C1">
        <w:rPr>
          <w:sz w:val="26"/>
          <w:szCs w:val="26"/>
        </w:rPr>
        <w:tab/>
        <w:t>Applicatio</w:t>
      </w:r>
      <w:r w:rsidR="0005113D">
        <w:rPr>
          <w:sz w:val="26"/>
          <w:szCs w:val="26"/>
        </w:rPr>
        <w:t>n</w:t>
      </w:r>
      <w:r w:rsidRPr="002110C1">
        <w:rPr>
          <w:sz w:val="26"/>
          <w:szCs w:val="26"/>
        </w:rPr>
        <w:t xml:space="preserve"> Exh</w:t>
      </w:r>
      <w:r>
        <w:rPr>
          <w:sz w:val="26"/>
          <w:szCs w:val="26"/>
        </w:rPr>
        <w:t>.</w:t>
      </w:r>
      <w:r w:rsidRPr="002110C1">
        <w:rPr>
          <w:sz w:val="26"/>
          <w:szCs w:val="26"/>
        </w:rPr>
        <w:t xml:space="preserve"> Q, Fair Market Value Appraisal Report </w:t>
      </w:r>
      <w:r w:rsidR="0005113D">
        <w:rPr>
          <w:sz w:val="26"/>
          <w:szCs w:val="26"/>
        </w:rPr>
        <w:t>a</w:t>
      </w:r>
      <w:r w:rsidRPr="002110C1">
        <w:rPr>
          <w:sz w:val="26"/>
          <w:szCs w:val="26"/>
        </w:rPr>
        <w:t>s of March</w:t>
      </w:r>
      <w:r w:rsidR="00070FED">
        <w:rPr>
          <w:sz w:val="26"/>
          <w:szCs w:val="26"/>
        </w:rPr>
        <w:t> </w:t>
      </w:r>
      <w:r w:rsidRPr="002110C1">
        <w:rPr>
          <w:sz w:val="26"/>
          <w:szCs w:val="26"/>
        </w:rPr>
        <w:t>22,</w:t>
      </w:r>
      <w:r w:rsidR="00070FED">
        <w:rPr>
          <w:sz w:val="26"/>
          <w:szCs w:val="26"/>
        </w:rPr>
        <w:t> </w:t>
      </w:r>
      <w:r w:rsidRPr="002110C1">
        <w:rPr>
          <w:sz w:val="26"/>
          <w:szCs w:val="26"/>
        </w:rPr>
        <w:t>2021 for Aqua prepared by</w:t>
      </w:r>
      <w:r>
        <w:rPr>
          <w:sz w:val="26"/>
          <w:szCs w:val="26"/>
        </w:rPr>
        <w:t xml:space="preserve"> </w:t>
      </w:r>
      <w:r w:rsidRPr="002110C1">
        <w:rPr>
          <w:sz w:val="26"/>
          <w:szCs w:val="26"/>
        </w:rPr>
        <w:t>Gannett Flemin</w:t>
      </w:r>
      <w:r>
        <w:rPr>
          <w:sz w:val="26"/>
          <w:szCs w:val="26"/>
        </w:rPr>
        <w:t>g</w:t>
      </w:r>
      <w:r w:rsidRPr="002110C1">
        <w:rPr>
          <w:sz w:val="26"/>
          <w:szCs w:val="26"/>
        </w:rPr>
        <w:t>, Exh</w:t>
      </w:r>
      <w:r>
        <w:rPr>
          <w:sz w:val="26"/>
          <w:szCs w:val="26"/>
        </w:rPr>
        <w:t>.</w:t>
      </w:r>
      <w:r w:rsidRPr="002110C1">
        <w:rPr>
          <w:sz w:val="26"/>
          <w:szCs w:val="26"/>
        </w:rPr>
        <w:t xml:space="preserve"> 7</w:t>
      </w:r>
      <w:r>
        <w:rPr>
          <w:sz w:val="26"/>
          <w:szCs w:val="26"/>
        </w:rPr>
        <w:t xml:space="preserve"> at</w:t>
      </w:r>
      <w:r w:rsidRPr="002110C1">
        <w:rPr>
          <w:sz w:val="26"/>
          <w:szCs w:val="26"/>
        </w:rPr>
        <w:t xml:space="preserve"> 1.</w:t>
      </w:r>
    </w:p>
  </w:footnote>
  <w:footnote w:id="20">
    <w:p w14:paraId="48D03151" w14:textId="77777777" w:rsidR="008054E8" w:rsidRPr="00C96FFD" w:rsidRDefault="008054E8" w:rsidP="00070FED">
      <w:pPr>
        <w:keepNext/>
        <w:keepLines/>
        <w:widowControl/>
        <w:autoSpaceDE w:val="0"/>
        <w:autoSpaceDN w:val="0"/>
        <w:adjustRightInd w:val="0"/>
        <w:ind w:firstLine="720"/>
        <w:rPr>
          <w:sz w:val="26"/>
          <w:szCs w:val="26"/>
        </w:rPr>
      </w:pPr>
      <w:r w:rsidRPr="00C96FFD">
        <w:rPr>
          <w:rStyle w:val="FootnoteReference"/>
          <w:sz w:val="26"/>
          <w:szCs w:val="26"/>
        </w:rPr>
        <w:footnoteRef/>
      </w:r>
      <w:r w:rsidRPr="00C96FFD">
        <w:rPr>
          <w:sz w:val="26"/>
          <w:szCs w:val="26"/>
        </w:rPr>
        <w:t xml:space="preserve"> </w:t>
      </w:r>
      <w:r>
        <w:rPr>
          <w:sz w:val="26"/>
          <w:szCs w:val="26"/>
        </w:rPr>
        <w:tab/>
      </w:r>
      <w:r w:rsidRPr="00C96FFD">
        <w:rPr>
          <w:sz w:val="26"/>
          <w:szCs w:val="26"/>
        </w:rPr>
        <w:t>SDR-35 is a type of PVC (</w:t>
      </w:r>
      <w:r w:rsidRPr="008054E8">
        <w:rPr>
          <w:i/>
          <w:iCs/>
          <w:sz w:val="26"/>
          <w:szCs w:val="26"/>
        </w:rPr>
        <w:t>i.e</w:t>
      </w:r>
      <w:r w:rsidRPr="00C96FFD">
        <w:rPr>
          <w:sz w:val="26"/>
          <w:szCs w:val="26"/>
        </w:rPr>
        <w:t>., plastic) pipe that is used for sewer main pipe</w:t>
      </w:r>
      <w:r>
        <w:rPr>
          <w:sz w:val="26"/>
          <w:szCs w:val="26"/>
        </w:rPr>
        <w:t xml:space="preserve"> </w:t>
      </w:r>
      <w:r w:rsidRPr="00C96FFD">
        <w:rPr>
          <w:sz w:val="26"/>
          <w:szCs w:val="26"/>
        </w:rPr>
        <w:t xml:space="preserve">and for storm drainage purposes.  OCA St. 1 at 23. </w:t>
      </w:r>
    </w:p>
  </w:footnote>
  <w:footnote w:id="21">
    <w:p w14:paraId="58D28FE6" w14:textId="77777777" w:rsidR="008054E8" w:rsidRPr="003268E0" w:rsidRDefault="008054E8" w:rsidP="00070FED">
      <w:pPr>
        <w:pStyle w:val="FootnoteText"/>
        <w:keepNext/>
        <w:keepLines/>
        <w:ind w:firstLine="720"/>
        <w:rPr>
          <w:sz w:val="26"/>
          <w:szCs w:val="26"/>
        </w:rPr>
      </w:pPr>
      <w:r w:rsidRPr="003268E0">
        <w:rPr>
          <w:rStyle w:val="FootnoteReference"/>
          <w:sz w:val="26"/>
          <w:szCs w:val="26"/>
        </w:rPr>
        <w:footnoteRef/>
      </w:r>
      <w:r w:rsidRPr="003268E0">
        <w:rPr>
          <w:sz w:val="26"/>
          <w:szCs w:val="26"/>
        </w:rPr>
        <w:t xml:space="preserve"> </w:t>
      </w:r>
      <w:r>
        <w:rPr>
          <w:sz w:val="26"/>
          <w:szCs w:val="26"/>
        </w:rPr>
        <w:tab/>
      </w:r>
      <w:r w:rsidRPr="003268E0">
        <w:rPr>
          <w:sz w:val="26"/>
          <w:szCs w:val="26"/>
        </w:rPr>
        <w:t xml:space="preserve">The Ebert Engineering report estimated the </w:t>
      </w:r>
      <w:r>
        <w:rPr>
          <w:sz w:val="26"/>
          <w:szCs w:val="26"/>
        </w:rPr>
        <w:t xml:space="preserve">amount of </w:t>
      </w:r>
      <w:r w:rsidRPr="003268E0">
        <w:rPr>
          <w:sz w:val="26"/>
          <w:szCs w:val="26"/>
        </w:rPr>
        <w:t xml:space="preserve">VCP </w:t>
      </w:r>
      <w:r>
        <w:rPr>
          <w:sz w:val="26"/>
          <w:szCs w:val="26"/>
        </w:rPr>
        <w:t xml:space="preserve">of the Gravity Collection Mains in the LMT system </w:t>
      </w:r>
      <w:r w:rsidRPr="003268E0">
        <w:rPr>
          <w:sz w:val="26"/>
          <w:szCs w:val="26"/>
        </w:rPr>
        <w:t>as approximately 300,000 linear feet of VCP.  OCA Exh. 1 at 7.</w:t>
      </w:r>
    </w:p>
  </w:footnote>
  <w:footnote w:id="22">
    <w:p w14:paraId="26638AAE" w14:textId="6B950E39" w:rsidR="007137A8" w:rsidRPr="00393D75" w:rsidRDefault="007137A8" w:rsidP="00F5649B">
      <w:pPr>
        <w:pStyle w:val="FootnoteText"/>
        <w:keepNext/>
        <w:keepLines/>
        <w:spacing w:after="120"/>
        <w:ind w:firstLine="720"/>
        <w:rPr>
          <w:sz w:val="26"/>
          <w:szCs w:val="26"/>
        </w:rPr>
      </w:pPr>
      <w:r w:rsidRPr="00393D75">
        <w:rPr>
          <w:rStyle w:val="FootnoteReference"/>
          <w:sz w:val="26"/>
          <w:szCs w:val="26"/>
        </w:rPr>
        <w:footnoteRef/>
      </w:r>
      <w:r w:rsidRPr="00393D75">
        <w:rPr>
          <w:sz w:val="26"/>
          <w:szCs w:val="26"/>
        </w:rPr>
        <w:t xml:space="preserve"> </w:t>
      </w:r>
      <w:r w:rsidR="0088338C">
        <w:rPr>
          <w:sz w:val="26"/>
          <w:szCs w:val="26"/>
        </w:rPr>
        <w:tab/>
      </w:r>
      <w:r w:rsidR="00B90BF9">
        <w:rPr>
          <w:sz w:val="26"/>
          <w:szCs w:val="26"/>
        </w:rPr>
        <w:t>Application</w:t>
      </w:r>
      <w:r w:rsidRPr="00393D75">
        <w:rPr>
          <w:sz w:val="26"/>
          <w:szCs w:val="26"/>
        </w:rPr>
        <w:t xml:space="preserve"> Exh. Q, Gannett Fleming Fair Market Value Appraisal Report, Exh</w:t>
      </w:r>
      <w:r>
        <w:rPr>
          <w:sz w:val="26"/>
          <w:szCs w:val="26"/>
        </w:rPr>
        <w:t>. 15 at 7.</w:t>
      </w:r>
    </w:p>
  </w:footnote>
  <w:footnote w:id="23">
    <w:p w14:paraId="54CC4A04" w14:textId="5D7CB65B" w:rsidR="007137A8" w:rsidRPr="00F71546" w:rsidRDefault="007137A8" w:rsidP="005676F3">
      <w:pPr>
        <w:pStyle w:val="FootnoteText"/>
        <w:keepNext/>
        <w:keepLines/>
        <w:ind w:firstLine="720"/>
        <w:rPr>
          <w:sz w:val="26"/>
          <w:szCs w:val="26"/>
        </w:rPr>
      </w:pPr>
      <w:r w:rsidRPr="00393D75">
        <w:rPr>
          <w:rStyle w:val="FootnoteReference"/>
          <w:sz w:val="26"/>
          <w:szCs w:val="26"/>
        </w:rPr>
        <w:footnoteRef/>
      </w:r>
      <w:r w:rsidRPr="00393D75">
        <w:rPr>
          <w:sz w:val="26"/>
          <w:szCs w:val="26"/>
        </w:rPr>
        <w:t xml:space="preserve"> </w:t>
      </w:r>
      <w:r w:rsidR="0088338C">
        <w:rPr>
          <w:sz w:val="26"/>
          <w:szCs w:val="26"/>
        </w:rPr>
        <w:tab/>
      </w:r>
      <w:r w:rsidR="00B90BF9">
        <w:rPr>
          <w:sz w:val="26"/>
          <w:szCs w:val="26"/>
        </w:rPr>
        <w:t>Application</w:t>
      </w:r>
      <w:r w:rsidRPr="00393D75">
        <w:rPr>
          <w:sz w:val="26"/>
          <w:szCs w:val="26"/>
        </w:rPr>
        <w:t xml:space="preserve"> Exh. Q, Gannett Fleming Fair Market Value Appraisal Report, Exh</w:t>
      </w:r>
      <w:r>
        <w:rPr>
          <w:sz w:val="26"/>
          <w:szCs w:val="26"/>
        </w:rPr>
        <w:t>. 16 at 6.</w:t>
      </w:r>
    </w:p>
  </w:footnote>
  <w:footnote w:id="24">
    <w:p w14:paraId="4F59A201" w14:textId="18016827" w:rsidR="00A7181E" w:rsidRPr="00A7181E" w:rsidRDefault="00A7181E" w:rsidP="005676F3">
      <w:pPr>
        <w:pStyle w:val="FootnoteText"/>
        <w:keepNext/>
        <w:keepLines/>
        <w:ind w:firstLine="720"/>
        <w:rPr>
          <w:sz w:val="26"/>
          <w:szCs w:val="26"/>
        </w:rPr>
      </w:pPr>
      <w:r w:rsidRPr="00A7181E">
        <w:rPr>
          <w:rStyle w:val="FootnoteReference"/>
          <w:sz w:val="26"/>
          <w:szCs w:val="26"/>
        </w:rPr>
        <w:footnoteRef/>
      </w:r>
      <w:r w:rsidRPr="00A7181E">
        <w:rPr>
          <w:sz w:val="26"/>
          <w:szCs w:val="26"/>
        </w:rPr>
        <w:t xml:space="preserve"> </w:t>
      </w:r>
      <w:r w:rsidRPr="00A7181E">
        <w:rPr>
          <w:sz w:val="26"/>
          <w:szCs w:val="26"/>
        </w:rPr>
        <w:tab/>
        <w:t xml:space="preserve">Mr. Walker of Gannett Fleming allocated 33.33% to the </w:t>
      </w:r>
      <w:r w:rsidR="00B90BF9">
        <w:rPr>
          <w:sz w:val="26"/>
          <w:szCs w:val="26"/>
        </w:rPr>
        <w:t>I</w:t>
      </w:r>
      <w:r w:rsidRPr="00A7181E">
        <w:rPr>
          <w:sz w:val="26"/>
          <w:szCs w:val="26"/>
        </w:rPr>
        <w:t xml:space="preserve">ncome </w:t>
      </w:r>
      <w:r w:rsidR="00B90BF9">
        <w:rPr>
          <w:sz w:val="26"/>
          <w:szCs w:val="26"/>
        </w:rPr>
        <w:t>A</w:t>
      </w:r>
      <w:r w:rsidRPr="00A7181E">
        <w:rPr>
          <w:sz w:val="26"/>
          <w:szCs w:val="26"/>
        </w:rPr>
        <w:t xml:space="preserve">pproach which gave it a weighted value of $17,912,137.  AUS allocated 40% weight to the </w:t>
      </w:r>
      <w:r w:rsidR="00B90BF9">
        <w:rPr>
          <w:sz w:val="26"/>
          <w:szCs w:val="26"/>
        </w:rPr>
        <w:t>I</w:t>
      </w:r>
      <w:r w:rsidRPr="00A7181E">
        <w:rPr>
          <w:sz w:val="26"/>
          <w:szCs w:val="26"/>
        </w:rPr>
        <w:t xml:space="preserve">ncome </w:t>
      </w:r>
      <w:r w:rsidR="00B90BF9">
        <w:rPr>
          <w:sz w:val="26"/>
          <w:szCs w:val="26"/>
        </w:rPr>
        <w:t>A</w:t>
      </w:r>
      <w:r w:rsidRPr="00A7181E">
        <w:rPr>
          <w:sz w:val="26"/>
          <w:szCs w:val="26"/>
        </w:rPr>
        <w:t>pproach which gave it a weighted value of $23,149,184.</w:t>
      </w:r>
    </w:p>
  </w:footnote>
  <w:footnote w:id="25">
    <w:p w14:paraId="1CBC84A4" w14:textId="73700621" w:rsidR="009D0E74" w:rsidRPr="009D0E74" w:rsidRDefault="009D0E74" w:rsidP="005676F3">
      <w:pPr>
        <w:pStyle w:val="FootnoteText"/>
        <w:keepNext/>
        <w:keepLines/>
        <w:ind w:firstLine="720"/>
        <w:rPr>
          <w:sz w:val="26"/>
          <w:szCs w:val="26"/>
        </w:rPr>
      </w:pPr>
      <w:r w:rsidRPr="009D0E74">
        <w:rPr>
          <w:rStyle w:val="FootnoteReference"/>
          <w:sz w:val="26"/>
          <w:szCs w:val="26"/>
        </w:rPr>
        <w:footnoteRef/>
      </w:r>
      <w:r w:rsidRPr="009D0E74">
        <w:rPr>
          <w:sz w:val="26"/>
          <w:szCs w:val="26"/>
        </w:rPr>
        <w:t xml:space="preserve"> </w:t>
      </w:r>
      <w:r w:rsidRPr="009D0E74">
        <w:rPr>
          <w:sz w:val="26"/>
          <w:szCs w:val="26"/>
        </w:rPr>
        <w:tab/>
      </w:r>
      <w:r w:rsidRPr="008117ED">
        <w:rPr>
          <w:sz w:val="26"/>
          <w:szCs w:val="26"/>
        </w:rPr>
        <w:t>As shown</w:t>
      </w:r>
      <w:r w:rsidRPr="009D0E74">
        <w:rPr>
          <w:sz w:val="26"/>
          <w:szCs w:val="26"/>
        </w:rPr>
        <w:t xml:space="preserve"> </w:t>
      </w:r>
      <w:r w:rsidRPr="008117ED">
        <w:rPr>
          <w:sz w:val="26"/>
          <w:szCs w:val="26"/>
        </w:rPr>
        <w:t xml:space="preserve">on </w:t>
      </w:r>
      <w:r w:rsidRPr="009D0E74">
        <w:rPr>
          <w:sz w:val="26"/>
          <w:szCs w:val="26"/>
        </w:rPr>
        <w:t xml:space="preserve">OCA </w:t>
      </w:r>
      <w:r w:rsidRPr="008117ED">
        <w:rPr>
          <w:sz w:val="26"/>
          <w:szCs w:val="26"/>
        </w:rPr>
        <w:t>Exhibit RCS-2</w:t>
      </w:r>
      <w:r w:rsidRPr="009D0E74">
        <w:rPr>
          <w:sz w:val="26"/>
          <w:szCs w:val="26"/>
        </w:rPr>
        <w:t>SR</w:t>
      </w:r>
      <w:r w:rsidRPr="008117ED">
        <w:rPr>
          <w:sz w:val="26"/>
          <w:szCs w:val="26"/>
        </w:rPr>
        <w:t xml:space="preserve">, </w:t>
      </w:r>
      <w:r w:rsidRPr="009D0E74">
        <w:rPr>
          <w:sz w:val="26"/>
          <w:szCs w:val="26"/>
        </w:rPr>
        <w:t xml:space="preserve">OCA witness, Mr. Smith, </w:t>
      </w:r>
      <w:r w:rsidRPr="008117ED">
        <w:rPr>
          <w:sz w:val="26"/>
          <w:szCs w:val="26"/>
        </w:rPr>
        <w:t>recalculated the valuation of the terminal value using the</w:t>
      </w:r>
      <w:r w:rsidRPr="009D0E74">
        <w:rPr>
          <w:sz w:val="26"/>
          <w:szCs w:val="26"/>
        </w:rPr>
        <w:t xml:space="preserve"> </w:t>
      </w:r>
      <w:r w:rsidRPr="008117ED">
        <w:rPr>
          <w:sz w:val="26"/>
          <w:szCs w:val="26"/>
        </w:rPr>
        <w:t xml:space="preserve">amount of </w:t>
      </w:r>
      <w:r w:rsidRPr="009D0E74">
        <w:rPr>
          <w:sz w:val="26"/>
          <w:szCs w:val="26"/>
        </w:rPr>
        <w:t>n</w:t>
      </w:r>
      <w:r w:rsidRPr="008117ED">
        <w:rPr>
          <w:sz w:val="26"/>
          <w:szCs w:val="26"/>
        </w:rPr>
        <w:t xml:space="preserve">et </w:t>
      </w:r>
      <w:r w:rsidRPr="009D0E74">
        <w:rPr>
          <w:sz w:val="26"/>
          <w:szCs w:val="26"/>
        </w:rPr>
        <w:t>p</w:t>
      </w:r>
      <w:r w:rsidRPr="008117ED">
        <w:rPr>
          <w:sz w:val="26"/>
          <w:szCs w:val="26"/>
        </w:rPr>
        <w:t>lant less ADIT remaining at</w:t>
      </w:r>
      <w:r w:rsidRPr="009D0E74">
        <w:rPr>
          <w:sz w:val="26"/>
          <w:szCs w:val="26"/>
        </w:rPr>
        <w:t xml:space="preserve"> </w:t>
      </w:r>
      <w:r w:rsidRPr="008117ED">
        <w:rPr>
          <w:sz w:val="26"/>
          <w:szCs w:val="26"/>
        </w:rPr>
        <w:t xml:space="preserve">the end of </w:t>
      </w:r>
      <w:r w:rsidRPr="009D0E74">
        <w:rPr>
          <w:sz w:val="26"/>
          <w:szCs w:val="26"/>
        </w:rPr>
        <w:t>y</w:t>
      </w:r>
      <w:r w:rsidRPr="008117ED">
        <w:rPr>
          <w:sz w:val="26"/>
          <w:szCs w:val="26"/>
        </w:rPr>
        <w:t xml:space="preserve">ear 24. </w:t>
      </w:r>
      <w:r w:rsidRPr="009D0E74">
        <w:rPr>
          <w:sz w:val="26"/>
          <w:szCs w:val="26"/>
        </w:rPr>
        <w:t xml:space="preserve"> Page 2 of OCA </w:t>
      </w:r>
      <w:r w:rsidRPr="008117ED">
        <w:rPr>
          <w:sz w:val="26"/>
          <w:szCs w:val="26"/>
        </w:rPr>
        <w:t>Exhibit RCS-2</w:t>
      </w:r>
      <w:r w:rsidRPr="009D0E74">
        <w:rPr>
          <w:sz w:val="26"/>
          <w:szCs w:val="26"/>
        </w:rPr>
        <w:t xml:space="preserve">SR </w:t>
      </w:r>
      <w:r w:rsidRPr="008117ED">
        <w:rPr>
          <w:sz w:val="26"/>
          <w:szCs w:val="26"/>
        </w:rPr>
        <w:t>shows the calculations under</w:t>
      </w:r>
      <w:r w:rsidR="00ED6FD2">
        <w:rPr>
          <w:sz w:val="26"/>
          <w:szCs w:val="26"/>
        </w:rPr>
        <w:t xml:space="preserve"> </w:t>
      </w:r>
      <w:bookmarkStart w:id="61" w:name="_Hlk90029081"/>
      <w:r w:rsidR="00ED6FD2">
        <w:rPr>
          <w:sz w:val="26"/>
          <w:szCs w:val="26"/>
        </w:rPr>
        <w:t>Gannett Fleming’s</w:t>
      </w:r>
      <w:r w:rsidRPr="008117ED">
        <w:rPr>
          <w:sz w:val="26"/>
          <w:szCs w:val="26"/>
        </w:rPr>
        <w:t xml:space="preserve"> </w:t>
      </w:r>
      <w:bookmarkStart w:id="62" w:name="_Hlk90035312"/>
      <w:r w:rsidRPr="009D0E74">
        <w:rPr>
          <w:sz w:val="26"/>
          <w:szCs w:val="26"/>
        </w:rPr>
        <w:t xml:space="preserve">MUNI </w:t>
      </w:r>
      <w:r w:rsidR="00ED6FD2">
        <w:rPr>
          <w:sz w:val="26"/>
          <w:szCs w:val="26"/>
        </w:rPr>
        <w:t>scenario</w:t>
      </w:r>
      <w:bookmarkEnd w:id="62"/>
      <w:r w:rsidRPr="008117ED">
        <w:rPr>
          <w:sz w:val="26"/>
          <w:szCs w:val="26"/>
        </w:rPr>
        <w:t xml:space="preserve">, with an indicated value result of $59,186,879. </w:t>
      </w:r>
      <w:r w:rsidRPr="009D0E74">
        <w:rPr>
          <w:sz w:val="26"/>
          <w:szCs w:val="26"/>
        </w:rPr>
        <w:t xml:space="preserve"> </w:t>
      </w:r>
      <w:r w:rsidRPr="008117ED">
        <w:rPr>
          <w:sz w:val="26"/>
          <w:szCs w:val="26"/>
        </w:rPr>
        <w:t>Page 3 shows the</w:t>
      </w:r>
      <w:r w:rsidRPr="009D0E74">
        <w:rPr>
          <w:sz w:val="26"/>
          <w:szCs w:val="26"/>
        </w:rPr>
        <w:t xml:space="preserve"> </w:t>
      </w:r>
      <w:r w:rsidRPr="008117ED">
        <w:rPr>
          <w:sz w:val="26"/>
          <w:szCs w:val="26"/>
        </w:rPr>
        <w:t>calculations under</w:t>
      </w:r>
      <w:r w:rsidR="00ED6FD2">
        <w:rPr>
          <w:sz w:val="26"/>
          <w:szCs w:val="26"/>
        </w:rPr>
        <w:t xml:space="preserve"> Gannett Fleming’s</w:t>
      </w:r>
      <w:r w:rsidRPr="008117ED">
        <w:rPr>
          <w:sz w:val="26"/>
          <w:szCs w:val="26"/>
        </w:rPr>
        <w:t xml:space="preserve"> IOU</w:t>
      </w:r>
      <w:r w:rsidR="007137A8">
        <w:rPr>
          <w:sz w:val="26"/>
          <w:szCs w:val="26"/>
        </w:rPr>
        <w:t xml:space="preserve"> </w:t>
      </w:r>
      <w:r w:rsidR="00ED6FD2">
        <w:rPr>
          <w:sz w:val="26"/>
          <w:szCs w:val="26"/>
        </w:rPr>
        <w:t>scenario</w:t>
      </w:r>
      <w:r w:rsidRPr="008117ED">
        <w:rPr>
          <w:sz w:val="26"/>
          <w:szCs w:val="26"/>
        </w:rPr>
        <w:t xml:space="preserve"> with an </w:t>
      </w:r>
      <w:bookmarkEnd w:id="61"/>
      <w:r w:rsidRPr="008117ED">
        <w:rPr>
          <w:sz w:val="26"/>
          <w:szCs w:val="26"/>
        </w:rPr>
        <w:t>indicated value result of $4</w:t>
      </w:r>
      <w:r w:rsidRPr="009D0E74">
        <w:rPr>
          <w:sz w:val="26"/>
          <w:szCs w:val="26"/>
        </w:rPr>
        <w:t>0,247,316</w:t>
      </w:r>
      <w:r w:rsidRPr="008117ED">
        <w:rPr>
          <w:sz w:val="26"/>
          <w:szCs w:val="26"/>
        </w:rPr>
        <w:t>.</w:t>
      </w:r>
      <w:r w:rsidRPr="009D0E74">
        <w:rPr>
          <w:sz w:val="26"/>
          <w:szCs w:val="26"/>
        </w:rPr>
        <w:t xml:space="preserve">  </w:t>
      </w:r>
      <w:r w:rsidRPr="008117ED">
        <w:rPr>
          <w:sz w:val="26"/>
          <w:szCs w:val="26"/>
        </w:rPr>
        <w:t>The two indicated value results are averaged, as shown on</w:t>
      </w:r>
      <w:r w:rsidRPr="009D0E74">
        <w:rPr>
          <w:sz w:val="26"/>
          <w:szCs w:val="26"/>
        </w:rPr>
        <w:t xml:space="preserve"> page 1 of</w:t>
      </w:r>
      <w:r w:rsidRPr="008117ED">
        <w:rPr>
          <w:sz w:val="26"/>
          <w:szCs w:val="26"/>
        </w:rPr>
        <w:t xml:space="preserve"> Exhibit RCS-</w:t>
      </w:r>
      <w:r w:rsidRPr="009D0E74">
        <w:rPr>
          <w:sz w:val="26"/>
          <w:szCs w:val="26"/>
        </w:rPr>
        <w:t>2SR</w:t>
      </w:r>
      <w:r w:rsidRPr="008117ED">
        <w:rPr>
          <w:sz w:val="26"/>
          <w:szCs w:val="26"/>
        </w:rPr>
        <w:t>,</w:t>
      </w:r>
      <w:r w:rsidRPr="009D0E74">
        <w:rPr>
          <w:sz w:val="26"/>
          <w:szCs w:val="26"/>
        </w:rPr>
        <w:t xml:space="preserve"> </w:t>
      </w:r>
      <w:r w:rsidRPr="008117ED">
        <w:rPr>
          <w:sz w:val="26"/>
          <w:szCs w:val="26"/>
        </w:rPr>
        <w:t xml:space="preserve">for an adjusted </w:t>
      </w:r>
      <w:r w:rsidR="00D704CE">
        <w:rPr>
          <w:sz w:val="26"/>
          <w:szCs w:val="26"/>
        </w:rPr>
        <w:t>I</w:t>
      </w:r>
      <w:r w:rsidRPr="008117ED">
        <w:rPr>
          <w:sz w:val="26"/>
          <w:szCs w:val="26"/>
        </w:rPr>
        <w:t xml:space="preserve">ncome </w:t>
      </w:r>
      <w:r w:rsidR="00D704CE">
        <w:rPr>
          <w:sz w:val="26"/>
          <w:szCs w:val="26"/>
        </w:rPr>
        <w:t>A</w:t>
      </w:r>
      <w:r w:rsidRPr="008117ED">
        <w:rPr>
          <w:sz w:val="26"/>
          <w:szCs w:val="26"/>
        </w:rPr>
        <w:t>pproach value of $</w:t>
      </w:r>
      <w:r w:rsidRPr="009D0E74">
        <w:rPr>
          <w:sz w:val="26"/>
          <w:szCs w:val="26"/>
        </w:rPr>
        <w:t>49,717,098</w:t>
      </w:r>
      <w:r w:rsidRPr="008117ED">
        <w:rPr>
          <w:sz w:val="26"/>
          <w:szCs w:val="26"/>
        </w:rPr>
        <w:t xml:space="preserve">. </w:t>
      </w:r>
      <w:r w:rsidRPr="009D0E74">
        <w:rPr>
          <w:sz w:val="26"/>
          <w:szCs w:val="26"/>
        </w:rPr>
        <w:t xml:space="preserve"> </w:t>
      </w:r>
    </w:p>
  </w:footnote>
  <w:footnote w:id="26">
    <w:p w14:paraId="7257F350" w14:textId="70DF00A7" w:rsidR="000B5ACE" w:rsidRPr="000B5ACE" w:rsidRDefault="000B5ACE" w:rsidP="005676F3">
      <w:pPr>
        <w:pStyle w:val="FootnoteText"/>
        <w:keepNext/>
        <w:keepLines/>
        <w:ind w:firstLine="720"/>
        <w:rPr>
          <w:sz w:val="26"/>
          <w:szCs w:val="26"/>
        </w:rPr>
      </w:pPr>
      <w:r w:rsidRPr="000B5ACE">
        <w:rPr>
          <w:rStyle w:val="FootnoteReference"/>
          <w:sz w:val="26"/>
          <w:szCs w:val="26"/>
        </w:rPr>
        <w:footnoteRef/>
      </w:r>
      <w:r w:rsidRPr="000B5ACE">
        <w:rPr>
          <w:sz w:val="26"/>
          <w:szCs w:val="26"/>
        </w:rPr>
        <w:t xml:space="preserve"> </w:t>
      </w:r>
      <w:r w:rsidRPr="000B5ACE">
        <w:rPr>
          <w:sz w:val="26"/>
          <w:szCs w:val="26"/>
        </w:rPr>
        <w:tab/>
        <w:t xml:space="preserve">It should be noted that, regarding </w:t>
      </w:r>
      <w:r w:rsidRPr="000B5ACE">
        <w:rPr>
          <w:i/>
          <w:iCs/>
          <w:sz w:val="26"/>
          <w:szCs w:val="26"/>
        </w:rPr>
        <w:t>Limerick</w:t>
      </w:r>
      <w:r w:rsidRPr="000B5ACE">
        <w:rPr>
          <w:sz w:val="26"/>
          <w:szCs w:val="26"/>
        </w:rPr>
        <w:t xml:space="preserve">, the OCA proposed a 50-year model </w:t>
      </w:r>
      <w:r w:rsidRPr="000B5ACE">
        <w:rPr>
          <w:i/>
          <w:iCs/>
          <w:sz w:val="26"/>
          <w:szCs w:val="26"/>
        </w:rPr>
        <w:t>without</w:t>
      </w:r>
      <w:r w:rsidRPr="000B5ACE">
        <w:rPr>
          <w:sz w:val="26"/>
          <w:szCs w:val="26"/>
        </w:rPr>
        <w:t xml:space="preserve"> a terminal value, in lieu of Gannett Fleming’s 13-year model, which included a terminal value.</w:t>
      </w:r>
      <w:r>
        <w:rPr>
          <w:sz w:val="26"/>
          <w:szCs w:val="26"/>
        </w:rPr>
        <w:t xml:space="preserve">  </w:t>
      </w:r>
      <w:r w:rsidRPr="000B5ACE">
        <w:rPr>
          <w:i/>
          <w:iCs/>
          <w:sz w:val="26"/>
          <w:szCs w:val="26"/>
        </w:rPr>
        <w:t xml:space="preserve">See Limerick </w:t>
      </w:r>
      <w:r>
        <w:rPr>
          <w:sz w:val="26"/>
          <w:szCs w:val="26"/>
        </w:rPr>
        <w:t>at 46-50.</w:t>
      </w:r>
    </w:p>
  </w:footnote>
  <w:footnote w:id="27">
    <w:p w14:paraId="30880E67" w14:textId="75B9E870" w:rsidR="004323E8" w:rsidRPr="004323E8" w:rsidRDefault="004323E8" w:rsidP="005676F3">
      <w:pPr>
        <w:pStyle w:val="FootnoteText"/>
        <w:keepNext/>
        <w:keepLines/>
        <w:ind w:firstLine="720"/>
        <w:rPr>
          <w:sz w:val="26"/>
          <w:szCs w:val="26"/>
        </w:rPr>
      </w:pPr>
      <w:r w:rsidRPr="004323E8">
        <w:rPr>
          <w:rStyle w:val="FootnoteReference"/>
          <w:sz w:val="26"/>
          <w:szCs w:val="26"/>
        </w:rPr>
        <w:footnoteRef/>
      </w:r>
      <w:r w:rsidRPr="004323E8">
        <w:rPr>
          <w:sz w:val="26"/>
          <w:szCs w:val="26"/>
        </w:rPr>
        <w:t xml:space="preserve"> </w:t>
      </w:r>
      <w:r w:rsidRPr="004323E8">
        <w:rPr>
          <w:sz w:val="26"/>
          <w:szCs w:val="26"/>
        </w:rPr>
        <w:tab/>
        <w:t xml:space="preserve">Although </w:t>
      </w:r>
      <w:r>
        <w:rPr>
          <w:sz w:val="26"/>
          <w:szCs w:val="26"/>
        </w:rPr>
        <w:t xml:space="preserve">pages 78 and 87 of </w:t>
      </w:r>
      <w:r w:rsidRPr="004323E8">
        <w:rPr>
          <w:sz w:val="26"/>
          <w:szCs w:val="26"/>
        </w:rPr>
        <w:t>the Recommended Decision</w:t>
      </w:r>
      <w:r>
        <w:rPr>
          <w:sz w:val="26"/>
          <w:szCs w:val="26"/>
        </w:rPr>
        <w:t xml:space="preserve"> </w:t>
      </w:r>
      <w:r w:rsidRPr="004323E8">
        <w:rPr>
          <w:sz w:val="26"/>
          <w:szCs w:val="26"/>
        </w:rPr>
        <w:t>present</w:t>
      </w:r>
      <w:r>
        <w:rPr>
          <w:sz w:val="26"/>
          <w:szCs w:val="26"/>
        </w:rPr>
        <w:t>ed</w:t>
      </w:r>
      <w:r w:rsidRPr="004323E8">
        <w:rPr>
          <w:sz w:val="26"/>
          <w:szCs w:val="26"/>
        </w:rPr>
        <w:t xml:space="preserve"> the OCA</w:t>
      </w:r>
      <w:r>
        <w:rPr>
          <w:sz w:val="26"/>
          <w:szCs w:val="26"/>
        </w:rPr>
        <w:t>’</w:t>
      </w:r>
      <w:r w:rsidRPr="004323E8">
        <w:rPr>
          <w:sz w:val="26"/>
          <w:szCs w:val="26"/>
        </w:rPr>
        <w:t>s adjustment to the Gannett</w:t>
      </w:r>
      <w:r w:rsidR="009F1ECC">
        <w:rPr>
          <w:sz w:val="26"/>
          <w:szCs w:val="26"/>
        </w:rPr>
        <w:t xml:space="preserve"> Fleming</w:t>
      </w:r>
      <w:r w:rsidRPr="004323E8">
        <w:rPr>
          <w:sz w:val="26"/>
          <w:szCs w:val="26"/>
        </w:rPr>
        <w:t xml:space="preserve"> </w:t>
      </w:r>
      <w:r w:rsidR="00786190">
        <w:rPr>
          <w:sz w:val="26"/>
          <w:szCs w:val="26"/>
        </w:rPr>
        <w:t>I</w:t>
      </w:r>
      <w:r w:rsidRPr="004323E8">
        <w:rPr>
          <w:sz w:val="26"/>
          <w:szCs w:val="26"/>
        </w:rPr>
        <w:t xml:space="preserve">ncome </w:t>
      </w:r>
      <w:r w:rsidR="00786190">
        <w:rPr>
          <w:sz w:val="26"/>
          <w:szCs w:val="26"/>
        </w:rPr>
        <w:t>A</w:t>
      </w:r>
      <w:r w:rsidRPr="004323E8">
        <w:rPr>
          <w:sz w:val="26"/>
          <w:szCs w:val="26"/>
        </w:rPr>
        <w:t>pproach as $5,278,828 and the adjusted Gannett</w:t>
      </w:r>
      <w:r w:rsidR="009F1ECC">
        <w:rPr>
          <w:sz w:val="26"/>
          <w:szCs w:val="26"/>
        </w:rPr>
        <w:t xml:space="preserve"> Fleming</w:t>
      </w:r>
      <w:r w:rsidRPr="004323E8">
        <w:rPr>
          <w:sz w:val="26"/>
          <w:szCs w:val="26"/>
        </w:rPr>
        <w:t xml:space="preserve"> </w:t>
      </w:r>
      <w:r w:rsidR="00786190">
        <w:rPr>
          <w:sz w:val="26"/>
          <w:szCs w:val="26"/>
        </w:rPr>
        <w:t>I</w:t>
      </w:r>
      <w:r w:rsidRPr="004323E8">
        <w:rPr>
          <w:sz w:val="26"/>
          <w:szCs w:val="26"/>
        </w:rPr>
        <w:t xml:space="preserve">ncome </w:t>
      </w:r>
      <w:r w:rsidR="00786190">
        <w:rPr>
          <w:sz w:val="26"/>
          <w:szCs w:val="26"/>
        </w:rPr>
        <w:t>A</w:t>
      </w:r>
      <w:r w:rsidRPr="004323E8">
        <w:rPr>
          <w:sz w:val="26"/>
          <w:szCs w:val="26"/>
        </w:rPr>
        <w:t>pproach value as $48,462,957, the OCA</w:t>
      </w:r>
      <w:r w:rsidR="009F1ECC">
        <w:rPr>
          <w:sz w:val="26"/>
          <w:szCs w:val="26"/>
        </w:rPr>
        <w:t>’</w:t>
      </w:r>
      <w:r w:rsidRPr="004323E8">
        <w:rPr>
          <w:sz w:val="26"/>
          <w:szCs w:val="26"/>
        </w:rPr>
        <w:t xml:space="preserve">s proposed adjustment to the Gannett </w:t>
      </w:r>
      <w:r w:rsidR="009F1ECC">
        <w:rPr>
          <w:sz w:val="26"/>
          <w:szCs w:val="26"/>
        </w:rPr>
        <w:t xml:space="preserve">Fleming </w:t>
      </w:r>
      <w:r w:rsidR="00786190">
        <w:rPr>
          <w:sz w:val="26"/>
          <w:szCs w:val="26"/>
        </w:rPr>
        <w:t>I</w:t>
      </w:r>
      <w:r w:rsidRPr="004323E8">
        <w:rPr>
          <w:sz w:val="26"/>
          <w:szCs w:val="26"/>
        </w:rPr>
        <w:t xml:space="preserve">ncome </w:t>
      </w:r>
      <w:r w:rsidR="00786190">
        <w:rPr>
          <w:sz w:val="26"/>
          <w:szCs w:val="26"/>
        </w:rPr>
        <w:t>A</w:t>
      </w:r>
      <w:r w:rsidRPr="004323E8">
        <w:rPr>
          <w:sz w:val="26"/>
          <w:szCs w:val="26"/>
        </w:rPr>
        <w:t>pproach as presented in the surrebuttal testimony of OCA witness Smith is $4,024,687 and the OCA</w:t>
      </w:r>
      <w:r w:rsidR="009F1ECC">
        <w:rPr>
          <w:sz w:val="26"/>
          <w:szCs w:val="26"/>
        </w:rPr>
        <w:t>’</w:t>
      </w:r>
      <w:r w:rsidRPr="004323E8">
        <w:rPr>
          <w:sz w:val="26"/>
          <w:szCs w:val="26"/>
        </w:rPr>
        <w:t>s adjusted Gannett</w:t>
      </w:r>
      <w:r w:rsidR="009F1ECC">
        <w:rPr>
          <w:sz w:val="26"/>
          <w:szCs w:val="26"/>
        </w:rPr>
        <w:t xml:space="preserve"> Fleming</w:t>
      </w:r>
      <w:r w:rsidRPr="004323E8">
        <w:rPr>
          <w:sz w:val="26"/>
          <w:szCs w:val="26"/>
        </w:rPr>
        <w:t xml:space="preserve"> </w:t>
      </w:r>
      <w:r w:rsidR="00786190">
        <w:rPr>
          <w:sz w:val="26"/>
          <w:szCs w:val="26"/>
        </w:rPr>
        <w:t>I</w:t>
      </w:r>
      <w:r w:rsidRPr="004323E8">
        <w:rPr>
          <w:sz w:val="26"/>
          <w:szCs w:val="26"/>
        </w:rPr>
        <w:t xml:space="preserve">ncome </w:t>
      </w:r>
      <w:r w:rsidR="00786190">
        <w:rPr>
          <w:sz w:val="26"/>
          <w:szCs w:val="26"/>
        </w:rPr>
        <w:t>A</w:t>
      </w:r>
      <w:r w:rsidRPr="004323E8">
        <w:rPr>
          <w:sz w:val="26"/>
          <w:szCs w:val="26"/>
        </w:rPr>
        <w:t>pproach value is $49,717,098.</w:t>
      </w:r>
      <w:r w:rsidR="009F1ECC">
        <w:rPr>
          <w:sz w:val="26"/>
          <w:szCs w:val="26"/>
        </w:rPr>
        <w:t xml:space="preserve">  </w:t>
      </w:r>
      <w:r w:rsidRPr="004323E8">
        <w:rPr>
          <w:sz w:val="26"/>
          <w:szCs w:val="26"/>
        </w:rPr>
        <w:t>OCA Exh</w:t>
      </w:r>
      <w:r w:rsidR="009F1ECC">
        <w:rPr>
          <w:sz w:val="26"/>
          <w:szCs w:val="26"/>
        </w:rPr>
        <w:t>.</w:t>
      </w:r>
      <w:r w:rsidRPr="004323E8">
        <w:rPr>
          <w:sz w:val="26"/>
          <w:szCs w:val="26"/>
        </w:rPr>
        <w:t xml:space="preserve"> RCS-1SR,</w:t>
      </w:r>
      <w:r w:rsidR="009F1ECC">
        <w:rPr>
          <w:sz w:val="26"/>
          <w:szCs w:val="26"/>
        </w:rPr>
        <w:t xml:space="preserve"> ln 7</w:t>
      </w:r>
      <w:r w:rsidRPr="004323E8">
        <w:rPr>
          <w:sz w:val="26"/>
          <w:szCs w:val="26"/>
        </w:rPr>
        <w:t>.</w:t>
      </w:r>
    </w:p>
  </w:footnote>
  <w:footnote w:id="28">
    <w:p w14:paraId="613127C6" w14:textId="4CE88E7D" w:rsidR="00E12690" w:rsidRPr="00E12690" w:rsidRDefault="00E12690" w:rsidP="005676F3">
      <w:pPr>
        <w:pStyle w:val="FootnoteText"/>
        <w:keepNext/>
        <w:keepLines/>
        <w:ind w:firstLine="720"/>
        <w:rPr>
          <w:sz w:val="26"/>
          <w:szCs w:val="26"/>
        </w:rPr>
      </w:pPr>
      <w:r w:rsidRPr="00E12690">
        <w:rPr>
          <w:rStyle w:val="FootnoteReference"/>
          <w:sz w:val="26"/>
          <w:szCs w:val="26"/>
        </w:rPr>
        <w:footnoteRef/>
      </w:r>
      <w:r w:rsidRPr="00E12690">
        <w:rPr>
          <w:sz w:val="26"/>
          <w:szCs w:val="26"/>
        </w:rPr>
        <w:t xml:space="preserve"> </w:t>
      </w:r>
      <w:r w:rsidRPr="00E12690">
        <w:rPr>
          <w:sz w:val="26"/>
          <w:szCs w:val="26"/>
        </w:rPr>
        <w:tab/>
        <w:t>It should be noted that Aqua does not provide citations to the “sixteen proceedings” that they reference.</w:t>
      </w:r>
    </w:p>
  </w:footnote>
  <w:footnote w:id="29">
    <w:p w14:paraId="2938E1C6" w14:textId="2B37B63C" w:rsidR="00113513" w:rsidRPr="001603EA" w:rsidRDefault="00113513" w:rsidP="005676F3">
      <w:pPr>
        <w:pStyle w:val="FootnoteText"/>
        <w:keepNext/>
        <w:keepLines/>
        <w:ind w:firstLine="720"/>
        <w:contextualSpacing/>
        <w:rPr>
          <w:sz w:val="26"/>
          <w:szCs w:val="26"/>
        </w:rPr>
      </w:pPr>
      <w:r w:rsidRPr="001603EA">
        <w:rPr>
          <w:rStyle w:val="FootnoteReference"/>
          <w:sz w:val="26"/>
          <w:szCs w:val="26"/>
        </w:rPr>
        <w:footnoteRef/>
      </w:r>
      <w:r w:rsidRPr="001603EA">
        <w:rPr>
          <w:sz w:val="26"/>
          <w:szCs w:val="26"/>
        </w:rPr>
        <w:tab/>
        <w:t>As previously discussed, Aqua notes that the use of a terminal value in the DCF model is a “mathematical shortcut to avoid having to show and / or calculate Debt Free Net Cash Flows for hundreds of time periods.”  Aqua Exc. at 11</w:t>
      </w:r>
      <w:r w:rsidRPr="004B056E">
        <w:rPr>
          <w:sz w:val="26"/>
          <w:szCs w:val="26"/>
        </w:rPr>
        <w:t>.</w:t>
      </w:r>
    </w:p>
  </w:footnote>
  <w:footnote w:id="30">
    <w:p w14:paraId="2F530BB7" w14:textId="3C29B7FC" w:rsidR="00542847" w:rsidRPr="00542847" w:rsidRDefault="00542847" w:rsidP="005676F3">
      <w:pPr>
        <w:pStyle w:val="FootnoteText"/>
        <w:keepNext/>
        <w:keepLines/>
        <w:ind w:firstLine="720"/>
        <w:rPr>
          <w:sz w:val="26"/>
          <w:szCs w:val="26"/>
        </w:rPr>
      </w:pPr>
      <w:r w:rsidRPr="00542847">
        <w:rPr>
          <w:rStyle w:val="FootnoteReference"/>
          <w:sz w:val="26"/>
          <w:szCs w:val="26"/>
        </w:rPr>
        <w:footnoteRef/>
      </w:r>
      <w:r w:rsidRPr="00542847">
        <w:rPr>
          <w:sz w:val="26"/>
          <w:szCs w:val="26"/>
        </w:rPr>
        <w:t xml:space="preserve"> </w:t>
      </w:r>
      <w:r w:rsidRPr="00542847">
        <w:rPr>
          <w:sz w:val="26"/>
          <w:szCs w:val="26"/>
        </w:rPr>
        <w:tab/>
        <w:t>The OCA witness, Mr. Smith</w:t>
      </w:r>
      <w:r>
        <w:rPr>
          <w:sz w:val="26"/>
          <w:szCs w:val="26"/>
        </w:rPr>
        <w:t>,</w:t>
      </w:r>
      <w:r w:rsidRPr="00542847">
        <w:rPr>
          <w:sz w:val="26"/>
          <w:szCs w:val="26"/>
        </w:rPr>
        <w:t xml:space="preserve"> acknowledged that the Commission rejected the use of net plant as the terminal value in </w:t>
      </w:r>
      <w:r w:rsidRPr="00542847">
        <w:rPr>
          <w:i/>
          <w:iCs/>
          <w:sz w:val="26"/>
          <w:szCs w:val="26"/>
        </w:rPr>
        <w:t>Cheltenham</w:t>
      </w:r>
      <w:r w:rsidRPr="00542847">
        <w:rPr>
          <w:sz w:val="26"/>
          <w:szCs w:val="26"/>
        </w:rPr>
        <w:t>.  OCA St. 1SR at 13.</w:t>
      </w:r>
    </w:p>
  </w:footnote>
  <w:footnote w:id="31">
    <w:p w14:paraId="598B6304" w14:textId="27258AE9" w:rsidR="008917E5" w:rsidRPr="000639A7" w:rsidRDefault="008917E5" w:rsidP="00967CCA">
      <w:pPr>
        <w:keepNext/>
        <w:keepLines/>
        <w:widowControl/>
        <w:autoSpaceDE w:val="0"/>
        <w:autoSpaceDN w:val="0"/>
        <w:adjustRightInd w:val="0"/>
        <w:ind w:firstLine="720"/>
        <w:rPr>
          <w:sz w:val="26"/>
          <w:szCs w:val="26"/>
          <w:highlight w:val="yellow"/>
        </w:rPr>
      </w:pPr>
      <w:r w:rsidRPr="00332B66">
        <w:rPr>
          <w:rStyle w:val="FootnoteReference"/>
          <w:sz w:val="26"/>
          <w:szCs w:val="26"/>
        </w:rPr>
        <w:footnoteRef/>
      </w:r>
      <w:r w:rsidRPr="00332B66">
        <w:rPr>
          <w:sz w:val="26"/>
          <w:szCs w:val="26"/>
        </w:rPr>
        <w:t xml:space="preserve"> </w:t>
      </w:r>
      <w:r>
        <w:rPr>
          <w:sz w:val="26"/>
          <w:szCs w:val="26"/>
        </w:rPr>
        <w:tab/>
      </w:r>
      <w:r w:rsidRPr="00332B66">
        <w:rPr>
          <w:sz w:val="26"/>
          <w:szCs w:val="26"/>
        </w:rPr>
        <w:t>OCA St. 1 at 28 (</w:t>
      </w:r>
      <w:r w:rsidRPr="008356CC">
        <w:rPr>
          <w:sz w:val="26"/>
          <w:szCs w:val="26"/>
        </w:rPr>
        <w:t xml:space="preserve">citing </w:t>
      </w:r>
      <w:r w:rsidRPr="008917E5">
        <w:rPr>
          <w:i/>
          <w:iCs/>
          <w:sz w:val="26"/>
          <w:szCs w:val="26"/>
        </w:rPr>
        <w:t>Approaches to Value</w:t>
      </w:r>
      <w:r w:rsidRPr="00332B66">
        <w:rPr>
          <w:sz w:val="26"/>
          <w:szCs w:val="26"/>
        </w:rPr>
        <w:t xml:space="preserve">. American Society of </w:t>
      </w:r>
      <w:r w:rsidRPr="00967CCA">
        <w:rPr>
          <w:sz w:val="26"/>
          <w:szCs w:val="26"/>
        </w:rPr>
        <w:t>Appraisers accessed March 5, 2020, http://www.appraisers.org/Disciplines/Personal-Property/pp-appraiser-resources/approaches-to-value).</w:t>
      </w:r>
    </w:p>
  </w:footnote>
  <w:footnote w:id="32">
    <w:p w14:paraId="13FDC22A" w14:textId="5FA35362" w:rsidR="008356CC" w:rsidRPr="00713BB1" w:rsidRDefault="008356CC" w:rsidP="00967CCA">
      <w:pPr>
        <w:pStyle w:val="FootnoteText"/>
        <w:keepNext/>
        <w:keepLines/>
        <w:ind w:firstLine="720"/>
        <w:rPr>
          <w:sz w:val="26"/>
          <w:szCs w:val="26"/>
        </w:rPr>
      </w:pPr>
      <w:r w:rsidRPr="00713BB1">
        <w:rPr>
          <w:rStyle w:val="FootnoteReference"/>
          <w:sz w:val="26"/>
          <w:szCs w:val="26"/>
        </w:rPr>
        <w:footnoteRef/>
      </w:r>
      <w:r w:rsidRPr="00713BB1">
        <w:rPr>
          <w:sz w:val="26"/>
          <w:szCs w:val="26"/>
        </w:rPr>
        <w:t xml:space="preserve"> </w:t>
      </w:r>
      <w:r>
        <w:rPr>
          <w:sz w:val="26"/>
          <w:szCs w:val="26"/>
        </w:rPr>
        <w:tab/>
      </w:r>
      <w:r w:rsidRPr="006D2A59">
        <w:rPr>
          <w:i/>
          <w:iCs/>
          <w:sz w:val="26"/>
          <w:szCs w:val="26"/>
        </w:rPr>
        <w:t>Implementation of Section 1329 of the Public Utility Code</w:t>
      </w:r>
      <w:r w:rsidRPr="00713BB1">
        <w:rPr>
          <w:sz w:val="26"/>
          <w:szCs w:val="26"/>
        </w:rPr>
        <w:t>,</w:t>
      </w:r>
      <w:r w:rsidR="006D2A59">
        <w:rPr>
          <w:sz w:val="26"/>
          <w:szCs w:val="26"/>
        </w:rPr>
        <w:t xml:space="preserve"> Docket No.</w:t>
      </w:r>
      <w:r w:rsidRPr="00713BB1">
        <w:rPr>
          <w:sz w:val="26"/>
          <w:szCs w:val="26"/>
        </w:rPr>
        <w:t xml:space="preserve"> M</w:t>
      </w:r>
      <w:r w:rsidR="00967CCA">
        <w:rPr>
          <w:sz w:val="26"/>
          <w:szCs w:val="26"/>
        </w:rPr>
        <w:noBreakHyphen/>
      </w:r>
      <w:r w:rsidRPr="00713BB1">
        <w:rPr>
          <w:sz w:val="26"/>
          <w:szCs w:val="26"/>
        </w:rPr>
        <w:t>2016-254319</w:t>
      </w:r>
      <w:r>
        <w:rPr>
          <w:sz w:val="26"/>
          <w:szCs w:val="26"/>
        </w:rPr>
        <w:t>3</w:t>
      </w:r>
      <w:r w:rsidRPr="00713BB1">
        <w:rPr>
          <w:sz w:val="26"/>
          <w:szCs w:val="26"/>
        </w:rPr>
        <w:t xml:space="preserve">, Final Supplemental </w:t>
      </w:r>
      <w:r>
        <w:rPr>
          <w:sz w:val="26"/>
          <w:szCs w:val="26"/>
        </w:rPr>
        <w:t xml:space="preserve">Implementation </w:t>
      </w:r>
      <w:r w:rsidRPr="00713BB1">
        <w:rPr>
          <w:sz w:val="26"/>
          <w:szCs w:val="26"/>
        </w:rPr>
        <w:t>Order (</w:t>
      </w:r>
      <w:r w:rsidR="006D2A59">
        <w:rPr>
          <w:sz w:val="26"/>
          <w:szCs w:val="26"/>
        </w:rPr>
        <w:t xml:space="preserve">Order entered </w:t>
      </w:r>
      <w:r w:rsidRPr="00713BB1">
        <w:rPr>
          <w:sz w:val="26"/>
          <w:szCs w:val="26"/>
        </w:rPr>
        <w:t>February</w:t>
      </w:r>
      <w:r w:rsidR="00967CCA">
        <w:rPr>
          <w:sz w:val="26"/>
          <w:szCs w:val="26"/>
        </w:rPr>
        <w:t> </w:t>
      </w:r>
      <w:r w:rsidRPr="00713BB1">
        <w:rPr>
          <w:sz w:val="26"/>
          <w:szCs w:val="26"/>
        </w:rPr>
        <w:t>28,</w:t>
      </w:r>
      <w:r w:rsidR="00967CCA">
        <w:rPr>
          <w:sz w:val="26"/>
          <w:szCs w:val="26"/>
        </w:rPr>
        <w:t> </w:t>
      </w:r>
      <w:r w:rsidRPr="00713BB1">
        <w:rPr>
          <w:sz w:val="26"/>
          <w:szCs w:val="26"/>
        </w:rPr>
        <w:t>20</w:t>
      </w:r>
      <w:r w:rsidR="00AA6E82">
        <w:rPr>
          <w:sz w:val="26"/>
          <w:szCs w:val="26"/>
        </w:rPr>
        <w:t>1</w:t>
      </w:r>
      <w:r w:rsidRPr="00713BB1">
        <w:rPr>
          <w:sz w:val="26"/>
          <w:szCs w:val="26"/>
        </w:rPr>
        <w:t>9) (</w:t>
      </w:r>
      <w:r w:rsidRPr="00713BB1">
        <w:rPr>
          <w:i/>
          <w:iCs/>
          <w:sz w:val="26"/>
          <w:szCs w:val="26"/>
        </w:rPr>
        <w:t>FSIO</w:t>
      </w:r>
      <w:r w:rsidRPr="00713BB1">
        <w:rPr>
          <w:sz w:val="26"/>
          <w:szCs w:val="26"/>
        </w:rPr>
        <w:t xml:space="preserve">).  </w:t>
      </w:r>
    </w:p>
  </w:footnote>
  <w:footnote w:id="33">
    <w:p w14:paraId="12A805DC" w14:textId="77777777" w:rsidR="008356CC" w:rsidRPr="00E17C5C" w:rsidRDefault="008356CC" w:rsidP="00967CCA">
      <w:pPr>
        <w:pStyle w:val="FootnoteText"/>
        <w:keepNext/>
        <w:keepLines/>
        <w:ind w:firstLine="720"/>
        <w:rPr>
          <w:sz w:val="26"/>
          <w:szCs w:val="26"/>
        </w:rPr>
      </w:pPr>
      <w:r w:rsidRPr="00E17C5C">
        <w:rPr>
          <w:rStyle w:val="FootnoteReference"/>
          <w:sz w:val="26"/>
          <w:szCs w:val="26"/>
        </w:rPr>
        <w:footnoteRef/>
      </w:r>
      <w:r w:rsidRPr="00E17C5C">
        <w:rPr>
          <w:sz w:val="26"/>
          <w:szCs w:val="26"/>
        </w:rPr>
        <w:t xml:space="preserve"> </w:t>
      </w:r>
      <w:r w:rsidRPr="00E17C5C">
        <w:rPr>
          <w:sz w:val="26"/>
          <w:szCs w:val="26"/>
        </w:rPr>
        <w:tab/>
        <w:t xml:space="preserve">We note that the OCA Reply Brief transposed the values for </w:t>
      </w:r>
      <w:r>
        <w:rPr>
          <w:sz w:val="26"/>
          <w:szCs w:val="26"/>
        </w:rPr>
        <w:t xml:space="preserve">the </w:t>
      </w:r>
      <w:r w:rsidRPr="00E17C5C">
        <w:rPr>
          <w:sz w:val="26"/>
          <w:szCs w:val="26"/>
        </w:rPr>
        <w:t>Gannett Fleming and AUS appraisal adjusted amounts.  The values used in</w:t>
      </w:r>
      <w:r>
        <w:rPr>
          <w:sz w:val="26"/>
          <w:szCs w:val="26"/>
        </w:rPr>
        <w:t xml:space="preserve"> OCA </w:t>
      </w:r>
      <w:r w:rsidRPr="00E17C5C">
        <w:rPr>
          <w:sz w:val="26"/>
          <w:szCs w:val="26"/>
        </w:rPr>
        <w:t>Exh. RCS-1SR are correct and are used here.</w:t>
      </w:r>
    </w:p>
  </w:footnote>
  <w:footnote w:id="34">
    <w:p w14:paraId="3C5F153A" w14:textId="77777777" w:rsidR="008356CC" w:rsidRPr="002D4B62" w:rsidRDefault="008356CC" w:rsidP="00F5649B">
      <w:pPr>
        <w:keepNext/>
        <w:keepLines/>
        <w:widowControl/>
        <w:autoSpaceDE w:val="0"/>
        <w:autoSpaceDN w:val="0"/>
        <w:adjustRightInd w:val="0"/>
        <w:spacing w:after="120"/>
        <w:ind w:firstLine="720"/>
        <w:rPr>
          <w:sz w:val="26"/>
          <w:szCs w:val="26"/>
        </w:rPr>
      </w:pPr>
      <w:r w:rsidRPr="0066653E">
        <w:rPr>
          <w:rStyle w:val="FootnoteReference"/>
          <w:sz w:val="26"/>
          <w:szCs w:val="26"/>
        </w:rPr>
        <w:footnoteRef/>
      </w:r>
      <w:r w:rsidRPr="0066653E">
        <w:rPr>
          <w:sz w:val="26"/>
          <w:szCs w:val="26"/>
        </w:rPr>
        <w:t xml:space="preserve"> </w:t>
      </w:r>
      <w:r>
        <w:rPr>
          <w:sz w:val="26"/>
          <w:szCs w:val="26"/>
        </w:rPr>
        <w:tab/>
      </w:r>
      <w:r w:rsidRPr="0066653E">
        <w:rPr>
          <w:i/>
          <w:iCs/>
          <w:sz w:val="26"/>
          <w:szCs w:val="26"/>
        </w:rPr>
        <w:t>Limerick</w:t>
      </w:r>
      <w:r>
        <w:rPr>
          <w:sz w:val="26"/>
          <w:szCs w:val="26"/>
        </w:rPr>
        <w:t xml:space="preserve"> at 58.</w:t>
      </w:r>
    </w:p>
  </w:footnote>
  <w:footnote w:id="35">
    <w:p w14:paraId="209D5976" w14:textId="77777777" w:rsidR="00466C8F" w:rsidRPr="0000663E" w:rsidRDefault="00466C8F" w:rsidP="00967CCA">
      <w:pPr>
        <w:pStyle w:val="FootnoteText"/>
        <w:keepNext/>
        <w:keepLines/>
        <w:ind w:firstLine="720"/>
        <w:rPr>
          <w:sz w:val="26"/>
          <w:szCs w:val="26"/>
        </w:rPr>
      </w:pPr>
      <w:r w:rsidRPr="0000663E">
        <w:rPr>
          <w:rStyle w:val="FootnoteReference"/>
          <w:sz w:val="26"/>
          <w:szCs w:val="26"/>
        </w:rPr>
        <w:footnoteRef/>
      </w:r>
      <w:r w:rsidRPr="0000663E">
        <w:rPr>
          <w:sz w:val="26"/>
          <w:szCs w:val="26"/>
        </w:rPr>
        <w:t xml:space="preserve"> </w:t>
      </w:r>
      <w:r w:rsidRPr="0000663E">
        <w:rPr>
          <w:sz w:val="26"/>
          <w:szCs w:val="26"/>
        </w:rPr>
        <w:tab/>
        <w:t>“[W]hen construing Section 1329 in conjunction with both Section 505 and Section 1103(b) of the Code, it is clear that the Commission retains the authority to review and analyze the UVE valuations to determine compliance with the USPAP standards and whether the three methods were accurately applied to the UVE’s analyses.”  Aqua Exc. at 23 (</w:t>
      </w:r>
      <w:r w:rsidRPr="0048696F">
        <w:rPr>
          <w:sz w:val="26"/>
          <w:szCs w:val="26"/>
        </w:rPr>
        <w:t>citing</w:t>
      </w:r>
      <w:r w:rsidRPr="002D4B62">
        <w:rPr>
          <w:i/>
          <w:iCs/>
          <w:sz w:val="26"/>
          <w:szCs w:val="26"/>
        </w:rPr>
        <w:t xml:space="preserve"> New Garden</w:t>
      </w:r>
      <w:r w:rsidRPr="0000663E">
        <w:rPr>
          <w:sz w:val="26"/>
          <w:szCs w:val="26"/>
        </w:rPr>
        <w:t>, slip op</w:t>
      </w:r>
      <w:r>
        <w:rPr>
          <w:sz w:val="26"/>
          <w:szCs w:val="26"/>
        </w:rPr>
        <w:t>.</w:t>
      </w:r>
      <w:r w:rsidRPr="0000663E">
        <w:rPr>
          <w:sz w:val="26"/>
          <w:szCs w:val="26"/>
        </w:rPr>
        <w:t xml:space="preserve"> at 14).  </w:t>
      </w:r>
    </w:p>
  </w:footnote>
  <w:footnote w:id="36">
    <w:p w14:paraId="4A468457" w14:textId="6610793E" w:rsidR="00F259FD" w:rsidRPr="004736CA" w:rsidRDefault="00F259FD" w:rsidP="00967CCA">
      <w:pPr>
        <w:pStyle w:val="FootnoteText"/>
        <w:keepNext/>
        <w:keepLines/>
        <w:ind w:firstLine="720"/>
        <w:rPr>
          <w:sz w:val="26"/>
          <w:szCs w:val="26"/>
        </w:rPr>
      </w:pPr>
      <w:r w:rsidRPr="004736CA">
        <w:rPr>
          <w:rStyle w:val="FootnoteReference"/>
          <w:sz w:val="26"/>
          <w:szCs w:val="26"/>
        </w:rPr>
        <w:footnoteRef/>
      </w:r>
      <w:r>
        <w:rPr>
          <w:sz w:val="26"/>
          <w:szCs w:val="26"/>
        </w:rPr>
        <w:t xml:space="preserve"> </w:t>
      </w:r>
      <w:r>
        <w:rPr>
          <w:sz w:val="26"/>
          <w:szCs w:val="26"/>
        </w:rPr>
        <w:tab/>
        <w:t>We note that, similarly</w:t>
      </w:r>
      <w:r w:rsidRPr="004736CA">
        <w:rPr>
          <w:sz w:val="26"/>
          <w:szCs w:val="26"/>
        </w:rPr>
        <w:t>, there is a lack of evidentiary support for a finding that the proposed expense reduction would also be extraordinary and non-recurring</w:t>
      </w:r>
      <w:r>
        <w:rPr>
          <w:sz w:val="26"/>
          <w:szCs w:val="26"/>
        </w:rPr>
        <w:t>,</w:t>
      </w:r>
      <w:r w:rsidRPr="004736CA">
        <w:rPr>
          <w:sz w:val="26"/>
          <w:szCs w:val="26"/>
        </w:rPr>
        <w:t xml:space="preserve"> or that it is within the scope of the type of items that the Commission has allowed as an exception to the general rule against retroactive recovery</w:t>
      </w:r>
      <w:r>
        <w:rPr>
          <w:sz w:val="26"/>
          <w:szCs w:val="26"/>
        </w:rPr>
        <w:t>,</w:t>
      </w:r>
      <w:r w:rsidRPr="004736CA">
        <w:rPr>
          <w:sz w:val="26"/>
          <w:szCs w:val="26"/>
        </w:rPr>
        <w:t xml:space="preserve"> particularly within the context of a Section 1329 proceeding.  </w:t>
      </w:r>
      <w:r w:rsidRPr="004736CA">
        <w:rPr>
          <w:i/>
          <w:iCs/>
          <w:sz w:val="26"/>
          <w:szCs w:val="26"/>
        </w:rPr>
        <w:t>See, e.g</w:t>
      </w:r>
      <w:r w:rsidRPr="004736CA">
        <w:rPr>
          <w:sz w:val="26"/>
          <w:szCs w:val="26"/>
        </w:rPr>
        <w:t xml:space="preserve">., </w:t>
      </w:r>
      <w:r w:rsidRPr="004736CA">
        <w:rPr>
          <w:i/>
          <w:iCs/>
          <w:sz w:val="26"/>
          <w:szCs w:val="26"/>
        </w:rPr>
        <w:t>Petition of Pennsylvania-American Water Company for Authorization to Defer, and Record as Regulatory Assets for Future Recovery: (1) Incremental Expenses Incurred Because of the Effects of the COVID-19 Emergency; (2) Revenue Reductions Attributable to the Effects of the COVID-19 Emergency; and (3) Carrying Charges on the Amounts Deferred</w:t>
      </w:r>
      <w:r w:rsidRPr="004736CA">
        <w:rPr>
          <w:sz w:val="26"/>
          <w:szCs w:val="26"/>
        </w:rPr>
        <w:t>, Docket No. P</w:t>
      </w:r>
      <w:r w:rsidR="00967CCA">
        <w:rPr>
          <w:sz w:val="26"/>
          <w:szCs w:val="26"/>
        </w:rPr>
        <w:noBreakHyphen/>
      </w:r>
      <w:r w:rsidRPr="004736CA">
        <w:rPr>
          <w:sz w:val="26"/>
          <w:szCs w:val="26"/>
        </w:rPr>
        <w:t>2020</w:t>
      </w:r>
      <w:r w:rsidR="00967CCA">
        <w:rPr>
          <w:sz w:val="26"/>
          <w:szCs w:val="26"/>
        </w:rPr>
        <w:noBreakHyphen/>
      </w:r>
      <w:r w:rsidRPr="004736CA">
        <w:rPr>
          <w:sz w:val="26"/>
          <w:szCs w:val="26"/>
        </w:rPr>
        <w:t>3022426 (Order entered September 15,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84603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15BC"/>
    <w:multiLevelType w:val="hybridMultilevel"/>
    <w:tmpl w:val="E84AE054"/>
    <w:lvl w:ilvl="0" w:tplc="9B8CB90C">
      <w:start w:val="1"/>
      <w:numFmt w:val="lowerLetter"/>
      <w:pStyle w:val="Heading4"/>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30542"/>
    <w:multiLevelType w:val="multilevel"/>
    <w:tmpl w:val="F2EA9232"/>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6"/>
        <w:szCs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6C04F2"/>
    <w:multiLevelType w:val="hybridMultilevel"/>
    <w:tmpl w:val="C41853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071A7A"/>
    <w:multiLevelType w:val="hybridMultilevel"/>
    <w:tmpl w:val="E9224F4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86CBB"/>
    <w:multiLevelType w:val="multilevel"/>
    <w:tmpl w:val="2ABAA850"/>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6"/>
        <w:szCs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0465C30"/>
    <w:multiLevelType w:val="multilevel"/>
    <w:tmpl w:val="E9FABD10"/>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6"/>
        <w:szCs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FD56EB"/>
    <w:multiLevelType w:val="multilevel"/>
    <w:tmpl w:val="6B04E9C4"/>
    <w:lvl w:ilvl="0">
      <w:start w:val="1"/>
      <w:numFmt w:val="decimal"/>
      <w:lvlText w:val="(%1)"/>
      <w:lvlJc w:val="left"/>
      <w:pPr>
        <w:tabs>
          <w:tab w:val="left" w:pos="720"/>
        </w:tabs>
        <w:ind w:left="720"/>
      </w:pPr>
      <w:rPr>
        <w:rFonts w:ascii="Times New Roman" w:eastAsia="Times New Roman" w:hAnsi="Times New Roman"/>
        <w:strike w:val="0"/>
        <w:color w:val="000000"/>
        <w:spacing w:val="-2"/>
        <w:w w:val="100"/>
        <w:sz w:val="26"/>
        <w:szCs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4B649A2"/>
    <w:multiLevelType w:val="hybridMultilevel"/>
    <w:tmpl w:val="0AE8BEEA"/>
    <w:lvl w:ilvl="0" w:tplc="98068666">
      <w:start w:val="1"/>
      <w:numFmt w:val="upperRoman"/>
      <w:pStyle w:val="Heading1"/>
      <w:lvlText w:val="%1."/>
      <w:lvlJc w:val="left"/>
      <w:pPr>
        <w:ind w:left="1080" w:hanging="720"/>
      </w:pPr>
      <w:rPr>
        <w:rFonts w:hint="default"/>
      </w:rPr>
    </w:lvl>
    <w:lvl w:ilvl="1" w:tplc="04090019">
      <w:start w:val="1"/>
      <w:numFmt w:val="lowerLetter"/>
      <w:lvlText w:val="%2."/>
      <w:lvlJc w:val="left"/>
      <w:pPr>
        <w:ind w:left="1440" w:hanging="360"/>
      </w:pPr>
    </w:lvl>
    <w:lvl w:ilvl="2" w:tplc="6204AD50">
      <w:start w:val="1"/>
      <w:numFmt w:val="upperLetter"/>
      <w:lvlText w:val="%3."/>
      <w:lvlJc w:val="left"/>
      <w:pPr>
        <w:ind w:left="2700" w:hanging="720"/>
      </w:pPr>
      <w:rPr>
        <w:rFonts w:hint="default"/>
      </w:rPr>
    </w:lvl>
    <w:lvl w:ilvl="3" w:tplc="D638DEA0">
      <w:start w:val="1"/>
      <w:numFmt w:val="decimal"/>
      <w:lvlText w:val="%4."/>
      <w:lvlJc w:val="left"/>
      <w:pPr>
        <w:ind w:left="2880" w:hanging="360"/>
      </w:pPr>
      <w:rPr>
        <w:rFonts w:hint="default"/>
      </w:rPr>
    </w:lvl>
    <w:lvl w:ilvl="4" w:tplc="2C369A4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C108B2"/>
    <w:multiLevelType w:val="hybridMultilevel"/>
    <w:tmpl w:val="4F747D00"/>
    <w:lvl w:ilvl="0" w:tplc="9A425556">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9B3919"/>
    <w:multiLevelType w:val="hybridMultilevel"/>
    <w:tmpl w:val="C6AAFFC8"/>
    <w:lvl w:ilvl="0" w:tplc="30406C4A">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10"/>
  </w:num>
  <w:num w:numId="5">
    <w:abstractNumId w:val="9"/>
    <w:lvlOverride w:ilvl="0">
      <w:startOverride w:val="1"/>
    </w:lvlOverride>
  </w:num>
  <w:num w:numId="6">
    <w:abstractNumId w:val="9"/>
    <w:lvlOverride w:ilvl="0">
      <w:startOverride w:val="1"/>
    </w:lvlOverride>
  </w:num>
  <w:num w:numId="7">
    <w:abstractNumId w:val="10"/>
    <w:lvlOverride w:ilvl="0">
      <w:startOverride w:val="1"/>
    </w:lvlOverride>
  </w:num>
  <w:num w:numId="8">
    <w:abstractNumId w:val="1"/>
    <w:lvlOverride w:ilvl="0">
      <w:startOverride w:val="1"/>
    </w:lvlOverride>
  </w:num>
  <w:num w:numId="9">
    <w:abstractNumId w:val="1"/>
    <w:lvlOverride w:ilvl="0">
      <w:startOverride w:val="1"/>
    </w:lvlOverride>
  </w:num>
  <w:num w:numId="10">
    <w:abstractNumId w:val="0"/>
  </w:num>
  <w:num w:numId="11">
    <w:abstractNumId w:val="1"/>
    <w:lvlOverride w:ilvl="0">
      <w:startOverride w:val="1"/>
    </w:lvlOverride>
  </w:num>
  <w:num w:numId="12">
    <w:abstractNumId w:val="1"/>
    <w:lvlOverride w:ilvl="0">
      <w:startOverride w:val="1"/>
    </w:lvlOverride>
  </w:num>
  <w:num w:numId="13">
    <w:abstractNumId w:val="7"/>
  </w:num>
  <w:num w:numId="14">
    <w:abstractNumId w:val="5"/>
  </w:num>
  <w:num w:numId="15">
    <w:abstractNumId w:val="2"/>
  </w:num>
  <w:num w:numId="16">
    <w:abstractNumId w:val="6"/>
  </w:num>
  <w:num w:numId="17">
    <w:abstractNumId w:val="4"/>
  </w:num>
  <w:num w:numId="18">
    <w:abstractNumId w:val="3"/>
  </w:num>
  <w:num w:numId="19">
    <w:abstractNumId w:val="10"/>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90"/>
    <w:rsid w:val="00000173"/>
    <w:rsid w:val="0000029F"/>
    <w:rsid w:val="0000040B"/>
    <w:rsid w:val="00000A0E"/>
    <w:rsid w:val="00000D65"/>
    <w:rsid w:val="00000DED"/>
    <w:rsid w:val="00001381"/>
    <w:rsid w:val="000013FD"/>
    <w:rsid w:val="0000217A"/>
    <w:rsid w:val="00002348"/>
    <w:rsid w:val="00002CE4"/>
    <w:rsid w:val="00002F2A"/>
    <w:rsid w:val="00002F49"/>
    <w:rsid w:val="000038D3"/>
    <w:rsid w:val="00003F5B"/>
    <w:rsid w:val="0000415E"/>
    <w:rsid w:val="00004769"/>
    <w:rsid w:val="0000477B"/>
    <w:rsid w:val="00004BC1"/>
    <w:rsid w:val="00004D12"/>
    <w:rsid w:val="00005114"/>
    <w:rsid w:val="00005B5F"/>
    <w:rsid w:val="00005EE1"/>
    <w:rsid w:val="00005F78"/>
    <w:rsid w:val="000065F7"/>
    <w:rsid w:val="00006A8C"/>
    <w:rsid w:val="00007209"/>
    <w:rsid w:val="00007440"/>
    <w:rsid w:val="000074DC"/>
    <w:rsid w:val="00007597"/>
    <w:rsid w:val="00007888"/>
    <w:rsid w:val="00007C6B"/>
    <w:rsid w:val="0001099D"/>
    <w:rsid w:val="00011506"/>
    <w:rsid w:val="000116F1"/>
    <w:rsid w:val="00011AB7"/>
    <w:rsid w:val="000123F2"/>
    <w:rsid w:val="00012897"/>
    <w:rsid w:val="00012A0E"/>
    <w:rsid w:val="00012D0C"/>
    <w:rsid w:val="00013432"/>
    <w:rsid w:val="000138C9"/>
    <w:rsid w:val="00013978"/>
    <w:rsid w:val="00013FDE"/>
    <w:rsid w:val="000142D5"/>
    <w:rsid w:val="00014828"/>
    <w:rsid w:val="0001587F"/>
    <w:rsid w:val="000158F2"/>
    <w:rsid w:val="00015A01"/>
    <w:rsid w:val="000162F1"/>
    <w:rsid w:val="000166C6"/>
    <w:rsid w:val="00016C3F"/>
    <w:rsid w:val="0001721D"/>
    <w:rsid w:val="00017E03"/>
    <w:rsid w:val="000200CE"/>
    <w:rsid w:val="0002018C"/>
    <w:rsid w:val="000201C0"/>
    <w:rsid w:val="00020552"/>
    <w:rsid w:val="000207D4"/>
    <w:rsid w:val="00020C3A"/>
    <w:rsid w:val="00020E43"/>
    <w:rsid w:val="00022468"/>
    <w:rsid w:val="00022D45"/>
    <w:rsid w:val="00023536"/>
    <w:rsid w:val="0002355F"/>
    <w:rsid w:val="000249A1"/>
    <w:rsid w:val="00024A95"/>
    <w:rsid w:val="000252ED"/>
    <w:rsid w:val="0002554A"/>
    <w:rsid w:val="00025A99"/>
    <w:rsid w:val="00026BA0"/>
    <w:rsid w:val="00026F9D"/>
    <w:rsid w:val="0002784E"/>
    <w:rsid w:val="00027C2F"/>
    <w:rsid w:val="00027EE4"/>
    <w:rsid w:val="000302BD"/>
    <w:rsid w:val="00030CE7"/>
    <w:rsid w:val="000310BE"/>
    <w:rsid w:val="0003122C"/>
    <w:rsid w:val="00031D94"/>
    <w:rsid w:val="00031DDC"/>
    <w:rsid w:val="00032200"/>
    <w:rsid w:val="000323A8"/>
    <w:rsid w:val="000337CA"/>
    <w:rsid w:val="00033C9A"/>
    <w:rsid w:val="00033D4C"/>
    <w:rsid w:val="00033E12"/>
    <w:rsid w:val="000341DE"/>
    <w:rsid w:val="00034CD7"/>
    <w:rsid w:val="00034EFC"/>
    <w:rsid w:val="000366D7"/>
    <w:rsid w:val="00036927"/>
    <w:rsid w:val="000369A9"/>
    <w:rsid w:val="00040396"/>
    <w:rsid w:val="00040423"/>
    <w:rsid w:val="00040969"/>
    <w:rsid w:val="00040D36"/>
    <w:rsid w:val="00040FA6"/>
    <w:rsid w:val="00040FFD"/>
    <w:rsid w:val="00041ED1"/>
    <w:rsid w:val="00042338"/>
    <w:rsid w:val="00042C54"/>
    <w:rsid w:val="00042E9E"/>
    <w:rsid w:val="00043182"/>
    <w:rsid w:val="000431F6"/>
    <w:rsid w:val="000438A2"/>
    <w:rsid w:val="00043BE0"/>
    <w:rsid w:val="00044BF6"/>
    <w:rsid w:val="0004587B"/>
    <w:rsid w:val="00045935"/>
    <w:rsid w:val="00045A7A"/>
    <w:rsid w:val="0004698C"/>
    <w:rsid w:val="00046D51"/>
    <w:rsid w:val="000477B8"/>
    <w:rsid w:val="000500B7"/>
    <w:rsid w:val="00050115"/>
    <w:rsid w:val="00050154"/>
    <w:rsid w:val="000503FD"/>
    <w:rsid w:val="000505E5"/>
    <w:rsid w:val="0005113D"/>
    <w:rsid w:val="00051647"/>
    <w:rsid w:val="0005164D"/>
    <w:rsid w:val="00051E8F"/>
    <w:rsid w:val="0005247F"/>
    <w:rsid w:val="0005317E"/>
    <w:rsid w:val="00053709"/>
    <w:rsid w:val="00053855"/>
    <w:rsid w:val="00053CED"/>
    <w:rsid w:val="00053E7E"/>
    <w:rsid w:val="000547FF"/>
    <w:rsid w:val="000549A7"/>
    <w:rsid w:val="000550AB"/>
    <w:rsid w:val="00055E52"/>
    <w:rsid w:val="0005602A"/>
    <w:rsid w:val="00056968"/>
    <w:rsid w:val="00057057"/>
    <w:rsid w:val="000570C3"/>
    <w:rsid w:val="0005711A"/>
    <w:rsid w:val="00057409"/>
    <w:rsid w:val="00057614"/>
    <w:rsid w:val="00057859"/>
    <w:rsid w:val="0006001A"/>
    <w:rsid w:val="000606AA"/>
    <w:rsid w:val="000610F9"/>
    <w:rsid w:val="00061850"/>
    <w:rsid w:val="00061E8B"/>
    <w:rsid w:val="00062518"/>
    <w:rsid w:val="0006288C"/>
    <w:rsid w:val="000629CD"/>
    <w:rsid w:val="00063028"/>
    <w:rsid w:val="000634A8"/>
    <w:rsid w:val="000639A7"/>
    <w:rsid w:val="00063D28"/>
    <w:rsid w:val="00064658"/>
    <w:rsid w:val="00064808"/>
    <w:rsid w:val="00065516"/>
    <w:rsid w:val="00065DB6"/>
    <w:rsid w:val="00066689"/>
    <w:rsid w:val="00067196"/>
    <w:rsid w:val="0006732F"/>
    <w:rsid w:val="000673D1"/>
    <w:rsid w:val="00067A0D"/>
    <w:rsid w:val="00067BBC"/>
    <w:rsid w:val="00070B98"/>
    <w:rsid w:val="00070BE3"/>
    <w:rsid w:val="00070FED"/>
    <w:rsid w:val="00071064"/>
    <w:rsid w:val="00071143"/>
    <w:rsid w:val="000713A3"/>
    <w:rsid w:val="00071A8A"/>
    <w:rsid w:val="00071AB5"/>
    <w:rsid w:val="00071FD9"/>
    <w:rsid w:val="00072BBE"/>
    <w:rsid w:val="00073000"/>
    <w:rsid w:val="00073352"/>
    <w:rsid w:val="0007345D"/>
    <w:rsid w:val="00073870"/>
    <w:rsid w:val="00073AED"/>
    <w:rsid w:val="00074336"/>
    <w:rsid w:val="0007496E"/>
    <w:rsid w:val="00075210"/>
    <w:rsid w:val="00075A29"/>
    <w:rsid w:val="00075F0C"/>
    <w:rsid w:val="00076856"/>
    <w:rsid w:val="00077674"/>
    <w:rsid w:val="00077F46"/>
    <w:rsid w:val="00077F69"/>
    <w:rsid w:val="0008000C"/>
    <w:rsid w:val="00080CCC"/>
    <w:rsid w:val="00081696"/>
    <w:rsid w:val="00081939"/>
    <w:rsid w:val="0008233B"/>
    <w:rsid w:val="00083188"/>
    <w:rsid w:val="0008328F"/>
    <w:rsid w:val="0008379C"/>
    <w:rsid w:val="00083D57"/>
    <w:rsid w:val="00084237"/>
    <w:rsid w:val="00084DB9"/>
    <w:rsid w:val="00085610"/>
    <w:rsid w:val="00085E29"/>
    <w:rsid w:val="00085E45"/>
    <w:rsid w:val="0008626D"/>
    <w:rsid w:val="00086D0B"/>
    <w:rsid w:val="00087B53"/>
    <w:rsid w:val="00087D18"/>
    <w:rsid w:val="0009007E"/>
    <w:rsid w:val="00090AF0"/>
    <w:rsid w:val="00090F53"/>
    <w:rsid w:val="00091989"/>
    <w:rsid w:val="00091A11"/>
    <w:rsid w:val="00091CDA"/>
    <w:rsid w:val="00091F3C"/>
    <w:rsid w:val="0009269E"/>
    <w:rsid w:val="00092994"/>
    <w:rsid w:val="00092ABD"/>
    <w:rsid w:val="000930AC"/>
    <w:rsid w:val="000931B0"/>
    <w:rsid w:val="000931E5"/>
    <w:rsid w:val="000940CD"/>
    <w:rsid w:val="00094240"/>
    <w:rsid w:val="00094552"/>
    <w:rsid w:val="0009466E"/>
    <w:rsid w:val="0009476C"/>
    <w:rsid w:val="000949EC"/>
    <w:rsid w:val="00094F3D"/>
    <w:rsid w:val="000960C3"/>
    <w:rsid w:val="00096386"/>
    <w:rsid w:val="0009690C"/>
    <w:rsid w:val="00096F18"/>
    <w:rsid w:val="00097534"/>
    <w:rsid w:val="0009763D"/>
    <w:rsid w:val="0009781B"/>
    <w:rsid w:val="00097AFA"/>
    <w:rsid w:val="000A038A"/>
    <w:rsid w:val="000A08D7"/>
    <w:rsid w:val="000A0D32"/>
    <w:rsid w:val="000A135D"/>
    <w:rsid w:val="000A1761"/>
    <w:rsid w:val="000A1A8D"/>
    <w:rsid w:val="000A1B73"/>
    <w:rsid w:val="000A1EF2"/>
    <w:rsid w:val="000A2217"/>
    <w:rsid w:val="000A339A"/>
    <w:rsid w:val="000A35F4"/>
    <w:rsid w:val="000A38F7"/>
    <w:rsid w:val="000A41B3"/>
    <w:rsid w:val="000A4770"/>
    <w:rsid w:val="000A48EB"/>
    <w:rsid w:val="000A4DD0"/>
    <w:rsid w:val="000A562E"/>
    <w:rsid w:val="000A57E4"/>
    <w:rsid w:val="000A61BA"/>
    <w:rsid w:val="000A62E4"/>
    <w:rsid w:val="000A62FE"/>
    <w:rsid w:val="000A748C"/>
    <w:rsid w:val="000A7584"/>
    <w:rsid w:val="000A7A40"/>
    <w:rsid w:val="000A7CB6"/>
    <w:rsid w:val="000A7DDC"/>
    <w:rsid w:val="000A7F96"/>
    <w:rsid w:val="000B268C"/>
    <w:rsid w:val="000B2B80"/>
    <w:rsid w:val="000B2EE9"/>
    <w:rsid w:val="000B2F37"/>
    <w:rsid w:val="000B3290"/>
    <w:rsid w:val="000B34E3"/>
    <w:rsid w:val="000B3E38"/>
    <w:rsid w:val="000B3FC2"/>
    <w:rsid w:val="000B465F"/>
    <w:rsid w:val="000B5941"/>
    <w:rsid w:val="000B5ACE"/>
    <w:rsid w:val="000B6C19"/>
    <w:rsid w:val="000B6E81"/>
    <w:rsid w:val="000B6F58"/>
    <w:rsid w:val="000B729D"/>
    <w:rsid w:val="000B751C"/>
    <w:rsid w:val="000B79BE"/>
    <w:rsid w:val="000B7EB4"/>
    <w:rsid w:val="000C0702"/>
    <w:rsid w:val="000C08D1"/>
    <w:rsid w:val="000C311F"/>
    <w:rsid w:val="000C4012"/>
    <w:rsid w:val="000C43F1"/>
    <w:rsid w:val="000C5A41"/>
    <w:rsid w:val="000C605D"/>
    <w:rsid w:val="000C6768"/>
    <w:rsid w:val="000C742F"/>
    <w:rsid w:val="000C74E2"/>
    <w:rsid w:val="000C7642"/>
    <w:rsid w:val="000D03DD"/>
    <w:rsid w:val="000D055A"/>
    <w:rsid w:val="000D0A11"/>
    <w:rsid w:val="000D14E8"/>
    <w:rsid w:val="000D1FDF"/>
    <w:rsid w:val="000D22BB"/>
    <w:rsid w:val="000D2456"/>
    <w:rsid w:val="000D28A9"/>
    <w:rsid w:val="000D2EFC"/>
    <w:rsid w:val="000D2F71"/>
    <w:rsid w:val="000D3627"/>
    <w:rsid w:val="000D55A7"/>
    <w:rsid w:val="000D6C1B"/>
    <w:rsid w:val="000D72D7"/>
    <w:rsid w:val="000D7483"/>
    <w:rsid w:val="000D7948"/>
    <w:rsid w:val="000D7B91"/>
    <w:rsid w:val="000D7B9D"/>
    <w:rsid w:val="000E0052"/>
    <w:rsid w:val="000E01B9"/>
    <w:rsid w:val="000E0327"/>
    <w:rsid w:val="000E05F3"/>
    <w:rsid w:val="000E10ED"/>
    <w:rsid w:val="000E25A1"/>
    <w:rsid w:val="000E2D88"/>
    <w:rsid w:val="000E2DC6"/>
    <w:rsid w:val="000E31CD"/>
    <w:rsid w:val="000E3D4C"/>
    <w:rsid w:val="000E45FB"/>
    <w:rsid w:val="000E4BED"/>
    <w:rsid w:val="000E4C7B"/>
    <w:rsid w:val="000E4FBB"/>
    <w:rsid w:val="000E515B"/>
    <w:rsid w:val="000E570C"/>
    <w:rsid w:val="000E5BCD"/>
    <w:rsid w:val="000E68EA"/>
    <w:rsid w:val="000E7623"/>
    <w:rsid w:val="000E7668"/>
    <w:rsid w:val="000F0B9E"/>
    <w:rsid w:val="000F0D1C"/>
    <w:rsid w:val="000F0D6C"/>
    <w:rsid w:val="000F111D"/>
    <w:rsid w:val="000F11FB"/>
    <w:rsid w:val="000F1318"/>
    <w:rsid w:val="000F1730"/>
    <w:rsid w:val="000F20D9"/>
    <w:rsid w:val="000F2103"/>
    <w:rsid w:val="000F22DA"/>
    <w:rsid w:val="000F2540"/>
    <w:rsid w:val="000F35E6"/>
    <w:rsid w:val="000F3795"/>
    <w:rsid w:val="000F384A"/>
    <w:rsid w:val="000F3896"/>
    <w:rsid w:val="000F4467"/>
    <w:rsid w:val="000F4F11"/>
    <w:rsid w:val="000F4F95"/>
    <w:rsid w:val="000F5B25"/>
    <w:rsid w:val="000F6864"/>
    <w:rsid w:val="000F6D5A"/>
    <w:rsid w:val="000F6FEE"/>
    <w:rsid w:val="000F71CC"/>
    <w:rsid w:val="000F7C29"/>
    <w:rsid w:val="000F7D0E"/>
    <w:rsid w:val="0010013C"/>
    <w:rsid w:val="00100492"/>
    <w:rsid w:val="001006F0"/>
    <w:rsid w:val="00100BA6"/>
    <w:rsid w:val="00100C1D"/>
    <w:rsid w:val="0010101D"/>
    <w:rsid w:val="001014FF"/>
    <w:rsid w:val="00101613"/>
    <w:rsid w:val="00101745"/>
    <w:rsid w:val="00101D7D"/>
    <w:rsid w:val="00102D03"/>
    <w:rsid w:val="00103322"/>
    <w:rsid w:val="0010371B"/>
    <w:rsid w:val="00103AF8"/>
    <w:rsid w:val="0010494F"/>
    <w:rsid w:val="00104CD1"/>
    <w:rsid w:val="00104D1A"/>
    <w:rsid w:val="00105084"/>
    <w:rsid w:val="00105193"/>
    <w:rsid w:val="00105544"/>
    <w:rsid w:val="00105B00"/>
    <w:rsid w:val="0010613D"/>
    <w:rsid w:val="00106537"/>
    <w:rsid w:val="0010693B"/>
    <w:rsid w:val="00106BE0"/>
    <w:rsid w:val="0010777F"/>
    <w:rsid w:val="0011101F"/>
    <w:rsid w:val="001111C2"/>
    <w:rsid w:val="001114DE"/>
    <w:rsid w:val="00111869"/>
    <w:rsid w:val="00111A44"/>
    <w:rsid w:val="00111F0F"/>
    <w:rsid w:val="001128C9"/>
    <w:rsid w:val="00112DE2"/>
    <w:rsid w:val="00113513"/>
    <w:rsid w:val="0011356D"/>
    <w:rsid w:val="00113B14"/>
    <w:rsid w:val="00113FBF"/>
    <w:rsid w:val="00114014"/>
    <w:rsid w:val="0011423D"/>
    <w:rsid w:val="00114D80"/>
    <w:rsid w:val="001151E5"/>
    <w:rsid w:val="00115F84"/>
    <w:rsid w:val="001165F9"/>
    <w:rsid w:val="00116E37"/>
    <w:rsid w:val="001170DB"/>
    <w:rsid w:val="00117412"/>
    <w:rsid w:val="001174EB"/>
    <w:rsid w:val="001176C3"/>
    <w:rsid w:val="00120C5B"/>
    <w:rsid w:val="00120FCD"/>
    <w:rsid w:val="00121111"/>
    <w:rsid w:val="00121203"/>
    <w:rsid w:val="001220CA"/>
    <w:rsid w:val="00122941"/>
    <w:rsid w:val="001231CE"/>
    <w:rsid w:val="00123375"/>
    <w:rsid w:val="00123802"/>
    <w:rsid w:val="00123D21"/>
    <w:rsid w:val="00123DC6"/>
    <w:rsid w:val="00123F81"/>
    <w:rsid w:val="0012456C"/>
    <w:rsid w:val="00124A5E"/>
    <w:rsid w:val="00125627"/>
    <w:rsid w:val="00125C5F"/>
    <w:rsid w:val="00125E1D"/>
    <w:rsid w:val="001260A0"/>
    <w:rsid w:val="0012697D"/>
    <w:rsid w:val="00126FAA"/>
    <w:rsid w:val="0012797E"/>
    <w:rsid w:val="00127E5E"/>
    <w:rsid w:val="0013015E"/>
    <w:rsid w:val="00130A7A"/>
    <w:rsid w:val="001313C3"/>
    <w:rsid w:val="00131517"/>
    <w:rsid w:val="00131A77"/>
    <w:rsid w:val="00131B43"/>
    <w:rsid w:val="0013252B"/>
    <w:rsid w:val="00132677"/>
    <w:rsid w:val="00132C3A"/>
    <w:rsid w:val="00133684"/>
    <w:rsid w:val="001337E4"/>
    <w:rsid w:val="00133BA6"/>
    <w:rsid w:val="00134C35"/>
    <w:rsid w:val="00134D3A"/>
    <w:rsid w:val="00134DB5"/>
    <w:rsid w:val="00135557"/>
    <w:rsid w:val="001378A9"/>
    <w:rsid w:val="00140412"/>
    <w:rsid w:val="00141364"/>
    <w:rsid w:val="00141760"/>
    <w:rsid w:val="00141C26"/>
    <w:rsid w:val="00141D98"/>
    <w:rsid w:val="00141E57"/>
    <w:rsid w:val="00142F3D"/>
    <w:rsid w:val="001430ED"/>
    <w:rsid w:val="001437B9"/>
    <w:rsid w:val="00143D99"/>
    <w:rsid w:val="00144BF3"/>
    <w:rsid w:val="00144E73"/>
    <w:rsid w:val="00145928"/>
    <w:rsid w:val="001468F6"/>
    <w:rsid w:val="00146FD7"/>
    <w:rsid w:val="00147086"/>
    <w:rsid w:val="001501A4"/>
    <w:rsid w:val="00150989"/>
    <w:rsid w:val="00151166"/>
    <w:rsid w:val="00151D9A"/>
    <w:rsid w:val="0015245C"/>
    <w:rsid w:val="00153031"/>
    <w:rsid w:val="00153234"/>
    <w:rsid w:val="00153AE6"/>
    <w:rsid w:val="00153B73"/>
    <w:rsid w:val="00153DAD"/>
    <w:rsid w:val="00154C4F"/>
    <w:rsid w:val="001550D4"/>
    <w:rsid w:val="00155774"/>
    <w:rsid w:val="0015662E"/>
    <w:rsid w:val="0015669F"/>
    <w:rsid w:val="001568F1"/>
    <w:rsid w:val="00156BE1"/>
    <w:rsid w:val="00156E1B"/>
    <w:rsid w:val="00156EC3"/>
    <w:rsid w:val="00157319"/>
    <w:rsid w:val="0015798E"/>
    <w:rsid w:val="00157A84"/>
    <w:rsid w:val="0016005F"/>
    <w:rsid w:val="001601FC"/>
    <w:rsid w:val="00160565"/>
    <w:rsid w:val="00160622"/>
    <w:rsid w:val="001606BC"/>
    <w:rsid w:val="001608DC"/>
    <w:rsid w:val="00160AA5"/>
    <w:rsid w:val="00160B7C"/>
    <w:rsid w:val="001612D4"/>
    <w:rsid w:val="001620E4"/>
    <w:rsid w:val="00162420"/>
    <w:rsid w:val="00162B6C"/>
    <w:rsid w:val="00162FAC"/>
    <w:rsid w:val="00163177"/>
    <w:rsid w:val="001636CA"/>
    <w:rsid w:val="00163AA3"/>
    <w:rsid w:val="00164401"/>
    <w:rsid w:val="0016452F"/>
    <w:rsid w:val="00164E4C"/>
    <w:rsid w:val="00164E87"/>
    <w:rsid w:val="00165945"/>
    <w:rsid w:val="00166620"/>
    <w:rsid w:val="0016722A"/>
    <w:rsid w:val="001673DD"/>
    <w:rsid w:val="00167F11"/>
    <w:rsid w:val="001702C1"/>
    <w:rsid w:val="001705A4"/>
    <w:rsid w:val="00170E17"/>
    <w:rsid w:val="00171B97"/>
    <w:rsid w:val="00172C4A"/>
    <w:rsid w:val="00172EBB"/>
    <w:rsid w:val="001730AD"/>
    <w:rsid w:val="001738D5"/>
    <w:rsid w:val="00173C65"/>
    <w:rsid w:val="00174147"/>
    <w:rsid w:val="00174BC7"/>
    <w:rsid w:val="0017570D"/>
    <w:rsid w:val="001758E3"/>
    <w:rsid w:val="00175B2F"/>
    <w:rsid w:val="00175C84"/>
    <w:rsid w:val="00176413"/>
    <w:rsid w:val="0017677A"/>
    <w:rsid w:val="0017723D"/>
    <w:rsid w:val="001778EE"/>
    <w:rsid w:val="00177A43"/>
    <w:rsid w:val="00181B65"/>
    <w:rsid w:val="001825E3"/>
    <w:rsid w:val="0018278F"/>
    <w:rsid w:val="001827DB"/>
    <w:rsid w:val="001833FA"/>
    <w:rsid w:val="00183872"/>
    <w:rsid w:val="00183AC1"/>
    <w:rsid w:val="00183C59"/>
    <w:rsid w:val="00183C90"/>
    <w:rsid w:val="001841F8"/>
    <w:rsid w:val="00184699"/>
    <w:rsid w:val="001847EC"/>
    <w:rsid w:val="00185B5E"/>
    <w:rsid w:val="00186183"/>
    <w:rsid w:val="00186371"/>
    <w:rsid w:val="001863DE"/>
    <w:rsid w:val="00186887"/>
    <w:rsid w:val="001902E6"/>
    <w:rsid w:val="00190CD2"/>
    <w:rsid w:val="0019174A"/>
    <w:rsid w:val="00191B1A"/>
    <w:rsid w:val="00191BDC"/>
    <w:rsid w:val="00192271"/>
    <w:rsid w:val="00192C49"/>
    <w:rsid w:val="00192EB0"/>
    <w:rsid w:val="00192EBC"/>
    <w:rsid w:val="00193D5D"/>
    <w:rsid w:val="00193D64"/>
    <w:rsid w:val="001954C8"/>
    <w:rsid w:val="00196484"/>
    <w:rsid w:val="001967BB"/>
    <w:rsid w:val="0019697F"/>
    <w:rsid w:val="00196BDC"/>
    <w:rsid w:val="00197F3D"/>
    <w:rsid w:val="00197FBC"/>
    <w:rsid w:val="001A024E"/>
    <w:rsid w:val="001A0F0D"/>
    <w:rsid w:val="001A13ED"/>
    <w:rsid w:val="001A1EB1"/>
    <w:rsid w:val="001A29C7"/>
    <w:rsid w:val="001A2E48"/>
    <w:rsid w:val="001A2EE1"/>
    <w:rsid w:val="001A3239"/>
    <w:rsid w:val="001A4119"/>
    <w:rsid w:val="001A4728"/>
    <w:rsid w:val="001A4A0C"/>
    <w:rsid w:val="001A4C45"/>
    <w:rsid w:val="001A5010"/>
    <w:rsid w:val="001A516A"/>
    <w:rsid w:val="001A53C8"/>
    <w:rsid w:val="001A53F8"/>
    <w:rsid w:val="001A5F4A"/>
    <w:rsid w:val="001A6370"/>
    <w:rsid w:val="001A67DF"/>
    <w:rsid w:val="001A6D4A"/>
    <w:rsid w:val="001A763D"/>
    <w:rsid w:val="001B0107"/>
    <w:rsid w:val="001B0FDF"/>
    <w:rsid w:val="001B1A49"/>
    <w:rsid w:val="001B1B99"/>
    <w:rsid w:val="001B1D8A"/>
    <w:rsid w:val="001B22BE"/>
    <w:rsid w:val="001B25E6"/>
    <w:rsid w:val="001B3549"/>
    <w:rsid w:val="001B3867"/>
    <w:rsid w:val="001B3ED7"/>
    <w:rsid w:val="001B3F8D"/>
    <w:rsid w:val="001B4783"/>
    <w:rsid w:val="001B48DC"/>
    <w:rsid w:val="001B54B3"/>
    <w:rsid w:val="001B571A"/>
    <w:rsid w:val="001B60C7"/>
    <w:rsid w:val="001B6B4F"/>
    <w:rsid w:val="001B6B53"/>
    <w:rsid w:val="001B71E4"/>
    <w:rsid w:val="001B7E44"/>
    <w:rsid w:val="001C0036"/>
    <w:rsid w:val="001C0238"/>
    <w:rsid w:val="001C0820"/>
    <w:rsid w:val="001C167C"/>
    <w:rsid w:val="001C1729"/>
    <w:rsid w:val="001C1A4D"/>
    <w:rsid w:val="001C1F2E"/>
    <w:rsid w:val="001C2146"/>
    <w:rsid w:val="001C2BE6"/>
    <w:rsid w:val="001C2DA4"/>
    <w:rsid w:val="001C30D9"/>
    <w:rsid w:val="001C3135"/>
    <w:rsid w:val="001C318A"/>
    <w:rsid w:val="001C3425"/>
    <w:rsid w:val="001C3426"/>
    <w:rsid w:val="001C39ED"/>
    <w:rsid w:val="001C3F3A"/>
    <w:rsid w:val="001C4215"/>
    <w:rsid w:val="001C48FF"/>
    <w:rsid w:val="001C53A5"/>
    <w:rsid w:val="001C53B1"/>
    <w:rsid w:val="001C5AAD"/>
    <w:rsid w:val="001C6734"/>
    <w:rsid w:val="001C696C"/>
    <w:rsid w:val="001C6AC7"/>
    <w:rsid w:val="001C7041"/>
    <w:rsid w:val="001C730F"/>
    <w:rsid w:val="001C732B"/>
    <w:rsid w:val="001C7C12"/>
    <w:rsid w:val="001D02A4"/>
    <w:rsid w:val="001D040D"/>
    <w:rsid w:val="001D07C1"/>
    <w:rsid w:val="001D11B8"/>
    <w:rsid w:val="001D23E9"/>
    <w:rsid w:val="001D266F"/>
    <w:rsid w:val="001D27AE"/>
    <w:rsid w:val="001D2BAD"/>
    <w:rsid w:val="001D35E2"/>
    <w:rsid w:val="001D3602"/>
    <w:rsid w:val="001D38BD"/>
    <w:rsid w:val="001D4A1D"/>
    <w:rsid w:val="001D4D50"/>
    <w:rsid w:val="001D65AE"/>
    <w:rsid w:val="001D7058"/>
    <w:rsid w:val="001D78B7"/>
    <w:rsid w:val="001D7DE0"/>
    <w:rsid w:val="001D7EBD"/>
    <w:rsid w:val="001D7F35"/>
    <w:rsid w:val="001E05C6"/>
    <w:rsid w:val="001E08F0"/>
    <w:rsid w:val="001E0E76"/>
    <w:rsid w:val="001E213B"/>
    <w:rsid w:val="001E21C3"/>
    <w:rsid w:val="001E2658"/>
    <w:rsid w:val="001E2CFB"/>
    <w:rsid w:val="001E3408"/>
    <w:rsid w:val="001E342B"/>
    <w:rsid w:val="001E3E15"/>
    <w:rsid w:val="001E3EC4"/>
    <w:rsid w:val="001E48A6"/>
    <w:rsid w:val="001E4C1C"/>
    <w:rsid w:val="001E4EC5"/>
    <w:rsid w:val="001E51E9"/>
    <w:rsid w:val="001E5417"/>
    <w:rsid w:val="001E5445"/>
    <w:rsid w:val="001E5511"/>
    <w:rsid w:val="001E5B48"/>
    <w:rsid w:val="001E5D4B"/>
    <w:rsid w:val="001E6066"/>
    <w:rsid w:val="001E62AC"/>
    <w:rsid w:val="001E6480"/>
    <w:rsid w:val="001E6CA0"/>
    <w:rsid w:val="001E72CE"/>
    <w:rsid w:val="001E73AB"/>
    <w:rsid w:val="001E7F50"/>
    <w:rsid w:val="001F0488"/>
    <w:rsid w:val="001F068F"/>
    <w:rsid w:val="001F0B14"/>
    <w:rsid w:val="001F1230"/>
    <w:rsid w:val="001F1A65"/>
    <w:rsid w:val="001F1ADA"/>
    <w:rsid w:val="001F22FF"/>
    <w:rsid w:val="001F2321"/>
    <w:rsid w:val="001F23DB"/>
    <w:rsid w:val="001F2A13"/>
    <w:rsid w:val="001F2BD2"/>
    <w:rsid w:val="001F2D5E"/>
    <w:rsid w:val="001F3EFC"/>
    <w:rsid w:val="001F4060"/>
    <w:rsid w:val="001F433A"/>
    <w:rsid w:val="001F55D5"/>
    <w:rsid w:val="001F5E0B"/>
    <w:rsid w:val="001F6138"/>
    <w:rsid w:val="001F6B1A"/>
    <w:rsid w:val="001F71E9"/>
    <w:rsid w:val="001F7640"/>
    <w:rsid w:val="001F794B"/>
    <w:rsid w:val="001F7B55"/>
    <w:rsid w:val="002004D3"/>
    <w:rsid w:val="002005B0"/>
    <w:rsid w:val="002007B5"/>
    <w:rsid w:val="00200DA8"/>
    <w:rsid w:val="002013B2"/>
    <w:rsid w:val="00201CF3"/>
    <w:rsid w:val="00201E09"/>
    <w:rsid w:val="00201F63"/>
    <w:rsid w:val="00202635"/>
    <w:rsid w:val="0020440E"/>
    <w:rsid w:val="002048E1"/>
    <w:rsid w:val="00204C43"/>
    <w:rsid w:val="00204F07"/>
    <w:rsid w:val="002054CA"/>
    <w:rsid w:val="00205839"/>
    <w:rsid w:val="002058CD"/>
    <w:rsid w:val="00206720"/>
    <w:rsid w:val="0020694F"/>
    <w:rsid w:val="00206A2D"/>
    <w:rsid w:val="00206C74"/>
    <w:rsid w:val="00206D32"/>
    <w:rsid w:val="0020771F"/>
    <w:rsid w:val="00207F42"/>
    <w:rsid w:val="00210953"/>
    <w:rsid w:val="00210B26"/>
    <w:rsid w:val="00210EBA"/>
    <w:rsid w:val="00211405"/>
    <w:rsid w:val="00211442"/>
    <w:rsid w:val="00211588"/>
    <w:rsid w:val="00211B98"/>
    <w:rsid w:val="00211BE8"/>
    <w:rsid w:val="002121F2"/>
    <w:rsid w:val="00212C19"/>
    <w:rsid w:val="00213024"/>
    <w:rsid w:val="00213B95"/>
    <w:rsid w:val="00213D45"/>
    <w:rsid w:val="0021436A"/>
    <w:rsid w:val="00214830"/>
    <w:rsid w:val="002158D0"/>
    <w:rsid w:val="00215F5E"/>
    <w:rsid w:val="002161E3"/>
    <w:rsid w:val="0021645F"/>
    <w:rsid w:val="002165C9"/>
    <w:rsid w:val="00217A24"/>
    <w:rsid w:val="00217C4E"/>
    <w:rsid w:val="00217D46"/>
    <w:rsid w:val="00217E3D"/>
    <w:rsid w:val="00220CE0"/>
    <w:rsid w:val="00221475"/>
    <w:rsid w:val="00221764"/>
    <w:rsid w:val="00221C10"/>
    <w:rsid w:val="0022223E"/>
    <w:rsid w:val="00222BBB"/>
    <w:rsid w:val="0022301F"/>
    <w:rsid w:val="002234B5"/>
    <w:rsid w:val="002235CE"/>
    <w:rsid w:val="002238B5"/>
    <w:rsid w:val="002242F7"/>
    <w:rsid w:val="00224565"/>
    <w:rsid w:val="00224B35"/>
    <w:rsid w:val="00225BD2"/>
    <w:rsid w:val="00225C83"/>
    <w:rsid w:val="00226C4F"/>
    <w:rsid w:val="00227329"/>
    <w:rsid w:val="0022734C"/>
    <w:rsid w:val="0022772C"/>
    <w:rsid w:val="002278A7"/>
    <w:rsid w:val="00230396"/>
    <w:rsid w:val="0023041D"/>
    <w:rsid w:val="00230BAB"/>
    <w:rsid w:val="00230C61"/>
    <w:rsid w:val="00230E37"/>
    <w:rsid w:val="002312FC"/>
    <w:rsid w:val="00231BED"/>
    <w:rsid w:val="00232671"/>
    <w:rsid w:val="002330BF"/>
    <w:rsid w:val="002331D4"/>
    <w:rsid w:val="0023396C"/>
    <w:rsid w:val="00233E2F"/>
    <w:rsid w:val="00234178"/>
    <w:rsid w:val="0023461E"/>
    <w:rsid w:val="002350C8"/>
    <w:rsid w:val="0023535F"/>
    <w:rsid w:val="00235949"/>
    <w:rsid w:val="002368F3"/>
    <w:rsid w:val="00237CB3"/>
    <w:rsid w:val="00237E9A"/>
    <w:rsid w:val="002400EB"/>
    <w:rsid w:val="002408D8"/>
    <w:rsid w:val="00241B87"/>
    <w:rsid w:val="002423C7"/>
    <w:rsid w:val="002430F3"/>
    <w:rsid w:val="002435E3"/>
    <w:rsid w:val="00243DC2"/>
    <w:rsid w:val="002449A0"/>
    <w:rsid w:val="00244E15"/>
    <w:rsid w:val="0024557D"/>
    <w:rsid w:val="00245A68"/>
    <w:rsid w:val="00245B03"/>
    <w:rsid w:val="00246A33"/>
    <w:rsid w:val="00246C7B"/>
    <w:rsid w:val="0024751F"/>
    <w:rsid w:val="00247606"/>
    <w:rsid w:val="00247BB1"/>
    <w:rsid w:val="002501D2"/>
    <w:rsid w:val="00251198"/>
    <w:rsid w:val="0025141A"/>
    <w:rsid w:val="0025173B"/>
    <w:rsid w:val="00251D00"/>
    <w:rsid w:val="00251DBE"/>
    <w:rsid w:val="00251F9B"/>
    <w:rsid w:val="002520C7"/>
    <w:rsid w:val="002521B4"/>
    <w:rsid w:val="002526A0"/>
    <w:rsid w:val="00252D64"/>
    <w:rsid w:val="00252D9D"/>
    <w:rsid w:val="00252E14"/>
    <w:rsid w:val="002533FB"/>
    <w:rsid w:val="00253A84"/>
    <w:rsid w:val="00253F2A"/>
    <w:rsid w:val="00253F56"/>
    <w:rsid w:val="00253FD2"/>
    <w:rsid w:val="00254759"/>
    <w:rsid w:val="002554CF"/>
    <w:rsid w:val="00255A6D"/>
    <w:rsid w:val="00255DCB"/>
    <w:rsid w:val="00256382"/>
    <w:rsid w:val="0025659B"/>
    <w:rsid w:val="0025691E"/>
    <w:rsid w:val="002569A7"/>
    <w:rsid w:val="00256A4C"/>
    <w:rsid w:val="00256A84"/>
    <w:rsid w:val="00256C1B"/>
    <w:rsid w:val="0025732A"/>
    <w:rsid w:val="002579E8"/>
    <w:rsid w:val="00257FD5"/>
    <w:rsid w:val="00260041"/>
    <w:rsid w:val="002603D9"/>
    <w:rsid w:val="00260547"/>
    <w:rsid w:val="002605CA"/>
    <w:rsid w:val="0026067F"/>
    <w:rsid w:val="0026080C"/>
    <w:rsid w:val="00260A97"/>
    <w:rsid w:val="00260CDE"/>
    <w:rsid w:val="0026134F"/>
    <w:rsid w:val="0026191C"/>
    <w:rsid w:val="002626A2"/>
    <w:rsid w:val="00263EDB"/>
    <w:rsid w:val="00264618"/>
    <w:rsid w:val="00264A20"/>
    <w:rsid w:val="00264ABB"/>
    <w:rsid w:val="00264FEB"/>
    <w:rsid w:val="00265501"/>
    <w:rsid w:val="00265536"/>
    <w:rsid w:val="00266167"/>
    <w:rsid w:val="00266270"/>
    <w:rsid w:val="00266827"/>
    <w:rsid w:val="00266E89"/>
    <w:rsid w:val="00267C79"/>
    <w:rsid w:val="00267CA4"/>
    <w:rsid w:val="00267DC4"/>
    <w:rsid w:val="00267DE6"/>
    <w:rsid w:val="00270D33"/>
    <w:rsid w:val="00272387"/>
    <w:rsid w:val="0027282F"/>
    <w:rsid w:val="00272A33"/>
    <w:rsid w:val="00272A77"/>
    <w:rsid w:val="00272D83"/>
    <w:rsid w:val="0027313B"/>
    <w:rsid w:val="002731BE"/>
    <w:rsid w:val="002731E4"/>
    <w:rsid w:val="00273B62"/>
    <w:rsid w:val="00274284"/>
    <w:rsid w:val="00274861"/>
    <w:rsid w:val="00274964"/>
    <w:rsid w:val="00274BBF"/>
    <w:rsid w:val="00275124"/>
    <w:rsid w:val="002751AE"/>
    <w:rsid w:val="002753CE"/>
    <w:rsid w:val="00275661"/>
    <w:rsid w:val="00275807"/>
    <w:rsid w:val="00275B97"/>
    <w:rsid w:val="0027614D"/>
    <w:rsid w:val="00277004"/>
    <w:rsid w:val="002770B4"/>
    <w:rsid w:val="002778C1"/>
    <w:rsid w:val="002778EE"/>
    <w:rsid w:val="002807D4"/>
    <w:rsid w:val="0028097F"/>
    <w:rsid w:val="00280E7C"/>
    <w:rsid w:val="00281A4F"/>
    <w:rsid w:val="00281B36"/>
    <w:rsid w:val="00281C25"/>
    <w:rsid w:val="00281D3B"/>
    <w:rsid w:val="0028264D"/>
    <w:rsid w:val="002826C5"/>
    <w:rsid w:val="00282B41"/>
    <w:rsid w:val="00282C6C"/>
    <w:rsid w:val="00282D52"/>
    <w:rsid w:val="0028339F"/>
    <w:rsid w:val="002834FD"/>
    <w:rsid w:val="002836FA"/>
    <w:rsid w:val="002838E3"/>
    <w:rsid w:val="002843E3"/>
    <w:rsid w:val="00284E29"/>
    <w:rsid w:val="00285550"/>
    <w:rsid w:val="00285919"/>
    <w:rsid w:val="00285EB8"/>
    <w:rsid w:val="0028615A"/>
    <w:rsid w:val="002863A0"/>
    <w:rsid w:val="00286887"/>
    <w:rsid w:val="00286989"/>
    <w:rsid w:val="00286D69"/>
    <w:rsid w:val="00286EE2"/>
    <w:rsid w:val="00286F7C"/>
    <w:rsid w:val="002873C5"/>
    <w:rsid w:val="00287BE6"/>
    <w:rsid w:val="00287C6C"/>
    <w:rsid w:val="00287DDC"/>
    <w:rsid w:val="002900DF"/>
    <w:rsid w:val="0029085A"/>
    <w:rsid w:val="002909AF"/>
    <w:rsid w:val="00290E28"/>
    <w:rsid w:val="00290FBE"/>
    <w:rsid w:val="0029156C"/>
    <w:rsid w:val="0029174A"/>
    <w:rsid w:val="00291ADD"/>
    <w:rsid w:val="002928CD"/>
    <w:rsid w:val="00292CD9"/>
    <w:rsid w:val="002931D9"/>
    <w:rsid w:val="00293234"/>
    <w:rsid w:val="00293920"/>
    <w:rsid w:val="002942DA"/>
    <w:rsid w:val="002945CA"/>
    <w:rsid w:val="002948B2"/>
    <w:rsid w:val="002948E1"/>
    <w:rsid w:val="002958B5"/>
    <w:rsid w:val="00295962"/>
    <w:rsid w:val="00296612"/>
    <w:rsid w:val="00296D02"/>
    <w:rsid w:val="00296EA7"/>
    <w:rsid w:val="00297030"/>
    <w:rsid w:val="002975F2"/>
    <w:rsid w:val="0029779D"/>
    <w:rsid w:val="00297C2E"/>
    <w:rsid w:val="002A072E"/>
    <w:rsid w:val="002A07B1"/>
    <w:rsid w:val="002A0954"/>
    <w:rsid w:val="002A1416"/>
    <w:rsid w:val="002A1B5F"/>
    <w:rsid w:val="002A1C25"/>
    <w:rsid w:val="002A1E1B"/>
    <w:rsid w:val="002A248C"/>
    <w:rsid w:val="002A25E8"/>
    <w:rsid w:val="002A2A68"/>
    <w:rsid w:val="002A2A70"/>
    <w:rsid w:val="002A2DF0"/>
    <w:rsid w:val="002A31D7"/>
    <w:rsid w:val="002A3647"/>
    <w:rsid w:val="002A3A6E"/>
    <w:rsid w:val="002A3AC8"/>
    <w:rsid w:val="002A41BE"/>
    <w:rsid w:val="002A4A46"/>
    <w:rsid w:val="002A4B76"/>
    <w:rsid w:val="002A4E16"/>
    <w:rsid w:val="002A533A"/>
    <w:rsid w:val="002A53EA"/>
    <w:rsid w:val="002A55E1"/>
    <w:rsid w:val="002A55F2"/>
    <w:rsid w:val="002A5B9B"/>
    <w:rsid w:val="002A5D29"/>
    <w:rsid w:val="002A63DE"/>
    <w:rsid w:val="002A669F"/>
    <w:rsid w:val="002A66C8"/>
    <w:rsid w:val="002A6C18"/>
    <w:rsid w:val="002A6C1F"/>
    <w:rsid w:val="002A6F9C"/>
    <w:rsid w:val="002A71F9"/>
    <w:rsid w:val="002A732A"/>
    <w:rsid w:val="002A740E"/>
    <w:rsid w:val="002A7F6A"/>
    <w:rsid w:val="002B0C7E"/>
    <w:rsid w:val="002B1289"/>
    <w:rsid w:val="002B1475"/>
    <w:rsid w:val="002B17F1"/>
    <w:rsid w:val="002B2A68"/>
    <w:rsid w:val="002B332A"/>
    <w:rsid w:val="002B3767"/>
    <w:rsid w:val="002B3808"/>
    <w:rsid w:val="002B38D2"/>
    <w:rsid w:val="002B3979"/>
    <w:rsid w:val="002B472E"/>
    <w:rsid w:val="002B4B0D"/>
    <w:rsid w:val="002B4B12"/>
    <w:rsid w:val="002B4DED"/>
    <w:rsid w:val="002B553D"/>
    <w:rsid w:val="002B574E"/>
    <w:rsid w:val="002B66D1"/>
    <w:rsid w:val="002B6F49"/>
    <w:rsid w:val="002B75C7"/>
    <w:rsid w:val="002B7B55"/>
    <w:rsid w:val="002C0012"/>
    <w:rsid w:val="002C011D"/>
    <w:rsid w:val="002C0C85"/>
    <w:rsid w:val="002C115E"/>
    <w:rsid w:val="002C1218"/>
    <w:rsid w:val="002C1305"/>
    <w:rsid w:val="002C19D9"/>
    <w:rsid w:val="002C1CA4"/>
    <w:rsid w:val="002C2862"/>
    <w:rsid w:val="002C32B2"/>
    <w:rsid w:val="002C33C4"/>
    <w:rsid w:val="002C40F1"/>
    <w:rsid w:val="002C416E"/>
    <w:rsid w:val="002C4423"/>
    <w:rsid w:val="002C4BF6"/>
    <w:rsid w:val="002C4F46"/>
    <w:rsid w:val="002C4FA3"/>
    <w:rsid w:val="002C5444"/>
    <w:rsid w:val="002C5653"/>
    <w:rsid w:val="002C5D97"/>
    <w:rsid w:val="002C5DAD"/>
    <w:rsid w:val="002C5E13"/>
    <w:rsid w:val="002C5EE0"/>
    <w:rsid w:val="002C5FFD"/>
    <w:rsid w:val="002C6BD7"/>
    <w:rsid w:val="002C6E17"/>
    <w:rsid w:val="002C79AC"/>
    <w:rsid w:val="002C7DF3"/>
    <w:rsid w:val="002D00EE"/>
    <w:rsid w:val="002D01F7"/>
    <w:rsid w:val="002D0548"/>
    <w:rsid w:val="002D088D"/>
    <w:rsid w:val="002D0B6B"/>
    <w:rsid w:val="002D1465"/>
    <w:rsid w:val="002D1892"/>
    <w:rsid w:val="002D24FB"/>
    <w:rsid w:val="002D2D30"/>
    <w:rsid w:val="002D2E32"/>
    <w:rsid w:val="002D33FF"/>
    <w:rsid w:val="002D34A4"/>
    <w:rsid w:val="002D3A68"/>
    <w:rsid w:val="002D3EE5"/>
    <w:rsid w:val="002D4076"/>
    <w:rsid w:val="002D43F8"/>
    <w:rsid w:val="002D4639"/>
    <w:rsid w:val="002D4804"/>
    <w:rsid w:val="002D4B62"/>
    <w:rsid w:val="002D59AB"/>
    <w:rsid w:val="002D5A50"/>
    <w:rsid w:val="002D5C5B"/>
    <w:rsid w:val="002D6210"/>
    <w:rsid w:val="002D650D"/>
    <w:rsid w:val="002D6784"/>
    <w:rsid w:val="002D68A2"/>
    <w:rsid w:val="002D70CE"/>
    <w:rsid w:val="002D716A"/>
    <w:rsid w:val="002D758F"/>
    <w:rsid w:val="002D7778"/>
    <w:rsid w:val="002D78D7"/>
    <w:rsid w:val="002E00E4"/>
    <w:rsid w:val="002E035D"/>
    <w:rsid w:val="002E0503"/>
    <w:rsid w:val="002E0A09"/>
    <w:rsid w:val="002E1177"/>
    <w:rsid w:val="002E16FC"/>
    <w:rsid w:val="002E1FA0"/>
    <w:rsid w:val="002E21DB"/>
    <w:rsid w:val="002E2586"/>
    <w:rsid w:val="002E2908"/>
    <w:rsid w:val="002E3045"/>
    <w:rsid w:val="002E491C"/>
    <w:rsid w:val="002E495C"/>
    <w:rsid w:val="002E4FE9"/>
    <w:rsid w:val="002E54FC"/>
    <w:rsid w:val="002E5790"/>
    <w:rsid w:val="002E6160"/>
    <w:rsid w:val="002E6846"/>
    <w:rsid w:val="002E6E40"/>
    <w:rsid w:val="002E6EE9"/>
    <w:rsid w:val="002E6FD6"/>
    <w:rsid w:val="002E702F"/>
    <w:rsid w:val="002E7048"/>
    <w:rsid w:val="002E71C7"/>
    <w:rsid w:val="002E7769"/>
    <w:rsid w:val="002E7C16"/>
    <w:rsid w:val="002F00D4"/>
    <w:rsid w:val="002F0278"/>
    <w:rsid w:val="002F04AB"/>
    <w:rsid w:val="002F0636"/>
    <w:rsid w:val="002F0A6D"/>
    <w:rsid w:val="002F0ADE"/>
    <w:rsid w:val="002F0CED"/>
    <w:rsid w:val="002F0D44"/>
    <w:rsid w:val="002F1820"/>
    <w:rsid w:val="002F1870"/>
    <w:rsid w:val="002F19B1"/>
    <w:rsid w:val="002F1A7D"/>
    <w:rsid w:val="002F1C1D"/>
    <w:rsid w:val="002F1DEA"/>
    <w:rsid w:val="002F2390"/>
    <w:rsid w:val="002F2CEF"/>
    <w:rsid w:val="002F31B9"/>
    <w:rsid w:val="002F4DCE"/>
    <w:rsid w:val="002F4E84"/>
    <w:rsid w:val="002F52CB"/>
    <w:rsid w:val="002F5424"/>
    <w:rsid w:val="002F5D1D"/>
    <w:rsid w:val="002F6817"/>
    <w:rsid w:val="002F6E7D"/>
    <w:rsid w:val="002F714D"/>
    <w:rsid w:val="002F7759"/>
    <w:rsid w:val="002F79E2"/>
    <w:rsid w:val="002F7D61"/>
    <w:rsid w:val="00300ABE"/>
    <w:rsid w:val="00300B7B"/>
    <w:rsid w:val="00301039"/>
    <w:rsid w:val="003010F9"/>
    <w:rsid w:val="00301667"/>
    <w:rsid w:val="0030177D"/>
    <w:rsid w:val="00301857"/>
    <w:rsid w:val="00302000"/>
    <w:rsid w:val="00303C86"/>
    <w:rsid w:val="00303C9B"/>
    <w:rsid w:val="00304ABF"/>
    <w:rsid w:val="00304E14"/>
    <w:rsid w:val="00305077"/>
    <w:rsid w:val="0030541E"/>
    <w:rsid w:val="00305849"/>
    <w:rsid w:val="003061BC"/>
    <w:rsid w:val="0030673A"/>
    <w:rsid w:val="0030758B"/>
    <w:rsid w:val="00307655"/>
    <w:rsid w:val="00310004"/>
    <w:rsid w:val="0031096D"/>
    <w:rsid w:val="00310985"/>
    <w:rsid w:val="0031153E"/>
    <w:rsid w:val="00311E19"/>
    <w:rsid w:val="00312506"/>
    <w:rsid w:val="00312BAD"/>
    <w:rsid w:val="00312E08"/>
    <w:rsid w:val="00313142"/>
    <w:rsid w:val="00313907"/>
    <w:rsid w:val="003139BA"/>
    <w:rsid w:val="003143DF"/>
    <w:rsid w:val="003154F1"/>
    <w:rsid w:val="00315530"/>
    <w:rsid w:val="003158CE"/>
    <w:rsid w:val="00315E9B"/>
    <w:rsid w:val="00315EE2"/>
    <w:rsid w:val="00316BFA"/>
    <w:rsid w:val="003170BF"/>
    <w:rsid w:val="00317685"/>
    <w:rsid w:val="003177A0"/>
    <w:rsid w:val="00320123"/>
    <w:rsid w:val="0032095D"/>
    <w:rsid w:val="003211A5"/>
    <w:rsid w:val="00321207"/>
    <w:rsid w:val="003218DD"/>
    <w:rsid w:val="00321D1B"/>
    <w:rsid w:val="003222CA"/>
    <w:rsid w:val="00322A65"/>
    <w:rsid w:val="00322CF3"/>
    <w:rsid w:val="00322E2B"/>
    <w:rsid w:val="00322E9E"/>
    <w:rsid w:val="00323D07"/>
    <w:rsid w:val="00323FC4"/>
    <w:rsid w:val="00324EB0"/>
    <w:rsid w:val="00324F0A"/>
    <w:rsid w:val="00324FDF"/>
    <w:rsid w:val="00324FFA"/>
    <w:rsid w:val="003255BF"/>
    <w:rsid w:val="00326360"/>
    <w:rsid w:val="003263B7"/>
    <w:rsid w:val="00326A17"/>
    <w:rsid w:val="00326EBF"/>
    <w:rsid w:val="00326F68"/>
    <w:rsid w:val="00327830"/>
    <w:rsid w:val="00327A6E"/>
    <w:rsid w:val="00327ACE"/>
    <w:rsid w:val="00327F7F"/>
    <w:rsid w:val="003301EB"/>
    <w:rsid w:val="00330CE9"/>
    <w:rsid w:val="00332117"/>
    <w:rsid w:val="0033213D"/>
    <w:rsid w:val="00332761"/>
    <w:rsid w:val="00332826"/>
    <w:rsid w:val="0033282C"/>
    <w:rsid w:val="00332DCF"/>
    <w:rsid w:val="003336F9"/>
    <w:rsid w:val="00334051"/>
    <w:rsid w:val="0033431D"/>
    <w:rsid w:val="00335370"/>
    <w:rsid w:val="0033546C"/>
    <w:rsid w:val="0033660A"/>
    <w:rsid w:val="00336900"/>
    <w:rsid w:val="00336E97"/>
    <w:rsid w:val="00337567"/>
    <w:rsid w:val="003378C8"/>
    <w:rsid w:val="00337CD8"/>
    <w:rsid w:val="00337DFD"/>
    <w:rsid w:val="0034005A"/>
    <w:rsid w:val="00340C45"/>
    <w:rsid w:val="003411AE"/>
    <w:rsid w:val="0034172A"/>
    <w:rsid w:val="0034177E"/>
    <w:rsid w:val="003418BF"/>
    <w:rsid w:val="00341D78"/>
    <w:rsid w:val="003422C6"/>
    <w:rsid w:val="0034248C"/>
    <w:rsid w:val="00343245"/>
    <w:rsid w:val="0034365C"/>
    <w:rsid w:val="003436C2"/>
    <w:rsid w:val="00343BD1"/>
    <w:rsid w:val="00344C68"/>
    <w:rsid w:val="00344C92"/>
    <w:rsid w:val="00345135"/>
    <w:rsid w:val="00346260"/>
    <w:rsid w:val="00346337"/>
    <w:rsid w:val="0034798F"/>
    <w:rsid w:val="00347D4C"/>
    <w:rsid w:val="00347FB4"/>
    <w:rsid w:val="00350024"/>
    <w:rsid w:val="00350145"/>
    <w:rsid w:val="00350FFA"/>
    <w:rsid w:val="003518AB"/>
    <w:rsid w:val="00351DE6"/>
    <w:rsid w:val="00352B24"/>
    <w:rsid w:val="0035379E"/>
    <w:rsid w:val="00353BD2"/>
    <w:rsid w:val="00353E07"/>
    <w:rsid w:val="00353E24"/>
    <w:rsid w:val="00353E7A"/>
    <w:rsid w:val="003540E2"/>
    <w:rsid w:val="00354127"/>
    <w:rsid w:val="00354341"/>
    <w:rsid w:val="003550FF"/>
    <w:rsid w:val="003551C4"/>
    <w:rsid w:val="00355699"/>
    <w:rsid w:val="003558DE"/>
    <w:rsid w:val="00356CCA"/>
    <w:rsid w:val="00357DCA"/>
    <w:rsid w:val="0036013A"/>
    <w:rsid w:val="00360D84"/>
    <w:rsid w:val="0036249D"/>
    <w:rsid w:val="00362969"/>
    <w:rsid w:val="00363489"/>
    <w:rsid w:val="0036428E"/>
    <w:rsid w:val="003643A3"/>
    <w:rsid w:val="00364A8C"/>
    <w:rsid w:val="00364C2A"/>
    <w:rsid w:val="00364F5A"/>
    <w:rsid w:val="00365293"/>
    <w:rsid w:val="0036564B"/>
    <w:rsid w:val="00365AAC"/>
    <w:rsid w:val="00365D78"/>
    <w:rsid w:val="00366111"/>
    <w:rsid w:val="00366601"/>
    <w:rsid w:val="00366733"/>
    <w:rsid w:val="00366784"/>
    <w:rsid w:val="003669C8"/>
    <w:rsid w:val="00366C7B"/>
    <w:rsid w:val="00367C68"/>
    <w:rsid w:val="00367FAB"/>
    <w:rsid w:val="0037012B"/>
    <w:rsid w:val="003704B1"/>
    <w:rsid w:val="003708CD"/>
    <w:rsid w:val="00370F2A"/>
    <w:rsid w:val="0037126A"/>
    <w:rsid w:val="00371AB2"/>
    <w:rsid w:val="00372B03"/>
    <w:rsid w:val="00372BBC"/>
    <w:rsid w:val="0037374E"/>
    <w:rsid w:val="00373E01"/>
    <w:rsid w:val="00373F74"/>
    <w:rsid w:val="003742CF"/>
    <w:rsid w:val="00374344"/>
    <w:rsid w:val="00374407"/>
    <w:rsid w:val="00375080"/>
    <w:rsid w:val="003751E6"/>
    <w:rsid w:val="003752E0"/>
    <w:rsid w:val="00375475"/>
    <w:rsid w:val="003756EE"/>
    <w:rsid w:val="00376845"/>
    <w:rsid w:val="0037692B"/>
    <w:rsid w:val="00376AB7"/>
    <w:rsid w:val="00376C3D"/>
    <w:rsid w:val="0037775F"/>
    <w:rsid w:val="003779EB"/>
    <w:rsid w:val="00377EC4"/>
    <w:rsid w:val="0038003E"/>
    <w:rsid w:val="00380257"/>
    <w:rsid w:val="003806A7"/>
    <w:rsid w:val="00380889"/>
    <w:rsid w:val="003808DA"/>
    <w:rsid w:val="003810F1"/>
    <w:rsid w:val="0038121C"/>
    <w:rsid w:val="00381260"/>
    <w:rsid w:val="003813B6"/>
    <w:rsid w:val="00381413"/>
    <w:rsid w:val="003815FD"/>
    <w:rsid w:val="00381666"/>
    <w:rsid w:val="00381C7A"/>
    <w:rsid w:val="00381EE0"/>
    <w:rsid w:val="00382A4B"/>
    <w:rsid w:val="00382B0D"/>
    <w:rsid w:val="0038314E"/>
    <w:rsid w:val="00383539"/>
    <w:rsid w:val="0038495C"/>
    <w:rsid w:val="00384D26"/>
    <w:rsid w:val="00384E34"/>
    <w:rsid w:val="00385190"/>
    <w:rsid w:val="00385595"/>
    <w:rsid w:val="00385E73"/>
    <w:rsid w:val="0038698E"/>
    <w:rsid w:val="00387154"/>
    <w:rsid w:val="00387C2D"/>
    <w:rsid w:val="0039070D"/>
    <w:rsid w:val="00390771"/>
    <w:rsid w:val="00390901"/>
    <w:rsid w:val="00390FB3"/>
    <w:rsid w:val="003928DC"/>
    <w:rsid w:val="00392C45"/>
    <w:rsid w:val="0039328B"/>
    <w:rsid w:val="003938A0"/>
    <w:rsid w:val="003939F3"/>
    <w:rsid w:val="00393D75"/>
    <w:rsid w:val="00394901"/>
    <w:rsid w:val="00394B8E"/>
    <w:rsid w:val="00395446"/>
    <w:rsid w:val="003958B9"/>
    <w:rsid w:val="00396E0C"/>
    <w:rsid w:val="003970FE"/>
    <w:rsid w:val="003974E3"/>
    <w:rsid w:val="0039757E"/>
    <w:rsid w:val="003977DD"/>
    <w:rsid w:val="00397A8B"/>
    <w:rsid w:val="00397DE1"/>
    <w:rsid w:val="003A0289"/>
    <w:rsid w:val="003A02A4"/>
    <w:rsid w:val="003A05A4"/>
    <w:rsid w:val="003A1254"/>
    <w:rsid w:val="003A1A53"/>
    <w:rsid w:val="003A1BF7"/>
    <w:rsid w:val="003A2A03"/>
    <w:rsid w:val="003A34C8"/>
    <w:rsid w:val="003A383D"/>
    <w:rsid w:val="003A3888"/>
    <w:rsid w:val="003A3954"/>
    <w:rsid w:val="003A3F6F"/>
    <w:rsid w:val="003A4DDC"/>
    <w:rsid w:val="003A4F76"/>
    <w:rsid w:val="003A501C"/>
    <w:rsid w:val="003A5056"/>
    <w:rsid w:val="003A50AE"/>
    <w:rsid w:val="003A5385"/>
    <w:rsid w:val="003A63D3"/>
    <w:rsid w:val="003A6971"/>
    <w:rsid w:val="003A6BB1"/>
    <w:rsid w:val="003A7519"/>
    <w:rsid w:val="003A79A7"/>
    <w:rsid w:val="003B0746"/>
    <w:rsid w:val="003B0F4C"/>
    <w:rsid w:val="003B123E"/>
    <w:rsid w:val="003B1282"/>
    <w:rsid w:val="003B1460"/>
    <w:rsid w:val="003B169F"/>
    <w:rsid w:val="003B1BF8"/>
    <w:rsid w:val="003B2536"/>
    <w:rsid w:val="003B25FB"/>
    <w:rsid w:val="003B2A45"/>
    <w:rsid w:val="003B2E37"/>
    <w:rsid w:val="003B2F5A"/>
    <w:rsid w:val="003B3416"/>
    <w:rsid w:val="003B3721"/>
    <w:rsid w:val="003B3893"/>
    <w:rsid w:val="003B3C45"/>
    <w:rsid w:val="003B3CEA"/>
    <w:rsid w:val="003B3F33"/>
    <w:rsid w:val="003B44CD"/>
    <w:rsid w:val="003B4F5A"/>
    <w:rsid w:val="003B50A0"/>
    <w:rsid w:val="003B5477"/>
    <w:rsid w:val="003B55BA"/>
    <w:rsid w:val="003B561F"/>
    <w:rsid w:val="003B57B9"/>
    <w:rsid w:val="003B6A0D"/>
    <w:rsid w:val="003B6AF5"/>
    <w:rsid w:val="003B6DF8"/>
    <w:rsid w:val="003B6F63"/>
    <w:rsid w:val="003B72ED"/>
    <w:rsid w:val="003B7389"/>
    <w:rsid w:val="003C042A"/>
    <w:rsid w:val="003C0C8C"/>
    <w:rsid w:val="003C0DCF"/>
    <w:rsid w:val="003C0F72"/>
    <w:rsid w:val="003C135E"/>
    <w:rsid w:val="003C15E3"/>
    <w:rsid w:val="003C1622"/>
    <w:rsid w:val="003C1EEB"/>
    <w:rsid w:val="003C2092"/>
    <w:rsid w:val="003C361A"/>
    <w:rsid w:val="003C3797"/>
    <w:rsid w:val="003C3E5E"/>
    <w:rsid w:val="003C3EB7"/>
    <w:rsid w:val="003C4355"/>
    <w:rsid w:val="003C5CBD"/>
    <w:rsid w:val="003C6085"/>
    <w:rsid w:val="003C61AD"/>
    <w:rsid w:val="003C627D"/>
    <w:rsid w:val="003C6715"/>
    <w:rsid w:val="003C6981"/>
    <w:rsid w:val="003C6E2E"/>
    <w:rsid w:val="003C7124"/>
    <w:rsid w:val="003C74C3"/>
    <w:rsid w:val="003C757B"/>
    <w:rsid w:val="003D0186"/>
    <w:rsid w:val="003D0193"/>
    <w:rsid w:val="003D05E0"/>
    <w:rsid w:val="003D07A5"/>
    <w:rsid w:val="003D1299"/>
    <w:rsid w:val="003D1A9A"/>
    <w:rsid w:val="003D234C"/>
    <w:rsid w:val="003D244A"/>
    <w:rsid w:val="003D38AB"/>
    <w:rsid w:val="003D3926"/>
    <w:rsid w:val="003D3A3D"/>
    <w:rsid w:val="003D3AAC"/>
    <w:rsid w:val="003D3B4D"/>
    <w:rsid w:val="003D4087"/>
    <w:rsid w:val="003D4436"/>
    <w:rsid w:val="003D4638"/>
    <w:rsid w:val="003D4A2A"/>
    <w:rsid w:val="003D4DCA"/>
    <w:rsid w:val="003D509A"/>
    <w:rsid w:val="003D58BA"/>
    <w:rsid w:val="003D5D3A"/>
    <w:rsid w:val="003D6098"/>
    <w:rsid w:val="003D69B9"/>
    <w:rsid w:val="003D6EC0"/>
    <w:rsid w:val="003D743E"/>
    <w:rsid w:val="003D7A8D"/>
    <w:rsid w:val="003D7A99"/>
    <w:rsid w:val="003E04B7"/>
    <w:rsid w:val="003E0D79"/>
    <w:rsid w:val="003E1227"/>
    <w:rsid w:val="003E1470"/>
    <w:rsid w:val="003E1643"/>
    <w:rsid w:val="003E18C8"/>
    <w:rsid w:val="003E201D"/>
    <w:rsid w:val="003E22CB"/>
    <w:rsid w:val="003E266B"/>
    <w:rsid w:val="003E295F"/>
    <w:rsid w:val="003E2EAB"/>
    <w:rsid w:val="003E305A"/>
    <w:rsid w:val="003E3836"/>
    <w:rsid w:val="003E3BE6"/>
    <w:rsid w:val="003E405A"/>
    <w:rsid w:val="003E4214"/>
    <w:rsid w:val="003E519B"/>
    <w:rsid w:val="003E640B"/>
    <w:rsid w:val="003E64F3"/>
    <w:rsid w:val="003E6544"/>
    <w:rsid w:val="003E6D6B"/>
    <w:rsid w:val="003E73B1"/>
    <w:rsid w:val="003E771C"/>
    <w:rsid w:val="003E784C"/>
    <w:rsid w:val="003F0406"/>
    <w:rsid w:val="003F04B8"/>
    <w:rsid w:val="003F07AF"/>
    <w:rsid w:val="003F08B3"/>
    <w:rsid w:val="003F19BF"/>
    <w:rsid w:val="003F1EC6"/>
    <w:rsid w:val="003F27D1"/>
    <w:rsid w:val="003F287E"/>
    <w:rsid w:val="003F2D8D"/>
    <w:rsid w:val="003F421E"/>
    <w:rsid w:val="003F49C4"/>
    <w:rsid w:val="003F4B66"/>
    <w:rsid w:val="003F531B"/>
    <w:rsid w:val="003F5F8C"/>
    <w:rsid w:val="003F7000"/>
    <w:rsid w:val="003F77B4"/>
    <w:rsid w:val="00400A85"/>
    <w:rsid w:val="00401247"/>
    <w:rsid w:val="0040153E"/>
    <w:rsid w:val="004015D1"/>
    <w:rsid w:val="004019EB"/>
    <w:rsid w:val="00401D44"/>
    <w:rsid w:val="004023F4"/>
    <w:rsid w:val="00402479"/>
    <w:rsid w:val="00402E10"/>
    <w:rsid w:val="00403550"/>
    <w:rsid w:val="004036E9"/>
    <w:rsid w:val="00403CFB"/>
    <w:rsid w:val="0040413B"/>
    <w:rsid w:val="00404D47"/>
    <w:rsid w:val="00405159"/>
    <w:rsid w:val="0040575F"/>
    <w:rsid w:val="004057BD"/>
    <w:rsid w:val="00405DA5"/>
    <w:rsid w:val="00406420"/>
    <w:rsid w:val="00406562"/>
    <w:rsid w:val="0040659A"/>
    <w:rsid w:val="0040785C"/>
    <w:rsid w:val="00407F5C"/>
    <w:rsid w:val="0041052A"/>
    <w:rsid w:val="0041092B"/>
    <w:rsid w:val="00410A41"/>
    <w:rsid w:val="004113DE"/>
    <w:rsid w:val="00411CC6"/>
    <w:rsid w:val="00412346"/>
    <w:rsid w:val="00412DCF"/>
    <w:rsid w:val="004130F2"/>
    <w:rsid w:val="0041411E"/>
    <w:rsid w:val="004144EE"/>
    <w:rsid w:val="004146BE"/>
    <w:rsid w:val="00414855"/>
    <w:rsid w:val="00414F27"/>
    <w:rsid w:val="004150B6"/>
    <w:rsid w:val="004152E6"/>
    <w:rsid w:val="00415460"/>
    <w:rsid w:val="00415483"/>
    <w:rsid w:val="00415900"/>
    <w:rsid w:val="00416865"/>
    <w:rsid w:val="00416BB2"/>
    <w:rsid w:val="004170E4"/>
    <w:rsid w:val="00417166"/>
    <w:rsid w:val="00420952"/>
    <w:rsid w:val="00420B2F"/>
    <w:rsid w:val="00420BC4"/>
    <w:rsid w:val="004214D7"/>
    <w:rsid w:val="004217F6"/>
    <w:rsid w:val="00421842"/>
    <w:rsid w:val="0042222D"/>
    <w:rsid w:val="00422E80"/>
    <w:rsid w:val="00423B96"/>
    <w:rsid w:val="00423FE4"/>
    <w:rsid w:val="0042446A"/>
    <w:rsid w:val="0042518E"/>
    <w:rsid w:val="00425226"/>
    <w:rsid w:val="00426B65"/>
    <w:rsid w:val="0042785B"/>
    <w:rsid w:val="004308C9"/>
    <w:rsid w:val="00430E70"/>
    <w:rsid w:val="00431599"/>
    <w:rsid w:val="0043195B"/>
    <w:rsid w:val="00432248"/>
    <w:rsid w:val="004323E8"/>
    <w:rsid w:val="00432461"/>
    <w:rsid w:val="004326A8"/>
    <w:rsid w:val="004326B3"/>
    <w:rsid w:val="00432A36"/>
    <w:rsid w:val="00432E95"/>
    <w:rsid w:val="00433069"/>
    <w:rsid w:val="00433507"/>
    <w:rsid w:val="004335AF"/>
    <w:rsid w:val="004337A1"/>
    <w:rsid w:val="0043391C"/>
    <w:rsid w:val="00433A19"/>
    <w:rsid w:val="00434015"/>
    <w:rsid w:val="00434073"/>
    <w:rsid w:val="004342FA"/>
    <w:rsid w:val="00434F8C"/>
    <w:rsid w:val="00435134"/>
    <w:rsid w:val="00435847"/>
    <w:rsid w:val="00435CF2"/>
    <w:rsid w:val="00435FFB"/>
    <w:rsid w:val="00436356"/>
    <w:rsid w:val="004368AB"/>
    <w:rsid w:val="00436ABC"/>
    <w:rsid w:val="00436C73"/>
    <w:rsid w:val="00436DAF"/>
    <w:rsid w:val="004375E4"/>
    <w:rsid w:val="004378CE"/>
    <w:rsid w:val="00437F57"/>
    <w:rsid w:val="004405B3"/>
    <w:rsid w:val="00441C68"/>
    <w:rsid w:val="004425E2"/>
    <w:rsid w:val="00442A6D"/>
    <w:rsid w:val="00442CCD"/>
    <w:rsid w:val="004433D8"/>
    <w:rsid w:val="004439C6"/>
    <w:rsid w:val="00444034"/>
    <w:rsid w:val="00444B19"/>
    <w:rsid w:val="00445089"/>
    <w:rsid w:val="00445FAC"/>
    <w:rsid w:val="0044617E"/>
    <w:rsid w:val="00446242"/>
    <w:rsid w:val="00446A67"/>
    <w:rsid w:val="00446BF2"/>
    <w:rsid w:val="00446EA6"/>
    <w:rsid w:val="004470E5"/>
    <w:rsid w:val="0044738E"/>
    <w:rsid w:val="0044740F"/>
    <w:rsid w:val="00447834"/>
    <w:rsid w:val="00447B6B"/>
    <w:rsid w:val="004507A9"/>
    <w:rsid w:val="00450B3B"/>
    <w:rsid w:val="00451022"/>
    <w:rsid w:val="0045188F"/>
    <w:rsid w:val="00451ABA"/>
    <w:rsid w:val="00451EFC"/>
    <w:rsid w:val="00451F3E"/>
    <w:rsid w:val="004522C1"/>
    <w:rsid w:val="0045256A"/>
    <w:rsid w:val="0045283E"/>
    <w:rsid w:val="004529D8"/>
    <w:rsid w:val="00452ED9"/>
    <w:rsid w:val="0045338E"/>
    <w:rsid w:val="00453600"/>
    <w:rsid w:val="0045374A"/>
    <w:rsid w:val="0045382E"/>
    <w:rsid w:val="0045468F"/>
    <w:rsid w:val="00454C5C"/>
    <w:rsid w:val="00454EB9"/>
    <w:rsid w:val="00454EBC"/>
    <w:rsid w:val="00455734"/>
    <w:rsid w:val="00455CC3"/>
    <w:rsid w:val="00455D0D"/>
    <w:rsid w:val="00455DFC"/>
    <w:rsid w:val="004560D6"/>
    <w:rsid w:val="00456DED"/>
    <w:rsid w:val="00457051"/>
    <w:rsid w:val="0045711B"/>
    <w:rsid w:val="0045730E"/>
    <w:rsid w:val="00457581"/>
    <w:rsid w:val="00457774"/>
    <w:rsid w:val="004600FF"/>
    <w:rsid w:val="0046036C"/>
    <w:rsid w:val="00462520"/>
    <w:rsid w:val="00462C35"/>
    <w:rsid w:val="00462CFC"/>
    <w:rsid w:val="004634EE"/>
    <w:rsid w:val="004635D2"/>
    <w:rsid w:val="004636A4"/>
    <w:rsid w:val="00464291"/>
    <w:rsid w:val="004647E7"/>
    <w:rsid w:val="00464917"/>
    <w:rsid w:val="00464BD9"/>
    <w:rsid w:val="00464C0F"/>
    <w:rsid w:val="00465BFC"/>
    <w:rsid w:val="004661E0"/>
    <w:rsid w:val="004663C1"/>
    <w:rsid w:val="00466C8F"/>
    <w:rsid w:val="00467C2D"/>
    <w:rsid w:val="004709AC"/>
    <w:rsid w:val="00470B07"/>
    <w:rsid w:val="00471262"/>
    <w:rsid w:val="00471425"/>
    <w:rsid w:val="00471A32"/>
    <w:rsid w:val="00471AC2"/>
    <w:rsid w:val="00471CE8"/>
    <w:rsid w:val="00471F17"/>
    <w:rsid w:val="00472283"/>
    <w:rsid w:val="00472342"/>
    <w:rsid w:val="004724DE"/>
    <w:rsid w:val="00473182"/>
    <w:rsid w:val="0047373F"/>
    <w:rsid w:val="00473CA5"/>
    <w:rsid w:val="00474376"/>
    <w:rsid w:val="004747F0"/>
    <w:rsid w:val="00475D26"/>
    <w:rsid w:val="00475F3C"/>
    <w:rsid w:val="00476668"/>
    <w:rsid w:val="004768C4"/>
    <w:rsid w:val="0047771E"/>
    <w:rsid w:val="00477723"/>
    <w:rsid w:val="00477A9D"/>
    <w:rsid w:val="00477D56"/>
    <w:rsid w:val="00477D9A"/>
    <w:rsid w:val="00477EE5"/>
    <w:rsid w:val="00480277"/>
    <w:rsid w:val="0048042C"/>
    <w:rsid w:val="00480EDD"/>
    <w:rsid w:val="00481CE5"/>
    <w:rsid w:val="004824F6"/>
    <w:rsid w:val="00482813"/>
    <w:rsid w:val="00482AE0"/>
    <w:rsid w:val="00482FDC"/>
    <w:rsid w:val="00483795"/>
    <w:rsid w:val="00483C56"/>
    <w:rsid w:val="004840C2"/>
    <w:rsid w:val="004843FC"/>
    <w:rsid w:val="004848D1"/>
    <w:rsid w:val="00484CD7"/>
    <w:rsid w:val="00485173"/>
    <w:rsid w:val="00485CDB"/>
    <w:rsid w:val="00486243"/>
    <w:rsid w:val="004863A3"/>
    <w:rsid w:val="00486ACC"/>
    <w:rsid w:val="00486D4E"/>
    <w:rsid w:val="00486E14"/>
    <w:rsid w:val="004870D9"/>
    <w:rsid w:val="00487138"/>
    <w:rsid w:val="0048715F"/>
    <w:rsid w:val="00487174"/>
    <w:rsid w:val="004873F9"/>
    <w:rsid w:val="0048747D"/>
    <w:rsid w:val="0048758D"/>
    <w:rsid w:val="00490C85"/>
    <w:rsid w:val="00491946"/>
    <w:rsid w:val="004920D8"/>
    <w:rsid w:val="0049266D"/>
    <w:rsid w:val="00492C8E"/>
    <w:rsid w:val="00493620"/>
    <w:rsid w:val="004938FA"/>
    <w:rsid w:val="00493914"/>
    <w:rsid w:val="00493B40"/>
    <w:rsid w:val="00493BDB"/>
    <w:rsid w:val="00493C79"/>
    <w:rsid w:val="00493EA2"/>
    <w:rsid w:val="00493F24"/>
    <w:rsid w:val="004949D0"/>
    <w:rsid w:val="004955CD"/>
    <w:rsid w:val="00496DAA"/>
    <w:rsid w:val="0049745E"/>
    <w:rsid w:val="00497677"/>
    <w:rsid w:val="0049771B"/>
    <w:rsid w:val="004A05C0"/>
    <w:rsid w:val="004A06A7"/>
    <w:rsid w:val="004A0740"/>
    <w:rsid w:val="004A0B94"/>
    <w:rsid w:val="004A0C6C"/>
    <w:rsid w:val="004A1DBD"/>
    <w:rsid w:val="004A2663"/>
    <w:rsid w:val="004A2A1F"/>
    <w:rsid w:val="004A2F8C"/>
    <w:rsid w:val="004A34D5"/>
    <w:rsid w:val="004A3780"/>
    <w:rsid w:val="004A43F1"/>
    <w:rsid w:val="004A45DC"/>
    <w:rsid w:val="004A4D14"/>
    <w:rsid w:val="004A4E22"/>
    <w:rsid w:val="004A5492"/>
    <w:rsid w:val="004A55B1"/>
    <w:rsid w:val="004A6170"/>
    <w:rsid w:val="004A6496"/>
    <w:rsid w:val="004A6520"/>
    <w:rsid w:val="004A708D"/>
    <w:rsid w:val="004A7831"/>
    <w:rsid w:val="004A786F"/>
    <w:rsid w:val="004A7E33"/>
    <w:rsid w:val="004B0066"/>
    <w:rsid w:val="004B0144"/>
    <w:rsid w:val="004B048A"/>
    <w:rsid w:val="004B056E"/>
    <w:rsid w:val="004B09A2"/>
    <w:rsid w:val="004B0BB9"/>
    <w:rsid w:val="004B1ABE"/>
    <w:rsid w:val="004B1B62"/>
    <w:rsid w:val="004B2DAF"/>
    <w:rsid w:val="004B2FAD"/>
    <w:rsid w:val="004B2FCC"/>
    <w:rsid w:val="004B312E"/>
    <w:rsid w:val="004B3A7B"/>
    <w:rsid w:val="004B3BCD"/>
    <w:rsid w:val="004B430B"/>
    <w:rsid w:val="004B47C0"/>
    <w:rsid w:val="004B4844"/>
    <w:rsid w:val="004B4ADF"/>
    <w:rsid w:val="004B4CDA"/>
    <w:rsid w:val="004B50CD"/>
    <w:rsid w:val="004B577B"/>
    <w:rsid w:val="004B5F0B"/>
    <w:rsid w:val="004B624D"/>
    <w:rsid w:val="004B6516"/>
    <w:rsid w:val="004B66E5"/>
    <w:rsid w:val="004B7766"/>
    <w:rsid w:val="004C141A"/>
    <w:rsid w:val="004C167C"/>
    <w:rsid w:val="004C1A97"/>
    <w:rsid w:val="004C1F16"/>
    <w:rsid w:val="004C1F63"/>
    <w:rsid w:val="004C2511"/>
    <w:rsid w:val="004C265A"/>
    <w:rsid w:val="004C26CB"/>
    <w:rsid w:val="004C2E92"/>
    <w:rsid w:val="004C327C"/>
    <w:rsid w:val="004C39DE"/>
    <w:rsid w:val="004C3D02"/>
    <w:rsid w:val="004C3F3D"/>
    <w:rsid w:val="004C40E8"/>
    <w:rsid w:val="004C41B2"/>
    <w:rsid w:val="004C4277"/>
    <w:rsid w:val="004C4F45"/>
    <w:rsid w:val="004C538A"/>
    <w:rsid w:val="004C5ADF"/>
    <w:rsid w:val="004C5C52"/>
    <w:rsid w:val="004C5D71"/>
    <w:rsid w:val="004C5FAE"/>
    <w:rsid w:val="004C6AD8"/>
    <w:rsid w:val="004C6DC5"/>
    <w:rsid w:val="004C6E24"/>
    <w:rsid w:val="004C729E"/>
    <w:rsid w:val="004C7401"/>
    <w:rsid w:val="004C749A"/>
    <w:rsid w:val="004C7EA8"/>
    <w:rsid w:val="004D03FC"/>
    <w:rsid w:val="004D082C"/>
    <w:rsid w:val="004D08A1"/>
    <w:rsid w:val="004D08F5"/>
    <w:rsid w:val="004D145A"/>
    <w:rsid w:val="004D1CEA"/>
    <w:rsid w:val="004D1D35"/>
    <w:rsid w:val="004D2A67"/>
    <w:rsid w:val="004D31A8"/>
    <w:rsid w:val="004D3596"/>
    <w:rsid w:val="004D35E2"/>
    <w:rsid w:val="004D39EB"/>
    <w:rsid w:val="004D438D"/>
    <w:rsid w:val="004D51F9"/>
    <w:rsid w:val="004D589A"/>
    <w:rsid w:val="004D5A16"/>
    <w:rsid w:val="004D5DBC"/>
    <w:rsid w:val="004D5E02"/>
    <w:rsid w:val="004D5EB9"/>
    <w:rsid w:val="004D652F"/>
    <w:rsid w:val="004D667C"/>
    <w:rsid w:val="004D75A9"/>
    <w:rsid w:val="004D78EC"/>
    <w:rsid w:val="004E0A5B"/>
    <w:rsid w:val="004E0DBF"/>
    <w:rsid w:val="004E1C65"/>
    <w:rsid w:val="004E2C4D"/>
    <w:rsid w:val="004E3777"/>
    <w:rsid w:val="004E4C69"/>
    <w:rsid w:val="004E5323"/>
    <w:rsid w:val="004E58C3"/>
    <w:rsid w:val="004E6B79"/>
    <w:rsid w:val="004E7CA3"/>
    <w:rsid w:val="004F150B"/>
    <w:rsid w:val="004F1DF7"/>
    <w:rsid w:val="004F1E65"/>
    <w:rsid w:val="004F2383"/>
    <w:rsid w:val="004F2DA7"/>
    <w:rsid w:val="004F34A1"/>
    <w:rsid w:val="004F42B5"/>
    <w:rsid w:val="004F47A7"/>
    <w:rsid w:val="004F4905"/>
    <w:rsid w:val="004F5854"/>
    <w:rsid w:val="004F59CD"/>
    <w:rsid w:val="004F620B"/>
    <w:rsid w:val="004F7790"/>
    <w:rsid w:val="004F7872"/>
    <w:rsid w:val="004F7A65"/>
    <w:rsid w:val="004F7BF7"/>
    <w:rsid w:val="004F7CDF"/>
    <w:rsid w:val="00500182"/>
    <w:rsid w:val="00500529"/>
    <w:rsid w:val="005006ED"/>
    <w:rsid w:val="00500B53"/>
    <w:rsid w:val="00500BF2"/>
    <w:rsid w:val="00500C40"/>
    <w:rsid w:val="00501313"/>
    <w:rsid w:val="0050156C"/>
    <w:rsid w:val="0050244F"/>
    <w:rsid w:val="005031A4"/>
    <w:rsid w:val="00503383"/>
    <w:rsid w:val="00503A6A"/>
    <w:rsid w:val="00503ACC"/>
    <w:rsid w:val="00504345"/>
    <w:rsid w:val="005053D6"/>
    <w:rsid w:val="00505654"/>
    <w:rsid w:val="005056EB"/>
    <w:rsid w:val="00505AD3"/>
    <w:rsid w:val="00505BA0"/>
    <w:rsid w:val="00505E50"/>
    <w:rsid w:val="0050636B"/>
    <w:rsid w:val="00506DB5"/>
    <w:rsid w:val="00507B37"/>
    <w:rsid w:val="005105B3"/>
    <w:rsid w:val="005114E8"/>
    <w:rsid w:val="005121BB"/>
    <w:rsid w:val="005121D5"/>
    <w:rsid w:val="00512215"/>
    <w:rsid w:val="005125C4"/>
    <w:rsid w:val="005127F1"/>
    <w:rsid w:val="005129AA"/>
    <w:rsid w:val="00512C54"/>
    <w:rsid w:val="00512C5C"/>
    <w:rsid w:val="00512DE5"/>
    <w:rsid w:val="00513922"/>
    <w:rsid w:val="00513BAB"/>
    <w:rsid w:val="00513E3F"/>
    <w:rsid w:val="005143F4"/>
    <w:rsid w:val="00514441"/>
    <w:rsid w:val="005145AC"/>
    <w:rsid w:val="00515A35"/>
    <w:rsid w:val="00515F69"/>
    <w:rsid w:val="005161D2"/>
    <w:rsid w:val="0051694A"/>
    <w:rsid w:val="005175D0"/>
    <w:rsid w:val="00517991"/>
    <w:rsid w:val="00517C18"/>
    <w:rsid w:val="00517E17"/>
    <w:rsid w:val="00517FEB"/>
    <w:rsid w:val="005201D8"/>
    <w:rsid w:val="0052066F"/>
    <w:rsid w:val="00520786"/>
    <w:rsid w:val="00520879"/>
    <w:rsid w:val="00520BBC"/>
    <w:rsid w:val="005214CD"/>
    <w:rsid w:val="0052172B"/>
    <w:rsid w:val="005229E8"/>
    <w:rsid w:val="00522B97"/>
    <w:rsid w:val="00523347"/>
    <w:rsid w:val="005233D3"/>
    <w:rsid w:val="00524EB9"/>
    <w:rsid w:val="00524EF6"/>
    <w:rsid w:val="00525123"/>
    <w:rsid w:val="0052512B"/>
    <w:rsid w:val="005251FB"/>
    <w:rsid w:val="00525A48"/>
    <w:rsid w:val="00526154"/>
    <w:rsid w:val="00526469"/>
    <w:rsid w:val="005265A2"/>
    <w:rsid w:val="00526D6D"/>
    <w:rsid w:val="00526F51"/>
    <w:rsid w:val="00527416"/>
    <w:rsid w:val="005274E8"/>
    <w:rsid w:val="00530BCC"/>
    <w:rsid w:val="00530D98"/>
    <w:rsid w:val="00530F5B"/>
    <w:rsid w:val="00531519"/>
    <w:rsid w:val="00531A94"/>
    <w:rsid w:val="005321F4"/>
    <w:rsid w:val="00532286"/>
    <w:rsid w:val="00532400"/>
    <w:rsid w:val="0053240F"/>
    <w:rsid w:val="0053278F"/>
    <w:rsid w:val="0053279A"/>
    <w:rsid w:val="0053283F"/>
    <w:rsid w:val="005330F1"/>
    <w:rsid w:val="005332F5"/>
    <w:rsid w:val="00533B4F"/>
    <w:rsid w:val="005340CC"/>
    <w:rsid w:val="00534A1D"/>
    <w:rsid w:val="00534B3C"/>
    <w:rsid w:val="00535A98"/>
    <w:rsid w:val="00535FB8"/>
    <w:rsid w:val="00535FC1"/>
    <w:rsid w:val="00536217"/>
    <w:rsid w:val="00536270"/>
    <w:rsid w:val="00536591"/>
    <w:rsid w:val="00536BC9"/>
    <w:rsid w:val="00536E74"/>
    <w:rsid w:val="00537FE1"/>
    <w:rsid w:val="00540231"/>
    <w:rsid w:val="0054061D"/>
    <w:rsid w:val="005406D3"/>
    <w:rsid w:val="00540BEE"/>
    <w:rsid w:val="005417B5"/>
    <w:rsid w:val="00542847"/>
    <w:rsid w:val="005429B4"/>
    <w:rsid w:val="00542BE8"/>
    <w:rsid w:val="0054320C"/>
    <w:rsid w:val="00543427"/>
    <w:rsid w:val="00543790"/>
    <w:rsid w:val="00543840"/>
    <w:rsid w:val="00543CBE"/>
    <w:rsid w:val="00543E4D"/>
    <w:rsid w:val="0054447E"/>
    <w:rsid w:val="005448CA"/>
    <w:rsid w:val="00544F99"/>
    <w:rsid w:val="005455AB"/>
    <w:rsid w:val="00545B07"/>
    <w:rsid w:val="00545FB5"/>
    <w:rsid w:val="0054748C"/>
    <w:rsid w:val="00550538"/>
    <w:rsid w:val="00550883"/>
    <w:rsid w:val="005509CD"/>
    <w:rsid w:val="00550CA4"/>
    <w:rsid w:val="005518D7"/>
    <w:rsid w:val="00551958"/>
    <w:rsid w:val="00551C8B"/>
    <w:rsid w:val="0055205C"/>
    <w:rsid w:val="0055209C"/>
    <w:rsid w:val="00552997"/>
    <w:rsid w:val="00552B80"/>
    <w:rsid w:val="00552FBD"/>
    <w:rsid w:val="00553291"/>
    <w:rsid w:val="005538F4"/>
    <w:rsid w:val="00553CD1"/>
    <w:rsid w:val="0055414F"/>
    <w:rsid w:val="00554581"/>
    <w:rsid w:val="00554BF4"/>
    <w:rsid w:val="00554D15"/>
    <w:rsid w:val="00555069"/>
    <w:rsid w:val="00555E58"/>
    <w:rsid w:val="00557675"/>
    <w:rsid w:val="005577EA"/>
    <w:rsid w:val="005579ED"/>
    <w:rsid w:val="005579F7"/>
    <w:rsid w:val="00557DCF"/>
    <w:rsid w:val="005600D4"/>
    <w:rsid w:val="005605A1"/>
    <w:rsid w:val="00560E08"/>
    <w:rsid w:val="00560E96"/>
    <w:rsid w:val="00561146"/>
    <w:rsid w:val="0056119D"/>
    <w:rsid w:val="00561AFF"/>
    <w:rsid w:val="00562158"/>
    <w:rsid w:val="005621B2"/>
    <w:rsid w:val="005623C6"/>
    <w:rsid w:val="005625AC"/>
    <w:rsid w:val="005626BA"/>
    <w:rsid w:val="00562757"/>
    <w:rsid w:val="00562DC0"/>
    <w:rsid w:val="00562E63"/>
    <w:rsid w:val="00563242"/>
    <w:rsid w:val="0056347B"/>
    <w:rsid w:val="00563ADB"/>
    <w:rsid w:val="00563FE9"/>
    <w:rsid w:val="00564091"/>
    <w:rsid w:val="00564E19"/>
    <w:rsid w:val="00565071"/>
    <w:rsid w:val="005650E7"/>
    <w:rsid w:val="00565AA7"/>
    <w:rsid w:val="005676F3"/>
    <w:rsid w:val="00567737"/>
    <w:rsid w:val="00567D2E"/>
    <w:rsid w:val="00567D40"/>
    <w:rsid w:val="00567F21"/>
    <w:rsid w:val="005703A8"/>
    <w:rsid w:val="00570E0C"/>
    <w:rsid w:val="00573475"/>
    <w:rsid w:val="00573964"/>
    <w:rsid w:val="00573B46"/>
    <w:rsid w:val="00573D27"/>
    <w:rsid w:val="00574ED6"/>
    <w:rsid w:val="00575107"/>
    <w:rsid w:val="0057514C"/>
    <w:rsid w:val="00575601"/>
    <w:rsid w:val="005758C1"/>
    <w:rsid w:val="00576211"/>
    <w:rsid w:val="00576517"/>
    <w:rsid w:val="0057689B"/>
    <w:rsid w:val="0057695E"/>
    <w:rsid w:val="00576B7E"/>
    <w:rsid w:val="0057765A"/>
    <w:rsid w:val="0057789B"/>
    <w:rsid w:val="00577B05"/>
    <w:rsid w:val="00580B9F"/>
    <w:rsid w:val="00580E63"/>
    <w:rsid w:val="00581B18"/>
    <w:rsid w:val="005823D7"/>
    <w:rsid w:val="0058331B"/>
    <w:rsid w:val="00583807"/>
    <w:rsid w:val="00584909"/>
    <w:rsid w:val="00584BB2"/>
    <w:rsid w:val="00584E79"/>
    <w:rsid w:val="00584E8A"/>
    <w:rsid w:val="00584FED"/>
    <w:rsid w:val="0058529B"/>
    <w:rsid w:val="005852FF"/>
    <w:rsid w:val="00585BCF"/>
    <w:rsid w:val="00585D1B"/>
    <w:rsid w:val="005862CC"/>
    <w:rsid w:val="0058710F"/>
    <w:rsid w:val="00587596"/>
    <w:rsid w:val="00587729"/>
    <w:rsid w:val="00587A99"/>
    <w:rsid w:val="005903CF"/>
    <w:rsid w:val="005907F9"/>
    <w:rsid w:val="00590B3C"/>
    <w:rsid w:val="005911AA"/>
    <w:rsid w:val="00591248"/>
    <w:rsid w:val="00592108"/>
    <w:rsid w:val="005922B2"/>
    <w:rsid w:val="0059246D"/>
    <w:rsid w:val="00592CAB"/>
    <w:rsid w:val="00592E79"/>
    <w:rsid w:val="00593228"/>
    <w:rsid w:val="00593DD6"/>
    <w:rsid w:val="00593F67"/>
    <w:rsid w:val="005940D4"/>
    <w:rsid w:val="00594329"/>
    <w:rsid w:val="0059443F"/>
    <w:rsid w:val="00595D02"/>
    <w:rsid w:val="005961AE"/>
    <w:rsid w:val="0059626E"/>
    <w:rsid w:val="00596375"/>
    <w:rsid w:val="0059655A"/>
    <w:rsid w:val="00596732"/>
    <w:rsid w:val="00596CCB"/>
    <w:rsid w:val="00597E3D"/>
    <w:rsid w:val="005A08BE"/>
    <w:rsid w:val="005A0926"/>
    <w:rsid w:val="005A0CF6"/>
    <w:rsid w:val="005A0E88"/>
    <w:rsid w:val="005A1049"/>
    <w:rsid w:val="005A13D1"/>
    <w:rsid w:val="005A2D70"/>
    <w:rsid w:val="005A30B3"/>
    <w:rsid w:val="005A39C2"/>
    <w:rsid w:val="005A4358"/>
    <w:rsid w:val="005A4418"/>
    <w:rsid w:val="005A47B5"/>
    <w:rsid w:val="005A491E"/>
    <w:rsid w:val="005A4D2D"/>
    <w:rsid w:val="005A57B5"/>
    <w:rsid w:val="005A5B0C"/>
    <w:rsid w:val="005A605B"/>
    <w:rsid w:val="005A61C9"/>
    <w:rsid w:val="005A6378"/>
    <w:rsid w:val="005A6C4D"/>
    <w:rsid w:val="005A6DEC"/>
    <w:rsid w:val="005A74D5"/>
    <w:rsid w:val="005A78F5"/>
    <w:rsid w:val="005B01F2"/>
    <w:rsid w:val="005B0202"/>
    <w:rsid w:val="005B0CEC"/>
    <w:rsid w:val="005B1396"/>
    <w:rsid w:val="005B1E03"/>
    <w:rsid w:val="005B1E1C"/>
    <w:rsid w:val="005B1F31"/>
    <w:rsid w:val="005B21A2"/>
    <w:rsid w:val="005B2516"/>
    <w:rsid w:val="005B2A6C"/>
    <w:rsid w:val="005B2ABE"/>
    <w:rsid w:val="005B2DE8"/>
    <w:rsid w:val="005B3FC3"/>
    <w:rsid w:val="005B4281"/>
    <w:rsid w:val="005B48C4"/>
    <w:rsid w:val="005B4AF9"/>
    <w:rsid w:val="005B4B0F"/>
    <w:rsid w:val="005B4C7C"/>
    <w:rsid w:val="005B4DAE"/>
    <w:rsid w:val="005B4DDD"/>
    <w:rsid w:val="005B5216"/>
    <w:rsid w:val="005B55E9"/>
    <w:rsid w:val="005B5A11"/>
    <w:rsid w:val="005B5CF9"/>
    <w:rsid w:val="005B5F54"/>
    <w:rsid w:val="005B7603"/>
    <w:rsid w:val="005B7640"/>
    <w:rsid w:val="005B7942"/>
    <w:rsid w:val="005C0629"/>
    <w:rsid w:val="005C1CA1"/>
    <w:rsid w:val="005C1FAF"/>
    <w:rsid w:val="005C2329"/>
    <w:rsid w:val="005C27AF"/>
    <w:rsid w:val="005C2CF3"/>
    <w:rsid w:val="005C34A6"/>
    <w:rsid w:val="005C370D"/>
    <w:rsid w:val="005C3BA2"/>
    <w:rsid w:val="005C40D7"/>
    <w:rsid w:val="005C4A52"/>
    <w:rsid w:val="005C524B"/>
    <w:rsid w:val="005C5DB7"/>
    <w:rsid w:val="005C6554"/>
    <w:rsid w:val="005C67D9"/>
    <w:rsid w:val="005C69A8"/>
    <w:rsid w:val="005C6C0A"/>
    <w:rsid w:val="005C6EB8"/>
    <w:rsid w:val="005C78FA"/>
    <w:rsid w:val="005C7913"/>
    <w:rsid w:val="005C7928"/>
    <w:rsid w:val="005C7D85"/>
    <w:rsid w:val="005D033C"/>
    <w:rsid w:val="005D0518"/>
    <w:rsid w:val="005D05B2"/>
    <w:rsid w:val="005D0CC5"/>
    <w:rsid w:val="005D14A8"/>
    <w:rsid w:val="005D14FC"/>
    <w:rsid w:val="005D1575"/>
    <w:rsid w:val="005D15E7"/>
    <w:rsid w:val="005D18D2"/>
    <w:rsid w:val="005D263F"/>
    <w:rsid w:val="005D2D5F"/>
    <w:rsid w:val="005D30EC"/>
    <w:rsid w:val="005D353A"/>
    <w:rsid w:val="005D3582"/>
    <w:rsid w:val="005D3D4A"/>
    <w:rsid w:val="005D3EEA"/>
    <w:rsid w:val="005D47EF"/>
    <w:rsid w:val="005D482A"/>
    <w:rsid w:val="005D5374"/>
    <w:rsid w:val="005D5862"/>
    <w:rsid w:val="005D596B"/>
    <w:rsid w:val="005D60FF"/>
    <w:rsid w:val="005D6A3D"/>
    <w:rsid w:val="005D73C6"/>
    <w:rsid w:val="005D7A07"/>
    <w:rsid w:val="005E0114"/>
    <w:rsid w:val="005E028C"/>
    <w:rsid w:val="005E0401"/>
    <w:rsid w:val="005E0DB4"/>
    <w:rsid w:val="005E1CCB"/>
    <w:rsid w:val="005E2082"/>
    <w:rsid w:val="005E25B7"/>
    <w:rsid w:val="005E2D84"/>
    <w:rsid w:val="005E3141"/>
    <w:rsid w:val="005E367C"/>
    <w:rsid w:val="005E3B81"/>
    <w:rsid w:val="005E4135"/>
    <w:rsid w:val="005E4787"/>
    <w:rsid w:val="005E50C3"/>
    <w:rsid w:val="005E5DA5"/>
    <w:rsid w:val="005E6F70"/>
    <w:rsid w:val="005E7EF0"/>
    <w:rsid w:val="005F04EB"/>
    <w:rsid w:val="005F0D4C"/>
    <w:rsid w:val="005F1051"/>
    <w:rsid w:val="005F11AD"/>
    <w:rsid w:val="005F12AB"/>
    <w:rsid w:val="005F1498"/>
    <w:rsid w:val="005F1ABF"/>
    <w:rsid w:val="005F1C65"/>
    <w:rsid w:val="005F1F0E"/>
    <w:rsid w:val="005F1F82"/>
    <w:rsid w:val="005F257C"/>
    <w:rsid w:val="005F28A1"/>
    <w:rsid w:val="005F329A"/>
    <w:rsid w:val="005F3390"/>
    <w:rsid w:val="005F37D2"/>
    <w:rsid w:val="005F3C08"/>
    <w:rsid w:val="005F3F9B"/>
    <w:rsid w:val="005F4E1B"/>
    <w:rsid w:val="005F5031"/>
    <w:rsid w:val="005F5398"/>
    <w:rsid w:val="005F67DE"/>
    <w:rsid w:val="005F6FFE"/>
    <w:rsid w:val="005F7114"/>
    <w:rsid w:val="005F777A"/>
    <w:rsid w:val="005F7A1F"/>
    <w:rsid w:val="00600010"/>
    <w:rsid w:val="00600E98"/>
    <w:rsid w:val="00600EC7"/>
    <w:rsid w:val="00600F6F"/>
    <w:rsid w:val="0060108D"/>
    <w:rsid w:val="00601D83"/>
    <w:rsid w:val="00601EE7"/>
    <w:rsid w:val="00601F83"/>
    <w:rsid w:val="0060272D"/>
    <w:rsid w:val="0060382E"/>
    <w:rsid w:val="00604966"/>
    <w:rsid w:val="006049C5"/>
    <w:rsid w:val="006054D5"/>
    <w:rsid w:val="00605A07"/>
    <w:rsid w:val="00605D8F"/>
    <w:rsid w:val="00605DDD"/>
    <w:rsid w:val="00605DED"/>
    <w:rsid w:val="00606195"/>
    <w:rsid w:val="006067A0"/>
    <w:rsid w:val="00606CAC"/>
    <w:rsid w:val="00607554"/>
    <w:rsid w:val="00607C36"/>
    <w:rsid w:val="00607DB3"/>
    <w:rsid w:val="00610A49"/>
    <w:rsid w:val="006112BA"/>
    <w:rsid w:val="006114D8"/>
    <w:rsid w:val="00611638"/>
    <w:rsid w:val="00611FB4"/>
    <w:rsid w:val="006123EE"/>
    <w:rsid w:val="006128F6"/>
    <w:rsid w:val="0061291F"/>
    <w:rsid w:val="006129FE"/>
    <w:rsid w:val="0061398D"/>
    <w:rsid w:val="00613C23"/>
    <w:rsid w:val="0061418D"/>
    <w:rsid w:val="006143BF"/>
    <w:rsid w:val="00615423"/>
    <w:rsid w:val="006158BA"/>
    <w:rsid w:val="00616063"/>
    <w:rsid w:val="006161D8"/>
    <w:rsid w:val="00616EA7"/>
    <w:rsid w:val="00617066"/>
    <w:rsid w:val="00617175"/>
    <w:rsid w:val="0061739E"/>
    <w:rsid w:val="006173CF"/>
    <w:rsid w:val="0061783C"/>
    <w:rsid w:val="0061798F"/>
    <w:rsid w:val="006209DD"/>
    <w:rsid w:val="0062143F"/>
    <w:rsid w:val="0062145D"/>
    <w:rsid w:val="00621571"/>
    <w:rsid w:val="00622556"/>
    <w:rsid w:val="00622DAE"/>
    <w:rsid w:val="0062359E"/>
    <w:rsid w:val="0062393C"/>
    <w:rsid w:val="006248EB"/>
    <w:rsid w:val="00624B88"/>
    <w:rsid w:val="00625036"/>
    <w:rsid w:val="00625C7F"/>
    <w:rsid w:val="00626D66"/>
    <w:rsid w:val="006274BB"/>
    <w:rsid w:val="00627835"/>
    <w:rsid w:val="006301EB"/>
    <w:rsid w:val="00630226"/>
    <w:rsid w:val="00630891"/>
    <w:rsid w:val="00630D10"/>
    <w:rsid w:val="006313C5"/>
    <w:rsid w:val="00631CA4"/>
    <w:rsid w:val="0063290C"/>
    <w:rsid w:val="00632C7F"/>
    <w:rsid w:val="006332AB"/>
    <w:rsid w:val="00633F53"/>
    <w:rsid w:val="00633FC9"/>
    <w:rsid w:val="00634133"/>
    <w:rsid w:val="006341F3"/>
    <w:rsid w:val="0063425C"/>
    <w:rsid w:val="00634CD6"/>
    <w:rsid w:val="00634F16"/>
    <w:rsid w:val="006350FB"/>
    <w:rsid w:val="006354BE"/>
    <w:rsid w:val="00635D6D"/>
    <w:rsid w:val="00636142"/>
    <w:rsid w:val="006362D6"/>
    <w:rsid w:val="0063696C"/>
    <w:rsid w:val="00636AAC"/>
    <w:rsid w:val="00636E72"/>
    <w:rsid w:val="00637343"/>
    <w:rsid w:val="00637B98"/>
    <w:rsid w:val="00637EB7"/>
    <w:rsid w:val="006403CA"/>
    <w:rsid w:val="00640D08"/>
    <w:rsid w:val="00641018"/>
    <w:rsid w:val="00641F38"/>
    <w:rsid w:val="00642313"/>
    <w:rsid w:val="00642A8F"/>
    <w:rsid w:val="00642F8C"/>
    <w:rsid w:val="00643BA9"/>
    <w:rsid w:val="006446EB"/>
    <w:rsid w:val="00645006"/>
    <w:rsid w:val="006458F4"/>
    <w:rsid w:val="00645CBB"/>
    <w:rsid w:val="0064632C"/>
    <w:rsid w:val="006464FE"/>
    <w:rsid w:val="006467E9"/>
    <w:rsid w:val="00646ACE"/>
    <w:rsid w:val="00646EA4"/>
    <w:rsid w:val="00647033"/>
    <w:rsid w:val="0064745B"/>
    <w:rsid w:val="006474A4"/>
    <w:rsid w:val="00647503"/>
    <w:rsid w:val="00647DB5"/>
    <w:rsid w:val="00650604"/>
    <w:rsid w:val="006506B7"/>
    <w:rsid w:val="006509A1"/>
    <w:rsid w:val="00651135"/>
    <w:rsid w:val="0065139C"/>
    <w:rsid w:val="0065242B"/>
    <w:rsid w:val="00652638"/>
    <w:rsid w:val="006526C1"/>
    <w:rsid w:val="00652911"/>
    <w:rsid w:val="00653347"/>
    <w:rsid w:val="0065400D"/>
    <w:rsid w:val="0065448E"/>
    <w:rsid w:val="00655954"/>
    <w:rsid w:val="00655D64"/>
    <w:rsid w:val="00656791"/>
    <w:rsid w:val="00656A3C"/>
    <w:rsid w:val="0065707C"/>
    <w:rsid w:val="006573A6"/>
    <w:rsid w:val="00657623"/>
    <w:rsid w:val="00657C5B"/>
    <w:rsid w:val="00657E57"/>
    <w:rsid w:val="00660836"/>
    <w:rsid w:val="00660C81"/>
    <w:rsid w:val="00660EDC"/>
    <w:rsid w:val="006617A4"/>
    <w:rsid w:val="00661A1B"/>
    <w:rsid w:val="0066274A"/>
    <w:rsid w:val="00662CD2"/>
    <w:rsid w:val="0066382F"/>
    <w:rsid w:val="006643E9"/>
    <w:rsid w:val="00664A93"/>
    <w:rsid w:val="00664E39"/>
    <w:rsid w:val="00664FE3"/>
    <w:rsid w:val="0066518A"/>
    <w:rsid w:val="00665362"/>
    <w:rsid w:val="0066549D"/>
    <w:rsid w:val="00665BAB"/>
    <w:rsid w:val="00666459"/>
    <w:rsid w:val="0066658F"/>
    <w:rsid w:val="00666BD2"/>
    <w:rsid w:val="0066789E"/>
    <w:rsid w:val="00667A97"/>
    <w:rsid w:val="00667DA0"/>
    <w:rsid w:val="00667FE8"/>
    <w:rsid w:val="0067116A"/>
    <w:rsid w:val="00671B2F"/>
    <w:rsid w:val="00671FF2"/>
    <w:rsid w:val="00672345"/>
    <w:rsid w:val="00672A0E"/>
    <w:rsid w:val="00673B25"/>
    <w:rsid w:val="00673B88"/>
    <w:rsid w:val="006744A2"/>
    <w:rsid w:val="00674E4E"/>
    <w:rsid w:val="00675032"/>
    <w:rsid w:val="006750DA"/>
    <w:rsid w:val="0067579A"/>
    <w:rsid w:val="006757DB"/>
    <w:rsid w:val="0067596D"/>
    <w:rsid w:val="00675E1E"/>
    <w:rsid w:val="00676236"/>
    <w:rsid w:val="00676B83"/>
    <w:rsid w:val="00677531"/>
    <w:rsid w:val="00677BB5"/>
    <w:rsid w:val="00677F26"/>
    <w:rsid w:val="0068069C"/>
    <w:rsid w:val="006811E0"/>
    <w:rsid w:val="00681256"/>
    <w:rsid w:val="006812F2"/>
    <w:rsid w:val="00681428"/>
    <w:rsid w:val="006815AB"/>
    <w:rsid w:val="0068161F"/>
    <w:rsid w:val="00681CE7"/>
    <w:rsid w:val="00681E15"/>
    <w:rsid w:val="00681F8C"/>
    <w:rsid w:val="00682A7E"/>
    <w:rsid w:val="00682EFB"/>
    <w:rsid w:val="0068309C"/>
    <w:rsid w:val="0068393B"/>
    <w:rsid w:val="006839B8"/>
    <w:rsid w:val="00683A2F"/>
    <w:rsid w:val="00683ABA"/>
    <w:rsid w:val="00683FF5"/>
    <w:rsid w:val="00684442"/>
    <w:rsid w:val="0068566A"/>
    <w:rsid w:val="00685868"/>
    <w:rsid w:val="00685BC7"/>
    <w:rsid w:val="00685C47"/>
    <w:rsid w:val="0068690C"/>
    <w:rsid w:val="00686B1E"/>
    <w:rsid w:val="00686D73"/>
    <w:rsid w:val="00686F6C"/>
    <w:rsid w:val="006873CB"/>
    <w:rsid w:val="006878D9"/>
    <w:rsid w:val="00687CB6"/>
    <w:rsid w:val="00687E94"/>
    <w:rsid w:val="006905D7"/>
    <w:rsid w:val="0069080A"/>
    <w:rsid w:val="00691061"/>
    <w:rsid w:val="00691219"/>
    <w:rsid w:val="0069121A"/>
    <w:rsid w:val="00691BE7"/>
    <w:rsid w:val="006924B1"/>
    <w:rsid w:val="006929A4"/>
    <w:rsid w:val="00692EBE"/>
    <w:rsid w:val="00692F5F"/>
    <w:rsid w:val="00693727"/>
    <w:rsid w:val="00693AF4"/>
    <w:rsid w:val="00693B4A"/>
    <w:rsid w:val="00694612"/>
    <w:rsid w:val="00694721"/>
    <w:rsid w:val="006947B7"/>
    <w:rsid w:val="00694CEB"/>
    <w:rsid w:val="006955E9"/>
    <w:rsid w:val="00695C09"/>
    <w:rsid w:val="006964AD"/>
    <w:rsid w:val="006A0106"/>
    <w:rsid w:val="006A0550"/>
    <w:rsid w:val="006A058C"/>
    <w:rsid w:val="006A0974"/>
    <w:rsid w:val="006A0B82"/>
    <w:rsid w:val="006A15A1"/>
    <w:rsid w:val="006A205E"/>
    <w:rsid w:val="006A26C5"/>
    <w:rsid w:val="006A29BE"/>
    <w:rsid w:val="006A2BCD"/>
    <w:rsid w:val="006A3734"/>
    <w:rsid w:val="006A4102"/>
    <w:rsid w:val="006A41E2"/>
    <w:rsid w:val="006A464C"/>
    <w:rsid w:val="006A4700"/>
    <w:rsid w:val="006A4ED2"/>
    <w:rsid w:val="006A5D48"/>
    <w:rsid w:val="006A5DD1"/>
    <w:rsid w:val="006A623A"/>
    <w:rsid w:val="006A6E74"/>
    <w:rsid w:val="006A705B"/>
    <w:rsid w:val="006A73CD"/>
    <w:rsid w:val="006A780B"/>
    <w:rsid w:val="006A78FD"/>
    <w:rsid w:val="006A7DEE"/>
    <w:rsid w:val="006B0019"/>
    <w:rsid w:val="006B0151"/>
    <w:rsid w:val="006B038D"/>
    <w:rsid w:val="006B03F8"/>
    <w:rsid w:val="006B1632"/>
    <w:rsid w:val="006B24B3"/>
    <w:rsid w:val="006B2529"/>
    <w:rsid w:val="006B2CA4"/>
    <w:rsid w:val="006B2D7F"/>
    <w:rsid w:val="006B323E"/>
    <w:rsid w:val="006B3B41"/>
    <w:rsid w:val="006B3B7E"/>
    <w:rsid w:val="006B54BB"/>
    <w:rsid w:val="006B61AC"/>
    <w:rsid w:val="006B654E"/>
    <w:rsid w:val="006B6994"/>
    <w:rsid w:val="006B6CE8"/>
    <w:rsid w:val="006B6E3D"/>
    <w:rsid w:val="006B6F21"/>
    <w:rsid w:val="006B6F5B"/>
    <w:rsid w:val="006B7130"/>
    <w:rsid w:val="006C04D1"/>
    <w:rsid w:val="006C0895"/>
    <w:rsid w:val="006C12A8"/>
    <w:rsid w:val="006C15E5"/>
    <w:rsid w:val="006C1DFE"/>
    <w:rsid w:val="006C21CB"/>
    <w:rsid w:val="006C2296"/>
    <w:rsid w:val="006C2A53"/>
    <w:rsid w:val="006C2E9B"/>
    <w:rsid w:val="006C3018"/>
    <w:rsid w:val="006C31C4"/>
    <w:rsid w:val="006C340E"/>
    <w:rsid w:val="006C3866"/>
    <w:rsid w:val="006C3A4D"/>
    <w:rsid w:val="006C3E1B"/>
    <w:rsid w:val="006C3FF6"/>
    <w:rsid w:val="006C4258"/>
    <w:rsid w:val="006C48BC"/>
    <w:rsid w:val="006C4B3A"/>
    <w:rsid w:val="006C5199"/>
    <w:rsid w:val="006C53A3"/>
    <w:rsid w:val="006C576D"/>
    <w:rsid w:val="006C5BFF"/>
    <w:rsid w:val="006C5DAF"/>
    <w:rsid w:val="006C6DD4"/>
    <w:rsid w:val="006C7AD5"/>
    <w:rsid w:val="006C7F58"/>
    <w:rsid w:val="006D007E"/>
    <w:rsid w:val="006D098D"/>
    <w:rsid w:val="006D16EE"/>
    <w:rsid w:val="006D17E7"/>
    <w:rsid w:val="006D1AFD"/>
    <w:rsid w:val="006D1B9E"/>
    <w:rsid w:val="006D1F59"/>
    <w:rsid w:val="006D20E9"/>
    <w:rsid w:val="006D2A59"/>
    <w:rsid w:val="006D2E43"/>
    <w:rsid w:val="006D3169"/>
    <w:rsid w:val="006D35AB"/>
    <w:rsid w:val="006D368F"/>
    <w:rsid w:val="006D3A85"/>
    <w:rsid w:val="006D3AA6"/>
    <w:rsid w:val="006D3F69"/>
    <w:rsid w:val="006D4464"/>
    <w:rsid w:val="006D44CC"/>
    <w:rsid w:val="006D4707"/>
    <w:rsid w:val="006D4FD1"/>
    <w:rsid w:val="006D71A3"/>
    <w:rsid w:val="006E01C4"/>
    <w:rsid w:val="006E05E8"/>
    <w:rsid w:val="006E0748"/>
    <w:rsid w:val="006E090C"/>
    <w:rsid w:val="006E0927"/>
    <w:rsid w:val="006E171B"/>
    <w:rsid w:val="006E1DF1"/>
    <w:rsid w:val="006E23A4"/>
    <w:rsid w:val="006E26F2"/>
    <w:rsid w:val="006E2732"/>
    <w:rsid w:val="006E2CA8"/>
    <w:rsid w:val="006E333C"/>
    <w:rsid w:val="006E37C1"/>
    <w:rsid w:val="006E40BB"/>
    <w:rsid w:val="006E40D4"/>
    <w:rsid w:val="006E438C"/>
    <w:rsid w:val="006E4730"/>
    <w:rsid w:val="006E4EBC"/>
    <w:rsid w:val="006E6862"/>
    <w:rsid w:val="006E70E6"/>
    <w:rsid w:val="006E7EAD"/>
    <w:rsid w:val="006F0316"/>
    <w:rsid w:val="006F0E57"/>
    <w:rsid w:val="006F0F2E"/>
    <w:rsid w:val="006F1A24"/>
    <w:rsid w:val="006F1A42"/>
    <w:rsid w:val="006F1FC8"/>
    <w:rsid w:val="006F269C"/>
    <w:rsid w:val="006F2C9C"/>
    <w:rsid w:val="006F2CF5"/>
    <w:rsid w:val="006F35C0"/>
    <w:rsid w:val="006F36CE"/>
    <w:rsid w:val="006F381F"/>
    <w:rsid w:val="006F3A31"/>
    <w:rsid w:val="006F3BD9"/>
    <w:rsid w:val="006F3BFD"/>
    <w:rsid w:val="006F4482"/>
    <w:rsid w:val="006F56CC"/>
    <w:rsid w:val="006F57F7"/>
    <w:rsid w:val="006F5BD6"/>
    <w:rsid w:val="006F611E"/>
    <w:rsid w:val="006F6465"/>
    <w:rsid w:val="006F77CD"/>
    <w:rsid w:val="006F7821"/>
    <w:rsid w:val="006F7C87"/>
    <w:rsid w:val="0070000C"/>
    <w:rsid w:val="007009E7"/>
    <w:rsid w:val="00700B11"/>
    <w:rsid w:val="00701854"/>
    <w:rsid w:val="00702188"/>
    <w:rsid w:val="00702633"/>
    <w:rsid w:val="0070279D"/>
    <w:rsid w:val="00702EF7"/>
    <w:rsid w:val="00703C65"/>
    <w:rsid w:val="00704137"/>
    <w:rsid w:val="007044ED"/>
    <w:rsid w:val="007054A7"/>
    <w:rsid w:val="0070610F"/>
    <w:rsid w:val="00706D3A"/>
    <w:rsid w:val="00707072"/>
    <w:rsid w:val="00707B58"/>
    <w:rsid w:val="00707BC4"/>
    <w:rsid w:val="007104BC"/>
    <w:rsid w:val="00711101"/>
    <w:rsid w:val="00711AB1"/>
    <w:rsid w:val="00712620"/>
    <w:rsid w:val="00712B24"/>
    <w:rsid w:val="007131B6"/>
    <w:rsid w:val="00713260"/>
    <w:rsid w:val="007137A8"/>
    <w:rsid w:val="00713EE2"/>
    <w:rsid w:val="007143E1"/>
    <w:rsid w:val="00714B3B"/>
    <w:rsid w:val="00714BB0"/>
    <w:rsid w:val="00714CF1"/>
    <w:rsid w:val="00715100"/>
    <w:rsid w:val="007157CB"/>
    <w:rsid w:val="00715EC5"/>
    <w:rsid w:val="007161EE"/>
    <w:rsid w:val="00716708"/>
    <w:rsid w:val="00716D0B"/>
    <w:rsid w:val="007170C2"/>
    <w:rsid w:val="00717721"/>
    <w:rsid w:val="00717887"/>
    <w:rsid w:val="00717AA6"/>
    <w:rsid w:val="007202D3"/>
    <w:rsid w:val="00720698"/>
    <w:rsid w:val="0072098C"/>
    <w:rsid w:val="007209A5"/>
    <w:rsid w:val="007222B0"/>
    <w:rsid w:val="00722477"/>
    <w:rsid w:val="00722821"/>
    <w:rsid w:val="007228F5"/>
    <w:rsid w:val="00723C0D"/>
    <w:rsid w:val="0072414D"/>
    <w:rsid w:val="00724D6A"/>
    <w:rsid w:val="007259B5"/>
    <w:rsid w:val="00725DC7"/>
    <w:rsid w:val="00726637"/>
    <w:rsid w:val="00726A89"/>
    <w:rsid w:val="00726C82"/>
    <w:rsid w:val="00726EFF"/>
    <w:rsid w:val="00727214"/>
    <w:rsid w:val="007272EB"/>
    <w:rsid w:val="00731D8B"/>
    <w:rsid w:val="00731E49"/>
    <w:rsid w:val="0073214E"/>
    <w:rsid w:val="0073262A"/>
    <w:rsid w:val="00732C42"/>
    <w:rsid w:val="00733B06"/>
    <w:rsid w:val="00733CC7"/>
    <w:rsid w:val="00734D57"/>
    <w:rsid w:val="0073522D"/>
    <w:rsid w:val="007356CE"/>
    <w:rsid w:val="007357EB"/>
    <w:rsid w:val="00735DC6"/>
    <w:rsid w:val="00735E89"/>
    <w:rsid w:val="00736196"/>
    <w:rsid w:val="007368F5"/>
    <w:rsid w:val="00737012"/>
    <w:rsid w:val="007374C1"/>
    <w:rsid w:val="00737C39"/>
    <w:rsid w:val="00737F05"/>
    <w:rsid w:val="00740971"/>
    <w:rsid w:val="00741562"/>
    <w:rsid w:val="007417DE"/>
    <w:rsid w:val="0074182D"/>
    <w:rsid w:val="0074203F"/>
    <w:rsid w:val="007427F2"/>
    <w:rsid w:val="007438D1"/>
    <w:rsid w:val="00743EBD"/>
    <w:rsid w:val="0074430E"/>
    <w:rsid w:val="007446FC"/>
    <w:rsid w:val="00745184"/>
    <w:rsid w:val="007456B1"/>
    <w:rsid w:val="00745908"/>
    <w:rsid w:val="00745A74"/>
    <w:rsid w:val="00746CC0"/>
    <w:rsid w:val="007477F4"/>
    <w:rsid w:val="0074784C"/>
    <w:rsid w:val="00750623"/>
    <w:rsid w:val="00750C69"/>
    <w:rsid w:val="00750FA4"/>
    <w:rsid w:val="007514D5"/>
    <w:rsid w:val="00752F02"/>
    <w:rsid w:val="007533FB"/>
    <w:rsid w:val="007538C7"/>
    <w:rsid w:val="007543DD"/>
    <w:rsid w:val="0075445A"/>
    <w:rsid w:val="00754A39"/>
    <w:rsid w:val="00755218"/>
    <w:rsid w:val="00755B26"/>
    <w:rsid w:val="0075784D"/>
    <w:rsid w:val="007579BE"/>
    <w:rsid w:val="00757B89"/>
    <w:rsid w:val="00757C4B"/>
    <w:rsid w:val="007607D5"/>
    <w:rsid w:val="00760C5E"/>
    <w:rsid w:val="00760C68"/>
    <w:rsid w:val="00761208"/>
    <w:rsid w:val="0076131D"/>
    <w:rsid w:val="00761C17"/>
    <w:rsid w:val="007628C8"/>
    <w:rsid w:val="00762EB8"/>
    <w:rsid w:val="007631E0"/>
    <w:rsid w:val="00763893"/>
    <w:rsid w:val="00763A08"/>
    <w:rsid w:val="00763D84"/>
    <w:rsid w:val="00764018"/>
    <w:rsid w:val="007648D4"/>
    <w:rsid w:val="00764FCC"/>
    <w:rsid w:val="0076525B"/>
    <w:rsid w:val="00765493"/>
    <w:rsid w:val="007655F8"/>
    <w:rsid w:val="00765C21"/>
    <w:rsid w:val="00765FB5"/>
    <w:rsid w:val="00766372"/>
    <w:rsid w:val="0076670A"/>
    <w:rsid w:val="00766820"/>
    <w:rsid w:val="00766E5E"/>
    <w:rsid w:val="00767745"/>
    <w:rsid w:val="007678A1"/>
    <w:rsid w:val="007700B8"/>
    <w:rsid w:val="007702BE"/>
    <w:rsid w:val="00770752"/>
    <w:rsid w:val="00772987"/>
    <w:rsid w:val="00772F48"/>
    <w:rsid w:val="007736BA"/>
    <w:rsid w:val="00773C83"/>
    <w:rsid w:val="0077418C"/>
    <w:rsid w:val="00774297"/>
    <w:rsid w:val="00774394"/>
    <w:rsid w:val="00774737"/>
    <w:rsid w:val="00774E57"/>
    <w:rsid w:val="0077505E"/>
    <w:rsid w:val="0077533D"/>
    <w:rsid w:val="00775719"/>
    <w:rsid w:val="00775CF0"/>
    <w:rsid w:val="00775F8A"/>
    <w:rsid w:val="007762D6"/>
    <w:rsid w:val="007765FE"/>
    <w:rsid w:val="00776AD2"/>
    <w:rsid w:val="00776DEC"/>
    <w:rsid w:val="00777377"/>
    <w:rsid w:val="007776C8"/>
    <w:rsid w:val="007800E4"/>
    <w:rsid w:val="00780179"/>
    <w:rsid w:val="007801FE"/>
    <w:rsid w:val="007802C8"/>
    <w:rsid w:val="00780972"/>
    <w:rsid w:val="00780A9E"/>
    <w:rsid w:val="00780AA2"/>
    <w:rsid w:val="00780DE4"/>
    <w:rsid w:val="007812A5"/>
    <w:rsid w:val="0078170E"/>
    <w:rsid w:val="00781966"/>
    <w:rsid w:val="00781A9D"/>
    <w:rsid w:val="00781E30"/>
    <w:rsid w:val="00781FA6"/>
    <w:rsid w:val="007829E0"/>
    <w:rsid w:val="0078305F"/>
    <w:rsid w:val="00783778"/>
    <w:rsid w:val="00783860"/>
    <w:rsid w:val="00783BE2"/>
    <w:rsid w:val="00783D5F"/>
    <w:rsid w:val="007840BB"/>
    <w:rsid w:val="00784F3D"/>
    <w:rsid w:val="00785B97"/>
    <w:rsid w:val="00785E2E"/>
    <w:rsid w:val="00785FA3"/>
    <w:rsid w:val="00786190"/>
    <w:rsid w:val="0078686B"/>
    <w:rsid w:val="007869FB"/>
    <w:rsid w:val="007873E2"/>
    <w:rsid w:val="00787B4A"/>
    <w:rsid w:val="00787D0E"/>
    <w:rsid w:val="00787DFB"/>
    <w:rsid w:val="00787E72"/>
    <w:rsid w:val="00790164"/>
    <w:rsid w:val="007908C5"/>
    <w:rsid w:val="00790966"/>
    <w:rsid w:val="00790E1F"/>
    <w:rsid w:val="007915C4"/>
    <w:rsid w:val="00791772"/>
    <w:rsid w:val="007929B2"/>
    <w:rsid w:val="00792D1C"/>
    <w:rsid w:val="007933AB"/>
    <w:rsid w:val="00794A1F"/>
    <w:rsid w:val="00794F67"/>
    <w:rsid w:val="00795450"/>
    <w:rsid w:val="00795F22"/>
    <w:rsid w:val="00795FEF"/>
    <w:rsid w:val="00796206"/>
    <w:rsid w:val="00796C59"/>
    <w:rsid w:val="00797C89"/>
    <w:rsid w:val="007A0923"/>
    <w:rsid w:val="007A0E43"/>
    <w:rsid w:val="007A1051"/>
    <w:rsid w:val="007A115B"/>
    <w:rsid w:val="007A11A2"/>
    <w:rsid w:val="007A20AD"/>
    <w:rsid w:val="007A2CF1"/>
    <w:rsid w:val="007A323F"/>
    <w:rsid w:val="007A3402"/>
    <w:rsid w:val="007A346C"/>
    <w:rsid w:val="007A35FF"/>
    <w:rsid w:val="007A4343"/>
    <w:rsid w:val="007A4410"/>
    <w:rsid w:val="007A452B"/>
    <w:rsid w:val="007A4707"/>
    <w:rsid w:val="007A4881"/>
    <w:rsid w:val="007A4CD6"/>
    <w:rsid w:val="007A5539"/>
    <w:rsid w:val="007A5B90"/>
    <w:rsid w:val="007A601C"/>
    <w:rsid w:val="007A6129"/>
    <w:rsid w:val="007A61EC"/>
    <w:rsid w:val="007A6548"/>
    <w:rsid w:val="007A6BC3"/>
    <w:rsid w:val="007A6E11"/>
    <w:rsid w:val="007A6E7E"/>
    <w:rsid w:val="007A7263"/>
    <w:rsid w:val="007A7415"/>
    <w:rsid w:val="007A7CE5"/>
    <w:rsid w:val="007B00E1"/>
    <w:rsid w:val="007B1211"/>
    <w:rsid w:val="007B187C"/>
    <w:rsid w:val="007B1E2E"/>
    <w:rsid w:val="007B1ECA"/>
    <w:rsid w:val="007B220F"/>
    <w:rsid w:val="007B2BAC"/>
    <w:rsid w:val="007B3B0E"/>
    <w:rsid w:val="007B3DF4"/>
    <w:rsid w:val="007B4170"/>
    <w:rsid w:val="007B44E1"/>
    <w:rsid w:val="007B55C6"/>
    <w:rsid w:val="007B5EDE"/>
    <w:rsid w:val="007B62A9"/>
    <w:rsid w:val="007B65D1"/>
    <w:rsid w:val="007B6ACE"/>
    <w:rsid w:val="007B6B1E"/>
    <w:rsid w:val="007B6E03"/>
    <w:rsid w:val="007B72FC"/>
    <w:rsid w:val="007B74D3"/>
    <w:rsid w:val="007B7C09"/>
    <w:rsid w:val="007B7CC9"/>
    <w:rsid w:val="007C028E"/>
    <w:rsid w:val="007C06DB"/>
    <w:rsid w:val="007C100D"/>
    <w:rsid w:val="007C1099"/>
    <w:rsid w:val="007C1501"/>
    <w:rsid w:val="007C2922"/>
    <w:rsid w:val="007C2AD4"/>
    <w:rsid w:val="007C2D5A"/>
    <w:rsid w:val="007C2DD4"/>
    <w:rsid w:val="007C3005"/>
    <w:rsid w:val="007C37B2"/>
    <w:rsid w:val="007C384F"/>
    <w:rsid w:val="007C3B06"/>
    <w:rsid w:val="007C3E46"/>
    <w:rsid w:val="007C4914"/>
    <w:rsid w:val="007C4F78"/>
    <w:rsid w:val="007C5024"/>
    <w:rsid w:val="007C55D4"/>
    <w:rsid w:val="007C5CBD"/>
    <w:rsid w:val="007C6357"/>
    <w:rsid w:val="007C6BD5"/>
    <w:rsid w:val="007C73B8"/>
    <w:rsid w:val="007C7721"/>
    <w:rsid w:val="007C787C"/>
    <w:rsid w:val="007C7C9F"/>
    <w:rsid w:val="007D1545"/>
    <w:rsid w:val="007D185D"/>
    <w:rsid w:val="007D26A3"/>
    <w:rsid w:val="007D291D"/>
    <w:rsid w:val="007D2B60"/>
    <w:rsid w:val="007D3105"/>
    <w:rsid w:val="007D3420"/>
    <w:rsid w:val="007D3687"/>
    <w:rsid w:val="007D4134"/>
    <w:rsid w:val="007D4719"/>
    <w:rsid w:val="007D4E84"/>
    <w:rsid w:val="007D4EA3"/>
    <w:rsid w:val="007D523C"/>
    <w:rsid w:val="007D5362"/>
    <w:rsid w:val="007D5470"/>
    <w:rsid w:val="007D5FAA"/>
    <w:rsid w:val="007D6706"/>
    <w:rsid w:val="007D6A2D"/>
    <w:rsid w:val="007D701A"/>
    <w:rsid w:val="007D7044"/>
    <w:rsid w:val="007D7054"/>
    <w:rsid w:val="007D7491"/>
    <w:rsid w:val="007E000F"/>
    <w:rsid w:val="007E054E"/>
    <w:rsid w:val="007E1135"/>
    <w:rsid w:val="007E19A6"/>
    <w:rsid w:val="007E1C2E"/>
    <w:rsid w:val="007E1D38"/>
    <w:rsid w:val="007E273E"/>
    <w:rsid w:val="007E27E0"/>
    <w:rsid w:val="007E29CF"/>
    <w:rsid w:val="007E35D8"/>
    <w:rsid w:val="007E3764"/>
    <w:rsid w:val="007E4323"/>
    <w:rsid w:val="007E4848"/>
    <w:rsid w:val="007E496A"/>
    <w:rsid w:val="007E4A1F"/>
    <w:rsid w:val="007E4B7F"/>
    <w:rsid w:val="007E51B6"/>
    <w:rsid w:val="007E52CB"/>
    <w:rsid w:val="007E6253"/>
    <w:rsid w:val="007E6661"/>
    <w:rsid w:val="007E6721"/>
    <w:rsid w:val="007E6D16"/>
    <w:rsid w:val="007E6F07"/>
    <w:rsid w:val="007F0272"/>
    <w:rsid w:val="007F0A92"/>
    <w:rsid w:val="007F0EBA"/>
    <w:rsid w:val="007F0FDA"/>
    <w:rsid w:val="007F1263"/>
    <w:rsid w:val="007F2007"/>
    <w:rsid w:val="007F2338"/>
    <w:rsid w:val="007F2BA4"/>
    <w:rsid w:val="007F2E32"/>
    <w:rsid w:val="007F2E48"/>
    <w:rsid w:val="007F2F97"/>
    <w:rsid w:val="007F3880"/>
    <w:rsid w:val="007F3B8C"/>
    <w:rsid w:val="007F421B"/>
    <w:rsid w:val="007F4710"/>
    <w:rsid w:val="007F4D34"/>
    <w:rsid w:val="007F4EEA"/>
    <w:rsid w:val="007F52CA"/>
    <w:rsid w:val="007F6BF4"/>
    <w:rsid w:val="007F6D88"/>
    <w:rsid w:val="007F7574"/>
    <w:rsid w:val="007F7713"/>
    <w:rsid w:val="007F791D"/>
    <w:rsid w:val="007F7C6E"/>
    <w:rsid w:val="007F7D09"/>
    <w:rsid w:val="008000C2"/>
    <w:rsid w:val="008006EE"/>
    <w:rsid w:val="00800777"/>
    <w:rsid w:val="00800D55"/>
    <w:rsid w:val="0080122B"/>
    <w:rsid w:val="0080354C"/>
    <w:rsid w:val="008037F7"/>
    <w:rsid w:val="00804473"/>
    <w:rsid w:val="008046FF"/>
    <w:rsid w:val="008049EA"/>
    <w:rsid w:val="00804C77"/>
    <w:rsid w:val="00804D26"/>
    <w:rsid w:val="008053E6"/>
    <w:rsid w:val="008054E8"/>
    <w:rsid w:val="008059A8"/>
    <w:rsid w:val="00806283"/>
    <w:rsid w:val="00806531"/>
    <w:rsid w:val="00806A80"/>
    <w:rsid w:val="00807623"/>
    <w:rsid w:val="008079D8"/>
    <w:rsid w:val="00807B53"/>
    <w:rsid w:val="00810CD7"/>
    <w:rsid w:val="00810D34"/>
    <w:rsid w:val="00811137"/>
    <w:rsid w:val="00811503"/>
    <w:rsid w:val="0081177A"/>
    <w:rsid w:val="00812A68"/>
    <w:rsid w:val="00812EEE"/>
    <w:rsid w:val="00812F41"/>
    <w:rsid w:val="00813FD1"/>
    <w:rsid w:val="0081471B"/>
    <w:rsid w:val="008147C1"/>
    <w:rsid w:val="008148F1"/>
    <w:rsid w:val="00814E45"/>
    <w:rsid w:val="00814F25"/>
    <w:rsid w:val="0081540C"/>
    <w:rsid w:val="008158CC"/>
    <w:rsid w:val="0081620E"/>
    <w:rsid w:val="00816257"/>
    <w:rsid w:val="0081658F"/>
    <w:rsid w:val="00816ED9"/>
    <w:rsid w:val="0081739B"/>
    <w:rsid w:val="008175BD"/>
    <w:rsid w:val="008178AB"/>
    <w:rsid w:val="008179CF"/>
    <w:rsid w:val="00817D71"/>
    <w:rsid w:val="00817ECC"/>
    <w:rsid w:val="00817F37"/>
    <w:rsid w:val="008203B5"/>
    <w:rsid w:val="0082049A"/>
    <w:rsid w:val="008205DB"/>
    <w:rsid w:val="00820CE5"/>
    <w:rsid w:val="00820E00"/>
    <w:rsid w:val="008213F1"/>
    <w:rsid w:val="0082189E"/>
    <w:rsid w:val="00822151"/>
    <w:rsid w:val="0082279D"/>
    <w:rsid w:val="0082369D"/>
    <w:rsid w:val="00824316"/>
    <w:rsid w:val="008249FC"/>
    <w:rsid w:val="008257EC"/>
    <w:rsid w:val="00825851"/>
    <w:rsid w:val="00825D3D"/>
    <w:rsid w:val="00825D43"/>
    <w:rsid w:val="00825FB2"/>
    <w:rsid w:val="0082628D"/>
    <w:rsid w:val="00826295"/>
    <w:rsid w:val="008268F0"/>
    <w:rsid w:val="008269C2"/>
    <w:rsid w:val="00826B85"/>
    <w:rsid w:val="00826BE9"/>
    <w:rsid w:val="00826D95"/>
    <w:rsid w:val="00826E5B"/>
    <w:rsid w:val="00827AF0"/>
    <w:rsid w:val="00827BC5"/>
    <w:rsid w:val="00830148"/>
    <w:rsid w:val="00830344"/>
    <w:rsid w:val="0083095E"/>
    <w:rsid w:val="008316AD"/>
    <w:rsid w:val="00831981"/>
    <w:rsid w:val="008320AD"/>
    <w:rsid w:val="008323AD"/>
    <w:rsid w:val="00832538"/>
    <w:rsid w:val="0083263F"/>
    <w:rsid w:val="008327E8"/>
    <w:rsid w:val="00832E79"/>
    <w:rsid w:val="00833286"/>
    <w:rsid w:val="0083378E"/>
    <w:rsid w:val="00833C32"/>
    <w:rsid w:val="00833C7E"/>
    <w:rsid w:val="00833D56"/>
    <w:rsid w:val="00834B01"/>
    <w:rsid w:val="00834FD5"/>
    <w:rsid w:val="008356CC"/>
    <w:rsid w:val="00835771"/>
    <w:rsid w:val="008360ED"/>
    <w:rsid w:val="008361E6"/>
    <w:rsid w:val="008362EA"/>
    <w:rsid w:val="008363A2"/>
    <w:rsid w:val="008365C2"/>
    <w:rsid w:val="00836D57"/>
    <w:rsid w:val="00836FA6"/>
    <w:rsid w:val="00837125"/>
    <w:rsid w:val="00837395"/>
    <w:rsid w:val="008407BC"/>
    <w:rsid w:val="0084188B"/>
    <w:rsid w:val="00841DAA"/>
    <w:rsid w:val="00841E44"/>
    <w:rsid w:val="00842395"/>
    <w:rsid w:val="00842568"/>
    <w:rsid w:val="008425A6"/>
    <w:rsid w:val="0084272D"/>
    <w:rsid w:val="00842834"/>
    <w:rsid w:val="00843C7B"/>
    <w:rsid w:val="00844088"/>
    <w:rsid w:val="00844111"/>
    <w:rsid w:val="0084459E"/>
    <w:rsid w:val="008445D4"/>
    <w:rsid w:val="008446F1"/>
    <w:rsid w:val="00844AB1"/>
    <w:rsid w:val="00845885"/>
    <w:rsid w:val="00845FD2"/>
    <w:rsid w:val="00846A12"/>
    <w:rsid w:val="00846A3E"/>
    <w:rsid w:val="00846F3B"/>
    <w:rsid w:val="00846FF0"/>
    <w:rsid w:val="00847435"/>
    <w:rsid w:val="00847C67"/>
    <w:rsid w:val="0085002F"/>
    <w:rsid w:val="00850517"/>
    <w:rsid w:val="008518DD"/>
    <w:rsid w:val="00851E33"/>
    <w:rsid w:val="00851E5B"/>
    <w:rsid w:val="0085298A"/>
    <w:rsid w:val="00852ADA"/>
    <w:rsid w:val="0085353C"/>
    <w:rsid w:val="00853732"/>
    <w:rsid w:val="008549D1"/>
    <w:rsid w:val="00855458"/>
    <w:rsid w:val="00855A26"/>
    <w:rsid w:val="008564FE"/>
    <w:rsid w:val="0085728C"/>
    <w:rsid w:val="0085729F"/>
    <w:rsid w:val="008607E0"/>
    <w:rsid w:val="0086134D"/>
    <w:rsid w:val="00861825"/>
    <w:rsid w:val="00861FD7"/>
    <w:rsid w:val="00862D56"/>
    <w:rsid w:val="00862DB9"/>
    <w:rsid w:val="00862F9F"/>
    <w:rsid w:val="0086413D"/>
    <w:rsid w:val="008642EC"/>
    <w:rsid w:val="0086463D"/>
    <w:rsid w:val="00864EBA"/>
    <w:rsid w:val="00865057"/>
    <w:rsid w:val="00865472"/>
    <w:rsid w:val="00865783"/>
    <w:rsid w:val="00865F05"/>
    <w:rsid w:val="00865FB3"/>
    <w:rsid w:val="00865FDF"/>
    <w:rsid w:val="00866709"/>
    <w:rsid w:val="008676F0"/>
    <w:rsid w:val="008702CE"/>
    <w:rsid w:val="00870429"/>
    <w:rsid w:val="0087080C"/>
    <w:rsid w:val="008709A3"/>
    <w:rsid w:val="008709ED"/>
    <w:rsid w:val="00870E23"/>
    <w:rsid w:val="00870E37"/>
    <w:rsid w:val="00871104"/>
    <w:rsid w:val="008715CA"/>
    <w:rsid w:val="00871DD8"/>
    <w:rsid w:val="00871E15"/>
    <w:rsid w:val="00872406"/>
    <w:rsid w:val="00872A25"/>
    <w:rsid w:val="0087387B"/>
    <w:rsid w:val="00873B4C"/>
    <w:rsid w:val="00874671"/>
    <w:rsid w:val="00874A1F"/>
    <w:rsid w:val="00874AB6"/>
    <w:rsid w:val="00875CD9"/>
    <w:rsid w:val="008760DD"/>
    <w:rsid w:val="008762C5"/>
    <w:rsid w:val="0087635E"/>
    <w:rsid w:val="008768B2"/>
    <w:rsid w:val="00876921"/>
    <w:rsid w:val="00876A03"/>
    <w:rsid w:val="00876B68"/>
    <w:rsid w:val="00876C97"/>
    <w:rsid w:val="00876E9C"/>
    <w:rsid w:val="00876F76"/>
    <w:rsid w:val="0087756A"/>
    <w:rsid w:val="0088012F"/>
    <w:rsid w:val="0088013C"/>
    <w:rsid w:val="008803DF"/>
    <w:rsid w:val="008806E8"/>
    <w:rsid w:val="00880902"/>
    <w:rsid w:val="00881C4D"/>
    <w:rsid w:val="008821C7"/>
    <w:rsid w:val="0088237B"/>
    <w:rsid w:val="0088286F"/>
    <w:rsid w:val="0088338C"/>
    <w:rsid w:val="00883B1C"/>
    <w:rsid w:val="00883EAF"/>
    <w:rsid w:val="00883EF4"/>
    <w:rsid w:val="00884238"/>
    <w:rsid w:val="00884452"/>
    <w:rsid w:val="00884508"/>
    <w:rsid w:val="00884F85"/>
    <w:rsid w:val="00885FA7"/>
    <w:rsid w:val="00886F71"/>
    <w:rsid w:val="008871FF"/>
    <w:rsid w:val="0088731E"/>
    <w:rsid w:val="008905D7"/>
    <w:rsid w:val="00890679"/>
    <w:rsid w:val="008906B5"/>
    <w:rsid w:val="00890BF4"/>
    <w:rsid w:val="00890C7B"/>
    <w:rsid w:val="008917E5"/>
    <w:rsid w:val="00891B2D"/>
    <w:rsid w:val="008922B6"/>
    <w:rsid w:val="008924A4"/>
    <w:rsid w:val="008926C3"/>
    <w:rsid w:val="00893316"/>
    <w:rsid w:val="0089379E"/>
    <w:rsid w:val="00893875"/>
    <w:rsid w:val="00893951"/>
    <w:rsid w:val="00893E22"/>
    <w:rsid w:val="00893FC1"/>
    <w:rsid w:val="008943CB"/>
    <w:rsid w:val="00894622"/>
    <w:rsid w:val="0089531E"/>
    <w:rsid w:val="008955C5"/>
    <w:rsid w:val="008958FE"/>
    <w:rsid w:val="0089598C"/>
    <w:rsid w:val="00895B1D"/>
    <w:rsid w:val="00895B87"/>
    <w:rsid w:val="0089632B"/>
    <w:rsid w:val="008963D4"/>
    <w:rsid w:val="00896511"/>
    <w:rsid w:val="008965F8"/>
    <w:rsid w:val="00897667"/>
    <w:rsid w:val="00897763"/>
    <w:rsid w:val="00897821"/>
    <w:rsid w:val="00897A5A"/>
    <w:rsid w:val="00897AB8"/>
    <w:rsid w:val="00897B60"/>
    <w:rsid w:val="00897F59"/>
    <w:rsid w:val="008A08D2"/>
    <w:rsid w:val="008A14F2"/>
    <w:rsid w:val="008A1837"/>
    <w:rsid w:val="008A18F3"/>
    <w:rsid w:val="008A1C85"/>
    <w:rsid w:val="008A1D76"/>
    <w:rsid w:val="008A1FA0"/>
    <w:rsid w:val="008A2255"/>
    <w:rsid w:val="008A26A7"/>
    <w:rsid w:val="008A2E7B"/>
    <w:rsid w:val="008A35E6"/>
    <w:rsid w:val="008A38B6"/>
    <w:rsid w:val="008A3A4A"/>
    <w:rsid w:val="008A3B79"/>
    <w:rsid w:val="008A4B8E"/>
    <w:rsid w:val="008A568A"/>
    <w:rsid w:val="008A5C8E"/>
    <w:rsid w:val="008A6B3F"/>
    <w:rsid w:val="008A73C7"/>
    <w:rsid w:val="008A7A00"/>
    <w:rsid w:val="008B163D"/>
    <w:rsid w:val="008B1C95"/>
    <w:rsid w:val="008B251B"/>
    <w:rsid w:val="008B289F"/>
    <w:rsid w:val="008B2C72"/>
    <w:rsid w:val="008B30B7"/>
    <w:rsid w:val="008B4331"/>
    <w:rsid w:val="008B4914"/>
    <w:rsid w:val="008B50E1"/>
    <w:rsid w:val="008B5533"/>
    <w:rsid w:val="008B562E"/>
    <w:rsid w:val="008B5748"/>
    <w:rsid w:val="008B5984"/>
    <w:rsid w:val="008B5B9D"/>
    <w:rsid w:val="008B5F21"/>
    <w:rsid w:val="008B61BC"/>
    <w:rsid w:val="008B6253"/>
    <w:rsid w:val="008B6355"/>
    <w:rsid w:val="008B6A22"/>
    <w:rsid w:val="008B6AA6"/>
    <w:rsid w:val="008B6B0E"/>
    <w:rsid w:val="008B6E1A"/>
    <w:rsid w:val="008B701C"/>
    <w:rsid w:val="008B75E1"/>
    <w:rsid w:val="008B7CE5"/>
    <w:rsid w:val="008C030D"/>
    <w:rsid w:val="008C0573"/>
    <w:rsid w:val="008C0C4D"/>
    <w:rsid w:val="008C1167"/>
    <w:rsid w:val="008C11ED"/>
    <w:rsid w:val="008C1B0A"/>
    <w:rsid w:val="008C1CFE"/>
    <w:rsid w:val="008C2078"/>
    <w:rsid w:val="008C23B0"/>
    <w:rsid w:val="008C2B2A"/>
    <w:rsid w:val="008C2F0D"/>
    <w:rsid w:val="008C2FAA"/>
    <w:rsid w:val="008C33C3"/>
    <w:rsid w:val="008C3B37"/>
    <w:rsid w:val="008C4D02"/>
    <w:rsid w:val="008C520E"/>
    <w:rsid w:val="008C5970"/>
    <w:rsid w:val="008C5C70"/>
    <w:rsid w:val="008C5CA5"/>
    <w:rsid w:val="008C6847"/>
    <w:rsid w:val="008C6F9B"/>
    <w:rsid w:val="008C6FE4"/>
    <w:rsid w:val="008C70FF"/>
    <w:rsid w:val="008C7368"/>
    <w:rsid w:val="008C73D6"/>
    <w:rsid w:val="008C7B15"/>
    <w:rsid w:val="008C7D45"/>
    <w:rsid w:val="008D0C62"/>
    <w:rsid w:val="008D1B3A"/>
    <w:rsid w:val="008D2528"/>
    <w:rsid w:val="008D2777"/>
    <w:rsid w:val="008D2CD6"/>
    <w:rsid w:val="008D2DDA"/>
    <w:rsid w:val="008D3287"/>
    <w:rsid w:val="008D32FF"/>
    <w:rsid w:val="008D3411"/>
    <w:rsid w:val="008D37BC"/>
    <w:rsid w:val="008D39B0"/>
    <w:rsid w:val="008D3E76"/>
    <w:rsid w:val="008D462B"/>
    <w:rsid w:val="008D4645"/>
    <w:rsid w:val="008D4939"/>
    <w:rsid w:val="008D4F0B"/>
    <w:rsid w:val="008D4FE4"/>
    <w:rsid w:val="008D604A"/>
    <w:rsid w:val="008D7C3E"/>
    <w:rsid w:val="008D7EC3"/>
    <w:rsid w:val="008E0465"/>
    <w:rsid w:val="008E0702"/>
    <w:rsid w:val="008E0A9F"/>
    <w:rsid w:val="008E1183"/>
    <w:rsid w:val="008E1195"/>
    <w:rsid w:val="008E130A"/>
    <w:rsid w:val="008E159E"/>
    <w:rsid w:val="008E26CE"/>
    <w:rsid w:val="008E2DD0"/>
    <w:rsid w:val="008E2F88"/>
    <w:rsid w:val="008E3427"/>
    <w:rsid w:val="008E3A46"/>
    <w:rsid w:val="008E3AEA"/>
    <w:rsid w:val="008E3D60"/>
    <w:rsid w:val="008E5977"/>
    <w:rsid w:val="008E601B"/>
    <w:rsid w:val="008E6128"/>
    <w:rsid w:val="008E6A15"/>
    <w:rsid w:val="008E6ACA"/>
    <w:rsid w:val="008E6B68"/>
    <w:rsid w:val="008E6D4E"/>
    <w:rsid w:val="008E7390"/>
    <w:rsid w:val="008E762D"/>
    <w:rsid w:val="008F000D"/>
    <w:rsid w:val="008F0630"/>
    <w:rsid w:val="008F0854"/>
    <w:rsid w:val="008F0DAD"/>
    <w:rsid w:val="008F1F00"/>
    <w:rsid w:val="008F32A1"/>
    <w:rsid w:val="008F3C7B"/>
    <w:rsid w:val="008F3E85"/>
    <w:rsid w:val="008F41F5"/>
    <w:rsid w:val="008F4996"/>
    <w:rsid w:val="008F4C82"/>
    <w:rsid w:val="008F5F77"/>
    <w:rsid w:val="008F686A"/>
    <w:rsid w:val="008F6D94"/>
    <w:rsid w:val="008F6E84"/>
    <w:rsid w:val="008F6FF6"/>
    <w:rsid w:val="008F7689"/>
    <w:rsid w:val="008F7EB9"/>
    <w:rsid w:val="008F7EBB"/>
    <w:rsid w:val="00900127"/>
    <w:rsid w:val="00900486"/>
    <w:rsid w:val="0090050D"/>
    <w:rsid w:val="0090056C"/>
    <w:rsid w:val="0090091B"/>
    <w:rsid w:val="00900939"/>
    <w:rsid w:val="00900DF0"/>
    <w:rsid w:val="0090104D"/>
    <w:rsid w:val="00901459"/>
    <w:rsid w:val="00902DE1"/>
    <w:rsid w:val="00903120"/>
    <w:rsid w:val="009032E1"/>
    <w:rsid w:val="009035AD"/>
    <w:rsid w:val="00903621"/>
    <w:rsid w:val="009036C8"/>
    <w:rsid w:val="0090474D"/>
    <w:rsid w:val="00905898"/>
    <w:rsid w:val="00905FCA"/>
    <w:rsid w:val="0090605A"/>
    <w:rsid w:val="00907EE2"/>
    <w:rsid w:val="00910513"/>
    <w:rsid w:val="0091074A"/>
    <w:rsid w:val="0091091D"/>
    <w:rsid w:val="009110EB"/>
    <w:rsid w:val="00911291"/>
    <w:rsid w:val="009113AE"/>
    <w:rsid w:val="00911DEC"/>
    <w:rsid w:val="00911F60"/>
    <w:rsid w:val="00913A4D"/>
    <w:rsid w:val="00913CAA"/>
    <w:rsid w:val="00914284"/>
    <w:rsid w:val="00914550"/>
    <w:rsid w:val="00914A00"/>
    <w:rsid w:val="00914E36"/>
    <w:rsid w:val="00914EE3"/>
    <w:rsid w:val="00915300"/>
    <w:rsid w:val="00916B79"/>
    <w:rsid w:val="009173B9"/>
    <w:rsid w:val="00917421"/>
    <w:rsid w:val="00917AE1"/>
    <w:rsid w:val="009202B1"/>
    <w:rsid w:val="0092042A"/>
    <w:rsid w:val="009216CA"/>
    <w:rsid w:val="0092278F"/>
    <w:rsid w:val="00922808"/>
    <w:rsid w:val="00922934"/>
    <w:rsid w:val="009235EB"/>
    <w:rsid w:val="00923CCF"/>
    <w:rsid w:val="00923EDF"/>
    <w:rsid w:val="009245CB"/>
    <w:rsid w:val="00924657"/>
    <w:rsid w:val="00924AF5"/>
    <w:rsid w:val="009251E7"/>
    <w:rsid w:val="0092534F"/>
    <w:rsid w:val="00925562"/>
    <w:rsid w:val="0092596A"/>
    <w:rsid w:val="009259EF"/>
    <w:rsid w:val="00925D0C"/>
    <w:rsid w:val="00926414"/>
    <w:rsid w:val="0092657D"/>
    <w:rsid w:val="0092749B"/>
    <w:rsid w:val="00927725"/>
    <w:rsid w:val="00927F92"/>
    <w:rsid w:val="009301FC"/>
    <w:rsid w:val="00930782"/>
    <w:rsid w:val="00931452"/>
    <w:rsid w:val="009331B2"/>
    <w:rsid w:val="009332EE"/>
    <w:rsid w:val="0093355A"/>
    <w:rsid w:val="009335BA"/>
    <w:rsid w:val="00934660"/>
    <w:rsid w:val="00934E21"/>
    <w:rsid w:val="00935385"/>
    <w:rsid w:val="00935A09"/>
    <w:rsid w:val="00935D33"/>
    <w:rsid w:val="00935ECF"/>
    <w:rsid w:val="00936204"/>
    <w:rsid w:val="00936244"/>
    <w:rsid w:val="00936445"/>
    <w:rsid w:val="00936653"/>
    <w:rsid w:val="00936B44"/>
    <w:rsid w:val="00936E5A"/>
    <w:rsid w:val="00936EC8"/>
    <w:rsid w:val="0094036E"/>
    <w:rsid w:val="00940F5B"/>
    <w:rsid w:val="009416FE"/>
    <w:rsid w:val="009417E1"/>
    <w:rsid w:val="00941BF3"/>
    <w:rsid w:val="009427EF"/>
    <w:rsid w:val="0094286F"/>
    <w:rsid w:val="00942AE0"/>
    <w:rsid w:val="0094336F"/>
    <w:rsid w:val="00943DF7"/>
    <w:rsid w:val="00944829"/>
    <w:rsid w:val="00944FF0"/>
    <w:rsid w:val="0094522E"/>
    <w:rsid w:val="00945351"/>
    <w:rsid w:val="00945468"/>
    <w:rsid w:val="0094546E"/>
    <w:rsid w:val="009455F0"/>
    <w:rsid w:val="0094586A"/>
    <w:rsid w:val="009459DA"/>
    <w:rsid w:val="00945D12"/>
    <w:rsid w:val="00945DBF"/>
    <w:rsid w:val="00946075"/>
    <w:rsid w:val="0094695E"/>
    <w:rsid w:val="00946FC1"/>
    <w:rsid w:val="00947DA7"/>
    <w:rsid w:val="00947F9D"/>
    <w:rsid w:val="009501A6"/>
    <w:rsid w:val="00950381"/>
    <w:rsid w:val="00950AF2"/>
    <w:rsid w:val="00951495"/>
    <w:rsid w:val="00951B95"/>
    <w:rsid w:val="0095265F"/>
    <w:rsid w:val="00953C4E"/>
    <w:rsid w:val="00953D59"/>
    <w:rsid w:val="0095432C"/>
    <w:rsid w:val="00954737"/>
    <w:rsid w:val="0095501C"/>
    <w:rsid w:val="009566CA"/>
    <w:rsid w:val="00956FE4"/>
    <w:rsid w:val="00960465"/>
    <w:rsid w:val="009604DB"/>
    <w:rsid w:val="0096054B"/>
    <w:rsid w:val="00960B18"/>
    <w:rsid w:val="00960BF1"/>
    <w:rsid w:val="00961118"/>
    <w:rsid w:val="00961175"/>
    <w:rsid w:val="00961227"/>
    <w:rsid w:val="0096129C"/>
    <w:rsid w:val="00961EC4"/>
    <w:rsid w:val="00962287"/>
    <w:rsid w:val="00962690"/>
    <w:rsid w:val="009631FF"/>
    <w:rsid w:val="00963CBF"/>
    <w:rsid w:val="00964380"/>
    <w:rsid w:val="00964FB5"/>
    <w:rsid w:val="00965381"/>
    <w:rsid w:val="00965F20"/>
    <w:rsid w:val="009660FA"/>
    <w:rsid w:val="009669CC"/>
    <w:rsid w:val="00966DF1"/>
    <w:rsid w:val="00967CCA"/>
    <w:rsid w:val="00970215"/>
    <w:rsid w:val="00971077"/>
    <w:rsid w:val="00971B25"/>
    <w:rsid w:val="0097281D"/>
    <w:rsid w:val="009728CF"/>
    <w:rsid w:val="00972A26"/>
    <w:rsid w:val="00972AFD"/>
    <w:rsid w:val="00972B10"/>
    <w:rsid w:val="00972B68"/>
    <w:rsid w:val="00972FEE"/>
    <w:rsid w:val="00973175"/>
    <w:rsid w:val="009732AC"/>
    <w:rsid w:val="009734EE"/>
    <w:rsid w:val="00973FD3"/>
    <w:rsid w:val="00973FE6"/>
    <w:rsid w:val="009740C4"/>
    <w:rsid w:val="009749B5"/>
    <w:rsid w:val="0097517A"/>
    <w:rsid w:val="00975FF0"/>
    <w:rsid w:val="009763BC"/>
    <w:rsid w:val="00976511"/>
    <w:rsid w:val="00976F69"/>
    <w:rsid w:val="00977B3F"/>
    <w:rsid w:val="009806F9"/>
    <w:rsid w:val="009808EA"/>
    <w:rsid w:val="0098111E"/>
    <w:rsid w:val="009814A6"/>
    <w:rsid w:val="00981701"/>
    <w:rsid w:val="00981B96"/>
    <w:rsid w:val="00981E78"/>
    <w:rsid w:val="00981F79"/>
    <w:rsid w:val="00982068"/>
    <w:rsid w:val="009825C9"/>
    <w:rsid w:val="00982C4A"/>
    <w:rsid w:val="00982D30"/>
    <w:rsid w:val="00982EA3"/>
    <w:rsid w:val="00982FF0"/>
    <w:rsid w:val="0098318A"/>
    <w:rsid w:val="00983215"/>
    <w:rsid w:val="0098344B"/>
    <w:rsid w:val="00983973"/>
    <w:rsid w:val="00984527"/>
    <w:rsid w:val="00984A91"/>
    <w:rsid w:val="00984D0D"/>
    <w:rsid w:val="00984F46"/>
    <w:rsid w:val="009850EF"/>
    <w:rsid w:val="00985244"/>
    <w:rsid w:val="00985278"/>
    <w:rsid w:val="00985852"/>
    <w:rsid w:val="00985B36"/>
    <w:rsid w:val="00985DA0"/>
    <w:rsid w:val="00986318"/>
    <w:rsid w:val="00986879"/>
    <w:rsid w:val="009868FC"/>
    <w:rsid w:val="00986CF6"/>
    <w:rsid w:val="00986EC6"/>
    <w:rsid w:val="009872CB"/>
    <w:rsid w:val="00987D41"/>
    <w:rsid w:val="00990A70"/>
    <w:rsid w:val="00990B30"/>
    <w:rsid w:val="00991426"/>
    <w:rsid w:val="0099142E"/>
    <w:rsid w:val="00991558"/>
    <w:rsid w:val="00991893"/>
    <w:rsid w:val="00991A16"/>
    <w:rsid w:val="00991FAC"/>
    <w:rsid w:val="00992433"/>
    <w:rsid w:val="0099250A"/>
    <w:rsid w:val="0099251B"/>
    <w:rsid w:val="00992BE2"/>
    <w:rsid w:val="00993626"/>
    <w:rsid w:val="009941C2"/>
    <w:rsid w:val="00994C42"/>
    <w:rsid w:val="0099555A"/>
    <w:rsid w:val="0099562E"/>
    <w:rsid w:val="00996DDC"/>
    <w:rsid w:val="00997581"/>
    <w:rsid w:val="00997C13"/>
    <w:rsid w:val="00997FD2"/>
    <w:rsid w:val="009A0A34"/>
    <w:rsid w:val="009A13B8"/>
    <w:rsid w:val="009A157C"/>
    <w:rsid w:val="009A28A1"/>
    <w:rsid w:val="009A2A89"/>
    <w:rsid w:val="009A2D5F"/>
    <w:rsid w:val="009A2E41"/>
    <w:rsid w:val="009A392D"/>
    <w:rsid w:val="009A4722"/>
    <w:rsid w:val="009A52C1"/>
    <w:rsid w:val="009A5992"/>
    <w:rsid w:val="009A5EA7"/>
    <w:rsid w:val="009A6174"/>
    <w:rsid w:val="009A61E3"/>
    <w:rsid w:val="009A64E8"/>
    <w:rsid w:val="009A7A1D"/>
    <w:rsid w:val="009A7AEC"/>
    <w:rsid w:val="009A7B9B"/>
    <w:rsid w:val="009B0069"/>
    <w:rsid w:val="009B0652"/>
    <w:rsid w:val="009B0AAF"/>
    <w:rsid w:val="009B0E6D"/>
    <w:rsid w:val="009B179A"/>
    <w:rsid w:val="009B17C7"/>
    <w:rsid w:val="009B1E61"/>
    <w:rsid w:val="009B276A"/>
    <w:rsid w:val="009B3739"/>
    <w:rsid w:val="009B3AA5"/>
    <w:rsid w:val="009B420F"/>
    <w:rsid w:val="009B455D"/>
    <w:rsid w:val="009B4776"/>
    <w:rsid w:val="009B4D35"/>
    <w:rsid w:val="009B4E5F"/>
    <w:rsid w:val="009B4E8F"/>
    <w:rsid w:val="009B5011"/>
    <w:rsid w:val="009B54CB"/>
    <w:rsid w:val="009B66ED"/>
    <w:rsid w:val="009B6EF1"/>
    <w:rsid w:val="009B761F"/>
    <w:rsid w:val="009B7769"/>
    <w:rsid w:val="009B7E93"/>
    <w:rsid w:val="009B7F6D"/>
    <w:rsid w:val="009C01AA"/>
    <w:rsid w:val="009C0EDB"/>
    <w:rsid w:val="009C0F94"/>
    <w:rsid w:val="009C0FFD"/>
    <w:rsid w:val="009C1419"/>
    <w:rsid w:val="009C1C18"/>
    <w:rsid w:val="009C1C99"/>
    <w:rsid w:val="009C1EC0"/>
    <w:rsid w:val="009C2436"/>
    <w:rsid w:val="009C3F7B"/>
    <w:rsid w:val="009C441C"/>
    <w:rsid w:val="009C50FB"/>
    <w:rsid w:val="009C5C9F"/>
    <w:rsid w:val="009C7FEE"/>
    <w:rsid w:val="009D0203"/>
    <w:rsid w:val="009D0462"/>
    <w:rsid w:val="009D083D"/>
    <w:rsid w:val="009D085B"/>
    <w:rsid w:val="009D0E74"/>
    <w:rsid w:val="009D0FE7"/>
    <w:rsid w:val="009D12AD"/>
    <w:rsid w:val="009D1794"/>
    <w:rsid w:val="009D242A"/>
    <w:rsid w:val="009D27AF"/>
    <w:rsid w:val="009D2975"/>
    <w:rsid w:val="009D2D8D"/>
    <w:rsid w:val="009D2FBA"/>
    <w:rsid w:val="009D351E"/>
    <w:rsid w:val="009D3629"/>
    <w:rsid w:val="009D397C"/>
    <w:rsid w:val="009D3B9B"/>
    <w:rsid w:val="009D3D9D"/>
    <w:rsid w:val="009D4172"/>
    <w:rsid w:val="009D42C8"/>
    <w:rsid w:val="009D4C27"/>
    <w:rsid w:val="009D53A0"/>
    <w:rsid w:val="009D53AF"/>
    <w:rsid w:val="009D58D1"/>
    <w:rsid w:val="009D5FDC"/>
    <w:rsid w:val="009D6082"/>
    <w:rsid w:val="009D63A5"/>
    <w:rsid w:val="009D66ED"/>
    <w:rsid w:val="009D6E7E"/>
    <w:rsid w:val="009D7066"/>
    <w:rsid w:val="009D7212"/>
    <w:rsid w:val="009D7299"/>
    <w:rsid w:val="009D7340"/>
    <w:rsid w:val="009D7565"/>
    <w:rsid w:val="009D7787"/>
    <w:rsid w:val="009D7D9C"/>
    <w:rsid w:val="009D7DC7"/>
    <w:rsid w:val="009E00C6"/>
    <w:rsid w:val="009E02C9"/>
    <w:rsid w:val="009E0E01"/>
    <w:rsid w:val="009E1046"/>
    <w:rsid w:val="009E121C"/>
    <w:rsid w:val="009E1247"/>
    <w:rsid w:val="009E1B98"/>
    <w:rsid w:val="009E2084"/>
    <w:rsid w:val="009E23B7"/>
    <w:rsid w:val="009E23CD"/>
    <w:rsid w:val="009E292F"/>
    <w:rsid w:val="009E39DC"/>
    <w:rsid w:val="009E3E51"/>
    <w:rsid w:val="009E3FAC"/>
    <w:rsid w:val="009E4096"/>
    <w:rsid w:val="009E4691"/>
    <w:rsid w:val="009E46B5"/>
    <w:rsid w:val="009E47DC"/>
    <w:rsid w:val="009E4BB4"/>
    <w:rsid w:val="009E5378"/>
    <w:rsid w:val="009E56B4"/>
    <w:rsid w:val="009E5A21"/>
    <w:rsid w:val="009E5B64"/>
    <w:rsid w:val="009E6A59"/>
    <w:rsid w:val="009E6CCA"/>
    <w:rsid w:val="009E6D68"/>
    <w:rsid w:val="009E7EDE"/>
    <w:rsid w:val="009F00D4"/>
    <w:rsid w:val="009F029A"/>
    <w:rsid w:val="009F0A7F"/>
    <w:rsid w:val="009F0DA4"/>
    <w:rsid w:val="009F0EBA"/>
    <w:rsid w:val="009F14D2"/>
    <w:rsid w:val="009F19EF"/>
    <w:rsid w:val="009F1ECC"/>
    <w:rsid w:val="009F20FA"/>
    <w:rsid w:val="009F28C9"/>
    <w:rsid w:val="009F3D04"/>
    <w:rsid w:val="009F43C3"/>
    <w:rsid w:val="009F47D7"/>
    <w:rsid w:val="009F4D28"/>
    <w:rsid w:val="009F4D6C"/>
    <w:rsid w:val="009F542C"/>
    <w:rsid w:val="009F6110"/>
    <w:rsid w:val="009F615E"/>
    <w:rsid w:val="009F625E"/>
    <w:rsid w:val="009F65C7"/>
    <w:rsid w:val="009F6933"/>
    <w:rsid w:val="009F7197"/>
    <w:rsid w:val="009F7947"/>
    <w:rsid w:val="009F7D43"/>
    <w:rsid w:val="00A0076A"/>
    <w:rsid w:val="00A00C8B"/>
    <w:rsid w:val="00A012D0"/>
    <w:rsid w:val="00A0148D"/>
    <w:rsid w:val="00A01866"/>
    <w:rsid w:val="00A018B8"/>
    <w:rsid w:val="00A01D7B"/>
    <w:rsid w:val="00A043FE"/>
    <w:rsid w:val="00A04630"/>
    <w:rsid w:val="00A04DAF"/>
    <w:rsid w:val="00A05098"/>
    <w:rsid w:val="00A05803"/>
    <w:rsid w:val="00A0584F"/>
    <w:rsid w:val="00A05916"/>
    <w:rsid w:val="00A05D2B"/>
    <w:rsid w:val="00A0642C"/>
    <w:rsid w:val="00A06B58"/>
    <w:rsid w:val="00A06E1B"/>
    <w:rsid w:val="00A06FE3"/>
    <w:rsid w:val="00A07064"/>
    <w:rsid w:val="00A073FF"/>
    <w:rsid w:val="00A0794D"/>
    <w:rsid w:val="00A107C0"/>
    <w:rsid w:val="00A10B50"/>
    <w:rsid w:val="00A11179"/>
    <w:rsid w:val="00A11182"/>
    <w:rsid w:val="00A1118A"/>
    <w:rsid w:val="00A11201"/>
    <w:rsid w:val="00A11F2D"/>
    <w:rsid w:val="00A1266A"/>
    <w:rsid w:val="00A14F65"/>
    <w:rsid w:val="00A15378"/>
    <w:rsid w:val="00A1571D"/>
    <w:rsid w:val="00A15B09"/>
    <w:rsid w:val="00A16741"/>
    <w:rsid w:val="00A170D9"/>
    <w:rsid w:val="00A17225"/>
    <w:rsid w:val="00A17453"/>
    <w:rsid w:val="00A2048D"/>
    <w:rsid w:val="00A20817"/>
    <w:rsid w:val="00A2114F"/>
    <w:rsid w:val="00A21777"/>
    <w:rsid w:val="00A218A7"/>
    <w:rsid w:val="00A2216E"/>
    <w:rsid w:val="00A22650"/>
    <w:rsid w:val="00A22A96"/>
    <w:rsid w:val="00A22BB3"/>
    <w:rsid w:val="00A231A2"/>
    <w:rsid w:val="00A231C7"/>
    <w:rsid w:val="00A2370B"/>
    <w:rsid w:val="00A23E9D"/>
    <w:rsid w:val="00A24782"/>
    <w:rsid w:val="00A249B6"/>
    <w:rsid w:val="00A24FAA"/>
    <w:rsid w:val="00A253CC"/>
    <w:rsid w:val="00A25885"/>
    <w:rsid w:val="00A265F3"/>
    <w:rsid w:val="00A26637"/>
    <w:rsid w:val="00A26B44"/>
    <w:rsid w:val="00A26CAA"/>
    <w:rsid w:val="00A26CCB"/>
    <w:rsid w:val="00A27769"/>
    <w:rsid w:val="00A27AFB"/>
    <w:rsid w:val="00A3015F"/>
    <w:rsid w:val="00A30441"/>
    <w:rsid w:val="00A30806"/>
    <w:rsid w:val="00A3105A"/>
    <w:rsid w:val="00A313FC"/>
    <w:rsid w:val="00A31536"/>
    <w:rsid w:val="00A315FF"/>
    <w:rsid w:val="00A31956"/>
    <w:rsid w:val="00A32A88"/>
    <w:rsid w:val="00A32F77"/>
    <w:rsid w:val="00A3334D"/>
    <w:rsid w:val="00A336D6"/>
    <w:rsid w:val="00A33B52"/>
    <w:rsid w:val="00A33C0B"/>
    <w:rsid w:val="00A33DC9"/>
    <w:rsid w:val="00A33F77"/>
    <w:rsid w:val="00A34A14"/>
    <w:rsid w:val="00A34BF0"/>
    <w:rsid w:val="00A3528D"/>
    <w:rsid w:val="00A35552"/>
    <w:rsid w:val="00A3582A"/>
    <w:rsid w:val="00A35831"/>
    <w:rsid w:val="00A35AAC"/>
    <w:rsid w:val="00A35E7C"/>
    <w:rsid w:val="00A367AD"/>
    <w:rsid w:val="00A36E14"/>
    <w:rsid w:val="00A3743F"/>
    <w:rsid w:val="00A378AA"/>
    <w:rsid w:val="00A40132"/>
    <w:rsid w:val="00A412EF"/>
    <w:rsid w:val="00A4253F"/>
    <w:rsid w:val="00A42EF2"/>
    <w:rsid w:val="00A4400D"/>
    <w:rsid w:val="00A442FF"/>
    <w:rsid w:val="00A44AD8"/>
    <w:rsid w:val="00A44D84"/>
    <w:rsid w:val="00A45A85"/>
    <w:rsid w:val="00A45BD2"/>
    <w:rsid w:val="00A46F60"/>
    <w:rsid w:val="00A4713F"/>
    <w:rsid w:val="00A4716C"/>
    <w:rsid w:val="00A4738A"/>
    <w:rsid w:val="00A47804"/>
    <w:rsid w:val="00A479EA"/>
    <w:rsid w:val="00A50436"/>
    <w:rsid w:val="00A50595"/>
    <w:rsid w:val="00A51DA8"/>
    <w:rsid w:val="00A51FB7"/>
    <w:rsid w:val="00A520B9"/>
    <w:rsid w:val="00A5258D"/>
    <w:rsid w:val="00A5275D"/>
    <w:rsid w:val="00A527F0"/>
    <w:rsid w:val="00A52A12"/>
    <w:rsid w:val="00A52ED5"/>
    <w:rsid w:val="00A5372E"/>
    <w:rsid w:val="00A54194"/>
    <w:rsid w:val="00A54D0D"/>
    <w:rsid w:val="00A54E6E"/>
    <w:rsid w:val="00A5515B"/>
    <w:rsid w:val="00A5581F"/>
    <w:rsid w:val="00A558D3"/>
    <w:rsid w:val="00A565F3"/>
    <w:rsid w:val="00A56DE8"/>
    <w:rsid w:val="00A57109"/>
    <w:rsid w:val="00A571CC"/>
    <w:rsid w:val="00A578D4"/>
    <w:rsid w:val="00A61015"/>
    <w:rsid w:val="00A6142D"/>
    <w:rsid w:val="00A61750"/>
    <w:rsid w:val="00A61C66"/>
    <w:rsid w:val="00A61D22"/>
    <w:rsid w:val="00A61D6F"/>
    <w:rsid w:val="00A61D7A"/>
    <w:rsid w:val="00A620F3"/>
    <w:rsid w:val="00A62AC5"/>
    <w:rsid w:val="00A62D7D"/>
    <w:rsid w:val="00A63702"/>
    <w:rsid w:val="00A6431E"/>
    <w:rsid w:val="00A64735"/>
    <w:rsid w:val="00A64A5F"/>
    <w:rsid w:val="00A653BF"/>
    <w:rsid w:val="00A654E5"/>
    <w:rsid w:val="00A659E2"/>
    <w:rsid w:val="00A65B62"/>
    <w:rsid w:val="00A66E40"/>
    <w:rsid w:val="00A66E92"/>
    <w:rsid w:val="00A66FEB"/>
    <w:rsid w:val="00A673B4"/>
    <w:rsid w:val="00A674A4"/>
    <w:rsid w:val="00A701A6"/>
    <w:rsid w:val="00A7091A"/>
    <w:rsid w:val="00A7181E"/>
    <w:rsid w:val="00A71882"/>
    <w:rsid w:val="00A718B7"/>
    <w:rsid w:val="00A71A3C"/>
    <w:rsid w:val="00A729CE"/>
    <w:rsid w:val="00A72F5E"/>
    <w:rsid w:val="00A7322E"/>
    <w:rsid w:val="00A73ABF"/>
    <w:rsid w:val="00A73E1D"/>
    <w:rsid w:val="00A73EEA"/>
    <w:rsid w:val="00A73FFB"/>
    <w:rsid w:val="00A74E0A"/>
    <w:rsid w:val="00A75060"/>
    <w:rsid w:val="00A75CE1"/>
    <w:rsid w:val="00A761C3"/>
    <w:rsid w:val="00A7634C"/>
    <w:rsid w:val="00A766F9"/>
    <w:rsid w:val="00A76FD8"/>
    <w:rsid w:val="00A8070E"/>
    <w:rsid w:val="00A81E2E"/>
    <w:rsid w:val="00A82406"/>
    <w:rsid w:val="00A82644"/>
    <w:rsid w:val="00A8265A"/>
    <w:rsid w:val="00A829CB"/>
    <w:rsid w:val="00A82AA8"/>
    <w:rsid w:val="00A82E8C"/>
    <w:rsid w:val="00A83DD2"/>
    <w:rsid w:val="00A83F16"/>
    <w:rsid w:val="00A84303"/>
    <w:rsid w:val="00A84480"/>
    <w:rsid w:val="00A84D22"/>
    <w:rsid w:val="00A8510A"/>
    <w:rsid w:val="00A85B76"/>
    <w:rsid w:val="00A85CC8"/>
    <w:rsid w:val="00A860D4"/>
    <w:rsid w:val="00A86203"/>
    <w:rsid w:val="00A8648B"/>
    <w:rsid w:val="00A8651D"/>
    <w:rsid w:val="00A86836"/>
    <w:rsid w:val="00A8760C"/>
    <w:rsid w:val="00A87AFB"/>
    <w:rsid w:val="00A9080F"/>
    <w:rsid w:val="00A90A4F"/>
    <w:rsid w:val="00A917C3"/>
    <w:rsid w:val="00A91BFE"/>
    <w:rsid w:val="00A9212F"/>
    <w:rsid w:val="00A92240"/>
    <w:rsid w:val="00A9312E"/>
    <w:rsid w:val="00A93138"/>
    <w:rsid w:val="00A931DE"/>
    <w:rsid w:val="00A9321C"/>
    <w:rsid w:val="00A934C0"/>
    <w:rsid w:val="00A93D89"/>
    <w:rsid w:val="00A94D28"/>
    <w:rsid w:val="00A95A99"/>
    <w:rsid w:val="00A95AE6"/>
    <w:rsid w:val="00A95EB3"/>
    <w:rsid w:val="00A964C1"/>
    <w:rsid w:val="00A97013"/>
    <w:rsid w:val="00A9709B"/>
    <w:rsid w:val="00A97180"/>
    <w:rsid w:val="00A9768B"/>
    <w:rsid w:val="00AA05A0"/>
    <w:rsid w:val="00AA095C"/>
    <w:rsid w:val="00AA1034"/>
    <w:rsid w:val="00AA3782"/>
    <w:rsid w:val="00AA3BD5"/>
    <w:rsid w:val="00AA4702"/>
    <w:rsid w:val="00AA475D"/>
    <w:rsid w:val="00AA47F0"/>
    <w:rsid w:val="00AA4A4A"/>
    <w:rsid w:val="00AA548E"/>
    <w:rsid w:val="00AA566E"/>
    <w:rsid w:val="00AA5C5A"/>
    <w:rsid w:val="00AA5D22"/>
    <w:rsid w:val="00AA5FD8"/>
    <w:rsid w:val="00AA6178"/>
    <w:rsid w:val="00AA66D4"/>
    <w:rsid w:val="00AA674D"/>
    <w:rsid w:val="00AA6E82"/>
    <w:rsid w:val="00AA7172"/>
    <w:rsid w:val="00AA7225"/>
    <w:rsid w:val="00AB1229"/>
    <w:rsid w:val="00AB16D6"/>
    <w:rsid w:val="00AB1A60"/>
    <w:rsid w:val="00AB1B60"/>
    <w:rsid w:val="00AB2251"/>
    <w:rsid w:val="00AB236F"/>
    <w:rsid w:val="00AB2C4F"/>
    <w:rsid w:val="00AB308B"/>
    <w:rsid w:val="00AB3242"/>
    <w:rsid w:val="00AB3ED9"/>
    <w:rsid w:val="00AB4017"/>
    <w:rsid w:val="00AB4192"/>
    <w:rsid w:val="00AB4E45"/>
    <w:rsid w:val="00AB4FFC"/>
    <w:rsid w:val="00AB5272"/>
    <w:rsid w:val="00AB5C6C"/>
    <w:rsid w:val="00AB5F73"/>
    <w:rsid w:val="00AB67EF"/>
    <w:rsid w:val="00AB689D"/>
    <w:rsid w:val="00AB6968"/>
    <w:rsid w:val="00AC014D"/>
    <w:rsid w:val="00AC017E"/>
    <w:rsid w:val="00AC0825"/>
    <w:rsid w:val="00AC0E59"/>
    <w:rsid w:val="00AC10E1"/>
    <w:rsid w:val="00AC2118"/>
    <w:rsid w:val="00AC256D"/>
    <w:rsid w:val="00AC26EB"/>
    <w:rsid w:val="00AC3061"/>
    <w:rsid w:val="00AC368A"/>
    <w:rsid w:val="00AC384F"/>
    <w:rsid w:val="00AC3874"/>
    <w:rsid w:val="00AC3EE5"/>
    <w:rsid w:val="00AC409E"/>
    <w:rsid w:val="00AC415E"/>
    <w:rsid w:val="00AC43E5"/>
    <w:rsid w:val="00AC44FD"/>
    <w:rsid w:val="00AC4886"/>
    <w:rsid w:val="00AC48DF"/>
    <w:rsid w:val="00AC4CF4"/>
    <w:rsid w:val="00AC4FFA"/>
    <w:rsid w:val="00AC5F71"/>
    <w:rsid w:val="00AC7204"/>
    <w:rsid w:val="00AC7EA1"/>
    <w:rsid w:val="00AD044B"/>
    <w:rsid w:val="00AD07F3"/>
    <w:rsid w:val="00AD0B76"/>
    <w:rsid w:val="00AD12A0"/>
    <w:rsid w:val="00AD13C5"/>
    <w:rsid w:val="00AD1543"/>
    <w:rsid w:val="00AD1F22"/>
    <w:rsid w:val="00AD25AB"/>
    <w:rsid w:val="00AD2DD2"/>
    <w:rsid w:val="00AD35A0"/>
    <w:rsid w:val="00AD392C"/>
    <w:rsid w:val="00AD3C01"/>
    <w:rsid w:val="00AD445A"/>
    <w:rsid w:val="00AD48FA"/>
    <w:rsid w:val="00AD4F26"/>
    <w:rsid w:val="00AD4F36"/>
    <w:rsid w:val="00AD514A"/>
    <w:rsid w:val="00AD5B9F"/>
    <w:rsid w:val="00AD5E93"/>
    <w:rsid w:val="00AD672D"/>
    <w:rsid w:val="00AD6AD2"/>
    <w:rsid w:val="00AD6ADC"/>
    <w:rsid w:val="00AD6DA9"/>
    <w:rsid w:val="00AD749D"/>
    <w:rsid w:val="00AD7BDA"/>
    <w:rsid w:val="00AD7D0B"/>
    <w:rsid w:val="00AD7FA9"/>
    <w:rsid w:val="00AE0208"/>
    <w:rsid w:val="00AE0570"/>
    <w:rsid w:val="00AE05A4"/>
    <w:rsid w:val="00AE06C5"/>
    <w:rsid w:val="00AE0772"/>
    <w:rsid w:val="00AE1258"/>
    <w:rsid w:val="00AE1556"/>
    <w:rsid w:val="00AE20FA"/>
    <w:rsid w:val="00AE22A4"/>
    <w:rsid w:val="00AE23CA"/>
    <w:rsid w:val="00AE3106"/>
    <w:rsid w:val="00AE3171"/>
    <w:rsid w:val="00AE32D0"/>
    <w:rsid w:val="00AE43F0"/>
    <w:rsid w:val="00AE4AE8"/>
    <w:rsid w:val="00AE4B05"/>
    <w:rsid w:val="00AE4CFB"/>
    <w:rsid w:val="00AE5246"/>
    <w:rsid w:val="00AE5397"/>
    <w:rsid w:val="00AE583F"/>
    <w:rsid w:val="00AE5BCC"/>
    <w:rsid w:val="00AE5EBD"/>
    <w:rsid w:val="00AE665F"/>
    <w:rsid w:val="00AE67D7"/>
    <w:rsid w:val="00AE7537"/>
    <w:rsid w:val="00AE78AC"/>
    <w:rsid w:val="00AE7A50"/>
    <w:rsid w:val="00AE7DAD"/>
    <w:rsid w:val="00AE7E41"/>
    <w:rsid w:val="00AF03C9"/>
    <w:rsid w:val="00AF0428"/>
    <w:rsid w:val="00AF1944"/>
    <w:rsid w:val="00AF2109"/>
    <w:rsid w:val="00AF22A3"/>
    <w:rsid w:val="00AF2FD3"/>
    <w:rsid w:val="00AF33AD"/>
    <w:rsid w:val="00AF33E5"/>
    <w:rsid w:val="00AF3BFA"/>
    <w:rsid w:val="00AF3C97"/>
    <w:rsid w:val="00AF3E3E"/>
    <w:rsid w:val="00AF45A9"/>
    <w:rsid w:val="00AF4689"/>
    <w:rsid w:val="00AF4717"/>
    <w:rsid w:val="00AF490E"/>
    <w:rsid w:val="00AF5107"/>
    <w:rsid w:val="00AF57F6"/>
    <w:rsid w:val="00AF5A90"/>
    <w:rsid w:val="00AF5BD8"/>
    <w:rsid w:val="00AF629B"/>
    <w:rsid w:val="00AF6CCC"/>
    <w:rsid w:val="00AF70EE"/>
    <w:rsid w:val="00AF7497"/>
    <w:rsid w:val="00B001D5"/>
    <w:rsid w:val="00B00BC3"/>
    <w:rsid w:val="00B00D27"/>
    <w:rsid w:val="00B01567"/>
    <w:rsid w:val="00B01907"/>
    <w:rsid w:val="00B01CA0"/>
    <w:rsid w:val="00B01DB9"/>
    <w:rsid w:val="00B025AD"/>
    <w:rsid w:val="00B02BC7"/>
    <w:rsid w:val="00B04377"/>
    <w:rsid w:val="00B046E8"/>
    <w:rsid w:val="00B04796"/>
    <w:rsid w:val="00B049E4"/>
    <w:rsid w:val="00B04D8B"/>
    <w:rsid w:val="00B04EAE"/>
    <w:rsid w:val="00B05073"/>
    <w:rsid w:val="00B05F91"/>
    <w:rsid w:val="00B068F4"/>
    <w:rsid w:val="00B06D48"/>
    <w:rsid w:val="00B0705E"/>
    <w:rsid w:val="00B075DE"/>
    <w:rsid w:val="00B07E37"/>
    <w:rsid w:val="00B104A2"/>
    <w:rsid w:val="00B10905"/>
    <w:rsid w:val="00B11459"/>
    <w:rsid w:val="00B11D1A"/>
    <w:rsid w:val="00B11E5B"/>
    <w:rsid w:val="00B11FBE"/>
    <w:rsid w:val="00B121E9"/>
    <w:rsid w:val="00B12465"/>
    <w:rsid w:val="00B1292C"/>
    <w:rsid w:val="00B12972"/>
    <w:rsid w:val="00B12E10"/>
    <w:rsid w:val="00B1336C"/>
    <w:rsid w:val="00B13846"/>
    <w:rsid w:val="00B13C6F"/>
    <w:rsid w:val="00B142D8"/>
    <w:rsid w:val="00B146AF"/>
    <w:rsid w:val="00B14FF8"/>
    <w:rsid w:val="00B16556"/>
    <w:rsid w:val="00B1691C"/>
    <w:rsid w:val="00B16AEC"/>
    <w:rsid w:val="00B16E0B"/>
    <w:rsid w:val="00B16EE3"/>
    <w:rsid w:val="00B17041"/>
    <w:rsid w:val="00B210A2"/>
    <w:rsid w:val="00B216E3"/>
    <w:rsid w:val="00B217E8"/>
    <w:rsid w:val="00B220B5"/>
    <w:rsid w:val="00B2212A"/>
    <w:rsid w:val="00B227CE"/>
    <w:rsid w:val="00B22AE9"/>
    <w:rsid w:val="00B22E2B"/>
    <w:rsid w:val="00B23540"/>
    <w:rsid w:val="00B23760"/>
    <w:rsid w:val="00B23886"/>
    <w:rsid w:val="00B24379"/>
    <w:rsid w:val="00B244EF"/>
    <w:rsid w:val="00B24B12"/>
    <w:rsid w:val="00B25583"/>
    <w:rsid w:val="00B258B2"/>
    <w:rsid w:val="00B258FE"/>
    <w:rsid w:val="00B26177"/>
    <w:rsid w:val="00B268F5"/>
    <w:rsid w:val="00B26BB7"/>
    <w:rsid w:val="00B272D6"/>
    <w:rsid w:val="00B274B8"/>
    <w:rsid w:val="00B27508"/>
    <w:rsid w:val="00B27CB0"/>
    <w:rsid w:val="00B27E4B"/>
    <w:rsid w:val="00B27F4C"/>
    <w:rsid w:val="00B300CB"/>
    <w:rsid w:val="00B30888"/>
    <w:rsid w:val="00B30A14"/>
    <w:rsid w:val="00B3107C"/>
    <w:rsid w:val="00B31BF8"/>
    <w:rsid w:val="00B31DC9"/>
    <w:rsid w:val="00B3219A"/>
    <w:rsid w:val="00B32953"/>
    <w:rsid w:val="00B32D74"/>
    <w:rsid w:val="00B33CAF"/>
    <w:rsid w:val="00B33D60"/>
    <w:rsid w:val="00B3442A"/>
    <w:rsid w:val="00B34689"/>
    <w:rsid w:val="00B35B70"/>
    <w:rsid w:val="00B35E0E"/>
    <w:rsid w:val="00B3643A"/>
    <w:rsid w:val="00B365C8"/>
    <w:rsid w:val="00B36C27"/>
    <w:rsid w:val="00B37732"/>
    <w:rsid w:val="00B37FA7"/>
    <w:rsid w:val="00B40231"/>
    <w:rsid w:val="00B40829"/>
    <w:rsid w:val="00B40C99"/>
    <w:rsid w:val="00B4158D"/>
    <w:rsid w:val="00B41911"/>
    <w:rsid w:val="00B420E2"/>
    <w:rsid w:val="00B42596"/>
    <w:rsid w:val="00B42C93"/>
    <w:rsid w:val="00B43AC4"/>
    <w:rsid w:val="00B43C69"/>
    <w:rsid w:val="00B43D7F"/>
    <w:rsid w:val="00B43DA9"/>
    <w:rsid w:val="00B43F68"/>
    <w:rsid w:val="00B44A69"/>
    <w:rsid w:val="00B46787"/>
    <w:rsid w:val="00B46F53"/>
    <w:rsid w:val="00B47E59"/>
    <w:rsid w:val="00B501B5"/>
    <w:rsid w:val="00B5066D"/>
    <w:rsid w:val="00B50753"/>
    <w:rsid w:val="00B508E9"/>
    <w:rsid w:val="00B50A32"/>
    <w:rsid w:val="00B50B22"/>
    <w:rsid w:val="00B50E07"/>
    <w:rsid w:val="00B51417"/>
    <w:rsid w:val="00B516C0"/>
    <w:rsid w:val="00B5198B"/>
    <w:rsid w:val="00B5231A"/>
    <w:rsid w:val="00B52783"/>
    <w:rsid w:val="00B52900"/>
    <w:rsid w:val="00B52B1B"/>
    <w:rsid w:val="00B52E2A"/>
    <w:rsid w:val="00B531F1"/>
    <w:rsid w:val="00B53A95"/>
    <w:rsid w:val="00B53CD2"/>
    <w:rsid w:val="00B54027"/>
    <w:rsid w:val="00B54E13"/>
    <w:rsid w:val="00B557BF"/>
    <w:rsid w:val="00B55F29"/>
    <w:rsid w:val="00B562F0"/>
    <w:rsid w:val="00B563E8"/>
    <w:rsid w:val="00B5685A"/>
    <w:rsid w:val="00B5691A"/>
    <w:rsid w:val="00B569EA"/>
    <w:rsid w:val="00B56E5D"/>
    <w:rsid w:val="00B57864"/>
    <w:rsid w:val="00B6001C"/>
    <w:rsid w:val="00B6065E"/>
    <w:rsid w:val="00B60F8C"/>
    <w:rsid w:val="00B6107E"/>
    <w:rsid w:val="00B61E37"/>
    <w:rsid w:val="00B6276E"/>
    <w:rsid w:val="00B627F6"/>
    <w:rsid w:val="00B628B2"/>
    <w:rsid w:val="00B62A85"/>
    <w:rsid w:val="00B62E9D"/>
    <w:rsid w:val="00B6365C"/>
    <w:rsid w:val="00B63D91"/>
    <w:rsid w:val="00B6421D"/>
    <w:rsid w:val="00B64A07"/>
    <w:rsid w:val="00B64DA9"/>
    <w:rsid w:val="00B64F3F"/>
    <w:rsid w:val="00B65659"/>
    <w:rsid w:val="00B65B90"/>
    <w:rsid w:val="00B65CF3"/>
    <w:rsid w:val="00B660E4"/>
    <w:rsid w:val="00B661D5"/>
    <w:rsid w:val="00B665F9"/>
    <w:rsid w:val="00B67A0E"/>
    <w:rsid w:val="00B67C76"/>
    <w:rsid w:val="00B70517"/>
    <w:rsid w:val="00B70998"/>
    <w:rsid w:val="00B70F54"/>
    <w:rsid w:val="00B71019"/>
    <w:rsid w:val="00B715C6"/>
    <w:rsid w:val="00B71E5B"/>
    <w:rsid w:val="00B721A7"/>
    <w:rsid w:val="00B7354D"/>
    <w:rsid w:val="00B7470D"/>
    <w:rsid w:val="00B74EB8"/>
    <w:rsid w:val="00B75272"/>
    <w:rsid w:val="00B75330"/>
    <w:rsid w:val="00B754C5"/>
    <w:rsid w:val="00B75BB3"/>
    <w:rsid w:val="00B760F2"/>
    <w:rsid w:val="00B76878"/>
    <w:rsid w:val="00B76BFB"/>
    <w:rsid w:val="00B772E9"/>
    <w:rsid w:val="00B773AA"/>
    <w:rsid w:val="00B777CF"/>
    <w:rsid w:val="00B77CAA"/>
    <w:rsid w:val="00B77CC0"/>
    <w:rsid w:val="00B802C9"/>
    <w:rsid w:val="00B802E1"/>
    <w:rsid w:val="00B8045B"/>
    <w:rsid w:val="00B80669"/>
    <w:rsid w:val="00B81F2C"/>
    <w:rsid w:val="00B8210E"/>
    <w:rsid w:val="00B82945"/>
    <w:rsid w:val="00B831B9"/>
    <w:rsid w:val="00B831D5"/>
    <w:rsid w:val="00B8325D"/>
    <w:rsid w:val="00B83EF3"/>
    <w:rsid w:val="00B84B13"/>
    <w:rsid w:val="00B8546D"/>
    <w:rsid w:val="00B85871"/>
    <w:rsid w:val="00B85B46"/>
    <w:rsid w:val="00B85B7B"/>
    <w:rsid w:val="00B85E95"/>
    <w:rsid w:val="00B85EED"/>
    <w:rsid w:val="00B86205"/>
    <w:rsid w:val="00B869A7"/>
    <w:rsid w:val="00B86FB0"/>
    <w:rsid w:val="00B875C0"/>
    <w:rsid w:val="00B90A33"/>
    <w:rsid w:val="00B90BF9"/>
    <w:rsid w:val="00B910B2"/>
    <w:rsid w:val="00B910EF"/>
    <w:rsid w:val="00B9185F"/>
    <w:rsid w:val="00B91880"/>
    <w:rsid w:val="00B91FA2"/>
    <w:rsid w:val="00B922CA"/>
    <w:rsid w:val="00B925D0"/>
    <w:rsid w:val="00B9280A"/>
    <w:rsid w:val="00B932FF"/>
    <w:rsid w:val="00B937B8"/>
    <w:rsid w:val="00B93E05"/>
    <w:rsid w:val="00B942F5"/>
    <w:rsid w:val="00B94382"/>
    <w:rsid w:val="00B947EB"/>
    <w:rsid w:val="00B94B34"/>
    <w:rsid w:val="00B94D93"/>
    <w:rsid w:val="00B950E0"/>
    <w:rsid w:val="00B95871"/>
    <w:rsid w:val="00B958C0"/>
    <w:rsid w:val="00B95925"/>
    <w:rsid w:val="00B9594B"/>
    <w:rsid w:val="00B95D2E"/>
    <w:rsid w:val="00B95EBF"/>
    <w:rsid w:val="00B96020"/>
    <w:rsid w:val="00B96A3D"/>
    <w:rsid w:val="00B96FC5"/>
    <w:rsid w:val="00B977B0"/>
    <w:rsid w:val="00BA0F05"/>
    <w:rsid w:val="00BA1111"/>
    <w:rsid w:val="00BA1935"/>
    <w:rsid w:val="00BA2053"/>
    <w:rsid w:val="00BA225F"/>
    <w:rsid w:val="00BA24D2"/>
    <w:rsid w:val="00BA293F"/>
    <w:rsid w:val="00BA29F9"/>
    <w:rsid w:val="00BA2AE9"/>
    <w:rsid w:val="00BA3102"/>
    <w:rsid w:val="00BA3167"/>
    <w:rsid w:val="00BA3B2B"/>
    <w:rsid w:val="00BA4149"/>
    <w:rsid w:val="00BA4398"/>
    <w:rsid w:val="00BA4EA6"/>
    <w:rsid w:val="00BA581B"/>
    <w:rsid w:val="00BA587C"/>
    <w:rsid w:val="00BA58A8"/>
    <w:rsid w:val="00BA598F"/>
    <w:rsid w:val="00BA657A"/>
    <w:rsid w:val="00BA698B"/>
    <w:rsid w:val="00BA6A42"/>
    <w:rsid w:val="00BB0534"/>
    <w:rsid w:val="00BB0D4F"/>
    <w:rsid w:val="00BB0DB8"/>
    <w:rsid w:val="00BB0F8F"/>
    <w:rsid w:val="00BB13D7"/>
    <w:rsid w:val="00BB1979"/>
    <w:rsid w:val="00BB19DA"/>
    <w:rsid w:val="00BB1A39"/>
    <w:rsid w:val="00BB1F73"/>
    <w:rsid w:val="00BB28EE"/>
    <w:rsid w:val="00BB2C8C"/>
    <w:rsid w:val="00BB2D22"/>
    <w:rsid w:val="00BB332F"/>
    <w:rsid w:val="00BB348E"/>
    <w:rsid w:val="00BB354F"/>
    <w:rsid w:val="00BB36A8"/>
    <w:rsid w:val="00BB3955"/>
    <w:rsid w:val="00BB400E"/>
    <w:rsid w:val="00BB43D6"/>
    <w:rsid w:val="00BB4777"/>
    <w:rsid w:val="00BB4EEB"/>
    <w:rsid w:val="00BB5071"/>
    <w:rsid w:val="00BB5518"/>
    <w:rsid w:val="00BB5B0A"/>
    <w:rsid w:val="00BB6D32"/>
    <w:rsid w:val="00BB7F5B"/>
    <w:rsid w:val="00BC06C3"/>
    <w:rsid w:val="00BC1684"/>
    <w:rsid w:val="00BC1D33"/>
    <w:rsid w:val="00BC38BA"/>
    <w:rsid w:val="00BC4B1E"/>
    <w:rsid w:val="00BC55DE"/>
    <w:rsid w:val="00BC5739"/>
    <w:rsid w:val="00BC5795"/>
    <w:rsid w:val="00BC5C7E"/>
    <w:rsid w:val="00BC6485"/>
    <w:rsid w:val="00BC64EB"/>
    <w:rsid w:val="00BC72C6"/>
    <w:rsid w:val="00BD0BDE"/>
    <w:rsid w:val="00BD14E9"/>
    <w:rsid w:val="00BD1543"/>
    <w:rsid w:val="00BD192C"/>
    <w:rsid w:val="00BD1988"/>
    <w:rsid w:val="00BD2F08"/>
    <w:rsid w:val="00BD3451"/>
    <w:rsid w:val="00BD3DC7"/>
    <w:rsid w:val="00BD4596"/>
    <w:rsid w:val="00BD4AA6"/>
    <w:rsid w:val="00BD4FD8"/>
    <w:rsid w:val="00BD6365"/>
    <w:rsid w:val="00BD66D4"/>
    <w:rsid w:val="00BD673C"/>
    <w:rsid w:val="00BD6F9D"/>
    <w:rsid w:val="00BD71E2"/>
    <w:rsid w:val="00BD7937"/>
    <w:rsid w:val="00BE0CF1"/>
    <w:rsid w:val="00BE0F67"/>
    <w:rsid w:val="00BE117F"/>
    <w:rsid w:val="00BE17D6"/>
    <w:rsid w:val="00BE1981"/>
    <w:rsid w:val="00BE224A"/>
    <w:rsid w:val="00BE25C9"/>
    <w:rsid w:val="00BE2783"/>
    <w:rsid w:val="00BE37E1"/>
    <w:rsid w:val="00BE5142"/>
    <w:rsid w:val="00BE5E89"/>
    <w:rsid w:val="00BE6088"/>
    <w:rsid w:val="00BE67B5"/>
    <w:rsid w:val="00BE6BBF"/>
    <w:rsid w:val="00BE78A4"/>
    <w:rsid w:val="00BF05B1"/>
    <w:rsid w:val="00BF0643"/>
    <w:rsid w:val="00BF0E4E"/>
    <w:rsid w:val="00BF1182"/>
    <w:rsid w:val="00BF1720"/>
    <w:rsid w:val="00BF2383"/>
    <w:rsid w:val="00BF2A42"/>
    <w:rsid w:val="00BF38A9"/>
    <w:rsid w:val="00BF3AE5"/>
    <w:rsid w:val="00BF3DB5"/>
    <w:rsid w:val="00BF4C43"/>
    <w:rsid w:val="00BF4E75"/>
    <w:rsid w:val="00BF50E3"/>
    <w:rsid w:val="00BF5113"/>
    <w:rsid w:val="00BF5624"/>
    <w:rsid w:val="00BF58BA"/>
    <w:rsid w:val="00BF5DD2"/>
    <w:rsid w:val="00BF6111"/>
    <w:rsid w:val="00BF6855"/>
    <w:rsid w:val="00BF7406"/>
    <w:rsid w:val="00BF778F"/>
    <w:rsid w:val="00BF786B"/>
    <w:rsid w:val="00BF7D4A"/>
    <w:rsid w:val="00C00900"/>
    <w:rsid w:val="00C00A61"/>
    <w:rsid w:val="00C017BF"/>
    <w:rsid w:val="00C01F64"/>
    <w:rsid w:val="00C020D4"/>
    <w:rsid w:val="00C027EA"/>
    <w:rsid w:val="00C02983"/>
    <w:rsid w:val="00C03981"/>
    <w:rsid w:val="00C039C7"/>
    <w:rsid w:val="00C03B54"/>
    <w:rsid w:val="00C03CF9"/>
    <w:rsid w:val="00C03E9D"/>
    <w:rsid w:val="00C04218"/>
    <w:rsid w:val="00C055F3"/>
    <w:rsid w:val="00C057EB"/>
    <w:rsid w:val="00C059E8"/>
    <w:rsid w:val="00C0680D"/>
    <w:rsid w:val="00C07042"/>
    <w:rsid w:val="00C0704F"/>
    <w:rsid w:val="00C07427"/>
    <w:rsid w:val="00C07844"/>
    <w:rsid w:val="00C104D7"/>
    <w:rsid w:val="00C1076A"/>
    <w:rsid w:val="00C108DA"/>
    <w:rsid w:val="00C10C95"/>
    <w:rsid w:val="00C10D4B"/>
    <w:rsid w:val="00C11117"/>
    <w:rsid w:val="00C111FD"/>
    <w:rsid w:val="00C11B45"/>
    <w:rsid w:val="00C11B5F"/>
    <w:rsid w:val="00C11DF3"/>
    <w:rsid w:val="00C11E3E"/>
    <w:rsid w:val="00C12175"/>
    <w:rsid w:val="00C127AE"/>
    <w:rsid w:val="00C12948"/>
    <w:rsid w:val="00C13193"/>
    <w:rsid w:val="00C136E9"/>
    <w:rsid w:val="00C1391F"/>
    <w:rsid w:val="00C140E4"/>
    <w:rsid w:val="00C14348"/>
    <w:rsid w:val="00C147E6"/>
    <w:rsid w:val="00C14AB0"/>
    <w:rsid w:val="00C15225"/>
    <w:rsid w:val="00C15CEE"/>
    <w:rsid w:val="00C15E9D"/>
    <w:rsid w:val="00C167D1"/>
    <w:rsid w:val="00C169D0"/>
    <w:rsid w:val="00C1715A"/>
    <w:rsid w:val="00C17832"/>
    <w:rsid w:val="00C17BA7"/>
    <w:rsid w:val="00C17D14"/>
    <w:rsid w:val="00C17D3D"/>
    <w:rsid w:val="00C20182"/>
    <w:rsid w:val="00C212AB"/>
    <w:rsid w:val="00C214F0"/>
    <w:rsid w:val="00C21766"/>
    <w:rsid w:val="00C21C3F"/>
    <w:rsid w:val="00C220CA"/>
    <w:rsid w:val="00C23CDB"/>
    <w:rsid w:val="00C240E8"/>
    <w:rsid w:val="00C2425F"/>
    <w:rsid w:val="00C246E7"/>
    <w:rsid w:val="00C248FA"/>
    <w:rsid w:val="00C25BD1"/>
    <w:rsid w:val="00C26422"/>
    <w:rsid w:val="00C26664"/>
    <w:rsid w:val="00C26C7C"/>
    <w:rsid w:val="00C26CC7"/>
    <w:rsid w:val="00C26E03"/>
    <w:rsid w:val="00C27D5F"/>
    <w:rsid w:val="00C31604"/>
    <w:rsid w:val="00C32329"/>
    <w:rsid w:val="00C3269F"/>
    <w:rsid w:val="00C3288D"/>
    <w:rsid w:val="00C32A58"/>
    <w:rsid w:val="00C32E4D"/>
    <w:rsid w:val="00C32F82"/>
    <w:rsid w:val="00C33CEB"/>
    <w:rsid w:val="00C342DB"/>
    <w:rsid w:val="00C34DE5"/>
    <w:rsid w:val="00C35D7A"/>
    <w:rsid w:val="00C36ADD"/>
    <w:rsid w:val="00C36D79"/>
    <w:rsid w:val="00C40EF8"/>
    <w:rsid w:val="00C41A46"/>
    <w:rsid w:val="00C41E55"/>
    <w:rsid w:val="00C42785"/>
    <w:rsid w:val="00C4327B"/>
    <w:rsid w:val="00C4501C"/>
    <w:rsid w:val="00C45177"/>
    <w:rsid w:val="00C45243"/>
    <w:rsid w:val="00C45553"/>
    <w:rsid w:val="00C4589D"/>
    <w:rsid w:val="00C45FE7"/>
    <w:rsid w:val="00C467B1"/>
    <w:rsid w:val="00C4681F"/>
    <w:rsid w:val="00C46920"/>
    <w:rsid w:val="00C47928"/>
    <w:rsid w:val="00C47E6F"/>
    <w:rsid w:val="00C47E7D"/>
    <w:rsid w:val="00C50E8D"/>
    <w:rsid w:val="00C51200"/>
    <w:rsid w:val="00C514F0"/>
    <w:rsid w:val="00C51D6F"/>
    <w:rsid w:val="00C51F61"/>
    <w:rsid w:val="00C52184"/>
    <w:rsid w:val="00C52470"/>
    <w:rsid w:val="00C524CB"/>
    <w:rsid w:val="00C5255F"/>
    <w:rsid w:val="00C53234"/>
    <w:rsid w:val="00C53370"/>
    <w:rsid w:val="00C533CF"/>
    <w:rsid w:val="00C53989"/>
    <w:rsid w:val="00C53E83"/>
    <w:rsid w:val="00C53FE9"/>
    <w:rsid w:val="00C5406A"/>
    <w:rsid w:val="00C54F52"/>
    <w:rsid w:val="00C553B7"/>
    <w:rsid w:val="00C5583B"/>
    <w:rsid w:val="00C56464"/>
    <w:rsid w:val="00C5798E"/>
    <w:rsid w:val="00C57D4A"/>
    <w:rsid w:val="00C57D9E"/>
    <w:rsid w:val="00C60685"/>
    <w:rsid w:val="00C60A09"/>
    <w:rsid w:val="00C60B0C"/>
    <w:rsid w:val="00C60BD4"/>
    <w:rsid w:val="00C60D78"/>
    <w:rsid w:val="00C60DA1"/>
    <w:rsid w:val="00C61808"/>
    <w:rsid w:val="00C6198E"/>
    <w:rsid w:val="00C621DC"/>
    <w:rsid w:val="00C62B40"/>
    <w:rsid w:val="00C6364C"/>
    <w:rsid w:val="00C65356"/>
    <w:rsid w:val="00C65465"/>
    <w:rsid w:val="00C65A41"/>
    <w:rsid w:val="00C65C48"/>
    <w:rsid w:val="00C66238"/>
    <w:rsid w:val="00C66505"/>
    <w:rsid w:val="00C66E06"/>
    <w:rsid w:val="00C67C95"/>
    <w:rsid w:val="00C67EE6"/>
    <w:rsid w:val="00C70497"/>
    <w:rsid w:val="00C70C76"/>
    <w:rsid w:val="00C70D5A"/>
    <w:rsid w:val="00C71284"/>
    <w:rsid w:val="00C7181C"/>
    <w:rsid w:val="00C718FD"/>
    <w:rsid w:val="00C71C63"/>
    <w:rsid w:val="00C72121"/>
    <w:rsid w:val="00C72325"/>
    <w:rsid w:val="00C72DC6"/>
    <w:rsid w:val="00C7307F"/>
    <w:rsid w:val="00C734CD"/>
    <w:rsid w:val="00C7375E"/>
    <w:rsid w:val="00C742DD"/>
    <w:rsid w:val="00C7439F"/>
    <w:rsid w:val="00C7463A"/>
    <w:rsid w:val="00C747A4"/>
    <w:rsid w:val="00C74970"/>
    <w:rsid w:val="00C74CA2"/>
    <w:rsid w:val="00C756E0"/>
    <w:rsid w:val="00C75804"/>
    <w:rsid w:val="00C75BA1"/>
    <w:rsid w:val="00C75C2A"/>
    <w:rsid w:val="00C75D5C"/>
    <w:rsid w:val="00C7667D"/>
    <w:rsid w:val="00C76A6F"/>
    <w:rsid w:val="00C76E90"/>
    <w:rsid w:val="00C76F83"/>
    <w:rsid w:val="00C772D1"/>
    <w:rsid w:val="00C77680"/>
    <w:rsid w:val="00C77CE6"/>
    <w:rsid w:val="00C77E8A"/>
    <w:rsid w:val="00C8064E"/>
    <w:rsid w:val="00C80D4C"/>
    <w:rsid w:val="00C80EE7"/>
    <w:rsid w:val="00C8135C"/>
    <w:rsid w:val="00C814F5"/>
    <w:rsid w:val="00C818DA"/>
    <w:rsid w:val="00C81A9A"/>
    <w:rsid w:val="00C81DC5"/>
    <w:rsid w:val="00C81F24"/>
    <w:rsid w:val="00C8362B"/>
    <w:rsid w:val="00C836AC"/>
    <w:rsid w:val="00C84022"/>
    <w:rsid w:val="00C84CB5"/>
    <w:rsid w:val="00C854A9"/>
    <w:rsid w:val="00C869F3"/>
    <w:rsid w:val="00C87312"/>
    <w:rsid w:val="00C87B7D"/>
    <w:rsid w:val="00C87FD2"/>
    <w:rsid w:val="00C87FE6"/>
    <w:rsid w:val="00C90F7B"/>
    <w:rsid w:val="00C91119"/>
    <w:rsid w:val="00C91249"/>
    <w:rsid w:val="00C9242C"/>
    <w:rsid w:val="00C928BA"/>
    <w:rsid w:val="00C92D22"/>
    <w:rsid w:val="00C932C8"/>
    <w:rsid w:val="00C93B18"/>
    <w:rsid w:val="00C942E5"/>
    <w:rsid w:val="00C9448E"/>
    <w:rsid w:val="00C94848"/>
    <w:rsid w:val="00C94867"/>
    <w:rsid w:val="00C9495E"/>
    <w:rsid w:val="00C94E7E"/>
    <w:rsid w:val="00C95F5B"/>
    <w:rsid w:val="00C96381"/>
    <w:rsid w:val="00C97694"/>
    <w:rsid w:val="00C97C9B"/>
    <w:rsid w:val="00CA0008"/>
    <w:rsid w:val="00CA08AE"/>
    <w:rsid w:val="00CA0E3A"/>
    <w:rsid w:val="00CA12F4"/>
    <w:rsid w:val="00CA1C47"/>
    <w:rsid w:val="00CA213B"/>
    <w:rsid w:val="00CA240E"/>
    <w:rsid w:val="00CA3070"/>
    <w:rsid w:val="00CA3301"/>
    <w:rsid w:val="00CA3333"/>
    <w:rsid w:val="00CA4F12"/>
    <w:rsid w:val="00CA5138"/>
    <w:rsid w:val="00CA5269"/>
    <w:rsid w:val="00CA5BCE"/>
    <w:rsid w:val="00CA69D7"/>
    <w:rsid w:val="00CA6A22"/>
    <w:rsid w:val="00CA6E12"/>
    <w:rsid w:val="00CA6EFE"/>
    <w:rsid w:val="00CA732F"/>
    <w:rsid w:val="00CA758C"/>
    <w:rsid w:val="00CA76A8"/>
    <w:rsid w:val="00CA79E1"/>
    <w:rsid w:val="00CA7A2C"/>
    <w:rsid w:val="00CA7EAC"/>
    <w:rsid w:val="00CB004D"/>
    <w:rsid w:val="00CB041D"/>
    <w:rsid w:val="00CB08D8"/>
    <w:rsid w:val="00CB0B3E"/>
    <w:rsid w:val="00CB0B66"/>
    <w:rsid w:val="00CB1109"/>
    <w:rsid w:val="00CB146B"/>
    <w:rsid w:val="00CB2009"/>
    <w:rsid w:val="00CB2048"/>
    <w:rsid w:val="00CB253A"/>
    <w:rsid w:val="00CB2ECB"/>
    <w:rsid w:val="00CB33EE"/>
    <w:rsid w:val="00CB34CC"/>
    <w:rsid w:val="00CB3BA5"/>
    <w:rsid w:val="00CB4045"/>
    <w:rsid w:val="00CB42F2"/>
    <w:rsid w:val="00CB4375"/>
    <w:rsid w:val="00CB44D9"/>
    <w:rsid w:val="00CB4618"/>
    <w:rsid w:val="00CB48A9"/>
    <w:rsid w:val="00CB4E97"/>
    <w:rsid w:val="00CB545A"/>
    <w:rsid w:val="00CB58FB"/>
    <w:rsid w:val="00CB59BA"/>
    <w:rsid w:val="00CB677F"/>
    <w:rsid w:val="00CB68D3"/>
    <w:rsid w:val="00CB6FF7"/>
    <w:rsid w:val="00CB7E78"/>
    <w:rsid w:val="00CC04CB"/>
    <w:rsid w:val="00CC078B"/>
    <w:rsid w:val="00CC0C47"/>
    <w:rsid w:val="00CC14C4"/>
    <w:rsid w:val="00CC1901"/>
    <w:rsid w:val="00CC1C64"/>
    <w:rsid w:val="00CC26ED"/>
    <w:rsid w:val="00CC2903"/>
    <w:rsid w:val="00CC2E23"/>
    <w:rsid w:val="00CC2FEB"/>
    <w:rsid w:val="00CC3165"/>
    <w:rsid w:val="00CC38AC"/>
    <w:rsid w:val="00CC39F4"/>
    <w:rsid w:val="00CC3E35"/>
    <w:rsid w:val="00CC43C8"/>
    <w:rsid w:val="00CC4A1A"/>
    <w:rsid w:val="00CC4EAB"/>
    <w:rsid w:val="00CC528A"/>
    <w:rsid w:val="00CC5420"/>
    <w:rsid w:val="00CC5527"/>
    <w:rsid w:val="00CC57EA"/>
    <w:rsid w:val="00CC5C96"/>
    <w:rsid w:val="00CC60B5"/>
    <w:rsid w:val="00CC71BC"/>
    <w:rsid w:val="00CC77A3"/>
    <w:rsid w:val="00CD064E"/>
    <w:rsid w:val="00CD0FD3"/>
    <w:rsid w:val="00CD13DB"/>
    <w:rsid w:val="00CD140F"/>
    <w:rsid w:val="00CD1C68"/>
    <w:rsid w:val="00CD1DA5"/>
    <w:rsid w:val="00CD2372"/>
    <w:rsid w:val="00CD2663"/>
    <w:rsid w:val="00CD2E6C"/>
    <w:rsid w:val="00CD2F8C"/>
    <w:rsid w:val="00CD31F3"/>
    <w:rsid w:val="00CD32A8"/>
    <w:rsid w:val="00CD4146"/>
    <w:rsid w:val="00CD5356"/>
    <w:rsid w:val="00CD5B78"/>
    <w:rsid w:val="00CD610A"/>
    <w:rsid w:val="00CD6191"/>
    <w:rsid w:val="00CD6696"/>
    <w:rsid w:val="00CD682B"/>
    <w:rsid w:val="00CD692B"/>
    <w:rsid w:val="00CD71ED"/>
    <w:rsid w:val="00CD7494"/>
    <w:rsid w:val="00CD754D"/>
    <w:rsid w:val="00CD7F80"/>
    <w:rsid w:val="00CE01AD"/>
    <w:rsid w:val="00CE02AD"/>
    <w:rsid w:val="00CE053C"/>
    <w:rsid w:val="00CE080E"/>
    <w:rsid w:val="00CE09E5"/>
    <w:rsid w:val="00CE0F26"/>
    <w:rsid w:val="00CE0FFA"/>
    <w:rsid w:val="00CE10E3"/>
    <w:rsid w:val="00CE1804"/>
    <w:rsid w:val="00CE186F"/>
    <w:rsid w:val="00CE1AFC"/>
    <w:rsid w:val="00CE1D00"/>
    <w:rsid w:val="00CE21D3"/>
    <w:rsid w:val="00CE23AA"/>
    <w:rsid w:val="00CE295E"/>
    <w:rsid w:val="00CE2A7A"/>
    <w:rsid w:val="00CE2B42"/>
    <w:rsid w:val="00CE319B"/>
    <w:rsid w:val="00CE33A1"/>
    <w:rsid w:val="00CE40E3"/>
    <w:rsid w:val="00CE4A86"/>
    <w:rsid w:val="00CE4C73"/>
    <w:rsid w:val="00CE4CAE"/>
    <w:rsid w:val="00CE55DA"/>
    <w:rsid w:val="00CE58D6"/>
    <w:rsid w:val="00CE58EE"/>
    <w:rsid w:val="00CE59BD"/>
    <w:rsid w:val="00CE59C4"/>
    <w:rsid w:val="00CE5BEF"/>
    <w:rsid w:val="00CE69C0"/>
    <w:rsid w:val="00CE6ECC"/>
    <w:rsid w:val="00CE6FF7"/>
    <w:rsid w:val="00CE7D0F"/>
    <w:rsid w:val="00CF0C7E"/>
    <w:rsid w:val="00CF0E65"/>
    <w:rsid w:val="00CF1695"/>
    <w:rsid w:val="00CF38F4"/>
    <w:rsid w:val="00CF3E06"/>
    <w:rsid w:val="00CF44B5"/>
    <w:rsid w:val="00CF4A87"/>
    <w:rsid w:val="00CF5879"/>
    <w:rsid w:val="00CF59AA"/>
    <w:rsid w:val="00CF59CA"/>
    <w:rsid w:val="00CF6011"/>
    <w:rsid w:val="00CF6517"/>
    <w:rsid w:val="00CF6CBB"/>
    <w:rsid w:val="00CF7AC7"/>
    <w:rsid w:val="00D00375"/>
    <w:rsid w:val="00D00717"/>
    <w:rsid w:val="00D00EFD"/>
    <w:rsid w:val="00D00F94"/>
    <w:rsid w:val="00D018F9"/>
    <w:rsid w:val="00D01E0F"/>
    <w:rsid w:val="00D022DC"/>
    <w:rsid w:val="00D0253C"/>
    <w:rsid w:val="00D02544"/>
    <w:rsid w:val="00D02A89"/>
    <w:rsid w:val="00D03832"/>
    <w:rsid w:val="00D03D7B"/>
    <w:rsid w:val="00D04203"/>
    <w:rsid w:val="00D046C9"/>
    <w:rsid w:val="00D046DE"/>
    <w:rsid w:val="00D04E78"/>
    <w:rsid w:val="00D05183"/>
    <w:rsid w:val="00D05704"/>
    <w:rsid w:val="00D059E2"/>
    <w:rsid w:val="00D061D1"/>
    <w:rsid w:val="00D06847"/>
    <w:rsid w:val="00D06BC9"/>
    <w:rsid w:val="00D06DB9"/>
    <w:rsid w:val="00D07BDF"/>
    <w:rsid w:val="00D100CF"/>
    <w:rsid w:val="00D10142"/>
    <w:rsid w:val="00D11933"/>
    <w:rsid w:val="00D11F99"/>
    <w:rsid w:val="00D12493"/>
    <w:rsid w:val="00D12660"/>
    <w:rsid w:val="00D12C7A"/>
    <w:rsid w:val="00D139CA"/>
    <w:rsid w:val="00D149B2"/>
    <w:rsid w:val="00D14A4E"/>
    <w:rsid w:val="00D14C72"/>
    <w:rsid w:val="00D14E14"/>
    <w:rsid w:val="00D14EF9"/>
    <w:rsid w:val="00D15416"/>
    <w:rsid w:val="00D15A58"/>
    <w:rsid w:val="00D1679B"/>
    <w:rsid w:val="00D167ED"/>
    <w:rsid w:val="00D16903"/>
    <w:rsid w:val="00D172CF"/>
    <w:rsid w:val="00D2066E"/>
    <w:rsid w:val="00D20734"/>
    <w:rsid w:val="00D20E5A"/>
    <w:rsid w:val="00D20F4F"/>
    <w:rsid w:val="00D214F7"/>
    <w:rsid w:val="00D22C5B"/>
    <w:rsid w:val="00D23966"/>
    <w:rsid w:val="00D23D51"/>
    <w:rsid w:val="00D23EE9"/>
    <w:rsid w:val="00D242B8"/>
    <w:rsid w:val="00D25099"/>
    <w:rsid w:val="00D250CE"/>
    <w:rsid w:val="00D2517C"/>
    <w:rsid w:val="00D26754"/>
    <w:rsid w:val="00D26F00"/>
    <w:rsid w:val="00D27046"/>
    <w:rsid w:val="00D272E8"/>
    <w:rsid w:val="00D276A4"/>
    <w:rsid w:val="00D27A01"/>
    <w:rsid w:val="00D27E11"/>
    <w:rsid w:val="00D27F5C"/>
    <w:rsid w:val="00D300CF"/>
    <w:rsid w:val="00D30181"/>
    <w:rsid w:val="00D30B29"/>
    <w:rsid w:val="00D30E40"/>
    <w:rsid w:val="00D3192D"/>
    <w:rsid w:val="00D323D0"/>
    <w:rsid w:val="00D33130"/>
    <w:rsid w:val="00D33216"/>
    <w:rsid w:val="00D33525"/>
    <w:rsid w:val="00D338D1"/>
    <w:rsid w:val="00D33D2A"/>
    <w:rsid w:val="00D340F2"/>
    <w:rsid w:val="00D3451F"/>
    <w:rsid w:val="00D3464C"/>
    <w:rsid w:val="00D34B5D"/>
    <w:rsid w:val="00D34D98"/>
    <w:rsid w:val="00D34E3D"/>
    <w:rsid w:val="00D3501F"/>
    <w:rsid w:val="00D3580C"/>
    <w:rsid w:val="00D35F1D"/>
    <w:rsid w:val="00D36068"/>
    <w:rsid w:val="00D36224"/>
    <w:rsid w:val="00D3657A"/>
    <w:rsid w:val="00D36613"/>
    <w:rsid w:val="00D40746"/>
    <w:rsid w:val="00D41253"/>
    <w:rsid w:val="00D41625"/>
    <w:rsid w:val="00D416AA"/>
    <w:rsid w:val="00D416F5"/>
    <w:rsid w:val="00D423CB"/>
    <w:rsid w:val="00D427DC"/>
    <w:rsid w:val="00D42EDC"/>
    <w:rsid w:val="00D436A0"/>
    <w:rsid w:val="00D43EA9"/>
    <w:rsid w:val="00D44111"/>
    <w:rsid w:val="00D444A1"/>
    <w:rsid w:val="00D44D6E"/>
    <w:rsid w:val="00D4515C"/>
    <w:rsid w:val="00D4598C"/>
    <w:rsid w:val="00D462BC"/>
    <w:rsid w:val="00D4655A"/>
    <w:rsid w:val="00D4695C"/>
    <w:rsid w:val="00D46A93"/>
    <w:rsid w:val="00D46C75"/>
    <w:rsid w:val="00D47584"/>
    <w:rsid w:val="00D47961"/>
    <w:rsid w:val="00D47F07"/>
    <w:rsid w:val="00D50003"/>
    <w:rsid w:val="00D50EE4"/>
    <w:rsid w:val="00D51155"/>
    <w:rsid w:val="00D512C0"/>
    <w:rsid w:val="00D517B7"/>
    <w:rsid w:val="00D51945"/>
    <w:rsid w:val="00D522BB"/>
    <w:rsid w:val="00D52B62"/>
    <w:rsid w:val="00D53045"/>
    <w:rsid w:val="00D53963"/>
    <w:rsid w:val="00D5474F"/>
    <w:rsid w:val="00D55056"/>
    <w:rsid w:val="00D558A9"/>
    <w:rsid w:val="00D55C15"/>
    <w:rsid w:val="00D55F2A"/>
    <w:rsid w:val="00D56354"/>
    <w:rsid w:val="00D56AA2"/>
    <w:rsid w:val="00D56AF9"/>
    <w:rsid w:val="00D56B30"/>
    <w:rsid w:val="00D5724D"/>
    <w:rsid w:val="00D576A7"/>
    <w:rsid w:val="00D60592"/>
    <w:rsid w:val="00D6062D"/>
    <w:rsid w:val="00D61309"/>
    <w:rsid w:val="00D61635"/>
    <w:rsid w:val="00D626A9"/>
    <w:rsid w:val="00D626C6"/>
    <w:rsid w:val="00D6273D"/>
    <w:rsid w:val="00D628C5"/>
    <w:rsid w:val="00D63DB5"/>
    <w:rsid w:val="00D63E81"/>
    <w:rsid w:val="00D63EA8"/>
    <w:rsid w:val="00D64247"/>
    <w:rsid w:val="00D643CE"/>
    <w:rsid w:val="00D64B3F"/>
    <w:rsid w:val="00D65080"/>
    <w:rsid w:val="00D65161"/>
    <w:rsid w:val="00D652FD"/>
    <w:rsid w:val="00D65699"/>
    <w:rsid w:val="00D65A27"/>
    <w:rsid w:val="00D6766C"/>
    <w:rsid w:val="00D704CE"/>
    <w:rsid w:val="00D7066E"/>
    <w:rsid w:val="00D7078F"/>
    <w:rsid w:val="00D70AAD"/>
    <w:rsid w:val="00D71407"/>
    <w:rsid w:val="00D72BC6"/>
    <w:rsid w:val="00D72F8B"/>
    <w:rsid w:val="00D731E6"/>
    <w:rsid w:val="00D735BC"/>
    <w:rsid w:val="00D74068"/>
    <w:rsid w:val="00D74447"/>
    <w:rsid w:val="00D755B0"/>
    <w:rsid w:val="00D75BBC"/>
    <w:rsid w:val="00D75DD0"/>
    <w:rsid w:val="00D75EC1"/>
    <w:rsid w:val="00D767F3"/>
    <w:rsid w:val="00D76EF3"/>
    <w:rsid w:val="00D777A6"/>
    <w:rsid w:val="00D7790E"/>
    <w:rsid w:val="00D77C64"/>
    <w:rsid w:val="00D77FB0"/>
    <w:rsid w:val="00D77FB8"/>
    <w:rsid w:val="00D80B85"/>
    <w:rsid w:val="00D80C5C"/>
    <w:rsid w:val="00D80DD7"/>
    <w:rsid w:val="00D82050"/>
    <w:rsid w:val="00D829F9"/>
    <w:rsid w:val="00D82EF5"/>
    <w:rsid w:val="00D835AD"/>
    <w:rsid w:val="00D838FD"/>
    <w:rsid w:val="00D83927"/>
    <w:rsid w:val="00D83EFF"/>
    <w:rsid w:val="00D84559"/>
    <w:rsid w:val="00D84617"/>
    <w:rsid w:val="00D848C1"/>
    <w:rsid w:val="00D84A12"/>
    <w:rsid w:val="00D84D1F"/>
    <w:rsid w:val="00D84E23"/>
    <w:rsid w:val="00D8588C"/>
    <w:rsid w:val="00D85F51"/>
    <w:rsid w:val="00D85F55"/>
    <w:rsid w:val="00D8610C"/>
    <w:rsid w:val="00D86245"/>
    <w:rsid w:val="00D86461"/>
    <w:rsid w:val="00D86A9B"/>
    <w:rsid w:val="00D86D50"/>
    <w:rsid w:val="00D87054"/>
    <w:rsid w:val="00D87119"/>
    <w:rsid w:val="00D87378"/>
    <w:rsid w:val="00D873E1"/>
    <w:rsid w:val="00D87BDA"/>
    <w:rsid w:val="00D87CCB"/>
    <w:rsid w:val="00D9043F"/>
    <w:rsid w:val="00D90B8E"/>
    <w:rsid w:val="00D90D7C"/>
    <w:rsid w:val="00D91604"/>
    <w:rsid w:val="00D91C87"/>
    <w:rsid w:val="00D92086"/>
    <w:rsid w:val="00D92E74"/>
    <w:rsid w:val="00D93245"/>
    <w:rsid w:val="00D946D1"/>
    <w:rsid w:val="00D94A94"/>
    <w:rsid w:val="00D94CBE"/>
    <w:rsid w:val="00D94D9B"/>
    <w:rsid w:val="00D950AA"/>
    <w:rsid w:val="00D9594F"/>
    <w:rsid w:val="00D95B06"/>
    <w:rsid w:val="00D96166"/>
    <w:rsid w:val="00D965E6"/>
    <w:rsid w:val="00D96898"/>
    <w:rsid w:val="00D96A14"/>
    <w:rsid w:val="00D97AB4"/>
    <w:rsid w:val="00D97E07"/>
    <w:rsid w:val="00DA0043"/>
    <w:rsid w:val="00DA0063"/>
    <w:rsid w:val="00DA051E"/>
    <w:rsid w:val="00DA06E1"/>
    <w:rsid w:val="00DA0784"/>
    <w:rsid w:val="00DA13E9"/>
    <w:rsid w:val="00DA1936"/>
    <w:rsid w:val="00DA1C06"/>
    <w:rsid w:val="00DA2034"/>
    <w:rsid w:val="00DA2A20"/>
    <w:rsid w:val="00DA2B75"/>
    <w:rsid w:val="00DA347E"/>
    <w:rsid w:val="00DA3AEE"/>
    <w:rsid w:val="00DA3E5A"/>
    <w:rsid w:val="00DA3FEA"/>
    <w:rsid w:val="00DA4591"/>
    <w:rsid w:val="00DA5978"/>
    <w:rsid w:val="00DA5A4C"/>
    <w:rsid w:val="00DA5B39"/>
    <w:rsid w:val="00DA685C"/>
    <w:rsid w:val="00DA7199"/>
    <w:rsid w:val="00DA74B7"/>
    <w:rsid w:val="00DA7738"/>
    <w:rsid w:val="00DA78C3"/>
    <w:rsid w:val="00DA794D"/>
    <w:rsid w:val="00DB07BF"/>
    <w:rsid w:val="00DB0900"/>
    <w:rsid w:val="00DB14B6"/>
    <w:rsid w:val="00DB17F1"/>
    <w:rsid w:val="00DB18F9"/>
    <w:rsid w:val="00DB1EE8"/>
    <w:rsid w:val="00DB1FCD"/>
    <w:rsid w:val="00DB201B"/>
    <w:rsid w:val="00DB26BF"/>
    <w:rsid w:val="00DB2915"/>
    <w:rsid w:val="00DB2EF5"/>
    <w:rsid w:val="00DB3A89"/>
    <w:rsid w:val="00DB3FA3"/>
    <w:rsid w:val="00DB6169"/>
    <w:rsid w:val="00DB62B7"/>
    <w:rsid w:val="00DB64D0"/>
    <w:rsid w:val="00DB6C7E"/>
    <w:rsid w:val="00DB6F99"/>
    <w:rsid w:val="00DB776D"/>
    <w:rsid w:val="00DB7D68"/>
    <w:rsid w:val="00DC0453"/>
    <w:rsid w:val="00DC07B0"/>
    <w:rsid w:val="00DC0B04"/>
    <w:rsid w:val="00DC0B40"/>
    <w:rsid w:val="00DC1005"/>
    <w:rsid w:val="00DC1F39"/>
    <w:rsid w:val="00DC2238"/>
    <w:rsid w:val="00DC2365"/>
    <w:rsid w:val="00DC262C"/>
    <w:rsid w:val="00DC2DC4"/>
    <w:rsid w:val="00DC3C4E"/>
    <w:rsid w:val="00DC3D25"/>
    <w:rsid w:val="00DC473D"/>
    <w:rsid w:val="00DC4B4D"/>
    <w:rsid w:val="00DC4B6F"/>
    <w:rsid w:val="00DC4FD4"/>
    <w:rsid w:val="00DC5D7A"/>
    <w:rsid w:val="00DC5F21"/>
    <w:rsid w:val="00DC6048"/>
    <w:rsid w:val="00DC6174"/>
    <w:rsid w:val="00DC64EC"/>
    <w:rsid w:val="00DC6954"/>
    <w:rsid w:val="00DC6BBF"/>
    <w:rsid w:val="00DC6E87"/>
    <w:rsid w:val="00DC72ED"/>
    <w:rsid w:val="00DC7506"/>
    <w:rsid w:val="00DC759B"/>
    <w:rsid w:val="00DC78FE"/>
    <w:rsid w:val="00DC7B98"/>
    <w:rsid w:val="00DD035E"/>
    <w:rsid w:val="00DD169D"/>
    <w:rsid w:val="00DD1C3B"/>
    <w:rsid w:val="00DD1C92"/>
    <w:rsid w:val="00DD1CC4"/>
    <w:rsid w:val="00DD1CF8"/>
    <w:rsid w:val="00DD1F89"/>
    <w:rsid w:val="00DD2299"/>
    <w:rsid w:val="00DD2879"/>
    <w:rsid w:val="00DD461A"/>
    <w:rsid w:val="00DD47D7"/>
    <w:rsid w:val="00DD4D1F"/>
    <w:rsid w:val="00DD50D7"/>
    <w:rsid w:val="00DD5409"/>
    <w:rsid w:val="00DD5541"/>
    <w:rsid w:val="00DD5802"/>
    <w:rsid w:val="00DD58FD"/>
    <w:rsid w:val="00DD6224"/>
    <w:rsid w:val="00DD6697"/>
    <w:rsid w:val="00DD67DD"/>
    <w:rsid w:val="00DD6A61"/>
    <w:rsid w:val="00DD75E5"/>
    <w:rsid w:val="00DD7777"/>
    <w:rsid w:val="00DD7963"/>
    <w:rsid w:val="00DE04DD"/>
    <w:rsid w:val="00DE0737"/>
    <w:rsid w:val="00DE0909"/>
    <w:rsid w:val="00DE0F58"/>
    <w:rsid w:val="00DE1706"/>
    <w:rsid w:val="00DE1D03"/>
    <w:rsid w:val="00DE1D2E"/>
    <w:rsid w:val="00DE1E03"/>
    <w:rsid w:val="00DE252A"/>
    <w:rsid w:val="00DE2860"/>
    <w:rsid w:val="00DE2B31"/>
    <w:rsid w:val="00DE2E32"/>
    <w:rsid w:val="00DE2F4F"/>
    <w:rsid w:val="00DE398C"/>
    <w:rsid w:val="00DE3BD7"/>
    <w:rsid w:val="00DE3EAE"/>
    <w:rsid w:val="00DE46D6"/>
    <w:rsid w:val="00DE471A"/>
    <w:rsid w:val="00DE49C0"/>
    <w:rsid w:val="00DE5402"/>
    <w:rsid w:val="00DE6008"/>
    <w:rsid w:val="00DE607D"/>
    <w:rsid w:val="00DE6B08"/>
    <w:rsid w:val="00DE74F0"/>
    <w:rsid w:val="00DE7564"/>
    <w:rsid w:val="00DE76BA"/>
    <w:rsid w:val="00DE7AB3"/>
    <w:rsid w:val="00DE7C76"/>
    <w:rsid w:val="00DE7F24"/>
    <w:rsid w:val="00DF0036"/>
    <w:rsid w:val="00DF0092"/>
    <w:rsid w:val="00DF013F"/>
    <w:rsid w:val="00DF0724"/>
    <w:rsid w:val="00DF0A5C"/>
    <w:rsid w:val="00DF133D"/>
    <w:rsid w:val="00DF1C9D"/>
    <w:rsid w:val="00DF21ED"/>
    <w:rsid w:val="00DF27B8"/>
    <w:rsid w:val="00DF3367"/>
    <w:rsid w:val="00DF37DB"/>
    <w:rsid w:val="00DF388F"/>
    <w:rsid w:val="00DF3CEE"/>
    <w:rsid w:val="00DF4709"/>
    <w:rsid w:val="00DF496D"/>
    <w:rsid w:val="00DF5A7D"/>
    <w:rsid w:val="00DF5DEB"/>
    <w:rsid w:val="00DF5FE4"/>
    <w:rsid w:val="00DF629C"/>
    <w:rsid w:val="00DF6954"/>
    <w:rsid w:val="00DF7501"/>
    <w:rsid w:val="00DF788A"/>
    <w:rsid w:val="00DF7F9E"/>
    <w:rsid w:val="00E00436"/>
    <w:rsid w:val="00E007D4"/>
    <w:rsid w:val="00E0081B"/>
    <w:rsid w:val="00E00C62"/>
    <w:rsid w:val="00E00EAD"/>
    <w:rsid w:val="00E019EE"/>
    <w:rsid w:val="00E01BE5"/>
    <w:rsid w:val="00E01FDB"/>
    <w:rsid w:val="00E021DF"/>
    <w:rsid w:val="00E0271D"/>
    <w:rsid w:val="00E03334"/>
    <w:rsid w:val="00E03674"/>
    <w:rsid w:val="00E038C3"/>
    <w:rsid w:val="00E03987"/>
    <w:rsid w:val="00E04231"/>
    <w:rsid w:val="00E0486D"/>
    <w:rsid w:val="00E049D2"/>
    <w:rsid w:val="00E04B15"/>
    <w:rsid w:val="00E04CF1"/>
    <w:rsid w:val="00E04E89"/>
    <w:rsid w:val="00E05419"/>
    <w:rsid w:val="00E05C7D"/>
    <w:rsid w:val="00E05EB1"/>
    <w:rsid w:val="00E0613D"/>
    <w:rsid w:val="00E064FC"/>
    <w:rsid w:val="00E06554"/>
    <w:rsid w:val="00E07C00"/>
    <w:rsid w:val="00E10031"/>
    <w:rsid w:val="00E10CDB"/>
    <w:rsid w:val="00E10E20"/>
    <w:rsid w:val="00E11794"/>
    <w:rsid w:val="00E121F1"/>
    <w:rsid w:val="00E12301"/>
    <w:rsid w:val="00E12690"/>
    <w:rsid w:val="00E12B86"/>
    <w:rsid w:val="00E13024"/>
    <w:rsid w:val="00E13CEA"/>
    <w:rsid w:val="00E141DC"/>
    <w:rsid w:val="00E14272"/>
    <w:rsid w:val="00E145D0"/>
    <w:rsid w:val="00E15B91"/>
    <w:rsid w:val="00E15FB7"/>
    <w:rsid w:val="00E167C4"/>
    <w:rsid w:val="00E16CC8"/>
    <w:rsid w:val="00E16FE8"/>
    <w:rsid w:val="00E17243"/>
    <w:rsid w:val="00E20E9B"/>
    <w:rsid w:val="00E21489"/>
    <w:rsid w:val="00E2165C"/>
    <w:rsid w:val="00E2176B"/>
    <w:rsid w:val="00E21838"/>
    <w:rsid w:val="00E21C8C"/>
    <w:rsid w:val="00E22033"/>
    <w:rsid w:val="00E22360"/>
    <w:rsid w:val="00E22707"/>
    <w:rsid w:val="00E22FF7"/>
    <w:rsid w:val="00E233C4"/>
    <w:rsid w:val="00E23BB7"/>
    <w:rsid w:val="00E24875"/>
    <w:rsid w:val="00E248F0"/>
    <w:rsid w:val="00E25274"/>
    <w:rsid w:val="00E2573D"/>
    <w:rsid w:val="00E2585D"/>
    <w:rsid w:val="00E25A00"/>
    <w:rsid w:val="00E260DF"/>
    <w:rsid w:val="00E266C1"/>
    <w:rsid w:val="00E26E0C"/>
    <w:rsid w:val="00E27BCA"/>
    <w:rsid w:val="00E3023A"/>
    <w:rsid w:val="00E302B8"/>
    <w:rsid w:val="00E30865"/>
    <w:rsid w:val="00E30927"/>
    <w:rsid w:val="00E30C9F"/>
    <w:rsid w:val="00E3169E"/>
    <w:rsid w:val="00E31AD5"/>
    <w:rsid w:val="00E32C01"/>
    <w:rsid w:val="00E338C6"/>
    <w:rsid w:val="00E33FA7"/>
    <w:rsid w:val="00E34E03"/>
    <w:rsid w:val="00E3586F"/>
    <w:rsid w:val="00E35DD5"/>
    <w:rsid w:val="00E361D0"/>
    <w:rsid w:val="00E36540"/>
    <w:rsid w:val="00E36AE9"/>
    <w:rsid w:val="00E36D3B"/>
    <w:rsid w:val="00E3732E"/>
    <w:rsid w:val="00E373B8"/>
    <w:rsid w:val="00E37404"/>
    <w:rsid w:val="00E3748F"/>
    <w:rsid w:val="00E375EE"/>
    <w:rsid w:val="00E40018"/>
    <w:rsid w:val="00E40854"/>
    <w:rsid w:val="00E40F9B"/>
    <w:rsid w:val="00E41123"/>
    <w:rsid w:val="00E412C8"/>
    <w:rsid w:val="00E41345"/>
    <w:rsid w:val="00E4142B"/>
    <w:rsid w:val="00E415C5"/>
    <w:rsid w:val="00E41DAE"/>
    <w:rsid w:val="00E41F14"/>
    <w:rsid w:val="00E422CA"/>
    <w:rsid w:val="00E42464"/>
    <w:rsid w:val="00E42B6D"/>
    <w:rsid w:val="00E42CB1"/>
    <w:rsid w:val="00E4335C"/>
    <w:rsid w:val="00E4378A"/>
    <w:rsid w:val="00E4428D"/>
    <w:rsid w:val="00E45397"/>
    <w:rsid w:val="00E45B2E"/>
    <w:rsid w:val="00E4659A"/>
    <w:rsid w:val="00E46A40"/>
    <w:rsid w:val="00E46C3A"/>
    <w:rsid w:val="00E46FB4"/>
    <w:rsid w:val="00E473BE"/>
    <w:rsid w:val="00E47832"/>
    <w:rsid w:val="00E47ACF"/>
    <w:rsid w:val="00E47FDD"/>
    <w:rsid w:val="00E5134F"/>
    <w:rsid w:val="00E522D2"/>
    <w:rsid w:val="00E52F35"/>
    <w:rsid w:val="00E538F0"/>
    <w:rsid w:val="00E53905"/>
    <w:rsid w:val="00E53E02"/>
    <w:rsid w:val="00E5492C"/>
    <w:rsid w:val="00E549E2"/>
    <w:rsid w:val="00E54B68"/>
    <w:rsid w:val="00E54CFF"/>
    <w:rsid w:val="00E54E9F"/>
    <w:rsid w:val="00E55021"/>
    <w:rsid w:val="00E5535D"/>
    <w:rsid w:val="00E55595"/>
    <w:rsid w:val="00E560BB"/>
    <w:rsid w:val="00E56576"/>
    <w:rsid w:val="00E57269"/>
    <w:rsid w:val="00E57362"/>
    <w:rsid w:val="00E5737B"/>
    <w:rsid w:val="00E57895"/>
    <w:rsid w:val="00E57D4C"/>
    <w:rsid w:val="00E57E8B"/>
    <w:rsid w:val="00E57F13"/>
    <w:rsid w:val="00E60082"/>
    <w:rsid w:val="00E6065B"/>
    <w:rsid w:val="00E606C0"/>
    <w:rsid w:val="00E60C6A"/>
    <w:rsid w:val="00E615EB"/>
    <w:rsid w:val="00E61F43"/>
    <w:rsid w:val="00E6254D"/>
    <w:rsid w:val="00E62599"/>
    <w:rsid w:val="00E626BD"/>
    <w:rsid w:val="00E627A0"/>
    <w:rsid w:val="00E62C4D"/>
    <w:rsid w:val="00E62D5F"/>
    <w:rsid w:val="00E62E3C"/>
    <w:rsid w:val="00E63494"/>
    <w:rsid w:val="00E63CAE"/>
    <w:rsid w:val="00E64B69"/>
    <w:rsid w:val="00E64BAF"/>
    <w:rsid w:val="00E64CDF"/>
    <w:rsid w:val="00E64D77"/>
    <w:rsid w:val="00E65092"/>
    <w:rsid w:val="00E66A5E"/>
    <w:rsid w:val="00E66AE0"/>
    <w:rsid w:val="00E67562"/>
    <w:rsid w:val="00E676F4"/>
    <w:rsid w:val="00E702B9"/>
    <w:rsid w:val="00E7048B"/>
    <w:rsid w:val="00E7209E"/>
    <w:rsid w:val="00E73E11"/>
    <w:rsid w:val="00E73F1F"/>
    <w:rsid w:val="00E743CA"/>
    <w:rsid w:val="00E7534B"/>
    <w:rsid w:val="00E7587D"/>
    <w:rsid w:val="00E75984"/>
    <w:rsid w:val="00E766EF"/>
    <w:rsid w:val="00E7696D"/>
    <w:rsid w:val="00E76BA9"/>
    <w:rsid w:val="00E77401"/>
    <w:rsid w:val="00E8023B"/>
    <w:rsid w:val="00E804ED"/>
    <w:rsid w:val="00E804EF"/>
    <w:rsid w:val="00E8072C"/>
    <w:rsid w:val="00E80FAC"/>
    <w:rsid w:val="00E8115E"/>
    <w:rsid w:val="00E81975"/>
    <w:rsid w:val="00E822BA"/>
    <w:rsid w:val="00E83822"/>
    <w:rsid w:val="00E83E51"/>
    <w:rsid w:val="00E83FAF"/>
    <w:rsid w:val="00E8400B"/>
    <w:rsid w:val="00E8428D"/>
    <w:rsid w:val="00E84422"/>
    <w:rsid w:val="00E8461C"/>
    <w:rsid w:val="00E84665"/>
    <w:rsid w:val="00E84BD1"/>
    <w:rsid w:val="00E84C47"/>
    <w:rsid w:val="00E84CC7"/>
    <w:rsid w:val="00E8515A"/>
    <w:rsid w:val="00E8564D"/>
    <w:rsid w:val="00E85DC4"/>
    <w:rsid w:val="00E86265"/>
    <w:rsid w:val="00E86677"/>
    <w:rsid w:val="00E868C6"/>
    <w:rsid w:val="00E86E77"/>
    <w:rsid w:val="00E877F6"/>
    <w:rsid w:val="00E87AA7"/>
    <w:rsid w:val="00E87AD5"/>
    <w:rsid w:val="00E87B08"/>
    <w:rsid w:val="00E87DA7"/>
    <w:rsid w:val="00E87F02"/>
    <w:rsid w:val="00E907C3"/>
    <w:rsid w:val="00E910BD"/>
    <w:rsid w:val="00E91F70"/>
    <w:rsid w:val="00E92052"/>
    <w:rsid w:val="00E92248"/>
    <w:rsid w:val="00E92274"/>
    <w:rsid w:val="00E92699"/>
    <w:rsid w:val="00E9272A"/>
    <w:rsid w:val="00E92A88"/>
    <w:rsid w:val="00E92C54"/>
    <w:rsid w:val="00E92DF2"/>
    <w:rsid w:val="00E92F92"/>
    <w:rsid w:val="00E940E1"/>
    <w:rsid w:val="00E9438C"/>
    <w:rsid w:val="00E94FED"/>
    <w:rsid w:val="00E9524B"/>
    <w:rsid w:val="00E952A1"/>
    <w:rsid w:val="00E95940"/>
    <w:rsid w:val="00E95A82"/>
    <w:rsid w:val="00E95ACA"/>
    <w:rsid w:val="00E95F0D"/>
    <w:rsid w:val="00E963B3"/>
    <w:rsid w:val="00E966E3"/>
    <w:rsid w:val="00E967EF"/>
    <w:rsid w:val="00E968B2"/>
    <w:rsid w:val="00E968D7"/>
    <w:rsid w:val="00E96F78"/>
    <w:rsid w:val="00E96FC9"/>
    <w:rsid w:val="00E96FCC"/>
    <w:rsid w:val="00E97D15"/>
    <w:rsid w:val="00EA0062"/>
    <w:rsid w:val="00EA00F2"/>
    <w:rsid w:val="00EA0273"/>
    <w:rsid w:val="00EA1084"/>
    <w:rsid w:val="00EA10B5"/>
    <w:rsid w:val="00EA12AE"/>
    <w:rsid w:val="00EA1445"/>
    <w:rsid w:val="00EA18CF"/>
    <w:rsid w:val="00EA1B47"/>
    <w:rsid w:val="00EA1C91"/>
    <w:rsid w:val="00EA2836"/>
    <w:rsid w:val="00EA33D5"/>
    <w:rsid w:val="00EA3580"/>
    <w:rsid w:val="00EA48C0"/>
    <w:rsid w:val="00EA4B71"/>
    <w:rsid w:val="00EA4EBA"/>
    <w:rsid w:val="00EA6567"/>
    <w:rsid w:val="00EA6688"/>
    <w:rsid w:val="00EA6FA7"/>
    <w:rsid w:val="00EA6FE9"/>
    <w:rsid w:val="00EA7548"/>
    <w:rsid w:val="00EA79E3"/>
    <w:rsid w:val="00EB03E2"/>
    <w:rsid w:val="00EB05D7"/>
    <w:rsid w:val="00EB1469"/>
    <w:rsid w:val="00EB1FCA"/>
    <w:rsid w:val="00EB24BD"/>
    <w:rsid w:val="00EB25CC"/>
    <w:rsid w:val="00EB26B8"/>
    <w:rsid w:val="00EB26B9"/>
    <w:rsid w:val="00EB28A8"/>
    <w:rsid w:val="00EB2CCF"/>
    <w:rsid w:val="00EB3BF0"/>
    <w:rsid w:val="00EB40AE"/>
    <w:rsid w:val="00EB4722"/>
    <w:rsid w:val="00EB4745"/>
    <w:rsid w:val="00EB51CF"/>
    <w:rsid w:val="00EB5B4B"/>
    <w:rsid w:val="00EB5D51"/>
    <w:rsid w:val="00EB640B"/>
    <w:rsid w:val="00EB69E0"/>
    <w:rsid w:val="00EB6AA7"/>
    <w:rsid w:val="00EB6AA8"/>
    <w:rsid w:val="00EB7280"/>
    <w:rsid w:val="00EC0156"/>
    <w:rsid w:val="00EC062A"/>
    <w:rsid w:val="00EC0C56"/>
    <w:rsid w:val="00EC0F06"/>
    <w:rsid w:val="00EC1729"/>
    <w:rsid w:val="00EC18D0"/>
    <w:rsid w:val="00EC2129"/>
    <w:rsid w:val="00EC2359"/>
    <w:rsid w:val="00EC240B"/>
    <w:rsid w:val="00EC29B2"/>
    <w:rsid w:val="00EC41C4"/>
    <w:rsid w:val="00EC4367"/>
    <w:rsid w:val="00EC4AB0"/>
    <w:rsid w:val="00EC5465"/>
    <w:rsid w:val="00EC56D6"/>
    <w:rsid w:val="00EC59B6"/>
    <w:rsid w:val="00EC5EF0"/>
    <w:rsid w:val="00EC6034"/>
    <w:rsid w:val="00EC61B4"/>
    <w:rsid w:val="00EC68B5"/>
    <w:rsid w:val="00EC7841"/>
    <w:rsid w:val="00EC7903"/>
    <w:rsid w:val="00EC7D65"/>
    <w:rsid w:val="00ED0142"/>
    <w:rsid w:val="00ED02B5"/>
    <w:rsid w:val="00ED06F8"/>
    <w:rsid w:val="00ED0963"/>
    <w:rsid w:val="00ED1902"/>
    <w:rsid w:val="00ED1ED0"/>
    <w:rsid w:val="00ED2419"/>
    <w:rsid w:val="00ED250C"/>
    <w:rsid w:val="00ED2D75"/>
    <w:rsid w:val="00ED2DA2"/>
    <w:rsid w:val="00ED3C7F"/>
    <w:rsid w:val="00ED44B7"/>
    <w:rsid w:val="00ED46F3"/>
    <w:rsid w:val="00ED4BC5"/>
    <w:rsid w:val="00ED55B9"/>
    <w:rsid w:val="00ED6549"/>
    <w:rsid w:val="00ED6FD2"/>
    <w:rsid w:val="00ED76C6"/>
    <w:rsid w:val="00ED785A"/>
    <w:rsid w:val="00ED7D8E"/>
    <w:rsid w:val="00ED7F27"/>
    <w:rsid w:val="00EE0294"/>
    <w:rsid w:val="00EE16F5"/>
    <w:rsid w:val="00EE1811"/>
    <w:rsid w:val="00EE1B5D"/>
    <w:rsid w:val="00EE1F45"/>
    <w:rsid w:val="00EE237E"/>
    <w:rsid w:val="00EE2B9D"/>
    <w:rsid w:val="00EE30BA"/>
    <w:rsid w:val="00EE3EC5"/>
    <w:rsid w:val="00EE42F1"/>
    <w:rsid w:val="00EE4440"/>
    <w:rsid w:val="00EE46F3"/>
    <w:rsid w:val="00EE5576"/>
    <w:rsid w:val="00EE60A1"/>
    <w:rsid w:val="00EE6893"/>
    <w:rsid w:val="00EE6F11"/>
    <w:rsid w:val="00EE7916"/>
    <w:rsid w:val="00EE79BB"/>
    <w:rsid w:val="00EE7A1F"/>
    <w:rsid w:val="00EE7F74"/>
    <w:rsid w:val="00EF1579"/>
    <w:rsid w:val="00EF1B25"/>
    <w:rsid w:val="00EF25C0"/>
    <w:rsid w:val="00EF283E"/>
    <w:rsid w:val="00EF2C80"/>
    <w:rsid w:val="00EF311A"/>
    <w:rsid w:val="00EF3688"/>
    <w:rsid w:val="00EF41B6"/>
    <w:rsid w:val="00EF4804"/>
    <w:rsid w:val="00EF5550"/>
    <w:rsid w:val="00EF56AC"/>
    <w:rsid w:val="00EF5BDE"/>
    <w:rsid w:val="00EF5EF6"/>
    <w:rsid w:val="00EF6040"/>
    <w:rsid w:val="00EF654F"/>
    <w:rsid w:val="00EF67D7"/>
    <w:rsid w:val="00EF70EB"/>
    <w:rsid w:val="00EF77F3"/>
    <w:rsid w:val="00F0024E"/>
    <w:rsid w:val="00F010DC"/>
    <w:rsid w:val="00F014A8"/>
    <w:rsid w:val="00F014D9"/>
    <w:rsid w:val="00F021F8"/>
    <w:rsid w:val="00F0229C"/>
    <w:rsid w:val="00F022CF"/>
    <w:rsid w:val="00F02B83"/>
    <w:rsid w:val="00F02BCC"/>
    <w:rsid w:val="00F036EF"/>
    <w:rsid w:val="00F04192"/>
    <w:rsid w:val="00F0419F"/>
    <w:rsid w:val="00F041B3"/>
    <w:rsid w:val="00F0425C"/>
    <w:rsid w:val="00F04BBF"/>
    <w:rsid w:val="00F05A99"/>
    <w:rsid w:val="00F05B65"/>
    <w:rsid w:val="00F05BD5"/>
    <w:rsid w:val="00F060D8"/>
    <w:rsid w:val="00F062CB"/>
    <w:rsid w:val="00F066DA"/>
    <w:rsid w:val="00F06C76"/>
    <w:rsid w:val="00F06E61"/>
    <w:rsid w:val="00F07004"/>
    <w:rsid w:val="00F07413"/>
    <w:rsid w:val="00F07424"/>
    <w:rsid w:val="00F0748E"/>
    <w:rsid w:val="00F079B7"/>
    <w:rsid w:val="00F07CCD"/>
    <w:rsid w:val="00F1007B"/>
    <w:rsid w:val="00F10C02"/>
    <w:rsid w:val="00F10EEE"/>
    <w:rsid w:val="00F11061"/>
    <w:rsid w:val="00F116A5"/>
    <w:rsid w:val="00F11864"/>
    <w:rsid w:val="00F11914"/>
    <w:rsid w:val="00F122A7"/>
    <w:rsid w:val="00F12774"/>
    <w:rsid w:val="00F128C2"/>
    <w:rsid w:val="00F12A1E"/>
    <w:rsid w:val="00F12BDF"/>
    <w:rsid w:val="00F12F51"/>
    <w:rsid w:val="00F12F85"/>
    <w:rsid w:val="00F131F4"/>
    <w:rsid w:val="00F142D8"/>
    <w:rsid w:val="00F147F9"/>
    <w:rsid w:val="00F148E4"/>
    <w:rsid w:val="00F14DE5"/>
    <w:rsid w:val="00F15286"/>
    <w:rsid w:val="00F15547"/>
    <w:rsid w:val="00F15724"/>
    <w:rsid w:val="00F15736"/>
    <w:rsid w:val="00F15A5B"/>
    <w:rsid w:val="00F161B4"/>
    <w:rsid w:val="00F167D4"/>
    <w:rsid w:val="00F167EB"/>
    <w:rsid w:val="00F16A42"/>
    <w:rsid w:val="00F16CE9"/>
    <w:rsid w:val="00F16E62"/>
    <w:rsid w:val="00F175F4"/>
    <w:rsid w:val="00F17621"/>
    <w:rsid w:val="00F177E3"/>
    <w:rsid w:val="00F17FEC"/>
    <w:rsid w:val="00F202E5"/>
    <w:rsid w:val="00F209C4"/>
    <w:rsid w:val="00F20CC9"/>
    <w:rsid w:val="00F21456"/>
    <w:rsid w:val="00F21E7E"/>
    <w:rsid w:val="00F222D0"/>
    <w:rsid w:val="00F2234E"/>
    <w:rsid w:val="00F22901"/>
    <w:rsid w:val="00F23034"/>
    <w:rsid w:val="00F23951"/>
    <w:rsid w:val="00F23E8D"/>
    <w:rsid w:val="00F24356"/>
    <w:rsid w:val="00F248A4"/>
    <w:rsid w:val="00F24C8A"/>
    <w:rsid w:val="00F25509"/>
    <w:rsid w:val="00F259FD"/>
    <w:rsid w:val="00F25E7F"/>
    <w:rsid w:val="00F25EDD"/>
    <w:rsid w:val="00F260EE"/>
    <w:rsid w:val="00F26218"/>
    <w:rsid w:val="00F266C8"/>
    <w:rsid w:val="00F2675C"/>
    <w:rsid w:val="00F2680A"/>
    <w:rsid w:val="00F26C86"/>
    <w:rsid w:val="00F272E7"/>
    <w:rsid w:val="00F27BAE"/>
    <w:rsid w:val="00F27FEA"/>
    <w:rsid w:val="00F300E8"/>
    <w:rsid w:val="00F30CD6"/>
    <w:rsid w:val="00F30D81"/>
    <w:rsid w:val="00F312BE"/>
    <w:rsid w:val="00F313CD"/>
    <w:rsid w:val="00F32049"/>
    <w:rsid w:val="00F3241F"/>
    <w:rsid w:val="00F32598"/>
    <w:rsid w:val="00F32B4B"/>
    <w:rsid w:val="00F32BB7"/>
    <w:rsid w:val="00F332CF"/>
    <w:rsid w:val="00F343AF"/>
    <w:rsid w:val="00F347D8"/>
    <w:rsid w:val="00F34AF1"/>
    <w:rsid w:val="00F35602"/>
    <w:rsid w:val="00F36606"/>
    <w:rsid w:val="00F3666C"/>
    <w:rsid w:val="00F3684A"/>
    <w:rsid w:val="00F36ED1"/>
    <w:rsid w:val="00F37525"/>
    <w:rsid w:val="00F377D2"/>
    <w:rsid w:val="00F378C1"/>
    <w:rsid w:val="00F4066C"/>
    <w:rsid w:val="00F408A7"/>
    <w:rsid w:val="00F409F0"/>
    <w:rsid w:val="00F41BBE"/>
    <w:rsid w:val="00F41D92"/>
    <w:rsid w:val="00F41F29"/>
    <w:rsid w:val="00F42220"/>
    <w:rsid w:val="00F43367"/>
    <w:rsid w:val="00F43B25"/>
    <w:rsid w:val="00F43DB2"/>
    <w:rsid w:val="00F43E08"/>
    <w:rsid w:val="00F43F7E"/>
    <w:rsid w:val="00F4477B"/>
    <w:rsid w:val="00F44796"/>
    <w:rsid w:val="00F4523D"/>
    <w:rsid w:val="00F47D67"/>
    <w:rsid w:val="00F50090"/>
    <w:rsid w:val="00F50AA7"/>
    <w:rsid w:val="00F50C10"/>
    <w:rsid w:val="00F50E85"/>
    <w:rsid w:val="00F511F0"/>
    <w:rsid w:val="00F51280"/>
    <w:rsid w:val="00F52540"/>
    <w:rsid w:val="00F525C2"/>
    <w:rsid w:val="00F52895"/>
    <w:rsid w:val="00F52A43"/>
    <w:rsid w:val="00F52C7E"/>
    <w:rsid w:val="00F52D67"/>
    <w:rsid w:val="00F53844"/>
    <w:rsid w:val="00F53DEF"/>
    <w:rsid w:val="00F53E27"/>
    <w:rsid w:val="00F550BF"/>
    <w:rsid w:val="00F5537D"/>
    <w:rsid w:val="00F55579"/>
    <w:rsid w:val="00F555CE"/>
    <w:rsid w:val="00F55602"/>
    <w:rsid w:val="00F55841"/>
    <w:rsid w:val="00F55C05"/>
    <w:rsid w:val="00F55C9D"/>
    <w:rsid w:val="00F55CA9"/>
    <w:rsid w:val="00F56071"/>
    <w:rsid w:val="00F5649B"/>
    <w:rsid w:val="00F5721E"/>
    <w:rsid w:val="00F5729E"/>
    <w:rsid w:val="00F5739E"/>
    <w:rsid w:val="00F60119"/>
    <w:rsid w:val="00F613FB"/>
    <w:rsid w:val="00F61791"/>
    <w:rsid w:val="00F622E2"/>
    <w:rsid w:val="00F623DF"/>
    <w:rsid w:val="00F62D19"/>
    <w:rsid w:val="00F6311D"/>
    <w:rsid w:val="00F63B9D"/>
    <w:rsid w:val="00F64418"/>
    <w:rsid w:val="00F64FAE"/>
    <w:rsid w:val="00F65630"/>
    <w:rsid w:val="00F659BA"/>
    <w:rsid w:val="00F65F60"/>
    <w:rsid w:val="00F66B30"/>
    <w:rsid w:val="00F66EEE"/>
    <w:rsid w:val="00F67F35"/>
    <w:rsid w:val="00F7068C"/>
    <w:rsid w:val="00F7077A"/>
    <w:rsid w:val="00F708B1"/>
    <w:rsid w:val="00F71546"/>
    <w:rsid w:val="00F71758"/>
    <w:rsid w:val="00F72200"/>
    <w:rsid w:val="00F726F8"/>
    <w:rsid w:val="00F73313"/>
    <w:rsid w:val="00F737BF"/>
    <w:rsid w:val="00F73E55"/>
    <w:rsid w:val="00F74FFB"/>
    <w:rsid w:val="00F755DA"/>
    <w:rsid w:val="00F75651"/>
    <w:rsid w:val="00F7601A"/>
    <w:rsid w:val="00F7694D"/>
    <w:rsid w:val="00F76C31"/>
    <w:rsid w:val="00F779DD"/>
    <w:rsid w:val="00F80010"/>
    <w:rsid w:val="00F805B1"/>
    <w:rsid w:val="00F805EB"/>
    <w:rsid w:val="00F80706"/>
    <w:rsid w:val="00F80785"/>
    <w:rsid w:val="00F80A25"/>
    <w:rsid w:val="00F810A1"/>
    <w:rsid w:val="00F814EE"/>
    <w:rsid w:val="00F8156C"/>
    <w:rsid w:val="00F829ED"/>
    <w:rsid w:val="00F82C2E"/>
    <w:rsid w:val="00F82F95"/>
    <w:rsid w:val="00F834F2"/>
    <w:rsid w:val="00F84205"/>
    <w:rsid w:val="00F8459D"/>
    <w:rsid w:val="00F8487F"/>
    <w:rsid w:val="00F84B60"/>
    <w:rsid w:val="00F850B2"/>
    <w:rsid w:val="00F85A9D"/>
    <w:rsid w:val="00F8647D"/>
    <w:rsid w:val="00F86A83"/>
    <w:rsid w:val="00F86AFF"/>
    <w:rsid w:val="00F90633"/>
    <w:rsid w:val="00F9096D"/>
    <w:rsid w:val="00F9099C"/>
    <w:rsid w:val="00F91647"/>
    <w:rsid w:val="00F917C5"/>
    <w:rsid w:val="00F919B8"/>
    <w:rsid w:val="00F91C7B"/>
    <w:rsid w:val="00F9223A"/>
    <w:rsid w:val="00F92C70"/>
    <w:rsid w:val="00F92D4F"/>
    <w:rsid w:val="00F93027"/>
    <w:rsid w:val="00F93077"/>
    <w:rsid w:val="00F930B0"/>
    <w:rsid w:val="00F94294"/>
    <w:rsid w:val="00F9451F"/>
    <w:rsid w:val="00F94761"/>
    <w:rsid w:val="00F94B6C"/>
    <w:rsid w:val="00F95722"/>
    <w:rsid w:val="00F95A92"/>
    <w:rsid w:val="00F96208"/>
    <w:rsid w:val="00F9654A"/>
    <w:rsid w:val="00F97813"/>
    <w:rsid w:val="00F979DB"/>
    <w:rsid w:val="00F979F9"/>
    <w:rsid w:val="00F97F29"/>
    <w:rsid w:val="00FA07D3"/>
    <w:rsid w:val="00FA0BD6"/>
    <w:rsid w:val="00FA0DED"/>
    <w:rsid w:val="00FA1D7E"/>
    <w:rsid w:val="00FA1E4A"/>
    <w:rsid w:val="00FA2193"/>
    <w:rsid w:val="00FA24F7"/>
    <w:rsid w:val="00FA26DE"/>
    <w:rsid w:val="00FA2770"/>
    <w:rsid w:val="00FA2993"/>
    <w:rsid w:val="00FA310C"/>
    <w:rsid w:val="00FA3BCE"/>
    <w:rsid w:val="00FA3DA8"/>
    <w:rsid w:val="00FA4180"/>
    <w:rsid w:val="00FA4CE4"/>
    <w:rsid w:val="00FA4F12"/>
    <w:rsid w:val="00FA5D6D"/>
    <w:rsid w:val="00FA62B0"/>
    <w:rsid w:val="00FA644F"/>
    <w:rsid w:val="00FA6806"/>
    <w:rsid w:val="00FA6C37"/>
    <w:rsid w:val="00FA71C9"/>
    <w:rsid w:val="00FA73BC"/>
    <w:rsid w:val="00FA76A9"/>
    <w:rsid w:val="00FA7718"/>
    <w:rsid w:val="00FA7A9E"/>
    <w:rsid w:val="00FB0687"/>
    <w:rsid w:val="00FB0722"/>
    <w:rsid w:val="00FB07FA"/>
    <w:rsid w:val="00FB0849"/>
    <w:rsid w:val="00FB15E4"/>
    <w:rsid w:val="00FB2BEC"/>
    <w:rsid w:val="00FB385B"/>
    <w:rsid w:val="00FB4102"/>
    <w:rsid w:val="00FB434F"/>
    <w:rsid w:val="00FB4C38"/>
    <w:rsid w:val="00FB58BA"/>
    <w:rsid w:val="00FB5A2F"/>
    <w:rsid w:val="00FB5BAE"/>
    <w:rsid w:val="00FB5F96"/>
    <w:rsid w:val="00FB65AC"/>
    <w:rsid w:val="00FB6D6F"/>
    <w:rsid w:val="00FB78F1"/>
    <w:rsid w:val="00FB7AD3"/>
    <w:rsid w:val="00FB7B78"/>
    <w:rsid w:val="00FC0025"/>
    <w:rsid w:val="00FC04DD"/>
    <w:rsid w:val="00FC0F44"/>
    <w:rsid w:val="00FC1306"/>
    <w:rsid w:val="00FC14C8"/>
    <w:rsid w:val="00FC196D"/>
    <w:rsid w:val="00FC3DEB"/>
    <w:rsid w:val="00FC409F"/>
    <w:rsid w:val="00FC45C9"/>
    <w:rsid w:val="00FC4BD9"/>
    <w:rsid w:val="00FC4D9A"/>
    <w:rsid w:val="00FC50D2"/>
    <w:rsid w:val="00FC51E6"/>
    <w:rsid w:val="00FC5243"/>
    <w:rsid w:val="00FC620D"/>
    <w:rsid w:val="00FC695B"/>
    <w:rsid w:val="00FC6E15"/>
    <w:rsid w:val="00FC71E8"/>
    <w:rsid w:val="00FC7493"/>
    <w:rsid w:val="00FC7785"/>
    <w:rsid w:val="00FC7A0F"/>
    <w:rsid w:val="00FC7C68"/>
    <w:rsid w:val="00FD0540"/>
    <w:rsid w:val="00FD1A0E"/>
    <w:rsid w:val="00FD1C3A"/>
    <w:rsid w:val="00FD2521"/>
    <w:rsid w:val="00FD2638"/>
    <w:rsid w:val="00FD2A9D"/>
    <w:rsid w:val="00FD2B91"/>
    <w:rsid w:val="00FD31EC"/>
    <w:rsid w:val="00FD3884"/>
    <w:rsid w:val="00FD3EE1"/>
    <w:rsid w:val="00FD4641"/>
    <w:rsid w:val="00FD4A1C"/>
    <w:rsid w:val="00FD4FB3"/>
    <w:rsid w:val="00FD5776"/>
    <w:rsid w:val="00FD5BAE"/>
    <w:rsid w:val="00FD5BB3"/>
    <w:rsid w:val="00FD62B1"/>
    <w:rsid w:val="00FD78FA"/>
    <w:rsid w:val="00FD799E"/>
    <w:rsid w:val="00FE03E6"/>
    <w:rsid w:val="00FE0554"/>
    <w:rsid w:val="00FE061B"/>
    <w:rsid w:val="00FE088A"/>
    <w:rsid w:val="00FE0A82"/>
    <w:rsid w:val="00FE0C89"/>
    <w:rsid w:val="00FE0CD8"/>
    <w:rsid w:val="00FE2807"/>
    <w:rsid w:val="00FE299E"/>
    <w:rsid w:val="00FE2D5E"/>
    <w:rsid w:val="00FE300E"/>
    <w:rsid w:val="00FE303B"/>
    <w:rsid w:val="00FE3446"/>
    <w:rsid w:val="00FE361E"/>
    <w:rsid w:val="00FE3DDA"/>
    <w:rsid w:val="00FE4072"/>
    <w:rsid w:val="00FE4AD9"/>
    <w:rsid w:val="00FE4DEE"/>
    <w:rsid w:val="00FE6196"/>
    <w:rsid w:val="00FE7413"/>
    <w:rsid w:val="00FF04CF"/>
    <w:rsid w:val="00FF0555"/>
    <w:rsid w:val="00FF0EB4"/>
    <w:rsid w:val="00FF1226"/>
    <w:rsid w:val="00FF1289"/>
    <w:rsid w:val="00FF15CA"/>
    <w:rsid w:val="00FF1EFE"/>
    <w:rsid w:val="00FF23DE"/>
    <w:rsid w:val="00FF25BB"/>
    <w:rsid w:val="00FF2660"/>
    <w:rsid w:val="00FF2F80"/>
    <w:rsid w:val="00FF3422"/>
    <w:rsid w:val="00FF3E78"/>
    <w:rsid w:val="00FF4A64"/>
    <w:rsid w:val="00FF4CF7"/>
    <w:rsid w:val="00FF4F7F"/>
    <w:rsid w:val="00FF5136"/>
    <w:rsid w:val="00FF5387"/>
    <w:rsid w:val="00FF5785"/>
    <w:rsid w:val="00FF5F8C"/>
    <w:rsid w:val="00FF66C1"/>
    <w:rsid w:val="00FF6750"/>
    <w:rsid w:val="00FF69FA"/>
    <w:rsid w:val="00FF6B2C"/>
    <w:rsid w:val="00FF6B76"/>
    <w:rsid w:val="00FF6EC3"/>
    <w:rsid w:val="00FF6F40"/>
    <w:rsid w:val="00FF7674"/>
    <w:rsid w:val="00FF78EF"/>
    <w:rsid w:val="00FF7C36"/>
    <w:rsid w:val="00FF7E49"/>
    <w:rsid w:val="00FF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B13970"/>
  <w15:docId w15:val="{5EC23938-937C-4696-B7C4-115644BA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4E87"/>
    <w:pPr>
      <w:widowControl w:val="0"/>
    </w:pPr>
  </w:style>
  <w:style w:type="paragraph" w:styleId="Heading1">
    <w:name w:val="heading 1"/>
    <w:basedOn w:val="Normal"/>
    <w:next w:val="Normal"/>
    <w:link w:val="Heading1Char"/>
    <w:qFormat/>
    <w:rsid w:val="0009690C"/>
    <w:pPr>
      <w:widowControl/>
      <w:numPr>
        <w:numId w:val="1"/>
      </w:numPr>
      <w:spacing w:line="360" w:lineRule="auto"/>
      <w:ind w:left="0" w:firstLine="0"/>
      <w:jc w:val="center"/>
      <w:outlineLvl w:val="0"/>
    </w:pPr>
    <w:rPr>
      <w:b/>
      <w:sz w:val="26"/>
      <w:szCs w:val="26"/>
    </w:rPr>
  </w:style>
  <w:style w:type="paragraph" w:styleId="Heading2">
    <w:name w:val="heading 2"/>
    <w:basedOn w:val="Normal"/>
    <w:next w:val="Normal"/>
    <w:link w:val="Heading2Char"/>
    <w:unhideWhenUsed/>
    <w:qFormat/>
    <w:rsid w:val="00BF2A42"/>
    <w:pPr>
      <w:keepNext/>
      <w:keepLines/>
      <w:numPr>
        <w:numId w:val="2"/>
      </w:numPr>
      <w:spacing w:line="360" w:lineRule="auto"/>
      <w:outlineLvl w:val="1"/>
    </w:pPr>
    <w:rPr>
      <w:rFonts w:eastAsiaTheme="majorEastAsia"/>
      <w:b/>
      <w:bCs/>
      <w:sz w:val="26"/>
      <w:szCs w:val="26"/>
    </w:rPr>
  </w:style>
  <w:style w:type="paragraph" w:styleId="Heading3">
    <w:name w:val="heading 3"/>
    <w:basedOn w:val="ListParagraph"/>
    <w:next w:val="Normal"/>
    <w:link w:val="Heading3Char"/>
    <w:unhideWhenUsed/>
    <w:qFormat/>
    <w:rsid w:val="002E7C16"/>
    <w:pPr>
      <w:widowControl/>
      <w:numPr>
        <w:numId w:val="4"/>
      </w:numPr>
      <w:spacing w:line="360" w:lineRule="auto"/>
      <w:ind w:left="1440" w:hanging="720"/>
      <w:outlineLvl w:val="2"/>
    </w:pPr>
    <w:rPr>
      <w:b/>
      <w:bCs/>
      <w:sz w:val="26"/>
      <w:szCs w:val="26"/>
    </w:rPr>
  </w:style>
  <w:style w:type="paragraph" w:styleId="Heading4">
    <w:name w:val="heading 4"/>
    <w:basedOn w:val="Normal"/>
    <w:next w:val="Normal"/>
    <w:link w:val="Heading4Char"/>
    <w:unhideWhenUsed/>
    <w:qFormat/>
    <w:rsid w:val="00BF2A42"/>
    <w:pPr>
      <w:keepNext/>
      <w:keepLines/>
      <w:numPr>
        <w:numId w:val="3"/>
      </w:numPr>
      <w:spacing w:line="360" w:lineRule="auto"/>
      <w:ind w:left="2160" w:hanging="720"/>
      <w:outlineLvl w:val="3"/>
    </w:pPr>
    <w:rPr>
      <w:rFonts w:eastAsiaTheme="majorEastAsia"/>
      <w:b/>
      <w:bCs/>
      <w:color w:val="000000" w:themeColor="text1"/>
      <w:sz w:val="26"/>
      <w:szCs w:val="26"/>
    </w:rPr>
  </w:style>
  <w:style w:type="paragraph" w:styleId="Heading5">
    <w:name w:val="heading 5"/>
    <w:basedOn w:val="Normal"/>
    <w:next w:val="Normal"/>
    <w:qFormat/>
    <w:rsid w:val="00DE0F58"/>
    <w:pPr>
      <w:keepNext/>
      <w:widowControl/>
      <w:spacing w:line="360" w:lineRule="auto"/>
      <w:ind w:left="2880" w:hanging="720"/>
      <w:outlineLvl w:val="4"/>
    </w:pPr>
    <w:rPr>
      <w:b/>
      <w:bCs/>
      <w:noProof/>
      <w:sz w:val="26"/>
      <w:szCs w:val="26"/>
    </w:rPr>
  </w:style>
  <w:style w:type="paragraph" w:styleId="Heading6">
    <w:name w:val="heading 6"/>
    <w:basedOn w:val="Normal"/>
    <w:next w:val="Normal"/>
    <w:qFormat/>
    <w:rsid w:val="000F131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2690"/>
    <w:pPr>
      <w:widowControl/>
      <w:jc w:val="center"/>
    </w:pPr>
    <w:rPr>
      <w:b/>
      <w:sz w:val="26"/>
    </w:rPr>
  </w:style>
  <w:style w:type="paragraph" w:styleId="Header">
    <w:name w:val="header"/>
    <w:basedOn w:val="Normal"/>
    <w:rsid w:val="00DE1E03"/>
    <w:pPr>
      <w:tabs>
        <w:tab w:val="center" w:pos="4320"/>
        <w:tab w:val="right" w:pos="8640"/>
      </w:tabs>
    </w:pPr>
  </w:style>
  <w:style w:type="paragraph" w:styleId="Footer">
    <w:name w:val="footer"/>
    <w:basedOn w:val="Normal"/>
    <w:rsid w:val="00DE1E03"/>
    <w:pPr>
      <w:tabs>
        <w:tab w:val="center" w:pos="4320"/>
        <w:tab w:val="right" w:pos="8640"/>
      </w:tabs>
    </w:pPr>
  </w:style>
  <w:style w:type="paragraph" w:customStyle="1" w:styleId="TxBrp8">
    <w:name w:val="TxBr_p8"/>
    <w:basedOn w:val="Normal"/>
    <w:rsid w:val="00DE1E03"/>
    <w:pPr>
      <w:tabs>
        <w:tab w:val="left" w:pos="1468"/>
      </w:tabs>
      <w:autoSpaceDE w:val="0"/>
      <w:autoSpaceDN w:val="0"/>
      <w:adjustRightInd w:val="0"/>
      <w:spacing w:line="464" w:lineRule="atLeast"/>
      <w:ind w:firstLine="1468"/>
    </w:pPr>
    <w:rPr>
      <w:sz w:val="24"/>
      <w:szCs w:val="24"/>
    </w:rPr>
  </w:style>
  <w:style w:type="character" w:styleId="PageNumber">
    <w:name w:val="page number"/>
    <w:basedOn w:val="DefaultParagraphFont"/>
    <w:rsid w:val="00610A49"/>
  </w:style>
  <w:style w:type="paragraph" w:styleId="BalloonText">
    <w:name w:val="Balloon Text"/>
    <w:basedOn w:val="Normal"/>
    <w:semiHidden/>
    <w:rsid w:val="0045730E"/>
    <w:rPr>
      <w:rFonts w:ascii="Tahoma" w:hAnsi="Tahoma" w:cs="Tahoma"/>
      <w:sz w:val="16"/>
      <w:szCs w:val="16"/>
    </w:rPr>
  </w:style>
  <w:style w:type="paragraph" w:styleId="FootnoteText">
    <w:name w:val="footnote text"/>
    <w:aliases w:val="Footnote Text Char2,Footnote Text Char Char,Footnote Text Char1 Char Char,Footnote Text Char Char Char Char,Footnote Text Char1 Char1,Footnote Text Char Char1 Char,Car,fn,ALTS FOOTNOTE,Footnote Text 2,Footnote text,FOOTNOTE,fn Char Char,ft"/>
    <w:basedOn w:val="Normal"/>
    <w:link w:val="FootnoteTextChar"/>
    <w:uiPriority w:val="99"/>
    <w:qFormat/>
    <w:rsid w:val="00022D45"/>
    <w:pPr>
      <w:widowControl/>
    </w:pPr>
  </w:style>
  <w:style w:type="character" w:styleId="FootnoteReference">
    <w:name w:val="footnote reference"/>
    <w:aliases w:val="o,fr,Style 42,(NECG) Footnote Reference,Footnote Reference (EIS),Styl,Style 11,Style 13,Style 15,Style 17,Style 18,Style 19,Style 20,Style 21,Style 24,Style 28,Style 4,Style 5,Style 7,Style 8,fr1,fr2,fr3,o1,o2,o3,Style 6,Style 3,FR,."/>
    <w:uiPriority w:val="99"/>
    <w:qFormat/>
    <w:rsid w:val="00022D45"/>
    <w:rPr>
      <w:vertAlign w:val="superscript"/>
    </w:rPr>
  </w:style>
  <w:style w:type="character" w:styleId="Hyperlink">
    <w:name w:val="Hyperlink"/>
    <w:uiPriority w:val="99"/>
    <w:rsid w:val="00B23540"/>
    <w:rPr>
      <w:color w:val="0000FF"/>
      <w:u w:val="single"/>
    </w:rPr>
  </w:style>
  <w:style w:type="character" w:customStyle="1" w:styleId="term1">
    <w:name w:val="term1"/>
    <w:rsid w:val="00B23540"/>
    <w:rPr>
      <w:b/>
      <w:bCs/>
    </w:rPr>
  </w:style>
  <w:style w:type="table" w:styleId="TableGrid">
    <w:name w:val="Table Grid"/>
    <w:basedOn w:val="TableNormal"/>
    <w:uiPriority w:val="59"/>
    <w:rsid w:val="0047772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Normal"/>
    <w:rsid w:val="00E55021"/>
    <w:pPr>
      <w:tabs>
        <w:tab w:val="left" w:pos="759"/>
        <w:tab w:val="left" w:pos="1502"/>
      </w:tabs>
      <w:autoSpaceDE w:val="0"/>
      <w:autoSpaceDN w:val="0"/>
      <w:adjustRightInd w:val="0"/>
      <w:ind w:firstLine="759"/>
    </w:pPr>
    <w:rPr>
      <w:sz w:val="24"/>
      <w:szCs w:val="24"/>
    </w:rPr>
  </w:style>
  <w:style w:type="paragraph" w:customStyle="1" w:styleId="p5">
    <w:name w:val="p5"/>
    <w:basedOn w:val="Normal"/>
    <w:rsid w:val="009245CB"/>
    <w:pPr>
      <w:tabs>
        <w:tab w:val="left" w:pos="5011"/>
        <w:tab w:val="left" w:pos="5306"/>
        <w:tab w:val="left" w:pos="5657"/>
      </w:tabs>
      <w:autoSpaceDE w:val="0"/>
      <w:autoSpaceDN w:val="0"/>
      <w:adjustRightInd w:val="0"/>
      <w:ind w:left="5011" w:firstLine="295"/>
      <w:jc w:val="both"/>
    </w:pPr>
    <w:rPr>
      <w:sz w:val="24"/>
      <w:szCs w:val="24"/>
    </w:rPr>
  </w:style>
  <w:style w:type="paragraph" w:styleId="PlainText">
    <w:name w:val="Plain Text"/>
    <w:basedOn w:val="Normal"/>
    <w:link w:val="PlainTextChar"/>
    <w:uiPriority w:val="99"/>
    <w:unhideWhenUsed/>
    <w:rsid w:val="00002CE4"/>
    <w:pPr>
      <w:widowControl/>
    </w:pPr>
    <w:rPr>
      <w:rFonts w:ascii="Consolas" w:eastAsia="Calibri" w:hAnsi="Consolas"/>
      <w:sz w:val="21"/>
      <w:szCs w:val="21"/>
    </w:rPr>
  </w:style>
  <w:style w:type="character" w:customStyle="1" w:styleId="PlainTextChar">
    <w:name w:val="Plain Text Char"/>
    <w:link w:val="PlainText"/>
    <w:uiPriority w:val="99"/>
    <w:rsid w:val="00002CE4"/>
    <w:rPr>
      <w:rFonts w:ascii="Consolas" w:eastAsia="Calibri" w:hAnsi="Consolas" w:cs="Times New Roman"/>
      <w:sz w:val="21"/>
      <w:szCs w:val="21"/>
    </w:rPr>
  </w:style>
  <w:style w:type="character" w:customStyle="1" w:styleId="Heading1Char">
    <w:name w:val="Heading 1 Char"/>
    <w:basedOn w:val="DefaultParagraphFont"/>
    <w:link w:val="Heading1"/>
    <w:rsid w:val="0009690C"/>
    <w:rPr>
      <w:b/>
      <w:sz w:val="26"/>
      <w:szCs w:val="26"/>
    </w:rPr>
  </w:style>
  <w:style w:type="character" w:customStyle="1" w:styleId="Heading2Char">
    <w:name w:val="Heading 2 Char"/>
    <w:basedOn w:val="DefaultParagraphFont"/>
    <w:link w:val="Heading2"/>
    <w:rsid w:val="00BF2A42"/>
    <w:rPr>
      <w:rFonts w:eastAsiaTheme="majorEastAsia"/>
      <w:b/>
      <w:bCs/>
      <w:sz w:val="26"/>
      <w:szCs w:val="26"/>
    </w:rPr>
  </w:style>
  <w:style w:type="paragraph" w:styleId="BlockText">
    <w:name w:val="Block Text"/>
    <w:basedOn w:val="Normal"/>
    <w:rsid w:val="008360ED"/>
    <w:pPr>
      <w:tabs>
        <w:tab w:val="left" w:pos="-720"/>
      </w:tabs>
      <w:spacing w:line="360" w:lineRule="auto"/>
      <w:ind w:left="1440" w:right="2160"/>
    </w:pPr>
    <w:rPr>
      <w:sz w:val="26"/>
    </w:rPr>
  </w:style>
  <w:style w:type="paragraph" w:styleId="ListParagraph">
    <w:name w:val="List Paragraph"/>
    <w:basedOn w:val="Normal"/>
    <w:uiPriority w:val="34"/>
    <w:qFormat/>
    <w:rsid w:val="00130A7A"/>
    <w:pPr>
      <w:ind w:left="720"/>
      <w:contextualSpacing/>
    </w:pPr>
  </w:style>
  <w:style w:type="character" w:customStyle="1" w:styleId="Heading3Char">
    <w:name w:val="Heading 3 Char"/>
    <w:basedOn w:val="DefaultParagraphFont"/>
    <w:link w:val="Heading3"/>
    <w:rsid w:val="002E7C16"/>
    <w:rPr>
      <w:b/>
      <w:bCs/>
      <w:sz w:val="26"/>
      <w:szCs w:val="26"/>
    </w:rPr>
  </w:style>
  <w:style w:type="character" w:customStyle="1" w:styleId="Heading4Char">
    <w:name w:val="Heading 4 Char"/>
    <w:basedOn w:val="DefaultParagraphFont"/>
    <w:link w:val="Heading4"/>
    <w:rsid w:val="00BF2A42"/>
    <w:rPr>
      <w:rFonts w:eastAsiaTheme="majorEastAsia"/>
      <w:b/>
      <w:bCs/>
      <w:color w:val="000000" w:themeColor="text1"/>
      <w:sz w:val="26"/>
      <w:szCs w:val="26"/>
    </w:rPr>
  </w:style>
  <w:style w:type="character" w:customStyle="1" w:styleId="FootnoteTextChar">
    <w:name w:val="Footnote Text Char"/>
    <w:aliases w:val="Footnote Text Char2 Char,Footnote Text Char Char Char,Footnote Text Char1 Char Char Char,Footnote Text Char Char Char Char Char,Footnote Text Char1 Char1 Char,Footnote Text Char Char1 Char Char,Car Char,fn Char,ALTS FOOTNOTE Char"/>
    <w:basedOn w:val="DefaultParagraphFont"/>
    <w:link w:val="FootnoteText"/>
    <w:uiPriority w:val="99"/>
    <w:qFormat/>
    <w:rsid w:val="0004698C"/>
  </w:style>
  <w:style w:type="paragraph" w:styleId="TOC1">
    <w:name w:val="toc 1"/>
    <w:basedOn w:val="Normal"/>
    <w:next w:val="Normal"/>
    <w:autoRedefine/>
    <w:uiPriority w:val="39"/>
    <w:unhideWhenUsed/>
    <w:rsid w:val="0082628D"/>
    <w:pPr>
      <w:tabs>
        <w:tab w:val="left" w:pos="720"/>
        <w:tab w:val="right" w:leader="dot" w:pos="9350"/>
      </w:tabs>
      <w:spacing w:after="100"/>
    </w:pPr>
    <w:rPr>
      <w:sz w:val="26"/>
    </w:rPr>
  </w:style>
  <w:style w:type="paragraph" w:styleId="TOC2">
    <w:name w:val="toc 2"/>
    <w:basedOn w:val="Normal"/>
    <w:next w:val="Normal"/>
    <w:autoRedefine/>
    <w:uiPriority w:val="39"/>
    <w:unhideWhenUsed/>
    <w:rsid w:val="004F1DF7"/>
    <w:pPr>
      <w:tabs>
        <w:tab w:val="left" w:pos="1440"/>
        <w:tab w:val="right" w:leader="dot" w:pos="9350"/>
      </w:tabs>
      <w:spacing w:after="100"/>
      <w:ind w:left="720"/>
    </w:pPr>
    <w:rPr>
      <w:sz w:val="26"/>
    </w:rPr>
  </w:style>
  <w:style w:type="paragraph" w:styleId="TOC3">
    <w:name w:val="toc 3"/>
    <w:basedOn w:val="Normal"/>
    <w:next w:val="Normal"/>
    <w:autoRedefine/>
    <w:uiPriority w:val="39"/>
    <w:unhideWhenUsed/>
    <w:rsid w:val="0082628D"/>
    <w:pPr>
      <w:tabs>
        <w:tab w:val="left" w:pos="2160"/>
        <w:tab w:val="right" w:leader="dot" w:pos="9350"/>
      </w:tabs>
      <w:spacing w:after="100"/>
      <w:ind w:left="2160" w:hanging="720"/>
    </w:pPr>
    <w:rPr>
      <w:sz w:val="26"/>
    </w:rPr>
  </w:style>
  <w:style w:type="paragraph" w:styleId="TOC4">
    <w:name w:val="toc 4"/>
    <w:basedOn w:val="Normal"/>
    <w:next w:val="Normal"/>
    <w:autoRedefine/>
    <w:uiPriority w:val="39"/>
    <w:unhideWhenUsed/>
    <w:rsid w:val="005A74D5"/>
    <w:pPr>
      <w:tabs>
        <w:tab w:val="left" w:pos="1100"/>
        <w:tab w:val="right" w:leader="dot" w:pos="9350"/>
      </w:tabs>
      <w:spacing w:after="100"/>
      <w:ind w:left="1100"/>
    </w:pPr>
    <w:rPr>
      <w:sz w:val="24"/>
    </w:rPr>
  </w:style>
  <w:style w:type="character" w:styleId="CommentReference">
    <w:name w:val="annotation reference"/>
    <w:basedOn w:val="DefaultParagraphFont"/>
    <w:semiHidden/>
    <w:unhideWhenUsed/>
    <w:rsid w:val="00313907"/>
    <w:rPr>
      <w:sz w:val="16"/>
      <w:szCs w:val="16"/>
    </w:rPr>
  </w:style>
  <w:style w:type="paragraph" w:styleId="CommentText">
    <w:name w:val="annotation text"/>
    <w:basedOn w:val="Normal"/>
    <w:link w:val="CommentTextChar"/>
    <w:semiHidden/>
    <w:unhideWhenUsed/>
    <w:rsid w:val="00313907"/>
  </w:style>
  <w:style w:type="character" w:customStyle="1" w:styleId="CommentTextChar">
    <w:name w:val="Comment Text Char"/>
    <w:basedOn w:val="DefaultParagraphFont"/>
    <w:link w:val="CommentText"/>
    <w:semiHidden/>
    <w:rsid w:val="00313907"/>
  </w:style>
  <w:style w:type="paragraph" w:styleId="CommentSubject">
    <w:name w:val="annotation subject"/>
    <w:basedOn w:val="CommentText"/>
    <w:next w:val="CommentText"/>
    <w:link w:val="CommentSubjectChar"/>
    <w:semiHidden/>
    <w:unhideWhenUsed/>
    <w:rsid w:val="00313907"/>
    <w:rPr>
      <w:b/>
      <w:bCs/>
    </w:rPr>
  </w:style>
  <w:style w:type="character" w:customStyle="1" w:styleId="CommentSubjectChar">
    <w:name w:val="Comment Subject Char"/>
    <w:basedOn w:val="CommentTextChar"/>
    <w:link w:val="CommentSubject"/>
    <w:semiHidden/>
    <w:rsid w:val="00313907"/>
    <w:rPr>
      <w:b/>
      <w:bCs/>
    </w:rPr>
  </w:style>
  <w:style w:type="character" w:styleId="UnresolvedMention">
    <w:name w:val="Unresolved Mention"/>
    <w:basedOn w:val="DefaultParagraphFont"/>
    <w:uiPriority w:val="99"/>
    <w:semiHidden/>
    <w:unhideWhenUsed/>
    <w:rsid w:val="00446EA6"/>
    <w:rPr>
      <w:color w:val="605E5C"/>
      <w:shd w:val="clear" w:color="auto" w:fill="E1DFDD"/>
    </w:rPr>
  </w:style>
  <w:style w:type="table" w:customStyle="1" w:styleId="TableGrid1">
    <w:name w:val="Table Grid1"/>
    <w:basedOn w:val="TableNormal"/>
    <w:next w:val="TableGrid"/>
    <w:rsid w:val="000E4F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014828"/>
    <w:pPr>
      <w:widowControl/>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14828"/>
    <w:pPr>
      <w:widowControl/>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14828"/>
    <w:pPr>
      <w:widowControl/>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14828"/>
    <w:pPr>
      <w:widowControl/>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14828"/>
    <w:pPr>
      <w:widowControl/>
      <w:spacing w:after="100" w:line="259" w:lineRule="auto"/>
      <w:ind w:left="1760"/>
    </w:pPr>
    <w:rPr>
      <w:rFonts w:asciiTheme="minorHAnsi" w:eastAsiaTheme="minorEastAsia" w:hAnsiTheme="minorHAnsi" w:cstheme="minorBidi"/>
      <w:sz w:val="22"/>
      <w:szCs w:val="22"/>
    </w:rPr>
  </w:style>
  <w:style w:type="paragraph" w:styleId="ListBullet">
    <w:name w:val="List Bullet"/>
    <w:basedOn w:val="Normal"/>
    <w:rsid w:val="00FF2660"/>
    <w:pPr>
      <w:numPr>
        <w:numId w:val="10"/>
      </w:numPr>
      <w:contextualSpacing/>
    </w:pPr>
  </w:style>
  <w:style w:type="character" w:styleId="FollowedHyperlink">
    <w:name w:val="FollowedHyperlink"/>
    <w:basedOn w:val="DefaultParagraphFont"/>
    <w:semiHidden/>
    <w:unhideWhenUsed/>
    <w:rsid w:val="00162B6C"/>
    <w:rPr>
      <w:color w:val="800080" w:themeColor="followedHyperlink"/>
      <w:u w:val="single"/>
    </w:rPr>
  </w:style>
  <w:style w:type="paragraph" w:customStyle="1" w:styleId="Default">
    <w:name w:val="Default"/>
    <w:rsid w:val="003D07A5"/>
    <w:pPr>
      <w:autoSpaceDE w:val="0"/>
      <w:autoSpaceDN w:val="0"/>
      <w:adjustRightInd w:val="0"/>
    </w:pPr>
    <w:rPr>
      <w:rFonts w:eastAsiaTheme="minorHAnsi"/>
      <w:color w:val="000000"/>
      <w:sz w:val="24"/>
      <w:szCs w:val="24"/>
    </w:rPr>
  </w:style>
  <w:style w:type="paragraph" w:styleId="Revision">
    <w:name w:val="Revision"/>
    <w:hidden/>
    <w:uiPriority w:val="99"/>
    <w:semiHidden/>
    <w:rsid w:val="00CD3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217762">
      <w:bodyDiv w:val="1"/>
      <w:marLeft w:val="0"/>
      <w:marRight w:val="0"/>
      <w:marTop w:val="0"/>
      <w:marBottom w:val="0"/>
      <w:divBdr>
        <w:top w:val="none" w:sz="0" w:space="0" w:color="auto"/>
        <w:left w:val="none" w:sz="0" w:space="0" w:color="auto"/>
        <w:bottom w:val="none" w:sz="0" w:space="0" w:color="auto"/>
        <w:right w:val="none" w:sz="0" w:space="0" w:color="auto"/>
      </w:divBdr>
    </w:div>
    <w:div w:id="1300763986">
      <w:bodyDiv w:val="1"/>
      <w:marLeft w:val="0"/>
      <w:marRight w:val="0"/>
      <w:marTop w:val="0"/>
      <w:marBottom w:val="0"/>
      <w:divBdr>
        <w:top w:val="none" w:sz="0" w:space="0" w:color="auto"/>
        <w:left w:val="none" w:sz="0" w:space="0" w:color="auto"/>
        <w:bottom w:val="none" w:sz="0" w:space="0" w:color="auto"/>
        <w:right w:val="none" w:sz="0" w:space="0" w:color="auto"/>
      </w:divBdr>
      <w:divsChild>
        <w:div w:id="1235824292">
          <w:marLeft w:val="0"/>
          <w:marRight w:val="0"/>
          <w:marTop w:val="0"/>
          <w:marBottom w:val="0"/>
          <w:divBdr>
            <w:top w:val="none" w:sz="0" w:space="0" w:color="auto"/>
            <w:left w:val="none" w:sz="0" w:space="0" w:color="auto"/>
            <w:bottom w:val="none" w:sz="0" w:space="0" w:color="auto"/>
            <w:right w:val="none" w:sz="0" w:space="0" w:color="auto"/>
          </w:divBdr>
        </w:div>
        <w:div w:id="1569725624">
          <w:marLeft w:val="0"/>
          <w:marRight w:val="0"/>
          <w:marTop w:val="0"/>
          <w:marBottom w:val="0"/>
          <w:divBdr>
            <w:top w:val="none" w:sz="0" w:space="0" w:color="auto"/>
            <w:left w:val="none" w:sz="0" w:space="0" w:color="auto"/>
            <w:bottom w:val="none" w:sz="0" w:space="0" w:color="auto"/>
            <w:right w:val="none" w:sz="0" w:space="0" w:color="auto"/>
          </w:divBdr>
        </w:div>
      </w:divsChild>
    </w:div>
    <w:div w:id="1624652987">
      <w:bodyDiv w:val="1"/>
      <w:marLeft w:val="0"/>
      <w:marRight w:val="0"/>
      <w:marTop w:val="0"/>
      <w:marBottom w:val="0"/>
      <w:divBdr>
        <w:top w:val="none" w:sz="0" w:space="0" w:color="auto"/>
        <w:left w:val="none" w:sz="0" w:space="0" w:color="auto"/>
        <w:bottom w:val="none" w:sz="0" w:space="0" w:color="auto"/>
        <w:right w:val="none" w:sz="0" w:space="0" w:color="auto"/>
      </w:divBdr>
      <w:divsChild>
        <w:div w:id="1947733305">
          <w:marLeft w:val="0"/>
          <w:marRight w:val="0"/>
          <w:marTop w:val="0"/>
          <w:marBottom w:val="0"/>
          <w:divBdr>
            <w:top w:val="none" w:sz="0" w:space="0" w:color="auto"/>
            <w:left w:val="none" w:sz="0" w:space="0" w:color="auto"/>
            <w:bottom w:val="none" w:sz="0" w:space="0" w:color="auto"/>
            <w:right w:val="none" w:sz="0" w:space="0" w:color="auto"/>
          </w:divBdr>
          <w:divsChild>
            <w:div w:id="232737690">
              <w:marLeft w:val="0"/>
              <w:marRight w:val="0"/>
              <w:marTop w:val="0"/>
              <w:marBottom w:val="0"/>
              <w:divBdr>
                <w:top w:val="none" w:sz="0" w:space="0" w:color="auto"/>
                <w:left w:val="none" w:sz="0" w:space="0" w:color="auto"/>
                <w:bottom w:val="none" w:sz="0" w:space="0" w:color="auto"/>
                <w:right w:val="none" w:sz="0" w:space="0" w:color="auto"/>
              </w:divBdr>
              <w:divsChild>
                <w:div w:id="505249107">
                  <w:marLeft w:val="0"/>
                  <w:marRight w:val="0"/>
                  <w:marTop w:val="0"/>
                  <w:marBottom w:val="0"/>
                  <w:divBdr>
                    <w:top w:val="none" w:sz="0" w:space="0" w:color="auto"/>
                    <w:left w:val="none" w:sz="0" w:space="0" w:color="auto"/>
                    <w:bottom w:val="none" w:sz="0" w:space="0" w:color="auto"/>
                    <w:right w:val="none" w:sz="0" w:space="0" w:color="auto"/>
                  </w:divBdr>
                  <w:divsChild>
                    <w:div w:id="14313187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349567">
      <w:bodyDiv w:val="1"/>
      <w:marLeft w:val="0"/>
      <w:marRight w:val="0"/>
      <w:marTop w:val="0"/>
      <w:marBottom w:val="0"/>
      <w:divBdr>
        <w:top w:val="none" w:sz="0" w:space="0" w:color="auto"/>
        <w:left w:val="none" w:sz="0" w:space="0" w:color="auto"/>
        <w:bottom w:val="none" w:sz="0" w:space="0" w:color="auto"/>
        <w:right w:val="none" w:sz="0" w:space="0" w:color="auto"/>
      </w:divBdr>
    </w:div>
    <w:div w:id="1891719811">
      <w:bodyDiv w:val="1"/>
      <w:marLeft w:val="0"/>
      <w:marRight w:val="0"/>
      <w:marTop w:val="0"/>
      <w:marBottom w:val="0"/>
      <w:divBdr>
        <w:top w:val="none" w:sz="0" w:space="0" w:color="auto"/>
        <w:left w:val="none" w:sz="0" w:space="0" w:color="auto"/>
        <w:bottom w:val="none" w:sz="0" w:space="0" w:color="auto"/>
        <w:right w:val="none" w:sz="0" w:space="0" w:color="auto"/>
      </w:divBdr>
    </w:div>
    <w:div w:id="1922832055">
      <w:bodyDiv w:val="1"/>
      <w:marLeft w:val="0"/>
      <w:marRight w:val="0"/>
      <w:marTop w:val="0"/>
      <w:marBottom w:val="0"/>
      <w:divBdr>
        <w:top w:val="none" w:sz="0" w:space="0" w:color="auto"/>
        <w:left w:val="none" w:sz="0" w:space="0" w:color="auto"/>
        <w:bottom w:val="none" w:sz="0" w:space="0" w:color="auto"/>
        <w:right w:val="none" w:sz="0" w:space="0" w:color="auto"/>
      </w:divBdr>
      <w:divsChild>
        <w:div w:id="1470591613">
          <w:marLeft w:val="0"/>
          <w:marRight w:val="0"/>
          <w:marTop w:val="0"/>
          <w:marBottom w:val="0"/>
          <w:divBdr>
            <w:top w:val="none" w:sz="0" w:space="0" w:color="auto"/>
            <w:left w:val="none" w:sz="0" w:space="0" w:color="auto"/>
            <w:bottom w:val="none" w:sz="0" w:space="0" w:color="auto"/>
            <w:right w:val="none" w:sz="0" w:space="0" w:color="auto"/>
          </w:divBdr>
        </w:div>
        <w:div w:id="1343049988">
          <w:marLeft w:val="0"/>
          <w:marRight w:val="0"/>
          <w:marTop w:val="0"/>
          <w:marBottom w:val="0"/>
          <w:divBdr>
            <w:top w:val="none" w:sz="0" w:space="0" w:color="auto"/>
            <w:left w:val="none" w:sz="0" w:space="0" w:color="auto"/>
            <w:bottom w:val="none" w:sz="0" w:space="0" w:color="auto"/>
            <w:right w:val="none" w:sz="0" w:space="0" w:color="auto"/>
          </w:divBdr>
        </w:div>
        <w:div w:id="713389462">
          <w:marLeft w:val="0"/>
          <w:marRight w:val="0"/>
          <w:marTop w:val="0"/>
          <w:marBottom w:val="0"/>
          <w:divBdr>
            <w:top w:val="none" w:sz="0" w:space="0" w:color="auto"/>
            <w:left w:val="none" w:sz="0" w:space="0" w:color="auto"/>
            <w:bottom w:val="none" w:sz="0" w:space="0" w:color="auto"/>
            <w:right w:val="none" w:sz="0" w:space="0" w:color="auto"/>
          </w:divBdr>
        </w:div>
        <w:div w:id="533425128">
          <w:marLeft w:val="0"/>
          <w:marRight w:val="0"/>
          <w:marTop w:val="0"/>
          <w:marBottom w:val="0"/>
          <w:divBdr>
            <w:top w:val="none" w:sz="0" w:space="0" w:color="auto"/>
            <w:left w:val="none" w:sz="0" w:space="0" w:color="auto"/>
            <w:bottom w:val="none" w:sz="0" w:space="0" w:color="auto"/>
            <w:right w:val="none" w:sz="0" w:space="0" w:color="auto"/>
          </w:divBdr>
        </w:div>
        <w:div w:id="1558198512">
          <w:marLeft w:val="0"/>
          <w:marRight w:val="0"/>
          <w:marTop w:val="0"/>
          <w:marBottom w:val="0"/>
          <w:divBdr>
            <w:top w:val="none" w:sz="0" w:space="0" w:color="auto"/>
            <w:left w:val="none" w:sz="0" w:space="0" w:color="auto"/>
            <w:bottom w:val="none" w:sz="0" w:space="0" w:color="auto"/>
            <w:right w:val="none" w:sz="0" w:space="0" w:color="auto"/>
          </w:divBdr>
        </w:div>
      </w:divsChild>
    </w:div>
    <w:div w:id="1946648402">
      <w:bodyDiv w:val="1"/>
      <w:marLeft w:val="0"/>
      <w:marRight w:val="0"/>
      <w:marTop w:val="0"/>
      <w:marBottom w:val="0"/>
      <w:divBdr>
        <w:top w:val="none" w:sz="0" w:space="0" w:color="auto"/>
        <w:left w:val="none" w:sz="0" w:space="0" w:color="auto"/>
        <w:bottom w:val="none" w:sz="0" w:space="0" w:color="auto"/>
        <w:right w:val="none" w:sz="0" w:space="0" w:color="auto"/>
      </w:divBdr>
      <w:divsChild>
        <w:div w:id="1189179786">
          <w:marLeft w:val="0"/>
          <w:marRight w:val="0"/>
          <w:marTop w:val="0"/>
          <w:marBottom w:val="0"/>
          <w:divBdr>
            <w:top w:val="none" w:sz="0" w:space="0" w:color="auto"/>
            <w:left w:val="none" w:sz="0" w:space="0" w:color="auto"/>
            <w:bottom w:val="none" w:sz="0" w:space="0" w:color="auto"/>
            <w:right w:val="none" w:sz="0" w:space="0" w:color="auto"/>
          </w:divBdr>
          <w:divsChild>
            <w:div w:id="201600629">
              <w:marLeft w:val="0"/>
              <w:marRight w:val="0"/>
              <w:marTop w:val="0"/>
              <w:marBottom w:val="0"/>
              <w:divBdr>
                <w:top w:val="none" w:sz="0" w:space="0" w:color="auto"/>
                <w:left w:val="none" w:sz="0" w:space="0" w:color="auto"/>
                <w:bottom w:val="none" w:sz="0" w:space="0" w:color="auto"/>
                <w:right w:val="none" w:sz="0" w:space="0" w:color="auto"/>
              </w:divBdr>
              <w:divsChild>
                <w:div w:id="1036852853">
                  <w:marLeft w:val="0"/>
                  <w:marRight w:val="0"/>
                  <w:marTop w:val="0"/>
                  <w:marBottom w:val="0"/>
                  <w:divBdr>
                    <w:top w:val="none" w:sz="0" w:space="0" w:color="auto"/>
                    <w:left w:val="none" w:sz="0" w:space="0" w:color="auto"/>
                    <w:bottom w:val="none" w:sz="0" w:space="0" w:color="auto"/>
                    <w:right w:val="none" w:sz="0" w:space="0" w:color="auto"/>
                  </w:divBdr>
                  <w:divsChild>
                    <w:div w:id="4054960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98487">
      <w:bodyDiv w:val="1"/>
      <w:marLeft w:val="0"/>
      <w:marRight w:val="0"/>
      <w:marTop w:val="0"/>
      <w:marBottom w:val="0"/>
      <w:divBdr>
        <w:top w:val="none" w:sz="0" w:space="0" w:color="auto"/>
        <w:left w:val="none" w:sz="0" w:space="0" w:color="auto"/>
        <w:bottom w:val="none" w:sz="0" w:space="0" w:color="auto"/>
        <w:right w:val="none" w:sz="0" w:space="0" w:color="auto"/>
      </w:divBdr>
      <w:divsChild>
        <w:div w:id="977957702">
          <w:marLeft w:val="0"/>
          <w:marRight w:val="0"/>
          <w:marTop w:val="0"/>
          <w:marBottom w:val="0"/>
          <w:divBdr>
            <w:top w:val="none" w:sz="0" w:space="0" w:color="auto"/>
            <w:left w:val="none" w:sz="0" w:space="0" w:color="auto"/>
            <w:bottom w:val="none" w:sz="0" w:space="0" w:color="auto"/>
            <w:right w:val="none" w:sz="0" w:space="0" w:color="auto"/>
          </w:divBdr>
          <w:divsChild>
            <w:div w:id="521170513">
              <w:marLeft w:val="0"/>
              <w:marRight w:val="0"/>
              <w:marTop w:val="0"/>
              <w:marBottom w:val="0"/>
              <w:divBdr>
                <w:top w:val="none" w:sz="0" w:space="0" w:color="auto"/>
                <w:left w:val="none" w:sz="0" w:space="0" w:color="auto"/>
                <w:bottom w:val="none" w:sz="0" w:space="0" w:color="auto"/>
                <w:right w:val="none" w:sz="0" w:space="0" w:color="auto"/>
              </w:divBdr>
              <w:divsChild>
                <w:div w:id="688606704">
                  <w:marLeft w:val="0"/>
                  <w:marRight w:val="0"/>
                  <w:marTop w:val="0"/>
                  <w:marBottom w:val="0"/>
                  <w:divBdr>
                    <w:top w:val="none" w:sz="0" w:space="0" w:color="auto"/>
                    <w:left w:val="none" w:sz="0" w:space="0" w:color="auto"/>
                    <w:bottom w:val="none" w:sz="0" w:space="0" w:color="auto"/>
                    <w:right w:val="none" w:sz="0" w:space="0" w:color="auto"/>
                  </w:divBdr>
                  <w:divsChild>
                    <w:div w:id="389692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17" Type="http://schemas.openxmlformats.org/officeDocument/2006/relationships/hyperlink" Target="http://www.appraisers.org/Disciplines/Personal-Property/pp-appraiser-resources/approaches-to-valu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ppraisers.org/Disciplines/Personal-Property/pp-appraiser-resources/approaches-to-value" TargetMode="External"/><Relationship Id="rId23" Type="http://schemas.openxmlformats.org/officeDocument/2006/relationships/image" Target="media/image9.png"/><Relationship Id="rId10" Type="http://schemas.openxmlformats.org/officeDocument/2006/relationships/footer" Target="footer3.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emf"/><Relationship Id="rId22"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EA759-00F4-46FE-86A5-8F7D1CE84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26984</Words>
  <Characters>146522</Characters>
  <Application>Microsoft Office Word</Application>
  <DocSecurity>4</DocSecurity>
  <Lines>1221</Lines>
  <Paragraphs>346</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173160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PENNINGTON</dc:creator>
  <cp:lastModifiedBy>Wagner, Nathan R</cp:lastModifiedBy>
  <cp:revision>2</cp:revision>
  <cp:lastPrinted>2019-12-11T13:52:00Z</cp:lastPrinted>
  <dcterms:created xsi:type="dcterms:W3CDTF">2022-01-13T17:30:00Z</dcterms:created>
  <dcterms:modified xsi:type="dcterms:W3CDTF">2022-01-13T17:30:00Z</dcterms:modified>
</cp:coreProperties>
</file>