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09DA" w14:textId="77777777" w:rsidR="004D0A01" w:rsidRDefault="004D0A01" w:rsidP="004D0A0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EF2316">
      <w:pPr>
        <w:spacing w:after="0" w:line="240" w:lineRule="auto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EF2316">
      <w:pPr>
        <w:spacing w:after="0" w:line="240" w:lineRule="auto"/>
        <w:rPr>
          <w:rFonts w:eastAsia="Calibri" w:cs="Times New Roman"/>
          <w:b/>
          <w:szCs w:val="24"/>
          <w:u w:val="single"/>
        </w:rPr>
      </w:pPr>
    </w:p>
    <w:p w14:paraId="523F952D" w14:textId="77777777" w:rsidR="00FC473D" w:rsidRDefault="00FC473D" w:rsidP="004D0A01">
      <w:pPr>
        <w:spacing w:after="0" w:line="240" w:lineRule="auto"/>
        <w:jc w:val="both"/>
        <w:rPr>
          <w:rFonts w:eastAsia="Calibri" w:cs="Times New Roman"/>
          <w:b/>
          <w:szCs w:val="24"/>
          <w:u w:val="single"/>
        </w:rPr>
      </w:pPr>
    </w:p>
    <w:p w14:paraId="5DF1AE04" w14:textId="2AC27CB9" w:rsidR="004D0A01" w:rsidRDefault="00FC473D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FC473D">
        <w:rPr>
          <w:rFonts w:eastAsia="Calibri" w:cs="Times New Roman"/>
          <w:bCs/>
          <w:szCs w:val="24"/>
        </w:rPr>
        <w:t>Kent Thrower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</w:p>
    <w:p w14:paraId="1BADBE59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736C2F93" w14:textId="064CA381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C-</w:t>
      </w:r>
      <w:r w:rsidR="00FC473D">
        <w:rPr>
          <w:rFonts w:eastAsia="Calibri" w:cs="Times New Roman"/>
          <w:szCs w:val="24"/>
        </w:rPr>
        <w:t>2021-3030077</w:t>
      </w:r>
    </w:p>
    <w:p w14:paraId="186A130A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6C5DB718" w:rsidR="004D0A01" w:rsidRDefault="00FC473D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West Penn Power</w:t>
      </w:r>
      <w:r w:rsidR="009F1C45">
        <w:rPr>
          <w:rFonts w:eastAsia="Calibri" w:cs="Times New Roman"/>
          <w:szCs w:val="24"/>
        </w:rPr>
        <w:t xml:space="preserve"> </w:t>
      </w:r>
      <w:r w:rsidR="004D0A01">
        <w:rPr>
          <w:rFonts w:eastAsia="Calibri" w:cs="Times New Roman"/>
          <w:szCs w:val="24"/>
        </w:rPr>
        <w:t>Company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  <w:t>:</w:t>
      </w:r>
    </w:p>
    <w:p w14:paraId="0957153C" w14:textId="77777777" w:rsidR="00F9069B" w:rsidRDefault="00F9069B" w:rsidP="004D0A01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35AAD85C" w14:textId="24E214C3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763B07ED" w14:textId="77777777" w:rsidR="004D0A01" w:rsidRDefault="004D0A01" w:rsidP="004D0A0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AE3BF0" w:rsidRDefault="001A75EB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</w:p>
    <w:p w14:paraId="1BF14799" w14:textId="2B794AAE" w:rsidR="001A75EB" w:rsidRPr="00AE3BF0" w:rsidRDefault="00AE3BF0" w:rsidP="00AE3BF0">
      <w:pPr>
        <w:spacing w:after="0" w:line="240" w:lineRule="auto"/>
        <w:jc w:val="center"/>
        <w:rPr>
          <w:rFonts w:eastAsia="Calibri" w:cs="Times New Roman"/>
          <w:szCs w:val="24"/>
          <w:u w:val="single"/>
        </w:rPr>
      </w:pPr>
      <w:r w:rsidRPr="00CE769F">
        <w:rPr>
          <w:rFonts w:eastAsia="Calibri" w:cs="Times New Roman"/>
          <w:b/>
          <w:bCs/>
          <w:szCs w:val="24"/>
          <w:u w:val="single"/>
        </w:rPr>
        <w:t xml:space="preserve">GRANTING </w:t>
      </w:r>
      <w:r w:rsidR="001A75EB" w:rsidRPr="00AE3BF0">
        <w:rPr>
          <w:rFonts w:eastAsia="Calibri" w:cs="Times New Roman"/>
          <w:b/>
          <w:bCs/>
          <w:szCs w:val="24"/>
          <w:u w:val="single"/>
        </w:rPr>
        <w:t>PRELIMINARY OBJECTIO</w:t>
      </w:r>
      <w:r w:rsidR="00CE769F">
        <w:rPr>
          <w:rFonts w:eastAsia="Calibri" w:cs="Times New Roman"/>
          <w:b/>
          <w:bCs/>
          <w:szCs w:val="24"/>
          <w:u w:val="single"/>
        </w:rPr>
        <w:t>N</w:t>
      </w:r>
    </w:p>
    <w:p w14:paraId="6B1230B2" w14:textId="1DAD3E49" w:rsidR="00CE769F" w:rsidRDefault="00CE769F" w:rsidP="008E74E4">
      <w:pPr>
        <w:spacing w:after="0"/>
      </w:pPr>
    </w:p>
    <w:p w14:paraId="2778E932" w14:textId="751161F6" w:rsidR="00CE769F" w:rsidRPr="00CE769F" w:rsidRDefault="00CE769F" w:rsidP="008E74E4">
      <w:pPr>
        <w:spacing w:after="0"/>
        <w:rPr>
          <w:u w:val="single"/>
        </w:rPr>
      </w:pPr>
      <w:r w:rsidRPr="00CE769F">
        <w:rPr>
          <w:u w:val="single"/>
        </w:rPr>
        <w:t xml:space="preserve">Background </w:t>
      </w:r>
    </w:p>
    <w:p w14:paraId="36E81AB8" w14:textId="77777777" w:rsidR="00CE769F" w:rsidRDefault="00CE769F" w:rsidP="008E74E4">
      <w:pPr>
        <w:spacing w:after="0"/>
      </w:pPr>
    </w:p>
    <w:p w14:paraId="43BF9BFC" w14:textId="0BFCA900" w:rsidR="00AB662E" w:rsidRDefault="00CE769F" w:rsidP="008E74E4">
      <w:pPr>
        <w:spacing w:after="0"/>
      </w:pPr>
      <w:r>
        <w:tab/>
      </w:r>
      <w:r>
        <w:tab/>
      </w:r>
      <w:r w:rsidR="001A75EB">
        <w:t>On</w:t>
      </w:r>
      <w:r w:rsidR="009F1C45">
        <w:t xml:space="preserve"> </w:t>
      </w:r>
      <w:r w:rsidR="00FC473D">
        <w:t>November 30, 2021</w:t>
      </w:r>
      <w:r w:rsidR="001A75EB">
        <w:t>,</w:t>
      </w:r>
      <w:r w:rsidR="009F1C45">
        <w:t xml:space="preserve"> </w:t>
      </w:r>
      <w:r w:rsidR="00FC473D">
        <w:t>Kent Thrower</w:t>
      </w:r>
      <w:r w:rsidR="009F1C45">
        <w:t xml:space="preserve"> </w:t>
      </w:r>
      <w:r w:rsidR="001A75EB">
        <w:t xml:space="preserve">(Complainant) filed a </w:t>
      </w:r>
      <w:r w:rsidR="00DF1038">
        <w:t>F</w:t>
      </w:r>
      <w:r w:rsidR="001A75EB">
        <w:t xml:space="preserve">ormal </w:t>
      </w:r>
      <w:r w:rsidR="00DF1038">
        <w:t>C</w:t>
      </w:r>
      <w:r w:rsidR="001A75EB">
        <w:t>omplaint against</w:t>
      </w:r>
      <w:r w:rsidR="009F1C45">
        <w:t xml:space="preserve"> </w:t>
      </w:r>
      <w:r w:rsidR="00FC473D">
        <w:t>West Penn Power</w:t>
      </w:r>
      <w:r w:rsidR="009F1C45">
        <w:t xml:space="preserve"> </w:t>
      </w:r>
      <w:r w:rsidR="001A75EB">
        <w:t>Company</w:t>
      </w:r>
      <w:r w:rsidR="00DF1038">
        <w:t xml:space="preserve"> (</w:t>
      </w:r>
      <w:r w:rsidR="009F1C45">
        <w:t xml:space="preserve">Respondent or </w:t>
      </w:r>
      <w:r w:rsidR="00FC473D">
        <w:t>WPP</w:t>
      </w:r>
      <w:r w:rsidR="00DF1038">
        <w:t>)</w:t>
      </w:r>
      <w:r w:rsidR="001A75EB">
        <w:t xml:space="preserve">.  </w:t>
      </w:r>
      <w:r w:rsidR="00FC473D">
        <w:t xml:space="preserve">Complainant </w:t>
      </w:r>
      <w:r w:rsidR="00E477D9">
        <w:t>avers</w:t>
      </w:r>
      <w:r w:rsidR="00FC473D">
        <w:t xml:space="preserve"> he </w:t>
      </w:r>
      <w:r w:rsidR="00E477D9">
        <w:t>is</w:t>
      </w:r>
      <w:r w:rsidR="00FC473D">
        <w:t xml:space="preserve"> having a reliability, safety, or quality problem with his utility service</w:t>
      </w:r>
      <w:r w:rsidR="001E0EC1">
        <w:t xml:space="preserve"> at his residence at 952 </w:t>
      </w:r>
      <w:proofErr w:type="spellStart"/>
      <w:r w:rsidR="001E0EC1">
        <w:t>Ekastown</w:t>
      </w:r>
      <w:proofErr w:type="spellEnd"/>
      <w:r w:rsidR="001E0EC1">
        <w:t xml:space="preserve"> Road, Saxonburg, PA (service location)</w:t>
      </w:r>
      <w:r w:rsidR="00E477D9">
        <w:t xml:space="preserve">.  Specifically, Complainant avers that on August 12, 2021, his electric power went out </w:t>
      </w:r>
      <w:r w:rsidR="001E0EC1">
        <w:t xml:space="preserve">at the service location </w:t>
      </w:r>
      <w:r w:rsidR="00E477D9">
        <w:t xml:space="preserve">for several minutes during a thunderstorm.  The next morning, he discovered only half of his circuits were working and called WPP, who advised that crews were working on wide-spread outage issues.  </w:t>
      </w:r>
    </w:p>
    <w:p w14:paraId="4B5067C6" w14:textId="77777777" w:rsidR="00AB662E" w:rsidRDefault="00AB662E" w:rsidP="008E74E4">
      <w:pPr>
        <w:spacing w:after="0"/>
      </w:pPr>
    </w:p>
    <w:p w14:paraId="40A479F0" w14:textId="68743C02" w:rsidR="00246488" w:rsidRDefault="00AB662E" w:rsidP="008E74E4">
      <w:pPr>
        <w:spacing w:after="0"/>
      </w:pPr>
      <w:r>
        <w:tab/>
      </w:r>
      <w:r>
        <w:tab/>
      </w:r>
      <w:r w:rsidR="00E477D9">
        <w:t xml:space="preserve">Complainant avers he spoke to WPP again around midday, and WPP advised that the outage issues at the service location were his because the service </w:t>
      </w:r>
      <w:r w:rsidR="001E0EC1">
        <w:t>location</w:t>
      </w:r>
      <w:r w:rsidR="00E477D9">
        <w:t xml:space="preserve"> has underground service.  </w:t>
      </w:r>
      <w:r w:rsidR="001E0EC1">
        <w:t>Complainant avers he had two electricians look at the issue and was told that one “leg” from the pole to the house had been ”lost,” a line was cut, and electricity was “arching</w:t>
      </w:r>
      <w:r w:rsidR="00095C9F">
        <w:t>.</w:t>
      </w:r>
      <w:r w:rsidR="001E0EC1">
        <w:t xml:space="preserve">” </w:t>
      </w:r>
      <w:r w:rsidR="00095C9F">
        <w:t xml:space="preserve"> Complainant avers WPP did not do anything to restore his power until September 2, 2021, when WPP replaced a leaning utility pole on Complainant’s property.  Complainant avers he has incurred and anticipates expenses </w:t>
      </w:r>
      <w:r w:rsidR="009032F5">
        <w:t xml:space="preserve">resulting from </w:t>
      </w:r>
      <w:r w:rsidR="00095C9F">
        <w:t xml:space="preserve">WPP’s failure to </w:t>
      </w:r>
      <w:r w:rsidR="009032F5">
        <w:t xml:space="preserve">properly maintain the utility </w:t>
      </w:r>
      <w:r w:rsidR="009032F5">
        <w:lastRenderedPageBreak/>
        <w:t xml:space="preserve">pole.  </w:t>
      </w:r>
      <w:r w:rsidR="001A75EB">
        <w:t>As relief,</w:t>
      </w:r>
      <w:r w:rsidR="009F1C45">
        <w:t xml:space="preserve"> Complainant requests that </w:t>
      </w:r>
      <w:r w:rsidR="009032F5">
        <w:t xml:space="preserve">WPP be ordered to “pay for the damages he incurred as a result of their negligence,” totaling </w:t>
      </w:r>
      <w:r>
        <w:t>$9,226.16</w:t>
      </w:r>
      <w:r>
        <w:rPr>
          <w:rStyle w:val="FootnoteReference"/>
        </w:rPr>
        <w:footnoteReference w:id="1"/>
      </w:r>
      <w:r>
        <w:t>.</w:t>
      </w:r>
    </w:p>
    <w:p w14:paraId="4E2EF929" w14:textId="77777777" w:rsidR="007C7896" w:rsidRDefault="007C7896" w:rsidP="008E74E4">
      <w:pPr>
        <w:spacing w:after="0"/>
      </w:pPr>
    </w:p>
    <w:p w14:paraId="4CC2D0F6" w14:textId="76B515DF" w:rsidR="001A4ED0" w:rsidRDefault="00246488" w:rsidP="008E74E4">
      <w:pPr>
        <w:spacing w:after="0"/>
      </w:pPr>
      <w:r>
        <w:tab/>
      </w:r>
      <w:r>
        <w:tab/>
      </w:r>
      <w:r w:rsidR="009F1C45">
        <w:t xml:space="preserve">On </w:t>
      </w:r>
      <w:r w:rsidR="003B2908">
        <w:t>January 6, 2022</w:t>
      </w:r>
      <w:r w:rsidR="009F1C45">
        <w:t xml:space="preserve">, Respondent </w:t>
      </w:r>
      <w:r>
        <w:t xml:space="preserve">filed an </w:t>
      </w:r>
      <w:r w:rsidR="00DF1038">
        <w:t>A</w:t>
      </w:r>
      <w:r>
        <w:t xml:space="preserve">nswer and </w:t>
      </w:r>
      <w:r w:rsidR="003B2908">
        <w:t>Preliminary Objections</w:t>
      </w:r>
      <w:r w:rsidR="009F1C45">
        <w:t xml:space="preserve">.  </w:t>
      </w:r>
      <w:r w:rsidR="0095354F">
        <w:t>Respondent</w:t>
      </w:r>
      <w:r w:rsidR="001C5D05">
        <w:t xml:space="preserve"> admits it provides utility service to Complainant at the service location and that </w:t>
      </w:r>
      <w:r w:rsidR="00745E4C">
        <w:t xml:space="preserve">Complainant filed a damage claim on August 31, 2021.  Respondent </w:t>
      </w:r>
      <w:r w:rsidR="00DE61A6">
        <w:t>avers</w:t>
      </w:r>
      <w:r w:rsidR="001A4ED0">
        <w:t xml:space="preserve">, </w:t>
      </w:r>
      <w:r w:rsidR="001A4ED0">
        <w:rPr>
          <w:i/>
          <w:iCs/>
        </w:rPr>
        <w:t>inter alia</w:t>
      </w:r>
      <w:r w:rsidR="001A4ED0">
        <w:t>,</w:t>
      </w:r>
      <w:r w:rsidR="00745E4C">
        <w:t xml:space="preserve"> it denied the damage claim because the failed underground line was customer</w:t>
      </w:r>
      <w:r w:rsidR="00DE61A6">
        <w:t>-</w:t>
      </w:r>
      <w:r w:rsidR="00745E4C">
        <w:t>owned and</w:t>
      </w:r>
      <w:r w:rsidR="00DE61A6">
        <w:t xml:space="preserve">, per the Company’s Commission-approved tariff, </w:t>
      </w:r>
      <w:r w:rsidR="00745E4C">
        <w:t xml:space="preserve">not the </w:t>
      </w:r>
      <w:r w:rsidR="00DE61A6">
        <w:t xml:space="preserve">Company’s </w:t>
      </w:r>
      <w:r w:rsidR="00745E4C">
        <w:t>responsibility to maintain or replace.</w:t>
      </w:r>
    </w:p>
    <w:p w14:paraId="7D1A79BF" w14:textId="2632442C" w:rsidR="009F1C45" w:rsidRDefault="009F1C45" w:rsidP="008E74E4">
      <w:pPr>
        <w:spacing w:after="0"/>
      </w:pPr>
    </w:p>
    <w:p w14:paraId="31E2D9B9" w14:textId="058061F0" w:rsidR="0097262B" w:rsidRDefault="009F1C45" w:rsidP="008E74E4">
      <w:pPr>
        <w:spacing w:after="0"/>
      </w:pPr>
      <w:r>
        <w:tab/>
      </w:r>
      <w:r>
        <w:tab/>
      </w:r>
      <w:r w:rsidR="001A4ED0">
        <w:t>In its Preliminary Objections,</w:t>
      </w:r>
      <w:r w:rsidR="001D0D07">
        <w:t xml:space="preserve"> </w:t>
      </w:r>
      <w:r w:rsidR="002613FA">
        <w:t xml:space="preserve">Respondent </w:t>
      </w:r>
      <w:r w:rsidR="0097262B">
        <w:t xml:space="preserve">contends that the Commission lacks jurisdiction to award monetary damages </w:t>
      </w:r>
      <w:r w:rsidR="000100E4">
        <w:t>and</w:t>
      </w:r>
      <w:r w:rsidR="002613FA">
        <w:t xml:space="preserve"> requests</w:t>
      </w:r>
      <w:r w:rsidR="008A72D1">
        <w:t xml:space="preserve">, </w:t>
      </w:r>
      <w:r w:rsidR="008A72D1" w:rsidRPr="00156427">
        <w:rPr>
          <w:i/>
          <w:iCs/>
        </w:rPr>
        <w:t>in</w:t>
      </w:r>
      <w:r w:rsidR="008A72D1" w:rsidRPr="008A72D1">
        <w:rPr>
          <w:i/>
          <w:iCs/>
        </w:rPr>
        <w:t>ter alia</w:t>
      </w:r>
      <w:r w:rsidR="008A72D1">
        <w:t>,</w:t>
      </w:r>
      <w:r w:rsidR="002613FA">
        <w:t xml:space="preserve"> </w:t>
      </w:r>
      <w:r w:rsidR="000100E4">
        <w:t>that</w:t>
      </w:r>
      <w:r w:rsidR="002613FA">
        <w:t xml:space="preserve"> </w:t>
      </w:r>
      <w:r w:rsidR="001A4ED0">
        <w:t>Complainant’s request for monetary damages be stricken from the Complaint</w:t>
      </w:r>
      <w:r w:rsidR="00C6028D">
        <w:t xml:space="preserve">.  </w:t>
      </w:r>
      <w:r w:rsidR="002613FA">
        <w:t>The Preliminary Objections contained a Notice to Plead, requiring Complainant to file a response within 10 days of service.</w:t>
      </w:r>
    </w:p>
    <w:p w14:paraId="66C759BC" w14:textId="40A22543" w:rsidR="00AE3BF0" w:rsidRDefault="00AE3BF0" w:rsidP="008E74E4">
      <w:pPr>
        <w:spacing w:after="0"/>
      </w:pPr>
      <w:r>
        <w:t xml:space="preserve"> </w:t>
      </w:r>
    </w:p>
    <w:p w14:paraId="4C2A858E" w14:textId="20EDD20A" w:rsidR="008E74E4" w:rsidRDefault="002613FA" w:rsidP="008E74E4">
      <w:pPr>
        <w:spacing w:after="0"/>
      </w:pPr>
      <w:r>
        <w:tab/>
      </w:r>
      <w:r>
        <w:tab/>
        <w:t>Complainant did not file response to the Preliminary Objections.</w:t>
      </w:r>
    </w:p>
    <w:p w14:paraId="5E9F819A" w14:textId="283BE516" w:rsidR="00CE769F" w:rsidRDefault="00CE769F" w:rsidP="008E74E4">
      <w:pPr>
        <w:spacing w:after="0"/>
      </w:pPr>
    </w:p>
    <w:p w14:paraId="1CD0454D" w14:textId="5D9DE467" w:rsidR="00CE769F" w:rsidRDefault="007C7896" w:rsidP="008E74E4">
      <w:pPr>
        <w:spacing w:after="0"/>
      </w:pPr>
      <w:r>
        <w:tab/>
      </w:r>
      <w:r>
        <w:tab/>
        <w:t>The Preliminary Objections are ripe for a ruling.</w:t>
      </w:r>
    </w:p>
    <w:p w14:paraId="0D502846" w14:textId="5725CBA3" w:rsidR="007C7896" w:rsidRDefault="007C7896" w:rsidP="008E74E4">
      <w:pPr>
        <w:spacing w:after="0"/>
      </w:pPr>
    </w:p>
    <w:p w14:paraId="60020D9F" w14:textId="10B7BAAF" w:rsidR="007C7896" w:rsidRPr="007C7896" w:rsidRDefault="007C7896" w:rsidP="008E74E4">
      <w:pPr>
        <w:spacing w:after="0"/>
        <w:rPr>
          <w:u w:val="single"/>
        </w:rPr>
      </w:pPr>
      <w:r w:rsidRPr="007C7896">
        <w:rPr>
          <w:u w:val="single"/>
        </w:rPr>
        <w:t>Discussion</w:t>
      </w:r>
    </w:p>
    <w:p w14:paraId="1DEACDF7" w14:textId="77777777" w:rsidR="002613FA" w:rsidRDefault="002613FA" w:rsidP="008E74E4">
      <w:pPr>
        <w:spacing w:after="0"/>
      </w:pPr>
    </w:p>
    <w:p w14:paraId="08CA6A3D" w14:textId="3BE3F2CD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 xml:space="preserve">The grounds for </w:t>
      </w:r>
      <w:r w:rsidR="00303355">
        <w:rPr>
          <w:rFonts w:eastAsia="SimSun" w:cs="Times New Roman"/>
          <w:szCs w:val="24"/>
        </w:rPr>
        <w:t>p</w:t>
      </w:r>
      <w:r w:rsidRPr="00977A46">
        <w:rPr>
          <w:rFonts w:eastAsia="SimSun" w:cs="Times New Roman"/>
          <w:szCs w:val="24"/>
        </w:rPr>
        <w:t>reliminary objection</w:t>
      </w:r>
      <w:r w:rsidR="001D0D07">
        <w:rPr>
          <w:rFonts w:eastAsia="SimSun" w:cs="Times New Roman"/>
          <w:szCs w:val="24"/>
        </w:rPr>
        <w:t>s</w:t>
      </w:r>
      <w:r w:rsidRPr="00977A46">
        <w:rPr>
          <w:rFonts w:eastAsia="SimSun" w:cs="Times New Roman"/>
          <w:szCs w:val="24"/>
        </w:rPr>
        <w:t xml:space="preserve"> are limited.  Section 5.101(a)(1), provides that preliminary objections may be granted where the Commission lacks jurisdiction to resolve a dispute.</w:t>
      </w:r>
      <w:r w:rsidRPr="00977A46">
        <w:rPr>
          <w:rFonts w:eastAsia="SimSun" w:cs="Times New Roman"/>
          <w:szCs w:val="24"/>
          <w:vertAlign w:val="superscript"/>
        </w:rPr>
        <w:footnoteReference w:id="2"/>
      </w:r>
    </w:p>
    <w:p w14:paraId="585A555D" w14:textId="77777777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</w:p>
    <w:p w14:paraId="6AE1B116" w14:textId="5CD88DDB" w:rsidR="00B80D6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lastRenderedPageBreak/>
        <w:tab/>
      </w:r>
      <w:r w:rsidRPr="00977A46">
        <w:rPr>
          <w:rFonts w:eastAsia="SimSun" w:cs="Times New Roman"/>
          <w:szCs w:val="24"/>
        </w:rPr>
        <w:tab/>
        <w:t>Preliminary objection practice before the Commission is similar to Pennsylvania civil practice respecting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3"/>
      </w:r>
      <w:r w:rsidRPr="00977A46">
        <w:rPr>
          <w:rFonts w:eastAsia="SimSun" w:cs="Times New Roman"/>
          <w:szCs w:val="24"/>
        </w:rPr>
        <w:t xml:space="preserve">  In deciding the preliminary objections, the Commission must determine whether, based on well-pleaded factual averments of the petitioners, recovery or relief is possible.</w:t>
      </w:r>
      <w:r w:rsidRPr="00977A46">
        <w:rPr>
          <w:rFonts w:eastAsia="SimSun" w:cs="Times New Roman"/>
          <w:szCs w:val="24"/>
          <w:vertAlign w:val="superscript"/>
        </w:rPr>
        <w:footnoteReference w:id="4"/>
      </w:r>
      <w:r w:rsidRPr="00977A46">
        <w:rPr>
          <w:rFonts w:eastAsia="SimSun" w:cs="Times New Roman"/>
          <w:szCs w:val="24"/>
        </w:rPr>
        <w:t xml:space="preserve">  Any doubt must be resolved in favor of the non</w:t>
      </w:r>
      <w:r w:rsidRPr="00977A46">
        <w:rPr>
          <w:rFonts w:eastAsia="SimSun" w:cs="Times New Roman"/>
          <w:szCs w:val="24"/>
        </w:rPr>
        <w:noBreakHyphen/>
        <w:t>moving party by refusing to sustain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5"/>
      </w:r>
      <w:r w:rsidRPr="00977A46">
        <w:rPr>
          <w:rFonts w:eastAsia="SimSun" w:cs="Times New Roman"/>
          <w:szCs w:val="24"/>
        </w:rPr>
        <w:t xml:space="preserve">  All of the non-moving party’s averments in the complaint must be viewed as true for purposes of deciding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6"/>
      </w:r>
      <w:r w:rsidRPr="00977A46">
        <w:rPr>
          <w:rFonts w:eastAsia="SimSun" w:cs="Times New Roman"/>
          <w:szCs w:val="24"/>
        </w:rPr>
        <w:t xml:space="preserve">  Only those facts specifically admitted may be considered against the non-moving party.</w:t>
      </w:r>
      <w:r w:rsidRPr="00977A46">
        <w:rPr>
          <w:rFonts w:eastAsia="SimSun" w:cs="Times New Roman"/>
          <w:szCs w:val="24"/>
          <w:vertAlign w:val="superscript"/>
        </w:rPr>
        <w:footnoteReference w:id="7"/>
      </w:r>
      <w:r w:rsidR="002613FA">
        <w:rPr>
          <w:rFonts w:eastAsia="SimSun" w:cs="Times New Roman"/>
          <w:szCs w:val="24"/>
        </w:rPr>
        <w:t xml:space="preserve"> </w:t>
      </w:r>
      <w:r w:rsidRPr="00977A46">
        <w:rPr>
          <w:rFonts w:eastAsia="SimSun" w:cs="Times New Roman"/>
          <w:szCs w:val="24"/>
        </w:rPr>
        <w:t xml:space="preserve"> A preliminary objection which seeks dismissal of a pleading will only be granted where relief is clearly warranted and free from doubt.</w:t>
      </w:r>
      <w:r w:rsidRPr="00977A46">
        <w:rPr>
          <w:rFonts w:eastAsia="SimSun" w:cs="Times New Roman"/>
          <w:szCs w:val="24"/>
          <w:vertAlign w:val="superscript"/>
        </w:rPr>
        <w:footnoteReference w:id="8"/>
      </w:r>
    </w:p>
    <w:p w14:paraId="7AC6E5E5" w14:textId="77777777" w:rsidR="00560E01" w:rsidRDefault="00560E01" w:rsidP="008E74E4">
      <w:pPr>
        <w:spacing w:after="0"/>
        <w:rPr>
          <w:rFonts w:eastAsia="SimSun" w:cs="Times New Roman"/>
          <w:szCs w:val="24"/>
        </w:rPr>
      </w:pPr>
    </w:p>
    <w:p w14:paraId="04BA98C7" w14:textId="6732BF9D" w:rsidR="008E74E4" w:rsidRDefault="00560E01" w:rsidP="008E74E4">
      <w:pPr>
        <w:spacing w:after="0"/>
        <w:ind w:firstLine="1440"/>
      </w:pPr>
      <w:r>
        <w:rPr>
          <w:rFonts w:eastAsia="SimSun" w:cs="Times New Roman"/>
          <w:szCs w:val="24"/>
        </w:rPr>
        <w:t>The Company</w:t>
      </w:r>
      <w:r w:rsidR="002613FA">
        <w:rPr>
          <w:rFonts w:eastAsia="SimSun" w:cs="Times New Roman"/>
          <w:szCs w:val="24"/>
        </w:rPr>
        <w:t xml:space="preserve"> </w:t>
      </w:r>
      <w:r w:rsidR="00B80D66">
        <w:rPr>
          <w:rFonts w:eastAsia="SimSun" w:cs="Times New Roman"/>
          <w:szCs w:val="24"/>
        </w:rPr>
        <w:t xml:space="preserve">has correctly recited the law regarding the Commission’s authority to award damages.  </w:t>
      </w:r>
      <w:r w:rsidR="001212FA" w:rsidRPr="00353293">
        <w:rPr>
          <w:szCs w:val="24"/>
        </w:rPr>
        <w:t xml:space="preserve">As a creature of legislation, the Commission possesses only the authority </w:t>
      </w:r>
      <w:r w:rsidR="001212FA">
        <w:rPr>
          <w:szCs w:val="24"/>
        </w:rPr>
        <w:t>that the General Assembly</w:t>
      </w:r>
      <w:r w:rsidR="001212FA" w:rsidRPr="00353293">
        <w:rPr>
          <w:szCs w:val="24"/>
        </w:rPr>
        <w:t xml:space="preserve"> has specifically granted to i</w:t>
      </w:r>
      <w:r w:rsidR="001212FA">
        <w:rPr>
          <w:szCs w:val="24"/>
        </w:rPr>
        <w:t>t in the Public Utility Code</w:t>
      </w:r>
      <w:r w:rsidR="001212FA" w:rsidRPr="00353293">
        <w:rPr>
          <w:szCs w:val="24"/>
        </w:rPr>
        <w:t xml:space="preserve">.  </w:t>
      </w:r>
      <w:r w:rsidR="001212FA">
        <w:rPr>
          <w:szCs w:val="24"/>
        </w:rPr>
        <w:t>That is, the Commission has only the powers expressly conferred or necessarily implied by its enabling statute</w:t>
      </w:r>
      <w:r w:rsidR="001212FA" w:rsidRPr="00353293">
        <w:rPr>
          <w:szCs w:val="24"/>
        </w:rPr>
        <w:t>.</w:t>
      </w:r>
      <w:r w:rsidR="001212FA">
        <w:rPr>
          <w:rStyle w:val="FootnoteReference"/>
          <w:szCs w:val="24"/>
        </w:rPr>
        <w:footnoteReference w:id="9"/>
      </w:r>
      <w:r w:rsidR="001212FA" w:rsidRPr="00353293">
        <w:rPr>
          <w:szCs w:val="24"/>
        </w:rPr>
        <w:t xml:space="preserve">  </w:t>
      </w:r>
      <w:r w:rsidR="001212FA" w:rsidRPr="005175A4">
        <w:rPr>
          <w:szCs w:val="24"/>
        </w:rPr>
        <w:t xml:space="preserve">Although </w:t>
      </w:r>
      <w:r>
        <w:rPr>
          <w:szCs w:val="24"/>
        </w:rPr>
        <w:t>the Commission</w:t>
      </w:r>
      <w:r w:rsidR="001212FA" w:rsidRPr="005175A4">
        <w:rPr>
          <w:szCs w:val="24"/>
        </w:rPr>
        <w:t xml:space="preserve"> has general jurisdiction over the rates and services of public utilities operating i</w:t>
      </w:r>
      <w:r w:rsidR="001212FA">
        <w:rPr>
          <w:szCs w:val="24"/>
        </w:rPr>
        <w:t xml:space="preserve">n Pennsylvania, </w:t>
      </w:r>
      <w:r w:rsidR="001212FA">
        <w:t>t</w:t>
      </w:r>
      <w:r w:rsidR="001212FA" w:rsidRPr="00EF7CA8">
        <w:t xml:space="preserve">he Public Utility Code simply does not grant the </w:t>
      </w:r>
      <w:r w:rsidR="001212FA" w:rsidRPr="00EF7CA8">
        <w:lastRenderedPageBreak/>
        <w:t xml:space="preserve">Commission the authority </w:t>
      </w:r>
      <w:r w:rsidR="001212FA">
        <w:t>to award damages in this case.</w:t>
      </w:r>
      <w:r w:rsidR="001212FA">
        <w:rPr>
          <w:rStyle w:val="FootnoteReference"/>
        </w:rPr>
        <w:footnoteReference w:id="10"/>
      </w:r>
      <w:r w:rsidR="001212FA">
        <w:t xml:space="preserve"> </w:t>
      </w:r>
      <w:r w:rsidR="001212FA" w:rsidRPr="00EF7CA8">
        <w:t xml:space="preserve"> </w:t>
      </w:r>
      <w:r w:rsidR="00E2464B">
        <w:t>The Court of Common Pleas retains original jurisdiction over suits for monetary damages.</w:t>
      </w:r>
    </w:p>
    <w:p w14:paraId="26FFBE24" w14:textId="77777777" w:rsidR="000502DE" w:rsidRDefault="000502DE" w:rsidP="008E74E4">
      <w:pPr>
        <w:spacing w:after="0"/>
        <w:ind w:firstLine="1440"/>
      </w:pPr>
    </w:p>
    <w:p w14:paraId="2A0F8219" w14:textId="788581D9" w:rsidR="00017F88" w:rsidRDefault="002D48B6" w:rsidP="008E74E4">
      <w:pPr>
        <w:spacing w:after="0"/>
        <w:ind w:firstLine="1440"/>
      </w:pPr>
      <w:r>
        <w:t xml:space="preserve">Therefore, Complainant’s </w:t>
      </w:r>
      <w:r w:rsidR="00156427">
        <w:t xml:space="preserve">request for relief </w:t>
      </w:r>
      <w:r w:rsidR="001D7E23">
        <w:t>in the form of</w:t>
      </w:r>
      <w:r w:rsidR="00156427">
        <w:t xml:space="preserve"> monetary</w:t>
      </w:r>
      <w:r w:rsidR="000502DE">
        <w:t xml:space="preserve"> damages is </w:t>
      </w:r>
      <w:r w:rsidR="001D7E23">
        <w:t>struck from the Complaint</w:t>
      </w:r>
      <w:r w:rsidR="000502DE">
        <w:t xml:space="preserve">. </w:t>
      </w:r>
      <w:r w:rsidR="00017F88">
        <w:t xml:space="preserve"> </w:t>
      </w:r>
      <w:r w:rsidR="000502DE">
        <w:t>The</w:t>
      </w:r>
      <w:r w:rsidR="00156427">
        <w:t xml:space="preserve"> </w:t>
      </w:r>
      <w:r w:rsidR="001D7E23">
        <w:t xml:space="preserve">claims </w:t>
      </w:r>
      <w:r w:rsidR="00156427">
        <w:t xml:space="preserve">raised in the Complaint are </w:t>
      </w:r>
      <w:r w:rsidR="001212FA">
        <w:t>appropriate</w:t>
      </w:r>
      <w:r>
        <w:t xml:space="preserve"> to move forward at this stage of the litigation</w:t>
      </w:r>
      <w:r w:rsidR="00E2464B">
        <w:t xml:space="preserve"> on the matter of whether the Company violated some statute, regulation, order, or tariff provision.  The parties should be advised</w:t>
      </w:r>
      <w:r w:rsidR="009535D3">
        <w:t xml:space="preserve"> </w:t>
      </w:r>
      <w:r w:rsidR="00E2464B">
        <w:t xml:space="preserve">that if the </w:t>
      </w:r>
      <w:r w:rsidR="001D7E23">
        <w:t xml:space="preserve">Commission were to find the Company failed to provide safe or reliable service or failed to properly maintain or repair its facilities, the Commission has the authority to assess a civil penalty upon the Company, </w:t>
      </w:r>
      <w:r w:rsidR="001D7E23" w:rsidRPr="001D7E23">
        <w:rPr>
          <w:b/>
          <w:bCs/>
        </w:rPr>
        <w:t>but any civil penalty that may be assessed would be paid to the Commission, not to Complainant.</w:t>
      </w:r>
      <w:r w:rsidR="001D7E23">
        <w:t xml:space="preserve">  </w:t>
      </w:r>
    </w:p>
    <w:p w14:paraId="5D44E109" w14:textId="77777777" w:rsidR="00017F88" w:rsidRDefault="00017F88" w:rsidP="008E74E4">
      <w:pPr>
        <w:spacing w:after="0"/>
        <w:ind w:firstLine="1440"/>
      </w:pPr>
    </w:p>
    <w:p w14:paraId="33DC9F30" w14:textId="4AFDBEC3" w:rsidR="00C45445" w:rsidRDefault="00C45445" w:rsidP="008E74E4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8E74E4">
      <w:pPr>
        <w:spacing w:after="0"/>
        <w:ind w:firstLine="1440"/>
      </w:pPr>
    </w:p>
    <w:p w14:paraId="31D3BA32" w14:textId="2F7949F2" w:rsidR="00C45445" w:rsidRDefault="00C45445" w:rsidP="008E74E4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8E74E4">
      <w:pPr>
        <w:spacing w:after="0"/>
        <w:ind w:firstLine="1440"/>
      </w:pPr>
    </w:p>
    <w:p w14:paraId="30E7D681" w14:textId="77777777" w:rsidR="009535D3" w:rsidRDefault="00AE3BF0" w:rsidP="008E74E4">
      <w:pPr>
        <w:spacing w:after="0"/>
      </w:pPr>
      <w:r>
        <w:tab/>
      </w:r>
      <w:r>
        <w:tab/>
      </w:r>
      <w:r w:rsidR="000C2662">
        <w:t>1.</w:t>
      </w:r>
      <w:r w:rsidR="000C2662">
        <w:tab/>
        <w:t xml:space="preserve">That the </w:t>
      </w:r>
      <w:r w:rsidR="004802BB">
        <w:t>P</w:t>
      </w:r>
      <w:r w:rsidR="000C2662">
        <w:t xml:space="preserve">reliminary </w:t>
      </w:r>
      <w:r w:rsidR="004802BB">
        <w:t>O</w:t>
      </w:r>
      <w:r w:rsidR="000C2662">
        <w:t>bjection of</w:t>
      </w:r>
      <w:r w:rsidR="009F1C45">
        <w:t xml:space="preserve"> </w:t>
      </w:r>
      <w:r w:rsidR="001D7E23">
        <w:t>West Penn Power</w:t>
      </w:r>
      <w:r w:rsidR="009F1C45">
        <w:t xml:space="preserve"> </w:t>
      </w:r>
      <w:r w:rsidR="000C2662">
        <w:t xml:space="preserve">Company </w:t>
      </w:r>
      <w:r w:rsidR="009535D3">
        <w:t xml:space="preserve">requesting that Complainant’s request for </w:t>
      </w:r>
      <w:r w:rsidR="000C2662">
        <w:t xml:space="preserve">monetary damages </w:t>
      </w:r>
      <w:r w:rsidR="009535D3">
        <w:t xml:space="preserve">be struck from the Complaint </w:t>
      </w:r>
      <w:r w:rsidR="001D0D07">
        <w:t>is</w:t>
      </w:r>
      <w:r w:rsidR="000C2662">
        <w:t xml:space="preserve"> granted</w:t>
      </w:r>
      <w:r w:rsidR="009535D3">
        <w:t xml:space="preserve">. </w:t>
      </w:r>
    </w:p>
    <w:p w14:paraId="75586B12" w14:textId="77777777" w:rsidR="009535D3" w:rsidRDefault="009535D3" w:rsidP="008E74E4">
      <w:pPr>
        <w:spacing w:after="0"/>
      </w:pPr>
    </w:p>
    <w:p w14:paraId="229AEE20" w14:textId="5AF23AEE" w:rsidR="000100E4" w:rsidRDefault="009535D3" w:rsidP="008E74E4">
      <w:pPr>
        <w:spacing w:after="0"/>
      </w:pPr>
      <w:r>
        <w:tab/>
      </w:r>
      <w:r>
        <w:tab/>
        <w:t>2.</w:t>
      </w:r>
      <w:r>
        <w:tab/>
        <w:t xml:space="preserve">The portion of the Complaint filed by Kent Thrower at Docket No. C-2021-3030077 </w:t>
      </w:r>
      <w:r w:rsidR="000C2662">
        <w:t xml:space="preserve">that </w:t>
      </w:r>
      <w:r w:rsidR="001D7E23">
        <w:t>request</w:t>
      </w:r>
      <w:r>
        <w:t xml:space="preserve">s monetary damages </w:t>
      </w:r>
      <w:proofErr w:type="gramStart"/>
      <w:r w:rsidR="00426068">
        <w:t>is</w:t>
      </w:r>
      <w:proofErr w:type="gramEnd"/>
      <w:r w:rsidR="00426068">
        <w:t xml:space="preserve"> stricken</w:t>
      </w:r>
      <w:r w:rsidR="001D7E23">
        <w:t xml:space="preserve"> from the Complaint</w:t>
      </w:r>
      <w:r w:rsidR="000C2662">
        <w:t>.</w:t>
      </w:r>
    </w:p>
    <w:p w14:paraId="02ED7E7D" w14:textId="77777777" w:rsidR="008E74E4" w:rsidRDefault="008E74E4" w:rsidP="008E74E4">
      <w:pPr>
        <w:spacing w:after="0"/>
      </w:pPr>
    </w:p>
    <w:p w14:paraId="2CAE12EC" w14:textId="0BA39690" w:rsidR="000C2662" w:rsidRDefault="000C2662" w:rsidP="008E74E4">
      <w:pPr>
        <w:spacing w:after="0"/>
      </w:pPr>
      <w:r>
        <w:tab/>
      </w:r>
      <w:r>
        <w:tab/>
        <w:t>2.</w:t>
      </w:r>
      <w:r>
        <w:tab/>
        <w:t xml:space="preserve">That </w:t>
      </w:r>
      <w:r w:rsidR="00426068">
        <w:t xml:space="preserve">this matter be set for an evidentiary hearing. </w:t>
      </w:r>
    </w:p>
    <w:p w14:paraId="608AAF43" w14:textId="77777777" w:rsidR="008E74E4" w:rsidRDefault="008E74E4" w:rsidP="008E74E4">
      <w:pPr>
        <w:spacing w:after="0"/>
      </w:pPr>
    </w:p>
    <w:p w14:paraId="2D18C4A6" w14:textId="77777777" w:rsidR="000C2662" w:rsidRDefault="000C2662" w:rsidP="008E74E4">
      <w:pPr>
        <w:spacing w:after="0"/>
      </w:pPr>
    </w:p>
    <w:p w14:paraId="60E72DEB" w14:textId="3232F634" w:rsidR="00017F88" w:rsidRPr="00017F88" w:rsidRDefault="008E74E4" w:rsidP="00017F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u w:val="single"/>
        </w:rPr>
      </w:pPr>
      <w:bookmarkStart w:id="0" w:name="_Hlk505862083"/>
      <w:r w:rsidRPr="00017F88">
        <w:rPr>
          <w:rFonts w:eastAsia="Times New Roman" w:cs="Times New Roman"/>
          <w:szCs w:val="24"/>
        </w:rPr>
        <w:t>Date:</w:t>
      </w:r>
      <w:r w:rsidR="00017F88">
        <w:rPr>
          <w:rFonts w:eastAsia="Times New Roman" w:cs="Times New Roman"/>
          <w:szCs w:val="24"/>
        </w:rPr>
        <w:t xml:space="preserve">  </w:t>
      </w:r>
      <w:r w:rsidR="00426068">
        <w:rPr>
          <w:rFonts w:eastAsia="Times New Roman" w:cs="Times New Roman"/>
          <w:szCs w:val="24"/>
          <w:u w:val="single"/>
        </w:rPr>
        <w:t>February 8, 2022</w:t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bookmarkEnd w:id="0"/>
      <w:r w:rsidR="00017F88" w:rsidRPr="00017F88">
        <w:rPr>
          <w:rFonts w:eastAsia="Times New Roman" w:cs="Times New Roman"/>
          <w:szCs w:val="24"/>
          <w:u w:val="single"/>
        </w:rPr>
        <w:tab/>
      </w:r>
      <w:r w:rsidR="00017F88" w:rsidRPr="00017F88">
        <w:rPr>
          <w:rFonts w:eastAsia="Times New Roman" w:cs="Times New Roman"/>
          <w:szCs w:val="24"/>
          <w:u w:val="single"/>
        </w:rPr>
        <w:tab/>
        <w:t>/s/</w:t>
      </w:r>
      <w:r w:rsidR="00017F88" w:rsidRPr="00017F88">
        <w:rPr>
          <w:rFonts w:eastAsia="Times New Roman" w:cs="Times New Roman"/>
          <w:szCs w:val="24"/>
          <w:u w:val="single"/>
        </w:rPr>
        <w:tab/>
      </w:r>
      <w:r w:rsidR="00017F88" w:rsidRPr="00017F88">
        <w:rPr>
          <w:rFonts w:eastAsia="Times New Roman" w:cs="Times New Roman"/>
          <w:szCs w:val="24"/>
          <w:u w:val="single"/>
        </w:rPr>
        <w:tab/>
      </w:r>
      <w:r w:rsidR="00017F88" w:rsidRPr="00017F88">
        <w:rPr>
          <w:rFonts w:eastAsia="Times New Roman" w:cs="Times New Roman"/>
          <w:szCs w:val="24"/>
          <w:u w:val="single"/>
        </w:rPr>
        <w:tab/>
      </w:r>
    </w:p>
    <w:p w14:paraId="1FD988B5" w14:textId="4E2B580A" w:rsidR="00017F88" w:rsidRPr="00017F88" w:rsidRDefault="00017F88" w:rsidP="00017F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  <w:t>Emily I. DeVoe</w:t>
      </w:r>
    </w:p>
    <w:p w14:paraId="775E56A6" w14:textId="6FDD4542" w:rsidR="00017F88" w:rsidRPr="00017F88" w:rsidRDefault="00017F88" w:rsidP="00017F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</w:r>
      <w:r w:rsidRPr="00017F88">
        <w:rPr>
          <w:rFonts w:eastAsia="Times New Roman" w:cs="Times New Roman"/>
          <w:szCs w:val="24"/>
        </w:rPr>
        <w:tab/>
        <w:t>Administrative Law Judge</w:t>
      </w:r>
    </w:p>
    <w:p w14:paraId="3847726C" w14:textId="77777777" w:rsidR="00003456" w:rsidRDefault="00003456" w:rsidP="00017F88">
      <w:pPr>
        <w:spacing w:after="0" w:line="240" w:lineRule="auto"/>
        <w:sectPr w:rsidR="00003456" w:rsidSect="00B80D6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6DF926" w14:textId="77777777" w:rsidR="00A02ADB" w:rsidRPr="00A02ADB" w:rsidRDefault="00A02ADB" w:rsidP="00A02ADB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A02ADB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C-2021-3030077 - KENT THROWER v. WEST PENN POWER COMPANY</w:t>
      </w:r>
      <w:r w:rsidRPr="00A02ADB"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A02ADB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A02ADB">
        <w:rPr>
          <w:rFonts w:ascii="Microsoft Sans Serif" w:eastAsia="Microsoft Sans Serif" w:hAnsi="Microsoft Sans Serif" w:cs="Microsoft Sans Serif"/>
        </w:rPr>
        <w:t>KENT THROWER</w:t>
      </w:r>
      <w:r w:rsidRPr="00A02ADB">
        <w:rPr>
          <w:rFonts w:ascii="Microsoft Sans Serif" w:eastAsia="Microsoft Sans Serif" w:hAnsi="Microsoft Sans Serif" w:cs="Microsoft Sans Serif"/>
        </w:rPr>
        <w:cr/>
        <w:t>952 EKASTOWN ROAD</w:t>
      </w:r>
      <w:r w:rsidRPr="00A02ADB">
        <w:rPr>
          <w:rFonts w:ascii="Microsoft Sans Serif" w:eastAsia="Microsoft Sans Serif" w:hAnsi="Microsoft Sans Serif" w:cs="Microsoft Sans Serif"/>
        </w:rPr>
        <w:cr/>
        <w:t>SAXONBURG PA  16056</w:t>
      </w:r>
      <w:r w:rsidRPr="00A02ADB">
        <w:rPr>
          <w:rFonts w:ascii="Microsoft Sans Serif" w:eastAsia="Microsoft Sans Serif" w:hAnsi="Microsoft Sans Serif" w:cs="Microsoft Sans Serif"/>
        </w:rPr>
        <w:cr/>
      </w:r>
      <w:r w:rsidRPr="00A02ADB">
        <w:rPr>
          <w:rFonts w:ascii="Microsoft Sans Serif" w:eastAsia="Microsoft Sans Serif" w:hAnsi="Microsoft Sans Serif" w:cs="Microsoft Sans Serif"/>
          <w:b/>
          <w:bCs/>
        </w:rPr>
        <w:t>724.355.4025</w:t>
      </w:r>
      <w:r w:rsidRPr="00A02ADB">
        <w:rPr>
          <w:rFonts w:ascii="Microsoft Sans Serif" w:eastAsia="Microsoft Sans Serif" w:hAnsi="Microsoft Sans Serif" w:cs="Microsoft Sans Serif"/>
          <w:b/>
          <w:bCs/>
        </w:rPr>
        <w:cr/>
      </w:r>
      <w:r w:rsidRPr="00A02ADB">
        <w:rPr>
          <w:rFonts w:ascii="Microsoft Sans Serif" w:eastAsia="Microsoft Sans Serif" w:hAnsi="Microsoft Sans Serif" w:cs="Microsoft Sans Serif"/>
        </w:rPr>
        <w:t>kentthrower@yahoo.com</w:t>
      </w:r>
    </w:p>
    <w:p w14:paraId="2A3CD0C6" w14:textId="067AD5BB" w:rsidR="00792796" w:rsidRPr="00A02ADB" w:rsidRDefault="00A02ADB" w:rsidP="00A02ADB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A02ADB">
        <w:rPr>
          <w:rFonts w:ascii="Microsoft Sans Serif" w:eastAsia="Microsoft Sans Serif" w:hAnsi="Microsoft Sans Serif" w:cs="Microsoft Sans Serif"/>
        </w:rPr>
        <w:t>MARGARET MORRIS ESQUIRE</w:t>
      </w:r>
      <w:r w:rsidRPr="00A02ADB">
        <w:rPr>
          <w:rFonts w:ascii="Microsoft Sans Serif" w:eastAsia="Microsoft Sans Serif" w:hAnsi="Microsoft Sans Serif" w:cs="Microsoft Sans Serif"/>
        </w:rPr>
        <w:cr/>
        <w:t>REGER RIZZO &amp; DARNALL</w:t>
      </w:r>
      <w:r w:rsidRPr="00A02ADB">
        <w:rPr>
          <w:rFonts w:ascii="Microsoft Sans Serif" w:eastAsia="Microsoft Sans Serif" w:hAnsi="Microsoft Sans Serif" w:cs="Microsoft Sans Serif"/>
        </w:rPr>
        <w:cr/>
        <w:t>CIRA CENTRE 13TH FLOOR</w:t>
      </w:r>
      <w:r w:rsidRPr="00A02ADB">
        <w:rPr>
          <w:rFonts w:ascii="Microsoft Sans Serif" w:eastAsia="Microsoft Sans Serif" w:hAnsi="Microsoft Sans Serif" w:cs="Microsoft Sans Serif"/>
        </w:rPr>
        <w:br/>
        <w:t>2929 ARCH STREET</w:t>
      </w:r>
      <w:r w:rsidRPr="00A02ADB">
        <w:rPr>
          <w:rFonts w:ascii="Microsoft Sans Serif" w:eastAsia="Microsoft Sans Serif" w:hAnsi="Microsoft Sans Serif" w:cs="Microsoft Sans Serif"/>
        </w:rPr>
        <w:cr/>
        <w:t>PHILADELPHIA PA  19104</w:t>
      </w:r>
      <w:r w:rsidRPr="00A02ADB">
        <w:rPr>
          <w:rFonts w:ascii="Microsoft Sans Serif" w:eastAsia="Microsoft Sans Serif" w:hAnsi="Microsoft Sans Serif" w:cs="Microsoft Sans Serif"/>
        </w:rPr>
        <w:cr/>
      </w:r>
      <w:r w:rsidRPr="00A02ADB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A02ADB">
        <w:rPr>
          <w:rFonts w:ascii="Microsoft Sans Serif" w:eastAsia="Microsoft Sans Serif" w:hAnsi="Microsoft Sans Serif" w:cs="Microsoft Sans Serif"/>
          <w:b/>
          <w:bCs/>
        </w:rPr>
        <w:cr/>
      </w:r>
      <w:r w:rsidRPr="00A02ADB">
        <w:rPr>
          <w:rFonts w:ascii="Microsoft Sans Serif" w:eastAsia="Microsoft Sans Serif" w:hAnsi="Microsoft Sans Serif" w:cs="Microsoft Sans Serif"/>
        </w:rPr>
        <w:t>mmorris@regerlaw.com</w:t>
      </w:r>
      <w:r w:rsidRPr="00A02ADB">
        <w:rPr>
          <w:rFonts w:ascii="Microsoft Sans Serif" w:eastAsia="Microsoft Sans Serif" w:hAnsi="Microsoft Sans Serif" w:cs="Microsoft Sans Serif"/>
        </w:rPr>
        <w:cr/>
        <w:t>Accepts eService</w:t>
      </w:r>
      <w:r w:rsidRPr="00A02ADB">
        <w:rPr>
          <w:rFonts w:ascii="Microsoft Sans Serif" w:eastAsia="Microsoft Sans Serif" w:hAnsi="Microsoft Sans Serif" w:cs="Microsoft Sans Serif"/>
        </w:rPr>
        <w:br/>
      </w:r>
      <w:r w:rsidRPr="00A02ADB">
        <w:rPr>
          <w:rFonts w:ascii="Microsoft Sans Serif" w:eastAsia="Microsoft Sans Serif" w:hAnsi="Microsoft Sans Serif" w:cs="Microsoft Sans Serif"/>
          <w:i/>
          <w:iCs/>
        </w:rPr>
        <w:t>Representing West Penn Power Company</w:t>
      </w:r>
      <w:r w:rsidRPr="00A02ADB">
        <w:rPr>
          <w:rFonts w:ascii="Microsoft Sans Serif" w:eastAsia="Microsoft Sans Serif" w:hAnsi="Microsoft Sans Serif" w:cs="Microsoft Sans Serif"/>
        </w:rPr>
        <w:cr/>
      </w:r>
      <w:r w:rsidRPr="00A02ADB">
        <w:rPr>
          <w:rFonts w:ascii="Microsoft Sans Serif" w:eastAsia="Microsoft Sans Serif" w:hAnsi="Microsoft Sans Serif" w:cs="Microsoft Sans Serif"/>
        </w:rPr>
        <w:br/>
        <w:t>TORI L GIESLER ESQUIRE</w:t>
      </w:r>
      <w:r w:rsidRPr="00A02ADB">
        <w:rPr>
          <w:rFonts w:ascii="Microsoft Sans Serif" w:eastAsia="Microsoft Sans Serif" w:hAnsi="Microsoft Sans Serif" w:cs="Microsoft Sans Serif"/>
        </w:rPr>
        <w:br/>
        <w:t>FIRSTENERGY SERVICE COMPANY</w:t>
      </w:r>
      <w:r w:rsidRPr="00A02ADB">
        <w:rPr>
          <w:rFonts w:ascii="Microsoft Sans Serif" w:eastAsia="Microsoft Sans Serif" w:hAnsi="Microsoft Sans Serif" w:cs="Microsoft Sans Serif"/>
        </w:rPr>
        <w:cr/>
        <w:t>2800 POTTSVILLE PIKE</w:t>
      </w:r>
      <w:r w:rsidRPr="00A02ADB">
        <w:rPr>
          <w:rFonts w:ascii="Microsoft Sans Serif" w:eastAsia="Microsoft Sans Serif" w:hAnsi="Microsoft Sans Serif" w:cs="Microsoft Sans Serif"/>
        </w:rPr>
        <w:cr/>
        <w:t>READING PA  19605</w:t>
      </w:r>
      <w:r w:rsidRPr="00A02ADB">
        <w:rPr>
          <w:rFonts w:ascii="Microsoft Sans Serif" w:eastAsia="Microsoft Sans Serif" w:hAnsi="Microsoft Sans Serif" w:cs="Microsoft Sans Serif"/>
        </w:rPr>
        <w:cr/>
      </w:r>
      <w:r w:rsidRPr="00A02ADB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A02ADB">
        <w:rPr>
          <w:rFonts w:ascii="Microsoft Sans Serif" w:eastAsia="Microsoft Sans Serif" w:hAnsi="Microsoft Sans Serif" w:cs="Microsoft Sans Serif"/>
        </w:rPr>
        <w:cr/>
        <w:t>paregulatorycomplaints@firstenergycorp.com</w:t>
      </w:r>
      <w:r w:rsidRPr="00A02ADB">
        <w:rPr>
          <w:rFonts w:ascii="Microsoft Sans Serif" w:eastAsia="Microsoft Sans Serif" w:hAnsi="Microsoft Sans Serif" w:cs="Microsoft Sans Serif"/>
        </w:rPr>
        <w:cr/>
        <w:t>Accepts eService</w:t>
      </w:r>
      <w:r w:rsidRPr="00A02ADB">
        <w:rPr>
          <w:rFonts w:ascii="Microsoft Sans Serif" w:eastAsia="Microsoft Sans Serif" w:hAnsi="Microsoft Sans Serif" w:cs="Microsoft Sans Serif"/>
        </w:rPr>
        <w:cr/>
      </w:r>
    </w:p>
    <w:sectPr w:rsidR="00792796" w:rsidRPr="00A02A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EFE4" w14:textId="77777777" w:rsidR="00497E38" w:rsidRDefault="00497E38" w:rsidP="001A75EB">
      <w:pPr>
        <w:spacing w:after="0" w:line="240" w:lineRule="auto"/>
      </w:pPr>
      <w:r>
        <w:separator/>
      </w:r>
    </w:p>
  </w:endnote>
  <w:endnote w:type="continuationSeparator" w:id="0">
    <w:p w14:paraId="76E670EE" w14:textId="77777777" w:rsidR="00497E38" w:rsidRDefault="00497E38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4D34" w14:textId="6D9E56B2" w:rsidR="00A02ADB" w:rsidRDefault="00A02A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7479" w14:textId="77777777" w:rsidR="00497E38" w:rsidRDefault="00497E38" w:rsidP="001A75EB">
      <w:pPr>
        <w:spacing w:after="0" w:line="240" w:lineRule="auto"/>
      </w:pPr>
      <w:r>
        <w:separator/>
      </w:r>
    </w:p>
  </w:footnote>
  <w:footnote w:type="continuationSeparator" w:id="0">
    <w:p w14:paraId="27E87F3E" w14:textId="77777777" w:rsidR="00497E38" w:rsidRDefault="00497E38" w:rsidP="001A75EB">
      <w:pPr>
        <w:spacing w:after="0" w:line="240" w:lineRule="auto"/>
      </w:pPr>
      <w:r>
        <w:continuationSeparator/>
      </w:r>
    </w:p>
  </w:footnote>
  <w:footnote w:id="1">
    <w:p w14:paraId="75575567" w14:textId="2AB4EC0B" w:rsidR="00AB662E" w:rsidRDefault="00AB662E" w:rsidP="00A02ADB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>Complainant listed costs he already incurred, as well as quotes for work yet to be completed.  Complainant totaled these costs, but due to a (presumably) typographical error, listed the total as $99,226.16, when in fact, the items total $9,226.16.</w:t>
      </w:r>
    </w:p>
  </w:footnote>
  <w:footnote w:id="2">
    <w:p w14:paraId="412F1FA2" w14:textId="6E165794" w:rsidR="008E74E4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  <w:t xml:space="preserve">52 </w:t>
      </w:r>
      <w:proofErr w:type="spellStart"/>
      <w:r>
        <w:t>Pa.Code</w:t>
      </w:r>
      <w:proofErr w:type="spellEnd"/>
      <w:r>
        <w:t xml:space="preserve"> § 5.101(a)(1).</w:t>
      </w:r>
    </w:p>
  </w:footnote>
  <w:footnote w:id="3">
    <w:p w14:paraId="0A7D8FD4" w14:textId="47DD57DB" w:rsidR="00977A46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E2B4C">
        <w:rPr>
          <w:i/>
        </w:rPr>
        <w:t>Equitable Small Transportation Intervenors v. Equitable Gas Company</w:t>
      </w:r>
      <w:r>
        <w:t xml:space="preserve">, 1994 Pa. PUC LEXIS 69, Docket No. C-00935435 (July 18, 1994).  </w:t>
      </w:r>
    </w:p>
    <w:p w14:paraId="11803A6A" w14:textId="77777777" w:rsidR="008E74E4" w:rsidRDefault="008E74E4" w:rsidP="00A02ADB">
      <w:pPr>
        <w:pStyle w:val="FootnoteText"/>
        <w:spacing w:after="0"/>
        <w:ind w:firstLine="720"/>
      </w:pPr>
    </w:p>
  </w:footnote>
  <w:footnote w:id="4">
    <w:p w14:paraId="0E036D85" w14:textId="7F4D9D6A" w:rsidR="00977A46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Dept. of Auditor General v. SERS</w:t>
      </w:r>
      <w:r w:rsidRPr="00AB2BD8">
        <w:t>,</w:t>
      </w:r>
      <w:r>
        <w:t xml:space="preserve"> 836 A.2d 1053, 1064 (Pa.Cmwlth. 2003); </w:t>
      </w:r>
      <w:r w:rsidRPr="00B908F9">
        <w:rPr>
          <w:i/>
        </w:rPr>
        <w:t>P.J.S. v. Pa. State Ethics Comm’n</w:t>
      </w:r>
      <w:r>
        <w:t>, 669 A.2d 1105 (Pa.Cmwlth. 1996).</w:t>
      </w:r>
    </w:p>
    <w:p w14:paraId="5F9CF274" w14:textId="77777777" w:rsidR="008E74E4" w:rsidRDefault="008E74E4" w:rsidP="00A02ADB">
      <w:pPr>
        <w:pStyle w:val="FootnoteText"/>
        <w:spacing w:after="0"/>
        <w:ind w:firstLine="720"/>
      </w:pPr>
    </w:p>
  </w:footnote>
  <w:footnote w:id="5">
    <w:p w14:paraId="348D2EF4" w14:textId="230E2B3A" w:rsidR="00977A46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908F9">
        <w:rPr>
          <w:i/>
        </w:rPr>
        <w:t>Boyd v. Ward</w:t>
      </w:r>
      <w:r>
        <w:t xml:space="preserve">, 802 A.2d 705 (Pa.Cmwlth. 2002). </w:t>
      </w:r>
    </w:p>
    <w:p w14:paraId="719D16CD" w14:textId="77777777" w:rsidR="008E74E4" w:rsidRDefault="008E74E4" w:rsidP="00A02ADB">
      <w:pPr>
        <w:pStyle w:val="FootnoteText"/>
        <w:spacing w:after="0"/>
        <w:ind w:firstLine="720"/>
      </w:pPr>
    </w:p>
  </w:footnote>
  <w:footnote w:id="6">
    <w:p w14:paraId="274F23DA" w14:textId="01419EE5" w:rsidR="00977A46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County of Allegheny v. Commw. of Pa</w:t>
      </w:r>
      <w:r>
        <w:t>., 490 A.2d 402 (Pa. 1985</w:t>
      </w:r>
      <w:r w:rsidR="00CD5EE5">
        <w:t>); Pennsylvania</w:t>
      </w:r>
      <w:r w:rsidRPr="00256755">
        <w:rPr>
          <w:i/>
          <w:iCs/>
        </w:rPr>
        <w:t xml:space="preserve"> State Lodge, Fraternal Order of Police v. Dept. of Conservation and Natural </w:t>
      </w:r>
      <w:r w:rsidR="00CD5EE5" w:rsidRPr="00256755">
        <w:rPr>
          <w:i/>
          <w:iCs/>
        </w:rPr>
        <w:t>Resources</w:t>
      </w:r>
      <w:r w:rsidR="00CD5EE5">
        <w:t>, 909</w:t>
      </w:r>
      <w:r>
        <w:t xml:space="preserve"> A.2d 413 (Pa.Cmwlth. 2006</w:t>
      </w:r>
      <w:r w:rsidRPr="00256755">
        <w:rPr>
          <w:i/>
          <w:iCs/>
        </w:rPr>
        <w:t xml:space="preserve">), aff’d per </w:t>
      </w:r>
      <w:r w:rsidR="008E74E4" w:rsidRPr="00256755">
        <w:rPr>
          <w:i/>
          <w:iCs/>
        </w:rPr>
        <w:t>curium,</w:t>
      </w:r>
      <w:r w:rsidR="008E74E4">
        <w:t xml:space="preserve"> 924</w:t>
      </w:r>
      <w:r>
        <w:t xml:space="preserve"> A.2d 1203 (Pa. 2007).</w:t>
      </w:r>
    </w:p>
    <w:p w14:paraId="0BDEFFC6" w14:textId="77777777" w:rsidR="008E74E4" w:rsidRPr="00B62C0F" w:rsidRDefault="008E74E4" w:rsidP="00A02ADB">
      <w:pPr>
        <w:pStyle w:val="FootnoteText"/>
        <w:spacing w:after="0"/>
        <w:ind w:firstLine="720"/>
      </w:pPr>
    </w:p>
  </w:footnote>
  <w:footnote w:id="7">
    <w:p w14:paraId="221F3A8A" w14:textId="05071152" w:rsidR="00977A46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56755">
        <w:rPr>
          <w:i/>
          <w:iCs/>
        </w:rPr>
        <w:t>Ridge v. State Employees’ Retirement Board</w:t>
      </w:r>
      <w:r>
        <w:t>, 690 A.2d 1312 (Pa.Cmwlth. 1997).</w:t>
      </w:r>
    </w:p>
    <w:p w14:paraId="7B3027B7" w14:textId="77777777" w:rsidR="008E74E4" w:rsidRDefault="008E74E4" w:rsidP="00A02ADB">
      <w:pPr>
        <w:pStyle w:val="FootnoteText"/>
        <w:spacing w:after="0"/>
        <w:ind w:firstLine="720"/>
      </w:pPr>
    </w:p>
  </w:footnote>
  <w:footnote w:id="8">
    <w:p w14:paraId="553BDFFB" w14:textId="6F805F3C" w:rsidR="008E74E4" w:rsidRDefault="00977A46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Interstate Traveller Services, Inc. v. Pa. Department of Environmental Resources</w:t>
      </w:r>
      <w:r>
        <w:t xml:space="preserve">, 406 A.2d 1020 (Pa. 1979); </w:t>
      </w:r>
      <w:r w:rsidRPr="00256755">
        <w:rPr>
          <w:i/>
          <w:iCs/>
        </w:rPr>
        <w:t xml:space="preserve">Application of K&amp;F Medical Transport, </w:t>
      </w:r>
      <w:r w:rsidR="008E74E4" w:rsidRPr="00256755">
        <w:rPr>
          <w:i/>
          <w:iCs/>
        </w:rPr>
        <w:t>LLC</w:t>
      </w:r>
      <w:r w:rsidR="008E74E4">
        <w:t>, Docket</w:t>
      </w:r>
      <w:r>
        <w:t xml:space="preserve"> No. A-2008-2020353 (Final Order July 8, 2008).</w:t>
      </w:r>
    </w:p>
    <w:p w14:paraId="23157988" w14:textId="017088C7" w:rsidR="00977A46" w:rsidRPr="00297F80" w:rsidRDefault="00977A46" w:rsidP="00A02ADB">
      <w:pPr>
        <w:pStyle w:val="FootnoteText"/>
        <w:spacing w:after="0"/>
        <w:ind w:firstLine="720"/>
      </w:pPr>
      <w:r>
        <w:tab/>
      </w:r>
    </w:p>
  </w:footnote>
  <w:footnote w:id="9">
    <w:p w14:paraId="7CCB9D21" w14:textId="148E7E02" w:rsidR="008E74E4" w:rsidRDefault="001212FA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C5EC1">
        <w:rPr>
          <w:i/>
        </w:rPr>
        <w:t>Feingold v. Bell of Pa</w:t>
      </w:r>
      <w:r w:rsidRPr="00353293">
        <w:rPr>
          <w:u w:val="single"/>
        </w:rPr>
        <w:t>.</w:t>
      </w:r>
      <w:r w:rsidRPr="00353293">
        <w:t>, 383 A.2d 791 (</w:t>
      </w:r>
      <w:r>
        <w:t xml:space="preserve">Pa. </w:t>
      </w:r>
      <w:r w:rsidRPr="00353293">
        <w:t xml:space="preserve">1977); </w:t>
      </w:r>
      <w:r w:rsidRPr="00AC5EC1">
        <w:rPr>
          <w:i/>
        </w:rPr>
        <w:t>Allegheny County Port Authority v. Pa. P.U.C.</w:t>
      </w:r>
      <w:r w:rsidRPr="00353293">
        <w:t>, 237 A.2d 602 (</w:t>
      </w:r>
      <w:r>
        <w:t xml:space="preserve">Pa. </w:t>
      </w:r>
      <w:r w:rsidRPr="00353293">
        <w:t>1967)</w:t>
      </w:r>
      <w:r w:rsidR="00CD5EE5" w:rsidRPr="00353293">
        <w:t>.</w:t>
      </w:r>
      <w:r w:rsidR="00CD5EE5">
        <w:t xml:space="preserve">  </w:t>
      </w:r>
      <w:r>
        <w:t xml:space="preserve">See </w:t>
      </w:r>
      <w:r w:rsidRPr="00B20474">
        <w:t xml:space="preserve">also </w:t>
      </w:r>
      <w:hyperlink r:id="rId1" w:history="1">
        <w:r w:rsidRPr="00B20474">
          <w:rPr>
            <w:i/>
          </w:rPr>
          <w:t>Department of Environmental Resources v. Butler County</w:t>
        </w:r>
        <w:r>
          <w:rPr>
            <w:i/>
          </w:rPr>
          <w:t xml:space="preserve"> </w:t>
        </w:r>
        <w:r w:rsidRPr="00B20474">
          <w:rPr>
            <w:i/>
          </w:rPr>
          <w:t>Mushroom Farm</w:t>
        </w:r>
        <w:r w:rsidRPr="00B20474">
          <w:t>, 454 A.2d 1, 4 (Pa. 1982),</w:t>
        </w:r>
      </w:hyperlink>
      <w:r w:rsidRPr="00B20474">
        <w:t xml:space="preserve"> and </w:t>
      </w:r>
      <w:hyperlink r:id="rId2" w:history="1">
        <w:r w:rsidRPr="00B20474">
          <w:rPr>
            <w:i/>
          </w:rPr>
          <w:t>Pequea Township v. Department of Environmental Protection</w:t>
        </w:r>
        <w:r w:rsidRPr="00B20474">
          <w:t>, 716 A.2d 678, 686 (Pa.Cmwlth. 1998).</w:t>
        </w:r>
      </w:hyperlink>
    </w:p>
  </w:footnote>
  <w:footnote w:id="10">
    <w:p w14:paraId="0A8BECBA" w14:textId="2CE817DC" w:rsidR="008E74E4" w:rsidRPr="00243109" w:rsidRDefault="001212FA" w:rsidP="00A02ADB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F6761">
        <w:rPr>
          <w:i/>
        </w:rPr>
        <w:t>Terminato v. Pa. National Insurance Co</w:t>
      </w:r>
      <w:r w:rsidRPr="000F6761">
        <w:t xml:space="preserve">., 645 A.2d 1287 (Pa. 1994); </w:t>
      </w:r>
      <w:r w:rsidRPr="000F6761">
        <w:rPr>
          <w:i/>
        </w:rPr>
        <w:t>Elkin v. Bell Tel. Co. of Pa.</w:t>
      </w:r>
      <w:r w:rsidRPr="000F6761">
        <w:t xml:space="preserve">, 420 A.2d 371 (Pa. 1980); </w:t>
      </w:r>
      <w:r w:rsidRPr="000F6761">
        <w:rPr>
          <w:i/>
        </w:rPr>
        <w:t>Feingold v. Bell Tel. Co. of Pa</w:t>
      </w:r>
      <w:r w:rsidRPr="000F6761">
        <w:t xml:space="preserve">., 383 A.2d 791 (Pa. 1977); </w:t>
      </w:r>
      <w:r>
        <w:rPr>
          <w:i/>
        </w:rPr>
        <w:t>Poorbaugh v. Pa. Pub. Util.</w:t>
      </w:r>
      <w:r w:rsidRPr="000F6761">
        <w:rPr>
          <w:i/>
        </w:rPr>
        <w:t xml:space="preserve"> Comm</w:t>
      </w:r>
      <w:r>
        <w:rPr>
          <w:i/>
        </w:rPr>
        <w:t>’n</w:t>
      </w:r>
      <w:r w:rsidRPr="000F6761">
        <w:t xml:space="preserve">, </w:t>
      </w:r>
      <w:r>
        <w:t xml:space="preserve">666 A.2d 744 (Pa. Cmwlth. 1995).  </w:t>
      </w:r>
      <w:r>
        <w:rPr>
          <w:i/>
        </w:rPr>
        <w:t>See also Pettko v. Pennsylvania American Water Company</w:t>
      </w:r>
      <w:r>
        <w:t>, 39 A.3d 473 (Pa. Cmwlth. 2012).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29"/>
  </w:num>
  <w:num w:numId="5">
    <w:abstractNumId w:val="10"/>
  </w:num>
  <w:num w:numId="6">
    <w:abstractNumId w:val="7"/>
  </w:num>
  <w:num w:numId="7">
    <w:abstractNumId w:val="5"/>
  </w:num>
  <w:num w:numId="8">
    <w:abstractNumId w:val="28"/>
  </w:num>
  <w:num w:numId="9">
    <w:abstractNumId w:val="2"/>
  </w:num>
  <w:num w:numId="10">
    <w:abstractNumId w:val="20"/>
  </w:num>
  <w:num w:numId="11">
    <w:abstractNumId w:val="24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19"/>
  </w:num>
  <w:num w:numId="17">
    <w:abstractNumId w:val="19"/>
  </w:num>
  <w:num w:numId="18">
    <w:abstractNumId w:val="9"/>
  </w:num>
  <w:num w:numId="19">
    <w:abstractNumId w:val="15"/>
  </w:num>
  <w:num w:numId="20">
    <w:abstractNumId w:val="30"/>
  </w:num>
  <w:num w:numId="21">
    <w:abstractNumId w:val="12"/>
  </w:num>
  <w:num w:numId="22">
    <w:abstractNumId w:val="4"/>
  </w:num>
  <w:num w:numId="23">
    <w:abstractNumId w:val="13"/>
  </w:num>
  <w:num w:numId="24">
    <w:abstractNumId w:val="33"/>
  </w:num>
  <w:num w:numId="25">
    <w:abstractNumId w:val="1"/>
  </w:num>
  <w:num w:numId="26">
    <w:abstractNumId w:val="6"/>
  </w:num>
  <w:num w:numId="27">
    <w:abstractNumId w:val="23"/>
  </w:num>
  <w:num w:numId="28">
    <w:abstractNumId w:val="11"/>
  </w:num>
  <w:num w:numId="29">
    <w:abstractNumId w:val="8"/>
  </w:num>
  <w:num w:numId="30">
    <w:abstractNumId w:val="17"/>
  </w:num>
  <w:num w:numId="31">
    <w:abstractNumId w:val="31"/>
  </w:num>
  <w:num w:numId="32">
    <w:abstractNumId w:val="32"/>
  </w:num>
  <w:num w:numId="33">
    <w:abstractNumId w:val="22"/>
  </w:num>
  <w:num w:numId="34">
    <w:abstractNumId w:val="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EE05C91-7CE7-496B-AE31-EBCB21CA0EAA}"/>
    <w:docVar w:name="dgnword-eventsink" w:val="303209960"/>
  </w:docVars>
  <w:rsids>
    <w:rsidRoot w:val="004D0A01"/>
    <w:rsid w:val="00003456"/>
    <w:rsid w:val="00004C37"/>
    <w:rsid w:val="000066B3"/>
    <w:rsid w:val="000100E4"/>
    <w:rsid w:val="00017F88"/>
    <w:rsid w:val="000502DE"/>
    <w:rsid w:val="00066D87"/>
    <w:rsid w:val="00070E46"/>
    <w:rsid w:val="00095C9F"/>
    <w:rsid w:val="000C2662"/>
    <w:rsid w:val="000E3EDE"/>
    <w:rsid w:val="00107E82"/>
    <w:rsid w:val="001212FA"/>
    <w:rsid w:val="00156427"/>
    <w:rsid w:val="001A21B6"/>
    <w:rsid w:val="001A4ED0"/>
    <w:rsid w:val="001A75EB"/>
    <w:rsid w:val="001B1CBA"/>
    <w:rsid w:val="001C5D05"/>
    <w:rsid w:val="001D0D07"/>
    <w:rsid w:val="001D2AF7"/>
    <w:rsid w:val="001D7E23"/>
    <w:rsid w:val="001E0EC1"/>
    <w:rsid w:val="00207743"/>
    <w:rsid w:val="00213167"/>
    <w:rsid w:val="00246488"/>
    <w:rsid w:val="002512F9"/>
    <w:rsid w:val="002613FA"/>
    <w:rsid w:val="00274E27"/>
    <w:rsid w:val="002C2DAF"/>
    <w:rsid w:val="002D48B6"/>
    <w:rsid w:val="00303355"/>
    <w:rsid w:val="003145FA"/>
    <w:rsid w:val="00351C7A"/>
    <w:rsid w:val="00367A41"/>
    <w:rsid w:val="00393C92"/>
    <w:rsid w:val="003A1A41"/>
    <w:rsid w:val="003A3E09"/>
    <w:rsid w:val="003B2908"/>
    <w:rsid w:val="00417566"/>
    <w:rsid w:val="00426068"/>
    <w:rsid w:val="004802BB"/>
    <w:rsid w:val="00497E38"/>
    <w:rsid w:val="004B29BE"/>
    <w:rsid w:val="004D0A01"/>
    <w:rsid w:val="004D523C"/>
    <w:rsid w:val="00560E01"/>
    <w:rsid w:val="00565EF5"/>
    <w:rsid w:val="00585DD1"/>
    <w:rsid w:val="005A1C17"/>
    <w:rsid w:val="005A2ABA"/>
    <w:rsid w:val="005D180A"/>
    <w:rsid w:val="005E7B69"/>
    <w:rsid w:val="0061775F"/>
    <w:rsid w:val="00685A74"/>
    <w:rsid w:val="00696C0D"/>
    <w:rsid w:val="006B46B3"/>
    <w:rsid w:val="006C145A"/>
    <w:rsid w:val="006C6A0D"/>
    <w:rsid w:val="006F0329"/>
    <w:rsid w:val="00700807"/>
    <w:rsid w:val="00712E58"/>
    <w:rsid w:val="007407AC"/>
    <w:rsid w:val="00745E4C"/>
    <w:rsid w:val="00755D72"/>
    <w:rsid w:val="007908D2"/>
    <w:rsid w:val="00792796"/>
    <w:rsid w:val="00796B64"/>
    <w:rsid w:val="007C7896"/>
    <w:rsid w:val="007E6779"/>
    <w:rsid w:val="00820B4C"/>
    <w:rsid w:val="0083239D"/>
    <w:rsid w:val="008529D2"/>
    <w:rsid w:val="00865BC6"/>
    <w:rsid w:val="0088105E"/>
    <w:rsid w:val="008A72D1"/>
    <w:rsid w:val="008E74E4"/>
    <w:rsid w:val="009032F5"/>
    <w:rsid w:val="00917DCA"/>
    <w:rsid w:val="0095354F"/>
    <w:rsid w:val="009535D3"/>
    <w:rsid w:val="0097262B"/>
    <w:rsid w:val="009778BE"/>
    <w:rsid w:val="00977A46"/>
    <w:rsid w:val="009F1C45"/>
    <w:rsid w:val="00A02ADB"/>
    <w:rsid w:val="00A47096"/>
    <w:rsid w:val="00AA2EC5"/>
    <w:rsid w:val="00AB4C73"/>
    <w:rsid w:val="00AB662E"/>
    <w:rsid w:val="00AD27C0"/>
    <w:rsid w:val="00AE3BF0"/>
    <w:rsid w:val="00AE6F47"/>
    <w:rsid w:val="00B57F39"/>
    <w:rsid w:val="00B73344"/>
    <w:rsid w:val="00B80D66"/>
    <w:rsid w:val="00B91E47"/>
    <w:rsid w:val="00BC6B21"/>
    <w:rsid w:val="00C45445"/>
    <w:rsid w:val="00C6028D"/>
    <w:rsid w:val="00C87E57"/>
    <w:rsid w:val="00CD5EE5"/>
    <w:rsid w:val="00CE769F"/>
    <w:rsid w:val="00CF6143"/>
    <w:rsid w:val="00D368F5"/>
    <w:rsid w:val="00D653DE"/>
    <w:rsid w:val="00D90DAB"/>
    <w:rsid w:val="00D928D0"/>
    <w:rsid w:val="00DD5C37"/>
    <w:rsid w:val="00DE61A6"/>
    <w:rsid w:val="00DF1038"/>
    <w:rsid w:val="00DF35D9"/>
    <w:rsid w:val="00E2464B"/>
    <w:rsid w:val="00E4239A"/>
    <w:rsid w:val="00E477D9"/>
    <w:rsid w:val="00EB027A"/>
    <w:rsid w:val="00EC1CBA"/>
    <w:rsid w:val="00EE7801"/>
    <w:rsid w:val="00EF2316"/>
    <w:rsid w:val="00F11A19"/>
    <w:rsid w:val="00F13AE2"/>
    <w:rsid w:val="00F16554"/>
    <w:rsid w:val="00F544E1"/>
    <w:rsid w:val="00F60576"/>
    <w:rsid w:val="00F9069B"/>
    <w:rsid w:val="00FA4E98"/>
    <w:rsid w:val="00FB136E"/>
    <w:rsid w:val="00FC473D"/>
    <w:rsid w:val="00FD5C10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B504"/>
  <w15:chartTrackingRefBased/>
  <w15:docId w15:val="{76B1F042-8D7F-4D1A-9927-4668EE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8&amp;_butInline=1&amp;_butinfo=%3ccite%20cc%3d%22USA%22%3e%3c%21%5bCDATA%5b716%20A.2d%20678%2cat%20686%5d%5d%3e%3c%2fcite%3e&amp;_fmtstr=FULL&amp;docnum=6&amp;_startdoc=1&amp;wchp=dGLbVzS-zSkAW&amp;_md5=9fa7b1747ae10b93392092855f589b7b" TargetMode="External"/><Relationship Id="rId1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7&amp;_butInline=1&amp;_butinfo=%3ccite%20cc%3d%22USA%22%3e%3c%21%5bCDATA%5b454%20A.2d%201%2cat%204%5d%5d%3e%3c%2fcite%3e&amp;_fmtstr=FULL&amp;docnum=6&amp;_startdoc=1&amp;wchp=dGLbVzS-zSkAW&amp;_md5=e20f6886d0323b5ad633b815ecc72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B734-5990-484A-8A9F-EBD5F6D6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3</cp:revision>
  <cp:lastPrinted>2019-10-25T15:36:00Z</cp:lastPrinted>
  <dcterms:created xsi:type="dcterms:W3CDTF">2022-02-08T14:16:00Z</dcterms:created>
  <dcterms:modified xsi:type="dcterms:W3CDTF">2022-02-08T14:17:00Z</dcterms:modified>
</cp:coreProperties>
</file>