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65E1A8FA" w14:textId="0E4D426F" w:rsidR="00D01C75" w:rsidRDefault="00D01C75" w:rsidP="00B50F99">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44FA5B30" w14:textId="77777777" w:rsidR="00B50F99" w:rsidRPr="00B50F99" w:rsidRDefault="00B50F99" w:rsidP="00B50F99">
            <w:pPr>
              <w:jc w:val="right"/>
              <w:rPr>
                <w:rFonts w:ascii="Arial" w:hAnsi="Arial"/>
                <w:b/>
                <w:spacing w:val="-1"/>
                <w:sz w:val="12"/>
              </w:rPr>
            </w:pPr>
          </w:p>
          <w:p w14:paraId="599D714F" w14:textId="46C68F31" w:rsidR="003569E8" w:rsidRPr="00505D70" w:rsidRDefault="00100A37" w:rsidP="00D01C75">
            <w:pPr>
              <w:jc w:val="right"/>
              <w:rPr>
                <w:rFonts w:ascii="Arial" w:hAnsi="Arial" w:cs="Arial"/>
                <w:sz w:val="16"/>
                <w:szCs w:val="16"/>
              </w:rPr>
            </w:pPr>
            <w:r w:rsidRPr="00505D70">
              <w:rPr>
                <w:rFonts w:ascii="Arial" w:hAnsi="Arial" w:cs="Arial"/>
                <w:sz w:val="16"/>
                <w:szCs w:val="16"/>
              </w:rPr>
              <w:t>P-2021</w:t>
            </w:r>
            <w:r w:rsidR="00B50F99" w:rsidRPr="00505D70">
              <w:rPr>
                <w:rFonts w:ascii="Arial" w:hAnsi="Arial" w:cs="Arial"/>
                <w:sz w:val="16"/>
                <w:szCs w:val="16"/>
              </w:rPr>
              <w:t>-3023580</w:t>
            </w:r>
            <w:r w:rsidR="00D01C75" w:rsidRPr="00505D70">
              <w:rPr>
                <w:rFonts w:ascii="Arial" w:hAnsi="Arial" w:cs="Arial"/>
                <w:sz w:val="16"/>
                <w:szCs w:val="16"/>
              </w:rPr>
              <w:t xml:space="preserve">     </w:t>
            </w:r>
          </w:p>
        </w:tc>
      </w:tr>
    </w:tbl>
    <w:p w14:paraId="0480B19A" w14:textId="77777777" w:rsidR="00C74A51" w:rsidRDefault="00C74A51">
      <w:pPr>
        <w:rPr>
          <w:sz w:val="24"/>
        </w:rPr>
        <w:sectPr w:rsidR="00C74A51" w:rsidSect="009E40EC">
          <w:footerReference w:type="even" r:id="rId8"/>
          <w:footerReference w:type="default" r:id="rId9"/>
          <w:pgSz w:w="12240" w:h="15840"/>
          <w:pgMar w:top="504" w:right="1440" w:bottom="1440" w:left="1440" w:header="720" w:footer="720" w:gutter="0"/>
          <w:cols w:space="720"/>
          <w:titlePg/>
        </w:sectPr>
      </w:pPr>
    </w:p>
    <w:p w14:paraId="11D4FFA3" w14:textId="759CBD09" w:rsidR="004B2B7C" w:rsidRPr="00505D70" w:rsidRDefault="00296DB6" w:rsidP="004B2B7C">
      <w:pPr>
        <w:tabs>
          <w:tab w:val="left" w:pos="720"/>
          <w:tab w:val="left" w:pos="1440"/>
          <w:tab w:val="left" w:pos="2160"/>
          <w:tab w:val="left" w:pos="4680"/>
        </w:tabs>
        <w:jc w:val="center"/>
        <w:rPr>
          <w:b/>
          <w:sz w:val="26"/>
          <w:szCs w:val="26"/>
        </w:rPr>
      </w:pPr>
      <w:r w:rsidRPr="00296DB6">
        <w:rPr>
          <w:sz w:val="26"/>
          <w:szCs w:val="26"/>
        </w:rPr>
        <w:t>February 9, 2022</w:t>
      </w:r>
    </w:p>
    <w:p w14:paraId="335FBF32" w14:textId="77777777" w:rsidR="004B2B7C" w:rsidRPr="00505D70" w:rsidRDefault="004B2B7C" w:rsidP="004B2B7C">
      <w:pPr>
        <w:tabs>
          <w:tab w:val="left" w:pos="720"/>
          <w:tab w:val="left" w:pos="1440"/>
          <w:tab w:val="left" w:pos="2160"/>
          <w:tab w:val="left" w:pos="4680"/>
        </w:tabs>
        <w:rPr>
          <w:b/>
          <w:sz w:val="26"/>
          <w:szCs w:val="2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20"/>
        <w:gridCol w:w="4320"/>
      </w:tblGrid>
      <w:tr w:rsidR="00505D70" w14:paraId="5A0A2543" w14:textId="77777777" w:rsidTr="00651911">
        <w:tc>
          <w:tcPr>
            <w:tcW w:w="4320" w:type="dxa"/>
          </w:tcPr>
          <w:p w14:paraId="186C51F7" w14:textId="77777777" w:rsidR="00505D70" w:rsidRPr="00505D70" w:rsidRDefault="00505D70" w:rsidP="001434A9">
            <w:pPr>
              <w:ind w:left="720" w:hanging="720"/>
              <w:rPr>
                <w:rFonts w:ascii="Times New Roman" w:hAnsi="Times New Roman"/>
                <w:sz w:val="26"/>
                <w:szCs w:val="26"/>
              </w:rPr>
            </w:pPr>
            <w:r w:rsidRPr="00505D70">
              <w:rPr>
                <w:rFonts w:ascii="Times New Roman" w:hAnsi="Times New Roman"/>
                <w:sz w:val="26"/>
                <w:szCs w:val="26"/>
              </w:rPr>
              <w:t xml:space="preserve">David P. </w:t>
            </w:r>
            <w:proofErr w:type="spellStart"/>
            <w:r w:rsidRPr="00505D70">
              <w:rPr>
                <w:rFonts w:ascii="Times New Roman" w:hAnsi="Times New Roman"/>
                <w:sz w:val="26"/>
                <w:szCs w:val="26"/>
              </w:rPr>
              <w:t>Zambito</w:t>
            </w:r>
            <w:proofErr w:type="spellEnd"/>
            <w:r w:rsidRPr="00505D70">
              <w:rPr>
                <w:rFonts w:ascii="Times New Roman" w:hAnsi="Times New Roman"/>
                <w:sz w:val="26"/>
                <w:szCs w:val="26"/>
              </w:rPr>
              <w:t>, Esquire</w:t>
            </w:r>
          </w:p>
          <w:p w14:paraId="0E912436" w14:textId="77777777" w:rsidR="00505D70" w:rsidRPr="00505D70" w:rsidRDefault="00505D70" w:rsidP="001434A9">
            <w:pPr>
              <w:ind w:left="720" w:hanging="720"/>
              <w:rPr>
                <w:rFonts w:ascii="Times New Roman" w:hAnsi="Times New Roman"/>
                <w:sz w:val="26"/>
                <w:szCs w:val="26"/>
              </w:rPr>
            </w:pPr>
            <w:r w:rsidRPr="00505D70">
              <w:rPr>
                <w:rFonts w:ascii="Times New Roman" w:hAnsi="Times New Roman"/>
                <w:sz w:val="26"/>
                <w:szCs w:val="26"/>
              </w:rPr>
              <w:t>Cozen O’Connor</w:t>
            </w:r>
          </w:p>
          <w:p w14:paraId="7126E54A" w14:textId="77777777" w:rsidR="00505D70" w:rsidRPr="00505D70" w:rsidRDefault="00505D70" w:rsidP="001434A9">
            <w:pPr>
              <w:ind w:left="720" w:hanging="720"/>
              <w:rPr>
                <w:rFonts w:ascii="Times New Roman" w:hAnsi="Times New Roman"/>
                <w:sz w:val="26"/>
                <w:szCs w:val="26"/>
              </w:rPr>
            </w:pPr>
            <w:r w:rsidRPr="00505D70">
              <w:rPr>
                <w:rFonts w:ascii="Times New Roman" w:hAnsi="Times New Roman"/>
                <w:sz w:val="26"/>
                <w:szCs w:val="26"/>
              </w:rPr>
              <w:t>17</w:t>
            </w:r>
            <w:r w:rsidRPr="00505D70">
              <w:rPr>
                <w:rFonts w:ascii="Times New Roman" w:hAnsi="Times New Roman"/>
                <w:sz w:val="26"/>
                <w:szCs w:val="26"/>
                <w:vertAlign w:val="superscript"/>
              </w:rPr>
              <w:t xml:space="preserve"> </w:t>
            </w:r>
            <w:r w:rsidRPr="00505D70">
              <w:rPr>
                <w:rFonts w:ascii="Times New Roman" w:hAnsi="Times New Roman"/>
                <w:sz w:val="26"/>
                <w:szCs w:val="26"/>
              </w:rPr>
              <w:t>N. Second Street, Suite 1410</w:t>
            </w:r>
          </w:p>
          <w:p w14:paraId="7C374AAF" w14:textId="77777777" w:rsidR="00505D70" w:rsidRPr="00505D70" w:rsidRDefault="00505D70" w:rsidP="001434A9">
            <w:pPr>
              <w:ind w:left="720" w:hanging="720"/>
              <w:rPr>
                <w:rFonts w:ascii="Times New Roman" w:hAnsi="Times New Roman"/>
                <w:sz w:val="26"/>
                <w:szCs w:val="26"/>
              </w:rPr>
            </w:pPr>
            <w:r w:rsidRPr="00505D70">
              <w:rPr>
                <w:rFonts w:ascii="Times New Roman" w:hAnsi="Times New Roman"/>
                <w:sz w:val="26"/>
                <w:szCs w:val="26"/>
              </w:rPr>
              <w:t>Harrisburg, PA 17101</w:t>
            </w:r>
          </w:p>
          <w:p w14:paraId="70392943" w14:textId="77777777" w:rsidR="00505D70" w:rsidRPr="00505D70" w:rsidRDefault="00505D70" w:rsidP="001434A9">
            <w:pPr>
              <w:ind w:left="720" w:hanging="720"/>
              <w:rPr>
                <w:rFonts w:ascii="Times New Roman" w:hAnsi="Times New Roman"/>
                <w:sz w:val="26"/>
                <w:szCs w:val="26"/>
              </w:rPr>
            </w:pPr>
            <w:r w:rsidRPr="00505D70">
              <w:rPr>
                <w:rFonts w:ascii="Times New Roman" w:hAnsi="Times New Roman"/>
                <w:sz w:val="26"/>
                <w:szCs w:val="26"/>
              </w:rPr>
              <w:t xml:space="preserve">Counsel to </w:t>
            </w:r>
            <w:proofErr w:type="spellStart"/>
            <w:r w:rsidRPr="00505D70">
              <w:rPr>
                <w:rFonts w:ascii="Times New Roman" w:hAnsi="Times New Roman"/>
                <w:sz w:val="26"/>
                <w:szCs w:val="26"/>
              </w:rPr>
              <w:t>Starlink</w:t>
            </w:r>
            <w:proofErr w:type="spellEnd"/>
            <w:r w:rsidRPr="00505D70">
              <w:rPr>
                <w:rFonts w:ascii="Times New Roman" w:hAnsi="Times New Roman"/>
                <w:sz w:val="26"/>
                <w:szCs w:val="26"/>
              </w:rPr>
              <w:t xml:space="preserve"> Services, LLC</w:t>
            </w:r>
          </w:p>
          <w:p w14:paraId="5BF0DBC2" w14:textId="77777777" w:rsidR="00505D70" w:rsidRPr="00505D70" w:rsidRDefault="00505D70" w:rsidP="001434A9">
            <w:pPr>
              <w:rPr>
                <w:rFonts w:ascii="Times New Roman" w:hAnsi="Times New Roman"/>
                <w:sz w:val="26"/>
                <w:szCs w:val="26"/>
              </w:rPr>
            </w:pPr>
          </w:p>
        </w:tc>
        <w:tc>
          <w:tcPr>
            <w:tcW w:w="4320" w:type="dxa"/>
          </w:tcPr>
          <w:p w14:paraId="422B9B63" w14:textId="77777777" w:rsidR="00505D70" w:rsidRPr="00505D70" w:rsidRDefault="00505D70" w:rsidP="001434A9">
            <w:pPr>
              <w:ind w:left="720" w:hanging="720"/>
              <w:rPr>
                <w:rFonts w:ascii="Times New Roman" w:hAnsi="Times New Roman"/>
                <w:sz w:val="26"/>
                <w:szCs w:val="26"/>
              </w:rPr>
            </w:pPr>
            <w:r w:rsidRPr="00505D70">
              <w:rPr>
                <w:rFonts w:ascii="Times New Roman" w:hAnsi="Times New Roman"/>
                <w:sz w:val="26"/>
                <w:szCs w:val="26"/>
              </w:rPr>
              <w:t xml:space="preserve">Jonathan P. </w:t>
            </w:r>
            <w:proofErr w:type="spellStart"/>
            <w:r w:rsidRPr="00505D70">
              <w:rPr>
                <w:rFonts w:ascii="Times New Roman" w:hAnsi="Times New Roman"/>
                <w:sz w:val="26"/>
                <w:szCs w:val="26"/>
              </w:rPr>
              <w:t>Nase</w:t>
            </w:r>
            <w:proofErr w:type="spellEnd"/>
            <w:r w:rsidRPr="00505D70">
              <w:rPr>
                <w:rFonts w:ascii="Times New Roman" w:hAnsi="Times New Roman"/>
                <w:sz w:val="26"/>
                <w:szCs w:val="26"/>
              </w:rPr>
              <w:t>, Esquire</w:t>
            </w:r>
          </w:p>
          <w:p w14:paraId="1DF4ECC0" w14:textId="77777777" w:rsidR="00505D70" w:rsidRPr="00505D70" w:rsidRDefault="00505D70" w:rsidP="001434A9">
            <w:pPr>
              <w:ind w:left="720" w:hanging="720"/>
              <w:rPr>
                <w:rFonts w:ascii="Times New Roman" w:hAnsi="Times New Roman"/>
                <w:sz w:val="26"/>
                <w:szCs w:val="26"/>
              </w:rPr>
            </w:pPr>
            <w:r w:rsidRPr="00505D70">
              <w:rPr>
                <w:rFonts w:ascii="Times New Roman" w:hAnsi="Times New Roman"/>
                <w:sz w:val="26"/>
                <w:szCs w:val="26"/>
              </w:rPr>
              <w:t>Cozen O’Connor</w:t>
            </w:r>
          </w:p>
          <w:p w14:paraId="582B35AD" w14:textId="77777777" w:rsidR="00505D70" w:rsidRPr="00505D70" w:rsidRDefault="00505D70" w:rsidP="001434A9">
            <w:pPr>
              <w:ind w:left="720" w:hanging="720"/>
              <w:rPr>
                <w:rFonts w:ascii="Times New Roman" w:hAnsi="Times New Roman"/>
                <w:sz w:val="26"/>
                <w:szCs w:val="26"/>
              </w:rPr>
            </w:pPr>
            <w:r w:rsidRPr="00505D70">
              <w:rPr>
                <w:rFonts w:ascii="Times New Roman" w:hAnsi="Times New Roman"/>
                <w:sz w:val="26"/>
                <w:szCs w:val="26"/>
              </w:rPr>
              <w:t>17</w:t>
            </w:r>
            <w:r w:rsidRPr="00505D70">
              <w:rPr>
                <w:rFonts w:ascii="Times New Roman" w:hAnsi="Times New Roman"/>
                <w:sz w:val="26"/>
                <w:szCs w:val="26"/>
                <w:vertAlign w:val="superscript"/>
              </w:rPr>
              <w:t xml:space="preserve"> </w:t>
            </w:r>
            <w:r w:rsidRPr="00505D70">
              <w:rPr>
                <w:rFonts w:ascii="Times New Roman" w:hAnsi="Times New Roman"/>
                <w:sz w:val="26"/>
                <w:szCs w:val="26"/>
              </w:rPr>
              <w:t>N. Second Street, Suite 1410</w:t>
            </w:r>
          </w:p>
          <w:p w14:paraId="0CB702F8" w14:textId="77777777" w:rsidR="00505D70" w:rsidRPr="00505D70" w:rsidRDefault="00505D70" w:rsidP="001434A9">
            <w:pPr>
              <w:ind w:left="720" w:hanging="720"/>
              <w:rPr>
                <w:rFonts w:ascii="Times New Roman" w:hAnsi="Times New Roman"/>
                <w:sz w:val="26"/>
                <w:szCs w:val="26"/>
              </w:rPr>
            </w:pPr>
            <w:r w:rsidRPr="00505D70">
              <w:rPr>
                <w:rFonts w:ascii="Times New Roman" w:hAnsi="Times New Roman"/>
                <w:sz w:val="26"/>
                <w:szCs w:val="26"/>
              </w:rPr>
              <w:t>Harrisburg, PA 17101</w:t>
            </w:r>
          </w:p>
          <w:p w14:paraId="63F9A4C1" w14:textId="77777777" w:rsidR="00505D70" w:rsidRPr="00505D70" w:rsidRDefault="00505D70" w:rsidP="001434A9">
            <w:pPr>
              <w:ind w:left="720" w:hanging="720"/>
              <w:rPr>
                <w:rFonts w:ascii="Times New Roman" w:hAnsi="Times New Roman"/>
                <w:sz w:val="26"/>
                <w:szCs w:val="26"/>
              </w:rPr>
            </w:pPr>
            <w:r w:rsidRPr="00505D70">
              <w:rPr>
                <w:rFonts w:ascii="Times New Roman" w:hAnsi="Times New Roman"/>
                <w:sz w:val="26"/>
                <w:szCs w:val="26"/>
              </w:rPr>
              <w:t xml:space="preserve">Counsel to </w:t>
            </w:r>
            <w:proofErr w:type="spellStart"/>
            <w:r w:rsidRPr="00505D70">
              <w:rPr>
                <w:rFonts w:ascii="Times New Roman" w:hAnsi="Times New Roman"/>
                <w:sz w:val="26"/>
                <w:szCs w:val="26"/>
              </w:rPr>
              <w:t>Starlink</w:t>
            </w:r>
            <w:proofErr w:type="spellEnd"/>
            <w:r w:rsidRPr="00505D70">
              <w:rPr>
                <w:rFonts w:ascii="Times New Roman" w:hAnsi="Times New Roman"/>
                <w:sz w:val="26"/>
                <w:szCs w:val="26"/>
              </w:rPr>
              <w:t xml:space="preserve"> Services, LLC</w:t>
            </w:r>
          </w:p>
          <w:p w14:paraId="7B3276F2" w14:textId="77777777" w:rsidR="00505D70" w:rsidRPr="00505D70" w:rsidRDefault="00505D70" w:rsidP="001434A9">
            <w:pPr>
              <w:rPr>
                <w:rFonts w:ascii="Times New Roman" w:hAnsi="Times New Roman"/>
                <w:sz w:val="26"/>
                <w:szCs w:val="26"/>
              </w:rPr>
            </w:pPr>
          </w:p>
        </w:tc>
      </w:tr>
    </w:tbl>
    <w:p w14:paraId="722FAF01" w14:textId="77777777" w:rsidR="004B2B7C" w:rsidRPr="00505D70" w:rsidRDefault="004B2B7C" w:rsidP="004B2B7C">
      <w:pPr>
        <w:tabs>
          <w:tab w:val="left" w:pos="720"/>
          <w:tab w:val="left" w:pos="1440"/>
          <w:tab w:val="left" w:pos="2160"/>
          <w:tab w:val="left" w:pos="4680"/>
        </w:tabs>
        <w:ind w:right="576"/>
        <w:rPr>
          <w:sz w:val="26"/>
          <w:szCs w:val="26"/>
        </w:rPr>
      </w:pPr>
    </w:p>
    <w:p w14:paraId="0CBF273E" w14:textId="3DBC67EA" w:rsidR="004B2B7C" w:rsidRPr="00505D70" w:rsidRDefault="004B2B7C" w:rsidP="00505D70">
      <w:pPr>
        <w:tabs>
          <w:tab w:val="left" w:pos="720"/>
          <w:tab w:val="left" w:pos="1440"/>
          <w:tab w:val="left" w:pos="2160"/>
          <w:tab w:val="left" w:pos="4680"/>
        </w:tabs>
        <w:ind w:left="1440" w:hanging="1440"/>
        <w:rPr>
          <w:sz w:val="26"/>
          <w:szCs w:val="26"/>
        </w:rPr>
      </w:pPr>
      <w:r w:rsidRPr="00505D70">
        <w:rPr>
          <w:sz w:val="26"/>
          <w:szCs w:val="26"/>
        </w:rPr>
        <w:tab/>
        <w:t>Re:</w:t>
      </w:r>
      <w:r w:rsidRPr="00505D70">
        <w:rPr>
          <w:sz w:val="26"/>
          <w:szCs w:val="26"/>
        </w:rPr>
        <w:tab/>
      </w:r>
      <w:r w:rsidR="00505D70" w:rsidRPr="00505D70">
        <w:rPr>
          <w:sz w:val="26"/>
          <w:szCs w:val="26"/>
        </w:rPr>
        <w:t xml:space="preserve">Petition of </w:t>
      </w:r>
      <w:proofErr w:type="spellStart"/>
      <w:r w:rsidR="00505D70" w:rsidRPr="00505D70">
        <w:rPr>
          <w:sz w:val="26"/>
          <w:szCs w:val="26"/>
        </w:rPr>
        <w:t>Starlink</w:t>
      </w:r>
      <w:proofErr w:type="spellEnd"/>
      <w:r w:rsidR="00505D70" w:rsidRPr="00505D70">
        <w:rPr>
          <w:sz w:val="26"/>
          <w:szCs w:val="26"/>
        </w:rPr>
        <w:t xml:space="preserve"> Services, LLC for Designation as an Eligible Telecommunications Carrier for Purposes of Receiving Rural Digital Opportunities Fund Support</w:t>
      </w:r>
    </w:p>
    <w:p w14:paraId="1C513836" w14:textId="77777777" w:rsidR="004B2B7C" w:rsidRPr="00505D70" w:rsidRDefault="004B2B7C" w:rsidP="004B2B7C">
      <w:pPr>
        <w:tabs>
          <w:tab w:val="left" w:pos="720"/>
          <w:tab w:val="left" w:pos="1440"/>
          <w:tab w:val="left" w:pos="2160"/>
          <w:tab w:val="left" w:pos="4680"/>
        </w:tabs>
        <w:rPr>
          <w:sz w:val="26"/>
          <w:szCs w:val="26"/>
        </w:rPr>
      </w:pPr>
    </w:p>
    <w:p w14:paraId="72E63C6A" w14:textId="77777777" w:rsidR="004B2B7C" w:rsidRPr="00505D70" w:rsidRDefault="004B2B7C" w:rsidP="004B2B7C">
      <w:pPr>
        <w:tabs>
          <w:tab w:val="left" w:pos="720"/>
          <w:tab w:val="left" w:pos="1440"/>
          <w:tab w:val="left" w:pos="2160"/>
          <w:tab w:val="left" w:pos="4680"/>
        </w:tabs>
        <w:rPr>
          <w:sz w:val="26"/>
          <w:szCs w:val="26"/>
        </w:rPr>
      </w:pPr>
    </w:p>
    <w:p w14:paraId="48E79A6F" w14:textId="77777777" w:rsidR="00505D70" w:rsidRPr="00505D70" w:rsidRDefault="004B2B7C" w:rsidP="00505D70">
      <w:pPr>
        <w:rPr>
          <w:sz w:val="26"/>
          <w:szCs w:val="26"/>
        </w:rPr>
      </w:pPr>
      <w:r w:rsidRPr="00505D70">
        <w:rPr>
          <w:sz w:val="26"/>
          <w:szCs w:val="26"/>
        </w:rPr>
        <w:tab/>
      </w:r>
      <w:r w:rsidR="00505D70" w:rsidRPr="00505D70">
        <w:rPr>
          <w:sz w:val="26"/>
          <w:szCs w:val="26"/>
        </w:rPr>
        <w:t xml:space="preserve">On August 26, 2021, the Commission entered an Order in the above-captioned docket, by which it provisionally granted </w:t>
      </w:r>
      <w:proofErr w:type="spellStart"/>
      <w:r w:rsidR="00505D70" w:rsidRPr="00505D70">
        <w:rPr>
          <w:sz w:val="26"/>
          <w:szCs w:val="26"/>
        </w:rPr>
        <w:t>Starlink</w:t>
      </w:r>
      <w:proofErr w:type="spellEnd"/>
      <w:r w:rsidR="00505D70" w:rsidRPr="00505D70">
        <w:rPr>
          <w:sz w:val="26"/>
          <w:szCs w:val="26"/>
        </w:rPr>
        <w:t xml:space="preserve"> Services, LLC’s (</w:t>
      </w:r>
      <w:proofErr w:type="spellStart"/>
      <w:r w:rsidR="00505D70" w:rsidRPr="00505D70">
        <w:rPr>
          <w:sz w:val="26"/>
          <w:szCs w:val="26"/>
        </w:rPr>
        <w:t>Starlink</w:t>
      </w:r>
      <w:proofErr w:type="spellEnd"/>
      <w:r w:rsidR="00505D70" w:rsidRPr="00505D70">
        <w:rPr>
          <w:sz w:val="26"/>
          <w:szCs w:val="26"/>
        </w:rPr>
        <w:t xml:space="preserve"> Services) Petition for Designation as an Eligible Telecommunications Carrier (ETC) in the Commonwealth of Pennsylvania due to its inability to submit evidence of an executed contractual agreement with a managed service provider (MSP) or other third-party voice platform that will provide it with the capability to offer voice grade access to the Public Switched Telecommunications Network (PSTN) for its voice telecommunications service customers in Pennsylvania.  This criterion must be satisfied by a common carrier seeking an ETC designation under 47 U.S.C. § 214(e)(1) and (2).  Accordingly, we directed </w:t>
      </w:r>
      <w:proofErr w:type="spellStart"/>
      <w:r w:rsidR="00505D70" w:rsidRPr="00505D70">
        <w:rPr>
          <w:sz w:val="26"/>
          <w:szCs w:val="26"/>
        </w:rPr>
        <w:t>Starlink</w:t>
      </w:r>
      <w:proofErr w:type="spellEnd"/>
      <w:r w:rsidR="00505D70" w:rsidRPr="00505D70">
        <w:rPr>
          <w:sz w:val="26"/>
          <w:szCs w:val="26"/>
        </w:rPr>
        <w:t xml:space="preserve"> Services to file such evidence within 90 days of the entry of the </w:t>
      </w:r>
      <w:r w:rsidR="00505D70" w:rsidRPr="00505D70">
        <w:rPr>
          <w:i/>
          <w:iCs/>
          <w:sz w:val="26"/>
          <w:szCs w:val="26"/>
        </w:rPr>
        <w:t>August 26, 2021, Order</w:t>
      </w:r>
      <w:r w:rsidR="00505D70" w:rsidRPr="00505D70">
        <w:rPr>
          <w:sz w:val="26"/>
          <w:szCs w:val="26"/>
        </w:rPr>
        <w:t>.</w:t>
      </w:r>
    </w:p>
    <w:p w14:paraId="781C69BD" w14:textId="77777777" w:rsidR="00505D70" w:rsidRPr="00505D70" w:rsidRDefault="00505D70" w:rsidP="00505D70">
      <w:pPr>
        <w:rPr>
          <w:sz w:val="26"/>
          <w:szCs w:val="26"/>
        </w:rPr>
      </w:pPr>
    </w:p>
    <w:p w14:paraId="75117A8F" w14:textId="77777777" w:rsidR="00505D70" w:rsidRPr="00505D70" w:rsidRDefault="00505D70" w:rsidP="00505D70">
      <w:pPr>
        <w:ind w:firstLine="720"/>
        <w:rPr>
          <w:sz w:val="26"/>
          <w:szCs w:val="26"/>
        </w:rPr>
      </w:pPr>
      <w:r w:rsidRPr="00505D70">
        <w:rPr>
          <w:sz w:val="26"/>
          <w:szCs w:val="26"/>
        </w:rPr>
        <w:t xml:space="preserve">On September 10, 2021, </w:t>
      </w:r>
      <w:proofErr w:type="spellStart"/>
      <w:r w:rsidRPr="00505D70">
        <w:rPr>
          <w:sz w:val="26"/>
          <w:szCs w:val="26"/>
        </w:rPr>
        <w:t>Starlink</w:t>
      </w:r>
      <w:proofErr w:type="spellEnd"/>
      <w:r w:rsidRPr="00505D70">
        <w:rPr>
          <w:sz w:val="26"/>
          <w:szCs w:val="26"/>
        </w:rPr>
        <w:t xml:space="preserve"> Services filed a Petition for Reconsideration which requested, </w:t>
      </w:r>
      <w:r w:rsidRPr="00505D70">
        <w:rPr>
          <w:i/>
          <w:iCs/>
          <w:sz w:val="26"/>
          <w:szCs w:val="26"/>
        </w:rPr>
        <w:t>inter alia</w:t>
      </w:r>
      <w:r w:rsidRPr="00505D70">
        <w:rPr>
          <w:sz w:val="26"/>
          <w:szCs w:val="26"/>
        </w:rPr>
        <w:t xml:space="preserve">, that the Commission remove the 90-day requirement for filing evidence of an executed contractual agreement with an MSP or other third-party voice platform to offer voice grade access to the PSTN.  The Commission entered a Notational Vote on September 27, 2021, granting reconsideration, within the meaning of Pa. R.A.P. Rule 1701(b)(3) pending review of and consideration on the merits of </w:t>
      </w:r>
      <w:proofErr w:type="spellStart"/>
      <w:r w:rsidRPr="00505D70">
        <w:rPr>
          <w:sz w:val="26"/>
          <w:szCs w:val="26"/>
        </w:rPr>
        <w:t>Starlink</w:t>
      </w:r>
      <w:proofErr w:type="spellEnd"/>
      <w:r w:rsidRPr="00505D70">
        <w:rPr>
          <w:sz w:val="26"/>
          <w:szCs w:val="26"/>
        </w:rPr>
        <w:t xml:space="preserve"> Services’ Petition for Reconsideration.</w:t>
      </w:r>
    </w:p>
    <w:p w14:paraId="3A97A660" w14:textId="77777777" w:rsidR="00505D70" w:rsidRPr="00505D70" w:rsidRDefault="00505D70" w:rsidP="00505D70">
      <w:pPr>
        <w:ind w:firstLine="720"/>
        <w:rPr>
          <w:sz w:val="26"/>
          <w:szCs w:val="26"/>
        </w:rPr>
      </w:pPr>
    </w:p>
    <w:p w14:paraId="66D69667" w14:textId="77777777" w:rsidR="00505D70" w:rsidRPr="00505D70" w:rsidRDefault="00505D70" w:rsidP="00505D70">
      <w:pPr>
        <w:ind w:firstLine="720"/>
        <w:rPr>
          <w:sz w:val="26"/>
          <w:szCs w:val="26"/>
        </w:rPr>
      </w:pPr>
      <w:r w:rsidRPr="00505D70">
        <w:rPr>
          <w:sz w:val="26"/>
          <w:szCs w:val="26"/>
        </w:rPr>
        <w:t xml:space="preserve">After considering the merits of </w:t>
      </w:r>
      <w:proofErr w:type="spellStart"/>
      <w:r w:rsidRPr="00505D70">
        <w:rPr>
          <w:sz w:val="26"/>
          <w:szCs w:val="26"/>
        </w:rPr>
        <w:t>Starlink</w:t>
      </w:r>
      <w:proofErr w:type="spellEnd"/>
      <w:r w:rsidRPr="00505D70">
        <w:rPr>
          <w:sz w:val="26"/>
          <w:szCs w:val="26"/>
        </w:rPr>
        <w:t xml:space="preserve"> Services’ Petition for Reconsideration, the Commission granted it on October 28, 2021.  Specifically, in this </w:t>
      </w:r>
      <w:r w:rsidRPr="00505D70">
        <w:rPr>
          <w:i/>
          <w:iCs/>
          <w:sz w:val="26"/>
          <w:szCs w:val="26"/>
        </w:rPr>
        <w:t>October 28, 2021, Order</w:t>
      </w:r>
      <w:r w:rsidRPr="00505D70">
        <w:rPr>
          <w:sz w:val="26"/>
          <w:szCs w:val="26"/>
        </w:rPr>
        <w:t xml:space="preserve">, the Commission reconsidered the </w:t>
      </w:r>
      <w:proofErr w:type="gramStart"/>
      <w:r w:rsidRPr="00505D70">
        <w:rPr>
          <w:sz w:val="26"/>
          <w:szCs w:val="26"/>
        </w:rPr>
        <w:t>aforementioned 90-day</w:t>
      </w:r>
      <w:proofErr w:type="gramEnd"/>
      <w:r w:rsidRPr="00505D70">
        <w:rPr>
          <w:sz w:val="26"/>
          <w:szCs w:val="26"/>
        </w:rPr>
        <w:t xml:space="preserve"> requirement for </w:t>
      </w:r>
      <w:proofErr w:type="spellStart"/>
      <w:r w:rsidRPr="00505D70">
        <w:rPr>
          <w:sz w:val="26"/>
          <w:szCs w:val="26"/>
        </w:rPr>
        <w:t>Starlink</w:t>
      </w:r>
      <w:proofErr w:type="spellEnd"/>
      <w:r w:rsidRPr="00505D70">
        <w:rPr>
          <w:sz w:val="26"/>
          <w:szCs w:val="26"/>
        </w:rPr>
        <w:t xml:space="preserve"> Services to submit evidence of an executed contractual agreement with an MSP or other third-party voice platform that will provide it with the capability to offer voice grade access to the PSTN for its voice telecommunications service customers in Pennsylvania.  Additionally, the Commission’s </w:t>
      </w:r>
      <w:r w:rsidRPr="00505D70">
        <w:rPr>
          <w:i/>
          <w:iCs/>
          <w:sz w:val="26"/>
          <w:szCs w:val="26"/>
        </w:rPr>
        <w:t>October 28, 2021, Order</w:t>
      </w:r>
      <w:r w:rsidRPr="00505D70">
        <w:rPr>
          <w:sz w:val="26"/>
          <w:szCs w:val="26"/>
        </w:rPr>
        <w:t xml:space="preserve"> directed </w:t>
      </w:r>
      <w:proofErr w:type="spellStart"/>
      <w:r w:rsidRPr="00505D70">
        <w:rPr>
          <w:sz w:val="26"/>
          <w:szCs w:val="26"/>
        </w:rPr>
        <w:t>Starlink</w:t>
      </w:r>
      <w:proofErr w:type="spellEnd"/>
      <w:r w:rsidRPr="00505D70">
        <w:rPr>
          <w:sz w:val="26"/>
          <w:szCs w:val="26"/>
        </w:rPr>
        <w:t xml:space="preserve"> Services that </w:t>
      </w:r>
      <w:r w:rsidRPr="00505D70">
        <w:rPr>
          <w:sz w:val="26"/>
          <w:szCs w:val="26"/>
        </w:rPr>
        <w:lastRenderedPageBreak/>
        <w:t xml:space="preserve">starting on November 24, 2021 and every 90 days thereafter to file status reports providing a detailed progress report on whether </w:t>
      </w:r>
      <w:proofErr w:type="spellStart"/>
      <w:r w:rsidRPr="00505D70">
        <w:rPr>
          <w:sz w:val="26"/>
          <w:szCs w:val="26"/>
        </w:rPr>
        <w:t>Starlink</w:t>
      </w:r>
      <w:proofErr w:type="spellEnd"/>
      <w:r w:rsidRPr="00505D70">
        <w:rPr>
          <w:sz w:val="26"/>
          <w:szCs w:val="26"/>
        </w:rPr>
        <w:t xml:space="preserve"> Services’ network is capable of self-provisioning access to the PSTN for its qualifying voice telecommunications service or securing a third-party MSP or report it has been authorized by the Federal Communications Commission (FCC) to receive awarded Rural Digital Opportunity Fund (RDOF) high-cost support in any jurisdiction where it submitted a winning bid.  </w:t>
      </w:r>
      <w:proofErr w:type="spellStart"/>
      <w:r w:rsidRPr="00505D70">
        <w:rPr>
          <w:sz w:val="26"/>
          <w:szCs w:val="26"/>
        </w:rPr>
        <w:t>Starlink</w:t>
      </w:r>
      <w:proofErr w:type="spellEnd"/>
      <w:r w:rsidRPr="00505D70">
        <w:rPr>
          <w:sz w:val="26"/>
          <w:szCs w:val="26"/>
        </w:rPr>
        <w:t xml:space="preserve"> Services’ obligation to file these status reports would cease only when </w:t>
      </w:r>
      <w:proofErr w:type="spellStart"/>
      <w:r w:rsidRPr="00505D70">
        <w:rPr>
          <w:sz w:val="26"/>
          <w:szCs w:val="26"/>
        </w:rPr>
        <w:t>Starlink</w:t>
      </w:r>
      <w:proofErr w:type="spellEnd"/>
      <w:r w:rsidRPr="00505D70">
        <w:rPr>
          <w:sz w:val="26"/>
          <w:szCs w:val="26"/>
        </w:rPr>
        <w:t xml:space="preserve"> Services provided proof to the Commission that its qualifying voice telecommunications service </w:t>
      </w:r>
      <w:proofErr w:type="gramStart"/>
      <w:r w:rsidRPr="00505D70">
        <w:rPr>
          <w:sz w:val="26"/>
          <w:szCs w:val="26"/>
        </w:rPr>
        <w:t>is capable of accessing</w:t>
      </w:r>
      <w:proofErr w:type="gramEnd"/>
      <w:r w:rsidRPr="00505D70">
        <w:rPr>
          <w:sz w:val="26"/>
          <w:szCs w:val="26"/>
        </w:rPr>
        <w:t xml:space="preserve"> the PSTN or that it has been authorized by the FCC to receive its awarded RDOF support in any jurisdiction where it submitted a winning bid, whichever occurs first.</w:t>
      </w:r>
    </w:p>
    <w:p w14:paraId="5154CBFA" w14:textId="77777777" w:rsidR="00505D70" w:rsidRPr="00505D70" w:rsidRDefault="00505D70" w:rsidP="00505D70">
      <w:pPr>
        <w:rPr>
          <w:sz w:val="26"/>
          <w:szCs w:val="26"/>
        </w:rPr>
      </w:pPr>
    </w:p>
    <w:p w14:paraId="3D221880" w14:textId="77777777" w:rsidR="00505D70" w:rsidRPr="00505D70" w:rsidRDefault="00505D70" w:rsidP="00505D70">
      <w:pPr>
        <w:ind w:firstLine="720"/>
        <w:rPr>
          <w:sz w:val="26"/>
          <w:szCs w:val="26"/>
        </w:rPr>
      </w:pPr>
      <w:r w:rsidRPr="00505D70">
        <w:rPr>
          <w:sz w:val="26"/>
          <w:szCs w:val="26"/>
        </w:rPr>
        <w:t xml:space="preserve">On January 6, 2022, </w:t>
      </w:r>
      <w:proofErr w:type="spellStart"/>
      <w:r w:rsidRPr="00505D70">
        <w:rPr>
          <w:sz w:val="26"/>
          <w:szCs w:val="26"/>
        </w:rPr>
        <w:t>Starlink</w:t>
      </w:r>
      <w:proofErr w:type="spellEnd"/>
      <w:r w:rsidRPr="00505D70">
        <w:rPr>
          <w:sz w:val="26"/>
          <w:szCs w:val="26"/>
        </w:rPr>
        <w:t xml:space="preserve"> Services filed evidence it has executed a contractual agreement with a third-party MSP that will enable it to offer voice </w:t>
      </w:r>
      <w:r w:rsidRPr="00505D70">
        <w:rPr>
          <w:bCs/>
          <w:sz w:val="26"/>
          <w:szCs w:val="26"/>
        </w:rPr>
        <w:t>grade access</w:t>
      </w:r>
      <w:r w:rsidRPr="00505D70">
        <w:rPr>
          <w:b/>
          <w:sz w:val="26"/>
          <w:szCs w:val="26"/>
        </w:rPr>
        <w:t xml:space="preserve"> </w:t>
      </w:r>
      <w:r w:rsidRPr="00505D70">
        <w:rPr>
          <w:sz w:val="26"/>
          <w:szCs w:val="26"/>
        </w:rPr>
        <w:t xml:space="preserve">to the PSTN to its customers in Pennsylvania.  </w:t>
      </w:r>
      <w:proofErr w:type="spellStart"/>
      <w:r w:rsidRPr="00505D70">
        <w:rPr>
          <w:sz w:val="26"/>
          <w:szCs w:val="26"/>
        </w:rPr>
        <w:t>Starlink</w:t>
      </w:r>
      <w:proofErr w:type="spellEnd"/>
      <w:r w:rsidRPr="00505D70">
        <w:rPr>
          <w:sz w:val="26"/>
          <w:szCs w:val="26"/>
        </w:rPr>
        <w:t xml:space="preserve"> Services’ January 6th confidential filing indicates that </w:t>
      </w:r>
      <w:proofErr w:type="spellStart"/>
      <w:r w:rsidRPr="00505D70">
        <w:rPr>
          <w:sz w:val="26"/>
          <w:szCs w:val="26"/>
        </w:rPr>
        <w:t>Starlink</w:t>
      </w:r>
      <w:proofErr w:type="spellEnd"/>
      <w:r w:rsidRPr="00505D70">
        <w:rPr>
          <w:sz w:val="26"/>
          <w:szCs w:val="26"/>
        </w:rPr>
        <w:t xml:space="preserve"> Services now has the capability to offer standalone voice service since it has a firm arrangement in place with a third-party MSP that will facilitate providing access of </w:t>
      </w:r>
      <w:proofErr w:type="spellStart"/>
      <w:r w:rsidRPr="00505D70">
        <w:rPr>
          <w:sz w:val="26"/>
          <w:szCs w:val="26"/>
        </w:rPr>
        <w:t>Starlink</w:t>
      </w:r>
      <w:proofErr w:type="spellEnd"/>
      <w:r w:rsidRPr="00505D70">
        <w:rPr>
          <w:sz w:val="26"/>
          <w:szCs w:val="26"/>
        </w:rPr>
        <w:t xml:space="preserve"> Services’ standalone voice service to the PSTN.  Thus, with this filing, </w:t>
      </w:r>
      <w:proofErr w:type="spellStart"/>
      <w:r w:rsidRPr="00505D70">
        <w:rPr>
          <w:sz w:val="26"/>
          <w:szCs w:val="26"/>
        </w:rPr>
        <w:t>Starlink</w:t>
      </w:r>
      <w:proofErr w:type="spellEnd"/>
      <w:r w:rsidRPr="00505D70">
        <w:rPr>
          <w:sz w:val="26"/>
          <w:szCs w:val="26"/>
        </w:rPr>
        <w:t xml:space="preserve"> Services has satisfied all criterion necessary for a common carrier to obtain from the Commission an ETC designation under 47 U.S.C. § 214(e)(1) and (2)</w:t>
      </w:r>
      <w:r w:rsidRPr="00505D70">
        <w:rPr>
          <w:i/>
          <w:iCs/>
          <w:sz w:val="26"/>
          <w:szCs w:val="26"/>
        </w:rPr>
        <w:t xml:space="preserve"> </w:t>
      </w:r>
      <w:r w:rsidRPr="00505D70">
        <w:rPr>
          <w:sz w:val="26"/>
          <w:szCs w:val="26"/>
        </w:rPr>
        <w:t>and</w:t>
      </w:r>
      <w:r w:rsidRPr="00505D70">
        <w:rPr>
          <w:i/>
          <w:iCs/>
          <w:sz w:val="26"/>
          <w:szCs w:val="26"/>
        </w:rPr>
        <w:t xml:space="preserve"> </w:t>
      </w:r>
      <w:r w:rsidRPr="00505D70">
        <w:rPr>
          <w:sz w:val="26"/>
          <w:szCs w:val="26"/>
        </w:rPr>
        <w:t>accordingly</w:t>
      </w:r>
      <w:r w:rsidRPr="00505D70">
        <w:rPr>
          <w:i/>
          <w:iCs/>
          <w:sz w:val="26"/>
          <w:szCs w:val="26"/>
        </w:rPr>
        <w:t xml:space="preserve"> </w:t>
      </w:r>
      <w:r w:rsidRPr="00505D70">
        <w:rPr>
          <w:sz w:val="26"/>
          <w:szCs w:val="26"/>
        </w:rPr>
        <w:t xml:space="preserve">its Petition for Designation as an ETC </w:t>
      </w:r>
      <w:r w:rsidRPr="00505D70">
        <w:rPr>
          <w:bCs/>
          <w:sz w:val="26"/>
          <w:szCs w:val="26"/>
        </w:rPr>
        <w:t xml:space="preserve">in the Commonwealth of Pennsylvania is granted, subject to the terms and conditions set forth in the </w:t>
      </w:r>
      <w:r w:rsidRPr="00505D70">
        <w:rPr>
          <w:bCs/>
          <w:i/>
          <w:iCs/>
          <w:sz w:val="26"/>
          <w:szCs w:val="26"/>
        </w:rPr>
        <w:t>August 26, 2021, Order</w:t>
      </w:r>
      <w:r w:rsidRPr="00505D70">
        <w:rPr>
          <w:sz w:val="26"/>
          <w:szCs w:val="26"/>
        </w:rPr>
        <w:t>.</w:t>
      </w:r>
    </w:p>
    <w:p w14:paraId="6012C8CE" w14:textId="63809563" w:rsidR="00505D70" w:rsidRPr="00505D70" w:rsidRDefault="00296DB6" w:rsidP="00505D70">
      <w:pPr>
        <w:tabs>
          <w:tab w:val="left" w:pos="6195"/>
        </w:tabs>
        <w:rPr>
          <w:rFonts w:eastAsia="Calibri"/>
          <w:color w:val="000000"/>
          <w:sz w:val="26"/>
          <w:szCs w:val="26"/>
        </w:rPr>
      </w:pPr>
      <w:r>
        <w:rPr>
          <w:noProof/>
        </w:rPr>
        <w:drawing>
          <wp:anchor distT="0" distB="0" distL="114300" distR="114300" simplePos="0" relativeHeight="251660288" behindDoc="1" locked="0" layoutInCell="1" allowOverlap="1" wp14:anchorId="675C0C25" wp14:editId="4DC9628D">
            <wp:simplePos x="0" y="0"/>
            <wp:positionH relativeFrom="column">
              <wp:posOffset>3514725</wp:posOffset>
            </wp:positionH>
            <wp:positionV relativeFrom="paragraph">
              <wp:posOffset>133350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05D70" w:rsidRPr="00505D70">
        <w:rPr>
          <w:rFonts w:eastAsia="Calibri"/>
          <w:color w:val="000000"/>
          <w:sz w:val="26"/>
          <w:szCs w:val="26"/>
        </w:rPr>
        <w:t xml:space="preserve">  </w:t>
      </w:r>
      <w:r w:rsidR="00505D70" w:rsidRPr="00505D70">
        <w:rPr>
          <w:rFonts w:eastAsia="Calibri"/>
          <w:color w:val="000000"/>
          <w:sz w:val="26"/>
          <w:szCs w:val="26"/>
        </w:rPr>
        <w:tab/>
      </w:r>
    </w:p>
    <w:p w14:paraId="4BAE6CAA" w14:textId="77777777" w:rsidR="00505D70" w:rsidRPr="00505D70" w:rsidRDefault="00505D70" w:rsidP="00505D70">
      <w:pPr>
        <w:rPr>
          <w:rFonts w:eastAsia="Calibri"/>
          <w:color w:val="000000"/>
          <w:sz w:val="26"/>
          <w:szCs w:val="26"/>
        </w:rPr>
      </w:pP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t xml:space="preserve">Very truly yours, </w:t>
      </w:r>
    </w:p>
    <w:p w14:paraId="7D8B89D3" w14:textId="77777777" w:rsidR="00505D70" w:rsidRPr="00505D70" w:rsidRDefault="00505D70" w:rsidP="00505D70">
      <w:pPr>
        <w:rPr>
          <w:rFonts w:eastAsia="Calibri"/>
          <w:color w:val="000000"/>
          <w:sz w:val="26"/>
          <w:szCs w:val="26"/>
        </w:rPr>
      </w:pPr>
    </w:p>
    <w:p w14:paraId="6D335C36" w14:textId="77777777" w:rsidR="00505D70" w:rsidRPr="00505D70" w:rsidRDefault="00505D70" w:rsidP="00505D70">
      <w:pPr>
        <w:rPr>
          <w:rFonts w:eastAsia="Calibri"/>
          <w:color w:val="000000"/>
          <w:sz w:val="26"/>
          <w:szCs w:val="26"/>
        </w:rPr>
      </w:pPr>
    </w:p>
    <w:p w14:paraId="6665677F" w14:textId="77777777" w:rsidR="00505D70" w:rsidRPr="00505D70" w:rsidRDefault="00505D70" w:rsidP="00505D70">
      <w:pPr>
        <w:rPr>
          <w:rFonts w:eastAsia="Calibri"/>
          <w:color w:val="000000"/>
          <w:sz w:val="26"/>
          <w:szCs w:val="26"/>
        </w:rPr>
      </w:pP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t>Rosemary Chiavetta</w:t>
      </w:r>
    </w:p>
    <w:p w14:paraId="5B4051EB" w14:textId="77777777" w:rsidR="00505D70" w:rsidRPr="00505D70" w:rsidRDefault="00505D70" w:rsidP="00505D70">
      <w:pPr>
        <w:rPr>
          <w:rFonts w:eastAsia="Calibri"/>
          <w:color w:val="000000"/>
          <w:sz w:val="26"/>
          <w:szCs w:val="26"/>
        </w:rPr>
      </w:pP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r>
      <w:r w:rsidRPr="00505D70">
        <w:rPr>
          <w:rFonts w:eastAsia="Calibri"/>
          <w:color w:val="000000"/>
          <w:sz w:val="26"/>
          <w:szCs w:val="26"/>
        </w:rPr>
        <w:tab/>
        <w:t>Secretary</w:t>
      </w:r>
    </w:p>
    <w:p w14:paraId="4D939BF5" w14:textId="77777777" w:rsidR="00505D70" w:rsidRPr="00505D70" w:rsidRDefault="00505D70" w:rsidP="00505D70">
      <w:pPr>
        <w:rPr>
          <w:rFonts w:eastAsia="Calibri"/>
          <w:color w:val="000000"/>
          <w:sz w:val="26"/>
          <w:szCs w:val="26"/>
        </w:rPr>
      </w:pPr>
    </w:p>
    <w:p w14:paraId="32D2DBF3" w14:textId="77777777" w:rsidR="00505D70" w:rsidRPr="00505D70" w:rsidRDefault="00505D70" w:rsidP="00505D70">
      <w:pPr>
        <w:rPr>
          <w:sz w:val="26"/>
          <w:szCs w:val="26"/>
        </w:rPr>
      </w:pPr>
      <w:r w:rsidRPr="00505D70">
        <w:rPr>
          <w:rFonts w:eastAsia="Calibri"/>
          <w:color w:val="000000"/>
          <w:sz w:val="26"/>
          <w:szCs w:val="26"/>
        </w:rPr>
        <w:t>cc:</w:t>
      </w:r>
      <w:r w:rsidRPr="00505D70">
        <w:rPr>
          <w:rFonts w:eastAsia="Calibri"/>
          <w:color w:val="000000"/>
          <w:sz w:val="26"/>
          <w:szCs w:val="26"/>
        </w:rPr>
        <w:tab/>
        <w:t>Joseph P. Cardinale, Jr., Assistant Counsel</w:t>
      </w:r>
    </w:p>
    <w:p w14:paraId="5E4CB9DD" w14:textId="77777777" w:rsidR="00505D70" w:rsidRPr="00505D70" w:rsidRDefault="00505D70" w:rsidP="00505D70">
      <w:pPr>
        <w:rPr>
          <w:sz w:val="26"/>
          <w:szCs w:val="26"/>
        </w:rPr>
      </w:pPr>
      <w:r w:rsidRPr="00505D70">
        <w:rPr>
          <w:sz w:val="26"/>
          <w:szCs w:val="26"/>
        </w:rPr>
        <w:tab/>
        <w:t>David E. Screven, Deputy Chief Counsel</w:t>
      </w:r>
    </w:p>
    <w:p w14:paraId="05F4E009" w14:textId="40834327" w:rsidR="004B2B7C" w:rsidRPr="004B2B7C" w:rsidRDefault="004B2B7C" w:rsidP="00505D70">
      <w:pPr>
        <w:tabs>
          <w:tab w:val="left" w:pos="720"/>
          <w:tab w:val="left" w:pos="1440"/>
          <w:tab w:val="left" w:pos="2160"/>
          <w:tab w:val="left" w:pos="4680"/>
        </w:tabs>
        <w:autoSpaceDE w:val="0"/>
        <w:autoSpaceDN w:val="0"/>
        <w:adjustRightInd w:val="0"/>
        <w:rPr>
          <w:sz w:val="26"/>
          <w:szCs w:val="26"/>
        </w:rPr>
      </w:pPr>
    </w:p>
    <w:p w14:paraId="1E8BBB79" w14:textId="6BA6E556" w:rsidR="001E1BF3" w:rsidRPr="00A35F64" w:rsidRDefault="001E1BF3" w:rsidP="00900881">
      <w:pPr>
        <w:jc w:val="center"/>
        <w:rPr>
          <w:color w:val="000066"/>
          <w:sz w:val="26"/>
          <w:szCs w:val="26"/>
        </w:rPr>
      </w:pPr>
    </w:p>
    <w:sectPr w:rsidR="001E1BF3" w:rsidRPr="00A35F64" w:rsidSect="0084218B">
      <w:footerReference w:type="even" r:id="rId11"/>
      <w:footerReference w:type="defaul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BD90" w14:textId="77777777" w:rsidR="00397E26" w:rsidRDefault="00397E26">
      <w:r>
        <w:separator/>
      </w:r>
    </w:p>
  </w:endnote>
  <w:endnote w:type="continuationSeparator" w:id="0">
    <w:p w14:paraId="443790BD" w14:textId="77777777" w:rsidR="00397E26" w:rsidRDefault="0039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7417" w14:textId="77777777" w:rsidR="0075019A" w:rsidRDefault="005F5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C96063" w14:textId="77777777" w:rsidR="0075019A" w:rsidRDefault="00296D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4733" w14:textId="77777777" w:rsidR="0075019A" w:rsidRDefault="00296DB6">
    <w:pPr>
      <w:pStyle w:val="Footer"/>
      <w:framePr w:wrap="around" w:vAnchor="text" w:hAnchor="margin" w:xAlign="center" w:y="1"/>
      <w:rPr>
        <w:rStyle w:val="PageNumber"/>
      </w:rPr>
    </w:pPr>
  </w:p>
  <w:p w14:paraId="5F1361F1" w14:textId="77777777" w:rsidR="0075019A" w:rsidRDefault="00296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53F8C" w14:textId="77777777" w:rsidR="00397E26" w:rsidRDefault="00397E26">
      <w:r>
        <w:separator/>
      </w:r>
    </w:p>
  </w:footnote>
  <w:footnote w:type="continuationSeparator" w:id="0">
    <w:p w14:paraId="063F134A" w14:textId="77777777" w:rsidR="00397E26" w:rsidRDefault="00397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00A37"/>
    <w:rsid w:val="001209F1"/>
    <w:rsid w:val="00125446"/>
    <w:rsid w:val="00134DA3"/>
    <w:rsid w:val="0013719C"/>
    <w:rsid w:val="001434A9"/>
    <w:rsid w:val="001614F4"/>
    <w:rsid w:val="00186176"/>
    <w:rsid w:val="001A3788"/>
    <w:rsid w:val="001C34D1"/>
    <w:rsid w:val="001D37A3"/>
    <w:rsid w:val="001E1BF3"/>
    <w:rsid w:val="002229C3"/>
    <w:rsid w:val="0022598F"/>
    <w:rsid w:val="00272AC3"/>
    <w:rsid w:val="0029471C"/>
    <w:rsid w:val="00296DB6"/>
    <w:rsid w:val="002A6DAF"/>
    <w:rsid w:val="002E0E41"/>
    <w:rsid w:val="002E4A14"/>
    <w:rsid w:val="002F0138"/>
    <w:rsid w:val="002F2A55"/>
    <w:rsid w:val="002F55B1"/>
    <w:rsid w:val="003074C3"/>
    <w:rsid w:val="00340F5E"/>
    <w:rsid w:val="003569E8"/>
    <w:rsid w:val="00372134"/>
    <w:rsid w:val="00385CA5"/>
    <w:rsid w:val="00397E26"/>
    <w:rsid w:val="004001C2"/>
    <w:rsid w:val="00474D6A"/>
    <w:rsid w:val="004B2B7C"/>
    <w:rsid w:val="004C090E"/>
    <w:rsid w:val="004C4A5A"/>
    <w:rsid w:val="004D2698"/>
    <w:rsid w:val="004D57EC"/>
    <w:rsid w:val="00505D70"/>
    <w:rsid w:val="0051639C"/>
    <w:rsid w:val="005E25C5"/>
    <w:rsid w:val="005F5AD4"/>
    <w:rsid w:val="00602685"/>
    <w:rsid w:val="006439A8"/>
    <w:rsid w:val="00651911"/>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A7C15"/>
    <w:rsid w:val="009B23D8"/>
    <w:rsid w:val="009C2DDA"/>
    <w:rsid w:val="009C5DC4"/>
    <w:rsid w:val="009E40EC"/>
    <w:rsid w:val="009F5F66"/>
    <w:rsid w:val="00A14087"/>
    <w:rsid w:val="00A16325"/>
    <w:rsid w:val="00A35F64"/>
    <w:rsid w:val="00A53EAC"/>
    <w:rsid w:val="00A81E4B"/>
    <w:rsid w:val="00AA12A9"/>
    <w:rsid w:val="00B05141"/>
    <w:rsid w:val="00B50F99"/>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01C75"/>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FooterChar">
    <w:name w:val="Footer Char"/>
    <w:basedOn w:val="DefaultParagraphFont"/>
    <w:link w:val="Footer"/>
    <w:rsid w:val="004B2B7C"/>
  </w:style>
  <w:style w:type="table" w:styleId="TableGrid">
    <w:name w:val="Table Grid"/>
    <w:basedOn w:val="TableNormal"/>
    <w:uiPriority w:val="59"/>
    <w:rsid w:val="00505D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3938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2022-02-09T19:38:00Z</dcterms:created>
  <dcterms:modified xsi:type="dcterms:W3CDTF">2022-02-09T19:38:00Z</dcterms:modified>
</cp:coreProperties>
</file>