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A230FF0" w14:textId="3E2742AE" w:rsidR="006879C9" w:rsidRDefault="006879C9" w:rsidP="006879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February 15, 2022</w:t>
      </w:r>
    </w:p>
    <w:p w14:paraId="57CF60DF" w14:textId="63D6FFE0" w:rsidR="00DB0F8E" w:rsidRPr="00DB0F8E" w:rsidRDefault="006879C9" w:rsidP="006879C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6879C9">
        <w:rPr>
          <w:sz w:val="22"/>
          <w:szCs w:val="22"/>
        </w:rPr>
        <w:t>C-2021-3028574</w:t>
      </w:r>
    </w:p>
    <w:p w14:paraId="09303E0C" w14:textId="0C4C08B2" w:rsidR="00DB0F8E" w:rsidRDefault="006879C9" w:rsidP="006879C9">
      <w:pPr>
        <w:jc w:val="center"/>
        <w:rPr>
          <w:sz w:val="22"/>
          <w:szCs w:val="22"/>
        </w:rPr>
      </w:pPr>
      <w:r w:rsidRPr="006879C9">
        <w:rPr>
          <w:sz w:val="22"/>
          <w:szCs w:val="22"/>
        </w:rPr>
        <w:t>Frankford Avenue Redevelopment Authority, LLC</w:t>
      </w:r>
    </w:p>
    <w:p w14:paraId="5BF64E22" w14:textId="37DDD487" w:rsidR="006879C9" w:rsidRDefault="006879C9" w:rsidP="006879C9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42EFD9B" w14:textId="2F5E4676" w:rsidR="006879C9" w:rsidRPr="00DB0F8E" w:rsidRDefault="006879C9" w:rsidP="006879C9">
      <w:pPr>
        <w:jc w:val="center"/>
        <w:rPr>
          <w:sz w:val="22"/>
          <w:szCs w:val="22"/>
        </w:rPr>
      </w:pPr>
      <w:r w:rsidRPr="006879C9">
        <w:rPr>
          <w:sz w:val="22"/>
          <w:szCs w:val="22"/>
        </w:rPr>
        <w:t>PECO Energy Company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879C9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2022-02-15T14:41:00Z</dcterms:created>
  <dcterms:modified xsi:type="dcterms:W3CDTF">2022-02-15T14:41:00Z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