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5" w:type="dxa"/>
        <w:tblInd w:w="-702" w:type="dxa"/>
        <w:tblLayout w:type="fixed"/>
        <w:tblLook w:val="0000" w:firstRow="0" w:lastRow="0" w:firstColumn="0" w:lastColumn="0" w:noHBand="0" w:noVBand="0"/>
      </w:tblPr>
      <w:tblGrid>
        <w:gridCol w:w="1890"/>
        <w:gridCol w:w="7819"/>
        <w:gridCol w:w="1406"/>
      </w:tblGrid>
      <w:tr w:rsidR="00C74A51" w:rsidRPr="004A49E4" w14:paraId="3F2FC8F5" w14:textId="77777777" w:rsidTr="002A2CC7">
        <w:trPr>
          <w:trHeight w:val="1071"/>
        </w:trPr>
        <w:tc>
          <w:tcPr>
            <w:tcW w:w="1890" w:type="dxa"/>
          </w:tcPr>
          <w:p w14:paraId="4CE2D55A" w14:textId="0C4CBAB7" w:rsidR="00C74A51" w:rsidRPr="004A49E4" w:rsidRDefault="00725A7E">
            <w:pPr>
              <w:rPr>
                <w:rFonts w:ascii="Arial" w:hAnsi="Arial" w:cs="Arial"/>
                <w:sz w:val="24"/>
                <w:szCs w:val="24"/>
              </w:rPr>
            </w:pPr>
            <w:r>
              <w:rPr>
                <w:noProof/>
                <w:sz w:val="24"/>
              </w:rPr>
              <w:drawing>
                <wp:inline distT="0" distB="0" distL="0" distR="0" wp14:anchorId="1D96AEF8" wp14:editId="7D965BCD">
                  <wp:extent cx="1085850" cy="704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704850"/>
                          </a:xfrm>
                          <a:prstGeom prst="rect">
                            <a:avLst/>
                          </a:prstGeom>
                          <a:noFill/>
                          <a:ln>
                            <a:noFill/>
                          </a:ln>
                        </pic:spPr>
                      </pic:pic>
                    </a:graphicData>
                  </a:graphic>
                </wp:inline>
              </w:drawing>
            </w:r>
          </w:p>
        </w:tc>
        <w:tc>
          <w:tcPr>
            <w:tcW w:w="7819" w:type="dxa"/>
          </w:tcPr>
          <w:p w14:paraId="351FCF10" w14:textId="77777777" w:rsidR="002A2CC7" w:rsidRPr="002A2CC7" w:rsidRDefault="002A2CC7" w:rsidP="002A2CC7">
            <w:pPr>
              <w:jc w:val="center"/>
              <w:rPr>
                <w:rFonts w:ascii="Arial" w:hAnsi="Arial" w:cs="Arial"/>
                <w:sz w:val="26"/>
                <w:szCs w:val="26"/>
              </w:rPr>
            </w:pPr>
            <w:r w:rsidRPr="002A2CC7">
              <w:rPr>
                <w:rFonts w:ascii="Arial" w:hAnsi="Arial" w:cs="Arial"/>
                <w:sz w:val="26"/>
                <w:szCs w:val="26"/>
              </w:rPr>
              <w:t>COMMONWEALTH OF PENNSYLVANIA</w:t>
            </w:r>
          </w:p>
          <w:p w14:paraId="20576BD6" w14:textId="77777777" w:rsidR="002A2CC7" w:rsidRPr="002A2CC7" w:rsidRDefault="002A2CC7" w:rsidP="002A2CC7">
            <w:pPr>
              <w:jc w:val="center"/>
              <w:rPr>
                <w:rFonts w:ascii="Arial" w:hAnsi="Arial" w:cs="Arial"/>
                <w:sz w:val="26"/>
                <w:szCs w:val="26"/>
              </w:rPr>
            </w:pPr>
            <w:r w:rsidRPr="002A2CC7">
              <w:rPr>
                <w:rFonts w:ascii="Arial" w:hAnsi="Arial" w:cs="Arial"/>
                <w:sz w:val="26"/>
                <w:szCs w:val="26"/>
              </w:rPr>
              <w:t>PENNSYLVANIA PUBLIC UTILITY COMMISSION</w:t>
            </w:r>
          </w:p>
          <w:p w14:paraId="54D0AE1C" w14:textId="77777777" w:rsidR="00C74A51" w:rsidRPr="004A49E4" w:rsidRDefault="002A2CC7" w:rsidP="002A2CC7">
            <w:pPr>
              <w:jc w:val="center"/>
              <w:rPr>
                <w:rFonts w:ascii="Arial" w:hAnsi="Arial" w:cs="Arial"/>
                <w:sz w:val="24"/>
                <w:szCs w:val="24"/>
              </w:rPr>
            </w:pPr>
            <w:r w:rsidRPr="002A2CC7">
              <w:rPr>
                <w:rFonts w:ascii="Arial" w:hAnsi="Arial" w:cs="Arial"/>
                <w:sz w:val="26"/>
                <w:szCs w:val="26"/>
              </w:rPr>
              <w:t>400 NORTH STREET, HARRISBURG, PA 17120</w:t>
            </w:r>
          </w:p>
        </w:tc>
        <w:tc>
          <w:tcPr>
            <w:tcW w:w="1406" w:type="dxa"/>
          </w:tcPr>
          <w:p w14:paraId="64B438F1" w14:textId="77777777" w:rsidR="003063FE" w:rsidRDefault="003063FE">
            <w:pPr>
              <w:jc w:val="right"/>
              <w:rPr>
                <w:rFonts w:ascii="Arial" w:hAnsi="Arial" w:cs="Arial"/>
                <w:b/>
                <w:spacing w:val="-1"/>
                <w:sz w:val="12"/>
                <w:szCs w:val="12"/>
              </w:rPr>
            </w:pPr>
          </w:p>
          <w:p w14:paraId="70F96E68" w14:textId="77777777" w:rsidR="003063FE" w:rsidRDefault="003063FE">
            <w:pPr>
              <w:jc w:val="right"/>
              <w:rPr>
                <w:rFonts w:ascii="Arial" w:hAnsi="Arial" w:cs="Arial"/>
                <w:b/>
                <w:spacing w:val="-1"/>
                <w:sz w:val="12"/>
                <w:szCs w:val="12"/>
              </w:rPr>
            </w:pPr>
          </w:p>
          <w:p w14:paraId="2C0D8B76" w14:textId="77777777" w:rsidR="003063FE" w:rsidRDefault="003063FE">
            <w:pPr>
              <w:jc w:val="right"/>
              <w:rPr>
                <w:rFonts w:ascii="Arial" w:hAnsi="Arial" w:cs="Arial"/>
                <w:b/>
                <w:spacing w:val="-1"/>
                <w:sz w:val="12"/>
                <w:szCs w:val="12"/>
              </w:rPr>
            </w:pPr>
          </w:p>
          <w:p w14:paraId="1EABF520" w14:textId="77777777" w:rsidR="003063FE" w:rsidRDefault="003063FE">
            <w:pPr>
              <w:jc w:val="right"/>
              <w:rPr>
                <w:rFonts w:ascii="Arial" w:hAnsi="Arial" w:cs="Arial"/>
                <w:b/>
                <w:spacing w:val="-1"/>
                <w:sz w:val="12"/>
                <w:szCs w:val="12"/>
              </w:rPr>
            </w:pPr>
          </w:p>
          <w:p w14:paraId="45E79C80" w14:textId="77777777" w:rsidR="003063FE" w:rsidRDefault="003063FE">
            <w:pPr>
              <w:jc w:val="right"/>
              <w:rPr>
                <w:rFonts w:ascii="Arial" w:hAnsi="Arial" w:cs="Arial"/>
                <w:b/>
                <w:spacing w:val="-1"/>
                <w:sz w:val="12"/>
                <w:szCs w:val="12"/>
              </w:rPr>
            </w:pPr>
          </w:p>
          <w:p w14:paraId="616BA61A" w14:textId="77777777" w:rsidR="003063FE" w:rsidRDefault="003063FE">
            <w:pPr>
              <w:jc w:val="right"/>
              <w:rPr>
                <w:rFonts w:ascii="Arial" w:hAnsi="Arial" w:cs="Arial"/>
                <w:b/>
                <w:spacing w:val="-1"/>
                <w:sz w:val="12"/>
                <w:szCs w:val="12"/>
              </w:rPr>
            </w:pPr>
          </w:p>
          <w:p w14:paraId="79D017D9" w14:textId="77777777" w:rsidR="00C74A51" w:rsidRPr="004A49E4" w:rsidRDefault="0078642C">
            <w:pPr>
              <w:jc w:val="right"/>
              <w:rPr>
                <w:rFonts w:ascii="Arial" w:hAnsi="Arial" w:cs="Arial"/>
                <w:sz w:val="12"/>
                <w:szCs w:val="12"/>
              </w:rPr>
            </w:pPr>
            <w:r>
              <w:rPr>
                <w:rFonts w:ascii="Arial" w:hAnsi="Arial" w:cs="Arial"/>
                <w:b/>
                <w:spacing w:val="-1"/>
                <w:sz w:val="12"/>
                <w:szCs w:val="12"/>
              </w:rPr>
              <w:t>I</w:t>
            </w:r>
            <w:r w:rsidR="00C74A51" w:rsidRPr="004A49E4">
              <w:rPr>
                <w:rFonts w:ascii="Arial" w:hAnsi="Arial" w:cs="Arial"/>
                <w:b/>
                <w:spacing w:val="-1"/>
                <w:sz w:val="12"/>
                <w:szCs w:val="12"/>
              </w:rPr>
              <w:t>N REPLY PLEASE REFER TO OUR FILE</w:t>
            </w:r>
          </w:p>
        </w:tc>
      </w:tr>
    </w:tbl>
    <w:p w14:paraId="273D32DA" w14:textId="77777777" w:rsidR="00C74A51" w:rsidRPr="004A49E4" w:rsidRDefault="00C74A51" w:rsidP="003063FE">
      <w:pPr>
        <w:jc w:val="center"/>
        <w:rPr>
          <w:rFonts w:ascii="Arial" w:hAnsi="Arial" w:cs="Arial"/>
          <w:sz w:val="24"/>
          <w:szCs w:val="24"/>
        </w:rPr>
        <w:sectPr w:rsidR="00C74A51" w:rsidRPr="004A49E4">
          <w:pgSz w:w="12240" w:h="15840"/>
          <w:pgMar w:top="504" w:right="1440" w:bottom="1440" w:left="1440" w:header="720" w:footer="720" w:gutter="0"/>
          <w:cols w:space="720"/>
        </w:sectPr>
      </w:pPr>
    </w:p>
    <w:p w14:paraId="71D4927C" w14:textId="77777777" w:rsidR="00660EF5" w:rsidRPr="004A49E4" w:rsidRDefault="00660EF5" w:rsidP="005A6688">
      <w:pPr>
        <w:jc w:val="center"/>
        <w:rPr>
          <w:rFonts w:ascii="Arial" w:hAnsi="Arial" w:cs="Arial"/>
          <w:sz w:val="24"/>
          <w:szCs w:val="24"/>
        </w:rPr>
      </w:pPr>
    </w:p>
    <w:p w14:paraId="03048F38" w14:textId="209031A7" w:rsidR="00975026" w:rsidRDefault="001E190B" w:rsidP="003063FE">
      <w:pPr>
        <w:ind w:right="-684"/>
        <w:jc w:val="right"/>
        <w:rPr>
          <w:sz w:val="24"/>
          <w:szCs w:val="24"/>
        </w:rPr>
      </w:pPr>
      <w:r w:rsidRPr="001E190B">
        <w:rPr>
          <w:sz w:val="24"/>
          <w:szCs w:val="24"/>
        </w:rPr>
        <w:t>M-2018-2640802</w:t>
      </w:r>
      <w:r w:rsidR="006B23AD">
        <w:rPr>
          <w:sz w:val="24"/>
          <w:szCs w:val="24"/>
        </w:rPr>
        <w:t xml:space="preserve"> (Water)</w:t>
      </w:r>
    </w:p>
    <w:p w14:paraId="60F707AC" w14:textId="570C982C" w:rsidR="00A851CA" w:rsidRDefault="006B23AD" w:rsidP="003063FE">
      <w:pPr>
        <w:ind w:right="-684"/>
        <w:jc w:val="right"/>
        <w:rPr>
          <w:sz w:val="24"/>
          <w:szCs w:val="24"/>
        </w:rPr>
      </w:pPr>
      <w:r w:rsidRPr="006B23AD">
        <w:rPr>
          <w:sz w:val="24"/>
          <w:szCs w:val="24"/>
        </w:rPr>
        <w:t>M-2018-264080</w:t>
      </w:r>
      <w:r w:rsidR="007B09BB">
        <w:rPr>
          <w:sz w:val="24"/>
          <w:szCs w:val="24"/>
        </w:rPr>
        <w:t>3</w:t>
      </w:r>
      <w:r>
        <w:rPr>
          <w:sz w:val="24"/>
          <w:szCs w:val="24"/>
        </w:rPr>
        <w:t xml:space="preserve"> (Wastewater)</w:t>
      </w:r>
    </w:p>
    <w:p w14:paraId="2CB09BA3" w14:textId="0E4F85DF" w:rsidR="00F730B3" w:rsidRDefault="00F730B3" w:rsidP="003063FE">
      <w:pPr>
        <w:ind w:right="-684"/>
        <w:jc w:val="right"/>
        <w:rPr>
          <w:sz w:val="24"/>
          <w:szCs w:val="24"/>
        </w:rPr>
      </w:pPr>
    </w:p>
    <w:p w14:paraId="1BCF84B2" w14:textId="77777777" w:rsidR="00F730B3" w:rsidRPr="004442B7" w:rsidRDefault="00F730B3" w:rsidP="003063FE">
      <w:pPr>
        <w:ind w:right="-684"/>
        <w:jc w:val="right"/>
        <w:rPr>
          <w:sz w:val="24"/>
          <w:szCs w:val="24"/>
        </w:rPr>
      </w:pPr>
    </w:p>
    <w:p w14:paraId="154956C2" w14:textId="3E58DEAD" w:rsidR="00B6481E" w:rsidRDefault="005F208F" w:rsidP="00B6481E">
      <w:pPr>
        <w:jc w:val="center"/>
        <w:rPr>
          <w:b/>
          <w:sz w:val="26"/>
          <w:szCs w:val="26"/>
        </w:rPr>
      </w:pPr>
      <w:r>
        <w:rPr>
          <w:b/>
          <w:sz w:val="26"/>
          <w:szCs w:val="26"/>
        </w:rPr>
        <w:t>February 22, 2022</w:t>
      </w:r>
    </w:p>
    <w:p w14:paraId="39921184" w14:textId="77777777" w:rsidR="00B6481E" w:rsidRDefault="00B6481E" w:rsidP="00B6481E">
      <w:pPr>
        <w:jc w:val="center"/>
        <w:rPr>
          <w:b/>
          <w:sz w:val="26"/>
          <w:szCs w:val="26"/>
        </w:rPr>
      </w:pPr>
    </w:p>
    <w:p w14:paraId="33B6C1E8" w14:textId="77777777" w:rsidR="00B6481E" w:rsidRDefault="00B6481E" w:rsidP="00B6481E">
      <w:pPr>
        <w:tabs>
          <w:tab w:val="left" w:pos="5760"/>
          <w:tab w:val="left" w:pos="7200"/>
        </w:tabs>
        <w:jc w:val="center"/>
        <w:rPr>
          <w:b/>
          <w:sz w:val="26"/>
          <w:szCs w:val="26"/>
        </w:rPr>
      </w:pPr>
      <w:r>
        <w:rPr>
          <w:b/>
          <w:sz w:val="26"/>
          <w:szCs w:val="26"/>
        </w:rPr>
        <w:t xml:space="preserve">ASSIGNMENT OF THE PITTSBURGH WATER AND SEWER AUTHORITY </w:t>
      </w:r>
    </w:p>
    <w:p w14:paraId="0539A9AA" w14:textId="7B17A8D7" w:rsidR="00B6481E" w:rsidRDefault="00B6481E" w:rsidP="00B6481E">
      <w:pPr>
        <w:tabs>
          <w:tab w:val="left" w:pos="5760"/>
          <w:tab w:val="left" w:pos="7200"/>
        </w:tabs>
        <w:jc w:val="center"/>
        <w:rPr>
          <w:b/>
          <w:sz w:val="26"/>
          <w:szCs w:val="26"/>
        </w:rPr>
      </w:pPr>
      <w:r>
        <w:rPr>
          <w:b/>
          <w:sz w:val="26"/>
          <w:szCs w:val="26"/>
        </w:rPr>
        <w:t xml:space="preserve">STAGE 2 COMPLIANCE PLAN </w:t>
      </w:r>
      <w:r w:rsidR="00DB033E">
        <w:rPr>
          <w:b/>
          <w:sz w:val="26"/>
          <w:szCs w:val="26"/>
        </w:rPr>
        <w:t xml:space="preserve">– STORMWATER </w:t>
      </w:r>
      <w:r>
        <w:rPr>
          <w:b/>
          <w:sz w:val="26"/>
          <w:szCs w:val="26"/>
        </w:rPr>
        <w:t xml:space="preserve">TO </w:t>
      </w:r>
    </w:p>
    <w:p w14:paraId="102EA412" w14:textId="77777777" w:rsidR="00B6481E" w:rsidRDefault="00B6481E" w:rsidP="00B6481E">
      <w:pPr>
        <w:tabs>
          <w:tab w:val="left" w:pos="5760"/>
          <w:tab w:val="left" w:pos="7200"/>
        </w:tabs>
        <w:jc w:val="center"/>
        <w:rPr>
          <w:b/>
          <w:sz w:val="26"/>
          <w:szCs w:val="26"/>
        </w:rPr>
      </w:pPr>
      <w:r>
        <w:rPr>
          <w:b/>
          <w:sz w:val="26"/>
          <w:szCs w:val="26"/>
        </w:rPr>
        <w:t>THE OFFICE OF ADMINISTRATIVE LAW JUDGE</w:t>
      </w:r>
    </w:p>
    <w:p w14:paraId="6858FAB0" w14:textId="77777777" w:rsidR="00B6481E" w:rsidRDefault="00B6481E" w:rsidP="00B6481E">
      <w:pPr>
        <w:tabs>
          <w:tab w:val="left" w:pos="5760"/>
          <w:tab w:val="left" w:pos="7200"/>
        </w:tabs>
        <w:jc w:val="center"/>
        <w:rPr>
          <w:b/>
          <w:sz w:val="26"/>
          <w:szCs w:val="26"/>
        </w:rPr>
      </w:pPr>
    </w:p>
    <w:p w14:paraId="70EDFD6F" w14:textId="0E28B1CF" w:rsidR="00DB033E" w:rsidRDefault="00DB033E" w:rsidP="00725A7E">
      <w:pPr>
        <w:spacing w:after="240"/>
        <w:ind w:firstLine="720"/>
        <w:rPr>
          <w:sz w:val="26"/>
          <w:szCs w:val="26"/>
        </w:rPr>
      </w:pPr>
      <w:r>
        <w:rPr>
          <w:sz w:val="26"/>
          <w:szCs w:val="26"/>
        </w:rPr>
        <w:t>By Order entered May 20, 2021 (May 2021 Order), the Commission directed the Pittsburgh Water and Sewer Authority (PWSA) to file a revised stormwater compliance plan within 30 days of the entry of a final order in the combined base rate case at Docket Nos. R-2021-3024773, R 2021-3024774, and R-2021-3024779, but no later than January 31, 2022.</w:t>
      </w:r>
      <w:r>
        <w:rPr>
          <w:rStyle w:val="FootnoteReference"/>
          <w:szCs w:val="26"/>
        </w:rPr>
        <w:footnoteReference w:id="1"/>
      </w:r>
      <w:r>
        <w:rPr>
          <w:sz w:val="26"/>
          <w:szCs w:val="26"/>
        </w:rPr>
        <w:t xml:space="preserve">  The Commission also directed the Bureau of Technical Utility Services (TUS) to draft a second report and directed questions identifying any Stage 2 Compliance Plan issues pertaining to stormwater compliance to be referred and assigned to the Office of Administrative Law Judge (OALJ) within 30 days of the filing of PSWA’s revised stormwater compliance plan.  PWSA filed its revised Stormwater Stage 2 Compliance Plan (Revised Stormwater CP) on January 20, 2022.</w:t>
      </w:r>
    </w:p>
    <w:p w14:paraId="1A9D0CC1" w14:textId="3BAC7FE3" w:rsidR="00FC7D43" w:rsidRDefault="00B6481E" w:rsidP="00725A7E">
      <w:pPr>
        <w:ind w:firstLine="720"/>
        <w:rPr>
          <w:rFonts w:eastAsia="Calibri"/>
          <w:sz w:val="26"/>
          <w:szCs w:val="22"/>
        </w:rPr>
      </w:pPr>
      <w:r>
        <w:rPr>
          <w:rFonts w:eastAsia="Calibri"/>
          <w:sz w:val="26"/>
          <w:szCs w:val="22"/>
        </w:rPr>
        <w:t xml:space="preserve">This Secretarial Letter assigns </w:t>
      </w:r>
      <w:r w:rsidR="00FB09B5">
        <w:rPr>
          <w:rFonts w:eastAsia="Calibri"/>
          <w:sz w:val="26"/>
          <w:szCs w:val="22"/>
        </w:rPr>
        <w:t xml:space="preserve">the review of </w:t>
      </w:r>
      <w:r>
        <w:rPr>
          <w:rFonts w:eastAsia="Calibri"/>
          <w:sz w:val="26"/>
          <w:szCs w:val="22"/>
        </w:rPr>
        <w:t>PWSA</w:t>
      </w:r>
      <w:r w:rsidR="00DB033E">
        <w:rPr>
          <w:rFonts w:eastAsia="Calibri"/>
          <w:sz w:val="26"/>
          <w:szCs w:val="22"/>
        </w:rPr>
        <w:t>’s</w:t>
      </w:r>
      <w:r w:rsidR="00123CF0">
        <w:rPr>
          <w:rFonts w:eastAsia="Calibri"/>
          <w:sz w:val="26"/>
          <w:szCs w:val="22"/>
        </w:rPr>
        <w:t xml:space="preserve"> </w:t>
      </w:r>
      <w:r w:rsidR="00DB033E">
        <w:rPr>
          <w:rFonts w:eastAsia="Calibri"/>
          <w:sz w:val="26"/>
          <w:szCs w:val="22"/>
        </w:rPr>
        <w:t xml:space="preserve">Revised Stormwater </w:t>
      </w:r>
      <w:r w:rsidR="00DB033E" w:rsidRPr="00725A7E">
        <w:rPr>
          <w:rFonts w:eastAsia="Calibri"/>
          <w:sz w:val="26"/>
          <w:szCs w:val="22"/>
        </w:rPr>
        <w:t>CP</w:t>
      </w:r>
      <w:r w:rsidR="00DB033E">
        <w:rPr>
          <w:rFonts w:eastAsia="Calibri"/>
          <w:i/>
          <w:iCs/>
          <w:sz w:val="26"/>
          <w:szCs w:val="22"/>
        </w:rPr>
        <w:t xml:space="preserve"> </w:t>
      </w:r>
      <w:r>
        <w:rPr>
          <w:rFonts w:eastAsia="Calibri"/>
          <w:sz w:val="26"/>
          <w:szCs w:val="22"/>
        </w:rPr>
        <w:t xml:space="preserve">at the above-referenced dockets from </w:t>
      </w:r>
      <w:r w:rsidR="00724B25">
        <w:rPr>
          <w:rFonts w:eastAsia="Calibri"/>
          <w:sz w:val="26"/>
          <w:szCs w:val="22"/>
        </w:rPr>
        <w:t>TUS</w:t>
      </w:r>
      <w:r>
        <w:rPr>
          <w:rFonts w:eastAsia="Calibri"/>
          <w:sz w:val="26"/>
          <w:szCs w:val="22"/>
        </w:rPr>
        <w:t xml:space="preserve"> to </w:t>
      </w:r>
      <w:r w:rsidR="00DB033E">
        <w:rPr>
          <w:rFonts w:eastAsia="Calibri"/>
          <w:sz w:val="26"/>
          <w:szCs w:val="22"/>
        </w:rPr>
        <w:t>the</w:t>
      </w:r>
      <w:r>
        <w:rPr>
          <w:rFonts w:eastAsia="Calibri"/>
          <w:sz w:val="26"/>
          <w:szCs w:val="22"/>
        </w:rPr>
        <w:t xml:space="preserve"> OALJ.  This assignment moves the </w:t>
      </w:r>
      <w:r w:rsidR="00FB09B5">
        <w:rPr>
          <w:rFonts w:eastAsia="Calibri"/>
          <w:sz w:val="26"/>
          <w:szCs w:val="22"/>
        </w:rPr>
        <w:t xml:space="preserve">consideration </w:t>
      </w:r>
      <w:r w:rsidR="00415D63">
        <w:rPr>
          <w:rFonts w:eastAsia="Calibri"/>
          <w:sz w:val="26"/>
          <w:szCs w:val="22"/>
        </w:rPr>
        <w:t xml:space="preserve">of PWSA’s </w:t>
      </w:r>
      <w:r w:rsidR="00DB033E">
        <w:rPr>
          <w:rFonts w:eastAsia="Calibri"/>
          <w:sz w:val="26"/>
          <w:szCs w:val="22"/>
        </w:rPr>
        <w:t>Revised Stormwater CP</w:t>
      </w:r>
      <w:r w:rsidR="00A05CF0">
        <w:rPr>
          <w:rFonts w:eastAsia="Calibri"/>
          <w:sz w:val="26"/>
          <w:szCs w:val="22"/>
        </w:rPr>
        <w:t>,</w:t>
      </w:r>
      <w:r w:rsidR="00415D63">
        <w:rPr>
          <w:rFonts w:eastAsia="Calibri"/>
          <w:sz w:val="26"/>
          <w:szCs w:val="22"/>
        </w:rPr>
        <w:t xml:space="preserve"> </w:t>
      </w:r>
      <w:r w:rsidR="008E632B">
        <w:rPr>
          <w:rFonts w:eastAsia="Calibri"/>
          <w:sz w:val="26"/>
          <w:szCs w:val="22"/>
        </w:rPr>
        <w:t xml:space="preserve">and </w:t>
      </w:r>
      <w:r w:rsidR="009C71B9">
        <w:rPr>
          <w:rFonts w:eastAsia="Calibri"/>
          <w:sz w:val="26"/>
          <w:szCs w:val="22"/>
        </w:rPr>
        <w:t xml:space="preserve">the </w:t>
      </w:r>
      <w:r w:rsidR="00F06C91" w:rsidRPr="00F06C91">
        <w:rPr>
          <w:rFonts w:eastAsia="Calibri"/>
          <w:sz w:val="26"/>
          <w:szCs w:val="22"/>
        </w:rPr>
        <w:t>issues pertaining to stormwater compliance</w:t>
      </w:r>
      <w:r w:rsidR="00880B83">
        <w:rPr>
          <w:rFonts w:eastAsia="Calibri"/>
          <w:sz w:val="26"/>
          <w:szCs w:val="22"/>
        </w:rPr>
        <w:t xml:space="preserve"> identified by TUS in </w:t>
      </w:r>
      <w:r w:rsidR="007475B6">
        <w:rPr>
          <w:rFonts w:eastAsia="Calibri"/>
          <w:sz w:val="26"/>
          <w:szCs w:val="22"/>
        </w:rPr>
        <w:t xml:space="preserve">the attached </w:t>
      </w:r>
      <w:bookmarkStart w:id="0" w:name="_Hlk96414925"/>
      <w:r w:rsidR="00217552" w:rsidRPr="00725A7E">
        <w:rPr>
          <w:rFonts w:eastAsia="Calibri"/>
          <w:sz w:val="26"/>
          <w:szCs w:val="22"/>
        </w:rPr>
        <w:t>Technical Staff Report and Directed Questions</w:t>
      </w:r>
      <w:r w:rsidR="00DB033E" w:rsidRPr="00725A7E">
        <w:rPr>
          <w:rFonts w:eastAsia="Calibri"/>
          <w:sz w:val="26"/>
          <w:szCs w:val="22"/>
        </w:rPr>
        <w:t xml:space="preserve"> -</w:t>
      </w:r>
      <w:r w:rsidR="00672387" w:rsidRPr="00725A7E">
        <w:rPr>
          <w:rFonts w:eastAsia="Calibri"/>
          <w:sz w:val="26"/>
          <w:szCs w:val="22"/>
        </w:rPr>
        <w:t xml:space="preserve"> Stage </w:t>
      </w:r>
      <w:r w:rsidR="000A19BA" w:rsidRPr="00725A7E">
        <w:rPr>
          <w:rFonts w:eastAsia="Calibri"/>
          <w:sz w:val="26"/>
          <w:szCs w:val="22"/>
        </w:rPr>
        <w:t>2</w:t>
      </w:r>
      <w:r w:rsidR="00DB033E" w:rsidRPr="00725A7E">
        <w:rPr>
          <w:rFonts w:eastAsia="Calibri"/>
          <w:sz w:val="26"/>
          <w:szCs w:val="22"/>
        </w:rPr>
        <w:t>,</w:t>
      </w:r>
      <w:r w:rsidR="000A19BA" w:rsidRPr="00725A7E">
        <w:rPr>
          <w:rFonts w:eastAsia="Calibri"/>
          <w:sz w:val="26"/>
          <w:szCs w:val="22"/>
        </w:rPr>
        <w:t xml:space="preserve"> Set 2</w:t>
      </w:r>
      <w:bookmarkEnd w:id="0"/>
      <w:r w:rsidR="00E87D1C">
        <w:rPr>
          <w:rFonts w:eastAsia="Calibri"/>
          <w:i/>
          <w:iCs/>
          <w:sz w:val="26"/>
          <w:szCs w:val="22"/>
        </w:rPr>
        <w:t xml:space="preserve"> </w:t>
      </w:r>
      <w:r w:rsidR="00E87D1C">
        <w:rPr>
          <w:rFonts w:eastAsia="Calibri"/>
          <w:sz w:val="26"/>
          <w:szCs w:val="22"/>
        </w:rPr>
        <w:t>(Stage 2</w:t>
      </w:r>
      <w:r w:rsidR="003D2A17">
        <w:rPr>
          <w:rFonts w:eastAsia="Calibri"/>
          <w:sz w:val="26"/>
          <w:szCs w:val="22"/>
        </w:rPr>
        <w:t>,</w:t>
      </w:r>
      <w:r w:rsidR="00E87D1C">
        <w:rPr>
          <w:rFonts w:eastAsia="Calibri"/>
          <w:sz w:val="26"/>
          <w:szCs w:val="22"/>
        </w:rPr>
        <w:t xml:space="preserve"> Set 2 Report)</w:t>
      </w:r>
      <w:r>
        <w:rPr>
          <w:rFonts w:eastAsia="Calibri"/>
          <w:sz w:val="26"/>
          <w:szCs w:val="22"/>
        </w:rPr>
        <w:t xml:space="preserve"> from initial staff review to </w:t>
      </w:r>
      <w:r w:rsidR="00321675">
        <w:rPr>
          <w:rFonts w:eastAsia="Calibri"/>
          <w:sz w:val="26"/>
          <w:szCs w:val="22"/>
        </w:rPr>
        <w:t>the OALJ, pursuant to</w:t>
      </w:r>
      <w:r w:rsidR="008E3EDB">
        <w:rPr>
          <w:rFonts w:eastAsia="Calibri"/>
          <w:sz w:val="26"/>
          <w:szCs w:val="22"/>
        </w:rPr>
        <w:t xml:space="preserve"> the Commission’s </w:t>
      </w:r>
      <w:r w:rsidR="00DB033E">
        <w:rPr>
          <w:rFonts w:eastAsia="Calibri"/>
          <w:sz w:val="26"/>
          <w:szCs w:val="22"/>
        </w:rPr>
        <w:t xml:space="preserve">May 2021 </w:t>
      </w:r>
      <w:r w:rsidR="008E3EDB">
        <w:rPr>
          <w:rFonts w:eastAsia="Calibri"/>
          <w:sz w:val="26"/>
          <w:szCs w:val="22"/>
        </w:rPr>
        <w:t>Order</w:t>
      </w:r>
      <w:r w:rsidR="00123CF0">
        <w:rPr>
          <w:rFonts w:eastAsia="Calibri"/>
          <w:sz w:val="26"/>
          <w:szCs w:val="22"/>
        </w:rPr>
        <w:t>.</w:t>
      </w:r>
    </w:p>
    <w:p w14:paraId="4BE21781" w14:textId="15016093" w:rsidR="003139AD" w:rsidRDefault="00FC7D43" w:rsidP="00FC7D43">
      <w:pPr>
        <w:rPr>
          <w:rFonts w:eastAsia="Calibri"/>
          <w:sz w:val="26"/>
          <w:szCs w:val="22"/>
        </w:rPr>
      </w:pPr>
      <w:r>
        <w:rPr>
          <w:rFonts w:eastAsia="Calibri"/>
          <w:sz w:val="26"/>
          <w:szCs w:val="22"/>
        </w:rPr>
        <w:br w:type="page"/>
      </w:r>
    </w:p>
    <w:p w14:paraId="38961BF6" w14:textId="1C44DF4E" w:rsidR="00B6481E" w:rsidRDefault="003139AD" w:rsidP="00217552">
      <w:pPr>
        <w:rPr>
          <w:rFonts w:eastAsia="Calibri"/>
          <w:sz w:val="26"/>
          <w:szCs w:val="22"/>
        </w:rPr>
      </w:pPr>
      <w:r>
        <w:rPr>
          <w:rFonts w:eastAsia="Calibri"/>
          <w:sz w:val="26"/>
          <w:szCs w:val="22"/>
        </w:rPr>
        <w:lastRenderedPageBreak/>
        <w:tab/>
      </w:r>
      <w:r w:rsidR="003D2A17">
        <w:rPr>
          <w:rFonts w:eastAsia="Calibri"/>
          <w:sz w:val="26"/>
          <w:szCs w:val="22"/>
        </w:rPr>
        <w:t>Consistent with this Secretarial Letter and the May 2021 Order, the OALJ is hereby directed to incorporate the Stage 2, Set 2 Report into its Prehearing Order and to conduct evidentiary hearings to address matters raised therein.  Further, a</w:t>
      </w:r>
      <w:r w:rsidR="00D47157">
        <w:rPr>
          <w:rFonts w:eastAsia="Calibri"/>
          <w:sz w:val="26"/>
          <w:szCs w:val="22"/>
        </w:rPr>
        <w:t>s directed in the</w:t>
      </w:r>
      <w:r w:rsidR="005940B7" w:rsidRPr="005940B7">
        <w:rPr>
          <w:rFonts w:eastAsia="Calibri"/>
          <w:sz w:val="26"/>
          <w:szCs w:val="22"/>
        </w:rPr>
        <w:t xml:space="preserve"> May </w:t>
      </w:r>
      <w:r w:rsidR="00D47157">
        <w:rPr>
          <w:rFonts w:eastAsia="Calibri"/>
          <w:sz w:val="26"/>
          <w:szCs w:val="22"/>
        </w:rPr>
        <w:t xml:space="preserve">2021 </w:t>
      </w:r>
      <w:r w:rsidR="005940B7" w:rsidRPr="005940B7">
        <w:rPr>
          <w:rFonts w:eastAsia="Calibri"/>
          <w:sz w:val="26"/>
          <w:szCs w:val="22"/>
        </w:rPr>
        <w:t xml:space="preserve">Order, the OALJ </w:t>
      </w:r>
      <w:r w:rsidR="001A0117">
        <w:rPr>
          <w:rFonts w:eastAsia="Calibri"/>
          <w:sz w:val="26"/>
          <w:szCs w:val="22"/>
        </w:rPr>
        <w:t xml:space="preserve">shall </w:t>
      </w:r>
      <w:r w:rsidR="001A0117" w:rsidRPr="001A0117">
        <w:rPr>
          <w:rFonts w:eastAsia="Calibri"/>
          <w:sz w:val="26"/>
          <w:szCs w:val="22"/>
        </w:rPr>
        <w:t xml:space="preserve">issue a Recommended Decision on </w:t>
      </w:r>
      <w:r w:rsidR="00A43C14">
        <w:rPr>
          <w:rFonts w:eastAsia="Calibri"/>
          <w:sz w:val="26"/>
          <w:szCs w:val="22"/>
        </w:rPr>
        <w:t xml:space="preserve">the PWSA </w:t>
      </w:r>
      <w:r w:rsidR="001A0117" w:rsidRPr="001A0117">
        <w:rPr>
          <w:rFonts w:eastAsia="Calibri"/>
          <w:sz w:val="26"/>
          <w:szCs w:val="22"/>
        </w:rPr>
        <w:t>Stage</w:t>
      </w:r>
      <w:r w:rsidR="003D2A17">
        <w:rPr>
          <w:rFonts w:eastAsia="Calibri"/>
          <w:sz w:val="26"/>
          <w:szCs w:val="22"/>
        </w:rPr>
        <w:t> </w:t>
      </w:r>
      <w:r w:rsidR="001A0117" w:rsidRPr="001A0117">
        <w:rPr>
          <w:rFonts w:eastAsia="Calibri"/>
          <w:sz w:val="26"/>
          <w:szCs w:val="22"/>
        </w:rPr>
        <w:t>2 Compliance Plan issues pertaining to stormwater compliance by May 25, 2022</w:t>
      </w:r>
      <w:r w:rsidR="001A0117">
        <w:rPr>
          <w:rFonts w:eastAsia="Calibri"/>
          <w:sz w:val="26"/>
          <w:szCs w:val="22"/>
        </w:rPr>
        <w:t xml:space="preserve">.  </w:t>
      </w:r>
      <w:r w:rsidR="005940B7" w:rsidRPr="005940B7">
        <w:rPr>
          <w:rFonts w:eastAsia="Calibri"/>
          <w:sz w:val="26"/>
          <w:szCs w:val="22"/>
        </w:rPr>
        <w:t>Parties may submit exceptions within twenty (20) days of the recommended decision and reply exceptions no later than fifteen (15) days thereafter, or as otherwise directed by the Commission.</w:t>
      </w:r>
    </w:p>
    <w:p w14:paraId="15CAAC76" w14:textId="27E68E4C" w:rsidR="00B6481E" w:rsidRPr="003C56E2" w:rsidRDefault="00B6481E" w:rsidP="00B6481E">
      <w:pPr>
        <w:rPr>
          <w:sz w:val="26"/>
          <w:szCs w:val="26"/>
        </w:rPr>
      </w:pPr>
    </w:p>
    <w:p w14:paraId="1B46EE3B" w14:textId="43C6329A" w:rsidR="00B6481E" w:rsidRPr="003C56E2" w:rsidRDefault="00B6481E" w:rsidP="00B6481E">
      <w:pPr>
        <w:tabs>
          <w:tab w:val="left" w:pos="720"/>
          <w:tab w:val="left" w:pos="5040"/>
        </w:tabs>
        <w:rPr>
          <w:sz w:val="26"/>
          <w:szCs w:val="26"/>
        </w:rPr>
      </w:pPr>
      <w:r w:rsidRPr="003C56E2">
        <w:rPr>
          <w:sz w:val="26"/>
          <w:szCs w:val="26"/>
        </w:rPr>
        <w:tab/>
      </w:r>
      <w:r w:rsidRPr="003C56E2">
        <w:rPr>
          <w:sz w:val="26"/>
          <w:szCs w:val="26"/>
        </w:rPr>
        <w:tab/>
        <w:t>Sincerely,</w:t>
      </w:r>
    </w:p>
    <w:p w14:paraId="0B2E0C3A" w14:textId="476BD30E" w:rsidR="00B6481E" w:rsidRDefault="005F208F" w:rsidP="00B6481E">
      <w:pPr>
        <w:tabs>
          <w:tab w:val="left" w:pos="5970"/>
        </w:tabs>
        <w:rPr>
          <w:sz w:val="26"/>
          <w:szCs w:val="26"/>
        </w:rPr>
      </w:pPr>
      <w:r w:rsidRPr="009F01BA">
        <w:rPr>
          <w:b/>
          <w:noProof/>
        </w:rPr>
        <w:drawing>
          <wp:anchor distT="0" distB="0" distL="114300" distR="114300" simplePos="0" relativeHeight="251659264" behindDoc="1" locked="0" layoutInCell="1" allowOverlap="1" wp14:anchorId="6ECA8918" wp14:editId="4552BB34">
            <wp:simplePos x="0" y="0"/>
            <wp:positionH relativeFrom="column">
              <wp:posOffset>3162300</wp:posOffset>
            </wp:positionH>
            <wp:positionV relativeFrom="paragraph">
              <wp:posOffset>8255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097C8CB" w14:textId="0079457F" w:rsidR="00B6481E" w:rsidRDefault="00B6481E" w:rsidP="00B6481E">
      <w:pPr>
        <w:tabs>
          <w:tab w:val="left" w:pos="720"/>
          <w:tab w:val="left" w:pos="5040"/>
        </w:tabs>
        <w:rPr>
          <w:sz w:val="26"/>
          <w:szCs w:val="26"/>
        </w:rPr>
      </w:pPr>
    </w:p>
    <w:p w14:paraId="6E1D51A1" w14:textId="77777777" w:rsidR="00FC7D43" w:rsidRDefault="00FC7D43" w:rsidP="00B6481E">
      <w:pPr>
        <w:tabs>
          <w:tab w:val="left" w:pos="720"/>
          <w:tab w:val="left" w:pos="5040"/>
        </w:tabs>
        <w:rPr>
          <w:sz w:val="26"/>
          <w:szCs w:val="26"/>
        </w:rPr>
      </w:pPr>
    </w:p>
    <w:p w14:paraId="59FEBE4E" w14:textId="77777777" w:rsidR="00B6481E" w:rsidRPr="003C56E2" w:rsidRDefault="00B6481E" w:rsidP="00B6481E">
      <w:pPr>
        <w:tabs>
          <w:tab w:val="left" w:pos="720"/>
          <w:tab w:val="left" w:pos="5040"/>
        </w:tabs>
        <w:rPr>
          <w:sz w:val="26"/>
          <w:szCs w:val="26"/>
        </w:rPr>
      </w:pPr>
    </w:p>
    <w:p w14:paraId="1CD796C6" w14:textId="77777777" w:rsidR="00B6481E" w:rsidRPr="003C56E2" w:rsidRDefault="00B6481E" w:rsidP="00B6481E">
      <w:pPr>
        <w:pStyle w:val="Heading1"/>
        <w:rPr>
          <w:sz w:val="26"/>
          <w:szCs w:val="26"/>
        </w:rPr>
      </w:pP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Pr>
          <w:sz w:val="26"/>
          <w:szCs w:val="26"/>
        </w:rPr>
        <w:t>Rosemary Chiavetta</w:t>
      </w:r>
    </w:p>
    <w:p w14:paraId="15BFE01B" w14:textId="77777777" w:rsidR="00B6481E" w:rsidRDefault="00B6481E" w:rsidP="00B6481E">
      <w:pPr>
        <w:tabs>
          <w:tab w:val="left" w:pos="720"/>
          <w:tab w:val="left" w:pos="5040"/>
        </w:tabs>
        <w:rPr>
          <w:sz w:val="26"/>
          <w:szCs w:val="26"/>
        </w:rPr>
      </w:pPr>
      <w:r>
        <w:rPr>
          <w:sz w:val="26"/>
          <w:szCs w:val="26"/>
        </w:rPr>
        <w:tab/>
      </w:r>
      <w:r>
        <w:rPr>
          <w:sz w:val="26"/>
          <w:szCs w:val="26"/>
        </w:rPr>
        <w:tab/>
        <w:t>Secretary</w:t>
      </w:r>
    </w:p>
    <w:p w14:paraId="7E0064C3" w14:textId="104666B0" w:rsidR="00FC7D43" w:rsidRDefault="00FC7D43" w:rsidP="00B6481E">
      <w:pPr>
        <w:tabs>
          <w:tab w:val="left" w:pos="720"/>
          <w:tab w:val="left" w:pos="5040"/>
        </w:tabs>
        <w:rPr>
          <w:sz w:val="26"/>
          <w:szCs w:val="26"/>
        </w:rPr>
      </w:pPr>
    </w:p>
    <w:p w14:paraId="77DE151F" w14:textId="77777777" w:rsidR="00FC7D43" w:rsidRDefault="00FC7D43" w:rsidP="00B6481E">
      <w:pPr>
        <w:tabs>
          <w:tab w:val="left" w:pos="720"/>
          <w:tab w:val="left" w:pos="5040"/>
        </w:tabs>
        <w:rPr>
          <w:sz w:val="26"/>
          <w:szCs w:val="26"/>
        </w:rPr>
      </w:pPr>
    </w:p>
    <w:p w14:paraId="7D052BCB" w14:textId="73436E8B" w:rsidR="00B6481E" w:rsidRPr="003C56E2" w:rsidRDefault="00FC7D43" w:rsidP="00B6481E">
      <w:pPr>
        <w:tabs>
          <w:tab w:val="left" w:pos="720"/>
          <w:tab w:val="left" w:pos="5040"/>
        </w:tabs>
        <w:rPr>
          <w:sz w:val="26"/>
          <w:szCs w:val="26"/>
        </w:rPr>
      </w:pPr>
      <w:r>
        <w:rPr>
          <w:sz w:val="26"/>
          <w:szCs w:val="26"/>
        </w:rPr>
        <w:t xml:space="preserve">Enclosure:  </w:t>
      </w:r>
      <w:r w:rsidRPr="00FC7D43">
        <w:rPr>
          <w:sz w:val="26"/>
          <w:szCs w:val="26"/>
        </w:rPr>
        <w:t>Technical Staff Report and Directed Questions - Stage 2, Set 2</w:t>
      </w:r>
    </w:p>
    <w:p w14:paraId="7FEE3164" w14:textId="6249D595" w:rsidR="00FD5A51" w:rsidRDefault="00FD5A51" w:rsidP="001209F1">
      <w:pPr>
        <w:rPr>
          <w:sz w:val="24"/>
          <w:szCs w:val="24"/>
          <w:u w:val="single"/>
        </w:rPr>
      </w:pPr>
    </w:p>
    <w:p w14:paraId="4593A5D2" w14:textId="5F8ADEEC" w:rsidR="007F66EF" w:rsidRDefault="00633758" w:rsidP="001209F1">
      <w:pPr>
        <w:rPr>
          <w:sz w:val="24"/>
          <w:szCs w:val="24"/>
        </w:rPr>
      </w:pPr>
      <w:r>
        <w:rPr>
          <w:sz w:val="24"/>
          <w:szCs w:val="24"/>
        </w:rPr>
        <w:t>cc:</w:t>
      </w:r>
      <w:r>
        <w:rPr>
          <w:sz w:val="24"/>
          <w:szCs w:val="24"/>
        </w:rPr>
        <w:tab/>
      </w:r>
      <w:r w:rsidR="00855D0D">
        <w:rPr>
          <w:sz w:val="24"/>
          <w:szCs w:val="24"/>
        </w:rPr>
        <w:t>Erand</w:t>
      </w:r>
      <w:r w:rsidR="009C4C21">
        <w:rPr>
          <w:sz w:val="24"/>
          <w:szCs w:val="24"/>
        </w:rPr>
        <w:t>a</w:t>
      </w:r>
      <w:r w:rsidR="00855D0D">
        <w:rPr>
          <w:sz w:val="24"/>
          <w:szCs w:val="24"/>
        </w:rPr>
        <w:t xml:space="preserve"> Vero, OALJ</w:t>
      </w:r>
      <w:r w:rsidR="00FC7D43">
        <w:rPr>
          <w:sz w:val="24"/>
          <w:szCs w:val="24"/>
        </w:rPr>
        <w:t xml:space="preserve"> (w/enclosure)</w:t>
      </w:r>
    </w:p>
    <w:p w14:paraId="1D4F2AE7" w14:textId="283F1A96" w:rsidR="00855D0D" w:rsidRDefault="00855D0D" w:rsidP="001209F1">
      <w:pPr>
        <w:rPr>
          <w:sz w:val="24"/>
          <w:szCs w:val="24"/>
        </w:rPr>
      </w:pPr>
      <w:r>
        <w:rPr>
          <w:sz w:val="24"/>
          <w:szCs w:val="24"/>
        </w:rPr>
        <w:tab/>
        <w:t xml:space="preserve">Gail M. </w:t>
      </w:r>
      <w:r w:rsidR="00CA7A75">
        <w:rPr>
          <w:sz w:val="24"/>
          <w:szCs w:val="24"/>
        </w:rPr>
        <w:t>Chiodo</w:t>
      </w:r>
      <w:r>
        <w:rPr>
          <w:sz w:val="24"/>
          <w:szCs w:val="24"/>
        </w:rPr>
        <w:t>, OALJ</w:t>
      </w:r>
      <w:r w:rsidR="00FC7D43">
        <w:rPr>
          <w:sz w:val="24"/>
          <w:szCs w:val="24"/>
        </w:rPr>
        <w:t xml:space="preserve"> (w/enclosure)</w:t>
      </w:r>
    </w:p>
    <w:p w14:paraId="64F7C8F7" w14:textId="173FA45A" w:rsidR="007B09BB" w:rsidRPr="007F66EF" w:rsidRDefault="007B09BB" w:rsidP="001209F1">
      <w:pPr>
        <w:rPr>
          <w:sz w:val="24"/>
          <w:szCs w:val="24"/>
        </w:rPr>
      </w:pPr>
      <w:r>
        <w:rPr>
          <w:sz w:val="24"/>
          <w:szCs w:val="24"/>
        </w:rPr>
        <w:tab/>
        <w:t xml:space="preserve">Parties of Record at Docket Nos. </w:t>
      </w:r>
      <w:bookmarkStart w:id="1" w:name="_Hlk96421333"/>
      <w:r>
        <w:rPr>
          <w:sz w:val="24"/>
          <w:szCs w:val="24"/>
        </w:rPr>
        <w:t xml:space="preserve">M-2018-2640802 </w:t>
      </w:r>
      <w:bookmarkEnd w:id="1"/>
      <w:r>
        <w:rPr>
          <w:sz w:val="24"/>
          <w:szCs w:val="24"/>
        </w:rPr>
        <w:t xml:space="preserve">and </w:t>
      </w:r>
      <w:r w:rsidRPr="007B09BB">
        <w:rPr>
          <w:sz w:val="24"/>
          <w:szCs w:val="24"/>
        </w:rPr>
        <w:t>M-2018-264080</w:t>
      </w:r>
      <w:r>
        <w:rPr>
          <w:sz w:val="24"/>
          <w:szCs w:val="24"/>
        </w:rPr>
        <w:t>3 (w/enclosure)</w:t>
      </w:r>
    </w:p>
    <w:sectPr w:rsidR="007B09BB" w:rsidRPr="007F66EF" w:rsidSect="003D17C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B43C2" w14:textId="77777777" w:rsidR="00684664" w:rsidRDefault="00684664">
      <w:r>
        <w:separator/>
      </w:r>
    </w:p>
  </w:endnote>
  <w:endnote w:type="continuationSeparator" w:id="0">
    <w:p w14:paraId="40C599FF" w14:textId="77777777" w:rsidR="00684664" w:rsidRDefault="0068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4FC6" w14:textId="77777777" w:rsidR="00684664" w:rsidRDefault="00684664">
      <w:r>
        <w:separator/>
      </w:r>
    </w:p>
  </w:footnote>
  <w:footnote w:type="continuationSeparator" w:id="0">
    <w:p w14:paraId="0851D69D" w14:textId="77777777" w:rsidR="00684664" w:rsidRDefault="00684664">
      <w:r>
        <w:continuationSeparator/>
      </w:r>
    </w:p>
  </w:footnote>
  <w:footnote w:id="1">
    <w:p w14:paraId="216A52A9" w14:textId="77777777" w:rsidR="00DB033E" w:rsidRDefault="00DB033E" w:rsidP="00DB033E">
      <w:pPr>
        <w:pStyle w:val="FootnoteText"/>
      </w:pPr>
      <w:r>
        <w:rPr>
          <w:rStyle w:val="FootnoteReference"/>
        </w:rPr>
        <w:footnoteRef/>
      </w:r>
      <w:r>
        <w:t xml:space="preserve"> </w:t>
      </w:r>
      <w:r>
        <w:rPr>
          <w:i/>
          <w:iCs/>
        </w:rPr>
        <w:t>See</w:t>
      </w:r>
      <w:r>
        <w:t xml:space="preserve"> </w:t>
      </w:r>
      <w:r>
        <w:rPr>
          <w:i/>
          <w:iCs/>
        </w:rPr>
        <w:t>Implementation of Chapter 32 of the Public Utility Code Regarding Pittsburgh Water and Sewer Authority – Stage 1</w:t>
      </w:r>
      <w:r>
        <w:t xml:space="preserve">, Docket Nos. M-2018-2640802, </w:t>
      </w:r>
      <w:r>
        <w:rPr>
          <w:i/>
          <w:iCs/>
        </w:rPr>
        <w:t>et al</w:t>
      </w:r>
      <w:r>
        <w:t>. at Ordering Paragraph No. 6 (Order entered May 20,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1B91"/>
    <w:rsid w:val="000154E5"/>
    <w:rsid w:val="00016DC4"/>
    <w:rsid w:val="00045985"/>
    <w:rsid w:val="000A19BA"/>
    <w:rsid w:val="000B5A5A"/>
    <w:rsid w:val="000C6219"/>
    <w:rsid w:val="000C6A14"/>
    <w:rsid w:val="000E32B9"/>
    <w:rsid w:val="000F4461"/>
    <w:rsid w:val="0010719B"/>
    <w:rsid w:val="00107E97"/>
    <w:rsid w:val="00115226"/>
    <w:rsid w:val="001209F1"/>
    <w:rsid w:val="00123CF0"/>
    <w:rsid w:val="001410B9"/>
    <w:rsid w:val="00154479"/>
    <w:rsid w:val="001562E2"/>
    <w:rsid w:val="00170412"/>
    <w:rsid w:val="001A0117"/>
    <w:rsid w:val="001A1819"/>
    <w:rsid w:val="001A3825"/>
    <w:rsid w:val="001B454A"/>
    <w:rsid w:val="001B5F4C"/>
    <w:rsid w:val="001C716D"/>
    <w:rsid w:val="001E190B"/>
    <w:rsid w:val="00217552"/>
    <w:rsid w:val="002229C3"/>
    <w:rsid w:val="002263A3"/>
    <w:rsid w:val="002374C0"/>
    <w:rsid w:val="00250686"/>
    <w:rsid w:val="00262A94"/>
    <w:rsid w:val="00277A87"/>
    <w:rsid w:val="002835DE"/>
    <w:rsid w:val="00287634"/>
    <w:rsid w:val="002940DB"/>
    <w:rsid w:val="0029471C"/>
    <w:rsid w:val="00297B58"/>
    <w:rsid w:val="002A2CC7"/>
    <w:rsid w:val="002A312B"/>
    <w:rsid w:val="002F5565"/>
    <w:rsid w:val="003063FE"/>
    <w:rsid w:val="003139AD"/>
    <w:rsid w:val="00321675"/>
    <w:rsid w:val="003523C5"/>
    <w:rsid w:val="00381C37"/>
    <w:rsid w:val="003857CF"/>
    <w:rsid w:val="003A52C8"/>
    <w:rsid w:val="003D17C2"/>
    <w:rsid w:val="003D2A17"/>
    <w:rsid w:val="003E5976"/>
    <w:rsid w:val="0041219E"/>
    <w:rsid w:val="00414F23"/>
    <w:rsid w:val="00415D63"/>
    <w:rsid w:val="00420F18"/>
    <w:rsid w:val="004442B7"/>
    <w:rsid w:val="004468C7"/>
    <w:rsid w:val="00456884"/>
    <w:rsid w:val="004574B9"/>
    <w:rsid w:val="004A42CD"/>
    <w:rsid w:val="004A49E4"/>
    <w:rsid w:val="004E7ADD"/>
    <w:rsid w:val="00506909"/>
    <w:rsid w:val="00531275"/>
    <w:rsid w:val="005940B7"/>
    <w:rsid w:val="005A6688"/>
    <w:rsid w:val="005B23BF"/>
    <w:rsid w:val="005B6FD8"/>
    <w:rsid w:val="005D7559"/>
    <w:rsid w:val="005E25C5"/>
    <w:rsid w:val="005E6DD5"/>
    <w:rsid w:val="005E7EC4"/>
    <w:rsid w:val="005F208F"/>
    <w:rsid w:val="00607ED9"/>
    <w:rsid w:val="00620B5E"/>
    <w:rsid w:val="00633758"/>
    <w:rsid w:val="00636B1D"/>
    <w:rsid w:val="00657E71"/>
    <w:rsid w:val="00660EF5"/>
    <w:rsid w:val="00672387"/>
    <w:rsid w:val="00673F18"/>
    <w:rsid w:val="006755C0"/>
    <w:rsid w:val="00680D79"/>
    <w:rsid w:val="00684664"/>
    <w:rsid w:val="006A12A9"/>
    <w:rsid w:val="006A6EF7"/>
    <w:rsid w:val="006B23AD"/>
    <w:rsid w:val="006C4C1A"/>
    <w:rsid w:val="006C5F84"/>
    <w:rsid w:val="006C74B0"/>
    <w:rsid w:val="006D5408"/>
    <w:rsid w:val="006D5F10"/>
    <w:rsid w:val="006F2209"/>
    <w:rsid w:val="007027B2"/>
    <w:rsid w:val="00724B25"/>
    <w:rsid w:val="00725A7E"/>
    <w:rsid w:val="00731372"/>
    <w:rsid w:val="007475B6"/>
    <w:rsid w:val="00752587"/>
    <w:rsid w:val="00764C7E"/>
    <w:rsid w:val="00776607"/>
    <w:rsid w:val="007809C5"/>
    <w:rsid w:val="0078642C"/>
    <w:rsid w:val="007B09BB"/>
    <w:rsid w:val="007C440E"/>
    <w:rsid w:val="007F66EF"/>
    <w:rsid w:val="00806F2B"/>
    <w:rsid w:val="00844A35"/>
    <w:rsid w:val="00855D0D"/>
    <w:rsid w:val="00867A1D"/>
    <w:rsid w:val="00880B83"/>
    <w:rsid w:val="00883054"/>
    <w:rsid w:val="008912C6"/>
    <w:rsid w:val="008963F1"/>
    <w:rsid w:val="008E3EDB"/>
    <w:rsid w:val="008E632B"/>
    <w:rsid w:val="008F015F"/>
    <w:rsid w:val="009170D4"/>
    <w:rsid w:val="009203B6"/>
    <w:rsid w:val="00964B30"/>
    <w:rsid w:val="00975026"/>
    <w:rsid w:val="00976B3B"/>
    <w:rsid w:val="0098197D"/>
    <w:rsid w:val="009A5631"/>
    <w:rsid w:val="009C0216"/>
    <w:rsid w:val="009C4C21"/>
    <w:rsid w:val="009C6B0B"/>
    <w:rsid w:val="009C71B9"/>
    <w:rsid w:val="009D4189"/>
    <w:rsid w:val="009D52D8"/>
    <w:rsid w:val="009E7092"/>
    <w:rsid w:val="009F5F66"/>
    <w:rsid w:val="00A05CF0"/>
    <w:rsid w:val="00A411A6"/>
    <w:rsid w:val="00A43C14"/>
    <w:rsid w:val="00A53391"/>
    <w:rsid w:val="00A53B3A"/>
    <w:rsid w:val="00A60BC2"/>
    <w:rsid w:val="00A674C7"/>
    <w:rsid w:val="00A7290C"/>
    <w:rsid w:val="00A76D25"/>
    <w:rsid w:val="00A851CA"/>
    <w:rsid w:val="00A944E7"/>
    <w:rsid w:val="00AA1769"/>
    <w:rsid w:val="00AC5156"/>
    <w:rsid w:val="00AE4734"/>
    <w:rsid w:val="00B012D0"/>
    <w:rsid w:val="00B14FFB"/>
    <w:rsid w:val="00B54659"/>
    <w:rsid w:val="00B6481E"/>
    <w:rsid w:val="00B64B93"/>
    <w:rsid w:val="00BA6F75"/>
    <w:rsid w:val="00BE5119"/>
    <w:rsid w:val="00BF18A6"/>
    <w:rsid w:val="00C20CA7"/>
    <w:rsid w:val="00C21DD5"/>
    <w:rsid w:val="00C26948"/>
    <w:rsid w:val="00C4038A"/>
    <w:rsid w:val="00C70F15"/>
    <w:rsid w:val="00C74A51"/>
    <w:rsid w:val="00C80610"/>
    <w:rsid w:val="00C80E1E"/>
    <w:rsid w:val="00CA7A75"/>
    <w:rsid w:val="00CB5738"/>
    <w:rsid w:val="00CC38E6"/>
    <w:rsid w:val="00CD52FD"/>
    <w:rsid w:val="00CF2172"/>
    <w:rsid w:val="00CF3525"/>
    <w:rsid w:val="00D01C3C"/>
    <w:rsid w:val="00D3583D"/>
    <w:rsid w:val="00D47157"/>
    <w:rsid w:val="00D66754"/>
    <w:rsid w:val="00D900B8"/>
    <w:rsid w:val="00DA198C"/>
    <w:rsid w:val="00DB033E"/>
    <w:rsid w:val="00DC7C26"/>
    <w:rsid w:val="00DE1570"/>
    <w:rsid w:val="00DE5B99"/>
    <w:rsid w:val="00DE5FDC"/>
    <w:rsid w:val="00DF44E9"/>
    <w:rsid w:val="00DF5D75"/>
    <w:rsid w:val="00E21C8E"/>
    <w:rsid w:val="00E57809"/>
    <w:rsid w:val="00E63F66"/>
    <w:rsid w:val="00E72020"/>
    <w:rsid w:val="00E77693"/>
    <w:rsid w:val="00E83620"/>
    <w:rsid w:val="00E87D1C"/>
    <w:rsid w:val="00E935D2"/>
    <w:rsid w:val="00ED74B9"/>
    <w:rsid w:val="00EE185A"/>
    <w:rsid w:val="00EF5909"/>
    <w:rsid w:val="00F05E38"/>
    <w:rsid w:val="00F06C91"/>
    <w:rsid w:val="00F15E6D"/>
    <w:rsid w:val="00F17A48"/>
    <w:rsid w:val="00F22A2F"/>
    <w:rsid w:val="00F32F4B"/>
    <w:rsid w:val="00F4339D"/>
    <w:rsid w:val="00F63FF0"/>
    <w:rsid w:val="00F659CE"/>
    <w:rsid w:val="00F67CAC"/>
    <w:rsid w:val="00F7094C"/>
    <w:rsid w:val="00F71550"/>
    <w:rsid w:val="00F730B3"/>
    <w:rsid w:val="00F92790"/>
    <w:rsid w:val="00FA661E"/>
    <w:rsid w:val="00FB09B5"/>
    <w:rsid w:val="00FC7D43"/>
    <w:rsid w:val="00FD5A51"/>
    <w:rsid w:val="00FE30F0"/>
    <w:rsid w:val="00FE3E2E"/>
    <w:rsid w:val="00FE77A4"/>
    <w:rsid w:val="00F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0E35"/>
  <w15:chartTrackingRefBased/>
  <w15:docId w15:val="{1AA0CB90-5DE9-4EB1-9984-A9786ACE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C4038A"/>
    <w:rPr>
      <w:color w:val="0563C1"/>
      <w:u w:val="single"/>
    </w:rPr>
  </w:style>
  <w:style w:type="character" w:styleId="UnresolvedMention">
    <w:name w:val="Unresolved Mention"/>
    <w:uiPriority w:val="99"/>
    <w:semiHidden/>
    <w:unhideWhenUsed/>
    <w:rsid w:val="00C4038A"/>
    <w:rPr>
      <w:color w:val="605E5C"/>
      <w:shd w:val="clear" w:color="auto" w:fill="E1DFDD"/>
    </w:rPr>
  </w:style>
  <w:style w:type="paragraph" w:styleId="NoSpacing">
    <w:name w:val="No Spacing"/>
    <w:uiPriority w:val="1"/>
    <w:qFormat/>
    <w:rsid w:val="006F2209"/>
    <w:rPr>
      <w:rFonts w:ascii="Calibri" w:hAnsi="Calibri"/>
      <w:sz w:val="22"/>
      <w:szCs w:val="22"/>
    </w:rPr>
  </w:style>
  <w:style w:type="paragraph" w:styleId="Revision">
    <w:name w:val="Revision"/>
    <w:hidden/>
    <w:uiPriority w:val="99"/>
    <w:semiHidden/>
    <w:rsid w:val="00776607"/>
  </w:style>
  <w:style w:type="character" w:styleId="CommentReference">
    <w:name w:val="annotation reference"/>
    <w:rsid w:val="00776607"/>
    <w:rPr>
      <w:sz w:val="16"/>
      <w:szCs w:val="16"/>
    </w:rPr>
  </w:style>
  <w:style w:type="paragraph" w:styleId="CommentText">
    <w:name w:val="annotation text"/>
    <w:basedOn w:val="Normal"/>
    <w:link w:val="CommentTextChar"/>
    <w:rsid w:val="00776607"/>
  </w:style>
  <w:style w:type="character" w:customStyle="1" w:styleId="CommentTextChar">
    <w:name w:val="Comment Text Char"/>
    <w:basedOn w:val="DefaultParagraphFont"/>
    <w:link w:val="CommentText"/>
    <w:rsid w:val="00776607"/>
  </w:style>
  <w:style w:type="paragraph" w:styleId="CommentSubject">
    <w:name w:val="annotation subject"/>
    <w:basedOn w:val="CommentText"/>
    <w:next w:val="CommentText"/>
    <w:link w:val="CommentSubjectChar"/>
    <w:rsid w:val="00776607"/>
    <w:rPr>
      <w:b/>
      <w:bCs/>
    </w:rPr>
  </w:style>
  <w:style w:type="character" w:customStyle="1" w:styleId="CommentSubjectChar">
    <w:name w:val="Comment Subject Char"/>
    <w:link w:val="CommentSubject"/>
    <w:rsid w:val="00776607"/>
    <w:rPr>
      <w:b/>
      <w:bCs/>
    </w:rPr>
  </w:style>
  <w:style w:type="paragraph" w:styleId="FootnoteText">
    <w:name w:val="footnote text"/>
    <w:aliases w:val="fn,ALTS FOOTNOTE,Footnote Text 2,Footnote text,FOOTNOTE,Car,fn Char Char,fn Char,Footnote Text Char1 Char,Footnote Text Char Char Char,ALTS FOOTNOTE Char Char Char,Footnote Text Char2 Char Char Char,Footnote Text Char2"/>
    <w:basedOn w:val="Normal"/>
    <w:link w:val="FootnoteTextChar"/>
    <w:uiPriority w:val="99"/>
    <w:qFormat/>
    <w:rsid w:val="003D17C2"/>
  </w:style>
  <w:style w:type="character" w:customStyle="1" w:styleId="FootnoteTextChar">
    <w:name w:val="Footnote Text Char"/>
    <w:aliases w:val="fn Char1,ALTS FOOTNOTE Char,Footnote Text 2 Char,Footnote text Char,FOOTNOTE Char,Car Char,fn Char Char Char,fn Char Char1,Footnote Text Char1 Char Char,Footnote Text Char Char Char Char,ALTS FOOTNOTE Char Char Char Char"/>
    <w:basedOn w:val="DefaultParagraphFont"/>
    <w:link w:val="FootnoteText"/>
    <w:uiPriority w:val="99"/>
    <w:qFormat/>
    <w:rsid w:val="003D17C2"/>
  </w:style>
  <w:style w:type="character" w:styleId="FootnoteReference">
    <w:name w:val="footnote reference"/>
    <w:aliases w:val="o,fr,Style 42,Style 13,Style 12,Style 28,(NECG) Footnote Reference,Style 11,Style 9,Style 16,Style 15,Style 17,Style 20,o1,fr1,o2,fr2,o3,fr3,Style 8,Style 7,Style 19,Appel note de bas de p,Style 124,Style 3,FR,Style 6"/>
    <w:uiPriority w:val="99"/>
    <w:rsid w:val="003D1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6312">
      <w:bodyDiv w:val="1"/>
      <w:marLeft w:val="0"/>
      <w:marRight w:val="0"/>
      <w:marTop w:val="0"/>
      <w:marBottom w:val="0"/>
      <w:divBdr>
        <w:top w:val="none" w:sz="0" w:space="0" w:color="auto"/>
        <w:left w:val="none" w:sz="0" w:space="0" w:color="auto"/>
        <w:bottom w:val="none" w:sz="0" w:space="0" w:color="auto"/>
        <w:right w:val="none" w:sz="0" w:space="0" w:color="auto"/>
      </w:divBdr>
    </w:div>
    <w:div w:id="2066369378">
      <w:bodyDiv w:val="1"/>
      <w:marLeft w:val="0"/>
      <w:marRight w:val="0"/>
      <w:marTop w:val="0"/>
      <w:marBottom w:val="0"/>
      <w:divBdr>
        <w:top w:val="none" w:sz="0" w:space="0" w:color="auto"/>
        <w:left w:val="none" w:sz="0" w:space="0" w:color="auto"/>
        <w:bottom w:val="none" w:sz="0" w:space="0" w:color="auto"/>
        <w:right w:val="none" w:sz="0" w:space="0" w:color="auto"/>
      </w:divBdr>
    </w:div>
    <w:div w:id="21147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A2CD-401F-4095-B1E1-8A122678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2523</CharactersWithSpaces>
  <SharedDoc>false</SharedDoc>
  <HLinks>
    <vt:vector size="126" baseType="variant">
      <vt:variant>
        <vt:i4>4390958</vt:i4>
      </vt:variant>
      <vt:variant>
        <vt:i4>60</vt:i4>
      </vt:variant>
      <vt:variant>
        <vt:i4>0</vt:i4>
      </vt:variant>
      <vt:variant>
        <vt:i4>5</vt:i4>
      </vt:variant>
      <vt:variant>
        <vt:lpwstr>mailto:jared.thompson@nrdc.org</vt:lpwstr>
      </vt:variant>
      <vt:variant>
        <vt:lpwstr/>
      </vt:variant>
      <vt:variant>
        <vt:i4>2883592</vt:i4>
      </vt:variant>
      <vt:variant>
        <vt:i4>57</vt:i4>
      </vt:variant>
      <vt:variant>
        <vt:i4>0</vt:i4>
      </vt:variant>
      <vt:variant>
        <vt:i4>5</vt:i4>
      </vt:variant>
      <vt:variant>
        <vt:lpwstr>mailto:pdemarco@nrdc.org</vt:lpwstr>
      </vt:variant>
      <vt:variant>
        <vt:lpwstr/>
      </vt:variant>
      <vt:variant>
        <vt:i4>6619160</vt:i4>
      </vt:variant>
      <vt:variant>
        <vt:i4>54</vt:i4>
      </vt:variant>
      <vt:variant>
        <vt:i4>0</vt:i4>
      </vt:variant>
      <vt:variant>
        <vt:i4>5</vt:i4>
      </vt:variant>
      <vt:variant>
        <vt:lpwstr>mailto:john.doherty@pittsburghpa.gov</vt:lpwstr>
      </vt:variant>
      <vt:variant>
        <vt:lpwstr/>
      </vt:variant>
      <vt:variant>
        <vt:i4>1245311</vt:i4>
      </vt:variant>
      <vt:variant>
        <vt:i4>51</vt:i4>
      </vt:variant>
      <vt:variant>
        <vt:i4>0</vt:i4>
      </vt:variant>
      <vt:variant>
        <vt:i4>5</vt:i4>
      </vt:variant>
      <vt:variant>
        <vt:lpwstr>mailto:yvonne.hilton@pittsburghpa.gov</vt:lpwstr>
      </vt:variant>
      <vt:variant>
        <vt:lpwstr/>
      </vt:variant>
      <vt:variant>
        <vt:i4>4456570</vt:i4>
      </vt:variant>
      <vt:variant>
        <vt:i4>48</vt:i4>
      </vt:variant>
      <vt:variant>
        <vt:i4>0</vt:i4>
      </vt:variant>
      <vt:variant>
        <vt:i4>5</vt:i4>
      </vt:variant>
      <vt:variant>
        <vt:lpwstr>mailto:pulp@palegalaid.net</vt:lpwstr>
      </vt:variant>
      <vt:variant>
        <vt:lpwstr/>
      </vt:variant>
      <vt:variant>
        <vt:i4>7012436</vt:i4>
      </vt:variant>
      <vt:variant>
        <vt:i4>45</vt:i4>
      </vt:variant>
      <vt:variant>
        <vt:i4>0</vt:i4>
      </vt:variant>
      <vt:variant>
        <vt:i4>5</vt:i4>
      </vt:variant>
      <vt:variant>
        <vt:lpwstr>mailto:jsweet@pautilitylawproject.org</vt:lpwstr>
      </vt:variant>
      <vt:variant>
        <vt:lpwstr/>
      </vt:variant>
      <vt:variant>
        <vt:i4>1245244</vt:i4>
      </vt:variant>
      <vt:variant>
        <vt:i4>42</vt:i4>
      </vt:variant>
      <vt:variant>
        <vt:i4>0</vt:i4>
      </vt:variant>
      <vt:variant>
        <vt:i4>5</vt:i4>
      </vt:variant>
      <vt:variant>
        <vt:lpwstr>mailto:rpereira@pautilitylawproject.org</vt:lpwstr>
      </vt:variant>
      <vt:variant>
        <vt:lpwstr/>
      </vt:variant>
      <vt:variant>
        <vt:i4>327716</vt:i4>
      </vt:variant>
      <vt:variant>
        <vt:i4>39</vt:i4>
      </vt:variant>
      <vt:variant>
        <vt:i4>0</vt:i4>
      </vt:variant>
      <vt:variant>
        <vt:i4>5</vt:i4>
      </vt:variant>
      <vt:variant>
        <vt:lpwstr>mailto:emarx@pautilitylawproject.org</vt:lpwstr>
      </vt:variant>
      <vt:variant>
        <vt:lpwstr/>
      </vt:variant>
      <vt:variant>
        <vt:i4>589856</vt:i4>
      </vt:variant>
      <vt:variant>
        <vt:i4>36</vt:i4>
      </vt:variant>
      <vt:variant>
        <vt:i4>0</vt:i4>
      </vt:variant>
      <vt:variant>
        <vt:i4>5</vt:i4>
      </vt:variant>
      <vt:variant>
        <vt:lpwstr>mailto:lburge@eckertseamans.com</vt:lpwstr>
      </vt:variant>
      <vt:variant>
        <vt:lpwstr/>
      </vt:variant>
      <vt:variant>
        <vt:i4>1769523</vt:i4>
      </vt:variant>
      <vt:variant>
        <vt:i4>33</vt:i4>
      </vt:variant>
      <vt:variant>
        <vt:i4>0</vt:i4>
      </vt:variant>
      <vt:variant>
        <vt:i4>5</vt:i4>
      </vt:variant>
      <vt:variant>
        <vt:lpwstr>mailto:dodell@eckertseamans.com</vt:lpwstr>
      </vt:variant>
      <vt:variant>
        <vt:lpwstr/>
      </vt:variant>
      <vt:variant>
        <vt:i4>4063241</vt:i4>
      </vt:variant>
      <vt:variant>
        <vt:i4>30</vt:i4>
      </vt:variant>
      <vt:variant>
        <vt:i4>0</vt:i4>
      </vt:variant>
      <vt:variant>
        <vt:i4>5</vt:i4>
      </vt:variant>
      <vt:variant>
        <vt:lpwstr>mailto:wesnyder@hmslegal.com</vt:lpwstr>
      </vt:variant>
      <vt:variant>
        <vt:lpwstr/>
      </vt:variant>
      <vt:variant>
        <vt:i4>2359318</vt:i4>
      </vt:variant>
      <vt:variant>
        <vt:i4>27</vt:i4>
      </vt:variant>
      <vt:variant>
        <vt:i4>0</vt:i4>
      </vt:variant>
      <vt:variant>
        <vt:i4>5</vt:i4>
      </vt:variant>
      <vt:variant>
        <vt:lpwstr>mailto:kjmckeon@hmslegal.com</vt:lpwstr>
      </vt:variant>
      <vt:variant>
        <vt:lpwstr/>
      </vt:variant>
      <vt:variant>
        <vt:i4>5898357</vt:i4>
      </vt:variant>
      <vt:variant>
        <vt:i4>24</vt:i4>
      </vt:variant>
      <vt:variant>
        <vt:i4>0</vt:i4>
      </vt:variant>
      <vt:variant>
        <vt:i4>5</vt:i4>
      </vt:variant>
      <vt:variant>
        <vt:lpwstr>mailto:tjsniscak@hmslegal.com</vt:lpwstr>
      </vt:variant>
      <vt:variant>
        <vt:lpwstr/>
      </vt:variant>
      <vt:variant>
        <vt:i4>2949121</vt:i4>
      </vt:variant>
      <vt:variant>
        <vt:i4>21</vt:i4>
      </vt:variant>
      <vt:variant>
        <vt:i4>0</vt:i4>
      </vt:variant>
      <vt:variant>
        <vt:i4>5</vt:i4>
      </vt:variant>
      <vt:variant>
        <vt:lpwstr>mailto:ginmiller@pa.gov</vt:lpwstr>
      </vt:variant>
      <vt:variant>
        <vt:lpwstr/>
      </vt:variant>
      <vt:variant>
        <vt:i4>3080211</vt:i4>
      </vt:variant>
      <vt:variant>
        <vt:i4>18</vt:i4>
      </vt:variant>
      <vt:variant>
        <vt:i4>0</vt:i4>
      </vt:variant>
      <vt:variant>
        <vt:i4>5</vt:i4>
      </vt:variant>
      <vt:variant>
        <vt:lpwstr>mailto:rkanaskie@pa.gov</vt:lpwstr>
      </vt:variant>
      <vt:variant>
        <vt:lpwstr/>
      </vt:variant>
      <vt:variant>
        <vt:i4>2490392</vt:i4>
      </vt:variant>
      <vt:variant>
        <vt:i4>15</vt:i4>
      </vt:variant>
      <vt:variant>
        <vt:i4>0</vt:i4>
      </vt:variant>
      <vt:variant>
        <vt:i4>5</vt:i4>
      </vt:variant>
      <vt:variant>
        <vt:lpwstr>mailto:efure@pa.gov</vt:lpwstr>
      </vt:variant>
      <vt:variant>
        <vt:lpwstr/>
      </vt:variant>
      <vt:variant>
        <vt:i4>2621454</vt:i4>
      </vt:variant>
      <vt:variant>
        <vt:i4>12</vt:i4>
      </vt:variant>
      <vt:variant>
        <vt:i4>0</vt:i4>
      </vt:variant>
      <vt:variant>
        <vt:i4>5</vt:i4>
      </vt:variant>
      <vt:variant>
        <vt:lpwstr>mailto:tereswagne@pa.gov</vt:lpwstr>
      </vt:variant>
      <vt:variant>
        <vt:lpwstr/>
      </vt:variant>
      <vt:variant>
        <vt:i4>1966116</vt:i4>
      </vt:variant>
      <vt:variant>
        <vt:i4>9</vt:i4>
      </vt:variant>
      <vt:variant>
        <vt:i4>0</vt:i4>
      </vt:variant>
      <vt:variant>
        <vt:i4>5</vt:i4>
      </vt:variant>
      <vt:variant>
        <vt:lpwstr>mailto:LGuerra@paoca.org</vt:lpwstr>
      </vt:variant>
      <vt:variant>
        <vt:lpwstr/>
      </vt:variant>
      <vt:variant>
        <vt:i4>1048626</vt:i4>
      </vt:variant>
      <vt:variant>
        <vt:i4>6</vt:i4>
      </vt:variant>
      <vt:variant>
        <vt:i4>0</vt:i4>
      </vt:variant>
      <vt:variant>
        <vt:i4>5</vt:i4>
      </vt:variant>
      <vt:variant>
        <vt:lpwstr>mailto:EGannon@paoca.org</vt:lpwstr>
      </vt:variant>
      <vt:variant>
        <vt:lpwstr/>
      </vt:variant>
      <vt:variant>
        <vt:i4>1835062</vt:i4>
      </vt:variant>
      <vt:variant>
        <vt:i4>3</vt:i4>
      </vt:variant>
      <vt:variant>
        <vt:i4>0</vt:i4>
      </vt:variant>
      <vt:variant>
        <vt:i4>5</vt:i4>
      </vt:variant>
      <vt:variant>
        <vt:lpwstr>mailto:CHoover@paoca.org</vt:lpwstr>
      </vt:variant>
      <vt:variant>
        <vt:lpwstr/>
      </vt:variant>
      <vt:variant>
        <vt:i4>65588</vt:i4>
      </vt:variant>
      <vt:variant>
        <vt:i4>0</vt:i4>
      </vt:variant>
      <vt:variant>
        <vt:i4>0</vt:i4>
      </vt:variant>
      <vt:variant>
        <vt:i4>5</vt:i4>
      </vt:variant>
      <vt:variant>
        <vt:lpwstr>mailto:kmoury@eckertseamans.com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cmckinley@pa.gov</dc:creator>
  <cp:keywords/>
  <cp:lastModifiedBy>Sheffer, Ryan</cp:lastModifiedBy>
  <cp:revision>8</cp:revision>
  <cp:lastPrinted>2014-03-21T21:18:00Z</cp:lastPrinted>
  <dcterms:created xsi:type="dcterms:W3CDTF">2022-02-18T20:55:00Z</dcterms:created>
  <dcterms:modified xsi:type="dcterms:W3CDTF">2022-02-22T17:39:00Z</dcterms:modified>
</cp:coreProperties>
</file>