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D6AB" w14:textId="77777777"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PENNSYLVANIA</w:t>
      </w:r>
    </w:p>
    <w:p w14:paraId="327B5196" w14:textId="77777777"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PUBLIC UTILITY COMMISSION</w:t>
      </w:r>
    </w:p>
    <w:p w14:paraId="3FF5BDE3" w14:textId="207046D3"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 xml:space="preserve">Harrisburg, PA </w:t>
      </w:r>
      <w:r w:rsidR="00C21DF1">
        <w:rPr>
          <w:rFonts w:ascii="Times New Roman" w:eastAsia="Times New Roman" w:hAnsi="Times New Roman" w:cs="Times New Roman"/>
          <w:b/>
          <w:spacing w:val="-3"/>
          <w:sz w:val="26"/>
          <w:szCs w:val="26"/>
        </w:rPr>
        <w:t xml:space="preserve"> </w:t>
      </w:r>
      <w:r w:rsidR="00384E59">
        <w:rPr>
          <w:rFonts w:ascii="Times New Roman" w:eastAsia="Times New Roman" w:hAnsi="Times New Roman" w:cs="Times New Roman"/>
          <w:b/>
          <w:spacing w:val="-3"/>
          <w:sz w:val="26"/>
          <w:szCs w:val="26"/>
        </w:rPr>
        <w:t>17120</w:t>
      </w:r>
    </w:p>
    <w:p w14:paraId="51827180" w14:textId="1F52198D" w:rsidR="00F44833" w:rsidRDefault="00F44833"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14:paraId="2BAB0546" w14:textId="77777777" w:rsidR="00384E59" w:rsidRPr="003F7EE6" w:rsidRDefault="00384E59"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14:paraId="144912A5" w14:textId="737A334C" w:rsidR="00F44833" w:rsidRPr="003F7EE6" w:rsidRDefault="00F44833" w:rsidP="00060D64">
      <w:pPr>
        <w:tabs>
          <w:tab w:val="left" w:pos="-720"/>
        </w:tabs>
        <w:suppressAutoHyphens/>
        <w:spacing w:after="0" w:line="240" w:lineRule="auto"/>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Public Meeting held </w:t>
      </w:r>
      <w:r w:rsidR="00081A0D">
        <w:rPr>
          <w:rFonts w:ascii="Times New Roman" w:eastAsia="Times New Roman" w:hAnsi="Times New Roman" w:cs="Times New Roman"/>
          <w:sz w:val="26"/>
          <w:szCs w:val="26"/>
        </w:rPr>
        <w:t>February 24</w:t>
      </w:r>
      <w:r w:rsidR="006A0373">
        <w:rPr>
          <w:rFonts w:ascii="Times New Roman" w:eastAsia="Times New Roman" w:hAnsi="Times New Roman" w:cs="Times New Roman"/>
          <w:sz w:val="26"/>
          <w:szCs w:val="26"/>
        </w:rPr>
        <w:t>, 202</w:t>
      </w:r>
      <w:r w:rsidR="00AC4478">
        <w:rPr>
          <w:rFonts w:ascii="Times New Roman" w:eastAsia="Times New Roman" w:hAnsi="Times New Roman" w:cs="Times New Roman"/>
          <w:sz w:val="26"/>
          <w:szCs w:val="26"/>
        </w:rPr>
        <w:t>2</w:t>
      </w:r>
    </w:p>
    <w:p w14:paraId="525D00EF"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54F9A51E"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08405701"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Commissioners Present: </w:t>
      </w:r>
    </w:p>
    <w:p w14:paraId="27567271"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2759D90B" w14:textId="319522D1" w:rsidR="006A0373" w:rsidRPr="00A05F29" w:rsidRDefault="00F44833" w:rsidP="00AC4478">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6A0373" w:rsidRPr="00A05F29">
        <w:rPr>
          <w:rFonts w:ascii="Times New Roman" w:eastAsia="Times New Roman" w:hAnsi="Times New Roman" w:cs="Times New Roman"/>
          <w:sz w:val="26"/>
          <w:szCs w:val="26"/>
        </w:rPr>
        <w:t>Gladys Brown Dutrieuille, Chairman</w:t>
      </w:r>
    </w:p>
    <w:p w14:paraId="3CE83DE8" w14:textId="170FD836" w:rsidR="006A0373" w:rsidRPr="00A05F29" w:rsidRDefault="006A0373" w:rsidP="006A0373">
      <w:pPr>
        <w:tabs>
          <w:tab w:val="left" w:pos="705"/>
        </w:tabs>
        <w:spacing w:after="0" w:line="240" w:lineRule="auto"/>
        <w:ind w:firstLine="720"/>
        <w:rPr>
          <w:rFonts w:ascii="Times New Roman" w:eastAsia="Times New Roman" w:hAnsi="Times New Roman" w:cs="Times New Roman"/>
          <w:sz w:val="26"/>
          <w:szCs w:val="26"/>
        </w:rPr>
      </w:pPr>
      <w:r w:rsidRPr="00A05F29">
        <w:rPr>
          <w:rFonts w:ascii="Times New Roman" w:eastAsia="Times New Roman" w:hAnsi="Times New Roman" w:cs="Times New Roman"/>
          <w:sz w:val="26"/>
          <w:szCs w:val="26"/>
        </w:rPr>
        <w:t>John F. Coleman, Jr.</w:t>
      </w:r>
      <w:r w:rsidR="00AC4478">
        <w:rPr>
          <w:rFonts w:ascii="Times New Roman" w:eastAsia="Times New Roman" w:hAnsi="Times New Roman" w:cs="Times New Roman"/>
          <w:sz w:val="26"/>
          <w:szCs w:val="26"/>
        </w:rPr>
        <w:t>, Vice Chairman</w:t>
      </w:r>
    </w:p>
    <w:p w14:paraId="349BCEFD" w14:textId="77777777" w:rsidR="006A0373" w:rsidRPr="00A05F29" w:rsidRDefault="006A0373" w:rsidP="006A0373">
      <w:pPr>
        <w:tabs>
          <w:tab w:val="left" w:pos="705"/>
        </w:tabs>
        <w:spacing w:after="0" w:line="240" w:lineRule="auto"/>
        <w:ind w:firstLine="720"/>
        <w:rPr>
          <w:rFonts w:ascii="Times New Roman" w:eastAsia="Times New Roman" w:hAnsi="Times New Roman" w:cs="Times New Roman"/>
          <w:sz w:val="26"/>
          <w:szCs w:val="26"/>
        </w:rPr>
      </w:pPr>
      <w:r w:rsidRPr="00A05F29">
        <w:rPr>
          <w:rFonts w:ascii="Times New Roman" w:eastAsia="Times New Roman" w:hAnsi="Times New Roman" w:cs="Times New Roman"/>
          <w:sz w:val="26"/>
          <w:szCs w:val="26"/>
        </w:rPr>
        <w:t>Ralph V. Yanora</w:t>
      </w:r>
    </w:p>
    <w:p w14:paraId="674E1C4C" w14:textId="53F7ADC0" w:rsidR="00D662B2" w:rsidRDefault="00D662B2" w:rsidP="00F44833">
      <w:pPr>
        <w:tabs>
          <w:tab w:val="left" w:pos="-720"/>
        </w:tabs>
        <w:suppressAutoHyphens/>
        <w:spacing w:after="0" w:line="240" w:lineRule="auto"/>
        <w:rPr>
          <w:rFonts w:ascii="Times New Roman" w:eastAsia="Times New Roman" w:hAnsi="Times New Roman" w:cs="Times New Roman"/>
          <w:sz w:val="26"/>
          <w:szCs w:val="26"/>
        </w:rPr>
      </w:pPr>
    </w:p>
    <w:p w14:paraId="3AA07E81" w14:textId="757E9492" w:rsidR="000C58A3" w:rsidRPr="003F7EE6" w:rsidRDefault="000C58A3" w:rsidP="00F44833">
      <w:pPr>
        <w:tabs>
          <w:tab w:val="left" w:pos="-720"/>
        </w:tabs>
        <w:suppressAutoHyphens/>
        <w:spacing w:after="0" w:line="240" w:lineRule="auto"/>
        <w:rPr>
          <w:rFonts w:ascii="Times New Roman" w:eastAsia="Times New Roman" w:hAnsi="Times New Roman" w:cs="Times New Roman"/>
          <w:sz w:val="26"/>
          <w:szCs w:val="26"/>
        </w:rPr>
      </w:pPr>
    </w:p>
    <w:tbl>
      <w:tblPr>
        <w:tblW w:w="9828" w:type="dxa"/>
        <w:tblLayout w:type="fixed"/>
        <w:tblLook w:val="0000" w:firstRow="0" w:lastRow="0" w:firstColumn="0" w:lastColumn="0" w:noHBand="0" w:noVBand="0"/>
      </w:tblPr>
      <w:tblGrid>
        <w:gridCol w:w="5238"/>
        <w:gridCol w:w="1080"/>
        <w:gridCol w:w="3510"/>
      </w:tblGrid>
      <w:tr w:rsidR="00F44833" w:rsidRPr="003F7EE6" w14:paraId="0D66FEAB" w14:textId="77777777" w:rsidTr="00E509B9">
        <w:tc>
          <w:tcPr>
            <w:tcW w:w="5238" w:type="dxa"/>
          </w:tcPr>
          <w:p w14:paraId="3A3E2BD3" w14:textId="77777777" w:rsidR="00F44833" w:rsidRPr="003F7EE6" w:rsidRDefault="00F44833" w:rsidP="00D662B2">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Pennsylvania Public Utility Commission,</w:t>
            </w:r>
          </w:p>
          <w:p w14:paraId="7E241145" w14:textId="77777777" w:rsidR="00F44833" w:rsidRPr="003F7EE6" w:rsidRDefault="00F44833" w:rsidP="00D662B2">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Bureau of Investigation and Enforcement  </w:t>
            </w:r>
          </w:p>
          <w:p w14:paraId="48B7792E" w14:textId="77777777" w:rsidR="00F44833" w:rsidRPr="003F7EE6" w:rsidRDefault="00F44833" w:rsidP="00D662B2">
            <w:pPr>
              <w:spacing w:after="0" w:line="240" w:lineRule="auto"/>
              <w:rPr>
                <w:rFonts w:ascii="Times New Roman" w:eastAsia="Times New Roman" w:hAnsi="Times New Roman" w:cs="Times New Roman"/>
                <w:sz w:val="26"/>
                <w:szCs w:val="26"/>
              </w:rPr>
            </w:pPr>
          </w:p>
          <w:p w14:paraId="41B0AFF4" w14:textId="671154B9" w:rsidR="00F44833" w:rsidRPr="003F7EE6" w:rsidRDefault="00F44833" w:rsidP="00D662B2">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t>v.</w:t>
            </w:r>
          </w:p>
          <w:p w14:paraId="325B001A" w14:textId="77777777" w:rsidR="00F44833" w:rsidRPr="003F7EE6" w:rsidRDefault="00F44833" w:rsidP="00D662B2">
            <w:pPr>
              <w:spacing w:after="0" w:line="240" w:lineRule="auto"/>
              <w:rPr>
                <w:rFonts w:ascii="Times New Roman" w:eastAsia="Times New Roman" w:hAnsi="Times New Roman" w:cs="Times New Roman"/>
                <w:sz w:val="26"/>
                <w:szCs w:val="26"/>
              </w:rPr>
            </w:pPr>
          </w:p>
          <w:p w14:paraId="681FC4D4" w14:textId="2CBFA8A0" w:rsidR="00F44833" w:rsidRPr="003F7EE6" w:rsidRDefault="00AC4478" w:rsidP="00D662B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Green Mountain Energy Company</w:t>
            </w:r>
          </w:p>
          <w:p w14:paraId="25CEDBA0" w14:textId="77777777" w:rsidR="00F44833" w:rsidRPr="003F7EE6" w:rsidRDefault="00F44833" w:rsidP="00D662B2">
            <w:pPr>
              <w:spacing w:after="0" w:line="240" w:lineRule="auto"/>
              <w:rPr>
                <w:rFonts w:ascii="Times New Roman" w:eastAsia="Times New Roman" w:hAnsi="Times New Roman" w:cs="Times New Roman"/>
                <w:sz w:val="26"/>
                <w:szCs w:val="26"/>
              </w:rPr>
            </w:pPr>
          </w:p>
        </w:tc>
        <w:tc>
          <w:tcPr>
            <w:tcW w:w="1080" w:type="dxa"/>
          </w:tcPr>
          <w:p w14:paraId="0BCC3E1A" w14:textId="77777777" w:rsidR="00F44833" w:rsidRPr="003F7EE6" w:rsidRDefault="00F44833" w:rsidP="00D662B2">
            <w:pPr>
              <w:suppressAutoHyphens/>
              <w:spacing w:after="0" w:line="240" w:lineRule="auto"/>
              <w:rPr>
                <w:rFonts w:ascii="Times New Roman" w:eastAsia="Times New Roman" w:hAnsi="Times New Roman" w:cs="Times New Roman"/>
                <w:sz w:val="26"/>
                <w:szCs w:val="26"/>
              </w:rPr>
            </w:pPr>
          </w:p>
        </w:tc>
        <w:tc>
          <w:tcPr>
            <w:tcW w:w="3510" w:type="dxa"/>
          </w:tcPr>
          <w:p w14:paraId="35772F08" w14:textId="1CB3BB08" w:rsidR="00F44833" w:rsidRPr="003F7EE6" w:rsidRDefault="00F44833" w:rsidP="00D662B2">
            <w:pPr>
              <w:suppressAutoHyphens/>
              <w:spacing w:after="0" w:line="240" w:lineRule="auto"/>
              <w:ind w:right="252"/>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M-20</w:t>
            </w:r>
            <w:r w:rsidR="006A0373">
              <w:rPr>
                <w:rFonts w:ascii="Times New Roman" w:eastAsia="Times New Roman" w:hAnsi="Times New Roman" w:cs="Times New Roman"/>
                <w:sz w:val="26"/>
                <w:szCs w:val="26"/>
              </w:rPr>
              <w:t>2</w:t>
            </w:r>
            <w:r w:rsidR="00AC4478">
              <w:rPr>
                <w:rFonts w:ascii="Times New Roman" w:eastAsia="Times New Roman" w:hAnsi="Times New Roman" w:cs="Times New Roman"/>
                <w:sz w:val="26"/>
                <w:szCs w:val="26"/>
              </w:rPr>
              <w:t>1-3009235</w:t>
            </w:r>
          </w:p>
          <w:p w14:paraId="3854199A" w14:textId="77777777" w:rsidR="00F44833" w:rsidRPr="003F7EE6" w:rsidRDefault="00F44833" w:rsidP="00D662B2">
            <w:pPr>
              <w:suppressAutoHyphens/>
              <w:spacing w:after="0" w:line="240" w:lineRule="auto"/>
              <w:rPr>
                <w:rFonts w:ascii="Times New Roman" w:eastAsia="Times New Roman" w:hAnsi="Times New Roman" w:cs="Times New Roman"/>
                <w:sz w:val="26"/>
                <w:szCs w:val="26"/>
              </w:rPr>
            </w:pPr>
          </w:p>
        </w:tc>
      </w:tr>
    </w:tbl>
    <w:p w14:paraId="434491CE" w14:textId="77777777" w:rsidR="00F44833" w:rsidRPr="003F7EE6" w:rsidRDefault="00F44833" w:rsidP="00F44833">
      <w:pPr>
        <w:keepNext/>
        <w:tabs>
          <w:tab w:val="center" w:pos="4680"/>
        </w:tabs>
        <w:suppressAutoHyphens/>
        <w:spacing w:after="0" w:line="360" w:lineRule="auto"/>
        <w:outlineLvl w:val="0"/>
        <w:rPr>
          <w:rFonts w:ascii="CG Times" w:eastAsia="Times New Roman" w:hAnsi="CG Times" w:cs="Times New Roman"/>
          <w:b/>
          <w:sz w:val="26"/>
          <w:szCs w:val="20"/>
        </w:rPr>
      </w:pPr>
    </w:p>
    <w:p w14:paraId="389A61B4" w14:textId="77777777" w:rsidR="00F44833" w:rsidRPr="003F7EE6" w:rsidRDefault="00F44833" w:rsidP="00F44833">
      <w:pPr>
        <w:keepNext/>
        <w:tabs>
          <w:tab w:val="center" w:pos="4680"/>
        </w:tabs>
        <w:suppressAutoHyphens/>
        <w:spacing w:after="0" w:line="360" w:lineRule="auto"/>
        <w:jc w:val="center"/>
        <w:outlineLvl w:val="0"/>
        <w:rPr>
          <w:rFonts w:ascii="Times New Roman" w:eastAsia="Times New Roman" w:hAnsi="Times New Roman" w:cs="Times New Roman"/>
          <w:b/>
          <w:caps/>
          <w:sz w:val="26"/>
          <w:szCs w:val="20"/>
        </w:rPr>
      </w:pPr>
      <w:r w:rsidRPr="003F7EE6">
        <w:rPr>
          <w:rFonts w:ascii="Times New Roman" w:eastAsia="Times New Roman" w:hAnsi="Times New Roman" w:cs="Times New Roman"/>
          <w:b/>
          <w:caps/>
          <w:sz w:val="26"/>
          <w:szCs w:val="20"/>
        </w:rPr>
        <w:t>Opinion and Order</w:t>
      </w:r>
    </w:p>
    <w:p w14:paraId="15A31660" w14:textId="77777777" w:rsidR="00F44833" w:rsidRPr="003F7EE6" w:rsidRDefault="00F44833" w:rsidP="00F44833">
      <w:pPr>
        <w:tabs>
          <w:tab w:val="left" w:pos="-720"/>
        </w:tabs>
        <w:suppressAutoHyphens/>
        <w:spacing w:after="0" w:line="360" w:lineRule="auto"/>
        <w:rPr>
          <w:rFonts w:ascii="Times New Roman" w:eastAsia="Times New Roman" w:hAnsi="Times New Roman" w:cs="Times New Roman"/>
          <w:b/>
          <w:sz w:val="26"/>
          <w:szCs w:val="26"/>
        </w:rPr>
      </w:pPr>
    </w:p>
    <w:p w14:paraId="2C9E2E81" w14:textId="77777777"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BY THE COMMISSION:</w:t>
      </w:r>
    </w:p>
    <w:p w14:paraId="4B6AC53B" w14:textId="77777777" w:rsidR="00F44833" w:rsidRPr="003F7EE6" w:rsidRDefault="00F44833" w:rsidP="001602ED">
      <w:pPr>
        <w:tabs>
          <w:tab w:val="left" w:pos="-720"/>
        </w:tabs>
        <w:suppressAutoHyphens/>
        <w:spacing w:after="0" w:line="240" w:lineRule="auto"/>
        <w:rPr>
          <w:rFonts w:ascii="Times New Roman" w:eastAsia="Times New Roman" w:hAnsi="Times New Roman" w:cs="Times New Roman"/>
          <w:sz w:val="26"/>
          <w:szCs w:val="26"/>
        </w:rPr>
      </w:pPr>
    </w:p>
    <w:p w14:paraId="5A1D5561" w14:textId="62F3D805" w:rsidR="00F44833" w:rsidRDefault="00F44833" w:rsidP="00DD45B6">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Before the Pennsylvania Public Utility Commission (Commission) for consideration and disposition</w:t>
      </w:r>
      <w:r w:rsidR="002A67F9">
        <w:rPr>
          <w:rFonts w:ascii="Times New Roman" w:eastAsia="Times New Roman" w:hAnsi="Times New Roman" w:cs="Times New Roman"/>
          <w:sz w:val="26"/>
          <w:szCs w:val="26"/>
        </w:rPr>
        <w:t xml:space="preserve"> are: </w:t>
      </w:r>
      <w:r w:rsidR="00345856">
        <w:rPr>
          <w:rFonts w:ascii="Times New Roman" w:eastAsia="Times New Roman" w:hAnsi="Times New Roman" w:cs="Times New Roman"/>
          <w:sz w:val="26"/>
          <w:szCs w:val="26"/>
        </w:rPr>
        <w:t xml:space="preserve"> </w:t>
      </w:r>
      <w:r w:rsidR="002A67F9">
        <w:rPr>
          <w:rFonts w:ascii="Times New Roman" w:eastAsia="Times New Roman" w:hAnsi="Times New Roman" w:cs="Times New Roman"/>
          <w:sz w:val="26"/>
          <w:szCs w:val="26"/>
        </w:rPr>
        <w:t>(1)</w:t>
      </w:r>
      <w:r w:rsidRPr="003F7EE6">
        <w:rPr>
          <w:rFonts w:ascii="Times New Roman" w:eastAsia="Times New Roman" w:hAnsi="Times New Roman" w:cs="Times New Roman"/>
          <w:sz w:val="26"/>
          <w:szCs w:val="26"/>
        </w:rPr>
        <w:t xml:space="preserve"> </w:t>
      </w:r>
      <w:r w:rsidR="002A67F9">
        <w:rPr>
          <w:rFonts w:ascii="Times New Roman" w:eastAsia="Times New Roman" w:hAnsi="Times New Roman" w:cs="Times New Roman"/>
          <w:sz w:val="26"/>
          <w:szCs w:val="26"/>
        </w:rPr>
        <w:t>the</w:t>
      </w:r>
      <w:r w:rsidRPr="003F7EE6">
        <w:rPr>
          <w:rFonts w:ascii="Times New Roman" w:eastAsia="Times New Roman" w:hAnsi="Times New Roman" w:cs="Times New Roman"/>
          <w:sz w:val="26"/>
          <w:szCs w:val="26"/>
        </w:rPr>
        <w:t xml:space="preserve"> proposed </w:t>
      </w:r>
      <w:bookmarkStart w:id="0" w:name="_Hlk76542199"/>
      <w:r w:rsidR="006065A4">
        <w:rPr>
          <w:rFonts w:ascii="Times New Roman" w:eastAsia="Times New Roman" w:hAnsi="Times New Roman" w:cs="Times New Roman"/>
          <w:sz w:val="26"/>
          <w:szCs w:val="26"/>
        </w:rPr>
        <w:t>Joint Petition for Approval of Settlement</w:t>
      </w:r>
      <w:r w:rsidR="00C70D07">
        <w:rPr>
          <w:rFonts w:ascii="Times New Roman" w:eastAsia="Times New Roman" w:hAnsi="Times New Roman" w:cs="Times New Roman"/>
          <w:sz w:val="26"/>
          <w:szCs w:val="26"/>
        </w:rPr>
        <w:t xml:space="preserve"> </w:t>
      </w:r>
      <w:r w:rsidR="001B2B83" w:rsidRPr="003F7EE6">
        <w:rPr>
          <w:rFonts w:ascii="Times New Roman" w:eastAsia="Times New Roman" w:hAnsi="Times New Roman" w:cs="Times New Roman"/>
          <w:sz w:val="26"/>
          <w:szCs w:val="26"/>
        </w:rPr>
        <w:t>(</w:t>
      </w:r>
      <w:r w:rsidR="005D6C59">
        <w:rPr>
          <w:rFonts w:ascii="Times New Roman" w:eastAsia="Times New Roman" w:hAnsi="Times New Roman" w:cs="Times New Roman"/>
          <w:sz w:val="26"/>
          <w:szCs w:val="26"/>
        </w:rPr>
        <w:t xml:space="preserve">Joint Petition, </w:t>
      </w:r>
      <w:r w:rsidR="001B2B83">
        <w:rPr>
          <w:rFonts w:ascii="Times New Roman" w:eastAsia="Times New Roman" w:hAnsi="Times New Roman" w:cs="Times New Roman"/>
          <w:sz w:val="26"/>
          <w:szCs w:val="26"/>
        </w:rPr>
        <w:t>Settlement</w:t>
      </w:r>
      <w:r w:rsidR="006065A4">
        <w:rPr>
          <w:rFonts w:ascii="Times New Roman" w:eastAsia="Times New Roman" w:hAnsi="Times New Roman" w:cs="Times New Roman"/>
          <w:sz w:val="26"/>
          <w:szCs w:val="26"/>
        </w:rPr>
        <w:t>,</w:t>
      </w:r>
      <w:r w:rsidR="005D6C59">
        <w:rPr>
          <w:rFonts w:ascii="Times New Roman" w:eastAsia="Times New Roman" w:hAnsi="Times New Roman" w:cs="Times New Roman"/>
          <w:sz w:val="26"/>
          <w:szCs w:val="26"/>
        </w:rPr>
        <w:t xml:space="preserve"> or</w:t>
      </w:r>
      <w:r w:rsidR="006065A4">
        <w:rPr>
          <w:rFonts w:ascii="Times New Roman" w:eastAsia="Times New Roman" w:hAnsi="Times New Roman" w:cs="Times New Roman"/>
          <w:sz w:val="26"/>
          <w:szCs w:val="26"/>
        </w:rPr>
        <w:t xml:space="preserve"> Settlement Agreement</w:t>
      </w:r>
      <w:r w:rsidR="001B2B83" w:rsidRPr="003F7EE6">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 xml:space="preserve">filed on </w:t>
      </w:r>
      <w:r w:rsidR="00AC4478">
        <w:rPr>
          <w:rFonts w:ascii="Times New Roman" w:eastAsia="Times New Roman" w:hAnsi="Times New Roman" w:cs="Times New Roman"/>
          <w:sz w:val="26"/>
          <w:szCs w:val="26"/>
        </w:rPr>
        <w:t>July 9</w:t>
      </w:r>
      <w:r w:rsidR="006A0373">
        <w:rPr>
          <w:rFonts w:ascii="Times New Roman" w:eastAsia="Times New Roman" w:hAnsi="Times New Roman" w:cs="Times New Roman"/>
          <w:sz w:val="26"/>
          <w:szCs w:val="26"/>
        </w:rPr>
        <w:t>, 202</w:t>
      </w:r>
      <w:r w:rsidR="00AC4478">
        <w:rPr>
          <w:rFonts w:ascii="Times New Roman" w:eastAsia="Times New Roman" w:hAnsi="Times New Roman" w:cs="Times New Roman"/>
          <w:sz w:val="26"/>
          <w:szCs w:val="26"/>
        </w:rPr>
        <w:t>1</w:t>
      </w:r>
      <w:r w:rsidRPr="003F7EE6">
        <w:rPr>
          <w:rFonts w:ascii="Times New Roman" w:eastAsia="Times New Roman" w:hAnsi="Times New Roman" w:cs="Times New Roman"/>
          <w:sz w:val="26"/>
          <w:szCs w:val="26"/>
        </w:rPr>
        <w:t xml:space="preserve">, by the Commission’s Bureau of Investigation and Enforcement (I&amp;E) and </w:t>
      </w:r>
      <w:bookmarkEnd w:id="0"/>
      <w:r w:rsidR="00AC4478">
        <w:rPr>
          <w:rFonts w:ascii="Times New Roman" w:eastAsia="Times New Roman" w:hAnsi="Times New Roman" w:cs="Times New Roman"/>
          <w:sz w:val="26"/>
          <w:szCs w:val="26"/>
        </w:rPr>
        <w:t xml:space="preserve">Green Mountain </w:t>
      </w:r>
      <w:r w:rsidR="00AC4478">
        <w:rPr>
          <w:rFonts w:ascii="Times New Roman" w:eastAsia="Times New Roman" w:hAnsi="Times New Roman" w:cs="Times New Roman"/>
          <w:sz w:val="26"/>
          <w:szCs w:val="26"/>
        </w:rPr>
        <w:lastRenderedPageBreak/>
        <w:t>Energy Company</w:t>
      </w:r>
      <w:r w:rsidR="00AC4478" w:rsidRPr="00AC4478">
        <w:rPr>
          <w:rFonts w:ascii="Times New Roman" w:eastAsia="Times New Roman" w:hAnsi="Times New Roman" w:cs="Times New Roman"/>
          <w:sz w:val="26"/>
          <w:szCs w:val="26"/>
          <w:vertAlign w:val="superscript"/>
        </w:rPr>
        <w:footnoteReference w:id="1"/>
      </w:r>
      <w:r w:rsidR="00D331FF">
        <w:rPr>
          <w:rFonts w:ascii="Times New Roman" w:eastAsia="Times New Roman" w:hAnsi="Times New Roman" w:cs="Times New Roman"/>
          <w:sz w:val="26"/>
          <w:szCs w:val="26"/>
        </w:rPr>
        <w:t xml:space="preserve"> (</w:t>
      </w:r>
      <w:r w:rsidR="00AC4478">
        <w:rPr>
          <w:rFonts w:ascii="Times New Roman" w:eastAsia="Times New Roman" w:hAnsi="Times New Roman" w:cs="Times New Roman"/>
          <w:sz w:val="26"/>
          <w:szCs w:val="26"/>
        </w:rPr>
        <w:t>Green Mountain</w:t>
      </w:r>
      <w:r w:rsidR="00FC0802">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or Company)</w:t>
      </w:r>
      <w:r w:rsidR="008C5FB0" w:rsidRPr="008C5FB0">
        <w:rPr>
          <w:rStyle w:val="FootnoteReference"/>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 xml:space="preserve">(collectively, </w:t>
      </w:r>
      <w:r w:rsidR="00DD62AF">
        <w:rPr>
          <w:rFonts w:ascii="Times New Roman" w:eastAsia="Times New Roman" w:hAnsi="Times New Roman" w:cs="Times New Roman"/>
          <w:sz w:val="26"/>
          <w:szCs w:val="26"/>
        </w:rPr>
        <w:t>the Parties)</w:t>
      </w:r>
      <w:r w:rsidR="002A67F9">
        <w:rPr>
          <w:rFonts w:ascii="Times New Roman" w:eastAsia="Times New Roman" w:hAnsi="Times New Roman" w:cs="Times New Roman"/>
          <w:sz w:val="26"/>
          <w:szCs w:val="26"/>
        </w:rPr>
        <w:t xml:space="preserve">, and (2) the comments filed in response to our </w:t>
      </w:r>
      <w:r w:rsidR="00605AC3">
        <w:rPr>
          <w:rFonts w:ascii="Times New Roman" w:eastAsia="Times New Roman" w:hAnsi="Times New Roman" w:cs="Times New Roman"/>
          <w:sz w:val="26"/>
          <w:szCs w:val="26"/>
        </w:rPr>
        <w:t xml:space="preserve">Tentative </w:t>
      </w:r>
      <w:r w:rsidR="002A67F9">
        <w:rPr>
          <w:rFonts w:ascii="Times New Roman" w:eastAsia="Times New Roman" w:hAnsi="Times New Roman" w:cs="Times New Roman"/>
          <w:sz w:val="26"/>
          <w:szCs w:val="26"/>
        </w:rPr>
        <w:t>Opinion and Order, entered November</w:t>
      </w:r>
      <w:r w:rsidR="00C146D3">
        <w:rPr>
          <w:rFonts w:ascii="Times New Roman" w:eastAsia="Times New Roman" w:hAnsi="Times New Roman" w:cs="Times New Roman"/>
          <w:sz w:val="26"/>
          <w:szCs w:val="26"/>
        </w:rPr>
        <w:t> </w:t>
      </w:r>
      <w:r w:rsidR="002A67F9">
        <w:rPr>
          <w:rFonts w:ascii="Times New Roman" w:eastAsia="Times New Roman" w:hAnsi="Times New Roman" w:cs="Times New Roman"/>
          <w:sz w:val="26"/>
          <w:szCs w:val="26"/>
        </w:rPr>
        <w:t>18,</w:t>
      </w:r>
      <w:r w:rsidR="00C146D3">
        <w:rPr>
          <w:rFonts w:ascii="Times New Roman" w:eastAsia="Times New Roman" w:hAnsi="Times New Roman" w:cs="Times New Roman"/>
          <w:sz w:val="26"/>
          <w:szCs w:val="26"/>
        </w:rPr>
        <w:t> </w:t>
      </w:r>
      <w:r w:rsidR="002A67F9">
        <w:rPr>
          <w:rFonts w:ascii="Times New Roman" w:eastAsia="Times New Roman" w:hAnsi="Times New Roman" w:cs="Times New Roman"/>
          <w:sz w:val="26"/>
          <w:szCs w:val="26"/>
        </w:rPr>
        <w:t>2021 at this docket (</w:t>
      </w:r>
      <w:r w:rsidR="002A67F9" w:rsidRPr="002A67F9">
        <w:rPr>
          <w:rFonts w:ascii="Times New Roman" w:eastAsia="Times New Roman" w:hAnsi="Times New Roman" w:cs="Times New Roman"/>
          <w:i/>
          <w:iCs/>
          <w:sz w:val="26"/>
          <w:szCs w:val="26"/>
        </w:rPr>
        <w:t>November 2021 Order</w:t>
      </w:r>
      <w:r w:rsidR="002A67F9">
        <w:rPr>
          <w:rFonts w:ascii="Times New Roman" w:eastAsia="Times New Roman" w:hAnsi="Times New Roman" w:cs="Times New Roman"/>
          <w:sz w:val="26"/>
          <w:szCs w:val="26"/>
        </w:rPr>
        <w:t>)</w:t>
      </w:r>
      <w:r w:rsidR="00DD62AF">
        <w:rPr>
          <w:rFonts w:ascii="Times New Roman" w:eastAsia="Times New Roman" w:hAnsi="Times New Roman" w:cs="Times New Roman"/>
          <w:sz w:val="26"/>
          <w:szCs w:val="26"/>
        </w:rPr>
        <w:t>,</w:t>
      </w:r>
      <w:r w:rsidR="002A67F9">
        <w:rPr>
          <w:rFonts w:ascii="Times New Roman" w:eastAsia="Times New Roman" w:hAnsi="Times New Roman" w:cs="Times New Roman"/>
          <w:sz w:val="26"/>
          <w:szCs w:val="26"/>
        </w:rPr>
        <w:t xml:space="preserve"> in which we sought comments from interested parties regarding</w:t>
      </w:r>
      <w:r w:rsidR="005D6C59">
        <w:rPr>
          <w:rFonts w:ascii="Times New Roman" w:eastAsia="Times New Roman" w:hAnsi="Times New Roman" w:cs="Times New Roman"/>
          <w:sz w:val="26"/>
          <w:szCs w:val="26"/>
        </w:rPr>
        <w:t xml:space="preserve"> the proposed Settlement Agreement between I&amp;E and Green Mountain</w:t>
      </w:r>
      <w:r w:rsidRPr="003F7EE6">
        <w:rPr>
          <w:rFonts w:ascii="Times New Roman" w:eastAsia="Times New Roman" w:hAnsi="Times New Roman" w:cs="Times New Roman"/>
          <w:sz w:val="26"/>
          <w:szCs w:val="26"/>
        </w:rPr>
        <w:t xml:space="preserve">.  </w:t>
      </w:r>
      <w:r w:rsidR="005D6C59">
        <w:rPr>
          <w:rFonts w:ascii="Times New Roman" w:eastAsia="Times New Roman" w:hAnsi="Times New Roman" w:cs="Times New Roman"/>
          <w:sz w:val="26"/>
          <w:szCs w:val="26"/>
        </w:rPr>
        <w:t xml:space="preserve">The Joint Petition contains terms and conditions representing a comprehensive Settlement, along with Statements in Support of the Settlement, with respect to an informal investigation conducted by I&amp;E regarding </w:t>
      </w:r>
      <w:r w:rsidR="00B66EEC">
        <w:rPr>
          <w:rFonts w:ascii="Times New Roman" w:eastAsia="Times New Roman" w:hAnsi="Times New Roman" w:cs="Times New Roman"/>
          <w:sz w:val="26"/>
          <w:szCs w:val="26"/>
        </w:rPr>
        <w:t>allegations of unauthorized changes to customers’ electric generation supply service</w:t>
      </w:r>
      <w:r w:rsidR="00F9509E">
        <w:rPr>
          <w:rFonts w:ascii="Times New Roman" w:eastAsia="Times New Roman" w:hAnsi="Times New Roman" w:cs="Times New Roman"/>
          <w:sz w:val="26"/>
          <w:szCs w:val="26"/>
        </w:rPr>
        <w:t xml:space="preserve"> committed by Green Mountain agents.</w:t>
      </w:r>
      <w:r w:rsidR="004E3BEC">
        <w:rPr>
          <w:rFonts w:ascii="Times New Roman" w:eastAsia="Times New Roman" w:hAnsi="Times New Roman" w:cs="Times New Roman"/>
          <w:sz w:val="26"/>
          <w:szCs w:val="26"/>
        </w:rPr>
        <w:t xml:space="preserve">  </w:t>
      </w:r>
      <w:r w:rsidR="006A328C">
        <w:rPr>
          <w:rFonts w:ascii="Times New Roman" w:eastAsia="Times New Roman" w:hAnsi="Times New Roman" w:cs="Times New Roman"/>
          <w:sz w:val="26"/>
          <w:szCs w:val="26"/>
        </w:rPr>
        <w:t xml:space="preserve">Both Parties submitted Statements in Support of the Settlement.  </w:t>
      </w:r>
      <w:r w:rsidR="00D662B2">
        <w:rPr>
          <w:rFonts w:ascii="Times New Roman" w:eastAsia="Times New Roman" w:hAnsi="Times New Roman" w:cs="Times New Roman"/>
          <w:sz w:val="26"/>
          <w:szCs w:val="26"/>
        </w:rPr>
        <w:t>The Parties</w:t>
      </w:r>
      <w:r w:rsidRPr="003F7EE6">
        <w:rPr>
          <w:rFonts w:ascii="Times New Roman" w:eastAsia="Times New Roman" w:hAnsi="Times New Roman" w:cs="Times New Roman"/>
          <w:sz w:val="26"/>
          <w:szCs w:val="26"/>
        </w:rPr>
        <w:t xml:space="preserve"> </w:t>
      </w:r>
      <w:r w:rsidR="00F9509E">
        <w:rPr>
          <w:rFonts w:ascii="Times New Roman" w:eastAsia="Times New Roman" w:hAnsi="Times New Roman" w:cs="Times New Roman"/>
          <w:sz w:val="26"/>
          <w:szCs w:val="26"/>
        </w:rPr>
        <w:t xml:space="preserve">request that the Commission approve the proposed Settlement because it </w:t>
      </w:r>
      <w:r w:rsidRPr="003F7EE6">
        <w:rPr>
          <w:rFonts w:ascii="Times New Roman" w:eastAsia="Times New Roman" w:hAnsi="Times New Roman" w:cs="Times New Roman"/>
          <w:sz w:val="26"/>
          <w:szCs w:val="26"/>
        </w:rPr>
        <w:t>is in the public interest and is consistent with the Commission’s Policy Statement at 52</w:t>
      </w:r>
      <w:r w:rsidR="00B11263">
        <w:rPr>
          <w:rFonts w:ascii="Times New Roman" w:eastAsia="Times New Roman" w:hAnsi="Times New Roman" w:cs="Times New Roman"/>
          <w:sz w:val="26"/>
          <w:szCs w:val="26"/>
        </w:rPr>
        <w:t> </w:t>
      </w:r>
      <w:r w:rsidRPr="003F7EE6">
        <w:rPr>
          <w:rFonts w:ascii="Times New Roman" w:eastAsia="Times New Roman" w:hAnsi="Times New Roman" w:cs="Times New Roman"/>
          <w:sz w:val="26"/>
          <w:szCs w:val="26"/>
        </w:rPr>
        <w:t>Pa.</w:t>
      </w:r>
      <w:r w:rsidR="00B11263">
        <w:rPr>
          <w:rFonts w:ascii="Times New Roman" w:eastAsia="Times New Roman" w:hAnsi="Times New Roman" w:cs="Times New Roman"/>
          <w:sz w:val="26"/>
          <w:szCs w:val="26"/>
        </w:rPr>
        <w:t> </w:t>
      </w:r>
      <w:r w:rsidRPr="003F7EE6">
        <w:rPr>
          <w:rFonts w:ascii="Times New Roman" w:eastAsia="Times New Roman" w:hAnsi="Times New Roman" w:cs="Times New Roman"/>
          <w:sz w:val="26"/>
          <w:szCs w:val="26"/>
        </w:rPr>
        <w:t>Code §</w:t>
      </w:r>
      <w:r w:rsidR="00060D64">
        <w:rPr>
          <w:rFonts w:ascii="Times New Roman" w:eastAsia="Times New Roman" w:hAnsi="Times New Roman" w:cs="Times New Roman"/>
          <w:sz w:val="26"/>
          <w:szCs w:val="26"/>
        </w:rPr>
        <w:t> </w:t>
      </w:r>
      <w:r w:rsidRPr="003F7EE6">
        <w:rPr>
          <w:rFonts w:ascii="Times New Roman" w:eastAsia="Times New Roman" w:hAnsi="Times New Roman" w:cs="Times New Roman"/>
          <w:sz w:val="26"/>
          <w:szCs w:val="26"/>
        </w:rPr>
        <w:t xml:space="preserve">69.1201, </w:t>
      </w:r>
      <w:r w:rsidRPr="003F7EE6">
        <w:rPr>
          <w:rFonts w:ascii="Times New Roman" w:eastAsia="Times New Roman" w:hAnsi="Times New Roman" w:cs="Times New Roman"/>
          <w:i/>
          <w:sz w:val="26"/>
          <w:szCs w:val="26"/>
        </w:rPr>
        <w:t>Factors and standards for evaluating litigated and settled proceedings involving violations of the Public Utility Code and Commission regulations—statement of policy</w:t>
      </w:r>
      <w:r w:rsidR="00FD4049">
        <w:rPr>
          <w:rFonts w:ascii="Times New Roman" w:eastAsia="Times New Roman" w:hAnsi="Times New Roman" w:cs="Times New Roman"/>
          <w:i/>
          <w:sz w:val="26"/>
          <w:szCs w:val="26"/>
        </w:rPr>
        <w:t xml:space="preserve"> </w:t>
      </w:r>
      <w:r w:rsidR="00FD4049">
        <w:rPr>
          <w:rFonts w:ascii="Times New Roman" w:eastAsia="Times New Roman" w:hAnsi="Times New Roman" w:cs="Times New Roman"/>
          <w:iCs/>
          <w:sz w:val="26"/>
          <w:szCs w:val="26"/>
        </w:rPr>
        <w:t>(</w:t>
      </w:r>
      <w:r w:rsidR="00FD4049">
        <w:rPr>
          <w:rFonts w:ascii="Times New Roman" w:eastAsia="Times New Roman" w:hAnsi="Times New Roman" w:cs="Times New Roman"/>
          <w:i/>
          <w:sz w:val="26"/>
          <w:szCs w:val="26"/>
        </w:rPr>
        <w:t xml:space="preserve">Policy </w:t>
      </w:r>
      <w:r w:rsidR="00FD4049" w:rsidRPr="000D1A16">
        <w:rPr>
          <w:rFonts w:ascii="Times New Roman" w:eastAsia="Times New Roman" w:hAnsi="Times New Roman" w:cs="Times New Roman"/>
          <w:i/>
          <w:sz w:val="26"/>
          <w:szCs w:val="26"/>
        </w:rPr>
        <w:t>Statement</w:t>
      </w:r>
      <w:r w:rsidR="00FD4049" w:rsidRPr="000D1A16">
        <w:rPr>
          <w:rFonts w:ascii="Times New Roman" w:eastAsia="Times New Roman" w:hAnsi="Times New Roman" w:cs="Times New Roman"/>
          <w:iCs/>
          <w:sz w:val="26"/>
          <w:szCs w:val="26"/>
        </w:rPr>
        <w:t>)</w:t>
      </w:r>
      <w:r w:rsidR="00DD62AF" w:rsidRPr="000D1A16">
        <w:rPr>
          <w:rFonts w:ascii="Times New Roman" w:eastAsia="Times New Roman" w:hAnsi="Times New Roman" w:cs="Times New Roman"/>
          <w:sz w:val="26"/>
          <w:szCs w:val="26"/>
        </w:rPr>
        <w:t xml:space="preserve">.  </w:t>
      </w:r>
      <w:r w:rsidR="00A53B32" w:rsidRPr="000D1A16">
        <w:rPr>
          <w:rFonts w:ascii="Times New Roman" w:eastAsia="Times New Roman" w:hAnsi="Times New Roman" w:cs="Times New Roman"/>
          <w:sz w:val="26"/>
          <w:szCs w:val="26"/>
        </w:rPr>
        <w:t>Settlement</w:t>
      </w:r>
      <w:r w:rsidR="00DD62AF" w:rsidRPr="000D1A16">
        <w:rPr>
          <w:rFonts w:ascii="Times New Roman" w:eastAsia="Times New Roman" w:hAnsi="Times New Roman" w:cs="Times New Roman"/>
          <w:sz w:val="26"/>
          <w:szCs w:val="26"/>
        </w:rPr>
        <w:t xml:space="preserve"> at </w:t>
      </w:r>
      <w:r w:rsidR="00CE43B0" w:rsidRPr="000D1A16">
        <w:rPr>
          <w:rFonts w:ascii="Times New Roman" w:eastAsia="Times New Roman" w:hAnsi="Times New Roman" w:cs="Times New Roman"/>
          <w:sz w:val="26"/>
          <w:szCs w:val="26"/>
        </w:rPr>
        <w:t>4</w:t>
      </w:r>
      <w:r w:rsidRPr="000D1A16">
        <w:rPr>
          <w:rFonts w:ascii="Times New Roman" w:eastAsia="Times New Roman" w:hAnsi="Times New Roman" w:cs="Times New Roman"/>
          <w:sz w:val="26"/>
          <w:szCs w:val="26"/>
        </w:rPr>
        <w:t xml:space="preserve">.  </w:t>
      </w:r>
      <w:r w:rsidR="009B72D9" w:rsidRPr="000D1A16">
        <w:rPr>
          <w:rFonts w:ascii="Times New Roman" w:eastAsia="Times New Roman" w:hAnsi="Times New Roman" w:cs="Times New Roman"/>
          <w:sz w:val="26"/>
          <w:szCs w:val="26"/>
        </w:rPr>
        <w:t>For the reasons set forth herein, we shall</w:t>
      </w:r>
      <w:r w:rsidR="00925114" w:rsidRPr="000D1A16">
        <w:rPr>
          <w:rFonts w:ascii="Times New Roman" w:eastAsia="Times New Roman" w:hAnsi="Times New Roman" w:cs="Times New Roman"/>
          <w:sz w:val="26"/>
          <w:szCs w:val="26"/>
        </w:rPr>
        <w:t xml:space="preserve"> </w:t>
      </w:r>
      <w:bookmarkStart w:id="1" w:name="_Hlk76646965"/>
      <w:r w:rsidR="000D1A16" w:rsidRPr="000D1A16">
        <w:rPr>
          <w:rFonts w:ascii="Times New Roman" w:eastAsia="Times New Roman" w:hAnsi="Times New Roman" w:cs="Times New Roman"/>
          <w:sz w:val="26"/>
          <w:szCs w:val="26"/>
        </w:rPr>
        <w:t>approve</w:t>
      </w:r>
      <w:r w:rsidR="00925114" w:rsidRPr="000D1A16">
        <w:rPr>
          <w:rFonts w:ascii="Times New Roman" w:eastAsia="Times New Roman" w:hAnsi="Times New Roman" w:cs="Times New Roman"/>
          <w:sz w:val="26"/>
          <w:szCs w:val="26"/>
        </w:rPr>
        <w:t xml:space="preserve"> the </w:t>
      </w:r>
      <w:r w:rsidR="00F9509E" w:rsidRPr="000D1A16">
        <w:rPr>
          <w:rFonts w:ascii="Times New Roman" w:eastAsia="Times New Roman" w:hAnsi="Times New Roman" w:cs="Times New Roman"/>
          <w:sz w:val="26"/>
          <w:szCs w:val="26"/>
        </w:rPr>
        <w:t xml:space="preserve">Joint </w:t>
      </w:r>
      <w:r w:rsidR="00925114" w:rsidRPr="000D1A16">
        <w:rPr>
          <w:rFonts w:ascii="Times New Roman" w:eastAsia="Times New Roman" w:hAnsi="Times New Roman" w:cs="Times New Roman"/>
          <w:sz w:val="26"/>
          <w:szCs w:val="26"/>
        </w:rPr>
        <w:t>Petition</w:t>
      </w:r>
      <w:r w:rsidR="00297C2E" w:rsidRPr="000D1A16">
        <w:rPr>
          <w:rFonts w:ascii="Times New Roman" w:eastAsia="Times New Roman" w:hAnsi="Times New Roman" w:cs="Times New Roman"/>
          <w:sz w:val="26"/>
          <w:szCs w:val="26"/>
        </w:rPr>
        <w:t>, as modified,</w:t>
      </w:r>
      <w:r w:rsidR="00F9509E" w:rsidRPr="000D1A16">
        <w:rPr>
          <w:rFonts w:ascii="Times New Roman" w:eastAsia="Times New Roman" w:hAnsi="Times New Roman" w:cs="Times New Roman"/>
          <w:sz w:val="26"/>
          <w:szCs w:val="26"/>
        </w:rPr>
        <w:t xml:space="preserve"> based on our finding that the Settlement</w:t>
      </w:r>
      <w:r w:rsidR="00A44D14" w:rsidRPr="000D1A16">
        <w:rPr>
          <w:rFonts w:ascii="Times New Roman" w:eastAsia="Times New Roman" w:hAnsi="Times New Roman" w:cs="Times New Roman"/>
          <w:sz w:val="26"/>
          <w:szCs w:val="26"/>
        </w:rPr>
        <w:t>, as modified by clarification of the Settlement terms pertaining to customer refunds,</w:t>
      </w:r>
      <w:r w:rsidR="00F9509E" w:rsidRPr="000D1A16">
        <w:rPr>
          <w:rFonts w:ascii="Times New Roman" w:eastAsia="Times New Roman" w:hAnsi="Times New Roman" w:cs="Times New Roman"/>
          <w:sz w:val="26"/>
          <w:szCs w:val="26"/>
        </w:rPr>
        <w:t xml:space="preserve"> is in the public interest</w:t>
      </w:r>
      <w:bookmarkEnd w:id="1"/>
      <w:r w:rsidR="00F9509E" w:rsidRPr="000D1A16">
        <w:rPr>
          <w:rFonts w:ascii="Times New Roman" w:eastAsia="Times New Roman" w:hAnsi="Times New Roman" w:cs="Times New Roman"/>
          <w:sz w:val="26"/>
          <w:szCs w:val="26"/>
        </w:rPr>
        <w:t>.</w:t>
      </w:r>
    </w:p>
    <w:p w14:paraId="32614820" w14:textId="77777777" w:rsidR="00A53B32" w:rsidRPr="00300456" w:rsidRDefault="00A53B32" w:rsidP="00300456">
      <w:pPr>
        <w:tabs>
          <w:tab w:val="left" w:pos="-720"/>
        </w:tabs>
        <w:suppressAutoHyphens/>
        <w:spacing w:after="0" w:line="360" w:lineRule="auto"/>
        <w:rPr>
          <w:rFonts w:ascii="Times New Roman" w:eastAsia="Times New Roman" w:hAnsi="Times New Roman" w:cs="Times New Roman"/>
          <w:sz w:val="26"/>
          <w:szCs w:val="26"/>
        </w:rPr>
      </w:pPr>
    </w:p>
    <w:p w14:paraId="248C178E" w14:textId="7DD2CCEE" w:rsidR="00DD45B6" w:rsidRPr="00300456" w:rsidRDefault="00A30ECF" w:rsidP="004E3BEC">
      <w:pPr>
        <w:pStyle w:val="Heading1"/>
        <w:keepNext/>
        <w:keepLines/>
      </w:pPr>
      <w:r w:rsidRPr="00300456">
        <w:lastRenderedPageBreak/>
        <w:t xml:space="preserve">History of the </w:t>
      </w:r>
      <w:r w:rsidR="0076203D" w:rsidRPr="00300456">
        <w:t>Proceeding</w:t>
      </w:r>
    </w:p>
    <w:p w14:paraId="1B0CD1AE" w14:textId="77777777" w:rsidR="00300456" w:rsidRPr="00300456" w:rsidRDefault="00300456" w:rsidP="004E3BEC">
      <w:pPr>
        <w:keepNext/>
        <w:keepLines/>
        <w:spacing w:after="0" w:line="360" w:lineRule="auto"/>
        <w:rPr>
          <w:sz w:val="26"/>
          <w:szCs w:val="26"/>
        </w:rPr>
      </w:pPr>
    </w:p>
    <w:p w14:paraId="47BCD2DF" w14:textId="1F591E66" w:rsidR="00D966BA" w:rsidRPr="00D966BA" w:rsidRDefault="00FC773F" w:rsidP="004E3BEC">
      <w:pPr>
        <w:keepNext/>
        <w:keepLines/>
        <w:tabs>
          <w:tab w:val="center" w:pos="0"/>
        </w:tabs>
        <w:suppressAutoHyphens/>
        <w:spacing w:after="0" w:line="360" w:lineRule="auto"/>
        <w:rPr>
          <w:rFonts w:ascii="Times New Roman" w:eastAsia="Times New Roman" w:hAnsi="Times New Roman" w:cs="Times New Roman"/>
          <w:sz w:val="26"/>
          <w:szCs w:val="26"/>
        </w:rPr>
      </w:pPr>
      <w:r w:rsidRPr="00300456">
        <w:rPr>
          <w:rFonts w:ascii="Times New Roman" w:eastAsia="Times New Roman" w:hAnsi="Times New Roman" w:cs="Times New Roman"/>
          <w:sz w:val="26"/>
          <w:szCs w:val="26"/>
        </w:rPr>
        <w:tab/>
      </w:r>
      <w:r w:rsidRPr="00300456">
        <w:rPr>
          <w:rFonts w:ascii="Times New Roman" w:eastAsia="Times New Roman" w:hAnsi="Times New Roman" w:cs="Times New Roman"/>
          <w:sz w:val="26"/>
          <w:szCs w:val="26"/>
        </w:rPr>
        <w:tab/>
      </w:r>
      <w:r w:rsidR="00D966BA" w:rsidRPr="00300456">
        <w:rPr>
          <w:rFonts w:ascii="Times New Roman" w:eastAsia="Times New Roman" w:hAnsi="Times New Roman" w:cs="Times New Roman"/>
          <w:sz w:val="26"/>
          <w:szCs w:val="26"/>
        </w:rPr>
        <w:t xml:space="preserve">This matter concerns alleged unauthorized changes to customers’ electric generation supply service.  Between June 1, </w:t>
      </w:r>
      <w:proofErr w:type="gramStart"/>
      <w:r w:rsidR="00D966BA" w:rsidRPr="00300456">
        <w:rPr>
          <w:rFonts w:ascii="Times New Roman" w:eastAsia="Times New Roman" w:hAnsi="Times New Roman" w:cs="Times New Roman"/>
          <w:sz w:val="26"/>
          <w:szCs w:val="26"/>
        </w:rPr>
        <w:t>2018</w:t>
      </w:r>
      <w:proofErr w:type="gramEnd"/>
      <w:r w:rsidR="00D966BA" w:rsidRPr="00300456">
        <w:rPr>
          <w:rFonts w:ascii="Times New Roman" w:eastAsia="Times New Roman" w:hAnsi="Times New Roman" w:cs="Times New Roman"/>
          <w:sz w:val="26"/>
          <w:szCs w:val="26"/>
        </w:rPr>
        <w:t xml:space="preserve"> and September 30, 2020, the Commission’s Bureau of Consumer Services (BCS) received approximately twenty-two informal complaints from residential customers alleging that their electricity</w:t>
      </w:r>
      <w:r w:rsidR="00D966BA" w:rsidRPr="00D966BA">
        <w:rPr>
          <w:rFonts w:ascii="Times New Roman" w:eastAsia="Times New Roman" w:hAnsi="Times New Roman" w:cs="Times New Roman"/>
          <w:sz w:val="26"/>
          <w:szCs w:val="26"/>
        </w:rPr>
        <w:t xml:space="preserve"> accounts had been switched to receive the Company’s electric generation supply without authorization.  </w:t>
      </w:r>
      <w:r w:rsidR="00E431CD">
        <w:rPr>
          <w:rFonts w:ascii="Times New Roman" w:eastAsia="Times New Roman" w:hAnsi="Times New Roman" w:cs="Times New Roman"/>
          <w:sz w:val="26"/>
          <w:szCs w:val="26"/>
        </w:rPr>
        <w:t xml:space="preserve">Joint </w:t>
      </w:r>
      <w:r w:rsidR="00D966BA" w:rsidRPr="00D966BA">
        <w:rPr>
          <w:rFonts w:ascii="Times New Roman" w:eastAsia="Times New Roman" w:hAnsi="Times New Roman" w:cs="Times New Roman"/>
          <w:sz w:val="26"/>
          <w:szCs w:val="26"/>
        </w:rPr>
        <w:t>Petition at 3-4.  The unauthorized switching allegations stemmed from Green Mountain’s marketing activities at in-person locations, including retail and event sites, where Green Mountain agents were utilizing eligible customer lists</w:t>
      </w:r>
      <w:r w:rsidR="00D966BA" w:rsidRPr="00D966BA">
        <w:rPr>
          <w:rFonts w:ascii="Times New Roman" w:eastAsia="Times New Roman" w:hAnsi="Times New Roman" w:cs="Times New Roman"/>
          <w:sz w:val="26"/>
          <w:szCs w:val="26"/>
          <w:vertAlign w:val="superscript"/>
        </w:rPr>
        <w:footnoteReference w:id="2"/>
      </w:r>
      <w:r w:rsidR="00D966BA" w:rsidRPr="00D966BA">
        <w:rPr>
          <w:rFonts w:ascii="Times New Roman" w:eastAsia="Times New Roman" w:hAnsi="Times New Roman" w:cs="Times New Roman"/>
          <w:sz w:val="26"/>
          <w:szCs w:val="26"/>
        </w:rPr>
        <w:t xml:space="preserve"> (ECL) to obtain the information of prospective customers.  </w:t>
      </w:r>
      <w:r w:rsidR="00D966BA" w:rsidRPr="00D966BA">
        <w:rPr>
          <w:rFonts w:ascii="Times New Roman" w:eastAsia="Times New Roman" w:hAnsi="Times New Roman" w:cs="Times New Roman"/>
          <w:i/>
          <w:iCs/>
          <w:sz w:val="26"/>
          <w:szCs w:val="26"/>
        </w:rPr>
        <w:t>Id</w:t>
      </w:r>
      <w:r w:rsidR="00D966BA" w:rsidRPr="00D966BA">
        <w:rPr>
          <w:rFonts w:ascii="Times New Roman" w:eastAsia="Times New Roman" w:hAnsi="Times New Roman" w:cs="Times New Roman"/>
          <w:sz w:val="26"/>
          <w:szCs w:val="26"/>
        </w:rPr>
        <w:t>.</w:t>
      </w:r>
    </w:p>
    <w:p w14:paraId="31F293A6" w14:textId="77777777" w:rsidR="00D966BA" w:rsidRPr="00D966BA" w:rsidRDefault="00D966BA" w:rsidP="00D966BA">
      <w:pPr>
        <w:tabs>
          <w:tab w:val="center" w:pos="0"/>
        </w:tabs>
        <w:suppressAutoHyphens/>
        <w:spacing w:after="0" w:line="360" w:lineRule="auto"/>
        <w:rPr>
          <w:rFonts w:ascii="Times New Roman" w:eastAsia="Times New Roman" w:hAnsi="Times New Roman" w:cs="Times New Roman"/>
          <w:sz w:val="26"/>
          <w:szCs w:val="26"/>
        </w:rPr>
      </w:pPr>
    </w:p>
    <w:p w14:paraId="42170A97" w14:textId="7C823AE7" w:rsidR="00D966BA" w:rsidRPr="00D966BA" w:rsidRDefault="00D966BA" w:rsidP="00D966BA">
      <w:pPr>
        <w:tabs>
          <w:tab w:val="center" w:pos="0"/>
        </w:tabs>
        <w:suppressAutoHyphens/>
        <w:spacing w:after="0" w:line="360" w:lineRule="auto"/>
        <w:ind w:firstLine="1440"/>
        <w:rPr>
          <w:rFonts w:ascii="Times New Roman" w:eastAsia="Times New Roman" w:hAnsi="Times New Roman" w:cs="Times New Roman"/>
          <w:sz w:val="26"/>
          <w:szCs w:val="26"/>
        </w:rPr>
      </w:pPr>
      <w:r w:rsidRPr="00D966BA">
        <w:rPr>
          <w:rFonts w:ascii="Times New Roman" w:eastAsia="Times New Roman" w:hAnsi="Times New Roman" w:cs="Times New Roman"/>
          <w:sz w:val="26"/>
          <w:szCs w:val="26"/>
        </w:rPr>
        <w:t xml:space="preserve">Upon determining that the allegations warranted a further investigation to examine whether the actions of Green Mountain violated Commission Regulations, I&amp;E instituted an informal investigation of Green Mountain based on information referred to I&amp;E by BCS.  </w:t>
      </w:r>
      <w:r w:rsidR="00E431CD">
        <w:rPr>
          <w:rFonts w:ascii="Times New Roman" w:eastAsia="Times New Roman" w:hAnsi="Times New Roman" w:cs="Times New Roman"/>
          <w:sz w:val="26"/>
          <w:szCs w:val="26"/>
        </w:rPr>
        <w:t xml:space="preserve">Joint </w:t>
      </w:r>
      <w:r w:rsidRPr="00D966BA">
        <w:rPr>
          <w:rFonts w:ascii="Times New Roman" w:eastAsia="Times New Roman" w:hAnsi="Times New Roman" w:cs="Times New Roman"/>
          <w:sz w:val="26"/>
          <w:szCs w:val="26"/>
        </w:rPr>
        <w:t xml:space="preserve">Petition at 3.  </w:t>
      </w:r>
    </w:p>
    <w:p w14:paraId="08FE210B" w14:textId="77777777" w:rsidR="00D966BA" w:rsidRPr="00D966BA" w:rsidRDefault="00D966BA" w:rsidP="00D966BA">
      <w:pPr>
        <w:tabs>
          <w:tab w:val="center" w:pos="0"/>
        </w:tabs>
        <w:suppressAutoHyphens/>
        <w:spacing w:after="0" w:line="360" w:lineRule="auto"/>
        <w:rPr>
          <w:rFonts w:ascii="Times New Roman" w:eastAsia="Times New Roman" w:hAnsi="Times New Roman" w:cs="Times New Roman"/>
          <w:sz w:val="26"/>
          <w:szCs w:val="26"/>
        </w:rPr>
      </w:pPr>
    </w:p>
    <w:p w14:paraId="184662D6" w14:textId="77777777" w:rsidR="00D966BA" w:rsidRPr="00D966BA" w:rsidRDefault="00D966BA" w:rsidP="00D966BA">
      <w:pPr>
        <w:tabs>
          <w:tab w:val="center" w:pos="0"/>
        </w:tabs>
        <w:suppressAutoHyphens/>
        <w:spacing w:after="0" w:line="360" w:lineRule="auto"/>
        <w:ind w:firstLine="1440"/>
        <w:rPr>
          <w:rFonts w:ascii="Times New Roman" w:eastAsia="Times New Roman" w:hAnsi="Times New Roman" w:cs="Times New Roman"/>
          <w:sz w:val="26"/>
          <w:szCs w:val="26"/>
        </w:rPr>
      </w:pPr>
      <w:r w:rsidRPr="00D966BA">
        <w:rPr>
          <w:rFonts w:ascii="Times New Roman" w:eastAsia="Times New Roman" w:hAnsi="Times New Roman" w:cs="Times New Roman"/>
          <w:sz w:val="26"/>
          <w:szCs w:val="26"/>
        </w:rPr>
        <w:t xml:space="preserve">Thereafter, the Parties </w:t>
      </w:r>
      <w:proofErr w:type="gramStart"/>
      <w:r w:rsidRPr="00D966BA">
        <w:rPr>
          <w:rFonts w:ascii="Times New Roman" w:eastAsia="Times New Roman" w:hAnsi="Times New Roman" w:cs="Times New Roman"/>
          <w:sz w:val="26"/>
          <w:szCs w:val="26"/>
        </w:rPr>
        <w:t>entered into</w:t>
      </w:r>
      <w:proofErr w:type="gramEnd"/>
      <w:r w:rsidRPr="00D966BA">
        <w:rPr>
          <w:rFonts w:ascii="Times New Roman" w:eastAsia="Times New Roman" w:hAnsi="Times New Roman" w:cs="Times New Roman"/>
          <w:sz w:val="26"/>
          <w:szCs w:val="26"/>
        </w:rPr>
        <w:t xml:space="preserve"> negotiations and agreed to resolve the matter in accordance with the Commission’s policy to promote settlements at 52 Pa. Code § 5.231.  </w:t>
      </w:r>
      <w:r w:rsidRPr="00D966BA">
        <w:rPr>
          <w:rFonts w:ascii="Times New Roman" w:eastAsia="Times New Roman" w:hAnsi="Times New Roman" w:cs="Times New Roman"/>
          <w:i/>
          <w:iCs/>
          <w:sz w:val="26"/>
          <w:szCs w:val="26"/>
        </w:rPr>
        <w:t>Id.</w:t>
      </w:r>
      <w:r w:rsidRPr="00D966BA">
        <w:rPr>
          <w:rFonts w:ascii="Times New Roman" w:eastAsia="Times New Roman" w:hAnsi="Times New Roman" w:cs="Times New Roman"/>
          <w:sz w:val="26"/>
          <w:szCs w:val="26"/>
        </w:rPr>
        <w:t xml:space="preserve"> at 4.  The Parties filed the instant Settlement on July 9, 2021.</w:t>
      </w:r>
    </w:p>
    <w:p w14:paraId="49A0A503" w14:textId="417D14AB" w:rsidR="006D71EF" w:rsidRDefault="006D71EF" w:rsidP="00D966BA">
      <w:pPr>
        <w:tabs>
          <w:tab w:val="center" w:pos="0"/>
        </w:tabs>
        <w:suppressAutoHyphens/>
        <w:spacing w:after="0" w:line="360" w:lineRule="auto"/>
        <w:rPr>
          <w:rFonts w:ascii="Times New Roman" w:eastAsia="Times New Roman" w:hAnsi="Times New Roman" w:cs="Times New Roman"/>
          <w:sz w:val="26"/>
          <w:szCs w:val="26"/>
        </w:rPr>
      </w:pPr>
    </w:p>
    <w:p w14:paraId="768EB6D7" w14:textId="5C24169B" w:rsidR="00D966BA" w:rsidRPr="00B32911" w:rsidRDefault="00D966BA" w:rsidP="00D966BA">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our </w:t>
      </w:r>
      <w:r w:rsidRPr="00D966BA">
        <w:rPr>
          <w:rFonts w:ascii="Times New Roman" w:eastAsia="Times New Roman" w:hAnsi="Times New Roman" w:cs="Times New Roman"/>
          <w:i/>
          <w:iCs/>
          <w:sz w:val="26"/>
          <w:szCs w:val="26"/>
        </w:rPr>
        <w:t>November 2021 Order</w:t>
      </w:r>
      <w:r>
        <w:rPr>
          <w:rFonts w:ascii="Times New Roman" w:eastAsia="Times New Roman" w:hAnsi="Times New Roman" w:cs="Times New Roman"/>
          <w:sz w:val="26"/>
          <w:szCs w:val="26"/>
        </w:rPr>
        <w:t xml:space="preserve">, we provided interested parties with the opportunity to file comments.  To be considered timely, the Commission directed </w:t>
      </w:r>
      <w:r w:rsidR="00E157B5">
        <w:rPr>
          <w:rFonts w:ascii="Times New Roman" w:eastAsia="Times New Roman" w:hAnsi="Times New Roman" w:cs="Times New Roman"/>
          <w:sz w:val="26"/>
          <w:szCs w:val="26"/>
        </w:rPr>
        <w:t>those comments</w:t>
      </w:r>
      <w:r>
        <w:rPr>
          <w:rFonts w:ascii="Times New Roman" w:eastAsia="Times New Roman" w:hAnsi="Times New Roman" w:cs="Times New Roman"/>
          <w:sz w:val="26"/>
          <w:szCs w:val="26"/>
        </w:rPr>
        <w:t xml:space="preserve"> be filed no later than twenty-five days after the </w:t>
      </w:r>
      <w:r w:rsidR="001D50FF" w:rsidRPr="001D50FF">
        <w:rPr>
          <w:rFonts w:ascii="Times New Roman" w:eastAsia="Times New Roman" w:hAnsi="Times New Roman" w:cs="Times New Roman"/>
          <w:sz w:val="26"/>
          <w:szCs w:val="26"/>
        </w:rPr>
        <w:t xml:space="preserve">date that </w:t>
      </w:r>
      <w:r w:rsidR="001D50FF">
        <w:rPr>
          <w:rFonts w:ascii="Times New Roman" w:eastAsia="Times New Roman" w:hAnsi="Times New Roman" w:cs="Times New Roman"/>
          <w:sz w:val="26"/>
          <w:szCs w:val="26"/>
        </w:rPr>
        <w:t xml:space="preserve">the </w:t>
      </w:r>
      <w:r w:rsidR="001D50FF" w:rsidRPr="001D50FF">
        <w:rPr>
          <w:rFonts w:ascii="Times New Roman" w:eastAsia="Times New Roman" w:hAnsi="Times New Roman" w:cs="Times New Roman"/>
          <w:i/>
          <w:iCs/>
          <w:sz w:val="26"/>
          <w:szCs w:val="26"/>
        </w:rPr>
        <w:t xml:space="preserve">November 2021 Order </w:t>
      </w:r>
      <w:r w:rsidR="001D50FF" w:rsidRPr="001D50FF">
        <w:rPr>
          <w:rFonts w:ascii="Times New Roman" w:eastAsia="Times New Roman" w:hAnsi="Times New Roman" w:cs="Times New Roman"/>
          <w:sz w:val="26"/>
          <w:szCs w:val="26"/>
        </w:rPr>
        <w:t xml:space="preserve">and the attached Joint Petition and the Statements in Support thereof are published in the </w:t>
      </w:r>
      <w:r w:rsidR="001D50FF" w:rsidRPr="001D50FF">
        <w:rPr>
          <w:rFonts w:ascii="Times New Roman" w:eastAsia="Times New Roman" w:hAnsi="Times New Roman" w:cs="Times New Roman"/>
          <w:i/>
          <w:iCs/>
          <w:sz w:val="26"/>
          <w:szCs w:val="26"/>
        </w:rPr>
        <w:t>Pennsylvania Bulletin</w:t>
      </w:r>
      <w:r w:rsidR="00B81A2E">
        <w:rPr>
          <w:rFonts w:ascii="Times New Roman" w:eastAsia="Times New Roman" w:hAnsi="Times New Roman" w:cs="Times New Roman"/>
          <w:sz w:val="26"/>
          <w:szCs w:val="26"/>
        </w:rPr>
        <w:t>, or by January 5, 2022.</w:t>
      </w:r>
      <w:r w:rsidR="00B81A2E">
        <w:rPr>
          <w:rStyle w:val="FootnoteReference"/>
          <w:rFonts w:ascii="Times New Roman" w:eastAsia="Times New Roman" w:hAnsi="Times New Roman" w:cs="Times New Roman"/>
          <w:sz w:val="26"/>
          <w:szCs w:val="26"/>
        </w:rPr>
        <w:footnoteReference w:id="3"/>
      </w:r>
    </w:p>
    <w:p w14:paraId="6A8F057B" w14:textId="6C8747E9" w:rsidR="00D966BA" w:rsidRDefault="00D966BA" w:rsidP="00D966BA">
      <w:pPr>
        <w:tabs>
          <w:tab w:val="center" w:pos="0"/>
        </w:tabs>
        <w:suppressAutoHyphens/>
        <w:spacing w:after="0" w:line="360" w:lineRule="auto"/>
        <w:rPr>
          <w:rFonts w:ascii="Times New Roman" w:eastAsia="Times New Roman" w:hAnsi="Times New Roman" w:cs="Times New Roman"/>
          <w:sz w:val="26"/>
          <w:szCs w:val="26"/>
        </w:rPr>
      </w:pPr>
    </w:p>
    <w:p w14:paraId="1CDEA883" w14:textId="3105B70B" w:rsidR="00F91896" w:rsidRDefault="00F91896" w:rsidP="00B11263">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Comments were filed by one interested party, the Office of Consumer Advocate (OCA), on </w:t>
      </w:r>
      <w:r w:rsidR="00D80FA6">
        <w:rPr>
          <w:rFonts w:ascii="Times New Roman" w:eastAsia="Times New Roman" w:hAnsi="Times New Roman" w:cs="Times New Roman"/>
          <w:sz w:val="26"/>
          <w:szCs w:val="26"/>
        </w:rPr>
        <w:t xml:space="preserve">January 5, 2022.  These comments in conjunction with our analysis and disposition of the proposed Settlement will be discussed in this Opinion and Order, </w:t>
      </w:r>
      <w:r w:rsidR="00D80FA6" w:rsidRPr="00D80FA6">
        <w:rPr>
          <w:rFonts w:ascii="Times New Roman" w:eastAsia="Times New Roman" w:hAnsi="Times New Roman" w:cs="Times New Roman"/>
          <w:i/>
          <w:iCs/>
          <w:sz w:val="26"/>
          <w:szCs w:val="26"/>
        </w:rPr>
        <w:t>infra.</w:t>
      </w:r>
    </w:p>
    <w:p w14:paraId="434BDB97" w14:textId="77777777" w:rsidR="00D80FA6" w:rsidRDefault="00D80FA6" w:rsidP="00B11263">
      <w:pPr>
        <w:tabs>
          <w:tab w:val="center" w:pos="0"/>
        </w:tabs>
        <w:suppressAutoHyphens/>
        <w:spacing w:after="0" w:line="360" w:lineRule="auto"/>
        <w:ind w:firstLine="1440"/>
        <w:rPr>
          <w:rFonts w:ascii="Times New Roman" w:eastAsia="Times New Roman" w:hAnsi="Times New Roman" w:cs="Times New Roman"/>
          <w:sz w:val="26"/>
          <w:szCs w:val="26"/>
        </w:rPr>
      </w:pPr>
    </w:p>
    <w:p w14:paraId="6C2E65E8" w14:textId="77777777" w:rsidR="006D71EF" w:rsidRPr="00026DFB" w:rsidRDefault="006D71EF" w:rsidP="00B11263">
      <w:pPr>
        <w:pStyle w:val="Heading1"/>
      </w:pPr>
      <w:r w:rsidRPr="00DD45B6">
        <w:t>Background</w:t>
      </w:r>
    </w:p>
    <w:p w14:paraId="4B086766" w14:textId="77777777" w:rsidR="006D71EF" w:rsidRDefault="006D71EF" w:rsidP="00B11263">
      <w:pPr>
        <w:keepNext/>
        <w:tabs>
          <w:tab w:val="center" w:pos="0"/>
        </w:tabs>
        <w:suppressAutoHyphens/>
        <w:spacing w:after="0" w:line="360" w:lineRule="auto"/>
        <w:rPr>
          <w:rFonts w:ascii="Times New Roman" w:eastAsia="Times New Roman" w:hAnsi="Times New Roman" w:cs="Times New Roman"/>
          <w:sz w:val="26"/>
          <w:szCs w:val="26"/>
        </w:rPr>
      </w:pPr>
    </w:p>
    <w:p w14:paraId="0FC447EE" w14:textId="2DDADC0C" w:rsidR="00AB1327" w:rsidRPr="00AB1327" w:rsidRDefault="00AB1327" w:rsidP="00B11263">
      <w:pPr>
        <w:keepNext/>
        <w:tabs>
          <w:tab w:val="center" w:pos="0"/>
        </w:tabs>
        <w:suppressAutoHyphens/>
        <w:spacing w:after="0" w:line="360" w:lineRule="auto"/>
        <w:ind w:firstLine="1440"/>
        <w:rPr>
          <w:rFonts w:ascii="Times New Roman" w:eastAsia="Times New Roman" w:hAnsi="Times New Roman" w:cs="Times New Roman"/>
          <w:sz w:val="26"/>
          <w:szCs w:val="26"/>
        </w:rPr>
      </w:pPr>
      <w:r w:rsidRPr="00AB1327">
        <w:rPr>
          <w:rFonts w:ascii="Times New Roman" w:eastAsia="Times New Roman" w:hAnsi="Times New Roman" w:cs="Times New Roman"/>
          <w:sz w:val="26"/>
          <w:szCs w:val="26"/>
        </w:rPr>
        <w:t xml:space="preserve">BCS received approximately twenty-two informal complaints submitted by residential customers alleging that their electricity accounts had been switched to receive electric generation service supplied by Green Mountain without their authorization.  A review by BCS of the informal complaints determined that the alleged unauthorized enrollments were set up by agents who used the ECL at in-person marketing locations.  BCS became concerned that Green Mountain agents were improperly using the ECL, which contains customer information, to switch customers to Green Mountain without the customers’ consent.  Therefore, BCS referred the matter to I&amp;E.  </w:t>
      </w:r>
      <w:r w:rsidR="009943D6">
        <w:rPr>
          <w:rFonts w:ascii="Times New Roman" w:eastAsia="Times New Roman" w:hAnsi="Times New Roman" w:cs="Times New Roman"/>
          <w:sz w:val="26"/>
          <w:szCs w:val="26"/>
        </w:rPr>
        <w:t xml:space="preserve">Joint </w:t>
      </w:r>
      <w:r w:rsidRPr="00AB1327">
        <w:rPr>
          <w:rFonts w:ascii="Times New Roman" w:eastAsia="Times New Roman" w:hAnsi="Times New Roman" w:cs="Times New Roman"/>
          <w:sz w:val="26"/>
          <w:szCs w:val="26"/>
        </w:rPr>
        <w:t xml:space="preserve">Petition at 4.  </w:t>
      </w:r>
    </w:p>
    <w:p w14:paraId="78083645" w14:textId="77777777" w:rsidR="00AB1327" w:rsidRPr="00AB1327" w:rsidRDefault="00AB1327" w:rsidP="00A81E55">
      <w:pPr>
        <w:tabs>
          <w:tab w:val="center" w:pos="0"/>
        </w:tabs>
        <w:suppressAutoHyphens/>
        <w:spacing w:after="0" w:line="360" w:lineRule="auto"/>
        <w:ind w:firstLine="1440"/>
        <w:rPr>
          <w:rFonts w:ascii="Times New Roman" w:eastAsia="Times New Roman" w:hAnsi="Times New Roman" w:cs="Times New Roman"/>
          <w:sz w:val="26"/>
          <w:szCs w:val="26"/>
        </w:rPr>
      </w:pPr>
    </w:p>
    <w:p w14:paraId="6E16F9D6" w14:textId="161FDD07" w:rsidR="00AB1327" w:rsidRPr="00AB1327" w:rsidRDefault="00AB1327" w:rsidP="00AB1327">
      <w:pPr>
        <w:keepNext/>
        <w:tabs>
          <w:tab w:val="center" w:pos="0"/>
        </w:tabs>
        <w:suppressAutoHyphens/>
        <w:spacing w:after="0" w:line="360" w:lineRule="auto"/>
        <w:ind w:firstLine="1440"/>
        <w:rPr>
          <w:rFonts w:ascii="Times New Roman" w:eastAsia="Times New Roman" w:hAnsi="Times New Roman" w:cs="Times New Roman"/>
          <w:sz w:val="26"/>
          <w:szCs w:val="26"/>
        </w:rPr>
      </w:pPr>
      <w:r w:rsidRPr="00AB1327">
        <w:rPr>
          <w:rFonts w:ascii="Times New Roman" w:eastAsia="Times New Roman" w:hAnsi="Times New Roman" w:cs="Times New Roman"/>
          <w:sz w:val="26"/>
          <w:szCs w:val="26"/>
        </w:rPr>
        <w:t xml:space="preserve">By letter dated January 8, 2021, I&amp;E notified Green </w:t>
      </w:r>
      <w:r>
        <w:rPr>
          <w:rFonts w:ascii="Times New Roman" w:eastAsia="Times New Roman" w:hAnsi="Times New Roman" w:cs="Times New Roman"/>
          <w:sz w:val="26"/>
          <w:szCs w:val="26"/>
        </w:rPr>
        <w:t>Mountain</w:t>
      </w:r>
      <w:r w:rsidRPr="00AB1327">
        <w:rPr>
          <w:rFonts w:ascii="Times New Roman" w:eastAsia="Times New Roman" w:hAnsi="Times New Roman" w:cs="Times New Roman"/>
          <w:sz w:val="26"/>
          <w:szCs w:val="26"/>
        </w:rPr>
        <w:t xml:space="preserve"> that it had initiated an informal investigation of the Company consistent with Sections 331(a) and 506 of the Public Utility Code</w:t>
      </w:r>
      <w:r w:rsidR="00272601">
        <w:rPr>
          <w:rFonts w:ascii="Times New Roman" w:eastAsia="Times New Roman" w:hAnsi="Times New Roman" w:cs="Times New Roman"/>
          <w:sz w:val="26"/>
          <w:szCs w:val="26"/>
        </w:rPr>
        <w:t xml:space="preserve"> (Code)</w:t>
      </w:r>
      <w:r w:rsidRPr="00AB1327">
        <w:rPr>
          <w:rFonts w:ascii="Times New Roman" w:eastAsia="Times New Roman" w:hAnsi="Times New Roman" w:cs="Times New Roman"/>
          <w:sz w:val="26"/>
          <w:szCs w:val="26"/>
        </w:rPr>
        <w:t>, 66 Pa. C.S. §§ 331(a) and 506, and Section</w:t>
      </w:r>
      <w:r w:rsidR="00B11263">
        <w:rPr>
          <w:rFonts w:ascii="Times New Roman" w:eastAsia="Times New Roman" w:hAnsi="Times New Roman" w:cs="Times New Roman"/>
          <w:sz w:val="26"/>
          <w:szCs w:val="26"/>
        </w:rPr>
        <w:t> </w:t>
      </w:r>
      <w:r w:rsidRPr="00AB1327">
        <w:rPr>
          <w:rFonts w:ascii="Times New Roman" w:eastAsia="Times New Roman" w:hAnsi="Times New Roman" w:cs="Times New Roman"/>
          <w:sz w:val="26"/>
          <w:szCs w:val="26"/>
        </w:rPr>
        <w:t xml:space="preserve">3.113 of the Commission’s Regulations, 52 Pa. Code § 3.113.  I&amp;E advised Green Mountain that its investigation would focus on the Company’s marketing, </w:t>
      </w:r>
      <w:proofErr w:type="gramStart"/>
      <w:r w:rsidRPr="00AB1327">
        <w:rPr>
          <w:rFonts w:ascii="Times New Roman" w:eastAsia="Times New Roman" w:hAnsi="Times New Roman" w:cs="Times New Roman"/>
          <w:sz w:val="26"/>
          <w:szCs w:val="26"/>
        </w:rPr>
        <w:t>sales</w:t>
      </w:r>
      <w:proofErr w:type="gramEnd"/>
      <w:r w:rsidRPr="00AB1327">
        <w:rPr>
          <w:rFonts w:ascii="Times New Roman" w:eastAsia="Times New Roman" w:hAnsi="Times New Roman" w:cs="Times New Roman"/>
          <w:sz w:val="26"/>
          <w:szCs w:val="26"/>
        </w:rPr>
        <w:t xml:space="preserve"> and enrollment practices as an EGS in Pennsylvania.  </w:t>
      </w:r>
      <w:r w:rsidRPr="00AB1327">
        <w:rPr>
          <w:rFonts w:ascii="Times New Roman" w:eastAsia="Times New Roman" w:hAnsi="Times New Roman" w:cs="Times New Roman"/>
          <w:i/>
          <w:iCs/>
          <w:sz w:val="26"/>
          <w:szCs w:val="26"/>
        </w:rPr>
        <w:t>Id</w:t>
      </w:r>
      <w:r w:rsidRPr="00AB1327">
        <w:rPr>
          <w:rFonts w:ascii="Times New Roman" w:eastAsia="Times New Roman" w:hAnsi="Times New Roman" w:cs="Times New Roman"/>
          <w:sz w:val="26"/>
          <w:szCs w:val="26"/>
        </w:rPr>
        <w:t>. at 4-5.</w:t>
      </w:r>
    </w:p>
    <w:p w14:paraId="027B81DA" w14:textId="77777777" w:rsidR="00AB1327" w:rsidRPr="00AB1327" w:rsidRDefault="00AB1327" w:rsidP="00A81E55">
      <w:pPr>
        <w:tabs>
          <w:tab w:val="center" w:pos="0"/>
        </w:tabs>
        <w:suppressAutoHyphens/>
        <w:spacing w:after="0" w:line="360" w:lineRule="auto"/>
        <w:ind w:firstLine="1440"/>
        <w:rPr>
          <w:rFonts w:ascii="Times New Roman" w:eastAsia="Times New Roman" w:hAnsi="Times New Roman" w:cs="Times New Roman"/>
          <w:sz w:val="26"/>
          <w:szCs w:val="26"/>
        </w:rPr>
      </w:pPr>
    </w:p>
    <w:p w14:paraId="57314C74" w14:textId="04658266" w:rsidR="00AB1327" w:rsidRPr="00AB1327" w:rsidRDefault="00AB1327" w:rsidP="00A81E55">
      <w:pPr>
        <w:tabs>
          <w:tab w:val="center" w:pos="0"/>
        </w:tabs>
        <w:suppressAutoHyphens/>
        <w:spacing w:after="0" w:line="360" w:lineRule="auto"/>
        <w:ind w:firstLine="1440"/>
        <w:rPr>
          <w:rFonts w:ascii="Times New Roman" w:eastAsia="Times New Roman" w:hAnsi="Times New Roman" w:cs="Times New Roman"/>
          <w:sz w:val="26"/>
          <w:szCs w:val="26"/>
        </w:rPr>
      </w:pPr>
      <w:r w:rsidRPr="00AB1327">
        <w:rPr>
          <w:rFonts w:ascii="Times New Roman" w:eastAsia="Times New Roman" w:hAnsi="Times New Roman" w:cs="Times New Roman"/>
          <w:sz w:val="26"/>
          <w:szCs w:val="26"/>
        </w:rPr>
        <w:t xml:space="preserve">I&amp;E’s investigation primarily consisted of the review of the Company’s responses to two sets of data requests served to Green Mountain on January 8, </w:t>
      </w:r>
      <w:proofErr w:type="gramStart"/>
      <w:r w:rsidRPr="00AB1327">
        <w:rPr>
          <w:rFonts w:ascii="Times New Roman" w:eastAsia="Times New Roman" w:hAnsi="Times New Roman" w:cs="Times New Roman"/>
          <w:sz w:val="26"/>
          <w:szCs w:val="26"/>
        </w:rPr>
        <w:t>2021</w:t>
      </w:r>
      <w:proofErr w:type="gramEnd"/>
      <w:r w:rsidRPr="00AB1327">
        <w:rPr>
          <w:rFonts w:ascii="Times New Roman" w:eastAsia="Times New Roman" w:hAnsi="Times New Roman" w:cs="Times New Roman"/>
          <w:sz w:val="26"/>
          <w:szCs w:val="26"/>
        </w:rPr>
        <w:t xml:space="preserve"> and April 2, 2021, respectively.  The results of I&amp;E’s investigation determined that between June 1, </w:t>
      </w:r>
      <w:proofErr w:type="gramStart"/>
      <w:r w:rsidRPr="00AB1327">
        <w:rPr>
          <w:rFonts w:ascii="Times New Roman" w:eastAsia="Times New Roman" w:hAnsi="Times New Roman" w:cs="Times New Roman"/>
          <w:sz w:val="26"/>
          <w:szCs w:val="26"/>
        </w:rPr>
        <w:t>2018</w:t>
      </w:r>
      <w:proofErr w:type="gramEnd"/>
      <w:r w:rsidRPr="00AB1327">
        <w:rPr>
          <w:rFonts w:ascii="Times New Roman" w:eastAsia="Times New Roman" w:hAnsi="Times New Roman" w:cs="Times New Roman"/>
          <w:sz w:val="26"/>
          <w:szCs w:val="26"/>
        </w:rPr>
        <w:t xml:space="preserve"> and September 30, 2020, Green Mountain, or agents acting on behalf of Green Mountain, enrolled 156 residential customers to receive electric</w:t>
      </w:r>
      <w:r w:rsidRPr="00AB1327">
        <w:t xml:space="preserve"> </w:t>
      </w:r>
      <w:r w:rsidRPr="00AB1327">
        <w:rPr>
          <w:rFonts w:ascii="Times New Roman" w:eastAsia="Times New Roman" w:hAnsi="Times New Roman" w:cs="Times New Roman"/>
          <w:sz w:val="26"/>
          <w:szCs w:val="26"/>
        </w:rPr>
        <w:t xml:space="preserve">generation supply provided by the Company without the customers’ authorization, with such enrollments originating from Green Mountain’s in-person marketing locations.  I&amp;E found that, of the 156 unauthorized enrollments, 141 were the direct result of enrollment processing errors, which occurred when Green Mountain agents inadvertently selected the incorrect customer account from the ECL or where the agent failed to advise the customer that he or she was switching suppliers until after the enrollment was signed.  The remaining fifteen unauthorized enrollments involved either sales agent misrepresentation (ten instances) or consisted of straightforward unauthorized switching (five instances).  </w:t>
      </w:r>
      <w:r w:rsidR="009943D6">
        <w:rPr>
          <w:rFonts w:ascii="Times New Roman" w:eastAsia="Times New Roman" w:hAnsi="Times New Roman" w:cs="Times New Roman"/>
          <w:sz w:val="26"/>
          <w:szCs w:val="26"/>
        </w:rPr>
        <w:t xml:space="preserve">Joint </w:t>
      </w:r>
      <w:r w:rsidRPr="00AB1327">
        <w:rPr>
          <w:rFonts w:ascii="Times New Roman" w:eastAsia="Times New Roman" w:hAnsi="Times New Roman" w:cs="Times New Roman"/>
          <w:sz w:val="26"/>
          <w:szCs w:val="26"/>
        </w:rPr>
        <w:t xml:space="preserve">Petition at 5.  </w:t>
      </w:r>
    </w:p>
    <w:p w14:paraId="194EEA31" w14:textId="77777777" w:rsidR="00AB1327" w:rsidRPr="00AB1327" w:rsidRDefault="00AB1327" w:rsidP="00A81E55">
      <w:pPr>
        <w:tabs>
          <w:tab w:val="center" w:pos="0"/>
        </w:tabs>
        <w:suppressAutoHyphens/>
        <w:spacing w:after="0" w:line="360" w:lineRule="auto"/>
        <w:ind w:firstLine="1440"/>
        <w:rPr>
          <w:rFonts w:ascii="Times New Roman" w:eastAsia="Times New Roman" w:hAnsi="Times New Roman" w:cs="Times New Roman"/>
          <w:sz w:val="26"/>
          <w:szCs w:val="26"/>
        </w:rPr>
      </w:pPr>
    </w:p>
    <w:p w14:paraId="25BE6BAE" w14:textId="365901AD" w:rsidR="00AB1327" w:rsidRDefault="00AB1327" w:rsidP="004E3BEC">
      <w:pPr>
        <w:tabs>
          <w:tab w:val="center" w:pos="0"/>
        </w:tabs>
        <w:suppressAutoHyphens/>
        <w:spacing w:after="0" w:line="360" w:lineRule="auto"/>
        <w:ind w:firstLine="1440"/>
        <w:rPr>
          <w:rFonts w:ascii="Times New Roman" w:eastAsia="Times New Roman" w:hAnsi="Times New Roman" w:cs="Times New Roman"/>
          <w:sz w:val="26"/>
          <w:szCs w:val="26"/>
        </w:rPr>
      </w:pPr>
      <w:r w:rsidRPr="00AB1327">
        <w:rPr>
          <w:rFonts w:ascii="Times New Roman" w:eastAsia="Times New Roman" w:hAnsi="Times New Roman" w:cs="Times New Roman"/>
          <w:sz w:val="26"/>
          <w:szCs w:val="26"/>
        </w:rPr>
        <w:t xml:space="preserve">I&amp;E provided that as a supplier, Green Mountain is responsible for fraudulent, </w:t>
      </w:r>
      <w:proofErr w:type="gramStart"/>
      <w:r w:rsidRPr="00AB1327">
        <w:rPr>
          <w:rFonts w:ascii="Times New Roman" w:eastAsia="Times New Roman" w:hAnsi="Times New Roman" w:cs="Times New Roman"/>
          <w:sz w:val="26"/>
          <w:szCs w:val="26"/>
        </w:rPr>
        <w:t>deceptive</w:t>
      </w:r>
      <w:proofErr w:type="gramEnd"/>
      <w:r w:rsidRPr="00AB1327">
        <w:rPr>
          <w:rFonts w:ascii="Times New Roman" w:eastAsia="Times New Roman" w:hAnsi="Times New Roman" w:cs="Times New Roman"/>
          <w:sz w:val="26"/>
          <w:szCs w:val="26"/>
        </w:rPr>
        <w:t xml:space="preserve"> or other unlawful marketing acts performed by its agents.  </w:t>
      </w:r>
      <w:r w:rsidR="009943D6">
        <w:rPr>
          <w:rFonts w:ascii="Times New Roman" w:eastAsia="Times New Roman" w:hAnsi="Times New Roman" w:cs="Times New Roman"/>
          <w:sz w:val="26"/>
          <w:szCs w:val="26"/>
        </w:rPr>
        <w:t xml:space="preserve">Joint </w:t>
      </w:r>
      <w:r w:rsidRPr="00AB1327">
        <w:rPr>
          <w:rFonts w:ascii="Times New Roman" w:eastAsia="Times New Roman" w:hAnsi="Times New Roman" w:cs="Times New Roman"/>
          <w:sz w:val="26"/>
          <w:szCs w:val="26"/>
        </w:rPr>
        <w:t>Petition at 5, n. 2 (citing 52 Pa. Code § 54.43(f) and 52 Pa. Code § 111.3).  Therefore, based on its investigation, I&amp;E alleged that Green Mountain’s conduct potentially violated 52 Pa. Code §</w:t>
      </w:r>
      <w:r w:rsidRPr="00AB1327">
        <w:t> </w:t>
      </w:r>
      <w:r w:rsidRPr="00AB1327">
        <w:rPr>
          <w:rFonts w:ascii="Times New Roman" w:eastAsia="Times New Roman" w:hAnsi="Times New Roman" w:cs="Times New Roman"/>
          <w:sz w:val="26"/>
          <w:szCs w:val="26"/>
        </w:rPr>
        <w:t xml:space="preserve">54.42(a)(9), and the Standards for Changing a Customer’s Electricity Generation Supplier at 52 Pa. Code §§ 57.171-180 (multiple counts). </w:t>
      </w:r>
      <w:r w:rsidRPr="00AB1327">
        <w:rPr>
          <w:rFonts w:ascii="Times New Roman" w:eastAsia="Times New Roman" w:hAnsi="Times New Roman" w:cs="Times New Roman"/>
          <w:i/>
          <w:iCs/>
          <w:sz w:val="26"/>
          <w:szCs w:val="26"/>
        </w:rPr>
        <w:t xml:space="preserve"> Id</w:t>
      </w:r>
      <w:r w:rsidRPr="00AB1327">
        <w:rPr>
          <w:rFonts w:ascii="Times New Roman" w:eastAsia="Times New Roman" w:hAnsi="Times New Roman" w:cs="Times New Roman"/>
          <w:sz w:val="26"/>
          <w:szCs w:val="26"/>
        </w:rPr>
        <w:t xml:space="preserve">. at 6.  If this matter had been fully litigated, I&amp;E would have sought a civil penalty of $1,000 per violation for each of the 156 accounts that were switched without the authorization of the customers, and $1,000 per day for each day that a customer received electric generation supplied by Green Mountain without the customer’s consent.  </w:t>
      </w:r>
      <w:r w:rsidRPr="00AB1327">
        <w:rPr>
          <w:rFonts w:ascii="Times New Roman" w:eastAsia="Times New Roman" w:hAnsi="Times New Roman" w:cs="Times New Roman"/>
          <w:i/>
          <w:iCs/>
          <w:sz w:val="26"/>
          <w:szCs w:val="26"/>
        </w:rPr>
        <w:t xml:space="preserve">See </w:t>
      </w:r>
      <w:bookmarkStart w:id="2" w:name="_Hlk94178276"/>
      <w:r w:rsidRPr="00AB1327">
        <w:rPr>
          <w:rFonts w:ascii="Times New Roman" w:eastAsia="Times New Roman" w:hAnsi="Times New Roman" w:cs="Times New Roman"/>
          <w:sz w:val="26"/>
          <w:szCs w:val="26"/>
        </w:rPr>
        <w:t>66 Pa. C.S. § </w:t>
      </w:r>
      <w:bookmarkEnd w:id="2"/>
      <w:r w:rsidRPr="00AB1327">
        <w:rPr>
          <w:rFonts w:ascii="Times New Roman" w:eastAsia="Times New Roman" w:hAnsi="Times New Roman" w:cs="Times New Roman"/>
          <w:sz w:val="26"/>
          <w:szCs w:val="26"/>
        </w:rPr>
        <w:t>3301(a)</w:t>
      </w:r>
      <w:r w:rsidRPr="00AB1327">
        <w:rPr>
          <w:rFonts w:ascii="Times New Roman" w:eastAsia="Times New Roman" w:hAnsi="Times New Roman" w:cs="Times New Roman"/>
          <w:sz w:val="26"/>
          <w:szCs w:val="26"/>
        </w:rPr>
        <w:noBreakHyphen/>
        <w:t xml:space="preserve">(b).  </w:t>
      </w:r>
      <w:r w:rsidRPr="00AB1327">
        <w:rPr>
          <w:rFonts w:ascii="Times New Roman" w:eastAsia="Times New Roman" w:hAnsi="Times New Roman" w:cs="Times New Roman"/>
          <w:i/>
          <w:iCs/>
          <w:sz w:val="26"/>
          <w:szCs w:val="26"/>
        </w:rPr>
        <w:t>Id</w:t>
      </w:r>
      <w:r w:rsidRPr="00AB1327">
        <w:rPr>
          <w:rFonts w:ascii="Times New Roman" w:eastAsia="Times New Roman" w:hAnsi="Times New Roman" w:cs="Times New Roman"/>
          <w:sz w:val="26"/>
          <w:szCs w:val="26"/>
        </w:rPr>
        <w:t xml:space="preserve">. at 7.  </w:t>
      </w:r>
    </w:p>
    <w:p w14:paraId="0FA223C4" w14:textId="77777777" w:rsidR="00A81E55" w:rsidRPr="00AB1327" w:rsidRDefault="00A81E55" w:rsidP="004E3BEC">
      <w:pPr>
        <w:tabs>
          <w:tab w:val="center" w:pos="0"/>
        </w:tabs>
        <w:suppressAutoHyphens/>
        <w:spacing w:after="0" w:line="360" w:lineRule="auto"/>
        <w:ind w:firstLine="1440"/>
        <w:rPr>
          <w:rFonts w:ascii="Times New Roman" w:eastAsia="Times New Roman" w:hAnsi="Times New Roman" w:cs="Times New Roman"/>
          <w:sz w:val="26"/>
          <w:szCs w:val="26"/>
        </w:rPr>
      </w:pPr>
    </w:p>
    <w:p w14:paraId="1535A936" w14:textId="77777777" w:rsidR="00AB1327" w:rsidRPr="00AB1327" w:rsidRDefault="00AB1327" w:rsidP="00AB1327">
      <w:pPr>
        <w:tabs>
          <w:tab w:val="center" w:pos="0"/>
        </w:tabs>
        <w:suppressAutoHyphens/>
        <w:spacing w:after="0" w:line="360" w:lineRule="auto"/>
        <w:ind w:firstLine="1440"/>
        <w:rPr>
          <w:rFonts w:ascii="Times New Roman" w:eastAsia="Times New Roman" w:hAnsi="Times New Roman" w:cs="Times New Roman"/>
          <w:sz w:val="26"/>
          <w:szCs w:val="26"/>
        </w:rPr>
      </w:pPr>
      <w:r w:rsidRPr="00AB1327">
        <w:rPr>
          <w:rFonts w:ascii="Times New Roman" w:eastAsia="Times New Roman" w:hAnsi="Times New Roman" w:cs="Times New Roman"/>
          <w:sz w:val="26"/>
          <w:szCs w:val="26"/>
        </w:rPr>
        <w:t>In turn, if this matter had been fully litigated, Green Mountain intended to raise defenses to I&amp;E’s allegations and defend against the same at hearing, presenting evidence and making legal arguments as follows:</w:t>
      </w:r>
    </w:p>
    <w:p w14:paraId="46A93C88" w14:textId="77777777" w:rsidR="00AB1327" w:rsidRPr="00AB1327" w:rsidRDefault="00AB1327" w:rsidP="00AB1327">
      <w:pPr>
        <w:tabs>
          <w:tab w:val="center" w:pos="0"/>
        </w:tabs>
        <w:suppressAutoHyphens/>
        <w:spacing w:after="0" w:line="240" w:lineRule="auto"/>
        <w:rPr>
          <w:rFonts w:ascii="Times New Roman" w:eastAsia="Times New Roman" w:hAnsi="Times New Roman" w:cs="Times New Roman"/>
          <w:sz w:val="26"/>
          <w:szCs w:val="26"/>
        </w:rPr>
      </w:pPr>
    </w:p>
    <w:p w14:paraId="658404EC" w14:textId="77777777" w:rsidR="00AB1327" w:rsidRPr="00AB1327" w:rsidRDefault="00AB1327" w:rsidP="00AB1327">
      <w:pPr>
        <w:numPr>
          <w:ilvl w:val="0"/>
          <w:numId w:val="20"/>
        </w:numPr>
        <w:suppressAutoHyphens/>
        <w:spacing w:after="0" w:line="240" w:lineRule="auto"/>
        <w:ind w:right="1440" w:hanging="720"/>
        <w:contextualSpacing/>
        <w:rPr>
          <w:rFonts w:ascii="Times New Roman" w:eastAsia="Times New Roman" w:hAnsi="Times New Roman" w:cs="Times New Roman"/>
          <w:sz w:val="26"/>
          <w:szCs w:val="26"/>
        </w:rPr>
      </w:pPr>
      <w:r w:rsidRPr="00AB1327">
        <w:rPr>
          <w:rFonts w:ascii="Times New Roman" w:eastAsia="Times New Roman" w:hAnsi="Times New Roman" w:cs="Times New Roman"/>
          <w:sz w:val="26"/>
          <w:szCs w:val="26"/>
        </w:rPr>
        <w:t xml:space="preserve">Because 141, or over 90%, of the alleged unauthorized switches involved ECL processing errors, the imposition of $1,000 per violation is not warranted. </w:t>
      </w:r>
    </w:p>
    <w:p w14:paraId="14BDB192" w14:textId="77777777" w:rsidR="00AB1327" w:rsidRPr="00AB1327" w:rsidRDefault="00AB1327" w:rsidP="00AB1327">
      <w:pPr>
        <w:suppressAutoHyphens/>
        <w:spacing w:after="0" w:line="240" w:lineRule="auto"/>
        <w:ind w:left="1440" w:right="1440" w:hanging="720"/>
        <w:rPr>
          <w:rFonts w:ascii="Times New Roman" w:eastAsia="Times New Roman" w:hAnsi="Times New Roman" w:cs="Times New Roman"/>
          <w:sz w:val="26"/>
          <w:szCs w:val="26"/>
        </w:rPr>
      </w:pPr>
    </w:p>
    <w:p w14:paraId="4C51EDBA" w14:textId="77777777" w:rsidR="00AB1327" w:rsidRPr="00AB1327" w:rsidRDefault="00AB1327" w:rsidP="00AB1327">
      <w:pPr>
        <w:numPr>
          <w:ilvl w:val="0"/>
          <w:numId w:val="20"/>
        </w:numPr>
        <w:suppressAutoHyphens/>
        <w:spacing w:after="0" w:line="240" w:lineRule="auto"/>
        <w:ind w:right="1440" w:hanging="720"/>
        <w:contextualSpacing/>
        <w:rPr>
          <w:rFonts w:ascii="Times New Roman" w:eastAsia="Times New Roman" w:hAnsi="Times New Roman" w:cs="Times New Roman"/>
          <w:sz w:val="26"/>
          <w:szCs w:val="26"/>
        </w:rPr>
      </w:pPr>
      <w:r w:rsidRPr="00AB1327">
        <w:rPr>
          <w:rFonts w:ascii="Times New Roman" w:eastAsia="Times New Roman" w:hAnsi="Times New Roman" w:cs="Times New Roman"/>
          <w:sz w:val="26"/>
          <w:szCs w:val="26"/>
        </w:rPr>
        <w:t xml:space="preserve">An unauthorized switch is a single violation, not an ongoing violation that warrants a $1,000 per day civil penalty for </w:t>
      </w:r>
      <w:proofErr w:type="gramStart"/>
      <w:r w:rsidRPr="00AB1327">
        <w:rPr>
          <w:rFonts w:ascii="Times New Roman" w:eastAsia="Times New Roman" w:hAnsi="Times New Roman" w:cs="Times New Roman"/>
          <w:sz w:val="26"/>
          <w:szCs w:val="26"/>
        </w:rPr>
        <w:t>each and every</w:t>
      </w:r>
      <w:proofErr w:type="gramEnd"/>
      <w:r w:rsidRPr="00AB1327">
        <w:rPr>
          <w:rFonts w:ascii="Times New Roman" w:eastAsia="Times New Roman" w:hAnsi="Times New Roman" w:cs="Times New Roman"/>
          <w:sz w:val="26"/>
          <w:szCs w:val="26"/>
        </w:rPr>
        <w:t xml:space="preserve"> day that a customer received electric generation supplied by Green Mountain, and to the extent the Commission views it as such, no penalties should be assessed after two billing periods.  </w:t>
      </w:r>
      <w:r w:rsidRPr="00AB1327">
        <w:rPr>
          <w:rFonts w:ascii="Times New Roman" w:eastAsia="Times New Roman" w:hAnsi="Times New Roman" w:cs="Times New Roman"/>
          <w:i/>
          <w:iCs/>
          <w:sz w:val="26"/>
          <w:szCs w:val="26"/>
        </w:rPr>
        <w:t xml:space="preserve">See </w:t>
      </w:r>
      <w:r w:rsidRPr="00AB1327">
        <w:rPr>
          <w:rFonts w:ascii="Times New Roman" w:eastAsia="Times New Roman" w:hAnsi="Times New Roman" w:cs="Times New Roman"/>
          <w:sz w:val="26"/>
          <w:szCs w:val="26"/>
        </w:rPr>
        <w:t xml:space="preserve">52 Pa. Code § 57.177(b) (customer should have reasonably known of a change within that </w:t>
      </w:r>
      <w:proofErr w:type="gramStart"/>
      <w:r w:rsidRPr="00AB1327">
        <w:rPr>
          <w:rFonts w:ascii="Times New Roman" w:eastAsia="Times New Roman" w:hAnsi="Times New Roman" w:cs="Times New Roman"/>
          <w:sz w:val="26"/>
          <w:szCs w:val="26"/>
        </w:rPr>
        <w:t>time period</w:t>
      </w:r>
      <w:proofErr w:type="gramEnd"/>
      <w:r w:rsidRPr="00AB1327">
        <w:rPr>
          <w:rFonts w:ascii="Times New Roman" w:eastAsia="Times New Roman" w:hAnsi="Times New Roman" w:cs="Times New Roman"/>
          <w:sz w:val="26"/>
          <w:szCs w:val="26"/>
        </w:rPr>
        <w:t xml:space="preserve">). </w:t>
      </w:r>
    </w:p>
    <w:p w14:paraId="7E19E18B" w14:textId="77777777" w:rsidR="00AB1327" w:rsidRPr="00AB1327" w:rsidRDefault="00AB1327" w:rsidP="00AB1327">
      <w:pPr>
        <w:suppressAutoHyphens/>
        <w:spacing w:after="0" w:line="240" w:lineRule="auto"/>
        <w:ind w:left="1440" w:right="1440" w:hanging="720"/>
        <w:rPr>
          <w:rFonts w:ascii="Times New Roman" w:eastAsia="Times New Roman" w:hAnsi="Times New Roman" w:cs="Times New Roman"/>
          <w:sz w:val="26"/>
          <w:szCs w:val="26"/>
        </w:rPr>
      </w:pPr>
    </w:p>
    <w:p w14:paraId="41EE7DB1" w14:textId="77777777" w:rsidR="00AB1327" w:rsidRPr="00AB1327" w:rsidRDefault="00AB1327" w:rsidP="00AB1327">
      <w:pPr>
        <w:numPr>
          <w:ilvl w:val="0"/>
          <w:numId w:val="20"/>
        </w:numPr>
        <w:suppressAutoHyphens/>
        <w:spacing w:after="0" w:line="240" w:lineRule="auto"/>
        <w:ind w:right="1440" w:hanging="720"/>
        <w:contextualSpacing/>
        <w:rPr>
          <w:rFonts w:ascii="Times New Roman" w:eastAsia="Times New Roman" w:hAnsi="Times New Roman" w:cs="Times New Roman"/>
          <w:sz w:val="26"/>
          <w:szCs w:val="26"/>
        </w:rPr>
      </w:pPr>
      <w:r w:rsidRPr="00AB1327">
        <w:rPr>
          <w:rFonts w:ascii="Times New Roman" w:eastAsia="Times New Roman" w:hAnsi="Times New Roman" w:cs="Times New Roman"/>
          <w:sz w:val="26"/>
          <w:szCs w:val="26"/>
        </w:rPr>
        <w:t xml:space="preserve">The 10 instances involving customers’ allegations about the agents’ representations are not credible given the process that Green Mountain follows to complete an enrollment. </w:t>
      </w:r>
    </w:p>
    <w:p w14:paraId="7558D43A" w14:textId="77777777" w:rsidR="00AB1327" w:rsidRPr="00AB1327" w:rsidRDefault="00AB1327" w:rsidP="00AB1327">
      <w:pPr>
        <w:suppressAutoHyphens/>
        <w:spacing w:after="0" w:line="240" w:lineRule="auto"/>
        <w:ind w:left="1440" w:right="1440" w:hanging="720"/>
        <w:rPr>
          <w:rFonts w:ascii="Times New Roman" w:eastAsia="Times New Roman" w:hAnsi="Times New Roman" w:cs="Times New Roman"/>
          <w:sz w:val="26"/>
          <w:szCs w:val="26"/>
        </w:rPr>
      </w:pPr>
    </w:p>
    <w:p w14:paraId="6BD2A89B" w14:textId="77777777" w:rsidR="00AB1327" w:rsidRPr="00AB1327" w:rsidRDefault="00AB1327" w:rsidP="00AB1327">
      <w:pPr>
        <w:numPr>
          <w:ilvl w:val="0"/>
          <w:numId w:val="20"/>
        </w:numPr>
        <w:suppressAutoHyphens/>
        <w:spacing w:after="0" w:line="240" w:lineRule="auto"/>
        <w:ind w:right="1440" w:hanging="720"/>
        <w:contextualSpacing/>
        <w:rPr>
          <w:rFonts w:ascii="Times New Roman" w:eastAsia="Times New Roman" w:hAnsi="Times New Roman" w:cs="Times New Roman"/>
          <w:sz w:val="26"/>
          <w:szCs w:val="26"/>
        </w:rPr>
      </w:pPr>
      <w:r w:rsidRPr="00AB1327">
        <w:rPr>
          <w:rFonts w:ascii="Times New Roman" w:eastAsia="Times New Roman" w:hAnsi="Times New Roman" w:cs="Times New Roman"/>
          <w:sz w:val="26"/>
          <w:szCs w:val="26"/>
        </w:rPr>
        <w:t xml:space="preserve">A lower civil penalty per violation should be imposed due to:  (a) the actions that Green Mountain has taken to avoid a recurrence; (b) the small percentage of Green Mountain’s total customer base that is the subject of this investigation; (c) Green Mountain’s history of compliance with the Commission’s regulations, as well as its cooperation with I&amp;E’s investigation; and (d) the programs that Green Mountain has in place, and continuously improves, to train sales agents, monitor agent performance, enforce agent compliance with requirements, complete enrollment verifications, and conduct quality assurance activities. </w:t>
      </w:r>
    </w:p>
    <w:p w14:paraId="0B9B461C" w14:textId="77777777" w:rsidR="00AB1327" w:rsidRPr="00AB1327" w:rsidRDefault="00AB1327" w:rsidP="00AB1327">
      <w:pPr>
        <w:tabs>
          <w:tab w:val="center" w:pos="1440"/>
        </w:tabs>
        <w:suppressAutoHyphens/>
        <w:spacing w:after="0" w:line="240" w:lineRule="auto"/>
        <w:ind w:right="1440"/>
        <w:rPr>
          <w:rFonts w:ascii="Times New Roman" w:eastAsia="Times New Roman" w:hAnsi="Times New Roman" w:cs="Times New Roman"/>
          <w:sz w:val="26"/>
          <w:szCs w:val="26"/>
        </w:rPr>
      </w:pPr>
    </w:p>
    <w:p w14:paraId="5EDD6721" w14:textId="77777777" w:rsidR="00AB1327" w:rsidRPr="00AB1327" w:rsidRDefault="00AB1327" w:rsidP="00AB1327">
      <w:pPr>
        <w:numPr>
          <w:ilvl w:val="0"/>
          <w:numId w:val="20"/>
        </w:numPr>
        <w:suppressAutoHyphens/>
        <w:spacing w:after="0" w:line="240" w:lineRule="auto"/>
        <w:ind w:right="1440" w:hanging="720"/>
        <w:contextualSpacing/>
        <w:rPr>
          <w:rFonts w:ascii="Times New Roman" w:eastAsia="Times New Roman" w:hAnsi="Times New Roman" w:cs="Times New Roman"/>
          <w:sz w:val="26"/>
          <w:szCs w:val="26"/>
        </w:rPr>
      </w:pPr>
      <w:r w:rsidRPr="00AB1327">
        <w:rPr>
          <w:rFonts w:ascii="Times New Roman" w:eastAsia="Times New Roman" w:hAnsi="Times New Roman" w:cs="Times New Roman"/>
          <w:sz w:val="26"/>
          <w:szCs w:val="26"/>
        </w:rPr>
        <w:t xml:space="preserve">Notwithstanding the provision in the regulations at 52 Pa. Code § 57.177(b) regarding refunds, the Commission does not have statutory authority to direct Green Mountain to issue refunds.  </w:t>
      </w:r>
      <w:r w:rsidRPr="00AB1327">
        <w:rPr>
          <w:rFonts w:ascii="Times New Roman" w:eastAsia="Times New Roman" w:hAnsi="Times New Roman" w:cs="Times New Roman"/>
          <w:i/>
          <w:iCs/>
          <w:sz w:val="26"/>
          <w:szCs w:val="26"/>
        </w:rPr>
        <w:t>See Blue Pilot Energy, LLC v. Pa. PUC</w:t>
      </w:r>
      <w:r w:rsidRPr="00AB1327">
        <w:rPr>
          <w:rFonts w:ascii="Times New Roman" w:eastAsia="Times New Roman" w:hAnsi="Times New Roman" w:cs="Times New Roman"/>
          <w:sz w:val="26"/>
          <w:szCs w:val="26"/>
        </w:rPr>
        <w:t>,</w:t>
      </w:r>
      <w:r w:rsidRPr="00AB1327">
        <w:rPr>
          <w:rFonts w:ascii="Times New Roman" w:eastAsia="Times New Roman" w:hAnsi="Times New Roman" w:cs="Times New Roman"/>
          <w:i/>
          <w:iCs/>
          <w:sz w:val="26"/>
          <w:szCs w:val="26"/>
        </w:rPr>
        <w:t xml:space="preserve"> </w:t>
      </w:r>
      <w:r w:rsidRPr="00AB1327">
        <w:rPr>
          <w:rFonts w:ascii="Times New Roman" w:eastAsia="Times New Roman" w:hAnsi="Times New Roman" w:cs="Times New Roman"/>
          <w:sz w:val="26"/>
          <w:szCs w:val="26"/>
        </w:rPr>
        <w:t xml:space="preserve">241 A.3d 1254 (2020), 2020 Pa. Commw. LEXIS 720.  At most, refunds should be limited to the customers who disputed the switch within the first two billing periods. </w:t>
      </w:r>
    </w:p>
    <w:p w14:paraId="6ECA3759" w14:textId="77777777" w:rsidR="00AB1327" w:rsidRPr="00AB1327" w:rsidRDefault="00AB1327" w:rsidP="00AB1327">
      <w:pPr>
        <w:tabs>
          <w:tab w:val="center" w:pos="0"/>
        </w:tabs>
        <w:suppressAutoHyphens/>
        <w:spacing w:after="0" w:line="360" w:lineRule="auto"/>
        <w:rPr>
          <w:rFonts w:ascii="Times New Roman" w:eastAsia="Times New Roman" w:hAnsi="Times New Roman" w:cs="Times New Roman"/>
          <w:sz w:val="26"/>
          <w:szCs w:val="26"/>
        </w:rPr>
      </w:pPr>
    </w:p>
    <w:p w14:paraId="5EBA53C8" w14:textId="4D2BD875" w:rsidR="00AB1327" w:rsidRPr="00AB1327" w:rsidRDefault="009943D6" w:rsidP="00AB1327">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Joint </w:t>
      </w:r>
      <w:r w:rsidR="00AB1327" w:rsidRPr="00AB1327">
        <w:rPr>
          <w:rFonts w:ascii="Times New Roman" w:eastAsia="Times New Roman" w:hAnsi="Times New Roman" w:cs="Times New Roman"/>
          <w:sz w:val="26"/>
          <w:szCs w:val="26"/>
        </w:rPr>
        <w:t xml:space="preserve">Petition at 7-8.  </w:t>
      </w:r>
    </w:p>
    <w:p w14:paraId="2D2D02A3" w14:textId="77777777" w:rsidR="00AB1327" w:rsidRPr="00AB1327" w:rsidRDefault="00AB1327" w:rsidP="00AB1327">
      <w:pPr>
        <w:tabs>
          <w:tab w:val="center" w:pos="0"/>
        </w:tabs>
        <w:suppressAutoHyphens/>
        <w:spacing w:after="0" w:line="360" w:lineRule="auto"/>
        <w:rPr>
          <w:rFonts w:ascii="Times New Roman" w:eastAsia="Times New Roman" w:hAnsi="Times New Roman" w:cs="Times New Roman"/>
          <w:sz w:val="26"/>
          <w:szCs w:val="26"/>
        </w:rPr>
      </w:pPr>
    </w:p>
    <w:p w14:paraId="32CAFF08" w14:textId="3CBC7A90" w:rsidR="00AB1327" w:rsidRPr="00AB1327" w:rsidRDefault="00AB1327" w:rsidP="00AB1327">
      <w:pPr>
        <w:tabs>
          <w:tab w:val="center" w:pos="0"/>
        </w:tabs>
        <w:suppressAutoHyphens/>
        <w:spacing w:after="0" w:line="360" w:lineRule="auto"/>
        <w:ind w:firstLine="1440"/>
        <w:rPr>
          <w:rFonts w:ascii="Times New Roman" w:eastAsia="Times New Roman" w:hAnsi="Times New Roman" w:cs="Times New Roman"/>
          <w:sz w:val="26"/>
          <w:szCs w:val="26"/>
        </w:rPr>
      </w:pPr>
      <w:r w:rsidRPr="00AB1327">
        <w:rPr>
          <w:rFonts w:ascii="Times New Roman" w:eastAsia="Times New Roman" w:hAnsi="Times New Roman" w:cs="Times New Roman"/>
          <w:sz w:val="26"/>
          <w:szCs w:val="26"/>
        </w:rPr>
        <w:t xml:space="preserve">I&amp;E’s investigation further found that the Company undertook </w:t>
      </w:r>
      <w:proofErr w:type="gramStart"/>
      <w:r w:rsidRPr="00AB1327">
        <w:rPr>
          <w:rFonts w:ascii="Times New Roman" w:eastAsia="Times New Roman" w:hAnsi="Times New Roman" w:cs="Times New Roman"/>
          <w:sz w:val="26"/>
          <w:szCs w:val="26"/>
        </w:rPr>
        <w:t>a number of</w:t>
      </w:r>
      <w:proofErr w:type="gramEnd"/>
      <w:r w:rsidRPr="00AB1327">
        <w:rPr>
          <w:rFonts w:ascii="Times New Roman" w:eastAsia="Times New Roman" w:hAnsi="Times New Roman" w:cs="Times New Roman"/>
          <w:sz w:val="26"/>
          <w:szCs w:val="26"/>
        </w:rPr>
        <w:t xml:space="preserve"> proactive, corrective measures designed to prevent similar occurrences in the future.  Most notably, Green Mountain eliminated the ability for sales agents to scroll through the ECL to locate a certain customer.  The ECL tool now utilizes advanced identification scanning technology to authenticate customer identities, thereby reducing the potential for ECL mismatches.  Additionally, to prevent exploitation of the ECL, Green Mountain tightened its disciplinary policy for ECL misuse, which may result in the loss of ECL</w:t>
      </w:r>
      <w:r w:rsidRPr="00AB1327">
        <w:rPr>
          <w:rFonts w:ascii="Times New Roman" w:hAnsi="Times New Roman" w:cs="Times New Roman"/>
          <w:color w:val="000000"/>
          <w:sz w:val="26"/>
          <w:szCs w:val="26"/>
        </w:rPr>
        <w:t xml:space="preserve"> </w:t>
      </w:r>
      <w:r w:rsidRPr="00AB1327">
        <w:rPr>
          <w:rFonts w:ascii="Times New Roman" w:eastAsia="Times New Roman" w:hAnsi="Times New Roman" w:cs="Times New Roman"/>
          <w:sz w:val="26"/>
          <w:szCs w:val="26"/>
        </w:rPr>
        <w:t xml:space="preserve">privileges and potential removal from working on behalf of Green Mountain.  </w:t>
      </w:r>
      <w:r w:rsidR="009943D6">
        <w:rPr>
          <w:rFonts w:ascii="Times New Roman" w:eastAsia="Times New Roman" w:hAnsi="Times New Roman" w:cs="Times New Roman"/>
          <w:sz w:val="26"/>
          <w:szCs w:val="26"/>
        </w:rPr>
        <w:t xml:space="preserve">Joint </w:t>
      </w:r>
      <w:r w:rsidRPr="00AB1327">
        <w:rPr>
          <w:rFonts w:ascii="Times New Roman" w:eastAsia="Times New Roman" w:hAnsi="Times New Roman" w:cs="Times New Roman"/>
          <w:sz w:val="26"/>
          <w:szCs w:val="26"/>
        </w:rPr>
        <w:t xml:space="preserve">Petition at 6.  </w:t>
      </w:r>
    </w:p>
    <w:p w14:paraId="30A6AB40" w14:textId="77777777" w:rsidR="00AB1327" w:rsidRPr="00AB1327" w:rsidRDefault="00AB1327" w:rsidP="00AB1327">
      <w:pPr>
        <w:tabs>
          <w:tab w:val="center" w:pos="0"/>
        </w:tabs>
        <w:suppressAutoHyphens/>
        <w:spacing w:after="0" w:line="360" w:lineRule="auto"/>
        <w:rPr>
          <w:rFonts w:ascii="Times New Roman" w:eastAsia="Times New Roman" w:hAnsi="Times New Roman" w:cs="Times New Roman"/>
          <w:sz w:val="26"/>
          <w:szCs w:val="26"/>
        </w:rPr>
      </w:pPr>
      <w:r w:rsidRPr="00AB1327">
        <w:rPr>
          <w:rFonts w:ascii="Times New Roman" w:eastAsia="Times New Roman" w:hAnsi="Times New Roman" w:cs="Times New Roman"/>
          <w:sz w:val="26"/>
          <w:szCs w:val="26"/>
        </w:rPr>
        <w:t xml:space="preserve"> </w:t>
      </w:r>
    </w:p>
    <w:p w14:paraId="093CDF3A" w14:textId="05048BD2" w:rsidR="00BE4E4F" w:rsidRDefault="00AB1327" w:rsidP="00E431CD">
      <w:pPr>
        <w:tabs>
          <w:tab w:val="center" w:pos="0"/>
        </w:tabs>
        <w:suppressAutoHyphens/>
        <w:spacing w:after="0" w:line="360" w:lineRule="auto"/>
        <w:ind w:firstLine="1440"/>
        <w:rPr>
          <w:rFonts w:ascii="Times New Roman" w:eastAsia="Times New Roman" w:hAnsi="Times New Roman" w:cs="Times New Roman"/>
          <w:sz w:val="26"/>
          <w:szCs w:val="26"/>
        </w:rPr>
      </w:pPr>
      <w:r w:rsidRPr="00AB1327">
        <w:rPr>
          <w:rFonts w:ascii="Times New Roman" w:eastAsia="Times New Roman" w:hAnsi="Times New Roman" w:cs="Times New Roman"/>
          <w:sz w:val="26"/>
          <w:szCs w:val="26"/>
        </w:rPr>
        <w:t xml:space="preserve">Weighing the seriousness of the allegations against various mitigating circumstances that are present here, I&amp;E determined that the Settlement was appropriate.  I&amp;E noted the proactive measures taken by Green Mountain, prior to the initiation of its investigation, which targeted ECL misuse </w:t>
      </w:r>
      <w:proofErr w:type="gramStart"/>
      <w:r w:rsidRPr="00AB1327">
        <w:rPr>
          <w:rFonts w:ascii="Times New Roman" w:eastAsia="Times New Roman" w:hAnsi="Times New Roman" w:cs="Times New Roman"/>
          <w:sz w:val="26"/>
          <w:szCs w:val="26"/>
        </w:rPr>
        <w:t>in an effort to</w:t>
      </w:r>
      <w:proofErr w:type="gramEnd"/>
      <w:r w:rsidRPr="00AB1327">
        <w:rPr>
          <w:rFonts w:ascii="Times New Roman" w:eastAsia="Times New Roman" w:hAnsi="Times New Roman" w:cs="Times New Roman"/>
          <w:sz w:val="26"/>
          <w:szCs w:val="26"/>
        </w:rPr>
        <w:t xml:space="preserve"> prevent unauthorized switching at in-person locations.  Additionally, I&amp;E acknowledged that the Company has been cooperative with I&amp;E’s investigation, as exemplified by the Company’s responsiveness to data requests and through its cooperation during settlement discussions.  I&amp;E Statement in Support at 4, 11.</w:t>
      </w:r>
    </w:p>
    <w:p w14:paraId="2F1C4F54" w14:textId="77777777" w:rsidR="00BE4E4F" w:rsidRPr="003F7EE6" w:rsidRDefault="00BE4E4F" w:rsidP="00E843A7">
      <w:pPr>
        <w:tabs>
          <w:tab w:val="center" w:pos="0"/>
        </w:tabs>
        <w:suppressAutoHyphens/>
        <w:spacing w:after="0" w:line="360" w:lineRule="auto"/>
        <w:rPr>
          <w:rFonts w:ascii="Times New Roman" w:eastAsia="Times New Roman" w:hAnsi="Times New Roman" w:cs="Times New Roman"/>
          <w:sz w:val="26"/>
          <w:szCs w:val="26"/>
        </w:rPr>
      </w:pPr>
    </w:p>
    <w:p w14:paraId="2FF7B1C8" w14:textId="12FE75A5" w:rsidR="00F44833" w:rsidRPr="003F7EE6" w:rsidRDefault="00F44833" w:rsidP="004E3BEC">
      <w:pPr>
        <w:pStyle w:val="Heading1"/>
        <w:keepNext/>
        <w:keepLines/>
      </w:pPr>
      <w:r w:rsidRPr="003F7EE6">
        <w:t>Terms</w:t>
      </w:r>
      <w:r w:rsidR="00E23CF4">
        <w:t xml:space="preserve"> and Conditions</w:t>
      </w:r>
      <w:r w:rsidRPr="003F7EE6">
        <w:t xml:space="preserve"> of the Settlement</w:t>
      </w:r>
    </w:p>
    <w:p w14:paraId="4C6C01E6" w14:textId="72971F3F" w:rsidR="00F44833" w:rsidRDefault="00F44833" w:rsidP="00A81E55">
      <w:pPr>
        <w:keepNext/>
        <w:keepLines/>
        <w:suppressAutoHyphens/>
        <w:spacing w:after="0" w:line="360" w:lineRule="auto"/>
        <w:jc w:val="center"/>
        <w:rPr>
          <w:rFonts w:ascii="Times New Roman" w:eastAsia="Times New Roman" w:hAnsi="Times New Roman" w:cs="Times New Roman"/>
          <w:sz w:val="26"/>
          <w:szCs w:val="26"/>
        </w:rPr>
      </w:pPr>
    </w:p>
    <w:p w14:paraId="739689A5" w14:textId="78061475" w:rsidR="009943D6" w:rsidRPr="009943D6" w:rsidRDefault="009943D6" w:rsidP="004E3BEC">
      <w:pPr>
        <w:keepNext/>
        <w:keepLines/>
        <w:tabs>
          <w:tab w:val="center" w:pos="0"/>
        </w:tabs>
        <w:suppressAutoHyphens/>
        <w:spacing w:after="0" w:line="360" w:lineRule="auto"/>
        <w:ind w:firstLine="1440"/>
        <w:rPr>
          <w:rFonts w:ascii="Times New Roman" w:eastAsia="Times New Roman" w:hAnsi="Times New Roman" w:cs="Times New Roman"/>
          <w:sz w:val="26"/>
          <w:szCs w:val="26"/>
        </w:rPr>
      </w:pPr>
      <w:r w:rsidRPr="009943D6">
        <w:rPr>
          <w:rFonts w:ascii="Times New Roman" w:eastAsia="Times New Roman" w:hAnsi="Times New Roman" w:cs="Times New Roman"/>
          <w:sz w:val="26"/>
          <w:szCs w:val="26"/>
        </w:rPr>
        <w:t xml:space="preserve">The Parties indicate </w:t>
      </w:r>
      <w:r w:rsidR="00E74BAF">
        <w:rPr>
          <w:rFonts w:ascii="Times New Roman" w:eastAsia="Times New Roman" w:hAnsi="Times New Roman" w:cs="Times New Roman"/>
          <w:sz w:val="26"/>
          <w:szCs w:val="26"/>
        </w:rPr>
        <w:t xml:space="preserve">that the Settlement, which they have </w:t>
      </w:r>
      <w:proofErr w:type="gramStart"/>
      <w:r w:rsidR="00E74BAF">
        <w:rPr>
          <w:rFonts w:ascii="Times New Roman" w:eastAsia="Times New Roman" w:hAnsi="Times New Roman" w:cs="Times New Roman"/>
          <w:sz w:val="26"/>
          <w:szCs w:val="26"/>
        </w:rPr>
        <w:t>entered into</w:t>
      </w:r>
      <w:proofErr w:type="gramEnd"/>
      <w:r w:rsidR="00E74BAF">
        <w:rPr>
          <w:rFonts w:ascii="Times New Roman" w:eastAsia="Times New Roman" w:hAnsi="Times New Roman" w:cs="Times New Roman"/>
          <w:sz w:val="26"/>
          <w:szCs w:val="26"/>
        </w:rPr>
        <w:t>,</w:t>
      </w:r>
      <w:r w:rsidRPr="009943D6">
        <w:rPr>
          <w:rFonts w:ascii="Times New Roman" w:eastAsia="Times New Roman" w:hAnsi="Times New Roman" w:cs="Times New Roman"/>
          <w:sz w:val="26"/>
          <w:szCs w:val="26"/>
        </w:rPr>
        <w:t xml:space="preserve"> resolve</w:t>
      </w:r>
      <w:r w:rsidR="00E74BAF">
        <w:rPr>
          <w:rFonts w:ascii="Times New Roman" w:eastAsia="Times New Roman" w:hAnsi="Times New Roman" w:cs="Times New Roman"/>
          <w:sz w:val="26"/>
          <w:szCs w:val="26"/>
        </w:rPr>
        <w:t>s</w:t>
      </w:r>
      <w:r w:rsidRPr="009943D6">
        <w:rPr>
          <w:rFonts w:ascii="Times New Roman" w:eastAsia="Times New Roman" w:hAnsi="Times New Roman" w:cs="Times New Roman"/>
          <w:sz w:val="26"/>
          <w:szCs w:val="26"/>
        </w:rPr>
        <w:t xml:space="preserve"> all issues related to I&amp;E’s informal investigation and represents a compromise by both I&amp;E and Green Mountain of their respective competing positions in this proceeding.  Additionally, the Parties submit that the Settlement is in the public interest and is consistent with the Commission’s Policy Statement at 52 Pa. Code § 69.1201, </w:t>
      </w:r>
      <w:r w:rsidRPr="009943D6">
        <w:rPr>
          <w:rFonts w:ascii="Times New Roman" w:eastAsia="Times New Roman" w:hAnsi="Times New Roman" w:cs="Times New Roman"/>
          <w:i/>
          <w:sz w:val="26"/>
          <w:szCs w:val="26"/>
        </w:rPr>
        <w:t>Factors and standards for evaluating litigated and settled proceedings involving violations of the Public Utility Code and Commission regulations—statement of policy</w:t>
      </w:r>
      <w:r w:rsidRPr="009943D6">
        <w:rPr>
          <w:rFonts w:ascii="Times New Roman" w:eastAsia="Times New Roman" w:hAnsi="Times New Roman" w:cs="Times New Roman"/>
          <w:sz w:val="26"/>
          <w:szCs w:val="26"/>
        </w:rPr>
        <w:t xml:space="preserve">.  The Parties further state that the Settlement constitutes a carefully crafted package representing reasonably negotiated compromises on the issues addressed herein.  </w:t>
      </w:r>
      <w:r w:rsidR="00E74BAF">
        <w:rPr>
          <w:rFonts w:ascii="Times New Roman" w:eastAsia="Times New Roman" w:hAnsi="Times New Roman" w:cs="Times New Roman"/>
          <w:sz w:val="26"/>
          <w:szCs w:val="26"/>
        </w:rPr>
        <w:t xml:space="preserve">Joint </w:t>
      </w:r>
      <w:r w:rsidRPr="009943D6">
        <w:rPr>
          <w:rFonts w:ascii="Times New Roman" w:eastAsia="Times New Roman" w:hAnsi="Times New Roman" w:cs="Times New Roman"/>
          <w:sz w:val="26"/>
          <w:szCs w:val="26"/>
        </w:rPr>
        <w:t xml:space="preserve">Petition at 11-12.  The Parties urge the Commission to approve the Settlement as being in the public interest.  </w:t>
      </w:r>
      <w:r w:rsidR="00E74BAF" w:rsidRPr="00E74BAF">
        <w:rPr>
          <w:rFonts w:ascii="Times New Roman" w:eastAsia="Times New Roman" w:hAnsi="Times New Roman" w:cs="Times New Roman"/>
          <w:i/>
          <w:iCs/>
          <w:sz w:val="26"/>
          <w:szCs w:val="26"/>
        </w:rPr>
        <w:t>Id</w:t>
      </w:r>
      <w:r w:rsidR="00E74BAF">
        <w:rPr>
          <w:rFonts w:ascii="Times New Roman" w:eastAsia="Times New Roman" w:hAnsi="Times New Roman" w:cs="Times New Roman"/>
          <w:sz w:val="26"/>
          <w:szCs w:val="26"/>
        </w:rPr>
        <w:t xml:space="preserve">. </w:t>
      </w:r>
      <w:r w:rsidRPr="009943D6">
        <w:rPr>
          <w:rFonts w:ascii="Times New Roman" w:eastAsia="Times New Roman" w:hAnsi="Times New Roman" w:cs="Times New Roman"/>
          <w:sz w:val="26"/>
          <w:szCs w:val="26"/>
        </w:rPr>
        <w:t>at 13.</w:t>
      </w:r>
    </w:p>
    <w:p w14:paraId="712B6E48" w14:textId="77777777" w:rsidR="009943D6" w:rsidRPr="009943D6" w:rsidRDefault="009943D6" w:rsidP="00A81E55">
      <w:pPr>
        <w:tabs>
          <w:tab w:val="center" w:pos="0"/>
        </w:tabs>
        <w:suppressAutoHyphens/>
        <w:spacing w:after="0" w:line="360" w:lineRule="auto"/>
        <w:ind w:firstLine="1440"/>
        <w:rPr>
          <w:rFonts w:ascii="Times New Roman" w:eastAsia="Times New Roman" w:hAnsi="Times New Roman" w:cs="Times New Roman"/>
          <w:sz w:val="26"/>
          <w:szCs w:val="26"/>
        </w:rPr>
      </w:pPr>
    </w:p>
    <w:p w14:paraId="2A32BD5D" w14:textId="77777777" w:rsidR="009943D6" w:rsidRPr="009943D6" w:rsidRDefault="009943D6" w:rsidP="00A81E55">
      <w:pPr>
        <w:tabs>
          <w:tab w:val="center" w:pos="0"/>
        </w:tabs>
        <w:suppressAutoHyphens/>
        <w:spacing w:after="0" w:line="360" w:lineRule="auto"/>
        <w:ind w:firstLine="1440"/>
        <w:rPr>
          <w:rFonts w:ascii="Times New Roman" w:eastAsia="Times New Roman" w:hAnsi="Times New Roman" w:cs="Times New Roman"/>
          <w:sz w:val="26"/>
          <w:szCs w:val="26"/>
        </w:rPr>
      </w:pPr>
      <w:r w:rsidRPr="009943D6">
        <w:rPr>
          <w:rFonts w:ascii="Times New Roman" w:eastAsia="Times New Roman" w:hAnsi="Times New Roman" w:cs="Times New Roman"/>
          <w:sz w:val="26"/>
          <w:szCs w:val="26"/>
        </w:rPr>
        <w:t>The Settlement consists of the Joint Petition for Approval of Settlement containing the terms and conditions of the Settlement and three appendices.  Appendix A contains Proposed Ordering Paragraphs, while Appendices B and C to the Settlement are the Statements in Support of the Settlement submitted by I&amp;E and Green Mountain, respectively.</w:t>
      </w:r>
    </w:p>
    <w:p w14:paraId="77976057" w14:textId="77777777" w:rsidR="009943D6" w:rsidRPr="009943D6" w:rsidRDefault="009943D6" w:rsidP="00A81E55">
      <w:pPr>
        <w:tabs>
          <w:tab w:val="center" w:pos="0"/>
        </w:tabs>
        <w:suppressAutoHyphens/>
        <w:spacing w:after="0" w:line="360" w:lineRule="auto"/>
        <w:ind w:firstLine="1440"/>
        <w:rPr>
          <w:rFonts w:ascii="Times New Roman" w:eastAsia="Times New Roman" w:hAnsi="Times New Roman" w:cs="Times New Roman"/>
          <w:sz w:val="26"/>
          <w:szCs w:val="26"/>
        </w:rPr>
      </w:pPr>
    </w:p>
    <w:p w14:paraId="0557D55B" w14:textId="02E17BC5" w:rsidR="009943D6" w:rsidRPr="009943D6" w:rsidRDefault="009943D6" w:rsidP="009943D6">
      <w:pPr>
        <w:autoSpaceDE w:val="0"/>
        <w:autoSpaceDN w:val="0"/>
        <w:spacing w:after="0" w:line="360" w:lineRule="auto"/>
        <w:ind w:firstLine="1440"/>
        <w:contextualSpacing/>
        <w:rPr>
          <w:rFonts w:ascii="Times New Roman" w:eastAsia="Calibri" w:hAnsi="Times New Roman" w:cs="Times New Roman"/>
          <w:spacing w:val="-3"/>
          <w:sz w:val="26"/>
          <w:szCs w:val="26"/>
        </w:rPr>
      </w:pPr>
      <w:r w:rsidRPr="009943D6">
        <w:rPr>
          <w:rFonts w:ascii="Times New Roman" w:eastAsia="Calibri" w:hAnsi="Times New Roman" w:cs="Times New Roman"/>
          <w:spacing w:val="-3"/>
          <w:sz w:val="26"/>
          <w:szCs w:val="26"/>
        </w:rPr>
        <w:t xml:space="preserve">The essential terms of the Settlement are set forth in Paragraph 29.  </w:t>
      </w:r>
      <w:r w:rsidR="00E74BAF">
        <w:rPr>
          <w:rFonts w:ascii="Times New Roman" w:eastAsia="Calibri" w:hAnsi="Times New Roman" w:cs="Times New Roman"/>
          <w:spacing w:val="-3"/>
          <w:sz w:val="26"/>
          <w:szCs w:val="26"/>
        </w:rPr>
        <w:t xml:space="preserve">Joint </w:t>
      </w:r>
      <w:r w:rsidRPr="009943D6">
        <w:rPr>
          <w:rFonts w:ascii="Times New Roman" w:eastAsia="Calibri" w:hAnsi="Times New Roman" w:cs="Times New Roman"/>
          <w:spacing w:val="-3"/>
          <w:sz w:val="26"/>
          <w:szCs w:val="26"/>
        </w:rPr>
        <w:t xml:space="preserve">Petition at 9-10.  The Parties agreed to the following terms and conditions, </w:t>
      </w:r>
      <w:r w:rsidRPr="009943D6">
        <w:rPr>
          <w:rFonts w:ascii="Times New Roman" w:hAnsi="Times New Roman" w:cs="Times New Roman"/>
          <w:color w:val="000000"/>
          <w:sz w:val="26"/>
          <w:szCs w:val="26"/>
        </w:rPr>
        <w:t>excerpted in relevant part,</w:t>
      </w:r>
      <w:r w:rsidRPr="009943D6">
        <w:rPr>
          <w:rFonts w:ascii="Times New Roman" w:eastAsia="Calibri" w:hAnsi="Times New Roman" w:cs="Times New Roman"/>
          <w:spacing w:val="-3"/>
          <w:sz w:val="26"/>
          <w:szCs w:val="26"/>
        </w:rPr>
        <w:t xml:space="preserve"> as follows:</w:t>
      </w:r>
    </w:p>
    <w:p w14:paraId="15A0BF54" w14:textId="77777777" w:rsidR="009943D6" w:rsidRPr="009943D6" w:rsidRDefault="009943D6" w:rsidP="009943D6">
      <w:pPr>
        <w:autoSpaceDE w:val="0"/>
        <w:autoSpaceDN w:val="0"/>
        <w:spacing w:after="0" w:line="360" w:lineRule="auto"/>
        <w:ind w:firstLine="1440"/>
        <w:contextualSpacing/>
        <w:rPr>
          <w:rFonts w:ascii="Times New Roman" w:eastAsia="Calibri" w:hAnsi="Times New Roman" w:cs="Times New Roman"/>
          <w:spacing w:val="-3"/>
          <w:sz w:val="26"/>
          <w:szCs w:val="26"/>
        </w:rPr>
      </w:pPr>
    </w:p>
    <w:p w14:paraId="52D8C6FE" w14:textId="77777777" w:rsidR="009943D6" w:rsidRPr="009943D6" w:rsidRDefault="009943D6" w:rsidP="009943D6">
      <w:pPr>
        <w:keepNext/>
        <w:keepLines/>
        <w:widowControl w:val="0"/>
        <w:numPr>
          <w:ilvl w:val="0"/>
          <w:numId w:val="15"/>
        </w:numPr>
        <w:spacing w:after="0" w:line="240" w:lineRule="auto"/>
        <w:ind w:left="1440" w:right="1440"/>
        <w:contextualSpacing/>
        <w:rPr>
          <w:rFonts w:ascii="Times New Roman" w:hAnsi="Times New Roman" w:cs="Times New Roman"/>
          <w:sz w:val="26"/>
          <w:szCs w:val="26"/>
        </w:rPr>
      </w:pPr>
      <w:r w:rsidRPr="009943D6">
        <w:rPr>
          <w:rFonts w:ascii="Times New Roman" w:hAnsi="Times New Roman" w:cs="Times New Roman"/>
          <w:sz w:val="26"/>
          <w:szCs w:val="26"/>
        </w:rPr>
        <w:t xml:space="preserve">A. </w:t>
      </w:r>
      <w:r w:rsidRPr="009943D6">
        <w:rPr>
          <w:rFonts w:ascii="Times New Roman" w:hAnsi="Times New Roman" w:cs="Times New Roman"/>
          <w:sz w:val="26"/>
          <w:szCs w:val="26"/>
        </w:rPr>
        <w:tab/>
        <w:t xml:space="preserve">Green Mountain will pay a civil penalty in the amount of One Hundred Fifty-Six Thousand Dollars ($156,000), pursuant to 66 Pa. C.S. § 3301, to resolve all allegations of unauthorized switching, and to fully and finally settle all possible liability and claims of alleged violations of the Commission’s regulations and Orders arising from, or related to, the conduct investigated herein.  Said payment shall be made within thirty (30) days of the date of the Commission’s Final Order approving the Settlement Agreement and shall be made by certified check or money order payable to the “Commonwealth of Pennsylvania” and sent to: </w:t>
      </w:r>
    </w:p>
    <w:p w14:paraId="6156D111" w14:textId="77777777" w:rsidR="009943D6" w:rsidRPr="009943D6" w:rsidRDefault="009943D6" w:rsidP="009943D6">
      <w:pPr>
        <w:keepNext/>
        <w:keepLines/>
        <w:widowControl w:val="0"/>
        <w:spacing w:after="0" w:line="240" w:lineRule="auto"/>
        <w:ind w:right="1440"/>
        <w:contextualSpacing/>
        <w:rPr>
          <w:rFonts w:ascii="Times New Roman" w:hAnsi="Times New Roman" w:cs="Times New Roman"/>
          <w:sz w:val="26"/>
          <w:szCs w:val="26"/>
        </w:rPr>
      </w:pPr>
    </w:p>
    <w:p w14:paraId="5A9F6E5D" w14:textId="77777777" w:rsidR="009943D6" w:rsidRPr="009943D6" w:rsidRDefault="009943D6" w:rsidP="009943D6">
      <w:pPr>
        <w:spacing w:after="0" w:line="240" w:lineRule="auto"/>
        <w:ind w:left="2160" w:right="1440"/>
        <w:contextualSpacing/>
        <w:rPr>
          <w:rFonts w:ascii="Times New Roman" w:hAnsi="Times New Roman" w:cs="Times New Roman"/>
          <w:sz w:val="26"/>
          <w:szCs w:val="26"/>
        </w:rPr>
      </w:pPr>
      <w:r w:rsidRPr="009943D6">
        <w:rPr>
          <w:rFonts w:ascii="Times New Roman" w:hAnsi="Times New Roman" w:cs="Times New Roman"/>
          <w:sz w:val="26"/>
          <w:szCs w:val="26"/>
        </w:rPr>
        <w:t>Secretary</w:t>
      </w:r>
    </w:p>
    <w:p w14:paraId="3159C2EC" w14:textId="77777777" w:rsidR="009943D6" w:rsidRPr="009943D6" w:rsidRDefault="009943D6" w:rsidP="009943D6">
      <w:pPr>
        <w:spacing w:after="240" w:line="240" w:lineRule="auto"/>
        <w:ind w:left="2160" w:right="1440"/>
        <w:contextualSpacing/>
        <w:rPr>
          <w:rFonts w:ascii="Times New Roman" w:hAnsi="Times New Roman" w:cs="Times New Roman"/>
          <w:sz w:val="26"/>
          <w:szCs w:val="26"/>
        </w:rPr>
      </w:pPr>
      <w:r w:rsidRPr="009943D6">
        <w:rPr>
          <w:rFonts w:ascii="Times New Roman" w:hAnsi="Times New Roman" w:cs="Times New Roman"/>
          <w:sz w:val="26"/>
          <w:szCs w:val="26"/>
        </w:rPr>
        <w:t>Pennsylvania Public Utility Commission</w:t>
      </w:r>
    </w:p>
    <w:p w14:paraId="5B97A91B" w14:textId="77777777" w:rsidR="009943D6" w:rsidRPr="009943D6" w:rsidRDefault="009943D6" w:rsidP="009943D6">
      <w:pPr>
        <w:spacing w:after="240" w:line="240" w:lineRule="auto"/>
        <w:ind w:left="2160" w:right="1440"/>
        <w:contextualSpacing/>
        <w:rPr>
          <w:rFonts w:ascii="Times New Roman" w:hAnsi="Times New Roman" w:cs="Times New Roman"/>
          <w:sz w:val="26"/>
          <w:szCs w:val="26"/>
        </w:rPr>
      </w:pPr>
      <w:r w:rsidRPr="009943D6">
        <w:rPr>
          <w:rFonts w:ascii="Times New Roman" w:hAnsi="Times New Roman" w:cs="Times New Roman"/>
          <w:sz w:val="26"/>
          <w:szCs w:val="26"/>
        </w:rPr>
        <w:t>Commonwealth Keystone Building</w:t>
      </w:r>
    </w:p>
    <w:p w14:paraId="643F54B0" w14:textId="77777777" w:rsidR="009943D6" w:rsidRPr="009943D6" w:rsidRDefault="009943D6" w:rsidP="009943D6">
      <w:pPr>
        <w:spacing w:after="0" w:line="240" w:lineRule="auto"/>
        <w:ind w:left="2160" w:right="1440"/>
        <w:contextualSpacing/>
        <w:rPr>
          <w:rFonts w:ascii="Times New Roman" w:hAnsi="Times New Roman" w:cs="Times New Roman"/>
          <w:sz w:val="26"/>
          <w:szCs w:val="26"/>
        </w:rPr>
      </w:pPr>
      <w:r w:rsidRPr="009943D6">
        <w:rPr>
          <w:rFonts w:ascii="Times New Roman" w:hAnsi="Times New Roman" w:cs="Times New Roman"/>
          <w:sz w:val="26"/>
          <w:szCs w:val="26"/>
        </w:rPr>
        <w:t>400 North Street</w:t>
      </w:r>
    </w:p>
    <w:p w14:paraId="6CA0C2A5" w14:textId="77777777" w:rsidR="009943D6" w:rsidRPr="009943D6" w:rsidRDefault="009943D6" w:rsidP="009943D6">
      <w:pPr>
        <w:spacing w:after="0" w:line="240" w:lineRule="auto"/>
        <w:ind w:left="2160" w:right="1440"/>
        <w:contextualSpacing/>
        <w:rPr>
          <w:rFonts w:ascii="Times New Roman" w:hAnsi="Times New Roman" w:cs="Times New Roman"/>
          <w:sz w:val="26"/>
          <w:szCs w:val="26"/>
        </w:rPr>
      </w:pPr>
      <w:r w:rsidRPr="009943D6">
        <w:rPr>
          <w:rFonts w:ascii="Times New Roman" w:hAnsi="Times New Roman" w:cs="Times New Roman"/>
          <w:sz w:val="26"/>
          <w:szCs w:val="26"/>
        </w:rPr>
        <w:t>Harrisburg, PA 17120</w:t>
      </w:r>
    </w:p>
    <w:p w14:paraId="6E58248E" w14:textId="77777777" w:rsidR="009943D6" w:rsidRPr="009943D6" w:rsidRDefault="009943D6" w:rsidP="009943D6">
      <w:pPr>
        <w:keepNext/>
        <w:keepLines/>
        <w:widowControl w:val="0"/>
        <w:spacing w:after="0" w:line="240" w:lineRule="auto"/>
        <w:ind w:right="1440"/>
        <w:contextualSpacing/>
        <w:rPr>
          <w:rFonts w:ascii="Times New Roman" w:hAnsi="Times New Roman" w:cs="Times New Roman"/>
          <w:sz w:val="26"/>
          <w:szCs w:val="26"/>
        </w:rPr>
      </w:pPr>
    </w:p>
    <w:p w14:paraId="467F5C17" w14:textId="77777777" w:rsidR="009943D6" w:rsidRPr="009943D6" w:rsidRDefault="009943D6" w:rsidP="009943D6">
      <w:pPr>
        <w:spacing w:after="0" w:line="240" w:lineRule="auto"/>
        <w:ind w:left="1440" w:right="1440"/>
        <w:contextualSpacing/>
        <w:rPr>
          <w:rFonts w:ascii="Times New Roman" w:hAnsi="Times New Roman" w:cs="Times New Roman"/>
          <w:sz w:val="26"/>
          <w:szCs w:val="26"/>
        </w:rPr>
      </w:pPr>
      <w:r w:rsidRPr="009943D6">
        <w:rPr>
          <w:rFonts w:ascii="Times New Roman" w:hAnsi="Times New Roman" w:cs="Times New Roman"/>
          <w:sz w:val="26"/>
          <w:szCs w:val="26"/>
        </w:rPr>
        <w:t>The civil penalty shall not be tax deductible pursuant to Section 162(f) of the Internal Revenue Code, 26 U.S.C.S. § 162(f).</w:t>
      </w:r>
    </w:p>
    <w:p w14:paraId="1EFCA59D" w14:textId="77777777" w:rsidR="009943D6" w:rsidRPr="009943D6" w:rsidRDefault="009943D6" w:rsidP="009943D6">
      <w:pPr>
        <w:spacing w:after="0" w:line="240" w:lineRule="auto"/>
        <w:ind w:left="1440" w:right="1440"/>
        <w:contextualSpacing/>
        <w:rPr>
          <w:rFonts w:ascii="Times New Roman" w:hAnsi="Times New Roman" w:cs="Times New Roman"/>
          <w:sz w:val="26"/>
          <w:szCs w:val="26"/>
        </w:rPr>
      </w:pPr>
    </w:p>
    <w:p w14:paraId="5D6A47E8" w14:textId="77777777" w:rsidR="009943D6" w:rsidRPr="009943D6" w:rsidRDefault="009943D6" w:rsidP="009943D6">
      <w:pPr>
        <w:spacing w:after="0" w:line="240" w:lineRule="auto"/>
        <w:ind w:left="1440" w:right="1440"/>
        <w:contextualSpacing/>
        <w:rPr>
          <w:rFonts w:ascii="Times New Roman" w:hAnsi="Times New Roman" w:cs="Times New Roman"/>
          <w:sz w:val="26"/>
          <w:szCs w:val="26"/>
        </w:rPr>
      </w:pPr>
      <w:bookmarkStart w:id="3" w:name="_Hlk94185881"/>
      <w:r w:rsidRPr="009943D6">
        <w:rPr>
          <w:rFonts w:ascii="Times New Roman" w:hAnsi="Times New Roman" w:cs="Times New Roman"/>
          <w:sz w:val="26"/>
          <w:szCs w:val="26"/>
        </w:rPr>
        <w:t>B.</w:t>
      </w:r>
      <w:r w:rsidRPr="009943D6">
        <w:rPr>
          <w:rFonts w:ascii="Times New Roman" w:hAnsi="Times New Roman" w:cs="Times New Roman"/>
          <w:sz w:val="26"/>
          <w:szCs w:val="26"/>
        </w:rPr>
        <w:tab/>
        <w:t>Green Mountain will provide to each of the one hundred fifty-six (156) customers a refund for the entire electric generation supply portion on the customer’s bill for the first two (2) billing periods that the customers were switched to Green Mountain, pursuant to 52 Pa. Code § 57.177(b).  Green Mountain will issue the customer refunds within thirty (30) days of the date of the Commission’s Final Order approving the Settlement Agreement.  Pursuant to 52 Pa. Code § 5.591, following payment of the refunds, Green Mountain will file with the Commission a verification acknowledging that all refund payments have been disbursed, satisfying this settlement provision.</w:t>
      </w:r>
    </w:p>
    <w:bookmarkEnd w:id="3"/>
    <w:p w14:paraId="5155813F" w14:textId="77777777" w:rsidR="009943D6" w:rsidRPr="009943D6" w:rsidRDefault="009943D6" w:rsidP="009943D6">
      <w:pPr>
        <w:spacing w:after="0" w:line="240" w:lineRule="auto"/>
        <w:ind w:left="1440" w:right="1440"/>
        <w:contextualSpacing/>
        <w:rPr>
          <w:rFonts w:ascii="Times New Roman" w:hAnsi="Times New Roman" w:cs="Times New Roman"/>
          <w:sz w:val="26"/>
          <w:szCs w:val="26"/>
        </w:rPr>
      </w:pPr>
    </w:p>
    <w:p w14:paraId="584C324A" w14:textId="77777777" w:rsidR="009943D6" w:rsidRPr="009943D6" w:rsidRDefault="009943D6" w:rsidP="009943D6">
      <w:pPr>
        <w:spacing w:after="0" w:line="240" w:lineRule="auto"/>
        <w:ind w:left="1440" w:right="1440"/>
        <w:contextualSpacing/>
        <w:rPr>
          <w:rFonts w:ascii="Times New Roman" w:hAnsi="Times New Roman" w:cs="Times New Roman"/>
          <w:sz w:val="26"/>
          <w:szCs w:val="26"/>
        </w:rPr>
      </w:pPr>
      <w:bookmarkStart w:id="4" w:name="_Hlk86140408"/>
      <w:r w:rsidRPr="009943D6">
        <w:rPr>
          <w:rFonts w:ascii="Times New Roman" w:hAnsi="Times New Roman" w:cs="Times New Roman"/>
          <w:sz w:val="26"/>
          <w:szCs w:val="26"/>
        </w:rPr>
        <w:t>C.</w:t>
      </w:r>
      <w:r w:rsidRPr="009943D6">
        <w:rPr>
          <w:rFonts w:ascii="Times New Roman" w:hAnsi="Times New Roman" w:cs="Times New Roman"/>
          <w:sz w:val="26"/>
          <w:szCs w:val="26"/>
        </w:rPr>
        <w:tab/>
        <w:t xml:space="preserve">Green Mountain shall refund any cancellation fee or early termination fee imposed by other EGSs and incurred by any of the </w:t>
      </w:r>
      <w:proofErr w:type="gramStart"/>
      <w:r w:rsidRPr="009943D6">
        <w:rPr>
          <w:rFonts w:ascii="Times New Roman" w:hAnsi="Times New Roman" w:cs="Times New Roman"/>
          <w:sz w:val="26"/>
          <w:szCs w:val="26"/>
        </w:rPr>
        <w:t>aforementioned customers</w:t>
      </w:r>
      <w:proofErr w:type="gramEnd"/>
      <w:r w:rsidRPr="009943D6">
        <w:rPr>
          <w:rFonts w:ascii="Times New Roman" w:hAnsi="Times New Roman" w:cs="Times New Roman"/>
          <w:sz w:val="26"/>
          <w:szCs w:val="26"/>
        </w:rPr>
        <w:t xml:space="preserve"> as a result of the unauthorized switch to Green Mountain, pursuant to 52 Pa. Code § 57.177(c), provided that the customer supplies documentation of incurring the fee.</w:t>
      </w:r>
    </w:p>
    <w:bookmarkEnd w:id="4"/>
    <w:p w14:paraId="7E322A01" w14:textId="77777777" w:rsidR="009943D6" w:rsidRPr="009943D6" w:rsidRDefault="009943D6" w:rsidP="009943D6">
      <w:pPr>
        <w:spacing w:after="0" w:line="240" w:lineRule="auto"/>
        <w:ind w:left="1440" w:right="1440"/>
        <w:contextualSpacing/>
        <w:rPr>
          <w:rFonts w:ascii="Times New Roman" w:hAnsi="Times New Roman" w:cs="Times New Roman"/>
          <w:sz w:val="26"/>
          <w:szCs w:val="26"/>
        </w:rPr>
      </w:pPr>
    </w:p>
    <w:p w14:paraId="6582627F" w14:textId="77777777" w:rsidR="009943D6" w:rsidRPr="009943D6" w:rsidRDefault="009943D6" w:rsidP="009943D6">
      <w:pPr>
        <w:spacing w:after="0" w:line="240" w:lineRule="auto"/>
        <w:ind w:left="1440" w:right="1440"/>
        <w:contextualSpacing/>
        <w:rPr>
          <w:rFonts w:ascii="Times New Roman" w:hAnsi="Times New Roman" w:cs="Times New Roman"/>
          <w:sz w:val="26"/>
          <w:szCs w:val="26"/>
        </w:rPr>
      </w:pPr>
      <w:r w:rsidRPr="009943D6">
        <w:rPr>
          <w:rFonts w:ascii="Times New Roman" w:hAnsi="Times New Roman" w:cs="Times New Roman"/>
          <w:sz w:val="26"/>
          <w:szCs w:val="26"/>
        </w:rPr>
        <w:t>D.</w:t>
      </w:r>
      <w:r w:rsidRPr="009943D6">
        <w:rPr>
          <w:rFonts w:ascii="Times New Roman" w:hAnsi="Times New Roman" w:cs="Times New Roman"/>
          <w:sz w:val="26"/>
          <w:szCs w:val="26"/>
        </w:rPr>
        <w:tab/>
        <w:t>After the entry of a Final Commission Order in this matter, Green Mountain will provide I&amp;E with a monthly report by the 30th of each month, for a period of one (1) year, detailing complaints from Pennsylvania consumers that were received by the Company from BCS, the Pennsylvania Attorney General’s Office, the Better Business Bureau and/or complaints directed to the Company related to allegations of unauthorized switching that originated from in-person marketing locations.  The monthly report to I&amp;E shall include customer complaint data from the previous month.</w:t>
      </w:r>
    </w:p>
    <w:p w14:paraId="56097EF9" w14:textId="77777777" w:rsidR="009943D6" w:rsidRPr="009943D6" w:rsidRDefault="009943D6" w:rsidP="009943D6">
      <w:pPr>
        <w:spacing w:after="0" w:line="240" w:lineRule="auto"/>
        <w:ind w:left="1440" w:right="1440"/>
        <w:contextualSpacing/>
        <w:rPr>
          <w:rFonts w:ascii="Times New Roman" w:hAnsi="Times New Roman" w:cs="Times New Roman"/>
          <w:sz w:val="26"/>
          <w:szCs w:val="26"/>
        </w:rPr>
      </w:pPr>
    </w:p>
    <w:p w14:paraId="4558F252" w14:textId="77777777" w:rsidR="009943D6" w:rsidRPr="009943D6" w:rsidRDefault="009943D6" w:rsidP="009943D6">
      <w:pPr>
        <w:spacing w:after="0" w:line="240" w:lineRule="auto"/>
        <w:ind w:left="1440" w:right="1440"/>
        <w:contextualSpacing/>
        <w:rPr>
          <w:rFonts w:ascii="Times New Roman" w:hAnsi="Times New Roman" w:cs="Times New Roman"/>
          <w:sz w:val="26"/>
          <w:szCs w:val="26"/>
        </w:rPr>
      </w:pPr>
      <w:r w:rsidRPr="009943D6">
        <w:rPr>
          <w:rFonts w:ascii="Times New Roman" w:hAnsi="Times New Roman" w:cs="Times New Roman"/>
          <w:sz w:val="26"/>
          <w:szCs w:val="26"/>
        </w:rPr>
        <w:t>E.</w:t>
      </w:r>
      <w:r w:rsidRPr="009943D6">
        <w:rPr>
          <w:rFonts w:ascii="Times New Roman" w:hAnsi="Times New Roman" w:cs="Times New Roman"/>
          <w:sz w:val="26"/>
          <w:szCs w:val="26"/>
        </w:rPr>
        <w:tab/>
        <w:t xml:space="preserve">Green Mountain agrees to retain customer signatures placed on enrollment tablets used at in-person marketing locations for a period of one (1) year starting after the entry of a Final Commission Order in this </w:t>
      </w:r>
      <w:proofErr w:type="gramStart"/>
      <w:r w:rsidRPr="009943D6">
        <w:rPr>
          <w:rFonts w:ascii="Times New Roman" w:hAnsi="Times New Roman" w:cs="Times New Roman"/>
          <w:sz w:val="26"/>
          <w:szCs w:val="26"/>
        </w:rPr>
        <w:t>matter, and</w:t>
      </w:r>
      <w:proofErr w:type="gramEnd"/>
      <w:r w:rsidRPr="009943D6">
        <w:rPr>
          <w:rFonts w:ascii="Times New Roman" w:hAnsi="Times New Roman" w:cs="Times New Roman"/>
          <w:sz w:val="26"/>
          <w:szCs w:val="26"/>
        </w:rPr>
        <w:t xml:space="preserve"> will provide such records to BCS and I&amp;E upon request.</w:t>
      </w:r>
    </w:p>
    <w:p w14:paraId="005501CB" w14:textId="77777777" w:rsidR="009943D6" w:rsidRPr="009943D6" w:rsidRDefault="009943D6" w:rsidP="009943D6">
      <w:pPr>
        <w:spacing w:after="0" w:line="360" w:lineRule="auto"/>
        <w:ind w:right="1440"/>
        <w:rPr>
          <w:rFonts w:ascii="Times New Roman" w:hAnsi="Times New Roman" w:cs="Times New Roman"/>
          <w:sz w:val="26"/>
          <w:szCs w:val="26"/>
        </w:rPr>
      </w:pPr>
    </w:p>
    <w:p w14:paraId="58327F98" w14:textId="7A8686C7" w:rsidR="009943D6" w:rsidRPr="009943D6" w:rsidRDefault="00E74BAF" w:rsidP="009943D6">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Joint </w:t>
      </w:r>
      <w:r w:rsidR="009943D6" w:rsidRPr="009943D6">
        <w:rPr>
          <w:rFonts w:ascii="Times New Roman" w:hAnsi="Times New Roman" w:cs="Times New Roman"/>
          <w:sz w:val="26"/>
          <w:szCs w:val="26"/>
        </w:rPr>
        <w:t>Petition at 9-10.</w:t>
      </w:r>
    </w:p>
    <w:p w14:paraId="2455C290" w14:textId="77777777" w:rsidR="009943D6" w:rsidRPr="009943D6" w:rsidRDefault="009943D6" w:rsidP="009943D6">
      <w:pPr>
        <w:spacing w:after="0" w:line="360" w:lineRule="auto"/>
        <w:rPr>
          <w:rFonts w:ascii="Times New Roman" w:hAnsi="Times New Roman" w:cs="Times New Roman"/>
          <w:sz w:val="26"/>
          <w:szCs w:val="26"/>
        </w:rPr>
      </w:pPr>
    </w:p>
    <w:p w14:paraId="0915D619" w14:textId="7D331A86" w:rsidR="009943D6" w:rsidRPr="009943D6" w:rsidRDefault="009943D6" w:rsidP="009943D6">
      <w:pPr>
        <w:spacing w:after="0" w:line="360" w:lineRule="auto"/>
        <w:ind w:firstLine="1440"/>
        <w:rPr>
          <w:rFonts w:ascii="Times New Roman" w:eastAsia="Times New Roman" w:hAnsi="Times New Roman" w:cs="Times New Roman"/>
          <w:sz w:val="26"/>
          <w:szCs w:val="26"/>
        </w:rPr>
      </w:pPr>
      <w:r w:rsidRPr="009943D6">
        <w:rPr>
          <w:rFonts w:ascii="Times New Roman" w:eastAsia="Times New Roman" w:hAnsi="Times New Roman" w:cs="Times New Roman"/>
          <w:sz w:val="26"/>
          <w:szCs w:val="26"/>
        </w:rPr>
        <w:t xml:space="preserve">In response, I&amp;E agrees to forgo the institution of any formal complaint against Green Mountain with respect to allegations of unauthorized enrollments committed by Green Mountain agents at in-person marketing locations during the </w:t>
      </w:r>
      <w:proofErr w:type="gramStart"/>
      <w:r w:rsidRPr="009943D6">
        <w:rPr>
          <w:rFonts w:ascii="Times New Roman" w:eastAsia="Times New Roman" w:hAnsi="Times New Roman" w:cs="Times New Roman"/>
          <w:sz w:val="26"/>
          <w:szCs w:val="26"/>
        </w:rPr>
        <w:t>time period</w:t>
      </w:r>
      <w:proofErr w:type="gramEnd"/>
      <w:r w:rsidRPr="009943D6">
        <w:rPr>
          <w:rFonts w:ascii="Times New Roman" w:eastAsia="Times New Roman" w:hAnsi="Times New Roman" w:cs="Times New Roman"/>
          <w:sz w:val="26"/>
          <w:szCs w:val="26"/>
        </w:rPr>
        <w:t xml:space="preserve"> in question.  </w:t>
      </w:r>
      <w:r w:rsidR="00E74BAF">
        <w:rPr>
          <w:rFonts w:ascii="Times New Roman" w:eastAsia="Times New Roman" w:hAnsi="Times New Roman" w:cs="Times New Roman"/>
          <w:sz w:val="26"/>
          <w:szCs w:val="26"/>
        </w:rPr>
        <w:t xml:space="preserve">Joint </w:t>
      </w:r>
      <w:r w:rsidRPr="009943D6">
        <w:rPr>
          <w:rFonts w:ascii="Times New Roman" w:eastAsia="Times New Roman" w:hAnsi="Times New Roman" w:cs="Times New Roman"/>
          <w:sz w:val="26"/>
          <w:szCs w:val="26"/>
        </w:rPr>
        <w:t xml:space="preserve">Petition at 10.  </w:t>
      </w:r>
    </w:p>
    <w:p w14:paraId="25C33102" w14:textId="77777777" w:rsidR="009943D6" w:rsidRPr="009943D6" w:rsidRDefault="009943D6" w:rsidP="009943D6">
      <w:pPr>
        <w:tabs>
          <w:tab w:val="center" w:pos="0"/>
        </w:tabs>
        <w:suppressAutoHyphens/>
        <w:spacing w:after="0" w:line="360" w:lineRule="auto"/>
        <w:rPr>
          <w:rFonts w:ascii="Times New Roman" w:eastAsia="Times New Roman" w:hAnsi="Times New Roman" w:cs="Times New Roman"/>
          <w:sz w:val="26"/>
          <w:szCs w:val="26"/>
        </w:rPr>
      </w:pPr>
    </w:p>
    <w:p w14:paraId="4C3BEED8" w14:textId="77777777" w:rsidR="009943D6" w:rsidRPr="009943D6" w:rsidRDefault="009943D6" w:rsidP="009943D6">
      <w:pPr>
        <w:tabs>
          <w:tab w:val="center" w:pos="720"/>
        </w:tabs>
        <w:suppressAutoHyphens/>
        <w:spacing w:after="0" w:line="360" w:lineRule="auto"/>
        <w:rPr>
          <w:rFonts w:ascii="Times New Roman" w:eastAsia="Times New Roman" w:hAnsi="Times New Roman" w:cs="Times New Roman"/>
          <w:iCs/>
          <w:sz w:val="26"/>
          <w:szCs w:val="26"/>
        </w:rPr>
      </w:pPr>
      <w:r w:rsidRPr="009943D6">
        <w:rPr>
          <w:rFonts w:ascii="Times New Roman" w:eastAsia="Times New Roman" w:hAnsi="Times New Roman" w:cs="Times New Roman"/>
          <w:sz w:val="26"/>
          <w:szCs w:val="26"/>
        </w:rPr>
        <w:tab/>
      </w:r>
      <w:r w:rsidRPr="009943D6">
        <w:rPr>
          <w:rFonts w:ascii="Times New Roman" w:eastAsia="Times New Roman" w:hAnsi="Times New Roman" w:cs="Times New Roman"/>
          <w:sz w:val="26"/>
          <w:szCs w:val="26"/>
        </w:rPr>
        <w:tab/>
        <w:t xml:space="preserve">The proposed Settlement is conditioned on the Commission’s approval without modification of any of its terms or conditions.  If the Commission does not approve the proposed Settlement or makes any change or modification to the proposed Settlement, either Party may elect to withdraw from the Settlement.  </w:t>
      </w:r>
      <w:r w:rsidRPr="009943D6">
        <w:rPr>
          <w:rFonts w:ascii="Times New Roman" w:eastAsia="Times New Roman" w:hAnsi="Times New Roman" w:cs="Times New Roman"/>
          <w:i/>
          <w:iCs/>
          <w:sz w:val="26"/>
          <w:szCs w:val="26"/>
        </w:rPr>
        <w:t>Id.</w:t>
      </w:r>
      <w:r w:rsidRPr="009943D6">
        <w:rPr>
          <w:rFonts w:ascii="Times New Roman" w:eastAsia="Times New Roman" w:hAnsi="Times New Roman" w:cs="Times New Roman"/>
          <w:sz w:val="26"/>
          <w:szCs w:val="26"/>
        </w:rPr>
        <w:t xml:space="preserve"> at 11.</w:t>
      </w:r>
    </w:p>
    <w:p w14:paraId="55707DEE" w14:textId="77777777" w:rsidR="00F44833" w:rsidRPr="003F7EE6" w:rsidRDefault="00F44833" w:rsidP="00F44833">
      <w:pPr>
        <w:tabs>
          <w:tab w:val="center" w:pos="720"/>
        </w:tabs>
        <w:suppressAutoHyphens/>
        <w:spacing w:after="0" w:line="360" w:lineRule="auto"/>
        <w:rPr>
          <w:rFonts w:ascii="Times New Roman" w:eastAsia="Times New Roman" w:hAnsi="Times New Roman" w:cs="Times New Roman"/>
          <w:sz w:val="26"/>
          <w:szCs w:val="26"/>
        </w:rPr>
      </w:pPr>
    </w:p>
    <w:p w14:paraId="579C098C" w14:textId="77777777" w:rsidR="00F44833" w:rsidRPr="003F7EE6" w:rsidRDefault="00F44833" w:rsidP="00DF39F3">
      <w:pPr>
        <w:pStyle w:val="Heading1"/>
        <w:ind w:left="0" w:firstLine="0"/>
      </w:pPr>
      <w:r w:rsidRPr="003F7EE6">
        <w:t>Discussion</w:t>
      </w:r>
    </w:p>
    <w:p w14:paraId="182723E4" w14:textId="246170D0" w:rsidR="00F44833" w:rsidRDefault="00F44833" w:rsidP="00F44833">
      <w:pPr>
        <w:keepNext/>
        <w:tabs>
          <w:tab w:val="center" w:pos="720"/>
        </w:tabs>
        <w:suppressAutoHyphens/>
        <w:spacing w:after="0" w:line="360" w:lineRule="auto"/>
        <w:rPr>
          <w:rFonts w:ascii="Times New Roman" w:eastAsia="Times New Roman" w:hAnsi="Times New Roman" w:cs="Times New Roman"/>
          <w:sz w:val="26"/>
          <w:szCs w:val="26"/>
        </w:rPr>
      </w:pPr>
    </w:p>
    <w:p w14:paraId="493196FB" w14:textId="36BC0C4A" w:rsidR="0034488B" w:rsidRDefault="0034488B" w:rsidP="0034488B">
      <w:pPr>
        <w:keepNext/>
        <w:tabs>
          <w:tab w:val="center" w:pos="720"/>
        </w:tabs>
        <w:suppressAutoHyphens/>
        <w:spacing w:after="0" w:line="360" w:lineRule="auto"/>
        <w:ind w:firstLine="1440"/>
        <w:rPr>
          <w:rFonts w:ascii="Times New Roman" w:eastAsia="Times New Roman" w:hAnsi="Times New Roman" w:cs="Times New Roman"/>
          <w:sz w:val="26"/>
          <w:szCs w:val="26"/>
        </w:rPr>
      </w:pPr>
      <w:r w:rsidRPr="0034488B">
        <w:rPr>
          <w:rFonts w:ascii="Times New Roman" w:eastAsia="Times New Roman" w:hAnsi="Times New Roman" w:cs="Times New Roman"/>
          <w:sz w:val="26"/>
          <w:szCs w:val="26"/>
        </w:rPr>
        <w:t xml:space="preserve">Initially, we note that any issue or argument that we do not specifically address shall be deemed to have been duly considered and denied without further discussion.  The Commission is not required to consider expressly or at length each contention or argument raised by the Parties.  </w:t>
      </w:r>
      <w:r w:rsidRPr="0034488B">
        <w:rPr>
          <w:rFonts w:ascii="Times New Roman" w:eastAsia="Times New Roman" w:hAnsi="Times New Roman" w:cs="Times New Roman"/>
          <w:i/>
          <w:sz w:val="26"/>
          <w:szCs w:val="26"/>
        </w:rPr>
        <w:t>Consolidated Rail Corp. v. Pa. PUC</w:t>
      </w:r>
      <w:r w:rsidRPr="0034488B">
        <w:rPr>
          <w:rFonts w:ascii="Times New Roman" w:eastAsia="Times New Roman" w:hAnsi="Times New Roman" w:cs="Times New Roman"/>
          <w:sz w:val="26"/>
          <w:szCs w:val="26"/>
        </w:rPr>
        <w:t xml:space="preserve">, 625 A.2d 741 (Pa. Cmwlth. 1993); </w:t>
      </w:r>
      <w:r w:rsidRPr="0034488B">
        <w:rPr>
          <w:rFonts w:ascii="Times New Roman" w:eastAsia="Times New Roman" w:hAnsi="Times New Roman" w:cs="Times New Roman"/>
          <w:i/>
          <w:sz w:val="26"/>
          <w:szCs w:val="26"/>
        </w:rPr>
        <w:t>also see, generally</w:t>
      </w:r>
      <w:r w:rsidRPr="0034488B">
        <w:rPr>
          <w:rFonts w:ascii="Times New Roman" w:eastAsia="Times New Roman" w:hAnsi="Times New Roman" w:cs="Times New Roman"/>
          <w:sz w:val="26"/>
          <w:szCs w:val="26"/>
        </w:rPr>
        <w:t xml:space="preserve">, </w:t>
      </w:r>
      <w:r w:rsidRPr="0034488B">
        <w:rPr>
          <w:rFonts w:ascii="Times New Roman" w:eastAsia="Times New Roman" w:hAnsi="Times New Roman" w:cs="Times New Roman"/>
          <w:i/>
          <w:sz w:val="26"/>
          <w:szCs w:val="26"/>
        </w:rPr>
        <w:t>University of Pennsylvania v. Pa. PUC</w:t>
      </w:r>
      <w:r w:rsidRPr="0034488B">
        <w:rPr>
          <w:rFonts w:ascii="Times New Roman" w:eastAsia="Times New Roman" w:hAnsi="Times New Roman" w:cs="Times New Roman"/>
          <w:sz w:val="26"/>
          <w:szCs w:val="26"/>
        </w:rPr>
        <w:t>, 485 A.2d 1217 (Pa. Cmwlth. 1984).</w:t>
      </w:r>
    </w:p>
    <w:p w14:paraId="77F61622" w14:textId="77777777" w:rsidR="0034488B" w:rsidRPr="003F7EE6" w:rsidRDefault="0034488B" w:rsidP="00DF39F3">
      <w:pPr>
        <w:tabs>
          <w:tab w:val="center" w:pos="720"/>
        </w:tabs>
        <w:suppressAutoHyphens/>
        <w:spacing w:after="0" w:line="360" w:lineRule="auto"/>
        <w:rPr>
          <w:rFonts w:ascii="Times New Roman" w:eastAsia="Times New Roman" w:hAnsi="Times New Roman" w:cs="Times New Roman"/>
          <w:sz w:val="26"/>
          <w:szCs w:val="26"/>
        </w:rPr>
      </w:pPr>
    </w:p>
    <w:p w14:paraId="6B76228B" w14:textId="0CCCB3F7" w:rsidR="00F44833" w:rsidRDefault="00F44833" w:rsidP="00591FBF">
      <w:pPr>
        <w:tabs>
          <w:tab w:val="center"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Pursuant to our Regulations at 52 Pa. Code § 5.231, it is the Commission’s policy to promote settlements.  The Commission must review proposed settlements to determine whether the terms are in the public interest.  </w:t>
      </w:r>
      <w:r w:rsidRPr="003F7EE6">
        <w:rPr>
          <w:rFonts w:ascii="Times New Roman" w:eastAsia="Times New Roman" w:hAnsi="Times New Roman" w:cs="Times New Roman"/>
          <w:i/>
          <w:sz w:val="26"/>
          <w:szCs w:val="26"/>
        </w:rPr>
        <w:t>Pa. PUC v. Philadelphia Gas Works</w:t>
      </w:r>
      <w:r w:rsidRPr="003F7EE6">
        <w:rPr>
          <w:rFonts w:ascii="Times New Roman" w:eastAsia="Times New Roman" w:hAnsi="Times New Roman" w:cs="Times New Roman"/>
          <w:sz w:val="26"/>
          <w:szCs w:val="26"/>
        </w:rPr>
        <w:t>, Docket No. M-00031768 (Order entered January 7, 2004).</w:t>
      </w:r>
      <w:r w:rsidR="0034488B">
        <w:rPr>
          <w:rFonts w:ascii="Times New Roman" w:eastAsia="Times New Roman" w:hAnsi="Times New Roman" w:cs="Times New Roman"/>
          <w:sz w:val="26"/>
          <w:szCs w:val="26"/>
        </w:rPr>
        <w:t xml:space="preserve">  </w:t>
      </w:r>
      <w:r w:rsidR="00591FBF" w:rsidRPr="00591FBF">
        <w:rPr>
          <w:rFonts w:ascii="Times New Roman" w:eastAsia="Times New Roman" w:hAnsi="Times New Roman" w:cs="Times New Roman"/>
          <w:sz w:val="26"/>
          <w:szCs w:val="26"/>
        </w:rPr>
        <w:t>In this regard, the Commission</w:t>
      </w:r>
      <w:r w:rsidR="00FD4049">
        <w:rPr>
          <w:rFonts w:ascii="Times New Roman" w:eastAsia="Times New Roman" w:hAnsi="Times New Roman" w:cs="Times New Roman"/>
          <w:sz w:val="26"/>
          <w:szCs w:val="26"/>
        </w:rPr>
        <w:t>’s</w:t>
      </w:r>
      <w:r w:rsidR="00591FBF" w:rsidRPr="00591FBF">
        <w:rPr>
          <w:rFonts w:ascii="Times New Roman" w:eastAsia="Times New Roman" w:hAnsi="Times New Roman" w:cs="Times New Roman"/>
          <w:sz w:val="26"/>
          <w:szCs w:val="26"/>
        </w:rPr>
        <w:t xml:space="preserve"> </w:t>
      </w:r>
      <w:r w:rsidR="00591FBF" w:rsidRPr="00FD4049">
        <w:rPr>
          <w:rFonts w:ascii="Times New Roman" w:eastAsia="Times New Roman" w:hAnsi="Times New Roman" w:cs="Times New Roman"/>
          <w:i/>
          <w:iCs/>
          <w:sz w:val="26"/>
          <w:szCs w:val="26"/>
        </w:rPr>
        <w:t>Policy Statement</w:t>
      </w:r>
      <w:r w:rsidR="00591FBF" w:rsidRPr="00591FBF">
        <w:rPr>
          <w:rFonts w:ascii="Times New Roman" w:eastAsia="Times New Roman" w:hAnsi="Times New Roman" w:cs="Times New Roman"/>
          <w:sz w:val="26"/>
          <w:szCs w:val="26"/>
        </w:rPr>
        <w:t xml:space="preserve"> at 52 Pa. Code § 69.1201 sets forth ten factors that we may consider in evaluating whether a civil penalty for violating a Commission order, </w:t>
      </w:r>
      <w:r w:rsidR="00591FBF">
        <w:rPr>
          <w:rFonts w:ascii="Times New Roman" w:eastAsia="Times New Roman" w:hAnsi="Times New Roman" w:cs="Times New Roman"/>
          <w:sz w:val="26"/>
          <w:szCs w:val="26"/>
        </w:rPr>
        <w:t>R</w:t>
      </w:r>
      <w:r w:rsidR="00591FBF" w:rsidRPr="00591FBF">
        <w:rPr>
          <w:rFonts w:ascii="Times New Roman" w:eastAsia="Times New Roman" w:hAnsi="Times New Roman" w:cs="Times New Roman"/>
          <w:sz w:val="26"/>
          <w:szCs w:val="26"/>
        </w:rPr>
        <w:t xml:space="preserve">egulation or statute is appropriate, as well as if a proposed settlement for a violation is reasonable and approval of the settlement agreement is in the public interest.  The </w:t>
      </w:r>
      <w:r w:rsidR="00591FBF" w:rsidRPr="00FD4049">
        <w:rPr>
          <w:rFonts w:ascii="Times New Roman" w:eastAsia="Times New Roman" w:hAnsi="Times New Roman" w:cs="Times New Roman"/>
          <w:i/>
          <w:iCs/>
          <w:sz w:val="26"/>
          <w:szCs w:val="26"/>
        </w:rPr>
        <w:t>Policy Statement</w:t>
      </w:r>
      <w:r w:rsidR="00591FBF" w:rsidRPr="00591FBF">
        <w:rPr>
          <w:rFonts w:ascii="Times New Roman" w:eastAsia="Times New Roman" w:hAnsi="Times New Roman" w:cs="Times New Roman"/>
          <w:sz w:val="26"/>
          <w:szCs w:val="26"/>
        </w:rPr>
        <w:t xml:space="preserve"> sets forth ten factors we use when determining whether, and to what extent, a civil penalty is warranted in litigated and non-litigated settled cases.  In settled cases, while many of the same factors may still be considered, the settling parties “will be afforded flexibility in reaching amicable resolutions to complaints and other matters so long as the </w:t>
      </w:r>
      <w:r w:rsidR="00591FBF" w:rsidRPr="00494A9F">
        <w:rPr>
          <w:rFonts w:ascii="Times New Roman" w:eastAsia="Times New Roman" w:hAnsi="Times New Roman" w:cs="Times New Roman"/>
          <w:sz w:val="26"/>
          <w:szCs w:val="26"/>
        </w:rPr>
        <w:t xml:space="preserve">settlement is in the public interest.”  52 Pa. </w:t>
      </w:r>
      <w:r w:rsidR="00591FBF" w:rsidRPr="001C1336">
        <w:rPr>
          <w:rFonts w:ascii="Times New Roman" w:eastAsia="Times New Roman" w:hAnsi="Times New Roman" w:cs="Times New Roman"/>
          <w:sz w:val="26"/>
          <w:szCs w:val="26"/>
        </w:rPr>
        <w:t>Code § 69.1201(b).  Based on our review of the Settlement</w:t>
      </w:r>
      <w:r w:rsidR="00494A9F" w:rsidRPr="001C1336">
        <w:rPr>
          <w:rFonts w:ascii="Times New Roman" w:eastAsia="Times New Roman" w:hAnsi="Times New Roman" w:cs="Times New Roman"/>
          <w:sz w:val="26"/>
          <w:szCs w:val="26"/>
        </w:rPr>
        <w:t xml:space="preserve"> and the OCA’s comments in response to our </w:t>
      </w:r>
      <w:r w:rsidR="00494A9F" w:rsidRPr="001C1336">
        <w:rPr>
          <w:rFonts w:ascii="Times New Roman" w:eastAsia="Times New Roman" w:hAnsi="Times New Roman" w:cs="Times New Roman"/>
          <w:i/>
          <w:iCs/>
          <w:sz w:val="26"/>
          <w:szCs w:val="26"/>
        </w:rPr>
        <w:t>November 2021 Order</w:t>
      </w:r>
      <w:r w:rsidR="00591FBF" w:rsidRPr="001C1336">
        <w:rPr>
          <w:rFonts w:ascii="Times New Roman" w:eastAsia="Times New Roman" w:hAnsi="Times New Roman" w:cs="Times New Roman"/>
          <w:sz w:val="26"/>
          <w:szCs w:val="26"/>
        </w:rPr>
        <w:t>, we find, as discussed in more detail below, that the application of these factors supports approval of the Settlement</w:t>
      </w:r>
      <w:r w:rsidR="00494A9F" w:rsidRPr="001C1336">
        <w:rPr>
          <w:rFonts w:ascii="Times New Roman" w:eastAsia="Times New Roman" w:hAnsi="Times New Roman" w:cs="Times New Roman"/>
          <w:sz w:val="26"/>
          <w:szCs w:val="26"/>
        </w:rPr>
        <w:t>, as modified by this Opinion and Order.</w:t>
      </w:r>
    </w:p>
    <w:p w14:paraId="29D8B5C7" w14:textId="0C156E02" w:rsidR="00591FBF" w:rsidRDefault="00591FBF" w:rsidP="00591FBF">
      <w:pPr>
        <w:tabs>
          <w:tab w:val="center" w:pos="720"/>
        </w:tabs>
        <w:suppressAutoHyphens/>
        <w:spacing w:after="0" w:line="360" w:lineRule="auto"/>
        <w:rPr>
          <w:rFonts w:ascii="Times New Roman" w:eastAsia="Times New Roman" w:hAnsi="Times New Roman" w:cs="Times New Roman"/>
          <w:sz w:val="26"/>
          <w:szCs w:val="26"/>
        </w:rPr>
      </w:pPr>
    </w:p>
    <w:p w14:paraId="2D29EC50" w14:textId="7DAE5EEE" w:rsidR="00B76723" w:rsidRPr="00DD45B6" w:rsidRDefault="00B76723" w:rsidP="00DF39F3">
      <w:pPr>
        <w:pStyle w:val="Heading2"/>
        <w:keepNext/>
      </w:pPr>
      <w:r w:rsidRPr="00DD45B6">
        <w:t xml:space="preserve">Comments </w:t>
      </w:r>
      <w:r w:rsidR="00DD25F6" w:rsidRPr="00DD45B6">
        <w:t xml:space="preserve">in Response to the </w:t>
      </w:r>
      <w:r w:rsidR="00DD25F6" w:rsidRPr="00DD45B6">
        <w:rPr>
          <w:i/>
          <w:iCs/>
        </w:rPr>
        <w:t>November 2021 Order</w:t>
      </w:r>
    </w:p>
    <w:p w14:paraId="1F08A623" w14:textId="21654073" w:rsidR="00B76723" w:rsidRDefault="00B76723" w:rsidP="00DF39F3">
      <w:pPr>
        <w:keepNext/>
        <w:tabs>
          <w:tab w:val="center" w:pos="720"/>
        </w:tabs>
        <w:suppressAutoHyphens/>
        <w:spacing w:after="0" w:line="360" w:lineRule="auto"/>
        <w:rPr>
          <w:rFonts w:ascii="Times New Roman" w:eastAsia="Times New Roman" w:hAnsi="Times New Roman" w:cs="Times New Roman"/>
          <w:sz w:val="26"/>
          <w:szCs w:val="26"/>
        </w:rPr>
      </w:pPr>
    </w:p>
    <w:p w14:paraId="446633AD" w14:textId="49209233" w:rsidR="00B76723" w:rsidRDefault="009D5D1B" w:rsidP="00DF39F3">
      <w:pPr>
        <w:keepNext/>
        <w:tabs>
          <w:tab w:val="center" w:pos="72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As noted, we received comments from one party in response to our </w:t>
      </w:r>
      <w:r w:rsidRPr="009D5D1B">
        <w:rPr>
          <w:rFonts w:ascii="Times New Roman" w:eastAsia="Times New Roman" w:hAnsi="Times New Roman" w:cs="Times New Roman"/>
          <w:i/>
          <w:iCs/>
          <w:sz w:val="26"/>
          <w:szCs w:val="26"/>
        </w:rPr>
        <w:t>November 2021 Order</w:t>
      </w:r>
      <w:r>
        <w:rPr>
          <w:rFonts w:ascii="Times New Roman" w:eastAsia="Times New Roman" w:hAnsi="Times New Roman" w:cs="Times New Roman"/>
          <w:sz w:val="26"/>
          <w:szCs w:val="26"/>
        </w:rPr>
        <w:t xml:space="preserve"> issuing the proposed Settlement for comment.  </w:t>
      </w:r>
      <w:r w:rsidR="003F53D7">
        <w:rPr>
          <w:rFonts w:ascii="Times New Roman" w:eastAsia="Times New Roman" w:hAnsi="Times New Roman" w:cs="Times New Roman"/>
          <w:sz w:val="26"/>
          <w:szCs w:val="26"/>
        </w:rPr>
        <w:t>Those comments were filed by the OCA on January 5, 2022.  In its comments, the OCA</w:t>
      </w:r>
      <w:r w:rsidR="00EE7DB3">
        <w:rPr>
          <w:rFonts w:ascii="Times New Roman" w:eastAsia="Times New Roman" w:hAnsi="Times New Roman" w:cs="Times New Roman"/>
          <w:sz w:val="26"/>
          <w:szCs w:val="26"/>
        </w:rPr>
        <w:t xml:space="preserve"> requests that the Commission </w:t>
      </w:r>
      <w:bookmarkStart w:id="5" w:name="_Hlk94168251"/>
      <w:r w:rsidR="00EE7DB3">
        <w:rPr>
          <w:rFonts w:ascii="Times New Roman" w:eastAsia="Times New Roman" w:hAnsi="Times New Roman" w:cs="Times New Roman"/>
          <w:sz w:val="26"/>
          <w:szCs w:val="26"/>
        </w:rPr>
        <w:t xml:space="preserve">clarify the </w:t>
      </w:r>
      <w:bookmarkStart w:id="6" w:name="_Hlk94181431"/>
      <w:r w:rsidR="00EE7DB3">
        <w:rPr>
          <w:rFonts w:ascii="Times New Roman" w:eastAsia="Times New Roman" w:hAnsi="Times New Roman" w:cs="Times New Roman"/>
          <w:sz w:val="26"/>
          <w:szCs w:val="26"/>
        </w:rPr>
        <w:t>Settlement terms dealing with customer refunds</w:t>
      </w:r>
      <w:bookmarkEnd w:id="5"/>
      <w:bookmarkEnd w:id="6"/>
      <w:r w:rsidR="00EE7DB3">
        <w:rPr>
          <w:rFonts w:ascii="Times New Roman" w:eastAsia="Times New Roman" w:hAnsi="Times New Roman" w:cs="Times New Roman"/>
          <w:sz w:val="26"/>
          <w:szCs w:val="26"/>
        </w:rPr>
        <w:t xml:space="preserve">.  OCA Comments at 2, 4-5.  As an additional matter, the OCA </w:t>
      </w:r>
      <w:r w:rsidR="00433B44">
        <w:rPr>
          <w:rFonts w:ascii="Times New Roman" w:eastAsia="Times New Roman" w:hAnsi="Times New Roman" w:cs="Times New Roman"/>
          <w:sz w:val="26"/>
          <w:szCs w:val="26"/>
        </w:rPr>
        <w:t>is seeking a re-examination of safeguards and related provisions for the ECL, as the OCA stated that it is “concerned” about alleged “abuses” of the ECL</w:t>
      </w:r>
      <w:r w:rsidR="000310A6">
        <w:rPr>
          <w:rFonts w:ascii="Times New Roman" w:eastAsia="Times New Roman" w:hAnsi="Times New Roman" w:cs="Times New Roman"/>
          <w:sz w:val="26"/>
          <w:szCs w:val="26"/>
        </w:rPr>
        <w:t xml:space="preserve">.  </w:t>
      </w:r>
      <w:r w:rsidR="008C0E4B">
        <w:rPr>
          <w:rFonts w:ascii="Times New Roman" w:eastAsia="Times New Roman" w:hAnsi="Times New Roman" w:cs="Times New Roman"/>
          <w:sz w:val="26"/>
          <w:szCs w:val="26"/>
        </w:rPr>
        <w:t>OCA Comments at 2, 5-6.</w:t>
      </w:r>
    </w:p>
    <w:p w14:paraId="6BAC0B75" w14:textId="0D9F51BC" w:rsidR="00B76723" w:rsidRDefault="00B76723" w:rsidP="00591FBF">
      <w:pPr>
        <w:tabs>
          <w:tab w:val="center" w:pos="720"/>
        </w:tabs>
        <w:suppressAutoHyphens/>
        <w:spacing w:after="0" w:line="360" w:lineRule="auto"/>
        <w:rPr>
          <w:rFonts w:ascii="Times New Roman" w:eastAsia="Times New Roman" w:hAnsi="Times New Roman" w:cs="Times New Roman"/>
          <w:sz w:val="26"/>
          <w:szCs w:val="26"/>
        </w:rPr>
      </w:pPr>
    </w:p>
    <w:p w14:paraId="340F4CA0" w14:textId="01CF1A25" w:rsidR="008E3D60" w:rsidRDefault="008E3D60" w:rsidP="008E3D60">
      <w:pPr>
        <w:tabs>
          <w:tab w:val="center" w:pos="72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OCA notes that, while it appreciates the effort of the Parties to partially refund customers unfairly charged excess amounts for being switched without their authorization, </w:t>
      </w:r>
      <w:r w:rsidR="00342FD3">
        <w:rPr>
          <w:rFonts w:ascii="Times New Roman" w:eastAsia="Times New Roman" w:hAnsi="Times New Roman" w:cs="Times New Roman"/>
          <w:sz w:val="26"/>
          <w:szCs w:val="26"/>
        </w:rPr>
        <w:t>it</w:t>
      </w:r>
      <w:r>
        <w:rPr>
          <w:rFonts w:ascii="Times New Roman" w:eastAsia="Times New Roman" w:hAnsi="Times New Roman" w:cs="Times New Roman"/>
          <w:sz w:val="26"/>
          <w:szCs w:val="26"/>
        </w:rPr>
        <w:t xml:space="preserve"> is unclear</w:t>
      </w:r>
      <w:r w:rsidR="00CD76F2">
        <w:rPr>
          <w:rFonts w:ascii="Times New Roman" w:eastAsia="Times New Roman" w:hAnsi="Times New Roman" w:cs="Times New Roman"/>
          <w:sz w:val="26"/>
          <w:szCs w:val="26"/>
        </w:rPr>
        <w:t>:</w:t>
      </w:r>
      <w:r w:rsidR="002B40BE">
        <w:rPr>
          <w:rFonts w:ascii="Times New Roman" w:eastAsia="Times New Roman" w:hAnsi="Times New Roman" w:cs="Times New Roman"/>
          <w:sz w:val="26"/>
          <w:szCs w:val="26"/>
        </w:rPr>
        <w:t xml:space="preserve"> </w:t>
      </w:r>
      <w:r w:rsidR="00CD76F2">
        <w:rPr>
          <w:rFonts w:ascii="Times New Roman" w:eastAsia="Times New Roman" w:hAnsi="Times New Roman" w:cs="Times New Roman"/>
          <w:sz w:val="26"/>
          <w:szCs w:val="26"/>
        </w:rPr>
        <w:t xml:space="preserve"> (1) </w:t>
      </w:r>
      <w:r w:rsidR="003D0F6C">
        <w:rPr>
          <w:rFonts w:ascii="Times New Roman" w:eastAsia="Times New Roman" w:hAnsi="Times New Roman" w:cs="Times New Roman"/>
          <w:sz w:val="26"/>
          <w:szCs w:val="26"/>
        </w:rPr>
        <w:t xml:space="preserve">if this commitment </w:t>
      </w:r>
      <w:r w:rsidR="00CD76F2">
        <w:rPr>
          <w:rFonts w:ascii="Times New Roman" w:eastAsia="Times New Roman" w:hAnsi="Times New Roman" w:cs="Times New Roman"/>
          <w:sz w:val="26"/>
          <w:szCs w:val="26"/>
        </w:rPr>
        <w:t xml:space="preserve">includes refunds for the electric generation supply portion for the first two months for </w:t>
      </w:r>
      <w:r w:rsidR="00CD76F2" w:rsidRPr="00342FD3">
        <w:rPr>
          <w:rFonts w:ascii="Times New Roman" w:eastAsia="Times New Roman" w:hAnsi="Times New Roman" w:cs="Times New Roman"/>
          <w:i/>
          <w:iCs/>
          <w:sz w:val="26"/>
          <w:szCs w:val="26"/>
        </w:rPr>
        <w:t xml:space="preserve">all </w:t>
      </w:r>
      <w:r w:rsidR="00CD76F2">
        <w:rPr>
          <w:rFonts w:ascii="Times New Roman" w:eastAsia="Times New Roman" w:hAnsi="Times New Roman" w:cs="Times New Roman"/>
          <w:sz w:val="26"/>
          <w:szCs w:val="26"/>
        </w:rPr>
        <w:t>customers affected by Green Mountain’s unauthorized switching</w:t>
      </w:r>
      <w:r w:rsidR="00817BFC">
        <w:rPr>
          <w:rFonts w:ascii="Times New Roman" w:eastAsia="Times New Roman" w:hAnsi="Times New Roman" w:cs="Times New Roman"/>
          <w:sz w:val="26"/>
          <w:szCs w:val="26"/>
        </w:rPr>
        <w:t xml:space="preserve">, regardless of whether the customer paid those two months of service; (2) </w:t>
      </w:r>
      <w:r w:rsidR="003D0F6C">
        <w:rPr>
          <w:rFonts w:ascii="Times New Roman" w:eastAsia="Times New Roman" w:hAnsi="Times New Roman" w:cs="Times New Roman"/>
          <w:sz w:val="26"/>
          <w:szCs w:val="26"/>
        </w:rPr>
        <w:t xml:space="preserve">how </w:t>
      </w:r>
      <w:r w:rsidR="00342FD3">
        <w:rPr>
          <w:rFonts w:ascii="Times New Roman" w:eastAsia="Times New Roman" w:hAnsi="Times New Roman" w:cs="Times New Roman"/>
          <w:sz w:val="26"/>
          <w:szCs w:val="26"/>
        </w:rPr>
        <w:t xml:space="preserve">this commitment will be executed </w:t>
      </w:r>
      <w:r w:rsidR="004065ED" w:rsidRPr="004065ED">
        <w:rPr>
          <w:rFonts w:ascii="Times New Roman" w:eastAsia="Times New Roman" w:hAnsi="Times New Roman" w:cs="Times New Roman"/>
          <w:sz w:val="26"/>
          <w:szCs w:val="26"/>
        </w:rPr>
        <w:t>(</w:t>
      </w:r>
      <w:r w:rsidR="004065ED" w:rsidRPr="004065ED">
        <w:rPr>
          <w:rFonts w:ascii="Times New Roman" w:eastAsia="Times New Roman" w:hAnsi="Times New Roman" w:cs="Times New Roman"/>
          <w:i/>
          <w:iCs/>
          <w:sz w:val="26"/>
          <w:szCs w:val="26"/>
        </w:rPr>
        <w:t>i.e.</w:t>
      </w:r>
      <w:r w:rsidR="004065ED" w:rsidRPr="004065ED">
        <w:rPr>
          <w:rFonts w:ascii="Times New Roman" w:eastAsia="Times New Roman" w:hAnsi="Times New Roman" w:cs="Times New Roman"/>
          <w:sz w:val="26"/>
          <w:szCs w:val="26"/>
        </w:rPr>
        <w:t xml:space="preserve"> </w:t>
      </w:r>
      <w:r w:rsidR="004065ED">
        <w:rPr>
          <w:rFonts w:ascii="Times New Roman" w:eastAsia="Times New Roman" w:hAnsi="Times New Roman" w:cs="Times New Roman"/>
          <w:sz w:val="26"/>
          <w:szCs w:val="26"/>
        </w:rPr>
        <w:t>the exact manner in which Green Mountain intends to compensate the affected customers</w:t>
      </w:r>
      <w:r w:rsidR="004065ED" w:rsidRPr="004065ED">
        <w:rPr>
          <w:rFonts w:ascii="Times New Roman" w:eastAsia="Times New Roman" w:hAnsi="Times New Roman" w:cs="Times New Roman"/>
          <w:sz w:val="26"/>
          <w:szCs w:val="26"/>
        </w:rPr>
        <w:t>)</w:t>
      </w:r>
      <w:r w:rsidR="00342FD3">
        <w:rPr>
          <w:rFonts w:ascii="Times New Roman" w:eastAsia="Times New Roman" w:hAnsi="Times New Roman" w:cs="Times New Roman"/>
          <w:sz w:val="26"/>
          <w:szCs w:val="26"/>
        </w:rPr>
        <w:t>; and (3)</w:t>
      </w:r>
      <w:r w:rsidR="008D236C">
        <w:rPr>
          <w:rFonts w:ascii="Times New Roman" w:eastAsia="Times New Roman" w:hAnsi="Times New Roman" w:cs="Times New Roman"/>
          <w:sz w:val="26"/>
          <w:szCs w:val="26"/>
        </w:rPr>
        <w:t xml:space="preserve"> </w:t>
      </w:r>
      <w:r w:rsidR="00900A6E">
        <w:rPr>
          <w:rFonts w:ascii="Times New Roman" w:eastAsia="Times New Roman" w:hAnsi="Times New Roman" w:cs="Times New Roman"/>
          <w:sz w:val="26"/>
          <w:szCs w:val="26"/>
        </w:rPr>
        <w:t xml:space="preserve">what information must be included in the verification </w:t>
      </w:r>
      <w:r w:rsidR="00ED1C8A">
        <w:rPr>
          <w:rFonts w:ascii="Times New Roman" w:eastAsia="Times New Roman" w:hAnsi="Times New Roman" w:cs="Times New Roman"/>
          <w:sz w:val="26"/>
          <w:szCs w:val="26"/>
        </w:rPr>
        <w:t xml:space="preserve">to be </w:t>
      </w:r>
      <w:r w:rsidR="00900A6E">
        <w:rPr>
          <w:rFonts w:ascii="Times New Roman" w:eastAsia="Times New Roman" w:hAnsi="Times New Roman" w:cs="Times New Roman"/>
          <w:sz w:val="26"/>
          <w:szCs w:val="26"/>
        </w:rPr>
        <w:t>filed with the Commission</w:t>
      </w:r>
      <w:r w:rsidR="00ED1C8A">
        <w:rPr>
          <w:rFonts w:ascii="Times New Roman" w:eastAsia="Times New Roman" w:hAnsi="Times New Roman" w:cs="Times New Roman"/>
          <w:sz w:val="26"/>
          <w:szCs w:val="26"/>
        </w:rPr>
        <w:t>,</w:t>
      </w:r>
      <w:r w:rsidR="00900A6E">
        <w:rPr>
          <w:rFonts w:ascii="Times New Roman" w:eastAsia="Times New Roman" w:hAnsi="Times New Roman" w:cs="Times New Roman"/>
          <w:sz w:val="26"/>
          <w:szCs w:val="26"/>
        </w:rPr>
        <w:t xml:space="preserve"> indicat</w:t>
      </w:r>
      <w:r w:rsidR="00ED1C8A">
        <w:rPr>
          <w:rFonts w:ascii="Times New Roman" w:eastAsia="Times New Roman" w:hAnsi="Times New Roman" w:cs="Times New Roman"/>
          <w:sz w:val="26"/>
          <w:szCs w:val="26"/>
        </w:rPr>
        <w:t>ing</w:t>
      </w:r>
      <w:r w:rsidR="00900A6E">
        <w:rPr>
          <w:rFonts w:ascii="Times New Roman" w:eastAsia="Times New Roman" w:hAnsi="Times New Roman" w:cs="Times New Roman"/>
          <w:sz w:val="26"/>
          <w:szCs w:val="26"/>
        </w:rPr>
        <w:t xml:space="preserve"> Green Mountain’s compliance with the refund provision and ensur</w:t>
      </w:r>
      <w:r w:rsidR="00ED1C8A">
        <w:rPr>
          <w:rFonts w:ascii="Times New Roman" w:eastAsia="Times New Roman" w:hAnsi="Times New Roman" w:cs="Times New Roman"/>
          <w:sz w:val="26"/>
          <w:szCs w:val="26"/>
        </w:rPr>
        <w:t>ing</w:t>
      </w:r>
      <w:r w:rsidR="00900A6E">
        <w:rPr>
          <w:rFonts w:ascii="Times New Roman" w:eastAsia="Times New Roman" w:hAnsi="Times New Roman" w:cs="Times New Roman"/>
          <w:sz w:val="26"/>
          <w:szCs w:val="26"/>
        </w:rPr>
        <w:t xml:space="preserve"> that the affected customers are properly receiving the refunds.</w:t>
      </w:r>
      <w:r w:rsidR="00A97470">
        <w:rPr>
          <w:rFonts w:ascii="Times New Roman" w:eastAsia="Times New Roman" w:hAnsi="Times New Roman" w:cs="Times New Roman"/>
          <w:sz w:val="26"/>
          <w:szCs w:val="26"/>
        </w:rPr>
        <w:t xml:space="preserve">  OCA Comments at 4-5.  </w:t>
      </w:r>
    </w:p>
    <w:p w14:paraId="4E2C8736" w14:textId="40CA6C65" w:rsidR="00433B44" w:rsidRDefault="00433B44" w:rsidP="00433B44">
      <w:pPr>
        <w:tabs>
          <w:tab w:val="center" w:pos="720"/>
        </w:tabs>
        <w:suppressAutoHyphens/>
        <w:spacing w:after="0" w:line="360" w:lineRule="auto"/>
        <w:rPr>
          <w:rFonts w:ascii="Times New Roman" w:eastAsia="Times New Roman" w:hAnsi="Times New Roman" w:cs="Times New Roman"/>
          <w:sz w:val="26"/>
          <w:szCs w:val="26"/>
        </w:rPr>
      </w:pPr>
    </w:p>
    <w:p w14:paraId="30AD3888" w14:textId="23396E45" w:rsidR="00A97470" w:rsidRDefault="00EC6770" w:rsidP="00EC6770">
      <w:pPr>
        <w:tabs>
          <w:tab w:val="center" w:pos="72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As such, the OCA requests that the Commission modify the terms of the Settlement</w:t>
      </w:r>
      <w:r w:rsidR="0029666C">
        <w:rPr>
          <w:rFonts w:ascii="Times New Roman" w:eastAsia="Times New Roman" w:hAnsi="Times New Roman" w:cs="Times New Roman"/>
          <w:sz w:val="26"/>
          <w:szCs w:val="26"/>
        </w:rPr>
        <w:t>, requiring the verification filed with the Commission in compliance with</w:t>
      </w:r>
      <w:r w:rsidR="005807BA">
        <w:rPr>
          <w:rFonts w:ascii="Times New Roman" w:eastAsia="Times New Roman" w:hAnsi="Times New Roman" w:cs="Times New Roman"/>
          <w:sz w:val="26"/>
          <w:szCs w:val="26"/>
        </w:rPr>
        <w:t xml:space="preserve"> </w:t>
      </w:r>
      <w:r w:rsidR="005807BA" w:rsidRPr="005807BA">
        <w:rPr>
          <w:rFonts w:ascii="Times New Roman" w:eastAsia="Times New Roman" w:hAnsi="Times New Roman" w:cs="Times New Roman"/>
          <w:sz w:val="26"/>
          <w:szCs w:val="26"/>
        </w:rPr>
        <w:t xml:space="preserve">Paragraph </w:t>
      </w:r>
      <w:r w:rsidR="0029666C">
        <w:rPr>
          <w:rFonts w:ascii="Times New Roman" w:eastAsia="Times New Roman" w:hAnsi="Times New Roman" w:cs="Times New Roman"/>
          <w:sz w:val="26"/>
          <w:szCs w:val="26"/>
        </w:rPr>
        <w:t>29(B)</w:t>
      </w:r>
      <w:r w:rsidR="005807BA">
        <w:rPr>
          <w:rFonts w:ascii="Times New Roman" w:eastAsia="Times New Roman" w:hAnsi="Times New Roman" w:cs="Times New Roman"/>
          <w:sz w:val="26"/>
          <w:szCs w:val="26"/>
        </w:rPr>
        <w:t xml:space="preserve"> of the </w:t>
      </w:r>
      <w:r w:rsidR="00851927">
        <w:rPr>
          <w:rFonts w:ascii="Times New Roman" w:eastAsia="Times New Roman" w:hAnsi="Times New Roman" w:cs="Times New Roman"/>
          <w:sz w:val="26"/>
          <w:szCs w:val="26"/>
        </w:rPr>
        <w:t>Settlement</w:t>
      </w:r>
      <w:r w:rsidR="0029666C">
        <w:rPr>
          <w:rFonts w:ascii="Times New Roman" w:eastAsia="Times New Roman" w:hAnsi="Times New Roman" w:cs="Times New Roman"/>
          <w:sz w:val="26"/>
          <w:szCs w:val="26"/>
        </w:rPr>
        <w:t xml:space="preserve"> be accompanied by an attachment providing: </w:t>
      </w:r>
      <w:r w:rsidR="002B40BE">
        <w:rPr>
          <w:rFonts w:ascii="Times New Roman" w:eastAsia="Times New Roman" w:hAnsi="Times New Roman" w:cs="Times New Roman"/>
          <w:sz w:val="26"/>
          <w:szCs w:val="26"/>
        </w:rPr>
        <w:t xml:space="preserve"> </w:t>
      </w:r>
      <w:r w:rsidR="0029666C">
        <w:rPr>
          <w:rFonts w:ascii="Times New Roman" w:eastAsia="Times New Roman" w:hAnsi="Times New Roman" w:cs="Times New Roman"/>
          <w:sz w:val="26"/>
          <w:szCs w:val="26"/>
        </w:rPr>
        <w:t xml:space="preserve">(1) the number of customers contacted in reference to the refund; (2) the total refunded amounts to each customer; and (3) the number of checks sent to customers that were not cashed, if any.  </w:t>
      </w:r>
      <w:r w:rsidR="0029666C" w:rsidRPr="0029666C">
        <w:rPr>
          <w:rFonts w:ascii="Times New Roman" w:eastAsia="Times New Roman" w:hAnsi="Times New Roman" w:cs="Times New Roman"/>
          <w:i/>
          <w:iCs/>
          <w:sz w:val="26"/>
          <w:szCs w:val="26"/>
        </w:rPr>
        <w:t>Id</w:t>
      </w:r>
      <w:r w:rsidR="0029666C">
        <w:rPr>
          <w:rFonts w:ascii="Times New Roman" w:eastAsia="Times New Roman" w:hAnsi="Times New Roman" w:cs="Times New Roman"/>
          <w:sz w:val="26"/>
          <w:szCs w:val="26"/>
        </w:rPr>
        <w:t xml:space="preserve">. at 5.  </w:t>
      </w:r>
    </w:p>
    <w:p w14:paraId="460A57A8" w14:textId="54F608EC" w:rsidR="00A97470" w:rsidRDefault="00A97470" w:rsidP="00433B44">
      <w:pPr>
        <w:tabs>
          <w:tab w:val="center" w:pos="720"/>
        </w:tabs>
        <w:suppressAutoHyphens/>
        <w:spacing w:after="0" w:line="360" w:lineRule="auto"/>
        <w:rPr>
          <w:rFonts w:ascii="Times New Roman" w:eastAsia="Times New Roman" w:hAnsi="Times New Roman" w:cs="Times New Roman"/>
          <w:sz w:val="26"/>
          <w:szCs w:val="26"/>
        </w:rPr>
      </w:pPr>
    </w:p>
    <w:p w14:paraId="7DC13AC5" w14:textId="58ED3B7C" w:rsidR="00D63F97" w:rsidRDefault="00E1777E" w:rsidP="00D63F97">
      <w:pPr>
        <w:tabs>
          <w:tab w:val="center" w:pos="72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Additionally, </w:t>
      </w:r>
      <w:r w:rsidR="00744296">
        <w:rPr>
          <w:rFonts w:ascii="Times New Roman" w:eastAsia="Times New Roman" w:hAnsi="Times New Roman" w:cs="Times New Roman"/>
          <w:sz w:val="26"/>
          <w:szCs w:val="26"/>
        </w:rPr>
        <w:t>as previously indicated</w:t>
      </w:r>
      <w:r>
        <w:rPr>
          <w:rFonts w:ascii="Times New Roman" w:eastAsia="Times New Roman" w:hAnsi="Times New Roman" w:cs="Times New Roman"/>
          <w:sz w:val="26"/>
          <w:szCs w:val="26"/>
        </w:rPr>
        <w:t>, the OCA expresse</w:t>
      </w:r>
      <w:r w:rsidR="00744296">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its concern</w:t>
      </w:r>
      <w:r w:rsidR="00F465F7">
        <w:rPr>
          <w:rFonts w:ascii="Times New Roman" w:eastAsia="Times New Roman" w:hAnsi="Times New Roman" w:cs="Times New Roman"/>
          <w:sz w:val="26"/>
          <w:szCs w:val="26"/>
        </w:rPr>
        <w:t xml:space="preserve"> about Green Mountain’s misuse of the ECL.  </w:t>
      </w:r>
      <w:r w:rsidR="00744296">
        <w:rPr>
          <w:rFonts w:ascii="Times New Roman" w:eastAsia="Times New Roman" w:hAnsi="Times New Roman" w:cs="Times New Roman"/>
          <w:sz w:val="26"/>
          <w:szCs w:val="26"/>
        </w:rPr>
        <w:t xml:space="preserve">The OCA contends that, based on the information disclosed in the </w:t>
      </w:r>
      <w:r w:rsidR="00744296" w:rsidRPr="005F01FC">
        <w:rPr>
          <w:rFonts w:ascii="Times New Roman" w:eastAsia="Times New Roman" w:hAnsi="Times New Roman" w:cs="Times New Roman"/>
          <w:i/>
          <w:iCs/>
          <w:sz w:val="26"/>
          <w:szCs w:val="26"/>
        </w:rPr>
        <w:t>November 2021 Order</w:t>
      </w:r>
      <w:r w:rsidR="00744296">
        <w:rPr>
          <w:rFonts w:ascii="Times New Roman" w:eastAsia="Times New Roman" w:hAnsi="Times New Roman" w:cs="Times New Roman"/>
          <w:sz w:val="26"/>
          <w:szCs w:val="26"/>
        </w:rPr>
        <w:t>, it appears that Green Mountain</w:t>
      </w:r>
      <w:r w:rsidR="00376501">
        <w:rPr>
          <w:rFonts w:ascii="Times New Roman" w:eastAsia="Times New Roman" w:hAnsi="Times New Roman" w:cs="Times New Roman"/>
          <w:sz w:val="26"/>
          <w:szCs w:val="26"/>
        </w:rPr>
        <w:t xml:space="preserve"> “had insufficient protections in place to ensure that its agents were not misusing customer information disclosed in the ECL to facilitate unauthorized enrollments.”  OCA Comments at 3. </w:t>
      </w:r>
    </w:p>
    <w:p w14:paraId="520A5984" w14:textId="0C3BE1A9" w:rsidR="00F465F7" w:rsidRPr="00915137" w:rsidRDefault="00F465F7" w:rsidP="00433B44">
      <w:pPr>
        <w:tabs>
          <w:tab w:val="center" w:pos="720"/>
        </w:tabs>
        <w:suppressAutoHyphens/>
        <w:spacing w:after="0" w:line="360" w:lineRule="auto"/>
        <w:rPr>
          <w:rFonts w:ascii="Times New Roman" w:eastAsia="Times New Roman" w:hAnsi="Times New Roman" w:cs="Times New Roman"/>
          <w:sz w:val="26"/>
          <w:szCs w:val="26"/>
        </w:rPr>
      </w:pPr>
    </w:p>
    <w:p w14:paraId="704CCD29" w14:textId="4C47185D" w:rsidR="00915137" w:rsidRPr="00915137" w:rsidRDefault="00915137" w:rsidP="00786A96">
      <w:pPr>
        <w:tabs>
          <w:tab w:val="center" w:pos="720"/>
        </w:tabs>
        <w:suppressAutoHyphens/>
        <w:spacing w:after="0" w:line="360" w:lineRule="auto"/>
        <w:ind w:firstLine="1440"/>
        <w:rPr>
          <w:rFonts w:ascii="Times New Roman" w:eastAsia="Times New Roman" w:hAnsi="Times New Roman" w:cs="Times New Roman"/>
          <w:sz w:val="26"/>
          <w:szCs w:val="26"/>
        </w:rPr>
      </w:pPr>
      <w:r w:rsidRPr="00915137">
        <w:rPr>
          <w:rFonts w:ascii="Times New Roman" w:eastAsia="Times New Roman" w:hAnsi="Times New Roman" w:cs="Times New Roman"/>
          <w:sz w:val="26"/>
          <w:szCs w:val="26"/>
        </w:rPr>
        <w:t xml:space="preserve">The OCA </w:t>
      </w:r>
      <w:r>
        <w:rPr>
          <w:rFonts w:ascii="Times New Roman" w:eastAsia="Times New Roman" w:hAnsi="Times New Roman" w:cs="Times New Roman"/>
          <w:sz w:val="26"/>
          <w:szCs w:val="26"/>
        </w:rPr>
        <w:t>acknowledges that</w:t>
      </w:r>
      <w:r w:rsidRPr="00915137">
        <w:rPr>
          <w:rFonts w:ascii="Times New Roman" w:eastAsia="Times New Roman" w:hAnsi="Times New Roman" w:cs="Times New Roman"/>
          <w:sz w:val="26"/>
          <w:szCs w:val="26"/>
        </w:rPr>
        <w:t xml:space="preserve"> many of the unauthorized enrollments were characterized as “processing errors” and </w:t>
      </w:r>
      <w:r w:rsidR="00C43222">
        <w:rPr>
          <w:rFonts w:ascii="Times New Roman" w:eastAsia="Times New Roman" w:hAnsi="Times New Roman" w:cs="Times New Roman"/>
          <w:sz w:val="26"/>
          <w:szCs w:val="26"/>
        </w:rPr>
        <w:t xml:space="preserve">Green Mountain’s </w:t>
      </w:r>
      <w:r w:rsidR="002B0E7A">
        <w:rPr>
          <w:rFonts w:ascii="Times New Roman" w:eastAsia="Times New Roman" w:hAnsi="Times New Roman" w:cs="Times New Roman"/>
          <w:sz w:val="26"/>
          <w:szCs w:val="26"/>
        </w:rPr>
        <w:t>efforts in imposing limitations</w:t>
      </w:r>
      <w:r w:rsidR="00C43222">
        <w:rPr>
          <w:rFonts w:ascii="Times New Roman" w:eastAsia="Times New Roman" w:hAnsi="Times New Roman" w:cs="Times New Roman"/>
          <w:sz w:val="26"/>
          <w:szCs w:val="26"/>
        </w:rPr>
        <w:t>, modifying the ECL search tool to eliminate the ability of both third-party and in-house</w:t>
      </w:r>
      <w:r w:rsidR="00855BFE">
        <w:rPr>
          <w:rFonts w:ascii="Times New Roman" w:eastAsia="Times New Roman" w:hAnsi="Times New Roman" w:cs="Times New Roman"/>
          <w:sz w:val="26"/>
          <w:szCs w:val="26"/>
        </w:rPr>
        <w:t xml:space="preserve"> sales agents from scrolling through the list to locate a customer, as well as its enhanced disciplinary policy for ECL misuse.  However, the OCA remains </w:t>
      </w:r>
      <w:r w:rsidR="000310A6">
        <w:rPr>
          <w:rFonts w:ascii="Times New Roman" w:eastAsia="Times New Roman" w:hAnsi="Times New Roman" w:cs="Times New Roman"/>
          <w:sz w:val="26"/>
          <w:szCs w:val="26"/>
        </w:rPr>
        <w:t>“</w:t>
      </w:r>
      <w:bookmarkStart w:id="7" w:name="_Hlk94257688"/>
      <w:r w:rsidR="00855BFE">
        <w:rPr>
          <w:rFonts w:ascii="Times New Roman" w:eastAsia="Times New Roman" w:hAnsi="Times New Roman" w:cs="Times New Roman"/>
          <w:sz w:val="26"/>
          <w:szCs w:val="26"/>
        </w:rPr>
        <w:t>concerned that the number of mismatches that I&amp;E’s investigation discovered may point to a more widespread issue among all suppliers and their agents.</w:t>
      </w:r>
      <w:bookmarkEnd w:id="7"/>
      <w:r w:rsidR="00855BFE">
        <w:rPr>
          <w:rFonts w:ascii="Times New Roman" w:eastAsia="Times New Roman" w:hAnsi="Times New Roman" w:cs="Times New Roman"/>
          <w:sz w:val="26"/>
          <w:szCs w:val="26"/>
        </w:rPr>
        <w:t xml:space="preserve">”  </w:t>
      </w:r>
      <w:r w:rsidR="00855BFE" w:rsidRPr="00753451">
        <w:rPr>
          <w:rFonts w:ascii="Times New Roman" w:eastAsia="Times New Roman" w:hAnsi="Times New Roman" w:cs="Times New Roman"/>
          <w:i/>
          <w:iCs/>
          <w:sz w:val="26"/>
          <w:szCs w:val="26"/>
        </w:rPr>
        <w:t>Id</w:t>
      </w:r>
      <w:r w:rsidR="00855BFE">
        <w:rPr>
          <w:rFonts w:ascii="Times New Roman" w:eastAsia="Times New Roman" w:hAnsi="Times New Roman" w:cs="Times New Roman"/>
          <w:sz w:val="26"/>
          <w:szCs w:val="26"/>
        </w:rPr>
        <w:t xml:space="preserve">. at </w:t>
      </w:r>
      <w:r w:rsidR="00753451">
        <w:rPr>
          <w:rFonts w:ascii="Times New Roman" w:eastAsia="Times New Roman" w:hAnsi="Times New Roman" w:cs="Times New Roman"/>
          <w:sz w:val="26"/>
          <w:szCs w:val="26"/>
        </w:rPr>
        <w:t>3, 5-6.</w:t>
      </w:r>
      <w:r w:rsidR="001A3CC1">
        <w:rPr>
          <w:rFonts w:ascii="Times New Roman" w:eastAsia="Times New Roman" w:hAnsi="Times New Roman" w:cs="Times New Roman"/>
          <w:sz w:val="26"/>
          <w:szCs w:val="26"/>
        </w:rPr>
        <w:t xml:space="preserve">  </w:t>
      </w:r>
      <w:r w:rsidR="00A71906">
        <w:rPr>
          <w:rFonts w:ascii="Times New Roman" w:eastAsia="Times New Roman" w:hAnsi="Times New Roman" w:cs="Times New Roman"/>
          <w:sz w:val="26"/>
          <w:szCs w:val="26"/>
        </w:rPr>
        <w:t xml:space="preserve">Referencing a recent Commission </w:t>
      </w:r>
      <w:r w:rsidR="00CC0C2F">
        <w:rPr>
          <w:rFonts w:ascii="Times New Roman" w:eastAsia="Times New Roman" w:hAnsi="Times New Roman" w:cs="Times New Roman"/>
          <w:sz w:val="26"/>
          <w:szCs w:val="26"/>
        </w:rPr>
        <w:t>order approving a settlement agreement between I&amp;E and NRG Home, an affiliate of Green Mountain,</w:t>
      </w:r>
      <w:r w:rsidR="003F6641">
        <w:rPr>
          <w:rStyle w:val="FootnoteReference"/>
          <w:rFonts w:ascii="Times New Roman" w:eastAsia="Times New Roman" w:hAnsi="Times New Roman" w:cs="Times New Roman"/>
          <w:sz w:val="26"/>
          <w:szCs w:val="26"/>
        </w:rPr>
        <w:footnoteReference w:id="4"/>
      </w:r>
      <w:r w:rsidR="00CC0C2F">
        <w:rPr>
          <w:rFonts w:ascii="Times New Roman" w:eastAsia="Times New Roman" w:hAnsi="Times New Roman" w:cs="Times New Roman"/>
          <w:sz w:val="26"/>
          <w:szCs w:val="26"/>
        </w:rPr>
        <w:t xml:space="preserve"> the OCA not</w:t>
      </w:r>
      <w:r w:rsidR="00D7469A">
        <w:rPr>
          <w:rFonts w:ascii="Times New Roman" w:eastAsia="Times New Roman" w:hAnsi="Times New Roman" w:cs="Times New Roman"/>
          <w:sz w:val="26"/>
          <w:szCs w:val="26"/>
        </w:rPr>
        <w:t>es</w:t>
      </w:r>
      <w:r w:rsidR="00B6501A">
        <w:rPr>
          <w:rFonts w:ascii="Times New Roman" w:eastAsia="Times New Roman" w:hAnsi="Times New Roman" w:cs="Times New Roman"/>
          <w:sz w:val="26"/>
          <w:szCs w:val="26"/>
        </w:rPr>
        <w:t xml:space="preserve"> the presence</w:t>
      </w:r>
      <w:r w:rsidR="00786A96">
        <w:rPr>
          <w:rFonts w:ascii="Times New Roman" w:eastAsia="Times New Roman" w:hAnsi="Times New Roman" w:cs="Times New Roman"/>
          <w:sz w:val="26"/>
          <w:szCs w:val="26"/>
        </w:rPr>
        <w:t xml:space="preserve"> of</w:t>
      </w:r>
      <w:r w:rsidR="00D7469A">
        <w:rPr>
          <w:rFonts w:ascii="Times New Roman" w:eastAsia="Times New Roman" w:hAnsi="Times New Roman" w:cs="Times New Roman"/>
          <w:sz w:val="26"/>
          <w:szCs w:val="26"/>
        </w:rPr>
        <w:t xml:space="preserve"> similar allegations as in the instant proceeding and the “apparent rise of allegations” stemming from the misuse of the ECL.</w:t>
      </w:r>
      <w:r w:rsidR="00786A96">
        <w:rPr>
          <w:rFonts w:ascii="Times New Roman" w:hAnsi="Times New Roman" w:cs="Times New Roman"/>
          <w:sz w:val="26"/>
          <w:szCs w:val="26"/>
        </w:rPr>
        <w:t xml:space="preserve">  </w:t>
      </w:r>
      <w:r w:rsidR="00786A96" w:rsidRPr="00786A96">
        <w:rPr>
          <w:rFonts w:ascii="Times New Roman" w:hAnsi="Times New Roman" w:cs="Times New Roman"/>
          <w:i/>
          <w:iCs/>
          <w:sz w:val="26"/>
          <w:szCs w:val="26"/>
        </w:rPr>
        <w:t>Id.</w:t>
      </w:r>
      <w:r w:rsidR="00786A96">
        <w:rPr>
          <w:rFonts w:ascii="Times New Roman" w:hAnsi="Times New Roman" w:cs="Times New Roman"/>
          <w:sz w:val="26"/>
          <w:szCs w:val="26"/>
        </w:rPr>
        <w:t xml:space="preserve"> at 6 (</w:t>
      </w:r>
      <w:r w:rsidR="00786A96" w:rsidRPr="00786A96">
        <w:rPr>
          <w:rFonts w:ascii="Times New Roman" w:hAnsi="Times New Roman" w:cs="Times New Roman"/>
          <w:i/>
          <w:iCs/>
          <w:sz w:val="26"/>
          <w:szCs w:val="26"/>
        </w:rPr>
        <w:t>citing</w:t>
      </w:r>
      <w:r w:rsidR="00786A96">
        <w:rPr>
          <w:rFonts w:ascii="Times New Roman" w:hAnsi="Times New Roman" w:cs="Times New Roman"/>
          <w:sz w:val="26"/>
          <w:szCs w:val="26"/>
        </w:rPr>
        <w:t xml:space="preserve"> </w:t>
      </w:r>
      <w:r w:rsidR="00786A96" w:rsidRPr="00786A96">
        <w:rPr>
          <w:rFonts w:ascii="Times New Roman" w:hAnsi="Times New Roman" w:cs="Times New Roman"/>
          <w:i/>
          <w:iCs/>
          <w:sz w:val="26"/>
          <w:szCs w:val="26"/>
        </w:rPr>
        <w:t>Pa. PUC</w:t>
      </w:r>
      <w:r w:rsidR="00786A96" w:rsidRPr="00786A96">
        <w:rPr>
          <w:rFonts w:ascii="Times New Roman" w:eastAsia="Times New Roman" w:hAnsi="Times New Roman" w:cs="Times New Roman"/>
          <w:i/>
          <w:iCs/>
          <w:sz w:val="26"/>
          <w:szCs w:val="26"/>
        </w:rPr>
        <w:t>, Bureau of Investigation and Enforcement v. Reliant Energy Northeast LLC d/b/a Reliant Energy, NRG Business Solutions, Reliant-NRG, NRG Residential Solutions, NRG Retail Solutions, NRG Home and NRG Business</w:t>
      </w:r>
      <w:r w:rsidR="00786A96" w:rsidRPr="00786A96">
        <w:rPr>
          <w:rFonts w:ascii="Times New Roman" w:eastAsia="Times New Roman" w:hAnsi="Times New Roman" w:cs="Times New Roman"/>
          <w:sz w:val="26"/>
          <w:szCs w:val="26"/>
        </w:rPr>
        <w:t>, Docket No. M-2020-3006647 (Order entered March 25, 2021)</w:t>
      </w:r>
      <w:r w:rsidR="00806C53">
        <w:rPr>
          <w:rFonts w:ascii="Times New Roman" w:eastAsia="Times New Roman" w:hAnsi="Times New Roman" w:cs="Times New Roman"/>
          <w:sz w:val="26"/>
          <w:szCs w:val="26"/>
        </w:rPr>
        <w:t xml:space="preserve"> (</w:t>
      </w:r>
      <w:r w:rsidR="00806C53" w:rsidRPr="00806C53">
        <w:rPr>
          <w:rFonts w:ascii="Times New Roman" w:eastAsia="Times New Roman" w:hAnsi="Times New Roman" w:cs="Times New Roman"/>
          <w:i/>
          <w:iCs/>
          <w:sz w:val="26"/>
          <w:szCs w:val="26"/>
        </w:rPr>
        <w:t>NRG Home</w:t>
      </w:r>
      <w:r w:rsidR="00806C53">
        <w:rPr>
          <w:rFonts w:ascii="Times New Roman" w:eastAsia="Times New Roman" w:hAnsi="Times New Roman" w:cs="Times New Roman"/>
          <w:sz w:val="26"/>
          <w:szCs w:val="26"/>
        </w:rPr>
        <w:t>)</w:t>
      </w:r>
      <w:r w:rsidR="00786A96" w:rsidRPr="00786A96">
        <w:rPr>
          <w:rFonts w:ascii="Times New Roman" w:eastAsia="Times New Roman" w:hAnsi="Times New Roman" w:cs="Times New Roman"/>
          <w:sz w:val="26"/>
          <w:szCs w:val="26"/>
        </w:rPr>
        <w:t xml:space="preserve"> (Many of the 168</w:t>
      </w:r>
      <w:r w:rsidR="00786A96">
        <w:rPr>
          <w:rFonts w:ascii="Times New Roman" w:eastAsia="Times New Roman" w:hAnsi="Times New Roman" w:cs="Times New Roman"/>
          <w:sz w:val="26"/>
          <w:szCs w:val="26"/>
        </w:rPr>
        <w:t xml:space="preserve"> </w:t>
      </w:r>
      <w:r w:rsidR="00786A96" w:rsidRPr="00786A96">
        <w:rPr>
          <w:rFonts w:ascii="Times New Roman" w:eastAsia="Times New Roman" w:hAnsi="Times New Roman" w:cs="Times New Roman"/>
          <w:sz w:val="26"/>
          <w:szCs w:val="26"/>
        </w:rPr>
        <w:t>unauthorized switching allegations stemmed from NRG Home’s marketing activities at public retail locations where</w:t>
      </w:r>
      <w:r w:rsidR="00786A96">
        <w:rPr>
          <w:rFonts w:ascii="Times New Roman" w:eastAsia="Times New Roman" w:hAnsi="Times New Roman" w:cs="Times New Roman"/>
          <w:sz w:val="26"/>
          <w:szCs w:val="26"/>
        </w:rPr>
        <w:t xml:space="preserve"> </w:t>
      </w:r>
      <w:r w:rsidR="00786A96" w:rsidRPr="00786A96">
        <w:rPr>
          <w:rFonts w:ascii="Times New Roman" w:eastAsia="Times New Roman" w:hAnsi="Times New Roman" w:cs="Times New Roman"/>
          <w:sz w:val="26"/>
          <w:szCs w:val="26"/>
        </w:rPr>
        <w:t>NRG Home agents were utilizing the ECL to obtain the information of prospective customers.)</w:t>
      </w:r>
      <w:r w:rsidR="00001B6F">
        <w:rPr>
          <w:rFonts w:ascii="Times New Roman" w:eastAsia="Times New Roman" w:hAnsi="Times New Roman" w:cs="Times New Roman"/>
          <w:sz w:val="26"/>
          <w:szCs w:val="26"/>
        </w:rPr>
        <w:t>)</w:t>
      </w:r>
      <w:r w:rsidR="00786A96">
        <w:rPr>
          <w:rFonts w:ascii="Times New Roman" w:eastAsia="Times New Roman" w:hAnsi="Times New Roman" w:cs="Times New Roman"/>
          <w:sz w:val="26"/>
          <w:szCs w:val="26"/>
        </w:rPr>
        <w:t>.</w:t>
      </w:r>
      <w:r w:rsidR="000B0A5F">
        <w:rPr>
          <w:rFonts w:ascii="Times New Roman" w:eastAsia="Times New Roman" w:hAnsi="Times New Roman" w:cs="Times New Roman"/>
          <w:sz w:val="26"/>
          <w:szCs w:val="26"/>
        </w:rPr>
        <w:t xml:space="preserve">  Therefore, </w:t>
      </w:r>
      <w:r w:rsidR="007F55C6">
        <w:rPr>
          <w:rFonts w:ascii="Times New Roman" w:eastAsia="Times New Roman" w:hAnsi="Times New Roman" w:cs="Times New Roman"/>
          <w:sz w:val="26"/>
          <w:szCs w:val="26"/>
        </w:rPr>
        <w:t>the OCA submits that “it may well be time for the Commission to reexamine use of the ECL by suppliers to ensure that proper safeguards are in place to prevent misuse of customer data in the future.</w:t>
      </w:r>
      <w:r w:rsidR="00E14059">
        <w:rPr>
          <w:rFonts w:ascii="Times New Roman" w:eastAsia="Times New Roman" w:hAnsi="Times New Roman" w:cs="Times New Roman"/>
          <w:sz w:val="26"/>
          <w:szCs w:val="26"/>
        </w:rPr>
        <w:t>”</w:t>
      </w:r>
      <w:r w:rsidR="007F55C6">
        <w:rPr>
          <w:rFonts w:ascii="Times New Roman" w:eastAsia="Times New Roman" w:hAnsi="Times New Roman" w:cs="Times New Roman"/>
          <w:sz w:val="26"/>
          <w:szCs w:val="26"/>
        </w:rPr>
        <w:t xml:space="preserve">  </w:t>
      </w:r>
      <w:r w:rsidR="007F55C6" w:rsidRPr="007F55C6">
        <w:rPr>
          <w:rFonts w:ascii="Times New Roman" w:eastAsia="Times New Roman" w:hAnsi="Times New Roman" w:cs="Times New Roman"/>
          <w:i/>
          <w:iCs/>
          <w:sz w:val="26"/>
          <w:szCs w:val="26"/>
        </w:rPr>
        <w:t>Id.</w:t>
      </w:r>
      <w:r w:rsidR="007F55C6">
        <w:rPr>
          <w:rFonts w:ascii="Times New Roman" w:eastAsia="Times New Roman" w:hAnsi="Times New Roman" w:cs="Times New Roman"/>
          <w:sz w:val="26"/>
          <w:szCs w:val="26"/>
        </w:rPr>
        <w:t xml:space="preserve"> at 6.</w:t>
      </w:r>
    </w:p>
    <w:p w14:paraId="42C09B6B" w14:textId="33AA0C57" w:rsidR="00F465F7" w:rsidRDefault="00F465F7" w:rsidP="00433B44">
      <w:pPr>
        <w:tabs>
          <w:tab w:val="center" w:pos="720"/>
        </w:tabs>
        <w:suppressAutoHyphens/>
        <w:spacing w:after="0" w:line="360" w:lineRule="auto"/>
        <w:rPr>
          <w:rFonts w:ascii="Times New Roman" w:eastAsia="Times New Roman" w:hAnsi="Times New Roman" w:cs="Times New Roman"/>
          <w:sz w:val="26"/>
          <w:szCs w:val="26"/>
        </w:rPr>
      </w:pPr>
    </w:p>
    <w:p w14:paraId="1DA833AF" w14:textId="775F61D2" w:rsidR="00D7469A" w:rsidRDefault="00D7294D" w:rsidP="00D7294D">
      <w:pPr>
        <w:pStyle w:val="Heading2"/>
      </w:pPr>
      <w:r>
        <w:t>Disposition</w:t>
      </w:r>
      <w:r w:rsidR="0014742D">
        <w:t xml:space="preserve"> of the OCA’s Comments</w:t>
      </w:r>
    </w:p>
    <w:p w14:paraId="41971ABA" w14:textId="5DBBDEC3" w:rsidR="00D122F9" w:rsidRDefault="00D122F9" w:rsidP="00433B44">
      <w:pPr>
        <w:tabs>
          <w:tab w:val="center" w:pos="720"/>
        </w:tabs>
        <w:suppressAutoHyphens/>
        <w:spacing w:after="0" w:line="360" w:lineRule="auto"/>
        <w:rPr>
          <w:rFonts w:ascii="Times New Roman" w:eastAsia="Times New Roman" w:hAnsi="Times New Roman" w:cs="Times New Roman"/>
          <w:sz w:val="26"/>
          <w:szCs w:val="26"/>
        </w:rPr>
      </w:pPr>
    </w:p>
    <w:p w14:paraId="5AB1D257" w14:textId="5FA88B84" w:rsidR="003A5A17" w:rsidRDefault="003A5A17" w:rsidP="008865C4">
      <w:pPr>
        <w:tabs>
          <w:tab w:val="center" w:pos="720"/>
        </w:tabs>
        <w:suppressAutoHyphens/>
        <w:spacing w:after="0" w:line="360" w:lineRule="auto"/>
        <w:ind w:firstLine="1440"/>
        <w:rPr>
          <w:rFonts w:ascii="Times New Roman" w:eastAsia="Times New Roman" w:hAnsi="Times New Roman" w:cs="Times New Roman"/>
          <w:sz w:val="26"/>
          <w:szCs w:val="26"/>
        </w:rPr>
      </w:pPr>
      <w:r w:rsidRPr="003A5A17">
        <w:rPr>
          <w:rFonts w:ascii="Times New Roman" w:eastAsia="Times New Roman" w:hAnsi="Times New Roman" w:cs="Times New Roman"/>
          <w:sz w:val="26"/>
          <w:szCs w:val="26"/>
        </w:rPr>
        <w:t xml:space="preserve">While we do not have traditional utility ratemaking authority over competitive suppliers, and we do not regulate competitive supply prices, we do have subject matter jurisdiction to regulate aspects of EGS services, including marketing, sales, and billing.  This is so not only under our plenary authority in Section 501 of the Code but also </w:t>
      </w:r>
      <w:r w:rsidR="006A7CCA">
        <w:rPr>
          <w:rFonts w:ascii="Times New Roman" w:eastAsia="Times New Roman" w:hAnsi="Times New Roman" w:cs="Times New Roman"/>
          <w:sz w:val="26"/>
          <w:szCs w:val="26"/>
        </w:rPr>
        <w:t xml:space="preserve">under </w:t>
      </w:r>
      <w:r w:rsidRPr="003A5A17">
        <w:rPr>
          <w:rFonts w:ascii="Times New Roman" w:eastAsia="Times New Roman" w:hAnsi="Times New Roman" w:cs="Times New Roman"/>
          <w:sz w:val="26"/>
          <w:szCs w:val="26"/>
        </w:rPr>
        <w:t>the Competition Act itself</w:t>
      </w:r>
      <w:r w:rsidR="00272601">
        <w:rPr>
          <w:rFonts w:ascii="Times New Roman" w:eastAsia="Times New Roman" w:hAnsi="Times New Roman" w:cs="Times New Roman"/>
          <w:sz w:val="26"/>
          <w:szCs w:val="26"/>
        </w:rPr>
        <w:t xml:space="preserve">.  </w:t>
      </w:r>
      <w:r w:rsidR="00BF3327" w:rsidRPr="00BF3327">
        <w:rPr>
          <w:rFonts w:ascii="Times New Roman" w:eastAsia="Times New Roman" w:hAnsi="Times New Roman" w:cs="Times New Roman"/>
          <w:i/>
          <w:iCs/>
          <w:sz w:val="26"/>
          <w:szCs w:val="26"/>
        </w:rPr>
        <w:t>See</w:t>
      </w:r>
      <w:r w:rsidR="00BF3327">
        <w:rPr>
          <w:rFonts w:ascii="Times New Roman" w:eastAsia="Times New Roman" w:hAnsi="Times New Roman" w:cs="Times New Roman"/>
          <w:sz w:val="26"/>
          <w:szCs w:val="26"/>
        </w:rPr>
        <w:t xml:space="preserve"> </w:t>
      </w:r>
      <w:r w:rsidR="00BF3327" w:rsidRPr="00BF3327">
        <w:rPr>
          <w:rFonts w:ascii="Times New Roman" w:eastAsia="Times New Roman" w:hAnsi="Times New Roman" w:cs="Times New Roman"/>
          <w:sz w:val="26"/>
          <w:szCs w:val="26"/>
        </w:rPr>
        <w:t>66 Pa. C.S. §</w:t>
      </w:r>
      <w:r w:rsidR="00BF3327">
        <w:rPr>
          <w:rFonts w:ascii="Times New Roman" w:eastAsia="Times New Roman" w:hAnsi="Times New Roman" w:cs="Times New Roman"/>
          <w:sz w:val="26"/>
          <w:szCs w:val="26"/>
        </w:rPr>
        <w:t xml:space="preserve"> 501;</w:t>
      </w:r>
      <w:r w:rsidR="00272601">
        <w:rPr>
          <w:rFonts w:ascii="Times New Roman" w:eastAsia="Times New Roman" w:hAnsi="Times New Roman" w:cs="Times New Roman"/>
          <w:sz w:val="26"/>
          <w:szCs w:val="26"/>
        </w:rPr>
        <w:t xml:space="preserve"> </w:t>
      </w:r>
      <w:r w:rsidR="00272601" w:rsidRPr="00272601">
        <w:rPr>
          <w:rFonts w:ascii="Times New Roman" w:eastAsia="Times New Roman" w:hAnsi="Times New Roman" w:cs="Times New Roman"/>
          <w:sz w:val="26"/>
          <w:szCs w:val="26"/>
        </w:rPr>
        <w:t>Electricity Generation Customer Choice and Competition Act, Act 138 of 1996, as amended by Act</w:t>
      </w:r>
      <w:r w:rsidR="003564B3">
        <w:rPr>
          <w:rFonts w:ascii="Times New Roman" w:eastAsia="Times New Roman" w:hAnsi="Times New Roman" w:cs="Times New Roman"/>
          <w:sz w:val="26"/>
          <w:szCs w:val="26"/>
        </w:rPr>
        <w:t> </w:t>
      </w:r>
      <w:r w:rsidR="00272601" w:rsidRPr="00272601">
        <w:rPr>
          <w:rFonts w:ascii="Times New Roman" w:eastAsia="Times New Roman" w:hAnsi="Times New Roman" w:cs="Times New Roman"/>
          <w:sz w:val="26"/>
          <w:szCs w:val="26"/>
        </w:rPr>
        <w:t>129 of 2008, 66 Pa. C.S. §§ 2801-2815</w:t>
      </w:r>
      <w:r w:rsidR="00272601">
        <w:rPr>
          <w:rFonts w:ascii="Times New Roman" w:eastAsia="Times New Roman" w:hAnsi="Times New Roman" w:cs="Times New Roman"/>
          <w:sz w:val="26"/>
          <w:szCs w:val="26"/>
        </w:rPr>
        <w:t xml:space="preserve"> (Competition Act).</w:t>
      </w:r>
      <w:r w:rsidR="006A7CCA">
        <w:rPr>
          <w:rFonts w:ascii="Times New Roman" w:eastAsia="Times New Roman" w:hAnsi="Times New Roman" w:cs="Times New Roman"/>
          <w:sz w:val="26"/>
          <w:szCs w:val="26"/>
        </w:rPr>
        <w:t xml:space="preserve">  This</w:t>
      </w:r>
      <w:r w:rsidR="00D908F3">
        <w:rPr>
          <w:rFonts w:ascii="Times New Roman" w:eastAsia="Times New Roman" w:hAnsi="Times New Roman" w:cs="Times New Roman"/>
          <w:sz w:val="26"/>
          <w:szCs w:val="26"/>
        </w:rPr>
        <w:t xml:space="preserve"> authority</w:t>
      </w:r>
      <w:r w:rsidR="006A7CCA">
        <w:rPr>
          <w:rFonts w:ascii="Times New Roman" w:eastAsia="Times New Roman" w:hAnsi="Times New Roman" w:cs="Times New Roman"/>
          <w:sz w:val="26"/>
          <w:szCs w:val="26"/>
        </w:rPr>
        <w:t xml:space="preserve"> includes</w:t>
      </w:r>
      <w:r w:rsidR="00FD5F48">
        <w:rPr>
          <w:rFonts w:ascii="Times New Roman" w:eastAsia="Times New Roman" w:hAnsi="Times New Roman" w:cs="Times New Roman"/>
          <w:sz w:val="26"/>
          <w:szCs w:val="26"/>
        </w:rPr>
        <w:t xml:space="preserve"> approving the voluntary issuance of refunds agreed to by an EGS </w:t>
      </w:r>
      <w:r w:rsidR="00E414B2">
        <w:rPr>
          <w:rFonts w:ascii="Times New Roman" w:eastAsia="Times New Roman" w:hAnsi="Times New Roman" w:cs="Times New Roman"/>
          <w:sz w:val="26"/>
          <w:szCs w:val="26"/>
        </w:rPr>
        <w:t>in the context of a comprehensive settlement</w:t>
      </w:r>
      <w:r w:rsidR="005211EF">
        <w:rPr>
          <w:rFonts w:ascii="Times New Roman" w:eastAsia="Times New Roman" w:hAnsi="Times New Roman" w:cs="Times New Roman"/>
          <w:sz w:val="26"/>
          <w:szCs w:val="26"/>
        </w:rPr>
        <w:t>, consisting of terms and conditions that are</w:t>
      </w:r>
      <w:r w:rsidR="00DD6642">
        <w:rPr>
          <w:rFonts w:ascii="Times New Roman" w:eastAsia="Times New Roman" w:hAnsi="Times New Roman" w:cs="Times New Roman"/>
          <w:sz w:val="26"/>
          <w:szCs w:val="26"/>
        </w:rPr>
        <w:t xml:space="preserve"> deemed to be</w:t>
      </w:r>
      <w:r w:rsidR="005211EF">
        <w:rPr>
          <w:rFonts w:ascii="Times New Roman" w:eastAsia="Times New Roman" w:hAnsi="Times New Roman" w:cs="Times New Roman"/>
          <w:sz w:val="26"/>
          <w:szCs w:val="26"/>
        </w:rPr>
        <w:t xml:space="preserve"> in the public interest.  </w:t>
      </w:r>
    </w:p>
    <w:p w14:paraId="7729FCB8" w14:textId="2DF35D80" w:rsidR="003A5A17" w:rsidRDefault="003A5A17" w:rsidP="008865C4">
      <w:pPr>
        <w:tabs>
          <w:tab w:val="center" w:pos="720"/>
        </w:tabs>
        <w:suppressAutoHyphens/>
        <w:spacing w:after="0" w:line="360" w:lineRule="auto"/>
        <w:ind w:firstLine="1440"/>
        <w:rPr>
          <w:rFonts w:ascii="Times New Roman" w:eastAsia="Times New Roman" w:hAnsi="Times New Roman" w:cs="Times New Roman"/>
          <w:sz w:val="26"/>
          <w:szCs w:val="26"/>
        </w:rPr>
      </w:pPr>
    </w:p>
    <w:p w14:paraId="1340CE46" w14:textId="5A875E1A" w:rsidR="00A339CF" w:rsidRDefault="00AE36CD" w:rsidP="00A339CF">
      <w:pPr>
        <w:tabs>
          <w:tab w:val="center" w:pos="72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As previously indicated, t</w:t>
      </w:r>
      <w:r w:rsidR="00A339CF" w:rsidRPr="00A339CF">
        <w:rPr>
          <w:rFonts w:ascii="Times New Roman" w:eastAsia="Times New Roman" w:hAnsi="Times New Roman" w:cs="Times New Roman"/>
          <w:sz w:val="26"/>
          <w:szCs w:val="26"/>
        </w:rPr>
        <w:t xml:space="preserve">o determine whether the Settlement should be approved, we must decide whether the proposed terms and conditions are in the public interest.  </w:t>
      </w:r>
      <w:r w:rsidR="00A339CF" w:rsidRPr="00A339CF">
        <w:rPr>
          <w:rFonts w:ascii="Times New Roman" w:eastAsia="Times New Roman" w:hAnsi="Times New Roman" w:cs="Times New Roman"/>
          <w:i/>
          <w:sz w:val="26"/>
          <w:szCs w:val="26"/>
        </w:rPr>
        <w:t>See, e.g.,</w:t>
      </w:r>
      <w:r w:rsidR="00A339CF" w:rsidRPr="00A339CF">
        <w:rPr>
          <w:rFonts w:ascii="Times New Roman" w:eastAsia="Times New Roman" w:hAnsi="Times New Roman" w:cs="Times New Roman"/>
          <w:sz w:val="26"/>
          <w:szCs w:val="26"/>
        </w:rPr>
        <w:t xml:space="preserve"> </w:t>
      </w:r>
      <w:r w:rsidR="00AA0347" w:rsidRPr="00AA0347">
        <w:rPr>
          <w:rFonts w:ascii="Times New Roman" w:eastAsia="Times New Roman" w:hAnsi="Times New Roman" w:cs="Times New Roman"/>
          <w:i/>
          <w:sz w:val="26"/>
          <w:szCs w:val="26"/>
        </w:rPr>
        <w:t>Pa. PUC v. York Water Co</w:t>
      </w:r>
      <w:r w:rsidR="00AA0347" w:rsidRPr="00AA0347">
        <w:rPr>
          <w:rFonts w:ascii="Times New Roman" w:eastAsia="Times New Roman" w:hAnsi="Times New Roman" w:cs="Times New Roman"/>
          <w:sz w:val="26"/>
          <w:szCs w:val="26"/>
        </w:rPr>
        <w:t xml:space="preserve">., Docket No. R-00049165 (Order entered October 4, 2004); </w:t>
      </w:r>
      <w:r w:rsidR="00AA0347" w:rsidRPr="00AA0347">
        <w:rPr>
          <w:rFonts w:ascii="Times New Roman" w:eastAsia="Times New Roman" w:hAnsi="Times New Roman" w:cs="Times New Roman"/>
          <w:i/>
          <w:sz w:val="26"/>
          <w:szCs w:val="26"/>
        </w:rPr>
        <w:t>Pa. PUC v. C.S. Water and Sewer Assocs.</w:t>
      </w:r>
      <w:r w:rsidR="00AA0347" w:rsidRPr="00AA0347">
        <w:rPr>
          <w:rFonts w:ascii="Times New Roman" w:eastAsia="Times New Roman" w:hAnsi="Times New Roman" w:cs="Times New Roman"/>
          <w:sz w:val="26"/>
          <w:szCs w:val="26"/>
        </w:rPr>
        <w:t xml:space="preserve">, 74 Pa. P.U.C. 767 (1991); </w:t>
      </w:r>
      <w:r w:rsidR="00AA0347" w:rsidRPr="00AA0347">
        <w:rPr>
          <w:rFonts w:ascii="Times New Roman" w:eastAsia="Times New Roman" w:hAnsi="Times New Roman" w:cs="Times New Roman"/>
          <w:i/>
          <w:sz w:val="26"/>
          <w:szCs w:val="26"/>
        </w:rPr>
        <w:t>Pa. PUC LBPS v. PPL Utilities Corporation</w:t>
      </w:r>
      <w:r w:rsidR="00AA0347" w:rsidRPr="00AA0347">
        <w:rPr>
          <w:rFonts w:ascii="Times New Roman" w:eastAsia="Times New Roman" w:hAnsi="Times New Roman" w:cs="Times New Roman"/>
          <w:sz w:val="26"/>
          <w:szCs w:val="26"/>
        </w:rPr>
        <w:t xml:space="preserve">, Docket No. M-2009-2058182 (Order entered November 23, 2009); </w:t>
      </w:r>
      <w:r w:rsidR="00AA0347" w:rsidRPr="00AA0347">
        <w:rPr>
          <w:rFonts w:ascii="Times New Roman" w:eastAsia="Times New Roman" w:hAnsi="Times New Roman" w:cs="Times New Roman"/>
          <w:i/>
          <w:sz w:val="26"/>
          <w:szCs w:val="26"/>
        </w:rPr>
        <w:t>Pa. PUC v. Phila. Gas Works</w:t>
      </w:r>
      <w:r w:rsidR="00AA0347" w:rsidRPr="00AA0347">
        <w:rPr>
          <w:rFonts w:ascii="Times New Roman" w:eastAsia="Times New Roman" w:hAnsi="Times New Roman" w:cs="Times New Roman"/>
          <w:sz w:val="26"/>
          <w:szCs w:val="26"/>
        </w:rPr>
        <w:t xml:space="preserve">, Docket No. M-00031768 (Order entered January 7, 2004); </w:t>
      </w:r>
      <w:r w:rsidR="00AA0347" w:rsidRPr="00AA0347">
        <w:rPr>
          <w:rFonts w:ascii="Times New Roman" w:eastAsia="Times New Roman" w:hAnsi="Times New Roman" w:cs="Times New Roman"/>
          <w:i/>
          <w:sz w:val="26"/>
          <w:szCs w:val="26"/>
        </w:rPr>
        <w:t>Warner v. GTE North, Inc</w:t>
      </w:r>
      <w:r w:rsidR="00AA0347" w:rsidRPr="00AA0347">
        <w:rPr>
          <w:rFonts w:ascii="Times New Roman" w:eastAsia="Times New Roman" w:hAnsi="Times New Roman" w:cs="Times New Roman"/>
          <w:sz w:val="26"/>
          <w:szCs w:val="26"/>
        </w:rPr>
        <w:t>., Docket No. C-00902815 (Order entered April 1, 1996); 52 Pa. Code § 69.1201</w:t>
      </w:r>
      <w:r w:rsidR="00AA0347">
        <w:rPr>
          <w:rFonts w:ascii="Times New Roman" w:eastAsia="Times New Roman" w:hAnsi="Times New Roman" w:cs="Times New Roman"/>
          <w:sz w:val="26"/>
          <w:szCs w:val="26"/>
        </w:rPr>
        <w:t>.</w:t>
      </w:r>
      <w:r w:rsidR="00A339CF" w:rsidRPr="00A339CF">
        <w:rPr>
          <w:rFonts w:ascii="Times New Roman" w:eastAsia="Times New Roman" w:hAnsi="Times New Roman" w:cs="Times New Roman"/>
          <w:sz w:val="26"/>
          <w:szCs w:val="26"/>
        </w:rPr>
        <w:t xml:space="preserve">  Our assessment of the benefits of the terms and conditions meeting the criteria of what is in the public interest need not be quantifiable.  </w:t>
      </w:r>
      <w:r w:rsidR="00AA0347" w:rsidRPr="00AA0347">
        <w:rPr>
          <w:rFonts w:ascii="Times New Roman" w:eastAsia="Times New Roman" w:hAnsi="Times New Roman" w:cs="Times New Roman"/>
          <w:i/>
          <w:sz w:val="26"/>
          <w:szCs w:val="26"/>
        </w:rPr>
        <w:t>Popowsky v. Pa. PUC</w:t>
      </w:r>
      <w:r w:rsidR="00AA0347" w:rsidRPr="00AA0347">
        <w:rPr>
          <w:rFonts w:ascii="Times New Roman" w:eastAsia="Times New Roman" w:hAnsi="Times New Roman" w:cs="Times New Roman"/>
          <w:sz w:val="26"/>
          <w:szCs w:val="26"/>
        </w:rPr>
        <w:t>, 594 Pa. 583, 937 A.2d 1040 (2007)</w:t>
      </w:r>
      <w:r w:rsidR="00AA0347" w:rsidRPr="00AA0347">
        <w:rPr>
          <w:rFonts w:ascii="Times New Roman" w:eastAsia="Calibri" w:hAnsi="Times New Roman" w:cs="Times New Roman"/>
          <w:sz w:val="26"/>
        </w:rPr>
        <w:t xml:space="preserve"> </w:t>
      </w:r>
      <w:r w:rsidR="00AA0347" w:rsidRPr="00AA0347">
        <w:rPr>
          <w:rFonts w:ascii="Times New Roman" w:eastAsia="Times New Roman" w:hAnsi="Times New Roman" w:cs="Times New Roman"/>
          <w:sz w:val="26"/>
          <w:szCs w:val="26"/>
        </w:rPr>
        <w:t>(“substantial” public interest standard discussed in the context of a merger reviewed under Section 1103 of the Code, 66 Pa. C.S. § 1103)</w:t>
      </w:r>
      <w:r w:rsidR="00A339CF" w:rsidRPr="00A339CF">
        <w:rPr>
          <w:rFonts w:ascii="Times New Roman" w:eastAsia="Times New Roman" w:hAnsi="Times New Roman" w:cs="Times New Roman"/>
          <w:sz w:val="26"/>
          <w:szCs w:val="26"/>
        </w:rPr>
        <w:t>.</w:t>
      </w:r>
      <w:r w:rsidR="00AA0347">
        <w:rPr>
          <w:rFonts w:ascii="Times New Roman" w:eastAsia="Times New Roman" w:hAnsi="Times New Roman" w:cs="Times New Roman"/>
          <w:sz w:val="26"/>
          <w:szCs w:val="26"/>
        </w:rPr>
        <w:t xml:space="preserve">  </w:t>
      </w:r>
      <w:r w:rsidR="00A339CF" w:rsidRPr="00A339CF">
        <w:rPr>
          <w:rFonts w:ascii="Times New Roman" w:eastAsia="Times New Roman" w:hAnsi="Times New Roman" w:cs="Times New Roman"/>
          <w:sz w:val="26"/>
          <w:szCs w:val="26"/>
        </w:rPr>
        <w:t xml:space="preserve">We must, as the circumstances dictate, exercise our informed </w:t>
      </w:r>
      <w:r w:rsidR="00AA0347" w:rsidRPr="00A339CF">
        <w:rPr>
          <w:rFonts w:ascii="Times New Roman" w:eastAsia="Times New Roman" w:hAnsi="Times New Roman" w:cs="Times New Roman"/>
          <w:sz w:val="26"/>
          <w:szCs w:val="26"/>
        </w:rPr>
        <w:t>judgment,</w:t>
      </w:r>
      <w:r w:rsidR="00A339CF" w:rsidRPr="00A339CF">
        <w:rPr>
          <w:rFonts w:ascii="Times New Roman" w:eastAsia="Times New Roman" w:hAnsi="Times New Roman" w:cs="Times New Roman"/>
          <w:sz w:val="26"/>
          <w:szCs w:val="26"/>
        </w:rPr>
        <w:t xml:space="preserve"> and evaluate the public interest </w:t>
      </w:r>
      <w:proofErr w:type="gramStart"/>
      <w:r w:rsidR="00A339CF" w:rsidRPr="00A339CF">
        <w:rPr>
          <w:rFonts w:ascii="Times New Roman" w:eastAsia="Times New Roman" w:hAnsi="Times New Roman" w:cs="Times New Roman"/>
          <w:sz w:val="26"/>
          <w:szCs w:val="26"/>
        </w:rPr>
        <w:t>so as to</w:t>
      </w:r>
      <w:proofErr w:type="gramEnd"/>
      <w:r w:rsidR="00A339CF" w:rsidRPr="00A339CF">
        <w:rPr>
          <w:rFonts w:ascii="Times New Roman" w:eastAsia="Times New Roman" w:hAnsi="Times New Roman" w:cs="Times New Roman"/>
          <w:sz w:val="26"/>
          <w:szCs w:val="26"/>
        </w:rPr>
        <w:t xml:space="preserve"> take into consideration the various interests and concerns of the stakeholders involved.  </w:t>
      </w:r>
      <w:r w:rsidR="00A339CF" w:rsidRPr="00A339CF">
        <w:rPr>
          <w:rFonts w:ascii="Times New Roman" w:eastAsia="Times New Roman" w:hAnsi="Times New Roman" w:cs="Times New Roman"/>
          <w:i/>
          <w:sz w:val="26"/>
          <w:szCs w:val="26"/>
        </w:rPr>
        <w:t>Id</w:t>
      </w:r>
      <w:r w:rsidR="00A339CF" w:rsidRPr="00A339CF">
        <w:rPr>
          <w:rFonts w:ascii="Times New Roman" w:eastAsia="Times New Roman" w:hAnsi="Times New Roman" w:cs="Times New Roman"/>
          <w:sz w:val="26"/>
          <w:szCs w:val="26"/>
        </w:rPr>
        <w:t>.</w:t>
      </w:r>
    </w:p>
    <w:p w14:paraId="6C5BF355" w14:textId="1E92E763" w:rsidR="006D61C5" w:rsidRDefault="006D61C5" w:rsidP="00A339CF">
      <w:pPr>
        <w:tabs>
          <w:tab w:val="center" w:pos="720"/>
        </w:tabs>
        <w:suppressAutoHyphens/>
        <w:spacing w:after="0" w:line="360" w:lineRule="auto"/>
        <w:ind w:firstLine="1440"/>
        <w:rPr>
          <w:rFonts w:ascii="Times New Roman" w:eastAsia="Times New Roman" w:hAnsi="Times New Roman" w:cs="Times New Roman"/>
          <w:sz w:val="26"/>
          <w:szCs w:val="26"/>
        </w:rPr>
      </w:pPr>
    </w:p>
    <w:p w14:paraId="04C37CD6" w14:textId="116B84D5" w:rsidR="006D61C5" w:rsidRDefault="006D61C5" w:rsidP="00A339CF">
      <w:pPr>
        <w:tabs>
          <w:tab w:val="center" w:pos="72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Furthermore, t</w:t>
      </w:r>
      <w:r w:rsidRPr="006D61C5">
        <w:rPr>
          <w:rFonts w:ascii="Times New Roman" w:eastAsia="Times New Roman" w:hAnsi="Times New Roman" w:cs="Times New Roman"/>
          <w:sz w:val="26"/>
          <w:szCs w:val="26"/>
        </w:rPr>
        <w:t xml:space="preserve">he Commission’s authority to review settlements for approval that are in the public interest, includes the authority to </w:t>
      </w:r>
      <w:r w:rsidRPr="006D61C5">
        <w:rPr>
          <w:rFonts w:ascii="Times New Roman" w:eastAsia="Times New Roman" w:hAnsi="Times New Roman" w:cs="Times New Roman"/>
          <w:i/>
          <w:iCs/>
          <w:sz w:val="26"/>
          <w:szCs w:val="26"/>
        </w:rPr>
        <w:t>sua sponte</w:t>
      </w:r>
      <w:r w:rsidRPr="006D61C5">
        <w:rPr>
          <w:rFonts w:ascii="Times New Roman" w:eastAsia="Times New Roman" w:hAnsi="Times New Roman" w:cs="Times New Roman"/>
          <w:sz w:val="26"/>
          <w:szCs w:val="26"/>
        </w:rPr>
        <w:t xml:space="preserve"> modify the terms of the settlement where the Commission deems it reasonable and necessary in the public interest.  </w:t>
      </w:r>
      <w:r w:rsidRPr="006D61C5">
        <w:rPr>
          <w:rFonts w:ascii="Times New Roman" w:eastAsia="Times New Roman" w:hAnsi="Times New Roman" w:cs="Times New Roman"/>
          <w:i/>
          <w:iCs/>
          <w:sz w:val="26"/>
          <w:szCs w:val="26"/>
        </w:rPr>
        <w:t>See, e.g., Pa. PUC v. West Penn Power</w:t>
      </w:r>
      <w:r w:rsidRPr="006D61C5">
        <w:rPr>
          <w:rFonts w:ascii="Times New Roman" w:eastAsia="Times New Roman" w:hAnsi="Times New Roman" w:cs="Times New Roman"/>
          <w:sz w:val="26"/>
          <w:szCs w:val="26"/>
        </w:rPr>
        <w:t>, Docket No. C-2012-2307244 (Order entered January 9, 2014)</w:t>
      </w:r>
      <w:r w:rsidR="00897B42">
        <w:rPr>
          <w:rFonts w:ascii="Times New Roman" w:eastAsia="Times New Roman" w:hAnsi="Times New Roman" w:cs="Times New Roman"/>
          <w:sz w:val="26"/>
          <w:szCs w:val="26"/>
        </w:rPr>
        <w:t xml:space="preserve"> (</w:t>
      </w:r>
      <w:r w:rsidR="00897B42" w:rsidRPr="00897B42">
        <w:rPr>
          <w:rFonts w:ascii="Times New Roman" w:eastAsia="Times New Roman" w:hAnsi="Times New Roman" w:cs="Times New Roman"/>
          <w:i/>
          <w:iCs/>
          <w:sz w:val="26"/>
          <w:szCs w:val="26"/>
        </w:rPr>
        <w:t>West Penn</w:t>
      </w:r>
      <w:r w:rsidR="00897B42">
        <w:rPr>
          <w:rFonts w:ascii="Times New Roman" w:eastAsia="Times New Roman" w:hAnsi="Times New Roman" w:cs="Times New Roman"/>
          <w:sz w:val="26"/>
          <w:szCs w:val="26"/>
        </w:rPr>
        <w:t>)</w:t>
      </w:r>
      <w:r w:rsidRPr="006D61C5">
        <w:rPr>
          <w:rFonts w:ascii="Times New Roman" w:eastAsia="Times New Roman" w:hAnsi="Times New Roman" w:cs="Times New Roman"/>
          <w:sz w:val="26"/>
          <w:szCs w:val="26"/>
        </w:rPr>
        <w:t>.</w:t>
      </w:r>
    </w:p>
    <w:p w14:paraId="312E30F0" w14:textId="365DC63E" w:rsidR="00AA0347" w:rsidRDefault="00AA0347" w:rsidP="00A339CF">
      <w:pPr>
        <w:tabs>
          <w:tab w:val="center" w:pos="720"/>
        </w:tabs>
        <w:suppressAutoHyphens/>
        <w:spacing w:after="0" w:line="360" w:lineRule="auto"/>
        <w:ind w:firstLine="1440"/>
        <w:rPr>
          <w:rFonts w:ascii="Times New Roman" w:eastAsia="Times New Roman" w:hAnsi="Times New Roman" w:cs="Times New Roman"/>
          <w:sz w:val="26"/>
          <w:szCs w:val="26"/>
        </w:rPr>
      </w:pPr>
    </w:p>
    <w:p w14:paraId="5B5949FF" w14:textId="77777777" w:rsidR="003C7AE0" w:rsidRPr="003C7AE0" w:rsidRDefault="003C7AE0" w:rsidP="003C7AE0">
      <w:pPr>
        <w:tabs>
          <w:tab w:val="center" w:pos="720"/>
        </w:tabs>
        <w:suppressAutoHyphens/>
        <w:spacing w:after="0" w:line="360" w:lineRule="auto"/>
        <w:ind w:firstLine="1440"/>
        <w:rPr>
          <w:rFonts w:ascii="Times New Roman" w:eastAsia="Times New Roman" w:hAnsi="Times New Roman" w:cs="Times New Roman"/>
          <w:sz w:val="26"/>
          <w:szCs w:val="26"/>
        </w:rPr>
      </w:pPr>
      <w:r w:rsidRPr="003C7AE0">
        <w:rPr>
          <w:rFonts w:ascii="Times New Roman" w:eastAsia="Times New Roman" w:hAnsi="Times New Roman" w:cs="Times New Roman"/>
          <w:sz w:val="26"/>
          <w:szCs w:val="26"/>
        </w:rPr>
        <w:t xml:space="preserve">In addressing the OCA’s comments, we are mindful that the proposed Settlement before us for review and approval in the public interest involves allegations of violations of </w:t>
      </w:r>
      <w:proofErr w:type="gramStart"/>
      <w:r w:rsidRPr="003C7AE0">
        <w:rPr>
          <w:rFonts w:ascii="Times New Roman" w:eastAsia="Times New Roman" w:hAnsi="Times New Roman" w:cs="Times New Roman"/>
          <w:sz w:val="26"/>
          <w:szCs w:val="26"/>
        </w:rPr>
        <w:t>statutorily-prescribed</w:t>
      </w:r>
      <w:proofErr w:type="gramEnd"/>
      <w:r w:rsidRPr="003C7AE0">
        <w:rPr>
          <w:rFonts w:ascii="Times New Roman" w:eastAsia="Times New Roman" w:hAnsi="Times New Roman" w:cs="Times New Roman"/>
          <w:sz w:val="26"/>
          <w:szCs w:val="26"/>
        </w:rPr>
        <w:t xml:space="preserve"> consumer protections.  We are also cognizant of the fact that the Parties to this proceeding have engaged in lengthy negotiations to resolve these serious issues which are encompassed by the Settlement terms.  Both I&amp;E and Green Mountain have expressed their support for the positive outcomes achieved by the proposed Settlement, which the Parties assert “…avoids the time and expense of litigation, which entails hearings, travel for the Company’s witnesses, and the preparation and filing of briefs, exceptions, </w:t>
      </w:r>
      <w:proofErr w:type="gramStart"/>
      <w:r w:rsidRPr="003C7AE0">
        <w:rPr>
          <w:rFonts w:ascii="Times New Roman" w:eastAsia="Times New Roman" w:hAnsi="Times New Roman" w:cs="Times New Roman"/>
          <w:sz w:val="26"/>
          <w:szCs w:val="26"/>
        </w:rPr>
        <w:t>reply</w:t>
      </w:r>
      <w:proofErr w:type="gramEnd"/>
      <w:r w:rsidRPr="003C7AE0">
        <w:rPr>
          <w:rFonts w:ascii="Times New Roman" w:eastAsia="Times New Roman" w:hAnsi="Times New Roman" w:cs="Times New Roman"/>
          <w:sz w:val="26"/>
          <w:szCs w:val="26"/>
        </w:rPr>
        <w:t xml:space="preserve"> exceptions, as well as possible appeals.”  Joint Petition at ¶ 32.  </w:t>
      </w:r>
    </w:p>
    <w:p w14:paraId="1F57BF1C" w14:textId="77777777" w:rsidR="003C7AE0" w:rsidRDefault="003C7AE0" w:rsidP="003C7AE0">
      <w:pPr>
        <w:tabs>
          <w:tab w:val="center" w:pos="720"/>
        </w:tabs>
        <w:suppressAutoHyphens/>
        <w:spacing w:after="0" w:line="360" w:lineRule="auto"/>
        <w:rPr>
          <w:rFonts w:ascii="Times New Roman" w:eastAsia="Times New Roman" w:hAnsi="Times New Roman" w:cs="Times New Roman"/>
          <w:sz w:val="26"/>
          <w:szCs w:val="26"/>
        </w:rPr>
      </w:pPr>
    </w:p>
    <w:p w14:paraId="47A8FA57" w14:textId="5B6D88D1" w:rsidR="00855E51" w:rsidRDefault="00855E51" w:rsidP="00515C37">
      <w:pPr>
        <w:tabs>
          <w:tab w:val="center" w:pos="72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OCA comments that the proposed Settlement should be modified </w:t>
      </w:r>
      <w:proofErr w:type="gramStart"/>
      <w:r>
        <w:rPr>
          <w:rFonts w:ascii="Times New Roman" w:eastAsia="Times New Roman" w:hAnsi="Times New Roman" w:cs="Times New Roman"/>
          <w:sz w:val="26"/>
          <w:szCs w:val="26"/>
        </w:rPr>
        <w:t>in order to</w:t>
      </w:r>
      <w:proofErr w:type="gramEnd"/>
      <w:r>
        <w:rPr>
          <w:rFonts w:ascii="Times New Roman" w:eastAsia="Times New Roman" w:hAnsi="Times New Roman" w:cs="Times New Roman"/>
          <w:sz w:val="26"/>
          <w:szCs w:val="26"/>
        </w:rPr>
        <w:t xml:space="preserve"> clarify the process for which Green Mountain is to issue refunds to the affected customers</w:t>
      </w:r>
      <w:r w:rsidR="00FA4162">
        <w:rPr>
          <w:rFonts w:ascii="Times New Roman" w:eastAsia="Times New Roman" w:hAnsi="Times New Roman" w:cs="Times New Roman"/>
          <w:sz w:val="26"/>
          <w:szCs w:val="26"/>
        </w:rPr>
        <w:t xml:space="preserve"> and ensure that the affected customers are properly receiving the refunds.  OCA Comments at 4-5.  </w:t>
      </w:r>
      <w:r w:rsidR="00515C37">
        <w:rPr>
          <w:rFonts w:ascii="Times New Roman" w:eastAsia="Times New Roman" w:hAnsi="Times New Roman" w:cs="Times New Roman"/>
          <w:sz w:val="26"/>
          <w:szCs w:val="26"/>
        </w:rPr>
        <w:t>Therefore, as the agency responsible for reviewing and approving a Settlement in the public interest, it is within our authority and therefore, is our duty, where possible to require reasonable and necessary provisions to assure transparency of the procedures used</w:t>
      </w:r>
      <w:r w:rsidR="004E3BEC">
        <w:rPr>
          <w:rFonts w:ascii="Times New Roman" w:eastAsia="Times New Roman" w:hAnsi="Times New Roman" w:cs="Times New Roman"/>
          <w:sz w:val="26"/>
          <w:szCs w:val="26"/>
        </w:rPr>
        <w:t xml:space="preserve"> to</w:t>
      </w:r>
      <w:r w:rsidR="00515C37">
        <w:rPr>
          <w:rFonts w:ascii="Times New Roman" w:eastAsia="Times New Roman" w:hAnsi="Times New Roman" w:cs="Times New Roman"/>
          <w:sz w:val="26"/>
          <w:szCs w:val="26"/>
        </w:rPr>
        <w:t xml:space="preserve"> facilitate the refunds to all affected customers.  </w:t>
      </w:r>
      <w:r w:rsidR="00FA4162">
        <w:rPr>
          <w:rFonts w:ascii="Times New Roman" w:eastAsia="Times New Roman" w:hAnsi="Times New Roman" w:cs="Times New Roman"/>
          <w:sz w:val="26"/>
          <w:szCs w:val="26"/>
        </w:rPr>
        <w:t>We agree</w:t>
      </w:r>
      <w:r w:rsidR="009D0342">
        <w:rPr>
          <w:rFonts w:ascii="Times New Roman" w:eastAsia="Times New Roman" w:hAnsi="Times New Roman" w:cs="Times New Roman"/>
          <w:sz w:val="26"/>
          <w:szCs w:val="26"/>
        </w:rPr>
        <w:t xml:space="preserve"> </w:t>
      </w:r>
      <w:r w:rsidR="00515C37">
        <w:rPr>
          <w:rFonts w:ascii="Times New Roman" w:eastAsia="Times New Roman" w:hAnsi="Times New Roman" w:cs="Times New Roman"/>
          <w:sz w:val="26"/>
          <w:szCs w:val="26"/>
        </w:rPr>
        <w:t xml:space="preserve">with the OCA </w:t>
      </w:r>
      <w:r w:rsidR="009D0342">
        <w:rPr>
          <w:rFonts w:ascii="Times New Roman" w:eastAsia="Times New Roman" w:hAnsi="Times New Roman" w:cs="Times New Roman"/>
          <w:sz w:val="26"/>
          <w:szCs w:val="26"/>
        </w:rPr>
        <w:t xml:space="preserve">and find that this clarification is reasonable and necessary in the public interest for approval of the </w:t>
      </w:r>
      <w:r w:rsidR="009D0342" w:rsidRPr="006B3E36">
        <w:rPr>
          <w:rFonts w:ascii="Times New Roman" w:eastAsia="Times New Roman" w:hAnsi="Times New Roman" w:cs="Times New Roman"/>
          <w:sz w:val="26"/>
          <w:szCs w:val="26"/>
        </w:rPr>
        <w:t xml:space="preserve">Settlement.  </w:t>
      </w:r>
      <w:r w:rsidR="00066971" w:rsidRPr="006B3E36">
        <w:rPr>
          <w:rFonts w:ascii="Times New Roman" w:eastAsia="Times New Roman" w:hAnsi="Times New Roman" w:cs="Times New Roman"/>
          <w:sz w:val="26"/>
          <w:szCs w:val="26"/>
        </w:rPr>
        <w:t>Therefore, we shall adopt the requirement proposed by the OCA’s comments</w:t>
      </w:r>
      <w:r w:rsidR="00851927" w:rsidRPr="006B3E36">
        <w:rPr>
          <w:rFonts w:ascii="Times New Roman" w:eastAsia="Times New Roman" w:hAnsi="Times New Roman" w:cs="Times New Roman"/>
          <w:sz w:val="26"/>
          <w:szCs w:val="26"/>
        </w:rPr>
        <w:t>.</w:t>
      </w:r>
      <w:r w:rsidR="00851927">
        <w:rPr>
          <w:rFonts w:ascii="Times New Roman" w:eastAsia="Times New Roman" w:hAnsi="Times New Roman" w:cs="Times New Roman"/>
          <w:sz w:val="26"/>
          <w:szCs w:val="26"/>
        </w:rPr>
        <w:t xml:space="preserve">  As such, Paragraph 29(B) of the Settlement is modified, in pertinent part, as follows:</w:t>
      </w:r>
    </w:p>
    <w:p w14:paraId="283818C6" w14:textId="699CCA29" w:rsidR="00851927" w:rsidRDefault="00851927" w:rsidP="009B4875">
      <w:pPr>
        <w:tabs>
          <w:tab w:val="center" w:pos="720"/>
        </w:tabs>
        <w:suppressAutoHyphens/>
        <w:spacing w:after="0" w:line="240" w:lineRule="auto"/>
        <w:ind w:firstLine="1440"/>
        <w:rPr>
          <w:rFonts w:ascii="Times New Roman" w:eastAsia="Times New Roman" w:hAnsi="Times New Roman" w:cs="Times New Roman"/>
          <w:sz w:val="26"/>
          <w:szCs w:val="26"/>
        </w:rPr>
      </w:pPr>
    </w:p>
    <w:p w14:paraId="45A5F92A" w14:textId="2A01F538" w:rsidR="00851927" w:rsidRPr="009943D6" w:rsidRDefault="00851927" w:rsidP="00851927">
      <w:pPr>
        <w:spacing w:after="0" w:line="240" w:lineRule="auto"/>
        <w:ind w:left="1440" w:right="1440"/>
        <w:contextualSpacing/>
        <w:rPr>
          <w:rFonts w:ascii="Times New Roman" w:hAnsi="Times New Roman" w:cs="Times New Roman"/>
          <w:sz w:val="26"/>
          <w:szCs w:val="26"/>
        </w:rPr>
      </w:pPr>
      <w:r w:rsidRPr="009943D6">
        <w:rPr>
          <w:rFonts w:ascii="Times New Roman" w:hAnsi="Times New Roman" w:cs="Times New Roman"/>
          <w:sz w:val="26"/>
          <w:szCs w:val="26"/>
        </w:rPr>
        <w:t>B.</w:t>
      </w:r>
      <w:r w:rsidRPr="009943D6">
        <w:rPr>
          <w:rFonts w:ascii="Times New Roman" w:hAnsi="Times New Roman" w:cs="Times New Roman"/>
          <w:sz w:val="26"/>
          <w:szCs w:val="26"/>
        </w:rPr>
        <w:tab/>
        <w:t>Green Mountain will provide to each of the one hundred fifty-six (156) customers a refund for the entire electric generation supply portion on the customer’s bill for the first two (2) billing periods that the customers were switched to Green Mountain, pursuant to 52 Pa. Code § 57.177(b).  Green Mountain will issue the customer refunds within thirty (30) days of the date of the Commission’s Final Order approving the Settlement Agreement.  Pursuant to 52 Pa. Code § 5.591, following payment of the refunds, Green Mountain will file with the Commission a verification acknowledging that all refund payments have been disbursed, satisfying this settlement provision.</w:t>
      </w:r>
      <w:r w:rsidR="00CC0AC2">
        <w:rPr>
          <w:rFonts w:ascii="Times New Roman" w:hAnsi="Times New Roman" w:cs="Times New Roman"/>
          <w:sz w:val="26"/>
          <w:szCs w:val="26"/>
        </w:rPr>
        <w:t xml:space="preserve">  </w:t>
      </w:r>
      <w:bookmarkStart w:id="8" w:name="_Hlk94272641"/>
      <w:r w:rsidR="00CC0AC2" w:rsidRPr="00CC0AC2">
        <w:rPr>
          <w:rFonts w:ascii="Times New Roman" w:hAnsi="Times New Roman" w:cs="Times New Roman"/>
          <w:sz w:val="26"/>
          <w:szCs w:val="26"/>
          <w:u w:val="single"/>
        </w:rPr>
        <w:t xml:space="preserve">The verification will be accompanied by an attachment providing: (1) the number of customers contacted </w:t>
      </w:r>
      <w:proofErr w:type="gramStart"/>
      <w:r w:rsidR="00CC0AC2" w:rsidRPr="00CC0AC2">
        <w:rPr>
          <w:rFonts w:ascii="Times New Roman" w:hAnsi="Times New Roman" w:cs="Times New Roman"/>
          <w:sz w:val="26"/>
          <w:szCs w:val="26"/>
          <w:u w:val="single"/>
        </w:rPr>
        <w:t>in reference to</w:t>
      </w:r>
      <w:proofErr w:type="gramEnd"/>
      <w:r w:rsidR="00CC0AC2" w:rsidRPr="00CC0AC2">
        <w:rPr>
          <w:rFonts w:ascii="Times New Roman" w:hAnsi="Times New Roman" w:cs="Times New Roman"/>
          <w:sz w:val="26"/>
          <w:szCs w:val="26"/>
          <w:u w:val="single"/>
        </w:rPr>
        <w:t xml:space="preserve"> the refund; (2) the total refunded amounts to each customer; and (3) the number of checks sen</w:t>
      </w:r>
      <w:r w:rsidR="004E3BEC">
        <w:rPr>
          <w:rFonts w:ascii="Times New Roman" w:hAnsi="Times New Roman" w:cs="Times New Roman"/>
          <w:sz w:val="26"/>
          <w:szCs w:val="26"/>
          <w:u w:val="single"/>
        </w:rPr>
        <w:t>t</w:t>
      </w:r>
      <w:r w:rsidR="00CC0AC2" w:rsidRPr="00CC0AC2">
        <w:rPr>
          <w:rFonts w:ascii="Times New Roman" w:hAnsi="Times New Roman" w:cs="Times New Roman"/>
          <w:sz w:val="26"/>
          <w:szCs w:val="26"/>
          <w:u w:val="single"/>
        </w:rPr>
        <w:t xml:space="preserve"> to customers that were not cashed, if any.</w:t>
      </w:r>
      <w:bookmarkEnd w:id="8"/>
    </w:p>
    <w:p w14:paraId="4D6779F8" w14:textId="77777777" w:rsidR="001A7A10" w:rsidRDefault="001A7A10" w:rsidP="005E2A6A">
      <w:pPr>
        <w:tabs>
          <w:tab w:val="center" w:pos="720"/>
        </w:tabs>
        <w:suppressAutoHyphens/>
        <w:spacing w:after="0" w:line="480" w:lineRule="auto"/>
        <w:rPr>
          <w:rFonts w:ascii="Times New Roman" w:eastAsia="Times New Roman" w:hAnsi="Times New Roman" w:cs="Times New Roman"/>
          <w:sz w:val="26"/>
          <w:szCs w:val="26"/>
        </w:rPr>
      </w:pPr>
    </w:p>
    <w:p w14:paraId="36DBB100" w14:textId="51A214E0" w:rsidR="00897B42" w:rsidRDefault="00897B42" w:rsidP="008865C4">
      <w:pPr>
        <w:tabs>
          <w:tab w:val="center" w:pos="720"/>
        </w:tabs>
        <w:suppressAutoHyphens/>
        <w:spacing w:after="0" w:line="360" w:lineRule="auto"/>
        <w:ind w:firstLine="1440"/>
        <w:rPr>
          <w:rFonts w:ascii="Times New Roman" w:eastAsia="Times New Roman" w:hAnsi="Times New Roman" w:cs="Times New Roman"/>
          <w:sz w:val="26"/>
          <w:szCs w:val="26"/>
        </w:rPr>
      </w:pPr>
      <w:r w:rsidRPr="00897B42">
        <w:rPr>
          <w:rFonts w:ascii="Times New Roman" w:eastAsia="Times New Roman" w:hAnsi="Times New Roman" w:cs="Times New Roman"/>
          <w:sz w:val="26"/>
          <w:szCs w:val="26"/>
        </w:rPr>
        <w:t xml:space="preserve">The Commission’s authority to </w:t>
      </w:r>
      <w:r w:rsidRPr="00897B42">
        <w:rPr>
          <w:rFonts w:ascii="Times New Roman" w:eastAsia="Times New Roman" w:hAnsi="Times New Roman" w:cs="Times New Roman"/>
          <w:i/>
          <w:iCs/>
          <w:sz w:val="26"/>
          <w:szCs w:val="26"/>
        </w:rPr>
        <w:t>sua sponte</w:t>
      </w:r>
      <w:r w:rsidRPr="00897B42">
        <w:rPr>
          <w:rFonts w:ascii="Times New Roman" w:eastAsia="Times New Roman" w:hAnsi="Times New Roman" w:cs="Times New Roman"/>
          <w:sz w:val="26"/>
          <w:szCs w:val="26"/>
        </w:rPr>
        <w:t xml:space="preserve"> modify the terms of the settlement is subject to the consent of the parties to be bound by the terms of the settlement, as modified.  </w:t>
      </w:r>
      <w:r w:rsidRPr="00897B42">
        <w:rPr>
          <w:rFonts w:ascii="Times New Roman" w:eastAsia="Times New Roman" w:hAnsi="Times New Roman" w:cs="Times New Roman"/>
          <w:i/>
          <w:iCs/>
          <w:sz w:val="26"/>
          <w:szCs w:val="26"/>
        </w:rPr>
        <w:t xml:space="preserve">See, e.g., </w:t>
      </w:r>
      <w:r>
        <w:rPr>
          <w:rFonts w:ascii="Times New Roman" w:eastAsia="Times New Roman" w:hAnsi="Times New Roman" w:cs="Times New Roman"/>
          <w:i/>
          <w:iCs/>
          <w:sz w:val="26"/>
          <w:szCs w:val="26"/>
        </w:rPr>
        <w:t>West Penn</w:t>
      </w:r>
      <w:r w:rsidRPr="00897B42">
        <w:rPr>
          <w:rFonts w:ascii="Times New Roman" w:eastAsia="Times New Roman" w:hAnsi="Times New Roman" w:cs="Times New Roman"/>
          <w:i/>
          <w:iCs/>
          <w:sz w:val="26"/>
          <w:szCs w:val="26"/>
        </w:rPr>
        <w:t>.</w:t>
      </w:r>
      <w:r w:rsidRPr="00897B42">
        <w:rPr>
          <w:rFonts w:ascii="Times New Roman" w:eastAsia="Times New Roman" w:hAnsi="Times New Roman" w:cs="Times New Roman"/>
          <w:sz w:val="26"/>
          <w:szCs w:val="26"/>
        </w:rPr>
        <w:t xml:space="preserve">  </w:t>
      </w:r>
      <w:r w:rsidR="001B3DF8">
        <w:rPr>
          <w:rFonts w:ascii="Times New Roman" w:eastAsia="Times New Roman" w:hAnsi="Times New Roman" w:cs="Times New Roman"/>
          <w:sz w:val="26"/>
          <w:szCs w:val="26"/>
        </w:rPr>
        <w:t>Pursuant to the Settlement, the Parties remain</w:t>
      </w:r>
      <w:r w:rsidRPr="00897B42">
        <w:rPr>
          <w:rFonts w:ascii="Times New Roman" w:eastAsia="Times New Roman" w:hAnsi="Times New Roman" w:cs="Times New Roman"/>
          <w:sz w:val="26"/>
          <w:szCs w:val="26"/>
        </w:rPr>
        <w:t xml:space="preserve"> free to withdraw from the Settlement</w:t>
      </w:r>
      <w:r w:rsidR="001B3DF8">
        <w:rPr>
          <w:rFonts w:ascii="Times New Roman" w:eastAsia="Times New Roman" w:hAnsi="Times New Roman" w:cs="Times New Roman"/>
          <w:sz w:val="26"/>
          <w:szCs w:val="26"/>
        </w:rPr>
        <w:t xml:space="preserve"> within twenty (20) days after the entry of an Order modifying the Settlement,</w:t>
      </w:r>
      <w:r w:rsidRPr="00897B42">
        <w:rPr>
          <w:rFonts w:ascii="Times New Roman" w:eastAsia="Times New Roman" w:hAnsi="Times New Roman" w:cs="Times New Roman"/>
          <w:sz w:val="26"/>
          <w:szCs w:val="26"/>
        </w:rPr>
        <w:t xml:space="preserve"> if the terms, as modified, are unacceptable.</w:t>
      </w:r>
      <w:r w:rsidR="001B3DF8">
        <w:rPr>
          <w:rFonts w:ascii="Times New Roman" w:eastAsia="Times New Roman" w:hAnsi="Times New Roman" w:cs="Times New Roman"/>
          <w:sz w:val="26"/>
          <w:szCs w:val="26"/>
        </w:rPr>
        <w:t xml:space="preserve">  Joint Petition at 11.  </w:t>
      </w:r>
    </w:p>
    <w:p w14:paraId="78585D9C" w14:textId="710C26E0" w:rsidR="00A24448" w:rsidRDefault="00A24448" w:rsidP="008865C4">
      <w:pPr>
        <w:tabs>
          <w:tab w:val="center" w:pos="720"/>
        </w:tabs>
        <w:suppressAutoHyphens/>
        <w:spacing w:after="0" w:line="360" w:lineRule="auto"/>
        <w:ind w:firstLine="1440"/>
        <w:rPr>
          <w:rFonts w:ascii="Times New Roman" w:eastAsia="Times New Roman" w:hAnsi="Times New Roman" w:cs="Times New Roman"/>
          <w:sz w:val="26"/>
          <w:szCs w:val="26"/>
        </w:rPr>
      </w:pPr>
    </w:p>
    <w:p w14:paraId="2F25F988" w14:textId="71A2162D" w:rsidR="00175232" w:rsidRDefault="00575608" w:rsidP="00990AA3">
      <w:pPr>
        <w:tabs>
          <w:tab w:val="center" w:pos="720"/>
        </w:tabs>
        <w:suppressAutoHyphens/>
        <w:spacing w:after="0" w:line="360" w:lineRule="auto"/>
        <w:ind w:firstLine="1440"/>
        <w:rPr>
          <w:rFonts w:ascii="Times New Roman" w:eastAsia="Times New Roman" w:hAnsi="Times New Roman" w:cs="Times New Roman"/>
          <w:sz w:val="26"/>
          <w:szCs w:val="26"/>
        </w:rPr>
      </w:pPr>
      <w:r w:rsidRPr="00575608">
        <w:rPr>
          <w:rFonts w:ascii="Times New Roman" w:eastAsia="Times New Roman" w:hAnsi="Times New Roman" w:cs="Times New Roman"/>
          <w:sz w:val="26"/>
          <w:szCs w:val="26"/>
        </w:rPr>
        <w:t xml:space="preserve">At issue here is not Green Mountain’s rate or our regulatory powers over rates and ratemaking under Chapter 13 of the Code, but rather Green Mountain’s </w:t>
      </w:r>
      <w:r w:rsidRPr="00575608">
        <w:rPr>
          <w:rFonts w:ascii="Times New Roman" w:eastAsia="Times New Roman" w:hAnsi="Times New Roman" w:cs="Times New Roman"/>
          <w:i/>
          <w:sz w:val="26"/>
          <w:szCs w:val="26"/>
        </w:rPr>
        <w:t>service</w:t>
      </w:r>
      <w:r w:rsidRPr="00575608">
        <w:rPr>
          <w:rFonts w:ascii="Times New Roman" w:eastAsia="Times New Roman" w:hAnsi="Times New Roman" w:cs="Times New Roman"/>
          <w:sz w:val="26"/>
          <w:szCs w:val="26"/>
        </w:rPr>
        <w:t xml:space="preserve">, specifically the sales and marketing activities of its agents.  These are activities </w:t>
      </w:r>
      <w:r w:rsidRPr="00575608">
        <w:rPr>
          <w:rFonts w:ascii="Times New Roman" w:eastAsia="Times New Roman" w:hAnsi="Times New Roman" w:cs="Times New Roman"/>
          <w:i/>
          <w:sz w:val="26"/>
          <w:szCs w:val="26"/>
        </w:rPr>
        <w:t>expressly, not impliedly</w:t>
      </w:r>
      <w:r w:rsidRPr="00575608">
        <w:rPr>
          <w:rFonts w:ascii="Times New Roman" w:eastAsia="Times New Roman" w:hAnsi="Times New Roman" w:cs="Times New Roman"/>
          <w:sz w:val="26"/>
          <w:szCs w:val="26"/>
        </w:rPr>
        <w:t>, within our jurisdiction under Sections 2802(14), 2807(d)(1) and (2), and 2809(e) and (f) of the Competition Act, and that we have expressly regulated in Chapters</w:t>
      </w:r>
      <w:r w:rsidR="005E2A6A">
        <w:rPr>
          <w:rFonts w:ascii="Times New Roman" w:eastAsia="Times New Roman" w:hAnsi="Times New Roman" w:cs="Times New Roman"/>
          <w:sz w:val="26"/>
          <w:szCs w:val="26"/>
        </w:rPr>
        <w:t> </w:t>
      </w:r>
      <w:r w:rsidRPr="00575608">
        <w:rPr>
          <w:rFonts w:ascii="Times New Roman" w:eastAsia="Times New Roman" w:hAnsi="Times New Roman" w:cs="Times New Roman"/>
          <w:sz w:val="26"/>
          <w:szCs w:val="26"/>
        </w:rPr>
        <w:t>54, 57 and 111 of our Regulations.</w:t>
      </w:r>
    </w:p>
    <w:p w14:paraId="778384C9" w14:textId="77777777" w:rsidR="00990AA3" w:rsidRDefault="00990AA3" w:rsidP="00990AA3">
      <w:pPr>
        <w:tabs>
          <w:tab w:val="center" w:pos="720"/>
        </w:tabs>
        <w:suppressAutoHyphens/>
        <w:spacing w:after="0" w:line="360" w:lineRule="auto"/>
        <w:ind w:firstLine="1440"/>
        <w:rPr>
          <w:rFonts w:ascii="Times New Roman" w:eastAsia="Times New Roman" w:hAnsi="Times New Roman" w:cs="Times New Roman"/>
          <w:sz w:val="26"/>
          <w:szCs w:val="26"/>
        </w:rPr>
      </w:pPr>
    </w:p>
    <w:p w14:paraId="7972188F" w14:textId="095B4FA1" w:rsidR="00CC6067" w:rsidRDefault="004E3BEC" w:rsidP="004E3BEC">
      <w:pPr>
        <w:tabs>
          <w:tab w:val="center" w:pos="720"/>
        </w:tabs>
        <w:suppressAutoHyphens/>
        <w:spacing w:after="0" w:line="360" w:lineRule="auto"/>
        <w:ind w:firstLine="1440"/>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With regard to</w:t>
      </w:r>
      <w:proofErr w:type="gramEnd"/>
      <w:r>
        <w:rPr>
          <w:rFonts w:ascii="Times New Roman" w:eastAsia="Times New Roman" w:hAnsi="Times New Roman" w:cs="Times New Roman"/>
          <w:sz w:val="26"/>
          <w:szCs w:val="26"/>
        </w:rPr>
        <w:t xml:space="preserve"> the OCA’s concern with the Company’s use of ECL, n</w:t>
      </w:r>
      <w:r w:rsidR="00175232">
        <w:rPr>
          <w:rFonts w:ascii="Times New Roman" w:eastAsia="Times New Roman" w:hAnsi="Times New Roman" w:cs="Times New Roman"/>
          <w:sz w:val="26"/>
          <w:szCs w:val="26"/>
        </w:rPr>
        <w:t>otwithstanding</w:t>
      </w:r>
      <w:r w:rsidR="00FE61AF">
        <w:rPr>
          <w:rFonts w:ascii="Times New Roman" w:eastAsia="Times New Roman" w:hAnsi="Times New Roman" w:cs="Times New Roman"/>
          <w:sz w:val="26"/>
          <w:szCs w:val="26"/>
        </w:rPr>
        <w:t xml:space="preserve"> </w:t>
      </w:r>
      <w:r w:rsidR="00990AA3">
        <w:rPr>
          <w:rFonts w:ascii="Times New Roman" w:eastAsia="Times New Roman" w:hAnsi="Times New Roman" w:cs="Times New Roman"/>
          <w:sz w:val="26"/>
          <w:szCs w:val="26"/>
        </w:rPr>
        <w:t>Green Mountain’s proactive</w:t>
      </w:r>
      <w:r w:rsidR="00FE61AF">
        <w:rPr>
          <w:rFonts w:ascii="Times New Roman" w:eastAsia="Times New Roman" w:hAnsi="Times New Roman" w:cs="Times New Roman"/>
          <w:sz w:val="26"/>
          <w:szCs w:val="26"/>
        </w:rPr>
        <w:t xml:space="preserve"> implementation of several corrective measures</w:t>
      </w:r>
      <w:r w:rsidR="00990AA3">
        <w:rPr>
          <w:rFonts w:ascii="Times New Roman" w:eastAsia="Times New Roman" w:hAnsi="Times New Roman" w:cs="Times New Roman"/>
          <w:sz w:val="26"/>
          <w:szCs w:val="26"/>
        </w:rPr>
        <w:t xml:space="preserve"> </w:t>
      </w:r>
      <w:r w:rsidR="00331A45">
        <w:rPr>
          <w:rFonts w:ascii="Times New Roman" w:eastAsia="Times New Roman" w:hAnsi="Times New Roman" w:cs="Times New Roman"/>
          <w:sz w:val="26"/>
          <w:szCs w:val="26"/>
        </w:rPr>
        <w:t>targeting ECL misuse in an effort to prevent unauthorized switching at in-person locations, the OCA’s comments indicate its belief that this docket is the appropriate avenue to request</w:t>
      </w:r>
      <w:r w:rsidR="00990AA3">
        <w:rPr>
          <w:rFonts w:ascii="Times New Roman" w:eastAsia="Times New Roman" w:hAnsi="Times New Roman" w:cs="Times New Roman"/>
          <w:sz w:val="26"/>
          <w:szCs w:val="26"/>
        </w:rPr>
        <w:t xml:space="preserve"> </w:t>
      </w:r>
      <w:r w:rsidR="005A7B16">
        <w:rPr>
          <w:rFonts w:ascii="Times New Roman" w:eastAsia="Times New Roman" w:hAnsi="Times New Roman" w:cs="Times New Roman"/>
          <w:sz w:val="26"/>
          <w:szCs w:val="26"/>
        </w:rPr>
        <w:t>the Commission re-examine the use of the ECL among all suppliers and their agents</w:t>
      </w:r>
      <w:r w:rsidR="00C21AE0">
        <w:rPr>
          <w:rFonts w:ascii="Times New Roman" w:eastAsia="Times New Roman" w:hAnsi="Times New Roman" w:cs="Times New Roman"/>
          <w:sz w:val="26"/>
          <w:szCs w:val="26"/>
        </w:rPr>
        <w:t xml:space="preserve">.  This request is </w:t>
      </w:r>
      <w:r w:rsidR="005A7B16">
        <w:rPr>
          <w:rFonts w:ascii="Times New Roman" w:eastAsia="Times New Roman" w:hAnsi="Times New Roman" w:cs="Times New Roman"/>
          <w:sz w:val="26"/>
          <w:szCs w:val="26"/>
        </w:rPr>
        <w:t>based on</w:t>
      </w:r>
      <w:r w:rsidR="00C21AE0">
        <w:rPr>
          <w:rFonts w:ascii="Times New Roman" w:eastAsia="Times New Roman" w:hAnsi="Times New Roman" w:cs="Times New Roman"/>
          <w:sz w:val="26"/>
          <w:szCs w:val="26"/>
        </w:rPr>
        <w:t xml:space="preserve"> the OCA’s concern of the possibility of a more widespread issue,</w:t>
      </w:r>
      <w:r w:rsidR="00EA79D6">
        <w:rPr>
          <w:rFonts w:ascii="Times New Roman" w:eastAsia="Times New Roman" w:hAnsi="Times New Roman" w:cs="Times New Roman"/>
          <w:sz w:val="26"/>
          <w:szCs w:val="26"/>
        </w:rPr>
        <w:t xml:space="preserve"> assumed from</w:t>
      </w:r>
      <w:r w:rsidR="005A7B16">
        <w:rPr>
          <w:rFonts w:ascii="Times New Roman" w:eastAsia="Times New Roman" w:hAnsi="Times New Roman" w:cs="Times New Roman"/>
          <w:sz w:val="26"/>
          <w:szCs w:val="26"/>
        </w:rPr>
        <w:t xml:space="preserve"> </w:t>
      </w:r>
      <w:r w:rsidR="00896EAB">
        <w:rPr>
          <w:rFonts w:ascii="Times New Roman" w:eastAsia="Times New Roman" w:hAnsi="Times New Roman" w:cs="Times New Roman"/>
          <w:sz w:val="26"/>
          <w:szCs w:val="26"/>
        </w:rPr>
        <w:t>I&amp;E’s investigations in the instant proceeding and a similar proceeding involving a Green Mountain affiliated EGS</w:t>
      </w:r>
      <w:r w:rsidR="00DF277C">
        <w:rPr>
          <w:rFonts w:ascii="Times New Roman" w:eastAsia="Times New Roman" w:hAnsi="Times New Roman" w:cs="Times New Roman"/>
          <w:sz w:val="26"/>
          <w:szCs w:val="26"/>
        </w:rPr>
        <w:t>, NRG Home</w:t>
      </w:r>
      <w:r w:rsidR="00EA79D6">
        <w:rPr>
          <w:rFonts w:ascii="Times New Roman" w:eastAsia="Times New Roman" w:hAnsi="Times New Roman" w:cs="Times New Roman"/>
          <w:sz w:val="26"/>
          <w:szCs w:val="26"/>
        </w:rPr>
        <w:t xml:space="preserve">, which uncovered insufficient protections were in place at the time </w:t>
      </w:r>
      <w:r w:rsidR="00BD5CDE">
        <w:rPr>
          <w:rFonts w:ascii="Times New Roman" w:eastAsia="Times New Roman" w:hAnsi="Times New Roman" w:cs="Times New Roman"/>
          <w:sz w:val="26"/>
          <w:szCs w:val="26"/>
        </w:rPr>
        <w:t xml:space="preserve">to ensure that agents were not misusing customer information disclosed in the ECL to facilitate </w:t>
      </w:r>
      <w:r w:rsidR="00EA79D6">
        <w:rPr>
          <w:rFonts w:ascii="Times New Roman" w:eastAsia="Times New Roman" w:hAnsi="Times New Roman" w:cs="Times New Roman"/>
          <w:sz w:val="26"/>
          <w:szCs w:val="26"/>
        </w:rPr>
        <w:t>the alleged unauthorized enrollments</w:t>
      </w:r>
      <w:r w:rsidR="00BD5CDE">
        <w:rPr>
          <w:rFonts w:ascii="Times New Roman" w:eastAsia="Times New Roman" w:hAnsi="Times New Roman" w:cs="Times New Roman"/>
          <w:sz w:val="26"/>
          <w:szCs w:val="26"/>
        </w:rPr>
        <w:t xml:space="preserve">.  </w:t>
      </w:r>
    </w:p>
    <w:p w14:paraId="0F62218B" w14:textId="4B749BE0" w:rsidR="00DF277C" w:rsidRDefault="00DF277C" w:rsidP="00CC6067">
      <w:pPr>
        <w:tabs>
          <w:tab w:val="center" w:pos="72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Pr="00DF277C">
        <w:rPr>
          <w:rFonts w:ascii="Times New Roman" w:eastAsia="Times New Roman" w:hAnsi="Times New Roman" w:cs="Times New Roman"/>
          <w:sz w:val="26"/>
          <w:szCs w:val="26"/>
        </w:rPr>
        <w:t>pecifically</w:t>
      </w:r>
      <w:r>
        <w:rPr>
          <w:rFonts w:ascii="Times New Roman" w:eastAsia="Times New Roman" w:hAnsi="Times New Roman" w:cs="Times New Roman"/>
          <w:sz w:val="26"/>
          <w:szCs w:val="26"/>
        </w:rPr>
        <w:t>, since the discovery of the alleged unauthorized enrollments at issue in this proceeding,</w:t>
      </w:r>
      <w:r w:rsidRPr="00DF277C">
        <w:rPr>
          <w:rFonts w:ascii="Times New Roman" w:eastAsia="Times New Roman" w:hAnsi="Times New Roman" w:cs="Times New Roman"/>
          <w:sz w:val="26"/>
          <w:szCs w:val="26"/>
        </w:rPr>
        <w:t xml:space="preserve"> Green Mountain eliminat</w:t>
      </w:r>
      <w:r>
        <w:rPr>
          <w:rFonts w:ascii="Times New Roman" w:eastAsia="Times New Roman" w:hAnsi="Times New Roman" w:cs="Times New Roman"/>
          <w:sz w:val="26"/>
          <w:szCs w:val="26"/>
        </w:rPr>
        <w:t>ed</w:t>
      </w:r>
      <w:r w:rsidRPr="00DF277C">
        <w:rPr>
          <w:rFonts w:ascii="Times New Roman" w:eastAsia="Times New Roman" w:hAnsi="Times New Roman" w:cs="Times New Roman"/>
          <w:sz w:val="26"/>
          <w:szCs w:val="26"/>
        </w:rPr>
        <w:t xml:space="preserve"> the sales agent’s ability to scroll through the ECL to locate a certain customer.</w:t>
      </w:r>
      <w:r>
        <w:rPr>
          <w:rFonts w:ascii="Times New Roman" w:eastAsia="Times New Roman" w:hAnsi="Times New Roman" w:cs="Times New Roman"/>
          <w:sz w:val="26"/>
          <w:szCs w:val="26"/>
        </w:rPr>
        <w:t xml:space="preserve">  </w:t>
      </w:r>
      <w:r w:rsidRPr="00DF277C">
        <w:rPr>
          <w:rFonts w:ascii="Times New Roman" w:eastAsia="Times New Roman" w:hAnsi="Times New Roman" w:cs="Times New Roman"/>
          <w:sz w:val="26"/>
          <w:szCs w:val="26"/>
        </w:rPr>
        <w:t xml:space="preserve">The ECL tool now utilizes advanced identification scanning technology to authenticate customer identities, thereby reducing the potential for ECL mismatches.  Additionally, to prevent exploitation of the ECL, Green Mountain tightened its disciplinary policy for ECL misuse, which may result in the loss of ECL privileges and potential removal from working on behalf of Green Mountain.  </w:t>
      </w:r>
    </w:p>
    <w:p w14:paraId="162F11FE" w14:textId="77777777" w:rsidR="00DF277C" w:rsidRDefault="00DF277C" w:rsidP="00CC6067">
      <w:pPr>
        <w:tabs>
          <w:tab w:val="center" w:pos="720"/>
        </w:tabs>
        <w:suppressAutoHyphens/>
        <w:spacing w:after="0" w:line="360" w:lineRule="auto"/>
        <w:ind w:firstLine="1440"/>
        <w:rPr>
          <w:rFonts w:ascii="Times New Roman" w:eastAsia="Times New Roman" w:hAnsi="Times New Roman" w:cs="Times New Roman"/>
          <w:sz w:val="26"/>
          <w:szCs w:val="26"/>
        </w:rPr>
      </w:pPr>
    </w:p>
    <w:p w14:paraId="0FE52720" w14:textId="17467B15" w:rsidR="00CC6067" w:rsidRDefault="00CC6067" w:rsidP="00CC6067">
      <w:pPr>
        <w:tabs>
          <w:tab w:val="center" w:pos="72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Similar</w:t>
      </w:r>
      <w:r w:rsidR="00DF277C">
        <w:rPr>
          <w:rFonts w:ascii="Times New Roman" w:eastAsia="Times New Roman" w:hAnsi="Times New Roman" w:cs="Times New Roman"/>
          <w:sz w:val="26"/>
          <w:szCs w:val="26"/>
        </w:rPr>
        <w:t>ly</w:t>
      </w:r>
      <w:r>
        <w:rPr>
          <w:rFonts w:ascii="Times New Roman" w:eastAsia="Times New Roman" w:hAnsi="Times New Roman" w:cs="Times New Roman"/>
          <w:sz w:val="26"/>
          <w:szCs w:val="26"/>
        </w:rPr>
        <w:t>,</w:t>
      </w:r>
      <w:r w:rsidR="004E3BEC">
        <w:rPr>
          <w:rFonts w:ascii="Times New Roman" w:eastAsia="Times New Roman" w:hAnsi="Times New Roman" w:cs="Times New Roman"/>
          <w:sz w:val="26"/>
          <w:szCs w:val="26"/>
        </w:rPr>
        <w:t xml:space="preserve"> in the </w:t>
      </w:r>
      <w:r w:rsidR="004E3BEC" w:rsidRPr="004E3BEC">
        <w:rPr>
          <w:rFonts w:ascii="Times New Roman" w:eastAsia="Times New Roman" w:hAnsi="Times New Roman" w:cs="Times New Roman"/>
          <w:i/>
          <w:iCs/>
          <w:sz w:val="26"/>
          <w:szCs w:val="26"/>
        </w:rPr>
        <w:t>NRG Home</w:t>
      </w:r>
      <w:r w:rsidR="004E3BEC">
        <w:rPr>
          <w:rFonts w:ascii="Times New Roman" w:eastAsia="Times New Roman" w:hAnsi="Times New Roman" w:cs="Times New Roman"/>
          <w:sz w:val="26"/>
          <w:szCs w:val="26"/>
        </w:rPr>
        <w:t xml:space="preserve"> case,</w:t>
      </w:r>
      <w:r>
        <w:rPr>
          <w:rFonts w:ascii="Times New Roman" w:eastAsia="Times New Roman" w:hAnsi="Times New Roman" w:cs="Times New Roman"/>
          <w:sz w:val="26"/>
          <w:szCs w:val="26"/>
        </w:rPr>
        <w:t xml:space="preserve"> NRG Home also took corrective measures to prevent similar occurrences in the future:</w:t>
      </w:r>
    </w:p>
    <w:p w14:paraId="667CFD53" w14:textId="77777777" w:rsidR="002E1EDB" w:rsidRDefault="002E1EDB" w:rsidP="005E2A6A">
      <w:pPr>
        <w:tabs>
          <w:tab w:val="center" w:pos="720"/>
        </w:tabs>
        <w:suppressAutoHyphens/>
        <w:spacing w:after="0" w:line="240" w:lineRule="auto"/>
        <w:ind w:firstLine="1440"/>
        <w:rPr>
          <w:rFonts w:ascii="Times New Roman" w:eastAsia="Times New Roman" w:hAnsi="Times New Roman" w:cs="Times New Roman"/>
          <w:sz w:val="26"/>
          <w:szCs w:val="26"/>
        </w:rPr>
      </w:pPr>
    </w:p>
    <w:p w14:paraId="2B9BA695" w14:textId="2534F343" w:rsidR="00806C53" w:rsidRDefault="000E1B34" w:rsidP="002E1EDB">
      <w:pPr>
        <w:tabs>
          <w:tab w:val="center" w:pos="720"/>
        </w:tabs>
        <w:suppressAutoHyphens/>
        <w:spacing w:after="0" w:line="240" w:lineRule="auto"/>
        <w:ind w:left="1440" w:right="144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E1EDB" w:rsidRPr="002E1EDB">
        <w:rPr>
          <w:rFonts w:ascii="Times New Roman" w:eastAsia="Times New Roman" w:hAnsi="Times New Roman" w:cs="Times New Roman"/>
          <w:sz w:val="26"/>
          <w:szCs w:val="26"/>
        </w:rPr>
        <w:t>NRG Home indicated that it had terminated all agents involved in this scheme and that the Company took corrective actions to prevent misuse of the ECL from occurring in the future.  Settlement at 5, n. 2.</w:t>
      </w:r>
    </w:p>
    <w:p w14:paraId="28E881AC" w14:textId="77777777" w:rsidR="002E1EDB" w:rsidRDefault="002E1EDB" w:rsidP="005E2A6A">
      <w:pPr>
        <w:tabs>
          <w:tab w:val="center" w:pos="720"/>
        </w:tabs>
        <w:suppressAutoHyphens/>
        <w:spacing w:after="0" w:line="360" w:lineRule="auto"/>
        <w:ind w:firstLine="1440"/>
        <w:rPr>
          <w:rFonts w:ascii="Times New Roman" w:eastAsia="Times New Roman" w:hAnsi="Times New Roman" w:cs="Times New Roman"/>
          <w:sz w:val="26"/>
          <w:szCs w:val="26"/>
        </w:rPr>
      </w:pPr>
    </w:p>
    <w:p w14:paraId="47C7C98C" w14:textId="77777777" w:rsidR="002E1EDB" w:rsidRPr="002E1EDB" w:rsidRDefault="002E1EDB" w:rsidP="005E2A6A">
      <w:pPr>
        <w:autoSpaceDE w:val="0"/>
        <w:autoSpaceDN w:val="0"/>
        <w:spacing w:after="0" w:line="240" w:lineRule="auto"/>
        <w:ind w:left="1440" w:right="1440"/>
        <w:contextualSpacing/>
        <w:jc w:val="center"/>
        <w:rPr>
          <w:rFonts w:ascii="Times New Roman" w:eastAsia="Calibri" w:hAnsi="Times New Roman" w:cs="Times New Roman"/>
          <w:sz w:val="26"/>
          <w:szCs w:val="26"/>
        </w:rPr>
      </w:pPr>
      <w:bookmarkStart w:id="9" w:name="_Hlk523730734"/>
      <w:r w:rsidRPr="002E1EDB">
        <w:rPr>
          <w:rFonts w:ascii="Times New Roman" w:eastAsia="Calibri" w:hAnsi="Times New Roman" w:cs="Times New Roman"/>
          <w:sz w:val="26"/>
          <w:szCs w:val="26"/>
        </w:rPr>
        <w:t>*</w:t>
      </w:r>
      <w:r w:rsidRPr="002E1EDB">
        <w:rPr>
          <w:rFonts w:ascii="Times New Roman" w:eastAsia="Calibri" w:hAnsi="Times New Roman" w:cs="Times New Roman"/>
          <w:sz w:val="26"/>
          <w:szCs w:val="26"/>
        </w:rPr>
        <w:tab/>
        <w:t>*</w:t>
      </w:r>
      <w:r w:rsidRPr="002E1EDB">
        <w:rPr>
          <w:rFonts w:ascii="Times New Roman" w:eastAsia="Calibri" w:hAnsi="Times New Roman" w:cs="Times New Roman"/>
          <w:sz w:val="26"/>
          <w:szCs w:val="26"/>
        </w:rPr>
        <w:tab/>
        <w:t>*</w:t>
      </w:r>
    </w:p>
    <w:bookmarkEnd w:id="9"/>
    <w:p w14:paraId="2E8AA05D" w14:textId="77777777" w:rsidR="00806C53" w:rsidRDefault="00806C53" w:rsidP="002E1EDB">
      <w:pPr>
        <w:tabs>
          <w:tab w:val="center" w:pos="720"/>
        </w:tabs>
        <w:suppressAutoHyphens/>
        <w:spacing w:after="0" w:line="240" w:lineRule="auto"/>
        <w:ind w:firstLine="1440"/>
        <w:rPr>
          <w:rFonts w:ascii="Times New Roman" w:eastAsia="Times New Roman" w:hAnsi="Times New Roman" w:cs="Times New Roman"/>
          <w:sz w:val="26"/>
          <w:szCs w:val="26"/>
        </w:rPr>
      </w:pPr>
    </w:p>
    <w:p w14:paraId="3F29A754" w14:textId="77777777" w:rsidR="00806C53" w:rsidRPr="00806C53" w:rsidRDefault="00806C53" w:rsidP="002E1EDB">
      <w:pPr>
        <w:tabs>
          <w:tab w:val="center" w:pos="720"/>
        </w:tabs>
        <w:suppressAutoHyphens/>
        <w:spacing w:after="0" w:line="240" w:lineRule="auto"/>
        <w:ind w:left="1440" w:right="1440"/>
        <w:rPr>
          <w:rFonts w:ascii="Times New Roman" w:eastAsia="Times New Roman" w:hAnsi="Times New Roman" w:cs="Times New Roman"/>
          <w:sz w:val="26"/>
          <w:szCs w:val="26"/>
        </w:rPr>
      </w:pPr>
      <w:r w:rsidRPr="00806C53">
        <w:rPr>
          <w:rFonts w:ascii="Times New Roman" w:eastAsia="Times New Roman" w:hAnsi="Times New Roman" w:cs="Times New Roman"/>
          <w:sz w:val="26"/>
          <w:szCs w:val="26"/>
        </w:rPr>
        <w:t xml:space="preserve">I&amp;E determined that the Company instituted several corrective measures designed to prevent similar occurrences in the future.  NRG Home eliminated the ability for sales agents to scroll through the ECL to locate a certain customer.  Agents can now only search for a specific name and the information populates only if a match is located.  NRG Home also has since deployed a technology solution to authenticate customers’ identities, thereby narrowing the ECL search results.  Finally, NRG Home tightened its discipline policy for agents found to have committed ECL errors.  Settlement at 7. </w:t>
      </w:r>
    </w:p>
    <w:p w14:paraId="408C5DC9" w14:textId="28CC393C" w:rsidR="00806C53" w:rsidRDefault="00806C53" w:rsidP="00806C53">
      <w:pPr>
        <w:tabs>
          <w:tab w:val="center" w:pos="720"/>
        </w:tabs>
        <w:suppressAutoHyphens/>
        <w:spacing w:after="0" w:line="360" w:lineRule="auto"/>
        <w:rPr>
          <w:rFonts w:ascii="Times New Roman" w:eastAsia="Times New Roman" w:hAnsi="Times New Roman" w:cs="Times New Roman"/>
          <w:sz w:val="26"/>
          <w:szCs w:val="26"/>
        </w:rPr>
      </w:pPr>
    </w:p>
    <w:p w14:paraId="3DBC818C" w14:textId="15EC338F" w:rsidR="00806C53" w:rsidRDefault="00806C53" w:rsidP="00806C53">
      <w:pPr>
        <w:tabs>
          <w:tab w:val="center" w:pos="720"/>
        </w:tabs>
        <w:suppressAutoHyphens/>
        <w:spacing w:after="0" w:line="360" w:lineRule="auto"/>
        <w:rPr>
          <w:rFonts w:ascii="Times New Roman" w:eastAsia="Times New Roman" w:hAnsi="Times New Roman" w:cs="Times New Roman"/>
          <w:sz w:val="26"/>
          <w:szCs w:val="26"/>
        </w:rPr>
      </w:pPr>
      <w:r w:rsidRPr="00806C53">
        <w:rPr>
          <w:rFonts w:ascii="Times New Roman" w:eastAsia="Times New Roman" w:hAnsi="Times New Roman" w:cs="Times New Roman"/>
          <w:i/>
          <w:iCs/>
          <w:sz w:val="26"/>
          <w:szCs w:val="26"/>
        </w:rPr>
        <w:t>NRG Home</w:t>
      </w:r>
      <w:r>
        <w:rPr>
          <w:rFonts w:ascii="Times New Roman" w:eastAsia="Times New Roman" w:hAnsi="Times New Roman" w:cs="Times New Roman"/>
          <w:sz w:val="26"/>
          <w:szCs w:val="26"/>
        </w:rPr>
        <w:t xml:space="preserve"> at </w:t>
      </w:r>
      <w:r w:rsidR="002E1EDB">
        <w:rPr>
          <w:rFonts w:ascii="Times New Roman" w:eastAsia="Times New Roman" w:hAnsi="Times New Roman" w:cs="Times New Roman"/>
          <w:sz w:val="26"/>
          <w:szCs w:val="26"/>
        </w:rPr>
        <w:t xml:space="preserve">3, </w:t>
      </w:r>
      <w:r>
        <w:rPr>
          <w:rFonts w:ascii="Times New Roman" w:eastAsia="Times New Roman" w:hAnsi="Times New Roman" w:cs="Times New Roman"/>
          <w:sz w:val="26"/>
          <w:szCs w:val="26"/>
        </w:rPr>
        <w:t xml:space="preserve">5.  </w:t>
      </w:r>
    </w:p>
    <w:p w14:paraId="0C0D8B62" w14:textId="77777777" w:rsidR="00806C53" w:rsidRDefault="00806C53" w:rsidP="008865C4">
      <w:pPr>
        <w:tabs>
          <w:tab w:val="center" w:pos="720"/>
        </w:tabs>
        <w:suppressAutoHyphens/>
        <w:spacing w:after="0" w:line="360" w:lineRule="auto"/>
        <w:ind w:firstLine="1440"/>
        <w:rPr>
          <w:rFonts w:ascii="Times New Roman" w:eastAsia="Times New Roman" w:hAnsi="Times New Roman" w:cs="Times New Roman"/>
          <w:sz w:val="26"/>
          <w:szCs w:val="26"/>
        </w:rPr>
      </w:pPr>
    </w:p>
    <w:p w14:paraId="146D9A81" w14:textId="2C08FE3F" w:rsidR="00A8197E" w:rsidRDefault="001F2E46" w:rsidP="001F2E46">
      <w:pPr>
        <w:tabs>
          <w:tab w:val="center" w:pos="720"/>
        </w:tabs>
        <w:suppressAutoHyphens/>
        <w:spacing w:after="0" w:line="360" w:lineRule="auto"/>
        <w:ind w:firstLine="1440"/>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I</w:t>
      </w:r>
      <w:r w:rsidR="00AC31A4" w:rsidRPr="00AC31A4">
        <w:rPr>
          <w:rFonts w:ascii="Times New Roman" w:eastAsia="Times New Roman" w:hAnsi="Times New Roman" w:cs="Times New Roman"/>
          <w:iCs/>
          <w:sz w:val="26"/>
          <w:szCs w:val="26"/>
        </w:rPr>
        <w:t xml:space="preserve">n evaluating </w:t>
      </w:r>
      <w:r>
        <w:rPr>
          <w:rFonts w:ascii="Times New Roman" w:eastAsia="Times New Roman" w:hAnsi="Times New Roman" w:cs="Times New Roman"/>
          <w:iCs/>
          <w:sz w:val="26"/>
          <w:szCs w:val="26"/>
        </w:rPr>
        <w:t>the</w:t>
      </w:r>
      <w:r w:rsidR="00AC31A4" w:rsidRPr="00AC31A4">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S</w:t>
      </w:r>
      <w:r w:rsidR="00AC31A4" w:rsidRPr="00AC31A4">
        <w:rPr>
          <w:rFonts w:ascii="Times New Roman" w:eastAsia="Times New Roman" w:hAnsi="Times New Roman" w:cs="Times New Roman"/>
          <w:iCs/>
          <w:sz w:val="26"/>
          <w:szCs w:val="26"/>
        </w:rPr>
        <w:t>ettlement, the Commission review</w:t>
      </w:r>
      <w:r>
        <w:rPr>
          <w:rFonts w:ascii="Times New Roman" w:eastAsia="Times New Roman" w:hAnsi="Times New Roman" w:cs="Times New Roman"/>
          <w:iCs/>
          <w:sz w:val="26"/>
          <w:szCs w:val="26"/>
        </w:rPr>
        <w:t>s</w:t>
      </w:r>
      <w:r w:rsidR="00AC31A4" w:rsidRPr="00AC31A4">
        <w:rPr>
          <w:rFonts w:ascii="Times New Roman" w:eastAsia="Times New Roman" w:hAnsi="Times New Roman" w:cs="Times New Roman"/>
          <w:iCs/>
          <w:sz w:val="26"/>
          <w:szCs w:val="26"/>
        </w:rPr>
        <w:t xml:space="preserve"> the allegations investigated by I&amp;E and determine</w:t>
      </w:r>
      <w:r>
        <w:rPr>
          <w:rFonts w:ascii="Times New Roman" w:eastAsia="Times New Roman" w:hAnsi="Times New Roman" w:cs="Times New Roman"/>
          <w:iCs/>
          <w:sz w:val="26"/>
          <w:szCs w:val="26"/>
        </w:rPr>
        <w:t>s</w:t>
      </w:r>
      <w:r w:rsidR="00AC31A4" w:rsidRPr="00AC31A4">
        <w:rPr>
          <w:rFonts w:ascii="Times New Roman" w:eastAsia="Times New Roman" w:hAnsi="Times New Roman" w:cs="Times New Roman"/>
          <w:iCs/>
          <w:sz w:val="26"/>
          <w:szCs w:val="26"/>
        </w:rPr>
        <w:t xml:space="preserve"> if the civil penalty is appropriate and whether the provisions of the </w:t>
      </w:r>
      <w:r>
        <w:rPr>
          <w:rFonts w:ascii="Times New Roman" w:eastAsia="Times New Roman" w:hAnsi="Times New Roman" w:cs="Times New Roman"/>
          <w:iCs/>
          <w:sz w:val="26"/>
          <w:szCs w:val="26"/>
        </w:rPr>
        <w:t>S</w:t>
      </w:r>
      <w:r w:rsidR="00AC31A4" w:rsidRPr="00AC31A4">
        <w:rPr>
          <w:rFonts w:ascii="Times New Roman" w:eastAsia="Times New Roman" w:hAnsi="Times New Roman" w:cs="Times New Roman"/>
          <w:iCs/>
          <w:sz w:val="26"/>
          <w:szCs w:val="26"/>
        </w:rPr>
        <w:t xml:space="preserve">ettlement properly address those </w:t>
      </w:r>
      <w:r w:rsidR="00AC31A4" w:rsidRPr="001F2E46">
        <w:rPr>
          <w:rFonts w:ascii="Times New Roman" w:eastAsia="Times New Roman" w:hAnsi="Times New Roman" w:cs="Times New Roman"/>
          <w:iCs/>
          <w:sz w:val="26"/>
          <w:szCs w:val="26"/>
        </w:rPr>
        <w:t xml:space="preserve">allegations.  </w:t>
      </w:r>
      <w:hyperlink r:id="rId11" w:history="1">
        <w:r w:rsidR="00AC31A4" w:rsidRPr="001F2E46">
          <w:rPr>
            <w:rStyle w:val="Hyperlink"/>
            <w:rFonts w:ascii="Times New Roman" w:eastAsia="Times New Roman" w:hAnsi="Times New Roman" w:cs="Times New Roman"/>
            <w:color w:val="auto"/>
            <w:sz w:val="26"/>
            <w:szCs w:val="26"/>
            <w:u w:val="none"/>
          </w:rPr>
          <w:t>52 Pa. Code § 69.1201</w:t>
        </w:r>
      </w:hyperlink>
      <w:r>
        <w:rPr>
          <w:rFonts w:ascii="Times New Roman" w:eastAsia="Times New Roman" w:hAnsi="Times New Roman" w:cs="Times New Roman"/>
          <w:sz w:val="26"/>
          <w:szCs w:val="26"/>
        </w:rPr>
        <w:t xml:space="preserve">.  </w:t>
      </w:r>
      <w:r w:rsidRPr="001F2E46">
        <w:rPr>
          <w:rFonts w:ascii="Times New Roman" w:eastAsia="Times New Roman" w:hAnsi="Times New Roman" w:cs="Times New Roman"/>
          <w:sz w:val="26"/>
          <w:szCs w:val="26"/>
        </w:rPr>
        <w:t xml:space="preserve">The focus of the investigation here is limited, in relevant part, to incidents of unauthorized enrollments originating from Green Mountain’s sales activities at in-person locations that took place between June 1, </w:t>
      </w:r>
      <w:proofErr w:type="gramStart"/>
      <w:r w:rsidRPr="001F2E46">
        <w:rPr>
          <w:rFonts w:ascii="Times New Roman" w:eastAsia="Times New Roman" w:hAnsi="Times New Roman" w:cs="Times New Roman"/>
          <w:sz w:val="26"/>
          <w:szCs w:val="26"/>
        </w:rPr>
        <w:t>2018</w:t>
      </w:r>
      <w:proofErr w:type="gramEnd"/>
      <w:r w:rsidRPr="001F2E46">
        <w:rPr>
          <w:rFonts w:ascii="Times New Roman" w:eastAsia="Times New Roman" w:hAnsi="Times New Roman" w:cs="Times New Roman"/>
          <w:sz w:val="26"/>
          <w:szCs w:val="26"/>
        </w:rPr>
        <w:t xml:space="preserve"> and September 30, 2020</w:t>
      </w:r>
      <w:r>
        <w:rPr>
          <w:rFonts w:ascii="Times New Roman" w:eastAsia="Times New Roman" w:hAnsi="Times New Roman" w:cs="Times New Roman"/>
          <w:sz w:val="26"/>
          <w:szCs w:val="26"/>
        </w:rPr>
        <w:t>.  T</w:t>
      </w:r>
      <w:r w:rsidRPr="001F2E46">
        <w:rPr>
          <w:rFonts w:ascii="Times New Roman" w:eastAsia="Times New Roman" w:hAnsi="Times New Roman" w:cs="Times New Roman"/>
          <w:iCs/>
          <w:sz w:val="26"/>
          <w:szCs w:val="26"/>
        </w:rPr>
        <w:t>o the extent that there is a question as to the sufficiency of the Settlement terms, we decline to modify the remedial measures agreed-upon by the Parties</w:t>
      </w:r>
      <w:r w:rsidR="00A8197E">
        <w:rPr>
          <w:rFonts w:ascii="Times New Roman" w:eastAsia="Times New Roman" w:hAnsi="Times New Roman" w:cs="Times New Roman"/>
          <w:iCs/>
          <w:sz w:val="26"/>
          <w:szCs w:val="26"/>
        </w:rPr>
        <w:t>, pertaining to the use of the ECL</w:t>
      </w:r>
      <w:r w:rsidRPr="001F2E46">
        <w:rPr>
          <w:rFonts w:ascii="Times New Roman" w:eastAsia="Times New Roman" w:hAnsi="Times New Roman" w:cs="Times New Roman"/>
          <w:iCs/>
          <w:sz w:val="26"/>
          <w:szCs w:val="26"/>
        </w:rPr>
        <w:t xml:space="preserve">.  Parties to settled cases are afforded flexibility in reaching amicable resolutions, so long as the settlement is in the public interest.  Here, I&amp;E appears satisfied </w:t>
      </w:r>
      <w:r w:rsidR="00A8197E">
        <w:rPr>
          <w:rFonts w:ascii="Times New Roman" w:eastAsia="Times New Roman" w:hAnsi="Times New Roman" w:cs="Times New Roman"/>
          <w:iCs/>
          <w:sz w:val="26"/>
          <w:szCs w:val="26"/>
        </w:rPr>
        <w:t xml:space="preserve">with </w:t>
      </w:r>
      <w:r w:rsidRPr="001F2E46">
        <w:rPr>
          <w:rFonts w:ascii="Times New Roman" w:eastAsia="Times New Roman" w:hAnsi="Times New Roman" w:cs="Times New Roman"/>
          <w:iCs/>
          <w:sz w:val="26"/>
          <w:szCs w:val="26"/>
        </w:rPr>
        <w:t>the remedial measures in the Settlement</w:t>
      </w:r>
      <w:r w:rsidR="00A8197E">
        <w:rPr>
          <w:rFonts w:ascii="Times New Roman" w:eastAsia="Times New Roman" w:hAnsi="Times New Roman" w:cs="Times New Roman"/>
          <w:iCs/>
          <w:sz w:val="26"/>
          <w:szCs w:val="26"/>
        </w:rPr>
        <w:t xml:space="preserve"> as well as those proactively taken by Green Mountain:</w:t>
      </w:r>
    </w:p>
    <w:p w14:paraId="62679977" w14:textId="3B774CE9" w:rsidR="00A8197E" w:rsidRDefault="00A8197E" w:rsidP="005E2A6A">
      <w:pPr>
        <w:tabs>
          <w:tab w:val="center" w:pos="720"/>
        </w:tabs>
        <w:suppressAutoHyphens/>
        <w:spacing w:after="0" w:line="240" w:lineRule="auto"/>
        <w:ind w:firstLine="1440"/>
        <w:rPr>
          <w:rFonts w:ascii="Times New Roman" w:eastAsia="Times New Roman" w:hAnsi="Times New Roman" w:cs="Times New Roman"/>
          <w:iCs/>
          <w:sz w:val="26"/>
          <w:szCs w:val="26"/>
        </w:rPr>
      </w:pPr>
    </w:p>
    <w:p w14:paraId="6ACE68F3" w14:textId="640AA5B1" w:rsidR="00A8197E" w:rsidRDefault="00A8197E" w:rsidP="00E54C76">
      <w:pPr>
        <w:tabs>
          <w:tab w:val="center" w:pos="720"/>
        </w:tabs>
        <w:suppressAutoHyphens/>
        <w:spacing w:after="0" w:line="240" w:lineRule="auto"/>
        <w:ind w:left="1440" w:right="1440"/>
        <w:rPr>
          <w:rFonts w:ascii="Times New Roman" w:eastAsia="Times New Roman" w:hAnsi="Times New Roman" w:cs="Times New Roman"/>
          <w:iCs/>
          <w:sz w:val="26"/>
          <w:szCs w:val="26"/>
        </w:rPr>
      </w:pPr>
      <w:r w:rsidRPr="00A8197E">
        <w:rPr>
          <w:rFonts w:ascii="Times New Roman" w:eastAsia="Times New Roman" w:hAnsi="Times New Roman" w:cs="Times New Roman"/>
          <w:iCs/>
          <w:sz w:val="26"/>
          <w:szCs w:val="26"/>
        </w:rPr>
        <w:t xml:space="preserve">Green Mountain has extensive practices and procedures in place to vet potential new vendors, train agents, conduct quality assurance and ensure the proper enrollment of customers. </w:t>
      </w:r>
      <w:r w:rsidR="00E54C76">
        <w:rPr>
          <w:rFonts w:ascii="Times New Roman" w:eastAsia="Times New Roman" w:hAnsi="Times New Roman" w:cs="Times New Roman"/>
          <w:iCs/>
          <w:sz w:val="26"/>
          <w:szCs w:val="26"/>
        </w:rPr>
        <w:t xml:space="preserve"> </w:t>
      </w:r>
      <w:r w:rsidRPr="00A8197E">
        <w:rPr>
          <w:rFonts w:ascii="Times New Roman" w:eastAsia="Times New Roman" w:hAnsi="Times New Roman" w:cs="Times New Roman"/>
          <w:iCs/>
          <w:sz w:val="26"/>
          <w:szCs w:val="26"/>
        </w:rPr>
        <w:t xml:space="preserve">In August 2019, Green Mountain modified the ECL search tool to eliminate the ability of third-party sales agents from scrolling through the list to locate a customer. </w:t>
      </w:r>
      <w:r w:rsidR="00E54C76">
        <w:rPr>
          <w:rFonts w:ascii="Times New Roman" w:eastAsia="Times New Roman" w:hAnsi="Times New Roman" w:cs="Times New Roman"/>
          <w:iCs/>
          <w:sz w:val="26"/>
          <w:szCs w:val="26"/>
        </w:rPr>
        <w:t xml:space="preserve"> </w:t>
      </w:r>
      <w:r w:rsidRPr="00A8197E">
        <w:rPr>
          <w:rFonts w:ascii="Times New Roman" w:eastAsia="Times New Roman" w:hAnsi="Times New Roman" w:cs="Times New Roman"/>
          <w:iCs/>
          <w:sz w:val="26"/>
          <w:szCs w:val="26"/>
        </w:rPr>
        <w:t>This limitation was expanded in August 2020 to include all Green Mountain sales agents, both third-party and in-house. The tool now only permits searching for a specific name and populates information if a match is located. Moreover, Green Mountain maintains a stringent ECL misuse policy that enables Green</w:t>
      </w:r>
      <w:r>
        <w:rPr>
          <w:rFonts w:ascii="Times New Roman" w:eastAsia="Times New Roman" w:hAnsi="Times New Roman" w:cs="Times New Roman"/>
          <w:iCs/>
          <w:sz w:val="26"/>
          <w:szCs w:val="26"/>
        </w:rPr>
        <w:t xml:space="preserve"> </w:t>
      </w:r>
      <w:r w:rsidRPr="00A8197E">
        <w:rPr>
          <w:rFonts w:ascii="Times New Roman" w:eastAsia="Times New Roman" w:hAnsi="Times New Roman" w:cs="Times New Roman"/>
          <w:iCs/>
          <w:sz w:val="26"/>
          <w:szCs w:val="26"/>
        </w:rPr>
        <w:t>Mountain to suspend a sales agent or entire sales team from using the ECL for one week, thirty days or indefinitely, depending on the severity of the offense.</w:t>
      </w:r>
    </w:p>
    <w:p w14:paraId="24B297F4" w14:textId="6911B12E" w:rsidR="00A8197E" w:rsidRDefault="00A8197E" w:rsidP="00E54C76">
      <w:pPr>
        <w:tabs>
          <w:tab w:val="center" w:pos="720"/>
        </w:tabs>
        <w:suppressAutoHyphens/>
        <w:spacing w:after="0" w:line="240" w:lineRule="auto"/>
        <w:ind w:firstLine="1440"/>
        <w:rPr>
          <w:rFonts w:ascii="Times New Roman" w:eastAsia="Times New Roman" w:hAnsi="Times New Roman" w:cs="Times New Roman"/>
          <w:iCs/>
          <w:sz w:val="26"/>
          <w:szCs w:val="26"/>
        </w:rPr>
      </w:pPr>
    </w:p>
    <w:p w14:paraId="66C71AFC" w14:textId="58E5A909" w:rsidR="00E54C76" w:rsidRDefault="00E54C76" w:rsidP="00E54C76">
      <w:pPr>
        <w:tabs>
          <w:tab w:val="center" w:pos="720"/>
        </w:tabs>
        <w:suppressAutoHyphens/>
        <w:spacing w:after="0" w:line="240" w:lineRule="auto"/>
        <w:ind w:left="1440" w:right="1440"/>
        <w:rPr>
          <w:rFonts w:ascii="Times New Roman" w:eastAsia="Times New Roman" w:hAnsi="Times New Roman" w:cs="Times New Roman"/>
          <w:iCs/>
          <w:sz w:val="26"/>
          <w:szCs w:val="26"/>
        </w:rPr>
      </w:pPr>
      <w:r w:rsidRPr="00E54C76">
        <w:rPr>
          <w:rFonts w:ascii="Times New Roman" w:eastAsia="Times New Roman" w:hAnsi="Times New Roman" w:cs="Times New Roman"/>
          <w:iCs/>
          <w:sz w:val="26"/>
          <w:szCs w:val="26"/>
        </w:rPr>
        <w:t>Green Mountain has also agreed to provide I&amp;E with a monthly report by the 30th of each month, for a period of one year, detailing complaints from Pennsylvania consumers that were received by the Company from BCS, the Pennsylvania Attorney General’s Office, the Better Business Bureau and/or complaints directed to the Company related to allegations of unauthorized switching that originated from in-person locations. Green Mountain further agreed to retain customer signatures obtained on enrollment tablets at in-person locations during the enrollment process for a period of one year. Thus, heightened scrutiny will continue to be placed on Green Mountains sales activities at in-person locations.</w:t>
      </w:r>
    </w:p>
    <w:p w14:paraId="177FED0F" w14:textId="77777777" w:rsidR="00E54C76" w:rsidRDefault="00E54C76" w:rsidP="00E54C76">
      <w:pPr>
        <w:tabs>
          <w:tab w:val="center" w:pos="720"/>
        </w:tabs>
        <w:suppressAutoHyphens/>
        <w:spacing w:after="0" w:line="360" w:lineRule="auto"/>
        <w:rPr>
          <w:rFonts w:ascii="Times New Roman" w:eastAsia="Times New Roman" w:hAnsi="Times New Roman" w:cs="Times New Roman"/>
          <w:iCs/>
          <w:sz w:val="26"/>
          <w:szCs w:val="26"/>
        </w:rPr>
      </w:pPr>
    </w:p>
    <w:p w14:paraId="2096FDD3" w14:textId="41D54902" w:rsidR="001F2E46" w:rsidRPr="001F2E46" w:rsidRDefault="001F2E46" w:rsidP="00E54C76">
      <w:pPr>
        <w:tabs>
          <w:tab w:val="center" w:pos="720"/>
        </w:tabs>
        <w:suppressAutoHyphens/>
        <w:spacing w:after="0" w:line="360" w:lineRule="auto"/>
        <w:rPr>
          <w:rFonts w:ascii="Times New Roman" w:eastAsia="Times New Roman" w:hAnsi="Times New Roman" w:cs="Times New Roman"/>
          <w:sz w:val="26"/>
          <w:szCs w:val="26"/>
        </w:rPr>
      </w:pPr>
      <w:r w:rsidRPr="001F2E46">
        <w:rPr>
          <w:rFonts w:ascii="Times New Roman" w:eastAsia="Times New Roman" w:hAnsi="Times New Roman" w:cs="Times New Roman"/>
          <w:iCs/>
          <w:sz w:val="26"/>
          <w:szCs w:val="26"/>
        </w:rPr>
        <w:t xml:space="preserve">I&amp;E Statement in Support at </w:t>
      </w:r>
      <w:r w:rsidR="00E54C76">
        <w:rPr>
          <w:rFonts w:ascii="Times New Roman" w:eastAsia="Times New Roman" w:hAnsi="Times New Roman" w:cs="Times New Roman"/>
          <w:iCs/>
          <w:sz w:val="26"/>
          <w:szCs w:val="26"/>
        </w:rPr>
        <w:t>9-10</w:t>
      </w:r>
      <w:r w:rsidRPr="001F2E46">
        <w:rPr>
          <w:rFonts w:ascii="Times New Roman" w:eastAsia="Times New Roman" w:hAnsi="Times New Roman" w:cs="Times New Roman"/>
          <w:iCs/>
          <w:sz w:val="26"/>
          <w:szCs w:val="26"/>
        </w:rPr>
        <w:t xml:space="preserve">.  </w:t>
      </w:r>
    </w:p>
    <w:p w14:paraId="5CE2491A" w14:textId="7D9CD732" w:rsidR="00733D26" w:rsidRPr="00733D26" w:rsidRDefault="00733D26" w:rsidP="00733D26">
      <w:pPr>
        <w:tabs>
          <w:tab w:val="center" w:pos="720"/>
        </w:tabs>
        <w:suppressAutoHyphens/>
        <w:spacing w:after="0" w:line="360" w:lineRule="auto"/>
        <w:ind w:firstLine="1440"/>
        <w:rPr>
          <w:rFonts w:ascii="Times New Roman" w:eastAsia="Times New Roman" w:hAnsi="Times New Roman" w:cs="Times New Roman"/>
          <w:iCs/>
          <w:sz w:val="26"/>
          <w:szCs w:val="26"/>
        </w:rPr>
      </w:pPr>
      <w:r w:rsidRPr="00733D26">
        <w:rPr>
          <w:rFonts w:ascii="Times New Roman" w:eastAsia="Times New Roman" w:hAnsi="Times New Roman" w:cs="Times New Roman"/>
          <w:iCs/>
          <w:sz w:val="26"/>
          <w:szCs w:val="26"/>
        </w:rPr>
        <w:t xml:space="preserve">Nevertheless, out of an abundance of caution, we shall serve a copy of this Opinion and Order, along with a copy of </w:t>
      </w:r>
      <w:r>
        <w:rPr>
          <w:rFonts w:ascii="Times New Roman" w:eastAsia="Times New Roman" w:hAnsi="Times New Roman" w:cs="Times New Roman"/>
          <w:iCs/>
          <w:sz w:val="26"/>
          <w:szCs w:val="26"/>
        </w:rPr>
        <w:t>the OCA</w:t>
      </w:r>
      <w:r w:rsidRPr="00733D26">
        <w:rPr>
          <w:rFonts w:ascii="Times New Roman" w:eastAsia="Times New Roman" w:hAnsi="Times New Roman" w:cs="Times New Roman"/>
          <w:iCs/>
          <w:sz w:val="26"/>
          <w:szCs w:val="26"/>
        </w:rPr>
        <w:t>’s Comments, on I&amp;E for any such action that they may deem necessary.</w:t>
      </w:r>
    </w:p>
    <w:p w14:paraId="1AD021BF" w14:textId="77777777" w:rsidR="00B76723" w:rsidRDefault="00B76723" w:rsidP="00591FBF">
      <w:pPr>
        <w:tabs>
          <w:tab w:val="center" w:pos="720"/>
        </w:tabs>
        <w:suppressAutoHyphens/>
        <w:spacing w:after="0" w:line="360" w:lineRule="auto"/>
        <w:rPr>
          <w:rFonts w:ascii="Times New Roman" w:eastAsia="Times New Roman" w:hAnsi="Times New Roman" w:cs="Times New Roman"/>
          <w:sz w:val="26"/>
          <w:szCs w:val="26"/>
        </w:rPr>
      </w:pPr>
    </w:p>
    <w:p w14:paraId="37362E72" w14:textId="76095407" w:rsidR="00B76723" w:rsidRDefault="007514E9" w:rsidP="00DD45B6">
      <w:pPr>
        <w:pStyle w:val="Heading2"/>
      </w:pPr>
      <w:r>
        <w:t xml:space="preserve">Analysis of the Settlement Under the </w:t>
      </w:r>
      <w:r w:rsidR="00B76723" w:rsidRPr="00B76723">
        <w:t>Policy Statement</w:t>
      </w:r>
    </w:p>
    <w:p w14:paraId="75020D65" w14:textId="6AC8CC4E" w:rsidR="00B76723" w:rsidRDefault="00B76723" w:rsidP="00591FBF">
      <w:pPr>
        <w:tabs>
          <w:tab w:val="center" w:pos="720"/>
        </w:tabs>
        <w:suppressAutoHyphens/>
        <w:spacing w:after="0" w:line="360" w:lineRule="auto"/>
        <w:rPr>
          <w:rFonts w:ascii="Times New Roman" w:eastAsia="Times New Roman" w:hAnsi="Times New Roman" w:cs="Times New Roman"/>
          <w:b/>
          <w:bCs/>
          <w:sz w:val="26"/>
          <w:szCs w:val="26"/>
        </w:rPr>
      </w:pPr>
    </w:p>
    <w:p w14:paraId="59CAB582" w14:textId="77777777" w:rsidR="00B76723" w:rsidRPr="00B76723" w:rsidRDefault="00B76723" w:rsidP="00B76723">
      <w:pPr>
        <w:spacing w:after="0" w:line="360" w:lineRule="auto"/>
        <w:ind w:firstLine="1440"/>
        <w:rPr>
          <w:rFonts w:ascii="Times New Roman" w:eastAsia="Calibri" w:hAnsi="Times New Roman" w:cs="Times New Roman"/>
          <w:sz w:val="26"/>
          <w:szCs w:val="26"/>
        </w:rPr>
      </w:pPr>
      <w:r w:rsidRPr="00B76723">
        <w:rPr>
          <w:rFonts w:ascii="Times New Roman" w:eastAsia="Calibri" w:hAnsi="Times New Roman" w:cs="Times New Roman"/>
          <w:sz w:val="26"/>
          <w:szCs w:val="26"/>
        </w:rPr>
        <w:t xml:space="preserve">The Commission’s </w:t>
      </w:r>
      <w:r w:rsidRPr="00902C63">
        <w:rPr>
          <w:rFonts w:ascii="Times New Roman" w:eastAsia="Calibri" w:hAnsi="Times New Roman" w:cs="Times New Roman"/>
          <w:i/>
          <w:iCs/>
          <w:sz w:val="26"/>
          <w:szCs w:val="26"/>
        </w:rPr>
        <w:t>Policy Statement</w:t>
      </w:r>
      <w:r w:rsidRPr="00B76723">
        <w:rPr>
          <w:rFonts w:ascii="Times New Roman" w:eastAsia="Calibri" w:hAnsi="Times New Roman" w:cs="Times New Roman"/>
          <w:sz w:val="26"/>
          <w:szCs w:val="26"/>
        </w:rPr>
        <w:t xml:space="preserve"> sets forth ten factors that the Commission may consider in evaluating whether a civil penalty for violating a Commission order, regulation, or statute is appropriate, as well as whether a proposed settlement for a violation is reasonable and in the public interest.  52 Pa. Code § 69.1201.</w:t>
      </w:r>
    </w:p>
    <w:p w14:paraId="50A2354F" w14:textId="77777777" w:rsidR="00B76723" w:rsidRPr="00B76723" w:rsidRDefault="00B76723" w:rsidP="00B76723">
      <w:pPr>
        <w:autoSpaceDE w:val="0"/>
        <w:autoSpaceDN w:val="0"/>
        <w:adjustRightInd w:val="0"/>
        <w:spacing w:after="0" w:line="240" w:lineRule="auto"/>
        <w:rPr>
          <w:rFonts w:ascii="Times New Roman" w:eastAsia="Calibri" w:hAnsi="Times New Roman" w:cs="Times New Roman"/>
          <w:sz w:val="26"/>
          <w:szCs w:val="26"/>
          <w:highlight w:val="yellow"/>
        </w:rPr>
      </w:pPr>
    </w:p>
    <w:p w14:paraId="3452CCD7" w14:textId="79E405EA" w:rsidR="00B76723" w:rsidRPr="00B76723" w:rsidRDefault="00B76723" w:rsidP="00B76723">
      <w:pPr>
        <w:tabs>
          <w:tab w:val="center" w:pos="720"/>
        </w:tabs>
        <w:suppressAutoHyphens/>
        <w:spacing w:after="0" w:line="360" w:lineRule="auto"/>
        <w:rPr>
          <w:rFonts w:ascii="Times New Roman" w:eastAsia="Times New Roman" w:hAnsi="Times New Roman" w:cs="Times New Roman"/>
          <w:b/>
          <w:bCs/>
          <w:sz w:val="26"/>
          <w:szCs w:val="26"/>
        </w:rPr>
      </w:pPr>
      <w:r w:rsidRPr="00B76723">
        <w:rPr>
          <w:rFonts w:ascii="Times New Roman" w:eastAsia="Calibri" w:hAnsi="Times New Roman" w:cs="Times New Roman"/>
          <w:sz w:val="26"/>
          <w:szCs w:val="26"/>
        </w:rPr>
        <w:tab/>
      </w:r>
      <w:r w:rsidRPr="00B76723">
        <w:rPr>
          <w:rFonts w:ascii="Times New Roman" w:eastAsia="Calibri" w:hAnsi="Times New Roman" w:cs="Times New Roman"/>
          <w:sz w:val="26"/>
          <w:szCs w:val="26"/>
        </w:rPr>
        <w:tab/>
        <w:t xml:space="preserve">The Commission will not apply the factors as strictly in settled cases as in litigated cases.  52 Pa. Code § 69.1201(b).  While many of the same factors may still be considered, in settled cases, the parties “will be afforded flexibility in reaching amicable resolutions to complaints and other matters as long as the settlement is in the public interest.”  </w:t>
      </w:r>
      <w:r w:rsidRPr="00B76723">
        <w:rPr>
          <w:rFonts w:ascii="Times New Roman" w:eastAsia="Calibri" w:hAnsi="Times New Roman" w:cs="Times New Roman"/>
          <w:i/>
          <w:iCs/>
          <w:sz w:val="26"/>
          <w:szCs w:val="26"/>
        </w:rPr>
        <w:t>Id.</w:t>
      </w:r>
    </w:p>
    <w:p w14:paraId="0F473EF0" w14:textId="77777777" w:rsidR="00B76723" w:rsidRDefault="00B76723" w:rsidP="00591FBF">
      <w:pPr>
        <w:tabs>
          <w:tab w:val="center" w:pos="720"/>
        </w:tabs>
        <w:suppressAutoHyphens/>
        <w:spacing w:after="0" w:line="360" w:lineRule="auto"/>
        <w:rPr>
          <w:rFonts w:ascii="Times New Roman" w:eastAsia="Times New Roman" w:hAnsi="Times New Roman" w:cs="Times New Roman"/>
          <w:sz w:val="26"/>
          <w:szCs w:val="26"/>
        </w:rPr>
      </w:pPr>
    </w:p>
    <w:p w14:paraId="3D17AF64" w14:textId="1F27F642" w:rsidR="004A48BB" w:rsidRDefault="00DC3A36" w:rsidP="004C0DB3">
      <w:pPr>
        <w:tabs>
          <w:tab w:val="num" w:pos="1440"/>
        </w:tabs>
        <w:spacing w:after="0" w:line="360" w:lineRule="auto"/>
        <w:ind w:firstLine="1440"/>
        <w:rPr>
          <w:rFonts w:ascii="Times New Roman" w:eastAsia="Times New Roman" w:hAnsi="Times New Roman" w:cs="Times New Roman"/>
          <w:sz w:val="26"/>
          <w:szCs w:val="26"/>
        </w:rPr>
      </w:pPr>
      <w:r w:rsidRPr="00DC3A36">
        <w:rPr>
          <w:rFonts w:ascii="Times New Roman" w:eastAsia="Times New Roman" w:hAnsi="Times New Roman" w:cs="Times New Roman"/>
          <w:sz w:val="26"/>
          <w:szCs w:val="26"/>
        </w:rPr>
        <w:t>The first factor considers whether the conduct at issue was of a serious nature, such as willful fraud or misrepresentation, or if the conduct was less egregious, such as an administrative or technical error.  Conduct of a more serious nature may warrant a higher penalty.  52 Pa. Code § 69.1201(c)(1)</w:t>
      </w:r>
      <w:r w:rsidR="00322B7C">
        <w:rPr>
          <w:rFonts w:ascii="Times New Roman" w:eastAsia="Times New Roman" w:hAnsi="Times New Roman" w:cs="Times New Roman"/>
          <w:sz w:val="26"/>
          <w:szCs w:val="26"/>
        </w:rPr>
        <w:t xml:space="preserve">.  As noted, the alleged conduct in this matter involves unauthorized switching performed by Green Mountain agents at in-person marketing locations where the ECL was accessible to agents.  In this case </w:t>
      </w:r>
      <w:proofErr w:type="gramStart"/>
      <w:r w:rsidR="00322B7C">
        <w:rPr>
          <w:rFonts w:ascii="Times New Roman" w:eastAsia="Times New Roman" w:hAnsi="Times New Roman" w:cs="Times New Roman"/>
          <w:sz w:val="26"/>
          <w:szCs w:val="26"/>
        </w:rPr>
        <w:t>the majority of</w:t>
      </w:r>
      <w:proofErr w:type="gramEnd"/>
      <w:r w:rsidR="00322B7C">
        <w:rPr>
          <w:rFonts w:ascii="Times New Roman" w:eastAsia="Times New Roman" w:hAnsi="Times New Roman" w:cs="Times New Roman"/>
          <w:sz w:val="26"/>
          <w:szCs w:val="26"/>
        </w:rPr>
        <w:t xml:space="preserve"> the allegations of unauthorized switching were not of an intentional nature, where </w:t>
      </w:r>
      <w:r w:rsidR="00322B7C" w:rsidRPr="00322B7C">
        <w:rPr>
          <w:rFonts w:ascii="Times New Roman" w:eastAsia="Times New Roman" w:hAnsi="Times New Roman" w:cs="Times New Roman"/>
          <w:sz w:val="26"/>
          <w:szCs w:val="26"/>
        </w:rPr>
        <w:t xml:space="preserve">over 90 percent of the accounts that were switched, allegedly without consent, occurred as a result of enrollment processing errors where </w:t>
      </w:r>
      <w:r w:rsidR="00322B7C">
        <w:rPr>
          <w:rFonts w:ascii="Times New Roman" w:eastAsia="Times New Roman" w:hAnsi="Times New Roman" w:cs="Times New Roman"/>
          <w:sz w:val="26"/>
          <w:szCs w:val="26"/>
        </w:rPr>
        <w:t>Green Mountain</w:t>
      </w:r>
      <w:r w:rsidR="00322B7C" w:rsidRPr="00322B7C">
        <w:rPr>
          <w:rFonts w:ascii="Times New Roman" w:eastAsia="Times New Roman" w:hAnsi="Times New Roman" w:cs="Times New Roman"/>
          <w:sz w:val="26"/>
          <w:szCs w:val="26"/>
        </w:rPr>
        <w:t xml:space="preserve"> agents inadvertently selected the incorrect customer account</w:t>
      </w:r>
      <w:r w:rsidR="00322B7C">
        <w:rPr>
          <w:rFonts w:ascii="Times New Roman" w:eastAsia="Times New Roman" w:hAnsi="Times New Roman" w:cs="Times New Roman"/>
          <w:sz w:val="26"/>
          <w:szCs w:val="26"/>
        </w:rPr>
        <w:t xml:space="preserve">.  </w:t>
      </w:r>
      <w:r w:rsidR="00712E56">
        <w:rPr>
          <w:rFonts w:ascii="Times New Roman" w:eastAsia="Times New Roman" w:hAnsi="Times New Roman" w:cs="Times New Roman"/>
          <w:sz w:val="26"/>
          <w:szCs w:val="26"/>
        </w:rPr>
        <w:t xml:space="preserve">Nevertheless, the alleged violations are of a serious nature in that they involve changing a customer’s EGS without consent.  </w:t>
      </w:r>
      <w:r w:rsidR="00712E56" w:rsidRPr="00712E56">
        <w:rPr>
          <w:rFonts w:ascii="Times New Roman" w:eastAsia="Times New Roman" w:hAnsi="Times New Roman" w:cs="Times New Roman"/>
          <w:sz w:val="26"/>
          <w:szCs w:val="26"/>
        </w:rPr>
        <w:t>Consequently, the seriousness of these violations was considered in arriving at the proposed civil penalty in the Settlement</w:t>
      </w:r>
      <w:r w:rsidR="00712E56">
        <w:rPr>
          <w:rFonts w:ascii="Times New Roman" w:eastAsia="Times New Roman" w:hAnsi="Times New Roman" w:cs="Times New Roman"/>
          <w:sz w:val="26"/>
          <w:szCs w:val="26"/>
        </w:rPr>
        <w:t>.</w:t>
      </w:r>
    </w:p>
    <w:p w14:paraId="246B2278" w14:textId="03F1478B" w:rsidR="009927BC" w:rsidRDefault="009927BC" w:rsidP="00712E56">
      <w:pPr>
        <w:tabs>
          <w:tab w:val="num" w:pos="1440"/>
        </w:tabs>
        <w:spacing w:after="0" w:line="360" w:lineRule="auto"/>
        <w:rPr>
          <w:rFonts w:ascii="Times New Roman" w:eastAsia="Times New Roman" w:hAnsi="Times New Roman" w:cs="Times New Roman"/>
          <w:sz w:val="26"/>
          <w:szCs w:val="26"/>
        </w:rPr>
      </w:pPr>
    </w:p>
    <w:p w14:paraId="00A184F9" w14:textId="560784DE" w:rsidR="009927BC" w:rsidRDefault="00C063D7" w:rsidP="004F4A43">
      <w:pPr>
        <w:tabs>
          <w:tab w:val="num" w:pos="1440"/>
        </w:tab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second factor considered is whether </w:t>
      </w:r>
      <w:r w:rsidRPr="00C063D7">
        <w:rPr>
          <w:rFonts w:ascii="Times New Roman" w:eastAsia="Times New Roman" w:hAnsi="Times New Roman" w:cs="Times New Roman"/>
          <w:sz w:val="26"/>
          <w:szCs w:val="26"/>
        </w:rPr>
        <w:t xml:space="preserve">the resulting consequences of </w:t>
      </w:r>
      <w:r w:rsidR="0020735C">
        <w:rPr>
          <w:rFonts w:ascii="Times New Roman" w:eastAsia="Times New Roman" w:hAnsi="Times New Roman" w:cs="Times New Roman"/>
          <w:sz w:val="26"/>
          <w:szCs w:val="26"/>
        </w:rPr>
        <w:t>Green Mountain</w:t>
      </w:r>
      <w:r w:rsidRPr="00C063D7">
        <w:rPr>
          <w:rFonts w:ascii="Times New Roman" w:eastAsia="Times New Roman" w:hAnsi="Times New Roman" w:cs="Times New Roman"/>
          <w:sz w:val="26"/>
          <w:szCs w:val="26"/>
        </w:rPr>
        <w:t>’s alleged conduct were of a serious nature.  When consequences of a serious nature are involved, such as personal injury or property damage, the consequences may warrant a higher penalty.  52 Pa. Code § 69.1201(c)(2)</w:t>
      </w:r>
      <w:r>
        <w:rPr>
          <w:rFonts w:ascii="Times New Roman" w:eastAsia="Times New Roman" w:hAnsi="Times New Roman" w:cs="Times New Roman"/>
          <w:sz w:val="26"/>
          <w:szCs w:val="26"/>
        </w:rPr>
        <w:t xml:space="preserve">.  </w:t>
      </w:r>
      <w:r w:rsidR="005E1F4A">
        <w:rPr>
          <w:rFonts w:ascii="Times New Roman" w:eastAsia="Times New Roman" w:hAnsi="Times New Roman" w:cs="Times New Roman"/>
          <w:sz w:val="26"/>
          <w:szCs w:val="26"/>
        </w:rPr>
        <w:t xml:space="preserve">The Parties submit that no personal injury or property damage occurred </w:t>
      </w:r>
      <w:proofErr w:type="gramStart"/>
      <w:r w:rsidR="005E1F4A">
        <w:rPr>
          <w:rFonts w:ascii="Times New Roman" w:eastAsia="Times New Roman" w:hAnsi="Times New Roman" w:cs="Times New Roman"/>
          <w:sz w:val="26"/>
          <w:szCs w:val="26"/>
        </w:rPr>
        <w:t>as a result of</w:t>
      </w:r>
      <w:proofErr w:type="gramEnd"/>
      <w:r w:rsidR="005E1F4A">
        <w:rPr>
          <w:rFonts w:ascii="Times New Roman" w:eastAsia="Times New Roman" w:hAnsi="Times New Roman" w:cs="Times New Roman"/>
          <w:sz w:val="26"/>
          <w:szCs w:val="26"/>
        </w:rPr>
        <w:t xml:space="preserve"> the alleged violations.  I&amp;E Statement in Support at </w:t>
      </w:r>
      <w:r w:rsidR="0020735C">
        <w:rPr>
          <w:rFonts w:ascii="Times New Roman" w:eastAsia="Times New Roman" w:hAnsi="Times New Roman" w:cs="Times New Roman"/>
          <w:sz w:val="26"/>
          <w:szCs w:val="26"/>
        </w:rPr>
        <w:t>8</w:t>
      </w:r>
      <w:r w:rsidR="005E1F4A">
        <w:rPr>
          <w:rFonts w:ascii="Times New Roman" w:eastAsia="Times New Roman" w:hAnsi="Times New Roman" w:cs="Times New Roman"/>
          <w:sz w:val="26"/>
          <w:szCs w:val="26"/>
        </w:rPr>
        <w:t xml:space="preserve">; </w:t>
      </w:r>
      <w:r w:rsidR="0020735C">
        <w:rPr>
          <w:rFonts w:ascii="Times New Roman" w:eastAsia="Times New Roman" w:hAnsi="Times New Roman" w:cs="Times New Roman"/>
          <w:sz w:val="26"/>
          <w:szCs w:val="26"/>
        </w:rPr>
        <w:t>Green Mountain</w:t>
      </w:r>
      <w:r w:rsidR="005E1F4A">
        <w:rPr>
          <w:rFonts w:ascii="Times New Roman" w:eastAsia="Times New Roman" w:hAnsi="Times New Roman" w:cs="Times New Roman"/>
          <w:sz w:val="26"/>
          <w:szCs w:val="26"/>
        </w:rPr>
        <w:t xml:space="preserve"> Statement in Support at </w:t>
      </w:r>
      <w:r w:rsidR="0020735C">
        <w:rPr>
          <w:rFonts w:ascii="Times New Roman" w:eastAsia="Times New Roman" w:hAnsi="Times New Roman" w:cs="Times New Roman"/>
          <w:sz w:val="26"/>
          <w:szCs w:val="26"/>
        </w:rPr>
        <w:t>7</w:t>
      </w:r>
      <w:r w:rsidR="005E1F4A">
        <w:rPr>
          <w:rFonts w:ascii="Times New Roman" w:eastAsia="Times New Roman" w:hAnsi="Times New Roman" w:cs="Times New Roman"/>
          <w:sz w:val="26"/>
          <w:szCs w:val="26"/>
        </w:rPr>
        <w:t>.</w:t>
      </w:r>
      <w:r w:rsidR="0020735C">
        <w:rPr>
          <w:rFonts w:ascii="Times New Roman" w:eastAsia="Times New Roman" w:hAnsi="Times New Roman" w:cs="Times New Roman"/>
          <w:sz w:val="26"/>
          <w:szCs w:val="26"/>
        </w:rPr>
        <w:t xml:space="preserve">  Nevertheless, the consequences of the alleged violations may have resulted in customers</w:t>
      </w:r>
      <w:r w:rsidR="00CA21E1">
        <w:rPr>
          <w:rFonts w:ascii="Times New Roman" w:eastAsia="Times New Roman" w:hAnsi="Times New Roman" w:cs="Times New Roman"/>
          <w:sz w:val="26"/>
          <w:szCs w:val="26"/>
        </w:rPr>
        <w:t>, who received electric generation supplied by Green Mountain, being charged a more expensive rate tha</w:t>
      </w:r>
      <w:r w:rsidR="00902C63">
        <w:rPr>
          <w:rFonts w:ascii="Times New Roman" w:eastAsia="Times New Roman" w:hAnsi="Times New Roman" w:cs="Times New Roman"/>
          <w:sz w:val="26"/>
          <w:szCs w:val="26"/>
        </w:rPr>
        <w:t>n</w:t>
      </w:r>
      <w:r w:rsidR="00CA21E1">
        <w:rPr>
          <w:rFonts w:ascii="Times New Roman" w:eastAsia="Times New Roman" w:hAnsi="Times New Roman" w:cs="Times New Roman"/>
          <w:sz w:val="26"/>
          <w:szCs w:val="26"/>
        </w:rPr>
        <w:t xml:space="preserve"> the local electric distribution company’s price-to-compare (PTC) or the rate of another EGS.  </w:t>
      </w:r>
      <w:r w:rsidR="00CA21E1" w:rsidRPr="00CA21E1">
        <w:rPr>
          <w:rFonts w:ascii="Times New Roman" w:eastAsia="Times New Roman" w:hAnsi="Times New Roman" w:cs="Times New Roman"/>
          <w:sz w:val="26"/>
          <w:szCs w:val="26"/>
        </w:rPr>
        <w:t xml:space="preserve">Accordingly, some customers may have experienced financial consequences </w:t>
      </w:r>
      <w:proofErr w:type="gramStart"/>
      <w:r w:rsidR="00CA21E1" w:rsidRPr="00CA21E1">
        <w:rPr>
          <w:rFonts w:ascii="Times New Roman" w:eastAsia="Times New Roman" w:hAnsi="Times New Roman" w:cs="Times New Roman"/>
          <w:sz w:val="26"/>
          <w:szCs w:val="26"/>
        </w:rPr>
        <w:t>as a result of</w:t>
      </w:r>
      <w:proofErr w:type="gramEnd"/>
      <w:r w:rsidR="00CA21E1" w:rsidRPr="00CA21E1">
        <w:rPr>
          <w:rFonts w:ascii="Times New Roman" w:eastAsia="Times New Roman" w:hAnsi="Times New Roman" w:cs="Times New Roman"/>
          <w:sz w:val="26"/>
          <w:szCs w:val="26"/>
        </w:rPr>
        <w:t xml:space="preserve"> the actions of </w:t>
      </w:r>
      <w:r w:rsidR="00CA21E1">
        <w:rPr>
          <w:rFonts w:ascii="Times New Roman" w:eastAsia="Times New Roman" w:hAnsi="Times New Roman" w:cs="Times New Roman"/>
          <w:sz w:val="26"/>
          <w:szCs w:val="26"/>
        </w:rPr>
        <w:t>Green Mountain</w:t>
      </w:r>
      <w:r w:rsidR="00CA21E1" w:rsidRPr="00CA21E1">
        <w:rPr>
          <w:rFonts w:ascii="Times New Roman" w:eastAsia="Times New Roman" w:hAnsi="Times New Roman" w:cs="Times New Roman"/>
          <w:sz w:val="26"/>
          <w:szCs w:val="26"/>
        </w:rPr>
        <w:t xml:space="preserve"> agents and such consequences should be deemed serious.</w:t>
      </w:r>
    </w:p>
    <w:p w14:paraId="385A6535" w14:textId="77777777" w:rsidR="004F4A43" w:rsidRDefault="004F4A43" w:rsidP="004F4A43">
      <w:pPr>
        <w:tabs>
          <w:tab w:val="num" w:pos="1440"/>
        </w:tabs>
        <w:spacing w:after="0" w:line="360" w:lineRule="auto"/>
        <w:ind w:firstLine="1440"/>
        <w:rPr>
          <w:rFonts w:ascii="Times New Roman" w:eastAsia="Times New Roman" w:hAnsi="Times New Roman" w:cs="Times New Roman"/>
          <w:sz w:val="26"/>
          <w:szCs w:val="26"/>
        </w:rPr>
      </w:pPr>
    </w:p>
    <w:p w14:paraId="1FEF9A5A" w14:textId="113461FA" w:rsidR="007505D4" w:rsidRPr="007505D4" w:rsidRDefault="007505D4" w:rsidP="007505D4">
      <w:pPr>
        <w:tabs>
          <w:tab w:val="num" w:pos="1440"/>
        </w:tabs>
        <w:spacing w:after="0" w:line="360" w:lineRule="auto"/>
        <w:ind w:firstLine="1440"/>
        <w:rPr>
          <w:rFonts w:ascii="Times New Roman" w:eastAsia="Times New Roman" w:hAnsi="Times New Roman" w:cs="Times New Roman"/>
          <w:sz w:val="26"/>
          <w:szCs w:val="26"/>
        </w:rPr>
      </w:pPr>
      <w:r w:rsidRPr="007505D4">
        <w:rPr>
          <w:rFonts w:ascii="Times New Roman" w:eastAsia="Times New Roman" w:hAnsi="Times New Roman" w:cs="Times New Roman"/>
          <w:sz w:val="26"/>
          <w:szCs w:val="26"/>
        </w:rPr>
        <w:t xml:space="preserve">The third factor to be considered under the </w:t>
      </w:r>
      <w:r w:rsidRPr="007505D4">
        <w:rPr>
          <w:rFonts w:ascii="Times New Roman" w:eastAsia="Times New Roman" w:hAnsi="Times New Roman" w:cs="Times New Roman"/>
          <w:i/>
          <w:iCs/>
          <w:sz w:val="26"/>
          <w:szCs w:val="26"/>
        </w:rPr>
        <w:t>Policy Statement</w:t>
      </w:r>
      <w:r w:rsidRPr="007505D4">
        <w:rPr>
          <w:rFonts w:ascii="Times New Roman" w:eastAsia="Times New Roman" w:hAnsi="Times New Roman" w:cs="Times New Roman"/>
          <w:sz w:val="26"/>
          <w:szCs w:val="26"/>
        </w:rPr>
        <w:t xml:space="preserve"> is whether the alleged conduct was intentional or negligent.  52 Pa. Code § 69.1201(c)(3).  “This factor may only be considered in evaluating litigated cases.”  </w:t>
      </w:r>
      <w:r w:rsidRPr="007505D4">
        <w:rPr>
          <w:rFonts w:ascii="Times New Roman" w:eastAsia="Times New Roman" w:hAnsi="Times New Roman" w:cs="Times New Roman"/>
          <w:i/>
          <w:sz w:val="26"/>
          <w:szCs w:val="26"/>
        </w:rPr>
        <w:t>Id.</w:t>
      </w:r>
      <w:r w:rsidRPr="007505D4">
        <w:rPr>
          <w:rFonts w:ascii="Times New Roman" w:eastAsia="Times New Roman" w:hAnsi="Times New Roman" w:cs="Times New Roman"/>
          <w:sz w:val="26"/>
          <w:szCs w:val="26"/>
        </w:rPr>
        <w:t xml:space="preserve">  Whether </w:t>
      </w:r>
      <w:r w:rsidR="00517A91">
        <w:rPr>
          <w:rFonts w:ascii="Times New Roman" w:eastAsia="Times New Roman" w:hAnsi="Times New Roman" w:cs="Times New Roman"/>
          <w:sz w:val="26"/>
          <w:szCs w:val="26"/>
        </w:rPr>
        <w:t>Green Mountain</w:t>
      </w:r>
      <w:r w:rsidRPr="007505D4">
        <w:rPr>
          <w:rFonts w:ascii="Times New Roman" w:eastAsia="Times New Roman" w:hAnsi="Times New Roman" w:cs="Times New Roman"/>
          <w:sz w:val="26"/>
          <w:szCs w:val="26"/>
        </w:rPr>
        <w:t xml:space="preserve">’s alleged conduct was intentional or negligent does not apply because this matter is being resolved via settlement of the Parties.  </w:t>
      </w:r>
      <w:r w:rsidR="008922AD" w:rsidRPr="008922AD">
        <w:rPr>
          <w:rFonts w:ascii="Times New Roman" w:eastAsia="Times New Roman" w:hAnsi="Times New Roman" w:cs="Times New Roman"/>
          <w:sz w:val="26"/>
          <w:szCs w:val="26"/>
        </w:rPr>
        <w:t xml:space="preserve">I&amp;E Statement in Support at </w:t>
      </w:r>
      <w:r w:rsidR="00517A91">
        <w:rPr>
          <w:rFonts w:ascii="Times New Roman" w:eastAsia="Times New Roman" w:hAnsi="Times New Roman" w:cs="Times New Roman"/>
          <w:sz w:val="26"/>
          <w:szCs w:val="26"/>
        </w:rPr>
        <w:t>9</w:t>
      </w:r>
      <w:r w:rsidRPr="007505D4">
        <w:rPr>
          <w:rFonts w:ascii="Times New Roman" w:eastAsia="Times New Roman" w:hAnsi="Times New Roman" w:cs="Times New Roman"/>
          <w:sz w:val="26"/>
          <w:szCs w:val="26"/>
        </w:rPr>
        <w:t>.  Therefore, this factor does not need to be considered in this proceeding.</w:t>
      </w:r>
      <w:r>
        <w:rPr>
          <w:rFonts w:ascii="Times New Roman" w:eastAsia="Times New Roman" w:hAnsi="Times New Roman" w:cs="Times New Roman"/>
          <w:sz w:val="26"/>
          <w:szCs w:val="26"/>
        </w:rPr>
        <w:t xml:space="preserve">  </w:t>
      </w:r>
    </w:p>
    <w:p w14:paraId="7672A6A9" w14:textId="77777777" w:rsidR="00686D2B" w:rsidRDefault="00686D2B" w:rsidP="00591FBF">
      <w:pPr>
        <w:tabs>
          <w:tab w:val="num" w:pos="1440"/>
        </w:tabs>
        <w:spacing w:after="0" w:line="360" w:lineRule="auto"/>
        <w:ind w:firstLine="1440"/>
        <w:rPr>
          <w:rFonts w:ascii="Times New Roman" w:eastAsia="Times New Roman" w:hAnsi="Times New Roman" w:cs="Times New Roman"/>
          <w:sz w:val="26"/>
          <w:szCs w:val="26"/>
        </w:rPr>
      </w:pPr>
    </w:p>
    <w:p w14:paraId="0A48664E" w14:textId="1E816B81" w:rsidR="006B7D6D" w:rsidRDefault="00782EE2" w:rsidP="00B97153">
      <w:pPr>
        <w:tabs>
          <w:tab w:val="num" w:pos="1440"/>
        </w:tabs>
        <w:spacing w:after="0" w:line="360" w:lineRule="auto"/>
        <w:ind w:firstLine="1440"/>
        <w:rPr>
          <w:rFonts w:ascii="Times New Roman" w:hAnsi="Times New Roman"/>
          <w:sz w:val="26"/>
          <w:szCs w:val="26"/>
        </w:rPr>
      </w:pPr>
      <w:r w:rsidRPr="00782EE2">
        <w:rPr>
          <w:rFonts w:ascii="Times New Roman" w:eastAsia="Times New Roman" w:hAnsi="Times New Roman" w:cs="Times New Roman"/>
          <w:sz w:val="26"/>
          <w:szCs w:val="26"/>
        </w:rPr>
        <w:t>The fourth factor to be considered is whether the Company has made efforts to</w:t>
      </w:r>
      <w:r w:rsidR="00D86DA9">
        <w:rPr>
          <w:rFonts w:ascii="Times New Roman" w:eastAsia="Times New Roman" w:hAnsi="Times New Roman" w:cs="Times New Roman"/>
          <w:sz w:val="26"/>
          <w:szCs w:val="26"/>
        </w:rPr>
        <w:t xml:space="preserve"> modify</w:t>
      </w:r>
      <w:r w:rsidRPr="00782EE2">
        <w:rPr>
          <w:rFonts w:ascii="Times New Roman" w:eastAsia="Times New Roman" w:hAnsi="Times New Roman" w:cs="Times New Roman"/>
          <w:sz w:val="26"/>
          <w:szCs w:val="26"/>
        </w:rPr>
        <w:t xml:space="preserve"> its </w:t>
      </w:r>
      <w:r w:rsidR="00D86DA9">
        <w:rPr>
          <w:rFonts w:ascii="Times New Roman" w:eastAsia="Times New Roman" w:hAnsi="Times New Roman" w:cs="Times New Roman"/>
          <w:sz w:val="26"/>
          <w:szCs w:val="26"/>
        </w:rPr>
        <w:t xml:space="preserve">internal </w:t>
      </w:r>
      <w:r w:rsidRPr="00782EE2">
        <w:rPr>
          <w:rFonts w:ascii="Times New Roman" w:eastAsia="Times New Roman" w:hAnsi="Times New Roman" w:cs="Times New Roman"/>
          <w:sz w:val="26"/>
          <w:szCs w:val="26"/>
        </w:rPr>
        <w:t>practices and procedures to</w:t>
      </w:r>
      <w:r w:rsidR="00D86DA9">
        <w:rPr>
          <w:rFonts w:ascii="Times New Roman" w:eastAsia="Times New Roman" w:hAnsi="Times New Roman" w:cs="Times New Roman"/>
          <w:sz w:val="26"/>
          <w:szCs w:val="26"/>
        </w:rPr>
        <w:t xml:space="preserve"> address the conduct at issue and </w:t>
      </w:r>
      <w:r w:rsidRPr="00782EE2">
        <w:rPr>
          <w:rFonts w:ascii="Times New Roman" w:eastAsia="Times New Roman" w:hAnsi="Times New Roman" w:cs="Times New Roman"/>
          <w:sz w:val="26"/>
          <w:szCs w:val="26"/>
        </w:rPr>
        <w:t xml:space="preserve">prevent similar conduct in the future.  </w:t>
      </w:r>
      <w:r w:rsidR="00D86DA9">
        <w:rPr>
          <w:rFonts w:ascii="Times New Roman" w:hAnsi="Times New Roman"/>
          <w:sz w:val="26"/>
          <w:szCs w:val="26"/>
        </w:rPr>
        <w:t xml:space="preserve">The amount of time it took the utility to correct the conduct once it was discovered and the involvement of top-level management in correcting the conduct may be considered.  52 Pa. Code § 69.1201(c)(4).  </w:t>
      </w:r>
      <w:r w:rsidR="00100C5F" w:rsidRPr="00100C5F">
        <w:rPr>
          <w:rFonts w:ascii="Times New Roman" w:hAnsi="Times New Roman"/>
          <w:sz w:val="26"/>
          <w:szCs w:val="26"/>
        </w:rPr>
        <w:t>Green Mountain has extensive practices and procedures in place to vet potential new vendors, train agents, conduct quality assurance and ensure the proper enrollment of customers</w:t>
      </w:r>
      <w:r w:rsidR="00100C5F">
        <w:rPr>
          <w:rFonts w:ascii="Times New Roman" w:hAnsi="Times New Roman"/>
          <w:sz w:val="26"/>
          <w:szCs w:val="26"/>
        </w:rPr>
        <w:t xml:space="preserve">.  </w:t>
      </w:r>
      <w:r w:rsidR="00F04456" w:rsidRPr="00F04456">
        <w:rPr>
          <w:rFonts w:ascii="Times New Roman" w:hAnsi="Times New Roman"/>
          <w:sz w:val="26"/>
          <w:szCs w:val="26"/>
        </w:rPr>
        <w:t xml:space="preserve">In August 2019, Green Mountain modified the ECL search tool to eliminate the ability of third-party sales agents from scrolling through the list to locate a customer. </w:t>
      </w:r>
      <w:r w:rsidR="00F04456">
        <w:rPr>
          <w:rFonts w:ascii="Times New Roman" w:hAnsi="Times New Roman"/>
          <w:sz w:val="26"/>
          <w:szCs w:val="26"/>
        </w:rPr>
        <w:t xml:space="preserve"> </w:t>
      </w:r>
      <w:r w:rsidR="00F04456" w:rsidRPr="00F04456">
        <w:rPr>
          <w:rFonts w:ascii="Times New Roman" w:hAnsi="Times New Roman"/>
          <w:sz w:val="26"/>
          <w:szCs w:val="26"/>
        </w:rPr>
        <w:t xml:space="preserve">This limitation was expanded in August 2020 to include all Green Mountain sales agents, both third-party and in-house. </w:t>
      </w:r>
      <w:r w:rsidR="00F04456">
        <w:rPr>
          <w:rFonts w:ascii="Times New Roman" w:hAnsi="Times New Roman"/>
          <w:sz w:val="26"/>
          <w:szCs w:val="26"/>
        </w:rPr>
        <w:t xml:space="preserve"> </w:t>
      </w:r>
      <w:r w:rsidR="00F04456" w:rsidRPr="00F04456">
        <w:rPr>
          <w:rFonts w:ascii="Times New Roman" w:hAnsi="Times New Roman"/>
          <w:sz w:val="26"/>
          <w:szCs w:val="26"/>
        </w:rPr>
        <w:t>The tool now only permits searching for a specific name and populates information if a match is located. Moreover, Green Mountain maintains a stringent ECL misuse policy that enables Green</w:t>
      </w:r>
      <w:r w:rsidR="00F04456" w:rsidRPr="00F04456">
        <w:rPr>
          <w:rFonts w:ascii="Times New Roman" w:hAnsi="Times New Roman" w:cs="Times New Roman"/>
          <w:color w:val="000000"/>
          <w:sz w:val="26"/>
          <w:szCs w:val="26"/>
        </w:rPr>
        <w:t xml:space="preserve"> </w:t>
      </w:r>
      <w:r w:rsidR="00F04456" w:rsidRPr="00F04456">
        <w:rPr>
          <w:rFonts w:ascii="Times New Roman" w:hAnsi="Times New Roman"/>
          <w:sz w:val="26"/>
          <w:szCs w:val="26"/>
        </w:rPr>
        <w:t>Mountain to suspend a sales agent or entire sales team from using the ECL for one week, thirty days or indefinitely, depending on the severity of the offense.</w:t>
      </w:r>
      <w:r w:rsidR="00902C63">
        <w:rPr>
          <w:rFonts w:ascii="Times New Roman" w:hAnsi="Times New Roman"/>
          <w:sz w:val="26"/>
          <w:szCs w:val="26"/>
        </w:rPr>
        <w:t xml:space="preserve">  I&amp;E Statement in Support at 9-10.</w:t>
      </w:r>
    </w:p>
    <w:p w14:paraId="33A355EE" w14:textId="77777777" w:rsidR="006B7D6D" w:rsidRDefault="006B7D6D" w:rsidP="00B97153">
      <w:pPr>
        <w:tabs>
          <w:tab w:val="num" w:pos="1440"/>
        </w:tabs>
        <w:spacing w:after="0" w:line="360" w:lineRule="auto"/>
        <w:ind w:firstLine="1440"/>
        <w:rPr>
          <w:rFonts w:ascii="Times New Roman" w:hAnsi="Times New Roman"/>
          <w:sz w:val="26"/>
          <w:szCs w:val="26"/>
        </w:rPr>
      </w:pPr>
    </w:p>
    <w:p w14:paraId="11AF9068" w14:textId="0DB68283" w:rsidR="00F04456" w:rsidRPr="00F04456" w:rsidRDefault="00F04456" w:rsidP="00F04456">
      <w:pPr>
        <w:tabs>
          <w:tab w:val="num" w:pos="1440"/>
        </w:tabs>
        <w:spacing w:after="0" w:line="360" w:lineRule="auto"/>
        <w:ind w:firstLine="1440"/>
        <w:rPr>
          <w:rFonts w:ascii="Times New Roman" w:hAnsi="Times New Roman"/>
          <w:sz w:val="26"/>
          <w:szCs w:val="26"/>
        </w:rPr>
      </w:pPr>
      <w:r>
        <w:rPr>
          <w:rFonts w:ascii="Times New Roman" w:hAnsi="Times New Roman"/>
          <w:sz w:val="26"/>
          <w:szCs w:val="26"/>
        </w:rPr>
        <w:t>Green Mou</w:t>
      </w:r>
      <w:r w:rsidR="00DF6895">
        <w:rPr>
          <w:rFonts w:ascii="Times New Roman" w:hAnsi="Times New Roman"/>
          <w:sz w:val="26"/>
          <w:szCs w:val="26"/>
        </w:rPr>
        <w:t>nt</w:t>
      </w:r>
      <w:r>
        <w:rPr>
          <w:rFonts w:ascii="Times New Roman" w:hAnsi="Times New Roman"/>
          <w:sz w:val="26"/>
          <w:szCs w:val="26"/>
        </w:rPr>
        <w:t>ain</w:t>
      </w:r>
      <w:r w:rsidRPr="00F04456">
        <w:rPr>
          <w:rFonts w:ascii="Times New Roman" w:hAnsi="Times New Roman"/>
          <w:sz w:val="26"/>
          <w:szCs w:val="26"/>
        </w:rPr>
        <w:t xml:space="preserve"> has also agreed to provide I&amp;E with a monthly report by the 30</w:t>
      </w:r>
      <w:r w:rsidRPr="00F04456">
        <w:rPr>
          <w:rFonts w:ascii="Times New Roman" w:hAnsi="Times New Roman"/>
          <w:sz w:val="26"/>
          <w:szCs w:val="26"/>
          <w:vertAlign w:val="superscript"/>
        </w:rPr>
        <w:t>th</w:t>
      </w:r>
      <w:r w:rsidRPr="00F04456">
        <w:rPr>
          <w:rFonts w:ascii="Times New Roman" w:hAnsi="Times New Roman"/>
          <w:sz w:val="26"/>
          <w:szCs w:val="26"/>
        </w:rPr>
        <w:t xml:space="preserve"> of each month, for a period of 1 year, detailing complaints from Pennsylvania consumers that were received by the Company from BCS, the Pennsylvania Attorney General’s Office, the Better Business Bureau and/or complaints directed to the Company related to allegations of unauthorized switching that originated from in-person retail and event solicitations.</w:t>
      </w:r>
      <w:r>
        <w:rPr>
          <w:rFonts w:ascii="Times New Roman" w:hAnsi="Times New Roman"/>
          <w:sz w:val="26"/>
          <w:szCs w:val="26"/>
        </w:rPr>
        <w:t xml:space="preserve">  </w:t>
      </w:r>
      <w:r w:rsidRPr="00F04456">
        <w:rPr>
          <w:rFonts w:ascii="Times New Roman" w:hAnsi="Times New Roman"/>
          <w:sz w:val="26"/>
          <w:szCs w:val="26"/>
        </w:rPr>
        <w:t xml:space="preserve">Thus, heightened scrutiny will continue to be placed on </w:t>
      </w:r>
      <w:r w:rsidR="00DF6895">
        <w:rPr>
          <w:rFonts w:ascii="Times New Roman" w:hAnsi="Times New Roman"/>
          <w:sz w:val="26"/>
          <w:szCs w:val="26"/>
        </w:rPr>
        <w:t>Green Mou</w:t>
      </w:r>
      <w:r w:rsidR="00A248AE">
        <w:rPr>
          <w:rFonts w:ascii="Times New Roman" w:hAnsi="Times New Roman"/>
          <w:sz w:val="26"/>
          <w:szCs w:val="26"/>
        </w:rPr>
        <w:t>n</w:t>
      </w:r>
      <w:r w:rsidR="00DF6895">
        <w:rPr>
          <w:rFonts w:ascii="Times New Roman" w:hAnsi="Times New Roman"/>
          <w:sz w:val="26"/>
          <w:szCs w:val="26"/>
        </w:rPr>
        <w:t>tain</w:t>
      </w:r>
      <w:r w:rsidRPr="00F04456">
        <w:rPr>
          <w:rFonts w:ascii="Times New Roman" w:hAnsi="Times New Roman"/>
          <w:sz w:val="26"/>
          <w:szCs w:val="26"/>
        </w:rPr>
        <w:t xml:space="preserve">’s sales activities at </w:t>
      </w:r>
      <w:r w:rsidR="00DF6895">
        <w:rPr>
          <w:rFonts w:ascii="Times New Roman" w:hAnsi="Times New Roman"/>
          <w:sz w:val="26"/>
          <w:szCs w:val="26"/>
        </w:rPr>
        <w:t>in-person</w:t>
      </w:r>
      <w:r w:rsidRPr="00F04456">
        <w:rPr>
          <w:rFonts w:ascii="Times New Roman" w:hAnsi="Times New Roman"/>
          <w:sz w:val="26"/>
          <w:szCs w:val="26"/>
        </w:rPr>
        <w:t xml:space="preserve"> locations.</w:t>
      </w:r>
      <w:r w:rsidR="00902C63">
        <w:rPr>
          <w:rFonts w:ascii="Times New Roman" w:hAnsi="Times New Roman"/>
          <w:sz w:val="26"/>
          <w:szCs w:val="26"/>
        </w:rPr>
        <w:t xml:space="preserve">  I&amp;E Statement in Support at 10.  </w:t>
      </w:r>
      <w:r w:rsidRPr="00F04456">
        <w:rPr>
          <w:rFonts w:ascii="Times New Roman" w:hAnsi="Times New Roman"/>
          <w:sz w:val="26"/>
          <w:szCs w:val="26"/>
        </w:rPr>
        <w:t xml:space="preserve">Accordingly, we determine that the fourth factor has been satisfied through </w:t>
      </w:r>
      <w:r w:rsidR="00DF6895">
        <w:rPr>
          <w:rFonts w:ascii="Times New Roman" w:hAnsi="Times New Roman"/>
          <w:sz w:val="26"/>
          <w:szCs w:val="26"/>
        </w:rPr>
        <w:t>Green Mountain</w:t>
      </w:r>
      <w:r w:rsidRPr="00F04456">
        <w:rPr>
          <w:rFonts w:ascii="Times New Roman" w:hAnsi="Times New Roman"/>
          <w:sz w:val="26"/>
          <w:szCs w:val="26"/>
        </w:rPr>
        <w:t>’s actions in response to the complaints and as agreed in the Settlement.</w:t>
      </w:r>
    </w:p>
    <w:p w14:paraId="03CDDE71" w14:textId="12BA43EC" w:rsidR="00031E78" w:rsidRDefault="00031E78" w:rsidP="005578A1">
      <w:pPr>
        <w:spacing w:after="0" w:line="360" w:lineRule="auto"/>
        <w:rPr>
          <w:rFonts w:ascii="Times New Roman" w:eastAsia="Times New Roman" w:hAnsi="Times New Roman" w:cs="Times New Roman"/>
          <w:sz w:val="26"/>
          <w:szCs w:val="26"/>
        </w:rPr>
      </w:pPr>
    </w:p>
    <w:p w14:paraId="67A9C651" w14:textId="5657D5B6" w:rsidR="0066047B" w:rsidRDefault="00290CF8" w:rsidP="00290CF8">
      <w:pPr>
        <w:spacing w:after="0" w:line="360" w:lineRule="auto"/>
        <w:ind w:firstLine="1440"/>
        <w:rPr>
          <w:rFonts w:ascii="Times New Roman" w:eastAsia="Times New Roman" w:hAnsi="Times New Roman" w:cs="Times New Roman"/>
          <w:sz w:val="26"/>
          <w:szCs w:val="26"/>
        </w:rPr>
      </w:pPr>
      <w:r w:rsidRPr="00290CF8">
        <w:rPr>
          <w:rFonts w:ascii="Times New Roman" w:eastAsia="Times New Roman" w:hAnsi="Times New Roman" w:cs="Times New Roman"/>
          <w:sz w:val="26"/>
          <w:szCs w:val="26"/>
          <w:lang w:val="x-none"/>
        </w:rPr>
        <w:t xml:space="preserve">The fifth factor to be considered relates to the number of customers affected by the Company's actions and the duration of </w:t>
      </w:r>
      <w:r w:rsidRPr="00290CF8">
        <w:rPr>
          <w:rFonts w:ascii="Times New Roman" w:eastAsia="Times New Roman" w:hAnsi="Times New Roman" w:cs="Times New Roman"/>
          <w:sz w:val="26"/>
          <w:szCs w:val="26"/>
        </w:rPr>
        <w:t>the</w:t>
      </w:r>
      <w:r w:rsidRPr="00290CF8">
        <w:rPr>
          <w:rFonts w:ascii="Times New Roman" w:eastAsia="Times New Roman" w:hAnsi="Times New Roman" w:cs="Times New Roman"/>
          <w:sz w:val="26"/>
          <w:szCs w:val="26"/>
          <w:lang w:val="x-none"/>
        </w:rPr>
        <w:t xml:space="preserve"> violations.  52 Pa. Code §</w:t>
      </w:r>
      <w:r w:rsidRPr="00290CF8">
        <w:rPr>
          <w:rFonts w:ascii="Times New Roman" w:eastAsia="Times New Roman" w:hAnsi="Times New Roman" w:cs="Times New Roman"/>
          <w:sz w:val="26"/>
          <w:szCs w:val="26"/>
        </w:rPr>
        <w:t> </w:t>
      </w:r>
      <w:r w:rsidRPr="00290CF8">
        <w:rPr>
          <w:rFonts w:ascii="Times New Roman" w:eastAsia="Times New Roman" w:hAnsi="Times New Roman" w:cs="Times New Roman"/>
          <w:sz w:val="26"/>
          <w:szCs w:val="26"/>
          <w:lang w:val="x-none"/>
        </w:rPr>
        <w:t>69.1201(c)(5).</w:t>
      </w:r>
      <w:r>
        <w:rPr>
          <w:rFonts w:ascii="Times New Roman" w:eastAsia="Times New Roman" w:hAnsi="Times New Roman" w:cs="Times New Roman"/>
          <w:sz w:val="26"/>
          <w:szCs w:val="26"/>
        </w:rPr>
        <w:t xml:space="preserve">  </w:t>
      </w:r>
      <w:r w:rsidR="0066047B">
        <w:rPr>
          <w:rFonts w:ascii="Times New Roman" w:eastAsia="Times New Roman" w:hAnsi="Times New Roman" w:cs="Times New Roman"/>
          <w:sz w:val="26"/>
          <w:szCs w:val="26"/>
        </w:rPr>
        <w:t xml:space="preserve">I&amp;E’s investigation revealed that 156 customer accounts were switched to receive electric generation service provided by Green Mountain without the customers’ authorizations.  </w:t>
      </w:r>
      <w:r w:rsidR="0066047B" w:rsidRPr="0066047B">
        <w:rPr>
          <w:rFonts w:ascii="Times New Roman" w:eastAsia="Times New Roman" w:hAnsi="Times New Roman" w:cs="Times New Roman"/>
          <w:sz w:val="26"/>
          <w:szCs w:val="26"/>
        </w:rPr>
        <w:t xml:space="preserve">The incidents of unauthorized enrollments originated from Green Mountain’s sales activities at in-person locations that took place between June 1, </w:t>
      </w:r>
      <w:proofErr w:type="gramStart"/>
      <w:r w:rsidR="0066047B" w:rsidRPr="0066047B">
        <w:rPr>
          <w:rFonts w:ascii="Times New Roman" w:eastAsia="Times New Roman" w:hAnsi="Times New Roman" w:cs="Times New Roman"/>
          <w:sz w:val="26"/>
          <w:szCs w:val="26"/>
        </w:rPr>
        <w:t>2018</w:t>
      </w:r>
      <w:proofErr w:type="gramEnd"/>
      <w:r w:rsidR="0066047B" w:rsidRPr="0066047B">
        <w:rPr>
          <w:rFonts w:ascii="Times New Roman" w:eastAsia="Times New Roman" w:hAnsi="Times New Roman" w:cs="Times New Roman"/>
          <w:sz w:val="26"/>
          <w:szCs w:val="26"/>
        </w:rPr>
        <w:t xml:space="preserve"> and September 30, 2020.</w:t>
      </w:r>
      <w:r w:rsidR="0066047B">
        <w:rPr>
          <w:rFonts w:ascii="Times New Roman" w:eastAsia="Times New Roman" w:hAnsi="Times New Roman" w:cs="Times New Roman"/>
          <w:sz w:val="26"/>
          <w:szCs w:val="26"/>
        </w:rPr>
        <w:t xml:space="preserve">  </w:t>
      </w:r>
      <w:r w:rsidR="00B5551E">
        <w:rPr>
          <w:rFonts w:ascii="Times New Roman" w:eastAsia="Times New Roman" w:hAnsi="Times New Roman" w:cs="Times New Roman"/>
          <w:sz w:val="26"/>
          <w:szCs w:val="26"/>
        </w:rPr>
        <w:t>We note that s</w:t>
      </w:r>
      <w:r w:rsidR="002273E3" w:rsidRPr="002273E3">
        <w:rPr>
          <w:rFonts w:ascii="Times New Roman" w:eastAsia="Times New Roman" w:hAnsi="Times New Roman" w:cs="Times New Roman"/>
          <w:sz w:val="26"/>
          <w:szCs w:val="26"/>
        </w:rPr>
        <w:t>ome customers detected the unauthorized enrollment, promptly contacted Green Mountain to complain and were served by Green Mountain for less than a billing cycle</w:t>
      </w:r>
      <w:r w:rsidR="00B5551E">
        <w:rPr>
          <w:rFonts w:ascii="Times New Roman" w:eastAsia="Times New Roman" w:hAnsi="Times New Roman" w:cs="Times New Roman"/>
          <w:sz w:val="26"/>
          <w:szCs w:val="26"/>
        </w:rPr>
        <w:t>, but o</w:t>
      </w:r>
      <w:r w:rsidR="002273E3" w:rsidRPr="002273E3">
        <w:rPr>
          <w:rFonts w:ascii="Times New Roman" w:eastAsia="Times New Roman" w:hAnsi="Times New Roman" w:cs="Times New Roman"/>
          <w:sz w:val="26"/>
          <w:szCs w:val="26"/>
        </w:rPr>
        <w:t>ther customers received electric generation supply provided by Green Mountain for upwards of a year prior to being switched back to default service or another EGS</w:t>
      </w:r>
      <w:r w:rsidR="002273E3">
        <w:rPr>
          <w:rFonts w:ascii="Times New Roman" w:eastAsia="Times New Roman" w:hAnsi="Times New Roman" w:cs="Times New Roman"/>
          <w:sz w:val="26"/>
          <w:szCs w:val="26"/>
        </w:rPr>
        <w:t>.</w:t>
      </w:r>
      <w:r w:rsidR="00902C63">
        <w:rPr>
          <w:rFonts w:ascii="Times New Roman" w:eastAsia="Times New Roman" w:hAnsi="Times New Roman" w:cs="Times New Roman"/>
          <w:sz w:val="26"/>
          <w:szCs w:val="26"/>
        </w:rPr>
        <w:t xml:space="preserve">  I&amp;E Statement in Support at 10-11.</w:t>
      </w:r>
      <w:r w:rsidR="002273E3">
        <w:rPr>
          <w:rFonts w:ascii="Times New Roman" w:eastAsia="Times New Roman" w:hAnsi="Times New Roman" w:cs="Times New Roman"/>
          <w:sz w:val="26"/>
          <w:szCs w:val="26"/>
        </w:rPr>
        <w:t xml:space="preserve">  </w:t>
      </w:r>
      <w:r w:rsidR="00B5551E" w:rsidRPr="00B5551E">
        <w:rPr>
          <w:rFonts w:ascii="Times New Roman" w:eastAsia="Times New Roman" w:hAnsi="Times New Roman" w:cs="Times New Roman"/>
          <w:sz w:val="26"/>
          <w:szCs w:val="26"/>
        </w:rPr>
        <w:t xml:space="preserve">We thus determine that this factor weighs in favor of a higher penalty.  </w:t>
      </w:r>
    </w:p>
    <w:p w14:paraId="294801E4" w14:textId="4A7D44E5" w:rsidR="00B97153" w:rsidRDefault="00B97153" w:rsidP="005578A1">
      <w:pPr>
        <w:spacing w:after="0" w:line="360" w:lineRule="auto"/>
        <w:rPr>
          <w:rFonts w:ascii="Times New Roman" w:eastAsia="Times New Roman" w:hAnsi="Times New Roman" w:cs="Times New Roman"/>
          <w:sz w:val="26"/>
          <w:szCs w:val="26"/>
        </w:rPr>
      </w:pPr>
    </w:p>
    <w:p w14:paraId="477F3AD4" w14:textId="7DCF4F0A" w:rsidR="00FF6B63" w:rsidRDefault="00756CB3" w:rsidP="00756CB3">
      <w:pPr>
        <w:spacing w:after="0" w:line="360" w:lineRule="auto"/>
        <w:ind w:firstLine="1440"/>
        <w:rPr>
          <w:rFonts w:ascii="Times New Roman" w:eastAsia="Times New Roman" w:hAnsi="Times New Roman" w:cs="Times New Roman"/>
          <w:sz w:val="26"/>
          <w:szCs w:val="26"/>
        </w:rPr>
      </w:pPr>
      <w:r w:rsidRPr="00756CB3">
        <w:rPr>
          <w:rFonts w:ascii="Times New Roman" w:eastAsia="Times New Roman" w:hAnsi="Times New Roman" w:cs="Times New Roman"/>
          <w:sz w:val="26"/>
          <w:szCs w:val="26"/>
        </w:rPr>
        <w:t xml:space="preserve">The sixth factor that may be considered is the compliance history of the regulated entity.  52 Pa. Code § 69.1201(c)(6).  “An isolated incident from an otherwise compliant utility may result in a lower penalty, whereas frequent, recurrent violations by a utility may result in a higher penalty.”  </w:t>
      </w:r>
      <w:r w:rsidRPr="00756CB3">
        <w:rPr>
          <w:rFonts w:ascii="Times New Roman" w:eastAsia="Times New Roman" w:hAnsi="Times New Roman" w:cs="Times New Roman"/>
          <w:i/>
          <w:sz w:val="26"/>
          <w:szCs w:val="26"/>
        </w:rPr>
        <w:t>Id</w:t>
      </w:r>
      <w:r w:rsidRPr="00756CB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902C63">
        <w:rPr>
          <w:rFonts w:ascii="Times New Roman" w:eastAsia="Times New Roman" w:hAnsi="Times New Roman" w:cs="Times New Roman"/>
          <w:sz w:val="26"/>
          <w:szCs w:val="26"/>
        </w:rPr>
        <w:t>S</w:t>
      </w:r>
      <w:r w:rsidR="00FF6B63">
        <w:rPr>
          <w:rFonts w:ascii="Times New Roman" w:eastAsia="Times New Roman" w:hAnsi="Times New Roman" w:cs="Times New Roman"/>
          <w:sz w:val="26"/>
          <w:szCs w:val="26"/>
        </w:rPr>
        <w:t xml:space="preserve">ince receiving its EGS license, I&amp;E noted that a total of nine formal </w:t>
      </w:r>
      <w:r w:rsidR="00FF6B63" w:rsidRPr="00FF6B63">
        <w:rPr>
          <w:rFonts w:ascii="Times New Roman" w:eastAsia="Times New Roman" w:hAnsi="Times New Roman" w:cs="Times New Roman"/>
          <w:sz w:val="26"/>
          <w:szCs w:val="26"/>
        </w:rPr>
        <w:t xml:space="preserve">complaints have been filed by consumers against </w:t>
      </w:r>
      <w:r w:rsidR="00FF6B63">
        <w:rPr>
          <w:rFonts w:ascii="Times New Roman" w:eastAsia="Times New Roman" w:hAnsi="Times New Roman" w:cs="Times New Roman"/>
          <w:sz w:val="26"/>
          <w:szCs w:val="26"/>
        </w:rPr>
        <w:t>Green Mountain</w:t>
      </w:r>
      <w:r w:rsidR="00FF6B63" w:rsidRPr="00FF6B63">
        <w:rPr>
          <w:rFonts w:ascii="Times New Roman" w:eastAsia="Times New Roman" w:hAnsi="Times New Roman" w:cs="Times New Roman"/>
          <w:sz w:val="26"/>
          <w:szCs w:val="26"/>
        </w:rPr>
        <w:t>, all of which resulted in the filing of Certificates of Satisfaction pursuant to 52</w:t>
      </w:r>
      <w:r w:rsidR="00E27573">
        <w:rPr>
          <w:rFonts w:ascii="Times New Roman" w:eastAsia="Times New Roman" w:hAnsi="Times New Roman" w:cs="Times New Roman"/>
          <w:sz w:val="26"/>
          <w:szCs w:val="26"/>
        </w:rPr>
        <w:t> </w:t>
      </w:r>
      <w:r w:rsidR="00FF6B63" w:rsidRPr="00FF6B63">
        <w:rPr>
          <w:rFonts w:ascii="Times New Roman" w:eastAsia="Times New Roman" w:hAnsi="Times New Roman" w:cs="Times New Roman"/>
          <w:sz w:val="26"/>
          <w:szCs w:val="26"/>
        </w:rPr>
        <w:t>Pa. Code § 5.24.</w:t>
      </w:r>
      <w:r w:rsidR="00FF6B63" w:rsidRPr="00FF6B63">
        <w:rPr>
          <w:rFonts w:ascii="Times New Roman" w:eastAsia="Times New Roman" w:hAnsi="Times New Roman" w:cs="Times New Roman"/>
          <w:sz w:val="26"/>
          <w:szCs w:val="26"/>
          <w:vertAlign w:val="superscript"/>
        </w:rPr>
        <w:footnoteReference w:id="5"/>
      </w:r>
      <w:r w:rsidR="00FF6B63" w:rsidRPr="00FF6B63">
        <w:rPr>
          <w:rFonts w:ascii="Times New Roman" w:eastAsia="Times New Roman" w:hAnsi="Times New Roman" w:cs="Times New Roman"/>
          <w:sz w:val="26"/>
          <w:szCs w:val="26"/>
        </w:rPr>
        <w:t xml:space="preserve"> </w:t>
      </w:r>
      <w:r w:rsidR="004B321B">
        <w:rPr>
          <w:rFonts w:ascii="Times New Roman" w:eastAsia="Times New Roman" w:hAnsi="Times New Roman" w:cs="Times New Roman"/>
          <w:sz w:val="26"/>
          <w:szCs w:val="26"/>
        </w:rPr>
        <w:t xml:space="preserve"> </w:t>
      </w:r>
      <w:r w:rsidR="00FF6B63" w:rsidRPr="00FF6B63">
        <w:rPr>
          <w:rFonts w:ascii="Times New Roman" w:eastAsia="Times New Roman" w:hAnsi="Times New Roman" w:cs="Times New Roman"/>
          <w:sz w:val="26"/>
          <w:szCs w:val="26"/>
        </w:rPr>
        <w:t xml:space="preserve">Accordingly, no formal complaints have been sustained against the Company.  Additionally, the instant matter is the first case involving </w:t>
      </w:r>
      <w:proofErr w:type="gramStart"/>
      <w:r w:rsidR="00FF6B63" w:rsidRPr="00FF6B63">
        <w:rPr>
          <w:rFonts w:ascii="Times New Roman" w:eastAsia="Times New Roman" w:hAnsi="Times New Roman" w:cs="Times New Roman"/>
          <w:sz w:val="26"/>
          <w:szCs w:val="26"/>
        </w:rPr>
        <w:t>an</w:t>
      </w:r>
      <w:proofErr w:type="gramEnd"/>
      <w:r w:rsidR="00FF6B63" w:rsidRPr="00FF6B63">
        <w:rPr>
          <w:rFonts w:ascii="Times New Roman" w:eastAsia="Times New Roman" w:hAnsi="Times New Roman" w:cs="Times New Roman"/>
          <w:sz w:val="26"/>
          <w:szCs w:val="26"/>
        </w:rPr>
        <w:t xml:space="preserve"> I&amp;E enforcement action brought against </w:t>
      </w:r>
      <w:r w:rsidR="004B321B">
        <w:rPr>
          <w:rFonts w:ascii="Times New Roman" w:eastAsia="Times New Roman" w:hAnsi="Times New Roman" w:cs="Times New Roman"/>
          <w:sz w:val="26"/>
          <w:szCs w:val="26"/>
        </w:rPr>
        <w:t>Green Mountain</w:t>
      </w:r>
      <w:r w:rsidR="00FF6B63" w:rsidRPr="00FF6B63">
        <w:rPr>
          <w:rFonts w:ascii="Times New Roman" w:eastAsia="Times New Roman" w:hAnsi="Times New Roman" w:cs="Times New Roman"/>
          <w:sz w:val="26"/>
          <w:szCs w:val="26"/>
        </w:rPr>
        <w:t xml:space="preserve"> and is the first instance in which </w:t>
      </w:r>
      <w:r w:rsidR="004B321B">
        <w:rPr>
          <w:rFonts w:ascii="Times New Roman" w:eastAsia="Times New Roman" w:hAnsi="Times New Roman" w:cs="Times New Roman"/>
          <w:sz w:val="26"/>
          <w:szCs w:val="26"/>
        </w:rPr>
        <w:t>Green Mountain</w:t>
      </w:r>
      <w:r w:rsidR="00FF6B63" w:rsidRPr="00FF6B63">
        <w:rPr>
          <w:rFonts w:ascii="Times New Roman" w:eastAsia="Times New Roman" w:hAnsi="Times New Roman" w:cs="Times New Roman"/>
          <w:sz w:val="26"/>
          <w:szCs w:val="26"/>
        </w:rPr>
        <w:t xml:space="preserve"> would pay a civil penalty imposed by the Commission.  On balance, we consider </w:t>
      </w:r>
      <w:r w:rsidR="004B321B">
        <w:rPr>
          <w:rFonts w:ascii="Times New Roman" w:eastAsia="Times New Roman" w:hAnsi="Times New Roman" w:cs="Times New Roman"/>
          <w:sz w:val="26"/>
          <w:szCs w:val="26"/>
        </w:rPr>
        <w:t>Green Mountain</w:t>
      </w:r>
      <w:r w:rsidR="00FF6B63" w:rsidRPr="00FF6B63">
        <w:rPr>
          <w:rFonts w:ascii="Times New Roman" w:eastAsia="Times New Roman" w:hAnsi="Times New Roman" w:cs="Times New Roman"/>
          <w:sz w:val="26"/>
          <w:szCs w:val="26"/>
        </w:rPr>
        <w:t>’s compliance history does not support a heavy penalty</w:t>
      </w:r>
      <w:r w:rsidR="004B321B">
        <w:rPr>
          <w:rFonts w:ascii="Times New Roman" w:eastAsia="Times New Roman" w:hAnsi="Times New Roman" w:cs="Times New Roman"/>
          <w:sz w:val="26"/>
          <w:szCs w:val="26"/>
        </w:rPr>
        <w:t>.</w:t>
      </w:r>
    </w:p>
    <w:p w14:paraId="1124D7B4" w14:textId="77777777" w:rsidR="006A45DA" w:rsidRDefault="006A45DA" w:rsidP="005578A1">
      <w:pPr>
        <w:spacing w:after="0" w:line="360" w:lineRule="auto"/>
        <w:rPr>
          <w:rFonts w:ascii="Times New Roman" w:eastAsia="Times New Roman" w:hAnsi="Times New Roman" w:cs="Times New Roman"/>
          <w:sz w:val="26"/>
          <w:szCs w:val="26"/>
        </w:rPr>
      </w:pPr>
    </w:p>
    <w:p w14:paraId="18A8FF3A" w14:textId="68C2C96D" w:rsidR="009F3570" w:rsidRDefault="009F3570" w:rsidP="001B7DFA">
      <w:pPr>
        <w:spacing w:after="0" w:line="360" w:lineRule="auto"/>
        <w:ind w:firstLine="1440"/>
        <w:rPr>
          <w:rFonts w:ascii="Times New Roman" w:eastAsia="Times New Roman" w:hAnsi="Times New Roman" w:cs="Times New Roman"/>
          <w:sz w:val="26"/>
          <w:szCs w:val="26"/>
        </w:rPr>
      </w:pPr>
      <w:r w:rsidRPr="009F3570">
        <w:rPr>
          <w:rFonts w:ascii="Times New Roman" w:eastAsia="Times New Roman" w:hAnsi="Times New Roman" w:cs="Times New Roman"/>
          <w:sz w:val="26"/>
          <w:szCs w:val="26"/>
          <w:lang w:val="x-none"/>
        </w:rPr>
        <w:t xml:space="preserve">The seventh factor to be considered relates to whether the </w:t>
      </w:r>
      <w:r w:rsidRPr="009F3570">
        <w:rPr>
          <w:rFonts w:ascii="Times New Roman" w:eastAsia="Times New Roman" w:hAnsi="Times New Roman" w:cs="Times New Roman"/>
          <w:sz w:val="26"/>
          <w:szCs w:val="26"/>
        </w:rPr>
        <w:t>Company</w:t>
      </w:r>
      <w:r w:rsidRPr="009F3570">
        <w:rPr>
          <w:rFonts w:ascii="Times New Roman" w:eastAsia="Times New Roman" w:hAnsi="Times New Roman" w:cs="Times New Roman"/>
          <w:sz w:val="26"/>
          <w:szCs w:val="26"/>
          <w:lang w:val="x-none"/>
        </w:rPr>
        <w:t xml:space="preserve"> cooperated with the Commission's investigation.</w:t>
      </w:r>
      <w:r w:rsidRPr="009F3570">
        <w:rPr>
          <w:rFonts w:ascii="Times New Roman" w:eastAsia="Times New Roman" w:hAnsi="Times New Roman" w:cs="Times New Roman"/>
          <w:sz w:val="26"/>
          <w:szCs w:val="26"/>
        </w:rPr>
        <w:t xml:space="preserve">  </w:t>
      </w:r>
      <w:r w:rsidRPr="009F3570">
        <w:rPr>
          <w:rFonts w:ascii="Times New Roman" w:eastAsia="Times New Roman" w:hAnsi="Times New Roman" w:cs="Times New Roman"/>
          <w:sz w:val="26"/>
          <w:szCs w:val="26"/>
          <w:lang w:val="x-none"/>
        </w:rPr>
        <w:t>52 Pa. Code § 69.1201(c)(7).</w:t>
      </w:r>
      <w:r w:rsidRPr="009F3570">
        <w:rPr>
          <w:rFonts w:ascii="Times New Roman" w:eastAsia="Times New Roman" w:hAnsi="Times New Roman" w:cs="Times New Roman"/>
          <w:sz w:val="26"/>
          <w:szCs w:val="26"/>
        </w:rPr>
        <w:t xml:space="preserve">  </w:t>
      </w:r>
      <w:r w:rsidR="001B7DFA">
        <w:rPr>
          <w:rFonts w:ascii="Times New Roman" w:eastAsia="Times New Roman" w:hAnsi="Times New Roman" w:cs="Times New Roman"/>
          <w:sz w:val="26"/>
          <w:szCs w:val="26"/>
        </w:rPr>
        <w:t>I&amp;E submit</w:t>
      </w:r>
      <w:r w:rsidR="00432023">
        <w:rPr>
          <w:rFonts w:ascii="Times New Roman" w:eastAsia="Times New Roman" w:hAnsi="Times New Roman" w:cs="Times New Roman"/>
          <w:sz w:val="26"/>
          <w:szCs w:val="26"/>
        </w:rPr>
        <w:t>s</w:t>
      </w:r>
      <w:r w:rsidR="001B7DFA">
        <w:rPr>
          <w:rFonts w:ascii="Times New Roman" w:eastAsia="Times New Roman" w:hAnsi="Times New Roman" w:cs="Times New Roman"/>
          <w:sz w:val="26"/>
          <w:szCs w:val="26"/>
        </w:rPr>
        <w:t xml:space="preserve"> that </w:t>
      </w:r>
      <w:r w:rsidR="00432023">
        <w:rPr>
          <w:rFonts w:ascii="Times New Roman" w:eastAsia="Times New Roman" w:hAnsi="Times New Roman" w:cs="Times New Roman"/>
          <w:sz w:val="26"/>
          <w:szCs w:val="26"/>
        </w:rPr>
        <w:t>Green Mountain</w:t>
      </w:r>
      <w:r w:rsidR="001B7DFA">
        <w:rPr>
          <w:rFonts w:ascii="Times New Roman" w:eastAsia="Times New Roman" w:hAnsi="Times New Roman" w:cs="Times New Roman"/>
          <w:sz w:val="26"/>
          <w:szCs w:val="26"/>
        </w:rPr>
        <w:t xml:space="preserve"> cooperated in the investigation in this matter, including cooperating in both informal discovery as well as settlement discussions.  </w:t>
      </w:r>
      <w:r>
        <w:rPr>
          <w:rFonts w:ascii="Times New Roman" w:eastAsia="Times New Roman" w:hAnsi="Times New Roman" w:cs="Times New Roman"/>
          <w:sz w:val="26"/>
          <w:szCs w:val="26"/>
        </w:rPr>
        <w:t>I&amp;E Statement in Support at 1</w:t>
      </w:r>
      <w:r w:rsidR="00432023">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w:t>
      </w:r>
      <w:r w:rsidR="001B7DFA" w:rsidRPr="001B7DFA">
        <w:rPr>
          <w:rFonts w:ascii="Times New Roman" w:eastAsia="Times New Roman" w:hAnsi="Times New Roman" w:cs="Times New Roman"/>
          <w:sz w:val="26"/>
          <w:szCs w:val="26"/>
        </w:rPr>
        <w:t xml:space="preserve">Therefore, </w:t>
      </w:r>
      <w:r w:rsidR="00432023">
        <w:rPr>
          <w:rFonts w:ascii="Times New Roman" w:eastAsia="Times New Roman" w:hAnsi="Times New Roman" w:cs="Times New Roman"/>
          <w:sz w:val="26"/>
          <w:szCs w:val="26"/>
        </w:rPr>
        <w:t>Green Mountain</w:t>
      </w:r>
      <w:r w:rsidR="001B7DFA" w:rsidRPr="001B7DFA">
        <w:rPr>
          <w:rFonts w:ascii="Times New Roman" w:eastAsia="Times New Roman" w:hAnsi="Times New Roman" w:cs="Times New Roman"/>
          <w:sz w:val="26"/>
          <w:szCs w:val="26"/>
        </w:rPr>
        <w:t>’s cooperation warrants a lower civil penalty.</w:t>
      </w:r>
    </w:p>
    <w:p w14:paraId="7F9B8413" w14:textId="76E26B84" w:rsidR="009F3570" w:rsidRDefault="009F3570" w:rsidP="005578A1">
      <w:pPr>
        <w:spacing w:after="0" w:line="360" w:lineRule="auto"/>
        <w:rPr>
          <w:rFonts w:ascii="Times New Roman" w:eastAsia="Times New Roman" w:hAnsi="Times New Roman" w:cs="Times New Roman"/>
          <w:sz w:val="26"/>
          <w:szCs w:val="26"/>
        </w:rPr>
      </w:pPr>
    </w:p>
    <w:p w14:paraId="63BD4A61" w14:textId="559EECBD" w:rsidR="00175833" w:rsidRDefault="00D01C4A" w:rsidP="00772036">
      <w:pPr>
        <w:spacing w:after="0" w:line="360" w:lineRule="auto"/>
        <w:ind w:firstLine="1440"/>
        <w:rPr>
          <w:rFonts w:ascii="Times New Roman" w:eastAsia="Times New Roman" w:hAnsi="Times New Roman" w:cs="Times New Roman"/>
          <w:sz w:val="26"/>
          <w:szCs w:val="26"/>
        </w:rPr>
      </w:pPr>
      <w:r w:rsidRPr="00D01C4A">
        <w:rPr>
          <w:rFonts w:ascii="Times New Roman" w:eastAsia="Times New Roman" w:hAnsi="Times New Roman" w:cs="Times New Roman"/>
          <w:sz w:val="26"/>
          <w:szCs w:val="26"/>
        </w:rPr>
        <w:t>The eighth factor we may consider is the amount of the civil penalty necessary to deter future violations.  52 Pa. Code § 69.1202(c)(8)</w:t>
      </w:r>
      <w:r>
        <w:rPr>
          <w:rFonts w:ascii="Times New Roman" w:eastAsia="Times New Roman" w:hAnsi="Times New Roman" w:cs="Times New Roman"/>
          <w:sz w:val="26"/>
          <w:szCs w:val="26"/>
        </w:rPr>
        <w:t>.</w:t>
      </w:r>
      <w:r w:rsidR="007D1931">
        <w:rPr>
          <w:rFonts w:ascii="Times New Roman" w:eastAsia="Times New Roman" w:hAnsi="Times New Roman" w:cs="Times New Roman"/>
          <w:sz w:val="26"/>
          <w:szCs w:val="26"/>
        </w:rPr>
        <w:t xml:space="preserve">  </w:t>
      </w:r>
      <w:r w:rsidR="00175833">
        <w:rPr>
          <w:rFonts w:ascii="Times New Roman" w:eastAsia="Times New Roman" w:hAnsi="Times New Roman" w:cs="Times New Roman"/>
          <w:sz w:val="26"/>
          <w:szCs w:val="26"/>
        </w:rPr>
        <w:t>Here,</w:t>
      </w:r>
      <w:r w:rsidR="00772036" w:rsidRPr="00772036">
        <w:rPr>
          <w:rFonts w:ascii="Times New Roman" w:eastAsia="Times New Roman" w:hAnsi="Times New Roman" w:cs="Times New Roman"/>
          <w:sz w:val="26"/>
          <w:szCs w:val="26"/>
        </w:rPr>
        <w:t xml:space="preserve"> I&amp;E submits that a civil penalty amount of $1</w:t>
      </w:r>
      <w:r w:rsidR="00772036">
        <w:rPr>
          <w:rFonts w:ascii="Times New Roman" w:eastAsia="Times New Roman" w:hAnsi="Times New Roman" w:cs="Times New Roman"/>
          <w:sz w:val="26"/>
          <w:szCs w:val="26"/>
        </w:rPr>
        <w:t>56</w:t>
      </w:r>
      <w:r w:rsidR="00772036" w:rsidRPr="00772036">
        <w:rPr>
          <w:rFonts w:ascii="Times New Roman" w:eastAsia="Times New Roman" w:hAnsi="Times New Roman" w:cs="Times New Roman"/>
          <w:sz w:val="26"/>
          <w:szCs w:val="26"/>
        </w:rPr>
        <w:t xml:space="preserve">,000, which is not tax deductible, in combination with the issuance of customer refunds is substantial and sufficient to deter </w:t>
      </w:r>
      <w:r w:rsidR="00772036">
        <w:rPr>
          <w:rFonts w:ascii="Times New Roman" w:eastAsia="Times New Roman" w:hAnsi="Times New Roman" w:cs="Times New Roman"/>
          <w:sz w:val="26"/>
          <w:szCs w:val="26"/>
        </w:rPr>
        <w:t>Green Mountain</w:t>
      </w:r>
      <w:r w:rsidR="00772036" w:rsidRPr="00772036">
        <w:rPr>
          <w:rFonts w:ascii="Times New Roman" w:eastAsia="Times New Roman" w:hAnsi="Times New Roman" w:cs="Times New Roman"/>
          <w:sz w:val="26"/>
          <w:szCs w:val="26"/>
        </w:rPr>
        <w:t xml:space="preserve"> from committing future violations</w:t>
      </w:r>
      <w:r w:rsidR="00772036">
        <w:rPr>
          <w:rFonts w:ascii="Times New Roman" w:eastAsia="Times New Roman" w:hAnsi="Times New Roman" w:cs="Times New Roman"/>
          <w:sz w:val="26"/>
          <w:szCs w:val="26"/>
        </w:rPr>
        <w:t xml:space="preserve">.  I&amp;E Statement in Support at 11.  </w:t>
      </w:r>
      <w:r w:rsidR="00E64780">
        <w:rPr>
          <w:rFonts w:ascii="Times New Roman" w:eastAsia="Times New Roman" w:hAnsi="Times New Roman" w:cs="Times New Roman"/>
          <w:sz w:val="26"/>
          <w:szCs w:val="26"/>
        </w:rPr>
        <w:t>Accordingly,</w:t>
      </w:r>
      <w:r w:rsidR="00175833">
        <w:rPr>
          <w:rFonts w:ascii="Times New Roman" w:eastAsia="Times New Roman" w:hAnsi="Times New Roman" w:cs="Times New Roman"/>
          <w:sz w:val="26"/>
          <w:szCs w:val="26"/>
        </w:rPr>
        <w:t xml:space="preserve"> we agree</w:t>
      </w:r>
      <w:r w:rsidR="00E64780">
        <w:rPr>
          <w:rFonts w:ascii="Times New Roman" w:eastAsia="Times New Roman" w:hAnsi="Times New Roman" w:cs="Times New Roman"/>
          <w:sz w:val="26"/>
          <w:szCs w:val="26"/>
        </w:rPr>
        <w:t>, and t</w:t>
      </w:r>
      <w:r w:rsidR="00175833" w:rsidRPr="00175833">
        <w:rPr>
          <w:rFonts w:ascii="Times New Roman" w:eastAsia="Times New Roman" w:hAnsi="Times New Roman" w:cs="Times New Roman"/>
          <w:sz w:val="26"/>
          <w:szCs w:val="26"/>
        </w:rPr>
        <w:t>herefore,</w:t>
      </w:r>
      <w:r w:rsidR="003E269D">
        <w:rPr>
          <w:rFonts w:ascii="Times New Roman" w:eastAsia="Times New Roman" w:hAnsi="Times New Roman" w:cs="Times New Roman"/>
          <w:sz w:val="26"/>
          <w:szCs w:val="26"/>
        </w:rPr>
        <w:t xml:space="preserve"> find that</w:t>
      </w:r>
      <w:r w:rsidR="00175833" w:rsidRPr="00175833">
        <w:rPr>
          <w:rFonts w:ascii="Times New Roman" w:eastAsia="Times New Roman" w:hAnsi="Times New Roman" w:cs="Times New Roman"/>
          <w:sz w:val="26"/>
          <w:szCs w:val="26"/>
        </w:rPr>
        <w:t xml:space="preserve"> the civil penalty is appropriate.</w:t>
      </w:r>
    </w:p>
    <w:p w14:paraId="4E9BEC65" w14:textId="1CF11180" w:rsidR="00175833" w:rsidRDefault="00175833" w:rsidP="007D1931">
      <w:pPr>
        <w:spacing w:after="0" w:line="360" w:lineRule="auto"/>
        <w:ind w:firstLine="1440"/>
        <w:rPr>
          <w:rFonts w:ascii="Times New Roman" w:eastAsia="Times New Roman" w:hAnsi="Times New Roman" w:cs="Times New Roman"/>
          <w:sz w:val="26"/>
          <w:szCs w:val="26"/>
        </w:rPr>
      </w:pPr>
    </w:p>
    <w:p w14:paraId="07224485" w14:textId="6572D78F" w:rsidR="00CA5566" w:rsidRDefault="0033535A" w:rsidP="000273C0">
      <w:pPr>
        <w:spacing w:after="0" w:line="360" w:lineRule="auto"/>
        <w:ind w:firstLine="1440"/>
        <w:rPr>
          <w:rFonts w:ascii="Times New Roman" w:eastAsia="Times New Roman" w:hAnsi="Times New Roman" w:cs="Times New Roman"/>
          <w:sz w:val="26"/>
          <w:szCs w:val="26"/>
        </w:rPr>
      </w:pPr>
      <w:r w:rsidRPr="0033535A">
        <w:rPr>
          <w:rFonts w:ascii="Times New Roman" w:eastAsia="Times New Roman" w:hAnsi="Times New Roman" w:cs="Times New Roman"/>
          <w:sz w:val="26"/>
          <w:szCs w:val="26"/>
        </w:rPr>
        <w:t>The ninth factor examines whether the results of a proposed settlement are consistent with past Commission decisions in similar situations.  52 Pa. Code §</w:t>
      </w:r>
      <w:r>
        <w:t> </w:t>
      </w:r>
      <w:r w:rsidRPr="0033535A">
        <w:rPr>
          <w:rFonts w:ascii="Times New Roman" w:eastAsia="Times New Roman" w:hAnsi="Times New Roman" w:cs="Times New Roman"/>
          <w:sz w:val="26"/>
          <w:szCs w:val="26"/>
        </w:rPr>
        <w:t>69.1201(c)(9).</w:t>
      </w:r>
      <w:r w:rsidR="00CA5566">
        <w:rPr>
          <w:rFonts w:ascii="Times New Roman" w:eastAsia="Times New Roman" w:hAnsi="Times New Roman" w:cs="Times New Roman"/>
          <w:sz w:val="26"/>
          <w:szCs w:val="26"/>
        </w:rPr>
        <w:t xml:space="preserve">  I&amp;E </w:t>
      </w:r>
      <w:r w:rsidR="000273C0">
        <w:rPr>
          <w:rFonts w:ascii="Times New Roman" w:eastAsia="Times New Roman" w:hAnsi="Times New Roman" w:cs="Times New Roman"/>
          <w:sz w:val="26"/>
          <w:szCs w:val="26"/>
        </w:rPr>
        <w:t>references</w:t>
      </w:r>
      <w:r w:rsidR="00CA5566">
        <w:rPr>
          <w:rFonts w:ascii="Times New Roman" w:eastAsia="Times New Roman" w:hAnsi="Times New Roman" w:cs="Times New Roman"/>
          <w:sz w:val="26"/>
          <w:szCs w:val="26"/>
        </w:rPr>
        <w:t xml:space="preserve"> </w:t>
      </w:r>
      <w:r w:rsidR="000273C0">
        <w:rPr>
          <w:rFonts w:ascii="Times New Roman" w:eastAsia="Times New Roman" w:hAnsi="Times New Roman" w:cs="Times New Roman"/>
          <w:sz w:val="26"/>
          <w:szCs w:val="26"/>
        </w:rPr>
        <w:t>a recent Commission order approving a settlement between I&amp;E and NRG Home involving substantially similar facts, with settlement terms identical to the agreed-upon terms set forth in the instant matter.</w:t>
      </w:r>
      <w:r w:rsidR="00B61304">
        <w:rPr>
          <w:rFonts w:ascii="Times New Roman" w:eastAsia="Times New Roman" w:hAnsi="Times New Roman" w:cs="Times New Roman"/>
          <w:sz w:val="26"/>
          <w:szCs w:val="26"/>
        </w:rPr>
        <w:t xml:space="preserve">  I&amp;E Statement in Support at </w:t>
      </w:r>
      <w:r w:rsidR="0050140F">
        <w:rPr>
          <w:rFonts w:ascii="Times New Roman" w:eastAsia="Times New Roman" w:hAnsi="Times New Roman" w:cs="Times New Roman"/>
          <w:sz w:val="26"/>
          <w:szCs w:val="26"/>
        </w:rPr>
        <w:t>12 (</w:t>
      </w:r>
      <w:r w:rsidR="0050140F" w:rsidRPr="0050140F">
        <w:rPr>
          <w:rFonts w:ascii="Times New Roman" w:eastAsia="Times New Roman" w:hAnsi="Times New Roman" w:cs="Times New Roman"/>
          <w:i/>
          <w:iCs/>
          <w:sz w:val="26"/>
          <w:szCs w:val="26"/>
        </w:rPr>
        <w:t>citing</w:t>
      </w:r>
      <w:r w:rsidR="0050140F">
        <w:rPr>
          <w:rFonts w:ascii="Times New Roman" w:eastAsia="Times New Roman" w:hAnsi="Times New Roman" w:cs="Times New Roman"/>
          <w:sz w:val="26"/>
          <w:szCs w:val="26"/>
        </w:rPr>
        <w:t xml:space="preserve"> </w:t>
      </w:r>
      <w:r w:rsidR="0050140F" w:rsidRPr="0050140F">
        <w:rPr>
          <w:rFonts w:ascii="Times New Roman" w:eastAsia="Times New Roman" w:hAnsi="Times New Roman" w:cs="Times New Roman"/>
          <w:i/>
          <w:iCs/>
          <w:sz w:val="26"/>
          <w:szCs w:val="26"/>
        </w:rPr>
        <w:t>NRG Home</w:t>
      </w:r>
      <w:r w:rsidR="0050140F">
        <w:rPr>
          <w:rFonts w:ascii="Times New Roman" w:eastAsia="Times New Roman" w:hAnsi="Times New Roman" w:cs="Times New Roman"/>
          <w:sz w:val="26"/>
          <w:szCs w:val="26"/>
        </w:rPr>
        <w:t xml:space="preserve">).  </w:t>
      </w:r>
      <w:r w:rsidR="0077240D" w:rsidRPr="0077240D">
        <w:rPr>
          <w:rFonts w:ascii="Times New Roman" w:eastAsia="Times New Roman" w:hAnsi="Times New Roman" w:cs="Times New Roman"/>
          <w:sz w:val="26"/>
          <w:szCs w:val="26"/>
        </w:rPr>
        <w:t xml:space="preserve">Specifically, </w:t>
      </w:r>
      <w:r w:rsidR="0077240D">
        <w:rPr>
          <w:rFonts w:ascii="Times New Roman" w:eastAsia="Times New Roman" w:hAnsi="Times New Roman" w:cs="Times New Roman"/>
          <w:sz w:val="26"/>
          <w:szCs w:val="26"/>
        </w:rPr>
        <w:t xml:space="preserve">in </w:t>
      </w:r>
      <w:r w:rsidR="0077240D" w:rsidRPr="0077240D">
        <w:rPr>
          <w:rFonts w:ascii="Times New Roman" w:eastAsia="Times New Roman" w:hAnsi="Times New Roman" w:cs="Times New Roman"/>
          <w:i/>
          <w:iCs/>
          <w:sz w:val="26"/>
          <w:szCs w:val="26"/>
        </w:rPr>
        <w:t xml:space="preserve">NRG Home </w:t>
      </w:r>
      <w:r w:rsidR="0077240D">
        <w:rPr>
          <w:rFonts w:ascii="Times New Roman" w:eastAsia="Times New Roman" w:hAnsi="Times New Roman" w:cs="Times New Roman"/>
          <w:sz w:val="26"/>
          <w:szCs w:val="26"/>
        </w:rPr>
        <w:t xml:space="preserve">the Commission </w:t>
      </w:r>
      <w:r w:rsidR="0077240D" w:rsidRPr="0077240D">
        <w:rPr>
          <w:rFonts w:ascii="Times New Roman" w:eastAsia="Times New Roman" w:hAnsi="Times New Roman" w:cs="Times New Roman"/>
          <w:sz w:val="26"/>
          <w:szCs w:val="26"/>
        </w:rPr>
        <w:t>approved a civil penalty of $1,000 for each customer account that was switched without authority, with the unauthorized enrollments originating from marketing activities that took place at retail and event locations where the ECL was used to obtain customer information.</w:t>
      </w:r>
      <w:r w:rsidR="0077240D">
        <w:rPr>
          <w:rFonts w:ascii="Times New Roman" w:eastAsia="Times New Roman" w:hAnsi="Times New Roman" w:cs="Times New Roman"/>
          <w:sz w:val="26"/>
          <w:szCs w:val="26"/>
        </w:rPr>
        <w:t xml:space="preserve">  In</w:t>
      </w:r>
      <w:r w:rsidR="0077240D" w:rsidRPr="0077240D">
        <w:rPr>
          <w:rFonts w:ascii="Times New Roman" w:eastAsia="Times New Roman" w:hAnsi="Times New Roman" w:cs="Times New Roman"/>
          <w:sz w:val="26"/>
          <w:szCs w:val="26"/>
        </w:rPr>
        <w:t xml:space="preserve"> </w:t>
      </w:r>
      <w:r w:rsidR="0077240D" w:rsidRPr="0077240D">
        <w:rPr>
          <w:rFonts w:ascii="Times New Roman" w:eastAsia="Times New Roman" w:hAnsi="Times New Roman" w:cs="Times New Roman"/>
          <w:i/>
          <w:iCs/>
          <w:sz w:val="26"/>
          <w:szCs w:val="26"/>
        </w:rPr>
        <w:t>NRG Home</w:t>
      </w:r>
      <w:r w:rsidR="0077240D">
        <w:rPr>
          <w:rFonts w:ascii="Times New Roman" w:eastAsia="Times New Roman" w:hAnsi="Times New Roman" w:cs="Times New Roman"/>
          <w:sz w:val="26"/>
          <w:szCs w:val="26"/>
        </w:rPr>
        <w:t xml:space="preserve"> the Commission</w:t>
      </w:r>
      <w:r w:rsidR="0077240D" w:rsidRPr="0077240D">
        <w:rPr>
          <w:rFonts w:ascii="Times New Roman" w:eastAsia="Times New Roman" w:hAnsi="Times New Roman" w:cs="Times New Roman"/>
          <w:i/>
          <w:iCs/>
          <w:sz w:val="26"/>
          <w:szCs w:val="26"/>
        </w:rPr>
        <w:t xml:space="preserve"> </w:t>
      </w:r>
      <w:r w:rsidR="0077240D" w:rsidRPr="0077240D">
        <w:rPr>
          <w:rFonts w:ascii="Times New Roman" w:eastAsia="Times New Roman" w:hAnsi="Times New Roman" w:cs="Times New Roman"/>
          <w:sz w:val="26"/>
          <w:szCs w:val="26"/>
        </w:rPr>
        <w:t>also approved settlement terms pertaining to the issuance of customer refunds for the first two billing periods in which customers were switched, reimbursement of any cancellation or early termination fees incurred by customers from another EGS as a result of the unauthorized switch, the provision of monthly reports for a period of one year detailing complaints from Pennsylvania consumers reported to BCS and other agencies related to allegations of unauthorized switching, and the retention of customer signatures on enrollment tablets used at retail and event locations for one year.</w:t>
      </w:r>
    </w:p>
    <w:p w14:paraId="3BD074AA" w14:textId="4718695C" w:rsidR="000273C0" w:rsidRDefault="000273C0" w:rsidP="000273C0">
      <w:pPr>
        <w:spacing w:after="0" w:line="360" w:lineRule="auto"/>
        <w:ind w:firstLine="1440"/>
        <w:rPr>
          <w:rFonts w:ascii="Times New Roman" w:eastAsia="Times New Roman" w:hAnsi="Times New Roman" w:cs="Times New Roman"/>
          <w:sz w:val="26"/>
          <w:szCs w:val="26"/>
        </w:rPr>
      </w:pPr>
    </w:p>
    <w:p w14:paraId="0E8ED2D4" w14:textId="72B92158" w:rsidR="000273C0" w:rsidRDefault="0077240D" w:rsidP="000273C0">
      <w:pPr>
        <w:spacing w:after="0" w:line="360" w:lineRule="auto"/>
        <w:ind w:firstLine="1440"/>
        <w:rPr>
          <w:rFonts w:ascii="Times New Roman" w:eastAsia="Times New Roman" w:hAnsi="Times New Roman" w:cs="Times New Roman"/>
          <w:sz w:val="26"/>
          <w:szCs w:val="26"/>
        </w:rPr>
      </w:pPr>
      <w:r w:rsidRPr="0077240D">
        <w:rPr>
          <w:rFonts w:ascii="Times New Roman" w:eastAsia="Times New Roman" w:hAnsi="Times New Roman" w:cs="Times New Roman"/>
          <w:sz w:val="26"/>
          <w:szCs w:val="26"/>
        </w:rPr>
        <w:t>Likewise, Commission precedent in other decisions supports the imposition of a $1,000 civil penalty for each account that was switched and received electric generation</w:t>
      </w:r>
      <w:r w:rsidRPr="0077240D">
        <w:rPr>
          <w:rFonts w:ascii="Times New Roman" w:hAnsi="Times New Roman" w:cs="Times New Roman"/>
          <w:color w:val="000000"/>
          <w:sz w:val="26"/>
          <w:szCs w:val="26"/>
        </w:rPr>
        <w:t xml:space="preserve"> </w:t>
      </w:r>
      <w:r w:rsidRPr="0077240D">
        <w:rPr>
          <w:rFonts w:ascii="Times New Roman" w:eastAsia="Times New Roman" w:hAnsi="Times New Roman" w:cs="Times New Roman"/>
          <w:sz w:val="26"/>
          <w:szCs w:val="26"/>
        </w:rPr>
        <w:t xml:space="preserve">supply service from an EGS without customer consent. </w:t>
      </w:r>
      <w:r>
        <w:rPr>
          <w:rFonts w:ascii="Times New Roman" w:eastAsia="Times New Roman" w:hAnsi="Times New Roman" w:cs="Times New Roman"/>
          <w:sz w:val="26"/>
          <w:szCs w:val="26"/>
        </w:rPr>
        <w:t xml:space="preserve"> </w:t>
      </w:r>
      <w:r w:rsidRPr="0077240D">
        <w:rPr>
          <w:rFonts w:ascii="Times New Roman" w:eastAsia="Times New Roman" w:hAnsi="Times New Roman" w:cs="Times New Roman"/>
          <w:i/>
          <w:iCs/>
          <w:sz w:val="26"/>
          <w:szCs w:val="26"/>
        </w:rPr>
        <w:t xml:space="preserve">See Pa. </w:t>
      </w:r>
      <w:r>
        <w:rPr>
          <w:rFonts w:ascii="Times New Roman" w:eastAsia="Times New Roman" w:hAnsi="Times New Roman" w:cs="Times New Roman"/>
          <w:i/>
          <w:iCs/>
          <w:sz w:val="26"/>
          <w:szCs w:val="26"/>
        </w:rPr>
        <w:t>PUC</w:t>
      </w:r>
      <w:r w:rsidRPr="0077240D">
        <w:rPr>
          <w:rFonts w:ascii="Times New Roman" w:eastAsia="Times New Roman" w:hAnsi="Times New Roman" w:cs="Times New Roman"/>
          <w:i/>
          <w:iCs/>
          <w:sz w:val="26"/>
          <w:szCs w:val="26"/>
        </w:rPr>
        <w:t>, Law Bureau Prosecutory Staff v. MXenergy Electric, Inc.</w:t>
      </w:r>
      <w:r w:rsidRPr="0077240D">
        <w:rPr>
          <w:rFonts w:ascii="Times New Roman" w:eastAsia="Times New Roman" w:hAnsi="Times New Roman" w:cs="Times New Roman"/>
          <w:sz w:val="26"/>
          <w:szCs w:val="26"/>
        </w:rPr>
        <w:t xml:space="preserve">, Docket No. M-2012-2201861 (Order entered August 29, 2013); and </w:t>
      </w:r>
      <w:r w:rsidRPr="0077240D">
        <w:rPr>
          <w:rFonts w:ascii="Times New Roman" w:eastAsia="Times New Roman" w:hAnsi="Times New Roman" w:cs="Times New Roman"/>
          <w:i/>
          <w:iCs/>
          <w:sz w:val="26"/>
          <w:szCs w:val="26"/>
        </w:rPr>
        <w:t xml:space="preserve">Pa. </w:t>
      </w:r>
      <w:r>
        <w:rPr>
          <w:rFonts w:ascii="Times New Roman" w:eastAsia="Times New Roman" w:hAnsi="Times New Roman" w:cs="Times New Roman"/>
          <w:i/>
          <w:iCs/>
          <w:sz w:val="26"/>
          <w:szCs w:val="26"/>
        </w:rPr>
        <w:t>PUC</w:t>
      </w:r>
      <w:r w:rsidRPr="0077240D">
        <w:rPr>
          <w:rFonts w:ascii="Times New Roman" w:eastAsia="Times New Roman" w:hAnsi="Times New Roman" w:cs="Times New Roman"/>
          <w:i/>
          <w:iCs/>
          <w:sz w:val="26"/>
          <w:szCs w:val="26"/>
        </w:rPr>
        <w:t>, Bureau of Investigation and Enforcement v. Energy Services Providers, Inc. d/b/a Pa. Gas &amp; Electric and U.S. Gas &amp; Electric, Inc. d/b/a Pa. Gas &amp; Electric</w:t>
      </w:r>
      <w:r w:rsidRPr="0077240D">
        <w:rPr>
          <w:rFonts w:ascii="Times New Roman" w:eastAsia="Times New Roman" w:hAnsi="Times New Roman" w:cs="Times New Roman"/>
          <w:sz w:val="26"/>
          <w:szCs w:val="26"/>
        </w:rPr>
        <w:t>, Docket No. M-2013-2325122 (Order entered October 2, 2014).</w:t>
      </w:r>
    </w:p>
    <w:p w14:paraId="238E9311" w14:textId="77777777" w:rsidR="000273C0" w:rsidRDefault="000273C0" w:rsidP="0077240D">
      <w:pPr>
        <w:spacing w:after="0" w:line="360" w:lineRule="auto"/>
        <w:rPr>
          <w:rFonts w:ascii="Times New Roman" w:eastAsia="Times New Roman" w:hAnsi="Times New Roman" w:cs="Times New Roman"/>
          <w:sz w:val="26"/>
          <w:szCs w:val="26"/>
        </w:rPr>
      </w:pPr>
    </w:p>
    <w:p w14:paraId="7234C553" w14:textId="161E9F3C" w:rsidR="00CA5566" w:rsidRDefault="00CA5566" w:rsidP="0033535A">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Green Mountain noted that the civil penalty is consistent</w:t>
      </w:r>
      <w:r w:rsidRPr="00CA5566">
        <w:rPr>
          <w:rFonts w:ascii="Times New Roman" w:eastAsia="Times New Roman" w:hAnsi="Times New Roman" w:cs="Times New Roman"/>
          <w:sz w:val="26"/>
          <w:szCs w:val="26"/>
        </w:rPr>
        <w:t xml:space="preserve"> with prior Commission decisions addressing investigations involving allegations of unauthorized switches</w:t>
      </w:r>
      <w:r>
        <w:rPr>
          <w:rFonts w:ascii="Times New Roman" w:eastAsia="Times New Roman" w:hAnsi="Times New Roman" w:cs="Times New Roman"/>
          <w:sz w:val="26"/>
          <w:szCs w:val="26"/>
        </w:rPr>
        <w:t xml:space="preserve">.  Green Mountain Statement in Support at 10.  </w:t>
      </w:r>
    </w:p>
    <w:p w14:paraId="0B42813F" w14:textId="77777777" w:rsidR="00CA5566" w:rsidRDefault="00CA5566" w:rsidP="0033535A">
      <w:pPr>
        <w:tabs>
          <w:tab w:val="left" w:pos="1860"/>
        </w:tabs>
        <w:spacing w:after="0" w:line="360" w:lineRule="auto"/>
        <w:rPr>
          <w:rFonts w:ascii="Times New Roman" w:eastAsia="Calibri" w:hAnsi="Times New Roman" w:cs="Times New Roman"/>
          <w:sz w:val="26"/>
          <w:szCs w:val="26"/>
          <w:lang w:eastAsia="x-none"/>
        </w:rPr>
      </w:pPr>
    </w:p>
    <w:p w14:paraId="1B3043FE" w14:textId="6CD51336" w:rsidR="00B91B9B" w:rsidRDefault="0033535A" w:rsidP="0033535A">
      <w:pPr>
        <w:tabs>
          <w:tab w:val="left" w:pos="1860"/>
        </w:tab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CA5566">
        <w:rPr>
          <w:rFonts w:ascii="Times New Roman" w:eastAsia="Times New Roman" w:hAnsi="Times New Roman" w:cs="Times New Roman"/>
          <w:sz w:val="26"/>
          <w:szCs w:val="26"/>
        </w:rPr>
        <w:t>I</w:t>
      </w:r>
      <w:r w:rsidR="00CA5566" w:rsidRPr="00CA5566">
        <w:rPr>
          <w:rFonts w:ascii="Times New Roman" w:eastAsia="Times New Roman" w:hAnsi="Times New Roman" w:cs="Times New Roman"/>
          <w:sz w:val="26"/>
          <w:szCs w:val="26"/>
        </w:rPr>
        <w:t>n looking at the relevant factors that are comparable to other matters involving allegations of unauthorized switching and comparing the allegations to the relief provided in the Settlement - specifically, a civil penalty and customer refunds – we find that this Settlement is consistent with past Commission decisions and presents a fair and reasonable outcome.</w:t>
      </w:r>
    </w:p>
    <w:p w14:paraId="454EF321" w14:textId="77777777" w:rsidR="00CA5566" w:rsidRDefault="00CA5566" w:rsidP="0033535A">
      <w:pPr>
        <w:tabs>
          <w:tab w:val="left" w:pos="1860"/>
        </w:tabs>
        <w:spacing w:after="0" w:line="360" w:lineRule="auto"/>
        <w:rPr>
          <w:rFonts w:ascii="Times New Roman" w:eastAsia="Times New Roman" w:hAnsi="Times New Roman" w:cs="Times New Roman"/>
          <w:sz w:val="26"/>
          <w:szCs w:val="26"/>
        </w:rPr>
      </w:pPr>
    </w:p>
    <w:p w14:paraId="2BD4E3A0" w14:textId="25D4F2D4" w:rsidR="006E1086" w:rsidRDefault="002475DF" w:rsidP="00902C63">
      <w:pPr>
        <w:spacing w:after="0" w:line="360" w:lineRule="auto"/>
        <w:ind w:firstLine="1440"/>
        <w:rPr>
          <w:rFonts w:ascii="Times New Roman" w:eastAsia="Times New Roman" w:hAnsi="Times New Roman" w:cs="Times New Roman"/>
          <w:sz w:val="26"/>
          <w:szCs w:val="26"/>
        </w:rPr>
      </w:pPr>
      <w:r w:rsidRPr="002475DF">
        <w:rPr>
          <w:rFonts w:ascii="Times New Roman" w:eastAsia="Times New Roman" w:hAnsi="Times New Roman" w:cs="Times New Roman"/>
          <w:sz w:val="26"/>
          <w:szCs w:val="26"/>
        </w:rPr>
        <w:t xml:space="preserve">The tenth </w:t>
      </w:r>
      <w:r>
        <w:rPr>
          <w:rFonts w:ascii="Times New Roman" w:eastAsia="Times New Roman" w:hAnsi="Times New Roman" w:cs="Times New Roman"/>
          <w:sz w:val="26"/>
          <w:szCs w:val="26"/>
        </w:rPr>
        <w:t>standard</w:t>
      </w:r>
      <w:r w:rsidRPr="002475DF">
        <w:rPr>
          <w:rFonts w:ascii="Times New Roman" w:eastAsia="Times New Roman" w:hAnsi="Times New Roman" w:cs="Times New Roman"/>
          <w:sz w:val="26"/>
          <w:szCs w:val="26"/>
        </w:rPr>
        <w:t xml:space="preserve"> provides that the Commission may consider </w:t>
      </w:r>
      <w:r w:rsidR="007D4924">
        <w:rPr>
          <w:rFonts w:ascii="Times New Roman" w:eastAsia="Times New Roman" w:hAnsi="Times New Roman" w:cs="Times New Roman"/>
          <w:sz w:val="26"/>
          <w:szCs w:val="26"/>
        </w:rPr>
        <w:t>“</w:t>
      </w:r>
      <w:r w:rsidRPr="002475DF">
        <w:rPr>
          <w:rFonts w:ascii="Times New Roman" w:eastAsia="Times New Roman" w:hAnsi="Times New Roman" w:cs="Times New Roman"/>
          <w:sz w:val="26"/>
          <w:szCs w:val="26"/>
        </w:rPr>
        <w:t>other relevant factors</w:t>
      </w:r>
      <w:r w:rsidR="007D4924">
        <w:rPr>
          <w:rFonts w:ascii="Times New Roman" w:eastAsia="Times New Roman" w:hAnsi="Times New Roman" w:cs="Times New Roman"/>
          <w:sz w:val="26"/>
          <w:szCs w:val="26"/>
        </w:rPr>
        <w:t>”</w:t>
      </w:r>
      <w:r w:rsidRPr="002475DF">
        <w:rPr>
          <w:rFonts w:ascii="Times New Roman" w:eastAsia="Times New Roman" w:hAnsi="Times New Roman" w:cs="Times New Roman"/>
          <w:sz w:val="26"/>
          <w:szCs w:val="26"/>
        </w:rPr>
        <w:t xml:space="preserve"> in assessing a penalty.  52 Pa. Code § 69.1201(c)(10).</w:t>
      </w:r>
      <w:r w:rsidR="000A3D91">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I&amp;E submits that an additional relevant factor – whether the case was settled or litigated</w:t>
      </w:r>
      <w:r w:rsidR="006E1086">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 is of pivotal importance to this Settlement Agreement.</w:t>
      </w:r>
      <w:r w:rsidR="006E1086">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 xml:space="preserve"> A settlement avoids the</w:t>
      </w:r>
      <w:r w:rsidR="000A3D91">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 xml:space="preserve">necessity for the governmental agency to prove elements of each allegation. </w:t>
      </w:r>
      <w:r w:rsidR="006E1086">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In return,</w:t>
      </w:r>
      <w:r w:rsidR="000A3D91">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the opposing party in a settlement agrees to a lesser fine or penalty, or other remedial</w:t>
      </w:r>
      <w:r w:rsidR="006E1086">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action.</w:t>
      </w:r>
      <w:r w:rsidR="006E1086">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 xml:space="preserve"> Both parties negotiate from their initial litigation positions.</w:t>
      </w:r>
      <w:r w:rsidR="006E1086">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 xml:space="preserve"> The fines and</w:t>
      </w:r>
      <w:r w:rsidR="000A3D91">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penalties, and other remedial actions resulting from a fully litigated proceeding are</w:t>
      </w:r>
      <w:r w:rsidR="006E1086">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 xml:space="preserve">difficult to predict and can differ from those that result from a settlement. </w:t>
      </w:r>
      <w:r w:rsidR="006E1086">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Reasonable</w:t>
      </w:r>
      <w:r w:rsidR="000A3D91">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settlement terms can represent economic and programmatic compromise while allowing</w:t>
      </w:r>
      <w:r w:rsidR="006E1086">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the parties to move forward and</w:t>
      </w:r>
      <w:r w:rsidR="000A3D91">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to focus on implementing the agreed upon remedial</w:t>
      </w:r>
      <w:r w:rsidR="006E1086">
        <w:rPr>
          <w:rFonts w:ascii="Times New Roman" w:eastAsia="Times New Roman" w:hAnsi="Times New Roman" w:cs="Times New Roman"/>
          <w:sz w:val="26"/>
          <w:szCs w:val="26"/>
        </w:rPr>
        <w:t xml:space="preserve"> </w:t>
      </w:r>
      <w:r w:rsidR="006E1086" w:rsidRPr="006E1086">
        <w:rPr>
          <w:rFonts w:ascii="Times New Roman" w:eastAsia="Times New Roman" w:hAnsi="Times New Roman" w:cs="Times New Roman"/>
          <w:sz w:val="26"/>
          <w:szCs w:val="26"/>
        </w:rPr>
        <w:t>actions.</w:t>
      </w:r>
      <w:r w:rsidR="000A3D91">
        <w:rPr>
          <w:rFonts w:ascii="Times New Roman" w:eastAsia="Times New Roman" w:hAnsi="Times New Roman" w:cs="Times New Roman"/>
          <w:sz w:val="26"/>
          <w:szCs w:val="26"/>
        </w:rPr>
        <w:t xml:space="preserve">  I&amp;E Statement in Support at</w:t>
      </w:r>
      <w:r w:rsidR="007A2A3C">
        <w:rPr>
          <w:rFonts w:ascii="Times New Roman" w:eastAsia="Times New Roman" w:hAnsi="Times New Roman" w:cs="Times New Roman"/>
          <w:sz w:val="26"/>
          <w:szCs w:val="26"/>
        </w:rPr>
        <w:t> </w:t>
      </w:r>
      <w:r w:rsidR="000A3D91">
        <w:rPr>
          <w:rFonts w:ascii="Times New Roman" w:eastAsia="Times New Roman" w:hAnsi="Times New Roman" w:cs="Times New Roman"/>
          <w:sz w:val="26"/>
          <w:szCs w:val="26"/>
        </w:rPr>
        <w:t xml:space="preserve">13.  </w:t>
      </w:r>
      <w:r w:rsidR="001C4806">
        <w:rPr>
          <w:rFonts w:ascii="Times New Roman" w:eastAsia="Times New Roman" w:hAnsi="Times New Roman" w:cs="Times New Roman"/>
          <w:sz w:val="26"/>
          <w:szCs w:val="26"/>
        </w:rPr>
        <w:t>Green Mountain</w:t>
      </w:r>
      <w:r w:rsidR="000A3D91">
        <w:rPr>
          <w:rFonts w:ascii="Times New Roman" w:eastAsia="Times New Roman" w:hAnsi="Times New Roman" w:cs="Times New Roman"/>
          <w:sz w:val="26"/>
          <w:szCs w:val="26"/>
        </w:rPr>
        <w:t xml:space="preserve"> noted that </w:t>
      </w:r>
      <w:r w:rsidR="001C4806">
        <w:rPr>
          <w:rFonts w:ascii="Times New Roman" w:eastAsia="Times New Roman" w:hAnsi="Times New Roman" w:cs="Times New Roman"/>
          <w:sz w:val="26"/>
          <w:szCs w:val="26"/>
        </w:rPr>
        <w:t>i</w:t>
      </w:r>
      <w:r w:rsidR="001C4806" w:rsidRPr="001C4806">
        <w:rPr>
          <w:rFonts w:ascii="Times New Roman" w:eastAsia="Times New Roman" w:hAnsi="Times New Roman" w:cs="Times New Roman"/>
          <w:sz w:val="26"/>
          <w:szCs w:val="26"/>
        </w:rPr>
        <w:t xml:space="preserve">t is in the public interest to approve the Settlement and avoid the expense and uncertainty of litigation. </w:t>
      </w:r>
      <w:r w:rsidR="001C4806">
        <w:rPr>
          <w:rFonts w:ascii="Times New Roman" w:eastAsia="Times New Roman" w:hAnsi="Times New Roman" w:cs="Times New Roman"/>
          <w:sz w:val="26"/>
          <w:szCs w:val="26"/>
        </w:rPr>
        <w:t xml:space="preserve"> </w:t>
      </w:r>
      <w:r w:rsidR="001C4806" w:rsidRPr="001C4806">
        <w:rPr>
          <w:rFonts w:ascii="Times New Roman" w:eastAsia="Times New Roman" w:hAnsi="Times New Roman" w:cs="Times New Roman"/>
          <w:sz w:val="26"/>
          <w:szCs w:val="26"/>
        </w:rPr>
        <w:t>In addition, the Settlement provides for refunds to affected customers</w:t>
      </w:r>
      <w:r w:rsidR="001C4806" w:rsidRPr="001C4806">
        <w:rPr>
          <w:rFonts w:ascii="Times New Roman" w:hAnsi="Times New Roman" w:cs="Times New Roman"/>
          <w:color w:val="000000"/>
          <w:sz w:val="23"/>
          <w:szCs w:val="23"/>
        </w:rPr>
        <w:t xml:space="preserve"> </w:t>
      </w:r>
      <w:r w:rsidR="001C4806" w:rsidRPr="001C4806">
        <w:rPr>
          <w:rFonts w:ascii="Times New Roman" w:eastAsia="Times New Roman" w:hAnsi="Times New Roman" w:cs="Times New Roman"/>
          <w:sz w:val="26"/>
          <w:szCs w:val="26"/>
        </w:rPr>
        <w:t xml:space="preserve">and reflects modifications to </w:t>
      </w:r>
      <w:r w:rsidR="001C4806">
        <w:rPr>
          <w:rFonts w:ascii="Times New Roman" w:eastAsia="Times New Roman" w:hAnsi="Times New Roman" w:cs="Times New Roman"/>
          <w:sz w:val="26"/>
          <w:szCs w:val="26"/>
        </w:rPr>
        <w:t>Green Mountain</w:t>
      </w:r>
      <w:r w:rsidR="001C4806" w:rsidRPr="001C4806">
        <w:rPr>
          <w:rFonts w:ascii="Times New Roman" w:eastAsia="Times New Roman" w:hAnsi="Times New Roman" w:cs="Times New Roman"/>
          <w:sz w:val="26"/>
          <w:szCs w:val="26"/>
        </w:rPr>
        <w:t xml:space="preserve">’s business practices that will provide a public benefit to all prospective customers.  </w:t>
      </w:r>
      <w:r w:rsidR="001C4806">
        <w:rPr>
          <w:rFonts w:ascii="Times New Roman" w:eastAsia="Times New Roman" w:hAnsi="Times New Roman" w:cs="Times New Roman"/>
          <w:sz w:val="26"/>
          <w:szCs w:val="26"/>
        </w:rPr>
        <w:t>Green Mountain</w:t>
      </w:r>
      <w:r w:rsidR="000A3D91">
        <w:rPr>
          <w:rFonts w:ascii="Times New Roman" w:eastAsia="Times New Roman" w:hAnsi="Times New Roman" w:cs="Times New Roman"/>
          <w:sz w:val="26"/>
          <w:szCs w:val="26"/>
        </w:rPr>
        <w:t xml:space="preserve"> Statement in Support at </w:t>
      </w:r>
      <w:r w:rsidR="001C4806">
        <w:rPr>
          <w:rFonts w:ascii="Times New Roman" w:eastAsia="Times New Roman" w:hAnsi="Times New Roman" w:cs="Times New Roman"/>
          <w:sz w:val="26"/>
          <w:szCs w:val="26"/>
        </w:rPr>
        <w:t>10-11</w:t>
      </w:r>
      <w:r w:rsidR="000A3D91">
        <w:rPr>
          <w:rFonts w:ascii="Times New Roman" w:eastAsia="Times New Roman" w:hAnsi="Times New Roman" w:cs="Times New Roman"/>
          <w:sz w:val="26"/>
          <w:szCs w:val="26"/>
        </w:rPr>
        <w:t>.  We agree that it is in the public interest to settle this matter</w:t>
      </w:r>
      <w:r w:rsidR="00EC3B19">
        <w:rPr>
          <w:rFonts w:ascii="Times New Roman" w:eastAsia="Times New Roman" w:hAnsi="Times New Roman" w:cs="Times New Roman"/>
          <w:sz w:val="26"/>
          <w:szCs w:val="26"/>
        </w:rPr>
        <w:t xml:space="preserve">; </w:t>
      </w:r>
      <w:r w:rsidR="00EC3B19">
        <w:rPr>
          <w:rFonts w:ascii="Times New Roman" w:eastAsia="Calibri" w:hAnsi="Times New Roman" w:cs="Times New Roman"/>
          <w:sz w:val="26"/>
          <w:szCs w:val="26"/>
          <w:lang w:eastAsia="x-none"/>
        </w:rPr>
        <w:t>t</w:t>
      </w:r>
      <w:r w:rsidR="00852B8C">
        <w:rPr>
          <w:rFonts w:ascii="Times New Roman" w:eastAsia="Calibri" w:hAnsi="Times New Roman" w:cs="Times New Roman"/>
          <w:sz w:val="26"/>
          <w:szCs w:val="26"/>
          <w:lang w:eastAsia="x-none"/>
        </w:rPr>
        <w:t>herefore,</w:t>
      </w:r>
      <w:r w:rsidR="00FF574D">
        <w:rPr>
          <w:rFonts w:ascii="Times New Roman" w:eastAsia="Calibri" w:hAnsi="Times New Roman" w:cs="Times New Roman"/>
          <w:sz w:val="26"/>
          <w:szCs w:val="26"/>
          <w:lang w:eastAsia="x-none"/>
        </w:rPr>
        <w:t xml:space="preserve"> we are of the opinion that other relevant factors weigh in favor of approval of</w:t>
      </w:r>
      <w:r w:rsidR="00852B8C">
        <w:rPr>
          <w:rFonts w:ascii="Times New Roman" w:eastAsia="Calibri" w:hAnsi="Times New Roman" w:cs="Times New Roman"/>
          <w:sz w:val="26"/>
          <w:szCs w:val="26"/>
          <w:lang w:eastAsia="x-none"/>
        </w:rPr>
        <w:t xml:space="preserve"> the</w:t>
      </w:r>
      <w:r w:rsidR="00FF574D">
        <w:rPr>
          <w:rFonts w:ascii="Times New Roman" w:eastAsia="Calibri" w:hAnsi="Times New Roman" w:cs="Times New Roman"/>
          <w:sz w:val="26"/>
          <w:szCs w:val="26"/>
          <w:lang w:eastAsia="x-none"/>
        </w:rPr>
        <w:t xml:space="preserve"> agreed upon</w:t>
      </w:r>
      <w:r w:rsidR="00852B8C">
        <w:rPr>
          <w:rFonts w:ascii="Times New Roman" w:eastAsia="Calibri" w:hAnsi="Times New Roman" w:cs="Times New Roman"/>
          <w:sz w:val="26"/>
          <w:szCs w:val="26"/>
          <w:lang w:eastAsia="x-none"/>
        </w:rPr>
        <w:t xml:space="preserve"> civil penalty</w:t>
      </w:r>
      <w:r w:rsidR="00FF574D">
        <w:rPr>
          <w:rFonts w:ascii="Times New Roman" w:eastAsia="Calibri" w:hAnsi="Times New Roman" w:cs="Times New Roman"/>
          <w:sz w:val="26"/>
          <w:szCs w:val="26"/>
          <w:lang w:eastAsia="x-none"/>
        </w:rPr>
        <w:t>, as well as the other settlement terms, established in the Settlement</w:t>
      </w:r>
      <w:r w:rsidR="00EC3B19">
        <w:rPr>
          <w:rFonts w:ascii="Times New Roman" w:eastAsia="Calibri" w:hAnsi="Times New Roman" w:cs="Times New Roman"/>
          <w:sz w:val="26"/>
          <w:szCs w:val="26"/>
          <w:lang w:eastAsia="x-none"/>
        </w:rPr>
        <w:t xml:space="preserve">, </w:t>
      </w:r>
      <w:r w:rsidR="00EC3B19" w:rsidRPr="003E269D">
        <w:rPr>
          <w:rFonts w:ascii="Times New Roman" w:eastAsia="Calibri" w:hAnsi="Times New Roman" w:cs="Times New Roman"/>
          <w:sz w:val="26"/>
          <w:szCs w:val="26"/>
          <w:lang w:eastAsia="x-none"/>
        </w:rPr>
        <w:t>as modified by this Opinion and Order.</w:t>
      </w:r>
    </w:p>
    <w:p w14:paraId="649E588F" w14:textId="2C18CFC4" w:rsidR="00B66AF8" w:rsidRDefault="003E269D" w:rsidP="0087352B">
      <w:pPr>
        <w:spacing w:after="0" w:line="360" w:lineRule="auto"/>
        <w:ind w:firstLine="1440"/>
        <w:rPr>
          <w:rFonts w:ascii="Times New Roman" w:hAnsi="Times New Roman"/>
          <w:sz w:val="26"/>
          <w:szCs w:val="26"/>
        </w:rPr>
      </w:pPr>
      <w:r>
        <w:rPr>
          <w:rFonts w:ascii="Times New Roman" w:eastAsia="Times New Roman" w:hAnsi="Times New Roman" w:cs="Times New Roman"/>
          <w:sz w:val="26"/>
          <w:szCs w:val="26"/>
        </w:rPr>
        <w:t>As we are approving the Settlement subject to modification, the Partie</w:t>
      </w:r>
      <w:r w:rsidR="00902C63">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may withdraw from the Settlement.  Therefore, the Parties will have twenty (20) days from the date of entry of this Opinion and Order to file an election to withdraw from the Settlement.  If either Party notifies the Commission that i</w:t>
      </w:r>
      <w:r w:rsidR="00902C63">
        <w:rPr>
          <w:rFonts w:ascii="Times New Roman" w:eastAsia="Times New Roman" w:hAnsi="Times New Roman" w:cs="Times New Roman"/>
          <w:sz w:val="26"/>
          <w:szCs w:val="26"/>
        </w:rPr>
        <w:t>t</w:t>
      </w:r>
      <w:r>
        <w:rPr>
          <w:rFonts w:ascii="Times New Roman" w:eastAsia="Times New Roman" w:hAnsi="Times New Roman" w:cs="Times New Roman"/>
          <w:sz w:val="26"/>
          <w:szCs w:val="26"/>
        </w:rPr>
        <w:t xml:space="preserve"> wishes to withdraw from the Settlement, the Settlement shall be disapproved without further action by this Commission.  If no Party withdraws from the Settlement Agreement, then this Opinion and Order shall become final, and the Settlement, with the modifications discussed herein, will be approved, without </w:t>
      </w:r>
      <w:r w:rsidR="004E3ED7">
        <w:rPr>
          <w:rFonts w:ascii="Times New Roman" w:eastAsia="Times New Roman" w:hAnsi="Times New Roman" w:cs="Times New Roman"/>
          <w:sz w:val="26"/>
          <w:szCs w:val="26"/>
        </w:rPr>
        <w:t>further action by this Commission.</w:t>
      </w:r>
      <w:r w:rsidR="00B66AF8">
        <w:rPr>
          <w:rFonts w:ascii="Times New Roman" w:eastAsia="Times New Roman" w:hAnsi="Times New Roman" w:cs="Times New Roman"/>
          <w:sz w:val="26"/>
          <w:szCs w:val="26"/>
        </w:rPr>
        <w:t xml:space="preserve"> </w:t>
      </w:r>
    </w:p>
    <w:p w14:paraId="2C0FEB5E" w14:textId="77777777" w:rsidR="00FF574D" w:rsidRPr="003F7EE6" w:rsidRDefault="00FF574D" w:rsidP="005578A1">
      <w:pPr>
        <w:spacing w:after="0" w:line="360" w:lineRule="auto"/>
        <w:rPr>
          <w:rFonts w:ascii="Times New Roman" w:eastAsia="Times New Roman" w:hAnsi="Times New Roman" w:cs="Times New Roman"/>
          <w:sz w:val="26"/>
          <w:szCs w:val="26"/>
        </w:rPr>
      </w:pPr>
    </w:p>
    <w:p w14:paraId="2E182FAD" w14:textId="77777777" w:rsidR="00F44833" w:rsidRPr="003F7EE6" w:rsidRDefault="00F44833" w:rsidP="00984762">
      <w:pPr>
        <w:pStyle w:val="Heading1"/>
        <w:tabs>
          <w:tab w:val="clear" w:pos="-720"/>
        </w:tabs>
      </w:pPr>
      <w:r w:rsidRPr="003F7EE6">
        <w:t>Conclusion</w:t>
      </w:r>
    </w:p>
    <w:p w14:paraId="70E9B904" w14:textId="77777777" w:rsidR="00F44833" w:rsidRPr="003F7EE6" w:rsidRDefault="00F44833" w:rsidP="005578A1">
      <w:pPr>
        <w:spacing w:after="0" w:line="360" w:lineRule="auto"/>
        <w:rPr>
          <w:rFonts w:ascii="Times New Roman" w:eastAsia="Times New Roman" w:hAnsi="Times New Roman" w:cs="Times New Roman"/>
          <w:sz w:val="26"/>
          <w:szCs w:val="26"/>
        </w:rPr>
      </w:pPr>
    </w:p>
    <w:p w14:paraId="2D8B0FE2" w14:textId="593B2016" w:rsidR="00F44833" w:rsidRDefault="0087352B" w:rsidP="005578A1">
      <w:pPr>
        <w:spacing w:after="0" w:line="360" w:lineRule="auto"/>
        <w:ind w:firstLine="1440"/>
        <w:rPr>
          <w:rFonts w:ascii="Times New Roman" w:eastAsia="Times New Roman" w:hAnsi="Times New Roman" w:cs="Times New Roman"/>
          <w:b/>
          <w:sz w:val="26"/>
          <w:szCs w:val="26"/>
        </w:rPr>
      </w:pPr>
      <w:r w:rsidRPr="0087352B">
        <w:rPr>
          <w:rFonts w:ascii="Times New Roman" w:eastAsia="Times New Roman" w:hAnsi="Times New Roman" w:cs="Times New Roman"/>
          <w:sz w:val="26"/>
          <w:szCs w:val="26"/>
        </w:rPr>
        <w:t xml:space="preserve">It is the Commission’s policy to promote settlements.  52 Pa. Code § 5.231.  The Parties herein have provided the Commission with sufficient information upon which to thoroughly consider the terms of the proposed Settlement.  Based on our review of the record in this case and the Commission’s Regulations and policy statements, we find that the proposed </w:t>
      </w:r>
      <w:r w:rsidRPr="00AC72B5">
        <w:rPr>
          <w:rFonts w:ascii="Times New Roman" w:eastAsia="Times New Roman" w:hAnsi="Times New Roman" w:cs="Times New Roman"/>
          <w:sz w:val="26"/>
          <w:szCs w:val="26"/>
        </w:rPr>
        <w:t>Settlement</w:t>
      </w:r>
      <w:r w:rsidR="00B22335" w:rsidRPr="00AC72B5">
        <w:rPr>
          <w:rFonts w:ascii="Times New Roman" w:eastAsia="Times New Roman" w:hAnsi="Times New Roman" w:cs="Times New Roman"/>
          <w:sz w:val="26"/>
          <w:szCs w:val="26"/>
        </w:rPr>
        <w:t>, as modified by this Opinion and Order</w:t>
      </w:r>
      <w:r w:rsidR="00B22335">
        <w:rPr>
          <w:rFonts w:ascii="Times New Roman" w:eastAsia="Times New Roman" w:hAnsi="Times New Roman" w:cs="Times New Roman"/>
          <w:sz w:val="26"/>
          <w:szCs w:val="26"/>
        </w:rPr>
        <w:t>,</w:t>
      </w:r>
      <w:r w:rsidRPr="0087352B">
        <w:rPr>
          <w:rFonts w:ascii="Times New Roman" w:eastAsia="Times New Roman" w:hAnsi="Times New Roman" w:cs="Times New Roman"/>
          <w:sz w:val="26"/>
          <w:szCs w:val="26"/>
        </w:rPr>
        <w:t xml:space="preserve"> between I&amp;E and </w:t>
      </w:r>
      <w:r w:rsidR="00E74BAF">
        <w:rPr>
          <w:rFonts w:ascii="Times New Roman" w:eastAsia="Times New Roman" w:hAnsi="Times New Roman" w:cs="Times New Roman"/>
          <w:sz w:val="26"/>
          <w:szCs w:val="26"/>
        </w:rPr>
        <w:t>Green Mountain</w:t>
      </w:r>
      <w:r w:rsidRPr="0087352B">
        <w:rPr>
          <w:rFonts w:ascii="Times New Roman" w:eastAsia="Times New Roman" w:hAnsi="Times New Roman" w:cs="Times New Roman"/>
          <w:sz w:val="26"/>
          <w:szCs w:val="26"/>
        </w:rPr>
        <w:t xml:space="preserve"> is in the public interest and merits approval.  We will therefore </w:t>
      </w:r>
      <w:r w:rsidR="00AC72B5">
        <w:rPr>
          <w:rFonts w:ascii="Times New Roman" w:eastAsia="Times New Roman" w:hAnsi="Times New Roman" w:cs="Times New Roman"/>
          <w:sz w:val="26"/>
          <w:szCs w:val="26"/>
        </w:rPr>
        <w:t>grant</w:t>
      </w:r>
      <w:r w:rsidRPr="0087352B">
        <w:rPr>
          <w:rFonts w:ascii="Times New Roman" w:eastAsia="Times New Roman" w:hAnsi="Times New Roman" w:cs="Times New Roman"/>
          <w:sz w:val="26"/>
          <w:szCs w:val="26"/>
        </w:rPr>
        <w:t xml:space="preserve"> the</w:t>
      </w:r>
      <w:r w:rsidR="00E74BAF">
        <w:rPr>
          <w:rFonts w:ascii="Times New Roman" w:eastAsia="Times New Roman" w:hAnsi="Times New Roman" w:cs="Times New Roman"/>
          <w:sz w:val="26"/>
          <w:szCs w:val="26"/>
        </w:rPr>
        <w:t xml:space="preserve"> Joint</w:t>
      </w:r>
      <w:r w:rsidRPr="0087352B">
        <w:rPr>
          <w:rFonts w:ascii="Times New Roman" w:eastAsia="Times New Roman" w:hAnsi="Times New Roman" w:cs="Times New Roman"/>
          <w:sz w:val="26"/>
          <w:szCs w:val="26"/>
        </w:rPr>
        <w:t xml:space="preserve"> Petition and, thereby, approve the proposed Settlement</w:t>
      </w:r>
      <w:r w:rsidR="00B22335">
        <w:rPr>
          <w:rFonts w:ascii="Times New Roman" w:eastAsia="Times New Roman" w:hAnsi="Times New Roman" w:cs="Times New Roman"/>
          <w:sz w:val="26"/>
          <w:szCs w:val="26"/>
        </w:rPr>
        <w:t xml:space="preserve">, </w:t>
      </w:r>
      <w:r w:rsidR="00B22335" w:rsidRPr="00B9223A">
        <w:rPr>
          <w:rFonts w:ascii="Times New Roman" w:eastAsia="Times New Roman" w:hAnsi="Times New Roman" w:cs="Times New Roman"/>
          <w:sz w:val="26"/>
          <w:szCs w:val="26"/>
        </w:rPr>
        <w:t>as modified</w:t>
      </w:r>
      <w:r w:rsidRPr="00B9223A">
        <w:rPr>
          <w:rFonts w:ascii="Times New Roman" w:eastAsia="Times New Roman" w:hAnsi="Times New Roman" w:cs="Times New Roman"/>
          <w:sz w:val="26"/>
          <w:szCs w:val="26"/>
        </w:rPr>
        <w:t>, consistent</w:t>
      </w:r>
      <w:r w:rsidRPr="0087352B">
        <w:rPr>
          <w:rFonts w:ascii="Times New Roman" w:eastAsia="Times New Roman" w:hAnsi="Times New Roman" w:cs="Times New Roman"/>
          <w:sz w:val="26"/>
          <w:szCs w:val="26"/>
        </w:rPr>
        <w:t xml:space="preserve"> with this Opinion and Order</w:t>
      </w:r>
      <w:r w:rsidR="00F44833" w:rsidRPr="003F7EE6">
        <w:rPr>
          <w:rFonts w:ascii="Times New Roman" w:eastAsia="Times New Roman" w:hAnsi="Times New Roman" w:cs="Times New Roman"/>
          <w:sz w:val="26"/>
          <w:szCs w:val="26"/>
        </w:rPr>
        <w:t xml:space="preserve">; </w:t>
      </w:r>
      <w:r w:rsidR="00F44833" w:rsidRPr="003F7EE6">
        <w:rPr>
          <w:rFonts w:ascii="Times New Roman" w:eastAsia="Times New Roman" w:hAnsi="Times New Roman" w:cs="Times New Roman"/>
          <w:b/>
          <w:sz w:val="26"/>
          <w:szCs w:val="26"/>
        </w:rPr>
        <w:t>THEREFORE</w:t>
      </w:r>
      <w:r w:rsidR="005578A1">
        <w:rPr>
          <w:rFonts w:ascii="Times New Roman" w:eastAsia="Times New Roman" w:hAnsi="Times New Roman" w:cs="Times New Roman"/>
          <w:b/>
          <w:sz w:val="26"/>
          <w:szCs w:val="26"/>
        </w:rPr>
        <w:t>,</w:t>
      </w:r>
    </w:p>
    <w:p w14:paraId="4EB2A8A2" w14:textId="77777777" w:rsidR="005578A1" w:rsidRPr="003F7EE6" w:rsidRDefault="005578A1" w:rsidP="005578A1">
      <w:pPr>
        <w:spacing w:after="0" w:line="360" w:lineRule="auto"/>
        <w:ind w:firstLine="1440"/>
        <w:rPr>
          <w:rFonts w:ascii="Times New Roman" w:eastAsia="Times New Roman" w:hAnsi="Times New Roman" w:cs="Times New Roman"/>
          <w:sz w:val="26"/>
          <w:szCs w:val="26"/>
        </w:rPr>
      </w:pPr>
    </w:p>
    <w:p w14:paraId="4AED235F" w14:textId="77777777" w:rsidR="00F44833" w:rsidRPr="003F7EE6" w:rsidRDefault="00F44833" w:rsidP="005578A1">
      <w:pPr>
        <w:spacing w:after="0" w:line="360" w:lineRule="auto"/>
        <w:rPr>
          <w:rFonts w:ascii="Times New Roman" w:eastAsia="Times New Roman" w:hAnsi="Times New Roman" w:cs="Times New Roman"/>
          <w:b/>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b/>
          <w:sz w:val="26"/>
          <w:szCs w:val="26"/>
        </w:rPr>
        <w:t>IT IS ORDERED:</w:t>
      </w:r>
    </w:p>
    <w:p w14:paraId="0672DE4A" w14:textId="77777777" w:rsidR="00F44833" w:rsidRPr="003F7EE6" w:rsidRDefault="00F44833" w:rsidP="005578A1">
      <w:pPr>
        <w:spacing w:after="0" w:line="360" w:lineRule="auto"/>
        <w:rPr>
          <w:rFonts w:ascii="Times New Roman" w:eastAsia="Times New Roman" w:hAnsi="Times New Roman" w:cs="Times New Roman"/>
          <w:sz w:val="26"/>
          <w:szCs w:val="26"/>
        </w:rPr>
      </w:pPr>
    </w:p>
    <w:p w14:paraId="7FC66A23" w14:textId="11F0E6EB" w:rsidR="00F44833" w:rsidRDefault="00F44833" w:rsidP="005578A1">
      <w:pPr>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1.</w:t>
      </w:r>
      <w:r w:rsidRPr="003F7EE6">
        <w:rPr>
          <w:rFonts w:ascii="Times New Roman" w:eastAsia="Times New Roman" w:hAnsi="Times New Roman" w:cs="Times New Roman"/>
          <w:sz w:val="26"/>
          <w:szCs w:val="26"/>
        </w:rPr>
        <w:tab/>
      </w:r>
      <w:r w:rsidR="008B06E3" w:rsidRPr="00F3313F">
        <w:rPr>
          <w:rFonts w:ascii="Times New Roman" w:eastAsia="Times New Roman" w:hAnsi="Times New Roman" w:cs="Times New Roman"/>
          <w:sz w:val="26"/>
          <w:szCs w:val="26"/>
        </w:rPr>
        <w:t xml:space="preserve">That the </w:t>
      </w:r>
      <w:r w:rsidR="008B06E3" w:rsidRPr="008B06E3">
        <w:rPr>
          <w:rFonts w:ascii="Times New Roman" w:eastAsia="Times New Roman" w:hAnsi="Times New Roman" w:cs="Times New Roman"/>
          <w:sz w:val="26"/>
          <w:szCs w:val="26"/>
        </w:rPr>
        <w:t xml:space="preserve">Joint Petition for Approval of Settlement filed on </w:t>
      </w:r>
      <w:r w:rsidR="00AC7BCC">
        <w:rPr>
          <w:rFonts w:ascii="Times New Roman" w:eastAsia="Times New Roman" w:hAnsi="Times New Roman" w:cs="Times New Roman"/>
          <w:sz w:val="26"/>
          <w:szCs w:val="26"/>
        </w:rPr>
        <w:t>July</w:t>
      </w:r>
      <w:r w:rsidR="00EE045F">
        <w:rPr>
          <w:rFonts w:ascii="Times New Roman" w:eastAsia="Times New Roman" w:hAnsi="Times New Roman" w:cs="Times New Roman"/>
          <w:sz w:val="26"/>
          <w:szCs w:val="26"/>
        </w:rPr>
        <w:t> </w:t>
      </w:r>
      <w:r w:rsidR="00AC7BCC">
        <w:rPr>
          <w:rFonts w:ascii="Times New Roman" w:eastAsia="Times New Roman" w:hAnsi="Times New Roman" w:cs="Times New Roman"/>
          <w:sz w:val="26"/>
          <w:szCs w:val="26"/>
        </w:rPr>
        <w:t>9,</w:t>
      </w:r>
      <w:r w:rsidR="00EE045F">
        <w:rPr>
          <w:rFonts w:ascii="Times New Roman" w:eastAsia="Times New Roman" w:hAnsi="Times New Roman" w:cs="Times New Roman"/>
          <w:sz w:val="26"/>
          <w:szCs w:val="26"/>
        </w:rPr>
        <w:t> </w:t>
      </w:r>
      <w:r w:rsidR="00AC7BCC">
        <w:rPr>
          <w:rFonts w:ascii="Times New Roman" w:eastAsia="Times New Roman" w:hAnsi="Times New Roman" w:cs="Times New Roman"/>
          <w:sz w:val="26"/>
          <w:szCs w:val="26"/>
        </w:rPr>
        <w:t>2021</w:t>
      </w:r>
      <w:r w:rsidR="008B06E3" w:rsidRPr="008B06E3">
        <w:rPr>
          <w:rFonts w:ascii="Times New Roman" w:eastAsia="Times New Roman" w:hAnsi="Times New Roman" w:cs="Times New Roman"/>
          <w:sz w:val="26"/>
          <w:szCs w:val="26"/>
        </w:rPr>
        <w:t xml:space="preserve">, </w:t>
      </w:r>
      <w:r w:rsidR="003A4BCE">
        <w:rPr>
          <w:rFonts w:ascii="Times New Roman" w:eastAsia="Times New Roman" w:hAnsi="Times New Roman" w:cs="Times New Roman"/>
          <w:sz w:val="26"/>
          <w:szCs w:val="26"/>
        </w:rPr>
        <w:t>between</w:t>
      </w:r>
      <w:r w:rsidR="008B06E3" w:rsidRPr="008B06E3">
        <w:rPr>
          <w:rFonts w:ascii="Times New Roman" w:eastAsia="Times New Roman" w:hAnsi="Times New Roman" w:cs="Times New Roman"/>
          <w:sz w:val="26"/>
          <w:szCs w:val="26"/>
        </w:rPr>
        <w:t xml:space="preserve"> the Commission’s Bureau of Investigation and Enforcement and </w:t>
      </w:r>
      <w:r w:rsidR="00AC7BCC">
        <w:rPr>
          <w:rFonts w:ascii="Times New Roman" w:eastAsia="Times New Roman" w:hAnsi="Times New Roman" w:cs="Times New Roman"/>
          <w:sz w:val="26"/>
          <w:szCs w:val="26"/>
        </w:rPr>
        <w:t>Green Mountain Energy Company</w:t>
      </w:r>
      <w:r w:rsidR="008B06E3">
        <w:rPr>
          <w:rFonts w:ascii="Times New Roman" w:eastAsia="Times New Roman" w:hAnsi="Times New Roman" w:cs="Times New Roman"/>
          <w:sz w:val="26"/>
          <w:szCs w:val="26"/>
        </w:rPr>
        <w:t xml:space="preserve"> </w:t>
      </w:r>
      <w:r w:rsidR="008B06E3" w:rsidRPr="00F3313F">
        <w:rPr>
          <w:rFonts w:ascii="Times New Roman" w:eastAsia="Times New Roman" w:hAnsi="Times New Roman" w:cs="Times New Roman"/>
          <w:sz w:val="26"/>
          <w:szCs w:val="26"/>
        </w:rPr>
        <w:t>is approved</w:t>
      </w:r>
      <w:r w:rsidR="00924E6A" w:rsidRPr="00B9223A">
        <w:rPr>
          <w:rFonts w:ascii="Times New Roman" w:eastAsia="Times New Roman" w:hAnsi="Times New Roman" w:cs="Times New Roman"/>
          <w:sz w:val="26"/>
          <w:szCs w:val="26"/>
        </w:rPr>
        <w:t>, as modified, by this Opinion and Order</w:t>
      </w:r>
      <w:r w:rsidR="00B9223A">
        <w:rPr>
          <w:rFonts w:ascii="Times New Roman" w:eastAsia="Times New Roman" w:hAnsi="Times New Roman" w:cs="Times New Roman"/>
          <w:sz w:val="26"/>
          <w:szCs w:val="26"/>
        </w:rPr>
        <w:t>, subject to the conditions set forth in Ordering Paragraph Nos. 2 and 3</w:t>
      </w:r>
      <w:r w:rsidR="008B06E3" w:rsidRPr="00B9223A">
        <w:rPr>
          <w:rFonts w:ascii="Times New Roman" w:eastAsia="Times New Roman" w:hAnsi="Times New Roman" w:cs="Times New Roman"/>
          <w:sz w:val="26"/>
          <w:szCs w:val="26"/>
        </w:rPr>
        <w:t>.</w:t>
      </w:r>
    </w:p>
    <w:p w14:paraId="294F6E9E" w14:textId="6B36B04E" w:rsidR="00B9223A" w:rsidRDefault="00B9223A" w:rsidP="005578A1">
      <w:pPr>
        <w:spacing w:after="0" w:line="360" w:lineRule="auto"/>
        <w:rPr>
          <w:rFonts w:ascii="Times New Roman" w:eastAsia="Times New Roman" w:hAnsi="Times New Roman" w:cs="Times New Roman"/>
          <w:sz w:val="26"/>
          <w:szCs w:val="26"/>
        </w:rPr>
      </w:pPr>
    </w:p>
    <w:p w14:paraId="2C1681D2" w14:textId="1D347E6E" w:rsidR="00B9223A" w:rsidRDefault="00B9223A" w:rsidP="005578A1">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2.</w:t>
      </w:r>
      <w:r>
        <w:rPr>
          <w:rFonts w:ascii="Times New Roman" w:eastAsia="Times New Roman" w:hAnsi="Times New Roman" w:cs="Times New Roman"/>
          <w:sz w:val="26"/>
          <w:szCs w:val="26"/>
        </w:rPr>
        <w:tab/>
        <w:t xml:space="preserve">That </w:t>
      </w:r>
      <w:r w:rsidRPr="00B9223A">
        <w:rPr>
          <w:rFonts w:ascii="Times New Roman" w:eastAsia="Times New Roman" w:hAnsi="Times New Roman" w:cs="Times New Roman"/>
          <w:sz w:val="26"/>
          <w:szCs w:val="26"/>
        </w:rPr>
        <w:t>Green Mountain Energy Company or the Commission’s Bureau of Investigation and Enforcement may withdraw from the Settlement Agreement within twenty (20) days from the date of entry of this Opinion and Order, and if any Party timely files an election to withdraw from the Joint Petition for Approval of Settlement, the Joint Petition for Approval of Settlement shall be disapproved without further action by this Commission, and this matter shall be referred to the Bureau of Investigation and Enforcement to take such further action as may be warranted.</w:t>
      </w:r>
    </w:p>
    <w:p w14:paraId="01E30FF7" w14:textId="7EE82D93" w:rsidR="005F5B6D" w:rsidRDefault="005F5B6D" w:rsidP="005578A1">
      <w:pPr>
        <w:spacing w:after="0" w:line="360" w:lineRule="auto"/>
        <w:rPr>
          <w:rFonts w:ascii="Times New Roman" w:eastAsia="Times New Roman" w:hAnsi="Times New Roman" w:cs="Times New Roman"/>
          <w:sz w:val="26"/>
          <w:szCs w:val="26"/>
        </w:rPr>
      </w:pPr>
    </w:p>
    <w:p w14:paraId="2C295F1C" w14:textId="24FB07B0" w:rsidR="005F5B6D" w:rsidRDefault="005F5B6D" w:rsidP="005578A1">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3.</w:t>
      </w:r>
      <w:r>
        <w:rPr>
          <w:rFonts w:ascii="Times New Roman" w:eastAsia="Times New Roman" w:hAnsi="Times New Roman" w:cs="Times New Roman"/>
          <w:sz w:val="26"/>
          <w:szCs w:val="26"/>
        </w:rPr>
        <w:tab/>
        <w:t xml:space="preserve">That, </w:t>
      </w:r>
      <w:r w:rsidRPr="005F5B6D">
        <w:rPr>
          <w:rFonts w:ascii="Times New Roman" w:eastAsia="Times New Roman" w:hAnsi="Times New Roman" w:cs="Times New Roman"/>
          <w:sz w:val="26"/>
          <w:szCs w:val="26"/>
        </w:rPr>
        <w:t>if Green Mountain Energy Company or the Commission’s Bureau of Investigation and Enforcement do not file an election to withdraw from the Joint Petition for Approval of Settlement in accordance with Ordering Paragraph No. 2, this Opinion and Order shall become final without further Commission action, and it is further ordered:</w:t>
      </w:r>
    </w:p>
    <w:p w14:paraId="0F46017B" w14:textId="77777777" w:rsidR="008B06E3" w:rsidRPr="003F7EE6" w:rsidRDefault="008B06E3" w:rsidP="005578A1">
      <w:pPr>
        <w:spacing w:after="0" w:line="360" w:lineRule="auto"/>
        <w:rPr>
          <w:rFonts w:ascii="Times New Roman" w:eastAsia="Times New Roman" w:hAnsi="Times New Roman" w:cs="Times New Roman"/>
          <w:sz w:val="26"/>
          <w:szCs w:val="26"/>
        </w:rPr>
      </w:pPr>
    </w:p>
    <w:p w14:paraId="03A3FA9B" w14:textId="296F7AC0" w:rsidR="008B06E3" w:rsidRPr="005F5B6D" w:rsidRDefault="008B06E3" w:rsidP="00EE045F">
      <w:pPr>
        <w:pStyle w:val="ListParagraph"/>
        <w:keepNext/>
        <w:numPr>
          <w:ilvl w:val="0"/>
          <w:numId w:val="23"/>
        </w:numPr>
        <w:autoSpaceDE w:val="0"/>
        <w:autoSpaceDN w:val="0"/>
        <w:adjustRightInd w:val="0"/>
        <w:spacing w:after="0" w:line="360" w:lineRule="auto"/>
        <w:ind w:left="1440" w:firstLine="720"/>
        <w:rPr>
          <w:rFonts w:eastAsia="Times New Roman"/>
          <w:sz w:val="26"/>
          <w:szCs w:val="26"/>
        </w:rPr>
      </w:pPr>
      <w:r w:rsidRPr="005F5B6D">
        <w:rPr>
          <w:rFonts w:eastAsia="Times New Roman"/>
          <w:sz w:val="26"/>
          <w:szCs w:val="26"/>
        </w:rPr>
        <w:t>That, in accordance with Section 3301 of the Public Utility Code, 66</w:t>
      </w:r>
      <w:r w:rsidR="00E56867" w:rsidRPr="005F5B6D">
        <w:rPr>
          <w:rFonts w:eastAsia="Times New Roman"/>
          <w:sz w:val="26"/>
          <w:szCs w:val="26"/>
        </w:rPr>
        <w:t> </w:t>
      </w:r>
      <w:r w:rsidRPr="005F5B6D">
        <w:rPr>
          <w:rFonts w:eastAsia="Times New Roman"/>
          <w:sz w:val="26"/>
          <w:szCs w:val="26"/>
        </w:rPr>
        <w:t xml:space="preserve">Pa. C.S. § 3301, within </w:t>
      </w:r>
      <w:r w:rsidR="00EB5082" w:rsidRPr="005F5B6D">
        <w:rPr>
          <w:rFonts w:eastAsia="Times New Roman"/>
          <w:sz w:val="26"/>
          <w:szCs w:val="26"/>
        </w:rPr>
        <w:t>thirty</w:t>
      </w:r>
      <w:r w:rsidRPr="005F5B6D">
        <w:rPr>
          <w:rFonts w:eastAsia="Times New Roman"/>
          <w:sz w:val="26"/>
          <w:szCs w:val="26"/>
        </w:rPr>
        <w:t xml:space="preserve"> (</w:t>
      </w:r>
      <w:r w:rsidR="00EB5082" w:rsidRPr="005F5B6D">
        <w:rPr>
          <w:rFonts w:eastAsia="Times New Roman"/>
          <w:sz w:val="26"/>
          <w:szCs w:val="26"/>
        </w:rPr>
        <w:t>30</w:t>
      </w:r>
      <w:r w:rsidRPr="005F5B6D">
        <w:rPr>
          <w:rFonts w:eastAsia="Times New Roman"/>
          <w:sz w:val="26"/>
          <w:szCs w:val="26"/>
        </w:rPr>
        <w:t xml:space="preserve">) days of </w:t>
      </w:r>
      <w:r w:rsidR="00EB5082" w:rsidRPr="005F5B6D">
        <w:rPr>
          <w:rFonts w:eastAsia="Times New Roman"/>
          <w:sz w:val="26"/>
          <w:szCs w:val="26"/>
        </w:rPr>
        <w:t xml:space="preserve">the date of </w:t>
      </w:r>
      <w:r w:rsidR="009A6457" w:rsidRPr="005F5B6D">
        <w:rPr>
          <w:rFonts w:eastAsia="Times New Roman"/>
          <w:sz w:val="26"/>
          <w:szCs w:val="26"/>
        </w:rPr>
        <w:t xml:space="preserve">the </w:t>
      </w:r>
      <w:r w:rsidR="005F3FC5">
        <w:rPr>
          <w:rFonts w:eastAsia="Times New Roman"/>
          <w:sz w:val="26"/>
          <w:szCs w:val="26"/>
        </w:rPr>
        <w:t>entry of this Opinion and Order</w:t>
      </w:r>
      <w:r w:rsidRPr="005F5B6D">
        <w:rPr>
          <w:rFonts w:eastAsia="Times New Roman"/>
          <w:sz w:val="26"/>
          <w:szCs w:val="26"/>
        </w:rPr>
        <w:t xml:space="preserve">, </w:t>
      </w:r>
      <w:r w:rsidR="00AC7BCC" w:rsidRPr="005F5B6D">
        <w:rPr>
          <w:rFonts w:eastAsia="Times New Roman"/>
          <w:sz w:val="26"/>
          <w:szCs w:val="26"/>
        </w:rPr>
        <w:t>Green Mountain Energy Company</w:t>
      </w:r>
      <w:r w:rsidRPr="005F5B6D">
        <w:rPr>
          <w:rFonts w:eastAsia="Times New Roman"/>
          <w:sz w:val="26"/>
          <w:szCs w:val="26"/>
        </w:rPr>
        <w:t xml:space="preserve"> shall pay a civil penalty of One Hundred </w:t>
      </w:r>
      <w:r w:rsidR="00EB5082" w:rsidRPr="005F5B6D">
        <w:rPr>
          <w:rFonts w:eastAsia="Times New Roman"/>
          <w:sz w:val="26"/>
          <w:szCs w:val="26"/>
        </w:rPr>
        <w:t xml:space="preserve">and </w:t>
      </w:r>
      <w:r w:rsidR="00AC7BCC" w:rsidRPr="005F5B6D">
        <w:rPr>
          <w:rFonts w:eastAsia="Times New Roman"/>
          <w:sz w:val="26"/>
          <w:szCs w:val="26"/>
        </w:rPr>
        <w:t>Fifty-Six</w:t>
      </w:r>
      <w:r w:rsidRPr="005F5B6D">
        <w:rPr>
          <w:rFonts w:eastAsia="Times New Roman"/>
          <w:sz w:val="26"/>
          <w:szCs w:val="26"/>
        </w:rPr>
        <w:t xml:space="preserve"> Thousand Dollars ($1</w:t>
      </w:r>
      <w:r w:rsidR="00AC7BCC" w:rsidRPr="005F5B6D">
        <w:rPr>
          <w:rFonts w:eastAsia="Times New Roman"/>
          <w:sz w:val="26"/>
          <w:szCs w:val="26"/>
        </w:rPr>
        <w:t>56</w:t>
      </w:r>
      <w:r w:rsidR="00EB5082" w:rsidRPr="005F5B6D">
        <w:rPr>
          <w:rFonts w:eastAsia="Times New Roman"/>
          <w:sz w:val="26"/>
          <w:szCs w:val="26"/>
        </w:rPr>
        <w:t>,000</w:t>
      </w:r>
      <w:r w:rsidRPr="005F5B6D">
        <w:rPr>
          <w:rFonts w:eastAsia="Times New Roman"/>
          <w:sz w:val="26"/>
          <w:szCs w:val="26"/>
        </w:rPr>
        <w:t>).  Said payment shall be made by certified check or money order payable to “Commonwealth of Pennsylvania</w:t>
      </w:r>
      <w:r w:rsidR="00EB5082" w:rsidRPr="005F5B6D">
        <w:rPr>
          <w:rFonts w:eastAsia="Times New Roman"/>
          <w:sz w:val="26"/>
          <w:szCs w:val="26"/>
        </w:rPr>
        <w:t>.</w:t>
      </w:r>
      <w:r w:rsidRPr="005F5B6D">
        <w:rPr>
          <w:rFonts w:eastAsia="Times New Roman"/>
          <w:sz w:val="26"/>
          <w:szCs w:val="26"/>
        </w:rPr>
        <w:t>”</w:t>
      </w:r>
      <w:r w:rsidR="00EB5082" w:rsidRPr="005F5B6D">
        <w:rPr>
          <w:rFonts w:eastAsia="Times New Roman"/>
          <w:sz w:val="26"/>
          <w:szCs w:val="26"/>
        </w:rPr>
        <w:t xml:space="preserve">  The docket number of this proceeding shall be indicated with the certified check or money order and</w:t>
      </w:r>
      <w:r w:rsidRPr="005F5B6D">
        <w:rPr>
          <w:rFonts w:eastAsia="Times New Roman"/>
          <w:sz w:val="26"/>
          <w:szCs w:val="26"/>
        </w:rPr>
        <w:t xml:space="preserve"> shall be sent to:</w:t>
      </w:r>
    </w:p>
    <w:p w14:paraId="44D1CD7F" w14:textId="77777777" w:rsidR="008B06E3" w:rsidRPr="008B06E3" w:rsidRDefault="008B06E3" w:rsidP="00EE045F">
      <w:pPr>
        <w:keepNext/>
        <w:widowControl w:val="0"/>
        <w:autoSpaceDE w:val="0"/>
        <w:autoSpaceDN w:val="0"/>
        <w:adjustRightInd w:val="0"/>
        <w:spacing w:after="0" w:line="240" w:lineRule="auto"/>
        <w:ind w:left="720" w:firstLine="720"/>
        <w:rPr>
          <w:rFonts w:ascii="Times New Roman" w:eastAsia="Times New Roman" w:hAnsi="Times New Roman" w:cs="Times New Roman"/>
          <w:sz w:val="26"/>
          <w:szCs w:val="26"/>
        </w:rPr>
      </w:pPr>
    </w:p>
    <w:p w14:paraId="3FC55C06" w14:textId="77777777" w:rsidR="008B06E3" w:rsidRPr="008B06E3" w:rsidRDefault="008B06E3" w:rsidP="00EE045F">
      <w:pPr>
        <w:keepNext/>
        <w:widowControl w:val="0"/>
        <w:autoSpaceDE w:val="0"/>
        <w:autoSpaceDN w:val="0"/>
        <w:adjustRightInd w:val="0"/>
        <w:spacing w:after="0" w:line="240" w:lineRule="auto"/>
        <w:ind w:left="2880"/>
        <w:rPr>
          <w:rFonts w:ascii="Times New Roman" w:eastAsia="Times New Roman" w:hAnsi="Times New Roman" w:cs="Times New Roman"/>
          <w:sz w:val="26"/>
          <w:szCs w:val="26"/>
        </w:rPr>
      </w:pPr>
      <w:r w:rsidRPr="008B06E3">
        <w:rPr>
          <w:rFonts w:ascii="Times New Roman" w:eastAsia="Times New Roman" w:hAnsi="Times New Roman" w:cs="Times New Roman"/>
          <w:sz w:val="26"/>
          <w:szCs w:val="26"/>
        </w:rPr>
        <w:t>Rosemary Chiavetta, Secretary</w:t>
      </w:r>
    </w:p>
    <w:p w14:paraId="116838AF" w14:textId="77777777" w:rsidR="008B06E3" w:rsidRPr="008B06E3" w:rsidRDefault="008B06E3" w:rsidP="00EE045F">
      <w:pPr>
        <w:keepNext/>
        <w:widowControl w:val="0"/>
        <w:autoSpaceDE w:val="0"/>
        <w:autoSpaceDN w:val="0"/>
        <w:adjustRightInd w:val="0"/>
        <w:spacing w:after="0" w:line="240" w:lineRule="auto"/>
        <w:ind w:left="2880"/>
        <w:rPr>
          <w:rFonts w:ascii="Times New Roman" w:eastAsia="Times New Roman" w:hAnsi="Times New Roman" w:cs="Times New Roman"/>
          <w:sz w:val="26"/>
          <w:szCs w:val="26"/>
        </w:rPr>
      </w:pPr>
      <w:r w:rsidRPr="008B06E3">
        <w:rPr>
          <w:rFonts w:ascii="Times New Roman" w:eastAsia="Times New Roman" w:hAnsi="Times New Roman" w:cs="Times New Roman"/>
          <w:sz w:val="26"/>
          <w:szCs w:val="26"/>
        </w:rPr>
        <w:t>Pennsylvania Public Utility Commission</w:t>
      </w:r>
    </w:p>
    <w:p w14:paraId="665357A1" w14:textId="77777777" w:rsidR="008B06E3" w:rsidRPr="008B06E3" w:rsidRDefault="008B06E3" w:rsidP="00EE045F">
      <w:pPr>
        <w:keepNext/>
        <w:widowControl w:val="0"/>
        <w:autoSpaceDE w:val="0"/>
        <w:autoSpaceDN w:val="0"/>
        <w:adjustRightInd w:val="0"/>
        <w:spacing w:after="0" w:line="240" w:lineRule="auto"/>
        <w:ind w:left="2880"/>
        <w:rPr>
          <w:rFonts w:ascii="Times New Roman" w:eastAsia="Times New Roman" w:hAnsi="Times New Roman" w:cs="Times New Roman"/>
          <w:sz w:val="26"/>
          <w:szCs w:val="26"/>
        </w:rPr>
      </w:pPr>
      <w:r w:rsidRPr="008B06E3">
        <w:rPr>
          <w:rFonts w:ascii="Times New Roman" w:eastAsia="Times New Roman" w:hAnsi="Times New Roman" w:cs="Times New Roman"/>
          <w:sz w:val="26"/>
          <w:szCs w:val="26"/>
        </w:rPr>
        <w:t>Commonwealth Keystone Building</w:t>
      </w:r>
    </w:p>
    <w:p w14:paraId="2655B553" w14:textId="77777777" w:rsidR="008B06E3" w:rsidRPr="008B06E3" w:rsidRDefault="008B06E3" w:rsidP="00EE045F">
      <w:pPr>
        <w:keepNext/>
        <w:widowControl w:val="0"/>
        <w:autoSpaceDE w:val="0"/>
        <w:autoSpaceDN w:val="0"/>
        <w:adjustRightInd w:val="0"/>
        <w:spacing w:after="0" w:line="240" w:lineRule="auto"/>
        <w:ind w:left="2880"/>
        <w:rPr>
          <w:rFonts w:ascii="Times New Roman" w:eastAsia="Times New Roman" w:hAnsi="Times New Roman" w:cs="Times New Roman"/>
          <w:sz w:val="26"/>
          <w:szCs w:val="26"/>
        </w:rPr>
      </w:pPr>
      <w:r w:rsidRPr="008B06E3">
        <w:rPr>
          <w:rFonts w:ascii="Times New Roman" w:eastAsia="Times New Roman" w:hAnsi="Times New Roman" w:cs="Times New Roman"/>
          <w:sz w:val="26"/>
          <w:szCs w:val="26"/>
        </w:rPr>
        <w:t>400 North Street</w:t>
      </w:r>
    </w:p>
    <w:p w14:paraId="4119F1F7" w14:textId="77777777" w:rsidR="008B06E3" w:rsidRPr="008B06E3" w:rsidRDefault="008B06E3" w:rsidP="00EE045F">
      <w:pPr>
        <w:keepNext/>
        <w:spacing w:after="0" w:line="360" w:lineRule="auto"/>
        <w:ind w:left="2880"/>
        <w:rPr>
          <w:rFonts w:ascii="Times New Roman" w:eastAsia="Times New Roman" w:hAnsi="Times New Roman" w:cs="Times New Roman"/>
          <w:sz w:val="26"/>
          <w:szCs w:val="26"/>
        </w:rPr>
      </w:pPr>
      <w:r w:rsidRPr="008B06E3">
        <w:rPr>
          <w:rFonts w:ascii="Times New Roman" w:eastAsia="Times New Roman" w:hAnsi="Times New Roman" w:cs="Times New Roman"/>
          <w:sz w:val="26"/>
          <w:szCs w:val="26"/>
        </w:rPr>
        <w:t>Harrisburg, PA  17120</w:t>
      </w:r>
    </w:p>
    <w:p w14:paraId="62BBFF52" w14:textId="77777777" w:rsidR="00166A7D" w:rsidRPr="003F7EE6" w:rsidRDefault="00166A7D" w:rsidP="007A2A3C">
      <w:pPr>
        <w:keepNext/>
        <w:spacing w:after="0" w:line="360" w:lineRule="auto"/>
        <w:rPr>
          <w:rFonts w:ascii="Times New Roman" w:eastAsia="Times New Roman" w:hAnsi="Times New Roman" w:cs="Times New Roman"/>
          <w:sz w:val="26"/>
          <w:szCs w:val="26"/>
        </w:rPr>
      </w:pPr>
    </w:p>
    <w:p w14:paraId="6B6BC92C" w14:textId="5FCB9963" w:rsidR="00DD6D5B" w:rsidRPr="005F3FC5" w:rsidRDefault="00ED657C" w:rsidP="00EE045F">
      <w:pPr>
        <w:pStyle w:val="ListParagraph"/>
        <w:keepNext/>
        <w:numPr>
          <w:ilvl w:val="0"/>
          <w:numId w:val="23"/>
        </w:numPr>
        <w:spacing w:after="0" w:line="360" w:lineRule="auto"/>
        <w:ind w:left="1440" w:firstLine="720"/>
        <w:textAlignment w:val="baseline"/>
        <w:rPr>
          <w:color w:val="000000"/>
          <w:sz w:val="26"/>
          <w:szCs w:val="26"/>
        </w:rPr>
      </w:pPr>
      <w:bookmarkStart w:id="10" w:name="_Hlk76541957"/>
      <w:r w:rsidRPr="005F3FC5">
        <w:rPr>
          <w:sz w:val="26"/>
          <w:szCs w:val="26"/>
        </w:rPr>
        <w:t xml:space="preserve">That </w:t>
      </w:r>
      <w:r w:rsidR="001A5879" w:rsidRPr="005F3FC5">
        <w:rPr>
          <w:sz w:val="26"/>
          <w:szCs w:val="26"/>
        </w:rPr>
        <w:t xml:space="preserve">the civil penalty shall not be tax deductible </w:t>
      </w:r>
      <w:r w:rsidR="009A6457" w:rsidRPr="005F3FC5">
        <w:rPr>
          <w:sz w:val="26"/>
          <w:szCs w:val="26"/>
        </w:rPr>
        <w:t>pursuant to Section 162(f) of the Internal Revenue Code, 26 U.S.C.S. § 162(f)</w:t>
      </w:r>
      <w:r w:rsidR="00DD6D5B" w:rsidRPr="005F3FC5">
        <w:rPr>
          <w:color w:val="000000"/>
          <w:sz w:val="26"/>
          <w:szCs w:val="26"/>
        </w:rPr>
        <w:t>.</w:t>
      </w:r>
    </w:p>
    <w:bookmarkEnd w:id="10"/>
    <w:p w14:paraId="4A1B2B86" w14:textId="3A30EFA0" w:rsidR="00ED657C" w:rsidRDefault="00ED657C" w:rsidP="005578A1">
      <w:pPr>
        <w:spacing w:after="0" w:line="360" w:lineRule="auto"/>
        <w:rPr>
          <w:rFonts w:ascii="Times New Roman" w:eastAsia="Times New Roman" w:hAnsi="Times New Roman" w:cs="Times New Roman"/>
          <w:sz w:val="26"/>
          <w:szCs w:val="26"/>
        </w:rPr>
      </w:pPr>
    </w:p>
    <w:p w14:paraId="4F2CD22C" w14:textId="78BE8406" w:rsidR="001A5879" w:rsidRPr="005F3FC5" w:rsidRDefault="001A5879" w:rsidP="008C2FAC">
      <w:pPr>
        <w:pStyle w:val="ListParagraph"/>
        <w:numPr>
          <w:ilvl w:val="0"/>
          <w:numId w:val="23"/>
        </w:numPr>
        <w:spacing w:after="0" w:line="360" w:lineRule="auto"/>
        <w:ind w:left="1440" w:firstLine="720"/>
        <w:rPr>
          <w:rFonts w:eastAsia="Times New Roman"/>
          <w:sz w:val="26"/>
          <w:szCs w:val="26"/>
        </w:rPr>
      </w:pPr>
      <w:bookmarkStart w:id="11" w:name="_Hlk76543396"/>
      <w:r w:rsidRPr="005F3FC5">
        <w:rPr>
          <w:rFonts w:eastAsia="Times New Roman"/>
          <w:sz w:val="26"/>
          <w:szCs w:val="26"/>
        </w:rPr>
        <w:t>That</w:t>
      </w:r>
      <w:r w:rsidR="003A4BCE" w:rsidRPr="005F3FC5">
        <w:rPr>
          <w:rFonts w:eastAsia="Times New Roman"/>
          <w:sz w:val="26"/>
          <w:szCs w:val="26"/>
        </w:rPr>
        <w:t xml:space="preserve">, within thirty (30) days of the date of entry </w:t>
      </w:r>
      <w:r w:rsidR="005F3FC5">
        <w:rPr>
          <w:rFonts w:eastAsia="Times New Roman"/>
          <w:sz w:val="26"/>
          <w:szCs w:val="26"/>
        </w:rPr>
        <w:t>of this Opinion and Order</w:t>
      </w:r>
      <w:r w:rsidR="003A4BCE" w:rsidRPr="005F3FC5">
        <w:rPr>
          <w:rFonts w:eastAsia="Times New Roman"/>
          <w:sz w:val="26"/>
          <w:szCs w:val="26"/>
        </w:rPr>
        <w:t xml:space="preserve">, </w:t>
      </w:r>
      <w:r w:rsidR="00504D82" w:rsidRPr="005F3FC5">
        <w:rPr>
          <w:rFonts w:eastAsia="Times New Roman"/>
          <w:sz w:val="26"/>
          <w:szCs w:val="26"/>
        </w:rPr>
        <w:t xml:space="preserve">Green Mountain Energy Company shall provide to each of the customers who had one or more of the 156 accounts switched to receive its service, a refund for the entire electric generation supply portion on the customers’ bills for the first two (2) billing periods that the customers were switched, pursuant to 52 Pa. Code </w:t>
      </w:r>
      <w:bookmarkStart w:id="12" w:name="_Hlk94003354"/>
      <w:r w:rsidR="00504D82" w:rsidRPr="005F3FC5">
        <w:rPr>
          <w:rFonts w:eastAsia="Times New Roman"/>
          <w:sz w:val="26"/>
          <w:szCs w:val="26"/>
        </w:rPr>
        <w:t>§</w:t>
      </w:r>
      <w:bookmarkEnd w:id="12"/>
      <w:r w:rsidR="00504D82" w:rsidRPr="005F3FC5">
        <w:rPr>
          <w:rFonts w:eastAsia="Times New Roman"/>
          <w:sz w:val="26"/>
          <w:szCs w:val="26"/>
        </w:rPr>
        <w:t xml:space="preserve"> 57.177(b).  Following payment of the refunds, Green Mountain Energy Company shall file with the Commission a verification acknowledging that all refund payments have been disbursed.</w:t>
      </w:r>
      <w:r w:rsidR="00BD6E8A" w:rsidRPr="005F3FC5">
        <w:rPr>
          <w:rFonts w:eastAsia="Times New Roman"/>
          <w:sz w:val="26"/>
          <w:szCs w:val="26"/>
        </w:rPr>
        <w:t xml:space="preserve">  The verification shall be accompanied by an attachment providing</w:t>
      </w:r>
      <w:proofErr w:type="gramStart"/>
      <w:r w:rsidR="00BD6E8A" w:rsidRPr="005F3FC5">
        <w:rPr>
          <w:rFonts w:eastAsia="Times New Roman"/>
          <w:sz w:val="26"/>
          <w:szCs w:val="26"/>
        </w:rPr>
        <w:t xml:space="preserve">: </w:t>
      </w:r>
      <w:r w:rsidR="00F44CD0">
        <w:rPr>
          <w:rFonts w:eastAsia="Times New Roman"/>
          <w:sz w:val="26"/>
          <w:szCs w:val="26"/>
        </w:rPr>
        <w:t xml:space="preserve"> </w:t>
      </w:r>
      <w:r w:rsidR="00BD6E8A" w:rsidRPr="005F3FC5">
        <w:rPr>
          <w:rFonts w:eastAsia="Times New Roman"/>
          <w:sz w:val="26"/>
          <w:szCs w:val="26"/>
        </w:rPr>
        <w:t>(</w:t>
      </w:r>
      <w:proofErr w:type="gramEnd"/>
      <w:r w:rsidR="00BD6E8A" w:rsidRPr="005F3FC5">
        <w:rPr>
          <w:rFonts w:eastAsia="Times New Roman"/>
          <w:sz w:val="26"/>
          <w:szCs w:val="26"/>
        </w:rPr>
        <w:t>1) the number of customers contacted in reference to the refund; (2) the total refunded amounts to each customer; and (3) the number of checks sen</w:t>
      </w:r>
      <w:r w:rsidR="008F2B49">
        <w:rPr>
          <w:rFonts w:eastAsia="Times New Roman"/>
          <w:sz w:val="26"/>
          <w:szCs w:val="26"/>
        </w:rPr>
        <w:t>t</w:t>
      </w:r>
      <w:r w:rsidR="00BD6E8A" w:rsidRPr="005F3FC5">
        <w:rPr>
          <w:rFonts w:eastAsia="Times New Roman"/>
          <w:sz w:val="26"/>
          <w:szCs w:val="26"/>
        </w:rPr>
        <w:t xml:space="preserve"> to customers that were not cashed, if any.</w:t>
      </w:r>
    </w:p>
    <w:p w14:paraId="31A24098" w14:textId="14CC7BAE" w:rsidR="00765425" w:rsidRDefault="00765425" w:rsidP="008C2FAC">
      <w:pPr>
        <w:spacing w:after="0" w:line="360" w:lineRule="auto"/>
        <w:ind w:left="1440"/>
        <w:rPr>
          <w:rFonts w:ascii="Times New Roman" w:eastAsia="Times New Roman" w:hAnsi="Times New Roman" w:cs="Times New Roman"/>
          <w:sz w:val="26"/>
          <w:szCs w:val="26"/>
        </w:rPr>
      </w:pPr>
    </w:p>
    <w:p w14:paraId="43AA35FA" w14:textId="5F040549" w:rsidR="00765425" w:rsidRPr="005F3FC5" w:rsidRDefault="00765425" w:rsidP="008C2FAC">
      <w:pPr>
        <w:pStyle w:val="ListParagraph"/>
        <w:numPr>
          <w:ilvl w:val="0"/>
          <w:numId w:val="23"/>
        </w:numPr>
        <w:spacing w:after="0" w:line="360" w:lineRule="auto"/>
        <w:ind w:left="1440" w:firstLine="720"/>
        <w:rPr>
          <w:rFonts w:eastAsia="Times New Roman"/>
          <w:sz w:val="26"/>
          <w:szCs w:val="26"/>
        </w:rPr>
      </w:pPr>
      <w:r w:rsidRPr="005F3FC5">
        <w:rPr>
          <w:rFonts w:eastAsia="Times New Roman"/>
          <w:sz w:val="26"/>
          <w:szCs w:val="26"/>
        </w:rPr>
        <w:t xml:space="preserve">That Green Mountain Energy Company shall refund any cancellation fee or early termination fee charged by another electric generation supplier and incurred by a customer impacted by the unauthorized switching that is the subject of this informal investigation proceeding, pursuant to 52 Pa. Code § 57.177(c), provided that the customer supplies documentation of incurring the fee. </w:t>
      </w:r>
    </w:p>
    <w:p w14:paraId="26D33068" w14:textId="0EF4D25C" w:rsidR="00765425" w:rsidRDefault="00765425" w:rsidP="008C2FAC">
      <w:pPr>
        <w:spacing w:after="0" w:line="360" w:lineRule="auto"/>
        <w:ind w:left="1440"/>
        <w:rPr>
          <w:rFonts w:ascii="Times New Roman" w:eastAsia="Times New Roman" w:hAnsi="Times New Roman" w:cs="Times New Roman"/>
          <w:sz w:val="26"/>
          <w:szCs w:val="26"/>
        </w:rPr>
      </w:pPr>
    </w:p>
    <w:p w14:paraId="4BBA3164" w14:textId="1A4EC5A6" w:rsidR="00765425" w:rsidRPr="005F3FC5" w:rsidRDefault="00765425" w:rsidP="008C2FAC">
      <w:pPr>
        <w:pStyle w:val="ListParagraph"/>
        <w:numPr>
          <w:ilvl w:val="0"/>
          <w:numId w:val="23"/>
        </w:numPr>
        <w:spacing w:after="0" w:line="360" w:lineRule="auto"/>
        <w:ind w:left="1440" w:firstLine="720"/>
        <w:rPr>
          <w:rFonts w:eastAsia="Times New Roman"/>
          <w:sz w:val="26"/>
          <w:szCs w:val="26"/>
        </w:rPr>
      </w:pPr>
      <w:r w:rsidRPr="005F3FC5">
        <w:rPr>
          <w:rFonts w:eastAsia="Times New Roman"/>
          <w:sz w:val="26"/>
          <w:szCs w:val="26"/>
        </w:rPr>
        <w:t xml:space="preserve">That upon entry of </w:t>
      </w:r>
      <w:r w:rsidR="005F3FC5" w:rsidRPr="005F3FC5">
        <w:rPr>
          <w:rFonts w:eastAsia="Times New Roman"/>
          <w:sz w:val="26"/>
          <w:szCs w:val="26"/>
        </w:rPr>
        <w:t>this Opinion and Order</w:t>
      </w:r>
      <w:r w:rsidRPr="005F3FC5">
        <w:rPr>
          <w:rFonts w:eastAsia="Times New Roman"/>
          <w:sz w:val="26"/>
          <w:szCs w:val="26"/>
        </w:rPr>
        <w:t xml:space="preserve">, Green Mountain Energy Company shall provide the Bureau of Investigation and Enforcement with a monthly report by the 30th of each month, for a period of one year, detailing complaints from Pennsylvania consumers that were received by the Green Mountain Energy Company from Bureau of Consumer Services, the Pennsylvania Attorney General’s Office, the Better Business Bureau and/or complaints directed to Green Mountain Energy Company related to allegations of unauthorized switching that originated from in-person marketing locations. </w:t>
      </w:r>
    </w:p>
    <w:bookmarkEnd w:id="11"/>
    <w:p w14:paraId="79ECE3B7" w14:textId="10CE3A44" w:rsidR="003A4BCE" w:rsidRDefault="003A4BCE" w:rsidP="008C2FAC">
      <w:pPr>
        <w:pStyle w:val="ListParagraph"/>
        <w:numPr>
          <w:ilvl w:val="0"/>
          <w:numId w:val="23"/>
        </w:numPr>
        <w:spacing w:after="0" w:line="360" w:lineRule="auto"/>
        <w:ind w:left="1440" w:firstLine="720"/>
        <w:rPr>
          <w:rFonts w:eastAsia="Times New Roman"/>
          <w:sz w:val="26"/>
          <w:szCs w:val="26"/>
        </w:rPr>
      </w:pPr>
      <w:r w:rsidRPr="005F3FC5">
        <w:rPr>
          <w:rFonts w:eastAsia="Times New Roman"/>
          <w:sz w:val="26"/>
          <w:szCs w:val="26"/>
        </w:rPr>
        <w:t>That a copy of this Opinion and Order shall be served upon the Financial and Assessment Chief, Bureau of Administration.</w:t>
      </w:r>
    </w:p>
    <w:p w14:paraId="127E22ED" w14:textId="77777777" w:rsidR="00596933" w:rsidRPr="00596933" w:rsidRDefault="00596933" w:rsidP="008C2FAC">
      <w:pPr>
        <w:pStyle w:val="ListParagraph"/>
        <w:ind w:left="1440"/>
        <w:rPr>
          <w:rFonts w:eastAsia="Times New Roman"/>
          <w:sz w:val="26"/>
          <w:szCs w:val="26"/>
        </w:rPr>
      </w:pPr>
    </w:p>
    <w:p w14:paraId="529E004B" w14:textId="4E9DDF42" w:rsidR="00596933" w:rsidRPr="005F3FC5" w:rsidRDefault="00596933" w:rsidP="008C2FAC">
      <w:pPr>
        <w:pStyle w:val="ListParagraph"/>
        <w:numPr>
          <w:ilvl w:val="0"/>
          <w:numId w:val="23"/>
        </w:numPr>
        <w:spacing w:after="0" w:line="360" w:lineRule="auto"/>
        <w:ind w:left="1440" w:firstLine="720"/>
        <w:rPr>
          <w:rFonts w:eastAsia="Times New Roman"/>
          <w:sz w:val="26"/>
          <w:szCs w:val="26"/>
        </w:rPr>
      </w:pPr>
      <w:r>
        <w:rPr>
          <w:rFonts w:eastAsia="Times New Roman"/>
          <w:sz w:val="26"/>
          <w:szCs w:val="26"/>
        </w:rPr>
        <w:t xml:space="preserve">That that above-captioned matter shall be marked closed upon receipt of the civil penalty of $156,000 and the verification indicating that all customer refunds have been disbursed. </w:t>
      </w:r>
    </w:p>
    <w:p w14:paraId="0473123F" w14:textId="4D8FA8AB" w:rsidR="005E716C" w:rsidRDefault="005E716C" w:rsidP="005578A1">
      <w:pPr>
        <w:spacing w:after="0" w:line="360" w:lineRule="auto"/>
        <w:rPr>
          <w:rFonts w:ascii="Times New Roman" w:eastAsia="Times New Roman" w:hAnsi="Times New Roman" w:cs="Times New Roman"/>
          <w:sz w:val="26"/>
          <w:szCs w:val="26"/>
        </w:rPr>
      </w:pPr>
    </w:p>
    <w:p w14:paraId="1B46814A" w14:textId="11E87CD1" w:rsidR="005E716C" w:rsidRDefault="005E716C" w:rsidP="005578A1">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596933">
        <w:rPr>
          <w:rFonts w:ascii="Times New Roman" w:eastAsia="Times New Roman" w:hAnsi="Times New Roman" w:cs="Times New Roman"/>
          <w:sz w:val="26"/>
          <w:szCs w:val="26"/>
        </w:rPr>
        <w:t>4.</w:t>
      </w:r>
      <w:r>
        <w:rPr>
          <w:rFonts w:ascii="Times New Roman" w:eastAsia="Times New Roman" w:hAnsi="Times New Roman" w:cs="Times New Roman"/>
          <w:sz w:val="26"/>
          <w:szCs w:val="26"/>
        </w:rPr>
        <w:tab/>
        <w:t>That a copy of this Opinion and Order shall be served upon all parties of record in the instant proceeding.</w:t>
      </w:r>
    </w:p>
    <w:p w14:paraId="35FCA004" w14:textId="37937971" w:rsidR="00D3385A" w:rsidRDefault="00D3385A" w:rsidP="005578A1">
      <w:pPr>
        <w:spacing w:after="0" w:line="360" w:lineRule="auto"/>
        <w:rPr>
          <w:rFonts w:ascii="Times New Roman" w:eastAsia="Times New Roman" w:hAnsi="Times New Roman" w:cs="Times New Roman"/>
          <w:sz w:val="26"/>
          <w:szCs w:val="26"/>
        </w:rPr>
      </w:pPr>
    </w:p>
    <w:p w14:paraId="2FA6C289" w14:textId="1FF3AB3F" w:rsidR="00D3385A" w:rsidRDefault="00D3385A" w:rsidP="00596933">
      <w:pPr>
        <w:keepNext/>
        <w:keepLine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596933">
        <w:rPr>
          <w:rFonts w:ascii="Times New Roman" w:eastAsia="Times New Roman" w:hAnsi="Times New Roman" w:cs="Times New Roman"/>
          <w:sz w:val="26"/>
          <w:szCs w:val="26"/>
        </w:rPr>
        <w:t>5</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t>That a copy of this Opinion and Order, along with a copy of the Comments filed by the Office of Consumer Advocate</w:t>
      </w:r>
      <w:r w:rsidR="00C914F7">
        <w:rPr>
          <w:rFonts w:ascii="Times New Roman" w:eastAsia="Times New Roman" w:hAnsi="Times New Roman" w:cs="Times New Roman"/>
          <w:sz w:val="26"/>
          <w:szCs w:val="26"/>
        </w:rPr>
        <w:t xml:space="preserve"> on January 5, 2022, at Docket No.</w:t>
      </w:r>
      <w:r w:rsidR="008C2FAC">
        <w:rPr>
          <w:rFonts w:ascii="Times New Roman" w:eastAsia="Times New Roman" w:hAnsi="Times New Roman" w:cs="Times New Roman"/>
          <w:sz w:val="26"/>
          <w:szCs w:val="26"/>
        </w:rPr>
        <w:t> </w:t>
      </w:r>
      <w:r w:rsidR="00C914F7" w:rsidRPr="00C914F7">
        <w:rPr>
          <w:rFonts w:ascii="Times New Roman" w:eastAsia="Times New Roman" w:hAnsi="Times New Roman" w:cs="Times New Roman"/>
          <w:sz w:val="26"/>
          <w:szCs w:val="26"/>
        </w:rPr>
        <w:t>M-2021-3009235</w:t>
      </w:r>
      <w:r w:rsidR="000B7058">
        <w:rPr>
          <w:rFonts w:ascii="Times New Roman" w:eastAsia="Times New Roman" w:hAnsi="Times New Roman" w:cs="Times New Roman"/>
          <w:sz w:val="26"/>
          <w:szCs w:val="26"/>
        </w:rPr>
        <w:t>,</w:t>
      </w:r>
      <w:r w:rsidR="00C914F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shall be served upon the </w:t>
      </w:r>
      <w:r w:rsidR="00C914F7" w:rsidRPr="00C914F7">
        <w:rPr>
          <w:rFonts w:ascii="Times New Roman" w:eastAsia="Times New Roman" w:hAnsi="Times New Roman" w:cs="Times New Roman"/>
          <w:sz w:val="26"/>
          <w:szCs w:val="26"/>
        </w:rPr>
        <w:t xml:space="preserve">Pennsylvania Public Utility </w:t>
      </w:r>
      <w:r>
        <w:rPr>
          <w:rFonts w:ascii="Times New Roman" w:eastAsia="Times New Roman" w:hAnsi="Times New Roman" w:cs="Times New Roman"/>
          <w:sz w:val="26"/>
          <w:szCs w:val="26"/>
        </w:rPr>
        <w:t>Commission’s Bureau of Investigation and Enforcement</w:t>
      </w:r>
      <w:r w:rsidR="00C914F7">
        <w:rPr>
          <w:rFonts w:ascii="Times New Roman" w:eastAsia="Times New Roman" w:hAnsi="Times New Roman" w:cs="Times New Roman"/>
          <w:sz w:val="26"/>
          <w:szCs w:val="26"/>
        </w:rPr>
        <w:t xml:space="preserve"> for any such action that it may deem necessary.</w:t>
      </w:r>
      <w:r w:rsidR="004016D9" w:rsidRPr="004016D9">
        <w:rPr>
          <w:noProof/>
        </w:rPr>
        <w:t xml:space="preserve"> </w:t>
      </w:r>
    </w:p>
    <w:p w14:paraId="757CE1BE" w14:textId="3ADC29E6" w:rsidR="00BD6E8A" w:rsidRDefault="00BD6E8A" w:rsidP="00596933">
      <w:pPr>
        <w:keepNext/>
        <w:keepLines/>
        <w:spacing w:after="0" w:line="360" w:lineRule="auto"/>
        <w:rPr>
          <w:rFonts w:ascii="Times New Roman" w:eastAsia="Times New Roman" w:hAnsi="Times New Roman" w:cs="Times New Roman"/>
          <w:sz w:val="26"/>
          <w:szCs w:val="26"/>
        </w:rPr>
      </w:pPr>
    </w:p>
    <w:p w14:paraId="41960785" w14:textId="61FD5771" w:rsidR="00F44833" w:rsidRPr="003F7EE6" w:rsidRDefault="004016D9" w:rsidP="00596933">
      <w:pPr>
        <w:keepNext/>
        <w:keepLines/>
        <w:spacing w:after="0" w:line="240" w:lineRule="auto"/>
        <w:ind w:left="5040"/>
        <w:rPr>
          <w:rFonts w:ascii="Times New Roman" w:eastAsia="Times New Roman" w:hAnsi="Times New Roman" w:cs="Times New Roman"/>
          <w:b/>
          <w:sz w:val="26"/>
          <w:szCs w:val="26"/>
        </w:rPr>
      </w:pPr>
      <w:r>
        <w:rPr>
          <w:noProof/>
        </w:rPr>
        <w:drawing>
          <wp:anchor distT="0" distB="0" distL="114300" distR="114300" simplePos="0" relativeHeight="251659264" behindDoc="1" locked="0" layoutInCell="1" allowOverlap="1" wp14:anchorId="6D7C7FBE" wp14:editId="4583F497">
            <wp:simplePos x="0" y="0"/>
            <wp:positionH relativeFrom="column">
              <wp:posOffset>3238500</wp:posOffset>
            </wp:positionH>
            <wp:positionV relativeFrom="paragraph">
              <wp:posOffset>163195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44833" w:rsidRPr="003F7EE6">
        <w:rPr>
          <w:rFonts w:ascii="Times New Roman" w:eastAsia="Times New Roman" w:hAnsi="Times New Roman" w:cs="Times New Roman"/>
          <w:b/>
          <w:sz w:val="26"/>
          <w:szCs w:val="26"/>
        </w:rPr>
        <w:t>BY THE COMMISSION,</w:t>
      </w:r>
    </w:p>
    <w:p w14:paraId="33AB46CB" w14:textId="33764D01" w:rsidR="00F44833" w:rsidRDefault="00F44833" w:rsidP="007A2A3C">
      <w:pPr>
        <w:keepNext/>
        <w:keepLines/>
        <w:tabs>
          <w:tab w:val="left" w:pos="6210"/>
        </w:tabs>
        <w:spacing w:after="0" w:line="240" w:lineRule="auto"/>
        <w:ind w:left="5040"/>
        <w:rPr>
          <w:rFonts w:ascii="Times New Roman" w:eastAsia="Times New Roman" w:hAnsi="Times New Roman" w:cs="Times New Roman"/>
          <w:sz w:val="26"/>
          <w:szCs w:val="26"/>
        </w:rPr>
      </w:pPr>
    </w:p>
    <w:p w14:paraId="0D56F4A3" w14:textId="263D2179" w:rsidR="005A530B" w:rsidRPr="003F7EE6" w:rsidRDefault="005A530B" w:rsidP="007A2A3C">
      <w:pPr>
        <w:keepNext/>
        <w:keepLines/>
        <w:spacing w:after="0" w:line="240" w:lineRule="auto"/>
        <w:ind w:left="5040"/>
        <w:rPr>
          <w:rFonts w:ascii="Times New Roman" w:eastAsia="Times New Roman" w:hAnsi="Times New Roman" w:cs="Times New Roman"/>
          <w:sz w:val="26"/>
          <w:szCs w:val="26"/>
        </w:rPr>
      </w:pPr>
    </w:p>
    <w:p w14:paraId="4CC7AC8B" w14:textId="27077BE4" w:rsidR="00F44833" w:rsidRPr="003F7EE6" w:rsidRDefault="00F44833" w:rsidP="007A2A3C">
      <w:pPr>
        <w:keepNext/>
        <w:keepLines/>
        <w:spacing w:after="0" w:line="240" w:lineRule="auto"/>
        <w:ind w:left="5040"/>
        <w:rPr>
          <w:rFonts w:ascii="Times New Roman" w:eastAsia="Times New Roman" w:hAnsi="Times New Roman" w:cs="Times New Roman"/>
          <w:sz w:val="26"/>
          <w:szCs w:val="26"/>
        </w:rPr>
      </w:pPr>
    </w:p>
    <w:p w14:paraId="23331F53" w14:textId="77777777" w:rsidR="00F44833" w:rsidRPr="003F7EE6" w:rsidRDefault="00F44833" w:rsidP="007A2A3C">
      <w:pPr>
        <w:keepNext/>
        <w:keepLines/>
        <w:spacing w:after="0" w:line="240" w:lineRule="auto"/>
        <w:ind w:left="5040"/>
        <w:rPr>
          <w:rFonts w:ascii="Times New Roman" w:eastAsia="Times New Roman" w:hAnsi="Times New Roman" w:cs="Times New Roman"/>
          <w:sz w:val="26"/>
          <w:szCs w:val="26"/>
        </w:rPr>
      </w:pPr>
    </w:p>
    <w:p w14:paraId="7B4569EC" w14:textId="487EE1F6" w:rsidR="00F44833" w:rsidRPr="003F7EE6" w:rsidRDefault="00F44833" w:rsidP="007A2A3C">
      <w:pPr>
        <w:keepNext/>
        <w:keepLines/>
        <w:spacing w:after="0" w:line="240" w:lineRule="auto"/>
        <w:ind w:left="50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Rosemary Chiavetta</w:t>
      </w:r>
    </w:p>
    <w:p w14:paraId="30FD7A79" w14:textId="46AF6F90" w:rsidR="00F44833" w:rsidRPr="003F7EE6" w:rsidRDefault="00F44833" w:rsidP="007A2A3C">
      <w:pPr>
        <w:keepNext/>
        <w:keepLines/>
        <w:spacing w:after="0" w:line="240" w:lineRule="auto"/>
        <w:ind w:left="50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Secretary</w:t>
      </w:r>
    </w:p>
    <w:p w14:paraId="2A8C8D69" w14:textId="55CD05BD" w:rsidR="009B7DAA" w:rsidRDefault="009B7DAA" w:rsidP="007A2A3C">
      <w:pPr>
        <w:keepNext/>
        <w:keepLines/>
        <w:tabs>
          <w:tab w:val="left" w:pos="-720"/>
        </w:tabs>
        <w:suppressAutoHyphens/>
        <w:spacing w:after="0" w:line="240" w:lineRule="auto"/>
        <w:rPr>
          <w:rFonts w:ascii="Times New Roman" w:eastAsia="Times New Roman" w:hAnsi="Times New Roman" w:cs="Times New Roman"/>
          <w:sz w:val="26"/>
          <w:szCs w:val="26"/>
        </w:rPr>
      </w:pPr>
    </w:p>
    <w:p w14:paraId="35620EF5" w14:textId="77777777" w:rsidR="008C2FAC" w:rsidRDefault="008C2FAC" w:rsidP="007A2A3C">
      <w:pPr>
        <w:keepNext/>
        <w:keepLines/>
        <w:tabs>
          <w:tab w:val="left" w:pos="-720"/>
        </w:tabs>
        <w:suppressAutoHyphens/>
        <w:spacing w:after="0" w:line="240" w:lineRule="auto"/>
        <w:rPr>
          <w:rFonts w:ascii="Times New Roman" w:eastAsia="Times New Roman" w:hAnsi="Times New Roman" w:cs="Times New Roman"/>
          <w:sz w:val="26"/>
          <w:szCs w:val="26"/>
        </w:rPr>
      </w:pPr>
    </w:p>
    <w:p w14:paraId="6D19B727" w14:textId="77777777" w:rsidR="00F44833" w:rsidRPr="003F7EE6" w:rsidRDefault="00F44833" w:rsidP="007A2A3C">
      <w:pPr>
        <w:keepNext/>
        <w:keepLines/>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(SEAL)</w:t>
      </w:r>
    </w:p>
    <w:p w14:paraId="0E945459" w14:textId="77777777" w:rsidR="00F44833" w:rsidRPr="003F7EE6" w:rsidRDefault="00F44833" w:rsidP="007A2A3C">
      <w:pPr>
        <w:keepNext/>
        <w:keepLines/>
        <w:tabs>
          <w:tab w:val="left" w:pos="-720"/>
        </w:tabs>
        <w:suppressAutoHyphens/>
        <w:spacing w:after="0" w:line="240" w:lineRule="auto"/>
        <w:rPr>
          <w:rFonts w:ascii="Times New Roman" w:eastAsia="Times New Roman" w:hAnsi="Times New Roman" w:cs="Times New Roman"/>
          <w:sz w:val="26"/>
          <w:szCs w:val="26"/>
        </w:rPr>
      </w:pPr>
    </w:p>
    <w:p w14:paraId="6B749380" w14:textId="7FB6EB46" w:rsidR="00F44833" w:rsidRPr="003F7EE6" w:rsidRDefault="0092538B" w:rsidP="005D6902">
      <w:pPr>
        <w:keepNext/>
        <w:keepLines/>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ORDER ADOPTED:  </w:t>
      </w:r>
      <w:r w:rsidR="00081A0D">
        <w:rPr>
          <w:rFonts w:ascii="Times New Roman" w:eastAsia="Times New Roman" w:hAnsi="Times New Roman" w:cs="Times New Roman"/>
          <w:sz w:val="26"/>
          <w:szCs w:val="26"/>
        </w:rPr>
        <w:t>February 24</w:t>
      </w:r>
      <w:r w:rsidR="00CB6C24">
        <w:rPr>
          <w:rFonts w:ascii="Times New Roman" w:eastAsia="Times New Roman" w:hAnsi="Times New Roman" w:cs="Times New Roman"/>
          <w:sz w:val="26"/>
          <w:szCs w:val="26"/>
        </w:rPr>
        <w:t>, 202</w:t>
      </w:r>
      <w:r w:rsidR="00765425">
        <w:rPr>
          <w:rFonts w:ascii="Times New Roman" w:eastAsia="Times New Roman" w:hAnsi="Times New Roman" w:cs="Times New Roman"/>
          <w:sz w:val="26"/>
          <w:szCs w:val="26"/>
        </w:rPr>
        <w:t>2</w:t>
      </w:r>
    </w:p>
    <w:p w14:paraId="724B860A" w14:textId="77777777" w:rsidR="00984785" w:rsidRDefault="00984785" w:rsidP="005D6902">
      <w:pPr>
        <w:keepNext/>
        <w:keepLines/>
        <w:spacing w:after="0" w:line="240" w:lineRule="auto"/>
        <w:rPr>
          <w:rFonts w:ascii="Times New Roman" w:eastAsia="Times New Roman" w:hAnsi="Times New Roman" w:cs="Times New Roman"/>
          <w:sz w:val="26"/>
          <w:szCs w:val="20"/>
        </w:rPr>
      </w:pPr>
    </w:p>
    <w:p w14:paraId="169B8EEC" w14:textId="0769A036" w:rsidR="00093521" w:rsidRPr="00860BCD" w:rsidRDefault="00F44833" w:rsidP="00860BCD">
      <w:pPr>
        <w:keepNext/>
        <w:keepLines/>
        <w:spacing w:after="0" w:line="240" w:lineRule="auto"/>
        <w:rPr>
          <w:rFonts w:ascii="Times New Roman" w:eastAsia="Times New Roman" w:hAnsi="Times New Roman" w:cs="Times New Roman"/>
          <w:b/>
          <w:sz w:val="26"/>
          <w:szCs w:val="26"/>
        </w:rPr>
      </w:pPr>
      <w:r w:rsidRPr="003F7EE6">
        <w:rPr>
          <w:rFonts w:ascii="Times New Roman" w:eastAsia="Times New Roman" w:hAnsi="Times New Roman" w:cs="Times New Roman"/>
          <w:sz w:val="26"/>
          <w:szCs w:val="20"/>
        </w:rPr>
        <w:t>ORDER ENTERED:</w:t>
      </w:r>
      <w:r w:rsidR="00860BCD">
        <w:rPr>
          <w:rFonts w:ascii="Times New Roman" w:eastAsia="Times New Roman" w:hAnsi="Times New Roman" w:cs="Times New Roman"/>
          <w:sz w:val="26"/>
          <w:szCs w:val="20"/>
        </w:rPr>
        <w:t xml:space="preserve">  </w:t>
      </w:r>
      <w:r w:rsidR="004016D9">
        <w:rPr>
          <w:rFonts w:ascii="Times New Roman" w:eastAsia="Times New Roman" w:hAnsi="Times New Roman" w:cs="Times New Roman"/>
          <w:sz w:val="26"/>
          <w:szCs w:val="20"/>
        </w:rPr>
        <w:t>February 24, 2022</w:t>
      </w:r>
    </w:p>
    <w:sectPr w:rsidR="00093521" w:rsidRPr="00860BCD" w:rsidSect="00EB6AB5">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E630" w14:textId="77777777" w:rsidR="00F538FC" w:rsidRDefault="00F538FC" w:rsidP="00F44833">
      <w:pPr>
        <w:spacing w:after="0" w:line="240" w:lineRule="auto"/>
      </w:pPr>
      <w:r>
        <w:separator/>
      </w:r>
    </w:p>
  </w:endnote>
  <w:endnote w:type="continuationSeparator" w:id="0">
    <w:p w14:paraId="6E802674" w14:textId="77777777" w:rsidR="00F538FC" w:rsidRDefault="00F538FC" w:rsidP="00F4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6"/>
        <w:szCs w:val="26"/>
      </w:rPr>
      <w:id w:val="1681163351"/>
      <w:docPartObj>
        <w:docPartGallery w:val="Page Numbers (Bottom of Page)"/>
        <w:docPartUnique/>
      </w:docPartObj>
    </w:sdtPr>
    <w:sdtEndPr>
      <w:rPr>
        <w:noProof/>
      </w:rPr>
    </w:sdtEndPr>
    <w:sdtContent>
      <w:p w14:paraId="736F0990" w14:textId="616155D4" w:rsidR="00E643E4" w:rsidRPr="00756CB3" w:rsidRDefault="00BC7E92" w:rsidP="00EB6AB5">
        <w:pPr>
          <w:pStyle w:val="Footer"/>
          <w:jc w:val="center"/>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PAGE   \* MERGEFORMAT </w:instrText>
        </w:r>
        <w:r>
          <w:rPr>
            <w:rFonts w:ascii="Times New Roman" w:hAnsi="Times New Roman" w:cs="Times New Roman"/>
            <w:sz w:val="26"/>
            <w:szCs w:val="26"/>
          </w:rPr>
          <w:fldChar w:fldCharType="separate"/>
        </w:r>
        <w:r>
          <w:rPr>
            <w:rFonts w:ascii="Times New Roman" w:hAnsi="Times New Roman" w:cs="Times New Roman"/>
            <w:noProof/>
            <w:sz w:val="26"/>
            <w:szCs w:val="26"/>
          </w:rPr>
          <w:t>3</w:t>
        </w:r>
        <w:r>
          <w:rPr>
            <w:rFonts w:ascii="Times New Roman" w:hAnsi="Times New Roman" w:cs="Times New Roman"/>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F58B" w14:textId="77777777" w:rsidR="00D403B0" w:rsidRPr="00F60EC1" w:rsidRDefault="00D403B0" w:rsidP="00564AAB">
    <w:pPr>
      <w:pStyle w:val="CommentText"/>
      <w:tabs>
        <w:tab w:val="center" w:pos="4680"/>
      </w:tabs>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6F22D" w14:textId="77777777" w:rsidR="00F538FC" w:rsidRDefault="00F538FC" w:rsidP="00F44833">
      <w:pPr>
        <w:spacing w:after="0" w:line="240" w:lineRule="auto"/>
      </w:pPr>
      <w:r>
        <w:separator/>
      </w:r>
    </w:p>
  </w:footnote>
  <w:footnote w:type="continuationSeparator" w:id="0">
    <w:p w14:paraId="5BF3BEB7" w14:textId="77777777" w:rsidR="00F538FC" w:rsidRDefault="00F538FC" w:rsidP="00F44833">
      <w:pPr>
        <w:spacing w:after="0" w:line="240" w:lineRule="auto"/>
      </w:pPr>
      <w:r>
        <w:continuationSeparator/>
      </w:r>
    </w:p>
  </w:footnote>
  <w:footnote w:id="1">
    <w:p w14:paraId="65C961CB" w14:textId="77777777" w:rsidR="00AC4478" w:rsidRPr="00C332D5" w:rsidRDefault="00AC4478" w:rsidP="00B11263">
      <w:pPr>
        <w:pStyle w:val="FootnoteText"/>
        <w:keepNext/>
        <w:keepLines/>
        <w:ind w:firstLine="720"/>
        <w:rPr>
          <w:rFonts w:ascii="Times New Roman" w:hAnsi="Times New Roman" w:cs="Times New Roman"/>
          <w:sz w:val="26"/>
          <w:szCs w:val="26"/>
        </w:rPr>
      </w:pPr>
      <w:r w:rsidRPr="00E21251">
        <w:rPr>
          <w:rStyle w:val="FootnoteReference"/>
          <w:rFonts w:ascii="Times New Roman" w:hAnsi="Times New Roman" w:cs="Times New Roman"/>
          <w:sz w:val="26"/>
          <w:szCs w:val="26"/>
        </w:rPr>
        <w:footnoteRef/>
      </w:r>
      <w:r w:rsidRPr="00E21251">
        <w:rPr>
          <w:rFonts w:ascii="Times New Roman" w:hAnsi="Times New Roman" w:cs="Times New Roman"/>
          <w:sz w:val="26"/>
          <w:szCs w:val="26"/>
        </w:rPr>
        <w:t xml:space="preserve"> </w:t>
      </w:r>
      <w:r w:rsidRPr="00E21251">
        <w:rPr>
          <w:rFonts w:ascii="Times New Roman" w:hAnsi="Times New Roman" w:cs="Times New Roman"/>
          <w:sz w:val="26"/>
          <w:szCs w:val="26"/>
        </w:rPr>
        <w:tab/>
      </w:r>
      <w:r>
        <w:rPr>
          <w:rFonts w:ascii="Times New Roman" w:hAnsi="Times New Roman" w:cs="Times New Roman"/>
          <w:sz w:val="26"/>
          <w:szCs w:val="26"/>
        </w:rPr>
        <w:t>Green Mountain</w:t>
      </w:r>
      <w:r w:rsidRPr="00E21251">
        <w:rPr>
          <w:rFonts w:ascii="Times New Roman" w:hAnsi="Times New Roman" w:cs="Times New Roman"/>
          <w:sz w:val="26"/>
          <w:szCs w:val="26"/>
        </w:rPr>
        <w:t xml:space="preserve"> is a licensed electric generation supplier (EGS) as defined by 66 Pa. C.S. § 2803.  On </w:t>
      </w:r>
      <w:r>
        <w:rPr>
          <w:rFonts w:ascii="Times New Roman" w:hAnsi="Times New Roman" w:cs="Times New Roman"/>
          <w:sz w:val="26"/>
          <w:szCs w:val="26"/>
        </w:rPr>
        <w:t>June 10, 2011</w:t>
      </w:r>
      <w:r w:rsidRPr="00E21251">
        <w:rPr>
          <w:rFonts w:ascii="Times New Roman" w:hAnsi="Times New Roman" w:cs="Times New Roman"/>
          <w:sz w:val="26"/>
          <w:szCs w:val="26"/>
        </w:rPr>
        <w:t>, at Docket No. A-</w:t>
      </w:r>
      <w:r>
        <w:rPr>
          <w:rFonts w:ascii="Times New Roman" w:hAnsi="Times New Roman" w:cs="Times New Roman"/>
          <w:sz w:val="26"/>
          <w:szCs w:val="26"/>
        </w:rPr>
        <w:t>2011-2229050</w:t>
      </w:r>
      <w:r w:rsidRPr="00E21251">
        <w:rPr>
          <w:rFonts w:ascii="Times New Roman" w:hAnsi="Times New Roman" w:cs="Times New Roman"/>
          <w:sz w:val="26"/>
          <w:szCs w:val="26"/>
        </w:rPr>
        <w:t xml:space="preserve">, the Commission granted </w:t>
      </w:r>
      <w:r>
        <w:rPr>
          <w:rFonts w:ascii="Times New Roman" w:hAnsi="Times New Roman" w:cs="Times New Roman"/>
          <w:sz w:val="26"/>
          <w:szCs w:val="26"/>
        </w:rPr>
        <w:t>Green Mountain</w:t>
      </w:r>
      <w:r w:rsidRPr="00E21251">
        <w:rPr>
          <w:rFonts w:ascii="Times New Roman" w:hAnsi="Times New Roman" w:cs="Times New Roman"/>
          <w:sz w:val="26"/>
          <w:szCs w:val="26"/>
        </w:rPr>
        <w:t xml:space="preserve"> approval to begin to offer, render, furnish or supply electricity or electric generation </w:t>
      </w:r>
      <w:r>
        <w:rPr>
          <w:rFonts w:ascii="Times New Roman" w:hAnsi="Times New Roman" w:cs="Times New Roman"/>
          <w:sz w:val="26"/>
          <w:szCs w:val="26"/>
        </w:rPr>
        <w:t xml:space="preserve">supplier services to large commercial, </w:t>
      </w:r>
      <w:proofErr w:type="gramStart"/>
      <w:r>
        <w:rPr>
          <w:rFonts w:ascii="Times New Roman" w:hAnsi="Times New Roman" w:cs="Times New Roman"/>
          <w:sz w:val="26"/>
          <w:szCs w:val="26"/>
        </w:rPr>
        <w:t>industrial</w:t>
      </w:r>
      <w:proofErr w:type="gramEnd"/>
      <w:r>
        <w:rPr>
          <w:rFonts w:ascii="Times New Roman" w:hAnsi="Times New Roman" w:cs="Times New Roman"/>
          <w:sz w:val="26"/>
          <w:szCs w:val="26"/>
        </w:rPr>
        <w:t xml:space="preserve"> and governmental customers in all electric distribution company (EDC) service territories within the Commonwealth of Pennsylvania.  </w:t>
      </w:r>
      <w:r w:rsidRPr="00E21251">
        <w:rPr>
          <w:rFonts w:ascii="Times New Roman" w:hAnsi="Times New Roman" w:cs="Times New Roman"/>
          <w:sz w:val="26"/>
          <w:szCs w:val="26"/>
        </w:rPr>
        <w:t xml:space="preserve">On February 16, 2012, Green Mountain’s license was amended to enable Green Mountain to begin to offer, render, furnish or supply electric generation supplier services as a supplier to residential and small commercial (25 kilowatt and under) customers in all EDC service territories throughout the Commonwealth of Pennsylvania. </w:t>
      </w:r>
    </w:p>
  </w:footnote>
  <w:footnote w:id="2">
    <w:p w14:paraId="478F06D6" w14:textId="77777777" w:rsidR="00D966BA" w:rsidRPr="00235A2F" w:rsidRDefault="00D966BA" w:rsidP="00B11263">
      <w:pPr>
        <w:pStyle w:val="FootnoteText"/>
        <w:keepNext/>
        <w:keepLines/>
        <w:ind w:firstLine="720"/>
        <w:rPr>
          <w:rFonts w:ascii="Times New Roman" w:hAnsi="Times New Roman" w:cs="Times New Roman"/>
          <w:sz w:val="26"/>
          <w:szCs w:val="26"/>
        </w:rPr>
      </w:pPr>
      <w:r w:rsidRPr="00235A2F">
        <w:rPr>
          <w:rStyle w:val="FootnoteReference"/>
          <w:rFonts w:ascii="Times New Roman" w:hAnsi="Times New Roman" w:cs="Times New Roman"/>
          <w:sz w:val="26"/>
          <w:szCs w:val="26"/>
        </w:rPr>
        <w:footnoteRef/>
      </w:r>
      <w:r w:rsidRPr="00235A2F">
        <w:rPr>
          <w:rFonts w:ascii="Times New Roman" w:hAnsi="Times New Roman" w:cs="Times New Roman"/>
          <w:sz w:val="26"/>
          <w:szCs w:val="26"/>
        </w:rPr>
        <w:t xml:space="preserve"> </w:t>
      </w:r>
      <w:r w:rsidRPr="00235A2F">
        <w:rPr>
          <w:rFonts w:ascii="Times New Roman" w:hAnsi="Times New Roman" w:cs="Times New Roman"/>
          <w:sz w:val="26"/>
          <w:szCs w:val="26"/>
        </w:rPr>
        <w:tab/>
        <w:t>ECLs include customer information that is made available to EGSs by EDCs.</w:t>
      </w:r>
    </w:p>
  </w:footnote>
  <w:footnote w:id="3">
    <w:p w14:paraId="28216ED2" w14:textId="263C64DF" w:rsidR="00B81A2E" w:rsidRDefault="00B81A2E" w:rsidP="00B11263">
      <w:pPr>
        <w:pStyle w:val="FootnoteText"/>
        <w:keepNext/>
        <w:keepLines/>
        <w:ind w:firstLine="720"/>
      </w:pPr>
      <w:r w:rsidRPr="00235A2F">
        <w:rPr>
          <w:rStyle w:val="FootnoteReference"/>
          <w:rFonts w:ascii="Times New Roman" w:hAnsi="Times New Roman" w:cs="Times New Roman"/>
          <w:sz w:val="26"/>
          <w:szCs w:val="26"/>
        </w:rPr>
        <w:footnoteRef/>
      </w:r>
      <w:r w:rsidRPr="00235A2F">
        <w:rPr>
          <w:rFonts w:ascii="Times New Roman" w:hAnsi="Times New Roman" w:cs="Times New Roman"/>
          <w:sz w:val="26"/>
          <w:szCs w:val="26"/>
        </w:rPr>
        <w:t xml:space="preserve"> </w:t>
      </w:r>
      <w:r w:rsidR="00235A2F" w:rsidRPr="00235A2F">
        <w:rPr>
          <w:rFonts w:ascii="Times New Roman" w:hAnsi="Times New Roman" w:cs="Times New Roman"/>
          <w:sz w:val="26"/>
          <w:szCs w:val="26"/>
        </w:rPr>
        <w:tab/>
        <w:t xml:space="preserve">The </w:t>
      </w:r>
      <w:r w:rsidR="00235A2F" w:rsidRPr="00235A2F">
        <w:rPr>
          <w:rFonts w:ascii="Times New Roman" w:hAnsi="Times New Roman" w:cs="Times New Roman"/>
          <w:i/>
          <w:iCs/>
          <w:sz w:val="26"/>
          <w:szCs w:val="26"/>
        </w:rPr>
        <w:t>November 2021 Order</w:t>
      </w:r>
      <w:r w:rsidR="00235A2F" w:rsidRPr="00235A2F">
        <w:rPr>
          <w:rFonts w:ascii="Times New Roman" w:hAnsi="Times New Roman" w:cs="Times New Roman"/>
          <w:sz w:val="26"/>
          <w:szCs w:val="26"/>
        </w:rPr>
        <w:t xml:space="preserve"> was published in the </w:t>
      </w:r>
      <w:r w:rsidR="00235A2F" w:rsidRPr="00235A2F">
        <w:rPr>
          <w:rFonts w:ascii="Times New Roman" w:hAnsi="Times New Roman" w:cs="Times New Roman"/>
          <w:i/>
          <w:iCs/>
          <w:sz w:val="26"/>
          <w:szCs w:val="26"/>
        </w:rPr>
        <w:t>Pennsylvania Bulletin</w:t>
      </w:r>
      <w:r w:rsidR="00235A2F" w:rsidRPr="00235A2F">
        <w:rPr>
          <w:rFonts w:ascii="Times New Roman" w:hAnsi="Times New Roman" w:cs="Times New Roman"/>
          <w:sz w:val="26"/>
          <w:szCs w:val="26"/>
        </w:rPr>
        <w:t xml:space="preserve"> on December 11, </w:t>
      </w:r>
      <w:r w:rsidR="00F34A2E" w:rsidRPr="00235A2F">
        <w:rPr>
          <w:rFonts w:ascii="Times New Roman" w:hAnsi="Times New Roman" w:cs="Times New Roman"/>
          <w:sz w:val="26"/>
          <w:szCs w:val="26"/>
        </w:rPr>
        <w:t>2021,</w:t>
      </w:r>
      <w:r w:rsidR="00235A2F" w:rsidRPr="00235A2F">
        <w:rPr>
          <w:rFonts w:ascii="Times New Roman" w:hAnsi="Times New Roman" w:cs="Times New Roman"/>
          <w:sz w:val="26"/>
          <w:szCs w:val="26"/>
        </w:rPr>
        <w:t xml:space="preserve"> at 51 </w:t>
      </w:r>
      <w:r w:rsidR="00235A2F" w:rsidRPr="00235A2F">
        <w:rPr>
          <w:rFonts w:ascii="Times New Roman" w:hAnsi="Times New Roman" w:cs="Times New Roman"/>
          <w:i/>
          <w:iCs/>
          <w:sz w:val="26"/>
          <w:szCs w:val="26"/>
        </w:rPr>
        <w:t>Pa. B</w:t>
      </w:r>
      <w:r w:rsidR="00235A2F" w:rsidRPr="00235A2F">
        <w:rPr>
          <w:rFonts w:ascii="Times New Roman" w:hAnsi="Times New Roman" w:cs="Times New Roman"/>
          <w:sz w:val="26"/>
          <w:szCs w:val="26"/>
        </w:rPr>
        <w:t>. 7826.</w:t>
      </w:r>
      <w:r w:rsidR="00235A2F" w:rsidRPr="00235A2F">
        <w:t xml:space="preserve">  </w:t>
      </w:r>
    </w:p>
  </w:footnote>
  <w:footnote w:id="4">
    <w:p w14:paraId="591FEF1D" w14:textId="26E94A94" w:rsidR="003F6641" w:rsidRPr="003F6641" w:rsidRDefault="003F6641" w:rsidP="003564B3">
      <w:pPr>
        <w:pStyle w:val="FootnoteText"/>
        <w:keepNext/>
        <w:keepLines/>
        <w:ind w:firstLine="720"/>
        <w:rPr>
          <w:rFonts w:ascii="Times New Roman" w:hAnsi="Times New Roman" w:cs="Times New Roman"/>
          <w:sz w:val="26"/>
          <w:szCs w:val="26"/>
        </w:rPr>
      </w:pPr>
      <w:r w:rsidRPr="003F6641">
        <w:rPr>
          <w:rStyle w:val="FootnoteReference"/>
          <w:rFonts w:ascii="Times New Roman" w:hAnsi="Times New Roman" w:cs="Times New Roman"/>
          <w:sz w:val="26"/>
          <w:szCs w:val="26"/>
        </w:rPr>
        <w:footnoteRef/>
      </w:r>
      <w:r w:rsidRPr="003F6641">
        <w:rPr>
          <w:rFonts w:ascii="Times New Roman" w:hAnsi="Times New Roman" w:cs="Times New Roman"/>
          <w:sz w:val="26"/>
          <w:szCs w:val="26"/>
        </w:rPr>
        <w:t xml:space="preserve"> </w:t>
      </w:r>
      <w:r w:rsidRPr="003F6641">
        <w:rPr>
          <w:rFonts w:ascii="Times New Roman" w:hAnsi="Times New Roman" w:cs="Times New Roman"/>
          <w:sz w:val="26"/>
          <w:szCs w:val="26"/>
        </w:rPr>
        <w:tab/>
        <w:t>The OCA notes that Green Mountain is an NRG Energy, Inc. company</w:t>
      </w:r>
      <w:r>
        <w:rPr>
          <w:rFonts w:ascii="Times New Roman" w:hAnsi="Times New Roman" w:cs="Times New Roman"/>
          <w:sz w:val="26"/>
          <w:szCs w:val="26"/>
        </w:rPr>
        <w:t>.  OCA Comments at 6</w:t>
      </w:r>
      <w:r w:rsidR="00C0704A">
        <w:rPr>
          <w:rFonts w:ascii="Times New Roman" w:hAnsi="Times New Roman" w:cs="Times New Roman"/>
          <w:sz w:val="26"/>
          <w:szCs w:val="26"/>
        </w:rPr>
        <w:t>, n. 3</w:t>
      </w:r>
      <w:r>
        <w:rPr>
          <w:rFonts w:ascii="Times New Roman" w:hAnsi="Times New Roman" w:cs="Times New Roman"/>
          <w:sz w:val="26"/>
          <w:szCs w:val="26"/>
        </w:rPr>
        <w:t xml:space="preserve"> (citing </w:t>
      </w:r>
      <w:r w:rsidRPr="003F6641">
        <w:rPr>
          <w:rFonts w:ascii="Times New Roman" w:hAnsi="Times New Roman" w:cs="Times New Roman"/>
          <w:sz w:val="26"/>
          <w:szCs w:val="26"/>
        </w:rPr>
        <w:t>Joint Petition</w:t>
      </w:r>
      <w:r>
        <w:rPr>
          <w:rFonts w:ascii="Times New Roman" w:hAnsi="Times New Roman" w:cs="Times New Roman"/>
          <w:sz w:val="26"/>
          <w:szCs w:val="26"/>
        </w:rPr>
        <w:t>, Appendix B at 12</w:t>
      </w:r>
      <w:r w:rsidRPr="003F6641">
        <w:rPr>
          <w:rFonts w:ascii="Times New Roman" w:hAnsi="Times New Roman" w:cs="Times New Roman"/>
          <w:sz w:val="26"/>
          <w:szCs w:val="26"/>
        </w:rPr>
        <w:t xml:space="preserve">, n. </w:t>
      </w:r>
      <w:r>
        <w:rPr>
          <w:rFonts w:ascii="Times New Roman" w:hAnsi="Times New Roman" w:cs="Times New Roman"/>
          <w:sz w:val="26"/>
          <w:szCs w:val="26"/>
        </w:rPr>
        <w:t>4</w:t>
      </w:r>
      <w:r w:rsidR="00C0704A">
        <w:rPr>
          <w:rFonts w:ascii="Times New Roman" w:hAnsi="Times New Roman" w:cs="Times New Roman"/>
          <w:sz w:val="26"/>
          <w:szCs w:val="26"/>
        </w:rPr>
        <w:t>).</w:t>
      </w:r>
    </w:p>
  </w:footnote>
  <w:footnote w:id="5">
    <w:p w14:paraId="1F1BD810" w14:textId="2FA1A2A9" w:rsidR="00FF6B63" w:rsidRPr="00F52795" w:rsidRDefault="00FF6B63" w:rsidP="005E2A6A">
      <w:pPr>
        <w:pStyle w:val="FootnoteText"/>
        <w:keepNext/>
        <w:keepLines/>
        <w:tabs>
          <w:tab w:val="left" w:pos="0"/>
        </w:tabs>
        <w:rPr>
          <w:rFonts w:ascii="Times New Roman" w:hAnsi="Times New Roman" w:cs="Times New Roman"/>
          <w:sz w:val="26"/>
          <w:szCs w:val="26"/>
        </w:rPr>
      </w:pPr>
      <w:r>
        <w:rPr>
          <w:rFonts w:ascii="Times New Roman" w:hAnsi="Times New Roman" w:cs="Times New Roman"/>
          <w:sz w:val="24"/>
          <w:szCs w:val="24"/>
        </w:rPr>
        <w:tab/>
      </w:r>
      <w:r w:rsidRPr="00F52795">
        <w:rPr>
          <w:rStyle w:val="FootnoteReference"/>
          <w:rFonts w:ascii="Times New Roman" w:hAnsi="Times New Roman" w:cs="Times New Roman"/>
          <w:sz w:val="26"/>
          <w:szCs w:val="26"/>
        </w:rPr>
        <w:footnoteRef/>
      </w:r>
      <w:r w:rsidRPr="00F52795">
        <w:rPr>
          <w:rFonts w:ascii="Times New Roman" w:hAnsi="Times New Roman" w:cs="Times New Roman"/>
          <w:sz w:val="26"/>
          <w:szCs w:val="26"/>
        </w:rPr>
        <w:t xml:space="preserve"> </w:t>
      </w:r>
      <w:r w:rsidRPr="00F52795">
        <w:rPr>
          <w:rFonts w:ascii="Times New Roman" w:hAnsi="Times New Roman" w:cs="Times New Roman"/>
          <w:sz w:val="26"/>
          <w:szCs w:val="26"/>
        </w:rPr>
        <w:tab/>
      </w:r>
      <w:r w:rsidRPr="00FF6B63">
        <w:rPr>
          <w:rFonts w:ascii="Times New Roman" w:hAnsi="Times New Roman" w:cs="Times New Roman"/>
          <w:i/>
          <w:iCs/>
          <w:sz w:val="26"/>
          <w:szCs w:val="26"/>
        </w:rPr>
        <w:t>See</w:t>
      </w:r>
      <w:r w:rsidR="004B321B">
        <w:rPr>
          <w:rFonts w:ascii="Times New Roman" w:hAnsi="Times New Roman" w:cs="Times New Roman"/>
          <w:i/>
          <w:iCs/>
          <w:sz w:val="26"/>
          <w:szCs w:val="26"/>
        </w:rPr>
        <w:t xml:space="preserve"> </w:t>
      </w:r>
      <w:r w:rsidR="004B321B">
        <w:rPr>
          <w:rFonts w:ascii="Times New Roman" w:hAnsi="Times New Roman" w:cs="Times New Roman"/>
          <w:sz w:val="26"/>
          <w:szCs w:val="26"/>
        </w:rPr>
        <w:t>I&amp;E Statement in Support at 11 (citing</w:t>
      </w:r>
      <w:r w:rsidRPr="00FF6B63">
        <w:rPr>
          <w:rFonts w:ascii="Times New Roman" w:hAnsi="Times New Roman" w:cs="Times New Roman"/>
          <w:i/>
          <w:iCs/>
          <w:sz w:val="26"/>
          <w:szCs w:val="26"/>
        </w:rPr>
        <w:t xml:space="preserve"> </w:t>
      </w:r>
      <w:r w:rsidRPr="00FF6B63">
        <w:rPr>
          <w:rFonts w:ascii="Times New Roman" w:hAnsi="Times New Roman" w:cs="Times New Roman"/>
          <w:sz w:val="26"/>
          <w:szCs w:val="26"/>
        </w:rPr>
        <w:t>Docket Nos. C-2014-2419106, F-2015-2472063, F-2017-2635714, C-2017-2639266, C-2018-3000504, C</w:t>
      </w:r>
      <w:r w:rsidR="00984762">
        <w:rPr>
          <w:rFonts w:ascii="Times New Roman" w:hAnsi="Times New Roman" w:cs="Times New Roman"/>
          <w:sz w:val="26"/>
          <w:szCs w:val="26"/>
        </w:rPr>
        <w:noBreakHyphen/>
      </w:r>
      <w:r w:rsidRPr="00FF6B63">
        <w:rPr>
          <w:rFonts w:ascii="Times New Roman" w:hAnsi="Times New Roman" w:cs="Times New Roman"/>
          <w:sz w:val="26"/>
          <w:szCs w:val="26"/>
        </w:rPr>
        <w:t>2018</w:t>
      </w:r>
      <w:r w:rsidR="00984762">
        <w:rPr>
          <w:rFonts w:ascii="Times New Roman" w:hAnsi="Times New Roman" w:cs="Times New Roman"/>
          <w:sz w:val="26"/>
          <w:szCs w:val="26"/>
        </w:rPr>
        <w:noBreakHyphen/>
      </w:r>
      <w:r w:rsidRPr="00FF6B63">
        <w:rPr>
          <w:rFonts w:ascii="Times New Roman" w:hAnsi="Times New Roman" w:cs="Times New Roman"/>
          <w:sz w:val="26"/>
          <w:szCs w:val="26"/>
        </w:rPr>
        <w:t>3004734, C-2019-3007060, C-2020-3015594, and C-2020-3020255</w:t>
      </w:r>
      <w:r w:rsidR="004B321B">
        <w:rPr>
          <w:rFonts w:ascii="Times New Roman" w:hAnsi="Times New Roman" w:cs="Times New Roman"/>
          <w:sz w:val="26"/>
          <w:szCs w:val="26"/>
        </w:rPr>
        <w:t>)</w:t>
      </w:r>
      <w:r w:rsidRPr="00FF6B63">
        <w:rPr>
          <w:rFonts w:ascii="Times New Roman" w:hAnsi="Times New Roman" w:cs="Times New Roman"/>
          <w:sz w:val="26"/>
          <w:szCs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117"/>
    <w:multiLevelType w:val="hybridMultilevel"/>
    <w:tmpl w:val="042C57D2"/>
    <w:lvl w:ilvl="0" w:tplc="757A4E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6762B"/>
    <w:multiLevelType w:val="hybridMultilevel"/>
    <w:tmpl w:val="697C390A"/>
    <w:lvl w:ilvl="0" w:tplc="A5AA077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D0AAC"/>
    <w:multiLevelType w:val="hybridMultilevel"/>
    <w:tmpl w:val="E4A0845E"/>
    <w:lvl w:ilvl="0" w:tplc="F82EBA5E">
      <w:start w:val="1"/>
      <w:numFmt w:val="upperLetter"/>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FAD247F"/>
    <w:multiLevelType w:val="multilevel"/>
    <w:tmpl w:val="0D025166"/>
    <w:lvl w:ilvl="0">
      <w:start w:val="2"/>
      <w:numFmt w:val="upperRoman"/>
      <w:lvlText w:val="%1."/>
      <w:lvlJc w:val="left"/>
      <w:pPr>
        <w:ind w:left="720" w:hanging="720"/>
      </w:pPr>
      <w:rPr>
        <w:rFonts w:ascii="Times New Roman Bold" w:hAnsi="Times New Roman Bold" w:hint="default"/>
        <w:b/>
        <w:i w:val="0"/>
        <w:sz w:val="26"/>
      </w:rPr>
    </w:lvl>
    <w:lvl w:ilvl="1">
      <w:start w:val="16"/>
      <w:numFmt w:val="decimal"/>
      <w:lvlText w:val="%2."/>
      <w:lvlJc w:val="left"/>
      <w:pPr>
        <w:ind w:left="1080" w:hanging="360"/>
      </w:pPr>
      <w:rPr>
        <w:rFonts w:hint="default"/>
        <w:b w:val="0"/>
        <w:i w:val="0"/>
        <w:sz w:val="26"/>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25380FFF"/>
    <w:multiLevelType w:val="hybridMultilevel"/>
    <w:tmpl w:val="968C241E"/>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B71A6"/>
    <w:multiLevelType w:val="hybridMultilevel"/>
    <w:tmpl w:val="66E6F824"/>
    <w:lvl w:ilvl="0" w:tplc="1C36A96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9863496"/>
    <w:multiLevelType w:val="hybridMultilevel"/>
    <w:tmpl w:val="1E9A44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CD7156"/>
    <w:multiLevelType w:val="hybridMultilevel"/>
    <w:tmpl w:val="525882BA"/>
    <w:lvl w:ilvl="0" w:tplc="86A287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3F448D"/>
    <w:multiLevelType w:val="hybridMultilevel"/>
    <w:tmpl w:val="4FDC10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94D7786"/>
    <w:multiLevelType w:val="hybridMultilevel"/>
    <w:tmpl w:val="0D0E1804"/>
    <w:lvl w:ilvl="0" w:tplc="04090019">
      <w:start w:val="1"/>
      <w:numFmt w:val="lowerLetter"/>
      <w:lvlText w:val="%1."/>
      <w:lvlJc w:val="left"/>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FD35254"/>
    <w:multiLevelType w:val="hybridMultilevel"/>
    <w:tmpl w:val="3A44B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1A067FF"/>
    <w:multiLevelType w:val="hybridMultilevel"/>
    <w:tmpl w:val="CBF071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5F3EE3"/>
    <w:multiLevelType w:val="hybridMultilevel"/>
    <w:tmpl w:val="D583617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9701D38"/>
    <w:multiLevelType w:val="hybridMultilevel"/>
    <w:tmpl w:val="03587F62"/>
    <w:lvl w:ilvl="0" w:tplc="3F949BEC">
      <w:start w:val="1"/>
      <w:numFmt w:val="upperRoman"/>
      <w:pStyle w:val="Heading1"/>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E674F"/>
    <w:multiLevelType w:val="hybridMultilevel"/>
    <w:tmpl w:val="AEAEC89C"/>
    <w:lvl w:ilvl="0" w:tplc="CD7208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B27543"/>
    <w:multiLevelType w:val="hybridMultilevel"/>
    <w:tmpl w:val="2FDC96AC"/>
    <w:lvl w:ilvl="0" w:tplc="0D362C4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D5FED1F"/>
    <w:multiLevelType w:val="hybridMultilevel"/>
    <w:tmpl w:val="91A15BE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59F5B73"/>
    <w:multiLevelType w:val="hybridMultilevel"/>
    <w:tmpl w:val="66E6F824"/>
    <w:lvl w:ilvl="0" w:tplc="1C36A96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AE94A2B"/>
    <w:multiLevelType w:val="hybridMultilevel"/>
    <w:tmpl w:val="160AF776"/>
    <w:lvl w:ilvl="0" w:tplc="2DA0D7B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817EE"/>
    <w:multiLevelType w:val="hybridMultilevel"/>
    <w:tmpl w:val="EC425E7A"/>
    <w:lvl w:ilvl="0" w:tplc="EBA6F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1A05D91"/>
    <w:multiLevelType w:val="hybridMultilevel"/>
    <w:tmpl w:val="66E6F824"/>
    <w:lvl w:ilvl="0" w:tplc="1C36A96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71E1A4E"/>
    <w:multiLevelType w:val="multilevel"/>
    <w:tmpl w:val="64A8E10E"/>
    <w:lvl w:ilvl="0">
      <w:start w:val="1"/>
      <w:numFmt w:val="upperRoman"/>
      <w:lvlText w:val="%1."/>
      <w:lvlJc w:val="left"/>
      <w:pPr>
        <w:ind w:left="720" w:hanging="720"/>
      </w:pPr>
      <w:rPr>
        <w:rFonts w:ascii="Times New Roman Bold" w:hAnsi="Times New Roman Bold" w:hint="default"/>
        <w:b/>
        <w:i w:val="0"/>
        <w:sz w:val="26"/>
      </w:rPr>
    </w:lvl>
    <w:lvl w:ilvl="1">
      <w:start w:val="41"/>
      <w:numFmt w:val="decimal"/>
      <w:lvlText w:val="%2."/>
      <w:lvlJc w:val="left"/>
      <w:pPr>
        <w:ind w:left="720" w:hanging="360"/>
      </w:pPr>
      <w:rPr>
        <w:rFonts w:hint="default"/>
        <w:b w:val="0"/>
        <w:i w:val="0"/>
        <w:sz w:val="26"/>
      </w:rPr>
    </w:lvl>
    <w:lvl w:ilvl="2">
      <w:start w:val="1"/>
      <w:numFmt w:val="lowerLetter"/>
      <w:lvlText w:val="%3."/>
      <w:lvlJc w:val="left"/>
      <w:pPr>
        <w:ind w:left="1800" w:hanging="360"/>
      </w:pPr>
      <w:rPr>
        <w:rFonts w:hint="default"/>
        <w:b w:val="0"/>
        <w:bCs/>
        <w:i w:val="0"/>
        <w:sz w:val="26"/>
      </w:rPr>
    </w:lvl>
    <w:lvl w:ilvl="3">
      <w:start w:val="1"/>
      <w:numFmt w:val="lowerLetter"/>
      <w:lvlText w:val="%4."/>
      <w:lvlJc w:val="left"/>
      <w:pPr>
        <w:ind w:left="2160" w:hanging="720"/>
      </w:pPr>
      <w:rPr>
        <w:rFonts w:ascii="Times New Roman" w:hAnsi="Times New Roman" w:hint="default"/>
        <w:b w:val="0"/>
        <w:i w:val="0"/>
        <w:sz w:val="26"/>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7CF22E85"/>
    <w:multiLevelType w:val="hybridMultilevel"/>
    <w:tmpl w:val="9EEE9AB4"/>
    <w:lvl w:ilvl="0" w:tplc="18E0ADC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7"/>
  </w:num>
  <w:num w:numId="4">
    <w:abstractNumId w:val="4"/>
  </w:num>
  <w:num w:numId="5">
    <w:abstractNumId w:val="14"/>
  </w:num>
  <w:num w:numId="6">
    <w:abstractNumId w:val="19"/>
  </w:num>
  <w:num w:numId="7">
    <w:abstractNumId w:val="15"/>
  </w:num>
  <w:num w:numId="8">
    <w:abstractNumId w:val="1"/>
  </w:num>
  <w:num w:numId="9">
    <w:abstractNumId w:val="11"/>
  </w:num>
  <w:num w:numId="10">
    <w:abstractNumId w:val="10"/>
  </w:num>
  <w:num w:numId="11">
    <w:abstractNumId w:val="6"/>
  </w:num>
  <w:num w:numId="12">
    <w:abstractNumId w:val="3"/>
  </w:num>
  <w:num w:numId="13">
    <w:abstractNumId w:val="21"/>
  </w:num>
  <w:num w:numId="14">
    <w:abstractNumId w:val="2"/>
  </w:num>
  <w:num w:numId="15">
    <w:abstractNumId w:val="16"/>
  </w:num>
  <w:num w:numId="16">
    <w:abstractNumId w:val="12"/>
  </w:num>
  <w:num w:numId="17">
    <w:abstractNumId w:val="20"/>
  </w:num>
  <w:num w:numId="18">
    <w:abstractNumId w:val="5"/>
  </w:num>
  <w:num w:numId="19">
    <w:abstractNumId w:val="17"/>
  </w:num>
  <w:num w:numId="20">
    <w:abstractNumId w:val="8"/>
  </w:num>
  <w:num w:numId="21">
    <w:abstractNumId w:val="13"/>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833"/>
    <w:rsid w:val="00001B6F"/>
    <w:rsid w:val="00003FD6"/>
    <w:rsid w:val="00003FF9"/>
    <w:rsid w:val="00004D0E"/>
    <w:rsid w:val="00010129"/>
    <w:rsid w:val="0001016D"/>
    <w:rsid w:val="000162A3"/>
    <w:rsid w:val="0002071A"/>
    <w:rsid w:val="0002170C"/>
    <w:rsid w:val="00021B13"/>
    <w:rsid w:val="00026C60"/>
    <w:rsid w:val="00026DFB"/>
    <w:rsid w:val="000273C0"/>
    <w:rsid w:val="000310A6"/>
    <w:rsid w:val="00031E78"/>
    <w:rsid w:val="0003493F"/>
    <w:rsid w:val="00036DF0"/>
    <w:rsid w:val="000437D7"/>
    <w:rsid w:val="000460AD"/>
    <w:rsid w:val="00047710"/>
    <w:rsid w:val="00050C2B"/>
    <w:rsid w:val="000518DA"/>
    <w:rsid w:val="000529AD"/>
    <w:rsid w:val="00053ABC"/>
    <w:rsid w:val="0005441E"/>
    <w:rsid w:val="0005787B"/>
    <w:rsid w:val="00060D64"/>
    <w:rsid w:val="000618DE"/>
    <w:rsid w:val="00064B21"/>
    <w:rsid w:val="00065DD5"/>
    <w:rsid w:val="00066971"/>
    <w:rsid w:val="00066E0A"/>
    <w:rsid w:val="00070942"/>
    <w:rsid w:val="00072EB3"/>
    <w:rsid w:val="000747C7"/>
    <w:rsid w:val="00081A0D"/>
    <w:rsid w:val="00083168"/>
    <w:rsid w:val="00085649"/>
    <w:rsid w:val="0009156A"/>
    <w:rsid w:val="00093521"/>
    <w:rsid w:val="00093B97"/>
    <w:rsid w:val="00095552"/>
    <w:rsid w:val="00097E1B"/>
    <w:rsid w:val="00097F92"/>
    <w:rsid w:val="000A1056"/>
    <w:rsid w:val="000A192C"/>
    <w:rsid w:val="000A1ABD"/>
    <w:rsid w:val="000A38C4"/>
    <w:rsid w:val="000A3D91"/>
    <w:rsid w:val="000A57C0"/>
    <w:rsid w:val="000B0A5F"/>
    <w:rsid w:val="000B12CD"/>
    <w:rsid w:val="000B12D6"/>
    <w:rsid w:val="000B6FB1"/>
    <w:rsid w:val="000B7058"/>
    <w:rsid w:val="000C58A3"/>
    <w:rsid w:val="000D1A16"/>
    <w:rsid w:val="000D36D3"/>
    <w:rsid w:val="000D3751"/>
    <w:rsid w:val="000D4552"/>
    <w:rsid w:val="000E06BE"/>
    <w:rsid w:val="000E0704"/>
    <w:rsid w:val="000E1629"/>
    <w:rsid w:val="000E1B34"/>
    <w:rsid w:val="000E209B"/>
    <w:rsid w:val="000E7DCB"/>
    <w:rsid w:val="000F4940"/>
    <w:rsid w:val="000F4CEE"/>
    <w:rsid w:val="000F57C3"/>
    <w:rsid w:val="000F5CB7"/>
    <w:rsid w:val="000F5FD3"/>
    <w:rsid w:val="00100BB0"/>
    <w:rsid w:val="00100C5F"/>
    <w:rsid w:val="00103864"/>
    <w:rsid w:val="00104E49"/>
    <w:rsid w:val="00111918"/>
    <w:rsid w:val="001135AF"/>
    <w:rsid w:val="00114759"/>
    <w:rsid w:val="00117DE8"/>
    <w:rsid w:val="00120CB1"/>
    <w:rsid w:val="001211E1"/>
    <w:rsid w:val="00123F2D"/>
    <w:rsid w:val="00123F36"/>
    <w:rsid w:val="00124B21"/>
    <w:rsid w:val="00125A3B"/>
    <w:rsid w:val="00126D62"/>
    <w:rsid w:val="00132D49"/>
    <w:rsid w:val="00136B19"/>
    <w:rsid w:val="00136D30"/>
    <w:rsid w:val="0014523C"/>
    <w:rsid w:val="0014742D"/>
    <w:rsid w:val="00150F2C"/>
    <w:rsid w:val="00155BED"/>
    <w:rsid w:val="001602ED"/>
    <w:rsid w:val="0016261E"/>
    <w:rsid w:val="00164743"/>
    <w:rsid w:val="00166A7D"/>
    <w:rsid w:val="0017126E"/>
    <w:rsid w:val="0017188E"/>
    <w:rsid w:val="00175232"/>
    <w:rsid w:val="00175833"/>
    <w:rsid w:val="00176BC5"/>
    <w:rsid w:val="00177AAF"/>
    <w:rsid w:val="00183096"/>
    <w:rsid w:val="001847CF"/>
    <w:rsid w:val="001A2DB5"/>
    <w:rsid w:val="001A3CC1"/>
    <w:rsid w:val="001A5879"/>
    <w:rsid w:val="001A7A10"/>
    <w:rsid w:val="001B1AFA"/>
    <w:rsid w:val="001B1C39"/>
    <w:rsid w:val="001B2B83"/>
    <w:rsid w:val="001B2F2B"/>
    <w:rsid w:val="001B3DF8"/>
    <w:rsid w:val="001B516C"/>
    <w:rsid w:val="001B7DFA"/>
    <w:rsid w:val="001B7F9A"/>
    <w:rsid w:val="001C1336"/>
    <w:rsid w:val="001C1DE2"/>
    <w:rsid w:val="001C2670"/>
    <w:rsid w:val="001C2E2F"/>
    <w:rsid w:val="001C4806"/>
    <w:rsid w:val="001D10E4"/>
    <w:rsid w:val="001D21A5"/>
    <w:rsid w:val="001D41E8"/>
    <w:rsid w:val="001D4687"/>
    <w:rsid w:val="001D50FF"/>
    <w:rsid w:val="001D59AA"/>
    <w:rsid w:val="001E3DAA"/>
    <w:rsid w:val="001F10A8"/>
    <w:rsid w:val="001F1B99"/>
    <w:rsid w:val="001F2E46"/>
    <w:rsid w:val="001F370C"/>
    <w:rsid w:val="001F78B8"/>
    <w:rsid w:val="002005D3"/>
    <w:rsid w:val="0020735C"/>
    <w:rsid w:val="00207D66"/>
    <w:rsid w:val="0021289D"/>
    <w:rsid w:val="00213A3F"/>
    <w:rsid w:val="00213B86"/>
    <w:rsid w:val="00214865"/>
    <w:rsid w:val="0021686E"/>
    <w:rsid w:val="00217F32"/>
    <w:rsid w:val="00220BEC"/>
    <w:rsid w:val="00221006"/>
    <w:rsid w:val="00223B31"/>
    <w:rsid w:val="00225A89"/>
    <w:rsid w:val="002273E3"/>
    <w:rsid w:val="002325D2"/>
    <w:rsid w:val="00234989"/>
    <w:rsid w:val="00235A2F"/>
    <w:rsid w:val="00236578"/>
    <w:rsid w:val="00237B07"/>
    <w:rsid w:val="002414BC"/>
    <w:rsid w:val="00244ABD"/>
    <w:rsid w:val="002475DF"/>
    <w:rsid w:val="00250DF7"/>
    <w:rsid w:val="002556F8"/>
    <w:rsid w:val="002571C4"/>
    <w:rsid w:val="00257C69"/>
    <w:rsid w:val="00263A3B"/>
    <w:rsid w:val="00263AE5"/>
    <w:rsid w:val="0026457A"/>
    <w:rsid w:val="00272601"/>
    <w:rsid w:val="00274EFD"/>
    <w:rsid w:val="0027699B"/>
    <w:rsid w:val="00280341"/>
    <w:rsid w:val="00281C95"/>
    <w:rsid w:val="00281EB6"/>
    <w:rsid w:val="00282116"/>
    <w:rsid w:val="00290CF8"/>
    <w:rsid w:val="00293480"/>
    <w:rsid w:val="0029473A"/>
    <w:rsid w:val="0029666C"/>
    <w:rsid w:val="00297038"/>
    <w:rsid w:val="00297C2E"/>
    <w:rsid w:val="002A1DA9"/>
    <w:rsid w:val="002A67F9"/>
    <w:rsid w:val="002A70C8"/>
    <w:rsid w:val="002B0CB9"/>
    <w:rsid w:val="002B0E7A"/>
    <w:rsid w:val="002B40BE"/>
    <w:rsid w:val="002B5ADA"/>
    <w:rsid w:val="002B76FD"/>
    <w:rsid w:val="002C02C9"/>
    <w:rsid w:val="002C091F"/>
    <w:rsid w:val="002C0EE4"/>
    <w:rsid w:val="002C66A7"/>
    <w:rsid w:val="002D0A6C"/>
    <w:rsid w:val="002D15AB"/>
    <w:rsid w:val="002E1DB5"/>
    <w:rsid w:val="002E1EDB"/>
    <w:rsid w:val="002E3FD9"/>
    <w:rsid w:val="002E4C1F"/>
    <w:rsid w:val="002E68A7"/>
    <w:rsid w:val="002E7157"/>
    <w:rsid w:val="002F164C"/>
    <w:rsid w:val="002F5444"/>
    <w:rsid w:val="00300007"/>
    <w:rsid w:val="00300236"/>
    <w:rsid w:val="00300456"/>
    <w:rsid w:val="00304F13"/>
    <w:rsid w:val="00305B3C"/>
    <w:rsid w:val="00305E22"/>
    <w:rsid w:val="0030728F"/>
    <w:rsid w:val="00317D03"/>
    <w:rsid w:val="0032127D"/>
    <w:rsid w:val="00321AF5"/>
    <w:rsid w:val="00322836"/>
    <w:rsid w:val="00322B7C"/>
    <w:rsid w:val="003240C5"/>
    <w:rsid w:val="00325086"/>
    <w:rsid w:val="003275FD"/>
    <w:rsid w:val="00330FC7"/>
    <w:rsid w:val="00331A45"/>
    <w:rsid w:val="00332CAF"/>
    <w:rsid w:val="0033535A"/>
    <w:rsid w:val="00335F40"/>
    <w:rsid w:val="00337AE9"/>
    <w:rsid w:val="003410E6"/>
    <w:rsid w:val="00342FD3"/>
    <w:rsid w:val="00343F8A"/>
    <w:rsid w:val="0034488B"/>
    <w:rsid w:val="00345856"/>
    <w:rsid w:val="00350B95"/>
    <w:rsid w:val="00351CB9"/>
    <w:rsid w:val="0035603E"/>
    <w:rsid w:val="003564B3"/>
    <w:rsid w:val="00363E57"/>
    <w:rsid w:val="003649C2"/>
    <w:rsid w:val="00364C93"/>
    <w:rsid w:val="00365F1F"/>
    <w:rsid w:val="003712B4"/>
    <w:rsid w:val="00373617"/>
    <w:rsid w:val="00376501"/>
    <w:rsid w:val="00382C0B"/>
    <w:rsid w:val="00384C8C"/>
    <w:rsid w:val="00384CB1"/>
    <w:rsid w:val="00384E59"/>
    <w:rsid w:val="00391093"/>
    <w:rsid w:val="003919F5"/>
    <w:rsid w:val="00393726"/>
    <w:rsid w:val="00393AB9"/>
    <w:rsid w:val="00395EF4"/>
    <w:rsid w:val="003974A2"/>
    <w:rsid w:val="003A0187"/>
    <w:rsid w:val="003A033D"/>
    <w:rsid w:val="003A4BCE"/>
    <w:rsid w:val="003A5A17"/>
    <w:rsid w:val="003B1203"/>
    <w:rsid w:val="003B1A2C"/>
    <w:rsid w:val="003B4B24"/>
    <w:rsid w:val="003B5039"/>
    <w:rsid w:val="003B5FBA"/>
    <w:rsid w:val="003B66AC"/>
    <w:rsid w:val="003B7A7D"/>
    <w:rsid w:val="003C68C2"/>
    <w:rsid w:val="003C7AE0"/>
    <w:rsid w:val="003D0F6C"/>
    <w:rsid w:val="003D7918"/>
    <w:rsid w:val="003E269D"/>
    <w:rsid w:val="003E442D"/>
    <w:rsid w:val="003F0D5D"/>
    <w:rsid w:val="003F1077"/>
    <w:rsid w:val="003F53D7"/>
    <w:rsid w:val="003F6641"/>
    <w:rsid w:val="003F762E"/>
    <w:rsid w:val="0040004F"/>
    <w:rsid w:val="00400586"/>
    <w:rsid w:val="004016D9"/>
    <w:rsid w:val="004065ED"/>
    <w:rsid w:val="00410369"/>
    <w:rsid w:val="004103BA"/>
    <w:rsid w:val="00414D40"/>
    <w:rsid w:val="00421D3D"/>
    <w:rsid w:val="004220ED"/>
    <w:rsid w:val="004224F9"/>
    <w:rsid w:val="00423B5B"/>
    <w:rsid w:val="00424FBA"/>
    <w:rsid w:val="00431C5E"/>
    <w:rsid w:val="00431E4E"/>
    <w:rsid w:val="00432023"/>
    <w:rsid w:val="00432DEB"/>
    <w:rsid w:val="00432EAC"/>
    <w:rsid w:val="00432F9F"/>
    <w:rsid w:val="004334B2"/>
    <w:rsid w:val="00433793"/>
    <w:rsid w:val="004337E6"/>
    <w:rsid w:val="00433B44"/>
    <w:rsid w:val="0043552E"/>
    <w:rsid w:val="0043571C"/>
    <w:rsid w:val="00442940"/>
    <w:rsid w:val="00443C12"/>
    <w:rsid w:val="00445878"/>
    <w:rsid w:val="00447337"/>
    <w:rsid w:val="00452F43"/>
    <w:rsid w:val="0046153E"/>
    <w:rsid w:val="00462EA3"/>
    <w:rsid w:val="0046580D"/>
    <w:rsid w:val="004676AB"/>
    <w:rsid w:val="004740D1"/>
    <w:rsid w:val="00474E5D"/>
    <w:rsid w:val="00481559"/>
    <w:rsid w:val="004817BA"/>
    <w:rsid w:val="004911F1"/>
    <w:rsid w:val="004928D5"/>
    <w:rsid w:val="00493BFF"/>
    <w:rsid w:val="00494814"/>
    <w:rsid w:val="00494A9F"/>
    <w:rsid w:val="004A48BB"/>
    <w:rsid w:val="004A53D2"/>
    <w:rsid w:val="004A5941"/>
    <w:rsid w:val="004B075B"/>
    <w:rsid w:val="004B321B"/>
    <w:rsid w:val="004B568F"/>
    <w:rsid w:val="004C02E6"/>
    <w:rsid w:val="004C04B5"/>
    <w:rsid w:val="004C0DB3"/>
    <w:rsid w:val="004C2755"/>
    <w:rsid w:val="004C31D8"/>
    <w:rsid w:val="004C4C09"/>
    <w:rsid w:val="004C694B"/>
    <w:rsid w:val="004D5491"/>
    <w:rsid w:val="004E3BEC"/>
    <w:rsid w:val="004E3ED7"/>
    <w:rsid w:val="004E488E"/>
    <w:rsid w:val="004E6E4A"/>
    <w:rsid w:val="004E7D4C"/>
    <w:rsid w:val="004F36C1"/>
    <w:rsid w:val="004F4A43"/>
    <w:rsid w:val="004F4E97"/>
    <w:rsid w:val="004F4F46"/>
    <w:rsid w:val="004F6476"/>
    <w:rsid w:val="005002DE"/>
    <w:rsid w:val="00500CE1"/>
    <w:rsid w:val="005011D3"/>
    <w:rsid w:val="0050140F"/>
    <w:rsid w:val="00504D82"/>
    <w:rsid w:val="00507B39"/>
    <w:rsid w:val="00513E19"/>
    <w:rsid w:val="00513E4C"/>
    <w:rsid w:val="00514688"/>
    <w:rsid w:val="00515C37"/>
    <w:rsid w:val="00517A91"/>
    <w:rsid w:val="005211EF"/>
    <w:rsid w:val="00525425"/>
    <w:rsid w:val="005268A9"/>
    <w:rsid w:val="005303B8"/>
    <w:rsid w:val="00530610"/>
    <w:rsid w:val="005315BE"/>
    <w:rsid w:val="005325EE"/>
    <w:rsid w:val="00533C13"/>
    <w:rsid w:val="00534493"/>
    <w:rsid w:val="0053699E"/>
    <w:rsid w:val="005433F7"/>
    <w:rsid w:val="005439DE"/>
    <w:rsid w:val="0054486F"/>
    <w:rsid w:val="005453B6"/>
    <w:rsid w:val="00546DE7"/>
    <w:rsid w:val="0054780C"/>
    <w:rsid w:val="005500AC"/>
    <w:rsid w:val="005501A8"/>
    <w:rsid w:val="00553556"/>
    <w:rsid w:val="005569AE"/>
    <w:rsid w:val="00556CA2"/>
    <w:rsid w:val="005578A1"/>
    <w:rsid w:val="00560878"/>
    <w:rsid w:val="00562FEA"/>
    <w:rsid w:val="00564AAB"/>
    <w:rsid w:val="00566785"/>
    <w:rsid w:val="00567E79"/>
    <w:rsid w:val="00570550"/>
    <w:rsid w:val="00570B5D"/>
    <w:rsid w:val="0057449C"/>
    <w:rsid w:val="00575608"/>
    <w:rsid w:val="00576BA0"/>
    <w:rsid w:val="005770E0"/>
    <w:rsid w:val="005801A6"/>
    <w:rsid w:val="00580550"/>
    <w:rsid w:val="005807BA"/>
    <w:rsid w:val="00581592"/>
    <w:rsid w:val="005835D9"/>
    <w:rsid w:val="00584774"/>
    <w:rsid w:val="00585C47"/>
    <w:rsid w:val="00591D87"/>
    <w:rsid w:val="00591FBF"/>
    <w:rsid w:val="0059278B"/>
    <w:rsid w:val="005944CF"/>
    <w:rsid w:val="00596933"/>
    <w:rsid w:val="0059789A"/>
    <w:rsid w:val="005A0C39"/>
    <w:rsid w:val="005A2DCD"/>
    <w:rsid w:val="005A31E2"/>
    <w:rsid w:val="005A4AC0"/>
    <w:rsid w:val="005A530B"/>
    <w:rsid w:val="005A7B16"/>
    <w:rsid w:val="005A7CD1"/>
    <w:rsid w:val="005C0FF7"/>
    <w:rsid w:val="005C7660"/>
    <w:rsid w:val="005D0F2B"/>
    <w:rsid w:val="005D406F"/>
    <w:rsid w:val="005D6902"/>
    <w:rsid w:val="005D69EB"/>
    <w:rsid w:val="005D6C59"/>
    <w:rsid w:val="005E00EA"/>
    <w:rsid w:val="005E0D17"/>
    <w:rsid w:val="005E1F4A"/>
    <w:rsid w:val="005E2A6A"/>
    <w:rsid w:val="005E4CBE"/>
    <w:rsid w:val="005E716C"/>
    <w:rsid w:val="005F01FC"/>
    <w:rsid w:val="005F3AE6"/>
    <w:rsid w:val="005F3FC5"/>
    <w:rsid w:val="005F5B6D"/>
    <w:rsid w:val="005F66F6"/>
    <w:rsid w:val="0060384A"/>
    <w:rsid w:val="00603EC6"/>
    <w:rsid w:val="00605AC3"/>
    <w:rsid w:val="006065A4"/>
    <w:rsid w:val="00612F19"/>
    <w:rsid w:val="00615966"/>
    <w:rsid w:val="006227AB"/>
    <w:rsid w:val="00637421"/>
    <w:rsid w:val="00640538"/>
    <w:rsid w:val="00640D13"/>
    <w:rsid w:val="00640E8D"/>
    <w:rsid w:val="00641793"/>
    <w:rsid w:val="00641D9F"/>
    <w:rsid w:val="00646648"/>
    <w:rsid w:val="0064676A"/>
    <w:rsid w:val="00647038"/>
    <w:rsid w:val="0065281D"/>
    <w:rsid w:val="0065459D"/>
    <w:rsid w:val="006570DF"/>
    <w:rsid w:val="0065749E"/>
    <w:rsid w:val="0066047B"/>
    <w:rsid w:val="0066740B"/>
    <w:rsid w:val="006746CA"/>
    <w:rsid w:val="00674BB9"/>
    <w:rsid w:val="00676F1F"/>
    <w:rsid w:val="00677E39"/>
    <w:rsid w:val="006804F3"/>
    <w:rsid w:val="00682A5A"/>
    <w:rsid w:val="00684EF1"/>
    <w:rsid w:val="00685266"/>
    <w:rsid w:val="00686D2B"/>
    <w:rsid w:val="006932D1"/>
    <w:rsid w:val="00697E31"/>
    <w:rsid w:val="006A029E"/>
    <w:rsid w:val="006A0373"/>
    <w:rsid w:val="006A0452"/>
    <w:rsid w:val="006A328C"/>
    <w:rsid w:val="006A4528"/>
    <w:rsid w:val="006A45DA"/>
    <w:rsid w:val="006A75ED"/>
    <w:rsid w:val="006A7CCA"/>
    <w:rsid w:val="006B27C5"/>
    <w:rsid w:val="006B39BA"/>
    <w:rsid w:val="006B3E36"/>
    <w:rsid w:val="006B537D"/>
    <w:rsid w:val="006B5462"/>
    <w:rsid w:val="006B6011"/>
    <w:rsid w:val="006B6EBD"/>
    <w:rsid w:val="006B7D6D"/>
    <w:rsid w:val="006C0634"/>
    <w:rsid w:val="006C27E7"/>
    <w:rsid w:val="006D5DC7"/>
    <w:rsid w:val="006D61C5"/>
    <w:rsid w:val="006D6253"/>
    <w:rsid w:val="006D70F0"/>
    <w:rsid w:val="006D71EF"/>
    <w:rsid w:val="006D733D"/>
    <w:rsid w:val="006E05CD"/>
    <w:rsid w:val="006E07A3"/>
    <w:rsid w:val="006E1086"/>
    <w:rsid w:val="006E3317"/>
    <w:rsid w:val="006E55CC"/>
    <w:rsid w:val="006E568F"/>
    <w:rsid w:val="006E6176"/>
    <w:rsid w:val="006F13AD"/>
    <w:rsid w:val="006F5E0A"/>
    <w:rsid w:val="006F7205"/>
    <w:rsid w:val="00702670"/>
    <w:rsid w:val="00705064"/>
    <w:rsid w:val="0070558C"/>
    <w:rsid w:val="00710516"/>
    <w:rsid w:val="00712E56"/>
    <w:rsid w:val="00715816"/>
    <w:rsid w:val="00720E9D"/>
    <w:rsid w:val="00721F70"/>
    <w:rsid w:val="007225E8"/>
    <w:rsid w:val="00725029"/>
    <w:rsid w:val="0072636A"/>
    <w:rsid w:val="00733D26"/>
    <w:rsid w:val="00734F80"/>
    <w:rsid w:val="0073537F"/>
    <w:rsid w:val="007371B3"/>
    <w:rsid w:val="00737892"/>
    <w:rsid w:val="007411D2"/>
    <w:rsid w:val="007427FA"/>
    <w:rsid w:val="00744296"/>
    <w:rsid w:val="007505D4"/>
    <w:rsid w:val="007514E9"/>
    <w:rsid w:val="00752ACF"/>
    <w:rsid w:val="00753451"/>
    <w:rsid w:val="00756CB3"/>
    <w:rsid w:val="007570FC"/>
    <w:rsid w:val="0076203D"/>
    <w:rsid w:val="00762BDE"/>
    <w:rsid w:val="0076372B"/>
    <w:rsid w:val="00764B6A"/>
    <w:rsid w:val="00765425"/>
    <w:rsid w:val="00772036"/>
    <w:rsid w:val="0077240D"/>
    <w:rsid w:val="00782EE2"/>
    <w:rsid w:val="007837C8"/>
    <w:rsid w:val="00786A96"/>
    <w:rsid w:val="00787E35"/>
    <w:rsid w:val="00790329"/>
    <w:rsid w:val="007A1753"/>
    <w:rsid w:val="007A1E2A"/>
    <w:rsid w:val="007A2A3C"/>
    <w:rsid w:val="007A3DFA"/>
    <w:rsid w:val="007A747D"/>
    <w:rsid w:val="007A7797"/>
    <w:rsid w:val="007B1EDF"/>
    <w:rsid w:val="007B5074"/>
    <w:rsid w:val="007B5831"/>
    <w:rsid w:val="007C1050"/>
    <w:rsid w:val="007C126F"/>
    <w:rsid w:val="007C7AE6"/>
    <w:rsid w:val="007D0D75"/>
    <w:rsid w:val="007D1788"/>
    <w:rsid w:val="007D1931"/>
    <w:rsid w:val="007D254A"/>
    <w:rsid w:val="007D4924"/>
    <w:rsid w:val="007D7245"/>
    <w:rsid w:val="007E3E00"/>
    <w:rsid w:val="007E4101"/>
    <w:rsid w:val="007E4247"/>
    <w:rsid w:val="007E42DC"/>
    <w:rsid w:val="007E5F1C"/>
    <w:rsid w:val="007F0F77"/>
    <w:rsid w:val="007F1479"/>
    <w:rsid w:val="007F17BC"/>
    <w:rsid w:val="007F2C07"/>
    <w:rsid w:val="007F55C6"/>
    <w:rsid w:val="007F5A48"/>
    <w:rsid w:val="007F7F24"/>
    <w:rsid w:val="00806C53"/>
    <w:rsid w:val="00814A67"/>
    <w:rsid w:val="00815A8C"/>
    <w:rsid w:val="00817BFC"/>
    <w:rsid w:val="00821C4A"/>
    <w:rsid w:val="00821FE2"/>
    <w:rsid w:val="00823F72"/>
    <w:rsid w:val="00827990"/>
    <w:rsid w:val="00831EB3"/>
    <w:rsid w:val="00832871"/>
    <w:rsid w:val="00840265"/>
    <w:rsid w:val="00842B18"/>
    <w:rsid w:val="00851927"/>
    <w:rsid w:val="00851BF8"/>
    <w:rsid w:val="00852B8C"/>
    <w:rsid w:val="00854C0C"/>
    <w:rsid w:val="0085509A"/>
    <w:rsid w:val="00855BFE"/>
    <w:rsid w:val="00855E51"/>
    <w:rsid w:val="00860A43"/>
    <w:rsid w:val="00860BCD"/>
    <w:rsid w:val="00860F3C"/>
    <w:rsid w:val="00861585"/>
    <w:rsid w:val="00863031"/>
    <w:rsid w:val="00863323"/>
    <w:rsid w:val="00863B03"/>
    <w:rsid w:val="00866103"/>
    <w:rsid w:val="00870462"/>
    <w:rsid w:val="0087352B"/>
    <w:rsid w:val="008739F0"/>
    <w:rsid w:val="00874F9D"/>
    <w:rsid w:val="008767AB"/>
    <w:rsid w:val="00880A09"/>
    <w:rsid w:val="008865C4"/>
    <w:rsid w:val="008922AD"/>
    <w:rsid w:val="0089334B"/>
    <w:rsid w:val="00895BF7"/>
    <w:rsid w:val="00896EAB"/>
    <w:rsid w:val="00897B42"/>
    <w:rsid w:val="008A2700"/>
    <w:rsid w:val="008B06E3"/>
    <w:rsid w:val="008B0C79"/>
    <w:rsid w:val="008B20DC"/>
    <w:rsid w:val="008C0E4B"/>
    <w:rsid w:val="008C2B2E"/>
    <w:rsid w:val="008C2FAC"/>
    <w:rsid w:val="008C3120"/>
    <w:rsid w:val="008C5FB0"/>
    <w:rsid w:val="008D08B4"/>
    <w:rsid w:val="008D0EEF"/>
    <w:rsid w:val="008D236C"/>
    <w:rsid w:val="008D4C27"/>
    <w:rsid w:val="008D7AB8"/>
    <w:rsid w:val="008E1F3A"/>
    <w:rsid w:val="008E3215"/>
    <w:rsid w:val="008E3601"/>
    <w:rsid w:val="008E3D60"/>
    <w:rsid w:val="008F2B49"/>
    <w:rsid w:val="008F2C2A"/>
    <w:rsid w:val="00900A6E"/>
    <w:rsid w:val="0090176F"/>
    <w:rsid w:val="00902C63"/>
    <w:rsid w:val="00904B50"/>
    <w:rsid w:val="009068D9"/>
    <w:rsid w:val="00910EA4"/>
    <w:rsid w:val="009135A1"/>
    <w:rsid w:val="0091374D"/>
    <w:rsid w:val="00914EC9"/>
    <w:rsid w:val="00915137"/>
    <w:rsid w:val="00915325"/>
    <w:rsid w:val="00916E40"/>
    <w:rsid w:val="00917171"/>
    <w:rsid w:val="00923C44"/>
    <w:rsid w:val="00924E6A"/>
    <w:rsid w:val="00925114"/>
    <w:rsid w:val="0092538B"/>
    <w:rsid w:val="009265D6"/>
    <w:rsid w:val="009333A2"/>
    <w:rsid w:val="00936061"/>
    <w:rsid w:val="00936209"/>
    <w:rsid w:val="00937E62"/>
    <w:rsid w:val="009417DE"/>
    <w:rsid w:val="00941A06"/>
    <w:rsid w:val="00947277"/>
    <w:rsid w:val="00947476"/>
    <w:rsid w:val="00951986"/>
    <w:rsid w:val="00953514"/>
    <w:rsid w:val="0095438D"/>
    <w:rsid w:val="00955DEA"/>
    <w:rsid w:val="00962D2E"/>
    <w:rsid w:val="009676B8"/>
    <w:rsid w:val="00970A0C"/>
    <w:rsid w:val="00971344"/>
    <w:rsid w:val="009740E6"/>
    <w:rsid w:val="00974910"/>
    <w:rsid w:val="00975062"/>
    <w:rsid w:val="00981DE6"/>
    <w:rsid w:val="00984762"/>
    <w:rsid w:val="00984785"/>
    <w:rsid w:val="009856E8"/>
    <w:rsid w:val="00986504"/>
    <w:rsid w:val="00990AA3"/>
    <w:rsid w:val="00991DEB"/>
    <w:rsid w:val="009927BC"/>
    <w:rsid w:val="00992B42"/>
    <w:rsid w:val="009943D6"/>
    <w:rsid w:val="00994537"/>
    <w:rsid w:val="00996E96"/>
    <w:rsid w:val="009A0884"/>
    <w:rsid w:val="009A4BF0"/>
    <w:rsid w:val="009A6457"/>
    <w:rsid w:val="009B0C49"/>
    <w:rsid w:val="009B195F"/>
    <w:rsid w:val="009B273A"/>
    <w:rsid w:val="009B4875"/>
    <w:rsid w:val="009B54E6"/>
    <w:rsid w:val="009B72D9"/>
    <w:rsid w:val="009B7DAA"/>
    <w:rsid w:val="009B7E11"/>
    <w:rsid w:val="009C12EF"/>
    <w:rsid w:val="009C3084"/>
    <w:rsid w:val="009C428B"/>
    <w:rsid w:val="009C4B40"/>
    <w:rsid w:val="009C5A4E"/>
    <w:rsid w:val="009C64F0"/>
    <w:rsid w:val="009D0342"/>
    <w:rsid w:val="009D354F"/>
    <w:rsid w:val="009D4BB5"/>
    <w:rsid w:val="009D5D1B"/>
    <w:rsid w:val="009E0D34"/>
    <w:rsid w:val="009E2B12"/>
    <w:rsid w:val="009E6332"/>
    <w:rsid w:val="009E7AC0"/>
    <w:rsid w:val="009E7E4F"/>
    <w:rsid w:val="009F3570"/>
    <w:rsid w:val="00A0235E"/>
    <w:rsid w:val="00A036F0"/>
    <w:rsid w:val="00A0413C"/>
    <w:rsid w:val="00A05CF0"/>
    <w:rsid w:val="00A05EA3"/>
    <w:rsid w:val="00A06959"/>
    <w:rsid w:val="00A112FE"/>
    <w:rsid w:val="00A22521"/>
    <w:rsid w:val="00A24448"/>
    <w:rsid w:val="00A245AE"/>
    <w:rsid w:val="00A2476F"/>
    <w:rsid w:val="00A248AE"/>
    <w:rsid w:val="00A30ECF"/>
    <w:rsid w:val="00A3251D"/>
    <w:rsid w:val="00A339CF"/>
    <w:rsid w:val="00A3409F"/>
    <w:rsid w:val="00A41266"/>
    <w:rsid w:val="00A44803"/>
    <w:rsid w:val="00A44D14"/>
    <w:rsid w:val="00A53B32"/>
    <w:rsid w:val="00A557BE"/>
    <w:rsid w:val="00A60F33"/>
    <w:rsid w:val="00A61E56"/>
    <w:rsid w:val="00A6328D"/>
    <w:rsid w:val="00A64154"/>
    <w:rsid w:val="00A6729D"/>
    <w:rsid w:val="00A67973"/>
    <w:rsid w:val="00A70E96"/>
    <w:rsid w:val="00A71906"/>
    <w:rsid w:val="00A71AB3"/>
    <w:rsid w:val="00A8197E"/>
    <w:rsid w:val="00A81E55"/>
    <w:rsid w:val="00A830B1"/>
    <w:rsid w:val="00A83FF8"/>
    <w:rsid w:val="00A8625A"/>
    <w:rsid w:val="00A86A92"/>
    <w:rsid w:val="00A91A7B"/>
    <w:rsid w:val="00A960A2"/>
    <w:rsid w:val="00A97470"/>
    <w:rsid w:val="00AA0347"/>
    <w:rsid w:val="00AA623F"/>
    <w:rsid w:val="00AA717A"/>
    <w:rsid w:val="00AB1327"/>
    <w:rsid w:val="00AB14E4"/>
    <w:rsid w:val="00AB3E5B"/>
    <w:rsid w:val="00AC31A4"/>
    <w:rsid w:val="00AC4357"/>
    <w:rsid w:val="00AC4478"/>
    <w:rsid w:val="00AC72B5"/>
    <w:rsid w:val="00AC7BCC"/>
    <w:rsid w:val="00AD1AA1"/>
    <w:rsid w:val="00AD3B62"/>
    <w:rsid w:val="00AD4F9A"/>
    <w:rsid w:val="00AD71A7"/>
    <w:rsid w:val="00AE0C84"/>
    <w:rsid w:val="00AE1215"/>
    <w:rsid w:val="00AE2509"/>
    <w:rsid w:val="00AE36CD"/>
    <w:rsid w:val="00AE4A88"/>
    <w:rsid w:val="00AE7048"/>
    <w:rsid w:val="00AF087E"/>
    <w:rsid w:val="00AF0B18"/>
    <w:rsid w:val="00AF3939"/>
    <w:rsid w:val="00AF445C"/>
    <w:rsid w:val="00AF6242"/>
    <w:rsid w:val="00B01CAD"/>
    <w:rsid w:val="00B02BF3"/>
    <w:rsid w:val="00B05425"/>
    <w:rsid w:val="00B07BDE"/>
    <w:rsid w:val="00B07F7F"/>
    <w:rsid w:val="00B11263"/>
    <w:rsid w:val="00B21F72"/>
    <w:rsid w:val="00B22335"/>
    <w:rsid w:val="00B2262F"/>
    <w:rsid w:val="00B23E17"/>
    <w:rsid w:val="00B243A1"/>
    <w:rsid w:val="00B25360"/>
    <w:rsid w:val="00B32911"/>
    <w:rsid w:val="00B36A23"/>
    <w:rsid w:val="00B37D03"/>
    <w:rsid w:val="00B40E0E"/>
    <w:rsid w:val="00B44D83"/>
    <w:rsid w:val="00B51F27"/>
    <w:rsid w:val="00B53BD3"/>
    <w:rsid w:val="00B53FBB"/>
    <w:rsid w:val="00B5551E"/>
    <w:rsid w:val="00B61304"/>
    <w:rsid w:val="00B6456A"/>
    <w:rsid w:val="00B6501A"/>
    <w:rsid w:val="00B663D8"/>
    <w:rsid w:val="00B66AF8"/>
    <w:rsid w:val="00B66EEC"/>
    <w:rsid w:val="00B70441"/>
    <w:rsid w:val="00B708FD"/>
    <w:rsid w:val="00B713E3"/>
    <w:rsid w:val="00B71B38"/>
    <w:rsid w:val="00B73DA8"/>
    <w:rsid w:val="00B76723"/>
    <w:rsid w:val="00B80312"/>
    <w:rsid w:val="00B815F4"/>
    <w:rsid w:val="00B81A2E"/>
    <w:rsid w:val="00B81D21"/>
    <w:rsid w:val="00B8214E"/>
    <w:rsid w:val="00B84690"/>
    <w:rsid w:val="00B849C3"/>
    <w:rsid w:val="00B85CE0"/>
    <w:rsid w:val="00B91B9B"/>
    <w:rsid w:val="00B9223A"/>
    <w:rsid w:val="00B97153"/>
    <w:rsid w:val="00B9753F"/>
    <w:rsid w:val="00B975D0"/>
    <w:rsid w:val="00BA1547"/>
    <w:rsid w:val="00BA553A"/>
    <w:rsid w:val="00BA6030"/>
    <w:rsid w:val="00BB1AB9"/>
    <w:rsid w:val="00BB453C"/>
    <w:rsid w:val="00BB508E"/>
    <w:rsid w:val="00BC2211"/>
    <w:rsid w:val="00BC2C9D"/>
    <w:rsid w:val="00BC7E92"/>
    <w:rsid w:val="00BD0148"/>
    <w:rsid w:val="00BD0621"/>
    <w:rsid w:val="00BD0634"/>
    <w:rsid w:val="00BD174C"/>
    <w:rsid w:val="00BD2331"/>
    <w:rsid w:val="00BD3F94"/>
    <w:rsid w:val="00BD5CDE"/>
    <w:rsid w:val="00BD63D4"/>
    <w:rsid w:val="00BD66E3"/>
    <w:rsid w:val="00BD6B39"/>
    <w:rsid w:val="00BD6E8A"/>
    <w:rsid w:val="00BD779B"/>
    <w:rsid w:val="00BE4E4F"/>
    <w:rsid w:val="00BE620D"/>
    <w:rsid w:val="00BE76DB"/>
    <w:rsid w:val="00BF3327"/>
    <w:rsid w:val="00BF60BA"/>
    <w:rsid w:val="00C030C4"/>
    <w:rsid w:val="00C046C5"/>
    <w:rsid w:val="00C063D7"/>
    <w:rsid w:val="00C0704A"/>
    <w:rsid w:val="00C146D3"/>
    <w:rsid w:val="00C1588F"/>
    <w:rsid w:val="00C15C41"/>
    <w:rsid w:val="00C177EA"/>
    <w:rsid w:val="00C200F0"/>
    <w:rsid w:val="00C20716"/>
    <w:rsid w:val="00C208B5"/>
    <w:rsid w:val="00C214FC"/>
    <w:rsid w:val="00C21AE0"/>
    <w:rsid w:val="00C21DF1"/>
    <w:rsid w:val="00C220F1"/>
    <w:rsid w:val="00C25C19"/>
    <w:rsid w:val="00C26158"/>
    <w:rsid w:val="00C30FD3"/>
    <w:rsid w:val="00C31D2B"/>
    <w:rsid w:val="00C32CC8"/>
    <w:rsid w:val="00C40237"/>
    <w:rsid w:val="00C43222"/>
    <w:rsid w:val="00C45F3B"/>
    <w:rsid w:val="00C53161"/>
    <w:rsid w:val="00C558D8"/>
    <w:rsid w:val="00C57225"/>
    <w:rsid w:val="00C57B23"/>
    <w:rsid w:val="00C61760"/>
    <w:rsid w:val="00C626F0"/>
    <w:rsid w:val="00C6740F"/>
    <w:rsid w:val="00C70D07"/>
    <w:rsid w:val="00C77EE0"/>
    <w:rsid w:val="00C808EC"/>
    <w:rsid w:val="00C8159D"/>
    <w:rsid w:val="00C86D03"/>
    <w:rsid w:val="00C872A9"/>
    <w:rsid w:val="00C914F7"/>
    <w:rsid w:val="00C91C1A"/>
    <w:rsid w:val="00C962D8"/>
    <w:rsid w:val="00CA0164"/>
    <w:rsid w:val="00CA09AC"/>
    <w:rsid w:val="00CA1BC1"/>
    <w:rsid w:val="00CA21E1"/>
    <w:rsid w:val="00CA5566"/>
    <w:rsid w:val="00CA7E79"/>
    <w:rsid w:val="00CB0BD7"/>
    <w:rsid w:val="00CB2131"/>
    <w:rsid w:val="00CB2DBF"/>
    <w:rsid w:val="00CB6C24"/>
    <w:rsid w:val="00CC0AC2"/>
    <w:rsid w:val="00CC0C2F"/>
    <w:rsid w:val="00CC3F15"/>
    <w:rsid w:val="00CC6067"/>
    <w:rsid w:val="00CD15D2"/>
    <w:rsid w:val="00CD2320"/>
    <w:rsid w:val="00CD2970"/>
    <w:rsid w:val="00CD4672"/>
    <w:rsid w:val="00CD76F2"/>
    <w:rsid w:val="00CE06F4"/>
    <w:rsid w:val="00CE43B0"/>
    <w:rsid w:val="00CE59B1"/>
    <w:rsid w:val="00CF1965"/>
    <w:rsid w:val="00CF5021"/>
    <w:rsid w:val="00CF6545"/>
    <w:rsid w:val="00D01C4A"/>
    <w:rsid w:val="00D06A31"/>
    <w:rsid w:val="00D11D66"/>
    <w:rsid w:val="00D120CF"/>
    <w:rsid w:val="00D122F9"/>
    <w:rsid w:val="00D14DFA"/>
    <w:rsid w:val="00D22DD3"/>
    <w:rsid w:val="00D24B2A"/>
    <w:rsid w:val="00D26E87"/>
    <w:rsid w:val="00D30E87"/>
    <w:rsid w:val="00D30F54"/>
    <w:rsid w:val="00D31505"/>
    <w:rsid w:val="00D31E0C"/>
    <w:rsid w:val="00D331FF"/>
    <w:rsid w:val="00D3385A"/>
    <w:rsid w:val="00D36807"/>
    <w:rsid w:val="00D36857"/>
    <w:rsid w:val="00D403B0"/>
    <w:rsid w:val="00D53853"/>
    <w:rsid w:val="00D53F38"/>
    <w:rsid w:val="00D54C0C"/>
    <w:rsid w:val="00D559F9"/>
    <w:rsid w:val="00D574CE"/>
    <w:rsid w:val="00D63F97"/>
    <w:rsid w:val="00D662B2"/>
    <w:rsid w:val="00D706FB"/>
    <w:rsid w:val="00D71559"/>
    <w:rsid w:val="00D728F4"/>
    <w:rsid w:val="00D7294D"/>
    <w:rsid w:val="00D73F19"/>
    <w:rsid w:val="00D7469A"/>
    <w:rsid w:val="00D755B3"/>
    <w:rsid w:val="00D766ED"/>
    <w:rsid w:val="00D80B94"/>
    <w:rsid w:val="00D80FA6"/>
    <w:rsid w:val="00D80FE5"/>
    <w:rsid w:val="00D814DC"/>
    <w:rsid w:val="00D834AF"/>
    <w:rsid w:val="00D83C57"/>
    <w:rsid w:val="00D84EB7"/>
    <w:rsid w:val="00D85C44"/>
    <w:rsid w:val="00D86DA9"/>
    <w:rsid w:val="00D86FA4"/>
    <w:rsid w:val="00D908F3"/>
    <w:rsid w:val="00D924B5"/>
    <w:rsid w:val="00D935C5"/>
    <w:rsid w:val="00D966BA"/>
    <w:rsid w:val="00D969EF"/>
    <w:rsid w:val="00D97755"/>
    <w:rsid w:val="00DA1AC1"/>
    <w:rsid w:val="00DA1F51"/>
    <w:rsid w:val="00DA4D7D"/>
    <w:rsid w:val="00DA7BC9"/>
    <w:rsid w:val="00DB31CE"/>
    <w:rsid w:val="00DB324E"/>
    <w:rsid w:val="00DB6E08"/>
    <w:rsid w:val="00DC0DDF"/>
    <w:rsid w:val="00DC1007"/>
    <w:rsid w:val="00DC3A36"/>
    <w:rsid w:val="00DC42F7"/>
    <w:rsid w:val="00DC452B"/>
    <w:rsid w:val="00DC5124"/>
    <w:rsid w:val="00DC665E"/>
    <w:rsid w:val="00DD25F6"/>
    <w:rsid w:val="00DD4331"/>
    <w:rsid w:val="00DD45B6"/>
    <w:rsid w:val="00DD4C6A"/>
    <w:rsid w:val="00DD62AF"/>
    <w:rsid w:val="00DD6642"/>
    <w:rsid w:val="00DD6D5B"/>
    <w:rsid w:val="00DE004C"/>
    <w:rsid w:val="00DE33EE"/>
    <w:rsid w:val="00DE56F7"/>
    <w:rsid w:val="00DE677B"/>
    <w:rsid w:val="00DF2671"/>
    <w:rsid w:val="00DF277C"/>
    <w:rsid w:val="00DF39F3"/>
    <w:rsid w:val="00DF42B4"/>
    <w:rsid w:val="00DF48D9"/>
    <w:rsid w:val="00DF6895"/>
    <w:rsid w:val="00E00D9F"/>
    <w:rsid w:val="00E10DD1"/>
    <w:rsid w:val="00E14059"/>
    <w:rsid w:val="00E157B5"/>
    <w:rsid w:val="00E17771"/>
    <w:rsid w:val="00E1777E"/>
    <w:rsid w:val="00E1786B"/>
    <w:rsid w:val="00E201ED"/>
    <w:rsid w:val="00E21236"/>
    <w:rsid w:val="00E23721"/>
    <w:rsid w:val="00E23CF4"/>
    <w:rsid w:val="00E268EF"/>
    <w:rsid w:val="00E26E53"/>
    <w:rsid w:val="00E27573"/>
    <w:rsid w:val="00E2771E"/>
    <w:rsid w:val="00E27B4B"/>
    <w:rsid w:val="00E27C55"/>
    <w:rsid w:val="00E3026F"/>
    <w:rsid w:val="00E32907"/>
    <w:rsid w:val="00E36CCB"/>
    <w:rsid w:val="00E37CF7"/>
    <w:rsid w:val="00E414B2"/>
    <w:rsid w:val="00E431CD"/>
    <w:rsid w:val="00E4395E"/>
    <w:rsid w:val="00E457BA"/>
    <w:rsid w:val="00E509B9"/>
    <w:rsid w:val="00E521F2"/>
    <w:rsid w:val="00E52B1F"/>
    <w:rsid w:val="00E52E86"/>
    <w:rsid w:val="00E5452B"/>
    <w:rsid w:val="00E54C76"/>
    <w:rsid w:val="00E561D0"/>
    <w:rsid w:val="00E56867"/>
    <w:rsid w:val="00E62727"/>
    <w:rsid w:val="00E6280A"/>
    <w:rsid w:val="00E643E4"/>
    <w:rsid w:val="00E64780"/>
    <w:rsid w:val="00E67DDE"/>
    <w:rsid w:val="00E730EB"/>
    <w:rsid w:val="00E7435B"/>
    <w:rsid w:val="00E74BAF"/>
    <w:rsid w:val="00E766D3"/>
    <w:rsid w:val="00E812CC"/>
    <w:rsid w:val="00E8278A"/>
    <w:rsid w:val="00E843A7"/>
    <w:rsid w:val="00E86E9D"/>
    <w:rsid w:val="00E933E8"/>
    <w:rsid w:val="00E94383"/>
    <w:rsid w:val="00E947C6"/>
    <w:rsid w:val="00E94BAE"/>
    <w:rsid w:val="00E95552"/>
    <w:rsid w:val="00E965AE"/>
    <w:rsid w:val="00EA0E41"/>
    <w:rsid w:val="00EA110B"/>
    <w:rsid w:val="00EA1A2B"/>
    <w:rsid w:val="00EA79D6"/>
    <w:rsid w:val="00EB1644"/>
    <w:rsid w:val="00EB27F0"/>
    <w:rsid w:val="00EB5082"/>
    <w:rsid w:val="00EB5AC8"/>
    <w:rsid w:val="00EB6AB5"/>
    <w:rsid w:val="00EB74D3"/>
    <w:rsid w:val="00EB7817"/>
    <w:rsid w:val="00EC2547"/>
    <w:rsid w:val="00EC2F19"/>
    <w:rsid w:val="00EC3B19"/>
    <w:rsid w:val="00EC3D62"/>
    <w:rsid w:val="00EC4098"/>
    <w:rsid w:val="00EC5063"/>
    <w:rsid w:val="00EC6770"/>
    <w:rsid w:val="00EC7880"/>
    <w:rsid w:val="00ED1318"/>
    <w:rsid w:val="00ED1C8A"/>
    <w:rsid w:val="00ED1CE6"/>
    <w:rsid w:val="00ED2472"/>
    <w:rsid w:val="00ED37E4"/>
    <w:rsid w:val="00ED657C"/>
    <w:rsid w:val="00EE045F"/>
    <w:rsid w:val="00EE0AEC"/>
    <w:rsid w:val="00EE147F"/>
    <w:rsid w:val="00EE7DB3"/>
    <w:rsid w:val="00EF0825"/>
    <w:rsid w:val="00EF085C"/>
    <w:rsid w:val="00EF15D3"/>
    <w:rsid w:val="00EF2D48"/>
    <w:rsid w:val="00EF4651"/>
    <w:rsid w:val="00EF4E8F"/>
    <w:rsid w:val="00F000CD"/>
    <w:rsid w:val="00F00BCD"/>
    <w:rsid w:val="00F019AE"/>
    <w:rsid w:val="00F01F68"/>
    <w:rsid w:val="00F04456"/>
    <w:rsid w:val="00F04776"/>
    <w:rsid w:val="00F052C3"/>
    <w:rsid w:val="00F108CE"/>
    <w:rsid w:val="00F11EE5"/>
    <w:rsid w:val="00F1278B"/>
    <w:rsid w:val="00F132A5"/>
    <w:rsid w:val="00F132F2"/>
    <w:rsid w:val="00F17584"/>
    <w:rsid w:val="00F17A9A"/>
    <w:rsid w:val="00F20DB9"/>
    <w:rsid w:val="00F2342F"/>
    <w:rsid w:val="00F25260"/>
    <w:rsid w:val="00F26699"/>
    <w:rsid w:val="00F273CE"/>
    <w:rsid w:val="00F3491B"/>
    <w:rsid w:val="00F34A2E"/>
    <w:rsid w:val="00F35907"/>
    <w:rsid w:val="00F40C64"/>
    <w:rsid w:val="00F44833"/>
    <w:rsid w:val="00F44CD0"/>
    <w:rsid w:val="00F465F7"/>
    <w:rsid w:val="00F4744A"/>
    <w:rsid w:val="00F51D04"/>
    <w:rsid w:val="00F538FC"/>
    <w:rsid w:val="00F54753"/>
    <w:rsid w:val="00F5569E"/>
    <w:rsid w:val="00F57DC4"/>
    <w:rsid w:val="00F646FE"/>
    <w:rsid w:val="00F65119"/>
    <w:rsid w:val="00F7018B"/>
    <w:rsid w:val="00F7498C"/>
    <w:rsid w:val="00F7548B"/>
    <w:rsid w:val="00F755FE"/>
    <w:rsid w:val="00F765E5"/>
    <w:rsid w:val="00F77210"/>
    <w:rsid w:val="00F80CA7"/>
    <w:rsid w:val="00F81F74"/>
    <w:rsid w:val="00F82325"/>
    <w:rsid w:val="00F83F8E"/>
    <w:rsid w:val="00F8641C"/>
    <w:rsid w:val="00F87AAF"/>
    <w:rsid w:val="00F906C6"/>
    <w:rsid w:val="00F91896"/>
    <w:rsid w:val="00F9509E"/>
    <w:rsid w:val="00F957D5"/>
    <w:rsid w:val="00FA0EC8"/>
    <w:rsid w:val="00FA17E6"/>
    <w:rsid w:val="00FA4162"/>
    <w:rsid w:val="00FA6AD2"/>
    <w:rsid w:val="00FB1636"/>
    <w:rsid w:val="00FB3D91"/>
    <w:rsid w:val="00FC0802"/>
    <w:rsid w:val="00FC143A"/>
    <w:rsid w:val="00FC3B9A"/>
    <w:rsid w:val="00FC50F4"/>
    <w:rsid w:val="00FC5270"/>
    <w:rsid w:val="00FC6396"/>
    <w:rsid w:val="00FC67A1"/>
    <w:rsid w:val="00FC773F"/>
    <w:rsid w:val="00FD2835"/>
    <w:rsid w:val="00FD28E5"/>
    <w:rsid w:val="00FD4049"/>
    <w:rsid w:val="00FD4BD0"/>
    <w:rsid w:val="00FD5F48"/>
    <w:rsid w:val="00FD7B2F"/>
    <w:rsid w:val="00FE0358"/>
    <w:rsid w:val="00FE0A2D"/>
    <w:rsid w:val="00FE33BD"/>
    <w:rsid w:val="00FE425D"/>
    <w:rsid w:val="00FE515C"/>
    <w:rsid w:val="00FE61AF"/>
    <w:rsid w:val="00FE73E1"/>
    <w:rsid w:val="00FF0DEF"/>
    <w:rsid w:val="00FF574D"/>
    <w:rsid w:val="00FF636D"/>
    <w:rsid w:val="00FF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4BF04"/>
  <w15:docId w15:val="{F9BD79E1-B7ED-4820-B17A-10513728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27"/>
  </w:style>
  <w:style w:type="paragraph" w:styleId="Heading1">
    <w:name w:val="heading 1"/>
    <w:basedOn w:val="ListParagraph"/>
    <w:next w:val="Normal"/>
    <w:link w:val="Heading1Char"/>
    <w:uiPriority w:val="9"/>
    <w:qFormat/>
    <w:rsid w:val="00DD45B6"/>
    <w:pPr>
      <w:numPr>
        <w:numId w:val="21"/>
      </w:numPr>
      <w:tabs>
        <w:tab w:val="left" w:pos="-720"/>
      </w:tabs>
      <w:suppressAutoHyphens/>
      <w:spacing w:after="0" w:line="360" w:lineRule="auto"/>
      <w:ind w:left="720"/>
      <w:jc w:val="center"/>
      <w:outlineLvl w:val="0"/>
    </w:pPr>
    <w:rPr>
      <w:rFonts w:eastAsia="Times New Roman"/>
      <w:b/>
      <w:sz w:val="26"/>
      <w:szCs w:val="26"/>
    </w:rPr>
  </w:style>
  <w:style w:type="paragraph" w:styleId="Heading2">
    <w:name w:val="heading 2"/>
    <w:basedOn w:val="ListParagraph"/>
    <w:next w:val="Normal"/>
    <w:link w:val="Heading2Char"/>
    <w:uiPriority w:val="9"/>
    <w:unhideWhenUsed/>
    <w:qFormat/>
    <w:rsid w:val="00DD45B6"/>
    <w:pPr>
      <w:numPr>
        <w:numId w:val="22"/>
      </w:numPr>
      <w:tabs>
        <w:tab w:val="center" w:pos="720"/>
      </w:tabs>
      <w:suppressAutoHyphens/>
      <w:spacing w:after="0" w:line="360" w:lineRule="auto"/>
      <w:ind w:hanging="72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Car,FOOTNOTE"/>
    <w:basedOn w:val="Normal"/>
    <w:link w:val="FootnoteTextChar"/>
    <w:uiPriority w:val="99"/>
    <w:unhideWhenUsed/>
    <w:qFormat/>
    <w:rsid w:val="00F44833"/>
    <w:pPr>
      <w:spacing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uiPriority w:val="99"/>
    <w:rsid w:val="00F44833"/>
    <w:rPr>
      <w:sz w:val="20"/>
      <w:szCs w:val="20"/>
    </w:rPr>
  </w:style>
  <w:style w:type="character" w:styleId="FootnoteReference">
    <w:name w:val="footnote reference"/>
    <w:aliases w:val="o,fr,footnote text,Style 13,Style 12,Style 28,(NECG) Footnote Reference,Style 11,Style 9,Style 16,Style 15,Style 17,Style 20,o1,fr1,o2,fr2,o3,fr3,Style 8,Style 7,Style 19,Style 6,Appel note de bas de p,Style 3"/>
    <w:uiPriority w:val="99"/>
    <w:rsid w:val="00F44833"/>
    <w:rPr>
      <w:vertAlign w:val="superscript"/>
    </w:rPr>
  </w:style>
  <w:style w:type="paragraph" w:styleId="Header">
    <w:name w:val="header"/>
    <w:basedOn w:val="Normal"/>
    <w:link w:val="HeaderChar"/>
    <w:uiPriority w:val="99"/>
    <w:unhideWhenUsed/>
    <w:rsid w:val="009C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8B"/>
  </w:style>
  <w:style w:type="paragraph" w:styleId="Footer">
    <w:name w:val="footer"/>
    <w:basedOn w:val="Normal"/>
    <w:link w:val="FooterChar"/>
    <w:uiPriority w:val="99"/>
    <w:unhideWhenUsed/>
    <w:rsid w:val="009C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8B"/>
  </w:style>
  <w:style w:type="paragraph" w:styleId="BalloonText">
    <w:name w:val="Balloon Text"/>
    <w:basedOn w:val="Normal"/>
    <w:link w:val="BalloonTextChar"/>
    <w:uiPriority w:val="99"/>
    <w:semiHidden/>
    <w:unhideWhenUsed/>
    <w:rsid w:val="00F7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10"/>
    <w:rPr>
      <w:rFonts w:ascii="Tahoma" w:hAnsi="Tahoma" w:cs="Tahoma"/>
      <w:sz w:val="16"/>
      <w:szCs w:val="16"/>
    </w:rPr>
  </w:style>
  <w:style w:type="character" w:styleId="CommentReference">
    <w:name w:val="annotation reference"/>
    <w:basedOn w:val="DefaultParagraphFont"/>
    <w:uiPriority w:val="99"/>
    <w:semiHidden/>
    <w:unhideWhenUsed/>
    <w:rsid w:val="0002071A"/>
    <w:rPr>
      <w:sz w:val="16"/>
      <w:szCs w:val="16"/>
    </w:rPr>
  </w:style>
  <w:style w:type="paragraph" w:styleId="CommentText">
    <w:name w:val="annotation text"/>
    <w:basedOn w:val="Normal"/>
    <w:link w:val="CommentTextChar"/>
    <w:uiPriority w:val="99"/>
    <w:semiHidden/>
    <w:unhideWhenUsed/>
    <w:rsid w:val="0002071A"/>
    <w:pPr>
      <w:spacing w:line="240" w:lineRule="auto"/>
    </w:pPr>
    <w:rPr>
      <w:sz w:val="20"/>
      <w:szCs w:val="20"/>
    </w:rPr>
  </w:style>
  <w:style w:type="character" w:customStyle="1" w:styleId="CommentTextChar">
    <w:name w:val="Comment Text Char"/>
    <w:basedOn w:val="DefaultParagraphFont"/>
    <w:link w:val="CommentText"/>
    <w:uiPriority w:val="99"/>
    <w:semiHidden/>
    <w:rsid w:val="0002071A"/>
    <w:rPr>
      <w:sz w:val="20"/>
      <w:szCs w:val="20"/>
    </w:rPr>
  </w:style>
  <w:style w:type="paragraph" w:styleId="CommentSubject">
    <w:name w:val="annotation subject"/>
    <w:basedOn w:val="CommentText"/>
    <w:next w:val="CommentText"/>
    <w:link w:val="CommentSubjectChar"/>
    <w:uiPriority w:val="99"/>
    <w:semiHidden/>
    <w:unhideWhenUsed/>
    <w:rsid w:val="0002071A"/>
    <w:rPr>
      <w:b/>
      <w:bCs/>
    </w:rPr>
  </w:style>
  <w:style w:type="character" w:customStyle="1" w:styleId="CommentSubjectChar">
    <w:name w:val="Comment Subject Char"/>
    <w:basedOn w:val="CommentTextChar"/>
    <w:link w:val="CommentSubject"/>
    <w:uiPriority w:val="99"/>
    <w:semiHidden/>
    <w:rsid w:val="0002071A"/>
    <w:rPr>
      <w:b/>
      <w:bCs/>
      <w:sz w:val="20"/>
      <w:szCs w:val="20"/>
    </w:rPr>
  </w:style>
  <w:style w:type="character" w:styleId="Hyperlink">
    <w:name w:val="Hyperlink"/>
    <w:basedOn w:val="DefaultParagraphFont"/>
    <w:uiPriority w:val="99"/>
    <w:unhideWhenUsed/>
    <w:rsid w:val="00DD6D5B"/>
    <w:rPr>
      <w:color w:val="0563C1"/>
      <w:u w:val="single"/>
    </w:rPr>
  </w:style>
  <w:style w:type="table" w:customStyle="1" w:styleId="TableGrid1">
    <w:name w:val="Table Grid1"/>
    <w:basedOn w:val="TableNormal"/>
    <w:next w:val="TableGrid"/>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1D59A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1D59A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20E9D"/>
    <w:pPr>
      <w:spacing w:after="160" w:line="259" w:lineRule="auto"/>
      <w:ind w:left="720"/>
      <w:contextualSpacing/>
    </w:pPr>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91FBF"/>
    <w:pPr>
      <w:spacing w:after="120"/>
      <w:ind w:left="360"/>
    </w:pPr>
  </w:style>
  <w:style w:type="character" w:customStyle="1" w:styleId="BodyTextIndentChar">
    <w:name w:val="Body Text Indent Char"/>
    <w:basedOn w:val="DefaultParagraphFont"/>
    <w:link w:val="BodyTextIndent"/>
    <w:uiPriority w:val="99"/>
    <w:semiHidden/>
    <w:rsid w:val="00591FBF"/>
  </w:style>
  <w:style w:type="character" w:customStyle="1" w:styleId="Heading1Char">
    <w:name w:val="Heading 1 Char"/>
    <w:basedOn w:val="DefaultParagraphFont"/>
    <w:link w:val="Heading1"/>
    <w:uiPriority w:val="9"/>
    <w:rsid w:val="00DD45B6"/>
    <w:rPr>
      <w:rFonts w:ascii="Times New Roman" w:eastAsia="Times New Roman" w:hAnsi="Times New Roman" w:cs="Times New Roman"/>
      <w:b/>
      <w:sz w:val="26"/>
      <w:szCs w:val="26"/>
    </w:rPr>
  </w:style>
  <w:style w:type="character" w:customStyle="1" w:styleId="Heading2Char">
    <w:name w:val="Heading 2 Char"/>
    <w:basedOn w:val="DefaultParagraphFont"/>
    <w:link w:val="Heading2"/>
    <w:uiPriority w:val="9"/>
    <w:rsid w:val="00DD45B6"/>
    <w:rPr>
      <w:rFonts w:ascii="Times New Roman" w:eastAsia="Times New Roman" w:hAnsi="Times New Roman" w:cs="Times New Roman"/>
      <w:b/>
      <w:bCs/>
      <w:sz w:val="26"/>
      <w:szCs w:val="26"/>
    </w:rPr>
  </w:style>
  <w:style w:type="character" w:styleId="UnresolvedMention">
    <w:name w:val="Unresolved Mention"/>
    <w:basedOn w:val="DefaultParagraphFont"/>
    <w:uiPriority w:val="99"/>
    <w:semiHidden/>
    <w:unhideWhenUsed/>
    <w:rsid w:val="00A339CF"/>
    <w:rPr>
      <w:color w:val="605E5C"/>
      <w:shd w:val="clear" w:color="auto" w:fill="E1DFDD"/>
    </w:rPr>
  </w:style>
  <w:style w:type="paragraph" w:styleId="Revision">
    <w:name w:val="Revision"/>
    <w:hidden/>
    <w:uiPriority w:val="99"/>
    <w:semiHidden/>
    <w:rsid w:val="003458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next.westlaw.com/Link/Document/FullText?findType=L&amp;pubNum=1000636&amp;cite=52PAADCS69.1201&amp;originatingDoc=Ic3124394af4811e8ab20b3103407982a&amp;refType=LQ&amp;originationContext=document&amp;transitionType=DocumentItem&amp;contextData=(sc.Sear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5" ma:contentTypeDescription="Create a new document." ma:contentTypeScope="" ma:versionID="e889a9776ed4eb619ba3fff6094f631c">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32fafd800a833a663de9f44d9b550dfa"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7760A-ABEB-4024-96E6-357C0B8D9D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E0765E-6446-48E5-841B-4A92E0F5E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FFB2D-EE56-4C92-B2C0-A18E10555E8F}">
  <ds:schemaRefs>
    <ds:schemaRef ds:uri="http://schemas.openxmlformats.org/officeDocument/2006/bibliography"/>
  </ds:schemaRefs>
</ds:datastoreItem>
</file>

<file path=customXml/itemProps4.xml><?xml version="1.0" encoding="utf-8"?>
<ds:datastoreItem xmlns:ds="http://schemas.openxmlformats.org/officeDocument/2006/customXml" ds:itemID="{AE2E346B-BE32-461C-8E11-59160FE933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7529</Words>
  <Characters>42916</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Capper, Thomas</dc:creator>
  <cp:lastModifiedBy>Wagner, Nathan R</cp:lastModifiedBy>
  <cp:revision>2</cp:revision>
  <cp:lastPrinted>2018-03-01T14:44:00Z</cp:lastPrinted>
  <dcterms:created xsi:type="dcterms:W3CDTF">2022-02-24T15:40:00Z</dcterms:created>
  <dcterms:modified xsi:type="dcterms:W3CDTF">2022-02-24T15:40:00Z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