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EAE1AD" w14:textId="77777777" w:rsidR="00EE10AD" w:rsidRPr="00E460CF" w:rsidRDefault="00EE10AD" w:rsidP="00E460CF">
      <w:pPr>
        <w:tabs>
          <w:tab w:val="center" w:pos="4680"/>
        </w:tabs>
        <w:contextualSpacing/>
        <w:jc w:val="center"/>
        <w:rPr>
          <w:b/>
          <w:color w:val="000000" w:themeColor="text1"/>
          <w:sz w:val="26"/>
          <w:szCs w:val="26"/>
        </w:rPr>
      </w:pPr>
      <w:r w:rsidRPr="00E460CF">
        <w:rPr>
          <w:b/>
          <w:color w:val="000000" w:themeColor="text1"/>
          <w:sz w:val="26"/>
          <w:szCs w:val="26"/>
        </w:rPr>
        <w:t>PENNSYLVANIA</w:t>
      </w:r>
    </w:p>
    <w:p w14:paraId="0CE097D9" w14:textId="77777777" w:rsidR="00EE10AD" w:rsidRPr="00E460CF" w:rsidRDefault="00EE10AD" w:rsidP="00E460CF">
      <w:pPr>
        <w:tabs>
          <w:tab w:val="center" w:pos="4680"/>
        </w:tabs>
        <w:contextualSpacing/>
        <w:jc w:val="center"/>
        <w:rPr>
          <w:color w:val="000000" w:themeColor="text1"/>
          <w:sz w:val="26"/>
          <w:szCs w:val="26"/>
        </w:rPr>
      </w:pPr>
      <w:r w:rsidRPr="00E460CF">
        <w:rPr>
          <w:b/>
          <w:color w:val="000000" w:themeColor="text1"/>
          <w:sz w:val="26"/>
          <w:szCs w:val="26"/>
        </w:rPr>
        <w:t>PUBLIC UTILITY COMMISSION</w:t>
      </w:r>
    </w:p>
    <w:p w14:paraId="1F2E05D3" w14:textId="0C185A8E" w:rsidR="00EE10AD" w:rsidRPr="00E460CF" w:rsidRDefault="00EE10AD" w:rsidP="00E460CF">
      <w:pPr>
        <w:tabs>
          <w:tab w:val="center" w:pos="4680"/>
        </w:tabs>
        <w:contextualSpacing/>
        <w:jc w:val="center"/>
        <w:rPr>
          <w:color w:val="000000" w:themeColor="text1"/>
          <w:sz w:val="26"/>
          <w:szCs w:val="26"/>
        </w:rPr>
      </w:pPr>
      <w:r w:rsidRPr="00E460CF">
        <w:rPr>
          <w:b/>
          <w:color w:val="000000" w:themeColor="text1"/>
          <w:sz w:val="26"/>
          <w:szCs w:val="26"/>
        </w:rPr>
        <w:t>Harrisburg, PA</w:t>
      </w:r>
      <w:r w:rsidR="009A57FF">
        <w:rPr>
          <w:b/>
          <w:color w:val="000000" w:themeColor="text1"/>
          <w:sz w:val="26"/>
          <w:szCs w:val="26"/>
        </w:rPr>
        <w:t xml:space="preserve"> </w:t>
      </w:r>
      <w:r w:rsidR="00451977">
        <w:rPr>
          <w:b/>
          <w:color w:val="000000" w:themeColor="text1"/>
          <w:sz w:val="26"/>
          <w:szCs w:val="26"/>
        </w:rPr>
        <w:t xml:space="preserve"> </w:t>
      </w:r>
      <w:r w:rsidRPr="00E460CF">
        <w:rPr>
          <w:b/>
          <w:color w:val="000000" w:themeColor="text1"/>
          <w:sz w:val="26"/>
          <w:szCs w:val="26"/>
        </w:rPr>
        <w:t>17120</w:t>
      </w:r>
    </w:p>
    <w:p w14:paraId="43A226A6" w14:textId="77777777" w:rsidR="00EE10AD" w:rsidRPr="00E460CF" w:rsidRDefault="00EE10AD" w:rsidP="00E460CF">
      <w:pPr>
        <w:contextualSpacing/>
        <w:rPr>
          <w:color w:val="000000" w:themeColor="text1"/>
          <w:sz w:val="26"/>
          <w:szCs w:val="26"/>
        </w:rPr>
      </w:pPr>
    </w:p>
    <w:p w14:paraId="3EB19495" w14:textId="77777777" w:rsidR="00EE10AD" w:rsidRPr="00E460CF" w:rsidRDefault="00EE10AD" w:rsidP="00E460CF">
      <w:pPr>
        <w:contextualSpacing/>
        <w:rPr>
          <w:color w:val="000000" w:themeColor="text1"/>
          <w:sz w:val="26"/>
          <w:szCs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2"/>
        <w:gridCol w:w="4538"/>
      </w:tblGrid>
      <w:tr w:rsidR="00EE10AD" w:rsidRPr="00E460CF" w14:paraId="57FCCDFB" w14:textId="77777777" w:rsidTr="002077F3">
        <w:tc>
          <w:tcPr>
            <w:tcW w:w="4878" w:type="dxa"/>
          </w:tcPr>
          <w:p w14:paraId="3D9DEFA5" w14:textId="77777777" w:rsidR="00EE10AD" w:rsidRPr="00E460CF" w:rsidRDefault="00EE10AD" w:rsidP="00E460CF">
            <w:pPr>
              <w:contextualSpacing/>
              <w:rPr>
                <w:rFonts w:ascii="Times New Roman" w:hAnsi="Times New Roman" w:cs="Times New Roman"/>
                <w:color w:val="000000" w:themeColor="text1"/>
                <w:sz w:val="26"/>
                <w:szCs w:val="26"/>
              </w:rPr>
            </w:pPr>
          </w:p>
        </w:tc>
        <w:tc>
          <w:tcPr>
            <w:tcW w:w="4608" w:type="dxa"/>
            <w:hideMark/>
          </w:tcPr>
          <w:p w14:paraId="6EFF6CC6" w14:textId="30F3E0B0" w:rsidR="00EE10AD" w:rsidRPr="00E460CF" w:rsidRDefault="00EE10AD" w:rsidP="00E460CF">
            <w:pPr>
              <w:contextualSpacing/>
              <w:jc w:val="right"/>
              <w:rPr>
                <w:rFonts w:ascii="Times New Roman" w:hAnsi="Times New Roman" w:cs="Times New Roman"/>
                <w:color w:val="000000" w:themeColor="text1"/>
                <w:sz w:val="26"/>
                <w:szCs w:val="26"/>
              </w:rPr>
            </w:pPr>
            <w:r w:rsidRPr="00282BF5">
              <w:rPr>
                <w:rFonts w:ascii="Times New Roman" w:hAnsi="Times New Roman" w:cs="Times New Roman"/>
                <w:color w:val="000000" w:themeColor="text1"/>
                <w:sz w:val="26"/>
                <w:szCs w:val="26"/>
              </w:rPr>
              <w:t xml:space="preserve">Public Meeting held </w:t>
            </w:r>
            <w:r w:rsidR="00DC3F19" w:rsidRPr="00282BF5">
              <w:rPr>
                <w:rFonts w:ascii="Times New Roman" w:hAnsi="Times New Roman" w:cs="Times New Roman"/>
                <w:color w:val="000000" w:themeColor="text1"/>
                <w:sz w:val="26"/>
                <w:szCs w:val="26"/>
              </w:rPr>
              <w:t xml:space="preserve">February </w:t>
            </w:r>
            <w:r w:rsidR="00787830">
              <w:rPr>
                <w:rFonts w:ascii="Times New Roman" w:hAnsi="Times New Roman" w:cs="Times New Roman"/>
                <w:color w:val="000000" w:themeColor="text1"/>
                <w:sz w:val="26"/>
                <w:szCs w:val="26"/>
              </w:rPr>
              <w:t>24</w:t>
            </w:r>
            <w:r w:rsidRPr="00282BF5">
              <w:rPr>
                <w:rFonts w:ascii="Times New Roman" w:hAnsi="Times New Roman" w:cs="Times New Roman"/>
                <w:color w:val="000000" w:themeColor="text1"/>
                <w:sz w:val="26"/>
                <w:szCs w:val="26"/>
              </w:rPr>
              <w:t>, 20</w:t>
            </w:r>
            <w:r w:rsidR="00DC3F19" w:rsidRPr="00282BF5">
              <w:rPr>
                <w:rFonts w:ascii="Times New Roman" w:hAnsi="Times New Roman" w:cs="Times New Roman"/>
                <w:color w:val="000000" w:themeColor="text1"/>
                <w:sz w:val="26"/>
                <w:szCs w:val="26"/>
              </w:rPr>
              <w:t>22</w:t>
            </w:r>
          </w:p>
        </w:tc>
      </w:tr>
      <w:tr w:rsidR="00EE10AD" w:rsidRPr="001427AC" w14:paraId="314C2319" w14:textId="77777777" w:rsidTr="002077F3">
        <w:tc>
          <w:tcPr>
            <w:tcW w:w="4878" w:type="dxa"/>
          </w:tcPr>
          <w:p w14:paraId="1876FF50" w14:textId="77777777" w:rsidR="00EE10AD" w:rsidRPr="001427AC" w:rsidRDefault="00EE10AD" w:rsidP="00E460CF">
            <w:pPr>
              <w:contextualSpacing/>
              <w:rPr>
                <w:rFonts w:ascii="Times New Roman" w:hAnsi="Times New Roman" w:cs="Times New Roman"/>
                <w:color w:val="000000" w:themeColor="text1"/>
                <w:sz w:val="26"/>
                <w:szCs w:val="26"/>
              </w:rPr>
            </w:pPr>
          </w:p>
          <w:p w14:paraId="282D4D79" w14:textId="77777777" w:rsidR="00EE10AD" w:rsidRPr="001427AC" w:rsidRDefault="00EE10AD" w:rsidP="00E460CF">
            <w:pPr>
              <w:contextualSpacing/>
              <w:rPr>
                <w:rFonts w:ascii="Times New Roman" w:hAnsi="Times New Roman" w:cs="Times New Roman"/>
                <w:color w:val="000000" w:themeColor="text1"/>
                <w:sz w:val="26"/>
                <w:szCs w:val="26"/>
              </w:rPr>
            </w:pPr>
          </w:p>
          <w:p w14:paraId="6D01D147" w14:textId="77777777" w:rsidR="00EE10AD" w:rsidRPr="001427AC" w:rsidRDefault="00EE10AD" w:rsidP="00E460CF">
            <w:pPr>
              <w:contextualSpacing/>
              <w:rPr>
                <w:rFonts w:ascii="Times New Roman" w:hAnsi="Times New Roman" w:cs="Times New Roman"/>
                <w:color w:val="000000" w:themeColor="text1"/>
                <w:sz w:val="26"/>
                <w:szCs w:val="26"/>
              </w:rPr>
            </w:pPr>
            <w:r w:rsidRPr="001427AC">
              <w:rPr>
                <w:rFonts w:ascii="Times New Roman" w:hAnsi="Times New Roman" w:cs="Times New Roman"/>
                <w:color w:val="000000" w:themeColor="text1"/>
                <w:sz w:val="26"/>
                <w:szCs w:val="26"/>
              </w:rPr>
              <w:t>Commissioners Present:</w:t>
            </w:r>
          </w:p>
          <w:p w14:paraId="79C68514" w14:textId="77777777" w:rsidR="00EE10AD" w:rsidRPr="001427AC" w:rsidRDefault="00EE10AD" w:rsidP="00E460CF">
            <w:pPr>
              <w:contextualSpacing/>
              <w:rPr>
                <w:rFonts w:ascii="Times New Roman" w:hAnsi="Times New Roman" w:cs="Times New Roman"/>
                <w:color w:val="000000" w:themeColor="text1"/>
                <w:sz w:val="26"/>
                <w:szCs w:val="26"/>
              </w:rPr>
            </w:pPr>
          </w:p>
          <w:p w14:paraId="4FEC4CDF" w14:textId="77777777" w:rsidR="00EE10AD" w:rsidRPr="001427AC" w:rsidRDefault="00EE10AD" w:rsidP="00E460CF">
            <w:pPr>
              <w:tabs>
                <w:tab w:val="left" w:pos="-720"/>
              </w:tabs>
              <w:ind w:left="720"/>
              <w:contextualSpacing/>
              <w:rPr>
                <w:rFonts w:ascii="Times New Roman" w:hAnsi="Times New Roman" w:cs="Times New Roman"/>
                <w:color w:val="000000" w:themeColor="text1"/>
                <w:sz w:val="26"/>
                <w:szCs w:val="26"/>
              </w:rPr>
            </w:pPr>
            <w:r w:rsidRPr="001427AC">
              <w:rPr>
                <w:rFonts w:ascii="Times New Roman" w:hAnsi="Times New Roman" w:cs="Times New Roman"/>
                <w:color w:val="000000" w:themeColor="text1"/>
                <w:sz w:val="26"/>
                <w:szCs w:val="26"/>
              </w:rPr>
              <w:t>Gladys Brown Dutrieuille, Chairman</w:t>
            </w:r>
          </w:p>
          <w:p w14:paraId="421F5836" w14:textId="43F48779" w:rsidR="00EE10AD" w:rsidRPr="001427AC" w:rsidRDefault="00EE10AD" w:rsidP="00E460CF">
            <w:pPr>
              <w:tabs>
                <w:tab w:val="left" w:pos="-720"/>
              </w:tabs>
              <w:ind w:left="720"/>
              <w:contextualSpacing/>
              <w:rPr>
                <w:rFonts w:ascii="Times New Roman" w:hAnsi="Times New Roman" w:cs="Times New Roman"/>
                <w:color w:val="000000" w:themeColor="text1"/>
                <w:sz w:val="26"/>
                <w:szCs w:val="26"/>
              </w:rPr>
            </w:pPr>
            <w:r w:rsidRPr="001427AC">
              <w:rPr>
                <w:rFonts w:ascii="Times New Roman" w:hAnsi="Times New Roman" w:cs="Times New Roman"/>
                <w:color w:val="000000" w:themeColor="text1"/>
                <w:sz w:val="26"/>
                <w:szCs w:val="26"/>
              </w:rPr>
              <w:t>John F. Coleman, Jr.</w:t>
            </w:r>
            <w:r w:rsidR="009A57FF">
              <w:rPr>
                <w:rFonts w:ascii="Times New Roman" w:hAnsi="Times New Roman" w:cs="Times New Roman"/>
                <w:color w:val="000000" w:themeColor="text1"/>
                <w:sz w:val="26"/>
                <w:szCs w:val="26"/>
              </w:rPr>
              <w:t>, Vice Chairman</w:t>
            </w:r>
            <w:r w:rsidRPr="001427AC">
              <w:rPr>
                <w:rFonts w:ascii="Times New Roman" w:hAnsi="Times New Roman" w:cs="Times New Roman"/>
                <w:color w:val="000000" w:themeColor="text1"/>
                <w:sz w:val="26"/>
                <w:szCs w:val="26"/>
              </w:rPr>
              <w:t xml:space="preserve"> </w:t>
            </w:r>
          </w:p>
          <w:p w14:paraId="4787EE1A" w14:textId="77777777" w:rsidR="00EE10AD" w:rsidRPr="001427AC" w:rsidRDefault="00EE10AD" w:rsidP="00E460CF">
            <w:pPr>
              <w:tabs>
                <w:tab w:val="left" w:pos="-720"/>
              </w:tabs>
              <w:ind w:left="720"/>
              <w:contextualSpacing/>
              <w:rPr>
                <w:rFonts w:ascii="Times New Roman" w:hAnsi="Times New Roman" w:cs="Times New Roman"/>
                <w:color w:val="000000" w:themeColor="text1"/>
                <w:sz w:val="26"/>
                <w:szCs w:val="26"/>
              </w:rPr>
            </w:pPr>
            <w:r w:rsidRPr="001427AC">
              <w:rPr>
                <w:rFonts w:ascii="Times New Roman" w:hAnsi="Times New Roman" w:cs="Times New Roman"/>
                <w:color w:val="000000" w:themeColor="text1"/>
                <w:sz w:val="26"/>
                <w:szCs w:val="26"/>
              </w:rPr>
              <w:t>Ralph V. Yanora</w:t>
            </w:r>
          </w:p>
          <w:p w14:paraId="44C63728" w14:textId="77777777" w:rsidR="00EE10AD" w:rsidRPr="001427AC" w:rsidRDefault="00EE10AD" w:rsidP="00E460CF">
            <w:pPr>
              <w:contextualSpacing/>
              <w:rPr>
                <w:rFonts w:ascii="Times New Roman" w:hAnsi="Times New Roman" w:cs="Times New Roman"/>
                <w:color w:val="000000" w:themeColor="text1"/>
                <w:sz w:val="26"/>
                <w:szCs w:val="26"/>
              </w:rPr>
            </w:pPr>
          </w:p>
        </w:tc>
        <w:tc>
          <w:tcPr>
            <w:tcW w:w="4608" w:type="dxa"/>
          </w:tcPr>
          <w:p w14:paraId="033EDFF6" w14:textId="77777777" w:rsidR="00EE10AD" w:rsidRPr="001427AC" w:rsidRDefault="00EE10AD" w:rsidP="00E460CF">
            <w:pPr>
              <w:contextualSpacing/>
              <w:jc w:val="right"/>
              <w:rPr>
                <w:rFonts w:ascii="Times New Roman" w:hAnsi="Times New Roman" w:cs="Times New Roman"/>
                <w:color w:val="000000" w:themeColor="text1"/>
                <w:sz w:val="26"/>
                <w:szCs w:val="26"/>
              </w:rPr>
            </w:pPr>
          </w:p>
          <w:p w14:paraId="1E229F76" w14:textId="77777777" w:rsidR="00EE10AD" w:rsidRPr="001427AC" w:rsidRDefault="00EE10AD" w:rsidP="00E460CF">
            <w:pPr>
              <w:contextualSpacing/>
              <w:jc w:val="right"/>
              <w:rPr>
                <w:rFonts w:ascii="Times New Roman" w:hAnsi="Times New Roman" w:cs="Times New Roman"/>
                <w:color w:val="000000" w:themeColor="text1"/>
                <w:sz w:val="26"/>
                <w:szCs w:val="26"/>
              </w:rPr>
            </w:pPr>
          </w:p>
        </w:tc>
      </w:tr>
      <w:tr w:rsidR="00EE10AD" w:rsidRPr="00E460CF" w14:paraId="7A0DE18D" w14:textId="77777777" w:rsidTr="002077F3">
        <w:tc>
          <w:tcPr>
            <w:tcW w:w="4878" w:type="dxa"/>
          </w:tcPr>
          <w:p w14:paraId="50EB4D86" w14:textId="77777777" w:rsidR="00EE10AD" w:rsidRPr="00E460CF" w:rsidRDefault="00EE10AD" w:rsidP="00E460CF">
            <w:pPr>
              <w:contextualSpacing/>
              <w:rPr>
                <w:rFonts w:ascii="Times New Roman" w:hAnsi="Times New Roman" w:cs="Times New Roman"/>
                <w:color w:val="000000" w:themeColor="text1"/>
                <w:sz w:val="26"/>
                <w:szCs w:val="26"/>
              </w:rPr>
            </w:pPr>
          </w:p>
          <w:p w14:paraId="6E09E68B" w14:textId="77777777" w:rsidR="00EE10AD" w:rsidRPr="00E460CF" w:rsidRDefault="00EE10AD" w:rsidP="00E460CF">
            <w:pPr>
              <w:contextualSpacing/>
              <w:rPr>
                <w:rFonts w:ascii="Times New Roman" w:hAnsi="Times New Roman" w:cs="Times New Roman"/>
                <w:color w:val="000000" w:themeColor="text1"/>
                <w:sz w:val="26"/>
                <w:szCs w:val="26"/>
              </w:rPr>
            </w:pPr>
            <w:r w:rsidRPr="00E460CF">
              <w:rPr>
                <w:rFonts w:ascii="Times New Roman" w:hAnsi="Times New Roman" w:cs="Times New Roman"/>
                <w:color w:val="000000" w:themeColor="text1"/>
                <w:sz w:val="26"/>
                <w:szCs w:val="26"/>
              </w:rPr>
              <w:t>Pennsylvania Public Utility Commission,</w:t>
            </w:r>
          </w:p>
          <w:p w14:paraId="0CDE4CAC" w14:textId="77777777" w:rsidR="00EE10AD" w:rsidRPr="00E460CF" w:rsidRDefault="00EE10AD" w:rsidP="00E460CF">
            <w:pPr>
              <w:contextualSpacing/>
              <w:rPr>
                <w:rFonts w:ascii="Times New Roman" w:hAnsi="Times New Roman" w:cs="Times New Roman"/>
                <w:color w:val="000000" w:themeColor="text1"/>
                <w:sz w:val="26"/>
                <w:szCs w:val="26"/>
              </w:rPr>
            </w:pPr>
            <w:r w:rsidRPr="00E460CF">
              <w:rPr>
                <w:rFonts w:ascii="Times New Roman" w:hAnsi="Times New Roman" w:cs="Times New Roman"/>
                <w:color w:val="000000" w:themeColor="text1"/>
                <w:sz w:val="26"/>
                <w:szCs w:val="26"/>
              </w:rPr>
              <w:t>Bureau of Investigation and Enforcement</w:t>
            </w:r>
          </w:p>
          <w:p w14:paraId="473024CC" w14:textId="77777777" w:rsidR="00EE10AD" w:rsidRPr="00E460CF" w:rsidRDefault="00EE10AD" w:rsidP="00E460CF">
            <w:pPr>
              <w:contextualSpacing/>
              <w:rPr>
                <w:rFonts w:ascii="Times New Roman" w:hAnsi="Times New Roman" w:cs="Times New Roman"/>
                <w:color w:val="000000" w:themeColor="text1"/>
                <w:sz w:val="26"/>
                <w:szCs w:val="26"/>
              </w:rPr>
            </w:pPr>
          </w:p>
        </w:tc>
        <w:tc>
          <w:tcPr>
            <w:tcW w:w="4608" w:type="dxa"/>
            <w:hideMark/>
          </w:tcPr>
          <w:p w14:paraId="1D00766F" w14:textId="77777777" w:rsidR="00EE10AD" w:rsidRPr="00E460CF" w:rsidRDefault="00EE10AD" w:rsidP="00E460CF">
            <w:pPr>
              <w:contextualSpacing/>
              <w:jc w:val="right"/>
              <w:rPr>
                <w:rFonts w:ascii="Times New Roman" w:hAnsi="Times New Roman" w:cs="Times New Roman"/>
                <w:color w:val="000000" w:themeColor="text1"/>
                <w:sz w:val="26"/>
                <w:szCs w:val="26"/>
              </w:rPr>
            </w:pPr>
          </w:p>
          <w:p w14:paraId="35CC4F60" w14:textId="46D90981" w:rsidR="00EE10AD" w:rsidRPr="00E460CF" w:rsidRDefault="00EE10AD" w:rsidP="00E460CF">
            <w:pPr>
              <w:contextualSpacing/>
              <w:jc w:val="right"/>
              <w:rPr>
                <w:rFonts w:ascii="Times New Roman" w:hAnsi="Times New Roman" w:cs="Times New Roman"/>
                <w:color w:val="000000" w:themeColor="text1"/>
                <w:sz w:val="26"/>
                <w:szCs w:val="26"/>
              </w:rPr>
            </w:pPr>
            <w:r w:rsidRPr="00E460CF">
              <w:rPr>
                <w:rFonts w:ascii="Times New Roman" w:hAnsi="Times New Roman" w:cs="Times New Roman"/>
                <w:color w:val="000000" w:themeColor="text1"/>
                <w:sz w:val="26"/>
                <w:szCs w:val="26"/>
              </w:rPr>
              <w:t>M-202</w:t>
            </w:r>
            <w:r w:rsidR="00BE7AB5">
              <w:rPr>
                <w:rFonts w:ascii="Times New Roman" w:hAnsi="Times New Roman" w:cs="Times New Roman"/>
                <w:color w:val="000000" w:themeColor="text1"/>
                <w:sz w:val="26"/>
                <w:szCs w:val="26"/>
              </w:rPr>
              <w:t>1</w:t>
            </w:r>
            <w:r w:rsidRPr="00E460CF">
              <w:rPr>
                <w:rFonts w:ascii="Times New Roman" w:hAnsi="Times New Roman" w:cs="Times New Roman"/>
                <w:color w:val="000000" w:themeColor="text1"/>
                <w:sz w:val="26"/>
                <w:szCs w:val="26"/>
              </w:rPr>
              <w:t>-30</w:t>
            </w:r>
            <w:r w:rsidR="00554D73">
              <w:rPr>
                <w:rFonts w:ascii="Times New Roman" w:hAnsi="Times New Roman" w:cs="Times New Roman"/>
                <w:color w:val="000000" w:themeColor="text1"/>
                <w:sz w:val="26"/>
                <w:szCs w:val="26"/>
              </w:rPr>
              <w:t>2</w:t>
            </w:r>
            <w:r w:rsidR="007D46B0">
              <w:rPr>
                <w:rFonts w:ascii="Times New Roman" w:hAnsi="Times New Roman" w:cs="Times New Roman"/>
                <w:color w:val="000000" w:themeColor="text1"/>
                <w:sz w:val="26"/>
                <w:szCs w:val="26"/>
              </w:rPr>
              <w:t>2658</w:t>
            </w:r>
          </w:p>
        </w:tc>
      </w:tr>
      <w:tr w:rsidR="00EE10AD" w:rsidRPr="00E460CF" w14:paraId="650F18CA" w14:textId="77777777" w:rsidTr="002077F3">
        <w:tc>
          <w:tcPr>
            <w:tcW w:w="4878" w:type="dxa"/>
          </w:tcPr>
          <w:p w14:paraId="0192C999" w14:textId="77777777" w:rsidR="00EE10AD" w:rsidRPr="00E460CF" w:rsidRDefault="00EE10AD" w:rsidP="00E460CF">
            <w:pPr>
              <w:ind w:firstLine="720"/>
              <w:contextualSpacing/>
              <w:rPr>
                <w:rFonts w:ascii="Times New Roman" w:hAnsi="Times New Roman" w:cs="Times New Roman"/>
                <w:color w:val="000000" w:themeColor="text1"/>
                <w:sz w:val="26"/>
                <w:szCs w:val="26"/>
              </w:rPr>
            </w:pPr>
            <w:r w:rsidRPr="00E460CF">
              <w:rPr>
                <w:rFonts w:ascii="Times New Roman" w:hAnsi="Times New Roman" w:cs="Times New Roman"/>
                <w:color w:val="000000" w:themeColor="text1"/>
                <w:sz w:val="26"/>
                <w:szCs w:val="26"/>
              </w:rPr>
              <w:t>v.</w:t>
            </w:r>
          </w:p>
          <w:p w14:paraId="774CB14B" w14:textId="77777777" w:rsidR="00EE10AD" w:rsidRPr="00E460CF" w:rsidRDefault="00EE10AD" w:rsidP="00E460CF">
            <w:pPr>
              <w:ind w:firstLine="1440"/>
              <w:contextualSpacing/>
              <w:rPr>
                <w:rFonts w:ascii="Times New Roman" w:hAnsi="Times New Roman" w:cs="Times New Roman"/>
                <w:color w:val="000000" w:themeColor="text1"/>
                <w:sz w:val="26"/>
                <w:szCs w:val="26"/>
              </w:rPr>
            </w:pPr>
          </w:p>
        </w:tc>
        <w:tc>
          <w:tcPr>
            <w:tcW w:w="4608" w:type="dxa"/>
          </w:tcPr>
          <w:p w14:paraId="543A8BB9" w14:textId="77777777" w:rsidR="00EE10AD" w:rsidRPr="00E460CF" w:rsidRDefault="00EE10AD" w:rsidP="00E460CF">
            <w:pPr>
              <w:contextualSpacing/>
              <w:rPr>
                <w:rFonts w:ascii="Times New Roman" w:hAnsi="Times New Roman" w:cs="Times New Roman"/>
                <w:color w:val="000000" w:themeColor="text1"/>
                <w:sz w:val="26"/>
                <w:szCs w:val="26"/>
              </w:rPr>
            </w:pPr>
          </w:p>
        </w:tc>
      </w:tr>
      <w:tr w:rsidR="00EE10AD" w:rsidRPr="00E460CF" w14:paraId="6DF095B4" w14:textId="77777777" w:rsidTr="002077F3">
        <w:tc>
          <w:tcPr>
            <w:tcW w:w="4878" w:type="dxa"/>
          </w:tcPr>
          <w:p w14:paraId="0F36DC65" w14:textId="50F5548E" w:rsidR="00EE10AD" w:rsidRPr="00E460CF" w:rsidRDefault="007D46B0" w:rsidP="00E460CF">
            <w:pPr>
              <w:contextualSpacing/>
              <w:rPr>
                <w:rFonts w:ascii="Times New Roman" w:hAnsi="Times New Roman" w:cs="Times New Roman"/>
                <w:color w:val="000000" w:themeColor="text1"/>
                <w:sz w:val="26"/>
                <w:szCs w:val="26"/>
              </w:rPr>
            </w:pPr>
            <w:bookmarkStart w:id="0" w:name="_Hlk22554510"/>
            <w:r>
              <w:rPr>
                <w:rFonts w:ascii="Times New Roman" w:hAnsi="Times New Roman" w:cs="Times New Roman"/>
                <w:color w:val="000000" w:themeColor="text1"/>
                <w:sz w:val="26"/>
                <w:szCs w:val="26"/>
              </w:rPr>
              <w:t>Discount Power,</w:t>
            </w:r>
            <w:r w:rsidR="0015761A">
              <w:rPr>
                <w:rFonts w:ascii="Times New Roman" w:hAnsi="Times New Roman" w:cs="Times New Roman"/>
                <w:color w:val="000000" w:themeColor="text1"/>
                <w:sz w:val="26"/>
                <w:szCs w:val="26"/>
              </w:rPr>
              <w:t xml:space="preserve"> Inc.</w:t>
            </w:r>
          </w:p>
          <w:bookmarkEnd w:id="0"/>
          <w:p w14:paraId="46B1CE75" w14:textId="77777777" w:rsidR="00EE10AD" w:rsidRPr="00E460CF" w:rsidRDefault="00EE10AD" w:rsidP="00E460CF">
            <w:pPr>
              <w:contextualSpacing/>
              <w:rPr>
                <w:rFonts w:ascii="Times New Roman" w:hAnsi="Times New Roman" w:cs="Times New Roman"/>
                <w:color w:val="000000" w:themeColor="text1"/>
                <w:sz w:val="26"/>
                <w:szCs w:val="26"/>
              </w:rPr>
            </w:pPr>
          </w:p>
        </w:tc>
        <w:tc>
          <w:tcPr>
            <w:tcW w:w="4608" w:type="dxa"/>
          </w:tcPr>
          <w:p w14:paraId="2E4A2816" w14:textId="77777777" w:rsidR="00EE10AD" w:rsidRPr="00E460CF" w:rsidRDefault="00EE10AD" w:rsidP="00E460CF">
            <w:pPr>
              <w:contextualSpacing/>
              <w:rPr>
                <w:rFonts w:ascii="Times New Roman" w:hAnsi="Times New Roman" w:cs="Times New Roman"/>
                <w:color w:val="000000" w:themeColor="text1"/>
                <w:sz w:val="26"/>
                <w:szCs w:val="26"/>
              </w:rPr>
            </w:pPr>
          </w:p>
        </w:tc>
      </w:tr>
    </w:tbl>
    <w:p w14:paraId="7E7D1951" w14:textId="77777777" w:rsidR="00EE10AD" w:rsidRPr="00E460CF" w:rsidRDefault="00EE10AD" w:rsidP="00E460CF">
      <w:pPr>
        <w:contextualSpacing/>
        <w:rPr>
          <w:color w:val="000000" w:themeColor="text1"/>
          <w:sz w:val="26"/>
          <w:szCs w:val="26"/>
        </w:rPr>
      </w:pPr>
    </w:p>
    <w:p w14:paraId="20412779" w14:textId="37464B84" w:rsidR="00EE10AD" w:rsidRPr="00E460CF" w:rsidRDefault="00EE10AD" w:rsidP="00E460CF">
      <w:pPr>
        <w:contextualSpacing/>
        <w:jc w:val="center"/>
        <w:rPr>
          <w:b/>
          <w:color w:val="000000" w:themeColor="text1"/>
          <w:sz w:val="26"/>
          <w:szCs w:val="26"/>
        </w:rPr>
      </w:pPr>
      <w:r w:rsidRPr="00E460CF">
        <w:rPr>
          <w:b/>
          <w:color w:val="000000" w:themeColor="text1"/>
          <w:sz w:val="26"/>
          <w:szCs w:val="26"/>
        </w:rPr>
        <w:t>OPINION AND ORDER</w:t>
      </w:r>
    </w:p>
    <w:p w14:paraId="7E9407EC" w14:textId="77777777" w:rsidR="00EE10AD" w:rsidRPr="00E460CF" w:rsidRDefault="00EE10AD" w:rsidP="00E460CF">
      <w:pPr>
        <w:contextualSpacing/>
        <w:jc w:val="center"/>
        <w:rPr>
          <w:b/>
          <w:color w:val="000000" w:themeColor="text1"/>
          <w:sz w:val="26"/>
          <w:szCs w:val="26"/>
        </w:rPr>
      </w:pPr>
    </w:p>
    <w:p w14:paraId="1000E711" w14:textId="77777777" w:rsidR="00EE10AD" w:rsidRPr="00E460CF" w:rsidRDefault="00EE10AD" w:rsidP="00E460CF">
      <w:pPr>
        <w:contextualSpacing/>
        <w:rPr>
          <w:color w:val="000000" w:themeColor="text1"/>
          <w:sz w:val="26"/>
          <w:szCs w:val="26"/>
        </w:rPr>
      </w:pPr>
    </w:p>
    <w:p w14:paraId="0DAD343F" w14:textId="77777777" w:rsidR="00EE10AD" w:rsidRPr="00E460CF" w:rsidRDefault="00EE10AD" w:rsidP="00E460CF">
      <w:pPr>
        <w:keepNext/>
        <w:spacing w:line="360" w:lineRule="auto"/>
        <w:contextualSpacing/>
        <w:rPr>
          <w:b/>
          <w:color w:val="000000" w:themeColor="text1"/>
          <w:sz w:val="26"/>
          <w:szCs w:val="26"/>
        </w:rPr>
      </w:pPr>
      <w:r w:rsidRPr="00E460CF">
        <w:rPr>
          <w:b/>
          <w:color w:val="000000" w:themeColor="text1"/>
          <w:sz w:val="26"/>
          <w:szCs w:val="26"/>
        </w:rPr>
        <w:t>BY THE COMMISSION:</w:t>
      </w:r>
    </w:p>
    <w:p w14:paraId="48BA09C9" w14:textId="77777777" w:rsidR="00EE10AD" w:rsidRPr="00E460CF" w:rsidRDefault="00EE10AD" w:rsidP="0025201A">
      <w:pPr>
        <w:contextualSpacing/>
        <w:rPr>
          <w:b/>
          <w:color w:val="000000" w:themeColor="text1"/>
          <w:sz w:val="26"/>
          <w:szCs w:val="26"/>
        </w:rPr>
      </w:pPr>
    </w:p>
    <w:p w14:paraId="0BFE762D" w14:textId="61050CED" w:rsidR="0023485E" w:rsidRDefault="00EE10AD" w:rsidP="00E460CF">
      <w:pPr>
        <w:spacing w:line="360" w:lineRule="auto"/>
        <w:ind w:firstLine="1440"/>
        <w:contextualSpacing/>
        <w:rPr>
          <w:color w:val="000000" w:themeColor="text1"/>
          <w:sz w:val="26"/>
          <w:szCs w:val="26"/>
        </w:rPr>
      </w:pPr>
      <w:r w:rsidRPr="00E460CF">
        <w:rPr>
          <w:color w:val="000000" w:themeColor="text1"/>
          <w:sz w:val="26"/>
          <w:szCs w:val="26"/>
        </w:rPr>
        <w:t xml:space="preserve">Before the Pennsylvania Public Utility Commission (Commission) for consideration and disposition </w:t>
      </w:r>
      <w:r w:rsidR="00810648">
        <w:rPr>
          <w:color w:val="000000" w:themeColor="text1"/>
          <w:sz w:val="26"/>
          <w:szCs w:val="26"/>
        </w:rPr>
        <w:t>is</w:t>
      </w:r>
      <w:r w:rsidR="00C80068">
        <w:rPr>
          <w:color w:val="000000" w:themeColor="text1"/>
          <w:sz w:val="26"/>
          <w:szCs w:val="26"/>
        </w:rPr>
        <w:t xml:space="preserve"> the </w:t>
      </w:r>
      <w:bookmarkStart w:id="1" w:name="_Hlk93049966"/>
      <w:r w:rsidRPr="00E460CF">
        <w:rPr>
          <w:color w:val="000000" w:themeColor="text1"/>
          <w:sz w:val="26"/>
          <w:szCs w:val="26"/>
        </w:rPr>
        <w:t xml:space="preserve">Joint Petition for Approval of Settlement </w:t>
      </w:r>
      <w:bookmarkEnd w:id="1"/>
      <w:r w:rsidRPr="00E460CF">
        <w:rPr>
          <w:color w:val="000000" w:themeColor="text1"/>
          <w:sz w:val="26"/>
          <w:szCs w:val="26"/>
        </w:rPr>
        <w:t xml:space="preserve">(Settlement), filed on </w:t>
      </w:r>
      <w:bookmarkStart w:id="2" w:name="_Hlk38523551"/>
      <w:bookmarkStart w:id="3" w:name="_Hlk76683115"/>
      <w:r w:rsidR="00056181">
        <w:rPr>
          <w:color w:val="000000" w:themeColor="text1"/>
          <w:sz w:val="26"/>
          <w:szCs w:val="26"/>
        </w:rPr>
        <w:t>August 27</w:t>
      </w:r>
      <w:r w:rsidRPr="00E460CF">
        <w:rPr>
          <w:color w:val="000000" w:themeColor="text1"/>
          <w:sz w:val="26"/>
          <w:szCs w:val="26"/>
        </w:rPr>
        <w:t>, 20</w:t>
      </w:r>
      <w:bookmarkEnd w:id="2"/>
      <w:r w:rsidRPr="00E460CF">
        <w:rPr>
          <w:color w:val="000000" w:themeColor="text1"/>
          <w:sz w:val="26"/>
          <w:szCs w:val="26"/>
        </w:rPr>
        <w:t>2</w:t>
      </w:r>
      <w:r w:rsidR="00634DBD">
        <w:rPr>
          <w:color w:val="000000" w:themeColor="text1"/>
          <w:sz w:val="26"/>
          <w:szCs w:val="26"/>
        </w:rPr>
        <w:t>1</w:t>
      </w:r>
      <w:bookmarkEnd w:id="3"/>
      <w:r w:rsidRPr="00E460CF">
        <w:rPr>
          <w:color w:val="000000" w:themeColor="text1"/>
          <w:sz w:val="26"/>
          <w:szCs w:val="26"/>
        </w:rPr>
        <w:t xml:space="preserve">, by the Commission’s Bureau of Investigation and Enforcement (I&amp;E) and </w:t>
      </w:r>
      <w:bookmarkStart w:id="4" w:name="_Hlk91511283"/>
      <w:r w:rsidR="00910C54">
        <w:rPr>
          <w:color w:val="000000" w:themeColor="text1"/>
          <w:sz w:val="26"/>
          <w:szCs w:val="26"/>
        </w:rPr>
        <w:t>Discount Power,</w:t>
      </w:r>
      <w:r w:rsidR="00634DBD">
        <w:rPr>
          <w:color w:val="000000" w:themeColor="text1"/>
          <w:sz w:val="26"/>
          <w:szCs w:val="26"/>
        </w:rPr>
        <w:t xml:space="preserve"> Inc</w:t>
      </w:r>
      <w:bookmarkEnd w:id="4"/>
      <w:r w:rsidR="00634DBD">
        <w:rPr>
          <w:color w:val="000000" w:themeColor="text1"/>
          <w:sz w:val="26"/>
          <w:szCs w:val="26"/>
        </w:rPr>
        <w:t>.</w:t>
      </w:r>
      <w:r w:rsidRPr="00E460CF">
        <w:rPr>
          <w:color w:val="000000" w:themeColor="text1"/>
          <w:sz w:val="26"/>
          <w:szCs w:val="26"/>
        </w:rPr>
        <w:t xml:space="preserve"> (</w:t>
      </w:r>
      <w:r w:rsidR="00910C54">
        <w:rPr>
          <w:color w:val="000000" w:themeColor="text1"/>
          <w:sz w:val="26"/>
          <w:szCs w:val="26"/>
        </w:rPr>
        <w:t>Discount</w:t>
      </w:r>
      <w:r w:rsidR="0074611C">
        <w:rPr>
          <w:color w:val="000000" w:themeColor="text1"/>
          <w:sz w:val="26"/>
          <w:szCs w:val="26"/>
        </w:rPr>
        <w:t xml:space="preserve"> or </w:t>
      </w:r>
      <w:r w:rsidR="00CD5A2E">
        <w:rPr>
          <w:color w:val="000000" w:themeColor="text1"/>
          <w:sz w:val="26"/>
          <w:szCs w:val="26"/>
        </w:rPr>
        <w:t>DPI</w:t>
      </w:r>
      <w:r w:rsidR="0074611C">
        <w:rPr>
          <w:color w:val="000000" w:themeColor="text1"/>
          <w:sz w:val="26"/>
          <w:szCs w:val="26"/>
        </w:rPr>
        <w:t xml:space="preserve"> or Company</w:t>
      </w:r>
      <w:r w:rsidRPr="00E460CF">
        <w:rPr>
          <w:color w:val="000000" w:themeColor="text1"/>
          <w:sz w:val="26"/>
          <w:szCs w:val="26"/>
        </w:rPr>
        <w:t>)</w:t>
      </w:r>
      <w:r w:rsidR="00B55CC4">
        <w:rPr>
          <w:color w:val="000000" w:themeColor="text1"/>
          <w:sz w:val="26"/>
          <w:szCs w:val="26"/>
        </w:rPr>
        <w:t>, with respect to an informal investigation conducted by I&amp;E</w:t>
      </w:r>
      <w:r w:rsidR="00810648">
        <w:rPr>
          <w:color w:val="000000" w:themeColor="text1"/>
          <w:sz w:val="26"/>
          <w:szCs w:val="26"/>
        </w:rPr>
        <w:t xml:space="preserve">.  </w:t>
      </w:r>
      <w:r w:rsidR="00D222F1">
        <w:rPr>
          <w:sz w:val="26"/>
        </w:rPr>
        <w:t>By Order entered October</w:t>
      </w:r>
      <w:r w:rsidR="00F948AC">
        <w:rPr>
          <w:sz w:val="26"/>
        </w:rPr>
        <w:t> </w:t>
      </w:r>
      <w:r w:rsidR="00D222F1">
        <w:rPr>
          <w:sz w:val="26"/>
        </w:rPr>
        <w:t>28,</w:t>
      </w:r>
      <w:r w:rsidR="00F948AC">
        <w:rPr>
          <w:sz w:val="26"/>
        </w:rPr>
        <w:t> </w:t>
      </w:r>
      <w:r w:rsidR="00D222F1">
        <w:rPr>
          <w:sz w:val="26"/>
        </w:rPr>
        <w:t xml:space="preserve">2021, </w:t>
      </w:r>
      <w:r w:rsidR="00D222F1" w:rsidRPr="00191E9E">
        <w:rPr>
          <w:sz w:val="26"/>
        </w:rPr>
        <w:t xml:space="preserve">relative to the above-captioned proceeding </w:t>
      </w:r>
      <w:r w:rsidR="00D222F1">
        <w:rPr>
          <w:sz w:val="26"/>
        </w:rPr>
        <w:t>(</w:t>
      </w:r>
      <w:r w:rsidR="00D222F1" w:rsidRPr="00C11F84">
        <w:rPr>
          <w:i/>
          <w:iCs/>
          <w:sz w:val="26"/>
        </w:rPr>
        <w:t>October 2021 Order</w:t>
      </w:r>
      <w:r w:rsidR="00D222F1">
        <w:rPr>
          <w:sz w:val="26"/>
        </w:rPr>
        <w:t>),</w:t>
      </w:r>
      <w:r w:rsidR="00EB32FB">
        <w:rPr>
          <w:color w:val="000000" w:themeColor="text1"/>
          <w:sz w:val="26"/>
          <w:szCs w:val="26"/>
        </w:rPr>
        <w:t xml:space="preserve"> </w:t>
      </w:r>
      <w:r w:rsidR="008516B7">
        <w:rPr>
          <w:color w:val="000000" w:themeColor="text1"/>
          <w:sz w:val="26"/>
          <w:szCs w:val="26"/>
        </w:rPr>
        <w:t xml:space="preserve">we provided interested parties with the opportunity to file comments on the Settlement.  </w:t>
      </w:r>
      <w:r w:rsidR="00106722">
        <w:rPr>
          <w:color w:val="000000" w:themeColor="text1"/>
          <w:sz w:val="26"/>
          <w:szCs w:val="26"/>
        </w:rPr>
        <w:t xml:space="preserve">Also, </w:t>
      </w:r>
      <w:r w:rsidR="00855119">
        <w:rPr>
          <w:color w:val="000000" w:themeColor="text1"/>
          <w:sz w:val="26"/>
          <w:szCs w:val="26"/>
        </w:rPr>
        <w:t>b</w:t>
      </w:r>
      <w:r w:rsidR="00D13984">
        <w:rPr>
          <w:color w:val="000000" w:themeColor="text1"/>
          <w:sz w:val="26"/>
          <w:szCs w:val="26"/>
        </w:rPr>
        <w:t xml:space="preserve">efore the Commission </w:t>
      </w:r>
      <w:r w:rsidR="00EF0A7F" w:rsidRPr="00E460CF">
        <w:rPr>
          <w:color w:val="000000" w:themeColor="text1"/>
          <w:sz w:val="26"/>
          <w:szCs w:val="26"/>
        </w:rPr>
        <w:t>for consideration and disposition</w:t>
      </w:r>
      <w:r w:rsidR="00EF0A7F">
        <w:rPr>
          <w:color w:val="000000" w:themeColor="text1"/>
          <w:sz w:val="26"/>
          <w:szCs w:val="26"/>
        </w:rPr>
        <w:t xml:space="preserve"> </w:t>
      </w:r>
      <w:r w:rsidR="00D13984">
        <w:rPr>
          <w:color w:val="000000" w:themeColor="text1"/>
          <w:sz w:val="26"/>
          <w:szCs w:val="26"/>
        </w:rPr>
        <w:t>are</w:t>
      </w:r>
      <w:r w:rsidR="00B74C5F">
        <w:rPr>
          <w:color w:val="000000" w:themeColor="text1"/>
          <w:sz w:val="26"/>
          <w:szCs w:val="26"/>
        </w:rPr>
        <w:t xml:space="preserve">: </w:t>
      </w:r>
      <w:r w:rsidR="00D13984">
        <w:rPr>
          <w:sz w:val="26"/>
        </w:rPr>
        <w:t>(1)</w:t>
      </w:r>
      <w:r w:rsidR="00AD7466">
        <w:rPr>
          <w:sz w:val="26"/>
        </w:rPr>
        <w:t xml:space="preserve"> </w:t>
      </w:r>
      <w:r w:rsidR="008541D7">
        <w:rPr>
          <w:sz w:val="26"/>
        </w:rPr>
        <w:t xml:space="preserve">the Comments of </w:t>
      </w:r>
      <w:r w:rsidR="00AD7466">
        <w:rPr>
          <w:sz w:val="26"/>
        </w:rPr>
        <w:t>PPL Electric Utilities Corporation (PPL)</w:t>
      </w:r>
      <w:r w:rsidR="00197F7D">
        <w:rPr>
          <w:sz w:val="26"/>
        </w:rPr>
        <w:t>, filed on December 8, 2021</w:t>
      </w:r>
      <w:r w:rsidR="00254C7B">
        <w:rPr>
          <w:sz w:val="26"/>
        </w:rPr>
        <w:t xml:space="preserve"> (PPL’s Comments)</w:t>
      </w:r>
      <w:r w:rsidR="00AD7466">
        <w:rPr>
          <w:sz w:val="26"/>
        </w:rPr>
        <w:t>;</w:t>
      </w:r>
      <w:r w:rsidR="008541D7">
        <w:rPr>
          <w:sz w:val="26"/>
        </w:rPr>
        <w:t xml:space="preserve"> </w:t>
      </w:r>
      <w:r w:rsidR="00AD7466">
        <w:rPr>
          <w:sz w:val="26"/>
        </w:rPr>
        <w:t>(2)</w:t>
      </w:r>
      <w:r w:rsidR="008541D7">
        <w:rPr>
          <w:sz w:val="26"/>
        </w:rPr>
        <w:t xml:space="preserve"> the Comments of</w:t>
      </w:r>
      <w:r w:rsidR="00AD7466">
        <w:rPr>
          <w:sz w:val="26"/>
        </w:rPr>
        <w:t xml:space="preserve"> </w:t>
      </w:r>
      <w:r w:rsidR="00151D6B">
        <w:rPr>
          <w:sz w:val="26"/>
        </w:rPr>
        <w:t>Michael</w:t>
      </w:r>
      <w:r w:rsidR="00DA0312">
        <w:rPr>
          <w:sz w:val="26"/>
        </w:rPr>
        <w:t> </w:t>
      </w:r>
      <w:r w:rsidR="00151D6B">
        <w:rPr>
          <w:sz w:val="26"/>
        </w:rPr>
        <w:t>Zimmerman</w:t>
      </w:r>
      <w:r w:rsidR="00A1276C">
        <w:rPr>
          <w:sz w:val="26"/>
        </w:rPr>
        <w:t xml:space="preserve"> (Mr.</w:t>
      </w:r>
      <w:r w:rsidR="000873EB">
        <w:rPr>
          <w:sz w:val="26"/>
        </w:rPr>
        <w:t> </w:t>
      </w:r>
      <w:r w:rsidR="00A1276C">
        <w:rPr>
          <w:sz w:val="26"/>
        </w:rPr>
        <w:t>Zimmerman)</w:t>
      </w:r>
      <w:r w:rsidR="00151D6B">
        <w:rPr>
          <w:sz w:val="26"/>
        </w:rPr>
        <w:t>, filed on December 9, 2021</w:t>
      </w:r>
      <w:r w:rsidR="008538D9">
        <w:rPr>
          <w:sz w:val="26"/>
        </w:rPr>
        <w:t xml:space="preserve"> </w:t>
      </w:r>
      <w:r w:rsidR="008538D9">
        <w:rPr>
          <w:sz w:val="26"/>
        </w:rPr>
        <w:lastRenderedPageBreak/>
        <w:t>(Mr.</w:t>
      </w:r>
      <w:r w:rsidR="000873EB">
        <w:rPr>
          <w:sz w:val="26"/>
        </w:rPr>
        <w:t> </w:t>
      </w:r>
      <w:r w:rsidR="008538D9">
        <w:rPr>
          <w:sz w:val="26"/>
        </w:rPr>
        <w:t>Zimmerman’s Comments)</w:t>
      </w:r>
      <w:r w:rsidR="008541D7">
        <w:rPr>
          <w:color w:val="000000" w:themeColor="text1"/>
          <w:sz w:val="26"/>
          <w:szCs w:val="26"/>
        </w:rPr>
        <w:t xml:space="preserve">; </w:t>
      </w:r>
      <w:r w:rsidR="00D12136">
        <w:rPr>
          <w:color w:val="000000" w:themeColor="text1"/>
          <w:sz w:val="26"/>
          <w:szCs w:val="26"/>
        </w:rPr>
        <w:t>(</w:t>
      </w:r>
      <w:r w:rsidR="002B13D3">
        <w:rPr>
          <w:color w:val="000000" w:themeColor="text1"/>
          <w:sz w:val="26"/>
          <w:szCs w:val="26"/>
        </w:rPr>
        <w:t>3</w:t>
      </w:r>
      <w:r w:rsidR="00D12136">
        <w:rPr>
          <w:color w:val="000000" w:themeColor="text1"/>
          <w:sz w:val="26"/>
          <w:szCs w:val="26"/>
        </w:rPr>
        <w:t xml:space="preserve">) </w:t>
      </w:r>
      <w:r w:rsidR="008541D7">
        <w:rPr>
          <w:color w:val="000000" w:themeColor="text1"/>
          <w:sz w:val="26"/>
          <w:szCs w:val="26"/>
        </w:rPr>
        <w:t xml:space="preserve">Discount’s </w:t>
      </w:r>
      <w:r w:rsidR="00DB3A79">
        <w:rPr>
          <w:color w:val="000000" w:themeColor="text1"/>
          <w:sz w:val="26"/>
          <w:szCs w:val="26"/>
        </w:rPr>
        <w:t xml:space="preserve">Motion to Strike </w:t>
      </w:r>
      <w:r w:rsidR="00A61062">
        <w:rPr>
          <w:color w:val="000000" w:themeColor="text1"/>
          <w:sz w:val="26"/>
          <w:szCs w:val="26"/>
        </w:rPr>
        <w:t xml:space="preserve">PPL’s </w:t>
      </w:r>
      <w:r w:rsidR="002B13D3">
        <w:rPr>
          <w:color w:val="000000" w:themeColor="text1"/>
          <w:sz w:val="26"/>
          <w:szCs w:val="26"/>
        </w:rPr>
        <w:t>Comments</w:t>
      </w:r>
      <w:r w:rsidR="003C1A4D">
        <w:rPr>
          <w:color w:val="000000" w:themeColor="text1"/>
          <w:sz w:val="26"/>
          <w:szCs w:val="26"/>
        </w:rPr>
        <w:t>, filed on December 20, 2021</w:t>
      </w:r>
      <w:r w:rsidR="008417CB">
        <w:rPr>
          <w:color w:val="000000" w:themeColor="text1"/>
          <w:sz w:val="26"/>
          <w:szCs w:val="26"/>
        </w:rPr>
        <w:t xml:space="preserve"> (</w:t>
      </w:r>
      <w:bookmarkStart w:id="5" w:name="_Hlk92116178"/>
      <w:r w:rsidR="008417CB">
        <w:rPr>
          <w:color w:val="000000" w:themeColor="text1"/>
          <w:sz w:val="26"/>
          <w:szCs w:val="26"/>
        </w:rPr>
        <w:t>D</w:t>
      </w:r>
      <w:r w:rsidR="00D16CA7">
        <w:rPr>
          <w:color w:val="000000" w:themeColor="text1"/>
          <w:sz w:val="26"/>
          <w:szCs w:val="26"/>
        </w:rPr>
        <w:t>iscount</w:t>
      </w:r>
      <w:r w:rsidR="008417CB">
        <w:rPr>
          <w:color w:val="000000" w:themeColor="text1"/>
          <w:sz w:val="26"/>
          <w:szCs w:val="26"/>
        </w:rPr>
        <w:t>’s Motion to Strike PPL’s Comments</w:t>
      </w:r>
      <w:bookmarkEnd w:id="5"/>
      <w:r w:rsidR="008417CB">
        <w:rPr>
          <w:color w:val="000000" w:themeColor="text1"/>
          <w:sz w:val="26"/>
          <w:szCs w:val="26"/>
        </w:rPr>
        <w:t>)</w:t>
      </w:r>
      <w:r w:rsidR="00A1276C">
        <w:rPr>
          <w:color w:val="000000" w:themeColor="text1"/>
          <w:sz w:val="26"/>
          <w:szCs w:val="26"/>
        </w:rPr>
        <w:t>; and (</w:t>
      </w:r>
      <w:r w:rsidR="002B13D3">
        <w:rPr>
          <w:color w:val="000000" w:themeColor="text1"/>
          <w:sz w:val="26"/>
          <w:szCs w:val="26"/>
        </w:rPr>
        <w:t>4</w:t>
      </w:r>
      <w:r w:rsidR="00A1276C">
        <w:rPr>
          <w:color w:val="000000" w:themeColor="text1"/>
          <w:sz w:val="26"/>
          <w:szCs w:val="26"/>
        </w:rPr>
        <w:t>)</w:t>
      </w:r>
      <w:r w:rsidR="0025201A">
        <w:rPr>
          <w:color w:val="000000" w:themeColor="text1"/>
          <w:sz w:val="26"/>
          <w:szCs w:val="26"/>
        </w:rPr>
        <w:t> </w:t>
      </w:r>
      <w:r w:rsidR="002B13D3">
        <w:rPr>
          <w:color w:val="000000" w:themeColor="text1"/>
          <w:sz w:val="26"/>
          <w:szCs w:val="26"/>
        </w:rPr>
        <w:t xml:space="preserve">Discount’s </w:t>
      </w:r>
      <w:r w:rsidR="00A1276C" w:rsidRPr="00A1276C">
        <w:rPr>
          <w:color w:val="000000" w:themeColor="text1"/>
          <w:sz w:val="26"/>
          <w:szCs w:val="26"/>
        </w:rPr>
        <w:t xml:space="preserve">Motion to Strike </w:t>
      </w:r>
      <w:r w:rsidR="00A1276C">
        <w:rPr>
          <w:color w:val="000000" w:themeColor="text1"/>
          <w:sz w:val="26"/>
          <w:szCs w:val="26"/>
        </w:rPr>
        <w:t>Mr.</w:t>
      </w:r>
      <w:r w:rsidR="00F70DA8">
        <w:rPr>
          <w:color w:val="000000" w:themeColor="text1"/>
          <w:sz w:val="26"/>
          <w:szCs w:val="26"/>
        </w:rPr>
        <w:t> </w:t>
      </w:r>
      <w:r w:rsidR="00A1276C">
        <w:rPr>
          <w:color w:val="000000" w:themeColor="text1"/>
          <w:sz w:val="26"/>
          <w:szCs w:val="26"/>
        </w:rPr>
        <w:t>Zimmerman</w:t>
      </w:r>
      <w:r w:rsidR="00A61062">
        <w:rPr>
          <w:color w:val="000000" w:themeColor="text1"/>
          <w:sz w:val="26"/>
          <w:szCs w:val="26"/>
        </w:rPr>
        <w:t>’s Comments</w:t>
      </w:r>
      <w:r w:rsidR="00A1276C">
        <w:rPr>
          <w:color w:val="000000" w:themeColor="text1"/>
          <w:sz w:val="26"/>
          <w:szCs w:val="26"/>
        </w:rPr>
        <w:t>, filed on December</w:t>
      </w:r>
      <w:r w:rsidR="0025201A">
        <w:rPr>
          <w:color w:val="000000" w:themeColor="text1"/>
          <w:sz w:val="26"/>
          <w:szCs w:val="26"/>
        </w:rPr>
        <w:t> </w:t>
      </w:r>
      <w:r w:rsidR="00A1276C">
        <w:rPr>
          <w:color w:val="000000" w:themeColor="text1"/>
          <w:sz w:val="26"/>
          <w:szCs w:val="26"/>
        </w:rPr>
        <w:t>21,</w:t>
      </w:r>
      <w:r w:rsidR="0025201A">
        <w:rPr>
          <w:color w:val="000000" w:themeColor="text1"/>
          <w:sz w:val="26"/>
          <w:szCs w:val="26"/>
        </w:rPr>
        <w:t> </w:t>
      </w:r>
      <w:r w:rsidR="00A1276C">
        <w:rPr>
          <w:color w:val="000000" w:themeColor="text1"/>
          <w:sz w:val="26"/>
          <w:szCs w:val="26"/>
        </w:rPr>
        <w:t>2021</w:t>
      </w:r>
      <w:r w:rsidR="008417CB">
        <w:rPr>
          <w:color w:val="000000" w:themeColor="text1"/>
          <w:sz w:val="26"/>
          <w:szCs w:val="26"/>
        </w:rPr>
        <w:t xml:space="preserve"> (</w:t>
      </w:r>
      <w:bookmarkStart w:id="6" w:name="_Hlk92959381"/>
      <w:r w:rsidR="00D16CA7">
        <w:rPr>
          <w:color w:val="000000" w:themeColor="text1"/>
          <w:sz w:val="26"/>
          <w:szCs w:val="26"/>
        </w:rPr>
        <w:t>Discount</w:t>
      </w:r>
      <w:r w:rsidR="008417CB">
        <w:rPr>
          <w:color w:val="000000" w:themeColor="text1"/>
          <w:sz w:val="26"/>
          <w:szCs w:val="26"/>
        </w:rPr>
        <w:t>’s Motion to Strike</w:t>
      </w:r>
      <w:r w:rsidR="000873EB">
        <w:rPr>
          <w:color w:val="000000" w:themeColor="text1"/>
          <w:sz w:val="26"/>
          <w:szCs w:val="26"/>
        </w:rPr>
        <w:t> </w:t>
      </w:r>
      <w:r w:rsidR="00A61062">
        <w:rPr>
          <w:color w:val="000000" w:themeColor="text1"/>
          <w:sz w:val="26"/>
          <w:szCs w:val="26"/>
        </w:rPr>
        <w:t>Mr.</w:t>
      </w:r>
      <w:r w:rsidR="00F70DA8">
        <w:rPr>
          <w:color w:val="000000" w:themeColor="text1"/>
          <w:sz w:val="26"/>
          <w:szCs w:val="26"/>
        </w:rPr>
        <w:t> </w:t>
      </w:r>
      <w:r w:rsidR="008417CB">
        <w:rPr>
          <w:color w:val="000000" w:themeColor="text1"/>
          <w:sz w:val="26"/>
          <w:szCs w:val="26"/>
        </w:rPr>
        <w:t>Zimmerman’s Comments</w:t>
      </w:r>
      <w:bookmarkEnd w:id="6"/>
      <w:r w:rsidR="008417CB">
        <w:rPr>
          <w:color w:val="000000" w:themeColor="text1"/>
          <w:sz w:val="26"/>
          <w:szCs w:val="26"/>
        </w:rPr>
        <w:t>)</w:t>
      </w:r>
      <w:r w:rsidR="00A1276C">
        <w:rPr>
          <w:color w:val="000000" w:themeColor="text1"/>
          <w:sz w:val="26"/>
          <w:szCs w:val="26"/>
        </w:rPr>
        <w:t>.</w:t>
      </w:r>
      <w:r w:rsidR="003D4B48">
        <w:rPr>
          <w:color w:val="000000" w:themeColor="text1"/>
          <w:sz w:val="26"/>
          <w:szCs w:val="26"/>
        </w:rPr>
        <w:t xml:space="preserve">  On January 10, 2022, PPL filed an</w:t>
      </w:r>
      <w:r w:rsidR="004E0DEA">
        <w:rPr>
          <w:color w:val="000000" w:themeColor="text1"/>
          <w:sz w:val="26"/>
          <w:szCs w:val="26"/>
        </w:rPr>
        <w:t xml:space="preserve"> Answer to Discount’s Motion to Strike</w:t>
      </w:r>
      <w:r w:rsidR="00F237D2">
        <w:rPr>
          <w:color w:val="000000" w:themeColor="text1"/>
          <w:sz w:val="26"/>
          <w:szCs w:val="26"/>
        </w:rPr>
        <w:t xml:space="preserve"> PPL’s Comments (PPL’s Answer).</w:t>
      </w:r>
    </w:p>
    <w:p w14:paraId="50940536" w14:textId="77777777" w:rsidR="00EF0A7F" w:rsidRDefault="00EF0A7F" w:rsidP="00E460CF">
      <w:pPr>
        <w:spacing w:line="360" w:lineRule="auto"/>
        <w:ind w:firstLine="1440"/>
        <w:contextualSpacing/>
        <w:rPr>
          <w:color w:val="000000" w:themeColor="text1"/>
          <w:sz w:val="26"/>
          <w:szCs w:val="26"/>
        </w:rPr>
      </w:pPr>
    </w:p>
    <w:p w14:paraId="723C0910" w14:textId="2B18C490" w:rsidR="003D07AD" w:rsidRDefault="00EE10AD" w:rsidP="00E460CF">
      <w:pPr>
        <w:spacing w:line="360" w:lineRule="auto"/>
        <w:ind w:firstLine="1440"/>
        <w:contextualSpacing/>
        <w:rPr>
          <w:sz w:val="26"/>
          <w:szCs w:val="26"/>
        </w:rPr>
      </w:pPr>
      <w:bookmarkStart w:id="7" w:name="_Hlk94812781"/>
      <w:r w:rsidRPr="00E460CF">
        <w:rPr>
          <w:sz w:val="26"/>
          <w:szCs w:val="26"/>
        </w:rPr>
        <w:t xml:space="preserve">Both I&amp;E and </w:t>
      </w:r>
      <w:r w:rsidR="008417CB">
        <w:rPr>
          <w:sz w:val="26"/>
          <w:szCs w:val="26"/>
        </w:rPr>
        <w:t>Discoun</w:t>
      </w:r>
      <w:r w:rsidR="00634DBD">
        <w:rPr>
          <w:sz w:val="26"/>
          <w:szCs w:val="26"/>
        </w:rPr>
        <w:t>t</w:t>
      </w:r>
      <w:r w:rsidRPr="00E460CF">
        <w:rPr>
          <w:sz w:val="26"/>
          <w:szCs w:val="26"/>
        </w:rPr>
        <w:t xml:space="preserve"> filed a Statement in Support of the Settlement (Statement in Support).  Further, both I&amp;E and </w:t>
      </w:r>
      <w:r w:rsidR="008139B4">
        <w:rPr>
          <w:sz w:val="26"/>
          <w:szCs w:val="26"/>
        </w:rPr>
        <w:t>Discoun</w:t>
      </w:r>
      <w:r w:rsidR="00FF0F87">
        <w:rPr>
          <w:sz w:val="26"/>
          <w:szCs w:val="26"/>
        </w:rPr>
        <w:t>t</w:t>
      </w:r>
      <w:r w:rsidRPr="00E460CF">
        <w:rPr>
          <w:sz w:val="26"/>
          <w:szCs w:val="26"/>
        </w:rPr>
        <w:t xml:space="preserve"> submit that the proposed Settlement is in the public interest and is consistent with the Commission’s Policy Statement at 52 Pa. Code §</w:t>
      </w:r>
      <w:r w:rsidR="006621A1">
        <w:rPr>
          <w:sz w:val="26"/>
          <w:szCs w:val="26"/>
        </w:rPr>
        <w:t> </w:t>
      </w:r>
      <w:r w:rsidRPr="00E460CF">
        <w:rPr>
          <w:sz w:val="26"/>
          <w:szCs w:val="26"/>
        </w:rPr>
        <w:t xml:space="preserve">69.1201, </w:t>
      </w:r>
      <w:r w:rsidRPr="00E460CF">
        <w:rPr>
          <w:i/>
          <w:iCs/>
          <w:sz w:val="26"/>
          <w:szCs w:val="26"/>
        </w:rPr>
        <w:t>Factors and standards for evaluating litigated and settled proceedings involving violations of the Public Utility Code and Commission regulations— statement of policy</w:t>
      </w:r>
      <w:r w:rsidRPr="00E460CF">
        <w:rPr>
          <w:sz w:val="26"/>
          <w:szCs w:val="26"/>
        </w:rPr>
        <w:t xml:space="preserve"> (Policy Statement).  </w:t>
      </w:r>
      <w:r w:rsidRPr="00E460CF">
        <w:rPr>
          <w:i/>
          <w:iCs/>
          <w:sz w:val="26"/>
          <w:szCs w:val="26"/>
        </w:rPr>
        <w:t xml:space="preserve">See </w:t>
      </w:r>
      <w:r w:rsidRPr="00E460CF">
        <w:rPr>
          <w:rFonts w:eastAsiaTheme="minorHAnsi"/>
          <w:sz w:val="26"/>
          <w:szCs w:val="26"/>
        </w:rPr>
        <w:t>Settlement at ¶¶ 1</w:t>
      </w:r>
      <w:r w:rsidR="00C1068F">
        <w:rPr>
          <w:rFonts w:eastAsiaTheme="minorHAnsi"/>
          <w:sz w:val="26"/>
          <w:szCs w:val="26"/>
        </w:rPr>
        <w:t>2</w:t>
      </w:r>
      <w:r w:rsidRPr="00E460CF">
        <w:rPr>
          <w:rFonts w:eastAsiaTheme="minorHAnsi"/>
          <w:sz w:val="26"/>
          <w:szCs w:val="26"/>
        </w:rPr>
        <w:t>, 4</w:t>
      </w:r>
      <w:r w:rsidR="00C01E24">
        <w:rPr>
          <w:rFonts w:eastAsiaTheme="minorHAnsi"/>
          <w:sz w:val="26"/>
          <w:szCs w:val="26"/>
        </w:rPr>
        <w:t>6</w:t>
      </w:r>
      <w:r w:rsidRPr="00E460CF">
        <w:rPr>
          <w:rFonts w:eastAsiaTheme="minorHAnsi"/>
          <w:sz w:val="26"/>
          <w:szCs w:val="26"/>
        </w:rPr>
        <w:t>,</w:t>
      </w:r>
      <w:r w:rsidRPr="00E460CF">
        <w:rPr>
          <w:sz w:val="26"/>
          <w:szCs w:val="26"/>
        </w:rPr>
        <w:t xml:space="preserve"> </w:t>
      </w:r>
      <w:r w:rsidRPr="00E460CF">
        <w:rPr>
          <w:i/>
          <w:iCs/>
          <w:sz w:val="26"/>
          <w:szCs w:val="26"/>
        </w:rPr>
        <w:t>infra</w:t>
      </w:r>
      <w:r w:rsidRPr="00E460CF">
        <w:rPr>
          <w:sz w:val="26"/>
          <w:szCs w:val="26"/>
        </w:rPr>
        <w:t>.</w:t>
      </w:r>
      <w:r w:rsidR="004516E3">
        <w:rPr>
          <w:sz w:val="26"/>
          <w:szCs w:val="26"/>
        </w:rPr>
        <w:t xml:space="preserve"> </w:t>
      </w:r>
    </w:p>
    <w:bookmarkEnd w:id="7"/>
    <w:p w14:paraId="6F2D9CB0" w14:textId="77777777" w:rsidR="003D07AD" w:rsidRDefault="003D07AD" w:rsidP="00E460CF">
      <w:pPr>
        <w:spacing w:line="360" w:lineRule="auto"/>
        <w:ind w:firstLine="1440"/>
        <w:contextualSpacing/>
        <w:rPr>
          <w:sz w:val="26"/>
          <w:szCs w:val="26"/>
        </w:rPr>
      </w:pPr>
    </w:p>
    <w:p w14:paraId="24164700" w14:textId="19CDD883" w:rsidR="00EE10AD" w:rsidRPr="004516E3" w:rsidRDefault="004516E3" w:rsidP="00E460CF">
      <w:pPr>
        <w:spacing w:line="360" w:lineRule="auto"/>
        <w:ind w:firstLine="1440"/>
        <w:contextualSpacing/>
        <w:rPr>
          <w:sz w:val="26"/>
          <w:szCs w:val="26"/>
        </w:rPr>
      </w:pPr>
      <w:r>
        <w:rPr>
          <w:sz w:val="26"/>
          <w:szCs w:val="26"/>
        </w:rPr>
        <w:t>For the reasons set forth herein, we shall</w:t>
      </w:r>
      <w:r w:rsidR="00B74C5F">
        <w:rPr>
          <w:sz w:val="26"/>
          <w:szCs w:val="26"/>
        </w:rPr>
        <w:t xml:space="preserve">: </w:t>
      </w:r>
      <w:r w:rsidR="0025201A">
        <w:rPr>
          <w:sz w:val="26"/>
          <w:szCs w:val="26"/>
        </w:rPr>
        <w:t xml:space="preserve"> </w:t>
      </w:r>
      <w:r w:rsidR="0011648B">
        <w:rPr>
          <w:sz w:val="26"/>
          <w:szCs w:val="26"/>
        </w:rPr>
        <w:t xml:space="preserve">(1) </w:t>
      </w:r>
      <w:r w:rsidR="00157A32">
        <w:rPr>
          <w:sz w:val="26"/>
          <w:szCs w:val="26"/>
        </w:rPr>
        <w:t>deny</w:t>
      </w:r>
      <w:r w:rsidR="0089504D">
        <w:rPr>
          <w:sz w:val="26"/>
          <w:szCs w:val="26"/>
        </w:rPr>
        <w:t xml:space="preserve"> </w:t>
      </w:r>
      <w:r w:rsidR="0089504D" w:rsidRPr="0089504D">
        <w:rPr>
          <w:sz w:val="26"/>
          <w:szCs w:val="26"/>
        </w:rPr>
        <w:t>D</w:t>
      </w:r>
      <w:r w:rsidR="00D16CA7">
        <w:rPr>
          <w:sz w:val="26"/>
          <w:szCs w:val="26"/>
        </w:rPr>
        <w:t>iscount</w:t>
      </w:r>
      <w:r w:rsidR="0089504D" w:rsidRPr="0089504D">
        <w:rPr>
          <w:sz w:val="26"/>
          <w:szCs w:val="26"/>
        </w:rPr>
        <w:t>’s Motion</w:t>
      </w:r>
      <w:r w:rsidR="00D7478E">
        <w:rPr>
          <w:sz w:val="26"/>
          <w:szCs w:val="26"/>
        </w:rPr>
        <w:t>s</w:t>
      </w:r>
      <w:r w:rsidR="0089504D" w:rsidRPr="0089504D">
        <w:rPr>
          <w:sz w:val="26"/>
          <w:szCs w:val="26"/>
        </w:rPr>
        <w:t xml:space="preserve"> to Strike </w:t>
      </w:r>
      <w:r w:rsidR="00D7478E">
        <w:rPr>
          <w:sz w:val="26"/>
          <w:szCs w:val="26"/>
        </w:rPr>
        <w:t xml:space="preserve">the Comments of both </w:t>
      </w:r>
      <w:r w:rsidR="0089504D" w:rsidRPr="0089504D">
        <w:rPr>
          <w:sz w:val="26"/>
          <w:szCs w:val="26"/>
        </w:rPr>
        <w:t>PPL</w:t>
      </w:r>
      <w:r w:rsidR="00D7478E" w:rsidRPr="0089504D" w:rsidDel="00D7478E">
        <w:rPr>
          <w:sz w:val="26"/>
          <w:szCs w:val="26"/>
        </w:rPr>
        <w:t xml:space="preserve"> </w:t>
      </w:r>
      <w:r w:rsidR="00D7478E">
        <w:rPr>
          <w:sz w:val="26"/>
          <w:szCs w:val="26"/>
        </w:rPr>
        <w:t xml:space="preserve">and </w:t>
      </w:r>
      <w:r w:rsidR="00F70DA8">
        <w:rPr>
          <w:sz w:val="26"/>
          <w:szCs w:val="26"/>
        </w:rPr>
        <w:t>Mr. </w:t>
      </w:r>
      <w:r w:rsidR="0011648B" w:rsidRPr="0011648B">
        <w:rPr>
          <w:sz w:val="26"/>
          <w:szCs w:val="26"/>
        </w:rPr>
        <w:t>Zimmerman</w:t>
      </w:r>
      <w:r w:rsidR="0011648B">
        <w:rPr>
          <w:sz w:val="26"/>
          <w:szCs w:val="26"/>
        </w:rPr>
        <w:t>;</w:t>
      </w:r>
      <w:r w:rsidR="003F58E1">
        <w:rPr>
          <w:sz w:val="26"/>
          <w:szCs w:val="26"/>
        </w:rPr>
        <w:t xml:space="preserve"> </w:t>
      </w:r>
      <w:r w:rsidR="008A7AA7">
        <w:rPr>
          <w:sz w:val="26"/>
          <w:szCs w:val="26"/>
        </w:rPr>
        <w:t>(</w:t>
      </w:r>
      <w:r w:rsidR="003F58E1">
        <w:rPr>
          <w:sz w:val="26"/>
          <w:szCs w:val="26"/>
        </w:rPr>
        <w:t>2</w:t>
      </w:r>
      <w:r w:rsidR="008A7AA7">
        <w:rPr>
          <w:sz w:val="26"/>
          <w:szCs w:val="26"/>
        </w:rPr>
        <w:t>) allow</w:t>
      </w:r>
      <w:r w:rsidR="003F58E1">
        <w:rPr>
          <w:sz w:val="26"/>
          <w:szCs w:val="26"/>
        </w:rPr>
        <w:t xml:space="preserve"> the Comments of</w:t>
      </w:r>
      <w:r w:rsidR="008A7AA7">
        <w:rPr>
          <w:sz w:val="26"/>
          <w:szCs w:val="26"/>
        </w:rPr>
        <w:t xml:space="preserve"> </w:t>
      </w:r>
      <w:r w:rsidR="003F58E1">
        <w:rPr>
          <w:sz w:val="26"/>
          <w:szCs w:val="26"/>
        </w:rPr>
        <w:t xml:space="preserve">both </w:t>
      </w:r>
      <w:r w:rsidR="008A7AA7">
        <w:rPr>
          <w:sz w:val="26"/>
          <w:szCs w:val="26"/>
        </w:rPr>
        <w:t>PP</w:t>
      </w:r>
      <w:r w:rsidR="003F58E1">
        <w:rPr>
          <w:sz w:val="26"/>
          <w:szCs w:val="26"/>
        </w:rPr>
        <w:t>L</w:t>
      </w:r>
      <w:r w:rsidR="008A7AA7">
        <w:rPr>
          <w:sz w:val="26"/>
          <w:szCs w:val="26"/>
        </w:rPr>
        <w:t xml:space="preserve"> and Mr.</w:t>
      </w:r>
      <w:r w:rsidR="003F58E1">
        <w:rPr>
          <w:sz w:val="26"/>
          <w:szCs w:val="26"/>
        </w:rPr>
        <w:t> </w:t>
      </w:r>
      <w:r w:rsidR="008A7AA7">
        <w:rPr>
          <w:sz w:val="26"/>
          <w:szCs w:val="26"/>
        </w:rPr>
        <w:t xml:space="preserve">Zimmerman for consideration; </w:t>
      </w:r>
      <w:r w:rsidR="0011648B">
        <w:rPr>
          <w:sz w:val="26"/>
          <w:szCs w:val="26"/>
        </w:rPr>
        <w:t>and (3)</w:t>
      </w:r>
      <w:r w:rsidR="0011648B" w:rsidRPr="0011648B">
        <w:rPr>
          <w:sz w:val="26"/>
          <w:szCs w:val="26"/>
        </w:rPr>
        <w:t xml:space="preserve"> </w:t>
      </w:r>
      <w:r>
        <w:rPr>
          <w:sz w:val="26"/>
          <w:szCs w:val="26"/>
        </w:rPr>
        <w:t>approve the proposed Settlement, consistent with this Opinion and Order.</w:t>
      </w:r>
    </w:p>
    <w:p w14:paraId="49A289A2" w14:textId="77777777" w:rsidR="00EE10AD" w:rsidRPr="00E460CF" w:rsidRDefault="00EE10AD" w:rsidP="004516E3">
      <w:pPr>
        <w:spacing w:line="360" w:lineRule="auto"/>
        <w:contextualSpacing/>
        <w:rPr>
          <w:color w:val="000000" w:themeColor="text1"/>
          <w:sz w:val="26"/>
          <w:szCs w:val="26"/>
        </w:rPr>
      </w:pPr>
    </w:p>
    <w:p w14:paraId="7B86F652" w14:textId="77777777" w:rsidR="00EE10AD" w:rsidRPr="00E460CF" w:rsidRDefault="00EE10AD" w:rsidP="00E460CF">
      <w:pPr>
        <w:pStyle w:val="ListParagraph"/>
        <w:keepNext/>
        <w:keepLines/>
        <w:widowControl/>
        <w:spacing w:line="360" w:lineRule="auto"/>
        <w:ind w:left="0"/>
        <w:jc w:val="center"/>
        <w:rPr>
          <w:b/>
          <w:bCs/>
          <w:color w:val="000000" w:themeColor="text1"/>
          <w:sz w:val="26"/>
          <w:szCs w:val="26"/>
        </w:rPr>
      </w:pPr>
      <w:r w:rsidRPr="00E460CF">
        <w:rPr>
          <w:b/>
          <w:bCs/>
          <w:color w:val="000000" w:themeColor="text1"/>
          <w:sz w:val="26"/>
          <w:szCs w:val="26"/>
        </w:rPr>
        <w:t>History of the Proceeding</w:t>
      </w:r>
    </w:p>
    <w:p w14:paraId="03A4AC44" w14:textId="77777777" w:rsidR="00EE10AD" w:rsidRPr="00E460CF" w:rsidRDefault="00EE10AD" w:rsidP="00E460CF">
      <w:pPr>
        <w:keepNext/>
        <w:keepLines/>
        <w:autoSpaceDE w:val="0"/>
        <w:autoSpaceDN w:val="0"/>
        <w:adjustRightInd w:val="0"/>
        <w:spacing w:line="360" w:lineRule="auto"/>
        <w:contextualSpacing/>
        <w:rPr>
          <w:rFonts w:eastAsiaTheme="minorHAnsi"/>
          <w:color w:val="000000" w:themeColor="text1"/>
          <w:sz w:val="26"/>
          <w:szCs w:val="26"/>
        </w:rPr>
      </w:pPr>
    </w:p>
    <w:p w14:paraId="22C94C5E" w14:textId="20CA5D2B" w:rsidR="00E61082" w:rsidRPr="00E61082" w:rsidRDefault="00F4037D" w:rsidP="00E61082">
      <w:pPr>
        <w:spacing w:line="360" w:lineRule="auto"/>
        <w:ind w:firstLine="1440"/>
        <w:contextualSpacing/>
        <w:rPr>
          <w:sz w:val="26"/>
          <w:szCs w:val="26"/>
        </w:rPr>
      </w:pPr>
      <w:r w:rsidRPr="00F4037D">
        <w:rPr>
          <w:sz w:val="26"/>
          <w:szCs w:val="26"/>
        </w:rPr>
        <w:t xml:space="preserve">This matter concerns </w:t>
      </w:r>
      <w:r w:rsidR="00E61082" w:rsidRPr="00E61082">
        <w:rPr>
          <w:sz w:val="26"/>
          <w:szCs w:val="26"/>
        </w:rPr>
        <w:t>allegations regarding Discount, a jurisdictional electric generation supplier (EGS).</w:t>
      </w:r>
      <w:r w:rsidR="00E61082" w:rsidRPr="00E61082">
        <w:rPr>
          <w:sz w:val="26"/>
          <w:szCs w:val="26"/>
          <w:vertAlign w:val="superscript"/>
        </w:rPr>
        <w:footnoteReference w:id="1"/>
      </w:r>
      <w:r w:rsidR="00E61082" w:rsidRPr="00E61082">
        <w:rPr>
          <w:sz w:val="26"/>
          <w:szCs w:val="26"/>
        </w:rPr>
        <w:t xml:space="preserve">  </w:t>
      </w:r>
      <w:bookmarkStart w:id="8" w:name="_Hlk92446871"/>
      <w:r w:rsidR="00E61082" w:rsidRPr="00E61082">
        <w:rPr>
          <w:sz w:val="26"/>
          <w:szCs w:val="26"/>
        </w:rPr>
        <w:t>The allegations against Discount, from 2019 through May 2021, are as follows</w:t>
      </w:r>
      <w:r w:rsidR="00B74C5F">
        <w:rPr>
          <w:sz w:val="26"/>
          <w:szCs w:val="26"/>
        </w:rPr>
        <w:t xml:space="preserve">: </w:t>
      </w:r>
      <w:bookmarkEnd w:id="8"/>
      <w:r w:rsidR="00E61082" w:rsidRPr="00E61082">
        <w:rPr>
          <w:sz w:val="26"/>
          <w:szCs w:val="26"/>
        </w:rPr>
        <w:t xml:space="preserve">(1) misleading and deceptive telemarketing; (2) billing of incorrect rates; (3) failure to issue renewal letters; (4) unauthorized enrollments; and </w:t>
      </w:r>
      <w:r w:rsidR="00E61082" w:rsidRPr="00E61082">
        <w:rPr>
          <w:sz w:val="26"/>
          <w:szCs w:val="26"/>
        </w:rPr>
        <w:lastRenderedPageBreak/>
        <w:t>(5) a lack of record keeping.  Settlement at ¶¶ 7, 11.  I&amp;E and Discount entered into negotiations and agreed to resolve the matter in accordance with the Commission’s policy to promote settlements at 52 Pa. Code § 5.231.  Settlement at ¶ 12.</w:t>
      </w:r>
    </w:p>
    <w:p w14:paraId="1F837450" w14:textId="77777777" w:rsidR="00E61082" w:rsidRPr="00E61082" w:rsidRDefault="00E61082" w:rsidP="00E61082">
      <w:pPr>
        <w:spacing w:line="360" w:lineRule="auto"/>
        <w:ind w:firstLine="1440"/>
        <w:contextualSpacing/>
        <w:rPr>
          <w:sz w:val="26"/>
          <w:szCs w:val="26"/>
        </w:rPr>
      </w:pPr>
    </w:p>
    <w:p w14:paraId="1111E374" w14:textId="77777777" w:rsidR="00E61082" w:rsidRPr="00E61082" w:rsidRDefault="00E61082" w:rsidP="00E61082">
      <w:pPr>
        <w:spacing w:line="360" w:lineRule="auto"/>
        <w:ind w:firstLine="1440"/>
        <w:contextualSpacing/>
        <w:rPr>
          <w:sz w:val="26"/>
          <w:szCs w:val="26"/>
        </w:rPr>
      </w:pPr>
      <w:r w:rsidRPr="00E61082">
        <w:rPr>
          <w:sz w:val="26"/>
          <w:szCs w:val="26"/>
        </w:rPr>
        <w:t>By letter dated January 28, 2021, I&amp;E sent a data request to Discount (</w:t>
      </w:r>
      <w:r w:rsidRPr="00E61082">
        <w:rPr>
          <w:i/>
          <w:iCs/>
          <w:sz w:val="26"/>
          <w:szCs w:val="26"/>
        </w:rPr>
        <w:t>January 2021 Letter</w:t>
      </w:r>
      <w:r w:rsidRPr="00E61082">
        <w:rPr>
          <w:sz w:val="26"/>
          <w:szCs w:val="26"/>
        </w:rPr>
        <w:t xml:space="preserve">), notifying Discount that, based on information referred to I&amp;E by the Office of Competitive Market Oversight (OCMO), I&amp;E had instituted an informal investigation of Discount and a response to I&amp;E’s set of twenty-eight (28) data requests was required by March 1, 2021.  On March 1, 2021, Discount provided a timely response to I&amp;E’s data requests.  On April 20, 2021, I&amp;E requested a response to a second set of data requests.  On May 18, 2021, Discount provided a timely response to I&amp;E’s second set of data requests.  Settlement at ¶¶ 24-26.  </w:t>
      </w:r>
    </w:p>
    <w:p w14:paraId="764F8A11" w14:textId="77777777" w:rsidR="00E61082" w:rsidRPr="00E61082" w:rsidRDefault="00E61082" w:rsidP="00E61082">
      <w:pPr>
        <w:spacing w:line="360" w:lineRule="auto"/>
        <w:ind w:firstLine="1440"/>
        <w:contextualSpacing/>
        <w:rPr>
          <w:sz w:val="26"/>
          <w:szCs w:val="26"/>
        </w:rPr>
      </w:pPr>
    </w:p>
    <w:p w14:paraId="48D6DAD0" w14:textId="7B0A1D98" w:rsidR="00296170" w:rsidRDefault="00E61082" w:rsidP="00E61082">
      <w:pPr>
        <w:spacing w:line="360" w:lineRule="auto"/>
        <w:ind w:firstLine="1440"/>
        <w:contextualSpacing/>
        <w:rPr>
          <w:sz w:val="26"/>
          <w:szCs w:val="26"/>
        </w:rPr>
      </w:pPr>
      <w:r w:rsidRPr="00E61082">
        <w:rPr>
          <w:sz w:val="26"/>
          <w:szCs w:val="26"/>
        </w:rPr>
        <w:t xml:space="preserve">As previously noted, on August 27, 2021, I&amp;E and Discount filed the instant Settlement.  Also, as noted earlier, the Parties to the Settlement in this instance have each filed a Statement in Support.  </w:t>
      </w:r>
      <w:r w:rsidRPr="00E61082">
        <w:rPr>
          <w:i/>
          <w:iCs/>
          <w:sz w:val="26"/>
          <w:szCs w:val="26"/>
        </w:rPr>
        <w:t xml:space="preserve">See </w:t>
      </w:r>
      <w:r w:rsidRPr="00E61082">
        <w:rPr>
          <w:sz w:val="26"/>
          <w:szCs w:val="26"/>
        </w:rPr>
        <w:t xml:space="preserve">Appendix A and B to Settlement, which are Statements of Support filed by I&amp;E and Discount, </w:t>
      </w:r>
      <w:r w:rsidR="001C5E45" w:rsidRPr="001C5E45">
        <w:rPr>
          <w:sz w:val="26"/>
          <w:szCs w:val="26"/>
        </w:rPr>
        <w:t xml:space="preserve">respectively. </w:t>
      </w:r>
    </w:p>
    <w:p w14:paraId="5A3B431F" w14:textId="2E8AE90F" w:rsidR="00957B72" w:rsidRDefault="00957B72" w:rsidP="00D72AE9">
      <w:pPr>
        <w:spacing w:line="360" w:lineRule="auto"/>
        <w:ind w:firstLine="1440"/>
        <w:contextualSpacing/>
        <w:rPr>
          <w:sz w:val="26"/>
          <w:szCs w:val="26"/>
        </w:rPr>
      </w:pPr>
    </w:p>
    <w:p w14:paraId="05A4FBFD" w14:textId="19671C7F" w:rsidR="00654955" w:rsidRPr="00654955" w:rsidRDefault="00654955" w:rsidP="00654955">
      <w:pPr>
        <w:autoSpaceDE w:val="0"/>
        <w:autoSpaceDN w:val="0"/>
        <w:adjustRightInd w:val="0"/>
        <w:spacing w:line="360" w:lineRule="auto"/>
        <w:ind w:firstLine="1440"/>
        <w:contextualSpacing/>
        <w:rPr>
          <w:rFonts w:eastAsiaTheme="minorHAnsi"/>
          <w:sz w:val="26"/>
          <w:szCs w:val="26"/>
        </w:rPr>
      </w:pPr>
      <w:r w:rsidRPr="00654955">
        <w:rPr>
          <w:rFonts w:eastAsiaTheme="minorHAnsi"/>
          <w:sz w:val="26"/>
          <w:szCs w:val="26"/>
        </w:rPr>
        <w:t xml:space="preserve">In </w:t>
      </w:r>
      <w:r>
        <w:rPr>
          <w:rFonts w:eastAsiaTheme="minorHAnsi"/>
          <w:sz w:val="26"/>
          <w:szCs w:val="26"/>
        </w:rPr>
        <w:t>the Commission’s</w:t>
      </w:r>
      <w:r w:rsidRPr="00654955">
        <w:rPr>
          <w:rFonts w:eastAsiaTheme="minorHAnsi"/>
          <w:sz w:val="26"/>
          <w:szCs w:val="26"/>
        </w:rPr>
        <w:t xml:space="preserve"> </w:t>
      </w:r>
      <w:r w:rsidRPr="00654955">
        <w:rPr>
          <w:rFonts w:eastAsiaTheme="minorHAnsi"/>
          <w:i/>
          <w:iCs/>
          <w:sz w:val="26"/>
          <w:szCs w:val="26"/>
        </w:rPr>
        <w:t>October 2021 Order</w:t>
      </w:r>
      <w:r w:rsidRPr="00654955">
        <w:rPr>
          <w:rFonts w:eastAsiaTheme="minorHAnsi"/>
          <w:sz w:val="26"/>
          <w:szCs w:val="26"/>
        </w:rPr>
        <w:t xml:space="preserve">, we directed that notice of the Order and the proposed Settlement be published in the </w:t>
      </w:r>
      <w:r w:rsidRPr="00654955">
        <w:rPr>
          <w:rFonts w:eastAsiaTheme="minorHAnsi"/>
          <w:i/>
          <w:iCs/>
          <w:sz w:val="26"/>
          <w:szCs w:val="26"/>
        </w:rPr>
        <w:t>Pennsylvania Bulletin</w:t>
      </w:r>
      <w:r w:rsidRPr="00654955">
        <w:rPr>
          <w:rFonts w:eastAsiaTheme="minorHAnsi"/>
          <w:sz w:val="26"/>
          <w:szCs w:val="26"/>
        </w:rPr>
        <w:t>, to provide an opportunity for interested parties to file comments with the Commission regarding the proposed Settlement within twenty-five (25) days after the date of publication.</w:t>
      </w:r>
    </w:p>
    <w:p w14:paraId="2563DEF8" w14:textId="77777777" w:rsidR="00654955" w:rsidRPr="00A808D1" w:rsidRDefault="00654955" w:rsidP="00654955">
      <w:pPr>
        <w:autoSpaceDE w:val="0"/>
        <w:autoSpaceDN w:val="0"/>
        <w:adjustRightInd w:val="0"/>
        <w:spacing w:line="360" w:lineRule="auto"/>
        <w:ind w:firstLine="1440"/>
        <w:contextualSpacing/>
        <w:rPr>
          <w:rFonts w:eastAsiaTheme="minorHAnsi"/>
          <w:sz w:val="26"/>
          <w:szCs w:val="26"/>
        </w:rPr>
      </w:pPr>
    </w:p>
    <w:p w14:paraId="036DA391" w14:textId="615E1FF9" w:rsidR="00654955" w:rsidRDefault="00654955" w:rsidP="00654955">
      <w:pPr>
        <w:autoSpaceDE w:val="0"/>
        <w:autoSpaceDN w:val="0"/>
        <w:adjustRightInd w:val="0"/>
        <w:spacing w:line="360" w:lineRule="auto"/>
        <w:ind w:firstLine="1440"/>
        <w:contextualSpacing/>
        <w:rPr>
          <w:rFonts w:eastAsiaTheme="minorHAnsi"/>
          <w:sz w:val="26"/>
          <w:szCs w:val="26"/>
        </w:rPr>
      </w:pPr>
      <w:r w:rsidRPr="00A808D1">
        <w:rPr>
          <w:rFonts w:eastAsiaTheme="minorHAnsi"/>
          <w:sz w:val="26"/>
          <w:szCs w:val="26"/>
        </w:rPr>
        <w:t xml:space="preserve">On November 13, 2021, the </w:t>
      </w:r>
      <w:r w:rsidRPr="00A808D1">
        <w:rPr>
          <w:rFonts w:eastAsiaTheme="minorHAnsi"/>
          <w:i/>
          <w:iCs/>
          <w:sz w:val="26"/>
          <w:szCs w:val="26"/>
        </w:rPr>
        <w:t>October 2021 Order</w:t>
      </w:r>
      <w:r w:rsidRPr="00A808D1">
        <w:rPr>
          <w:rFonts w:eastAsiaTheme="minorHAnsi"/>
          <w:sz w:val="26"/>
          <w:szCs w:val="26"/>
        </w:rPr>
        <w:t xml:space="preserve">, along with the Settlement and Statements in Support, were published in the </w:t>
      </w:r>
      <w:r w:rsidRPr="00A808D1">
        <w:rPr>
          <w:rFonts w:eastAsiaTheme="minorHAnsi"/>
          <w:i/>
          <w:iCs/>
          <w:sz w:val="26"/>
          <w:szCs w:val="26"/>
        </w:rPr>
        <w:t>Pennsylvania Bulletin</w:t>
      </w:r>
      <w:r w:rsidRPr="00A808D1">
        <w:rPr>
          <w:rFonts w:eastAsiaTheme="minorHAnsi"/>
          <w:sz w:val="26"/>
          <w:szCs w:val="26"/>
        </w:rPr>
        <w:t>, 51 </w:t>
      </w:r>
      <w:r w:rsidRPr="00A808D1">
        <w:rPr>
          <w:rFonts w:eastAsiaTheme="minorHAnsi"/>
          <w:i/>
          <w:iCs/>
          <w:sz w:val="26"/>
          <w:szCs w:val="26"/>
        </w:rPr>
        <w:t>Pa.B.</w:t>
      </w:r>
      <w:r w:rsidRPr="00A808D1">
        <w:rPr>
          <w:rFonts w:eastAsiaTheme="minorHAnsi"/>
          <w:sz w:val="26"/>
          <w:szCs w:val="26"/>
        </w:rPr>
        <w:t xml:space="preserve"> 7151 (November 13, 2021).  </w:t>
      </w:r>
      <w:bookmarkStart w:id="9" w:name="_Hlk92112538"/>
      <w:r w:rsidRPr="00A808D1">
        <w:rPr>
          <w:rFonts w:eastAsiaTheme="minorHAnsi"/>
          <w:sz w:val="26"/>
          <w:szCs w:val="26"/>
        </w:rPr>
        <w:t xml:space="preserve">In accordance with the </w:t>
      </w:r>
      <w:r w:rsidRPr="00A808D1">
        <w:rPr>
          <w:rFonts w:eastAsiaTheme="minorHAnsi"/>
          <w:i/>
          <w:iCs/>
          <w:sz w:val="26"/>
          <w:szCs w:val="26"/>
        </w:rPr>
        <w:t>October 2021 Order</w:t>
      </w:r>
      <w:r w:rsidRPr="00A808D1">
        <w:rPr>
          <w:rFonts w:eastAsiaTheme="minorHAnsi"/>
          <w:sz w:val="26"/>
          <w:szCs w:val="26"/>
        </w:rPr>
        <w:t>, comments on the proposed Joint Settlement were due on or before December 8, 2021</w:t>
      </w:r>
      <w:bookmarkEnd w:id="9"/>
      <w:r w:rsidRPr="00A808D1">
        <w:rPr>
          <w:rFonts w:eastAsiaTheme="minorHAnsi"/>
          <w:sz w:val="26"/>
          <w:szCs w:val="26"/>
        </w:rPr>
        <w:t>.</w:t>
      </w:r>
    </w:p>
    <w:p w14:paraId="2028B27E" w14:textId="77777777" w:rsidR="00654955" w:rsidRDefault="00654955" w:rsidP="00654955">
      <w:pPr>
        <w:autoSpaceDE w:val="0"/>
        <w:autoSpaceDN w:val="0"/>
        <w:adjustRightInd w:val="0"/>
        <w:spacing w:line="360" w:lineRule="auto"/>
        <w:ind w:firstLine="1440"/>
        <w:contextualSpacing/>
        <w:rPr>
          <w:rFonts w:eastAsiaTheme="minorHAnsi"/>
          <w:sz w:val="26"/>
          <w:szCs w:val="26"/>
        </w:rPr>
      </w:pPr>
    </w:p>
    <w:p w14:paraId="049AF1A2" w14:textId="5E6DBC64" w:rsidR="00A903E7" w:rsidRPr="00A903E7" w:rsidRDefault="00160DA0" w:rsidP="00A903E7">
      <w:pPr>
        <w:tabs>
          <w:tab w:val="left" w:pos="-720"/>
        </w:tabs>
        <w:suppressAutoHyphens/>
        <w:spacing w:line="360" w:lineRule="auto"/>
        <w:ind w:firstLine="1440"/>
        <w:contextualSpacing/>
        <w:rPr>
          <w:rFonts w:eastAsia="Times New Roman"/>
          <w:sz w:val="26"/>
          <w:szCs w:val="26"/>
        </w:rPr>
      </w:pPr>
      <w:r>
        <w:rPr>
          <w:rFonts w:eastAsiaTheme="minorHAnsi"/>
          <w:sz w:val="26"/>
          <w:szCs w:val="26"/>
        </w:rPr>
        <w:lastRenderedPageBreak/>
        <w:t xml:space="preserve">As </w:t>
      </w:r>
      <w:r w:rsidR="00744497">
        <w:rPr>
          <w:rFonts w:eastAsiaTheme="minorHAnsi"/>
          <w:sz w:val="26"/>
          <w:szCs w:val="26"/>
        </w:rPr>
        <w:t>previously noted</w:t>
      </w:r>
      <w:r>
        <w:rPr>
          <w:rFonts w:eastAsiaTheme="minorHAnsi"/>
          <w:sz w:val="26"/>
          <w:szCs w:val="26"/>
        </w:rPr>
        <w:t xml:space="preserve">, </w:t>
      </w:r>
      <w:r w:rsidR="0023434F">
        <w:rPr>
          <w:rFonts w:eastAsiaTheme="minorHAnsi"/>
          <w:sz w:val="26"/>
          <w:szCs w:val="26"/>
        </w:rPr>
        <w:t>c</w:t>
      </w:r>
      <w:r w:rsidR="00654955" w:rsidRPr="00A903E7">
        <w:rPr>
          <w:rFonts w:eastAsiaTheme="minorHAnsi"/>
          <w:sz w:val="26"/>
          <w:szCs w:val="26"/>
        </w:rPr>
        <w:t xml:space="preserve">omments in response to the </w:t>
      </w:r>
      <w:r w:rsidR="00654955" w:rsidRPr="00A903E7">
        <w:rPr>
          <w:rFonts w:eastAsiaTheme="minorHAnsi"/>
          <w:i/>
          <w:iCs/>
          <w:sz w:val="26"/>
          <w:szCs w:val="26"/>
        </w:rPr>
        <w:t>October 2021 Order</w:t>
      </w:r>
      <w:r w:rsidR="004A3EFF">
        <w:rPr>
          <w:rFonts w:eastAsiaTheme="minorHAnsi"/>
          <w:sz w:val="26"/>
          <w:szCs w:val="26"/>
        </w:rPr>
        <w:t xml:space="preserve"> </w:t>
      </w:r>
      <w:r w:rsidR="00654955" w:rsidRPr="00A903E7">
        <w:rPr>
          <w:rFonts w:eastAsiaTheme="minorHAnsi"/>
          <w:sz w:val="26"/>
          <w:szCs w:val="26"/>
        </w:rPr>
        <w:t>were filed by PPL</w:t>
      </w:r>
      <w:r w:rsidR="002F4A53">
        <w:rPr>
          <w:rFonts w:eastAsiaTheme="minorHAnsi"/>
          <w:sz w:val="26"/>
          <w:szCs w:val="26"/>
        </w:rPr>
        <w:t xml:space="preserve"> and Mr.</w:t>
      </w:r>
      <w:r w:rsidR="000873EB">
        <w:rPr>
          <w:rFonts w:eastAsiaTheme="minorHAnsi"/>
          <w:sz w:val="26"/>
          <w:szCs w:val="26"/>
        </w:rPr>
        <w:t> </w:t>
      </w:r>
      <w:r w:rsidR="002F4A53">
        <w:rPr>
          <w:rFonts w:eastAsiaTheme="minorHAnsi"/>
          <w:sz w:val="26"/>
          <w:szCs w:val="26"/>
        </w:rPr>
        <w:t xml:space="preserve">Zimmerman, </w:t>
      </w:r>
      <w:r w:rsidR="0023434F">
        <w:rPr>
          <w:rFonts w:eastAsiaTheme="minorHAnsi"/>
          <w:sz w:val="26"/>
          <w:szCs w:val="26"/>
        </w:rPr>
        <w:t>o</w:t>
      </w:r>
      <w:r w:rsidR="0023434F" w:rsidRPr="00A903E7">
        <w:rPr>
          <w:rFonts w:eastAsiaTheme="minorHAnsi"/>
          <w:sz w:val="26"/>
          <w:szCs w:val="26"/>
        </w:rPr>
        <w:t>n December 8, 2021</w:t>
      </w:r>
      <w:r w:rsidR="0023434F">
        <w:rPr>
          <w:rFonts w:eastAsiaTheme="minorHAnsi"/>
          <w:sz w:val="26"/>
          <w:szCs w:val="26"/>
        </w:rPr>
        <w:t xml:space="preserve"> and December 9, 2021,</w:t>
      </w:r>
      <w:r w:rsidR="0023434F" w:rsidRPr="00A903E7">
        <w:rPr>
          <w:rFonts w:eastAsiaTheme="minorHAnsi"/>
          <w:sz w:val="26"/>
          <w:szCs w:val="26"/>
        </w:rPr>
        <w:t xml:space="preserve"> </w:t>
      </w:r>
      <w:r w:rsidR="002F4A53">
        <w:rPr>
          <w:rFonts w:eastAsiaTheme="minorHAnsi"/>
          <w:sz w:val="26"/>
          <w:szCs w:val="26"/>
        </w:rPr>
        <w:t>respectively</w:t>
      </w:r>
      <w:r w:rsidR="00654955" w:rsidRPr="00A903E7">
        <w:rPr>
          <w:rFonts w:eastAsiaTheme="minorHAnsi"/>
          <w:sz w:val="26"/>
          <w:szCs w:val="26"/>
        </w:rPr>
        <w:t>.</w:t>
      </w:r>
      <w:r w:rsidR="002F4A53">
        <w:rPr>
          <w:rStyle w:val="FootnoteReference"/>
          <w:rFonts w:eastAsiaTheme="minorHAnsi"/>
          <w:sz w:val="26"/>
          <w:szCs w:val="26"/>
        </w:rPr>
        <w:footnoteReference w:id="2"/>
      </w:r>
      <w:r w:rsidR="00A903E7" w:rsidRPr="00A903E7">
        <w:rPr>
          <w:rFonts w:eastAsia="Times New Roman"/>
          <w:sz w:val="26"/>
          <w:szCs w:val="26"/>
        </w:rPr>
        <w:t xml:space="preserve">  </w:t>
      </w:r>
      <w:r w:rsidR="00327863">
        <w:rPr>
          <w:rFonts w:eastAsia="Times New Roman"/>
          <w:sz w:val="26"/>
          <w:szCs w:val="26"/>
        </w:rPr>
        <w:t>Also</w:t>
      </w:r>
      <w:r w:rsidR="00744497">
        <w:rPr>
          <w:rFonts w:eastAsia="Times New Roman"/>
          <w:sz w:val="26"/>
          <w:szCs w:val="26"/>
        </w:rPr>
        <w:t>, as</w:t>
      </w:r>
      <w:r w:rsidR="000E089B">
        <w:rPr>
          <w:rFonts w:eastAsia="Times New Roman"/>
          <w:sz w:val="26"/>
          <w:szCs w:val="26"/>
        </w:rPr>
        <w:t xml:space="preserve"> </w:t>
      </w:r>
      <w:r w:rsidR="00327863">
        <w:rPr>
          <w:rFonts w:eastAsia="Times New Roman"/>
          <w:sz w:val="26"/>
          <w:szCs w:val="26"/>
        </w:rPr>
        <w:t>noted</w:t>
      </w:r>
      <w:r w:rsidR="00744497">
        <w:rPr>
          <w:rFonts w:eastAsia="Times New Roman"/>
          <w:sz w:val="26"/>
          <w:szCs w:val="26"/>
        </w:rPr>
        <w:t xml:space="preserve"> earlier</w:t>
      </w:r>
      <w:r w:rsidR="00327863">
        <w:rPr>
          <w:rFonts w:eastAsia="Times New Roman"/>
          <w:sz w:val="26"/>
          <w:szCs w:val="26"/>
        </w:rPr>
        <w:t>, o</w:t>
      </w:r>
      <w:r w:rsidR="00D566AC">
        <w:rPr>
          <w:rFonts w:eastAsia="Times New Roman"/>
          <w:sz w:val="26"/>
          <w:szCs w:val="26"/>
        </w:rPr>
        <w:t>n December 20</w:t>
      </w:r>
      <w:r w:rsidR="00330047">
        <w:rPr>
          <w:rFonts w:eastAsia="Times New Roman"/>
          <w:sz w:val="26"/>
          <w:szCs w:val="26"/>
        </w:rPr>
        <w:t xml:space="preserve">, 2021 and December 21, 2021, </w:t>
      </w:r>
      <w:r w:rsidR="002E33A7">
        <w:rPr>
          <w:rFonts w:eastAsia="Times New Roman"/>
          <w:sz w:val="26"/>
          <w:szCs w:val="26"/>
        </w:rPr>
        <w:t xml:space="preserve">Discount filed Motions to Strike the Comments </w:t>
      </w:r>
      <w:r w:rsidR="009A7BC8">
        <w:rPr>
          <w:rFonts w:eastAsia="Times New Roman"/>
          <w:sz w:val="26"/>
          <w:szCs w:val="26"/>
        </w:rPr>
        <w:t>of PPL and Mr.</w:t>
      </w:r>
      <w:r w:rsidR="000873EB">
        <w:rPr>
          <w:rFonts w:eastAsia="Times New Roman"/>
          <w:sz w:val="26"/>
          <w:szCs w:val="26"/>
        </w:rPr>
        <w:t> </w:t>
      </w:r>
      <w:r w:rsidR="009A7BC8">
        <w:rPr>
          <w:rFonts w:eastAsia="Times New Roman"/>
          <w:sz w:val="26"/>
          <w:szCs w:val="26"/>
        </w:rPr>
        <w:t>Zimmerman, respectively.</w:t>
      </w:r>
      <w:r w:rsidR="009A7BC8">
        <w:rPr>
          <w:rStyle w:val="FootnoteReference"/>
          <w:rFonts w:eastAsia="Times New Roman"/>
          <w:sz w:val="26"/>
          <w:szCs w:val="26"/>
        </w:rPr>
        <w:footnoteReference w:id="3"/>
      </w:r>
      <w:r w:rsidR="00A85242">
        <w:rPr>
          <w:rFonts w:eastAsia="Times New Roman"/>
          <w:sz w:val="26"/>
          <w:szCs w:val="26"/>
        </w:rPr>
        <w:t xml:space="preserve">  </w:t>
      </w:r>
      <w:r w:rsidR="00A85242">
        <w:rPr>
          <w:color w:val="000000" w:themeColor="text1"/>
          <w:sz w:val="26"/>
          <w:szCs w:val="26"/>
        </w:rPr>
        <w:t>PPL</w:t>
      </w:r>
      <w:r w:rsidR="0027612D">
        <w:rPr>
          <w:color w:val="000000" w:themeColor="text1"/>
          <w:sz w:val="26"/>
          <w:szCs w:val="26"/>
        </w:rPr>
        <w:t xml:space="preserve"> filed its </w:t>
      </w:r>
      <w:r w:rsidR="00A85242">
        <w:rPr>
          <w:color w:val="000000" w:themeColor="text1"/>
          <w:sz w:val="26"/>
          <w:szCs w:val="26"/>
        </w:rPr>
        <w:t>Answer to Discount’s Motion to Strike PPL’s Comments</w:t>
      </w:r>
      <w:r w:rsidR="0027612D">
        <w:rPr>
          <w:color w:val="000000" w:themeColor="text1"/>
          <w:sz w:val="26"/>
          <w:szCs w:val="26"/>
        </w:rPr>
        <w:t xml:space="preserve"> </w:t>
      </w:r>
      <w:r w:rsidR="00A85242">
        <w:rPr>
          <w:color w:val="000000" w:themeColor="text1"/>
          <w:sz w:val="26"/>
          <w:szCs w:val="26"/>
        </w:rPr>
        <w:t>on January 10, 2022.</w:t>
      </w:r>
    </w:p>
    <w:p w14:paraId="254B7D4F" w14:textId="77777777" w:rsidR="00EE10AD" w:rsidRPr="00E460CF" w:rsidRDefault="00EE10AD" w:rsidP="004A3EFF">
      <w:pPr>
        <w:spacing w:line="360" w:lineRule="auto"/>
        <w:rPr>
          <w:sz w:val="26"/>
          <w:szCs w:val="26"/>
        </w:rPr>
      </w:pPr>
    </w:p>
    <w:p w14:paraId="5C12FD84" w14:textId="77777777" w:rsidR="00EE10AD" w:rsidRPr="00E460CF" w:rsidRDefault="00EE10AD" w:rsidP="00E460CF">
      <w:pPr>
        <w:keepNext/>
        <w:keepLines/>
        <w:spacing w:line="360" w:lineRule="auto"/>
        <w:jc w:val="center"/>
        <w:rPr>
          <w:sz w:val="26"/>
          <w:szCs w:val="26"/>
        </w:rPr>
      </w:pPr>
      <w:r w:rsidRPr="00E460CF">
        <w:rPr>
          <w:b/>
          <w:bCs/>
          <w:sz w:val="26"/>
          <w:szCs w:val="26"/>
        </w:rPr>
        <w:t>Background</w:t>
      </w:r>
    </w:p>
    <w:p w14:paraId="5F94852C" w14:textId="77777777" w:rsidR="00EE10AD" w:rsidRPr="00E460CF" w:rsidRDefault="00EE10AD" w:rsidP="00E460CF">
      <w:pPr>
        <w:keepNext/>
        <w:keepLines/>
        <w:autoSpaceDE w:val="0"/>
        <w:autoSpaceDN w:val="0"/>
        <w:adjustRightInd w:val="0"/>
        <w:spacing w:line="360" w:lineRule="auto"/>
        <w:ind w:firstLine="1440"/>
        <w:rPr>
          <w:rFonts w:eastAsiaTheme="minorHAnsi"/>
          <w:sz w:val="26"/>
          <w:szCs w:val="26"/>
        </w:rPr>
      </w:pPr>
    </w:p>
    <w:p w14:paraId="20033247" w14:textId="58BD169C" w:rsidR="00A76BDC" w:rsidRPr="00A76BDC" w:rsidRDefault="00A76BDC" w:rsidP="005F6DA7">
      <w:pPr>
        <w:autoSpaceDE w:val="0"/>
        <w:autoSpaceDN w:val="0"/>
        <w:adjustRightInd w:val="0"/>
        <w:spacing w:line="360" w:lineRule="auto"/>
        <w:ind w:firstLine="1440"/>
        <w:contextualSpacing/>
        <w:rPr>
          <w:rFonts w:eastAsiaTheme="minorHAnsi"/>
          <w:sz w:val="26"/>
          <w:szCs w:val="26"/>
        </w:rPr>
      </w:pPr>
      <w:r w:rsidRPr="00A76BDC">
        <w:rPr>
          <w:rFonts w:eastAsiaTheme="minorHAnsi"/>
          <w:sz w:val="26"/>
          <w:szCs w:val="26"/>
        </w:rPr>
        <w:t>The basis for the instant Settlement resulted from I&amp;E’s investigation, which included</w:t>
      </w:r>
      <w:r w:rsidR="00B74C5F">
        <w:rPr>
          <w:rFonts w:eastAsiaTheme="minorHAnsi"/>
          <w:sz w:val="26"/>
          <w:szCs w:val="26"/>
        </w:rPr>
        <w:t xml:space="preserve">: </w:t>
      </w:r>
      <w:r w:rsidR="00F9735F">
        <w:rPr>
          <w:rFonts w:eastAsiaTheme="minorHAnsi"/>
          <w:sz w:val="26"/>
          <w:szCs w:val="26"/>
        </w:rPr>
        <w:t xml:space="preserve"> </w:t>
      </w:r>
      <w:r w:rsidR="00143038">
        <w:rPr>
          <w:rFonts w:eastAsiaTheme="minorHAnsi"/>
          <w:sz w:val="26"/>
          <w:szCs w:val="26"/>
        </w:rPr>
        <w:t>(1)</w:t>
      </w:r>
      <w:r w:rsidRPr="00A76BDC">
        <w:rPr>
          <w:rFonts w:eastAsiaTheme="minorHAnsi"/>
          <w:sz w:val="26"/>
          <w:szCs w:val="26"/>
        </w:rPr>
        <w:t xml:space="preserve"> a review of </w:t>
      </w:r>
      <w:r w:rsidR="009439DE">
        <w:rPr>
          <w:rFonts w:eastAsiaTheme="minorHAnsi"/>
          <w:sz w:val="26"/>
          <w:szCs w:val="26"/>
        </w:rPr>
        <w:t>a</w:t>
      </w:r>
      <w:r w:rsidRPr="00A76BDC">
        <w:rPr>
          <w:rFonts w:eastAsiaTheme="minorHAnsi"/>
          <w:sz w:val="26"/>
          <w:szCs w:val="26"/>
        </w:rPr>
        <w:t xml:space="preserve"> referral memo</w:t>
      </w:r>
      <w:r w:rsidR="009439DE">
        <w:rPr>
          <w:rFonts w:eastAsiaTheme="minorHAnsi"/>
          <w:sz w:val="26"/>
          <w:szCs w:val="26"/>
        </w:rPr>
        <w:t xml:space="preserve"> completed by OCMO</w:t>
      </w:r>
      <w:r w:rsidR="00143038">
        <w:rPr>
          <w:rFonts w:eastAsiaTheme="minorHAnsi"/>
          <w:sz w:val="26"/>
          <w:szCs w:val="26"/>
        </w:rPr>
        <w:t>; (2)</w:t>
      </w:r>
      <w:r w:rsidRPr="00A76BDC">
        <w:rPr>
          <w:rFonts w:eastAsiaTheme="minorHAnsi"/>
          <w:sz w:val="26"/>
          <w:szCs w:val="26"/>
        </w:rPr>
        <w:t xml:space="preserve"> </w:t>
      </w:r>
      <w:r w:rsidR="00E00A66">
        <w:rPr>
          <w:rFonts w:eastAsiaTheme="minorHAnsi"/>
          <w:sz w:val="26"/>
          <w:szCs w:val="26"/>
        </w:rPr>
        <w:t>informal</w:t>
      </w:r>
      <w:r w:rsidR="00B25B63">
        <w:rPr>
          <w:rFonts w:eastAsiaTheme="minorHAnsi"/>
          <w:sz w:val="26"/>
          <w:szCs w:val="26"/>
        </w:rPr>
        <w:t xml:space="preserve"> </w:t>
      </w:r>
      <w:r w:rsidRPr="00A76BDC">
        <w:rPr>
          <w:rFonts w:eastAsiaTheme="minorHAnsi"/>
          <w:sz w:val="26"/>
          <w:szCs w:val="26"/>
        </w:rPr>
        <w:t>customer complaints</w:t>
      </w:r>
      <w:r w:rsidR="00143038">
        <w:rPr>
          <w:rFonts w:eastAsiaTheme="minorHAnsi"/>
          <w:sz w:val="26"/>
          <w:szCs w:val="26"/>
        </w:rPr>
        <w:t>;</w:t>
      </w:r>
      <w:r w:rsidRPr="00A76BDC">
        <w:rPr>
          <w:rFonts w:eastAsiaTheme="minorHAnsi"/>
          <w:sz w:val="26"/>
          <w:szCs w:val="26"/>
        </w:rPr>
        <w:t xml:space="preserve"> and </w:t>
      </w:r>
      <w:r w:rsidR="00143038">
        <w:rPr>
          <w:rFonts w:eastAsiaTheme="minorHAnsi"/>
          <w:sz w:val="26"/>
          <w:szCs w:val="26"/>
        </w:rPr>
        <w:t>(3)</w:t>
      </w:r>
      <w:r w:rsidR="00A028C2">
        <w:rPr>
          <w:rFonts w:eastAsiaTheme="minorHAnsi"/>
          <w:sz w:val="26"/>
          <w:szCs w:val="26"/>
        </w:rPr>
        <w:t> </w:t>
      </w:r>
      <w:r w:rsidR="00327863">
        <w:rPr>
          <w:rFonts w:eastAsiaTheme="minorHAnsi"/>
          <w:sz w:val="26"/>
          <w:szCs w:val="26"/>
        </w:rPr>
        <w:t>Discoun</w:t>
      </w:r>
      <w:r w:rsidRPr="00A76BDC">
        <w:rPr>
          <w:rFonts w:eastAsiaTheme="minorHAnsi"/>
          <w:sz w:val="26"/>
          <w:szCs w:val="26"/>
        </w:rPr>
        <w:t xml:space="preserve">t’s responses to </w:t>
      </w:r>
      <w:r w:rsidR="00143038">
        <w:rPr>
          <w:rFonts w:eastAsiaTheme="minorHAnsi"/>
          <w:sz w:val="26"/>
          <w:szCs w:val="26"/>
        </w:rPr>
        <w:t>I&amp;E’s</w:t>
      </w:r>
      <w:r w:rsidRPr="00A76BDC">
        <w:rPr>
          <w:rFonts w:eastAsiaTheme="minorHAnsi"/>
          <w:sz w:val="26"/>
          <w:szCs w:val="26"/>
        </w:rPr>
        <w:t xml:space="preserve"> data requests.  Settlement at</w:t>
      </w:r>
      <w:r w:rsidR="00266E81">
        <w:rPr>
          <w:rFonts w:eastAsiaTheme="minorHAnsi"/>
          <w:sz w:val="26"/>
          <w:szCs w:val="26"/>
        </w:rPr>
        <w:t> </w:t>
      </w:r>
      <w:r w:rsidRPr="00A76BDC">
        <w:rPr>
          <w:rFonts w:eastAsiaTheme="minorHAnsi"/>
          <w:sz w:val="26"/>
          <w:szCs w:val="26"/>
        </w:rPr>
        <w:t xml:space="preserve">¶ </w:t>
      </w:r>
      <w:r w:rsidR="00707E15">
        <w:rPr>
          <w:rFonts w:eastAsiaTheme="minorHAnsi"/>
          <w:sz w:val="26"/>
          <w:szCs w:val="26"/>
        </w:rPr>
        <w:t>27</w:t>
      </w:r>
      <w:r w:rsidRPr="00A76BDC">
        <w:rPr>
          <w:rFonts w:eastAsiaTheme="minorHAnsi"/>
          <w:sz w:val="26"/>
          <w:szCs w:val="26"/>
        </w:rPr>
        <w:t>.</w:t>
      </w:r>
    </w:p>
    <w:p w14:paraId="74A2AE3C" w14:textId="77777777" w:rsidR="00A76BDC" w:rsidRDefault="00A76BDC" w:rsidP="005F6DA7">
      <w:pPr>
        <w:autoSpaceDE w:val="0"/>
        <w:autoSpaceDN w:val="0"/>
        <w:adjustRightInd w:val="0"/>
        <w:spacing w:line="360" w:lineRule="auto"/>
        <w:ind w:firstLine="1440"/>
        <w:contextualSpacing/>
        <w:rPr>
          <w:rFonts w:eastAsiaTheme="minorHAnsi"/>
          <w:sz w:val="26"/>
          <w:szCs w:val="26"/>
        </w:rPr>
      </w:pPr>
    </w:p>
    <w:p w14:paraId="2A2D7E6B" w14:textId="0AE10604" w:rsidR="00707E15" w:rsidRPr="00707E15" w:rsidRDefault="00D72AE9" w:rsidP="005F6DA7">
      <w:pPr>
        <w:autoSpaceDE w:val="0"/>
        <w:autoSpaceDN w:val="0"/>
        <w:adjustRightInd w:val="0"/>
        <w:spacing w:line="360" w:lineRule="auto"/>
        <w:ind w:firstLine="1440"/>
        <w:contextualSpacing/>
        <w:rPr>
          <w:rFonts w:eastAsiaTheme="minorHAnsi"/>
          <w:sz w:val="26"/>
          <w:szCs w:val="26"/>
        </w:rPr>
      </w:pPr>
      <w:r w:rsidRPr="00D72AE9">
        <w:rPr>
          <w:rFonts w:eastAsiaTheme="minorHAnsi"/>
          <w:sz w:val="26"/>
          <w:szCs w:val="26"/>
        </w:rPr>
        <w:t xml:space="preserve">On </w:t>
      </w:r>
      <w:r w:rsidR="00707E15" w:rsidRPr="00707E15">
        <w:rPr>
          <w:rFonts w:eastAsiaTheme="minorHAnsi"/>
          <w:sz w:val="26"/>
          <w:szCs w:val="26"/>
        </w:rPr>
        <w:t>October 29, 2020, OCMO sent a referral memo to I&amp;E alleging that, on August 24, 2020, the Director of OCMO had personally received a telemarketing call with a caller ID showing York, Pennsylvania.</w:t>
      </w:r>
      <w:r w:rsidR="00707E15" w:rsidRPr="00707E15">
        <w:rPr>
          <w:rFonts w:eastAsiaTheme="minorHAnsi"/>
          <w:sz w:val="26"/>
          <w:szCs w:val="26"/>
          <w:vertAlign w:val="superscript"/>
        </w:rPr>
        <w:footnoteReference w:id="4"/>
      </w:r>
      <w:r w:rsidR="00707E15" w:rsidRPr="00707E15">
        <w:rPr>
          <w:rFonts w:eastAsiaTheme="minorHAnsi"/>
          <w:sz w:val="26"/>
          <w:szCs w:val="26"/>
        </w:rPr>
        <w:t xml:space="preserve">  </w:t>
      </w:r>
      <w:bookmarkStart w:id="10" w:name="_Hlk92442085"/>
      <w:r w:rsidR="00707E15" w:rsidRPr="00707E15">
        <w:rPr>
          <w:rFonts w:eastAsiaTheme="minorHAnsi"/>
          <w:sz w:val="26"/>
          <w:szCs w:val="26"/>
        </w:rPr>
        <w:t xml:space="preserve">Specifically, the referral stated that the Director received an automated/robocall advertising a refund on his electric bill and, upon pressing one, an agent who came on the call identified himself by name but did not identify who he was calling on behalf of until several minutes into the call.  </w:t>
      </w:r>
      <w:bookmarkEnd w:id="10"/>
      <w:r w:rsidR="00707E15" w:rsidRPr="00707E15">
        <w:rPr>
          <w:rFonts w:eastAsiaTheme="minorHAnsi"/>
          <w:sz w:val="26"/>
          <w:szCs w:val="26"/>
        </w:rPr>
        <w:t xml:space="preserve">The agent, </w:t>
      </w:r>
      <w:r w:rsidR="00707E15" w:rsidRPr="00707E15">
        <w:rPr>
          <w:rFonts w:eastAsiaTheme="minorHAnsi"/>
          <w:sz w:val="26"/>
          <w:szCs w:val="26"/>
        </w:rPr>
        <w:lastRenderedPageBreak/>
        <w:t xml:space="preserve">who eventually said that he represented Discount, stated that: (1) he could provide a better, fixed rate for 24 months; (2) the Director would receive a $50 reward card every month; (3) the supplier would be “chosen by PPL;” and (4) “nothing will be changing” on the electric bill.  </w:t>
      </w:r>
      <w:bookmarkStart w:id="11" w:name="_Hlk81995041"/>
      <w:r w:rsidR="00707E15" w:rsidRPr="00707E15">
        <w:rPr>
          <w:rFonts w:eastAsiaTheme="minorHAnsi"/>
          <w:sz w:val="26"/>
          <w:szCs w:val="26"/>
        </w:rPr>
        <w:t xml:space="preserve">Settlement at ¶¶ 15-18, 28.  </w:t>
      </w:r>
      <w:bookmarkEnd w:id="11"/>
      <w:r w:rsidR="00707E15" w:rsidRPr="00707E15">
        <w:rPr>
          <w:rFonts w:eastAsiaTheme="minorHAnsi"/>
          <w:sz w:val="26"/>
          <w:szCs w:val="26"/>
        </w:rPr>
        <w:t xml:space="preserve">Further, the Director stated that he was </w:t>
      </w:r>
      <w:r w:rsidR="00707E15" w:rsidRPr="004C1CF3">
        <w:rPr>
          <w:rFonts w:eastAsiaTheme="minorHAnsi"/>
          <w:sz w:val="26"/>
          <w:szCs w:val="26"/>
        </w:rPr>
        <w:t>advised that he would receive a newer, lower rate of 8.29 cents.  Settlement at ¶¶ 19, 28.</w:t>
      </w:r>
      <w:r w:rsidR="00707E15" w:rsidRPr="00707E15">
        <w:rPr>
          <w:rFonts w:eastAsiaTheme="minorHAnsi"/>
          <w:sz w:val="26"/>
          <w:szCs w:val="26"/>
        </w:rPr>
        <w:t xml:space="preserve">  Moreover, the Director noted that upon being guided through the verification process, he was successfully enrolled with Discount; however, in contrast to the information provided by the agent, the verifier stated that enrollment was for a fixed 3</w:t>
      </w:r>
      <w:r w:rsidR="00707E15" w:rsidRPr="00707E15">
        <w:rPr>
          <w:rFonts w:eastAsiaTheme="minorHAnsi"/>
          <w:sz w:val="26"/>
          <w:szCs w:val="26"/>
        </w:rPr>
        <w:noBreakHyphen/>
        <w:t xml:space="preserve">month plan at a rate of </w:t>
      </w:r>
      <w:r w:rsidR="00707E15" w:rsidRPr="004C1CF3">
        <w:rPr>
          <w:rFonts w:eastAsiaTheme="minorHAnsi"/>
          <w:sz w:val="26"/>
          <w:szCs w:val="26"/>
        </w:rPr>
        <w:t>8.29 cents</w:t>
      </w:r>
      <w:r w:rsidR="00707E15" w:rsidRPr="00707E15">
        <w:rPr>
          <w:rFonts w:eastAsiaTheme="minorHAnsi"/>
          <w:sz w:val="26"/>
          <w:szCs w:val="26"/>
        </w:rPr>
        <w:t xml:space="preserve">.  Settlement at ¶¶ 20, 28.  Furthermore, the verifier stated that a $4.95 monthly fee would be incurred even though the agent did not disclose such a fee during the call.  </w:t>
      </w:r>
      <w:bookmarkStart w:id="12" w:name="_Hlk77079040"/>
      <w:r w:rsidR="00707E15" w:rsidRPr="00707E15">
        <w:rPr>
          <w:rFonts w:eastAsiaTheme="minorHAnsi"/>
          <w:sz w:val="26"/>
          <w:szCs w:val="26"/>
        </w:rPr>
        <w:t xml:space="preserve">Settlement at ¶¶ </w:t>
      </w:r>
      <w:bookmarkEnd w:id="12"/>
      <w:r w:rsidR="00707E15" w:rsidRPr="00707E15">
        <w:rPr>
          <w:rFonts w:eastAsiaTheme="minorHAnsi"/>
          <w:sz w:val="26"/>
          <w:szCs w:val="26"/>
        </w:rPr>
        <w:t xml:space="preserve">21, 28.  Finally, the Director noted that, on or about September 8, 2020, his account was switched to Discount, and he received a welcome letter and disclosure statement from Discount, dated August 26, 2020.  Settlement at ¶ 22.  </w:t>
      </w:r>
    </w:p>
    <w:p w14:paraId="2E57A3FE" w14:textId="77777777" w:rsidR="00707E15" w:rsidRPr="00707E15" w:rsidRDefault="00707E15" w:rsidP="005F6DA7">
      <w:pPr>
        <w:autoSpaceDE w:val="0"/>
        <w:autoSpaceDN w:val="0"/>
        <w:adjustRightInd w:val="0"/>
        <w:spacing w:line="360" w:lineRule="auto"/>
        <w:ind w:firstLine="1440"/>
        <w:contextualSpacing/>
        <w:rPr>
          <w:rFonts w:eastAsiaTheme="minorHAnsi"/>
          <w:i/>
          <w:iCs/>
          <w:sz w:val="26"/>
          <w:szCs w:val="26"/>
        </w:rPr>
      </w:pPr>
    </w:p>
    <w:p w14:paraId="733B07EF" w14:textId="77777777" w:rsidR="00707E15" w:rsidRPr="00707E15" w:rsidRDefault="00707E15" w:rsidP="005F6DA7">
      <w:pPr>
        <w:autoSpaceDE w:val="0"/>
        <w:autoSpaceDN w:val="0"/>
        <w:adjustRightInd w:val="0"/>
        <w:spacing w:line="360" w:lineRule="auto"/>
        <w:ind w:firstLine="1440"/>
        <w:contextualSpacing/>
        <w:rPr>
          <w:rFonts w:eastAsiaTheme="minorHAnsi"/>
          <w:sz w:val="26"/>
          <w:szCs w:val="26"/>
        </w:rPr>
      </w:pPr>
      <w:bookmarkStart w:id="13" w:name="_Hlk92446533"/>
      <w:r w:rsidRPr="00707E15">
        <w:rPr>
          <w:rFonts w:eastAsiaTheme="minorHAnsi"/>
          <w:sz w:val="26"/>
          <w:szCs w:val="26"/>
        </w:rPr>
        <w:t xml:space="preserve">In addition to the allegations contained in the OCMO referral memo, I&amp;E identified </w:t>
      </w:r>
      <w:bookmarkStart w:id="14" w:name="_Hlk91980347"/>
      <w:r w:rsidRPr="00707E15">
        <w:rPr>
          <w:rFonts w:eastAsiaTheme="minorHAnsi"/>
          <w:sz w:val="26"/>
          <w:szCs w:val="26"/>
        </w:rPr>
        <w:t xml:space="preserve">several informal complaints </w:t>
      </w:r>
      <w:bookmarkEnd w:id="14"/>
      <w:r w:rsidRPr="00707E15">
        <w:rPr>
          <w:rFonts w:eastAsiaTheme="minorHAnsi"/>
          <w:sz w:val="26"/>
          <w:szCs w:val="26"/>
        </w:rPr>
        <w:t xml:space="preserve">which raised concerns of telemarketing misrepresentation, billing of incorrect rates, failure to issue renewal letters, and the enrollment of individuals without authorization or the capacity to enroll.  </w:t>
      </w:r>
      <w:bookmarkEnd w:id="13"/>
      <w:r w:rsidRPr="00707E15">
        <w:rPr>
          <w:rFonts w:eastAsiaTheme="minorHAnsi"/>
          <w:sz w:val="26"/>
          <w:szCs w:val="26"/>
        </w:rPr>
        <w:t>Each customer complaint, as summarized in the Settlement, is reprinted verbatim below:</w:t>
      </w:r>
    </w:p>
    <w:p w14:paraId="3AAC52A9" w14:textId="77777777" w:rsidR="00707E15" w:rsidRPr="00707E15" w:rsidRDefault="00707E15" w:rsidP="00F9735F">
      <w:pPr>
        <w:autoSpaceDE w:val="0"/>
        <w:autoSpaceDN w:val="0"/>
        <w:adjustRightInd w:val="0"/>
        <w:ind w:firstLine="1440"/>
        <w:contextualSpacing/>
        <w:rPr>
          <w:rFonts w:eastAsiaTheme="minorHAnsi"/>
          <w:sz w:val="26"/>
          <w:szCs w:val="26"/>
        </w:rPr>
      </w:pPr>
    </w:p>
    <w:p w14:paraId="118EBAE7" w14:textId="77777777" w:rsidR="0063045B" w:rsidRPr="004E68CD" w:rsidRDefault="0063045B" w:rsidP="0063045B">
      <w:pPr>
        <w:pStyle w:val="ListParagraph"/>
        <w:keepNext/>
        <w:keepLines/>
        <w:numPr>
          <w:ilvl w:val="0"/>
          <w:numId w:val="35"/>
        </w:numPr>
        <w:autoSpaceDE w:val="0"/>
        <w:autoSpaceDN w:val="0"/>
        <w:adjustRightInd w:val="0"/>
        <w:ind w:left="2160" w:right="1440" w:hanging="720"/>
        <w:rPr>
          <w:rFonts w:eastAsiaTheme="minorHAnsi"/>
          <w:sz w:val="26"/>
          <w:szCs w:val="26"/>
        </w:rPr>
      </w:pPr>
      <w:r w:rsidRPr="004E68CD">
        <w:rPr>
          <w:rFonts w:eastAsiaTheme="minorHAnsi"/>
          <w:sz w:val="26"/>
          <w:szCs w:val="26"/>
        </w:rPr>
        <w:t>Five (5) incidents</w:t>
      </w:r>
      <w:r w:rsidRPr="004E68CD">
        <w:rPr>
          <w:rStyle w:val="FootnoteReference"/>
          <w:rFonts w:eastAsiaTheme="minorHAnsi"/>
          <w:sz w:val="26"/>
          <w:szCs w:val="26"/>
        </w:rPr>
        <w:footnoteReference w:id="5"/>
      </w:r>
      <w:r w:rsidRPr="004E68CD">
        <w:rPr>
          <w:rFonts w:eastAsiaTheme="minorHAnsi"/>
          <w:sz w:val="26"/>
          <w:szCs w:val="26"/>
        </w:rPr>
        <w:t xml:space="preserve"> where DPI requested a refund for the customer after an allegation of misrepresentation;</w:t>
      </w:r>
    </w:p>
    <w:p w14:paraId="2BA4EC3D" w14:textId="77777777" w:rsidR="0063045B" w:rsidRPr="004E68CD" w:rsidRDefault="0063045B" w:rsidP="0063045B">
      <w:pPr>
        <w:autoSpaceDE w:val="0"/>
        <w:autoSpaceDN w:val="0"/>
        <w:adjustRightInd w:val="0"/>
        <w:ind w:left="2160" w:right="1440" w:hanging="720"/>
        <w:contextualSpacing/>
        <w:rPr>
          <w:rFonts w:eastAsiaTheme="minorHAnsi"/>
          <w:sz w:val="26"/>
          <w:szCs w:val="26"/>
        </w:rPr>
      </w:pPr>
    </w:p>
    <w:p w14:paraId="71079C1A" w14:textId="77777777" w:rsidR="0063045B" w:rsidRPr="004E68CD" w:rsidRDefault="0063045B" w:rsidP="0063045B">
      <w:pPr>
        <w:pStyle w:val="ListParagraph"/>
        <w:keepNext/>
        <w:keepLines/>
        <w:numPr>
          <w:ilvl w:val="0"/>
          <w:numId w:val="35"/>
        </w:numPr>
        <w:autoSpaceDE w:val="0"/>
        <w:autoSpaceDN w:val="0"/>
        <w:adjustRightInd w:val="0"/>
        <w:ind w:left="2160" w:right="1440" w:hanging="720"/>
        <w:rPr>
          <w:rFonts w:eastAsiaTheme="minorHAnsi"/>
          <w:sz w:val="26"/>
          <w:szCs w:val="26"/>
        </w:rPr>
      </w:pPr>
      <w:r w:rsidRPr="004E68CD">
        <w:rPr>
          <w:rFonts w:eastAsiaTheme="minorHAnsi"/>
          <w:sz w:val="26"/>
          <w:szCs w:val="26"/>
        </w:rPr>
        <w:t>Two (2) incidents where customers alleged misrepresentation but DPI offered refund for the “inconvenience;”</w:t>
      </w:r>
    </w:p>
    <w:p w14:paraId="4BFC7746" w14:textId="77777777" w:rsidR="0063045B" w:rsidRPr="004E68CD" w:rsidRDefault="0063045B" w:rsidP="0063045B">
      <w:pPr>
        <w:autoSpaceDE w:val="0"/>
        <w:autoSpaceDN w:val="0"/>
        <w:adjustRightInd w:val="0"/>
        <w:ind w:left="2160" w:right="1440" w:hanging="720"/>
        <w:contextualSpacing/>
        <w:rPr>
          <w:rFonts w:eastAsiaTheme="minorHAnsi"/>
          <w:sz w:val="26"/>
          <w:szCs w:val="26"/>
        </w:rPr>
      </w:pPr>
    </w:p>
    <w:p w14:paraId="2F788C93" w14:textId="77777777" w:rsidR="0063045B" w:rsidRPr="004E68CD" w:rsidRDefault="0063045B" w:rsidP="001115AF">
      <w:pPr>
        <w:pStyle w:val="ListParagraph"/>
        <w:keepLines/>
        <w:numPr>
          <w:ilvl w:val="0"/>
          <w:numId w:val="35"/>
        </w:numPr>
        <w:autoSpaceDE w:val="0"/>
        <w:autoSpaceDN w:val="0"/>
        <w:adjustRightInd w:val="0"/>
        <w:ind w:left="2160" w:right="1440" w:hanging="720"/>
        <w:rPr>
          <w:rFonts w:eastAsiaTheme="minorHAnsi"/>
          <w:sz w:val="26"/>
          <w:szCs w:val="26"/>
        </w:rPr>
      </w:pPr>
      <w:r w:rsidRPr="004E68CD">
        <w:rPr>
          <w:rFonts w:eastAsiaTheme="minorHAnsi"/>
          <w:sz w:val="26"/>
          <w:szCs w:val="26"/>
        </w:rPr>
        <w:t>Two (2) incidents where DPI requested a refund after an allegation of misrepresentation and noted possible tampering with the recording(s);</w:t>
      </w:r>
    </w:p>
    <w:p w14:paraId="5D0FE65C" w14:textId="77777777" w:rsidR="0063045B" w:rsidRPr="004E68CD" w:rsidRDefault="0063045B" w:rsidP="001115AF">
      <w:pPr>
        <w:pStyle w:val="ListParagraph"/>
        <w:keepLines/>
        <w:numPr>
          <w:ilvl w:val="0"/>
          <w:numId w:val="35"/>
        </w:numPr>
        <w:autoSpaceDE w:val="0"/>
        <w:autoSpaceDN w:val="0"/>
        <w:adjustRightInd w:val="0"/>
        <w:ind w:left="2160" w:right="1440" w:hanging="720"/>
        <w:rPr>
          <w:rFonts w:eastAsiaTheme="minorHAnsi"/>
          <w:sz w:val="26"/>
          <w:szCs w:val="26"/>
        </w:rPr>
      </w:pPr>
      <w:r w:rsidRPr="004E68CD">
        <w:rPr>
          <w:rFonts w:eastAsiaTheme="minorHAnsi"/>
          <w:sz w:val="26"/>
          <w:szCs w:val="26"/>
        </w:rPr>
        <w:lastRenderedPageBreak/>
        <w:t xml:space="preserve">Two (2) incidents where an agent was suspended and retrained after complaints of </w:t>
      </w:r>
      <w:proofErr w:type="gramStart"/>
      <w:r w:rsidRPr="004E68CD">
        <w:rPr>
          <w:rFonts w:eastAsiaTheme="minorHAnsi"/>
          <w:sz w:val="26"/>
          <w:szCs w:val="26"/>
        </w:rPr>
        <w:t>misrepresentation</w:t>
      </w:r>
      <w:r>
        <w:rPr>
          <w:rFonts w:eastAsiaTheme="minorHAnsi"/>
          <w:sz w:val="26"/>
          <w:szCs w:val="26"/>
        </w:rPr>
        <w:t>;</w:t>
      </w:r>
      <w:proofErr w:type="gramEnd"/>
    </w:p>
    <w:p w14:paraId="46052F8A" w14:textId="77777777" w:rsidR="0063045B" w:rsidRDefault="0063045B" w:rsidP="001115AF">
      <w:pPr>
        <w:autoSpaceDE w:val="0"/>
        <w:autoSpaceDN w:val="0"/>
        <w:adjustRightInd w:val="0"/>
        <w:ind w:left="2160" w:right="1440" w:hanging="720"/>
        <w:contextualSpacing/>
        <w:rPr>
          <w:rFonts w:eastAsiaTheme="minorHAnsi"/>
          <w:sz w:val="26"/>
          <w:szCs w:val="26"/>
          <w:highlight w:val="yellow"/>
        </w:rPr>
      </w:pPr>
    </w:p>
    <w:p w14:paraId="4FFD8BFC" w14:textId="77777777" w:rsidR="0063045B" w:rsidRDefault="0063045B" w:rsidP="001115AF">
      <w:pPr>
        <w:pStyle w:val="ListParagraph"/>
        <w:keepLines/>
        <w:numPr>
          <w:ilvl w:val="0"/>
          <w:numId w:val="35"/>
        </w:numPr>
        <w:autoSpaceDE w:val="0"/>
        <w:autoSpaceDN w:val="0"/>
        <w:adjustRightInd w:val="0"/>
        <w:ind w:left="2160" w:right="1440" w:hanging="720"/>
        <w:rPr>
          <w:rFonts w:eastAsiaTheme="minorHAnsi"/>
          <w:sz w:val="26"/>
          <w:szCs w:val="26"/>
        </w:rPr>
      </w:pPr>
      <w:r w:rsidRPr="00407FBD">
        <w:rPr>
          <w:rFonts w:eastAsiaTheme="minorHAnsi"/>
          <w:sz w:val="26"/>
          <w:szCs w:val="26"/>
        </w:rPr>
        <w:t>Two (2) incidents where misrepresentation and deceptive enrollment resulted in the termination of an agent</w:t>
      </w:r>
      <w:r>
        <w:rPr>
          <w:rFonts w:eastAsiaTheme="minorHAnsi"/>
          <w:sz w:val="26"/>
          <w:szCs w:val="26"/>
        </w:rPr>
        <w:t>;</w:t>
      </w:r>
    </w:p>
    <w:p w14:paraId="4CF02DFE" w14:textId="77777777" w:rsidR="0063045B" w:rsidRPr="00407FBD" w:rsidRDefault="0063045B" w:rsidP="001115AF">
      <w:pPr>
        <w:pStyle w:val="ListParagraph"/>
        <w:ind w:left="2160" w:hanging="720"/>
        <w:rPr>
          <w:rFonts w:eastAsiaTheme="minorHAnsi"/>
          <w:sz w:val="26"/>
          <w:szCs w:val="26"/>
        </w:rPr>
      </w:pPr>
    </w:p>
    <w:p w14:paraId="3521553F" w14:textId="77777777" w:rsidR="0063045B" w:rsidRDefault="0063045B" w:rsidP="001115AF">
      <w:pPr>
        <w:pStyle w:val="ListParagraph"/>
        <w:keepLines/>
        <w:numPr>
          <w:ilvl w:val="0"/>
          <w:numId w:val="35"/>
        </w:numPr>
        <w:autoSpaceDE w:val="0"/>
        <w:autoSpaceDN w:val="0"/>
        <w:adjustRightInd w:val="0"/>
        <w:ind w:left="2160" w:right="1440" w:hanging="720"/>
        <w:rPr>
          <w:rFonts w:eastAsiaTheme="minorHAnsi"/>
          <w:sz w:val="26"/>
          <w:szCs w:val="26"/>
        </w:rPr>
      </w:pPr>
      <w:r w:rsidRPr="00407FBD">
        <w:rPr>
          <w:rFonts w:eastAsiaTheme="minorHAnsi"/>
          <w:sz w:val="26"/>
          <w:szCs w:val="26"/>
        </w:rPr>
        <w:t>Two (2) incidents where DPI improperly enrolled a customer as a “winback</w:t>
      </w:r>
      <w:r>
        <w:rPr>
          <w:rFonts w:eastAsiaTheme="minorHAnsi"/>
          <w:sz w:val="26"/>
          <w:szCs w:val="26"/>
        </w:rPr>
        <w:t>;”</w:t>
      </w:r>
    </w:p>
    <w:p w14:paraId="5AD021E9" w14:textId="77777777" w:rsidR="0063045B" w:rsidRPr="00647EE6" w:rsidRDefault="0063045B" w:rsidP="001115AF">
      <w:pPr>
        <w:pStyle w:val="ListParagraph"/>
        <w:ind w:left="2160" w:hanging="720"/>
        <w:rPr>
          <w:rFonts w:eastAsiaTheme="minorHAnsi"/>
          <w:sz w:val="26"/>
          <w:szCs w:val="26"/>
        </w:rPr>
      </w:pPr>
    </w:p>
    <w:p w14:paraId="7DB1C12E" w14:textId="77777777" w:rsidR="0063045B" w:rsidRDefault="0063045B" w:rsidP="001115AF">
      <w:pPr>
        <w:pStyle w:val="ListParagraph"/>
        <w:keepLines/>
        <w:numPr>
          <w:ilvl w:val="0"/>
          <w:numId w:val="35"/>
        </w:numPr>
        <w:autoSpaceDE w:val="0"/>
        <w:autoSpaceDN w:val="0"/>
        <w:adjustRightInd w:val="0"/>
        <w:ind w:left="2160" w:right="1440" w:hanging="720"/>
        <w:rPr>
          <w:rFonts w:eastAsiaTheme="minorHAnsi"/>
          <w:sz w:val="26"/>
          <w:szCs w:val="26"/>
        </w:rPr>
      </w:pPr>
      <w:r w:rsidRPr="00647EE6">
        <w:rPr>
          <w:rFonts w:eastAsiaTheme="minorHAnsi"/>
          <w:sz w:val="26"/>
          <w:szCs w:val="26"/>
        </w:rPr>
        <w:t>One (1) incident where DPI improperly enrolled a customer as a “winback” but only offered to provide a refund if the customer stayed with DPI</w:t>
      </w:r>
      <w:r>
        <w:rPr>
          <w:rFonts w:eastAsiaTheme="minorHAnsi"/>
          <w:sz w:val="26"/>
          <w:szCs w:val="26"/>
        </w:rPr>
        <w:t>;</w:t>
      </w:r>
    </w:p>
    <w:p w14:paraId="274D043D" w14:textId="77777777" w:rsidR="0063045B" w:rsidRPr="00647EE6" w:rsidRDefault="0063045B" w:rsidP="001115AF">
      <w:pPr>
        <w:pStyle w:val="ListParagraph"/>
        <w:ind w:left="2160" w:hanging="720"/>
        <w:rPr>
          <w:rFonts w:eastAsiaTheme="minorHAnsi"/>
          <w:sz w:val="26"/>
          <w:szCs w:val="26"/>
        </w:rPr>
      </w:pPr>
    </w:p>
    <w:p w14:paraId="50A85BD2" w14:textId="77777777" w:rsidR="0063045B" w:rsidRDefault="0063045B" w:rsidP="001115AF">
      <w:pPr>
        <w:pStyle w:val="ListParagraph"/>
        <w:keepLines/>
        <w:numPr>
          <w:ilvl w:val="0"/>
          <w:numId w:val="35"/>
        </w:numPr>
        <w:autoSpaceDE w:val="0"/>
        <w:autoSpaceDN w:val="0"/>
        <w:adjustRightInd w:val="0"/>
        <w:ind w:left="2160" w:right="1440" w:hanging="720"/>
        <w:rPr>
          <w:rFonts w:eastAsiaTheme="minorHAnsi"/>
          <w:sz w:val="26"/>
          <w:szCs w:val="26"/>
        </w:rPr>
      </w:pPr>
      <w:r w:rsidRPr="00647EE6">
        <w:rPr>
          <w:rFonts w:eastAsiaTheme="minorHAnsi"/>
          <w:sz w:val="26"/>
          <w:szCs w:val="26"/>
        </w:rPr>
        <w:t>One (1) incident of enrolling a customer with dementia in a nursing home</w:t>
      </w:r>
      <w:r>
        <w:rPr>
          <w:rFonts w:eastAsiaTheme="minorHAnsi"/>
          <w:sz w:val="26"/>
          <w:szCs w:val="26"/>
        </w:rPr>
        <w:t>;</w:t>
      </w:r>
    </w:p>
    <w:p w14:paraId="65D761F3" w14:textId="77777777" w:rsidR="0063045B" w:rsidRPr="00647EE6" w:rsidRDefault="0063045B" w:rsidP="001115AF">
      <w:pPr>
        <w:pStyle w:val="ListParagraph"/>
        <w:ind w:left="2160" w:hanging="720"/>
        <w:rPr>
          <w:rFonts w:eastAsiaTheme="minorHAnsi"/>
          <w:sz w:val="26"/>
          <w:szCs w:val="26"/>
        </w:rPr>
      </w:pPr>
    </w:p>
    <w:p w14:paraId="12D59F3E" w14:textId="77777777" w:rsidR="0063045B" w:rsidRDefault="0063045B" w:rsidP="001115AF">
      <w:pPr>
        <w:pStyle w:val="ListParagraph"/>
        <w:keepLines/>
        <w:numPr>
          <w:ilvl w:val="0"/>
          <w:numId w:val="35"/>
        </w:numPr>
        <w:autoSpaceDE w:val="0"/>
        <w:autoSpaceDN w:val="0"/>
        <w:adjustRightInd w:val="0"/>
        <w:ind w:left="2160" w:right="1440" w:hanging="720"/>
        <w:rPr>
          <w:rFonts w:eastAsiaTheme="minorHAnsi"/>
          <w:sz w:val="26"/>
          <w:szCs w:val="26"/>
        </w:rPr>
      </w:pPr>
      <w:r w:rsidRPr="00647EE6">
        <w:rPr>
          <w:rFonts w:eastAsiaTheme="minorHAnsi"/>
          <w:sz w:val="26"/>
          <w:szCs w:val="26"/>
        </w:rPr>
        <w:t>One (1) incident of enrolling a customer with dementia who did not have legal ability to enter into a contract</w:t>
      </w:r>
      <w:r>
        <w:rPr>
          <w:rFonts w:eastAsiaTheme="minorHAnsi"/>
          <w:sz w:val="26"/>
          <w:szCs w:val="26"/>
        </w:rPr>
        <w:t>;</w:t>
      </w:r>
    </w:p>
    <w:p w14:paraId="284AB995" w14:textId="77777777" w:rsidR="0063045B" w:rsidRPr="00647EE6" w:rsidRDefault="0063045B" w:rsidP="001115AF">
      <w:pPr>
        <w:pStyle w:val="ListParagraph"/>
        <w:ind w:left="2160" w:hanging="720"/>
        <w:rPr>
          <w:rFonts w:eastAsiaTheme="minorHAnsi"/>
          <w:sz w:val="26"/>
          <w:szCs w:val="26"/>
        </w:rPr>
      </w:pPr>
    </w:p>
    <w:p w14:paraId="55BE5B79" w14:textId="77777777" w:rsidR="0063045B" w:rsidRDefault="0063045B" w:rsidP="001115AF">
      <w:pPr>
        <w:pStyle w:val="ListParagraph"/>
        <w:keepLines/>
        <w:numPr>
          <w:ilvl w:val="0"/>
          <w:numId w:val="35"/>
        </w:numPr>
        <w:autoSpaceDE w:val="0"/>
        <w:autoSpaceDN w:val="0"/>
        <w:adjustRightInd w:val="0"/>
        <w:ind w:left="2160" w:right="1440" w:hanging="720"/>
        <w:rPr>
          <w:rFonts w:eastAsiaTheme="minorHAnsi"/>
          <w:sz w:val="26"/>
          <w:szCs w:val="26"/>
        </w:rPr>
      </w:pPr>
      <w:r w:rsidRPr="00647EE6">
        <w:rPr>
          <w:rFonts w:eastAsiaTheme="minorHAnsi"/>
          <w:sz w:val="26"/>
          <w:szCs w:val="26"/>
        </w:rPr>
        <w:t>One (1) incident of enrolling an elderly customer who did not have authorization to enroll</w:t>
      </w:r>
      <w:r>
        <w:rPr>
          <w:rFonts w:eastAsiaTheme="minorHAnsi"/>
          <w:sz w:val="26"/>
          <w:szCs w:val="26"/>
        </w:rPr>
        <w:t>;</w:t>
      </w:r>
    </w:p>
    <w:p w14:paraId="02C822B4" w14:textId="77777777" w:rsidR="0063045B" w:rsidRPr="00647EE6" w:rsidRDefault="0063045B" w:rsidP="001115AF">
      <w:pPr>
        <w:pStyle w:val="ListParagraph"/>
        <w:ind w:left="2160" w:hanging="720"/>
        <w:rPr>
          <w:rFonts w:eastAsiaTheme="minorHAnsi"/>
          <w:sz w:val="26"/>
          <w:szCs w:val="26"/>
        </w:rPr>
      </w:pPr>
    </w:p>
    <w:p w14:paraId="52E7FC87" w14:textId="77777777" w:rsidR="0063045B" w:rsidRDefault="0063045B" w:rsidP="001115AF">
      <w:pPr>
        <w:pStyle w:val="ListParagraph"/>
        <w:keepLines/>
        <w:numPr>
          <w:ilvl w:val="0"/>
          <w:numId w:val="35"/>
        </w:numPr>
        <w:autoSpaceDE w:val="0"/>
        <w:autoSpaceDN w:val="0"/>
        <w:adjustRightInd w:val="0"/>
        <w:ind w:left="2160" w:right="1440" w:hanging="720"/>
        <w:rPr>
          <w:rFonts w:eastAsiaTheme="minorHAnsi"/>
          <w:sz w:val="26"/>
          <w:szCs w:val="26"/>
        </w:rPr>
      </w:pPr>
      <w:r w:rsidRPr="005D1F0C">
        <w:rPr>
          <w:rFonts w:eastAsiaTheme="minorHAnsi"/>
          <w:sz w:val="26"/>
          <w:szCs w:val="26"/>
        </w:rPr>
        <w:t>One (1) incident of enrolling a customer who was unable to authorize enrollment due to mental capacity, i.e., mental disability/mentally challenged</w:t>
      </w:r>
      <w:r>
        <w:rPr>
          <w:rFonts w:eastAsiaTheme="minorHAnsi"/>
          <w:sz w:val="26"/>
          <w:szCs w:val="26"/>
        </w:rPr>
        <w:t>;</w:t>
      </w:r>
    </w:p>
    <w:p w14:paraId="28CF962C" w14:textId="77777777" w:rsidR="0063045B" w:rsidRPr="005D1F0C" w:rsidRDefault="0063045B" w:rsidP="001115AF">
      <w:pPr>
        <w:pStyle w:val="ListParagraph"/>
        <w:ind w:left="2160" w:hanging="720"/>
        <w:rPr>
          <w:rFonts w:eastAsiaTheme="minorHAnsi"/>
          <w:sz w:val="26"/>
          <w:szCs w:val="26"/>
        </w:rPr>
      </w:pPr>
    </w:p>
    <w:p w14:paraId="3EC0D945" w14:textId="77777777" w:rsidR="0063045B" w:rsidRDefault="0063045B" w:rsidP="001115AF">
      <w:pPr>
        <w:pStyle w:val="ListParagraph"/>
        <w:keepLines/>
        <w:numPr>
          <w:ilvl w:val="0"/>
          <w:numId w:val="35"/>
        </w:numPr>
        <w:autoSpaceDE w:val="0"/>
        <w:autoSpaceDN w:val="0"/>
        <w:adjustRightInd w:val="0"/>
        <w:ind w:left="2160" w:right="1440" w:hanging="720"/>
        <w:rPr>
          <w:rFonts w:eastAsiaTheme="minorHAnsi"/>
          <w:sz w:val="26"/>
          <w:szCs w:val="26"/>
        </w:rPr>
      </w:pPr>
      <w:r w:rsidRPr="005D1F0C">
        <w:rPr>
          <w:rFonts w:eastAsiaTheme="minorHAnsi"/>
          <w:sz w:val="26"/>
          <w:szCs w:val="26"/>
        </w:rPr>
        <w:t>Two (2) incidents of enrolling a customer with incorrect information/possible slamming allegatio</w:t>
      </w:r>
      <w:r>
        <w:rPr>
          <w:rFonts w:eastAsiaTheme="minorHAnsi"/>
          <w:sz w:val="26"/>
          <w:szCs w:val="26"/>
        </w:rPr>
        <w:t>n;</w:t>
      </w:r>
    </w:p>
    <w:p w14:paraId="075C0A41" w14:textId="77777777" w:rsidR="0063045B" w:rsidRPr="005D1F0C" w:rsidRDefault="0063045B" w:rsidP="009A6A2B">
      <w:pPr>
        <w:pStyle w:val="ListParagraph"/>
        <w:ind w:left="1440"/>
        <w:rPr>
          <w:rFonts w:eastAsiaTheme="minorHAnsi"/>
          <w:sz w:val="26"/>
          <w:szCs w:val="26"/>
        </w:rPr>
      </w:pPr>
    </w:p>
    <w:p w14:paraId="71021F73" w14:textId="77777777" w:rsidR="0063045B" w:rsidRDefault="0063045B" w:rsidP="0063045B">
      <w:pPr>
        <w:pStyle w:val="ListParagraph"/>
        <w:keepNext/>
        <w:keepLines/>
        <w:numPr>
          <w:ilvl w:val="0"/>
          <w:numId w:val="35"/>
        </w:numPr>
        <w:autoSpaceDE w:val="0"/>
        <w:autoSpaceDN w:val="0"/>
        <w:adjustRightInd w:val="0"/>
        <w:ind w:left="2160" w:right="1440" w:hanging="720"/>
        <w:rPr>
          <w:rFonts w:eastAsiaTheme="minorHAnsi"/>
          <w:sz w:val="26"/>
          <w:szCs w:val="26"/>
        </w:rPr>
      </w:pPr>
      <w:r w:rsidRPr="005D1F0C">
        <w:rPr>
          <w:rFonts w:eastAsiaTheme="minorHAnsi"/>
          <w:sz w:val="26"/>
          <w:szCs w:val="26"/>
        </w:rPr>
        <w:t>One (1) incident of failure to cancel/drop account upon request</w:t>
      </w:r>
      <w:r>
        <w:rPr>
          <w:rFonts w:eastAsiaTheme="minorHAnsi"/>
          <w:sz w:val="26"/>
          <w:szCs w:val="26"/>
        </w:rPr>
        <w:t>;</w:t>
      </w:r>
    </w:p>
    <w:p w14:paraId="797D75AF" w14:textId="77777777" w:rsidR="0063045B" w:rsidRPr="005D1F0C" w:rsidRDefault="0063045B" w:rsidP="0063045B">
      <w:pPr>
        <w:pStyle w:val="ListParagraph"/>
        <w:ind w:left="2160" w:hanging="720"/>
        <w:rPr>
          <w:rFonts w:eastAsiaTheme="minorHAnsi"/>
          <w:sz w:val="26"/>
          <w:szCs w:val="26"/>
        </w:rPr>
      </w:pPr>
    </w:p>
    <w:p w14:paraId="5D18C4F7" w14:textId="77777777" w:rsidR="0063045B" w:rsidRDefault="0063045B" w:rsidP="0063045B">
      <w:pPr>
        <w:pStyle w:val="ListParagraph"/>
        <w:keepNext/>
        <w:keepLines/>
        <w:numPr>
          <w:ilvl w:val="0"/>
          <w:numId w:val="35"/>
        </w:numPr>
        <w:autoSpaceDE w:val="0"/>
        <w:autoSpaceDN w:val="0"/>
        <w:adjustRightInd w:val="0"/>
        <w:ind w:left="2160" w:right="1440" w:hanging="720"/>
        <w:rPr>
          <w:rFonts w:eastAsiaTheme="minorHAnsi"/>
          <w:sz w:val="26"/>
          <w:szCs w:val="26"/>
        </w:rPr>
      </w:pPr>
      <w:r w:rsidRPr="005D1F0C">
        <w:rPr>
          <w:rFonts w:eastAsiaTheme="minorHAnsi"/>
          <w:sz w:val="26"/>
          <w:szCs w:val="26"/>
        </w:rPr>
        <w:t>Two (2) incidents of failure to provide renewal letters to customers</w:t>
      </w:r>
      <w:r>
        <w:rPr>
          <w:rFonts w:eastAsiaTheme="minorHAnsi"/>
          <w:sz w:val="26"/>
          <w:szCs w:val="26"/>
        </w:rPr>
        <w:t>;</w:t>
      </w:r>
    </w:p>
    <w:p w14:paraId="1A492474" w14:textId="77777777" w:rsidR="0063045B" w:rsidRPr="005D1F0C" w:rsidRDefault="0063045B" w:rsidP="0063045B">
      <w:pPr>
        <w:pStyle w:val="ListParagraph"/>
        <w:ind w:left="2160" w:hanging="720"/>
        <w:rPr>
          <w:rFonts w:eastAsiaTheme="minorHAnsi"/>
          <w:sz w:val="26"/>
          <w:szCs w:val="26"/>
        </w:rPr>
      </w:pPr>
    </w:p>
    <w:p w14:paraId="03083F20" w14:textId="77777777" w:rsidR="0063045B" w:rsidRDefault="0063045B" w:rsidP="0063045B">
      <w:pPr>
        <w:pStyle w:val="ListParagraph"/>
        <w:keepNext/>
        <w:keepLines/>
        <w:numPr>
          <w:ilvl w:val="0"/>
          <w:numId w:val="35"/>
        </w:numPr>
        <w:autoSpaceDE w:val="0"/>
        <w:autoSpaceDN w:val="0"/>
        <w:adjustRightInd w:val="0"/>
        <w:ind w:left="2160" w:right="1440" w:hanging="720"/>
        <w:rPr>
          <w:rFonts w:eastAsiaTheme="minorHAnsi"/>
          <w:sz w:val="26"/>
          <w:szCs w:val="26"/>
        </w:rPr>
      </w:pPr>
      <w:r w:rsidRPr="005D1F0C">
        <w:rPr>
          <w:rFonts w:eastAsiaTheme="minorHAnsi"/>
          <w:sz w:val="26"/>
          <w:szCs w:val="26"/>
        </w:rPr>
        <w:t>Two (2) incidents where DPI provided and/or enrolled customers with incorrect rates</w:t>
      </w:r>
      <w:r>
        <w:rPr>
          <w:rFonts w:eastAsiaTheme="minorHAnsi"/>
          <w:sz w:val="26"/>
          <w:szCs w:val="26"/>
        </w:rPr>
        <w:t>;</w:t>
      </w:r>
    </w:p>
    <w:p w14:paraId="6E6A5EF4" w14:textId="77777777" w:rsidR="0063045B" w:rsidRPr="005D1F0C" w:rsidRDefault="0063045B" w:rsidP="0063045B">
      <w:pPr>
        <w:pStyle w:val="ListParagraph"/>
        <w:ind w:left="2160" w:hanging="720"/>
        <w:rPr>
          <w:rFonts w:eastAsiaTheme="minorHAnsi"/>
          <w:sz w:val="26"/>
          <w:szCs w:val="26"/>
        </w:rPr>
      </w:pPr>
    </w:p>
    <w:p w14:paraId="01C9968E" w14:textId="77777777" w:rsidR="0063045B" w:rsidRDefault="0063045B" w:rsidP="00F9735F">
      <w:pPr>
        <w:pStyle w:val="ListParagraph"/>
        <w:keepNext/>
        <w:keepLines/>
        <w:widowControl/>
        <w:numPr>
          <w:ilvl w:val="0"/>
          <w:numId w:val="35"/>
        </w:numPr>
        <w:autoSpaceDE w:val="0"/>
        <w:autoSpaceDN w:val="0"/>
        <w:adjustRightInd w:val="0"/>
        <w:ind w:left="2160" w:right="1440" w:hanging="720"/>
        <w:rPr>
          <w:rFonts w:eastAsiaTheme="minorHAnsi"/>
          <w:sz w:val="26"/>
          <w:szCs w:val="26"/>
        </w:rPr>
      </w:pPr>
      <w:r w:rsidRPr="005D1F0C">
        <w:rPr>
          <w:rFonts w:eastAsiaTheme="minorHAnsi"/>
          <w:sz w:val="26"/>
          <w:szCs w:val="26"/>
        </w:rPr>
        <w:lastRenderedPageBreak/>
        <w:t>Eight (8) incidents related to high variable rates and/or renewal rate where DPI offered and/or provided refund</w:t>
      </w:r>
      <w:r>
        <w:rPr>
          <w:rFonts w:eastAsiaTheme="minorHAnsi"/>
          <w:sz w:val="26"/>
          <w:szCs w:val="26"/>
        </w:rPr>
        <w:t>; and</w:t>
      </w:r>
    </w:p>
    <w:p w14:paraId="2DA17CF6" w14:textId="77777777" w:rsidR="0063045B" w:rsidRPr="003C6ED8" w:rsidRDefault="0063045B" w:rsidP="00F9735F">
      <w:pPr>
        <w:keepNext/>
        <w:keepLines/>
        <w:autoSpaceDE w:val="0"/>
        <w:autoSpaceDN w:val="0"/>
        <w:adjustRightInd w:val="0"/>
        <w:ind w:left="2160" w:right="1440" w:hanging="720"/>
        <w:rPr>
          <w:rFonts w:eastAsiaTheme="minorHAnsi"/>
          <w:sz w:val="26"/>
          <w:szCs w:val="26"/>
        </w:rPr>
      </w:pPr>
    </w:p>
    <w:p w14:paraId="2743A5C3" w14:textId="77777777" w:rsidR="0063045B" w:rsidRPr="003C6ED8" w:rsidRDefault="0063045B" w:rsidP="00F9735F">
      <w:pPr>
        <w:pStyle w:val="ListParagraph"/>
        <w:keepNext/>
        <w:keepLines/>
        <w:widowControl/>
        <w:numPr>
          <w:ilvl w:val="0"/>
          <w:numId w:val="35"/>
        </w:numPr>
        <w:autoSpaceDE w:val="0"/>
        <w:autoSpaceDN w:val="0"/>
        <w:adjustRightInd w:val="0"/>
        <w:ind w:left="2160" w:right="1440" w:hanging="720"/>
        <w:rPr>
          <w:rFonts w:eastAsiaTheme="minorHAnsi"/>
          <w:sz w:val="26"/>
          <w:szCs w:val="26"/>
        </w:rPr>
      </w:pPr>
      <w:r w:rsidRPr="003C6ED8">
        <w:rPr>
          <w:rFonts w:eastAsiaTheme="minorHAnsi"/>
          <w:sz w:val="26"/>
          <w:szCs w:val="26"/>
        </w:rPr>
        <w:t>Two (2) incidents of failure to bill correct rate.</w:t>
      </w:r>
    </w:p>
    <w:p w14:paraId="4E9B8ACD" w14:textId="77777777" w:rsidR="00707E15" w:rsidRPr="00707E15" w:rsidRDefault="00707E15" w:rsidP="00F9735F">
      <w:pPr>
        <w:keepNext/>
        <w:keepLines/>
        <w:autoSpaceDE w:val="0"/>
        <w:autoSpaceDN w:val="0"/>
        <w:adjustRightInd w:val="0"/>
        <w:spacing w:line="360" w:lineRule="auto"/>
        <w:ind w:firstLine="1440"/>
        <w:contextualSpacing/>
        <w:rPr>
          <w:rFonts w:eastAsiaTheme="minorHAnsi"/>
          <w:sz w:val="26"/>
          <w:szCs w:val="26"/>
        </w:rPr>
      </w:pPr>
    </w:p>
    <w:p w14:paraId="4028B55C" w14:textId="77777777" w:rsidR="00707E15" w:rsidRPr="00707E15" w:rsidRDefault="00707E15" w:rsidP="00F9735F">
      <w:pPr>
        <w:keepNext/>
        <w:keepLines/>
        <w:autoSpaceDE w:val="0"/>
        <w:autoSpaceDN w:val="0"/>
        <w:adjustRightInd w:val="0"/>
        <w:spacing w:line="360" w:lineRule="auto"/>
        <w:contextualSpacing/>
        <w:rPr>
          <w:rFonts w:eastAsiaTheme="minorHAnsi"/>
          <w:sz w:val="26"/>
          <w:szCs w:val="26"/>
        </w:rPr>
      </w:pPr>
      <w:r w:rsidRPr="00707E15">
        <w:rPr>
          <w:rFonts w:eastAsiaTheme="minorHAnsi"/>
          <w:sz w:val="26"/>
          <w:szCs w:val="26"/>
        </w:rPr>
        <w:t>Settlement at ¶ 30.</w:t>
      </w:r>
    </w:p>
    <w:p w14:paraId="74C270EC" w14:textId="77777777" w:rsidR="00707E15" w:rsidRPr="00707E15" w:rsidRDefault="00707E15" w:rsidP="00707E15">
      <w:pPr>
        <w:autoSpaceDE w:val="0"/>
        <w:autoSpaceDN w:val="0"/>
        <w:adjustRightInd w:val="0"/>
        <w:spacing w:line="360" w:lineRule="auto"/>
        <w:ind w:firstLine="1440"/>
        <w:contextualSpacing/>
        <w:rPr>
          <w:rFonts w:eastAsiaTheme="minorHAnsi"/>
          <w:sz w:val="26"/>
          <w:szCs w:val="26"/>
        </w:rPr>
      </w:pPr>
    </w:p>
    <w:p w14:paraId="6272FA27" w14:textId="77777777" w:rsidR="00707E15" w:rsidRPr="00707E15" w:rsidRDefault="00707E15" w:rsidP="00707E15">
      <w:pPr>
        <w:autoSpaceDE w:val="0"/>
        <w:autoSpaceDN w:val="0"/>
        <w:adjustRightInd w:val="0"/>
        <w:spacing w:line="360" w:lineRule="auto"/>
        <w:ind w:firstLine="1440"/>
        <w:contextualSpacing/>
        <w:rPr>
          <w:rFonts w:eastAsiaTheme="minorHAnsi"/>
          <w:sz w:val="26"/>
          <w:szCs w:val="26"/>
        </w:rPr>
      </w:pPr>
      <w:r w:rsidRPr="00707E15">
        <w:rPr>
          <w:rFonts w:eastAsiaTheme="minorHAnsi"/>
          <w:sz w:val="26"/>
          <w:szCs w:val="26"/>
        </w:rPr>
        <w:t xml:space="preserve">In response to the alleged conduct, Discount acknowledged that there were at least seven (7) individuals who filed complaints after receiving a telemarketing call despite being on the Do Not Call registry.  Settlement at ¶ 39.  Discount also stated that it started tracking and taking notes on customer complaints “sometime after 2019.”  Settlement at ¶ 35.  </w:t>
      </w:r>
    </w:p>
    <w:p w14:paraId="6FF3A413" w14:textId="77777777" w:rsidR="00707E15" w:rsidRPr="00707E15" w:rsidRDefault="00707E15" w:rsidP="00707E15">
      <w:pPr>
        <w:autoSpaceDE w:val="0"/>
        <w:autoSpaceDN w:val="0"/>
        <w:adjustRightInd w:val="0"/>
        <w:spacing w:line="360" w:lineRule="auto"/>
        <w:ind w:firstLine="1440"/>
        <w:contextualSpacing/>
        <w:rPr>
          <w:rFonts w:eastAsiaTheme="minorHAnsi"/>
          <w:sz w:val="26"/>
          <w:szCs w:val="26"/>
        </w:rPr>
      </w:pPr>
    </w:p>
    <w:p w14:paraId="70EA5B0B" w14:textId="4B7BB819" w:rsidR="00707E15" w:rsidRPr="00707E15" w:rsidRDefault="00707E15" w:rsidP="00707E15">
      <w:pPr>
        <w:autoSpaceDE w:val="0"/>
        <w:autoSpaceDN w:val="0"/>
        <w:adjustRightInd w:val="0"/>
        <w:spacing w:line="360" w:lineRule="auto"/>
        <w:ind w:firstLine="1440"/>
        <w:contextualSpacing/>
        <w:rPr>
          <w:rFonts w:eastAsiaTheme="minorHAnsi"/>
          <w:sz w:val="26"/>
          <w:szCs w:val="26"/>
        </w:rPr>
      </w:pPr>
      <w:r w:rsidRPr="00707E15">
        <w:rPr>
          <w:rFonts w:eastAsiaTheme="minorHAnsi"/>
          <w:sz w:val="26"/>
          <w:szCs w:val="26"/>
        </w:rPr>
        <w:t xml:space="preserve">I&amp;E’s ability to investigate and analyze Discount’s responses was “hindered by Discount Power’s poor internal record keeping.”  Settlement at ¶ 36.  Specifically, I&amp;E detailed that Discount was unable to provide its subsequent communications with the customer and was unable to provide a resolution to the complaint or inquiry beyond adding the customer to Discount’s Do Not Call list.  Settlement at ¶ 37.  I&amp;E identified fifty-three (53) customer complaints which did not include notes or a resolution to the complaint, noting that three (3) of those complaints occurred in the prior six (6) billing cycles and which Discount was required to </w:t>
      </w:r>
      <w:r w:rsidR="00F03FCA">
        <w:rPr>
          <w:rFonts w:eastAsiaTheme="minorHAnsi"/>
          <w:sz w:val="26"/>
          <w:szCs w:val="26"/>
        </w:rPr>
        <w:t>re</w:t>
      </w:r>
      <w:r w:rsidRPr="00707E15">
        <w:rPr>
          <w:rFonts w:eastAsiaTheme="minorHAnsi"/>
          <w:sz w:val="26"/>
          <w:szCs w:val="26"/>
        </w:rPr>
        <w:t>tain.  Settlement ¶ at 38.</w:t>
      </w:r>
    </w:p>
    <w:p w14:paraId="69B3B5CC" w14:textId="77777777" w:rsidR="00707E15" w:rsidRPr="00707E15" w:rsidRDefault="00707E15" w:rsidP="00707E15">
      <w:pPr>
        <w:autoSpaceDE w:val="0"/>
        <w:autoSpaceDN w:val="0"/>
        <w:adjustRightInd w:val="0"/>
        <w:spacing w:line="360" w:lineRule="auto"/>
        <w:ind w:firstLine="1440"/>
        <w:contextualSpacing/>
        <w:rPr>
          <w:rFonts w:eastAsiaTheme="minorHAnsi"/>
          <w:sz w:val="26"/>
          <w:szCs w:val="26"/>
        </w:rPr>
      </w:pPr>
    </w:p>
    <w:p w14:paraId="115BC29E" w14:textId="5A982B63" w:rsidR="00EE10AD" w:rsidRPr="00A47CAE" w:rsidRDefault="00707E15" w:rsidP="00707E15">
      <w:pPr>
        <w:autoSpaceDE w:val="0"/>
        <w:autoSpaceDN w:val="0"/>
        <w:adjustRightInd w:val="0"/>
        <w:spacing w:line="360" w:lineRule="auto"/>
        <w:ind w:firstLine="1440"/>
        <w:contextualSpacing/>
        <w:rPr>
          <w:rFonts w:eastAsiaTheme="minorHAnsi"/>
          <w:sz w:val="26"/>
          <w:szCs w:val="26"/>
        </w:rPr>
      </w:pPr>
      <w:r w:rsidRPr="00707E15">
        <w:rPr>
          <w:rFonts w:eastAsiaTheme="minorHAnsi"/>
          <w:sz w:val="26"/>
          <w:szCs w:val="26"/>
        </w:rPr>
        <w:t>If this matter had been fully litigated, I&amp;E was prepared to present evidence and legal arguments to demonstrate that Discount and/or its agents committed the following alleged violations</w:t>
      </w:r>
      <w:r w:rsidR="00B74C5F">
        <w:rPr>
          <w:rFonts w:eastAsiaTheme="minorHAnsi"/>
          <w:sz w:val="26"/>
          <w:szCs w:val="26"/>
        </w:rPr>
        <w:t>:</w:t>
      </w:r>
      <w:r w:rsidR="00AA37DA">
        <w:rPr>
          <w:rFonts w:eastAsiaTheme="minorHAnsi"/>
          <w:sz w:val="26"/>
          <w:szCs w:val="26"/>
        </w:rPr>
        <w:t xml:space="preserve"> </w:t>
      </w:r>
      <w:r w:rsidR="00B74C5F">
        <w:rPr>
          <w:rFonts w:eastAsiaTheme="minorHAnsi"/>
          <w:sz w:val="26"/>
          <w:szCs w:val="26"/>
        </w:rPr>
        <w:t xml:space="preserve"> </w:t>
      </w:r>
      <w:r w:rsidRPr="00707E15">
        <w:rPr>
          <w:rFonts w:eastAsiaTheme="minorHAnsi"/>
          <w:sz w:val="26"/>
          <w:szCs w:val="26"/>
        </w:rPr>
        <w:t xml:space="preserve">(1) Discount and/or its agents conducted deceptive and misleading actions, including calling customers on the Do Not Call list, an alleged violation of 52 Pa. Code §§ 54.43(g), 111.10(a) and (b), and 111.12(d) (multiple counts); (2) Discount and/or its agents conducted deceptive or false representations, including rates and savings, an alleged violation of 52 Pa. Code §§ 54.122(3) and 111.12(d) </w:t>
      </w:r>
      <w:r w:rsidRPr="00707E15">
        <w:rPr>
          <w:rFonts w:eastAsiaTheme="minorHAnsi"/>
          <w:sz w:val="26"/>
          <w:szCs w:val="26"/>
        </w:rPr>
        <w:lastRenderedPageBreak/>
        <w:t>(multiple counts); (3) an agent for Discount failed to identify himself/herself upon first contact and state that he/she does not work for and is independent of the local EDC, an alleged violation of 52 Pa. Code §§ 111.8(b) and 111.10(a) and (b) (multiple counts); (4) an agent for Discount suggested that a customer is required to choose an EGS, an alleged violation of 52 Pa. Code §§ 111.8(f) and 111.10(a) and (b) (multiple counts); (5) Discount and/or its agents’ actions resulted in the unauthorized enrollment of customers (through improper “winback” enrollment, enrolling a customer with incorrect information, or enrollment of a customer who does not possess the ability to authorize or verify an enrollment), an alleged violation of 52 Pa. Code §§ 54.42(a)(9) and 111.7 (multiple counts); (6) Discount and/or its agents’ failure to issue renewal letters at the end of the contract term, an alleged violation of 52 Pa. Code §§ 54.10, 111.7, 111.10, 111.11, and 111.12 (multiple counts); (7) Discount and/or its agents’ actions resulted in customers being billed incorrect rates, an alleged violation of 52 Pa. Code §§ 54.10 and 111.12 (multiple counts); and (8) Discount and/or its agents’ actions resulted in poor record keeping, which impeded I&amp;E’s ability to investigate this matter, an alleged violation of 52 Pa. Code § 111.13 (multiple counts).  Settlement at ¶ 42</w:t>
      </w:r>
      <w:r w:rsidR="00EE10AD" w:rsidRPr="00481AB6">
        <w:rPr>
          <w:rFonts w:eastAsiaTheme="minorHAnsi"/>
          <w:sz w:val="26"/>
          <w:szCs w:val="26"/>
        </w:rPr>
        <w:t>.</w:t>
      </w:r>
    </w:p>
    <w:p w14:paraId="0845EAFD" w14:textId="77777777" w:rsidR="00EE10AD" w:rsidRPr="00D33529" w:rsidRDefault="00EE10AD" w:rsidP="00E460CF">
      <w:pPr>
        <w:autoSpaceDE w:val="0"/>
        <w:autoSpaceDN w:val="0"/>
        <w:adjustRightInd w:val="0"/>
        <w:spacing w:line="360" w:lineRule="auto"/>
        <w:ind w:firstLine="1440"/>
        <w:contextualSpacing/>
        <w:rPr>
          <w:rFonts w:eastAsiaTheme="minorHAnsi"/>
          <w:sz w:val="26"/>
          <w:szCs w:val="26"/>
          <w:highlight w:val="yellow"/>
        </w:rPr>
      </w:pPr>
    </w:p>
    <w:p w14:paraId="7A71334F" w14:textId="79E7B3D2" w:rsidR="006E0FD7" w:rsidRDefault="00EE10AD" w:rsidP="00680479">
      <w:pPr>
        <w:autoSpaceDE w:val="0"/>
        <w:autoSpaceDN w:val="0"/>
        <w:adjustRightInd w:val="0"/>
        <w:spacing w:line="360" w:lineRule="auto"/>
        <w:ind w:firstLine="1440"/>
        <w:contextualSpacing/>
        <w:rPr>
          <w:rFonts w:eastAsiaTheme="minorHAnsi"/>
          <w:sz w:val="26"/>
          <w:szCs w:val="26"/>
        </w:rPr>
      </w:pPr>
      <w:r w:rsidRPr="00893776">
        <w:rPr>
          <w:rFonts w:eastAsiaTheme="minorHAnsi"/>
          <w:sz w:val="26"/>
          <w:szCs w:val="26"/>
        </w:rPr>
        <w:t xml:space="preserve">If this matter had been fully litigated, </w:t>
      </w:r>
      <w:r w:rsidR="00707E15">
        <w:rPr>
          <w:rFonts w:eastAsiaTheme="minorHAnsi"/>
          <w:sz w:val="26"/>
          <w:szCs w:val="26"/>
        </w:rPr>
        <w:t>Discoun</w:t>
      </w:r>
      <w:r w:rsidR="00A47CAE" w:rsidRPr="00893776">
        <w:rPr>
          <w:rFonts w:eastAsiaTheme="minorHAnsi"/>
          <w:sz w:val="26"/>
          <w:szCs w:val="26"/>
        </w:rPr>
        <w:t>t</w:t>
      </w:r>
      <w:r w:rsidRPr="00893776">
        <w:rPr>
          <w:rFonts w:eastAsiaTheme="minorHAnsi"/>
          <w:sz w:val="26"/>
          <w:szCs w:val="26"/>
        </w:rPr>
        <w:t xml:space="preserve"> intended to deny each of the alleged violations of the Code, the Commission’s Regulations and Orders, as well as </w:t>
      </w:r>
      <w:r w:rsidR="0039775A">
        <w:rPr>
          <w:rFonts w:eastAsiaTheme="minorHAnsi"/>
          <w:sz w:val="26"/>
          <w:szCs w:val="26"/>
        </w:rPr>
        <w:t xml:space="preserve">to </w:t>
      </w:r>
      <w:r w:rsidRPr="00893776">
        <w:rPr>
          <w:rFonts w:eastAsiaTheme="minorHAnsi"/>
          <w:sz w:val="26"/>
          <w:szCs w:val="26"/>
        </w:rPr>
        <w:t xml:space="preserve">raise defenses to each allegation and defend against the same at hearing.  </w:t>
      </w:r>
      <w:r w:rsidRPr="00A47CAE">
        <w:rPr>
          <w:rFonts w:eastAsiaTheme="minorHAnsi"/>
          <w:sz w:val="26"/>
          <w:szCs w:val="26"/>
        </w:rPr>
        <w:t>Settlement at</w:t>
      </w:r>
      <w:r w:rsidR="00DA3ADB">
        <w:rPr>
          <w:rFonts w:eastAsiaTheme="minorHAnsi"/>
          <w:sz w:val="26"/>
          <w:szCs w:val="26"/>
        </w:rPr>
        <w:t> </w:t>
      </w:r>
      <w:r w:rsidRPr="00A47CAE">
        <w:rPr>
          <w:rFonts w:eastAsiaTheme="minorHAnsi"/>
          <w:sz w:val="26"/>
          <w:szCs w:val="26"/>
        </w:rPr>
        <w:t>¶</w:t>
      </w:r>
      <w:r w:rsidR="00893776">
        <w:rPr>
          <w:rFonts w:eastAsiaTheme="minorHAnsi"/>
          <w:sz w:val="26"/>
          <w:szCs w:val="26"/>
        </w:rPr>
        <w:t> </w:t>
      </w:r>
      <w:r w:rsidR="0063045B">
        <w:rPr>
          <w:rFonts w:eastAsiaTheme="minorHAnsi"/>
          <w:sz w:val="26"/>
          <w:szCs w:val="26"/>
        </w:rPr>
        <w:t>43</w:t>
      </w:r>
      <w:r w:rsidRPr="00A47CAE">
        <w:rPr>
          <w:rFonts w:eastAsiaTheme="minorHAnsi"/>
          <w:sz w:val="26"/>
          <w:szCs w:val="26"/>
        </w:rPr>
        <w:t>.</w:t>
      </w:r>
    </w:p>
    <w:p w14:paraId="3187B53E" w14:textId="77777777" w:rsidR="00EE10AD" w:rsidRPr="00E460CF" w:rsidRDefault="00EE10AD" w:rsidP="00E460CF">
      <w:pPr>
        <w:autoSpaceDE w:val="0"/>
        <w:autoSpaceDN w:val="0"/>
        <w:adjustRightInd w:val="0"/>
        <w:spacing w:line="360" w:lineRule="auto"/>
        <w:rPr>
          <w:rFonts w:eastAsiaTheme="minorHAnsi"/>
          <w:sz w:val="26"/>
          <w:szCs w:val="26"/>
        </w:rPr>
      </w:pPr>
    </w:p>
    <w:p w14:paraId="3E40DD92" w14:textId="6A697058" w:rsidR="00EE10AD" w:rsidRPr="00E460CF" w:rsidRDefault="00EE10AD" w:rsidP="00E460CF">
      <w:pPr>
        <w:keepNext/>
        <w:keepLines/>
        <w:spacing w:line="360" w:lineRule="auto"/>
        <w:jc w:val="center"/>
        <w:rPr>
          <w:sz w:val="26"/>
          <w:szCs w:val="26"/>
        </w:rPr>
      </w:pPr>
      <w:r w:rsidRPr="00E460CF">
        <w:rPr>
          <w:b/>
          <w:bCs/>
          <w:sz w:val="26"/>
          <w:szCs w:val="26"/>
        </w:rPr>
        <w:t>Terms of the Settlement</w:t>
      </w:r>
    </w:p>
    <w:p w14:paraId="5980FFE8" w14:textId="77777777" w:rsidR="00EE10AD" w:rsidRPr="00E460CF" w:rsidRDefault="00EE10AD" w:rsidP="00E460CF">
      <w:pPr>
        <w:keepNext/>
        <w:keepLines/>
        <w:spacing w:line="360" w:lineRule="auto"/>
        <w:rPr>
          <w:sz w:val="26"/>
          <w:szCs w:val="26"/>
        </w:rPr>
      </w:pPr>
      <w:r w:rsidRPr="00E460CF">
        <w:rPr>
          <w:sz w:val="26"/>
          <w:szCs w:val="26"/>
        </w:rPr>
        <w:t> </w:t>
      </w:r>
    </w:p>
    <w:p w14:paraId="0B59951E" w14:textId="77777777" w:rsidR="0063045B" w:rsidRDefault="0063045B" w:rsidP="0063045B">
      <w:pPr>
        <w:spacing w:line="360" w:lineRule="auto"/>
        <w:ind w:firstLine="1440"/>
        <w:contextualSpacing/>
        <w:rPr>
          <w:rFonts w:eastAsiaTheme="minorHAnsi"/>
          <w:sz w:val="26"/>
          <w:szCs w:val="26"/>
        </w:rPr>
      </w:pPr>
      <w:r w:rsidRPr="00917A38">
        <w:rPr>
          <w:rFonts w:eastAsiaTheme="minorHAnsi"/>
          <w:sz w:val="26"/>
          <w:szCs w:val="26"/>
        </w:rPr>
        <w:t>The Parties state that the purpose of the Settlement is to terminate I&amp;E’s informal</w:t>
      </w:r>
      <w:r w:rsidRPr="00917A38">
        <w:rPr>
          <w:sz w:val="26"/>
          <w:szCs w:val="26"/>
        </w:rPr>
        <w:t xml:space="preserve"> </w:t>
      </w:r>
      <w:r w:rsidRPr="00917A38">
        <w:rPr>
          <w:rFonts w:eastAsiaTheme="minorHAnsi"/>
          <w:sz w:val="26"/>
          <w:szCs w:val="26"/>
        </w:rPr>
        <w:t xml:space="preserve">investigation and settle this matter completely without litigation.  The Parties further note that they recognize that this is a disputed matter and that resolving the </w:t>
      </w:r>
      <w:r w:rsidRPr="00855297">
        <w:rPr>
          <w:rFonts w:eastAsiaTheme="minorHAnsi"/>
          <w:sz w:val="26"/>
          <w:szCs w:val="26"/>
        </w:rPr>
        <w:t xml:space="preserve">disputed issues can be beneficial, given the inherent unpredictability of the outcome of a contested proceeding.  Moreover, the Parties acknowledge that approval of this </w:t>
      </w:r>
      <w:r w:rsidRPr="00855297">
        <w:rPr>
          <w:rFonts w:eastAsiaTheme="minorHAnsi"/>
          <w:sz w:val="26"/>
          <w:szCs w:val="26"/>
        </w:rPr>
        <w:lastRenderedPageBreak/>
        <w:t>Settlement is in the public interest and is consistent with the Commission’s Policy Statement for evaluating litigated and settled proceedings involving violations of the Code and Commission Regulations, pursuant to 52 Pa. Code § 69.1201.  Settlement at ¶¶ 44, 53-54.</w:t>
      </w:r>
    </w:p>
    <w:p w14:paraId="06BA6237" w14:textId="77777777" w:rsidR="0063045B" w:rsidRPr="00855297" w:rsidRDefault="0063045B" w:rsidP="0063045B">
      <w:pPr>
        <w:spacing w:line="360" w:lineRule="auto"/>
        <w:ind w:firstLine="1440"/>
        <w:contextualSpacing/>
        <w:rPr>
          <w:rFonts w:eastAsiaTheme="minorHAnsi"/>
          <w:sz w:val="26"/>
          <w:szCs w:val="26"/>
        </w:rPr>
      </w:pPr>
    </w:p>
    <w:p w14:paraId="375681F1" w14:textId="77777777" w:rsidR="0063045B" w:rsidRPr="00855297" w:rsidRDefault="0063045B" w:rsidP="0063045B">
      <w:pPr>
        <w:keepNext/>
        <w:autoSpaceDE w:val="0"/>
        <w:autoSpaceDN w:val="0"/>
        <w:adjustRightInd w:val="0"/>
        <w:spacing w:line="360" w:lineRule="auto"/>
        <w:ind w:firstLine="1440"/>
        <w:contextualSpacing/>
        <w:rPr>
          <w:rFonts w:eastAsiaTheme="minorHAnsi"/>
          <w:sz w:val="26"/>
          <w:szCs w:val="26"/>
        </w:rPr>
      </w:pPr>
      <w:r w:rsidRPr="00855297">
        <w:rPr>
          <w:rFonts w:eastAsiaTheme="minorHAnsi"/>
          <w:sz w:val="26"/>
          <w:szCs w:val="26"/>
        </w:rPr>
        <w:t xml:space="preserve">The conditions of the Settlement are reprinted verbatim below: </w:t>
      </w:r>
    </w:p>
    <w:p w14:paraId="0CC3C99B" w14:textId="77777777" w:rsidR="0063045B" w:rsidRPr="005156FB" w:rsidRDefault="0063045B" w:rsidP="0063045B">
      <w:pPr>
        <w:keepNext/>
        <w:autoSpaceDE w:val="0"/>
        <w:autoSpaceDN w:val="0"/>
        <w:adjustRightInd w:val="0"/>
        <w:ind w:left="10" w:right="1440" w:hanging="10"/>
        <w:jc w:val="center"/>
        <w:rPr>
          <w:rFonts w:eastAsiaTheme="minorHAnsi"/>
          <w:sz w:val="26"/>
          <w:szCs w:val="26"/>
          <w:highlight w:val="yellow"/>
        </w:rPr>
      </w:pPr>
    </w:p>
    <w:p w14:paraId="4E19E49F" w14:textId="77777777" w:rsidR="0063045B" w:rsidRPr="00BC4119" w:rsidRDefault="0063045B" w:rsidP="00DA3ADB">
      <w:pPr>
        <w:keepNext/>
        <w:keepLines/>
        <w:autoSpaceDE w:val="0"/>
        <w:autoSpaceDN w:val="0"/>
        <w:adjustRightInd w:val="0"/>
        <w:ind w:left="2160" w:right="1440" w:hanging="720"/>
        <w:rPr>
          <w:rFonts w:eastAsiaTheme="minorHAnsi"/>
          <w:sz w:val="26"/>
          <w:szCs w:val="26"/>
        </w:rPr>
      </w:pPr>
      <w:r w:rsidRPr="00BC4119">
        <w:rPr>
          <w:rFonts w:eastAsiaTheme="minorHAnsi"/>
          <w:sz w:val="26"/>
          <w:szCs w:val="26"/>
        </w:rPr>
        <w:t>45.</w:t>
      </w:r>
      <w:r w:rsidRPr="00BC4119">
        <w:rPr>
          <w:rFonts w:eastAsiaTheme="minorHAnsi"/>
          <w:sz w:val="26"/>
          <w:szCs w:val="26"/>
        </w:rPr>
        <w:tab/>
        <w:t xml:space="preserve">Discount </w:t>
      </w:r>
      <w:r>
        <w:rPr>
          <w:rFonts w:eastAsiaTheme="minorHAnsi"/>
          <w:sz w:val="26"/>
          <w:szCs w:val="26"/>
        </w:rPr>
        <w:t xml:space="preserve">Power </w:t>
      </w:r>
      <w:r w:rsidRPr="00BC4119">
        <w:rPr>
          <w:rFonts w:eastAsiaTheme="minorHAnsi"/>
          <w:sz w:val="26"/>
          <w:szCs w:val="26"/>
        </w:rPr>
        <w:t>shall pay a total civil penalty $42,250.00, broken down as follows:</w:t>
      </w:r>
    </w:p>
    <w:p w14:paraId="52649322" w14:textId="77777777" w:rsidR="0063045B" w:rsidRPr="005156FB" w:rsidRDefault="0063045B" w:rsidP="0063045B">
      <w:pPr>
        <w:autoSpaceDE w:val="0"/>
        <w:autoSpaceDN w:val="0"/>
        <w:adjustRightInd w:val="0"/>
        <w:ind w:left="1440" w:right="1440"/>
        <w:rPr>
          <w:rFonts w:eastAsiaTheme="minorHAnsi"/>
          <w:sz w:val="26"/>
          <w:szCs w:val="26"/>
          <w:highlight w:val="yellow"/>
        </w:rPr>
      </w:pPr>
    </w:p>
    <w:p w14:paraId="776D645A" w14:textId="575DB864" w:rsidR="0063045B" w:rsidRPr="00086948" w:rsidRDefault="0063045B" w:rsidP="0063045B">
      <w:pPr>
        <w:pStyle w:val="ListParagraph"/>
        <w:keepNext/>
        <w:keepLines/>
        <w:numPr>
          <w:ilvl w:val="0"/>
          <w:numId w:val="22"/>
        </w:numPr>
        <w:autoSpaceDE w:val="0"/>
        <w:autoSpaceDN w:val="0"/>
        <w:adjustRightInd w:val="0"/>
        <w:ind w:right="1440"/>
        <w:contextualSpacing w:val="0"/>
        <w:rPr>
          <w:rFonts w:eastAsiaTheme="minorHAnsi"/>
          <w:sz w:val="26"/>
          <w:szCs w:val="26"/>
        </w:rPr>
      </w:pPr>
      <w:r w:rsidRPr="00086948">
        <w:rPr>
          <w:rFonts w:eastAsiaTheme="minorHAnsi"/>
          <w:sz w:val="26"/>
          <w:szCs w:val="26"/>
        </w:rPr>
        <w:t>A civil penalty of $500.00 for each of the ten (10) violations related to the August 24, 2020 telemarketing call received by</w:t>
      </w:r>
      <w:r w:rsidR="00A013D7">
        <w:rPr>
          <w:rFonts w:eastAsiaTheme="minorHAnsi"/>
          <w:sz w:val="26"/>
          <w:szCs w:val="26"/>
        </w:rPr>
        <w:t xml:space="preserve"> </w:t>
      </w:r>
      <w:r>
        <w:rPr>
          <w:rFonts w:eastAsiaTheme="minorHAnsi"/>
          <w:sz w:val="26"/>
          <w:szCs w:val="26"/>
        </w:rPr>
        <w:t>[the Director of OCMO]</w:t>
      </w:r>
      <w:r w:rsidRPr="00086948">
        <w:rPr>
          <w:rFonts w:eastAsiaTheme="minorHAnsi"/>
          <w:sz w:val="26"/>
          <w:szCs w:val="26"/>
        </w:rPr>
        <w:t>, totaling $5,000.00.</w:t>
      </w:r>
    </w:p>
    <w:p w14:paraId="3AAFCB34" w14:textId="77777777" w:rsidR="0063045B" w:rsidRPr="005156FB" w:rsidRDefault="0063045B" w:rsidP="0063045B">
      <w:pPr>
        <w:pStyle w:val="ListParagraph"/>
        <w:keepNext/>
        <w:keepLines/>
        <w:autoSpaceDE w:val="0"/>
        <w:autoSpaceDN w:val="0"/>
        <w:adjustRightInd w:val="0"/>
        <w:ind w:left="2880" w:right="2160" w:hanging="720"/>
        <w:rPr>
          <w:rFonts w:eastAsiaTheme="minorHAnsi"/>
          <w:sz w:val="26"/>
          <w:szCs w:val="26"/>
          <w:highlight w:val="yellow"/>
        </w:rPr>
      </w:pPr>
    </w:p>
    <w:p w14:paraId="05136322" w14:textId="77777777" w:rsidR="0063045B" w:rsidRDefault="0063045B" w:rsidP="0063045B">
      <w:pPr>
        <w:pStyle w:val="ListParagraph"/>
        <w:keepNext/>
        <w:keepLines/>
        <w:numPr>
          <w:ilvl w:val="0"/>
          <w:numId w:val="22"/>
        </w:numPr>
        <w:autoSpaceDE w:val="0"/>
        <w:autoSpaceDN w:val="0"/>
        <w:adjustRightInd w:val="0"/>
        <w:ind w:right="1440"/>
        <w:rPr>
          <w:rFonts w:eastAsiaTheme="minorHAnsi"/>
          <w:sz w:val="26"/>
          <w:szCs w:val="26"/>
        </w:rPr>
      </w:pPr>
      <w:r w:rsidRPr="000C26A0">
        <w:rPr>
          <w:rFonts w:eastAsiaTheme="minorHAnsi"/>
          <w:sz w:val="26"/>
          <w:szCs w:val="26"/>
        </w:rPr>
        <w:t xml:space="preserve">A civil penalty of </w:t>
      </w:r>
      <w:bookmarkStart w:id="15" w:name="_Hlk82066497"/>
      <w:r w:rsidRPr="000C26A0">
        <w:rPr>
          <w:rFonts w:eastAsiaTheme="minorHAnsi"/>
          <w:sz w:val="26"/>
          <w:szCs w:val="26"/>
        </w:rPr>
        <w:t>$750.00 for the thirty-seven (37) violations relating to misrepresentation, incorrect rates, failure to drop the account upon request, failure to issue renewal letters, and unauthorized enrollments, totaling $27,750.00</w:t>
      </w:r>
      <w:bookmarkEnd w:id="15"/>
      <w:r w:rsidRPr="000C26A0">
        <w:rPr>
          <w:rFonts w:eastAsiaTheme="minorHAnsi"/>
          <w:sz w:val="26"/>
          <w:szCs w:val="26"/>
        </w:rPr>
        <w:t>.</w:t>
      </w:r>
    </w:p>
    <w:p w14:paraId="53CECFA4" w14:textId="77777777" w:rsidR="0063045B" w:rsidRPr="005B4EF2" w:rsidRDefault="0063045B" w:rsidP="0063045B">
      <w:pPr>
        <w:pStyle w:val="ListParagraph"/>
        <w:ind w:left="2880" w:hanging="720"/>
        <w:rPr>
          <w:rFonts w:eastAsiaTheme="minorHAnsi"/>
          <w:sz w:val="26"/>
          <w:szCs w:val="26"/>
        </w:rPr>
      </w:pPr>
    </w:p>
    <w:p w14:paraId="40009A93" w14:textId="77777777" w:rsidR="0063045B" w:rsidRDefault="0063045B" w:rsidP="0063045B">
      <w:pPr>
        <w:pStyle w:val="ListParagraph"/>
        <w:keepNext/>
        <w:keepLines/>
        <w:numPr>
          <w:ilvl w:val="0"/>
          <w:numId w:val="22"/>
        </w:numPr>
        <w:autoSpaceDE w:val="0"/>
        <w:autoSpaceDN w:val="0"/>
        <w:adjustRightInd w:val="0"/>
        <w:ind w:right="1440"/>
        <w:rPr>
          <w:rFonts w:eastAsiaTheme="minorHAnsi"/>
          <w:sz w:val="26"/>
          <w:szCs w:val="26"/>
        </w:rPr>
      </w:pPr>
      <w:r>
        <w:rPr>
          <w:rFonts w:eastAsiaTheme="minorHAnsi"/>
          <w:sz w:val="26"/>
          <w:szCs w:val="26"/>
        </w:rPr>
        <w:t>A civil penalty of $750.00 for violations related to calling seven (7) individuals on the “Do Not Call” list, totaling $5,250.00.</w:t>
      </w:r>
    </w:p>
    <w:p w14:paraId="7236C4A1" w14:textId="77777777" w:rsidR="0063045B" w:rsidRPr="000C26A0" w:rsidRDefault="0063045B" w:rsidP="0063045B">
      <w:pPr>
        <w:pStyle w:val="ListParagraph"/>
        <w:ind w:left="2880" w:hanging="720"/>
        <w:rPr>
          <w:rFonts w:eastAsiaTheme="minorHAnsi"/>
          <w:sz w:val="26"/>
          <w:szCs w:val="26"/>
        </w:rPr>
      </w:pPr>
    </w:p>
    <w:p w14:paraId="3A223C6A" w14:textId="1F8999B5" w:rsidR="0063045B" w:rsidRPr="000C26A0" w:rsidRDefault="0063045B" w:rsidP="0063045B">
      <w:pPr>
        <w:pStyle w:val="ListParagraph"/>
        <w:keepNext/>
        <w:keepLines/>
        <w:numPr>
          <w:ilvl w:val="0"/>
          <w:numId w:val="22"/>
        </w:numPr>
        <w:autoSpaceDE w:val="0"/>
        <w:autoSpaceDN w:val="0"/>
        <w:adjustRightInd w:val="0"/>
        <w:ind w:right="1440"/>
        <w:rPr>
          <w:rFonts w:eastAsiaTheme="minorHAnsi"/>
          <w:sz w:val="26"/>
          <w:szCs w:val="26"/>
        </w:rPr>
      </w:pPr>
      <w:r>
        <w:rPr>
          <w:rFonts w:eastAsiaTheme="minorHAnsi"/>
          <w:sz w:val="26"/>
          <w:szCs w:val="26"/>
        </w:rPr>
        <w:t>A civil penalty of $1,000.00 for Discount Power’s lack of recording keeping (1 count) and nonexistent record keeping prior to 2019 (1</w:t>
      </w:r>
      <w:r w:rsidR="00AA37DA">
        <w:rPr>
          <w:rFonts w:eastAsiaTheme="minorHAnsi"/>
          <w:sz w:val="26"/>
          <w:szCs w:val="26"/>
        </w:rPr>
        <w:t> </w:t>
      </w:r>
      <w:r>
        <w:rPr>
          <w:rFonts w:eastAsiaTheme="minorHAnsi"/>
          <w:sz w:val="26"/>
          <w:szCs w:val="26"/>
        </w:rPr>
        <w:t>count), and a $750.00 civil penalty for the three (3) identified complaints within the last six billing cycles which contain no records of communications or a resolution of the complaint(s), totaling $4,250.00.</w:t>
      </w:r>
    </w:p>
    <w:p w14:paraId="4E7485F3" w14:textId="77777777" w:rsidR="0063045B" w:rsidRPr="005156FB" w:rsidRDefault="0063045B" w:rsidP="0063045B">
      <w:pPr>
        <w:autoSpaceDE w:val="0"/>
        <w:autoSpaceDN w:val="0"/>
        <w:adjustRightInd w:val="0"/>
        <w:ind w:left="1440" w:right="1440"/>
        <w:rPr>
          <w:rFonts w:eastAsiaTheme="minorHAnsi"/>
          <w:sz w:val="26"/>
          <w:szCs w:val="26"/>
          <w:highlight w:val="yellow"/>
        </w:rPr>
      </w:pPr>
    </w:p>
    <w:p w14:paraId="67439424" w14:textId="77777777" w:rsidR="0063045B" w:rsidRDefault="0063045B" w:rsidP="00DA3ADB">
      <w:pPr>
        <w:keepNext/>
        <w:keepLines/>
        <w:autoSpaceDE w:val="0"/>
        <w:autoSpaceDN w:val="0"/>
        <w:adjustRightInd w:val="0"/>
        <w:ind w:left="2160" w:right="1440" w:hanging="720"/>
        <w:rPr>
          <w:rFonts w:eastAsiaTheme="minorHAnsi"/>
          <w:sz w:val="26"/>
          <w:szCs w:val="26"/>
        </w:rPr>
      </w:pPr>
      <w:r w:rsidRPr="00864BBD">
        <w:rPr>
          <w:rFonts w:eastAsiaTheme="minorHAnsi"/>
          <w:sz w:val="26"/>
          <w:szCs w:val="26"/>
        </w:rPr>
        <w:t>46.</w:t>
      </w:r>
      <w:r w:rsidRPr="00864BBD">
        <w:rPr>
          <w:rFonts w:eastAsiaTheme="minorHAnsi"/>
          <w:sz w:val="26"/>
          <w:szCs w:val="26"/>
        </w:rPr>
        <w:tab/>
        <w:t>The civil penalty shall not be tax deductible or passed through as an additional charge to Discount</w:t>
      </w:r>
      <w:r>
        <w:rPr>
          <w:rFonts w:eastAsiaTheme="minorHAnsi"/>
          <w:sz w:val="26"/>
          <w:szCs w:val="26"/>
        </w:rPr>
        <w:t xml:space="preserve"> Power</w:t>
      </w:r>
      <w:r w:rsidRPr="00864BBD">
        <w:rPr>
          <w:rFonts w:eastAsiaTheme="minorHAnsi"/>
          <w:sz w:val="26"/>
          <w:szCs w:val="26"/>
        </w:rPr>
        <w:t>’s customers in Pennsylvania.</w:t>
      </w:r>
    </w:p>
    <w:p w14:paraId="26971341" w14:textId="77777777" w:rsidR="0063045B" w:rsidRDefault="0063045B" w:rsidP="00DA3ADB">
      <w:pPr>
        <w:autoSpaceDE w:val="0"/>
        <w:autoSpaceDN w:val="0"/>
        <w:adjustRightInd w:val="0"/>
        <w:ind w:left="2160" w:right="1440" w:hanging="720"/>
        <w:rPr>
          <w:rFonts w:eastAsiaTheme="minorHAnsi"/>
          <w:sz w:val="26"/>
          <w:szCs w:val="26"/>
        </w:rPr>
      </w:pPr>
    </w:p>
    <w:p w14:paraId="0CCA66DA" w14:textId="77777777" w:rsidR="0063045B" w:rsidRPr="00BC4119" w:rsidRDefault="0063045B" w:rsidP="00DA3ADB">
      <w:pPr>
        <w:keepNext/>
        <w:keepLines/>
        <w:autoSpaceDE w:val="0"/>
        <w:autoSpaceDN w:val="0"/>
        <w:adjustRightInd w:val="0"/>
        <w:ind w:left="2160" w:right="1440" w:hanging="720"/>
        <w:rPr>
          <w:rFonts w:eastAsiaTheme="minorHAnsi"/>
          <w:sz w:val="26"/>
          <w:szCs w:val="26"/>
        </w:rPr>
      </w:pPr>
      <w:r w:rsidRPr="00D36C62">
        <w:rPr>
          <w:rFonts w:eastAsiaTheme="minorHAnsi"/>
          <w:sz w:val="26"/>
          <w:szCs w:val="26"/>
        </w:rPr>
        <w:lastRenderedPageBreak/>
        <w:t>47.</w:t>
      </w:r>
      <w:r w:rsidRPr="00D36C62">
        <w:rPr>
          <w:rFonts w:eastAsiaTheme="minorHAnsi"/>
          <w:sz w:val="26"/>
          <w:szCs w:val="26"/>
        </w:rPr>
        <w:tab/>
        <w:t>In addition to the civil penalty described above, Discount Power will perform the following remedial measures:</w:t>
      </w:r>
    </w:p>
    <w:p w14:paraId="4BD8828D" w14:textId="77777777" w:rsidR="0063045B" w:rsidRPr="005156FB" w:rsidRDefault="0063045B" w:rsidP="0063045B">
      <w:pPr>
        <w:autoSpaceDE w:val="0"/>
        <w:autoSpaceDN w:val="0"/>
        <w:adjustRightInd w:val="0"/>
        <w:ind w:left="1440" w:right="1440"/>
        <w:rPr>
          <w:rFonts w:eastAsiaTheme="minorHAnsi"/>
          <w:sz w:val="26"/>
          <w:szCs w:val="26"/>
          <w:highlight w:val="yellow"/>
        </w:rPr>
      </w:pPr>
    </w:p>
    <w:p w14:paraId="4C152E65" w14:textId="77777777" w:rsidR="0063045B" w:rsidRPr="002905F4" w:rsidRDefault="0063045B" w:rsidP="00EE194F">
      <w:pPr>
        <w:pStyle w:val="ListParagraph"/>
        <w:keepNext/>
        <w:keepLines/>
        <w:numPr>
          <w:ilvl w:val="0"/>
          <w:numId w:val="36"/>
        </w:numPr>
        <w:autoSpaceDE w:val="0"/>
        <w:autoSpaceDN w:val="0"/>
        <w:adjustRightInd w:val="0"/>
        <w:ind w:right="1440"/>
        <w:contextualSpacing w:val="0"/>
        <w:rPr>
          <w:rFonts w:eastAsiaTheme="minorHAnsi"/>
          <w:sz w:val="26"/>
          <w:szCs w:val="26"/>
        </w:rPr>
      </w:pPr>
      <w:r w:rsidRPr="002905F4">
        <w:rPr>
          <w:rFonts w:eastAsiaTheme="minorHAnsi"/>
          <w:sz w:val="26"/>
          <w:szCs w:val="26"/>
        </w:rPr>
        <w:t xml:space="preserve">Discount Power will create and implement a robust customer complaint tracking system which will include the inquiry, dispute, or complaint, subsequent communications between Discount Power and the customer, and the resolution of the inquiry, dispute, or complaint. </w:t>
      </w:r>
      <w:r>
        <w:rPr>
          <w:rFonts w:eastAsiaTheme="minorHAnsi"/>
          <w:sz w:val="26"/>
          <w:szCs w:val="26"/>
        </w:rPr>
        <w:t xml:space="preserve"> </w:t>
      </w:r>
      <w:r w:rsidRPr="002905F4">
        <w:rPr>
          <w:rFonts w:eastAsiaTheme="minorHAnsi"/>
          <w:sz w:val="26"/>
          <w:szCs w:val="26"/>
        </w:rPr>
        <w:t>This system will be capable of retrieving records either by searching for the customer’s name or account number, or by other key words for easy access and review.</w:t>
      </w:r>
    </w:p>
    <w:p w14:paraId="63A1A3FE" w14:textId="77777777" w:rsidR="0063045B" w:rsidRPr="005156FB" w:rsidRDefault="0063045B" w:rsidP="0063045B">
      <w:pPr>
        <w:pStyle w:val="ListParagraph"/>
        <w:autoSpaceDE w:val="0"/>
        <w:autoSpaceDN w:val="0"/>
        <w:adjustRightInd w:val="0"/>
        <w:ind w:left="2880" w:right="2160" w:hanging="720"/>
        <w:rPr>
          <w:rFonts w:eastAsiaTheme="minorHAnsi"/>
          <w:sz w:val="26"/>
          <w:szCs w:val="26"/>
          <w:highlight w:val="yellow"/>
        </w:rPr>
      </w:pPr>
    </w:p>
    <w:p w14:paraId="4B1D362B" w14:textId="77777777" w:rsidR="0063045B" w:rsidRDefault="0063045B" w:rsidP="00EE194F">
      <w:pPr>
        <w:pStyle w:val="ListParagraph"/>
        <w:keepNext/>
        <w:keepLines/>
        <w:numPr>
          <w:ilvl w:val="0"/>
          <w:numId w:val="36"/>
        </w:numPr>
        <w:autoSpaceDE w:val="0"/>
        <w:autoSpaceDN w:val="0"/>
        <w:adjustRightInd w:val="0"/>
        <w:ind w:right="1440"/>
        <w:rPr>
          <w:rFonts w:eastAsiaTheme="minorHAnsi"/>
          <w:sz w:val="26"/>
          <w:szCs w:val="26"/>
        </w:rPr>
      </w:pPr>
      <w:r w:rsidRPr="002905F4">
        <w:rPr>
          <w:rFonts w:eastAsiaTheme="minorHAnsi"/>
          <w:sz w:val="26"/>
          <w:szCs w:val="26"/>
        </w:rPr>
        <w:t>Discount Power will train its customer service agents on the new system and ensure that all information logged into the system is detailed, as specific as possible, accurate, and responsive to the inquiry, dispute, or complaint.</w:t>
      </w:r>
    </w:p>
    <w:p w14:paraId="3AB3E2DE" w14:textId="77777777" w:rsidR="0063045B" w:rsidRPr="002905F4" w:rsidRDefault="0063045B" w:rsidP="0063045B">
      <w:pPr>
        <w:pStyle w:val="ListParagraph"/>
        <w:ind w:left="2880" w:hanging="720"/>
        <w:rPr>
          <w:rFonts w:eastAsiaTheme="minorHAnsi"/>
          <w:sz w:val="26"/>
          <w:szCs w:val="26"/>
        </w:rPr>
      </w:pPr>
    </w:p>
    <w:p w14:paraId="221330EC" w14:textId="77777777" w:rsidR="0063045B" w:rsidRPr="002905F4" w:rsidRDefault="0063045B" w:rsidP="00EE194F">
      <w:pPr>
        <w:pStyle w:val="ListParagraph"/>
        <w:keepNext/>
        <w:keepLines/>
        <w:numPr>
          <w:ilvl w:val="0"/>
          <w:numId w:val="36"/>
        </w:numPr>
        <w:autoSpaceDE w:val="0"/>
        <w:autoSpaceDN w:val="0"/>
        <w:adjustRightInd w:val="0"/>
        <w:ind w:right="1440"/>
        <w:rPr>
          <w:rFonts w:eastAsiaTheme="minorHAnsi"/>
          <w:sz w:val="26"/>
          <w:szCs w:val="26"/>
        </w:rPr>
      </w:pPr>
      <w:r w:rsidRPr="002905F4">
        <w:rPr>
          <w:rFonts w:eastAsiaTheme="minorHAnsi"/>
          <w:sz w:val="26"/>
          <w:szCs w:val="26"/>
        </w:rPr>
        <w:t>Discount Power will process, investigate, and be responsive to a customer inquiry, dispute, or complaint within a 6-month period of time from the date the inquiry, dispute, or complaint is received</w:t>
      </w:r>
      <w:r>
        <w:rPr>
          <w:rFonts w:eastAsiaTheme="minorHAnsi"/>
          <w:sz w:val="26"/>
          <w:szCs w:val="26"/>
        </w:rPr>
        <w:t>.</w:t>
      </w:r>
    </w:p>
    <w:p w14:paraId="55489225" w14:textId="77777777" w:rsidR="0063045B" w:rsidRDefault="0063045B" w:rsidP="0063045B">
      <w:pPr>
        <w:autoSpaceDE w:val="0"/>
        <w:autoSpaceDN w:val="0"/>
        <w:adjustRightInd w:val="0"/>
        <w:ind w:left="1440" w:right="1440"/>
        <w:rPr>
          <w:rFonts w:eastAsiaTheme="minorHAnsi"/>
          <w:sz w:val="26"/>
          <w:szCs w:val="26"/>
        </w:rPr>
      </w:pPr>
    </w:p>
    <w:p w14:paraId="5C1B690F" w14:textId="79350D13" w:rsidR="0063045B" w:rsidRDefault="0063045B" w:rsidP="00EA75C4">
      <w:pPr>
        <w:keepNext/>
        <w:keepLines/>
        <w:autoSpaceDE w:val="0"/>
        <w:autoSpaceDN w:val="0"/>
        <w:adjustRightInd w:val="0"/>
        <w:ind w:left="2160" w:right="1440" w:hanging="720"/>
        <w:rPr>
          <w:rFonts w:eastAsiaTheme="minorHAnsi"/>
          <w:sz w:val="26"/>
          <w:szCs w:val="26"/>
        </w:rPr>
      </w:pPr>
      <w:r w:rsidRPr="00CD5265">
        <w:rPr>
          <w:rFonts w:eastAsiaTheme="minorHAnsi"/>
          <w:sz w:val="26"/>
          <w:szCs w:val="26"/>
        </w:rPr>
        <w:t>48.</w:t>
      </w:r>
      <w:r w:rsidRPr="00CD5265">
        <w:rPr>
          <w:rFonts w:eastAsiaTheme="minorHAnsi"/>
          <w:sz w:val="26"/>
          <w:szCs w:val="26"/>
        </w:rPr>
        <w:tab/>
        <w:t>Discount Power will file a letter with the Commission and I&amp;E stating its compliance with the remedial measures described in Paragraph 47 within six (6) months of an Order approving this Settlement Agreement.</w:t>
      </w:r>
    </w:p>
    <w:p w14:paraId="229A5990" w14:textId="77777777" w:rsidR="0063045B" w:rsidRPr="005156FB" w:rsidRDefault="0063045B" w:rsidP="00EA75C4">
      <w:pPr>
        <w:keepNext/>
        <w:autoSpaceDE w:val="0"/>
        <w:autoSpaceDN w:val="0"/>
        <w:adjustRightInd w:val="0"/>
        <w:spacing w:line="360" w:lineRule="auto"/>
        <w:rPr>
          <w:rFonts w:eastAsiaTheme="minorHAnsi"/>
          <w:sz w:val="26"/>
          <w:szCs w:val="26"/>
          <w:highlight w:val="yellow"/>
        </w:rPr>
      </w:pPr>
    </w:p>
    <w:p w14:paraId="166ABF7C" w14:textId="77777777" w:rsidR="0063045B" w:rsidRPr="00864BBD" w:rsidRDefault="0063045B" w:rsidP="00CA5811">
      <w:pPr>
        <w:keepNext/>
        <w:spacing w:line="360" w:lineRule="auto"/>
        <w:contextualSpacing/>
        <w:rPr>
          <w:rFonts w:eastAsiaTheme="minorHAnsi"/>
          <w:sz w:val="26"/>
          <w:szCs w:val="26"/>
        </w:rPr>
      </w:pPr>
      <w:r w:rsidRPr="00864BBD">
        <w:rPr>
          <w:rFonts w:eastAsiaTheme="minorHAnsi"/>
          <w:i/>
          <w:iCs/>
          <w:sz w:val="26"/>
          <w:szCs w:val="26"/>
        </w:rPr>
        <w:t xml:space="preserve">See </w:t>
      </w:r>
      <w:r w:rsidRPr="00864BBD">
        <w:rPr>
          <w:rFonts w:eastAsiaTheme="minorHAnsi"/>
          <w:sz w:val="26"/>
          <w:szCs w:val="26"/>
        </w:rPr>
        <w:t xml:space="preserve">Settlement at ¶¶ 45-48.  </w:t>
      </w:r>
    </w:p>
    <w:p w14:paraId="1840A72E" w14:textId="77777777" w:rsidR="0063045B" w:rsidRPr="005156FB" w:rsidRDefault="0063045B" w:rsidP="00CA5811">
      <w:pPr>
        <w:spacing w:line="360" w:lineRule="auto"/>
        <w:contextualSpacing/>
        <w:rPr>
          <w:rFonts w:eastAsiaTheme="minorHAnsi"/>
          <w:sz w:val="26"/>
          <w:szCs w:val="26"/>
          <w:highlight w:val="yellow"/>
        </w:rPr>
      </w:pPr>
    </w:p>
    <w:p w14:paraId="035A4CDB" w14:textId="77777777" w:rsidR="0063045B" w:rsidRDefault="0063045B" w:rsidP="00CA5811">
      <w:pPr>
        <w:spacing w:line="360" w:lineRule="auto"/>
        <w:ind w:firstLine="1440"/>
        <w:contextualSpacing/>
        <w:rPr>
          <w:rFonts w:eastAsiaTheme="minorHAnsi"/>
          <w:sz w:val="26"/>
          <w:szCs w:val="26"/>
        </w:rPr>
      </w:pPr>
      <w:r w:rsidRPr="00AF4CCB">
        <w:rPr>
          <w:rFonts w:eastAsiaTheme="minorHAnsi"/>
          <w:iCs/>
          <w:sz w:val="26"/>
          <w:szCs w:val="26"/>
        </w:rPr>
        <w:t xml:space="preserve">The Parties request that the Commission issue an Order approving the Settlement without modification but note that if the terms of the Settlement are “substantively” modified by a Commission </w:t>
      </w:r>
      <w:r w:rsidRPr="00721073">
        <w:rPr>
          <w:rFonts w:eastAsiaTheme="minorHAnsi"/>
          <w:iCs/>
          <w:sz w:val="26"/>
          <w:szCs w:val="26"/>
        </w:rPr>
        <w:t xml:space="preserve">Order, the Parties agree that any party may withdraw from the Settlement.  Settlement at </w:t>
      </w:r>
      <w:r w:rsidRPr="00721073">
        <w:rPr>
          <w:rFonts w:eastAsiaTheme="minorHAnsi"/>
          <w:sz w:val="26"/>
          <w:szCs w:val="26"/>
        </w:rPr>
        <w:t>¶¶ 51-52.  The Parties indicate that the consequence of a</w:t>
      </w:r>
      <w:r w:rsidRPr="00721073">
        <w:rPr>
          <w:rFonts w:eastAsiaTheme="minorHAnsi"/>
          <w:iCs/>
          <w:sz w:val="26"/>
          <w:szCs w:val="26"/>
        </w:rPr>
        <w:t xml:space="preserve">ny Party withdrawing from the Settlement is that all issues associated </w:t>
      </w:r>
      <w:r w:rsidRPr="00721073">
        <w:rPr>
          <w:rFonts w:eastAsiaTheme="minorHAnsi"/>
          <w:iCs/>
          <w:sz w:val="26"/>
          <w:szCs w:val="26"/>
        </w:rPr>
        <w:lastRenderedPageBreak/>
        <w:t xml:space="preserve">with the requested relief presented in the proceeding will be fully litigated unless otherwise stipulated by the Parties, and all obligations of the Parties to each other will cease.  Further, if a Party withdraws from the Settlement, the Parties jointly agree that nothing in the Settlement shall be construed as an admission against, or as prejudice to, any position which any Party might adopt during subsequent litigation of this case.  Settlement at </w:t>
      </w:r>
      <w:r w:rsidRPr="00721073">
        <w:rPr>
          <w:rFonts w:eastAsiaTheme="minorHAnsi"/>
          <w:sz w:val="26"/>
          <w:szCs w:val="26"/>
        </w:rPr>
        <w:t xml:space="preserve">¶ </w:t>
      </w:r>
      <w:r>
        <w:rPr>
          <w:rFonts w:eastAsiaTheme="minorHAnsi"/>
          <w:sz w:val="26"/>
          <w:szCs w:val="26"/>
        </w:rPr>
        <w:t>52</w:t>
      </w:r>
      <w:r w:rsidRPr="00721073">
        <w:rPr>
          <w:rFonts w:eastAsiaTheme="minorHAnsi"/>
          <w:sz w:val="26"/>
          <w:szCs w:val="26"/>
        </w:rPr>
        <w:t xml:space="preserve">.  </w:t>
      </w:r>
    </w:p>
    <w:p w14:paraId="3A43296D" w14:textId="77777777" w:rsidR="0063045B" w:rsidRPr="00721073" w:rsidRDefault="0063045B" w:rsidP="0063045B">
      <w:pPr>
        <w:spacing w:line="360" w:lineRule="auto"/>
        <w:ind w:firstLine="1440"/>
        <w:contextualSpacing/>
        <w:rPr>
          <w:rFonts w:eastAsiaTheme="minorHAnsi"/>
          <w:sz w:val="26"/>
          <w:szCs w:val="26"/>
        </w:rPr>
      </w:pPr>
    </w:p>
    <w:p w14:paraId="740BB769" w14:textId="5DD539C0" w:rsidR="00EE10AD" w:rsidRDefault="0063045B" w:rsidP="0063045B">
      <w:pPr>
        <w:spacing w:line="360" w:lineRule="auto"/>
        <w:ind w:firstLine="1440"/>
        <w:contextualSpacing/>
        <w:rPr>
          <w:rFonts w:eastAsiaTheme="minorHAnsi"/>
          <w:sz w:val="26"/>
          <w:szCs w:val="26"/>
        </w:rPr>
      </w:pPr>
      <w:bookmarkStart w:id="16" w:name="_Hlk92722738"/>
      <w:r w:rsidRPr="00F21EF4">
        <w:rPr>
          <w:rFonts w:eastAsiaTheme="minorHAnsi"/>
          <w:sz w:val="26"/>
          <w:szCs w:val="26"/>
        </w:rPr>
        <w:t xml:space="preserve">The Parties acknowledge that the Settlement represents a complete </w:t>
      </w:r>
      <w:r w:rsidRPr="001C4DDF">
        <w:rPr>
          <w:rFonts w:eastAsiaTheme="minorHAnsi"/>
          <w:sz w:val="26"/>
          <w:szCs w:val="26"/>
        </w:rPr>
        <w:t>settlement of I&amp;E’s investigation of Discount’s alleged violations related to</w:t>
      </w:r>
      <w:r w:rsidR="00B74C5F">
        <w:rPr>
          <w:rFonts w:eastAsiaTheme="minorHAnsi"/>
          <w:sz w:val="26"/>
          <w:szCs w:val="26"/>
        </w:rPr>
        <w:t>:</w:t>
      </w:r>
      <w:r w:rsidR="00CA5811">
        <w:rPr>
          <w:rFonts w:eastAsiaTheme="minorHAnsi"/>
          <w:sz w:val="26"/>
          <w:szCs w:val="26"/>
        </w:rPr>
        <w:t xml:space="preserve"> </w:t>
      </w:r>
      <w:r w:rsidR="00B74C5F">
        <w:rPr>
          <w:rFonts w:eastAsiaTheme="minorHAnsi"/>
          <w:sz w:val="26"/>
          <w:szCs w:val="26"/>
        </w:rPr>
        <w:t xml:space="preserve"> </w:t>
      </w:r>
      <w:r w:rsidRPr="001C4DDF">
        <w:rPr>
          <w:rFonts w:eastAsiaTheme="minorHAnsi"/>
          <w:sz w:val="26"/>
          <w:szCs w:val="26"/>
        </w:rPr>
        <w:t xml:space="preserve">(1) the misleading and deceptive telemarketing calls made to </w:t>
      </w:r>
      <w:r>
        <w:rPr>
          <w:rFonts w:eastAsiaTheme="minorHAnsi"/>
          <w:sz w:val="26"/>
          <w:szCs w:val="26"/>
        </w:rPr>
        <w:t>the Director</w:t>
      </w:r>
      <w:r w:rsidRPr="001C4DDF">
        <w:rPr>
          <w:rFonts w:eastAsiaTheme="minorHAnsi"/>
          <w:sz w:val="26"/>
          <w:szCs w:val="26"/>
        </w:rPr>
        <w:t>; (2) violations relating to misrepresentation, incorrect rates, failure to remove an account upon request, failure to issue renewal letters, and unauthorized enrollments made from 2019 to May</w:t>
      </w:r>
      <w:r>
        <w:rPr>
          <w:rFonts w:eastAsiaTheme="minorHAnsi"/>
          <w:sz w:val="26"/>
          <w:szCs w:val="26"/>
        </w:rPr>
        <w:t> </w:t>
      </w:r>
      <w:r w:rsidRPr="001C4DDF">
        <w:rPr>
          <w:rFonts w:eastAsiaTheme="minorHAnsi"/>
          <w:sz w:val="26"/>
          <w:szCs w:val="26"/>
        </w:rPr>
        <w:t>2021; (3)</w:t>
      </w:r>
      <w:r>
        <w:rPr>
          <w:rFonts w:eastAsiaTheme="minorHAnsi"/>
          <w:sz w:val="26"/>
          <w:szCs w:val="26"/>
        </w:rPr>
        <w:t> </w:t>
      </w:r>
      <w:r w:rsidRPr="001C4DDF">
        <w:rPr>
          <w:rFonts w:eastAsiaTheme="minorHAnsi"/>
          <w:sz w:val="26"/>
          <w:szCs w:val="26"/>
        </w:rPr>
        <w:t>calling individuals on the Do Not Call list from 2019 to May 2021; and (4)</w:t>
      </w:r>
      <w:r>
        <w:rPr>
          <w:rFonts w:eastAsiaTheme="minorHAnsi"/>
          <w:sz w:val="26"/>
          <w:szCs w:val="26"/>
        </w:rPr>
        <w:t> </w:t>
      </w:r>
      <w:r w:rsidRPr="001C4DDF">
        <w:rPr>
          <w:rFonts w:eastAsiaTheme="minorHAnsi"/>
          <w:sz w:val="26"/>
          <w:szCs w:val="26"/>
        </w:rPr>
        <w:t xml:space="preserve">Discount’s record keeping prior to the initiation of the </w:t>
      </w:r>
      <w:r w:rsidR="00B4753F">
        <w:rPr>
          <w:rFonts w:eastAsiaTheme="minorHAnsi"/>
          <w:sz w:val="26"/>
          <w:szCs w:val="26"/>
        </w:rPr>
        <w:t>i</w:t>
      </w:r>
      <w:r w:rsidRPr="001C4DDF">
        <w:rPr>
          <w:rFonts w:eastAsiaTheme="minorHAnsi"/>
          <w:sz w:val="26"/>
          <w:szCs w:val="26"/>
        </w:rPr>
        <w:t xml:space="preserve">nformal </w:t>
      </w:r>
      <w:r w:rsidR="00B4753F">
        <w:rPr>
          <w:rFonts w:eastAsiaTheme="minorHAnsi"/>
          <w:sz w:val="26"/>
          <w:szCs w:val="26"/>
        </w:rPr>
        <w:t>i</w:t>
      </w:r>
      <w:r w:rsidRPr="001C4DDF">
        <w:rPr>
          <w:rFonts w:eastAsiaTheme="minorHAnsi"/>
          <w:sz w:val="26"/>
          <w:szCs w:val="26"/>
        </w:rPr>
        <w:t xml:space="preserve">nvestigation.  The Settlement represents a compromise of positions and does not constitute a finding or an admission concerning the alleged violations of the Code and the Commission’s Regulations.  </w:t>
      </w:r>
      <w:r w:rsidRPr="001C4DDF">
        <w:rPr>
          <w:rFonts w:eastAsiaTheme="minorHAnsi"/>
          <w:iCs/>
          <w:sz w:val="26"/>
          <w:szCs w:val="26"/>
        </w:rPr>
        <w:t xml:space="preserve">Settlement at </w:t>
      </w:r>
      <w:r w:rsidRPr="001C4DDF">
        <w:rPr>
          <w:rFonts w:eastAsiaTheme="minorHAnsi"/>
          <w:sz w:val="26"/>
          <w:szCs w:val="26"/>
        </w:rPr>
        <w:t xml:space="preserve">¶ </w:t>
      </w:r>
      <w:r>
        <w:rPr>
          <w:rFonts w:eastAsiaTheme="minorHAnsi"/>
          <w:sz w:val="26"/>
          <w:szCs w:val="26"/>
        </w:rPr>
        <w:t>56</w:t>
      </w:r>
      <w:r w:rsidRPr="001C4DDF">
        <w:rPr>
          <w:rFonts w:eastAsiaTheme="minorHAnsi"/>
          <w:sz w:val="26"/>
          <w:szCs w:val="26"/>
        </w:rPr>
        <w:t xml:space="preserve">.  </w:t>
      </w:r>
    </w:p>
    <w:bookmarkEnd w:id="16"/>
    <w:p w14:paraId="15F9BA6E" w14:textId="77777777" w:rsidR="0063045B" w:rsidRPr="0063045B" w:rsidRDefault="0063045B" w:rsidP="0063045B">
      <w:pPr>
        <w:spacing w:line="360" w:lineRule="auto"/>
        <w:ind w:firstLine="1440"/>
        <w:contextualSpacing/>
        <w:rPr>
          <w:rFonts w:eastAsiaTheme="minorHAnsi"/>
          <w:sz w:val="26"/>
          <w:szCs w:val="26"/>
        </w:rPr>
      </w:pPr>
    </w:p>
    <w:p w14:paraId="00883E3F" w14:textId="77777777" w:rsidR="00EE10AD" w:rsidRPr="00E460CF" w:rsidRDefault="00EE10AD" w:rsidP="00E460CF">
      <w:pPr>
        <w:pStyle w:val="ListParagraph"/>
        <w:keepNext/>
        <w:keepLines/>
        <w:widowControl/>
        <w:spacing w:line="360" w:lineRule="auto"/>
        <w:ind w:left="0"/>
        <w:jc w:val="center"/>
        <w:rPr>
          <w:b/>
          <w:color w:val="000000" w:themeColor="text1"/>
          <w:sz w:val="26"/>
          <w:szCs w:val="26"/>
        </w:rPr>
      </w:pPr>
      <w:r w:rsidRPr="00E460CF">
        <w:rPr>
          <w:b/>
          <w:color w:val="000000" w:themeColor="text1"/>
          <w:sz w:val="26"/>
          <w:szCs w:val="26"/>
        </w:rPr>
        <w:t>Discussion</w:t>
      </w:r>
    </w:p>
    <w:p w14:paraId="05C8972F" w14:textId="77777777" w:rsidR="00EE10AD" w:rsidRPr="00E460CF" w:rsidRDefault="00EE10AD" w:rsidP="00E460CF">
      <w:pPr>
        <w:spacing w:line="360" w:lineRule="auto"/>
        <w:contextualSpacing/>
        <w:rPr>
          <w:sz w:val="26"/>
          <w:szCs w:val="26"/>
          <w:highlight w:val="yellow"/>
        </w:rPr>
      </w:pPr>
      <w:bookmarkStart w:id="17" w:name="_Hlk45106054"/>
    </w:p>
    <w:p w14:paraId="320B9CFA" w14:textId="12EAE4D6" w:rsidR="00356ADC" w:rsidRPr="003331DE" w:rsidRDefault="00356ADC" w:rsidP="00356ADC">
      <w:pPr>
        <w:spacing w:line="360" w:lineRule="auto"/>
        <w:ind w:firstLine="1440"/>
        <w:contextualSpacing/>
        <w:rPr>
          <w:rFonts w:eastAsia="Times New Roman"/>
          <w:sz w:val="26"/>
          <w:szCs w:val="26"/>
        </w:rPr>
      </w:pPr>
      <w:r w:rsidRPr="003331DE">
        <w:rPr>
          <w:rFonts w:eastAsia="Times New Roman"/>
          <w:sz w:val="26"/>
          <w:szCs w:val="26"/>
        </w:rPr>
        <w:t>Initially, we note that any issue or argument that we do not specifically address shall be deemed to have been duly considered and denied without further discussion.  The Commission is not required to consider</w:t>
      </w:r>
      <w:r w:rsidR="001C3D69" w:rsidRPr="003331DE">
        <w:rPr>
          <w:rFonts w:eastAsia="Times New Roman"/>
          <w:sz w:val="26"/>
          <w:szCs w:val="26"/>
        </w:rPr>
        <w:t>,</w:t>
      </w:r>
      <w:r w:rsidRPr="003331DE">
        <w:rPr>
          <w:rFonts w:eastAsia="Times New Roman"/>
          <w:sz w:val="26"/>
          <w:szCs w:val="26"/>
        </w:rPr>
        <w:t xml:space="preserve"> expressly or at length</w:t>
      </w:r>
      <w:r w:rsidR="001C3D69" w:rsidRPr="003331DE">
        <w:rPr>
          <w:rFonts w:eastAsia="Times New Roman"/>
          <w:sz w:val="26"/>
          <w:szCs w:val="26"/>
        </w:rPr>
        <w:t>,</w:t>
      </w:r>
      <w:r w:rsidRPr="003331DE">
        <w:rPr>
          <w:rFonts w:eastAsia="Times New Roman"/>
          <w:sz w:val="26"/>
          <w:szCs w:val="26"/>
        </w:rPr>
        <w:t xml:space="preserve"> each contention or argument raised by the Parties.  </w:t>
      </w:r>
      <w:r w:rsidRPr="003331DE">
        <w:rPr>
          <w:rFonts w:eastAsia="Times New Roman"/>
          <w:i/>
          <w:sz w:val="26"/>
          <w:szCs w:val="26"/>
        </w:rPr>
        <w:t>Consolidated Rail Corp. v. Pa. PUC</w:t>
      </w:r>
      <w:r w:rsidRPr="003331DE">
        <w:rPr>
          <w:rFonts w:eastAsia="Times New Roman"/>
          <w:sz w:val="26"/>
          <w:szCs w:val="26"/>
        </w:rPr>
        <w:t xml:space="preserve">, 625 A.2d 741 (Pa. Cmwlth. 1993); </w:t>
      </w:r>
      <w:r w:rsidRPr="003331DE">
        <w:rPr>
          <w:rFonts w:eastAsia="Times New Roman"/>
          <w:i/>
          <w:sz w:val="26"/>
          <w:szCs w:val="26"/>
        </w:rPr>
        <w:t>also see, generally</w:t>
      </w:r>
      <w:r w:rsidRPr="003331DE">
        <w:rPr>
          <w:rFonts w:eastAsia="Times New Roman"/>
          <w:sz w:val="26"/>
          <w:szCs w:val="26"/>
        </w:rPr>
        <w:t xml:space="preserve">, </w:t>
      </w:r>
      <w:r w:rsidRPr="003331DE">
        <w:rPr>
          <w:rFonts w:eastAsia="Times New Roman"/>
          <w:i/>
          <w:sz w:val="26"/>
          <w:szCs w:val="26"/>
        </w:rPr>
        <w:t>University of Pennsylvania v. Pa. PUC</w:t>
      </w:r>
      <w:r w:rsidRPr="003331DE">
        <w:rPr>
          <w:rFonts w:eastAsia="Times New Roman"/>
          <w:sz w:val="26"/>
          <w:szCs w:val="26"/>
        </w:rPr>
        <w:t>, 485 A.2d 1217 (Pa. Cmwlth. 1984).</w:t>
      </w:r>
    </w:p>
    <w:p w14:paraId="684560BE" w14:textId="489D44E2" w:rsidR="00356ADC" w:rsidRPr="003331DE" w:rsidRDefault="00356ADC" w:rsidP="00356ADC">
      <w:pPr>
        <w:spacing w:line="360" w:lineRule="auto"/>
        <w:ind w:firstLine="1440"/>
        <w:contextualSpacing/>
        <w:rPr>
          <w:rFonts w:eastAsia="Times New Roman"/>
          <w:sz w:val="26"/>
          <w:szCs w:val="26"/>
        </w:rPr>
      </w:pPr>
    </w:p>
    <w:p w14:paraId="54686AD1" w14:textId="33119B47" w:rsidR="00356ADC" w:rsidRPr="003331DE" w:rsidRDefault="00356ADC" w:rsidP="00356ADC">
      <w:pPr>
        <w:spacing w:line="360" w:lineRule="auto"/>
        <w:ind w:firstLine="1440"/>
        <w:contextualSpacing/>
        <w:rPr>
          <w:rFonts w:eastAsia="Times New Roman"/>
          <w:sz w:val="26"/>
          <w:szCs w:val="26"/>
        </w:rPr>
      </w:pPr>
      <w:r w:rsidRPr="003331DE">
        <w:rPr>
          <w:rFonts w:eastAsia="Times New Roman"/>
          <w:sz w:val="26"/>
          <w:szCs w:val="26"/>
        </w:rPr>
        <w:t xml:space="preserve">The focus of inquiry for determining whether a proposed settlement should be recommended for approval is not a “burden of proof” standard, as is utilized for </w:t>
      </w:r>
      <w:r w:rsidRPr="003331DE">
        <w:rPr>
          <w:rFonts w:eastAsia="Times New Roman"/>
          <w:sz w:val="26"/>
          <w:szCs w:val="26"/>
        </w:rPr>
        <w:lastRenderedPageBreak/>
        <w:t xml:space="preserve">contested matters.  </w:t>
      </w:r>
      <w:r w:rsidRPr="003331DE">
        <w:rPr>
          <w:rFonts w:eastAsia="Times New Roman"/>
          <w:i/>
          <w:iCs/>
          <w:sz w:val="26"/>
          <w:szCs w:val="26"/>
        </w:rPr>
        <w:t>Pa. PUC, et al. v. City of Lancaster - Bureau of Water</w:t>
      </w:r>
      <w:r w:rsidRPr="003331DE">
        <w:rPr>
          <w:rFonts w:eastAsia="Times New Roman"/>
          <w:sz w:val="26"/>
          <w:szCs w:val="26"/>
        </w:rPr>
        <w:t xml:space="preserve">, Docket Nos. R-2010-2179103, </w:t>
      </w:r>
      <w:r w:rsidRPr="003331DE">
        <w:rPr>
          <w:rFonts w:eastAsia="Times New Roman"/>
          <w:i/>
          <w:iCs/>
          <w:sz w:val="26"/>
          <w:szCs w:val="26"/>
        </w:rPr>
        <w:t>et al.</w:t>
      </w:r>
      <w:r w:rsidRPr="003331DE">
        <w:rPr>
          <w:rFonts w:eastAsia="Times New Roman"/>
          <w:sz w:val="26"/>
          <w:szCs w:val="26"/>
        </w:rPr>
        <w:t xml:space="preserve"> (Order entered July 14, 2011).  Rather, the benchmark for determining the acceptability of the proposed Settlement is whether the proposed terms and conditions are in the public interest.  </w:t>
      </w:r>
      <w:r w:rsidRPr="003331DE">
        <w:rPr>
          <w:rFonts w:eastAsia="Times New Roman"/>
          <w:i/>
          <w:iCs/>
          <w:sz w:val="26"/>
          <w:szCs w:val="26"/>
        </w:rPr>
        <w:t>Id.</w:t>
      </w:r>
      <w:r w:rsidRPr="003331DE">
        <w:rPr>
          <w:rFonts w:eastAsia="Times New Roman"/>
          <w:sz w:val="26"/>
          <w:szCs w:val="26"/>
        </w:rPr>
        <w:t xml:space="preserve"> (citing </w:t>
      </w:r>
      <w:r w:rsidRPr="003331DE">
        <w:rPr>
          <w:rFonts w:eastAsia="Times New Roman"/>
          <w:i/>
          <w:iCs/>
          <w:sz w:val="26"/>
          <w:szCs w:val="26"/>
        </w:rPr>
        <w:t>Warner v. GTE North, Inc.</w:t>
      </w:r>
      <w:r w:rsidRPr="003331DE">
        <w:rPr>
          <w:rFonts w:eastAsia="Times New Roman"/>
          <w:sz w:val="26"/>
          <w:szCs w:val="26"/>
        </w:rPr>
        <w:t xml:space="preserve">, Docket No. C-00902815 (Order entered April 1, 1996); </w:t>
      </w:r>
      <w:r w:rsidRPr="003331DE">
        <w:rPr>
          <w:rFonts w:eastAsia="Times New Roman"/>
          <w:i/>
          <w:iCs/>
          <w:sz w:val="26"/>
          <w:szCs w:val="26"/>
        </w:rPr>
        <w:t>Pa. PUC v. C.S. Water and Sewer Associates</w:t>
      </w:r>
      <w:r w:rsidRPr="003331DE">
        <w:rPr>
          <w:rFonts w:eastAsia="Times New Roman"/>
          <w:sz w:val="26"/>
          <w:szCs w:val="26"/>
        </w:rPr>
        <w:t>, 74 Pa. P.U.C. 767 (1991)).</w:t>
      </w:r>
    </w:p>
    <w:p w14:paraId="3160C191" w14:textId="77777777" w:rsidR="00356ADC" w:rsidRPr="003331DE" w:rsidRDefault="00356ADC" w:rsidP="00E460CF">
      <w:pPr>
        <w:spacing w:line="360" w:lineRule="auto"/>
        <w:ind w:firstLine="1440"/>
        <w:contextualSpacing/>
        <w:rPr>
          <w:sz w:val="26"/>
          <w:szCs w:val="26"/>
        </w:rPr>
      </w:pPr>
    </w:p>
    <w:p w14:paraId="7B5CA490" w14:textId="56A6E400" w:rsidR="00EE10AD" w:rsidRPr="003331DE" w:rsidRDefault="00EE10AD" w:rsidP="007017C2">
      <w:pPr>
        <w:spacing w:line="360" w:lineRule="auto"/>
        <w:ind w:firstLine="1440"/>
        <w:contextualSpacing/>
        <w:rPr>
          <w:rFonts w:eastAsia="Times New Roman"/>
          <w:sz w:val="26"/>
          <w:szCs w:val="26"/>
        </w:rPr>
      </w:pPr>
      <w:r w:rsidRPr="003331DE">
        <w:rPr>
          <w:sz w:val="26"/>
          <w:szCs w:val="26"/>
        </w:rPr>
        <w:t xml:space="preserve">Pursuant to the Commission’s Regulations at 52 Pa. Code § 5.231, it is the Commission’s policy to promote settlements.  The Commission must, however, review proposed settlements to determine whether the terms are in the public interest.  </w:t>
      </w:r>
      <w:r w:rsidRPr="003331DE">
        <w:rPr>
          <w:i/>
          <w:sz w:val="26"/>
          <w:szCs w:val="26"/>
        </w:rPr>
        <w:t>Pa. PUC v. Philadelphia Gas Works</w:t>
      </w:r>
      <w:r w:rsidRPr="003331DE">
        <w:rPr>
          <w:sz w:val="26"/>
          <w:szCs w:val="26"/>
        </w:rPr>
        <w:t>, Docket No. M-00031768 (Order entered January 7, 2004).</w:t>
      </w:r>
      <w:r w:rsidR="00356ADC" w:rsidRPr="003331DE">
        <w:rPr>
          <w:sz w:val="26"/>
          <w:szCs w:val="26"/>
        </w:rPr>
        <w:t xml:space="preserve">  </w:t>
      </w:r>
      <w:r w:rsidR="00356ADC" w:rsidRPr="003331DE">
        <w:rPr>
          <w:rFonts w:eastAsia="Times New Roman"/>
          <w:sz w:val="26"/>
          <w:szCs w:val="26"/>
        </w:rPr>
        <w:t>Based on our review of the Settlement terms and conditions, we find that the Settlement is in the public interest.</w:t>
      </w:r>
    </w:p>
    <w:p w14:paraId="5813E525" w14:textId="77777777" w:rsidR="00F15F06" w:rsidRPr="003331DE" w:rsidRDefault="00F15F06" w:rsidP="00E460CF">
      <w:pPr>
        <w:spacing w:line="360" w:lineRule="auto"/>
        <w:ind w:firstLine="1440"/>
        <w:contextualSpacing/>
        <w:rPr>
          <w:sz w:val="26"/>
          <w:szCs w:val="26"/>
        </w:rPr>
      </w:pPr>
    </w:p>
    <w:p w14:paraId="701E3285" w14:textId="4FD16180" w:rsidR="0013143E" w:rsidRPr="003331DE" w:rsidRDefault="0013143E" w:rsidP="00C753BF">
      <w:pPr>
        <w:spacing w:line="360" w:lineRule="auto"/>
        <w:ind w:firstLine="1440"/>
        <w:contextualSpacing/>
        <w:rPr>
          <w:rFonts w:eastAsia="Times New Roman"/>
          <w:sz w:val="26"/>
          <w:szCs w:val="26"/>
        </w:rPr>
      </w:pPr>
      <w:r w:rsidRPr="003331DE">
        <w:rPr>
          <w:rFonts w:eastAsia="Times New Roman"/>
          <w:sz w:val="26"/>
          <w:szCs w:val="26"/>
        </w:rPr>
        <w:t>Consistent with the Commission’s policy to promote settlements, we have promulgated a Policy Statement at 52 Pa. Code § 69.1201</w:t>
      </w:r>
      <w:r w:rsidR="005400E8" w:rsidRPr="003331DE">
        <w:rPr>
          <w:rFonts w:eastAsia="Times New Roman"/>
          <w:sz w:val="26"/>
          <w:szCs w:val="26"/>
        </w:rPr>
        <w:t>, which</w:t>
      </w:r>
      <w:r w:rsidRPr="003331DE">
        <w:rPr>
          <w:rFonts w:eastAsia="Times New Roman"/>
          <w:sz w:val="26"/>
          <w:szCs w:val="26"/>
        </w:rPr>
        <w:t xml:space="preserve"> sets forth ten factors that we may consider in evaluating whether a civil penalty for violating a Commission Order, Regulation, or statute is appropriate, as well as if a proposed settlement for a violation is reasonable and approval of a proposed settlement agreement is in the public interest.  </w:t>
      </w:r>
      <w:r w:rsidR="00C753BF" w:rsidRPr="003331DE">
        <w:rPr>
          <w:rFonts w:eastAsia="Times New Roman"/>
          <w:sz w:val="26"/>
          <w:szCs w:val="26"/>
        </w:rPr>
        <w:t xml:space="preserve">The Commission will not apply the factors as strictly in settled cases as in litigated cases.  52 Pa. Code § 69.1201(b).  While many of the same factors may still be considered, in settled cases, the parties “will be afforded flexibility in reaching amicable resolutions to complaints and other matters as long as the settlement is in the public interest.”  </w:t>
      </w:r>
      <w:r w:rsidR="00C753BF" w:rsidRPr="003331DE">
        <w:rPr>
          <w:rFonts w:eastAsia="Times New Roman"/>
          <w:i/>
          <w:iCs/>
          <w:sz w:val="26"/>
          <w:szCs w:val="26"/>
        </w:rPr>
        <w:t xml:space="preserve">Id.  </w:t>
      </w:r>
      <w:r w:rsidRPr="003331DE">
        <w:rPr>
          <w:rFonts w:eastAsia="Times New Roman"/>
          <w:sz w:val="26"/>
          <w:szCs w:val="26"/>
        </w:rPr>
        <w:t>The Policy Statement sets forth the guidelines we use when determining whether, and to what extent, a civil penalty is warranted.  In this case, application of these guidelines supports approval of the Settlement.</w:t>
      </w:r>
    </w:p>
    <w:p w14:paraId="0EF21BB3" w14:textId="77777777" w:rsidR="00AD303C" w:rsidRPr="00C753BF" w:rsidRDefault="00AD303C" w:rsidP="00C753BF">
      <w:pPr>
        <w:spacing w:line="360" w:lineRule="auto"/>
        <w:ind w:firstLine="1440"/>
        <w:contextualSpacing/>
        <w:rPr>
          <w:rFonts w:eastAsia="Times New Roman"/>
          <w:i/>
          <w:iCs/>
          <w:sz w:val="26"/>
          <w:szCs w:val="26"/>
        </w:rPr>
      </w:pPr>
    </w:p>
    <w:p w14:paraId="46DC4D12" w14:textId="135E3624" w:rsidR="005C4D5B" w:rsidRPr="005C4D5B" w:rsidRDefault="005943DE" w:rsidP="003D0801">
      <w:pPr>
        <w:pStyle w:val="ListParagraph"/>
        <w:keepNext/>
        <w:keepLines/>
        <w:numPr>
          <w:ilvl w:val="0"/>
          <w:numId w:val="41"/>
        </w:numPr>
        <w:spacing w:line="360" w:lineRule="auto"/>
        <w:ind w:left="720"/>
        <w:rPr>
          <w:rFonts w:eastAsiaTheme="minorHAnsi"/>
          <w:b/>
          <w:bCs/>
          <w:iCs/>
          <w:sz w:val="26"/>
          <w:szCs w:val="26"/>
        </w:rPr>
      </w:pPr>
      <w:r w:rsidRPr="005C4D5B">
        <w:rPr>
          <w:rFonts w:eastAsiaTheme="minorHAnsi"/>
          <w:b/>
          <w:bCs/>
          <w:iCs/>
          <w:sz w:val="26"/>
          <w:szCs w:val="26"/>
        </w:rPr>
        <w:lastRenderedPageBreak/>
        <w:t xml:space="preserve">Comments </w:t>
      </w:r>
      <w:r w:rsidR="004D42F3">
        <w:rPr>
          <w:rFonts w:eastAsiaTheme="minorHAnsi"/>
          <w:b/>
          <w:bCs/>
          <w:iCs/>
          <w:sz w:val="26"/>
          <w:szCs w:val="26"/>
        </w:rPr>
        <w:t xml:space="preserve">Filed </w:t>
      </w:r>
      <w:bookmarkStart w:id="18" w:name="_Hlk94592723"/>
      <w:r w:rsidRPr="005C4D5B">
        <w:rPr>
          <w:rFonts w:eastAsiaTheme="minorHAnsi"/>
          <w:b/>
          <w:bCs/>
          <w:iCs/>
          <w:sz w:val="26"/>
          <w:szCs w:val="26"/>
        </w:rPr>
        <w:t>in Response</w:t>
      </w:r>
      <w:r w:rsidR="00AD3F93" w:rsidRPr="005C4D5B">
        <w:rPr>
          <w:rFonts w:eastAsiaTheme="minorHAnsi"/>
          <w:b/>
          <w:bCs/>
          <w:iCs/>
          <w:sz w:val="26"/>
          <w:szCs w:val="26"/>
        </w:rPr>
        <w:t xml:space="preserve"> to the </w:t>
      </w:r>
      <w:r w:rsidR="00AD3F93" w:rsidRPr="005C4D5B">
        <w:rPr>
          <w:rFonts w:eastAsiaTheme="minorHAnsi"/>
          <w:b/>
          <w:bCs/>
          <w:i/>
          <w:sz w:val="26"/>
          <w:szCs w:val="26"/>
        </w:rPr>
        <w:t>October 2021 Order</w:t>
      </w:r>
      <w:r w:rsidRPr="005C4D5B">
        <w:rPr>
          <w:rFonts w:eastAsiaTheme="minorHAnsi"/>
          <w:b/>
          <w:bCs/>
          <w:iCs/>
          <w:sz w:val="26"/>
          <w:szCs w:val="26"/>
        </w:rPr>
        <w:t xml:space="preserve"> </w:t>
      </w:r>
      <w:bookmarkEnd w:id="18"/>
    </w:p>
    <w:p w14:paraId="1A142F7A" w14:textId="1C53E8F1" w:rsidR="005C4D5B" w:rsidRDefault="005C4D5B" w:rsidP="005C4D5B">
      <w:pPr>
        <w:pStyle w:val="ListParagraph"/>
        <w:keepNext/>
        <w:keepLines/>
        <w:spacing w:line="360" w:lineRule="auto"/>
        <w:ind w:left="1080"/>
        <w:rPr>
          <w:rFonts w:eastAsiaTheme="minorHAnsi"/>
          <w:b/>
          <w:bCs/>
          <w:sz w:val="26"/>
          <w:szCs w:val="26"/>
        </w:rPr>
      </w:pPr>
    </w:p>
    <w:p w14:paraId="61C2B431" w14:textId="269031FA" w:rsidR="005C4D5B" w:rsidRDefault="005C4D5B" w:rsidP="005C4D5B">
      <w:pPr>
        <w:spacing w:line="360" w:lineRule="auto"/>
        <w:ind w:firstLine="1440"/>
        <w:contextualSpacing/>
        <w:rPr>
          <w:rFonts w:eastAsiaTheme="minorHAnsi"/>
          <w:iCs/>
          <w:sz w:val="26"/>
          <w:szCs w:val="26"/>
        </w:rPr>
      </w:pPr>
      <w:bookmarkStart w:id="19" w:name="_Hlk94598864"/>
      <w:r w:rsidRPr="008A1229">
        <w:rPr>
          <w:rFonts w:eastAsiaTheme="minorHAnsi"/>
          <w:iCs/>
          <w:sz w:val="26"/>
          <w:szCs w:val="26"/>
        </w:rPr>
        <w:t>As previously noted, the Commission received comments from two parties</w:t>
      </w:r>
      <w:r>
        <w:rPr>
          <w:rFonts w:eastAsiaTheme="minorHAnsi"/>
          <w:iCs/>
          <w:sz w:val="26"/>
          <w:szCs w:val="26"/>
        </w:rPr>
        <w:t>, PPL and Mr. Zimmerman,</w:t>
      </w:r>
      <w:r w:rsidRPr="008A1229">
        <w:rPr>
          <w:rFonts w:eastAsiaTheme="minorHAnsi"/>
          <w:iCs/>
          <w:sz w:val="26"/>
          <w:szCs w:val="26"/>
        </w:rPr>
        <w:t xml:space="preserve"> in response to our </w:t>
      </w:r>
      <w:r w:rsidRPr="008A1229">
        <w:rPr>
          <w:rFonts w:eastAsiaTheme="minorHAnsi"/>
          <w:i/>
          <w:sz w:val="26"/>
          <w:szCs w:val="26"/>
        </w:rPr>
        <w:t>October 2021 Order</w:t>
      </w:r>
      <w:r>
        <w:rPr>
          <w:rFonts w:eastAsiaTheme="minorHAnsi"/>
          <w:iCs/>
          <w:sz w:val="26"/>
          <w:szCs w:val="26"/>
        </w:rPr>
        <w:t xml:space="preserve"> issuing the proposed Settlement for comment.  Their comments are summarized below.</w:t>
      </w:r>
    </w:p>
    <w:p w14:paraId="04DA0BAE" w14:textId="77777777" w:rsidR="007A3915" w:rsidRDefault="007A3915" w:rsidP="005C4D5B">
      <w:pPr>
        <w:spacing w:line="360" w:lineRule="auto"/>
        <w:ind w:firstLine="1440"/>
        <w:contextualSpacing/>
        <w:rPr>
          <w:rFonts w:eastAsiaTheme="minorHAnsi"/>
          <w:iCs/>
          <w:sz w:val="26"/>
          <w:szCs w:val="26"/>
        </w:rPr>
      </w:pPr>
    </w:p>
    <w:p w14:paraId="3DEC0198" w14:textId="77777777" w:rsidR="005C4D5B" w:rsidRPr="00F87B03" w:rsidRDefault="005C4D5B" w:rsidP="005C4D5B">
      <w:pPr>
        <w:pStyle w:val="ListParagraph"/>
        <w:keepNext/>
        <w:numPr>
          <w:ilvl w:val="0"/>
          <w:numId w:val="39"/>
        </w:numPr>
        <w:spacing w:line="360" w:lineRule="auto"/>
        <w:rPr>
          <w:b/>
          <w:bCs/>
          <w:sz w:val="26"/>
          <w:szCs w:val="26"/>
        </w:rPr>
      </w:pPr>
      <w:bookmarkStart w:id="20" w:name="_Hlk94529076"/>
      <w:bookmarkEnd w:id="19"/>
      <w:r>
        <w:rPr>
          <w:b/>
          <w:bCs/>
          <w:sz w:val="26"/>
          <w:szCs w:val="26"/>
        </w:rPr>
        <w:t>PPL’s Comments</w:t>
      </w:r>
    </w:p>
    <w:bookmarkEnd w:id="20"/>
    <w:p w14:paraId="220602B5" w14:textId="77777777" w:rsidR="005C4D5B" w:rsidRDefault="005C4D5B" w:rsidP="005C4D5B">
      <w:pPr>
        <w:pStyle w:val="ListParagraph"/>
        <w:keepNext/>
        <w:spacing w:line="360" w:lineRule="auto"/>
        <w:ind w:left="1440"/>
        <w:rPr>
          <w:b/>
          <w:bCs/>
          <w:sz w:val="26"/>
          <w:szCs w:val="26"/>
        </w:rPr>
      </w:pPr>
    </w:p>
    <w:p w14:paraId="5BA28F1A" w14:textId="236067CA" w:rsidR="005C4D5B" w:rsidRPr="005F22A2" w:rsidRDefault="005C4D5B" w:rsidP="005C4D5B">
      <w:pPr>
        <w:spacing w:line="360" w:lineRule="auto"/>
        <w:ind w:firstLine="1440"/>
        <w:contextualSpacing/>
        <w:rPr>
          <w:rFonts w:eastAsiaTheme="minorHAnsi"/>
          <w:sz w:val="26"/>
          <w:szCs w:val="26"/>
        </w:rPr>
      </w:pPr>
      <w:r w:rsidRPr="00F43FFF">
        <w:rPr>
          <w:rFonts w:eastAsiaTheme="minorHAnsi"/>
          <w:iCs/>
          <w:sz w:val="26"/>
          <w:szCs w:val="26"/>
        </w:rPr>
        <w:t>In its Comments, PPL references its recent experience involving EGS practices that impacted PPL’s customers to note that deceptive and unlawful marketing and sales practices used by an EGS will have a large impact on customers.</w:t>
      </w:r>
      <w:r w:rsidRPr="00F43FFF">
        <w:rPr>
          <w:rStyle w:val="FootnoteReference"/>
          <w:rFonts w:eastAsiaTheme="minorHAnsi"/>
          <w:iCs/>
          <w:sz w:val="26"/>
          <w:szCs w:val="26"/>
        </w:rPr>
        <w:footnoteReference w:id="6"/>
      </w:r>
      <w:r w:rsidRPr="00F43FFF">
        <w:rPr>
          <w:rFonts w:eastAsiaTheme="minorHAnsi"/>
          <w:iCs/>
          <w:sz w:val="26"/>
          <w:szCs w:val="26"/>
        </w:rPr>
        <w:t xml:space="preserve">  </w:t>
      </w:r>
      <w:r w:rsidRPr="00770B91">
        <w:rPr>
          <w:rFonts w:eastAsiaTheme="minorHAnsi"/>
          <w:iCs/>
          <w:sz w:val="26"/>
          <w:szCs w:val="26"/>
        </w:rPr>
        <w:t xml:space="preserve">PPL further notes that the </w:t>
      </w:r>
      <w:r w:rsidRPr="00770B91">
        <w:rPr>
          <w:rFonts w:eastAsiaTheme="minorHAnsi"/>
          <w:i/>
          <w:sz w:val="26"/>
          <w:szCs w:val="26"/>
        </w:rPr>
        <w:t>Verde Energy</w:t>
      </w:r>
      <w:r w:rsidRPr="00770B91">
        <w:rPr>
          <w:rFonts w:eastAsiaTheme="minorHAnsi"/>
          <w:iCs/>
          <w:sz w:val="26"/>
          <w:szCs w:val="26"/>
        </w:rPr>
        <w:t xml:space="preserve"> investigation included</w:t>
      </w:r>
      <w:r w:rsidR="00B74C5F">
        <w:rPr>
          <w:rFonts w:eastAsiaTheme="minorHAnsi"/>
          <w:iCs/>
          <w:sz w:val="26"/>
          <w:szCs w:val="26"/>
        </w:rPr>
        <w:t xml:space="preserve">: </w:t>
      </w:r>
      <w:r w:rsidR="00E63785">
        <w:rPr>
          <w:rFonts w:eastAsiaTheme="minorHAnsi"/>
          <w:iCs/>
          <w:sz w:val="26"/>
          <w:szCs w:val="26"/>
        </w:rPr>
        <w:t xml:space="preserve"> </w:t>
      </w:r>
      <w:r w:rsidRPr="00770B91">
        <w:rPr>
          <w:rFonts w:eastAsiaTheme="minorHAnsi"/>
          <w:iCs/>
          <w:sz w:val="26"/>
          <w:szCs w:val="26"/>
        </w:rPr>
        <w:t>(1) allegations of unauthorized enrollment (or slamming); (2) improper release of customer information; and (3)</w:t>
      </w:r>
      <w:r w:rsidR="005029BC">
        <w:rPr>
          <w:rFonts w:eastAsiaTheme="minorHAnsi"/>
          <w:iCs/>
          <w:sz w:val="26"/>
          <w:szCs w:val="26"/>
        </w:rPr>
        <w:t> </w:t>
      </w:r>
      <w:r w:rsidRPr="00770B91">
        <w:rPr>
          <w:rFonts w:eastAsiaTheme="minorHAnsi"/>
          <w:iCs/>
          <w:sz w:val="26"/>
          <w:szCs w:val="26"/>
        </w:rPr>
        <w:t xml:space="preserve">unauthorized customer account access.  </w:t>
      </w:r>
      <w:r w:rsidRPr="005F22A2">
        <w:rPr>
          <w:rFonts w:eastAsiaTheme="minorHAnsi"/>
          <w:iCs/>
          <w:sz w:val="26"/>
          <w:szCs w:val="26"/>
        </w:rPr>
        <w:t xml:space="preserve">To that end, PPL submits that, although the terms of the proposed Settlement are appropriate, additional requirements are necessary to strengthen oversight of </w:t>
      </w:r>
      <w:r>
        <w:rPr>
          <w:rFonts w:eastAsiaTheme="minorHAnsi"/>
          <w:iCs/>
          <w:sz w:val="26"/>
          <w:szCs w:val="26"/>
        </w:rPr>
        <w:t>Discount</w:t>
      </w:r>
      <w:r w:rsidRPr="005F22A2">
        <w:rPr>
          <w:rFonts w:eastAsiaTheme="minorHAnsi"/>
          <w:iCs/>
          <w:sz w:val="26"/>
          <w:szCs w:val="26"/>
        </w:rPr>
        <w:t xml:space="preserve">’s marketing activities and make future allegations easier to investigate.  PPL Comments at 4-5. </w:t>
      </w:r>
    </w:p>
    <w:p w14:paraId="0658BEE0" w14:textId="77777777" w:rsidR="005C4D5B" w:rsidRPr="00B1607E" w:rsidRDefault="005C4D5B" w:rsidP="005C4D5B">
      <w:pPr>
        <w:spacing w:line="360" w:lineRule="auto"/>
        <w:ind w:firstLine="1440"/>
        <w:contextualSpacing/>
        <w:rPr>
          <w:rFonts w:eastAsiaTheme="minorHAnsi"/>
          <w:sz w:val="26"/>
          <w:szCs w:val="26"/>
          <w:highlight w:val="yellow"/>
        </w:rPr>
      </w:pPr>
    </w:p>
    <w:p w14:paraId="159F5678" w14:textId="1535D985" w:rsidR="005C4D5B" w:rsidRPr="00B1607E" w:rsidRDefault="005C4D5B" w:rsidP="005C4D5B">
      <w:pPr>
        <w:spacing w:line="360" w:lineRule="auto"/>
        <w:ind w:firstLine="1440"/>
        <w:contextualSpacing/>
        <w:rPr>
          <w:rFonts w:eastAsiaTheme="minorHAnsi"/>
          <w:sz w:val="26"/>
          <w:szCs w:val="26"/>
          <w:highlight w:val="yellow"/>
        </w:rPr>
      </w:pPr>
      <w:r w:rsidRPr="007504E2">
        <w:rPr>
          <w:rFonts w:eastAsiaTheme="minorHAnsi"/>
          <w:sz w:val="26"/>
          <w:szCs w:val="26"/>
        </w:rPr>
        <w:t xml:space="preserve">PPL first recommends that, to better address the “significant issues identified in the investigation,” training on Pennsylvania’s retail competition rules and regulations, including proper customer communication and representation, be required for all </w:t>
      </w:r>
      <w:r>
        <w:rPr>
          <w:rFonts w:eastAsiaTheme="minorHAnsi"/>
          <w:sz w:val="26"/>
          <w:szCs w:val="26"/>
        </w:rPr>
        <w:t>Discoun</w:t>
      </w:r>
      <w:r w:rsidRPr="007504E2">
        <w:rPr>
          <w:rFonts w:eastAsiaTheme="minorHAnsi"/>
          <w:sz w:val="26"/>
          <w:szCs w:val="26"/>
        </w:rPr>
        <w:t xml:space="preserve">t agents annually, regardless of whether the agents are employed by the Company or a third-party vendor.  </w:t>
      </w:r>
      <w:r>
        <w:rPr>
          <w:rFonts w:eastAsiaTheme="minorHAnsi"/>
          <w:sz w:val="26"/>
          <w:szCs w:val="26"/>
        </w:rPr>
        <w:t xml:space="preserve">PPL Comments at 6.  </w:t>
      </w:r>
      <w:r w:rsidRPr="00FE2A1E">
        <w:rPr>
          <w:rFonts w:eastAsiaTheme="minorHAnsi"/>
          <w:sz w:val="26"/>
          <w:szCs w:val="26"/>
        </w:rPr>
        <w:t xml:space="preserve">PPL notes that individual agents </w:t>
      </w:r>
      <w:r w:rsidRPr="00FE2A1E">
        <w:rPr>
          <w:rFonts w:eastAsiaTheme="minorHAnsi"/>
          <w:sz w:val="26"/>
          <w:szCs w:val="26"/>
        </w:rPr>
        <w:lastRenderedPageBreak/>
        <w:t xml:space="preserve">should complete this training prior to any customer contact and communication.  </w:t>
      </w:r>
      <w:r>
        <w:rPr>
          <w:rFonts w:eastAsiaTheme="minorHAnsi"/>
          <w:sz w:val="26"/>
          <w:szCs w:val="26"/>
        </w:rPr>
        <w:t xml:space="preserve">Further, </w:t>
      </w:r>
      <w:r w:rsidRPr="00FE2A1E">
        <w:rPr>
          <w:rFonts w:eastAsiaTheme="minorHAnsi"/>
          <w:sz w:val="26"/>
          <w:szCs w:val="26"/>
        </w:rPr>
        <w:t>PPL notes that Discount should be required to certify, in writing, that all of its agents (in-house and third-party) have met the necessary training requirements</w:t>
      </w:r>
      <w:r>
        <w:rPr>
          <w:rFonts w:eastAsiaTheme="minorHAnsi"/>
          <w:sz w:val="26"/>
          <w:szCs w:val="26"/>
        </w:rPr>
        <w:t xml:space="preserve">, adding </w:t>
      </w:r>
      <w:r w:rsidRPr="00FE2A1E">
        <w:rPr>
          <w:rFonts w:eastAsiaTheme="minorHAnsi"/>
          <w:sz w:val="26"/>
          <w:szCs w:val="26"/>
        </w:rPr>
        <w:t xml:space="preserve">that the written certification should </w:t>
      </w:r>
      <w:r w:rsidR="001509D7">
        <w:rPr>
          <w:rFonts w:eastAsiaTheme="minorHAnsi"/>
          <w:sz w:val="26"/>
          <w:szCs w:val="26"/>
        </w:rPr>
        <w:t xml:space="preserve">be </w:t>
      </w:r>
      <w:r w:rsidRPr="00FE2A1E">
        <w:rPr>
          <w:rFonts w:eastAsiaTheme="minorHAnsi"/>
          <w:sz w:val="26"/>
          <w:szCs w:val="26"/>
        </w:rPr>
        <w:t xml:space="preserve">submitted to the Commission and retained by the Company for future reference. </w:t>
      </w:r>
      <w:r>
        <w:rPr>
          <w:rFonts w:eastAsiaTheme="minorHAnsi"/>
          <w:sz w:val="26"/>
          <w:szCs w:val="26"/>
        </w:rPr>
        <w:t xml:space="preserve"> </w:t>
      </w:r>
      <w:r w:rsidRPr="0074611C">
        <w:rPr>
          <w:rFonts w:eastAsiaTheme="minorHAnsi"/>
          <w:i/>
          <w:iCs/>
          <w:sz w:val="26"/>
          <w:szCs w:val="26"/>
        </w:rPr>
        <w:t>Id.</w:t>
      </w:r>
      <w:r w:rsidRPr="00FE2A1E">
        <w:rPr>
          <w:rFonts w:eastAsiaTheme="minorHAnsi"/>
          <w:sz w:val="26"/>
          <w:szCs w:val="26"/>
        </w:rPr>
        <w:t xml:space="preserve"> at 6.  </w:t>
      </w:r>
    </w:p>
    <w:p w14:paraId="1CC4EAD3" w14:textId="77777777" w:rsidR="005C4D5B" w:rsidRPr="00B1607E" w:rsidRDefault="005C4D5B" w:rsidP="005C4D5B">
      <w:pPr>
        <w:spacing w:line="360" w:lineRule="auto"/>
        <w:ind w:firstLine="1440"/>
        <w:contextualSpacing/>
        <w:rPr>
          <w:rFonts w:eastAsiaTheme="minorHAnsi"/>
          <w:sz w:val="26"/>
          <w:szCs w:val="26"/>
          <w:highlight w:val="yellow"/>
        </w:rPr>
      </w:pPr>
    </w:p>
    <w:p w14:paraId="49716117" w14:textId="6E9D82F2" w:rsidR="005C4D5B" w:rsidRPr="00E775BB" w:rsidRDefault="005C4D5B" w:rsidP="005C4D5B">
      <w:pPr>
        <w:spacing w:line="360" w:lineRule="auto"/>
        <w:ind w:firstLine="1440"/>
        <w:contextualSpacing/>
        <w:rPr>
          <w:rFonts w:eastAsiaTheme="minorHAnsi"/>
          <w:sz w:val="26"/>
          <w:szCs w:val="26"/>
        </w:rPr>
      </w:pPr>
      <w:r>
        <w:rPr>
          <w:rFonts w:eastAsiaTheme="minorHAnsi"/>
          <w:sz w:val="26"/>
          <w:szCs w:val="26"/>
        </w:rPr>
        <w:t xml:space="preserve">PPL also asserts that strong record keeping is essential to investigations that include alleged improprieties.  Accordingly, </w:t>
      </w:r>
      <w:r w:rsidRPr="0073605A">
        <w:rPr>
          <w:rFonts w:eastAsiaTheme="minorHAnsi"/>
          <w:sz w:val="26"/>
          <w:szCs w:val="26"/>
        </w:rPr>
        <w:t>PPL</w:t>
      </w:r>
      <w:r w:rsidRPr="00516A02">
        <w:rPr>
          <w:rFonts w:eastAsiaTheme="minorHAnsi"/>
          <w:sz w:val="26"/>
          <w:szCs w:val="26"/>
        </w:rPr>
        <w:t xml:space="preserve"> </w:t>
      </w:r>
      <w:r w:rsidRPr="0073605A">
        <w:rPr>
          <w:rFonts w:eastAsiaTheme="minorHAnsi"/>
          <w:sz w:val="26"/>
          <w:szCs w:val="26"/>
        </w:rPr>
        <w:t>recommends that</w:t>
      </w:r>
      <w:r>
        <w:rPr>
          <w:rFonts w:eastAsiaTheme="minorHAnsi"/>
          <w:sz w:val="26"/>
          <w:szCs w:val="26"/>
        </w:rPr>
        <w:t>,</w:t>
      </w:r>
      <w:r w:rsidRPr="0073605A">
        <w:rPr>
          <w:rFonts w:eastAsiaTheme="minorHAnsi"/>
          <w:sz w:val="26"/>
          <w:szCs w:val="26"/>
        </w:rPr>
        <w:t xml:space="preserve"> for a minimum of four years, </w:t>
      </w:r>
      <w:r>
        <w:rPr>
          <w:rFonts w:eastAsiaTheme="minorHAnsi"/>
          <w:sz w:val="26"/>
          <w:szCs w:val="26"/>
        </w:rPr>
        <w:t>Discoun</w:t>
      </w:r>
      <w:r w:rsidRPr="0073605A">
        <w:rPr>
          <w:rFonts w:eastAsiaTheme="minorHAnsi"/>
          <w:sz w:val="26"/>
          <w:szCs w:val="26"/>
        </w:rPr>
        <w:t>t be required to retain record</w:t>
      </w:r>
      <w:r>
        <w:rPr>
          <w:rFonts w:eastAsiaTheme="minorHAnsi"/>
          <w:sz w:val="26"/>
          <w:szCs w:val="26"/>
        </w:rPr>
        <w:t>s pertaining to</w:t>
      </w:r>
      <w:r w:rsidRPr="0073605A">
        <w:rPr>
          <w:rFonts w:eastAsiaTheme="minorHAnsi"/>
          <w:sz w:val="26"/>
          <w:szCs w:val="26"/>
        </w:rPr>
        <w:t>:</w:t>
      </w:r>
      <w:r w:rsidR="001509D7">
        <w:rPr>
          <w:rFonts w:eastAsiaTheme="minorHAnsi"/>
          <w:sz w:val="26"/>
          <w:szCs w:val="26"/>
        </w:rPr>
        <w:t xml:space="preserve"> </w:t>
      </w:r>
      <w:r w:rsidR="00B5047A">
        <w:rPr>
          <w:rFonts w:eastAsiaTheme="minorHAnsi"/>
          <w:sz w:val="26"/>
          <w:szCs w:val="26"/>
        </w:rPr>
        <w:t xml:space="preserve"> </w:t>
      </w:r>
      <w:r w:rsidRPr="0073605A">
        <w:rPr>
          <w:rFonts w:eastAsiaTheme="minorHAnsi"/>
          <w:sz w:val="26"/>
          <w:szCs w:val="26"/>
        </w:rPr>
        <w:t>(1) customer inquiries; (2)</w:t>
      </w:r>
      <w:r>
        <w:rPr>
          <w:rFonts w:eastAsiaTheme="minorHAnsi"/>
          <w:sz w:val="26"/>
          <w:szCs w:val="26"/>
        </w:rPr>
        <w:t xml:space="preserve"> customer</w:t>
      </w:r>
      <w:r w:rsidRPr="0073605A">
        <w:rPr>
          <w:rFonts w:eastAsiaTheme="minorHAnsi"/>
          <w:sz w:val="26"/>
          <w:szCs w:val="26"/>
        </w:rPr>
        <w:t xml:space="preserve"> disputes or complaints; (3) </w:t>
      </w:r>
      <w:r>
        <w:rPr>
          <w:rFonts w:eastAsiaTheme="minorHAnsi"/>
          <w:sz w:val="26"/>
          <w:szCs w:val="26"/>
        </w:rPr>
        <w:t xml:space="preserve">customer </w:t>
      </w:r>
      <w:r w:rsidRPr="0073605A">
        <w:rPr>
          <w:rFonts w:eastAsiaTheme="minorHAnsi"/>
          <w:sz w:val="26"/>
          <w:szCs w:val="26"/>
        </w:rPr>
        <w:t xml:space="preserve">communications; (4) </w:t>
      </w:r>
      <w:r>
        <w:rPr>
          <w:rFonts w:eastAsiaTheme="minorHAnsi"/>
          <w:sz w:val="26"/>
          <w:szCs w:val="26"/>
        </w:rPr>
        <w:t xml:space="preserve">customer </w:t>
      </w:r>
      <w:r w:rsidRPr="0073605A">
        <w:rPr>
          <w:rFonts w:eastAsiaTheme="minorHAnsi"/>
          <w:sz w:val="26"/>
          <w:szCs w:val="26"/>
        </w:rPr>
        <w:t>resolutions</w:t>
      </w:r>
      <w:r>
        <w:rPr>
          <w:rFonts w:eastAsiaTheme="minorHAnsi"/>
          <w:sz w:val="26"/>
          <w:szCs w:val="26"/>
        </w:rPr>
        <w:t>; and (5) recorded telemarketing calls</w:t>
      </w:r>
      <w:r w:rsidRPr="0073605A">
        <w:rPr>
          <w:rFonts w:eastAsiaTheme="minorHAnsi"/>
          <w:sz w:val="26"/>
          <w:szCs w:val="26"/>
        </w:rPr>
        <w:t xml:space="preserve">.  </w:t>
      </w:r>
      <w:r w:rsidRPr="00EA2C2C">
        <w:rPr>
          <w:rFonts w:eastAsiaTheme="minorHAnsi"/>
          <w:sz w:val="26"/>
          <w:szCs w:val="26"/>
        </w:rPr>
        <w:t xml:space="preserve">PPL also recommends that, to </w:t>
      </w:r>
      <w:r>
        <w:rPr>
          <w:rFonts w:eastAsiaTheme="minorHAnsi"/>
          <w:sz w:val="26"/>
          <w:szCs w:val="26"/>
        </w:rPr>
        <w:t>address the limited record retention requirements in the Settlement and increase</w:t>
      </w:r>
      <w:r w:rsidRPr="00EA2C2C">
        <w:rPr>
          <w:rFonts w:eastAsiaTheme="minorHAnsi"/>
          <w:sz w:val="26"/>
          <w:szCs w:val="26"/>
        </w:rPr>
        <w:t xml:space="preserve"> the likelihood that customer concerns are quickly addressed, Discount be required to respond to customer inquir</w:t>
      </w:r>
      <w:r w:rsidR="00451977">
        <w:rPr>
          <w:rFonts w:eastAsiaTheme="minorHAnsi"/>
          <w:sz w:val="26"/>
          <w:szCs w:val="26"/>
        </w:rPr>
        <w:t>i</w:t>
      </w:r>
      <w:r w:rsidRPr="00EA2C2C">
        <w:rPr>
          <w:rFonts w:eastAsiaTheme="minorHAnsi"/>
          <w:sz w:val="26"/>
          <w:szCs w:val="26"/>
        </w:rPr>
        <w:t>es within forty-eight (48) hours.  PPL Comments at 7-8.</w:t>
      </w:r>
      <w:r w:rsidRPr="00E775BB">
        <w:rPr>
          <w:rFonts w:eastAsiaTheme="minorHAnsi"/>
          <w:sz w:val="26"/>
          <w:szCs w:val="26"/>
        </w:rPr>
        <w:t xml:space="preserve"> </w:t>
      </w:r>
    </w:p>
    <w:p w14:paraId="1DA6914A" w14:textId="77777777" w:rsidR="005C4D5B" w:rsidRPr="00B1607E" w:rsidRDefault="005C4D5B" w:rsidP="005C4D5B">
      <w:pPr>
        <w:spacing w:line="360" w:lineRule="auto"/>
        <w:ind w:firstLine="1440"/>
        <w:contextualSpacing/>
        <w:rPr>
          <w:rFonts w:eastAsiaTheme="minorHAnsi"/>
          <w:sz w:val="26"/>
          <w:szCs w:val="26"/>
          <w:highlight w:val="yellow"/>
        </w:rPr>
      </w:pPr>
      <w:r w:rsidRPr="00B1607E">
        <w:rPr>
          <w:rFonts w:eastAsiaTheme="minorHAnsi"/>
          <w:sz w:val="26"/>
          <w:szCs w:val="26"/>
          <w:highlight w:val="yellow"/>
        </w:rPr>
        <w:t xml:space="preserve"> </w:t>
      </w:r>
    </w:p>
    <w:p w14:paraId="1A2086DF" w14:textId="6746112C" w:rsidR="005C4D5B" w:rsidRPr="002F1830" w:rsidRDefault="005C4D5B" w:rsidP="005C4D5B">
      <w:pPr>
        <w:spacing w:line="360" w:lineRule="auto"/>
        <w:ind w:firstLine="1440"/>
        <w:contextualSpacing/>
        <w:rPr>
          <w:rFonts w:eastAsiaTheme="minorHAnsi"/>
          <w:sz w:val="26"/>
          <w:szCs w:val="26"/>
        </w:rPr>
      </w:pPr>
      <w:r w:rsidRPr="002F1830">
        <w:rPr>
          <w:rFonts w:eastAsiaTheme="minorHAnsi"/>
          <w:sz w:val="26"/>
          <w:szCs w:val="26"/>
        </w:rPr>
        <w:t xml:space="preserve">Finally, PPL recommends that, to determine compliance with </w:t>
      </w:r>
      <w:r w:rsidR="00755B02">
        <w:rPr>
          <w:rFonts w:eastAsiaTheme="minorHAnsi"/>
          <w:sz w:val="26"/>
          <w:szCs w:val="26"/>
        </w:rPr>
        <w:t xml:space="preserve">the </w:t>
      </w:r>
      <w:r w:rsidR="00755B02" w:rsidRPr="001B2A91">
        <w:rPr>
          <w:rFonts w:eastAsiaTheme="minorHAnsi"/>
          <w:iCs/>
          <w:sz w:val="26"/>
          <w:szCs w:val="26"/>
        </w:rPr>
        <w:t>Commission’s Regulations at 52 Pa. Code § 111</w:t>
      </w:r>
      <w:r w:rsidR="00755B02">
        <w:rPr>
          <w:rFonts w:eastAsiaTheme="minorHAnsi"/>
          <w:iCs/>
          <w:sz w:val="26"/>
          <w:szCs w:val="26"/>
        </w:rPr>
        <w:t xml:space="preserve"> (</w:t>
      </w:r>
      <w:r w:rsidR="001E6349">
        <w:rPr>
          <w:rFonts w:eastAsiaTheme="minorHAnsi"/>
          <w:sz w:val="26"/>
          <w:szCs w:val="26"/>
        </w:rPr>
        <w:t>Section 111</w:t>
      </w:r>
      <w:r w:rsidR="00755B02">
        <w:rPr>
          <w:rFonts w:eastAsiaTheme="minorHAnsi"/>
          <w:sz w:val="26"/>
          <w:szCs w:val="26"/>
        </w:rPr>
        <w:t>)</w:t>
      </w:r>
      <w:r w:rsidRPr="002F1830">
        <w:rPr>
          <w:rFonts w:eastAsiaTheme="minorHAnsi"/>
          <w:sz w:val="26"/>
          <w:szCs w:val="26"/>
        </w:rPr>
        <w:t xml:space="preserve"> requirements, Discount be required to audit the sales activities of its vendors and</w:t>
      </w:r>
      <w:r>
        <w:rPr>
          <w:rFonts w:eastAsiaTheme="minorHAnsi"/>
          <w:sz w:val="26"/>
          <w:szCs w:val="26"/>
        </w:rPr>
        <w:t xml:space="preserve"> maintain records of vendor audits for a minimum of four years.  Further, PPL notes that, </w:t>
      </w:r>
      <w:r w:rsidRPr="002F1830">
        <w:rPr>
          <w:rFonts w:eastAsiaTheme="minorHAnsi"/>
          <w:sz w:val="26"/>
          <w:szCs w:val="26"/>
        </w:rPr>
        <w:t xml:space="preserve">if a vendor is found to be in violation of </w:t>
      </w:r>
      <w:r w:rsidR="001E6349">
        <w:rPr>
          <w:rFonts w:eastAsiaTheme="minorHAnsi"/>
          <w:sz w:val="26"/>
          <w:szCs w:val="26"/>
        </w:rPr>
        <w:t>Section 111</w:t>
      </w:r>
      <w:r w:rsidRPr="002F1830">
        <w:rPr>
          <w:rFonts w:eastAsiaTheme="minorHAnsi"/>
          <w:sz w:val="26"/>
          <w:szCs w:val="26"/>
        </w:rPr>
        <w:t xml:space="preserve">, the Company should be required to take remedial measures with the vendor and report the incident(s) to the Commission.  </w:t>
      </w:r>
      <w:r w:rsidRPr="00FE236D">
        <w:rPr>
          <w:rFonts w:eastAsiaTheme="minorHAnsi"/>
          <w:sz w:val="26"/>
          <w:szCs w:val="26"/>
        </w:rPr>
        <w:t xml:space="preserve">Moreover, PPL states that suppliers who fail to sufficiently audit their vendors or fail to take timely action upon discovering a violation should be assessed increased penalties.  </w:t>
      </w:r>
      <w:r w:rsidRPr="002F1830">
        <w:rPr>
          <w:rFonts w:eastAsiaTheme="minorHAnsi"/>
          <w:sz w:val="26"/>
          <w:szCs w:val="26"/>
        </w:rPr>
        <w:t>PPL Comments at 8.</w:t>
      </w:r>
    </w:p>
    <w:p w14:paraId="6CE2DB52" w14:textId="77777777" w:rsidR="005C4D5B" w:rsidRDefault="005C4D5B" w:rsidP="005C4D5B">
      <w:pPr>
        <w:pStyle w:val="ListParagraph"/>
        <w:keepNext/>
        <w:spacing w:line="360" w:lineRule="auto"/>
        <w:ind w:left="1440"/>
        <w:rPr>
          <w:b/>
          <w:bCs/>
          <w:sz w:val="26"/>
          <w:szCs w:val="26"/>
        </w:rPr>
      </w:pPr>
    </w:p>
    <w:p w14:paraId="5604CF79" w14:textId="77777777" w:rsidR="005C4D5B" w:rsidRDefault="005C4D5B" w:rsidP="005C4D5B">
      <w:pPr>
        <w:pStyle w:val="ListParagraph"/>
        <w:keepNext/>
        <w:numPr>
          <w:ilvl w:val="0"/>
          <w:numId w:val="39"/>
        </w:numPr>
        <w:spacing w:line="360" w:lineRule="auto"/>
        <w:rPr>
          <w:b/>
          <w:bCs/>
          <w:sz w:val="26"/>
          <w:szCs w:val="26"/>
        </w:rPr>
      </w:pPr>
      <w:r>
        <w:rPr>
          <w:b/>
          <w:bCs/>
          <w:sz w:val="26"/>
          <w:szCs w:val="26"/>
        </w:rPr>
        <w:t>Mr. Zimmerman’ Comments</w:t>
      </w:r>
    </w:p>
    <w:p w14:paraId="11984A5F" w14:textId="77777777" w:rsidR="005C4D5B" w:rsidRDefault="005C4D5B" w:rsidP="005C4D5B">
      <w:pPr>
        <w:pStyle w:val="ListParagraph"/>
        <w:keepNext/>
        <w:spacing w:line="360" w:lineRule="auto"/>
        <w:ind w:left="1440"/>
        <w:rPr>
          <w:b/>
          <w:bCs/>
          <w:sz w:val="26"/>
          <w:szCs w:val="26"/>
        </w:rPr>
      </w:pPr>
    </w:p>
    <w:p w14:paraId="1A69EA31" w14:textId="2370A2B7" w:rsidR="005C4D5B" w:rsidRDefault="005C4D5B" w:rsidP="005C4D5B">
      <w:pPr>
        <w:spacing w:line="360" w:lineRule="auto"/>
        <w:ind w:firstLine="1440"/>
        <w:contextualSpacing/>
        <w:rPr>
          <w:rFonts w:eastAsiaTheme="minorHAnsi"/>
          <w:iCs/>
          <w:sz w:val="26"/>
          <w:szCs w:val="26"/>
        </w:rPr>
      </w:pPr>
      <w:r w:rsidRPr="00F43FFF">
        <w:rPr>
          <w:rFonts w:eastAsiaTheme="minorHAnsi"/>
          <w:iCs/>
          <w:sz w:val="26"/>
          <w:szCs w:val="26"/>
        </w:rPr>
        <w:t xml:space="preserve">In </w:t>
      </w:r>
      <w:r>
        <w:rPr>
          <w:rFonts w:eastAsiaTheme="minorHAnsi"/>
          <w:iCs/>
          <w:sz w:val="26"/>
          <w:szCs w:val="26"/>
        </w:rPr>
        <w:t>hi</w:t>
      </w:r>
      <w:r w:rsidRPr="00F43FFF">
        <w:rPr>
          <w:rFonts w:eastAsiaTheme="minorHAnsi"/>
          <w:iCs/>
          <w:sz w:val="26"/>
          <w:szCs w:val="26"/>
        </w:rPr>
        <w:t>s Comments,</w:t>
      </w:r>
      <w:r>
        <w:rPr>
          <w:rFonts w:eastAsiaTheme="minorHAnsi"/>
          <w:iCs/>
          <w:sz w:val="26"/>
          <w:szCs w:val="26"/>
        </w:rPr>
        <w:t xml:space="preserve"> Mr. Zimmerman requests that the Commission hold the Settlement in abeyance pending further investigation of the Company.  Zimmerman Comments at 2, 4.  Mr. Zimmerman provides that, on December 6, 2021, he “apparently” </w:t>
      </w:r>
      <w:r>
        <w:rPr>
          <w:rFonts w:eastAsiaTheme="minorHAnsi"/>
          <w:iCs/>
          <w:sz w:val="26"/>
          <w:szCs w:val="26"/>
        </w:rPr>
        <w:lastRenderedPageBreak/>
        <w:t>received a telemarketing call from Discount that was similar to the telemarketing calls described in the Settlement.</w:t>
      </w:r>
      <w:r>
        <w:rPr>
          <w:rStyle w:val="FootnoteReference"/>
          <w:rFonts w:eastAsiaTheme="minorHAnsi"/>
          <w:iCs/>
          <w:sz w:val="26"/>
          <w:szCs w:val="26"/>
        </w:rPr>
        <w:footnoteReference w:id="7"/>
      </w:r>
      <w:r>
        <w:rPr>
          <w:rFonts w:eastAsiaTheme="minorHAnsi"/>
          <w:iCs/>
          <w:sz w:val="26"/>
          <w:szCs w:val="26"/>
        </w:rPr>
        <w:t xml:space="preserve">  </w:t>
      </w:r>
      <w:r w:rsidRPr="00612BE8">
        <w:rPr>
          <w:rFonts w:eastAsiaTheme="minorHAnsi"/>
          <w:i/>
          <w:sz w:val="26"/>
          <w:szCs w:val="26"/>
        </w:rPr>
        <w:t>Id.</w:t>
      </w:r>
      <w:r>
        <w:rPr>
          <w:rFonts w:eastAsiaTheme="minorHAnsi"/>
          <w:iCs/>
          <w:sz w:val="26"/>
          <w:szCs w:val="26"/>
        </w:rPr>
        <w:t xml:space="preserve"> at 2 (citing Settlement at ¶¶ 16-20).  Mr. Zimmerman asserts that the call represents that Discount “may be continuing to engage in the same types of deceptive and misleading conduct that precipitated I&amp;E’s investigation.”  </w:t>
      </w:r>
      <w:r w:rsidRPr="00E26335">
        <w:rPr>
          <w:rFonts w:eastAsiaTheme="minorHAnsi"/>
          <w:i/>
          <w:sz w:val="26"/>
          <w:szCs w:val="26"/>
        </w:rPr>
        <w:t>Id.</w:t>
      </w:r>
      <w:r w:rsidR="00B5047A">
        <w:rPr>
          <w:rFonts w:eastAsiaTheme="minorHAnsi"/>
          <w:i/>
          <w:sz w:val="26"/>
          <w:szCs w:val="26"/>
        </w:rPr>
        <w:t> </w:t>
      </w:r>
      <w:r>
        <w:rPr>
          <w:rFonts w:eastAsiaTheme="minorHAnsi"/>
          <w:iCs/>
          <w:sz w:val="26"/>
          <w:szCs w:val="26"/>
        </w:rPr>
        <w:t>at</w:t>
      </w:r>
      <w:r w:rsidR="00B5047A">
        <w:rPr>
          <w:rFonts w:eastAsiaTheme="minorHAnsi"/>
          <w:iCs/>
          <w:sz w:val="26"/>
          <w:szCs w:val="26"/>
        </w:rPr>
        <w:t> </w:t>
      </w:r>
      <w:r>
        <w:rPr>
          <w:rFonts w:eastAsiaTheme="minorHAnsi"/>
          <w:iCs/>
          <w:sz w:val="26"/>
          <w:szCs w:val="26"/>
        </w:rPr>
        <w:t xml:space="preserve">2.  Mr. Zimmerman also avers that, because the call is suggestive of a large telemarketing campaign, further investigation is warranted.  </w:t>
      </w:r>
      <w:r w:rsidRPr="00157800">
        <w:rPr>
          <w:rFonts w:eastAsiaTheme="minorHAnsi"/>
          <w:i/>
          <w:sz w:val="26"/>
          <w:szCs w:val="26"/>
        </w:rPr>
        <w:t>Id.</w:t>
      </w:r>
      <w:r>
        <w:rPr>
          <w:rFonts w:eastAsiaTheme="minorHAnsi"/>
          <w:iCs/>
          <w:sz w:val="26"/>
          <w:szCs w:val="26"/>
        </w:rPr>
        <w:t xml:space="preserve"> at 3.</w:t>
      </w:r>
    </w:p>
    <w:p w14:paraId="6C4A1ECF" w14:textId="77777777" w:rsidR="005C4D5B" w:rsidRDefault="005C4D5B" w:rsidP="005C4D5B">
      <w:pPr>
        <w:spacing w:line="360" w:lineRule="auto"/>
        <w:ind w:firstLine="1440"/>
        <w:contextualSpacing/>
        <w:rPr>
          <w:rFonts w:eastAsiaTheme="minorHAnsi"/>
          <w:iCs/>
          <w:sz w:val="26"/>
          <w:szCs w:val="26"/>
        </w:rPr>
      </w:pPr>
    </w:p>
    <w:p w14:paraId="728CD033" w14:textId="39873D4C" w:rsidR="005C4D5B" w:rsidRDefault="005C4D5B" w:rsidP="005C4D5B">
      <w:pPr>
        <w:spacing w:line="360" w:lineRule="auto"/>
        <w:ind w:firstLine="1440"/>
        <w:contextualSpacing/>
        <w:rPr>
          <w:rFonts w:eastAsiaTheme="minorHAnsi"/>
          <w:iCs/>
          <w:sz w:val="26"/>
          <w:szCs w:val="26"/>
        </w:rPr>
      </w:pPr>
      <w:r>
        <w:rPr>
          <w:rFonts w:eastAsiaTheme="minorHAnsi"/>
          <w:iCs/>
          <w:sz w:val="26"/>
          <w:szCs w:val="26"/>
        </w:rPr>
        <w:t xml:space="preserve">Mr. Zimmerman notes that the telemarketing call was from a “spoofed” number, meaning the caller ID was manipulated to appear as though the call originated from Western Pennsylvania.  Zimmerman Comments at 2.  Mr. Zimmerman </w:t>
      </w:r>
      <w:r w:rsidR="00481591">
        <w:rPr>
          <w:rFonts w:eastAsiaTheme="minorHAnsi"/>
          <w:iCs/>
          <w:sz w:val="26"/>
          <w:szCs w:val="26"/>
        </w:rPr>
        <w:t>elaborates</w:t>
      </w:r>
      <w:r>
        <w:rPr>
          <w:rFonts w:eastAsiaTheme="minorHAnsi"/>
          <w:iCs/>
          <w:sz w:val="26"/>
          <w:szCs w:val="26"/>
        </w:rPr>
        <w:t xml:space="preserve"> that, upon the conclusion of the telemarketing call, he dialed the spoofed number back and the call was answered by “a Western Pennsylvania resident” who is not affiliated with Discount and had not provided Discount with permission to use their personal telephone number.</w:t>
      </w:r>
      <w:r>
        <w:rPr>
          <w:rStyle w:val="FootnoteReference"/>
          <w:rFonts w:eastAsiaTheme="minorHAnsi"/>
          <w:iCs/>
          <w:sz w:val="26"/>
          <w:szCs w:val="26"/>
        </w:rPr>
        <w:footnoteReference w:id="8"/>
      </w:r>
      <w:r>
        <w:rPr>
          <w:rFonts w:eastAsiaTheme="minorHAnsi"/>
          <w:iCs/>
          <w:sz w:val="26"/>
          <w:szCs w:val="26"/>
        </w:rPr>
        <w:t xml:space="preserve">  </w:t>
      </w:r>
      <w:r w:rsidRPr="004D633C">
        <w:rPr>
          <w:rFonts w:eastAsiaTheme="minorHAnsi"/>
          <w:i/>
          <w:sz w:val="26"/>
          <w:szCs w:val="26"/>
        </w:rPr>
        <w:t>Id.</w:t>
      </w:r>
      <w:r>
        <w:rPr>
          <w:rFonts w:eastAsiaTheme="minorHAnsi"/>
          <w:iCs/>
          <w:sz w:val="26"/>
          <w:szCs w:val="26"/>
        </w:rPr>
        <w:t xml:space="preserve">  </w:t>
      </w:r>
    </w:p>
    <w:p w14:paraId="1F1C2F0A" w14:textId="77777777" w:rsidR="005C4D5B" w:rsidRDefault="005C4D5B" w:rsidP="005C4D5B">
      <w:pPr>
        <w:spacing w:line="360" w:lineRule="auto"/>
        <w:ind w:firstLine="1440"/>
        <w:contextualSpacing/>
        <w:rPr>
          <w:rFonts w:eastAsiaTheme="minorHAnsi"/>
          <w:iCs/>
          <w:sz w:val="26"/>
          <w:szCs w:val="26"/>
        </w:rPr>
      </w:pPr>
    </w:p>
    <w:p w14:paraId="17454583" w14:textId="190DC715" w:rsidR="005C4D5B" w:rsidRPr="00A377B9" w:rsidRDefault="005C4D5B" w:rsidP="005C4D5B">
      <w:pPr>
        <w:spacing w:line="360" w:lineRule="auto"/>
        <w:ind w:firstLine="1440"/>
        <w:contextualSpacing/>
        <w:rPr>
          <w:rFonts w:eastAsiaTheme="minorHAnsi"/>
          <w:i/>
          <w:sz w:val="26"/>
          <w:szCs w:val="26"/>
        </w:rPr>
      </w:pPr>
      <w:r>
        <w:rPr>
          <w:rFonts w:eastAsiaTheme="minorHAnsi"/>
          <w:iCs/>
          <w:sz w:val="26"/>
          <w:szCs w:val="26"/>
        </w:rPr>
        <w:t xml:space="preserve">Mr. Zimmerman details that the telemarketing call began with a prerecorded message from an unidentified caller stating that, if one was pressed, he would be eligible to receive a $50 gift card. </w:t>
      </w:r>
      <w:r w:rsidRPr="00BD0033">
        <w:rPr>
          <w:rFonts w:eastAsiaTheme="minorHAnsi"/>
          <w:iCs/>
          <w:sz w:val="26"/>
          <w:szCs w:val="26"/>
        </w:rPr>
        <w:t xml:space="preserve"> </w:t>
      </w:r>
      <w:r>
        <w:rPr>
          <w:rFonts w:eastAsiaTheme="minorHAnsi"/>
          <w:iCs/>
          <w:sz w:val="26"/>
          <w:szCs w:val="26"/>
        </w:rPr>
        <w:t xml:space="preserve">Mr. Zimmerman </w:t>
      </w:r>
      <w:r w:rsidR="005A0F50">
        <w:rPr>
          <w:rFonts w:eastAsiaTheme="minorHAnsi"/>
          <w:iCs/>
          <w:sz w:val="26"/>
          <w:szCs w:val="26"/>
        </w:rPr>
        <w:t>stat</w:t>
      </w:r>
      <w:r>
        <w:rPr>
          <w:rFonts w:eastAsiaTheme="minorHAnsi"/>
          <w:iCs/>
          <w:sz w:val="26"/>
          <w:szCs w:val="26"/>
        </w:rPr>
        <w:t>es</w:t>
      </w:r>
      <w:r w:rsidR="005A0F50">
        <w:rPr>
          <w:rFonts w:eastAsiaTheme="minorHAnsi"/>
          <w:iCs/>
          <w:sz w:val="26"/>
          <w:szCs w:val="26"/>
        </w:rPr>
        <w:t xml:space="preserve"> that upon pressing one</w:t>
      </w:r>
      <w:r>
        <w:rPr>
          <w:rFonts w:eastAsiaTheme="minorHAnsi"/>
          <w:iCs/>
          <w:sz w:val="26"/>
          <w:szCs w:val="26"/>
        </w:rPr>
        <w:t xml:space="preserve">, he was transferred to a live agent who indicated that the call was being recorded but did not identify who he was calling on behalf of until several minutes into the call.  Zimmerman Comments at 2-3.  Mr. Zimmerman posits that during the call, his electric </w:t>
      </w:r>
      <w:r>
        <w:rPr>
          <w:rFonts w:eastAsiaTheme="minorHAnsi"/>
          <w:iCs/>
          <w:sz w:val="26"/>
          <w:szCs w:val="26"/>
        </w:rPr>
        <w:lastRenderedPageBreak/>
        <w:t xml:space="preserve">rates and the product offered by the agent were “materially misrepresented” by the agent.  </w:t>
      </w:r>
      <w:r w:rsidRPr="00E9303B">
        <w:rPr>
          <w:rFonts w:eastAsiaTheme="minorHAnsi"/>
          <w:i/>
          <w:sz w:val="26"/>
          <w:szCs w:val="26"/>
        </w:rPr>
        <w:t>Id.</w:t>
      </w:r>
      <w:r>
        <w:rPr>
          <w:rFonts w:eastAsiaTheme="minorHAnsi"/>
          <w:iCs/>
          <w:sz w:val="26"/>
          <w:szCs w:val="26"/>
        </w:rPr>
        <w:t xml:space="preserve"> at 2.  Specifically, Mr. Zimmerman explains that, the agent stated that he would provide a 12-month rate of 14.99 cents per kWh, which the agent stated would represent a 30% discount to Mr. Zimmerman’s electric bill.  Further, Mr. Zimmerman notes that, although his effective electric supply rate is “between 7 and 8 cents per kWh,” the agent stated that Mr. Zimmerman was paying “almost 17.99 cents per kWh.”  </w:t>
      </w:r>
      <w:r w:rsidRPr="00E9303B">
        <w:rPr>
          <w:rFonts w:eastAsiaTheme="minorHAnsi"/>
          <w:i/>
          <w:sz w:val="26"/>
          <w:szCs w:val="26"/>
        </w:rPr>
        <w:t>Id.</w:t>
      </w:r>
      <w:r>
        <w:rPr>
          <w:rFonts w:eastAsiaTheme="minorHAnsi"/>
          <w:iCs/>
          <w:sz w:val="26"/>
          <w:szCs w:val="26"/>
        </w:rPr>
        <w:t xml:space="preserve"> at 2-3.  Moreover, Mr. Zimmerman provides that he was coached to answer “yes” on all questions from the third-party verifier; however, Mr. Zimmerman notes that prior to completing the third-party verification process, the phone call was dropped.  </w:t>
      </w:r>
      <w:r w:rsidRPr="00A377B9">
        <w:rPr>
          <w:rFonts w:eastAsiaTheme="minorHAnsi"/>
          <w:i/>
          <w:sz w:val="26"/>
          <w:szCs w:val="26"/>
        </w:rPr>
        <w:t>Id.</w:t>
      </w:r>
      <w:r>
        <w:rPr>
          <w:rFonts w:eastAsiaTheme="minorHAnsi"/>
          <w:i/>
          <w:sz w:val="26"/>
          <w:szCs w:val="26"/>
        </w:rPr>
        <w:t xml:space="preserve"> </w:t>
      </w:r>
      <w:r w:rsidRPr="00CF5EA8">
        <w:rPr>
          <w:rFonts w:eastAsiaTheme="minorHAnsi"/>
          <w:iCs/>
          <w:sz w:val="26"/>
          <w:szCs w:val="26"/>
        </w:rPr>
        <w:t xml:space="preserve">at </w:t>
      </w:r>
      <w:r>
        <w:rPr>
          <w:rFonts w:eastAsiaTheme="minorHAnsi"/>
          <w:iCs/>
          <w:sz w:val="26"/>
          <w:szCs w:val="26"/>
        </w:rPr>
        <w:t>3</w:t>
      </w:r>
      <w:r w:rsidRPr="00CF5EA8">
        <w:rPr>
          <w:rFonts w:eastAsiaTheme="minorHAnsi"/>
          <w:iCs/>
          <w:sz w:val="26"/>
          <w:szCs w:val="26"/>
        </w:rPr>
        <w:t>.</w:t>
      </w:r>
      <w:r>
        <w:rPr>
          <w:rFonts w:eastAsiaTheme="minorHAnsi"/>
          <w:iCs/>
          <w:sz w:val="26"/>
          <w:szCs w:val="26"/>
        </w:rPr>
        <w:t xml:space="preserve">  Furthermore, Mr. Zimmerman notes that, it does not appear that he was enrolled with Discount as a result of the call.  Finally, Mr. Zimmerman offers that upon request, he can provide a recording of the call to Commission investigators.  </w:t>
      </w:r>
      <w:r w:rsidRPr="00A377B9">
        <w:rPr>
          <w:rFonts w:eastAsiaTheme="minorHAnsi"/>
          <w:i/>
          <w:sz w:val="26"/>
          <w:szCs w:val="26"/>
        </w:rPr>
        <w:t>Id.</w:t>
      </w:r>
    </w:p>
    <w:p w14:paraId="578872E1" w14:textId="1E80FD93" w:rsidR="005C4D5B" w:rsidRDefault="005C4D5B" w:rsidP="005C4D5B">
      <w:pPr>
        <w:spacing w:line="360" w:lineRule="auto"/>
        <w:ind w:firstLine="1440"/>
        <w:contextualSpacing/>
        <w:rPr>
          <w:rFonts w:eastAsiaTheme="minorHAnsi"/>
          <w:iCs/>
          <w:sz w:val="26"/>
          <w:szCs w:val="26"/>
          <w:highlight w:val="yellow"/>
        </w:rPr>
      </w:pPr>
    </w:p>
    <w:p w14:paraId="28ABF5BC" w14:textId="49A52168" w:rsidR="005C4D5B" w:rsidRDefault="005C4D5B" w:rsidP="005C4D5B">
      <w:pPr>
        <w:spacing w:line="360" w:lineRule="auto"/>
        <w:ind w:firstLine="1440"/>
        <w:contextualSpacing/>
        <w:rPr>
          <w:rFonts w:eastAsiaTheme="minorHAnsi"/>
          <w:i/>
          <w:sz w:val="26"/>
          <w:szCs w:val="26"/>
        </w:rPr>
      </w:pPr>
      <w:r>
        <w:rPr>
          <w:rFonts w:eastAsiaTheme="minorHAnsi"/>
          <w:iCs/>
          <w:sz w:val="26"/>
          <w:szCs w:val="26"/>
        </w:rPr>
        <w:t xml:space="preserve">Additionally, </w:t>
      </w:r>
      <w:r w:rsidRPr="002B397D">
        <w:rPr>
          <w:rFonts w:eastAsiaTheme="minorHAnsi"/>
          <w:iCs/>
          <w:sz w:val="26"/>
          <w:szCs w:val="26"/>
        </w:rPr>
        <w:t>Mr.</w:t>
      </w:r>
      <w:r>
        <w:rPr>
          <w:rFonts w:eastAsiaTheme="minorHAnsi"/>
          <w:iCs/>
          <w:sz w:val="26"/>
          <w:szCs w:val="26"/>
        </w:rPr>
        <w:t> </w:t>
      </w:r>
      <w:r w:rsidRPr="002B397D">
        <w:rPr>
          <w:rFonts w:eastAsiaTheme="minorHAnsi"/>
          <w:iCs/>
          <w:sz w:val="26"/>
          <w:szCs w:val="26"/>
        </w:rPr>
        <w:t xml:space="preserve">Zimmerman </w:t>
      </w:r>
      <w:r>
        <w:rPr>
          <w:rFonts w:eastAsiaTheme="minorHAnsi"/>
          <w:iCs/>
          <w:sz w:val="26"/>
          <w:szCs w:val="26"/>
        </w:rPr>
        <w:t xml:space="preserve">refers to </w:t>
      </w:r>
      <w:r w:rsidRPr="002B397D">
        <w:rPr>
          <w:rFonts w:eastAsiaTheme="minorHAnsi"/>
          <w:iCs/>
          <w:sz w:val="26"/>
          <w:szCs w:val="26"/>
        </w:rPr>
        <w:t xml:space="preserve">the </w:t>
      </w:r>
      <w:r w:rsidRPr="006305EE">
        <w:rPr>
          <w:rFonts w:eastAsiaTheme="minorHAnsi"/>
          <w:iCs/>
          <w:sz w:val="26"/>
          <w:szCs w:val="26"/>
        </w:rPr>
        <w:t xml:space="preserve">Policy Statement at </w:t>
      </w:r>
      <w:r w:rsidRPr="004911E2">
        <w:rPr>
          <w:rFonts w:eastAsiaTheme="minorHAnsi"/>
          <w:iCs/>
          <w:sz w:val="26"/>
          <w:szCs w:val="26"/>
        </w:rPr>
        <w:t>52 Pa. Code § 69.1201</w:t>
      </w:r>
      <w:r>
        <w:rPr>
          <w:rFonts w:eastAsiaTheme="minorHAnsi"/>
          <w:iCs/>
          <w:sz w:val="26"/>
          <w:szCs w:val="26"/>
        </w:rPr>
        <w:t xml:space="preserve">, to </w:t>
      </w:r>
      <w:r w:rsidRPr="002B397D">
        <w:rPr>
          <w:rFonts w:eastAsiaTheme="minorHAnsi"/>
          <w:iCs/>
          <w:sz w:val="26"/>
          <w:szCs w:val="26"/>
        </w:rPr>
        <w:t xml:space="preserve">assert that </w:t>
      </w:r>
      <w:r>
        <w:rPr>
          <w:rFonts w:eastAsiaTheme="minorHAnsi"/>
          <w:iCs/>
          <w:sz w:val="26"/>
          <w:szCs w:val="26"/>
        </w:rPr>
        <w:t xml:space="preserve">the </w:t>
      </w:r>
      <w:r w:rsidRPr="002B397D">
        <w:rPr>
          <w:rFonts w:eastAsiaTheme="minorHAnsi"/>
          <w:iCs/>
          <w:sz w:val="26"/>
          <w:szCs w:val="26"/>
        </w:rPr>
        <w:t>ongoing deceptive telemarketing by Discount</w:t>
      </w:r>
      <w:r>
        <w:rPr>
          <w:rFonts w:eastAsiaTheme="minorHAnsi"/>
          <w:iCs/>
          <w:sz w:val="26"/>
          <w:szCs w:val="26"/>
        </w:rPr>
        <w:t>,</w:t>
      </w:r>
      <w:r w:rsidRPr="002B397D">
        <w:rPr>
          <w:rFonts w:eastAsiaTheme="minorHAnsi"/>
          <w:iCs/>
          <w:sz w:val="26"/>
          <w:szCs w:val="26"/>
        </w:rPr>
        <w:t xml:space="preserve"> if substantiated, would bear on several </w:t>
      </w:r>
      <w:r>
        <w:rPr>
          <w:rFonts w:eastAsiaTheme="minorHAnsi"/>
          <w:iCs/>
          <w:sz w:val="26"/>
          <w:szCs w:val="26"/>
        </w:rPr>
        <w:t xml:space="preserve">of the </w:t>
      </w:r>
      <w:r w:rsidRPr="002B397D">
        <w:rPr>
          <w:rFonts w:eastAsiaTheme="minorHAnsi"/>
          <w:iCs/>
          <w:sz w:val="26"/>
          <w:szCs w:val="26"/>
        </w:rPr>
        <w:t xml:space="preserve">factors by which the Commission evaluates settlements, including, </w:t>
      </w:r>
      <w:r w:rsidRPr="002B397D">
        <w:rPr>
          <w:rFonts w:eastAsiaTheme="minorHAnsi"/>
          <w:i/>
          <w:sz w:val="26"/>
          <w:szCs w:val="26"/>
        </w:rPr>
        <w:t>inter alia</w:t>
      </w:r>
      <w:r w:rsidR="00B74C5F">
        <w:rPr>
          <w:rFonts w:eastAsiaTheme="minorHAnsi"/>
          <w:iCs/>
          <w:sz w:val="26"/>
          <w:szCs w:val="26"/>
        </w:rPr>
        <w:t xml:space="preserve">: </w:t>
      </w:r>
      <w:r w:rsidRPr="00A3054D">
        <w:rPr>
          <w:rFonts w:eastAsiaTheme="minorHAnsi"/>
          <w:iCs/>
          <w:sz w:val="26"/>
          <w:szCs w:val="26"/>
        </w:rPr>
        <w:t>(1) the seriousness of Discount’s conduct (52 Pa. Code § 69.1201(c)(1)); (2) Discount’s efforts to prevent similar misconduct (52 Pa. Code §</w:t>
      </w:r>
      <w:r>
        <w:rPr>
          <w:rFonts w:eastAsiaTheme="minorHAnsi"/>
          <w:iCs/>
          <w:sz w:val="26"/>
          <w:szCs w:val="26"/>
        </w:rPr>
        <w:t> </w:t>
      </w:r>
      <w:r w:rsidRPr="00A3054D">
        <w:rPr>
          <w:rFonts w:eastAsiaTheme="minorHAnsi"/>
          <w:iCs/>
          <w:sz w:val="26"/>
          <w:szCs w:val="26"/>
        </w:rPr>
        <w:t>69.1201(c)(4)); (3) Discount’s compliance history (52 Pa. Code §</w:t>
      </w:r>
      <w:r>
        <w:rPr>
          <w:rFonts w:eastAsiaTheme="minorHAnsi"/>
          <w:iCs/>
          <w:sz w:val="26"/>
          <w:szCs w:val="26"/>
        </w:rPr>
        <w:t> </w:t>
      </w:r>
      <w:r w:rsidRPr="00A3054D">
        <w:rPr>
          <w:rFonts w:eastAsiaTheme="minorHAnsi"/>
          <w:iCs/>
          <w:sz w:val="26"/>
          <w:szCs w:val="26"/>
        </w:rPr>
        <w:t>69.1201(c)(6)); (4)</w:t>
      </w:r>
      <w:r w:rsidR="00070899">
        <w:rPr>
          <w:rFonts w:eastAsiaTheme="minorHAnsi"/>
          <w:iCs/>
          <w:sz w:val="26"/>
          <w:szCs w:val="26"/>
        </w:rPr>
        <w:t> </w:t>
      </w:r>
      <w:r w:rsidRPr="00A3054D">
        <w:rPr>
          <w:rFonts w:eastAsiaTheme="minorHAnsi"/>
          <w:iCs/>
          <w:sz w:val="26"/>
          <w:szCs w:val="26"/>
        </w:rPr>
        <w:t>Discount’s cooperation with the Commission’s investigation (52 Pa. Code §</w:t>
      </w:r>
      <w:r>
        <w:rPr>
          <w:rFonts w:eastAsiaTheme="minorHAnsi"/>
          <w:iCs/>
          <w:sz w:val="26"/>
          <w:szCs w:val="26"/>
        </w:rPr>
        <w:t> </w:t>
      </w:r>
      <w:r w:rsidRPr="00A3054D">
        <w:rPr>
          <w:rFonts w:eastAsiaTheme="minorHAnsi"/>
          <w:iCs/>
          <w:sz w:val="26"/>
          <w:szCs w:val="26"/>
        </w:rPr>
        <w:t>69.1201(c)(7)); and (5) the amount civil penalty or fine necessary to deter future violations (52 Pa. Code §</w:t>
      </w:r>
      <w:r>
        <w:rPr>
          <w:rFonts w:eastAsiaTheme="minorHAnsi"/>
          <w:iCs/>
          <w:sz w:val="26"/>
          <w:szCs w:val="26"/>
        </w:rPr>
        <w:t> </w:t>
      </w:r>
      <w:r w:rsidRPr="00A3054D">
        <w:rPr>
          <w:rFonts w:eastAsiaTheme="minorHAnsi"/>
          <w:iCs/>
          <w:sz w:val="26"/>
          <w:szCs w:val="26"/>
        </w:rPr>
        <w:t xml:space="preserve">69.1201(c)(8)). </w:t>
      </w:r>
      <w:r>
        <w:rPr>
          <w:rFonts w:eastAsiaTheme="minorHAnsi"/>
          <w:iCs/>
          <w:sz w:val="26"/>
          <w:szCs w:val="26"/>
        </w:rPr>
        <w:t xml:space="preserve"> Zimmerman Comments at 3.  </w:t>
      </w:r>
      <w:r w:rsidRPr="00204821">
        <w:rPr>
          <w:rFonts w:eastAsiaTheme="minorHAnsi"/>
          <w:iCs/>
          <w:sz w:val="26"/>
          <w:szCs w:val="26"/>
        </w:rPr>
        <w:t>Thus, Mr.</w:t>
      </w:r>
      <w:r>
        <w:rPr>
          <w:rFonts w:eastAsiaTheme="minorHAnsi"/>
          <w:iCs/>
          <w:sz w:val="26"/>
          <w:szCs w:val="26"/>
        </w:rPr>
        <w:t> </w:t>
      </w:r>
      <w:r w:rsidRPr="00204821">
        <w:rPr>
          <w:rFonts w:eastAsiaTheme="minorHAnsi"/>
          <w:iCs/>
          <w:sz w:val="26"/>
          <w:szCs w:val="26"/>
        </w:rPr>
        <w:t>Zimmerman concludes that</w:t>
      </w:r>
      <w:r>
        <w:rPr>
          <w:rFonts w:eastAsiaTheme="minorHAnsi"/>
          <w:iCs/>
          <w:sz w:val="26"/>
          <w:szCs w:val="26"/>
        </w:rPr>
        <w:t>,</w:t>
      </w:r>
      <w:r w:rsidRPr="00204821">
        <w:rPr>
          <w:rFonts w:eastAsiaTheme="minorHAnsi"/>
          <w:iCs/>
          <w:sz w:val="26"/>
          <w:szCs w:val="26"/>
        </w:rPr>
        <w:t xml:space="preserve"> pending further investigation, re</w:t>
      </w:r>
      <w:r w:rsidR="001D4AF1">
        <w:rPr>
          <w:rFonts w:eastAsiaTheme="minorHAnsi"/>
          <w:iCs/>
          <w:sz w:val="26"/>
          <w:szCs w:val="26"/>
        </w:rPr>
        <w:t>-</w:t>
      </w:r>
      <w:r w:rsidRPr="00204821">
        <w:rPr>
          <w:rFonts w:eastAsiaTheme="minorHAnsi"/>
          <w:iCs/>
          <w:sz w:val="26"/>
          <w:szCs w:val="26"/>
        </w:rPr>
        <w:t xml:space="preserve">examination of the proposed </w:t>
      </w:r>
      <w:r w:rsidRPr="00436008">
        <w:rPr>
          <w:rFonts w:eastAsiaTheme="minorHAnsi"/>
          <w:iCs/>
          <w:sz w:val="26"/>
          <w:szCs w:val="26"/>
        </w:rPr>
        <w:t>civil penalty or additional enforcement action by the Commission may be appropriate.</w:t>
      </w:r>
      <w:r>
        <w:rPr>
          <w:rFonts w:eastAsiaTheme="minorHAnsi"/>
          <w:iCs/>
          <w:sz w:val="26"/>
          <w:szCs w:val="26"/>
        </w:rPr>
        <w:t xml:space="preserve">  </w:t>
      </w:r>
      <w:r w:rsidRPr="00436008">
        <w:rPr>
          <w:rFonts w:eastAsiaTheme="minorHAnsi"/>
          <w:i/>
          <w:sz w:val="26"/>
          <w:szCs w:val="26"/>
        </w:rPr>
        <w:t>Id.</w:t>
      </w:r>
    </w:p>
    <w:p w14:paraId="23FFD236" w14:textId="77777777" w:rsidR="00161670" w:rsidRPr="00161670" w:rsidRDefault="00161670" w:rsidP="005C4D5B">
      <w:pPr>
        <w:spacing w:line="360" w:lineRule="auto"/>
        <w:ind w:firstLine="1440"/>
        <w:contextualSpacing/>
        <w:rPr>
          <w:rFonts w:eastAsiaTheme="minorHAnsi"/>
          <w:iCs/>
          <w:sz w:val="26"/>
          <w:szCs w:val="26"/>
        </w:rPr>
      </w:pPr>
    </w:p>
    <w:p w14:paraId="45EB58A1" w14:textId="364A24E2" w:rsidR="00DF0755" w:rsidRPr="00E51DE9" w:rsidRDefault="00460A14" w:rsidP="003D0801">
      <w:pPr>
        <w:pStyle w:val="ListParagraph"/>
        <w:keepNext/>
        <w:keepLines/>
        <w:numPr>
          <w:ilvl w:val="0"/>
          <w:numId w:val="41"/>
        </w:numPr>
        <w:spacing w:line="360" w:lineRule="auto"/>
        <w:ind w:left="720"/>
        <w:rPr>
          <w:rFonts w:eastAsiaTheme="minorHAnsi"/>
          <w:b/>
          <w:bCs/>
          <w:sz w:val="26"/>
          <w:szCs w:val="26"/>
        </w:rPr>
      </w:pPr>
      <w:r w:rsidRPr="00E51DE9">
        <w:rPr>
          <w:rFonts w:eastAsiaTheme="minorHAnsi"/>
          <w:b/>
          <w:bCs/>
          <w:iCs/>
          <w:sz w:val="26"/>
          <w:szCs w:val="26"/>
        </w:rPr>
        <w:lastRenderedPageBreak/>
        <w:t>D</w:t>
      </w:r>
      <w:r w:rsidR="00D16CA7" w:rsidRPr="00E51DE9">
        <w:rPr>
          <w:rFonts w:eastAsiaTheme="minorHAnsi"/>
          <w:b/>
          <w:bCs/>
          <w:iCs/>
          <w:sz w:val="26"/>
          <w:szCs w:val="26"/>
        </w:rPr>
        <w:t>iscount</w:t>
      </w:r>
      <w:r w:rsidRPr="00E51DE9">
        <w:rPr>
          <w:rFonts w:eastAsiaTheme="minorHAnsi"/>
          <w:b/>
          <w:bCs/>
          <w:iCs/>
          <w:sz w:val="26"/>
          <w:szCs w:val="26"/>
        </w:rPr>
        <w:t>’s Motions to Strike</w:t>
      </w:r>
      <w:r w:rsidR="00D75908" w:rsidRPr="00E51DE9">
        <w:rPr>
          <w:rFonts w:eastAsiaTheme="minorHAnsi"/>
          <w:b/>
          <w:bCs/>
          <w:iCs/>
          <w:sz w:val="26"/>
          <w:szCs w:val="26"/>
        </w:rPr>
        <w:t xml:space="preserve"> </w:t>
      </w:r>
      <w:r w:rsidR="00A67B56" w:rsidRPr="00E51DE9">
        <w:rPr>
          <w:rFonts w:eastAsiaTheme="minorHAnsi"/>
          <w:b/>
          <w:bCs/>
          <w:iCs/>
          <w:sz w:val="26"/>
          <w:szCs w:val="26"/>
        </w:rPr>
        <w:t>filed Comments</w:t>
      </w:r>
      <w:r w:rsidR="00966C12">
        <w:rPr>
          <w:rFonts w:eastAsiaTheme="minorHAnsi"/>
          <w:b/>
          <w:bCs/>
          <w:iCs/>
          <w:sz w:val="26"/>
          <w:szCs w:val="26"/>
        </w:rPr>
        <w:t xml:space="preserve"> and Analysis</w:t>
      </w:r>
    </w:p>
    <w:p w14:paraId="6FDC52F0" w14:textId="23C88EF8" w:rsidR="00DF0755" w:rsidRDefault="00DF0755" w:rsidP="009D7BA4">
      <w:pPr>
        <w:pStyle w:val="ListParagraph"/>
        <w:keepNext/>
        <w:spacing w:line="360" w:lineRule="auto"/>
        <w:ind w:left="1440"/>
        <w:rPr>
          <w:b/>
          <w:bCs/>
          <w:sz w:val="26"/>
          <w:szCs w:val="26"/>
        </w:rPr>
      </w:pPr>
    </w:p>
    <w:p w14:paraId="60218627" w14:textId="6D506A2C" w:rsidR="004F019D" w:rsidRPr="004F019D" w:rsidRDefault="004F019D" w:rsidP="004F019D">
      <w:pPr>
        <w:spacing w:line="360" w:lineRule="auto"/>
        <w:ind w:firstLine="1440"/>
        <w:contextualSpacing/>
        <w:rPr>
          <w:rFonts w:eastAsiaTheme="minorHAnsi"/>
          <w:iCs/>
          <w:sz w:val="26"/>
          <w:szCs w:val="26"/>
        </w:rPr>
      </w:pPr>
      <w:r w:rsidRPr="008A1229">
        <w:rPr>
          <w:rFonts w:eastAsiaTheme="minorHAnsi"/>
          <w:iCs/>
          <w:sz w:val="26"/>
          <w:szCs w:val="26"/>
        </w:rPr>
        <w:t xml:space="preserve">As previously noted, </w:t>
      </w:r>
      <w:r w:rsidR="00AC33B7">
        <w:rPr>
          <w:rFonts w:eastAsiaTheme="minorHAnsi"/>
          <w:iCs/>
          <w:sz w:val="26"/>
          <w:szCs w:val="26"/>
        </w:rPr>
        <w:t xml:space="preserve">Discount filed </w:t>
      </w:r>
      <w:r w:rsidR="00793D43">
        <w:rPr>
          <w:rFonts w:eastAsiaTheme="minorHAnsi"/>
          <w:iCs/>
          <w:sz w:val="26"/>
          <w:szCs w:val="26"/>
        </w:rPr>
        <w:t>M</w:t>
      </w:r>
      <w:r w:rsidR="00167E34">
        <w:rPr>
          <w:rFonts w:eastAsiaTheme="minorHAnsi"/>
          <w:iCs/>
          <w:sz w:val="26"/>
          <w:szCs w:val="26"/>
        </w:rPr>
        <w:t>otions to Strike</w:t>
      </w:r>
      <w:r>
        <w:rPr>
          <w:rFonts w:eastAsiaTheme="minorHAnsi"/>
          <w:iCs/>
          <w:sz w:val="26"/>
          <w:szCs w:val="26"/>
        </w:rPr>
        <w:t xml:space="preserve"> </w:t>
      </w:r>
      <w:r w:rsidR="00167E34">
        <w:rPr>
          <w:rFonts w:eastAsia="Times New Roman"/>
          <w:sz w:val="26"/>
          <w:szCs w:val="26"/>
        </w:rPr>
        <w:t>the Comments of PPL and Mr. Zimmerman</w:t>
      </w:r>
      <w:r>
        <w:rPr>
          <w:rFonts w:eastAsiaTheme="minorHAnsi"/>
          <w:iCs/>
          <w:sz w:val="26"/>
          <w:szCs w:val="26"/>
        </w:rPr>
        <w:t xml:space="preserve">.  </w:t>
      </w:r>
      <w:r w:rsidR="00167E34">
        <w:rPr>
          <w:rFonts w:eastAsiaTheme="minorHAnsi"/>
          <w:iCs/>
          <w:sz w:val="26"/>
          <w:szCs w:val="26"/>
        </w:rPr>
        <w:t xml:space="preserve">Discount’s Motions to </w:t>
      </w:r>
      <w:r w:rsidR="00012B14">
        <w:rPr>
          <w:rFonts w:eastAsiaTheme="minorHAnsi"/>
          <w:iCs/>
          <w:sz w:val="26"/>
          <w:szCs w:val="26"/>
        </w:rPr>
        <w:t>Strike the filed Comments and our analysis are summarized below</w:t>
      </w:r>
      <w:r>
        <w:rPr>
          <w:rFonts w:eastAsiaTheme="minorHAnsi"/>
          <w:iCs/>
          <w:sz w:val="26"/>
          <w:szCs w:val="26"/>
        </w:rPr>
        <w:t>.</w:t>
      </w:r>
    </w:p>
    <w:p w14:paraId="3FA41817" w14:textId="77777777" w:rsidR="004F019D" w:rsidRDefault="004F019D" w:rsidP="00447C20">
      <w:pPr>
        <w:pStyle w:val="ListParagraph"/>
        <w:spacing w:line="360" w:lineRule="auto"/>
        <w:ind w:left="1440"/>
        <w:rPr>
          <w:b/>
          <w:bCs/>
          <w:sz w:val="26"/>
          <w:szCs w:val="26"/>
        </w:rPr>
      </w:pPr>
    </w:p>
    <w:p w14:paraId="47DA562D" w14:textId="5C5C3AD1" w:rsidR="00E44816" w:rsidRPr="009D7BA4" w:rsidRDefault="009D7BA4" w:rsidP="009D7BA4">
      <w:pPr>
        <w:pStyle w:val="ListParagraph"/>
        <w:keepNext/>
        <w:numPr>
          <w:ilvl w:val="0"/>
          <w:numId w:val="42"/>
        </w:numPr>
        <w:spacing w:line="360" w:lineRule="auto"/>
        <w:rPr>
          <w:b/>
          <w:bCs/>
          <w:sz w:val="26"/>
          <w:szCs w:val="26"/>
        </w:rPr>
      </w:pPr>
      <w:r>
        <w:rPr>
          <w:b/>
          <w:bCs/>
          <w:sz w:val="26"/>
          <w:szCs w:val="26"/>
        </w:rPr>
        <w:t>Discount’s Motion to Strike PPL’s Comments</w:t>
      </w:r>
      <w:r w:rsidR="00D03A90">
        <w:rPr>
          <w:b/>
          <w:bCs/>
          <w:sz w:val="26"/>
          <w:szCs w:val="26"/>
        </w:rPr>
        <w:t xml:space="preserve"> and PPL’s Answer</w:t>
      </w:r>
    </w:p>
    <w:p w14:paraId="013360A5" w14:textId="77777777" w:rsidR="00DF0755" w:rsidRDefault="00DF0755" w:rsidP="00886E43">
      <w:pPr>
        <w:keepNext/>
        <w:spacing w:line="360" w:lineRule="auto"/>
        <w:rPr>
          <w:b/>
          <w:bCs/>
          <w:sz w:val="26"/>
          <w:szCs w:val="26"/>
        </w:rPr>
      </w:pPr>
    </w:p>
    <w:p w14:paraId="42A4D960" w14:textId="346A593A" w:rsidR="009B56B3" w:rsidRDefault="002D4D2E" w:rsidP="000D5555">
      <w:pPr>
        <w:spacing w:line="360" w:lineRule="auto"/>
        <w:ind w:firstLine="1440"/>
        <w:contextualSpacing/>
        <w:rPr>
          <w:rFonts w:eastAsiaTheme="minorHAnsi"/>
          <w:iCs/>
          <w:sz w:val="26"/>
          <w:szCs w:val="26"/>
        </w:rPr>
      </w:pPr>
      <w:bookmarkStart w:id="21" w:name="_Hlk92290493"/>
      <w:bookmarkStart w:id="22" w:name="_Hlk92965156"/>
      <w:r w:rsidRPr="00C40FC3">
        <w:rPr>
          <w:rFonts w:eastAsiaTheme="minorHAnsi"/>
          <w:iCs/>
          <w:sz w:val="26"/>
          <w:szCs w:val="26"/>
        </w:rPr>
        <w:t xml:space="preserve">In its Motion to Strike PPL’s Comments, Discount </w:t>
      </w:r>
      <w:r w:rsidR="00456AB4" w:rsidRPr="00C40FC3">
        <w:rPr>
          <w:rFonts w:eastAsiaTheme="minorHAnsi"/>
          <w:iCs/>
          <w:sz w:val="26"/>
          <w:szCs w:val="26"/>
        </w:rPr>
        <w:t>asserts that</w:t>
      </w:r>
      <w:r w:rsidR="00E033D3">
        <w:rPr>
          <w:rFonts w:eastAsiaTheme="minorHAnsi"/>
          <w:iCs/>
          <w:sz w:val="26"/>
          <w:szCs w:val="26"/>
        </w:rPr>
        <w:t>, if the Settlement is approved without modification, PPL will not be impacted.</w:t>
      </w:r>
      <w:r w:rsidR="00456AB4" w:rsidRPr="00C40FC3">
        <w:rPr>
          <w:rFonts w:eastAsiaTheme="minorHAnsi"/>
          <w:iCs/>
          <w:sz w:val="26"/>
          <w:szCs w:val="26"/>
        </w:rPr>
        <w:t xml:space="preserve"> </w:t>
      </w:r>
      <w:bookmarkEnd w:id="21"/>
      <w:r w:rsidR="00E033D3">
        <w:rPr>
          <w:rFonts w:eastAsiaTheme="minorHAnsi"/>
          <w:iCs/>
          <w:sz w:val="26"/>
          <w:szCs w:val="26"/>
        </w:rPr>
        <w:t xml:space="preserve"> </w:t>
      </w:r>
      <w:r w:rsidR="00F26C01">
        <w:rPr>
          <w:rFonts w:eastAsiaTheme="minorHAnsi"/>
          <w:iCs/>
          <w:sz w:val="26"/>
          <w:szCs w:val="26"/>
        </w:rPr>
        <w:t xml:space="preserve">Discount argues that </w:t>
      </w:r>
      <w:r w:rsidR="00456AB4" w:rsidRPr="00C40FC3">
        <w:rPr>
          <w:rFonts w:eastAsiaTheme="minorHAnsi"/>
          <w:iCs/>
          <w:sz w:val="26"/>
          <w:szCs w:val="26"/>
        </w:rPr>
        <w:t xml:space="preserve">PPL lacks </w:t>
      </w:r>
      <w:r w:rsidR="00DE51BC" w:rsidRPr="00C40FC3">
        <w:rPr>
          <w:rFonts w:eastAsiaTheme="minorHAnsi"/>
          <w:iCs/>
          <w:sz w:val="26"/>
          <w:szCs w:val="26"/>
        </w:rPr>
        <w:t>standing to participate in this proceeding</w:t>
      </w:r>
      <w:r w:rsidR="00DF2FEB">
        <w:rPr>
          <w:rFonts w:eastAsiaTheme="minorHAnsi"/>
          <w:iCs/>
          <w:sz w:val="26"/>
          <w:szCs w:val="26"/>
        </w:rPr>
        <w:t xml:space="preserve"> because </w:t>
      </w:r>
      <w:r w:rsidR="00E64C10">
        <w:rPr>
          <w:rFonts w:eastAsiaTheme="minorHAnsi"/>
          <w:iCs/>
          <w:sz w:val="26"/>
          <w:szCs w:val="26"/>
        </w:rPr>
        <w:t>PP</w:t>
      </w:r>
      <w:r w:rsidR="00C56430">
        <w:rPr>
          <w:rFonts w:eastAsiaTheme="minorHAnsi"/>
          <w:iCs/>
          <w:sz w:val="26"/>
          <w:szCs w:val="26"/>
        </w:rPr>
        <w:t xml:space="preserve">L: </w:t>
      </w:r>
      <w:r w:rsidR="00070899">
        <w:rPr>
          <w:rFonts w:eastAsiaTheme="minorHAnsi"/>
          <w:iCs/>
          <w:sz w:val="26"/>
          <w:szCs w:val="26"/>
        </w:rPr>
        <w:t xml:space="preserve"> </w:t>
      </w:r>
      <w:r w:rsidR="00C56430">
        <w:rPr>
          <w:rFonts w:eastAsiaTheme="minorHAnsi"/>
          <w:iCs/>
          <w:sz w:val="26"/>
          <w:szCs w:val="26"/>
        </w:rPr>
        <w:t xml:space="preserve">(1) </w:t>
      </w:r>
      <w:r w:rsidR="00583836">
        <w:rPr>
          <w:rFonts w:eastAsiaTheme="minorHAnsi"/>
          <w:iCs/>
          <w:sz w:val="26"/>
          <w:szCs w:val="26"/>
        </w:rPr>
        <w:t xml:space="preserve">raises issues that are irrelevant to </w:t>
      </w:r>
      <w:r w:rsidR="006F22B4" w:rsidRPr="00C40FC3">
        <w:rPr>
          <w:rFonts w:eastAsiaTheme="minorHAnsi"/>
          <w:iCs/>
          <w:sz w:val="26"/>
          <w:szCs w:val="26"/>
        </w:rPr>
        <w:t>whether the terms of the Settlement are reasonable and in the public interest</w:t>
      </w:r>
      <w:r w:rsidR="00C56430">
        <w:rPr>
          <w:rFonts w:eastAsiaTheme="minorHAnsi"/>
          <w:iCs/>
          <w:sz w:val="26"/>
          <w:szCs w:val="26"/>
        </w:rPr>
        <w:t>;</w:t>
      </w:r>
      <w:r w:rsidR="006F22B4">
        <w:rPr>
          <w:rFonts w:eastAsiaTheme="minorHAnsi"/>
          <w:iCs/>
          <w:sz w:val="26"/>
          <w:szCs w:val="26"/>
        </w:rPr>
        <w:t xml:space="preserve"> and </w:t>
      </w:r>
      <w:r w:rsidR="00C56430">
        <w:rPr>
          <w:rFonts w:eastAsiaTheme="minorHAnsi"/>
          <w:iCs/>
          <w:sz w:val="26"/>
          <w:szCs w:val="26"/>
        </w:rPr>
        <w:t>(2)</w:t>
      </w:r>
      <w:r w:rsidR="006F22B4">
        <w:rPr>
          <w:rFonts w:eastAsiaTheme="minorHAnsi"/>
          <w:iCs/>
          <w:sz w:val="26"/>
          <w:szCs w:val="26"/>
        </w:rPr>
        <w:t xml:space="preserve"> </w:t>
      </w:r>
      <w:r w:rsidR="00E64C10">
        <w:rPr>
          <w:rFonts w:eastAsiaTheme="minorHAnsi"/>
          <w:iCs/>
          <w:sz w:val="26"/>
          <w:szCs w:val="26"/>
        </w:rPr>
        <w:t xml:space="preserve">will not be aggrieved by a Commission order or other action.  </w:t>
      </w:r>
      <w:r w:rsidR="00C030A8">
        <w:rPr>
          <w:rFonts w:eastAsiaTheme="minorHAnsi"/>
          <w:iCs/>
          <w:sz w:val="26"/>
          <w:szCs w:val="26"/>
        </w:rPr>
        <w:t>DPI</w:t>
      </w:r>
      <w:r w:rsidR="00583836" w:rsidRPr="00C40FC3">
        <w:rPr>
          <w:rFonts w:eastAsiaTheme="minorHAnsi"/>
          <w:iCs/>
          <w:sz w:val="26"/>
          <w:szCs w:val="26"/>
        </w:rPr>
        <w:t xml:space="preserve"> </w:t>
      </w:r>
      <w:r w:rsidR="00583836" w:rsidRPr="004809D9">
        <w:rPr>
          <w:rFonts w:eastAsiaTheme="minorHAnsi"/>
          <w:iCs/>
          <w:sz w:val="26"/>
          <w:szCs w:val="26"/>
        </w:rPr>
        <w:t>Motion to Strike PPL Comments at 3, 6</w:t>
      </w:r>
      <w:r w:rsidR="006F22B4" w:rsidRPr="004809D9">
        <w:rPr>
          <w:rFonts w:eastAsiaTheme="minorHAnsi"/>
          <w:iCs/>
          <w:sz w:val="26"/>
          <w:szCs w:val="26"/>
        </w:rPr>
        <w:t>.</w:t>
      </w:r>
      <w:r w:rsidR="00583836" w:rsidRPr="004809D9">
        <w:rPr>
          <w:rFonts w:eastAsiaTheme="minorHAnsi"/>
          <w:iCs/>
          <w:sz w:val="26"/>
          <w:szCs w:val="26"/>
        </w:rPr>
        <w:t xml:space="preserve"> </w:t>
      </w:r>
      <w:r w:rsidR="006F22B4" w:rsidRPr="004809D9">
        <w:rPr>
          <w:rFonts w:eastAsiaTheme="minorHAnsi"/>
          <w:iCs/>
          <w:sz w:val="26"/>
          <w:szCs w:val="26"/>
        </w:rPr>
        <w:t xml:space="preserve"> </w:t>
      </w:r>
      <w:r w:rsidR="00A97697" w:rsidRPr="004809D9">
        <w:rPr>
          <w:rFonts w:eastAsiaTheme="minorHAnsi"/>
          <w:iCs/>
          <w:sz w:val="26"/>
          <w:szCs w:val="26"/>
        </w:rPr>
        <w:t xml:space="preserve">The Company </w:t>
      </w:r>
      <w:r w:rsidR="004D4DD3" w:rsidRPr="004809D9">
        <w:rPr>
          <w:rFonts w:eastAsiaTheme="minorHAnsi"/>
          <w:iCs/>
          <w:sz w:val="26"/>
          <w:szCs w:val="26"/>
        </w:rPr>
        <w:t xml:space="preserve">contends </w:t>
      </w:r>
      <w:r w:rsidR="00A97697" w:rsidRPr="004809D9">
        <w:rPr>
          <w:rFonts w:eastAsiaTheme="minorHAnsi"/>
          <w:iCs/>
          <w:sz w:val="26"/>
          <w:szCs w:val="26"/>
        </w:rPr>
        <w:t>that</w:t>
      </w:r>
      <w:r w:rsidR="00CC11A7" w:rsidRPr="004809D9">
        <w:rPr>
          <w:rFonts w:eastAsiaTheme="minorHAnsi"/>
          <w:iCs/>
          <w:sz w:val="26"/>
          <w:szCs w:val="26"/>
        </w:rPr>
        <w:t xml:space="preserve"> </w:t>
      </w:r>
      <w:r w:rsidR="00A97697" w:rsidRPr="004809D9">
        <w:rPr>
          <w:rFonts w:eastAsiaTheme="minorHAnsi"/>
          <w:iCs/>
          <w:sz w:val="26"/>
          <w:szCs w:val="26"/>
        </w:rPr>
        <w:t xml:space="preserve">a person or </w:t>
      </w:r>
      <w:r w:rsidR="00CC11A7" w:rsidRPr="004809D9">
        <w:rPr>
          <w:rFonts w:eastAsiaTheme="minorHAnsi"/>
          <w:iCs/>
          <w:sz w:val="26"/>
          <w:szCs w:val="26"/>
        </w:rPr>
        <w:t>entity</w:t>
      </w:r>
      <w:r w:rsidR="00CC11A7" w:rsidRPr="00D5089A">
        <w:rPr>
          <w:rFonts w:eastAsiaTheme="minorHAnsi"/>
          <w:iCs/>
          <w:sz w:val="26"/>
          <w:szCs w:val="26"/>
        </w:rPr>
        <w:t xml:space="preserve"> has standing to participate in a proceeding before the Commission only upon the showing of a direct, immediate, and substantial interest in the subject matter of a </w:t>
      </w:r>
      <w:r w:rsidR="00A1067A" w:rsidRPr="00D5089A">
        <w:rPr>
          <w:rFonts w:eastAsiaTheme="minorHAnsi"/>
          <w:iCs/>
          <w:sz w:val="26"/>
          <w:szCs w:val="26"/>
        </w:rPr>
        <w:t>proceeding and</w:t>
      </w:r>
      <w:r w:rsidR="005910F0" w:rsidRPr="00D5089A">
        <w:rPr>
          <w:rFonts w:eastAsiaTheme="minorHAnsi"/>
          <w:iCs/>
          <w:sz w:val="26"/>
          <w:szCs w:val="26"/>
        </w:rPr>
        <w:t xml:space="preserve"> to assert a</w:t>
      </w:r>
      <w:r w:rsidR="00461E7E" w:rsidRPr="00D5089A">
        <w:rPr>
          <w:rFonts w:eastAsiaTheme="minorHAnsi"/>
          <w:iCs/>
          <w:sz w:val="26"/>
          <w:szCs w:val="26"/>
        </w:rPr>
        <w:t xml:space="preserve"> theoretical interest of all citizens </w:t>
      </w:r>
      <w:r w:rsidR="00961DE1" w:rsidRPr="00D5089A">
        <w:rPr>
          <w:rFonts w:eastAsiaTheme="minorHAnsi"/>
          <w:iCs/>
          <w:sz w:val="26"/>
          <w:szCs w:val="26"/>
        </w:rPr>
        <w:t>in having others comply with the law is insufficient.</w:t>
      </w:r>
      <w:r w:rsidR="00CC11A7" w:rsidRPr="00D5089A">
        <w:rPr>
          <w:rFonts w:eastAsiaTheme="minorHAnsi"/>
          <w:iCs/>
          <w:sz w:val="26"/>
          <w:szCs w:val="26"/>
        </w:rPr>
        <w:t xml:space="preserve"> </w:t>
      </w:r>
      <w:r w:rsidR="00961DE1" w:rsidRPr="00D5089A">
        <w:rPr>
          <w:rFonts w:eastAsiaTheme="minorHAnsi"/>
          <w:iCs/>
          <w:sz w:val="26"/>
          <w:szCs w:val="26"/>
        </w:rPr>
        <w:t xml:space="preserve"> </w:t>
      </w:r>
      <w:bookmarkStart w:id="23" w:name="_Hlk92869683"/>
      <w:r w:rsidR="006F22B4" w:rsidRPr="00D5089A">
        <w:rPr>
          <w:rFonts w:eastAsiaTheme="minorHAnsi"/>
          <w:i/>
          <w:sz w:val="26"/>
          <w:szCs w:val="26"/>
        </w:rPr>
        <w:t>Id.</w:t>
      </w:r>
      <w:r w:rsidR="006F22B4" w:rsidRPr="00D5089A">
        <w:rPr>
          <w:rFonts w:eastAsiaTheme="minorHAnsi"/>
          <w:iCs/>
          <w:sz w:val="26"/>
          <w:szCs w:val="26"/>
        </w:rPr>
        <w:t xml:space="preserve"> at </w:t>
      </w:r>
      <w:r w:rsidR="00FE7CCB" w:rsidRPr="00D5089A">
        <w:rPr>
          <w:rFonts w:eastAsiaTheme="minorHAnsi"/>
          <w:iCs/>
          <w:sz w:val="26"/>
          <w:szCs w:val="26"/>
        </w:rPr>
        <w:t>4</w:t>
      </w:r>
      <w:r w:rsidR="007B56DD">
        <w:rPr>
          <w:rFonts w:eastAsiaTheme="minorHAnsi"/>
          <w:iCs/>
          <w:sz w:val="26"/>
          <w:szCs w:val="26"/>
        </w:rPr>
        <w:t xml:space="preserve"> </w:t>
      </w:r>
      <w:bookmarkEnd w:id="23"/>
      <w:r w:rsidR="007B56DD">
        <w:rPr>
          <w:rFonts w:eastAsiaTheme="minorHAnsi"/>
          <w:iCs/>
          <w:sz w:val="26"/>
          <w:szCs w:val="26"/>
        </w:rPr>
        <w:t xml:space="preserve">(citing </w:t>
      </w:r>
      <w:r w:rsidR="00F96953" w:rsidRPr="00F96953">
        <w:rPr>
          <w:rFonts w:eastAsiaTheme="minorHAnsi"/>
          <w:i/>
          <w:iCs/>
          <w:sz w:val="26"/>
          <w:szCs w:val="26"/>
        </w:rPr>
        <w:t>Man O’ War Racing Association, Inc. v. State Horse Racing Commission</w:t>
      </w:r>
      <w:r w:rsidR="00F96953" w:rsidRPr="00F96953">
        <w:rPr>
          <w:rFonts w:eastAsiaTheme="minorHAnsi"/>
          <w:iCs/>
          <w:sz w:val="26"/>
          <w:szCs w:val="26"/>
        </w:rPr>
        <w:t>, 433 Pa. 432, 441, 250 A.2d 172 (1969)</w:t>
      </w:r>
      <w:r w:rsidR="00D46870">
        <w:rPr>
          <w:rFonts w:eastAsiaTheme="minorHAnsi"/>
          <w:iCs/>
          <w:sz w:val="26"/>
          <w:szCs w:val="26"/>
        </w:rPr>
        <w:t xml:space="preserve"> (</w:t>
      </w:r>
      <w:r w:rsidR="00D46870" w:rsidRPr="00D46870">
        <w:rPr>
          <w:rFonts w:eastAsiaTheme="minorHAnsi"/>
          <w:i/>
          <w:sz w:val="26"/>
          <w:szCs w:val="26"/>
        </w:rPr>
        <w:t>MOWRA</w:t>
      </w:r>
      <w:r w:rsidR="00D46870">
        <w:rPr>
          <w:rFonts w:eastAsiaTheme="minorHAnsi"/>
          <w:iCs/>
          <w:sz w:val="26"/>
          <w:szCs w:val="26"/>
        </w:rPr>
        <w:t>)</w:t>
      </w:r>
      <w:r w:rsidR="00F96953">
        <w:rPr>
          <w:rFonts w:eastAsiaTheme="minorHAnsi"/>
          <w:iCs/>
          <w:sz w:val="26"/>
          <w:szCs w:val="26"/>
        </w:rPr>
        <w:t xml:space="preserve">; </w:t>
      </w:r>
      <w:r w:rsidR="00F96953" w:rsidRPr="00F96953">
        <w:rPr>
          <w:rFonts w:eastAsiaTheme="minorHAnsi"/>
          <w:i/>
          <w:iCs/>
          <w:sz w:val="26"/>
          <w:szCs w:val="26"/>
        </w:rPr>
        <w:t>William Penn Parking Garage, Inc. v. City of Pittsburgh</w:t>
      </w:r>
      <w:r w:rsidR="00F96953" w:rsidRPr="00F96953">
        <w:rPr>
          <w:rFonts w:eastAsiaTheme="minorHAnsi"/>
          <w:iCs/>
          <w:sz w:val="26"/>
          <w:szCs w:val="26"/>
        </w:rPr>
        <w:t>, 464 Pa. 168, 191-192, 346 A.2d 269 (1975)</w:t>
      </w:r>
      <w:r w:rsidR="00D46870">
        <w:rPr>
          <w:rFonts w:eastAsiaTheme="minorHAnsi"/>
          <w:iCs/>
          <w:sz w:val="26"/>
          <w:szCs w:val="26"/>
        </w:rPr>
        <w:t xml:space="preserve"> (</w:t>
      </w:r>
      <w:r w:rsidR="00D46870" w:rsidRPr="00D46870">
        <w:rPr>
          <w:rFonts w:eastAsiaTheme="minorHAnsi"/>
          <w:i/>
          <w:sz w:val="26"/>
          <w:szCs w:val="26"/>
        </w:rPr>
        <w:t>William</w:t>
      </w:r>
      <w:r w:rsidR="00070899">
        <w:rPr>
          <w:rFonts w:eastAsiaTheme="minorHAnsi"/>
          <w:i/>
          <w:sz w:val="26"/>
          <w:szCs w:val="26"/>
        </w:rPr>
        <w:t> </w:t>
      </w:r>
      <w:r w:rsidR="00D46870" w:rsidRPr="00D46870">
        <w:rPr>
          <w:rFonts w:eastAsiaTheme="minorHAnsi"/>
          <w:i/>
          <w:sz w:val="26"/>
          <w:szCs w:val="26"/>
        </w:rPr>
        <w:t>Penn</w:t>
      </w:r>
      <w:r w:rsidR="00D46870">
        <w:rPr>
          <w:rFonts w:eastAsiaTheme="minorHAnsi"/>
          <w:iCs/>
          <w:sz w:val="26"/>
          <w:szCs w:val="26"/>
        </w:rPr>
        <w:t>)</w:t>
      </w:r>
      <w:r w:rsidR="00FE7CCB">
        <w:rPr>
          <w:rFonts w:eastAsiaTheme="minorHAnsi"/>
          <w:iCs/>
          <w:sz w:val="26"/>
          <w:szCs w:val="26"/>
        </w:rPr>
        <w:t xml:space="preserve">.  </w:t>
      </w:r>
      <w:r w:rsidR="005B47BC">
        <w:rPr>
          <w:rFonts w:eastAsiaTheme="minorHAnsi"/>
          <w:iCs/>
          <w:sz w:val="26"/>
          <w:szCs w:val="26"/>
        </w:rPr>
        <w:t>Accordingly, Discount requests that</w:t>
      </w:r>
      <w:r w:rsidR="009B56B3">
        <w:rPr>
          <w:rFonts w:eastAsiaTheme="minorHAnsi"/>
          <w:iCs/>
          <w:sz w:val="26"/>
          <w:szCs w:val="26"/>
        </w:rPr>
        <w:t xml:space="preserve"> the Commission </w:t>
      </w:r>
      <w:r w:rsidR="00BA006B">
        <w:rPr>
          <w:rFonts w:eastAsiaTheme="minorHAnsi"/>
          <w:iCs/>
          <w:sz w:val="26"/>
          <w:szCs w:val="26"/>
        </w:rPr>
        <w:t>strike</w:t>
      </w:r>
      <w:r w:rsidR="005B47BC">
        <w:rPr>
          <w:rFonts w:eastAsiaTheme="minorHAnsi"/>
          <w:iCs/>
          <w:sz w:val="26"/>
          <w:szCs w:val="26"/>
        </w:rPr>
        <w:t xml:space="preserve"> PPL’s Comments</w:t>
      </w:r>
      <w:r w:rsidR="009B56B3">
        <w:rPr>
          <w:rFonts w:eastAsiaTheme="minorHAnsi"/>
          <w:iCs/>
          <w:sz w:val="26"/>
          <w:szCs w:val="26"/>
        </w:rPr>
        <w:t xml:space="preserve">. </w:t>
      </w:r>
      <w:r w:rsidR="00FE7CCB">
        <w:rPr>
          <w:rFonts w:eastAsiaTheme="minorHAnsi"/>
          <w:iCs/>
          <w:sz w:val="26"/>
          <w:szCs w:val="26"/>
        </w:rPr>
        <w:t xml:space="preserve"> </w:t>
      </w:r>
      <w:r w:rsidR="00FE7CCB" w:rsidRPr="007005A5">
        <w:rPr>
          <w:rFonts w:eastAsiaTheme="minorHAnsi"/>
          <w:i/>
          <w:sz w:val="26"/>
          <w:szCs w:val="26"/>
        </w:rPr>
        <w:t>Id.</w:t>
      </w:r>
      <w:r w:rsidR="00FE7CCB">
        <w:rPr>
          <w:rFonts w:eastAsiaTheme="minorHAnsi"/>
          <w:iCs/>
          <w:sz w:val="26"/>
          <w:szCs w:val="26"/>
        </w:rPr>
        <w:t xml:space="preserve"> at </w:t>
      </w:r>
      <w:r w:rsidR="00160B71">
        <w:rPr>
          <w:rFonts w:eastAsiaTheme="minorHAnsi"/>
          <w:iCs/>
          <w:sz w:val="26"/>
          <w:szCs w:val="26"/>
        </w:rPr>
        <w:t>3</w:t>
      </w:r>
      <w:r w:rsidR="00664267" w:rsidRPr="00C40FC3">
        <w:rPr>
          <w:rFonts w:eastAsiaTheme="minorHAnsi"/>
          <w:iCs/>
          <w:sz w:val="26"/>
          <w:szCs w:val="26"/>
        </w:rPr>
        <w:t>.</w:t>
      </w:r>
    </w:p>
    <w:p w14:paraId="6D17CE20" w14:textId="77777777" w:rsidR="00664267" w:rsidRDefault="00664267" w:rsidP="000D5555">
      <w:pPr>
        <w:spacing w:line="360" w:lineRule="auto"/>
        <w:ind w:firstLine="1440"/>
        <w:contextualSpacing/>
        <w:rPr>
          <w:rFonts w:eastAsiaTheme="minorHAnsi"/>
          <w:iCs/>
          <w:sz w:val="26"/>
          <w:szCs w:val="26"/>
        </w:rPr>
      </w:pPr>
    </w:p>
    <w:p w14:paraId="7B986099" w14:textId="35DC0C24" w:rsidR="00F146B7" w:rsidRDefault="0022025A" w:rsidP="00F146B7">
      <w:pPr>
        <w:spacing w:line="360" w:lineRule="auto"/>
        <w:ind w:firstLine="1440"/>
        <w:contextualSpacing/>
        <w:rPr>
          <w:rFonts w:eastAsiaTheme="minorHAnsi"/>
          <w:iCs/>
          <w:sz w:val="26"/>
          <w:szCs w:val="26"/>
        </w:rPr>
      </w:pPr>
      <w:r w:rsidRPr="004809D9">
        <w:rPr>
          <w:rFonts w:eastAsiaTheme="minorHAnsi"/>
          <w:iCs/>
          <w:sz w:val="26"/>
          <w:szCs w:val="26"/>
        </w:rPr>
        <w:t xml:space="preserve">Discount </w:t>
      </w:r>
      <w:r w:rsidR="00337312" w:rsidRPr="004809D9">
        <w:rPr>
          <w:rFonts w:eastAsiaTheme="minorHAnsi"/>
          <w:iCs/>
          <w:sz w:val="26"/>
          <w:szCs w:val="26"/>
        </w:rPr>
        <w:t>offer</w:t>
      </w:r>
      <w:r w:rsidR="009C786F" w:rsidRPr="004809D9">
        <w:rPr>
          <w:rFonts w:eastAsiaTheme="minorHAnsi"/>
          <w:iCs/>
          <w:sz w:val="26"/>
          <w:szCs w:val="26"/>
        </w:rPr>
        <w:t xml:space="preserve">s that PPL does not identify </w:t>
      </w:r>
      <w:r w:rsidR="00F146B7" w:rsidRPr="004809D9">
        <w:rPr>
          <w:rFonts w:eastAsiaTheme="minorHAnsi"/>
          <w:iCs/>
          <w:sz w:val="26"/>
          <w:szCs w:val="26"/>
        </w:rPr>
        <w:t>any direct, substantial, or immediate interest that PPL has in the outcome of the instant proceeding.</w:t>
      </w:r>
      <w:r w:rsidR="00F146B7">
        <w:rPr>
          <w:rFonts w:eastAsiaTheme="minorHAnsi"/>
          <w:iCs/>
          <w:sz w:val="26"/>
          <w:szCs w:val="26"/>
        </w:rPr>
        <w:t xml:space="preserve">  </w:t>
      </w:r>
      <w:r w:rsidR="00DE6C03">
        <w:rPr>
          <w:rFonts w:eastAsiaTheme="minorHAnsi"/>
          <w:iCs/>
          <w:sz w:val="26"/>
          <w:szCs w:val="26"/>
        </w:rPr>
        <w:t xml:space="preserve">Discount </w:t>
      </w:r>
      <w:r w:rsidR="00402F50">
        <w:rPr>
          <w:rFonts w:eastAsiaTheme="minorHAnsi"/>
          <w:iCs/>
          <w:sz w:val="26"/>
          <w:szCs w:val="26"/>
        </w:rPr>
        <w:t>refers to</w:t>
      </w:r>
      <w:r w:rsidR="00DE6C03">
        <w:rPr>
          <w:rFonts w:eastAsiaTheme="minorHAnsi"/>
          <w:iCs/>
          <w:sz w:val="26"/>
          <w:szCs w:val="26"/>
        </w:rPr>
        <w:t xml:space="preserve"> </w:t>
      </w:r>
      <w:r w:rsidR="00DE6C03" w:rsidRPr="00DE6C03">
        <w:rPr>
          <w:rFonts w:eastAsiaTheme="minorHAnsi"/>
          <w:i/>
          <w:iCs/>
          <w:sz w:val="26"/>
          <w:szCs w:val="26"/>
        </w:rPr>
        <w:t>Mid-Atlantic Power Supply Ass</w:t>
      </w:r>
      <w:r w:rsidR="00402F50">
        <w:rPr>
          <w:rFonts w:eastAsiaTheme="minorHAnsi"/>
          <w:i/>
          <w:iCs/>
          <w:sz w:val="26"/>
          <w:szCs w:val="26"/>
        </w:rPr>
        <w:t>ociatio</w:t>
      </w:r>
      <w:r w:rsidR="00DE6C03" w:rsidRPr="00DE6C03">
        <w:rPr>
          <w:rFonts w:eastAsiaTheme="minorHAnsi"/>
          <w:i/>
          <w:iCs/>
          <w:sz w:val="26"/>
          <w:szCs w:val="26"/>
        </w:rPr>
        <w:t xml:space="preserve">n v. Pa. </w:t>
      </w:r>
      <w:r w:rsidR="00B02A70">
        <w:rPr>
          <w:rFonts w:eastAsiaTheme="minorHAnsi"/>
          <w:i/>
          <w:iCs/>
          <w:sz w:val="26"/>
          <w:szCs w:val="26"/>
        </w:rPr>
        <w:t>PUC</w:t>
      </w:r>
      <w:r w:rsidR="00DE6C03" w:rsidRPr="00DE6C03">
        <w:rPr>
          <w:rFonts w:eastAsiaTheme="minorHAnsi"/>
          <w:iCs/>
          <w:sz w:val="26"/>
          <w:szCs w:val="26"/>
        </w:rPr>
        <w:t>, 746 A.2d 1196</w:t>
      </w:r>
      <w:r w:rsidR="00605F7A">
        <w:rPr>
          <w:rFonts w:eastAsiaTheme="minorHAnsi"/>
          <w:iCs/>
          <w:sz w:val="26"/>
          <w:szCs w:val="26"/>
        </w:rPr>
        <w:t xml:space="preserve"> (</w:t>
      </w:r>
      <w:r w:rsidR="00605F7A" w:rsidRPr="00605F7A">
        <w:rPr>
          <w:rFonts w:eastAsiaTheme="minorHAnsi"/>
          <w:i/>
          <w:sz w:val="26"/>
          <w:szCs w:val="26"/>
        </w:rPr>
        <w:t>MAPSA</w:t>
      </w:r>
      <w:r w:rsidR="00605F7A">
        <w:rPr>
          <w:rFonts w:eastAsiaTheme="minorHAnsi"/>
          <w:iCs/>
          <w:sz w:val="26"/>
          <w:szCs w:val="26"/>
        </w:rPr>
        <w:t>)</w:t>
      </w:r>
      <w:r w:rsidR="00D07627">
        <w:rPr>
          <w:rFonts w:eastAsiaTheme="minorHAnsi"/>
          <w:iCs/>
          <w:sz w:val="26"/>
          <w:szCs w:val="26"/>
        </w:rPr>
        <w:t xml:space="preserve"> </w:t>
      </w:r>
      <w:r w:rsidR="00337312">
        <w:rPr>
          <w:rFonts w:eastAsiaTheme="minorHAnsi"/>
          <w:iCs/>
          <w:sz w:val="26"/>
          <w:szCs w:val="26"/>
        </w:rPr>
        <w:t>to contend</w:t>
      </w:r>
      <w:r w:rsidR="00D07627">
        <w:rPr>
          <w:rFonts w:eastAsiaTheme="minorHAnsi"/>
          <w:iCs/>
          <w:sz w:val="26"/>
          <w:szCs w:val="26"/>
        </w:rPr>
        <w:t xml:space="preserve"> that PPL may not represent the interests of its distribution customers.  </w:t>
      </w:r>
      <w:r w:rsidR="00605F7A">
        <w:rPr>
          <w:rFonts w:eastAsiaTheme="minorHAnsi"/>
          <w:iCs/>
          <w:sz w:val="26"/>
          <w:szCs w:val="26"/>
        </w:rPr>
        <w:t xml:space="preserve">Discount </w:t>
      </w:r>
      <w:r w:rsidR="0059658A">
        <w:rPr>
          <w:rFonts w:eastAsiaTheme="minorHAnsi"/>
          <w:iCs/>
          <w:sz w:val="26"/>
          <w:szCs w:val="26"/>
        </w:rPr>
        <w:t>elaborate</w:t>
      </w:r>
      <w:r w:rsidR="00605F7A">
        <w:rPr>
          <w:rFonts w:eastAsiaTheme="minorHAnsi"/>
          <w:iCs/>
          <w:sz w:val="26"/>
          <w:szCs w:val="26"/>
        </w:rPr>
        <w:t xml:space="preserve">s that, in </w:t>
      </w:r>
      <w:r w:rsidR="00605F7A" w:rsidRPr="00C23C68">
        <w:rPr>
          <w:rFonts w:eastAsiaTheme="minorHAnsi"/>
          <w:i/>
          <w:sz w:val="26"/>
          <w:szCs w:val="26"/>
        </w:rPr>
        <w:t>MAPSA</w:t>
      </w:r>
      <w:r w:rsidR="00605F7A">
        <w:rPr>
          <w:rFonts w:eastAsiaTheme="minorHAnsi"/>
          <w:iCs/>
          <w:sz w:val="26"/>
          <w:szCs w:val="26"/>
        </w:rPr>
        <w:t>, the Commonwealth Court</w:t>
      </w:r>
      <w:r w:rsidR="00CC29EB">
        <w:rPr>
          <w:rFonts w:eastAsiaTheme="minorHAnsi"/>
          <w:iCs/>
          <w:sz w:val="26"/>
          <w:szCs w:val="26"/>
        </w:rPr>
        <w:t xml:space="preserve"> of Pennsylvania</w:t>
      </w:r>
      <w:r w:rsidR="00605F7A">
        <w:rPr>
          <w:rFonts w:eastAsiaTheme="minorHAnsi"/>
          <w:iCs/>
          <w:sz w:val="26"/>
          <w:szCs w:val="26"/>
        </w:rPr>
        <w:t xml:space="preserve"> </w:t>
      </w:r>
      <w:r w:rsidR="005C4043">
        <w:rPr>
          <w:rFonts w:eastAsiaTheme="minorHAnsi"/>
          <w:iCs/>
          <w:sz w:val="26"/>
          <w:szCs w:val="26"/>
        </w:rPr>
        <w:t>(</w:t>
      </w:r>
      <w:r w:rsidR="00CC29EB">
        <w:rPr>
          <w:rFonts w:eastAsiaTheme="minorHAnsi"/>
          <w:iCs/>
          <w:sz w:val="26"/>
          <w:szCs w:val="26"/>
        </w:rPr>
        <w:t xml:space="preserve">Commonwealth </w:t>
      </w:r>
      <w:r w:rsidR="005C4043">
        <w:rPr>
          <w:rFonts w:eastAsiaTheme="minorHAnsi"/>
          <w:iCs/>
          <w:sz w:val="26"/>
          <w:szCs w:val="26"/>
        </w:rPr>
        <w:t>Court)</w:t>
      </w:r>
      <w:r w:rsidR="00CC29EB">
        <w:rPr>
          <w:rFonts w:eastAsiaTheme="minorHAnsi"/>
          <w:iCs/>
          <w:sz w:val="26"/>
          <w:szCs w:val="26"/>
        </w:rPr>
        <w:t xml:space="preserve"> </w:t>
      </w:r>
      <w:r w:rsidR="004D7623">
        <w:rPr>
          <w:rFonts w:eastAsiaTheme="minorHAnsi"/>
          <w:iCs/>
          <w:sz w:val="26"/>
          <w:szCs w:val="26"/>
        </w:rPr>
        <w:t xml:space="preserve">reviewed a Commission </w:t>
      </w:r>
      <w:r w:rsidR="00EB400E">
        <w:rPr>
          <w:rFonts w:eastAsiaTheme="minorHAnsi"/>
          <w:iCs/>
          <w:sz w:val="26"/>
          <w:szCs w:val="26"/>
        </w:rPr>
        <w:t>o</w:t>
      </w:r>
      <w:r w:rsidR="004D7623">
        <w:rPr>
          <w:rFonts w:eastAsiaTheme="minorHAnsi"/>
          <w:iCs/>
          <w:sz w:val="26"/>
          <w:szCs w:val="26"/>
        </w:rPr>
        <w:t xml:space="preserve">rder </w:t>
      </w:r>
      <w:r w:rsidR="00BA006B">
        <w:rPr>
          <w:rFonts w:eastAsiaTheme="minorHAnsi"/>
          <w:iCs/>
          <w:sz w:val="26"/>
          <w:szCs w:val="26"/>
        </w:rPr>
        <w:t>which established</w:t>
      </w:r>
      <w:r w:rsidR="004D7623">
        <w:rPr>
          <w:rFonts w:eastAsiaTheme="minorHAnsi"/>
          <w:iCs/>
          <w:sz w:val="26"/>
          <w:szCs w:val="26"/>
        </w:rPr>
        <w:t xml:space="preserve"> electric </w:t>
      </w:r>
      <w:r w:rsidR="00C23C68">
        <w:rPr>
          <w:rFonts w:eastAsiaTheme="minorHAnsi"/>
          <w:iCs/>
          <w:sz w:val="26"/>
          <w:szCs w:val="26"/>
        </w:rPr>
        <w:t xml:space="preserve">choice policies regarding </w:t>
      </w:r>
      <w:r w:rsidR="00C23C68">
        <w:rPr>
          <w:rFonts w:eastAsiaTheme="minorHAnsi"/>
          <w:iCs/>
          <w:sz w:val="26"/>
          <w:szCs w:val="26"/>
        </w:rPr>
        <w:lastRenderedPageBreak/>
        <w:t>the sharing of customer information by PECO with electric suppliers and</w:t>
      </w:r>
      <w:r w:rsidR="00EB400E">
        <w:rPr>
          <w:rFonts w:eastAsiaTheme="minorHAnsi"/>
          <w:iCs/>
          <w:sz w:val="26"/>
          <w:szCs w:val="26"/>
        </w:rPr>
        <w:t>, in addressing PECO’s claim that the Commission’s order did not adequately protect its customers’ privacy rights, the Court held that PECO d</w:t>
      </w:r>
      <w:r w:rsidR="002F6F95">
        <w:rPr>
          <w:rFonts w:eastAsiaTheme="minorHAnsi"/>
          <w:iCs/>
          <w:sz w:val="26"/>
          <w:szCs w:val="26"/>
        </w:rPr>
        <w:t>oes not represent the interests of its customers and, therefore, d</w:t>
      </w:r>
      <w:r w:rsidR="00327404">
        <w:rPr>
          <w:rFonts w:eastAsiaTheme="minorHAnsi"/>
          <w:iCs/>
          <w:sz w:val="26"/>
          <w:szCs w:val="26"/>
        </w:rPr>
        <w:t>oes</w:t>
      </w:r>
      <w:r w:rsidR="002F6F95">
        <w:rPr>
          <w:rFonts w:eastAsiaTheme="minorHAnsi"/>
          <w:iCs/>
          <w:sz w:val="26"/>
          <w:szCs w:val="26"/>
        </w:rPr>
        <w:t xml:space="preserve"> not have standing.</w:t>
      </w:r>
      <w:r w:rsidR="00EB400E">
        <w:rPr>
          <w:rFonts w:eastAsiaTheme="minorHAnsi"/>
          <w:iCs/>
          <w:sz w:val="26"/>
          <w:szCs w:val="26"/>
        </w:rPr>
        <w:t xml:space="preserve">  </w:t>
      </w:r>
      <w:bookmarkStart w:id="24" w:name="_Hlk92281145"/>
      <w:r w:rsidR="00B36311">
        <w:rPr>
          <w:rFonts w:eastAsiaTheme="minorHAnsi"/>
          <w:iCs/>
          <w:sz w:val="26"/>
          <w:szCs w:val="26"/>
        </w:rPr>
        <w:t>DP</w:t>
      </w:r>
      <w:r w:rsidR="006E6553">
        <w:rPr>
          <w:rFonts w:eastAsiaTheme="minorHAnsi"/>
          <w:iCs/>
          <w:sz w:val="26"/>
          <w:szCs w:val="26"/>
        </w:rPr>
        <w:t>I</w:t>
      </w:r>
      <w:r w:rsidR="00F146B7" w:rsidRPr="00C40FC3">
        <w:rPr>
          <w:rFonts w:eastAsiaTheme="minorHAnsi"/>
          <w:iCs/>
          <w:sz w:val="26"/>
          <w:szCs w:val="26"/>
        </w:rPr>
        <w:t xml:space="preserve"> Motion to Strike PP</w:t>
      </w:r>
      <w:r w:rsidR="00833742">
        <w:rPr>
          <w:rFonts w:eastAsiaTheme="minorHAnsi"/>
          <w:iCs/>
          <w:sz w:val="26"/>
          <w:szCs w:val="26"/>
        </w:rPr>
        <w:t>L</w:t>
      </w:r>
      <w:r w:rsidR="00F146B7" w:rsidRPr="00C40FC3">
        <w:rPr>
          <w:rFonts w:eastAsiaTheme="minorHAnsi"/>
          <w:iCs/>
          <w:sz w:val="26"/>
          <w:szCs w:val="26"/>
        </w:rPr>
        <w:t xml:space="preserve"> Comments at </w:t>
      </w:r>
      <w:bookmarkEnd w:id="24"/>
      <w:r w:rsidR="00F146B7">
        <w:rPr>
          <w:rFonts w:eastAsiaTheme="minorHAnsi"/>
          <w:iCs/>
          <w:sz w:val="26"/>
          <w:szCs w:val="26"/>
        </w:rPr>
        <w:t>5</w:t>
      </w:r>
      <w:r w:rsidR="00157AD0">
        <w:rPr>
          <w:rFonts w:eastAsiaTheme="minorHAnsi"/>
          <w:iCs/>
          <w:sz w:val="26"/>
          <w:szCs w:val="26"/>
        </w:rPr>
        <w:t xml:space="preserve">-6 (citing </w:t>
      </w:r>
      <w:r w:rsidR="00157AD0" w:rsidRPr="00C50310">
        <w:rPr>
          <w:rFonts w:eastAsiaTheme="minorHAnsi"/>
          <w:i/>
          <w:sz w:val="26"/>
          <w:szCs w:val="26"/>
        </w:rPr>
        <w:t>MAPSA</w:t>
      </w:r>
      <w:r w:rsidR="00157AD0">
        <w:rPr>
          <w:rFonts w:eastAsiaTheme="minorHAnsi"/>
          <w:iCs/>
          <w:sz w:val="26"/>
          <w:szCs w:val="26"/>
        </w:rPr>
        <w:t xml:space="preserve"> at 1200)</w:t>
      </w:r>
      <w:r w:rsidR="00F146B7" w:rsidRPr="00C40FC3">
        <w:rPr>
          <w:rFonts w:eastAsiaTheme="minorHAnsi"/>
          <w:iCs/>
          <w:sz w:val="26"/>
          <w:szCs w:val="26"/>
        </w:rPr>
        <w:t>.</w:t>
      </w:r>
      <w:r w:rsidR="00157AD0">
        <w:rPr>
          <w:rFonts w:eastAsiaTheme="minorHAnsi"/>
          <w:iCs/>
          <w:sz w:val="26"/>
          <w:szCs w:val="26"/>
        </w:rPr>
        <w:t xml:space="preserve">  </w:t>
      </w:r>
      <w:r w:rsidR="00327404">
        <w:rPr>
          <w:rFonts w:eastAsiaTheme="minorHAnsi"/>
          <w:iCs/>
          <w:sz w:val="26"/>
          <w:szCs w:val="26"/>
        </w:rPr>
        <w:t xml:space="preserve">Discount </w:t>
      </w:r>
      <w:r w:rsidR="00EC658D">
        <w:rPr>
          <w:rFonts w:eastAsiaTheme="minorHAnsi"/>
          <w:iCs/>
          <w:sz w:val="26"/>
          <w:szCs w:val="26"/>
        </w:rPr>
        <w:t>further notes that</w:t>
      </w:r>
      <w:r w:rsidR="00327404">
        <w:rPr>
          <w:rFonts w:eastAsiaTheme="minorHAnsi"/>
          <w:iCs/>
          <w:sz w:val="26"/>
          <w:szCs w:val="26"/>
        </w:rPr>
        <w:t>,</w:t>
      </w:r>
      <w:r w:rsidR="00157AD0">
        <w:rPr>
          <w:rFonts w:eastAsiaTheme="minorHAnsi"/>
          <w:iCs/>
          <w:sz w:val="26"/>
          <w:szCs w:val="26"/>
        </w:rPr>
        <w:t xml:space="preserve"> in </w:t>
      </w:r>
      <w:r w:rsidR="00157AD0" w:rsidRPr="00CC29EB">
        <w:rPr>
          <w:rFonts w:eastAsiaTheme="minorHAnsi"/>
          <w:i/>
          <w:sz w:val="26"/>
          <w:szCs w:val="26"/>
        </w:rPr>
        <w:t>MAPSA</w:t>
      </w:r>
      <w:r w:rsidR="00157AD0">
        <w:rPr>
          <w:rFonts w:eastAsiaTheme="minorHAnsi"/>
          <w:iCs/>
          <w:sz w:val="26"/>
          <w:szCs w:val="26"/>
        </w:rPr>
        <w:t xml:space="preserve">, </w:t>
      </w:r>
      <w:r w:rsidR="005C4043">
        <w:rPr>
          <w:rFonts w:eastAsiaTheme="minorHAnsi"/>
          <w:iCs/>
          <w:sz w:val="26"/>
          <w:szCs w:val="26"/>
        </w:rPr>
        <w:t xml:space="preserve">the </w:t>
      </w:r>
      <w:r w:rsidR="00CC29EB">
        <w:rPr>
          <w:rFonts w:eastAsiaTheme="minorHAnsi"/>
          <w:iCs/>
          <w:sz w:val="26"/>
          <w:szCs w:val="26"/>
        </w:rPr>
        <w:t xml:space="preserve">Commonwealth Court cited </w:t>
      </w:r>
      <w:r w:rsidR="005F564B" w:rsidRPr="005F564B">
        <w:rPr>
          <w:rFonts w:eastAsiaTheme="minorHAnsi"/>
          <w:i/>
          <w:iCs/>
          <w:sz w:val="26"/>
          <w:szCs w:val="26"/>
        </w:rPr>
        <w:t>Pennsylvania Dental Assoc</w:t>
      </w:r>
      <w:r w:rsidR="005F564B">
        <w:rPr>
          <w:rFonts w:eastAsiaTheme="minorHAnsi"/>
          <w:i/>
          <w:iCs/>
          <w:sz w:val="26"/>
          <w:szCs w:val="26"/>
        </w:rPr>
        <w:t>iation</w:t>
      </w:r>
      <w:r w:rsidR="005F564B" w:rsidRPr="005F564B">
        <w:rPr>
          <w:rFonts w:eastAsiaTheme="minorHAnsi"/>
          <w:i/>
          <w:iCs/>
          <w:sz w:val="26"/>
          <w:szCs w:val="26"/>
        </w:rPr>
        <w:t xml:space="preserve"> v. Commonwealth of Pennsylvania, Department of Health</w:t>
      </w:r>
      <w:r w:rsidR="005F564B" w:rsidRPr="005F564B">
        <w:rPr>
          <w:rFonts w:eastAsiaTheme="minorHAnsi"/>
          <w:iCs/>
          <w:sz w:val="26"/>
          <w:szCs w:val="26"/>
        </w:rPr>
        <w:t>, 75 Pa. Commw. 7, 461 A.2d 329</w:t>
      </w:r>
      <w:r w:rsidR="00CC29EB">
        <w:rPr>
          <w:rFonts w:eastAsiaTheme="minorHAnsi"/>
          <w:iCs/>
          <w:sz w:val="26"/>
          <w:szCs w:val="26"/>
        </w:rPr>
        <w:t xml:space="preserve">, which emphasized that a party may not claim standing to </w:t>
      </w:r>
      <w:r w:rsidR="004A5A3B">
        <w:rPr>
          <w:rFonts w:eastAsiaTheme="minorHAnsi"/>
          <w:iCs/>
          <w:sz w:val="26"/>
          <w:szCs w:val="26"/>
        </w:rPr>
        <w:t>absolve the rights of a third</w:t>
      </w:r>
      <w:r w:rsidR="0093208D">
        <w:rPr>
          <w:rFonts w:eastAsiaTheme="minorHAnsi"/>
          <w:iCs/>
          <w:sz w:val="26"/>
          <w:szCs w:val="26"/>
        </w:rPr>
        <w:t>-</w:t>
      </w:r>
      <w:r w:rsidR="004A5A3B">
        <w:rPr>
          <w:rFonts w:eastAsiaTheme="minorHAnsi"/>
          <w:iCs/>
          <w:sz w:val="26"/>
          <w:szCs w:val="26"/>
        </w:rPr>
        <w:t xml:space="preserve">party who has an opportunity to be heard.  </w:t>
      </w:r>
      <w:r w:rsidR="004A546D">
        <w:rPr>
          <w:rFonts w:eastAsiaTheme="minorHAnsi"/>
          <w:iCs/>
          <w:sz w:val="26"/>
          <w:szCs w:val="26"/>
        </w:rPr>
        <w:t xml:space="preserve">Here, </w:t>
      </w:r>
      <w:r w:rsidR="00D6484D">
        <w:rPr>
          <w:rFonts w:eastAsiaTheme="minorHAnsi"/>
          <w:iCs/>
          <w:sz w:val="26"/>
          <w:szCs w:val="26"/>
        </w:rPr>
        <w:t xml:space="preserve">Discount </w:t>
      </w:r>
      <w:r w:rsidR="00EC658D">
        <w:rPr>
          <w:rFonts w:eastAsiaTheme="minorHAnsi"/>
          <w:iCs/>
          <w:sz w:val="26"/>
          <w:szCs w:val="26"/>
        </w:rPr>
        <w:t>continues</w:t>
      </w:r>
      <w:r w:rsidR="00F87585">
        <w:rPr>
          <w:rFonts w:eastAsiaTheme="minorHAnsi"/>
          <w:iCs/>
          <w:sz w:val="26"/>
          <w:szCs w:val="26"/>
        </w:rPr>
        <w:t>,</w:t>
      </w:r>
      <w:r w:rsidR="00E73ECF">
        <w:rPr>
          <w:rFonts w:eastAsiaTheme="minorHAnsi"/>
          <w:iCs/>
          <w:sz w:val="26"/>
          <w:szCs w:val="26"/>
        </w:rPr>
        <w:t xml:space="preserve"> </w:t>
      </w:r>
      <w:r w:rsidR="005E094F">
        <w:rPr>
          <w:rFonts w:eastAsiaTheme="minorHAnsi"/>
          <w:iCs/>
          <w:sz w:val="26"/>
          <w:szCs w:val="26"/>
        </w:rPr>
        <w:t>upon</w:t>
      </w:r>
      <w:r w:rsidR="00E73ECF">
        <w:rPr>
          <w:rFonts w:eastAsiaTheme="minorHAnsi"/>
          <w:iCs/>
          <w:sz w:val="26"/>
          <w:szCs w:val="26"/>
        </w:rPr>
        <w:t xml:space="preserve"> t</w:t>
      </w:r>
      <w:r w:rsidR="00D6484D">
        <w:rPr>
          <w:rFonts w:eastAsiaTheme="minorHAnsi"/>
          <w:iCs/>
          <w:sz w:val="26"/>
          <w:szCs w:val="26"/>
        </w:rPr>
        <w:t xml:space="preserve">he publication of the Settlement </w:t>
      </w:r>
      <w:r w:rsidR="00C72F9B">
        <w:rPr>
          <w:rFonts w:eastAsiaTheme="minorHAnsi"/>
          <w:iCs/>
          <w:sz w:val="26"/>
          <w:szCs w:val="26"/>
        </w:rPr>
        <w:t xml:space="preserve">in the </w:t>
      </w:r>
      <w:r w:rsidR="00C72F9B" w:rsidRPr="00C72F9B">
        <w:rPr>
          <w:rFonts w:eastAsiaTheme="minorHAnsi"/>
          <w:i/>
          <w:sz w:val="26"/>
          <w:szCs w:val="26"/>
        </w:rPr>
        <w:t>Pennsylvania Bulletin</w:t>
      </w:r>
      <w:r w:rsidR="00C72F9B">
        <w:rPr>
          <w:rFonts w:eastAsiaTheme="minorHAnsi"/>
          <w:iCs/>
          <w:sz w:val="26"/>
          <w:szCs w:val="26"/>
        </w:rPr>
        <w:t xml:space="preserve">, </w:t>
      </w:r>
      <w:r w:rsidR="00D6484D">
        <w:rPr>
          <w:rFonts w:eastAsiaTheme="minorHAnsi"/>
          <w:iCs/>
          <w:sz w:val="26"/>
          <w:szCs w:val="26"/>
        </w:rPr>
        <w:t>no consumer or consumer representative proposed that</w:t>
      </w:r>
      <w:r w:rsidR="00C72F9B">
        <w:rPr>
          <w:rFonts w:eastAsiaTheme="minorHAnsi"/>
          <w:iCs/>
          <w:sz w:val="26"/>
          <w:szCs w:val="26"/>
        </w:rPr>
        <w:t xml:space="preserve"> the Commission should impose additional requirements on the Company</w:t>
      </w:r>
      <w:r w:rsidR="00443E8E">
        <w:rPr>
          <w:rFonts w:eastAsiaTheme="minorHAnsi"/>
          <w:iCs/>
          <w:sz w:val="26"/>
          <w:szCs w:val="26"/>
        </w:rPr>
        <w:t xml:space="preserve">.  </w:t>
      </w:r>
      <w:r w:rsidR="00E5021F">
        <w:rPr>
          <w:rFonts w:eastAsiaTheme="minorHAnsi"/>
          <w:iCs/>
          <w:sz w:val="26"/>
          <w:szCs w:val="26"/>
        </w:rPr>
        <w:t>Moreover, Discount claims that PPL</w:t>
      </w:r>
      <w:r w:rsidR="00CA3E5C">
        <w:rPr>
          <w:rFonts w:eastAsiaTheme="minorHAnsi"/>
          <w:iCs/>
          <w:sz w:val="26"/>
          <w:szCs w:val="26"/>
        </w:rPr>
        <w:t>’s</w:t>
      </w:r>
      <w:r w:rsidR="00E5021F">
        <w:rPr>
          <w:rFonts w:eastAsiaTheme="minorHAnsi"/>
          <w:iCs/>
          <w:sz w:val="26"/>
          <w:szCs w:val="26"/>
        </w:rPr>
        <w:t xml:space="preserve"> Comments are “in the nature of proposals that a regulator, attorney general or other enforcement agency might make and seek, at most, to assert a common abstract interest of all citizens, which does not afford a person or entity standing.”  </w:t>
      </w:r>
      <w:r w:rsidR="00443E8E" w:rsidRPr="00443E8E">
        <w:rPr>
          <w:rFonts w:eastAsiaTheme="minorHAnsi"/>
          <w:i/>
          <w:sz w:val="26"/>
          <w:szCs w:val="26"/>
        </w:rPr>
        <w:t>Id.</w:t>
      </w:r>
      <w:r w:rsidR="00443E8E">
        <w:rPr>
          <w:rFonts w:eastAsiaTheme="minorHAnsi"/>
          <w:iCs/>
          <w:sz w:val="26"/>
          <w:szCs w:val="26"/>
        </w:rPr>
        <w:t xml:space="preserve"> at 6.</w:t>
      </w:r>
    </w:p>
    <w:p w14:paraId="60A65222" w14:textId="67A3A352" w:rsidR="00E5021F" w:rsidRDefault="00E5021F" w:rsidP="00F146B7">
      <w:pPr>
        <w:spacing w:line="360" w:lineRule="auto"/>
        <w:ind w:firstLine="1440"/>
        <w:contextualSpacing/>
        <w:rPr>
          <w:rFonts w:eastAsiaTheme="minorHAnsi"/>
          <w:iCs/>
          <w:sz w:val="26"/>
          <w:szCs w:val="26"/>
        </w:rPr>
      </w:pPr>
    </w:p>
    <w:p w14:paraId="2ABE81DA" w14:textId="6C755DA5" w:rsidR="009325C0" w:rsidRDefault="00B25CFC" w:rsidP="00F146B7">
      <w:pPr>
        <w:spacing w:line="360" w:lineRule="auto"/>
        <w:ind w:firstLine="1440"/>
        <w:contextualSpacing/>
        <w:rPr>
          <w:rFonts w:eastAsiaTheme="minorHAnsi"/>
          <w:iCs/>
          <w:sz w:val="26"/>
          <w:szCs w:val="26"/>
        </w:rPr>
      </w:pPr>
      <w:r>
        <w:rPr>
          <w:rFonts w:eastAsiaTheme="minorHAnsi"/>
          <w:iCs/>
          <w:sz w:val="26"/>
          <w:szCs w:val="26"/>
        </w:rPr>
        <w:t xml:space="preserve">Discount </w:t>
      </w:r>
      <w:r w:rsidR="00BC2AC8">
        <w:rPr>
          <w:rFonts w:eastAsiaTheme="minorHAnsi"/>
          <w:iCs/>
          <w:sz w:val="26"/>
          <w:szCs w:val="26"/>
        </w:rPr>
        <w:t xml:space="preserve">also </w:t>
      </w:r>
      <w:r w:rsidR="00562565">
        <w:rPr>
          <w:rFonts w:eastAsiaTheme="minorHAnsi"/>
          <w:iCs/>
          <w:sz w:val="26"/>
          <w:szCs w:val="26"/>
        </w:rPr>
        <w:t>states</w:t>
      </w:r>
      <w:r>
        <w:rPr>
          <w:rFonts w:eastAsiaTheme="minorHAnsi"/>
          <w:iCs/>
          <w:sz w:val="26"/>
          <w:szCs w:val="26"/>
        </w:rPr>
        <w:t xml:space="preserve"> that PPL</w:t>
      </w:r>
      <w:r w:rsidR="00B70119">
        <w:rPr>
          <w:rFonts w:eastAsiaTheme="minorHAnsi"/>
          <w:iCs/>
          <w:sz w:val="26"/>
          <w:szCs w:val="26"/>
        </w:rPr>
        <w:t xml:space="preserve"> does not characterize its</w:t>
      </w:r>
      <w:r>
        <w:rPr>
          <w:rFonts w:eastAsiaTheme="minorHAnsi"/>
          <w:iCs/>
          <w:sz w:val="26"/>
          <w:szCs w:val="26"/>
        </w:rPr>
        <w:t xml:space="preserve"> proposed modifications to the Settlement </w:t>
      </w:r>
      <w:r w:rsidR="00B70119">
        <w:rPr>
          <w:rFonts w:eastAsiaTheme="minorHAnsi"/>
          <w:iCs/>
          <w:sz w:val="26"/>
          <w:szCs w:val="26"/>
        </w:rPr>
        <w:t xml:space="preserve">as being </w:t>
      </w:r>
      <w:r w:rsidR="00B70119" w:rsidRPr="004809D9">
        <w:rPr>
          <w:rFonts w:eastAsiaTheme="minorHAnsi"/>
          <w:iCs/>
          <w:sz w:val="26"/>
          <w:szCs w:val="26"/>
        </w:rPr>
        <w:t>necessary to satisfy the standard of whether the terms</w:t>
      </w:r>
      <w:r w:rsidR="00E36A7F" w:rsidRPr="004809D9">
        <w:rPr>
          <w:rFonts w:eastAsiaTheme="minorHAnsi"/>
          <w:iCs/>
          <w:sz w:val="26"/>
          <w:szCs w:val="26"/>
        </w:rPr>
        <w:t xml:space="preserve"> of the Settlement</w:t>
      </w:r>
      <w:r w:rsidR="00B70119" w:rsidRPr="004809D9">
        <w:rPr>
          <w:rFonts w:eastAsiaTheme="minorHAnsi"/>
          <w:iCs/>
          <w:sz w:val="26"/>
          <w:szCs w:val="26"/>
        </w:rPr>
        <w:t xml:space="preserve"> are in the public interest.</w:t>
      </w:r>
      <w:r w:rsidR="00562565">
        <w:rPr>
          <w:rFonts w:eastAsiaTheme="minorHAnsi"/>
          <w:iCs/>
          <w:sz w:val="26"/>
          <w:szCs w:val="26"/>
        </w:rPr>
        <w:t xml:space="preserve">  Discount argues that</w:t>
      </w:r>
      <w:r w:rsidR="00906095">
        <w:rPr>
          <w:rFonts w:eastAsiaTheme="minorHAnsi"/>
          <w:iCs/>
          <w:sz w:val="26"/>
          <w:szCs w:val="26"/>
        </w:rPr>
        <w:t xml:space="preserve">, </w:t>
      </w:r>
      <w:r w:rsidR="002A58CD">
        <w:rPr>
          <w:rFonts w:eastAsiaTheme="minorHAnsi"/>
          <w:iCs/>
          <w:sz w:val="26"/>
          <w:szCs w:val="26"/>
        </w:rPr>
        <w:t xml:space="preserve">to </w:t>
      </w:r>
      <w:r w:rsidR="002A58CD" w:rsidRPr="00A84357">
        <w:rPr>
          <w:rFonts w:eastAsiaTheme="minorHAnsi"/>
          <w:iCs/>
          <w:sz w:val="26"/>
          <w:szCs w:val="26"/>
        </w:rPr>
        <w:t xml:space="preserve">determine that imposing additional requirements on an entity would </w:t>
      </w:r>
      <w:r w:rsidR="002A58CD">
        <w:rPr>
          <w:rFonts w:eastAsiaTheme="minorHAnsi"/>
          <w:iCs/>
          <w:sz w:val="26"/>
          <w:szCs w:val="26"/>
        </w:rPr>
        <w:t>strengthen</w:t>
      </w:r>
      <w:r w:rsidR="002A58CD" w:rsidRPr="00A84357">
        <w:rPr>
          <w:rFonts w:eastAsiaTheme="minorHAnsi"/>
          <w:iCs/>
          <w:sz w:val="26"/>
          <w:szCs w:val="26"/>
        </w:rPr>
        <w:t xml:space="preserve"> the </w:t>
      </w:r>
      <w:r w:rsidR="002A58CD">
        <w:rPr>
          <w:rFonts w:eastAsiaTheme="minorHAnsi"/>
          <w:iCs/>
          <w:sz w:val="26"/>
          <w:szCs w:val="26"/>
        </w:rPr>
        <w:t>Settlement terms is</w:t>
      </w:r>
      <w:r w:rsidR="00B67264" w:rsidRPr="00A84357">
        <w:rPr>
          <w:rFonts w:eastAsiaTheme="minorHAnsi"/>
          <w:iCs/>
          <w:sz w:val="26"/>
          <w:szCs w:val="26"/>
        </w:rPr>
        <w:t xml:space="preserve"> beyond </w:t>
      </w:r>
      <w:r w:rsidR="000E4553">
        <w:rPr>
          <w:rFonts w:eastAsiaTheme="minorHAnsi"/>
          <w:iCs/>
          <w:sz w:val="26"/>
          <w:szCs w:val="26"/>
        </w:rPr>
        <w:t xml:space="preserve">the Commission’s </w:t>
      </w:r>
      <w:r w:rsidR="00B67264" w:rsidRPr="00A84357">
        <w:rPr>
          <w:rFonts w:eastAsiaTheme="minorHAnsi"/>
          <w:iCs/>
          <w:sz w:val="26"/>
          <w:szCs w:val="26"/>
        </w:rPr>
        <w:t xml:space="preserve">review </w:t>
      </w:r>
      <w:r w:rsidR="00B67264">
        <w:rPr>
          <w:rFonts w:eastAsiaTheme="minorHAnsi"/>
          <w:iCs/>
          <w:sz w:val="26"/>
          <w:szCs w:val="26"/>
        </w:rPr>
        <w:t xml:space="preserve">of whether </w:t>
      </w:r>
      <w:r w:rsidR="00B67264" w:rsidRPr="00A84357">
        <w:rPr>
          <w:rFonts w:eastAsiaTheme="minorHAnsi"/>
          <w:iCs/>
          <w:sz w:val="26"/>
          <w:szCs w:val="26"/>
        </w:rPr>
        <w:t xml:space="preserve">the terms of </w:t>
      </w:r>
      <w:r w:rsidR="00B67264">
        <w:rPr>
          <w:rFonts w:eastAsiaTheme="minorHAnsi"/>
          <w:iCs/>
          <w:sz w:val="26"/>
          <w:szCs w:val="26"/>
        </w:rPr>
        <w:t>the S</w:t>
      </w:r>
      <w:r w:rsidR="00B67264" w:rsidRPr="00A84357">
        <w:rPr>
          <w:rFonts w:eastAsiaTheme="minorHAnsi"/>
          <w:iCs/>
          <w:sz w:val="26"/>
          <w:szCs w:val="26"/>
        </w:rPr>
        <w:t>ettlement are reasonable and in the public interest</w:t>
      </w:r>
      <w:r w:rsidR="00ED0355">
        <w:rPr>
          <w:rFonts w:eastAsiaTheme="minorHAnsi"/>
          <w:iCs/>
          <w:sz w:val="26"/>
          <w:szCs w:val="26"/>
        </w:rPr>
        <w:t xml:space="preserve"> </w:t>
      </w:r>
      <w:r w:rsidR="002A58CD">
        <w:rPr>
          <w:rFonts w:eastAsiaTheme="minorHAnsi"/>
          <w:iCs/>
          <w:sz w:val="26"/>
          <w:szCs w:val="26"/>
        </w:rPr>
        <w:t>and, therefore,</w:t>
      </w:r>
      <w:r w:rsidR="00AD0A70">
        <w:rPr>
          <w:rFonts w:eastAsiaTheme="minorHAnsi"/>
          <w:iCs/>
          <w:sz w:val="26"/>
          <w:szCs w:val="26"/>
        </w:rPr>
        <w:t xml:space="preserve"> would</w:t>
      </w:r>
      <w:r w:rsidR="00A84357" w:rsidRPr="00A84357">
        <w:rPr>
          <w:rFonts w:eastAsiaTheme="minorHAnsi"/>
          <w:iCs/>
          <w:sz w:val="26"/>
          <w:szCs w:val="26"/>
        </w:rPr>
        <w:t xml:space="preserve"> be inconsistent.  </w:t>
      </w:r>
      <w:r w:rsidR="003C259D">
        <w:rPr>
          <w:rFonts w:eastAsiaTheme="minorHAnsi"/>
          <w:iCs/>
          <w:sz w:val="26"/>
          <w:szCs w:val="26"/>
        </w:rPr>
        <w:t xml:space="preserve">Further, </w:t>
      </w:r>
      <w:r w:rsidR="00583B46">
        <w:rPr>
          <w:rFonts w:eastAsiaTheme="minorHAnsi"/>
          <w:iCs/>
          <w:sz w:val="26"/>
          <w:szCs w:val="26"/>
        </w:rPr>
        <w:t xml:space="preserve">Discount </w:t>
      </w:r>
      <w:r w:rsidR="003C259D">
        <w:rPr>
          <w:rFonts w:eastAsiaTheme="minorHAnsi"/>
          <w:iCs/>
          <w:sz w:val="26"/>
          <w:szCs w:val="26"/>
        </w:rPr>
        <w:t>co</w:t>
      </w:r>
      <w:r w:rsidR="007C73D4">
        <w:rPr>
          <w:rFonts w:eastAsiaTheme="minorHAnsi"/>
          <w:iCs/>
          <w:sz w:val="26"/>
          <w:szCs w:val="26"/>
        </w:rPr>
        <w:t>ntend</w:t>
      </w:r>
      <w:r w:rsidR="003C259D">
        <w:rPr>
          <w:rFonts w:eastAsiaTheme="minorHAnsi"/>
          <w:iCs/>
          <w:sz w:val="26"/>
          <w:szCs w:val="26"/>
        </w:rPr>
        <w:t>s</w:t>
      </w:r>
      <w:r w:rsidR="00583B46">
        <w:rPr>
          <w:rFonts w:eastAsiaTheme="minorHAnsi"/>
          <w:iCs/>
          <w:sz w:val="26"/>
          <w:szCs w:val="26"/>
        </w:rPr>
        <w:t xml:space="preserve"> that</w:t>
      </w:r>
      <w:r w:rsidR="00A84357" w:rsidRPr="00A84357">
        <w:rPr>
          <w:rFonts w:eastAsiaTheme="minorHAnsi"/>
          <w:iCs/>
          <w:sz w:val="26"/>
          <w:szCs w:val="26"/>
        </w:rPr>
        <w:t xml:space="preserve"> any settlement could be strengthened by </w:t>
      </w:r>
      <w:r w:rsidR="00583B46">
        <w:rPr>
          <w:rFonts w:eastAsiaTheme="minorHAnsi"/>
          <w:iCs/>
          <w:sz w:val="26"/>
          <w:szCs w:val="26"/>
        </w:rPr>
        <w:t>additional</w:t>
      </w:r>
      <w:r w:rsidR="00A84357" w:rsidRPr="00A84357">
        <w:rPr>
          <w:rFonts w:eastAsiaTheme="minorHAnsi"/>
          <w:iCs/>
          <w:sz w:val="26"/>
          <w:szCs w:val="26"/>
        </w:rPr>
        <w:t xml:space="preserve"> conditions</w:t>
      </w:r>
      <w:r w:rsidR="00583B46">
        <w:rPr>
          <w:rFonts w:eastAsiaTheme="minorHAnsi"/>
          <w:iCs/>
          <w:sz w:val="26"/>
          <w:szCs w:val="26"/>
        </w:rPr>
        <w:t xml:space="preserve"> and </w:t>
      </w:r>
      <w:r w:rsidR="00A84357" w:rsidRPr="00A84357">
        <w:rPr>
          <w:rFonts w:eastAsiaTheme="minorHAnsi"/>
          <w:iCs/>
          <w:sz w:val="26"/>
          <w:szCs w:val="26"/>
        </w:rPr>
        <w:t xml:space="preserve">modifying settlements to add or enhance certain regulatory obligations is not conducive to the </w:t>
      </w:r>
      <w:r w:rsidR="00583B46">
        <w:rPr>
          <w:rFonts w:eastAsiaTheme="minorHAnsi"/>
          <w:iCs/>
          <w:sz w:val="26"/>
          <w:szCs w:val="26"/>
        </w:rPr>
        <w:t xml:space="preserve">Commission’s </w:t>
      </w:r>
      <w:r w:rsidR="00A84357" w:rsidRPr="00A84357">
        <w:rPr>
          <w:rFonts w:eastAsiaTheme="minorHAnsi"/>
          <w:iCs/>
          <w:sz w:val="26"/>
          <w:szCs w:val="26"/>
        </w:rPr>
        <w:t xml:space="preserve">settlement process.  Moreover, </w:t>
      </w:r>
      <w:r w:rsidR="003C259D">
        <w:rPr>
          <w:rFonts w:eastAsiaTheme="minorHAnsi"/>
          <w:iCs/>
          <w:sz w:val="26"/>
          <w:szCs w:val="26"/>
        </w:rPr>
        <w:t xml:space="preserve">Discount argues that </w:t>
      </w:r>
      <w:r w:rsidR="00A84357" w:rsidRPr="00A84357">
        <w:rPr>
          <w:rFonts w:eastAsiaTheme="minorHAnsi"/>
          <w:iCs/>
          <w:sz w:val="26"/>
          <w:szCs w:val="26"/>
        </w:rPr>
        <w:t>the</w:t>
      </w:r>
      <w:r w:rsidR="00FF1379">
        <w:rPr>
          <w:rFonts w:eastAsiaTheme="minorHAnsi"/>
          <w:iCs/>
          <w:sz w:val="26"/>
          <w:szCs w:val="26"/>
        </w:rPr>
        <w:t xml:space="preserve"> pertinent</w:t>
      </w:r>
      <w:r w:rsidR="00A84357" w:rsidRPr="00A84357">
        <w:rPr>
          <w:rFonts w:eastAsiaTheme="minorHAnsi"/>
          <w:iCs/>
          <w:sz w:val="26"/>
          <w:szCs w:val="26"/>
        </w:rPr>
        <w:t xml:space="preserve"> standard is whether the </w:t>
      </w:r>
      <w:r w:rsidR="00460FE8">
        <w:rPr>
          <w:rFonts w:eastAsiaTheme="minorHAnsi"/>
          <w:iCs/>
          <w:sz w:val="26"/>
          <w:szCs w:val="26"/>
        </w:rPr>
        <w:t>S</w:t>
      </w:r>
      <w:r w:rsidR="00A84357" w:rsidRPr="00A84357">
        <w:rPr>
          <w:rFonts w:eastAsiaTheme="minorHAnsi"/>
          <w:iCs/>
          <w:sz w:val="26"/>
          <w:szCs w:val="26"/>
        </w:rPr>
        <w:t xml:space="preserve">ettlement provisions, when viewed together and </w:t>
      </w:r>
      <w:r w:rsidR="00820771">
        <w:rPr>
          <w:rFonts w:eastAsiaTheme="minorHAnsi"/>
          <w:iCs/>
          <w:sz w:val="26"/>
          <w:szCs w:val="26"/>
        </w:rPr>
        <w:t>given</w:t>
      </w:r>
      <w:r w:rsidR="00A84357" w:rsidRPr="00A84357">
        <w:rPr>
          <w:rFonts w:eastAsiaTheme="minorHAnsi"/>
          <w:iCs/>
          <w:sz w:val="26"/>
          <w:szCs w:val="26"/>
        </w:rPr>
        <w:t xml:space="preserve"> the factors outlined in the Policy Statement, adequately address the allegations investigated by I&amp;E</w:t>
      </w:r>
      <w:r w:rsidR="003C259D">
        <w:rPr>
          <w:rFonts w:eastAsiaTheme="minorHAnsi"/>
          <w:iCs/>
          <w:sz w:val="26"/>
          <w:szCs w:val="26"/>
        </w:rPr>
        <w:t xml:space="preserve">.  </w:t>
      </w:r>
      <w:r w:rsidR="000F0A6D" w:rsidRPr="00C40FC3">
        <w:rPr>
          <w:rFonts w:eastAsiaTheme="minorHAnsi"/>
          <w:iCs/>
          <w:sz w:val="26"/>
          <w:szCs w:val="26"/>
        </w:rPr>
        <w:t>D</w:t>
      </w:r>
      <w:r w:rsidR="00163F97">
        <w:rPr>
          <w:rFonts w:eastAsiaTheme="minorHAnsi"/>
          <w:iCs/>
          <w:sz w:val="26"/>
          <w:szCs w:val="26"/>
        </w:rPr>
        <w:t>PI</w:t>
      </w:r>
      <w:r w:rsidR="000F0A6D" w:rsidRPr="00C40FC3">
        <w:rPr>
          <w:rFonts w:eastAsiaTheme="minorHAnsi"/>
          <w:iCs/>
          <w:sz w:val="26"/>
          <w:szCs w:val="26"/>
        </w:rPr>
        <w:t xml:space="preserve"> Motion to Strike PPL Comments at</w:t>
      </w:r>
      <w:r w:rsidR="000F0A6D">
        <w:rPr>
          <w:rFonts w:eastAsiaTheme="minorHAnsi"/>
          <w:iCs/>
          <w:sz w:val="26"/>
          <w:szCs w:val="26"/>
        </w:rPr>
        <w:t xml:space="preserve"> </w:t>
      </w:r>
      <w:r w:rsidR="00BA415B">
        <w:rPr>
          <w:rFonts w:eastAsiaTheme="minorHAnsi"/>
          <w:iCs/>
          <w:sz w:val="26"/>
          <w:szCs w:val="26"/>
        </w:rPr>
        <w:t>6-</w:t>
      </w:r>
      <w:r w:rsidR="000F0A6D">
        <w:rPr>
          <w:rFonts w:eastAsiaTheme="minorHAnsi"/>
          <w:iCs/>
          <w:sz w:val="26"/>
          <w:szCs w:val="26"/>
        </w:rPr>
        <w:t>7.</w:t>
      </w:r>
    </w:p>
    <w:p w14:paraId="49F04A31" w14:textId="3342AF73" w:rsidR="000F0A6D" w:rsidRDefault="00B83695" w:rsidP="00F146B7">
      <w:pPr>
        <w:spacing w:line="360" w:lineRule="auto"/>
        <w:ind w:firstLine="1440"/>
        <w:contextualSpacing/>
        <w:rPr>
          <w:rFonts w:eastAsiaTheme="minorHAnsi"/>
          <w:iCs/>
          <w:sz w:val="26"/>
          <w:szCs w:val="26"/>
        </w:rPr>
      </w:pPr>
      <w:r>
        <w:rPr>
          <w:rFonts w:eastAsiaTheme="minorHAnsi"/>
          <w:iCs/>
          <w:sz w:val="26"/>
          <w:szCs w:val="26"/>
        </w:rPr>
        <w:lastRenderedPageBreak/>
        <w:t>Additionally, Discount argues that PPL makes its proposals without having any information regarding the Company’s current practices</w:t>
      </w:r>
      <w:r w:rsidR="00E046B3">
        <w:rPr>
          <w:rFonts w:eastAsiaTheme="minorHAnsi"/>
          <w:iCs/>
          <w:sz w:val="26"/>
          <w:szCs w:val="26"/>
        </w:rPr>
        <w:t xml:space="preserve"> </w:t>
      </w:r>
      <w:r w:rsidR="00AD1749">
        <w:rPr>
          <w:rFonts w:eastAsiaTheme="minorHAnsi"/>
          <w:iCs/>
          <w:sz w:val="26"/>
          <w:szCs w:val="26"/>
        </w:rPr>
        <w:t>with regard to</w:t>
      </w:r>
      <w:r w:rsidR="00E046B3">
        <w:rPr>
          <w:rFonts w:eastAsiaTheme="minorHAnsi"/>
          <w:iCs/>
          <w:sz w:val="26"/>
          <w:szCs w:val="26"/>
        </w:rPr>
        <w:t xml:space="preserve">: </w:t>
      </w:r>
      <w:r w:rsidR="00CC1CE8">
        <w:rPr>
          <w:rFonts w:eastAsiaTheme="minorHAnsi"/>
          <w:iCs/>
          <w:sz w:val="26"/>
          <w:szCs w:val="26"/>
        </w:rPr>
        <w:t xml:space="preserve"> </w:t>
      </w:r>
      <w:r w:rsidR="00E046B3">
        <w:rPr>
          <w:rFonts w:eastAsiaTheme="minorHAnsi"/>
          <w:iCs/>
          <w:sz w:val="26"/>
          <w:szCs w:val="26"/>
        </w:rPr>
        <w:t>(1) training; (2) records retention; (3) response times; and (4) vendor audits.</w:t>
      </w:r>
      <w:r w:rsidR="009325C0">
        <w:rPr>
          <w:rFonts w:eastAsiaTheme="minorHAnsi"/>
          <w:iCs/>
          <w:sz w:val="26"/>
          <w:szCs w:val="26"/>
        </w:rPr>
        <w:t xml:space="preserve">  </w:t>
      </w:r>
      <w:r w:rsidR="00194578">
        <w:rPr>
          <w:rFonts w:eastAsiaTheme="minorHAnsi"/>
          <w:iCs/>
          <w:sz w:val="26"/>
          <w:szCs w:val="26"/>
        </w:rPr>
        <w:t>Further</w:t>
      </w:r>
      <w:r w:rsidR="00460FE8">
        <w:rPr>
          <w:rFonts w:eastAsiaTheme="minorHAnsi"/>
          <w:iCs/>
          <w:sz w:val="26"/>
          <w:szCs w:val="26"/>
        </w:rPr>
        <w:t>more</w:t>
      </w:r>
      <w:r w:rsidR="00194578">
        <w:rPr>
          <w:rFonts w:eastAsiaTheme="minorHAnsi"/>
          <w:iCs/>
          <w:sz w:val="26"/>
          <w:szCs w:val="26"/>
        </w:rPr>
        <w:t xml:space="preserve">, </w:t>
      </w:r>
      <w:r w:rsidR="009325C0">
        <w:rPr>
          <w:rFonts w:eastAsiaTheme="minorHAnsi"/>
          <w:iCs/>
          <w:sz w:val="26"/>
          <w:szCs w:val="26"/>
        </w:rPr>
        <w:t>Discount notes that</w:t>
      </w:r>
      <w:r w:rsidR="00745F96">
        <w:rPr>
          <w:rFonts w:eastAsiaTheme="minorHAnsi"/>
          <w:iCs/>
          <w:sz w:val="26"/>
          <w:szCs w:val="26"/>
        </w:rPr>
        <w:t>,</w:t>
      </w:r>
      <w:r w:rsidR="009325C0">
        <w:rPr>
          <w:rFonts w:eastAsiaTheme="minorHAnsi"/>
          <w:iCs/>
          <w:sz w:val="26"/>
          <w:szCs w:val="26"/>
        </w:rPr>
        <w:t xml:space="preserve"> </w:t>
      </w:r>
      <w:r w:rsidR="00703B18">
        <w:rPr>
          <w:rFonts w:eastAsiaTheme="minorHAnsi"/>
          <w:iCs/>
          <w:sz w:val="26"/>
          <w:szCs w:val="26"/>
        </w:rPr>
        <w:t xml:space="preserve">when compared to </w:t>
      </w:r>
      <w:r w:rsidR="003C0FFF">
        <w:rPr>
          <w:rFonts w:eastAsiaTheme="minorHAnsi"/>
          <w:iCs/>
          <w:sz w:val="26"/>
          <w:szCs w:val="26"/>
        </w:rPr>
        <w:t>Section 111</w:t>
      </w:r>
      <w:r w:rsidR="00703B18">
        <w:rPr>
          <w:rFonts w:eastAsiaTheme="minorHAnsi"/>
          <w:iCs/>
          <w:sz w:val="26"/>
          <w:szCs w:val="26"/>
        </w:rPr>
        <w:t xml:space="preserve">, </w:t>
      </w:r>
      <w:r w:rsidR="00377BD4">
        <w:rPr>
          <w:rFonts w:eastAsiaTheme="minorHAnsi"/>
          <w:iCs/>
          <w:sz w:val="26"/>
          <w:szCs w:val="26"/>
        </w:rPr>
        <w:t xml:space="preserve">the </w:t>
      </w:r>
      <w:r w:rsidR="004819F3">
        <w:rPr>
          <w:rFonts w:eastAsiaTheme="minorHAnsi"/>
          <w:iCs/>
          <w:sz w:val="26"/>
          <w:szCs w:val="26"/>
        </w:rPr>
        <w:t xml:space="preserve">requirements </w:t>
      </w:r>
      <w:r w:rsidR="00703B18">
        <w:rPr>
          <w:rFonts w:eastAsiaTheme="minorHAnsi"/>
          <w:iCs/>
          <w:sz w:val="26"/>
          <w:szCs w:val="26"/>
        </w:rPr>
        <w:t>that PPL proposes be imposed on Discount</w:t>
      </w:r>
      <w:r w:rsidR="00DF09C4">
        <w:rPr>
          <w:rFonts w:eastAsiaTheme="minorHAnsi"/>
          <w:iCs/>
          <w:sz w:val="26"/>
          <w:szCs w:val="26"/>
        </w:rPr>
        <w:t xml:space="preserve"> through the Settlement</w:t>
      </w:r>
      <w:r w:rsidR="00703B18">
        <w:rPr>
          <w:rFonts w:eastAsiaTheme="minorHAnsi"/>
          <w:iCs/>
          <w:sz w:val="26"/>
          <w:szCs w:val="26"/>
        </w:rPr>
        <w:t xml:space="preserve"> are</w:t>
      </w:r>
      <w:r w:rsidR="009325C0">
        <w:rPr>
          <w:rFonts w:eastAsiaTheme="minorHAnsi"/>
          <w:iCs/>
          <w:sz w:val="26"/>
          <w:szCs w:val="26"/>
        </w:rPr>
        <w:t xml:space="preserve"> “more burdensome.”  </w:t>
      </w:r>
      <w:r w:rsidR="00CD5631" w:rsidRPr="00C40FC3">
        <w:rPr>
          <w:rFonts w:eastAsiaTheme="minorHAnsi"/>
          <w:iCs/>
          <w:sz w:val="26"/>
          <w:szCs w:val="26"/>
        </w:rPr>
        <w:t>D</w:t>
      </w:r>
      <w:r w:rsidR="00E85088">
        <w:rPr>
          <w:rFonts w:eastAsiaTheme="minorHAnsi"/>
          <w:iCs/>
          <w:sz w:val="26"/>
          <w:szCs w:val="26"/>
        </w:rPr>
        <w:t>PI</w:t>
      </w:r>
      <w:r w:rsidR="00CD5631" w:rsidRPr="00C40FC3">
        <w:rPr>
          <w:rFonts w:eastAsiaTheme="minorHAnsi"/>
          <w:iCs/>
          <w:sz w:val="26"/>
          <w:szCs w:val="26"/>
        </w:rPr>
        <w:t xml:space="preserve"> Motion to Strike PPL Comments at</w:t>
      </w:r>
      <w:r w:rsidR="00CD5631">
        <w:rPr>
          <w:rFonts w:eastAsiaTheme="minorHAnsi"/>
          <w:iCs/>
          <w:sz w:val="26"/>
          <w:szCs w:val="26"/>
        </w:rPr>
        <w:t xml:space="preserve"> 7</w:t>
      </w:r>
      <w:bookmarkStart w:id="25" w:name="_Hlk92289503"/>
      <w:r w:rsidR="00DF09C4">
        <w:rPr>
          <w:rFonts w:eastAsiaTheme="minorHAnsi"/>
          <w:iCs/>
          <w:sz w:val="26"/>
          <w:szCs w:val="26"/>
        </w:rPr>
        <w:t xml:space="preserve"> </w:t>
      </w:r>
      <w:r w:rsidR="008B2746">
        <w:rPr>
          <w:rFonts w:eastAsiaTheme="minorHAnsi"/>
          <w:iCs/>
          <w:sz w:val="26"/>
          <w:szCs w:val="26"/>
        </w:rPr>
        <w:t>(citing</w:t>
      </w:r>
      <w:r w:rsidR="00430155">
        <w:rPr>
          <w:rFonts w:eastAsiaTheme="minorHAnsi"/>
          <w:iCs/>
          <w:sz w:val="26"/>
          <w:szCs w:val="26"/>
        </w:rPr>
        <w:t xml:space="preserve"> PPL Comments at 6-8;</w:t>
      </w:r>
      <w:r w:rsidR="008B2746">
        <w:rPr>
          <w:rFonts w:eastAsiaTheme="minorHAnsi"/>
          <w:iCs/>
          <w:sz w:val="26"/>
          <w:szCs w:val="26"/>
        </w:rPr>
        <w:t xml:space="preserve"> </w:t>
      </w:r>
      <w:r w:rsidR="009778EE">
        <w:rPr>
          <w:rFonts w:eastAsiaTheme="minorHAnsi"/>
          <w:iCs/>
          <w:sz w:val="26"/>
          <w:szCs w:val="26"/>
        </w:rPr>
        <w:t>52</w:t>
      </w:r>
      <w:r w:rsidR="00745F96">
        <w:rPr>
          <w:rFonts w:eastAsiaTheme="minorHAnsi"/>
          <w:iCs/>
          <w:sz w:val="26"/>
          <w:szCs w:val="26"/>
        </w:rPr>
        <w:t> </w:t>
      </w:r>
      <w:r w:rsidR="009778EE">
        <w:rPr>
          <w:rFonts w:eastAsiaTheme="minorHAnsi"/>
          <w:iCs/>
          <w:sz w:val="26"/>
          <w:szCs w:val="26"/>
        </w:rPr>
        <w:t>Pa.</w:t>
      </w:r>
      <w:r w:rsidR="00745F96">
        <w:rPr>
          <w:rFonts w:eastAsiaTheme="minorHAnsi"/>
          <w:iCs/>
          <w:sz w:val="26"/>
          <w:szCs w:val="26"/>
        </w:rPr>
        <w:t> </w:t>
      </w:r>
      <w:r w:rsidR="009778EE">
        <w:rPr>
          <w:rFonts w:eastAsiaTheme="minorHAnsi"/>
          <w:iCs/>
          <w:sz w:val="26"/>
          <w:szCs w:val="26"/>
        </w:rPr>
        <w:t>Code §</w:t>
      </w:r>
      <w:r w:rsidR="00455FB2">
        <w:rPr>
          <w:rFonts w:eastAsiaTheme="minorHAnsi"/>
          <w:iCs/>
          <w:sz w:val="26"/>
          <w:szCs w:val="26"/>
        </w:rPr>
        <w:t>§</w:t>
      </w:r>
      <w:r w:rsidR="00A94941">
        <w:rPr>
          <w:rFonts w:eastAsiaTheme="minorHAnsi"/>
          <w:iCs/>
          <w:sz w:val="26"/>
          <w:szCs w:val="26"/>
        </w:rPr>
        <w:t> </w:t>
      </w:r>
      <w:r w:rsidR="009778EE">
        <w:rPr>
          <w:rFonts w:eastAsiaTheme="minorHAnsi"/>
          <w:iCs/>
          <w:sz w:val="26"/>
          <w:szCs w:val="26"/>
        </w:rPr>
        <w:t>111.5</w:t>
      </w:r>
      <w:bookmarkEnd w:id="25"/>
      <w:r w:rsidR="00455FB2">
        <w:rPr>
          <w:rFonts w:eastAsiaTheme="minorHAnsi"/>
          <w:iCs/>
          <w:sz w:val="26"/>
          <w:szCs w:val="26"/>
        </w:rPr>
        <w:t xml:space="preserve">, </w:t>
      </w:r>
      <w:r w:rsidR="00005D75">
        <w:rPr>
          <w:rFonts w:eastAsiaTheme="minorHAnsi"/>
          <w:iCs/>
          <w:sz w:val="26"/>
          <w:szCs w:val="26"/>
        </w:rPr>
        <w:t>111.</w:t>
      </w:r>
      <w:r w:rsidR="006D087D">
        <w:rPr>
          <w:rFonts w:eastAsiaTheme="minorHAnsi"/>
          <w:iCs/>
          <w:sz w:val="26"/>
          <w:szCs w:val="26"/>
        </w:rPr>
        <w:t>13(b)</w:t>
      </w:r>
      <w:r w:rsidR="00005D75">
        <w:rPr>
          <w:rFonts w:eastAsiaTheme="minorHAnsi"/>
          <w:iCs/>
          <w:sz w:val="26"/>
          <w:szCs w:val="26"/>
        </w:rPr>
        <w:t xml:space="preserve">).  </w:t>
      </w:r>
    </w:p>
    <w:p w14:paraId="4DB24854" w14:textId="4B8DA46C" w:rsidR="00256146" w:rsidRDefault="00256146" w:rsidP="00F146B7">
      <w:pPr>
        <w:spacing w:line="360" w:lineRule="auto"/>
        <w:ind w:firstLine="1440"/>
        <w:contextualSpacing/>
        <w:rPr>
          <w:rFonts w:eastAsiaTheme="minorHAnsi"/>
          <w:iCs/>
          <w:sz w:val="26"/>
          <w:szCs w:val="26"/>
        </w:rPr>
      </w:pPr>
    </w:p>
    <w:p w14:paraId="13E98EEA" w14:textId="7D50A96C" w:rsidR="00256146" w:rsidRDefault="00256146" w:rsidP="00EB69D2">
      <w:pPr>
        <w:spacing w:line="360" w:lineRule="auto"/>
        <w:ind w:firstLine="1440"/>
        <w:contextualSpacing/>
        <w:rPr>
          <w:rFonts w:eastAsiaTheme="minorHAnsi"/>
          <w:iCs/>
          <w:sz w:val="26"/>
          <w:szCs w:val="26"/>
        </w:rPr>
      </w:pPr>
      <w:r>
        <w:rPr>
          <w:rFonts w:eastAsiaTheme="minorHAnsi"/>
          <w:iCs/>
          <w:sz w:val="26"/>
          <w:szCs w:val="26"/>
        </w:rPr>
        <w:t xml:space="preserve">Finally, Discount </w:t>
      </w:r>
      <w:r w:rsidR="00583EAE">
        <w:rPr>
          <w:rFonts w:eastAsiaTheme="minorHAnsi"/>
          <w:iCs/>
          <w:sz w:val="26"/>
          <w:szCs w:val="26"/>
        </w:rPr>
        <w:t>contends</w:t>
      </w:r>
      <w:r w:rsidR="001A33B0">
        <w:rPr>
          <w:rFonts w:eastAsiaTheme="minorHAnsi"/>
          <w:iCs/>
          <w:sz w:val="26"/>
          <w:szCs w:val="26"/>
        </w:rPr>
        <w:t xml:space="preserve"> that, a</w:t>
      </w:r>
      <w:r w:rsidR="00432EED" w:rsidRPr="00432EED">
        <w:rPr>
          <w:rFonts w:eastAsiaTheme="minorHAnsi"/>
          <w:iCs/>
          <w:sz w:val="26"/>
          <w:szCs w:val="26"/>
        </w:rPr>
        <w:t xml:space="preserve">lthough PPL characterizes its suggested modifications as </w:t>
      </w:r>
      <w:r w:rsidR="001A33B0">
        <w:rPr>
          <w:rFonts w:eastAsiaTheme="minorHAnsi"/>
          <w:iCs/>
          <w:sz w:val="26"/>
          <w:szCs w:val="26"/>
        </w:rPr>
        <w:t>necessary</w:t>
      </w:r>
      <w:r w:rsidR="00432EED" w:rsidRPr="00432EED">
        <w:rPr>
          <w:rFonts w:eastAsiaTheme="minorHAnsi"/>
          <w:iCs/>
          <w:sz w:val="26"/>
          <w:szCs w:val="26"/>
        </w:rPr>
        <w:t xml:space="preserve"> </w:t>
      </w:r>
      <w:r w:rsidR="00455FB2">
        <w:rPr>
          <w:rFonts w:eastAsiaTheme="minorHAnsi"/>
          <w:iCs/>
          <w:sz w:val="26"/>
          <w:szCs w:val="26"/>
        </w:rPr>
        <w:t>based on</w:t>
      </w:r>
      <w:r w:rsidR="00432EED" w:rsidRPr="00432EED">
        <w:rPr>
          <w:rFonts w:eastAsiaTheme="minorHAnsi"/>
          <w:iCs/>
          <w:sz w:val="26"/>
          <w:szCs w:val="26"/>
        </w:rPr>
        <w:t xml:space="preserve"> </w:t>
      </w:r>
      <w:r w:rsidR="001A33B0">
        <w:rPr>
          <w:rFonts w:eastAsiaTheme="minorHAnsi"/>
          <w:iCs/>
          <w:sz w:val="26"/>
          <w:szCs w:val="26"/>
        </w:rPr>
        <w:t>the Company</w:t>
      </w:r>
      <w:r w:rsidR="00432EED" w:rsidRPr="00432EED">
        <w:rPr>
          <w:rFonts w:eastAsiaTheme="minorHAnsi"/>
          <w:iCs/>
          <w:sz w:val="26"/>
          <w:szCs w:val="26"/>
        </w:rPr>
        <w:t>’s actions, I&amp;E’s allegations were not proven</w:t>
      </w:r>
      <w:r w:rsidR="00752F7C">
        <w:rPr>
          <w:rFonts w:eastAsiaTheme="minorHAnsi"/>
          <w:iCs/>
          <w:sz w:val="26"/>
          <w:szCs w:val="26"/>
        </w:rPr>
        <w:t xml:space="preserve"> and </w:t>
      </w:r>
      <w:r w:rsidR="00FB08EB">
        <w:rPr>
          <w:rFonts w:eastAsiaTheme="minorHAnsi"/>
          <w:iCs/>
          <w:sz w:val="26"/>
          <w:szCs w:val="26"/>
        </w:rPr>
        <w:t xml:space="preserve">the Settlement </w:t>
      </w:r>
      <w:r w:rsidR="00FB08EB" w:rsidRPr="00432EED">
        <w:rPr>
          <w:rFonts w:eastAsiaTheme="minorHAnsi"/>
          <w:iCs/>
          <w:sz w:val="26"/>
          <w:szCs w:val="26"/>
        </w:rPr>
        <w:t xml:space="preserve">“represents a compromise of positions and does not in any way constitute a finding or an admission concerning the alleged violations of the Code and the Commission’s </w:t>
      </w:r>
      <w:r w:rsidR="00E5730F">
        <w:rPr>
          <w:rFonts w:eastAsiaTheme="minorHAnsi"/>
          <w:iCs/>
          <w:sz w:val="26"/>
          <w:szCs w:val="26"/>
        </w:rPr>
        <w:t>[</w:t>
      </w:r>
      <w:r w:rsidR="00F40600">
        <w:rPr>
          <w:rFonts w:eastAsiaTheme="minorHAnsi"/>
          <w:iCs/>
          <w:sz w:val="26"/>
          <w:szCs w:val="26"/>
        </w:rPr>
        <w:t>R</w:t>
      </w:r>
      <w:r w:rsidR="00E5730F">
        <w:rPr>
          <w:rFonts w:eastAsiaTheme="minorHAnsi"/>
          <w:iCs/>
          <w:sz w:val="26"/>
          <w:szCs w:val="26"/>
        </w:rPr>
        <w:t>]</w:t>
      </w:r>
      <w:r w:rsidR="00FB08EB" w:rsidRPr="00432EED">
        <w:rPr>
          <w:rFonts w:eastAsiaTheme="minorHAnsi"/>
          <w:iCs/>
          <w:sz w:val="26"/>
          <w:szCs w:val="26"/>
        </w:rPr>
        <w:t>egulations.”</w:t>
      </w:r>
      <w:r w:rsidR="00432EED" w:rsidRPr="00432EED">
        <w:rPr>
          <w:rFonts w:eastAsiaTheme="minorHAnsi"/>
          <w:iCs/>
          <w:sz w:val="26"/>
          <w:szCs w:val="26"/>
        </w:rPr>
        <w:t xml:space="preserve">  </w:t>
      </w:r>
      <w:r w:rsidR="002B2E4D" w:rsidRPr="00C40FC3">
        <w:rPr>
          <w:rFonts w:eastAsiaTheme="minorHAnsi"/>
          <w:iCs/>
          <w:sz w:val="26"/>
          <w:szCs w:val="26"/>
        </w:rPr>
        <w:t>D</w:t>
      </w:r>
      <w:r w:rsidR="00E85088">
        <w:rPr>
          <w:rFonts w:eastAsiaTheme="minorHAnsi"/>
          <w:iCs/>
          <w:sz w:val="26"/>
          <w:szCs w:val="26"/>
        </w:rPr>
        <w:t>PI</w:t>
      </w:r>
      <w:r w:rsidR="002B2E4D" w:rsidRPr="00C40FC3">
        <w:rPr>
          <w:rFonts w:eastAsiaTheme="minorHAnsi"/>
          <w:iCs/>
          <w:sz w:val="26"/>
          <w:szCs w:val="26"/>
        </w:rPr>
        <w:t xml:space="preserve"> Motion to Strike PPL Comments at</w:t>
      </w:r>
      <w:r w:rsidR="002B2E4D">
        <w:rPr>
          <w:rFonts w:eastAsiaTheme="minorHAnsi"/>
          <w:iCs/>
          <w:sz w:val="26"/>
          <w:szCs w:val="26"/>
        </w:rPr>
        <w:t xml:space="preserve"> 8 (citing </w:t>
      </w:r>
      <w:r w:rsidR="00905FFF">
        <w:rPr>
          <w:rFonts w:eastAsiaTheme="minorHAnsi"/>
          <w:iCs/>
          <w:sz w:val="26"/>
          <w:szCs w:val="26"/>
        </w:rPr>
        <w:t xml:space="preserve">Settlement </w:t>
      </w:r>
      <w:r w:rsidR="002B2E4D">
        <w:rPr>
          <w:rFonts w:eastAsiaTheme="minorHAnsi"/>
          <w:iCs/>
          <w:sz w:val="26"/>
          <w:szCs w:val="26"/>
        </w:rPr>
        <w:t>at ¶</w:t>
      </w:r>
      <w:r w:rsidR="00583EAE">
        <w:rPr>
          <w:rFonts w:eastAsiaTheme="minorHAnsi"/>
          <w:iCs/>
          <w:sz w:val="26"/>
          <w:szCs w:val="26"/>
        </w:rPr>
        <w:t> </w:t>
      </w:r>
      <w:r w:rsidR="00432EED" w:rsidRPr="00432EED">
        <w:rPr>
          <w:rFonts w:eastAsiaTheme="minorHAnsi"/>
          <w:iCs/>
          <w:sz w:val="26"/>
          <w:szCs w:val="26"/>
        </w:rPr>
        <w:t>56</w:t>
      </w:r>
      <w:r w:rsidR="00FB08EB">
        <w:rPr>
          <w:rFonts w:eastAsiaTheme="minorHAnsi"/>
          <w:iCs/>
          <w:sz w:val="26"/>
          <w:szCs w:val="26"/>
        </w:rPr>
        <w:t>).  Discount adds that</w:t>
      </w:r>
      <w:r w:rsidR="00F33FAB">
        <w:rPr>
          <w:rFonts w:eastAsiaTheme="minorHAnsi"/>
          <w:iCs/>
          <w:sz w:val="26"/>
          <w:szCs w:val="26"/>
        </w:rPr>
        <w:t xml:space="preserve">, given that </w:t>
      </w:r>
      <w:r w:rsidR="006C7824">
        <w:rPr>
          <w:rFonts w:eastAsiaTheme="minorHAnsi"/>
          <w:iCs/>
          <w:sz w:val="26"/>
          <w:szCs w:val="26"/>
        </w:rPr>
        <w:t>I&amp;E negotiated a</w:t>
      </w:r>
      <w:r w:rsidR="00065B44">
        <w:rPr>
          <w:rFonts w:eastAsiaTheme="minorHAnsi"/>
          <w:iCs/>
          <w:sz w:val="26"/>
          <w:szCs w:val="26"/>
        </w:rPr>
        <w:t xml:space="preserve"> </w:t>
      </w:r>
      <w:r w:rsidR="00323DCB" w:rsidRPr="00323DCB">
        <w:rPr>
          <w:rFonts w:eastAsiaTheme="minorHAnsi"/>
          <w:iCs/>
          <w:sz w:val="26"/>
          <w:szCs w:val="26"/>
        </w:rPr>
        <w:t xml:space="preserve">balanced set of provisions </w:t>
      </w:r>
      <w:r w:rsidR="006C7824">
        <w:rPr>
          <w:rFonts w:eastAsiaTheme="minorHAnsi"/>
          <w:iCs/>
          <w:sz w:val="26"/>
          <w:szCs w:val="26"/>
        </w:rPr>
        <w:t xml:space="preserve">in reaching the Settlement </w:t>
      </w:r>
      <w:r w:rsidR="00261047">
        <w:rPr>
          <w:rFonts w:eastAsiaTheme="minorHAnsi"/>
          <w:iCs/>
          <w:sz w:val="26"/>
          <w:szCs w:val="26"/>
        </w:rPr>
        <w:t>with</w:t>
      </w:r>
      <w:r w:rsidR="00323DCB">
        <w:rPr>
          <w:rFonts w:eastAsiaTheme="minorHAnsi"/>
          <w:iCs/>
          <w:sz w:val="26"/>
          <w:szCs w:val="26"/>
        </w:rPr>
        <w:t xml:space="preserve"> the Company,</w:t>
      </w:r>
      <w:r w:rsidR="00323DCB" w:rsidRPr="00323DCB">
        <w:rPr>
          <w:rFonts w:eastAsiaTheme="minorHAnsi"/>
          <w:iCs/>
          <w:sz w:val="26"/>
          <w:szCs w:val="26"/>
        </w:rPr>
        <w:t xml:space="preserve"> </w:t>
      </w:r>
      <w:r w:rsidR="00432EED" w:rsidRPr="00432EED">
        <w:rPr>
          <w:rFonts w:eastAsiaTheme="minorHAnsi"/>
          <w:iCs/>
          <w:sz w:val="26"/>
          <w:szCs w:val="26"/>
        </w:rPr>
        <w:t>PPL</w:t>
      </w:r>
      <w:r w:rsidR="00323DCB">
        <w:rPr>
          <w:rFonts w:eastAsiaTheme="minorHAnsi"/>
          <w:iCs/>
          <w:sz w:val="26"/>
          <w:szCs w:val="26"/>
        </w:rPr>
        <w:t>’s</w:t>
      </w:r>
      <w:r w:rsidR="00EB69D2">
        <w:rPr>
          <w:rFonts w:eastAsiaTheme="minorHAnsi"/>
          <w:iCs/>
          <w:sz w:val="26"/>
          <w:szCs w:val="26"/>
        </w:rPr>
        <w:t xml:space="preserve"> policy-changing</w:t>
      </w:r>
      <w:r w:rsidR="00432EED" w:rsidRPr="00432EED">
        <w:rPr>
          <w:rFonts w:eastAsiaTheme="minorHAnsi"/>
          <w:iCs/>
          <w:sz w:val="26"/>
          <w:szCs w:val="26"/>
        </w:rPr>
        <w:t xml:space="preserve"> suggest</w:t>
      </w:r>
      <w:r w:rsidR="00F33FAB">
        <w:rPr>
          <w:rFonts w:eastAsiaTheme="minorHAnsi"/>
          <w:iCs/>
          <w:sz w:val="26"/>
          <w:szCs w:val="26"/>
        </w:rPr>
        <w:t>ion</w:t>
      </w:r>
      <w:r w:rsidR="00432EED" w:rsidRPr="00432EED">
        <w:rPr>
          <w:rFonts w:eastAsiaTheme="minorHAnsi"/>
          <w:iCs/>
          <w:sz w:val="26"/>
          <w:szCs w:val="26"/>
        </w:rPr>
        <w:t>s should be considered in the context of a rulemaking</w:t>
      </w:r>
      <w:r w:rsidR="00EB69D2">
        <w:rPr>
          <w:rFonts w:eastAsiaTheme="minorHAnsi"/>
          <w:iCs/>
          <w:sz w:val="26"/>
          <w:szCs w:val="26"/>
        </w:rPr>
        <w:t xml:space="preserve">.  </w:t>
      </w:r>
      <w:r w:rsidR="00EB69D2" w:rsidRPr="00EB69D2">
        <w:rPr>
          <w:rFonts w:eastAsiaTheme="minorHAnsi"/>
          <w:i/>
          <w:sz w:val="26"/>
          <w:szCs w:val="26"/>
        </w:rPr>
        <w:t>Id.</w:t>
      </w:r>
      <w:r w:rsidR="00317761">
        <w:rPr>
          <w:rFonts w:eastAsiaTheme="minorHAnsi"/>
          <w:i/>
          <w:sz w:val="26"/>
          <w:szCs w:val="26"/>
        </w:rPr>
        <w:t xml:space="preserve"> </w:t>
      </w:r>
      <w:r w:rsidR="00317761" w:rsidRPr="00317761">
        <w:rPr>
          <w:rFonts w:eastAsiaTheme="minorHAnsi"/>
          <w:iCs/>
          <w:sz w:val="26"/>
          <w:szCs w:val="26"/>
        </w:rPr>
        <w:t>at 8.</w:t>
      </w:r>
    </w:p>
    <w:p w14:paraId="73BFE14D" w14:textId="732131B5" w:rsidR="00C935EE" w:rsidRDefault="00C935EE" w:rsidP="00EB69D2">
      <w:pPr>
        <w:spacing w:line="360" w:lineRule="auto"/>
        <w:ind w:firstLine="1440"/>
        <w:contextualSpacing/>
        <w:rPr>
          <w:rFonts w:eastAsiaTheme="minorHAnsi"/>
          <w:iCs/>
          <w:sz w:val="26"/>
          <w:szCs w:val="26"/>
        </w:rPr>
      </w:pPr>
    </w:p>
    <w:p w14:paraId="5B7CF32D" w14:textId="530F9E61" w:rsidR="00C935EE" w:rsidRPr="00317761" w:rsidRDefault="00C935EE" w:rsidP="00B85DAD">
      <w:pPr>
        <w:spacing w:line="360" w:lineRule="auto"/>
        <w:ind w:firstLine="1440"/>
        <w:contextualSpacing/>
        <w:rPr>
          <w:rFonts w:eastAsiaTheme="minorHAnsi"/>
          <w:iCs/>
          <w:sz w:val="26"/>
          <w:szCs w:val="26"/>
        </w:rPr>
      </w:pPr>
      <w:r>
        <w:rPr>
          <w:rFonts w:eastAsiaTheme="minorHAnsi"/>
          <w:iCs/>
          <w:sz w:val="26"/>
          <w:szCs w:val="26"/>
        </w:rPr>
        <w:t xml:space="preserve">In its Answer to Discount’s Motion to Strike, PPL </w:t>
      </w:r>
      <w:r w:rsidR="00E167EC">
        <w:rPr>
          <w:rFonts w:eastAsiaTheme="minorHAnsi"/>
          <w:iCs/>
          <w:sz w:val="26"/>
          <w:szCs w:val="26"/>
        </w:rPr>
        <w:t xml:space="preserve">references two cases to </w:t>
      </w:r>
      <w:r>
        <w:rPr>
          <w:rFonts w:eastAsiaTheme="minorHAnsi"/>
          <w:iCs/>
          <w:sz w:val="26"/>
          <w:szCs w:val="26"/>
        </w:rPr>
        <w:t>counter that</w:t>
      </w:r>
      <w:r w:rsidR="00973D8C">
        <w:rPr>
          <w:rFonts w:eastAsiaTheme="minorHAnsi"/>
          <w:iCs/>
          <w:sz w:val="26"/>
          <w:szCs w:val="26"/>
        </w:rPr>
        <w:t xml:space="preserve"> in Commission proceedings, </w:t>
      </w:r>
      <w:r w:rsidR="00E167EC">
        <w:rPr>
          <w:rFonts w:eastAsiaTheme="minorHAnsi"/>
          <w:iCs/>
          <w:sz w:val="26"/>
          <w:szCs w:val="26"/>
        </w:rPr>
        <w:t>i</w:t>
      </w:r>
      <w:r w:rsidR="00E167EC" w:rsidRPr="00E167EC">
        <w:rPr>
          <w:rFonts w:eastAsiaTheme="minorHAnsi"/>
          <w:iCs/>
          <w:sz w:val="26"/>
          <w:szCs w:val="26"/>
        </w:rPr>
        <w:t>nterested parties do not need to have legal standing to file comments</w:t>
      </w:r>
      <w:r w:rsidR="003D1FAE">
        <w:rPr>
          <w:rFonts w:eastAsiaTheme="minorHAnsi"/>
          <w:iCs/>
          <w:sz w:val="26"/>
          <w:szCs w:val="26"/>
        </w:rPr>
        <w:t>.</w:t>
      </w:r>
      <w:r w:rsidR="003D1FAE">
        <w:rPr>
          <w:rStyle w:val="FootnoteReference"/>
          <w:rFonts w:eastAsiaTheme="minorHAnsi"/>
          <w:iCs/>
          <w:sz w:val="26"/>
          <w:szCs w:val="26"/>
        </w:rPr>
        <w:footnoteReference w:id="9"/>
      </w:r>
      <w:r w:rsidR="003D1FAE">
        <w:rPr>
          <w:rFonts w:eastAsiaTheme="minorHAnsi"/>
          <w:iCs/>
          <w:sz w:val="26"/>
          <w:szCs w:val="26"/>
        </w:rPr>
        <w:t xml:space="preserve">  PPL argues that,</w:t>
      </w:r>
      <w:r w:rsidR="00713A9E">
        <w:rPr>
          <w:rFonts w:eastAsiaTheme="minorHAnsi"/>
          <w:iCs/>
          <w:sz w:val="26"/>
          <w:szCs w:val="26"/>
        </w:rPr>
        <w:t xml:space="preserve"> when the Commission issues a tentative decision and solicits comments from interested parties, comments are permitted without </w:t>
      </w:r>
      <w:r w:rsidR="000859B0">
        <w:rPr>
          <w:rFonts w:eastAsiaTheme="minorHAnsi"/>
          <w:iCs/>
          <w:sz w:val="26"/>
          <w:szCs w:val="26"/>
        </w:rPr>
        <w:t xml:space="preserve">commenters </w:t>
      </w:r>
      <w:r w:rsidR="00713A9E">
        <w:rPr>
          <w:rFonts w:eastAsiaTheme="minorHAnsi"/>
          <w:iCs/>
          <w:sz w:val="26"/>
          <w:szCs w:val="26"/>
        </w:rPr>
        <w:t>interfering or being designated as a party.  PPL Answer at 3</w:t>
      </w:r>
      <w:r w:rsidR="000859B0">
        <w:rPr>
          <w:rFonts w:eastAsiaTheme="minorHAnsi"/>
          <w:iCs/>
          <w:sz w:val="26"/>
          <w:szCs w:val="26"/>
        </w:rPr>
        <w:t>-4</w:t>
      </w:r>
      <w:r w:rsidR="00713A9E">
        <w:rPr>
          <w:rFonts w:eastAsiaTheme="minorHAnsi"/>
          <w:iCs/>
          <w:sz w:val="26"/>
          <w:szCs w:val="26"/>
        </w:rPr>
        <w:t xml:space="preserve"> (citing </w:t>
      </w:r>
      <w:r w:rsidR="00713A9E" w:rsidRPr="00235AA1">
        <w:rPr>
          <w:rFonts w:eastAsiaTheme="minorHAnsi"/>
          <w:i/>
          <w:sz w:val="26"/>
          <w:szCs w:val="26"/>
        </w:rPr>
        <w:t>Morris-Rospond</w:t>
      </w:r>
      <w:r w:rsidR="00713A9E">
        <w:rPr>
          <w:rFonts w:eastAsiaTheme="minorHAnsi"/>
          <w:iCs/>
          <w:sz w:val="26"/>
          <w:szCs w:val="26"/>
        </w:rPr>
        <w:t xml:space="preserve"> at 48-49; </w:t>
      </w:r>
      <w:r w:rsidR="00713A9E" w:rsidRPr="00844E1F">
        <w:rPr>
          <w:rFonts w:eastAsiaTheme="minorHAnsi"/>
          <w:i/>
          <w:sz w:val="26"/>
          <w:szCs w:val="26"/>
        </w:rPr>
        <w:t>Bell Atlantic and GTE</w:t>
      </w:r>
      <w:r w:rsidR="00713A9E">
        <w:rPr>
          <w:rFonts w:eastAsiaTheme="minorHAnsi"/>
          <w:iCs/>
          <w:sz w:val="26"/>
          <w:szCs w:val="26"/>
        </w:rPr>
        <w:t xml:space="preserve"> at 4-5).</w:t>
      </w:r>
      <w:r w:rsidR="00C96493">
        <w:rPr>
          <w:rFonts w:eastAsiaTheme="minorHAnsi"/>
          <w:iCs/>
          <w:sz w:val="26"/>
          <w:szCs w:val="26"/>
        </w:rPr>
        <w:t xml:space="preserve"> </w:t>
      </w:r>
      <w:r w:rsidR="00C07C03">
        <w:rPr>
          <w:rFonts w:eastAsiaTheme="minorHAnsi"/>
          <w:iCs/>
          <w:sz w:val="26"/>
          <w:szCs w:val="26"/>
        </w:rPr>
        <w:t xml:space="preserve"> Further, </w:t>
      </w:r>
      <w:r w:rsidR="00C96493">
        <w:rPr>
          <w:rFonts w:eastAsiaTheme="minorHAnsi"/>
          <w:iCs/>
          <w:sz w:val="26"/>
          <w:szCs w:val="26"/>
        </w:rPr>
        <w:t xml:space="preserve">PPL notes that in this proceeding, PPL </w:t>
      </w:r>
      <w:r w:rsidR="00BE7F7B">
        <w:rPr>
          <w:rFonts w:eastAsiaTheme="minorHAnsi"/>
          <w:iCs/>
          <w:sz w:val="26"/>
          <w:szCs w:val="26"/>
        </w:rPr>
        <w:t>did</w:t>
      </w:r>
      <w:r w:rsidR="00C96493">
        <w:rPr>
          <w:rFonts w:eastAsiaTheme="minorHAnsi"/>
          <w:iCs/>
          <w:sz w:val="26"/>
          <w:szCs w:val="26"/>
        </w:rPr>
        <w:t xml:space="preserve"> not </w:t>
      </w:r>
      <w:r w:rsidR="00BE7F7B">
        <w:rPr>
          <w:rFonts w:eastAsiaTheme="minorHAnsi"/>
          <w:iCs/>
          <w:sz w:val="26"/>
          <w:szCs w:val="26"/>
        </w:rPr>
        <w:t>file a</w:t>
      </w:r>
      <w:r w:rsidR="00C96493">
        <w:rPr>
          <w:rFonts w:eastAsiaTheme="minorHAnsi"/>
          <w:iCs/>
          <w:sz w:val="26"/>
          <w:szCs w:val="26"/>
        </w:rPr>
        <w:t xml:space="preserve"> petition to inter</w:t>
      </w:r>
      <w:r w:rsidR="00BE7F7B">
        <w:rPr>
          <w:rFonts w:eastAsiaTheme="minorHAnsi"/>
          <w:iCs/>
          <w:sz w:val="26"/>
          <w:szCs w:val="26"/>
        </w:rPr>
        <w:t>vene</w:t>
      </w:r>
      <w:r w:rsidR="00C07C03">
        <w:rPr>
          <w:rFonts w:eastAsiaTheme="minorHAnsi"/>
          <w:iCs/>
          <w:sz w:val="26"/>
          <w:szCs w:val="26"/>
        </w:rPr>
        <w:t>,</w:t>
      </w:r>
      <w:r w:rsidR="00BE7F7B">
        <w:rPr>
          <w:rFonts w:eastAsiaTheme="minorHAnsi"/>
          <w:iCs/>
          <w:sz w:val="26"/>
          <w:szCs w:val="26"/>
        </w:rPr>
        <w:t xml:space="preserve"> nor did </w:t>
      </w:r>
      <w:r w:rsidR="00C07C03">
        <w:rPr>
          <w:rFonts w:eastAsiaTheme="minorHAnsi"/>
          <w:iCs/>
          <w:sz w:val="26"/>
          <w:szCs w:val="26"/>
        </w:rPr>
        <w:t>PPL</w:t>
      </w:r>
      <w:r w:rsidR="00BE7F7B">
        <w:rPr>
          <w:rFonts w:eastAsiaTheme="minorHAnsi"/>
          <w:iCs/>
          <w:sz w:val="26"/>
          <w:szCs w:val="26"/>
        </w:rPr>
        <w:t xml:space="preserve"> request to be granted intervenor or party status.</w:t>
      </w:r>
      <w:r w:rsidR="00924267">
        <w:rPr>
          <w:rFonts w:eastAsiaTheme="minorHAnsi"/>
          <w:iCs/>
          <w:sz w:val="26"/>
          <w:szCs w:val="26"/>
        </w:rPr>
        <w:t xml:space="preserve">  </w:t>
      </w:r>
      <w:r w:rsidR="00C07C03">
        <w:rPr>
          <w:rFonts w:eastAsiaTheme="minorHAnsi"/>
          <w:iCs/>
          <w:sz w:val="26"/>
          <w:szCs w:val="26"/>
        </w:rPr>
        <w:t>Moreov</w:t>
      </w:r>
      <w:r w:rsidR="000A3C4C">
        <w:rPr>
          <w:rFonts w:eastAsiaTheme="minorHAnsi"/>
          <w:iCs/>
          <w:sz w:val="26"/>
          <w:szCs w:val="26"/>
        </w:rPr>
        <w:t xml:space="preserve">er, </w:t>
      </w:r>
      <w:r w:rsidR="00924267">
        <w:rPr>
          <w:rFonts w:eastAsiaTheme="minorHAnsi"/>
          <w:iCs/>
          <w:sz w:val="26"/>
          <w:szCs w:val="26"/>
        </w:rPr>
        <w:t>PPL contends that</w:t>
      </w:r>
      <w:r w:rsidR="00780223">
        <w:rPr>
          <w:rFonts w:eastAsiaTheme="minorHAnsi"/>
          <w:iCs/>
          <w:sz w:val="26"/>
          <w:szCs w:val="26"/>
        </w:rPr>
        <w:t>,</w:t>
      </w:r>
      <w:r w:rsidR="00DF3EC4">
        <w:rPr>
          <w:rFonts w:eastAsiaTheme="minorHAnsi"/>
          <w:iCs/>
          <w:sz w:val="26"/>
          <w:szCs w:val="26"/>
        </w:rPr>
        <w:t xml:space="preserve"> because Discount</w:t>
      </w:r>
      <w:r w:rsidR="00283935">
        <w:rPr>
          <w:rFonts w:eastAsiaTheme="minorHAnsi"/>
          <w:iCs/>
          <w:sz w:val="26"/>
          <w:szCs w:val="26"/>
        </w:rPr>
        <w:t xml:space="preserve"> is licensed to</w:t>
      </w:r>
      <w:r w:rsidR="00DF3EC4">
        <w:rPr>
          <w:rFonts w:eastAsiaTheme="minorHAnsi"/>
          <w:iCs/>
          <w:sz w:val="26"/>
          <w:szCs w:val="26"/>
        </w:rPr>
        <w:t xml:space="preserve"> </w:t>
      </w:r>
      <w:r w:rsidR="00DF3EC4">
        <w:rPr>
          <w:rFonts w:eastAsiaTheme="minorHAnsi"/>
          <w:iCs/>
          <w:sz w:val="26"/>
          <w:szCs w:val="26"/>
        </w:rPr>
        <w:lastRenderedPageBreak/>
        <w:t>operat</w:t>
      </w:r>
      <w:r w:rsidR="003E6987">
        <w:rPr>
          <w:rFonts w:eastAsiaTheme="minorHAnsi"/>
          <w:iCs/>
          <w:sz w:val="26"/>
          <w:szCs w:val="26"/>
        </w:rPr>
        <w:t>e</w:t>
      </w:r>
      <w:r w:rsidR="00DF3EC4">
        <w:rPr>
          <w:rFonts w:eastAsiaTheme="minorHAnsi"/>
          <w:iCs/>
          <w:sz w:val="26"/>
          <w:szCs w:val="26"/>
        </w:rPr>
        <w:t xml:space="preserve"> in PPL’s service territory</w:t>
      </w:r>
      <w:r w:rsidR="003E6987">
        <w:rPr>
          <w:rFonts w:eastAsiaTheme="minorHAnsi"/>
          <w:iCs/>
          <w:sz w:val="26"/>
          <w:szCs w:val="26"/>
        </w:rPr>
        <w:t xml:space="preserve"> and the underlying claims </w:t>
      </w:r>
      <w:r w:rsidR="00C07C03">
        <w:rPr>
          <w:rFonts w:eastAsiaTheme="minorHAnsi"/>
          <w:iCs/>
          <w:sz w:val="26"/>
          <w:szCs w:val="26"/>
        </w:rPr>
        <w:t xml:space="preserve">in this case </w:t>
      </w:r>
      <w:r w:rsidR="003E6987">
        <w:rPr>
          <w:rFonts w:eastAsiaTheme="minorHAnsi"/>
          <w:iCs/>
          <w:sz w:val="26"/>
          <w:szCs w:val="26"/>
        </w:rPr>
        <w:t>involve a PPL customer</w:t>
      </w:r>
      <w:r w:rsidR="00DF3EC4">
        <w:rPr>
          <w:rFonts w:eastAsiaTheme="minorHAnsi"/>
          <w:iCs/>
          <w:sz w:val="26"/>
          <w:szCs w:val="26"/>
        </w:rPr>
        <w:t xml:space="preserve">, </w:t>
      </w:r>
      <w:r w:rsidR="006A5E94">
        <w:rPr>
          <w:rFonts w:eastAsiaTheme="minorHAnsi"/>
          <w:iCs/>
          <w:sz w:val="26"/>
          <w:szCs w:val="26"/>
        </w:rPr>
        <w:t xml:space="preserve">the alleged misrepresentations </w:t>
      </w:r>
      <w:r w:rsidR="00AC0E38">
        <w:rPr>
          <w:rFonts w:eastAsiaTheme="minorHAnsi"/>
          <w:iCs/>
          <w:sz w:val="26"/>
          <w:szCs w:val="26"/>
        </w:rPr>
        <w:t xml:space="preserve">of I&amp;E’s Complaint had </w:t>
      </w:r>
      <w:r w:rsidR="00283935">
        <w:rPr>
          <w:rFonts w:eastAsiaTheme="minorHAnsi"/>
          <w:iCs/>
          <w:sz w:val="26"/>
          <w:szCs w:val="26"/>
        </w:rPr>
        <w:t xml:space="preserve">a direct, immediate, and substantial effect on PPL and, therefore, </w:t>
      </w:r>
      <w:r w:rsidR="002335AB">
        <w:rPr>
          <w:rFonts w:eastAsiaTheme="minorHAnsi"/>
          <w:iCs/>
          <w:sz w:val="26"/>
          <w:szCs w:val="26"/>
        </w:rPr>
        <w:t xml:space="preserve">PPL </w:t>
      </w:r>
      <w:r w:rsidR="000368FA">
        <w:rPr>
          <w:rFonts w:eastAsiaTheme="minorHAnsi"/>
          <w:iCs/>
          <w:sz w:val="26"/>
          <w:szCs w:val="26"/>
        </w:rPr>
        <w:t>has</w:t>
      </w:r>
      <w:r w:rsidR="002335AB">
        <w:rPr>
          <w:rFonts w:eastAsiaTheme="minorHAnsi"/>
          <w:iCs/>
          <w:sz w:val="26"/>
          <w:szCs w:val="26"/>
        </w:rPr>
        <w:t xml:space="preserve"> standing to participate in this matter</w:t>
      </w:r>
      <w:r w:rsidR="003D3E18">
        <w:rPr>
          <w:rFonts w:eastAsiaTheme="minorHAnsi"/>
          <w:iCs/>
          <w:sz w:val="26"/>
          <w:szCs w:val="26"/>
        </w:rPr>
        <w:t xml:space="preserve">.  </w:t>
      </w:r>
      <w:r w:rsidR="0087041E" w:rsidRPr="0087041E">
        <w:rPr>
          <w:rFonts w:eastAsiaTheme="minorHAnsi"/>
          <w:i/>
          <w:sz w:val="26"/>
          <w:szCs w:val="26"/>
        </w:rPr>
        <w:t>Id.</w:t>
      </w:r>
      <w:r w:rsidR="00405E9A">
        <w:rPr>
          <w:rFonts w:eastAsiaTheme="minorHAnsi"/>
          <w:iCs/>
          <w:sz w:val="26"/>
          <w:szCs w:val="26"/>
        </w:rPr>
        <w:t xml:space="preserve"> at 4.  </w:t>
      </w:r>
      <w:r w:rsidR="003D3E18">
        <w:rPr>
          <w:rFonts w:eastAsiaTheme="minorHAnsi"/>
          <w:iCs/>
          <w:sz w:val="26"/>
          <w:szCs w:val="26"/>
        </w:rPr>
        <w:t>Accordingly, PPL asserts that the Commission should deny Discount’s “unsupported attempt to</w:t>
      </w:r>
      <w:r w:rsidR="0058458E">
        <w:rPr>
          <w:rFonts w:eastAsiaTheme="minorHAnsi"/>
          <w:iCs/>
          <w:sz w:val="26"/>
          <w:szCs w:val="26"/>
        </w:rPr>
        <w:t xml:space="preserve"> apply legal standing to </w:t>
      </w:r>
      <w:r w:rsidR="00DA01A5">
        <w:rPr>
          <w:rFonts w:eastAsiaTheme="minorHAnsi"/>
          <w:iCs/>
          <w:sz w:val="26"/>
          <w:szCs w:val="26"/>
        </w:rPr>
        <w:t>c</w:t>
      </w:r>
      <w:r w:rsidR="0058458E">
        <w:rPr>
          <w:rFonts w:eastAsiaTheme="minorHAnsi"/>
          <w:iCs/>
          <w:sz w:val="26"/>
          <w:szCs w:val="26"/>
        </w:rPr>
        <w:t xml:space="preserve">omments filed in a Commission proceeding.”  </w:t>
      </w:r>
      <w:r w:rsidR="0058458E" w:rsidRPr="0058458E">
        <w:rPr>
          <w:rFonts w:eastAsiaTheme="minorHAnsi"/>
          <w:i/>
          <w:sz w:val="26"/>
          <w:szCs w:val="26"/>
        </w:rPr>
        <w:t>Id.</w:t>
      </w:r>
      <w:r w:rsidR="0058458E">
        <w:rPr>
          <w:rFonts w:eastAsiaTheme="minorHAnsi"/>
          <w:iCs/>
          <w:sz w:val="26"/>
          <w:szCs w:val="26"/>
        </w:rPr>
        <w:t xml:space="preserve"> at 4.</w:t>
      </w:r>
    </w:p>
    <w:bookmarkEnd w:id="22"/>
    <w:p w14:paraId="5B85C4A1" w14:textId="77777777" w:rsidR="00E44816" w:rsidRPr="00E44816" w:rsidRDefault="00E44816" w:rsidP="00B85DAD">
      <w:pPr>
        <w:spacing w:line="360" w:lineRule="auto"/>
        <w:rPr>
          <w:b/>
          <w:bCs/>
          <w:sz w:val="26"/>
          <w:szCs w:val="26"/>
        </w:rPr>
      </w:pPr>
    </w:p>
    <w:p w14:paraId="14B1023F" w14:textId="6DA91EFB" w:rsidR="00E44816" w:rsidRPr="00E3791B" w:rsidRDefault="00E44816" w:rsidP="00B85DAD">
      <w:pPr>
        <w:pStyle w:val="ListParagraph"/>
        <w:keepNext/>
        <w:numPr>
          <w:ilvl w:val="0"/>
          <w:numId w:val="42"/>
        </w:numPr>
        <w:spacing w:line="360" w:lineRule="auto"/>
        <w:rPr>
          <w:b/>
          <w:bCs/>
          <w:sz w:val="26"/>
          <w:szCs w:val="26"/>
        </w:rPr>
      </w:pPr>
      <w:r w:rsidRPr="00E3791B">
        <w:rPr>
          <w:b/>
          <w:bCs/>
          <w:sz w:val="26"/>
          <w:szCs w:val="26"/>
        </w:rPr>
        <w:t>D</w:t>
      </w:r>
      <w:r w:rsidR="004D64D8" w:rsidRPr="00E3791B">
        <w:rPr>
          <w:b/>
          <w:bCs/>
          <w:sz w:val="26"/>
          <w:szCs w:val="26"/>
        </w:rPr>
        <w:t>iscount</w:t>
      </w:r>
      <w:r w:rsidRPr="00E3791B">
        <w:rPr>
          <w:b/>
          <w:bCs/>
          <w:sz w:val="26"/>
          <w:szCs w:val="26"/>
        </w:rPr>
        <w:t>’s Motion to Strike Mr.</w:t>
      </w:r>
      <w:r w:rsidR="00AC2E5A" w:rsidRPr="00E3791B">
        <w:rPr>
          <w:b/>
          <w:bCs/>
          <w:sz w:val="26"/>
          <w:szCs w:val="26"/>
        </w:rPr>
        <w:t> </w:t>
      </w:r>
      <w:r w:rsidRPr="00E3791B">
        <w:rPr>
          <w:b/>
          <w:bCs/>
          <w:sz w:val="26"/>
          <w:szCs w:val="26"/>
        </w:rPr>
        <w:t>Zimmerman’s Comments</w:t>
      </w:r>
    </w:p>
    <w:p w14:paraId="0C1669EA" w14:textId="17D9E4A9" w:rsidR="00EA6D30" w:rsidRDefault="00EA6D30" w:rsidP="00B85DAD">
      <w:pPr>
        <w:keepNext/>
        <w:spacing w:line="360" w:lineRule="auto"/>
        <w:rPr>
          <w:b/>
          <w:bCs/>
          <w:sz w:val="26"/>
          <w:szCs w:val="26"/>
        </w:rPr>
      </w:pPr>
    </w:p>
    <w:p w14:paraId="0B281667" w14:textId="2AC5A466" w:rsidR="0051221F" w:rsidRDefault="0051221F" w:rsidP="00B85DAD">
      <w:pPr>
        <w:spacing w:line="360" w:lineRule="auto"/>
        <w:ind w:firstLine="1440"/>
        <w:contextualSpacing/>
        <w:rPr>
          <w:rFonts w:eastAsiaTheme="minorHAnsi"/>
          <w:iCs/>
          <w:sz w:val="26"/>
          <w:szCs w:val="26"/>
        </w:rPr>
      </w:pPr>
      <w:bookmarkStart w:id="26" w:name="_Hlk92707564"/>
      <w:bookmarkStart w:id="27" w:name="_Hlk92973966"/>
      <w:r w:rsidRPr="00F226E3">
        <w:rPr>
          <w:rFonts w:eastAsiaTheme="minorHAnsi"/>
          <w:iCs/>
          <w:sz w:val="26"/>
          <w:szCs w:val="26"/>
        </w:rPr>
        <w:t>In its Motion to Strike Mr.</w:t>
      </w:r>
      <w:r>
        <w:rPr>
          <w:rFonts w:eastAsiaTheme="minorHAnsi"/>
          <w:iCs/>
          <w:sz w:val="26"/>
          <w:szCs w:val="26"/>
        </w:rPr>
        <w:t> </w:t>
      </w:r>
      <w:r w:rsidRPr="00F226E3">
        <w:rPr>
          <w:rFonts w:eastAsiaTheme="minorHAnsi"/>
          <w:iCs/>
          <w:sz w:val="26"/>
          <w:szCs w:val="26"/>
        </w:rPr>
        <w:t xml:space="preserve">Zimmerman’s Comments, Discount </w:t>
      </w:r>
      <w:r>
        <w:rPr>
          <w:rFonts w:eastAsiaTheme="minorHAnsi"/>
          <w:iCs/>
          <w:sz w:val="26"/>
          <w:szCs w:val="26"/>
        </w:rPr>
        <w:t>asserts</w:t>
      </w:r>
      <w:r w:rsidRPr="00F226E3">
        <w:rPr>
          <w:rFonts w:eastAsiaTheme="minorHAnsi"/>
          <w:iCs/>
          <w:sz w:val="26"/>
          <w:szCs w:val="26"/>
        </w:rPr>
        <w:t xml:space="preserve"> that Mr.</w:t>
      </w:r>
      <w:r>
        <w:rPr>
          <w:rFonts w:eastAsiaTheme="minorHAnsi"/>
          <w:iCs/>
          <w:sz w:val="26"/>
          <w:szCs w:val="26"/>
        </w:rPr>
        <w:t> </w:t>
      </w:r>
      <w:r w:rsidRPr="00F226E3">
        <w:rPr>
          <w:rFonts w:eastAsiaTheme="minorHAnsi"/>
          <w:iCs/>
          <w:sz w:val="26"/>
          <w:szCs w:val="26"/>
        </w:rPr>
        <w:t xml:space="preserve">Zimmerman seeks to introduce allegations that are new and unsubstantiated, as they are beyond the timeframe of I&amp;E’s investigation and are irrelevant to whether the terms </w:t>
      </w:r>
      <w:r w:rsidRPr="00891725">
        <w:rPr>
          <w:rFonts w:eastAsiaTheme="minorHAnsi"/>
          <w:iCs/>
          <w:sz w:val="26"/>
          <w:szCs w:val="26"/>
        </w:rPr>
        <w:t>of Settlement are in the public interest.  D</w:t>
      </w:r>
      <w:r w:rsidR="00441C95">
        <w:rPr>
          <w:rFonts w:eastAsiaTheme="minorHAnsi"/>
          <w:iCs/>
          <w:sz w:val="26"/>
          <w:szCs w:val="26"/>
        </w:rPr>
        <w:t>PI</w:t>
      </w:r>
      <w:r w:rsidRPr="00891725">
        <w:rPr>
          <w:rFonts w:eastAsiaTheme="minorHAnsi"/>
          <w:iCs/>
          <w:sz w:val="26"/>
          <w:szCs w:val="26"/>
        </w:rPr>
        <w:t xml:space="preserve"> Motion to Strike</w:t>
      </w:r>
      <w:r>
        <w:rPr>
          <w:rFonts w:eastAsiaTheme="minorHAnsi"/>
          <w:iCs/>
          <w:sz w:val="26"/>
          <w:szCs w:val="26"/>
        </w:rPr>
        <w:t> </w:t>
      </w:r>
      <w:r w:rsidRPr="00891725">
        <w:rPr>
          <w:rFonts w:eastAsiaTheme="minorHAnsi"/>
          <w:iCs/>
          <w:sz w:val="26"/>
          <w:szCs w:val="26"/>
        </w:rPr>
        <w:t>Zimmerman</w:t>
      </w:r>
      <w:r>
        <w:rPr>
          <w:rFonts w:eastAsiaTheme="minorHAnsi"/>
          <w:iCs/>
          <w:sz w:val="26"/>
          <w:szCs w:val="26"/>
        </w:rPr>
        <w:t xml:space="preserve"> </w:t>
      </w:r>
      <w:r w:rsidRPr="000204E3">
        <w:rPr>
          <w:rFonts w:eastAsiaTheme="minorHAnsi"/>
          <w:iCs/>
          <w:sz w:val="26"/>
          <w:szCs w:val="26"/>
        </w:rPr>
        <w:t>Comments at</w:t>
      </w:r>
      <w:r w:rsidR="00B85DAD">
        <w:rPr>
          <w:rFonts w:eastAsiaTheme="minorHAnsi"/>
          <w:iCs/>
          <w:sz w:val="26"/>
          <w:szCs w:val="26"/>
        </w:rPr>
        <w:t> </w:t>
      </w:r>
      <w:r>
        <w:rPr>
          <w:rFonts w:eastAsiaTheme="minorHAnsi"/>
          <w:iCs/>
          <w:sz w:val="26"/>
          <w:szCs w:val="26"/>
        </w:rPr>
        <w:t xml:space="preserve">2.  </w:t>
      </w:r>
      <w:r w:rsidRPr="00891725">
        <w:rPr>
          <w:rFonts w:eastAsiaTheme="minorHAnsi"/>
          <w:iCs/>
          <w:sz w:val="26"/>
          <w:szCs w:val="26"/>
        </w:rPr>
        <w:t xml:space="preserve">Discount </w:t>
      </w:r>
      <w:r>
        <w:rPr>
          <w:rFonts w:eastAsiaTheme="minorHAnsi"/>
          <w:iCs/>
          <w:sz w:val="26"/>
          <w:szCs w:val="26"/>
        </w:rPr>
        <w:t>contend</w:t>
      </w:r>
      <w:r w:rsidRPr="00891725">
        <w:rPr>
          <w:rFonts w:eastAsiaTheme="minorHAnsi"/>
          <w:iCs/>
          <w:sz w:val="26"/>
          <w:szCs w:val="26"/>
        </w:rPr>
        <w:t>s that, if Mr.</w:t>
      </w:r>
      <w:r>
        <w:rPr>
          <w:rFonts w:eastAsiaTheme="minorHAnsi"/>
          <w:iCs/>
          <w:sz w:val="26"/>
          <w:szCs w:val="26"/>
        </w:rPr>
        <w:t> </w:t>
      </w:r>
      <w:r w:rsidRPr="00891725">
        <w:rPr>
          <w:rFonts w:eastAsiaTheme="minorHAnsi"/>
          <w:iCs/>
          <w:sz w:val="26"/>
          <w:szCs w:val="26"/>
        </w:rPr>
        <w:t xml:space="preserve">Zimmerman’s Comments are relied upon by the Commission in ruling on the Settlement, </w:t>
      </w:r>
      <w:r w:rsidR="0034237B">
        <w:rPr>
          <w:rFonts w:eastAsiaTheme="minorHAnsi"/>
          <w:iCs/>
          <w:sz w:val="26"/>
          <w:szCs w:val="26"/>
        </w:rPr>
        <w:t xml:space="preserve">then </w:t>
      </w:r>
      <w:r w:rsidRPr="00891725">
        <w:rPr>
          <w:rFonts w:eastAsiaTheme="minorHAnsi"/>
          <w:iCs/>
          <w:sz w:val="26"/>
          <w:szCs w:val="26"/>
        </w:rPr>
        <w:t xml:space="preserve">the Company will be deprived of its </w:t>
      </w:r>
      <w:r>
        <w:rPr>
          <w:rFonts w:eastAsiaTheme="minorHAnsi"/>
          <w:iCs/>
          <w:sz w:val="26"/>
          <w:szCs w:val="26"/>
        </w:rPr>
        <w:t>right to due process, which is satisfied when the parties are afforded notice and the opportunity to appear and be heard</w:t>
      </w:r>
      <w:r w:rsidRPr="00891725">
        <w:rPr>
          <w:rFonts w:eastAsiaTheme="minorHAnsi"/>
          <w:iCs/>
          <w:sz w:val="26"/>
          <w:szCs w:val="26"/>
        </w:rPr>
        <w:t xml:space="preserve">.  </w:t>
      </w:r>
      <w:r w:rsidRPr="00BB2260">
        <w:rPr>
          <w:rFonts w:eastAsiaTheme="minorHAnsi"/>
          <w:i/>
          <w:sz w:val="26"/>
          <w:szCs w:val="26"/>
        </w:rPr>
        <w:t>Id.</w:t>
      </w:r>
      <w:r>
        <w:rPr>
          <w:rFonts w:eastAsiaTheme="minorHAnsi"/>
          <w:iCs/>
          <w:sz w:val="26"/>
          <w:szCs w:val="26"/>
        </w:rPr>
        <w:t xml:space="preserve"> at 4-5 (citing </w:t>
      </w:r>
      <w:r w:rsidRPr="008505D3">
        <w:rPr>
          <w:rFonts w:eastAsiaTheme="minorHAnsi"/>
          <w:i/>
          <w:sz w:val="26"/>
          <w:szCs w:val="26"/>
        </w:rPr>
        <w:t>Schneider v. Pa. PUC</w:t>
      </w:r>
      <w:r>
        <w:rPr>
          <w:rFonts w:eastAsiaTheme="minorHAnsi"/>
          <w:iCs/>
          <w:sz w:val="26"/>
          <w:szCs w:val="26"/>
        </w:rPr>
        <w:t>, 479 A.2d 10, 15 (Pa.</w:t>
      </w:r>
      <w:r w:rsidR="00B85DAD">
        <w:rPr>
          <w:rFonts w:eastAsiaTheme="minorHAnsi"/>
          <w:iCs/>
          <w:sz w:val="26"/>
          <w:szCs w:val="26"/>
        </w:rPr>
        <w:t> </w:t>
      </w:r>
      <w:r>
        <w:rPr>
          <w:rFonts w:eastAsiaTheme="minorHAnsi"/>
          <w:iCs/>
          <w:sz w:val="26"/>
          <w:szCs w:val="26"/>
        </w:rPr>
        <w:t>Cmwlth. 1984) (</w:t>
      </w:r>
      <w:r w:rsidRPr="009B6BBD">
        <w:rPr>
          <w:rFonts w:eastAsiaTheme="minorHAnsi"/>
          <w:i/>
          <w:sz w:val="26"/>
          <w:szCs w:val="26"/>
        </w:rPr>
        <w:t>Schneider</w:t>
      </w:r>
      <w:r>
        <w:rPr>
          <w:rFonts w:eastAsiaTheme="minorHAnsi"/>
          <w:iCs/>
          <w:sz w:val="26"/>
          <w:szCs w:val="26"/>
        </w:rPr>
        <w:t xml:space="preserve">), citing </w:t>
      </w:r>
      <w:r w:rsidRPr="008505D3">
        <w:rPr>
          <w:rFonts w:eastAsiaTheme="minorHAnsi"/>
          <w:i/>
          <w:sz w:val="26"/>
          <w:szCs w:val="26"/>
        </w:rPr>
        <w:t>Fuscaro v. Pa. PUC</w:t>
      </w:r>
      <w:r>
        <w:rPr>
          <w:rFonts w:eastAsiaTheme="minorHAnsi"/>
          <w:iCs/>
          <w:sz w:val="26"/>
          <w:szCs w:val="26"/>
        </w:rPr>
        <w:t>, 382 A.2d 794 (Pa.</w:t>
      </w:r>
      <w:r w:rsidR="00B85DAD">
        <w:rPr>
          <w:rFonts w:eastAsiaTheme="minorHAnsi"/>
          <w:iCs/>
          <w:sz w:val="26"/>
          <w:szCs w:val="26"/>
        </w:rPr>
        <w:t> </w:t>
      </w:r>
      <w:r>
        <w:rPr>
          <w:rFonts w:eastAsiaTheme="minorHAnsi"/>
          <w:iCs/>
          <w:sz w:val="26"/>
          <w:szCs w:val="26"/>
        </w:rPr>
        <w:t>Cmwlth.</w:t>
      </w:r>
      <w:r w:rsidR="00B85DAD">
        <w:rPr>
          <w:rFonts w:eastAsiaTheme="minorHAnsi"/>
          <w:iCs/>
          <w:sz w:val="26"/>
          <w:szCs w:val="26"/>
        </w:rPr>
        <w:t> </w:t>
      </w:r>
      <w:r>
        <w:rPr>
          <w:rFonts w:eastAsiaTheme="minorHAnsi"/>
          <w:iCs/>
          <w:sz w:val="26"/>
          <w:szCs w:val="26"/>
        </w:rPr>
        <w:t>1978) (</w:t>
      </w:r>
      <w:r w:rsidRPr="009B6BBD">
        <w:rPr>
          <w:rFonts w:eastAsiaTheme="minorHAnsi"/>
          <w:i/>
          <w:sz w:val="26"/>
          <w:szCs w:val="26"/>
        </w:rPr>
        <w:t>Fuscaro</w:t>
      </w:r>
      <w:r>
        <w:rPr>
          <w:rFonts w:eastAsiaTheme="minorHAnsi"/>
          <w:iCs/>
          <w:sz w:val="26"/>
          <w:szCs w:val="26"/>
        </w:rPr>
        <w:t>)).  Further, the Company</w:t>
      </w:r>
      <w:r w:rsidRPr="00891725">
        <w:rPr>
          <w:rFonts w:eastAsiaTheme="minorHAnsi"/>
          <w:iCs/>
          <w:sz w:val="26"/>
          <w:szCs w:val="26"/>
        </w:rPr>
        <w:t xml:space="preserve"> argues that an individual consumer may not represent the interests of other customers and Mr.</w:t>
      </w:r>
      <w:r>
        <w:rPr>
          <w:rFonts w:eastAsiaTheme="minorHAnsi"/>
          <w:iCs/>
          <w:sz w:val="26"/>
          <w:szCs w:val="26"/>
        </w:rPr>
        <w:t> </w:t>
      </w:r>
      <w:r w:rsidRPr="00891725">
        <w:rPr>
          <w:rFonts w:eastAsiaTheme="minorHAnsi"/>
          <w:iCs/>
          <w:sz w:val="26"/>
          <w:szCs w:val="26"/>
        </w:rPr>
        <w:t xml:space="preserve">Zimmerman’s Comments disregard the fact that the Settlement is based on unproven allegations.  </w:t>
      </w:r>
      <w:r>
        <w:rPr>
          <w:rFonts w:eastAsiaTheme="minorHAnsi"/>
          <w:iCs/>
          <w:sz w:val="26"/>
          <w:szCs w:val="26"/>
        </w:rPr>
        <w:t xml:space="preserve">Moreover, Discount claims that the Commission may not grant Mr. Zimmerman’s request for relief.  </w:t>
      </w:r>
      <w:r w:rsidRPr="002472CD">
        <w:rPr>
          <w:rFonts w:eastAsiaTheme="minorHAnsi"/>
          <w:i/>
          <w:sz w:val="26"/>
          <w:szCs w:val="26"/>
        </w:rPr>
        <w:t>Id.</w:t>
      </w:r>
      <w:r>
        <w:rPr>
          <w:rFonts w:eastAsiaTheme="minorHAnsi"/>
          <w:iCs/>
          <w:sz w:val="26"/>
          <w:szCs w:val="26"/>
        </w:rPr>
        <w:t xml:space="preserve"> at 2-3.</w:t>
      </w:r>
    </w:p>
    <w:p w14:paraId="7BB393AE" w14:textId="77777777" w:rsidR="00F1586E" w:rsidRDefault="00F1586E" w:rsidP="0051221F">
      <w:pPr>
        <w:spacing w:line="360" w:lineRule="auto"/>
        <w:ind w:firstLine="1440"/>
        <w:contextualSpacing/>
        <w:rPr>
          <w:rFonts w:eastAsiaTheme="minorHAnsi"/>
          <w:iCs/>
          <w:sz w:val="26"/>
          <w:szCs w:val="26"/>
        </w:rPr>
      </w:pPr>
    </w:p>
    <w:p w14:paraId="1BF01EA6" w14:textId="692A62FE" w:rsidR="0051221F" w:rsidRPr="00BC62CC" w:rsidRDefault="0051221F" w:rsidP="0051221F">
      <w:pPr>
        <w:spacing w:line="360" w:lineRule="auto"/>
        <w:ind w:firstLine="1440"/>
        <w:contextualSpacing/>
        <w:rPr>
          <w:rFonts w:eastAsiaTheme="minorHAnsi"/>
          <w:iCs/>
          <w:sz w:val="26"/>
          <w:szCs w:val="26"/>
        </w:rPr>
      </w:pPr>
      <w:r w:rsidRPr="00FF3A01">
        <w:rPr>
          <w:rFonts w:eastAsiaTheme="minorHAnsi"/>
          <w:iCs/>
          <w:sz w:val="26"/>
          <w:szCs w:val="26"/>
        </w:rPr>
        <w:t xml:space="preserve">Discount </w:t>
      </w:r>
      <w:r w:rsidR="008A66EA">
        <w:rPr>
          <w:rFonts w:eastAsiaTheme="minorHAnsi"/>
          <w:iCs/>
          <w:sz w:val="26"/>
          <w:szCs w:val="26"/>
        </w:rPr>
        <w:t xml:space="preserve">challenges </w:t>
      </w:r>
      <w:r w:rsidR="00602132">
        <w:rPr>
          <w:rFonts w:eastAsiaTheme="minorHAnsi"/>
          <w:iCs/>
          <w:sz w:val="26"/>
          <w:szCs w:val="26"/>
        </w:rPr>
        <w:t>the relevanc</w:t>
      </w:r>
      <w:r w:rsidR="00C97564">
        <w:rPr>
          <w:rFonts w:eastAsiaTheme="minorHAnsi"/>
          <w:iCs/>
          <w:sz w:val="26"/>
          <w:szCs w:val="26"/>
        </w:rPr>
        <w:t>e</w:t>
      </w:r>
      <w:r w:rsidR="00602132">
        <w:rPr>
          <w:rFonts w:eastAsiaTheme="minorHAnsi"/>
          <w:iCs/>
          <w:sz w:val="26"/>
          <w:szCs w:val="26"/>
        </w:rPr>
        <w:t xml:space="preserve"> of </w:t>
      </w:r>
      <w:r w:rsidRPr="00FF3A01">
        <w:rPr>
          <w:rFonts w:eastAsiaTheme="minorHAnsi"/>
          <w:iCs/>
          <w:sz w:val="26"/>
          <w:szCs w:val="26"/>
        </w:rPr>
        <w:t>Mr.</w:t>
      </w:r>
      <w:r>
        <w:rPr>
          <w:rFonts w:eastAsiaTheme="minorHAnsi"/>
          <w:iCs/>
          <w:sz w:val="26"/>
          <w:szCs w:val="26"/>
        </w:rPr>
        <w:t> </w:t>
      </w:r>
      <w:r w:rsidRPr="00FF3A01">
        <w:rPr>
          <w:rFonts w:eastAsiaTheme="minorHAnsi"/>
          <w:iCs/>
          <w:sz w:val="26"/>
          <w:szCs w:val="26"/>
        </w:rPr>
        <w:t>Zimmerman</w:t>
      </w:r>
      <w:r w:rsidR="008A66EA">
        <w:rPr>
          <w:rFonts w:eastAsiaTheme="minorHAnsi"/>
          <w:iCs/>
          <w:sz w:val="26"/>
          <w:szCs w:val="26"/>
        </w:rPr>
        <w:t xml:space="preserve">’s allegation </w:t>
      </w:r>
      <w:r w:rsidRPr="00FF3A01">
        <w:rPr>
          <w:rFonts w:eastAsiaTheme="minorHAnsi"/>
          <w:iCs/>
          <w:sz w:val="26"/>
          <w:szCs w:val="26"/>
        </w:rPr>
        <w:t>that he</w:t>
      </w:r>
      <w:r>
        <w:rPr>
          <w:rFonts w:eastAsiaTheme="minorHAnsi"/>
          <w:iCs/>
          <w:sz w:val="26"/>
          <w:szCs w:val="26"/>
        </w:rPr>
        <w:t xml:space="preserve"> </w:t>
      </w:r>
      <w:r w:rsidRPr="00FF3A01">
        <w:rPr>
          <w:rFonts w:eastAsiaTheme="minorHAnsi"/>
          <w:iCs/>
          <w:sz w:val="26"/>
          <w:szCs w:val="26"/>
        </w:rPr>
        <w:t xml:space="preserve">received a telemarketing call </w:t>
      </w:r>
      <w:r>
        <w:rPr>
          <w:rFonts w:eastAsiaTheme="minorHAnsi"/>
          <w:iCs/>
          <w:sz w:val="26"/>
          <w:szCs w:val="26"/>
        </w:rPr>
        <w:t>from the Company</w:t>
      </w:r>
      <w:r w:rsidRPr="00FF3A01">
        <w:rPr>
          <w:rFonts w:eastAsiaTheme="minorHAnsi"/>
          <w:iCs/>
          <w:sz w:val="26"/>
          <w:szCs w:val="26"/>
        </w:rPr>
        <w:t>,</w:t>
      </w:r>
      <w:r w:rsidR="008A66EA">
        <w:rPr>
          <w:rFonts w:eastAsiaTheme="minorHAnsi"/>
          <w:iCs/>
          <w:sz w:val="26"/>
          <w:szCs w:val="26"/>
        </w:rPr>
        <w:t xml:space="preserve"> explaining that</w:t>
      </w:r>
      <w:r w:rsidRPr="00FF3A01">
        <w:rPr>
          <w:rFonts w:eastAsiaTheme="minorHAnsi"/>
          <w:iCs/>
          <w:sz w:val="26"/>
          <w:szCs w:val="26"/>
        </w:rPr>
        <w:t xml:space="preserve"> I&amp;E’s informal investigation examined </w:t>
      </w:r>
      <w:r>
        <w:rPr>
          <w:rFonts w:eastAsiaTheme="minorHAnsi"/>
          <w:iCs/>
          <w:sz w:val="26"/>
          <w:szCs w:val="26"/>
        </w:rPr>
        <w:t>Discount’s</w:t>
      </w:r>
      <w:r w:rsidRPr="00FF3A01">
        <w:rPr>
          <w:rFonts w:eastAsiaTheme="minorHAnsi"/>
          <w:iCs/>
          <w:sz w:val="26"/>
          <w:szCs w:val="26"/>
        </w:rPr>
        <w:t xml:space="preserve"> sales and marketing practices from 2019 through May</w:t>
      </w:r>
      <w:r w:rsidR="009629B7">
        <w:rPr>
          <w:rFonts w:eastAsiaTheme="minorHAnsi"/>
          <w:iCs/>
          <w:sz w:val="26"/>
          <w:szCs w:val="26"/>
        </w:rPr>
        <w:t> </w:t>
      </w:r>
      <w:r w:rsidRPr="00FF3A01">
        <w:rPr>
          <w:rFonts w:eastAsiaTheme="minorHAnsi"/>
          <w:iCs/>
          <w:sz w:val="26"/>
          <w:szCs w:val="26"/>
        </w:rPr>
        <w:t>2021</w:t>
      </w:r>
      <w:r w:rsidR="008A66EA">
        <w:rPr>
          <w:rFonts w:eastAsiaTheme="minorHAnsi"/>
          <w:iCs/>
          <w:sz w:val="26"/>
          <w:szCs w:val="26"/>
        </w:rPr>
        <w:t xml:space="preserve"> and</w:t>
      </w:r>
      <w:r w:rsidR="00B9613B">
        <w:rPr>
          <w:rFonts w:eastAsiaTheme="minorHAnsi"/>
          <w:iCs/>
          <w:sz w:val="26"/>
          <w:szCs w:val="26"/>
        </w:rPr>
        <w:t xml:space="preserve">, </w:t>
      </w:r>
      <w:r>
        <w:rPr>
          <w:rFonts w:eastAsiaTheme="minorHAnsi"/>
          <w:iCs/>
          <w:sz w:val="26"/>
          <w:szCs w:val="26"/>
        </w:rPr>
        <w:t xml:space="preserve">because </w:t>
      </w:r>
      <w:r w:rsidRPr="00CD63DA">
        <w:rPr>
          <w:rFonts w:eastAsiaTheme="minorHAnsi"/>
          <w:iCs/>
          <w:sz w:val="26"/>
          <w:szCs w:val="26"/>
        </w:rPr>
        <w:t>Mr.</w:t>
      </w:r>
      <w:r>
        <w:rPr>
          <w:rFonts w:eastAsiaTheme="minorHAnsi"/>
          <w:iCs/>
          <w:sz w:val="26"/>
          <w:szCs w:val="26"/>
        </w:rPr>
        <w:t> </w:t>
      </w:r>
      <w:r w:rsidRPr="00CD63DA">
        <w:rPr>
          <w:rFonts w:eastAsiaTheme="minorHAnsi"/>
          <w:iCs/>
          <w:sz w:val="26"/>
          <w:szCs w:val="26"/>
        </w:rPr>
        <w:t>Zimmerman allegedly received</w:t>
      </w:r>
      <w:r w:rsidR="00733114">
        <w:rPr>
          <w:rFonts w:eastAsiaTheme="minorHAnsi"/>
          <w:iCs/>
          <w:sz w:val="26"/>
          <w:szCs w:val="26"/>
        </w:rPr>
        <w:t xml:space="preserve"> </w:t>
      </w:r>
      <w:r w:rsidR="005D767E">
        <w:rPr>
          <w:rFonts w:eastAsiaTheme="minorHAnsi"/>
          <w:iCs/>
          <w:sz w:val="26"/>
          <w:szCs w:val="26"/>
        </w:rPr>
        <w:t>the</w:t>
      </w:r>
      <w:r w:rsidR="00733114">
        <w:rPr>
          <w:rFonts w:eastAsiaTheme="minorHAnsi"/>
          <w:iCs/>
          <w:sz w:val="26"/>
          <w:szCs w:val="26"/>
        </w:rPr>
        <w:t xml:space="preserve"> </w:t>
      </w:r>
      <w:r>
        <w:rPr>
          <w:rFonts w:eastAsiaTheme="minorHAnsi"/>
          <w:iCs/>
          <w:sz w:val="26"/>
          <w:szCs w:val="26"/>
        </w:rPr>
        <w:t xml:space="preserve">telemarketing call </w:t>
      </w:r>
      <w:r w:rsidR="00733114">
        <w:rPr>
          <w:rFonts w:eastAsiaTheme="minorHAnsi"/>
          <w:iCs/>
          <w:sz w:val="26"/>
          <w:szCs w:val="26"/>
        </w:rPr>
        <w:t>from the Company</w:t>
      </w:r>
      <w:r w:rsidR="005D767E">
        <w:rPr>
          <w:rFonts w:eastAsiaTheme="minorHAnsi"/>
          <w:iCs/>
          <w:sz w:val="26"/>
          <w:szCs w:val="26"/>
        </w:rPr>
        <w:t xml:space="preserve"> on December 6, 2021</w:t>
      </w:r>
      <w:r w:rsidR="00733114">
        <w:rPr>
          <w:rFonts w:eastAsiaTheme="minorHAnsi"/>
          <w:iCs/>
          <w:sz w:val="26"/>
          <w:szCs w:val="26"/>
        </w:rPr>
        <w:t xml:space="preserve"> </w:t>
      </w:r>
      <w:r w:rsidR="005D767E">
        <w:rPr>
          <w:rFonts w:eastAsiaTheme="minorHAnsi"/>
          <w:iCs/>
          <w:sz w:val="26"/>
          <w:szCs w:val="26"/>
        </w:rPr>
        <w:t>(</w:t>
      </w:r>
      <w:r w:rsidR="00DA09A7">
        <w:rPr>
          <w:rFonts w:eastAsiaTheme="minorHAnsi"/>
          <w:iCs/>
          <w:sz w:val="26"/>
          <w:szCs w:val="26"/>
        </w:rPr>
        <w:t xml:space="preserve">or </w:t>
      </w:r>
      <w:r w:rsidRPr="00CD63DA">
        <w:rPr>
          <w:rFonts w:eastAsiaTheme="minorHAnsi"/>
          <w:iCs/>
          <w:sz w:val="26"/>
          <w:szCs w:val="26"/>
        </w:rPr>
        <w:t xml:space="preserve">outside of I&amp;E’s investigation </w:t>
      </w:r>
      <w:r>
        <w:rPr>
          <w:rFonts w:eastAsiaTheme="minorHAnsi"/>
          <w:iCs/>
          <w:sz w:val="26"/>
          <w:szCs w:val="26"/>
        </w:rPr>
        <w:t>timeframe</w:t>
      </w:r>
      <w:r w:rsidR="005D767E">
        <w:rPr>
          <w:rFonts w:eastAsiaTheme="minorHAnsi"/>
          <w:iCs/>
          <w:sz w:val="26"/>
          <w:szCs w:val="26"/>
        </w:rPr>
        <w:t>)</w:t>
      </w:r>
      <w:r>
        <w:rPr>
          <w:rFonts w:eastAsiaTheme="minorHAnsi"/>
          <w:iCs/>
          <w:sz w:val="26"/>
          <w:szCs w:val="26"/>
        </w:rPr>
        <w:t xml:space="preserve">, the </w:t>
      </w:r>
      <w:r>
        <w:rPr>
          <w:rFonts w:eastAsiaTheme="minorHAnsi"/>
          <w:iCs/>
          <w:sz w:val="26"/>
          <w:szCs w:val="26"/>
        </w:rPr>
        <w:lastRenderedPageBreak/>
        <w:t xml:space="preserve">call is </w:t>
      </w:r>
      <w:r w:rsidRPr="00CD63DA">
        <w:rPr>
          <w:rFonts w:eastAsiaTheme="minorHAnsi"/>
          <w:iCs/>
          <w:sz w:val="26"/>
          <w:szCs w:val="26"/>
        </w:rPr>
        <w:t>beyond the scope of this proceeding</w:t>
      </w:r>
      <w:r>
        <w:rPr>
          <w:rFonts w:eastAsiaTheme="minorHAnsi"/>
          <w:iCs/>
          <w:sz w:val="26"/>
          <w:szCs w:val="26"/>
        </w:rPr>
        <w:t xml:space="preserve"> and</w:t>
      </w:r>
      <w:r w:rsidR="00ED5F27">
        <w:rPr>
          <w:rFonts w:eastAsiaTheme="minorHAnsi"/>
          <w:iCs/>
          <w:sz w:val="26"/>
          <w:szCs w:val="26"/>
        </w:rPr>
        <w:t xml:space="preserve"> is</w:t>
      </w:r>
      <w:r>
        <w:rPr>
          <w:rFonts w:eastAsiaTheme="minorHAnsi"/>
          <w:iCs/>
          <w:sz w:val="26"/>
          <w:szCs w:val="26"/>
        </w:rPr>
        <w:t xml:space="preserve">, </w:t>
      </w:r>
      <w:r w:rsidR="00DA09A7">
        <w:rPr>
          <w:rFonts w:eastAsiaTheme="minorHAnsi"/>
          <w:iCs/>
          <w:sz w:val="26"/>
          <w:szCs w:val="26"/>
        </w:rPr>
        <w:t>therefore</w:t>
      </w:r>
      <w:r w:rsidRPr="00CD63DA">
        <w:rPr>
          <w:rFonts w:eastAsiaTheme="minorHAnsi"/>
          <w:iCs/>
          <w:sz w:val="26"/>
          <w:szCs w:val="26"/>
        </w:rPr>
        <w:t>,</w:t>
      </w:r>
      <w:r w:rsidR="00ED5F27">
        <w:rPr>
          <w:rFonts w:eastAsiaTheme="minorHAnsi"/>
          <w:iCs/>
          <w:sz w:val="26"/>
          <w:szCs w:val="26"/>
        </w:rPr>
        <w:t xml:space="preserve"> </w:t>
      </w:r>
      <w:r w:rsidRPr="00CD63DA">
        <w:rPr>
          <w:rFonts w:eastAsiaTheme="minorHAnsi"/>
          <w:iCs/>
          <w:sz w:val="26"/>
          <w:szCs w:val="26"/>
        </w:rPr>
        <w:t xml:space="preserve">irrelevant to whether the Settlement is in the public interest </w:t>
      </w:r>
      <w:r>
        <w:rPr>
          <w:rFonts w:eastAsiaTheme="minorHAnsi"/>
          <w:iCs/>
          <w:sz w:val="26"/>
          <w:szCs w:val="26"/>
        </w:rPr>
        <w:t>or is in accordance</w:t>
      </w:r>
      <w:r w:rsidRPr="00CD63DA">
        <w:rPr>
          <w:rFonts w:eastAsiaTheme="minorHAnsi"/>
          <w:iCs/>
          <w:sz w:val="26"/>
          <w:szCs w:val="26"/>
        </w:rPr>
        <w:t xml:space="preserve"> with the Policy Statement at 52</w:t>
      </w:r>
      <w:r w:rsidR="00025E64">
        <w:rPr>
          <w:rFonts w:eastAsiaTheme="minorHAnsi"/>
          <w:iCs/>
          <w:sz w:val="26"/>
          <w:szCs w:val="26"/>
        </w:rPr>
        <w:t> </w:t>
      </w:r>
      <w:r w:rsidRPr="00CD63DA">
        <w:rPr>
          <w:rFonts w:eastAsiaTheme="minorHAnsi"/>
          <w:iCs/>
          <w:sz w:val="26"/>
          <w:szCs w:val="26"/>
        </w:rPr>
        <w:t>Pa.</w:t>
      </w:r>
      <w:r w:rsidR="00025E64">
        <w:rPr>
          <w:rFonts w:eastAsiaTheme="minorHAnsi"/>
          <w:iCs/>
          <w:sz w:val="26"/>
          <w:szCs w:val="26"/>
        </w:rPr>
        <w:t> </w:t>
      </w:r>
      <w:r w:rsidRPr="00CD63DA">
        <w:rPr>
          <w:rFonts w:eastAsiaTheme="minorHAnsi"/>
          <w:iCs/>
          <w:sz w:val="26"/>
          <w:szCs w:val="26"/>
        </w:rPr>
        <w:t>Code §</w:t>
      </w:r>
      <w:r>
        <w:rPr>
          <w:rFonts w:eastAsiaTheme="minorHAnsi"/>
          <w:iCs/>
          <w:sz w:val="26"/>
          <w:szCs w:val="26"/>
        </w:rPr>
        <w:t> </w:t>
      </w:r>
      <w:r w:rsidRPr="00CD63DA">
        <w:rPr>
          <w:rFonts w:eastAsiaTheme="minorHAnsi"/>
          <w:iCs/>
          <w:sz w:val="26"/>
          <w:szCs w:val="26"/>
        </w:rPr>
        <w:t xml:space="preserve">69.1201.  </w:t>
      </w:r>
      <w:r w:rsidR="00D53EAC">
        <w:rPr>
          <w:rFonts w:eastAsiaTheme="minorHAnsi"/>
          <w:iCs/>
          <w:sz w:val="26"/>
          <w:szCs w:val="26"/>
        </w:rPr>
        <w:t xml:space="preserve">Further, </w:t>
      </w:r>
      <w:r w:rsidRPr="00BC62CC">
        <w:rPr>
          <w:rFonts w:eastAsiaTheme="minorHAnsi"/>
          <w:iCs/>
          <w:sz w:val="26"/>
          <w:szCs w:val="26"/>
        </w:rPr>
        <w:t xml:space="preserve">Discount cites </w:t>
      </w:r>
      <w:r w:rsidR="00BD40F4" w:rsidRPr="00562E85">
        <w:rPr>
          <w:i/>
          <w:iCs/>
          <w:sz w:val="26"/>
          <w:szCs w:val="26"/>
        </w:rPr>
        <w:t>Verde Energy</w:t>
      </w:r>
      <w:r w:rsidRPr="00BC62CC">
        <w:rPr>
          <w:rFonts w:eastAsiaTheme="minorHAnsi"/>
          <w:iCs/>
          <w:sz w:val="26"/>
          <w:szCs w:val="26"/>
        </w:rPr>
        <w:t xml:space="preserve"> to argue that it would be </w:t>
      </w:r>
      <w:r>
        <w:rPr>
          <w:rFonts w:eastAsiaTheme="minorHAnsi"/>
          <w:iCs/>
          <w:sz w:val="26"/>
          <w:szCs w:val="26"/>
        </w:rPr>
        <w:t>im</w:t>
      </w:r>
      <w:r w:rsidRPr="00BC62CC">
        <w:rPr>
          <w:rFonts w:eastAsiaTheme="minorHAnsi"/>
          <w:iCs/>
          <w:sz w:val="26"/>
          <w:szCs w:val="26"/>
        </w:rPr>
        <w:t xml:space="preserve">proper for the Commission to rely on additional averments </w:t>
      </w:r>
      <w:r>
        <w:rPr>
          <w:rFonts w:eastAsiaTheme="minorHAnsi"/>
          <w:iCs/>
          <w:sz w:val="26"/>
          <w:szCs w:val="26"/>
        </w:rPr>
        <w:t>in determining</w:t>
      </w:r>
      <w:r w:rsidRPr="00BC62CC">
        <w:rPr>
          <w:rFonts w:eastAsiaTheme="minorHAnsi"/>
          <w:iCs/>
          <w:sz w:val="26"/>
          <w:szCs w:val="26"/>
        </w:rPr>
        <w:t xml:space="preserve"> whether the terms of </w:t>
      </w:r>
      <w:r w:rsidR="00ED5F27">
        <w:rPr>
          <w:rFonts w:eastAsiaTheme="minorHAnsi"/>
          <w:iCs/>
          <w:sz w:val="26"/>
          <w:szCs w:val="26"/>
        </w:rPr>
        <w:t xml:space="preserve">a </w:t>
      </w:r>
      <w:r w:rsidRPr="00BC62CC">
        <w:rPr>
          <w:rFonts w:eastAsiaTheme="minorHAnsi"/>
          <w:iCs/>
          <w:sz w:val="26"/>
          <w:szCs w:val="26"/>
        </w:rPr>
        <w:t>settlement are reasonable and in the public interest.  D</w:t>
      </w:r>
      <w:r w:rsidR="00441C95">
        <w:rPr>
          <w:rFonts w:eastAsiaTheme="minorHAnsi"/>
          <w:iCs/>
          <w:sz w:val="26"/>
          <w:szCs w:val="26"/>
        </w:rPr>
        <w:t>PI</w:t>
      </w:r>
      <w:r w:rsidRPr="00BC62CC">
        <w:rPr>
          <w:rFonts w:eastAsiaTheme="minorHAnsi"/>
          <w:iCs/>
          <w:sz w:val="26"/>
          <w:szCs w:val="26"/>
        </w:rPr>
        <w:t xml:space="preserve"> Motion to Strike Zimmerman Comments at 5</w:t>
      </w:r>
      <w:r>
        <w:rPr>
          <w:rFonts w:eastAsiaTheme="minorHAnsi"/>
          <w:iCs/>
          <w:sz w:val="26"/>
          <w:szCs w:val="26"/>
        </w:rPr>
        <w:t>-6</w:t>
      </w:r>
      <w:r w:rsidRPr="00BC62CC">
        <w:rPr>
          <w:rFonts w:eastAsiaTheme="minorHAnsi"/>
          <w:iCs/>
          <w:sz w:val="26"/>
          <w:szCs w:val="26"/>
        </w:rPr>
        <w:t xml:space="preserve"> (citing </w:t>
      </w:r>
      <w:r w:rsidRPr="00153F51">
        <w:rPr>
          <w:rFonts w:eastAsiaTheme="minorHAnsi"/>
          <w:i/>
          <w:sz w:val="26"/>
          <w:szCs w:val="26"/>
        </w:rPr>
        <w:t>Verde Energy</w:t>
      </w:r>
      <w:r w:rsidRPr="00BC62CC">
        <w:rPr>
          <w:rFonts w:eastAsiaTheme="minorHAnsi"/>
          <w:iCs/>
          <w:sz w:val="26"/>
          <w:szCs w:val="26"/>
        </w:rPr>
        <w:t xml:space="preserve"> at 17-19).</w:t>
      </w:r>
    </w:p>
    <w:p w14:paraId="65D486BE" w14:textId="77777777" w:rsidR="0051221F" w:rsidRPr="00385F81" w:rsidRDefault="0051221F" w:rsidP="0051221F">
      <w:pPr>
        <w:spacing w:line="360" w:lineRule="auto"/>
        <w:ind w:firstLine="1440"/>
        <w:contextualSpacing/>
        <w:rPr>
          <w:rFonts w:eastAsiaTheme="minorHAnsi"/>
          <w:iCs/>
          <w:sz w:val="26"/>
          <w:szCs w:val="26"/>
          <w:highlight w:val="yellow"/>
        </w:rPr>
      </w:pPr>
    </w:p>
    <w:p w14:paraId="254208F5" w14:textId="4629921F" w:rsidR="0051221F" w:rsidRDefault="0051221F" w:rsidP="0051221F">
      <w:pPr>
        <w:spacing w:line="360" w:lineRule="auto"/>
        <w:ind w:firstLine="1440"/>
        <w:contextualSpacing/>
        <w:rPr>
          <w:rFonts w:eastAsiaTheme="minorHAnsi"/>
          <w:sz w:val="26"/>
          <w:szCs w:val="26"/>
        </w:rPr>
      </w:pPr>
      <w:r w:rsidRPr="00BB4571">
        <w:rPr>
          <w:rFonts w:eastAsiaTheme="minorHAnsi"/>
          <w:iCs/>
          <w:sz w:val="26"/>
          <w:szCs w:val="26"/>
        </w:rPr>
        <w:t xml:space="preserve">Discount references </w:t>
      </w:r>
      <w:r w:rsidRPr="00BB4571">
        <w:rPr>
          <w:rFonts w:eastAsiaTheme="minorHAnsi"/>
          <w:i/>
          <w:iCs/>
          <w:sz w:val="26"/>
          <w:szCs w:val="26"/>
        </w:rPr>
        <w:t>Pa. Public Utility Commission, Bureau of Investigation and Enforcement v. Clearview Electric, Inc. d/b/a Clearview Energy</w:t>
      </w:r>
      <w:r w:rsidRPr="003D3405">
        <w:rPr>
          <w:rFonts w:eastAsiaTheme="minorHAnsi"/>
          <w:iCs/>
          <w:sz w:val="26"/>
          <w:szCs w:val="26"/>
        </w:rPr>
        <w:t>,</w:t>
      </w:r>
      <w:r w:rsidRPr="00BB4571">
        <w:rPr>
          <w:rFonts w:eastAsiaTheme="minorHAnsi"/>
          <w:iCs/>
          <w:sz w:val="26"/>
          <w:szCs w:val="26"/>
        </w:rPr>
        <w:t xml:space="preserve"> Docket No. C</w:t>
      </w:r>
      <w:r>
        <w:rPr>
          <w:rFonts w:eastAsiaTheme="minorHAnsi"/>
          <w:iCs/>
          <w:sz w:val="26"/>
          <w:szCs w:val="26"/>
        </w:rPr>
        <w:noBreakHyphen/>
      </w:r>
      <w:r w:rsidRPr="00BB4571">
        <w:rPr>
          <w:rFonts w:eastAsiaTheme="minorHAnsi"/>
          <w:iCs/>
          <w:sz w:val="26"/>
          <w:szCs w:val="26"/>
        </w:rPr>
        <w:t>2020-3020127 (Order entered October 28, 2021) (</w:t>
      </w:r>
      <w:r w:rsidRPr="00BB4571">
        <w:rPr>
          <w:rFonts w:eastAsiaTheme="minorHAnsi"/>
          <w:i/>
          <w:sz w:val="26"/>
          <w:szCs w:val="26"/>
        </w:rPr>
        <w:t>Clearview</w:t>
      </w:r>
      <w:r w:rsidRPr="00BB4571">
        <w:rPr>
          <w:rFonts w:eastAsiaTheme="minorHAnsi"/>
          <w:iCs/>
          <w:sz w:val="26"/>
          <w:szCs w:val="26"/>
        </w:rPr>
        <w:t xml:space="preserve">) to argue that, in evaluating a settlement, the Commission reviews the allegations investigated by I&amp;E and considers whether the civil penalty and other provisions of the settlement satisfactorily address those allegations.  </w:t>
      </w:r>
      <w:r w:rsidRPr="00BC62CC">
        <w:rPr>
          <w:rFonts w:eastAsiaTheme="minorHAnsi"/>
          <w:iCs/>
          <w:sz w:val="26"/>
          <w:szCs w:val="26"/>
        </w:rPr>
        <w:t>D</w:t>
      </w:r>
      <w:r w:rsidR="00441C95">
        <w:rPr>
          <w:rFonts w:eastAsiaTheme="minorHAnsi"/>
          <w:iCs/>
          <w:sz w:val="26"/>
          <w:szCs w:val="26"/>
        </w:rPr>
        <w:t>PI</w:t>
      </w:r>
      <w:r w:rsidRPr="00BC62CC">
        <w:rPr>
          <w:rFonts w:eastAsiaTheme="minorHAnsi"/>
          <w:iCs/>
          <w:sz w:val="26"/>
          <w:szCs w:val="26"/>
        </w:rPr>
        <w:t xml:space="preserve"> Motion to Strike</w:t>
      </w:r>
      <w:r>
        <w:rPr>
          <w:rFonts w:eastAsiaTheme="minorHAnsi"/>
          <w:iCs/>
          <w:sz w:val="26"/>
          <w:szCs w:val="26"/>
        </w:rPr>
        <w:t> </w:t>
      </w:r>
      <w:r w:rsidRPr="00BC62CC">
        <w:rPr>
          <w:rFonts w:eastAsiaTheme="minorHAnsi"/>
          <w:iCs/>
          <w:sz w:val="26"/>
          <w:szCs w:val="26"/>
        </w:rPr>
        <w:t xml:space="preserve">Zimmerman Comments at 5 </w:t>
      </w:r>
      <w:r w:rsidRPr="00BB4571">
        <w:rPr>
          <w:rFonts w:eastAsiaTheme="minorHAnsi"/>
          <w:sz w:val="26"/>
          <w:szCs w:val="26"/>
        </w:rPr>
        <w:t>(</w:t>
      </w:r>
      <w:r>
        <w:rPr>
          <w:rFonts w:eastAsiaTheme="minorHAnsi"/>
          <w:sz w:val="26"/>
          <w:szCs w:val="26"/>
        </w:rPr>
        <w:t xml:space="preserve">citing </w:t>
      </w:r>
      <w:r w:rsidRPr="00BB4571">
        <w:rPr>
          <w:rFonts w:eastAsiaTheme="minorHAnsi"/>
          <w:i/>
          <w:iCs/>
          <w:sz w:val="26"/>
          <w:szCs w:val="26"/>
        </w:rPr>
        <w:t>Clearview</w:t>
      </w:r>
      <w:r w:rsidRPr="00BB4571">
        <w:rPr>
          <w:rFonts w:eastAsiaTheme="minorHAnsi"/>
          <w:iCs/>
          <w:sz w:val="26"/>
          <w:szCs w:val="26"/>
        </w:rPr>
        <w:t xml:space="preserve"> at 11-21).  </w:t>
      </w:r>
      <w:r w:rsidRPr="000C0A9D">
        <w:rPr>
          <w:rFonts w:eastAsiaTheme="minorHAnsi"/>
          <w:iCs/>
          <w:sz w:val="26"/>
          <w:szCs w:val="26"/>
        </w:rPr>
        <w:t xml:space="preserve">Discount also refers to </w:t>
      </w:r>
      <w:r w:rsidRPr="000C0A9D">
        <w:rPr>
          <w:rFonts w:eastAsiaTheme="minorHAnsi"/>
          <w:i/>
          <w:iCs/>
          <w:sz w:val="26"/>
          <w:szCs w:val="26"/>
        </w:rPr>
        <w:t>Pa. Public Utility Commission, Bureau of Investigation and Enforcement v. PPL Electric Utilities Corporation</w:t>
      </w:r>
      <w:r w:rsidRPr="000C0A9D">
        <w:rPr>
          <w:rFonts w:eastAsiaTheme="minorHAnsi"/>
          <w:sz w:val="26"/>
          <w:szCs w:val="26"/>
        </w:rPr>
        <w:t>,</w:t>
      </w:r>
      <w:r w:rsidRPr="000C0A9D">
        <w:rPr>
          <w:rFonts w:eastAsiaTheme="minorHAnsi"/>
          <w:i/>
          <w:iCs/>
          <w:sz w:val="26"/>
          <w:szCs w:val="26"/>
        </w:rPr>
        <w:t xml:space="preserve"> </w:t>
      </w:r>
      <w:r w:rsidRPr="000C0A9D">
        <w:rPr>
          <w:rFonts w:eastAsiaTheme="minorHAnsi"/>
          <w:sz w:val="26"/>
          <w:szCs w:val="26"/>
        </w:rPr>
        <w:t>Docket No. M</w:t>
      </w:r>
      <w:r>
        <w:rPr>
          <w:rFonts w:eastAsiaTheme="minorHAnsi"/>
          <w:sz w:val="26"/>
          <w:szCs w:val="26"/>
        </w:rPr>
        <w:noBreakHyphen/>
      </w:r>
      <w:r w:rsidRPr="000C0A9D">
        <w:rPr>
          <w:rFonts w:eastAsiaTheme="minorHAnsi"/>
          <w:sz w:val="26"/>
          <w:szCs w:val="26"/>
        </w:rPr>
        <w:t>2020-3011455 (Order entered August 5, 2021; Tentative Order entered April</w:t>
      </w:r>
      <w:r w:rsidR="00025E64">
        <w:rPr>
          <w:rFonts w:eastAsiaTheme="minorHAnsi"/>
          <w:sz w:val="26"/>
          <w:szCs w:val="26"/>
        </w:rPr>
        <w:t> </w:t>
      </w:r>
      <w:r w:rsidRPr="000C0A9D">
        <w:rPr>
          <w:rFonts w:eastAsiaTheme="minorHAnsi"/>
          <w:sz w:val="26"/>
          <w:szCs w:val="26"/>
        </w:rPr>
        <w:t>16,</w:t>
      </w:r>
      <w:r w:rsidR="00025E64">
        <w:rPr>
          <w:rFonts w:eastAsiaTheme="minorHAnsi"/>
          <w:sz w:val="26"/>
          <w:szCs w:val="26"/>
        </w:rPr>
        <w:t> </w:t>
      </w:r>
      <w:r w:rsidRPr="000C0A9D">
        <w:rPr>
          <w:rFonts w:eastAsiaTheme="minorHAnsi"/>
          <w:sz w:val="26"/>
          <w:szCs w:val="26"/>
        </w:rPr>
        <w:t>2020) (</w:t>
      </w:r>
      <w:r w:rsidRPr="000C0A9D">
        <w:rPr>
          <w:rFonts w:eastAsiaTheme="minorHAnsi"/>
          <w:i/>
          <w:iCs/>
          <w:sz w:val="26"/>
          <w:szCs w:val="26"/>
        </w:rPr>
        <w:t>PPL 2020</w:t>
      </w:r>
      <w:r w:rsidRPr="000C0A9D">
        <w:rPr>
          <w:rFonts w:eastAsiaTheme="minorHAnsi"/>
          <w:sz w:val="26"/>
          <w:szCs w:val="26"/>
        </w:rPr>
        <w:t>) to</w:t>
      </w:r>
      <w:r w:rsidRPr="000C0A9D">
        <w:rPr>
          <w:rFonts w:eastAsiaTheme="minorHAnsi"/>
          <w:i/>
          <w:iCs/>
          <w:sz w:val="26"/>
          <w:szCs w:val="26"/>
        </w:rPr>
        <w:t xml:space="preserve"> </w:t>
      </w:r>
      <w:r w:rsidRPr="000C0A9D">
        <w:rPr>
          <w:rFonts w:eastAsiaTheme="minorHAnsi"/>
          <w:iCs/>
          <w:sz w:val="26"/>
          <w:szCs w:val="26"/>
        </w:rPr>
        <w:t xml:space="preserve">note that it is customary for settlements related to enforcement actions to cover a specific period of time and the Company is unaware of any precedent where the Commission has considered allegations of events that occurred </w:t>
      </w:r>
      <w:r w:rsidRPr="000C0A9D">
        <w:rPr>
          <w:rFonts w:eastAsiaTheme="minorHAnsi"/>
          <w:i/>
          <w:sz w:val="26"/>
          <w:szCs w:val="26"/>
        </w:rPr>
        <w:t>after</w:t>
      </w:r>
      <w:r w:rsidRPr="000C0A9D">
        <w:rPr>
          <w:rFonts w:eastAsiaTheme="minorHAnsi"/>
          <w:iCs/>
          <w:sz w:val="26"/>
          <w:szCs w:val="26"/>
        </w:rPr>
        <w:t xml:space="preserve"> the timeframe of I&amp;E’s investigation.  </w:t>
      </w:r>
      <w:r w:rsidRPr="000C0A9D">
        <w:rPr>
          <w:rFonts w:eastAsiaTheme="minorHAnsi"/>
          <w:i/>
          <w:sz w:val="26"/>
          <w:szCs w:val="26"/>
        </w:rPr>
        <w:t>Id.</w:t>
      </w:r>
      <w:r w:rsidRPr="000C0A9D">
        <w:rPr>
          <w:rFonts w:eastAsiaTheme="minorHAnsi"/>
          <w:iCs/>
          <w:sz w:val="26"/>
          <w:szCs w:val="26"/>
        </w:rPr>
        <w:t xml:space="preserve"> at 5-6</w:t>
      </w:r>
      <w:r>
        <w:rPr>
          <w:rFonts w:eastAsiaTheme="minorHAnsi"/>
          <w:iCs/>
          <w:sz w:val="26"/>
          <w:szCs w:val="26"/>
        </w:rPr>
        <w:t xml:space="preserve"> </w:t>
      </w:r>
      <w:r w:rsidRPr="000C0A9D">
        <w:rPr>
          <w:rFonts w:eastAsiaTheme="minorHAnsi"/>
          <w:iCs/>
          <w:sz w:val="26"/>
          <w:szCs w:val="26"/>
        </w:rPr>
        <w:t>(</w:t>
      </w:r>
      <w:r>
        <w:rPr>
          <w:rFonts w:eastAsiaTheme="minorHAnsi"/>
          <w:iCs/>
          <w:sz w:val="26"/>
          <w:szCs w:val="26"/>
        </w:rPr>
        <w:t xml:space="preserve">citing </w:t>
      </w:r>
      <w:r w:rsidRPr="000C0A9D">
        <w:rPr>
          <w:rFonts w:eastAsiaTheme="minorHAnsi"/>
          <w:i/>
          <w:sz w:val="26"/>
          <w:szCs w:val="26"/>
        </w:rPr>
        <w:t>PPL 2020</w:t>
      </w:r>
      <w:r w:rsidRPr="000C0A9D">
        <w:rPr>
          <w:rFonts w:eastAsiaTheme="minorHAnsi"/>
          <w:iCs/>
          <w:sz w:val="26"/>
          <w:szCs w:val="26"/>
        </w:rPr>
        <w:t xml:space="preserve"> </w:t>
      </w:r>
      <w:r w:rsidRPr="000C0A9D">
        <w:rPr>
          <w:rFonts w:eastAsiaTheme="minorHAnsi"/>
          <w:sz w:val="26"/>
          <w:szCs w:val="26"/>
        </w:rPr>
        <w:t>at 2).</w:t>
      </w:r>
    </w:p>
    <w:p w14:paraId="715E61FD" w14:textId="77777777" w:rsidR="0051221F" w:rsidRPr="000C0A9D" w:rsidRDefault="0051221F" w:rsidP="0051221F">
      <w:pPr>
        <w:spacing w:line="360" w:lineRule="auto"/>
        <w:ind w:firstLine="1440"/>
        <w:contextualSpacing/>
        <w:rPr>
          <w:rFonts w:eastAsiaTheme="minorHAnsi"/>
          <w:i/>
          <w:iCs/>
          <w:sz w:val="26"/>
          <w:szCs w:val="26"/>
        </w:rPr>
      </w:pPr>
    </w:p>
    <w:p w14:paraId="4CE20F96" w14:textId="145124C3" w:rsidR="0051221F" w:rsidRDefault="0051221F" w:rsidP="0051221F">
      <w:pPr>
        <w:spacing w:line="360" w:lineRule="auto"/>
        <w:ind w:firstLine="1440"/>
        <w:contextualSpacing/>
        <w:rPr>
          <w:rFonts w:eastAsiaTheme="minorHAnsi"/>
          <w:i/>
          <w:sz w:val="26"/>
          <w:szCs w:val="26"/>
        </w:rPr>
      </w:pPr>
      <w:r w:rsidRPr="00DD7B63">
        <w:rPr>
          <w:rFonts w:eastAsiaTheme="minorHAnsi"/>
          <w:iCs/>
          <w:sz w:val="26"/>
          <w:szCs w:val="26"/>
        </w:rPr>
        <w:t xml:space="preserve">Discount </w:t>
      </w:r>
      <w:r>
        <w:rPr>
          <w:rFonts w:eastAsiaTheme="minorHAnsi"/>
          <w:iCs/>
          <w:sz w:val="26"/>
          <w:szCs w:val="26"/>
        </w:rPr>
        <w:t xml:space="preserve">also </w:t>
      </w:r>
      <w:r w:rsidR="00591FEF">
        <w:rPr>
          <w:rFonts w:eastAsiaTheme="minorHAnsi"/>
          <w:iCs/>
          <w:sz w:val="26"/>
          <w:szCs w:val="26"/>
        </w:rPr>
        <w:t>argues</w:t>
      </w:r>
      <w:r w:rsidRPr="00DD7B63">
        <w:rPr>
          <w:rFonts w:eastAsiaTheme="minorHAnsi"/>
          <w:iCs/>
          <w:sz w:val="26"/>
          <w:szCs w:val="26"/>
        </w:rPr>
        <w:t xml:space="preserve"> that Mr. Zimmerman’s contention disregards the Commission’s reliance on the Policy Statement </w:t>
      </w:r>
      <w:r>
        <w:rPr>
          <w:rFonts w:eastAsiaTheme="minorHAnsi"/>
          <w:iCs/>
          <w:sz w:val="26"/>
          <w:szCs w:val="26"/>
        </w:rPr>
        <w:t>for examining</w:t>
      </w:r>
      <w:r w:rsidRPr="00DD7B63">
        <w:rPr>
          <w:rFonts w:eastAsiaTheme="minorHAnsi"/>
          <w:iCs/>
          <w:sz w:val="26"/>
          <w:szCs w:val="26"/>
        </w:rPr>
        <w:t xml:space="preserve"> the specific allegations of I&amp;E’s investigation and determin</w:t>
      </w:r>
      <w:r>
        <w:rPr>
          <w:rFonts w:eastAsiaTheme="minorHAnsi"/>
          <w:iCs/>
          <w:sz w:val="26"/>
          <w:szCs w:val="26"/>
        </w:rPr>
        <w:t>ing</w:t>
      </w:r>
      <w:r w:rsidRPr="00DD7B63">
        <w:rPr>
          <w:rFonts w:eastAsiaTheme="minorHAnsi"/>
          <w:iCs/>
          <w:sz w:val="26"/>
          <w:szCs w:val="26"/>
        </w:rPr>
        <w:t xml:space="preserve"> whether the </w:t>
      </w:r>
      <w:r w:rsidR="00716D64">
        <w:rPr>
          <w:rFonts w:eastAsiaTheme="minorHAnsi"/>
          <w:iCs/>
          <w:sz w:val="26"/>
          <w:szCs w:val="26"/>
        </w:rPr>
        <w:t>S</w:t>
      </w:r>
      <w:r w:rsidRPr="00DD7B63">
        <w:rPr>
          <w:rFonts w:eastAsiaTheme="minorHAnsi"/>
          <w:iCs/>
          <w:sz w:val="26"/>
          <w:szCs w:val="26"/>
        </w:rPr>
        <w:t xml:space="preserve">ettlement terms appropriately resolve those allegations.  </w:t>
      </w:r>
      <w:r w:rsidRPr="00BC62CC">
        <w:rPr>
          <w:rFonts w:eastAsiaTheme="minorHAnsi"/>
          <w:iCs/>
          <w:sz w:val="26"/>
          <w:szCs w:val="26"/>
        </w:rPr>
        <w:t>D</w:t>
      </w:r>
      <w:r w:rsidR="00441C95">
        <w:rPr>
          <w:rFonts w:eastAsiaTheme="minorHAnsi"/>
          <w:iCs/>
          <w:sz w:val="26"/>
          <w:szCs w:val="26"/>
        </w:rPr>
        <w:t>PI</w:t>
      </w:r>
      <w:r w:rsidRPr="00BC62CC">
        <w:rPr>
          <w:rFonts w:eastAsiaTheme="minorHAnsi"/>
          <w:iCs/>
          <w:sz w:val="26"/>
          <w:szCs w:val="26"/>
        </w:rPr>
        <w:t xml:space="preserve"> Motion to Strike</w:t>
      </w:r>
      <w:r w:rsidR="00441C95">
        <w:rPr>
          <w:rFonts w:eastAsiaTheme="minorHAnsi"/>
          <w:iCs/>
          <w:sz w:val="26"/>
          <w:szCs w:val="26"/>
        </w:rPr>
        <w:t xml:space="preserve"> </w:t>
      </w:r>
      <w:r w:rsidRPr="00BC62CC">
        <w:rPr>
          <w:rFonts w:eastAsiaTheme="minorHAnsi"/>
          <w:iCs/>
          <w:sz w:val="26"/>
          <w:szCs w:val="26"/>
        </w:rPr>
        <w:t>Zimmerman Comments at</w:t>
      </w:r>
      <w:r>
        <w:rPr>
          <w:rFonts w:eastAsiaTheme="minorHAnsi"/>
          <w:iCs/>
          <w:sz w:val="26"/>
          <w:szCs w:val="26"/>
        </w:rPr>
        <w:t xml:space="preserve"> 6</w:t>
      </w:r>
      <w:r w:rsidR="00BE3E85">
        <w:rPr>
          <w:rFonts w:eastAsiaTheme="minorHAnsi"/>
          <w:iCs/>
          <w:sz w:val="26"/>
          <w:szCs w:val="26"/>
        </w:rPr>
        <w:t xml:space="preserve"> (citing</w:t>
      </w:r>
      <w:r w:rsidR="00C16D67">
        <w:rPr>
          <w:rFonts w:eastAsiaTheme="minorHAnsi"/>
          <w:iCs/>
          <w:sz w:val="26"/>
          <w:szCs w:val="26"/>
        </w:rPr>
        <w:t xml:space="preserve"> </w:t>
      </w:r>
      <w:r w:rsidR="00BE3E85">
        <w:rPr>
          <w:rFonts w:eastAsiaTheme="minorHAnsi"/>
          <w:iCs/>
          <w:sz w:val="26"/>
          <w:szCs w:val="26"/>
        </w:rPr>
        <w:t>Zimmerman Comments at 4)</w:t>
      </w:r>
      <w:r>
        <w:rPr>
          <w:rFonts w:eastAsiaTheme="minorHAnsi"/>
          <w:iCs/>
          <w:sz w:val="26"/>
          <w:szCs w:val="26"/>
        </w:rPr>
        <w:t xml:space="preserve">.  </w:t>
      </w:r>
      <w:r w:rsidR="00C17E4D">
        <w:rPr>
          <w:rFonts w:eastAsiaTheme="minorHAnsi"/>
          <w:iCs/>
          <w:sz w:val="26"/>
          <w:szCs w:val="26"/>
        </w:rPr>
        <w:t>Further</w:t>
      </w:r>
      <w:r w:rsidRPr="00DD7B63">
        <w:rPr>
          <w:rFonts w:eastAsiaTheme="minorHAnsi"/>
          <w:iCs/>
          <w:sz w:val="26"/>
          <w:szCs w:val="26"/>
        </w:rPr>
        <w:t xml:space="preserve">, Discount </w:t>
      </w:r>
      <w:r w:rsidR="009F4F74">
        <w:rPr>
          <w:rFonts w:eastAsiaTheme="minorHAnsi"/>
          <w:iCs/>
          <w:sz w:val="26"/>
          <w:szCs w:val="26"/>
        </w:rPr>
        <w:t>contends</w:t>
      </w:r>
      <w:r w:rsidR="00F57DE9">
        <w:rPr>
          <w:rFonts w:eastAsiaTheme="minorHAnsi"/>
          <w:iCs/>
          <w:sz w:val="26"/>
          <w:szCs w:val="26"/>
        </w:rPr>
        <w:t xml:space="preserve"> that</w:t>
      </w:r>
      <w:r w:rsidRPr="00DD7B63">
        <w:rPr>
          <w:rFonts w:eastAsiaTheme="minorHAnsi"/>
          <w:iCs/>
          <w:sz w:val="26"/>
          <w:szCs w:val="26"/>
        </w:rPr>
        <w:t xml:space="preserve"> an event that allegedly occurred outside of the timeframe of the investigation has no bearing on the factors indicated by the Policy Statement</w:t>
      </w:r>
      <w:r w:rsidR="00E33642">
        <w:rPr>
          <w:rFonts w:eastAsiaTheme="minorHAnsi"/>
          <w:iCs/>
          <w:sz w:val="26"/>
          <w:szCs w:val="26"/>
        </w:rPr>
        <w:t xml:space="preserve"> and</w:t>
      </w:r>
      <w:r>
        <w:rPr>
          <w:rFonts w:eastAsiaTheme="minorHAnsi"/>
          <w:iCs/>
          <w:sz w:val="26"/>
          <w:szCs w:val="26"/>
        </w:rPr>
        <w:t xml:space="preserve">, if </w:t>
      </w:r>
      <w:r w:rsidRPr="00683CB9">
        <w:rPr>
          <w:rFonts w:eastAsiaTheme="minorHAnsi"/>
          <w:iCs/>
          <w:sz w:val="26"/>
          <w:szCs w:val="26"/>
        </w:rPr>
        <w:t xml:space="preserve">subsequent events </w:t>
      </w:r>
      <w:r>
        <w:rPr>
          <w:rFonts w:eastAsiaTheme="minorHAnsi"/>
          <w:iCs/>
          <w:sz w:val="26"/>
          <w:szCs w:val="26"/>
        </w:rPr>
        <w:t>were</w:t>
      </w:r>
      <w:r w:rsidRPr="00683CB9">
        <w:rPr>
          <w:rFonts w:eastAsiaTheme="minorHAnsi"/>
          <w:iCs/>
          <w:sz w:val="26"/>
          <w:szCs w:val="26"/>
        </w:rPr>
        <w:t xml:space="preserve"> considered</w:t>
      </w:r>
      <w:r>
        <w:rPr>
          <w:rFonts w:eastAsiaTheme="minorHAnsi"/>
          <w:iCs/>
          <w:sz w:val="26"/>
          <w:szCs w:val="26"/>
        </w:rPr>
        <w:t xml:space="preserve">, Mr. Zimmerman’s alleged receipt of a telemarketing call from the Company after the timeframe of the investigation </w:t>
      </w:r>
      <w:r w:rsidRPr="009B1F18">
        <w:rPr>
          <w:rFonts w:eastAsiaTheme="minorHAnsi"/>
          <w:iCs/>
          <w:sz w:val="26"/>
          <w:szCs w:val="26"/>
        </w:rPr>
        <w:t xml:space="preserve">would </w:t>
      </w:r>
      <w:r w:rsidRPr="009B1F18">
        <w:rPr>
          <w:rFonts w:eastAsiaTheme="minorHAnsi"/>
          <w:iCs/>
          <w:sz w:val="26"/>
          <w:szCs w:val="26"/>
        </w:rPr>
        <w:lastRenderedPageBreak/>
        <w:t xml:space="preserve">not </w:t>
      </w:r>
      <w:r>
        <w:rPr>
          <w:rFonts w:eastAsiaTheme="minorHAnsi"/>
          <w:iCs/>
          <w:sz w:val="26"/>
          <w:szCs w:val="26"/>
        </w:rPr>
        <w:t>impact</w:t>
      </w:r>
      <w:r w:rsidRPr="009B1F18">
        <w:rPr>
          <w:rFonts w:eastAsiaTheme="minorHAnsi"/>
          <w:iCs/>
          <w:sz w:val="26"/>
          <w:szCs w:val="26"/>
        </w:rPr>
        <w:t xml:space="preserve"> the seriousness of the alleged violations</w:t>
      </w:r>
      <w:r w:rsidR="00E33642">
        <w:rPr>
          <w:rFonts w:eastAsiaTheme="minorHAnsi"/>
          <w:iCs/>
          <w:sz w:val="26"/>
          <w:szCs w:val="26"/>
        </w:rPr>
        <w:t>,</w:t>
      </w:r>
      <w:r>
        <w:rPr>
          <w:rFonts w:eastAsiaTheme="minorHAnsi"/>
          <w:iCs/>
          <w:sz w:val="26"/>
          <w:szCs w:val="26"/>
        </w:rPr>
        <w:t xml:space="preserve"> </w:t>
      </w:r>
      <w:r w:rsidR="00E33642">
        <w:rPr>
          <w:rFonts w:eastAsiaTheme="minorHAnsi"/>
          <w:iCs/>
          <w:sz w:val="26"/>
          <w:szCs w:val="26"/>
        </w:rPr>
        <w:t>nor would it</w:t>
      </w:r>
      <w:r>
        <w:rPr>
          <w:rFonts w:eastAsiaTheme="minorHAnsi"/>
          <w:iCs/>
          <w:sz w:val="26"/>
          <w:szCs w:val="26"/>
        </w:rPr>
        <w:t xml:space="preserve"> alter the Company’s prior compliance history or the fact that Discount cooperated with I&amp;E’s investigation</w:t>
      </w:r>
      <w:r w:rsidRPr="009B1F18">
        <w:rPr>
          <w:rFonts w:eastAsiaTheme="minorHAnsi"/>
          <w:iCs/>
          <w:sz w:val="26"/>
          <w:szCs w:val="26"/>
        </w:rPr>
        <w:t>.</w:t>
      </w:r>
      <w:r>
        <w:rPr>
          <w:rFonts w:eastAsiaTheme="minorHAnsi"/>
          <w:iCs/>
          <w:sz w:val="26"/>
          <w:szCs w:val="26"/>
        </w:rPr>
        <w:t xml:space="preserve">  </w:t>
      </w:r>
      <w:r w:rsidRPr="00B56D9E">
        <w:rPr>
          <w:rFonts w:eastAsiaTheme="minorHAnsi"/>
          <w:i/>
          <w:sz w:val="26"/>
          <w:szCs w:val="26"/>
        </w:rPr>
        <w:t>Id.</w:t>
      </w:r>
    </w:p>
    <w:p w14:paraId="58197A69" w14:textId="77777777" w:rsidR="009F4F74" w:rsidRPr="009F4F74" w:rsidRDefault="009F4F74" w:rsidP="0051221F">
      <w:pPr>
        <w:spacing w:line="360" w:lineRule="auto"/>
        <w:ind w:firstLine="1440"/>
        <w:contextualSpacing/>
        <w:rPr>
          <w:rFonts w:eastAsiaTheme="minorHAnsi"/>
          <w:iCs/>
          <w:sz w:val="26"/>
          <w:szCs w:val="26"/>
        </w:rPr>
      </w:pPr>
    </w:p>
    <w:p w14:paraId="278DA9D9" w14:textId="654DEB09" w:rsidR="0051221F" w:rsidRDefault="0051221F" w:rsidP="0051221F">
      <w:pPr>
        <w:spacing w:line="360" w:lineRule="auto"/>
        <w:ind w:firstLine="1440"/>
        <w:contextualSpacing/>
        <w:rPr>
          <w:rFonts w:eastAsiaTheme="minorHAnsi"/>
          <w:iCs/>
          <w:sz w:val="26"/>
          <w:szCs w:val="26"/>
        </w:rPr>
      </w:pPr>
      <w:r w:rsidRPr="000F7891">
        <w:rPr>
          <w:rFonts w:eastAsiaTheme="minorHAnsi"/>
          <w:iCs/>
          <w:sz w:val="26"/>
          <w:szCs w:val="26"/>
        </w:rPr>
        <w:t xml:space="preserve">Discount </w:t>
      </w:r>
      <w:r>
        <w:rPr>
          <w:rFonts w:eastAsiaTheme="minorHAnsi"/>
          <w:iCs/>
          <w:sz w:val="26"/>
          <w:szCs w:val="26"/>
        </w:rPr>
        <w:t xml:space="preserve">also </w:t>
      </w:r>
      <w:r w:rsidRPr="000F7891">
        <w:rPr>
          <w:rFonts w:eastAsiaTheme="minorHAnsi"/>
          <w:iCs/>
          <w:sz w:val="26"/>
          <w:szCs w:val="26"/>
        </w:rPr>
        <w:t xml:space="preserve">asserts that, </w:t>
      </w:r>
      <w:r w:rsidR="0051591B">
        <w:rPr>
          <w:rFonts w:eastAsiaTheme="minorHAnsi"/>
          <w:iCs/>
          <w:sz w:val="26"/>
          <w:szCs w:val="26"/>
        </w:rPr>
        <w:t>if</w:t>
      </w:r>
      <w:r w:rsidRPr="000F7891">
        <w:rPr>
          <w:rFonts w:eastAsiaTheme="minorHAnsi"/>
          <w:iCs/>
          <w:sz w:val="26"/>
          <w:szCs w:val="26"/>
        </w:rPr>
        <w:t xml:space="preserve"> the Commission </w:t>
      </w:r>
      <w:r w:rsidR="0051591B">
        <w:rPr>
          <w:rFonts w:eastAsiaTheme="minorHAnsi"/>
          <w:iCs/>
          <w:sz w:val="26"/>
          <w:szCs w:val="26"/>
        </w:rPr>
        <w:t>were to delay</w:t>
      </w:r>
      <w:r>
        <w:rPr>
          <w:rFonts w:eastAsiaTheme="minorHAnsi"/>
          <w:iCs/>
          <w:sz w:val="26"/>
          <w:szCs w:val="26"/>
        </w:rPr>
        <w:t xml:space="preserve"> its review and disposition of the Settlement </w:t>
      </w:r>
      <w:r w:rsidRPr="000F7891">
        <w:rPr>
          <w:rFonts w:eastAsiaTheme="minorHAnsi"/>
          <w:iCs/>
          <w:sz w:val="26"/>
          <w:szCs w:val="26"/>
        </w:rPr>
        <w:t xml:space="preserve">based on an allegation of one telemarketing call received </w:t>
      </w:r>
      <w:r w:rsidR="00716D64" w:rsidRPr="000F7891">
        <w:rPr>
          <w:rFonts w:eastAsiaTheme="minorHAnsi"/>
          <w:iCs/>
          <w:sz w:val="26"/>
          <w:szCs w:val="26"/>
        </w:rPr>
        <w:t xml:space="preserve">from an unspecified source </w:t>
      </w:r>
      <w:r w:rsidRPr="000F7891">
        <w:rPr>
          <w:rFonts w:eastAsiaTheme="minorHAnsi"/>
          <w:iCs/>
          <w:sz w:val="26"/>
          <w:szCs w:val="26"/>
        </w:rPr>
        <w:t xml:space="preserve">after the time period investigated by I&amp;E, </w:t>
      </w:r>
      <w:r w:rsidR="0051591B">
        <w:rPr>
          <w:rFonts w:eastAsiaTheme="minorHAnsi"/>
          <w:iCs/>
          <w:sz w:val="26"/>
          <w:szCs w:val="26"/>
        </w:rPr>
        <w:t xml:space="preserve">then </w:t>
      </w:r>
      <w:r w:rsidRPr="000F7891">
        <w:rPr>
          <w:rFonts w:eastAsiaTheme="minorHAnsi"/>
          <w:iCs/>
          <w:sz w:val="26"/>
          <w:szCs w:val="26"/>
        </w:rPr>
        <w:t>the Company’s fundamental rights of due process would be violated.</w:t>
      </w:r>
      <w:r>
        <w:rPr>
          <w:rFonts w:eastAsiaTheme="minorHAnsi"/>
          <w:iCs/>
          <w:sz w:val="26"/>
          <w:szCs w:val="26"/>
        </w:rPr>
        <w:t xml:space="preserve">  </w:t>
      </w:r>
      <w:r w:rsidRPr="003455A7">
        <w:rPr>
          <w:rFonts w:eastAsiaTheme="minorHAnsi"/>
          <w:iCs/>
          <w:sz w:val="26"/>
          <w:szCs w:val="26"/>
        </w:rPr>
        <w:t xml:space="preserve">Discount </w:t>
      </w:r>
      <w:r>
        <w:rPr>
          <w:rFonts w:eastAsiaTheme="minorHAnsi"/>
          <w:iCs/>
          <w:sz w:val="26"/>
          <w:szCs w:val="26"/>
        </w:rPr>
        <w:t>add</w:t>
      </w:r>
      <w:r w:rsidRPr="003455A7">
        <w:rPr>
          <w:rFonts w:eastAsiaTheme="minorHAnsi"/>
          <w:iCs/>
          <w:sz w:val="26"/>
          <w:szCs w:val="26"/>
        </w:rPr>
        <w:t>s that</w:t>
      </w:r>
      <w:r>
        <w:rPr>
          <w:rFonts w:eastAsiaTheme="minorHAnsi"/>
          <w:iCs/>
          <w:sz w:val="26"/>
          <w:szCs w:val="26"/>
        </w:rPr>
        <w:t xml:space="preserve"> </w:t>
      </w:r>
      <w:r w:rsidRPr="003455A7">
        <w:rPr>
          <w:rFonts w:eastAsiaTheme="minorHAnsi"/>
          <w:iCs/>
          <w:sz w:val="26"/>
          <w:szCs w:val="26"/>
        </w:rPr>
        <w:t>the Company</w:t>
      </w:r>
      <w:r>
        <w:rPr>
          <w:rFonts w:eastAsiaTheme="minorHAnsi"/>
          <w:iCs/>
          <w:sz w:val="26"/>
          <w:szCs w:val="26"/>
        </w:rPr>
        <w:t xml:space="preserve">, </w:t>
      </w:r>
      <w:r w:rsidRPr="003455A7">
        <w:rPr>
          <w:rFonts w:eastAsiaTheme="minorHAnsi"/>
          <w:iCs/>
          <w:sz w:val="26"/>
          <w:szCs w:val="26"/>
        </w:rPr>
        <w:t>as a licensed EGS, entered into the Settlement with I&amp;E based on a business decision to focus on its operations and resolve I&amp;E’s investigation.</w:t>
      </w:r>
      <w:r>
        <w:rPr>
          <w:rFonts w:eastAsiaTheme="minorHAnsi"/>
          <w:iCs/>
          <w:sz w:val="26"/>
          <w:szCs w:val="26"/>
        </w:rPr>
        <w:t xml:space="preserve">  </w:t>
      </w:r>
      <w:r w:rsidRPr="00BC62CC">
        <w:rPr>
          <w:rFonts w:eastAsiaTheme="minorHAnsi"/>
          <w:iCs/>
          <w:sz w:val="26"/>
          <w:szCs w:val="26"/>
        </w:rPr>
        <w:t>D</w:t>
      </w:r>
      <w:r w:rsidR="00C16D67">
        <w:rPr>
          <w:rFonts w:eastAsiaTheme="minorHAnsi"/>
          <w:iCs/>
          <w:sz w:val="26"/>
          <w:szCs w:val="26"/>
        </w:rPr>
        <w:t>PI</w:t>
      </w:r>
      <w:r w:rsidRPr="00BC62CC">
        <w:rPr>
          <w:rFonts w:eastAsiaTheme="minorHAnsi"/>
          <w:iCs/>
          <w:sz w:val="26"/>
          <w:szCs w:val="26"/>
        </w:rPr>
        <w:t xml:space="preserve"> Motion to Strike Zimmerman Comments at</w:t>
      </w:r>
      <w:r>
        <w:rPr>
          <w:rFonts w:eastAsiaTheme="minorHAnsi"/>
          <w:iCs/>
          <w:sz w:val="26"/>
          <w:szCs w:val="26"/>
        </w:rPr>
        <w:t xml:space="preserve"> 7.  </w:t>
      </w:r>
    </w:p>
    <w:p w14:paraId="00B9B165" w14:textId="77777777" w:rsidR="0051221F" w:rsidRDefault="0051221F" w:rsidP="0051221F">
      <w:pPr>
        <w:spacing w:line="360" w:lineRule="auto"/>
        <w:ind w:firstLine="1440"/>
        <w:contextualSpacing/>
        <w:rPr>
          <w:rFonts w:eastAsiaTheme="minorHAnsi"/>
          <w:iCs/>
          <w:sz w:val="26"/>
          <w:szCs w:val="26"/>
        </w:rPr>
      </w:pPr>
    </w:p>
    <w:p w14:paraId="6ED70EB6" w14:textId="4EE4D3AC" w:rsidR="0051221F" w:rsidRDefault="009503B4" w:rsidP="0051221F">
      <w:pPr>
        <w:spacing w:line="360" w:lineRule="auto"/>
        <w:ind w:firstLine="1440"/>
        <w:contextualSpacing/>
        <w:rPr>
          <w:rFonts w:eastAsiaTheme="minorHAnsi"/>
          <w:iCs/>
          <w:sz w:val="26"/>
          <w:szCs w:val="26"/>
        </w:rPr>
      </w:pPr>
      <w:r>
        <w:rPr>
          <w:rFonts w:eastAsiaTheme="minorHAnsi"/>
          <w:iCs/>
          <w:sz w:val="26"/>
          <w:szCs w:val="26"/>
        </w:rPr>
        <w:t>Additionally,</w:t>
      </w:r>
      <w:r w:rsidR="0051221F">
        <w:rPr>
          <w:rFonts w:eastAsiaTheme="minorHAnsi"/>
          <w:iCs/>
          <w:sz w:val="26"/>
          <w:szCs w:val="26"/>
        </w:rPr>
        <w:t xml:space="preserve"> </w:t>
      </w:r>
      <w:r w:rsidR="0051221F" w:rsidRPr="00E0466A">
        <w:rPr>
          <w:rFonts w:eastAsiaTheme="minorHAnsi"/>
          <w:iCs/>
          <w:sz w:val="26"/>
          <w:szCs w:val="26"/>
        </w:rPr>
        <w:t>Discount</w:t>
      </w:r>
      <w:r>
        <w:rPr>
          <w:rFonts w:eastAsiaTheme="minorHAnsi"/>
          <w:iCs/>
          <w:sz w:val="26"/>
          <w:szCs w:val="26"/>
        </w:rPr>
        <w:t xml:space="preserve"> argues that</w:t>
      </w:r>
      <w:r w:rsidR="0051221F">
        <w:rPr>
          <w:rFonts w:eastAsiaTheme="minorHAnsi"/>
          <w:iCs/>
          <w:sz w:val="26"/>
          <w:szCs w:val="26"/>
        </w:rPr>
        <w:t xml:space="preserve">, </w:t>
      </w:r>
      <w:r w:rsidR="0051221F" w:rsidRPr="00E0466A">
        <w:rPr>
          <w:rFonts w:eastAsiaTheme="minorHAnsi"/>
          <w:iCs/>
          <w:sz w:val="26"/>
          <w:szCs w:val="26"/>
        </w:rPr>
        <w:t>Mr.</w:t>
      </w:r>
      <w:r w:rsidR="0051221F">
        <w:rPr>
          <w:rFonts w:eastAsiaTheme="minorHAnsi"/>
          <w:iCs/>
          <w:sz w:val="26"/>
          <w:szCs w:val="26"/>
        </w:rPr>
        <w:t> </w:t>
      </w:r>
      <w:r w:rsidR="0051221F" w:rsidRPr="00E0466A">
        <w:rPr>
          <w:rFonts w:eastAsiaTheme="minorHAnsi"/>
          <w:iCs/>
          <w:sz w:val="26"/>
          <w:szCs w:val="26"/>
        </w:rPr>
        <w:t>Zimmerman</w:t>
      </w:r>
      <w:r w:rsidR="0051221F">
        <w:rPr>
          <w:rFonts w:eastAsiaTheme="minorHAnsi"/>
          <w:iCs/>
          <w:sz w:val="26"/>
          <w:szCs w:val="26"/>
        </w:rPr>
        <w:t xml:space="preserve">’s </w:t>
      </w:r>
      <w:r w:rsidR="0051221F" w:rsidRPr="00E0466A">
        <w:rPr>
          <w:rFonts w:eastAsiaTheme="minorHAnsi"/>
          <w:iCs/>
          <w:sz w:val="26"/>
          <w:szCs w:val="26"/>
        </w:rPr>
        <w:t>rel</w:t>
      </w:r>
      <w:r w:rsidR="0051221F">
        <w:rPr>
          <w:rFonts w:eastAsiaTheme="minorHAnsi"/>
          <w:iCs/>
          <w:sz w:val="26"/>
          <w:szCs w:val="26"/>
        </w:rPr>
        <w:t>iance</w:t>
      </w:r>
      <w:r w:rsidR="0051221F" w:rsidRPr="00E0466A">
        <w:rPr>
          <w:rFonts w:eastAsiaTheme="minorHAnsi"/>
          <w:iCs/>
          <w:sz w:val="26"/>
          <w:szCs w:val="26"/>
        </w:rPr>
        <w:t xml:space="preserve"> on an alleged telemarketing call </w:t>
      </w:r>
      <w:r w:rsidR="0051221F">
        <w:rPr>
          <w:rFonts w:eastAsiaTheme="minorHAnsi"/>
          <w:iCs/>
          <w:sz w:val="26"/>
          <w:szCs w:val="26"/>
        </w:rPr>
        <w:t xml:space="preserve">from an </w:t>
      </w:r>
      <w:r w:rsidR="0051221F" w:rsidRPr="000F7891">
        <w:rPr>
          <w:rFonts w:eastAsiaTheme="minorHAnsi"/>
          <w:iCs/>
          <w:sz w:val="26"/>
          <w:szCs w:val="26"/>
        </w:rPr>
        <w:t>unspecified</w:t>
      </w:r>
      <w:r w:rsidR="0051221F">
        <w:rPr>
          <w:rFonts w:eastAsiaTheme="minorHAnsi"/>
          <w:iCs/>
          <w:sz w:val="26"/>
          <w:szCs w:val="26"/>
        </w:rPr>
        <w:t xml:space="preserve"> source </w:t>
      </w:r>
      <w:r w:rsidR="0051221F" w:rsidRPr="00E0466A">
        <w:rPr>
          <w:rFonts w:eastAsiaTheme="minorHAnsi"/>
          <w:iCs/>
          <w:sz w:val="26"/>
          <w:szCs w:val="26"/>
        </w:rPr>
        <w:t xml:space="preserve">to </w:t>
      </w:r>
      <w:r w:rsidR="0051221F">
        <w:rPr>
          <w:rFonts w:eastAsiaTheme="minorHAnsi"/>
          <w:iCs/>
          <w:sz w:val="26"/>
          <w:szCs w:val="26"/>
        </w:rPr>
        <w:t>conclude</w:t>
      </w:r>
      <w:r w:rsidR="0051221F" w:rsidRPr="00E0466A">
        <w:rPr>
          <w:rFonts w:eastAsiaTheme="minorHAnsi"/>
          <w:iCs/>
          <w:sz w:val="26"/>
          <w:szCs w:val="26"/>
        </w:rPr>
        <w:t xml:space="preserve"> </w:t>
      </w:r>
      <w:r w:rsidR="0051221F">
        <w:rPr>
          <w:rFonts w:eastAsiaTheme="minorHAnsi"/>
          <w:iCs/>
          <w:sz w:val="26"/>
          <w:szCs w:val="26"/>
        </w:rPr>
        <w:t>that several customers will fall victim to</w:t>
      </w:r>
      <w:r w:rsidR="0051221F" w:rsidRPr="00E0466A">
        <w:rPr>
          <w:rFonts w:eastAsiaTheme="minorHAnsi"/>
          <w:iCs/>
          <w:sz w:val="26"/>
          <w:szCs w:val="26"/>
        </w:rPr>
        <w:t xml:space="preserve"> a larger telemarketing campaign </w:t>
      </w:r>
      <w:r w:rsidR="0051221F">
        <w:rPr>
          <w:rFonts w:eastAsiaTheme="minorHAnsi"/>
          <w:iCs/>
          <w:sz w:val="26"/>
          <w:szCs w:val="26"/>
        </w:rPr>
        <w:t>is improper.</w:t>
      </w:r>
      <w:r w:rsidR="0051221F" w:rsidRPr="001176A5">
        <w:rPr>
          <w:rFonts w:eastAsiaTheme="minorHAnsi"/>
          <w:iCs/>
          <w:sz w:val="26"/>
          <w:szCs w:val="26"/>
        </w:rPr>
        <w:t xml:space="preserve">  </w:t>
      </w:r>
      <w:r w:rsidRPr="00BC62CC">
        <w:rPr>
          <w:rFonts w:eastAsiaTheme="minorHAnsi"/>
          <w:iCs/>
          <w:sz w:val="26"/>
          <w:szCs w:val="26"/>
        </w:rPr>
        <w:t>D</w:t>
      </w:r>
      <w:r w:rsidR="00C16D67">
        <w:rPr>
          <w:rFonts w:eastAsiaTheme="minorHAnsi"/>
          <w:iCs/>
          <w:sz w:val="26"/>
          <w:szCs w:val="26"/>
        </w:rPr>
        <w:t>PI</w:t>
      </w:r>
      <w:r w:rsidRPr="00BC62CC">
        <w:rPr>
          <w:rFonts w:eastAsiaTheme="minorHAnsi"/>
          <w:iCs/>
          <w:sz w:val="26"/>
          <w:szCs w:val="26"/>
        </w:rPr>
        <w:t xml:space="preserve"> Motion to Strike</w:t>
      </w:r>
      <w:r>
        <w:rPr>
          <w:rFonts w:eastAsiaTheme="minorHAnsi"/>
          <w:iCs/>
          <w:sz w:val="26"/>
          <w:szCs w:val="26"/>
        </w:rPr>
        <w:t> </w:t>
      </w:r>
      <w:r w:rsidRPr="00BC62CC">
        <w:rPr>
          <w:rFonts w:eastAsiaTheme="minorHAnsi"/>
          <w:iCs/>
          <w:sz w:val="26"/>
          <w:szCs w:val="26"/>
        </w:rPr>
        <w:t>Zimmerman Comments</w:t>
      </w:r>
      <w:r w:rsidRPr="001176A5">
        <w:rPr>
          <w:rFonts w:eastAsiaTheme="minorHAnsi"/>
          <w:iCs/>
          <w:sz w:val="26"/>
          <w:szCs w:val="26"/>
        </w:rPr>
        <w:t xml:space="preserve"> </w:t>
      </w:r>
      <w:r>
        <w:rPr>
          <w:rFonts w:eastAsiaTheme="minorHAnsi"/>
          <w:iCs/>
          <w:sz w:val="26"/>
          <w:szCs w:val="26"/>
        </w:rPr>
        <w:t>at 7 (citing</w:t>
      </w:r>
      <w:r w:rsidR="00C16D67">
        <w:rPr>
          <w:rFonts w:eastAsiaTheme="minorHAnsi"/>
          <w:iCs/>
          <w:sz w:val="26"/>
          <w:szCs w:val="26"/>
        </w:rPr>
        <w:t xml:space="preserve"> </w:t>
      </w:r>
      <w:r>
        <w:rPr>
          <w:rFonts w:eastAsiaTheme="minorHAnsi"/>
          <w:iCs/>
          <w:sz w:val="26"/>
          <w:szCs w:val="26"/>
        </w:rPr>
        <w:t>Zimmerma</w:t>
      </w:r>
      <w:r w:rsidR="00C16D67">
        <w:rPr>
          <w:rFonts w:eastAsiaTheme="minorHAnsi"/>
          <w:iCs/>
          <w:sz w:val="26"/>
          <w:szCs w:val="26"/>
        </w:rPr>
        <w:t xml:space="preserve">n </w:t>
      </w:r>
      <w:r>
        <w:rPr>
          <w:rFonts w:eastAsiaTheme="minorHAnsi"/>
          <w:iCs/>
          <w:sz w:val="26"/>
          <w:szCs w:val="26"/>
        </w:rPr>
        <w:t xml:space="preserve">Comments at 4).  </w:t>
      </w:r>
      <w:r w:rsidR="0051221F" w:rsidRPr="001176A5">
        <w:rPr>
          <w:rFonts w:eastAsiaTheme="minorHAnsi"/>
          <w:iCs/>
          <w:sz w:val="26"/>
          <w:szCs w:val="26"/>
        </w:rPr>
        <w:t xml:space="preserve">Discount </w:t>
      </w:r>
      <w:r w:rsidR="0051221F">
        <w:rPr>
          <w:rFonts w:eastAsiaTheme="minorHAnsi"/>
          <w:iCs/>
          <w:sz w:val="26"/>
          <w:szCs w:val="26"/>
        </w:rPr>
        <w:t xml:space="preserve">references two prior Commission cases to </w:t>
      </w:r>
      <w:r w:rsidR="0051221F" w:rsidRPr="001176A5">
        <w:rPr>
          <w:rFonts w:eastAsiaTheme="minorHAnsi"/>
          <w:iCs/>
          <w:sz w:val="26"/>
          <w:szCs w:val="26"/>
        </w:rPr>
        <w:t>argue that Mr. Zimmerman, as an individual consumer, may not assert complaints on behalf of other customers</w:t>
      </w:r>
      <w:r w:rsidR="0051221F">
        <w:rPr>
          <w:rFonts w:eastAsiaTheme="minorHAnsi"/>
          <w:iCs/>
          <w:sz w:val="26"/>
          <w:szCs w:val="26"/>
        </w:rPr>
        <w:t>.</w:t>
      </w:r>
      <w:r w:rsidR="0051221F">
        <w:rPr>
          <w:rStyle w:val="FootnoteReference"/>
          <w:rFonts w:eastAsiaTheme="minorHAnsi"/>
          <w:iCs/>
          <w:sz w:val="26"/>
          <w:szCs w:val="26"/>
        </w:rPr>
        <w:footnoteReference w:id="10"/>
      </w:r>
      <w:r w:rsidR="0051221F">
        <w:rPr>
          <w:rFonts w:eastAsiaTheme="minorHAnsi"/>
          <w:iCs/>
          <w:sz w:val="26"/>
          <w:szCs w:val="26"/>
        </w:rPr>
        <w:t xml:space="preserve">  Discount adds that,</w:t>
      </w:r>
      <w:r w:rsidR="0051221F" w:rsidRPr="001176A5">
        <w:rPr>
          <w:rFonts w:eastAsiaTheme="minorHAnsi"/>
          <w:iCs/>
          <w:sz w:val="26"/>
          <w:szCs w:val="26"/>
        </w:rPr>
        <w:t xml:space="preserve"> to the extent that Mr.</w:t>
      </w:r>
      <w:r w:rsidR="0051221F">
        <w:rPr>
          <w:rFonts w:eastAsiaTheme="minorHAnsi"/>
          <w:iCs/>
          <w:sz w:val="26"/>
          <w:szCs w:val="26"/>
        </w:rPr>
        <w:t> </w:t>
      </w:r>
      <w:r w:rsidR="0051221F" w:rsidRPr="001176A5">
        <w:rPr>
          <w:rFonts w:eastAsiaTheme="minorHAnsi"/>
          <w:iCs/>
          <w:sz w:val="26"/>
          <w:szCs w:val="26"/>
        </w:rPr>
        <w:t>Zimmerman desires to follow-up on the</w:t>
      </w:r>
      <w:r w:rsidR="0051221F">
        <w:rPr>
          <w:rFonts w:eastAsiaTheme="minorHAnsi"/>
          <w:iCs/>
          <w:sz w:val="26"/>
          <w:szCs w:val="26"/>
        </w:rPr>
        <w:t xml:space="preserve"> alleged</w:t>
      </w:r>
      <w:r w:rsidR="0051221F" w:rsidRPr="001176A5">
        <w:rPr>
          <w:rFonts w:eastAsiaTheme="minorHAnsi"/>
          <w:iCs/>
          <w:sz w:val="26"/>
          <w:szCs w:val="26"/>
        </w:rPr>
        <w:t xml:space="preserve"> telemarketing call, such a follow-up should occur through a separate proceeding.  </w:t>
      </w:r>
      <w:r w:rsidRPr="009503B4">
        <w:rPr>
          <w:rFonts w:eastAsiaTheme="minorHAnsi"/>
          <w:i/>
          <w:sz w:val="26"/>
          <w:szCs w:val="26"/>
        </w:rPr>
        <w:t>Id.</w:t>
      </w:r>
      <w:r>
        <w:rPr>
          <w:rFonts w:eastAsiaTheme="minorHAnsi"/>
          <w:iCs/>
          <w:sz w:val="26"/>
          <w:szCs w:val="26"/>
        </w:rPr>
        <w:t xml:space="preserve"> </w:t>
      </w:r>
      <w:r w:rsidR="0051221F" w:rsidRPr="00BC62CC">
        <w:rPr>
          <w:rFonts w:eastAsiaTheme="minorHAnsi"/>
          <w:iCs/>
          <w:sz w:val="26"/>
          <w:szCs w:val="26"/>
        </w:rPr>
        <w:t>at</w:t>
      </w:r>
      <w:r w:rsidR="0051221F">
        <w:rPr>
          <w:rFonts w:eastAsiaTheme="minorHAnsi"/>
          <w:iCs/>
          <w:sz w:val="26"/>
          <w:szCs w:val="26"/>
        </w:rPr>
        <w:t xml:space="preserve"> </w:t>
      </w:r>
      <w:r w:rsidR="0051221F" w:rsidRPr="001176A5">
        <w:rPr>
          <w:rFonts w:eastAsiaTheme="minorHAnsi"/>
          <w:iCs/>
          <w:sz w:val="26"/>
          <w:szCs w:val="26"/>
        </w:rPr>
        <w:t>7-8</w:t>
      </w:r>
      <w:r w:rsidR="0051221F">
        <w:rPr>
          <w:rFonts w:eastAsiaTheme="minorHAnsi"/>
          <w:iCs/>
          <w:sz w:val="26"/>
          <w:szCs w:val="26"/>
        </w:rPr>
        <w:t>.</w:t>
      </w:r>
      <w:r w:rsidR="0051221F" w:rsidRPr="00FD7565">
        <w:rPr>
          <w:rFonts w:eastAsiaTheme="minorHAnsi"/>
          <w:iCs/>
          <w:sz w:val="26"/>
          <w:szCs w:val="26"/>
        </w:rPr>
        <w:t xml:space="preserve"> </w:t>
      </w:r>
    </w:p>
    <w:p w14:paraId="7E10CB44" w14:textId="77777777" w:rsidR="00D953C0" w:rsidRDefault="00D953C0" w:rsidP="0051221F">
      <w:pPr>
        <w:spacing w:line="360" w:lineRule="auto"/>
        <w:ind w:firstLine="1440"/>
        <w:contextualSpacing/>
        <w:rPr>
          <w:rFonts w:eastAsiaTheme="minorHAnsi"/>
          <w:iCs/>
          <w:sz w:val="26"/>
          <w:szCs w:val="26"/>
        </w:rPr>
      </w:pPr>
    </w:p>
    <w:p w14:paraId="1D25E9B5" w14:textId="297154A6" w:rsidR="00EA6D30" w:rsidRPr="0051221F" w:rsidRDefault="0051221F" w:rsidP="0051221F">
      <w:pPr>
        <w:spacing w:line="360" w:lineRule="auto"/>
        <w:ind w:firstLine="1440"/>
        <w:contextualSpacing/>
        <w:rPr>
          <w:rFonts w:eastAsiaTheme="minorHAnsi"/>
          <w:iCs/>
          <w:sz w:val="26"/>
          <w:szCs w:val="26"/>
        </w:rPr>
      </w:pPr>
      <w:r w:rsidRPr="0076271B">
        <w:rPr>
          <w:rFonts w:eastAsiaTheme="minorHAnsi"/>
          <w:iCs/>
          <w:sz w:val="26"/>
          <w:szCs w:val="26"/>
        </w:rPr>
        <w:t xml:space="preserve">Discount </w:t>
      </w:r>
      <w:r>
        <w:rPr>
          <w:rFonts w:eastAsiaTheme="minorHAnsi"/>
          <w:iCs/>
          <w:sz w:val="26"/>
          <w:szCs w:val="26"/>
        </w:rPr>
        <w:t xml:space="preserve">also </w:t>
      </w:r>
      <w:r w:rsidRPr="0076271B">
        <w:rPr>
          <w:rFonts w:eastAsiaTheme="minorHAnsi"/>
          <w:iCs/>
          <w:sz w:val="26"/>
          <w:szCs w:val="26"/>
        </w:rPr>
        <w:t xml:space="preserve">challenges </w:t>
      </w:r>
      <w:r>
        <w:rPr>
          <w:rFonts w:eastAsiaTheme="minorHAnsi"/>
          <w:iCs/>
          <w:sz w:val="26"/>
          <w:szCs w:val="26"/>
        </w:rPr>
        <w:t xml:space="preserve">that </w:t>
      </w:r>
      <w:r w:rsidRPr="0076271B">
        <w:rPr>
          <w:rFonts w:eastAsiaTheme="minorHAnsi"/>
          <w:iCs/>
          <w:sz w:val="26"/>
          <w:szCs w:val="26"/>
        </w:rPr>
        <w:t>Mr.</w:t>
      </w:r>
      <w:r>
        <w:rPr>
          <w:rFonts w:eastAsiaTheme="minorHAnsi"/>
          <w:iCs/>
          <w:sz w:val="26"/>
          <w:szCs w:val="26"/>
        </w:rPr>
        <w:t> </w:t>
      </w:r>
      <w:r w:rsidRPr="0076271B">
        <w:rPr>
          <w:rFonts w:eastAsiaTheme="minorHAnsi"/>
          <w:iCs/>
          <w:sz w:val="26"/>
          <w:szCs w:val="26"/>
        </w:rPr>
        <w:t xml:space="preserve">Zimmerman’s allegation against the Company of continuing misconduct </w:t>
      </w:r>
      <w:r>
        <w:rPr>
          <w:rFonts w:eastAsiaTheme="minorHAnsi"/>
          <w:iCs/>
          <w:sz w:val="26"/>
          <w:szCs w:val="26"/>
        </w:rPr>
        <w:t>which necessitates</w:t>
      </w:r>
      <w:r w:rsidRPr="0076271B">
        <w:rPr>
          <w:rFonts w:eastAsiaTheme="minorHAnsi"/>
          <w:iCs/>
          <w:sz w:val="26"/>
          <w:szCs w:val="26"/>
        </w:rPr>
        <w:t xml:space="preserve"> further investigation</w:t>
      </w:r>
      <w:r>
        <w:rPr>
          <w:rFonts w:eastAsiaTheme="minorHAnsi"/>
          <w:iCs/>
          <w:sz w:val="26"/>
          <w:szCs w:val="26"/>
        </w:rPr>
        <w:t xml:space="preserve"> </w:t>
      </w:r>
      <w:r w:rsidRPr="0076271B">
        <w:rPr>
          <w:rFonts w:eastAsiaTheme="minorHAnsi"/>
          <w:iCs/>
          <w:sz w:val="26"/>
          <w:szCs w:val="26"/>
        </w:rPr>
        <w:t xml:space="preserve">is inconsistent with the provisions of the Settlement which, </w:t>
      </w:r>
      <w:r w:rsidRPr="0076271B">
        <w:rPr>
          <w:rFonts w:eastAsiaTheme="minorHAnsi"/>
          <w:i/>
          <w:sz w:val="26"/>
          <w:szCs w:val="26"/>
        </w:rPr>
        <w:t>inter alia</w:t>
      </w:r>
      <w:r w:rsidRPr="0076271B">
        <w:rPr>
          <w:rFonts w:eastAsiaTheme="minorHAnsi"/>
          <w:iCs/>
          <w:sz w:val="26"/>
          <w:szCs w:val="26"/>
        </w:rPr>
        <w:t>, recognize that Discount admitted no wrongdoing.  D</w:t>
      </w:r>
      <w:r w:rsidR="00C16D67">
        <w:rPr>
          <w:rFonts w:eastAsiaTheme="minorHAnsi"/>
          <w:iCs/>
          <w:sz w:val="26"/>
          <w:szCs w:val="26"/>
        </w:rPr>
        <w:t>PI</w:t>
      </w:r>
      <w:r w:rsidRPr="0076271B">
        <w:rPr>
          <w:rFonts w:eastAsiaTheme="minorHAnsi"/>
          <w:iCs/>
          <w:sz w:val="26"/>
          <w:szCs w:val="26"/>
        </w:rPr>
        <w:t xml:space="preserve"> Motion to Strike</w:t>
      </w:r>
      <w:r>
        <w:rPr>
          <w:rFonts w:eastAsiaTheme="minorHAnsi"/>
          <w:iCs/>
          <w:sz w:val="26"/>
          <w:szCs w:val="26"/>
        </w:rPr>
        <w:t xml:space="preserve"> </w:t>
      </w:r>
      <w:r w:rsidRPr="0076271B">
        <w:rPr>
          <w:rFonts w:eastAsiaTheme="minorHAnsi"/>
          <w:iCs/>
          <w:sz w:val="26"/>
          <w:szCs w:val="26"/>
        </w:rPr>
        <w:t>Zimmerman</w:t>
      </w:r>
      <w:r>
        <w:rPr>
          <w:rFonts w:eastAsiaTheme="minorHAnsi"/>
          <w:iCs/>
          <w:sz w:val="26"/>
          <w:szCs w:val="26"/>
        </w:rPr>
        <w:t xml:space="preserve"> </w:t>
      </w:r>
      <w:r w:rsidRPr="0076271B">
        <w:rPr>
          <w:rFonts w:eastAsiaTheme="minorHAnsi"/>
          <w:iCs/>
          <w:sz w:val="26"/>
          <w:szCs w:val="26"/>
        </w:rPr>
        <w:t>Comments</w:t>
      </w:r>
      <w:r w:rsidRPr="00BC62CC">
        <w:rPr>
          <w:rFonts w:eastAsiaTheme="minorHAnsi"/>
          <w:iCs/>
          <w:sz w:val="26"/>
          <w:szCs w:val="26"/>
        </w:rPr>
        <w:t xml:space="preserve"> at</w:t>
      </w:r>
      <w:r>
        <w:rPr>
          <w:rFonts w:eastAsiaTheme="minorHAnsi"/>
          <w:iCs/>
          <w:sz w:val="26"/>
          <w:szCs w:val="26"/>
        </w:rPr>
        <w:t xml:space="preserve"> 8 </w:t>
      </w:r>
      <w:r>
        <w:rPr>
          <w:rFonts w:eastAsiaTheme="minorHAnsi"/>
          <w:iCs/>
          <w:sz w:val="26"/>
          <w:szCs w:val="26"/>
        </w:rPr>
        <w:lastRenderedPageBreak/>
        <w:t xml:space="preserve">(citing </w:t>
      </w:r>
      <w:r w:rsidR="00F55ECB">
        <w:rPr>
          <w:rFonts w:eastAsiaTheme="minorHAnsi"/>
          <w:iCs/>
          <w:sz w:val="26"/>
          <w:szCs w:val="26"/>
        </w:rPr>
        <w:t xml:space="preserve">Zimmerman Comments at 4; </w:t>
      </w:r>
      <w:r>
        <w:rPr>
          <w:rFonts w:eastAsiaTheme="minorHAnsi"/>
          <w:iCs/>
          <w:sz w:val="26"/>
          <w:szCs w:val="26"/>
        </w:rPr>
        <w:t xml:space="preserve">Settlement at ¶¶ 43-44, 56).  Further, Discount notes that, by issuing the </w:t>
      </w:r>
      <w:r w:rsidRPr="00C11F84">
        <w:rPr>
          <w:i/>
          <w:iCs/>
          <w:sz w:val="26"/>
        </w:rPr>
        <w:t>October 2021 Order</w:t>
      </w:r>
      <w:r>
        <w:rPr>
          <w:sz w:val="26"/>
        </w:rPr>
        <w:t>,</w:t>
      </w:r>
      <w:r>
        <w:rPr>
          <w:i/>
          <w:iCs/>
          <w:sz w:val="26"/>
        </w:rPr>
        <w:t xml:space="preserve"> </w:t>
      </w:r>
      <w:r w:rsidRPr="00193AE6">
        <w:rPr>
          <w:rFonts w:eastAsiaTheme="minorHAnsi"/>
          <w:iCs/>
          <w:sz w:val="26"/>
          <w:szCs w:val="26"/>
        </w:rPr>
        <w:t xml:space="preserve">the Commission did not invite interested parties to request relief by holding the Settlement in abeyance and directing additional investigation of the Company.  </w:t>
      </w:r>
      <w:r w:rsidRPr="00E254F4">
        <w:rPr>
          <w:rFonts w:eastAsiaTheme="minorHAnsi"/>
          <w:i/>
          <w:sz w:val="26"/>
          <w:szCs w:val="26"/>
        </w:rPr>
        <w:t>Id.</w:t>
      </w:r>
      <w:r w:rsidRPr="00193AE6">
        <w:rPr>
          <w:rFonts w:eastAsiaTheme="minorHAnsi"/>
          <w:iCs/>
          <w:sz w:val="26"/>
          <w:szCs w:val="26"/>
        </w:rPr>
        <w:t xml:space="preserve"> at </w:t>
      </w:r>
      <w:r>
        <w:rPr>
          <w:rFonts w:eastAsiaTheme="minorHAnsi"/>
          <w:iCs/>
          <w:sz w:val="26"/>
          <w:szCs w:val="26"/>
        </w:rPr>
        <w:t>9</w:t>
      </w:r>
      <w:r w:rsidRPr="00193AE6">
        <w:rPr>
          <w:rFonts w:eastAsiaTheme="minorHAnsi"/>
          <w:iCs/>
          <w:sz w:val="26"/>
          <w:szCs w:val="26"/>
        </w:rPr>
        <w:t xml:space="preserve"> (citing </w:t>
      </w:r>
      <w:r w:rsidRPr="00193AE6">
        <w:rPr>
          <w:i/>
          <w:iCs/>
          <w:sz w:val="26"/>
        </w:rPr>
        <w:t xml:space="preserve">October 2021 Order </w:t>
      </w:r>
      <w:r w:rsidRPr="00193AE6">
        <w:rPr>
          <w:rFonts w:eastAsiaTheme="minorHAnsi"/>
          <w:iCs/>
          <w:sz w:val="26"/>
          <w:szCs w:val="26"/>
        </w:rPr>
        <w:t>at 10).</w:t>
      </w:r>
      <w:r>
        <w:rPr>
          <w:rFonts w:eastAsiaTheme="minorHAnsi"/>
          <w:iCs/>
          <w:sz w:val="26"/>
          <w:szCs w:val="26"/>
        </w:rPr>
        <w:t xml:space="preserve">  </w:t>
      </w:r>
      <w:r w:rsidRPr="003D61A9">
        <w:rPr>
          <w:rFonts w:eastAsiaTheme="minorHAnsi"/>
          <w:iCs/>
          <w:sz w:val="26"/>
          <w:szCs w:val="26"/>
        </w:rPr>
        <w:t xml:space="preserve">Moreover, Discount contends that, </w:t>
      </w:r>
      <w:r w:rsidRPr="0029542E">
        <w:rPr>
          <w:rFonts w:eastAsiaTheme="minorHAnsi"/>
          <w:iCs/>
          <w:sz w:val="26"/>
          <w:szCs w:val="26"/>
        </w:rPr>
        <w:t xml:space="preserve">although the Commission may refer matters to I&amp;E for </w:t>
      </w:r>
      <w:r>
        <w:rPr>
          <w:rFonts w:eastAsiaTheme="minorHAnsi"/>
          <w:iCs/>
          <w:sz w:val="26"/>
          <w:szCs w:val="26"/>
        </w:rPr>
        <w:t>action that is appropriate</w:t>
      </w:r>
      <w:r w:rsidRPr="0029542E">
        <w:rPr>
          <w:rFonts w:eastAsiaTheme="minorHAnsi"/>
          <w:iCs/>
          <w:sz w:val="26"/>
          <w:szCs w:val="26"/>
        </w:rPr>
        <w:t xml:space="preserve"> in the </w:t>
      </w:r>
      <w:r>
        <w:rPr>
          <w:rFonts w:eastAsiaTheme="minorHAnsi"/>
          <w:iCs/>
          <w:sz w:val="26"/>
          <w:szCs w:val="26"/>
        </w:rPr>
        <w:t>I&amp;E</w:t>
      </w:r>
      <w:r w:rsidRPr="0029542E">
        <w:rPr>
          <w:rFonts w:eastAsiaTheme="minorHAnsi"/>
          <w:iCs/>
          <w:sz w:val="26"/>
          <w:szCs w:val="26"/>
        </w:rPr>
        <w:t>’s discretion, the Commission may not direct I&amp;E to conduct a further investigation of the Company</w:t>
      </w:r>
      <w:bookmarkStart w:id="28" w:name="_Hlk92424872"/>
      <w:r>
        <w:rPr>
          <w:rFonts w:eastAsiaTheme="minorHAnsi"/>
          <w:iCs/>
          <w:sz w:val="26"/>
          <w:szCs w:val="26"/>
        </w:rPr>
        <w:t xml:space="preserve">.  </w:t>
      </w:r>
      <w:bookmarkEnd w:id="28"/>
      <w:r>
        <w:rPr>
          <w:rFonts w:eastAsiaTheme="minorHAnsi"/>
          <w:iCs/>
          <w:sz w:val="26"/>
          <w:szCs w:val="26"/>
        </w:rPr>
        <w:t xml:space="preserve">Discount explains that, in compliance with </w:t>
      </w:r>
      <w:r w:rsidRPr="003A1FCE">
        <w:rPr>
          <w:rFonts w:eastAsiaTheme="minorHAnsi"/>
          <w:i/>
          <w:iCs/>
          <w:sz w:val="26"/>
          <w:szCs w:val="26"/>
        </w:rPr>
        <w:t>Lyness v. Commonwealth of Pennsylvania</w:t>
      </w:r>
      <w:r w:rsidRPr="003A1FCE">
        <w:rPr>
          <w:rFonts w:eastAsiaTheme="minorHAnsi"/>
          <w:iCs/>
          <w:sz w:val="26"/>
          <w:szCs w:val="26"/>
        </w:rPr>
        <w:t>, 529 Pa. 535, 605 A.2d 1204 (1992)</w:t>
      </w:r>
      <w:r>
        <w:rPr>
          <w:rFonts w:eastAsiaTheme="minorHAnsi"/>
          <w:iCs/>
          <w:sz w:val="26"/>
          <w:szCs w:val="26"/>
        </w:rPr>
        <w:t xml:space="preserve"> (</w:t>
      </w:r>
      <w:r w:rsidRPr="003355A4">
        <w:rPr>
          <w:rFonts w:eastAsiaTheme="minorHAnsi"/>
          <w:i/>
          <w:sz w:val="26"/>
          <w:szCs w:val="26"/>
        </w:rPr>
        <w:t>Lyness</w:t>
      </w:r>
      <w:r>
        <w:rPr>
          <w:rFonts w:eastAsiaTheme="minorHAnsi"/>
          <w:iCs/>
          <w:sz w:val="26"/>
          <w:szCs w:val="26"/>
        </w:rPr>
        <w:t xml:space="preserve">), the Commission adopted a policy which eliminated the potential for Commission-level involvement in the initiation of prosecutions and investigations, adding that </w:t>
      </w:r>
      <w:r w:rsidRPr="00C85AC3">
        <w:rPr>
          <w:rFonts w:eastAsiaTheme="minorHAnsi"/>
          <w:iCs/>
          <w:sz w:val="26"/>
          <w:szCs w:val="26"/>
        </w:rPr>
        <w:t xml:space="preserve">Section 308.2(b) of the Code provides that </w:t>
      </w:r>
      <w:r w:rsidRPr="001258DF">
        <w:rPr>
          <w:rFonts w:eastAsiaTheme="minorHAnsi"/>
          <w:iCs/>
          <w:sz w:val="26"/>
          <w:szCs w:val="26"/>
        </w:rPr>
        <w:t xml:space="preserve">Commission employees may not mix such functions.  </w:t>
      </w:r>
      <w:r w:rsidRPr="001258DF">
        <w:rPr>
          <w:rFonts w:eastAsiaTheme="minorHAnsi"/>
          <w:i/>
          <w:sz w:val="26"/>
          <w:szCs w:val="26"/>
        </w:rPr>
        <w:t>Id.</w:t>
      </w:r>
      <w:r w:rsidRPr="001258DF">
        <w:rPr>
          <w:rFonts w:eastAsiaTheme="minorHAnsi"/>
          <w:iCs/>
          <w:sz w:val="26"/>
          <w:szCs w:val="26"/>
        </w:rPr>
        <w:t xml:space="preserve"> </w:t>
      </w:r>
      <w:r>
        <w:rPr>
          <w:rFonts w:eastAsiaTheme="minorHAnsi"/>
          <w:iCs/>
          <w:sz w:val="26"/>
          <w:szCs w:val="26"/>
        </w:rPr>
        <w:t xml:space="preserve">at 9-10 </w:t>
      </w:r>
      <w:r w:rsidRPr="001258DF">
        <w:rPr>
          <w:rFonts w:eastAsiaTheme="minorHAnsi"/>
          <w:iCs/>
          <w:sz w:val="26"/>
          <w:szCs w:val="26"/>
        </w:rPr>
        <w:t xml:space="preserve">(citing </w:t>
      </w:r>
      <w:r w:rsidRPr="005D404D">
        <w:rPr>
          <w:rFonts w:eastAsiaTheme="minorHAnsi"/>
          <w:i/>
          <w:sz w:val="26"/>
          <w:szCs w:val="26"/>
        </w:rPr>
        <w:t>Lyness</w:t>
      </w:r>
      <w:r>
        <w:rPr>
          <w:rFonts w:eastAsiaTheme="minorHAnsi"/>
          <w:i/>
          <w:iCs/>
          <w:sz w:val="26"/>
          <w:szCs w:val="26"/>
        </w:rPr>
        <w:t xml:space="preserve">; </w:t>
      </w:r>
      <w:r w:rsidRPr="001258DF">
        <w:rPr>
          <w:rFonts w:eastAsiaTheme="minorHAnsi"/>
          <w:i/>
          <w:iCs/>
          <w:sz w:val="26"/>
          <w:szCs w:val="26"/>
        </w:rPr>
        <w:t>LP Water &amp; Sewer</w:t>
      </w:r>
      <w:r w:rsidRPr="003A1FCE">
        <w:rPr>
          <w:rFonts w:eastAsiaTheme="minorHAnsi"/>
          <w:i/>
          <w:iCs/>
          <w:sz w:val="26"/>
          <w:szCs w:val="26"/>
        </w:rPr>
        <w:t xml:space="preserve"> </w:t>
      </w:r>
      <w:r w:rsidRPr="004C4F57">
        <w:rPr>
          <w:rFonts w:eastAsiaTheme="minorHAnsi"/>
          <w:i/>
          <w:iCs/>
          <w:sz w:val="26"/>
          <w:szCs w:val="26"/>
        </w:rPr>
        <w:t xml:space="preserve">Company v. </w:t>
      </w:r>
      <w:r w:rsidRPr="004C4F57">
        <w:rPr>
          <w:i/>
          <w:sz w:val="26"/>
          <w:szCs w:val="26"/>
        </w:rPr>
        <w:t>Pa. PUC</w:t>
      </w:r>
      <w:r w:rsidRPr="004C4F57">
        <w:rPr>
          <w:rFonts w:eastAsiaTheme="minorHAnsi"/>
          <w:iCs/>
          <w:sz w:val="26"/>
          <w:szCs w:val="26"/>
        </w:rPr>
        <w:t xml:space="preserve">, 722 A.2d 733, 736 (1998); </w:t>
      </w:r>
      <w:r w:rsidRPr="004C4F57">
        <w:rPr>
          <w:rFonts w:eastAsiaTheme="minorHAnsi"/>
          <w:i/>
          <w:iCs/>
          <w:sz w:val="26"/>
          <w:szCs w:val="26"/>
        </w:rPr>
        <w:t>Implementation of Act 129 of 2008</w:t>
      </w:r>
      <w:r w:rsidRPr="004C4F57">
        <w:rPr>
          <w:rFonts w:eastAsiaTheme="minorHAnsi"/>
          <w:iCs/>
          <w:sz w:val="26"/>
          <w:szCs w:val="26"/>
        </w:rPr>
        <w:t xml:space="preserve">; </w:t>
      </w:r>
      <w:r w:rsidRPr="004C4F57">
        <w:rPr>
          <w:rFonts w:eastAsiaTheme="minorHAnsi"/>
          <w:i/>
          <w:iCs/>
          <w:sz w:val="26"/>
          <w:szCs w:val="26"/>
        </w:rPr>
        <w:t>Organization of Bureaus and Offices</w:t>
      </w:r>
      <w:r w:rsidRPr="004C4F57">
        <w:rPr>
          <w:rFonts w:eastAsiaTheme="minorHAnsi"/>
          <w:iCs/>
          <w:sz w:val="26"/>
          <w:szCs w:val="26"/>
        </w:rPr>
        <w:t>, Docket No. M-2008-2071852 (Order entered August 11, 2011) at 3-5; 66</w:t>
      </w:r>
      <w:r w:rsidR="00865ED2">
        <w:rPr>
          <w:rFonts w:eastAsiaTheme="minorHAnsi"/>
          <w:iCs/>
          <w:sz w:val="26"/>
          <w:szCs w:val="26"/>
        </w:rPr>
        <w:t> </w:t>
      </w:r>
      <w:r w:rsidRPr="004C4F57">
        <w:rPr>
          <w:rFonts w:eastAsiaTheme="minorHAnsi"/>
          <w:iCs/>
          <w:sz w:val="26"/>
          <w:szCs w:val="26"/>
        </w:rPr>
        <w:t>Pa.C.S. § 308.2(b)).</w:t>
      </w:r>
      <w:bookmarkEnd w:id="26"/>
      <w:bookmarkEnd w:id="27"/>
    </w:p>
    <w:p w14:paraId="1CFAEF51" w14:textId="77777777" w:rsidR="00EA6D30" w:rsidRPr="00EA6D30" w:rsidRDefault="00EA6D30" w:rsidP="00EA6D30">
      <w:pPr>
        <w:keepNext/>
        <w:spacing w:line="360" w:lineRule="auto"/>
        <w:rPr>
          <w:b/>
          <w:bCs/>
          <w:sz w:val="26"/>
          <w:szCs w:val="26"/>
        </w:rPr>
      </w:pPr>
    </w:p>
    <w:p w14:paraId="3963922E" w14:textId="7DB87C25" w:rsidR="00EA6D30" w:rsidRPr="004809D9" w:rsidRDefault="007528E1" w:rsidP="00A667AD">
      <w:pPr>
        <w:pStyle w:val="ListParagraph"/>
        <w:keepNext/>
        <w:numPr>
          <w:ilvl w:val="0"/>
          <w:numId w:val="42"/>
        </w:numPr>
        <w:spacing w:line="360" w:lineRule="auto"/>
        <w:rPr>
          <w:b/>
          <w:bCs/>
          <w:sz w:val="26"/>
          <w:szCs w:val="26"/>
        </w:rPr>
      </w:pPr>
      <w:r w:rsidRPr="004809D9">
        <w:rPr>
          <w:b/>
          <w:bCs/>
          <w:sz w:val="26"/>
          <w:szCs w:val="26"/>
        </w:rPr>
        <w:t xml:space="preserve">Disposition </w:t>
      </w:r>
      <w:r w:rsidR="00966C12" w:rsidRPr="004809D9">
        <w:rPr>
          <w:b/>
          <w:bCs/>
          <w:sz w:val="26"/>
          <w:szCs w:val="26"/>
        </w:rPr>
        <w:t>of Discount’s Motions to Strike Filed Comments</w:t>
      </w:r>
    </w:p>
    <w:p w14:paraId="3AD56B9B" w14:textId="77777777" w:rsidR="00D40BF5" w:rsidRPr="004809D9" w:rsidRDefault="00D40BF5" w:rsidP="0062271A">
      <w:pPr>
        <w:spacing w:line="360" w:lineRule="auto"/>
        <w:contextualSpacing/>
        <w:rPr>
          <w:rFonts w:eastAsiaTheme="minorHAnsi"/>
          <w:iCs/>
          <w:sz w:val="26"/>
          <w:szCs w:val="26"/>
        </w:rPr>
      </w:pPr>
      <w:bookmarkStart w:id="29" w:name="_Hlk92878267"/>
    </w:p>
    <w:bookmarkEnd w:id="29"/>
    <w:p w14:paraId="7BEF5618" w14:textId="5C28270F" w:rsidR="00352518" w:rsidRPr="004809D9" w:rsidRDefault="00BA781A" w:rsidP="00A63210">
      <w:pPr>
        <w:spacing w:line="360" w:lineRule="auto"/>
        <w:ind w:firstLine="1440"/>
        <w:contextualSpacing/>
        <w:rPr>
          <w:iCs/>
          <w:sz w:val="26"/>
          <w:szCs w:val="26"/>
        </w:rPr>
      </w:pPr>
      <w:r w:rsidRPr="004809D9">
        <w:rPr>
          <w:rFonts w:eastAsiaTheme="minorHAnsi"/>
          <w:iCs/>
          <w:sz w:val="26"/>
          <w:szCs w:val="26"/>
        </w:rPr>
        <w:t xml:space="preserve">Upon review, we will </w:t>
      </w:r>
      <w:r w:rsidR="00BA736F" w:rsidRPr="004809D9">
        <w:rPr>
          <w:rFonts w:eastAsiaTheme="minorHAnsi"/>
          <w:iCs/>
          <w:sz w:val="26"/>
          <w:szCs w:val="26"/>
        </w:rPr>
        <w:t xml:space="preserve">deny </w:t>
      </w:r>
      <w:r w:rsidRPr="004809D9">
        <w:rPr>
          <w:rFonts w:eastAsiaTheme="minorHAnsi"/>
          <w:iCs/>
          <w:sz w:val="26"/>
          <w:szCs w:val="26"/>
        </w:rPr>
        <w:t>Discount’s Motions to Strike</w:t>
      </w:r>
      <w:r w:rsidR="00FF7658" w:rsidRPr="004809D9">
        <w:rPr>
          <w:rFonts w:eastAsiaTheme="minorHAnsi"/>
          <w:iCs/>
          <w:sz w:val="26"/>
          <w:szCs w:val="26"/>
        </w:rPr>
        <w:t xml:space="preserve"> </w:t>
      </w:r>
      <w:r w:rsidR="00272211" w:rsidRPr="004809D9">
        <w:rPr>
          <w:rFonts w:eastAsiaTheme="minorHAnsi"/>
          <w:iCs/>
          <w:sz w:val="26"/>
          <w:szCs w:val="26"/>
        </w:rPr>
        <w:t xml:space="preserve">PPL’s </w:t>
      </w:r>
      <w:r w:rsidR="00FF7658" w:rsidRPr="004809D9">
        <w:rPr>
          <w:rFonts w:eastAsiaTheme="minorHAnsi"/>
          <w:iCs/>
          <w:sz w:val="26"/>
          <w:szCs w:val="26"/>
        </w:rPr>
        <w:t>Comments and Mr.</w:t>
      </w:r>
      <w:r w:rsidR="00615A70" w:rsidRPr="004809D9">
        <w:rPr>
          <w:rFonts w:eastAsiaTheme="minorHAnsi"/>
          <w:iCs/>
          <w:sz w:val="26"/>
          <w:szCs w:val="26"/>
        </w:rPr>
        <w:t> </w:t>
      </w:r>
      <w:r w:rsidR="00FF7658" w:rsidRPr="004809D9">
        <w:rPr>
          <w:rFonts w:eastAsiaTheme="minorHAnsi"/>
          <w:iCs/>
          <w:sz w:val="26"/>
          <w:szCs w:val="26"/>
        </w:rPr>
        <w:t xml:space="preserve">Zimmerman’s Comments.  </w:t>
      </w:r>
      <w:r w:rsidR="00D94C3A" w:rsidRPr="004809D9">
        <w:rPr>
          <w:iCs/>
          <w:sz w:val="26"/>
          <w:szCs w:val="26"/>
        </w:rPr>
        <w:t>In its Answer to Discount’s Motion to Strike</w:t>
      </w:r>
      <w:r w:rsidR="00C97772" w:rsidRPr="004809D9">
        <w:rPr>
          <w:iCs/>
          <w:sz w:val="26"/>
          <w:szCs w:val="26"/>
        </w:rPr>
        <w:t xml:space="preserve"> PPL’s Comments</w:t>
      </w:r>
      <w:r w:rsidR="00D94C3A" w:rsidRPr="004809D9">
        <w:rPr>
          <w:iCs/>
          <w:sz w:val="26"/>
          <w:szCs w:val="26"/>
        </w:rPr>
        <w:t>, PPL argues that</w:t>
      </w:r>
      <w:r w:rsidR="003C70F8" w:rsidRPr="004809D9">
        <w:rPr>
          <w:iCs/>
          <w:sz w:val="26"/>
          <w:szCs w:val="26"/>
        </w:rPr>
        <w:t xml:space="preserve">, </w:t>
      </w:r>
      <w:r w:rsidR="00D1252E" w:rsidRPr="004809D9">
        <w:rPr>
          <w:iCs/>
          <w:sz w:val="26"/>
          <w:szCs w:val="26"/>
        </w:rPr>
        <w:t xml:space="preserve">for the purpose of </w:t>
      </w:r>
      <w:r w:rsidR="003C70F8" w:rsidRPr="004809D9">
        <w:rPr>
          <w:iCs/>
          <w:sz w:val="26"/>
          <w:szCs w:val="26"/>
        </w:rPr>
        <w:t xml:space="preserve">filing comments in Commission proceedings, </w:t>
      </w:r>
      <w:r w:rsidR="00D1252E" w:rsidRPr="004809D9">
        <w:rPr>
          <w:iCs/>
          <w:sz w:val="26"/>
          <w:szCs w:val="26"/>
        </w:rPr>
        <w:t xml:space="preserve">interested parties </w:t>
      </w:r>
      <w:r w:rsidR="003C70F8" w:rsidRPr="004809D9">
        <w:rPr>
          <w:iCs/>
          <w:sz w:val="26"/>
          <w:szCs w:val="26"/>
        </w:rPr>
        <w:t xml:space="preserve">do not need to have legal standing.  PPL </w:t>
      </w:r>
      <w:r w:rsidR="0088071C" w:rsidRPr="004809D9">
        <w:rPr>
          <w:iCs/>
          <w:sz w:val="26"/>
          <w:szCs w:val="26"/>
        </w:rPr>
        <w:t>asserts that</w:t>
      </w:r>
      <w:r w:rsidR="00D1252E" w:rsidRPr="004809D9">
        <w:rPr>
          <w:iCs/>
          <w:sz w:val="26"/>
          <w:szCs w:val="26"/>
        </w:rPr>
        <w:t xml:space="preserve"> </w:t>
      </w:r>
      <w:r w:rsidR="0088657A" w:rsidRPr="004809D9">
        <w:rPr>
          <w:iCs/>
          <w:sz w:val="26"/>
          <w:szCs w:val="26"/>
        </w:rPr>
        <w:t>its Comments</w:t>
      </w:r>
      <w:r w:rsidR="00FD27C6" w:rsidRPr="004809D9">
        <w:rPr>
          <w:iCs/>
          <w:sz w:val="26"/>
          <w:szCs w:val="26"/>
        </w:rPr>
        <w:t xml:space="preserve"> on the proposed Settlement</w:t>
      </w:r>
      <w:r w:rsidR="0088657A" w:rsidRPr="004809D9">
        <w:rPr>
          <w:iCs/>
          <w:sz w:val="26"/>
          <w:szCs w:val="26"/>
        </w:rPr>
        <w:t xml:space="preserve"> are permitted because </w:t>
      </w:r>
      <w:r w:rsidR="007C3691" w:rsidRPr="004809D9">
        <w:rPr>
          <w:iCs/>
          <w:sz w:val="26"/>
          <w:szCs w:val="26"/>
        </w:rPr>
        <w:t>the</w:t>
      </w:r>
      <w:r w:rsidR="00E64018" w:rsidRPr="004809D9">
        <w:rPr>
          <w:iCs/>
          <w:sz w:val="26"/>
          <w:szCs w:val="26"/>
        </w:rPr>
        <w:t xml:space="preserve"> </w:t>
      </w:r>
      <w:r w:rsidR="00E64018" w:rsidRPr="004809D9">
        <w:rPr>
          <w:i/>
          <w:sz w:val="26"/>
          <w:szCs w:val="26"/>
        </w:rPr>
        <w:t>October 2021 Order</w:t>
      </w:r>
      <w:r w:rsidR="007C3691" w:rsidRPr="004809D9">
        <w:rPr>
          <w:iCs/>
          <w:sz w:val="26"/>
          <w:szCs w:val="26"/>
        </w:rPr>
        <w:t xml:space="preserve"> solicited</w:t>
      </w:r>
      <w:r w:rsidR="00352518" w:rsidRPr="004809D9">
        <w:rPr>
          <w:iCs/>
          <w:sz w:val="26"/>
          <w:szCs w:val="26"/>
        </w:rPr>
        <w:t xml:space="preserve"> comments from interested parties</w:t>
      </w:r>
      <w:r w:rsidR="007C3691" w:rsidRPr="004809D9">
        <w:rPr>
          <w:iCs/>
          <w:sz w:val="26"/>
          <w:szCs w:val="26"/>
        </w:rPr>
        <w:t xml:space="preserve"> and</w:t>
      </w:r>
      <w:r w:rsidR="008F34C2" w:rsidRPr="004809D9">
        <w:rPr>
          <w:iCs/>
          <w:sz w:val="26"/>
          <w:szCs w:val="26"/>
        </w:rPr>
        <w:t xml:space="preserve">, given that </w:t>
      </w:r>
      <w:r w:rsidR="00D02B56" w:rsidRPr="004809D9">
        <w:rPr>
          <w:iCs/>
          <w:sz w:val="26"/>
          <w:szCs w:val="26"/>
        </w:rPr>
        <w:t xml:space="preserve">the underlying claims in this case involve a PPL customer and </w:t>
      </w:r>
      <w:r w:rsidR="008F34C2" w:rsidRPr="004809D9">
        <w:rPr>
          <w:iCs/>
          <w:sz w:val="26"/>
          <w:szCs w:val="26"/>
        </w:rPr>
        <w:t>Discount is licensed to operate in PPL’s service territory,</w:t>
      </w:r>
      <w:r w:rsidR="007C3691" w:rsidRPr="004809D9">
        <w:rPr>
          <w:iCs/>
          <w:sz w:val="26"/>
          <w:szCs w:val="26"/>
        </w:rPr>
        <w:t xml:space="preserve"> PPL</w:t>
      </w:r>
      <w:r w:rsidR="008F34C2" w:rsidRPr="004809D9">
        <w:rPr>
          <w:iCs/>
          <w:sz w:val="26"/>
          <w:szCs w:val="26"/>
        </w:rPr>
        <w:t xml:space="preserve"> is</w:t>
      </w:r>
      <w:r w:rsidR="00D02B56" w:rsidRPr="004809D9">
        <w:rPr>
          <w:iCs/>
          <w:sz w:val="26"/>
          <w:szCs w:val="26"/>
        </w:rPr>
        <w:t xml:space="preserve"> an interested party and</w:t>
      </w:r>
      <w:r w:rsidR="0088071C" w:rsidRPr="004809D9">
        <w:rPr>
          <w:iCs/>
          <w:sz w:val="26"/>
          <w:szCs w:val="26"/>
        </w:rPr>
        <w:t>, therefore,</w:t>
      </w:r>
      <w:r w:rsidR="00CD2D33" w:rsidRPr="004809D9">
        <w:rPr>
          <w:iCs/>
          <w:sz w:val="26"/>
          <w:szCs w:val="26"/>
        </w:rPr>
        <w:t xml:space="preserve"> its Comments are</w:t>
      </w:r>
      <w:r w:rsidR="0088071C" w:rsidRPr="004809D9">
        <w:rPr>
          <w:iCs/>
          <w:sz w:val="26"/>
          <w:szCs w:val="26"/>
        </w:rPr>
        <w:t xml:space="preserve"> </w:t>
      </w:r>
      <w:r w:rsidR="00FD27C6" w:rsidRPr="004809D9">
        <w:rPr>
          <w:iCs/>
          <w:sz w:val="26"/>
          <w:szCs w:val="26"/>
        </w:rPr>
        <w:t>permitted</w:t>
      </w:r>
      <w:r w:rsidR="0088071C" w:rsidRPr="004809D9">
        <w:rPr>
          <w:iCs/>
          <w:sz w:val="26"/>
          <w:szCs w:val="26"/>
        </w:rPr>
        <w:t>.</w:t>
      </w:r>
      <w:r w:rsidR="00352518" w:rsidRPr="004809D9">
        <w:rPr>
          <w:iCs/>
          <w:sz w:val="26"/>
          <w:szCs w:val="26"/>
        </w:rPr>
        <w:t xml:space="preserve">  PPL Answer at 3-4.</w:t>
      </w:r>
      <w:r w:rsidR="0088071C" w:rsidRPr="004809D9">
        <w:rPr>
          <w:iCs/>
          <w:sz w:val="26"/>
          <w:szCs w:val="26"/>
        </w:rPr>
        <w:t xml:space="preserve">  We agree with PPL</w:t>
      </w:r>
      <w:r w:rsidR="005D4465" w:rsidRPr="004809D9">
        <w:rPr>
          <w:iCs/>
          <w:sz w:val="26"/>
          <w:szCs w:val="26"/>
        </w:rPr>
        <w:t>’s reasoning.</w:t>
      </w:r>
      <w:r w:rsidR="00C6769F" w:rsidRPr="004809D9">
        <w:rPr>
          <w:iCs/>
          <w:sz w:val="26"/>
          <w:szCs w:val="26"/>
        </w:rPr>
        <w:t xml:space="preserve">  </w:t>
      </w:r>
      <w:r w:rsidR="0058325F" w:rsidRPr="004809D9">
        <w:rPr>
          <w:iCs/>
          <w:sz w:val="26"/>
          <w:szCs w:val="26"/>
        </w:rPr>
        <w:t>Where the Commission invites the opportunity for interested parties to file comments regarding a proposed settlement, t</w:t>
      </w:r>
      <w:r w:rsidR="00C6769F" w:rsidRPr="004809D9">
        <w:rPr>
          <w:iCs/>
          <w:sz w:val="26"/>
          <w:szCs w:val="26"/>
        </w:rPr>
        <w:t>he Commission is free to consider</w:t>
      </w:r>
      <w:r w:rsidR="00081A35" w:rsidRPr="004809D9">
        <w:rPr>
          <w:iCs/>
          <w:sz w:val="26"/>
          <w:szCs w:val="26"/>
        </w:rPr>
        <w:t xml:space="preserve"> such comments and the legal standard for “standing” to </w:t>
      </w:r>
      <w:r w:rsidR="00081A35" w:rsidRPr="004809D9">
        <w:rPr>
          <w:iCs/>
          <w:sz w:val="26"/>
          <w:szCs w:val="26"/>
        </w:rPr>
        <w:lastRenderedPageBreak/>
        <w:t xml:space="preserve">participate in a proceeding is not applicable.  </w:t>
      </w:r>
      <w:r w:rsidR="00C11B33" w:rsidRPr="004809D9">
        <w:rPr>
          <w:iCs/>
          <w:sz w:val="26"/>
          <w:szCs w:val="26"/>
        </w:rPr>
        <w:t>Therefore, the Commission is free to consider the</w:t>
      </w:r>
      <w:r w:rsidR="00BB0EAE" w:rsidRPr="004809D9">
        <w:rPr>
          <w:iCs/>
          <w:sz w:val="26"/>
          <w:szCs w:val="26"/>
        </w:rPr>
        <w:t xml:space="preserve"> </w:t>
      </w:r>
      <w:r w:rsidR="00081A35" w:rsidRPr="004809D9">
        <w:rPr>
          <w:iCs/>
          <w:sz w:val="26"/>
          <w:szCs w:val="26"/>
        </w:rPr>
        <w:t xml:space="preserve">filed </w:t>
      </w:r>
      <w:r w:rsidR="00BB0EAE" w:rsidRPr="004809D9">
        <w:rPr>
          <w:iCs/>
          <w:sz w:val="26"/>
          <w:szCs w:val="26"/>
        </w:rPr>
        <w:t xml:space="preserve">Comments regarding the proposed Settlement, as provided with the </w:t>
      </w:r>
      <w:r w:rsidR="00BB0EAE" w:rsidRPr="004809D9">
        <w:rPr>
          <w:i/>
          <w:sz w:val="26"/>
          <w:szCs w:val="26"/>
        </w:rPr>
        <w:t>October 2021 Order</w:t>
      </w:r>
      <w:r w:rsidR="00BB0EAE" w:rsidRPr="004809D9">
        <w:rPr>
          <w:iCs/>
          <w:sz w:val="26"/>
          <w:szCs w:val="26"/>
        </w:rPr>
        <w:t>.</w:t>
      </w:r>
      <w:r w:rsidR="007D741E" w:rsidRPr="004809D9">
        <w:rPr>
          <w:iCs/>
          <w:sz w:val="26"/>
          <w:szCs w:val="26"/>
        </w:rPr>
        <w:t xml:space="preserve">  Furthermore, </w:t>
      </w:r>
      <w:r w:rsidR="001303A7" w:rsidRPr="004809D9">
        <w:rPr>
          <w:iCs/>
          <w:sz w:val="26"/>
          <w:szCs w:val="26"/>
        </w:rPr>
        <w:t xml:space="preserve">given that </w:t>
      </w:r>
      <w:r w:rsidR="00276AC2" w:rsidRPr="004809D9">
        <w:rPr>
          <w:iCs/>
          <w:sz w:val="26"/>
          <w:szCs w:val="26"/>
        </w:rPr>
        <w:t xml:space="preserve">Discount is licensed by the Commission to operate in </w:t>
      </w:r>
      <w:r w:rsidR="001303A7" w:rsidRPr="004809D9">
        <w:rPr>
          <w:iCs/>
          <w:sz w:val="26"/>
          <w:szCs w:val="26"/>
        </w:rPr>
        <w:t>PPL</w:t>
      </w:r>
      <w:r w:rsidR="00B322C8" w:rsidRPr="004809D9">
        <w:rPr>
          <w:iCs/>
          <w:sz w:val="26"/>
          <w:szCs w:val="26"/>
        </w:rPr>
        <w:t>’s</w:t>
      </w:r>
      <w:r w:rsidR="007D741E" w:rsidRPr="004809D9">
        <w:rPr>
          <w:iCs/>
          <w:sz w:val="26"/>
          <w:szCs w:val="26"/>
        </w:rPr>
        <w:t xml:space="preserve"> </w:t>
      </w:r>
      <w:r w:rsidR="00B9704C" w:rsidRPr="004809D9">
        <w:rPr>
          <w:iCs/>
          <w:sz w:val="26"/>
          <w:szCs w:val="26"/>
        </w:rPr>
        <w:t>service territory and th</w:t>
      </w:r>
      <w:r w:rsidR="00DD08A4" w:rsidRPr="004809D9">
        <w:rPr>
          <w:iCs/>
          <w:sz w:val="26"/>
          <w:szCs w:val="26"/>
        </w:rPr>
        <w:t>e potential</w:t>
      </w:r>
      <w:r w:rsidR="009E2E6C" w:rsidRPr="004809D9">
        <w:rPr>
          <w:iCs/>
          <w:sz w:val="26"/>
          <w:szCs w:val="26"/>
        </w:rPr>
        <w:t xml:space="preserve"> exists</w:t>
      </w:r>
      <w:r w:rsidR="00DD08A4" w:rsidRPr="004809D9">
        <w:rPr>
          <w:iCs/>
          <w:sz w:val="26"/>
          <w:szCs w:val="26"/>
        </w:rPr>
        <w:t xml:space="preserve"> for</w:t>
      </w:r>
      <w:r w:rsidR="00B9704C" w:rsidRPr="004809D9">
        <w:rPr>
          <w:iCs/>
          <w:sz w:val="26"/>
          <w:szCs w:val="26"/>
        </w:rPr>
        <w:t xml:space="preserve"> PPL’s </w:t>
      </w:r>
      <w:r w:rsidR="007D741E" w:rsidRPr="004809D9">
        <w:rPr>
          <w:iCs/>
          <w:sz w:val="26"/>
          <w:szCs w:val="26"/>
        </w:rPr>
        <w:t xml:space="preserve">customers </w:t>
      </w:r>
      <w:r w:rsidR="00DD08A4" w:rsidRPr="004809D9">
        <w:rPr>
          <w:iCs/>
          <w:sz w:val="26"/>
          <w:szCs w:val="26"/>
        </w:rPr>
        <w:t>to be</w:t>
      </w:r>
      <w:r w:rsidR="007D741E" w:rsidRPr="004809D9">
        <w:rPr>
          <w:iCs/>
          <w:sz w:val="26"/>
          <w:szCs w:val="26"/>
        </w:rPr>
        <w:t xml:space="preserve"> impacted by the deceptive practices being addressed</w:t>
      </w:r>
      <w:r w:rsidR="008568AD" w:rsidRPr="004809D9">
        <w:rPr>
          <w:iCs/>
          <w:sz w:val="26"/>
          <w:szCs w:val="26"/>
        </w:rPr>
        <w:t xml:space="preserve"> in this proceeding</w:t>
      </w:r>
      <w:r w:rsidR="00DD08A4" w:rsidRPr="004809D9">
        <w:rPr>
          <w:iCs/>
          <w:sz w:val="26"/>
          <w:szCs w:val="26"/>
        </w:rPr>
        <w:t>,</w:t>
      </w:r>
      <w:r w:rsidR="007D741E" w:rsidRPr="004809D9">
        <w:rPr>
          <w:iCs/>
          <w:sz w:val="26"/>
          <w:szCs w:val="26"/>
        </w:rPr>
        <w:t xml:space="preserve"> PPL’s perspective is informative </w:t>
      </w:r>
      <w:r w:rsidR="009E2E6C" w:rsidRPr="004809D9">
        <w:rPr>
          <w:iCs/>
          <w:sz w:val="26"/>
          <w:szCs w:val="26"/>
        </w:rPr>
        <w:t>to</w:t>
      </w:r>
      <w:r w:rsidR="007D741E" w:rsidRPr="004809D9">
        <w:rPr>
          <w:iCs/>
          <w:sz w:val="26"/>
          <w:szCs w:val="26"/>
        </w:rPr>
        <w:t xml:space="preserve"> the Commission</w:t>
      </w:r>
      <w:r w:rsidR="00DD08A4" w:rsidRPr="004809D9">
        <w:rPr>
          <w:iCs/>
          <w:sz w:val="26"/>
          <w:szCs w:val="26"/>
        </w:rPr>
        <w:t xml:space="preserve">.  </w:t>
      </w:r>
      <w:r w:rsidR="00610356" w:rsidRPr="004809D9">
        <w:rPr>
          <w:iCs/>
          <w:sz w:val="26"/>
          <w:szCs w:val="26"/>
        </w:rPr>
        <w:t>Therefore,</w:t>
      </w:r>
      <w:r w:rsidR="00DD08A4" w:rsidRPr="004809D9">
        <w:rPr>
          <w:iCs/>
          <w:sz w:val="26"/>
          <w:szCs w:val="26"/>
        </w:rPr>
        <w:t xml:space="preserve"> we shall deny Discount’s Motion to Strike PPL’s Comments</w:t>
      </w:r>
      <w:r w:rsidR="00610356" w:rsidRPr="004809D9">
        <w:rPr>
          <w:iCs/>
          <w:sz w:val="26"/>
          <w:szCs w:val="26"/>
        </w:rPr>
        <w:t xml:space="preserve"> and, accordingly, we will review and consider </w:t>
      </w:r>
      <w:r w:rsidR="00EF4326" w:rsidRPr="004809D9">
        <w:rPr>
          <w:iCs/>
          <w:sz w:val="26"/>
          <w:szCs w:val="26"/>
        </w:rPr>
        <w:t>the Comments filed by PPL.</w:t>
      </w:r>
    </w:p>
    <w:p w14:paraId="718196F3" w14:textId="66486392" w:rsidR="00853A04" w:rsidRPr="004809D9" w:rsidRDefault="00853A04" w:rsidP="00352518">
      <w:pPr>
        <w:spacing w:line="360" w:lineRule="auto"/>
        <w:ind w:firstLine="1440"/>
        <w:contextualSpacing/>
        <w:rPr>
          <w:iCs/>
          <w:sz w:val="26"/>
          <w:szCs w:val="26"/>
        </w:rPr>
      </w:pPr>
    </w:p>
    <w:p w14:paraId="1D5D4B93" w14:textId="3A8502D3" w:rsidR="003441A8" w:rsidRPr="001B2A91" w:rsidRDefault="00853A04" w:rsidP="003441A8">
      <w:pPr>
        <w:spacing w:line="360" w:lineRule="auto"/>
        <w:ind w:firstLine="1440"/>
        <w:contextualSpacing/>
        <w:rPr>
          <w:rFonts w:eastAsiaTheme="minorHAnsi"/>
          <w:iCs/>
          <w:sz w:val="26"/>
          <w:szCs w:val="26"/>
        </w:rPr>
      </w:pPr>
      <w:r w:rsidRPr="004809D9">
        <w:rPr>
          <w:rFonts w:eastAsiaTheme="minorHAnsi"/>
          <w:iCs/>
          <w:sz w:val="26"/>
          <w:szCs w:val="26"/>
        </w:rPr>
        <w:t xml:space="preserve">Regarding </w:t>
      </w:r>
      <w:r w:rsidR="003C5EB8" w:rsidRPr="004809D9">
        <w:rPr>
          <w:rFonts w:eastAsiaTheme="minorHAnsi"/>
          <w:iCs/>
          <w:sz w:val="26"/>
          <w:szCs w:val="26"/>
        </w:rPr>
        <w:t>Discount’s Motion to Strike Mr. Zimmerman’s Comments</w:t>
      </w:r>
      <w:r w:rsidRPr="004809D9">
        <w:rPr>
          <w:rFonts w:eastAsiaTheme="minorHAnsi"/>
          <w:iCs/>
          <w:sz w:val="26"/>
          <w:szCs w:val="26"/>
        </w:rPr>
        <w:t xml:space="preserve">, </w:t>
      </w:r>
      <w:r w:rsidR="003C5EB8" w:rsidRPr="004809D9">
        <w:rPr>
          <w:rFonts w:eastAsiaTheme="minorHAnsi"/>
          <w:iCs/>
          <w:sz w:val="26"/>
          <w:szCs w:val="26"/>
        </w:rPr>
        <w:t xml:space="preserve">although </w:t>
      </w:r>
      <w:r w:rsidRPr="004809D9">
        <w:rPr>
          <w:rFonts w:eastAsiaTheme="minorHAnsi"/>
          <w:iCs/>
          <w:sz w:val="26"/>
          <w:szCs w:val="26"/>
        </w:rPr>
        <w:t>we note that Discount raises valid arguments</w:t>
      </w:r>
      <w:r w:rsidR="00F018CA" w:rsidRPr="004809D9">
        <w:rPr>
          <w:rFonts w:eastAsiaTheme="minorHAnsi"/>
          <w:iCs/>
          <w:sz w:val="26"/>
          <w:szCs w:val="26"/>
        </w:rPr>
        <w:t>,</w:t>
      </w:r>
      <w:r w:rsidRPr="004809D9">
        <w:rPr>
          <w:rFonts w:eastAsiaTheme="minorHAnsi"/>
          <w:iCs/>
          <w:sz w:val="26"/>
          <w:szCs w:val="26"/>
        </w:rPr>
        <w:t xml:space="preserve"> those arguments pertain to the weight we should afford those Comments rather than persuading us to strike </w:t>
      </w:r>
      <w:r w:rsidR="003C5EB8" w:rsidRPr="004809D9">
        <w:rPr>
          <w:rFonts w:eastAsiaTheme="minorHAnsi"/>
          <w:iCs/>
          <w:sz w:val="26"/>
          <w:szCs w:val="26"/>
        </w:rPr>
        <w:t>Mr. Zimmerman’s</w:t>
      </w:r>
      <w:r w:rsidRPr="004809D9">
        <w:rPr>
          <w:rFonts w:eastAsiaTheme="minorHAnsi"/>
          <w:iCs/>
          <w:sz w:val="26"/>
          <w:szCs w:val="26"/>
        </w:rPr>
        <w:t xml:space="preserve"> Comments.  Therefore, to ensure that important questions raised </w:t>
      </w:r>
      <w:r w:rsidR="0031310E" w:rsidRPr="001B2A91">
        <w:rPr>
          <w:rFonts w:eastAsiaTheme="minorHAnsi"/>
          <w:iCs/>
          <w:sz w:val="26"/>
          <w:szCs w:val="26"/>
        </w:rPr>
        <w:t xml:space="preserve">by </w:t>
      </w:r>
      <w:r w:rsidRPr="001B2A91">
        <w:rPr>
          <w:rFonts w:eastAsiaTheme="minorHAnsi"/>
          <w:iCs/>
          <w:sz w:val="26"/>
          <w:szCs w:val="26"/>
        </w:rPr>
        <w:t>Discount’s conduct are fully considered, we will review and consider the Comments filed by Mr. Zimmerman.</w:t>
      </w:r>
      <w:r w:rsidR="0015321B" w:rsidRPr="001B2A91">
        <w:rPr>
          <w:rFonts w:eastAsiaTheme="minorHAnsi"/>
          <w:iCs/>
          <w:sz w:val="26"/>
          <w:szCs w:val="26"/>
        </w:rPr>
        <w:t xml:space="preserve">  Accordingly, </w:t>
      </w:r>
      <w:r w:rsidR="003441A8" w:rsidRPr="001B2A91">
        <w:rPr>
          <w:rFonts w:eastAsiaTheme="minorHAnsi"/>
          <w:iCs/>
          <w:sz w:val="26"/>
          <w:szCs w:val="26"/>
        </w:rPr>
        <w:t>we shall deny Discount’s Motion to Strike Mr. Zimmerman’s Comments.</w:t>
      </w:r>
    </w:p>
    <w:p w14:paraId="4551691C" w14:textId="5B7F17E4" w:rsidR="00966C12" w:rsidRPr="001B2A91" w:rsidRDefault="00966C12" w:rsidP="00966C12">
      <w:pPr>
        <w:spacing w:line="360" w:lineRule="auto"/>
        <w:contextualSpacing/>
        <w:rPr>
          <w:rFonts w:eastAsiaTheme="minorHAnsi"/>
          <w:iCs/>
          <w:sz w:val="26"/>
          <w:szCs w:val="26"/>
        </w:rPr>
      </w:pPr>
    </w:p>
    <w:p w14:paraId="07AC4FE2" w14:textId="7B1183B5" w:rsidR="00966C12" w:rsidRPr="001B2A91" w:rsidRDefault="00966C12" w:rsidP="00966C12">
      <w:pPr>
        <w:spacing w:line="360" w:lineRule="auto"/>
        <w:contextualSpacing/>
        <w:rPr>
          <w:rFonts w:eastAsiaTheme="minorHAnsi"/>
          <w:b/>
          <w:bCs/>
          <w:iCs/>
          <w:sz w:val="26"/>
          <w:szCs w:val="26"/>
        </w:rPr>
      </w:pPr>
      <w:r w:rsidRPr="001B2A91">
        <w:rPr>
          <w:rFonts w:eastAsiaTheme="minorHAnsi"/>
          <w:b/>
          <w:bCs/>
          <w:iCs/>
          <w:sz w:val="26"/>
          <w:szCs w:val="26"/>
        </w:rPr>
        <w:t xml:space="preserve">C. </w:t>
      </w:r>
      <w:r w:rsidRPr="001B2A91">
        <w:rPr>
          <w:rFonts w:eastAsiaTheme="minorHAnsi"/>
          <w:b/>
          <w:bCs/>
          <w:iCs/>
          <w:sz w:val="26"/>
          <w:szCs w:val="26"/>
        </w:rPr>
        <w:tab/>
      </w:r>
      <w:r w:rsidR="00122C3A" w:rsidRPr="001B2A91">
        <w:rPr>
          <w:rFonts w:eastAsiaTheme="minorHAnsi"/>
          <w:b/>
          <w:bCs/>
          <w:iCs/>
          <w:sz w:val="26"/>
          <w:szCs w:val="26"/>
        </w:rPr>
        <w:t xml:space="preserve">Disposition </w:t>
      </w:r>
      <w:r w:rsidR="004D42F3" w:rsidRPr="001B2A91">
        <w:rPr>
          <w:rFonts w:eastAsiaTheme="minorHAnsi"/>
          <w:b/>
          <w:bCs/>
          <w:iCs/>
          <w:sz w:val="26"/>
          <w:szCs w:val="26"/>
        </w:rPr>
        <w:t xml:space="preserve">of Comments Filed in Response to the </w:t>
      </w:r>
      <w:r w:rsidR="004D42F3" w:rsidRPr="001B2A91">
        <w:rPr>
          <w:rFonts w:eastAsiaTheme="minorHAnsi"/>
          <w:b/>
          <w:bCs/>
          <w:i/>
          <w:sz w:val="26"/>
          <w:szCs w:val="26"/>
        </w:rPr>
        <w:t>October 2021 Order</w:t>
      </w:r>
    </w:p>
    <w:p w14:paraId="015C6F93" w14:textId="17F77EFD" w:rsidR="00D201FD" w:rsidRPr="001B2A91" w:rsidRDefault="00D201FD" w:rsidP="00730F4B">
      <w:pPr>
        <w:spacing w:line="360" w:lineRule="auto"/>
        <w:ind w:firstLine="1440"/>
        <w:contextualSpacing/>
        <w:rPr>
          <w:rFonts w:eastAsiaTheme="minorHAnsi"/>
          <w:iCs/>
          <w:sz w:val="26"/>
          <w:szCs w:val="26"/>
        </w:rPr>
      </w:pPr>
    </w:p>
    <w:p w14:paraId="63A6A7FA" w14:textId="4595E515" w:rsidR="007D77A0" w:rsidRPr="004809D9" w:rsidRDefault="00795218" w:rsidP="0060047D">
      <w:pPr>
        <w:spacing w:line="360" w:lineRule="auto"/>
        <w:ind w:firstLine="1440"/>
        <w:contextualSpacing/>
        <w:rPr>
          <w:rFonts w:eastAsiaTheme="minorHAnsi"/>
          <w:iCs/>
          <w:sz w:val="26"/>
          <w:szCs w:val="26"/>
        </w:rPr>
      </w:pPr>
      <w:r w:rsidRPr="001B2A91">
        <w:rPr>
          <w:rFonts w:eastAsiaTheme="minorHAnsi"/>
          <w:iCs/>
          <w:sz w:val="26"/>
          <w:szCs w:val="26"/>
        </w:rPr>
        <w:t xml:space="preserve">Upon review of the Comments filed in response to the </w:t>
      </w:r>
      <w:r w:rsidRPr="001B2A91">
        <w:rPr>
          <w:rFonts w:eastAsiaTheme="minorHAnsi"/>
          <w:i/>
          <w:sz w:val="26"/>
          <w:szCs w:val="26"/>
        </w:rPr>
        <w:t>October 2021 Order</w:t>
      </w:r>
      <w:r w:rsidRPr="001B2A91">
        <w:rPr>
          <w:rFonts w:eastAsiaTheme="minorHAnsi"/>
          <w:iCs/>
          <w:sz w:val="26"/>
          <w:szCs w:val="26"/>
        </w:rPr>
        <w:t xml:space="preserve">, we are unpersuaded to modify the proposed Settlement.  </w:t>
      </w:r>
      <w:r w:rsidR="007D77A0" w:rsidRPr="001B2A91">
        <w:rPr>
          <w:rFonts w:eastAsiaTheme="minorHAnsi"/>
          <w:iCs/>
          <w:sz w:val="26"/>
          <w:szCs w:val="26"/>
        </w:rPr>
        <w:t>PPL recommends that the Company be required to</w:t>
      </w:r>
      <w:proofErr w:type="gramStart"/>
      <w:r w:rsidR="007D77A0" w:rsidRPr="001B2A91">
        <w:rPr>
          <w:rFonts w:eastAsiaTheme="minorHAnsi"/>
          <w:iCs/>
          <w:sz w:val="26"/>
          <w:szCs w:val="26"/>
        </w:rPr>
        <w:t>:</w:t>
      </w:r>
      <w:r w:rsidR="00FE2575">
        <w:rPr>
          <w:rFonts w:eastAsiaTheme="minorHAnsi"/>
          <w:iCs/>
          <w:sz w:val="26"/>
          <w:szCs w:val="26"/>
        </w:rPr>
        <w:t xml:space="preserve"> </w:t>
      </w:r>
      <w:r w:rsidR="00DB31C5">
        <w:rPr>
          <w:rFonts w:eastAsiaTheme="minorHAnsi"/>
          <w:iCs/>
          <w:sz w:val="26"/>
          <w:szCs w:val="26"/>
        </w:rPr>
        <w:t xml:space="preserve"> </w:t>
      </w:r>
      <w:r w:rsidR="007D77A0" w:rsidRPr="001B2A91">
        <w:rPr>
          <w:rFonts w:eastAsiaTheme="minorHAnsi"/>
          <w:iCs/>
          <w:sz w:val="26"/>
          <w:szCs w:val="26"/>
        </w:rPr>
        <w:t>(</w:t>
      </w:r>
      <w:proofErr w:type="gramEnd"/>
      <w:r w:rsidR="007D77A0" w:rsidRPr="001B2A91">
        <w:rPr>
          <w:rFonts w:eastAsiaTheme="minorHAnsi"/>
          <w:iCs/>
          <w:sz w:val="26"/>
          <w:szCs w:val="26"/>
        </w:rPr>
        <w:t>1) certify that all of its agents have been trained on the rules and regulations of retail competition; (2) retain records of customer inquir</w:t>
      </w:r>
      <w:r w:rsidR="00451977">
        <w:rPr>
          <w:rFonts w:eastAsiaTheme="minorHAnsi"/>
          <w:iCs/>
          <w:sz w:val="26"/>
          <w:szCs w:val="26"/>
        </w:rPr>
        <w:t>i</w:t>
      </w:r>
      <w:r w:rsidR="007D77A0" w:rsidRPr="001B2A91">
        <w:rPr>
          <w:rFonts w:eastAsiaTheme="minorHAnsi"/>
          <w:iCs/>
          <w:sz w:val="26"/>
          <w:szCs w:val="26"/>
        </w:rPr>
        <w:t xml:space="preserve">es, complaints, communications, and resolutions for a minimum of four years; (3) respond to customer inquiries within forty-eight hours; and (4) regularly conduct audits of its vendors to determine compliance with </w:t>
      </w:r>
      <w:r w:rsidR="001E6349">
        <w:rPr>
          <w:rFonts w:eastAsiaTheme="minorHAnsi"/>
          <w:iCs/>
          <w:sz w:val="26"/>
          <w:szCs w:val="26"/>
        </w:rPr>
        <w:t>Section 111</w:t>
      </w:r>
      <w:r w:rsidR="007D77A0" w:rsidRPr="001B2A91">
        <w:rPr>
          <w:rFonts w:eastAsiaTheme="minorHAnsi"/>
          <w:iCs/>
          <w:sz w:val="26"/>
          <w:szCs w:val="26"/>
        </w:rPr>
        <w:t xml:space="preserve">.  </w:t>
      </w:r>
      <w:r w:rsidR="0060047D" w:rsidRPr="001B2A91">
        <w:rPr>
          <w:rFonts w:eastAsiaTheme="minorHAnsi"/>
          <w:iCs/>
          <w:sz w:val="26"/>
          <w:szCs w:val="26"/>
        </w:rPr>
        <w:t xml:space="preserve">PPL Comments at 6-8.  </w:t>
      </w:r>
      <w:r w:rsidR="007D77A0" w:rsidRPr="001B2A91">
        <w:rPr>
          <w:rFonts w:eastAsiaTheme="minorHAnsi"/>
          <w:iCs/>
          <w:sz w:val="26"/>
          <w:szCs w:val="26"/>
        </w:rPr>
        <w:t xml:space="preserve">We decline to modify the Settlement to require such measures.  Parties to settled cases are afforded flexibility in reaching amicable resolutions, so long as the settlement is in the public interest.  </w:t>
      </w:r>
      <w:r w:rsidR="007D77A0" w:rsidRPr="00893BD8">
        <w:rPr>
          <w:rFonts w:eastAsiaTheme="minorHAnsi"/>
          <w:iCs/>
          <w:sz w:val="26"/>
          <w:szCs w:val="26"/>
        </w:rPr>
        <w:t xml:space="preserve">Here, I&amp;E </w:t>
      </w:r>
      <w:r w:rsidR="0031310E" w:rsidRPr="00893BD8">
        <w:rPr>
          <w:rFonts w:eastAsiaTheme="minorHAnsi"/>
          <w:iCs/>
          <w:sz w:val="26"/>
          <w:szCs w:val="26"/>
        </w:rPr>
        <w:t xml:space="preserve">asserts that the concerns raised by Discount’s conduct are adequately addressed by </w:t>
      </w:r>
      <w:r w:rsidR="007D77A0" w:rsidRPr="005747CB">
        <w:rPr>
          <w:rFonts w:eastAsiaTheme="minorHAnsi"/>
          <w:iCs/>
          <w:sz w:val="26"/>
          <w:szCs w:val="26"/>
        </w:rPr>
        <w:lastRenderedPageBreak/>
        <w:t>the Company</w:t>
      </w:r>
      <w:r w:rsidR="0031310E" w:rsidRPr="00893BD8">
        <w:rPr>
          <w:rFonts w:eastAsiaTheme="minorHAnsi"/>
          <w:iCs/>
          <w:sz w:val="26"/>
          <w:szCs w:val="26"/>
        </w:rPr>
        <w:t>’s agreement to</w:t>
      </w:r>
      <w:r w:rsidR="00B74C5F">
        <w:rPr>
          <w:rFonts w:eastAsiaTheme="minorHAnsi"/>
          <w:iCs/>
          <w:sz w:val="26"/>
          <w:szCs w:val="26"/>
        </w:rPr>
        <w:t xml:space="preserve">: </w:t>
      </w:r>
      <w:r w:rsidR="00FE2575">
        <w:rPr>
          <w:rFonts w:eastAsiaTheme="minorHAnsi"/>
          <w:iCs/>
          <w:sz w:val="26"/>
          <w:szCs w:val="26"/>
        </w:rPr>
        <w:t xml:space="preserve"> </w:t>
      </w:r>
      <w:r w:rsidR="007D77A0" w:rsidRPr="005747CB">
        <w:rPr>
          <w:rFonts w:eastAsiaTheme="minorHAnsi"/>
          <w:iCs/>
          <w:sz w:val="26"/>
          <w:szCs w:val="26"/>
        </w:rPr>
        <w:t xml:space="preserve">(1) improve Discount’s system of tracking and identifying of customer service issues or complaints with a common theme; and (2) provide an efficient and more direct response to a customer’s complaint.  Moreover, I&amp;E </w:t>
      </w:r>
      <w:r w:rsidR="0031310E" w:rsidRPr="00893BD8">
        <w:rPr>
          <w:rFonts w:eastAsiaTheme="minorHAnsi"/>
          <w:iCs/>
          <w:sz w:val="26"/>
          <w:szCs w:val="26"/>
        </w:rPr>
        <w:t xml:space="preserve">is satisfied </w:t>
      </w:r>
      <w:r w:rsidR="007D77A0" w:rsidRPr="001B2A91">
        <w:rPr>
          <w:rFonts w:eastAsiaTheme="minorHAnsi"/>
          <w:iCs/>
          <w:sz w:val="26"/>
          <w:szCs w:val="26"/>
        </w:rPr>
        <w:t>that the remedial measures in the Settlement</w:t>
      </w:r>
      <w:r w:rsidR="00B74C5F">
        <w:rPr>
          <w:rFonts w:eastAsiaTheme="minorHAnsi"/>
          <w:iCs/>
          <w:sz w:val="26"/>
          <w:szCs w:val="26"/>
        </w:rPr>
        <w:t xml:space="preserve">: </w:t>
      </w:r>
      <w:r w:rsidR="00FE2575">
        <w:rPr>
          <w:rFonts w:eastAsiaTheme="minorHAnsi"/>
          <w:iCs/>
          <w:sz w:val="26"/>
          <w:szCs w:val="26"/>
        </w:rPr>
        <w:t xml:space="preserve"> </w:t>
      </w:r>
      <w:r w:rsidR="007D77A0" w:rsidRPr="001B2A91">
        <w:rPr>
          <w:rFonts w:eastAsiaTheme="minorHAnsi"/>
          <w:iCs/>
          <w:sz w:val="26"/>
          <w:szCs w:val="26"/>
        </w:rPr>
        <w:t xml:space="preserve">(1) will allow Discount to better identify and address telemarketing and/or billing issues; and (2) will provide I&amp;E with more information to successfully complete </w:t>
      </w:r>
      <w:r w:rsidR="00452779" w:rsidRPr="001B2A91">
        <w:rPr>
          <w:rFonts w:eastAsiaTheme="minorHAnsi"/>
          <w:iCs/>
          <w:sz w:val="26"/>
          <w:szCs w:val="26"/>
        </w:rPr>
        <w:t xml:space="preserve">a </w:t>
      </w:r>
      <w:r w:rsidR="00452779" w:rsidRPr="00845B28">
        <w:rPr>
          <w:rFonts w:eastAsiaTheme="minorHAnsi"/>
          <w:iCs/>
          <w:sz w:val="26"/>
          <w:szCs w:val="26"/>
        </w:rPr>
        <w:t xml:space="preserve">future </w:t>
      </w:r>
      <w:r w:rsidR="007D77A0" w:rsidRPr="00845B28">
        <w:rPr>
          <w:rFonts w:eastAsiaTheme="minorHAnsi"/>
          <w:iCs/>
          <w:sz w:val="26"/>
          <w:szCs w:val="26"/>
        </w:rPr>
        <w:t xml:space="preserve">investigation, if necessary.  I&amp;E Statement in Support at 8-9.  </w:t>
      </w:r>
      <w:r w:rsidR="0031310E" w:rsidRPr="00845B28">
        <w:rPr>
          <w:rFonts w:eastAsiaTheme="minorHAnsi"/>
          <w:iCs/>
          <w:sz w:val="26"/>
          <w:szCs w:val="26"/>
        </w:rPr>
        <w:t xml:space="preserve">We agree.  </w:t>
      </w:r>
      <w:r w:rsidR="009A0EDD" w:rsidRPr="004809D9">
        <w:rPr>
          <w:rFonts w:eastAsiaTheme="minorHAnsi"/>
          <w:iCs/>
          <w:sz w:val="26"/>
          <w:szCs w:val="26"/>
        </w:rPr>
        <w:t>Therefore, u</w:t>
      </w:r>
      <w:r w:rsidR="007D77A0" w:rsidRPr="004809D9">
        <w:rPr>
          <w:rFonts w:eastAsiaTheme="minorHAnsi"/>
          <w:iCs/>
          <w:sz w:val="26"/>
          <w:szCs w:val="26"/>
        </w:rPr>
        <w:t xml:space="preserve">nder the circumstances in this case, we are not inclined to disturb the proposed Settlement </w:t>
      </w:r>
      <w:r w:rsidR="00D63B00" w:rsidRPr="004809D9">
        <w:rPr>
          <w:rFonts w:eastAsiaTheme="minorHAnsi"/>
          <w:iCs/>
          <w:sz w:val="26"/>
          <w:szCs w:val="26"/>
        </w:rPr>
        <w:t>based on</w:t>
      </w:r>
      <w:r w:rsidR="007D77A0" w:rsidRPr="004809D9">
        <w:rPr>
          <w:rFonts w:eastAsiaTheme="minorHAnsi"/>
          <w:iCs/>
          <w:sz w:val="26"/>
          <w:szCs w:val="26"/>
        </w:rPr>
        <w:t xml:space="preserve"> PPL’s proposed requirements.  </w:t>
      </w:r>
    </w:p>
    <w:p w14:paraId="060F6158" w14:textId="77777777" w:rsidR="007D77A0" w:rsidRPr="004809D9" w:rsidRDefault="007D77A0" w:rsidP="000D6612">
      <w:pPr>
        <w:spacing w:line="360" w:lineRule="auto"/>
        <w:ind w:firstLine="1440"/>
        <w:contextualSpacing/>
        <w:rPr>
          <w:rFonts w:eastAsiaTheme="minorHAnsi"/>
          <w:iCs/>
          <w:sz w:val="26"/>
          <w:szCs w:val="26"/>
        </w:rPr>
      </w:pPr>
    </w:p>
    <w:p w14:paraId="66A3FB9B" w14:textId="7B5D72DA" w:rsidR="000D6612" w:rsidRDefault="000D6612" w:rsidP="000D6612">
      <w:pPr>
        <w:spacing w:line="360" w:lineRule="auto"/>
        <w:ind w:firstLine="1440"/>
        <w:contextualSpacing/>
        <w:rPr>
          <w:rFonts w:eastAsiaTheme="minorHAnsi"/>
          <w:iCs/>
          <w:sz w:val="26"/>
          <w:szCs w:val="26"/>
        </w:rPr>
      </w:pPr>
      <w:r w:rsidRPr="004809D9">
        <w:rPr>
          <w:rFonts w:eastAsiaTheme="minorHAnsi"/>
          <w:iCs/>
          <w:sz w:val="26"/>
          <w:szCs w:val="26"/>
        </w:rPr>
        <w:t>Regarding Mr. Zimmerman’s Comments,</w:t>
      </w:r>
      <w:r w:rsidR="000234DC" w:rsidRPr="004809D9">
        <w:rPr>
          <w:rFonts w:eastAsiaTheme="minorHAnsi"/>
          <w:iCs/>
          <w:sz w:val="26"/>
          <w:szCs w:val="26"/>
        </w:rPr>
        <w:t xml:space="preserve"> </w:t>
      </w:r>
      <w:r w:rsidR="00122C3A" w:rsidRPr="004809D9">
        <w:rPr>
          <w:rFonts w:eastAsiaTheme="minorHAnsi"/>
          <w:iCs/>
          <w:sz w:val="26"/>
          <w:szCs w:val="26"/>
        </w:rPr>
        <w:t xml:space="preserve">we agree with </w:t>
      </w:r>
      <w:r w:rsidR="008A162B" w:rsidRPr="004809D9">
        <w:rPr>
          <w:rFonts w:eastAsiaTheme="minorHAnsi"/>
          <w:iCs/>
          <w:sz w:val="26"/>
          <w:szCs w:val="26"/>
        </w:rPr>
        <w:t>the Company</w:t>
      </w:r>
      <w:r w:rsidR="00122C3A" w:rsidRPr="004809D9">
        <w:rPr>
          <w:rFonts w:eastAsiaTheme="minorHAnsi"/>
          <w:iCs/>
          <w:sz w:val="26"/>
          <w:szCs w:val="26"/>
        </w:rPr>
        <w:t xml:space="preserve"> that, to the extent that </w:t>
      </w:r>
      <w:r w:rsidR="008A162B" w:rsidRPr="004809D9">
        <w:rPr>
          <w:rFonts w:eastAsiaTheme="minorHAnsi"/>
          <w:iCs/>
          <w:sz w:val="26"/>
          <w:szCs w:val="26"/>
        </w:rPr>
        <w:t xml:space="preserve">Mr. Zimmerman asserts conduct by Discount outside of the scope of </w:t>
      </w:r>
      <w:r w:rsidR="008A162B" w:rsidRPr="00845B28">
        <w:rPr>
          <w:rFonts w:eastAsiaTheme="minorHAnsi"/>
          <w:iCs/>
          <w:sz w:val="26"/>
          <w:szCs w:val="26"/>
        </w:rPr>
        <w:t>this proceeding</w:t>
      </w:r>
      <w:r w:rsidR="00A30507" w:rsidRPr="00845B28">
        <w:rPr>
          <w:rFonts w:eastAsiaTheme="minorHAnsi"/>
          <w:iCs/>
          <w:sz w:val="26"/>
          <w:szCs w:val="26"/>
        </w:rPr>
        <w:t xml:space="preserve"> </w:t>
      </w:r>
      <w:r w:rsidR="007816AA" w:rsidRPr="00845B28">
        <w:rPr>
          <w:rFonts w:eastAsiaTheme="minorHAnsi"/>
          <w:iCs/>
          <w:sz w:val="26"/>
          <w:szCs w:val="26"/>
        </w:rPr>
        <w:t>(</w:t>
      </w:r>
      <w:r w:rsidR="00E51632" w:rsidRPr="00845B28">
        <w:rPr>
          <w:rFonts w:eastAsiaTheme="minorHAnsi"/>
          <w:iCs/>
          <w:sz w:val="26"/>
          <w:szCs w:val="26"/>
        </w:rPr>
        <w:t>i.e.,</w:t>
      </w:r>
      <w:r w:rsidR="007816AA" w:rsidRPr="00845B28">
        <w:rPr>
          <w:rFonts w:eastAsiaTheme="minorHAnsi"/>
          <w:iCs/>
          <w:sz w:val="26"/>
          <w:szCs w:val="26"/>
        </w:rPr>
        <w:t xml:space="preserve"> </w:t>
      </w:r>
      <w:r w:rsidR="00A30507" w:rsidRPr="00845B28">
        <w:rPr>
          <w:rFonts w:eastAsiaTheme="minorHAnsi"/>
          <w:iCs/>
          <w:sz w:val="26"/>
          <w:szCs w:val="26"/>
        </w:rPr>
        <w:t xml:space="preserve">after the time period </w:t>
      </w:r>
      <w:r w:rsidR="0005669F" w:rsidRPr="00845B28">
        <w:rPr>
          <w:rFonts w:eastAsiaTheme="minorHAnsi"/>
          <w:iCs/>
          <w:sz w:val="26"/>
          <w:szCs w:val="26"/>
        </w:rPr>
        <w:t>that was the focus of I&amp;E’s investigation</w:t>
      </w:r>
      <w:r w:rsidR="00106602" w:rsidRPr="00845B28">
        <w:rPr>
          <w:rFonts w:eastAsiaTheme="minorHAnsi"/>
          <w:iCs/>
          <w:sz w:val="26"/>
          <w:szCs w:val="26"/>
        </w:rPr>
        <w:t>)</w:t>
      </w:r>
      <w:r w:rsidR="00A30507" w:rsidRPr="00845B28">
        <w:rPr>
          <w:rFonts w:eastAsiaTheme="minorHAnsi"/>
          <w:iCs/>
          <w:sz w:val="26"/>
          <w:szCs w:val="26"/>
        </w:rPr>
        <w:t xml:space="preserve">, </w:t>
      </w:r>
      <w:r w:rsidR="0085211A" w:rsidRPr="00845B28">
        <w:rPr>
          <w:rFonts w:eastAsiaTheme="minorHAnsi"/>
          <w:iCs/>
          <w:sz w:val="26"/>
          <w:szCs w:val="26"/>
        </w:rPr>
        <w:t>Mr.</w:t>
      </w:r>
      <w:r w:rsidR="009712FC" w:rsidRPr="00845B28">
        <w:rPr>
          <w:rFonts w:eastAsiaTheme="minorHAnsi"/>
          <w:iCs/>
          <w:sz w:val="26"/>
          <w:szCs w:val="26"/>
        </w:rPr>
        <w:t> </w:t>
      </w:r>
      <w:r w:rsidR="0085211A" w:rsidRPr="00845B28">
        <w:rPr>
          <w:rFonts w:eastAsiaTheme="minorHAnsi"/>
          <w:iCs/>
          <w:sz w:val="26"/>
          <w:szCs w:val="26"/>
        </w:rPr>
        <w:t>Zimmerman’s</w:t>
      </w:r>
      <w:r w:rsidR="00D271A4" w:rsidRPr="00845B28">
        <w:rPr>
          <w:rFonts w:eastAsiaTheme="minorHAnsi"/>
          <w:iCs/>
          <w:sz w:val="26"/>
          <w:szCs w:val="26"/>
        </w:rPr>
        <w:t xml:space="preserve"> Comments do not assert a basis to deny the Settlement.  Further, we note that the personal experience of customers, as expressed </w:t>
      </w:r>
      <w:r w:rsidR="002677DF" w:rsidRPr="00845B28">
        <w:rPr>
          <w:rFonts w:eastAsiaTheme="minorHAnsi"/>
          <w:iCs/>
          <w:sz w:val="26"/>
          <w:szCs w:val="26"/>
        </w:rPr>
        <w:t xml:space="preserve">in filed comments, is helpful </w:t>
      </w:r>
      <w:r w:rsidR="00EF4326" w:rsidRPr="00845B28">
        <w:rPr>
          <w:rFonts w:eastAsiaTheme="minorHAnsi"/>
          <w:iCs/>
          <w:sz w:val="26"/>
          <w:szCs w:val="26"/>
        </w:rPr>
        <w:t>towards informing our</w:t>
      </w:r>
      <w:r w:rsidR="002677DF" w:rsidRPr="00845B28">
        <w:rPr>
          <w:rFonts w:eastAsiaTheme="minorHAnsi"/>
          <w:iCs/>
          <w:sz w:val="26"/>
          <w:szCs w:val="26"/>
        </w:rPr>
        <w:t xml:space="preserve"> review of the matters under consideration in a proposed settlement.  However, </w:t>
      </w:r>
      <w:r w:rsidR="00B74BF3" w:rsidRPr="00845B28">
        <w:rPr>
          <w:rFonts w:eastAsiaTheme="minorHAnsi"/>
          <w:iCs/>
          <w:sz w:val="26"/>
          <w:szCs w:val="26"/>
        </w:rPr>
        <w:t xml:space="preserve">in </w:t>
      </w:r>
      <w:r w:rsidR="002677DF" w:rsidRPr="00845B28">
        <w:rPr>
          <w:rFonts w:eastAsiaTheme="minorHAnsi"/>
          <w:iCs/>
          <w:sz w:val="26"/>
          <w:szCs w:val="26"/>
        </w:rPr>
        <w:t xml:space="preserve">the instant case, </w:t>
      </w:r>
      <w:r w:rsidR="004544AE" w:rsidRPr="00845B28">
        <w:rPr>
          <w:rFonts w:eastAsiaTheme="minorHAnsi"/>
          <w:iCs/>
          <w:sz w:val="26"/>
          <w:szCs w:val="26"/>
        </w:rPr>
        <w:t xml:space="preserve">while </w:t>
      </w:r>
      <w:r w:rsidR="002369F6" w:rsidRPr="00845B28">
        <w:rPr>
          <w:rFonts w:eastAsiaTheme="minorHAnsi"/>
          <w:iCs/>
          <w:sz w:val="26"/>
          <w:szCs w:val="26"/>
        </w:rPr>
        <w:t>the</w:t>
      </w:r>
      <w:r w:rsidR="0000096F" w:rsidRPr="00845B28">
        <w:rPr>
          <w:rFonts w:eastAsiaTheme="minorHAnsi"/>
          <w:iCs/>
          <w:sz w:val="26"/>
          <w:szCs w:val="26"/>
        </w:rPr>
        <w:t xml:space="preserve"> Comments filed by Mr. Zimmerman</w:t>
      </w:r>
      <w:r w:rsidR="002369F6" w:rsidRPr="00845B28">
        <w:rPr>
          <w:rFonts w:eastAsiaTheme="minorHAnsi"/>
          <w:iCs/>
          <w:sz w:val="26"/>
          <w:szCs w:val="26"/>
        </w:rPr>
        <w:t xml:space="preserve"> are helpful, they do</w:t>
      </w:r>
      <w:r w:rsidR="00B74BF3" w:rsidRPr="00845B28">
        <w:rPr>
          <w:rFonts w:eastAsiaTheme="minorHAnsi"/>
          <w:iCs/>
          <w:sz w:val="26"/>
          <w:szCs w:val="26"/>
        </w:rPr>
        <w:t xml:space="preserve"> not</w:t>
      </w:r>
      <w:r w:rsidR="002369F6" w:rsidRPr="00845B28">
        <w:rPr>
          <w:rFonts w:eastAsiaTheme="minorHAnsi"/>
          <w:iCs/>
          <w:sz w:val="26"/>
          <w:szCs w:val="26"/>
        </w:rPr>
        <w:t xml:space="preserve"> persuade us that </w:t>
      </w:r>
      <w:r w:rsidR="001073F9" w:rsidRPr="00845B28">
        <w:rPr>
          <w:rFonts w:eastAsiaTheme="minorHAnsi"/>
          <w:iCs/>
          <w:sz w:val="26"/>
          <w:szCs w:val="26"/>
        </w:rPr>
        <w:t xml:space="preserve">any modification to </w:t>
      </w:r>
      <w:r w:rsidR="002369F6" w:rsidRPr="00845B28">
        <w:rPr>
          <w:rFonts w:eastAsiaTheme="minorHAnsi"/>
          <w:iCs/>
          <w:sz w:val="26"/>
          <w:szCs w:val="26"/>
        </w:rPr>
        <w:t>the</w:t>
      </w:r>
      <w:r w:rsidR="003F7ED9" w:rsidRPr="00845B28">
        <w:rPr>
          <w:rFonts w:eastAsiaTheme="minorHAnsi"/>
          <w:iCs/>
          <w:sz w:val="26"/>
          <w:szCs w:val="26"/>
        </w:rPr>
        <w:t xml:space="preserve"> proposed</w:t>
      </w:r>
      <w:r w:rsidR="002369F6" w:rsidRPr="00845B28">
        <w:rPr>
          <w:rFonts w:eastAsiaTheme="minorHAnsi"/>
          <w:iCs/>
          <w:sz w:val="26"/>
          <w:szCs w:val="26"/>
        </w:rPr>
        <w:t xml:space="preserve"> Settlement is</w:t>
      </w:r>
      <w:r w:rsidR="001073F9" w:rsidRPr="00845B28">
        <w:rPr>
          <w:rFonts w:eastAsiaTheme="minorHAnsi"/>
          <w:iCs/>
          <w:sz w:val="26"/>
          <w:szCs w:val="26"/>
        </w:rPr>
        <w:t xml:space="preserve"> necessary under the circumstances</w:t>
      </w:r>
      <w:r w:rsidR="00A91633" w:rsidRPr="00845B28">
        <w:rPr>
          <w:rFonts w:eastAsiaTheme="minorHAnsi"/>
          <w:iCs/>
          <w:sz w:val="26"/>
          <w:szCs w:val="26"/>
        </w:rPr>
        <w:t>.  Moreover, Mr.</w:t>
      </w:r>
      <w:r w:rsidR="00B74BF3" w:rsidRPr="00845B28">
        <w:rPr>
          <w:rFonts w:eastAsiaTheme="minorHAnsi"/>
          <w:iCs/>
          <w:sz w:val="26"/>
          <w:szCs w:val="26"/>
        </w:rPr>
        <w:t> </w:t>
      </w:r>
      <w:r w:rsidR="00A91633" w:rsidRPr="00845B28">
        <w:rPr>
          <w:rFonts w:eastAsiaTheme="minorHAnsi"/>
          <w:iCs/>
          <w:sz w:val="26"/>
          <w:szCs w:val="26"/>
        </w:rPr>
        <w:t xml:space="preserve">Zimmerman’s Comments </w:t>
      </w:r>
      <w:r w:rsidR="00130A76" w:rsidRPr="00845B28">
        <w:rPr>
          <w:rFonts w:eastAsiaTheme="minorHAnsi"/>
          <w:iCs/>
          <w:sz w:val="26"/>
          <w:szCs w:val="26"/>
        </w:rPr>
        <w:t>do not persuade us that the proposed Settlement is</w:t>
      </w:r>
      <w:r w:rsidR="002369F6" w:rsidRPr="00845B28">
        <w:rPr>
          <w:rFonts w:eastAsiaTheme="minorHAnsi"/>
          <w:iCs/>
          <w:sz w:val="26"/>
          <w:szCs w:val="26"/>
        </w:rPr>
        <w:t xml:space="preserve"> unreasonable or should be denied</w:t>
      </w:r>
      <w:r w:rsidR="00D271A4" w:rsidRPr="00845B28">
        <w:rPr>
          <w:rFonts w:eastAsiaTheme="minorHAnsi"/>
          <w:iCs/>
          <w:sz w:val="26"/>
          <w:szCs w:val="26"/>
        </w:rPr>
        <w:t>.</w:t>
      </w:r>
    </w:p>
    <w:p w14:paraId="2EAE4B47" w14:textId="77777777" w:rsidR="000D6612" w:rsidRDefault="000D6612" w:rsidP="00722DE0">
      <w:pPr>
        <w:spacing w:line="360" w:lineRule="auto"/>
        <w:contextualSpacing/>
        <w:rPr>
          <w:rFonts w:eastAsiaTheme="minorHAnsi"/>
          <w:iCs/>
          <w:sz w:val="26"/>
          <w:szCs w:val="26"/>
        </w:rPr>
      </w:pPr>
    </w:p>
    <w:p w14:paraId="4122D12E" w14:textId="5B553973" w:rsidR="00B1607E" w:rsidRPr="00516A02" w:rsidRDefault="00966C12" w:rsidP="0012671C">
      <w:pPr>
        <w:keepNext/>
        <w:spacing w:line="360" w:lineRule="auto"/>
        <w:rPr>
          <w:rFonts w:eastAsiaTheme="minorHAnsi"/>
          <w:iCs/>
          <w:sz w:val="26"/>
          <w:szCs w:val="26"/>
        </w:rPr>
      </w:pPr>
      <w:r>
        <w:rPr>
          <w:rFonts w:eastAsiaTheme="minorHAnsi"/>
          <w:b/>
          <w:bCs/>
          <w:sz w:val="26"/>
          <w:szCs w:val="26"/>
        </w:rPr>
        <w:t>D</w:t>
      </w:r>
      <w:r w:rsidR="00B1607E" w:rsidRPr="00516A02">
        <w:rPr>
          <w:rFonts w:eastAsiaTheme="minorHAnsi"/>
          <w:b/>
          <w:bCs/>
          <w:sz w:val="26"/>
          <w:szCs w:val="26"/>
        </w:rPr>
        <w:t>.</w:t>
      </w:r>
      <w:r w:rsidR="00B1607E" w:rsidRPr="00516A02">
        <w:rPr>
          <w:rFonts w:eastAsiaTheme="minorHAnsi"/>
          <w:b/>
          <w:bCs/>
          <w:sz w:val="26"/>
          <w:szCs w:val="26"/>
        </w:rPr>
        <w:tab/>
      </w:r>
      <w:r w:rsidR="00E275F9">
        <w:rPr>
          <w:rFonts w:eastAsiaTheme="minorHAnsi"/>
          <w:b/>
          <w:bCs/>
          <w:sz w:val="26"/>
          <w:szCs w:val="26"/>
        </w:rPr>
        <w:t>Analysis</w:t>
      </w:r>
      <w:r w:rsidR="00B1607E" w:rsidRPr="00516A02">
        <w:rPr>
          <w:rFonts w:eastAsiaTheme="minorHAnsi"/>
          <w:b/>
          <w:bCs/>
          <w:sz w:val="26"/>
          <w:szCs w:val="26"/>
        </w:rPr>
        <w:t xml:space="preserve"> of Policy Statement Factors</w:t>
      </w:r>
    </w:p>
    <w:p w14:paraId="51850F4D" w14:textId="77777777" w:rsidR="0013143E" w:rsidRPr="0013143E" w:rsidRDefault="0013143E" w:rsidP="0012671C">
      <w:pPr>
        <w:keepNext/>
        <w:spacing w:line="360" w:lineRule="auto"/>
        <w:ind w:firstLine="1440"/>
        <w:contextualSpacing/>
        <w:rPr>
          <w:rFonts w:eastAsia="Times New Roman"/>
          <w:sz w:val="26"/>
          <w:szCs w:val="26"/>
          <w:highlight w:val="yellow"/>
        </w:rPr>
      </w:pPr>
    </w:p>
    <w:p w14:paraId="78A8E7E4" w14:textId="77777777" w:rsidR="0013143E" w:rsidRPr="00620852" w:rsidRDefault="0013143E" w:rsidP="0013143E">
      <w:pPr>
        <w:spacing w:line="360" w:lineRule="auto"/>
        <w:ind w:firstLine="1440"/>
        <w:contextualSpacing/>
        <w:rPr>
          <w:rFonts w:eastAsia="Times New Roman"/>
          <w:sz w:val="26"/>
          <w:szCs w:val="26"/>
        </w:rPr>
      </w:pPr>
      <w:r w:rsidRPr="00620852">
        <w:rPr>
          <w:rFonts w:eastAsia="Times New Roman"/>
          <w:sz w:val="26"/>
          <w:szCs w:val="26"/>
        </w:rPr>
        <w:t xml:space="preserve">The first factor we may consider is whether the conduct at issue is of a serious nature.  52 Pa. Code § 69.1201(c)(1).  “When conduct of a serious nature is involved, such as willful fraud or misrepresentation, the conduct may warrant a higher penalty.  When the conduct is less egregious, such as administrative filing or technical errors, it may warrant a lower penalty.”  </w:t>
      </w:r>
      <w:r w:rsidRPr="00620852">
        <w:rPr>
          <w:rFonts w:eastAsia="Times New Roman"/>
          <w:i/>
          <w:sz w:val="26"/>
          <w:szCs w:val="26"/>
        </w:rPr>
        <w:t>Id</w:t>
      </w:r>
      <w:r w:rsidRPr="00620852">
        <w:rPr>
          <w:rFonts w:eastAsia="Times New Roman"/>
          <w:sz w:val="26"/>
          <w:szCs w:val="26"/>
        </w:rPr>
        <w:t xml:space="preserve">.  </w:t>
      </w:r>
    </w:p>
    <w:p w14:paraId="02D51DC1" w14:textId="77777777" w:rsidR="0013143E" w:rsidRPr="0013143E" w:rsidRDefault="0013143E" w:rsidP="0013143E">
      <w:pPr>
        <w:spacing w:line="360" w:lineRule="auto"/>
        <w:ind w:firstLine="1440"/>
        <w:contextualSpacing/>
        <w:rPr>
          <w:rFonts w:eastAsia="Times New Roman"/>
          <w:sz w:val="26"/>
          <w:szCs w:val="26"/>
          <w:highlight w:val="yellow"/>
        </w:rPr>
      </w:pPr>
    </w:p>
    <w:p w14:paraId="44E31568" w14:textId="493AAA94" w:rsidR="0013143E" w:rsidRPr="00D63F9C" w:rsidRDefault="0013143E" w:rsidP="00D63F9C">
      <w:pPr>
        <w:spacing w:line="360" w:lineRule="auto"/>
        <w:ind w:firstLine="1440"/>
        <w:contextualSpacing/>
        <w:rPr>
          <w:rFonts w:eastAsia="Times New Roman"/>
          <w:sz w:val="26"/>
          <w:szCs w:val="26"/>
        </w:rPr>
      </w:pPr>
      <w:r w:rsidRPr="000F30FD">
        <w:rPr>
          <w:rFonts w:eastAsia="Times New Roman"/>
          <w:sz w:val="26"/>
          <w:szCs w:val="26"/>
        </w:rPr>
        <w:lastRenderedPageBreak/>
        <w:t xml:space="preserve">The alleged violations against </w:t>
      </w:r>
      <w:r w:rsidR="006831BB">
        <w:rPr>
          <w:rFonts w:eastAsia="Times New Roman"/>
          <w:sz w:val="26"/>
          <w:szCs w:val="26"/>
        </w:rPr>
        <w:t>Discoun</w:t>
      </w:r>
      <w:r w:rsidR="00681DAF" w:rsidRPr="000F30FD">
        <w:rPr>
          <w:rFonts w:eastAsia="Times New Roman"/>
          <w:sz w:val="26"/>
          <w:szCs w:val="26"/>
        </w:rPr>
        <w:t>t</w:t>
      </w:r>
      <w:r w:rsidRPr="000F30FD">
        <w:rPr>
          <w:rFonts w:eastAsia="Times New Roman"/>
          <w:sz w:val="26"/>
          <w:szCs w:val="26"/>
        </w:rPr>
        <w:t xml:space="preserve"> relate to</w:t>
      </w:r>
      <w:r w:rsidR="00B74C5F">
        <w:rPr>
          <w:rFonts w:eastAsia="Times New Roman"/>
          <w:sz w:val="26"/>
          <w:szCs w:val="26"/>
        </w:rPr>
        <w:t xml:space="preserve">: </w:t>
      </w:r>
      <w:r w:rsidR="00B5697A" w:rsidRPr="00760B89">
        <w:rPr>
          <w:rFonts w:eastAsia="Times New Roman"/>
          <w:sz w:val="26"/>
          <w:szCs w:val="26"/>
        </w:rPr>
        <w:t>(1)</w:t>
      </w:r>
      <w:r w:rsidRPr="00760B89">
        <w:rPr>
          <w:rFonts w:eastAsia="Times New Roman"/>
          <w:sz w:val="26"/>
          <w:szCs w:val="26"/>
        </w:rPr>
        <w:t xml:space="preserve"> </w:t>
      </w:r>
      <w:r w:rsidR="00760B89" w:rsidRPr="00760B89">
        <w:rPr>
          <w:rFonts w:eastAsia="Times New Roman"/>
          <w:sz w:val="26"/>
          <w:szCs w:val="26"/>
        </w:rPr>
        <w:t xml:space="preserve">a </w:t>
      </w:r>
      <w:r w:rsidR="00F74252" w:rsidRPr="00760B89">
        <w:rPr>
          <w:rFonts w:eastAsia="Times New Roman"/>
          <w:sz w:val="26"/>
          <w:szCs w:val="26"/>
        </w:rPr>
        <w:t>telemarketing call received by the Director of OCMO</w:t>
      </w:r>
      <w:r w:rsidR="00D661AB" w:rsidRPr="00760B89">
        <w:rPr>
          <w:rFonts w:eastAsia="Times New Roman"/>
          <w:sz w:val="26"/>
          <w:szCs w:val="26"/>
        </w:rPr>
        <w:t xml:space="preserve">; (2) </w:t>
      </w:r>
      <w:r w:rsidR="00760B89" w:rsidRPr="00760B89">
        <w:rPr>
          <w:rFonts w:eastAsia="Times New Roman"/>
          <w:sz w:val="26"/>
          <w:szCs w:val="26"/>
        </w:rPr>
        <w:t xml:space="preserve">several </w:t>
      </w:r>
      <w:r w:rsidR="00586478" w:rsidRPr="00760B89">
        <w:rPr>
          <w:rFonts w:eastAsia="Times New Roman"/>
          <w:sz w:val="26"/>
          <w:szCs w:val="26"/>
        </w:rPr>
        <w:t xml:space="preserve">informal complaints regarding </w:t>
      </w:r>
      <w:r w:rsidR="00D661AB" w:rsidRPr="002C01EB">
        <w:rPr>
          <w:rFonts w:eastAsia="Times New Roman"/>
          <w:sz w:val="26"/>
          <w:szCs w:val="26"/>
        </w:rPr>
        <w:t xml:space="preserve">unauthorized </w:t>
      </w:r>
      <w:r w:rsidR="00586478" w:rsidRPr="002C01EB">
        <w:rPr>
          <w:rFonts w:eastAsia="Times New Roman"/>
          <w:sz w:val="26"/>
          <w:szCs w:val="26"/>
        </w:rPr>
        <w:t>enrollments</w:t>
      </w:r>
      <w:r w:rsidR="00D36066">
        <w:rPr>
          <w:rFonts w:eastAsia="Times New Roman"/>
          <w:sz w:val="26"/>
          <w:szCs w:val="26"/>
        </w:rPr>
        <w:t xml:space="preserve">; (3) </w:t>
      </w:r>
      <w:r w:rsidR="00687051">
        <w:rPr>
          <w:rFonts w:eastAsia="Times New Roman"/>
          <w:sz w:val="26"/>
          <w:szCs w:val="26"/>
        </w:rPr>
        <w:t xml:space="preserve">insufficient </w:t>
      </w:r>
      <w:r w:rsidR="002C01EB">
        <w:rPr>
          <w:rFonts w:eastAsia="Times New Roman"/>
          <w:sz w:val="26"/>
          <w:szCs w:val="26"/>
        </w:rPr>
        <w:t>record</w:t>
      </w:r>
      <w:r w:rsidR="00D36066">
        <w:rPr>
          <w:rFonts w:eastAsia="Times New Roman"/>
          <w:sz w:val="26"/>
          <w:szCs w:val="26"/>
        </w:rPr>
        <w:t xml:space="preserve"> keeping; and (4) solicitation of in</w:t>
      </w:r>
      <w:r w:rsidR="00240BCE">
        <w:rPr>
          <w:rFonts w:eastAsia="Times New Roman"/>
          <w:sz w:val="26"/>
          <w:szCs w:val="26"/>
        </w:rPr>
        <w:t>dividuals who are on the Do Not Call list</w:t>
      </w:r>
      <w:r w:rsidR="00DA551C" w:rsidRPr="002C01EB">
        <w:rPr>
          <w:rFonts w:eastAsia="Times New Roman"/>
          <w:sz w:val="26"/>
          <w:szCs w:val="26"/>
        </w:rPr>
        <w:t xml:space="preserve">.  </w:t>
      </w:r>
      <w:r w:rsidR="00DA551C" w:rsidRPr="002C01EB">
        <w:rPr>
          <w:rFonts w:eastAsia="Times New Roman"/>
          <w:iCs/>
          <w:sz w:val="26"/>
          <w:szCs w:val="26"/>
        </w:rPr>
        <w:t xml:space="preserve">Settlement at </w:t>
      </w:r>
      <w:r w:rsidR="00DA551C" w:rsidRPr="002C01EB">
        <w:rPr>
          <w:rFonts w:eastAsia="Times New Roman"/>
          <w:sz w:val="26"/>
          <w:szCs w:val="26"/>
        </w:rPr>
        <w:t>¶¶ 2</w:t>
      </w:r>
      <w:r w:rsidR="00AF5B45" w:rsidRPr="002C01EB">
        <w:rPr>
          <w:rFonts w:eastAsia="Times New Roman"/>
          <w:sz w:val="26"/>
          <w:szCs w:val="26"/>
        </w:rPr>
        <w:t>8</w:t>
      </w:r>
      <w:r w:rsidR="00DA551C" w:rsidRPr="002C01EB">
        <w:rPr>
          <w:rFonts w:eastAsia="Times New Roman"/>
          <w:sz w:val="26"/>
          <w:szCs w:val="26"/>
        </w:rPr>
        <w:t xml:space="preserve">, </w:t>
      </w:r>
      <w:r w:rsidR="002E2AE4" w:rsidRPr="002C01EB">
        <w:rPr>
          <w:rFonts w:eastAsia="Times New Roman"/>
          <w:sz w:val="26"/>
          <w:szCs w:val="26"/>
        </w:rPr>
        <w:t>30</w:t>
      </w:r>
      <w:r w:rsidR="00E50B58" w:rsidRPr="002C01EB">
        <w:rPr>
          <w:rFonts w:eastAsia="Times New Roman"/>
          <w:sz w:val="26"/>
          <w:szCs w:val="26"/>
        </w:rPr>
        <w:t xml:space="preserve">, </w:t>
      </w:r>
      <w:r w:rsidR="002C01EB" w:rsidRPr="002C01EB">
        <w:rPr>
          <w:rFonts w:eastAsia="Times New Roman"/>
          <w:sz w:val="26"/>
          <w:szCs w:val="26"/>
        </w:rPr>
        <w:t>36-41</w:t>
      </w:r>
      <w:r w:rsidR="000D4FA3" w:rsidRPr="002C01EB">
        <w:rPr>
          <w:rFonts w:eastAsia="Times New Roman"/>
          <w:sz w:val="26"/>
          <w:szCs w:val="26"/>
        </w:rPr>
        <w:t xml:space="preserve">.  </w:t>
      </w:r>
      <w:r w:rsidR="00D63F9C">
        <w:rPr>
          <w:rFonts w:eastAsia="Times New Roman"/>
          <w:sz w:val="26"/>
          <w:szCs w:val="26"/>
        </w:rPr>
        <w:t>I&amp;E assert</w:t>
      </w:r>
      <w:r w:rsidR="008E28FC">
        <w:rPr>
          <w:rFonts w:eastAsia="Times New Roman"/>
          <w:sz w:val="26"/>
          <w:szCs w:val="26"/>
        </w:rPr>
        <w:t>ed</w:t>
      </w:r>
      <w:r w:rsidR="00D63F9C">
        <w:rPr>
          <w:rFonts w:eastAsia="Times New Roman"/>
          <w:sz w:val="26"/>
          <w:szCs w:val="26"/>
        </w:rPr>
        <w:t xml:space="preserve"> that the </w:t>
      </w:r>
      <w:r w:rsidR="00417875">
        <w:rPr>
          <w:rFonts w:eastAsia="Times New Roman"/>
          <w:sz w:val="26"/>
          <w:szCs w:val="26"/>
        </w:rPr>
        <w:t xml:space="preserve">conduct </w:t>
      </w:r>
      <w:r w:rsidR="00D209CB" w:rsidRPr="00FC0DB6">
        <w:rPr>
          <w:rFonts w:eastAsia="Times New Roman"/>
          <w:sz w:val="26"/>
          <w:szCs w:val="26"/>
        </w:rPr>
        <w:t>considered in determining the civil penalty amount</w:t>
      </w:r>
      <w:r w:rsidR="00417875">
        <w:rPr>
          <w:rFonts w:eastAsia="Times New Roman"/>
          <w:sz w:val="26"/>
          <w:szCs w:val="26"/>
        </w:rPr>
        <w:t xml:space="preserve"> involved misrepresentation and admini</w:t>
      </w:r>
      <w:r w:rsidR="00692ABE">
        <w:rPr>
          <w:rFonts w:eastAsia="Times New Roman"/>
          <w:sz w:val="26"/>
          <w:szCs w:val="26"/>
        </w:rPr>
        <w:t xml:space="preserve">strative or technical errors.  </w:t>
      </w:r>
      <w:r w:rsidR="001D3ED1">
        <w:rPr>
          <w:rFonts w:eastAsia="Times New Roman"/>
          <w:sz w:val="26"/>
          <w:szCs w:val="26"/>
        </w:rPr>
        <w:t>I&amp;E elaborated that</w:t>
      </w:r>
      <w:r w:rsidR="000D4FA3" w:rsidRPr="002C01EB">
        <w:rPr>
          <w:rFonts w:eastAsia="Times New Roman"/>
          <w:sz w:val="26"/>
          <w:szCs w:val="26"/>
        </w:rPr>
        <w:t xml:space="preserve"> the</w:t>
      </w:r>
      <w:r w:rsidR="000D4FA3" w:rsidRPr="00B94235">
        <w:rPr>
          <w:rFonts w:eastAsia="Times New Roman"/>
          <w:sz w:val="26"/>
          <w:szCs w:val="26"/>
        </w:rPr>
        <w:t xml:space="preserve"> telemarketing calls</w:t>
      </w:r>
      <w:r w:rsidR="00F74252" w:rsidRPr="00B94235">
        <w:rPr>
          <w:rFonts w:eastAsia="Times New Roman"/>
          <w:sz w:val="26"/>
          <w:szCs w:val="26"/>
        </w:rPr>
        <w:t xml:space="preserve"> a</w:t>
      </w:r>
      <w:r w:rsidR="001207E3">
        <w:rPr>
          <w:rFonts w:eastAsia="Times New Roman"/>
          <w:sz w:val="26"/>
          <w:szCs w:val="26"/>
        </w:rPr>
        <w:t>re</w:t>
      </w:r>
      <w:r w:rsidR="00F74252" w:rsidRPr="00B94235">
        <w:rPr>
          <w:rFonts w:eastAsia="Times New Roman"/>
          <w:sz w:val="26"/>
          <w:szCs w:val="26"/>
        </w:rPr>
        <w:t xml:space="preserve"> an example of misrepresentation</w:t>
      </w:r>
      <w:r w:rsidR="000D4FA3" w:rsidRPr="00B94235">
        <w:rPr>
          <w:rFonts w:eastAsia="Times New Roman"/>
          <w:sz w:val="26"/>
          <w:szCs w:val="26"/>
        </w:rPr>
        <w:t xml:space="preserve"> and</w:t>
      </w:r>
      <w:r w:rsidR="005524EB" w:rsidRPr="00B94235">
        <w:rPr>
          <w:rFonts w:eastAsia="Times New Roman"/>
          <w:sz w:val="26"/>
          <w:szCs w:val="26"/>
        </w:rPr>
        <w:t xml:space="preserve"> the unauthorized enrollments a</w:t>
      </w:r>
      <w:r w:rsidR="00131974">
        <w:rPr>
          <w:rFonts w:eastAsia="Times New Roman"/>
          <w:sz w:val="26"/>
          <w:szCs w:val="26"/>
        </w:rPr>
        <w:t>re</w:t>
      </w:r>
      <w:r w:rsidR="005524EB" w:rsidRPr="00B94235">
        <w:rPr>
          <w:rFonts w:eastAsia="Times New Roman"/>
          <w:sz w:val="26"/>
          <w:szCs w:val="26"/>
        </w:rPr>
        <w:t xml:space="preserve"> </w:t>
      </w:r>
      <w:r w:rsidR="00877B31" w:rsidRPr="00B94235">
        <w:rPr>
          <w:rFonts w:eastAsia="Times New Roman"/>
          <w:sz w:val="26"/>
          <w:szCs w:val="26"/>
        </w:rPr>
        <w:t xml:space="preserve">the result of </w:t>
      </w:r>
      <w:r w:rsidR="00CE154C" w:rsidRPr="00B94235">
        <w:rPr>
          <w:rFonts w:eastAsia="Times New Roman"/>
          <w:sz w:val="26"/>
          <w:szCs w:val="26"/>
        </w:rPr>
        <w:t xml:space="preserve">a mistake, an </w:t>
      </w:r>
      <w:r w:rsidR="00794105" w:rsidRPr="00B94235">
        <w:rPr>
          <w:rFonts w:eastAsia="Times New Roman"/>
          <w:sz w:val="26"/>
          <w:szCs w:val="26"/>
        </w:rPr>
        <w:t>“</w:t>
      </w:r>
      <w:r w:rsidR="00CE154C" w:rsidRPr="00B94235">
        <w:rPr>
          <w:rFonts w:eastAsia="Times New Roman"/>
          <w:sz w:val="26"/>
          <w:szCs w:val="26"/>
        </w:rPr>
        <w:t>account</w:t>
      </w:r>
      <w:r w:rsidR="00033451">
        <w:rPr>
          <w:rFonts w:eastAsia="Times New Roman"/>
          <w:sz w:val="26"/>
          <w:szCs w:val="26"/>
        </w:rPr>
        <w:t>/information</w:t>
      </w:r>
      <w:r w:rsidR="00CE154C" w:rsidRPr="00B94235">
        <w:rPr>
          <w:rFonts w:eastAsia="Times New Roman"/>
          <w:sz w:val="26"/>
          <w:szCs w:val="26"/>
        </w:rPr>
        <w:t xml:space="preserve"> mix-up</w:t>
      </w:r>
      <w:r w:rsidR="00794105" w:rsidRPr="00B94235">
        <w:rPr>
          <w:rFonts w:eastAsia="Times New Roman"/>
          <w:sz w:val="26"/>
          <w:szCs w:val="26"/>
        </w:rPr>
        <w:t>”</w:t>
      </w:r>
      <w:r w:rsidR="00CE154C" w:rsidRPr="00B94235">
        <w:rPr>
          <w:rFonts w:eastAsia="Times New Roman"/>
          <w:sz w:val="26"/>
          <w:szCs w:val="26"/>
        </w:rPr>
        <w:t xml:space="preserve">, or </w:t>
      </w:r>
      <w:r w:rsidR="00A7681D" w:rsidRPr="00B94235">
        <w:rPr>
          <w:rFonts w:eastAsia="Times New Roman"/>
          <w:sz w:val="26"/>
          <w:szCs w:val="26"/>
        </w:rPr>
        <w:t>Discount</w:t>
      </w:r>
      <w:r w:rsidR="00CE154C" w:rsidRPr="00B94235">
        <w:rPr>
          <w:rFonts w:eastAsia="Times New Roman"/>
          <w:sz w:val="26"/>
          <w:szCs w:val="26"/>
        </w:rPr>
        <w:t>’s lack of knowledge regarding the customer’s capacity or authorization status</w:t>
      </w:r>
      <w:r w:rsidR="004E1D71" w:rsidRPr="00B94235">
        <w:rPr>
          <w:rFonts w:eastAsia="Times New Roman"/>
          <w:sz w:val="26"/>
          <w:szCs w:val="26"/>
        </w:rPr>
        <w:t xml:space="preserve">.  </w:t>
      </w:r>
      <w:r w:rsidR="00B94235" w:rsidRPr="00B94235">
        <w:rPr>
          <w:rFonts w:eastAsia="Times New Roman"/>
          <w:sz w:val="26"/>
          <w:szCs w:val="26"/>
        </w:rPr>
        <w:t xml:space="preserve">I&amp;E </w:t>
      </w:r>
      <w:r w:rsidR="004E1D71" w:rsidRPr="00B94235">
        <w:rPr>
          <w:rFonts w:eastAsia="Times New Roman"/>
          <w:sz w:val="26"/>
          <w:szCs w:val="26"/>
        </w:rPr>
        <w:t xml:space="preserve">Statement in </w:t>
      </w:r>
      <w:r w:rsidR="004E1D71" w:rsidRPr="00FC0DB6">
        <w:rPr>
          <w:rFonts w:eastAsia="Times New Roman"/>
          <w:sz w:val="26"/>
          <w:szCs w:val="26"/>
        </w:rPr>
        <w:t>Support at 7</w:t>
      </w:r>
      <w:r w:rsidR="00B94235" w:rsidRPr="00FC0DB6">
        <w:rPr>
          <w:rFonts w:eastAsia="Times New Roman"/>
          <w:sz w:val="26"/>
          <w:szCs w:val="26"/>
        </w:rPr>
        <w:t>-8</w:t>
      </w:r>
      <w:r w:rsidRPr="00FC0DB6">
        <w:rPr>
          <w:rFonts w:eastAsiaTheme="minorHAnsi"/>
          <w:sz w:val="26"/>
          <w:szCs w:val="26"/>
        </w:rPr>
        <w:t xml:space="preserve">.  </w:t>
      </w:r>
      <w:r w:rsidR="00A7681D" w:rsidRPr="008B62A4">
        <w:rPr>
          <w:rFonts w:eastAsia="Times New Roman"/>
          <w:sz w:val="26"/>
          <w:szCs w:val="26"/>
        </w:rPr>
        <w:t>Discount</w:t>
      </w:r>
      <w:r w:rsidR="005E0DB4" w:rsidRPr="008B62A4">
        <w:rPr>
          <w:rFonts w:eastAsia="Times New Roman"/>
          <w:sz w:val="26"/>
          <w:szCs w:val="26"/>
        </w:rPr>
        <w:t xml:space="preserve"> </w:t>
      </w:r>
      <w:r w:rsidR="008B2270">
        <w:rPr>
          <w:rFonts w:eastAsia="Times New Roman"/>
          <w:sz w:val="26"/>
          <w:szCs w:val="26"/>
        </w:rPr>
        <w:t>no</w:t>
      </w:r>
      <w:r w:rsidR="006A0435">
        <w:rPr>
          <w:rFonts w:eastAsia="Times New Roman"/>
          <w:sz w:val="26"/>
          <w:szCs w:val="26"/>
        </w:rPr>
        <w:t>ted</w:t>
      </w:r>
      <w:r w:rsidR="00477538">
        <w:rPr>
          <w:rFonts w:eastAsia="Times New Roman"/>
          <w:sz w:val="26"/>
          <w:szCs w:val="26"/>
        </w:rPr>
        <w:t xml:space="preserve"> the importance of ensuring that Pennsylvania consumers trust the electric choice program and </w:t>
      </w:r>
      <w:r w:rsidR="00E97F30">
        <w:rPr>
          <w:rFonts w:eastAsia="Times New Roman"/>
          <w:sz w:val="26"/>
          <w:szCs w:val="26"/>
        </w:rPr>
        <w:t>are protected as program participants</w:t>
      </w:r>
      <w:r w:rsidR="00477538">
        <w:rPr>
          <w:rFonts w:eastAsia="Times New Roman"/>
          <w:sz w:val="26"/>
          <w:szCs w:val="26"/>
        </w:rPr>
        <w:t>.</w:t>
      </w:r>
      <w:r w:rsidR="00100482">
        <w:rPr>
          <w:rFonts w:eastAsia="Times New Roman"/>
          <w:sz w:val="26"/>
          <w:szCs w:val="26"/>
        </w:rPr>
        <w:t xml:space="preserve">  </w:t>
      </w:r>
      <w:r w:rsidR="00A7681D" w:rsidRPr="008B62A4">
        <w:rPr>
          <w:rFonts w:eastAsia="Times New Roman"/>
          <w:sz w:val="26"/>
          <w:szCs w:val="26"/>
        </w:rPr>
        <w:t>D</w:t>
      </w:r>
      <w:r w:rsidR="00893D02">
        <w:rPr>
          <w:rFonts w:eastAsia="Times New Roman"/>
          <w:sz w:val="26"/>
          <w:szCs w:val="26"/>
        </w:rPr>
        <w:t>PI</w:t>
      </w:r>
      <w:r w:rsidRPr="008B62A4">
        <w:rPr>
          <w:rFonts w:eastAsia="Times New Roman"/>
          <w:sz w:val="26"/>
          <w:szCs w:val="26"/>
        </w:rPr>
        <w:t xml:space="preserve"> Statement in Support at </w:t>
      </w:r>
      <w:r w:rsidR="008B62A4" w:rsidRPr="008B62A4">
        <w:rPr>
          <w:rFonts w:eastAsia="Times New Roman"/>
          <w:sz w:val="26"/>
          <w:szCs w:val="26"/>
        </w:rPr>
        <w:t>4-5</w:t>
      </w:r>
      <w:r w:rsidRPr="008B62A4">
        <w:rPr>
          <w:rFonts w:eastAsia="Times New Roman"/>
          <w:sz w:val="26"/>
          <w:szCs w:val="26"/>
        </w:rPr>
        <w:t xml:space="preserve">.  </w:t>
      </w:r>
      <w:r w:rsidRPr="008F3027">
        <w:rPr>
          <w:rFonts w:eastAsia="Times New Roman"/>
          <w:sz w:val="26"/>
          <w:szCs w:val="26"/>
        </w:rPr>
        <w:t xml:space="preserve">We </w:t>
      </w:r>
      <w:r w:rsidR="00BC1EAB">
        <w:rPr>
          <w:rFonts w:eastAsia="Times New Roman"/>
          <w:sz w:val="26"/>
          <w:szCs w:val="26"/>
        </w:rPr>
        <w:t>find</w:t>
      </w:r>
      <w:r w:rsidRPr="008F3027">
        <w:rPr>
          <w:rFonts w:eastAsia="Times New Roman"/>
          <w:sz w:val="26"/>
          <w:szCs w:val="26"/>
        </w:rPr>
        <w:t xml:space="preserve"> that the conduct involved – the </w:t>
      </w:r>
      <w:r w:rsidR="00256A63" w:rsidRPr="008F3027">
        <w:rPr>
          <w:rFonts w:eastAsia="Times New Roman"/>
          <w:sz w:val="26"/>
          <w:szCs w:val="26"/>
        </w:rPr>
        <w:t>telemarketing call</w:t>
      </w:r>
      <w:r w:rsidR="00687051" w:rsidRPr="008F3027">
        <w:rPr>
          <w:rFonts w:eastAsia="Times New Roman"/>
          <w:sz w:val="26"/>
          <w:szCs w:val="26"/>
        </w:rPr>
        <w:t xml:space="preserve">, </w:t>
      </w:r>
      <w:r w:rsidR="00256A63" w:rsidRPr="008F3027">
        <w:rPr>
          <w:rFonts w:eastAsia="Times New Roman"/>
          <w:sz w:val="26"/>
          <w:szCs w:val="26"/>
        </w:rPr>
        <w:t>unauthorized enrollments</w:t>
      </w:r>
      <w:r w:rsidR="00687051" w:rsidRPr="008F3027">
        <w:rPr>
          <w:rFonts w:eastAsia="Times New Roman"/>
          <w:sz w:val="26"/>
          <w:szCs w:val="26"/>
        </w:rPr>
        <w:t>, insufficient record keeping and unsolicited call</w:t>
      </w:r>
      <w:r w:rsidR="008F3027" w:rsidRPr="008F3027">
        <w:rPr>
          <w:rFonts w:eastAsia="Times New Roman"/>
          <w:sz w:val="26"/>
          <w:szCs w:val="26"/>
        </w:rPr>
        <w:t xml:space="preserve">s </w:t>
      </w:r>
      <w:r w:rsidR="00FB127B">
        <w:rPr>
          <w:rFonts w:eastAsia="Times New Roman"/>
          <w:sz w:val="26"/>
          <w:szCs w:val="26"/>
        </w:rPr>
        <w:t>to</w:t>
      </w:r>
      <w:r w:rsidR="008F3027" w:rsidRPr="008F3027">
        <w:rPr>
          <w:rFonts w:eastAsia="Times New Roman"/>
          <w:sz w:val="26"/>
          <w:szCs w:val="26"/>
        </w:rPr>
        <w:t xml:space="preserve"> </w:t>
      </w:r>
      <w:r w:rsidR="00FB127B" w:rsidRPr="008F3027">
        <w:rPr>
          <w:rFonts w:eastAsia="Times New Roman"/>
          <w:sz w:val="26"/>
          <w:szCs w:val="26"/>
        </w:rPr>
        <w:t xml:space="preserve">individuals </w:t>
      </w:r>
      <w:r w:rsidR="00FB127B">
        <w:rPr>
          <w:rFonts w:eastAsia="Times New Roman"/>
          <w:sz w:val="26"/>
          <w:szCs w:val="26"/>
        </w:rPr>
        <w:t xml:space="preserve">on the </w:t>
      </w:r>
      <w:r w:rsidR="008F3027" w:rsidRPr="008F3027">
        <w:rPr>
          <w:rFonts w:eastAsia="Times New Roman"/>
          <w:sz w:val="26"/>
          <w:szCs w:val="26"/>
        </w:rPr>
        <w:t>Do Not Call list</w:t>
      </w:r>
      <w:r w:rsidRPr="008F3027">
        <w:rPr>
          <w:rFonts w:eastAsia="Times New Roman"/>
          <w:sz w:val="26"/>
          <w:szCs w:val="26"/>
        </w:rPr>
        <w:t xml:space="preserve"> – </w:t>
      </w:r>
      <w:r w:rsidRPr="00DA1034">
        <w:rPr>
          <w:rFonts w:eastAsia="Times New Roman"/>
          <w:sz w:val="26"/>
          <w:szCs w:val="26"/>
        </w:rPr>
        <w:t>w</w:t>
      </w:r>
      <w:r w:rsidR="00256A63" w:rsidRPr="00DA1034">
        <w:rPr>
          <w:rFonts w:eastAsia="Times New Roman"/>
          <w:sz w:val="26"/>
          <w:szCs w:val="26"/>
        </w:rPr>
        <w:t>ere</w:t>
      </w:r>
      <w:r w:rsidRPr="00DA1034">
        <w:rPr>
          <w:rFonts w:eastAsia="Times New Roman"/>
          <w:sz w:val="26"/>
          <w:szCs w:val="26"/>
        </w:rPr>
        <w:t xml:space="preserve"> the result of </w:t>
      </w:r>
      <w:r w:rsidR="00544E39" w:rsidRPr="00DA1034">
        <w:rPr>
          <w:rFonts w:eastAsia="Times New Roman"/>
          <w:sz w:val="26"/>
          <w:szCs w:val="26"/>
        </w:rPr>
        <w:t xml:space="preserve">less egregious </w:t>
      </w:r>
      <w:r w:rsidR="00727587" w:rsidRPr="00DA1034">
        <w:rPr>
          <w:rFonts w:eastAsia="Times New Roman"/>
          <w:sz w:val="26"/>
          <w:szCs w:val="26"/>
        </w:rPr>
        <w:t>conduct and, a</w:t>
      </w:r>
      <w:r w:rsidRPr="00DA1034">
        <w:rPr>
          <w:rFonts w:eastAsia="Times New Roman"/>
          <w:sz w:val="26"/>
          <w:szCs w:val="26"/>
        </w:rPr>
        <w:t>ccordingly, we find the proposed penalty to be fair and reasonable given the circumstances.</w:t>
      </w:r>
    </w:p>
    <w:p w14:paraId="56B91BA3" w14:textId="77777777" w:rsidR="0013143E" w:rsidRPr="0013143E" w:rsidRDefault="0013143E" w:rsidP="0013143E">
      <w:pPr>
        <w:spacing w:line="360" w:lineRule="auto"/>
        <w:ind w:firstLine="1440"/>
        <w:contextualSpacing/>
        <w:rPr>
          <w:rFonts w:eastAsia="Times New Roman"/>
          <w:sz w:val="26"/>
          <w:szCs w:val="26"/>
          <w:highlight w:val="yellow"/>
        </w:rPr>
      </w:pPr>
    </w:p>
    <w:p w14:paraId="1666196E" w14:textId="1FBB6076" w:rsidR="0013143E" w:rsidRPr="00624DEE" w:rsidRDefault="0013143E" w:rsidP="0013143E">
      <w:pPr>
        <w:spacing w:line="360" w:lineRule="auto"/>
        <w:ind w:firstLine="1440"/>
        <w:contextualSpacing/>
        <w:rPr>
          <w:rFonts w:eastAsia="Times New Roman"/>
          <w:sz w:val="26"/>
          <w:szCs w:val="26"/>
        </w:rPr>
      </w:pPr>
      <w:r w:rsidRPr="00E41DB1">
        <w:rPr>
          <w:rFonts w:eastAsia="Times New Roman"/>
          <w:sz w:val="26"/>
          <w:szCs w:val="26"/>
        </w:rPr>
        <w:t xml:space="preserve">The second factor is whether the resulting consequences of the conduct are of a serious nature.  52 Pa. Code § 69.1201(c)(2).  “When consequences of a serious nature are involved, such as personal injury or property damage, the consequences may warrant a higher penalty.”  </w:t>
      </w:r>
      <w:r w:rsidRPr="00E41DB1">
        <w:rPr>
          <w:rFonts w:eastAsia="Times New Roman"/>
          <w:i/>
          <w:sz w:val="26"/>
          <w:szCs w:val="26"/>
        </w:rPr>
        <w:t xml:space="preserve">Id.  </w:t>
      </w:r>
      <w:r w:rsidRPr="00E41DB1">
        <w:rPr>
          <w:rFonts w:eastAsia="Times New Roman"/>
          <w:sz w:val="26"/>
          <w:szCs w:val="26"/>
        </w:rPr>
        <w:t xml:space="preserve">Here, </w:t>
      </w:r>
      <w:r w:rsidR="00067A7B" w:rsidRPr="00C707ED">
        <w:rPr>
          <w:rFonts w:eastAsia="Times New Roman"/>
          <w:sz w:val="26"/>
          <w:szCs w:val="26"/>
        </w:rPr>
        <w:t>I&amp;E submitted</w:t>
      </w:r>
      <w:r w:rsidRPr="00C707ED">
        <w:rPr>
          <w:rFonts w:eastAsia="Times New Roman"/>
          <w:sz w:val="26"/>
          <w:szCs w:val="26"/>
        </w:rPr>
        <w:t xml:space="preserve"> that </w:t>
      </w:r>
      <w:r w:rsidRPr="00C64801">
        <w:rPr>
          <w:rFonts w:eastAsia="Times New Roman"/>
          <w:sz w:val="26"/>
          <w:szCs w:val="26"/>
        </w:rPr>
        <w:t>no personal injury or property damage</w:t>
      </w:r>
      <w:r w:rsidR="00C53370" w:rsidRPr="00C64801">
        <w:rPr>
          <w:rFonts w:eastAsia="Times New Roman"/>
          <w:sz w:val="26"/>
          <w:szCs w:val="26"/>
        </w:rPr>
        <w:t xml:space="preserve"> resulted from the alleged violations</w:t>
      </w:r>
      <w:r w:rsidR="00A43F2B" w:rsidRPr="00C64801">
        <w:rPr>
          <w:rFonts w:eastAsia="Times New Roman"/>
          <w:sz w:val="26"/>
          <w:szCs w:val="26"/>
        </w:rPr>
        <w:t xml:space="preserve">.  I&amp;E Statement in Support at </w:t>
      </w:r>
      <w:r w:rsidR="00C64801" w:rsidRPr="00C64801">
        <w:rPr>
          <w:rFonts w:eastAsia="Times New Roman"/>
          <w:sz w:val="26"/>
          <w:szCs w:val="26"/>
        </w:rPr>
        <w:t>8</w:t>
      </w:r>
      <w:r w:rsidR="00A43F2B" w:rsidRPr="00C64801">
        <w:rPr>
          <w:rFonts w:eastAsia="Times New Roman"/>
          <w:sz w:val="26"/>
          <w:szCs w:val="26"/>
        </w:rPr>
        <w:t xml:space="preserve">.  </w:t>
      </w:r>
      <w:r w:rsidRPr="005E48CF">
        <w:rPr>
          <w:rFonts w:eastAsia="Times New Roman"/>
          <w:sz w:val="26"/>
          <w:szCs w:val="26"/>
        </w:rPr>
        <w:t>Accordingly, this factor does not warrant a higher penalty.</w:t>
      </w:r>
    </w:p>
    <w:p w14:paraId="65EA42F0" w14:textId="77777777" w:rsidR="0013143E" w:rsidRPr="0013143E" w:rsidRDefault="0013143E" w:rsidP="0013143E">
      <w:pPr>
        <w:spacing w:line="360" w:lineRule="auto"/>
        <w:ind w:firstLine="1440"/>
        <w:contextualSpacing/>
        <w:rPr>
          <w:rFonts w:eastAsia="Times New Roman"/>
          <w:sz w:val="26"/>
          <w:szCs w:val="26"/>
          <w:highlight w:val="yellow"/>
        </w:rPr>
      </w:pPr>
    </w:p>
    <w:p w14:paraId="6716D0F2" w14:textId="28302F05" w:rsidR="0013143E" w:rsidRDefault="0013143E" w:rsidP="0013143E">
      <w:pPr>
        <w:spacing w:line="360" w:lineRule="auto"/>
        <w:ind w:firstLine="1440"/>
        <w:contextualSpacing/>
        <w:rPr>
          <w:rFonts w:eastAsia="Times New Roman"/>
          <w:sz w:val="26"/>
          <w:szCs w:val="26"/>
        </w:rPr>
      </w:pPr>
      <w:r w:rsidRPr="00E41DB1">
        <w:rPr>
          <w:rFonts w:eastAsia="Times New Roman"/>
          <w:sz w:val="26"/>
          <w:szCs w:val="26"/>
          <w:shd w:val="clear" w:color="auto" w:fill="FFFFFF"/>
        </w:rPr>
        <w:t xml:space="preserve">The third factor is “[w]hether the conduct at issue was deemed intentional or negligent.  This factor may only be considered in evaluating litigated cases.  When conduct has been deemed intentional, the conduct may result in a higher penalty.”  52 Pa. Code § 69.1201(c)(3).  </w:t>
      </w:r>
      <w:r w:rsidRPr="00E41DB1">
        <w:rPr>
          <w:rFonts w:eastAsia="Times New Roman"/>
          <w:sz w:val="26"/>
          <w:szCs w:val="26"/>
        </w:rPr>
        <w:t xml:space="preserve">The third factor pertains to litigated cases only.  </w:t>
      </w:r>
      <w:r w:rsidRPr="00E41DB1">
        <w:rPr>
          <w:rFonts w:eastAsia="Times New Roman"/>
          <w:i/>
          <w:iCs/>
          <w:sz w:val="26"/>
          <w:szCs w:val="26"/>
        </w:rPr>
        <w:t>Id.</w:t>
      </w:r>
      <w:r w:rsidRPr="00E41DB1">
        <w:rPr>
          <w:rFonts w:eastAsia="Times New Roman"/>
          <w:sz w:val="26"/>
          <w:szCs w:val="26"/>
        </w:rPr>
        <w:t xml:space="preserve">  </w:t>
      </w:r>
      <w:r w:rsidRPr="00686F0A">
        <w:rPr>
          <w:rFonts w:eastAsia="Times New Roman"/>
          <w:sz w:val="26"/>
          <w:szCs w:val="26"/>
        </w:rPr>
        <w:t>Because this proceeding was settled prior to the filing of a complaint by I&amp;E, this factor is not applicable to this Settlement.</w:t>
      </w:r>
    </w:p>
    <w:p w14:paraId="3F91CDBC" w14:textId="6F1332BA" w:rsidR="0013143E" w:rsidRDefault="0013143E" w:rsidP="0013143E">
      <w:pPr>
        <w:spacing w:line="360" w:lineRule="auto"/>
        <w:ind w:firstLine="1440"/>
        <w:contextualSpacing/>
        <w:rPr>
          <w:rFonts w:eastAsia="Times New Roman"/>
          <w:sz w:val="26"/>
          <w:szCs w:val="26"/>
        </w:rPr>
      </w:pPr>
      <w:r w:rsidRPr="00686F0A">
        <w:rPr>
          <w:rFonts w:eastAsia="Times New Roman"/>
          <w:sz w:val="26"/>
          <w:szCs w:val="26"/>
        </w:rPr>
        <w:lastRenderedPageBreak/>
        <w:t xml:space="preserve">The fourth factor is whether the regulated entity made efforts to modify internal practices and procedures to address the conduct at issue and prevent similar conduct in the future.  The amount of time it took the utility to correct the conduct once it was discovered and the involvement of top-level management in correcting the conduct may be considered.  52 Pa. Code § 69.1201(c)(4).  In this case, </w:t>
      </w:r>
      <w:r w:rsidRPr="003464FF">
        <w:rPr>
          <w:rFonts w:eastAsia="Times New Roman"/>
          <w:sz w:val="26"/>
          <w:szCs w:val="26"/>
        </w:rPr>
        <w:t xml:space="preserve">I&amp;E noted </w:t>
      </w:r>
      <w:r w:rsidRPr="0057576C">
        <w:rPr>
          <w:rFonts w:eastAsia="Times New Roman"/>
          <w:sz w:val="26"/>
          <w:szCs w:val="26"/>
        </w:rPr>
        <w:t>that</w:t>
      </w:r>
      <w:r w:rsidR="007E40B7" w:rsidRPr="0057576C">
        <w:rPr>
          <w:rFonts w:eastAsia="Times New Roman"/>
          <w:sz w:val="26"/>
          <w:szCs w:val="26"/>
        </w:rPr>
        <w:t xml:space="preserve"> </w:t>
      </w:r>
      <w:r w:rsidR="00A7681D" w:rsidRPr="0057576C">
        <w:rPr>
          <w:rFonts w:eastAsia="Times New Roman"/>
          <w:sz w:val="26"/>
          <w:szCs w:val="26"/>
        </w:rPr>
        <w:t>Discount</w:t>
      </w:r>
      <w:r w:rsidRPr="0057576C">
        <w:rPr>
          <w:rFonts w:eastAsia="Times New Roman"/>
          <w:sz w:val="26"/>
          <w:szCs w:val="26"/>
        </w:rPr>
        <w:t xml:space="preserve"> </w:t>
      </w:r>
      <w:r w:rsidR="00136C5C" w:rsidRPr="0057576C">
        <w:rPr>
          <w:rFonts w:eastAsia="Times New Roman"/>
          <w:sz w:val="26"/>
          <w:szCs w:val="26"/>
        </w:rPr>
        <w:t>agreed to make changes to its customer service system</w:t>
      </w:r>
      <w:r w:rsidR="00AF1124" w:rsidRPr="0057576C">
        <w:rPr>
          <w:rFonts w:eastAsia="Times New Roman"/>
          <w:sz w:val="26"/>
          <w:szCs w:val="26"/>
        </w:rPr>
        <w:t xml:space="preserve">, thereby </w:t>
      </w:r>
      <w:r w:rsidR="003B07A3" w:rsidRPr="0057576C">
        <w:rPr>
          <w:rFonts w:eastAsia="Times New Roman"/>
          <w:sz w:val="26"/>
          <w:szCs w:val="26"/>
        </w:rPr>
        <w:t>providing</w:t>
      </w:r>
      <w:r w:rsidR="00AF1124" w:rsidRPr="0057576C">
        <w:rPr>
          <w:rFonts w:eastAsia="Times New Roman"/>
          <w:sz w:val="26"/>
          <w:szCs w:val="26"/>
        </w:rPr>
        <w:t xml:space="preserve"> the Company </w:t>
      </w:r>
      <w:r w:rsidR="003B07A3" w:rsidRPr="0057576C">
        <w:rPr>
          <w:rFonts w:eastAsia="Times New Roman"/>
          <w:sz w:val="26"/>
          <w:szCs w:val="26"/>
        </w:rPr>
        <w:t xml:space="preserve">with an improved system </w:t>
      </w:r>
      <w:r w:rsidR="007724D8">
        <w:rPr>
          <w:rFonts w:eastAsia="Times New Roman"/>
          <w:sz w:val="26"/>
          <w:szCs w:val="26"/>
        </w:rPr>
        <w:t>for tracking and identifying</w:t>
      </w:r>
      <w:r w:rsidR="003B07A3" w:rsidRPr="0057576C">
        <w:rPr>
          <w:rFonts w:eastAsia="Times New Roman"/>
          <w:sz w:val="26"/>
          <w:szCs w:val="26"/>
        </w:rPr>
        <w:t xml:space="preserve"> issues or </w:t>
      </w:r>
      <w:r w:rsidR="0057576C">
        <w:rPr>
          <w:rFonts w:eastAsia="Times New Roman"/>
          <w:sz w:val="26"/>
          <w:szCs w:val="26"/>
        </w:rPr>
        <w:t>complaints with a common theme</w:t>
      </w:r>
      <w:r w:rsidR="007724D8">
        <w:rPr>
          <w:rFonts w:eastAsia="Times New Roman"/>
          <w:sz w:val="26"/>
          <w:szCs w:val="26"/>
        </w:rPr>
        <w:t>.  Acc</w:t>
      </w:r>
      <w:r w:rsidR="00134BD8">
        <w:rPr>
          <w:rFonts w:eastAsia="Times New Roman"/>
          <w:sz w:val="26"/>
          <w:szCs w:val="26"/>
        </w:rPr>
        <w:t>ording</w:t>
      </w:r>
      <w:r w:rsidR="007724D8">
        <w:rPr>
          <w:rFonts w:eastAsia="Times New Roman"/>
          <w:sz w:val="26"/>
          <w:szCs w:val="26"/>
        </w:rPr>
        <w:t xml:space="preserve">ly, I&amp;E continued, </w:t>
      </w:r>
      <w:r w:rsidR="00134BD8">
        <w:rPr>
          <w:rFonts w:eastAsia="Times New Roman"/>
          <w:sz w:val="26"/>
          <w:szCs w:val="26"/>
        </w:rPr>
        <w:t xml:space="preserve">Discount will be able to better identify and address telemarketing and/or billing issues </w:t>
      </w:r>
      <w:r w:rsidR="001E0E43">
        <w:rPr>
          <w:rFonts w:eastAsia="Times New Roman"/>
          <w:sz w:val="26"/>
          <w:szCs w:val="26"/>
        </w:rPr>
        <w:t>and</w:t>
      </w:r>
      <w:r w:rsidR="00F06E21">
        <w:rPr>
          <w:rFonts w:eastAsia="Times New Roman"/>
          <w:sz w:val="26"/>
          <w:szCs w:val="26"/>
        </w:rPr>
        <w:t xml:space="preserve"> provide I&amp;E with more information</w:t>
      </w:r>
      <w:r w:rsidR="001E0E43">
        <w:rPr>
          <w:rFonts w:eastAsia="Times New Roman"/>
          <w:sz w:val="26"/>
          <w:szCs w:val="26"/>
        </w:rPr>
        <w:t xml:space="preserve"> </w:t>
      </w:r>
      <w:bookmarkStart w:id="30" w:name="_Hlk94619356"/>
      <w:r w:rsidR="001E0E43">
        <w:rPr>
          <w:rFonts w:eastAsia="Times New Roman"/>
          <w:sz w:val="26"/>
          <w:szCs w:val="26"/>
        </w:rPr>
        <w:t>i</w:t>
      </w:r>
      <w:r w:rsidR="003C31D7">
        <w:rPr>
          <w:rFonts w:eastAsia="Times New Roman"/>
          <w:sz w:val="26"/>
          <w:szCs w:val="26"/>
        </w:rPr>
        <w:t>n the event of a future I&amp;E investigation</w:t>
      </w:r>
      <w:bookmarkEnd w:id="30"/>
      <w:r w:rsidR="00050E71" w:rsidRPr="00110985">
        <w:rPr>
          <w:rFonts w:eastAsia="Times New Roman"/>
          <w:sz w:val="26"/>
          <w:szCs w:val="26"/>
        </w:rPr>
        <w:t>.</w:t>
      </w:r>
      <w:r w:rsidR="00EE0C6A" w:rsidRPr="00110985">
        <w:rPr>
          <w:rFonts w:eastAsia="Times New Roman"/>
          <w:sz w:val="26"/>
          <w:szCs w:val="26"/>
        </w:rPr>
        <w:t xml:space="preserve"> </w:t>
      </w:r>
      <w:r w:rsidR="00050E71" w:rsidRPr="00110985">
        <w:rPr>
          <w:rFonts w:eastAsia="Times New Roman"/>
          <w:sz w:val="26"/>
          <w:szCs w:val="26"/>
        </w:rPr>
        <w:t xml:space="preserve"> </w:t>
      </w:r>
      <w:r w:rsidRPr="00110985">
        <w:rPr>
          <w:rFonts w:eastAsia="Times New Roman"/>
          <w:sz w:val="26"/>
          <w:szCs w:val="26"/>
        </w:rPr>
        <w:t xml:space="preserve">I&amp;E Statement in Support at </w:t>
      </w:r>
      <w:r w:rsidR="00110985">
        <w:rPr>
          <w:rFonts w:eastAsia="Times New Roman"/>
          <w:sz w:val="26"/>
          <w:szCs w:val="26"/>
        </w:rPr>
        <w:t>8-9</w:t>
      </w:r>
      <w:r w:rsidRPr="00110985">
        <w:rPr>
          <w:rFonts w:eastAsia="Times New Roman"/>
          <w:sz w:val="26"/>
          <w:szCs w:val="26"/>
        </w:rPr>
        <w:t xml:space="preserve">.  </w:t>
      </w:r>
      <w:r w:rsidR="00A7681D" w:rsidRPr="00110985">
        <w:rPr>
          <w:rFonts w:eastAsia="Times New Roman"/>
          <w:sz w:val="26"/>
          <w:szCs w:val="26"/>
        </w:rPr>
        <w:t>Discount</w:t>
      </w:r>
      <w:r w:rsidRPr="00110985">
        <w:rPr>
          <w:rFonts w:eastAsia="Times New Roman"/>
          <w:sz w:val="26"/>
          <w:szCs w:val="26"/>
        </w:rPr>
        <w:t xml:space="preserve"> </w:t>
      </w:r>
      <w:r w:rsidR="000919C5">
        <w:rPr>
          <w:rFonts w:eastAsia="Times New Roman"/>
          <w:sz w:val="26"/>
          <w:szCs w:val="26"/>
        </w:rPr>
        <w:t>add</w:t>
      </w:r>
      <w:r w:rsidRPr="00110985">
        <w:rPr>
          <w:rFonts w:eastAsia="Times New Roman"/>
          <w:sz w:val="26"/>
          <w:szCs w:val="26"/>
        </w:rPr>
        <w:t>ed that</w:t>
      </w:r>
      <w:r w:rsidR="005E16A3" w:rsidRPr="006817F0">
        <w:rPr>
          <w:rFonts w:eastAsia="Times New Roman"/>
          <w:sz w:val="26"/>
          <w:szCs w:val="26"/>
        </w:rPr>
        <w:t xml:space="preserve">, </w:t>
      </w:r>
      <w:r w:rsidR="003B3B91" w:rsidRPr="006817F0">
        <w:rPr>
          <w:rFonts w:eastAsia="Times New Roman"/>
          <w:sz w:val="26"/>
          <w:szCs w:val="26"/>
        </w:rPr>
        <w:t xml:space="preserve">to </w:t>
      </w:r>
      <w:r w:rsidR="000F2638" w:rsidRPr="006817F0">
        <w:rPr>
          <w:rFonts w:eastAsia="Times New Roman"/>
          <w:sz w:val="26"/>
          <w:szCs w:val="26"/>
        </w:rPr>
        <w:t>improve the Company’s overall operations, Discount has agreed to</w:t>
      </w:r>
      <w:r w:rsidR="00B00158">
        <w:rPr>
          <w:rFonts w:eastAsia="Times New Roman"/>
          <w:sz w:val="26"/>
          <w:szCs w:val="26"/>
        </w:rPr>
        <w:t xml:space="preserve">: </w:t>
      </w:r>
      <w:r w:rsidR="00C842A8">
        <w:rPr>
          <w:rFonts w:eastAsia="Times New Roman"/>
          <w:sz w:val="26"/>
          <w:szCs w:val="26"/>
        </w:rPr>
        <w:t xml:space="preserve"> </w:t>
      </w:r>
      <w:r w:rsidR="00B00158">
        <w:rPr>
          <w:rFonts w:eastAsia="Times New Roman"/>
          <w:sz w:val="26"/>
          <w:szCs w:val="26"/>
        </w:rPr>
        <w:t>(1)</w:t>
      </w:r>
      <w:r w:rsidR="000F2638" w:rsidRPr="006817F0">
        <w:rPr>
          <w:rFonts w:eastAsia="Times New Roman"/>
          <w:sz w:val="26"/>
          <w:szCs w:val="26"/>
        </w:rPr>
        <w:t xml:space="preserve"> train its customer service agents on </w:t>
      </w:r>
      <w:r w:rsidR="00F46CF0">
        <w:rPr>
          <w:rFonts w:eastAsia="Times New Roman"/>
          <w:sz w:val="26"/>
          <w:szCs w:val="26"/>
        </w:rPr>
        <w:t xml:space="preserve">the Company’s new </w:t>
      </w:r>
      <w:r w:rsidR="000F2638" w:rsidRPr="006817F0">
        <w:rPr>
          <w:rFonts w:eastAsia="Times New Roman"/>
          <w:sz w:val="26"/>
          <w:szCs w:val="26"/>
        </w:rPr>
        <w:t>complaint tracking system</w:t>
      </w:r>
      <w:r w:rsidR="00B00158">
        <w:rPr>
          <w:rFonts w:eastAsia="Times New Roman"/>
          <w:sz w:val="26"/>
          <w:szCs w:val="26"/>
        </w:rPr>
        <w:t>; and (2)</w:t>
      </w:r>
      <w:r w:rsidR="00C842A8">
        <w:rPr>
          <w:rFonts w:eastAsia="Times New Roman"/>
          <w:sz w:val="26"/>
          <w:szCs w:val="26"/>
        </w:rPr>
        <w:t> </w:t>
      </w:r>
      <w:r w:rsidR="00B00158">
        <w:rPr>
          <w:rFonts w:eastAsia="Times New Roman"/>
          <w:sz w:val="26"/>
          <w:szCs w:val="26"/>
        </w:rPr>
        <w:t xml:space="preserve">promptly process and investigate </w:t>
      </w:r>
      <w:r w:rsidR="00B00490">
        <w:rPr>
          <w:rFonts w:eastAsia="Times New Roman"/>
          <w:sz w:val="26"/>
          <w:szCs w:val="26"/>
        </w:rPr>
        <w:t>customer inquiries, disputes, and complaints</w:t>
      </w:r>
      <w:r w:rsidRPr="006817F0">
        <w:rPr>
          <w:rFonts w:eastAsia="Times New Roman"/>
          <w:sz w:val="26"/>
          <w:szCs w:val="26"/>
        </w:rPr>
        <w:t xml:space="preserve">.  </w:t>
      </w:r>
      <w:r w:rsidR="00A7681D" w:rsidRPr="006817F0">
        <w:rPr>
          <w:rFonts w:eastAsia="Times New Roman"/>
          <w:sz w:val="26"/>
          <w:szCs w:val="26"/>
        </w:rPr>
        <w:t>D</w:t>
      </w:r>
      <w:r w:rsidR="00893D02">
        <w:rPr>
          <w:rFonts w:eastAsia="Times New Roman"/>
          <w:sz w:val="26"/>
          <w:szCs w:val="26"/>
        </w:rPr>
        <w:t>PI</w:t>
      </w:r>
      <w:r w:rsidR="00C842A8">
        <w:rPr>
          <w:rFonts w:eastAsia="Times New Roman"/>
          <w:sz w:val="26"/>
          <w:szCs w:val="26"/>
        </w:rPr>
        <w:t> </w:t>
      </w:r>
      <w:r w:rsidRPr="006817F0">
        <w:rPr>
          <w:rFonts w:eastAsia="Times New Roman"/>
          <w:sz w:val="26"/>
          <w:szCs w:val="26"/>
        </w:rPr>
        <w:t xml:space="preserve">Statement in Support at </w:t>
      </w:r>
      <w:r w:rsidR="006817F0">
        <w:rPr>
          <w:rFonts w:eastAsia="Times New Roman"/>
          <w:sz w:val="26"/>
          <w:szCs w:val="26"/>
        </w:rPr>
        <w:t>5</w:t>
      </w:r>
      <w:r w:rsidRPr="006817F0">
        <w:rPr>
          <w:rFonts w:eastAsia="Times New Roman"/>
          <w:sz w:val="26"/>
          <w:szCs w:val="26"/>
        </w:rPr>
        <w:t xml:space="preserve">.  Therefore, we conclude that </w:t>
      </w:r>
      <w:r w:rsidR="00A7681D" w:rsidRPr="006817F0">
        <w:rPr>
          <w:rFonts w:eastAsia="Times New Roman"/>
          <w:sz w:val="26"/>
          <w:szCs w:val="26"/>
        </w:rPr>
        <w:t>Discount</w:t>
      </w:r>
      <w:r w:rsidRPr="006817F0">
        <w:rPr>
          <w:rFonts w:eastAsia="Times New Roman"/>
          <w:sz w:val="26"/>
          <w:szCs w:val="26"/>
        </w:rPr>
        <w:t>’s corrective measures support a lower civil penalty.</w:t>
      </w:r>
    </w:p>
    <w:p w14:paraId="7279031A" w14:textId="77777777" w:rsidR="006D257E" w:rsidRPr="006817F0" w:rsidRDefault="006D257E" w:rsidP="0013143E">
      <w:pPr>
        <w:spacing w:line="360" w:lineRule="auto"/>
        <w:ind w:firstLine="1440"/>
        <w:contextualSpacing/>
        <w:rPr>
          <w:rFonts w:eastAsia="Times New Roman"/>
          <w:sz w:val="26"/>
          <w:szCs w:val="26"/>
        </w:rPr>
      </w:pPr>
    </w:p>
    <w:p w14:paraId="27DFB419" w14:textId="7BFE0AC1" w:rsidR="0013143E" w:rsidRDefault="0013143E" w:rsidP="0012671C">
      <w:pPr>
        <w:spacing w:line="360" w:lineRule="auto"/>
        <w:ind w:firstLine="1440"/>
        <w:contextualSpacing/>
        <w:rPr>
          <w:rFonts w:eastAsia="Times New Roman"/>
          <w:sz w:val="26"/>
          <w:szCs w:val="26"/>
        </w:rPr>
      </w:pPr>
      <w:r w:rsidRPr="00035799">
        <w:rPr>
          <w:rFonts w:eastAsia="Times New Roman"/>
          <w:sz w:val="26"/>
          <w:szCs w:val="26"/>
        </w:rPr>
        <w:t xml:space="preserve">The fifth factor is the number of customers affected and the duration of the violations.  52 Pa. Code § 69.1201(c)(5).  </w:t>
      </w:r>
      <w:r w:rsidRPr="0044590E">
        <w:rPr>
          <w:rFonts w:eastAsia="Times New Roman"/>
          <w:sz w:val="26"/>
          <w:szCs w:val="26"/>
        </w:rPr>
        <w:t xml:space="preserve">In calculating the civil penalty, I&amp;E noted that it considered </w:t>
      </w:r>
      <w:r w:rsidR="00FF5E1F">
        <w:rPr>
          <w:rFonts w:eastAsia="Times New Roman"/>
          <w:sz w:val="26"/>
          <w:szCs w:val="26"/>
        </w:rPr>
        <w:t xml:space="preserve">37 </w:t>
      </w:r>
      <w:r w:rsidR="00FF5E1F" w:rsidRPr="00FF5E1F">
        <w:rPr>
          <w:rFonts w:eastAsia="Times New Roman"/>
          <w:sz w:val="26"/>
          <w:szCs w:val="26"/>
        </w:rPr>
        <w:t>substantiated</w:t>
      </w:r>
      <w:r w:rsidR="00ED476C" w:rsidRPr="00FF5E1F">
        <w:rPr>
          <w:rFonts w:eastAsia="Times New Roman"/>
          <w:sz w:val="26"/>
          <w:szCs w:val="26"/>
        </w:rPr>
        <w:t xml:space="preserve"> customer complaints</w:t>
      </w:r>
      <w:r w:rsidR="009F25B1">
        <w:rPr>
          <w:rFonts w:eastAsia="Times New Roman"/>
          <w:sz w:val="26"/>
          <w:szCs w:val="26"/>
        </w:rPr>
        <w:t>,</w:t>
      </w:r>
      <w:r w:rsidR="00B0502B" w:rsidRPr="00FF5E1F">
        <w:rPr>
          <w:rFonts w:eastAsia="Times New Roman"/>
          <w:sz w:val="26"/>
          <w:szCs w:val="26"/>
        </w:rPr>
        <w:t xml:space="preserve"> between </w:t>
      </w:r>
      <w:r w:rsidR="0044590E" w:rsidRPr="00FF5E1F">
        <w:rPr>
          <w:rFonts w:eastAsia="Times New Roman"/>
          <w:sz w:val="26"/>
          <w:szCs w:val="26"/>
        </w:rPr>
        <w:t>2019</w:t>
      </w:r>
      <w:r w:rsidR="00B0502B" w:rsidRPr="00FF5E1F">
        <w:rPr>
          <w:rFonts w:eastAsia="Times New Roman"/>
          <w:sz w:val="26"/>
          <w:szCs w:val="26"/>
        </w:rPr>
        <w:t xml:space="preserve"> and </w:t>
      </w:r>
      <w:r w:rsidR="0044590E" w:rsidRPr="00FF5E1F">
        <w:rPr>
          <w:rFonts w:eastAsia="Times New Roman"/>
          <w:sz w:val="26"/>
          <w:szCs w:val="26"/>
        </w:rPr>
        <w:t>May 2021</w:t>
      </w:r>
      <w:r w:rsidR="009F25B1">
        <w:rPr>
          <w:rFonts w:eastAsia="Times New Roman"/>
          <w:sz w:val="26"/>
          <w:szCs w:val="26"/>
        </w:rPr>
        <w:t xml:space="preserve">, </w:t>
      </w:r>
      <w:r w:rsidR="001A1CFF" w:rsidRPr="009F25B1">
        <w:rPr>
          <w:rFonts w:eastAsia="Times New Roman"/>
          <w:sz w:val="26"/>
          <w:szCs w:val="26"/>
        </w:rPr>
        <w:t xml:space="preserve">comprised </w:t>
      </w:r>
      <w:r w:rsidR="00EB79A8" w:rsidRPr="009F25B1">
        <w:rPr>
          <w:rFonts w:eastAsia="Times New Roman"/>
          <w:sz w:val="26"/>
          <w:szCs w:val="26"/>
        </w:rPr>
        <w:t>of</w:t>
      </w:r>
      <w:r w:rsidR="001A1CFF" w:rsidRPr="009F25B1">
        <w:rPr>
          <w:rFonts w:eastAsia="Times New Roman"/>
          <w:sz w:val="26"/>
          <w:szCs w:val="26"/>
        </w:rPr>
        <w:t>:</w:t>
      </w:r>
      <w:r w:rsidR="00DB31C5">
        <w:rPr>
          <w:rFonts w:eastAsia="Times New Roman"/>
          <w:sz w:val="26"/>
          <w:szCs w:val="26"/>
        </w:rPr>
        <w:t xml:space="preserve"> </w:t>
      </w:r>
      <w:r w:rsidR="00C842A8">
        <w:rPr>
          <w:rFonts w:eastAsia="Times New Roman"/>
          <w:sz w:val="26"/>
          <w:szCs w:val="26"/>
        </w:rPr>
        <w:t xml:space="preserve"> </w:t>
      </w:r>
      <w:r w:rsidR="00377431" w:rsidRPr="009F25B1">
        <w:rPr>
          <w:rFonts w:eastAsia="Times New Roman"/>
          <w:sz w:val="26"/>
          <w:szCs w:val="26"/>
        </w:rPr>
        <w:t xml:space="preserve">(1) </w:t>
      </w:r>
      <w:r w:rsidR="009F25B1" w:rsidRPr="00684E36">
        <w:rPr>
          <w:rFonts w:eastAsia="Times New Roman"/>
          <w:sz w:val="26"/>
          <w:szCs w:val="26"/>
        </w:rPr>
        <w:t>misrepresentation</w:t>
      </w:r>
      <w:r w:rsidR="00A5283A" w:rsidRPr="00684E36">
        <w:rPr>
          <w:rFonts w:eastAsia="Times New Roman"/>
          <w:sz w:val="26"/>
          <w:szCs w:val="26"/>
        </w:rPr>
        <w:t>; (</w:t>
      </w:r>
      <w:r w:rsidR="00377431" w:rsidRPr="00684E36">
        <w:rPr>
          <w:rFonts w:eastAsia="Times New Roman"/>
          <w:sz w:val="26"/>
          <w:szCs w:val="26"/>
        </w:rPr>
        <w:t>2</w:t>
      </w:r>
      <w:r w:rsidR="00A5283A" w:rsidRPr="00684E36">
        <w:rPr>
          <w:rFonts w:eastAsia="Times New Roman"/>
          <w:sz w:val="26"/>
          <w:szCs w:val="26"/>
        </w:rPr>
        <w:t>)</w:t>
      </w:r>
      <w:r w:rsidR="00377431" w:rsidRPr="00684E36">
        <w:rPr>
          <w:rFonts w:eastAsia="Times New Roman"/>
          <w:sz w:val="26"/>
          <w:szCs w:val="26"/>
        </w:rPr>
        <w:t xml:space="preserve"> </w:t>
      </w:r>
      <w:r w:rsidR="009F25B1" w:rsidRPr="00684E36">
        <w:rPr>
          <w:rFonts w:eastAsia="Times New Roman"/>
          <w:sz w:val="26"/>
          <w:szCs w:val="26"/>
        </w:rPr>
        <w:t>incorrect rates</w:t>
      </w:r>
      <w:r w:rsidR="00377431" w:rsidRPr="00684E36">
        <w:rPr>
          <w:rFonts w:eastAsia="Times New Roman"/>
          <w:sz w:val="26"/>
          <w:szCs w:val="26"/>
        </w:rPr>
        <w:t xml:space="preserve">; (3) </w:t>
      </w:r>
      <w:r w:rsidR="002A1E0B" w:rsidRPr="00684E36">
        <w:rPr>
          <w:rFonts w:eastAsia="Times New Roman"/>
          <w:sz w:val="26"/>
          <w:szCs w:val="26"/>
        </w:rPr>
        <w:t>failure to cancel an account upon request</w:t>
      </w:r>
      <w:r w:rsidR="00B06344" w:rsidRPr="00684E36">
        <w:rPr>
          <w:rFonts w:eastAsia="Times New Roman"/>
          <w:sz w:val="26"/>
          <w:szCs w:val="26"/>
        </w:rPr>
        <w:t>;</w:t>
      </w:r>
      <w:r w:rsidR="002E2802" w:rsidRPr="00684E36">
        <w:rPr>
          <w:rFonts w:eastAsia="Times New Roman"/>
          <w:sz w:val="26"/>
          <w:szCs w:val="26"/>
        </w:rPr>
        <w:t xml:space="preserve"> (4) </w:t>
      </w:r>
      <w:r w:rsidR="002A1E0B" w:rsidRPr="00684E36">
        <w:rPr>
          <w:rFonts w:eastAsia="Times New Roman"/>
          <w:sz w:val="26"/>
          <w:szCs w:val="26"/>
        </w:rPr>
        <w:t>failure to issue renewal letters</w:t>
      </w:r>
      <w:r w:rsidR="00307641" w:rsidRPr="00684E36">
        <w:rPr>
          <w:rFonts w:eastAsia="Times New Roman"/>
          <w:sz w:val="26"/>
          <w:szCs w:val="26"/>
        </w:rPr>
        <w:t>;</w:t>
      </w:r>
      <w:r w:rsidR="002A1E0B" w:rsidRPr="00684E36">
        <w:rPr>
          <w:rFonts w:eastAsia="Times New Roman"/>
          <w:sz w:val="26"/>
          <w:szCs w:val="26"/>
        </w:rPr>
        <w:t xml:space="preserve"> </w:t>
      </w:r>
      <w:r w:rsidR="00307641" w:rsidRPr="00684E36">
        <w:rPr>
          <w:rFonts w:eastAsia="Times New Roman"/>
          <w:sz w:val="26"/>
          <w:szCs w:val="26"/>
        </w:rPr>
        <w:t>(5)</w:t>
      </w:r>
      <w:r w:rsidR="000252F8" w:rsidRPr="00684E36">
        <w:rPr>
          <w:rFonts w:eastAsia="Times New Roman"/>
          <w:sz w:val="26"/>
          <w:szCs w:val="26"/>
        </w:rPr>
        <w:t xml:space="preserve"> </w:t>
      </w:r>
      <w:r w:rsidR="002A1E0B" w:rsidRPr="00684E36">
        <w:rPr>
          <w:rFonts w:eastAsia="Times New Roman"/>
          <w:sz w:val="26"/>
          <w:szCs w:val="26"/>
        </w:rPr>
        <w:t>unauthorized enrollment</w:t>
      </w:r>
      <w:r w:rsidR="00684E36" w:rsidRPr="00684E36">
        <w:rPr>
          <w:rFonts w:eastAsia="Times New Roman"/>
          <w:sz w:val="26"/>
          <w:szCs w:val="26"/>
        </w:rPr>
        <w:t>s; and (6)</w:t>
      </w:r>
      <w:r w:rsidR="00C842A8">
        <w:rPr>
          <w:rFonts w:eastAsia="Times New Roman"/>
          <w:sz w:val="26"/>
          <w:szCs w:val="26"/>
        </w:rPr>
        <w:t> </w:t>
      </w:r>
      <w:r w:rsidR="00684E36" w:rsidRPr="00684E36">
        <w:rPr>
          <w:rFonts w:eastAsia="Times New Roman"/>
          <w:sz w:val="26"/>
          <w:szCs w:val="26"/>
        </w:rPr>
        <w:t>seven complaints related to calling individuals on the Do Not Call list</w:t>
      </w:r>
      <w:r w:rsidR="00571D75" w:rsidRPr="00684E36">
        <w:rPr>
          <w:rFonts w:eastAsia="Times New Roman"/>
          <w:sz w:val="26"/>
          <w:szCs w:val="26"/>
        </w:rPr>
        <w:t>.</w:t>
      </w:r>
      <w:r w:rsidR="001A1CFF" w:rsidRPr="00684E36">
        <w:rPr>
          <w:rFonts w:eastAsia="Times New Roman"/>
          <w:sz w:val="26"/>
          <w:szCs w:val="26"/>
        </w:rPr>
        <w:t xml:space="preserve"> </w:t>
      </w:r>
      <w:r w:rsidR="00ED476C" w:rsidRPr="00684E36">
        <w:rPr>
          <w:rFonts w:eastAsia="Times New Roman"/>
          <w:sz w:val="26"/>
          <w:szCs w:val="26"/>
        </w:rPr>
        <w:t xml:space="preserve"> </w:t>
      </w:r>
      <w:r w:rsidR="00EF738D">
        <w:rPr>
          <w:rFonts w:eastAsia="Times New Roman"/>
          <w:sz w:val="26"/>
          <w:szCs w:val="26"/>
        </w:rPr>
        <w:t xml:space="preserve">Further, </w:t>
      </w:r>
      <w:r w:rsidR="00EC3B63">
        <w:rPr>
          <w:rFonts w:eastAsia="Times New Roman"/>
          <w:sz w:val="26"/>
          <w:szCs w:val="26"/>
        </w:rPr>
        <w:t xml:space="preserve">I&amp;E </w:t>
      </w:r>
      <w:r w:rsidR="00EF738D">
        <w:rPr>
          <w:rFonts w:eastAsia="Times New Roman"/>
          <w:sz w:val="26"/>
          <w:szCs w:val="26"/>
        </w:rPr>
        <w:t>not</w:t>
      </w:r>
      <w:r w:rsidR="00EC3B63">
        <w:rPr>
          <w:rFonts w:eastAsia="Times New Roman"/>
          <w:sz w:val="26"/>
          <w:szCs w:val="26"/>
        </w:rPr>
        <w:t xml:space="preserve">ed that the Director of OCMO’s account was </w:t>
      </w:r>
      <w:r w:rsidR="007E2DCA">
        <w:rPr>
          <w:rFonts w:eastAsia="Times New Roman"/>
          <w:sz w:val="26"/>
          <w:szCs w:val="26"/>
        </w:rPr>
        <w:t>successfully</w:t>
      </w:r>
      <w:r w:rsidR="00EC3B63">
        <w:rPr>
          <w:rFonts w:eastAsia="Times New Roman"/>
          <w:sz w:val="26"/>
          <w:szCs w:val="26"/>
        </w:rPr>
        <w:t xml:space="preserve"> enrolled with Discount</w:t>
      </w:r>
      <w:r w:rsidR="00EF738D">
        <w:rPr>
          <w:rFonts w:eastAsia="Times New Roman"/>
          <w:sz w:val="26"/>
          <w:szCs w:val="26"/>
        </w:rPr>
        <w:t>.  Moreover,</w:t>
      </w:r>
      <w:r w:rsidR="00EC3B63">
        <w:rPr>
          <w:rFonts w:eastAsia="Times New Roman"/>
          <w:sz w:val="26"/>
          <w:szCs w:val="26"/>
        </w:rPr>
        <w:t xml:space="preserve"> I&amp;E </w:t>
      </w:r>
      <w:r w:rsidR="00EF738D">
        <w:rPr>
          <w:rFonts w:eastAsia="Times New Roman"/>
          <w:sz w:val="26"/>
          <w:szCs w:val="26"/>
        </w:rPr>
        <w:t>stated</w:t>
      </w:r>
      <w:r w:rsidR="007D3FDC">
        <w:rPr>
          <w:rFonts w:eastAsia="Times New Roman"/>
          <w:sz w:val="26"/>
          <w:szCs w:val="26"/>
        </w:rPr>
        <w:t xml:space="preserve"> that</w:t>
      </w:r>
      <w:r w:rsidR="00FD49CB">
        <w:rPr>
          <w:rFonts w:eastAsia="Times New Roman"/>
          <w:sz w:val="26"/>
          <w:szCs w:val="26"/>
        </w:rPr>
        <w:t>, due to the Company’s lack of record keeping,</w:t>
      </w:r>
      <w:r w:rsidR="00EF738D">
        <w:rPr>
          <w:rFonts w:eastAsia="Times New Roman"/>
          <w:sz w:val="26"/>
          <w:szCs w:val="26"/>
        </w:rPr>
        <w:t xml:space="preserve"> </w:t>
      </w:r>
      <w:r w:rsidR="00FD49CB">
        <w:rPr>
          <w:rFonts w:eastAsia="Times New Roman"/>
          <w:sz w:val="26"/>
          <w:szCs w:val="26"/>
        </w:rPr>
        <w:t>I&amp;E was</w:t>
      </w:r>
      <w:r w:rsidR="00EC3B63">
        <w:rPr>
          <w:rFonts w:eastAsia="Times New Roman"/>
          <w:sz w:val="26"/>
          <w:szCs w:val="26"/>
        </w:rPr>
        <w:t xml:space="preserve"> unable to </w:t>
      </w:r>
      <w:r w:rsidR="007E2DCA">
        <w:rPr>
          <w:rFonts w:eastAsia="Times New Roman"/>
          <w:sz w:val="26"/>
          <w:szCs w:val="26"/>
        </w:rPr>
        <w:t>fully investigate all customer complaints provided by</w:t>
      </w:r>
      <w:r w:rsidR="00756DCE">
        <w:rPr>
          <w:rFonts w:eastAsia="Times New Roman"/>
          <w:sz w:val="26"/>
          <w:szCs w:val="26"/>
        </w:rPr>
        <w:t xml:space="preserve"> Discount and</w:t>
      </w:r>
      <w:r w:rsidR="007E2DCA">
        <w:rPr>
          <w:rFonts w:eastAsia="Times New Roman"/>
          <w:sz w:val="26"/>
          <w:szCs w:val="26"/>
        </w:rPr>
        <w:t xml:space="preserve"> the Commission’s Bureau of Consumer Services.  </w:t>
      </w:r>
      <w:r w:rsidR="00C93716" w:rsidRPr="00684E36">
        <w:rPr>
          <w:rFonts w:eastAsia="Times New Roman"/>
          <w:sz w:val="26"/>
          <w:szCs w:val="26"/>
        </w:rPr>
        <w:t>I&amp;E</w:t>
      </w:r>
      <w:r w:rsidRPr="00684E36">
        <w:rPr>
          <w:rFonts w:eastAsia="Times New Roman"/>
          <w:sz w:val="26"/>
          <w:szCs w:val="26"/>
        </w:rPr>
        <w:t xml:space="preserve"> Statement in </w:t>
      </w:r>
      <w:r w:rsidRPr="007E2DCA">
        <w:rPr>
          <w:rFonts w:eastAsia="Times New Roman"/>
          <w:sz w:val="26"/>
          <w:szCs w:val="26"/>
        </w:rPr>
        <w:t xml:space="preserve">Support at </w:t>
      </w:r>
      <w:r w:rsidR="00EC3B63" w:rsidRPr="007E2DCA">
        <w:rPr>
          <w:rFonts w:eastAsia="Times New Roman"/>
          <w:sz w:val="26"/>
          <w:szCs w:val="26"/>
        </w:rPr>
        <w:t>9</w:t>
      </w:r>
      <w:r w:rsidRPr="007E2DCA">
        <w:rPr>
          <w:rFonts w:eastAsia="Times New Roman"/>
          <w:sz w:val="26"/>
          <w:szCs w:val="26"/>
        </w:rPr>
        <w:t xml:space="preserve">.  </w:t>
      </w:r>
      <w:r w:rsidR="00726DFF">
        <w:rPr>
          <w:rFonts w:eastAsia="Times New Roman"/>
          <w:sz w:val="26"/>
          <w:szCs w:val="26"/>
        </w:rPr>
        <w:t>Discount refer</w:t>
      </w:r>
      <w:r w:rsidR="00756DCE">
        <w:rPr>
          <w:rFonts w:eastAsia="Times New Roman"/>
          <w:sz w:val="26"/>
          <w:szCs w:val="26"/>
        </w:rPr>
        <w:t>enced</w:t>
      </w:r>
      <w:r w:rsidR="00726DFF">
        <w:rPr>
          <w:rFonts w:eastAsia="Times New Roman"/>
          <w:sz w:val="26"/>
          <w:szCs w:val="26"/>
        </w:rPr>
        <w:t xml:space="preserve"> the number of residential customers </w:t>
      </w:r>
      <w:r w:rsidR="00F611BE">
        <w:rPr>
          <w:rFonts w:eastAsia="Times New Roman"/>
          <w:sz w:val="26"/>
          <w:szCs w:val="26"/>
        </w:rPr>
        <w:t xml:space="preserve">shopping for electricity to note that the </w:t>
      </w:r>
      <w:r w:rsidR="00936768">
        <w:rPr>
          <w:rFonts w:eastAsia="Times New Roman"/>
          <w:sz w:val="26"/>
          <w:szCs w:val="26"/>
        </w:rPr>
        <w:t>number o</w:t>
      </w:r>
      <w:r w:rsidR="00F611BE">
        <w:rPr>
          <w:rFonts w:eastAsia="Times New Roman"/>
          <w:sz w:val="26"/>
          <w:szCs w:val="26"/>
        </w:rPr>
        <w:t xml:space="preserve">f </w:t>
      </w:r>
      <w:r w:rsidR="00F611BE" w:rsidRPr="00692167">
        <w:rPr>
          <w:rFonts w:eastAsia="Times New Roman"/>
          <w:sz w:val="26"/>
          <w:szCs w:val="26"/>
        </w:rPr>
        <w:lastRenderedPageBreak/>
        <w:t xml:space="preserve">affected customers </w:t>
      </w:r>
      <w:r w:rsidR="00936768" w:rsidRPr="00692167">
        <w:rPr>
          <w:rFonts w:eastAsia="Times New Roman"/>
          <w:sz w:val="26"/>
          <w:szCs w:val="26"/>
        </w:rPr>
        <w:t>is relatively small.</w:t>
      </w:r>
      <w:r w:rsidR="00260585">
        <w:rPr>
          <w:rStyle w:val="FootnoteReference"/>
          <w:rFonts w:eastAsia="Times New Roman"/>
          <w:sz w:val="26"/>
          <w:szCs w:val="26"/>
        </w:rPr>
        <w:footnoteReference w:id="11"/>
      </w:r>
      <w:r w:rsidR="00936768" w:rsidRPr="00692167">
        <w:rPr>
          <w:rFonts w:eastAsia="Times New Roman"/>
          <w:sz w:val="26"/>
          <w:szCs w:val="26"/>
        </w:rPr>
        <w:t xml:space="preserve">  D</w:t>
      </w:r>
      <w:r w:rsidR="00893D02">
        <w:rPr>
          <w:rFonts w:eastAsia="Times New Roman"/>
          <w:sz w:val="26"/>
          <w:szCs w:val="26"/>
        </w:rPr>
        <w:t>PI</w:t>
      </w:r>
      <w:r w:rsidR="00936768" w:rsidRPr="00692167">
        <w:rPr>
          <w:rFonts w:eastAsia="Times New Roman"/>
          <w:sz w:val="26"/>
          <w:szCs w:val="26"/>
        </w:rPr>
        <w:t xml:space="preserve"> Statement in Support at </w:t>
      </w:r>
      <w:r w:rsidR="00692167" w:rsidRPr="00692167">
        <w:rPr>
          <w:rFonts w:eastAsia="Times New Roman"/>
          <w:sz w:val="26"/>
          <w:szCs w:val="26"/>
        </w:rPr>
        <w:t xml:space="preserve">6.  </w:t>
      </w:r>
      <w:r w:rsidRPr="00692167">
        <w:rPr>
          <w:rFonts w:eastAsia="Times New Roman"/>
          <w:sz w:val="26"/>
          <w:szCs w:val="26"/>
        </w:rPr>
        <w:t xml:space="preserve">Given these considerations, we find </w:t>
      </w:r>
      <w:r w:rsidR="009721C9">
        <w:rPr>
          <w:rFonts w:eastAsia="Times New Roman"/>
          <w:sz w:val="26"/>
          <w:szCs w:val="26"/>
        </w:rPr>
        <w:t xml:space="preserve">the </w:t>
      </w:r>
      <w:r w:rsidR="009721C9" w:rsidRPr="009721C9">
        <w:rPr>
          <w:rFonts w:eastAsia="Times New Roman"/>
          <w:sz w:val="26"/>
          <w:szCs w:val="26"/>
        </w:rPr>
        <w:t>proposed penalty to be fair and reasonable</w:t>
      </w:r>
      <w:r w:rsidRPr="00692167">
        <w:rPr>
          <w:rFonts w:eastAsia="Times New Roman"/>
          <w:sz w:val="26"/>
          <w:szCs w:val="26"/>
        </w:rPr>
        <w:t>.</w:t>
      </w:r>
    </w:p>
    <w:p w14:paraId="529AE212" w14:textId="77777777" w:rsidR="00EC570F" w:rsidRPr="0012671C" w:rsidRDefault="00EC570F" w:rsidP="0012671C">
      <w:pPr>
        <w:spacing w:line="360" w:lineRule="auto"/>
        <w:ind w:firstLine="1440"/>
        <w:contextualSpacing/>
        <w:rPr>
          <w:rFonts w:eastAsia="Times New Roman"/>
          <w:sz w:val="26"/>
          <w:szCs w:val="26"/>
        </w:rPr>
      </w:pPr>
    </w:p>
    <w:p w14:paraId="4C0CD821" w14:textId="7ABFD4BD" w:rsidR="0013143E" w:rsidRPr="0098221F" w:rsidRDefault="0013143E" w:rsidP="0013143E">
      <w:pPr>
        <w:spacing w:line="360" w:lineRule="auto"/>
        <w:ind w:firstLine="1440"/>
        <w:contextualSpacing/>
        <w:rPr>
          <w:rFonts w:eastAsia="Times New Roman"/>
          <w:sz w:val="26"/>
          <w:szCs w:val="26"/>
        </w:rPr>
      </w:pPr>
      <w:r w:rsidRPr="00035799">
        <w:rPr>
          <w:rFonts w:eastAsia="Times New Roman"/>
          <w:sz w:val="26"/>
          <w:szCs w:val="26"/>
        </w:rPr>
        <w:t xml:space="preserve">We may also consider the compliance history of the regulated entity.  52 Pa. Code § 69.1201(c)(6).  “An isolated incident from an otherwise compliant utility may result in a lower penalty, whereas frequent, recurrent violations by a utility may result in a higher penalty.”  </w:t>
      </w:r>
      <w:r w:rsidRPr="00035799">
        <w:rPr>
          <w:rFonts w:eastAsia="Times New Roman"/>
          <w:i/>
          <w:sz w:val="26"/>
          <w:szCs w:val="26"/>
        </w:rPr>
        <w:t xml:space="preserve">Id. </w:t>
      </w:r>
      <w:r w:rsidRPr="00035799">
        <w:rPr>
          <w:rFonts w:eastAsia="Times New Roman"/>
          <w:sz w:val="26"/>
          <w:szCs w:val="26"/>
        </w:rPr>
        <w:t xml:space="preserve"> Here, </w:t>
      </w:r>
      <w:r w:rsidRPr="00DA7C67">
        <w:rPr>
          <w:rFonts w:eastAsia="Times New Roman"/>
          <w:sz w:val="26"/>
          <w:szCs w:val="26"/>
        </w:rPr>
        <w:t>I&amp;E asserted that</w:t>
      </w:r>
      <w:r w:rsidR="003E46FD">
        <w:rPr>
          <w:rFonts w:eastAsia="Times New Roman"/>
          <w:sz w:val="26"/>
          <w:szCs w:val="26"/>
        </w:rPr>
        <w:t xml:space="preserve">, although </w:t>
      </w:r>
      <w:r w:rsidRPr="00FD32CF">
        <w:rPr>
          <w:rFonts w:eastAsia="Times New Roman"/>
          <w:sz w:val="26"/>
          <w:szCs w:val="26"/>
        </w:rPr>
        <w:t xml:space="preserve">it is not aware of any formal complaint being filed against </w:t>
      </w:r>
      <w:r w:rsidR="00A7681D" w:rsidRPr="00FD32CF">
        <w:rPr>
          <w:rFonts w:eastAsia="Times New Roman"/>
          <w:sz w:val="26"/>
          <w:szCs w:val="26"/>
        </w:rPr>
        <w:t>Discount</w:t>
      </w:r>
      <w:r w:rsidR="003E46FD" w:rsidRPr="00FD32CF">
        <w:rPr>
          <w:rFonts w:eastAsia="Times New Roman"/>
          <w:sz w:val="26"/>
          <w:szCs w:val="26"/>
        </w:rPr>
        <w:t xml:space="preserve">, </w:t>
      </w:r>
      <w:r w:rsidR="00FD32CF" w:rsidRPr="00FD32CF">
        <w:rPr>
          <w:rFonts w:eastAsia="Times New Roman"/>
          <w:sz w:val="26"/>
          <w:szCs w:val="26"/>
        </w:rPr>
        <w:t xml:space="preserve">between March 2016 and July 2020, </w:t>
      </w:r>
      <w:r w:rsidR="003E46FD" w:rsidRPr="00FD32CF">
        <w:rPr>
          <w:rFonts w:eastAsia="Times New Roman"/>
          <w:sz w:val="26"/>
          <w:szCs w:val="26"/>
        </w:rPr>
        <w:t xml:space="preserve">approximately eight (8) customers have filed formal complaints with the Commission against Discount related to incorrect billing, unauthorized enrollment, and fraudulent or </w:t>
      </w:r>
      <w:r w:rsidR="003E46FD" w:rsidRPr="00E45887">
        <w:rPr>
          <w:rFonts w:eastAsia="Times New Roman"/>
          <w:sz w:val="26"/>
          <w:szCs w:val="26"/>
        </w:rPr>
        <w:t xml:space="preserve">deceptive </w:t>
      </w:r>
      <w:r w:rsidR="00FD32CF" w:rsidRPr="00E45887">
        <w:rPr>
          <w:rFonts w:eastAsia="Times New Roman"/>
          <w:sz w:val="26"/>
          <w:szCs w:val="26"/>
        </w:rPr>
        <w:t>marketing</w:t>
      </w:r>
      <w:r w:rsidR="00BA0AD6" w:rsidRPr="00E45887">
        <w:rPr>
          <w:rFonts w:eastAsia="Times New Roman"/>
          <w:sz w:val="26"/>
          <w:szCs w:val="26"/>
        </w:rPr>
        <w:t>.</w:t>
      </w:r>
      <w:r w:rsidR="00A2056B" w:rsidRPr="00E45887">
        <w:rPr>
          <w:rStyle w:val="FootnoteReference"/>
          <w:rFonts w:eastAsia="Times New Roman"/>
          <w:sz w:val="26"/>
          <w:szCs w:val="26"/>
        </w:rPr>
        <w:footnoteReference w:id="12"/>
      </w:r>
      <w:r w:rsidR="00BA0AD6" w:rsidRPr="00E45887">
        <w:rPr>
          <w:rFonts w:eastAsia="Times New Roman"/>
          <w:sz w:val="26"/>
          <w:szCs w:val="26"/>
        </w:rPr>
        <w:t xml:space="preserve">  </w:t>
      </w:r>
      <w:r w:rsidR="007D4EF8" w:rsidRPr="00E45887">
        <w:rPr>
          <w:rFonts w:eastAsia="Times New Roman"/>
          <w:sz w:val="26"/>
          <w:szCs w:val="26"/>
        </w:rPr>
        <w:t>I</w:t>
      </w:r>
      <w:r w:rsidRPr="00E45887">
        <w:rPr>
          <w:rFonts w:eastAsia="Times New Roman"/>
          <w:sz w:val="26"/>
          <w:szCs w:val="26"/>
        </w:rPr>
        <w:t xml:space="preserve">&amp;E Statement in Support at </w:t>
      </w:r>
      <w:r w:rsidR="00E727B4" w:rsidRPr="00E45887">
        <w:rPr>
          <w:rFonts w:eastAsia="Times New Roman"/>
          <w:sz w:val="26"/>
          <w:szCs w:val="26"/>
        </w:rPr>
        <w:t>9</w:t>
      </w:r>
      <w:r w:rsidRPr="00E45887">
        <w:rPr>
          <w:rFonts w:eastAsia="Times New Roman"/>
          <w:sz w:val="26"/>
          <w:szCs w:val="26"/>
        </w:rPr>
        <w:t>.  Accordingly, we find that the penalty does not warrant further consideration regarding this factor.</w:t>
      </w:r>
    </w:p>
    <w:p w14:paraId="23CC5AE8" w14:textId="77777777" w:rsidR="0013143E" w:rsidRPr="0013143E" w:rsidRDefault="0013143E" w:rsidP="0013143E">
      <w:pPr>
        <w:spacing w:line="360" w:lineRule="auto"/>
        <w:ind w:firstLine="1440"/>
        <w:contextualSpacing/>
        <w:rPr>
          <w:rFonts w:eastAsia="Times New Roman"/>
          <w:sz w:val="26"/>
          <w:szCs w:val="26"/>
          <w:highlight w:val="yellow"/>
        </w:rPr>
      </w:pPr>
    </w:p>
    <w:p w14:paraId="71C845DA" w14:textId="32087E68" w:rsidR="0013143E" w:rsidRPr="00751381" w:rsidRDefault="0013143E" w:rsidP="0013143E">
      <w:pPr>
        <w:spacing w:line="360" w:lineRule="auto"/>
        <w:ind w:firstLine="1440"/>
        <w:contextualSpacing/>
        <w:rPr>
          <w:rFonts w:eastAsia="Times New Roman"/>
          <w:sz w:val="26"/>
          <w:szCs w:val="26"/>
        </w:rPr>
      </w:pPr>
      <w:r w:rsidRPr="00035799">
        <w:rPr>
          <w:rFonts w:eastAsia="Times New Roman"/>
          <w:sz w:val="26"/>
          <w:szCs w:val="26"/>
        </w:rPr>
        <w:t xml:space="preserve">Another factor we may consider is whether the regulated entity cooperated </w:t>
      </w:r>
      <w:r w:rsidRPr="006C5E6B">
        <w:rPr>
          <w:rFonts w:eastAsia="Times New Roman"/>
          <w:sz w:val="26"/>
          <w:szCs w:val="26"/>
        </w:rPr>
        <w:t xml:space="preserve">with the Commission’s investigation.  52 Pa. Code § 69.1201(c)(7).  According to I&amp;E, </w:t>
      </w:r>
      <w:r w:rsidR="00A7681D" w:rsidRPr="006C5E6B">
        <w:rPr>
          <w:rFonts w:eastAsia="Times New Roman"/>
          <w:sz w:val="26"/>
          <w:szCs w:val="26"/>
        </w:rPr>
        <w:t>Discount</w:t>
      </w:r>
      <w:r w:rsidRPr="006C5E6B">
        <w:rPr>
          <w:rFonts w:eastAsia="Times New Roman"/>
          <w:sz w:val="26"/>
          <w:szCs w:val="26"/>
        </w:rPr>
        <w:t xml:space="preserve"> fully cooperated during the investigation, including in the informal discovery process and </w:t>
      </w:r>
      <w:r w:rsidR="006C5E6B" w:rsidRPr="006C5E6B">
        <w:rPr>
          <w:rFonts w:eastAsia="Times New Roman"/>
          <w:sz w:val="26"/>
          <w:szCs w:val="26"/>
        </w:rPr>
        <w:t xml:space="preserve">the </w:t>
      </w:r>
      <w:r w:rsidRPr="006C5E6B">
        <w:rPr>
          <w:rFonts w:eastAsia="Times New Roman"/>
          <w:sz w:val="26"/>
          <w:szCs w:val="26"/>
        </w:rPr>
        <w:t xml:space="preserve">settlement process.  I&amp;E Statement in Support at </w:t>
      </w:r>
      <w:r w:rsidR="006C5E6B">
        <w:rPr>
          <w:rFonts w:eastAsia="Times New Roman"/>
          <w:sz w:val="26"/>
          <w:szCs w:val="26"/>
        </w:rPr>
        <w:t>10</w:t>
      </w:r>
      <w:r w:rsidRPr="006C5E6B">
        <w:rPr>
          <w:rFonts w:eastAsia="Times New Roman"/>
          <w:sz w:val="26"/>
          <w:szCs w:val="26"/>
        </w:rPr>
        <w:t>.  Therefore, we find this factor leans toward a lower penalty.</w:t>
      </w:r>
    </w:p>
    <w:p w14:paraId="2B2CB8A7" w14:textId="77777777" w:rsidR="0013143E" w:rsidRPr="0013143E" w:rsidRDefault="0013143E" w:rsidP="0013143E">
      <w:pPr>
        <w:spacing w:line="360" w:lineRule="auto"/>
        <w:ind w:firstLine="1440"/>
        <w:contextualSpacing/>
        <w:rPr>
          <w:rFonts w:eastAsia="Times New Roman"/>
          <w:sz w:val="26"/>
          <w:szCs w:val="26"/>
          <w:highlight w:val="yellow"/>
        </w:rPr>
      </w:pPr>
    </w:p>
    <w:p w14:paraId="6DB4AD44" w14:textId="4492938C" w:rsidR="0013143E" w:rsidRDefault="0013143E" w:rsidP="0013143E">
      <w:pPr>
        <w:spacing w:line="360" w:lineRule="auto"/>
        <w:ind w:firstLine="1440"/>
        <w:contextualSpacing/>
        <w:rPr>
          <w:rFonts w:eastAsia="Times New Roman"/>
          <w:sz w:val="26"/>
          <w:szCs w:val="26"/>
        </w:rPr>
      </w:pPr>
      <w:r w:rsidRPr="00D566BE">
        <w:rPr>
          <w:rFonts w:eastAsia="Times New Roman"/>
          <w:sz w:val="26"/>
          <w:szCs w:val="26"/>
        </w:rPr>
        <w:t xml:space="preserve">In addition, we may consider the amount of the civil penalty or fine necessary to deter future violations, as well as past Commission decisions in similar situations.  52 Pa. Code §§ 69.1201(c)(8) and (c)(9).  </w:t>
      </w:r>
      <w:r w:rsidRPr="00A039C0">
        <w:rPr>
          <w:rFonts w:eastAsia="Times New Roman"/>
          <w:sz w:val="26"/>
          <w:szCs w:val="26"/>
        </w:rPr>
        <w:t xml:space="preserve">I&amp;E submitted that the </w:t>
      </w:r>
      <w:r w:rsidR="00433099" w:rsidRPr="00A039C0">
        <w:rPr>
          <w:rFonts w:eastAsia="Times New Roman"/>
          <w:sz w:val="26"/>
          <w:szCs w:val="26"/>
        </w:rPr>
        <w:t xml:space="preserve">civil penalty amount, </w:t>
      </w:r>
      <w:r w:rsidR="00433099" w:rsidRPr="00BB11DB">
        <w:rPr>
          <w:rFonts w:eastAsia="Times New Roman"/>
          <w:sz w:val="26"/>
          <w:szCs w:val="26"/>
        </w:rPr>
        <w:t>which is not tax deductible, is</w:t>
      </w:r>
      <w:r w:rsidRPr="00BB11DB">
        <w:rPr>
          <w:rFonts w:eastAsia="Times New Roman"/>
          <w:sz w:val="26"/>
          <w:szCs w:val="26"/>
        </w:rPr>
        <w:t xml:space="preserve"> substantial and sufficient to deter </w:t>
      </w:r>
      <w:r w:rsidR="00A7681D" w:rsidRPr="00BB11DB">
        <w:rPr>
          <w:rFonts w:eastAsia="Times New Roman"/>
          <w:sz w:val="26"/>
          <w:szCs w:val="26"/>
        </w:rPr>
        <w:t>Discount</w:t>
      </w:r>
      <w:r w:rsidR="00433099" w:rsidRPr="00BB11DB">
        <w:rPr>
          <w:rFonts w:eastAsia="Times New Roman"/>
          <w:sz w:val="26"/>
          <w:szCs w:val="26"/>
        </w:rPr>
        <w:t xml:space="preserve"> </w:t>
      </w:r>
      <w:r w:rsidRPr="00BB11DB">
        <w:rPr>
          <w:rFonts w:eastAsia="Times New Roman"/>
          <w:sz w:val="26"/>
          <w:szCs w:val="26"/>
        </w:rPr>
        <w:t>from committing future violations.  I&amp;E Statement in Support at</w:t>
      </w:r>
      <w:r w:rsidR="00A039C0" w:rsidRPr="00BB11DB">
        <w:rPr>
          <w:rFonts w:eastAsia="Times New Roman"/>
          <w:sz w:val="26"/>
          <w:szCs w:val="26"/>
        </w:rPr>
        <w:t xml:space="preserve"> </w:t>
      </w:r>
      <w:r w:rsidR="00BB11DB" w:rsidRPr="00BB11DB">
        <w:rPr>
          <w:rFonts w:eastAsia="Times New Roman"/>
          <w:sz w:val="26"/>
          <w:szCs w:val="26"/>
        </w:rPr>
        <w:t>10</w:t>
      </w:r>
      <w:r w:rsidRPr="00BB11DB">
        <w:rPr>
          <w:rFonts w:eastAsia="Times New Roman"/>
          <w:sz w:val="26"/>
          <w:szCs w:val="26"/>
        </w:rPr>
        <w:t xml:space="preserve">.  </w:t>
      </w:r>
      <w:r w:rsidR="00A7681D" w:rsidRPr="00BB11DB">
        <w:rPr>
          <w:rFonts w:eastAsia="Times New Roman"/>
          <w:sz w:val="26"/>
          <w:szCs w:val="26"/>
        </w:rPr>
        <w:t>Discount</w:t>
      </w:r>
      <w:r w:rsidR="00362C49">
        <w:rPr>
          <w:rFonts w:eastAsia="Times New Roman"/>
          <w:sz w:val="26"/>
          <w:szCs w:val="26"/>
        </w:rPr>
        <w:t xml:space="preserve"> referend </w:t>
      </w:r>
      <w:r w:rsidR="00362C49" w:rsidRPr="004662BE">
        <w:rPr>
          <w:rFonts w:eastAsia="Times New Roman"/>
          <w:i/>
          <w:iCs/>
          <w:sz w:val="26"/>
          <w:szCs w:val="26"/>
        </w:rPr>
        <w:t>Pa.</w:t>
      </w:r>
      <w:r w:rsidR="00B60B93">
        <w:rPr>
          <w:rFonts w:eastAsia="Times New Roman"/>
          <w:i/>
          <w:iCs/>
          <w:sz w:val="26"/>
          <w:szCs w:val="26"/>
        </w:rPr>
        <w:t> </w:t>
      </w:r>
      <w:r w:rsidR="00362C49" w:rsidRPr="004662BE">
        <w:rPr>
          <w:rFonts w:eastAsia="Times New Roman"/>
          <w:i/>
          <w:iCs/>
          <w:sz w:val="26"/>
          <w:szCs w:val="26"/>
        </w:rPr>
        <w:t xml:space="preserve">PUC, Bureau of Investigation and </w:t>
      </w:r>
      <w:r w:rsidR="004662BE" w:rsidRPr="004662BE">
        <w:rPr>
          <w:rFonts w:eastAsia="Times New Roman"/>
          <w:i/>
          <w:iCs/>
          <w:sz w:val="26"/>
          <w:szCs w:val="26"/>
        </w:rPr>
        <w:t>Enforcement</w:t>
      </w:r>
      <w:r w:rsidR="00362C49" w:rsidRPr="004662BE">
        <w:rPr>
          <w:rFonts w:eastAsia="Times New Roman"/>
          <w:i/>
          <w:iCs/>
          <w:sz w:val="26"/>
          <w:szCs w:val="26"/>
        </w:rPr>
        <w:t xml:space="preserve"> v. American Power &amp; Gas of </w:t>
      </w:r>
      <w:r w:rsidR="004662BE" w:rsidRPr="004662BE">
        <w:rPr>
          <w:rFonts w:eastAsia="Times New Roman"/>
          <w:i/>
          <w:iCs/>
          <w:sz w:val="26"/>
          <w:szCs w:val="26"/>
        </w:rPr>
        <w:lastRenderedPageBreak/>
        <w:t>Pennsylvania, LLC</w:t>
      </w:r>
      <w:r w:rsidR="004662BE">
        <w:rPr>
          <w:rFonts w:eastAsia="Times New Roman"/>
          <w:sz w:val="26"/>
          <w:szCs w:val="26"/>
        </w:rPr>
        <w:t xml:space="preserve">, Docket No. M-2017-2508002 (Order entered June 14, 2018) to </w:t>
      </w:r>
      <w:r w:rsidR="004662BE" w:rsidRPr="009302AD">
        <w:rPr>
          <w:rFonts w:eastAsia="Times New Roman"/>
          <w:sz w:val="26"/>
          <w:szCs w:val="26"/>
        </w:rPr>
        <w:t>submit</w:t>
      </w:r>
      <w:r w:rsidRPr="009302AD">
        <w:rPr>
          <w:rFonts w:eastAsia="Times New Roman"/>
          <w:sz w:val="26"/>
          <w:szCs w:val="26"/>
        </w:rPr>
        <w:t xml:space="preserve"> </w:t>
      </w:r>
      <w:r w:rsidR="004E4280" w:rsidRPr="009302AD">
        <w:rPr>
          <w:rFonts w:eastAsia="Times New Roman"/>
          <w:sz w:val="26"/>
          <w:szCs w:val="26"/>
        </w:rPr>
        <w:t xml:space="preserve">that </w:t>
      </w:r>
      <w:r w:rsidRPr="009302AD">
        <w:rPr>
          <w:rFonts w:eastAsia="Times New Roman"/>
          <w:sz w:val="26"/>
          <w:szCs w:val="26"/>
        </w:rPr>
        <w:t>the</w:t>
      </w:r>
      <w:r w:rsidR="004C7F3A" w:rsidRPr="009302AD">
        <w:rPr>
          <w:rFonts w:eastAsia="Times New Roman"/>
          <w:sz w:val="26"/>
          <w:szCs w:val="26"/>
        </w:rPr>
        <w:t xml:space="preserve"> civil penalty amount </w:t>
      </w:r>
      <w:r w:rsidR="00914F82" w:rsidRPr="009302AD">
        <w:rPr>
          <w:rFonts w:eastAsia="Times New Roman"/>
          <w:sz w:val="26"/>
          <w:szCs w:val="26"/>
        </w:rPr>
        <w:t xml:space="preserve">is consistent with </w:t>
      </w:r>
      <w:r w:rsidR="009302AD">
        <w:rPr>
          <w:rFonts w:eastAsia="Times New Roman"/>
          <w:sz w:val="26"/>
          <w:szCs w:val="26"/>
        </w:rPr>
        <w:t>fines previously approved by the Commission</w:t>
      </w:r>
      <w:r w:rsidR="002D1513" w:rsidRPr="00F5306F">
        <w:rPr>
          <w:rFonts w:eastAsia="Times New Roman"/>
          <w:sz w:val="26"/>
          <w:szCs w:val="26"/>
        </w:rPr>
        <w:t>.</w:t>
      </w:r>
      <w:r w:rsidRPr="00F5306F">
        <w:rPr>
          <w:rFonts w:eastAsia="Times New Roman"/>
          <w:sz w:val="26"/>
          <w:szCs w:val="26"/>
        </w:rPr>
        <w:t xml:space="preserve"> </w:t>
      </w:r>
      <w:r w:rsidR="002D1513" w:rsidRPr="00F5306F">
        <w:rPr>
          <w:rFonts w:eastAsia="Times New Roman"/>
          <w:sz w:val="26"/>
          <w:szCs w:val="26"/>
        </w:rPr>
        <w:t xml:space="preserve"> </w:t>
      </w:r>
      <w:r w:rsidR="00A7681D" w:rsidRPr="00F5306F">
        <w:rPr>
          <w:rFonts w:eastAsia="Times New Roman"/>
          <w:sz w:val="26"/>
          <w:szCs w:val="26"/>
        </w:rPr>
        <w:t>D</w:t>
      </w:r>
      <w:r w:rsidR="00B60B93">
        <w:rPr>
          <w:rFonts w:eastAsia="Times New Roman"/>
          <w:sz w:val="26"/>
          <w:szCs w:val="26"/>
        </w:rPr>
        <w:t>PI</w:t>
      </w:r>
      <w:r w:rsidRPr="00F5306F">
        <w:rPr>
          <w:rFonts w:eastAsia="Times New Roman"/>
          <w:sz w:val="26"/>
          <w:szCs w:val="26"/>
        </w:rPr>
        <w:t xml:space="preserve"> Statement in Support at </w:t>
      </w:r>
      <w:r w:rsidR="009302AD" w:rsidRPr="00F5306F">
        <w:rPr>
          <w:rFonts w:eastAsia="Times New Roman"/>
          <w:sz w:val="26"/>
          <w:szCs w:val="26"/>
        </w:rPr>
        <w:t>6-7</w:t>
      </w:r>
      <w:r w:rsidRPr="00F5306F">
        <w:rPr>
          <w:rFonts w:eastAsia="Times New Roman"/>
          <w:sz w:val="26"/>
          <w:szCs w:val="26"/>
        </w:rPr>
        <w:t xml:space="preserve">.  Regarding past Commission decisions, I&amp;E submitted that </w:t>
      </w:r>
      <w:r w:rsidR="0045019C" w:rsidRPr="00F5306F">
        <w:rPr>
          <w:rFonts w:eastAsia="Times New Roman"/>
          <w:sz w:val="26"/>
          <w:szCs w:val="26"/>
        </w:rPr>
        <w:t xml:space="preserve">there are no past Commission decisions that are identical to the instant </w:t>
      </w:r>
      <w:r w:rsidR="007E2CB9" w:rsidRPr="00F5306F">
        <w:rPr>
          <w:rFonts w:eastAsia="Times New Roman"/>
          <w:sz w:val="26"/>
          <w:szCs w:val="26"/>
        </w:rPr>
        <w:t xml:space="preserve">matter.  However, I&amp;E </w:t>
      </w:r>
      <w:r w:rsidR="001D3C13" w:rsidRPr="00F5306F">
        <w:rPr>
          <w:rFonts w:eastAsia="Times New Roman"/>
          <w:sz w:val="26"/>
          <w:szCs w:val="26"/>
        </w:rPr>
        <w:t xml:space="preserve">referenced </w:t>
      </w:r>
      <w:r w:rsidR="007E2CB9" w:rsidRPr="00253FD6">
        <w:rPr>
          <w:rFonts w:eastAsia="Times New Roman"/>
          <w:sz w:val="26"/>
          <w:szCs w:val="26"/>
        </w:rPr>
        <w:t xml:space="preserve">several prior </w:t>
      </w:r>
      <w:r w:rsidR="00DA3F48" w:rsidRPr="00253FD6">
        <w:rPr>
          <w:rFonts w:eastAsia="Times New Roman"/>
          <w:sz w:val="26"/>
          <w:szCs w:val="26"/>
        </w:rPr>
        <w:t xml:space="preserve">Commission decisions which provide guidance </w:t>
      </w:r>
      <w:r w:rsidR="00485013" w:rsidRPr="00253FD6">
        <w:rPr>
          <w:rFonts w:eastAsia="Times New Roman"/>
          <w:sz w:val="26"/>
          <w:szCs w:val="26"/>
        </w:rPr>
        <w:t>on</w:t>
      </w:r>
      <w:r w:rsidR="00DA3F48" w:rsidRPr="00253FD6">
        <w:rPr>
          <w:rFonts w:eastAsia="Times New Roman"/>
          <w:sz w:val="26"/>
          <w:szCs w:val="26"/>
        </w:rPr>
        <w:t xml:space="preserve"> how the Commission </w:t>
      </w:r>
      <w:r w:rsidR="00E03BA2" w:rsidRPr="00253FD6">
        <w:rPr>
          <w:rFonts w:eastAsia="Times New Roman"/>
          <w:sz w:val="26"/>
          <w:szCs w:val="26"/>
        </w:rPr>
        <w:t xml:space="preserve">has </w:t>
      </w:r>
      <w:r w:rsidR="00485013" w:rsidRPr="00253FD6">
        <w:rPr>
          <w:rFonts w:eastAsia="Times New Roman"/>
          <w:sz w:val="26"/>
          <w:szCs w:val="26"/>
        </w:rPr>
        <w:t xml:space="preserve">regarded </w:t>
      </w:r>
      <w:r w:rsidR="005766F0" w:rsidRPr="00253FD6">
        <w:rPr>
          <w:rFonts w:eastAsia="Times New Roman"/>
          <w:sz w:val="26"/>
          <w:szCs w:val="26"/>
        </w:rPr>
        <w:t>prior settlement agreements with</w:t>
      </w:r>
      <w:r w:rsidR="00D05BAC" w:rsidRPr="00253FD6">
        <w:rPr>
          <w:rFonts w:eastAsia="Times New Roman"/>
          <w:sz w:val="26"/>
          <w:szCs w:val="26"/>
        </w:rPr>
        <w:t xml:space="preserve"> similar</w:t>
      </w:r>
      <w:r w:rsidR="005766F0" w:rsidRPr="00253FD6">
        <w:rPr>
          <w:rFonts w:eastAsia="Times New Roman"/>
          <w:sz w:val="26"/>
          <w:szCs w:val="26"/>
        </w:rPr>
        <w:t xml:space="preserve"> deceptive and misleading conduct.</w:t>
      </w:r>
      <w:r w:rsidRPr="00253FD6">
        <w:rPr>
          <w:rFonts w:eastAsia="Times New Roman"/>
          <w:sz w:val="26"/>
          <w:szCs w:val="26"/>
          <w:vertAlign w:val="superscript"/>
        </w:rPr>
        <w:footnoteReference w:id="13"/>
      </w:r>
      <w:r w:rsidRPr="00253FD6">
        <w:rPr>
          <w:rFonts w:eastAsia="Times New Roman"/>
          <w:sz w:val="26"/>
          <w:szCs w:val="26"/>
        </w:rPr>
        <w:t xml:space="preserve">  </w:t>
      </w:r>
      <w:r w:rsidRPr="00253FD6">
        <w:rPr>
          <w:rFonts w:eastAsia="Times New Roman"/>
          <w:color w:val="000000"/>
          <w:sz w:val="26"/>
          <w:szCs w:val="20"/>
        </w:rPr>
        <w:t xml:space="preserve">I&amp;E Statement in Support at </w:t>
      </w:r>
      <w:r w:rsidR="00F5306F" w:rsidRPr="00253FD6">
        <w:rPr>
          <w:rFonts w:eastAsia="Times New Roman"/>
          <w:color w:val="000000"/>
          <w:sz w:val="26"/>
          <w:szCs w:val="20"/>
        </w:rPr>
        <w:t>10-11</w:t>
      </w:r>
      <w:r w:rsidRPr="00253FD6">
        <w:rPr>
          <w:rFonts w:eastAsia="Times New Roman"/>
          <w:color w:val="000000"/>
          <w:sz w:val="26"/>
          <w:szCs w:val="20"/>
        </w:rPr>
        <w:t xml:space="preserve">.  </w:t>
      </w:r>
      <w:r w:rsidRPr="00350B35">
        <w:rPr>
          <w:rFonts w:eastAsia="Times New Roman"/>
          <w:sz w:val="26"/>
          <w:szCs w:val="26"/>
        </w:rPr>
        <w:t>Considering the terms of the Settlement, we agree and find that the proposed civil penalty will help deter future violations and presents a fair and reasonable outcome.</w:t>
      </w:r>
    </w:p>
    <w:p w14:paraId="46334A29" w14:textId="77777777" w:rsidR="00B60B93" w:rsidRDefault="00B60B93" w:rsidP="0013143E">
      <w:pPr>
        <w:spacing w:line="360" w:lineRule="auto"/>
        <w:ind w:firstLine="1440"/>
        <w:contextualSpacing/>
        <w:rPr>
          <w:rFonts w:eastAsia="Times New Roman"/>
          <w:sz w:val="26"/>
          <w:szCs w:val="26"/>
        </w:rPr>
      </w:pPr>
    </w:p>
    <w:p w14:paraId="46838BBA" w14:textId="3C18BEFA" w:rsidR="00241ECA" w:rsidRPr="00563A73" w:rsidRDefault="0013143E" w:rsidP="00563A73">
      <w:pPr>
        <w:spacing w:line="360" w:lineRule="auto"/>
        <w:ind w:firstLine="1440"/>
        <w:contextualSpacing/>
        <w:rPr>
          <w:sz w:val="26"/>
          <w:szCs w:val="26"/>
        </w:rPr>
      </w:pPr>
      <w:r w:rsidRPr="00563A73">
        <w:rPr>
          <w:rFonts w:eastAsia="Times New Roman"/>
          <w:sz w:val="26"/>
          <w:szCs w:val="26"/>
        </w:rPr>
        <w:t>The tenth factor to consider is other “relevant factors.”  52 Pa. Code § 69.1201(c)(10).</w:t>
      </w:r>
      <w:r w:rsidR="00241ECA" w:rsidRPr="00563A73">
        <w:rPr>
          <w:rFonts w:eastAsia="Times New Roman"/>
          <w:sz w:val="26"/>
          <w:szCs w:val="26"/>
        </w:rPr>
        <w:t xml:space="preserve">  Relevant to our consideration of the Settlement, we note that</w:t>
      </w:r>
      <w:r w:rsidR="006954A4">
        <w:rPr>
          <w:rFonts w:eastAsia="Times New Roman"/>
          <w:sz w:val="26"/>
          <w:szCs w:val="26"/>
        </w:rPr>
        <w:t xml:space="preserve"> among other terms,</w:t>
      </w:r>
      <w:r w:rsidR="00241ECA" w:rsidRPr="00563A73">
        <w:rPr>
          <w:rFonts w:eastAsia="Times New Roman"/>
          <w:sz w:val="26"/>
          <w:szCs w:val="26"/>
        </w:rPr>
        <w:t xml:space="preserve"> the </w:t>
      </w:r>
      <w:r w:rsidR="00EA10E2" w:rsidRPr="00563A73">
        <w:rPr>
          <w:rFonts w:eastAsia="Times New Roman"/>
          <w:sz w:val="26"/>
          <w:szCs w:val="26"/>
        </w:rPr>
        <w:t>P</w:t>
      </w:r>
      <w:r w:rsidR="00241ECA" w:rsidRPr="00563A73">
        <w:rPr>
          <w:rFonts w:eastAsia="Times New Roman"/>
          <w:sz w:val="26"/>
          <w:szCs w:val="26"/>
        </w:rPr>
        <w:t>arties have agreed to</w:t>
      </w:r>
      <w:r w:rsidR="002A22BC" w:rsidRPr="00563A73">
        <w:rPr>
          <w:rFonts w:eastAsia="Times New Roman"/>
          <w:sz w:val="26"/>
          <w:szCs w:val="26"/>
        </w:rPr>
        <w:t xml:space="preserve"> the following</w:t>
      </w:r>
      <w:r w:rsidR="00241ECA" w:rsidRPr="00563A73">
        <w:rPr>
          <w:rFonts w:eastAsia="Times New Roman"/>
          <w:sz w:val="26"/>
          <w:szCs w:val="26"/>
        </w:rPr>
        <w:t xml:space="preserve"> condition:</w:t>
      </w:r>
      <w:r w:rsidR="009F5791" w:rsidRPr="00563A73">
        <w:rPr>
          <w:rFonts w:eastAsia="Times New Roman"/>
          <w:sz w:val="26"/>
          <w:szCs w:val="26"/>
        </w:rPr>
        <w:t xml:space="preserve"> </w:t>
      </w:r>
      <w:r w:rsidR="002A22BC" w:rsidRPr="00D22060">
        <w:rPr>
          <w:rFonts w:eastAsia="Times New Roman"/>
          <w:sz w:val="26"/>
          <w:szCs w:val="26"/>
        </w:rPr>
        <w:t xml:space="preserve">that, </w:t>
      </w:r>
      <w:r w:rsidR="00241ECA" w:rsidRPr="00563A73">
        <w:rPr>
          <w:color w:val="000000" w:themeColor="text1"/>
          <w:sz w:val="26"/>
          <w:szCs w:val="26"/>
        </w:rPr>
        <w:t>within six (6) months of the date that this Opinion and Order becomes final, Discount shall</w:t>
      </w:r>
      <w:r w:rsidR="00241ECA" w:rsidRPr="00563A73">
        <w:rPr>
          <w:sz w:val="26"/>
          <w:szCs w:val="26"/>
        </w:rPr>
        <w:t xml:space="preserve"> file a letter with the Commission stating its compliance with the remedial measures described in Paragraph No. 47 of the Settlement between </w:t>
      </w:r>
      <w:r w:rsidR="00A56F81" w:rsidRPr="00563A73">
        <w:rPr>
          <w:sz w:val="26"/>
          <w:szCs w:val="26"/>
        </w:rPr>
        <w:t xml:space="preserve">the Company and </w:t>
      </w:r>
      <w:r w:rsidR="00241ECA" w:rsidRPr="00563A73">
        <w:rPr>
          <w:sz w:val="26"/>
          <w:szCs w:val="26"/>
        </w:rPr>
        <w:t>I&amp;E.</w:t>
      </w:r>
      <w:r w:rsidR="00563A73" w:rsidRPr="00563A73">
        <w:rPr>
          <w:sz w:val="26"/>
          <w:szCs w:val="26"/>
        </w:rPr>
        <w:t xml:space="preserve">  </w:t>
      </w:r>
      <w:r w:rsidR="00784A92">
        <w:rPr>
          <w:sz w:val="26"/>
          <w:szCs w:val="26"/>
        </w:rPr>
        <w:t xml:space="preserve">Settlement at ¶ 48.  </w:t>
      </w:r>
      <w:r w:rsidR="00947C34" w:rsidRPr="00563A73">
        <w:rPr>
          <w:sz w:val="26"/>
          <w:szCs w:val="26"/>
        </w:rPr>
        <w:t xml:space="preserve">We weigh the Company’s voluntary compliance as a relevant factor in favor of our adoption of the Settlement.  </w:t>
      </w:r>
      <w:r w:rsidR="00241ECA" w:rsidRPr="00563A73">
        <w:rPr>
          <w:sz w:val="26"/>
          <w:szCs w:val="26"/>
        </w:rPr>
        <w:t xml:space="preserve">Our decision to adopt the proposed Settlement is made in </w:t>
      </w:r>
      <w:r w:rsidR="00241ECA" w:rsidRPr="00563A73">
        <w:rPr>
          <w:sz w:val="26"/>
          <w:szCs w:val="26"/>
        </w:rPr>
        <w:lastRenderedPageBreak/>
        <w:t xml:space="preserve">view </w:t>
      </w:r>
      <w:r w:rsidR="00F118C7" w:rsidRPr="00563A73">
        <w:rPr>
          <w:sz w:val="26"/>
          <w:szCs w:val="26"/>
        </w:rPr>
        <w:t>o</w:t>
      </w:r>
      <w:r w:rsidR="00241ECA" w:rsidRPr="00563A73">
        <w:rPr>
          <w:sz w:val="26"/>
          <w:szCs w:val="26"/>
        </w:rPr>
        <w:t xml:space="preserve">f the Company’s voluntary agreement to </w:t>
      </w:r>
      <w:r w:rsidR="00131019" w:rsidRPr="00563A73">
        <w:rPr>
          <w:sz w:val="26"/>
          <w:szCs w:val="26"/>
        </w:rPr>
        <w:t xml:space="preserve">both </w:t>
      </w:r>
      <w:r w:rsidR="00241ECA" w:rsidRPr="00563A73">
        <w:rPr>
          <w:sz w:val="26"/>
          <w:szCs w:val="26"/>
        </w:rPr>
        <w:t xml:space="preserve">rectify its conduct </w:t>
      </w:r>
      <w:r w:rsidR="00131019" w:rsidRPr="00563A73">
        <w:rPr>
          <w:sz w:val="26"/>
          <w:szCs w:val="26"/>
        </w:rPr>
        <w:t xml:space="preserve">and </w:t>
      </w:r>
      <w:r w:rsidR="00241ECA" w:rsidRPr="00563A73">
        <w:rPr>
          <w:sz w:val="26"/>
          <w:szCs w:val="26"/>
        </w:rPr>
        <w:t>report on its compliance with the terms of the Settlement</w:t>
      </w:r>
      <w:r w:rsidR="00131019" w:rsidRPr="00563A73">
        <w:rPr>
          <w:sz w:val="26"/>
          <w:szCs w:val="26"/>
        </w:rPr>
        <w:t xml:space="preserve"> within the time period proscribed.</w:t>
      </w:r>
      <w:r w:rsidR="00241ECA" w:rsidRPr="00563A73">
        <w:rPr>
          <w:sz w:val="26"/>
          <w:szCs w:val="26"/>
        </w:rPr>
        <w:t xml:space="preserve">  We </w:t>
      </w:r>
      <w:r w:rsidR="00D150EE">
        <w:rPr>
          <w:sz w:val="26"/>
          <w:szCs w:val="26"/>
        </w:rPr>
        <w:t>note that if the</w:t>
      </w:r>
      <w:r w:rsidR="00241ECA" w:rsidRPr="00563A73">
        <w:rPr>
          <w:sz w:val="26"/>
          <w:szCs w:val="26"/>
        </w:rPr>
        <w:t xml:space="preserve"> Company </w:t>
      </w:r>
      <w:r w:rsidR="00D150EE">
        <w:rPr>
          <w:sz w:val="26"/>
          <w:szCs w:val="26"/>
        </w:rPr>
        <w:t>fails</w:t>
      </w:r>
      <w:r w:rsidR="00241ECA" w:rsidRPr="00563A73">
        <w:rPr>
          <w:sz w:val="26"/>
          <w:szCs w:val="26"/>
        </w:rPr>
        <w:t xml:space="preserve"> to</w:t>
      </w:r>
      <w:r w:rsidR="00131019" w:rsidRPr="00563A73">
        <w:rPr>
          <w:sz w:val="26"/>
          <w:szCs w:val="26"/>
        </w:rPr>
        <w:t xml:space="preserve"> comply with the express terms of the Settlement, including the voluntary reporting of compliance</w:t>
      </w:r>
      <w:r w:rsidR="00511EF4" w:rsidRPr="00563A73">
        <w:rPr>
          <w:sz w:val="26"/>
          <w:szCs w:val="26"/>
        </w:rPr>
        <w:t xml:space="preserve">, </w:t>
      </w:r>
      <w:r w:rsidR="00E3495E">
        <w:rPr>
          <w:sz w:val="26"/>
          <w:szCs w:val="26"/>
        </w:rPr>
        <w:t xml:space="preserve">such failure </w:t>
      </w:r>
      <w:r w:rsidR="00131019" w:rsidRPr="00563A73">
        <w:rPr>
          <w:sz w:val="26"/>
          <w:szCs w:val="26"/>
        </w:rPr>
        <w:t>will be viewed</w:t>
      </w:r>
      <w:r w:rsidR="00511EF4" w:rsidRPr="00563A73">
        <w:rPr>
          <w:sz w:val="26"/>
          <w:szCs w:val="26"/>
        </w:rPr>
        <w:t xml:space="preserve"> as egregious conduct</w:t>
      </w:r>
      <w:r w:rsidR="006B3748" w:rsidRPr="00563A73">
        <w:rPr>
          <w:sz w:val="26"/>
          <w:szCs w:val="26"/>
        </w:rPr>
        <w:t xml:space="preserve"> </w:t>
      </w:r>
      <w:r w:rsidR="00511EF4" w:rsidRPr="00563A73">
        <w:rPr>
          <w:sz w:val="26"/>
          <w:szCs w:val="26"/>
        </w:rPr>
        <w:t>warrant</w:t>
      </w:r>
      <w:r w:rsidR="0048560A">
        <w:rPr>
          <w:sz w:val="26"/>
          <w:szCs w:val="26"/>
        </w:rPr>
        <w:t xml:space="preserve">ing </w:t>
      </w:r>
      <w:r w:rsidR="00511EF4" w:rsidRPr="00563A73">
        <w:rPr>
          <w:sz w:val="26"/>
          <w:szCs w:val="26"/>
        </w:rPr>
        <w:t>enforcement</w:t>
      </w:r>
      <w:r w:rsidR="0087238F" w:rsidRPr="00563A73">
        <w:rPr>
          <w:sz w:val="26"/>
          <w:szCs w:val="26"/>
        </w:rPr>
        <w:t xml:space="preserve"> action</w:t>
      </w:r>
      <w:r w:rsidR="00511EF4" w:rsidRPr="00563A73">
        <w:rPr>
          <w:sz w:val="26"/>
          <w:szCs w:val="26"/>
        </w:rPr>
        <w:t xml:space="preserve">.  </w:t>
      </w:r>
    </w:p>
    <w:p w14:paraId="5569E3F0" w14:textId="3020632D" w:rsidR="00241ECA" w:rsidRDefault="0013143E" w:rsidP="00511EF4">
      <w:pPr>
        <w:spacing w:line="360" w:lineRule="auto"/>
        <w:ind w:firstLine="1440"/>
        <w:contextualSpacing/>
        <w:rPr>
          <w:rFonts w:eastAsia="Times New Roman"/>
          <w:sz w:val="26"/>
          <w:szCs w:val="26"/>
        </w:rPr>
      </w:pPr>
      <w:r w:rsidRPr="00E67726">
        <w:rPr>
          <w:rFonts w:eastAsia="Times New Roman"/>
          <w:sz w:val="26"/>
          <w:szCs w:val="26"/>
        </w:rPr>
        <w:t xml:space="preserve"> </w:t>
      </w:r>
    </w:p>
    <w:p w14:paraId="4767F84C" w14:textId="7E3F5CBE" w:rsidR="0013143E" w:rsidRPr="00E67726" w:rsidRDefault="00241ECA" w:rsidP="0013143E">
      <w:pPr>
        <w:spacing w:line="360" w:lineRule="auto"/>
        <w:ind w:firstLine="1440"/>
        <w:contextualSpacing/>
        <w:rPr>
          <w:rFonts w:eastAsia="Times New Roman"/>
          <w:sz w:val="26"/>
          <w:szCs w:val="26"/>
        </w:rPr>
      </w:pPr>
      <w:r>
        <w:rPr>
          <w:rFonts w:eastAsia="Times New Roman"/>
          <w:sz w:val="26"/>
          <w:szCs w:val="26"/>
        </w:rPr>
        <w:t xml:space="preserve">Finally, as asserted by the </w:t>
      </w:r>
      <w:r w:rsidR="00722DE0">
        <w:rPr>
          <w:rFonts w:eastAsia="Times New Roman"/>
          <w:sz w:val="26"/>
          <w:szCs w:val="26"/>
        </w:rPr>
        <w:t>P</w:t>
      </w:r>
      <w:r>
        <w:rPr>
          <w:rFonts w:eastAsia="Times New Roman"/>
          <w:sz w:val="26"/>
          <w:szCs w:val="26"/>
        </w:rPr>
        <w:t>arties, w</w:t>
      </w:r>
      <w:r w:rsidR="0013143E" w:rsidRPr="00E67726">
        <w:rPr>
          <w:rFonts w:eastAsia="Times New Roman"/>
          <w:sz w:val="26"/>
          <w:szCs w:val="26"/>
        </w:rPr>
        <w:t xml:space="preserve">e </w:t>
      </w:r>
      <w:r w:rsidR="00E72235">
        <w:rPr>
          <w:rFonts w:eastAsia="Times New Roman"/>
          <w:sz w:val="26"/>
          <w:szCs w:val="26"/>
        </w:rPr>
        <w:t xml:space="preserve">agree </w:t>
      </w:r>
      <w:r w:rsidR="0013143E" w:rsidRPr="00E67726">
        <w:rPr>
          <w:rFonts w:eastAsia="Times New Roman"/>
          <w:sz w:val="26"/>
          <w:szCs w:val="26"/>
        </w:rPr>
        <w:t>that it is in the public interest to settle this matter, so as to avoid the expense of litigation</w:t>
      </w:r>
      <w:r w:rsidR="00E72235">
        <w:rPr>
          <w:rFonts w:eastAsia="Times New Roman"/>
          <w:sz w:val="26"/>
          <w:szCs w:val="26"/>
        </w:rPr>
        <w:t xml:space="preserve">, and conserve administrative and judicial resources. </w:t>
      </w:r>
      <w:r w:rsidR="0013143E" w:rsidRPr="00E67726">
        <w:rPr>
          <w:rFonts w:eastAsia="Times New Roman"/>
          <w:sz w:val="26"/>
          <w:szCs w:val="26"/>
        </w:rPr>
        <w:t xml:space="preserve"> </w:t>
      </w:r>
    </w:p>
    <w:p w14:paraId="7AAD5957" w14:textId="77777777" w:rsidR="0013143E" w:rsidRPr="0013143E" w:rsidRDefault="0013143E" w:rsidP="0013143E">
      <w:pPr>
        <w:spacing w:line="360" w:lineRule="auto"/>
        <w:ind w:firstLine="1440"/>
        <w:contextualSpacing/>
        <w:rPr>
          <w:rFonts w:eastAsia="Times New Roman"/>
          <w:sz w:val="26"/>
          <w:szCs w:val="26"/>
          <w:highlight w:val="yellow"/>
        </w:rPr>
      </w:pPr>
    </w:p>
    <w:p w14:paraId="674967B9" w14:textId="0A0265FD" w:rsidR="0013143E" w:rsidRDefault="0013143E" w:rsidP="0013143E">
      <w:pPr>
        <w:spacing w:line="360" w:lineRule="auto"/>
        <w:ind w:firstLine="1440"/>
        <w:contextualSpacing/>
        <w:rPr>
          <w:rFonts w:eastAsia="Times New Roman"/>
          <w:sz w:val="26"/>
          <w:szCs w:val="26"/>
        </w:rPr>
      </w:pPr>
      <w:r w:rsidRPr="00080228">
        <w:rPr>
          <w:rFonts w:eastAsia="Times New Roman"/>
          <w:sz w:val="26"/>
          <w:szCs w:val="26"/>
        </w:rPr>
        <w:t xml:space="preserve">For the reasons set forth above, after reviewing the terms of the Settlement, </w:t>
      </w:r>
      <w:r w:rsidRPr="00245E28">
        <w:rPr>
          <w:rFonts w:eastAsia="Times New Roman"/>
          <w:sz w:val="26"/>
          <w:szCs w:val="26"/>
        </w:rPr>
        <w:t>we find that approval of the Settlement is in the public interest and is consistent with the terms of our Policy Statement and our past decisions.</w:t>
      </w:r>
    </w:p>
    <w:p w14:paraId="190F5129" w14:textId="77777777" w:rsidR="00D133C2" w:rsidRPr="0013143E" w:rsidRDefault="00D133C2" w:rsidP="0013143E">
      <w:pPr>
        <w:spacing w:line="360" w:lineRule="auto"/>
        <w:ind w:firstLine="1440"/>
        <w:contextualSpacing/>
        <w:rPr>
          <w:rFonts w:eastAsia="Times New Roman"/>
          <w:sz w:val="26"/>
          <w:szCs w:val="26"/>
        </w:rPr>
      </w:pPr>
    </w:p>
    <w:bookmarkEnd w:id="17"/>
    <w:p w14:paraId="4383C64A" w14:textId="77777777" w:rsidR="00EE10AD" w:rsidRPr="00E460CF" w:rsidRDefault="00EE10AD" w:rsidP="00E460CF">
      <w:pPr>
        <w:keepNext/>
        <w:keepLines/>
        <w:spacing w:line="360" w:lineRule="auto"/>
        <w:contextualSpacing/>
        <w:jc w:val="center"/>
        <w:rPr>
          <w:b/>
          <w:color w:val="000000" w:themeColor="text1"/>
          <w:sz w:val="26"/>
          <w:szCs w:val="26"/>
        </w:rPr>
      </w:pPr>
      <w:r w:rsidRPr="00E460CF">
        <w:rPr>
          <w:b/>
          <w:color w:val="000000" w:themeColor="text1"/>
          <w:sz w:val="26"/>
          <w:szCs w:val="26"/>
        </w:rPr>
        <w:t>Conclusion</w:t>
      </w:r>
    </w:p>
    <w:p w14:paraId="315AE937" w14:textId="77777777" w:rsidR="00EE10AD" w:rsidRPr="00E460CF" w:rsidRDefault="00EE10AD" w:rsidP="00E460CF">
      <w:pPr>
        <w:keepNext/>
        <w:keepLines/>
        <w:spacing w:line="360" w:lineRule="auto"/>
        <w:ind w:firstLine="1440"/>
        <w:contextualSpacing/>
        <w:rPr>
          <w:color w:val="000000" w:themeColor="text1"/>
          <w:sz w:val="26"/>
          <w:szCs w:val="26"/>
        </w:rPr>
      </w:pPr>
    </w:p>
    <w:p w14:paraId="07B19EC7" w14:textId="6490C8BA" w:rsidR="00EE10AD" w:rsidRPr="005A66C2" w:rsidRDefault="0013143E" w:rsidP="005A66C2">
      <w:pPr>
        <w:pStyle w:val="FootnoteText"/>
        <w:spacing w:line="360" w:lineRule="auto"/>
        <w:ind w:firstLine="1440"/>
        <w:contextualSpacing/>
        <w:rPr>
          <w:b/>
          <w:color w:val="000000" w:themeColor="text1"/>
          <w:sz w:val="26"/>
          <w:szCs w:val="26"/>
        </w:rPr>
      </w:pPr>
      <w:r w:rsidRPr="00C86952">
        <w:rPr>
          <w:sz w:val="26"/>
          <w:szCs w:val="26"/>
        </w:rPr>
        <w:t xml:space="preserve">It is the Commission’s policy to promote settlements.  52 Pa. Code § 5.231.  The Parties herein have provided the Commission with sufficient information upon which to thoroughly consider the terms of the proposed Settlement.  Based on our review of the record in this case, the Commission’s Regulations and policy statements, as well as the foregoing discussion, we find that the proposed Settlement between the Commission’s Bureau of Investigation and Enforcement and </w:t>
      </w:r>
      <w:r w:rsidR="00A7681D">
        <w:rPr>
          <w:sz w:val="26"/>
          <w:szCs w:val="26"/>
        </w:rPr>
        <w:t>Discount</w:t>
      </w:r>
      <w:r w:rsidR="00C86952" w:rsidRPr="00C86952">
        <w:rPr>
          <w:sz w:val="26"/>
          <w:szCs w:val="26"/>
        </w:rPr>
        <w:t xml:space="preserve"> </w:t>
      </w:r>
      <w:r w:rsidR="00B955E2">
        <w:rPr>
          <w:sz w:val="26"/>
          <w:szCs w:val="26"/>
        </w:rPr>
        <w:t>Power,</w:t>
      </w:r>
      <w:r w:rsidR="00C86952" w:rsidRPr="00C86952">
        <w:rPr>
          <w:sz w:val="26"/>
          <w:szCs w:val="26"/>
        </w:rPr>
        <w:t xml:space="preserve"> Inc.</w:t>
      </w:r>
      <w:r w:rsidRPr="00C86952">
        <w:rPr>
          <w:sz w:val="26"/>
          <w:szCs w:val="26"/>
        </w:rPr>
        <w:t xml:space="preserve"> is </w:t>
      </w:r>
      <w:r w:rsidRPr="00A07796">
        <w:rPr>
          <w:sz w:val="26"/>
          <w:szCs w:val="26"/>
        </w:rPr>
        <w:t xml:space="preserve">in the public interest and merits approval.  </w:t>
      </w:r>
      <w:r w:rsidR="00390921">
        <w:rPr>
          <w:sz w:val="26"/>
          <w:szCs w:val="26"/>
        </w:rPr>
        <w:t xml:space="preserve">Additionally, based on the foregoing discussion, we </w:t>
      </w:r>
      <w:r w:rsidR="006F6845">
        <w:rPr>
          <w:sz w:val="26"/>
          <w:szCs w:val="26"/>
        </w:rPr>
        <w:t xml:space="preserve">shall </w:t>
      </w:r>
      <w:r w:rsidR="00800241">
        <w:rPr>
          <w:sz w:val="26"/>
          <w:szCs w:val="26"/>
        </w:rPr>
        <w:t xml:space="preserve">deny </w:t>
      </w:r>
      <w:r w:rsidR="006F6845">
        <w:rPr>
          <w:sz w:val="26"/>
          <w:szCs w:val="26"/>
        </w:rPr>
        <w:t>Discount</w:t>
      </w:r>
      <w:r w:rsidR="00212CEB">
        <w:rPr>
          <w:sz w:val="26"/>
          <w:szCs w:val="26"/>
        </w:rPr>
        <w:t xml:space="preserve"> Power</w:t>
      </w:r>
      <w:r w:rsidR="005F6DA7">
        <w:rPr>
          <w:sz w:val="26"/>
          <w:szCs w:val="26"/>
        </w:rPr>
        <w:t>,</w:t>
      </w:r>
      <w:r w:rsidR="00212CEB">
        <w:rPr>
          <w:sz w:val="26"/>
          <w:szCs w:val="26"/>
        </w:rPr>
        <w:t xml:space="preserve"> Inc.</w:t>
      </w:r>
      <w:r w:rsidR="006F6845">
        <w:rPr>
          <w:sz w:val="26"/>
          <w:szCs w:val="26"/>
        </w:rPr>
        <w:t xml:space="preserve">’s Motions </w:t>
      </w:r>
      <w:r w:rsidR="00B955E2">
        <w:rPr>
          <w:sz w:val="26"/>
          <w:szCs w:val="26"/>
        </w:rPr>
        <w:t>to Strike</w:t>
      </w:r>
      <w:r w:rsidR="00212CEB">
        <w:rPr>
          <w:sz w:val="26"/>
          <w:szCs w:val="26"/>
        </w:rPr>
        <w:t xml:space="preserve"> the Comments of </w:t>
      </w:r>
      <w:r w:rsidR="00212CEB">
        <w:rPr>
          <w:sz w:val="26"/>
        </w:rPr>
        <w:t>PPL Electric Utilities Corporation and the Comments of Michael</w:t>
      </w:r>
      <w:r w:rsidR="00615A70">
        <w:rPr>
          <w:sz w:val="26"/>
        </w:rPr>
        <w:t> </w:t>
      </w:r>
      <w:r w:rsidR="00212CEB">
        <w:rPr>
          <w:sz w:val="26"/>
        </w:rPr>
        <w:t>Zimmerman.</w:t>
      </w:r>
      <w:r w:rsidR="00390921">
        <w:rPr>
          <w:sz w:val="26"/>
          <w:szCs w:val="26"/>
        </w:rPr>
        <w:t xml:space="preserve"> </w:t>
      </w:r>
      <w:r w:rsidR="00212CEB">
        <w:rPr>
          <w:sz w:val="26"/>
          <w:szCs w:val="26"/>
        </w:rPr>
        <w:t xml:space="preserve"> </w:t>
      </w:r>
      <w:r w:rsidRPr="00212CEB">
        <w:rPr>
          <w:sz w:val="26"/>
          <w:szCs w:val="26"/>
        </w:rPr>
        <w:t>Accordingly, we will approve the Settlement, consistent with this Opinion and Order</w:t>
      </w:r>
      <w:r w:rsidR="00B90712" w:rsidRPr="00212CEB">
        <w:rPr>
          <w:sz w:val="26"/>
          <w:szCs w:val="26"/>
        </w:rPr>
        <w:t>;</w:t>
      </w:r>
      <w:r w:rsidR="00EE10AD" w:rsidRPr="00212CEB">
        <w:rPr>
          <w:sz w:val="26"/>
          <w:szCs w:val="26"/>
        </w:rPr>
        <w:t xml:space="preserve"> </w:t>
      </w:r>
      <w:r w:rsidR="00EE10AD" w:rsidRPr="00212CEB">
        <w:rPr>
          <w:b/>
          <w:color w:val="000000" w:themeColor="text1"/>
          <w:sz w:val="26"/>
          <w:szCs w:val="26"/>
        </w:rPr>
        <w:t>T</w:t>
      </w:r>
      <w:r w:rsidR="00EE10AD" w:rsidRPr="005A66C2">
        <w:rPr>
          <w:b/>
          <w:color w:val="000000" w:themeColor="text1"/>
          <w:sz w:val="26"/>
          <w:szCs w:val="26"/>
        </w:rPr>
        <w:t>HEREFORE,</w:t>
      </w:r>
    </w:p>
    <w:p w14:paraId="4424E9D2" w14:textId="77777777" w:rsidR="00EE10AD" w:rsidRPr="00E460CF" w:rsidRDefault="00EE10AD" w:rsidP="00E460CF">
      <w:pPr>
        <w:spacing w:line="360" w:lineRule="auto"/>
        <w:ind w:firstLine="1440"/>
        <w:contextualSpacing/>
        <w:rPr>
          <w:b/>
          <w:color w:val="000000" w:themeColor="text1"/>
          <w:sz w:val="26"/>
          <w:szCs w:val="26"/>
        </w:rPr>
      </w:pPr>
    </w:p>
    <w:p w14:paraId="572AF99A" w14:textId="77777777" w:rsidR="00EE10AD" w:rsidRPr="00E460CF" w:rsidRDefault="00EE10AD" w:rsidP="00E460CF">
      <w:pPr>
        <w:keepNext/>
        <w:keepLines/>
        <w:spacing w:line="360" w:lineRule="auto"/>
        <w:ind w:firstLine="1440"/>
        <w:contextualSpacing/>
        <w:rPr>
          <w:b/>
          <w:color w:val="000000" w:themeColor="text1"/>
          <w:sz w:val="26"/>
          <w:szCs w:val="26"/>
        </w:rPr>
      </w:pPr>
      <w:r w:rsidRPr="00E460CF">
        <w:rPr>
          <w:b/>
          <w:color w:val="000000" w:themeColor="text1"/>
          <w:sz w:val="26"/>
          <w:szCs w:val="26"/>
        </w:rPr>
        <w:lastRenderedPageBreak/>
        <w:t>IT IS ORDERED:</w:t>
      </w:r>
    </w:p>
    <w:p w14:paraId="26B65A65" w14:textId="77777777" w:rsidR="00EE10AD" w:rsidRPr="00E460CF" w:rsidRDefault="00EE10AD" w:rsidP="00E460CF">
      <w:pPr>
        <w:keepNext/>
        <w:keepLines/>
        <w:spacing w:line="360" w:lineRule="auto"/>
        <w:ind w:firstLine="1440"/>
        <w:contextualSpacing/>
        <w:rPr>
          <w:b/>
          <w:color w:val="000000" w:themeColor="text1"/>
          <w:sz w:val="26"/>
          <w:szCs w:val="26"/>
        </w:rPr>
      </w:pPr>
    </w:p>
    <w:p w14:paraId="78066055" w14:textId="31086C78" w:rsidR="00464087" w:rsidRPr="004A7752" w:rsidRDefault="00464087" w:rsidP="00DD07F7">
      <w:pPr>
        <w:keepNext/>
        <w:keepLines/>
        <w:numPr>
          <w:ilvl w:val="0"/>
          <w:numId w:val="19"/>
        </w:numPr>
        <w:tabs>
          <w:tab w:val="clear" w:pos="2160"/>
          <w:tab w:val="num" w:pos="0"/>
        </w:tabs>
        <w:spacing w:line="360" w:lineRule="auto"/>
        <w:ind w:left="0" w:firstLine="1440"/>
        <w:contextualSpacing/>
        <w:rPr>
          <w:color w:val="000000" w:themeColor="text1"/>
          <w:sz w:val="26"/>
          <w:szCs w:val="26"/>
        </w:rPr>
      </w:pPr>
      <w:r w:rsidRPr="004A7752">
        <w:rPr>
          <w:color w:val="000000" w:themeColor="text1"/>
          <w:sz w:val="26"/>
          <w:szCs w:val="26"/>
        </w:rPr>
        <w:t xml:space="preserve">That the Motion to Strike PPL’s Comments, filed by Discount Power, Inc. </w:t>
      </w:r>
      <w:r w:rsidRPr="004A7752">
        <w:rPr>
          <w:sz w:val="26"/>
          <w:szCs w:val="26"/>
        </w:rPr>
        <w:t xml:space="preserve">(hereinafter referred to as “Discount”) on </w:t>
      </w:r>
      <w:r w:rsidR="001C1D86" w:rsidRPr="004A7752">
        <w:rPr>
          <w:sz w:val="26"/>
          <w:szCs w:val="26"/>
        </w:rPr>
        <w:t>December 20, 2021</w:t>
      </w:r>
      <w:r w:rsidR="00B8158E" w:rsidRPr="004A7752">
        <w:rPr>
          <w:sz w:val="26"/>
          <w:szCs w:val="26"/>
        </w:rPr>
        <w:t xml:space="preserve">, is </w:t>
      </w:r>
      <w:r w:rsidR="00033E2F" w:rsidRPr="004A7752">
        <w:rPr>
          <w:sz w:val="26"/>
          <w:szCs w:val="26"/>
        </w:rPr>
        <w:t>deni</w:t>
      </w:r>
      <w:r w:rsidR="00B8158E" w:rsidRPr="004A7752">
        <w:rPr>
          <w:sz w:val="26"/>
          <w:szCs w:val="26"/>
        </w:rPr>
        <w:t>ed, consistent with this Opinion and Order.</w:t>
      </w:r>
    </w:p>
    <w:p w14:paraId="6DD33A44" w14:textId="77777777" w:rsidR="00464087" w:rsidRPr="004A7752" w:rsidRDefault="00464087" w:rsidP="00DD07F7">
      <w:pPr>
        <w:spacing w:line="360" w:lineRule="auto"/>
        <w:ind w:left="1440"/>
        <w:contextualSpacing/>
        <w:rPr>
          <w:color w:val="000000" w:themeColor="text1"/>
          <w:sz w:val="26"/>
          <w:szCs w:val="26"/>
        </w:rPr>
      </w:pPr>
    </w:p>
    <w:p w14:paraId="37300731" w14:textId="7390A45C" w:rsidR="00464087" w:rsidRPr="004A7752" w:rsidRDefault="00464087" w:rsidP="00DD07F7">
      <w:pPr>
        <w:keepNext/>
        <w:keepLines/>
        <w:numPr>
          <w:ilvl w:val="0"/>
          <w:numId w:val="19"/>
        </w:numPr>
        <w:tabs>
          <w:tab w:val="clear" w:pos="2160"/>
          <w:tab w:val="num" w:pos="0"/>
        </w:tabs>
        <w:spacing w:line="360" w:lineRule="auto"/>
        <w:ind w:left="0" w:firstLine="1440"/>
        <w:contextualSpacing/>
        <w:rPr>
          <w:color w:val="000000" w:themeColor="text1"/>
          <w:sz w:val="26"/>
          <w:szCs w:val="26"/>
        </w:rPr>
      </w:pPr>
      <w:r w:rsidRPr="004A7752">
        <w:rPr>
          <w:sz w:val="26"/>
          <w:szCs w:val="26"/>
        </w:rPr>
        <w:t>That the Motion to Strike Michael</w:t>
      </w:r>
      <w:r w:rsidR="00615A70" w:rsidRPr="004A7752">
        <w:rPr>
          <w:sz w:val="26"/>
          <w:szCs w:val="26"/>
        </w:rPr>
        <w:t> </w:t>
      </w:r>
      <w:r w:rsidRPr="004A7752">
        <w:rPr>
          <w:sz w:val="26"/>
          <w:szCs w:val="26"/>
        </w:rPr>
        <w:t xml:space="preserve">Zimmerman’s Comments, filed by Discount on </w:t>
      </w:r>
      <w:r w:rsidR="001C1D86" w:rsidRPr="004A7752">
        <w:rPr>
          <w:sz w:val="26"/>
          <w:szCs w:val="26"/>
        </w:rPr>
        <w:t>December 21, 2021</w:t>
      </w:r>
      <w:r w:rsidRPr="004A7752">
        <w:rPr>
          <w:sz w:val="26"/>
          <w:szCs w:val="26"/>
        </w:rPr>
        <w:t xml:space="preserve">, is </w:t>
      </w:r>
      <w:r w:rsidR="00033E2F" w:rsidRPr="004A7752">
        <w:rPr>
          <w:sz w:val="26"/>
          <w:szCs w:val="26"/>
        </w:rPr>
        <w:t>denied</w:t>
      </w:r>
      <w:r w:rsidRPr="004A7752">
        <w:rPr>
          <w:sz w:val="26"/>
          <w:szCs w:val="26"/>
        </w:rPr>
        <w:t>, consistent with this Opinion and Order.</w:t>
      </w:r>
    </w:p>
    <w:p w14:paraId="32D0D6E1" w14:textId="77777777" w:rsidR="00464087" w:rsidRDefault="00464087" w:rsidP="00DD07F7">
      <w:pPr>
        <w:spacing w:line="360" w:lineRule="auto"/>
        <w:ind w:left="1440"/>
        <w:contextualSpacing/>
        <w:rPr>
          <w:color w:val="000000" w:themeColor="text1"/>
          <w:sz w:val="26"/>
          <w:szCs w:val="26"/>
        </w:rPr>
      </w:pPr>
    </w:p>
    <w:p w14:paraId="287D5338" w14:textId="624ADEC3" w:rsidR="00501CAF" w:rsidRPr="00852B2E" w:rsidRDefault="00BD1A46" w:rsidP="00DD07F7">
      <w:pPr>
        <w:keepNext/>
        <w:keepLines/>
        <w:numPr>
          <w:ilvl w:val="0"/>
          <w:numId w:val="19"/>
        </w:numPr>
        <w:tabs>
          <w:tab w:val="clear" w:pos="2160"/>
          <w:tab w:val="num" w:pos="0"/>
        </w:tabs>
        <w:spacing w:line="360" w:lineRule="auto"/>
        <w:ind w:left="0" w:firstLine="1440"/>
        <w:contextualSpacing/>
        <w:rPr>
          <w:color w:val="000000" w:themeColor="text1"/>
          <w:sz w:val="26"/>
          <w:szCs w:val="26"/>
        </w:rPr>
      </w:pPr>
      <w:r w:rsidRPr="00852B2E">
        <w:rPr>
          <w:color w:val="000000" w:themeColor="text1"/>
          <w:sz w:val="26"/>
          <w:szCs w:val="26"/>
        </w:rPr>
        <w:t xml:space="preserve">That </w:t>
      </w:r>
      <w:r w:rsidR="00251BFC" w:rsidRPr="00F3313F">
        <w:rPr>
          <w:sz w:val="26"/>
          <w:szCs w:val="26"/>
        </w:rPr>
        <w:t xml:space="preserve">the </w:t>
      </w:r>
      <w:r w:rsidR="008600E8" w:rsidRPr="00E460CF">
        <w:rPr>
          <w:color w:val="000000" w:themeColor="text1"/>
          <w:sz w:val="26"/>
          <w:szCs w:val="26"/>
        </w:rPr>
        <w:t>Joint Petition for Approval of Settlement</w:t>
      </w:r>
      <w:r w:rsidR="008600E8">
        <w:rPr>
          <w:color w:val="000000" w:themeColor="text1"/>
          <w:sz w:val="26"/>
          <w:szCs w:val="26"/>
        </w:rPr>
        <w:t xml:space="preserve"> </w:t>
      </w:r>
      <w:r w:rsidR="00251BFC">
        <w:rPr>
          <w:sz w:val="26"/>
          <w:szCs w:val="26"/>
        </w:rPr>
        <w:t xml:space="preserve">between the Commission’s Bureau of Investigation and Enforcement </w:t>
      </w:r>
      <w:r w:rsidR="00126C0B">
        <w:rPr>
          <w:sz w:val="26"/>
          <w:szCs w:val="26"/>
        </w:rPr>
        <w:t xml:space="preserve">(hereinafter referred to as I&amp;E) </w:t>
      </w:r>
      <w:r w:rsidR="00251BFC">
        <w:rPr>
          <w:sz w:val="26"/>
          <w:szCs w:val="26"/>
        </w:rPr>
        <w:t xml:space="preserve">and </w:t>
      </w:r>
      <w:r w:rsidR="00056181">
        <w:rPr>
          <w:color w:val="000000" w:themeColor="text1"/>
          <w:sz w:val="26"/>
          <w:szCs w:val="26"/>
        </w:rPr>
        <w:t>Discount</w:t>
      </w:r>
      <w:r w:rsidR="00251BFC" w:rsidRPr="006A7D4D">
        <w:rPr>
          <w:color w:val="000000" w:themeColor="text1"/>
          <w:sz w:val="26"/>
          <w:szCs w:val="26"/>
        </w:rPr>
        <w:t xml:space="preserve">, </w:t>
      </w:r>
      <w:r w:rsidR="008600E8" w:rsidRPr="00F3313F">
        <w:rPr>
          <w:sz w:val="26"/>
          <w:szCs w:val="26"/>
        </w:rPr>
        <w:t xml:space="preserve">filed on </w:t>
      </w:r>
      <w:r w:rsidR="00546B9D">
        <w:rPr>
          <w:sz w:val="26"/>
          <w:szCs w:val="26"/>
        </w:rPr>
        <w:t>August 27</w:t>
      </w:r>
      <w:r w:rsidR="008600E8" w:rsidRPr="00C00BD9">
        <w:rPr>
          <w:sz w:val="26"/>
          <w:szCs w:val="26"/>
        </w:rPr>
        <w:t>, 2021</w:t>
      </w:r>
      <w:r w:rsidR="008600E8">
        <w:rPr>
          <w:sz w:val="26"/>
          <w:szCs w:val="26"/>
        </w:rPr>
        <w:t>,</w:t>
      </w:r>
      <w:r w:rsidR="008600E8" w:rsidRPr="00F3313F">
        <w:rPr>
          <w:sz w:val="26"/>
          <w:szCs w:val="26"/>
        </w:rPr>
        <w:t xml:space="preserve"> </w:t>
      </w:r>
      <w:r w:rsidR="00251BFC" w:rsidRPr="006A7D4D">
        <w:rPr>
          <w:color w:val="000000" w:themeColor="text1"/>
          <w:sz w:val="26"/>
          <w:szCs w:val="26"/>
        </w:rPr>
        <w:t>at Docket No. M</w:t>
      </w:r>
      <w:r w:rsidR="00251BFC">
        <w:rPr>
          <w:color w:val="000000" w:themeColor="text1"/>
          <w:sz w:val="26"/>
          <w:szCs w:val="26"/>
        </w:rPr>
        <w:noBreakHyphen/>
      </w:r>
      <w:r w:rsidR="00251BFC" w:rsidRPr="006A7D4D">
        <w:rPr>
          <w:color w:val="000000" w:themeColor="text1"/>
          <w:sz w:val="26"/>
          <w:szCs w:val="26"/>
        </w:rPr>
        <w:t>2020</w:t>
      </w:r>
      <w:r w:rsidR="00251BFC">
        <w:rPr>
          <w:color w:val="000000" w:themeColor="text1"/>
          <w:sz w:val="26"/>
          <w:szCs w:val="26"/>
        </w:rPr>
        <w:noBreakHyphen/>
      </w:r>
      <w:r w:rsidR="00251BFC" w:rsidRPr="006A7D4D">
        <w:rPr>
          <w:color w:val="000000" w:themeColor="text1"/>
          <w:sz w:val="26"/>
          <w:szCs w:val="26"/>
        </w:rPr>
        <w:t>30</w:t>
      </w:r>
      <w:r w:rsidR="00056181">
        <w:rPr>
          <w:color w:val="000000" w:themeColor="text1"/>
          <w:sz w:val="26"/>
          <w:szCs w:val="26"/>
        </w:rPr>
        <w:t>22658</w:t>
      </w:r>
      <w:r w:rsidR="00251BFC" w:rsidRPr="006A7D4D">
        <w:rPr>
          <w:color w:val="000000" w:themeColor="text1"/>
          <w:sz w:val="26"/>
          <w:szCs w:val="26"/>
        </w:rPr>
        <w:t xml:space="preserve">, is approved </w:t>
      </w:r>
      <w:r w:rsidR="00546B9D">
        <w:rPr>
          <w:color w:val="000000" w:themeColor="text1"/>
          <w:sz w:val="26"/>
          <w:szCs w:val="26"/>
        </w:rPr>
        <w:t xml:space="preserve">in its </w:t>
      </w:r>
      <w:r w:rsidR="00251BFC" w:rsidRPr="006A7D4D">
        <w:rPr>
          <w:color w:val="000000" w:themeColor="text1"/>
          <w:sz w:val="26"/>
          <w:szCs w:val="26"/>
        </w:rPr>
        <w:t>entire</w:t>
      </w:r>
      <w:r w:rsidR="00546B9D">
        <w:rPr>
          <w:color w:val="000000" w:themeColor="text1"/>
          <w:sz w:val="26"/>
          <w:szCs w:val="26"/>
        </w:rPr>
        <w:t>t</w:t>
      </w:r>
      <w:r w:rsidR="00251BFC" w:rsidRPr="006A7D4D">
        <w:rPr>
          <w:color w:val="000000" w:themeColor="text1"/>
          <w:sz w:val="26"/>
          <w:szCs w:val="26"/>
        </w:rPr>
        <w:t>y</w:t>
      </w:r>
      <w:r w:rsidR="00546B9D">
        <w:rPr>
          <w:color w:val="000000" w:themeColor="text1"/>
          <w:sz w:val="26"/>
          <w:szCs w:val="26"/>
        </w:rPr>
        <w:t>,</w:t>
      </w:r>
      <w:r w:rsidR="00251BFC" w:rsidRPr="006A7D4D">
        <w:rPr>
          <w:color w:val="000000" w:themeColor="text1"/>
          <w:sz w:val="26"/>
          <w:szCs w:val="26"/>
        </w:rPr>
        <w:t xml:space="preserve"> without modification</w:t>
      </w:r>
      <w:r w:rsidRPr="00852B2E">
        <w:rPr>
          <w:iCs/>
          <w:color w:val="000000" w:themeColor="text1"/>
          <w:sz w:val="26"/>
          <w:szCs w:val="26"/>
        </w:rPr>
        <w:t>.</w:t>
      </w:r>
    </w:p>
    <w:p w14:paraId="4C3B9A78" w14:textId="77777777" w:rsidR="00EE10AD" w:rsidRPr="00852B2E" w:rsidRDefault="00EE10AD" w:rsidP="00DD07F7">
      <w:pPr>
        <w:spacing w:line="360" w:lineRule="auto"/>
        <w:contextualSpacing/>
        <w:rPr>
          <w:color w:val="000000" w:themeColor="text1"/>
          <w:sz w:val="26"/>
          <w:szCs w:val="26"/>
        </w:rPr>
      </w:pPr>
    </w:p>
    <w:p w14:paraId="42906E3C" w14:textId="0BD1C515" w:rsidR="00D30B8E" w:rsidRPr="00230B2E" w:rsidRDefault="00EE10AD" w:rsidP="00DD07F7">
      <w:pPr>
        <w:keepNext/>
        <w:keepLines/>
        <w:numPr>
          <w:ilvl w:val="0"/>
          <w:numId w:val="19"/>
        </w:numPr>
        <w:tabs>
          <w:tab w:val="clear" w:pos="2160"/>
          <w:tab w:val="num" w:pos="0"/>
        </w:tabs>
        <w:spacing w:line="360" w:lineRule="auto"/>
        <w:ind w:left="0" w:firstLine="1440"/>
        <w:contextualSpacing/>
        <w:rPr>
          <w:color w:val="000000" w:themeColor="text1"/>
          <w:sz w:val="26"/>
          <w:szCs w:val="26"/>
        </w:rPr>
      </w:pPr>
      <w:r w:rsidRPr="00230B2E">
        <w:rPr>
          <w:color w:val="000000" w:themeColor="text1"/>
          <w:sz w:val="26"/>
          <w:szCs w:val="26"/>
        </w:rPr>
        <w:t>That</w:t>
      </w:r>
      <w:r w:rsidR="00251BFC" w:rsidRPr="00230B2E">
        <w:rPr>
          <w:color w:val="000000" w:themeColor="text1"/>
          <w:sz w:val="26"/>
          <w:szCs w:val="26"/>
        </w:rPr>
        <w:t xml:space="preserve">, </w:t>
      </w:r>
      <w:r w:rsidR="00251BFC" w:rsidRPr="00230B2E">
        <w:rPr>
          <w:sz w:val="26"/>
          <w:szCs w:val="26"/>
        </w:rPr>
        <w:t xml:space="preserve">in accordance with Section 3301 of the Public Utility Code, 66 Pa. C.S. § 3301, within thirty (30) days of the </w:t>
      </w:r>
      <w:r w:rsidR="001336DB" w:rsidRPr="00230B2E">
        <w:rPr>
          <w:sz w:val="26"/>
          <w:szCs w:val="26"/>
        </w:rPr>
        <w:t>entry of</w:t>
      </w:r>
      <w:r w:rsidR="00251BFC" w:rsidRPr="00230B2E">
        <w:rPr>
          <w:sz w:val="26"/>
          <w:szCs w:val="26"/>
        </w:rPr>
        <w:t xml:space="preserve"> this Opinion and Order, </w:t>
      </w:r>
      <w:r w:rsidR="001336DB" w:rsidRPr="00230B2E">
        <w:rPr>
          <w:color w:val="000000" w:themeColor="text1"/>
          <w:sz w:val="26"/>
          <w:szCs w:val="26"/>
        </w:rPr>
        <w:t>Discount</w:t>
      </w:r>
      <w:r w:rsidR="00251BFC" w:rsidRPr="00230B2E">
        <w:rPr>
          <w:sz w:val="26"/>
          <w:szCs w:val="26"/>
        </w:rPr>
        <w:t xml:space="preserve"> shall remit a civil penalty of </w:t>
      </w:r>
      <w:r w:rsidR="00302A3B" w:rsidRPr="00230B2E">
        <w:rPr>
          <w:sz w:val="26"/>
          <w:szCs w:val="26"/>
        </w:rPr>
        <w:t>Forty-Two Thousand Two Hundred Fifty</w:t>
      </w:r>
      <w:r w:rsidR="00251BFC" w:rsidRPr="00230B2E">
        <w:rPr>
          <w:sz w:val="26"/>
          <w:szCs w:val="26"/>
        </w:rPr>
        <w:t xml:space="preserve"> Dollars ($</w:t>
      </w:r>
      <w:r w:rsidR="00302A3B" w:rsidRPr="00230B2E">
        <w:rPr>
          <w:sz w:val="26"/>
          <w:szCs w:val="26"/>
        </w:rPr>
        <w:t>42</w:t>
      </w:r>
      <w:r w:rsidR="00251BFC" w:rsidRPr="00230B2E">
        <w:rPr>
          <w:sz w:val="26"/>
          <w:szCs w:val="26"/>
        </w:rPr>
        <w:t>,</w:t>
      </w:r>
      <w:r w:rsidR="00302A3B" w:rsidRPr="00230B2E">
        <w:rPr>
          <w:sz w:val="26"/>
          <w:szCs w:val="26"/>
        </w:rPr>
        <w:t>25</w:t>
      </w:r>
      <w:r w:rsidR="00251BFC" w:rsidRPr="00230B2E">
        <w:rPr>
          <w:sz w:val="26"/>
          <w:szCs w:val="26"/>
        </w:rPr>
        <w:t>0)</w:t>
      </w:r>
      <w:r w:rsidR="00FA3707" w:rsidRPr="00230B2E">
        <w:rPr>
          <w:sz w:val="26"/>
          <w:szCs w:val="26"/>
        </w:rPr>
        <w:t xml:space="preserve">.  Said payment shall be made </w:t>
      </w:r>
      <w:r w:rsidR="00251BFC" w:rsidRPr="00230B2E">
        <w:rPr>
          <w:sz w:val="26"/>
          <w:szCs w:val="26"/>
        </w:rPr>
        <w:t xml:space="preserve">by certified check or money order </w:t>
      </w:r>
      <w:r w:rsidR="00E8080E" w:rsidRPr="00230B2E">
        <w:rPr>
          <w:sz w:val="26"/>
          <w:szCs w:val="26"/>
        </w:rPr>
        <w:t xml:space="preserve">and payable </w:t>
      </w:r>
      <w:r w:rsidR="00251BFC" w:rsidRPr="00230B2E">
        <w:rPr>
          <w:sz w:val="26"/>
          <w:szCs w:val="26"/>
        </w:rPr>
        <w:t xml:space="preserve">to “Commonwealth of Pennsylvania” and </w:t>
      </w:r>
      <w:r w:rsidR="00E8080E" w:rsidRPr="00230B2E">
        <w:rPr>
          <w:sz w:val="26"/>
          <w:szCs w:val="26"/>
        </w:rPr>
        <w:t xml:space="preserve">shall be </w:t>
      </w:r>
      <w:r w:rsidR="00251BFC" w:rsidRPr="00230B2E">
        <w:rPr>
          <w:sz w:val="26"/>
          <w:szCs w:val="26"/>
        </w:rPr>
        <w:t>sent to</w:t>
      </w:r>
      <w:r w:rsidR="00D30B8E" w:rsidRPr="00230B2E">
        <w:rPr>
          <w:sz w:val="26"/>
          <w:szCs w:val="26"/>
        </w:rPr>
        <w:t xml:space="preserve">: </w:t>
      </w:r>
    </w:p>
    <w:p w14:paraId="39E1BD27" w14:textId="77777777" w:rsidR="00D30B8E" w:rsidRPr="00230B2E" w:rsidRDefault="00D30B8E" w:rsidP="00D30B8E">
      <w:pPr>
        <w:pStyle w:val="ListParagraph"/>
        <w:rPr>
          <w:color w:val="000000" w:themeColor="text1"/>
          <w:sz w:val="26"/>
          <w:szCs w:val="26"/>
        </w:rPr>
      </w:pPr>
    </w:p>
    <w:p w14:paraId="24225457" w14:textId="77777777" w:rsidR="00D30B8E" w:rsidRPr="00230B2E" w:rsidRDefault="00D30B8E" w:rsidP="00415B3D">
      <w:pPr>
        <w:keepNext/>
        <w:keepLines/>
        <w:widowControl w:val="0"/>
        <w:autoSpaceDE w:val="0"/>
        <w:autoSpaceDN w:val="0"/>
        <w:adjustRightInd w:val="0"/>
        <w:ind w:left="2160"/>
        <w:rPr>
          <w:rFonts w:eastAsia="Times New Roman"/>
          <w:sz w:val="26"/>
          <w:szCs w:val="26"/>
        </w:rPr>
      </w:pPr>
      <w:r w:rsidRPr="00230B2E">
        <w:rPr>
          <w:rFonts w:eastAsia="Times New Roman"/>
          <w:sz w:val="26"/>
          <w:szCs w:val="26"/>
        </w:rPr>
        <w:t>Rosemary Chiavetta, Secretary</w:t>
      </w:r>
    </w:p>
    <w:p w14:paraId="540A58E8" w14:textId="77777777" w:rsidR="00D30B8E" w:rsidRPr="00230B2E" w:rsidRDefault="00D30B8E" w:rsidP="00415B3D">
      <w:pPr>
        <w:keepNext/>
        <w:keepLines/>
        <w:widowControl w:val="0"/>
        <w:autoSpaceDE w:val="0"/>
        <w:autoSpaceDN w:val="0"/>
        <w:adjustRightInd w:val="0"/>
        <w:ind w:left="2160"/>
        <w:rPr>
          <w:rFonts w:eastAsia="Times New Roman"/>
          <w:sz w:val="26"/>
          <w:szCs w:val="26"/>
        </w:rPr>
      </w:pPr>
      <w:r w:rsidRPr="00230B2E">
        <w:rPr>
          <w:rFonts w:eastAsia="Times New Roman"/>
          <w:sz w:val="26"/>
          <w:szCs w:val="26"/>
        </w:rPr>
        <w:t>Pennsylvania Public Utility Commission</w:t>
      </w:r>
    </w:p>
    <w:p w14:paraId="2C01AB2D" w14:textId="77777777" w:rsidR="00D30B8E" w:rsidRPr="00230B2E" w:rsidRDefault="00D30B8E" w:rsidP="00415B3D">
      <w:pPr>
        <w:keepNext/>
        <w:keepLines/>
        <w:widowControl w:val="0"/>
        <w:autoSpaceDE w:val="0"/>
        <w:autoSpaceDN w:val="0"/>
        <w:adjustRightInd w:val="0"/>
        <w:ind w:left="2160"/>
        <w:rPr>
          <w:rFonts w:eastAsia="Times New Roman"/>
          <w:sz w:val="26"/>
          <w:szCs w:val="26"/>
        </w:rPr>
      </w:pPr>
      <w:r w:rsidRPr="00230B2E">
        <w:rPr>
          <w:rFonts w:eastAsia="Times New Roman"/>
          <w:sz w:val="26"/>
          <w:szCs w:val="26"/>
        </w:rPr>
        <w:t>Commonwealth Keystone Building</w:t>
      </w:r>
    </w:p>
    <w:p w14:paraId="5710B098" w14:textId="77777777" w:rsidR="00D30B8E" w:rsidRPr="00230B2E" w:rsidRDefault="00D30B8E" w:rsidP="00415B3D">
      <w:pPr>
        <w:keepNext/>
        <w:keepLines/>
        <w:widowControl w:val="0"/>
        <w:autoSpaceDE w:val="0"/>
        <w:autoSpaceDN w:val="0"/>
        <w:adjustRightInd w:val="0"/>
        <w:ind w:left="2160"/>
        <w:contextualSpacing/>
        <w:rPr>
          <w:rFonts w:eastAsia="Times New Roman"/>
          <w:sz w:val="26"/>
          <w:szCs w:val="26"/>
        </w:rPr>
      </w:pPr>
      <w:r w:rsidRPr="00230B2E">
        <w:rPr>
          <w:rFonts w:eastAsia="Times New Roman"/>
          <w:sz w:val="26"/>
          <w:szCs w:val="26"/>
        </w:rPr>
        <w:t>400 North Street</w:t>
      </w:r>
    </w:p>
    <w:p w14:paraId="26F2B628" w14:textId="5F24C3C6" w:rsidR="00D7737D" w:rsidRPr="00230B2E" w:rsidRDefault="00D30B8E" w:rsidP="00DD07F7">
      <w:pPr>
        <w:keepNext/>
        <w:keepLines/>
        <w:spacing w:line="360" w:lineRule="auto"/>
        <w:ind w:left="2160"/>
        <w:rPr>
          <w:rFonts w:eastAsia="Times New Roman"/>
          <w:sz w:val="26"/>
          <w:szCs w:val="26"/>
        </w:rPr>
      </w:pPr>
      <w:r w:rsidRPr="00230B2E">
        <w:rPr>
          <w:rFonts w:eastAsia="Times New Roman"/>
          <w:sz w:val="26"/>
          <w:szCs w:val="26"/>
        </w:rPr>
        <w:t xml:space="preserve">Harrisburg, PA </w:t>
      </w:r>
      <w:r w:rsidR="00E148CB">
        <w:rPr>
          <w:rFonts w:eastAsia="Times New Roman"/>
          <w:sz w:val="26"/>
          <w:szCs w:val="26"/>
        </w:rPr>
        <w:t xml:space="preserve"> </w:t>
      </w:r>
      <w:r w:rsidRPr="00230B2E">
        <w:rPr>
          <w:rFonts w:eastAsia="Times New Roman"/>
          <w:sz w:val="26"/>
          <w:szCs w:val="26"/>
        </w:rPr>
        <w:t>17120</w:t>
      </w:r>
    </w:p>
    <w:p w14:paraId="76869A55" w14:textId="77777777" w:rsidR="004B02A2" w:rsidRPr="00230B2E" w:rsidRDefault="004B02A2" w:rsidP="00DD07F7">
      <w:pPr>
        <w:spacing w:line="360" w:lineRule="auto"/>
        <w:rPr>
          <w:sz w:val="26"/>
          <w:szCs w:val="26"/>
        </w:rPr>
      </w:pPr>
    </w:p>
    <w:p w14:paraId="670644B4" w14:textId="1B9AFC49" w:rsidR="004B02A2" w:rsidRPr="00230B2E" w:rsidRDefault="004B02A2" w:rsidP="00DD07F7">
      <w:pPr>
        <w:pStyle w:val="ListParagraph"/>
        <w:keepNext/>
        <w:keepLines/>
        <w:numPr>
          <w:ilvl w:val="0"/>
          <w:numId w:val="19"/>
        </w:numPr>
        <w:spacing w:line="360" w:lineRule="auto"/>
        <w:ind w:left="0" w:firstLine="1440"/>
        <w:rPr>
          <w:sz w:val="26"/>
          <w:szCs w:val="26"/>
        </w:rPr>
      </w:pPr>
      <w:r w:rsidRPr="00230B2E">
        <w:rPr>
          <w:color w:val="000000" w:themeColor="text1"/>
          <w:sz w:val="26"/>
          <w:szCs w:val="26"/>
        </w:rPr>
        <w:t xml:space="preserve">That within </w:t>
      </w:r>
      <w:r w:rsidR="00654B39" w:rsidRPr="00230B2E">
        <w:rPr>
          <w:color w:val="000000" w:themeColor="text1"/>
          <w:sz w:val="26"/>
          <w:szCs w:val="26"/>
        </w:rPr>
        <w:t>six</w:t>
      </w:r>
      <w:r w:rsidRPr="00230B2E">
        <w:rPr>
          <w:color w:val="000000" w:themeColor="text1"/>
          <w:sz w:val="26"/>
          <w:szCs w:val="26"/>
        </w:rPr>
        <w:t xml:space="preserve"> (</w:t>
      </w:r>
      <w:r w:rsidR="00654B39" w:rsidRPr="00230B2E">
        <w:rPr>
          <w:color w:val="000000" w:themeColor="text1"/>
          <w:sz w:val="26"/>
          <w:szCs w:val="26"/>
        </w:rPr>
        <w:t>6</w:t>
      </w:r>
      <w:r w:rsidRPr="00230B2E">
        <w:rPr>
          <w:color w:val="000000" w:themeColor="text1"/>
          <w:sz w:val="26"/>
          <w:szCs w:val="26"/>
        </w:rPr>
        <w:t xml:space="preserve">) months of the date </w:t>
      </w:r>
      <w:r w:rsidR="00654B39" w:rsidRPr="00230B2E">
        <w:rPr>
          <w:color w:val="000000" w:themeColor="text1"/>
          <w:sz w:val="26"/>
          <w:szCs w:val="26"/>
        </w:rPr>
        <w:t xml:space="preserve">that </w:t>
      </w:r>
      <w:r w:rsidRPr="00230B2E">
        <w:rPr>
          <w:color w:val="000000" w:themeColor="text1"/>
          <w:sz w:val="26"/>
          <w:szCs w:val="26"/>
        </w:rPr>
        <w:t xml:space="preserve">this Opinion and Order becomes final, </w:t>
      </w:r>
      <w:r w:rsidR="00654B39" w:rsidRPr="00230B2E">
        <w:rPr>
          <w:color w:val="000000" w:themeColor="text1"/>
          <w:sz w:val="26"/>
          <w:szCs w:val="26"/>
        </w:rPr>
        <w:t>Discount</w:t>
      </w:r>
      <w:r w:rsidRPr="00230B2E">
        <w:rPr>
          <w:color w:val="000000" w:themeColor="text1"/>
          <w:sz w:val="26"/>
          <w:szCs w:val="26"/>
        </w:rPr>
        <w:t xml:space="preserve"> shal</w:t>
      </w:r>
      <w:r w:rsidR="00896CDF" w:rsidRPr="00230B2E">
        <w:rPr>
          <w:color w:val="000000" w:themeColor="text1"/>
          <w:sz w:val="26"/>
          <w:szCs w:val="26"/>
        </w:rPr>
        <w:t>l</w:t>
      </w:r>
      <w:r w:rsidRPr="00230B2E">
        <w:rPr>
          <w:sz w:val="26"/>
          <w:szCs w:val="26"/>
        </w:rPr>
        <w:t xml:space="preserve"> file a letter with the Commission stating its compliance</w:t>
      </w:r>
      <w:r w:rsidR="00CE037F" w:rsidRPr="00230B2E">
        <w:rPr>
          <w:sz w:val="26"/>
          <w:szCs w:val="26"/>
        </w:rPr>
        <w:t xml:space="preserve"> with the remedial measures described in Paragraph No. 47 of the </w:t>
      </w:r>
      <w:r w:rsidR="00896CDF" w:rsidRPr="00230B2E">
        <w:rPr>
          <w:sz w:val="26"/>
          <w:szCs w:val="26"/>
        </w:rPr>
        <w:t xml:space="preserve">Joint Petition for Approval of </w:t>
      </w:r>
      <w:r w:rsidR="00126C0B" w:rsidRPr="00230B2E">
        <w:rPr>
          <w:sz w:val="26"/>
          <w:szCs w:val="26"/>
        </w:rPr>
        <w:t>Settlement</w:t>
      </w:r>
      <w:r w:rsidR="00896CDF" w:rsidRPr="00230B2E">
        <w:rPr>
          <w:sz w:val="26"/>
          <w:szCs w:val="26"/>
        </w:rPr>
        <w:t xml:space="preserve"> between</w:t>
      </w:r>
      <w:r w:rsidR="00126C0B" w:rsidRPr="00230B2E">
        <w:rPr>
          <w:sz w:val="26"/>
          <w:szCs w:val="26"/>
        </w:rPr>
        <w:t xml:space="preserve"> I&amp;E and Discount.</w:t>
      </w:r>
    </w:p>
    <w:p w14:paraId="244E6D2C" w14:textId="77777777" w:rsidR="00EA4A29" w:rsidRPr="00722DE0" w:rsidRDefault="00EA4A29" w:rsidP="00722DE0">
      <w:pPr>
        <w:rPr>
          <w:sz w:val="26"/>
          <w:szCs w:val="26"/>
          <w:highlight w:val="yellow"/>
        </w:rPr>
      </w:pPr>
    </w:p>
    <w:p w14:paraId="27CDD8A3" w14:textId="5B352D7F" w:rsidR="004B02A2" w:rsidRPr="005C5597" w:rsidRDefault="004B02A2" w:rsidP="00DD07F7">
      <w:pPr>
        <w:pStyle w:val="ListParagraph"/>
        <w:keepNext/>
        <w:keepLines/>
        <w:numPr>
          <w:ilvl w:val="0"/>
          <w:numId w:val="19"/>
        </w:numPr>
        <w:spacing w:line="360" w:lineRule="auto"/>
        <w:ind w:left="0" w:firstLine="1440"/>
        <w:rPr>
          <w:sz w:val="26"/>
          <w:szCs w:val="26"/>
        </w:rPr>
      </w:pPr>
      <w:r w:rsidRPr="005C5597">
        <w:rPr>
          <w:sz w:val="26"/>
          <w:szCs w:val="26"/>
        </w:rPr>
        <w:lastRenderedPageBreak/>
        <w:t>That a copy of this Opinion and Order shall be served upon the Financial and Assessment Chief, Bureau of Administration</w:t>
      </w:r>
      <w:r w:rsidR="002B6796" w:rsidRPr="005C5597">
        <w:rPr>
          <w:sz w:val="26"/>
          <w:szCs w:val="26"/>
        </w:rPr>
        <w:t>.</w:t>
      </w:r>
    </w:p>
    <w:p w14:paraId="0C4A9960" w14:textId="77777777" w:rsidR="004B02A2" w:rsidRPr="00056181" w:rsidRDefault="004B02A2" w:rsidP="00DD07F7">
      <w:pPr>
        <w:pStyle w:val="ListParagraph"/>
        <w:spacing w:line="360" w:lineRule="auto"/>
        <w:rPr>
          <w:sz w:val="26"/>
          <w:szCs w:val="26"/>
          <w:highlight w:val="yellow"/>
        </w:rPr>
      </w:pPr>
    </w:p>
    <w:p w14:paraId="45BD5AA1" w14:textId="0178D6D5" w:rsidR="004B02A2" w:rsidRPr="002475FD" w:rsidRDefault="004B02A2" w:rsidP="00DD07F7">
      <w:pPr>
        <w:pStyle w:val="ListParagraph"/>
        <w:keepNext/>
        <w:keepLines/>
        <w:numPr>
          <w:ilvl w:val="0"/>
          <w:numId w:val="19"/>
        </w:numPr>
        <w:spacing w:line="360" w:lineRule="auto"/>
        <w:ind w:left="0" w:firstLine="1440"/>
        <w:rPr>
          <w:sz w:val="26"/>
          <w:szCs w:val="26"/>
        </w:rPr>
      </w:pPr>
      <w:r w:rsidRPr="002475FD">
        <w:rPr>
          <w:color w:val="000000" w:themeColor="text1"/>
          <w:sz w:val="26"/>
          <w:szCs w:val="26"/>
        </w:rPr>
        <w:t>That</w:t>
      </w:r>
      <w:r w:rsidR="005C5597" w:rsidRPr="002475FD">
        <w:rPr>
          <w:color w:val="000000" w:themeColor="text1"/>
          <w:sz w:val="26"/>
          <w:szCs w:val="26"/>
        </w:rPr>
        <w:t xml:space="preserve">, after Discount remits the civil penalty as set forth in Ordering Paragraph No. </w:t>
      </w:r>
      <w:r w:rsidR="00230B2E">
        <w:rPr>
          <w:color w:val="000000" w:themeColor="text1"/>
          <w:sz w:val="26"/>
          <w:szCs w:val="26"/>
        </w:rPr>
        <w:t>4</w:t>
      </w:r>
      <w:r w:rsidR="005C5597" w:rsidRPr="002475FD">
        <w:rPr>
          <w:color w:val="000000" w:themeColor="text1"/>
          <w:sz w:val="26"/>
          <w:szCs w:val="26"/>
        </w:rPr>
        <w:t>, above</w:t>
      </w:r>
      <w:r w:rsidR="005D6639">
        <w:rPr>
          <w:color w:val="000000" w:themeColor="text1"/>
          <w:sz w:val="26"/>
          <w:szCs w:val="26"/>
        </w:rPr>
        <w:t>,</w:t>
      </w:r>
      <w:r w:rsidR="00546B9D">
        <w:rPr>
          <w:color w:val="000000" w:themeColor="text1"/>
          <w:sz w:val="26"/>
          <w:szCs w:val="26"/>
        </w:rPr>
        <w:t xml:space="preserve"> or</w:t>
      </w:r>
      <w:r w:rsidR="00742EF6">
        <w:rPr>
          <w:color w:val="000000" w:themeColor="text1"/>
          <w:sz w:val="26"/>
          <w:szCs w:val="26"/>
        </w:rPr>
        <w:t xml:space="preserve"> </w:t>
      </w:r>
      <w:r w:rsidR="005C5597" w:rsidRPr="002475FD">
        <w:rPr>
          <w:color w:val="000000" w:themeColor="text1"/>
          <w:sz w:val="26"/>
          <w:szCs w:val="26"/>
        </w:rPr>
        <w:t>upon the receipt of the civil penalt</w:t>
      </w:r>
      <w:r w:rsidR="00CB6F9E" w:rsidRPr="002475FD">
        <w:rPr>
          <w:color w:val="000000" w:themeColor="text1"/>
          <w:sz w:val="26"/>
          <w:szCs w:val="26"/>
        </w:rPr>
        <w:t>y</w:t>
      </w:r>
      <w:r w:rsidR="00546B9D">
        <w:rPr>
          <w:color w:val="000000" w:themeColor="text1"/>
          <w:sz w:val="26"/>
          <w:szCs w:val="26"/>
        </w:rPr>
        <w:t xml:space="preserve"> and </w:t>
      </w:r>
      <w:r w:rsidR="00D158B8">
        <w:rPr>
          <w:color w:val="000000" w:themeColor="text1"/>
          <w:sz w:val="26"/>
          <w:szCs w:val="26"/>
        </w:rPr>
        <w:t xml:space="preserve">upon </w:t>
      </w:r>
      <w:r w:rsidR="00546B9D">
        <w:rPr>
          <w:color w:val="000000" w:themeColor="text1"/>
          <w:sz w:val="26"/>
          <w:szCs w:val="26"/>
        </w:rPr>
        <w:t>Discount’s compliance with Ordering Paragraph No. 5</w:t>
      </w:r>
      <w:r w:rsidR="005D6639">
        <w:rPr>
          <w:color w:val="000000" w:themeColor="text1"/>
          <w:sz w:val="26"/>
          <w:szCs w:val="26"/>
        </w:rPr>
        <w:t>,</w:t>
      </w:r>
      <w:r w:rsidR="00D158B8">
        <w:rPr>
          <w:color w:val="000000" w:themeColor="text1"/>
          <w:sz w:val="26"/>
          <w:szCs w:val="26"/>
        </w:rPr>
        <w:t xml:space="preserve"> above</w:t>
      </w:r>
      <w:r w:rsidR="00CB6F9E" w:rsidRPr="002475FD">
        <w:rPr>
          <w:color w:val="000000" w:themeColor="text1"/>
          <w:sz w:val="26"/>
          <w:szCs w:val="26"/>
        </w:rPr>
        <w:t xml:space="preserve">, the </w:t>
      </w:r>
      <w:r w:rsidR="002475FD" w:rsidRPr="002475FD">
        <w:rPr>
          <w:color w:val="000000" w:themeColor="text1"/>
          <w:sz w:val="26"/>
          <w:szCs w:val="26"/>
        </w:rPr>
        <w:t>Secretary’s Bureau shall mark this proceeding closed</w:t>
      </w:r>
      <w:r w:rsidR="002B6796" w:rsidRPr="002475FD">
        <w:rPr>
          <w:color w:val="000000" w:themeColor="text1"/>
          <w:sz w:val="26"/>
          <w:szCs w:val="26"/>
        </w:rPr>
        <w:t>.</w:t>
      </w:r>
    </w:p>
    <w:p w14:paraId="5440C55B" w14:textId="77777777" w:rsidR="004B02A2" w:rsidRPr="004B02A2" w:rsidRDefault="004B02A2" w:rsidP="00E1550A">
      <w:pPr>
        <w:pStyle w:val="ListParagraph"/>
        <w:keepNext/>
        <w:keepLines/>
        <w:rPr>
          <w:sz w:val="26"/>
          <w:szCs w:val="26"/>
        </w:rPr>
      </w:pPr>
    </w:p>
    <w:p w14:paraId="4CAE4AF1" w14:textId="66EE7C73" w:rsidR="00EE10AD" w:rsidRPr="00E460CF" w:rsidRDefault="00F723D1" w:rsidP="00A028C2">
      <w:pPr>
        <w:keepNext/>
        <w:keepLines/>
        <w:tabs>
          <w:tab w:val="left" w:pos="-720"/>
        </w:tabs>
        <w:ind w:firstLine="5040"/>
        <w:contextualSpacing/>
        <w:rPr>
          <w:color w:val="000000" w:themeColor="text1"/>
          <w:sz w:val="26"/>
          <w:szCs w:val="26"/>
        </w:rPr>
      </w:pPr>
      <w:r w:rsidRPr="009F01BA">
        <w:rPr>
          <w:b/>
          <w:noProof/>
          <w:sz w:val="20"/>
          <w:szCs w:val="20"/>
        </w:rPr>
        <w:drawing>
          <wp:anchor distT="0" distB="0" distL="114300" distR="114300" simplePos="0" relativeHeight="251659264" behindDoc="1" locked="0" layoutInCell="1" allowOverlap="1" wp14:anchorId="5ABA81D5" wp14:editId="5699126D">
            <wp:simplePos x="0" y="0"/>
            <wp:positionH relativeFrom="column">
              <wp:posOffset>3152775</wp:posOffset>
            </wp:positionH>
            <wp:positionV relativeFrom="paragraph">
              <wp:posOffset>113665</wp:posOffset>
            </wp:positionV>
            <wp:extent cx="2200275" cy="838200"/>
            <wp:effectExtent l="0" t="0" r="9525" b="0"/>
            <wp:wrapNone/>
            <wp:docPr id="3" name="Picture 3" descr="A picture containing let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letter&#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r w:rsidR="00EE10AD" w:rsidRPr="00E460CF">
        <w:rPr>
          <w:b/>
          <w:color w:val="000000" w:themeColor="text1"/>
          <w:sz w:val="26"/>
          <w:szCs w:val="26"/>
        </w:rPr>
        <w:t>BY THE COMMISSION,</w:t>
      </w:r>
    </w:p>
    <w:p w14:paraId="557DEC7F" w14:textId="1B09EDA4" w:rsidR="00EE10AD" w:rsidRPr="00E460CF" w:rsidRDefault="00F723D1" w:rsidP="00F723D1">
      <w:pPr>
        <w:keepNext/>
        <w:keepLines/>
        <w:tabs>
          <w:tab w:val="left" w:pos="-720"/>
          <w:tab w:val="left" w:pos="6030"/>
        </w:tabs>
        <w:contextualSpacing/>
        <w:rPr>
          <w:color w:val="000000" w:themeColor="text1"/>
          <w:sz w:val="26"/>
          <w:szCs w:val="26"/>
        </w:rPr>
      </w:pPr>
      <w:r>
        <w:rPr>
          <w:color w:val="000000" w:themeColor="text1"/>
          <w:sz w:val="26"/>
          <w:szCs w:val="26"/>
        </w:rPr>
        <w:tab/>
      </w:r>
    </w:p>
    <w:p w14:paraId="5AE6A205" w14:textId="36BDFA2C" w:rsidR="00EE10AD" w:rsidRPr="00E460CF" w:rsidRDefault="00EE10AD" w:rsidP="00BF0CD1">
      <w:pPr>
        <w:keepNext/>
        <w:keepLines/>
        <w:tabs>
          <w:tab w:val="left" w:pos="-720"/>
          <w:tab w:val="left" w:pos="6135"/>
        </w:tabs>
        <w:contextualSpacing/>
        <w:rPr>
          <w:color w:val="000000" w:themeColor="text1"/>
          <w:sz w:val="26"/>
          <w:szCs w:val="26"/>
        </w:rPr>
      </w:pPr>
    </w:p>
    <w:p w14:paraId="5CE28A82" w14:textId="77777777" w:rsidR="00EE10AD" w:rsidRPr="00E460CF" w:rsidRDefault="00EE10AD" w:rsidP="00A028C2">
      <w:pPr>
        <w:keepNext/>
        <w:keepLines/>
        <w:tabs>
          <w:tab w:val="left" w:pos="-720"/>
          <w:tab w:val="left" w:pos="6495"/>
        </w:tabs>
        <w:contextualSpacing/>
        <w:rPr>
          <w:color w:val="000000" w:themeColor="text1"/>
          <w:sz w:val="26"/>
          <w:szCs w:val="26"/>
        </w:rPr>
      </w:pPr>
    </w:p>
    <w:p w14:paraId="79E87E41" w14:textId="77777777" w:rsidR="00EE10AD" w:rsidRPr="00E460CF" w:rsidRDefault="00EE10AD" w:rsidP="00A028C2">
      <w:pPr>
        <w:keepNext/>
        <w:keepLines/>
        <w:tabs>
          <w:tab w:val="left" w:pos="-720"/>
        </w:tabs>
        <w:contextualSpacing/>
        <w:rPr>
          <w:color w:val="000000" w:themeColor="text1"/>
          <w:sz w:val="26"/>
          <w:szCs w:val="26"/>
        </w:rPr>
      </w:pPr>
    </w:p>
    <w:p w14:paraId="67408C6E" w14:textId="77777777" w:rsidR="00EE10AD" w:rsidRPr="00E460CF" w:rsidRDefault="00EE10AD" w:rsidP="00A028C2">
      <w:pPr>
        <w:keepNext/>
        <w:keepLines/>
        <w:tabs>
          <w:tab w:val="left" w:pos="-720"/>
        </w:tabs>
        <w:ind w:firstLine="5040"/>
        <w:contextualSpacing/>
        <w:rPr>
          <w:b/>
          <w:color w:val="000000" w:themeColor="text1"/>
          <w:sz w:val="26"/>
          <w:szCs w:val="26"/>
        </w:rPr>
      </w:pPr>
      <w:r w:rsidRPr="00E460CF">
        <w:rPr>
          <w:color w:val="000000" w:themeColor="text1"/>
          <w:sz w:val="26"/>
          <w:szCs w:val="26"/>
        </w:rPr>
        <w:t>Rosemary Chiavetta</w:t>
      </w:r>
    </w:p>
    <w:p w14:paraId="32584BE0" w14:textId="77777777" w:rsidR="00EE10AD" w:rsidRPr="00E460CF" w:rsidRDefault="00EE10AD" w:rsidP="00A028C2">
      <w:pPr>
        <w:keepNext/>
        <w:keepLines/>
        <w:tabs>
          <w:tab w:val="left" w:pos="-720"/>
        </w:tabs>
        <w:ind w:firstLine="5040"/>
        <w:contextualSpacing/>
        <w:rPr>
          <w:color w:val="000000" w:themeColor="text1"/>
          <w:sz w:val="26"/>
          <w:szCs w:val="26"/>
        </w:rPr>
      </w:pPr>
      <w:r w:rsidRPr="00E460CF">
        <w:rPr>
          <w:color w:val="000000" w:themeColor="text1"/>
          <w:sz w:val="26"/>
          <w:szCs w:val="26"/>
        </w:rPr>
        <w:t>Secretary</w:t>
      </w:r>
    </w:p>
    <w:p w14:paraId="0063AA25" w14:textId="77777777" w:rsidR="00EE10AD" w:rsidRPr="00E460CF" w:rsidRDefault="00EE10AD" w:rsidP="0030319A">
      <w:pPr>
        <w:keepNext/>
        <w:keepLines/>
        <w:tabs>
          <w:tab w:val="left" w:pos="-720"/>
        </w:tabs>
        <w:contextualSpacing/>
        <w:rPr>
          <w:color w:val="000000" w:themeColor="text1"/>
          <w:sz w:val="26"/>
          <w:szCs w:val="26"/>
        </w:rPr>
      </w:pPr>
    </w:p>
    <w:p w14:paraId="0A82F1C9" w14:textId="31333EE1" w:rsidR="00EE10AD" w:rsidRDefault="00EE10AD" w:rsidP="00A028C2">
      <w:pPr>
        <w:keepNext/>
        <w:keepLines/>
        <w:tabs>
          <w:tab w:val="left" w:pos="-720"/>
        </w:tabs>
        <w:contextualSpacing/>
        <w:rPr>
          <w:color w:val="000000" w:themeColor="text1"/>
          <w:sz w:val="26"/>
          <w:szCs w:val="26"/>
        </w:rPr>
      </w:pPr>
    </w:p>
    <w:p w14:paraId="16000FDD" w14:textId="77777777" w:rsidR="0030319A" w:rsidRPr="00E460CF" w:rsidRDefault="0030319A" w:rsidP="00A028C2">
      <w:pPr>
        <w:keepNext/>
        <w:keepLines/>
        <w:tabs>
          <w:tab w:val="left" w:pos="-720"/>
        </w:tabs>
        <w:contextualSpacing/>
        <w:rPr>
          <w:color w:val="000000" w:themeColor="text1"/>
          <w:sz w:val="26"/>
          <w:szCs w:val="26"/>
        </w:rPr>
      </w:pPr>
    </w:p>
    <w:p w14:paraId="5C82632B" w14:textId="77777777" w:rsidR="00EE10AD" w:rsidRPr="00E460CF" w:rsidRDefault="00EE10AD" w:rsidP="00A028C2">
      <w:pPr>
        <w:keepNext/>
        <w:keepLines/>
        <w:tabs>
          <w:tab w:val="left" w:pos="-720"/>
        </w:tabs>
        <w:contextualSpacing/>
        <w:rPr>
          <w:color w:val="000000" w:themeColor="text1"/>
          <w:sz w:val="26"/>
          <w:szCs w:val="26"/>
        </w:rPr>
      </w:pPr>
      <w:r w:rsidRPr="00E460CF">
        <w:rPr>
          <w:color w:val="000000" w:themeColor="text1"/>
          <w:sz w:val="26"/>
          <w:szCs w:val="26"/>
        </w:rPr>
        <w:t>(SEAL)</w:t>
      </w:r>
    </w:p>
    <w:p w14:paraId="112344DA" w14:textId="77777777" w:rsidR="00EE10AD" w:rsidRPr="00E460CF" w:rsidRDefault="00EE10AD" w:rsidP="00A028C2">
      <w:pPr>
        <w:keepNext/>
        <w:keepLines/>
        <w:tabs>
          <w:tab w:val="left" w:pos="-720"/>
        </w:tabs>
        <w:contextualSpacing/>
        <w:rPr>
          <w:color w:val="000000" w:themeColor="text1"/>
          <w:sz w:val="26"/>
          <w:szCs w:val="26"/>
        </w:rPr>
      </w:pPr>
    </w:p>
    <w:p w14:paraId="11151A64" w14:textId="5D1D7F9D" w:rsidR="00EE10AD" w:rsidRPr="00E460CF" w:rsidRDefault="00EE10AD" w:rsidP="00A028C2">
      <w:pPr>
        <w:keepNext/>
        <w:keepLines/>
        <w:tabs>
          <w:tab w:val="left" w:pos="-720"/>
        </w:tabs>
        <w:contextualSpacing/>
        <w:rPr>
          <w:color w:val="000000" w:themeColor="text1"/>
          <w:sz w:val="26"/>
          <w:szCs w:val="26"/>
        </w:rPr>
      </w:pPr>
      <w:r w:rsidRPr="00E460CF">
        <w:rPr>
          <w:color w:val="000000" w:themeColor="text1"/>
          <w:sz w:val="26"/>
          <w:szCs w:val="26"/>
        </w:rPr>
        <w:t xml:space="preserve">ORDER ADOPTED:  </w:t>
      </w:r>
      <w:r w:rsidR="00282BF5">
        <w:rPr>
          <w:color w:val="000000" w:themeColor="text1"/>
          <w:sz w:val="26"/>
          <w:szCs w:val="26"/>
        </w:rPr>
        <w:t xml:space="preserve">February </w:t>
      </w:r>
      <w:r w:rsidR="00787830">
        <w:rPr>
          <w:color w:val="000000" w:themeColor="text1"/>
          <w:sz w:val="26"/>
          <w:szCs w:val="26"/>
        </w:rPr>
        <w:t>24</w:t>
      </w:r>
      <w:r w:rsidRPr="00E460CF">
        <w:rPr>
          <w:color w:val="000000" w:themeColor="text1"/>
          <w:sz w:val="26"/>
          <w:szCs w:val="26"/>
        </w:rPr>
        <w:t>, 202</w:t>
      </w:r>
      <w:r w:rsidR="00DC3F19">
        <w:rPr>
          <w:color w:val="000000" w:themeColor="text1"/>
          <w:sz w:val="26"/>
          <w:szCs w:val="26"/>
        </w:rPr>
        <w:t>2</w:t>
      </w:r>
    </w:p>
    <w:p w14:paraId="71A234D5" w14:textId="77777777" w:rsidR="00EE10AD" w:rsidRPr="00E460CF" w:rsidRDefault="00EE10AD" w:rsidP="00A028C2">
      <w:pPr>
        <w:keepNext/>
        <w:keepLines/>
        <w:tabs>
          <w:tab w:val="left" w:pos="-720"/>
        </w:tabs>
        <w:contextualSpacing/>
        <w:rPr>
          <w:color w:val="000000" w:themeColor="text1"/>
          <w:sz w:val="26"/>
          <w:szCs w:val="26"/>
        </w:rPr>
      </w:pPr>
    </w:p>
    <w:p w14:paraId="47BD153C" w14:textId="1D8771D6" w:rsidR="00073CE0" w:rsidRPr="00D007A6" w:rsidRDefault="00EE10AD" w:rsidP="00482418">
      <w:pPr>
        <w:tabs>
          <w:tab w:val="left" w:pos="-720"/>
        </w:tabs>
        <w:contextualSpacing/>
        <w:rPr>
          <w:rFonts w:eastAsiaTheme="minorEastAsia"/>
          <w:sz w:val="26"/>
          <w:szCs w:val="26"/>
        </w:rPr>
      </w:pPr>
      <w:r w:rsidRPr="00E460CF">
        <w:rPr>
          <w:color w:val="000000" w:themeColor="text1"/>
          <w:sz w:val="26"/>
          <w:szCs w:val="26"/>
        </w:rPr>
        <w:t>ORDER ENTERED</w:t>
      </w:r>
      <w:r w:rsidR="00A028C2">
        <w:rPr>
          <w:color w:val="000000" w:themeColor="text1"/>
          <w:sz w:val="26"/>
          <w:szCs w:val="26"/>
        </w:rPr>
        <w:t xml:space="preserve">: </w:t>
      </w:r>
      <w:r w:rsidR="0030319A">
        <w:rPr>
          <w:color w:val="000000" w:themeColor="text1"/>
          <w:sz w:val="26"/>
          <w:szCs w:val="26"/>
        </w:rPr>
        <w:t xml:space="preserve"> </w:t>
      </w:r>
      <w:r w:rsidR="00F723D1">
        <w:rPr>
          <w:color w:val="000000" w:themeColor="text1"/>
          <w:sz w:val="26"/>
          <w:szCs w:val="26"/>
        </w:rPr>
        <w:t>February 24, 2022</w:t>
      </w:r>
    </w:p>
    <w:sectPr w:rsidR="00073CE0" w:rsidRPr="00D007A6" w:rsidSect="006D1369">
      <w:headerReference w:type="default" r:id="rId9"/>
      <w:footerReference w:type="default" r:id="rId10"/>
      <w:headerReference w:type="first" r:id="rId11"/>
      <w:pgSz w:w="12240" w:h="15840"/>
      <w:pgMar w:top="1440" w:right="1440" w:bottom="1296" w:left="1440"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AFE73A" w14:textId="77777777" w:rsidR="00567366" w:rsidRDefault="00567366" w:rsidP="00EE10AD">
      <w:r>
        <w:separator/>
      </w:r>
    </w:p>
  </w:endnote>
  <w:endnote w:type="continuationSeparator" w:id="0">
    <w:p w14:paraId="0EC0C85F" w14:textId="77777777" w:rsidR="00567366" w:rsidRDefault="00567366" w:rsidP="00EE10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imes New Roman Bold">
    <w:panose1 w:val="00000000000000000000"/>
    <w:charset w:val="00"/>
    <w:family w:val="roman"/>
    <w:notTrueType/>
    <w:pitch w:val="default"/>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Arial">
    <w:charset w:val="00"/>
    <w:pitch w:val="variable"/>
    <w:family w:val="swiss"/>
    <w:panose1 w:val="02020603050405020304"/>
  </w:font>
  <w:font w:name="Times New Roman">
    <w:charset w:val="00"/>
    <w:pitch w:val="variable"/>
    <w:family w:val="roman"/>
    <w:panose1 w:val="02020603050405020304"/>
  </w:font>
  <w:font w:name="Tahoma">
    <w:charset w:val="00"/>
    <w:pitch w:val="variable"/>
    <w:family w:val="swiss"/>
    <w:panose1 w:val="02020603050405020304"/>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6"/>
        <w:szCs w:val="26"/>
      </w:rPr>
      <w:id w:val="-321895733"/>
      <w:docPartObj>
        <w:docPartGallery w:val="Page Numbers (Bottom of Page)"/>
        <w:docPartUnique/>
      </w:docPartObj>
    </w:sdtPr>
    <w:sdtEndPr>
      <w:rPr>
        <w:noProof/>
      </w:rPr>
    </w:sdtEndPr>
    <w:sdtContent>
      <w:p w14:paraId="37E3B571" w14:textId="2B9810A1" w:rsidR="005F5821" w:rsidRPr="004D2603" w:rsidRDefault="006D1369" w:rsidP="006D1369">
        <w:pPr>
          <w:pStyle w:val="Footer"/>
          <w:jc w:val="center"/>
          <w:rPr>
            <w:sz w:val="26"/>
            <w:szCs w:val="26"/>
          </w:rPr>
        </w:pPr>
        <w:r w:rsidRPr="006D1369">
          <w:rPr>
            <w:sz w:val="26"/>
            <w:szCs w:val="26"/>
          </w:rPr>
          <w:fldChar w:fldCharType="begin"/>
        </w:r>
        <w:r w:rsidRPr="006D1369">
          <w:rPr>
            <w:sz w:val="26"/>
            <w:szCs w:val="26"/>
          </w:rPr>
          <w:instrText xml:space="preserve"> PAGE   \* MERGEFORMAT </w:instrText>
        </w:r>
        <w:r w:rsidRPr="006D1369">
          <w:rPr>
            <w:sz w:val="26"/>
            <w:szCs w:val="26"/>
          </w:rPr>
          <w:fldChar w:fldCharType="separate"/>
        </w:r>
        <w:r w:rsidRPr="006D1369">
          <w:rPr>
            <w:noProof/>
            <w:sz w:val="26"/>
            <w:szCs w:val="26"/>
          </w:rPr>
          <w:t>2</w:t>
        </w:r>
        <w:r w:rsidRPr="006D1369">
          <w:rPr>
            <w:noProof/>
            <w:sz w:val="26"/>
            <w:szCs w:val="2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0D43B1" w14:textId="77777777" w:rsidR="00567366" w:rsidRDefault="00567366" w:rsidP="00EE10AD">
      <w:r>
        <w:separator/>
      </w:r>
    </w:p>
  </w:footnote>
  <w:footnote w:type="continuationSeparator" w:id="0">
    <w:p w14:paraId="04D3E27E" w14:textId="77777777" w:rsidR="00567366" w:rsidRDefault="00567366" w:rsidP="00EE10AD">
      <w:r>
        <w:continuationSeparator/>
      </w:r>
    </w:p>
  </w:footnote>
  <w:footnote w:id="1">
    <w:p w14:paraId="4FA28AA5" w14:textId="69DF1927" w:rsidR="00E61082" w:rsidRPr="00E020AC" w:rsidRDefault="00E61082" w:rsidP="00E61082">
      <w:pPr>
        <w:pStyle w:val="FootnoteText"/>
        <w:keepNext/>
        <w:keepLines/>
        <w:ind w:firstLine="720"/>
        <w:rPr>
          <w:sz w:val="26"/>
          <w:szCs w:val="26"/>
        </w:rPr>
      </w:pPr>
      <w:r w:rsidRPr="00E020AC">
        <w:rPr>
          <w:rStyle w:val="FootnoteReference"/>
          <w:sz w:val="26"/>
          <w:szCs w:val="26"/>
        </w:rPr>
        <w:footnoteRef/>
      </w:r>
      <w:r w:rsidRPr="00E020AC">
        <w:rPr>
          <w:sz w:val="26"/>
          <w:szCs w:val="26"/>
        </w:rPr>
        <w:tab/>
      </w:r>
      <w:r w:rsidRPr="00522766">
        <w:rPr>
          <w:sz w:val="26"/>
          <w:szCs w:val="26"/>
        </w:rPr>
        <w:t>Discount is licensed by the Commission, at Docket No. A-2012-2328004, to operate in the following electric distribution company (EDC) service territories of Pennsylvania:</w:t>
      </w:r>
      <w:r w:rsidR="00451977">
        <w:rPr>
          <w:sz w:val="26"/>
          <w:szCs w:val="26"/>
        </w:rPr>
        <w:t xml:space="preserve"> </w:t>
      </w:r>
      <w:r w:rsidRPr="00522766">
        <w:rPr>
          <w:sz w:val="26"/>
          <w:szCs w:val="26"/>
        </w:rPr>
        <w:t xml:space="preserve"> (1) PECO Energy Company</w:t>
      </w:r>
      <w:r>
        <w:rPr>
          <w:sz w:val="26"/>
          <w:szCs w:val="26"/>
        </w:rPr>
        <w:t xml:space="preserve"> (PECO)</w:t>
      </w:r>
      <w:r w:rsidRPr="00522766">
        <w:rPr>
          <w:sz w:val="26"/>
          <w:szCs w:val="26"/>
        </w:rPr>
        <w:t xml:space="preserve">; (2) </w:t>
      </w:r>
      <w:r w:rsidRPr="009E3F5A">
        <w:rPr>
          <w:sz w:val="26"/>
          <w:szCs w:val="26"/>
        </w:rPr>
        <w:t>Duquesne Light Company</w:t>
      </w:r>
      <w:r>
        <w:rPr>
          <w:sz w:val="26"/>
          <w:szCs w:val="26"/>
        </w:rPr>
        <w:t xml:space="preserve"> (Duquesne)</w:t>
      </w:r>
      <w:r w:rsidRPr="009E3F5A">
        <w:rPr>
          <w:sz w:val="26"/>
          <w:szCs w:val="26"/>
        </w:rPr>
        <w:t>; (3)</w:t>
      </w:r>
      <w:r>
        <w:rPr>
          <w:sz w:val="26"/>
          <w:szCs w:val="26"/>
        </w:rPr>
        <w:t> </w:t>
      </w:r>
      <w:r w:rsidRPr="009E3F5A">
        <w:rPr>
          <w:sz w:val="26"/>
          <w:szCs w:val="26"/>
        </w:rPr>
        <w:t>Metropolitan Edison Company</w:t>
      </w:r>
      <w:r>
        <w:rPr>
          <w:sz w:val="26"/>
          <w:szCs w:val="26"/>
        </w:rPr>
        <w:t xml:space="preserve"> (Met-Ed)</w:t>
      </w:r>
      <w:r w:rsidRPr="009E3F5A">
        <w:rPr>
          <w:sz w:val="26"/>
          <w:szCs w:val="26"/>
        </w:rPr>
        <w:t>; (4) Pennsylvania Electric Company</w:t>
      </w:r>
      <w:r>
        <w:rPr>
          <w:sz w:val="26"/>
          <w:szCs w:val="26"/>
        </w:rPr>
        <w:t xml:space="preserve"> (Penelec)</w:t>
      </w:r>
      <w:r w:rsidRPr="009E3F5A">
        <w:rPr>
          <w:sz w:val="26"/>
          <w:szCs w:val="26"/>
        </w:rPr>
        <w:t>; and (5) PPL.  Settlement at ¶ 7.</w:t>
      </w:r>
    </w:p>
  </w:footnote>
  <w:footnote w:id="2">
    <w:p w14:paraId="37B1727F" w14:textId="74F4D285" w:rsidR="002F4A53" w:rsidRPr="002F4A53" w:rsidRDefault="002F4A53" w:rsidP="007D6BE9">
      <w:pPr>
        <w:pStyle w:val="FootnoteText"/>
        <w:keepNext/>
        <w:keepLines/>
        <w:spacing w:after="120"/>
        <w:ind w:firstLine="720"/>
        <w:rPr>
          <w:sz w:val="26"/>
          <w:szCs w:val="26"/>
        </w:rPr>
      </w:pPr>
      <w:r w:rsidRPr="00F507C3">
        <w:rPr>
          <w:rStyle w:val="FootnoteReference"/>
          <w:sz w:val="26"/>
          <w:szCs w:val="26"/>
        </w:rPr>
        <w:footnoteRef/>
      </w:r>
      <w:r w:rsidRPr="00F507C3">
        <w:rPr>
          <w:sz w:val="26"/>
          <w:szCs w:val="26"/>
        </w:rPr>
        <w:tab/>
      </w:r>
      <w:r w:rsidR="007F4AC3" w:rsidRPr="00F507C3">
        <w:rPr>
          <w:sz w:val="26"/>
          <w:szCs w:val="26"/>
        </w:rPr>
        <w:t>A</w:t>
      </w:r>
      <w:r w:rsidR="00F06EEB">
        <w:rPr>
          <w:sz w:val="26"/>
          <w:szCs w:val="26"/>
        </w:rPr>
        <w:t>lthough Mr. Zimmerman’s Comments were filed on December 9, 2021</w:t>
      </w:r>
      <w:r w:rsidR="00956440" w:rsidRPr="00F507C3">
        <w:rPr>
          <w:sz w:val="26"/>
          <w:szCs w:val="26"/>
        </w:rPr>
        <w:t>, the</w:t>
      </w:r>
      <w:r w:rsidR="007F4AC3" w:rsidRPr="00F507C3">
        <w:rPr>
          <w:sz w:val="26"/>
          <w:szCs w:val="26"/>
        </w:rPr>
        <w:t xml:space="preserve"> </w:t>
      </w:r>
      <w:r w:rsidR="007F4AC3" w:rsidRPr="00F507C3">
        <w:rPr>
          <w:i/>
          <w:iCs/>
          <w:sz w:val="26"/>
          <w:szCs w:val="26"/>
        </w:rPr>
        <w:t>October 2021 Order</w:t>
      </w:r>
      <w:r w:rsidR="00956440" w:rsidRPr="00F507C3">
        <w:rPr>
          <w:sz w:val="26"/>
          <w:szCs w:val="26"/>
        </w:rPr>
        <w:t xml:space="preserve"> indicated that</w:t>
      </w:r>
      <w:r w:rsidR="007F4AC3" w:rsidRPr="00F507C3">
        <w:rPr>
          <w:sz w:val="26"/>
          <w:szCs w:val="26"/>
        </w:rPr>
        <w:t xml:space="preserve"> comments on the proposed Joint Settlement were due on or before December 8, 2021</w:t>
      </w:r>
      <w:r w:rsidR="00956440" w:rsidRPr="00F507C3">
        <w:rPr>
          <w:sz w:val="26"/>
          <w:szCs w:val="26"/>
        </w:rPr>
        <w:t xml:space="preserve">.  </w:t>
      </w:r>
      <w:r w:rsidR="005956B7">
        <w:rPr>
          <w:sz w:val="26"/>
          <w:szCs w:val="26"/>
        </w:rPr>
        <w:t>Consequently,</w:t>
      </w:r>
      <w:r w:rsidR="00DC42BE">
        <w:rPr>
          <w:sz w:val="26"/>
          <w:szCs w:val="26"/>
        </w:rPr>
        <w:t xml:space="preserve"> </w:t>
      </w:r>
      <w:r w:rsidR="00D80C59">
        <w:rPr>
          <w:sz w:val="26"/>
          <w:szCs w:val="26"/>
        </w:rPr>
        <w:t>while we acknowledge that Mr.</w:t>
      </w:r>
      <w:r w:rsidR="00CA048C">
        <w:rPr>
          <w:sz w:val="26"/>
          <w:szCs w:val="26"/>
        </w:rPr>
        <w:t> </w:t>
      </w:r>
      <w:r w:rsidR="00D80C59">
        <w:rPr>
          <w:sz w:val="26"/>
          <w:szCs w:val="26"/>
        </w:rPr>
        <w:t xml:space="preserve">Zimmerman’s Comments were not timely filed, </w:t>
      </w:r>
      <w:r w:rsidR="00EB0B7F">
        <w:rPr>
          <w:sz w:val="26"/>
          <w:szCs w:val="26"/>
        </w:rPr>
        <w:t xml:space="preserve">we will consider them </w:t>
      </w:r>
      <w:r w:rsidR="005956B7">
        <w:rPr>
          <w:sz w:val="26"/>
          <w:szCs w:val="26"/>
        </w:rPr>
        <w:t>i</w:t>
      </w:r>
      <w:r w:rsidR="00F06EEB">
        <w:rPr>
          <w:sz w:val="26"/>
          <w:szCs w:val="26"/>
        </w:rPr>
        <w:t>n</w:t>
      </w:r>
      <w:r w:rsidR="002612DB" w:rsidRPr="00F507C3">
        <w:rPr>
          <w:sz w:val="26"/>
          <w:szCs w:val="26"/>
        </w:rPr>
        <w:t xml:space="preserve"> order to secure a just</w:t>
      </w:r>
      <w:r w:rsidR="002612DB">
        <w:rPr>
          <w:sz w:val="26"/>
          <w:szCs w:val="26"/>
        </w:rPr>
        <w:t>,</w:t>
      </w:r>
      <w:r w:rsidR="002612DB" w:rsidRPr="00F507C3">
        <w:rPr>
          <w:sz w:val="26"/>
          <w:szCs w:val="26"/>
        </w:rPr>
        <w:t xml:space="preserve"> speedy and inexpensive determination in this proceeding, </w:t>
      </w:r>
      <w:r w:rsidR="00EB0B7F">
        <w:rPr>
          <w:sz w:val="26"/>
          <w:szCs w:val="26"/>
        </w:rPr>
        <w:t>particularly as</w:t>
      </w:r>
      <w:r w:rsidR="006F7040">
        <w:rPr>
          <w:sz w:val="26"/>
          <w:szCs w:val="26"/>
        </w:rPr>
        <w:t xml:space="preserve"> Mr.</w:t>
      </w:r>
      <w:r w:rsidR="00CA048C">
        <w:rPr>
          <w:sz w:val="26"/>
          <w:szCs w:val="26"/>
        </w:rPr>
        <w:t> </w:t>
      </w:r>
      <w:r w:rsidR="006F7040">
        <w:rPr>
          <w:sz w:val="26"/>
          <w:szCs w:val="26"/>
        </w:rPr>
        <w:t xml:space="preserve">Zimmerman is appearing </w:t>
      </w:r>
      <w:r w:rsidR="006F7040" w:rsidRPr="00E9555E">
        <w:rPr>
          <w:i/>
          <w:iCs/>
          <w:sz w:val="26"/>
          <w:szCs w:val="26"/>
        </w:rPr>
        <w:t>pro se</w:t>
      </w:r>
      <w:r w:rsidR="006F7040">
        <w:rPr>
          <w:sz w:val="26"/>
          <w:szCs w:val="26"/>
        </w:rPr>
        <w:t xml:space="preserve"> in this proceeding</w:t>
      </w:r>
      <w:r w:rsidR="009472DF">
        <w:rPr>
          <w:sz w:val="26"/>
          <w:szCs w:val="26"/>
        </w:rPr>
        <w:t xml:space="preserve">.  </w:t>
      </w:r>
      <w:r w:rsidR="009472DF" w:rsidRPr="00F507C3">
        <w:rPr>
          <w:sz w:val="26"/>
          <w:szCs w:val="26"/>
        </w:rPr>
        <w:t>52 Pa. Code § 1.2(a)</w:t>
      </w:r>
      <w:r w:rsidR="00CA048C">
        <w:rPr>
          <w:sz w:val="26"/>
          <w:szCs w:val="26"/>
        </w:rPr>
        <w:t>,(d)</w:t>
      </w:r>
      <w:r w:rsidR="00F507C3" w:rsidRPr="00F507C3">
        <w:rPr>
          <w:sz w:val="26"/>
          <w:szCs w:val="26"/>
        </w:rPr>
        <w:t>.</w:t>
      </w:r>
    </w:p>
  </w:footnote>
  <w:footnote w:id="3">
    <w:p w14:paraId="5F420672" w14:textId="40B04672" w:rsidR="009A7BC8" w:rsidRPr="00160DA0" w:rsidRDefault="009A7BC8" w:rsidP="007D6BE9">
      <w:pPr>
        <w:pStyle w:val="FootnoteText"/>
        <w:keepNext/>
        <w:keepLines/>
        <w:spacing w:after="120"/>
        <w:ind w:firstLine="720"/>
        <w:rPr>
          <w:sz w:val="26"/>
          <w:szCs w:val="26"/>
        </w:rPr>
      </w:pPr>
      <w:r w:rsidRPr="00160DA0">
        <w:rPr>
          <w:rStyle w:val="FootnoteReference"/>
          <w:sz w:val="26"/>
          <w:szCs w:val="26"/>
        </w:rPr>
        <w:footnoteRef/>
      </w:r>
      <w:r w:rsidRPr="00160DA0">
        <w:rPr>
          <w:sz w:val="26"/>
          <w:szCs w:val="26"/>
        </w:rPr>
        <w:tab/>
        <w:t xml:space="preserve">On December 23, 2021, I&amp;E </w:t>
      </w:r>
      <w:r w:rsidR="00124420" w:rsidRPr="00160DA0">
        <w:rPr>
          <w:sz w:val="26"/>
          <w:szCs w:val="26"/>
        </w:rPr>
        <w:t>filed a letter advis</w:t>
      </w:r>
      <w:r w:rsidR="00A85242">
        <w:rPr>
          <w:sz w:val="26"/>
          <w:szCs w:val="26"/>
        </w:rPr>
        <w:t>ing</w:t>
      </w:r>
      <w:r w:rsidR="00124420" w:rsidRPr="00160DA0">
        <w:rPr>
          <w:sz w:val="26"/>
          <w:szCs w:val="26"/>
        </w:rPr>
        <w:t xml:space="preserve"> the Parties and the Commission, </w:t>
      </w:r>
      <w:r w:rsidR="00124420" w:rsidRPr="00AE6D8D">
        <w:rPr>
          <w:i/>
          <w:iCs/>
          <w:sz w:val="26"/>
          <w:szCs w:val="26"/>
        </w:rPr>
        <w:t>inter alia</w:t>
      </w:r>
      <w:r w:rsidR="00B21A7B" w:rsidRPr="00160DA0">
        <w:rPr>
          <w:sz w:val="26"/>
          <w:szCs w:val="26"/>
        </w:rPr>
        <w:t>, that I&amp;E will not be submitting an answer or other response pleading with regard to Discount’s Motion</w:t>
      </w:r>
      <w:r w:rsidR="00160DA0" w:rsidRPr="00160DA0">
        <w:rPr>
          <w:sz w:val="26"/>
          <w:szCs w:val="26"/>
        </w:rPr>
        <w:t>s to Strike.</w:t>
      </w:r>
    </w:p>
  </w:footnote>
  <w:footnote w:id="4">
    <w:p w14:paraId="22F7A7EA" w14:textId="77777777" w:rsidR="00707E15" w:rsidRPr="004303CD" w:rsidRDefault="00707E15" w:rsidP="00707E15">
      <w:pPr>
        <w:pStyle w:val="FootnoteText"/>
        <w:keepNext/>
        <w:keepLines/>
        <w:ind w:firstLine="720"/>
        <w:contextualSpacing/>
        <w:rPr>
          <w:sz w:val="26"/>
          <w:szCs w:val="26"/>
        </w:rPr>
      </w:pPr>
      <w:r w:rsidRPr="004303CD">
        <w:rPr>
          <w:rStyle w:val="FootnoteReference"/>
          <w:sz w:val="26"/>
          <w:szCs w:val="26"/>
        </w:rPr>
        <w:footnoteRef/>
      </w:r>
      <w:r w:rsidRPr="004303CD">
        <w:rPr>
          <w:sz w:val="26"/>
          <w:szCs w:val="26"/>
        </w:rPr>
        <w:tab/>
      </w:r>
      <w:r>
        <w:rPr>
          <w:sz w:val="26"/>
          <w:szCs w:val="26"/>
        </w:rPr>
        <w:t>The Director</w:t>
      </w:r>
      <w:r w:rsidRPr="008735CA">
        <w:rPr>
          <w:sz w:val="26"/>
          <w:szCs w:val="26"/>
        </w:rPr>
        <w:t xml:space="preserve">’s telephone number is on the Do Not Call registry.  </w:t>
      </w:r>
      <w:r w:rsidRPr="00A016E4">
        <w:rPr>
          <w:sz w:val="26"/>
          <w:szCs w:val="26"/>
        </w:rPr>
        <w:t>Settlement at ¶¶ 23,</w:t>
      </w:r>
      <w:r>
        <w:rPr>
          <w:sz w:val="26"/>
          <w:szCs w:val="26"/>
        </w:rPr>
        <w:t xml:space="preserve"> </w:t>
      </w:r>
      <w:r w:rsidRPr="00A016E4">
        <w:rPr>
          <w:sz w:val="26"/>
          <w:szCs w:val="26"/>
        </w:rPr>
        <w:t>28.</w:t>
      </w:r>
    </w:p>
  </w:footnote>
  <w:footnote w:id="5">
    <w:p w14:paraId="693B03C0" w14:textId="77777777" w:rsidR="0063045B" w:rsidRPr="00AD4CF4" w:rsidRDefault="0063045B" w:rsidP="0063045B">
      <w:pPr>
        <w:pStyle w:val="FootnoteText"/>
        <w:keepNext/>
        <w:keepLines/>
        <w:ind w:firstLine="720"/>
        <w:contextualSpacing/>
        <w:rPr>
          <w:sz w:val="26"/>
          <w:szCs w:val="26"/>
        </w:rPr>
      </w:pPr>
      <w:r w:rsidRPr="00407FBD">
        <w:rPr>
          <w:rStyle w:val="FootnoteReference"/>
          <w:sz w:val="26"/>
          <w:szCs w:val="26"/>
        </w:rPr>
        <w:footnoteRef/>
      </w:r>
      <w:r w:rsidRPr="00407FBD">
        <w:rPr>
          <w:sz w:val="26"/>
          <w:szCs w:val="26"/>
        </w:rPr>
        <w:tab/>
        <w:t>To protect the identity and confidential nature of the complainants, I&amp;E and Discount have agreed to</w:t>
      </w:r>
      <w:r w:rsidRPr="00407FBD">
        <w:t xml:space="preserve"> </w:t>
      </w:r>
      <w:r w:rsidRPr="00407FBD">
        <w:rPr>
          <w:sz w:val="26"/>
          <w:szCs w:val="26"/>
        </w:rPr>
        <w:t>remove any identifying information from the allegations.  Settlement at ¶ 30.</w:t>
      </w:r>
    </w:p>
  </w:footnote>
  <w:footnote w:id="6">
    <w:p w14:paraId="67FEF886" w14:textId="591DDBE5" w:rsidR="005C4D5B" w:rsidRPr="00B16FD9" w:rsidRDefault="005C4D5B" w:rsidP="005C4D5B">
      <w:pPr>
        <w:pStyle w:val="FootnoteText"/>
        <w:keepNext/>
        <w:keepLines/>
        <w:ind w:firstLine="720"/>
        <w:rPr>
          <w:sz w:val="26"/>
          <w:szCs w:val="26"/>
        </w:rPr>
      </w:pPr>
      <w:r w:rsidRPr="00B16FD9">
        <w:rPr>
          <w:rStyle w:val="FootnoteReference"/>
          <w:sz w:val="26"/>
          <w:szCs w:val="26"/>
        </w:rPr>
        <w:footnoteRef/>
      </w:r>
      <w:r w:rsidRPr="00B16FD9">
        <w:rPr>
          <w:sz w:val="26"/>
          <w:szCs w:val="26"/>
        </w:rPr>
        <w:tab/>
      </w:r>
      <w:r w:rsidRPr="00E22B63">
        <w:rPr>
          <w:rFonts w:eastAsia="Calibri"/>
          <w:i/>
          <w:iCs/>
          <w:sz w:val="26"/>
          <w:szCs w:val="26"/>
        </w:rPr>
        <w:t>Pa. PUC</w:t>
      </w:r>
      <w:r>
        <w:rPr>
          <w:rFonts w:eastAsia="Calibri"/>
          <w:i/>
          <w:iCs/>
          <w:sz w:val="26"/>
          <w:szCs w:val="26"/>
        </w:rPr>
        <w:t xml:space="preserve">, </w:t>
      </w:r>
      <w:r w:rsidRPr="00D33ADB">
        <w:rPr>
          <w:i/>
          <w:iCs/>
          <w:sz w:val="26"/>
          <w:szCs w:val="26"/>
        </w:rPr>
        <w:t>Bureau of Investigation and Enforcement</w:t>
      </w:r>
      <w:r w:rsidRPr="0089372C">
        <w:rPr>
          <w:i/>
          <w:sz w:val="26"/>
          <w:szCs w:val="26"/>
        </w:rPr>
        <w:t xml:space="preserve"> v.</w:t>
      </w:r>
      <w:r>
        <w:rPr>
          <w:i/>
          <w:sz w:val="26"/>
          <w:szCs w:val="26"/>
        </w:rPr>
        <w:t xml:space="preserve"> Verde Energy USA, </w:t>
      </w:r>
      <w:r w:rsidRPr="00D032F2">
        <w:rPr>
          <w:i/>
          <w:sz w:val="26"/>
          <w:szCs w:val="26"/>
        </w:rPr>
        <w:t>Inc.</w:t>
      </w:r>
      <w:r w:rsidRPr="00D032F2">
        <w:rPr>
          <w:iCs/>
          <w:sz w:val="26"/>
          <w:szCs w:val="26"/>
        </w:rPr>
        <w:t>,</w:t>
      </w:r>
      <w:r w:rsidRPr="00D032F2">
        <w:rPr>
          <w:i/>
          <w:sz w:val="26"/>
          <w:szCs w:val="26"/>
        </w:rPr>
        <w:t xml:space="preserve"> </w:t>
      </w:r>
      <w:r w:rsidRPr="00D032F2">
        <w:rPr>
          <w:iCs/>
          <w:sz w:val="26"/>
          <w:szCs w:val="26"/>
        </w:rPr>
        <w:t>Docket No.</w:t>
      </w:r>
      <w:r w:rsidRPr="00D032F2">
        <w:rPr>
          <w:i/>
          <w:sz w:val="26"/>
          <w:szCs w:val="26"/>
        </w:rPr>
        <w:t xml:space="preserve"> </w:t>
      </w:r>
      <w:r w:rsidRPr="00D032F2">
        <w:rPr>
          <w:sz w:val="26"/>
          <w:szCs w:val="26"/>
        </w:rPr>
        <w:t>C-2020-3017229 (Order entered October 26, 2021)</w:t>
      </w:r>
      <w:r>
        <w:rPr>
          <w:sz w:val="26"/>
          <w:szCs w:val="26"/>
        </w:rPr>
        <w:t xml:space="preserve"> (</w:t>
      </w:r>
      <w:r w:rsidRPr="00562E85">
        <w:rPr>
          <w:i/>
          <w:iCs/>
          <w:sz w:val="26"/>
          <w:szCs w:val="26"/>
        </w:rPr>
        <w:t>Verde Energy</w:t>
      </w:r>
      <w:r>
        <w:rPr>
          <w:sz w:val="26"/>
          <w:szCs w:val="26"/>
        </w:rPr>
        <w:t xml:space="preserve">); </w:t>
      </w:r>
      <w:r w:rsidRPr="00523F41">
        <w:rPr>
          <w:i/>
          <w:iCs/>
          <w:sz w:val="26"/>
          <w:szCs w:val="26"/>
        </w:rPr>
        <w:t xml:space="preserve">Petition of PPL Electric Utilities Corporation for Approval of a Default Service Program and Procurement Plan for the Period June 1, 2017 </w:t>
      </w:r>
      <w:r>
        <w:rPr>
          <w:i/>
          <w:iCs/>
          <w:sz w:val="26"/>
          <w:szCs w:val="26"/>
        </w:rPr>
        <w:t>T</w:t>
      </w:r>
      <w:r w:rsidRPr="00523F41">
        <w:rPr>
          <w:i/>
          <w:iCs/>
          <w:sz w:val="26"/>
          <w:szCs w:val="26"/>
        </w:rPr>
        <w:t>hrough May 31, 2021</w:t>
      </w:r>
      <w:r>
        <w:rPr>
          <w:sz w:val="26"/>
          <w:szCs w:val="26"/>
        </w:rPr>
        <w:t xml:space="preserve"> (P</w:t>
      </w:r>
      <w:r w:rsidR="005029BC">
        <w:rPr>
          <w:sz w:val="26"/>
          <w:szCs w:val="26"/>
        </w:rPr>
        <w:noBreakHyphen/>
      </w:r>
      <w:r>
        <w:rPr>
          <w:sz w:val="26"/>
          <w:szCs w:val="26"/>
        </w:rPr>
        <w:t>2016</w:t>
      </w:r>
      <w:r w:rsidR="005029BC">
        <w:rPr>
          <w:sz w:val="26"/>
          <w:szCs w:val="26"/>
        </w:rPr>
        <w:noBreakHyphen/>
      </w:r>
      <w:r w:rsidRPr="00214551">
        <w:rPr>
          <w:sz w:val="26"/>
          <w:szCs w:val="26"/>
        </w:rPr>
        <w:t xml:space="preserve">2526627); </w:t>
      </w:r>
      <w:r w:rsidRPr="00214551">
        <w:rPr>
          <w:i/>
          <w:iCs/>
          <w:sz w:val="26"/>
          <w:szCs w:val="26"/>
        </w:rPr>
        <w:t xml:space="preserve">Petition of PPL Electric Utilities Corporation for Approval of </w:t>
      </w:r>
      <w:r>
        <w:rPr>
          <w:i/>
          <w:iCs/>
          <w:sz w:val="26"/>
          <w:szCs w:val="26"/>
        </w:rPr>
        <w:t>I</w:t>
      </w:r>
      <w:r w:rsidRPr="00214551">
        <w:rPr>
          <w:i/>
          <w:iCs/>
          <w:sz w:val="26"/>
          <w:szCs w:val="26"/>
        </w:rPr>
        <w:t xml:space="preserve">ts Default Service Plan for the Period June 1, 2021 </w:t>
      </w:r>
      <w:r>
        <w:rPr>
          <w:i/>
          <w:iCs/>
          <w:sz w:val="26"/>
          <w:szCs w:val="26"/>
        </w:rPr>
        <w:t>T</w:t>
      </w:r>
      <w:r w:rsidRPr="00214551">
        <w:rPr>
          <w:i/>
          <w:iCs/>
          <w:sz w:val="26"/>
          <w:szCs w:val="26"/>
        </w:rPr>
        <w:t>hrough May 31, 2025</w:t>
      </w:r>
      <w:r w:rsidRPr="00214551">
        <w:rPr>
          <w:sz w:val="26"/>
          <w:szCs w:val="26"/>
        </w:rPr>
        <w:t xml:space="preserve"> (P</w:t>
      </w:r>
      <w:r w:rsidR="005029BC">
        <w:rPr>
          <w:sz w:val="26"/>
          <w:szCs w:val="26"/>
        </w:rPr>
        <w:noBreakHyphen/>
      </w:r>
      <w:r w:rsidRPr="00214551">
        <w:rPr>
          <w:sz w:val="26"/>
          <w:szCs w:val="26"/>
        </w:rPr>
        <w:t>2020</w:t>
      </w:r>
      <w:r w:rsidR="005029BC">
        <w:rPr>
          <w:sz w:val="26"/>
          <w:szCs w:val="26"/>
        </w:rPr>
        <w:noBreakHyphen/>
      </w:r>
      <w:r w:rsidRPr="00214551">
        <w:rPr>
          <w:sz w:val="26"/>
          <w:szCs w:val="26"/>
        </w:rPr>
        <w:t>3019356).</w:t>
      </w:r>
    </w:p>
  </w:footnote>
  <w:footnote w:id="7">
    <w:p w14:paraId="3B91149B" w14:textId="0C581301" w:rsidR="005C4D5B" w:rsidRPr="00A95AB7" w:rsidRDefault="005C4D5B" w:rsidP="005C4D5B">
      <w:pPr>
        <w:pStyle w:val="FootnoteText"/>
        <w:keepNext/>
        <w:keepLines/>
        <w:spacing w:after="120"/>
        <w:ind w:firstLine="720"/>
        <w:rPr>
          <w:sz w:val="26"/>
          <w:szCs w:val="26"/>
        </w:rPr>
      </w:pPr>
      <w:r w:rsidRPr="00A95AB7">
        <w:rPr>
          <w:rStyle w:val="FootnoteReference"/>
          <w:sz w:val="26"/>
          <w:szCs w:val="26"/>
        </w:rPr>
        <w:footnoteRef/>
      </w:r>
      <w:r w:rsidRPr="00A95AB7">
        <w:rPr>
          <w:sz w:val="26"/>
          <w:szCs w:val="26"/>
        </w:rPr>
        <w:tab/>
        <w:t>Mr.</w:t>
      </w:r>
      <w:r>
        <w:rPr>
          <w:sz w:val="26"/>
          <w:szCs w:val="26"/>
        </w:rPr>
        <w:t> </w:t>
      </w:r>
      <w:r w:rsidRPr="00A95AB7">
        <w:rPr>
          <w:sz w:val="26"/>
          <w:szCs w:val="26"/>
        </w:rPr>
        <w:t>Zimmerman notes that the call he received on December 6, 2021</w:t>
      </w:r>
      <w:r w:rsidR="00D60AF8">
        <w:rPr>
          <w:sz w:val="26"/>
          <w:szCs w:val="26"/>
        </w:rPr>
        <w:t>,</w:t>
      </w:r>
      <w:r w:rsidRPr="00A95AB7">
        <w:rPr>
          <w:sz w:val="26"/>
          <w:szCs w:val="26"/>
        </w:rPr>
        <w:t xml:space="preserve"> was in addition to a telemarketing call</w:t>
      </w:r>
      <w:r>
        <w:rPr>
          <w:sz w:val="26"/>
          <w:szCs w:val="26"/>
        </w:rPr>
        <w:t xml:space="preserve"> he</w:t>
      </w:r>
      <w:r w:rsidRPr="00A95AB7">
        <w:rPr>
          <w:sz w:val="26"/>
          <w:szCs w:val="26"/>
        </w:rPr>
        <w:t xml:space="preserve"> received from Discount that was the subject of a prior, separate formal complaint.  Zimmerman Comments at 2 (citing </w:t>
      </w:r>
      <w:r w:rsidRPr="00A95AB7">
        <w:rPr>
          <w:i/>
          <w:iCs/>
          <w:sz w:val="26"/>
          <w:szCs w:val="26"/>
        </w:rPr>
        <w:t>Michael Zimmerman v. Discount Power, Inc.</w:t>
      </w:r>
      <w:r w:rsidRPr="00A95AB7">
        <w:rPr>
          <w:sz w:val="26"/>
          <w:szCs w:val="26"/>
        </w:rPr>
        <w:t>, Docket No. C-2020-3021020, Certificate of Satisfaction filed February 5, 2021)</w:t>
      </w:r>
      <w:r w:rsidR="0003063D">
        <w:rPr>
          <w:sz w:val="26"/>
          <w:szCs w:val="26"/>
        </w:rPr>
        <w:t xml:space="preserve"> (</w:t>
      </w:r>
      <w:r w:rsidR="0003063D" w:rsidRPr="0003063D">
        <w:rPr>
          <w:i/>
          <w:iCs/>
          <w:sz w:val="26"/>
          <w:szCs w:val="26"/>
        </w:rPr>
        <w:t>Zimmerman 2021</w:t>
      </w:r>
      <w:r w:rsidR="0003063D">
        <w:rPr>
          <w:sz w:val="26"/>
          <w:szCs w:val="26"/>
        </w:rPr>
        <w:t>)</w:t>
      </w:r>
      <w:r w:rsidRPr="00A95AB7">
        <w:rPr>
          <w:sz w:val="26"/>
          <w:szCs w:val="26"/>
        </w:rPr>
        <w:t>.</w:t>
      </w:r>
    </w:p>
  </w:footnote>
  <w:footnote w:id="8">
    <w:p w14:paraId="47D055AD" w14:textId="77777777" w:rsidR="005C4D5B" w:rsidRPr="00665848" w:rsidRDefault="005C4D5B" w:rsidP="005C4D5B">
      <w:pPr>
        <w:pStyle w:val="FootnoteText"/>
        <w:keepNext/>
        <w:keepLines/>
        <w:ind w:firstLine="720"/>
        <w:rPr>
          <w:sz w:val="26"/>
          <w:szCs w:val="26"/>
        </w:rPr>
      </w:pPr>
      <w:r w:rsidRPr="00665848">
        <w:rPr>
          <w:rStyle w:val="FootnoteReference"/>
          <w:sz w:val="26"/>
          <w:szCs w:val="26"/>
        </w:rPr>
        <w:footnoteRef/>
      </w:r>
      <w:r w:rsidRPr="00665848">
        <w:rPr>
          <w:sz w:val="26"/>
          <w:szCs w:val="26"/>
        </w:rPr>
        <w:tab/>
        <w:t>Mr.</w:t>
      </w:r>
      <w:r>
        <w:rPr>
          <w:sz w:val="26"/>
          <w:szCs w:val="26"/>
        </w:rPr>
        <w:t> </w:t>
      </w:r>
      <w:r w:rsidRPr="00665848">
        <w:rPr>
          <w:sz w:val="26"/>
          <w:szCs w:val="26"/>
        </w:rPr>
        <w:t xml:space="preserve">Zimmerman states that, although the owner of the </w:t>
      </w:r>
      <w:r>
        <w:rPr>
          <w:sz w:val="26"/>
          <w:szCs w:val="26"/>
        </w:rPr>
        <w:t xml:space="preserve">spoofed </w:t>
      </w:r>
      <w:r w:rsidRPr="00665848">
        <w:rPr>
          <w:sz w:val="26"/>
          <w:szCs w:val="26"/>
        </w:rPr>
        <w:t xml:space="preserve">number authorized </w:t>
      </w:r>
      <w:r>
        <w:rPr>
          <w:sz w:val="26"/>
          <w:szCs w:val="26"/>
        </w:rPr>
        <w:t xml:space="preserve">the sharing of </w:t>
      </w:r>
      <w:r w:rsidRPr="00665848">
        <w:rPr>
          <w:sz w:val="26"/>
          <w:szCs w:val="26"/>
        </w:rPr>
        <w:t xml:space="preserve">their name and contact information with Commission investigators, </w:t>
      </w:r>
      <w:r>
        <w:rPr>
          <w:sz w:val="26"/>
          <w:szCs w:val="26"/>
        </w:rPr>
        <w:t>he</w:t>
      </w:r>
      <w:r w:rsidRPr="00665848">
        <w:rPr>
          <w:sz w:val="26"/>
          <w:szCs w:val="26"/>
        </w:rPr>
        <w:t xml:space="preserve"> is withholding the spoofed number to protect the </w:t>
      </w:r>
      <w:r>
        <w:rPr>
          <w:sz w:val="26"/>
          <w:szCs w:val="26"/>
        </w:rPr>
        <w:t xml:space="preserve">owner’s </w:t>
      </w:r>
      <w:r w:rsidRPr="00665848">
        <w:rPr>
          <w:sz w:val="26"/>
          <w:szCs w:val="26"/>
        </w:rPr>
        <w:t>privacy.  Mr.</w:t>
      </w:r>
      <w:r>
        <w:rPr>
          <w:sz w:val="26"/>
          <w:szCs w:val="26"/>
        </w:rPr>
        <w:t> </w:t>
      </w:r>
      <w:r w:rsidRPr="00665848">
        <w:rPr>
          <w:sz w:val="26"/>
          <w:szCs w:val="26"/>
        </w:rPr>
        <w:t>Zimmerman adds that, on a confidential basis</w:t>
      </w:r>
      <w:r>
        <w:rPr>
          <w:sz w:val="26"/>
          <w:szCs w:val="26"/>
        </w:rPr>
        <w:t xml:space="preserve"> and upon request</w:t>
      </w:r>
      <w:r w:rsidRPr="00665848">
        <w:rPr>
          <w:sz w:val="26"/>
          <w:szCs w:val="26"/>
        </w:rPr>
        <w:t>, he will provide the name and contact information of the owner of the spoofed number.</w:t>
      </w:r>
      <w:r>
        <w:rPr>
          <w:sz w:val="26"/>
          <w:szCs w:val="26"/>
        </w:rPr>
        <w:t xml:space="preserve">  </w:t>
      </w:r>
      <w:r>
        <w:rPr>
          <w:rFonts w:eastAsiaTheme="minorHAnsi"/>
          <w:iCs/>
          <w:sz w:val="26"/>
          <w:szCs w:val="26"/>
        </w:rPr>
        <w:t>Zimmerman Comments at 2.</w:t>
      </w:r>
    </w:p>
  </w:footnote>
  <w:footnote w:id="9">
    <w:p w14:paraId="1E409831" w14:textId="14EE8E33" w:rsidR="003D1FAE" w:rsidRPr="00973D8C" w:rsidRDefault="003D1FAE" w:rsidP="003D1FAE">
      <w:pPr>
        <w:pStyle w:val="FootnoteText"/>
        <w:keepNext/>
        <w:keepLines/>
        <w:ind w:firstLine="720"/>
        <w:rPr>
          <w:sz w:val="26"/>
          <w:szCs w:val="26"/>
        </w:rPr>
      </w:pPr>
      <w:r w:rsidRPr="00973D8C">
        <w:rPr>
          <w:rStyle w:val="FootnoteReference"/>
          <w:sz w:val="26"/>
          <w:szCs w:val="26"/>
        </w:rPr>
        <w:footnoteRef/>
      </w:r>
      <w:r>
        <w:rPr>
          <w:sz w:val="26"/>
          <w:szCs w:val="26"/>
        </w:rPr>
        <w:tab/>
      </w:r>
      <w:r w:rsidRPr="00973D8C">
        <w:rPr>
          <w:i/>
          <w:sz w:val="26"/>
          <w:szCs w:val="26"/>
        </w:rPr>
        <w:t>Petition of Morris-Rospond Assoc</w:t>
      </w:r>
      <w:r>
        <w:rPr>
          <w:i/>
          <w:sz w:val="26"/>
          <w:szCs w:val="26"/>
        </w:rPr>
        <w:t>iates</w:t>
      </w:r>
      <w:r w:rsidRPr="00973D8C">
        <w:rPr>
          <w:i/>
          <w:sz w:val="26"/>
          <w:szCs w:val="26"/>
        </w:rPr>
        <w:t xml:space="preserve"> for Declaratory Order</w:t>
      </w:r>
      <w:r w:rsidRPr="00973D8C">
        <w:rPr>
          <w:sz w:val="26"/>
          <w:szCs w:val="26"/>
        </w:rPr>
        <w:t>, 1986</w:t>
      </w:r>
      <w:r w:rsidR="00CC1CE8">
        <w:rPr>
          <w:sz w:val="26"/>
          <w:szCs w:val="26"/>
        </w:rPr>
        <w:t> </w:t>
      </w:r>
      <w:r w:rsidRPr="00973D8C">
        <w:rPr>
          <w:sz w:val="26"/>
          <w:szCs w:val="26"/>
        </w:rPr>
        <w:t>Pa.</w:t>
      </w:r>
      <w:r w:rsidR="00CC1CE8">
        <w:rPr>
          <w:sz w:val="26"/>
          <w:szCs w:val="26"/>
        </w:rPr>
        <w:t> </w:t>
      </w:r>
      <w:r w:rsidRPr="00973D8C">
        <w:rPr>
          <w:sz w:val="26"/>
          <w:szCs w:val="26"/>
        </w:rPr>
        <w:t>PUC LEXIS 127</w:t>
      </w:r>
      <w:r>
        <w:rPr>
          <w:sz w:val="26"/>
          <w:szCs w:val="26"/>
        </w:rPr>
        <w:t xml:space="preserve"> </w:t>
      </w:r>
      <w:r w:rsidRPr="00973D8C">
        <w:rPr>
          <w:sz w:val="26"/>
          <w:szCs w:val="26"/>
        </w:rPr>
        <w:t>(Tentative Decision Mar</w:t>
      </w:r>
      <w:r>
        <w:rPr>
          <w:sz w:val="26"/>
          <w:szCs w:val="26"/>
        </w:rPr>
        <w:t>ch</w:t>
      </w:r>
      <w:r w:rsidRPr="00973D8C">
        <w:rPr>
          <w:sz w:val="26"/>
          <w:szCs w:val="26"/>
        </w:rPr>
        <w:t xml:space="preserve"> 11, 1986)</w:t>
      </w:r>
      <w:r>
        <w:rPr>
          <w:sz w:val="26"/>
          <w:szCs w:val="26"/>
        </w:rPr>
        <w:t xml:space="preserve"> (</w:t>
      </w:r>
      <w:r w:rsidRPr="003C28E8">
        <w:rPr>
          <w:i/>
          <w:iCs/>
          <w:sz w:val="26"/>
          <w:szCs w:val="26"/>
        </w:rPr>
        <w:t>Morris-Rospond</w:t>
      </w:r>
      <w:r>
        <w:rPr>
          <w:sz w:val="26"/>
          <w:szCs w:val="26"/>
        </w:rPr>
        <w:t>)</w:t>
      </w:r>
      <w:r w:rsidRPr="00973D8C">
        <w:rPr>
          <w:sz w:val="26"/>
          <w:szCs w:val="26"/>
        </w:rPr>
        <w:t xml:space="preserve">; </w:t>
      </w:r>
      <w:r w:rsidRPr="00973D8C">
        <w:rPr>
          <w:i/>
          <w:sz w:val="26"/>
          <w:szCs w:val="26"/>
        </w:rPr>
        <w:t>Joint Application of Bell Atlantic Corp</w:t>
      </w:r>
      <w:r>
        <w:rPr>
          <w:i/>
          <w:sz w:val="26"/>
          <w:szCs w:val="26"/>
        </w:rPr>
        <w:t>oration and</w:t>
      </w:r>
      <w:r w:rsidRPr="00973D8C">
        <w:rPr>
          <w:i/>
          <w:sz w:val="26"/>
          <w:szCs w:val="26"/>
        </w:rPr>
        <w:t xml:space="preserve"> GTE Corp</w:t>
      </w:r>
      <w:r>
        <w:rPr>
          <w:i/>
          <w:sz w:val="26"/>
          <w:szCs w:val="26"/>
        </w:rPr>
        <w:t>oration</w:t>
      </w:r>
      <w:r w:rsidRPr="00973D8C">
        <w:rPr>
          <w:i/>
          <w:sz w:val="26"/>
          <w:szCs w:val="26"/>
        </w:rPr>
        <w:t xml:space="preserve"> for Approval of Agreement and Plan of Merger</w:t>
      </w:r>
      <w:r w:rsidRPr="00973D8C">
        <w:rPr>
          <w:sz w:val="26"/>
          <w:szCs w:val="26"/>
        </w:rPr>
        <w:t>, 1999 Pa. PUC LEXIS 86</w:t>
      </w:r>
      <w:r>
        <w:rPr>
          <w:sz w:val="26"/>
          <w:szCs w:val="26"/>
        </w:rPr>
        <w:t xml:space="preserve"> </w:t>
      </w:r>
      <w:r w:rsidRPr="00973D8C">
        <w:rPr>
          <w:sz w:val="26"/>
          <w:szCs w:val="26"/>
        </w:rPr>
        <w:t>(Order entered Nov</w:t>
      </w:r>
      <w:r>
        <w:rPr>
          <w:sz w:val="26"/>
          <w:szCs w:val="26"/>
        </w:rPr>
        <w:t>ember</w:t>
      </w:r>
      <w:r w:rsidRPr="00973D8C">
        <w:rPr>
          <w:sz w:val="26"/>
          <w:szCs w:val="26"/>
        </w:rPr>
        <w:t xml:space="preserve"> 4, 1999)</w:t>
      </w:r>
      <w:r>
        <w:rPr>
          <w:sz w:val="26"/>
          <w:szCs w:val="26"/>
        </w:rPr>
        <w:t xml:space="preserve"> (</w:t>
      </w:r>
      <w:r w:rsidRPr="003C28E8">
        <w:rPr>
          <w:i/>
          <w:iCs/>
          <w:sz w:val="26"/>
          <w:szCs w:val="26"/>
        </w:rPr>
        <w:t xml:space="preserve">Bell Atlantic </w:t>
      </w:r>
      <w:r>
        <w:rPr>
          <w:i/>
          <w:iCs/>
          <w:sz w:val="26"/>
          <w:szCs w:val="26"/>
        </w:rPr>
        <w:t>and</w:t>
      </w:r>
      <w:r w:rsidRPr="003C28E8">
        <w:rPr>
          <w:i/>
          <w:iCs/>
          <w:sz w:val="26"/>
          <w:szCs w:val="26"/>
        </w:rPr>
        <w:t xml:space="preserve"> GTE</w:t>
      </w:r>
      <w:r>
        <w:rPr>
          <w:sz w:val="26"/>
          <w:szCs w:val="26"/>
        </w:rPr>
        <w:t>).</w:t>
      </w:r>
    </w:p>
  </w:footnote>
  <w:footnote w:id="10">
    <w:p w14:paraId="2CB4081A" w14:textId="7268354A" w:rsidR="0051221F" w:rsidRPr="00D51827" w:rsidRDefault="0051221F" w:rsidP="0051221F">
      <w:pPr>
        <w:pStyle w:val="FootnoteText"/>
        <w:keepNext/>
        <w:keepLines/>
        <w:ind w:firstLine="720"/>
        <w:rPr>
          <w:sz w:val="26"/>
          <w:szCs w:val="26"/>
        </w:rPr>
      </w:pPr>
      <w:r w:rsidRPr="00D51827">
        <w:rPr>
          <w:rStyle w:val="FootnoteReference"/>
          <w:sz w:val="26"/>
          <w:szCs w:val="26"/>
        </w:rPr>
        <w:footnoteRef/>
      </w:r>
      <w:r w:rsidRPr="00D51827">
        <w:rPr>
          <w:sz w:val="26"/>
          <w:szCs w:val="26"/>
        </w:rPr>
        <w:tab/>
      </w:r>
      <w:r w:rsidRPr="007B7573">
        <w:rPr>
          <w:i/>
          <w:iCs/>
          <w:sz w:val="26"/>
          <w:szCs w:val="26"/>
        </w:rPr>
        <w:t>C Leslie</w:t>
      </w:r>
      <w:r>
        <w:rPr>
          <w:sz w:val="26"/>
          <w:szCs w:val="26"/>
        </w:rPr>
        <w:t xml:space="preserve"> </w:t>
      </w:r>
      <w:r w:rsidRPr="00D51827">
        <w:rPr>
          <w:i/>
          <w:iCs/>
          <w:sz w:val="26"/>
          <w:szCs w:val="26"/>
        </w:rPr>
        <w:t>Pettko v</w:t>
      </w:r>
      <w:r>
        <w:rPr>
          <w:i/>
          <w:iCs/>
          <w:sz w:val="26"/>
          <w:szCs w:val="26"/>
        </w:rPr>
        <w:t>.</w:t>
      </w:r>
      <w:r w:rsidRPr="00D51827">
        <w:rPr>
          <w:i/>
          <w:iCs/>
          <w:sz w:val="26"/>
          <w:szCs w:val="26"/>
        </w:rPr>
        <w:t xml:space="preserve"> Pennsylvania</w:t>
      </w:r>
      <w:r>
        <w:rPr>
          <w:i/>
          <w:iCs/>
          <w:sz w:val="26"/>
          <w:szCs w:val="26"/>
        </w:rPr>
        <w:t xml:space="preserve"> American</w:t>
      </w:r>
      <w:r w:rsidRPr="00D51827">
        <w:rPr>
          <w:i/>
          <w:iCs/>
          <w:sz w:val="26"/>
          <w:szCs w:val="26"/>
        </w:rPr>
        <w:t xml:space="preserve"> Water Company</w:t>
      </w:r>
      <w:r w:rsidRPr="00D51827">
        <w:rPr>
          <w:iCs/>
          <w:sz w:val="26"/>
          <w:szCs w:val="26"/>
        </w:rPr>
        <w:t>, Docket No. C</w:t>
      </w:r>
      <w:r w:rsidR="00F83724">
        <w:rPr>
          <w:iCs/>
          <w:sz w:val="26"/>
          <w:szCs w:val="26"/>
        </w:rPr>
        <w:noBreakHyphen/>
      </w:r>
      <w:r w:rsidRPr="00D51827">
        <w:rPr>
          <w:iCs/>
          <w:sz w:val="26"/>
          <w:szCs w:val="26"/>
        </w:rPr>
        <w:t xml:space="preserve">2011-2226096 (Order Granting in Part and Denying in Part Motion for Judgment on the Pleadings, dated October 5, 2011) at 6; </w:t>
      </w:r>
      <w:r w:rsidRPr="0015703E">
        <w:rPr>
          <w:i/>
          <w:sz w:val="26"/>
          <w:szCs w:val="26"/>
        </w:rPr>
        <w:t>Walter Painter and Donna Painter</w:t>
      </w:r>
      <w:r w:rsidRPr="00D51827">
        <w:rPr>
          <w:i/>
          <w:iCs/>
          <w:sz w:val="26"/>
          <w:szCs w:val="26"/>
        </w:rPr>
        <w:t xml:space="preserve"> v</w:t>
      </w:r>
      <w:r>
        <w:rPr>
          <w:i/>
          <w:iCs/>
          <w:sz w:val="26"/>
          <w:szCs w:val="26"/>
        </w:rPr>
        <w:t>.</w:t>
      </w:r>
      <w:r w:rsidRPr="00D51827">
        <w:rPr>
          <w:i/>
          <w:iCs/>
          <w:sz w:val="26"/>
          <w:szCs w:val="26"/>
        </w:rPr>
        <w:t xml:space="preserve"> Aqua Pennsylvania, Inc.</w:t>
      </w:r>
      <w:r w:rsidRPr="00D51827">
        <w:rPr>
          <w:iCs/>
          <w:sz w:val="26"/>
          <w:szCs w:val="26"/>
        </w:rPr>
        <w:t>, Docket No. C-2011-2239556 (Order entered May 22, 2014) at 2</w:t>
      </w:r>
      <w:r>
        <w:rPr>
          <w:iCs/>
          <w:sz w:val="26"/>
          <w:szCs w:val="26"/>
        </w:rPr>
        <w:t>.</w:t>
      </w:r>
    </w:p>
  </w:footnote>
  <w:footnote w:id="11">
    <w:p w14:paraId="3F9217D4" w14:textId="5BEF9342" w:rsidR="00260585" w:rsidRPr="00B34464" w:rsidRDefault="00260585" w:rsidP="00245E28">
      <w:pPr>
        <w:pStyle w:val="FootnoteText"/>
        <w:keepNext/>
        <w:keepLines/>
        <w:spacing w:after="120"/>
        <w:ind w:firstLine="720"/>
        <w:rPr>
          <w:sz w:val="26"/>
          <w:szCs w:val="26"/>
        </w:rPr>
      </w:pPr>
      <w:r w:rsidRPr="00B34464">
        <w:rPr>
          <w:rStyle w:val="FootnoteReference"/>
          <w:sz w:val="26"/>
          <w:szCs w:val="26"/>
        </w:rPr>
        <w:footnoteRef/>
      </w:r>
      <w:r w:rsidRPr="00B34464">
        <w:rPr>
          <w:sz w:val="26"/>
          <w:szCs w:val="26"/>
        </w:rPr>
        <w:tab/>
        <w:t xml:space="preserve">Specifically, Discount stated that, as of July 2021, </w:t>
      </w:r>
      <w:r w:rsidR="008D2C8A" w:rsidRPr="00B34464">
        <w:rPr>
          <w:sz w:val="26"/>
          <w:szCs w:val="26"/>
        </w:rPr>
        <w:t>1,356,861 residential customers are shopping for electricity.  D</w:t>
      </w:r>
      <w:r w:rsidR="00CE7951">
        <w:rPr>
          <w:sz w:val="26"/>
          <w:szCs w:val="26"/>
        </w:rPr>
        <w:t>PI</w:t>
      </w:r>
      <w:r w:rsidR="008D2C8A" w:rsidRPr="00B34464">
        <w:rPr>
          <w:sz w:val="26"/>
          <w:szCs w:val="26"/>
        </w:rPr>
        <w:t xml:space="preserve"> Statement in Support at 6 (citing </w:t>
      </w:r>
      <w:r w:rsidR="00EF520B" w:rsidRPr="00394802">
        <w:rPr>
          <w:sz w:val="26"/>
          <w:szCs w:val="26"/>
        </w:rPr>
        <w:t>https://www.papowerswitch.com/media/l1cftejy/paps_numbers073121.pdf</w:t>
      </w:r>
      <w:r w:rsidR="00B34464" w:rsidRPr="00394802">
        <w:rPr>
          <w:sz w:val="26"/>
          <w:szCs w:val="26"/>
        </w:rPr>
        <w:t>)</w:t>
      </w:r>
      <w:r w:rsidR="00C842A8">
        <w:rPr>
          <w:sz w:val="26"/>
          <w:szCs w:val="26"/>
        </w:rPr>
        <w:t>.</w:t>
      </w:r>
    </w:p>
  </w:footnote>
  <w:footnote w:id="12">
    <w:p w14:paraId="094C1FE1" w14:textId="288AE0AA" w:rsidR="00A2056B" w:rsidRPr="007079CA" w:rsidRDefault="00A2056B" w:rsidP="007079CA">
      <w:pPr>
        <w:pStyle w:val="FootnoteText"/>
        <w:keepNext/>
        <w:keepLines/>
        <w:ind w:firstLine="720"/>
        <w:rPr>
          <w:sz w:val="26"/>
          <w:szCs w:val="26"/>
        </w:rPr>
      </w:pPr>
      <w:r w:rsidRPr="007079CA">
        <w:rPr>
          <w:rStyle w:val="FootnoteReference"/>
          <w:sz w:val="26"/>
          <w:szCs w:val="26"/>
        </w:rPr>
        <w:footnoteRef/>
      </w:r>
      <w:r w:rsidRPr="007079CA">
        <w:rPr>
          <w:sz w:val="26"/>
          <w:szCs w:val="26"/>
        </w:rPr>
        <w:tab/>
        <w:t>I&amp;E noted that, in</w:t>
      </w:r>
      <w:r w:rsidR="00F173CB">
        <w:rPr>
          <w:sz w:val="26"/>
          <w:szCs w:val="26"/>
        </w:rPr>
        <w:t xml:space="preserve"> </w:t>
      </w:r>
      <w:bookmarkStart w:id="31" w:name="_Hlk92117004"/>
      <w:r w:rsidRPr="007079CA">
        <w:rPr>
          <w:i/>
          <w:iCs/>
          <w:sz w:val="26"/>
          <w:szCs w:val="26"/>
        </w:rPr>
        <w:t xml:space="preserve">Zimmerman </w:t>
      </w:r>
      <w:r w:rsidR="00CE0624" w:rsidRPr="00A95AB7">
        <w:rPr>
          <w:i/>
          <w:iCs/>
          <w:sz w:val="26"/>
          <w:szCs w:val="26"/>
        </w:rPr>
        <w:t>2021</w:t>
      </w:r>
      <w:bookmarkEnd w:id="31"/>
      <w:r w:rsidRPr="007079CA">
        <w:rPr>
          <w:sz w:val="26"/>
          <w:szCs w:val="26"/>
        </w:rPr>
        <w:t xml:space="preserve">, </w:t>
      </w:r>
      <w:r w:rsidR="000130BF" w:rsidRPr="007079CA">
        <w:rPr>
          <w:sz w:val="26"/>
          <w:szCs w:val="26"/>
        </w:rPr>
        <w:t xml:space="preserve">multiple misrepresentations </w:t>
      </w:r>
      <w:r w:rsidR="00EC200D">
        <w:rPr>
          <w:sz w:val="26"/>
          <w:szCs w:val="26"/>
        </w:rPr>
        <w:t xml:space="preserve">during a </w:t>
      </w:r>
      <w:r w:rsidR="000130BF" w:rsidRPr="007079CA">
        <w:rPr>
          <w:sz w:val="26"/>
          <w:szCs w:val="26"/>
        </w:rPr>
        <w:t>telemarketing</w:t>
      </w:r>
      <w:r w:rsidR="00EC200D">
        <w:rPr>
          <w:sz w:val="26"/>
          <w:szCs w:val="26"/>
        </w:rPr>
        <w:t xml:space="preserve"> call</w:t>
      </w:r>
      <w:r w:rsidR="000130BF" w:rsidRPr="007079CA">
        <w:rPr>
          <w:sz w:val="26"/>
          <w:szCs w:val="26"/>
        </w:rPr>
        <w:t xml:space="preserve"> w</w:t>
      </w:r>
      <w:r w:rsidR="00CE0624">
        <w:rPr>
          <w:sz w:val="26"/>
          <w:szCs w:val="26"/>
        </w:rPr>
        <w:t>ere</w:t>
      </w:r>
      <w:r w:rsidR="000130BF" w:rsidRPr="007079CA">
        <w:rPr>
          <w:sz w:val="26"/>
          <w:szCs w:val="26"/>
        </w:rPr>
        <w:t xml:space="preserve"> similarly alleged.</w:t>
      </w:r>
      <w:r w:rsidR="007079CA" w:rsidRPr="007079CA">
        <w:rPr>
          <w:sz w:val="26"/>
          <w:szCs w:val="26"/>
        </w:rPr>
        <w:t xml:space="preserve">  I&amp;E Statement in Support at 9-10.</w:t>
      </w:r>
    </w:p>
  </w:footnote>
  <w:footnote w:id="13">
    <w:p w14:paraId="23A0C922" w14:textId="3B251027" w:rsidR="0013143E" w:rsidRPr="0089372C" w:rsidRDefault="0013143E" w:rsidP="0013143E">
      <w:pPr>
        <w:pStyle w:val="FootnoteText"/>
        <w:keepNext/>
        <w:keepLines/>
        <w:ind w:firstLine="720"/>
        <w:rPr>
          <w:sz w:val="26"/>
          <w:szCs w:val="26"/>
        </w:rPr>
      </w:pPr>
      <w:r w:rsidRPr="0089372C">
        <w:rPr>
          <w:rStyle w:val="FootnoteReference"/>
          <w:sz w:val="26"/>
          <w:szCs w:val="26"/>
        </w:rPr>
        <w:footnoteRef/>
      </w:r>
      <w:r w:rsidRPr="0089372C">
        <w:rPr>
          <w:sz w:val="26"/>
          <w:szCs w:val="26"/>
        </w:rPr>
        <w:tab/>
      </w:r>
      <w:bookmarkStart w:id="32" w:name="_Hlk90475361"/>
      <w:r w:rsidR="002A7A98">
        <w:rPr>
          <w:i/>
          <w:sz w:val="26"/>
          <w:szCs w:val="26"/>
        </w:rPr>
        <w:t>Pa</w:t>
      </w:r>
      <w:r w:rsidR="00880B7B">
        <w:rPr>
          <w:i/>
          <w:sz w:val="26"/>
          <w:szCs w:val="26"/>
        </w:rPr>
        <w:t>.</w:t>
      </w:r>
      <w:r w:rsidR="002A7A98">
        <w:rPr>
          <w:i/>
          <w:sz w:val="26"/>
          <w:szCs w:val="26"/>
        </w:rPr>
        <w:t xml:space="preserve"> PUC</w:t>
      </w:r>
      <w:r w:rsidRPr="0089372C">
        <w:rPr>
          <w:i/>
          <w:sz w:val="26"/>
          <w:szCs w:val="26"/>
        </w:rPr>
        <w:t xml:space="preserve"> v. </w:t>
      </w:r>
      <w:r w:rsidR="00EA4C4A">
        <w:rPr>
          <w:i/>
          <w:sz w:val="26"/>
          <w:szCs w:val="26"/>
        </w:rPr>
        <w:t>ResCom Energy</w:t>
      </w:r>
      <w:r w:rsidRPr="0089372C">
        <w:rPr>
          <w:i/>
          <w:sz w:val="26"/>
          <w:szCs w:val="26"/>
        </w:rPr>
        <w:t xml:space="preserve"> LLC</w:t>
      </w:r>
      <w:r w:rsidRPr="00CB70E6">
        <w:rPr>
          <w:iCs/>
          <w:sz w:val="26"/>
          <w:szCs w:val="26"/>
        </w:rPr>
        <w:t>,</w:t>
      </w:r>
      <w:r w:rsidRPr="0089372C">
        <w:rPr>
          <w:i/>
          <w:sz w:val="26"/>
          <w:szCs w:val="26"/>
        </w:rPr>
        <w:t xml:space="preserve"> </w:t>
      </w:r>
      <w:r w:rsidRPr="0089372C">
        <w:rPr>
          <w:iCs/>
          <w:sz w:val="26"/>
          <w:szCs w:val="26"/>
        </w:rPr>
        <w:t>Docket No.</w:t>
      </w:r>
      <w:r w:rsidRPr="0089372C">
        <w:rPr>
          <w:i/>
          <w:sz w:val="26"/>
          <w:szCs w:val="26"/>
        </w:rPr>
        <w:t xml:space="preserve"> </w:t>
      </w:r>
      <w:r w:rsidR="00632095">
        <w:rPr>
          <w:sz w:val="26"/>
          <w:szCs w:val="26"/>
        </w:rPr>
        <w:t>M-2013</w:t>
      </w:r>
      <w:r w:rsidRPr="0089372C">
        <w:rPr>
          <w:sz w:val="26"/>
          <w:szCs w:val="26"/>
        </w:rPr>
        <w:t>-2</w:t>
      </w:r>
      <w:r w:rsidR="00632095">
        <w:rPr>
          <w:sz w:val="26"/>
          <w:szCs w:val="26"/>
        </w:rPr>
        <w:t>320112</w:t>
      </w:r>
      <w:r w:rsidRPr="0089372C">
        <w:rPr>
          <w:sz w:val="26"/>
          <w:szCs w:val="26"/>
        </w:rPr>
        <w:t xml:space="preserve"> (Order entered </w:t>
      </w:r>
      <w:r w:rsidR="00632095">
        <w:rPr>
          <w:sz w:val="26"/>
          <w:szCs w:val="26"/>
        </w:rPr>
        <w:t>November 13</w:t>
      </w:r>
      <w:r w:rsidRPr="0089372C">
        <w:rPr>
          <w:sz w:val="26"/>
          <w:szCs w:val="26"/>
        </w:rPr>
        <w:t>, 2014)</w:t>
      </w:r>
      <w:bookmarkEnd w:id="32"/>
      <w:r w:rsidRPr="0089372C">
        <w:rPr>
          <w:sz w:val="26"/>
          <w:szCs w:val="26"/>
        </w:rPr>
        <w:t xml:space="preserve">, </w:t>
      </w:r>
      <w:bookmarkStart w:id="33" w:name="_Hlk91664817"/>
      <w:r w:rsidRPr="007E36EF">
        <w:rPr>
          <w:sz w:val="26"/>
          <w:szCs w:val="26"/>
        </w:rPr>
        <w:t xml:space="preserve">in which the Commission </w:t>
      </w:r>
      <w:r w:rsidR="007E36EF" w:rsidRPr="0081186D">
        <w:rPr>
          <w:sz w:val="26"/>
          <w:szCs w:val="26"/>
        </w:rPr>
        <w:t>approved a settlement imposing</w:t>
      </w:r>
      <w:r w:rsidRPr="0081186D">
        <w:rPr>
          <w:sz w:val="26"/>
          <w:szCs w:val="26"/>
        </w:rPr>
        <w:t xml:space="preserve"> a civil penalty of $</w:t>
      </w:r>
      <w:r w:rsidR="007E36EF" w:rsidRPr="0081186D">
        <w:rPr>
          <w:sz w:val="26"/>
          <w:szCs w:val="26"/>
        </w:rPr>
        <w:t>59,00</w:t>
      </w:r>
      <w:r w:rsidRPr="0081186D">
        <w:rPr>
          <w:sz w:val="26"/>
          <w:szCs w:val="26"/>
        </w:rPr>
        <w:t xml:space="preserve">0 </w:t>
      </w:r>
      <w:r w:rsidR="00FD782E" w:rsidRPr="0081186D">
        <w:rPr>
          <w:sz w:val="26"/>
          <w:szCs w:val="26"/>
        </w:rPr>
        <w:t>to resolve allegations of</w:t>
      </w:r>
      <w:r w:rsidR="0099031A">
        <w:rPr>
          <w:sz w:val="26"/>
          <w:szCs w:val="26"/>
        </w:rPr>
        <w:t>:</w:t>
      </w:r>
      <w:r w:rsidR="00FC3227">
        <w:rPr>
          <w:sz w:val="26"/>
          <w:szCs w:val="26"/>
        </w:rPr>
        <w:t xml:space="preserve"> </w:t>
      </w:r>
      <w:r w:rsidR="0099031A">
        <w:rPr>
          <w:sz w:val="26"/>
          <w:szCs w:val="26"/>
        </w:rPr>
        <w:t xml:space="preserve"> (1)</w:t>
      </w:r>
      <w:r w:rsidR="00FD782E" w:rsidRPr="0081186D">
        <w:rPr>
          <w:sz w:val="26"/>
          <w:szCs w:val="26"/>
        </w:rPr>
        <w:t xml:space="preserve"> slammi</w:t>
      </w:r>
      <w:r w:rsidR="00FD782E">
        <w:rPr>
          <w:sz w:val="26"/>
          <w:szCs w:val="26"/>
        </w:rPr>
        <w:t>ng</w:t>
      </w:r>
      <w:r w:rsidR="0099031A">
        <w:rPr>
          <w:sz w:val="26"/>
          <w:szCs w:val="26"/>
        </w:rPr>
        <w:t xml:space="preserve">; (2) </w:t>
      </w:r>
      <w:r w:rsidR="00FD782E">
        <w:rPr>
          <w:sz w:val="26"/>
          <w:szCs w:val="26"/>
        </w:rPr>
        <w:t xml:space="preserve">unauthorized </w:t>
      </w:r>
      <w:r w:rsidR="003F006C">
        <w:rPr>
          <w:sz w:val="26"/>
          <w:szCs w:val="26"/>
        </w:rPr>
        <w:t>marketing</w:t>
      </w:r>
      <w:r w:rsidR="00FD782E">
        <w:rPr>
          <w:sz w:val="26"/>
          <w:szCs w:val="26"/>
        </w:rPr>
        <w:t xml:space="preserve"> practices</w:t>
      </w:r>
      <w:r w:rsidR="0099031A">
        <w:rPr>
          <w:sz w:val="26"/>
          <w:szCs w:val="26"/>
        </w:rPr>
        <w:t xml:space="preserve">; </w:t>
      </w:r>
      <w:r w:rsidR="00FD782E">
        <w:rPr>
          <w:sz w:val="26"/>
          <w:szCs w:val="26"/>
        </w:rPr>
        <w:t xml:space="preserve">and </w:t>
      </w:r>
      <w:r w:rsidR="0099031A">
        <w:rPr>
          <w:sz w:val="26"/>
          <w:szCs w:val="26"/>
        </w:rPr>
        <w:t xml:space="preserve">(3) </w:t>
      </w:r>
      <w:r w:rsidR="00FD782E">
        <w:rPr>
          <w:sz w:val="26"/>
          <w:szCs w:val="26"/>
        </w:rPr>
        <w:t>Do Not Call violations</w:t>
      </w:r>
      <w:r w:rsidR="0099031A">
        <w:rPr>
          <w:sz w:val="26"/>
          <w:szCs w:val="26"/>
        </w:rPr>
        <w:t>,</w:t>
      </w:r>
      <w:r w:rsidR="00FD782E">
        <w:rPr>
          <w:sz w:val="26"/>
          <w:szCs w:val="26"/>
        </w:rPr>
        <w:t xml:space="preserve"> which resulted from 13 complaints comprising 49 potential violations </w:t>
      </w:r>
      <w:bookmarkEnd w:id="33"/>
      <w:r w:rsidR="0081186D">
        <w:rPr>
          <w:sz w:val="26"/>
          <w:szCs w:val="26"/>
        </w:rPr>
        <w:t>and no practical means to accurately determine the amount of violations</w:t>
      </w:r>
      <w:r w:rsidRPr="0089372C">
        <w:rPr>
          <w:sz w:val="26"/>
          <w:szCs w:val="26"/>
        </w:rPr>
        <w:t xml:space="preserve">; </w:t>
      </w:r>
      <w:r w:rsidR="004B37A2">
        <w:rPr>
          <w:i/>
          <w:sz w:val="26"/>
          <w:szCs w:val="26"/>
        </w:rPr>
        <w:t>Pa</w:t>
      </w:r>
      <w:r w:rsidR="00880B7B">
        <w:rPr>
          <w:i/>
          <w:sz w:val="26"/>
          <w:szCs w:val="26"/>
        </w:rPr>
        <w:t>.</w:t>
      </w:r>
      <w:r w:rsidR="004B37A2">
        <w:rPr>
          <w:i/>
          <w:sz w:val="26"/>
          <w:szCs w:val="26"/>
        </w:rPr>
        <w:t xml:space="preserve"> PUC</w:t>
      </w:r>
      <w:r w:rsidRPr="0089372C">
        <w:rPr>
          <w:i/>
          <w:sz w:val="26"/>
          <w:szCs w:val="26"/>
        </w:rPr>
        <w:t xml:space="preserve"> v.</w:t>
      </w:r>
      <w:r w:rsidR="004B37A2">
        <w:rPr>
          <w:i/>
          <w:sz w:val="26"/>
          <w:szCs w:val="26"/>
        </w:rPr>
        <w:t xml:space="preserve"> AP Gas &amp; Electric</w:t>
      </w:r>
      <w:r w:rsidR="000F1BF9">
        <w:rPr>
          <w:i/>
          <w:sz w:val="26"/>
          <w:szCs w:val="26"/>
        </w:rPr>
        <w:t xml:space="preserve"> (PA)</w:t>
      </w:r>
      <w:r w:rsidR="004B37A2">
        <w:rPr>
          <w:i/>
          <w:sz w:val="26"/>
          <w:szCs w:val="26"/>
        </w:rPr>
        <w:t>, LLC, d/b/a APG&amp;E</w:t>
      </w:r>
      <w:r w:rsidRPr="00D30648">
        <w:rPr>
          <w:iCs/>
          <w:sz w:val="26"/>
          <w:szCs w:val="26"/>
        </w:rPr>
        <w:t>,</w:t>
      </w:r>
      <w:r w:rsidRPr="0089372C">
        <w:rPr>
          <w:i/>
          <w:sz w:val="26"/>
          <w:szCs w:val="26"/>
        </w:rPr>
        <w:t xml:space="preserve"> </w:t>
      </w:r>
      <w:r w:rsidRPr="0089372C">
        <w:rPr>
          <w:sz w:val="26"/>
          <w:szCs w:val="26"/>
        </w:rPr>
        <w:t xml:space="preserve">Docket No. </w:t>
      </w:r>
      <w:r w:rsidR="004B37A2">
        <w:rPr>
          <w:sz w:val="26"/>
          <w:szCs w:val="26"/>
        </w:rPr>
        <w:t>M-2013-2311811</w:t>
      </w:r>
      <w:r w:rsidRPr="0089372C">
        <w:rPr>
          <w:sz w:val="26"/>
          <w:szCs w:val="26"/>
        </w:rPr>
        <w:t xml:space="preserve"> (Order entered </w:t>
      </w:r>
      <w:r w:rsidR="004B37A2">
        <w:rPr>
          <w:sz w:val="26"/>
          <w:szCs w:val="26"/>
        </w:rPr>
        <w:t>October</w:t>
      </w:r>
      <w:r>
        <w:rPr>
          <w:sz w:val="26"/>
          <w:szCs w:val="26"/>
        </w:rPr>
        <w:t> </w:t>
      </w:r>
      <w:r w:rsidRPr="0089372C">
        <w:rPr>
          <w:sz w:val="26"/>
          <w:szCs w:val="26"/>
        </w:rPr>
        <w:t xml:space="preserve">17, 2013), </w:t>
      </w:r>
      <w:r w:rsidR="0081186D" w:rsidRPr="003F006C">
        <w:rPr>
          <w:sz w:val="26"/>
          <w:szCs w:val="26"/>
        </w:rPr>
        <w:t>in which the Commission approved a settlement imposing a civil penalty of $</w:t>
      </w:r>
      <w:r w:rsidR="003F006C">
        <w:rPr>
          <w:sz w:val="26"/>
          <w:szCs w:val="26"/>
        </w:rPr>
        <w:t>43,2</w:t>
      </w:r>
      <w:r w:rsidR="0081186D" w:rsidRPr="003F006C">
        <w:rPr>
          <w:sz w:val="26"/>
          <w:szCs w:val="26"/>
        </w:rPr>
        <w:t>00 to resolve allegations of</w:t>
      </w:r>
      <w:r w:rsidR="00933BED">
        <w:rPr>
          <w:sz w:val="26"/>
          <w:szCs w:val="26"/>
        </w:rPr>
        <w:t>:</w:t>
      </w:r>
      <w:r w:rsidR="00FC3227">
        <w:rPr>
          <w:sz w:val="26"/>
          <w:szCs w:val="26"/>
        </w:rPr>
        <w:t xml:space="preserve"> </w:t>
      </w:r>
      <w:r w:rsidR="00CB70E6">
        <w:rPr>
          <w:sz w:val="26"/>
          <w:szCs w:val="26"/>
        </w:rPr>
        <w:t xml:space="preserve"> </w:t>
      </w:r>
      <w:r w:rsidR="00933BED">
        <w:rPr>
          <w:sz w:val="26"/>
          <w:szCs w:val="26"/>
        </w:rPr>
        <w:t>(1)</w:t>
      </w:r>
      <w:r w:rsidR="00CB70E6">
        <w:rPr>
          <w:sz w:val="26"/>
          <w:szCs w:val="26"/>
        </w:rPr>
        <w:t> </w:t>
      </w:r>
      <w:r w:rsidR="0081186D" w:rsidRPr="003F006C">
        <w:rPr>
          <w:sz w:val="26"/>
          <w:szCs w:val="26"/>
        </w:rPr>
        <w:t>slamming</w:t>
      </w:r>
      <w:r w:rsidR="00933BED">
        <w:rPr>
          <w:sz w:val="26"/>
          <w:szCs w:val="26"/>
        </w:rPr>
        <w:t xml:space="preserve">; (2) </w:t>
      </w:r>
      <w:r w:rsidR="0081186D" w:rsidRPr="003F006C">
        <w:rPr>
          <w:sz w:val="26"/>
          <w:szCs w:val="26"/>
        </w:rPr>
        <w:t xml:space="preserve">unauthorized </w:t>
      </w:r>
      <w:r w:rsidR="003F006C" w:rsidRPr="003F006C">
        <w:rPr>
          <w:sz w:val="26"/>
          <w:szCs w:val="26"/>
        </w:rPr>
        <w:t>marketing</w:t>
      </w:r>
      <w:r w:rsidR="0081186D" w:rsidRPr="003F006C">
        <w:rPr>
          <w:sz w:val="26"/>
          <w:szCs w:val="26"/>
        </w:rPr>
        <w:t xml:space="preserve"> practices</w:t>
      </w:r>
      <w:r w:rsidR="00933BED">
        <w:rPr>
          <w:sz w:val="26"/>
          <w:szCs w:val="26"/>
        </w:rPr>
        <w:t xml:space="preserve">; </w:t>
      </w:r>
      <w:r w:rsidR="0081186D" w:rsidRPr="003F006C">
        <w:rPr>
          <w:sz w:val="26"/>
          <w:szCs w:val="26"/>
        </w:rPr>
        <w:t xml:space="preserve">and </w:t>
      </w:r>
      <w:r w:rsidR="00933BED">
        <w:rPr>
          <w:sz w:val="26"/>
          <w:szCs w:val="26"/>
        </w:rPr>
        <w:t xml:space="preserve">(3) </w:t>
      </w:r>
      <w:r w:rsidR="0081186D" w:rsidRPr="003F006C">
        <w:rPr>
          <w:sz w:val="26"/>
          <w:szCs w:val="26"/>
        </w:rPr>
        <w:t>Do Not Call violations</w:t>
      </w:r>
      <w:r w:rsidR="00933BED">
        <w:rPr>
          <w:sz w:val="26"/>
          <w:szCs w:val="26"/>
        </w:rPr>
        <w:t>,</w:t>
      </w:r>
      <w:r w:rsidR="0081186D" w:rsidRPr="003F006C">
        <w:rPr>
          <w:sz w:val="26"/>
          <w:szCs w:val="26"/>
        </w:rPr>
        <w:t xml:space="preserve"> which resulted from </w:t>
      </w:r>
      <w:r w:rsidR="003F006C">
        <w:rPr>
          <w:sz w:val="26"/>
          <w:szCs w:val="26"/>
        </w:rPr>
        <w:t>37</w:t>
      </w:r>
      <w:r w:rsidR="0081186D" w:rsidRPr="003F006C">
        <w:rPr>
          <w:sz w:val="26"/>
          <w:szCs w:val="26"/>
        </w:rPr>
        <w:t xml:space="preserve"> complaints comprising </w:t>
      </w:r>
      <w:r w:rsidR="003F006C">
        <w:rPr>
          <w:sz w:val="26"/>
          <w:szCs w:val="26"/>
        </w:rPr>
        <w:t>54</w:t>
      </w:r>
      <w:r w:rsidR="0081186D" w:rsidRPr="003F006C">
        <w:rPr>
          <w:sz w:val="26"/>
          <w:szCs w:val="26"/>
        </w:rPr>
        <w:t xml:space="preserve"> potential violations</w:t>
      </w:r>
      <w:r w:rsidRPr="003F006C">
        <w:rPr>
          <w:sz w:val="26"/>
          <w:szCs w:val="26"/>
        </w:rPr>
        <w:t>;</w:t>
      </w:r>
      <w:r w:rsidRPr="0089372C">
        <w:rPr>
          <w:sz w:val="26"/>
          <w:szCs w:val="26"/>
        </w:rPr>
        <w:t xml:space="preserve"> </w:t>
      </w:r>
      <w:r w:rsidR="005944C8">
        <w:rPr>
          <w:i/>
          <w:sz w:val="26"/>
          <w:szCs w:val="26"/>
        </w:rPr>
        <w:t>Pa</w:t>
      </w:r>
      <w:r w:rsidR="00880B7B">
        <w:rPr>
          <w:i/>
          <w:sz w:val="26"/>
          <w:szCs w:val="26"/>
        </w:rPr>
        <w:t>.</w:t>
      </w:r>
      <w:r w:rsidR="005944C8">
        <w:rPr>
          <w:i/>
          <w:sz w:val="26"/>
          <w:szCs w:val="26"/>
        </w:rPr>
        <w:t xml:space="preserve"> PUC</w:t>
      </w:r>
      <w:r w:rsidRPr="0089372C">
        <w:rPr>
          <w:i/>
          <w:sz w:val="26"/>
          <w:szCs w:val="26"/>
        </w:rPr>
        <w:t xml:space="preserve"> </w:t>
      </w:r>
      <w:r w:rsidRPr="003F006C">
        <w:rPr>
          <w:i/>
          <w:sz w:val="26"/>
          <w:szCs w:val="26"/>
        </w:rPr>
        <w:t xml:space="preserve">v. </w:t>
      </w:r>
      <w:r w:rsidR="005944C8" w:rsidRPr="003F006C">
        <w:rPr>
          <w:i/>
          <w:sz w:val="26"/>
          <w:szCs w:val="26"/>
        </w:rPr>
        <w:t>IDT Energy, Inc.</w:t>
      </w:r>
      <w:r w:rsidRPr="003F006C">
        <w:rPr>
          <w:iCs/>
          <w:sz w:val="26"/>
          <w:szCs w:val="26"/>
        </w:rPr>
        <w:t>,</w:t>
      </w:r>
      <w:r w:rsidRPr="003F006C">
        <w:rPr>
          <w:i/>
          <w:sz w:val="26"/>
          <w:szCs w:val="26"/>
        </w:rPr>
        <w:t xml:space="preserve"> </w:t>
      </w:r>
      <w:r w:rsidRPr="003F006C">
        <w:rPr>
          <w:sz w:val="26"/>
          <w:szCs w:val="26"/>
        </w:rPr>
        <w:t xml:space="preserve">Docket No. </w:t>
      </w:r>
      <w:r w:rsidR="005944C8" w:rsidRPr="003F006C">
        <w:rPr>
          <w:sz w:val="26"/>
          <w:szCs w:val="26"/>
        </w:rPr>
        <w:t>M-2013-2314312</w:t>
      </w:r>
      <w:r w:rsidRPr="003F006C">
        <w:rPr>
          <w:sz w:val="26"/>
          <w:szCs w:val="26"/>
        </w:rPr>
        <w:t xml:space="preserve"> (Order entered </w:t>
      </w:r>
      <w:r w:rsidR="005944C8" w:rsidRPr="003F006C">
        <w:rPr>
          <w:sz w:val="26"/>
          <w:szCs w:val="26"/>
        </w:rPr>
        <w:t>October 17, 2013</w:t>
      </w:r>
      <w:r w:rsidRPr="003F006C">
        <w:rPr>
          <w:sz w:val="26"/>
          <w:szCs w:val="26"/>
        </w:rPr>
        <w:t xml:space="preserve">), </w:t>
      </w:r>
      <w:r w:rsidR="003F006C" w:rsidRPr="003F006C">
        <w:rPr>
          <w:sz w:val="26"/>
          <w:szCs w:val="26"/>
        </w:rPr>
        <w:t>in which the Commission approved a settlement imposing a civil penalty of $</w:t>
      </w:r>
      <w:r w:rsidR="00C45350">
        <w:rPr>
          <w:sz w:val="26"/>
          <w:szCs w:val="26"/>
        </w:rPr>
        <w:t>39,0</w:t>
      </w:r>
      <w:r w:rsidR="003F006C" w:rsidRPr="003F006C">
        <w:rPr>
          <w:sz w:val="26"/>
          <w:szCs w:val="26"/>
        </w:rPr>
        <w:t>00 to resolve allegations of</w:t>
      </w:r>
      <w:r w:rsidR="0094382D">
        <w:rPr>
          <w:sz w:val="26"/>
          <w:szCs w:val="26"/>
        </w:rPr>
        <w:t>:</w:t>
      </w:r>
      <w:r w:rsidR="00FC3227">
        <w:rPr>
          <w:sz w:val="26"/>
          <w:szCs w:val="26"/>
        </w:rPr>
        <w:t xml:space="preserve"> </w:t>
      </w:r>
      <w:r w:rsidR="0094382D">
        <w:rPr>
          <w:sz w:val="26"/>
          <w:szCs w:val="26"/>
        </w:rPr>
        <w:t xml:space="preserve"> (1) </w:t>
      </w:r>
      <w:r w:rsidR="003F006C" w:rsidRPr="003F006C">
        <w:rPr>
          <w:sz w:val="26"/>
          <w:szCs w:val="26"/>
        </w:rPr>
        <w:t>slamming</w:t>
      </w:r>
      <w:r w:rsidR="0089318E">
        <w:rPr>
          <w:sz w:val="26"/>
          <w:szCs w:val="26"/>
        </w:rPr>
        <w:t xml:space="preserve">; (2) </w:t>
      </w:r>
      <w:r w:rsidR="0094382D">
        <w:rPr>
          <w:sz w:val="26"/>
          <w:szCs w:val="26"/>
        </w:rPr>
        <w:t>fraudulent, deceptive, or unlawful sales</w:t>
      </w:r>
      <w:r w:rsidR="0089318E">
        <w:rPr>
          <w:sz w:val="26"/>
          <w:szCs w:val="26"/>
        </w:rPr>
        <w:t xml:space="preserve"> and marketing practices; and (3) </w:t>
      </w:r>
      <w:r w:rsidR="003F006C" w:rsidRPr="003F006C">
        <w:rPr>
          <w:sz w:val="26"/>
          <w:szCs w:val="26"/>
        </w:rPr>
        <w:t xml:space="preserve">Do Not Call violations which resulted from </w:t>
      </w:r>
      <w:r w:rsidR="0089318E">
        <w:rPr>
          <w:sz w:val="26"/>
          <w:szCs w:val="26"/>
        </w:rPr>
        <w:t>21</w:t>
      </w:r>
      <w:r w:rsidR="003F006C" w:rsidRPr="003F006C">
        <w:rPr>
          <w:sz w:val="26"/>
          <w:szCs w:val="26"/>
        </w:rPr>
        <w:t xml:space="preserve"> complaints comprising </w:t>
      </w:r>
      <w:r w:rsidR="0099031A">
        <w:rPr>
          <w:sz w:val="26"/>
          <w:szCs w:val="26"/>
        </w:rPr>
        <w:t>39</w:t>
      </w:r>
      <w:r w:rsidR="003F006C" w:rsidRPr="003F006C">
        <w:rPr>
          <w:sz w:val="26"/>
          <w:szCs w:val="26"/>
        </w:rPr>
        <w:t xml:space="preserve"> potential violations</w:t>
      </w:r>
      <w:r w:rsidRPr="003F006C">
        <w:rPr>
          <w:sz w:val="26"/>
          <w:szCs w:val="26"/>
        </w:rPr>
        <w:t xml:space="preserve">.  </w:t>
      </w:r>
      <w:r w:rsidRPr="003F006C">
        <w:rPr>
          <w:color w:val="000000"/>
          <w:sz w:val="26"/>
        </w:rPr>
        <w:t xml:space="preserve">I&amp;E Statement in Support at </w:t>
      </w:r>
      <w:r w:rsidR="00350B35">
        <w:rPr>
          <w:color w:val="000000"/>
          <w:sz w:val="26"/>
        </w:rPr>
        <w:t>10-11</w:t>
      </w:r>
      <w:r w:rsidRPr="003F006C">
        <w:rPr>
          <w:color w:val="000000"/>
          <w:sz w:val="2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F2B4DD" w14:textId="466AE882" w:rsidR="004C3092" w:rsidRPr="002112B9" w:rsidRDefault="004C3092" w:rsidP="00AD7586">
    <w:pPr>
      <w:pStyle w:val="Header"/>
      <w:ind w:left="-180"/>
      <w:jc w:val="right"/>
      <w:rPr>
        <w:b/>
        <w:bCs/>
        <w:sz w:val="26"/>
        <w:szCs w:val="2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369DE1" w14:textId="48E3B7F7" w:rsidR="00442688" w:rsidRPr="00993EF9" w:rsidRDefault="00442688" w:rsidP="00A4292F">
    <w:pPr>
      <w:pStyle w:val="Header"/>
      <w:jc w:val="right"/>
      <w:rPr>
        <w:b/>
        <w:bCs/>
        <w:sz w:val="26"/>
        <w:szCs w:val="2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55B74"/>
    <w:multiLevelType w:val="multilevel"/>
    <w:tmpl w:val="771253D6"/>
    <w:lvl w:ilvl="0">
      <w:start w:val="23"/>
      <w:numFmt w:val="decimal"/>
      <w:lvlText w:val="%1."/>
      <w:lvlJc w:val="left"/>
      <w:pPr>
        <w:tabs>
          <w:tab w:val="left" w:pos="720"/>
        </w:tabs>
        <w:ind w:left="720"/>
      </w:pPr>
      <w:rPr>
        <w:rFonts w:ascii="Times New Roman" w:eastAsia="Times New Roman" w:hAnsi="Times New Roman"/>
        <w:strike w:val="0"/>
        <w:color w:val="000000"/>
        <w:spacing w:val="0"/>
        <w:w w:val="100"/>
        <w:sz w:val="26"/>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49F7AD6"/>
    <w:multiLevelType w:val="multilevel"/>
    <w:tmpl w:val="81F4DE58"/>
    <w:lvl w:ilvl="0">
      <w:start w:val="1"/>
      <w:numFmt w:val="upperLetter"/>
      <w:lvlText w:val="(%1)"/>
      <w:lvlJc w:val="left"/>
      <w:pPr>
        <w:tabs>
          <w:tab w:val="left" w:pos="1080"/>
        </w:tabs>
        <w:ind w:left="1440"/>
      </w:pPr>
      <w:rPr>
        <w:rFonts w:ascii="Times New Roman" w:eastAsia="Times New Roman" w:hAnsi="Times New Roman"/>
        <w:strike w:val="0"/>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64F4377"/>
    <w:multiLevelType w:val="hybridMultilevel"/>
    <w:tmpl w:val="533A4A72"/>
    <w:lvl w:ilvl="0" w:tplc="D11A936E">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012365"/>
    <w:multiLevelType w:val="multilevel"/>
    <w:tmpl w:val="18A0160C"/>
    <w:lvl w:ilvl="0">
      <w:start w:val="5"/>
      <w:numFmt w:val="upperRoman"/>
      <w:lvlText w:val="%1."/>
      <w:lvlJc w:val="left"/>
      <w:pPr>
        <w:ind w:left="720" w:hanging="720"/>
      </w:pPr>
      <w:rPr>
        <w:rFonts w:ascii="Times New Roman Bold" w:hAnsi="Times New Roman Bold" w:hint="default"/>
        <w:b/>
        <w:i w:val="0"/>
        <w:sz w:val="26"/>
      </w:rPr>
    </w:lvl>
    <w:lvl w:ilvl="1">
      <w:start w:val="1"/>
      <w:numFmt w:val="decimal"/>
      <w:lvlText w:val="%2."/>
      <w:lvlJc w:val="left"/>
      <w:pPr>
        <w:ind w:left="1440" w:hanging="720"/>
      </w:pPr>
      <w:rPr>
        <w:rFonts w:ascii="Times New Roman" w:hAnsi="Times New Roman" w:hint="default"/>
        <w:b w:val="0"/>
        <w:i w:val="0"/>
        <w:sz w:val="26"/>
      </w:rPr>
    </w:lvl>
    <w:lvl w:ilvl="2">
      <w:start w:val="1"/>
      <w:numFmt w:val="upperLetter"/>
      <w:lvlText w:val="%3."/>
      <w:lvlJc w:val="left"/>
      <w:pPr>
        <w:ind w:left="720" w:hanging="360"/>
      </w:pPr>
      <w:rPr>
        <w:rFonts w:ascii="Times New Roman Bold" w:hAnsi="Times New Roman Bold" w:hint="default"/>
        <w:b/>
        <w:i w:val="0"/>
        <w:sz w:val="26"/>
      </w:rPr>
    </w:lvl>
    <w:lvl w:ilvl="3">
      <w:start w:val="1"/>
      <w:numFmt w:val="lowerLetter"/>
      <w:lvlText w:val="%4."/>
      <w:lvlJc w:val="left"/>
      <w:pPr>
        <w:ind w:left="2160" w:hanging="720"/>
      </w:pPr>
      <w:rPr>
        <w:rFonts w:ascii="Times New Roman" w:hAnsi="Times New Roman" w:hint="default"/>
        <w:b w:val="0"/>
        <w:i w:val="0"/>
        <w:sz w:val="26"/>
      </w:rPr>
    </w:lvl>
    <w:lvl w:ilvl="4">
      <w:start w:val="1"/>
      <w:numFmt w:val="decimal"/>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4" w15:restartNumberingAfterBreak="0">
    <w:nsid w:val="0FAD247F"/>
    <w:multiLevelType w:val="multilevel"/>
    <w:tmpl w:val="806AF5EE"/>
    <w:lvl w:ilvl="0">
      <w:start w:val="2"/>
      <w:numFmt w:val="upperRoman"/>
      <w:lvlText w:val="%1."/>
      <w:lvlJc w:val="left"/>
      <w:pPr>
        <w:ind w:left="720" w:hanging="720"/>
      </w:pPr>
      <w:rPr>
        <w:rFonts w:ascii="Times New Roman Bold" w:hAnsi="Times New Roman Bold" w:hint="default"/>
        <w:b/>
        <w:i w:val="0"/>
        <w:sz w:val="26"/>
      </w:rPr>
    </w:lvl>
    <w:lvl w:ilvl="1">
      <w:start w:val="16"/>
      <w:numFmt w:val="decimal"/>
      <w:lvlText w:val="%2."/>
      <w:lvlJc w:val="left"/>
      <w:pPr>
        <w:ind w:left="1080" w:hanging="360"/>
      </w:pPr>
      <w:rPr>
        <w:rFonts w:hint="default"/>
        <w:b w:val="0"/>
        <w:i w:val="0"/>
        <w:sz w:val="26"/>
      </w:rPr>
    </w:lvl>
    <w:lvl w:ilvl="2">
      <w:start w:val="1"/>
      <w:numFmt w:val="lowerLetter"/>
      <w:lvlText w:val="%3)"/>
      <w:lvlJc w:val="left"/>
      <w:pPr>
        <w:ind w:left="1440" w:firstLine="0"/>
      </w:pPr>
      <w:rPr>
        <w:rFonts w:hint="default"/>
      </w:rPr>
    </w:lvl>
    <w:lvl w:ilvl="3">
      <w:start w:val="1"/>
      <w:numFmt w:val="lowerLetter"/>
      <w:lvlText w:val="%4)"/>
      <w:lvlJc w:val="left"/>
      <w:pPr>
        <w:ind w:left="2160" w:firstLine="0"/>
      </w:pPr>
      <w:rPr>
        <w:rFonts w:hint="default"/>
      </w:rPr>
    </w:lvl>
    <w:lvl w:ilvl="4">
      <w:start w:val="1"/>
      <w:numFmt w:val="decimal"/>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5" w15:restartNumberingAfterBreak="0">
    <w:nsid w:val="123D5522"/>
    <w:multiLevelType w:val="multilevel"/>
    <w:tmpl w:val="2946D5F8"/>
    <w:lvl w:ilvl="0">
      <w:start w:val="1"/>
      <w:numFmt w:val="upperRoman"/>
      <w:lvlText w:val="%1."/>
      <w:lvlJc w:val="left"/>
      <w:pPr>
        <w:ind w:left="720" w:hanging="720"/>
      </w:pPr>
      <w:rPr>
        <w:rFonts w:ascii="Times New Roman Bold" w:hAnsi="Times New Roman Bold" w:hint="default"/>
        <w:b/>
        <w:i w:val="0"/>
        <w:sz w:val="26"/>
      </w:rPr>
    </w:lvl>
    <w:lvl w:ilvl="1">
      <w:start w:val="41"/>
      <w:numFmt w:val="decimal"/>
      <w:lvlText w:val="%2."/>
      <w:lvlJc w:val="left"/>
      <w:pPr>
        <w:ind w:left="720" w:hanging="360"/>
      </w:pPr>
      <w:rPr>
        <w:rFonts w:hint="default"/>
        <w:b w:val="0"/>
        <w:i w:val="0"/>
        <w:sz w:val="26"/>
      </w:rPr>
    </w:lvl>
    <w:lvl w:ilvl="2">
      <w:start w:val="1"/>
      <w:numFmt w:val="lowerLetter"/>
      <w:lvlText w:val="%3."/>
      <w:lvlJc w:val="left"/>
      <w:pPr>
        <w:ind w:left="1800" w:hanging="360"/>
      </w:pPr>
      <w:rPr>
        <w:rFonts w:hint="default"/>
        <w:b w:val="0"/>
        <w:bCs/>
        <w:i w:val="0"/>
        <w:sz w:val="26"/>
      </w:rPr>
    </w:lvl>
    <w:lvl w:ilvl="3">
      <w:start w:val="1"/>
      <w:numFmt w:val="lowerLetter"/>
      <w:lvlText w:val="%4."/>
      <w:lvlJc w:val="left"/>
      <w:pPr>
        <w:ind w:left="2160" w:hanging="720"/>
      </w:pPr>
      <w:rPr>
        <w:rFonts w:ascii="Times New Roman" w:hAnsi="Times New Roman" w:hint="default"/>
        <w:b w:val="0"/>
        <w:i w:val="0"/>
        <w:sz w:val="26"/>
      </w:rPr>
    </w:lvl>
    <w:lvl w:ilvl="4">
      <w:start w:val="1"/>
      <w:numFmt w:val="decimal"/>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6" w15:restartNumberingAfterBreak="0">
    <w:nsid w:val="150A54D7"/>
    <w:multiLevelType w:val="multilevel"/>
    <w:tmpl w:val="2A1A7DA2"/>
    <w:lvl w:ilvl="0">
      <w:start w:val="1"/>
      <w:numFmt w:val="decimal"/>
      <w:lvlText w:val="%1."/>
      <w:lvlJc w:val="left"/>
      <w:pPr>
        <w:tabs>
          <w:tab w:val="left" w:pos="360"/>
        </w:tabs>
        <w:ind w:left="720"/>
      </w:pPr>
      <w:rPr>
        <w:rFonts w:ascii="Times New Roman" w:eastAsia="Times New Roman" w:hAnsi="Times New Roman"/>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6920304"/>
    <w:multiLevelType w:val="hybridMultilevel"/>
    <w:tmpl w:val="833E6F1E"/>
    <w:lvl w:ilvl="0" w:tplc="96026010">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88E2361"/>
    <w:multiLevelType w:val="hybridMultilevel"/>
    <w:tmpl w:val="1B5C17AA"/>
    <w:lvl w:ilvl="0" w:tplc="28046DA0">
      <w:start w:val="1"/>
      <w:numFmt w:val="lowerLetter"/>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9" w15:restartNumberingAfterBreak="0">
    <w:nsid w:val="1BA125B1"/>
    <w:multiLevelType w:val="multilevel"/>
    <w:tmpl w:val="67FEF118"/>
    <w:lvl w:ilvl="0">
      <w:start w:val="5"/>
      <w:numFmt w:val="decimal"/>
      <w:lvlText w:val="%1."/>
      <w:lvlJc w:val="left"/>
      <w:pPr>
        <w:tabs>
          <w:tab w:val="left" w:pos="720"/>
        </w:tabs>
        <w:ind w:left="720"/>
      </w:pPr>
      <w:rPr>
        <w:rFonts w:ascii="Times New Roman" w:eastAsia="Times New Roman" w:hAnsi="Times New Roman"/>
        <w:strike w:val="0"/>
        <w:color w:val="000000"/>
        <w:spacing w:val="0"/>
        <w:w w:val="100"/>
        <w:sz w:val="26"/>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BDE433E"/>
    <w:multiLevelType w:val="multilevel"/>
    <w:tmpl w:val="BE624F20"/>
    <w:lvl w:ilvl="0">
      <w:start w:val="36"/>
      <w:numFmt w:val="decimal"/>
      <w:lvlText w:val="%1."/>
      <w:lvlJc w:val="left"/>
      <w:pPr>
        <w:tabs>
          <w:tab w:val="left" w:pos="720"/>
        </w:tabs>
        <w:ind w:left="720"/>
      </w:pPr>
      <w:rPr>
        <w:rFonts w:ascii="Times New Roman" w:eastAsia="Times New Roman" w:hAnsi="Times New Roman"/>
        <w:strike w:val="0"/>
        <w:color w:val="000000"/>
        <w:spacing w:val="0"/>
        <w:w w:val="100"/>
        <w:sz w:val="26"/>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1DF20561"/>
    <w:multiLevelType w:val="multilevel"/>
    <w:tmpl w:val="2182B87C"/>
    <w:lvl w:ilvl="0">
      <w:start w:val="2"/>
      <w:numFmt w:val="upperLetter"/>
      <w:lvlText w:val="%1."/>
      <w:lvlJc w:val="left"/>
      <w:pPr>
        <w:tabs>
          <w:tab w:val="left" w:pos="360"/>
        </w:tabs>
        <w:ind w:left="720"/>
      </w:pPr>
      <w:rPr>
        <w:rFonts w:ascii="Times New Roman" w:eastAsia="Times New Roman" w:hAnsi="Times New Roman"/>
        <w:b/>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5C93AA2"/>
    <w:multiLevelType w:val="hybridMultilevel"/>
    <w:tmpl w:val="C7522CF8"/>
    <w:lvl w:ilvl="0" w:tplc="76E0F17C">
      <w:start w:val="1"/>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3" w15:restartNumberingAfterBreak="0">
    <w:nsid w:val="25FD02F0"/>
    <w:multiLevelType w:val="hybridMultilevel"/>
    <w:tmpl w:val="0EA4F1A2"/>
    <w:lvl w:ilvl="0" w:tplc="28046DA0">
      <w:start w:val="1"/>
      <w:numFmt w:val="lowerLetter"/>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4" w15:restartNumberingAfterBreak="0">
    <w:nsid w:val="2D72292C"/>
    <w:multiLevelType w:val="hybridMultilevel"/>
    <w:tmpl w:val="833E6F1E"/>
    <w:lvl w:ilvl="0" w:tplc="FFFFFFFF">
      <w:start w:val="1"/>
      <w:numFmt w:val="decimal"/>
      <w:lvlText w:val="%1."/>
      <w:lvlJc w:val="left"/>
      <w:pPr>
        <w:ind w:left="1440" w:hanging="72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5" w15:restartNumberingAfterBreak="0">
    <w:nsid w:val="31B765E1"/>
    <w:multiLevelType w:val="hybridMultilevel"/>
    <w:tmpl w:val="B590E8BC"/>
    <w:lvl w:ilvl="0" w:tplc="04090015">
      <w:start w:val="1"/>
      <w:numFmt w:val="upperLetter"/>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4C81B87"/>
    <w:multiLevelType w:val="multilevel"/>
    <w:tmpl w:val="9C2841D2"/>
    <w:lvl w:ilvl="0">
      <w:start w:val="7"/>
      <w:numFmt w:val="upperLetter"/>
      <w:lvlText w:val="%1."/>
      <w:lvlJc w:val="left"/>
      <w:pPr>
        <w:tabs>
          <w:tab w:val="left" w:pos="432"/>
        </w:tabs>
        <w:ind w:left="720"/>
      </w:pPr>
      <w:rPr>
        <w:rFonts w:ascii="Times New Roman" w:eastAsia="Times New Roman" w:hAnsi="Times New Roman"/>
        <w:b/>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536196E"/>
    <w:multiLevelType w:val="hybridMultilevel"/>
    <w:tmpl w:val="5EA8CC3E"/>
    <w:lvl w:ilvl="0" w:tplc="0409000F">
      <w:start w:val="2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5C92C82"/>
    <w:multiLevelType w:val="multilevel"/>
    <w:tmpl w:val="6D28FCAE"/>
    <w:lvl w:ilvl="0">
      <w:start w:val="1"/>
      <w:numFmt w:val="upperRoman"/>
      <w:lvlText w:val="%1."/>
      <w:lvlJc w:val="left"/>
      <w:pPr>
        <w:ind w:left="720" w:hanging="720"/>
      </w:pPr>
      <w:rPr>
        <w:rFonts w:ascii="Times New Roman Bold" w:hAnsi="Times New Roman Bold" w:hint="default"/>
        <w:b/>
        <w:i w:val="0"/>
        <w:sz w:val="26"/>
      </w:rPr>
    </w:lvl>
    <w:lvl w:ilvl="1">
      <w:start w:val="1"/>
      <w:numFmt w:val="decimal"/>
      <w:lvlText w:val="%2."/>
      <w:lvlJc w:val="left"/>
      <w:pPr>
        <w:ind w:left="1440" w:hanging="720"/>
      </w:pPr>
      <w:rPr>
        <w:rFonts w:ascii="Times New Roman" w:hAnsi="Times New Roman" w:hint="default"/>
        <w:b w:val="0"/>
        <w:i w:val="0"/>
        <w:sz w:val="26"/>
      </w:rPr>
    </w:lvl>
    <w:lvl w:ilvl="2">
      <w:start w:val="1"/>
      <w:numFmt w:val="decimal"/>
      <w:lvlText w:val="%3."/>
      <w:lvlJc w:val="left"/>
      <w:pPr>
        <w:ind w:left="1440" w:firstLine="0"/>
      </w:pPr>
      <w:rPr>
        <w:rFonts w:hint="default"/>
      </w:rPr>
    </w:lvl>
    <w:lvl w:ilvl="3">
      <w:start w:val="1"/>
      <w:numFmt w:val="lowerLetter"/>
      <w:lvlText w:val="%4)"/>
      <w:lvlJc w:val="left"/>
      <w:pPr>
        <w:ind w:left="2160" w:firstLine="0"/>
      </w:pPr>
      <w:rPr>
        <w:rFonts w:hint="default"/>
      </w:rPr>
    </w:lvl>
    <w:lvl w:ilvl="4">
      <w:start w:val="1"/>
      <w:numFmt w:val="decimal"/>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19" w15:restartNumberingAfterBreak="0">
    <w:nsid w:val="3B06180B"/>
    <w:multiLevelType w:val="multilevel"/>
    <w:tmpl w:val="310E5D90"/>
    <w:lvl w:ilvl="0">
      <w:start w:val="29"/>
      <w:numFmt w:val="decimal"/>
      <w:lvlText w:val="%1."/>
      <w:lvlJc w:val="left"/>
      <w:pPr>
        <w:tabs>
          <w:tab w:val="left" w:pos="720"/>
        </w:tabs>
        <w:ind w:left="720"/>
      </w:pPr>
      <w:rPr>
        <w:rFonts w:ascii="Times New Roman" w:eastAsia="Times New Roman" w:hAnsi="Times New Roman"/>
        <w:strike w:val="0"/>
        <w:color w:val="000000"/>
        <w:spacing w:val="0"/>
        <w:w w:val="100"/>
        <w:sz w:val="26"/>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3E686F34"/>
    <w:multiLevelType w:val="hybridMultilevel"/>
    <w:tmpl w:val="AD0079C2"/>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67E1884"/>
    <w:multiLevelType w:val="multilevel"/>
    <w:tmpl w:val="69EE508E"/>
    <w:lvl w:ilvl="0">
      <w:start w:val="6"/>
      <w:numFmt w:val="decimal"/>
      <w:lvlText w:val="%1."/>
      <w:lvlJc w:val="left"/>
      <w:pPr>
        <w:tabs>
          <w:tab w:val="left" w:pos="648"/>
        </w:tabs>
        <w:ind w:left="720"/>
      </w:pPr>
      <w:rPr>
        <w:rFonts w:ascii="Times New Roman" w:eastAsia="Times New Roman" w:hAnsi="Times New Roman"/>
        <w:strike w:val="0"/>
        <w:color w:val="000000"/>
        <w:spacing w:val="0"/>
        <w:w w:val="100"/>
        <w:sz w:val="26"/>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4DE17DAE"/>
    <w:multiLevelType w:val="multilevel"/>
    <w:tmpl w:val="B074CD7E"/>
    <w:lvl w:ilvl="0">
      <w:start w:val="2"/>
      <w:numFmt w:val="upperRoman"/>
      <w:lvlText w:val="%1."/>
      <w:lvlJc w:val="left"/>
      <w:pPr>
        <w:ind w:left="720" w:hanging="720"/>
      </w:pPr>
      <w:rPr>
        <w:rFonts w:ascii="Times New Roman Bold" w:hAnsi="Times New Roman Bold" w:hint="default"/>
        <w:b/>
        <w:i w:val="0"/>
        <w:sz w:val="26"/>
      </w:rPr>
    </w:lvl>
    <w:lvl w:ilvl="1">
      <w:start w:val="16"/>
      <w:numFmt w:val="decimal"/>
      <w:lvlText w:val="%2."/>
      <w:lvlJc w:val="left"/>
      <w:pPr>
        <w:ind w:left="1080" w:hanging="360"/>
      </w:pPr>
      <w:rPr>
        <w:rFonts w:hint="default"/>
        <w:b w:val="0"/>
        <w:i w:val="0"/>
        <w:sz w:val="26"/>
      </w:rPr>
    </w:lvl>
    <w:lvl w:ilvl="2">
      <w:start w:val="1"/>
      <w:numFmt w:val="lowerLetter"/>
      <w:lvlText w:val="%3)"/>
      <w:lvlJc w:val="left"/>
      <w:pPr>
        <w:ind w:left="1440" w:firstLine="0"/>
      </w:pPr>
      <w:rPr>
        <w:rFonts w:hint="default"/>
      </w:rPr>
    </w:lvl>
    <w:lvl w:ilvl="3">
      <w:start w:val="1"/>
      <w:numFmt w:val="lowerLetter"/>
      <w:lvlText w:val="%4)"/>
      <w:lvlJc w:val="left"/>
      <w:pPr>
        <w:ind w:left="2160" w:firstLine="0"/>
      </w:pPr>
      <w:rPr>
        <w:rFonts w:hint="default"/>
      </w:rPr>
    </w:lvl>
    <w:lvl w:ilvl="4">
      <w:start w:val="1"/>
      <w:numFmt w:val="decimal"/>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23" w15:restartNumberingAfterBreak="0">
    <w:nsid w:val="501E5E3B"/>
    <w:multiLevelType w:val="hybridMultilevel"/>
    <w:tmpl w:val="DCDA14E4"/>
    <w:lvl w:ilvl="0" w:tplc="877E7346">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15:restartNumberingAfterBreak="0">
    <w:nsid w:val="556E2B00"/>
    <w:multiLevelType w:val="multilevel"/>
    <w:tmpl w:val="3EFA8C44"/>
    <w:lvl w:ilvl="0">
      <w:start w:val="1"/>
      <w:numFmt w:val="upperRoman"/>
      <w:lvlText w:val="%1."/>
      <w:lvlJc w:val="left"/>
      <w:pPr>
        <w:ind w:left="720" w:hanging="720"/>
      </w:pPr>
      <w:rPr>
        <w:rFonts w:ascii="Times New Roman Bold" w:hAnsi="Times New Roman Bold" w:hint="default"/>
        <w:b/>
        <w:i w:val="0"/>
        <w:sz w:val="26"/>
      </w:rPr>
    </w:lvl>
    <w:lvl w:ilvl="1">
      <w:start w:val="1"/>
      <w:numFmt w:val="decimal"/>
      <w:lvlText w:val="%2."/>
      <w:lvlJc w:val="left"/>
      <w:pPr>
        <w:ind w:left="1440" w:hanging="720"/>
      </w:pPr>
      <w:rPr>
        <w:rFonts w:ascii="Times New Roman" w:hAnsi="Times New Roman" w:hint="default"/>
        <w:b w:val="0"/>
        <w:i w:val="0"/>
        <w:sz w:val="26"/>
      </w:rPr>
    </w:lvl>
    <w:lvl w:ilvl="2">
      <w:start w:val="1"/>
      <w:numFmt w:val="upperLetter"/>
      <w:lvlText w:val="%3."/>
      <w:lvlJc w:val="left"/>
      <w:pPr>
        <w:ind w:left="720" w:hanging="360"/>
      </w:pPr>
      <w:rPr>
        <w:rFonts w:ascii="Times New Roman Bold" w:hAnsi="Times New Roman Bold" w:hint="default"/>
        <w:b/>
        <w:i w:val="0"/>
        <w:sz w:val="26"/>
      </w:rPr>
    </w:lvl>
    <w:lvl w:ilvl="3">
      <w:start w:val="1"/>
      <w:numFmt w:val="lowerLetter"/>
      <w:lvlText w:val="%4)"/>
      <w:lvlJc w:val="left"/>
      <w:pPr>
        <w:ind w:left="2160" w:firstLine="0"/>
      </w:pPr>
      <w:rPr>
        <w:rFonts w:hint="default"/>
        <w:b/>
        <w:bCs/>
      </w:rPr>
    </w:lvl>
    <w:lvl w:ilvl="4">
      <w:start w:val="1"/>
      <w:numFmt w:val="decimal"/>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25" w15:restartNumberingAfterBreak="0">
    <w:nsid w:val="57F8031E"/>
    <w:multiLevelType w:val="multilevel"/>
    <w:tmpl w:val="6C42B952"/>
    <w:lvl w:ilvl="0">
      <w:start w:val="19"/>
      <w:numFmt w:val="decimal"/>
      <w:lvlText w:val="%1."/>
      <w:lvlJc w:val="left"/>
      <w:pPr>
        <w:tabs>
          <w:tab w:val="left" w:pos="648"/>
        </w:tabs>
        <w:ind w:left="720"/>
      </w:pPr>
      <w:rPr>
        <w:rFonts w:ascii="Times New Roman" w:eastAsia="Times New Roman" w:hAnsi="Times New Roman"/>
        <w:strike w:val="0"/>
        <w:color w:val="000000"/>
        <w:spacing w:val="-2"/>
        <w:w w:val="100"/>
        <w:sz w:val="26"/>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5C7378C9"/>
    <w:multiLevelType w:val="multilevel"/>
    <w:tmpl w:val="2886EC98"/>
    <w:lvl w:ilvl="0">
      <w:start w:val="1"/>
      <w:numFmt w:val="lowerLetter"/>
      <w:lvlText w:val="%1."/>
      <w:lvlJc w:val="left"/>
      <w:pPr>
        <w:tabs>
          <w:tab w:val="left" w:pos="720"/>
        </w:tabs>
        <w:ind w:left="720"/>
      </w:pPr>
      <w:rPr>
        <w:rFonts w:ascii="Times New Roman" w:eastAsia="Times New Roman" w:hAnsi="Times New Roman"/>
        <w:strike w:val="0"/>
        <w:color w:val="000000"/>
        <w:spacing w:val="0"/>
        <w:w w:val="100"/>
        <w:sz w:val="26"/>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5E7750D7"/>
    <w:multiLevelType w:val="multilevel"/>
    <w:tmpl w:val="1DDE16BC"/>
    <w:lvl w:ilvl="0">
      <w:start w:val="1"/>
      <w:numFmt w:val="decimal"/>
      <w:lvlText w:val="%1."/>
      <w:lvlJc w:val="left"/>
      <w:pPr>
        <w:tabs>
          <w:tab w:val="left" w:pos="648"/>
        </w:tabs>
        <w:ind w:left="720"/>
      </w:pPr>
      <w:rPr>
        <w:rFonts w:ascii="Times New Roman" w:eastAsia="Times New Roman" w:hAnsi="Times New Roman"/>
        <w:strike w:val="0"/>
        <w:color w:val="000000"/>
        <w:spacing w:val="0"/>
        <w:w w:val="100"/>
        <w:sz w:val="26"/>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5F5D3DED"/>
    <w:multiLevelType w:val="multilevel"/>
    <w:tmpl w:val="DAA23BE6"/>
    <w:lvl w:ilvl="0">
      <w:start w:val="1"/>
      <w:numFmt w:val="decimal"/>
      <w:lvlText w:val="%1."/>
      <w:lvlJc w:val="left"/>
      <w:pPr>
        <w:tabs>
          <w:tab w:val="left" w:pos="648"/>
        </w:tabs>
        <w:ind w:left="720"/>
      </w:pPr>
      <w:rPr>
        <w:rFonts w:ascii="Times New Roman" w:eastAsia="Times New Roman" w:hAnsi="Times New Roman"/>
        <w:strike w:val="0"/>
        <w:color w:val="000000"/>
        <w:spacing w:val="0"/>
        <w:w w:val="100"/>
        <w:sz w:val="26"/>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60BE15E1"/>
    <w:multiLevelType w:val="hybridMultilevel"/>
    <w:tmpl w:val="D0D2B7FA"/>
    <w:lvl w:ilvl="0" w:tplc="896427C4">
      <w:start w:val="1"/>
      <w:numFmt w:val="upperLetter"/>
      <w:lvlText w:val="%1."/>
      <w:lvlJc w:val="left"/>
      <w:pPr>
        <w:ind w:left="1080" w:hanging="360"/>
      </w:pPr>
      <w:rPr>
        <w:b/>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0" w15:restartNumberingAfterBreak="0">
    <w:nsid w:val="64D452B8"/>
    <w:multiLevelType w:val="multilevel"/>
    <w:tmpl w:val="603E9628"/>
    <w:lvl w:ilvl="0">
      <w:start w:val="1"/>
      <w:numFmt w:val="upperLetter"/>
      <w:lvlText w:val="%1."/>
      <w:lvlJc w:val="left"/>
      <w:pPr>
        <w:tabs>
          <w:tab w:val="left" w:pos="720"/>
        </w:tabs>
        <w:ind w:left="720"/>
      </w:pPr>
      <w:rPr>
        <w:rFonts w:ascii="Times New Roman" w:eastAsia="Times New Roman" w:hAnsi="Times New Roman"/>
        <w:strike w:val="0"/>
        <w:color w:val="000000"/>
        <w:spacing w:val="-1"/>
        <w:w w:val="100"/>
        <w:sz w:val="26"/>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66A7636A"/>
    <w:multiLevelType w:val="hybridMultilevel"/>
    <w:tmpl w:val="3D7E5E42"/>
    <w:lvl w:ilvl="0" w:tplc="C99E28F2">
      <w:start w:val="1"/>
      <w:numFmt w:val="decimal"/>
      <w:lvlText w:val="%1."/>
      <w:lvlJc w:val="left"/>
      <w:pPr>
        <w:ind w:left="0" w:firstLine="720"/>
      </w:pPr>
      <w:rPr>
        <w:rFonts w:hint="default"/>
      </w:rPr>
    </w:lvl>
    <w:lvl w:ilvl="1" w:tplc="04090019">
      <w:start w:val="1"/>
      <w:numFmt w:val="lowerLetter"/>
      <w:lvlText w:val="%2."/>
      <w:lvlJc w:val="left"/>
      <w:pPr>
        <w:ind w:left="2216" w:hanging="360"/>
      </w:pPr>
    </w:lvl>
    <w:lvl w:ilvl="2" w:tplc="0409001B" w:tentative="1">
      <w:start w:val="1"/>
      <w:numFmt w:val="lowerRoman"/>
      <w:lvlText w:val="%3."/>
      <w:lvlJc w:val="right"/>
      <w:pPr>
        <w:ind w:left="2936" w:hanging="180"/>
      </w:pPr>
    </w:lvl>
    <w:lvl w:ilvl="3" w:tplc="0409000F" w:tentative="1">
      <w:start w:val="1"/>
      <w:numFmt w:val="decimal"/>
      <w:lvlText w:val="%4."/>
      <w:lvlJc w:val="left"/>
      <w:pPr>
        <w:ind w:left="3656" w:hanging="360"/>
      </w:pPr>
    </w:lvl>
    <w:lvl w:ilvl="4" w:tplc="04090019" w:tentative="1">
      <w:start w:val="1"/>
      <w:numFmt w:val="lowerLetter"/>
      <w:lvlText w:val="%5."/>
      <w:lvlJc w:val="left"/>
      <w:pPr>
        <w:ind w:left="4376" w:hanging="360"/>
      </w:pPr>
    </w:lvl>
    <w:lvl w:ilvl="5" w:tplc="0409001B" w:tentative="1">
      <w:start w:val="1"/>
      <w:numFmt w:val="lowerRoman"/>
      <w:lvlText w:val="%6."/>
      <w:lvlJc w:val="right"/>
      <w:pPr>
        <w:ind w:left="5096" w:hanging="180"/>
      </w:pPr>
    </w:lvl>
    <w:lvl w:ilvl="6" w:tplc="0409000F" w:tentative="1">
      <w:start w:val="1"/>
      <w:numFmt w:val="decimal"/>
      <w:lvlText w:val="%7."/>
      <w:lvlJc w:val="left"/>
      <w:pPr>
        <w:ind w:left="5816" w:hanging="360"/>
      </w:pPr>
    </w:lvl>
    <w:lvl w:ilvl="7" w:tplc="04090019" w:tentative="1">
      <w:start w:val="1"/>
      <w:numFmt w:val="lowerLetter"/>
      <w:lvlText w:val="%8."/>
      <w:lvlJc w:val="left"/>
      <w:pPr>
        <w:ind w:left="6536" w:hanging="360"/>
      </w:pPr>
    </w:lvl>
    <w:lvl w:ilvl="8" w:tplc="0409001B" w:tentative="1">
      <w:start w:val="1"/>
      <w:numFmt w:val="lowerRoman"/>
      <w:lvlText w:val="%9."/>
      <w:lvlJc w:val="right"/>
      <w:pPr>
        <w:ind w:left="7256" w:hanging="180"/>
      </w:pPr>
    </w:lvl>
  </w:abstractNum>
  <w:abstractNum w:abstractNumId="32" w15:restartNumberingAfterBreak="0">
    <w:nsid w:val="67EB751A"/>
    <w:multiLevelType w:val="hybridMultilevel"/>
    <w:tmpl w:val="D3A2712C"/>
    <w:lvl w:ilvl="0" w:tplc="FFFFFFFF">
      <w:start w:val="1"/>
      <w:numFmt w:val="decimal"/>
      <w:lvlText w:val="%1."/>
      <w:lvlJc w:val="left"/>
      <w:pPr>
        <w:ind w:left="1440" w:hanging="72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3" w15:restartNumberingAfterBreak="0">
    <w:nsid w:val="6A977078"/>
    <w:multiLevelType w:val="multilevel"/>
    <w:tmpl w:val="65002CF2"/>
    <w:lvl w:ilvl="0">
      <w:start w:val="12"/>
      <w:numFmt w:val="decimal"/>
      <w:lvlText w:val="%1."/>
      <w:lvlJc w:val="left"/>
      <w:pPr>
        <w:tabs>
          <w:tab w:val="left" w:pos="648"/>
        </w:tabs>
        <w:ind w:left="720"/>
      </w:pPr>
      <w:rPr>
        <w:rFonts w:ascii="Times New Roman" w:eastAsia="Times New Roman" w:hAnsi="Times New Roman"/>
        <w:strike w:val="0"/>
        <w:color w:val="000000"/>
        <w:spacing w:val="0"/>
        <w:w w:val="100"/>
        <w:sz w:val="26"/>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6CCD534B"/>
    <w:multiLevelType w:val="multilevel"/>
    <w:tmpl w:val="70F8365C"/>
    <w:lvl w:ilvl="0">
      <w:start w:val="40"/>
      <w:numFmt w:val="decimal"/>
      <w:lvlText w:val="%1."/>
      <w:lvlJc w:val="left"/>
      <w:pPr>
        <w:tabs>
          <w:tab w:val="left" w:pos="720"/>
        </w:tabs>
        <w:ind w:left="720"/>
      </w:pPr>
      <w:rPr>
        <w:rFonts w:ascii="Times New Roman" w:eastAsia="Times New Roman" w:hAnsi="Times New Roman"/>
        <w:strike w:val="0"/>
        <w:color w:val="000000"/>
        <w:spacing w:val="0"/>
        <w:w w:val="100"/>
        <w:sz w:val="26"/>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6EF210C0"/>
    <w:multiLevelType w:val="multilevel"/>
    <w:tmpl w:val="7F1CDEF6"/>
    <w:lvl w:ilvl="0">
      <w:start w:val="34"/>
      <w:numFmt w:val="decimal"/>
      <w:lvlText w:val="%1."/>
      <w:lvlJc w:val="left"/>
      <w:pPr>
        <w:tabs>
          <w:tab w:val="left" w:pos="720"/>
        </w:tabs>
        <w:ind w:left="720"/>
      </w:pPr>
      <w:rPr>
        <w:rFonts w:ascii="Times New Roman" w:eastAsia="Times New Roman" w:hAnsi="Times New Roman"/>
        <w:strike w:val="0"/>
        <w:color w:val="000000"/>
        <w:spacing w:val="-1"/>
        <w:w w:val="100"/>
        <w:sz w:val="26"/>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707F7FAC"/>
    <w:multiLevelType w:val="multilevel"/>
    <w:tmpl w:val="6AD4DE62"/>
    <w:lvl w:ilvl="0">
      <w:start w:val="12"/>
      <w:numFmt w:val="none"/>
      <w:lvlText w:val="20."/>
      <w:lvlJc w:val="left"/>
      <w:pPr>
        <w:tabs>
          <w:tab w:val="num" w:pos="648"/>
        </w:tabs>
        <w:ind w:left="720" w:firstLine="0"/>
      </w:pPr>
      <w:rPr>
        <w:rFonts w:ascii="Times New Roman" w:eastAsia="Times New Roman" w:hAnsi="Times New Roman" w:hint="default"/>
        <w:strike w:val="0"/>
        <w:color w:val="000000"/>
        <w:spacing w:val="0"/>
        <w:w w:val="100"/>
        <w:sz w:val="26"/>
        <w:vertAlign w:val="baseline"/>
        <w:lang w:val="en-US"/>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37" w15:restartNumberingAfterBreak="0">
    <w:nsid w:val="771E1A4E"/>
    <w:multiLevelType w:val="multilevel"/>
    <w:tmpl w:val="B1AA5C2A"/>
    <w:lvl w:ilvl="0">
      <w:start w:val="1"/>
      <w:numFmt w:val="upperRoman"/>
      <w:lvlText w:val="%1."/>
      <w:lvlJc w:val="left"/>
      <w:pPr>
        <w:ind w:left="720" w:hanging="720"/>
      </w:pPr>
      <w:rPr>
        <w:rFonts w:ascii="Times New Roman Bold" w:hAnsi="Times New Roman Bold" w:hint="default"/>
        <w:b/>
        <w:i w:val="0"/>
        <w:sz w:val="26"/>
      </w:rPr>
    </w:lvl>
    <w:lvl w:ilvl="1">
      <w:start w:val="41"/>
      <w:numFmt w:val="decimal"/>
      <w:lvlText w:val="%2."/>
      <w:lvlJc w:val="left"/>
      <w:pPr>
        <w:ind w:left="720" w:hanging="360"/>
      </w:pPr>
      <w:rPr>
        <w:rFonts w:hint="default"/>
        <w:b w:val="0"/>
        <w:i w:val="0"/>
        <w:sz w:val="26"/>
      </w:rPr>
    </w:lvl>
    <w:lvl w:ilvl="2">
      <w:start w:val="1"/>
      <w:numFmt w:val="lowerLetter"/>
      <w:lvlText w:val="%3)"/>
      <w:lvlJc w:val="left"/>
      <w:pPr>
        <w:ind w:left="1800" w:hanging="360"/>
      </w:pPr>
      <w:rPr>
        <w:rFonts w:hint="default"/>
        <w:b w:val="0"/>
        <w:bCs/>
        <w:i w:val="0"/>
        <w:sz w:val="26"/>
      </w:rPr>
    </w:lvl>
    <w:lvl w:ilvl="3">
      <w:start w:val="1"/>
      <w:numFmt w:val="lowerLetter"/>
      <w:lvlText w:val="%4."/>
      <w:lvlJc w:val="left"/>
      <w:pPr>
        <w:ind w:left="2160" w:hanging="720"/>
      </w:pPr>
      <w:rPr>
        <w:rFonts w:ascii="Times New Roman" w:hAnsi="Times New Roman" w:hint="default"/>
        <w:b w:val="0"/>
        <w:i w:val="0"/>
        <w:sz w:val="26"/>
      </w:rPr>
    </w:lvl>
    <w:lvl w:ilvl="4">
      <w:start w:val="1"/>
      <w:numFmt w:val="decimal"/>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38" w15:restartNumberingAfterBreak="0">
    <w:nsid w:val="79520AF7"/>
    <w:multiLevelType w:val="multilevel"/>
    <w:tmpl w:val="96AE15A2"/>
    <w:lvl w:ilvl="0">
      <w:start w:val="5"/>
      <w:numFmt w:val="upperLetter"/>
      <w:lvlText w:val="%1."/>
      <w:lvlJc w:val="left"/>
      <w:pPr>
        <w:tabs>
          <w:tab w:val="left" w:pos="432"/>
        </w:tabs>
        <w:ind w:left="720"/>
      </w:pPr>
      <w:rPr>
        <w:rFonts w:ascii="Times New Roman" w:eastAsia="Times New Roman" w:hAnsi="Times New Roman"/>
        <w:b/>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799E7D86"/>
    <w:multiLevelType w:val="hybridMultilevel"/>
    <w:tmpl w:val="833E6F1E"/>
    <w:lvl w:ilvl="0" w:tplc="FFFFFFFF">
      <w:start w:val="1"/>
      <w:numFmt w:val="decimal"/>
      <w:lvlText w:val="%1."/>
      <w:lvlJc w:val="left"/>
      <w:pPr>
        <w:ind w:left="1440" w:hanging="72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0" w15:restartNumberingAfterBreak="0">
    <w:nsid w:val="7B1C270B"/>
    <w:multiLevelType w:val="multilevel"/>
    <w:tmpl w:val="8CD200E0"/>
    <w:lvl w:ilvl="0">
      <w:start w:val="3"/>
      <w:numFmt w:val="upperRoman"/>
      <w:lvlText w:val="%1."/>
      <w:lvlJc w:val="left"/>
      <w:pPr>
        <w:ind w:left="720" w:hanging="720"/>
      </w:pPr>
      <w:rPr>
        <w:rFonts w:ascii="Times New Roman Bold" w:hAnsi="Times New Roman Bold" w:hint="default"/>
        <w:b/>
        <w:i w:val="0"/>
        <w:sz w:val="26"/>
      </w:rPr>
    </w:lvl>
    <w:lvl w:ilvl="1">
      <w:start w:val="19"/>
      <w:numFmt w:val="decimal"/>
      <w:lvlText w:val="%2."/>
      <w:lvlJc w:val="left"/>
      <w:pPr>
        <w:ind w:left="1440" w:hanging="720"/>
      </w:pPr>
      <w:rPr>
        <w:rFonts w:ascii="Times New Roman" w:hAnsi="Times New Roman" w:hint="default"/>
        <w:b w:val="0"/>
        <w:i w:val="0"/>
        <w:sz w:val="26"/>
      </w:rPr>
    </w:lvl>
    <w:lvl w:ilvl="2">
      <w:start w:val="3"/>
      <w:numFmt w:val="upperLetter"/>
      <w:lvlText w:val="%3."/>
      <w:lvlJc w:val="left"/>
      <w:pPr>
        <w:ind w:left="720" w:hanging="360"/>
      </w:pPr>
      <w:rPr>
        <w:rFonts w:ascii="Times New Roman Bold" w:hAnsi="Times New Roman Bold" w:hint="default"/>
        <w:b/>
        <w:i w:val="0"/>
        <w:sz w:val="26"/>
      </w:rPr>
    </w:lvl>
    <w:lvl w:ilvl="3">
      <w:start w:val="1"/>
      <w:numFmt w:val="lowerLetter"/>
      <w:lvlText w:val="%4."/>
      <w:lvlJc w:val="left"/>
      <w:pPr>
        <w:ind w:left="2160" w:hanging="720"/>
      </w:pPr>
      <w:rPr>
        <w:rFonts w:ascii="Times New Roman" w:hAnsi="Times New Roman" w:hint="default"/>
        <w:b w:val="0"/>
        <w:i w:val="0"/>
        <w:sz w:val="26"/>
      </w:rPr>
    </w:lvl>
    <w:lvl w:ilvl="4">
      <w:start w:val="1"/>
      <w:numFmt w:val="decimal"/>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41" w15:restartNumberingAfterBreak="0">
    <w:nsid w:val="7C052BF7"/>
    <w:multiLevelType w:val="hybridMultilevel"/>
    <w:tmpl w:val="F4981344"/>
    <w:lvl w:ilvl="0" w:tplc="1264D278">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7"/>
  </w:num>
  <w:num w:numId="2">
    <w:abstractNumId w:val="21"/>
  </w:num>
  <w:num w:numId="3">
    <w:abstractNumId w:val="36"/>
  </w:num>
  <w:num w:numId="4">
    <w:abstractNumId w:val="25"/>
  </w:num>
  <w:num w:numId="5">
    <w:abstractNumId w:val="0"/>
  </w:num>
  <w:num w:numId="6">
    <w:abstractNumId w:val="26"/>
  </w:num>
  <w:num w:numId="7">
    <w:abstractNumId w:val="1"/>
  </w:num>
  <w:num w:numId="8">
    <w:abstractNumId w:val="19"/>
  </w:num>
  <w:num w:numId="9">
    <w:abstractNumId w:val="35"/>
  </w:num>
  <w:num w:numId="10">
    <w:abstractNumId w:val="10"/>
  </w:num>
  <w:num w:numId="11">
    <w:abstractNumId w:val="34"/>
  </w:num>
  <w:num w:numId="12">
    <w:abstractNumId w:val="28"/>
  </w:num>
  <w:num w:numId="13">
    <w:abstractNumId w:val="9"/>
  </w:num>
  <w:num w:numId="14">
    <w:abstractNumId w:val="30"/>
  </w:num>
  <w:num w:numId="15">
    <w:abstractNumId w:val="6"/>
  </w:num>
  <w:num w:numId="16">
    <w:abstractNumId w:val="11"/>
  </w:num>
  <w:num w:numId="17">
    <w:abstractNumId w:val="38"/>
  </w:num>
  <w:num w:numId="18">
    <w:abstractNumId w:val="16"/>
  </w:num>
  <w:num w:numId="19">
    <w:abstractNumId w:val="12"/>
  </w:num>
  <w:num w:numId="20">
    <w:abstractNumId w:val="33"/>
  </w:num>
  <w:num w:numId="21">
    <w:abstractNumId w:val="17"/>
  </w:num>
  <w:num w:numId="22">
    <w:abstractNumId w:val="8"/>
  </w:num>
  <w:num w:numId="23">
    <w:abstractNumId w:val="31"/>
  </w:num>
  <w:num w:numId="24">
    <w:abstractNumId w:val="18"/>
  </w:num>
  <w:num w:numId="25">
    <w:abstractNumId w:val="24"/>
  </w:num>
  <w:num w:numId="26">
    <w:abstractNumId w:val="40"/>
  </w:num>
  <w:num w:numId="27">
    <w:abstractNumId w:val="3"/>
  </w:num>
  <w:num w:numId="28">
    <w:abstractNumId w:val="4"/>
  </w:num>
  <w:num w:numId="29">
    <w:abstractNumId w:val="37"/>
  </w:num>
  <w:num w:numId="30">
    <w:abstractNumId w:val="5"/>
  </w:num>
  <w:num w:numId="31">
    <w:abstractNumId w:val="22"/>
  </w:num>
  <w:num w:numId="32">
    <w:abstractNumId w:val="2"/>
  </w:num>
  <w:num w:numId="33">
    <w:abstractNumId w:val="15"/>
  </w:num>
  <w:num w:numId="34">
    <w:abstractNumId w:val="20"/>
  </w:num>
  <w:num w:numId="35">
    <w:abstractNumId w:val="23"/>
  </w:num>
  <w:num w:numId="36">
    <w:abstractNumId w:val="13"/>
  </w:num>
  <w:num w:numId="37">
    <w:abstractNumId w:val="7"/>
  </w:num>
  <w:num w:numId="38">
    <w:abstractNumId w:val="32"/>
  </w:num>
  <w:num w:numId="39">
    <w:abstractNumId w:val="14"/>
  </w:num>
  <w:num w:numId="4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1"/>
  </w:num>
  <w:num w:numId="42">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46DF"/>
    <w:rsid w:val="0000096F"/>
    <w:rsid w:val="00000C94"/>
    <w:rsid w:val="00000FB2"/>
    <w:rsid w:val="00004CF0"/>
    <w:rsid w:val="00005D75"/>
    <w:rsid w:val="00011892"/>
    <w:rsid w:val="00012B14"/>
    <w:rsid w:val="000130BF"/>
    <w:rsid w:val="00013A98"/>
    <w:rsid w:val="00014308"/>
    <w:rsid w:val="00014A10"/>
    <w:rsid w:val="0001596F"/>
    <w:rsid w:val="00016893"/>
    <w:rsid w:val="000171A8"/>
    <w:rsid w:val="000204E3"/>
    <w:rsid w:val="00021276"/>
    <w:rsid w:val="000215D1"/>
    <w:rsid w:val="000228B2"/>
    <w:rsid w:val="0002317F"/>
    <w:rsid w:val="000234DC"/>
    <w:rsid w:val="00024B6A"/>
    <w:rsid w:val="000252F8"/>
    <w:rsid w:val="00025B19"/>
    <w:rsid w:val="00025E64"/>
    <w:rsid w:val="0003063D"/>
    <w:rsid w:val="0003087B"/>
    <w:rsid w:val="000311D3"/>
    <w:rsid w:val="00033451"/>
    <w:rsid w:val="00033E2F"/>
    <w:rsid w:val="00034BA7"/>
    <w:rsid w:val="00035799"/>
    <w:rsid w:val="00035BF6"/>
    <w:rsid w:val="00036094"/>
    <w:rsid w:val="000368FA"/>
    <w:rsid w:val="000371C5"/>
    <w:rsid w:val="000375FA"/>
    <w:rsid w:val="0004000D"/>
    <w:rsid w:val="00040013"/>
    <w:rsid w:val="00041C9E"/>
    <w:rsid w:val="00041D11"/>
    <w:rsid w:val="0004275F"/>
    <w:rsid w:val="000438BA"/>
    <w:rsid w:val="00043C53"/>
    <w:rsid w:val="00043EED"/>
    <w:rsid w:val="000444C9"/>
    <w:rsid w:val="00047148"/>
    <w:rsid w:val="00050E71"/>
    <w:rsid w:val="0005126C"/>
    <w:rsid w:val="000527D2"/>
    <w:rsid w:val="00053D00"/>
    <w:rsid w:val="000552A9"/>
    <w:rsid w:val="0005591F"/>
    <w:rsid w:val="00056181"/>
    <w:rsid w:val="0005669F"/>
    <w:rsid w:val="00057B90"/>
    <w:rsid w:val="00061C4A"/>
    <w:rsid w:val="0006261E"/>
    <w:rsid w:val="00065013"/>
    <w:rsid w:val="00065317"/>
    <w:rsid w:val="000659DC"/>
    <w:rsid w:val="00065B44"/>
    <w:rsid w:val="00066F4B"/>
    <w:rsid w:val="00067A7B"/>
    <w:rsid w:val="000702C8"/>
    <w:rsid w:val="00070899"/>
    <w:rsid w:val="00071E82"/>
    <w:rsid w:val="00072A90"/>
    <w:rsid w:val="00072AB6"/>
    <w:rsid w:val="0007327F"/>
    <w:rsid w:val="0007370D"/>
    <w:rsid w:val="00073CE0"/>
    <w:rsid w:val="00073D3C"/>
    <w:rsid w:val="000742E4"/>
    <w:rsid w:val="000743D3"/>
    <w:rsid w:val="00074ACD"/>
    <w:rsid w:val="00075341"/>
    <w:rsid w:val="000763E2"/>
    <w:rsid w:val="000764CC"/>
    <w:rsid w:val="0007666B"/>
    <w:rsid w:val="00076EDE"/>
    <w:rsid w:val="00076EED"/>
    <w:rsid w:val="00077F3D"/>
    <w:rsid w:val="00080228"/>
    <w:rsid w:val="00081A35"/>
    <w:rsid w:val="00083452"/>
    <w:rsid w:val="00083AC2"/>
    <w:rsid w:val="00083C3B"/>
    <w:rsid w:val="000859B0"/>
    <w:rsid w:val="00086F6A"/>
    <w:rsid w:val="000873EB"/>
    <w:rsid w:val="00087E79"/>
    <w:rsid w:val="000919C5"/>
    <w:rsid w:val="00091D9E"/>
    <w:rsid w:val="00092C25"/>
    <w:rsid w:val="000961FD"/>
    <w:rsid w:val="00096220"/>
    <w:rsid w:val="0009647B"/>
    <w:rsid w:val="00096C5E"/>
    <w:rsid w:val="000A098D"/>
    <w:rsid w:val="000A116B"/>
    <w:rsid w:val="000A1455"/>
    <w:rsid w:val="000A28F9"/>
    <w:rsid w:val="000A3239"/>
    <w:rsid w:val="000A3401"/>
    <w:rsid w:val="000A3C25"/>
    <w:rsid w:val="000A3C4C"/>
    <w:rsid w:val="000A3CEE"/>
    <w:rsid w:val="000A551F"/>
    <w:rsid w:val="000A6771"/>
    <w:rsid w:val="000A78AF"/>
    <w:rsid w:val="000B0BD9"/>
    <w:rsid w:val="000B1958"/>
    <w:rsid w:val="000B252C"/>
    <w:rsid w:val="000B3189"/>
    <w:rsid w:val="000B78F0"/>
    <w:rsid w:val="000B7FD8"/>
    <w:rsid w:val="000C03B0"/>
    <w:rsid w:val="000C0A9D"/>
    <w:rsid w:val="000C1A04"/>
    <w:rsid w:val="000C2892"/>
    <w:rsid w:val="000C2AE4"/>
    <w:rsid w:val="000C3F97"/>
    <w:rsid w:val="000C5377"/>
    <w:rsid w:val="000C6364"/>
    <w:rsid w:val="000D0051"/>
    <w:rsid w:val="000D1DE3"/>
    <w:rsid w:val="000D2BD4"/>
    <w:rsid w:val="000D39EA"/>
    <w:rsid w:val="000D4FA3"/>
    <w:rsid w:val="000D5555"/>
    <w:rsid w:val="000D6612"/>
    <w:rsid w:val="000E00E7"/>
    <w:rsid w:val="000E089B"/>
    <w:rsid w:val="000E0F98"/>
    <w:rsid w:val="000E20EE"/>
    <w:rsid w:val="000E3800"/>
    <w:rsid w:val="000E4553"/>
    <w:rsid w:val="000E6874"/>
    <w:rsid w:val="000E7022"/>
    <w:rsid w:val="000E7725"/>
    <w:rsid w:val="000E7D19"/>
    <w:rsid w:val="000F0A6D"/>
    <w:rsid w:val="000F0C09"/>
    <w:rsid w:val="000F18FA"/>
    <w:rsid w:val="000F1BF9"/>
    <w:rsid w:val="000F1E84"/>
    <w:rsid w:val="000F23A8"/>
    <w:rsid w:val="000F2638"/>
    <w:rsid w:val="000F30FD"/>
    <w:rsid w:val="000F512F"/>
    <w:rsid w:val="000F64AB"/>
    <w:rsid w:val="000F66D9"/>
    <w:rsid w:val="000F6E87"/>
    <w:rsid w:val="000F75BC"/>
    <w:rsid w:val="000F783F"/>
    <w:rsid w:val="000F7891"/>
    <w:rsid w:val="00100240"/>
    <w:rsid w:val="00100482"/>
    <w:rsid w:val="00101F3F"/>
    <w:rsid w:val="00102E0B"/>
    <w:rsid w:val="00103C13"/>
    <w:rsid w:val="00104A7A"/>
    <w:rsid w:val="00106602"/>
    <w:rsid w:val="00106722"/>
    <w:rsid w:val="001073F9"/>
    <w:rsid w:val="001078F5"/>
    <w:rsid w:val="001108DB"/>
    <w:rsid w:val="00110985"/>
    <w:rsid w:val="00110F5E"/>
    <w:rsid w:val="00111506"/>
    <w:rsid w:val="001115AF"/>
    <w:rsid w:val="0011280B"/>
    <w:rsid w:val="001134B4"/>
    <w:rsid w:val="001134CC"/>
    <w:rsid w:val="00115671"/>
    <w:rsid w:val="0011648B"/>
    <w:rsid w:val="00117203"/>
    <w:rsid w:val="001172FE"/>
    <w:rsid w:val="001176A5"/>
    <w:rsid w:val="001207E3"/>
    <w:rsid w:val="00120CFB"/>
    <w:rsid w:val="00122C3A"/>
    <w:rsid w:val="00123AC5"/>
    <w:rsid w:val="00124420"/>
    <w:rsid w:val="0012483C"/>
    <w:rsid w:val="001258DF"/>
    <w:rsid w:val="001263CE"/>
    <w:rsid w:val="0012671C"/>
    <w:rsid w:val="00126C0B"/>
    <w:rsid w:val="001303A7"/>
    <w:rsid w:val="00130A76"/>
    <w:rsid w:val="00131019"/>
    <w:rsid w:val="00131239"/>
    <w:rsid w:val="0013143E"/>
    <w:rsid w:val="00131974"/>
    <w:rsid w:val="00132E5C"/>
    <w:rsid w:val="001336DB"/>
    <w:rsid w:val="00134BD8"/>
    <w:rsid w:val="00135B9F"/>
    <w:rsid w:val="00135C85"/>
    <w:rsid w:val="00136C5C"/>
    <w:rsid w:val="001407C9"/>
    <w:rsid w:val="00140DDB"/>
    <w:rsid w:val="00141D95"/>
    <w:rsid w:val="00141EEA"/>
    <w:rsid w:val="001423E2"/>
    <w:rsid w:val="001427AC"/>
    <w:rsid w:val="00142B9E"/>
    <w:rsid w:val="00142C11"/>
    <w:rsid w:val="00143038"/>
    <w:rsid w:val="0014333F"/>
    <w:rsid w:val="00143E35"/>
    <w:rsid w:val="0014499B"/>
    <w:rsid w:val="00146473"/>
    <w:rsid w:val="0014773F"/>
    <w:rsid w:val="001509D7"/>
    <w:rsid w:val="00151D6B"/>
    <w:rsid w:val="00152211"/>
    <w:rsid w:val="0015321B"/>
    <w:rsid w:val="00153F51"/>
    <w:rsid w:val="0015401B"/>
    <w:rsid w:val="00154039"/>
    <w:rsid w:val="0015541F"/>
    <w:rsid w:val="00156043"/>
    <w:rsid w:val="00156E7D"/>
    <w:rsid w:val="0015703E"/>
    <w:rsid w:val="0015761A"/>
    <w:rsid w:val="00157800"/>
    <w:rsid w:val="00157A32"/>
    <w:rsid w:val="00157AD0"/>
    <w:rsid w:val="00157B35"/>
    <w:rsid w:val="00160B71"/>
    <w:rsid w:val="00160DA0"/>
    <w:rsid w:val="00161670"/>
    <w:rsid w:val="00162104"/>
    <w:rsid w:val="0016257F"/>
    <w:rsid w:val="001634D1"/>
    <w:rsid w:val="00163884"/>
    <w:rsid w:val="00163F97"/>
    <w:rsid w:val="00166954"/>
    <w:rsid w:val="00167977"/>
    <w:rsid w:val="00167A6C"/>
    <w:rsid w:val="00167E34"/>
    <w:rsid w:val="00174CC1"/>
    <w:rsid w:val="001802DD"/>
    <w:rsid w:val="001825D2"/>
    <w:rsid w:val="00182B36"/>
    <w:rsid w:val="00182CDC"/>
    <w:rsid w:val="00186D4B"/>
    <w:rsid w:val="001879E3"/>
    <w:rsid w:val="00191076"/>
    <w:rsid w:val="00191E9E"/>
    <w:rsid w:val="00192D19"/>
    <w:rsid w:val="00192E27"/>
    <w:rsid w:val="00193AE6"/>
    <w:rsid w:val="00194578"/>
    <w:rsid w:val="00195BEA"/>
    <w:rsid w:val="00196507"/>
    <w:rsid w:val="00197F7D"/>
    <w:rsid w:val="001A0815"/>
    <w:rsid w:val="001A0EFB"/>
    <w:rsid w:val="001A1065"/>
    <w:rsid w:val="001A1CFF"/>
    <w:rsid w:val="001A33B0"/>
    <w:rsid w:val="001A356D"/>
    <w:rsid w:val="001A3C4F"/>
    <w:rsid w:val="001A4396"/>
    <w:rsid w:val="001A6162"/>
    <w:rsid w:val="001A6FC7"/>
    <w:rsid w:val="001A7D2E"/>
    <w:rsid w:val="001B0BEB"/>
    <w:rsid w:val="001B12DE"/>
    <w:rsid w:val="001B1C0A"/>
    <w:rsid w:val="001B2A91"/>
    <w:rsid w:val="001B3097"/>
    <w:rsid w:val="001B5916"/>
    <w:rsid w:val="001B64AF"/>
    <w:rsid w:val="001B64C4"/>
    <w:rsid w:val="001B656B"/>
    <w:rsid w:val="001B792E"/>
    <w:rsid w:val="001C150D"/>
    <w:rsid w:val="001C1D86"/>
    <w:rsid w:val="001C1F69"/>
    <w:rsid w:val="001C2C28"/>
    <w:rsid w:val="001C3D69"/>
    <w:rsid w:val="001C4494"/>
    <w:rsid w:val="001C4AF1"/>
    <w:rsid w:val="001C5E45"/>
    <w:rsid w:val="001C6A73"/>
    <w:rsid w:val="001C6F46"/>
    <w:rsid w:val="001C7B08"/>
    <w:rsid w:val="001C7EC0"/>
    <w:rsid w:val="001D0580"/>
    <w:rsid w:val="001D17D4"/>
    <w:rsid w:val="001D3C13"/>
    <w:rsid w:val="001D3ED1"/>
    <w:rsid w:val="001D432E"/>
    <w:rsid w:val="001D4AF1"/>
    <w:rsid w:val="001D68C8"/>
    <w:rsid w:val="001D7441"/>
    <w:rsid w:val="001E0581"/>
    <w:rsid w:val="001E0987"/>
    <w:rsid w:val="001E0C75"/>
    <w:rsid w:val="001E0E43"/>
    <w:rsid w:val="001E171D"/>
    <w:rsid w:val="001E395A"/>
    <w:rsid w:val="001E438D"/>
    <w:rsid w:val="001E5847"/>
    <w:rsid w:val="001E6349"/>
    <w:rsid w:val="001E6FAA"/>
    <w:rsid w:val="001F0EC0"/>
    <w:rsid w:val="001F2DAA"/>
    <w:rsid w:val="001F7695"/>
    <w:rsid w:val="001F7D79"/>
    <w:rsid w:val="0020171A"/>
    <w:rsid w:val="00201ACA"/>
    <w:rsid w:val="00201B7D"/>
    <w:rsid w:val="00204821"/>
    <w:rsid w:val="00206264"/>
    <w:rsid w:val="0020683C"/>
    <w:rsid w:val="00206E1E"/>
    <w:rsid w:val="002070C7"/>
    <w:rsid w:val="002077F3"/>
    <w:rsid w:val="00210042"/>
    <w:rsid w:val="002112B9"/>
    <w:rsid w:val="00212CEB"/>
    <w:rsid w:val="00215502"/>
    <w:rsid w:val="00216E87"/>
    <w:rsid w:val="0022025A"/>
    <w:rsid w:val="00220341"/>
    <w:rsid w:val="00220627"/>
    <w:rsid w:val="002207B0"/>
    <w:rsid w:val="002208CC"/>
    <w:rsid w:val="00220EAB"/>
    <w:rsid w:val="002231AF"/>
    <w:rsid w:val="00223EFA"/>
    <w:rsid w:val="002247A3"/>
    <w:rsid w:val="00224B4A"/>
    <w:rsid w:val="00224DCA"/>
    <w:rsid w:val="00226406"/>
    <w:rsid w:val="00226B93"/>
    <w:rsid w:val="0022778B"/>
    <w:rsid w:val="00227A44"/>
    <w:rsid w:val="00227D1F"/>
    <w:rsid w:val="00230B2E"/>
    <w:rsid w:val="002317CA"/>
    <w:rsid w:val="002335AB"/>
    <w:rsid w:val="0023434F"/>
    <w:rsid w:val="0023485E"/>
    <w:rsid w:val="00234B3C"/>
    <w:rsid w:val="00235AA1"/>
    <w:rsid w:val="002369F6"/>
    <w:rsid w:val="00236A5C"/>
    <w:rsid w:val="00236A79"/>
    <w:rsid w:val="00237E5F"/>
    <w:rsid w:val="0024004E"/>
    <w:rsid w:val="0024016E"/>
    <w:rsid w:val="00240BCE"/>
    <w:rsid w:val="00241936"/>
    <w:rsid w:val="00241D31"/>
    <w:rsid w:val="00241ECA"/>
    <w:rsid w:val="002421A4"/>
    <w:rsid w:val="0024287E"/>
    <w:rsid w:val="00242E99"/>
    <w:rsid w:val="00243012"/>
    <w:rsid w:val="00243059"/>
    <w:rsid w:val="00243BB6"/>
    <w:rsid w:val="00245E28"/>
    <w:rsid w:val="00247095"/>
    <w:rsid w:val="002472CD"/>
    <w:rsid w:val="002475FD"/>
    <w:rsid w:val="002500C3"/>
    <w:rsid w:val="00251BFC"/>
    <w:rsid w:val="0025201A"/>
    <w:rsid w:val="00253E23"/>
    <w:rsid w:val="00253FD6"/>
    <w:rsid w:val="002541FA"/>
    <w:rsid w:val="00254C7B"/>
    <w:rsid w:val="00256146"/>
    <w:rsid w:val="002567CC"/>
    <w:rsid w:val="00256A63"/>
    <w:rsid w:val="00260585"/>
    <w:rsid w:val="00261047"/>
    <w:rsid w:val="002612DB"/>
    <w:rsid w:val="0026161B"/>
    <w:rsid w:val="002626C1"/>
    <w:rsid w:val="00264485"/>
    <w:rsid w:val="00265306"/>
    <w:rsid w:val="00266E81"/>
    <w:rsid w:val="002677DF"/>
    <w:rsid w:val="002702BE"/>
    <w:rsid w:val="002703AD"/>
    <w:rsid w:val="00270B24"/>
    <w:rsid w:val="00271FF7"/>
    <w:rsid w:val="00272211"/>
    <w:rsid w:val="00272BD0"/>
    <w:rsid w:val="0027612D"/>
    <w:rsid w:val="0027622A"/>
    <w:rsid w:val="00276AC2"/>
    <w:rsid w:val="002813C2"/>
    <w:rsid w:val="0028165D"/>
    <w:rsid w:val="00281EEA"/>
    <w:rsid w:val="0028267B"/>
    <w:rsid w:val="00282BF5"/>
    <w:rsid w:val="002832B1"/>
    <w:rsid w:val="00283849"/>
    <w:rsid w:val="00283935"/>
    <w:rsid w:val="00283CED"/>
    <w:rsid w:val="00287AB2"/>
    <w:rsid w:val="00290FBC"/>
    <w:rsid w:val="002913C5"/>
    <w:rsid w:val="002914B5"/>
    <w:rsid w:val="0029253E"/>
    <w:rsid w:val="00292D1E"/>
    <w:rsid w:val="00293217"/>
    <w:rsid w:val="002932E5"/>
    <w:rsid w:val="002935DD"/>
    <w:rsid w:val="002937D6"/>
    <w:rsid w:val="00293E4E"/>
    <w:rsid w:val="0029542E"/>
    <w:rsid w:val="00295E20"/>
    <w:rsid w:val="00296170"/>
    <w:rsid w:val="0029652B"/>
    <w:rsid w:val="0029797B"/>
    <w:rsid w:val="002A0CD5"/>
    <w:rsid w:val="002A0DCF"/>
    <w:rsid w:val="002A17ED"/>
    <w:rsid w:val="002A1E0B"/>
    <w:rsid w:val="002A1E2E"/>
    <w:rsid w:val="002A22BC"/>
    <w:rsid w:val="002A26B4"/>
    <w:rsid w:val="002A39A3"/>
    <w:rsid w:val="002A58CD"/>
    <w:rsid w:val="002A7A98"/>
    <w:rsid w:val="002A7C59"/>
    <w:rsid w:val="002B0677"/>
    <w:rsid w:val="002B084B"/>
    <w:rsid w:val="002B13D3"/>
    <w:rsid w:val="002B2DDD"/>
    <w:rsid w:val="002B2E4D"/>
    <w:rsid w:val="002B397D"/>
    <w:rsid w:val="002B6282"/>
    <w:rsid w:val="002B6796"/>
    <w:rsid w:val="002B6DE8"/>
    <w:rsid w:val="002B7393"/>
    <w:rsid w:val="002C01EB"/>
    <w:rsid w:val="002C37D7"/>
    <w:rsid w:val="002C570F"/>
    <w:rsid w:val="002C61E8"/>
    <w:rsid w:val="002C7574"/>
    <w:rsid w:val="002D038A"/>
    <w:rsid w:val="002D1513"/>
    <w:rsid w:val="002D3D0E"/>
    <w:rsid w:val="002D4D2E"/>
    <w:rsid w:val="002D514F"/>
    <w:rsid w:val="002D5A8A"/>
    <w:rsid w:val="002D5C96"/>
    <w:rsid w:val="002D6C26"/>
    <w:rsid w:val="002D6C9B"/>
    <w:rsid w:val="002D7F44"/>
    <w:rsid w:val="002E231B"/>
    <w:rsid w:val="002E2802"/>
    <w:rsid w:val="002E29FE"/>
    <w:rsid w:val="002E2AE4"/>
    <w:rsid w:val="002E33A7"/>
    <w:rsid w:val="002E4557"/>
    <w:rsid w:val="002E7CD8"/>
    <w:rsid w:val="002F1830"/>
    <w:rsid w:val="002F2AFF"/>
    <w:rsid w:val="002F3EAB"/>
    <w:rsid w:val="002F4A53"/>
    <w:rsid w:val="002F4F66"/>
    <w:rsid w:val="002F4FFA"/>
    <w:rsid w:val="002F5B98"/>
    <w:rsid w:val="002F6F85"/>
    <w:rsid w:val="002F6F95"/>
    <w:rsid w:val="002F73B1"/>
    <w:rsid w:val="003000D9"/>
    <w:rsid w:val="003002D5"/>
    <w:rsid w:val="0030074E"/>
    <w:rsid w:val="00302475"/>
    <w:rsid w:val="00302A3B"/>
    <w:rsid w:val="00302B42"/>
    <w:rsid w:val="0030319A"/>
    <w:rsid w:val="00303ACC"/>
    <w:rsid w:val="00303EC9"/>
    <w:rsid w:val="0030466E"/>
    <w:rsid w:val="003048A3"/>
    <w:rsid w:val="00304B3B"/>
    <w:rsid w:val="003052FB"/>
    <w:rsid w:val="00305E3A"/>
    <w:rsid w:val="00305F53"/>
    <w:rsid w:val="003060B7"/>
    <w:rsid w:val="00306112"/>
    <w:rsid w:val="003062E5"/>
    <w:rsid w:val="00307641"/>
    <w:rsid w:val="00310717"/>
    <w:rsid w:val="00310B8A"/>
    <w:rsid w:val="0031310E"/>
    <w:rsid w:val="003160F1"/>
    <w:rsid w:val="00316542"/>
    <w:rsid w:val="00317041"/>
    <w:rsid w:val="00317668"/>
    <w:rsid w:val="00317761"/>
    <w:rsid w:val="003212CE"/>
    <w:rsid w:val="00321D74"/>
    <w:rsid w:val="00321DB2"/>
    <w:rsid w:val="003228B9"/>
    <w:rsid w:val="00323DCB"/>
    <w:rsid w:val="00325623"/>
    <w:rsid w:val="003256CF"/>
    <w:rsid w:val="00327404"/>
    <w:rsid w:val="00327863"/>
    <w:rsid w:val="00330047"/>
    <w:rsid w:val="00332981"/>
    <w:rsid w:val="003331DE"/>
    <w:rsid w:val="003345C8"/>
    <w:rsid w:val="0033468B"/>
    <w:rsid w:val="003351FB"/>
    <w:rsid w:val="003355A4"/>
    <w:rsid w:val="00336228"/>
    <w:rsid w:val="00336B92"/>
    <w:rsid w:val="00336F71"/>
    <w:rsid w:val="00337312"/>
    <w:rsid w:val="0033776B"/>
    <w:rsid w:val="00337D56"/>
    <w:rsid w:val="0034237B"/>
    <w:rsid w:val="00342EAB"/>
    <w:rsid w:val="00343D8A"/>
    <w:rsid w:val="003441A8"/>
    <w:rsid w:val="003455A7"/>
    <w:rsid w:val="003464FF"/>
    <w:rsid w:val="00346BFD"/>
    <w:rsid w:val="00347208"/>
    <w:rsid w:val="00350B35"/>
    <w:rsid w:val="003522A8"/>
    <w:rsid w:val="00352388"/>
    <w:rsid w:val="00352518"/>
    <w:rsid w:val="00353A37"/>
    <w:rsid w:val="00355595"/>
    <w:rsid w:val="00356ADC"/>
    <w:rsid w:val="0035754B"/>
    <w:rsid w:val="00361116"/>
    <w:rsid w:val="0036223F"/>
    <w:rsid w:val="00362C49"/>
    <w:rsid w:val="00362E0F"/>
    <w:rsid w:val="003638A2"/>
    <w:rsid w:val="00364C3C"/>
    <w:rsid w:val="00366198"/>
    <w:rsid w:val="00370045"/>
    <w:rsid w:val="00370B52"/>
    <w:rsid w:val="00371A88"/>
    <w:rsid w:val="003728B1"/>
    <w:rsid w:val="003740D4"/>
    <w:rsid w:val="003750D9"/>
    <w:rsid w:val="00377431"/>
    <w:rsid w:val="00377BD4"/>
    <w:rsid w:val="00377C17"/>
    <w:rsid w:val="003801DC"/>
    <w:rsid w:val="00380B7A"/>
    <w:rsid w:val="003810E4"/>
    <w:rsid w:val="00382053"/>
    <w:rsid w:val="003820A8"/>
    <w:rsid w:val="00384595"/>
    <w:rsid w:val="00385F81"/>
    <w:rsid w:val="00386371"/>
    <w:rsid w:val="0038640E"/>
    <w:rsid w:val="003877F2"/>
    <w:rsid w:val="00390921"/>
    <w:rsid w:val="003910E9"/>
    <w:rsid w:val="003918FC"/>
    <w:rsid w:val="00392213"/>
    <w:rsid w:val="003924A1"/>
    <w:rsid w:val="00392E3A"/>
    <w:rsid w:val="00393255"/>
    <w:rsid w:val="00394057"/>
    <w:rsid w:val="00394085"/>
    <w:rsid w:val="00394802"/>
    <w:rsid w:val="003955B5"/>
    <w:rsid w:val="0039775A"/>
    <w:rsid w:val="003A1FCE"/>
    <w:rsid w:val="003A3B47"/>
    <w:rsid w:val="003A644C"/>
    <w:rsid w:val="003A64D6"/>
    <w:rsid w:val="003A6898"/>
    <w:rsid w:val="003A7570"/>
    <w:rsid w:val="003A7609"/>
    <w:rsid w:val="003A76E9"/>
    <w:rsid w:val="003A7C48"/>
    <w:rsid w:val="003B03A9"/>
    <w:rsid w:val="003B07A3"/>
    <w:rsid w:val="003B0AD7"/>
    <w:rsid w:val="003B3B91"/>
    <w:rsid w:val="003B43FC"/>
    <w:rsid w:val="003B4CA3"/>
    <w:rsid w:val="003B6CFC"/>
    <w:rsid w:val="003B770C"/>
    <w:rsid w:val="003C07C3"/>
    <w:rsid w:val="003C0FFF"/>
    <w:rsid w:val="003C16F5"/>
    <w:rsid w:val="003C1A4D"/>
    <w:rsid w:val="003C1B87"/>
    <w:rsid w:val="003C259D"/>
    <w:rsid w:val="003C28E8"/>
    <w:rsid w:val="003C31D7"/>
    <w:rsid w:val="003C3287"/>
    <w:rsid w:val="003C3914"/>
    <w:rsid w:val="003C4796"/>
    <w:rsid w:val="003C496C"/>
    <w:rsid w:val="003C5EB8"/>
    <w:rsid w:val="003C70F8"/>
    <w:rsid w:val="003D0459"/>
    <w:rsid w:val="003D0635"/>
    <w:rsid w:val="003D07AD"/>
    <w:rsid w:val="003D0801"/>
    <w:rsid w:val="003D1FAE"/>
    <w:rsid w:val="003D2044"/>
    <w:rsid w:val="003D30ED"/>
    <w:rsid w:val="003D3405"/>
    <w:rsid w:val="003D3E18"/>
    <w:rsid w:val="003D4B48"/>
    <w:rsid w:val="003D61A9"/>
    <w:rsid w:val="003D7DB1"/>
    <w:rsid w:val="003E0D35"/>
    <w:rsid w:val="003E111F"/>
    <w:rsid w:val="003E23B0"/>
    <w:rsid w:val="003E2EDA"/>
    <w:rsid w:val="003E35B6"/>
    <w:rsid w:val="003E35E0"/>
    <w:rsid w:val="003E45A6"/>
    <w:rsid w:val="003E45BD"/>
    <w:rsid w:val="003E46FD"/>
    <w:rsid w:val="003E5817"/>
    <w:rsid w:val="003E64C6"/>
    <w:rsid w:val="003E6987"/>
    <w:rsid w:val="003E6CE8"/>
    <w:rsid w:val="003F006C"/>
    <w:rsid w:val="003F0424"/>
    <w:rsid w:val="003F0700"/>
    <w:rsid w:val="003F25AF"/>
    <w:rsid w:val="003F3870"/>
    <w:rsid w:val="003F4408"/>
    <w:rsid w:val="003F58E1"/>
    <w:rsid w:val="003F6935"/>
    <w:rsid w:val="003F6CF3"/>
    <w:rsid w:val="003F733B"/>
    <w:rsid w:val="003F7ED9"/>
    <w:rsid w:val="00400B29"/>
    <w:rsid w:val="00402F50"/>
    <w:rsid w:val="004038DE"/>
    <w:rsid w:val="00403FD7"/>
    <w:rsid w:val="00404EB9"/>
    <w:rsid w:val="00405E9A"/>
    <w:rsid w:val="004062ED"/>
    <w:rsid w:val="00406C5D"/>
    <w:rsid w:val="00411051"/>
    <w:rsid w:val="004118EC"/>
    <w:rsid w:val="00411C0B"/>
    <w:rsid w:val="00413893"/>
    <w:rsid w:val="004139B0"/>
    <w:rsid w:val="00413C3A"/>
    <w:rsid w:val="0041412D"/>
    <w:rsid w:val="00414864"/>
    <w:rsid w:val="00414C75"/>
    <w:rsid w:val="00415843"/>
    <w:rsid w:val="00415B3D"/>
    <w:rsid w:val="00416C9A"/>
    <w:rsid w:val="004171AC"/>
    <w:rsid w:val="00417875"/>
    <w:rsid w:val="004178FE"/>
    <w:rsid w:val="00417A48"/>
    <w:rsid w:val="00417C52"/>
    <w:rsid w:val="00421994"/>
    <w:rsid w:val="00421A8B"/>
    <w:rsid w:val="004225AD"/>
    <w:rsid w:val="00422BA1"/>
    <w:rsid w:val="00423806"/>
    <w:rsid w:val="00425FC0"/>
    <w:rsid w:val="00426FD5"/>
    <w:rsid w:val="00427949"/>
    <w:rsid w:val="00430155"/>
    <w:rsid w:val="004303CD"/>
    <w:rsid w:val="00432EED"/>
    <w:rsid w:val="00433099"/>
    <w:rsid w:val="00433DC3"/>
    <w:rsid w:val="00436008"/>
    <w:rsid w:val="00437731"/>
    <w:rsid w:val="004402E2"/>
    <w:rsid w:val="00441C95"/>
    <w:rsid w:val="00442688"/>
    <w:rsid w:val="004428BE"/>
    <w:rsid w:val="00442E83"/>
    <w:rsid w:val="00443E8E"/>
    <w:rsid w:val="00444F00"/>
    <w:rsid w:val="0044590E"/>
    <w:rsid w:val="004460DC"/>
    <w:rsid w:val="00446A7C"/>
    <w:rsid w:val="00447C20"/>
    <w:rsid w:val="0045019C"/>
    <w:rsid w:val="004513BC"/>
    <w:rsid w:val="004516E3"/>
    <w:rsid w:val="0045176A"/>
    <w:rsid w:val="00451977"/>
    <w:rsid w:val="00452779"/>
    <w:rsid w:val="004544AE"/>
    <w:rsid w:val="00455FB2"/>
    <w:rsid w:val="00456AB4"/>
    <w:rsid w:val="00457620"/>
    <w:rsid w:val="0046000F"/>
    <w:rsid w:val="00460425"/>
    <w:rsid w:val="0046055C"/>
    <w:rsid w:val="00460A14"/>
    <w:rsid w:val="00460E51"/>
    <w:rsid w:val="00460FE8"/>
    <w:rsid w:val="00461146"/>
    <w:rsid w:val="004615DE"/>
    <w:rsid w:val="00461E7E"/>
    <w:rsid w:val="00462168"/>
    <w:rsid w:val="00463AAD"/>
    <w:rsid w:val="00463B27"/>
    <w:rsid w:val="00464087"/>
    <w:rsid w:val="00464208"/>
    <w:rsid w:val="00466003"/>
    <w:rsid w:val="004662BE"/>
    <w:rsid w:val="00466370"/>
    <w:rsid w:val="00470665"/>
    <w:rsid w:val="00471375"/>
    <w:rsid w:val="00471C76"/>
    <w:rsid w:val="00472A88"/>
    <w:rsid w:val="004735C8"/>
    <w:rsid w:val="00473B3A"/>
    <w:rsid w:val="00477538"/>
    <w:rsid w:val="00477763"/>
    <w:rsid w:val="0047781E"/>
    <w:rsid w:val="004809D9"/>
    <w:rsid w:val="00481591"/>
    <w:rsid w:val="004819F3"/>
    <w:rsid w:val="00481AB6"/>
    <w:rsid w:val="00482418"/>
    <w:rsid w:val="00482530"/>
    <w:rsid w:val="00485013"/>
    <w:rsid w:val="0048560A"/>
    <w:rsid w:val="00486558"/>
    <w:rsid w:val="00487A1F"/>
    <w:rsid w:val="00487A78"/>
    <w:rsid w:val="00490E23"/>
    <w:rsid w:val="004911E2"/>
    <w:rsid w:val="00492A02"/>
    <w:rsid w:val="00492C8B"/>
    <w:rsid w:val="00493077"/>
    <w:rsid w:val="00493127"/>
    <w:rsid w:val="0049435A"/>
    <w:rsid w:val="00495374"/>
    <w:rsid w:val="004957BC"/>
    <w:rsid w:val="004A0BF5"/>
    <w:rsid w:val="004A2123"/>
    <w:rsid w:val="004A3EFF"/>
    <w:rsid w:val="004A44F0"/>
    <w:rsid w:val="004A4911"/>
    <w:rsid w:val="004A546D"/>
    <w:rsid w:val="004A5716"/>
    <w:rsid w:val="004A5A3B"/>
    <w:rsid w:val="004A6E9F"/>
    <w:rsid w:val="004A7752"/>
    <w:rsid w:val="004B02A2"/>
    <w:rsid w:val="004B04E4"/>
    <w:rsid w:val="004B37A2"/>
    <w:rsid w:val="004B3983"/>
    <w:rsid w:val="004B672E"/>
    <w:rsid w:val="004C01F7"/>
    <w:rsid w:val="004C0C5D"/>
    <w:rsid w:val="004C1CF3"/>
    <w:rsid w:val="004C2D48"/>
    <w:rsid w:val="004C3092"/>
    <w:rsid w:val="004C4F57"/>
    <w:rsid w:val="004C5563"/>
    <w:rsid w:val="004C776C"/>
    <w:rsid w:val="004C7F3A"/>
    <w:rsid w:val="004D177E"/>
    <w:rsid w:val="004D38F7"/>
    <w:rsid w:val="004D3B8E"/>
    <w:rsid w:val="004D42F3"/>
    <w:rsid w:val="004D4DD3"/>
    <w:rsid w:val="004D4EF9"/>
    <w:rsid w:val="004D5DE9"/>
    <w:rsid w:val="004D633C"/>
    <w:rsid w:val="004D64D8"/>
    <w:rsid w:val="004D68A5"/>
    <w:rsid w:val="004D7623"/>
    <w:rsid w:val="004E0277"/>
    <w:rsid w:val="004E0DEA"/>
    <w:rsid w:val="004E1D71"/>
    <w:rsid w:val="004E2822"/>
    <w:rsid w:val="004E2C9F"/>
    <w:rsid w:val="004E3187"/>
    <w:rsid w:val="004E31D3"/>
    <w:rsid w:val="004E34CD"/>
    <w:rsid w:val="004E40A7"/>
    <w:rsid w:val="004E4280"/>
    <w:rsid w:val="004E4623"/>
    <w:rsid w:val="004E4FEF"/>
    <w:rsid w:val="004E6A0B"/>
    <w:rsid w:val="004F019D"/>
    <w:rsid w:val="004F0705"/>
    <w:rsid w:val="004F1310"/>
    <w:rsid w:val="004F410C"/>
    <w:rsid w:val="004F5901"/>
    <w:rsid w:val="004F7C3A"/>
    <w:rsid w:val="00500AC9"/>
    <w:rsid w:val="005011D6"/>
    <w:rsid w:val="00501CAF"/>
    <w:rsid w:val="005029BC"/>
    <w:rsid w:val="00502E19"/>
    <w:rsid w:val="0050429B"/>
    <w:rsid w:val="005057A7"/>
    <w:rsid w:val="00505B78"/>
    <w:rsid w:val="005075C6"/>
    <w:rsid w:val="00510EBC"/>
    <w:rsid w:val="00510F0B"/>
    <w:rsid w:val="0051168F"/>
    <w:rsid w:val="00511EF4"/>
    <w:rsid w:val="0051221F"/>
    <w:rsid w:val="005123D1"/>
    <w:rsid w:val="00513436"/>
    <w:rsid w:val="00513FD2"/>
    <w:rsid w:val="0051591B"/>
    <w:rsid w:val="005166A1"/>
    <w:rsid w:val="00516A02"/>
    <w:rsid w:val="005176B8"/>
    <w:rsid w:val="00520212"/>
    <w:rsid w:val="00520686"/>
    <w:rsid w:val="00520B84"/>
    <w:rsid w:val="00524477"/>
    <w:rsid w:val="005256C0"/>
    <w:rsid w:val="00525A59"/>
    <w:rsid w:val="00531AA9"/>
    <w:rsid w:val="00532082"/>
    <w:rsid w:val="005356BB"/>
    <w:rsid w:val="00536E20"/>
    <w:rsid w:val="005400E8"/>
    <w:rsid w:val="005417E9"/>
    <w:rsid w:val="00541CA8"/>
    <w:rsid w:val="00543C6A"/>
    <w:rsid w:val="00543F7F"/>
    <w:rsid w:val="00543FAE"/>
    <w:rsid w:val="005444DE"/>
    <w:rsid w:val="00544E39"/>
    <w:rsid w:val="005452DE"/>
    <w:rsid w:val="005458F7"/>
    <w:rsid w:val="00546B9D"/>
    <w:rsid w:val="005474C4"/>
    <w:rsid w:val="00547CC4"/>
    <w:rsid w:val="00550061"/>
    <w:rsid w:val="00551A99"/>
    <w:rsid w:val="005524EB"/>
    <w:rsid w:val="00554D73"/>
    <w:rsid w:val="00554E39"/>
    <w:rsid w:val="00556011"/>
    <w:rsid w:val="00556721"/>
    <w:rsid w:val="00561CAE"/>
    <w:rsid w:val="00562565"/>
    <w:rsid w:val="00562E85"/>
    <w:rsid w:val="00563A73"/>
    <w:rsid w:val="00563B37"/>
    <w:rsid w:val="00564CCD"/>
    <w:rsid w:val="00564D42"/>
    <w:rsid w:val="00565C78"/>
    <w:rsid w:val="00566E21"/>
    <w:rsid w:val="00567366"/>
    <w:rsid w:val="00567C3B"/>
    <w:rsid w:val="005717C3"/>
    <w:rsid w:val="00571D75"/>
    <w:rsid w:val="00572730"/>
    <w:rsid w:val="00573C04"/>
    <w:rsid w:val="005747CB"/>
    <w:rsid w:val="0057576C"/>
    <w:rsid w:val="005766F0"/>
    <w:rsid w:val="00577892"/>
    <w:rsid w:val="00577B6A"/>
    <w:rsid w:val="0058214A"/>
    <w:rsid w:val="005824B5"/>
    <w:rsid w:val="005828BA"/>
    <w:rsid w:val="00582F67"/>
    <w:rsid w:val="0058325F"/>
    <w:rsid w:val="00583836"/>
    <w:rsid w:val="00583B46"/>
    <w:rsid w:val="00583EAE"/>
    <w:rsid w:val="0058458E"/>
    <w:rsid w:val="00586478"/>
    <w:rsid w:val="00586829"/>
    <w:rsid w:val="005877D9"/>
    <w:rsid w:val="0059020A"/>
    <w:rsid w:val="005910F0"/>
    <w:rsid w:val="0059110E"/>
    <w:rsid w:val="005914F0"/>
    <w:rsid w:val="005915C6"/>
    <w:rsid w:val="00591FEF"/>
    <w:rsid w:val="00593295"/>
    <w:rsid w:val="0059423C"/>
    <w:rsid w:val="005943DE"/>
    <w:rsid w:val="005944C8"/>
    <w:rsid w:val="005951A3"/>
    <w:rsid w:val="00595656"/>
    <w:rsid w:val="005956B7"/>
    <w:rsid w:val="00595A3D"/>
    <w:rsid w:val="00595AEB"/>
    <w:rsid w:val="00595F6C"/>
    <w:rsid w:val="005960C2"/>
    <w:rsid w:val="0059614A"/>
    <w:rsid w:val="0059658A"/>
    <w:rsid w:val="005A0F50"/>
    <w:rsid w:val="005A10B7"/>
    <w:rsid w:val="005A153E"/>
    <w:rsid w:val="005A263A"/>
    <w:rsid w:val="005A2C0A"/>
    <w:rsid w:val="005A2FE3"/>
    <w:rsid w:val="005A390A"/>
    <w:rsid w:val="005A63E3"/>
    <w:rsid w:val="005A66C2"/>
    <w:rsid w:val="005A7BFD"/>
    <w:rsid w:val="005A7D93"/>
    <w:rsid w:val="005B0A8A"/>
    <w:rsid w:val="005B0EA7"/>
    <w:rsid w:val="005B360F"/>
    <w:rsid w:val="005B3DD7"/>
    <w:rsid w:val="005B3F3E"/>
    <w:rsid w:val="005B3F41"/>
    <w:rsid w:val="005B47BC"/>
    <w:rsid w:val="005B530A"/>
    <w:rsid w:val="005B664E"/>
    <w:rsid w:val="005B7017"/>
    <w:rsid w:val="005C0D45"/>
    <w:rsid w:val="005C1854"/>
    <w:rsid w:val="005C2CF7"/>
    <w:rsid w:val="005C3939"/>
    <w:rsid w:val="005C4043"/>
    <w:rsid w:val="005C4363"/>
    <w:rsid w:val="005C47D9"/>
    <w:rsid w:val="005C4ACF"/>
    <w:rsid w:val="005C4BB8"/>
    <w:rsid w:val="005C4D5B"/>
    <w:rsid w:val="005C5068"/>
    <w:rsid w:val="005C5597"/>
    <w:rsid w:val="005C5F92"/>
    <w:rsid w:val="005C7794"/>
    <w:rsid w:val="005C7B69"/>
    <w:rsid w:val="005D26A6"/>
    <w:rsid w:val="005D29F1"/>
    <w:rsid w:val="005D3D28"/>
    <w:rsid w:val="005D404D"/>
    <w:rsid w:val="005D4465"/>
    <w:rsid w:val="005D6639"/>
    <w:rsid w:val="005D767E"/>
    <w:rsid w:val="005D78FA"/>
    <w:rsid w:val="005D7A2B"/>
    <w:rsid w:val="005E094F"/>
    <w:rsid w:val="005E0DB4"/>
    <w:rsid w:val="005E16A3"/>
    <w:rsid w:val="005E185C"/>
    <w:rsid w:val="005E2D1C"/>
    <w:rsid w:val="005E48CF"/>
    <w:rsid w:val="005E4CDF"/>
    <w:rsid w:val="005E608B"/>
    <w:rsid w:val="005E61B5"/>
    <w:rsid w:val="005F02CA"/>
    <w:rsid w:val="005F1401"/>
    <w:rsid w:val="005F146D"/>
    <w:rsid w:val="005F1F04"/>
    <w:rsid w:val="005F22A2"/>
    <w:rsid w:val="005F406C"/>
    <w:rsid w:val="005F4893"/>
    <w:rsid w:val="005F5332"/>
    <w:rsid w:val="005F564B"/>
    <w:rsid w:val="005F5821"/>
    <w:rsid w:val="005F611D"/>
    <w:rsid w:val="005F6DA7"/>
    <w:rsid w:val="0060047D"/>
    <w:rsid w:val="00602132"/>
    <w:rsid w:val="0060262E"/>
    <w:rsid w:val="006032B8"/>
    <w:rsid w:val="00603810"/>
    <w:rsid w:val="0060495E"/>
    <w:rsid w:val="00605E74"/>
    <w:rsid w:val="00605F7A"/>
    <w:rsid w:val="006075F3"/>
    <w:rsid w:val="00610356"/>
    <w:rsid w:val="006105E0"/>
    <w:rsid w:val="0061190D"/>
    <w:rsid w:val="006121D6"/>
    <w:rsid w:val="0061286F"/>
    <w:rsid w:val="00612BE8"/>
    <w:rsid w:val="00613526"/>
    <w:rsid w:val="0061379A"/>
    <w:rsid w:val="00613B63"/>
    <w:rsid w:val="006141C6"/>
    <w:rsid w:val="00615A70"/>
    <w:rsid w:val="00615B52"/>
    <w:rsid w:val="00616253"/>
    <w:rsid w:val="0062064F"/>
    <w:rsid w:val="00620852"/>
    <w:rsid w:val="006215E3"/>
    <w:rsid w:val="00621DEA"/>
    <w:rsid w:val="0062271A"/>
    <w:rsid w:val="00622ADD"/>
    <w:rsid w:val="00624A69"/>
    <w:rsid w:val="00624DEE"/>
    <w:rsid w:val="006267D9"/>
    <w:rsid w:val="00626FB8"/>
    <w:rsid w:val="0063045B"/>
    <w:rsid w:val="006305EE"/>
    <w:rsid w:val="00630B2B"/>
    <w:rsid w:val="00631BA6"/>
    <w:rsid w:val="00632095"/>
    <w:rsid w:val="00632628"/>
    <w:rsid w:val="00632916"/>
    <w:rsid w:val="00632BF8"/>
    <w:rsid w:val="006349D9"/>
    <w:rsid w:val="00634DBD"/>
    <w:rsid w:val="00635131"/>
    <w:rsid w:val="00636017"/>
    <w:rsid w:val="00637163"/>
    <w:rsid w:val="0063794A"/>
    <w:rsid w:val="00643D03"/>
    <w:rsid w:val="006441D6"/>
    <w:rsid w:val="00645A54"/>
    <w:rsid w:val="006468EF"/>
    <w:rsid w:val="0064767F"/>
    <w:rsid w:val="00647A40"/>
    <w:rsid w:val="006516E7"/>
    <w:rsid w:val="00651ED3"/>
    <w:rsid w:val="0065352A"/>
    <w:rsid w:val="00654955"/>
    <w:rsid w:val="00654B39"/>
    <w:rsid w:val="00655D8F"/>
    <w:rsid w:val="006571A7"/>
    <w:rsid w:val="00660F0C"/>
    <w:rsid w:val="006616F2"/>
    <w:rsid w:val="00661CDD"/>
    <w:rsid w:val="00661D27"/>
    <w:rsid w:val="006621A1"/>
    <w:rsid w:val="006625FE"/>
    <w:rsid w:val="00662D7A"/>
    <w:rsid w:val="00664267"/>
    <w:rsid w:val="006644F0"/>
    <w:rsid w:val="00665848"/>
    <w:rsid w:val="006715D6"/>
    <w:rsid w:val="0067237B"/>
    <w:rsid w:val="00672388"/>
    <w:rsid w:val="00672DFF"/>
    <w:rsid w:val="00676EC2"/>
    <w:rsid w:val="00680479"/>
    <w:rsid w:val="006817F0"/>
    <w:rsid w:val="00681DAF"/>
    <w:rsid w:val="00682488"/>
    <w:rsid w:val="006831BB"/>
    <w:rsid w:val="00683CB9"/>
    <w:rsid w:val="00684E36"/>
    <w:rsid w:val="00685231"/>
    <w:rsid w:val="00686F0A"/>
    <w:rsid w:val="00687051"/>
    <w:rsid w:val="00691629"/>
    <w:rsid w:val="00692124"/>
    <w:rsid w:val="00692167"/>
    <w:rsid w:val="00692ABE"/>
    <w:rsid w:val="006947BD"/>
    <w:rsid w:val="00694B3D"/>
    <w:rsid w:val="006954A4"/>
    <w:rsid w:val="006955B9"/>
    <w:rsid w:val="0069663F"/>
    <w:rsid w:val="00697186"/>
    <w:rsid w:val="00697580"/>
    <w:rsid w:val="00697A85"/>
    <w:rsid w:val="00697FB4"/>
    <w:rsid w:val="006A0435"/>
    <w:rsid w:val="006A1975"/>
    <w:rsid w:val="006A256C"/>
    <w:rsid w:val="006A2A9F"/>
    <w:rsid w:val="006A2F28"/>
    <w:rsid w:val="006A3FDB"/>
    <w:rsid w:val="006A3FE0"/>
    <w:rsid w:val="006A4681"/>
    <w:rsid w:val="006A481B"/>
    <w:rsid w:val="006A5070"/>
    <w:rsid w:val="006A5805"/>
    <w:rsid w:val="006A5E94"/>
    <w:rsid w:val="006A66CE"/>
    <w:rsid w:val="006A75DC"/>
    <w:rsid w:val="006A76EA"/>
    <w:rsid w:val="006A770E"/>
    <w:rsid w:val="006B0674"/>
    <w:rsid w:val="006B083E"/>
    <w:rsid w:val="006B27B1"/>
    <w:rsid w:val="006B3748"/>
    <w:rsid w:val="006B66D4"/>
    <w:rsid w:val="006B6CBE"/>
    <w:rsid w:val="006B6D9F"/>
    <w:rsid w:val="006C17A4"/>
    <w:rsid w:val="006C2DF3"/>
    <w:rsid w:val="006C5BE6"/>
    <w:rsid w:val="006C5E6B"/>
    <w:rsid w:val="006C6BDB"/>
    <w:rsid w:val="006C7824"/>
    <w:rsid w:val="006D087D"/>
    <w:rsid w:val="006D0ADE"/>
    <w:rsid w:val="006D0D77"/>
    <w:rsid w:val="006D100B"/>
    <w:rsid w:val="006D1369"/>
    <w:rsid w:val="006D2397"/>
    <w:rsid w:val="006D257E"/>
    <w:rsid w:val="006D3C78"/>
    <w:rsid w:val="006D54F8"/>
    <w:rsid w:val="006D6267"/>
    <w:rsid w:val="006D792C"/>
    <w:rsid w:val="006E0CF8"/>
    <w:rsid w:val="006E0FD7"/>
    <w:rsid w:val="006E5290"/>
    <w:rsid w:val="006E6553"/>
    <w:rsid w:val="006E6C1A"/>
    <w:rsid w:val="006E710C"/>
    <w:rsid w:val="006F0A21"/>
    <w:rsid w:val="006F0F37"/>
    <w:rsid w:val="006F1530"/>
    <w:rsid w:val="006F222D"/>
    <w:rsid w:val="006F22B4"/>
    <w:rsid w:val="006F3FBA"/>
    <w:rsid w:val="006F40AD"/>
    <w:rsid w:val="006F532E"/>
    <w:rsid w:val="006F6845"/>
    <w:rsid w:val="006F6C17"/>
    <w:rsid w:val="006F6C31"/>
    <w:rsid w:val="006F7040"/>
    <w:rsid w:val="007005A5"/>
    <w:rsid w:val="007017C2"/>
    <w:rsid w:val="00703B18"/>
    <w:rsid w:val="00703D94"/>
    <w:rsid w:val="007040D1"/>
    <w:rsid w:val="0070487A"/>
    <w:rsid w:val="00705B2C"/>
    <w:rsid w:val="00706476"/>
    <w:rsid w:val="007071A9"/>
    <w:rsid w:val="007079CA"/>
    <w:rsid w:val="00707E15"/>
    <w:rsid w:val="00710BFD"/>
    <w:rsid w:val="00712394"/>
    <w:rsid w:val="00713A9E"/>
    <w:rsid w:val="00713A9F"/>
    <w:rsid w:val="00714ABE"/>
    <w:rsid w:val="007158E9"/>
    <w:rsid w:val="00715DC5"/>
    <w:rsid w:val="00715EC1"/>
    <w:rsid w:val="007165B5"/>
    <w:rsid w:val="00716BC6"/>
    <w:rsid w:val="00716D64"/>
    <w:rsid w:val="00716E86"/>
    <w:rsid w:val="00720C3E"/>
    <w:rsid w:val="007212E4"/>
    <w:rsid w:val="0072289C"/>
    <w:rsid w:val="00722DE0"/>
    <w:rsid w:val="00724332"/>
    <w:rsid w:val="0072461F"/>
    <w:rsid w:val="007261B8"/>
    <w:rsid w:val="007263DE"/>
    <w:rsid w:val="00726DFF"/>
    <w:rsid w:val="0072712D"/>
    <w:rsid w:val="00727587"/>
    <w:rsid w:val="007278F0"/>
    <w:rsid w:val="00730F4B"/>
    <w:rsid w:val="00733114"/>
    <w:rsid w:val="0073357A"/>
    <w:rsid w:val="0073605A"/>
    <w:rsid w:val="0073617B"/>
    <w:rsid w:val="0073674C"/>
    <w:rsid w:val="00736CC9"/>
    <w:rsid w:val="007371D8"/>
    <w:rsid w:val="00740A82"/>
    <w:rsid w:val="00740D8C"/>
    <w:rsid w:val="00741D39"/>
    <w:rsid w:val="00742024"/>
    <w:rsid w:val="00742A44"/>
    <w:rsid w:val="00742A79"/>
    <w:rsid w:val="00742EF6"/>
    <w:rsid w:val="00742F05"/>
    <w:rsid w:val="00742FCF"/>
    <w:rsid w:val="00743348"/>
    <w:rsid w:val="00743D7D"/>
    <w:rsid w:val="0074432F"/>
    <w:rsid w:val="00744497"/>
    <w:rsid w:val="00745F96"/>
    <w:rsid w:val="0074611C"/>
    <w:rsid w:val="007462BC"/>
    <w:rsid w:val="0074742C"/>
    <w:rsid w:val="007504E2"/>
    <w:rsid w:val="00751381"/>
    <w:rsid w:val="00751F8C"/>
    <w:rsid w:val="007528E1"/>
    <w:rsid w:val="00752F7C"/>
    <w:rsid w:val="00753C94"/>
    <w:rsid w:val="00755B02"/>
    <w:rsid w:val="00756DCE"/>
    <w:rsid w:val="00756E6A"/>
    <w:rsid w:val="00757A9B"/>
    <w:rsid w:val="00757D8F"/>
    <w:rsid w:val="00760B89"/>
    <w:rsid w:val="0076271B"/>
    <w:rsid w:val="007663BC"/>
    <w:rsid w:val="00766EFD"/>
    <w:rsid w:val="00767AF9"/>
    <w:rsid w:val="007709DA"/>
    <w:rsid w:val="00770B91"/>
    <w:rsid w:val="00770FBA"/>
    <w:rsid w:val="0077142F"/>
    <w:rsid w:val="00772462"/>
    <w:rsid w:val="007724D8"/>
    <w:rsid w:val="007729E4"/>
    <w:rsid w:val="00773039"/>
    <w:rsid w:val="007767D0"/>
    <w:rsid w:val="00780223"/>
    <w:rsid w:val="00780812"/>
    <w:rsid w:val="007811A0"/>
    <w:rsid w:val="007816AA"/>
    <w:rsid w:val="007821D4"/>
    <w:rsid w:val="00784A92"/>
    <w:rsid w:val="00786724"/>
    <w:rsid w:val="00787830"/>
    <w:rsid w:val="007916EB"/>
    <w:rsid w:val="007932B6"/>
    <w:rsid w:val="007939EC"/>
    <w:rsid w:val="00793D43"/>
    <w:rsid w:val="00794105"/>
    <w:rsid w:val="00794ECE"/>
    <w:rsid w:val="00795218"/>
    <w:rsid w:val="007A0FF4"/>
    <w:rsid w:val="007A263F"/>
    <w:rsid w:val="007A338F"/>
    <w:rsid w:val="007A3862"/>
    <w:rsid w:val="007A3915"/>
    <w:rsid w:val="007A5CBB"/>
    <w:rsid w:val="007A7699"/>
    <w:rsid w:val="007B0357"/>
    <w:rsid w:val="007B11A8"/>
    <w:rsid w:val="007B1221"/>
    <w:rsid w:val="007B127D"/>
    <w:rsid w:val="007B1355"/>
    <w:rsid w:val="007B56DD"/>
    <w:rsid w:val="007B59E4"/>
    <w:rsid w:val="007B5A25"/>
    <w:rsid w:val="007B71F0"/>
    <w:rsid w:val="007B73B4"/>
    <w:rsid w:val="007B7573"/>
    <w:rsid w:val="007C07C0"/>
    <w:rsid w:val="007C1A30"/>
    <w:rsid w:val="007C21A0"/>
    <w:rsid w:val="007C2978"/>
    <w:rsid w:val="007C2A30"/>
    <w:rsid w:val="007C3691"/>
    <w:rsid w:val="007C582D"/>
    <w:rsid w:val="007C73D4"/>
    <w:rsid w:val="007D0E38"/>
    <w:rsid w:val="007D35FF"/>
    <w:rsid w:val="007D3FDC"/>
    <w:rsid w:val="007D46B0"/>
    <w:rsid w:val="007D4EF8"/>
    <w:rsid w:val="007D6424"/>
    <w:rsid w:val="007D64F4"/>
    <w:rsid w:val="007D67B8"/>
    <w:rsid w:val="007D6BE9"/>
    <w:rsid w:val="007D741E"/>
    <w:rsid w:val="007D77A0"/>
    <w:rsid w:val="007E2467"/>
    <w:rsid w:val="007E2CB9"/>
    <w:rsid w:val="007E2DCA"/>
    <w:rsid w:val="007E36EF"/>
    <w:rsid w:val="007E3C36"/>
    <w:rsid w:val="007E407B"/>
    <w:rsid w:val="007E40B7"/>
    <w:rsid w:val="007E4D7C"/>
    <w:rsid w:val="007E534A"/>
    <w:rsid w:val="007E57DF"/>
    <w:rsid w:val="007E630B"/>
    <w:rsid w:val="007E6BE5"/>
    <w:rsid w:val="007E6E61"/>
    <w:rsid w:val="007F0B2A"/>
    <w:rsid w:val="007F13D6"/>
    <w:rsid w:val="007F1904"/>
    <w:rsid w:val="007F206D"/>
    <w:rsid w:val="007F39EA"/>
    <w:rsid w:val="007F4AC3"/>
    <w:rsid w:val="007F5956"/>
    <w:rsid w:val="007F7E3C"/>
    <w:rsid w:val="00800241"/>
    <w:rsid w:val="008009D2"/>
    <w:rsid w:val="008013DF"/>
    <w:rsid w:val="00802157"/>
    <w:rsid w:val="00802579"/>
    <w:rsid w:val="00802FE0"/>
    <w:rsid w:val="00804A49"/>
    <w:rsid w:val="008050C0"/>
    <w:rsid w:val="00805C0F"/>
    <w:rsid w:val="00807339"/>
    <w:rsid w:val="00807FE9"/>
    <w:rsid w:val="00810648"/>
    <w:rsid w:val="0081167E"/>
    <w:rsid w:val="0081186D"/>
    <w:rsid w:val="008139B4"/>
    <w:rsid w:val="00813ACC"/>
    <w:rsid w:val="00814B23"/>
    <w:rsid w:val="00814BF0"/>
    <w:rsid w:val="00816A6D"/>
    <w:rsid w:val="00816ED9"/>
    <w:rsid w:val="00817960"/>
    <w:rsid w:val="00820771"/>
    <w:rsid w:val="008208F9"/>
    <w:rsid w:val="00821162"/>
    <w:rsid w:val="00822F33"/>
    <w:rsid w:val="00823938"/>
    <w:rsid w:val="00831464"/>
    <w:rsid w:val="00833742"/>
    <w:rsid w:val="00833F60"/>
    <w:rsid w:val="008406D6"/>
    <w:rsid w:val="008417CB"/>
    <w:rsid w:val="00842D33"/>
    <w:rsid w:val="00843746"/>
    <w:rsid w:val="00843C37"/>
    <w:rsid w:val="00844477"/>
    <w:rsid w:val="008447B6"/>
    <w:rsid w:val="00844984"/>
    <w:rsid w:val="00844E1F"/>
    <w:rsid w:val="00845B28"/>
    <w:rsid w:val="00846083"/>
    <w:rsid w:val="00847785"/>
    <w:rsid w:val="00847D74"/>
    <w:rsid w:val="008505D3"/>
    <w:rsid w:val="00851392"/>
    <w:rsid w:val="008516B7"/>
    <w:rsid w:val="0085207B"/>
    <w:rsid w:val="0085211A"/>
    <w:rsid w:val="00852B2E"/>
    <w:rsid w:val="00853139"/>
    <w:rsid w:val="00853347"/>
    <w:rsid w:val="008534C7"/>
    <w:rsid w:val="008538D9"/>
    <w:rsid w:val="00853A04"/>
    <w:rsid w:val="008541D7"/>
    <w:rsid w:val="0085505F"/>
    <w:rsid w:val="00855119"/>
    <w:rsid w:val="008568AD"/>
    <w:rsid w:val="008600E8"/>
    <w:rsid w:val="00865673"/>
    <w:rsid w:val="00865C68"/>
    <w:rsid w:val="00865ED2"/>
    <w:rsid w:val="00865FDF"/>
    <w:rsid w:val="00866386"/>
    <w:rsid w:val="00870062"/>
    <w:rsid w:val="00870234"/>
    <w:rsid w:val="0087041E"/>
    <w:rsid w:val="008711EB"/>
    <w:rsid w:val="00871893"/>
    <w:rsid w:val="0087238F"/>
    <w:rsid w:val="008728A9"/>
    <w:rsid w:val="00872CD4"/>
    <w:rsid w:val="0087450C"/>
    <w:rsid w:val="00874775"/>
    <w:rsid w:val="00875995"/>
    <w:rsid w:val="00876151"/>
    <w:rsid w:val="00877B31"/>
    <w:rsid w:val="0088071C"/>
    <w:rsid w:val="00880B7B"/>
    <w:rsid w:val="00881930"/>
    <w:rsid w:val="00881ABD"/>
    <w:rsid w:val="008824DD"/>
    <w:rsid w:val="00883CA0"/>
    <w:rsid w:val="00885FA0"/>
    <w:rsid w:val="0088657A"/>
    <w:rsid w:val="008868DB"/>
    <w:rsid w:val="00886E43"/>
    <w:rsid w:val="00890A14"/>
    <w:rsid w:val="00890B5A"/>
    <w:rsid w:val="0089127F"/>
    <w:rsid w:val="00891725"/>
    <w:rsid w:val="0089301E"/>
    <w:rsid w:val="0089318E"/>
    <w:rsid w:val="00893776"/>
    <w:rsid w:val="00893BD8"/>
    <w:rsid w:val="00893D02"/>
    <w:rsid w:val="0089504D"/>
    <w:rsid w:val="00895F5B"/>
    <w:rsid w:val="008960E2"/>
    <w:rsid w:val="00896CDF"/>
    <w:rsid w:val="008973E7"/>
    <w:rsid w:val="008A04F2"/>
    <w:rsid w:val="008A1229"/>
    <w:rsid w:val="008A162B"/>
    <w:rsid w:val="008A19B6"/>
    <w:rsid w:val="008A19C4"/>
    <w:rsid w:val="008A1B55"/>
    <w:rsid w:val="008A294A"/>
    <w:rsid w:val="008A3416"/>
    <w:rsid w:val="008A480A"/>
    <w:rsid w:val="008A5A43"/>
    <w:rsid w:val="008A66EA"/>
    <w:rsid w:val="008A6CC6"/>
    <w:rsid w:val="008A6F18"/>
    <w:rsid w:val="008A7AA7"/>
    <w:rsid w:val="008B01A9"/>
    <w:rsid w:val="008B1E12"/>
    <w:rsid w:val="008B2270"/>
    <w:rsid w:val="008B2746"/>
    <w:rsid w:val="008B3944"/>
    <w:rsid w:val="008B3B7F"/>
    <w:rsid w:val="008B40BB"/>
    <w:rsid w:val="008B47C8"/>
    <w:rsid w:val="008B62A4"/>
    <w:rsid w:val="008C2CE8"/>
    <w:rsid w:val="008C4580"/>
    <w:rsid w:val="008C5884"/>
    <w:rsid w:val="008D0292"/>
    <w:rsid w:val="008D2A22"/>
    <w:rsid w:val="008D2C8A"/>
    <w:rsid w:val="008D57C2"/>
    <w:rsid w:val="008D58B7"/>
    <w:rsid w:val="008E244B"/>
    <w:rsid w:val="008E28FC"/>
    <w:rsid w:val="008E3AD1"/>
    <w:rsid w:val="008E3D2D"/>
    <w:rsid w:val="008E54BA"/>
    <w:rsid w:val="008E6239"/>
    <w:rsid w:val="008E6E46"/>
    <w:rsid w:val="008F03B5"/>
    <w:rsid w:val="008F0E5C"/>
    <w:rsid w:val="008F14DE"/>
    <w:rsid w:val="008F1B3C"/>
    <w:rsid w:val="008F245F"/>
    <w:rsid w:val="008F2C24"/>
    <w:rsid w:val="008F3027"/>
    <w:rsid w:val="008F34C2"/>
    <w:rsid w:val="008F471D"/>
    <w:rsid w:val="008F47DE"/>
    <w:rsid w:val="009001C7"/>
    <w:rsid w:val="00901374"/>
    <w:rsid w:val="00901DF3"/>
    <w:rsid w:val="00901F05"/>
    <w:rsid w:val="009027E5"/>
    <w:rsid w:val="009037A5"/>
    <w:rsid w:val="00904433"/>
    <w:rsid w:val="009046E5"/>
    <w:rsid w:val="0090561C"/>
    <w:rsid w:val="00905A5A"/>
    <w:rsid w:val="00905FFF"/>
    <w:rsid w:val="00906095"/>
    <w:rsid w:val="00906DB9"/>
    <w:rsid w:val="0091076A"/>
    <w:rsid w:val="00910C54"/>
    <w:rsid w:val="00910E08"/>
    <w:rsid w:val="00912E95"/>
    <w:rsid w:val="00914F82"/>
    <w:rsid w:val="0092093B"/>
    <w:rsid w:val="00921F22"/>
    <w:rsid w:val="00923F13"/>
    <w:rsid w:val="00924267"/>
    <w:rsid w:val="00925BD8"/>
    <w:rsid w:val="00925E3F"/>
    <w:rsid w:val="009264BC"/>
    <w:rsid w:val="009271A0"/>
    <w:rsid w:val="009302AD"/>
    <w:rsid w:val="0093077A"/>
    <w:rsid w:val="00930838"/>
    <w:rsid w:val="00931064"/>
    <w:rsid w:val="00931588"/>
    <w:rsid w:val="00931DED"/>
    <w:rsid w:val="0093208D"/>
    <w:rsid w:val="009325C0"/>
    <w:rsid w:val="00933656"/>
    <w:rsid w:val="0093388B"/>
    <w:rsid w:val="00933BED"/>
    <w:rsid w:val="00934052"/>
    <w:rsid w:val="009346DF"/>
    <w:rsid w:val="00935011"/>
    <w:rsid w:val="00936768"/>
    <w:rsid w:val="00936B8C"/>
    <w:rsid w:val="00940948"/>
    <w:rsid w:val="00941134"/>
    <w:rsid w:val="00941B27"/>
    <w:rsid w:val="0094382D"/>
    <w:rsid w:val="009439DE"/>
    <w:rsid w:val="00945AAE"/>
    <w:rsid w:val="00947027"/>
    <w:rsid w:val="009472DF"/>
    <w:rsid w:val="00947C34"/>
    <w:rsid w:val="009503B4"/>
    <w:rsid w:val="00952BE5"/>
    <w:rsid w:val="009531EE"/>
    <w:rsid w:val="0095358D"/>
    <w:rsid w:val="0095386A"/>
    <w:rsid w:val="00954759"/>
    <w:rsid w:val="00955842"/>
    <w:rsid w:val="00955C72"/>
    <w:rsid w:val="00956440"/>
    <w:rsid w:val="00957B72"/>
    <w:rsid w:val="00957C5A"/>
    <w:rsid w:val="00957CAE"/>
    <w:rsid w:val="00960041"/>
    <w:rsid w:val="00961C1A"/>
    <w:rsid w:val="00961C67"/>
    <w:rsid w:val="00961CE7"/>
    <w:rsid w:val="00961DE1"/>
    <w:rsid w:val="009629B7"/>
    <w:rsid w:val="00962CB3"/>
    <w:rsid w:val="009641D7"/>
    <w:rsid w:val="00964367"/>
    <w:rsid w:val="00964600"/>
    <w:rsid w:val="00966349"/>
    <w:rsid w:val="00966454"/>
    <w:rsid w:val="0096652F"/>
    <w:rsid w:val="00966880"/>
    <w:rsid w:val="00966C12"/>
    <w:rsid w:val="009712FC"/>
    <w:rsid w:val="0097179E"/>
    <w:rsid w:val="00971E51"/>
    <w:rsid w:val="009721C9"/>
    <w:rsid w:val="009726DF"/>
    <w:rsid w:val="009735B0"/>
    <w:rsid w:val="00973D8C"/>
    <w:rsid w:val="00974B58"/>
    <w:rsid w:val="009778EE"/>
    <w:rsid w:val="009803F7"/>
    <w:rsid w:val="00980D1B"/>
    <w:rsid w:val="0098221F"/>
    <w:rsid w:val="009826CF"/>
    <w:rsid w:val="009831B1"/>
    <w:rsid w:val="00983802"/>
    <w:rsid w:val="009845D2"/>
    <w:rsid w:val="00985F7F"/>
    <w:rsid w:val="00987708"/>
    <w:rsid w:val="00987740"/>
    <w:rsid w:val="00987B6D"/>
    <w:rsid w:val="00987EE5"/>
    <w:rsid w:val="0099031A"/>
    <w:rsid w:val="009909F0"/>
    <w:rsid w:val="009910E0"/>
    <w:rsid w:val="00993397"/>
    <w:rsid w:val="00993451"/>
    <w:rsid w:val="009942AA"/>
    <w:rsid w:val="009948D1"/>
    <w:rsid w:val="00994D6D"/>
    <w:rsid w:val="009958C5"/>
    <w:rsid w:val="00995AF6"/>
    <w:rsid w:val="00996165"/>
    <w:rsid w:val="00996668"/>
    <w:rsid w:val="00996AD4"/>
    <w:rsid w:val="00997721"/>
    <w:rsid w:val="009A0EDD"/>
    <w:rsid w:val="009A279F"/>
    <w:rsid w:val="009A2FC1"/>
    <w:rsid w:val="009A30DA"/>
    <w:rsid w:val="009A57FF"/>
    <w:rsid w:val="009A6038"/>
    <w:rsid w:val="009A6345"/>
    <w:rsid w:val="009A6A2B"/>
    <w:rsid w:val="009A7BA2"/>
    <w:rsid w:val="009A7BC8"/>
    <w:rsid w:val="009B064D"/>
    <w:rsid w:val="009B143A"/>
    <w:rsid w:val="009B1F18"/>
    <w:rsid w:val="009B56B3"/>
    <w:rsid w:val="009B5B4D"/>
    <w:rsid w:val="009B6054"/>
    <w:rsid w:val="009B6BBD"/>
    <w:rsid w:val="009B6E7D"/>
    <w:rsid w:val="009C1191"/>
    <w:rsid w:val="009C1652"/>
    <w:rsid w:val="009C786F"/>
    <w:rsid w:val="009D0E9D"/>
    <w:rsid w:val="009D0F30"/>
    <w:rsid w:val="009D10E2"/>
    <w:rsid w:val="009D2751"/>
    <w:rsid w:val="009D3403"/>
    <w:rsid w:val="009D44DD"/>
    <w:rsid w:val="009D652A"/>
    <w:rsid w:val="009D792F"/>
    <w:rsid w:val="009D7BA4"/>
    <w:rsid w:val="009E252A"/>
    <w:rsid w:val="009E2B1E"/>
    <w:rsid w:val="009E2E6C"/>
    <w:rsid w:val="009E4DCE"/>
    <w:rsid w:val="009E5789"/>
    <w:rsid w:val="009E713E"/>
    <w:rsid w:val="009F25B1"/>
    <w:rsid w:val="009F3349"/>
    <w:rsid w:val="009F368C"/>
    <w:rsid w:val="009F4F74"/>
    <w:rsid w:val="009F5641"/>
    <w:rsid w:val="009F5791"/>
    <w:rsid w:val="009F6579"/>
    <w:rsid w:val="00A00AC2"/>
    <w:rsid w:val="00A013D7"/>
    <w:rsid w:val="00A028C2"/>
    <w:rsid w:val="00A0316F"/>
    <w:rsid w:val="00A039C0"/>
    <w:rsid w:val="00A062D5"/>
    <w:rsid w:val="00A06B78"/>
    <w:rsid w:val="00A07796"/>
    <w:rsid w:val="00A1067A"/>
    <w:rsid w:val="00A1276C"/>
    <w:rsid w:val="00A133C1"/>
    <w:rsid w:val="00A13F0F"/>
    <w:rsid w:val="00A1540A"/>
    <w:rsid w:val="00A1574F"/>
    <w:rsid w:val="00A15C81"/>
    <w:rsid w:val="00A1635B"/>
    <w:rsid w:val="00A1762E"/>
    <w:rsid w:val="00A201A9"/>
    <w:rsid w:val="00A2053C"/>
    <w:rsid w:val="00A2056B"/>
    <w:rsid w:val="00A2085E"/>
    <w:rsid w:val="00A2132A"/>
    <w:rsid w:val="00A2453A"/>
    <w:rsid w:val="00A25CD4"/>
    <w:rsid w:val="00A26F65"/>
    <w:rsid w:val="00A27D80"/>
    <w:rsid w:val="00A30507"/>
    <w:rsid w:val="00A3054D"/>
    <w:rsid w:val="00A30C20"/>
    <w:rsid w:val="00A315E6"/>
    <w:rsid w:val="00A321FF"/>
    <w:rsid w:val="00A32CF1"/>
    <w:rsid w:val="00A34315"/>
    <w:rsid w:val="00A35428"/>
    <w:rsid w:val="00A35476"/>
    <w:rsid w:val="00A377B9"/>
    <w:rsid w:val="00A37CBD"/>
    <w:rsid w:val="00A40C0F"/>
    <w:rsid w:val="00A426F4"/>
    <w:rsid w:val="00A4292F"/>
    <w:rsid w:val="00A434FD"/>
    <w:rsid w:val="00A43F2B"/>
    <w:rsid w:val="00A442CB"/>
    <w:rsid w:val="00A450BD"/>
    <w:rsid w:val="00A45F2B"/>
    <w:rsid w:val="00A47CAE"/>
    <w:rsid w:val="00A47E8C"/>
    <w:rsid w:val="00A503E7"/>
    <w:rsid w:val="00A519BA"/>
    <w:rsid w:val="00A5283A"/>
    <w:rsid w:val="00A53ABA"/>
    <w:rsid w:val="00A55F6E"/>
    <w:rsid w:val="00A56852"/>
    <w:rsid w:val="00A56A29"/>
    <w:rsid w:val="00A56F81"/>
    <w:rsid w:val="00A61062"/>
    <w:rsid w:val="00A62830"/>
    <w:rsid w:val="00A63210"/>
    <w:rsid w:val="00A63C2A"/>
    <w:rsid w:val="00A667AD"/>
    <w:rsid w:val="00A67714"/>
    <w:rsid w:val="00A67B56"/>
    <w:rsid w:val="00A702B2"/>
    <w:rsid w:val="00A73FD3"/>
    <w:rsid w:val="00A74ACF"/>
    <w:rsid w:val="00A74D86"/>
    <w:rsid w:val="00A7681D"/>
    <w:rsid w:val="00A76BDC"/>
    <w:rsid w:val="00A8067C"/>
    <w:rsid w:val="00A808D1"/>
    <w:rsid w:val="00A80E2B"/>
    <w:rsid w:val="00A818FD"/>
    <w:rsid w:val="00A81B3C"/>
    <w:rsid w:val="00A836EF"/>
    <w:rsid w:val="00A83EBD"/>
    <w:rsid w:val="00A84357"/>
    <w:rsid w:val="00A85242"/>
    <w:rsid w:val="00A86CD9"/>
    <w:rsid w:val="00A903E7"/>
    <w:rsid w:val="00A91633"/>
    <w:rsid w:val="00A92672"/>
    <w:rsid w:val="00A92756"/>
    <w:rsid w:val="00A9381C"/>
    <w:rsid w:val="00A93A7E"/>
    <w:rsid w:val="00A93E30"/>
    <w:rsid w:val="00A94941"/>
    <w:rsid w:val="00A95AB7"/>
    <w:rsid w:val="00A95FF3"/>
    <w:rsid w:val="00A968CA"/>
    <w:rsid w:val="00A97649"/>
    <w:rsid w:val="00A97697"/>
    <w:rsid w:val="00AA06DD"/>
    <w:rsid w:val="00AA3140"/>
    <w:rsid w:val="00AA37DA"/>
    <w:rsid w:val="00AA4E87"/>
    <w:rsid w:val="00AA7418"/>
    <w:rsid w:val="00AA78D7"/>
    <w:rsid w:val="00AA7C12"/>
    <w:rsid w:val="00AB0322"/>
    <w:rsid w:val="00AB0B28"/>
    <w:rsid w:val="00AB26CC"/>
    <w:rsid w:val="00AB38FC"/>
    <w:rsid w:val="00AB3FEE"/>
    <w:rsid w:val="00AB602C"/>
    <w:rsid w:val="00AB65F1"/>
    <w:rsid w:val="00AB6772"/>
    <w:rsid w:val="00AC0643"/>
    <w:rsid w:val="00AC0E38"/>
    <w:rsid w:val="00AC12EC"/>
    <w:rsid w:val="00AC2E5A"/>
    <w:rsid w:val="00AC3031"/>
    <w:rsid w:val="00AC33B7"/>
    <w:rsid w:val="00AC48DD"/>
    <w:rsid w:val="00AC58A3"/>
    <w:rsid w:val="00AC5A03"/>
    <w:rsid w:val="00AD0A70"/>
    <w:rsid w:val="00AD1583"/>
    <w:rsid w:val="00AD1749"/>
    <w:rsid w:val="00AD223F"/>
    <w:rsid w:val="00AD2A64"/>
    <w:rsid w:val="00AD303C"/>
    <w:rsid w:val="00AD3176"/>
    <w:rsid w:val="00AD32C9"/>
    <w:rsid w:val="00AD3B8E"/>
    <w:rsid w:val="00AD3F93"/>
    <w:rsid w:val="00AD42C4"/>
    <w:rsid w:val="00AD4711"/>
    <w:rsid w:val="00AD488E"/>
    <w:rsid w:val="00AD4CF4"/>
    <w:rsid w:val="00AD4EFE"/>
    <w:rsid w:val="00AD7466"/>
    <w:rsid w:val="00AD7586"/>
    <w:rsid w:val="00AE0827"/>
    <w:rsid w:val="00AE0902"/>
    <w:rsid w:val="00AE092B"/>
    <w:rsid w:val="00AE205C"/>
    <w:rsid w:val="00AE2C90"/>
    <w:rsid w:val="00AE2D1E"/>
    <w:rsid w:val="00AE34C0"/>
    <w:rsid w:val="00AE5937"/>
    <w:rsid w:val="00AE6D8D"/>
    <w:rsid w:val="00AE71C7"/>
    <w:rsid w:val="00AE77C1"/>
    <w:rsid w:val="00AE7E37"/>
    <w:rsid w:val="00AF1081"/>
    <w:rsid w:val="00AF1124"/>
    <w:rsid w:val="00AF1614"/>
    <w:rsid w:val="00AF42EA"/>
    <w:rsid w:val="00AF5B45"/>
    <w:rsid w:val="00B00158"/>
    <w:rsid w:val="00B003F8"/>
    <w:rsid w:val="00B00490"/>
    <w:rsid w:val="00B00949"/>
    <w:rsid w:val="00B014FB"/>
    <w:rsid w:val="00B0230D"/>
    <w:rsid w:val="00B02A70"/>
    <w:rsid w:val="00B03F9C"/>
    <w:rsid w:val="00B0502B"/>
    <w:rsid w:val="00B05244"/>
    <w:rsid w:val="00B06344"/>
    <w:rsid w:val="00B07021"/>
    <w:rsid w:val="00B073FA"/>
    <w:rsid w:val="00B0780C"/>
    <w:rsid w:val="00B07C22"/>
    <w:rsid w:val="00B10EEC"/>
    <w:rsid w:val="00B11D73"/>
    <w:rsid w:val="00B11F71"/>
    <w:rsid w:val="00B120BD"/>
    <w:rsid w:val="00B12946"/>
    <w:rsid w:val="00B1454C"/>
    <w:rsid w:val="00B1607E"/>
    <w:rsid w:val="00B16FD9"/>
    <w:rsid w:val="00B17B41"/>
    <w:rsid w:val="00B21590"/>
    <w:rsid w:val="00B21A7B"/>
    <w:rsid w:val="00B231D6"/>
    <w:rsid w:val="00B2328C"/>
    <w:rsid w:val="00B24227"/>
    <w:rsid w:val="00B2461F"/>
    <w:rsid w:val="00B25628"/>
    <w:rsid w:val="00B25B63"/>
    <w:rsid w:val="00B25CFC"/>
    <w:rsid w:val="00B261E9"/>
    <w:rsid w:val="00B277E9"/>
    <w:rsid w:val="00B300AE"/>
    <w:rsid w:val="00B30AC3"/>
    <w:rsid w:val="00B322C8"/>
    <w:rsid w:val="00B34464"/>
    <w:rsid w:val="00B34856"/>
    <w:rsid w:val="00B36311"/>
    <w:rsid w:val="00B41783"/>
    <w:rsid w:val="00B41976"/>
    <w:rsid w:val="00B427F6"/>
    <w:rsid w:val="00B42AC9"/>
    <w:rsid w:val="00B442AA"/>
    <w:rsid w:val="00B46380"/>
    <w:rsid w:val="00B4753F"/>
    <w:rsid w:val="00B47BA1"/>
    <w:rsid w:val="00B5047A"/>
    <w:rsid w:val="00B51769"/>
    <w:rsid w:val="00B525B8"/>
    <w:rsid w:val="00B52C46"/>
    <w:rsid w:val="00B5414E"/>
    <w:rsid w:val="00B55CC4"/>
    <w:rsid w:val="00B5697A"/>
    <w:rsid w:val="00B56C32"/>
    <w:rsid w:val="00B56D9E"/>
    <w:rsid w:val="00B60B93"/>
    <w:rsid w:val="00B612DF"/>
    <w:rsid w:val="00B61AE1"/>
    <w:rsid w:val="00B6247E"/>
    <w:rsid w:val="00B63288"/>
    <w:rsid w:val="00B64C8F"/>
    <w:rsid w:val="00B66672"/>
    <w:rsid w:val="00B66729"/>
    <w:rsid w:val="00B67264"/>
    <w:rsid w:val="00B70119"/>
    <w:rsid w:val="00B70557"/>
    <w:rsid w:val="00B7119A"/>
    <w:rsid w:val="00B71B63"/>
    <w:rsid w:val="00B71E7F"/>
    <w:rsid w:val="00B7309B"/>
    <w:rsid w:val="00B73159"/>
    <w:rsid w:val="00B73A09"/>
    <w:rsid w:val="00B74BF3"/>
    <w:rsid w:val="00B74C5F"/>
    <w:rsid w:val="00B75DD7"/>
    <w:rsid w:val="00B76011"/>
    <w:rsid w:val="00B76A1A"/>
    <w:rsid w:val="00B800C9"/>
    <w:rsid w:val="00B80830"/>
    <w:rsid w:val="00B8158E"/>
    <w:rsid w:val="00B81A45"/>
    <w:rsid w:val="00B82B2E"/>
    <w:rsid w:val="00B83695"/>
    <w:rsid w:val="00B85DAD"/>
    <w:rsid w:val="00B86028"/>
    <w:rsid w:val="00B87880"/>
    <w:rsid w:val="00B90712"/>
    <w:rsid w:val="00B91C27"/>
    <w:rsid w:val="00B9257B"/>
    <w:rsid w:val="00B93543"/>
    <w:rsid w:val="00B938E2"/>
    <w:rsid w:val="00B94235"/>
    <w:rsid w:val="00B955E2"/>
    <w:rsid w:val="00B95C05"/>
    <w:rsid w:val="00B9613B"/>
    <w:rsid w:val="00B9704C"/>
    <w:rsid w:val="00B9714C"/>
    <w:rsid w:val="00B971FD"/>
    <w:rsid w:val="00BA006B"/>
    <w:rsid w:val="00BA0278"/>
    <w:rsid w:val="00BA0AD6"/>
    <w:rsid w:val="00BA16CC"/>
    <w:rsid w:val="00BA303D"/>
    <w:rsid w:val="00BA415B"/>
    <w:rsid w:val="00BA416E"/>
    <w:rsid w:val="00BA4994"/>
    <w:rsid w:val="00BA4D34"/>
    <w:rsid w:val="00BA5173"/>
    <w:rsid w:val="00BA5176"/>
    <w:rsid w:val="00BA67C4"/>
    <w:rsid w:val="00BA68E4"/>
    <w:rsid w:val="00BA736F"/>
    <w:rsid w:val="00BA781A"/>
    <w:rsid w:val="00BB0EAE"/>
    <w:rsid w:val="00BB11DB"/>
    <w:rsid w:val="00BB2260"/>
    <w:rsid w:val="00BB2E3B"/>
    <w:rsid w:val="00BB40B0"/>
    <w:rsid w:val="00BB4571"/>
    <w:rsid w:val="00BB4785"/>
    <w:rsid w:val="00BB53DC"/>
    <w:rsid w:val="00BB58F4"/>
    <w:rsid w:val="00BB62A8"/>
    <w:rsid w:val="00BB6A07"/>
    <w:rsid w:val="00BB6C28"/>
    <w:rsid w:val="00BC1EAB"/>
    <w:rsid w:val="00BC2AC8"/>
    <w:rsid w:val="00BC32C5"/>
    <w:rsid w:val="00BC3804"/>
    <w:rsid w:val="00BC41FA"/>
    <w:rsid w:val="00BC62CC"/>
    <w:rsid w:val="00BC6726"/>
    <w:rsid w:val="00BD0033"/>
    <w:rsid w:val="00BD1A46"/>
    <w:rsid w:val="00BD2ABC"/>
    <w:rsid w:val="00BD2E27"/>
    <w:rsid w:val="00BD304D"/>
    <w:rsid w:val="00BD40F4"/>
    <w:rsid w:val="00BE1DE1"/>
    <w:rsid w:val="00BE2EB5"/>
    <w:rsid w:val="00BE3E85"/>
    <w:rsid w:val="00BE4894"/>
    <w:rsid w:val="00BE5552"/>
    <w:rsid w:val="00BE5E20"/>
    <w:rsid w:val="00BE6BF3"/>
    <w:rsid w:val="00BE7AB5"/>
    <w:rsid w:val="00BE7F7B"/>
    <w:rsid w:val="00BF048A"/>
    <w:rsid w:val="00BF0CD1"/>
    <w:rsid w:val="00BF1C7B"/>
    <w:rsid w:val="00BF2321"/>
    <w:rsid w:val="00BF6DDD"/>
    <w:rsid w:val="00C00BD9"/>
    <w:rsid w:val="00C01E24"/>
    <w:rsid w:val="00C021E3"/>
    <w:rsid w:val="00C030A8"/>
    <w:rsid w:val="00C040EC"/>
    <w:rsid w:val="00C04AD8"/>
    <w:rsid w:val="00C06611"/>
    <w:rsid w:val="00C07C03"/>
    <w:rsid w:val="00C07FE7"/>
    <w:rsid w:val="00C1068F"/>
    <w:rsid w:val="00C11149"/>
    <w:rsid w:val="00C11B33"/>
    <w:rsid w:val="00C11DBA"/>
    <w:rsid w:val="00C11F84"/>
    <w:rsid w:val="00C12BA3"/>
    <w:rsid w:val="00C1585B"/>
    <w:rsid w:val="00C162C1"/>
    <w:rsid w:val="00C1693A"/>
    <w:rsid w:val="00C16D67"/>
    <w:rsid w:val="00C17E4D"/>
    <w:rsid w:val="00C17EE7"/>
    <w:rsid w:val="00C215BF"/>
    <w:rsid w:val="00C22E21"/>
    <w:rsid w:val="00C23C68"/>
    <w:rsid w:val="00C2431F"/>
    <w:rsid w:val="00C31461"/>
    <w:rsid w:val="00C340D9"/>
    <w:rsid w:val="00C341ED"/>
    <w:rsid w:val="00C35F33"/>
    <w:rsid w:val="00C365B5"/>
    <w:rsid w:val="00C3751D"/>
    <w:rsid w:val="00C40FC3"/>
    <w:rsid w:val="00C4352E"/>
    <w:rsid w:val="00C45350"/>
    <w:rsid w:val="00C46AAD"/>
    <w:rsid w:val="00C470EA"/>
    <w:rsid w:val="00C47DE6"/>
    <w:rsid w:val="00C50196"/>
    <w:rsid w:val="00C50310"/>
    <w:rsid w:val="00C50AB0"/>
    <w:rsid w:val="00C51293"/>
    <w:rsid w:val="00C51E0D"/>
    <w:rsid w:val="00C52AB9"/>
    <w:rsid w:val="00C53370"/>
    <w:rsid w:val="00C54BAC"/>
    <w:rsid w:val="00C55F58"/>
    <w:rsid w:val="00C56430"/>
    <w:rsid w:val="00C614ED"/>
    <w:rsid w:val="00C61677"/>
    <w:rsid w:val="00C62F24"/>
    <w:rsid w:val="00C634A2"/>
    <w:rsid w:val="00C63836"/>
    <w:rsid w:val="00C64801"/>
    <w:rsid w:val="00C6487F"/>
    <w:rsid w:val="00C65390"/>
    <w:rsid w:val="00C669E6"/>
    <w:rsid w:val="00C6769F"/>
    <w:rsid w:val="00C707ED"/>
    <w:rsid w:val="00C7167D"/>
    <w:rsid w:val="00C71841"/>
    <w:rsid w:val="00C71B89"/>
    <w:rsid w:val="00C71F78"/>
    <w:rsid w:val="00C723DF"/>
    <w:rsid w:val="00C728DD"/>
    <w:rsid w:val="00C72F9B"/>
    <w:rsid w:val="00C742AA"/>
    <w:rsid w:val="00C74F49"/>
    <w:rsid w:val="00C753BF"/>
    <w:rsid w:val="00C771C6"/>
    <w:rsid w:val="00C80068"/>
    <w:rsid w:val="00C81DE1"/>
    <w:rsid w:val="00C8301A"/>
    <w:rsid w:val="00C83A86"/>
    <w:rsid w:val="00C842A8"/>
    <w:rsid w:val="00C85AC3"/>
    <w:rsid w:val="00C86952"/>
    <w:rsid w:val="00C87327"/>
    <w:rsid w:val="00C87363"/>
    <w:rsid w:val="00C90790"/>
    <w:rsid w:val="00C91070"/>
    <w:rsid w:val="00C91C59"/>
    <w:rsid w:val="00C91ED3"/>
    <w:rsid w:val="00C935EE"/>
    <w:rsid w:val="00C93716"/>
    <w:rsid w:val="00C9475F"/>
    <w:rsid w:val="00C94F58"/>
    <w:rsid w:val="00C95C11"/>
    <w:rsid w:val="00C96493"/>
    <w:rsid w:val="00C97081"/>
    <w:rsid w:val="00C97564"/>
    <w:rsid w:val="00C97772"/>
    <w:rsid w:val="00C97F56"/>
    <w:rsid w:val="00CA048C"/>
    <w:rsid w:val="00CA1995"/>
    <w:rsid w:val="00CA3E5C"/>
    <w:rsid w:val="00CA46CE"/>
    <w:rsid w:val="00CA4F60"/>
    <w:rsid w:val="00CA5811"/>
    <w:rsid w:val="00CA586F"/>
    <w:rsid w:val="00CA5B78"/>
    <w:rsid w:val="00CA6FC4"/>
    <w:rsid w:val="00CA772C"/>
    <w:rsid w:val="00CA7D76"/>
    <w:rsid w:val="00CA7F97"/>
    <w:rsid w:val="00CB2FAD"/>
    <w:rsid w:val="00CB3059"/>
    <w:rsid w:val="00CB3271"/>
    <w:rsid w:val="00CB354D"/>
    <w:rsid w:val="00CB3594"/>
    <w:rsid w:val="00CB4A82"/>
    <w:rsid w:val="00CB4B92"/>
    <w:rsid w:val="00CB52A6"/>
    <w:rsid w:val="00CB5401"/>
    <w:rsid w:val="00CB6F9E"/>
    <w:rsid w:val="00CB70E6"/>
    <w:rsid w:val="00CB797B"/>
    <w:rsid w:val="00CC04CD"/>
    <w:rsid w:val="00CC11A7"/>
    <w:rsid w:val="00CC1CE8"/>
    <w:rsid w:val="00CC29EB"/>
    <w:rsid w:val="00CC31B2"/>
    <w:rsid w:val="00CC3411"/>
    <w:rsid w:val="00CC3ACD"/>
    <w:rsid w:val="00CC46EF"/>
    <w:rsid w:val="00CC4F80"/>
    <w:rsid w:val="00CC5E1F"/>
    <w:rsid w:val="00CC7214"/>
    <w:rsid w:val="00CD0789"/>
    <w:rsid w:val="00CD10E4"/>
    <w:rsid w:val="00CD115A"/>
    <w:rsid w:val="00CD1692"/>
    <w:rsid w:val="00CD1F79"/>
    <w:rsid w:val="00CD22C7"/>
    <w:rsid w:val="00CD2B2D"/>
    <w:rsid w:val="00CD2D33"/>
    <w:rsid w:val="00CD2FE1"/>
    <w:rsid w:val="00CD32D5"/>
    <w:rsid w:val="00CD4E7A"/>
    <w:rsid w:val="00CD5631"/>
    <w:rsid w:val="00CD5A2E"/>
    <w:rsid w:val="00CD63DA"/>
    <w:rsid w:val="00CD6D1C"/>
    <w:rsid w:val="00CD6EBF"/>
    <w:rsid w:val="00CD7136"/>
    <w:rsid w:val="00CD7954"/>
    <w:rsid w:val="00CE037F"/>
    <w:rsid w:val="00CE0608"/>
    <w:rsid w:val="00CE0624"/>
    <w:rsid w:val="00CE09FD"/>
    <w:rsid w:val="00CE154C"/>
    <w:rsid w:val="00CE2199"/>
    <w:rsid w:val="00CE22A2"/>
    <w:rsid w:val="00CE23F8"/>
    <w:rsid w:val="00CE441B"/>
    <w:rsid w:val="00CE49FE"/>
    <w:rsid w:val="00CE4A06"/>
    <w:rsid w:val="00CE4A9F"/>
    <w:rsid w:val="00CE53B3"/>
    <w:rsid w:val="00CE6038"/>
    <w:rsid w:val="00CE7951"/>
    <w:rsid w:val="00CF23FB"/>
    <w:rsid w:val="00CF2950"/>
    <w:rsid w:val="00CF3A4B"/>
    <w:rsid w:val="00CF3DDB"/>
    <w:rsid w:val="00CF5EA8"/>
    <w:rsid w:val="00CF6171"/>
    <w:rsid w:val="00CF7501"/>
    <w:rsid w:val="00CF7509"/>
    <w:rsid w:val="00D007A6"/>
    <w:rsid w:val="00D010BC"/>
    <w:rsid w:val="00D016B1"/>
    <w:rsid w:val="00D02B56"/>
    <w:rsid w:val="00D032F2"/>
    <w:rsid w:val="00D03A90"/>
    <w:rsid w:val="00D04AC6"/>
    <w:rsid w:val="00D05BAC"/>
    <w:rsid w:val="00D06550"/>
    <w:rsid w:val="00D07627"/>
    <w:rsid w:val="00D101BF"/>
    <w:rsid w:val="00D10A07"/>
    <w:rsid w:val="00D12136"/>
    <w:rsid w:val="00D1252E"/>
    <w:rsid w:val="00D1293C"/>
    <w:rsid w:val="00D133C2"/>
    <w:rsid w:val="00D13984"/>
    <w:rsid w:val="00D14CE9"/>
    <w:rsid w:val="00D150EE"/>
    <w:rsid w:val="00D158B8"/>
    <w:rsid w:val="00D162A8"/>
    <w:rsid w:val="00D16764"/>
    <w:rsid w:val="00D16CA7"/>
    <w:rsid w:val="00D17098"/>
    <w:rsid w:val="00D201FD"/>
    <w:rsid w:val="00D209CB"/>
    <w:rsid w:val="00D21203"/>
    <w:rsid w:val="00D2156F"/>
    <w:rsid w:val="00D222F1"/>
    <w:rsid w:val="00D23B0E"/>
    <w:rsid w:val="00D24883"/>
    <w:rsid w:val="00D25200"/>
    <w:rsid w:val="00D25287"/>
    <w:rsid w:val="00D271A4"/>
    <w:rsid w:val="00D30B8E"/>
    <w:rsid w:val="00D30C84"/>
    <w:rsid w:val="00D31C9C"/>
    <w:rsid w:val="00D31E04"/>
    <w:rsid w:val="00D31F21"/>
    <w:rsid w:val="00D32954"/>
    <w:rsid w:val="00D32A34"/>
    <w:rsid w:val="00D32BE9"/>
    <w:rsid w:val="00D3309B"/>
    <w:rsid w:val="00D332EC"/>
    <w:rsid w:val="00D33529"/>
    <w:rsid w:val="00D337DC"/>
    <w:rsid w:val="00D33EEB"/>
    <w:rsid w:val="00D36066"/>
    <w:rsid w:val="00D37680"/>
    <w:rsid w:val="00D377F8"/>
    <w:rsid w:val="00D40BF5"/>
    <w:rsid w:val="00D410B2"/>
    <w:rsid w:val="00D41373"/>
    <w:rsid w:val="00D41EA7"/>
    <w:rsid w:val="00D46870"/>
    <w:rsid w:val="00D4735D"/>
    <w:rsid w:val="00D47FB3"/>
    <w:rsid w:val="00D5034F"/>
    <w:rsid w:val="00D503D1"/>
    <w:rsid w:val="00D5089A"/>
    <w:rsid w:val="00D5132E"/>
    <w:rsid w:val="00D51827"/>
    <w:rsid w:val="00D53D3E"/>
    <w:rsid w:val="00D53EAC"/>
    <w:rsid w:val="00D540A7"/>
    <w:rsid w:val="00D548B6"/>
    <w:rsid w:val="00D56639"/>
    <w:rsid w:val="00D566AC"/>
    <w:rsid w:val="00D566BE"/>
    <w:rsid w:val="00D56EBD"/>
    <w:rsid w:val="00D57CCB"/>
    <w:rsid w:val="00D60AF8"/>
    <w:rsid w:val="00D60B36"/>
    <w:rsid w:val="00D61059"/>
    <w:rsid w:val="00D61DD1"/>
    <w:rsid w:val="00D63B00"/>
    <w:rsid w:val="00D63F9C"/>
    <w:rsid w:val="00D64230"/>
    <w:rsid w:val="00D6484D"/>
    <w:rsid w:val="00D64CCE"/>
    <w:rsid w:val="00D661AB"/>
    <w:rsid w:val="00D66AE8"/>
    <w:rsid w:val="00D66C62"/>
    <w:rsid w:val="00D723E2"/>
    <w:rsid w:val="00D72AE9"/>
    <w:rsid w:val="00D72DDD"/>
    <w:rsid w:val="00D73494"/>
    <w:rsid w:val="00D74348"/>
    <w:rsid w:val="00D743A5"/>
    <w:rsid w:val="00D743F7"/>
    <w:rsid w:val="00D7478E"/>
    <w:rsid w:val="00D74F8A"/>
    <w:rsid w:val="00D75908"/>
    <w:rsid w:val="00D76626"/>
    <w:rsid w:val="00D7737D"/>
    <w:rsid w:val="00D8080A"/>
    <w:rsid w:val="00D80C59"/>
    <w:rsid w:val="00D81BFB"/>
    <w:rsid w:val="00D81C7B"/>
    <w:rsid w:val="00D81D61"/>
    <w:rsid w:val="00D839AE"/>
    <w:rsid w:val="00D84ACD"/>
    <w:rsid w:val="00D856C6"/>
    <w:rsid w:val="00D87138"/>
    <w:rsid w:val="00D909AF"/>
    <w:rsid w:val="00D9272C"/>
    <w:rsid w:val="00D939F3"/>
    <w:rsid w:val="00D93A3B"/>
    <w:rsid w:val="00D94C3A"/>
    <w:rsid w:val="00D953C0"/>
    <w:rsid w:val="00D956E4"/>
    <w:rsid w:val="00DA01A5"/>
    <w:rsid w:val="00DA0312"/>
    <w:rsid w:val="00DA0896"/>
    <w:rsid w:val="00DA09A7"/>
    <w:rsid w:val="00DA1034"/>
    <w:rsid w:val="00DA21BA"/>
    <w:rsid w:val="00DA3ADB"/>
    <w:rsid w:val="00DA3F48"/>
    <w:rsid w:val="00DA551C"/>
    <w:rsid w:val="00DA7C67"/>
    <w:rsid w:val="00DB17B5"/>
    <w:rsid w:val="00DB1C96"/>
    <w:rsid w:val="00DB1E68"/>
    <w:rsid w:val="00DB2936"/>
    <w:rsid w:val="00DB2E3C"/>
    <w:rsid w:val="00DB31C5"/>
    <w:rsid w:val="00DB3A79"/>
    <w:rsid w:val="00DB50B8"/>
    <w:rsid w:val="00DB5A98"/>
    <w:rsid w:val="00DB6023"/>
    <w:rsid w:val="00DB63F6"/>
    <w:rsid w:val="00DB685D"/>
    <w:rsid w:val="00DB7E99"/>
    <w:rsid w:val="00DC0DA0"/>
    <w:rsid w:val="00DC1A0B"/>
    <w:rsid w:val="00DC2404"/>
    <w:rsid w:val="00DC2F33"/>
    <w:rsid w:val="00DC307A"/>
    <w:rsid w:val="00DC3F19"/>
    <w:rsid w:val="00DC42BE"/>
    <w:rsid w:val="00DC4FF5"/>
    <w:rsid w:val="00DC6B55"/>
    <w:rsid w:val="00DC6B91"/>
    <w:rsid w:val="00DD07F7"/>
    <w:rsid w:val="00DD08A4"/>
    <w:rsid w:val="00DD1099"/>
    <w:rsid w:val="00DD4B05"/>
    <w:rsid w:val="00DD5282"/>
    <w:rsid w:val="00DD7B63"/>
    <w:rsid w:val="00DE04AA"/>
    <w:rsid w:val="00DE354D"/>
    <w:rsid w:val="00DE3A93"/>
    <w:rsid w:val="00DE490C"/>
    <w:rsid w:val="00DE51BC"/>
    <w:rsid w:val="00DE6C03"/>
    <w:rsid w:val="00DE71E7"/>
    <w:rsid w:val="00DF0755"/>
    <w:rsid w:val="00DF09C4"/>
    <w:rsid w:val="00DF1149"/>
    <w:rsid w:val="00DF1CBF"/>
    <w:rsid w:val="00DF2092"/>
    <w:rsid w:val="00DF2FEB"/>
    <w:rsid w:val="00DF3EC4"/>
    <w:rsid w:val="00DF3EFB"/>
    <w:rsid w:val="00DF5217"/>
    <w:rsid w:val="00DF551A"/>
    <w:rsid w:val="00DF59BE"/>
    <w:rsid w:val="00DF616E"/>
    <w:rsid w:val="00E00A66"/>
    <w:rsid w:val="00E020AC"/>
    <w:rsid w:val="00E02DCE"/>
    <w:rsid w:val="00E033D3"/>
    <w:rsid w:val="00E03BA2"/>
    <w:rsid w:val="00E0466A"/>
    <w:rsid w:val="00E046B3"/>
    <w:rsid w:val="00E077F3"/>
    <w:rsid w:val="00E07B47"/>
    <w:rsid w:val="00E102D4"/>
    <w:rsid w:val="00E105D5"/>
    <w:rsid w:val="00E107EB"/>
    <w:rsid w:val="00E10AB6"/>
    <w:rsid w:val="00E11476"/>
    <w:rsid w:val="00E114AC"/>
    <w:rsid w:val="00E1234B"/>
    <w:rsid w:val="00E1467E"/>
    <w:rsid w:val="00E148CB"/>
    <w:rsid w:val="00E1550A"/>
    <w:rsid w:val="00E158FB"/>
    <w:rsid w:val="00E15D4B"/>
    <w:rsid w:val="00E161DE"/>
    <w:rsid w:val="00E16662"/>
    <w:rsid w:val="00E167EC"/>
    <w:rsid w:val="00E1770F"/>
    <w:rsid w:val="00E22EE7"/>
    <w:rsid w:val="00E240DD"/>
    <w:rsid w:val="00E253EA"/>
    <w:rsid w:val="00E254F4"/>
    <w:rsid w:val="00E255A0"/>
    <w:rsid w:val="00E26335"/>
    <w:rsid w:val="00E275F9"/>
    <w:rsid w:val="00E31549"/>
    <w:rsid w:val="00E315BC"/>
    <w:rsid w:val="00E32198"/>
    <w:rsid w:val="00E32501"/>
    <w:rsid w:val="00E33642"/>
    <w:rsid w:val="00E3495E"/>
    <w:rsid w:val="00E34AD3"/>
    <w:rsid w:val="00E34C3F"/>
    <w:rsid w:val="00E352A3"/>
    <w:rsid w:val="00E359EC"/>
    <w:rsid w:val="00E35A50"/>
    <w:rsid w:val="00E36A7F"/>
    <w:rsid w:val="00E36F64"/>
    <w:rsid w:val="00E37484"/>
    <w:rsid w:val="00E3791B"/>
    <w:rsid w:val="00E37ACC"/>
    <w:rsid w:val="00E408D6"/>
    <w:rsid w:val="00E41DB1"/>
    <w:rsid w:val="00E4208A"/>
    <w:rsid w:val="00E433FD"/>
    <w:rsid w:val="00E43BD0"/>
    <w:rsid w:val="00E44807"/>
    <w:rsid w:val="00E44816"/>
    <w:rsid w:val="00E45887"/>
    <w:rsid w:val="00E460CF"/>
    <w:rsid w:val="00E4793B"/>
    <w:rsid w:val="00E5021F"/>
    <w:rsid w:val="00E50B58"/>
    <w:rsid w:val="00E50C83"/>
    <w:rsid w:val="00E50EEC"/>
    <w:rsid w:val="00E51632"/>
    <w:rsid w:val="00E51DE9"/>
    <w:rsid w:val="00E52444"/>
    <w:rsid w:val="00E52B4A"/>
    <w:rsid w:val="00E53C73"/>
    <w:rsid w:val="00E54F9F"/>
    <w:rsid w:val="00E559C9"/>
    <w:rsid w:val="00E56739"/>
    <w:rsid w:val="00E56827"/>
    <w:rsid w:val="00E569F1"/>
    <w:rsid w:val="00E5730F"/>
    <w:rsid w:val="00E57CCF"/>
    <w:rsid w:val="00E608F1"/>
    <w:rsid w:val="00E61082"/>
    <w:rsid w:val="00E61975"/>
    <w:rsid w:val="00E62B18"/>
    <w:rsid w:val="00E63785"/>
    <w:rsid w:val="00E64018"/>
    <w:rsid w:val="00E64027"/>
    <w:rsid w:val="00E64C10"/>
    <w:rsid w:val="00E65245"/>
    <w:rsid w:val="00E66369"/>
    <w:rsid w:val="00E667A4"/>
    <w:rsid w:val="00E67726"/>
    <w:rsid w:val="00E70BB7"/>
    <w:rsid w:val="00E70D69"/>
    <w:rsid w:val="00E71E31"/>
    <w:rsid w:val="00E72235"/>
    <w:rsid w:val="00E727B4"/>
    <w:rsid w:val="00E7312A"/>
    <w:rsid w:val="00E73ECF"/>
    <w:rsid w:val="00E74D5E"/>
    <w:rsid w:val="00E7701F"/>
    <w:rsid w:val="00E77169"/>
    <w:rsid w:val="00E775BB"/>
    <w:rsid w:val="00E77EE5"/>
    <w:rsid w:val="00E8080E"/>
    <w:rsid w:val="00E816E7"/>
    <w:rsid w:val="00E82358"/>
    <w:rsid w:val="00E826DC"/>
    <w:rsid w:val="00E83468"/>
    <w:rsid w:val="00E83710"/>
    <w:rsid w:val="00E84403"/>
    <w:rsid w:val="00E84855"/>
    <w:rsid w:val="00E84F61"/>
    <w:rsid w:val="00E85088"/>
    <w:rsid w:val="00E87242"/>
    <w:rsid w:val="00E87AFA"/>
    <w:rsid w:val="00E87E8B"/>
    <w:rsid w:val="00E9056E"/>
    <w:rsid w:val="00E9163E"/>
    <w:rsid w:val="00E92E24"/>
    <w:rsid w:val="00E9303B"/>
    <w:rsid w:val="00E9456B"/>
    <w:rsid w:val="00E9555E"/>
    <w:rsid w:val="00E962B0"/>
    <w:rsid w:val="00E96F2C"/>
    <w:rsid w:val="00E97F30"/>
    <w:rsid w:val="00EA10E2"/>
    <w:rsid w:val="00EA2A6F"/>
    <w:rsid w:val="00EA2C2C"/>
    <w:rsid w:val="00EA3ABF"/>
    <w:rsid w:val="00EA3AE6"/>
    <w:rsid w:val="00EA4A29"/>
    <w:rsid w:val="00EA4B98"/>
    <w:rsid w:val="00EA4C4A"/>
    <w:rsid w:val="00EA569F"/>
    <w:rsid w:val="00EA6D30"/>
    <w:rsid w:val="00EA7145"/>
    <w:rsid w:val="00EA75C4"/>
    <w:rsid w:val="00EA7F63"/>
    <w:rsid w:val="00EB0B7F"/>
    <w:rsid w:val="00EB0DFE"/>
    <w:rsid w:val="00EB1489"/>
    <w:rsid w:val="00EB175C"/>
    <w:rsid w:val="00EB25D5"/>
    <w:rsid w:val="00EB32FB"/>
    <w:rsid w:val="00EB400E"/>
    <w:rsid w:val="00EB50AA"/>
    <w:rsid w:val="00EB5A40"/>
    <w:rsid w:val="00EB6277"/>
    <w:rsid w:val="00EB62CC"/>
    <w:rsid w:val="00EB69D2"/>
    <w:rsid w:val="00EB79A8"/>
    <w:rsid w:val="00EC0650"/>
    <w:rsid w:val="00EC1F4C"/>
    <w:rsid w:val="00EC200D"/>
    <w:rsid w:val="00EC2102"/>
    <w:rsid w:val="00EC21ED"/>
    <w:rsid w:val="00EC2A32"/>
    <w:rsid w:val="00EC361C"/>
    <w:rsid w:val="00EC3B63"/>
    <w:rsid w:val="00EC4992"/>
    <w:rsid w:val="00EC570F"/>
    <w:rsid w:val="00EC5B73"/>
    <w:rsid w:val="00EC5E5D"/>
    <w:rsid w:val="00EC658D"/>
    <w:rsid w:val="00ED014D"/>
    <w:rsid w:val="00ED02B3"/>
    <w:rsid w:val="00ED0355"/>
    <w:rsid w:val="00ED114D"/>
    <w:rsid w:val="00ED2BD8"/>
    <w:rsid w:val="00ED31E9"/>
    <w:rsid w:val="00ED4706"/>
    <w:rsid w:val="00ED476C"/>
    <w:rsid w:val="00ED4A2B"/>
    <w:rsid w:val="00ED50BB"/>
    <w:rsid w:val="00ED5F27"/>
    <w:rsid w:val="00ED66F2"/>
    <w:rsid w:val="00ED6FC5"/>
    <w:rsid w:val="00ED7776"/>
    <w:rsid w:val="00ED7DEB"/>
    <w:rsid w:val="00ED7FCD"/>
    <w:rsid w:val="00EE0200"/>
    <w:rsid w:val="00EE0C6A"/>
    <w:rsid w:val="00EE10AD"/>
    <w:rsid w:val="00EE10F1"/>
    <w:rsid w:val="00EE194F"/>
    <w:rsid w:val="00EE4207"/>
    <w:rsid w:val="00EE5196"/>
    <w:rsid w:val="00EE67F2"/>
    <w:rsid w:val="00EE6C5E"/>
    <w:rsid w:val="00EE6DB5"/>
    <w:rsid w:val="00EE7244"/>
    <w:rsid w:val="00EF0A7F"/>
    <w:rsid w:val="00EF0F4D"/>
    <w:rsid w:val="00EF15E3"/>
    <w:rsid w:val="00EF1FD8"/>
    <w:rsid w:val="00EF2D6E"/>
    <w:rsid w:val="00EF32CB"/>
    <w:rsid w:val="00EF4326"/>
    <w:rsid w:val="00EF510F"/>
    <w:rsid w:val="00EF520B"/>
    <w:rsid w:val="00EF681F"/>
    <w:rsid w:val="00EF738D"/>
    <w:rsid w:val="00EF7FC7"/>
    <w:rsid w:val="00F0015D"/>
    <w:rsid w:val="00F00642"/>
    <w:rsid w:val="00F018CA"/>
    <w:rsid w:val="00F03FCA"/>
    <w:rsid w:val="00F0599D"/>
    <w:rsid w:val="00F069F8"/>
    <w:rsid w:val="00F06C4C"/>
    <w:rsid w:val="00F06E21"/>
    <w:rsid w:val="00F06EEB"/>
    <w:rsid w:val="00F107C6"/>
    <w:rsid w:val="00F118C7"/>
    <w:rsid w:val="00F120A5"/>
    <w:rsid w:val="00F123DC"/>
    <w:rsid w:val="00F12433"/>
    <w:rsid w:val="00F137CF"/>
    <w:rsid w:val="00F13AF2"/>
    <w:rsid w:val="00F142FC"/>
    <w:rsid w:val="00F145BC"/>
    <w:rsid w:val="00F146B7"/>
    <w:rsid w:val="00F1586E"/>
    <w:rsid w:val="00F1588A"/>
    <w:rsid w:val="00F15F06"/>
    <w:rsid w:val="00F167E8"/>
    <w:rsid w:val="00F169B9"/>
    <w:rsid w:val="00F173CB"/>
    <w:rsid w:val="00F17AF8"/>
    <w:rsid w:val="00F226E3"/>
    <w:rsid w:val="00F235B3"/>
    <w:rsid w:val="00F237D2"/>
    <w:rsid w:val="00F25FA8"/>
    <w:rsid w:val="00F26319"/>
    <w:rsid w:val="00F26C01"/>
    <w:rsid w:val="00F3207B"/>
    <w:rsid w:val="00F33FAB"/>
    <w:rsid w:val="00F345AE"/>
    <w:rsid w:val="00F34893"/>
    <w:rsid w:val="00F3510D"/>
    <w:rsid w:val="00F35561"/>
    <w:rsid w:val="00F37966"/>
    <w:rsid w:val="00F4037D"/>
    <w:rsid w:val="00F40600"/>
    <w:rsid w:val="00F40F58"/>
    <w:rsid w:val="00F42296"/>
    <w:rsid w:val="00F43596"/>
    <w:rsid w:val="00F43FFF"/>
    <w:rsid w:val="00F4452A"/>
    <w:rsid w:val="00F44D30"/>
    <w:rsid w:val="00F4667E"/>
    <w:rsid w:val="00F46CF0"/>
    <w:rsid w:val="00F4704A"/>
    <w:rsid w:val="00F507C3"/>
    <w:rsid w:val="00F50983"/>
    <w:rsid w:val="00F5140F"/>
    <w:rsid w:val="00F5194F"/>
    <w:rsid w:val="00F51E2F"/>
    <w:rsid w:val="00F5306F"/>
    <w:rsid w:val="00F55537"/>
    <w:rsid w:val="00F55A3C"/>
    <w:rsid w:val="00F55ECB"/>
    <w:rsid w:val="00F56B05"/>
    <w:rsid w:val="00F577D4"/>
    <w:rsid w:val="00F57B3F"/>
    <w:rsid w:val="00F57DE9"/>
    <w:rsid w:val="00F60162"/>
    <w:rsid w:val="00F60388"/>
    <w:rsid w:val="00F611BE"/>
    <w:rsid w:val="00F63421"/>
    <w:rsid w:val="00F6395D"/>
    <w:rsid w:val="00F63C75"/>
    <w:rsid w:val="00F63EDA"/>
    <w:rsid w:val="00F640AA"/>
    <w:rsid w:val="00F679E0"/>
    <w:rsid w:val="00F7048A"/>
    <w:rsid w:val="00F70D33"/>
    <w:rsid w:val="00F70DA8"/>
    <w:rsid w:val="00F723D1"/>
    <w:rsid w:val="00F727D6"/>
    <w:rsid w:val="00F7376C"/>
    <w:rsid w:val="00F74252"/>
    <w:rsid w:val="00F75064"/>
    <w:rsid w:val="00F7514C"/>
    <w:rsid w:val="00F76CA4"/>
    <w:rsid w:val="00F76E80"/>
    <w:rsid w:val="00F76FAD"/>
    <w:rsid w:val="00F777E4"/>
    <w:rsid w:val="00F77F3A"/>
    <w:rsid w:val="00F8004C"/>
    <w:rsid w:val="00F8193F"/>
    <w:rsid w:val="00F82207"/>
    <w:rsid w:val="00F83724"/>
    <w:rsid w:val="00F84B5A"/>
    <w:rsid w:val="00F84D77"/>
    <w:rsid w:val="00F84DF0"/>
    <w:rsid w:val="00F84F8A"/>
    <w:rsid w:val="00F87079"/>
    <w:rsid w:val="00F87585"/>
    <w:rsid w:val="00F87974"/>
    <w:rsid w:val="00F87B03"/>
    <w:rsid w:val="00F87B8C"/>
    <w:rsid w:val="00F907FA"/>
    <w:rsid w:val="00F92C6A"/>
    <w:rsid w:val="00F938E8"/>
    <w:rsid w:val="00F940DE"/>
    <w:rsid w:val="00F9433F"/>
    <w:rsid w:val="00F948AC"/>
    <w:rsid w:val="00F95A59"/>
    <w:rsid w:val="00F95A77"/>
    <w:rsid w:val="00F96303"/>
    <w:rsid w:val="00F96953"/>
    <w:rsid w:val="00F9735F"/>
    <w:rsid w:val="00F97617"/>
    <w:rsid w:val="00FA01D3"/>
    <w:rsid w:val="00FA11B8"/>
    <w:rsid w:val="00FA3707"/>
    <w:rsid w:val="00FA72E1"/>
    <w:rsid w:val="00FA7ADA"/>
    <w:rsid w:val="00FA7AE2"/>
    <w:rsid w:val="00FB036A"/>
    <w:rsid w:val="00FB08EB"/>
    <w:rsid w:val="00FB127B"/>
    <w:rsid w:val="00FB1E38"/>
    <w:rsid w:val="00FB2F29"/>
    <w:rsid w:val="00FB4208"/>
    <w:rsid w:val="00FB46F9"/>
    <w:rsid w:val="00FB726B"/>
    <w:rsid w:val="00FB7635"/>
    <w:rsid w:val="00FB7692"/>
    <w:rsid w:val="00FC0DB6"/>
    <w:rsid w:val="00FC1206"/>
    <w:rsid w:val="00FC1E26"/>
    <w:rsid w:val="00FC2CC8"/>
    <w:rsid w:val="00FC3227"/>
    <w:rsid w:val="00FC384E"/>
    <w:rsid w:val="00FC4085"/>
    <w:rsid w:val="00FC47B2"/>
    <w:rsid w:val="00FC4CFE"/>
    <w:rsid w:val="00FC69E7"/>
    <w:rsid w:val="00FD014F"/>
    <w:rsid w:val="00FD0BB2"/>
    <w:rsid w:val="00FD0C3C"/>
    <w:rsid w:val="00FD1FFD"/>
    <w:rsid w:val="00FD27C6"/>
    <w:rsid w:val="00FD308C"/>
    <w:rsid w:val="00FD3236"/>
    <w:rsid w:val="00FD32CF"/>
    <w:rsid w:val="00FD3CAD"/>
    <w:rsid w:val="00FD4742"/>
    <w:rsid w:val="00FD49CB"/>
    <w:rsid w:val="00FD565C"/>
    <w:rsid w:val="00FD6EA5"/>
    <w:rsid w:val="00FD7565"/>
    <w:rsid w:val="00FD782E"/>
    <w:rsid w:val="00FD7976"/>
    <w:rsid w:val="00FE2000"/>
    <w:rsid w:val="00FE236D"/>
    <w:rsid w:val="00FE2575"/>
    <w:rsid w:val="00FE2671"/>
    <w:rsid w:val="00FE2A1E"/>
    <w:rsid w:val="00FE358E"/>
    <w:rsid w:val="00FE3AFF"/>
    <w:rsid w:val="00FE63D3"/>
    <w:rsid w:val="00FE65EB"/>
    <w:rsid w:val="00FE6A4B"/>
    <w:rsid w:val="00FE7CCB"/>
    <w:rsid w:val="00FF0079"/>
    <w:rsid w:val="00FF0DFA"/>
    <w:rsid w:val="00FF0F87"/>
    <w:rsid w:val="00FF1379"/>
    <w:rsid w:val="00FF3A01"/>
    <w:rsid w:val="00FF540A"/>
    <w:rsid w:val="00FF5E0A"/>
    <w:rsid w:val="00FF5E1F"/>
    <w:rsid w:val="00FF7658"/>
    <w:rsid w:val="00FF7E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AAAB3F"/>
  <w15:docId w15:val="{57ABA7DE-8159-4140-B264-D97D5A9F2A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02B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E10AD"/>
    <w:rPr>
      <w:rFonts w:asciiTheme="minorHAnsi" w:eastAsiaTheme="minorHAnsi" w:hAnsiTheme="minorHAnsi" w:cstheme="minorBidi"/>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FootnoteReference">
    <w:name w:val="footnote reference"/>
    <w:aliases w:val="o,fr,footnote text,Style 13,Style 12,Style 28,(NECG) Footnote Reference,Style 11,Style 9,Style 16,Style 15,Style 17,Style 20,o1,fr1,o2,fr2,o3,fr3,Style 8,Style 7,Style 19,Style 6,Appel note de bas de p,Style 3,Style 124,FR"/>
    <w:basedOn w:val="DefaultParagraphFont"/>
    <w:uiPriority w:val="99"/>
    <w:rsid w:val="00EE10AD"/>
    <w:rPr>
      <w:vertAlign w:val="superscript"/>
    </w:rPr>
  </w:style>
  <w:style w:type="paragraph" w:styleId="ListParagraph">
    <w:name w:val="List Paragraph"/>
    <w:basedOn w:val="Normal"/>
    <w:uiPriority w:val="34"/>
    <w:qFormat/>
    <w:rsid w:val="00EE10AD"/>
    <w:pPr>
      <w:widowControl w:val="0"/>
      <w:ind w:left="720"/>
      <w:contextualSpacing/>
    </w:pPr>
    <w:rPr>
      <w:rFonts w:eastAsia="Times New Roman"/>
      <w:sz w:val="20"/>
      <w:szCs w:val="20"/>
    </w:rPr>
  </w:style>
  <w:style w:type="paragraph" w:styleId="FootnoteText">
    <w:name w:val="footnote text"/>
    <w:aliases w:val="fn,ALTS FOOTNOTE,Footnote Text 2,Footnote text,FOOTNOTE,fn Char Char,fn Char,Car,Footnote Text Char2,Footnote Text Char1 Char,Footnote Text Char Char Char,Footnote Text Char2 Char Char Char,Footnote Text Char Char1 Char Char Char"/>
    <w:basedOn w:val="Normal"/>
    <w:link w:val="FootnoteTextChar"/>
    <w:unhideWhenUsed/>
    <w:qFormat/>
    <w:rsid w:val="00EE10AD"/>
    <w:pPr>
      <w:widowControl w:val="0"/>
    </w:pPr>
    <w:rPr>
      <w:rFonts w:eastAsia="Times New Roman"/>
      <w:sz w:val="20"/>
      <w:szCs w:val="20"/>
    </w:rPr>
  </w:style>
  <w:style w:type="character" w:customStyle="1" w:styleId="FootnoteTextChar">
    <w:name w:val="Footnote Text Char"/>
    <w:aliases w:val="fn Char1,ALTS FOOTNOTE Char,Footnote Text 2 Char,Footnote text Char,FOOTNOTE Char,fn Char Char Char,fn Char Char1,Car Char,Footnote Text Char2 Char,Footnote Text Char1 Char Char,Footnote Text Char Char Char Char"/>
    <w:basedOn w:val="DefaultParagraphFont"/>
    <w:link w:val="FootnoteText"/>
    <w:qFormat/>
    <w:rsid w:val="00EE10AD"/>
    <w:rPr>
      <w:rFonts w:eastAsia="Times New Roman"/>
      <w:sz w:val="20"/>
      <w:szCs w:val="20"/>
    </w:rPr>
  </w:style>
  <w:style w:type="paragraph" w:styleId="Header">
    <w:name w:val="header"/>
    <w:basedOn w:val="Normal"/>
    <w:link w:val="HeaderChar"/>
    <w:uiPriority w:val="99"/>
    <w:unhideWhenUsed/>
    <w:rsid w:val="00F15F06"/>
    <w:pPr>
      <w:tabs>
        <w:tab w:val="center" w:pos="4680"/>
        <w:tab w:val="right" w:pos="9360"/>
      </w:tabs>
    </w:pPr>
  </w:style>
  <w:style w:type="character" w:customStyle="1" w:styleId="HeaderChar">
    <w:name w:val="Header Char"/>
    <w:basedOn w:val="DefaultParagraphFont"/>
    <w:link w:val="Header"/>
    <w:uiPriority w:val="99"/>
    <w:rsid w:val="00F15F06"/>
  </w:style>
  <w:style w:type="paragraph" w:styleId="Footer">
    <w:name w:val="footer"/>
    <w:basedOn w:val="Normal"/>
    <w:link w:val="FooterChar"/>
    <w:uiPriority w:val="99"/>
    <w:unhideWhenUsed/>
    <w:rsid w:val="00F15F06"/>
    <w:pPr>
      <w:tabs>
        <w:tab w:val="center" w:pos="4680"/>
        <w:tab w:val="right" w:pos="9360"/>
      </w:tabs>
    </w:pPr>
  </w:style>
  <w:style w:type="character" w:customStyle="1" w:styleId="FooterChar">
    <w:name w:val="Footer Char"/>
    <w:basedOn w:val="DefaultParagraphFont"/>
    <w:link w:val="Footer"/>
    <w:uiPriority w:val="99"/>
    <w:rsid w:val="00F15F06"/>
  </w:style>
  <w:style w:type="character" w:styleId="Hyperlink">
    <w:name w:val="Hyperlink"/>
    <w:basedOn w:val="DefaultParagraphFont"/>
    <w:uiPriority w:val="99"/>
    <w:unhideWhenUsed/>
    <w:rsid w:val="00206264"/>
    <w:rPr>
      <w:color w:val="0563C1" w:themeColor="hyperlink"/>
      <w:u w:val="single"/>
    </w:rPr>
  </w:style>
  <w:style w:type="character" w:styleId="UnresolvedMention">
    <w:name w:val="Unresolved Mention"/>
    <w:basedOn w:val="DefaultParagraphFont"/>
    <w:uiPriority w:val="99"/>
    <w:semiHidden/>
    <w:unhideWhenUsed/>
    <w:rsid w:val="00206264"/>
    <w:rPr>
      <w:color w:val="605E5C"/>
      <w:shd w:val="clear" w:color="auto" w:fill="E1DFDD"/>
    </w:rPr>
  </w:style>
  <w:style w:type="character" w:styleId="CommentReference">
    <w:name w:val="annotation reference"/>
    <w:basedOn w:val="DefaultParagraphFont"/>
    <w:uiPriority w:val="99"/>
    <w:semiHidden/>
    <w:unhideWhenUsed/>
    <w:rsid w:val="00076EDE"/>
    <w:rPr>
      <w:sz w:val="16"/>
      <w:szCs w:val="16"/>
    </w:rPr>
  </w:style>
  <w:style w:type="paragraph" w:styleId="CommentText">
    <w:name w:val="annotation text"/>
    <w:basedOn w:val="Normal"/>
    <w:link w:val="CommentTextChar"/>
    <w:uiPriority w:val="99"/>
    <w:unhideWhenUsed/>
    <w:rsid w:val="00076EDE"/>
    <w:rPr>
      <w:sz w:val="20"/>
      <w:szCs w:val="20"/>
    </w:rPr>
  </w:style>
  <w:style w:type="character" w:customStyle="1" w:styleId="CommentTextChar">
    <w:name w:val="Comment Text Char"/>
    <w:basedOn w:val="DefaultParagraphFont"/>
    <w:link w:val="CommentText"/>
    <w:uiPriority w:val="99"/>
    <w:rsid w:val="00076EDE"/>
    <w:rPr>
      <w:sz w:val="20"/>
      <w:szCs w:val="20"/>
    </w:rPr>
  </w:style>
  <w:style w:type="paragraph" w:styleId="CommentSubject">
    <w:name w:val="annotation subject"/>
    <w:basedOn w:val="CommentText"/>
    <w:next w:val="CommentText"/>
    <w:link w:val="CommentSubjectChar"/>
    <w:uiPriority w:val="99"/>
    <w:semiHidden/>
    <w:unhideWhenUsed/>
    <w:rsid w:val="00076EDE"/>
    <w:rPr>
      <w:b/>
      <w:bCs/>
    </w:rPr>
  </w:style>
  <w:style w:type="character" w:customStyle="1" w:styleId="CommentSubjectChar">
    <w:name w:val="Comment Subject Char"/>
    <w:basedOn w:val="CommentTextChar"/>
    <w:link w:val="CommentSubject"/>
    <w:uiPriority w:val="99"/>
    <w:semiHidden/>
    <w:rsid w:val="00076EDE"/>
    <w:rPr>
      <w:b/>
      <w:bCs/>
      <w:sz w:val="20"/>
      <w:szCs w:val="20"/>
    </w:rPr>
  </w:style>
  <w:style w:type="character" w:styleId="FollowedHyperlink">
    <w:name w:val="FollowedHyperlink"/>
    <w:basedOn w:val="DefaultParagraphFont"/>
    <w:uiPriority w:val="99"/>
    <w:semiHidden/>
    <w:unhideWhenUsed/>
    <w:rsid w:val="00B34464"/>
    <w:rPr>
      <w:color w:val="954F72" w:themeColor="followedHyperlink"/>
      <w:u w:val="single"/>
    </w:rPr>
  </w:style>
  <w:style w:type="paragraph" w:styleId="Revision">
    <w:name w:val="Revision"/>
    <w:hidden/>
    <w:uiPriority w:val="99"/>
    <w:semiHidden/>
    <w:rsid w:val="00987E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7920503">
      <w:bodyDiv w:val="1"/>
      <w:marLeft w:val="0"/>
      <w:marRight w:val="0"/>
      <w:marTop w:val="0"/>
      <w:marBottom w:val="0"/>
      <w:divBdr>
        <w:top w:val="none" w:sz="0" w:space="0" w:color="auto"/>
        <w:left w:val="none" w:sz="0" w:space="0" w:color="auto"/>
        <w:bottom w:val="none" w:sz="0" w:space="0" w:color="auto"/>
        <w:right w:val="none" w:sz="0" w:space="0" w:color="auto"/>
      </w:divBdr>
    </w:div>
    <w:div w:id="428543084">
      <w:bodyDiv w:val="1"/>
      <w:marLeft w:val="0"/>
      <w:marRight w:val="0"/>
      <w:marTop w:val="0"/>
      <w:marBottom w:val="0"/>
      <w:divBdr>
        <w:top w:val="none" w:sz="0" w:space="0" w:color="auto"/>
        <w:left w:val="none" w:sz="0" w:space="0" w:color="auto"/>
        <w:bottom w:val="none" w:sz="0" w:space="0" w:color="auto"/>
        <w:right w:val="none" w:sz="0" w:space="0" w:color="auto"/>
      </w:divBdr>
    </w:div>
    <w:div w:id="490482390">
      <w:bodyDiv w:val="1"/>
      <w:marLeft w:val="0"/>
      <w:marRight w:val="0"/>
      <w:marTop w:val="0"/>
      <w:marBottom w:val="0"/>
      <w:divBdr>
        <w:top w:val="none" w:sz="0" w:space="0" w:color="auto"/>
        <w:left w:val="none" w:sz="0" w:space="0" w:color="auto"/>
        <w:bottom w:val="none" w:sz="0" w:space="0" w:color="auto"/>
        <w:right w:val="none" w:sz="0" w:space="0" w:color="auto"/>
      </w:divBdr>
    </w:div>
    <w:div w:id="666786524">
      <w:bodyDiv w:val="1"/>
      <w:marLeft w:val="0"/>
      <w:marRight w:val="0"/>
      <w:marTop w:val="0"/>
      <w:marBottom w:val="0"/>
      <w:divBdr>
        <w:top w:val="none" w:sz="0" w:space="0" w:color="auto"/>
        <w:left w:val="none" w:sz="0" w:space="0" w:color="auto"/>
        <w:bottom w:val="none" w:sz="0" w:space="0" w:color="auto"/>
        <w:right w:val="none" w:sz="0" w:space="0" w:color="auto"/>
      </w:divBdr>
    </w:div>
    <w:div w:id="861864886">
      <w:bodyDiv w:val="1"/>
      <w:marLeft w:val="0"/>
      <w:marRight w:val="0"/>
      <w:marTop w:val="0"/>
      <w:marBottom w:val="0"/>
      <w:divBdr>
        <w:top w:val="none" w:sz="0" w:space="0" w:color="auto"/>
        <w:left w:val="none" w:sz="0" w:space="0" w:color="auto"/>
        <w:bottom w:val="none" w:sz="0" w:space="0" w:color="auto"/>
        <w:right w:val="none" w:sz="0" w:space="0" w:color="auto"/>
      </w:divBdr>
    </w:div>
    <w:div w:id="886725164">
      <w:bodyDiv w:val="1"/>
      <w:marLeft w:val="0"/>
      <w:marRight w:val="0"/>
      <w:marTop w:val="0"/>
      <w:marBottom w:val="0"/>
      <w:divBdr>
        <w:top w:val="none" w:sz="0" w:space="0" w:color="auto"/>
        <w:left w:val="none" w:sz="0" w:space="0" w:color="auto"/>
        <w:bottom w:val="none" w:sz="0" w:space="0" w:color="auto"/>
        <w:right w:val="none" w:sz="0" w:space="0" w:color="auto"/>
      </w:divBdr>
    </w:div>
    <w:div w:id="1334408856">
      <w:bodyDiv w:val="1"/>
      <w:marLeft w:val="0"/>
      <w:marRight w:val="0"/>
      <w:marTop w:val="0"/>
      <w:marBottom w:val="0"/>
      <w:divBdr>
        <w:top w:val="none" w:sz="0" w:space="0" w:color="auto"/>
        <w:left w:val="none" w:sz="0" w:space="0" w:color="auto"/>
        <w:bottom w:val="none" w:sz="0" w:space="0" w:color="auto"/>
        <w:right w:val="none" w:sz="0" w:space="0" w:color="auto"/>
      </w:divBdr>
    </w:div>
    <w:div w:id="1350981791">
      <w:bodyDiv w:val="1"/>
      <w:marLeft w:val="0"/>
      <w:marRight w:val="0"/>
      <w:marTop w:val="0"/>
      <w:marBottom w:val="0"/>
      <w:divBdr>
        <w:top w:val="none" w:sz="0" w:space="0" w:color="auto"/>
        <w:left w:val="none" w:sz="0" w:space="0" w:color="auto"/>
        <w:bottom w:val="none" w:sz="0" w:space="0" w:color="auto"/>
        <w:right w:val="none" w:sz="0" w:space="0" w:color="auto"/>
      </w:divBdr>
    </w:div>
    <w:div w:id="1829512741">
      <w:bodyDiv w:val="1"/>
      <w:marLeft w:val="0"/>
      <w:marRight w:val="0"/>
      <w:marTop w:val="0"/>
      <w:marBottom w:val="0"/>
      <w:divBdr>
        <w:top w:val="none" w:sz="0" w:space="0" w:color="auto"/>
        <w:left w:val="none" w:sz="0" w:space="0" w:color="auto"/>
        <w:bottom w:val="none" w:sz="0" w:space="0" w:color="auto"/>
        <w:right w:val="none" w:sz="0" w:space="0" w:color="auto"/>
      </w:divBdr>
    </w:div>
    <w:div w:id="193936802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drId3" Type="http://schemas.openxmlformats.org/wordprocessingml/2006/fontTable" Target="fontTable0.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AA87CA-F679-4711-A4C1-7C14213A37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32</Pages>
  <Words>8305</Words>
  <Characters>47341</Characters>
  <Application>Microsoft Office Word</Application>
  <DocSecurity>0</DocSecurity>
  <Lines>394</Lines>
  <Paragraphs>111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Odubo, E Festus</dc:creator>
  <cp:lastModifiedBy>Sheffer, Ryan</cp:lastModifiedBy>
  <cp:revision>34</cp:revision>
  <cp:lastPrinted>2021-07-13T15:46:00Z</cp:lastPrinted>
  <dcterms:created xsi:type="dcterms:W3CDTF">2022-02-11T14:09:00Z</dcterms:created>
  <dcterms:modified xsi:type="dcterms:W3CDTF">2022-02-24T15:51:00Z</dcterms:modified>
</cp:coreProperties>
</file>