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4FBFD6A5" w:rsidR="00182F0D" w:rsidRDefault="00182F0D" w:rsidP="007E42B1">
            <w:pPr>
              <w:ind w:left="720"/>
              <w:jc w:val="right"/>
              <w:rPr>
                <w:color w:val="auto"/>
                <w:sz w:val="26"/>
                <w:szCs w:val="26"/>
              </w:rPr>
            </w:pPr>
            <w:r w:rsidRPr="00BA16B1">
              <w:rPr>
                <w:color w:val="auto"/>
                <w:sz w:val="26"/>
                <w:szCs w:val="26"/>
              </w:rPr>
              <w:t xml:space="preserve">Public Meeting held </w:t>
            </w:r>
            <w:r w:rsidR="003525D1">
              <w:rPr>
                <w:color w:val="auto"/>
                <w:sz w:val="26"/>
                <w:szCs w:val="26"/>
              </w:rPr>
              <w:t>February 24, 2022</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772E57" w:rsidRDefault="00182F0D" w:rsidP="007E42B1">
            <w:pPr>
              <w:pStyle w:val="NoSpacing"/>
              <w:ind w:firstLine="990"/>
              <w:rPr>
                <w:rFonts w:ascii="Times New Roman" w:hAnsi="Times New Roman"/>
                <w:sz w:val="26"/>
                <w:szCs w:val="26"/>
              </w:rPr>
            </w:pPr>
            <w:r w:rsidRPr="00772E57">
              <w:rPr>
                <w:rFonts w:ascii="Times New Roman" w:hAnsi="Times New Roman"/>
                <w:sz w:val="26"/>
                <w:szCs w:val="26"/>
              </w:rPr>
              <w:t>Gladys Brown Dutrieuille, Chairman</w:t>
            </w:r>
          </w:p>
        </w:tc>
      </w:tr>
      <w:tr w:rsidR="00182F0D" w:rsidRPr="00BA16B1" w14:paraId="104188AF" w14:textId="77777777" w:rsidTr="007E42B1">
        <w:tc>
          <w:tcPr>
            <w:tcW w:w="9558" w:type="dxa"/>
            <w:gridSpan w:val="2"/>
          </w:tcPr>
          <w:p w14:paraId="76A0CACF" w14:textId="3E8298AA" w:rsidR="008555E2" w:rsidRPr="00772E57" w:rsidRDefault="008555E2" w:rsidP="008555E2">
            <w:pPr>
              <w:ind w:firstLine="990"/>
              <w:rPr>
                <w:color w:val="auto"/>
                <w:sz w:val="26"/>
                <w:szCs w:val="26"/>
              </w:rPr>
            </w:pPr>
            <w:r w:rsidRPr="00772E57">
              <w:rPr>
                <w:color w:val="auto"/>
                <w:sz w:val="26"/>
                <w:szCs w:val="26"/>
              </w:rPr>
              <w:t>John F. Coleman, Jr.</w:t>
            </w:r>
            <w:r w:rsidR="00316D5C">
              <w:rPr>
                <w:color w:val="auto"/>
                <w:sz w:val="26"/>
                <w:szCs w:val="26"/>
              </w:rPr>
              <w:t>, Vice Chairman</w:t>
            </w:r>
          </w:p>
          <w:p w14:paraId="11915546" w14:textId="77777777" w:rsidR="008555E2" w:rsidRPr="00772E57" w:rsidRDefault="008555E2" w:rsidP="008555E2">
            <w:pPr>
              <w:ind w:firstLine="990"/>
              <w:rPr>
                <w:color w:val="auto"/>
                <w:sz w:val="26"/>
                <w:szCs w:val="26"/>
              </w:rPr>
            </w:pPr>
            <w:r w:rsidRPr="00772E57">
              <w:rPr>
                <w:color w:val="auto"/>
                <w:sz w:val="26"/>
                <w:szCs w:val="26"/>
              </w:rPr>
              <w:t>Ralph V. Yanora</w:t>
            </w:r>
          </w:p>
          <w:p w14:paraId="6E74C1F3" w14:textId="1CAB6725" w:rsidR="00182F0D" w:rsidRPr="00772E57" w:rsidRDefault="00182F0D" w:rsidP="007E42B1">
            <w:pPr>
              <w:ind w:firstLine="990"/>
              <w:rPr>
                <w:color w:val="auto"/>
                <w:sz w:val="26"/>
                <w:szCs w:val="26"/>
              </w:rPr>
            </w:pPr>
          </w:p>
        </w:tc>
      </w:tr>
      <w:tr w:rsidR="00182F0D" w:rsidRPr="00BA16B1" w14:paraId="6AB96623" w14:textId="77777777" w:rsidTr="007E42B1">
        <w:tc>
          <w:tcPr>
            <w:tcW w:w="9558" w:type="dxa"/>
            <w:gridSpan w:val="2"/>
          </w:tcPr>
          <w:p w14:paraId="5A7C3991" w14:textId="77777777" w:rsidR="00182F0D" w:rsidRPr="0002378F" w:rsidRDefault="00182F0D" w:rsidP="008555E2">
            <w:pPr>
              <w:ind w:firstLine="990"/>
              <w:rPr>
                <w:sz w:val="26"/>
                <w:szCs w:val="26"/>
                <w:highlight w:val="yellow"/>
              </w:rPr>
            </w:pPr>
          </w:p>
        </w:tc>
      </w:tr>
      <w:tr w:rsidR="00182F0D" w:rsidRPr="00BA16B1" w14:paraId="6723BBBF" w14:textId="77777777" w:rsidTr="007E42B1">
        <w:tc>
          <w:tcPr>
            <w:tcW w:w="9558" w:type="dxa"/>
            <w:gridSpan w:val="2"/>
          </w:tcPr>
          <w:p w14:paraId="65902D38" w14:textId="77777777" w:rsidR="00182F0D" w:rsidRPr="00BA16B1" w:rsidRDefault="00182F0D" w:rsidP="007E42B1">
            <w:pPr>
              <w:tabs>
                <w:tab w:val="left" w:pos="-720"/>
              </w:tabs>
              <w:suppressAutoHyphens/>
              <w:rPr>
                <w:color w:val="auto"/>
                <w:sz w:val="26"/>
              </w:rPr>
            </w:pPr>
            <w:r w:rsidRPr="00BA16B1">
              <w:rPr>
                <w:color w:val="auto"/>
                <w:sz w:val="26"/>
              </w:rPr>
              <w:tab/>
            </w:r>
          </w:p>
        </w:tc>
      </w:tr>
      <w:tr w:rsidR="00182F0D" w:rsidRPr="00BA16B1" w14:paraId="04AECE6C" w14:textId="77777777" w:rsidTr="007E42B1">
        <w:tc>
          <w:tcPr>
            <w:tcW w:w="9558" w:type="dxa"/>
            <w:gridSpan w:val="2"/>
          </w:tcPr>
          <w:p w14:paraId="60E678A2" w14:textId="77777777" w:rsidR="00182F0D" w:rsidRPr="00BA16B1" w:rsidRDefault="00182F0D" w:rsidP="007E42B1">
            <w:pPr>
              <w:rPr>
                <w:color w:val="auto"/>
                <w:sz w:val="26"/>
                <w:szCs w:val="26"/>
              </w:rPr>
            </w:pPr>
          </w:p>
        </w:tc>
      </w:tr>
      <w:tr w:rsidR="00182F0D" w:rsidRPr="00BA16B1" w14:paraId="04698E54" w14:textId="77777777" w:rsidTr="007E42B1">
        <w:tc>
          <w:tcPr>
            <w:tcW w:w="5778" w:type="dxa"/>
          </w:tcPr>
          <w:p w14:paraId="2E313124" w14:textId="12E8BE1A" w:rsidR="00182F0D" w:rsidRPr="00BA16B1" w:rsidRDefault="00182F0D" w:rsidP="003525D1">
            <w:pPr>
              <w:rPr>
                <w:color w:val="auto"/>
                <w:sz w:val="26"/>
                <w:szCs w:val="26"/>
              </w:rPr>
            </w:pPr>
            <w:r w:rsidRPr="00BA16B1">
              <w:rPr>
                <w:color w:val="auto"/>
                <w:sz w:val="26"/>
                <w:szCs w:val="26"/>
              </w:rPr>
              <w:t>Ap</w:t>
            </w:r>
            <w:r>
              <w:rPr>
                <w:color w:val="auto"/>
                <w:sz w:val="26"/>
                <w:szCs w:val="26"/>
              </w:rPr>
              <w:t xml:space="preserve">plication of </w:t>
            </w:r>
            <w:r w:rsidR="003525D1" w:rsidRPr="003525D1">
              <w:rPr>
                <w:color w:val="auto"/>
                <w:sz w:val="26"/>
                <w:szCs w:val="26"/>
              </w:rPr>
              <w:t>Energy Analysis Group Limited Liability Company</w:t>
            </w:r>
            <w:r>
              <w:rPr>
                <w:color w:val="auto"/>
                <w:sz w:val="26"/>
                <w:szCs w:val="26"/>
              </w:rPr>
              <w:t xml:space="preserve"> for Approval to Offer, Render, Furnish</w:t>
            </w:r>
            <w:r w:rsidR="00302B5E">
              <w:rPr>
                <w:color w:val="auto"/>
                <w:sz w:val="26"/>
                <w:szCs w:val="26"/>
              </w:rPr>
              <w:t>,</w:t>
            </w:r>
            <w:r>
              <w:rPr>
                <w:color w:val="auto"/>
                <w:sz w:val="26"/>
                <w:szCs w:val="26"/>
              </w:rPr>
              <w:t xml:space="preserve"> or Supply Electricity or Electric Generation Services as a Broker/Marketer </w:t>
            </w:r>
          </w:p>
        </w:tc>
        <w:tc>
          <w:tcPr>
            <w:tcW w:w="3780" w:type="dxa"/>
          </w:tcPr>
          <w:p w14:paraId="3036F9DC" w14:textId="77777777" w:rsidR="00182F0D" w:rsidRPr="00BA16B1" w:rsidRDefault="00182F0D" w:rsidP="007E42B1">
            <w:pPr>
              <w:rPr>
                <w:color w:val="auto"/>
                <w:sz w:val="26"/>
                <w:szCs w:val="26"/>
              </w:rPr>
            </w:pPr>
          </w:p>
          <w:p w14:paraId="481C4736" w14:textId="77777777" w:rsidR="00182F0D" w:rsidRDefault="00182F0D" w:rsidP="007E42B1">
            <w:pPr>
              <w:pStyle w:val="BodyTextIndent2"/>
              <w:jc w:val="left"/>
              <w:rPr>
                <w:color w:val="auto"/>
              </w:rPr>
            </w:pPr>
            <w:r>
              <w:rPr>
                <w:color w:val="auto"/>
              </w:rPr>
              <w:t>Docket Number:</w:t>
            </w:r>
            <w:r w:rsidRPr="00BA16B1">
              <w:rPr>
                <w:color w:val="auto"/>
              </w:rPr>
              <w:t xml:space="preserve">           </w:t>
            </w:r>
          </w:p>
          <w:p w14:paraId="7FE4B7BB" w14:textId="503B514A" w:rsidR="00182F0D" w:rsidRPr="00BA16B1" w:rsidRDefault="00182F0D" w:rsidP="007E42B1">
            <w:pPr>
              <w:pStyle w:val="BodyTextIndent2"/>
              <w:jc w:val="left"/>
              <w:rPr>
                <w:color w:val="auto"/>
                <w:szCs w:val="26"/>
              </w:rPr>
            </w:pPr>
            <w:r w:rsidRPr="00BA16B1">
              <w:rPr>
                <w:color w:val="auto"/>
              </w:rPr>
              <w:t>A-</w:t>
            </w:r>
            <w:r w:rsidR="003525D1">
              <w:rPr>
                <w:color w:val="auto"/>
              </w:rPr>
              <w:t>2021-3028328</w:t>
            </w:r>
          </w:p>
        </w:tc>
      </w:tr>
    </w:tbl>
    <w:p w14:paraId="6085D6B3" w14:textId="77777777" w:rsidR="00182F0D" w:rsidRPr="00BA16B1" w:rsidRDefault="00182F0D" w:rsidP="00182F0D">
      <w:pPr>
        <w:jc w:val="center"/>
        <w:rPr>
          <w:b/>
          <w:color w:val="auto"/>
          <w:sz w:val="26"/>
          <w:szCs w:val="26"/>
        </w:rPr>
      </w:pPr>
    </w:p>
    <w:p w14:paraId="098A74FC" w14:textId="77777777" w:rsidR="00182F0D" w:rsidRPr="00BA16B1" w:rsidRDefault="00182F0D" w:rsidP="00182F0D">
      <w:pPr>
        <w:pStyle w:val="Heading1"/>
        <w:rPr>
          <w:color w:val="auto"/>
          <w:szCs w:val="26"/>
        </w:rPr>
      </w:pPr>
      <w:r w:rsidRPr="00BA16B1">
        <w:rPr>
          <w:color w:val="auto"/>
          <w:szCs w:val="26"/>
        </w:rPr>
        <w:t>ORDER</w:t>
      </w:r>
    </w:p>
    <w:p w14:paraId="1FB6A6DD" w14:textId="77777777" w:rsidR="00182F0D" w:rsidRPr="00BA16B1" w:rsidRDefault="00182F0D" w:rsidP="00182F0D">
      <w:pPr>
        <w:spacing w:line="360" w:lineRule="auto"/>
        <w:jc w:val="center"/>
        <w:rPr>
          <w:b/>
          <w:color w:val="auto"/>
          <w:sz w:val="26"/>
          <w:szCs w:val="26"/>
        </w:rPr>
      </w:pPr>
    </w:p>
    <w:p w14:paraId="3D2C326B" w14:textId="77777777" w:rsidR="00182F0D" w:rsidRDefault="00182F0D" w:rsidP="00182F0D">
      <w:pPr>
        <w:spacing w:line="360" w:lineRule="auto"/>
        <w:rPr>
          <w:b/>
          <w:color w:val="auto"/>
          <w:sz w:val="26"/>
          <w:szCs w:val="26"/>
        </w:rPr>
      </w:pPr>
      <w:r w:rsidRPr="00BA16B1">
        <w:rPr>
          <w:b/>
          <w:color w:val="auto"/>
          <w:sz w:val="26"/>
          <w:szCs w:val="26"/>
        </w:rPr>
        <w:t>BY THE COMMISSION:</w:t>
      </w:r>
    </w:p>
    <w:p w14:paraId="63970D4F" w14:textId="77777777" w:rsidR="00182F0D" w:rsidRPr="00115910" w:rsidRDefault="00182F0D" w:rsidP="00182F0D">
      <w:pPr>
        <w:spacing w:line="360" w:lineRule="auto"/>
        <w:rPr>
          <w:b/>
          <w:color w:val="auto"/>
          <w:sz w:val="26"/>
          <w:szCs w:val="26"/>
        </w:rPr>
      </w:pPr>
    </w:p>
    <w:p w14:paraId="34E672C1" w14:textId="5B9181B8" w:rsidR="00182F0D" w:rsidRPr="00385F6C" w:rsidRDefault="00182F0D" w:rsidP="00182F0D">
      <w:pPr>
        <w:tabs>
          <w:tab w:val="left" w:pos="-1440"/>
          <w:tab w:val="left" w:pos="-720"/>
        </w:tabs>
        <w:suppressAutoHyphens/>
        <w:spacing w:line="360" w:lineRule="auto"/>
        <w:rPr>
          <w:color w:val="auto"/>
          <w:sz w:val="26"/>
          <w:szCs w:val="26"/>
        </w:rPr>
      </w:pPr>
      <w:r>
        <w:rPr>
          <w:color w:val="auto"/>
          <w:sz w:val="26"/>
          <w:szCs w:val="26"/>
        </w:rPr>
        <w:tab/>
      </w:r>
      <w:r w:rsidRPr="00CB0906">
        <w:rPr>
          <w:color w:val="auto"/>
          <w:sz w:val="26"/>
          <w:szCs w:val="26"/>
        </w:rPr>
        <w:t xml:space="preserve">On </w:t>
      </w:r>
      <w:r w:rsidR="003525D1">
        <w:rPr>
          <w:color w:val="auto"/>
          <w:sz w:val="26"/>
          <w:szCs w:val="26"/>
        </w:rPr>
        <w:t>September 3, 2021</w:t>
      </w:r>
      <w:r w:rsidRPr="00CB0906">
        <w:rPr>
          <w:color w:val="auto"/>
          <w:sz w:val="26"/>
          <w:szCs w:val="26"/>
        </w:rPr>
        <w:t xml:space="preserve">, the </w:t>
      </w:r>
      <w:r w:rsidR="00820607">
        <w:rPr>
          <w:color w:val="auto"/>
          <w:sz w:val="26"/>
          <w:szCs w:val="26"/>
        </w:rPr>
        <w:t>Pennsylvania Public Utility Commission (</w:t>
      </w:r>
      <w:r w:rsidRPr="00CB0906">
        <w:rPr>
          <w:color w:val="auto"/>
          <w:sz w:val="26"/>
          <w:szCs w:val="26"/>
        </w:rPr>
        <w:t>Commission</w:t>
      </w:r>
      <w:r w:rsidR="00820607">
        <w:rPr>
          <w:color w:val="auto"/>
          <w:sz w:val="26"/>
          <w:szCs w:val="26"/>
        </w:rPr>
        <w:t>)</w:t>
      </w:r>
      <w:r w:rsidRPr="00CB0906">
        <w:rPr>
          <w:color w:val="auto"/>
          <w:sz w:val="26"/>
          <w:szCs w:val="26"/>
        </w:rPr>
        <w:t xml:space="preserve"> accepted </w:t>
      </w:r>
      <w:r w:rsidR="003525D1" w:rsidRPr="003525D1">
        <w:rPr>
          <w:color w:val="auto"/>
          <w:sz w:val="26"/>
          <w:szCs w:val="26"/>
        </w:rPr>
        <w:t>Energy Analysis Group Limited Liability Company</w:t>
      </w:r>
      <w:r w:rsidRPr="003525D1">
        <w:rPr>
          <w:color w:val="auto"/>
          <w:sz w:val="26"/>
          <w:szCs w:val="26"/>
        </w:rPr>
        <w:t>’s (</w:t>
      </w:r>
      <w:r w:rsidR="003525D1" w:rsidRPr="003525D1">
        <w:rPr>
          <w:color w:val="auto"/>
          <w:sz w:val="26"/>
          <w:szCs w:val="26"/>
        </w:rPr>
        <w:t>Energy Analysis Group</w:t>
      </w:r>
      <w:r w:rsidRPr="003525D1">
        <w:rPr>
          <w:color w:val="auto"/>
          <w:sz w:val="26"/>
          <w:szCs w:val="26"/>
        </w:rPr>
        <w:t xml:space="preserve">), Utility Code </w:t>
      </w:r>
      <w:r w:rsidR="003525D1" w:rsidRPr="003525D1">
        <w:rPr>
          <w:color w:val="auto"/>
          <w:sz w:val="26"/>
          <w:szCs w:val="26"/>
        </w:rPr>
        <w:t>1124514</w:t>
      </w:r>
      <w:r w:rsidRPr="003525D1">
        <w:rPr>
          <w:color w:val="auto"/>
          <w:sz w:val="26"/>
          <w:szCs w:val="26"/>
        </w:rPr>
        <w:t>, application to provide electric generation supplier (EGS) services as a broker/marketer in all of the electric distribution company service territories throughout the Commonwealth of Pennsylvania.</w:t>
      </w:r>
      <w:r>
        <w:rPr>
          <w:color w:val="auto"/>
          <w:sz w:val="26"/>
          <w:szCs w:val="26"/>
        </w:rPr>
        <w:t xml:space="preserve">  </w:t>
      </w:r>
      <w:r w:rsidRPr="00BA16B1">
        <w:rPr>
          <w:color w:val="auto"/>
          <w:sz w:val="26"/>
          <w:szCs w:val="26"/>
        </w:rPr>
        <w:t>The application was filed pursuant to the Commission’s regulations 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r w:rsidR="00820607">
        <w:rPr>
          <w:color w:val="auto"/>
          <w:sz w:val="26"/>
          <w:szCs w:val="26"/>
        </w:rPr>
        <w:t xml:space="preserve">  For the reasons expressed in this Order, the Commission approves the application consistent with this Order.</w:t>
      </w:r>
    </w:p>
    <w:p w14:paraId="07CD34E7" w14:textId="6FFA4A68" w:rsidR="00182F0D" w:rsidRDefault="00182F0D" w:rsidP="00182F0D">
      <w:pPr>
        <w:tabs>
          <w:tab w:val="left" w:pos="-1440"/>
          <w:tab w:val="left" w:pos="-720"/>
        </w:tabs>
        <w:suppressAutoHyphens/>
        <w:spacing w:line="360" w:lineRule="auto"/>
        <w:rPr>
          <w:color w:val="auto"/>
          <w:spacing w:val="-3"/>
          <w:kern w:val="1"/>
          <w:sz w:val="26"/>
          <w:szCs w:val="26"/>
        </w:rPr>
      </w:pPr>
    </w:p>
    <w:p w14:paraId="09D80A8F" w14:textId="77777777" w:rsidR="003525D1" w:rsidRDefault="003525D1" w:rsidP="003404B5">
      <w:pPr>
        <w:tabs>
          <w:tab w:val="left" w:pos="-1440"/>
          <w:tab w:val="left" w:pos="-720"/>
        </w:tabs>
        <w:suppressAutoHyphens/>
        <w:spacing w:line="360" w:lineRule="auto"/>
        <w:rPr>
          <w:b/>
          <w:bCs/>
          <w:color w:val="auto"/>
          <w:spacing w:val="-3"/>
          <w:kern w:val="1"/>
          <w:sz w:val="26"/>
          <w:szCs w:val="26"/>
        </w:rPr>
      </w:pPr>
    </w:p>
    <w:p w14:paraId="1D854889" w14:textId="782A4CFA" w:rsidR="003404B5" w:rsidRPr="003C489D" w:rsidRDefault="003404B5" w:rsidP="003404B5">
      <w:pPr>
        <w:tabs>
          <w:tab w:val="left" w:pos="-1440"/>
          <w:tab w:val="left" w:pos="-720"/>
        </w:tabs>
        <w:suppressAutoHyphens/>
        <w:spacing w:line="360" w:lineRule="auto"/>
        <w:rPr>
          <w:b/>
          <w:bCs/>
          <w:color w:val="auto"/>
          <w:spacing w:val="-3"/>
          <w:kern w:val="1"/>
          <w:sz w:val="26"/>
          <w:szCs w:val="26"/>
        </w:rPr>
      </w:pPr>
      <w:r>
        <w:rPr>
          <w:b/>
          <w:bCs/>
          <w:color w:val="auto"/>
          <w:spacing w:val="-3"/>
          <w:kern w:val="1"/>
          <w:sz w:val="26"/>
          <w:szCs w:val="26"/>
        </w:rPr>
        <w:lastRenderedPageBreak/>
        <w:t>Legal Standard</w:t>
      </w:r>
    </w:p>
    <w:p w14:paraId="66732CC6" w14:textId="44752E21"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3DEB7EA2" w14:textId="77777777" w:rsidR="008555E2" w:rsidRDefault="008555E2" w:rsidP="008555E2">
      <w:pPr>
        <w:tabs>
          <w:tab w:val="left" w:pos="0"/>
        </w:tabs>
        <w:suppressAutoHyphens/>
        <w:ind w:right="806"/>
        <w:rPr>
          <w:color w:val="auto"/>
          <w:spacing w:val="-3"/>
          <w:kern w:val="1"/>
          <w:sz w:val="26"/>
          <w:szCs w:val="26"/>
        </w:rPr>
      </w:pPr>
    </w:p>
    <w:p w14:paraId="177D550D" w14:textId="03B47B51" w:rsidR="00182F0D" w:rsidRPr="00BA16B1" w:rsidRDefault="00182F0D" w:rsidP="008555E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46294F63" w:rsidR="00182F0D" w:rsidRDefault="00182F0D" w:rsidP="00182F0D">
      <w:pPr>
        <w:tabs>
          <w:tab w:val="left" w:pos="0"/>
        </w:tabs>
        <w:suppressAutoHyphens/>
        <w:spacing w:line="360" w:lineRule="auto"/>
        <w:jc w:val="both"/>
        <w:rPr>
          <w:color w:val="auto"/>
          <w:spacing w:val="-3"/>
          <w:kern w:val="1"/>
          <w:sz w:val="26"/>
          <w:szCs w:val="26"/>
        </w:rPr>
      </w:pPr>
    </w:p>
    <w:p w14:paraId="144A294A" w14:textId="77777777" w:rsidR="003404B5" w:rsidRPr="003C489D" w:rsidRDefault="003404B5" w:rsidP="003404B5">
      <w:pPr>
        <w:tabs>
          <w:tab w:val="left" w:pos="0"/>
        </w:tabs>
        <w:suppressAutoHyphens/>
        <w:spacing w:line="360" w:lineRule="auto"/>
        <w:jc w:val="both"/>
        <w:rPr>
          <w:b/>
          <w:bCs/>
          <w:color w:val="auto"/>
          <w:spacing w:val="-3"/>
          <w:kern w:val="1"/>
          <w:sz w:val="26"/>
          <w:szCs w:val="26"/>
        </w:rPr>
      </w:pPr>
      <w:r>
        <w:rPr>
          <w:b/>
          <w:bCs/>
          <w:color w:val="auto"/>
          <w:spacing w:val="-3"/>
          <w:kern w:val="1"/>
          <w:sz w:val="26"/>
          <w:szCs w:val="26"/>
        </w:rPr>
        <w:t>Applicant</w:t>
      </w:r>
    </w:p>
    <w:p w14:paraId="03979A26" w14:textId="1387AFE3" w:rsidR="00182F0D" w:rsidRDefault="00182F0D" w:rsidP="00182F0D">
      <w:pPr>
        <w:tabs>
          <w:tab w:val="left" w:pos="0"/>
        </w:tabs>
        <w:suppressAutoHyphens/>
        <w:spacing w:line="360" w:lineRule="auto"/>
        <w:rPr>
          <w:color w:val="auto"/>
          <w:sz w:val="26"/>
          <w:szCs w:val="26"/>
        </w:rPr>
      </w:pPr>
      <w:r w:rsidRPr="009A7598">
        <w:rPr>
          <w:color w:val="auto"/>
          <w:sz w:val="26"/>
          <w:szCs w:val="26"/>
        </w:rPr>
        <w:tab/>
      </w:r>
      <w:r w:rsidR="003525D1" w:rsidRPr="0054680F">
        <w:rPr>
          <w:color w:val="auto"/>
          <w:sz w:val="26"/>
          <w:szCs w:val="26"/>
        </w:rPr>
        <w:t>Energy Analysis Group</w:t>
      </w:r>
      <w:r w:rsidRPr="0054680F">
        <w:rPr>
          <w:color w:val="auto"/>
          <w:sz w:val="26"/>
          <w:szCs w:val="26"/>
        </w:rPr>
        <w:t xml:space="preserve"> is a foreign limited liability company, formed in the State of </w:t>
      </w:r>
      <w:r w:rsidR="0054680F" w:rsidRPr="0054680F">
        <w:rPr>
          <w:color w:val="auto"/>
          <w:sz w:val="26"/>
          <w:szCs w:val="26"/>
        </w:rPr>
        <w:t>New Jersey</w:t>
      </w:r>
      <w:r w:rsidRPr="0054680F">
        <w:rPr>
          <w:color w:val="auto"/>
          <w:sz w:val="26"/>
          <w:szCs w:val="26"/>
        </w:rPr>
        <w:t xml:space="preserve"> as of </w:t>
      </w:r>
      <w:r w:rsidR="0054680F" w:rsidRPr="0054680F">
        <w:rPr>
          <w:color w:val="auto"/>
          <w:sz w:val="26"/>
          <w:szCs w:val="26"/>
        </w:rPr>
        <w:t>June 2, 2010,</w:t>
      </w:r>
      <w:r w:rsidRPr="0054680F">
        <w:rPr>
          <w:color w:val="auto"/>
          <w:sz w:val="26"/>
          <w:szCs w:val="26"/>
        </w:rPr>
        <w:t xml:space="preserve"> and registered to do business in the Commonwealth of Pennsylvania on </w:t>
      </w:r>
      <w:r w:rsidR="0054680F" w:rsidRPr="0054680F">
        <w:rPr>
          <w:color w:val="auto"/>
          <w:sz w:val="26"/>
          <w:szCs w:val="26"/>
        </w:rPr>
        <w:t>June 10, 2021</w:t>
      </w:r>
      <w:r w:rsidRPr="0054680F">
        <w:rPr>
          <w:color w:val="auto"/>
          <w:sz w:val="26"/>
          <w:szCs w:val="26"/>
        </w:rPr>
        <w:t xml:space="preserve">.  </w:t>
      </w:r>
      <w:r w:rsidR="003525D1" w:rsidRPr="0054680F">
        <w:rPr>
          <w:color w:val="auto"/>
          <w:sz w:val="26"/>
          <w:szCs w:val="26"/>
        </w:rPr>
        <w:t>Energy Analysis Group</w:t>
      </w:r>
      <w:r w:rsidRPr="00A9276C">
        <w:rPr>
          <w:color w:val="auto"/>
          <w:sz w:val="26"/>
          <w:szCs w:val="26"/>
        </w:rPr>
        <w:t xml:space="preserve"> </w:t>
      </w:r>
      <w:r w:rsidRPr="00BA16B1">
        <w:rPr>
          <w:color w:val="auto"/>
          <w:sz w:val="26"/>
          <w:szCs w:val="26"/>
        </w:rPr>
        <w:t xml:space="preserve">proposes to act as a </w:t>
      </w:r>
      <w:r>
        <w:rPr>
          <w:color w:val="auto"/>
          <w:sz w:val="26"/>
          <w:szCs w:val="26"/>
        </w:rPr>
        <w:t xml:space="preserve">broker/marketer </w:t>
      </w:r>
      <w:r w:rsidRPr="00BA16B1">
        <w:rPr>
          <w:color w:val="auto"/>
          <w:sz w:val="26"/>
          <w:szCs w:val="26"/>
        </w:rPr>
        <w:t xml:space="preserve">of retail electric power </w:t>
      </w:r>
      <w:r w:rsidRPr="0054680F">
        <w:rPr>
          <w:color w:val="auto"/>
          <w:sz w:val="26"/>
          <w:szCs w:val="26"/>
        </w:rPr>
        <w:t xml:space="preserve">to small commercial (25 kW and under demand), large commercial (over 25 kW demand), </w:t>
      </w:r>
      <w:r w:rsidR="0054680F" w:rsidRPr="0054680F">
        <w:rPr>
          <w:color w:val="auto"/>
          <w:sz w:val="26"/>
          <w:szCs w:val="26"/>
        </w:rPr>
        <w:t xml:space="preserve">and </w:t>
      </w:r>
      <w:r w:rsidRPr="0054680F">
        <w:rPr>
          <w:color w:val="auto"/>
          <w:sz w:val="26"/>
          <w:szCs w:val="26"/>
        </w:rPr>
        <w:t xml:space="preserve">industrial customers.  </w:t>
      </w:r>
      <w:r w:rsidR="003525D1" w:rsidRPr="0054680F">
        <w:rPr>
          <w:color w:val="auto"/>
          <w:sz w:val="26"/>
          <w:szCs w:val="26"/>
        </w:rPr>
        <w:t>Energy Analysis Group</w:t>
      </w:r>
      <w:r w:rsidRPr="0054680F">
        <w:rPr>
          <w:color w:val="auto"/>
          <w:sz w:val="26"/>
          <w:szCs w:val="26"/>
        </w:rPr>
        <w:t xml:space="preserve"> has indicated that it will not be taking title to electric</w:t>
      </w:r>
      <w:r>
        <w:rPr>
          <w:color w:val="auto"/>
          <w:sz w:val="26"/>
          <w:szCs w:val="26"/>
        </w:rPr>
        <w:t xml:space="preserve"> power, nor paying customers’ bills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5586E2D0" w:rsidR="00182F0D" w:rsidRDefault="00182F0D" w:rsidP="00182F0D">
      <w:pPr>
        <w:spacing w:line="360" w:lineRule="auto"/>
        <w:ind w:firstLine="720"/>
        <w:rPr>
          <w:color w:val="auto"/>
          <w:sz w:val="26"/>
          <w:szCs w:val="26"/>
        </w:rPr>
      </w:pPr>
      <w:r w:rsidRPr="00891EA1">
        <w:rPr>
          <w:color w:val="auto"/>
          <w:kern w:val="1"/>
          <w:sz w:val="26"/>
          <w:szCs w:val="26"/>
        </w:rPr>
        <w:lastRenderedPageBreak/>
        <w:t xml:space="preserve">Regarding the financial and technical requirements of the license application, </w:t>
      </w:r>
      <w:r w:rsidR="003525D1" w:rsidRPr="00891EA1">
        <w:rPr>
          <w:color w:val="auto"/>
          <w:sz w:val="26"/>
          <w:szCs w:val="26"/>
        </w:rPr>
        <w:t>Energy Analysis Group</w:t>
      </w:r>
      <w:r w:rsidRPr="00891EA1">
        <w:rPr>
          <w:color w:val="auto"/>
          <w:sz w:val="26"/>
          <w:szCs w:val="26"/>
        </w:rPr>
        <w:t xml:space="preserve"> has submitted </w:t>
      </w:r>
      <w:r w:rsidR="0054680F" w:rsidRPr="00891EA1">
        <w:rPr>
          <w:color w:val="auto"/>
          <w:sz w:val="26"/>
          <w:szCs w:val="26"/>
        </w:rPr>
        <w:t>audited financial statements for calendar year 2020 and for the first six months of calendar year 2021, as well as a bank certified letter indicating availability of funds to support its operations</w:t>
      </w:r>
      <w:r w:rsidRPr="00891EA1">
        <w:rPr>
          <w:color w:val="auto"/>
          <w:sz w:val="26"/>
          <w:szCs w:val="26"/>
        </w:rPr>
        <w:t xml:space="preserve">.  </w:t>
      </w:r>
      <w:r w:rsidR="003525D1" w:rsidRPr="00891EA1">
        <w:rPr>
          <w:color w:val="auto"/>
          <w:sz w:val="26"/>
          <w:szCs w:val="26"/>
        </w:rPr>
        <w:t>Energy Analysis Group</w:t>
      </w:r>
      <w:r w:rsidRPr="00891EA1">
        <w:rPr>
          <w:color w:val="auto"/>
          <w:sz w:val="26"/>
          <w:szCs w:val="26"/>
        </w:rPr>
        <w:t xml:space="preserve"> </w:t>
      </w:r>
      <w:r w:rsidRPr="00891EA1">
        <w:rPr>
          <w:color w:val="auto"/>
          <w:kern w:val="1"/>
          <w:sz w:val="26"/>
          <w:szCs w:val="26"/>
        </w:rPr>
        <w:t xml:space="preserve">has also supplied an organizational chart, a business plan, previous experience in </w:t>
      </w:r>
      <w:r w:rsidR="00981898" w:rsidRPr="00891EA1">
        <w:rPr>
          <w:color w:val="auto"/>
          <w:kern w:val="1"/>
          <w:sz w:val="26"/>
          <w:szCs w:val="26"/>
        </w:rPr>
        <w:t xml:space="preserve">the </w:t>
      </w:r>
      <w:r w:rsidRPr="00891EA1">
        <w:rPr>
          <w:color w:val="auto"/>
          <w:kern w:val="1"/>
          <w:sz w:val="26"/>
          <w:szCs w:val="26"/>
        </w:rPr>
        <w:t>electric</w:t>
      </w:r>
      <w:r w:rsidR="0054680F" w:rsidRPr="00891EA1">
        <w:rPr>
          <w:color w:val="auto"/>
          <w:kern w:val="1"/>
          <w:sz w:val="26"/>
          <w:szCs w:val="26"/>
        </w:rPr>
        <w:t xml:space="preserve"> and </w:t>
      </w:r>
      <w:r w:rsidR="0099464C" w:rsidRPr="00891EA1">
        <w:rPr>
          <w:color w:val="auto"/>
          <w:sz w:val="26"/>
          <w:szCs w:val="26"/>
        </w:rPr>
        <w:t xml:space="preserve">natural </w:t>
      </w:r>
      <w:r w:rsidRPr="00891EA1">
        <w:rPr>
          <w:color w:val="auto"/>
          <w:kern w:val="1"/>
          <w:sz w:val="26"/>
          <w:szCs w:val="26"/>
        </w:rPr>
        <w:t>gas</w:t>
      </w:r>
      <w:r w:rsidR="00451208" w:rsidRPr="00891EA1">
        <w:rPr>
          <w:color w:val="auto"/>
          <w:kern w:val="1"/>
          <w:sz w:val="26"/>
          <w:szCs w:val="26"/>
        </w:rPr>
        <w:t xml:space="preserve"> industr</w:t>
      </w:r>
      <w:r w:rsidR="0054680F" w:rsidRPr="00891EA1">
        <w:rPr>
          <w:color w:val="auto"/>
          <w:kern w:val="1"/>
          <w:sz w:val="26"/>
          <w:szCs w:val="26"/>
        </w:rPr>
        <w:t>ies</w:t>
      </w:r>
      <w:r w:rsidRPr="00891EA1">
        <w:rPr>
          <w:color w:val="auto"/>
          <w:kern w:val="1"/>
          <w:sz w:val="26"/>
          <w:szCs w:val="26"/>
        </w:rPr>
        <w:t xml:space="preserve">, </w:t>
      </w:r>
      <w:r w:rsidR="00451208" w:rsidRPr="00891EA1">
        <w:rPr>
          <w:color w:val="auto"/>
          <w:kern w:val="1"/>
          <w:sz w:val="26"/>
          <w:szCs w:val="26"/>
        </w:rPr>
        <w:t xml:space="preserve">and </w:t>
      </w:r>
      <w:r w:rsidRPr="00891EA1">
        <w:rPr>
          <w:color w:val="auto"/>
          <w:kern w:val="1"/>
          <w:sz w:val="26"/>
          <w:szCs w:val="26"/>
        </w:rPr>
        <w:t xml:space="preserve">extensive résumé data for its chief officers.  Additionally, </w:t>
      </w:r>
      <w:r w:rsidR="003525D1" w:rsidRPr="00891EA1">
        <w:rPr>
          <w:color w:val="auto"/>
          <w:kern w:val="1"/>
          <w:sz w:val="26"/>
          <w:szCs w:val="26"/>
        </w:rPr>
        <w:t>Energy Analysis Group</w:t>
      </w:r>
      <w:r w:rsidRPr="00891EA1">
        <w:rPr>
          <w:color w:val="auto"/>
          <w:kern w:val="1"/>
          <w:sz w:val="26"/>
          <w:szCs w:val="26"/>
        </w:rPr>
        <w:t xml:space="preserve"> was previously licensed by the Commission to operate</w:t>
      </w:r>
      <w:r w:rsidRPr="00724C9B">
        <w:rPr>
          <w:color w:val="auto"/>
          <w:kern w:val="1"/>
          <w:sz w:val="26"/>
          <w:szCs w:val="26"/>
        </w:rPr>
        <w:t xml:space="preserve"> as a Natural Gas Supplier on</w:t>
      </w:r>
      <w:r>
        <w:rPr>
          <w:color w:val="auto"/>
          <w:kern w:val="1"/>
          <w:sz w:val="26"/>
          <w:szCs w:val="26"/>
        </w:rPr>
        <w:t xml:space="preserve"> </w:t>
      </w:r>
      <w:r w:rsidR="0054680F">
        <w:rPr>
          <w:color w:val="auto"/>
          <w:kern w:val="1"/>
          <w:sz w:val="26"/>
          <w:szCs w:val="26"/>
        </w:rPr>
        <w:t>January 13, 202</w:t>
      </w:r>
      <w:r w:rsidR="00891EA1">
        <w:rPr>
          <w:color w:val="auto"/>
          <w:kern w:val="1"/>
          <w:sz w:val="26"/>
          <w:szCs w:val="26"/>
        </w:rPr>
        <w:t>2</w:t>
      </w:r>
      <w:r w:rsidRPr="00312FF3">
        <w:rPr>
          <w:color w:val="auto"/>
          <w:kern w:val="1"/>
          <w:sz w:val="26"/>
          <w:szCs w:val="26"/>
        </w:rPr>
        <w:t xml:space="preserve">, </w:t>
      </w:r>
      <w:r w:rsidRPr="00724C9B">
        <w:rPr>
          <w:color w:val="auto"/>
          <w:kern w:val="1"/>
          <w:sz w:val="26"/>
          <w:szCs w:val="26"/>
        </w:rPr>
        <w:t>at Docket No.</w:t>
      </w:r>
      <w:r w:rsidRPr="00312FF3">
        <w:rPr>
          <w:color w:val="auto"/>
          <w:kern w:val="1"/>
          <w:sz w:val="26"/>
          <w:szCs w:val="26"/>
        </w:rPr>
        <w:t xml:space="preserve"> </w:t>
      </w:r>
      <w:r w:rsidRPr="00724C9B">
        <w:rPr>
          <w:color w:val="auto"/>
          <w:kern w:val="1"/>
          <w:sz w:val="26"/>
          <w:szCs w:val="26"/>
        </w:rPr>
        <w:t>A</w:t>
      </w:r>
      <w:r w:rsidRPr="00891EA1">
        <w:rPr>
          <w:color w:val="auto"/>
          <w:kern w:val="1"/>
          <w:sz w:val="26"/>
          <w:szCs w:val="26"/>
        </w:rPr>
        <w:noBreakHyphen/>
      </w:r>
      <w:r w:rsidR="00891EA1" w:rsidRPr="00891EA1">
        <w:rPr>
          <w:color w:val="auto"/>
          <w:kern w:val="1"/>
          <w:sz w:val="26"/>
          <w:szCs w:val="26"/>
        </w:rPr>
        <w:t>2021-3028635</w:t>
      </w:r>
      <w:r w:rsidRPr="00891EA1">
        <w:rPr>
          <w:color w:val="auto"/>
          <w:kern w:val="1"/>
          <w:sz w:val="26"/>
          <w:szCs w:val="26"/>
        </w:rPr>
        <w:t>.</w:t>
      </w:r>
      <w:r w:rsidR="00891EA1" w:rsidRPr="00891EA1">
        <w:rPr>
          <w:color w:val="auto"/>
          <w:kern w:val="1"/>
          <w:sz w:val="26"/>
          <w:szCs w:val="26"/>
        </w:rPr>
        <w:t xml:space="preserve">  </w:t>
      </w:r>
      <w:r w:rsidRPr="00891EA1">
        <w:rPr>
          <w:color w:val="auto"/>
          <w:kern w:val="1"/>
          <w:sz w:val="26"/>
          <w:szCs w:val="26"/>
        </w:rPr>
        <w:t xml:space="preserve">We find that sufficient information has been provided by </w:t>
      </w:r>
      <w:r w:rsidR="003525D1" w:rsidRPr="00891EA1">
        <w:rPr>
          <w:color w:val="auto"/>
          <w:sz w:val="26"/>
          <w:szCs w:val="26"/>
        </w:rPr>
        <w:t>Energy Analysis Group</w:t>
      </w:r>
      <w:r w:rsidRPr="00A9276C">
        <w:rPr>
          <w:color w:val="auto"/>
          <w:sz w:val="26"/>
          <w:szCs w:val="26"/>
        </w:rPr>
        <w:t xml:space="preserve"> </w:t>
      </w:r>
      <w:r w:rsidRPr="00BA16B1">
        <w:rPr>
          <w:color w:val="auto"/>
          <w:kern w:val="1"/>
          <w:sz w:val="26"/>
          <w:szCs w:val="26"/>
        </w:rPr>
        <w:t>to demonstrate its fin</w:t>
      </w:r>
      <w:r w:rsidRPr="00257456">
        <w:rPr>
          <w:color w:val="auto"/>
          <w:kern w:val="1"/>
          <w:sz w:val="26"/>
          <w:szCs w:val="26"/>
        </w:rPr>
        <w:t xml:space="preserve">ancial and technical fitness in order to be licensed as a broker/marketer of retail electric power </w:t>
      </w:r>
      <w:r w:rsidRPr="00257456">
        <w:rPr>
          <w:color w:val="auto"/>
          <w:sz w:val="26"/>
          <w:szCs w:val="26"/>
        </w:rPr>
        <w:t>in the Commonwealth of Pennsylvania.</w:t>
      </w:r>
      <w:r>
        <w:rPr>
          <w:color w:val="auto"/>
          <w:sz w:val="26"/>
          <w:szCs w:val="26"/>
        </w:rPr>
        <w:t xml:space="preserve">  </w:t>
      </w:r>
    </w:p>
    <w:p w14:paraId="253A45C6" w14:textId="77777777" w:rsidR="00182F0D" w:rsidRDefault="00182F0D" w:rsidP="00182F0D">
      <w:pPr>
        <w:spacing w:line="360" w:lineRule="auto"/>
        <w:ind w:firstLine="720"/>
        <w:rPr>
          <w:color w:val="auto"/>
          <w:sz w:val="26"/>
          <w:szCs w:val="26"/>
        </w:rPr>
      </w:pPr>
    </w:p>
    <w:p w14:paraId="6344BFBA" w14:textId="64295819" w:rsidR="006769E0" w:rsidRDefault="00257BDB" w:rsidP="006769E0">
      <w:pPr>
        <w:tabs>
          <w:tab w:val="left" w:pos="-720"/>
        </w:tabs>
        <w:suppressAutoHyphens/>
        <w:spacing w:line="360" w:lineRule="auto"/>
        <w:rPr>
          <w:b/>
          <w:bCs/>
          <w:color w:val="auto"/>
          <w:sz w:val="26"/>
          <w:szCs w:val="26"/>
        </w:rPr>
      </w:pPr>
      <w:r>
        <w:rPr>
          <w:b/>
          <w:bCs/>
          <w:color w:val="auto"/>
          <w:sz w:val="26"/>
          <w:szCs w:val="26"/>
        </w:rPr>
        <w:t>Financial Security</w:t>
      </w:r>
      <w:r w:rsidR="002D5AFC">
        <w:rPr>
          <w:b/>
          <w:bCs/>
          <w:color w:val="auto"/>
          <w:sz w:val="26"/>
          <w:szCs w:val="26"/>
        </w:rPr>
        <w:t xml:space="preserve"> Requirements</w:t>
      </w:r>
    </w:p>
    <w:p w14:paraId="63090AB9" w14:textId="324FA266" w:rsidR="00BB5BD2" w:rsidRPr="008601E6" w:rsidRDefault="002D5AFC" w:rsidP="006769E0">
      <w:pPr>
        <w:tabs>
          <w:tab w:val="left" w:pos="-720"/>
        </w:tabs>
        <w:suppressAutoHyphens/>
        <w:spacing w:line="360" w:lineRule="auto"/>
        <w:rPr>
          <w:color w:val="auto"/>
          <w:sz w:val="26"/>
          <w:szCs w:val="26"/>
        </w:rPr>
      </w:pPr>
      <w:r w:rsidRPr="009A7598">
        <w:rPr>
          <w:color w:val="auto"/>
          <w:sz w:val="26"/>
          <w:szCs w:val="26"/>
        </w:rPr>
        <w:tab/>
      </w:r>
      <w:r w:rsidR="003525D1" w:rsidRPr="008601E6">
        <w:rPr>
          <w:color w:val="auto"/>
          <w:sz w:val="26"/>
          <w:szCs w:val="26"/>
        </w:rPr>
        <w:t>Energy Analysis Group</w:t>
      </w:r>
      <w:r w:rsidR="00BB5BD2" w:rsidRPr="008601E6">
        <w:rPr>
          <w:color w:val="auto"/>
          <w:sz w:val="26"/>
          <w:szCs w:val="26"/>
        </w:rPr>
        <w:t xml:space="preserve"> did not provide a $250,000 bond as required; however, it did provide a bond in the amount of $10,000 and requests that the Commission reduce its security requirement from $250,000 to $10,000.  In support of this request, </w:t>
      </w:r>
      <w:r w:rsidR="003525D1" w:rsidRPr="008601E6">
        <w:rPr>
          <w:color w:val="auto"/>
          <w:sz w:val="26"/>
          <w:szCs w:val="26"/>
        </w:rPr>
        <w:t>Energy Analysis Group</w:t>
      </w:r>
      <w:r w:rsidR="00BB5BD2" w:rsidRPr="008601E6">
        <w:rPr>
          <w:color w:val="auto"/>
          <w:sz w:val="26"/>
          <w:szCs w:val="26"/>
        </w:rPr>
        <w:t xml:space="preserve"> explains that it will not be collecting any gross receipts from its customers, paying customer </w:t>
      </w:r>
      <w:r w:rsidR="00DA0155" w:rsidRPr="008601E6">
        <w:rPr>
          <w:color w:val="auto"/>
          <w:sz w:val="26"/>
          <w:szCs w:val="26"/>
        </w:rPr>
        <w:t>bills,</w:t>
      </w:r>
      <w:r w:rsidR="00BB5BD2" w:rsidRPr="008601E6">
        <w:rPr>
          <w:color w:val="auto"/>
          <w:sz w:val="26"/>
          <w:szCs w:val="26"/>
        </w:rPr>
        <w:t xml:space="preserve"> or taking title to electricity.  Its services include analyzing client electricity loads and negotiating the purchase of electricity for its clients.</w:t>
      </w:r>
    </w:p>
    <w:p w14:paraId="6CED527E" w14:textId="77777777" w:rsidR="00BB5BD2" w:rsidRPr="008601E6" w:rsidRDefault="00BB5BD2" w:rsidP="00BB5BD2">
      <w:pPr>
        <w:tabs>
          <w:tab w:val="left" w:pos="0"/>
        </w:tabs>
        <w:suppressAutoHyphens/>
        <w:spacing w:line="360" w:lineRule="auto"/>
        <w:rPr>
          <w:color w:val="auto"/>
          <w:sz w:val="26"/>
          <w:szCs w:val="26"/>
        </w:rPr>
      </w:pPr>
    </w:p>
    <w:p w14:paraId="67828C34" w14:textId="49F875D9" w:rsidR="00BB5BD2" w:rsidRDefault="00BB5BD2" w:rsidP="00BB5BD2">
      <w:pPr>
        <w:pStyle w:val="BodyText"/>
        <w:spacing w:line="360" w:lineRule="auto"/>
        <w:rPr>
          <w:color w:val="auto"/>
          <w:szCs w:val="26"/>
        </w:rPr>
      </w:pPr>
      <w:r w:rsidRPr="008601E6">
        <w:rPr>
          <w:color w:val="auto"/>
          <w:szCs w:val="26"/>
        </w:rPr>
        <w:tab/>
        <w:t xml:space="preserve">The Commission </w:t>
      </w:r>
      <w:r w:rsidR="00BF0960" w:rsidRPr="008601E6">
        <w:rPr>
          <w:color w:val="auto"/>
          <w:szCs w:val="26"/>
        </w:rPr>
        <w:t xml:space="preserve">finds </w:t>
      </w:r>
      <w:r w:rsidRPr="008601E6">
        <w:rPr>
          <w:color w:val="auto"/>
          <w:szCs w:val="26"/>
        </w:rPr>
        <w:t xml:space="preserve">that the reasoning on which </w:t>
      </w:r>
      <w:r w:rsidR="003525D1" w:rsidRPr="008601E6">
        <w:rPr>
          <w:color w:val="auto"/>
          <w:szCs w:val="26"/>
        </w:rPr>
        <w:t>Energy Analysis Group</w:t>
      </w:r>
      <w:r w:rsidRPr="008601E6">
        <w:rPr>
          <w:color w:val="auto"/>
          <w:szCs w:val="26"/>
        </w:rPr>
        <w:t xml:space="preserve"> bases</w:t>
      </w:r>
      <w:r w:rsidRPr="00267FA7">
        <w:rPr>
          <w:color w:val="auto"/>
          <w:szCs w:val="26"/>
        </w:rPr>
        <w:t xml:space="preserve"> its request for a bond reduction from $250,000 to $10,000 is similar to that offered by the other EGSs that have successfully petitioned the Commission for a bonding level of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 xml:space="preserve">In the case of Premier, the company explained that it requested an EGS license to </w:t>
      </w:r>
      <w:r w:rsidRPr="00267FA7">
        <w:rPr>
          <w:color w:val="auto"/>
          <w:szCs w:val="26"/>
        </w:rPr>
        <w:lastRenderedPageBreak/>
        <w:t>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16499E67" w14:textId="77777777" w:rsidR="00BB5BD2" w:rsidRDefault="00BB5BD2" w:rsidP="00BB5BD2">
      <w:pPr>
        <w:pStyle w:val="BodyText"/>
        <w:spacing w:line="360" w:lineRule="auto"/>
        <w:ind w:firstLine="1440"/>
        <w:rPr>
          <w:color w:val="auto"/>
          <w:szCs w:val="26"/>
        </w:rPr>
      </w:pPr>
    </w:p>
    <w:p w14:paraId="214EA465" w14:textId="6B8A2A91" w:rsidR="00BB5BD2" w:rsidRDefault="00BB5BD2" w:rsidP="00BB5BD2">
      <w:pPr>
        <w:pStyle w:val="BodyText"/>
        <w:spacing w:line="360" w:lineRule="auto"/>
        <w:rPr>
          <w:color w:val="auto"/>
          <w:szCs w:val="26"/>
        </w:rPr>
      </w:pPr>
      <w:r>
        <w:rPr>
          <w:color w:val="auto"/>
          <w:szCs w:val="26"/>
        </w:rPr>
        <w:tab/>
      </w:r>
      <w:r w:rsidRPr="00267FA7">
        <w:rPr>
          <w:color w:val="auto"/>
          <w:szCs w:val="26"/>
        </w:rPr>
        <w:t xml:space="preserve">The Commission </w:t>
      </w:r>
      <w:r w:rsidR="00BF0960" w:rsidRPr="008601E6">
        <w:rPr>
          <w:color w:val="auto"/>
          <w:szCs w:val="26"/>
        </w:rPr>
        <w:t xml:space="preserve">finds </w:t>
      </w:r>
      <w:r w:rsidRPr="008601E6">
        <w:rPr>
          <w:color w:val="auto"/>
          <w:szCs w:val="26"/>
        </w:rPr>
        <w:t xml:space="preserve">that </w:t>
      </w:r>
      <w:r w:rsidR="003525D1" w:rsidRPr="008601E6">
        <w:rPr>
          <w:color w:val="auto"/>
          <w:szCs w:val="26"/>
        </w:rPr>
        <w:t>Energy Analysis Group</w:t>
      </w:r>
      <w:r w:rsidRPr="008601E6">
        <w:rPr>
          <w:color w:val="auto"/>
          <w:szCs w:val="26"/>
        </w:rPr>
        <w:t xml:space="preserve"> operates in a similar manner and therefore should be granted similar relief and be permitted to provide a bond or other approved security in the reduced amount of $10,000.  However, </w:t>
      </w:r>
      <w:r w:rsidR="003525D1" w:rsidRPr="008601E6">
        <w:rPr>
          <w:color w:val="auto"/>
          <w:szCs w:val="26"/>
        </w:rPr>
        <w:t>Energy Analysis Group</w:t>
      </w:r>
      <w:r w:rsidRPr="008601E6">
        <w:rPr>
          <w:color w:val="auto"/>
          <w:szCs w:val="26"/>
        </w:rPr>
        <w:t>’s bonding level is contingent upon the company’s business model as described in this Order.</w:t>
      </w:r>
      <w:r w:rsidRPr="008601E6">
        <w:rPr>
          <w:b/>
          <w:color w:val="auto"/>
          <w:szCs w:val="26"/>
        </w:rPr>
        <w:t xml:space="preserve">  </w:t>
      </w:r>
      <w:r w:rsidRPr="008601E6">
        <w:rPr>
          <w:color w:val="auto"/>
          <w:szCs w:val="26"/>
        </w:rPr>
        <w:t xml:space="preserve">If </w:t>
      </w:r>
      <w:r w:rsidR="003525D1" w:rsidRPr="008601E6">
        <w:rPr>
          <w:color w:val="auto"/>
          <w:szCs w:val="26"/>
        </w:rPr>
        <w:t>Energy Analysis Group</w:t>
      </w:r>
      <w:r w:rsidRPr="008601E6">
        <w:rPr>
          <w:color w:val="auto"/>
          <w:szCs w:val="26"/>
        </w:rPr>
        <w:t xml:space="preserve"> takes title to generation supply for its customers, and/or charges customers directly for that generation supply, a $10,000 level of bonding may not be appropriate.</w:t>
      </w:r>
      <w:r w:rsidRPr="008601E6">
        <w:rPr>
          <w:b/>
          <w:color w:val="auto"/>
          <w:szCs w:val="26"/>
        </w:rPr>
        <w:t xml:space="preserve">  </w:t>
      </w:r>
      <w:r w:rsidRPr="008601E6">
        <w:rPr>
          <w:color w:val="auto"/>
          <w:szCs w:val="26"/>
        </w:rPr>
        <w:t xml:space="preserve">Therefore, we will direct </w:t>
      </w:r>
      <w:r w:rsidR="003525D1" w:rsidRPr="008601E6">
        <w:rPr>
          <w:color w:val="auto"/>
          <w:szCs w:val="26"/>
        </w:rPr>
        <w:t>Energy Analysis Group</w:t>
      </w:r>
      <w:r w:rsidRPr="008601E6">
        <w:rPr>
          <w:color w:val="auto"/>
          <w:szCs w:val="26"/>
        </w:rPr>
        <w:t xml:space="preserve"> to notify the Commission 45</w:t>
      </w:r>
      <w:r w:rsidR="00EA0D82">
        <w:rPr>
          <w:color w:val="auto"/>
          <w:szCs w:val="26"/>
        </w:rPr>
        <w:t> </w:t>
      </w:r>
      <w:r w:rsidRPr="008601E6">
        <w:rPr>
          <w:color w:val="auto"/>
          <w:szCs w:val="26"/>
        </w:rPr>
        <w:t xml:space="preserve">days prior to a change in its business model, whereby </w:t>
      </w:r>
      <w:r w:rsidR="003525D1" w:rsidRPr="008601E6">
        <w:rPr>
          <w:color w:val="auto"/>
          <w:szCs w:val="26"/>
        </w:rPr>
        <w:t>Energy Analysis Group</w:t>
      </w:r>
      <w:r w:rsidRPr="008601E6">
        <w:rPr>
          <w:color w:val="auto"/>
          <w:szCs w:val="26"/>
        </w:rPr>
        <w:t xml:space="preserve"> takes title to generation supply and/or bills its customers directly for that generation supply.  This will provide the Commission with an opportunity to review and adjust </w:t>
      </w:r>
      <w:r w:rsidR="003525D1" w:rsidRPr="008601E6">
        <w:rPr>
          <w:color w:val="auto"/>
          <w:szCs w:val="26"/>
        </w:rPr>
        <w:t>Energy Analysis Group</w:t>
      </w:r>
      <w:r w:rsidRPr="008601E6">
        <w:rPr>
          <w:color w:val="auto"/>
          <w:szCs w:val="26"/>
        </w:rPr>
        <w:t xml:space="preserve">’s approved bonding level prior to </w:t>
      </w:r>
      <w:r w:rsidR="003525D1" w:rsidRPr="008601E6">
        <w:rPr>
          <w:color w:val="auto"/>
          <w:szCs w:val="26"/>
        </w:rPr>
        <w:t>Energy Analysis Group</w:t>
      </w:r>
      <w:r w:rsidRPr="008601E6">
        <w:rPr>
          <w:color w:val="auto"/>
          <w:szCs w:val="26"/>
        </w:rPr>
        <w:t xml:space="preserve"> implementing those changes.</w:t>
      </w:r>
      <w:r w:rsidR="001C0775">
        <w:rPr>
          <w:color w:val="auto"/>
          <w:szCs w:val="26"/>
        </w:rPr>
        <w:t xml:space="preserve">  </w:t>
      </w:r>
    </w:p>
    <w:p w14:paraId="53D0BE53" w14:textId="0A226127" w:rsidR="009F52E0" w:rsidRDefault="009F52E0" w:rsidP="00BB5BD2">
      <w:pPr>
        <w:pStyle w:val="BodyText"/>
        <w:spacing w:line="360" w:lineRule="auto"/>
        <w:rPr>
          <w:color w:val="auto"/>
          <w:szCs w:val="26"/>
        </w:rPr>
      </w:pPr>
    </w:p>
    <w:p w14:paraId="71B58AC6" w14:textId="2EB139F1" w:rsidR="009F52E0" w:rsidRPr="009F52E0" w:rsidRDefault="009F52E0" w:rsidP="009F52E0">
      <w:pPr>
        <w:pStyle w:val="BodyText"/>
        <w:spacing w:line="360" w:lineRule="auto"/>
        <w:rPr>
          <w:color w:val="auto"/>
          <w:szCs w:val="26"/>
        </w:rPr>
      </w:pPr>
      <w:r>
        <w:rPr>
          <w:color w:val="auto"/>
          <w:szCs w:val="26"/>
        </w:rPr>
        <w:tab/>
      </w:r>
      <w:r w:rsidRPr="009F52E0">
        <w:rPr>
          <w:color w:val="auto"/>
          <w:szCs w:val="26"/>
        </w:rPr>
        <w:t xml:space="preserve">It should be noted that, the licensee must comply with the Commission's regulations at 52 Pa. Code § 54.40(a) stating that an EGS license will not be issued or remain in force until the licensee furnishes a bond or other security approved by the Commission.  In addition, 52 Pa. Code §54.40(d) states that the maintenance of an EGS license is contingent on the licensee providing proof to the Commission that a bond or other approved security in the amount directed by the Commission has been obtained.   </w:t>
      </w:r>
    </w:p>
    <w:p w14:paraId="5C99CE5B" w14:textId="77777777" w:rsidR="009F52E0" w:rsidRPr="009F52E0" w:rsidRDefault="009F52E0" w:rsidP="009F52E0">
      <w:pPr>
        <w:pStyle w:val="BodyText"/>
        <w:spacing w:line="360" w:lineRule="auto"/>
        <w:rPr>
          <w:color w:val="auto"/>
          <w:szCs w:val="26"/>
        </w:rPr>
      </w:pPr>
    </w:p>
    <w:p w14:paraId="138E5FCA" w14:textId="77777777" w:rsidR="009F52E0" w:rsidRPr="009F52E0" w:rsidRDefault="009F52E0" w:rsidP="009F52E0">
      <w:pPr>
        <w:pStyle w:val="BodyText"/>
        <w:spacing w:line="360" w:lineRule="auto"/>
        <w:rPr>
          <w:color w:val="auto"/>
          <w:szCs w:val="26"/>
        </w:rPr>
      </w:pPr>
      <w:r w:rsidRPr="009F52E0">
        <w:rPr>
          <w:color w:val="auto"/>
          <w:szCs w:val="26"/>
        </w:rPr>
        <w:tab/>
        <w:t xml:space="preserve">Furthermore, each EGS must file an original bond, letter of credit, continuation certificate, amendment, or other approved financial instrument with Rosemary Chiavetta, Secretary, Pennsylvania Public Utility Commission, 400 North Street, Harrisburg, PA, 17120, at least 30-days prior to the EGS’s current financial security expiration date.  Each financial instrument must be an original document that displays a “wet” signature or digital </w:t>
      </w:r>
      <w:r w:rsidRPr="009F52E0">
        <w:rPr>
          <w:color w:val="auto"/>
          <w:szCs w:val="26"/>
        </w:rPr>
        <w:lastRenderedPageBreak/>
        <w:t xml:space="preserve">signature, preferably in blue ink, and displays a “raised seal” or original notary stamp.  The name of the principal on the original financial instrument must match exactly with the name that appears on the EGS’s license issued by the Commission. </w:t>
      </w:r>
      <w:r w:rsidRPr="009F52E0">
        <w:rPr>
          <w:color w:val="auto"/>
          <w:szCs w:val="26"/>
        </w:rPr>
        <w:tab/>
      </w:r>
      <w:r w:rsidRPr="009F52E0">
        <w:rPr>
          <w:color w:val="auto"/>
          <w:szCs w:val="26"/>
        </w:rPr>
        <w:tab/>
      </w:r>
    </w:p>
    <w:p w14:paraId="57FD7CFB" w14:textId="77777777" w:rsidR="009F52E0" w:rsidRPr="009F52E0" w:rsidRDefault="009F52E0" w:rsidP="009F52E0">
      <w:pPr>
        <w:pStyle w:val="BodyText"/>
        <w:spacing w:line="360" w:lineRule="auto"/>
        <w:rPr>
          <w:color w:val="auto"/>
          <w:szCs w:val="26"/>
        </w:rPr>
      </w:pPr>
    </w:p>
    <w:p w14:paraId="63F5D754" w14:textId="3B906CF8" w:rsidR="009F52E0" w:rsidRDefault="009F52E0" w:rsidP="009F52E0">
      <w:pPr>
        <w:pStyle w:val="BodyText"/>
        <w:spacing w:line="360" w:lineRule="auto"/>
        <w:rPr>
          <w:color w:val="auto"/>
          <w:szCs w:val="26"/>
        </w:rPr>
      </w:pPr>
      <w:r>
        <w:rPr>
          <w:color w:val="auto"/>
          <w:szCs w:val="26"/>
        </w:rPr>
        <w:tab/>
      </w:r>
      <w:r w:rsidRPr="009F52E0">
        <w:rPr>
          <w:color w:val="auto"/>
          <w:szCs w:val="26"/>
        </w:rPr>
        <w:t>We take this opportunity to remind the licensee that failure to file an approved financial instrument at least 30-days before the current financial security’s expiration date may cause Commission staff to initiate a formal proceeding that may lead to the following: cancellation of each company’s electric supplier license, removal of each company’s information from the Commission’s website, and notification to all electric distribution companies, in which each company is licensed to do business, of the cancellation of the license.</w:t>
      </w:r>
    </w:p>
    <w:p w14:paraId="12BA4327" w14:textId="77777777" w:rsidR="00BB5BD2" w:rsidRDefault="00BB5BD2" w:rsidP="00182F0D">
      <w:pPr>
        <w:tabs>
          <w:tab w:val="left" w:pos="0"/>
        </w:tabs>
        <w:suppressAutoHyphens/>
        <w:spacing w:line="360" w:lineRule="auto"/>
        <w:ind w:right="90"/>
        <w:rPr>
          <w:color w:val="auto"/>
          <w:spacing w:val="-3"/>
          <w:kern w:val="2"/>
          <w:sz w:val="26"/>
        </w:rPr>
      </w:pPr>
    </w:p>
    <w:p w14:paraId="2ED8490C" w14:textId="77777777" w:rsidR="00E71217" w:rsidRDefault="00E71217" w:rsidP="00E71217">
      <w:pPr>
        <w:pStyle w:val="BodyText2"/>
        <w:tabs>
          <w:tab w:val="clear" w:pos="0"/>
          <w:tab w:val="clear" w:pos="1440"/>
        </w:tabs>
        <w:rPr>
          <w:b/>
          <w:bCs/>
          <w:color w:val="auto"/>
          <w:spacing w:val="-3"/>
          <w:kern w:val="1"/>
          <w:szCs w:val="26"/>
        </w:rPr>
      </w:pPr>
      <w:r>
        <w:rPr>
          <w:b/>
          <w:bCs/>
          <w:color w:val="auto"/>
          <w:spacing w:val="-3"/>
          <w:kern w:val="1"/>
          <w:szCs w:val="26"/>
        </w:rPr>
        <w:t>Disposition</w:t>
      </w:r>
    </w:p>
    <w:p w14:paraId="5363FEFE" w14:textId="2E90E3A2" w:rsidR="00E71217" w:rsidRPr="00DA0155" w:rsidRDefault="00E71217" w:rsidP="00E71217">
      <w:pPr>
        <w:tabs>
          <w:tab w:val="left" w:pos="0"/>
        </w:tabs>
        <w:suppressAutoHyphens/>
        <w:spacing w:line="360" w:lineRule="auto"/>
        <w:rPr>
          <w:color w:val="auto"/>
          <w:sz w:val="26"/>
          <w:szCs w:val="26"/>
        </w:rPr>
      </w:pPr>
      <w:r w:rsidRPr="00805785">
        <w:rPr>
          <w:color w:val="auto"/>
          <w:sz w:val="26"/>
          <w:szCs w:val="26"/>
        </w:rPr>
        <w:tab/>
      </w:r>
      <w:r w:rsidR="003525D1" w:rsidRPr="008601E6">
        <w:rPr>
          <w:color w:val="auto"/>
          <w:sz w:val="26"/>
          <w:szCs w:val="26"/>
        </w:rPr>
        <w:t>Energy Analysis Group</w:t>
      </w:r>
      <w:r w:rsidRPr="00DA0155">
        <w:rPr>
          <w:color w:val="auto"/>
          <w:sz w:val="26"/>
          <w:szCs w:val="26"/>
        </w:rPr>
        <w:t xml:space="preserve"> has provided </w:t>
      </w:r>
      <w:r w:rsidRPr="00DA0155">
        <w:rPr>
          <w:color w:val="auto"/>
          <w:kern w:val="1"/>
          <w:sz w:val="26"/>
          <w:szCs w:val="26"/>
        </w:rPr>
        <w:t>proofs of publication in the Pennsylvania newspapers and proofs of service to the interested parties as required by the Commission.</w:t>
      </w:r>
      <w:r w:rsidR="000A19E1" w:rsidRPr="00DA0155">
        <w:rPr>
          <w:color w:val="auto"/>
          <w:sz w:val="26"/>
          <w:szCs w:val="26"/>
        </w:rPr>
        <w:t xml:space="preserve">  As of </w:t>
      </w:r>
      <w:r w:rsidR="008601E6">
        <w:rPr>
          <w:color w:val="auto"/>
          <w:sz w:val="26"/>
          <w:szCs w:val="26"/>
        </w:rPr>
        <w:t>February 15, 2022</w:t>
      </w:r>
      <w:r w:rsidR="000A19E1" w:rsidRPr="00DA0155">
        <w:rPr>
          <w:color w:val="auto"/>
          <w:sz w:val="26"/>
          <w:szCs w:val="26"/>
        </w:rPr>
        <w:t>, no protests have been filed.</w:t>
      </w:r>
    </w:p>
    <w:p w14:paraId="3E3A258C" w14:textId="77777777" w:rsidR="00E71217" w:rsidRPr="00DA0155" w:rsidRDefault="00E71217" w:rsidP="00E71217">
      <w:pPr>
        <w:tabs>
          <w:tab w:val="left" w:pos="0"/>
        </w:tabs>
        <w:suppressAutoHyphens/>
        <w:spacing w:line="360" w:lineRule="auto"/>
        <w:ind w:firstLine="1440"/>
        <w:rPr>
          <w:color w:val="auto"/>
          <w:sz w:val="26"/>
          <w:szCs w:val="26"/>
        </w:rPr>
      </w:pPr>
    </w:p>
    <w:p w14:paraId="57BF4C71" w14:textId="77777777" w:rsidR="00E71217" w:rsidRPr="00DA0155" w:rsidRDefault="00E71217" w:rsidP="00E71217">
      <w:pPr>
        <w:pStyle w:val="BodyText2"/>
        <w:tabs>
          <w:tab w:val="clear" w:pos="0"/>
          <w:tab w:val="clear" w:pos="1440"/>
        </w:tabs>
        <w:ind w:firstLine="720"/>
        <w:rPr>
          <w:color w:val="auto"/>
          <w:spacing w:val="-3"/>
          <w:kern w:val="1"/>
          <w:szCs w:val="26"/>
        </w:rPr>
      </w:pPr>
      <w:r w:rsidRPr="00DA0155">
        <w:rPr>
          <w:color w:val="auto"/>
          <w:spacing w:val="-3"/>
          <w:kern w:val="1"/>
          <w:szCs w:val="26"/>
        </w:rPr>
        <w:t>We find that the applicant:</w:t>
      </w:r>
    </w:p>
    <w:p w14:paraId="60E46A0F" w14:textId="77777777" w:rsidR="00E71217" w:rsidRPr="00BA16B1" w:rsidRDefault="00E71217" w:rsidP="00E71217">
      <w:pPr>
        <w:tabs>
          <w:tab w:val="left" w:pos="0"/>
        </w:tabs>
        <w:suppressAutoHyphens/>
        <w:spacing w:line="360" w:lineRule="auto"/>
        <w:jc w:val="both"/>
        <w:rPr>
          <w:color w:val="auto"/>
          <w:spacing w:val="-3"/>
          <w:kern w:val="1"/>
          <w:sz w:val="26"/>
          <w:szCs w:val="26"/>
        </w:rPr>
      </w:pPr>
    </w:p>
    <w:p w14:paraId="35C5A794" w14:textId="7BACF8D2" w:rsidR="00E71217" w:rsidRPr="00BA16B1" w:rsidRDefault="00E71217" w:rsidP="00E71217">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FD31AA">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7ABAA258" w14:textId="77777777" w:rsidR="00E71217" w:rsidRPr="00BA16B1" w:rsidRDefault="00E71217" w:rsidP="00E71217">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64F2F20B" w14:textId="4FC704CF" w:rsidR="00E71217" w:rsidRPr="00CE58EC" w:rsidRDefault="00E71217" w:rsidP="00E71217">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 xml:space="preserve">Has agreed to lawfully abide by all Commission regulations, </w:t>
      </w:r>
      <w:r w:rsidR="00DA0155" w:rsidRPr="00CE58EC">
        <w:rPr>
          <w:color w:val="auto"/>
          <w:spacing w:val="-3"/>
          <w:kern w:val="1"/>
          <w:sz w:val="26"/>
          <w:szCs w:val="26"/>
        </w:rPr>
        <w:t>procedures,</w:t>
      </w:r>
      <w:r w:rsidRPr="00CE58EC">
        <w:rPr>
          <w:color w:val="auto"/>
          <w:spacing w:val="-3"/>
          <w:kern w:val="1"/>
          <w:sz w:val="26"/>
          <w:szCs w:val="26"/>
        </w:rPr>
        <w:t xml:space="preserve"> and orders, including Emergency Orders, which may be issued verbally or in writing during any emergency situations that may unexpectedly develop from time to time in the course of doing business in Pennsylvania.</w:t>
      </w:r>
    </w:p>
    <w:p w14:paraId="573C755F" w14:textId="77777777" w:rsidR="00E71217" w:rsidRPr="00CE58EC" w:rsidRDefault="00E71217" w:rsidP="00E71217">
      <w:pPr>
        <w:pStyle w:val="ListParagraph"/>
        <w:rPr>
          <w:color w:val="auto"/>
          <w:spacing w:val="-3"/>
          <w:kern w:val="1"/>
          <w:sz w:val="26"/>
          <w:szCs w:val="26"/>
        </w:rPr>
      </w:pPr>
    </w:p>
    <w:p w14:paraId="456FB47F" w14:textId="4E89BCAA" w:rsidR="00E71217" w:rsidRPr="005D358A" w:rsidRDefault="00E71217" w:rsidP="00E71217">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lastRenderedPageBreak/>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1517AA3D" w14:textId="77777777" w:rsidR="005D358A" w:rsidRPr="00CE58EC" w:rsidRDefault="005D358A" w:rsidP="005C39A0">
      <w:pPr>
        <w:pStyle w:val="ListParagraph"/>
        <w:suppressAutoHyphens/>
        <w:spacing w:line="360" w:lineRule="auto"/>
        <w:ind w:left="1440"/>
        <w:rPr>
          <w:color w:val="auto"/>
          <w:spacing w:val="-3"/>
          <w:kern w:val="1"/>
          <w:sz w:val="26"/>
          <w:szCs w:val="26"/>
        </w:rPr>
      </w:pPr>
    </w:p>
    <w:p w14:paraId="2A4B8D75" w14:textId="5661666C" w:rsidR="005D358A" w:rsidRPr="005D358A" w:rsidRDefault="005D358A" w:rsidP="00372FC0">
      <w:pPr>
        <w:spacing w:line="360" w:lineRule="auto"/>
        <w:ind w:firstLine="720"/>
        <w:rPr>
          <w:color w:val="auto"/>
          <w:spacing w:val="-3"/>
          <w:kern w:val="1"/>
          <w:sz w:val="26"/>
          <w:szCs w:val="26"/>
        </w:rPr>
      </w:pPr>
      <w:r w:rsidRPr="005D358A">
        <w:rPr>
          <w:color w:val="auto"/>
          <w:spacing w:val="-3"/>
          <w:kern w:val="1"/>
          <w:sz w:val="26"/>
          <w:szCs w:val="26"/>
        </w:rPr>
        <w:t xml:space="preserve">Upon full consideration of all matters of record, we find that approval of this application is necessary and proper for the service, </w:t>
      </w:r>
      <w:r w:rsidR="00DA0155" w:rsidRPr="005D358A">
        <w:rPr>
          <w:color w:val="auto"/>
          <w:spacing w:val="-3"/>
          <w:kern w:val="1"/>
          <w:sz w:val="26"/>
          <w:szCs w:val="26"/>
        </w:rPr>
        <w:t>accommodation,</w:t>
      </w:r>
      <w:r w:rsidRPr="005D358A">
        <w:rPr>
          <w:color w:val="auto"/>
          <w:spacing w:val="-3"/>
          <w:kern w:val="1"/>
          <w:sz w:val="26"/>
          <w:szCs w:val="26"/>
        </w:rPr>
        <w:t xml:space="preserve"> and convenience of the public.</w:t>
      </w:r>
    </w:p>
    <w:p w14:paraId="65620F50" w14:textId="71C07645" w:rsidR="00BB5BD2" w:rsidRDefault="00BB5BD2" w:rsidP="00182F0D">
      <w:pPr>
        <w:tabs>
          <w:tab w:val="left" w:pos="0"/>
        </w:tabs>
        <w:suppressAutoHyphens/>
        <w:spacing w:line="360" w:lineRule="auto"/>
        <w:ind w:right="90"/>
        <w:rPr>
          <w:color w:val="auto"/>
          <w:spacing w:val="-3"/>
          <w:kern w:val="2"/>
          <w:sz w:val="26"/>
        </w:rPr>
      </w:pPr>
    </w:p>
    <w:p w14:paraId="587D436B" w14:textId="77777777" w:rsidR="00077505" w:rsidRDefault="00077505" w:rsidP="00077505">
      <w:pPr>
        <w:tabs>
          <w:tab w:val="left" w:pos="-720"/>
        </w:tabs>
        <w:suppressAutoHyphens/>
        <w:spacing w:line="360" w:lineRule="auto"/>
        <w:rPr>
          <w:color w:val="auto"/>
          <w:kern w:val="1"/>
          <w:sz w:val="26"/>
          <w:szCs w:val="26"/>
        </w:rPr>
      </w:pPr>
      <w:r>
        <w:rPr>
          <w:b/>
          <w:bCs/>
          <w:color w:val="auto"/>
          <w:kern w:val="1"/>
          <w:sz w:val="26"/>
          <w:szCs w:val="26"/>
        </w:rPr>
        <w:t>Regulatory Requirements</w:t>
      </w:r>
      <w:r w:rsidRPr="009E55DF">
        <w:rPr>
          <w:color w:val="auto"/>
          <w:kern w:val="1"/>
          <w:sz w:val="26"/>
          <w:szCs w:val="26"/>
        </w:rPr>
        <w:t xml:space="preserve">  </w:t>
      </w:r>
    </w:p>
    <w:p w14:paraId="58904AA5" w14:textId="701BBE60" w:rsidR="00077505" w:rsidRDefault="00077505" w:rsidP="00077505">
      <w:pPr>
        <w:tabs>
          <w:tab w:val="left" w:pos="-720"/>
        </w:tabs>
        <w:suppressAutoHyphens/>
        <w:spacing w:line="360" w:lineRule="auto"/>
        <w:rPr>
          <w:color w:val="auto"/>
          <w:spacing w:val="-3"/>
          <w:kern w:val="1"/>
          <w:sz w:val="26"/>
          <w:szCs w:val="26"/>
        </w:rPr>
      </w:pPr>
      <w:r>
        <w:rPr>
          <w:color w:val="auto"/>
          <w:spacing w:val="-3"/>
          <w:kern w:val="1"/>
          <w:sz w:val="26"/>
          <w:szCs w:val="26"/>
        </w:rPr>
        <w:tab/>
      </w:r>
      <w:r w:rsidRPr="008601E6">
        <w:rPr>
          <w:color w:val="auto"/>
          <w:spacing w:val="-3"/>
          <w:kern w:val="1"/>
          <w:sz w:val="26"/>
          <w:szCs w:val="26"/>
        </w:rPr>
        <w:t xml:space="preserve">As an electric generation supplier, </w:t>
      </w:r>
      <w:r w:rsidR="003525D1" w:rsidRPr="008601E6">
        <w:rPr>
          <w:color w:val="auto"/>
          <w:spacing w:val="-3"/>
          <w:kern w:val="1"/>
          <w:sz w:val="26"/>
          <w:szCs w:val="26"/>
        </w:rPr>
        <w:t>Energy Analysis Group</w:t>
      </w:r>
      <w:r w:rsidRPr="008601E6">
        <w:rPr>
          <w:color w:val="auto"/>
          <w:spacing w:val="-3"/>
          <w:kern w:val="1"/>
          <w:sz w:val="26"/>
          <w:szCs w:val="26"/>
        </w:rPr>
        <w:t xml:space="preserve">, is required to comply with all applicable provisions of the Public Utility Code, Commission regulations and Commission Orders.  </w:t>
      </w:r>
      <w:r w:rsidRPr="008601E6">
        <w:rPr>
          <w:i/>
          <w:iCs/>
          <w:color w:val="auto"/>
          <w:spacing w:val="-3"/>
          <w:kern w:val="1"/>
          <w:sz w:val="26"/>
          <w:szCs w:val="26"/>
        </w:rPr>
        <w:t>See</w:t>
      </w:r>
      <w:r w:rsidRPr="008601E6">
        <w:rPr>
          <w:color w:val="auto"/>
          <w:spacing w:val="-3"/>
          <w:kern w:val="1"/>
          <w:sz w:val="26"/>
          <w:szCs w:val="26"/>
        </w:rPr>
        <w:t xml:space="preserve"> 66 Pa. C.S. § 2809(</w:t>
      </w:r>
      <w:r>
        <w:rPr>
          <w:color w:val="auto"/>
          <w:spacing w:val="-3"/>
          <w:kern w:val="1"/>
          <w:sz w:val="26"/>
          <w:szCs w:val="26"/>
        </w:rPr>
        <w:t xml:space="preserve">e).  </w:t>
      </w:r>
      <w:bookmarkStart w:id="0" w:name="_Hlk65672690"/>
      <w:r>
        <w:rPr>
          <w:color w:val="auto"/>
          <w:spacing w:val="-3"/>
          <w:kern w:val="1"/>
          <w:sz w:val="26"/>
          <w:szCs w:val="26"/>
        </w:rPr>
        <w:t>We will not address or list all such provision</w:t>
      </w:r>
      <w:r w:rsidR="007170A7">
        <w:rPr>
          <w:color w:val="auto"/>
          <w:spacing w:val="-3"/>
          <w:kern w:val="1"/>
          <w:sz w:val="26"/>
          <w:szCs w:val="26"/>
        </w:rPr>
        <w:t>s</w:t>
      </w:r>
      <w:r>
        <w:rPr>
          <w:color w:val="auto"/>
          <w:spacing w:val="-3"/>
          <w:kern w:val="1"/>
          <w:sz w:val="26"/>
          <w:szCs w:val="26"/>
        </w:rPr>
        <w:t xml:space="preserve"> in this Order, but will, however, highlight a few of them in this section.</w:t>
      </w:r>
      <w:bookmarkEnd w:id="0"/>
    </w:p>
    <w:p w14:paraId="17247678" w14:textId="77777777" w:rsidR="000F4476" w:rsidRDefault="000F4476" w:rsidP="00077505">
      <w:pPr>
        <w:tabs>
          <w:tab w:val="left" w:pos="-720"/>
        </w:tabs>
        <w:suppressAutoHyphens/>
        <w:spacing w:line="360" w:lineRule="auto"/>
        <w:rPr>
          <w:color w:val="auto"/>
          <w:spacing w:val="-3"/>
          <w:kern w:val="1"/>
          <w:sz w:val="26"/>
          <w:szCs w:val="26"/>
        </w:rPr>
      </w:pPr>
    </w:p>
    <w:p w14:paraId="044F90CB" w14:textId="60F38721" w:rsidR="002675C0" w:rsidRDefault="007040E7" w:rsidP="002675C0">
      <w:pPr>
        <w:tabs>
          <w:tab w:val="left" w:pos="0"/>
        </w:tabs>
        <w:suppressAutoHyphens/>
        <w:spacing w:line="360" w:lineRule="auto"/>
        <w:ind w:right="90"/>
        <w:rPr>
          <w:color w:val="auto"/>
          <w:spacing w:val="-3"/>
          <w:kern w:val="2"/>
          <w:sz w:val="26"/>
        </w:rPr>
      </w:pPr>
      <w:r w:rsidRPr="009A7598">
        <w:rPr>
          <w:color w:val="auto"/>
          <w:spacing w:val="-3"/>
          <w:kern w:val="2"/>
          <w:sz w:val="26"/>
        </w:rPr>
        <w:tab/>
      </w:r>
      <w:r w:rsidR="00182F0D" w:rsidRPr="008601E6">
        <w:rPr>
          <w:color w:val="auto"/>
          <w:spacing w:val="-3"/>
          <w:kern w:val="2"/>
          <w:sz w:val="26"/>
        </w:rPr>
        <w:t xml:space="preserve">If </w:t>
      </w:r>
      <w:r w:rsidR="003525D1" w:rsidRPr="008601E6">
        <w:rPr>
          <w:color w:val="auto"/>
          <w:spacing w:val="-3"/>
          <w:kern w:val="2"/>
          <w:sz w:val="26"/>
        </w:rPr>
        <w:t>Energy Analysis Group</w:t>
      </w:r>
      <w:r w:rsidR="00182F0D" w:rsidRPr="008601E6">
        <w:rPr>
          <w:color w:val="auto"/>
          <w:spacing w:val="-3"/>
          <w:kern w:val="2"/>
          <w:sz w:val="26"/>
        </w:rPr>
        <w:t xml:space="preserve"> later proposes to serve</w:t>
      </w:r>
      <w:r w:rsidR="00182F0D">
        <w:rPr>
          <w:color w:val="auto"/>
          <w:spacing w:val="-3"/>
          <w:kern w:val="2"/>
          <w:sz w:val="26"/>
        </w:rPr>
        <w:t xml:space="preserve"> </w:t>
      </w:r>
      <w:r w:rsidR="00182F0D" w:rsidRPr="00BA16B1">
        <w:rPr>
          <w:color w:val="auto"/>
          <w:spacing w:val="-3"/>
          <w:kern w:val="2"/>
          <w:sz w:val="26"/>
        </w:rPr>
        <w:t>residential customers</w:t>
      </w:r>
      <w:r w:rsidR="00182F0D">
        <w:rPr>
          <w:color w:val="auto"/>
          <w:spacing w:val="-3"/>
          <w:kern w:val="2"/>
          <w:sz w:val="26"/>
        </w:rPr>
        <w:t>,</w:t>
      </w:r>
      <w:r w:rsidR="00182F0D" w:rsidRPr="00BA16B1">
        <w:rPr>
          <w:color w:val="auto"/>
          <w:spacing w:val="-3"/>
          <w:kern w:val="2"/>
          <w:sz w:val="26"/>
        </w:rPr>
        <w:t xml:space="preserve"> </w:t>
      </w:r>
      <w:r w:rsidR="00182F0D">
        <w:rPr>
          <w:color w:val="auto"/>
          <w:spacing w:val="-3"/>
          <w:kern w:val="2"/>
          <w:sz w:val="26"/>
        </w:rPr>
        <w:t>it is important to note that a licensee must</w:t>
      </w:r>
      <w:r w:rsidR="00182F0D" w:rsidRPr="00BA16B1">
        <w:rPr>
          <w:color w:val="auto"/>
          <w:spacing w:val="-3"/>
          <w:kern w:val="2"/>
          <w:sz w:val="26"/>
        </w:rPr>
        <w:t xml:space="preserve"> comply with, and be governed by, applicable Chapter</w:t>
      </w:r>
      <w:r w:rsidR="003C5DD4">
        <w:rPr>
          <w:color w:val="auto"/>
          <w:spacing w:val="-3"/>
          <w:kern w:val="2"/>
          <w:sz w:val="26"/>
        </w:rPr>
        <w:t> </w:t>
      </w:r>
      <w:r w:rsidR="00182F0D" w:rsidRPr="00BA16B1">
        <w:rPr>
          <w:color w:val="auto"/>
          <w:spacing w:val="-3"/>
          <w:kern w:val="2"/>
          <w:sz w:val="26"/>
        </w:rPr>
        <w:t xml:space="preserve">56 residential service regulations as set forth in the Commission Order </w:t>
      </w:r>
      <w:r w:rsidR="00182F0D" w:rsidRPr="00BA16B1">
        <w:rPr>
          <w:i/>
          <w:color w:val="auto"/>
          <w:spacing w:val="-3"/>
          <w:kern w:val="2"/>
          <w:sz w:val="26"/>
        </w:rPr>
        <w:t>Guidelines for Maintaining Customer Service at the Same Level of Quality Pursuant to 66 Pa. C.S.</w:t>
      </w:r>
      <w:r w:rsidR="00F311B0">
        <w:rPr>
          <w:i/>
          <w:color w:val="auto"/>
          <w:spacing w:val="-3"/>
          <w:kern w:val="2"/>
          <w:sz w:val="26"/>
        </w:rPr>
        <w:t> </w:t>
      </w:r>
      <w:r w:rsidR="00182F0D" w:rsidRPr="00BA16B1">
        <w:rPr>
          <w:i/>
          <w:color w:val="auto"/>
          <w:spacing w:val="-3"/>
          <w:kern w:val="2"/>
          <w:sz w:val="26"/>
        </w:rPr>
        <w:t>§</w:t>
      </w:r>
      <w:r w:rsidR="00182F0D">
        <w:rPr>
          <w:i/>
          <w:color w:val="auto"/>
          <w:spacing w:val="-3"/>
          <w:kern w:val="2"/>
          <w:sz w:val="26"/>
        </w:rPr>
        <w:t> </w:t>
      </w:r>
      <w:r w:rsidR="00182F0D" w:rsidRPr="00BA16B1">
        <w:rPr>
          <w:i/>
          <w:color w:val="auto"/>
          <w:spacing w:val="-3"/>
          <w:kern w:val="2"/>
          <w:sz w:val="26"/>
        </w:rPr>
        <w:t xml:space="preserve">2807(d), </w:t>
      </w:r>
      <w:r w:rsidR="00182F0D">
        <w:rPr>
          <w:i/>
          <w:color w:val="auto"/>
          <w:spacing w:val="-3"/>
          <w:kern w:val="2"/>
          <w:sz w:val="26"/>
        </w:rPr>
        <w:t xml:space="preserve">and </w:t>
      </w:r>
      <w:r w:rsidR="00182F0D" w:rsidRPr="00BA16B1">
        <w:rPr>
          <w:i/>
          <w:color w:val="auto"/>
          <w:spacing w:val="-3"/>
          <w:kern w:val="2"/>
          <w:sz w:val="26"/>
        </w:rPr>
        <w:t>Assuring Conformance with 52 Pa. Code Chapter 56 Pursuant to 66</w:t>
      </w:r>
      <w:r w:rsidR="00B87127">
        <w:rPr>
          <w:i/>
          <w:color w:val="auto"/>
          <w:spacing w:val="-3"/>
          <w:kern w:val="2"/>
          <w:sz w:val="26"/>
        </w:rPr>
        <w:t> </w:t>
      </w:r>
      <w:r w:rsidR="00182F0D" w:rsidRPr="00BA16B1">
        <w:rPr>
          <w:i/>
          <w:color w:val="auto"/>
          <w:spacing w:val="-3"/>
          <w:kern w:val="2"/>
          <w:sz w:val="26"/>
        </w:rPr>
        <w:t>Pa. C</w:t>
      </w:r>
      <w:r w:rsidR="00182F0D">
        <w:rPr>
          <w:i/>
          <w:color w:val="auto"/>
          <w:spacing w:val="-3"/>
          <w:kern w:val="2"/>
          <w:sz w:val="26"/>
        </w:rPr>
        <w:t xml:space="preserve">.S. </w:t>
      </w:r>
      <w:r w:rsidR="00182F0D" w:rsidRPr="00BA16B1">
        <w:rPr>
          <w:i/>
          <w:color w:val="auto"/>
          <w:spacing w:val="-3"/>
          <w:kern w:val="2"/>
          <w:sz w:val="26"/>
        </w:rPr>
        <w:t>§</w:t>
      </w:r>
      <w:r w:rsidR="00182F0D">
        <w:rPr>
          <w:i/>
          <w:color w:val="auto"/>
          <w:spacing w:val="-3"/>
          <w:kern w:val="2"/>
          <w:sz w:val="26"/>
        </w:rPr>
        <w:t> </w:t>
      </w:r>
      <w:r w:rsidR="00182F0D" w:rsidRPr="00BA16B1">
        <w:rPr>
          <w:i/>
          <w:color w:val="auto"/>
          <w:spacing w:val="-3"/>
          <w:kern w:val="2"/>
          <w:sz w:val="26"/>
        </w:rPr>
        <w:t>2809(e</w:t>
      </w:r>
      <w:r w:rsidR="00182F0D">
        <w:rPr>
          <w:i/>
          <w:color w:val="auto"/>
          <w:spacing w:val="-3"/>
          <w:kern w:val="2"/>
          <w:sz w:val="26"/>
        </w:rPr>
        <w:t>) and (f)</w:t>
      </w:r>
      <w:r w:rsidR="00182F0D">
        <w:rPr>
          <w:color w:val="auto"/>
          <w:spacing w:val="-3"/>
          <w:kern w:val="2"/>
          <w:sz w:val="26"/>
        </w:rPr>
        <w:t xml:space="preserve">, at Docket No. </w:t>
      </w:r>
      <w:r w:rsidR="00182F0D" w:rsidRPr="00D15984">
        <w:rPr>
          <w:color w:val="auto"/>
          <w:spacing w:val="-3"/>
          <w:kern w:val="2"/>
          <w:sz w:val="26"/>
        </w:rPr>
        <w:t>M</w:t>
      </w:r>
      <w:r w:rsidR="00182F0D">
        <w:rPr>
          <w:color w:val="auto"/>
          <w:spacing w:val="-3"/>
          <w:kern w:val="2"/>
          <w:sz w:val="26"/>
        </w:rPr>
        <w:noBreakHyphen/>
      </w:r>
      <w:r w:rsidR="00182F0D" w:rsidRPr="00D15984">
        <w:rPr>
          <w:color w:val="auto"/>
          <w:spacing w:val="-3"/>
          <w:kern w:val="2"/>
          <w:sz w:val="26"/>
        </w:rPr>
        <w:t>00960890 F0011</w:t>
      </w:r>
      <w:r w:rsidR="00182F0D">
        <w:rPr>
          <w:color w:val="auto"/>
          <w:spacing w:val="-3"/>
          <w:kern w:val="2"/>
          <w:sz w:val="26"/>
        </w:rPr>
        <w:t>, Order entered July 11, 1997</w:t>
      </w:r>
      <w:r w:rsidR="00182F0D" w:rsidRPr="00BA16B1">
        <w:rPr>
          <w:i/>
          <w:color w:val="auto"/>
          <w:spacing w:val="-3"/>
          <w:kern w:val="2"/>
          <w:sz w:val="26"/>
        </w:rPr>
        <w:t>.</w:t>
      </w:r>
      <w:r w:rsidR="00182F0D" w:rsidRPr="00BA16B1">
        <w:rPr>
          <w:color w:val="auto"/>
          <w:spacing w:val="-3"/>
          <w:kern w:val="2"/>
          <w:sz w:val="26"/>
        </w:rPr>
        <w:t xml:space="preserve">  Thus, we deem it appropriate to reiterate certain items with respect to Chapter 56 of our regulations.  Chapter 56 (52 Pa Code Chapter 56) is applicable to residential accounts.  An </w:t>
      </w:r>
      <w:r w:rsidR="006A298A">
        <w:rPr>
          <w:color w:val="auto"/>
          <w:spacing w:val="-3"/>
          <w:kern w:val="2"/>
          <w:sz w:val="26"/>
        </w:rPr>
        <w:t>EGS</w:t>
      </w:r>
      <w:r w:rsidR="00182F0D"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00182F0D" w:rsidRPr="00BA16B1">
        <w:rPr>
          <w:color w:val="auto"/>
          <w:spacing w:val="-3"/>
          <w:kern w:val="2"/>
          <w:sz w:val="26"/>
        </w:rPr>
        <w:t xml:space="preserve">s.  An </w:t>
      </w:r>
      <w:r w:rsidR="006A298A">
        <w:rPr>
          <w:color w:val="auto"/>
          <w:spacing w:val="-3"/>
          <w:kern w:val="2"/>
          <w:sz w:val="26"/>
        </w:rPr>
        <w:t>EGS</w:t>
      </w:r>
      <w:r w:rsidR="00182F0D"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sidR="00182F0D">
        <w:rPr>
          <w:color w:val="auto"/>
          <w:spacing w:val="-3"/>
          <w:kern w:val="2"/>
          <w:sz w:val="26"/>
        </w:rPr>
        <w:t>return</w:t>
      </w:r>
      <w:r w:rsidR="00182F0D" w:rsidRPr="00BA16B1">
        <w:rPr>
          <w:color w:val="auto"/>
          <w:spacing w:val="-3"/>
          <w:kern w:val="2"/>
          <w:sz w:val="26"/>
        </w:rPr>
        <w:t xml:space="preserve"> to utility service at </w:t>
      </w:r>
      <w:r w:rsidR="00182F0D">
        <w:rPr>
          <w:color w:val="auto"/>
          <w:spacing w:val="-3"/>
          <w:kern w:val="2"/>
          <w:sz w:val="26"/>
        </w:rPr>
        <w:t>default service</w:t>
      </w:r>
      <w:r w:rsidR="00182F0D" w:rsidRPr="00BA16B1">
        <w:rPr>
          <w:color w:val="auto"/>
          <w:spacing w:val="-3"/>
          <w:kern w:val="2"/>
          <w:sz w:val="26"/>
        </w:rPr>
        <w:t xml:space="preserve"> rates in accordance with the utility's obligations under Section 2807(e), 66</w:t>
      </w:r>
      <w:r w:rsidR="00946FD3">
        <w:rPr>
          <w:color w:val="auto"/>
          <w:spacing w:val="-3"/>
          <w:kern w:val="2"/>
          <w:sz w:val="26"/>
        </w:rPr>
        <w:t> </w:t>
      </w:r>
      <w:r w:rsidR="00182F0D" w:rsidRPr="00BA16B1">
        <w:rPr>
          <w:color w:val="auto"/>
          <w:spacing w:val="-3"/>
          <w:kern w:val="2"/>
          <w:sz w:val="26"/>
        </w:rPr>
        <w:t>Pa. C.S. §</w:t>
      </w:r>
      <w:r w:rsidR="00182F0D">
        <w:rPr>
          <w:color w:val="auto"/>
          <w:spacing w:val="-3"/>
          <w:kern w:val="2"/>
          <w:sz w:val="26"/>
        </w:rPr>
        <w:t> </w:t>
      </w:r>
      <w:r w:rsidR="00182F0D" w:rsidRPr="00BA16B1">
        <w:rPr>
          <w:color w:val="auto"/>
          <w:spacing w:val="-3"/>
          <w:kern w:val="2"/>
          <w:sz w:val="26"/>
        </w:rPr>
        <w:t xml:space="preserve">2807(e).  The customer would only be disconnected from the electricity grid </w:t>
      </w:r>
      <w:r w:rsidR="00182F0D" w:rsidRPr="00BA16B1">
        <w:rPr>
          <w:color w:val="auto"/>
          <w:spacing w:val="-3"/>
          <w:kern w:val="2"/>
          <w:sz w:val="26"/>
        </w:rPr>
        <w:lastRenderedPageBreak/>
        <w:t xml:space="preserve">pursuant to appropriate regulations if the customer failed to meet its obligations to the utility or the </w:t>
      </w:r>
      <w:r w:rsidR="006A298A">
        <w:rPr>
          <w:color w:val="auto"/>
          <w:spacing w:val="-3"/>
          <w:kern w:val="2"/>
          <w:sz w:val="26"/>
        </w:rPr>
        <w:t>EGS</w:t>
      </w:r>
      <w:r w:rsidR="00182F0D" w:rsidRPr="00BA16B1">
        <w:rPr>
          <w:color w:val="auto"/>
          <w:spacing w:val="-3"/>
          <w:kern w:val="2"/>
          <w:sz w:val="26"/>
        </w:rPr>
        <w:t xml:space="preserve"> that has been designated by the Commission as the provider of last resort.</w:t>
      </w:r>
    </w:p>
    <w:p w14:paraId="37AB146E" w14:textId="77777777" w:rsidR="002675C0" w:rsidRDefault="002675C0" w:rsidP="002675C0">
      <w:pPr>
        <w:tabs>
          <w:tab w:val="left" w:pos="0"/>
        </w:tabs>
        <w:suppressAutoHyphens/>
        <w:spacing w:line="360" w:lineRule="auto"/>
        <w:ind w:right="90"/>
        <w:rPr>
          <w:color w:val="auto"/>
          <w:spacing w:val="-3"/>
          <w:kern w:val="2"/>
          <w:sz w:val="26"/>
        </w:rPr>
      </w:pPr>
      <w:r>
        <w:rPr>
          <w:color w:val="auto"/>
          <w:spacing w:val="-3"/>
          <w:kern w:val="2"/>
          <w:sz w:val="26"/>
        </w:rPr>
        <w:tab/>
      </w:r>
    </w:p>
    <w:p w14:paraId="1444250B" w14:textId="1BFB39D6" w:rsidR="007170A7" w:rsidRPr="002675C0" w:rsidRDefault="002675C0" w:rsidP="002675C0">
      <w:pPr>
        <w:tabs>
          <w:tab w:val="left" w:pos="0"/>
        </w:tabs>
        <w:suppressAutoHyphens/>
        <w:spacing w:line="360" w:lineRule="auto"/>
        <w:ind w:right="90"/>
        <w:rPr>
          <w:color w:val="auto"/>
          <w:spacing w:val="-3"/>
          <w:kern w:val="2"/>
          <w:sz w:val="26"/>
        </w:rPr>
      </w:pPr>
      <w:r>
        <w:rPr>
          <w:color w:val="auto"/>
          <w:spacing w:val="-3"/>
          <w:kern w:val="2"/>
          <w:sz w:val="26"/>
        </w:rPr>
        <w:tab/>
      </w:r>
      <w:r w:rsidR="00182F0D" w:rsidRPr="00BA16B1">
        <w:rPr>
          <w:color w:val="auto"/>
          <w:spacing w:val="-3"/>
          <w:kern w:val="1"/>
          <w:sz w:val="26"/>
          <w:szCs w:val="26"/>
        </w:rPr>
        <w:t xml:space="preserve">Additionally, we </w:t>
      </w:r>
      <w:r w:rsidR="00182F0D">
        <w:rPr>
          <w:color w:val="auto"/>
          <w:spacing w:val="-3"/>
          <w:kern w:val="1"/>
          <w:sz w:val="26"/>
          <w:szCs w:val="26"/>
        </w:rPr>
        <w:t xml:space="preserve">specifically note that the </w:t>
      </w:r>
      <w:r w:rsidR="00182F0D" w:rsidRPr="00BA16B1">
        <w:rPr>
          <w:color w:val="auto"/>
          <w:spacing w:val="-3"/>
          <w:kern w:val="1"/>
          <w:sz w:val="26"/>
          <w:szCs w:val="26"/>
        </w:rPr>
        <w:t xml:space="preserve">licensee </w:t>
      </w:r>
      <w:r w:rsidR="00182F0D">
        <w:rPr>
          <w:color w:val="auto"/>
          <w:spacing w:val="-3"/>
          <w:kern w:val="1"/>
          <w:sz w:val="26"/>
          <w:szCs w:val="26"/>
        </w:rPr>
        <w:t xml:space="preserve">must comply with, and ensure that its employees, agents, </w:t>
      </w:r>
      <w:r w:rsidR="00DA0155">
        <w:rPr>
          <w:color w:val="auto"/>
          <w:spacing w:val="-3"/>
          <w:kern w:val="1"/>
          <w:sz w:val="26"/>
          <w:szCs w:val="26"/>
        </w:rPr>
        <w:t>representatives,</w:t>
      </w:r>
      <w:r w:rsidR="00182F0D">
        <w:rPr>
          <w:color w:val="auto"/>
          <w:spacing w:val="-3"/>
          <w:kern w:val="1"/>
          <w:sz w:val="26"/>
          <w:szCs w:val="26"/>
        </w:rPr>
        <w:t xml:space="preserve"> and independent contractors comply with the standards of conduct and disclosure for licensees set out in Commission regulations at 52</w:t>
      </w:r>
      <w:r w:rsidR="00346A19">
        <w:rPr>
          <w:color w:val="auto"/>
          <w:spacing w:val="-3"/>
          <w:kern w:val="1"/>
          <w:sz w:val="26"/>
          <w:szCs w:val="26"/>
        </w:rPr>
        <w:t> </w:t>
      </w:r>
      <w:r w:rsidR="00182F0D">
        <w:rPr>
          <w:color w:val="auto"/>
          <w:spacing w:val="-3"/>
          <w:kern w:val="1"/>
          <w:sz w:val="26"/>
          <w:szCs w:val="26"/>
        </w:rPr>
        <w:t xml:space="preserve">Pa. Code § 54.43 that were enacted to protect consumers of this Commonwealth.  These standards include, </w:t>
      </w:r>
      <w:r w:rsidR="00182F0D">
        <w:rPr>
          <w:i/>
          <w:color w:val="auto"/>
          <w:spacing w:val="-3"/>
          <w:kern w:val="1"/>
          <w:sz w:val="26"/>
          <w:szCs w:val="26"/>
        </w:rPr>
        <w:t xml:space="preserve">inter alia, </w:t>
      </w:r>
      <w:r w:rsidR="00182F0D">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182F0D" w:rsidRPr="00073F6C">
        <w:rPr>
          <w:color w:val="auto"/>
          <w:spacing w:val="-3"/>
          <w:kern w:val="1"/>
          <w:sz w:val="26"/>
          <w:szCs w:val="26"/>
        </w:rPr>
        <w:t>We further note that the licensee and its agents must comply with the Commission’s sales and marketing regulations at 52 Pa. Code §</w:t>
      </w:r>
      <w:r w:rsidR="00182F0D">
        <w:rPr>
          <w:color w:val="auto"/>
          <w:spacing w:val="-3"/>
          <w:kern w:val="1"/>
          <w:sz w:val="26"/>
          <w:szCs w:val="26"/>
        </w:rPr>
        <w:t> </w:t>
      </w:r>
      <w:r w:rsidR="00182F0D"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182F0D">
        <w:rPr>
          <w:color w:val="auto"/>
          <w:spacing w:val="-3"/>
          <w:kern w:val="1"/>
          <w:sz w:val="26"/>
          <w:szCs w:val="26"/>
        </w:rPr>
        <w:t xml:space="preserve">  </w:t>
      </w:r>
    </w:p>
    <w:p w14:paraId="65ACD970" w14:textId="77777777" w:rsidR="002675C0" w:rsidRDefault="002675C0" w:rsidP="00182F0D">
      <w:pPr>
        <w:tabs>
          <w:tab w:val="left" w:pos="0"/>
        </w:tabs>
        <w:suppressAutoHyphens/>
        <w:spacing w:line="360" w:lineRule="auto"/>
        <w:rPr>
          <w:color w:val="auto"/>
          <w:spacing w:val="-3"/>
          <w:kern w:val="1"/>
          <w:sz w:val="26"/>
          <w:szCs w:val="26"/>
        </w:rPr>
      </w:pPr>
    </w:p>
    <w:p w14:paraId="1BC6E3C5" w14:textId="14F17C44" w:rsidR="00182F0D" w:rsidRDefault="00182F0D" w:rsidP="007170A7">
      <w:pPr>
        <w:tabs>
          <w:tab w:val="left" w:pos="0"/>
        </w:tabs>
        <w:suppressAutoHyphens/>
        <w:spacing w:line="360" w:lineRule="auto"/>
        <w:ind w:firstLine="720"/>
        <w:rPr>
          <w:color w:val="auto"/>
          <w:spacing w:val="-3"/>
          <w:kern w:val="1"/>
          <w:sz w:val="26"/>
          <w:szCs w:val="26"/>
        </w:rPr>
      </w:pPr>
      <w:r>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xml:space="preserve">, </w:t>
      </w:r>
      <w:r w:rsidR="00DA0155">
        <w:rPr>
          <w:color w:val="auto"/>
          <w:spacing w:val="-3"/>
          <w:kern w:val="1"/>
          <w:sz w:val="26"/>
          <w:szCs w:val="26"/>
        </w:rPr>
        <w:t>agents,</w:t>
      </w:r>
      <w:r>
        <w:rPr>
          <w:color w:val="auto"/>
          <w:spacing w:val="-3"/>
          <w:kern w:val="1"/>
          <w:sz w:val="26"/>
          <w:szCs w:val="26"/>
        </w:rPr>
        <w:t xml:space="preserve">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58E731E7" w14:textId="77777777" w:rsidR="00323C1E" w:rsidRDefault="00323C1E" w:rsidP="007170A7">
      <w:pPr>
        <w:tabs>
          <w:tab w:val="left" w:pos="0"/>
        </w:tabs>
        <w:suppressAutoHyphens/>
        <w:spacing w:line="360" w:lineRule="auto"/>
        <w:ind w:firstLine="720"/>
        <w:rPr>
          <w:color w:val="auto"/>
          <w:spacing w:val="-3"/>
          <w:kern w:val="1"/>
          <w:sz w:val="26"/>
          <w:szCs w:val="26"/>
        </w:rPr>
      </w:pPr>
    </w:p>
    <w:p w14:paraId="28D85560" w14:textId="0FD60C6A" w:rsidR="00D13113" w:rsidRPr="008601E6" w:rsidRDefault="00323C1E" w:rsidP="007170A7">
      <w:pPr>
        <w:tabs>
          <w:tab w:val="left" w:pos="0"/>
        </w:tabs>
        <w:suppressAutoHyphens/>
        <w:spacing w:line="360" w:lineRule="auto"/>
        <w:ind w:firstLine="720"/>
        <w:rPr>
          <w:color w:val="auto"/>
          <w:spacing w:val="-3"/>
          <w:kern w:val="1"/>
          <w:sz w:val="26"/>
          <w:szCs w:val="26"/>
        </w:rPr>
      </w:pPr>
      <w:r w:rsidRPr="00323C1E">
        <w:rPr>
          <w:color w:val="auto"/>
          <w:spacing w:val="-3"/>
          <w:kern w:val="1"/>
          <w:sz w:val="26"/>
          <w:szCs w:val="26"/>
        </w:rPr>
        <w:t xml:space="preserve">Furthermore, </w:t>
      </w:r>
      <w:r w:rsidRPr="008601E6">
        <w:rPr>
          <w:color w:val="auto"/>
          <w:spacing w:val="-3"/>
          <w:kern w:val="1"/>
          <w:sz w:val="26"/>
          <w:szCs w:val="26"/>
        </w:rPr>
        <w:t xml:space="preserve">should </w:t>
      </w:r>
      <w:r w:rsidR="003525D1" w:rsidRPr="008601E6">
        <w:rPr>
          <w:color w:val="auto"/>
          <w:spacing w:val="-3"/>
          <w:kern w:val="1"/>
          <w:sz w:val="26"/>
          <w:szCs w:val="26"/>
        </w:rPr>
        <w:t>Energy Analysis Group</w:t>
      </w:r>
      <w:r w:rsidRPr="008601E6">
        <w:rPr>
          <w:color w:val="auto"/>
          <w:spacing w:val="-3"/>
          <w:kern w:val="1"/>
          <w:sz w:val="26"/>
          <w:szCs w:val="26"/>
        </w:rPr>
        <w:t xml:space="preserve"> employ</w:t>
      </w:r>
      <w:r w:rsidRPr="00323C1E">
        <w:rPr>
          <w:color w:val="auto"/>
          <w:spacing w:val="-3"/>
          <w:kern w:val="1"/>
          <w:sz w:val="26"/>
          <w:szCs w:val="26"/>
        </w:rPr>
        <w:t xml:space="preserve"> any independent consultants to arrange for the sale of its energy products to end-users, it must inform such independent consultants that they will be required to be licensed as an EGS if they arrange for the sale of </w:t>
      </w:r>
      <w:r w:rsidRPr="00323C1E">
        <w:rPr>
          <w:color w:val="auto"/>
          <w:spacing w:val="-3"/>
          <w:kern w:val="1"/>
          <w:sz w:val="26"/>
          <w:szCs w:val="26"/>
        </w:rPr>
        <w:lastRenderedPageBreak/>
        <w:t xml:space="preserve">energy products to end-users from another </w:t>
      </w:r>
      <w:r w:rsidRPr="008601E6">
        <w:rPr>
          <w:color w:val="auto"/>
          <w:spacing w:val="-3"/>
          <w:kern w:val="1"/>
          <w:sz w:val="26"/>
          <w:szCs w:val="26"/>
        </w:rPr>
        <w:t xml:space="preserve">supplier or suppliers in addition to </w:t>
      </w:r>
      <w:r w:rsidR="003525D1" w:rsidRPr="008601E6">
        <w:rPr>
          <w:color w:val="auto"/>
          <w:spacing w:val="-3"/>
          <w:kern w:val="1"/>
          <w:sz w:val="26"/>
          <w:szCs w:val="26"/>
        </w:rPr>
        <w:t>Energy Analysis Group</w:t>
      </w:r>
      <w:r w:rsidRPr="008601E6">
        <w:rPr>
          <w:color w:val="auto"/>
          <w:spacing w:val="-3"/>
          <w:kern w:val="1"/>
          <w:sz w:val="26"/>
          <w:szCs w:val="26"/>
        </w:rPr>
        <w:t>.</w:t>
      </w:r>
    </w:p>
    <w:p w14:paraId="12519D53" w14:textId="77777777" w:rsidR="00323C1E" w:rsidRPr="008601E6" w:rsidRDefault="00323C1E" w:rsidP="007170A7">
      <w:pPr>
        <w:tabs>
          <w:tab w:val="left" w:pos="0"/>
        </w:tabs>
        <w:suppressAutoHyphens/>
        <w:spacing w:line="360" w:lineRule="auto"/>
        <w:ind w:firstLine="720"/>
        <w:rPr>
          <w:color w:val="auto"/>
          <w:spacing w:val="-3"/>
          <w:kern w:val="1"/>
          <w:sz w:val="26"/>
          <w:szCs w:val="26"/>
        </w:rPr>
      </w:pPr>
    </w:p>
    <w:p w14:paraId="3196B268" w14:textId="05680114" w:rsidR="00D13113" w:rsidRPr="008601E6" w:rsidRDefault="00D13113" w:rsidP="00EB3366">
      <w:pPr>
        <w:tabs>
          <w:tab w:val="left" w:pos="0"/>
        </w:tabs>
        <w:suppressAutoHyphens/>
        <w:spacing w:line="360" w:lineRule="auto"/>
        <w:ind w:firstLine="720"/>
        <w:rPr>
          <w:color w:val="auto"/>
          <w:spacing w:val="-3"/>
          <w:kern w:val="1"/>
          <w:sz w:val="26"/>
          <w:szCs w:val="26"/>
        </w:rPr>
      </w:pPr>
      <w:r w:rsidRPr="008601E6">
        <w:rPr>
          <w:color w:val="auto"/>
          <w:sz w:val="26"/>
          <w:szCs w:val="26"/>
        </w:rPr>
        <w:t>Finally, in order to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ra-OCMO@pa.gov.</w:t>
      </w:r>
    </w:p>
    <w:p w14:paraId="2EE3C349" w14:textId="2D137B83" w:rsidR="00266DDF" w:rsidRPr="008601E6" w:rsidRDefault="00182F0D" w:rsidP="000E6918">
      <w:pPr>
        <w:tabs>
          <w:tab w:val="left" w:pos="0"/>
        </w:tabs>
        <w:suppressAutoHyphens/>
        <w:spacing w:line="360" w:lineRule="auto"/>
        <w:rPr>
          <w:color w:val="auto"/>
          <w:spacing w:val="-3"/>
          <w:kern w:val="2"/>
          <w:sz w:val="26"/>
        </w:rPr>
      </w:pPr>
      <w:r w:rsidRPr="008601E6">
        <w:rPr>
          <w:color w:val="auto"/>
          <w:spacing w:val="-3"/>
          <w:kern w:val="1"/>
          <w:sz w:val="26"/>
          <w:szCs w:val="26"/>
        </w:rPr>
        <w:tab/>
      </w:r>
    </w:p>
    <w:p w14:paraId="72C79119" w14:textId="77777777" w:rsidR="00266DDF" w:rsidRPr="008601E6" w:rsidRDefault="00266DDF" w:rsidP="00266DDF">
      <w:pPr>
        <w:tabs>
          <w:tab w:val="left" w:pos="0"/>
        </w:tabs>
        <w:suppressAutoHyphens/>
        <w:spacing w:line="360" w:lineRule="auto"/>
        <w:ind w:right="90"/>
        <w:rPr>
          <w:b/>
          <w:bCs/>
          <w:color w:val="auto"/>
          <w:spacing w:val="-3"/>
          <w:kern w:val="2"/>
          <w:sz w:val="26"/>
        </w:rPr>
      </w:pPr>
      <w:r w:rsidRPr="008601E6">
        <w:rPr>
          <w:b/>
          <w:bCs/>
          <w:color w:val="auto"/>
          <w:spacing w:val="-3"/>
          <w:kern w:val="2"/>
          <w:sz w:val="26"/>
        </w:rPr>
        <w:t>Required Reports and Fees</w:t>
      </w:r>
    </w:p>
    <w:p w14:paraId="4F724622" w14:textId="1E392FBA" w:rsidR="00182F0D" w:rsidRPr="00CE58EC" w:rsidRDefault="00266DDF" w:rsidP="005E1F1E">
      <w:pPr>
        <w:tabs>
          <w:tab w:val="left" w:pos="0"/>
        </w:tabs>
        <w:suppressAutoHyphens/>
        <w:spacing w:line="360" w:lineRule="auto"/>
        <w:ind w:right="86" w:firstLine="720"/>
        <w:rPr>
          <w:color w:val="auto"/>
          <w:spacing w:val="-3"/>
          <w:kern w:val="1"/>
          <w:sz w:val="26"/>
          <w:szCs w:val="26"/>
        </w:rPr>
      </w:pPr>
      <w:r w:rsidRPr="008601E6">
        <w:rPr>
          <w:color w:val="auto"/>
          <w:sz w:val="26"/>
          <w:szCs w:val="26"/>
        </w:rPr>
        <w:t xml:space="preserve">As an electric generation supplier, </w:t>
      </w:r>
      <w:r w:rsidR="003525D1" w:rsidRPr="008601E6">
        <w:rPr>
          <w:color w:val="auto"/>
          <w:sz w:val="26"/>
          <w:szCs w:val="26"/>
        </w:rPr>
        <w:t>Energy Analysis Group</w:t>
      </w:r>
      <w:r w:rsidRPr="008601E6">
        <w:rPr>
          <w:color w:val="auto"/>
          <w:sz w:val="26"/>
          <w:szCs w:val="26"/>
        </w:rPr>
        <w:t xml:space="preserve">, is required to provide various reports and remit fees to the Commission on a periodic basis.  </w:t>
      </w:r>
      <w:r w:rsidRPr="008601E6">
        <w:rPr>
          <w:color w:val="auto"/>
          <w:spacing w:val="-3"/>
          <w:kern w:val="1"/>
          <w:sz w:val="26"/>
          <w:szCs w:val="26"/>
        </w:rPr>
        <w:t>We will not address or list all such reports or fees in this Order, but will, however, highlight</w:t>
      </w:r>
      <w:r>
        <w:rPr>
          <w:color w:val="auto"/>
          <w:spacing w:val="-3"/>
          <w:kern w:val="1"/>
          <w:sz w:val="26"/>
          <w:szCs w:val="26"/>
        </w:rPr>
        <w:t xml:space="preserve"> a few of them in this section.</w:t>
      </w:r>
      <w:r w:rsidR="00182F0D">
        <w:rPr>
          <w:color w:val="auto"/>
          <w:sz w:val="26"/>
          <w:szCs w:val="26"/>
        </w:rPr>
        <w:tab/>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0869A449" w14:textId="40D7391C" w:rsidR="005E1F1E" w:rsidRDefault="005E1F1E" w:rsidP="005E1F1E">
      <w:pPr>
        <w:spacing w:line="360" w:lineRule="auto"/>
        <w:ind w:firstLine="720"/>
        <w:rPr>
          <w:color w:val="auto"/>
          <w:sz w:val="26"/>
          <w:szCs w:val="26"/>
        </w:rPr>
      </w:pPr>
      <w:r>
        <w:rPr>
          <w:color w:val="auto"/>
          <w:sz w:val="26"/>
          <w:szCs w:val="26"/>
        </w:rPr>
        <w:t>Electric generation suppliers are required</w:t>
      </w:r>
      <w:r w:rsidRPr="00B03DD8">
        <w:rPr>
          <w:color w:val="auto"/>
          <w:sz w:val="26"/>
          <w:szCs w:val="26"/>
        </w:rPr>
        <w:t xml:space="preserve"> to file </w:t>
      </w:r>
      <w:r>
        <w:rPr>
          <w:color w:val="auto"/>
          <w:sz w:val="26"/>
          <w:szCs w:val="26"/>
        </w:rPr>
        <w:t xml:space="preserve">with the Commission </w:t>
      </w:r>
      <w:r w:rsidRPr="00B03DD8">
        <w:rPr>
          <w:color w:val="auto"/>
          <w:sz w:val="26"/>
          <w:szCs w:val="26"/>
        </w:rPr>
        <w:t xml:space="preserve">quarterly reports due </w:t>
      </w:r>
      <w:r>
        <w:rPr>
          <w:color w:val="auto"/>
          <w:sz w:val="26"/>
          <w:szCs w:val="26"/>
        </w:rPr>
        <w:t xml:space="preserve">by the thirtieth </w:t>
      </w:r>
      <w:r w:rsidRPr="00B03DD8">
        <w:rPr>
          <w:color w:val="auto"/>
          <w:sz w:val="26"/>
          <w:szCs w:val="26"/>
        </w:rPr>
        <w:t>day after the end of each calendar quarter</w:t>
      </w:r>
      <w:r>
        <w:rPr>
          <w:color w:val="auto"/>
          <w:sz w:val="26"/>
          <w:szCs w:val="26"/>
        </w:rPr>
        <w:t>.  In addition, EGSs are required to file with the Commission</w:t>
      </w:r>
      <w:r w:rsidRPr="00B03DD8">
        <w:rPr>
          <w:color w:val="auto"/>
          <w:sz w:val="26"/>
          <w:szCs w:val="26"/>
        </w:rPr>
        <w:t xml:space="preserve"> </w:t>
      </w:r>
      <w:r w:rsidR="009F1704">
        <w:rPr>
          <w:color w:val="auto"/>
          <w:sz w:val="26"/>
          <w:szCs w:val="26"/>
        </w:rPr>
        <w:t xml:space="preserve">an </w:t>
      </w:r>
      <w:r w:rsidRPr="00B03DD8">
        <w:rPr>
          <w:color w:val="auto"/>
          <w:sz w:val="26"/>
          <w:szCs w:val="26"/>
        </w:rPr>
        <w:t xml:space="preserve">annual report </w:t>
      </w:r>
      <w:r>
        <w:rPr>
          <w:color w:val="auto"/>
          <w:sz w:val="26"/>
          <w:szCs w:val="26"/>
        </w:rPr>
        <w:t>on or before</w:t>
      </w:r>
      <w:r w:rsidRPr="00B03DD8">
        <w:rPr>
          <w:color w:val="auto"/>
          <w:sz w:val="26"/>
          <w:szCs w:val="26"/>
        </w:rPr>
        <w:t xml:space="preserve"> April 30 each year</w:t>
      </w:r>
      <w:r>
        <w:rPr>
          <w:color w:val="auto"/>
          <w:sz w:val="26"/>
          <w:szCs w:val="26"/>
        </w:rPr>
        <w:t xml:space="preserve">. </w:t>
      </w:r>
      <w:r w:rsidRPr="00B03DD8">
        <w:rPr>
          <w:color w:val="auto"/>
          <w:sz w:val="26"/>
          <w:szCs w:val="26"/>
        </w:rPr>
        <w:t xml:space="preserve"> </w:t>
      </w:r>
      <w:r>
        <w:rPr>
          <w:color w:val="auto"/>
          <w:sz w:val="26"/>
          <w:szCs w:val="26"/>
        </w:rPr>
        <w:t>These reports identify the EGS’s gross Pennsylvania intrastate operating revenues from the prior calendar quarter for quarterly reports and the prior calendar year for the annual reports</w:t>
      </w:r>
      <w:r w:rsidR="007170A7">
        <w:rPr>
          <w:color w:val="auto"/>
          <w:sz w:val="26"/>
          <w:szCs w:val="26"/>
        </w:rPr>
        <w:t>,</w:t>
      </w:r>
      <w:r>
        <w:rPr>
          <w:rStyle w:val="FootnoteReference"/>
          <w:color w:val="auto"/>
          <w:sz w:val="26"/>
          <w:szCs w:val="26"/>
        </w:rPr>
        <w:footnoteReference w:id="1"/>
      </w:r>
      <w:r w:rsidR="002A73F2">
        <w:rPr>
          <w:color w:val="auto"/>
          <w:sz w:val="26"/>
          <w:szCs w:val="26"/>
        </w:rPr>
        <w:t xml:space="preserve"> among other information.</w:t>
      </w:r>
      <w:r w:rsidRPr="00B03DD8">
        <w:rPr>
          <w:color w:val="auto"/>
          <w:sz w:val="26"/>
          <w:szCs w:val="26"/>
        </w:rPr>
        <w:t xml:space="preserve">  </w:t>
      </w:r>
      <w:bookmarkStart w:id="1" w:name="_Hlk65736325"/>
      <w:r>
        <w:rPr>
          <w:color w:val="auto"/>
          <w:sz w:val="26"/>
          <w:szCs w:val="26"/>
        </w:rPr>
        <w:t xml:space="preserve">These quarterly and annual reports are to be </w:t>
      </w:r>
      <w:r>
        <w:rPr>
          <w:color w:val="auto"/>
          <w:sz w:val="26"/>
          <w:szCs w:val="26"/>
        </w:rPr>
        <w:lastRenderedPageBreak/>
        <w:t>filed with Rosemary Chiavetta, Secretary, Pennsylvania Public Utility Commission, 400</w:t>
      </w:r>
      <w:r w:rsidR="00A86D85">
        <w:rPr>
          <w:color w:val="auto"/>
          <w:sz w:val="26"/>
          <w:szCs w:val="26"/>
        </w:rPr>
        <w:t> </w:t>
      </w:r>
      <w:r>
        <w:rPr>
          <w:color w:val="auto"/>
          <w:sz w:val="26"/>
          <w:szCs w:val="26"/>
        </w:rPr>
        <w:t>North Street, Harrisburg, PA, 17120.</w:t>
      </w:r>
    </w:p>
    <w:bookmarkEnd w:id="1"/>
    <w:p w14:paraId="57D035E5" w14:textId="77777777" w:rsidR="005E1F1E" w:rsidRDefault="005E1F1E" w:rsidP="005E1F1E">
      <w:pPr>
        <w:spacing w:line="360" w:lineRule="auto"/>
        <w:ind w:firstLine="720"/>
        <w:rPr>
          <w:color w:val="auto"/>
          <w:sz w:val="26"/>
          <w:szCs w:val="26"/>
        </w:rPr>
      </w:pPr>
    </w:p>
    <w:p w14:paraId="69B086ED" w14:textId="1E8E6E92" w:rsidR="005E1F1E" w:rsidRDefault="005E1F1E" w:rsidP="005E1F1E">
      <w:pPr>
        <w:spacing w:line="360" w:lineRule="auto"/>
        <w:ind w:firstLine="720"/>
        <w:rPr>
          <w:color w:val="auto"/>
          <w:sz w:val="26"/>
          <w:szCs w:val="26"/>
        </w:rPr>
      </w:pPr>
      <w:r>
        <w:rPr>
          <w:color w:val="auto"/>
          <w:sz w:val="26"/>
          <w:szCs w:val="26"/>
        </w:rPr>
        <w:t>Electric generation suppliers</w:t>
      </w:r>
      <w:r w:rsidRPr="00B03DD8">
        <w:rPr>
          <w:color w:val="auto"/>
          <w:sz w:val="26"/>
          <w:szCs w:val="26"/>
        </w:rPr>
        <w:t xml:space="preserve"> are also required to </w:t>
      </w:r>
      <w:r>
        <w:rPr>
          <w:color w:val="auto"/>
          <w:sz w:val="26"/>
          <w:szCs w:val="26"/>
        </w:rPr>
        <w:t>remit</w:t>
      </w:r>
      <w:r w:rsidRPr="00B03DD8">
        <w:rPr>
          <w:color w:val="auto"/>
          <w:sz w:val="26"/>
          <w:szCs w:val="26"/>
        </w:rPr>
        <w:t xml:space="preserve"> </w:t>
      </w:r>
      <w:r>
        <w:rPr>
          <w:color w:val="auto"/>
          <w:sz w:val="26"/>
          <w:szCs w:val="26"/>
        </w:rPr>
        <w:t xml:space="preserve">to the Commission </w:t>
      </w:r>
      <w:r w:rsidRPr="00B03DD8">
        <w:rPr>
          <w:color w:val="auto"/>
          <w:sz w:val="26"/>
          <w:szCs w:val="26"/>
        </w:rPr>
        <w:t>applicable annual fees authorized by Act 155 of 2014.</w:t>
      </w:r>
      <w:r w:rsidRPr="00D9109A">
        <w:rPr>
          <w:rStyle w:val="FootnoteReference"/>
          <w:color w:val="auto"/>
          <w:sz w:val="26"/>
          <w:szCs w:val="26"/>
        </w:rPr>
        <w:footnoteReference w:id="2"/>
      </w:r>
      <w:r w:rsidRPr="003C489D">
        <w:rPr>
          <w:rStyle w:val="FootnoteReference"/>
        </w:rPr>
        <w:t xml:space="preserve"> </w:t>
      </w:r>
      <w:r w:rsidRPr="003C489D">
        <w:rPr>
          <w:color w:val="auto"/>
          <w:sz w:val="26"/>
          <w:szCs w:val="26"/>
          <w:vertAlign w:val="superscript"/>
        </w:rPr>
        <w:t xml:space="preserve"> </w:t>
      </w:r>
      <w:r>
        <w:rPr>
          <w:color w:val="auto"/>
          <w:sz w:val="26"/>
          <w:szCs w:val="26"/>
          <w:vertAlign w:val="superscript"/>
        </w:rPr>
        <w:t xml:space="preserve">  </w:t>
      </w:r>
      <w:r>
        <w:rPr>
          <w:color w:val="auto"/>
          <w:sz w:val="26"/>
          <w:szCs w:val="26"/>
        </w:rPr>
        <w:t>These fees were established by order of the Commission</w:t>
      </w:r>
      <w:r>
        <w:rPr>
          <w:color w:val="auto"/>
          <w:sz w:val="26"/>
          <w:szCs w:val="26"/>
          <w:vertAlign w:val="superscript"/>
        </w:rPr>
        <w:footnoteReference w:id="3"/>
      </w:r>
      <w:r>
        <w:rPr>
          <w:color w:val="auto"/>
          <w:sz w:val="26"/>
          <w:szCs w:val="26"/>
        </w:rPr>
        <w:t xml:space="preserve"> as a flat annual fee of $350 to be paid by all licensed suppliers and brokers regardless of reported gross intrastate operating revenues due to the Commission by July 1 of each year</w:t>
      </w:r>
      <w:bookmarkStart w:id="2" w:name="_Hlk65736343"/>
      <w:r w:rsidR="00257BDB">
        <w:rPr>
          <w:color w:val="auto"/>
          <w:sz w:val="26"/>
          <w:szCs w:val="26"/>
        </w:rPr>
        <w:t xml:space="preserve">.  </w:t>
      </w:r>
      <w:r>
        <w:rPr>
          <w:color w:val="auto"/>
          <w:sz w:val="26"/>
          <w:szCs w:val="26"/>
        </w:rPr>
        <w:t xml:space="preserve">The fees are to be sent to </w:t>
      </w:r>
      <w:r w:rsidRPr="007A6D21">
        <w:rPr>
          <w:color w:val="auto"/>
          <w:sz w:val="26"/>
          <w:szCs w:val="26"/>
        </w:rPr>
        <w:t>Pennsylvania Public Utility Commission, Bureau of Administrative Services Fiscal Office</w:t>
      </w:r>
      <w:r>
        <w:rPr>
          <w:color w:val="auto"/>
          <w:sz w:val="26"/>
          <w:szCs w:val="26"/>
        </w:rPr>
        <w:t>, 400 North Street, Harrisburg, PA, 17120.  Make checks payable to “Commonwealth of Pennsylvania</w:t>
      </w:r>
      <w:r w:rsidR="00B43470">
        <w:rPr>
          <w:color w:val="auto"/>
          <w:sz w:val="26"/>
          <w:szCs w:val="26"/>
        </w:rPr>
        <w:t>.</w:t>
      </w:r>
      <w:r>
        <w:rPr>
          <w:color w:val="auto"/>
          <w:sz w:val="26"/>
          <w:szCs w:val="26"/>
        </w:rPr>
        <w:t>”</w:t>
      </w:r>
    </w:p>
    <w:bookmarkEnd w:id="2"/>
    <w:p w14:paraId="34353227" w14:textId="77777777" w:rsidR="005E1F1E" w:rsidRDefault="005E1F1E" w:rsidP="005E1F1E">
      <w:pPr>
        <w:tabs>
          <w:tab w:val="left" w:pos="0"/>
        </w:tabs>
        <w:suppressAutoHyphens/>
        <w:spacing w:line="360" w:lineRule="auto"/>
        <w:rPr>
          <w:b/>
          <w:bCs/>
          <w:color w:val="auto"/>
          <w:spacing w:val="-3"/>
          <w:kern w:val="1"/>
          <w:sz w:val="26"/>
          <w:szCs w:val="26"/>
        </w:rPr>
      </w:pPr>
    </w:p>
    <w:p w14:paraId="77D1C5E6" w14:textId="77777777" w:rsidR="005E1F1E" w:rsidRPr="008A54D9" w:rsidRDefault="005E1F1E" w:rsidP="005E1F1E">
      <w:pPr>
        <w:tabs>
          <w:tab w:val="left" w:pos="0"/>
        </w:tabs>
        <w:suppressAutoHyphens/>
        <w:spacing w:line="360" w:lineRule="auto"/>
        <w:rPr>
          <w:b/>
          <w:bCs/>
          <w:color w:val="auto"/>
          <w:spacing w:val="-3"/>
          <w:kern w:val="1"/>
          <w:sz w:val="26"/>
          <w:szCs w:val="26"/>
        </w:rPr>
      </w:pPr>
      <w:r>
        <w:rPr>
          <w:b/>
          <w:bCs/>
          <w:color w:val="auto"/>
          <w:spacing w:val="-3"/>
          <w:kern w:val="1"/>
          <w:sz w:val="26"/>
          <w:szCs w:val="26"/>
        </w:rPr>
        <w:t>Conclusion</w:t>
      </w:r>
    </w:p>
    <w:p w14:paraId="45A2108D" w14:textId="06C40A09" w:rsidR="005E1F1E" w:rsidRPr="008601E6" w:rsidRDefault="005E1F1E" w:rsidP="00B43470">
      <w:pPr>
        <w:suppressAutoHyphens/>
        <w:spacing w:line="360" w:lineRule="auto"/>
        <w:ind w:firstLine="720"/>
        <w:rPr>
          <w:b/>
          <w:color w:val="auto"/>
          <w:spacing w:val="-3"/>
          <w:kern w:val="1"/>
          <w:sz w:val="26"/>
          <w:szCs w:val="26"/>
        </w:rPr>
      </w:pPr>
      <w:r w:rsidRPr="00620D6E">
        <w:rPr>
          <w:color w:val="auto"/>
          <w:spacing w:val="-3"/>
          <w:kern w:val="1"/>
          <w:sz w:val="26"/>
          <w:szCs w:val="26"/>
        </w:rPr>
        <w:t xml:space="preserve">We find </w:t>
      </w:r>
      <w:r w:rsidRPr="008601E6">
        <w:rPr>
          <w:color w:val="auto"/>
          <w:spacing w:val="-3"/>
          <w:kern w:val="1"/>
          <w:sz w:val="26"/>
          <w:szCs w:val="26"/>
        </w:rPr>
        <w:t xml:space="preserve">that </w:t>
      </w:r>
      <w:r w:rsidR="003525D1" w:rsidRPr="008601E6">
        <w:rPr>
          <w:color w:val="auto"/>
          <w:kern w:val="2"/>
          <w:sz w:val="26"/>
          <w:szCs w:val="26"/>
        </w:rPr>
        <w:t>Energy Analysis Group Limited Liability Company</w:t>
      </w:r>
      <w:r w:rsidRPr="008601E6">
        <w:rPr>
          <w:color w:val="auto"/>
          <w:kern w:val="1"/>
          <w:sz w:val="26"/>
          <w:szCs w:val="26"/>
        </w:rPr>
        <w:t xml:space="preserve"> is fit</w:t>
      </w:r>
      <w:r w:rsidR="00467A24">
        <w:rPr>
          <w:color w:val="auto"/>
          <w:kern w:val="1"/>
          <w:sz w:val="26"/>
          <w:szCs w:val="26"/>
        </w:rPr>
        <w:t>,</w:t>
      </w:r>
      <w:r w:rsidRPr="008601E6">
        <w:rPr>
          <w:color w:val="auto"/>
          <w:kern w:val="1"/>
          <w:sz w:val="26"/>
          <w:szCs w:val="26"/>
        </w:rPr>
        <w:t xml:space="preserve"> willing</w:t>
      </w:r>
      <w:r w:rsidR="00155192">
        <w:rPr>
          <w:color w:val="auto"/>
          <w:kern w:val="1"/>
          <w:sz w:val="26"/>
          <w:szCs w:val="26"/>
        </w:rPr>
        <w:t>,</w:t>
      </w:r>
      <w:r w:rsidRPr="008601E6">
        <w:rPr>
          <w:color w:val="auto"/>
          <w:kern w:val="1"/>
          <w:sz w:val="26"/>
          <w:szCs w:val="26"/>
        </w:rPr>
        <w:t xml:space="preserve"> and able to properly perform the functions of an electric generation supplier, has agreed to abide by all Commission regulations, </w:t>
      </w:r>
      <w:r w:rsidR="00DA0155" w:rsidRPr="008601E6">
        <w:rPr>
          <w:color w:val="auto"/>
          <w:kern w:val="1"/>
          <w:sz w:val="26"/>
          <w:szCs w:val="26"/>
        </w:rPr>
        <w:t>procedures,</w:t>
      </w:r>
      <w:r w:rsidRPr="008601E6">
        <w:rPr>
          <w:color w:val="auto"/>
          <w:kern w:val="1"/>
          <w:sz w:val="26"/>
          <w:szCs w:val="26"/>
        </w:rPr>
        <w:t xml:space="preserve"> and orders, and has proposed to provide such service consistent with the public interest and the policies declared in the </w:t>
      </w:r>
      <w:r w:rsidRPr="008601E6">
        <w:rPr>
          <w:color w:val="auto"/>
          <w:sz w:val="26"/>
          <w:szCs w:val="26"/>
        </w:rPr>
        <w:t>Electricity Generation Customer Choice and Competition Act</w:t>
      </w:r>
      <w:r w:rsidRPr="008601E6">
        <w:rPr>
          <w:color w:val="auto"/>
          <w:kern w:val="1"/>
          <w:sz w:val="26"/>
          <w:szCs w:val="26"/>
        </w:rPr>
        <w:t xml:space="preserve">.  </w:t>
      </w:r>
      <w:r w:rsidRPr="008601E6">
        <w:rPr>
          <w:color w:val="auto"/>
          <w:spacing w:val="-3"/>
          <w:kern w:val="1"/>
          <w:sz w:val="26"/>
          <w:szCs w:val="26"/>
        </w:rPr>
        <w:t xml:space="preserve">Upon full consideration of all matters of record, we find that approval of this application is necessary and proper for the service, </w:t>
      </w:r>
      <w:r w:rsidR="00DA0155" w:rsidRPr="008601E6">
        <w:rPr>
          <w:color w:val="auto"/>
          <w:spacing w:val="-3"/>
          <w:kern w:val="1"/>
          <w:sz w:val="26"/>
          <w:szCs w:val="26"/>
        </w:rPr>
        <w:t>accommodation,</w:t>
      </w:r>
      <w:r w:rsidRPr="008601E6">
        <w:rPr>
          <w:color w:val="auto"/>
          <w:spacing w:val="-3"/>
          <w:kern w:val="1"/>
          <w:sz w:val="26"/>
          <w:szCs w:val="26"/>
        </w:rPr>
        <w:t xml:space="preserve"> and convenience of the public; </w:t>
      </w:r>
      <w:r w:rsidRPr="008601E6">
        <w:rPr>
          <w:b/>
          <w:color w:val="auto"/>
          <w:spacing w:val="-3"/>
          <w:kern w:val="1"/>
          <w:sz w:val="26"/>
          <w:szCs w:val="26"/>
        </w:rPr>
        <w:t>THEREFORE,</w:t>
      </w:r>
    </w:p>
    <w:p w14:paraId="7E223CE8" w14:textId="77777777" w:rsidR="00182F0D" w:rsidRPr="008601E6"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8601E6" w:rsidRDefault="00182F0D" w:rsidP="00182F0D">
      <w:pPr>
        <w:suppressAutoHyphens/>
        <w:spacing w:line="360" w:lineRule="auto"/>
        <w:ind w:firstLine="720"/>
        <w:jc w:val="both"/>
        <w:rPr>
          <w:b/>
          <w:color w:val="auto"/>
          <w:spacing w:val="-3"/>
          <w:kern w:val="1"/>
          <w:sz w:val="26"/>
          <w:szCs w:val="26"/>
        </w:rPr>
      </w:pPr>
      <w:r w:rsidRPr="008601E6">
        <w:rPr>
          <w:b/>
          <w:color w:val="auto"/>
          <w:spacing w:val="-3"/>
          <w:kern w:val="1"/>
          <w:sz w:val="26"/>
          <w:szCs w:val="26"/>
        </w:rPr>
        <w:t>IT IS ORDERED:</w:t>
      </w:r>
    </w:p>
    <w:p w14:paraId="242F28B2" w14:textId="77777777" w:rsidR="00182F0D" w:rsidRPr="008601E6" w:rsidRDefault="00182F0D" w:rsidP="00182F0D">
      <w:pPr>
        <w:tabs>
          <w:tab w:val="left" w:pos="0"/>
        </w:tabs>
        <w:suppressAutoHyphens/>
        <w:spacing w:line="360" w:lineRule="auto"/>
        <w:jc w:val="both"/>
        <w:rPr>
          <w:color w:val="auto"/>
          <w:spacing w:val="-3"/>
          <w:kern w:val="1"/>
          <w:sz w:val="26"/>
          <w:szCs w:val="26"/>
        </w:rPr>
      </w:pPr>
    </w:p>
    <w:p w14:paraId="40390B6F" w14:textId="3D4252CF" w:rsidR="00182F0D" w:rsidRDefault="00182F0D" w:rsidP="00CC0AEC">
      <w:pPr>
        <w:pStyle w:val="BodyText"/>
        <w:tabs>
          <w:tab w:val="clear" w:pos="0"/>
          <w:tab w:val="left" w:pos="1440"/>
        </w:tabs>
        <w:spacing w:line="360" w:lineRule="auto"/>
        <w:ind w:firstLine="720"/>
        <w:rPr>
          <w:color w:val="auto"/>
          <w:szCs w:val="26"/>
        </w:rPr>
      </w:pPr>
      <w:r w:rsidRPr="008601E6">
        <w:rPr>
          <w:color w:val="auto"/>
          <w:szCs w:val="26"/>
        </w:rPr>
        <w:t>1.</w:t>
      </w:r>
      <w:r w:rsidRPr="008601E6">
        <w:rPr>
          <w:color w:val="auto"/>
          <w:szCs w:val="26"/>
        </w:rPr>
        <w:tab/>
        <w:t xml:space="preserve">That the application of </w:t>
      </w:r>
      <w:r w:rsidR="003525D1" w:rsidRPr="008601E6">
        <w:rPr>
          <w:color w:val="auto"/>
          <w:szCs w:val="26"/>
        </w:rPr>
        <w:t>Energy Analysis Group Limited Liability Company</w:t>
      </w:r>
      <w:r>
        <w:rPr>
          <w:color w:val="auto"/>
          <w:szCs w:val="26"/>
        </w:rPr>
        <w:t xml:space="preserve"> </w:t>
      </w:r>
      <w:r w:rsidRPr="00BA16B1">
        <w:rPr>
          <w:color w:val="auto"/>
          <w:szCs w:val="26"/>
        </w:rPr>
        <w:t>is hereby approved, consistent with this Order.</w:t>
      </w:r>
    </w:p>
    <w:p w14:paraId="677878D7" w14:textId="77777777" w:rsidR="00182F0D" w:rsidRPr="00BA16B1" w:rsidRDefault="00182F0D" w:rsidP="00182F0D">
      <w:pPr>
        <w:pStyle w:val="BodyText"/>
        <w:tabs>
          <w:tab w:val="clear" w:pos="0"/>
          <w:tab w:val="left" w:pos="1080"/>
        </w:tabs>
        <w:spacing w:line="360" w:lineRule="auto"/>
        <w:ind w:firstLine="720"/>
        <w:rPr>
          <w:color w:val="auto"/>
          <w:szCs w:val="26"/>
        </w:rPr>
      </w:pPr>
    </w:p>
    <w:p w14:paraId="13C0AFF1" w14:textId="3B2D70E0" w:rsidR="00182F0D" w:rsidRPr="008601E6" w:rsidRDefault="00182F0D" w:rsidP="00CC0AEC">
      <w:pPr>
        <w:tabs>
          <w:tab w:val="left" w:pos="1440"/>
        </w:tabs>
        <w:suppressAutoHyphens/>
        <w:spacing w:line="360" w:lineRule="auto"/>
        <w:ind w:firstLine="720"/>
        <w:rPr>
          <w:color w:val="auto"/>
          <w:sz w:val="26"/>
          <w:szCs w:val="26"/>
        </w:rPr>
      </w:pPr>
      <w:r w:rsidRPr="00714693">
        <w:rPr>
          <w:color w:val="auto"/>
          <w:sz w:val="26"/>
          <w:szCs w:val="26"/>
        </w:rPr>
        <w:lastRenderedPageBreak/>
        <w:t>2.</w:t>
      </w:r>
      <w:r w:rsidRPr="00714693">
        <w:rPr>
          <w:color w:val="auto"/>
          <w:sz w:val="26"/>
          <w:szCs w:val="26"/>
        </w:rPr>
        <w:tab/>
      </w:r>
      <w:r w:rsidRPr="008601E6">
        <w:rPr>
          <w:color w:val="auto"/>
          <w:sz w:val="26"/>
          <w:szCs w:val="26"/>
        </w:rPr>
        <w:t xml:space="preserve">That </w:t>
      </w:r>
      <w:r w:rsidR="003525D1" w:rsidRPr="008601E6">
        <w:rPr>
          <w:color w:val="auto"/>
          <w:sz w:val="26"/>
          <w:szCs w:val="26"/>
        </w:rPr>
        <w:t>Energy Analysis Group Limited Liability Company</w:t>
      </w:r>
      <w:r w:rsidRPr="008601E6">
        <w:rPr>
          <w:color w:val="auto"/>
          <w:sz w:val="26"/>
          <w:szCs w:val="26"/>
        </w:rPr>
        <w:t>’s request for a reduction in the bond level from $250,000 to $10,000 is hereby granted.</w:t>
      </w:r>
    </w:p>
    <w:p w14:paraId="622A703D" w14:textId="77777777" w:rsidR="00182F0D" w:rsidRPr="008601E6" w:rsidRDefault="00182F0D" w:rsidP="00182F0D">
      <w:pPr>
        <w:tabs>
          <w:tab w:val="left" w:pos="1080"/>
        </w:tabs>
        <w:suppressAutoHyphens/>
        <w:spacing w:line="360" w:lineRule="auto"/>
        <w:ind w:firstLine="720"/>
        <w:rPr>
          <w:color w:val="auto"/>
          <w:sz w:val="26"/>
          <w:szCs w:val="26"/>
        </w:rPr>
      </w:pPr>
    </w:p>
    <w:p w14:paraId="41C24AF7" w14:textId="3871C569" w:rsidR="009F52E0" w:rsidRPr="008601E6" w:rsidRDefault="00182F0D" w:rsidP="009F52E0">
      <w:pPr>
        <w:tabs>
          <w:tab w:val="left" w:pos="1440"/>
        </w:tabs>
        <w:suppressAutoHyphens/>
        <w:spacing w:line="360" w:lineRule="auto"/>
        <w:ind w:firstLine="720"/>
        <w:rPr>
          <w:color w:val="auto"/>
          <w:sz w:val="26"/>
          <w:szCs w:val="26"/>
        </w:rPr>
      </w:pPr>
      <w:r w:rsidRPr="008601E6">
        <w:rPr>
          <w:color w:val="auto"/>
          <w:sz w:val="26"/>
          <w:szCs w:val="26"/>
        </w:rPr>
        <w:t>3.</w:t>
      </w:r>
      <w:r w:rsidRPr="008601E6">
        <w:rPr>
          <w:color w:val="auto"/>
          <w:sz w:val="26"/>
          <w:szCs w:val="26"/>
        </w:rPr>
        <w:tab/>
        <w:t xml:space="preserve">That the security amount of $10,000 shall remain in effect for </w:t>
      </w:r>
      <w:r w:rsidR="003525D1" w:rsidRPr="008601E6">
        <w:rPr>
          <w:color w:val="auto"/>
          <w:sz w:val="26"/>
          <w:szCs w:val="26"/>
        </w:rPr>
        <w:t>Energy Analysis Group Limited Liability Company</w:t>
      </w:r>
      <w:r w:rsidRPr="008601E6">
        <w:rPr>
          <w:color w:val="auto"/>
          <w:sz w:val="26"/>
          <w:szCs w:val="26"/>
        </w:rPr>
        <w:t xml:space="preserve"> as long as </w:t>
      </w:r>
      <w:r w:rsidR="003525D1" w:rsidRPr="008601E6">
        <w:rPr>
          <w:color w:val="auto"/>
          <w:sz w:val="26"/>
          <w:szCs w:val="26"/>
        </w:rPr>
        <w:t>Energy Analysis Group Limited Liability Company</w:t>
      </w:r>
      <w:r w:rsidRPr="008601E6">
        <w:rPr>
          <w:color w:val="auto"/>
          <w:sz w:val="26"/>
          <w:szCs w:val="26"/>
        </w:rPr>
        <w:t xml:space="preserve"> does not make a change to its business model in Pennsylvania, whereby it would take title to generation supply and/or bill its customers directly for generation supply.</w:t>
      </w:r>
    </w:p>
    <w:p w14:paraId="0E2BC243" w14:textId="77777777" w:rsidR="009F52E0" w:rsidRPr="008601E6" w:rsidRDefault="009F52E0" w:rsidP="009F52E0">
      <w:pPr>
        <w:tabs>
          <w:tab w:val="left" w:pos="1440"/>
        </w:tabs>
        <w:suppressAutoHyphens/>
        <w:spacing w:line="360" w:lineRule="auto"/>
        <w:rPr>
          <w:color w:val="auto"/>
          <w:sz w:val="26"/>
          <w:szCs w:val="26"/>
        </w:rPr>
      </w:pPr>
    </w:p>
    <w:p w14:paraId="7E573AFD" w14:textId="7A1BE9E2" w:rsidR="009F52E0" w:rsidRPr="008601E6" w:rsidRDefault="009F52E0"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8601E6">
        <w:rPr>
          <w:color w:val="auto"/>
          <w:sz w:val="26"/>
          <w:szCs w:val="26"/>
        </w:rPr>
        <w:t xml:space="preserve">That </w:t>
      </w:r>
      <w:r w:rsidR="003525D1" w:rsidRPr="008601E6">
        <w:rPr>
          <w:color w:val="auto"/>
          <w:sz w:val="26"/>
          <w:szCs w:val="26"/>
        </w:rPr>
        <w:t>Energy Analysis Group Limited Liability Company</w:t>
      </w:r>
      <w:r w:rsidRPr="008601E6">
        <w:rPr>
          <w:color w:val="auto"/>
          <w:sz w:val="26"/>
          <w:szCs w:val="26"/>
        </w:rPr>
        <w:t xml:space="preserve"> must file an original bond, letter of credit, continuation certificate, amendment, or other approved financial instrument with Rosemary Chiavetta, Secretary, Pennsylvania Public Utility Commission, 400 North Street, Harrisburg, PA, 17120, at least 30-days prior to the EGS’s current financial security expiration date.</w:t>
      </w:r>
    </w:p>
    <w:p w14:paraId="77C28782" w14:textId="77777777" w:rsidR="009F52E0" w:rsidRPr="008601E6" w:rsidRDefault="009F52E0" w:rsidP="009F52E0">
      <w:pPr>
        <w:pStyle w:val="ListParagraph"/>
        <w:tabs>
          <w:tab w:val="left" w:pos="1440"/>
        </w:tabs>
        <w:suppressAutoHyphens/>
        <w:spacing w:line="360" w:lineRule="auto"/>
        <w:rPr>
          <w:color w:val="auto"/>
          <w:sz w:val="26"/>
          <w:szCs w:val="26"/>
        </w:rPr>
      </w:pPr>
    </w:p>
    <w:p w14:paraId="452DC782" w14:textId="03A451C6" w:rsidR="009F52E0" w:rsidRPr="008601E6"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8601E6">
        <w:rPr>
          <w:color w:val="auto"/>
          <w:sz w:val="26"/>
          <w:szCs w:val="26"/>
        </w:rPr>
        <w:t xml:space="preserve">That a license be issued authorizing </w:t>
      </w:r>
      <w:r w:rsidR="003525D1" w:rsidRPr="008601E6">
        <w:rPr>
          <w:color w:val="auto"/>
          <w:sz w:val="26"/>
          <w:szCs w:val="26"/>
        </w:rPr>
        <w:t>Energy Analysis Group Limited Liability Company</w:t>
      </w:r>
      <w:r w:rsidRPr="008601E6">
        <w:rPr>
          <w:color w:val="auto"/>
          <w:sz w:val="26"/>
          <w:szCs w:val="26"/>
        </w:rPr>
        <w:t xml:space="preserve"> the right to begin to offer, render, furnish</w:t>
      </w:r>
      <w:r w:rsidR="003F5160">
        <w:rPr>
          <w:color w:val="auto"/>
          <w:sz w:val="26"/>
          <w:szCs w:val="26"/>
        </w:rPr>
        <w:t>,</w:t>
      </w:r>
      <w:r w:rsidRPr="008601E6">
        <w:rPr>
          <w:color w:val="auto"/>
          <w:sz w:val="26"/>
          <w:szCs w:val="26"/>
        </w:rPr>
        <w:t xml:space="preserve"> or supply electricity</w:t>
      </w:r>
      <w:r>
        <w:rPr>
          <w:color w:val="auto"/>
          <w:sz w:val="26"/>
          <w:szCs w:val="26"/>
        </w:rPr>
        <w:t xml:space="preserve"> or </w:t>
      </w:r>
      <w:r w:rsidRPr="002B317B">
        <w:rPr>
          <w:color w:val="auto"/>
          <w:sz w:val="26"/>
          <w:szCs w:val="26"/>
        </w:rPr>
        <w:t>electric generation services</w:t>
      </w:r>
      <w:r>
        <w:rPr>
          <w:color w:val="auto"/>
          <w:sz w:val="26"/>
          <w:szCs w:val="26"/>
        </w:rPr>
        <w:t xml:space="preserve"> as a broker/marketer</w:t>
      </w:r>
      <w:r w:rsidRPr="002B317B">
        <w:rPr>
          <w:color w:val="auto"/>
          <w:sz w:val="26"/>
          <w:szCs w:val="26"/>
        </w:rPr>
        <w:t xml:space="preserve"> </w:t>
      </w:r>
      <w:r w:rsidRPr="008601E6">
        <w:rPr>
          <w:color w:val="auto"/>
          <w:sz w:val="26"/>
          <w:szCs w:val="26"/>
        </w:rPr>
        <w:t xml:space="preserve">to small commercial (25 kW and under demand), large commercial (over 25 kW demand), </w:t>
      </w:r>
      <w:r w:rsidR="008601E6" w:rsidRPr="008601E6">
        <w:rPr>
          <w:color w:val="auto"/>
          <w:sz w:val="26"/>
          <w:szCs w:val="26"/>
        </w:rPr>
        <w:t xml:space="preserve">and </w:t>
      </w:r>
      <w:r w:rsidRPr="008601E6">
        <w:rPr>
          <w:color w:val="auto"/>
          <w:sz w:val="26"/>
          <w:szCs w:val="26"/>
        </w:rPr>
        <w:t>industrial</w:t>
      </w:r>
      <w:r w:rsidR="008601E6" w:rsidRPr="008601E6">
        <w:rPr>
          <w:color w:val="auto"/>
          <w:sz w:val="26"/>
          <w:szCs w:val="26"/>
        </w:rPr>
        <w:t xml:space="preserve"> </w:t>
      </w:r>
      <w:r w:rsidRPr="008601E6">
        <w:rPr>
          <w:color w:val="auto"/>
          <w:sz w:val="26"/>
          <w:szCs w:val="26"/>
        </w:rPr>
        <w:t xml:space="preserve">customers in all of the electric distribution company service territories throughout the Commonwealth of Pennsylvania.  </w:t>
      </w:r>
    </w:p>
    <w:p w14:paraId="084B901C" w14:textId="77777777" w:rsidR="009F52E0" w:rsidRPr="008601E6" w:rsidRDefault="009F52E0" w:rsidP="009F52E0">
      <w:pPr>
        <w:pStyle w:val="ListParagraph"/>
        <w:rPr>
          <w:color w:val="auto"/>
          <w:spacing w:val="-3"/>
          <w:sz w:val="26"/>
          <w:szCs w:val="26"/>
        </w:rPr>
      </w:pPr>
    </w:p>
    <w:p w14:paraId="5044D5F7" w14:textId="108EB15F" w:rsidR="009F52E0" w:rsidRPr="008601E6"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8601E6">
        <w:rPr>
          <w:color w:val="auto"/>
          <w:spacing w:val="-3"/>
          <w:sz w:val="26"/>
          <w:szCs w:val="26"/>
        </w:rPr>
        <w:t xml:space="preserve">That </w:t>
      </w:r>
      <w:r w:rsidR="003525D1" w:rsidRPr="008601E6">
        <w:rPr>
          <w:color w:val="auto"/>
          <w:sz w:val="26"/>
          <w:szCs w:val="26"/>
        </w:rPr>
        <w:t>Energy Analysis Group Limited Liability Company</w:t>
      </w:r>
      <w:r w:rsidRPr="008601E6">
        <w:rPr>
          <w:color w:val="auto"/>
          <w:sz w:val="26"/>
          <w:szCs w:val="26"/>
        </w:rPr>
        <w:t xml:space="preserve"> shall </w:t>
      </w:r>
      <w:r w:rsidRPr="008601E6">
        <w:rPr>
          <w:color w:val="auto"/>
          <w:spacing w:val="-3"/>
          <w:sz w:val="26"/>
          <w:szCs w:val="26"/>
        </w:rPr>
        <w:t xml:space="preserve">file a quarterly report with the Pennsylvania Public Utility Commission </w:t>
      </w:r>
      <w:r w:rsidR="00E40882" w:rsidRPr="008601E6">
        <w:rPr>
          <w:color w:val="auto"/>
          <w:sz w:val="26"/>
          <w:szCs w:val="26"/>
        </w:rPr>
        <w:t xml:space="preserve">by the thirtieth day after the end of each calendar quarter </w:t>
      </w:r>
      <w:r w:rsidRPr="008601E6">
        <w:rPr>
          <w:color w:val="auto"/>
          <w:spacing w:val="-3"/>
          <w:sz w:val="26"/>
          <w:szCs w:val="26"/>
        </w:rPr>
        <w:t>as required by 52 Pa. Code § 54.39(a).</w:t>
      </w:r>
    </w:p>
    <w:p w14:paraId="7BD140D0" w14:textId="77777777" w:rsidR="009F52E0" w:rsidRPr="008601E6" w:rsidRDefault="009F52E0" w:rsidP="009F52E0">
      <w:pPr>
        <w:pStyle w:val="ListParagraph"/>
        <w:rPr>
          <w:color w:val="auto"/>
          <w:spacing w:val="-3"/>
          <w:sz w:val="26"/>
          <w:szCs w:val="26"/>
        </w:rPr>
      </w:pPr>
    </w:p>
    <w:p w14:paraId="3EA7B388" w14:textId="5E0E4658" w:rsidR="009F52E0" w:rsidRPr="009F52E0"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8601E6">
        <w:rPr>
          <w:color w:val="auto"/>
          <w:spacing w:val="-3"/>
          <w:sz w:val="26"/>
          <w:szCs w:val="26"/>
        </w:rPr>
        <w:t xml:space="preserve">That </w:t>
      </w:r>
      <w:r w:rsidR="003525D1" w:rsidRPr="008601E6">
        <w:rPr>
          <w:color w:val="auto"/>
          <w:sz w:val="26"/>
          <w:szCs w:val="26"/>
        </w:rPr>
        <w:t>Energy Analysis Group Limited Liability Company</w:t>
      </w:r>
      <w:r w:rsidRPr="008601E6">
        <w:rPr>
          <w:color w:val="auto"/>
          <w:sz w:val="26"/>
          <w:szCs w:val="26"/>
        </w:rPr>
        <w:t xml:space="preserve"> shall</w:t>
      </w:r>
      <w:r w:rsidRPr="009F52E0">
        <w:rPr>
          <w:color w:val="auto"/>
          <w:sz w:val="26"/>
          <w:szCs w:val="26"/>
        </w:rPr>
        <w:t xml:space="preserve"> </w:t>
      </w:r>
      <w:r w:rsidRPr="009F52E0">
        <w:rPr>
          <w:color w:val="auto"/>
          <w:spacing w:val="-3"/>
          <w:sz w:val="26"/>
          <w:szCs w:val="26"/>
        </w:rPr>
        <w:t>file an annual report with the Pennsylvania Public Utility Commission by April 30 of each year as required by 52 Pa. Code § 54.39(b).</w:t>
      </w:r>
    </w:p>
    <w:p w14:paraId="0F4B6B45" w14:textId="700A98A6" w:rsidR="009F52E0" w:rsidRPr="008601E6"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8601E6">
        <w:rPr>
          <w:color w:val="auto"/>
          <w:spacing w:val="-3"/>
          <w:sz w:val="26"/>
          <w:szCs w:val="26"/>
        </w:rPr>
        <w:lastRenderedPageBreak/>
        <w:t xml:space="preserve">That </w:t>
      </w:r>
      <w:r w:rsidR="003525D1" w:rsidRPr="008601E6">
        <w:rPr>
          <w:color w:val="auto"/>
          <w:sz w:val="26"/>
          <w:szCs w:val="26"/>
        </w:rPr>
        <w:t>Energy Analysis Group Limited Liability Company</w:t>
      </w:r>
      <w:r w:rsidRPr="008601E6">
        <w:rPr>
          <w:color w:val="auto"/>
          <w:sz w:val="26"/>
          <w:szCs w:val="26"/>
        </w:rPr>
        <w:t xml:space="preserve"> shall </w:t>
      </w:r>
      <w:r w:rsidRPr="008601E6">
        <w:rPr>
          <w:color w:val="auto"/>
          <w:spacing w:val="-3"/>
          <w:sz w:val="26"/>
          <w:szCs w:val="26"/>
        </w:rPr>
        <w:t xml:space="preserve">remit all applicable annual fees to the Pennsylvania Public Utility Commission </w:t>
      </w:r>
      <w:r w:rsidR="00CC0AEC" w:rsidRPr="008601E6">
        <w:rPr>
          <w:color w:val="auto"/>
          <w:spacing w:val="-3"/>
          <w:sz w:val="26"/>
          <w:szCs w:val="26"/>
        </w:rPr>
        <w:t xml:space="preserve">by July 1 of each year </w:t>
      </w:r>
      <w:r w:rsidRPr="008601E6">
        <w:rPr>
          <w:color w:val="auto"/>
          <w:spacing w:val="-3"/>
          <w:sz w:val="26"/>
          <w:szCs w:val="26"/>
        </w:rPr>
        <w:t>as required by 66 Pa. C.S. § 2209(g).</w:t>
      </w:r>
    </w:p>
    <w:p w14:paraId="5B5EFFCB" w14:textId="77777777" w:rsidR="009F52E0" w:rsidRPr="008601E6" w:rsidRDefault="009F52E0" w:rsidP="009F52E0">
      <w:pPr>
        <w:pStyle w:val="ListParagraph"/>
        <w:rPr>
          <w:color w:val="auto"/>
          <w:sz w:val="26"/>
          <w:szCs w:val="26"/>
        </w:rPr>
      </w:pPr>
    </w:p>
    <w:p w14:paraId="50FB3E1B" w14:textId="5F977A43" w:rsidR="009F52E0" w:rsidRPr="008601E6"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8601E6">
        <w:rPr>
          <w:color w:val="auto"/>
          <w:sz w:val="26"/>
          <w:szCs w:val="26"/>
        </w:rPr>
        <w:t xml:space="preserve">That if </w:t>
      </w:r>
      <w:r w:rsidR="003525D1" w:rsidRPr="008601E6">
        <w:rPr>
          <w:color w:val="auto"/>
          <w:sz w:val="26"/>
          <w:szCs w:val="26"/>
        </w:rPr>
        <w:t>Energy Analysis Group Limited Liability Company</w:t>
      </w:r>
      <w:r w:rsidRPr="008601E6">
        <w:rPr>
          <w:color w:val="auto"/>
          <w:sz w:val="26"/>
          <w:szCs w:val="26"/>
        </w:rPr>
        <w:t xml:space="preserve"> proposes to change its business model as</w:t>
      </w:r>
      <w:r w:rsidR="00612E9A" w:rsidRPr="008601E6">
        <w:rPr>
          <w:color w:val="auto"/>
          <w:sz w:val="26"/>
          <w:szCs w:val="26"/>
        </w:rPr>
        <w:t xml:space="preserve"> </w:t>
      </w:r>
      <w:r w:rsidRPr="008601E6">
        <w:rPr>
          <w:color w:val="auto"/>
          <w:sz w:val="26"/>
          <w:szCs w:val="26"/>
        </w:rPr>
        <w:t xml:space="preserve">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3525D1" w:rsidRPr="008601E6">
        <w:rPr>
          <w:color w:val="auto"/>
          <w:sz w:val="26"/>
          <w:szCs w:val="26"/>
        </w:rPr>
        <w:t>Energy Analysis Group Limited Liability Company</w:t>
      </w:r>
      <w:r w:rsidRPr="008601E6">
        <w:rPr>
          <w:color w:val="auto"/>
          <w:sz w:val="26"/>
          <w:szCs w:val="26"/>
        </w:rPr>
        <w:t xml:space="preserve">’s bonding level and adjust as appropriate, prior to </w:t>
      </w:r>
      <w:r w:rsidR="003525D1" w:rsidRPr="008601E6">
        <w:rPr>
          <w:color w:val="auto"/>
          <w:sz w:val="26"/>
          <w:szCs w:val="26"/>
        </w:rPr>
        <w:t>Energy Analysis Group Limited Liability Company</w:t>
      </w:r>
      <w:r w:rsidRPr="008601E6">
        <w:rPr>
          <w:color w:val="auto"/>
          <w:sz w:val="26"/>
          <w:szCs w:val="26"/>
        </w:rPr>
        <w:t xml:space="preserve"> implementing the proposed changes to its business model.</w:t>
      </w:r>
    </w:p>
    <w:p w14:paraId="518A771C" w14:textId="77777777" w:rsidR="009F52E0" w:rsidRPr="008601E6" w:rsidRDefault="009F52E0" w:rsidP="009F52E0">
      <w:pPr>
        <w:pStyle w:val="ListParagraph"/>
        <w:rPr>
          <w:color w:val="auto"/>
          <w:sz w:val="26"/>
          <w:szCs w:val="26"/>
        </w:rPr>
      </w:pPr>
    </w:p>
    <w:p w14:paraId="2B899BEF" w14:textId="41D2CDA8" w:rsidR="009F52E0"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8601E6">
        <w:rPr>
          <w:color w:val="auto"/>
          <w:sz w:val="26"/>
          <w:szCs w:val="26"/>
        </w:rPr>
        <w:t xml:space="preserve">That if </w:t>
      </w:r>
      <w:r w:rsidR="003525D1" w:rsidRPr="008601E6">
        <w:rPr>
          <w:color w:val="auto"/>
          <w:sz w:val="26"/>
          <w:szCs w:val="26"/>
        </w:rPr>
        <w:t>Energy Analysis Group Limited Liability Company</w:t>
      </w:r>
      <w:r w:rsidRPr="008601E6">
        <w:rPr>
          <w:color w:val="auto"/>
          <w:sz w:val="26"/>
          <w:szCs w:val="26"/>
        </w:rPr>
        <w:t xml:space="preserve"> changes its business model without providing to the Commission the notice and information required in Ordering Paragraph No. </w:t>
      </w:r>
      <w:r w:rsidR="00187177" w:rsidRPr="008601E6">
        <w:rPr>
          <w:color w:val="auto"/>
          <w:sz w:val="26"/>
          <w:szCs w:val="26"/>
        </w:rPr>
        <w:t>9</w:t>
      </w:r>
      <w:r w:rsidRPr="008601E6">
        <w:rPr>
          <w:color w:val="auto"/>
          <w:sz w:val="26"/>
          <w:szCs w:val="26"/>
        </w:rPr>
        <w:t>, then the reduced bonding level permitted</w:t>
      </w:r>
      <w:r w:rsidRPr="009F52E0">
        <w:rPr>
          <w:color w:val="auto"/>
          <w:sz w:val="26"/>
          <w:szCs w:val="26"/>
        </w:rPr>
        <w:t xml:space="preserve"> by Ordering Paragraph No. 2 shall cease effective with the date of the change in the business model.  The level of bonding effective at that time shall be $250,000 or the level required by 52 Pa. Code § 54.40, whichever is greater.</w:t>
      </w:r>
    </w:p>
    <w:p w14:paraId="592FDA31" w14:textId="77777777" w:rsidR="009F52E0" w:rsidRPr="009F52E0" w:rsidRDefault="009F52E0" w:rsidP="009F52E0">
      <w:pPr>
        <w:pStyle w:val="ListParagraph"/>
        <w:rPr>
          <w:color w:val="auto"/>
          <w:sz w:val="26"/>
          <w:szCs w:val="26"/>
        </w:rPr>
      </w:pPr>
    </w:p>
    <w:p w14:paraId="362EB6E7" w14:textId="77777777" w:rsidR="008601E6" w:rsidRDefault="008601E6">
      <w:pPr>
        <w:rPr>
          <w:color w:val="auto"/>
          <w:sz w:val="26"/>
          <w:szCs w:val="26"/>
        </w:rPr>
      </w:pPr>
      <w:r>
        <w:rPr>
          <w:color w:val="auto"/>
          <w:sz w:val="26"/>
          <w:szCs w:val="26"/>
        </w:rPr>
        <w:br w:type="page"/>
      </w:r>
    </w:p>
    <w:p w14:paraId="7DB58595" w14:textId="08A09081" w:rsidR="00182F0D" w:rsidRPr="009F52E0"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z w:val="26"/>
          <w:szCs w:val="26"/>
        </w:rPr>
        <w:lastRenderedPageBreak/>
        <w:t>That this proceeding at Docket No. A</w:t>
      </w:r>
      <w:r w:rsidRPr="009F52E0">
        <w:rPr>
          <w:color w:val="auto"/>
          <w:sz w:val="26"/>
          <w:szCs w:val="26"/>
        </w:rPr>
        <w:noBreakHyphen/>
      </w:r>
      <w:r w:rsidR="008601E6">
        <w:rPr>
          <w:color w:val="auto"/>
          <w:sz w:val="26"/>
          <w:szCs w:val="26"/>
        </w:rPr>
        <w:t>2021-3028328</w:t>
      </w:r>
      <w:r w:rsidRPr="009F52E0">
        <w:rPr>
          <w:color w:val="auto"/>
          <w:sz w:val="26"/>
          <w:szCs w:val="26"/>
        </w:rPr>
        <w:t xml:space="preserve"> be closed.</w:t>
      </w:r>
    </w:p>
    <w:p w14:paraId="37D2A2B6" w14:textId="0A5D5585" w:rsidR="00182F0D" w:rsidRPr="00BA16B1" w:rsidRDefault="00182F0D" w:rsidP="00182F0D">
      <w:pPr>
        <w:tabs>
          <w:tab w:val="left" w:pos="0"/>
        </w:tabs>
        <w:suppressAutoHyphens/>
        <w:spacing w:line="360" w:lineRule="auto"/>
        <w:jc w:val="both"/>
        <w:rPr>
          <w:color w:val="auto"/>
          <w:spacing w:val="-3"/>
          <w:sz w:val="26"/>
          <w:szCs w:val="26"/>
        </w:rPr>
      </w:pPr>
    </w:p>
    <w:p w14:paraId="26B8E414" w14:textId="39A68138" w:rsidR="00182F0D" w:rsidRPr="00BA16B1" w:rsidRDefault="001746DB" w:rsidP="00182F0D">
      <w:pPr>
        <w:tabs>
          <w:tab w:val="left" w:pos="4320"/>
        </w:tabs>
        <w:rPr>
          <w:color w:val="auto"/>
          <w:sz w:val="26"/>
          <w:szCs w:val="26"/>
        </w:rPr>
      </w:pPr>
      <w:r>
        <w:rPr>
          <w:noProof/>
        </w:rPr>
        <w:drawing>
          <wp:anchor distT="0" distB="0" distL="114300" distR="114300" simplePos="0" relativeHeight="251659264" behindDoc="1" locked="0" layoutInCell="1" allowOverlap="1" wp14:anchorId="7B07B5E9" wp14:editId="2541E932">
            <wp:simplePos x="0" y="0"/>
            <wp:positionH relativeFrom="column">
              <wp:posOffset>2705100</wp:posOffset>
            </wp:positionH>
            <wp:positionV relativeFrom="paragraph">
              <wp:posOffset>86360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82F0D" w:rsidRPr="00BA16B1">
        <w:rPr>
          <w:color w:val="auto"/>
          <w:sz w:val="26"/>
          <w:szCs w:val="26"/>
        </w:rPr>
        <w:tab/>
      </w:r>
      <w:r w:rsidR="00182F0D" w:rsidRPr="00BA16B1">
        <w:rPr>
          <w:b/>
          <w:color w:val="auto"/>
          <w:sz w:val="26"/>
          <w:szCs w:val="26"/>
        </w:rPr>
        <w:t>BY THE COMMISSION,</w:t>
      </w:r>
    </w:p>
    <w:p w14:paraId="1E12A371" w14:textId="77777777" w:rsidR="00182F0D" w:rsidRPr="00BA16B1" w:rsidRDefault="00182F0D" w:rsidP="00182F0D">
      <w:pPr>
        <w:tabs>
          <w:tab w:val="left" w:pos="4320"/>
        </w:tabs>
        <w:rPr>
          <w:color w:val="auto"/>
          <w:sz w:val="26"/>
          <w:szCs w:val="26"/>
        </w:rPr>
      </w:pP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13727656"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8601E6">
        <w:rPr>
          <w:color w:val="auto"/>
          <w:sz w:val="26"/>
          <w:szCs w:val="26"/>
        </w:rPr>
        <w:t>February 24, 2022</w:t>
      </w:r>
    </w:p>
    <w:p w14:paraId="40C5121E" w14:textId="77777777" w:rsidR="00182F0D" w:rsidRPr="00BA16B1" w:rsidRDefault="00182F0D" w:rsidP="00182F0D">
      <w:pPr>
        <w:tabs>
          <w:tab w:val="left" w:pos="4320"/>
        </w:tabs>
        <w:rPr>
          <w:color w:val="auto"/>
          <w:sz w:val="26"/>
          <w:szCs w:val="26"/>
        </w:rPr>
      </w:pPr>
    </w:p>
    <w:p w14:paraId="6354EF53" w14:textId="713DEE74"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1746DB">
        <w:rPr>
          <w:color w:val="auto"/>
          <w:sz w:val="26"/>
          <w:szCs w:val="26"/>
        </w:rPr>
        <w:t>February 24, 2022</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03813" w14:textId="77777777" w:rsidR="002470E0" w:rsidRDefault="002470E0">
      <w:r>
        <w:separator/>
      </w:r>
    </w:p>
  </w:endnote>
  <w:endnote w:type="continuationSeparator" w:id="0">
    <w:p w14:paraId="4BA928DF" w14:textId="77777777" w:rsidR="002470E0" w:rsidRDefault="00247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F18B3" w14:textId="77777777" w:rsidR="002470E0" w:rsidRDefault="002470E0">
      <w:r>
        <w:separator/>
      </w:r>
    </w:p>
  </w:footnote>
  <w:footnote w:type="continuationSeparator" w:id="0">
    <w:p w14:paraId="3763A6A1" w14:textId="77777777" w:rsidR="002470E0" w:rsidRDefault="002470E0">
      <w:r>
        <w:continuationSeparator/>
      </w:r>
    </w:p>
  </w:footnote>
  <w:footnote w:id="1">
    <w:p w14:paraId="7561BEC5" w14:textId="77777777" w:rsidR="005E1F1E" w:rsidRDefault="005E1F1E" w:rsidP="005E1F1E">
      <w:pPr>
        <w:pStyle w:val="FootnoteText"/>
      </w:pPr>
      <w:r>
        <w:rPr>
          <w:rStyle w:val="FootnoteReference"/>
        </w:rPr>
        <w:footnoteRef/>
      </w:r>
      <w:r>
        <w:t xml:space="preserve"> </w:t>
      </w:r>
      <w:r w:rsidRPr="00EB3366">
        <w:rPr>
          <w:i/>
          <w:iCs/>
        </w:rPr>
        <w:t>See</w:t>
      </w:r>
      <w:r>
        <w:t xml:space="preserve"> </w:t>
      </w:r>
      <w:r w:rsidRPr="003C489D">
        <w:rPr>
          <w:sz w:val="22"/>
          <w:szCs w:val="22"/>
        </w:rPr>
        <w:t>52 Pa. Code § 54.39(a) and (b)</w:t>
      </w:r>
    </w:p>
  </w:footnote>
  <w:footnote w:id="2">
    <w:p w14:paraId="41E08BB2" w14:textId="77777777" w:rsidR="005E1F1E" w:rsidRDefault="005E1F1E" w:rsidP="005E1F1E">
      <w:pPr>
        <w:pStyle w:val="FootnoteText"/>
      </w:pPr>
      <w:r>
        <w:rPr>
          <w:rStyle w:val="FootnoteReference"/>
        </w:rPr>
        <w:footnoteRef/>
      </w:r>
      <w:r>
        <w:t xml:space="preserve"> </w:t>
      </w:r>
      <w:r w:rsidRPr="00EB3366">
        <w:rPr>
          <w:i/>
          <w:iCs/>
          <w:sz w:val="22"/>
          <w:szCs w:val="22"/>
        </w:rPr>
        <w:t>See</w:t>
      </w:r>
      <w:r>
        <w:rPr>
          <w:sz w:val="22"/>
          <w:szCs w:val="22"/>
        </w:rPr>
        <w:t xml:space="preserve"> 66 Pa. C.S. § 2209(g).</w:t>
      </w:r>
    </w:p>
  </w:footnote>
  <w:footnote w:id="3">
    <w:p w14:paraId="5E5BF684" w14:textId="77777777" w:rsidR="005E1F1E" w:rsidRDefault="005E1F1E" w:rsidP="005E1F1E">
      <w:pPr>
        <w:pStyle w:val="FootnoteText"/>
        <w:rPr>
          <w:sz w:val="22"/>
        </w:rPr>
      </w:pPr>
      <w:r>
        <w:rPr>
          <w:rStyle w:val="FootnoteReference"/>
          <w:sz w:val="22"/>
        </w:rPr>
        <w:footnoteRef/>
      </w:r>
      <w:r>
        <w:rPr>
          <w:sz w:val="22"/>
        </w:rPr>
        <w:t xml:space="preserve"> </w:t>
      </w:r>
      <w:r>
        <w:rPr>
          <w:i/>
          <w:sz w:val="22"/>
          <w:szCs w:val="22"/>
        </w:rPr>
        <w:t>Final Implementation Order on Implementation of Act 155 of 2014</w:t>
      </w:r>
      <w:r>
        <w:rPr>
          <w:sz w:val="22"/>
          <w:szCs w:val="22"/>
        </w:rPr>
        <w:t>, at pgs. 3-8, Docket No. M-2014-2448825 (Order entered April 24, 2015) (</w:t>
      </w:r>
      <w:r>
        <w:rPr>
          <w:i/>
          <w:sz w:val="22"/>
          <w:szCs w:val="22"/>
        </w:rPr>
        <w:t>Final Implementation Order</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73D4C"/>
    <w:rsid w:val="00077505"/>
    <w:rsid w:val="000836B0"/>
    <w:rsid w:val="00086A00"/>
    <w:rsid w:val="00086DE5"/>
    <w:rsid w:val="000924F5"/>
    <w:rsid w:val="0009418F"/>
    <w:rsid w:val="000961E7"/>
    <w:rsid w:val="00096F00"/>
    <w:rsid w:val="000A19E1"/>
    <w:rsid w:val="000B0850"/>
    <w:rsid w:val="000B269D"/>
    <w:rsid w:val="000B3E26"/>
    <w:rsid w:val="000C1077"/>
    <w:rsid w:val="000D6B67"/>
    <w:rsid w:val="000E6918"/>
    <w:rsid w:val="000E6CD0"/>
    <w:rsid w:val="000F0C10"/>
    <w:rsid w:val="000F23F8"/>
    <w:rsid w:val="000F42A0"/>
    <w:rsid w:val="000F4476"/>
    <w:rsid w:val="00104B44"/>
    <w:rsid w:val="00110639"/>
    <w:rsid w:val="00111D25"/>
    <w:rsid w:val="00114A43"/>
    <w:rsid w:val="00115910"/>
    <w:rsid w:val="00115BC6"/>
    <w:rsid w:val="0012352C"/>
    <w:rsid w:val="00134027"/>
    <w:rsid w:val="001341D6"/>
    <w:rsid w:val="00136F84"/>
    <w:rsid w:val="00140E47"/>
    <w:rsid w:val="0014155D"/>
    <w:rsid w:val="001431AD"/>
    <w:rsid w:val="0014558C"/>
    <w:rsid w:val="001461A0"/>
    <w:rsid w:val="0014650C"/>
    <w:rsid w:val="00147491"/>
    <w:rsid w:val="001501B3"/>
    <w:rsid w:val="00151806"/>
    <w:rsid w:val="0015476A"/>
    <w:rsid w:val="00155181"/>
    <w:rsid w:val="00155192"/>
    <w:rsid w:val="0015755C"/>
    <w:rsid w:val="00161B86"/>
    <w:rsid w:val="00163C32"/>
    <w:rsid w:val="001668DE"/>
    <w:rsid w:val="00170115"/>
    <w:rsid w:val="001746DB"/>
    <w:rsid w:val="00182F0D"/>
    <w:rsid w:val="00187177"/>
    <w:rsid w:val="001927B0"/>
    <w:rsid w:val="001968D9"/>
    <w:rsid w:val="001A5F3C"/>
    <w:rsid w:val="001A6D87"/>
    <w:rsid w:val="001B0A0F"/>
    <w:rsid w:val="001B1711"/>
    <w:rsid w:val="001B34BC"/>
    <w:rsid w:val="001B3537"/>
    <w:rsid w:val="001B38A3"/>
    <w:rsid w:val="001B3BCC"/>
    <w:rsid w:val="001B5154"/>
    <w:rsid w:val="001B66B2"/>
    <w:rsid w:val="001C0775"/>
    <w:rsid w:val="001C4A54"/>
    <w:rsid w:val="001C768B"/>
    <w:rsid w:val="001D05C0"/>
    <w:rsid w:val="001D11AC"/>
    <w:rsid w:val="001E022F"/>
    <w:rsid w:val="001E2FD9"/>
    <w:rsid w:val="001E400B"/>
    <w:rsid w:val="001E676F"/>
    <w:rsid w:val="00202483"/>
    <w:rsid w:val="00202726"/>
    <w:rsid w:val="00203D2C"/>
    <w:rsid w:val="00207523"/>
    <w:rsid w:val="00212333"/>
    <w:rsid w:val="00220196"/>
    <w:rsid w:val="00222D51"/>
    <w:rsid w:val="0022372B"/>
    <w:rsid w:val="00224D08"/>
    <w:rsid w:val="00226AE0"/>
    <w:rsid w:val="002317E6"/>
    <w:rsid w:val="00235C2E"/>
    <w:rsid w:val="002417EE"/>
    <w:rsid w:val="002465FA"/>
    <w:rsid w:val="002470E0"/>
    <w:rsid w:val="00255573"/>
    <w:rsid w:val="002561A5"/>
    <w:rsid w:val="00256F24"/>
    <w:rsid w:val="00257456"/>
    <w:rsid w:val="00257BDB"/>
    <w:rsid w:val="00266AB3"/>
    <w:rsid w:val="00266DDF"/>
    <w:rsid w:val="002675C0"/>
    <w:rsid w:val="0029135B"/>
    <w:rsid w:val="0029326D"/>
    <w:rsid w:val="002957D5"/>
    <w:rsid w:val="00297F2E"/>
    <w:rsid w:val="002A0ABA"/>
    <w:rsid w:val="002A46BC"/>
    <w:rsid w:val="002A47D1"/>
    <w:rsid w:val="002A73F2"/>
    <w:rsid w:val="002A7F73"/>
    <w:rsid w:val="002B188D"/>
    <w:rsid w:val="002B297E"/>
    <w:rsid w:val="002B317B"/>
    <w:rsid w:val="002B3484"/>
    <w:rsid w:val="002C2425"/>
    <w:rsid w:val="002C2F3E"/>
    <w:rsid w:val="002D0F5A"/>
    <w:rsid w:val="002D1893"/>
    <w:rsid w:val="002D5AFC"/>
    <w:rsid w:val="002E18A0"/>
    <w:rsid w:val="002E2408"/>
    <w:rsid w:val="002E486A"/>
    <w:rsid w:val="002F0E91"/>
    <w:rsid w:val="002F2492"/>
    <w:rsid w:val="002F37DB"/>
    <w:rsid w:val="00302313"/>
    <w:rsid w:val="00302B5E"/>
    <w:rsid w:val="00312FF3"/>
    <w:rsid w:val="00316D5C"/>
    <w:rsid w:val="00321591"/>
    <w:rsid w:val="00322527"/>
    <w:rsid w:val="00323C1E"/>
    <w:rsid w:val="00324980"/>
    <w:rsid w:val="0032783F"/>
    <w:rsid w:val="00327AD7"/>
    <w:rsid w:val="00327F6C"/>
    <w:rsid w:val="003404B5"/>
    <w:rsid w:val="00340913"/>
    <w:rsid w:val="003426C9"/>
    <w:rsid w:val="00345303"/>
    <w:rsid w:val="00346A19"/>
    <w:rsid w:val="003525D1"/>
    <w:rsid w:val="003526E5"/>
    <w:rsid w:val="00357307"/>
    <w:rsid w:val="00365DD1"/>
    <w:rsid w:val="003709B2"/>
    <w:rsid w:val="00372FC0"/>
    <w:rsid w:val="0037346E"/>
    <w:rsid w:val="003754EE"/>
    <w:rsid w:val="00375772"/>
    <w:rsid w:val="00377004"/>
    <w:rsid w:val="00385F6C"/>
    <w:rsid w:val="003879DD"/>
    <w:rsid w:val="00387EA9"/>
    <w:rsid w:val="00396148"/>
    <w:rsid w:val="0039633F"/>
    <w:rsid w:val="003A3CA9"/>
    <w:rsid w:val="003C294A"/>
    <w:rsid w:val="003C3D16"/>
    <w:rsid w:val="003C5DD4"/>
    <w:rsid w:val="003C782B"/>
    <w:rsid w:val="003D3884"/>
    <w:rsid w:val="003D40AE"/>
    <w:rsid w:val="003D7E3C"/>
    <w:rsid w:val="003E272E"/>
    <w:rsid w:val="003E31AA"/>
    <w:rsid w:val="003F1036"/>
    <w:rsid w:val="003F211C"/>
    <w:rsid w:val="003F5160"/>
    <w:rsid w:val="003F7A38"/>
    <w:rsid w:val="004060E4"/>
    <w:rsid w:val="004133FD"/>
    <w:rsid w:val="00416012"/>
    <w:rsid w:val="00422D81"/>
    <w:rsid w:val="00422E18"/>
    <w:rsid w:val="00423162"/>
    <w:rsid w:val="00431426"/>
    <w:rsid w:val="00434813"/>
    <w:rsid w:val="00436E40"/>
    <w:rsid w:val="00442AA5"/>
    <w:rsid w:val="00443A68"/>
    <w:rsid w:val="00446096"/>
    <w:rsid w:val="00451208"/>
    <w:rsid w:val="00454DA3"/>
    <w:rsid w:val="00455DB0"/>
    <w:rsid w:val="0046061A"/>
    <w:rsid w:val="004622D5"/>
    <w:rsid w:val="00467A24"/>
    <w:rsid w:val="00467AE4"/>
    <w:rsid w:val="00467DE5"/>
    <w:rsid w:val="00473C2A"/>
    <w:rsid w:val="00481B3D"/>
    <w:rsid w:val="00483680"/>
    <w:rsid w:val="0048427E"/>
    <w:rsid w:val="00495D17"/>
    <w:rsid w:val="00496E55"/>
    <w:rsid w:val="004A3285"/>
    <w:rsid w:val="004A771C"/>
    <w:rsid w:val="004B14A6"/>
    <w:rsid w:val="004B515C"/>
    <w:rsid w:val="004B67FB"/>
    <w:rsid w:val="004D3BB5"/>
    <w:rsid w:val="004E068D"/>
    <w:rsid w:val="004E48E3"/>
    <w:rsid w:val="004F5FD5"/>
    <w:rsid w:val="004F681E"/>
    <w:rsid w:val="0050300B"/>
    <w:rsid w:val="00503C79"/>
    <w:rsid w:val="00505D26"/>
    <w:rsid w:val="0051337A"/>
    <w:rsid w:val="00516688"/>
    <w:rsid w:val="00523682"/>
    <w:rsid w:val="005240C2"/>
    <w:rsid w:val="005311D1"/>
    <w:rsid w:val="00536337"/>
    <w:rsid w:val="0054680F"/>
    <w:rsid w:val="00551DC0"/>
    <w:rsid w:val="005561D4"/>
    <w:rsid w:val="005566A8"/>
    <w:rsid w:val="00557D2B"/>
    <w:rsid w:val="00560908"/>
    <w:rsid w:val="00570ABA"/>
    <w:rsid w:val="00571946"/>
    <w:rsid w:val="0057786A"/>
    <w:rsid w:val="00581563"/>
    <w:rsid w:val="0058367A"/>
    <w:rsid w:val="00583778"/>
    <w:rsid w:val="0059167C"/>
    <w:rsid w:val="00595F83"/>
    <w:rsid w:val="005A0A0C"/>
    <w:rsid w:val="005A2F68"/>
    <w:rsid w:val="005A456F"/>
    <w:rsid w:val="005B32DF"/>
    <w:rsid w:val="005B6E5B"/>
    <w:rsid w:val="005C1529"/>
    <w:rsid w:val="005C39A0"/>
    <w:rsid w:val="005C3D5F"/>
    <w:rsid w:val="005C47ED"/>
    <w:rsid w:val="005D358A"/>
    <w:rsid w:val="005D40A9"/>
    <w:rsid w:val="005E1F1E"/>
    <w:rsid w:val="005E5086"/>
    <w:rsid w:val="005E6AE9"/>
    <w:rsid w:val="00602A6F"/>
    <w:rsid w:val="00603DCD"/>
    <w:rsid w:val="0060540B"/>
    <w:rsid w:val="00610F1F"/>
    <w:rsid w:val="00612E9A"/>
    <w:rsid w:val="006244FB"/>
    <w:rsid w:val="006263A6"/>
    <w:rsid w:val="0064698B"/>
    <w:rsid w:val="00646996"/>
    <w:rsid w:val="006617AA"/>
    <w:rsid w:val="00670772"/>
    <w:rsid w:val="00673EA9"/>
    <w:rsid w:val="006769E0"/>
    <w:rsid w:val="0068607F"/>
    <w:rsid w:val="006A298A"/>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040E7"/>
    <w:rsid w:val="00714353"/>
    <w:rsid w:val="007170A7"/>
    <w:rsid w:val="00717752"/>
    <w:rsid w:val="00717E13"/>
    <w:rsid w:val="00720F00"/>
    <w:rsid w:val="00724C9B"/>
    <w:rsid w:val="0073772F"/>
    <w:rsid w:val="007409D4"/>
    <w:rsid w:val="00755CBD"/>
    <w:rsid w:val="007564A8"/>
    <w:rsid w:val="0075693D"/>
    <w:rsid w:val="00761CFC"/>
    <w:rsid w:val="00763665"/>
    <w:rsid w:val="00766454"/>
    <w:rsid w:val="00767417"/>
    <w:rsid w:val="00770909"/>
    <w:rsid w:val="00772E57"/>
    <w:rsid w:val="0079313C"/>
    <w:rsid w:val="00793F53"/>
    <w:rsid w:val="0079618B"/>
    <w:rsid w:val="007A1FFC"/>
    <w:rsid w:val="007A2A87"/>
    <w:rsid w:val="007A4232"/>
    <w:rsid w:val="007B112C"/>
    <w:rsid w:val="007B4545"/>
    <w:rsid w:val="007C5C2D"/>
    <w:rsid w:val="007D2FB3"/>
    <w:rsid w:val="007D5DBB"/>
    <w:rsid w:val="007E6C04"/>
    <w:rsid w:val="007F279B"/>
    <w:rsid w:val="007F3EDC"/>
    <w:rsid w:val="007F4A7A"/>
    <w:rsid w:val="007F5205"/>
    <w:rsid w:val="008002B7"/>
    <w:rsid w:val="00802A48"/>
    <w:rsid w:val="008044CC"/>
    <w:rsid w:val="00805785"/>
    <w:rsid w:val="00806A00"/>
    <w:rsid w:val="0081149C"/>
    <w:rsid w:val="00814A99"/>
    <w:rsid w:val="00820607"/>
    <w:rsid w:val="0083254A"/>
    <w:rsid w:val="008555E2"/>
    <w:rsid w:val="008601E6"/>
    <w:rsid w:val="00865587"/>
    <w:rsid w:val="008656C3"/>
    <w:rsid w:val="00873C30"/>
    <w:rsid w:val="00873FFD"/>
    <w:rsid w:val="00880E36"/>
    <w:rsid w:val="008811DE"/>
    <w:rsid w:val="00891EA1"/>
    <w:rsid w:val="008A0791"/>
    <w:rsid w:val="008A4174"/>
    <w:rsid w:val="008A60F7"/>
    <w:rsid w:val="008A6227"/>
    <w:rsid w:val="008B5564"/>
    <w:rsid w:val="008B5CF7"/>
    <w:rsid w:val="008B5D85"/>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46FD3"/>
    <w:rsid w:val="0094734B"/>
    <w:rsid w:val="00957C3E"/>
    <w:rsid w:val="009653EF"/>
    <w:rsid w:val="00966A01"/>
    <w:rsid w:val="0097132C"/>
    <w:rsid w:val="0097399D"/>
    <w:rsid w:val="00974CC3"/>
    <w:rsid w:val="00980C86"/>
    <w:rsid w:val="00981898"/>
    <w:rsid w:val="0099101D"/>
    <w:rsid w:val="0099464C"/>
    <w:rsid w:val="009A16A0"/>
    <w:rsid w:val="009A55DD"/>
    <w:rsid w:val="009A7598"/>
    <w:rsid w:val="009B15A3"/>
    <w:rsid w:val="009B3560"/>
    <w:rsid w:val="009B6032"/>
    <w:rsid w:val="009B6D37"/>
    <w:rsid w:val="009C1693"/>
    <w:rsid w:val="009C39E4"/>
    <w:rsid w:val="009C63B0"/>
    <w:rsid w:val="009E1555"/>
    <w:rsid w:val="009E185E"/>
    <w:rsid w:val="009E5F18"/>
    <w:rsid w:val="009E71A1"/>
    <w:rsid w:val="009F1704"/>
    <w:rsid w:val="009F52E0"/>
    <w:rsid w:val="009F7EEA"/>
    <w:rsid w:val="00A06827"/>
    <w:rsid w:val="00A1456A"/>
    <w:rsid w:val="00A16970"/>
    <w:rsid w:val="00A259F3"/>
    <w:rsid w:val="00A30045"/>
    <w:rsid w:val="00A3620E"/>
    <w:rsid w:val="00A37625"/>
    <w:rsid w:val="00A43450"/>
    <w:rsid w:val="00A4353E"/>
    <w:rsid w:val="00A52474"/>
    <w:rsid w:val="00A52494"/>
    <w:rsid w:val="00A54DF3"/>
    <w:rsid w:val="00A63D74"/>
    <w:rsid w:val="00A70FCB"/>
    <w:rsid w:val="00A710F8"/>
    <w:rsid w:val="00A73030"/>
    <w:rsid w:val="00A82E7E"/>
    <w:rsid w:val="00A86D85"/>
    <w:rsid w:val="00A91F70"/>
    <w:rsid w:val="00A9276C"/>
    <w:rsid w:val="00A9500A"/>
    <w:rsid w:val="00A96669"/>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43470"/>
    <w:rsid w:val="00B60C78"/>
    <w:rsid w:val="00B6554F"/>
    <w:rsid w:val="00B76EFD"/>
    <w:rsid w:val="00B778CE"/>
    <w:rsid w:val="00B77F05"/>
    <w:rsid w:val="00B82BBA"/>
    <w:rsid w:val="00B860EE"/>
    <w:rsid w:val="00B87127"/>
    <w:rsid w:val="00B97524"/>
    <w:rsid w:val="00BA0F3E"/>
    <w:rsid w:val="00BA16B1"/>
    <w:rsid w:val="00BA321E"/>
    <w:rsid w:val="00BA6ADB"/>
    <w:rsid w:val="00BB06B2"/>
    <w:rsid w:val="00BB2D86"/>
    <w:rsid w:val="00BB2F61"/>
    <w:rsid w:val="00BB57BC"/>
    <w:rsid w:val="00BB5BD2"/>
    <w:rsid w:val="00BC4455"/>
    <w:rsid w:val="00BC7859"/>
    <w:rsid w:val="00BD4849"/>
    <w:rsid w:val="00BF0679"/>
    <w:rsid w:val="00BF0960"/>
    <w:rsid w:val="00BF2A43"/>
    <w:rsid w:val="00BF53FE"/>
    <w:rsid w:val="00C0197E"/>
    <w:rsid w:val="00C10015"/>
    <w:rsid w:val="00C102C2"/>
    <w:rsid w:val="00C17342"/>
    <w:rsid w:val="00C22737"/>
    <w:rsid w:val="00C272E8"/>
    <w:rsid w:val="00C334C7"/>
    <w:rsid w:val="00C4512F"/>
    <w:rsid w:val="00C53049"/>
    <w:rsid w:val="00C531B2"/>
    <w:rsid w:val="00C60125"/>
    <w:rsid w:val="00C60130"/>
    <w:rsid w:val="00C62030"/>
    <w:rsid w:val="00C72BBE"/>
    <w:rsid w:val="00C741C9"/>
    <w:rsid w:val="00C87B51"/>
    <w:rsid w:val="00C87CB0"/>
    <w:rsid w:val="00C916CD"/>
    <w:rsid w:val="00C91DF3"/>
    <w:rsid w:val="00C9779D"/>
    <w:rsid w:val="00CA1B1A"/>
    <w:rsid w:val="00CA7562"/>
    <w:rsid w:val="00CB0123"/>
    <w:rsid w:val="00CB06CA"/>
    <w:rsid w:val="00CB0906"/>
    <w:rsid w:val="00CB2837"/>
    <w:rsid w:val="00CB673D"/>
    <w:rsid w:val="00CC0AEC"/>
    <w:rsid w:val="00CC16BD"/>
    <w:rsid w:val="00CC53C8"/>
    <w:rsid w:val="00CD6132"/>
    <w:rsid w:val="00CE58EC"/>
    <w:rsid w:val="00CE5F7B"/>
    <w:rsid w:val="00CE6CD8"/>
    <w:rsid w:val="00CF6AA4"/>
    <w:rsid w:val="00D06553"/>
    <w:rsid w:val="00D079B9"/>
    <w:rsid w:val="00D10752"/>
    <w:rsid w:val="00D13113"/>
    <w:rsid w:val="00D14EE2"/>
    <w:rsid w:val="00D15984"/>
    <w:rsid w:val="00D229E1"/>
    <w:rsid w:val="00D24D44"/>
    <w:rsid w:val="00D41AFC"/>
    <w:rsid w:val="00D44084"/>
    <w:rsid w:val="00D52644"/>
    <w:rsid w:val="00D54F5C"/>
    <w:rsid w:val="00D56266"/>
    <w:rsid w:val="00D66464"/>
    <w:rsid w:val="00D674BF"/>
    <w:rsid w:val="00D7492E"/>
    <w:rsid w:val="00D74CC2"/>
    <w:rsid w:val="00D75173"/>
    <w:rsid w:val="00D755A7"/>
    <w:rsid w:val="00D77F58"/>
    <w:rsid w:val="00D86CD4"/>
    <w:rsid w:val="00D93B5D"/>
    <w:rsid w:val="00D944F4"/>
    <w:rsid w:val="00D95C0A"/>
    <w:rsid w:val="00D9628B"/>
    <w:rsid w:val="00D96482"/>
    <w:rsid w:val="00DA0155"/>
    <w:rsid w:val="00DA19EE"/>
    <w:rsid w:val="00DB4492"/>
    <w:rsid w:val="00DE7122"/>
    <w:rsid w:val="00DF01C4"/>
    <w:rsid w:val="00DF0FF0"/>
    <w:rsid w:val="00DF5D35"/>
    <w:rsid w:val="00DF71D1"/>
    <w:rsid w:val="00E0553D"/>
    <w:rsid w:val="00E11976"/>
    <w:rsid w:val="00E135BE"/>
    <w:rsid w:val="00E25176"/>
    <w:rsid w:val="00E257D7"/>
    <w:rsid w:val="00E31FE9"/>
    <w:rsid w:val="00E40882"/>
    <w:rsid w:val="00E43456"/>
    <w:rsid w:val="00E476A4"/>
    <w:rsid w:val="00E51E1D"/>
    <w:rsid w:val="00E53467"/>
    <w:rsid w:val="00E54B4A"/>
    <w:rsid w:val="00E71217"/>
    <w:rsid w:val="00E72D20"/>
    <w:rsid w:val="00E778C1"/>
    <w:rsid w:val="00E83015"/>
    <w:rsid w:val="00E84CC4"/>
    <w:rsid w:val="00E86964"/>
    <w:rsid w:val="00E876A7"/>
    <w:rsid w:val="00E94F9B"/>
    <w:rsid w:val="00E9649D"/>
    <w:rsid w:val="00E969FA"/>
    <w:rsid w:val="00E970BB"/>
    <w:rsid w:val="00EA02E6"/>
    <w:rsid w:val="00EA0D82"/>
    <w:rsid w:val="00EA0EFF"/>
    <w:rsid w:val="00EA45D7"/>
    <w:rsid w:val="00EA79CC"/>
    <w:rsid w:val="00EB2D6B"/>
    <w:rsid w:val="00EB3366"/>
    <w:rsid w:val="00EC0DE3"/>
    <w:rsid w:val="00EC2CF0"/>
    <w:rsid w:val="00ED0157"/>
    <w:rsid w:val="00ED1C0E"/>
    <w:rsid w:val="00EE5054"/>
    <w:rsid w:val="00EF4712"/>
    <w:rsid w:val="00EF52D0"/>
    <w:rsid w:val="00EF5D53"/>
    <w:rsid w:val="00F05975"/>
    <w:rsid w:val="00F13B72"/>
    <w:rsid w:val="00F24212"/>
    <w:rsid w:val="00F311B0"/>
    <w:rsid w:val="00F42670"/>
    <w:rsid w:val="00F51D7E"/>
    <w:rsid w:val="00F619D0"/>
    <w:rsid w:val="00F64821"/>
    <w:rsid w:val="00F70C8C"/>
    <w:rsid w:val="00F83C36"/>
    <w:rsid w:val="00F967DC"/>
    <w:rsid w:val="00F97975"/>
    <w:rsid w:val="00FA219D"/>
    <w:rsid w:val="00FB1E33"/>
    <w:rsid w:val="00FC12A2"/>
    <w:rsid w:val="00FC2DDB"/>
    <w:rsid w:val="00FC7963"/>
    <w:rsid w:val="00FD31AA"/>
    <w:rsid w:val="00FD31F9"/>
    <w:rsid w:val="00FE6C07"/>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 w:type="paragraph" w:styleId="FootnoteText">
    <w:name w:val="footnote text"/>
    <w:basedOn w:val="Normal"/>
    <w:link w:val="FootnoteTextChar"/>
    <w:uiPriority w:val="99"/>
    <w:semiHidden/>
    <w:unhideWhenUsed/>
    <w:rsid w:val="005E1F1E"/>
    <w:pPr>
      <w:overflowPunct w:val="0"/>
      <w:autoSpaceDE w:val="0"/>
      <w:autoSpaceDN w:val="0"/>
      <w:adjustRightInd w:val="0"/>
    </w:pPr>
    <w:rPr>
      <w:color w:val="auto"/>
      <w:sz w:val="20"/>
    </w:rPr>
  </w:style>
  <w:style w:type="character" w:customStyle="1" w:styleId="FootnoteTextChar">
    <w:name w:val="Footnote Text Char"/>
    <w:basedOn w:val="DefaultParagraphFont"/>
    <w:link w:val="FootnoteText"/>
    <w:uiPriority w:val="99"/>
    <w:semiHidden/>
    <w:rsid w:val="005E1F1E"/>
  </w:style>
  <w:style w:type="character" w:styleId="FootnoteReference">
    <w:name w:val="footnote reference"/>
    <w:semiHidden/>
    <w:unhideWhenUsed/>
    <w:rsid w:val="005E1F1E"/>
    <w:rPr>
      <w:vertAlign w:val="superscript"/>
    </w:rPr>
  </w:style>
  <w:style w:type="character" w:styleId="CommentReference">
    <w:name w:val="annotation reference"/>
    <w:basedOn w:val="DefaultParagraphFont"/>
    <w:semiHidden/>
    <w:unhideWhenUsed/>
    <w:rsid w:val="00D13113"/>
    <w:rPr>
      <w:sz w:val="16"/>
      <w:szCs w:val="16"/>
    </w:rPr>
  </w:style>
  <w:style w:type="paragraph" w:styleId="CommentText">
    <w:name w:val="annotation text"/>
    <w:basedOn w:val="Normal"/>
    <w:link w:val="CommentTextChar"/>
    <w:semiHidden/>
    <w:unhideWhenUsed/>
    <w:rsid w:val="00D13113"/>
    <w:rPr>
      <w:sz w:val="20"/>
    </w:rPr>
  </w:style>
  <w:style w:type="character" w:customStyle="1" w:styleId="CommentTextChar">
    <w:name w:val="Comment Text Char"/>
    <w:basedOn w:val="DefaultParagraphFont"/>
    <w:link w:val="CommentText"/>
    <w:semiHidden/>
    <w:rsid w:val="00D13113"/>
    <w:rPr>
      <w:color w:val="0000FF"/>
    </w:rPr>
  </w:style>
  <w:style w:type="paragraph" w:styleId="CommentSubject">
    <w:name w:val="annotation subject"/>
    <w:basedOn w:val="CommentText"/>
    <w:next w:val="CommentText"/>
    <w:link w:val="CommentSubjectChar"/>
    <w:semiHidden/>
    <w:unhideWhenUsed/>
    <w:rsid w:val="00D13113"/>
    <w:rPr>
      <w:b/>
      <w:bCs/>
    </w:rPr>
  </w:style>
  <w:style w:type="character" w:customStyle="1" w:styleId="CommentSubjectChar">
    <w:name w:val="Comment Subject Char"/>
    <w:basedOn w:val="CommentTextChar"/>
    <w:link w:val="CommentSubject"/>
    <w:semiHidden/>
    <w:rsid w:val="00D13113"/>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2992</Words>
  <Characters>16750</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cp:revision>
  <cp:lastPrinted>2017-03-22T17:22:00Z</cp:lastPrinted>
  <dcterms:created xsi:type="dcterms:W3CDTF">2022-02-24T16:23:00Z</dcterms:created>
  <dcterms:modified xsi:type="dcterms:W3CDTF">2022-02-24T16:23:00Z</dcterms:modified>
</cp:coreProperties>
</file>