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5DD2B739" w14:textId="77777777">
        <w:tc>
          <w:tcPr>
            <w:tcW w:w="2448" w:type="dxa"/>
          </w:tcPr>
          <w:p w14:paraId="5BD0EAE4" w14:textId="77777777" w:rsidR="00D850D4" w:rsidRPr="008C41F9" w:rsidRDefault="00D850D4" w:rsidP="008C41F9"/>
        </w:tc>
        <w:tc>
          <w:tcPr>
            <w:tcW w:w="5130" w:type="dxa"/>
          </w:tcPr>
          <w:p w14:paraId="78D01341" w14:textId="77777777" w:rsidR="00D850D4" w:rsidRPr="00C0451E" w:rsidRDefault="00D850D4">
            <w:pPr>
              <w:jc w:val="center"/>
              <w:rPr>
                <w:b/>
                <w:sz w:val="26"/>
                <w:szCs w:val="26"/>
              </w:rPr>
            </w:pPr>
            <w:r w:rsidRPr="00C0451E">
              <w:rPr>
                <w:b/>
                <w:sz w:val="26"/>
                <w:szCs w:val="26"/>
              </w:rPr>
              <w:t>PENNSYLVANIA</w:t>
            </w:r>
          </w:p>
          <w:p w14:paraId="617F8A11" w14:textId="77777777" w:rsidR="00D850D4" w:rsidRPr="00C0451E" w:rsidRDefault="00D850D4">
            <w:pPr>
              <w:jc w:val="center"/>
              <w:rPr>
                <w:b/>
                <w:sz w:val="26"/>
                <w:szCs w:val="26"/>
              </w:rPr>
            </w:pPr>
            <w:r w:rsidRPr="00C0451E">
              <w:rPr>
                <w:b/>
                <w:sz w:val="26"/>
                <w:szCs w:val="26"/>
              </w:rPr>
              <w:t>PUBLIC UTILITY COMMISSION</w:t>
            </w:r>
          </w:p>
          <w:p w14:paraId="74E085EA"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647E56BF" w14:textId="77777777" w:rsidR="00D850D4" w:rsidRPr="00C0451E" w:rsidRDefault="00D850D4">
            <w:pPr>
              <w:rPr>
                <w:sz w:val="26"/>
                <w:szCs w:val="26"/>
              </w:rPr>
            </w:pPr>
          </w:p>
        </w:tc>
      </w:tr>
    </w:tbl>
    <w:p w14:paraId="77CBFDBD"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5571AEB" w14:textId="77777777">
        <w:tc>
          <w:tcPr>
            <w:tcW w:w="5148" w:type="dxa"/>
          </w:tcPr>
          <w:p w14:paraId="67D23B69" w14:textId="77777777" w:rsidR="00D850D4" w:rsidRPr="00C0451E" w:rsidRDefault="00D850D4">
            <w:pPr>
              <w:rPr>
                <w:sz w:val="26"/>
                <w:szCs w:val="26"/>
              </w:rPr>
            </w:pPr>
          </w:p>
        </w:tc>
        <w:tc>
          <w:tcPr>
            <w:tcW w:w="5148" w:type="dxa"/>
          </w:tcPr>
          <w:p w14:paraId="073E1FD0" w14:textId="3926D528" w:rsidR="00D850D4" w:rsidRPr="00C0451E" w:rsidRDefault="00D850D4">
            <w:pPr>
              <w:ind w:firstLine="612"/>
              <w:rPr>
                <w:sz w:val="26"/>
                <w:szCs w:val="26"/>
              </w:rPr>
            </w:pPr>
            <w:r w:rsidRPr="00C0451E">
              <w:rPr>
                <w:sz w:val="26"/>
                <w:szCs w:val="26"/>
              </w:rPr>
              <w:t xml:space="preserve">Public Meeting held </w:t>
            </w:r>
            <w:r w:rsidR="00F67E2A">
              <w:rPr>
                <w:sz w:val="26"/>
                <w:szCs w:val="26"/>
              </w:rPr>
              <w:t>Feb</w:t>
            </w:r>
            <w:r w:rsidR="00AE6341">
              <w:rPr>
                <w:sz w:val="26"/>
                <w:szCs w:val="26"/>
              </w:rPr>
              <w:t>ruary 24, 2022</w:t>
            </w:r>
          </w:p>
        </w:tc>
      </w:tr>
      <w:tr w:rsidR="00D850D4" w:rsidRPr="00C0451E" w14:paraId="0067D268" w14:textId="77777777">
        <w:tc>
          <w:tcPr>
            <w:tcW w:w="5148" w:type="dxa"/>
          </w:tcPr>
          <w:p w14:paraId="29B09798" w14:textId="77777777" w:rsidR="00D850D4" w:rsidRPr="00C0451E" w:rsidRDefault="00D850D4">
            <w:pPr>
              <w:rPr>
                <w:sz w:val="26"/>
                <w:szCs w:val="26"/>
              </w:rPr>
            </w:pPr>
            <w:r w:rsidRPr="00C0451E">
              <w:rPr>
                <w:sz w:val="26"/>
                <w:szCs w:val="26"/>
              </w:rPr>
              <w:t>Commissioners Present:</w:t>
            </w:r>
          </w:p>
        </w:tc>
        <w:tc>
          <w:tcPr>
            <w:tcW w:w="5148" w:type="dxa"/>
          </w:tcPr>
          <w:p w14:paraId="76B45D2F" w14:textId="77777777" w:rsidR="00D850D4" w:rsidRPr="00C0451E" w:rsidRDefault="00D850D4">
            <w:pPr>
              <w:rPr>
                <w:sz w:val="26"/>
                <w:szCs w:val="26"/>
              </w:rPr>
            </w:pPr>
          </w:p>
        </w:tc>
      </w:tr>
    </w:tbl>
    <w:p w14:paraId="29FF9CD9"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4AA9E616" w14:textId="77777777" w:rsidTr="00075AC0">
        <w:tc>
          <w:tcPr>
            <w:tcW w:w="10296" w:type="dxa"/>
            <w:gridSpan w:val="3"/>
          </w:tcPr>
          <w:p w14:paraId="4E310C18"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7CB62FD1" w14:textId="77777777" w:rsidTr="00075AC0">
        <w:trPr>
          <w:gridAfter w:val="1"/>
          <w:wAfter w:w="18" w:type="dxa"/>
        </w:trPr>
        <w:tc>
          <w:tcPr>
            <w:tcW w:w="10278" w:type="dxa"/>
            <w:gridSpan w:val="2"/>
          </w:tcPr>
          <w:p w14:paraId="72ECAD03"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r w:rsidR="004461D3">
              <w:rPr>
                <w:sz w:val="26"/>
                <w:szCs w:val="26"/>
              </w:rPr>
              <w:t>, Vice Chairman</w:t>
            </w:r>
          </w:p>
        </w:tc>
      </w:tr>
      <w:tr w:rsidR="00E72D6C" w:rsidRPr="00C0451E" w14:paraId="09BC8442" w14:textId="77777777" w:rsidTr="00075AC0">
        <w:trPr>
          <w:gridAfter w:val="1"/>
          <w:wAfter w:w="18" w:type="dxa"/>
        </w:trPr>
        <w:tc>
          <w:tcPr>
            <w:tcW w:w="10278" w:type="dxa"/>
            <w:gridSpan w:val="2"/>
          </w:tcPr>
          <w:p w14:paraId="74555C22"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Ralph V. Yanora</w:t>
            </w:r>
          </w:p>
        </w:tc>
      </w:tr>
      <w:tr w:rsidR="00D5619D" w:rsidRPr="00C0451E" w14:paraId="1889EB75" w14:textId="77777777" w:rsidTr="00E72D6C">
        <w:trPr>
          <w:gridAfter w:val="1"/>
          <w:wAfter w:w="18" w:type="dxa"/>
        </w:trPr>
        <w:tc>
          <w:tcPr>
            <w:tcW w:w="5958" w:type="dxa"/>
          </w:tcPr>
          <w:p w14:paraId="202A8DDA" w14:textId="77777777" w:rsidR="00D5619D" w:rsidRDefault="00D5619D" w:rsidP="00350758">
            <w:pPr>
              <w:ind w:right="342"/>
              <w:rPr>
                <w:sz w:val="26"/>
                <w:szCs w:val="26"/>
              </w:rPr>
            </w:pPr>
            <w:r>
              <w:rPr>
                <w:sz w:val="26"/>
                <w:szCs w:val="26"/>
              </w:rPr>
              <w:tab/>
            </w:r>
          </w:p>
        </w:tc>
        <w:tc>
          <w:tcPr>
            <w:tcW w:w="4320" w:type="dxa"/>
          </w:tcPr>
          <w:p w14:paraId="1B90AEAD" w14:textId="77777777" w:rsidR="00D5619D" w:rsidRDefault="00D5619D" w:rsidP="00350758">
            <w:pPr>
              <w:jc w:val="center"/>
              <w:rPr>
                <w:sz w:val="26"/>
                <w:szCs w:val="26"/>
              </w:rPr>
            </w:pPr>
          </w:p>
        </w:tc>
      </w:tr>
      <w:tr w:rsidR="00350758" w:rsidRPr="00C0451E" w14:paraId="2CC89C7A" w14:textId="77777777" w:rsidTr="00E72D6C">
        <w:trPr>
          <w:gridAfter w:val="1"/>
          <w:wAfter w:w="18" w:type="dxa"/>
        </w:trPr>
        <w:tc>
          <w:tcPr>
            <w:tcW w:w="5958" w:type="dxa"/>
          </w:tcPr>
          <w:p w14:paraId="7E1A9B5A" w14:textId="77777777" w:rsidR="00350758" w:rsidRDefault="00350758" w:rsidP="00350758">
            <w:pPr>
              <w:ind w:right="342"/>
              <w:rPr>
                <w:sz w:val="26"/>
                <w:szCs w:val="26"/>
              </w:rPr>
            </w:pPr>
          </w:p>
        </w:tc>
        <w:tc>
          <w:tcPr>
            <w:tcW w:w="4320" w:type="dxa"/>
          </w:tcPr>
          <w:p w14:paraId="5DC6C035" w14:textId="77777777" w:rsidR="00350758" w:rsidRDefault="00350758" w:rsidP="00350758">
            <w:pPr>
              <w:jc w:val="center"/>
              <w:rPr>
                <w:sz w:val="26"/>
                <w:szCs w:val="26"/>
              </w:rPr>
            </w:pPr>
          </w:p>
        </w:tc>
      </w:tr>
      <w:tr w:rsidR="00350758" w:rsidRPr="00C0451E" w14:paraId="24B3621D" w14:textId="77777777" w:rsidTr="00E72D6C">
        <w:trPr>
          <w:gridAfter w:val="1"/>
          <w:wAfter w:w="18" w:type="dxa"/>
        </w:trPr>
        <w:tc>
          <w:tcPr>
            <w:tcW w:w="5958" w:type="dxa"/>
          </w:tcPr>
          <w:p w14:paraId="2727CB64" w14:textId="6F2092EE" w:rsidR="00350758" w:rsidRDefault="00C366C3" w:rsidP="00350758">
            <w:pPr>
              <w:ind w:right="342"/>
              <w:rPr>
                <w:sz w:val="26"/>
                <w:szCs w:val="26"/>
              </w:rPr>
            </w:pPr>
            <w:r>
              <w:rPr>
                <w:sz w:val="26"/>
                <w:szCs w:val="26"/>
              </w:rPr>
              <w:t>Pole Attachment Working Group</w:t>
            </w:r>
          </w:p>
        </w:tc>
        <w:tc>
          <w:tcPr>
            <w:tcW w:w="4320" w:type="dxa"/>
          </w:tcPr>
          <w:p w14:paraId="125CDA6E" w14:textId="77777777" w:rsidR="00350758" w:rsidRDefault="00C366C3" w:rsidP="00350758">
            <w:pPr>
              <w:jc w:val="center"/>
              <w:rPr>
                <w:sz w:val="26"/>
                <w:szCs w:val="26"/>
              </w:rPr>
            </w:pPr>
            <w:r>
              <w:rPr>
                <w:sz w:val="26"/>
                <w:szCs w:val="26"/>
              </w:rPr>
              <w:t>M-2020-3019408</w:t>
            </w:r>
          </w:p>
          <w:p w14:paraId="3CB2715A" w14:textId="47B0CE12" w:rsidR="00C366C3" w:rsidRPr="00C0451E" w:rsidRDefault="00C366C3" w:rsidP="00350758">
            <w:pPr>
              <w:jc w:val="center"/>
              <w:rPr>
                <w:sz w:val="26"/>
                <w:szCs w:val="26"/>
              </w:rPr>
            </w:pPr>
            <w:r>
              <w:rPr>
                <w:sz w:val="26"/>
                <w:szCs w:val="26"/>
              </w:rPr>
              <w:t>L-2018-3002672</w:t>
            </w:r>
          </w:p>
        </w:tc>
      </w:tr>
    </w:tbl>
    <w:p w14:paraId="717B159E" w14:textId="77777777" w:rsidR="004A4930" w:rsidRDefault="004A4930">
      <w:pPr>
        <w:jc w:val="center"/>
        <w:rPr>
          <w:b/>
          <w:sz w:val="26"/>
          <w:szCs w:val="26"/>
        </w:rPr>
      </w:pPr>
    </w:p>
    <w:p w14:paraId="5826FC84" w14:textId="1F8CA3F8" w:rsidR="0037498A" w:rsidRPr="00C0451E" w:rsidRDefault="0037498A">
      <w:pPr>
        <w:jc w:val="center"/>
        <w:rPr>
          <w:b/>
          <w:sz w:val="26"/>
          <w:szCs w:val="26"/>
        </w:rPr>
      </w:pPr>
      <w:r>
        <w:rPr>
          <w:b/>
          <w:sz w:val="26"/>
          <w:szCs w:val="26"/>
        </w:rPr>
        <w:t>ORDER</w:t>
      </w:r>
    </w:p>
    <w:p w14:paraId="250EBF9E" w14:textId="77777777" w:rsidR="00E96680" w:rsidRPr="00C0451E" w:rsidRDefault="00E96680">
      <w:pPr>
        <w:spacing w:line="360" w:lineRule="auto"/>
        <w:rPr>
          <w:sz w:val="26"/>
          <w:szCs w:val="26"/>
        </w:rPr>
      </w:pPr>
    </w:p>
    <w:p w14:paraId="41D9CDB1" w14:textId="77777777" w:rsidR="00DF0470" w:rsidRPr="00C0451E" w:rsidRDefault="00DF0470" w:rsidP="00DF0470">
      <w:pPr>
        <w:pStyle w:val="p3"/>
        <w:spacing w:line="360" w:lineRule="auto"/>
        <w:rPr>
          <w:b/>
          <w:sz w:val="26"/>
          <w:szCs w:val="26"/>
        </w:rPr>
      </w:pPr>
      <w:r w:rsidRPr="00C0451E">
        <w:rPr>
          <w:b/>
          <w:sz w:val="26"/>
          <w:szCs w:val="26"/>
        </w:rPr>
        <w:t>BY THE COMMISSION:</w:t>
      </w:r>
    </w:p>
    <w:p w14:paraId="52E53AD0" w14:textId="6C9419CA" w:rsidR="00C366C3" w:rsidRPr="00C366C3" w:rsidRDefault="00DF0470" w:rsidP="00C366C3">
      <w:pPr>
        <w:tabs>
          <w:tab w:val="left" w:pos="720"/>
        </w:tabs>
        <w:spacing w:line="360" w:lineRule="auto"/>
        <w:rPr>
          <w:sz w:val="26"/>
          <w:szCs w:val="26"/>
        </w:rPr>
      </w:pPr>
      <w:r w:rsidRPr="00C0451E">
        <w:rPr>
          <w:b/>
          <w:sz w:val="26"/>
          <w:szCs w:val="26"/>
        </w:rPr>
        <w:tab/>
      </w:r>
      <w:r w:rsidR="00C366C3" w:rsidRPr="00C366C3">
        <w:rPr>
          <w:sz w:val="26"/>
          <w:szCs w:val="26"/>
        </w:rPr>
        <w:t>Pursuant to 52 Pa. Code § 77.7, the Commission has established a Pole Attachment Working Group</w:t>
      </w:r>
      <w:r w:rsidR="00250BFF">
        <w:rPr>
          <w:sz w:val="26"/>
          <w:szCs w:val="26"/>
        </w:rPr>
        <w:t xml:space="preserve"> (Working Group)</w:t>
      </w:r>
      <w:r w:rsidR="00C366C3" w:rsidRPr="00C366C3">
        <w:rPr>
          <w:sz w:val="26"/>
          <w:szCs w:val="26"/>
        </w:rPr>
        <w:t xml:space="preserve"> to ensure 1) that the Commission remains apprised of industry and public concerns, 2) that changes to the federal pole attachments rules are properly vetted before they come into effect in Pennsylvania, and 3) to provide feedback to the Commission on the functioning of its regulations and dispute resolution processes as they relate to pole attachments.</w:t>
      </w:r>
    </w:p>
    <w:p w14:paraId="3F0E26E9" w14:textId="77777777" w:rsidR="00C366C3" w:rsidRPr="00C366C3" w:rsidRDefault="00C366C3" w:rsidP="00C366C3">
      <w:pPr>
        <w:tabs>
          <w:tab w:val="left" w:pos="1440"/>
        </w:tabs>
        <w:overflowPunct/>
        <w:autoSpaceDE/>
        <w:autoSpaceDN/>
        <w:adjustRightInd/>
        <w:spacing w:line="360" w:lineRule="auto"/>
        <w:textAlignment w:val="auto"/>
        <w:rPr>
          <w:sz w:val="26"/>
          <w:szCs w:val="26"/>
        </w:rPr>
      </w:pPr>
    </w:p>
    <w:p w14:paraId="093FEFBA" w14:textId="4376384A" w:rsidR="00913515" w:rsidRDefault="00C366C3" w:rsidP="00674DA8">
      <w:pPr>
        <w:tabs>
          <w:tab w:val="left" w:pos="720"/>
          <w:tab w:val="left" w:pos="1440"/>
        </w:tabs>
        <w:overflowPunct/>
        <w:autoSpaceDE/>
        <w:autoSpaceDN/>
        <w:adjustRightInd/>
        <w:spacing w:line="360" w:lineRule="auto"/>
        <w:textAlignment w:val="auto"/>
        <w:rPr>
          <w:sz w:val="26"/>
          <w:szCs w:val="26"/>
        </w:rPr>
      </w:pPr>
      <w:r w:rsidRPr="00C366C3">
        <w:rPr>
          <w:sz w:val="26"/>
          <w:szCs w:val="26"/>
        </w:rPr>
        <w:tab/>
        <w:t xml:space="preserve">Following the entry of our latest supplemental membership order on </w:t>
      </w:r>
      <w:r>
        <w:rPr>
          <w:sz w:val="26"/>
          <w:szCs w:val="26"/>
        </w:rPr>
        <w:t>June</w:t>
      </w:r>
      <w:r w:rsidRPr="00C366C3">
        <w:rPr>
          <w:sz w:val="26"/>
          <w:szCs w:val="26"/>
        </w:rPr>
        <w:t> 17, 202</w:t>
      </w:r>
      <w:r>
        <w:rPr>
          <w:sz w:val="26"/>
          <w:szCs w:val="26"/>
        </w:rPr>
        <w:t>1</w:t>
      </w:r>
      <w:r w:rsidRPr="00C366C3">
        <w:rPr>
          <w:sz w:val="26"/>
          <w:szCs w:val="26"/>
        </w:rPr>
        <w:t>, an additional party</w:t>
      </w:r>
      <w:r w:rsidR="00913515">
        <w:rPr>
          <w:sz w:val="26"/>
          <w:szCs w:val="26"/>
        </w:rPr>
        <w:t>, Orbital Engineering, Inc</w:t>
      </w:r>
      <w:r w:rsidR="00913515" w:rsidRPr="00C366C3">
        <w:rPr>
          <w:sz w:val="26"/>
          <w:szCs w:val="26"/>
        </w:rPr>
        <w:t>.</w:t>
      </w:r>
      <w:r w:rsidR="00913515">
        <w:rPr>
          <w:sz w:val="26"/>
          <w:szCs w:val="26"/>
        </w:rPr>
        <w:t xml:space="preserve"> (Orbital Engineering),</w:t>
      </w:r>
      <w:r w:rsidR="00913515" w:rsidRPr="00C366C3">
        <w:rPr>
          <w:sz w:val="26"/>
          <w:szCs w:val="26"/>
        </w:rPr>
        <w:t xml:space="preserve"> </w:t>
      </w:r>
      <w:r w:rsidRPr="00C366C3">
        <w:rPr>
          <w:sz w:val="26"/>
          <w:szCs w:val="26"/>
        </w:rPr>
        <w:t xml:space="preserve">has requested membership in the Working Group.  </w:t>
      </w:r>
      <w:r w:rsidR="001C01A3">
        <w:rPr>
          <w:sz w:val="26"/>
          <w:szCs w:val="26"/>
        </w:rPr>
        <w:t>Orbital Engineering’s Utility Infrastructure Improvement Department partners with electric utilities and communications carriers in engineering and construction operations for joint-use pole attachment programs, distribution engineering design projects</w:t>
      </w:r>
      <w:r w:rsidR="00F43BE3">
        <w:rPr>
          <w:sz w:val="26"/>
          <w:szCs w:val="26"/>
        </w:rPr>
        <w:t>, and Distribution System Improvement Charge (DSIC) programs, among other</w:t>
      </w:r>
      <w:r w:rsidR="00AE6341">
        <w:rPr>
          <w:sz w:val="26"/>
          <w:szCs w:val="26"/>
        </w:rPr>
        <w:t xml:space="preserve"> tasks</w:t>
      </w:r>
      <w:r w:rsidR="00F43BE3">
        <w:rPr>
          <w:sz w:val="26"/>
          <w:szCs w:val="26"/>
        </w:rPr>
        <w:t xml:space="preserve">.  </w:t>
      </w:r>
      <w:r w:rsidR="00913515">
        <w:rPr>
          <w:sz w:val="26"/>
          <w:szCs w:val="26"/>
        </w:rPr>
        <w:t xml:space="preserve">Thus, Orbital Engineering </w:t>
      </w:r>
      <w:r w:rsidR="00913515" w:rsidRPr="00C366C3">
        <w:rPr>
          <w:sz w:val="26"/>
          <w:szCs w:val="26"/>
        </w:rPr>
        <w:t>has</w:t>
      </w:r>
      <w:r w:rsidR="00913515">
        <w:rPr>
          <w:sz w:val="26"/>
          <w:szCs w:val="26"/>
        </w:rPr>
        <w:t xml:space="preserve"> expressed</w:t>
      </w:r>
      <w:r w:rsidR="00913515" w:rsidRPr="00C366C3">
        <w:rPr>
          <w:sz w:val="26"/>
          <w:szCs w:val="26"/>
        </w:rPr>
        <w:t xml:space="preserve"> significant interest in the pole attachment processes employed by the Commission.  </w:t>
      </w:r>
    </w:p>
    <w:p w14:paraId="1CF7A152" w14:textId="1B1E2E5F" w:rsidR="00C366C3" w:rsidRPr="00C366C3" w:rsidRDefault="00913515" w:rsidP="00674DA8">
      <w:pPr>
        <w:tabs>
          <w:tab w:val="left" w:pos="720"/>
          <w:tab w:val="left" w:pos="1440"/>
        </w:tabs>
        <w:overflowPunct/>
        <w:autoSpaceDE/>
        <w:autoSpaceDN/>
        <w:adjustRightInd/>
        <w:spacing w:line="360" w:lineRule="auto"/>
        <w:textAlignment w:val="auto"/>
        <w:rPr>
          <w:sz w:val="26"/>
          <w:szCs w:val="26"/>
        </w:rPr>
      </w:pPr>
      <w:r>
        <w:rPr>
          <w:sz w:val="26"/>
          <w:szCs w:val="26"/>
        </w:rPr>
        <w:lastRenderedPageBreak/>
        <w:tab/>
      </w:r>
      <w:r w:rsidR="00C366C3" w:rsidRPr="00C366C3">
        <w:rPr>
          <w:sz w:val="26"/>
          <w:szCs w:val="26"/>
        </w:rPr>
        <w:t xml:space="preserve">The </w:t>
      </w:r>
      <w:r>
        <w:rPr>
          <w:sz w:val="26"/>
          <w:szCs w:val="26"/>
        </w:rPr>
        <w:t xml:space="preserve">Commission determines that the </w:t>
      </w:r>
      <w:r w:rsidR="00C366C3" w:rsidRPr="00C366C3">
        <w:rPr>
          <w:sz w:val="26"/>
          <w:szCs w:val="26"/>
        </w:rPr>
        <w:t xml:space="preserve">inclusion of </w:t>
      </w:r>
      <w:r w:rsidR="00674DA8">
        <w:rPr>
          <w:sz w:val="26"/>
          <w:szCs w:val="26"/>
        </w:rPr>
        <w:t>Orbital Engineering</w:t>
      </w:r>
      <w:r w:rsidR="00250BFF">
        <w:rPr>
          <w:sz w:val="26"/>
          <w:szCs w:val="26"/>
        </w:rPr>
        <w:t xml:space="preserve"> </w:t>
      </w:r>
      <w:r w:rsidR="00250BFF" w:rsidRPr="00C366C3">
        <w:rPr>
          <w:sz w:val="26"/>
          <w:szCs w:val="26"/>
        </w:rPr>
        <w:t xml:space="preserve">in the Working Group </w:t>
      </w:r>
      <w:r w:rsidR="00C366C3" w:rsidRPr="00C366C3">
        <w:rPr>
          <w:sz w:val="26"/>
          <w:szCs w:val="26"/>
        </w:rPr>
        <w:t xml:space="preserve">would improve the representation of </w:t>
      </w:r>
      <w:r w:rsidR="00674DA8">
        <w:rPr>
          <w:sz w:val="26"/>
          <w:szCs w:val="26"/>
        </w:rPr>
        <w:t>third-party construction and engineering consultants that conduct make-ready work</w:t>
      </w:r>
      <w:r w:rsidR="00250BFF">
        <w:rPr>
          <w:sz w:val="26"/>
          <w:szCs w:val="26"/>
        </w:rPr>
        <w:t xml:space="preserve"> for utility poles</w:t>
      </w:r>
      <w:r w:rsidR="00C366C3" w:rsidRPr="00C366C3">
        <w:rPr>
          <w:sz w:val="26"/>
          <w:szCs w:val="26"/>
        </w:rPr>
        <w:t>.  Adding this party will therefore supplement the existing expertise and representative experience of the Working Group.  The current membership of the Working Group is listed in Appendix A.</w:t>
      </w:r>
    </w:p>
    <w:p w14:paraId="62F4971C" w14:textId="77777777" w:rsidR="00C366C3" w:rsidRPr="00C366C3" w:rsidRDefault="00C366C3" w:rsidP="00C366C3">
      <w:pPr>
        <w:tabs>
          <w:tab w:val="left" w:pos="1440"/>
        </w:tabs>
        <w:overflowPunct/>
        <w:autoSpaceDE/>
        <w:autoSpaceDN/>
        <w:adjustRightInd/>
        <w:spacing w:line="360" w:lineRule="auto"/>
        <w:textAlignment w:val="auto"/>
        <w:rPr>
          <w:sz w:val="26"/>
          <w:szCs w:val="26"/>
        </w:rPr>
      </w:pPr>
    </w:p>
    <w:p w14:paraId="5C560295" w14:textId="3A549196" w:rsidR="00C366C3" w:rsidRPr="00C366C3" w:rsidRDefault="00C366C3" w:rsidP="00C366C3">
      <w:pPr>
        <w:tabs>
          <w:tab w:val="left" w:pos="720"/>
          <w:tab w:val="left" w:pos="1440"/>
        </w:tabs>
        <w:overflowPunct/>
        <w:autoSpaceDE/>
        <w:autoSpaceDN/>
        <w:adjustRightInd/>
        <w:spacing w:line="360" w:lineRule="auto"/>
        <w:textAlignment w:val="auto"/>
        <w:rPr>
          <w:sz w:val="26"/>
          <w:szCs w:val="26"/>
        </w:rPr>
      </w:pPr>
      <w:r w:rsidRPr="00C366C3">
        <w:rPr>
          <w:sz w:val="26"/>
          <w:szCs w:val="26"/>
        </w:rPr>
        <w:tab/>
        <w:t xml:space="preserve">Accordingly, the Commission finds it appropriate to appoint </w:t>
      </w:r>
      <w:r w:rsidR="00AE6341">
        <w:rPr>
          <w:sz w:val="26"/>
          <w:szCs w:val="26"/>
        </w:rPr>
        <w:t>Orbital Engineering, Inc.,</w:t>
      </w:r>
      <w:r w:rsidRPr="00C366C3">
        <w:rPr>
          <w:sz w:val="26"/>
          <w:szCs w:val="26"/>
        </w:rPr>
        <w:t xml:space="preserve"> to the Pole Attachment Working Group.</w:t>
      </w:r>
    </w:p>
    <w:p w14:paraId="5BB4C91B" w14:textId="6AAE002B" w:rsidR="00E96680" w:rsidRPr="00C0451E" w:rsidRDefault="00E96680" w:rsidP="00E96680">
      <w:pPr>
        <w:pStyle w:val="p3"/>
        <w:tabs>
          <w:tab w:val="clear" w:pos="204"/>
        </w:tabs>
        <w:spacing w:line="360" w:lineRule="auto"/>
        <w:rPr>
          <w:sz w:val="26"/>
          <w:szCs w:val="26"/>
        </w:rPr>
      </w:pPr>
    </w:p>
    <w:p w14:paraId="4193E76D" w14:textId="77777777" w:rsidR="00FA40BB" w:rsidRPr="00C0451E" w:rsidRDefault="00FA40BB" w:rsidP="00DF0470">
      <w:pPr>
        <w:tabs>
          <w:tab w:val="left" w:pos="742"/>
        </w:tabs>
        <w:spacing w:line="360" w:lineRule="auto"/>
        <w:rPr>
          <w:b/>
          <w:sz w:val="26"/>
          <w:szCs w:val="26"/>
        </w:rPr>
      </w:pPr>
      <w:r w:rsidRPr="00C0451E">
        <w:rPr>
          <w:b/>
          <w:sz w:val="26"/>
          <w:szCs w:val="26"/>
        </w:rPr>
        <w:t>THEREFORE</w:t>
      </w:r>
      <w:r w:rsidR="006B1962" w:rsidRPr="00C0451E">
        <w:rPr>
          <w:b/>
          <w:sz w:val="26"/>
          <w:szCs w:val="26"/>
        </w:rPr>
        <w:t>,</w:t>
      </w:r>
    </w:p>
    <w:p w14:paraId="62221989" w14:textId="77777777" w:rsidR="00622AFA" w:rsidRPr="00C0451E" w:rsidRDefault="00622AFA" w:rsidP="00DF0470">
      <w:pPr>
        <w:tabs>
          <w:tab w:val="left" w:pos="742"/>
        </w:tabs>
        <w:spacing w:line="360" w:lineRule="auto"/>
        <w:rPr>
          <w:sz w:val="26"/>
          <w:szCs w:val="26"/>
        </w:rPr>
      </w:pPr>
    </w:p>
    <w:p w14:paraId="513A8DE9" w14:textId="362812C6" w:rsidR="00DF0470" w:rsidRDefault="002B18E0" w:rsidP="00DF0470">
      <w:pPr>
        <w:spacing w:line="360" w:lineRule="auto"/>
        <w:rPr>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3A6516F6" w14:textId="77777777" w:rsidR="00D7670C" w:rsidRPr="00D7670C" w:rsidRDefault="00D7670C" w:rsidP="00DF0470">
      <w:pPr>
        <w:spacing w:line="360" w:lineRule="auto"/>
        <w:rPr>
          <w:sz w:val="26"/>
          <w:szCs w:val="26"/>
        </w:rPr>
      </w:pPr>
    </w:p>
    <w:p w14:paraId="604924B4" w14:textId="605C06DE" w:rsidR="00F25271" w:rsidRDefault="00F25271" w:rsidP="00F25271">
      <w:pPr>
        <w:spacing w:line="360" w:lineRule="auto"/>
        <w:ind w:firstLine="720"/>
        <w:rPr>
          <w:sz w:val="26"/>
        </w:rPr>
      </w:pPr>
      <w:r>
        <w:rPr>
          <w:sz w:val="26"/>
        </w:rPr>
        <w:t>1.</w:t>
      </w:r>
      <w:r>
        <w:rPr>
          <w:sz w:val="26"/>
        </w:rPr>
        <w:tab/>
        <w:t>That the appointment to the Pole Attachment Working Group of Orbital Engineering, Inc.</w:t>
      </w:r>
      <w:r>
        <w:rPr>
          <w:sz w:val="26"/>
          <w:szCs w:val="26"/>
        </w:rPr>
        <w:t xml:space="preserve">, </w:t>
      </w:r>
      <w:r>
        <w:rPr>
          <w:sz w:val="26"/>
        </w:rPr>
        <w:t>is approved.</w:t>
      </w:r>
    </w:p>
    <w:p w14:paraId="7111EF65" w14:textId="77777777" w:rsidR="00F25271" w:rsidRDefault="00F25271" w:rsidP="00F25271">
      <w:pPr>
        <w:spacing w:line="360" w:lineRule="auto"/>
        <w:ind w:firstLine="720"/>
        <w:rPr>
          <w:sz w:val="26"/>
        </w:rPr>
      </w:pPr>
    </w:p>
    <w:p w14:paraId="5819E602" w14:textId="4142788F" w:rsidR="00F25271" w:rsidRDefault="00F25271" w:rsidP="00F25271">
      <w:pPr>
        <w:spacing w:line="360" w:lineRule="auto"/>
        <w:ind w:firstLine="720"/>
        <w:rPr>
          <w:sz w:val="26"/>
        </w:rPr>
      </w:pPr>
      <w:r>
        <w:rPr>
          <w:sz w:val="26"/>
        </w:rPr>
        <w:t>2.</w:t>
      </w:r>
      <w:r>
        <w:rPr>
          <w:sz w:val="26"/>
        </w:rPr>
        <w:tab/>
        <w:t xml:space="preserve">The contact persons for the Pole Attachment Working Group </w:t>
      </w:r>
      <w:proofErr w:type="gramStart"/>
      <w:r>
        <w:rPr>
          <w:sz w:val="26"/>
        </w:rPr>
        <w:t>is</w:t>
      </w:r>
      <w:proofErr w:type="gramEnd"/>
      <w:r>
        <w:rPr>
          <w:sz w:val="26"/>
        </w:rPr>
        <w:t xml:space="preserve"> Colin W. Scott, Assistant Counsel, (717) 783</w:t>
      </w:r>
      <w:r>
        <w:rPr>
          <w:sz w:val="26"/>
        </w:rPr>
        <w:noBreakHyphen/>
        <w:t>5949.</w:t>
      </w:r>
    </w:p>
    <w:p w14:paraId="483B7D5B" w14:textId="682189E8" w:rsidR="00DF0470" w:rsidRPr="00C0451E" w:rsidRDefault="00DF0470" w:rsidP="00D7670C">
      <w:pPr>
        <w:tabs>
          <w:tab w:val="left" w:pos="4320"/>
        </w:tabs>
        <w:rPr>
          <w:sz w:val="26"/>
          <w:szCs w:val="26"/>
        </w:rPr>
      </w:pPr>
      <w:r w:rsidRPr="00C0451E">
        <w:rPr>
          <w:sz w:val="26"/>
          <w:szCs w:val="26"/>
        </w:rPr>
        <w:tab/>
      </w:r>
      <w:r w:rsidRPr="00C0451E">
        <w:rPr>
          <w:sz w:val="26"/>
          <w:szCs w:val="26"/>
        </w:rPr>
        <w:tab/>
      </w:r>
      <w:r w:rsidRPr="00C0451E">
        <w:rPr>
          <w:sz w:val="26"/>
          <w:szCs w:val="26"/>
        </w:rPr>
        <w:tab/>
      </w:r>
    </w:p>
    <w:p w14:paraId="2D44DBB5" w14:textId="69B46704" w:rsidR="00DF0470" w:rsidRPr="00C0451E" w:rsidRDefault="00986B8F" w:rsidP="00DF0470">
      <w:pPr>
        <w:pStyle w:val="p17"/>
        <w:ind w:left="5057"/>
        <w:rPr>
          <w:b/>
          <w:bCs/>
          <w:sz w:val="26"/>
          <w:szCs w:val="26"/>
        </w:rPr>
      </w:pPr>
      <w:r>
        <w:rPr>
          <w:noProof/>
        </w:rPr>
        <w:drawing>
          <wp:anchor distT="0" distB="0" distL="114300" distR="114300" simplePos="0" relativeHeight="251659264" behindDoc="1" locked="0" layoutInCell="1" allowOverlap="1" wp14:anchorId="75A6356D" wp14:editId="4FF955AE">
            <wp:simplePos x="0" y="0"/>
            <wp:positionH relativeFrom="column">
              <wp:posOffset>3209925</wp:posOffset>
            </wp:positionH>
            <wp:positionV relativeFrom="paragraph">
              <wp:posOffset>66675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14:paraId="45AD8BD1" w14:textId="77777777" w:rsidR="00DF0470" w:rsidRPr="00C0451E" w:rsidRDefault="00DF0470" w:rsidP="00DF0470">
      <w:pPr>
        <w:tabs>
          <w:tab w:val="left" w:pos="5057"/>
        </w:tabs>
        <w:rPr>
          <w:bCs/>
          <w:sz w:val="26"/>
          <w:szCs w:val="26"/>
        </w:rPr>
      </w:pPr>
    </w:p>
    <w:p w14:paraId="2DD99B55" w14:textId="77777777" w:rsidR="00DF0470" w:rsidRPr="00C0451E" w:rsidRDefault="00DF0470" w:rsidP="00DF0470">
      <w:pPr>
        <w:tabs>
          <w:tab w:val="left" w:pos="5057"/>
        </w:tabs>
        <w:rPr>
          <w:b/>
          <w:bCs/>
          <w:sz w:val="26"/>
          <w:szCs w:val="26"/>
        </w:rPr>
      </w:pPr>
    </w:p>
    <w:p w14:paraId="1028CD85" w14:textId="77777777" w:rsidR="00DF0470" w:rsidRPr="00C0451E" w:rsidRDefault="00DF0470" w:rsidP="00DF0470">
      <w:pPr>
        <w:tabs>
          <w:tab w:val="left" w:pos="5057"/>
        </w:tabs>
        <w:rPr>
          <w:b/>
          <w:bCs/>
          <w:sz w:val="26"/>
          <w:szCs w:val="26"/>
        </w:rPr>
      </w:pPr>
    </w:p>
    <w:p w14:paraId="08611F4B" w14:textId="77777777" w:rsidR="0022503C" w:rsidRPr="00C0451E" w:rsidRDefault="0022503C" w:rsidP="00DF0470">
      <w:pPr>
        <w:pStyle w:val="p18"/>
        <w:ind w:left="5062"/>
        <w:rPr>
          <w:sz w:val="26"/>
          <w:szCs w:val="26"/>
        </w:rPr>
      </w:pPr>
      <w:r w:rsidRPr="00C0451E">
        <w:rPr>
          <w:sz w:val="26"/>
          <w:szCs w:val="26"/>
        </w:rPr>
        <w:t>Rosemary Chiavetta</w:t>
      </w:r>
    </w:p>
    <w:p w14:paraId="10FA27A9" w14:textId="77777777" w:rsidR="00DF0470" w:rsidRPr="00C0451E" w:rsidRDefault="00DF0470" w:rsidP="00DF0470">
      <w:pPr>
        <w:pStyle w:val="p18"/>
        <w:ind w:left="5062"/>
        <w:rPr>
          <w:sz w:val="26"/>
          <w:szCs w:val="26"/>
        </w:rPr>
      </w:pPr>
      <w:r w:rsidRPr="00C0451E">
        <w:rPr>
          <w:sz w:val="26"/>
          <w:szCs w:val="26"/>
        </w:rPr>
        <w:t>Secretary</w:t>
      </w:r>
    </w:p>
    <w:p w14:paraId="67D046B3" w14:textId="77777777" w:rsidR="00DF0470" w:rsidRPr="00C0451E" w:rsidRDefault="00DF0470" w:rsidP="00DF0470">
      <w:pPr>
        <w:tabs>
          <w:tab w:val="left" w:pos="5062"/>
        </w:tabs>
        <w:rPr>
          <w:sz w:val="26"/>
          <w:szCs w:val="26"/>
        </w:rPr>
      </w:pPr>
    </w:p>
    <w:p w14:paraId="3C3525BB" w14:textId="77777777" w:rsidR="00DF0470" w:rsidRPr="00C0451E" w:rsidRDefault="00DF0470" w:rsidP="00DF0470">
      <w:pPr>
        <w:pStyle w:val="p14"/>
        <w:rPr>
          <w:sz w:val="26"/>
          <w:szCs w:val="26"/>
        </w:rPr>
      </w:pPr>
      <w:r w:rsidRPr="00C0451E">
        <w:rPr>
          <w:sz w:val="26"/>
          <w:szCs w:val="26"/>
        </w:rPr>
        <w:t>(SEAL)</w:t>
      </w:r>
    </w:p>
    <w:p w14:paraId="5DF55591" w14:textId="77777777" w:rsidR="00DF0470" w:rsidRPr="00C0451E" w:rsidRDefault="00DF0470" w:rsidP="00DF0470">
      <w:pPr>
        <w:tabs>
          <w:tab w:val="left" w:pos="204"/>
        </w:tabs>
        <w:rPr>
          <w:sz w:val="26"/>
          <w:szCs w:val="26"/>
        </w:rPr>
      </w:pPr>
    </w:p>
    <w:p w14:paraId="27E08554" w14:textId="32FD92FC" w:rsidR="00DF0470" w:rsidRPr="00C0451E" w:rsidRDefault="00DF0470" w:rsidP="00BE499A">
      <w:pPr>
        <w:pStyle w:val="p14"/>
        <w:rPr>
          <w:sz w:val="26"/>
          <w:szCs w:val="26"/>
        </w:rPr>
      </w:pPr>
      <w:r w:rsidRPr="00C0451E">
        <w:rPr>
          <w:sz w:val="26"/>
          <w:szCs w:val="26"/>
        </w:rPr>
        <w:t xml:space="preserve">ORDER ADOPTED:  </w:t>
      </w:r>
      <w:r w:rsidR="00AE6341">
        <w:rPr>
          <w:sz w:val="26"/>
          <w:szCs w:val="26"/>
        </w:rPr>
        <w:t>February 24, 2022</w:t>
      </w:r>
    </w:p>
    <w:p w14:paraId="6B679F56" w14:textId="77777777" w:rsidR="00BE499A" w:rsidRPr="00C0451E" w:rsidRDefault="00BE499A" w:rsidP="00BE499A">
      <w:pPr>
        <w:pStyle w:val="p14"/>
        <w:rPr>
          <w:sz w:val="26"/>
          <w:szCs w:val="26"/>
        </w:rPr>
      </w:pPr>
    </w:p>
    <w:p w14:paraId="71433FC3" w14:textId="151CA486" w:rsidR="004A4930" w:rsidRDefault="00DF0470" w:rsidP="00986B8F">
      <w:pPr>
        <w:pStyle w:val="p14"/>
        <w:rPr>
          <w:sz w:val="26"/>
          <w:szCs w:val="26"/>
        </w:rPr>
        <w:sectPr w:rsidR="004A4930" w:rsidSect="004A4930">
          <w:footerReference w:type="even" r:id="rId8"/>
          <w:footerReference w:type="default" r:id="rId9"/>
          <w:pgSz w:w="12240" w:h="15840"/>
          <w:pgMar w:top="1440" w:right="1440" w:bottom="1440" w:left="1440" w:header="720" w:footer="720" w:gutter="0"/>
          <w:pgNumType w:start="1"/>
          <w:cols w:space="720"/>
          <w:titlePg/>
        </w:sectPr>
      </w:pPr>
      <w:r w:rsidRPr="00C0451E">
        <w:rPr>
          <w:sz w:val="26"/>
          <w:szCs w:val="26"/>
        </w:rPr>
        <w:t xml:space="preserve">ORDER ENTERED:  </w:t>
      </w:r>
      <w:r w:rsidR="00986B8F">
        <w:rPr>
          <w:sz w:val="26"/>
          <w:szCs w:val="26"/>
        </w:rPr>
        <w:t>February 24, 2022</w:t>
      </w:r>
    </w:p>
    <w:p w14:paraId="67FF6056" w14:textId="3BF201BE" w:rsidR="00AE6341" w:rsidRPr="00D45262" w:rsidRDefault="00AE6341" w:rsidP="00AE6341">
      <w:pPr>
        <w:rPr>
          <w:b/>
          <w:sz w:val="26"/>
          <w:szCs w:val="26"/>
        </w:rPr>
      </w:pPr>
    </w:p>
    <w:p w14:paraId="4B1FB5A8" w14:textId="77777777" w:rsidR="00AE6341" w:rsidRPr="00AE6341" w:rsidRDefault="00AE6341" w:rsidP="00AE6341">
      <w:pPr>
        <w:overflowPunct/>
        <w:autoSpaceDE/>
        <w:autoSpaceDN/>
        <w:adjustRightInd/>
        <w:textAlignment w:val="auto"/>
        <w:rPr>
          <w:b/>
          <w:sz w:val="72"/>
          <w:szCs w:val="72"/>
        </w:rPr>
      </w:pPr>
    </w:p>
    <w:p w14:paraId="1A88D5E2" w14:textId="77777777" w:rsidR="00AE6341" w:rsidRPr="00AE6341" w:rsidRDefault="00AE6341" w:rsidP="00AE6341">
      <w:pPr>
        <w:overflowPunct/>
        <w:autoSpaceDE/>
        <w:autoSpaceDN/>
        <w:adjustRightInd/>
        <w:textAlignment w:val="auto"/>
        <w:rPr>
          <w:b/>
          <w:sz w:val="72"/>
          <w:szCs w:val="72"/>
        </w:rPr>
      </w:pPr>
    </w:p>
    <w:p w14:paraId="0E820F81" w14:textId="77777777" w:rsidR="00AE6341" w:rsidRPr="00AE6341" w:rsidRDefault="00AE6341" w:rsidP="00AE6341">
      <w:pPr>
        <w:overflowPunct/>
        <w:autoSpaceDE/>
        <w:autoSpaceDN/>
        <w:adjustRightInd/>
        <w:textAlignment w:val="auto"/>
        <w:rPr>
          <w:b/>
          <w:sz w:val="72"/>
          <w:szCs w:val="72"/>
        </w:rPr>
      </w:pPr>
    </w:p>
    <w:p w14:paraId="2E997785" w14:textId="77777777" w:rsidR="00AE6341" w:rsidRPr="00AE6341" w:rsidRDefault="00AE6341" w:rsidP="00AE6341">
      <w:pPr>
        <w:overflowPunct/>
        <w:autoSpaceDE/>
        <w:autoSpaceDN/>
        <w:adjustRightInd/>
        <w:textAlignment w:val="auto"/>
        <w:rPr>
          <w:b/>
          <w:sz w:val="72"/>
          <w:szCs w:val="72"/>
        </w:rPr>
      </w:pPr>
    </w:p>
    <w:p w14:paraId="508AF0DF" w14:textId="77777777" w:rsidR="00AE6341" w:rsidRPr="00AE6341" w:rsidRDefault="00AE6341" w:rsidP="00AE6341">
      <w:pPr>
        <w:overflowPunct/>
        <w:autoSpaceDE/>
        <w:autoSpaceDN/>
        <w:adjustRightInd/>
        <w:textAlignment w:val="auto"/>
        <w:rPr>
          <w:b/>
          <w:sz w:val="72"/>
          <w:szCs w:val="72"/>
        </w:rPr>
      </w:pPr>
    </w:p>
    <w:p w14:paraId="3C09A1F5" w14:textId="77777777" w:rsidR="00AE6341" w:rsidRPr="00AE6341" w:rsidRDefault="00AE6341" w:rsidP="00AE6341">
      <w:pPr>
        <w:overflowPunct/>
        <w:autoSpaceDE/>
        <w:autoSpaceDN/>
        <w:adjustRightInd/>
        <w:jc w:val="center"/>
        <w:textAlignment w:val="auto"/>
        <w:rPr>
          <w:b/>
          <w:sz w:val="96"/>
          <w:szCs w:val="96"/>
        </w:rPr>
      </w:pPr>
      <w:r w:rsidRPr="00AE6341">
        <w:rPr>
          <w:b/>
          <w:sz w:val="96"/>
          <w:szCs w:val="96"/>
        </w:rPr>
        <w:t>Appendix A</w:t>
      </w:r>
    </w:p>
    <w:p w14:paraId="7F24D62D" w14:textId="77777777" w:rsidR="00C75B72" w:rsidRDefault="00C75B72" w:rsidP="00AE6341">
      <w:pPr>
        <w:overflowPunct/>
        <w:autoSpaceDE/>
        <w:autoSpaceDN/>
        <w:adjustRightInd/>
        <w:jc w:val="center"/>
        <w:textAlignment w:val="auto"/>
        <w:rPr>
          <w:sz w:val="26"/>
        </w:rPr>
        <w:sectPr w:rsidR="00C75B72" w:rsidSect="004A4930">
          <w:pgSz w:w="12240" w:h="15840"/>
          <w:pgMar w:top="1440" w:right="1440" w:bottom="1440" w:left="1440" w:header="720" w:footer="720" w:gutter="0"/>
          <w:pgNumType w:start="1"/>
          <w:cols w:space="720"/>
          <w:titlePg/>
        </w:sectPr>
      </w:pPr>
    </w:p>
    <w:p w14:paraId="589719FB" w14:textId="43397821" w:rsidR="00AE6341" w:rsidRPr="00AE6341" w:rsidRDefault="00AE6341" w:rsidP="00AE6341">
      <w:pPr>
        <w:overflowPunct/>
        <w:autoSpaceDE/>
        <w:autoSpaceDN/>
        <w:adjustRightInd/>
        <w:jc w:val="center"/>
        <w:textAlignment w:val="auto"/>
        <w:rPr>
          <w:b/>
          <w:sz w:val="26"/>
        </w:rPr>
      </w:pPr>
      <w:r w:rsidRPr="00AE6341">
        <w:rPr>
          <w:b/>
          <w:sz w:val="26"/>
        </w:rPr>
        <w:lastRenderedPageBreak/>
        <w:t>Pole Attachment Working Group Appointees</w:t>
      </w:r>
    </w:p>
    <w:p w14:paraId="37CC9431" w14:textId="77777777" w:rsidR="00AE6341" w:rsidRPr="00AE6341" w:rsidRDefault="00AE6341" w:rsidP="00AE6341">
      <w:pPr>
        <w:overflowPunct/>
        <w:autoSpaceDE/>
        <w:autoSpaceDN/>
        <w:adjustRightInd/>
        <w:textAlignment w:val="auto"/>
        <w:rPr>
          <w:b/>
          <w:sz w:val="26"/>
        </w:rPr>
      </w:pP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6341" w:rsidRPr="00AE6341" w14:paraId="334401AB"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hideMark/>
          </w:tcPr>
          <w:p w14:paraId="3E5DE5C1" w14:textId="77777777" w:rsidR="00AE6341" w:rsidRPr="00AE6341" w:rsidRDefault="00AE6341" w:rsidP="00AE6341">
            <w:pPr>
              <w:overflowPunct/>
              <w:autoSpaceDE/>
              <w:autoSpaceDN/>
              <w:adjustRightInd/>
              <w:ind w:left="-23"/>
              <w:textAlignment w:val="auto"/>
              <w:rPr>
                <w:b/>
                <w:bCs/>
                <w:sz w:val="26"/>
                <w:szCs w:val="26"/>
                <w:u w:val="single"/>
              </w:rPr>
            </w:pPr>
            <w:r w:rsidRPr="00AE6341">
              <w:rPr>
                <w:b/>
                <w:bCs/>
                <w:sz w:val="26"/>
                <w:szCs w:val="26"/>
                <w:u w:val="single"/>
              </w:rPr>
              <w:t>Entity Name</w:t>
            </w:r>
          </w:p>
        </w:tc>
      </w:tr>
      <w:tr w:rsidR="00AE6341" w:rsidRPr="00AE6341" w14:paraId="60E4BCD1"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5300CDD1"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Bureau of Consumer Services</w:t>
            </w:r>
          </w:p>
        </w:tc>
      </w:tr>
      <w:tr w:rsidR="00AE6341" w:rsidRPr="00AE6341" w14:paraId="3F8565AB"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22C7B5D"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Law Bureau</w:t>
            </w:r>
          </w:p>
        </w:tc>
      </w:tr>
      <w:tr w:rsidR="00AE6341" w:rsidRPr="00AE6341" w14:paraId="6377BC29"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B9A2483"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Office of Special Assistants</w:t>
            </w:r>
          </w:p>
        </w:tc>
      </w:tr>
      <w:tr w:rsidR="00AE6341" w:rsidRPr="00AE6341" w14:paraId="06DF50F9"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37A536E"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Bureau of Technical Utility Services</w:t>
            </w:r>
          </w:p>
        </w:tc>
      </w:tr>
      <w:tr w:rsidR="00AE6341" w:rsidRPr="00AE6341" w14:paraId="597BE8CB"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03201CD"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Bureau of Investigation and Enforcement</w:t>
            </w:r>
          </w:p>
        </w:tc>
      </w:tr>
      <w:tr w:rsidR="00AE6341" w:rsidRPr="00AE6341" w14:paraId="3A938633"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19E8CFD"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Public Utility Commission – Office of Administrative Law Judge, Mediation Office</w:t>
            </w:r>
          </w:p>
        </w:tc>
      </w:tr>
      <w:tr w:rsidR="00AE6341" w:rsidRPr="00AE6341" w14:paraId="5D22B95F"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8902686"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Office of Consumer Advocate</w:t>
            </w:r>
          </w:p>
        </w:tc>
      </w:tr>
      <w:tr w:rsidR="00AE6341" w:rsidRPr="00AE6341" w14:paraId="43F662E4"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182E516C"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Office of Small Business Advocate</w:t>
            </w:r>
          </w:p>
        </w:tc>
      </w:tr>
      <w:tr w:rsidR="00AE6341" w:rsidRPr="00AE6341" w14:paraId="584664C8"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5E3CA9AE"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Governor’s Office of Broadband Initiatives</w:t>
            </w:r>
          </w:p>
        </w:tc>
      </w:tr>
      <w:tr w:rsidR="00AE6341" w:rsidRPr="00AE6341" w14:paraId="3914FABF"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1F952E11"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Pennsylvania Telephone Association</w:t>
            </w:r>
          </w:p>
        </w:tc>
      </w:tr>
      <w:tr w:rsidR="00AE6341" w:rsidRPr="00AE6341" w14:paraId="75F2D88F"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4E4508B"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Broadband Cable Association of Pennsylvania</w:t>
            </w:r>
          </w:p>
        </w:tc>
      </w:tr>
      <w:tr w:rsidR="00AE6341" w:rsidRPr="00AE6341" w14:paraId="1C632214"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06ACDBB"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International Brotherhood of Electrical Workers</w:t>
            </w:r>
          </w:p>
        </w:tc>
      </w:tr>
      <w:tr w:rsidR="00AE6341" w:rsidRPr="00AE6341" w14:paraId="1D4F85A8"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221F1403"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Wellsboro Electric Company</w:t>
            </w:r>
          </w:p>
        </w:tc>
      </w:tr>
      <w:tr w:rsidR="00AE6341" w:rsidRPr="00AE6341" w14:paraId="0A79CD33"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EC72F9A"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Davey Resource Group Inc.</w:t>
            </w:r>
          </w:p>
        </w:tc>
      </w:tr>
      <w:tr w:rsidR="00AE6341" w:rsidRPr="00AE6341" w14:paraId="10CAC5F9"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DC1D9BB"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Citizens' Electric Company</w:t>
            </w:r>
          </w:p>
        </w:tc>
      </w:tr>
      <w:tr w:rsidR="00AE6341" w:rsidRPr="00AE6341" w14:paraId="4650E80C"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E199408"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PPL Electric Utilities Corporation</w:t>
            </w:r>
          </w:p>
        </w:tc>
      </w:tr>
      <w:tr w:rsidR="00AE6341" w:rsidRPr="00AE6341" w14:paraId="267119D6"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28E2F8D7"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Verizon North, LLC.</w:t>
            </w:r>
          </w:p>
        </w:tc>
      </w:tr>
      <w:tr w:rsidR="00AE6341" w:rsidRPr="00AE6341" w14:paraId="79113763"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5BF8F664"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Verizon Pennsylvania, LLC.</w:t>
            </w:r>
          </w:p>
        </w:tc>
      </w:tr>
      <w:tr w:rsidR="00AE6341" w:rsidRPr="00AE6341" w14:paraId="60C30B02"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2486C1BC"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CTIA - The Wireless Association</w:t>
            </w:r>
          </w:p>
        </w:tc>
      </w:tr>
      <w:tr w:rsidR="00AE6341" w:rsidRPr="00AE6341" w14:paraId="1187C990"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358A3108"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Crown Castle Fiber, LLC.</w:t>
            </w:r>
          </w:p>
        </w:tc>
      </w:tr>
      <w:tr w:rsidR="00AE6341" w:rsidRPr="00AE6341" w14:paraId="0A582E76"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214C61FF"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Duquesne Light Company</w:t>
            </w:r>
          </w:p>
        </w:tc>
      </w:tr>
      <w:tr w:rsidR="00AE6341" w:rsidRPr="00AE6341" w14:paraId="008334EF"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3FB0888"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DQE Communications LLC</w:t>
            </w:r>
          </w:p>
        </w:tc>
      </w:tr>
      <w:tr w:rsidR="00AE6341" w:rsidRPr="00AE6341" w14:paraId="3DBE3A68"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4925B1D"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PECO Energy Co.</w:t>
            </w:r>
          </w:p>
        </w:tc>
      </w:tr>
      <w:tr w:rsidR="00AE6341" w:rsidRPr="00AE6341" w14:paraId="5F3D15A1"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5D3890A" w14:textId="77777777" w:rsidR="00AE6341" w:rsidRPr="00AE6341" w:rsidRDefault="00AE6341" w:rsidP="00AE6341">
            <w:pPr>
              <w:overflowPunct/>
              <w:autoSpaceDE/>
              <w:autoSpaceDN/>
              <w:adjustRightInd/>
              <w:ind w:left="-23"/>
              <w:textAlignment w:val="auto"/>
              <w:rPr>
                <w:sz w:val="26"/>
                <w:szCs w:val="26"/>
              </w:rPr>
            </w:pPr>
            <w:proofErr w:type="spellStart"/>
            <w:r w:rsidRPr="00AE6341">
              <w:rPr>
                <w:sz w:val="26"/>
                <w:szCs w:val="26"/>
              </w:rPr>
              <w:t>FirstLight</w:t>
            </w:r>
            <w:proofErr w:type="spellEnd"/>
            <w:r w:rsidRPr="00AE6341">
              <w:rPr>
                <w:sz w:val="26"/>
                <w:szCs w:val="26"/>
              </w:rPr>
              <w:t xml:space="preserve"> Fiber, Inc.</w:t>
            </w:r>
          </w:p>
        </w:tc>
      </w:tr>
      <w:tr w:rsidR="00AE6341" w:rsidRPr="00AE6341" w14:paraId="0122FFC9"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4573A8E4"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Energy Association of Pennsylvania</w:t>
            </w:r>
          </w:p>
        </w:tc>
      </w:tr>
      <w:tr w:rsidR="00AE6341" w:rsidRPr="00AE6341" w14:paraId="4DF998F1"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36BB640A"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Department of General Services – Office of Enterprise Wireless Management</w:t>
            </w:r>
          </w:p>
        </w:tc>
      </w:tr>
      <w:tr w:rsidR="00AE6341" w:rsidRPr="00AE6341" w14:paraId="28918C0D"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B6D3B86"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lastRenderedPageBreak/>
              <w:t>Pennsylvania Department of Transportation</w:t>
            </w:r>
          </w:p>
        </w:tc>
      </w:tr>
      <w:tr w:rsidR="00AE6341" w:rsidRPr="00AE6341" w14:paraId="620C0966"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2B698AD"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NetSpeed LLC</w:t>
            </w:r>
          </w:p>
        </w:tc>
      </w:tr>
      <w:tr w:rsidR="00AE6341" w:rsidRPr="00AE6341" w14:paraId="3AF25B2B"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2D18545"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MAW Communications, Inc.</w:t>
            </w:r>
          </w:p>
        </w:tc>
      </w:tr>
      <w:tr w:rsidR="00AE6341" w:rsidRPr="00AE6341" w14:paraId="6809118F"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7EA055D0"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First Energy</w:t>
            </w:r>
          </w:p>
        </w:tc>
      </w:tr>
      <w:tr w:rsidR="00AE6341" w:rsidRPr="00AE6341" w14:paraId="1F359FA4"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3EF384AC"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Comcast Corporation</w:t>
            </w:r>
          </w:p>
        </w:tc>
      </w:tr>
      <w:tr w:rsidR="00AE6341" w:rsidRPr="00AE6341" w14:paraId="39DCBE88"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673A124B"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Rolka Loube Saltzer and Associates, LLC</w:t>
            </w:r>
          </w:p>
        </w:tc>
      </w:tr>
      <w:tr w:rsidR="00AE6341" w:rsidRPr="00AE6341" w14:paraId="0E7ED42E"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648647D6" w14:textId="77777777" w:rsidR="00AE6341" w:rsidRPr="00AE6341" w:rsidRDefault="00AE6341" w:rsidP="00AE6341">
            <w:pPr>
              <w:overflowPunct/>
              <w:autoSpaceDE/>
              <w:autoSpaceDN/>
              <w:adjustRightInd/>
              <w:ind w:left="-23"/>
              <w:textAlignment w:val="auto"/>
              <w:rPr>
                <w:sz w:val="26"/>
                <w:szCs w:val="26"/>
              </w:rPr>
            </w:pPr>
            <w:r w:rsidRPr="00AE6341">
              <w:rPr>
                <w:sz w:val="26"/>
                <w:szCs w:val="26"/>
              </w:rPr>
              <w:t>UGI Corporation</w:t>
            </w:r>
          </w:p>
        </w:tc>
      </w:tr>
      <w:tr w:rsidR="00AE6341" w:rsidRPr="00AE6341" w14:paraId="0CEE4BAD"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329EB0B8" w14:textId="5E036D5A" w:rsidR="00AE6341" w:rsidRPr="00AE6341" w:rsidRDefault="00AE6341" w:rsidP="00AE6341">
            <w:pPr>
              <w:overflowPunct/>
              <w:autoSpaceDE/>
              <w:autoSpaceDN/>
              <w:adjustRightInd/>
              <w:ind w:left="-23"/>
              <w:textAlignment w:val="auto"/>
              <w:rPr>
                <w:sz w:val="26"/>
                <w:szCs w:val="26"/>
              </w:rPr>
            </w:pPr>
            <w:r w:rsidRPr="00AE6341">
              <w:rPr>
                <w:sz w:val="26"/>
                <w:szCs w:val="26"/>
              </w:rPr>
              <w:t>Salsgiver Telecom Inc.</w:t>
            </w:r>
          </w:p>
        </w:tc>
      </w:tr>
      <w:tr w:rsidR="00AE6341" w:rsidRPr="00AE6341" w14:paraId="7D8ECEEB" w14:textId="77777777" w:rsidTr="00DD4014">
        <w:trPr>
          <w:cantSplit/>
          <w:trHeight w:val="432"/>
        </w:trPr>
        <w:tc>
          <w:tcPr>
            <w:tcW w:w="9360" w:type="dxa"/>
            <w:tcBorders>
              <w:top w:val="single" w:sz="4" w:space="0" w:color="auto"/>
              <w:left w:val="single" w:sz="4" w:space="0" w:color="auto"/>
              <w:bottom w:val="single" w:sz="4" w:space="0" w:color="auto"/>
              <w:right w:val="single" w:sz="4" w:space="0" w:color="auto"/>
            </w:tcBorders>
            <w:noWrap/>
            <w:vAlign w:val="center"/>
          </w:tcPr>
          <w:p w14:paraId="072A51BF" w14:textId="446B6329" w:rsidR="00AE6341" w:rsidRPr="00AE6341" w:rsidRDefault="00AE6341" w:rsidP="00AE6341">
            <w:pPr>
              <w:overflowPunct/>
              <w:autoSpaceDE/>
              <w:autoSpaceDN/>
              <w:adjustRightInd/>
              <w:ind w:left="-23"/>
              <w:textAlignment w:val="auto"/>
              <w:rPr>
                <w:sz w:val="26"/>
                <w:szCs w:val="26"/>
              </w:rPr>
            </w:pPr>
            <w:r>
              <w:rPr>
                <w:sz w:val="26"/>
                <w:szCs w:val="26"/>
              </w:rPr>
              <w:t>Orbital Engineering, Inc.</w:t>
            </w:r>
          </w:p>
        </w:tc>
      </w:tr>
    </w:tbl>
    <w:p w14:paraId="2FE4C42A" w14:textId="2CD9F49B" w:rsidR="00AE6341" w:rsidRPr="00C0451E" w:rsidRDefault="00AE6341" w:rsidP="005A7356">
      <w:pPr>
        <w:pStyle w:val="p14"/>
        <w:rPr>
          <w:sz w:val="26"/>
          <w:szCs w:val="26"/>
        </w:rPr>
      </w:pPr>
    </w:p>
    <w:sectPr w:rsidR="00AE6341" w:rsidRPr="00C0451E" w:rsidSect="00C75B7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EA64" w14:textId="77777777" w:rsidR="00CA3BC8" w:rsidRDefault="00CA3BC8">
      <w:r>
        <w:separator/>
      </w:r>
    </w:p>
  </w:endnote>
  <w:endnote w:type="continuationSeparator" w:id="0">
    <w:p w14:paraId="00954F79" w14:textId="77777777" w:rsidR="00CA3BC8" w:rsidRDefault="00CA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901"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279B3"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C825"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1AB8F1C9"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7DFB" w14:textId="77777777" w:rsidR="00CA3BC8" w:rsidRDefault="00CA3BC8">
      <w:r>
        <w:separator/>
      </w:r>
    </w:p>
  </w:footnote>
  <w:footnote w:type="continuationSeparator" w:id="0">
    <w:p w14:paraId="149A55EE" w14:textId="77777777" w:rsidR="00CA3BC8" w:rsidRDefault="00CA3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4A88"/>
    <w:rsid w:val="00061E62"/>
    <w:rsid w:val="00061ECE"/>
    <w:rsid w:val="000675A4"/>
    <w:rsid w:val="00075AC0"/>
    <w:rsid w:val="000811B9"/>
    <w:rsid w:val="00092C0A"/>
    <w:rsid w:val="000A6AC7"/>
    <w:rsid w:val="000B20C0"/>
    <w:rsid w:val="000E3ECD"/>
    <w:rsid w:val="00107AB8"/>
    <w:rsid w:val="001119EF"/>
    <w:rsid w:val="00142828"/>
    <w:rsid w:val="0015549B"/>
    <w:rsid w:val="001B6DC1"/>
    <w:rsid w:val="001B7588"/>
    <w:rsid w:val="001C01A3"/>
    <w:rsid w:val="001E3846"/>
    <w:rsid w:val="00214C36"/>
    <w:rsid w:val="00217EF7"/>
    <w:rsid w:val="00223465"/>
    <w:rsid w:val="0022503C"/>
    <w:rsid w:val="00225938"/>
    <w:rsid w:val="00250087"/>
    <w:rsid w:val="00250BFF"/>
    <w:rsid w:val="00251C6E"/>
    <w:rsid w:val="00290A3D"/>
    <w:rsid w:val="002A23AC"/>
    <w:rsid w:val="002B18E0"/>
    <w:rsid w:val="002B49E8"/>
    <w:rsid w:val="002C30F7"/>
    <w:rsid w:val="002C7630"/>
    <w:rsid w:val="002E2B14"/>
    <w:rsid w:val="002F7691"/>
    <w:rsid w:val="00304809"/>
    <w:rsid w:val="0035040B"/>
    <w:rsid w:val="00350758"/>
    <w:rsid w:val="00353A13"/>
    <w:rsid w:val="0037498A"/>
    <w:rsid w:val="003A6228"/>
    <w:rsid w:val="003D3563"/>
    <w:rsid w:val="003D5A1D"/>
    <w:rsid w:val="00432646"/>
    <w:rsid w:val="004461D3"/>
    <w:rsid w:val="004465AE"/>
    <w:rsid w:val="004768B5"/>
    <w:rsid w:val="004A4930"/>
    <w:rsid w:val="004B69D5"/>
    <w:rsid w:val="004E58A5"/>
    <w:rsid w:val="004F370A"/>
    <w:rsid w:val="00520427"/>
    <w:rsid w:val="00523A8C"/>
    <w:rsid w:val="00524B6D"/>
    <w:rsid w:val="0052639C"/>
    <w:rsid w:val="005430BC"/>
    <w:rsid w:val="00547454"/>
    <w:rsid w:val="005529E9"/>
    <w:rsid w:val="00571027"/>
    <w:rsid w:val="00572CCC"/>
    <w:rsid w:val="005A6FCE"/>
    <w:rsid w:val="005A7356"/>
    <w:rsid w:val="005C2527"/>
    <w:rsid w:val="005D03E0"/>
    <w:rsid w:val="005F1C61"/>
    <w:rsid w:val="005F3889"/>
    <w:rsid w:val="00600A17"/>
    <w:rsid w:val="006027A7"/>
    <w:rsid w:val="006048E2"/>
    <w:rsid w:val="00613CD5"/>
    <w:rsid w:val="00621EEE"/>
    <w:rsid w:val="00622AFA"/>
    <w:rsid w:val="00664271"/>
    <w:rsid w:val="00674DA8"/>
    <w:rsid w:val="00697266"/>
    <w:rsid w:val="006A01F9"/>
    <w:rsid w:val="006B1962"/>
    <w:rsid w:val="006B2984"/>
    <w:rsid w:val="006B77BE"/>
    <w:rsid w:val="006E5824"/>
    <w:rsid w:val="00747283"/>
    <w:rsid w:val="007632B0"/>
    <w:rsid w:val="00776F80"/>
    <w:rsid w:val="007B2569"/>
    <w:rsid w:val="007B744C"/>
    <w:rsid w:val="007D2A0F"/>
    <w:rsid w:val="007D368E"/>
    <w:rsid w:val="007E6598"/>
    <w:rsid w:val="007F20F0"/>
    <w:rsid w:val="007F37C1"/>
    <w:rsid w:val="00806E34"/>
    <w:rsid w:val="00816287"/>
    <w:rsid w:val="00835BE7"/>
    <w:rsid w:val="008844AF"/>
    <w:rsid w:val="008B5653"/>
    <w:rsid w:val="008C41F9"/>
    <w:rsid w:val="008C7ABF"/>
    <w:rsid w:val="00913515"/>
    <w:rsid w:val="009205C7"/>
    <w:rsid w:val="009248F5"/>
    <w:rsid w:val="00941451"/>
    <w:rsid w:val="00966CE2"/>
    <w:rsid w:val="00976012"/>
    <w:rsid w:val="00981EE0"/>
    <w:rsid w:val="00985472"/>
    <w:rsid w:val="00986B8F"/>
    <w:rsid w:val="0098705D"/>
    <w:rsid w:val="009D5F04"/>
    <w:rsid w:val="00A13935"/>
    <w:rsid w:val="00A172FF"/>
    <w:rsid w:val="00A20BE8"/>
    <w:rsid w:val="00A508B3"/>
    <w:rsid w:val="00A82B74"/>
    <w:rsid w:val="00A82FC9"/>
    <w:rsid w:val="00A9040A"/>
    <w:rsid w:val="00AB2CF1"/>
    <w:rsid w:val="00AB738E"/>
    <w:rsid w:val="00AC6AAA"/>
    <w:rsid w:val="00AD5F40"/>
    <w:rsid w:val="00AE3E24"/>
    <w:rsid w:val="00AE6341"/>
    <w:rsid w:val="00B10F16"/>
    <w:rsid w:val="00B3246D"/>
    <w:rsid w:val="00B363B0"/>
    <w:rsid w:val="00B57B62"/>
    <w:rsid w:val="00B61B17"/>
    <w:rsid w:val="00B9643A"/>
    <w:rsid w:val="00BB02BC"/>
    <w:rsid w:val="00BD7C30"/>
    <w:rsid w:val="00BE2339"/>
    <w:rsid w:val="00BE499A"/>
    <w:rsid w:val="00C01D96"/>
    <w:rsid w:val="00C0451E"/>
    <w:rsid w:val="00C14B6E"/>
    <w:rsid w:val="00C21F02"/>
    <w:rsid w:val="00C366C3"/>
    <w:rsid w:val="00C410FE"/>
    <w:rsid w:val="00C5353F"/>
    <w:rsid w:val="00C75B72"/>
    <w:rsid w:val="00CA3BC8"/>
    <w:rsid w:val="00CD6C97"/>
    <w:rsid w:val="00D21FD0"/>
    <w:rsid w:val="00D45262"/>
    <w:rsid w:val="00D53CF7"/>
    <w:rsid w:val="00D5619D"/>
    <w:rsid w:val="00D61F9F"/>
    <w:rsid w:val="00D7670C"/>
    <w:rsid w:val="00D83182"/>
    <w:rsid w:val="00D850D4"/>
    <w:rsid w:val="00DA4F7F"/>
    <w:rsid w:val="00DA5B65"/>
    <w:rsid w:val="00DB1014"/>
    <w:rsid w:val="00DB623A"/>
    <w:rsid w:val="00DC7F2D"/>
    <w:rsid w:val="00DE520F"/>
    <w:rsid w:val="00DF0470"/>
    <w:rsid w:val="00E15458"/>
    <w:rsid w:val="00E20E18"/>
    <w:rsid w:val="00E35B85"/>
    <w:rsid w:val="00E36544"/>
    <w:rsid w:val="00E441EC"/>
    <w:rsid w:val="00E52E18"/>
    <w:rsid w:val="00E61949"/>
    <w:rsid w:val="00E72D6C"/>
    <w:rsid w:val="00E96680"/>
    <w:rsid w:val="00EA5B39"/>
    <w:rsid w:val="00EA78E6"/>
    <w:rsid w:val="00ED7D4C"/>
    <w:rsid w:val="00F00ABF"/>
    <w:rsid w:val="00F12C4A"/>
    <w:rsid w:val="00F15A31"/>
    <w:rsid w:val="00F25271"/>
    <w:rsid w:val="00F27679"/>
    <w:rsid w:val="00F43BE3"/>
    <w:rsid w:val="00F55B91"/>
    <w:rsid w:val="00F649E4"/>
    <w:rsid w:val="00F67E2A"/>
    <w:rsid w:val="00F77A84"/>
    <w:rsid w:val="00F80429"/>
    <w:rsid w:val="00F90DC1"/>
    <w:rsid w:val="00F91611"/>
    <w:rsid w:val="00FA29A2"/>
    <w:rsid w:val="00FA40BB"/>
    <w:rsid w:val="00FA58EC"/>
    <w:rsid w:val="00FC4B69"/>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B5E0E"/>
  <w15:chartTrackingRefBased/>
  <w15:docId w15:val="{21994C3A-05C3-42BB-A1E8-A5425CB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Revision">
    <w:name w:val="Revision"/>
    <w:hidden/>
    <w:uiPriority w:val="99"/>
    <w:semiHidden/>
    <w:rsid w:val="005474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2004-05-11T12:38:00Z</cp:lastPrinted>
  <dcterms:created xsi:type="dcterms:W3CDTF">2022-02-24T16:57:00Z</dcterms:created>
  <dcterms:modified xsi:type="dcterms:W3CDTF">2022-02-24T16:57:00Z</dcterms:modified>
</cp:coreProperties>
</file>