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15A8D21" w14:textId="77777777" w:rsidTr="00FB6CC8">
        <w:tblPrEx>
          <w:tblCellMar>
            <w:top w:w="0" w:type="dxa"/>
            <w:bottom w:w="0" w:type="dxa"/>
          </w:tblCellMar>
        </w:tblPrEx>
        <w:trPr>
          <w:trHeight w:val="1431"/>
        </w:trPr>
        <w:tc>
          <w:tcPr>
            <w:tcW w:w="1363" w:type="dxa"/>
          </w:tcPr>
          <w:p w14:paraId="46B39E83" w14:textId="3912B8CB" w:rsidR="00043CCF" w:rsidRDefault="005A7E4D" w:rsidP="00043CCF">
            <w:pPr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6CF76B6" wp14:editId="22B29BE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335280</wp:posOffset>
                  </wp:positionV>
                  <wp:extent cx="1670050" cy="548640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D4E83F" w14:textId="77777777" w:rsidR="00C74A51" w:rsidRDefault="00C74A5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49DE9EDD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C81665D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B40F513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60693F9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5678887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FED9169" w14:textId="77777777" w:rsidR="00C74A51" w:rsidRDefault="00043CCF" w:rsidP="00043CCF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57F0585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A79CA5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D551392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3DCB44F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4FE26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51E64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A0588B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59E4EAC0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55A9E960" w14:textId="10712FF8" w:rsidR="00895B8B" w:rsidRDefault="00FB6CC8" w:rsidP="00FB6CC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28, 2022</w:t>
      </w:r>
    </w:p>
    <w:p w14:paraId="726AED2D" w14:textId="77777777" w:rsidR="00422A28" w:rsidRPr="00620964" w:rsidRDefault="00422A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B19C75E" w14:textId="5D1EE705" w:rsidR="00EF2620" w:rsidRPr="002430C3" w:rsidRDefault="00895B8B" w:rsidP="00432DFC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FB191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Re</w:t>
      </w:r>
      <w:r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:</w:t>
      </w:r>
      <w:r w:rsidR="008F3C7A"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5A7E4D" w:rsidRPr="005A7E4D">
        <w:rPr>
          <w:rFonts w:ascii="Microsoft Sans Serif" w:eastAsia="Microsoft Sans Serif" w:hAnsi="Microsoft Sans Serif" w:cs="Microsoft Sans Serif"/>
          <w:b/>
          <w:sz w:val="24"/>
        </w:rPr>
        <w:t>C-2021-3029830</w:t>
      </w:r>
    </w:p>
    <w:p w14:paraId="770229E7" w14:textId="77777777" w:rsidR="00AE3353" w:rsidRDefault="00AE3353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290E6B12" w14:textId="77777777" w:rsidR="00F24FDE" w:rsidRPr="00620964" w:rsidRDefault="00F24FDE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292E5799" w14:textId="77777777" w:rsidR="00422A28" w:rsidRDefault="00422A28" w:rsidP="00CC44B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1E35C0D" w14:textId="2890E983" w:rsidR="00F24FDE" w:rsidRDefault="005A7E4D" w:rsidP="00F24FD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5A7E4D">
        <w:rPr>
          <w:rFonts w:ascii="Microsoft Sans Serif" w:eastAsia="Microsoft Sans Serif" w:hAnsi="Microsoft Sans Serif" w:cs="Microsoft Sans Serif"/>
          <w:b/>
          <w:sz w:val="24"/>
        </w:rPr>
        <w:t xml:space="preserve">Gary Bodkin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5A7E4D">
        <w:rPr>
          <w:rFonts w:ascii="Microsoft Sans Serif" w:eastAsia="Microsoft Sans Serif" w:hAnsi="Microsoft Sans Serif" w:cs="Microsoft Sans Serif"/>
          <w:b/>
          <w:sz w:val="24"/>
        </w:rPr>
        <w:t>. Seneca Resources Company L</w:t>
      </w:r>
      <w:r>
        <w:rPr>
          <w:rFonts w:ascii="Microsoft Sans Serif" w:eastAsia="Microsoft Sans Serif" w:hAnsi="Microsoft Sans Serif" w:cs="Microsoft Sans Serif"/>
          <w:b/>
          <w:sz w:val="24"/>
        </w:rPr>
        <w:t>LC</w:t>
      </w:r>
    </w:p>
    <w:p w14:paraId="5A5AFE69" w14:textId="6FDEE858" w:rsidR="005C55AC" w:rsidRDefault="005C55AC" w:rsidP="00F24FD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55846EE1" w14:textId="77777777" w:rsidR="005C55AC" w:rsidRPr="005A7E4D" w:rsidRDefault="005C55AC" w:rsidP="00F24FD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0E39670B" w14:textId="549E91C4" w:rsidR="00895B8B" w:rsidRDefault="005C55AC" w:rsidP="005C55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C55AC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624AF8D9" w14:textId="77777777" w:rsidR="005C55AC" w:rsidRPr="00620964" w:rsidRDefault="005C55AC" w:rsidP="005C55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B32C658" w14:textId="77777777" w:rsidR="00895B8B" w:rsidRPr="00620964" w:rsidRDefault="00D5554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Motion 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75F00465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3E57C26" w14:textId="17B4FB7A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5A7E4D">
        <w:rPr>
          <w:rFonts w:ascii="Microsoft Sans Serif" w:hAnsi="Microsoft Sans Serif" w:cs="Microsoft Sans Serif"/>
          <w:sz w:val="24"/>
          <w:szCs w:val="24"/>
        </w:rPr>
        <w:t>Steve Haas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Judge</w:t>
      </w:r>
      <w:r w:rsidR="00E81B7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A7E4D">
        <w:rPr>
          <w:rFonts w:ascii="Microsoft Sans Serif" w:hAnsi="Microsoft Sans Serif" w:cs="Microsoft Sans Serif"/>
          <w:sz w:val="24"/>
          <w:szCs w:val="24"/>
        </w:rPr>
        <w:t>Haas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65D86F2E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B2E2C73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756C1177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DE6EC5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2F053426" w14:textId="77777777" w:rsidR="00895B8B" w:rsidRDefault="00895B8B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5AE6347" w14:textId="472934A1" w:rsidR="002F72BE" w:rsidRPr="00620964" w:rsidRDefault="002F72BE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14:paraId="3E2393F4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5EFC68A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AA0803E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A64716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A5FAD6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8BFD3F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C7F0F88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183D6B5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9D0B2CD" w14:textId="77777777" w:rsidR="00432DFC" w:rsidRDefault="00432DFC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6681C2B" w14:textId="77777777" w:rsidR="00F10FA6" w:rsidRDefault="00F10FA6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B678B27" w14:textId="025880B1" w:rsidR="00F91D3D" w:rsidRPr="0041746E" w:rsidRDefault="00F10FA6" w:rsidP="00F91D3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F91D3D" w:rsidRPr="00F91D3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C-2021-3029830 - GARY BODKIN v. SENECA RESOURCES COMPANY LLC</w:t>
      </w:r>
      <w:r w:rsidR="00F91D3D" w:rsidRPr="00F91D3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F91D3D" w:rsidRPr="00F91D3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F91D3D" w:rsidRPr="00F91D3D">
        <w:rPr>
          <w:rFonts w:ascii="Microsoft Sans Serif" w:eastAsia="Microsoft Sans Serif" w:hAnsi="Microsoft Sans Serif" w:cs="Microsoft Sans Serif"/>
          <w:sz w:val="24"/>
          <w:szCs w:val="22"/>
        </w:rPr>
        <w:t>GARY BODKIN</w:t>
      </w:r>
      <w:r w:rsidR="00F91D3D" w:rsidRPr="00F91D3D">
        <w:rPr>
          <w:rFonts w:ascii="Microsoft Sans Serif" w:eastAsia="Microsoft Sans Serif" w:hAnsi="Microsoft Sans Serif" w:cs="Microsoft Sans Serif"/>
          <w:sz w:val="24"/>
          <w:szCs w:val="22"/>
        </w:rPr>
        <w:cr/>
        <w:t>735 LINDHOLM ROAD</w:t>
      </w:r>
      <w:r w:rsidR="00F91D3D" w:rsidRPr="00F91D3D">
        <w:rPr>
          <w:rFonts w:ascii="Microsoft Sans Serif" w:eastAsia="Microsoft Sans Serif" w:hAnsi="Microsoft Sans Serif" w:cs="Microsoft Sans Serif"/>
          <w:sz w:val="24"/>
          <w:szCs w:val="22"/>
        </w:rPr>
        <w:cr/>
        <w:t>MT JEWETT PA  16735</w:t>
      </w:r>
      <w:r w:rsidR="00F91D3D" w:rsidRPr="00F91D3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91D3D" w:rsidRPr="00F91D3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570.415.5634</w:t>
      </w:r>
      <w:r w:rsidR="00F91D3D" w:rsidRPr="00F91D3D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BODKINSG86@GMAIL.COM </w:t>
      </w:r>
      <w:r w:rsidR="00F91D3D" w:rsidRPr="00F91D3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91D3D" w:rsidRPr="00F91D3D">
        <w:rPr>
          <w:rFonts w:ascii="Microsoft Sans Serif" w:eastAsia="Microsoft Sans Serif" w:hAnsi="Microsoft Sans Serif" w:cs="Microsoft Sans Serif"/>
          <w:sz w:val="24"/>
          <w:szCs w:val="22"/>
        </w:rPr>
        <w:cr/>
        <w:t>CHRISTOPHER TREJCHEL ASSISTANT GENERAL COUNSEL</w:t>
      </w:r>
      <w:r w:rsidR="00F91D3D" w:rsidRPr="00F91D3D">
        <w:rPr>
          <w:rFonts w:ascii="Microsoft Sans Serif" w:eastAsia="Microsoft Sans Serif" w:hAnsi="Microsoft Sans Serif" w:cs="Microsoft Sans Serif"/>
          <w:sz w:val="24"/>
          <w:szCs w:val="22"/>
        </w:rPr>
        <w:cr/>
        <w:t>SENECA RESOURCES COMPANY LLC</w:t>
      </w:r>
      <w:r w:rsidR="00F91D3D" w:rsidRPr="00F91D3D">
        <w:rPr>
          <w:rFonts w:ascii="Microsoft Sans Serif" w:eastAsia="Microsoft Sans Serif" w:hAnsi="Microsoft Sans Serif" w:cs="Microsoft Sans Serif"/>
          <w:sz w:val="24"/>
          <w:szCs w:val="22"/>
        </w:rPr>
        <w:cr/>
        <w:t>2000 WESTINGHOUSE DRIVE SUITE 400</w:t>
      </w:r>
      <w:r w:rsidR="00F91D3D" w:rsidRPr="00F91D3D">
        <w:rPr>
          <w:rFonts w:ascii="Microsoft Sans Serif" w:eastAsia="Microsoft Sans Serif" w:hAnsi="Microsoft Sans Serif" w:cs="Microsoft Sans Serif"/>
          <w:sz w:val="24"/>
          <w:szCs w:val="22"/>
        </w:rPr>
        <w:cr/>
        <w:t>CRANBERRY TOWNSHIP PA  1</w:t>
      </w:r>
      <w:r w:rsidR="0041746E">
        <w:rPr>
          <w:rFonts w:ascii="Microsoft Sans Serif" w:eastAsia="Microsoft Sans Serif" w:hAnsi="Microsoft Sans Serif" w:cs="Microsoft Sans Serif"/>
          <w:sz w:val="24"/>
          <w:szCs w:val="22"/>
        </w:rPr>
        <w:t>6066</w:t>
      </w:r>
      <w:r w:rsidR="00F91D3D" w:rsidRPr="00F91D3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91D3D" w:rsidRPr="00F91D3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412.548.2537</w:t>
      </w:r>
      <w:r w:rsidR="00F91D3D" w:rsidRPr="00F91D3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r w:rsidR="00F91D3D" w:rsidRPr="00F91D3D">
        <w:rPr>
          <w:rFonts w:ascii="Microsoft Sans Serif" w:eastAsia="Microsoft Sans Serif" w:hAnsi="Microsoft Sans Serif" w:cs="Microsoft Sans Serif"/>
          <w:sz w:val="24"/>
          <w:szCs w:val="22"/>
        </w:rPr>
        <w:t>trejchelc@srcx.com</w:t>
      </w:r>
      <w:r w:rsidR="00F91D3D" w:rsidRPr="00F91D3D">
        <w:rPr>
          <w:rFonts w:ascii="Microsoft Sans Serif" w:eastAsia="Microsoft Sans Serif" w:hAnsi="Microsoft Sans Serif" w:cs="Microsoft Sans Serif"/>
          <w:sz w:val="24"/>
          <w:szCs w:val="22"/>
        </w:rPr>
        <w:cr/>
        <w:t>Accepts eService</w:t>
      </w:r>
    </w:p>
    <w:p w14:paraId="6E52082B" w14:textId="77777777" w:rsidR="00F91D3D" w:rsidRPr="00F91D3D" w:rsidRDefault="00F91D3D" w:rsidP="00F91D3D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7EED9FEF" w14:textId="5C1051E1" w:rsidR="00432DFC" w:rsidRDefault="00432DFC" w:rsidP="00F91D3D">
      <w:pPr>
        <w:rPr>
          <w:rFonts w:ascii="Microsoft Sans Serif" w:hAnsi="Microsoft Sans Serif" w:cs="Microsoft Sans Serif"/>
          <w:sz w:val="24"/>
          <w:szCs w:val="24"/>
        </w:rPr>
      </w:pPr>
    </w:p>
    <w:p w14:paraId="7D1D8FD4" w14:textId="77777777" w:rsidR="00C57E9A" w:rsidRDefault="00C57E9A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223A987" w14:textId="77777777" w:rsidR="00EF2620" w:rsidRDefault="00EF2620" w:rsidP="00EF2620"/>
    <w:p w14:paraId="5D2BA770" w14:textId="77777777" w:rsidR="00EF2620" w:rsidRPr="004E5EA1" w:rsidRDefault="00EF2620" w:rsidP="00EF2620">
      <w:pPr>
        <w:rPr>
          <w:rFonts w:ascii="Microsoft Sans Serif" w:hAnsi="Microsoft Sans Serif" w:cs="Microsoft Sans Serif"/>
          <w:sz w:val="24"/>
          <w:szCs w:val="24"/>
        </w:rPr>
      </w:pPr>
    </w:p>
    <w:p w14:paraId="6EC35637" w14:textId="77777777" w:rsidR="00C835BC" w:rsidRPr="00620964" w:rsidRDefault="00C835BC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835BC" w:rsidRPr="00620964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DEDE" w14:textId="77777777" w:rsidR="00F66289" w:rsidRDefault="00F66289">
      <w:r>
        <w:separator/>
      </w:r>
    </w:p>
  </w:endnote>
  <w:endnote w:type="continuationSeparator" w:id="0">
    <w:p w14:paraId="3ABABDEC" w14:textId="77777777" w:rsidR="00F66289" w:rsidRDefault="00F6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1256" w14:textId="77777777" w:rsidR="00F66289" w:rsidRDefault="00F66289">
      <w:r>
        <w:separator/>
      </w:r>
    </w:p>
  </w:footnote>
  <w:footnote w:type="continuationSeparator" w:id="0">
    <w:p w14:paraId="1BC655A6" w14:textId="77777777" w:rsidR="00F66289" w:rsidRDefault="00F66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3CCF"/>
    <w:rsid w:val="00067DB3"/>
    <w:rsid w:val="00082CB7"/>
    <w:rsid w:val="000866ED"/>
    <w:rsid w:val="000D0385"/>
    <w:rsid w:val="000D0F4E"/>
    <w:rsid w:val="000D4BD1"/>
    <w:rsid w:val="00110C88"/>
    <w:rsid w:val="001209F1"/>
    <w:rsid w:val="00133EEC"/>
    <w:rsid w:val="0015742B"/>
    <w:rsid w:val="00194482"/>
    <w:rsid w:val="001A1140"/>
    <w:rsid w:val="001A1D15"/>
    <w:rsid w:val="001E1B15"/>
    <w:rsid w:val="00211DF6"/>
    <w:rsid w:val="002229C3"/>
    <w:rsid w:val="002430C3"/>
    <w:rsid w:val="002446FC"/>
    <w:rsid w:val="00251FBD"/>
    <w:rsid w:val="00263F5D"/>
    <w:rsid w:val="00266C0F"/>
    <w:rsid w:val="00277ECA"/>
    <w:rsid w:val="002858A1"/>
    <w:rsid w:val="0029471C"/>
    <w:rsid w:val="002B0DD9"/>
    <w:rsid w:val="002D3080"/>
    <w:rsid w:val="002E1A24"/>
    <w:rsid w:val="002F72BE"/>
    <w:rsid w:val="0030055D"/>
    <w:rsid w:val="00385A90"/>
    <w:rsid w:val="0039117F"/>
    <w:rsid w:val="003A1909"/>
    <w:rsid w:val="003B7FE5"/>
    <w:rsid w:val="003C2936"/>
    <w:rsid w:val="003E6542"/>
    <w:rsid w:val="00411B1D"/>
    <w:rsid w:val="0041746E"/>
    <w:rsid w:val="00422A28"/>
    <w:rsid w:val="00432DFC"/>
    <w:rsid w:val="0044737C"/>
    <w:rsid w:val="00483263"/>
    <w:rsid w:val="004A1ADA"/>
    <w:rsid w:val="004B05EB"/>
    <w:rsid w:val="004C4AAA"/>
    <w:rsid w:val="004D74EF"/>
    <w:rsid w:val="004F78E8"/>
    <w:rsid w:val="00545476"/>
    <w:rsid w:val="005467B3"/>
    <w:rsid w:val="00583F2C"/>
    <w:rsid w:val="005A7E4D"/>
    <w:rsid w:val="005B61D5"/>
    <w:rsid w:val="005C55AC"/>
    <w:rsid w:val="005E25C5"/>
    <w:rsid w:val="006020B9"/>
    <w:rsid w:val="00620964"/>
    <w:rsid w:val="00623486"/>
    <w:rsid w:val="006352B7"/>
    <w:rsid w:val="0064705F"/>
    <w:rsid w:val="00650B73"/>
    <w:rsid w:val="00652A3A"/>
    <w:rsid w:val="0065410F"/>
    <w:rsid w:val="006755C0"/>
    <w:rsid w:val="006925F3"/>
    <w:rsid w:val="006E4D21"/>
    <w:rsid w:val="00701390"/>
    <w:rsid w:val="00714F23"/>
    <w:rsid w:val="00755C94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C5BD4"/>
    <w:rsid w:val="008E7C75"/>
    <w:rsid w:val="008F3C7A"/>
    <w:rsid w:val="009313FD"/>
    <w:rsid w:val="009465D5"/>
    <w:rsid w:val="00974A80"/>
    <w:rsid w:val="009961B8"/>
    <w:rsid w:val="009A0480"/>
    <w:rsid w:val="009F5F66"/>
    <w:rsid w:val="00A45658"/>
    <w:rsid w:val="00A5589D"/>
    <w:rsid w:val="00A93BB0"/>
    <w:rsid w:val="00AC6D4E"/>
    <w:rsid w:val="00AD190D"/>
    <w:rsid w:val="00AE3353"/>
    <w:rsid w:val="00AE701B"/>
    <w:rsid w:val="00B04EBB"/>
    <w:rsid w:val="00B3380C"/>
    <w:rsid w:val="00B54ADA"/>
    <w:rsid w:val="00B56BEA"/>
    <w:rsid w:val="00B94797"/>
    <w:rsid w:val="00BA1DD5"/>
    <w:rsid w:val="00BE31AE"/>
    <w:rsid w:val="00BE5119"/>
    <w:rsid w:val="00C06710"/>
    <w:rsid w:val="00C143E5"/>
    <w:rsid w:val="00C23F08"/>
    <w:rsid w:val="00C5432C"/>
    <w:rsid w:val="00C57E9A"/>
    <w:rsid w:val="00C613F6"/>
    <w:rsid w:val="00C74A51"/>
    <w:rsid w:val="00C835BC"/>
    <w:rsid w:val="00C86E53"/>
    <w:rsid w:val="00CB4DB0"/>
    <w:rsid w:val="00CB5738"/>
    <w:rsid w:val="00CC44B9"/>
    <w:rsid w:val="00CD51B4"/>
    <w:rsid w:val="00D1199A"/>
    <w:rsid w:val="00D17064"/>
    <w:rsid w:val="00D508AD"/>
    <w:rsid w:val="00D53385"/>
    <w:rsid w:val="00D55540"/>
    <w:rsid w:val="00D57CB5"/>
    <w:rsid w:val="00D86019"/>
    <w:rsid w:val="00DB1B82"/>
    <w:rsid w:val="00DF0368"/>
    <w:rsid w:val="00E333FA"/>
    <w:rsid w:val="00E52E11"/>
    <w:rsid w:val="00E5486A"/>
    <w:rsid w:val="00E81B7F"/>
    <w:rsid w:val="00EA06C9"/>
    <w:rsid w:val="00EB23E3"/>
    <w:rsid w:val="00ED10D4"/>
    <w:rsid w:val="00ED4122"/>
    <w:rsid w:val="00EE1200"/>
    <w:rsid w:val="00EE25C3"/>
    <w:rsid w:val="00EF2620"/>
    <w:rsid w:val="00F069FA"/>
    <w:rsid w:val="00F10FA6"/>
    <w:rsid w:val="00F24FDE"/>
    <w:rsid w:val="00F35A46"/>
    <w:rsid w:val="00F51E4C"/>
    <w:rsid w:val="00F60221"/>
    <w:rsid w:val="00F66289"/>
    <w:rsid w:val="00F7094C"/>
    <w:rsid w:val="00F75E97"/>
    <w:rsid w:val="00F87830"/>
    <w:rsid w:val="00F91D3D"/>
    <w:rsid w:val="00FB1914"/>
    <w:rsid w:val="00FB6CC8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8C6098"/>
  <w15:chartTrackingRefBased/>
  <w15:docId w15:val="{046BFC2F-321E-4FC8-B242-34B55464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BCAB05D-4750-4348-9108-0CDCCAB1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Kloiber, Jessica</cp:lastModifiedBy>
  <cp:revision>7</cp:revision>
  <cp:lastPrinted>2003-08-06T17:09:00Z</cp:lastPrinted>
  <dcterms:created xsi:type="dcterms:W3CDTF">2022-02-28T15:50:00Z</dcterms:created>
  <dcterms:modified xsi:type="dcterms:W3CDTF">2022-02-28T16:02:00Z</dcterms:modified>
</cp:coreProperties>
</file>