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4CF76215"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F53502">
        <w:rPr>
          <w:rFonts w:ascii="Arial" w:hAnsi="Arial" w:cs="Arial"/>
          <w:spacing w:val="-3"/>
          <w:sz w:val="22"/>
          <w:szCs w:val="22"/>
        </w:rPr>
        <w:t xml:space="preserve">March 2, </w:t>
      </w:r>
      <w:proofErr w:type="gramStart"/>
      <w:r w:rsidR="00F53502">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F53502" w:rsidRPr="00F53502">
        <w:rPr>
          <w:rFonts w:ascii="Arial" w:hAnsi="Arial" w:cs="Arial"/>
          <w:spacing w:val="-3"/>
          <w:sz w:val="22"/>
          <w:szCs w:val="22"/>
        </w:rPr>
        <w:t>C-2022-3031165</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6F997DBD" w14:textId="1AAFBFB3" w:rsidR="00986678" w:rsidRDefault="00986678" w:rsidP="00986678">
      <w:pPr>
        <w:jc w:val="center"/>
        <w:rPr>
          <w:rFonts w:ascii="Arial" w:hAnsi="Arial" w:cs="Arial"/>
          <w:noProof/>
          <w:sz w:val="22"/>
          <w:szCs w:val="22"/>
        </w:rPr>
      </w:pPr>
    </w:p>
    <w:p w14:paraId="635A07FF" w14:textId="0FF1B6E7" w:rsidR="00815842" w:rsidRDefault="00815842" w:rsidP="00986678">
      <w:pPr>
        <w:jc w:val="center"/>
        <w:rPr>
          <w:rFonts w:ascii="Arial" w:hAnsi="Arial" w:cs="Arial"/>
          <w:noProof/>
          <w:sz w:val="22"/>
          <w:szCs w:val="22"/>
        </w:rPr>
      </w:pPr>
    </w:p>
    <w:p w14:paraId="470279A9" w14:textId="4061B330" w:rsidR="00815842" w:rsidRDefault="00F944B3" w:rsidP="00815842">
      <w:pPr>
        <w:rPr>
          <w:rFonts w:ascii="Arial" w:hAnsi="Arial" w:cs="Arial"/>
          <w:sz w:val="22"/>
          <w:szCs w:val="22"/>
        </w:rPr>
      </w:pPr>
      <w:r>
        <w:rPr>
          <w:rFonts w:ascii="Arial" w:hAnsi="Arial" w:cs="Arial"/>
          <w:sz w:val="22"/>
          <w:szCs w:val="22"/>
        </w:rPr>
        <w:t xml:space="preserve">JAMES KUKURA </w:t>
      </w:r>
      <w:r w:rsidR="00024D9D">
        <w:rPr>
          <w:rFonts w:ascii="Arial" w:hAnsi="Arial" w:cs="Arial"/>
          <w:sz w:val="22"/>
          <w:szCs w:val="22"/>
        </w:rPr>
        <w:t>ASSISTANT MANAGER</w:t>
      </w:r>
    </w:p>
    <w:p w14:paraId="7F241665" w14:textId="58C19EF5" w:rsidR="00024D9D" w:rsidRDefault="00024D9D" w:rsidP="00815842">
      <w:pPr>
        <w:rPr>
          <w:rFonts w:ascii="Arial" w:hAnsi="Arial" w:cs="Arial"/>
          <w:sz w:val="22"/>
          <w:szCs w:val="22"/>
        </w:rPr>
      </w:pPr>
      <w:r>
        <w:rPr>
          <w:rFonts w:ascii="Arial" w:hAnsi="Arial" w:cs="Arial"/>
          <w:sz w:val="22"/>
          <w:szCs w:val="22"/>
        </w:rPr>
        <w:t>GREATER JOHNSTOWN</w:t>
      </w:r>
      <w:r w:rsidR="00DC79AD">
        <w:rPr>
          <w:rFonts w:ascii="Arial" w:hAnsi="Arial" w:cs="Arial"/>
          <w:sz w:val="22"/>
          <w:szCs w:val="22"/>
        </w:rPr>
        <w:t xml:space="preserve"> WATER AUTHORITY</w:t>
      </w:r>
    </w:p>
    <w:p w14:paraId="16FBF918" w14:textId="6C6E5098" w:rsidR="00DC79AD" w:rsidRDefault="00DC79AD" w:rsidP="00815842">
      <w:pPr>
        <w:rPr>
          <w:rFonts w:ascii="Arial" w:hAnsi="Arial" w:cs="Arial"/>
          <w:sz w:val="22"/>
          <w:szCs w:val="22"/>
        </w:rPr>
      </w:pPr>
      <w:r>
        <w:rPr>
          <w:rFonts w:ascii="Arial" w:hAnsi="Arial" w:cs="Arial"/>
          <w:sz w:val="22"/>
          <w:szCs w:val="22"/>
        </w:rPr>
        <w:t>640 FRANKLIN ST</w:t>
      </w:r>
    </w:p>
    <w:p w14:paraId="5F16C523" w14:textId="50952D19" w:rsidR="00DC79AD" w:rsidRDefault="00DC79AD" w:rsidP="00815842">
      <w:pPr>
        <w:rPr>
          <w:rFonts w:ascii="Arial" w:hAnsi="Arial" w:cs="Arial"/>
          <w:sz w:val="22"/>
          <w:szCs w:val="22"/>
        </w:rPr>
      </w:pPr>
      <w:r>
        <w:rPr>
          <w:rFonts w:ascii="Arial" w:hAnsi="Arial" w:cs="Arial"/>
          <w:sz w:val="22"/>
          <w:szCs w:val="22"/>
        </w:rPr>
        <w:t>JOHNSTOWN PA 15</w:t>
      </w:r>
      <w:r w:rsidR="00083EB9">
        <w:rPr>
          <w:rFonts w:ascii="Arial" w:hAnsi="Arial" w:cs="Arial"/>
          <w:sz w:val="22"/>
          <w:szCs w:val="22"/>
        </w:rPr>
        <w:t>901</w:t>
      </w:r>
    </w:p>
    <w:p w14:paraId="05EFED6E" w14:textId="3DBA3190" w:rsidR="00083EB9" w:rsidRPr="001B4F26" w:rsidRDefault="006672CC" w:rsidP="00815842">
      <w:pPr>
        <w:rPr>
          <w:rFonts w:ascii="Arial" w:hAnsi="Arial" w:cs="Arial"/>
          <w:sz w:val="22"/>
          <w:szCs w:val="22"/>
        </w:rPr>
      </w:pPr>
      <w:r w:rsidRPr="006672CC">
        <w:rPr>
          <w:rFonts w:ascii="Arial" w:hAnsi="Arial" w:cs="Arial"/>
          <w:sz w:val="22"/>
          <w:szCs w:val="22"/>
        </w:rPr>
        <w:t>kukura@rdm-gjwa.com</w:t>
      </w: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0F4C8FB7" w:rsidR="00B151EB" w:rsidRPr="001B4F26" w:rsidRDefault="00E662E9" w:rsidP="00B151EB">
      <w:pPr>
        <w:jc w:val="center"/>
        <w:rPr>
          <w:rFonts w:ascii="Arial" w:hAnsi="Arial" w:cs="Arial"/>
          <w:b/>
          <w:bCs/>
          <w:sz w:val="22"/>
          <w:szCs w:val="22"/>
        </w:rPr>
      </w:pPr>
      <w:r>
        <w:rPr>
          <w:rFonts w:ascii="Arial" w:hAnsi="Arial" w:cs="Arial"/>
          <w:b/>
          <w:bCs/>
          <w:sz w:val="22"/>
          <w:szCs w:val="22"/>
        </w:rPr>
        <w:t>Greater Johns</w:t>
      </w:r>
      <w:r w:rsidR="004D0934">
        <w:rPr>
          <w:rFonts w:ascii="Arial" w:hAnsi="Arial" w:cs="Arial"/>
          <w:b/>
          <w:bCs/>
          <w:sz w:val="22"/>
          <w:szCs w:val="22"/>
        </w:rPr>
        <w:t>town Water Authority</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D9D"/>
    <w:rsid w:val="00030A1E"/>
    <w:rsid w:val="000377B1"/>
    <w:rsid w:val="0006058D"/>
    <w:rsid w:val="00067F4D"/>
    <w:rsid w:val="00083EB9"/>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0934"/>
    <w:rsid w:val="004D2698"/>
    <w:rsid w:val="004D57EC"/>
    <w:rsid w:val="005061CB"/>
    <w:rsid w:val="0051639C"/>
    <w:rsid w:val="00526A1A"/>
    <w:rsid w:val="00530C98"/>
    <w:rsid w:val="00563C62"/>
    <w:rsid w:val="005E25C5"/>
    <w:rsid w:val="00602685"/>
    <w:rsid w:val="006439A8"/>
    <w:rsid w:val="006672CC"/>
    <w:rsid w:val="006755C0"/>
    <w:rsid w:val="00685561"/>
    <w:rsid w:val="0071154F"/>
    <w:rsid w:val="0071271A"/>
    <w:rsid w:val="00717C2B"/>
    <w:rsid w:val="007617B1"/>
    <w:rsid w:val="00794CF5"/>
    <w:rsid w:val="007A69A2"/>
    <w:rsid w:val="007C085F"/>
    <w:rsid w:val="007E559B"/>
    <w:rsid w:val="007F7263"/>
    <w:rsid w:val="0081537D"/>
    <w:rsid w:val="00815842"/>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57613"/>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C79AD"/>
    <w:rsid w:val="00DD54F8"/>
    <w:rsid w:val="00DD678C"/>
    <w:rsid w:val="00DE3F29"/>
    <w:rsid w:val="00DE6A07"/>
    <w:rsid w:val="00E24D3E"/>
    <w:rsid w:val="00E349DA"/>
    <w:rsid w:val="00E662E9"/>
    <w:rsid w:val="00EB4DF4"/>
    <w:rsid w:val="00EF5F20"/>
    <w:rsid w:val="00F001A3"/>
    <w:rsid w:val="00F53502"/>
    <w:rsid w:val="00F7094C"/>
    <w:rsid w:val="00F90146"/>
    <w:rsid w:val="00F944B3"/>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2022-03-02T17:53:00Z</dcterms:created>
  <dcterms:modified xsi:type="dcterms:W3CDTF">2022-03-02T17:53:00Z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