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774F251" w:rsidR="00A60DB9" w:rsidRPr="000C3AA9" w:rsidRDefault="00C82AE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ERIN REYNOLDS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D2A02B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# </w:t>
      </w:r>
      <w:r w:rsidR="00C82AEF">
        <w:rPr>
          <w:rFonts w:ascii="Times New Roman" w:hAnsi="Times New Roman"/>
          <w:szCs w:val="24"/>
        </w:rPr>
        <w:t>C-2022-3030540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0653A24A" w:rsidR="00A60DB9" w:rsidRPr="00E71892" w:rsidRDefault="00C82AEF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6789C04B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about </w:t>
      </w:r>
      <w:r w:rsidR="00544D7F">
        <w:rPr>
          <w:rFonts w:ascii="Times New Roman" w:hAnsi="Times New Roman"/>
          <w:szCs w:val="24"/>
        </w:rPr>
        <w:t>January 24, 2022</w:t>
      </w:r>
      <w:r>
        <w:rPr>
          <w:rFonts w:ascii="Times New Roman" w:hAnsi="Times New Roman"/>
          <w:szCs w:val="24"/>
        </w:rPr>
        <w:t xml:space="preserve">, </w:t>
      </w:r>
      <w:r w:rsidR="00DE3813">
        <w:rPr>
          <w:rFonts w:ascii="Times New Roman" w:hAnsi="Times New Roman"/>
          <w:szCs w:val="24"/>
        </w:rPr>
        <w:t>Erin Reynolds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DE3813">
        <w:rPr>
          <w:rFonts w:ascii="Times New Roman" w:hAnsi="Times New Roman"/>
          <w:szCs w:val="24"/>
        </w:rPr>
        <w:t>PECO Energy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057E55">
        <w:rPr>
          <w:rFonts w:ascii="Times New Roman" w:hAnsi="Times New Roman"/>
          <w:szCs w:val="24"/>
        </w:rPr>
        <w:br/>
      </w:r>
      <w:r w:rsidR="00544D7F">
        <w:rPr>
          <w:rFonts w:ascii="Times New Roman" w:hAnsi="Times New Roman"/>
          <w:szCs w:val="24"/>
        </w:rPr>
        <w:t>February 11,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DE3813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7CD7A9BD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E4CFB">
        <w:rPr>
          <w:rFonts w:ascii="Times New Roman" w:hAnsi="Times New Roman"/>
          <w:szCs w:val="24"/>
        </w:rPr>
        <w:t>April 12,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5A9F1F09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4EFE5749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DCB285D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8FDF3FE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473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DE3813">
        <w:rPr>
          <w:rFonts w:ascii="Times New Roman" w:hAnsi="Times New Roman"/>
          <w:szCs w:val="24"/>
        </w:rPr>
        <w:t>March 15,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0B7FE05" w14:textId="77777777" w:rsidR="00DE3813" w:rsidRDefault="00DE3813" w:rsidP="00DE381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C-2022-3030540 - ERIN REYNOLDS v. PECO ENERGY COMPANY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ERIN REYNOLDS</w:t>
      </w:r>
      <w:r>
        <w:rPr>
          <w:rFonts w:ascii="Microsoft Sans Serif" w:eastAsia="Microsoft Sans Serif" w:hAnsi="Microsoft Sans Serif" w:cs="Microsoft Sans Serif"/>
        </w:rPr>
        <w:cr/>
        <w:t>355 RIDGE AVE</w:t>
      </w:r>
      <w:r>
        <w:rPr>
          <w:rFonts w:ascii="Microsoft Sans Serif" w:eastAsia="Microsoft Sans Serif" w:hAnsi="Microsoft Sans Serif" w:cs="Microsoft Sans Serif"/>
        </w:rPr>
        <w:cr/>
        <w:t>SPRING CITY PA  19475</w:t>
      </w:r>
    </w:p>
    <w:p w14:paraId="6D98D863" w14:textId="77777777" w:rsidR="00DE3813" w:rsidRDefault="00DE3813" w:rsidP="00DE3813">
      <w:pPr>
        <w:rPr>
          <w:rFonts w:ascii="Microsoft Sans Serif" w:eastAsia="Microsoft Sans Serif" w:hAnsi="Microsoft Sans Serif" w:cs="Microsoft Sans Serif"/>
        </w:rPr>
      </w:pPr>
      <w:r w:rsidRPr="00081BF4">
        <w:rPr>
          <w:rFonts w:ascii="Microsoft Sans Serif" w:eastAsia="Microsoft Sans Serif" w:hAnsi="Microsoft Sans Serif" w:cs="Microsoft Sans Serif"/>
          <w:b/>
          <w:bCs/>
        </w:rPr>
        <w:t>610.812.4244</w:t>
      </w:r>
      <w:r>
        <w:rPr>
          <w:rFonts w:ascii="Microsoft Sans Serif" w:eastAsia="Microsoft Sans Serif" w:hAnsi="Microsoft Sans Serif" w:cs="Microsoft Sans Serif"/>
        </w:rPr>
        <w:cr/>
        <w:t>baileyerin26@gmail.com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1BB22E40" w14:textId="77777777" w:rsidR="00DE3813" w:rsidRDefault="00DE3813" w:rsidP="00DE3813"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75B29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B75B2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1DA51077" w14:textId="77777777" w:rsidR="00DE3813" w:rsidRDefault="00DE3813" w:rsidP="00DE3813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0F31" w14:textId="77777777" w:rsidR="00A63BCE" w:rsidRDefault="00A63BCE">
      <w:r>
        <w:separator/>
      </w:r>
    </w:p>
  </w:endnote>
  <w:endnote w:type="continuationSeparator" w:id="0">
    <w:p w14:paraId="6AD6D92D" w14:textId="77777777" w:rsidR="00A63BCE" w:rsidRDefault="00A6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0449" w14:textId="77777777" w:rsidR="00A63BCE" w:rsidRDefault="00A63BCE">
      <w:r>
        <w:separator/>
      </w:r>
    </w:p>
  </w:footnote>
  <w:footnote w:type="continuationSeparator" w:id="0">
    <w:p w14:paraId="0472F56B" w14:textId="77777777" w:rsidR="00A63BCE" w:rsidRDefault="00A6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57E55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354B0"/>
    <w:rsid w:val="005360D6"/>
    <w:rsid w:val="00544D7F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BCE"/>
    <w:rsid w:val="00A63EDC"/>
    <w:rsid w:val="00A81C03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E4CFB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82AEF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3813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3546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6</cp:revision>
  <cp:lastPrinted>2017-11-29T15:06:00Z</cp:lastPrinted>
  <dcterms:created xsi:type="dcterms:W3CDTF">2022-03-15T12:05:00Z</dcterms:created>
  <dcterms:modified xsi:type="dcterms:W3CDTF">2022-03-15T12:16:00Z</dcterms:modified>
</cp:coreProperties>
</file>