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E1C29" w14:textId="77777777" w:rsidR="00F936E1" w:rsidRPr="00F538B7" w:rsidRDefault="00F936E1" w:rsidP="00D70A06">
      <w:pPr>
        <w:tabs>
          <w:tab w:val="center" w:pos="4680"/>
        </w:tabs>
        <w:suppressAutoHyphens/>
        <w:jc w:val="center"/>
        <w:rPr>
          <w:b/>
          <w:spacing w:val="-3"/>
          <w:sz w:val="24"/>
          <w:szCs w:val="24"/>
        </w:rPr>
      </w:pPr>
      <w:r w:rsidRPr="00F538B7">
        <w:rPr>
          <w:b/>
          <w:spacing w:val="-3"/>
          <w:sz w:val="24"/>
          <w:szCs w:val="24"/>
        </w:rPr>
        <w:t>BEFORE THE</w:t>
      </w:r>
    </w:p>
    <w:p w14:paraId="458B19BA" w14:textId="77777777" w:rsidR="00F936E1" w:rsidRPr="00F538B7" w:rsidRDefault="00F936E1" w:rsidP="00D70A06">
      <w:pPr>
        <w:tabs>
          <w:tab w:val="center" w:pos="4680"/>
        </w:tabs>
        <w:suppressAutoHyphens/>
        <w:jc w:val="center"/>
        <w:rPr>
          <w:b/>
          <w:spacing w:val="-3"/>
          <w:sz w:val="24"/>
          <w:szCs w:val="24"/>
        </w:rPr>
      </w:pPr>
      <w:r w:rsidRPr="00F538B7">
        <w:rPr>
          <w:b/>
          <w:spacing w:val="-3"/>
          <w:sz w:val="24"/>
          <w:szCs w:val="24"/>
        </w:rPr>
        <w:t>PENNSYLVANIA PUBLIC UTILITY COMMISSION</w:t>
      </w:r>
    </w:p>
    <w:p w14:paraId="0466BD54" w14:textId="77777777" w:rsidR="00F936E1" w:rsidRPr="00F538B7" w:rsidRDefault="00F936E1" w:rsidP="00D70A06">
      <w:pPr>
        <w:tabs>
          <w:tab w:val="left" w:pos="-1440"/>
          <w:tab w:val="left" w:pos="-720"/>
        </w:tabs>
        <w:suppressAutoHyphens/>
        <w:ind w:firstLine="1440"/>
        <w:rPr>
          <w:spacing w:val="-3"/>
          <w:sz w:val="24"/>
          <w:szCs w:val="24"/>
        </w:rPr>
      </w:pPr>
    </w:p>
    <w:p w14:paraId="747A014D" w14:textId="77777777" w:rsidR="00F936E1" w:rsidRPr="00F538B7" w:rsidRDefault="00F936E1" w:rsidP="00D70A06">
      <w:pPr>
        <w:tabs>
          <w:tab w:val="left" w:pos="-1440"/>
          <w:tab w:val="left" w:pos="-720"/>
        </w:tabs>
        <w:suppressAutoHyphens/>
        <w:ind w:firstLine="1440"/>
        <w:rPr>
          <w:spacing w:val="-3"/>
          <w:sz w:val="24"/>
          <w:szCs w:val="24"/>
        </w:rPr>
      </w:pPr>
    </w:p>
    <w:p w14:paraId="0790D33F" w14:textId="77777777" w:rsidR="00F936E1" w:rsidRPr="00F538B7" w:rsidRDefault="00F936E1" w:rsidP="00D70A06">
      <w:pPr>
        <w:tabs>
          <w:tab w:val="left" w:pos="-1440"/>
          <w:tab w:val="left" w:pos="-720"/>
        </w:tabs>
        <w:suppressAutoHyphens/>
        <w:ind w:firstLine="1440"/>
        <w:rPr>
          <w:spacing w:val="-3"/>
          <w:sz w:val="24"/>
          <w:szCs w:val="24"/>
        </w:rPr>
      </w:pPr>
    </w:p>
    <w:p w14:paraId="5A04DD7E" w14:textId="24B4B8A2" w:rsidR="00F936E1" w:rsidRPr="00F538B7" w:rsidRDefault="00E24990" w:rsidP="00D70A06">
      <w:pPr>
        <w:tabs>
          <w:tab w:val="left" w:pos="-1440"/>
          <w:tab w:val="left" w:pos="-720"/>
        </w:tabs>
        <w:suppressAutoHyphens/>
        <w:rPr>
          <w:spacing w:val="-3"/>
          <w:sz w:val="24"/>
          <w:szCs w:val="24"/>
        </w:rPr>
      </w:pPr>
      <w:r>
        <w:rPr>
          <w:spacing w:val="-3"/>
          <w:sz w:val="24"/>
          <w:szCs w:val="24"/>
        </w:rPr>
        <w:t>Gary Bodkin</w:t>
      </w:r>
      <w:r>
        <w:rPr>
          <w:spacing w:val="-3"/>
          <w:sz w:val="24"/>
          <w:szCs w:val="24"/>
        </w:rPr>
        <w:tab/>
      </w:r>
      <w:r w:rsidR="00271244">
        <w:rPr>
          <w:spacing w:val="-3"/>
          <w:sz w:val="24"/>
          <w:szCs w:val="24"/>
        </w:rPr>
        <w:tab/>
      </w:r>
      <w:r w:rsidR="00F936E1" w:rsidRPr="00F538B7">
        <w:rPr>
          <w:spacing w:val="-3"/>
          <w:sz w:val="24"/>
          <w:szCs w:val="24"/>
        </w:rPr>
        <w:tab/>
      </w:r>
      <w:r w:rsidR="00F936E1" w:rsidRPr="00F538B7">
        <w:rPr>
          <w:spacing w:val="-3"/>
          <w:sz w:val="24"/>
          <w:szCs w:val="24"/>
        </w:rPr>
        <w:tab/>
      </w:r>
      <w:r w:rsidR="00F936E1" w:rsidRPr="00F538B7">
        <w:rPr>
          <w:spacing w:val="-3"/>
          <w:sz w:val="24"/>
          <w:szCs w:val="24"/>
        </w:rPr>
        <w:tab/>
      </w:r>
      <w:r w:rsidR="00F936E1" w:rsidRPr="00F538B7">
        <w:rPr>
          <w:spacing w:val="-3"/>
          <w:sz w:val="24"/>
          <w:szCs w:val="24"/>
        </w:rPr>
        <w:tab/>
        <w:t>:</w:t>
      </w:r>
    </w:p>
    <w:p w14:paraId="07B2212A" w14:textId="77777777" w:rsidR="00F936E1" w:rsidRPr="00F538B7" w:rsidRDefault="00F936E1" w:rsidP="00D70A06">
      <w:pPr>
        <w:tabs>
          <w:tab w:val="left" w:pos="-1440"/>
          <w:tab w:val="left" w:pos="-720"/>
        </w:tabs>
        <w:suppressAutoHyphens/>
        <w:rPr>
          <w:spacing w:val="-3"/>
          <w:sz w:val="24"/>
          <w:szCs w:val="24"/>
        </w:rPr>
      </w:pP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t>:</w:t>
      </w:r>
    </w:p>
    <w:p w14:paraId="57AEFB6F" w14:textId="420B60EA" w:rsidR="00F936E1" w:rsidRPr="00F538B7" w:rsidRDefault="00F936E1" w:rsidP="00D70A06">
      <w:pPr>
        <w:tabs>
          <w:tab w:val="left" w:pos="-1440"/>
          <w:tab w:val="left" w:pos="-720"/>
        </w:tabs>
        <w:suppressAutoHyphens/>
        <w:rPr>
          <w:sz w:val="24"/>
          <w:szCs w:val="24"/>
        </w:rPr>
      </w:pPr>
      <w:r w:rsidRPr="00F538B7">
        <w:rPr>
          <w:spacing w:val="-3"/>
          <w:sz w:val="24"/>
          <w:szCs w:val="24"/>
        </w:rPr>
        <w:tab/>
        <w:t>v.</w:t>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t>:</w:t>
      </w:r>
      <w:r w:rsidRPr="00F538B7">
        <w:rPr>
          <w:spacing w:val="-3"/>
          <w:sz w:val="24"/>
          <w:szCs w:val="24"/>
        </w:rPr>
        <w:tab/>
      </w:r>
      <w:r w:rsidRPr="00F538B7">
        <w:rPr>
          <w:spacing w:val="-3"/>
          <w:sz w:val="24"/>
          <w:szCs w:val="24"/>
        </w:rPr>
        <w:tab/>
        <w:t>C</w:t>
      </w:r>
      <w:r w:rsidRPr="00F538B7">
        <w:rPr>
          <w:sz w:val="24"/>
          <w:szCs w:val="24"/>
        </w:rPr>
        <w:t>-20</w:t>
      </w:r>
      <w:r w:rsidR="00CC2305">
        <w:rPr>
          <w:sz w:val="24"/>
          <w:szCs w:val="24"/>
        </w:rPr>
        <w:t>21-3029830</w:t>
      </w:r>
    </w:p>
    <w:p w14:paraId="6EF0AD7C" w14:textId="77777777" w:rsidR="00F936E1" w:rsidRPr="00F538B7" w:rsidRDefault="00F936E1" w:rsidP="00D70A06">
      <w:pPr>
        <w:tabs>
          <w:tab w:val="left" w:pos="-1440"/>
          <w:tab w:val="left" w:pos="-720"/>
        </w:tabs>
        <w:suppressAutoHyphens/>
        <w:rPr>
          <w:spacing w:val="-3"/>
          <w:sz w:val="24"/>
          <w:szCs w:val="24"/>
        </w:rPr>
      </w:pP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t>:</w:t>
      </w:r>
    </w:p>
    <w:p w14:paraId="223C57EC" w14:textId="7B5A7D53" w:rsidR="00F936E1" w:rsidRPr="00F538B7" w:rsidRDefault="00E24990" w:rsidP="00D70A06">
      <w:pPr>
        <w:tabs>
          <w:tab w:val="left" w:pos="-1440"/>
          <w:tab w:val="left" w:pos="-720"/>
        </w:tabs>
        <w:suppressAutoHyphens/>
        <w:rPr>
          <w:spacing w:val="-3"/>
          <w:sz w:val="24"/>
          <w:szCs w:val="24"/>
        </w:rPr>
      </w:pPr>
      <w:r>
        <w:rPr>
          <w:spacing w:val="-3"/>
          <w:sz w:val="24"/>
          <w:szCs w:val="24"/>
        </w:rPr>
        <w:t>Seneca Resources Company, LLC</w:t>
      </w:r>
      <w:r>
        <w:rPr>
          <w:spacing w:val="-3"/>
          <w:sz w:val="24"/>
          <w:szCs w:val="24"/>
        </w:rPr>
        <w:tab/>
      </w:r>
      <w:r w:rsidR="00F936E1" w:rsidRPr="00F538B7">
        <w:rPr>
          <w:spacing w:val="-3"/>
          <w:sz w:val="24"/>
          <w:szCs w:val="24"/>
        </w:rPr>
        <w:tab/>
      </w:r>
      <w:r w:rsidR="00F936E1" w:rsidRPr="00F538B7">
        <w:rPr>
          <w:spacing w:val="-3"/>
          <w:sz w:val="24"/>
          <w:szCs w:val="24"/>
        </w:rPr>
        <w:tab/>
        <w:t>:</w:t>
      </w:r>
    </w:p>
    <w:p w14:paraId="0005C58A" w14:textId="4991D33D" w:rsidR="00F936E1" w:rsidRDefault="00F936E1" w:rsidP="00D70A06">
      <w:pPr>
        <w:tabs>
          <w:tab w:val="left" w:pos="-1440"/>
          <w:tab w:val="left" w:pos="-720"/>
        </w:tabs>
        <w:suppressAutoHyphens/>
        <w:rPr>
          <w:spacing w:val="-3"/>
          <w:sz w:val="24"/>
          <w:szCs w:val="24"/>
        </w:rPr>
      </w:pPr>
    </w:p>
    <w:p w14:paraId="7A61AA04" w14:textId="77777777" w:rsidR="00CC2305" w:rsidRPr="00F538B7" w:rsidRDefault="00CC2305" w:rsidP="00D70A06">
      <w:pPr>
        <w:tabs>
          <w:tab w:val="left" w:pos="-1440"/>
          <w:tab w:val="left" w:pos="-720"/>
        </w:tabs>
        <w:suppressAutoHyphens/>
        <w:rPr>
          <w:spacing w:val="-3"/>
          <w:sz w:val="24"/>
          <w:szCs w:val="24"/>
        </w:rPr>
      </w:pPr>
    </w:p>
    <w:p w14:paraId="7877F993" w14:textId="77777777" w:rsidR="00F936E1" w:rsidRPr="00F538B7" w:rsidRDefault="00F936E1" w:rsidP="00D70A06">
      <w:pPr>
        <w:tabs>
          <w:tab w:val="left" w:pos="-1440"/>
          <w:tab w:val="left" w:pos="-720"/>
        </w:tabs>
        <w:suppressAutoHyphens/>
        <w:rPr>
          <w:spacing w:val="-3"/>
          <w:sz w:val="24"/>
          <w:szCs w:val="24"/>
        </w:rPr>
      </w:pPr>
    </w:p>
    <w:p w14:paraId="2DAE7052" w14:textId="77777777" w:rsidR="00F936E1" w:rsidRPr="00F538B7" w:rsidRDefault="009029C3" w:rsidP="00D70A06">
      <w:pPr>
        <w:tabs>
          <w:tab w:val="center" w:pos="4680"/>
        </w:tabs>
        <w:suppressAutoHyphens/>
        <w:jc w:val="center"/>
        <w:rPr>
          <w:b/>
          <w:spacing w:val="-3"/>
          <w:sz w:val="24"/>
          <w:szCs w:val="24"/>
          <w:u w:val="single"/>
        </w:rPr>
      </w:pPr>
      <w:r>
        <w:rPr>
          <w:b/>
          <w:spacing w:val="-3"/>
          <w:sz w:val="24"/>
          <w:szCs w:val="24"/>
          <w:u w:val="single"/>
        </w:rPr>
        <w:t>ORDER DENYING PRELIMINARY OBJECTIONS</w:t>
      </w:r>
    </w:p>
    <w:p w14:paraId="616FC394" w14:textId="77777777" w:rsidR="00F936E1" w:rsidRDefault="00F936E1" w:rsidP="00583D9F">
      <w:pPr>
        <w:tabs>
          <w:tab w:val="left" w:pos="-1440"/>
          <w:tab w:val="left" w:pos="-720"/>
        </w:tabs>
        <w:suppressAutoHyphens/>
        <w:spacing w:line="360" w:lineRule="auto"/>
        <w:ind w:firstLine="1440"/>
        <w:jc w:val="center"/>
        <w:rPr>
          <w:spacing w:val="-3"/>
          <w:sz w:val="24"/>
          <w:szCs w:val="24"/>
        </w:rPr>
      </w:pPr>
    </w:p>
    <w:p w14:paraId="17AEE726" w14:textId="77777777" w:rsidR="00F936E1" w:rsidRPr="00F538B7" w:rsidRDefault="00F936E1" w:rsidP="00D70A06">
      <w:pPr>
        <w:tabs>
          <w:tab w:val="center" w:pos="4680"/>
        </w:tabs>
        <w:suppressAutoHyphens/>
        <w:jc w:val="center"/>
        <w:rPr>
          <w:spacing w:val="-3"/>
          <w:sz w:val="24"/>
          <w:szCs w:val="24"/>
          <w:u w:val="single"/>
        </w:rPr>
      </w:pPr>
      <w:r w:rsidRPr="00F538B7">
        <w:rPr>
          <w:spacing w:val="-3"/>
          <w:sz w:val="24"/>
          <w:szCs w:val="24"/>
          <w:u w:val="single"/>
        </w:rPr>
        <w:t>HISTORY OF THE PROCEEDING</w:t>
      </w:r>
    </w:p>
    <w:p w14:paraId="4079EB1C" w14:textId="77777777" w:rsidR="00F936E1" w:rsidRPr="00F538B7" w:rsidRDefault="00F936E1" w:rsidP="00583D9F">
      <w:pPr>
        <w:tabs>
          <w:tab w:val="left" w:pos="-1440"/>
          <w:tab w:val="left" w:pos="-720"/>
        </w:tabs>
        <w:suppressAutoHyphens/>
        <w:spacing w:line="360" w:lineRule="auto"/>
        <w:ind w:firstLine="1440"/>
        <w:rPr>
          <w:spacing w:val="-3"/>
          <w:sz w:val="24"/>
          <w:szCs w:val="24"/>
        </w:rPr>
      </w:pPr>
    </w:p>
    <w:p w14:paraId="203D63BF" w14:textId="063D50B3" w:rsidR="00EA4BA4" w:rsidRDefault="00034B41" w:rsidP="00D70A06">
      <w:pPr>
        <w:spacing w:line="360" w:lineRule="auto"/>
        <w:rPr>
          <w:spacing w:val="-3"/>
          <w:sz w:val="24"/>
          <w:szCs w:val="24"/>
        </w:rPr>
      </w:pPr>
      <w:r>
        <w:rPr>
          <w:spacing w:val="-3"/>
          <w:sz w:val="24"/>
          <w:szCs w:val="24"/>
        </w:rPr>
        <w:tab/>
      </w:r>
      <w:r>
        <w:rPr>
          <w:spacing w:val="-3"/>
          <w:sz w:val="24"/>
          <w:szCs w:val="24"/>
        </w:rPr>
        <w:tab/>
        <w:t>On</w:t>
      </w:r>
      <w:r w:rsidR="008B0282">
        <w:rPr>
          <w:spacing w:val="-3"/>
          <w:sz w:val="24"/>
          <w:szCs w:val="24"/>
        </w:rPr>
        <w:t xml:space="preserve"> November 10, 2021</w:t>
      </w:r>
      <w:r>
        <w:rPr>
          <w:spacing w:val="-3"/>
          <w:sz w:val="24"/>
          <w:szCs w:val="24"/>
        </w:rPr>
        <w:t xml:space="preserve">, </w:t>
      </w:r>
      <w:r w:rsidR="008B0282">
        <w:rPr>
          <w:spacing w:val="-3"/>
          <w:sz w:val="24"/>
          <w:szCs w:val="24"/>
        </w:rPr>
        <w:t>the Complainant, Gary Bodkin,</w:t>
      </w:r>
      <w:r>
        <w:rPr>
          <w:spacing w:val="-3"/>
          <w:sz w:val="24"/>
          <w:szCs w:val="24"/>
        </w:rPr>
        <w:t xml:space="preserve"> filed a formal </w:t>
      </w:r>
      <w:r w:rsidR="008B0282">
        <w:rPr>
          <w:spacing w:val="-3"/>
          <w:sz w:val="24"/>
          <w:szCs w:val="24"/>
        </w:rPr>
        <w:t>c</w:t>
      </w:r>
      <w:r>
        <w:rPr>
          <w:spacing w:val="-3"/>
          <w:sz w:val="24"/>
          <w:szCs w:val="24"/>
        </w:rPr>
        <w:t>omplaint with</w:t>
      </w:r>
      <w:r w:rsidR="009029C3">
        <w:rPr>
          <w:spacing w:val="-3"/>
          <w:sz w:val="24"/>
          <w:szCs w:val="24"/>
        </w:rPr>
        <w:t xml:space="preserve"> </w:t>
      </w:r>
      <w:r>
        <w:rPr>
          <w:spacing w:val="-3"/>
          <w:sz w:val="24"/>
          <w:szCs w:val="24"/>
        </w:rPr>
        <w:t xml:space="preserve">the Pennsylvania Public Utility Commission (Commission) against </w:t>
      </w:r>
      <w:r w:rsidR="0015269C">
        <w:rPr>
          <w:spacing w:val="-3"/>
          <w:sz w:val="24"/>
          <w:szCs w:val="24"/>
        </w:rPr>
        <w:t>Seneca Resources Company, LLC (Seneca)</w:t>
      </w:r>
      <w:r w:rsidR="00EA47FA">
        <w:rPr>
          <w:spacing w:val="-3"/>
          <w:sz w:val="24"/>
          <w:szCs w:val="24"/>
        </w:rPr>
        <w:t xml:space="preserve">.  In his complaint, Mr. Bodkin alleges </w:t>
      </w:r>
      <w:r w:rsidR="00581D33">
        <w:rPr>
          <w:spacing w:val="-3"/>
          <w:sz w:val="24"/>
          <w:szCs w:val="24"/>
        </w:rPr>
        <w:t xml:space="preserve">that, beginning in August 2020, </w:t>
      </w:r>
      <w:r w:rsidR="006F4C51">
        <w:rPr>
          <w:spacing w:val="-3"/>
          <w:sz w:val="24"/>
          <w:szCs w:val="24"/>
        </w:rPr>
        <w:t xml:space="preserve">he </w:t>
      </w:r>
      <w:r w:rsidR="00233A0D">
        <w:rPr>
          <w:spacing w:val="-3"/>
          <w:sz w:val="24"/>
          <w:szCs w:val="24"/>
        </w:rPr>
        <w:t xml:space="preserve">began </w:t>
      </w:r>
      <w:r w:rsidR="00581D33">
        <w:rPr>
          <w:spacing w:val="-3"/>
          <w:sz w:val="24"/>
          <w:szCs w:val="24"/>
        </w:rPr>
        <w:t>experienc</w:t>
      </w:r>
      <w:r w:rsidR="00233A0D">
        <w:rPr>
          <w:spacing w:val="-3"/>
          <w:sz w:val="24"/>
          <w:szCs w:val="24"/>
        </w:rPr>
        <w:t>ing</w:t>
      </w:r>
      <w:r w:rsidR="00581D33">
        <w:rPr>
          <w:spacing w:val="-3"/>
          <w:sz w:val="24"/>
          <w:szCs w:val="24"/>
        </w:rPr>
        <w:t xml:space="preserve"> a vibration and associated hum</w:t>
      </w:r>
      <w:r w:rsidR="00BE6BCA">
        <w:rPr>
          <w:spacing w:val="-3"/>
          <w:sz w:val="24"/>
          <w:szCs w:val="24"/>
        </w:rPr>
        <w:t>ming</w:t>
      </w:r>
      <w:r w:rsidR="00581D33">
        <w:rPr>
          <w:spacing w:val="-3"/>
          <w:sz w:val="24"/>
          <w:szCs w:val="24"/>
        </w:rPr>
        <w:t xml:space="preserve"> noise</w:t>
      </w:r>
      <w:r w:rsidR="00EF5F53">
        <w:rPr>
          <w:spacing w:val="-3"/>
          <w:sz w:val="24"/>
          <w:szCs w:val="24"/>
        </w:rPr>
        <w:t xml:space="preserve"> at his property</w:t>
      </w:r>
      <w:r w:rsidR="00BE6BCA">
        <w:rPr>
          <w:spacing w:val="-3"/>
          <w:sz w:val="24"/>
          <w:szCs w:val="24"/>
        </w:rPr>
        <w:t xml:space="preserve">.  </w:t>
      </w:r>
      <w:r w:rsidR="0007441E">
        <w:rPr>
          <w:spacing w:val="-3"/>
          <w:sz w:val="24"/>
          <w:szCs w:val="24"/>
        </w:rPr>
        <w:t xml:space="preserve">Mr. Bodkin alleges that the </w:t>
      </w:r>
      <w:r w:rsidR="007F1DCF">
        <w:rPr>
          <w:spacing w:val="-3"/>
          <w:sz w:val="24"/>
          <w:szCs w:val="24"/>
        </w:rPr>
        <w:t>vibration and hum ha</w:t>
      </w:r>
      <w:r w:rsidR="00955114">
        <w:rPr>
          <w:spacing w:val="-3"/>
          <w:sz w:val="24"/>
          <w:szCs w:val="24"/>
        </w:rPr>
        <w:t>ve</w:t>
      </w:r>
      <w:r w:rsidR="007F1DCF">
        <w:rPr>
          <w:spacing w:val="-3"/>
          <w:sz w:val="24"/>
          <w:szCs w:val="24"/>
        </w:rPr>
        <w:t xml:space="preserve"> caused him to </w:t>
      </w:r>
      <w:r w:rsidR="002A2593">
        <w:rPr>
          <w:spacing w:val="-3"/>
          <w:sz w:val="24"/>
          <w:szCs w:val="24"/>
        </w:rPr>
        <w:t xml:space="preserve">experience </w:t>
      </w:r>
      <w:r w:rsidR="007F1DCF">
        <w:rPr>
          <w:spacing w:val="-3"/>
          <w:sz w:val="24"/>
          <w:szCs w:val="24"/>
        </w:rPr>
        <w:t xml:space="preserve">adverse health </w:t>
      </w:r>
      <w:r w:rsidR="00444DE6">
        <w:rPr>
          <w:spacing w:val="-3"/>
          <w:sz w:val="24"/>
          <w:szCs w:val="24"/>
        </w:rPr>
        <w:t>effects and has forced resident mamm</w:t>
      </w:r>
      <w:r w:rsidR="00D031EC">
        <w:rPr>
          <w:spacing w:val="-3"/>
          <w:sz w:val="24"/>
          <w:szCs w:val="24"/>
        </w:rPr>
        <w:t>a</w:t>
      </w:r>
      <w:r w:rsidR="00444DE6">
        <w:rPr>
          <w:spacing w:val="-3"/>
          <w:sz w:val="24"/>
          <w:szCs w:val="24"/>
        </w:rPr>
        <w:t>ls</w:t>
      </w:r>
      <w:r w:rsidR="00D031EC">
        <w:rPr>
          <w:spacing w:val="-3"/>
          <w:sz w:val="24"/>
          <w:szCs w:val="24"/>
        </w:rPr>
        <w:t xml:space="preserve"> </w:t>
      </w:r>
      <w:r w:rsidR="002A2593">
        <w:rPr>
          <w:spacing w:val="-3"/>
          <w:sz w:val="24"/>
          <w:szCs w:val="24"/>
        </w:rPr>
        <w:t>from</w:t>
      </w:r>
      <w:r w:rsidR="00D031EC">
        <w:rPr>
          <w:spacing w:val="-3"/>
          <w:sz w:val="24"/>
          <w:szCs w:val="24"/>
        </w:rPr>
        <w:t xml:space="preserve"> the area.  </w:t>
      </w:r>
      <w:r w:rsidR="00CF62DE">
        <w:rPr>
          <w:spacing w:val="-3"/>
          <w:sz w:val="24"/>
          <w:szCs w:val="24"/>
        </w:rPr>
        <w:t xml:space="preserve">He </w:t>
      </w:r>
      <w:r w:rsidR="00976A4F">
        <w:rPr>
          <w:spacing w:val="-3"/>
          <w:sz w:val="24"/>
          <w:szCs w:val="24"/>
        </w:rPr>
        <w:t xml:space="preserve">states </w:t>
      </w:r>
      <w:r w:rsidR="003D7AB0">
        <w:rPr>
          <w:spacing w:val="-3"/>
          <w:sz w:val="24"/>
          <w:szCs w:val="24"/>
        </w:rPr>
        <w:t xml:space="preserve">the vibration and noise </w:t>
      </w:r>
      <w:r w:rsidR="00E5143F">
        <w:rPr>
          <w:spacing w:val="-3"/>
          <w:sz w:val="24"/>
          <w:szCs w:val="24"/>
        </w:rPr>
        <w:t xml:space="preserve">is occurring </w:t>
      </w:r>
      <w:r w:rsidR="006F18CA">
        <w:rPr>
          <w:spacing w:val="-3"/>
          <w:sz w:val="24"/>
          <w:szCs w:val="24"/>
        </w:rPr>
        <w:t xml:space="preserve">on his property and in an area of approximately eight square miles around his property.  </w:t>
      </w:r>
      <w:r w:rsidR="00D52311">
        <w:rPr>
          <w:spacing w:val="-3"/>
          <w:sz w:val="24"/>
          <w:szCs w:val="24"/>
        </w:rPr>
        <w:t xml:space="preserve">He alleges he </w:t>
      </w:r>
      <w:r w:rsidR="006D78C5">
        <w:rPr>
          <w:spacing w:val="-3"/>
          <w:sz w:val="24"/>
          <w:szCs w:val="24"/>
        </w:rPr>
        <w:t>detect</w:t>
      </w:r>
      <w:r w:rsidR="00D52311">
        <w:rPr>
          <w:spacing w:val="-3"/>
          <w:sz w:val="24"/>
          <w:szCs w:val="24"/>
        </w:rPr>
        <w:t xml:space="preserve">ed </w:t>
      </w:r>
      <w:r w:rsidR="00CE2827">
        <w:rPr>
          <w:spacing w:val="-3"/>
          <w:sz w:val="24"/>
          <w:szCs w:val="24"/>
        </w:rPr>
        <w:t>the identical vibration and hum six miles away from his property at coordinates 41</w:t>
      </w:r>
      <w:r w:rsidR="00B07F90">
        <w:rPr>
          <w:spacing w:val="-3"/>
          <w:sz w:val="24"/>
          <w:szCs w:val="24"/>
        </w:rPr>
        <w:t xml:space="preserve">.70040-78.49926.  He alleges that Seneca has equipment located </w:t>
      </w:r>
      <w:r w:rsidR="0003193F">
        <w:rPr>
          <w:spacing w:val="-3"/>
          <w:sz w:val="24"/>
          <w:szCs w:val="24"/>
        </w:rPr>
        <w:t xml:space="preserve">or connected to the source of the problem </w:t>
      </w:r>
      <w:r w:rsidR="00B07F90">
        <w:rPr>
          <w:spacing w:val="-3"/>
          <w:sz w:val="24"/>
          <w:szCs w:val="24"/>
        </w:rPr>
        <w:t xml:space="preserve">at these coordinates.  </w:t>
      </w:r>
      <w:r w:rsidR="00795B2F">
        <w:rPr>
          <w:spacing w:val="-3"/>
          <w:sz w:val="24"/>
          <w:szCs w:val="24"/>
        </w:rPr>
        <w:t xml:space="preserve">By way of relief, Mr. Bodkin requests that </w:t>
      </w:r>
      <w:r w:rsidR="00D61E10">
        <w:rPr>
          <w:spacing w:val="-3"/>
          <w:sz w:val="24"/>
          <w:szCs w:val="24"/>
        </w:rPr>
        <w:t>Seneca reduce the flow/rate/pressure in its system</w:t>
      </w:r>
      <w:r w:rsidR="00A06E74">
        <w:rPr>
          <w:spacing w:val="-3"/>
          <w:sz w:val="24"/>
          <w:szCs w:val="24"/>
        </w:rPr>
        <w:t xml:space="preserve"> to eliminate the vibration.</w:t>
      </w:r>
      <w:r w:rsidR="00D031EC">
        <w:rPr>
          <w:spacing w:val="-3"/>
          <w:sz w:val="24"/>
          <w:szCs w:val="24"/>
        </w:rPr>
        <w:t xml:space="preserve"> </w:t>
      </w:r>
      <w:r w:rsidR="007F1DCF">
        <w:rPr>
          <w:spacing w:val="-3"/>
          <w:sz w:val="24"/>
          <w:szCs w:val="24"/>
        </w:rPr>
        <w:t xml:space="preserve"> </w:t>
      </w:r>
      <w:r w:rsidR="008556C2">
        <w:rPr>
          <w:spacing w:val="-3"/>
          <w:sz w:val="24"/>
          <w:szCs w:val="24"/>
        </w:rPr>
        <w:t xml:space="preserve"> </w:t>
      </w:r>
      <w:r>
        <w:rPr>
          <w:spacing w:val="-3"/>
          <w:sz w:val="24"/>
          <w:szCs w:val="24"/>
        </w:rPr>
        <w:t xml:space="preserve"> </w:t>
      </w:r>
    </w:p>
    <w:p w14:paraId="6E28504E" w14:textId="77777777" w:rsidR="00493C6F" w:rsidRDefault="00493C6F" w:rsidP="00D70A06">
      <w:pPr>
        <w:spacing w:line="360" w:lineRule="auto"/>
        <w:rPr>
          <w:spacing w:val="-3"/>
          <w:sz w:val="24"/>
          <w:szCs w:val="24"/>
        </w:rPr>
      </w:pPr>
    </w:p>
    <w:p w14:paraId="1B9DA9D6" w14:textId="3E410117" w:rsidR="001A5FB1" w:rsidRPr="001A5FB1" w:rsidRDefault="004C42DD" w:rsidP="00D70A06">
      <w:pPr>
        <w:spacing w:line="360" w:lineRule="auto"/>
        <w:rPr>
          <w:spacing w:val="-3"/>
          <w:sz w:val="24"/>
          <w:szCs w:val="24"/>
        </w:rPr>
      </w:pPr>
      <w:r>
        <w:rPr>
          <w:spacing w:val="-3"/>
          <w:sz w:val="24"/>
          <w:szCs w:val="24"/>
        </w:rPr>
        <w:tab/>
      </w:r>
      <w:r>
        <w:rPr>
          <w:spacing w:val="-3"/>
          <w:sz w:val="24"/>
          <w:szCs w:val="24"/>
        </w:rPr>
        <w:tab/>
      </w:r>
      <w:r w:rsidR="0094208F" w:rsidRPr="00F538B7">
        <w:rPr>
          <w:spacing w:val="-3"/>
          <w:sz w:val="24"/>
          <w:szCs w:val="24"/>
        </w:rPr>
        <w:t xml:space="preserve">On </w:t>
      </w:r>
      <w:r w:rsidR="00EE2182">
        <w:rPr>
          <w:spacing w:val="-3"/>
          <w:sz w:val="24"/>
          <w:szCs w:val="24"/>
        </w:rPr>
        <w:t>January 2</w:t>
      </w:r>
      <w:r w:rsidR="00D20619">
        <w:rPr>
          <w:spacing w:val="-3"/>
          <w:sz w:val="24"/>
          <w:szCs w:val="24"/>
        </w:rPr>
        <w:t>0</w:t>
      </w:r>
      <w:r w:rsidR="00EE2182">
        <w:rPr>
          <w:spacing w:val="-3"/>
          <w:sz w:val="24"/>
          <w:szCs w:val="24"/>
        </w:rPr>
        <w:t>, 2022</w:t>
      </w:r>
      <w:r w:rsidR="00EA4BA4">
        <w:rPr>
          <w:spacing w:val="-3"/>
          <w:sz w:val="24"/>
          <w:szCs w:val="24"/>
        </w:rPr>
        <w:t xml:space="preserve">, </w:t>
      </w:r>
      <w:r w:rsidR="00EE2182">
        <w:rPr>
          <w:spacing w:val="-3"/>
          <w:sz w:val="24"/>
          <w:szCs w:val="24"/>
        </w:rPr>
        <w:t xml:space="preserve">Seneca </w:t>
      </w:r>
      <w:r w:rsidR="00A153CD">
        <w:rPr>
          <w:spacing w:val="-3"/>
          <w:sz w:val="24"/>
          <w:szCs w:val="24"/>
        </w:rPr>
        <w:t xml:space="preserve">filed </w:t>
      </w:r>
      <w:r w:rsidR="009969DB">
        <w:rPr>
          <w:spacing w:val="-3"/>
          <w:sz w:val="24"/>
          <w:szCs w:val="24"/>
        </w:rPr>
        <w:t>p</w:t>
      </w:r>
      <w:r w:rsidR="00EA4BA4">
        <w:rPr>
          <w:spacing w:val="-3"/>
          <w:sz w:val="24"/>
          <w:szCs w:val="24"/>
        </w:rPr>
        <w:t xml:space="preserve">reliminary </w:t>
      </w:r>
      <w:r w:rsidR="009969DB">
        <w:rPr>
          <w:spacing w:val="-3"/>
          <w:sz w:val="24"/>
          <w:szCs w:val="24"/>
        </w:rPr>
        <w:t>o</w:t>
      </w:r>
      <w:r w:rsidR="00EA4BA4">
        <w:rPr>
          <w:spacing w:val="-3"/>
          <w:sz w:val="24"/>
          <w:szCs w:val="24"/>
        </w:rPr>
        <w:t>bjections</w:t>
      </w:r>
      <w:r w:rsidR="009969DB">
        <w:rPr>
          <w:spacing w:val="-3"/>
          <w:sz w:val="24"/>
          <w:szCs w:val="24"/>
        </w:rPr>
        <w:t xml:space="preserve"> in response to Mr. Bodkin’s complaint</w:t>
      </w:r>
      <w:r w:rsidR="001A5FB1">
        <w:rPr>
          <w:spacing w:val="-3"/>
          <w:sz w:val="24"/>
          <w:szCs w:val="24"/>
        </w:rPr>
        <w:t>.</w:t>
      </w:r>
      <w:r w:rsidR="009969DB">
        <w:rPr>
          <w:spacing w:val="-3"/>
          <w:sz w:val="24"/>
          <w:szCs w:val="24"/>
        </w:rPr>
        <w:t xml:space="preserve">  </w:t>
      </w:r>
      <w:r w:rsidR="00A153CD">
        <w:rPr>
          <w:spacing w:val="-3"/>
          <w:sz w:val="24"/>
          <w:szCs w:val="24"/>
        </w:rPr>
        <w:t xml:space="preserve">On January 28, 2022, Seneca filed an answer to the complaint.  </w:t>
      </w:r>
      <w:r w:rsidR="009969DB">
        <w:rPr>
          <w:spacing w:val="-3"/>
          <w:sz w:val="24"/>
          <w:szCs w:val="24"/>
        </w:rPr>
        <w:t xml:space="preserve">In its answer, Seneca </w:t>
      </w:r>
      <w:r w:rsidR="005C59D4">
        <w:rPr>
          <w:spacing w:val="-3"/>
          <w:sz w:val="24"/>
          <w:szCs w:val="24"/>
        </w:rPr>
        <w:t xml:space="preserve">averred that it does not own or operate any equipment at the coordinates </w:t>
      </w:r>
      <w:r w:rsidR="00F60FBD">
        <w:rPr>
          <w:spacing w:val="-3"/>
          <w:sz w:val="24"/>
          <w:szCs w:val="24"/>
        </w:rPr>
        <w:t>identified</w:t>
      </w:r>
      <w:r w:rsidR="00B63E86">
        <w:rPr>
          <w:spacing w:val="-3"/>
          <w:sz w:val="24"/>
          <w:szCs w:val="24"/>
        </w:rPr>
        <w:t xml:space="preserve"> by Mr. Bodkin and </w:t>
      </w:r>
      <w:r w:rsidR="0052318E">
        <w:rPr>
          <w:spacing w:val="-3"/>
          <w:sz w:val="24"/>
          <w:szCs w:val="24"/>
        </w:rPr>
        <w:t>denied that it was the source of the vibrations</w:t>
      </w:r>
      <w:r w:rsidR="00B63E86">
        <w:rPr>
          <w:spacing w:val="-3"/>
          <w:sz w:val="24"/>
          <w:szCs w:val="24"/>
        </w:rPr>
        <w:t xml:space="preserve">.  </w:t>
      </w:r>
      <w:r w:rsidR="007E659A">
        <w:rPr>
          <w:spacing w:val="-3"/>
          <w:sz w:val="24"/>
          <w:szCs w:val="24"/>
        </w:rPr>
        <w:t xml:space="preserve">Seneca requested that the complaint be dismissed.  In its </w:t>
      </w:r>
      <w:r w:rsidR="001F1C9E">
        <w:rPr>
          <w:spacing w:val="-3"/>
          <w:sz w:val="24"/>
          <w:szCs w:val="24"/>
        </w:rPr>
        <w:t>preliminary objections</w:t>
      </w:r>
      <w:r w:rsidR="007E659A">
        <w:rPr>
          <w:spacing w:val="-3"/>
          <w:sz w:val="24"/>
          <w:szCs w:val="24"/>
        </w:rPr>
        <w:t xml:space="preserve">, </w:t>
      </w:r>
      <w:r w:rsidR="008D1211">
        <w:rPr>
          <w:spacing w:val="-3"/>
          <w:sz w:val="24"/>
          <w:szCs w:val="24"/>
        </w:rPr>
        <w:t>Seneca argues that it is an exploration and production company</w:t>
      </w:r>
      <w:r w:rsidR="00652B88">
        <w:rPr>
          <w:spacing w:val="-3"/>
          <w:sz w:val="24"/>
          <w:szCs w:val="24"/>
        </w:rPr>
        <w:t>,</w:t>
      </w:r>
      <w:r w:rsidR="008D1211">
        <w:rPr>
          <w:spacing w:val="-3"/>
          <w:sz w:val="24"/>
          <w:szCs w:val="24"/>
        </w:rPr>
        <w:t xml:space="preserve"> and not a pipeline</w:t>
      </w:r>
      <w:r w:rsidR="00113E63">
        <w:rPr>
          <w:spacing w:val="-3"/>
          <w:sz w:val="24"/>
          <w:szCs w:val="24"/>
        </w:rPr>
        <w:t xml:space="preserve"> company.  It argues it is not a public utility company that provides public utility service</w:t>
      </w:r>
      <w:r w:rsidR="00342874">
        <w:rPr>
          <w:spacing w:val="-3"/>
          <w:sz w:val="24"/>
          <w:szCs w:val="24"/>
        </w:rPr>
        <w:t xml:space="preserve"> and, accordingly, is not subject </w:t>
      </w:r>
      <w:r w:rsidR="00383934">
        <w:rPr>
          <w:spacing w:val="-3"/>
          <w:sz w:val="24"/>
          <w:szCs w:val="24"/>
        </w:rPr>
        <w:t>to Commission jurisdiction.  Seneca admits</w:t>
      </w:r>
      <w:r w:rsidR="00CE3AAE">
        <w:rPr>
          <w:spacing w:val="-3"/>
          <w:sz w:val="24"/>
          <w:szCs w:val="24"/>
        </w:rPr>
        <w:t xml:space="preserve"> </w:t>
      </w:r>
      <w:r w:rsidR="00383934">
        <w:rPr>
          <w:spacing w:val="-3"/>
          <w:sz w:val="24"/>
          <w:szCs w:val="24"/>
        </w:rPr>
        <w:lastRenderedPageBreak/>
        <w:t>that it does own some natural gas pipeline facilities in Pennsylvania that fall under the Commission’s jurisdiction</w:t>
      </w:r>
      <w:r w:rsidR="00CE3AAE">
        <w:rPr>
          <w:spacing w:val="-3"/>
          <w:sz w:val="24"/>
          <w:szCs w:val="24"/>
        </w:rPr>
        <w:t>.  It avers</w:t>
      </w:r>
      <w:r w:rsidR="00383934">
        <w:rPr>
          <w:spacing w:val="-3"/>
          <w:sz w:val="24"/>
          <w:szCs w:val="24"/>
        </w:rPr>
        <w:t>,</w:t>
      </w:r>
      <w:r w:rsidR="00CE3AAE">
        <w:rPr>
          <w:spacing w:val="-3"/>
          <w:sz w:val="24"/>
          <w:szCs w:val="24"/>
        </w:rPr>
        <w:t xml:space="preserve"> however, that </w:t>
      </w:r>
      <w:r w:rsidR="00383934">
        <w:rPr>
          <w:spacing w:val="-3"/>
          <w:sz w:val="24"/>
          <w:szCs w:val="24"/>
        </w:rPr>
        <w:t>its pipeline facilities are not located at the coor</w:t>
      </w:r>
      <w:r w:rsidR="008042F6">
        <w:rPr>
          <w:spacing w:val="-3"/>
          <w:sz w:val="24"/>
          <w:szCs w:val="24"/>
        </w:rPr>
        <w:t>d</w:t>
      </w:r>
      <w:r w:rsidR="00383934">
        <w:rPr>
          <w:spacing w:val="-3"/>
          <w:sz w:val="24"/>
          <w:szCs w:val="24"/>
        </w:rPr>
        <w:t>inate</w:t>
      </w:r>
      <w:r w:rsidR="008042F6">
        <w:rPr>
          <w:spacing w:val="-3"/>
          <w:sz w:val="24"/>
          <w:szCs w:val="24"/>
        </w:rPr>
        <w:t xml:space="preserve">s identified by Mr. Bodkin in his complaint.  </w:t>
      </w:r>
      <w:r w:rsidR="0052318E">
        <w:rPr>
          <w:spacing w:val="-3"/>
          <w:sz w:val="24"/>
          <w:szCs w:val="24"/>
        </w:rPr>
        <w:t xml:space="preserve"> </w:t>
      </w:r>
      <w:r w:rsidR="001A1173">
        <w:rPr>
          <w:spacing w:val="-3"/>
          <w:sz w:val="24"/>
          <w:szCs w:val="24"/>
        </w:rPr>
        <w:t xml:space="preserve">Seneca argues that the Commission does not have authority over oil and gas exploration and production operations.  </w:t>
      </w:r>
      <w:r w:rsidR="00AA1077">
        <w:rPr>
          <w:spacing w:val="-3"/>
          <w:sz w:val="24"/>
          <w:szCs w:val="24"/>
        </w:rPr>
        <w:t xml:space="preserve">Seneca requests that its </w:t>
      </w:r>
      <w:r w:rsidR="00A27DBE">
        <w:rPr>
          <w:spacing w:val="-3"/>
          <w:sz w:val="24"/>
          <w:szCs w:val="24"/>
        </w:rPr>
        <w:t>preliminary objection</w:t>
      </w:r>
      <w:r w:rsidR="00AA1077">
        <w:rPr>
          <w:spacing w:val="-3"/>
          <w:sz w:val="24"/>
          <w:szCs w:val="24"/>
        </w:rPr>
        <w:t xml:space="preserve">s be </w:t>
      </w:r>
      <w:proofErr w:type="gramStart"/>
      <w:r w:rsidR="00FB5F2A">
        <w:rPr>
          <w:spacing w:val="-3"/>
          <w:sz w:val="24"/>
          <w:szCs w:val="24"/>
        </w:rPr>
        <w:t>granted</w:t>
      </w:r>
      <w:proofErr w:type="gramEnd"/>
      <w:r w:rsidR="00AA1077">
        <w:rPr>
          <w:spacing w:val="-3"/>
          <w:sz w:val="24"/>
          <w:szCs w:val="24"/>
        </w:rPr>
        <w:t xml:space="preserve"> and the complaint be dismissed.  </w:t>
      </w:r>
    </w:p>
    <w:p w14:paraId="0A8946FE" w14:textId="77777777" w:rsidR="001A5FB1" w:rsidRPr="001A5FB1" w:rsidRDefault="001A5FB1" w:rsidP="00D70A06">
      <w:pPr>
        <w:spacing w:line="360" w:lineRule="auto"/>
        <w:rPr>
          <w:spacing w:val="-3"/>
          <w:sz w:val="24"/>
          <w:szCs w:val="24"/>
        </w:rPr>
      </w:pPr>
    </w:p>
    <w:p w14:paraId="0B475BFC" w14:textId="5A790EB5" w:rsidR="001302F4" w:rsidRDefault="001A5FB1" w:rsidP="00D70A06">
      <w:pPr>
        <w:spacing w:line="360" w:lineRule="auto"/>
        <w:rPr>
          <w:spacing w:val="-3"/>
          <w:sz w:val="24"/>
          <w:szCs w:val="24"/>
        </w:rPr>
      </w:pPr>
      <w:r>
        <w:rPr>
          <w:spacing w:val="-3"/>
          <w:sz w:val="24"/>
          <w:szCs w:val="24"/>
        </w:rPr>
        <w:tab/>
      </w:r>
      <w:r>
        <w:rPr>
          <w:spacing w:val="-3"/>
          <w:sz w:val="24"/>
          <w:szCs w:val="24"/>
        </w:rPr>
        <w:tab/>
      </w:r>
      <w:r w:rsidR="00B473D2">
        <w:rPr>
          <w:spacing w:val="-3"/>
          <w:sz w:val="24"/>
          <w:szCs w:val="24"/>
        </w:rPr>
        <w:t xml:space="preserve">On </w:t>
      </w:r>
      <w:r w:rsidR="00B14EF3">
        <w:rPr>
          <w:spacing w:val="-3"/>
          <w:sz w:val="24"/>
          <w:szCs w:val="24"/>
        </w:rPr>
        <w:t>January 27, 2022</w:t>
      </w:r>
      <w:r w:rsidR="00B473D2">
        <w:rPr>
          <w:spacing w:val="-3"/>
          <w:sz w:val="24"/>
          <w:szCs w:val="24"/>
        </w:rPr>
        <w:t xml:space="preserve">, </w:t>
      </w:r>
      <w:r w:rsidR="00B14EF3">
        <w:rPr>
          <w:spacing w:val="-3"/>
          <w:sz w:val="24"/>
          <w:szCs w:val="24"/>
        </w:rPr>
        <w:t xml:space="preserve">Mr. Bodkin </w:t>
      </w:r>
      <w:r w:rsidR="00B473D2">
        <w:rPr>
          <w:spacing w:val="-3"/>
          <w:sz w:val="24"/>
          <w:szCs w:val="24"/>
        </w:rPr>
        <w:t xml:space="preserve">filed a response to </w:t>
      </w:r>
      <w:r w:rsidR="00B14EF3">
        <w:rPr>
          <w:spacing w:val="-3"/>
          <w:sz w:val="24"/>
          <w:szCs w:val="24"/>
        </w:rPr>
        <w:t xml:space="preserve">Seneca’s </w:t>
      </w:r>
      <w:r w:rsidR="00A27DBE">
        <w:rPr>
          <w:spacing w:val="-3"/>
          <w:sz w:val="24"/>
          <w:szCs w:val="24"/>
        </w:rPr>
        <w:t>preliminary objections</w:t>
      </w:r>
      <w:r w:rsidR="00B14EF3">
        <w:rPr>
          <w:spacing w:val="-3"/>
          <w:sz w:val="24"/>
          <w:szCs w:val="24"/>
        </w:rPr>
        <w:t xml:space="preserve">.  </w:t>
      </w:r>
      <w:r w:rsidR="00E85149">
        <w:rPr>
          <w:spacing w:val="-3"/>
          <w:sz w:val="24"/>
          <w:szCs w:val="24"/>
        </w:rPr>
        <w:t xml:space="preserve">In his response, Mr. </w:t>
      </w:r>
      <w:r w:rsidR="002F305A">
        <w:rPr>
          <w:spacing w:val="-3"/>
          <w:sz w:val="24"/>
          <w:szCs w:val="24"/>
        </w:rPr>
        <w:t xml:space="preserve">Bodkin avers that the point of origin of the vibration </w:t>
      </w:r>
      <w:r w:rsidR="00EF5ED6">
        <w:rPr>
          <w:spacing w:val="-3"/>
          <w:sz w:val="24"/>
          <w:szCs w:val="24"/>
        </w:rPr>
        <w:t>and hum is at coordinates 41.</w:t>
      </w:r>
      <w:r w:rsidR="00D435B4">
        <w:rPr>
          <w:spacing w:val="-3"/>
          <w:sz w:val="24"/>
          <w:szCs w:val="24"/>
        </w:rPr>
        <w:t>70040</w:t>
      </w:r>
      <w:r w:rsidR="00F473FD">
        <w:rPr>
          <w:spacing w:val="-3"/>
          <w:sz w:val="24"/>
          <w:szCs w:val="24"/>
        </w:rPr>
        <w:t xml:space="preserve">, </w:t>
      </w:r>
      <w:r w:rsidR="00945826">
        <w:rPr>
          <w:spacing w:val="-3"/>
          <w:sz w:val="24"/>
          <w:szCs w:val="24"/>
        </w:rPr>
        <w:t>78.49926</w:t>
      </w:r>
      <w:r w:rsidR="00F473FD">
        <w:rPr>
          <w:spacing w:val="-3"/>
          <w:sz w:val="24"/>
          <w:szCs w:val="24"/>
        </w:rPr>
        <w:t xml:space="preserve">, which is located on property owned by Seneca.  </w:t>
      </w:r>
      <w:r w:rsidR="00B17178">
        <w:rPr>
          <w:spacing w:val="-3"/>
          <w:sz w:val="24"/>
          <w:szCs w:val="24"/>
        </w:rPr>
        <w:t>Mr. Bodkin argues that until ownership of the equipment</w:t>
      </w:r>
      <w:r w:rsidR="00206722">
        <w:rPr>
          <w:spacing w:val="-3"/>
          <w:sz w:val="24"/>
          <w:szCs w:val="24"/>
        </w:rPr>
        <w:t xml:space="preserve"> located at that site </w:t>
      </w:r>
      <w:r w:rsidR="005C2524">
        <w:rPr>
          <w:spacing w:val="-3"/>
          <w:sz w:val="24"/>
          <w:szCs w:val="24"/>
        </w:rPr>
        <w:t xml:space="preserve">is </w:t>
      </w:r>
      <w:r w:rsidR="008A1223">
        <w:rPr>
          <w:spacing w:val="-3"/>
          <w:sz w:val="24"/>
          <w:szCs w:val="24"/>
        </w:rPr>
        <w:t>identified</w:t>
      </w:r>
      <w:r w:rsidR="005C2524">
        <w:rPr>
          <w:spacing w:val="-3"/>
          <w:sz w:val="24"/>
          <w:szCs w:val="24"/>
        </w:rPr>
        <w:t xml:space="preserve">, </w:t>
      </w:r>
      <w:r w:rsidR="00C14795">
        <w:rPr>
          <w:spacing w:val="-3"/>
          <w:sz w:val="24"/>
          <w:szCs w:val="24"/>
        </w:rPr>
        <w:t>the issue o</w:t>
      </w:r>
      <w:r w:rsidR="005C2524">
        <w:rPr>
          <w:spacing w:val="-3"/>
          <w:sz w:val="24"/>
          <w:szCs w:val="24"/>
        </w:rPr>
        <w:t>f Commission</w:t>
      </w:r>
      <w:r w:rsidR="00C14795">
        <w:rPr>
          <w:spacing w:val="-3"/>
          <w:sz w:val="24"/>
          <w:szCs w:val="24"/>
        </w:rPr>
        <w:t xml:space="preserve"> </w:t>
      </w:r>
      <w:r w:rsidR="00206722">
        <w:rPr>
          <w:spacing w:val="-3"/>
          <w:sz w:val="24"/>
          <w:szCs w:val="24"/>
        </w:rPr>
        <w:t>jurisdiction</w:t>
      </w:r>
      <w:r w:rsidR="005C2524">
        <w:rPr>
          <w:spacing w:val="-3"/>
          <w:sz w:val="24"/>
          <w:szCs w:val="24"/>
        </w:rPr>
        <w:t xml:space="preserve"> over Seneca</w:t>
      </w:r>
      <w:r w:rsidR="00206722">
        <w:rPr>
          <w:spacing w:val="-3"/>
          <w:sz w:val="24"/>
          <w:szCs w:val="24"/>
        </w:rPr>
        <w:t xml:space="preserve"> cannot be determined and</w:t>
      </w:r>
      <w:r w:rsidR="00AC69DF">
        <w:rPr>
          <w:spacing w:val="-3"/>
          <w:sz w:val="24"/>
          <w:szCs w:val="24"/>
        </w:rPr>
        <w:t xml:space="preserve">, consequently, preliminary dismissal of the complaint is inappropriate.  </w:t>
      </w:r>
    </w:p>
    <w:p w14:paraId="66A1989A" w14:textId="77777777" w:rsidR="001302F4" w:rsidRDefault="001302F4" w:rsidP="00D70A06">
      <w:pPr>
        <w:spacing w:line="360" w:lineRule="auto"/>
        <w:rPr>
          <w:spacing w:val="-3"/>
          <w:sz w:val="24"/>
          <w:szCs w:val="24"/>
        </w:rPr>
      </w:pPr>
    </w:p>
    <w:p w14:paraId="5CCD86EC" w14:textId="24B587EF" w:rsidR="00F15449" w:rsidRPr="00F538B7" w:rsidRDefault="00B63C44" w:rsidP="001302F4">
      <w:pPr>
        <w:spacing w:line="360" w:lineRule="auto"/>
        <w:ind w:firstLine="1440"/>
        <w:rPr>
          <w:spacing w:val="-3"/>
          <w:sz w:val="24"/>
          <w:szCs w:val="24"/>
        </w:rPr>
      </w:pPr>
      <w:r w:rsidRPr="00B63C44">
        <w:rPr>
          <w:spacing w:val="-3"/>
          <w:sz w:val="24"/>
          <w:szCs w:val="24"/>
        </w:rPr>
        <w:t xml:space="preserve">The </w:t>
      </w:r>
      <w:r w:rsidR="00611B63">
        <w:rPr>
          <w:spacing w:val="-3"/>
          <w:sz w:val="24"/>
          <w:szCs w:val="24"/>
        </w:rPr>
        <w:t>preliminary objections</w:t>
      </w:r>
      <w:r w:rsidRPr="00B63C44">
        <w:rPr>
          <w:spacing w:val="-3"/>
          <w:sz w:val="24"/>
          <w:szCs w:val="24"/>
        </w:rPr>
        <w:t xml:space="preserve"> are now ripe for a decision</w:t>
      </w:r>
      <w:r w:rsidR="00197564" w:rsidRPr="00197564">
        <w:rPr>
          <w:spacing w:val="-3"/>
          <w:sz w:val="24"/>
          <w:szCs w:val="24"/>
        </w:rPr>
        <w:t xml:space="preserve">.  For the reasons set forth below, I will </w:t>
      </w:r>
      <w:r w:rsidR="00EA4BA4">
        <w:rPr>
          <w:spacing w:val="-3"/>
          <w:sz w:val="24"/>
          <w:szCs w:val="24"/>
        </w:rPr>
        <w:t>deny</w:t>
      </w:r>
      <w:r w:rsidR="00197564" w:rsidRPr="00197564">
        <w:rPr>
          <w:spacing w:val="-3"/>
          <w:sz w:val="24"/>
          <w:szCs w:val="24"/>
        </w:rPr>
        <w:t xml:space="preserve"> </w:t>
      </w:r>
      <w:r>
        <w:rPr>
          <w:spacing w:val="-3"/>
          <w:sz w:val="24"/>
          <w:szCs w:val="24"/>
        </w:rPr>
        <w:t xml:space="preserve">the </w:t>
      </w:r>
      <w:r w:rsidR="00611B63">
        <w:rPr>
          <w:spacing w:val="-3"/>
          <w:sz w:val="24"/>
          <w:szCs w:val="24"/>
        </w:rPr>
        <w:t>preliminary objections</w:t>
      </w:r>
      <w:r w:rsidR="00197564" w:rsidRPr="00197564">
        <w:rPr>
          <w:spacing w:val="-3"/>
          <w:sz w:val="24"/>
          <w:szCs w:val="24"/>
        </w:rPr>
        <w:t>.</w:t>
      </w:r>
    </w:p>
    <w:p w14:paraId="53BDE32D" w14:textId="77777777" w:rsidR="00F15449" w:rsidRPr="00F538B7" w:rsidRDefault="00F15449" w:rsidP="00D70A06">
      <w:pPr>
        <w:spacing w:line="360" w:lineRule="auto"/>
        <w:rPr>
          <w:spacing w:val="-3"/>
          <w:sz w:val="24"/>
          <w:szCs w:val="24"/>
        </w:rPr>
      </w:pPr>
    </w:p>
    <w:p w14:paraId="36C10E37" w14:textId="77777777" w:rsidR="00B61B76" w:rsidRPr="00F538B7" w:rsidRDefault="00B61B76" w:rsidP="00D70A06">
      <w:pPr>
        <w:spacing w:line="360" w:lineRule="auto"/>
        <w:jc w:val="center"/>
        <w:outlineLvl w:val="0"/>
        <w:rPr>
          <w:sz w:val="24"/>
          <w:szCs w:val="24"/>
          <w:u w:val="single"/>
        </w:rPr>
      </w:pPr>
      <w:r w:rsidRPr="00F538B7">
        <w:rPr>
          <w:sz w:val="24"/>
          <w:szCs w:val="24"/>
          <w:u w:val="single"/>
        </w:rPr>
        <w:t>DISCUSSION</w:t>
      </w:r>
    </w:p>
    <w:p w14:paraId="274B17CB" w14:textId="77777777" w:rsidR="00B61B76" w:rsidRPr="00F538B7" w:rsidRDefault="00B61B76" w:rsidP="00D70A06">
      <w:pPr>
        <w:spacing w:line="360" w:lineRule="auto"/>
        <w:ind w:firstLine="1440"/>
        <w:outlineLvl w:val="0"/>
        <w:rPr>
          <w:sz w:val="24"/>
          <w:szCs w:val="24"/>
          <w:u w:val="single"/>
        </w:rPr>
      </w:pPr>
    </w:p>
    <w:p w14:paraId="06DC88FD" w14:textId="64740765" w:rsidR="0036156C" w:rsidRPr="00F538B7" w:rsidRDefault="0036156C" w:rsidP="00D70A06">
      <w:pPr>
        <w:spacing w:line="360" w:lineRule="auto"/>
        <w:rPr>
          <w:sz w:val="24"/>
          <w:szCs w:val="24"/>
        </w:rPr>
      </w:pPr>
      <w:r w:rsidRPr="00F538B7">
        <w:rPr>
          <w:sz w:val="24"/>
          <w:szCs w:val="24"/>
        </w:rPr>
        <w:tab/>
      </w:r>
      <w:r w:rsidR="00504517" w:rsidRPr="00F538B7">
        <w:rPr>
          <w:sz w:val="24"/>
          <w:szCs w:val="24"/>
        </w:rPr>
        <w:tab/>
      </w:r>
      <w:r w:rsidRPr="00F538B7">
        <w:rPr>
          <w:sz w:val="24"/>
          <w:szCs w:val="24"/>
        </w:rPr>
        <w:t xml:space="preserve">Preliminary objections are appropriate under Commission regulations.  52 Pa. Code §5.101.  Commission preliminary objection practice is </w:t>
      </w:r>
      <w:proofErr w:type="gramStart"/>
      <w:r w:rsidRPr="00F538B7">
        <w:rPr>
          <w:sz w:val="24"/>
          <w:szCs w:val="24"/>
        </w:rPr>
        <w:t>similar to</w:t>
      </w:r>
      <w:proofErr w:type="gramEnd"/>
      <w:r w:rsidRPr="00F538B7">
        <w:rPr>
          <w:sz w:val="24"/>
          <w:szCs w:val="24"/>
        </w:rPr>
        <w:t xml:space="preserve"> Pennsylvania civil practice.  </w:t>
      </w:r>
      <w:r w:rsidRPr="00F538B7">
        <w:rPr>
          <w:i/>
          <w:sz w:val="24"/>
          <w:szCs w:val="24"/>
        </w:rPr>
        <w:t xml:space="preserve">Equitable Small Transportation Interveners v. Equitable Gas Company, </w:t>
      </w:r>
      <w:r w:rsidRPr="00F538B7">
        <w:rPr>
          <w:sz w:val="24"/>
          <w:szCs w:val="24"/>
        </w:rPr>
        <w:t>1994 Pa. PUC LEXIS 69, PUC Docket No.</w:t>
      </w:r>
      <w:r w:rsidR="00021D2B">
        <w:rPr>
          <w:sz w:val="24"/>
          <w:szCs w:val="24"/>
        </w:rPr>
        <w:t xml:space="preserve"> </w:t>
      </w:r>
      <w:r w:rsidRPr="00F538B7">
        <w:rPr>
          <w:sz w:val="24"/>
          <w:szCs w:val="24"/>
        </w:rPr>
        <w:t>C-000935435 (July 18, 1994).</w:t>
      </w:r>
    </w:p>
    <w:p w14:paraId="557FF4E7" w14:textId="77777777" w:rsidR="00422676" w:rsidRPr="00F538B7" w:rsidRDefault="00422676" w:rsidP="00D70A06">
      <w:pPr>
        <w:spacing w:line="360" w:lineRule="auto"/>
        <w:rPr>
          <w:sz w:val="24"/>
          <w:szCs w:val="24"/>
        </w:rPr>
      </w:pPr>
    </w:p>
    <w:p w14:paraId="28E31517" w14:textId="77777777" w:rsidR="0036156C" w:rsidRPr="00F538B7" w:rsidRDefault="00504517" w:rsidP="00D70A06">
      <w:pPr>
        <w:spacing w:line="360" w:lineRule="auto"/>
        <w:ind w:firstLine="720"/>
        <w:rPr>
          <w:sz w:val="24"/>
          <w:szCs w:val="24"/>
        </w:rPr>
      </w:pPr>
      <w:r w:rsidRPr="00F538B7">
        <w:rPr>
          <w:sz w:val="24"/>
          <w:szCs w:val="24"/>
        </w:rPr>
        <w:tab/>
      </w:r>
      <w:r w:rsidR="0036156C" w:rsidRPr="00F538B7">
        <w:rPr>
          <w:sz w:val="24"/>
          <w:szCs w:val="24"/>
        </w:rPr>
        <w:t>Preliminary objections are limited to the following:</w:t>
      </w:r>
    </w:p>
    <w:p w14:paraId="2AACDEA9" w14:textId="77777777" w:rsidR="0036156C" w:rsidRPr="00F538B7" w:rsidRDefault="0036156C" w:rsidP="00D70A06">
      <w:pPr>
        <w:spacing w:line="360" w:lineRule="auto"/>
        <w:rPr>
          <w:sz w:val="24"/>
          <w:szCs w:val="24"/>
        </w:rPr>
      </w:pPr>
    </w:p>
    <w:p w14:paraId="44E6C1ED" w14:textId="77777777" w:rsidR="0036156C" w:rsidRPr="00F538B7" w:rsidRDefault="0036156C" w:rsidP="0026006A">
      <w:pPr>
        <w:ind w:left="720" w:right="720"/>
        <w:rPr>
          <w:b/>
          <w:sz w:val="24"/>
          <w:szCs w:val="24"/>
        </w:rPr>
      </w:pPr>
      <w:r w:rsidRPr="00F538B7">
        <w:rPr>
          <w:b/>
          <w:sz w:val="24"/>
          <w:szCs w:val="24"/>
        </w:rPr>
        <w:t>§ 5.101.  Preliminary objections.</w:t>
      </w:r>
    </w:p>
    <w:p w14:paraId="63AA7457" w14:textId="77777777" w:rsidR="00C7592A" w:rsidRPr="00F538B7" w:rsidRDefault="00C7592A" w:rsidP="0026006A">
      <w:pPr>
        <w:ind w:left="720" w:right="720"/>
        <w:rPr>
          <w:b/>
          <w:sz w:val="24"/>
          <w:szCs w:val="24"/>
        </w:rPr>
      </w:pPr>
    </w:p>
    <w:p w14:paraId="1D3E263E" w14:textId="77777777" w:rsidR="0036156C" w:rsidRPr="00F538B7" w:rsidRDefault="0036156C" w:rsidP="0026006A">
      <w:pPr>
        <w:ind w:left="720" w:right="720"/>
        <w:rPr>
          <w:sz w:val="24"/>
          <w:szCs w:val="24"/>
        </w:rPr>
      </w:pPr>
      <w:r w:rsidRPr="00F538B7">
        <w:rPr>
          <w:sz w:val="24"/>
          <w:szCs w:val="24"/>
        </w:rPr>
        <w:t>(a)</w:t>
      </w:r>
      <w:r w:rsidRPr="00F538B7">
        <w:rPr>
          <w:sz w:val="24"/>
          <w:szCs w:val="24"/>
        </w:rPr>
        <w:tab/>
      </w:r>
      <w:r w:rsidRPr="00F538B7">
        <w:rPr>
          <w:i/>
          <w:sz w:val="24"/>
          <w:szCs w:val="24"/>
        </w:rPr>
        <w:t>Grounds.</w:t>
      </w:r>
      <w:r w:rsidRPr="00F538B7">
        <w:rPr>
          <w:sz w:val="24"/>
          <w:szCs w:val="24"/>
        </w:rPr>
        <w:t xml:space="preserve"> </w:t>
      </w:r>
      <w:r w:rsidR="00F977B0">
        <w:rPr>
          <w:sz w:val="24"/>
          <w:szCs w:val="24"/>
        </w:rPr>
        <w:t xml:space="preserve"> </w:t>
      </w:r>
      <w:r w:rsidRPr="00F538B7">
        <w:rPr>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744DDCEE" w14:textId="77777777" w:rsidR="0036156C" w:rsidRPr="00F538B7" w:rsidRDefault="0036156C" w:rsidP="0026006A">
      <w:pPr>
        <w:ind w:left="720" w:right="720"/>
        <w:rPr>
          <w:i/>
          <w:sz w:val="24"/>
          <w:szCs w:val="24"/>
        </w:rPr>
      </w:pPr>
    </w:p>
    <w:p w14:paraId="6A219071" w14:textId="77777777" w:rsidR="0036156C" w:rsidRPr="00F538B7" w:rsidRDefault="000A18DF" w:rsidP="0026006A">
      <w:pPr>
        <w:ind w:left="720" w:right="720"/>
        <w:rPr>
          <w:sz w:val="24"/>
          <w:szCs w:val="24"/>
        </w:rPr>
      </w:pPr>
      <w:r>
        <w:rPr>
          <w:sz w:val="24"/>
          <w:szCs w:val="24"/>
        </w:rPr>
        <w:lastRenderedPageBreak/>
        <w:t xml:space="preserve">(1) </w:t>
      </w:r>
      <w:r w:rsidR="0094111D">
        <w:rPr>
          <w:sz w:val="24"/>
          <w:szCs w:val="24"/>
        </w:rPr>
        <w:tab/>
      </w:r>
      <w:r w:rsidR="0036156C" w:rsidRPr="00F538B7">
        <w:rPr>
          <w:sz w:val="24"/>
          <w:szCs w:val="24"/>
        </w:rPr>
        <w:t>Lack of Commission jurisdiction or improper service of the pleading initiating the proceeding.</w:t>
      </w:r>
    </w:p>
    <w:p w14:paraId="24AF342A" w14:textId="77777777" w:rsidR="0036156C" w:rsidRPr="00F538B7" w:rsidRDefault="0036156C" w:rsidP="0026006A">
      <w:pPr>
        <w:ind w:left="720" w:right="720"/>
        <w:rPr>
          <w:sz w:val="24"/>
          <w:szCs w:val="24"/>
        </w:rPr>
      </w:pPr>
    </w:p>
    <w:p w14:paraId="7071056C" w14:textId="77777777" w:rsidR="0036156C" w:rsidRPr="00F538B7" w:rsidRDefault="000A18DF" w:rsidP="0026006A">
      <w:pPr>
        <w:ind w:left="720" w:right="720"/>
        <w:rPr>
          <w:sz w:val="24"/>
          <w:szCs w:val="24"/>
        </w:rPr>
      </w:pPr>
      <w:r>
        <w:rPr>
          <w:sz w:val="24"/>
          <w:szCs w:val="24"/>
        </w:rPr>
        <w:t xml:space="preserve">(2) </w:t>
      </w:r>
      <w:r w:rsidR="0094111D">
        <w:rPr>
          <w:sz w:val="24"/>
          <w:szCs w:val="24"/>
        </w:rPr>
        <w:tab/>
      </w:r>
      <w:r w:rsidR="0036156C" w:rsidRPr="00F538B7">
        <w:rPr>
          <w:sz w:val="24"/>
          <w:szCs w:val="24"/>
        </w:rPr>
        <w:t>Failure of a pleading to conform to this chapter or the inclusion of scandalous or impertinent matter.</w:t>
      </w:r>
    </w:p>
    <w:p w14:paraId="3AE9FC17" w14:textId="77777777" w:rsidR="0036156C" w:rsidRPr="00F538B7" w:rsidRDefault="0036156C" w:rsidP="0026006A">
      <w:pPr>
        <w:ind w:left="720" w:right="720"/>
        <w:rPr>
          <w:sz w:val="24"/>
          <w:szCs w:val="24"/>
        </w:rPr>
      </w:pPr>
    </w:p>
    <w:p w14:paraId="3D78E1F0" w14:textId="77777777" w:rsidR="0036156C" w:rsidRPr="00F538B7" w:rsidRDefault="000A18DF" w:rsidP="0026006A">
      <w:pPr>
        <w:ind w:left="720" w:right="720"/>
        <w:rPr>
          <w:sz w:val="24"/>
          <w:szCs w:val="24"/>
        </w:rPr>
      </w:pPr>
      <w:r>
        <w:rPr>
          <w:sz w:val="24"/>
          <w:szCs w:val="24"/>
        </w:rPr>
        <w:t xml:space="preserve">(3) </w:t>
      </w:r>
      <w:r w:rsidR="0094111D">
        <w:rPr>
          <w:sz w:val="24"/>
          <w:szCs w:val="24"/>
        </w:rPr>
        <w:tab/>
      </w:r>
      <w:r w:rsidR="0036156C" w:rsidRPr="00F538B7">
        <w:rPr>
          <w:sz w:val="24"/>
          <w:szCs w:val="24"/>
        </w:rPr>
        <w:t>Insufficient specificity of a pleading.</w:t>
      </w:r>
    </w:p>
    <w:p w14:paraId="61807706" w14:textId="77777777" w:rsidR="0036156C" w:rsidRPr="00F538B7" w:rsidRDefault="0036156C" w:rsidP="0026006A">
      <w:pPr>
        <w:ind w:left="720" w:right="720"/>
        <w:rPr>
          <w:sz w:val="24"/>
          <w:szCs w:val="24"/>
        </w:rPr>
      </w:pPr>
    </w:p>
    <w:p w14:paraId="1862FBEC" w14:textId="77777777" w:rsidR="0036156C" w:rsidRPr="00F538B7" w:rsidRDefault="000A18DF" w:rsidP="0026006A">
      <w:pPr>
        <w:ind w:left="720" w:right="720"/>
        <w:rPr>
          <w:sz w:val="24"/>
          <w:szCs w:val="24"/>
        </w:rPr>
      </w:pPr>
      <w:r>
        <w:rPr>
          <w:sz w:val="24"/>
          <w:szCs w:val="24"/>
        </w:rPr>
        <w:t xml:space="preserve">(4) </w:t>
      </w:r>
      <w:r w:rsidR="0094111D">
        <w:rPr>
          <w:sz w:val="24"/>
          <w:szCs w:val="24"/>
        </w:rPr>
        <w:tab/>
      </w:r>
      <w:r w:rsidR="0036156C" w:rsidRPr="00F538B7">
        <w:rPr>
          <w:sz w:val="24"/>
          <w:szCs w:val="24"/>
        </w:rPr>
        <w:t>Legal insufficiency of a pleading.</w:t>
      </w:r>
    </w:p>
    <w:p w14:paraId="28673EF0" w14:textId="77777777" w:rsidR="0036156C" w:rsidRPr="00F538B7" w:rsidRDefault="0036156C" w:rsidP="0026006A">
      <w:pPr>
        <w:ind w:left="720" w:right="720"/>
        <w:rPr>
          <w:sz w:val="24"/>
          <w:szCs w:val="24"/>
        </w:rPr>
      </w:pPr>
    </w:p>
    <w:p w14:paraId="1BE64B7D" w14:textId="77777777" w:rsidR="0036156C" w:rsidRPr="00F538B7" w:rsidRDefault="0036156C" w:rsidP="0026006A">
      <w:pPr>
        <w:ind w:left="720" w:right="720"/>
        <w:rPr>
          <w:sz w:val="24"/>
          <w:szCs w:val="24"/>
        </w:rPr>
      </w:pPr>
      <w:r w:rsidRPr="00F538B7">
        <w:rPr>
          <w:sz w:val="24"/>
          <w:szCs w:val="24"/>
        </w:rPr>
        <w:t xml:space="preserve">(5) </w:t>
      </w:r>
      <w:r w:rsidR="0094111D">
        <w:rPr>
          <w:sz w:val="24"/>
          <w:szCs w:val="24"/>
        </w:rPr>
        <w:tab/>
      </w:r>
      <w:r w:rsidRPr="00F538B7">
        <w:rPr>
          <w:sz w:val="24"/>
          <w:szCs w:val="24"/>
        </w:rPr>
        <w:t>Lack of capacity to sue, nonjoinder of a necessary party or misjoinder of a cause of action.</w:t>
      </w:r>
    </w:p>
    <w:p w14:paraId="6CEACD21" w14:textId="77777777" w:rsidR="0036156C" w:rsidRPr="00F538B7" w:rsidRDefault="0036156C" w:rsidP="0026006A">
      <w:pPr>
        <w:ind w:left="720" w:right="720"/>
        <w:rPr>
          <w:sz w:val="24"/>
          <w:szCs w:val="24"/>
        </w:rPr>
      </w:pPr>
    </w:p>
    <w:p w14:paraId="06CC5936" w14:textId="77777777" w:rsidR="0036156C" w:rsidRDefault="00B07454" w:rsidP="0026006A">
      <w:pPr>
        <w:ind w:left="720" w:right="720"/>
        <w:rPr>
          <w:sz w:val="24"/>
          <w:szCs w:val="24"/>
        </w:rPr>
      </w:pPr>
      <w:r>
        <w:rPr>
          <w:sz w:val="24"/>
          <w:szCs w:val="24"/>
        </w:rPr>
        <w:t xml:space="preserve">(6) </w:t>
      </w:r>
      <w:r w:rsidR="0094111D">
        <w:rPr>
          <w:sz w:val="24"/>
          <w:szCs w:val="24"/>
        </w:rPr>
        <w:tab/>
      </w:r>
      <w:r w:rsidR="0036156C" w:rsidRPr="00F538B7">
        <w:rPr>
          <w:sz w:val="24"/>
          <w:szCs w:val="24"/>
        </w:rPr>
        <w:t>Pendency of a prior proceeding or agreement for alternative dispute resolution.</w:t>
      </w:r>
    </w:p>
    <w:p w14:paraId="68872795" w14:textId="77777777" w:rsidR="00453D3A" w:rsidRDefault="00453D3A" w:rsidP="0026006A">
      <w:pPr>
        <w:ind w:left="720" w:right="720"/>
        <w:rPr>
          <w:sz w:val="24"/>
          <w:szCs w:val="24"/>
        </w:rPr>
      </w:pPr>
    </w:p>
    <w:p w14:paraId="24067D76" w14:textId="77777777" w:rsidR="00453D3A" w:rsidRPr="00453D3A" w:rsidRDefault="00453D3A" w:rsidP="0026006A">
      <w:pPr>
        <w:ind w:left="720" w:right="720"/>
        <w:rPr>
          <w:sz w:val="24"/>
          <w:szCs w:val="24"/>
        </w:rPr>
      </w:pPr>
      <w:r>
        <w:rPr>
          <w:sz w:val="24"/>
          <w:szCs w:val="24"/>
        </w:rPr>
        <w:t>(7)</w:t>
      </w:r>
      <w:r w:rsidR="0094111D">
        <w:rPr>
          <w:sz w:val="24"/>
          <w:szCs w:val="24"/>
        </w:rPr>
        <w:tab/>
      </w:r>
      <w:r w:rsidRPr="00453D3A">
        <w:rPr>
          <w:sz w:val="24"/>
          <w:szCs w:val="24"/>
        </w:rPr>
        <w:t>Standing of a party to participate in the proceeding</w:t>
      </w:r>
    </w:p>
    <w:p w14:paraId="2807D4C9" w14:textId="77777777" w:rsidR="00453D3A" w:rsidRPr="00F538B7" w:rsidRDefault="00453D3A" w:rsidP="0026006A">
      <w:pPr>
        <w:ind w:left="720" w:right="720"/>
        <w:rPr>
          <w:sz w:val="24"/>
          <w:szCs w:val="24"/>
        </w:rPr>
      </w:pPr>
    </w:p>
    <w:p w14:paraId="4F7AF058" w14:textId="77777777" w:rsidR="0036156C" w:rsidRPr="00F538B7" w:rsidRDefault="0036156C" w:rsidP="0026006A">
      <w:pPr>
        <w:ind w:left="720" w:right="720"/>
        <w:jc w:val="center"/>
        <w:rPr>
          <w:sz w:val="24"/>
          <w:szCs w:val="24"/>
        </w:rPr>
      </w:pPr>
      <w:r w:rsidRPr="00F538B7">
        <w:rPr>
          <w:sz w:val="24"/>
          <w:szCs w:val="24"/>
        </w:rPr>
        <w:t xml:space="preserve">* * * </w:t>
      </w:r>
    </w:p>
    <w:p w14:paraId="3A634B31" w14:textId="77777777" w:rsidR="0036156C" w:rsidRPr="00F538B7" w:rsidRDefault="0036156C" w:rsidP="0026006A">
      <w:pPr>
        <w:ind w:left="720" w:right="720"/>
        <w:rPr>
          <w:sz w:val="24"/>
          <w:szCs w:val="24"/>
        </w:rPr>
      </w:pPr>
      <w:r w:rsidRPr="00F538B7">
        <w:rPr>
          <w:sz w:val="24"/>
          <w:szCs w:val="24"/>
        </w:rPr>
        <w:t>52 Pa. Code § 5.101(a).</w:t>
      </w:r>
    </w:p>
    <w:p w14:paraId="0E486DDF" w14:textId="77777777" w:rsidR="0036156C" w:rsidRPr="00F538B7" w:rsidRDefault="0036156C" w:rsidP="00D70A06">
      <w:pPr>
        <w:spacing w:line="360" w:lineRule="auto"/>
        <w:rPr>
          <w:sz w:val="24"/>
          <w:szCs w:val="24"/>
        </w:rPr>
      </w:pPr>
    </w:p>
    <w:p w14:paraId="55632F08" w14:textId="78A87E87" w:rsidR="00EE6B12" w:rsidRPr="00EE6B12" w:rsidRDefault="0036156C" w:rsidP="00EE6B12">
      <w:pPr>
        <w:spacing w:line="360" w:lineRule="auto"/>
        <w:rPr>
          <w:sz w:val="24"/>
          <w:szCs w:val="24"/>
        </w:rPr>
      </w:pPr>
      <w:r w:rsidRPr="00F538B7">
        <w:rPr>
          <w:sz w:val="24"/>
          <w:szCs w:val="24"/>
        </w:rPr>
        <w:tab/>
      </w:r>
      <w:r w:rsidRPr="00F538B7">
        <w:rPr>
          <w:sz w:val="24"/>
          <w:szCs w:val="24"/>
        </w:rPr>
        <w:tab/>
      </w:r>
      <w:r w:rsidR="00EE6B12" w:rsidRPr="00EE6B12">
        <w:rPr>
          <w:sz w:val="24"/>
          <w:szCs w:val="24"/>
        </w:rPr>
        <w:t xml:space="preserve">In reviewing preliminary objections, only the facts in the pleadings filed by the nonmoving party can be presumed to be true </w:t>
      </w:r>
      <w:proofErr w:type="gramStart"/>
      <w:r w:rsidR="00EE6B12" w:rsidRPr="00EE6B12">
        <w:rPr>
          <w:sz w:val="24"/>
          <w:szCs w:val="24"/>
        </w:rPr>
        <w:t>in order to</w:t>
      </w:r>
      <w:proofErr w:type="gramEnd"/>
      <w:r w:rsidR="00EE6B12" w:rsidRPr="00EE6B12">
        <w:rPr>
          <w:sz w:val="24"/>
          <w:szCs w:val="24"/>
        </w:rPr>
        <w:t xml:space="preserve"> determine whether recovery is possible. </w:t>
      </w:r>
      <w:r w:rsidR="00EE6B12" w:rsidRPr="00EE6B12">
        <w:rPr>
          <w:i/>
          <w:sz w:val="24"/>
          <w:szCs w:val="24"/>
        </w:rPr>
        <w:t xml:space="preserve">Pennsylvania State Lodge, Fraternal Order of Police v. Dept. of Conservation &amp; Natural Resources, </w:t>
      </w:r>
      <w:r w:rsidR="00EE6B12" w:rsidRPr="00EE6B12">
        <w:rPr>
          <w:sz w:val="24"/>
          <w:szCs w:val="24"/>
        </w:rPr>
        <w:t>909 A2d 413 (</w:t>
      </w:r>
      <w:proofErr w:type="spellStart"/>
      <w:proofErr w:type="gramStart"/>
      <w:r w:rsidR="00EE6B12" w:rsidRPr="00EE6B12">
        <w:rPr>
          <w:sz w:val="24"/>
          <w:szCs w:val="24"/>
        </w:rPr>
        <w:t>Pa.Cmwlth</w:t>
      </w:r>
      <w:proofErr w:type="spellEnd"/>
      <w:proofErr w:type="gramEnd"/>
      <w:r w:rsidR="00EE6B12" w:rsidRPr="00EE6B12">
        <w:rPr>
          <w:sz w:val="24"/>
          <w:szCs w:val="24"/>
        </w:rPr>
        <w:t xml:space="preserve">. 2006) aff'd, 492 Pa. 304, 924 A.2d 1203 (2007).  </w:t>
      </w:r>
    </w:p>
    <w:p w14:paraId="591022D1" w14:textId="2BD4D325" w:rsidR="00EE6B12" w:rsidRPr="00EE6B12" w:rsidRDefault="00EE6B12" w:rsidP="00EE6B12">
      <w:pPr>
        <w:spacing w:line="360" w:lineRule="auto"/>
        <w:rPr>
          <w:sz w:val="24"/>
          <w:szCs w:val="24"/>
        </w:rPr>
      </w:pPr>
      <w:r w:rsidRPr="00EE6B12">
        <w:rPr>
          <w:sz w:val="24"/>
          <w:szCs w:val="24"/>
        </w:rPr>
        <w:t xml:space="preserve">The reviewing authority will accept as true the well-pled averments set forth in the complaint and responsive documents filed by Complainants, and all inferences reasonably deducible therefrom.  "In order to sustain preliminary objections, it must appear with certainty that the law will not permit recovery and, where any doubt exists as to whether the preliminary objections should be sustained, the doubt must be resolved in favor of overruling the preliminary objections.  </w:t>
      </w:r>
      <w:r w:rsidRPr="00EE6B12">
        <w:rPr>
          <w:i/>
          <w:sz w:val="24"/>
          <w:szCs w:val="24"/>
        </w:rPr>
        <w:t>Corman, et al. v. The National Collegiate Athletic Association</w:t>
      </w:r>
      <w:r w:rsidRPr="00EE6B12">
        <w:rPr>
          <w:sz w:val="24"/>
          <w:szCs w:val="24"/>
        </w:rPr>
        <w:t>, 74 A.2d 1149 (</w:t>
      </w:r>
      <w:proofErr w:type="spellStart"/>
      <w:proofErr w:type="gramStart"/>
      <w:r w:rsidRPr="00EE6B12">
        <w:rPr>
          <w:sz w:val="24"/>
          <w:szCs w:val="24"/>
        </w:rPr>
        <w:t>Pa.Cmwlth</w:t>
      </w:r>
      <w:proofErr w:type="spellEnd"/>
      <w:proofErr w:type="gramEnd"/>
      <w:r w:rsidRPr="00EE6B12">
        <w:rPr>
          <w:sz w:val="24"/>
          <w:szCs w:val="24"/>
        </w:rPr>
        <w:t xml:space="preserve">. 2013), 2013 Pa. </w:t>
      </w:r>
      <w:proofErr w:type="spellStart"/>
      <w:r w:rsidRPr="00EE6B12">
        <w:rPr>
          <w:sz w:val="24"/>
          <w:szCs w:val="24"/>
        </w:rPr>
        <w:t>Commw</w:t>
      </w:r>
      <w:proofErr w:type="spellEnd"/>
      <w:r w:rsidRPr="00EE6B12">
        <w:rPr>
          <w:sz w:val="24"/>
          <w:szCs w:val="24"/>
        </w:rPr>
        <w:t>. LEXIS 353.</w:t>
      </w:r>
    </w:p>
    <w:p w14:paraId="4446F079" w14:textId="5B148EC1" w:rsidR="00EE6B12" w:rsidRPr="00F538B7" w:rsidRDefault="00EE6B12" w:rsidP="00D70A06">
      <w:pPr>
        <w:spacing w:line="360" w:lineRule="auto"/>
        <w:rPr>
          <w:sz w:val="24"/>
          <w:szCs w:val="24"/>
        </w:rPr>
      </w:pPr>
    </w:p>
    <w:p w14:paraId="42BBF74D" w14:textId="77777777" w:rsidR="0036156C" w:rsidRPr="00F538B7" w:rsidRDefault="0036156C" w:rsidP="00D70A06">
      <w:pPr>
        <w:tabs>
          <w:tab w:val="left" w:pos="-1440"/>
          <w:tab w:val="left" w:pos="-720"/>
        </w:tabs>
        <w:suppressAutoHyphens/>
        <w:spacing w:line="360" w:lineRule="auto"/>
        <w:ind w:firstLine="1440"/>
        <w:rPr>
          <w:sz w:val="24"/>
          <w:szCs w:val="24"/>
        </w:rPr>
      </w:pPr>
      <w:r w:rsidRPr="00F538B7">
        <w:rPr>
          <w:sz w:val="24"/>
          <w:szCs w:val="24"/>
        </w:rPr>
        <w:t xml:space="preserve">Preliminary objections in civil practice requesting dismissal of a pleading will be granted only where the right to relief is clearly warranted and free from doubt.  </w:t>
      </w:r>
      <w:r w:rsidRPr="00F538B7">
        <w:rPr>
          <w:i/>
          <w:sz w:val="24"/>
          <w:szCs w:val="24"/>
        </w:rPr>
        <w:t xml:space="preserve">Interstate </w:t>
      </w:r>
      <w:proofErr w:type="spellStart"/>
      <w:r w:rsidRPr="00F538B7">
        <w:rPr>
          <w:i/>
          <w:sz w:val="24"/>
          <w:szCs w:val="24"/>
        </w:rPr>
        <w:t>Traveller</w:t>
      </w:r>
      <w:proofErr w:type="spellEnd"/>
      <w:r w:rsidRPr="00F538B7">
        <w:rPr>
          <w:i/>
          <w:sz w:val="24"/>
          <w:szCs w:val="24"/>
        </w:rPr>
        <w:t xml:space="preserve"> Services, Inc. v. Pa. Dept. of Environment Resources,</w:t>
      </w:r>
      <w:r w:rsidRPr="00F538B7">
        <w:rPr>
          <w:sz w:val="24"/>
          <w:szCs w:val="24"/>
        </w:rPr>
        <w:t xml:space="preserve"> 406 A.2d 1020 (Pa. 1979); </w:t>
      </w:r>
      <w:r w:rsidRPr="00F538B7">
        <w:rPr>
          <w:i/>
          <w:sz w:val="24"/>
          <w:szCs w:val="24"/>
        </w:rPr>
        <w:t>Rivera v. Philadelphia Theological Seminary of St. Charles Borromeo, Inc.</w:t>
      </w:r>
      <w:r w:rsidRPr="00F538B7">
        <w:rPr>
          <w:sz w:val="24"/>
          <w:szCs w:val="24"/>
        </w:rPr>
        <w:t xml:space="preserve">, 595 A.2d 172 (Pa. </w:t>
      </w:r>
      <w:r w:rsidRPr="00F538B7">
        <w:rPr>
          <w:sz w:val="24"/>
          <w:szCs w:val="24"/>
        </w:rPr>
        <w:lastRenderedPageBreak/>
        <w:t xml:space="preserve">Super 1991).  The Commission follows this standard.  </w:t>
      </w:r>
      <w:r w:rsidRPr="00F538B7">
        <w:rPr>
          <w:i/>
          <w:sz w:val="24"/>
          <w:szCs w:val="24"/>
        </w:rPr>
        <w:t>Montague v. Philadelphia Electric Company,</w:t>
      </w:r>
      <w:r w:rsidRPr="00F538B7">
        <w:rPr>
          <w:sz w:val="24"/>
          <w:szCs w:val="24"/>
        </w:rPr>
        <w:t xml:space="preserve"> 66 </w:t>
      </w:r>
      <w:proofErr w:type="spellStart"/>
      <w:r w:rsidRPr="00F538B7">
        <w:rPr>
          <w:sz w:val="24"/>
          <w:szCs w:val="24"/>
        </w:rPr>
        <w:t>Pa.PUC</w:t>
      </w:r>
      <w:proofErr w:type="spellEnd"/>
      <w:r w:rsidRPr="00F538B7">
        <w:rPr>
          <w:sz w:val="24"/>
          <w:szCs w:val="24"/>
        </w:rPr>
        <w:t xml:space="preserve"> 24 (1988).</w:t>
      </w:r>
    </w:p>
    <w:p w14:paraId="400B1FF0" w14:textId="77777777" w:rsidR="0036156C" w:rsidRPr="00F538B7" w:rsidRDefault="0036156C" w:rsidP="00D70A06">
      <w:pPr>
        <w:tabs>
          <w:tab w:val="left" w:pos="-1440"/>
          <w:tab w:val="left" w:pos="-720"/>
        </w:tabs>
        <w:suppressAutoHyphens/>
        <w:spacing w:line="360" w:lineRule="auto"/>
        <w:ind w:firstLine="1440"/>
        <w:rPr>
          <w:sz w:val="24"/>
          <w:szCs w:val="24"/>
        </w:rPr>
      </w:pPr>
    </w:p>
    <w:p w14:paraId="18D23613" w14:textId="38D8B997" w:rsidR="000E3CE7" w:rsidRDefault="007C352A" w:rsidP="00880519">
      <w:pPr>
        <w:spacing w:line="360" w:lineRule="auto"/>
        <w:ind w:firstLine="1440"/>
        <w:rPr>
          <w:sz w:val="24"/>
          <w:szCs w:val="24"/>
        </w:rPr>
      </w:pPr>
      <w:r>
        <w:rPr>
          <w:sz w:val="24"/>
          <w:szCs w:val="24"/>
        </w:rPr>
        <w:t xml:space="preserve">As noted, in ruling on Seneca’s </w:t>
      </w:r>
      <w:r w:rsidR="00483217">
        <w:rPr>
          <w:sz w:val="24"/>
          <w:szCs w:val="24"/>
        </w:rPr>
        <w:t>preliminary objections</w:t>
      </w:r>
      <w:r>
        <w:rPr>
          <w:sz w:val="24"/>
          <w:szCs w:val="24"/>
        </w:rPr>
        <w:t xml:space="preserve">, I must </w:t>
      </w:r>
      <w:r w:rsidR="00A01DB6">
        <w:rPr>
          <w:sz w:val="24"/>
          <w:szCs w:val="24"/>
        </w:rPr>
        <w:t xml:space="preserve">view the allegations </w:t>
      </w:r>
      <w:r w:rsidR="00880519">
        <w:rPr>
          <w:sz w:val="24"/>
          <w:szCs w:val="24"/>
        </w:rPr>
        <w:t xml:space="preserve">raised by Mr. Bodkin </w:t>
      </w:r>
      <w:r w:rsidR="00A01DB6">
        <w:rPr>
          <w:sz w:val="24"/>
          <w:szCs w:val="24"/>
        </w:rPr>
        <w:t xml:space="preserve">in the </w:t>
      </w:r>
      <w:r w:rsidR="00453D3A">
        <w:rPr>
          <w:sz w:val="24"/>
          <w:szCs w:val="24"/>
        </w:rPr>
        <w:t xml:space="preserve">light most favorable to </w:t>
      </w:r>
      <w:r w:rsidR="00880519">
        <w:rPr>
          <w:sz w:val="24"/>
          <w:szCs w:val="24"/>
        </w:rPr>
        <w:t xml:space="preserve">him </w:t>
      </w:r>
      <w:r w:rsidR="0087621A">
        <w:rPr>
          <w:sz w:val="24"/>
          <w:szCs w:val="24"/>
        </w:rPr>
        <w:t>and may accept as true only the well</w:t>
      </w:r>
      <w:r w:rsidR="00D57DEF">
        <w:rPr>
          <w:sz w:val="24"/>
          <w:szCs w:val="24"/>
        </w:rPr>
        <w:t>-</w:t>
      </w:r>
      <w:r w:rsidR="0087621A">
        <w:rPr>
          <w:sz w:val="24"/>
          <w:szCs w:val="24"/>
        </w:rPr>
        <w:t xml:space="preserve">pled averments </w:t>
      </w:r>
      <w:r w:rsidR="00FE0EA1">
        <w:rPr>
          <w:sz w:val="24"/>
          <w:szCs w:val="24"/>
        </w:rPr>
        <w:t xml:space="preserve">in </w:t>
      </w:r>
      <w:r w:rsidR="00006AA8">
        <w:rPr>
          <w:sz w:val="24"/>
          <w:szCs w:val="24"/>
        </w:rPr>
        <w:t xml:space="preserve">the </w:t>
      </w:r>
      <w:r w:rsidR="00FE0EA1">
        <w:rPr>
          <w:sz w:val="24"/>
          <w:szCs w:val="24"/>
        </w:rPr>
        <w:t>complaint.</w:t>
      </w:r>
      <w:r w:rsidR="00A01DB6">
        <w:rPr>
          <w:sz w:val="24"/>
          <w:szCs w:val="24"/>
        </w:rPr>
        <w:t xml:space="preserve">  In </w:t>
      </w:r>
      <w:r w:rsidR="00C36A2D">
        <w:rPr>
          <w:sz w:val="24"/>
          <w:szCs w:val="24"/>
        </w:rPr>
        <w:t xml:space="preserve">paragraph 2 of </w:t>
      </w:r>
      <w:r w:rsidR="00895C85">
        <w:rPr>
          <w:sz w:val="24"/>
          <w:szCs w:val="24"/>
        </w:rPr>
        <w:t>his complaint,</w:t>
      </w:r>
      <w:r w:rsidR="00A01DB6">
        <w:rPr>
          <w:sz w:val="24"/>
          <w:szCs w:val="24"/>
        </w:rPr>
        <w:t xml:space="preserve"> he </w:t>
      </w:r>
      <w:r w:rsidR="0039668E">
        <w:rPr>
          <w:sz w:val="24"/>
          <w:szCs w:val="24"/>
        </w:rPr>
        <w:t>wrote</w:t>
      </w:r>
      <w:r w:rsidR="00A01DB6">
        <w:rPr>
          <w:sz w:val="24"/>
          <w:szCs w:val="24"/>
        </w:rPr>
        <w:t>,</w:t>
      </w:r>
      <w:r w:rsidR="00895C85">
        <w:rPr>
          <w:sz w:val="24"/>
          <w:szCs w:val="24"/>
        </w:rPr>
        <w:t xml:space="preserve"> “Seneca Resources, 51 Zents Bl</w:t>
      </w:r>
      <w:r w:rsidR="00E54041">
        <w:rPr>
          <w:sz w:val="24"/>
          <w:szCs w:val="24"/>
        </w:rPr>
        <w:t>v</w:t>
      </w:r>
      <w:r w:rsidR="00895C85">
        <w:rPr>
          <w:sz w:val="24"/>
          <w:szCs w:val="24"/>
        </w:rPr>
        <w:t>d., Brookville, PA  15825</w:t>
      </w:r>
      <w:r w:rsidR="00E54041">
        <w:rPr>
          <w:sz w:val="24"/>
          <w:szCs w:val="24"/>
        </w:rPr>
        <w:t xml:space="preserve">   equipment located or connected to the source of the problem located at </w:t>
      </w:r>
      <w:proofErr w:type="gramStart"/>
      <w:r w:rsidR="00E54041">
        <w:rPr>
          <w:sz w:val="24"/>
          <w:szCs w:val="24"/>
        </w:rPr>
        <w:t>41.70040,-</w:t>
      </w:r>
      <w:proofErr w:type="gramEnd"/>
      <w:r w:rsidR="00E54041">
        <w:rPr>
          <w:sz w:val="24"/>
          <w:szCs w:val="24"/>
        </w:rPr>
        <w:t>78.49926</w:t>
      </w:r>
      <w:r w:rsidR="008D5609">
        <w:rPr>
          <w:sz w:val="24"/>
          <w:szCs w:val="24"/>
        </w:rPr>
        <w:t xml:space="preserve">.”  </w:t>
      </w:r>
      <w:r w:rsidR="008562AA">
        <w:rPr>
          <w:sz w:val="24"/>
          <w:szCs w:val="24"/>
        </w:rPr>
        <w:t>In paragraph 3</w:t>
      </w:r>
      <w:r w:rsidR="00C5136D">
        <w:rPr>
          <w:sz w:val="24"/>
          <w:szCs w:val="24"/>
        </w:rPr>
        <w:t xml:space="preserve"> of his </w:t>
      </w:r>
      <w:r w:rsidR="00184348">
        <w:rPr>
          <w:sz w:val="24"/>
          <w:szCs w:val="24"/>
        </w:rPr>
        <w:t>complaint,</w:t>
      </w:r>
      <w:r w:rsidR="00C5136D">
        <w:rPr>
          <w:sz w:val="24"/>
          <w:szCs w:val="24"/>
        </w:rPr>
        <w:t xml:space="preserve"> he </w:t>
      </w:r>
      <w:r w:rsidR="0039668E">
        <w:rPr>
          <w:sz w:val="24"/>
          <w:szCs w:val="24"/>
        </w:rPr>
        <w:t>describe</w:t>
      </w:r>
      <w:r w:rsidR="00C5136D">
        <w:rPr>
          <w:sz w:val="24"/>
          <w:szCs w:val="24"/>
        </w:rPr>
        <w:t>s</w:t>
      </w:r>
      <w:r w:rsidR="0039668E">
        <w:rPr>
          <w:sz w:val="24"/>
          <w:szCs w:val="24"/>
        </w:rPr>
        <w:t xml:space="preserve"> the vibration and noise he has experienced and</w:t>
      </w:r>
      <w:r w:rsidR="001734A6">
        <w:rPr>
          <w:sz w:val="24"/>
          <w:szCs w:val="24"/>
        </w:rPr>
        <w:t xml:space="preserve"> the results of his investigation to identify the scope and ultimate source of the problem.  </w:t>
      </w:r>
      <w:r w:rsidR="006E437B">
        <w:rPr>
          <w:sz w:val="24"/>
          <w:szCs w:val="24"/>
        </w:rPr>
        <w:t xml:space="preserve">In viewing these statements in the light most favorable to </w:t>
      </w:r>
      <w:r w:rsidR="00184348">
        <w:rPr>
          <w:sz w:val="24"/>
          <w:szCs w:val="24"/>
        </w:rPr>
        <w:t xml:space="preserve">him, Mr. Bodkin </w:t>
      </w:r>
      <w:r w:rsidR="00BE6DE0">
        <w:rPr>
          <w:sz w:val="24"/>
          <w:szCs w:val="24"/>
        </w:rPr>
        <w:t xml:space="preserve">is </w:t>
      </w:r>
      <w:r w:rsidR="0039668E">
        <w:rPr>
          <w:sz w:val="24"/>
          <w:szCs w:val="24"/>
        </w:rPr>
        <w:t>a</w:t>
      </w:r>
      <w:r w:rsidR="008F7007">
        <w:rPr>
          <w:sz w:val="24"/>
          <w:szCs w:val="24"/>
        </w:rPr>
        <w:t>lleg</w:t>
      </w:r>
      <w:r w:rsidR="00BE6DE0">
        <w:rPr>
          <w:sz w:val="24"/>
          <w:szCs w:val="24"/>
        </w:rPr>
        <w:t>ing</w:t>
      </w:r>
      <w:r w:rsidR="00D16214">
        <w:rPr>
          <w:sz w:val="24"/>
          <w:szCs w:val="24"/>
        </w:rPr>
        <w:t xml:space="preserve"> </w:t>
      </w:r>
      <w:r w:rsidR="002F07F8">
        <w:rPr>
          <w:sz w:val="24"/>
          <w:szCs w:val="24"/>
        </w:rPr>
        <w:t xml:space="preserve">that the problem is caused by </w:t>
      </w:r>
      <w:r w:rsidR="00961E51">
        <w:rPr>
          <w:sz w:val="24"/>
          <w:szCs w:val="24"/>
        </w:rPr>
        <w:t xml:space="preserve">Seneca </w:t>
      </w:r>
      <w:r w:rsidR="002F07F8">
        <w:rPr>
          <w:sz w:val="24"/>
          <w:szCs w:val="24"/>
        </w:rPr>
        <w:t>equipment</w:t>
      </w:r>
      <w:r w:rsidR="00961E51">
        <w:rPr>
          <w:sz w:val="24"/>
          <w:szCs w:val="24"/>
        </w:rPr>
        <w:t xml:space="preserve"> </w:t>
      </w:r>
      <w:r w:rsidR="00C2315D">
        <w:rPr>
          <w:sz w:val="24"/>
          <w:szCs w:val="24"/>
        </w:rPr>
        <w:t xml:space="preserve">located </w:t>
      </w:r>
      <w:r w:rsidR="00950D14">
        <w:rPr>
          <w:sz w:val="24"/>
          <w:szCs w:val="24"/>
        </w:rPr>
        <w:t>at or connected to the source of the problem at the</w:t>
      </w:r>
      <w:r w:rsidR="00810491">
        <w:rPr>
          <w:sz w:val="24"/>
          <w:szCs w:val="24"/>
        </w:rPr>
        <w:t xml:space="preserve"> identified </w:t>
      </w:r>
      <w:r w:rsidR="00950D14">
        <w:rPr>
          <w:sz w:val="24"/>
          <w:szCs w:val="24"/>
        </w:rPr>
        <w:t xml:space="preserve">coordinates.  </w:t>
      </w:r>
      <w:r w:rsidR="00BC7D34">
        <w:rPr>
          <w:sz w:val="24"/>
          <w:szCs w:val="24"/>
        </w:rPr>
        <w:t xml:space="preserve">Although </w:t>
      </w:r>
      <w:r w:rsidR="00A9704F">
        <w:rPr>
          <w:sz w:val="24"/>
          <w:szCs w:val="24"/>
        </w:rPr>
        <w:t>Seneca denies having any equipment located at th</w:t>
      </w:r>
      <w:r w:rsidR="0065427A">
        <w:rPr>
          <w:sz w:val="24"/>
          <w:szCs w:val="24"/>
        </w:rPr>
        <w:t>is l</w:t>
      </w:r>
      <w:r w:rsidR="00A9704F">
        <w:rPr>
          <w:sz w:val="24"/>
          <w:szCs w:val="24"/>
        </w:rPr>
        <w:t>ocation</w:t>
      </w:r>
      <w:r w:rsidR="00BC7D34">
        <w:rPr>
          <w:sz w:val="24"/>
          <w:szCs w:val="24"/>
        </w:rPr>
        <w:t>, i</w:t>
      </w:r>
      <w:r w:rsidR="00975D97">
        <w:rPr>
          <w:sz w:val="24"/>
          <w:szCs w:val="24"/>
        </w:rPr>
        <w:t>t acknowledges</w:t>
      </w:r>
      <w:r w:rsidR="00C962DF">
        <w:rPr>
          <w:sz w:val="24"/>
          <w:szCs w:val="24"/>
        </w:rPr>
        <w:t xml:space="preserve"> that it does, in fact, own some natural gas pipeline facilities in Pennsylvania that fall under the </w:t>
      </w:r>
      <w:r w:rsidR="00265470">
        <w:rPr>
          <w:sz w:val="24"/>
          <w:szCs w:val="24"/>
        </w:rPr>
        <w:t>C</w:t>
      </w:r>
      <w:r w:rsidR="00C962DF">
        <w:rPr>
          <w:sz w:val="24"/>
          <w:szCs w:val="24"/>
        </w:rPr>
        <w:t>ommission’s jurisdiction</w:t>
      </w:r>
      <w:r w:rsidR="00BE6DE0">
        <w:rPr>
          <w:sz w:val="24"/>
          <w:szCs w:val="24"/>
        </w:rPr>
        <w:t xml:space="preserve">.  It avers, however, </w:t>
      </w:r>
      <w:r w:rsidR="00265470">
        <w:rPr>
          <w:sz w:val="24"/>
          <w:szCs w:val="24"/>
        </w:rPr>
        <w:t>that these pipeline facilities are not located at the coordinates identified by Mr. Bodkin</w:t>
      </w:r>
      <w:r w:rsidR="00FF49FF">
        <w:rPr>
          <w:sz w:val="24"/>
          <w:szCs w:val="24"/>
        </w:rPr>
        <w:t>.</w:t>
      </w:r>
      <w:r w:rsidR="00865ACD">
        <w:rPr>
          <w:sz w:val="24"/>
          <w:szCs w:val="24"/>
        </w:rPr>
        <w:t xml:space="preserve">  </w:t>
      </w:r>
      <w:r w:rsidR="000A26F6">
        <w:rPr>
          <w:sz w:val="24"/>
          <w:szCs w:val="24"/>
        </w:rPr>
        <w:t xml:space="preserve">Since </w:t>
      </w:r>
      <w:r w:rsidR="007D3754">
        <w:rPr>
          <w:sz w:val="24"/>
          <w:szCs w:val="24"/>
        </w:rPr>
        <w:t xml:space="preserve">I may only consider the allegations raised by </w:t>
      </w:r>
      <w:r w:rsidR="0065427A">
        <w:rPr>
          <w:sz w:val="24"/>
          <w:szCs w:val="24"/>
        </w:rPr>
        <w:t xml:space="preserve">Mr. Bodkin, </w:t>
      </w:r>
      <w:r w:rsidR="00986F66">
        <w:rPr>
          <w:sz w:val="24"/>
          <w:szCs w:val="24"/>
        </w:rPr>
        <w:t xml:space="preserve">however, </w:t>
      </w:r>
      <w:r w:rsidR="00924263">
        <w:rPr>
          <w:sz w:val="24"/>
          <w:szCs w:val="24"/>
        </w:rPr>
        <w:t>I must accept as true</w:t>
      </w:r>
      <w:r w:rsidR="002F67AB">
        <w:rPr>
          <w:sz w:val="24"/>
          <w:szCs w:val="24"/>
        </w:rPr>
        <w:t xml:space="preserve"> that Seneca does have </w:t>
      </w:r>
      <w:r w:rsidR="00EC66F4">
        <w:rPr>
          <w:sz w:val="24"/>
          <w:szCs w:val="24"/>
        </w:rPr>
        <w:t xml:space="preserve">equipment at the location identified by </w:t>
      </w:r>
      <w:r w:rsidR="00421452">
        <w:rPr>
          <w:sz w:val="24"/>
          <w:szCs w:val="24"/>
        </w:rPr>
        <w:t xml:space="preserve">him and that these facilities may be the cause of the </w:t>
      </w:r>
      <w:r w:rsidR="00791C6D">
        <w:rPr>
          <w:sz w:val="24"/>
          <w:szCs w:val="24"/>
        </w:rPr>
        <w:t>vibration and noise about which he is complaining.</w:t>
      </w:r>
      <w:r w:rsidR="001778BC">
        <w:rPr>
          <w:sz w:val="24"/>
          <w:szCs w:val="24"/>
        </w:rPr>
        <w:t xml:space="preserve">  As noted, Seneca denies this allegation and will have an opportunity to </w:t>
      </w:r>
      <w:r w:rsidR="00CB24D5">
        <w:rPr>
          <w:sz w:val="24"/>
          <w:szCs w:val="24"/>
        </w:rPr>
        <w:t>challenge</w:t>
      </w:r>
      <w:r w:rsidR="00BF7E42">
        <w:rPr>
          <w:sz w:val="24"/>
          <w:szCs w:val="24"/>
        </w:rPr>
        <w:t xml:space="preserve"> </w:t>
      </w:r>
      <w:r w:rsidR="00910205">
        <w:rPr>
          <w:sz w:val="24"/>
          <w:szCs w:val="24"/>
        </w:rPr>
        <w:t xml:space="preserve">it </w:t>
      </w:r>
      <w:r w:rsidR="00BF7E42">
        <w:rPr>
          <w:sz w:val="24"/>
          <w:szCs w:val="24"/>
        </w:rPr>
        <w:t xml:space="preserve">at a hearing.  </w:t>
      </w:r>
      <w:r w:rsidR="00910205">
        <w:rPr>
          <w:sz w:val="24"/>
          <w:szCs w:val="24"/>
        </w:rPr>
        <w:t>I note that, a</w:t>
      </w:r>
      <w:r w:rsidR="00BF7E42">
        <w:rPr>
          <w:sz w:val="24"/>
          <w:szCs w:val="24"/>
        </w:rPr>
        <w:t xml:space="preserve">s the </w:t>
      </w:r>
      <w:r w:rsidR="000E3CE7">
        <w:rPr>
          <w:sz w:val="24"/>
          <w:szCs w:val="24"/>
        </w:rPr>
        <w:t>proponent of a rule or order from the Commission</w:t>
      </w:r>
      <w:r w:rsidR="000620A2">
        <w:rPr>
          <w:sz w:val="24"/>
          <w:szCs w:val="24"/>
        </w:rPr>
        <w:t xml:space="preserve"> in this proceeding, </w:t>
      </w:r>
      <w:r w:rsidR="000E3CE7">
        <w:rPr>
          <w:sz w:val="24"/>
          <w:szCs w:val="24"/>
        </w:rPr>
        <w:t>the burden of proof at the hearing will be on Mr. Bodkin to prove his allegations</w:t>
      </w:r>
      <w:r w:rsidR="000620A2">
        <w:rPr>
          <w:sz w:val="24"/>
          <w:szCs w:val="24"/>
        </w:rPr>
        <w:t xml:space="preserve"> by a preponderance of the evidence</w:t>
      </w:r>
      <w:r w:rsidR="000E3CE7">
        <w:rPr>
          <w:sz w:val="24"/>
          <w:szCs w:val="24"/>
        </w:rPr>
        <w:t xml:space="preserve">.  </w:t>
      </w:r>
    </w:p>
    <w:p w14:paraId="05D5014C" w14:textId="2013207E" w:rsidR="00572640" w:rsidRDefault="00CB24D5" w:rsidP="00880519">
      <w:pPr>
        <w:spacing w:line="360" w:lineRule="auto"/>
        <w:ind w:firstLine="1440"/>
        <w:rPr>
          <w:sz w:val="24"/>
          <w:szCs w:val="24"/>
        </w:rPr>
      </w:pPr>
      <w:r>
        <w:rPr>
          <w:sz w:val="24"/>
          <w:szCs w:val="24"/>
        </w:rPr>
        <w:t xml:space="preserve"> </w:t>
      </w:r>
      <w:r w:rsidR="00791C6D">
        <w:rPr>
          <w:sz w:val="24"/>
          <w:szCs w:val="24"/>
        </w:rPr>
        <w:t xml:space="preserve">  </w:t>
      </w:r>
    </w:p>
    <w:p w14:paraId="66ABBB3D" w14:textId="4D11EA69" w:rsidR="001C67E4" w:rsidRDefault="000E3CE7" w:rsidP="00D70A06">
      <w:pPr>
        <w:spacing w:line="360" w:lineRule="auto"/>
        <w:ind w:firstLine="1440"/>
        <w:rPr>
          <w:sz w:val="24"/>
          <w:szCs w:val="24"/>
        </w:rPr>
      </w:pPr>
      <w:r>
        <w:rPr>
          <w:sz w:val="24"/>
          <w:szCs w:val="24"/>
        </w:rPr>
        <w:t xml:space="preserve">For the reasons set forth above, </w:t>
      </w:r>
      <w:r w:rsidR="00853F5E">
        <w:rPr>
          <w:sz w:val="24"/>
          <w:szCs w:val="24"/>
        </w:rPr>
        <w:t xml:space="preserve">Respondent’s </w:t>
      </w:r>
      <w:r w:rsidR="000620A2">
        <w:rPr>
          <w:sz w:val="24"/>
          <w:szCs w:val="24"/>
        </w:rPr>
        <w:t>p</w:t>
      </w:r>
      <w:r w:rsidR="00853F5E">
        <w:rPr>
          <w:sz w:val="24"/>
          <w:szCs w:val="24"/>
        </w:rPr>
        <w:t xml:space="preserve">reliminary </w:t>
      </w:r>
      <w:r w:rsidR="000620A2">
        <w:rPr>
          <w:sz w:val="24"/>
          <w:szCs w:val="24"/>
        </w:rPr>
        <w:t>o</w:t>
      </w:r>
      <w:r w:rsidR="00853F5E">
        <w:rPr>
          <w:sz w:val="24"/>
          <w:szCs w:val="24"/>
        </w:rPr>
        <w:t xml:space="preserve">bjections </w:t>
      </w:r>
      <w:r w:rsidR="0096734A">
        <w:rPr>
          <w:sz w:val="24"/>
          <w:szCs w:val="24"/>
        </w:rPr>
        <w:t>are d</w:t>
      </w:r>
      <w:r w:rsidR="00853F5E">
        <w:rPr>
          <w:sz w:val="24"/>
          <w:szCs w:val="24"/>
        </w:rPr>
        <w:t>enied</w:t>
      </w:r>
      <w:r w:rsidR="0096734A">
        <w:rPr>
          <w:sz w:val="24"/>
          <w:szCs w:val="24"/>
        </w:rPr>
        <w:t xml:space="preserve">.  Having </w:t>
      </w:r>
      <w:r w:rsidR="00087E25">
        <w:rPr>
          <w:sz w:val="24"/>
          <w:szCs w:val="24"/>
        </w:rPr>
        <w:t>denied</w:t>
      </w:r>
      <w:r w:rsidR="0096734A">
        <w:rPr>
          <w:sz w:val="24"/>
          <w:szCs w:val="24"/>
        </w:rPr>
        <w:t xml:space="preserve"> Seneca’s </w:t>
      </w:r>
      <w:r w:rsidR="000620A2">
        <w:rPr>
          <w:sz w:val="24"/>
          <w:szCs w:val="24"/>
        </w:rPr>
        <w:t>preliminary objec</w:t>
      </w:r>
      <w:r w:rsidR="00D92CDD">
        <w:rPr>
          <w:sz w:val="24"/>
          <w:szCs w:val="24"/>
        </w:rPr>
        <w:t>t</w:t>
      </w:r>
      <w:r w:rsidR="000620A2">
        <w:rPr>
          <w:sz w:val="24"/>
          <w:szCs w:val="24"/>
        </w:rPr>
        <w:t>ion</w:t>
      </w:r>
      <w:r w:rsidR="00D92CDD">
        <w:rPr>
          <w:sz w:val="24"/>
          <w:szCs w:val="24"/>
        </w:rPr>
        <w:t>s</w:t>
      </w:r>
      <w:r w:rsidR="00087E25">
        <w:rPr>
          <w:sz w:val="24"/>
          <w:szCs w:val="24"/>
        </w:rPr>
        <w:t xml:space="preserve">, I believe it is appropriate to refer this proceeding to the Commission’s Mediation </w:t>
      </w:r>
      <w:r w:rsidR="00386D6E">
        <w:rPr>
          <w:sz w:val="24"/>
          <w:szCs w:val="24"/>
        </w:rPr>
        <w:t>U</w:t>
      </w:r>
      <w:r w:rsidR="00087E25">
        <w:rPr>
          <w:sz w:val="24"/>
          <w:szCs w:val="24"/>
        </w:rPr>
        <w:t>nit</w:t>
      </w:r>
      <w:r w:rsidR="00386D6E">
        <w:rPr>
          <w:sz w:val="24"/>
          <w:szCs w:val="24"/>
        </w:rPr>
        <w:t xml:space="preserve"> to give the parties an opportunity to discu</w:t>
      </w:r>
      <w:r w:rsidR="008B1843">
        <w:rPr>
          <w:sz w:val="24"/>
          <w:szCs w:val="24"/>
        </w:rPr>
        <w:t>s</w:t>
      </w:r>
      <w:r w:rsidR="00386D6E">
        <w:rPr>
          <w:sz w:val="24"/>
          <w:szCs w:val="24"/>
        </w:rPr>
        <w:t>s</w:t>
      </w:r>
      <w:r w:rsidR="008B1843">
        <w:rPr>
          <w:sz w:val="24"/>
          <w:szCs w:val="24"/>
        </w:rPr>
        <w:t xml:space="preserve"> and</w:t>
      </w:r>
      <w:r w:rsidR="00386D6E">
        <w:rPr>
          <w:sz w:val="24"/>
          <w:szCs w:val="24"/>
        </w:rPr>
        <w:t xml:space="preserve"> attempt to</w:t>
      </w:r>
      <w:r w:rsidR="008B1843">
        <w:rPr>
          <w:sz w:val="24"/>
          <w:szCs w:val="24"/>
        </w:rPr>
        <w:t xml:space="preserve"> resolve the </w:t>
      </w:r>
      <w:r w:rsidR="00741F56">
        <w:rPr>
          <w:sz w:val="24"/>
          <w:szCs w:val="24"/>
        </w:rPr>
        <w:t xml:space="preserve">Mr. Bodkin’s </w:t>
      </w:r>
      <w:r w:rsidR="008B1843">
        <w:rPr>
          <w:sz w:val="24"/>
          <w:szCs w:val="24"/>
        </w:rPr>
        <w:t>allegations on an informal basis.</w:t>
      </w:r>
      <w:r w:rsidR="00741F56">
        <w:rPr>
          <w:sz w:val="24"/>
          <w:szCs w:val="24"/>
        </w:rPr>
        <w:t xml:space="preserve"> </w:t>
      </w:r>
      <w:r w:rsidR="00853F5E">
        <w:rPr>
          <w:sz w:val="24"/>
          <w:szCs w:val="24"/>
        </w:rPr>
        <w:t xml:space="preserve">  </w:t>
      </w:r>
    </w:p>
    <w:p w14:paraId="653AFF48" w14:textId="567597AE" w:rsidR="00853F5E" w:rsidRDefault="00853F5E" w:rsidP="00D70A06">
      <w:pPr>
        <w:spacing w:line="360" w:lineRule="auto"/>
        <w:ind w:firstLine="1440"/>
        <w:rPr>
          <w:sz w:val="24"/>
          <w:szCs w:val="24"/>
        </w:rPr>
      </w:pPr>
    </w:p>
    <w:p w14:paraId="7848DF46" w14:textId="1EAA844E" w:rsidR="00385D72" w:rsidRDefault="00385D72" w:rsidP="00D70A06">
      <w:pPr>
        <w:spacing w:line="360" w:lineRule="auto"/>
        <w:ind w:firstLine="1440"/>
        <w:rPr>
          <w:sz w:val="24"/>
          <w:szCs w:val="24"/>
        </w:rPr>
      </w:pPr>
    </w:p>
    <w:p w14:paraId="0EA27231" w14:textId="09036AB7" w:rsidR="00385D72" w:rsidRDefault="00385D72" w:rsidP="00D70A06">
      <w:pPr>
        <w:spacing w:line="360" w:lineRule="auto"/>
        <w:ind w:firstLine="1440"/>
        <w:rPr>
          <w:sz w:val="24"/>
          <w:szCs w:val="24"/>
        </w:rPr>
      </w:pPr>
    </w:p>
    <w:p w14:paraId="6321A8B3" w14:textId="77777777" w:rsidR="00385D72" w:rsidRDefault="00385D72" w:rsidP="00D70A06">
      <w:pPr>
        <w:spacing w:line="360" w:lineRule="auto"/>
        <w:ind w:firstLine="1440"/>
        <w:rPr>
          <w:sz w:val="24"/>
          <w:szCs w:val="24"/>
        </w:rPr>
      </w:pPr>
    </w:p>
    <w:p w14:paraId="63BCA0E7" w14:textId="77777777" w:rsidR="00385D72" w:rsidRDefault="00385D72" w:rsidP="00D70A06">
      <w:pPr>
        <w:spacing w:line="360" w:lineRule="auto"/>
        <w:ind w:firstLine="1440"/>
        <w:rPr>
          <w:sz w:val="24"/>
          <w:szCs w:val="24"/>
        </w:rPr>
      </w:pPr>
    </w:p>
    <w:p w14:paraId="23604B1E" w14:textId="77777777" w:rsidR="00A76AD7" w:rsidRPr="00F538B7" w:rsidRDefault="00A76AD7" w:rsidP="00D70A06">
      <w:pPr>
        <w:spacing w:line="360" w:lineRule="auto"/>
        <w:jc w:val="center"/>
        <w:outlineLvl w:val="0"/>
        <w:rPr>
          <w:sz w:val="24"/>
          <w:szCs w:val="24"/>
          <w:u w:val="single"/>
        </w:rPr>
      </w:pPr>
      <w:r w:rsidRPr="00F538B7">
        <w:rPr>
          <w:sz w:val="24"/>
          <w:szCs w:val="24"/>
          <w:u w:val="single"/>
        </w:rPr>
        <w:lastRenderedPageBreak/>
        <w:t>ORDER</w:t>
      </w:r>
    </w:p>
    <w:p w14:paraId="402E8F32" w14:textId="77777777" w:rsidR="00DB12AB" w:rsidRDefault="00DB12AB" w:rsidP="00D70A06">
      <w:pPr>
        <w:spacing w:line="360" w:lineRule="auto"/>
        <w:ind w:firstLine="1440"/>
        <w:outlineLvl w:val="0"/>
        <w:rPr>
          <w:sz w:val="24"/>
          <w:szCs w:val="24"/>
        </w:rPr>
      </w:pPr>
    </w:p>
    <w:p w14:paraId="55384E13" w14:textId="77777777" w:rsidR="008A506D" w:rsidRPr="00F538B7" w:rsidRDefault="008A506D" w:rsidP="00D70A06">
      <w:pPr>
        <w:spacing w:line="360" w:lineRule="auto"/>
        <w:ind w:firstLine="1440"/>
        <w:outlineLvl w:val="0"/>
        <w:rPr>
          <w:sz w:val="24"/>
          <w:szCs w:val="24"/>
        </w:rPr>
      </w:pPr>
    </w:p>
    <w:p w14:paraId="6C1811BB" w14:textId="77777777" w:rsidR="00A76AD7" w:rsidRPr="00F538B7" w:rsidRDefault="00A76AD7" w:rsidP="00D70A06">
      <w:pPr>
        <w:spacing w:line="360" w:lineRule="auto"/>
        <w:ind w:firstLine="1440"/>
        <w:outlineLvl w:val="0"/>
        <w:rPr>
          <w:sz w:val="24"/>
          <w:szCs w:val="24"/>
        </w:rPr>
      </w:pPr>
      <w:r w:rsidRPr="00F538B7">
        <w:rPr>
          <w:sz w:val="24"/>
          <w:szCs w:val="24"/>
        </w:rPr>
        <w:t>THEREFORE,</w:t>
      </w:r>
    </w:p>
    <w:p w14:paraId="726D232C" w14:textId="77777777" w:rsidR="00A76AD7" w:rsidRPr="00F538B7" w:rsidRDefault="00A76AD7" w:rsidP="00D70A06">
      <w:pPr>
        <w:spacing w:line="360" w:lineRule="auto"/>
        <w:ind w:firstLine="1440"/>
        <w:outlineLvl w:val="0"/>
        <w:rPr>
          <w:sz w:val="24"/>
          <w:szCs w:val="24"/>
        </w:rPr>
      </w:pPr>
    </w:p>
    <w:p w14:paraId="5FEB5315" w14:textId="77777777" w:rsidR="002B6B99" w:rsidRPr="00F538B7" w:rsidRDefault="002B6B99" w:rsidP="00D70A06">
      <w:pPr>
        <w:spacing w:line="360" w:lineRule="auto"/>
        <w:ind w:firstLine="1440"/>
        <w:outlineLvl w:val="0"/>
        <w:rPr>
          <w:sz w:val="24"/>
          <w:szCs w:val="24"/>
        </w:rPr>
      </w:pPr>
      <w:r w:rsidRPr="00F538B7">
        <w:rPr>
          <w:sz w:val="24"/>
          <w:szCs w:val="24"/>
        </w:rPr>
        <w:t>IT IS ORDERED:</w:t>
      </w:r>
    </w:p>
    <w:p w14:paraId="61DF2F75" w14:textId="77777777" w:rsidR="002B6B99" w:rsidRPr="00F538B7" w:rsidRDefault="002B6B99" w:rsidP="00D70A06">
      <w:pPr>
        <w:spacing w:line="360" w:lineRule="auto"/>
        <w:ind w:firstLine="1440"/>
        <w:rPr>
          <w:sz w:val="24"/>
          <w:szCs w:val="24"/>
        </w:rPr>
      </w:pPr>
    </w:p>
    <w:p w14:paraId="4A2C8BBF" w14:textId="097B976E" w:rsidR="002B6B99" w:rsidRPr="00F538B7" w:rsidRDefault="002B6B99" w:rsidP="00D70A06">
      <w:pPr>
        <w:spacing w:line="360" w:lineRule="auto"/>
        <w:ind w:firstLine="1440"/>
        <w:rPr>
          <w:sz w:val="24"/>
          <w:szCs w:val="24"/>
        </w:rPr>
      </w:pPr>
      <w:r w:rsidRPr="00F538B7">
        <w:rPr>
          <w:sz w:val="24"/>
          <w:szCs w:val="24"/>
        </w:rPr>
        <w:t>1.</w:t>
      </w:r>
      <w:r w:rsidRPr="00F538B7">
        <w:rPr>
          <w:sz w:val="24"/>
          <w:szCs w:val="24"/>
        </w:rPr>
        <w:tab/>
        <w:t xml:space="preserve">That the </w:t>
      </w:r>
      <w:r w:rsidR="00441338" w:rsidRPr="00F538B7">
        <w:rPr>
          <w:sz w:val="24"/>
          <w:szCs w:val="24"/>
        </w:rPr>
        <w:t xml:space="preserve">Preliminary Objections </w:t>
      </w:r>
      <w:r w:rsidRPr="00F538B7">
        <w:rPr>
          <w:sz w:val="24"/>
          <w:szCs w:val="24"/>
        </w:rPr>
        <w:t xml:space="preserve">filed by </w:t>
      </w:r>
      <w:r w:rsidR="00211E62">
        <w:rPr>
          <w:sz w:val="24"/>
          <w:szCs w:val="24"/>
        </w:rPr>
        <w:t>Seneca Resources Company, LLC,</w:t>
      </w:r>
      <w:r w:rsidR="00853F5E">
        <w:rPr>
          <w:sz w:val="24"/>
          <w:szCs w:val="24"/>
        </w:rPr>
        <w:t xml:space="preserve"> at Docket No. C-20</w:t>
      </w:r>
      <w:r w:rsidR="00211E62">
        <w:rPr>
          <w:sz w:val="24"/>
          <w:szCs w:val="24"/>
        </w:rPr>
        <w:t>21</w:t>
      </w:r>
      <w:r w:rsidR="00853F5E">
        <w:rPr>
          <w:sz w:val="24"/>
          <w:szCs w:val="24"/>
        </w:rPr>
        <w:t>-</w:t>
      </w:r>
      <w:r w:rsidR="00211E62">
        <w:rPr>
          <w:sz w:val="24"/>
          <w:szCs w:val="24"/>
        </w:rPr>
        <w:t>3029830</w:t>
      </w:r>
      <w:r w:rsidR="00DB2EF1">
        <w:rPr>
          <w:sz w:val="24"/>
          <w:szCs w:val="24"/>
        </w:rPr>
        <w:t xml:space="preserve"> are denied</w:t>
      </w:r>
      <w:r w:rsidR="00853F5E">
        <w:rPr>
          <w:sz w:val="24"/>
          <w:szCs w:val="24"/>
        </w:rPr>
        <w:t xml:space="preserve">.  </w:t>
      </w:r>
    </w:p>
    <w:p w14:paraId="29F9FBF9" w14:textId="77777777" w:rsidR="002B6B99" w:rsidRPr="00F538B7" w:rsidRDefault="002B6B99" w:rsidP="00D70A06">
      <w:pPr>
        <w:spacing w:line="360" w:lineRule="auto"/>
        <w:ind w:firstLine="1440"/>
        <w:rPr>
          <w:sz w:val="24"/>
          <w:szCs w:val="24"/>
        </w:rPr>
      </w:pPr>
    </w:p>
    <w:p w14:paraId="76445446" w14:textId="7AA50EFA" w:rsidR="002B6B99" w:rsidRPr="00F538B7" w:rsidRDefault="002B6B99" w:rsidP="00D70A06">
      <w:pPr>
        <w:spacing w:line="360" w:lineRule="auto"/>
        <w:ind w:firstLine="1440"/>
        <w:rPr>
          <w:sz w:val="24"/>
          <w:szCs w:val="24"/>
        </w:rPr>
      </w:pPr>
      <w:r w:rsidRPr="00F538B7">
        <w:rPr>
          <w:sz w:val="24"/>
          <w:szCs w:val="24"/>
        </w:rPr>
        <w:t>2.</w:t>
      </w:r>
      <w:r w:rsidRPr="00F538B7">
        <w:rPr>
          <w:sz w:val="24"/>
          <w:szCs w:val="24"/>
        </w:rPr>
        <w:tab/>
        <w:t xml:space="preserve">That the Formal Complaint filed by </w:t>
      </w:r>
      <w:r w:rsidR="00DB2EF1">
        <w:rPr>
          <w:sz w:val="24"/>
          <w:szCs w:val="24"/>
        </w:rPr>
        <w:t>Gary Bodkin against Seneca Resources Company, LLC</w:t>
      </w:r>
      <w:r w:rsidR="008A0237" w:rsidRPr="008A0237">
        <w:rPr>
          <w:sz w:val="24"/>
          <w:szCs w:val="24"/>
        </w:rPr>
        <w:t xml:space="preserve"> </w:t>
      </w:r>
      <w:r w:rsidR="008A0237">
        <w:rPr>
          <w:sz w:val="24"/>
          <w:szCs w:val="24"/>
        </w:rPr>
        <w:t xml:space="preserve">at Docket No. C-2021-3029830 </w:t>
      </w:r>
      <w:r w:rsidR="00DB2EF1">
        <w:rPr>
          <w:sz w:val="24"/>
          <w:szCs w:val="24"/>
        </w:rPr>
        <w:t>is hereby referred to the Commission’s Mediation unit</w:t>
      </w:r>
      <w:r w:rsidR="00314685">
        <w:rPr>
          <w:sz w:val="24"/>
          <w:szCs w:val="24"/>
        </w:rPr>
        <w:t xml:space="preserve">.  </w:t>
      </w:r>
      <w:r w:rsidR="00853F5E">
        <w:rPr>
          <w:sz w:val="24"/>
          <w:szCs w:val="24"/>
        </w:rPr>
        <w:t xml:space="preserve">  </w:t>
      </w:r>
    </w:p>
    <w:p w14:paraId="3661F2F2" w14:textId="77777777" w:rsidR="00903694" w:rsidRPr="00F538B7" w:rsidRDefault="00903694" w:rsidP="00D70A06">
      <w:pPr>
        <w:spacing w:line="360" w:lineRule="auto"/>
        <w:ind w:firstLine="1440"/>
        <w:outlineLvl w:val="0"/>
        <w:rPr>
          <w:sz w:val="24"/>
          <w:szCs w:val="24"/>
        </w:rPr>
      </w:pPr>
    </w:p>
    <w:p w14:paraId="66B20EF2" w14:textId="77777777" w:rsidR="00A76AD7" w:rsidRPr="00F538B7" w:rsidRDefault="00A76AD7" w:rsidP="00D70A06">
      <w:pPr>
        <w:spacing w:line="360" w:lineRule="auto"/>
        <w:outlineLvl w:val="0"/>
        <w:rPr>
          <w:sz w:val="24"/>
          <w:szCs w:val="24"/>
        </w:rPr>
      </w:pPr>
    </w:p>
    <w:p w14:paraId="57F43C5E" w14:textId="05FDDE73" w:rsidR="006C6130" w:rsidRDefault="006C6130" w:rsidP="00D70A06">
      <w:pPr>
        <w:outlineLvl w:val="0"/>
        <w:rPr>
          <w:snapToGrid w:val="0"/>
          <w:sz w:val="24"/>
          <w:szCs w:val="24"/>
          <w:u w:val="single"/>
        </w:rPr>
      </w:pPr>
      <w:r>
        <w:rPr>
          <w:snapToGrid w:val="0"/>
          <w:sz w:val="24"/>
          <w:szCs w:val="24"/>
        </w:rPr>
        <w:t xml:space="preserve">Date: </w:t>
      </w:r>
      <w:r w:rsidR="00314685" w:rsidRPr="00314685">
        <w:rPr>
          <w:snapToGrid w:val="0"/>
          <w:sz w:val="24"/>
          <w:szCs w:val="24"/>
          <w:u w:val="single"/>
        </w:rPr>
        <w:t>March 24, 2022</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u w:val="single"/>
        </w:rPr>
        <w:tab/>
      </w:r>
      <w:r>
        <w:rPr>
          <w:snapToGrid w:val="0"/>
          <w:sz w:val="24"/>
          <w:szCs w:val="24"/>
          <w:u w:val="single"/>
        </w:rPr>
        <w:tab/>
      </w:r>
      <w:r>
        <w:rPr>
          <w:snapToGrid w:val="0"/>
          <w:sz w:val="24"/>
          <w:szCs w:val="24"/>
          <w:u w:val="single"/>
        </w:rPr>
        <w:tab/>
      </w:r>
      <w:r>
        <w:rPr>
          <w:snapToGrid w:val="0"/>
          <w:sz w:val="24"/>
          <w:szCs w:val="24"/>
          <w:u w:val="single"/>
        </w:rPr>
        <w:tab/>
      </w:r>
      <w:r>
        <w:rPr>
          <w:snapToGrid w:val="0"/>
          <w:sz w:val="24"/>
          <w:szCs w:val="24"/>
          <w:u w:val="single"/>
        </w:rPr>
        <w:tab/>
      </w:r>
    </w:p>
    <w:p w14:paraId="4FBCD5E9" w14:textId="76723E42" w:rsidR="006C6130" w:rsidRDefault="006C6130" w:rsidP="00D70A06">
      <w:pPr>
        <w:outlineLvl w:val="0"/>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314685">
        <w:rPr>
          <w:snapToGrid w:val="0"/>
          <w:sz w:val="24"/>
          <w:szCs w:val="24"/>
        </w:rPr>
        <w:t>Steven K. Haas</w:t>
      </w:r>
    </w:p>
    <w:p w14:paraId="1A673DD6" w14:textId="547529AC" w:rsidR="006C6130" w:rsidRDefault="006C6130" w:rsidP="00D70A06">
      <w:pPr>
        <w:outlineLvl w:val="0"/>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Administrative Law Judge</w:t>
      </w:r>
    </w:p>
    <w:p w14:paraId="7CA33525" w14:textId="77777777" w:rsidR="00583D9F" w:rsidRDefault="00583D9F" w:rsidP="00D70A06">
      <w:pPr>
        <w:outlineLvl w:val="0"/>
        <w:rPr>
          <w:snapToGrid w:val="0"/>
          <w:sz w:val="24"/>
          <w:szCs w:val="24"/>
        </w:rPr>
        <w:sectPr w:rsidR="00583D9F" w:rsidSect="001B7605">
          <w:footerReference w:type="default" r:id="rId7"/>
          <w:pgSz w:w="12240" w:h="15840"/>
          <w:pgMar w:top="1440" w:right="1440" w:bottom="1440" w:left="1440" w:header="720" w:footer="720" w:gutter="0"/>
          <w:cols w:space="720"/>
          <w:titlePg/>
          <w:docGrid w:linePitch="360"/>
        </w:sectPr>
      </w:pPr>
    </w:p>
    <w:p w14:paraId="5CDAFBEF" w14:textId="77777777" w:rsidR="00583D9F" w:rsidRDefault="00583D9F" w:rsidP="00583D9F">
      <w:r>
        <w:rPr>
          <w:rFonts w:ascii="Microsoft Sans Serif" w:eastAsia="Microsoft Sans Serif" w:hAnsi="Microsoft Sans Serif" w:cs="Microsoft Sans Serif"/>
          <w:b/>
          <w:sz w:val="24"/>
          <w:u w:val="single"/>
        </w:rPr>
        <w:lastRenderedPageBreak/>
        <w:t>C-2021-3029830 - GARY BODKIN v. SENECA RESOURCES COMPANY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GARY BODKIN</w:t>
      </w:r>
      <w:r>
        <w:rPr>
          <w:rFonts w:ascii="Microsoft Sans Serif" w:eastAsia="Microsoft Sans Serif" w:hAnsi="Microsoft Sans Serif" w:cs="Microsoft Sans Serif"/>
          <w:sz w:val="24"/>
        </w:rPr>
        <w:cr/>
        <w:t>735 LINDHOLM ROAD</w:t>
      </w:r>
      <w:r>
        <w:rPr>
          <w:rFonts w:ascii="Microsoft Sans Serif" w:eastAsia="Microsoft Sans Serif" w:hAnsi="Microsoft Sans Serif" w:cs="Microsoft Sans Serif"/>
          <w:sz w:val="24"/>
        </w:rPr>
        <w:cr/>
        <w:t>MT JEWETT PA  16735</w:t>
      </w:r>
      <w:r>
        <w:rPr>
          <w:rFonts w:ascii="Microsoft Sans Serif" w:eastAsia="Microsoft Sans Serif" w:hAnsi="Microsoft Sans Serif" w:cs="Microsoft Sans Serif"/>
          <w:sz w:val="24"/>
        </w:rPr>
        <w:cr/>
      </w:r>
      <w:r w:rsidRPr="00A20F93">
        <w:rPr>
          <w:rFonts w:ascii="Microsoft Sans Serif" w:eastAsia="Microsoft Sans Serif" w:hAnsi="Microsoft Sans Serif" w:cs="Microsoft Sans Serif"/>
          <w:b/>
          <w:bCs/>
          <w:sz w:val="24"/>
        </w:rPr>
        <w:t>570.415.5634</w:t>
      </w:r>
      <w:r>
        <w:rPr>
          <w:rFonts w:ascii="Microsoft Sans Serif" w:eastAsia="Microsoft Sans Serif" w:hAnsi="Microsoft Sans Serif" w:cs="Microsoft Sans Serif"/>
          <w:sz w:val="24"/>
        </w:rPr>
        <w:cr/>
        <w:t xml:space="preserve">BODKINSG86@GMAIL.COM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CHRISTOPHER TREJCHEL DEPUTY GENERAL COUNSEL</w:t>
      </w:r>
      <w:r>
        <w:rPr>
          <w:rFonts w:ascii="Microsoft Sans Serif" w:eastAsia="Microsoft Sans Serif" w:hAnsi="Microsoft Sans Serif" w:cs="Microsoft Sans Serif"/>
          <w:sz w:val="24"/>
        </w:rPr>
        <w:cr/>
        <w:t>SENECA RESOURCES COMPANY LLC</w:t>
      </w:r>
      <w:r>
        <w:rPr>
          <w:rFonts w:ascii="Microsoft Sans Serif" w:eastAsia="Microsoft Sans Serif" w:hAnsi="Microsoft Sans Serif" w:cs="Microsoft Sans Serif"/>
          <w:sz w:val="24"/>
        </w:rPr>
        <w:cr/>
        <w:t>2000 WESTINGHOUSE DRIVE SUITE 400</w:t>
      </w:r>
      <w:r>
        <w:rPr>
          <w:rFonts w:ascii="Microsoft Sans Serif" w:eastAsia="Microsoft Sans Serif" w:hAnsi="Microsoft Sans Serif" w:cs="Microsoft Sans Serif"/>
          <w:sz w:val="24"/>
        </w:rPr>
        <w:cr/>
        <w:t>CRANBERRY TOWNSHIP PA  16066</w:t>
      </w:r>
      <w:r>
        <w:rPr>
          <w:rFonts w:ascii="Microsoft Sans Serif" w:eastAsia="Microsoft Sans Serif" w:hAnsi="Microsoft Sans Serif" w:cs="Microsoft Sans Serif"/>
          <w:sz w:val="24"/>
        </w:rPr>
        <w:cr/>
      </w:r>
      <w:r w:rsidRPr="00A20F93">
        <w:rPr>
          <w:rFonts w:ascii="Microsoft Sans Serif" w:eastAsia="Microsoft Sans Serif" w:hAnsi="Microsoft Sans Serif" w:cs="Microsoft Sans Serif"/>
          <w:b/>
          <w:bCs/>
          <w:sz w:val="24"/>
        </w:rPr>
        <w:t>412.548.2537</w:t>
      </w:r>
      <w:r w:rsidRPr="00A20F93">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trejchelc@srcx.com</w:t>
      </w:r>
      <w:r>
        <w:rPr>
          <w:rFonts w:ascii="Microsoft Sans Serif" w:eastAsia="Microsoft Sans Serif" w:hAnsi="Microsoft Sans Serif" w:cs="Microsoft Sans Serif"/>
          <w:sz w:val="24"/>
        </w:rPr>
        <w:cr/>
        <w:t>Accepts eService</w:t>
      </w:r>
    </w:p>
    <w:p w14:paraId="57FFEC9E" w14:textId="77777777" w:rsidR="00583D9F" w:rsidRDefault="00583D9F" w:rsidP="00583D9F"/>
    <w:p w14:paraId="2DCCA159" w14:textId="77777777" w:rsidR="00583D9F" w:rsidRPr="006C6130" w:rsidRDefault="00583D9F" w:rsidP="00D70A06">
      <w:pPr>
        <w:outlineLvl w:val="0"/>
        <w:rPr>
          <w:snapToGrid w:val="0"/>
          <w:sz w:val="24"/>
          <w:szCs w:val="24"/>
        </w:rPr>
      </w:pPr>
    </w:p>
    <w:sectPr w:rsidR="00583D9F" w:rsidRPr="006C613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B9E33" w14:textId="77777777" w:rsidR="00362143" w:rsidRDefault="00362143" w:rsidP="00F01477">
      <w:r>
        <w:separator/>
      </w:r>
    </w:p>
  </w:endnote>
  <w:endnote w:type="continuationSeparator" w:id="0">
    <w:p w14:paraId="1882F8CF" w14:textId="77777777" w:rsidR="00362143" w:rsidRDefault="00362143" w:rsidP="00F0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AC84" w14:textId="77777777" w:rsidR="0087473D" w:rsidRPr="00C7592A" w:rsidRDefault="0087473D">
    <w:pPr>
      <w:pStyle w:val="Footer"/>
      <w:jc w:val="center"/>
      <w:rPr>
        <w:sz w:val="20"/>
      </w:rPr>
    </w:pPr>
    <w:r w:rsidRPr="00C7592A">
      <w:rPr>
        <w:sz w:val="20"/>
      </w:rPr>
      <w:fldChar w:fldCharType="begin"/>
    </w:r>
    <w:r w:rsidRPr="00C7592A">
      <w:rPr>
        <w:sz w:val="20"/>
      </w:rPr>
      <w:instrText xml:space="preserve"> PAGE   \* MERGEFORMAT </w:instrText>
    </w:r>
    <w:r w:rsidRPr="00C7592A">
      <w:rPr>
        <w:sz w:val="20"/>
      </w:rPr>
      <w:fldChar w:fldCharType="separate"/>
    </w:r>
    <w:r w:rsidR="006B60CF">
      <w:rPr>
        <w:noProof/>
        <w:sz w:val="20"/>
      </w:rPr>
      <w:t>5</w:t>
    </w:r>
    <w:r w:rsidRPr="00C7592A">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ECED" w14:textId="6787FC57" w:rsidR="00583D9F" w:rsidRPr="00583D9F" w:rsidRDefault="00583D9F" w:rsidP="00583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F41D2" w14:textId="77777777" w:rsidR="00362143" w:rsidRDefault="00362143" w:rsidP="00F01477">
      <w:r>
        <w:separator/>
      </w:r>
    </w:p>
  </w:footnote>
  <w:footnote w:type="continuationSeparator" w:id="0">
    <w:p w14:paraId="04AA0BBF" w14:textId="77777777" w:rsidR="00362143" w:rsidRDefault="00362143" w:rsidP="00F01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6E1"/>
    <w:rsid w:val="000013CB"/>
    <w:rsid w:val="00004814"/>
    <w:rsid w:val="00006AA8"/>
    <w:rsid w:val="00021D2B"/>
    <w:rsid w:val="00022562"/>
    <w:rsid w:val="00022765"/>
    <w:rsid w:val="0002758B"/>
    <w:rsid w:val="0003193F"/>
    <w:rsid w:val="00033C16"/>
    <w:rsid w:val="00034B41"/>
    <w:rsid w:val="00041D46"/>
    <w:rsid w:val="00051044"/>
    <w:rsid w:val="000555E0"/>
    <w:rsid w:val="000620A2"/>
    <w:rsid w:val="00072E55"/>
    <w:rsid w:val="0007441E"/>
    <w:rsid w:val="00076451"/>
    <w:rsid w:val="000773B2"/>
    <w:rsid w:val="00077680"/>
    <w:rsid w:val="00087E25"/>
    <w:rsid w:val="00096CC5"/>
    <w:rsid w:val="000A18DF"/>
    <w:rsid w:val="000A26F6"/>
    <w:rsid w:val="000B2CD1"/>
    <w:rsid w:val="000C193D"/>
    <w:rsid w:val="000D7CE5"/>
    <w:rsid w:val="000E2805"/>
    <w:rsid w:val="000E3CE7"/>
    <w:rsid w:val="000E7231"/>
    <w:rsid w:val="000F1FDE"/>
    <w:rsid w:val="00101426"/>
    <w:rsid w:val="00107AA4"/>
    <w:rsid w:val="00113E63"/>
    <w:rsid w:val="00116DDE"/>
    <w:rsid w:val="001302F4"/>
    <w:rsid w:val="001310C5"/>
    <w:rsid w:val="0013283A"/>
    <w:rsid w:val="00150F49"/>
    <w:rsid w:val="0015269C"/>
    <w:rsid w:val="0015717C"/>
    <w:rsid w:val="00166AAD"/>
    <w:rsid w:val="001734A6"/>
    <w:rsid w:val="001778BC"/>
    <w:rsid w:val="00184348"/>
    <w:rsid w:val="00192A2B"/>
    <w:rsid w:val="00194912"/>
    <w:rsid w:val="0019603B"/>
    <w:rsid w:val="00197564"/>
    <w:rsid w:val="001A1173"/>
    <w:rsid w:val="001A16B3"/>
    <w:rsid w:val="001A376E"/>
    <w:rsid w:val="001A5FB1"/>
    <w:rsid w:val="001B7605"/>
    <w:rsid w:val="001C67E4"/>
    <w:rsid w:val="001D7CB6"/>
    <w:rsid w:val="001D7CF6"/>
    <w:rsid w:val="001E006E"/>
    <w:rsid w:val="001E03F9"/>
    <w:rsid w:val="001E7717"/>
    <w:rsid w:val="001F1C9E"/>
    <w:rsid w:val="0020453C"/>
    <w:rsid w:val="002065E1"/>
    <w:rsid w:val="00206722"/>
    <w:rsid w:val="00210906"/>
    <w:rsid w:val="00211E62"/>
    <w:rsid w:val="0021607C"/>
    <w:rsid w:val="0023166D"/>
    <w:rsid w:val="00233A0D"/>
    <w:rsid w:val="00235456"/>
    <w:rsid w:val="00243B05"/>
    <w:rsid w:val="00245556"/>
    <w:rsid w:val="002566E1"/>
    <w:rsid w:val="0026006A"/>
    <w:rsid w:val="00265470"/>
    <w:rsid w:val="00271244"/>
    <w:rsid w:val="002753F1"/>
    <w:rsid w:val="00275428"/>
    <w:rsid w:val="00285FF4"/>
    <w:rsid w:val="00292FFD"/>
    <w:rsid w:val="002A2593"/>
    <w:rsid w:val="002B2E47"/>
    <w:rsid w:val="002B5E3F"/>
    <w:rsid w:val="002B6B99"/>
    <w:rsid w:val="002C5A9A"/>
    <w:rsid w:val="002F0078"/>
    <w:rsid w:val="002F07F8"/>
    <w:rsid w:val="002F1E38"/>
    <w:rsid w:val="002F305A"/>
    <w:rsid w:val="002F67AB"/>
    <w:rsid w:val="00303AF4"/>
    <w:rsid w:val="00314685"/>
    <w:rsid w:val="00335B8D"/>
    <w:rsid w:val="00337876"/>
    <w:rsid w:val="00342874"/>
    <w:rsid w:val="0034684B"/>
    <w:rsid w:val="00355797"/>
    <w:rsid w:val="0036156C"/>
    <w:rsid w:val="00362143"/>
    <w:rsid w:val="0036628E"/>
    <w:rsid w:val="00381DCC"/>
    <w:rsid w:val="00382280"/>
    <w:rsid w:val="00383934"/>
    <w:rsid w:val="00385D72"/>
    <w:rsid w:val="00386D6E"/>
    <w:rsid w:val="00387FBD"/>
    <w:rsid w:val="0039668E"/>
    <w:rsid w:val="00396706"/>
    <w:rsid w:val="00396DBC"/>
    <w:rsid w:val="00397AFE"/>
    <w:rsid w:val="003A335E"/>
    <w:rsid w:val="003C5029"/>
    <w:rsid w:val="003C6450"/>
    <w:rsid w:val="003D0FAF"/>
    <w:rsid w:val="003D2866"/>
    <w:rsid w:val="003D5763"/>
    <w:rsid w:val="003D7AB0"/>
    <w:rsid w:val="003E1F9A"/>
    <w:rsid w:val="003E3DD3"/>
    <w:rsid w:val="003F1366"/>
    <w:rsid w:val="003F2643"/>
    <w:rsid w:val="003F6760"/>
    <w:rsid w:val="00421452"/>
    <w:rsid w:val="00422676"/>
    <w:rsid w:val="0042352D"/>
    <w:rsid w:val="00423A71"/>
    <w:rsid w:val="00423E3B"/>
    <w:rsid w:val="00426DD7"/>
    <w:rsid w:val="004335D2"/>
    <w:rsid w:val="004341A5"/>
    <w:rsid w:val="00441244"/>
    <w:rsid w:val="00441338"/>
    <w:rsid w:val="00444DE6"/>
    <w:rsid w:val="00450D53"/>
    <w:rsid w:val="00453D3A"/>
    <w:rsid w:val="00456773"/>
    <w:rsid w:val="00464796"/>
    <w:rsid w:val="0046625B"/>
    <w:rsid w:val="00483217"/>
    <w:rsid w:val="00487EB5"/>
    <w:rsid w:val="00493C6F"/>
    <w:rsid w:val="004A070E"/>
    <w:rsid w:val="004A2BD2"/>
    <w:rsid w:val="004A2E15"/>
    <w:rsid w:val="004A6A2C"/>
    <w:rsid w:val="004B5A00"/>
    <w:rsid w:val="004C2F6A"/>
    <w:rsid w:val="004C409D"/>
    <w:rsid w:val="004C42DD"/>
    <w:rsid w:val="004D357A"/>
    <w:rsid w:val="004D4D7C"/>
    <w:rsid w:val="004E1E64"/>
    <w:rsid w:val="004F2EA5"/>
    <w:rsid w:val="004F5773"/>
    <w:rsid w:val="004F5ECC"/>
    <w:rsid w:val="00502687"/>
    <w:rsid w:val="00504517"/>
    <w:rsid w:val="005073FE"/>
    <w:rsid w:val="00521681"/>
    <w:rsid w:val="0052318E"/>
    <w:rsid w:val="00532F60"/>
    <w:rsid w:val="00565101"/>
    <w:rsid w:val="00570E50"/>
    <w:rsid w:val="00572640"/>
    <w:rsid w:val="0057491A"/>
    <w:rsid w:val="00575244"/>
    <w:rsid w:val="00581D33"/>
    <w:rsid w:val="00581E35"/>
    <w:rsid w:val="00583767"/>
    <w:rsid w:val="00583D9F"/>
    <w:rsid w:val="0059485C"/>
    <w:rsid w:val="005B2BCC"/>
    <w:rsid w:val="005B5B6C"/>
    <w:rsid w:val="005C2524"/>
    <w:rsid w:val="005C2A2F"/>
    <w:rsid w:val="005C59D4"/>
    <w:rsid w:val="005D0EE4"/>
    <w:rsid w:val="005D2E97"/>
    <w:rsid w:val="005D57B4"/>
    <w:rsid w:val="005E1388"/>
    <w:rsid w:val="005E2CB0"/>
    <w:rsid w:val="00605265"/>
    <w:rsid w:val="00611B63"/>
    <w:rsid w:val="00612C2C"/>
    <w:rsid w:val="00615EFF"/>
    <w:rsid w:val="006217C2"/>
    <w:rsid w:val="0062700D"/>
    <w:rsid w:val="00630B93"/>
    <w:rsid w:val="00630C9D"/>
    <w:rsid w:val="00632215"/>
    <w:rsid w:val="00650C92"/>
    <w:rsid w:val="00651398"/>
    <w:rsid w:val="00652372"/>
    <w:rsid w:val="00652B88"/>
    <w:rsid w:val="006536BB"/>
    <w:rsid w:val="0065427A"/>
    <w:rsid w:val="006556B7"/>
    <w:rsid w:val="00661885"/>
    <w:rsid w:val="00680A3C"/>
    <w:rsid w:val="006A7C31"/>
    <w:rsid w:val="006A7C5E"/>
    <w:rsid w:val="006B2975"/>
    <w:rsid w:val="006B3FDB"/>
    <w:rsid w:val="006B60CF"/>
    <w:rsid w:val="006B75D0"/>
    <w:rsid w:val="006C0905"/>
    <w:rsid w:val="006C214C"/>
    <w:rsid w:val="006C5060"/>
    <w:rsid w:val="006C50C3"/>
    <w:rsid w:val="006C54DA"/>
    <w:rsid w:val="006C6130"/>
    <w:rsid w:val="006D47E8"/>
    <w:rsid w:val="006D4BE1"/>
    <w:rsid w:val="006D78C5"/>
    <w:rsid w:val="006E3650"/>
    <w:rsid w:val="006E437B"/>
    <w:rsid w:val="006E64D3"/>
    <w:rsid w:val="006F18CA"/>
    <w:rsid w:val="006F4C51"/>
    <w:rsid w:val="00710526"/>
    <w:rsid w:val="007348EE"/>
    <w:rsid w:val="00734A2C"/>
    <w:rsid w:val="00741F56"/>
    <w:rsid w:val="00751BE1"/>
    <w:rsid w:val="00762825"/>
    <w:rsid w:val="00766DFC"/>
    <w:rsid w:val="007702B0"/>
    <w:rsid w:val="00776571"/>
    <w:rsid w:val="00782910"/>
    <w:rsid w:val="00783A5D"/>
    <w:rsid w:val="00791C6D"/>
    <w:rsid w:val="00795B2F"/>
    <w:rsid w:val="007A17B2"/>
    <w:rsid w:val="007C352A"/>
    <w:rsid w:val="007C7451"/>
    <w:rsid w:val="007D2FB7"/>
    <w:rsid w:val="007D3754"/>
    <w:rsid w:val="007E0AFC"/>
    <w:rsid w:val="007E17FD"/>
    <w:rsid w:val="007E659A"/>
    <w:rsid w:val="007F0C2B"/>
    <w:rsid w:val="007F1DCF"/>
    <w:rsid w:val="00801F22"/>
    <w:rsid w:val="008042F6"/>
    <w:rsid w:val="00810491"/>
    <w:rsid w:val="008107AC"/>
    <w:rsid w:val="008136E8"/>
    <w:rsid w:val="00822571"/>
    <w:rsid w:val="00826780"/>
    <w:rsid w:val="008358F8"/>
    <w:rsid w:val="008373AE"/>
    <w:rsid w:val="00850C0A"/>
    <w:rsid w:val="00853F5E"/>
    <w:rsid w:val="008552E7"/>
    <w:rsid w:val="008556C2"/>
    <w:rsid w:val="008562AA"/>
    <w:rsid w:val="00856901"/>
    <w:rsid w:val="00865ACD"/>
    <w:rsid w:val="0087473D"/>
    <w:rsid w:val="0087621A"/>
    <w:rsid w:val="00880519"/>
    <w:rsid w:val="0088342F"/>
    <w:rsid w:val="00890ADC"/>
    <w:rsid w:val="008918CF"/>
    <w:rsid w:val="00895C85"/>
    <w:rsid w:val="008A0237"/>
    <w:rsid w:val="008A1223"/>
    <w:rsid w:val="008A2114"/>
    <w:rsid w:val="008A506D"/>
    <w:rsid w:val="008B0282"/>
    <w:rsid w:val="008B1843"/>
    <w:rsid w:val="008C11D9"/>
    <w:rsid w:val="008D1211"/>
    <w:rsid w:val="008D2A73"/>
    <w:rsid w:val="008D45D8"/>
    <w:rsid w:val="008D5609"/>
    <w:rsid w:val="008F45E8"/>
    <w:rsid w:val="008F7007"/>
    <w:rsid w:val="008F7591"/>
    <w:rsid w:val="0090057D"/>
    <w:rsid w:val="009029C3"/>
    <w:rsid w:val="00903694"/>
    <w:rsid w:val="00910205"/>
    <w:rsid w:val="00915BEF"/>
    <w:rsid w:val="00922ADB"/>
    <w:rsid w:val="00924263"/>
    <w:rsid w:val="00931BAF"/>
    <w:rsid w:val="0094111D"/>
    <w:rsid w:val="0094208F"/>
    <w:rsid w:val="0094368D"/>
    <w:rsid w:val="00945826"/>
    <w:rsid w:val="00950D14"/>
    <w:rsid w:val="00955114"/>
    <w:rsid w:val="00961E51"/>
    <w:rsid w:val="00964FAA"/>
    <w:rsid w:val="0096734A"/>
    <w:rsid w:val="009711EB"/>
    <w:rsid w:val="00975BBF"/>
    <w:rsid w:val="00975D97"/>
    <w:rsid w:val="00976A4F"/>
    <w:rsid w:val="00977130"/>
    <w:rsid w:val="00982EFD"/>
    <w:rsid w:val="00984A5A"/>
    <w:rsid w:val="00986F66"/>
    <w:rsid w:val="009907E5"/>
    <w:rsid w:val="009969DB"/>
    <w:rsid w:val="009A3F94"/>
    <w:rsid w:val="009A7607"/>
    <w:rsid w:val="009B1683"/>
    <w:rsid w:val="009B4AFD"/>
    <w:rsid w:val="009C15A3"/>
    <w:rsid w:val="009C4381"/>
    <w:rsid w:val="009D51F3"/>
    <w:rsid w:val="009E1A1C"/>
    <w:rsid w:val="009E263D"/>
    <w:rsid w:val="009F43D4"/>
    <w:rsid w:val="00A01DB6"/>
    <w:rsid w:val="00A027B7"/>
    <w:rsid w:val="00A04CB6"/>
    <w:rsid w:val="00A06E74"/>
    <w:rsid w:val="00A153CD"/>
    <w:rsid w:val="00A24A2C"/>
    <w:rsid w:val="00A27DBE"/>
    <w:rsid w:val="00A353B0"/>
    <w:rsid w:val="00A3680E"/>
    <w:rsid w:val="00A51CF8"/>
    <w:rsid w:val="00A5470A"/>
    <w:rsid w:val="00A54CF4"/>
    <w:rsid w:val="00A74685"/>
    <w:rsid w:val="00A76AD7"/>
    <w:rsid w:val="00A8315D"/>
    <w:rsid w:val="00A93178"/>
    <w:rsid w:val="00A94EE3"/>
    <w:rsid w:val="00A96052"/>
    <w:rsid w:val="00A9704F"/>
    <w:rsid w:val="00AA1077"/>
    <w:rsid w:val="00AA4FFC"/>
    <w:rsid w:val="00AB7847"/>
    <w:rsid w:val="00AC1BED"/>
    <w:rsid w:val="00AC69DF"/>
    <w:rsid w:val="00AD0DA1"/>
    <w:rsid w:val="00AD36F0"/>
    <w:rsid w:val="00AE4DDF"/>
    <w:rsid w:val="00AE79D7"/>
    <w:rsid w:val="00AF6199"/>
    <w:rsid w:val="00B00D42"/>
    <w:rsid w:val="00B02E57"/>
    <w:rsid w:val="00B046A2"/>
    <w:rsid w:val="00B07454"/>
    <w:rsid w:val="00B07F90"/>
    <w:rsid w:val="00B11C9B"/>
    <w:rsid w:val="00B13F4A"/>
    <w:rsid w:val="00B14EF3"/>
    <w:rsid w:val="00B17178"/>
    <w:rsid w:val="00B24152"/>
    <w:rsid w:val="00B26BAE"/>
    <w:rsid w:val="00B27270"/>
    <w:rsid w:val="00B40411"/>
    <w:rsid w:val="00B46D3A"/>
    <w:rsid w:val="00B470DA"/>
    <w:rsid w:val="00B473D2"/>
    <w:rsid w:val="00B53BAB"/>
    <w:rsid w:val="00B61B76"/>
    <w:rsid w:val="00B61BD8"/>
    <w:rsid w:val="00B63C44"/>
    <w:rsid w:val="00B63E86"/>
    <w:rsid w:val="00B70933"/>
    <w:rsid w:val="00BA2359"/>
    <w:rsid w:val="00BA6A3E"/>
    <w:rsid w:val="00BB4F5B"/>
    <w:rsid w:val="00BB6D2F"/>
    <w:rsid w:val="00BC4334"/>
    <w:rsid w:val="00BC6AA9"/>
    <w:rsid w:val="00BC7244"/>
    <w:rsid w:val="00BC7D34"/>
    <w:rsid w:val="00BD44B7"/>
    <w:rsid w:val="00BE6BCA"/>
    <w:rsid w:val="00BE6DE0"/>
    <w:rsid w:val="00BF0D00"/>
    <w:rsid w:val="00BF7E42"/>
    <w:rsid w:val="00C0004F"/>
    <w:rsid w:val="00C0016E"/>
    <w:rsid w:val="00C01689"/>
    <w:rsid w:val="00C02520"/>
    <w:rsid w:val="00C03595"/>
    <w:rsid w:val="00C078C0"/>
    <w:rsid w:val="00C1129F"/>
    <w:rsid w:val="00C14795"/>
    <w:rsid w:val="00C16234"/>
    <w:rsid w:val="00C17A9B"/>
    <w:rsid w:val="00C2315D"/>
    <w:rsid w:val="00C302EE"/>
    <w:rsid w:val="00C33FCD"/>
    <w:rsid w:val="00C36A2D"/>
    <w:rsid w:val="00C5136D"/>
    <w:rsid w:val="00C521D8"/>
    <w:rsid w:val="00C54D95"/>
    <w:rsid w:val="00C708E7"/>
    <w:rsid w:val="00C7592A"/>
    <w:rsid w:val="00C759DF"/>
    <w:rsid w:val="00C822E3"/>
    <w:rsid w:val="00C962DF"/>
    <w:rsid w:val="00CB009D"/>
    <w:rsid w:val="00CB124B"/>
    <w:rsid w:val="00CB24D5"/>
    <w:rsid w:val="00CB3587"/>
    <w:rsid w:val="00CC2305"/>
    <w:rsid w:val="00CC406F"/>
    <w:rsid w:val="00CC6D4A"/>
    <w:rsid w:val="00CC7EB1"/>
    <w:rsid w:val="00CE159B"/>
    <w:rsid w:val="00CE2827"/>
    <w:rsid w:val="00CE3927"/>
    <w:rsid w:val="00CE3AAE"/>
    <w:rsid w:val="00CE4BCD"/>
    <w:rsid w:val="00CF62DE"/>
    <w:rsid w:val="00CF68AC"/>
    <w:rsid w:val="00D01393"/>
    <w:rsid w:val="00D031EC"/>
    <w:rsid w:val="00D153D6"/>
    <w:rsid w:val="00D16214"/>
    <w:rsid w:val="00D20619"/>
    <w:rsid w:val="00D23B38"/>
    <w:rsid w:val="00D435B4"/>
    <w:rsid w:val="00D44070"/>
    <w:rsid w:val="00D52311"/>
    <w:rsid w:val="00D531B2"/>
    <w:rsid w:val="00D53B01"/>
    <w:rsid w:val="00D57DEF"/>
    <w:rsid w:val="00D60611"/>
    <w:rsid w:val="00D61E10"/>
    <w:rsid w:val="00D70A06"/>
    <w:rsid w:val="00D745F2"/>
    <w:rsid w:val="00D77A90"/>
    <w:rsid w:val="00D80EF6"/>
    <w:rsid w:val="00D8703C"/>
    <w:rsid w:val="00D92CDD"/>
    <w:rsid w:val="00DA5530"/>
    <w:rsid w:val="00DB12AB"/>
    <w:rsid w:val="00DB15A3"/>
    <w:rsid w:val="00DB2EF1"/>
    <w:rsid w:val="00DC0D31"/>
    <w:rsid w:val="00DC7E8D"/>
    <w:rsid w:val="00DD43D8"/>
    <w:rsid w:val="00DD5B32"/>
    <w:rsid w:val="00DD7978"/>
    <w:rsid w:val="00DE7796"/>
    <w:rsid w:val="00DF4D98"/>
    <w:rsid w:val="00E00E54"/>
    <w:rsid w:val="00E17458"/>
    <w:rsid w:val="00E24990"/>
    <w:rsid w:val="00E2510F"/>
    <w:rsid w:val="00E25323"/>
    <w:rsid w:val="00E321A4"/>
    <w:rsid w:val="00E500B5"/>
    <w:rsid w:val="00E5143F"/>
    <w:rsid w:val="00E54041"/>
    <w:rsid w:val="00E6748E"/>
    <w:rsid w:val="00E76065"/>
    <w:rsid w:val="00E85149"/>
    <w:rsid w:val="00E86F4B"/>
    <w:rsid w:val="00EA47FA"/>
    <w:rsid w:val="00EA4BA4"/>
    <w:rsid w:val="00EA691B"/>
    <w:rsid w:val="00EC0F80"/>
    <w:rsid w:val="00EC1268"/>
    <w:rsid w:val="00EC66F4"/>
    <w:rsid w:val="00ED1661"/>
    <w:rsid w:val="00ED3542"/>
    <w:rsid w:val="00EE2182"/>
    <w:rsid w:val="00EE6B12"/>
    <w:rsid w:val="00EE7797"/>
    <w:rsid w:val="00EF5ED6"/>
    <w:rsid w:val="00EF5F53"/>
    <w:rsid w:val="00F01477"/>
    <w:rsid w:val="00F15449"/>
    <w:rsid w:val="00F15810"/>
    <w:rsid w:val="00F473FD"/>
    <w:rsid w:val="00F50141"/>
    <w:rsid w:val="00F538B7"/>
    <w:rsid w:val="00F60FBD"/>
    <w:rsid w:val="00F83AEE"/>
    <w:rsid w:val="00F86D7D"/>
    <w:rsid w:val="00F9276B"/>
    <w:rsid w:val="00F936E1"/>
    <w:rsid w:val="00F977B0"/>
    <w:rsid w:val="00FA0D6F"/>
    <w:rsid w:val="00FB5F2A"/>
    <w:rsid w:val="00FB673C"/>
    <w:rsid w:val="00FC37B4"/>
    <w:rsid w:val="00FC65A7"/>
    <w:rsid w:val="00FD3AA7"/>
    <w:rsid w:val="00FE0EA1"/>
    <w:rsid w:val="00FE2C40"/>
    <w:rsid w:val="00FF29E2"/>
    <w:rsid w:val="00FF3D58"/>
    <w:rsid w:val="00FF49FF"/>
    <w:rsid w:val="00FF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9E44B"/>
  <w15:docId w15:val="{6111EB00-7396-47DD-9407-0AA43535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6E1"/>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rsid w:val="00F01477"/>
    <w:rPr>
      <w:sz w:val="20"/>
    </w:rPr>
  </w:style>
  <w:style w:type="character" w:customStyle="1" w:styleId="FootnoteTextChar">
    <w:name w:val="Footnote Text Char"/>
    <w:aliases w:val="Car Char"/>
    <w:link w:val="FootnoteText"/>
    <w:uiPriority w:val="99"/>
    <w:semiHidden/>
    <w:rsid w:val="00F01477"/>
    <w:rPr>
      <w:rFonts w:ascii="Times New Roman" w:eastAsia="Times New Roman" w:hAnsi="Times New Roman" w:cs="Times New Roman"/>
      <w:sz w:val="20"/>
      <w:szCs w:val="20"/>
    </w:rPr>
  </w:style>
  <w:style w:type="character" w:styleId="FootnoteReference">
    <w:name w:val="footnote reference"/>
    <w:uiPriority w:val="99"/>
    <w:unhideWhenUsed/>
    <w:rsid w:val="00F01477"/>
    <w:rPr>
      <w:vertAlign w:val="superscript"/>
    </w:rPr>
  </w:style>
  <w:style w:type="paragraph" w:customStyle="1" w:styleId="TxBrp8">
    <w:name w:val="TxBr_p8"/>
    <w:basedOn w:val="Normal"/>
    <w:rsid w:val="00BB6D2F"/>
    <w:pPr>
      <w:widowControl w:val="0"/>
      <w:tabs>
        <w:tab w:val="left" w:pos="1468"/>
      </w:tabs>
      <w:autoSpaceDE w:val="0"/>
      <w:autoSpaceDN w:val="0"/>
      <w:adjustRightInd w:val="0"/>
      <w:spacing w:line="464" w:lineRule="atLeast"/>
      <w:ind w:firstLine="1468"/>
    </w:pPr>
    <w:rPr>
      <w:sz w:val="24"/>
      <w:szCs w:val="24"/>
    </w:rPr>
  </w:style>
  <w:style w:type="paragraph" w:styleId="BodyText">
    <w:name w:val="Body Text"/>
    <w:basedOn w:val="Normal"/>
    <w:link w:val="BodyTextChar"/>
    <w:rsid w:val="00570E50"/>
    <w:pPr>
      <w:spacing w:line="360" w:lineRule="auto"/>
    </w:pPr>
  </w:style>
  <w:style w:type="character" w:customStyle="1" w:styleId="BodyTextChar">
    <w:name w:val="Body Text Char"/>
    <w:link w:val="BodyText"/>
    <w:rsid w:val="00570E50"/>
    <w:rPr>
      <w:rFonts w:ascii="Times New Roman" w:eastAsia="Times New Roman" w:hAnsi="Times New Roman" w:cs="Times New Roman"/>
      <w:sz w:val="26"/>
      <w:szCs w:val="20"/>
    </w:rPr>
  </w:style>
  <w:style w:type="paragraph" w:styleId="NoSpacing">
    <w:name w:val="No Spacing"/>
    <w:uiPriority w:val="1"/>
    <w:qFormat/>
    <w:rsid w:val="00FD3AA7"/>
    <w:rPr>
      <w:rFonts w:ascii="Times New Roman" w:eastAsia="Times New Roman" w:hAnsi="Times New Roman"/>
      <w:sz w:val="26"/>
    </w:rPr>
  </w:style>
  <w:style w:type="paragraph" w:styleId="Header">
    <w:name w:val="header"/>
    <w:basedOn w:val="Normal"/>
    <w:link w:val="HeaderChar"/>
    <w:uiPriority w:val="99"/>
    <w:unhideWhenUsed/>
    <w:rsid w:val="001B7605"/>
    <w:pPr>
      <w:tabs>
        <w:tab w:val="center" w:pos="4680"/>
        <w:tab w:val="right" w:pos="9360"/>
      </w:tabs>
    </w:pPr>
  </w:style>
  <w:style w:type="character" w:customStyle="1" w:styleId="HeaderChar">
    <w:name w:val="Header Char"/>
    <w:link w:val="Header"/>
    <w:uiPriority w:val="99"/>
    <w:rsid w:val="001B7605"/>
    <w:rPr>
      <w:rFonts w:ascii="Times New Roman" w:eastAsia="Times New Roman" w:hAnsi="Times New Roman"/>
      <w:sz w:val="26"/>
    </w:rPr>
  </w:style>
  <w:style w:type="paragraph" w:styleId="Footer">
    <w:name w:val="footer"/>
    <w:basedOn w:val="Normal"/>
    <w:link w:val="FooterChar"/>
    <w:uiPriority w:val="99"/>
    <w:unhideWhenUsed/>
    <w:rsid w:val="001B7605"/>
    <w:pPr>
      <w:tabs>
        <w:tab w:val="center" w:pos="4680"/>
        <w:tab w:val="right" w:pos="9360"/>
      </w:tabs>
    </w:pPr>
  </w:style>
  <w:style w:type="character" w:customStyle="1" w:styleId="FooterChar">
    <w:name w:val="Footer Char"/>
    <w:link w:val="Footer"/>
    <w:uiPriority w:val="99"/>
    <w:rsid w:val="001B7605"/>
    <w:rPr>
      <w:rFonts w:ascii="Times New Roman" w:eastAsia="Times New Roman" w:hAnsi="Times New Roman"/>
      <w:sz w:val="26"/>
    </w:rPr>
  </w:style>
  <w:style w:type="paragraph" w:styleId="BalloonText">
    <w:name w:val="Balloon Text"/>
    <w:basedOn w:val="Normal"/>
    <w:link w:val="BalloonTextChar"/>
    <w:uiPriority w:val="99"/>
    <w:semiHidden/>
    <w:unhideWhenUsed/>
    <w:rsid w:val="00DC0D31"/>
    <w:rPr>
      <w:rFonts w:ascii="Tahoma" w:hAnsi="Tahoma" w:cs="Tahoma"/>
      <w:sz w:val="16"/>
      <w:szCs w:val="16"/>
    </w:rPr>
  </w:style>
  <w:style w:type="character" w:customStyle="1" w:styleId="BalloonTextChar">
    <w:name w:val="Balloon Text Char"/>
    <w:link w:val="BalloonText"/>
    <w:uiPriority w:val="99"/>
    <w:semiHidden/>
    <w:rsid w:val="00DC0D31"/>
    <w:rPr>
      <w:rFonts w:ascii="Tahoma" w:eastAsia="Times New Roman" w:hAnsi="Tahoma" w:cs="Tahoma"/>
      <w:sz w:val="16"/>
      <w:szCs w:val="16"/>
    </w:rPr>
  </w:style>
  <w:style w:type="character" w:styleId="Hyperlink">
    <w:name w:val="Hyperlink"/>
    <w:basedOn w:val="DefaultParagraphFont"/>
    <w:uiPriority w:val="99"/>
    <w:unhideWhenUsed/>
    <w:rsid w:val="00795B2F"/>
    <w:rPr>
      <w:color w:val="0000FF" w:themeColor="hyperlink"/>
      <w:u w:val="single"/>
    </w:rPr>
  </w:style>
  <w:style w:type="character" w:styleId="UnresolvedMention">
    <w:name w:val="Unresolved Mention"/>
    <w:basedOn w:val="DefaultParagraphFont"/>
    <w:uiPriority w:val="99"/>
    <w:semiHidden/>
    <w:unhideWhenUsed/>
    <w:rsid w:val="00795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00C22-2971-48C8-924E-92B93374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1269</Words>
  <Characters>7236</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machestnut</dc:creator>
  <cp:lastModifiedBy>Williams, Bobbie Jo</cp:lastModifiedBy>
  <cp:revision>2</cp:revision>
  <cp:lastPrinted>2015-06-23T14:25:00Z</cp:lastPrinted>
  <dcterms:created xsi:type="dcterms:W3CDTF">2022-03-24T14:34:00Z</dcterms:created>
  <dcterms:modified xsi:type="dcterms:W3CDTF">2022-03-24T14:34:00Z</dcterms:modified>
</cp:coreProperties>
</file>