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89B4E" w14:textId="77777777" w:rsidR="00183666" w:rsidRPr="00183666" w:rsidRDefault="00183666" w:rsidP="00C07F24">
      <w:pPr>
        <w:pStyle w:val="Title"/>
        <w:rPr>
          <w:sz w:val="24"/>
          <w:szCs w:val="24"/>
        </w:rPr>
      </w:pPr>
      <w:r w:rsidRPr="00183666">
        <w:rPr>
          <w:sz w:val="24"/>
          <w:szCs w:val="24"/>
        </w:rPr>
        <w:t>BEFORE THE</w:t>
      </w:r>
    </w:p>
    <w:p w14:paraId="62E89B4F" w14:textId="77777777" w:rsidR="00183666" w:rsidRPr="00183666" w:rsidRDefault="00183666" w:rsidP="00C07F24">
      <w:pPr>
        <w:pStyle w:val="Subtitle"/>
        <w:rPr>
          <w:sz w:val="24"/>
          <w:szCs w:val="24"/>
        </w:rPr>
      </w:pPr>
      <w:smartTag w:uri="urn:schemas-microsoft-com:office:smarttags" w:element="State">
        <w:smartTag w:uri="urn:schemas-microsoft-com:office:smarttags" w:element="place">
          <w:r w:rsidRPr="00183666">
            <w:rPr>
              <w:sz w:val="24"/>
              <w:szCs w:val="24"/>
            </w:rPr>
            <w:t>PENNSYLVANIA</w:t>
          </w:r>
        </w:smartTag>
      </w:smartTag>
      <w:r w:rsidRPr="00183666">
        <w:rPr>
          <w:sz w:val="24"/>
          <w:szCs w:val="24"/>
        </w:rPr>
        <w:t xml:space="preserve"> PUBLIC UTILITY COMMISSION</w:t>
      </w:r>
    </w:p>
    <w:p w14:paraId="62E89B50" w14:textId="77777777" w:rsidR="00183666" w:rsidRPr="00183666" w:rsidRDefault="00183666" w:rsidP="00C07F24">
      <w:pPr>
        <w:jc w:val="both"/>
        <w:rPr>
          <w:sz w:val="24"/>
          <w:szCs w:val="24"/>
        </w:rPr>
      </w:pPr>
    </w:p>
    <w:p w14:paraId="62E89B51" w14:textId="77777777" w:rsidR="00183666" w:rsidRPr="00183666" w:rsidRDefault="00183666" w:rsidP="00C07F24">
      <w:pPr>
        <w:jc w:val="both"/>
        <w:rPr>
          <w:sz w:val="24"/>
          <w:szCs w:val="24"/>
        </w:rPr>
      </w:pPr>
    </w:p>
    <w:p w14:paraId="62E89B52" w14:textId="77777777" w:rsidR="00183666" w:rsidRDefault="00183666" w:rsidP="00C07F24">
      <w:pPr>
        <w:jc w:val="both"/>
        <w:rPr>
          <w:sz w:val="24"/>
          <w:szCs w:val="24"/>
        </w:rPr>
      </w:pPr>
    </w:p>
    <w:p w14:paraId="62E89B53" w14:textId="337904FF" w:rsidR="00183666" w:rsidRPr="00183666" w:rsidRDefault="001D2AF9" w:rsidP="00C07F24">
      <w:pPr>
        <w:jc w:val="both"/>
        <w:rPr>
          <w:sz w:val="24"/>
          <w:szCs w:val="24"/>
        </w:rPr>
      </w:pPr>
      <w:r>
        <w:rPr>
          <w:sz w:val="24"/>
          <w:szCs w:val="24"/>
        </w:rPr>
        <w:t>Byron Goldstein</w:t>
      </w:r>
      <w:r w:rsidR="00183666" w:rsidRPr="00183666">
        <w:rPr>
          <w:sz w:val="24"/>
          <w:szCs w:val="24"/>
        </w:rPr>
        <w:tab/>
      </w:r>
      <w:r w:rsidR="00183666" w:rsidRPr="00183666">
        <w:rPr>
          <w:sz w:val="24"/>
          <w:szCs w:val="24"/>
        </w:rPr>
        <w:tab/>
      </w:r>
      <w:r w:rsidR="00183666" w:rsidRPr="00183666">
        <w:rPr>
          <w:sz w:val="24"/>
          <w:szCs w:val="24"/>
        </w:rPr>
        <w:tab/>
      </w:r>
      <w:r w:rsidR="00183666" w:rsidRPr="00183666">
        <w:rPr>
          <w:sz w:val="24"/>
          <w:szCs w:val="24"/>
        </w:rPr>
        <w:tab/>
      </w:r>
      <w:r w:rsidR="00183666">
        <w:rPr>
          <w:sz w:val="24"/>
          <w:szCs w:val="24"/>
        </w:rPr>
        <w:tab/>
      </w:r>
      <w:r w:rsidR="00183666" w:rsidRPr="00183666">
        <w:rPr>
          <w:sz w:val="24"/>
          <w:szCs w:val="24"/>
        </w:rPr>
        <w:t>:</w:t>
      </w:r>
    </w:p>
    <w:p w14:paraId="62E89B54" w14:textId="77777777" w:rsidR="00183666" w:rsidRPr="00183666" w:rsidRDefault="00183666" w:rsidP="00C07F24">
      <w:pPr>
        <w:jc w:val="both"/>
        <w:rPr>
          <w:sz w:val="24"/>
          <w:szCs w:val="24"/>
        </w:rPr>
      </w:pPr>
      <w:r w:rsidRPr="00183666">
        <w:rPr>
          <w:sz w:val="24"/>
          <w:szCs w:val="24"/>
        </w:rPr>
        <w:tab/>
      </w:r>
      <w:r w:rsidRPr="00183666">
        <w:rPr>
          <w:sz w:val="24"/>
          <w:szCs w:val="24"/>
        </w:rPr>
        <w:tab/>
      </w:r>
      <w:r w:rsidRPr="00183666">
        <w:rPr>
          <w:sz w:val="24"/>
          <w:szCs w:val="24"/>
        </w:rPr>
        <w:tab/>
      </w:r>
      <w:r w:rsidRPr="00183666">
        <w:rPr>
          <w:sz w:val="24"/>
          <w:szCs w:val="24"/>
        </w:rPr>
        <w:tab/>
      </w:r>
      <w:r w:rsidRPr="00183666">
        <w:rPr>
          <w:sz w:val="24"/>
          <w:szCs w:val="24"/>
        </w:rPr>
        <w:tab/>
      </w:r>
      <w:r w:rsidRPr="00183666">
        <w:rPr>
          <w:sz w:val="24"/>
          <w:szCs w:val="24"/>
        </w:rPr>
        <w:tab/>
      </w:r>
      <w:r>
        <w:rPr>
          <w:sz w:val="24"/>
          <w:szCs w:val="24"/>
        </w:rPr>
        <w:tab/>
      </w:r>
      <w:r w:rsidRPr="00183666">
        <w:rPr>
          <w:sz w:val="24"/>
          <w:szCs w:val="24"/>
        </w:rPr>
        <w:t>:</w:t>
      </w:r>
    </w:p>
    <w:p w14:paraId="62E89B55" w14:textId="01E213E0" w:rsidR="00183666" w:rsidRPr="00183666" w:rsidRDefault="00183666" w:rsidP="00C07F24">
      <w:pPr>
        <w:jc w:val="both"/>
        <w:rPr>
          <w:sz w:val="24"/>
          <w:szCs w:val="24"/>
        </w:rPr>
      </w:pPr>
      <w:r w:rsidRPr="00183666">
        <w:rPr>
          <w:sz w:val="24"/>
          <w:szCs w:val="24"/>
        </w:rPr>
        <w:tab/>
        <w:t>v.</w:t>
      </w:r>
      <w:r w:rsidRPr="00183666">
        <w:rPr>
          <w:sz w:val="24"/>
          <w:szCs w:val="24"/>
        </w:rPr>
        <w:tab/>
      </w:r>
      <w:r w:rsidRPr="00183666">
        <w:rPr>
          <w:sz w:val="24"/>
          <w:szCs w:val="24"/>
        </w:rPr>
        <w:tab/>
      </w:r>
      <w:r w:rsidRPr="00183666">
        <w:rPr>
          <w:sz w:val="24"/>
          <w:szCs w:val="24"/>
        </w:rPr>
        <w:tab/>
      </w:r>
      <w:r w:rsidRPr="00183666">
        <w:rPr>
          <w:sz w:val="24"/>
          <w:szCs w:val="24"/>
        </w:rPr>
        <w:tab/>
      </w:r>
      <w:r w:rsidRPr="00183666">
        <w:rPr>
          <w:sz w:val="24"/>
          <w:szCs w:val="24"/>
        </w:rPr>
        <w:tab/>
      </w:r>
      <w:r>
        <w:rPr>
          <w:sz w:val="24"/>
          <w:szCs w:val="24"/>
        </w:rPr>
        <w:tab/>
      </w:r>
      <w:r w:rsidRPr="00183666">
        <w:rPr>
          <w:sz w:val="24"/>
          <w:szCs w:val="24"/>
        </w:rPr>
        <w:t>:</w:t>
      </w:r>
      <w:r w:rsidRPr="00183666">
        <w:rPr>
          <w:sz w:val="24"/>
          <w:szCs w:val="24"/>
        </w:rPr>
        <w:tab/>
      </w:r>
      <w:r w:rsidR="00B50E1A">
        <w:rPr>
          <w:sz w:val="24"/>
          <w:szCs w:val="24"/>
        </w:rPr>
        <w:tab/>
      </w:r>
      <w:r w:rsidR="00F52147">
        <w:rPr>
          <w:sz w:val="24"/>
          <w:szCs w:val="24"/>
        </w:rPr>
        <w:t>C</w:t>
      </w:r>
      <w:r w:rsidR="00F52147">
        <w:rPr>
          <w:sz w:val="24"/>
          <w:szCs w:val="24"/>
        </w:rPr>
        <w:noBreakHyphen/>
      </w:r>
      <w:r w:rsidR="00C941AF">
        <w:rPr>
          <w:sz w:val="24"/>
          <w:szCs w:val="24"/>
        </w:rPr>
        <w:t>20</w:t>
      </w:r>
      <w:r w:rsidR="001D2AF9">
        <w:rPr>
          <w:sz w:val="24"/>
          <w:szCs w:val="24"/>
        </w:rPr>
        <w:t>22-3030777</w:t>
      </w:r>
    </w:p>
    <w:p w14:paraId="62E89B56" w14:textId="77777777" w:rsidR="00183666" w:rsidRPr="00183666" w:rsidRDefault="00183666" w:rsidP="00C07F24">
      <w:pPr>
        <w:jc w:val="both"/>
        <w:rPr>
          <w:sz w:val="24"/>
          <w:szCs w:val="24"/>
        </w:rPr>
      </w:pPr>
      <w:r w:rsidRPr="00183666">
        <w:rPr>
          <w:sz w:val="24"/>
          <w:szCs w:val="24"/>
        </w:rPr>
        <w:tab/>
      </w:r>
      <w:r w:rsidRPr="00183666">
        <w:rPr>
          <w:sz w:val="24"/>
          <w:szCs w:val="24"/>
        </w:rPr>
        <w:tab/>
      </w:r>
      <w:r w:rsidRPr="00183666">
        <w:rPr>
          <w:sz w:val="24"/>
          <w:szCs w:val="24"/>
        </w:rPr>
        <w:tab/>
      </w:r>
      <w:r w:rsidRPr="00183666">
        <w:rPr>
          <w:sz w:val="24"/>
          <w:szCs w:val="24"/>
        </w:rPr>
        <w:tab/>
      </w:r>
      <w:r w:rsidRPr="00183666">
        <w:rPr>
          <w:sz w:val="24"/>
          <w:szCs w:val="24"/>
        </w:rPr>
        <w:tab/>
      </w:r>
      <w:r w:rsidRPr="00183666">
        <w:rPr>
          <w:sz w:val="24"/>
          <w:szCs w:val="24"/>
        </w:rPr>
        <w:tab/>
      </w:r>
      <w:r>
        <w:rPr>
          <w:sz w:val="24"/>
          <w:szCs w:val="24"/>
        </w:rPr>
        <w:tab/>
      </w:r>
      <w:r w:rsidRPr="00183666">
        <w:rPr>
          <w:sz w:val="24"/>
          <w:szCs w:val="24"/>
        </w:rPr>
        <w:t>:</w:t>
      </w:r>
    </w:p>
    <w:p w14:paraId="62E89B57" w14:textId="77777777" w:rsidR="00183666" w:rsidRDefault="00C941AF" w:rsidP="00C07F24">
      <w:pPr>
        <w:jc w:val="both"/>
        <w:rPr>
          <w:sz w:val="24"/>
          <w:szCs w:val="24"/>
        </w:rPr>
      </w:pPr>
      <w:r>
        <w:rPr>
          <w:sz w:val="24"/>
          <w:szCs w:val="24"/>
        </w:rPr>
        <w:t>PECO Energy</w:t>
      </w:r>
      <w:r w:rsidR="00F52147">
        <w:rPr>
          <w:sz w:val="24"/>
          <w:szCs w:val="24"/>
        </w:rPr>
        <w:t xml:space="preserve"> Company</w:t>
      </w:r>
      <w:r w:rsidR="00183666" w:rsidRPr="00183666">
        <w:rPr>
          <w:sz w:val="24"/>
          <w:szCs w:val="24"/>
        </w:rPr>
        <w:tab/>
      </w:r>
      <w:r w:rsidR="00E27ACF">
        <w:rPr>
          <w:sz w:val="24"/>
          <w:szCs w:val="24"/>
        </w:rPr>
        <w:tab/>
      </w:r>
      <w:r w:rsidR="00183666" w:rsidRPr="00183666">
        <w:rPr>
          <w:sz w:val="24"/>
          <w:szCs w:val="24"/>
        </w:rPr>
        <w:tab/>
      </w:r>
      <w:r w:rsidR="00183666">
        <w:rPr>
          <w:sz w:val="24"/>
          <w:szCs w:val="24"/>
        </w:rPr>
        <w:tab/>
      </w:r>
      <w:r w:rsidR="00183666" w:rsidRPr="00183666">
        <w:rPr>
          <w:sz w:val="24"/>
          <w:szCs w:val="24"/>
        </w:rPr>
        <w:t>:</w:t>
      </w:r>
    </w:p>
    <w:p w14:paraId="62E89B58" w14:textId="77777777" w:rsidR="00183666" w:rsidRPr="00183666" w:rsidRDefault="00183666" w:rsidP="00C07F24">
      <w:pPr>
        <w:jc w:val="both"/>
        <w:rPr>
          <w:sz w:val="24"/>
          <w:szCs w:val="24"/>
        </w:rPr>
      </w:pPr>
    </w:p>
    <w:p w14:paraId="62E89B5A" w14:textId="77777777" w:rsidR="00E27ACF" w:rsidRPr="00183666" w:rsidRDefault="00E27ACF" w:rsidP="00C07F24">
      <w:pPr>
        <w:jc w:val="both"/>
        <w:rPr>
          <w:sz w:val="24"/>
          <w:szCs w:val="24"/>
        </w:rPr>
      </w:pPr>
    </w:p>
    <w:p w14:paraId="7160412B" w14:textId="77777777" w:rsidR="00EA2E2F" w:rsidRPr="00183666" w:rsidRDefault="00EA2E2F" w:rsidP="00C07F24">
      <w:pPr>
        <w:jc w:val="both"/>
        <w:rPr>
          <w:sz w:val="24"/>
          <w:szCs w:val="24"/>
        </w:rPr>
      </w:pPr>
    </w:p>
    <w:p w14:paraId="14B10217" w14:textId="77777777" w:rsidR="00EA2E2F" w:rsidRPr="002D0108" w:rsidRDefault="00EA2E2F" w:rsidP="00C07F24">
      <w:pPr>
        <w:pStyle w:val="Heading1"/>
        <w:rPr>
          <w:sz w:val="24"/>
          <w:szCs w:val="24"/>
        </w:rPr>
      </w:pPr>
      <w:r>
        <w:rPr>
          <w:sz w:val="24"/>
          <w:szCs w:val="24"/>
        </w:rPr>
        <w:t xml:space="preserve">FIRST </w:t>
      </w:r>
      <w:r w:rsidRPr="002D0108">
        <w:rPr>
          <w:sz w:val="24"/>
          <w:szCs w:val="24"/>
        </w:rPr>
        <w:t>INTERIM ORDER</w:t>
      </w:r>
    </w:p>
    <w:p w14:paraId="65A9DC62" w14:textId="77777777" w:rsidR="00EA2E2F" w:rsidRPr="002D407F" w:rsidRDefault="00EA2E2F" w:rsidP="00C07F24">
      <w:pPr>
        <w:pStyle w:val="Heading1"/>
        <w:rPr>
          <w:b w:val="0"/>
          <w:bCs/>
          <w:sz w:val="24"/>
          <w:szCs w:val="24"/>
          <w:u w:val="none"/>
        </w:rPr>
      </w:pPr>
      <w:r w:rsidRPr="002D407F">
        <w:rPr>
          <w:b w:val="0"/>
          <w:bCs/>
          <w:sz w:val="24"/>
          <w:szCs w:val="24"/>
          <w:u w:val="none"/>
        </w:rPr>
        <w:t xml:space="preserve">Concerning Respondent’s </w:t>
      </w:r>
    </w:p>
    <w:p w14:paraId="40788600" w14:textId="77777777" w:rsidR="00EA2E2F" w:rsidRPr="002D407F" w:rsidRDefault="00EA2E2F" w:rsidP="00C07F24">
      <w:pPr>
        <w:pStyle w:val="Heading1"/>
        <w:rPr>
          <w:b w:val="0"/>
          <w:bCs/>
          <w:sz w:val="24"/>
          <w:szCs w:val="24"/>
          <w:u w:val="none"/>
        </w:rPr>
      </w:pPr>
      <w:r w:rsidRPr="002D407F">
        <w:rPr>
          <w:b w:val="0"/>
          <w:bCs/>
          <w:sz w:val="24"/>
          <w:szCs w:val="24"/>
          <w:u w:val="none"/>
        </w:rPr>
        <w:t>Preliminary Objections</w:t>
      </w:r>
    </w:p>
    <w:p w14:paraId="685651EE" w14:textId="3B8B8B51" w:rsidR="00AC537E" w:rsidRDefault="00AC537E" w:rsidP="00C07F24">
      <w:pPr>
        <w:jc w:val="center"/>
        <w:rPr>
          <w:b/>
          <w:sz w:val="24"/>
          <w:szCs w:val="24"/>
          <w:u w:val="single"/>
        </w:rPr>
      </w:pPr>
    </w:p>
    <w:p w14:paraId="736C7358" w14:textId="77777777" w:rsidR="00EA2E2F" w:rsidRPr="00183666" w:rsidRDefault="00EA2E2F" w:rsidP="00C07F24">
      <w:pPr>
        <w:jc w:val="center"/>
        <w:rPr>
          <w:sz w:val="24"/>
          <w:szCs w:val="24"/>
        </w:rPr>
      </w:pPr>
    </w:p>
    <w:p w14:paraId="62E89B60" w14:textId="77777777" w:rsidR="00E27ACF" w:rsidRPr="00183666" w:rsidRDefault="00E27ACF" w:rsidP="00C07F24">
      <w:pPr>
        <w:jc w:val="center"/>
        <w:rPr>
          <w:sz w:val="24"/>
          <w:szCs w:val="24"/>
        </w:rPr>
      </w:pPr>
      <w:r w:rsidRPr="00183666">
        <w:rPr>
          <w:sz w:val="24"/>
          <w:szCs w:val="24"/>
        </w:rPr>
        <w:t>Before</w:t>
      </w:r>
    </w:p>
    <w:p w14:paraId="62E89B61" w14:textId="77777777" w:rsidR="00E27ACF" w:rsidRPr="00183666" w:rsidRDefault="00E27ACF" w:rsidP="00C07F24">
      <w:pPr>
        <w:jc w:val="center"/>
        <w:rPr>
          <w:sz w:val="24"/>
          <w:szCs w:val="24"/>
        </w:rPr>
      </w:pPr>
      <w:r w:rsidRPr="005C5AB6">
        <w:rPr>
          <w:sz w:val="24"/>
          <w:szCs w:val="24"/>
        </w:rPr>
        <w:t>Katrina L. Dunderdale</w:t>
      </w:r>
    </w:p>
    <w:p w14:paraId="62E89B62" w14:textId="77777777" w:rsidR="00E27ACF" w:rsidRPr="00183666" w:rsidRDefault="00E27ACF" w:rsidP="00C07F24">
      <w:pPr>
        <w:jc w:val="center"/>
        <w:rPr>
          <w:sz w:val="24"/>
          <w:szCs w:val="24"/>
        </w:rPr>
      </w:pPr>
      <w:r w:rsidRPr="00183666">
        <w:rPr>
          <w:sz w:val="24"/>
          <w:szCs w:val="24"/>
        </w:rPr>
        <w:t>Administrative Law Judge</w:t>
      </w:r>
    </w:p>
    <w:p w14:paraId="62E89B63" w14:textId="6BAB773D" w:rsidR="00E27ACF" w:rsidRDefault="00E27ACF" w:rsidP="00C07F24">
      <w:pPr>
        <w:jc w:val="center"/>
        <w:rPr>
          <w:sz w:val="24"/>
          <w:szCs w:val="24"/>
        </w:rPr>
      </w:pPr>
    </w:p>
    <w:p w14:paraId="4607EFF1" w14:textId="77777777" w:rsidR="00AC537E" w:rsidRDefault="00AC537E" w:rsidP="00C07F24">
      <w:pPr>
        <w:jc w:val="center"/>
        <w:rPr>
          <w:sz w:val="24"/>
          <w:szCs w:val="24"/>
        </w:rPr>
      </w:pPr>
    </w:p>
    <w:p w14:paraId="62E89B65" w14:textId="77777777" w:rsidR="00E27ACF" w:rsidRDefault="00E27ACF" w:rsidP="00C07F24">
      <w:pPr>
        <w:pStyle w:val="Heading1"/>
        <w:rPr>
          <w:b w:val="0"/>
          <w:sz w:val="24"/>
          <w:szCs w:val="24"/>
        </w:rPr>
      </w:pPr>
      <w:r>
        <w:rPr>
          <w:b w:val="0"/>
          <w:sz w:val="24"/>
          <w:szCs w:val="24"/>
        </w:rPr>
        <w:t>HISTORY OF THE PROCEEDING</w:t>
      </w:r>
    </w:p>
    <w:p w14:paraId="62E89B67" w14:textId="77777777" w:rsidR="00E27ACF" w:rsidRDefault="00E27ACF" w:rsidP="00AC537E">
      <w:pPr>
        <w:spacing w:line="360" w:lineRule="auto"/>
        <w:rPr>
          <w:sz w:val="24"/>
          <w:szCs w:val="24"/>
        </w:rPr>
      </w:pPr>
    </w:p>
    <w:p w14:paraId="62E89B68" w14:textId="46288A6F" w:rsidR="00F90A70" w:rsidRDefault="00885A86" w:rsidP="00AC537E">
      <w:pPr>
        <w:spacing w:line="360" w:lineRule="auto"/>
        <w:rPr>
          <w:sz w:val="24"/>
          <w:szCs w:val="24"/>
        </w:rPr>
      </w:pPr>
      <w:r>
        <w:rPr>
          <w:sz w:val="24"/>
          <w:szCs w:val="24"/>
        </w:rPr>
        <w:tab/>
      </w:r>
      <w:r>
        <w:rPr>
          <w:sz w:val="24"/>
          <w:szCs w:val="24"/>
        </w:rPr>
        <w:tab/>
        <w:t xml:space="preserve">On </w:t>
      </w:r>
      <w:r w:rsidR="001D2AF9">
        <w:rPr>
          <w:sz w:val="24"/>
          <w:szCs w:val="24"/>
        </w:rPr>
        <w:t>January 28, 2022</w:t>
      </w:r>
      <w:r>
        <w:rPr>
          <w:sz w:val="24"/>
          <w:szCs w:val="24"/>
        </w:rPr>
        <w:t xml:space="preserve">, </w:t>
      </w:r>
      <w:r w:rsidR="001D2AF9">
        <w:rPr>
          <w:sz w:val="24"/>
          <w:szCs w:val="24"/>
        </w:rPr>
        <w:t>Byron Goldstein</w:t>
      </w:r>
      <w:r>
        <w:rPr>
          <w:sz w:val="24"/>
          <w:szCs w:val="24"/>
        </w:rPr>
        <w:t xml:space="preserve"> (Complainant</w:t>
      </w:r>
      <w:r w:rsidR="001D2AF9">
        <w:rPr>
          <w:sz w:val="24"/>
          <w:szCs w:val="24"/>
        </w:rPr>
        <w:t xml:space="preserve"> or Mr. Goldstein</w:t>
      </w:r>
      <w:r>
        <w:rPr>
          <w:sz w:val="24"/>
          <w:szCs w:val="24"/>
        </w:rPr>
        <w:t xml:space="preserve">) filed a </w:t>
      </w:r>
      <w:r w:rsidR="001D2AF9">
        <w:rPr>
          <w:sz w:val="24"/>
          <w:szCs w:val="24"/>
        </w:rPr>
        <w:t>f</w:t>
      </w:r>
      <w:r>
        <w:rPr>
          <w:sz w:val="24"/>
          <w:szCs w:val="24"/>
        </w:rPr>
        <w:t xml:space="preserve">ormal </w:t>
      </w:r>
      <w:r w:rsidR="001D2AF9">
        <w:rPr>
          <w:sz w:val="24"/>
          <w:szCs w:val="24"/>
        </w:rPr>
        <w:t>c</w:t>
      </w:r>
      <w:r>
        <w:rPr>
          <w:sz w:val="24"/>
          <w:szCs w:val="24"/>
        </w:rPr>
        <w:t xml:space="preserve">omplaint against </w:t>
      </w:r>
      <w:r w:rsidR="00C941AF">
        <w:rPr>
          <w:sz w:val="24"/>
          <w:szCs w:val="24"/>
        </w:rPr>
        <w:t>PECO Energy</w:t>
      </w:r>
      <w:r w:rsidR="00F52147">
        <w:rPr>
          <w:sz w:val="24"/>
          <w:szCs w:val="24"/>
        </w:rPr>
        <w:t xml:space="preserve"> Company</w:t>
      </w:r>
      <w:r w:rsidR="00C941AF">
        <w:rPr>
          <w:sz w:val="24"/>
          <w:szCs w:val="24"/>
        </w:rPr>
        <w:t xml:space="preserve"> (</w:t>
      </w:r>
      <w:r>
        <w:rPr>
          <w:sz w:val="24"/>
          <w:szCs w:val="24"/>
        </w:rPr>
        <w:t xml:space="preserve">Respondent or </w:t>
      </w:r>
      <w:r w:rsidR="00C941AF">
        <w:rPr>
          <w:sz w:val="24"/>
          <w:szCs w:val="24"/>
        </w:rPr>
        <w:t>PECO</w:t>
      </w:r>
      <w:r w:rsidR="00906496">
        <w:rPr>
          <w:sz w:val="24"/>
          <w:szCs w:val="24"/>
        </w:rPr>
        <w:t xml:space="preserve"> Energy</w:t>
      </w:r>
      <w:r>
        <w:rPr>
          <w:sz w:val="24"/>
          <w:szCs w:val="24"/>
        </w:rPr>
        <w:t xml:space="preserve">) </w:t>
      </w:r>
      <w:r w:rsidR="007F6AE7">
        <w:rPr>
          <w:sz w:val="24"/>
          <w:szCs w:val="24"/>
        </w:rPr>
        <w:t xml:space="preserve">regarding </w:t>
      </w:r>
      <w:r w:rsidR="00DC35FF">
        <w:rPr>
          <w:sz w:val="24"/>
          <w:szCs w:val="24"/>
        </w:rPr>
        <w:t xml:space="preserve">gas </w:t>
      </w:r>
      <w:r w:rsidR="007F6AE7">
        <w:rPr>
          <w:sz w:val="24"/>
          <w:szCs w:val="24"/>
        </w:rPr>
        <w:t xml:space="preserve">service to </w:t>
      </w:r>
      <w:r w:rsidR="00C941AF">
        <w:rPr>
          <w:sz w:val="24"/>
          <w:szCs w:val="24"/>
        </w:rPr>
        <w:t>his residence</w:t>
      </w:r>
      <w:r w:rsidR="007F6AE7">
        <w:rPr>
          <w:sz w:val="24"/>
          <w:szCs w:val="24"/>
        </w:rPr>
        <w:t xml:space="preserve"> (</w:t>
      </w:r>
      <w:r w:rsidR="00C941AF">
        <w:rPr>
          <w:sz w:val="24"/>
          <w:szCs w:val="24"/>
        </w:rPr>
        <w:t>service a</w:t>
      </w:r>
      <w:r w:rsidR="007F6AE7">
        <w:rPr>
          <w:sz w:val="24"/>
          <w:szCs w:val="24"/>
        </w:rPr>
        <w:t>ddress)</w:t>
      </w:r>
      <w:r w:rsidR="00F90A70">
        <w:rPr>
          <w:sz w:val="24"/>
          <w:szCs w:val="24"/>
        </w:rPr>
        <w:t>.</w:t>
      </w:r>
      <w:r>
        <w:rPr>
          <w:sz w:val="24"/>
          <w:szCs w:val="24"/>
        </w:rPr>
        <w:t xml:space="preserve">  </w:t>
      </w:r>
      <w:r w:rsidR="00F90A70">
        <w:rPr>
          <w:sz w:val="24"/>
          <w:szCs w:val="24"/>
        </w:rPr>
        <w:t>Complainant allege</w:t>
      </w:r>
      <w:r w:rsidR="001D2AF9">
        <w:rPr>
          <w:sz w:val="24"/>
          <w:szCs w:val="24"/>
        </w:rPr>
        <w:t>d</w:t>
      </w:r>
      <w:r w:rsidR="00F90A70">
        <w:rPr>
          <w:sz w:val="24"/>
          <w:szCs w:val="24"/>
        </w:rPr>
        <w:t xml:space="preserve"> </w:t>
      </w:r>
      <w:r w:rsidR="00C941AF">
        <w:rPr>
          <w:sz w:val="24"/>
          <w:szCs w:val="24"/>
        </w:rPr>
        <w:t>PECO</w:t>
      </w:r>
      <w:r w:rsidR="00906496">
        <w:rPr>
          <w:sz w:val="24"/>
          <w:szCs w:val="24"/>
        </w:rPr>
        <w:t xml:space="preserve"> Energy</w:t>
      </w:r>
      <w:r w:rsidR="00E30147">
        <w:rPr>
          <w:sz w:val="24"/>
          <w:szCs w:val="24"/>
        </w:rPr>
        <w:t>’s</w:t>
      </w:r>
      <w:r w:rsidR="00C941AF">
        <w:rPr>
          <w:sz w:val="24"/>
          <w:szCs w:val="24"/>
        </w:rPr>
        <w:t xml:space="preserve"> </w:t>
      </w:r>
      <w:r w:rsidR="00E30147">
        <w:rPr>
          <w:sz w:val="24"/>
          <w:szCs w:val="24"/>
        </w:rPr>
        <w:t xml:space="preserve">natural gas supply charges increased up to 47% and </w:t>
      </w:r>
      <w:r w:rsidR="00C04897">
        <w:rPr>
          <w:sz w:val="24"/>
          <w:szCs w:val="24"/>
        </w:rPr>
        <w:t xml:space="preserve">he contended </w:t>
      </w:r>
      <w:r w:rsidR="00E30147">
        <w:rPr>
          <w:sz w:val="24"/>
          <w:szCs w:val="24"/>
        </w:rPr>
        <w:t>the increase was outrageous and irresponsible</w:t>
      </w:r>
      <w:r w:rsidR="00EA2E2F">
        <w:rPr>
          <w:sz w:val="24"/>
          <w:szCs w:val="24"/>
        </w:rPr>
        <w:t xml:space="preserve"> due to record high inflation</w:t>
      </w:r>
      <w:r w:rsidR="00C941AF">
        <w:rPr>
          <w:sz w:val="24"/>
          <w:szCs w:val="24"/>
        </w:rPr>
        <w:t xml:space="preserve">.  </w:t>
      </w:r>
      <w:r w:rsidR="00E30147">
        <w:rPr>
          <w:sz w:val="24"/>
          <w:szCs w:val="24"/>
        </w:rPr>
        <w:t>Mr. Goldstein requested the Commission revisit the rate increase.</w:t>
      </w:r>
    </w:p>
    <w:p w14:paraId="62E89B69" w14:textId="77777777" w:rsidR="00F90A70" w:rsidRDefault="00F90A70" w:rsidP="00AC537E">
      <w:pPr>
        <w:spacing w:line="360" w:lineRule="auto"/>
        <w:rPr>
          <w:sz w:val="24"/>
          <w:szCs w:val="24"/>
        </w:rPr>
      </w:pPr>
    </w:p>
    <w:p w14:paraId="62E89B6A" w14:textId="6F94A568" w:rsidR="00E36020" w:rsidRDefault="00C941AF" w:rsidP="00AC537E">
      <w:pPr>
        <w:spacing w:line="360" w:lineRule="auto"/>
        <w:ind w:firstLine="1440"/>
        <w:rPr>
          <w:sz w:val="24"/>
        </w:rPr>
      </w:pPr>
      <w:r>
        <w:rPr>
          <w:sz w:val="24"/>
          <w:szCs w:val="24"/>
        </w:rPr>
        <w:t xml:space="preserve">On </w:t>
      </w:r>
      <w:r w:rsidR="00E30147">
        <w:rPr>
          <w:sz w:val="24"/>
          <w:szCs w:val="24"/>
        </w:rPr>
        <w:t>February 24, 2022</w:t>
      </w:r>
      <w:r>
        <w:rPr>
          <w:sz w:val="24"/>
          <w:szCs w:val="24"/>
        </w:rPr>
        <w:t xml:space="preserve">, PECO </w:t>
      </w:r>
      <w:r w:rsidR="00906496">
        <w:rPr>
          <w:sz w:val="24"/>
          <w:szCs w:val="24"/>
        </w:rPr>
        <w:t xml:space="preserve">Energy </w:t>
      </w:r>
      <w:r>
        <w:rPr>
          <w:sz w:val="24"/>
          <w:szCs w:val="24"/>
        </w:rPr>
        <w:t xml:space="preserve">filed </w:t>
      </w:r>
      <w:r w:rsidR="00C04897">
        <w:rPr>
          <w:sz w:val="24"/>
          <w:szCs w:val="24"/>
        </w:rPr>
        <w:t>the</w:t>
      </w:r>
      <w:r>
        <w:rPr>
          <w:sz w:val="24"/>
          <w:szCs w:val="24"/>
        </w:rPr>
        <w:t xml:space="preserve"> Answer </w:t>
      </w:r>
      <w:r w:rsidR="00C04897">
        <w:rPr>
          <w:sz w:val="24"/>
          <w:szCs w:val="24"/>
        </w:rPr>
        <w:t xml:space="preserve">with New Matter </w:t>
      </w:r>
      <w:r>
        <w:rPr>
          <w:sz w:val="24"/>
          <w:szCs w:val="24"/>
        </w:rPr>
        <w:t>in which it denied generally the allegations.  PECO</w:t>
      </w:r>
      <w:r w:rsidR="0018019F">
        <w:rPr>
          <w:sz w:val="24"/>
          <w:szCs w:val="24"/>
        </w:rPr>
        <w:t xml:space="preserve"> </w:t>
      </w:r>
      <w:r w:rsidR="00906496">
        <w:rPr>
          <w:sz w:val="24"/>
          <w:szCs w:val="24"/>
        </w:rPr>
        <w:t>Energy</w:t>
      </w:r>
      <w:r w:rsidR="00906496">
        <w:rPr>
          <w:sz w:val="24"/>
        </w:rPr>
        <w:t xml:space="preserve"> </w:t>
      </w:r>
      <w:r w:rsidR="0018019F">
        <w:rPr>
          <w:sz w:val="24"/>
        </w:rPr>
        <w:t>aver</w:t>
      </w:r>
      <w:r w:rsidR="00E36020">
        <w:rPr>
          <w:sz w:val="24"/>
        </w:rPr>
        <w:t xml:space="preserve">red </w:t>
      </w:r>
      <w:r w:rsidR="008E1D76">
        <w:rPr>
          <w:sz w:val="24"/>
        </w:rPr>
        <w:t xml:space="preserve">in its Answer </w:t>
      </w:r>
      <w:r w:rsidR="00E36020">
        <w:rPr>
          <w:sz w:val="24"/>
        </w:rPr>
        <w:t xml:space="preserve">that Complainant </w:t>
      </w:r>
      <w:r w:rsidR="00C04897">
        <w:rPr>
          <w:sz w:val="24"/>
        </w:rPr>
        <w:t>receives electric and gas service</w:t>
      </w:r>
      <w:r w:rsidR="00E36020">
        <w:rPr>
          <w:sz w:val="24"/>
        </w:rPr>
        <w:t>.</w:t>
      </w:r>
      <w:r w:rsidR="00C04897">
        <w:rPr>
          <w:sz w:val="24"/>
        </w:rPr>
        <w:t xml:space="preserve">  PECO </w:t>
      </w:r>
      <w:r w:rsidR="00906496">
        <w:rPr>
          <w:sz w:val="24"/>
          <w:szCs w:val="24"/>
        </w:rPr>
        <w:t>Energy</w:t>
      </w:r>
      <w:r w:rsidR="00906496">
        <w:rPr>
          <w:sz w:val="24"/>
        </w:rPr>
        <w:t xml:space="preserve"> </w:t>
      </w:r>
      <w:r w:rsidR="00C04897">
        <w:rPr>
          <w:sz w:val="24"/>
        </w:rPr>
        <w:t>asserted Complainant, as a customer, was informed through a bill insert and publi</w:t>
      </w:r>
      <w:r w:rsidR="00906496">
        <w:rPr>
          <w:sz w:val="24"/>
        </w:rPr>
        <w:t xml:space="preserve">cation that PECO </w:t>
      </w:r>
      <w:r w:rsidR="00906496">
        <w:rPr>
          <w:sz w:val="24"/>
          <w:szCs w:val="24"/>
        </w:rPr>
        <w:t>Energy</w:t>
      </w:r>
      <w:r w:rsidR="00906496">
        <w:rPr>
          <w:sz w:val="24"/>
        </w:rPr>
        <w:t xml:space="preserve"> filed a request with the Commission to increase the natural gas supply rate in October 2020.  Respondent asserted the notices explained how customers could challenge PECO </w:t>
      </w:r>
      <w:r w:rsidR="00906496">
        <w:rPr>
          <w:sz w:val="24"/>
          <w:szCs w:val="24"/>
        </w:rPr>
        <w:t>Energy</w:t>
      </w:r>
      <w:r w:rsidR="00906496">
        <w:rPr>
          <w:sz w:val="24"/>
        </w:rPr>
        <w:t xml:space="preserve">’s request to increase the natural gas rate.  PECO </w:t>
      </w:r>
      <w:r w:rsidR="00906496">
        <w:rPr>
          <w:sz w:val="24"/>
          <w:szCs w:val="24"/>
        </w:rPr>
        <w:t>Energy</w:t>
      </w:r>
      <w:r w:rsidR="00906496">
        <w:rPr>
          <w:sz w:val="24"/>
        </w:rPr>
        <w:t xml:space="preserve"> also averred that, after investigation and litigation, the Commission </w:t>
      </w:r>
      <w:r w:rsidR="00906496">
        <w:rPr>
          <w:sz w:val="24"/>
        </w:rPr>
        <w:lastRenderedPageBreak/>
        <w:t xml:space="preserve">approved </w:t>
      </w:r>
      <w:r w:rsidR="00EF3BAE">
        <w:rPr>
          <w:sz w:val="24"/>
        </w:rPr>
        <w:t xml:space="preserve">on June 17, 2021, </w:t>
      </w:r>
      <w:r w:rsidR="00906496">
        <w:rPr>
          <w:sz w:val="24"/>
        </w:rPr>
        <w:t xml:space="preserve">PECO </w:t>
      </w:r>
      <w:r w:rsidR="00906496">
        <w:rPr>
          <w:sz w:val="24"/>
          <w:szCs w:val="24"/>
        </w:rPr>
        <w:t>Energy</w:t>
      </w:r>
      <w:r w:rsidR="00906496">
        <w:rPr>
          <w:sz w:val="24"/>
        </w:rPr>
        <w:t>’s request to increase the rate it charges to deliver natural gas</w:t>
      </w:r>
      <w:r w:rsidR="00EF3BAE">
        <w:rPr>
          <w:sz w:val="24"/>
        </w:rPr>
        <w:t>,</w:t>
      </w:r>
      <w:r w:rsidR="00906496">
        <w:rPr>
          <w:sz w:val="24"/>
        </w:rPr>
        <w:t xml:space="preserve"> effective on July 13, 2021, at Docket No. R-2020-3018929</w:t>
      </w:r>
      <w:r w:rsidR="00C04897">
        <w:rPr>
          <w:sz w:val="24"/>
        </w:rPr>
        <w:t>.</w:t>
      </w:r>
      <w:r w:rsidR="00EF3BAE">
        <w:rPr>
          <w:sz w:val="24"/>
        </w:rPr>
        <w:t xml:space="preserve">  In New Matter, PECO Energy asks the Commission to dismiss the formal complaint to the extent Complainant request the Commission review its prior approval of the natural gas rate, approved on June 17, 2021.  PECO Energy requests the dismissal on the grounds the Commission lacks jurisdiction to address the approval of a gas rate case during a formal complaint after the Commission has approved a rate increase.</w:t>
      </w:r>
    </w:p>
    <w:p w14:paraId="62E89B6B" w14:textId="77777777" w:rsidR="00E36020" w:rsidRDefault="00E36020" w:rsidP="00AC537E">
      <w:pPr>
        <w:spacing w:line="360" w:lineRule="auto"/>
        <w:ind w:firstLine="1440"/>
        <w:rPr>
          <w:sz w:val="24"/>
        </w:rPr>
      </w:pPr>
    </w:p>
    <w:p w14:paraId="62E89B6C" w14:textId="20C2C4A2" w:rsidR="00C95A98" w:rsidRDefault="00E36020" w:rsidP="00AC537E">
      <w:pPr>
        <w:spacing w:line="360" w:lineRule="auto"/>
        <w:ind w:firstLine="1440"/>
        <w:rPr>
          <w:sz w:val="24"/>
          <w:szCs w:val="24"/>
        </w:rPr>
      </w:pPr>
      <w:r>
        <w:rPr>
          <w:sz w:val="24"/>
        </w:rPr>
        <w:t xml:space="preserve">On </w:t>
      </w:r>
      <w:r w:rsidR="00EF3BAE">
        <w:rPr>
          <w:sz w:val="24"/>
          <w:szCs w:val="24"/>
        </w:rPr>
        <w:t>February 25, 2022</w:t>
      </w:r>
      <w:r>
        <w:rPr>
          <w:sz w:val="24"/>
          <w:szCs w:val="24"/>
        </w:rPr>
        <w:t xml:space="preserve">, PECO </w:t>
      </w:r>
      <w:r w:rsidR="00906496">
        <w:rPr>
          <w:sz w:val="24"/>
          <w:szCs w:val="24"/>
        </w:rPr>
        <w:t xml:space="preserve">Energy </w:t>
      </w:r>
      <w:r>
        <w:rPr>
          <w:sz w:val="24"/>
          <w:szCs w:val="24"/>
        </w:rPr>
        <w:t>filed Preliminary Objections against Complainant.  The Preliminary Objections included a Noti</w:t>
      </w:r>
      <w:r w:rsidR="001A5CC5">
        <w:rPr>
          <w:sz w:val="24"/>
          <w:szCs w:val="24"/>
        </w:rPr>
        <w:t>ce to Plead (pursuant to 52 Pa.</w:t>
      </w:r>
      <w:r>
        <w:rPr>
          <w:sz w:val="24"/>
          <w:szCs w:val="24"/>
        </w:rPr>
        <w:t>Code §</w:t>
      </w:r>
      <w:r w:rsidR="001A5CC5">
        <w:rPr>
          <w:sz w:val="24"/>
          <w:szCs w:val="24"/>
        </w:rPr>
        <w:t xml:space="preserve"> </w:t>
      </w:r>
      <w:r>
        <w:rPr>
          <w:sz w:val="24"/>
          <w:szCs w:val="24"/>
        </w:rPr>
        <w:t>5.101) and was served upon Complainant via First Class mail</w:t>
      </w:r>
      <w:r w:rsidR="00AD10F1">
        <w:rPr>
          <w:sz w:val="24"/>
        </w:rPr>
        <w:t xml:space="preserve">.  </w:t>
      </w:r>
      <w:r w:rsidR="00851677">
        <w:rPr>
          <w:sz w:val="24"/>
          <w:szCs w:val="24"/>
        </w:rPr>
        <w:t>Th</w:t>
      </w:r>
      <w:r w:rsidR="00792661">
        <w:rPr>
          <w:sz w:val="24"/>
          <w:szCs w:val="24"/>
        </w:rPr>
        <w:t>rough its Preliminary Objection</w:t>
      </w:r>
      <w:r w:rsidR="00017557">
        <w:rPr>
          <w:sz w:val="24"/>
          <w:szCs w:val="24"/>
        </w:rPr>
        <w:t>s</w:t>
      </w:r>
      <w:r w:rsidR="00851677">
        <w:rPr>
          <w:sz w:val="24"/>
          <w:szCs w:val="24"/>
        </w:rPr>
        <w:t xml:space="preserve">, </w:t>
      </w:r>
      <w:r>
        <w:rPr>
          <w:sz w:val="24"/>
          <w:szCs w:val="24"/>
        </w:rPr>
        <w:t>PECO</w:t>
      </w:r>
      <w:r w:rsidR="00851677">
        <w:rPr>
          <w:sz w:val="24"/>
          <w:szCs w:val="24"/>
        </w:rPr>
        <w:t xml:space="preserve"> </w:t>
      </w:r>
      <w:r w:rsidR="00906496">
        <w:rPr>
          <w:sz w:val="24"/>
          <w:szCs w:val="24"/>
        </w:rPr>
        <w:t xml:space="preserve">Energy </w:t>
      </w:r>
      <w:r w:rsidR="00851677">
        <w:rPr>
          <w:sz w:val="24"/>
          <w:szCs w:val="24"/>
        </w:rPr>
        <w:t>r</w:t>
      </w:r>
      <w:r w:rsidR="00792661">
        <w:rPr>
          <w:sz w:val="24"/>
          <w:szCs w:val="24"/>
        </w:rPr>
        <w:t xml:space="preserve">equests the Commission sustain the preliminary objection and </w:t>
      </w:r>
      <w:r w:rsidR="00AD10F1">
        <w:rPr>
          <w:sz w:val="24"/>
          <w:szCs w:val="24"/>
        </w:rPr>
        <w:t xml:space="preserve">dismiss the </w:t>
      </w:r>
      <w:r>
        <w:rPr>
          <w:sz w:val="24"/>
          <w:szCs w:val="24"/>
        </w:rPr>
        <w:t xml:space="preserve">formal complaint as a matter of law because </w:t>
      </w:r>
      <w:r w:rsidR="00F77974">
        <w:rPr>
          <w:sz w:val="24"/>
          <w:szCs w:val="24"/>
        </w:rPr>
        <w:t>the formal complaint is legally insufficient</w:t>
      </w:r>
      <w:r>
        <w:rPr>
          <w:sz w:val="24"/>
          <w:szCs w:val="24"/>
        </w:rPr>
        <w:t>.</w:t>
      </w:r>
      <w:r w:rsidR="00F77974">
        <w:rPr>
          <w:sz w:val="24"/>
          <w:szCs w:val="24"/>
        </w:rPr>
        <w:t xml:space="preserve">  PECO Energy contends the formal complaint is the wrong forum or means in which to dispute a gas rate increase after the Commission approves the increase and the new rates are effective.  Respondent notes the request to increase the natural gas rate was granted by the Commission </w:t>
      </w:r>
      <w:r w:rsidR="00566E2D">
        <w:rPr>
          <w:sz w:val="24"/>
          <w:szCs w:val="24"/>
        </w:rPr>
        <w:t xml:space="preserve">on June 17, 2021 and became effective on July 13, 2021.  The Commission having granted the increase because the increase was just and reasonable, the Commission’s approval has the weight of law especially </w:t>
      </w:r>
      <w:r w:rsidR="009739B2">
        <w:rPr>
          <w:sz w:val="24"/>
          <w:szCs w:val="24"/>
        </w:rPr>
        <w:t>since Complainant, as a customer, had an opportunity to complain about the increase prior to its approval</w:t>
      </w:r>
      <w:r w:rsidR="00566E2D">
        <w:rPr>
          <w:sz w:val="24"/>
          <w:szCs w:val="24"/>
        </w:rPr>
        <w:t xml:space="preserve">.   </w:t>
      </w:r>
    </w:p>
    <w:p w14:paraId="62E89B6D" w14:textId="77777777" w:rsidR="00E36020" w:rsidRDefault="00E36020" w:rsidP="00AC537E">
      <w:pPr>
        <w:spacing w:line="360" w:lineRule="auto"/>
        <w:ind w:firstLine="1440"/>
        <w:rPr>
          <w:sz w:val="24"/>
          <w:szCs w:val="24"/>
        </w:rPr>
      </w:pPr>
    </w:p>
    <w:p w14:paraId="62E89B6F" w14:textId="4DB904DC" w:rsidR="004F23D5" w:rsidRDefault="00E36020" w:rsidP="004E5B99">
      <w:pPr>
        <w:spacing w:line="360" w:lineRule="auto"/>
        <w:ind w:firstLine="1440"/>
        <w:rPr>
          <w:sz w:val="24"/>
          <w:szCs w:val="24"/>
        </w:rPr>
      </w:pPr>
      <w:r>
        <w:rPr>
          <w:sz w:val="24"/>
          <w:szCs w:val="24"/>
        </w:rPr>
        <w:t>Complainant has not responded to the Preliminary Objections.</w:t>
      </w:r>
      <w:r w:rsidR="001E4188">
        <w:rPr>
          <w:sz w:val="24"/>
          <w:szCs w:val="24"/>
        </w:rPr>
        <w:t xml:space="preserve">  On March 29, 2022, the Office of Administrative Law Judge assigned the handling of the Preliminary Objections to the undersigned presiding officer as a Motion Judge.</w:t>
      </w:r>
    </w:p>
    <w:p w14:paraId="161FB188" w14:textId="77777777" w:rsidR="000362C2" w:rsidRPr="004E5B99" w:rsidRDefault="000362C2" w:rsidP="004E5B99">
      <w:pPr>
        <w:spacing w:line="360" w:lineRule="auto"/>
        <w:ind w:firstLine="1440"/>
        <w:rPr>
          <w:sz w:val="24"/>
        </w:rPr>
      </w:pPr>
    </w:p>
    <w:p w14:paraId="62E89B70" w14:textId="77777777" w:rsidR="002A08F6" w:rsidRDefault="002A08F6" w:rsidP="00AC537E">
      <w:pPr>
        <w:spacing w:line="360" w:lineRule="auto"/>
        <w:jc w:val="center"/>
        <w:rPr>
          <w:sz w:val="24"/>
          <w:szCs w:val="24"/>
        </w:rPr>
      </w:pPr>
      <w:r>
        <w:rPr>
          <w:sz w:val="24"/>
          <w:szCs w:val="24"/>
          <w:u w:val="single"/>
        </w:rPr>
        <w:t>DISCUSSION</w:t>
      </w:r>
    </w:p>
    <w:p w14:paraId="62E89B71" w14:textId="77777777" w:rsidR="002A08F6" w:rsidRDefault="002A08F6" w:rsidP="00AC537E">
      <w:pPr>
        <w:spacing w:line="360" w:lineRule="auto"/>
        <w:rPr>
          <w:sz w:val="24"/>
          <w:szCs w:val="24"/>
        </w:rPr>
      </w:pPr>
    </w:p>
    <w:p w14:paraId="62E89B72" w14:textId="77777777" w:rsidR="005C4F06" w:rsidRDefault="005C4F06" w:rsidP="00AC537E">
      <w:pPr>
        <w:spacing w:line="360" w:lineRule="auto"/>
        <w:rPr>
          <w:sz w:val="24"/>
          <w:szCs w:val="24"/>
        </w:rPr>
      </w:pPr>
      <w:r>
        <w:rPr>
          <w:sz w:val="24"/>
          <w:szCs w:val="24"/>
        </w:rPr>
        <w:tab/>
      </w:r>
      <w:r>
        <w:rPr>
          <w:sz w:val="24"/>
          <w:szCs w:val="24"/>
        </w:rPr>
        <w:tab/>
      </w:r>
      <w:r w:rsidR="00F57A4D">
        <w:rPr>
          <w:sz w:val="24"/>
          <w:szCs w:val="24"/>
        </w:rPr>
        <w:t>The Commission’s regulations make p</w:t>
      </w:r>
      <w:r>
        <w:rPr>
          <w:sz w:val="24"/>
          <w:szCs w:val="24"/>
        </w:rPr>
        <w:t>reliminary objections available to parties and</w:t>
      </w:r>
      <w:r w:rsidR="00F57A4D">
        <w:rPr>
          <w:sz w:val="24"/>
          <w:szCs w:val="24"/>
        </w:rPr>
        <w:t xml:space="preserve"> allow for those objections to be </w:t>
      </w:r>
      <w:r>
        <w:rPr>
          <w:sz w:val="24"/>
          <w:szCs w:val="24"/>
        </w:rPr>
        <w:t>filed in response to a</w:t>
      </w:r>
      <w:r w:rsidR="00F57A4D">
        <w:rPr>
          <w:sz w:val="24"/>
          <w:szCs w:val="24"/>
        </w:rPr>
        <w:t>ny</w:t>
      </w:r>
      <w:r>
        <w:rPr>
          <w:sz w:val="24"/>
          <w:szCs w:val="24"/>
        </w:rPr>
        <w:t xml:space="preserve"> pleading except </w:t>
      </w:r>
      <w:r w:rsidR="00F57A4D">
        <w:rPr>
          <w:sz w:val="24"/>
          <w:szCs w:val="24"/>
        </w:rPr>
        <w:t xml:space="preserve">a </w:t>
      </w:r>
      <w:r>
        <w:rPr>
          <w:sz w:val="24"/>
          <w:szCs w:val="24"/>
        </w:rPr>
        <w:t>mo</w:t>
      </w:r>
      <w:r w:rsidR="00F57A4D">
        <w:rPr>
          <w:sz w:val="24"/>
          <w:szCs w:val="24"/>
        </w:rPr>
        <w:t xml:space="preserve">tion or </w:t>
      </w:r>
      <w:r>
        <w:rPr>
          <w:sz w:val="24"/>
          <w:szCs w:val="24"/>
        </w:rPr>
        <w:t xml:space="preserve">prior preliminary objections.  </w:t>
      </w:r>
      <w:r w:rsidR="00F57A4D">
        <w:rPr>
          <w:sz w:val="24"/>
          <w:szCs w:val="24"/>
        </w:rPr>
        <w:t>A party filing p</w:t>
      </w:r>
      <w:r>
        <w:rPr>
          <w:sz w:val="24"/>
          <w:szCs w:val="24"/>
        </w:rPr>
        <w:t xml:space="preserve">reliminary objections must </w:t>
      </w:r>
      <w:r w:rsidR="00F57A4D">
        <w:rPr>
          <w:sz w:val="24"/>
          <w:szCs w:val="24"/>
        </w:rPr>
        <w:t>include</w:t>
      </w:r>
      <w:r>
        <w:rPr>
          <w:sz w:val="24"/>
          <w:szCs w:val="24"/>
        </w:rPr>
        <w:t xml:space="preserve"> a notice to plead, </w:t>
      </w:r>
      <w:r>
        <w:rPr>
          <w:sz w:val="24"/>
          <w:szCs w:val="24"/>
        </w:rPr>
        <w:lastRenderedPageBreak/>
        <w:t xml:space="preserve">must state specifically the legal and factual grounds </w:t>
      </w:r>
      <w:r w:rsidR="00F57A4D">
        <w:rPr>
          <w:sz w:val="24"/>
          <w:szCs w:val="24"/>
        </w:rPr>
        <w:t>relied</w:t>
      </w:r>
      <w:r>
        <w:rPr>
          <w:sz w:val="24"/>
          <w:szCs w:val="24"/>
        </w:rPr>
        <w:t xml:space="preserve"> upon and </w:t>
      </w:r>
      <w:r w:rsidR="00F57A4D">
        <w:rPr>
          <w:sz w:val="24"/>
          <w:szCs w:val="24"/>
        </w:rPr>
        <w:t>limit the objections to the fo</w:t>
      </w:r>
      <w:r>
        <w:rPr>
          <w:sz w:val="24"/>
          <w:szCs w:val="24"/>
        </w:rPr>
        <w:t>llowing:</w:t>
      </w:r>
    </w:p>
    <w:p w14:paraId="62E89B73" w14:textId="77777777" w:rsidR="001832DB" w:rsidRDefault="001832DB" w:rsidP="00AC537E">
      <w:pPr>
        <w:spacing w:line="360" w:lineRule="auto"/>
        <w:rPr>
          <w:sz w:val="24"/>
          <w:szCs w:val="24"/>
        </w:rPr>
      </w:pPr>
    </w:p>
    <w:p w14:paraId="62E89B74" w14:textId="77777777" w:rsidR="005C4F06" w:rsidRDefault="005C4F06" w:rsidP="0069762A">
      <w:pPr>
        <w:numPr>
          <w:ilvl w:val="0"/>
          <w:numId w:val="1"/>
        </w:numPr>
        <w:tabs>
          <w:tab w:val="clear" w:pos="1440"/>
        </w:tabs>
        <w:rPr>
          <w:sz w:val="24"/>
          <w:szCs w:val="24"/>
        </w:rPr>
      </w:pPr>
      <w:r>
        <w:rPr>
          <w:sz w:val="24"/>
          <w:szCs w:val="24"/>
        </w:rPr>
        <w:t xml:space="preserve">Lack of Commission jurisdiction or improper service </w:t>
      </w:r>
      <w:r w:rsidR="00F57A4D">
        <w:rPr>
          <w:sz w:val="24"/>
          <w:szCs w:val="24"/>
        </w:rPr>
        <w:t>of the pleading</w:t>
      </w:r>
      <w:r>
        <w:rPr>
          <w:sz w:val="24"/>
          <w:szCs w:val="24"/>
        </w:rPr>
        <w:t xml:space="preserve"> initiating the proceeding.</w:t>
      </w:r>
    </w:p>
    <w:p w14:paraId="62E89B75" w14:textId="77777777" w:rsidR="003F4CDE" w:rsidRDefault="003F4CDE" w:rsidP="0069762A">
      <w:pPr>
        <w:ind w:left="720"/>
        <w:rPr>
          <w:sz w:val="24"/>
          <w:szCs w:val="24"/>
        </w:rPr>
      </w:pPr>
    </w:p>
    <w:p w14:paraId="62E89B76" w14:textId="77777777" w:rsidR="005C4F06" w:rsidRDefault="005C4F06" w:rsidP="0069762A">
      <w:pPr>
        <w:numPr>
          <w:ilvl w:val="0"/>
          <w:numId w:val="1"/>
        </w:numPr>
        <w:tabs>
          <w:tab w:val="clear" w:pos="1440"/>
        </w:tabs>
        <w:rPr>
          <w:sz w:val="24"/>
          <w:szCs w:val="24"/>
        </w:rPr>
      </w:pPr>
      <w:r>
        <w:rPr>
          <w:sz w:val="24"/>
          <w:szCs w:val="24"/>
        </w:rPr>
        <w:t xml:space="preserve">Failure of a pleading to conform to </w:t>
      </w:r>
      <w:r w:rsidR="00F57A4D">
        <w:rPr>
          <w:sz w:val="24"/>
          <w:szCs w:val="24"/>
        </w:rPr>
        <w:t>Chapter 5, Title 52 of the Pennsylvania Code, or include scandalous or impertinent matter.</w:t>
      </w:r>
    </w:p>
    <w:p w14:paraId="62E89B77" w14:textId="77777777" w:rsidR="003F4CDE" w:rsidRDefault="003F4CDE" w:rsidP="0069762A">
      <w:pPr>
        <w:ind w:left="720"/>
        <w:rPr>
          <w:sz w:val="24"/>
          <w:szCs w:val="24"/>
        </w:rPr>
      </w:pPr>
    </w:p>
    <w:p w14:paraId="62E89B78" w14:textId="77777777" w:rsidR="0005231E" w:rsidRDefault="00F57A4D" w:rsidP="0069762A">
      <w:pPr>
        <w:numPr>
          <w:ilvl w:val="0"/>
          <w:numId w:val="1"/>
        </w:numPr>
        <w:tabs>
          <w:tab w:val="clear" w:pos="1440"/>
        </w:tabs>
        <w:ind w:left="720" w:firstLine="0"/>
        <w:rPr>
          <w:sz w:val="24"/>
          <w:szCs w:val="24"/>
        </w:rPr>
      </w:pPr>
      <w:r>
        <w:rPr>
          <w:sz w:val="24"/>
          <w:szCs w:val="24"/>
        </w:rPr>
        <w:t>Insufficient specificity of a pleading.</w:t>
      </w:r>
    </w:p>
    <w:p w14:paraId="62E89B79" w14:textId="77777777" w:rsidR="0005231E" w:rsidRPr="0005231E" w:rsidRDefault="0005231E" w:rsidP="0069762A">
      <w:pPr>
        <w:ind w:left="720"/>
        <w:rPr>
          <w:sz w:val="24"/>
          <w:szCs w:val="24"/>
        </w:rPr>
      </w:pPr>
    </w:p>
    <w:p w14:paraId="62E89B7A" w14:textId="77777777" w:rsidR="00F57A4D" w:rsidRDefault="00F57A4D" w:rsidP="0069762A">
      <w:pPr>
        <w:numPr>
          <w:ilvl w:val="0"/>
          <w:numId w:val="1"/>
        </w:numPr>
        <w:tabs>
          <w:tab w:val="clear" w:pos="1440"/>
        </w:tabs>
        <w:ind w:left="720" w:firstLine="0"/>
        <w:rPr>
          <w:sz w:val="24"/>
          <w:szCs w:val="24"/>
        </w:rPr>
      </w:pPr>
      <w:r>
        <w:rPr>
          <w:sz w:val="24"/>
          <w:szCs w:val="24"/>
        </w:rPr>
        <w:t>Legal insufficiency of a pleading.</w:t>
      </w:r>
    </w:p>
    <w:p w14:paraId="62E89B7B" w14:textId="77777777" w:rsidR="0005231E" w:rsidRDefault="0005231E" w:rsidP="0069762A">
      <w:pPr>
        <w:ind w:left="720"/>
        <w:rPr>
          <w:sz w:val="24"/>
          <w:szCs w:val="24"/>
        </w:rPr>
      </w:pPr>
    </w:p>
    <w:p w14:paraId="62E89B7C" w14:textId="77777777" w:rsidR="00F57A4D" w:rsidRDefault="00F57A4D" w:rsidP="0069762A">
      <w:pPr>
        <w:numPr>
          <w:ilvl w:val="0"/>
          <w:numId w:val="1"/>
        </w:numPr>
        <w:tabs>
          <w:tab w:val="clear" w:pos="1440"/>
        </w:tabs>
        <w:rPr>
          <w:sz w:val="24"/>
          <w:szCs w:val="24"/>
        </w:rPr>
      </w:pPr>
      <w:r>
        <w:rPr>
          <w:sz w:val="24"/>
          <w:szCs w:val="24"/>
        </w:rPr>
        <w:t xml:space="preserve">Lack </w:t>
      </w:r>
      <w:r w:rsidRPr="009779CF">
        <w:rPr>
          <w:sz w:val="24"/>
          <w:szCs w:val="24"/>
        </w:rPr>
        <w:t xml:space="preserve">of capacity to sue, nonjoinder of a necessary party or misjoinder of a cause of action.  </w:t>
      </w:r>
    </w:p>
    <w:p w14:paraId="62E89B7D" w14:textId="77777777" w:rsidR="003F4CDE" w:rsidRPr="009779CF" w:rsidRDefault="003F4CDE" w:rsidP="0069762A">
      <w:pPr>
        <w:ind w:left="720"/>
        <w:rPr>
          <w:sz w:val="24"/>
          <w:szCs w:val="24"/>
        </w:rPr>
      </w:pPr>
    </w:p>
    <w:p w14:paraId="62E89B7E" w14:textId="159F4B3D" w:rsidR="00F377D5" w:rsidRDefault="00F377D5" w:rsidP="0069762A">
      <w:pPr>
        <w:numPr>
          <w:ilvl w:val="0"/>
          <w:numId w:val="1"/>
        </w:numPr>
        <w:tabs>
          <w:tab w:val="clear" w:pos="1440"/>
        </w:tabs>
        <w:ind w:left="720" w:firstLine="0"/>
        <w:rPr>
          <w:sz w:val="24"/>
          <w:szCs w:val="24"/>
        </w:rPr>
      </w:pPr>
      <w:r w:rsidRPr="009779CF">
        <w:rPr>
          <w:sz w:val="24"/>
          <w:szCs w:val="24"/>
        </w:rPr>
        <w:t>Pendency of a prior proceeding or agreement for alternative dispute resolution.</w:t>
      </w:r>
    </w:p>
    <w:p w14:paraId="1B161D88" w14:textId="77777777" w:rsidR="00AC537E" w:rsidRPr="009779CF" w:rsidRDefault="00AC537E" w:rsidP="0069762A">
      <w:pPr>
        <w:ind w:left="720"/>
        <w:rPr>
          <w:sz w:val="24"/>
          <w:szCs w:val="24"/>
        </w:rPr>
      </w:pPr>
    </w:p>
    <w:p w14:paraId="218C0B82" w14:textId="7487D988" w:rsidR="00AE64B7" w:rsidRDefault="00AE64B7" w:rsidP="0069762A">
      <w:pPr>
        <w:ind w:left="720"/>
        <w:rPr>
          <w:sz w:val="24"/>
          <w:szCs w:val="24"/>
        </w:rPr>
      </w:pPr>
      <w:r>
        <w:rPr>
          <w:sz w:val="24"/>
          <w:szCs w:val="24"/>
        </w:rPr>
        <w:t>(7)</w:t>
      </w:r>
      <w:r>
        <w:rPr>
          <w:sz w:val="24"/>
          <w:szCs w:val="24"/>
        </w:rPr>
        <w:tab/>
        <w:t>Standing of a party to participate in the proceeding.</w:t>
      </w:r>
    </w:p>
    <w:p w14:paraId="24394665" w14:textId="77777777" w:rsidR="00CD2D6B" w:rsidRDefault="00CD2D6B" w:rsidP="00AC537E">
      <w:pPr>
        <w:rPr>
          <w:sz w:val="24"/>
          <w:szCs w:val="24"/>
        </w:rPr>
      </w:pPr>
    </w:p>
    <w:p w14:paraId="62E89B7F" w14:textId="50E2A2CA" w:rsidR="00F377D5" w:rsidRPr="009779CF" w:rsidRDefault="001A5CC5" w:rsidP="00AC537E">
      <w:pPr>
        <w:rPr>
          <w:sz w:val="24"/>
          <w:szCs w:val="24"/>
        </w:rPr>
      </w:pPr>
      <w:r>
        <w:rPr>
          <w:sz w:val="24"/>
          <w:szCs w:val="24"/>
        </w:rPr>
        <w:t>52 Pa.</w:t>
      </w:r>
      <w:r w:rsidR="00F377D5" w:rsidRPr="009779CF">
        <w:rPr>
          <w:sz w:val="24"/>
          <w:szCs w:val="24"/>
        </w:rPr>
        <w:t>Code §</w:t>
      </w:r>
      <w:r>
        <w:rPr>
          <w:sz w:val="24"/>
          <w:szCs w:val="24"/>
        </w:rPr>
        <w:t xml:space="preserve"> </w:t>
      </w:r>
      <w:r w:rsidR="00F377D5" w:rsidRPr="009779CF">
        <w:rPr>
          <w:sz w:val="24"/>
          <w:szCs w:val="24"/>
        </w:rPr>
        <w:t>5.101(a).</w:t>
      </w:r>
    </w:p>
    <w:p w14:paraId="62E89B80" w14:textId="77777777" w:rsidR="00F377D5" w:rsidRPr="009779CF" w:rsidRDefault="00F377D5" w:rsidP="00AC537E">
      <w:pPr>
        <w:spacing w:line="360" w:lineRule="auto"/>
        <w:rPr>
          <w:sz w:val="24"/>
          <w:szCs w:val="24"/>
        </w:rPr>
      </w:pPr>
    </w:p>
    <w:p w14:paraId="62E89B81" w14:textId="77777777" w:rsidR="00F377D5" w:rsidRDefault="00F377D5" w:rsidP="00AC537E">
      <w:pPr>
        <w:spacing w:line="360" w:lineRule="auto"/>
        <w:rPr>
          <w:sz w:val="24"/>
          <w:szCs w:val="24"/>
        </w:rPr>
      </w:pPr>
      <w:r w:rsidRPr="009779CF">
        <w:rPr>
          <w:sz w:val="24"/>
          <w:szCs w:val="24"/>
        </w:rPr>
        <w:tab/>
      </w:r>
      <w:r w:rsidRPr="009779CF">
        <w:rPr>
          <w:sz w:val="24"/>
          <w:szCs w:val="24"/>
        </w:rPr>
        <w:tab/>
        <w:t xml:space="preserve">The party against whom </w:t>
      </w:r>
      <w:r w:rsidR="00522D80" w:rsidRPr="009779CF">
        <w:rPr>
          <w:sz w:val="24"/>
          <w:szCs w:val="24"/>
        </w:rPr>
        <w:t>preliminary objection</w:t>
      </w:r>
      <w:r w:rsidR="005D1DC4">
        <w:rPr>
          <w:sz w:val="24"/>
          <w:szCs w:val="24"/>
        </w:rPr>
        <w:t>s are</w:t>
      </w:r>
      <w:r w:rsidRPr="009779CF">
        <w:rPr>
          <w:sz w:val="24"/>
          <w:szCs w:val="24"/>
        </w:rPr>
        <w:t xml:space="preserve"> filed may file an answ</w:t>
      </w:r>
      <w:r w:rsidR="00522D80" w:rsidRPr="009779CF">
        <w:rPr>
          <w:sz w:val="24"/>
          <w:szCs w:val="24"/>
        </w:rPr>
        <w:t>er to the objection</w:t>
      </w:r>
      <w:r w:rsidR="005D1DC4">
        <w:rPr>
          <w:sz w:val="24"/>
          <w:szCs w:val="24"/>
        </w:rPr>
        <w:t>s</w:t>
      </w:r>
      <w:r w:rsidRPr="009779CF">
        <w:rPr>
          <w:sz w:val="24"/>
          <w:szCs w:val="24"/>
        </w:rPr>
        <w:t xml:space="preserve"> but the answer must be filed within ten days of the date </w:t>
      </w:r>
      <w:r w:rsidR="00CE6F44">
        <w:rPr>
          <w:sz w:val="24"/>
          <w:szCs w:val="24"/>
        </w:rPr>
        <w:t>the preliminary objections are served</w:t>
      </w:r>
      <w:r w:rsidRPr="009779CF">
        <w:rPr>
          <w:sz w:val="24"/>
          <w:szCs w:val="24"/>
        </w:rPr>
        <w:t xml:space="preserve">.  52 </w:t>
      </w:r>
      <w:r w:rsidR="001A5CC5">
        <w:rPr>
          <w:sz w:val="24"/>
          <w:szCs w:val="24"/>
        </w:rPr>
        <w:t>Pa.</w:t>
      </w:r>
      <w:r w:rsidRPr="009779CF">
        <w:rPr>
          <w:sz w:val="24"/>
          <w:szCs w:val="24"/>
        </w:rPr>
        <w:t>Code §</w:t>
      </w:r>
      <w:r w:rsidR="001A5CC5">
        <w:rPr>
          <w:sz w:val="24"/>
          <w:szCs w:val="24"/>
        </w:rPr>
        <w:t xml:space="preserve"> </w:t>
      </w:r>
      <w:r w:rsidRPr="009779CF">
        <w:rPr>
          <w:sz w:val="24"/>
          <w:szCs w:val="24"/>
        </w:rPr>
        <w:t>5.101(f)(1).</w:t>
      </w:r>
      <w:r w:rsidR="00AD1C1C" w:rsidRPr="009779CF">
        <w:rPr>
          <w:sz w:val="24"/>
          <w:szCs w:val="24"/>
        </w:rPr>
        <w:t xml:space="preserve">  </w:t>
      </w:r>
    </w:p>
    <w:p w14:paraId="62E89B82" w14:textId="1B10D771" w:rsidR="009779CF" w:rsidRPr="009779CF" w:rsidRDefault="009779CF" w:rsidP="00AC537E">
      <w:pPr>
        <w:spacing w:line="360" w:lineRule="auto"/>
        <w:rPr>
          <w:sz w:val="24"/>
          <w:szCs w:val="24"/>
        </w:rPr>
      </w:pPr>
    </w:p>
    <w:p w14:paraId="536D048F" w14:textId="28E635FD" w:rsidR="003C02F3" w:rsidRDefault="009779CF" w:rsidP="008821FC">
      <w:pPr>
        <w:spacing w:line="360" w:lineRule="auto"/>
        <w:rPr>
          <w:sz w:val="24"/>
          <w:szCs w:val="24"/>
        </w:rPr>
      </w:pPr>
      <w:r w:rsidRPr="009779CF">
        <w:rPr>
          <w:sz w:val="24"/>
          <w:szCs w:val="24"/>
        </w:rPr>
        <w:tab/>
      </w:r>
      <w:r w:rsidRPr="009779CF">
        <w:rPr>
          <w:sz w:val="24"/>
          <w:szCs w:val="24"/>
        </w:rPr>
        <w:tab/>
        <w:t>In deciding preliminary objections, the Commission must determine whether, based on well-pleaded factual averments of the petitioners, recovery or relief is possible.</w:t>
      </w:r>
      <w:r w:rsidRPr="009779CF">
        <w:rPr>
          <w:rStyle w:val="FootnoteReference"/>
          <w:sz w:val="24"/>
          <w:szCs w:val="24"/>
        </w:rPr>
        <w:footnoteReference w:id="1"/>
      </w:r>
      <w:r w:rsidRPr="009779CF">
        <w:rPr>
          <w:sz w:val="24"/>
          <w:szCs w:val="24"/>
        </w:rPr>
        <w:t xml:space="preserve">  Any doubt must be resolved in</w:t>
      </w:r>
      <w:r w:rsidR="00CE6F44">
        <w:rPr>
          <w:sz w:val="24"/>
          <w:szCs w:val="24"/>
        </w:rPr>
        <w:t xml:space="preserve"> favor of the non-moving party</w:t>
      </w:r>
      <w:r w:rsidR="00FD66D1">
        <w:rPr>
          <w:sz w:val="24"/>
          <w:szCs w:val="24"/>
        </w:rPr>
        <w:t>,</w:t>
      </w:r>
      <w:r w:rsidR="00CE6F44">
        <w:rPr>
          <w:sz w:val="24"/>
          <w:szCs w:val="24"/>
        </w:rPr>
        <w:t xml:space="preserve"> and</w:t>
      </w:r>
      <w:r w:rsidR="00FD66D1">
        <w:rPr>
          <w:sz w:val="24"/>
          <w:szCs w:val="24"/>
        </w:rPr>
        <w:t xml:space="preserve"> if there is doubt,</w:t>
      </w:r>
      <w:r w:rsidR="00CE6F44">
        <w:rPr>
          <w:sz w:val="24"/>
          <w:szCs w:val="24"/>
        </w:rPr>
        <w:t xml:space="preserve"> the tribunal must refuse</w:t>
      </w:r>
      <w:r w:rsidRPr="009779CF">
        <w:rPr>
          <w:sz w:val="24"/>
          <w:szCs w:val="24"/>
        </w:rPr>
        <w:t xml:space="preserve"> to sustain the preliminary objections.</w:t>
      </w:r>
      <w:r w:rsidRPr="009779CF">
        <w:rPr>
          <w:rStyle w:val="FootnoteReference"/>
          <w:sz w:val="24"/>
          <w:szCs w:val="24"/>
        </w:rPr>
        <w:footnoteReference w:id="2"/>
      </w:r>
      <w:r w:rsidRPr="009779CF">
        <w:rPr>
          <w:sz w:val="24"/>
          <w:szCs w:val="24"/>
        </w:rPr>
        <w:t xml:space="preserve">  All of the non-moving party’s averments in the complaint must be viewed as true for purposes of deciding the preliminary objections, and only those facts specifically admitted may be considered against the non-moving party.</w:t>
      </w:r>
      <w:r w:rsidRPr="009779CF">
        <w:rPr>
          <w:rStyle w:val="FootnoteReference"/>
          <w:sz w:val="24"/>
          <w:szCs w:val="24"/>
        </w:rPr>
        <w:footnoteReference w:id="3"/>
      </w:r>
      <w:r w:rsidR="002B70F3">
        <w:rPr>
          <w:sz w:val="24"/>
          <w:szCs w:val="24"/>
        </w:rPr>
        <w:t xml:space="preserve">  </w:t>
      </w:r>
      <w:r w:rsidRPr="009779CF">
        <w:rPr>
          <w:sz w:val="24"/>
          <w:szCs w:val="24"/>
        </w:rPr>
        <w:t xml:space="preserve">Thus, it is </w:t>
      </w:r>
      <w:r w:rsidRPr="009779CF">
        <w:rPr>
          <w:sz w:val="24"/>
          <w:szCs w:val="24"/>
        </w:rPr>
        <w:lastRenderedPageBreak/>
        <w:t xml:space="preserve">only facts in the complaint which can be presumed to be true in order to determine whether recovery is possible. </w:t>
      </w:r>
    </w:p>
    <w:p w14:paraId="0639401C" w14:textId="77777777" w:rsidR="003C02F3" w:rsidRDefault="003C02F3" w:rsidP="00AC537E">
      <w:pPr>
        <w:spacing w:line="360" w:lineRule="auto"/>
        <w:ind w:firstLine="1440"/>
        <w:rPr>
          <w:sz w:val="24"/>
          <w:szCs w:val="24"/>
        </w:rPr>
      </w:pPr>
    </w:p>
    <w:p w14:paraId="62E89B89" w14:textId="75E8D1D0" w:rsidR="00674189" w:rsidRPr="00746858" w:rsidRDefault="00CE6F44" w:rsidP="00AC537E">
      <w:pPr>
        <w:spacing w:line="360" w:lineRule="auto"/>
        <w:ind w:firstLine="1440"/>
        <w:rPr>
          <w:snapToGrid w:val="0"/>
          <w:sz w:val="24"/>
          <w:szCs w:val="24"/>
        </w:rPr>
      </w:pPr>
      <w:r>
        <w:rPr>
          <w:sz w:val="24"/>
          <w:szCs w:val="24"/>
        </w:rPr>
        <w:t>Tar</w:t>
      </w:r>
      <w:r w:rsidR="009779CF" w:rsidRPr="009779CF">
        <w:rPr>
          <w:sz w:val="24"/>
          <w:szCs w:val="24"/>
        </w:rPr>
        <w:t xml:space="preserve">iff provisions previously approved by the Commission are </w:t>
      </w:r>
      <w:r w:rsidR="009779CF" w:rsidRPr="004D3FDC">
        <w:rPr>
          <w:i/>
          <w:iCs/>
          <w:sz w:val="24"/>
          <w:szCs w:val="24"/>
        </w:rPr>
        <w:t>prima facie</w:t>
      </w:r>
      <w:r w:rsidR="009779CF" w:rsidRPr="009779CF">
        <w:rPr>
          <w:sz w:val="24"/>
          <w:szCs w:val="24"/>
        </w:rPr>
        <w:t xml:space="preserve"> reasonable</w:t>
      </w:r>
      <w:r w:rsidR="001A5CC5">
        <w:rPr>
          <w:sz w:val="24"/>
          <w:szCs w:val="24"/>
        </w:rPr>
        <w:t>.</w:t>
      </w:r>
      <w:r w:rsidR="00CB6C31">
        <w:rPr>
          <w:rStyle w:val="FootnoteReference"/>
          <w:sz w:val="24"/>
          <w:szCs w:val="24"/>
        </w:rPr>
        <w:footnoteReference w:id="4"/>
      </w:r>
      <w:r w:rsidR="001A5CC5">
        <w:rPr>
          <w:sz w:val="24"/>
          <w:szCs w:val="24"/>
        </w:rPr>
        <w:t xml:space="preserve">  </w:t>
      </w:r>
      <w:r w:rsidR="00674189">
        <w:rPr>
          <w:snapToGrid w:val="0"/>
          <w:sz w:val="24"/>
          <w:szCs w:val="24"/>
        </w:rPr>
        <w:t xml:space="preserve">Under </w:t>
      </w:r>
      <w:r w:rsidR="00674189" w:rsidRPr="00746858">
        <w:rPr>
          <w:snapToGrid w:val="0"/>
          <w:sz w:val="24"/>
          <w:szCs w:val="24"/>
        </w:rPr>
        <w:t>the doctrine of collateral estoppel</w:t>
      </w:r>
      <w:r w:rsidR="00674189">
        <w:rPr>
          <w:snapToGrid w:val="0"/>
          <w:sz w:val="24"/>
          <w:szCs w:val="24"/>
        </w:rPr>
        <w:t xml:space="preserve">, courts </w:t>
      </w:r>
      <w:r w:rsidR="00674189" w:rsidRPr="00746858">
        <w:rPr>
          <w:snapToGrid w:val="0"/>
          <w:sz w:val="24"/>
          <w:szCs w:val="24"/>
        </w:rPr>
        <w:t xml:space="preserve">prevent a question of law or an issue of fact </w:t>
      </w:r>
      <w:r w:rsidR="00674189">
        <w:rPr>
          <w:snapToGrid w:val="0"/>
          <w:sz w:val="24"/>
          <w:szCs w:val="24"/>
        </w:rPr>
        <w:t xml:space="preserve">from being re-litigated if the issue already was </w:t>
      </w:r>
      <w:r w:rsidR="00674189" w:rsidRPr="00746858">
        <w:rPr>
          <w:snapToGrid w:val="0"/>
          <w:sz w:val="24"/>
          <w:szCs w:val="24"/>
        </w:rPr>
        <w:t xml:space="preserve">litigated </w:t>
      </w:r>
      <w:r w:rsidR="00674189">
        <w:rPr>
          <w:snapToGrid w:val="0"/>
          <w:sz w:val="24"/>
          <w:szCs w:val="24"/>
        </w:rPr>
        <w:t xml:space="preserve">once </w:t>
      </w:r>
      <w:r w:rsidR="00674189" w:rsidRPr="00746858">
        <w:rPr>
          <w:snapToGrid w:val="0"/>
          <w:sz w:val="24"/>
          <w:szCs w:val="24"/>
        </w:rPr>
        <w:t>and adjudicated finally in a court of competent jurisdiction.</w:t>
      </w:r>
      <w:r w:rsidR="00674189">
        <w:rPr>
          <w:rStyle w:val="FootnoteReference"/>
          <w:snapToGrid w:val="0"/>
          <w:sz w:val="24"/>
          <w:szCs w:val="24"/>
        </w:rPr>
        <w:footnoteReference w:id="5"/>
      </w:r>
      <w:r w:rsidR="00674189" w:rsidRPr="00746858">
        <w:rPr>
          <w:snapToGrid w:val="0"/>
          <w:sz w:val="24"/>
          <w:szCs w:val="24"/>
        </w:rPr>
        <w:t xml:space="preserve">  </w:t>
      </w:r>
      <w:r w:rsidR="004D3FDC">
        <w:rPr>
          <w:snapToGrid w:val="0"/>
          <w:sz w:val="24"/>
          <w:szCs w:val="24"/>
        </w:rPr>
        <w:t>This</w:t>
      </w:r>
      <w:r w:rsidR="00674189" w:rsidRPr="00746858">
        <w:rPr>
          <w:snapToGrid w:val="0"/>
          <w:sz w:val="24"/>
          <w:szCs w:val="24"/>
        </w:rPr>
        <w:t xml:space="preserve"> doctrine</w:t>
      </w:r>
      <w:r w:rsidR="004D3FDC">
        <w:rPr>
          <w:snapToGrid w:val="0"/>
          <w:sz w:val="24"/>
          <w:szCs w:val="24"/>
        </w:rPr>
        <w:t>, also known as</w:t>
      </w:r>
      <w:r w:rsidR="00674189" w:rsidRPr="00746858">
        <w:rPr>
          <w:snapToGrid w:val="0"/>
          <w:sz w:val="24"/>
          <w:szCs w:val="24"/>
        </w:rPr>
        <w:t xml:space="preserve"> issue preclusion</w:t>
      </w:r>
      <w:r w:rsidR="004D3FDC">
        <w:rPr>
          <w:snapToGrid w:val="0"/>
          <w:sz w:val="24"/>
          <w:szCs w:val="24"/>
        </w:rPr>
        <w:t xml:space="preserve">, </w:t>
      </w:r>
      <w:r w:rsidR="00674189" w:rsidRPr="00746858">
        <w:rPr>
          <w:snapToGrid w:val="0"/>
          <w:sz w:val="24"/>
          <w:szCs w:val="24"/>
        </w:rPr>
        <w:t>seeks to prevent the re</w:t>
      </w:r>
      <w:r w:rsidR="00674189">
        <w:rPr>
          <w:snapToGrid w:val="0"/>
          <w:sz w:val="24"/>
          <w:szCs w:val="24"/>
        </w:rPr>
        <w:t>-</w:t>
      </w:r>
      <w:r w:rsidR="00674189" w:rsidRPr="00746858">
        <w:rPr>
          <w:snapToGrid w:val="0"/>
          <w:sz w:val="24"/>
          <w:szCs w:val="24"/>
        </w:rPr>
        <w:t xml:space="preserve">litigation of a </w:t>
      </w:r>
      <w:r w:rsidR="004D3FDC">
        <w:rPr>
          <w:snapToGrid w:val="0"/>
          <w:sz w:val="24"/>
          <w:szCs w:val="24"/>
        </w:rPr>
        <w:t>fully-</w:t>
      </w:r>
      <w:r w:rsidR="00674189" w:rsidRPr="00746858">
        <w:rPr>
          <w:snapToGrid w:val="0"/>
          <w:sz w:val="24"/>
          <w:szCs w:val="24"/>
        </w:rPr>
        <w:t>litigated issue in a subsequent proceeding between the same parties.</w:t>
      </w:r>
      <w:r w:rsidR="00674189">
        <w:rPr>
          <w:rStyle w:val="FootnoteReference"/>
          <w:snapToGrid w:val="0"/>
          <w:sz w:val="24"/>
          <w:szCs w:val="24"/>
        </w:rPr>
        <w:footnoteReference w:id="6"/>
      </w:r>
      <w:r w:rsidR="00674189" w:rsidRPr="00746858">
        <w:rPr>
          <w:snapToGrid w:val="0"/>
          <w:sz w:val="24"/>
          <w:szCs w:val="24"/>
        </w:rPr>
        <w:t xml:space="preserve">  </w:t>
      </w:r>
    </w:p>
    <w:p w14:paraId="62E89B8A" w14:textId="77777777" w:rsidR="009779CF" w:rsidRPr="009779CF" w:rsidRDefault="009779CF" w:rsidP="00AC537E">
      <w:pPr>
        <w:spacing w:line="360" w:lineRule="auto"/>
        <w:rPr>
          <w:sz w:val="24"/>
          <w:szCs w:val="24"/>
        </w:rPr>
      </w:pPr>
    </w:p>
    <w:p w14:paraId="62E89B8B" w14:textId="2B109F56" w:rsidR="009779CF" w:rsidRDefault="009779CF" w:rsidP="00AC537E">
      <w:pPr>
        <w:spacing w:line="360" w:lineRule="auto"/>
        <w:rPr>
          <w:sz w:val="24"/>
          <w:szCs w:val="24"/>
        </w:rPr>
      </w:pPr>
      <w:r w:rsidRPr="009779CF">
        <w:rPr>
          <w:sz w:val="24"/>
          <w:szCs w:val="24"/>
        </w:rPr>
        <w:tab/>
      </w:r>
      <w:r w:rsidRPr="009779CF">
        <w:rPr>
          <w:sz w:val="24"/>
          <w:szCs w:val="24"/>
        </w:rPr>
        <w:tab/>
      </w:r>
      <w:r w:rsidR="00756983">
        <w:rPr>
          <w:sz w:val="24"/>
          <w:szCs w:val="24"/>
        </w:rPr>
        <w:t>Herein</w:t>
      </w:r>
      <w:r w:rsidR="00082E74">
        <w:rPr>
          <w:sz w:val="24"/>
          <w:szCs w:val="24"/>
        </w:rPr>
        <w:t>, Mr. Goldstein does more than question the approved supply charge – he indicates there has been a change in circumstance since the Commission’s approval which makes the approved supply charge unreasonable</w:t>
      </w:r>
      <w:r w:rsidRPr="009779CF">
        <w:rPr>
          <w:sz w:val="24"/>
          <w:szCs w:val="24"/>
        </w:rPr>
        <w:t>.</w:t>
      </w:r>
      <w:r w:rsidR="00082E74">
        <w:rPr>
          <w:sz w:val="24"/>
          <w:szCs w:val="24"/>
        </w:rPr>
        <w:t xml:space="preserve">  </w:t>
      </w:r>
    </w:p>
    <w:p w14:paraId="5A9DBB76" w14:textId="77777777" w:rsidR="00756983" w:rsidRPr="004E7308" w:rsidRDefault="00756983" w:rsidP="00756983">
      <w:pPr>
        <w:tabs>
          <w:tab w:val="left" w:pos="2160"/>
        </w:tabs>
        <w:spacing w:line="360" w:lineRule="auto"/>
        <w:jc w:val="center"/>
        <w:rPr>
          <w:u w:val="single"/>
        </w:rPr>
      </w:pPr>
    </w:p>
    <w:p w14:paraId="1EB1A5C2" w14:textId="569AB766" w:rsidR="00756983" w:rsidRDefault="00756983" w:rsidP="008821FC">
      <w:pPr>
        <w:pStyle w:val="BodyText"/>
        <w:jc w:val="left"/>
        <w:rPr>
          <w:sz w:val="24"/>
          <w:szCs w:val="24"/>
        </w:rPr>
      </w:pPr>
      <w:r>
        <w:rPr>
          <w:sz w:val="24"/>
          <w:szCs w:val="24"/>
        </w:rPr>
        <w:tab/>
      </w:r>
      <w:r>
        <w:rPr>
          <w:sz w:val="24"/>
          <w:szCs w:val="24"/>
        </w:rPr>
        <w:tab/>
        <w:t xml:space="preserve">This Commission adopted an Order at Public Meeting on </w:t>
      </w:r>
      <w:r w:rsidR="008821FC">
        <w:rPr>
          <w:sz w:val="24"/>
          <w:szCs w:val="24"/>
        </w:rPr>
        <w:t>June 17, 2021, in PECO Energy’s proceeding at Docket No. R-2020-3018929</w:t>
      </w:r>
      <w:r>
        <w:rPr>
          <w:sz w:val="24"/>
          <w:szCs w:val="24"/>
        </w:rPr>
        <w:t xml:space="preserve">.  </w:t>
      </w:r>
      <w:r w:rsidR="008821FC">
        <w:rPr>
          <w:sz w:val="24"/>
          <w:szCs w:val="24"/>
        </w:rPr>
        <w:t xml:space="preserve">Mr. Goldstein </w:t>
      </w:r>
      <w:r>
        <w:rPr>
          <w:sz w:val="24"/>
          <w:szCs w:val="24"/>
        </w:rPr>
        <w:t xml:space="preserve">filed </w:t>
      </w:r>
      <w:r w:rsidR="008821FC">
        <w:rPr>
          <w:sz w:val="24"/>
          <w:szCs w:val="24"/>
        </w:rPr>
        <w:t xml:space="preserve">his </w:t>
      </w:r>
      <w:r>
        <w:rPr>
          <w:sz w:val="24"/>
          <w:szCs w:val="24"/>
        </w:rPr>
        <w:t xml:space="preserve">formal complaint with the Commission </w:t>
      </w:r>
      <w:r w:rsidR="008821FC">
        <w:rPr>
          <w:sz w:val="24"/>
          <w:szCs w:val="24"/>
        </w:rPr>
        <w:t xml:space="preserve">alleging </w:t>
      </w:r>
      <w:r w:rsidR="008821FC" w:rsidRPr="009732A9">
        <w:rPr>
          <w:sz w:val="24"/>
          <w:szCs w:val="24"/>
        </w:rPr>
        <w:t>Respondent</w:t>
      </w:r>
      <w:r w:rsidR="008821FC">
        <w:rPr>
          <w:sz w:val="24"/>
          <w:szCs w:val="24"/>
        </w:rPr>
        <w:t>’</w:t>
      </w:r>
      <w:r w:rsidR="008821FC" w:rsidRPr="009732A9">
        <w:rPr>
          <w:sz w:val="24"/>
          <w:szCs w:val="24"/>
        </w:rPr>
        <w:t>s</w:t>
      </w:r>
      <w:r w:rsidR="008821FC">
        <w:rPr>
          <w:sz w:val="24"/>
          <w:szCs w:val="24"/>
        </w:rPr>
        <w:t xml:space="preserve"> natural gas supply charges increased up to 47% and averring the increase was outrageous and irresponsible given the economy is experiencing a 7% inflation rate</w:t>
      </w:r>
      <w:r w:rsidR="008821FC" w:rsidRPr="009779CF">
        <w:rPr>
          <w:sz w:val="24"/>
          <w:szCs w:val="24"/>
        </w:rPr>
        <w:t>.</w:t>
      </w:r>
      <w:r w:rsidR="008821FC">
        <w:rPr>
          <w:sz w:val="24"/>
          <w:szCs w:val="24"/>
        </w:rPr>
        <w:t xml:space="preserve">  Mr. Goldstein requests the Commission revisit and reduce the approved rate increase</w:t>
      </w:r>
      <w:r>
        <w:rPr>
          <w:sz w:val="24"/>
          <w:szCs w:val="24"/>
        </w:rPr>
        <w:t xml:space="preserve">.  In other words, the </w:t>
      </w:r>
      <w:r w:rsidR="008821FC">
        <w:rPr>
          <w:sz w:val="24"/>
          <w:szCs w:val="24"/>
        </w:rPr>
        <w:t xml:space="preserve">supply </w:t>
      </w:r>
      <w:r>
        <w:rPr>
          <w:sz w:val="24"/>
          <w:szCs w:val="24"/>
        </w:rPr>
        <w:t xml:space="preserve">rate </w:t>
      </w:r>
      <w:r w:rsidR="008821FC">
        <w:rPr>
          <w:sz w:val="24"/>
          <w:szCs w:val="24"/>
        </w:rPr>
        <w:t>Mr. Goldstein opposes</w:t>
      </w:r>
      <w:r>
        <w:rPr>
          <w:sz w:val="24"/>
          <w:szCs w:val="24"/>
        </w:rPr>
        <w:t xml:space="preserve"> is a preexisting rate approved by the Commission. </w:t>
      </w:r>
    </w:p>
    <w:p w14:paraId="2030D85F" w14:textId="77777777" w:rsidR="00756983" w:rsidRDefault="00756983" w:rsidP="00756983">
      <w:pPr>
        <w:pStyle w:val="BodyText"/>
        <w:jc w:val="left"/>
        <w:rPr>
          <w:sz w:val="24"/>
          <w:szCs w:val="24"/>
        </w:rPr>
      </w:pPr>
    </w:p>
    <w:p w14:paraId="75DED1AF" w14:textId="4872E9E8" w:rsidR="00756983" w:rsidRDefault="00756983" w:rsidP="00756983">
      <w:pPr>
        <w:pStyle w:val="BodyText"/>
        <w:jc w:val="left"/>
        <w:rPr>
          <w:sz w:val="24"/>
          <w:szCs w:val="24"/>
        </w:rPr>
      </w:pPr>
      <w:r>
        <w:rPr>
          <w:sz w:val="24"/>
          <w:szCs w:val="24"/>
        </w:rPr>
        <w:tab/>
      </w:r>
      <w:r>
        <w:rPr>
          <w:sz w:val="24"/>
          <w:szCs w:val="24"/>
        </w:rPr>
        <w:tab/>
        <w:t xml:space="preserve">Section 1301 of the Public Utility Code (“the Code”), 66 </w:t>
      </w:r>
      <w:smartTag w:uri="urn:schemas-microsoft-com:office:smarttags" w:element="State">
        <w:smartTag w:uri="urn:schemas-microsoft-com:office:smarttags" w:element="place">
          <w:r>
            <w:rPr>
              <w:sz w:val="24"/>
              <w:szCs w:val="24"/>
            </w:rPr>
            <w:t>Pa.</w:t>
          </w:r>
        </w:smartTag>
      </w:smartTag>
      <w:r>
        <w:rPr>
          <w:sz w:val="24"/>
          <w:szCs w:val="24"/>
        </w:rPr>
        <w:t xml:space="preserve"> C.S. §1301, requires that public utility rates be just and reasonable.  Where a customer is heard to complain about an existing rate, there is a strong presumption that the preexisting Commission approved rates are </w:t>
      </w:r>
      <w:r>
        <w:rPr>
          <w:sz w:val="24"/>
          <w:szCs w:val="24"/>
        </w:rPr>
        <w:lastRenderedPageBreak/>
        <w:t>just and reasonable.</w:t>
      </w:r>
      <w:r w:rsidR="00C86A1A">
        <w:rPr>
          <w:rStyle w:val="FootnoteReference"/>
          <w:sz w:val="24"/>
          <w:szCs w:val="24"/>
        </w:rPr>
        <w:footnoteReference w:id="7"/>
      </w:r>
      <w:r>
        <w:rPr>
          <w:sz w:val="24"/>
          <w:szCs w:val="24"/>
        </w:rPr>
        <w:t xml:space="preserve">  The burden of proof falls upon the customer to prove that the previously approved rate is no longer reasonable, by demonstrating “recent significant changes in circumstances in the interim.”</w:t>
      </w:r>
      <w:r w:rsidR="00C86A1A">
        <w:rPr>
          <w:rStyle w:val="FootnoteReference"/>
          <w:sz w:val="24"/>
          <w:szCs w:val="24"/>
        </w:rPr>
        <w:footnoteReference w:id="8"/>
      </w:r>
      <w:r>
        <w:rPr>
          <w:sz w:val="24"/>
          <w:szCs w:val="24"/>
        </w:rPr>
        <w:t xml:space="preserve">  Consequently, Complainant herein </w:t>
      </w:r>
      <w:r w:rsidR="00C86A1A">
        <w:rPr>
          <w:sz w:val="24"/>
          <w:szCs w:val="24"/>
        </w:rPr>
        <w:t xml:space="preserve">has </w:t>
      </w:r>
      <w:r>
        <w:rPr>
          <w:sz w:val="24"/>
          <w:szCs w:val="24"/>
        </w:rPr>
        <w:t>the burden of proof</w:t>
      </w:r>
      <w:r w:rsidR="00C86A1A">
        <w:rPr>
          <w:sz w:val="24"/>
          <w:szCs w:val="24"/>
        </w:rPr>
        <w:t xml:space="preserve"> and he</w:t>
      </w:r>
      <w:r>
        <w:rPr>
          <w:sz w:val="24"/>
          <w:szCs w:val="24"/>
        </w:rPr>
        <w:t xml:space="preserve"> must demonstrate recent significant changes in circumstances, after </w:t>
      </w:r>
      <w:r w:rsidR="00C86A1A">
        <w:rPr>
          <w:sz w:val="24"/>
          <w:szCs w:val="24"/>
        </w:rPr>
        <w:t>June 17, 2021</w:t>
      </w:r>
      <w:r>
        <w:rPr>
          <w:sz w:val="24"/>
          <w:szCs w:val="24"/>
        </w:rPr>
        <w:t>, which caused the Commission approved rate to be unjust and unreasonable.  The absence of such a showing establishes prima facie evidence of the facts found in the prior order.</w:t>
      </w:r>
      <w:r>
        <w:rPr>
          <w:rStyle w:val="FootnoteReference"/>
          <w:sz w:val="24"/>
          <w:szCs w:val="24"/>
        </w:rPr>
        <w:footnoteReference w:id="9"/>
      </w:r>
      <w:r>
        <w:rPr>
          <w:sz w:val="24"/>
          <w:szCs w:val="24"/>
        </w:rPr>
        <w:t xml:space="preserve"> </w:t>
      </w:r>
    </w:p>
    <w:p w14:paraId="001F28CE" w14:textId="77777777" w:rsidR="00756983" w:rsidRDefault="00756983" w:rsidP="00756983">
      <w:pPr>
        <w:pStyle w:val="BodyText"/>
        <w:jc w:val="left"/>
        <w:rPr>
          <w:sz w:val="24"/>
          <w:szCs w:val="24"/>
        </w:rPr>
      </w:pPr>
    </w:p>
    <w:p w14:paraId="466D0E9F" w14:textId="17FF465A" w:rsidR="00756983" w:rsidRDefault="00756983" w:rsidP="00756983">
      <w:pPr>
        <w:pStyle w:val="BodyText"/>
        <w:jc w:val="left"/>
        <w:rPr>
          <w:sz w:val="24"/>
          <w:szCs w:val="24"/>
        </w:rPr>
      </w:pPr>
      <w:r>
        <w:rPr>
          <w:sz w:val="24"/>
          <w:szCs w:val="24"/>
        </w:rPr>
        <w:tab/>
      </w:r>
      <w:r>
        <w:rPr>
          <w:sz w:val="24"/>
          <w:szCs w:val="24"/>
        </w:rPr>
        <w:tab/>
      </w:r>
      <w:r w:rsidR="00C86A1A">
        <w:rPr>
          <w:sz w:val="24"/>
          <w:szCs w:val="24"/>
        </w:rPr>
        <w:t xml:space="preserve">Complainant is entitled to have an opportunity in a hearing to provide evidence that </w:t>
      </w:r>
      <w:r w:rsidR="00BB0E5F">
        <w:rPr>
          <w:sz w:val="24"/>
          <w:szCs w:val="24"/>
        </w:rPr>
        <w:t xml:space="preserve">these significant changes are so great as to render the Commission’s approved supply charge </w:t>
      </w:r>
      <w:r w:rsidR="00613128">
        <w:rPr>
          <w:sz w:val="24"/>
          <w:szCs w:val="24"/>
        </w:rPr>
        <w:t>is no longer</w:t>
      </w:r>
      <w:r w:rsidR="00BB0E5F">
        <w:rPr>
          <w:sz w:val="24"/>
          <w:szCs w:val="24"/>
        </w:rPr>
        <w:t xml:space="preserve"> reasonable and just.  He is permitted to have an opportunity to testify</w:t>
      </w:r>
      <w:r>
        <w:rPr>
          <w:sz w:val="24"/>
          <w:szCs w:val="24"/>
        </w:rPr>
        <w:t xml:space="preserve"> at the hearing </w:t>
      </w:r>
      <w:r w:rsidR="00BB0E5F">
        <w:rPr>
          <w:sz w:val="24"/>
          <w:szCs w:val="24"/>
        </w:rPr>
        <w:t xml:space="preserve">how </w:t>
      </w:r>
      <w:r>
        <w:rPr>
          <w:sz w:val="24"/>
          <w:szCs w:val="24"/>
        </w:rPr>
        <w:t xml:space="preserve">the </w:t>
      </w:r>
      <w:r w:rsidR="00BB0E5F">
        <w:rPr>
          <w:sz w:val="24"/>
          <w:szCs w:val="24"/>
        </w:rPr>
        <w:t xml:space="preserve">supply rate </w:t>
      </w:r>
      <w:r>
        <w:rPr>
          <w:sz w:val="24"/>
          <w:szCs w:val="24"/>
        </w:rPr>
        <w:t>increase in question adversely affect</w:t>
      </w:r>
      <w:r w:rsidR="00BB0E5F">
        <w:rPr>
          <w:sz w:val="24"/>
          <w:szCs w:val="24"/>
        </w:rPr>
        <w:t>ed</w:t>
      </w:r>
      <w:r>
        <w:rPr>
          <w:sz w:val="24"/>
          <w:szCs w:val="24"/>
        </w:rPr>
        <w:t xml:space="preserve"> </w:t>
      </w:r>
      <w:r w:rsidR="00BB0E5F">
        <w:rPr>
          <w:sz w:val="24"/>
          <w:szCs w:val="24"/>
        </w:rPr>
        <w:t>him personally</w:t>
      </w:r>
      <w:r>
        <w:rPr>
          <w:sz w:val="24"/>
          <w:szCs w:val="24"/>
        </w:rPr>
        <w:t xml:space="preserve">.  While the </w:t>
      </w:r>
      <w:r w:rsidR="00BB0E5F">
        <w:rPr>
          <w:sz w:val="24"/>
          <w:szCs w:val="24"/>
        </w:rPr>
        <w:t xml:space="preserve">burden to prove the allegations is squarely on Mr. Goldstein to </w:t>
      </w:r>
      <w:r>
        <w:rPr>
          <w:sz w:val="24"/>
          <w:szCs w:val="24"/>
        </w:rPr>
        <w:t xml:space="preserve">demonstrate recent significant changes in circumstances, after </w:t>
      </w:r>
      <w:r w:rsidR="00BB0E5F">
        <w:rPr>
          <w:sz w:val="24"/>
          <w:szCs w:val="24"/>
        </w:rPr>
        <w:t>June 17, 2021</w:t>
      </w:r>
      <w:r>
        <w:rPr>
          <w:sz w:val="24"/>
          <w:szCs w:val="24"/>
        </w:rPr>
        <w:t>, which caused the Commission approved rate to become unjust and unreasonable</w:t>
      </w:r>
      <w:r w:rsidR="00BB0E5F">
        <w:rPr>
          <w:sz w:val="24"/>
          <w:szCs w:val="24"/>
        </w:rPr>
        <w:t>, he should be afforded the opportunity</w:t>
      </w:r>
      <w:r>
        <w:rPr>
          <w:sz w:val="24"/>
          <w:szCs w:val="24"/>
        </w:rPr>
        <w:t>.  Accordingly</w:t>
      </w:r>
      <w:r w:rsidR="00BB0E5F">
        <w:rPr>
          <w:sz w:val="24"/>
          <w:szCs w:val="24"/>
        </w:rPr>
        <w:t>, the preliminary objections are denied</w:t>
      </w:r>
      <w:r>
        <w:rPr>
          <w:sz w:val="24"/>
          <w:szCs w:val="24"/>
        </w:rPr>
        <w:t>.</w:t>
      </w:r>
      <w:r w:rsidRPr="008B6587">
        <w:rPr>
          <w:sz w:val="24"/>
          <w:szCs w:val="24"/>
        </w:rPr>
        <w:t xml:space="preserve"> </w:t>
      </w:r>
    </w:p>
    <w:p w14:paraId="373ABBD8" w14:textId="77777777" w:rsidR="00613128" w:rsidRDefault="00613128" w:rsidP="00756983">
      <w:pPr>
        <w:pStyle w:val="BodyText"/>
        <w:jc w:val="left"/>
        <w:rPr>
          <w:sz w:val="24"/>
          <w:szCs w:val="24"/>
        </w:rPr>
      </w:pPr>
    </w:p>
    <w:p w14:paraId="62E89B8D" w14:textId="77777777" w:rsidR="00E27ACF" w:rsidRDefault="00E27ACF" w:rsidP="00AC537E">
      <w:pPr>
        <w:spacing w:line="360" w:lineRule="auto"/>
        <w:jc w:val="center"/>
        <w:rPr>
          <w:sz w:val="24"/>
          <w:szCs w:val="24"/>
        </w:rPr>
      </w:pPr>
      <w:r>
        <w:rPr>
          <w:sz w:val="24"/>
          <w:szCs w:val="24"/>
          <w:u w:val="single"/>
        </w:rPr>
        <w:t>CONCLUSIONS OF LAW</w:t>
      </w:r>
    </w:p>
    <w:p w14:paraId="62E89B8E" w14:textId="77777777" w:rsidR="00E27ACF" w:rsidRDefault="00E27ACF" w:rsidP="00CB0D95">
      <w:pPr>
        <w:spacing w:line="360" w:lineRule="auto"/>
        <w:ind w:left="1440"/>
        <w:rPr>
          <w:sz w:val="24"/>
          <w:szCs w:val="24"/>
        </w:rPr>
      </w:pPr>
    </w:p>
    <w:p w14:paraId="62E89B8F" w14:textId="77777777" w:rsidR="00E27ACF" w:rsidRDefault="00E27ACF" w:rsidP="00AC537E">
      <w:pPr>
        <w:numPr>
          <w:ilvl w:val="0"/>
          <w:numId w:val="2"/>
        </w:numPr>
        <w:tabs>
          <w:tab w:val="clear" w:pos="2160"/>
          <w:tab w:val="num" w:pos="0"/>
        </w:tabs>
        <w:spacing w:line="360" w:lineRule="auto"/>
        <w:ind w:left="0" w:firstLine="1440"/>
        <w:rPr>
          <w:sz w:val="24"/>
          <w:szCs w:val="24"/>
        </w:rPr>
      </w:pPr>
      <w:r>
        <w:rPr>
          <w:sz w:val="24"/>
          <w:szCs w:val="24"/>
        </w:rPr>
        <w:t xml:space="preserve">The Commission has jurisdiction over the parties </w:t>
      </w:r>
      <w:r w:rsidR="00A800AC">
        <w:rPr>
          <w:sz w:val="24"/>
          <w:szCs w:val="24"/>
        </w:rPr>
        <w:t xml:space="preserve">and subject matter </w:t>
      </w:r>
      <w:r>
        <w:rPr>
          <w:sz w:val="24"/>
          <w:szCs w:val="24"/>
        </w:rPr>
        <w:t>to this dispute.</w:t>
      </w:r>
      <w:r w:rsidR="00A800AC">
        <w:rPr>
          <w:sz w:val="24"/>
          <w:szCs w:val="24"/>
        </w:rPr>
        <w:t xml:space="preserve">  66 Pa.C.S.A. § 701.</w:t>
      </w:r>
    </w:p>
    <w:p w14:paraId="62E89B90" w14:textId="77777777" w:rsidR="00E27ACF" w:rsidRDefault="00E27ACF" w:rsidP="00CB0D95">
      <w:pPr>
        <w:spacing w:line="360" w:lineRule="auto"/>
        <w:ind w:left="1440"/>
        <w:rPr>
          <w:sz w:val="24"/>
          <w:szCs w:val="24"/>
        </w:rPr>
      </w:pPr>
    </w:p>
    <w:p w14:paraId="62E89B91" w14:textId="5F0F8502" w:rsidR="00E27ACF" w:rsidRDefault="00E27ACF" w:rsidP="00AC537E">
      <w:pPr>
        <w:spacing w:line="360" w:lineRule="auto"/>
        <w:ind w:firstLine="1440"/>
        <w:rPr>
          <w:sz w:val="24"/>
          <w:szCs w:val="24"/>
        </w:rPr>
      </w:pPr>
      <w:r>
        <w:rPr>
          <w:sz w:val="24"/>
          <w:szCs w:val="24"/>
        </w:rPr>
        <w:t>2.</w:t>
      </w:r>
      <w:r>
        <w:rPr>
          <w:sz w:val="24"/>
          <w:szCs w:val="24"/>
        </w:rPr>
        <w:tab/>
      </w:r>
      <w:r w:rsidR="00A800AC">
        <w:rPr>
          <w:sz w:val="24"/>
          <w:szCs w:val="24"/>
        </w:rPr>
        <w:t xml:space="preserve">Complainant’s complaint </w:t>
      </w:r>
      <w:r w:rsidR="00613128">
        <w:rPr>
          <w:sz w:val="24"/>
          <w:szCs w:val="24"/>
        </w:rPr>
        <w:t>raises</w:t>
      </w:r>
      <w:r w:rsidR="00A800AC">
        <w:rPr>
          <w:sz w:val="24"/>
          <w:szCs w:val="24"/>
        </w:rPr>
        <w:t xml:space="preserve"> a claim that, if proven, would show Respondent failed to furnish adequate, efficient, safe and reasonable service and facilities,</w:t>
      </w:r>
      <w:r w:rsidR="00613128">
        <w:rPr>
          <w:sz w:val="24"/>
          <w:szCs w:val="24"/>
        </w:rPr>
        <w:t xml:space="preserve"> because a significant change in circumstances has rendered the Commission-approved rate to be unreasonable and unjust</w:t>
      </w:r>
      <w:r>
        <w:rPr>
          <w:sz w:val="24"/>
          <w:szCs w:val="24"/>
        </w:rPr>
        <w:t xml:space="preserve">.  </w:t>
      </w:r>
      <w:r w:rsidR="004D3FDC">
        <w:rPr>
          <w:sz w:val="24"/>
          <w:szCs w:val="24"/>
        </w:rPr>
        <w:t xml:space="preserve">66 Pa.C.S.A. </w:t>
      </w:r>
      <w:r w:rsidR="004D3FDC" w:rsidRPr="00613128">
        <w:rPr>
          <w:sz w:val="24"/>
          <w:szCs w:val="24"/>
        </w:rPr>
        <w:t>§</w:t>
      </w:r>
      <w:r w:rsidR="00613128" w:rsidRPr="00613128">
        <w:rPr>
          <w:sz w:val="24"/>
          <w:szCs w:val="24"/>
        </w:rPr>
        <w:t>§ 316 and</w:t>
      </w:r>
      <w:r w:rsidR="004D3FDC">
        <w:rPr>
          <w:sz w:val="24"/>
          <w:szCs w:val="24"/>
        </w:rPr>
        <w:t xml:space="preserve"> 1501, </w:t>
      </w:r>
      <w:r w:rsidR="004D3FDC" w:rsidRPr="004D3FDC">
        <w:rPr>
          <w:i/>
          <w:iCs/>
          <w:sz w:val="24"/>
          <w:szCs w:val="24"/>
        </w:rPr>
        <w:t>et seq</w:t>
      </w:r>
      <w:r w:rsidR="004D3FDC">
        <w:rPr>
          <w:sz w:val="24"/>
          <w:szCs w:val="24"/>
        </w:rPr>
        <w:t>.</w:t>
      </w:r>
    </w:p>
    <w:p w14:paraId="135289E7" w14:textId="00E5F1A1" w:rsidR="00FD7406" w:rsidRPr="00425F55" w:rsidRDefault="00FD7406" w:rsidP="00FD7406">
      <w:pPr>
        <w:spacing w:line="360" w:lineRule="auto"/>
        <w:ind w:firstLine="1440"/>
        <w:rPr>
          <w:sz w:val="24"/>
          <w:szCs w:val="24"/>
        </w:rPr>
      </w:pPr>
      <w:r>
        <w:rPr>
          <w:sz w:val="24"/>
          <w:szCs w:val="24"/>
        </w:rPr>
        <w:lastRenderedPageBreak/>
        <w:t>3</w:t>
      </w:r>
      <w:r w:rsidRPr="00425F55">
        <w:rPr>
          <w:sz w:val="24"/>
          <w:szCs w:val="24"/>
        </w:rPr>
        <w:t>.</w:t>
      </w:r>
      <w:r w:rsidRPr="00425F55">
        <w:rPr>
          <w:sz w:val="24"/>
          <w:szCs w:val="24"/>
        </w:rPr>
        <w:tab/>
        <w:t xml:space="preserve">A preliminary objection in civil practice seeking dismissal of a pleading will be granted only where relief is clearly warranted and free from doubt and only if the moving party prevails as a matter of law.  </w:t>
      </w:r>
      <w:r w:rsidRPr="00FD7406">
        <w:rPr>
          <w:i/>
          <w:iCs/>
          <w:sz w:val="24"/>
          <w:szCs w:val="24"/>
        </w:rPr>
        <w:t>Interstate Traveler Services, Inc. v. Pa. Dept. of Environmental Resources</w:t>
      </w:r>
      <w:r w:rsidRPr="00425F55">
        <w:rPr>
          <w:sz w:val="24"/>
          <w:szCs w:val="24"/>
        </w:rPr>
        <w:t xml:space="preserve">, 406 A.2d 1020 (Pa. 1979); and </w:t>
      </w:r>
      <w:r w:rsidRPr="00FD7406">
        <w:rPr>
          <w:i/>
          <w:iCs/>
          <w:sz w:val="24"/>
          <w:szCs w:val="24"/>
        </w:rPr>
        <w:t>Roc v. Flaherty</w:t>
      </w:r>
      <w:r w:rsidRPr="00425F55">
        <w:rPr>
          <w:sz w:val="24"/>
          <w:szCs w:val="24"/>
        </w:rPr>
        <w:t>, 527 A.2d 211 (Pa.Cmwlth. 1985).</w:t>
      </w:r>
    </w:p>
    <w:p w14:paraId="60812753" w14:textId="77777777" w:rsidR="00FD7406" w:rsidRPr="00425F55" w:rsidRDefault="00FD7406" w:rsidP="00FD7406">
      <w:pPr>
        <w:spacing w:line="360" w:lineRule="auto"/>
        <w:ind w:firstLine="1440"/>
        <w:rPr>
          <w:sz w:val="24"/>
          <w:szCs w:val="24"/>
        </w:rPr>
      </w:pPr>
    </w:p>
    <w:p w14:paraId="55CE9522" w14:textId="10735F8B" w:rsidR="00FD7406" w:rsidRPr="00425F55" w:rsidRDefault="00FD7406" w:rsidP="00FD7406">
      <w:pPr>
        <w:spacing w:line="360" w:lineRule="auto"/>
        <w:ind w:firstLine="1440"/>
        <w:rPr>
          <w:sz w:val="24"/>
          <w:szCs w:val="24"/>
        </w:rPr>
      </w:pPr>
      <w:r>
        <w:rPr>
          <w:sz w:val="24"/>
          <w:szCs w:val="24"/>
        </w:rPr>
        <w:t>4</w:t>
      </w:r>
      <w:r w:rsidRPr="00425F55">
        <w:rPr>
          <w:sz w:val="24"/>
          <w:szCs w:val="24"/>
        </w:rPr>
        <w:t>.</w:t>
      </w:r>
      <w:r w:rsidRPr="00425F55">
        <w:rPr>
          <w:sz w:val="24"/>
          <w:szCs w:val="24"/>
        </w:rPr>
        <w:tab/>
        <w:t xml:space="preserve">Section 703 of the Public Utility Code, 66 Pa.C.S.A. § 703(b), provides that the Commission may dismiss any complaint without a hearing if, in its opinion, a hearing, is not necessary in the public interest.  </w:t>
      </w:r>
    </w:p>
    <w:p w14:paraId="713C2E76" w14:textId="77777777" w:rsidR="00FD7406" w:rsidRPr="00425F55" w:rsidRDefault="00FD7406" w:rsidP="00FD7406">
      <w:pPr>
        <w:spacing w:line="360" w:lineRule="auto"/>
        <w:ind w:firstLine="1440"/>
        <w:rPr>
          <w:sz w:val="24"/>
          <w:szCs w:val="24"/>
        </w:rPr>
      </w:pPr>
    </w:p>
    <w:p w14:paraId="2CCF6166" w14:textId="352517DD" w:rsidR="00FD7406" w:rsidRPr="00425F55" w:rsidRDefault="00FD7406" w:rsidP="00FD7406">
      <w:pPr>
        <w:spacing w:line="360" w:lineRule="auto"/>
        <w:ind w:firstLine="1440"/>
        <w:rPr>
          <w:sz w:val="24"/>
          <w:szCs w:val="24"/>
        </w:rPr>
      </w:pPr>
      <w:r>
        <w:rPr>
          <w:sz w:val="24"/>
          <w:szCs w:val="24"/>
        </w:rPr>
        <w:t>5</w:t>
      </w:r>
      <w:r w:rsidRPr="00425F55">
        <w:rPr>
          <w:sz w:val="24"/>
          <w:szCs w:val="24"/>
        </w:rPr>
        <w:t>.</w:t>
      </w:r>
      <w:r w:rsidRPr="00425F55">
        <w:rPr>
          <w:sz w:val="24"/>
          <w:szCs w:val="24"/>
        </w:rPr>
        <w:tab/>
        <w:t>A hearing in this matter is necessary in the public interest.</w:t>
      </w:r>
    </w:p>
    <w:p w14:paraId="2AD85BB3" w14:textId="77777777" w:rsidR="00FD7406" w:rsidRPr="00425F55" w:rsidRDefault="00FD7406" w:rsidP="00FD7406">
      <w:pPr>
        <w:spacing w:line="360" w:lineRule="auto"/>
        <w:rPr>
          <w:sz w:val="24"/>
          <w:szCs w:val="24"/>
        </w:rPr>
      </w:pPr>
    </w:p>
    <w:p w14:paraId="62E89B97" w14:textId="77777777" w:rsidR="00E27ACF" w:rsidRDefault="00E27ACF" w:rsidP="00AC537E">
      <w:pPr>
        <w:spacing w:line="360" w:lineRule="auto"/>
        <w:jc w:val="center"/>
        <w:rPr>
          <w:sz w:val="24"/>
          <w:szCs w:val="24"/>
        </w:rPr>
      </w:pPr>
      <w:r w:rsidRPr="00A91769">
        <w:rPr>
          <w:sz w:val="24"/>
          <w:szCs w:val="24"/>
          <w:u w:val="single"/>
        </w:rPr>
        <w:t>ORDER</w:t>
      </w:r>
    </w:p>
    <w:p w14:paraId="62E89B98" w14:textId="77777777" w:rsidR="00E27ACF" w:rsidRDefault="00E27ACF" w:rsidP="00AC537E">
      <w:pPr>
        <w:spacing w:line="360" w:lineRule="auto"/>
        <w:rPr>
          <w:sz w:val="24"/>
          <w:szCs w:val="24"/>
        </w:rPr>
      </w:pPr>
    </w:p>
    <w:p w14:paraId="62E89B99" w14:textId="77777777" w:rsidR="000875CB" w:rsidRDefault="000875CB" w:rsidP="00AC537E">
      <w:pPr>
        <w:spacing w:line="360" w:lineRule="auto"/>
        <w:rPr>
          <w:sz w:val="24"/>
          <w:szCs w:val="24"/>
        </w:rPr>
      </w:pPr>
    </w:p>
    <w:p w14:paraId="62E89B9A" w14:textId="77777777" w:rsidR="00E27ACF" w:rsidRDefault="00E27ACF" w:rsidP="00AC537E">
      <w:pPr>
        <w:spacing w:line="360" w:lineRule="auto"/>
        <w:rPr>
          <w:sz w:val="24"/>
          <w:szCs w:val="24"/>
        </w:rPr>
      </w:pPr>
      <w:r>
        <w:rPr>
          <w:sz w:val="24"/>
          <w:szCs w:val="24"/>
        </w:rPr>
        <w:tab/>
      </w:r>
      <w:r>
        <w:rPr>
          <w:sz w:val="24"/>
          <w:szCs w:val="24"/>
        </w:rPr>
        <w:tab/>
        <w:t>THEREFORE,</w:t>
      </w:r>
    </w:p>
    <w:p w14:paraId="62E89B9B" w14:textId="77777777" w:rsidR="00E27ACF" w:rsidRDefault="00E27ACF" w:rsidP="00AC537E">
      <w:pPr>
        <w:spacing w:line="360" w:lineRule="auto"/>
        <w:rPr>
          <w:sz w:val="24"/>
          <w:szCs w:val="24"/>
        </w:rPr>
      </w:pPr>
    </w:p>
    <w:p w14:paraId="62E89B9C" w14:textId="77777777" w:rsidR="00E27ACF" w:rsidRDefault="00E27ACF" w:rsidP="00AC537E">
      <w:pPr>
        <w:spacing w:line="360" w:lineRule="auto"/>
        <w:rPr>
          <w:sz w:val="24"/>
          <w:szCs w:val="24"/>
        </w:rPr>
      </w:pPr>
      <w:r>
        <w:rPr>
          <w:sz w:val="24"/>
          <w:szCs w:val="24"/>
        </w:rPr>
        <w:tab/>
      </w:r>
      <w:r>
        <w:rPr>
          <w:sz w:val="24"/>
          <w:szCs w:val="24"/>
        </w:rPr>
        <w:tab/>
        <w:t>IT IS ORDERED:</w:t>
      </w:r>
    </w:p>
    <w:p w14:paraId="62E89B9D" w14:textId="77777777" w:rsidR="00E27ACF" w:rsidRDefault="00E27ACF" w:rsidP="00AC537E">
      <w:pPr>
        <w:spacing w:line="360" w:lineRule="auto"/>
        <w:rPr>
          <w:sz w:val="24"/>
          <w:szCs w:val="24"/>
        </w:rPr>
      </w:pPr>
    </w:p>
    <w:p w14:paraId="62E89B9E" w14:textId="5793A874" w:rsidR="009779CF" w:rsidRPr="009779CF" w:rsidRDefault="009779CF" w:rsidP="00AC537E">
      <w:pPr>
        <w:spacing w:line="360" w:lineRule="auto"/>
        <w:rPr>
          <w:sz w:val="24"/>
          <w:szCs w:val="24"/>
        </w:rPr>
      </w:pPr>
      <w:r w:rsidRPr="009779CF">
        <w:rPr>
          <w:sz w:val="24"/>
          <w:szCs w:val="24"/>
        </w:rPr>
        <w:tab/>
      </w:r>
      <w:r w:rsidRPr="009779CF">
        <w:rPr>
          <w:sz w:val="24"/>
          <w:szCs w:val="24"/>
        </w:rPr>
        <w:tab/>
        <w:t>1.</w:t>
      </w:r>
      <w:r w:rsidRPr="009779CF">
        <w:rPr>
          <w:sz w:val="24"/>
          <w:szCs w:val="24"/>
        </w:rPr>
        <w:tab/>
      </w:r>
      <w:r w:rsidR="00C255D6">
        <w:rPr>
          <w:sz w:val="24"/>
          <w:szCs w:val="24"/>
        </w:rPr>
        <w:t>That the preliminary objection</w:t>
      </w:r>
      <w:r w:rsidR="00A800AC">
        <w:rPr>
          <w:sz w:val="24"/>
          <w:szCs w:val="24"/>
        </w:rPr>
        <w:t>s</w:t>
      </w:r>
      <w:r w:rsidRPr="009779CF">
        <w:rPr>
          <w:sz w:val="24"/>
          <w:szCs w:val="24"/>
        </w:rPr>
        <w:t xml:space="preserve"> of </w:t>
      </w:r>
      <w:r w:rsidR="001A5CC5">
        <w:rPr>
          <w:sz w:val="24"/>
          <w:szCs w:val="24"/>
        </w:rPr>
        <w:t>PECO Energy</w:t>
      </w:r>
      <w:r w:rsidR="00C255D6">
        <w:rPr>
          <w:sz w:val="24"/>
          <w:szCs w:val="24"/>
        </w:rPr>
        <w:t xml:space="preserve"> Company</w:t>
      </w:r>
      <w:r w:rsidRPr="009779CF">
        <w:rPr>
          <w:sz w:val="24"/>
          <w:szCs w:val="24"/>
        </w:rPr>
        <w:t xml:space="preserve"> seeking dismissal of the complaint filed by </w:t>
      </w:r>
      <w:r w:rsidR="00A02CCC">
        <w:rPr>
          <w:sz w:val="24"/>
          <w:szCs w:val="24"/>
        </w:rPr>
        <w:t>Byron Goldstein</w:t>
      </w:r>
      <w:r w:rsidRPr="009779CF">
        <w:rPr>
          <w:sz w:val="24"/>
          <w:szCs w:val="24"/>
        </w:rPr>
        <w:t xml:space="preserve"> at Docket No. </w:t>
      </w:r>
      <w:r w:rsidR="00A02CCC">
        <w:rPr>
          <w:sz w:val="24"/>
          <w:szCs w:val="24"/>
        </w:rPr>
        <w:t>C-2022-3030777</w:t>
      </w:r>
      <w:r w:rsidR="00C255D6">
        <w:rPr>
          <w:sz w:val="24"/>
          <w:szCs w:val="24"/>
        </w:rPr>
        <w:t xml:space="preserve"> </w:t>
      </w:r>
      <w:r w:rsidR="00A800AC">
        <w:rPr>
          <w:sz w:val="24"/>
          <w:szCs w:val="24"/>
        </w:rPr>
        <w:t xml:space="preserve">are </w:t>
      </w:r>
      <w:r w:rsidR="00FD7406">
        <w:rPr>
          <w:sz w:val="24"/>
          <w:szCs w:val="24"/>
        </w:rPr>
        <w:t>denied</w:t>
      </w:r>
      <w:r w:rsidRPr="009779CF">
        <w:rPr>
          <w:sz w:val="24"/>
          <w:szCs w:val="24"/>
        </w:rPr>
        <w:t>.</w:t>
      </w:r>
    </w:p>
    <w:p w14:paraId="62E89B9F" w14:textId="77777777" w:rsidR="009779CF" w:rsidRPr="009779CF" w:rsidRDefault="009779CF" w:rsidP="00AC537E">
      <w:pPr>
        <w:spacing w:line="360" w:lineRule="auto"/>
        <w:rPr>
          <w:sz w:val="24"/>
          <w:szCs w:val="24"/>
        </w:rPr>
      </w:pPr>
    </w:p>
    <w:p w14:paraId="62E89BA0" w14:textId="4983FD2A" w:rsidR="009779CF" w:rsidRPr="009779CF" w:rsidRDefault="009779CF" w:rsidP="00AC537E">
      <w:pPr>
        <w:spacing w:line="360" w:lineRule="auto"/>
        <w:rPr>
          <w:sz w:val="24"/>
          <w:szCs w:val="24"/>
        </w:rPr>
      </w:pPr>
      <w:r w:rsidRPr="009779CF">
        <w:rPr>
          <w:sz w:val="24"/>
          <w:szCs w:val="24"/>
        </w:rPr>
        <w:tab/>
      </w:r>
      <w:r w:rsidRPr="009779CF">
        <w:rPr>
          <w:sz w:val="24"/>
          <w:szCs w:val="24"/>
        </w:rPr>
        <w:tab/>
        <w:t>2.</w:t>
      </w:r>
      <w:r w:rsidRPr="009779CF">
        <w:rPr>
          <w:sz w:val="24"/>
          <w:szCs w:val="24"/>
        </w:rPr>
        <w:tab/>
        <w:t xml:space="preserve">That </w:t>
      </w:r>
      <w:r w:rsidR="001A5CC5">
        <w:rPr>
          <w:sz w:val="24"/>
          <w:szCs w:val="24"/>
        </w:rPr>
        <w:t xml:space="preserve">the </w:t>
      </w:r>
      <w:r w:rsidR="00B7004D">
        <w:rPr>
          <w:sz w:val="24"/>
          <w:szCs w:val="24"/>
        </w:rPr>
        <w:t xml:space="preserve">formal </w:t>
      </w:r>
      <w:r w:rsidR="001A5CC5">
        <w:rPr>
          <w:sz w:val="24"/>
          <w:szCs w:val="24"/>
        </w:rPr>
        <w:t xml:space="preserve">complaint of </w:t>
      </w:r>
      <w:r w:rsidR="00A02CCC">
        <w:rPr>
          <w:sz w:val="24"/>
          <w:szCs w:val="24"/>
        </w:rPr>
        <w:t>Byron Goldstein</w:t>
      </w:r>
      <w:r w:rsidR="001A5CC5">
        <w:rPr>
          <w:sz w:val="24"/>
          <w:szCs w:val="24"/>
        </w:rPr>
        <w:t xml:space="preserve"> versus PECO Energy Company at Docket No. </w:t>
      </w:r>
      <w:r w:rsidR="00A02CCC">
        <w:rPr>
          <w:sz w:val="24"/>
          <w:szCs w:val="24"/>
        </w:rPr>
        <w:t>C-2022-3030777</w:t>
      </w:r>
      <w:r w:rsidR="001A5CC5">
        <w:rPr>
          <w:sz w:val="24"/>
          <w:szCs w:val="24"/>
        </w:rPr>
        <w:t xml:space="preserve"> </w:t>
      </w:r>
      <w:r w:rsidR="00B7004D">
        <w:rPr>
          <w:sz w:val="24"/>
          <w:szCs w:val="24"/>
        </w:rPr>
        <w:t>will proceed to an initial hearing</w:t>
      </w:r>
      <w:r w:rsidR="001A5CC5">
        <w:rPr>
          <w:sz w:val="24"/>
          <w:szCs w:val="24"/>
        </w:rPr>
        <w:t>.</w:t>
      </w:r>
    </w:p>
    <w:p w14:paraId="62E89BA1" w14:textId="77777777" w:rsidR="009779CF" w:rsidRDefault="009779CF" w:rsidP="00AC537E">
      <w:pPr>
        <w:spacing w:line="360" w:lineRule="auto"/>
        <w:rPr>
          <w:sz w:val="24"/>
          <w:szCs w:val="24"/>
        </w:rPr>
      </w:pPr>
    </w:p>
    <w:p w14:paraId="62E89BA2" w14:textId="77777777" w:rsidR="002B70F3" w:rsidRPr="009779CF" w:rsidRDefault="002B70F3" w:rsidP="00AC537E">
      <w:pPr>
        <w:spacing w:line="360" w:lineRule="auto"/>
        <w:rPr>
          <w:sz w:val="24"/>
          <w:szCs w:val="24"/>
        </w:rPr>
      </w:pPr>
    </w:p>
    <w:p w14:paraId="62E89BA3" w14:textId="30CC8031" w:rsidR="00652084" w:rsidRPr="00F83021" w:rsidRDefault="00DA0B63" w:rsidP="00652084">
      <w:pPr>
        <w:rPr>
          <w:sz w:val="24"/>
          <w:szCs w:val="24"/>
        </w:rPr>
      </w:pPr>
      <w:r w:rsidRPr="009779CF">
        <w:rPr>
          <w:sz w:val="24"/>
          <w:szCs w:val="24"/>
        </w:rPr>
        <w:t xml:space="preserve">Date:  </w:t>
      </w:r>
      <w:r w:rsidR="005970A8">
        <w:rPr>
          <w:sz w:val="24"/>
          <w:szCs w:val="24"/>
          <w:u w:val="single"/>
        </w:rPr>
        <w:t xml:space="preserve">April </w:t>
      </w:r>
      <w:r w:rsidR="00FD7406">
        <w:rPr>
          <w:sz w:val="24"/>
          <w:szCs w:val="24"/>
          <w:u w:val="single"/>
        </w:rPr>
        <w:t>6</w:t>
      </w:r>
      <w:r w:rsidR="00A02CCC">
        <w:rPr>
          <w:sz w:val="24"/>
          <w:szCs w:val="24"/>
          <w:u w:val="single"/>
        </w:rPr>
        <w:t>, 2022</w:t>
      </w:r>
      <w:r w:rsidRPr="009779CF">
        <w:rPr>
          <w:sz w:val="24"/>
          <w:szCs w:val="24"/>
        </w:rPr>
        <w:tab/>
      </w:r>
      <w:r w:rsidRPr="009779CF">
        <w:rPr>
          <w:sz w:val="24"/>
          <w:szCs w:val="24"/>
        </w:rPr>
        <w:tab/>
      </w:r>
      <w:r w:rsidRPr="009779CF">
        <w:rPr>
          <w:sz w:val="24"/>
          <w:szCs w:val="24"/>
        </w:rPr>
        <w:tab/>
      </w:r>
      <w:r w:rsidRPr="009779CF">
        <w:rPr>
          <w:sz w:val="24"/>
          <w:szCs w:val="24"/>
        </w:rPr>
        <w:tab/>
      </w:r>
      <w:r w:rsidR="00652084">
        <w:rPr>
          <w:sz w:val="24"/>
          <w:szCs w:val="24"/>
        </w:rPr>
        <w:tab/>
      </w:r>
      <w:r w:rsidR="00C07F24">
        <w:rPr>
          <w:sz w:val="24"/>
          <w:szCs w:val="24"/>
        </w:rPr>
        <w:tab/>
      </w:r>
      <w:r w:rsidR="00652084" w:rsidRPr="00F83021">
        <w:rPr>
          <w:sz w:val="24"/>
          <w:szCs w:val="24"/>
          <w:u w:val="single"/>
        </w:rPr>
        <w:tab/>
      </w:r>
      <w:r w:rsidR="00652084" w:rsidRPr="00F83021">
        <w:rPr>
          <w:sz w:val="24"/>
          <w:szCs w:val="24"/>
          <w:u w:val="single"/>
        </w:rPr>
        <w:tab/>
        <w:t>/s/</w:t>
      </w:r>
      <w:r w:rsidR="00652084" w:rsidRPr="00F83021">
        <w:rPr>
          <w:sz w:val="24"/>
          <w:szCs w:val="24"/>
          <w:u w:val="single"/>
        </w:rPr>
        <w:tab/>
      </w:r>
      <w:r w:rsidR="00652084" w:rsidRPr="00F83021">
        <w:rPr>
          <w:sz w:val="24"/>
          <w:szCs w:val="24"/>
          <w:u w:val="single"/>
        </w:rPr>
        <w:tab/>
      </w:r>
      <w:r w:rsidR="00652084" w:rsidRPr="00F83021">
        <w:rPr>
          <w:sz w:val="24"/>
          <w:szCs w:val="24"/>
          <w:u w:val="single"/>
        </w:rPr>
        <w:tab/>
      </w:r>
    </w:p>
    <w:p w14:paraId="62E89BA4" w14:textId="77777777" w:rsidR="00DA0B63" w:rsidRPr="009779CF" w:rsidRDefault="00DA0B63" w:rsidP="0056566B">
      <w:pPr>
        <w:rPr>
          <w:sz w:val="24"/>
          <w:szCs w:val="24"/>
        </w:rPr>
      </w:pPr>
      <w:r w:rsidRPr="009779CF">
        <w:rPr>
          <w:sz w:val="24"/>
          <w:szCs w:val="24"/>
        </w:rPr>
        <w:tab/>
      </w:r>
      <w:r w:rsidRPr="009779CF">
        <w:rPr>
          <w:sz w:val="24"/>
          <w:szCs w:val="24"/>
        </w:rPr>
        <w:tab/>
      </w:r>
      <w:r w:rsidRPr="009779CF">
        <w:rPr>
          <w:sz w:val="24"/>
          <w:szCs w:val="24"/>
        </w:rPr>
        <w:tab/>
      </w:r>
      <w:r w:rsidRPr="009779CF">
        <w:rPr>
          <w:sz w:val="24"/>
          <w:szCs w:val="24"/>
        </w:rPr>
        <w:tab/>
      </w:r>
      <w:r w:rsidRPr="009779CF">
        <w:rPr>
          <w:sz w:val="24"/>
          <w:szCs w:val="24"/>
        </w:rPr>
        <w:tab/>
      </w:r>
      <w:r w:rsidRPr="009779CF">
        <w:rPr>
          <w:sz w:val="24"/>
          <w:szCs w:val="24"/>
        </w:rPr>
        <w:tab/>
      </w:r>
      <w:r w:rsidRPr="009779CF">
        <w:rPr>
          <w:sz w:val="24"/>
          <w:szCs w:val="24"/>
        </w:rPr>
        <w:tab/>
      </w:r>
      <w:r w:rsidR="00652084">
        <w:rPr>
          <w:sz w:val="24"/>
          <w:szCs w:val="24"/>
        </w:rPr>
        <w:tab/>
      </w:r>
      <w:r w:rsidR="00247485" w:rsidRPr="009779CF">
        <w:rPr>
          <w:sz w:val="24"/>
          <w:szCs w:val="24"/>
        </w:rPr>
        <w:t>Katrina L. Dunderdale</w:t>
      </w:r>
    </w:p>
    <w:p w14:paraId="54EBA3FA" w14:textId="77777777" w:rsidR="0069762A" w:rsidRDefault="00DA0B63" w:rsidP="00950495">
      <w:pPr>
        <w:rPr>
          <w:sz w:val="24"/>
          <w:szCs w:val="24"/>
        </w:rPr>
        <w:sectPr w:rsidR="0069762A" w:rsidSect="00916692">
          <w:footerReference w:type="even" r:id="rId8"/>
          <w:footerReference w:type="default" r:id="rId9"/>
          <w:pgSz w:w="12240" w:h="15840"/>
          <w:pgMar w:top="1440" w:right="1440" w:bottom="1440" w:left="1440" w:header="720" w:footer="720" w:gutter="0"/>
          <w:cols w:space="720"/>
          <w:titlePg/>
        </w:sectPr>
      </w:pPr>
      <w:r w:rsidRPr="009779CF">
        <w:rPr>
          <w:sz w:val="24"/>
          <w:szCs w:val="24"/>
        </w:rPr>
        <w:tab/>
      </w:r>
      <w:r w:rsidRPr="009779CF">
        <w:rPr>
          <w:sz w:val="24"/>
          <w:szCs w:val="24"/>
        </w:rPr>
        <w:tab/>
      </w:r>
      <w:r w:rsidRPr="009779CF">
        <w:rPr>
          <w:sz w:val="24"/>
          <w:szCs w:val="24"/>
        </w:rPr>
        <w:tab/>
      </w:r>
      <w:r w:rsidRPr="009779CF">
        <w:rPr>
          <w:sz w:val="24"/>
          <w:szCs w:val="24"/>
        </w:rPr>
        <w:tab/>
      </w:r>
      <w:r w:rsidRPr="009779CF">
        <w:rPr>
          <w:sz w:val="24"/>
          <w:szCs w:val="24"/>
        </w:rPr>
        <w:tab/>
      </w:r>
      <w:r w:rsidRPr="009779CF">
        <w:rPr>
          <w:sz w:val="24"/>
          <w:szCs w:val="24"/>
        </w:rPr>
        <w:tab/>
      </w:r>
      <w:r w:rsidRPr="009779CF">
        <w:rPr>
          <w:sz w:val="24"/>
          <w:szCs w:val="24"/>
        </w:rPr>
        <w:tab/>
      </w:r>
      <w:r w:rsidR="00652084">
        <w:rPr>
          <w:sz w:val="24"/>
          <w:szCs w:val="24"/>
        </w:rPr>
        <w:tab/>
      </w:r>
      <w:r w:rsidRPr="009779CF">
        <w:rPr>
          <w:sz w:val="24"/>
          <w:szCs w:val="24"/>
        </w:rPr>
        <w:t>Administrative Law Judge</w:t>
      </w:r>
    </w:p>
    <w:p w14:paraId="6D8ECFB0" w14:textId="77777777" w:rsidR="0069762A" w:rsidRPr="0069762A" w:rsidRDefault="0069762A" w:rsidP="0069762A">
      <w:pPr>
        <w:spacing w:after="160" w:line="259" w:lineRule="auto"/>
        <w:rPr>
          <w:rFonts w:ascii="Microsoft Sans Serif" w:eastAsia="Microsoft Sans Serif" w:hAnsi="Microsoft Sans Serif" w:cs="Microsoft Sans Serif"/>
          <w:sz w:val="24"/>
          <w:szCs w:val="22"/>
        </w:rPr>
      </w:pPr>
      <w:r w:rsidRPr="0069762A">
        <w:rPr>
          <w:rFonts w:ascii="Microsoft Sans Serif" w:eastAsia="Microsoft Sans Serif" w:hAnsi="Microsoft Sans Serif" w:cs="Microsoft Sans Serif"/>
          <w:b/>
          <w:sz w:val="24"/>
          <w:szCs w:val="22"/>
          <w:u w:val="single"/>
        </w:rPr>
        <w:lastRenderedPageBreak/>
        <w:t>C-2022-3030777 - BYRON GOLDSTEIN v. PECO ENERGY COMPANY-GAS</w:t>
      </w:r>
      <w:r w:rsidRPr="0069762A">
        <w:rPr>
          <w:rFonts w:ascii="Microsoft Sans Serif" w:eastAsia="Microsoft Sans Serif" w:hAnsi="Microsoft Sans Serif" w:cs="Microsoft Sans Serif"/>
          <w:b/>
          <w:sz w:val="24"/>
          <w:szCs w:val="22"/>
          <w:u w:val="single"/>
        </w:rPr>
        <w:cr/>
      </w:r>
      <w:r w:rsidRPr="0069762A">
        <w:rPr>
          <w:rFonts w:ascii="Microsoft Sans Serif" w:eastAsia="Microsoft Sans Serif" w:hAnsi="Microsoft Sans Serif" w:cs="Microsoft Sans Serif"/>
          <w:b/>
          <w:sz w:val="24"/>
          <w:szCs w:val="22"/>
          <w:u w:val="single"/>
        </w:rPr>
        <w:cr/>
      </w:r>
      <w:r w:rsidRPr="0069762A">
        <w:rPr>
          <w:rFonts w:ascii="Microsoft Sans Serif" w:eastAsia="Microsoft Sans Serif" w:hAnsi="Microsoft Sans Serif" w:cs="Microsoft Sans Serif"/>
          <w:sz w:val="24"/>
          <w:szCs w:val="22"/>
        </w:rPr>
        <w:t>BYRON GOLDSTEIN</w:t>
      </w:r>
      <w:r w:rsidRPr="0069762A">
        <w:rPr>
          <w:rFonts w:ascii="Microsoft Sans Serif" w:eastAsia="Microsoft Sans Serif" w:hAnsi="Microsoft Sans Serif" w:cs="Microsoft Sans Serif"/>
          <w:sz w:val="24"/>
          <w:szCs w:val="22"/>
        </w:rPr>
        <w:cr/>
        <w:t>2365 GENEVA AVENUE</w:t>
      </w:r>
      <w:r w:rsidRPr="0069762A">
        <w:rPr>
          <w:rFonts w:ascii="Microsoft Sans Serif" w:eastAsia="Microsoft Sans Serif" w:hAnsi="Microsoft Sans Serif" w:cs="Microsoft Sans Serif"/>
          <w:sz w:val="24"/>
          <w:szCs w:val="22"/>
        </w:rPr>
        <w:cr/>
        <w:t>GLENSIDE PA  19038</w:t>
      </w:r>
      <w:r w:rsidRPr="0069762A">
        <w:rPr>
          <w:rFonts w:ascii="Microsoft Sans Serif" w:eastAsia="Microsoft Sans Serif" w:hAnsi="Microsoft Sans Serif" w:cs="Microsoft Sans Serif"/>
          <w:sz w:val="24"/>
          <w:szCs w:val="22"/>
        </w:rPr>
        <w:cr/>
      </w:r>
      <w:r w:rsidRPr="0069762A">
        <w:rPr>
          <w:rFonts w:ascii="Microsoft Sans Serif" w:eastAsia="Microsoft Sans Serif" w:hAnsi="Microsoft Sans Serif" w:cs="Microsoft Sans Serif"/>
          <w:b/>
          <w:bCs/>
          <w:sz w:val="24"/>
          <w:szCs w:val="22"/>
        </w:rPr>
        <w:t>215.884.5475</w:t>
      </w:r>
      <w:r w:rsidRPr="0069762A">
        <w:rPr>
          <w:rFonts w:ascii="Microsoft Sans Serif" w:eastAsia="Microsoft Sans Serif" w:hAnsi="Microsoft Sans Serif" w:cs="Microsoft Sans Serif"/>
          <w:b/>
          <w:bCs/>
          <w:sz w:val="24"/>
          <w:szCs w:val="22"/>
        </w:rPr>
        <w:cr/>
      </w:r>
      <w:r w:rsidRPr="0069762A">
        <w:rPr>
          <w:rFonts w:ascii="Microsoft Sans Serif" w:eastAsia="Microsoft Sans Serif" w:hAnsi="Microsoft Sans Serif" w:cs="Microsoft Sans Serif"/>
          <w:sz w:val="24"/>
          <w:szCs w:val="22"/>
        </w:rPr>
        <w:t xml:space="preserve">BGOLDMARKETING@RCN.COM </w:t>
      </w:r>
    </w:p>
    <w:p w14:paraId="1AC28907" w14:textId="77777777" w:rsidR="0069762A" w:rsidRPr="0069762A" w:rsidRDefault="0069762A" w:rsidP="0069762A">
      <w:pPr>
        <w:spacing w:after="160" w:line="259" w:lineRule="auto"/>
        <w:rPr>
          <w:rFonts w:ascii="Calibri" w:hAnsi="Calibri"/>
          <w:sz w:val="22"/>
          <w:szCs w:val="22"/>
        </w:rPr>
      </w:pPr>
      <w:r w:rsidRPr="0069762A">
        <w:rPr>
          <w:rFonts w:ascii="Microsoft Sans Serif" w:eastAsia="Microsoft Sans Serif" w:hAnsi="Microsoft Sans Serif" w:cs="Microsoft Sans Serif"/>
          <w:sz w:val="24"/>
          <w:szCs w:val="22"/>
        </w:rPr>
        <w:t>KHADIJAH SCOTT ASSOCIATE GENERAL COUNSEL</w:t>
      </w:r>
      <w:r w:rsidRPr="0069762A">
        <w:rPr>
          <w:rFonts w:ascii="Microsoft Sans Serif" w:eastAsia="Microsoft Sans Serif" w:hAnsi="Microsoft Sans Serif" w:cs="Microsoft Sans Serif"/>
          <w:sz w:val="24"/>
          <w:szCs w:val="22"/>
        </w:rPr>
        <w:cr/>
        <w:t>PECO ENERGY COMPANY</w:t>
      </w:r>
      <w:r w:rsidRPr="0069762A">
        <w:rPr>
          <w:rFonts w:ascii="Microsoft Sans Serif" w:eastAsia="Microsoft Sans Serif" w:hAnsi="Microsoft Sans Serif" w:cs="Microsoft Sans Serif"/>
          <w:sz w:val="24"/>
          <w:szCs w:val="22"/>
        </w:rPr>
        <w:cr/>
        <w:t>2301 MARKET STREET</w:t>
      </w:r>
      <w:r w:rsidRPr="0069762A">
        <w:rPr>
          <w:rFonts w:ascii="Microsoft Sans Serif" w:eastAsia="Microsoft Sans Serif" w:hAnsi="Microsoft Sans Serif" w:cs="Microsoft Sans Serif"/>
          <w:sz w:val="24"/>
          <w:szCs w:val="22"/>
        </w:rPr>
        <w:cr/>
        <w:t>23RD FLOOR</w:t>
      </w:r>
      <w:r w:rsidRPr="0069762A">
        <w:rPr>
          <w:rFonts w:ascii="Microsoft Sans Serif" w:eastAsia="Microsoft Sans Serif" w:hAnsi="Microsoft Sans Serif" w:cs="Microsoft Sans Serif"/>
          <w:sz w:val="24"/>
          <w:szCs w:val="22"/>
        </w:rPr>
        <w:cr/>
        <w:t>PHILADELPHIA PA  19103</w:t>
      </w:r>
      <w:r w:rsidRPr="0069762A">
        <w:rPr>
          <w:rFonts w:ascii="Microsoft Sans Serif" w:eastAsia="Microsoft Sans Serif" w:hAnsi="Microsoft Sans Serif" w:cs="Microsoft Sans Serif"/>
          <w:sz w:val="24"/>
          <w:szCs w:val="22"/>
        </w:rPr>
        <w:cr/>
      </w:r>
      <w:r w:rsidRPr="0069762A">
        <w:rPr>
          <w:rFonts w:ascii="Microsoft Sans Serif" w:eastAsia="Microsoft Sans Serif" w:hAnsi="Microsoft Sans Serif" w:cs="Microsoft Sans Serif"/>
          <w:b/>
          <w:bCs/>
          <w:sz w:val="24"/>
          <w:szCs w:val="22"/>
        </w:rPr>
        <w:t>215.841.6841</w:t>
      </w:r>
      <w:r w:rsidRPr="0069762A">
        <w:rPr>
          <w:rFonts w:ascii="Microsoft Sans Serif" w:eastAsia="Microsoft Sans Serif" w:hAnsi="Microsoft Sans Serif" w:cs="Microsoft Sans Serif"/>
          <w:sz w:val="24"/>
          <w:szCs w:val="22"/>
        </w:rPr>
        <w:br/>
        <w:t>Accepts EService</w:t>
      </w:r>
      <w:r w:rsidRPr="0069762A">
        <w:rPr>
          <w:rFonts w:ascii="Microsoft Sans Serif" w:eastAsia="Microsoft Sans Serif" w:hAnsi="Microsoft Sans Serif" w:cs="Microsoft Sans Serif"/>
          <w:sz w:val="24"/>
          <w:szCs w:val="22"/>
        </w:rPr>
        <w:cr/>
      </w:r>
      <w:r w:rsidRPr="0069762A">
        <w:rPr>
          <w:rFonts w:ascii="Microsoft Sans Serif" w:eastAsia="Microsoft Sans Serif" w:hAnsi="Microsoft Sans Serif" w:cs="Microsoft Sans Serif"/>
          <w:sz w:val="24"/>
          <w:szCs w:val="22"/>
        </w:rPr>
        <w:cr/>
      </w:r>
    </w:p>
    <w:p w14:paraId="62E89BA6" w14:textId="74ED1B92" w:rsidR="00247485" w:rsidRPr="00DA0B63" w:rsidRDefault="00247485" w:rsidP="00950495">
      <w:pPr>
        <w:rPr>
          <w:sz w:val="24"/>
          <w:szCs w:val="24"/>
        </w:rPr>
      </w:pPr>
    </w:p>
    <w:sectPr w:rsidR="00247485" w:rsidRPr="00DA0B6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53517" w14:textId="77777777" w:rsidR="00A359E8" w:rsidRDefault="00A359E8">
      <w:r>
        <w:separator/>
      </w:r>
    </w:p>
  </w:endnote>
  <w:endnote w:type="continuationSeparator" w:id="0">
    <w:p w14:paraId="5D5D9151" w14:textId="77777777" w:rsidR="00A359E8" w:rsidRDefault="00A3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9BAB" w14:textId="77777777" w:rsidR="00C9761D" w:rsidRDefault="008604F5">
    <w:pPr>
      <w:pStyle w:val="Footer"/>
      <w:framePr w:wrap="around" w:vAnchor="text" w:hAnchor="margin" w:xAlign="center" w:y="1"/>
      <w:rPr>
        <w:rStyle w:val="PageNumber"/>
      </w:rPr>
    </w:pPr>
    <w:r>
      <w:rPr>
        <w:rStyle w:val="PageNumber"/>
      </w:rPr>
      <w:fldChar w:fldCharType="begin"/>
    </w:r>
    <w:r w:rsidR="00C9761D">
      <w:rPr>
        <w:rStyle w:val="PageNumber"/>
      </w:rPr>
      <w:instrText xml:space="preserve">PAGE  </w:instrText>
    </w:r>
    <w:r>
      <w:rPr>
        <w:rStyle w:val="PageNumber"/>
      </w:rPr>
      <w:fldChar w:fldCharType="separate"/>
    </w:r>
    <w:r w:rsidR="00703B09">
      <w:rPr>
        <w:rStyle w:val="PageNumber"/>
        <w:noProof/>
      </w:rPr>
      <w:t>1</w:t>
    </w:r>
    <w:r>
      <w:rPr>
        <w:rStyle w:val="PageNumber"/>
      </w:rPr>
      <w:fldChar w:fldCharType="end"/>
    </w:r>
  </w:p>
  <w:p w14:paraId="62E89BAC" w14:textId="77777777" w:rsidR="00C9761D" w:rsidRDefault="00C97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9BAD" w14:textId="77777777" w:rsidR="00C9761D" w:rsidRDefault="008604F5">
    <w:pPr>
      <w:pStyle w:val="Footer"/>
      <w:framePr w:wrap="around" w:vAnchor="text" w:hAnchor="margin" w:xAlign="center" w:y="1"/>
      <w:rPr>
        <w:rStyle w:val="PageNumber"/>
      </w:rPr>
    </w:pPr>
    <w:r>
      <w:rPr>
        <w:rStyle w:val="PageNumber"/>
      </w:rPr>
      <w:fldChar w:fldCharType="begin"/>
    </w:r>
    <w:r w:rsidR="00C9761D">
      <w:rPr>
        <w:rStyle w:val="PageNumber"/>
      </w:rPr>
      <w:instrText xml:space="preserve">PAGE  </w:instrText>
    </w:r>
    <w:r>
      <w:rPr>
        <w:rStyle w:val="PageNumber"/>
      </w:rPr>
      <w:fldChar w:fldCharType="separate"/>
    </w:r>
    <w:r w:rsidR="00F02D34">
      <w:rPr>
        <w:rStyle w:val="PageNumber"/>
        <w:noProof/>
      </w:rPr>
      <w:t>5</w:t>
    </w:r>
    <w:r>
      <w:rPr>
        <w:rStyle w:val="PageNumber"/>
      </w:rPr>
      <w:fldChar w:fldCharType="end"/>
    </w:r>
  </w:p>
  <w:p w14:paraId="62E89BAE" w14:textId="77777777" w:rsidR="00C9761D" w:rsidRDefault="00C976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9799" w14:textId="375C0247" w:rsidR="0069762A" w:rsidRDefault="0069762A">
    <w:pPr>
      <w:pStyle w:val="Footer"/>
      <w:framePr w:wrap="around" w:vAnchor="text" w:hAnchor="margin" w:xAlign="center" w:y="1"/>
      <w:rPr>
        <w:rStyle w:val="PageNumber"/>
      </w:rPr>
    </w:pPr>
  </w:p>
  <w:p w14:paraId="154C9E27" w14:textId="77777777" w:rsidR="0069762A" w:rsidRDefault="00697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E2E8F" w14:textId="77777777" w:rsidR="00A359E8" w:rsidRDefault="00A359E8">
      <w:r>
        <w:separator/>
      </w:r>
    </w:p>
  </w:footnote>
  <w:footnote w:type="continuationSeparator" w:id="0">
    <w:p w14:paraId="65E8FC1A" w14:textId="77777777" w:rsidR="00A359E8" w:rsidRDefault="00A359E8">
      <w:r>
        <w:continuationSeparator/>
      </w:r>
    </w:p>
  </w:footnote>
  <w:footnote w:id="1">
    <w:p w14:paraId="62E89BB0" w14:textId="09A5D8C3" w:rsidR="009779CF" w:rsidRDefault="009779CF" w:rsidP="00AC537E">
      <w:pPr>
        <w:pStyle w:val="FootnoteText"/>
        <w:ind w:firstLine="720"/>
      </w:pPr>
      <w:r>
        <w:rPr>
          <w:rStyle w:val="FootnoteReference"/>
        </w:rPr>
        <w:footnoteRef/>
      </w:r>
      <w:r>
        <w:t xml:space="preserve"> </w:t>
      </w:r>
      <w:r>
        <w:tab/>
      </w:r>
      <w:r w:rsidRPr="00A02CCC">
        <w:rPr>
          <w:i/>
          <w:iCs/>
        </w:rPr>
        <w:t>Dept. of Auditor General, et al</w:t>
      </w:r>
      <w:r w:rsidR="00FB36C9" w:rsidRPr="00A02CCC">
        <w:rPr>
          <w:i/>
          <w:iCs/>
        </w:rPr>
        <w:t>.</w:t>
      </w:r>
      <w:r w:rsidRPr="00A02CCC">
        <w:rPr>
          <w:i/>
          <w:iCs/>
        </w:rPr>
        <w:t xml:space="preserve"> v. SERS, et al.</w:t>
      </w:r>
      <w:r w:rsidRPr="00AB2BD8">
        <w:t>,</w:t>
      </w:r>
      <w:r w:rsidR="001A5CC5">
        <w:t xml:space="preserve"> 836 A.2d 1053 (Pa.</w:t>
      </w:r>
      <w:r>
        <w:t xml:space="preserve">Cmwlth. 2003); </w:t>
      </w:r>
      <w:r w:rsidRPr="00A02CCC">
        <w:rPr>
          <w:i/>
          <w:iCs/>
        </w:rPr>
        <w:t xml:space="preserve">P.J.S. v. Pa. State Ethics </w:t>
      </w:r>
      <w:r w:rsidR="002B70F3" w:rsidRPr="00A02CCC">
        <w:rPr>
          <w:i/>
          <w:iCs/>
        </w:rPr>
        <w:t>Comm.</w:t>
      </w:r>
      <w:r w:rsidR="001A5CC5">
        <w:t>, 669 A.2d 1105 (Pa.</w:t>
      </w:r>
      <w:r>
        <w:t>Cmwlth. 1996).</w:t>
      </w:r>
    </w:p>
    <w:p w14:paraId="2583BC86" w14:textId="77777777" w:rsidR="00AC537E" w:rsidRDefault="00AC537E" w:rsidP="00AC537E">
      <w:pPr>
        <w:pStyle w:val="FootnoteText"/>
        <w:ind w:firstLine="720"/>
      </w:pPr>
    </w:p>
  </w:footnote>
  <w:footnote w:id="2">
    <w:p w14:paraId="62E89BB1" w14:textId="0F3F478F" w:rsidR="009779CF" w:rsidRDefault="009779CF" w:rsidP="00AC537E">
      <w:pPr>
        <w:pStyle w:val="FootnoteText"/>
        <w:ind w:firstLine="720"/>
      </w:pPr>
      <w:r>
        <w:rPr>
          <w:rStyle w:val="FootnoteReference"/>
        </w:rPr>
        <w:footnoteRef/>
      </w:r>
      <w:r>
        <w:t xml:space="preserve"> </w:t>
      </w:r>
      <w:r>
        <w:tab/>
      </w:r>
      <w:r w:rsidRPr="00A02CCC">
        <w:rPr>
          <w:i/>
          <w:iCs/>
        </w:rPr>
        <w:t>Boyd v. Ward</w:t>
      </w:r>
      <w:r>
        <w:t xml:space="preserve">, 802 A.2d 705 (Pa.Cmwlth. 2002).  </w:t>
      </w:r>
    </w:p>
    <w:p w14:paraId="62E89BB2" w14:textId="77777777" w:rsidR="009779CF" w:rsidRDefault="009779CF" w:rsidP="00AC537E">
      <w:pPr>
        <w:pStyle w:val="FootnoteText"/>
        <w:ind w:firstLine="720"/>
      </w:pPr>
    </w:p>
  </w:footnote>
  <w:footnote w:id="3">
    <w:p w14:paraId="62E89BB3" w14:textId="09A8E888" w:rsidR="009779CF" w:rsidRDefault="009779CF" w:rsidP="00AC537E">
      <w:pPr>
        <w:pStyle w:val="FootnoteText"/>
        <w:ind w:firstLine="720"/>
      </w:pPr>
      <w:r>
        <w:rPr>
          <w:rStyle w:val="FootnoteReference"/>
        </w:rPr>
        <w:footnoteRef/>
      </w:r>
      <w:r>
        <w:t xml:space="preserve"> </w:t>
      </w:r>
      <w:r>
        <w:tab/>
      </w:r>
      <w:r w:rsidRPr="00A02CCC">
        <w:rPr>
          <w:i/>
          <w:iCs/>
        </w:rPr>
        <w:t>Ridge v. State Employees’ Retirement Bd</w:t>
      </w:r>
      <w:r w:rsidR="00A02CCC">
        <w:rPr>
          <w:i/>
          <w:iCs/>
        </w:rPr>
        <w:t>.</w:t>
      </w:r>
      <w:r w:rsidR="001A5CC5">
        <w:t>, 690 A.2d 1312 (Pa.</w:t>
      </w:r>
      <w:r>
        <w:t xml:space="preserve">Cmwlth. 1997). </w:t>
      </w:r>
    </w:p>
    <w:p w14:paraId="62E89BB4" w14:textId="42082524" w:rsidR="009779CF" w:rsidRDefault="009779CF" w:rsidP="00AC537E">
      <w:pPr>
        <w:pStyle w:val="FootnoteText"/>
        <w:ind w:firstLine="720"/>
      </w:pPr>
    </w:p>
  </w:footnote>
  <w:footnote w:id="4">
    <w:p w14:paraId="62E89BB5" w14:textId="087AB041" w:rsidR="00CB6C31" w:rsidRDefault="00CB6C31" w:rsidP="00AC537E">
      <w:pPr>
        <w:pStyle w:val="FootnoteText"/>
        <w:ind w:firstLine="720"/>
      </w:pPr>
      <w:r w:rsidRPr="00674189">
        <w:rPr>
          <w:rStyle w:val="FootnoteReference"/>
        </w:rPr>
        <w:footnoteRef/>
      </w:r>
      <w:r w:rsidRPr="00674189">
        <w:t xml:space="preserve"> </w:t>
      </w:r>
      <w:r w:rsidRPr="00674189">
        <w:tab/>
        <w:t>66 Pa.C.S.A. § 316.</w:t>
      </w:r>
    </w:p>
    <w:p w14:paraId="65C86C2D" w14:textId="77777777" w:rsidR="008821FC" w:rsidRPr="00674189" w:rsidRDefault="008821FC" w:rsidP="00AC537E">
      <w:pPr>
        <w:pStyle w:val="FootnoteText"/>
        <w:ind w:firstLine="720"/>
      </w:pPr>
    </w:p>
  </w:footnote>
  <w:footnote w:id="5">
    <w:p w14:paraId="62E89BB7" w14:textId="542297C2" w:rsidR="00674189" w:rsidRPr="00674189" w:rsidRDefault="00674189" w:rsidP="00AC537E">
      <w:pPr>
        <w:pStyle w:val="FootnoteText"/>
        <w:ind w:firstLine="720"/>
      </w:pPr>
      <w:r w:rsidRPr="00674189">
        <w:rPr>
          <w:rStyle w:val="FootnoteReference"/>
        </w:rPr>
        <w:footnoteRef/>
      </w:r>
      <w:r w:rsidRPr="00674189">
        <w:t xml:space="preserve"> </w:t>
      </w:r>
      <w:r w:rsidRPr="00674189">
        <w:tab/>
      </w:r>
      <w:r w:rsidRPr="00674189">
        <w:rPr>
          <w:snapToGrid w:val="0"/>
        </w:rPr>
        <w:t xml:space="preserve">The four requirements </w:t>
      </w:r>
      <w:r>
        <w:rPr>
          <w:snapToGrid w:val="0"/>
        </w:rPr>
        <w:t>to find</w:t>
      </w:r>
      <w:r w:rsidRPr="00674189">
        <w:rPr>
          <w:snapToGrid w:val="0"/>
        </w:rPr>
        <w:t xml:space="preserve"> collateral estoppel </w:t>
      </w:r>
      <w:r>
        <w:rPr>
          <w:snapToGrid w:val="0"/>
        </w:rPr>
        <w:t>is present</w:t>
      </w:r>
      <w:r w:rsidRPr="00674189">
        <w:rPr>
          <w:snapToGrid w:val="0"/>
        </w:rPr>
        <w:t xml:space="preserve"> are: </w:t>
      </w:r>
      <w:r w:rsidR="00016598">
        <w:rPr>
          <w:snapToGrid w:val="0"/>
        </w:rPr>
        <w:t xml:space="preserve"> </w:t>
      </w:r>
      <w:r w:rsidRPr="00674189">
        <w:rPr>
          <w:snapToGrid w:val="0"/>
        </w:rPr>
        <w:t>(1) the issue decided in the prior adjudication is identical with the one presented in the later action; (2) there was a final judgment on the merits; (3)</w:t>
      </w:r>
      <w:r w:rsidR="00016598">
        <w:rPr>
          <w:snapToGrid w:val="0"/>
        </w:rPr>
        <w:t> </w:t>
      </w:r>
      <w:r w:rsidRPr="00674189">
        <w:rPr>
          <w:snapToGrid w:val="0"/>
        </w:rPr>
        <w:t xml:space="preserve">the party against whom the plea is asserted was a party or in privity with the party to the prior adjudication; and (4) the party against whom the plea is asserted has had a full and fair opportunity to litigate the issues in question in the prior action.  </w:t>
      </w:r>
      <w:r w:rsidRPr="004D3FDC">
        <w:rPr>
          <w:i/>
          <w:iCs/>
        </w:rPr>
        <w:t>Day v. Volkswaqenwerk Aktiengesellschaft</w:t>
      </w:r>
      <w:r w:rsidRPr="00674189">
        <w:t xml:space="preserve">, </w:t>
      </w:r>
      <w:r>
        <w:t xml:space="preserve">464 A.2d 1313 </w:t>
      </w:r>
      <w:r w:rsidRPr="00674189">
        <w:t>(</w:t>
      </w:r>
      <w:r w:rsidR="00A02CCC">
        <w:t xml:space="preserve">Pa. Super. </w:t>
      </w:r>
      <w:r w:rsidRPr="00674189">
        <w:t xml:space="preserve">1983); </w:t>
      </w:r>
      <w:r w:rsidRPr="00A02CCC">
        <w:rPr>
          <w:i/>
          <w:iCs/>
        </w:rPr>
        <w:t>O’Toole</w:t>
      </w:r>
      <w:r w:rsidR="00016598" w:rsidRPr="00A02CCC">
        <w:rPr>
          <w:i/>
          <w:iCs/>
        </w:rPr>
        <w:t> </w:t>
      </w:r>
      <w:r w:rsidRPr="00A02CCC">
        <w:rPr>
          <w:i/>
          <w:iCs/>
        </w:rPr>
        <w:t>v. Bell Telephone Co. of Pa.</w:t>
      </w:r>
      <w:r w:rsidRPr="00674189">
        <w:t>, 77 Pa. P.U.C. 98 (1992).</w:t>
      </w:r>
      <w:r w:rsidRPr="00674189">
        <w:rPr>
          <w:snapToGrid w:val="0"/>
        </w:rPr>
        <w:t xml:space="preserve">  </w:t>
      </w:r>
    </w:p>
  </w:footnote>
  <w:footnote w:id="6">
    <w:p w14:paraId="62E89BB8" w14:textId="77777777" w:rsidR="00674189" w:rsidRPr="00674189" w:rsidRDefault="00674189" w:rsidP="00AC537E">
      <w:pPr>
        <w:pStyle w:val="FootnoteText"/>
        <w:ind w:firstLine="720"/>
      </w:pPr>
    </w:p>
    <w:p w14:paraId="62E89BB9" w14:textId="77777777" w:rsidR="00674189" w:rsidRPr="00674189" w:rsidRDefault="00674189" w:rsidP="00AC537E">
      <w:pPr>
        <w:pStyle w:val="FootnoteText"/>
        <w:ind w:firstLine="720"/>
      </w:pPr>
      <w:r w:rsidRPr="00674189">
        <w:rPr>
          <w:rStyle w:val="FootnoteReference"/>
        </w:rPr>
        <w:footnoteRef/>
      </w:r>
      <w:r w:rsidRPr="00674189">
        <w:t xml:space="preserve"> </w:t>
      </w:r>
      <w:r w:rsidRPr="00674189">
        <w:tab/>
      </w:r>
      <w:r w:rsidRPr="00A02CCC">
        <w:rPr>
          <w:i/>
          <w:iCs/>
          <w:snapToGrid w:val="0"/>
        </w:rPr>
        <w:t>Baker v. Pa. Human Relations Comm.</w:t>
      </w:r>
      <w:r w:rsidRPr="00674189">
        <w:rPr>
          <w:snapToGrid w:val="0"/>
        </w:rPr>
        <w:t>, 462 A.2d 881 (Pa.</w:t>
      </w:r>
      <w:r>
        <w:rPr>
          <w:snapToGrid w:val="0"/>
        </w:rPr>
        <w:t>Cmw</w:t>
      </w:r>
      <w:r w:rsidR="00FC67E0">
        <w:rPr>
          <w:snapToGrid w:val="0"/>
        </w:rPr>
        <w:t>lth</w:t>
      </w:r>
      <w:r w:rsidRPr="00674189">
        <w:rPr>
          <w:snapToGrid w:val="0"/>
        </w:rPr>
        <w:t>. 1983).</w:t>
      </w:r>
    </w:p>
  </w:footnote>
  <w:footnote w:id="7">
    <w:p w14:paraId="6D53946C" w14:textId="5AFD13A8" w:rsidR="00C86A1A" w:rsidRPr="00C86A1A" w:rsidRDefault="00C86A1A">
      <w:pPr>
        <w:pStyle w:val="FootnoteText"/>
      </w:pPr>
      <w:r w:rsidRPr="00C86A1A">
        <w:tab/>
      </w:r>
      <w:r w:rsidRPr="00C86A1A">
        <w:rPr>
          <w:rStyle w:val="FootnoteReference"/>
        </w:rPr>
        <w:footnoteRef/>
      </w:r>
      <w:r w:rsidRPr="00C86A1A">
        <w:t xml:space="preserve"> </w:t>
      </w:r>
      <w:r w:rsidRPr="00C86A1A">
        <w:tab/>
      </w:r>
      <w:r w:rsidRPr="00C86A1A">
        <w:rPr>
          <w:i/>
          <w:iCs/>
        </w:rPr>
        <w:t>Duquesne Light Co., et al. v. Pa. Pub. Util. Comm’n</w:t>
      </w:r>
      <w:r w:rsidRPr="00C86A1A">
        <w:t xml:space="preserve">, 715 A. 2d 540 (Pa. Cmwlth. 1998); </w:t>
      </w:r>
      <w:r w:rsidRPr="00C86A1A">
        <w:rPr>
          <w:i/>
          <w:iCs/>
        </w:rPr>
        <w:t>Popowsky v. Pa. Pub. Util. Comm’n</w:t>
      </w:r>
      <w:r w:rsidRPr="00C86A1A">
        <w:t xml:space="preserve">, 669 A. 2d 1029 (Pa. Cmwlth. 1995).  </w:t>
      </w:r>
    </w:p>
    <w:p w14:paraId="2A1A5A5B" w14:textId="77777777" w:rsidR="00C86A1A" w:rsidRDefault="00C86A1A">
      <w:pPr>
        <w:pStyle w:val="FootnoteText"/>
      </w:pPr>
    </w:p>
  </w:footnote>
  <w:footnote w:id="8">
    <w:p w14:paraId="24F74127" w14:textId="021C8DEC" w:rsidR="00C86A1A" w:rsidRDefault="00C86A1A">
      <w:pPr>
        <w:pStyle w:val="FootnoteText"/>
        <w:rPr>
          <w:sz w:val="24"/>
          <w:szCs w:val="24"/>
        </w:rPr>
      </w:pPr>
      <w:r>
        <w:tab/>
      </w:r>
      <w:r>
        <w:rPr>
          <w:rStyle w:val="FootnoteReference"/>
        </w:rPr>
        <w:footnoteRef/>
      </w:r>
      <w:r>
        <w:t xml:space="preserve"> </w:t>
      </w:r>
      <w:r>
        <w:tab/>
      </w:r>
      <w:r w:rsidRPr="007727FB">
        <w:rPr>
          <w:i/>
          <w:iCs/>
        </w:rPr>
        <w:t>Zucker v. Pa. Pub. Util. Comm’n</w:t>
      </w:r>
      <w:r w:rsidRPr="007727FB">
        <w:t xml:space="preserve">, 401 A. 2d at 1380 (Pa. Cmwlth. 1979); </w:t>
      </w:r>
      <w:r w:rsidRPr="007727FB">
        <w:rPr>
          <w:i/>
          <w:iCs/>
        </w:rPr>
        <w:t>Schellhammer v. Pa. Pub. Util. Comm’n</w:t>
      </w:r>
      <w:r w:rsidRPr="007727FB">
        <w:t>, 629 A. 2d 189 (Pa. Cmwlth. 1993).</w:t>
      </w:r>
      <w:r>
        <w:rPr>
          <w:sz w:val="24"/>
          <w:szCs w:val="24"/>
        </w:rPr>
        <w:t xml:space="preserve">  </w:t>
      </w:r>
    </w:p>
    <w:p w14:paraId="15290715" w14:textId="77777777" w:rsidR="00C86A1A" w:rsidRDefault="00C86A1A">
      <w:pPr>
        <w:pStyle w:val="FootnoteText"/>
      </w:pPr>
    </w:p>
  </w:footnote>
  <w:footnote w:id="9">
    <w:p w14:paraId="60D6D4E9" w14:textId="248B05FF" w:rsidR="00756983" w:rsidRDefault="00C86A1A" w:rsidP="00756983">
      <w:pPr>
        <w:pStyle w:val="FootnoteText"/>
      </w:pPr>
      <w:r>
        <w:rPr>
          <w:i/>
        </w:rPr>
        <w:tab/>
      </w:r>
      <w:r w:rsidR="00756983">
        <w:rPr>
          <w:rStyle w:val="FootnoteReference"/>
        </w:rPr>
        <w:footnoteRef/>
      </w:r>
      <w:r>
        <w:rPr>
          <w:i/>
        </w:rPr>
        <w:tab/>
      </w:r>
      <w:r w:rsidR="00756983">
        <w:rPr>
          <w:i/>
        </w:rPr>
        <w:t>Id.</w:t>
      </w:r>
      <w:r w:rsidR="00756983">
        <w:t xml:space="preserve">  “Whenever the commission shall make any rule, regulation, finding, determination or order, the same shall be prima facie evidence of the facts found and shall remain conclusive upon all parties affected thereby…” 66 Pa.C.S.</w:t>
      </w:r>
      <w:r w:rsidR="00613128">
        <w:t>A.</w:t>
      </w:r>
      <w:r w:rsidR="00756983">
        <w:t xml:space="preserve"> §</w:t>
      </w:r>
      <w:r w:rsidR="00613128">
        <w:t xml:space="preserve"> </w:t>
      </w:r>
      <w:r w:rsidR="00756983">
        <w:t xml:space="preserve">316.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D73D0"/>
    <w:multiLevelType w:val="hybridMultilevel"/>
    <w:tmpl w:val="2140FCB0"/>
    <w:lvl w:ilvl="0" w:tplc="88BACD64">
      <w:start w:val="52"/>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067EC0"/>
    <w:multiLevelType w:val="hybridMultilevel"/>
    <w:tmpl w:val="B47CA454"/>
    <w:lvl w:ilvl="0" w:tplc="BA3C0BD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BFC644D"/>
    <w:multiLevelType w:val="hybridMultilevel"/>
    <w:tmpl w:val="B7B2DA2A"/>
    <w:lvl w:ilvl="0" w:tplc="0BEA91F4">
      <w:start w:val="52"/>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2B82C7A"/>
    <w:multiLevelType w:val="hybridMultilevel"/>
    <w:tmpl w:val="D30299A8"/>
    <w:lvl w:ilvl="0" w:tplc="3BBE592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7C27B1D"/>
    <w:multiLevelType w:val="hybridMultilevel"/>
    <w:tmpl w:val="105A9B88"/>
    <w:lvl w:ilvl="0" w:tplc="892006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B0A63E8"/>
    <w:multiLevelType w:val="hybridMultilevel"/>
    <w:tmpl w:val="3B66192C"/>
    <w:lvl w:ilvl="0" w:tplc="E2904CA2">
      <w:start w:val="5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eventsink" w:val="97087480"/>
  </w:docVars>
  <w:rsids>
    <w:rsidRoot w:val="00183666"/>
    <w:rsid w:val="00002573"/>
    <w:rsid w:val="000141F1"/>
    <w:rsid w:val="000157A6"/>
    <w:rsid w:val="00016598"/>
    <w:rsid w:val="00017557"/>
    <w:rsid w:val="00020DD7"/>
    <w:rsid w:val="000362C2"/>
    <w:rsid w:val="00047F8E"/>
    <w:rsid w:val="0005231E"/>
    <w:rsid w:val="00052537"/>
    <w:rsid w:val="000569D2"/>
    <w:rsid w:val="00082E74"/>
    <w:rsid w:val="000875CB"/>
    <w:rsid w:val="000A32D5"/>
    <w:rsid w:val="000D7B64"/>
    <w:rsid w:val="000F74D8"/>
    <w:rsid w:val="00104280"/>
    <w:rsid w:val="00106F62"/>
    <w:rsid w:val="001251FF"/>
    <w:rsid w:val="00144CC9"/>
    <w:rsid w:val="001510B7"/>
    <w:rsid w:val="0018019F"/>
    <w:rsid w:val="00182ED6"/>
    <w:rsid w:val="001832DB"/>
    <w:rsid w:val="00183666"/>
    <w:rsid w:val="0019563C"/>
    <w:rsid w:val="001A1AE7"/>
    <w:rsid w:val="001A5CC5"/>
    <w:rsid w:val="001A619F"/>
    <w:rsid w:val="001B6816"/>
    <w:rsid w:val="001D2AF9"/>
    <w:rsid w:val="001D7CFB"/>
    <w:rsid w:val="001E4188"/>
    <w:rsid w:val="001F0078"/>
    <w:rsid w:val="002173B7"/>
    <w:rsid w:val="00247485"/>
    <w:rsid w:val="0026007D"/>
    <w:rsid w:val="0026091C"/>
    <w:rsid w:val="00271E4B"/>
    <w:rsid w:val="002826AE"/>
    <w:rsid w:val="0029316B"/>
    <w:rsid w:val="00295C56"/>
    <w:rsid w:val="002A08F6"/>
    <w:rsid w:val="002B70F3"/>
    <w:rsid w:val="002D12C0"/>
    <w:rsid w:val="002D407F"/>
    <w:rsid w:val="002D6515"/>
    <w:rsid w:val="002F73E4"/>
    <w:rsid w:val="00300B6A"/>
    <w:rsid w:val="003252A9"/>
    <w:rsid w:val="00360636"/>
    <w:rsid w:val="003641F4"/>
    <w:rsid w:val="003A5A49"/>
    <w:rsid w:val="003C02F3"/>
    <w:rsid w:val="003C2699"/>
    <w:rsid w:val="003F4CDE"/>
    <w:rsid w:val="00415E79"/>
    <w:rsid w:val="00444E02"/>
    <w:rsid w:val="00446740"/>
    <w:rsid w:val="0046592C"/>
    <w:rsid w:val="00472748"/>
    <w:rsid w:val="004A587C"/>
    <w:rsid w:val="004B74B0"/>
    <w:rsid w:val="004C5D57"/>
    <w:rsid w:val="004D3FDC"/>
    <w:rsid w:val="004E5B99"/>
    <w:rsid w:val="004F23D5"/>
    <w:rsid w:val="0051707A"/>
    <w:rsid w:val="00522D80"/>
    <w:rsid w:val="00527613"/>
    <w:rsid w:val="005304D0"/>
    <w:rsid w:val="0054050B"/>
    <w:rsid w:val="0056566B"/>
    <w:rsid w:val="00566E2D"/>
    <w:rsid w:val="00570E75"/>
    <w:rsid w:val="00573D1D"/>
    <w:rsid w:val="00586348"/>
    <w:rsid w:val="00591665"/>
    <w:rsid w:val="005970A8"/>
    <w:rsid w:val="00597CC4"/>
    <w:rsid w:val="005B65CD"/>
    <w:rsid w:val="005C4F06"/>
    <w:rsid w:val="005C5AB6"/>
    <w:rsid w:val="005D1DC4"/>
    <w:rsid w:val="005D7B09"/>
    <w:rsid w:val="005E635E"/>
    <w:rsid w:val="005E6B7C"/>
    <w:rsid w:val="005F7DD8"/>
    <w:rsid w:val="00604AA8"/>
    <w:rsid w:val="00610CEB"/>
    <w:rsid w:val="00613128"/>
    <w:rsid w:val="00617356"/>
    <w:rsid w:val="00624952"/>
    <w:rsid w:val="006367A1"/>
    <w:rsid w:val="00652084"/>
    <w:rsid w:val="00661E86"/>
    <w:rsid w:val="00662874"/>
    <w:rsid w:val="00674189"/>
    <w:rsid w:val="00690D59"/>
    <w:rsid w:val="00693686"/>
    <w:rsid w:val="0069762A"/>
    <w:rsid w:val="006D25AC"/>
    <w:rsid w:val="00703B09"/>
    <w:rsid w:val="00716CD3"/>
    <w:rsid w:val="00734C6D"/>
    <w:rsid w:val="00743AF6"/>
    <w:rsid w:val="007472B3"/>
    <w:rsid w:val="00751CAF"/>
    <w:rsid w:val="00756983"/>
    <w:rsid w:val="00773C0E"/>
    <w:rsid w:val="00792661"/>
    <w:rsid w:val="007A5E66"/>
    <w:rsid w:val="007E7099"/>
    <w:rsid w:val="007F6AE7"/>
    <w:rsid w:val="008134E1"/>
    <w:rsid w:val="00821244"/>
    <w:rsid w:val="00832930"/>
    <w:rsid w:val="008409BD"/>
    <w:rsid w:val="0084601B"/>
    <w:rsid w:val="00851677"/>
    <w:rsid w:val="008604F5"/>
    <w:rsid w:val="0086445D"/>
    <w:rsid w:val="008821FC"/>
    <w:rsid w:val="0088524E"/>
    <w:rsid w:val="008856AE"/>
    <w:rsid w:val="00885A86"/>
    <w:rsid w:val="00896271"/>
    <w:rsid w:val="008A1063"/>
    <w:rsid w:val="008A7EFC"/>
    <w:rsid w:val="008B0F97"/>
    <w:rsid w:val="008E1D76"/>
    <w:rsid w:val="008E1EB6"/>
    <w:rsid w:val="00906496"/>
    <w:rsid w:val="00907D67"/>
    <w:rsid w:val="00910564"/>
    <w:rsid w:val="00916692"/>
    <w:rsid w:val="009329D6"/>
    <w:rsid w:val="00950495"/>
    <w:rsid w:val="0095401D"/>
    <w:rsid w:val="009739B2"/>
    <w:rsid w:val="00976C06"/>
    <w:rsid w:val="009779CF"/>
    <w:rsid w:val="009842D2"/>
    <w:rsid w:val="009A1B93"/>
    <w:rsid w:val="009B2EF1"/>
    <w:rsid w:val="009C5ED3"/>
    <w:rsid w:val="009E33C2"/>
    <w:rsid w:val="009E6C83"/>
    <w:rsid w:val="009F00F3"/>
    <w:rsid w:val="009F1C7B"/>
    <w:rsid w:val="009F24C1"/>
    <w:rsid w:val="00A01E62"/>
    <w:rsid w:val="00A02CCC"/>
    <w:rsid w:val="00A06C46"/>
    <w:rsid w:val="00A1220B"/>
    <w:rsid w:val="00A14C46"/>
    <w:rsid w:val="00A209C1"/>
    <w:rsid w:val="00A24160"/>
    <w:rsid w:val="00A359E8"/>
    <w:rsid w:val="00A52C0E"/>
    <w:rsid w:val="00A6158A"/>
    <w:rsid w:val="00A800AC"/>
    <w:rsid w:val="00A91769"/>
    <w:rsid w:val="00AA29CC"/>
    <w:rsid w:val="00AC537E"/>
    <w:rsid w:val="00AC6463"/>
    <w:rsid w:val="00AD10F1"/>
    <w:rsid w:val="00AD1C1C"/>
    <w:rsid w:val="00AD1EA6"/>
    <w:rsid w:val="00AE64B7"/>
    <w:rsid w:val="00AF04F4"/>
    <w:rsid w:val="00B047C5"/>
    <w:rsid w:val="00B06A4A"/>
    <w:rsid w:val="00B359CE"/>
    <w:rsid w:val="00B47D17"/>
    <w:rsid w:val="00B50E1A"/>
    <w:rsid w:val="00B51E61"/>
    <w:rsid w:val="00B53D83"/>
    <w:rsid w:val="00B5507B"/>
    <w:rsid w:val="00B7004D"/>
    <w:rsid w:val="00B7518D"/>
    <w:rsid w:val="00B83B79"/>
    <w:rsid w:val="00BB0E5F"/>
    <w:rsid w:val="00BB1251"/>
    <w:rsid w:val="00BB2224"/>
    <w:rsid w:val="00BF7BE6"/>
    <w:rsid w:val="00C04897"/>
    <w:rsid w:val="00C07F24"/>
    <w:rsid w:val="00C101A4"/>
    <w:rsid w:val="00C1137C"/>
    <w:rsid w:val="00C255D6"/>
    <w:rsid w:val="00C46568"/>
    <w:rsid w:val="00C47E79"/>
    <w:rsid w:val="00C55F24"/>
    <w:rsid w:val="00C86A1A"/>
    <w:rsid w:val="00C941AF"/>
    <w:rsid w:val="00C95A98"/>
    <w:rsid w:val="00C9761D"/>
    <w:rsid w:val="00CA24F1"/>
    <w:rsid w:val="00CB0D95"/>
    <w:rsid w:val="00CB1CC0"/>
    <w:rsid w:val="00CB3991"/>
    <w:rsid w:val="00CB6C31"/>
    <w:rsid w:val="00CD11DC"/>
    <w:rsid w:val="00CD2D6B"/>
    <w:rsid w:val="00CE53E6"/>
    <w:rsid w:val="00CE6F44"/>
    <w:rsid w:val="00D02DB7"/>
    <w:rsid w:val="00D43AFF"/>
    <w:rsid w:val="00D5261C"/>
    <w:rsid w:val="00D53BBC"/>
    <w:rsid w:val="00D64284"/>
    <w:rsid w:val="00D8497F"/>
    <w:rsid w:val="00D90ABA"/>
    <w:rsid w:val="00DA0B63"/>
    <w:rsid w:val="00DC23F3"/>
    <w:rsid w:val="00DC35FF"/>
    <w:rsid w:val="00DC447E"/>
    <w:rsid w:val="00DE4CDE"/>
    <w:rsid w:val="00DF1623"/>
    <w:rsid w:val="00E0339A"/>
    <w:rsid w:val="00E13F61"/>
    <w:rsid w:val="00E24E2F"/>
    <w:rsid w:val="00E266CC"/>
    <w:rsid w:val="00E279F4"/>
    <w:rsid w:val="00E27ACF"/>
    <w:rsid w:val="00E30147"/>
    <w:rsid w:val="00E36020"/>
    <w:rsid w:val="00E428C5"/>
    <w:rsid w:val="00E5577B"/>
    <w:rsid w:val="00E55E22"/>
    <w:rsid w:val="00E867D7"/>
    <w:rsid w:val="00E908F4"/>
    <w:rsid w:val="00EA2E2F"/>
    <w:rsid w:val="00EB74D8"/>
    <w:rsid w:val="00EC45BA"/>
    <w:rsid w:val="00EC783D"/>
    <w:rsid w:val="00ED1A5F"/>
    <w:rsid w:val="00EF1D42"/>
    <w:rsid w:val="00EF3BAE"/>
    <w:rsid w:val="00EF4518"/>
    <w:rsid w:val="00F02D34"/>
    <w:rsid w:val="00F20BE2"/>
    <w:rsid w:val="00F316B8"/>
    <w:rsid w:val="00F377D5"/>
    <w:rsid w:val="00F4783D"/>
    <w:rsid w:val="00F47CFA"/>
    <w:rsid w:val="00F52147"/>
    <w:rsid w:val="00F57A4D"/>
    <w:rsid w:val="00F74FD6"/>
    <w:rsid w:val="00F77974"/>
    <w:rsid w:val="00F83021"/>
    <w:rsid w:val="00F90A70"/>
    <w:rsid w:val="00FA4047"/>
    <w:rsid w:val="00FB36C9"/>
    <w:rsid w:val="00FC67E0"/>
    <w:rsid w:val="00FD0182"/>
    <w:rsid w:val="00FD60EE"/>
    <w:rsid w:val="00FD66D1"/>
    <w:rsid w:val="00FD7406"/>
    <w:rsid w:val="00FF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2E89B4E"/>
  <w15:docId w15:val="{9E53EF5C-EF29-4573-B5E8-8DE5B81A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6692"/>
  </w:style>
  <w:style w:type="paragraph" w:styleId="Heading1">
    <w:name w:val="heading 1"/>
    <w:basedOn w:val="Normal"/>
    <w:next w:val="Normal"/>
    <w:qFormat/>
    <w:rsid w:val="00916692"/>
    <w:pPr>
      <w:keepNext/>
      <w:jc w:val="center"/>
      <w:outlineLvl w:val="0"/>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16692"/>
    <w:pPr>
      <w:jc w:val="center"/>
    </w:pPr>
    <w:rPr>
      <w:b/>
      <w:sz w:val="26"/>
    </w:rPr>
  </w:style>
  <w:style w:type="paragraph" w:styleId="Subtitle">
    <w:name w:val="Subtitle"/>
    <w:basedOn w:val="Normal"/>
    <w:qFormat/>
    <w:rsid w:val="00916692"/>
    <w:pPr>
      <w:jc w:val="center"/>
    </w:pPr>
    <w:rPr>
      <w:b/>
      <w:sz w:val="26"/>
    </w:rPr>
  </w:style>
  <w:style w:type="paragraph" w:styleId="Footer">
    <w:name w:val="footer"/>
    <w:basedOn w:val="Normal"/>
    <w:rsid w:val="00916692"/>
    <w:pPr>
      <w:tabs>
        <w:tab w:val="center" w:pos="4320"/>
        <w:tab w:val="right" w:pos="8640"/>
      </w:tabs>
    </w:pPr>
  </w:style>
  <w:style w:type="character" w:styleId="PageNumber">
    <w:name w:val="page number"/>
    <w:basedOn w:val="DefaultParagraphFont"/>
    <w:rsid w:val="00916692"/>
  </w:style>
  <w:style w:type="paragraph" w:styleId="Header">
    <w:name w:val="header"/>
    <w:basedOn w:val="Normal"/>
    <w:rsid w:val="00916692"/>
    <w:pPr>
      <w:tabs>
        <w:tab w:val="center" w:pos="4320"/>
        <w:tab w:val="right" w:pos="8640"/>
      </w:tabs>
    </w:pPr>
  </w:style>
  <w:style w:type="paragraph" w:styleId="FootnoteText">
    <w:name w:val="footnote text"/>
    <w:basedOn w:val="Normal"/>
    <w:link w:val="FootnoteTextChar"/>
    <w:qFormat/>
    <w:rsid w:val="0026091C"/>
  </w:style>
  <w:style w:type="character" w:styleId="FootnoteReference">
    <w:name w:val="footnote reference"/>
    <w:basedOn w:val="DefaultParagraphFont"/>
    <w:rsid w:val="0026091C"/>
    <w:rPr>
      <w:vertAlign w:val="superscript"/>
    </w:rPr>
  </w:style>
  <w:style w:type="character" w:customStyle="1" w:styleId="FootnoteTextChar">
    <w:name w:val="Footnote Text Char"/>
    <w:basedOn w:val="DefaultParagraphFont"/>
    <w:link w:val="FootnoteText"/>
    <w:rsid w:val="009779CF"/>
  </w:style>
  <w:style w:type="paragraph" w:styleId="Quote">
    <w:name w:val="Quote"/>
    <w:basedOn w:val="Normal"/>
    <w:next w:val="Normal"/>
    <w:link w:val="QuoteChar"/>
    <w:uiPriority w:val="29"/>
    <w:qFormat/>
    <w:rsid w:val="009779CF"/>
    <w:pPr>
      <w:spacing w:after="120"/>
    </w:pPr>
    <w:rPr>
      <w:iCs/>
      <w:color w:val="000000"/>
      <w:sz w:val="24"/>
    </w:rPr>
  </w:style>
  <w:style w:type="character" w:customStyle="1" w:styleId="QuoteChar">
    <w:name w:val="Quote Char"/>
    <w:basedOn w:val="DefaultParagraphFont"/>
    <w:link w:val="Quote"/>
    <w:uiPriority w:val="29"/>
    <w:rsid w:val="009779CF"/>
    <w:rPr>
      <w:iCs/>
      <w:color w:val="000000"/>
      <w:sz w:val="24"/>
    </w:rPr>
  </w:style>
  <w:style w:type="paragraph" w:styleId="ListParagraph">
    <w:name w:val="List Paragraph"/>
    <w:basedOn w:val="Normal"/>
    <w:uiPriority w:val="34"/>
    <w:qFormat/>
    <w:rsid w:val="003F4CDE"/>
    <w:pPr>
      <w:ind w:left="720"/>
      <w:contextualSpacing/>
    </w:pPr>
  </w:style>
  <w:style w:type="paragraph" w:styleId="BalloonText">
    <w:name w:val="Balloon Text"/>
    <w:basedOn w:val="Normal"/>
    <w:link w:val="BalloonTextChar"/>
    <w:rsid w:val="00CD11DC"/>
    <w:rPr>
      <w:rFonts w:ascii="Tahoma" w:hAnsi="Tahoma" w:cs="Tahoma"/>
      <w:sz w:val="16"/>
      <w:szCs w:val="16"/>
    </w:rPr>
  </w:style>
  <w:style w:type="character" w:customStyle="1" w:styleId="BalloonTextChar">
    <w:name w:val="Balloon Text Char"/>
    <w:basedOn w:val="DefaultParagraphFont"/>
    <w:link w:val="BalloonText"/>
    <w:rsid w:val="00CD11DC"/>
    <w:rPr>
      <w:rFonts w:ascii="Tahoma" w:hAnsi="Tahoma" w:cs="Tahoma"/>
      <w:sz w:val="16"/>
      <w:szCs w:val="16"/>
    </w:rPr>
  </w:style>
  <w:style w:type="paragraph" w:styleId="BodyText">
    <w:name w:val="Body Text"/>
    <w:basedOn w:val="Normal"/>
    <w:link w:val="BodyTextChar"/>
    <w:rsid w:val="00756983"/>
    <w:pPr>
      <w:spacing w:line="360" w:lineRule="auto"/>
      <w:jc w:val="both"/>
    </w:pPr>
    <w:rPr>
      <w:sz w:val="26"/>
    </w:rPr>
  </w:style>
  <w:style w:type="character" w:customStyle="1" w:styleId="BodyTextChar">
    <w:name w:val="Body Text Char"/>
    <w:basedOn w:val="DefaultParagraphFont"/>
    <w:link w:val="BodyText"/>
    <w:rsid w:val="00756983"/>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corbett\My%20Documents\Templates\General%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C97CC-28D1-45CD-8D3A-CCD23952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Decision</Template>
  <TotalTime>2</TotalTime>
  <Pages>7</Pages>
  <Words>1468</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johcorbett</dc:creator>
  <cp:lastModifiedBy>Miskanic, Nicholas</cp:lastModifiedBy>
  <cp:revision>3</cp:revision>
  <cp:lastPrinted>2013-12-19T14:39:00Z</cp:lastPrinted>
  <dcterms:created xsi:type="dcterms:W3CDTF">2022-04-06T18:47:00Z</dcterms:created>
  <dcterms:modified xsi:type="dcterms:W3CDTF">2022-04-06T18:48:00Z</dcterms:modified>
</cp:coreProperties>
</file>