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332D" w14:textId="77777777" w:rsidR="00CF7390" w:rsidRPr="00CF7390" w:rsidRDefault="00CF7390" w:rsidP="00CF7390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szCs w:val="20"/>
        </w:rPr>
      </w:pPr>
      <w:r w:rsidRPr="00CF7390">
        <w:rPr>
          <w:rFonts w:eastAsia="SimSun" w:cs="Times New Roman"/>
          <w:b/>
          <w:szCs w:val="20"/>
        </w:rPr>
        <w:t>BEFORE THE</w:t>
      </w:r>
    </w:p>
    <w:p w14:paraId="34553225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szCs w:val="20"/>
        </w:rPr>
      </w:pPr>
      <w:r w:rsidRPr="00CF7390">
        <w:rPr>
          <w:rFonts w:eastAsia="SimSun" w:cs="Times New Roman"/>
          <w:b/>
          <w:szCs w:val="20"/>
        </w:rPr>
        <w:t>PENNSYLVANIA PUBLIC UTILITY COMMISSION</w:t>
      </w:r>
    </w:p>
    <w:p w14:paraId="43718564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75171FE5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132F9AD7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2453ED51" w14:textId="4CAF182E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Jayme Gillette</w:t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>:</w:t>
      </w:r>
    </w:p>
    <w:p w14:paraId="42C413A4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  <w:t>:</w:t>
      </w:r>
    </w:p>
    <w:p w14:paraId="773264E6" w14:textId="36684385" w:rsidR="00CF7390" w:rsidRPr="00CF7390" w:rsidRDefault="00CF7390" w:rsidP="00CF7390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  <w:t>v.</w:t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  <w:t>:</w:t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  <w:t>F-2022-3030797</w:t>
      </w:r>
    </w:p>
    <w:p w14:paraId="6355C217" w14:textId="77777777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  <w:t>:</w:t>
      </w:r>
    </w:p>
    <w:p w14:paraId="5C9796FF" w14:textId="466C8820" w:rsid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PPL Electric Utilities Corporation and Frontier</w:t>
      </w:r>
      <w:r>
        <w:rPr>
          <w:rFonts w:eastAsia="SimSun" w:cs="Times New Roman"/>
          <w:szCs w:val="20"/>
        </w:rPr>
        <w:tab/>
        <w:t>:</w:t>
      </w:r>
    </w:p>
    <w:p w14:paraId="6C03D3FB" w14:textId="6DF44FCA" w:rsidR="00CF7390" w:rsidRPr="00CF7390" w:rsidRDefault="00CF7390" w:rsidP="00CF7390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Utilities Northeast, LLC</w:t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 w:rsidRPr="00CF7390">
        <w:rPr>
          <w:rFonts w:eastAsia="SimSun" w:cs="Times New Roman"/>
          <w:szCs w:val="20"/>
        </w:rPr>
        <w:t>:</w:t>
      </w:r>
    </w:p>
    <w:p w14:paraId="1B2F0E61" w14:textId="51218435" w:rsidR="00792796" w:rsidRDefault="00792796" w:rsidP="00CF7390">
      <w:pPr>
        <w:spacing w:after="0" w:line="240" w:lineRule="auto"/>
      </w:pPr>
    </w:p>
    <w:p w14:paraId="0DD9D25A" w14:textId="751AD458" w:rsidR="00DA35AC" w:rsidRDefault="00DA35AC" w:rsidP="00CF7390">
      <w:pPr>
        <w:spacing w:after="0" w:line="240" w:lineRule="auto"/>
      </w:pPr>
    </w:p>
    <w:p w14:paraId="215139B8" w14:textId="77777777" w:rsidR="00CF7390" w:rsidRDefault="00CF7390" w:rsidP="00CF7390">
      <w:pPr>
        <w:spacing w:after="0" w:line="240" w:lineRule="auto"/>
      </w:pPr>
    </w:p>
    <w:p w14:paraId="37789C9E" w14:textId="5878C0B3" w:rsidR="00DA35AC" w:rsidRPr="005078A6" w:rsidRDefault="00DA35AC" w:rsidP="00CF7390">
      <w:pPr>
        <w:spacing w:after="0" w:line="240" w:lineRule="auto"/>
        <w:jc w:val="center"/>
        <w:rPr>
          <w:b/>
          <w:bCs/>
        </w:rPr>
      </w:pPr>
      <w:r w:rsidRPr="005078A6">
        <w:rPr>
          <w:b/>
          <w:bCs/>
        </w:rPr>
        <w:t>INTERIM ORDER</w:t>
      </w:r>
    </w:p>
    <w:p w14:paraId="1876DE0E" w14:textId="0D2E5568" w:rsidR="005078A6" w:rsidRPr="005078A6" w:rsidRDefault="005078A6" w:rsidP="00CF7390">
      <w:pPr>
        <w:spacing w:after="0" w:line="240" w:lineRule="auto"/>
        <w:jc w:val="center"/>
        <w:rPr>
          <w:b/>
          <w:bCs/>
        </w:rPr>
      </w:pPr>
      <w:r w:rsidRPr="005078A6">
        <w:rPr>
          <w:b/>
          <w:bCs/>
        </w:rPr>
        <w:t>DISMISSING PRELIMINARY OBJECTIONS</w:t>
      </w:r>
    </w:p>
    <w:p w14:paraId="2B856779" w14:textId="63002ACD" w:rsidR="005078A6" w:rsidRPr="005078A6" w:rsidRDefault="005078A6" w:rsidP="00CF7390">
      <w:pPr>
        <w:spacing w:after="0" w:line="240" w:lineRule="auto"/>
        <w:jc w:val="center"/>
        <w:rPr>
          <w:b/>
          <w:bCs/>
          <w:u w:val="single"/>
        </w:rPr>
      </w:pPr>
      <w:r w:rsidRPr="005078A6">
        <w:rPr>
          <w:b/>
          <w:bCs/>
          <w:u w:val="single"/>
        </w:rPr>
        <w:t>AND DIRECTING A MORE SPECIFIC COMPLAINT</w:t>
      </w:r>
    </w:p>
    <w:p w14:paraId="596F9444" w14:textId="2897EC97" w:rsidR="00DA35AC" w:rsidRDefault="00DA35AC" w:rsidP="00CF7390">
      <w:pPr>
        <w:spacing w:after="0"/>
      </w:pPr>
    </w:p>
    <w:p w14:paraId="033D0D2D" w14:textId="7D39DFAC" w:rsidR="00DA35AC" w:rsidRDefault="00DA35AC" w:rsidP="00CF7390">
      <w:pPr>
        <w:spacing w:after="0"/>
      </w:pPr>
      <w:r>
        <w:tab/>
      </w:r>
      <w:r w:rsidR="00791510">
        <w:tab/>
      </w:r>
      <w:r>
        <w:t xml:space="preserve">On December 8, 2021, Jayme Gillette (Complainant) filed a formal complaint against PPL Electric </w:t>
      </w:r>
      <w:r w:rsidR="004F5932">
        <w:t xml:space="preserve">Utilities Corporation (PPL) </w:t>
      </w:r>
      <w:r>
        <w:t>and Frontier</w:t>
      </w:r>
      <w:r w:rsidR="004F5932">
        <w:t xml:space="preserve"> Utilities Northeast LLC (Frontier Utilities)</w:t>
      </w:r>
      <w:r>
        <w:t xml:space="preserve">.  </w:t>
      </w:r>
      <w:r w:rsidR="00791510">
        <w:t>Complainant</w:t>
      </w:r>
      <w:r>
        <w:t xml:space="preserve"> Gillette alleged that he did not sign up with a “third party</w:t>
      </w:r>
      <w:r w:rsidR="008A3E05">
        <w:t>”</w:t>
      </w:r>
      <w:r>
        <w:t xml:space="preserve"> company and that his charges were “inflated.”  Specifically, he stated that he was charged </w:t>
      </w:r>
      <w:r w:rsidR="00A039D3">
        <w:t>overcharged</w:t>
      </w:r>
      <w:r>
        <w:t xml:space="preserve"> $300 and that he did not sign up with a supplier.  As relief, he requests a refund.</w:t>
      </w:r>
    </w:p>
    <w:p w14:paraId="3046B276" w14:textId="77777777" w:rsidR="00CF7390" w:rsidRDefault="00CF7390" w:rsidP="00CF7390">
      <w:pPr>
        <w:spacing w:after="0"/>
      </w:pPr>
    </w:p>
    <w:p w14:paraId="6C841771" w14:textId="23391EC7" w:rsidR="004F5932" w:rsidRDefault="004F5932" w:rsidP="00CF7390">
      <w:pPr>
        <w:spacing w:after="0"/>
      </w:pPr>
      <w:r>
        <w:tab/>
      </w:r>
      <w:r>
        <w:tab/>
        <w:t xml:space="preserve">The Commission’s Secretary’s Bureau served </w:t>
      </w:r>
      <w:r w:rsidR="00791510">
        <w:t>Complainant</w:t>
      </w:r>
      <w:r>
        <w:t xml:space="preserve"> Gillette’s complaint on PPL and Frontier Utilities on February 9, 2022.</w:t>
      </w:r>
    </w:p>
    <w:p w14:paraId="615E7DD3" w14:textId="77777777" w:rsidR="00CF7390" w:rsidRDefault="00CF7390" w:rsidP="00CF7390">
      <w:pPr>
        <w:spacing w:after="0"/>
      </w:pPr>
    </w:p>
    <w:p w14:paraId="78D23BE8" w14:textId="0829EC8E" w:rsidR="004F5932" w:rsidRDefault="004F5932" w:rsidP="00CF7390">
      <w:pPr>
        <w:spacing w:after="0"/>
      </w:pPr>
      <w:r>
        <w:tab/>
      </w:r>
      <w:r>
        <w:tab/>
        <w:t xml:space="preserve">Frontier Utilities filed an answer and new matter on February 28, 2022.  Frontier Utilities </w:t>
      </w:r>
      <w:r w:rsidR="00EE2850">
        <w:t>admitted</w:t>
      </w:r>
      <w:r>
        <w:t xml:space="preserve"> that </w:t>
      </w:r>
      <w:r w:rsidR="00791510">
        <w:t>Complainant</w:t>
      </w:r>
      <w:r>
        <w:t xml:space="preserve"> Gillette was a customer and</w:t>
      </w:r>
      <w:r w:rsidR="00EE2850">
        <w:t xml:space="preserve"> stated</w:t>
      </w:r>
      <w:r>
        <w:t xml:space="preserve"> that </w:t>
      </w:r>
      <w:r w:rsidR="00414C3E">
        <w:t>Complainant Gillette</w:t>
      </w:r>
      <w:r>
        <w:t xml:space="preserve"> requested to participate in PPL’s </w:t>
      </w:r>
      <w:r w:rsidR="004A1385">
        <w:t>“</w:t>
      </w:r>
      <w:r>
        <w:t>standard offer program.</w:t>
      </w:r>
      <w:r w:rsidR="004A1385">
        <w:t>”</w:t>
      </w:r>
      <w:r>
        <w:t xml:space="preserve">  Frontier Utilities denie</w:t>
      </w:r>
      <w:r w:rsidR="00EE2850">
        <w:t>d</w:t>
      </w:r>
      <w:r>
        <w:t xml:space="preserve"> that it improperly billed </w:t>
      </w:r>
      <w:r w:rsidR="00791510">
        <w:t>Complainant</w:t>
      </w:r>
      <w:r>
        <w:t xml:space="preserve"> Gillette</w:t>
      </w:r>
      <w:r w:rsidR="00C90299">
        <w:t xml:space="preserve">, and further </w:t>
      </w:r>
      <w:r w:rsidR="008A11D0">
        <w:t>averred</w:t>
      </w:r>
      <w:r w:rsidR="00C90299">
        <w:t xml:space="preserve"> that it charged </w:t>
      </w:r>
      <w:r w:rsidR="00791510">
        <w:t>Complainant</w:t>
      </w:r>
      <w:r w:rsidR="00C90299">
        <w:t xml:space="preserve"> Gillette prices that were consistent with the standard offer program and subsequent renewal notices.  In new matter, Frontier Utilities provide</w:t>
      </w:r>
      <w:r w:rsidR="005D1800">
        <w:t>d</w:t>
      </w:r>
      <w:r w:rsidR="00C90299">
        <w:t xml:space="preserve"> further details regarding </w:t>
      </w:r>
      <w:r w:rsidR="00791510">
        <w:t>Complainant</w:t>
      </w:r>
      <w:r w:rsidR="00C90299">
        <w:t xml:space="preserve"> Gillette’s enrollment for generation supply and </w:t>
      </w:r>
      <w:r w:rsidR="008A11D0">
        <w:t>averred</w:t>
      </w:r>
      <w:r w:rsidR="00C90299">
        <w:t xml:space="preserve"> that even if </w:t>
      </w:r>
      <w:r w:rsidR="00791510">
        <w:t>Complainant</w:t>
      </w:r>
      <w:r w:rsidR="00C90299">
        <w:t xml:space="preserve"> Gillette was not properly enrolled in the standard offer program, he is not entitled to a refund</w:t>
      </w:r>
      <w:r w:rsidR="002C2078">
        <w:t>.  According to Frontier Utilities, Complainant Gillette</w:t>
      </w:r>
      <w:r w:rsidR="00C90299">
        <w:t xml:space="preserve"> should have raised </w:t>
      </w:r>
      <w:r w:rsidR="002C2078">
        <w:t>any</w:t>
      </w:r>
      <w:r w:rsidR="00C90299">
        <w:t xml:space="preserve"> claim disputing enrollment</w:t>
      </w:r>
      <w:r w:rsidR="005F3962">
        <w:t xml:space="preserve"> for service with Frontier Utilities</w:t>
      </w:r>
      <w:r w:rsidR="00C90299">
        <w:t xml:space="preserve"> within two billing cycles of the switch.</w:t>
      </w:r>
    </w:p>
    <w:p w14:paraId="35E68B2E" w14:textId="010DF713" w:rsidR="00C90299" w:rsidRDefault="00C90299" w:rsidP="00CF7390">
      <w:pPr>
        <w:spacing w:after="0"/>
      </w:pPr>
      <w:r>
        <w:lastRenderedPageBreak/>
        <w:tab/>
      </w:r>
      <w:r>
        <w:tab/>
        <w:t>PPL filed an answer</w:t>
      </w:r>
      <w:r w:rsidR="00AB5070">
        <w:t xml:space="preserve"> and new matter</w:t>
      </w:r>
      <w:r>
        <w:t xml:space="preserve"> on March 1, 2022.</w:t>
      </w:r>
      <w:r w:rsidR="00AB5070">
        <w:t xml:space="preserve">  PPL </w:t>
      </w:r>
      <w:r w:rsidR="00514476">
        <w:t>admitted</w:t>
      </w:r>
      <w:r w:rsidR="00AB5070">
        <w:t xml:space="preserve"> that </w:t>
      </w:r>
      <w:r w:rsidR="00791510">
        <w:t>Complainant</w:t>
      </w:r>
      <w:r w:rsidR="00AB5070">
        <w:t xml:space="preserve"> Gillette is an electric distribution customer of PPL.  PPL denie</w:t>
      </w:r>
      <w:r w:rsidR="005F3962">
        <w:t>d</w:t>
      </w:r>
      <w:r w:rsidR="00AB5070">
        <w:t xml:space="preserve"> that it is responsible for the allegations raised by </w:t>
      </w:r>
      <w:r w:rsidR="00791510">
        <w:t>Complainant</w:t>
      </w:r>
      <w:r w:rsidR="00AB5070">
        <w:t xml:space="preserve"> Gillette</w:t>
      </w:r>
      <w:r w:rsidR="005F3962">
        <w:t>.  PPL state</w:t>
      </w:r>
      <w:r w:rsidR="00AC1643">
        <w:t>d</w:t>
      </w:r>
      <w:r w:rsidR="005F3962">
        <w:t xml:space="preserve"> that</w:t>
      </w:r>
      <w:r w:rsidR="00AB5070">
        <w:t xml:space="preserve"> </w:t>
      </w:r>
      <w:r w:rsidR="00791510">
        <w:t>Complainant</w:t>
      </w:r>
      <w:r w:rsidR="00AB5070">
        <w:t xml:space="preserve"> Gillette’s compliant relate</w:t>
      </w:r>
      <w:r w:rsidR="00AC1643">
        <w:t>d</w:t>
      </w:r>
      <w:r w:rsidR="00AB5070">
        <w:t xml:space="preserve"> solely to electric generation supply charges and does not state a claim against PPL.</w:t>
      </w:r>
    </w:p>
    <w:p w14:paraId="0FCC4B34" w14:textId="77777777" w:rsidR="00CF7390" w:rsidRDefault="00CF7390" w:rsidP="00CF7390">
      <w:pPr>
        <w:spacing w:after="0"/>
      </w:pPr>
    </w:p>
    <w:p w14:paraId="2BC75A57" w14:textId="0F8653A3" w:rsidR="00B842C2" w:rsidRDefault="00B842C2" w:rsidP="00CF7390">
      <w:pPr>
        <w:spacing w:after="0"/>
      </w:pPr>
      <w:r>
        <w:tab/>
      </w:r>
      <w:r>
        <w:tab/>
        <w:t>PPL also filed preliminary objections on March 1, 2022.  PPL argue</w:t>
      </w:r>
      <w:r w:rsidR="00970293">
        <w:t>d</w:t>
      </w:r>
      <w:r>
        <w:t xml:space="preserve"> that </w:t>
      </w:r>
      <w:r w:rsidR="00791510">
        <w:t>Complainant</w:t>
      </w:r>
      <w:r>
        <w:t xml:space="preserve"> Gillette’s complaint against PPL should be dismissed because </w:t>
      </w:r>
      <w:r w:rsidR="00B627BA">
        <w:t>Complainant Gillette</w:t>
      </w:r>
      <w:r>
        <w:t xml:space="preserve"> fail</w:t>
      </w:r>
      <w:r w:rsidR="00970293">
        <w:t>ed</w:t>
      </w:r>
      <w:r>
        <w:t xml:space="preserve"> to state a claim against PPL.  PPL further argue</w:t>
      </w:r>
      <w:r w:rsidR="00970293">
        <w:t>d</w:t>
      </w:r>
      <w:r>
        <w:t xml:space="preserve"> that </w:t>
      </w:r>
      <w:r w:rsidR="00791510">
        <w:t>Complainant</w:t>
      </w:r>
      <w:r>
        <w:t xml:space="preserve"> Gillette failed to name another supplier, Green Mountain Energy, which also provided electric generation supply to </w:t>
      </w:r>
      <w:r w:rsidR="00791510">
        <w:t>Complainant</w:t>
      </w:r>
      <w:r>
        <w:t xml:space="preserve"> Gillette.</w:t>
      </w:r>
    </w:p>
    <w:p w14:paraId="2C5158F6" w14:textId="77777777" w:rsidR="00CF7390" w:rsidRDefault="00CF7390" w:rsidP="00CF7390">
      <w:pPr>
        <w:spacing w:after="0"/>
      </w:pPr>
    </w:p>
    <w:p w14:paraId="6A6747FD" w14:textId="47CE9EFC" w:rsidR="00B842C2" w:rsidRDefault="00B842C2" w:rsidP="00CF7390">
      <w:pPr>
        <w:spacing w:after="0"/>
      </w:pPr>
      <w:r>
        <w:tab/>
      </w:r>
      <w:r>
        <w:tab/>
        <w:t xml:space="preserve">Neither </w:t>
      </w:r>
      <w:r w:rsidR="00791510">
        <w:t>Complainant</w:t>
      </w:r>
      <w:r>
        <w:t xml:space="preserve"> Gillette nor Frontier Utilities filed a response to PPL’s preliminary objections.  By notice dated April 1, 2022</w:t>
      </w:r>
      <w:r w:rsidR="00791510">
        <w:t xml:space="preserve">, the preliminary objection was assigned to me for a </w:t>
      </w:r>
      <w:r w:rsidR="0099275E">
        <w:t>decision</w:t>
      </w:r>
      <w:r w:rsidR="00791510">
        <w:t xml:space="preserve">.  </w:t>
      </w:r>
    </w:p>
    <w:p w14:paraId="5CB601EC" w14:textId="77777777" w:rsidR="00CF7390" w:rsidRDefault="00CF7390" w:rsidP="00CF7390">
      <w:pPr>
        <w:spacing w:after="0"/>
      </w:pPr>
    </w:p>
    <w:p w14:paraId="79182131" w14:textId="4D74B11F" w:rsidR="00FC649C" w:rsidRDefault="00FC649C" w:rsidP="00CF7390">
      <w:pPr>
        <w:spacing w:after="0"/>
        <w:rPr>
          <w:b/>
          <w:bCs/>
        </w:rPr>
      </w:pPr>
      <w:r w:rsidRPr="00252519">
        <w:rPr>
          <w:b/>
          <w:bCs/>
        </w:rPr>
        <w:t>Legal Standard for Consideration of Preliminary Objections</w:t>
      </w:r>
    </w:p>
    <w:p w14:paraId="10BBCBCE" w14:textId="77777777" w:rsidR="00CF7390" w:rsidRPr="00252519" w:rsidRDefault="00CF7390" w:rsidP="00CF7390">
      <w:pPr>
        <w:spacing w:after="0"/>
        <w:rPr>
          <w:b/>
          <w:bCs/>
        </w:rPr>
      </w:pPr>
    </w:p>
    <w:p w14:paraId="4C826CC0" w14:textId="44D4B448" w:rsidR="00844319" w:rsidRDefault="00FC649C" w:rsidP="00CF7390">
      <w:pPr>
        <w:spacing w:after="0"/>
      </w:pPr>
      <w:r>
        <w:tab/>
      </w:r>
      <w:r>
        <w:tab/>
      </w:r>
      <w:r w:rsidR="003757A2">
        <w:t xml:space="preserve">In a consumer complaint against a utility or an electric generation supplier, </w:t>
      </w:r>
      <w:r w:rsidR="00B421C9">
        <w:t xml:space="preserve">the utility or electric generation supplier may file </w:t>
      </w:r>
      <w:r w:rsidR="003757A2">
        <w:t>a</w:t>
      </w:r>
      <w:r w:rsidR="0064551F">
        <w:t xml:space="preserve"> preliminary objection</w:t>
      </w:r>
      <w:r w:rsidR="00D007DD">
        <w:t>.  A preliminary objection</w:t>
      </w:r>
      <w:r w:rsidR="0064551F">
        <w:t xml:space="preserve"> is a </w:t>
      </w:r>
      <w:r w:rsidR="00293A83">
        <w:t>challenge to a complaint</w:t>
      </w:r>
      <w:r w:rsidR="00C56C7C">
        <w:t xml:space="preserve"> or the claims made in a</w:t>
      </w:r>
      <w:r w:rsidR="00A21214">
        <w:t xml:space="preserve"> complaint for legal reasons</w:t>
      </w:r>
      <w:r w:rsidR="003D6700">
        <w:t>.  The regulations</w:t>
      </w:r>
      <w:r w:rsidR="00033EBB">
        <w:rPr>
          <w:rStyle w:val="FootnoteReference"/>
        </w:rPr>
        <w:footnoteReference w:id="1"/>
      </w:r>
      <w:r w:rsidR="003D6700">
        <w:t xml:space="preserve"> describe</w:t>
      </w:r>
      <w:r w:rsidR="003F619E">
        <w:t xml:space="preserve"> these legal reasons:  </w:t>
      </w:r>
      <w:r w:rsidR="00D007DD">
        <w:t xml:space="preserve"> </w:t>
      </w:r>
    </w:p>
    <w:p w14:paraId="4292E973" w14:textId="77777777" w:rsidR="00844319" w:rsidRDefault="00844319" w:rsidP="00CF7390">
      <w:pPr>
        <w:pStyle w:val="Quote"/>
        <w:spacing w:after="0" w:line="360" w:lineRule="auto"/>
      </w:pPr>
    </w:p>
    <w:p w14:paraId="1912C99B" w14:textId="77777777" w:rsidR="00844319" w:rsidRDefault="00844319" w:rsidP="00844319">
      <w:pPr>
        <w:pStyle w:val="Quote"/>
        <w:spacing w:after="0"/>
        <w:ind w:left="1440" w:right="1440"/>
      </w:pPr>
      <w:r>
        <w:t>(a)</w:t>
      </w:r>
      <w:r>
        <w:tab/>
        <w:t>Grounds.  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00CCF736" w14:textId="77777777" w:rsidR="00844319" w:rsidRDefault="00844319" w:rsidP="00844319">
      <w:pPr>
        <w:pStyle w:val="Quote"/>
        <w:spacing w:after="0"/>
        <w:ind w:left="1440" w:right="1440"/>
      </w:pPr>
    </w:p>
    <w:p w14:paraId="5234730F" w14:textId="77777777" w:rsidR="00844319" w:rsidRDefault="00844319" w:rsidP="00844319">
      <w:pPr>
        <w:pStyle w:val="Quote"/>
        <w:spacing w:after="0"/>
        <w:ind w:left="1440" w:right="1440"/>
      </w:pPr>
      <w:r>
        <w:tab/>
        <w:t>(1)</w:t>
      </w:r>
      <w:r>
        <w:tab/>
        <w:t>Lack of Commission jurisdiction or improper service of the pleading initiating the proceeding.</w:t>
      </w:r>
      <w:r>
        <w:br/>
      </w:r>
    </w:p>
    <w:p w14:paraId="412EF93E" w14:textId="77777777" w:rsidR="00844319" w:rsidRDefault="00844319" w:rsidP="00844319">
      <w:pPr>
        <w:pStyle w:val="Quote"/>
        <w:spacing w:after="0"/>
        <w:ind w:left="1440" w:right="1440"/>
      </w:pPr>
      <w:r>
        <w:lastRenderedPageBreak/>
        <w:tab/>
        <w:t>(2)</w:t>
      </w:r>
      <w:r>
        <w:tab/>
        <w:t>Failure of a pleading to conform to this chapter or the inclusion of scandalous or impertinent matter.</w:t>
      </w:r>
      <w:r>
        <w:br/>
      </w:r>
    </w:p>
    <w:p w14:paraId="421C88F4" w14:textId="77777777" w:rsidR="00844319" w:rsidRDefault="00844319" w:rsidP="00844319">
      <w:pPr>
        <w:pStyle w:val="Quote"/>
        <w:spacing w:after="0"/>
        <w:ind w:left="1440" w:right="1440"/>
      </w:pPr>
      <w:r>
        <w:tab/>
        <w:t>(3)</w:t>
      </w:r>
      <w:r>
        <w:tab/>
        <w:t>Insufficient specificity of a pleading.</w:t>
      </w:r>
      <w:r>
        <w:br/>
      </w:r>
    </w:p>
    <w:p w14:paraId="5BBED2C7" w14:textId="77777777" w:rsidR="00844319" w:rsidRDefault="00844319" w:rsidP="00844319">
      <w:pPr>
        <w:pStyle w:val="Quote"/>
        <w:spacing w:after="0"/>
        <w:ind w:left="1440" w:right="1440"/>
      </w:pPr>
      <w:r>
        <w:tab/>
        <w:t>(4)</w:t>
      </w:r>
      <w:r>
        <w:tab/>
        <w:t>Legal insufficiency of a pleading.</w:t>
      </w:r>
      <w:r>
        <w:br/>
      </w:r>
    </w:p>
    <w:p w14:paraId="42A909D7" w14:textId="77777777" w:rsidR="00844319" w:rsidRDefault="00844319" w:rsidP="00844319">
      <w:pPr>
        <w:pStyle w:val="Quote"/>
        <w:spacing w:after="0"/>
        <w:ind w:left="1440" w:right="1440"/>
      </w:pPr>
      <w:r>
        <w:tab/>
        <w:t>(5)</w:t>
      </w:r>
      <w:r>
        <w:tab/>
        <w:t>Lack of capacity to sue, nonjoinder of a necessary party or misjoinder of a cause of action.</w:t>
      </w:r>
      <w:r>
        <w:br/>
      </w:r>
    </w:p>
    <w:p w14:paraId="69EB4602" w14:textId="77777777" w:rsidR="00844319" w:rsidRDefault="00844319" w:rsidP="00844319">
      <w:pPr>
        <w:pStyle w:val="Quote"/>
        <w:spacing w:after="0"/>
        <w:ind w:left="1440" w:right="1440"/>
      </w:pPr>
      <w:r>
        <w:tab/>
        <w:t>(6)</w:t>
      </w:r>
      <w:r>
        <w:tab/>
        <w:t>Pendency of a prior proceeding or agreement for alternative dispute resolution.</w:t>
      </w:r>
    </w:p>
    <w:p w14:paraId="01E9B0D1" w14:textId="77777777" w:rsidR="00844319" w:rsidRPr="00153608" w:rsidRDefault="00844319" w:rsidP="00844319">
      <w:pPr>
        <w:spacing w:after="0"/>
      </w:pPr>
    </w:p>
    <w:p w14:paraId="7D30FF97" w14:textId="33AAD483" w:rsidR="00844319" w:rsidRDefault="00844319" w:rsidP="00CF7390">
      <w:pPr>
        <w:spacing w:after="0"/>
      </w:pPr>
      <w:r>
        <w:tab/>
      </w:r>
      <w:r>
        <w:tab/>
      </w:r>
      <w:r w:rsidR="00AA2595">
        <w:t xml:space="preserve">For the purpose of deciding preliminary objections, the administrative law judge will consider all of the </w:t>
      </w:r>
      <w:r w:rsidR="00420ADF">
        <w:t>c</w:t>
      </w:r>
      <w:r w:rsidR="00AA2595">
        <w:t>omplainant’s statements in the complaint as true.</w:t>
      </w:r>
      <w:r w:rsidR="00AA2595">
        <w:rPr>
          <w:rStyle w:val="FootnoteReference"/>
        </w:rPr>
        <w:footnoteReference w:id="2"/>
      </w:r>
      <w:r w:rsidR="00AA2595">
        <w:t xml:space="preserve">  </w:t>
      </w:r>
      <w:r w:rsidR="00F649A4">
        <w:t>T</w:t>
      </w:r>
      <w:r>
        <w:t xml:space="preserve">he </w:t>
      </w:r>
      <w:r w:rsidR="001D3C40">
        <w:t xml:space="preserve">administrative law judge </w:t>
      </w:r>
      <w:r>
        <w:t>must determine whether, based on factual statements of the complainant, recovery or relief is possible.</w:t>
      </w:r>
      <w:r>
        <w:rPr>
          <w:rStyle w:val="FootnoteReference"/>
        </w:rPr>
        <w:footnoteReference w:id="3"/>
      </w:r>
      <w:r>
        <w:t xml:space="preserve">  </w:t>
      </w:r>
      <w:r w:rsidR="00B9310C">
        <w:t xml:space="preserve">If there is any question </w:t>
      </w:r>
      <w:r w:rsidR="000658AC">
        <w:t xml:space="preserve">about the legal </w:t>
      </w:r>
      <w:r w:rsidR="000D0AD6">
        <w:t xml:space="preserve">or factual basis </w:t>
      </w:r>
      <w:r w:rsidR="000658AC">
        <w:t>for the claims in the complaint</w:t>
      </w:r>
      <w:r w:rsidR="000222A0">
        <w:t>,</w:t>
      </w:r>
      <w:r w:rsidR="00AA2595">
        <w:t xml:space="preserve"> those questions</w:t>
      </w:r>
      <w:r w:rsidR="000658AC">
        <w:t xml:space="preserve"> </w:t>
      </w:r>
      <w:r>
        <w:t xml:space="preserve">must be resolved in favor of the </w:t>
      </w:r>
      <w:r w:rsidR="0028573E">
        <w:t>complainant</w:t>
      </w:r>
      <w:r>
        <w:t>.</w:t>
      </w:r>
      <w:r>
        <w:rPr>
          <w:rStyle w:val="FootnoteReference"/>
        </w:rPr>
        <w:footnoteReference w:id="4"/>
      </w:r>
      <w:r>
        <w:t xml:space="preserve">  </w:t>
      </w:r>
    </w:p>
    <w:p w14:paraId="0C503882" w14:textId="7C948D38" w:rsidR="00252519" w:rsidRDefault="00252519" w:rsidP="00CF7390">
      <w:pPr>
        <w:spacing w:after="0"/>
      </w:pPr>
    </w:p>
    <w:p w14:paraId="69FA8DCF" w14:textId="0AFE11A5" w:rsidR="00252519" w:rsidRPr="001B1947" w:rsidRDefault="001B1947" w:rsidP="00CF7390">
      <w:pPr>
        <w:spacing w:after="0"/>
        <w:rPr>
          <w:b/>
          <w:bCs/>
        </w:rPr>
      </w:pPr>
      <w:r w:rsidRPr="001B1947">
        <w:rPr>
          <w:b/>
          <w:bCs/>
        </w:rPr>
        <w:t>Disposition</w:t>
      </w:r>
    </w:p>
    <w:p w14:paraId="082F5B5B" w14:textId="1BD07353" w:rsidR="00C91D7C" w:rsidRDefault="00C91D7C" w:rsidP="00CF7390">
      <w:pPr>
        <w:spacing w:after="0"/>
      </w:pPr>
    </w:p>
    <w:p w14:paraId="26E4F2A6" w14:textId="7322E4BD" w:rsidR="00C91D7C" w:rsidRDefault="00C91D7C" w:rsidP="00CF7390">
      <w:pPr>
        <w:spacing w:after="0"/>
      </w:pPr>
      <w:r>
        <w:tab/>
      </w:r>
      <w:r>
        <w:tab/>
        <w:t>PPL argues that</w:t>
      </w:r>
      <w:r w:rsidR="00E731E1">
        <w:t xml:space="preserve"> the complaint should be dismissed because Complainant Gillette does not challenge PPL’s</w:t>
      </w:r>
      <w:r w:rsidR="00312635">
        <w:t xml:space="preserve"> charges on the bill.  PPL also argues that Complainant Gillette failed to </w:t>
      </w:r>
      <w:r w:rsidR="00F95DD5">
        <w:t>name Green Mountain Energy which also provided service to Complainant Gillette as an electric generation supplier.</w:t>
      </w:r>
    </w:p>
    <w:p w14:paraId="1CAE1807" w14:textId="51D1CE77" w:rsidR="007771C9" w:rsidRDefault="007771C9" w:rsidP="00CF7390">
      <w:pPr>
        <w:spacing w:after="0"/>
      </w:pPr>
    </w:p>
    <w:p w14:paraId="0E388482" w14:textId="41B35FA8" w:rsidR="00341E8F" w:rsidRDefault="00723094" w:rsidP="00CF7390">
      <w:pPr>
        <w:spacing w:after="0"/>
      </w:pPr>
      <w:r>
        <w:tab/>
      </w:r>
      <w:r w:rsidR="00252519">
        <w:tab/>
      </w:r>
      <w:r>
        <w:t>Complainant Gillette is self-represented.</w:t>
      </w:r>
      <w:r w:rsidR="00E53887">
        <w:t xml:space="preserve">  </w:t>
      </w:r>
      <w:r w:rsidR="00341E8F">
        <w:t>In</w:t>
      </w:r>
      <w:r w:rsidR="00341E8F" w:rsidRPr="00982AC1">
        <w:t xml:space="preserve"> </w:t>
      </w:r>
      <w:r w:rsidR="00341E8F" w:rsidRPr="00982AC1">
        <w:rPr>
          <w:i/>
        </w:rPr>
        <w:t>Carlock v. The United Telephone Company of Pennsylvania</w:t>
      </w:r>
      <w:r w:rsidR="00341E8F" w:rsidRPr="00982AC1">
        <w:t>,</w:t>
      </w:r>
      <w:r w:rsidR="00341E8F">
        <w:rPr>
          <w:rStyle w:val="FootnoteReference"/>
        </w:rPr>
        <w:footnoteReference w:id="5"/>
      </w:r>
      <w:r w:rsidR="00341E8F" w:rsidRPr="00982AC1">
        <w:t xml:space="preserve"> th</w:t>
      </w:r>
      <w:r w:rsidR="00341E8F">
        <w:t>e</w:t>
      </w:r>
      <w:r w:rsidR="00341E8F" w:rsidRPr="00982AC1">
        <w:t xml:space="preserve"> Commission held that, in the normal course, </w:t>
      </w:r>
      <w:r w:rsidR="00341E8F">
        <w:t xml:space="preserve">the Commission </w:t>
      </w:r>
      <w:r w:rsidR="00341E8F" w:rsidRPr="00982AC1">
        <w:t>would not dismiss a complaint</w:t>
      </w:r>
      <w:r w:rsidR="00341E8F">
        <w:t xml:space="preserve"> of a self-represented person</w:t>
      </w:r>
      <w:r w:rsidR="00341E8F" w:rsidRPr="00982AC1">
        <w:t xml:space="preserve"> without first providing a hearing </w:t>
      </w:r>
      <w:r w:rsidR="00341E8F" w:rsidRPr="00982AC1">
        <w:lastRenderedPageBreak/>
        <w:t xml:space="preserve">during which </w:t>
      </w:r>
      <w:r w:rsidR="002B7D1E">
        <w:t xml:space="preserve">the </w:t>
      </w:r>
      <w:r w:rsidR="00341E8F" w:rsidRPr="00D50FE1">
        <w:t>self-represented</w:t>
      </w:r>
      <w:r w:rsidR="00341E8F" w:rsidRPr="00982AC1">
        <w:t xml:space="preserve"> complainant could further explain their position and the factual basis for their complaint.  The </w:t>
      </w:r>
      <w:r w:rsidR="00B611DD">
        <w:t xml:space="preserve">Commission expressed the concern </w:t>
      </w:r>
      <w:r w:rsidR="00341E8F" w:rsidRPr="00982AC1">
        <w:t xml:space="preserve">that, in general, complainants may find it difficult to navigate through pre-hearing motions and should be given the chance to orally describe their basic issue and supporting facts.  </w:t>
      </w:r>
    </w:p>
    <w:p w14:paraId="19697CFC" w14:textId="77777777" w:rsidR="00CF7390" w:rsidRDefault="00CF7390" w:rsidP="00CF7390">
      <w:pPr>
        <w:spacing w:after="0"/>
      </w:pPr>
    </w:p>
    <w:p w14:paraId="4280E63D" w14:textId="7EEC97ED" w:rsidR="00F71457" w:rsidRDefault="00741D15" w:rsidP="00CF7390">
      <w:pPr>
        <w:spacing w:after="0"/>
      </w:pPr>
      <w:r>
        <w:tab/>
      </w:r>
      <w:r>
        <w:tab/>
        <w:t xml:space="preserve">However, </w:t>
      </w:r>
      <w:r w:rsidR="004F646D">
        <w:t xml:space="preserve">I </w:t>
      </w:r>
      <w:r w:rsidR="00E6458F">
        <w:t xml:space="preserve">must also </w:t>
      </w:r>
      <w:r w:rsidR="004F646D">
        <w:t>be fair to PPL.  In this case, this means that PPL should have information from Complainant Gillette which</w:t>
      </w:r>
      <w:r w:rsidR="00CB43B8">
        <w:t xml:space="preserve"> describes the nature of the claims Complainant Gillette may have against PPL, if any.</w:t>
      </w:r>
      <w:r w:rsidR="00877E3D">
        <w:t xml:space="preserve">  Complainant Gillette should also have an opportunity to amend his complaint to include claims Complainant Gillette may have against Green Mountain Energy.  </w:t>
      </w:r>
      <w:r w:rsidR="00475564">
        <w:t>Therefore, I am going to deny PPL’s preliminary objection at this time.  Complainant Gillette will be directed to amend his complaint</w:t>
      </w:r>
      <w:r w:rsidR="00B123DE">
        <w:t xml:space="preserve"> if</w:t>
      </w:r>
      <w:r w:rsidR="0071211B">
        <w:t xml:space="preserve"> Complainant Gillette wishes to do so</w:t>
      </w:r>
      <w:r w:rsidR="00475564">
        <w:t xml:space="preserve">.  </w:t>
      </w:r>
    </w:p>
    <w:p w14:paraId="558D4AC5" w14:textId="77777777" w:rsidR="00CF7390" w:rsidRDefault="00CF7390" w:rsidP="00CF7390">
      <w:pPr>
        <w:spacing w:after="0"/>
      </w:pPr>
    </w:p>
    <w:p w14:paraId="5A558F77" w14:textId="287A4228" w:rsidR="006106BC" w:rsidRDefault="00F71457" w:rsidP="00CF7390">
      <w:pPr>
        <w:spacing w:after="0"/>
      </w:pPr>
      <w:r>
        <w:tab/>
      </w:r>
      <w:r>
        <w:tab/>
        <w:t>Complainant Gillette now has the benefit of the</w:t>
      </w:r>
      <w:r w:rsidR="00046544">
        <w:t xml:space="preserve"> answers filed by PPL and Frontier Utilities.  Therefore, </w:t>
      </w:r>
      <w:r w:rsidR="00475564">
        <w:t>Complainant Gillette’s amended complaint</w:t>
      </w:r>
      <w:r w:rsidR="000B0D9F">
        <w:t xml:space="preserve"> should include any specific claims Complainant Gillette may have that relate to PPL as his electric distribution company.</w:t>
      </w:r>
      <w:r w:rsidR="00A36628">
        <w:t xml:space="preserve">  </w:t>
      </w:r>
      <w:r w:rsidR="008D04C5">
        <w:t>PPL may file</w:t>
      </w:r>
      <w:r w:rsidR="00135AF0">
        <w:t xml:space="preserve"> further preliminary objections if </w:t>
      </w:r>
      <w:r w:rsidR="00AA3432">
        <w:t>Complainant Gillette’s amended complaint still does not</w:t>
      </w:r>
      <w:r w:rsidR="00925F51">
        <w:t xml:space="preserve"> </w:t>
      </w:r>
      <w:r w:rsidR="00957240">
        <w:t xml:space="preserve">explain </w:t>
      </w:r>
      <w:r w:rsidR="001B1ECB">
        <w:t xml:space="preserve">why Complainant Gillette believes </w:t>
      </w:r>
      <w:r w:rsidR="00925F51">
        <w:t>PPL is responsible for</w:t>
      </w:r>
      <w:r w:rsidR="006B05E3">
        <w:t xml:space="preserve"> Complainant Gillette’s claims. </w:t>
      </w:r>
      <w:r w:rsidR="00F37D7F">
        <w:t xml:space="preserve"> Complainant Gillette does not have to file an amended complaint if</w:t>
      </w:r>
      <w:r w:rsidR="00B339FF">
        <w:t xml:space="preserve"> Complainant Gillette no longer believes PPL is responsible</w:t>
      </w:r>
      <w:r w:rsidR="009B11AF">
        <w:t xml:space="preserve"> for the claims made in the complaint.</w:t>
      </w:r>
      <w:r w:rsidR="006B05E3">
        <w:t xml:space="preserve"> </w:t>
      </w:r>
    </w:p>
    <w:p w14:paraId="7548C328" w14:textId="77777777" w:rsidR="00CF7390" w:rsidRDefault="00CF7390" w:rsidP="00CF7390">
      <w:pPr>
        <w:spacing w:after="0"/>
      </w:pPr>
    </w:p>
    <w:p w14:paraId="7A925974" w14:textId="0373D271" w:rsidR="00741D15" w:rsidRDefault="006106BC" w:rsidP="00CF7390">
      <w:pPr>
        <w:spacing w:after="0"/>
      </w:pPr>
      <w:r>
        <w:tab/>
      </w:r>
      <w:r>
        <w:tab/>
        <w:t xml:space="preserve">The Commission encourages parties to settle disputes.  </w:t>
      </w:r>
      <w:r w:rsidR="000F3022">
        <w:t xml:space="preserve">PPL may contact Complainant Gillette </w:t>
      </w:r>
      <w:r w:rsidR="00E87F28">
        <w:t>to talk about the claims made in the complaint</w:t>
      </w:r>
      <w:r w:rsidR="000F3022">
        <w:t xml:space="preserve">. </w:t>
      </w:r>
      <w:r w:rsidR="004C66DE">
        <w:t xml:space="preserve">If </w:t>
      </w:r>
      <w:r w:rsidR="000F3022">
        <w:t>Complainant Gillette agree</w:t>
      </w:r>
      <w:r w:rsidR="004C66DE">
        <w:t>s</w:t>
      </w:r>
      <w:r w:rsidR="000F3022">
        <w:t xml:space="preserve"> that Complainant Gillette has no </w:t>
      </w:r>
      <w:r w:rsidR="00E87F28">
        <w:t xml:space="preserve">further </w:t>
      </w:r>
      <w:r w:rsidR="000F3022">
        <w:t>claims against PP</w:t>
      </w:r>
      <w:r w:rsidR="004C66DE">
        <w:t>L</w:t>
      </w:r>
      <w:r w:rsidR="00316A48">
        <w:t>, PPL may also file a certificate of satisfaction.</w:t>
      </w:r>
      <w:r w:rsidR="00316A48">
        <w:rPr>
          <w:rStyle w:val="FootnoteReference"/>
        </w:rPr>
        <w:footnoteReference w:id="6"/>
      </w:r>
    </w:p>
    <w:p w14:paraId="0D5CE4BD" w14:textId="77777777" w:rsidR="00CF7390" w:rsidRDefault="00CF7390" w:rsidP="00CF7390">
      <w:pPr>
        <w:spacing w:after="0"/>
      </w:pPr>
    </w:p>
    <w:p w14:paraId="33FBC383" w14:textId="3FBFD62A" w:rsidR="00920D5F" w:rsidRDefault="00920D5F" w:rsidP="00CF7390">
      <w:pPr>
        <w:spacing w:after="0"/>
      </w:pPr>
      <w:r>
        <w:tab/>
      </w:r>
      <w:r>
        <w:tab/>
        <w:t xml:space="preserve">Complainant Gillette will also be given an opportunity to amend </w:t>
      </w:r>
      <w:r w:rsidR="002F4080">
        <w:t>the</w:t>
      </w:r>
      <w:r>
        <w:t xml:space="preserve"> complaint to include Green Mountain Energy</w:t>
      </w:r>
      <w:r w:rsidR="0073347D">
        <w:t xml:space="preserve"> if Complainant Gillette believes that Green Mountain Energy is </w:t>
      </w:r>
      <w:r w:rsidR="0073347D">
        <w:lastRenderedPageBreak/>
        <w:t>also responsible for the matters raised in his complaint.</w:t>
      </w:r>
      <w:r w:rsidR="006E01BB">
        <w:t xml:space="preserve">  Green Mountain Energy will be given an opportunity to file an answer to Complainant Gillette’s amended complaint.</w:t>
      </w:r>
    </w:p>
    <w:p w14:paraId="3D87E93E" w14:textId="77777777" w:rsidR="00CF7390" w:rsidRDefault="00CF7390" w:rsidP="00CF7390">
      <w:pPr>
        <w:spacing w:after="0"/>
      </w:pPr>
    </w:p>
    <w:p w14:paraId="1B888716" w14:textId="582E4144" w:rsidR="00E26B7B" w:rsidRDefault="00E26B7B" w:rsidP="00CF7390">
      <w:pPr>
        <w:spacing w:after="0"/>
        <w:ind w:firstLine="1440"/>
      </w:pPr>
      <w:r>
        <w:t>THEREFORE,</w:t>
      </w:r>
    </w:p>
    <w:p w14:paraId="018AAC0B" w14:textId="77777777" w:rsidR="00CF7390" w:rsidRDefault="00CF7390" w:rsidP="00CF7390">
      <w:pPr>
        <w:spacing w:after="0"/>
        <w:ind w:firstLine="1440"/>
      </w:pPr>
    </w:p>
    <w:p w14:paraId="05782D06" w14:textId="220BBD27" w:rsidR="00E26B7B" w:rsidRDefault="00E26B7B" w:rsidP="00CF7390">
      <w:pPr>
        <w:spacing w:after="0"/>
        <w:ind w:firstLine="1440"/>
      </w:pPr>
      <w:r>
        <w:t>IT IS ORDERD:</w:t>
      </w:r>
    </w:p>
    <w:p w14:paraId="37643B8A" w14:textId="77777777" w:rsidR="00CF7390" w:rsidRDefault="00CF7390" w:rsidP="00CF7390">
      <w:pPr>
        <w:spacing w:after="0"/>
      </w:pPr>
    </w:p>
    <w:p w14:paraId="11EC3CF1" w14:textId="7A3A4A9A" w:rsidR="00E26B7B" w:rsidRDefault="00E26B7B" w:rsidP="00CF7390">
      <w:pPr>
        <w:spacing w:after="0"/>
      </w:pPr>
      <w:r>
        <w:tab/>
      </w:r>
      <w:r w:rsidR="00CF7390">
        <w:tab/>
      </w:r>
      <w:r>
        <w:t>1.</w:t>
      </w:r>
      <w:r>
        <w:tab/>
        <w:t>That the preliminary objections of PPL Electric Utilities Corporation</w:t>
      </w:r>
      <w:r w:rsidR="00C036AA">
        <w:t xml:space="preserve"> are dismissed.</w:t>
      </w:r>
    </w:p>
    <w:p w14:paraId="294CFC38" w14:textId="77777777" w:rsidR="00CF7390" w:rsidRDefault="00CF7390" w:rsidP="00CF7390">
      <w:pPr>
        <w:spacing w:after="0"/>
      </w:pPr>
    </w:p>
    <w:p w14:paraId="0726CCD0" w14:textId="44D0BECC" w:rsidR="00C036AA" w:rsidRDefault="00C036AA" w:rsidP="00CF7390">
      <w:pPr>
        <w:spacing w:after="0"/>
      </w:pPr>
      <w:r>
        <w:tab/>
      </w:r>
      <w:r w:rsidR="00CF7390">
        <w:tab/>
      </w:r>
      <w:r>
        <w:t>2.</w:t>
      </w:r>
      <w:r>
        <w:tab/>
        <w:t>That no later than</w:t>
      </w:r>
      <w:r w:rsidR="00024A48">
        <w:t xml:space="preserve"> </w:t>
      </w:r>
      <w:r w:rsidR="00727264" w:rsidRPr="002629A5">
        <w:rPr>
          <w:b/>
          <w:bCs/>
        </w:rPr>
        <w:t>April 22, 2022</w:t>
      </w:r>
      <w:r w:rsidR="00727264">
        <w:t xml:space="preserve">, </w:t>
      </w:r>
      <w:r>
        <w:t xml:space="preserve">Complainant </w:t>
      </w:r>
      <w:r w:rsidR="004236E9">
        <w:t xml:space="preserve">Jayme </w:t>
      </w:r>
      <w:r>
        <w:t xml:space="preserve">Gillette </w:t>
      </w:r>
      <w:r w:rsidR="007A1249">
        <w:t>may</w:t>
      </w:r>
      <w:r>
        <w:t xml:space="preserve"> file an amended</w:t>
      </w:r>
      <w:r w:rsidR="00727264">
        <w:t xml:space="preserve"> which includes</w:t>
      </w:r>
      <w:r w:rsidR="00724A01">
        <w:t xml:space="preserve"> specific statements which describe how PPL Electric Utilities Corporation is responsible for</w:t>
      </w:r>
      <w:r w:rsidR="00F37D7F">
        <w:t xml:space="preserve"> the claims made in his complaint.  </w:t>
      </w:r>
    </w:p>
    <w:p w14:paraId="17346151" w14:textId="77777777" w:rsidR="00CF7390" w:rsidRDefault="00CF7390" w:rsidP="00CF7390">
      <w:pPr>
        <w:spacing w:after="0"/>
      </w:pPr>
    </w:p>
    <w:p w14:paraId="527DC8DF" w14:textId="123AF0F3" w:rsidR="004236E9" w:rsidRDefault="004236E9" w:rsidP="00CF7390">
      <w:pPr>
        <w:spacing w:after="0"/>
      </w:pPr>
      <w:r>
        <w:tab/>
      </w:r>
      <w:r w:rsidR="00CF7390">
        <w:tab/>
      </w:r>
      <w:r>
        <w:t>3.</w:t>
      </w:r>
      <w:r>
        <w:tab/>
        <w:t xml:space="preserve">That no later than </w:t>
      </w:r>
      <w:r w:rsidRPr="00575607">
        <w:rPr>
          <w:b/>
          <w:bCs/>
        </w:rPr>
        <w:t>April 22, 2022</w:t>
      </w:r>
      <w:r>
        <w:t>, Complainant Jayme Gillette may file an amended complaint to add Green Mountain Energy</w:t>
      </w:r>
      <w:r w:rsidR="005857BC">
        <w:t xml:space="preserve"> as a respondent</w:t>
      </w:r>
      <w:r w:rsidR="00EE1D9E">
        <w:t xml:space="preserve"> if Complainant Gillette believes Green Mountain Energy is also responsible for the claims made in the</w:t>
      </w:r>
      <w:r w:rsidR="00660C8A">
        <w:t xml:space="preserve"> December 8, 2021 formal complaint</w:t>
      </w:r>
      <w:r w:rsidR="005857BC">
        <w:t xml:space="preserve">.  </w:t>
      </w:r>
    </w:p>
    <w:p w14:paraId="78EA79D4" w14:textId="29402B19" w:rsidR="00723094" w:rsidRDefault="00723094" w:rsidP="00CF7390">
      <w:pPr>
        <w:spacing w:after="0"/>
      </w:pPr>
    </w:p>
    <w:p w14:paraId="72B232E9" w14:textId="012AB158" w:rsidR="007771C9" w:rsidRDefault="007771C9" w:rsidP="00CF7390">
      <w:pPr>
        <w:spacing w:after="0"/>
      </w:pPr>
      <w:r>
        <w:tab/>
      </w:r>
      <w:r>
        <w:tab/>
      </w:r>
    </w:p>
    <w:p w14:paraId="0F80D7DD" w14:textId="5568104E" w:rsidR="00420ADF" w:rsidRPr="00420ADF" w:rsidRDefault="00420ADF" w:rsidP="00420ADF">
      <w:pPr>
        <w:spacing w:after="0" w:line="240" w:lineRule="auto"/>
        <w:rPr>
          <w:rFonts w:eastAsia="Calibri" w:cs="Times New Roman"/>
          <w:szCs w:val="24"/>
          <w:u w:val="single"/>
        </w:rPr>
      </w:pPr>
      <w:r w:rsidRPr="00420ADF">
        <w:rPr>
          <w:rFonts w:eastAsia="Calibri" w:cs="Times New Roman"/>
          <w:szCs w:val="24"/>
        </w:rPr>
        <w:t xml:space="preserve">Date:  </w:t>
      </w:r>
      <w:r>
        <w:rPr>
          <w:rFonts w:eastAsia="Calibri" w:cs="Times New Roman"/>
          <w:szCs w:val="24"/>
          <w:u w:val="single"/>
        </w:rPr>
        <w:t>April</w:t>
      </w:r>
      <w:r w:rsidRPr="00420ADF">
        <w:rPr>
          <w:rFonts w:eastAsia="Calibri" w:cs="Times New Roman"/>
          <w:szCs w:val="24"/>
          <w:u w:val="single"/>
        </w:rPr>
        <w:t xml:space="preserve"> </w:t>
      </w:r>
      <w:r>
        <w:rPr>
          <w:rFonts w:eastAsia="Calibri" w:cs="Times New Roman"/>
          <w:szCs w:val="24"/>
          <w:u w:val="single"/>
        </w:rPr>
        <w:t>7</w:t>
      </w:r>
      <w:r w:rsidRPr="00420ADF">
        <w:rPr>
          <w:rFonts w:eastAsia="Calibri" w:cs="Times New Roman"/>
          <w:szCs w:val="24"/>
          <w:u w:val="single"/>
        </w:rPr>
        <w:t>, 202</w:t>
      </w:r>
      <w:r>
        <w:rPr>
          <w:rFonts w:eastAsia="Calibri" w:cs="Times New Roman"/>
          <w:szCs w:val="24"/>
          <w:u w:val="single"/>
        </w:rPr>
        <w:t>2</w:t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  <w:u w:val="single"/>
        </w:rPr>
        <w:tab/>
      </w:r>
      <w:r w:rsidRPr="00420ADF">
        <w:rPr>
          <w:rFonts w:eastAsia="Calibri" w:cs="Times New Roman"/>
          <w:szCs w:val="24"/>
          <w:u w:val="single"/>
        </w:rPr>
        <w:tab/>
      </w:r>
      <w:r w:rsidRPr="00420ADF">
        <w:rPr>
          <w:rFonts w:eastAsia="Calibri" w:cs="Times New Roman"/>
          <w:szCs w:val="24"/>
          <w:u w:val="single"/>
        </w:rPr>
        <w:tab/>
        <w:t>/s/</w:t>
      </w:r>
      <w:r w:rsidRPr="00420ADF">
        <w:rPr>
          <w:rFonts w:eastAsia="Calibri" w:cs="Times New Roman"/>
          <w:szCs w:val="24"/>
          <w:u w:val="single"/>
        </w:rPr>
        <w:tab/>
      </w:r>
      <w:r w:rsidRPr="00420ADF">
        <w:rPr>
          <w:rFonts w:eastAsia="Calibri" w:cs="Times New Roman"/>
          <w:szCs w:val="24"/>
          <w:u w:val="single"/>
        </w:rPr>
        <w:tab/>
      </w:r>
      <w:r w:rsidRPr="00420ADF">
        <w:rPr>
          <w:rFonts w:eastAsia="Calibri" w:cs="Times New Roman"/>
          <w:szCs w:val="24"/>
          <w:u w:val="single"/>
        </w:rPr>
        <w:tab/>
      </w:r>
    </w:p>
    <w:p w14:paraId="5CE5F3BA" w14:textId="77777777" w:rsidR="00420ADF" w:rsidRPr="00420ADF" w:rsidRDefault="00420ADF" w:rsidP="00420ADF">
      <w:pPr>
        <w:spacing w:after="0" w:line="240" w:lineRule="auto"/>
        <w:rPr>
          <w:rFonts w:eastAsia="Calibri" w:cs="Times New Roman"/>
          <w:szCs w:val="24"/>
        </w:rPr>
      </w:pP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  <w:t>Mary D. Long</w:t>
      </w:r>
    </w:p>
    <w:p w14:paraId="14466831" w14:textId="77777777" w:rsidR="00420ADF" w:rsidRDefault="00420ADF" w:rsidP="00420ADF">
      <w:pPr>
        <w:rPr>
          <w:rFonts w:eastAsia="Calibri" w:cs="Times New Roman"/>
          <w:szCs w:val="24"/>
        </w:rPr>
        <w:sectPr w:rsidR="00420ADF" w:rsidSect="007C5951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</w:r>
      <w:r w:rsidRPr="00420ADF">
        <w:rPr>
          <w:rFonts w:eastAsia="Calibri" w:cs="Times New Roman"/>
          <w:szCs w:val="24"/>
        </w:rPr>
        <w:tab/>
        <w:t>Administrative Law</w:t>
      </w:r>
    </w:p>
    <w:p w14:paraId="2EFAC4FF" w14:textId="77777777" w:rsidR="00A05B0D" w:rsidRPr="00A05B0D" w:rsidRDefault="00A05B0D" w:rsidP="00A05B0D">
      <w:pPr>
        <w:spacing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A05B0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F-2022-3030797 - JAYME GILLETTE v. PPL ELECTRIC UTILITIES CORPORATION AND FRONTIER UTILITIES NORTHEAST LLC</w:t>
      </w:r>
      <w:r w:rsidRPr="00A05B0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A05B0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A05B0D">
        <w:rPr>
          <w:rFonts w:ascii="Microsoft Sans Serif" w:eastAsia="Microsoft Sans Serif" w:hAnsi="Microsoft Sans Serif" w:cs="Microsoft Sans Serif"/>
        </w:rPr>
        <w:t>JAYME GILLETTE</w:t>
      </w:r>
      <w:r w:rsidRPr="00A05B0D">
        <w:rPr>
          <w:rFonts w:ascii="Microsoft Sans Serif" w:eastAsia="Microsoft Sans Serif" w:hAnsi="Microsoft Sans Serif" w:cs="Microsoft Sans Serif"/>
        </w:rPr>
        <w:cr/>
        <w:t>18 ANDREW DRIVE</w:t>
      </w:r>
      <w:r w:rsidRPr="00A05B0D">
        <w:rPr>
          <w:rFonts w:ascii="Microsoft Sans Serif" w:eastAsia="Microsoft Sans Serif" w:hAnsi="Microsoft Sans Serif" w:cs="Microsoft Sans Serif"/>
        </w:rPr>
        <w:cr/>
        <w:t>SCOTT TOWNSHIP PA  18433</w:t>
      </w:r>
      <w:r w:rsidRPr="00A05B0D">
        <w:rPr>
          <w:rFonts w:ascii="Microsoft Sans Serif" w:eastAsia="Microsoft Sans Serif" w:hAnsi="Microsoft Sans Serif" w:cs="Microsoft Sans Serif"/>
        </w:rPr>
        <w:cr/>
      </w:r>
      <w:r w:rsidRPr="00A05B0D">
        <w:rPr>
          <w:rFonts w:ascii="Microsoft Sans Serif" w:eastAsia="Microsoft Sans Serif" w:hAnsi="Microsoft Sans Serif" w:cs="Microsoft Sans Serif"/>
          <w:b/>
          <w:bCs/>
        </w:rPr>
        <w:t>570.954.9674</w:t>
      </w:r>
      <w:r w:rsidRPr="00A05B0D">
        <w:rPr>
          <w:rFonts w:ascii="Microsoft Sans Serif" w:eastAsia="Microsoft Sans Serif" w:hAnsi="Microsoft Sans Serif" w:cs="Microsoft Sans Serif"/>
          <w:b/>
          <w:bCs/>
        </w:rPr>
        <w:cr/>
      </w:r>
      <w:r w:rsidRPr="00A05B0D">
        <w:rPr>
          <w:rFonts w:ascii="Microsoft Sans Serif" w:eastAsia="Microsoft Sans Serif" w:hAnsi="Microsoft Sans Serif" w:cs="Microsoft Sans Serif"/>
        </w:rPr>
        <w:t>jfg.por@gmail.com</w:t>
      </w:r>
      <w:r w:rsidRPr="00A05B0D">
        <w:rPr>
          <w:rFonts w:ascii="Microsoft Sans Serif" w:eastAsia="Microsoft Sans Serif" w:hAnsi="Microsoft Sans Serif" w:cs="Microsoft Sans Serif"/>
        </w:rPr>
        <w:cr/>
      </w:r>
      <w:r w:rsidRPr="00A05B0D">
        <w:rPr>
          <w:rFonts w:ascii="Microsoft Sans Serif" w:eastAsia="Microsoft Sans Serif" w:hAnsi="Microsoft Sans Serif" w:cs="Microsoft Sans Serif"/>
        </w:rPr>
        <w:cr/>
        <w:t>*SARAH C STONER ESQUIRE</w:t>
      </w:r>
      <w:r w:rsidRPr="00A05B0D">
        <w:rPr>
          <w:rFonts w:ascii="Microsoft Sans Serif" w:eastAsia="Microsoft Sans Serif" w:hAnsi="Microsoft Sans Serif" w:cs="Microsoft Sans Serif"/>
        </w:rPr>
        <w:br/>
        <w:t>DEANNE ODELL ESQUIRE</w:t>
      </w:r>
      <w:r w:rsidRPr="00A05B0D">
        <w:rPr>
          <w:rFonts w:ascii="Microsoft Sans Serif" w:eastAsia="Microsoft Sans Serif" w:hAnsi="Microsoft Sans Serif" w:cs="Microsoft Sans Serif"/>
        </w:rPr>
        <w:cr/>
        <w:t xml:space="preserve">ECKERT SEAMANS CHERIN &amp; MELLOTT LLC </w:t>
      </w:r>
      <w:r w:rsidRPr="00A05B0D">
        <w:rPr>
          <w:rFonts w:ascii="Microsoft Sans Serif" w:eastAsia="Microsoft Sans Serif" w:hAnsi="Microsoft Sans Serif" w:cs="Microsoft Sans Serif"/>
        </w:rPr>
        <w:cr/>
        <w:t>213 MARKET STREET</w:t>
      </w:r>
      <w:r w:rsidRPr="00A05B0D">
        <w:rPr>
          <w:rFonts w:ascii="Microsoft Sans Serif" w:eastAsia="Microsoft Sans Serif" w:hAnsi="Microsoft Sans Serif" w:cs="Microsoft Sans Serif"/>
        </w:rPr>
        <w:cr/>
        <w:t>8TH FLOOR</w:t>
      </w:r>
      <w:r w:rsidRPr="00A05B0D">
        <w:rPr>
          <w:rFonts w:ascii="Microsoft Sans Serif" w:eastAsia="Microsoft Sans Serif" w:hAnsi="Microsoft Sans Serif" w:cs="Microsoft Sans Serif"/>
        </w:rPr>
        <w:cr/>
        <w:t>HARRISBURG PA  17101</w:t>
      </w:r>
      <w:r w:rsidRPr="00A05B0D">
        <w:rPr>
          <w:rFonts w:ascii="Microsoft Sans Serif" w:eastAsia="Microsoft Sans Serif" w:hAnsi="Microsoft Sans Serif" w:cs="Microsoft Sans Serif"/>
        </w:rPr>
        <w:cr/>
      </w:r>
      <w:r w:rsidRPr="00A05B0D">
        <w:rPr>
          <w:rFonts w:ascii="Microsoft Sans Serif" w:eastAsia="Microsoft Sans Serif" w:hAnsi="Microsoft Sans Serif" w:cs="Microsoft Sans Serif"/>
          <w:b/>
          <w:bCs/>
        </w:rPr>
        <w:t>717.237.6026</w:t>
      </w:r>
      <w:r w:rsidRPr="00A05B0D">
        <w:rPr>
          <w:rFonts w:ascii="Microsoft Sans Serif" w:eastAsia="Microsoft Sans Serif" w:hAnsi="Microsoft Sans Serif" w:cs="Microsoft Sans Serif"/>
          <w:b/>
          <w:bCs/>
        </w:rPr>
        <w:cr/>
      </w:r>
      <w:r w:rsidRPr="00A05B0D">
        <w:rPr>
          <w:rFonts w:ascii="Microsoft Sans Serif" w:eastAsia="Microsoft Sans Serif" w:hAnsi="Microsoft Sans Serif" w:cs="Microsoft Sans Serif"/>
        </w:rPr>
        <w:t>sstoner@eckertseamans.com</w:t>
      </w:r>
      <w:r w:rsidRPr="00A05B0D">
        <w:rPr>
          <w:rFonts w:ascii="Microsoft Sans Serif" w:eastAsia="Microsoft Sans Serif" w:hAnsi="Microsoft Sans Serif" w:cs="Microsoft Sans Serif"/>
        </w:rPr>
        <w:cr/>
        <w:t xml:space="preserve">dodell@eckertseamans.com </w:t>
      </w:r>
      <w:r w:rsidRPr="00A05B0D">
        <w:rPr>
          <w:rFonts w:ascii="Microsoft Sans Serif" w:eastAsia="Microsoft Sans Serif" w:hAnsi="Microsoft Sans Serif" w:cs="Microsoft Sans Serif"/>
        </w:rPr>
        <w:br/>
        <w:t>*Accepts eService</w:t>
      </w:r>
      <w:r w:rsidRPr="00A05B0D">
        <w:rPr>
          <w:rFonts w:ascii="Microsoft Sans Serif" w:eastAsia="Microsoft Sans Serif" w:hAnsi="Microsoft Sans Serif" w:cs="Microsoft Sans Serif"/>
        </w:rPr>
        <w:br/>
      </w:r>
      <w:r w:rsidRPr="00A05B0D">
        <w:rPr>
          <w:rFonts w:ascii="Microsoft Sans Serif" w:eastAsia="Microsoft Sans Serif" w:hAnsi="Microsoft Sans Serif" w:cs="Microsoft Sans Serif"/>
          <w:i/>
          <w:iCs/>
        </w:rPr>
        <w:t>Representing Frontier Utilities Northeast LLC</w:t>
      </w:r>
    </w:p>
    <w:p w14:paraId="656434AA" w14:textId="77777777" w:rsidR="00A05B0D" w:rsidRPr="00A05B0D" w:rsidRDefault="00A05B0D" w:rsidP="00A05B0D">
      <w:pPr>
        <w:spacing w:line="259" w:lineRule="auto"/>
        <w:rPr>
          <w:rFonts w:ascii="Calibri" w:eastAsia="Times New Roman" w:hAnsi="Calibri" w:cs="Times New Roman"/>
          <w:sz w:val="22"/>
        </w:rPr>
      </w:pPr>
      <w:r w:rsidRPr="00A05B0D">
        <w:rPr>
          <w:rFonts w:ascii="Microsoft Sans Serif" w:eastAsia="Microsoft Sans Serif" w:hAnsi="Microsoft Sans Serif" w:cs="Microsoft Sans Serif"/>
        </w:rPr>
        <w:t>DEVIN T RYAN ESQUIRE</w:t>
      </w:r>
      <w:r w:rsidRPr="00A05B0D">
        <w:rPr>
          <w:rFonts w:ascii="Microsoft Sans Serif" w:eastAsia="Microsoft Sans Serif" w:hAnsi="Microsoft Sans Serif" w:cs="Microsoft Sans Serif"/>
        </w:rPr>
        <w:cr/>
        <w:t>NICHOLAS A STOBBE ESQUIRE</w:t>
      </w:r>
      <w:r w:rsidRPr="00A05B0D">
        <w:rPr>
          <w:rFonts w:ascii="Microsoft Sans Serif" w:eastAsia="Microsoft Sans Serif" w:hAnsi="Microsoft Sans Serif" w:cs="Microsoft Sans Serif"/>
        </w:rPr>
        <w:cr/>
        <w:t>POST &amp; SCHELL</w:t>
      </w:r>
      <w:r w:rsidRPr="00A05B0D">
        <w:rPr>
          <w:rFonts w:ascii="Microsoft Sans Serif" w:eastAsia="Microsoft Sans Serif" w:hAnsi="Microsoft Sans Serif" w:cs="Microsoft Sans Serif"/>
        </w:rPr>
        <w:cr/>
        <w:t>17 NORTH 2ND STREET</w:t>
      </w:r>
      <w:r w:rsidRPr="00A05B0D">
        <w:rPr>
          <w:rFonts w:ascii="Microsoft Sans Serif" w:eastAsia="Microsoft Sans Serif" w:hAnsi="Microsoft Sans Serif" w:cs="Microsoft Sans Serif"/>
        </w:rPr>
        <w:cr/>
        <w:t>HARRISBURG PA  17101</w:t>
      </w:r>
      <w:r w:rsidRPr="00A05B0D">
        <w:rPr>
          <w:rFonts w:ascii="Microsoft Sans Serif" w:eastAsia="Microsoft Sans Serif" w:hAnsi="Microsoft Sans Serif" w:cs="Microsoft Sans Serif"/>
        </w:rPr>
        <w:br/>
      </w:r>
      <w:r w:rsidRPr="00A05B0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A05B0D">
        <w:rPr>
          <w:rFonts w:ascii="Microsoft Sans Serif" w:eastAsia="Microsoft Sans Serif" w:hAnsi="Microsoft Sans Serif" w:cs="Microsoft Sans Serif"/>
        </w:rPr>
        <w:br/>
      </w:r>
      <w:r w:rsidRPr="00A05B0D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A05B0D">
        <w:rPr>
          <w:rFonts w:ascii="Microsoft Sans Serif" w:eastAsia="Microsoft Sans Serif" w:hAnsi="Microsoft Sans Serif" w:cs="Microsoft Sans Serif"/>
          <w:b/>
          <w:bCs/>
        </w:rPr>
        <w:br/>
      </w:r>
      <w:r w:rsidRPr="00A05B0D">
        <w:rPr>
          <w:rFonts w:ascii="Microsoft Sans Serif" w:eastAsia="Microsoft Sans Serif" w:hAnsi="Microsoft Sans Serif" w:cs="Microsoft Sans Serif"/>
        </w:rPr>
        <w:t>dryan@postschell.com</w:t>
      </w:r>
      <w:r w:rsidRPr="00A05B0D">
        <w:rPr>
          <w:rFonts w:ascii="Microsoft Sans Serif" w:eastAsia="Microsoft Sans Serif" w:hAnsi="Microsoft Sans Serif" w:cs="Microsoft Sans Serif"/>
        </w:rPr>
        <w:cr/>
        <w:t>nstobbe@postschell.com</w:t>
      </w:r>
      <w:r w:rsidRPr="00A05B0D">
        <w:rPr>
          <w:rFonts w:ascii="Microsoft Sans Serif" w:eastAsia="Microsoft Sans Serif" w:hAnsi="Microsoft Sans Serif" w:cs="Microsoft Sans Serif"/>
        </w:rPr>
        <w:cr/>
        <w:t>Accepts eService</w:t>
      </w:r>
      <w:r w:rsidRPr="00A05B0D">
        <w:rPr>
          <w:rFonts w:ascii="Microsoft Sans Serif" w:eastAsia="Microsoft Sans Serif" w:hAnsi="Microsoft Sans Serif" w:cs="Microsoft Sans Serif"/>
        </w:rPr>
        <w:br/>
      </w:r>
      <w:r w:rsidRPr="00A05B0D"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 w:rsidRPr="00A05B0D">
        <w:rPr>
          <w:rFonts w:ascii="Microsoft Sans Serif" w:eastAsia="Microsoft Sans Serif" w:hAnsi="Microsoft Sans Serif" w:cs="Microsoft Sans Serif"/>
        </w:rPr>
        <w:cr/>
      </w:r>
      <w:r w:rsidRPr="00A05B0D">
        <w:rPr>
          <w:rFonts w:ascii="Microsoft Sans Serif" w:eastAsia="Microsoft Sans Serif" w:hAnsi="Microsoft Sans Serif" w:cs="Microsoft Sans Serif"/>
        </w:rPr>
        <w:cr/>
        <w:t xml:space="preserve"> </w:t>
      </w:r>
      <w:r w:rsidRPr="00A05B0D">
        <w:rPr>
          <w:rFonts w:ascii="Microsoft Sans Serif" w:eastAsia="Microsoft Sans Serif" w:hAnsi="Microsoft Sans Serif" w:cs="Microsoft Sans Serif"/>
        </w:rPr>
        <w:cr/>
      </w:r>
    </w:p>
    <w:p w14:paraId="3C906579" w14:textId="7CC41A7B" w:rsidR="00FC649C" w:rsidRDefault="00FC649C" w:rsidP="00420ADF"/>
    <w:sectPr w:rsidR="00FC649C" w:rsidSect="007C595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5029" w14:textId="77777777" w:rsidR="00344942" w:rsidRDefault="00344942" w:rsidP="00844319">
      <w:pPr>
        <w:spacing w:after="0" w:line="240" w:lineRule="auto"/>
      </w:pPr>
      <w:r>
        <w:separator/>
      </w:r>
    </w:p>
  </w:endnote>
  <w:endnote w:type="continuationSeparator" w:id="0">
    <w:p w14:paraId="760E3B48" w14:textId="77777777" w:rsidR="00344942" w:rsidRDefault="00344942" w:rsidP="0084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6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1B8CF" w14:textId="491328AF" w:rsidR="007C5951" w:rsidRDefault="007C59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85E98" w14:textId="77777777" w:rsidR="007C5951" w:rsidRDefault="007C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D68F" w14:textId="77777777" w:rsidR="00344942" w:rsidRDefault="00344942" w:rsidP="00844319">
      <w:pPr>
        <w:spacing w:after="0" w:line="240" w:lineRule="auto"/>
      </w:pPr>
      <w:r>
        <w:separator/>
      </w:r>
    </w:p>
  </w:footnote>
  <w:footnote w:type="continuationSeparator" w:id="0">
    <w:p w14:paraId="4551B639" w14:textId="77777777" w:rsidR="00344942" w:rsidRDefault="00344942" w:rsidP="00844319">
      <w:pPr>
        <w:spacing w:after="0" w:line="240" w:lineRule="auto"/>
      </w:pPr>
      <w:r>
        <w:continuationSeparator/>
      </w:r>
    </w:p>
  </w:footnote>
  <w:footnote w:id="1">
    <w:p w14:paraId="2F150B12" w14:textId="0AC750AE" w:rsidR="00033EBB" w:rsidRDefault="00033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52 Pa.Code </w:t>
      </w:r>
      <w:r>
        <w:rPr>
          <w:rFonts w:cs="Times New Roman"/>
        </w:rPr>
        <w:t>§</w:t>
      </w:r>
      <w:r>
        <w:t xml:space="preserve"> 5.</w:t>
      </w:r>
      <w:r w:rsidR="00AC3290">
        <w:t>101(a).</w:t>
      </w:r>
    </w:p>
  </w:footnote>
  <w:footnote w:id="2">
    <w:p w14:paraId="65ED4F7B" w14:textId="77777777" w:rsidR="00AA2595" w:rsidRDefault="00AA2595" w:rsidP="00AA25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2130D">
        <w:rPr>
          <w:i/>
          <w:iCs/>
        </w:rPr>
        <w:t>Ridge v. State Employees’ Retirement Board</w:t>
      </w:r>
      <w:r>
        <w:t xml:space="preserve">, 690 A.2d 1312 (Pa. Cmwlth. 1997).  </w:t>
      </w:r>
    </w:p>
    <w:p w14:paraId="5C0F13B9" w14:textId="77777777" w:rsidR="00AA2595" w:rsidRDefault="00AA2595" w:rsidP="00AA2595">
      <w:pPr>
        <w:pStyle w:val="FootnoteText"/>
      </w:pPr>
    </w:p>
  </w:footnote>
  <w:footnote w:id="3">
    <w:p w14:paraId="49044647" w14:textId="77777777" w:rsidR="00844319" w:rsidRDefault="00844319" w:rsidP="00BC50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B2BD8">
        <w:rPr>
          <w:i/>
        </w:rPr>
        <w:t>Dept. of Auditor General, et al v. SERS, et al</w:t>
      </w:r>
      <w:r w:rsidRPr="00AB2BD8">
        <w:t>.,</w:t>
      </w:r>
      <w:r>
        <w:t xml:space="preserve"> 836 A.2d 1053, 1064 (Pa. Cmwlth. 2003); </w:t>
      </w:r>
      <w:r w:rsidRPr="00B908F9">
        <w:rPr>
          <w:i/>
        </w:rPr>
        <w:t>P.J.S. v. Pa. State Ethics Comm’n</w:t>
      </w:r>
      <w:r>
        <w:t>, 669 A.2d 1105 (Pa. Cmwlth. 1996).</w:t>
      </w:r>
    </w:p>
    <w:p w14:paraId="4408FCF1" w14:textId="77777777" w:rsidR="00844319" w:rsidRDefault="00844319" w:rsidP="00BC5018">
      <w:pPr>
        <w:pStyle w:val="FootnoteText"/>
      </w:pPr>
    </w:p>
  </w:footnote>
  <w:footnote w:id="4">
    <w:p w14:paraId="27DC79A7" w14:textId="65403FD6" w:rsidR="00844319" w:rsidRDefault="00844319" w:rsidP="00BC50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908F9">
        <w:rPr>
          <w:i/>
        </w:rPr>
        <w:t>Boyd v. Ward</w:t>
      </w:r>
      <w:r>
        <w:t xml:space="preserve">, 802 A.2d 705 (Pa. Cmwlth. 2002).  </w:t>
      </w:r>
      <w:r w:rsidR="00D11789">
        <w:br/>
      </w:r>
    </w:p>
  </w:footnote>
  <w:footnote w:id="5">
    <w:p w14:paraId="1FE0BD20" w14:textId="6CDDEAFA" w:rsidR="00341E8F" w:rsidRDefault="00341E8F" w:rsidP="00BC50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41E8F">
        <w:t>Docket No. F 00163617 (Order entered July 14, 1993),</w:t>
      </w:r>
      <w:r w:rsidR="00D11789">
        <w:br/>
      </w:r>
    </w:p>
  </w:footnote>
  <w:footnote w:id="6">
    <w:p w14:paraId="5D1AA788" w14:textId="4BE64FE2" w:rsidR="00316A48" w:rsidRDefault="00316A48" w:rsidP="00BC50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Frontier Utilities is also invited to contact Complainant Gillette to discuss the claims made in the </w:t>
      </w:r>
      <w:r w:rsidR="007F50DC">
        <w:t>complaint.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EE1A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022A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920C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C2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D61A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0E1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3C11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4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0C2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89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9"/>
  </w:num>
  <w:num w:numId="2">
    <w:abstractNumId w:val="30"/>
  </w:num>
  <w:num w:numId="3">
    <w:abstractNumId w:val="37"/>
  </w:num>
  <w:num w:numId="4">
    <w:abstractNumId w:val="41"/>
  </w:num>
  <w:num w:numId="5">
    <w:abstractNumId w:val="21"/>
  </w:num>
  <w:num w:numId="6">
    <w:abstractNumId w:val="18"/>
  </w:num>
  <w:num w:numId="7">
    <w:abstractNumId w:val="16"/>
  </w:num>
  <w:num w:numId="8">
    <w:abstractNumId w:val="40"/>
  </w:num>
  <w:num w:numId="9">
    <w:abstractNumId w:val="13"/>
  </w:num>
  <w:num w:numId="10">
    <w:abstractNumId w:val="32"/>
  </w:num>
  <w:num w:numId="11">
    <w:abstractNumId w:val="36"/>
  </w:num>
  <w:num w:numId="12">
    <w:abstractNumId w:val="26"/>
  </w:num>
  <w:num w:numId="13">
    <w:abstractNumId w:val="33"/>
  </w:num>
  <w:num w:numId="14">
    <w:abstractNumId w:val="38"/>
  </w:num>
  <w:num w:numId="15">
    <w:abstractNumId w:val="10"/>
  </w:num>
  <w:num w:numId="16">
    <w:abstractNumId w:val="31"/>
  </w:num>
  <w:num w:numId="17">
    <w:abstractNumId w:val="31"/>
  </w:num>
  <w:num w:numId="18">
    <w:abstractNumId w:val="20"/>
  </w:num>
  <w:num w:numId="19">
    <w:abstractNumId w:val="27"/>
  </w:num>
  <w:num w:numId="20">
    <w:abstractNumId w:val="42"/>
  </w:num>
  <w:num w:numId="21">
    <w:abstractNumId w:val="24"/>
  </w:num>
  <w:num w:numId="22">
    <w:abstractNumId w:val="15"/>
  </w:num>
  <w:num w:numId="23">
    <w:abstractNumId w:val="25"/>
  </w:num>
  <w:num w:numId="24">
    <w:abstractNumId w:val="45"/>
  </w:num>
  <w:num w:numId="25">
    <w:abstractNumId w:val="11"/>
  </w:num>
  <w:num w:numId="26">
    <w:abstractNumId w:val="17"/>
  </w:num>
  <w:num w:numId="27">
    <w:abstractNumId w:val="35"/>
  </w:num>
  <w:num w:numId="28">
    <w:abstractNumId w:val="23"/>
  </w:num>
  <w:num w:numId="29">
    <w:abstractNumId w:val="19"/>
  </w:num>
  <w:num w:numId="30">
    <w:abstractNumId w:val="29"/>
  </w:num>
  <w:num w:numId="31">
    <w:abstractNumId w:val="43"/>
  </w:num>
  <w:num w:numId="32">
    <w:abstractNumId w:val="44"/>
  </w:num>
  <w:num w:numId="33">
    <w:abstractNumId w:val="34"/>
  </w:num>
  <w:num w:numId="34">
    <w:abstractNumId w:val="14"/>
  </w:num>
  <w:num w:numId="35">
    <w:abstractNumId w:val="28"/>
  </w:num>
  <w:num w:numId="36">
    <w:abstractNumId w:val="12"/>
  </w:num>
  <w:num w:numId="37">
    <w:abstractNumId w:val="22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AC"/>
    <w:rsid w:val="00004C37"/>
    <w:rsid w:val="000066B3"/>
    <w:rsid w:val="000222A0"/>
    <w:rsid w:val="00024A48"/>
    <w:rsid w:val="00033EBB"/>
    <w:rsid w:val="00046544"/>
    <w:rsid w:val="0005395E"/>
    <w:rsid w:val="000658AC"/>
    <w:rsid w:val="00066BAF"/>
    <w:rsid w:val="00066D87"/>
    <w:rsid w:val="00083973"/>
    <w:rsid w:val="000B0D9F"/>
    <w:rsid w:val="000D0AD6"/>
    <w:rsid w:val="000E3EDE"/>
    <w:rsid w:val="000F3022"/>
    <w:rsid w:val="001033A6"/>
    <w:rsid w:val="00107E82"/>
    <w:rsid w:val="00135AF0"/>
    <w:rsid w:val="00170375"/>
    <w:rsid w:val="001A21B6"/>
    <w:rsid w:val="001B1947"/>
    <w:rsid w:val="001B1CBA"/>
    <w:rsid w:val="001B1ECB"/>
    <w:rsid w:val="001D2AF7"/>
    <w:rsid w:val="001D3C40"/>
    <w:rsid w:val="00207743"/>
    <w:rsid w:val="00213167"/>
    <w:rsid w:val="002512F9"/>
    <w:rsid w:val="00252519"/>
    <w:rsid w:val="002629A5"/>
    <w:rsid w:val="00267405"/>
    <w:rsid w:val="0028573E"/>
    <w:rsid w:val="00293A83"/>
    <w:rsid w:val="002B7D1E"/>
    <w:rsid w:val="002C2078"/>
    <w:rsid w:val="002F4080"/>
    <w:rsid w:val="00312635"/>
    <w:rsid w:val="003145FA"/>
    <w:rsid w:val="00316A48"/>
    <w:rsid w:val="00341E8F"/>
    <w:rsid w:val="00344942"/>
    <w:rsid w:val="00367A41"/>
    <w:rsid w:val="003757A2"/>
    <w:rsid w:val="00393C92"/>
    <w:rsid w:val="003A1A41"/>
    <w:rsid w:val="003A3E09"/>
    <w:rsid w:val="003D6700"/>
    <w:rsid w:val="003F619E"/>
    <w:rsid w:val="00414C3E"/>
    <w:rsid w:val="00417566"/>
    <w:rsid w:val="00420ADF"/>
    <w:rsid w:val="004236E9"/>
    <w:rsid w:val="00432470"/>
    <w:rsid w:val="00475564"/>
    <w:rsid w:val="004A1385"/>
    <w:rsid w:val="004C66DE"/>
    <w:rsid w:val="004D523C"/>
    <w:rsid w:val="004E6767"/>
    <w:rsid w:val="004F5932"/>
    <w:rsid w:val="004F646D"/>
    <w:rsid w:val="005078A6"/>
    <w:rsid w:val="00514476"/>
    <w:rsid w:val="005168FC"/>
    <w:rsid w:val="00575607"/>
    <w:rsid w:val="005857BC"/>
    <w:rsid w:val="005A0FE7"/>
    <w:rsid w:val="005A1C17"/>
    <w:rsid w:val="005A2ABA"/>
    <w:rsid w:val="005D1800"/>
    <w:rsid w:val="005D180A"/>
    <w:rsid w:val="005E7B69"/>
    <w:rsid w:val="005F3962"/>
    <w:rsid w:val="006106BC"/>
    <w:rsid w:val="00613EA9"/>
    <w:rsid w:val="0061775F"/>
    <w:rsid w:val="0062543E"/>
    <w:rsid w:val="0064551F"/>
    <w:rsid w:val="00660C8A"/>
    <w:rsid w:val="00696C0D"/>
    <w:rsid w:val="006B05E3"/>
    <w:rsid w:val="006C6A0D"/>
    <w:rsid w:val="006D0B60"/>
    <w:rsid w:val="006E01BB"/>
    <w:rsid w:val="006F0329"/>
    <w:rsid w:val="00700807"/>
    <w:rsid w:val="0071211B"/>
    <w:rsid w:val="00712E58"/>
    <w:rsid w:val="00723094"/>
    <w:rsid w:val="00724A01"/>
    <w:rsid w:val="00727264"/>
    <w:rsid w:val="0073347D"/>
    <w:rsid w:val="007407AC"/>
    <w:rsid w:val="00741D15"/>
    <w:rsid w:val="00754404"/>
    <w:rsid w:val="00755D72"/>
    <w:rsid w:val="007771C9"/>
    <w:rsid w:val="00791510"/>
    <w:rsid w:val="00792796"/>
    <w:rsid w:val="00796B64"/>
    <w:rsid w:val="007A1249"/>
    <w:rsid w:val="007C5951"/>
    <w:rsid w:val="007D63C9"/>
    <w:rsid w:val="007E6779"/>
    <w:rsid w:val="007F38F7"/>
    <w:rsid w:val="007F50DC"/>
    <w:rsid w:val="00820B4C"/>
    <w:rsid w:val="0083239D"/>
    <w:rsid w:val="00844319"/>
    <w:rsid w:val="008529D2"/>
    <w:rsid w:val="00877E3D"/>
    <w:rsid w:val="0088105E"/>
    <w:rsid w:val="008A11D0"/>
    <w:rsid w:val="008A2D32"/>
    <w:rsid w:val="008A3E05"/>
    <w:rsid w:val="008D04C5"/>
    <w:rsid w:val="008E7028"/>
    <w:rsid w:val="00917DCA"/>
    <w:rsid w:val="00920D5F"/>
    <w:rsid w:val="00925F51"/>
    <w:rsid w:val="00926DE3"/>
    <w:rsid w:val="00957240"/>
    <w:rsid w:val="00970293"/>
    <w:rsid w:val="0099275E"/>
    <w:rsid w:val="009B11AF"/>
    <w:rsid w:val="009C7C72"/>
    <w:rsid w:val="00A039D3"/>
    <w:rsid w:val="00A05B0D"/>
    <w:rsid w:val="00A21214"/>
    <w:rsid w:val="00A36628"/>
    <w:rsid w:val="00A44D7E"/>
    <w:rsid w:val="00A47096"/>
    <w:rsid w:val="00AA2595"/>
    <w:rsid w:val="00AA2EC5"/>
    <w:rsid w:val="00AA3432"/>
    <w:rsid w:val="00AB4C73"/>
    <w:rsid w:val="00AB5070"/>
    <w:rsid w:val="00AC09E4"/>
    <w:rsid w:val="00AC1643"/>
    <w:rsid w:val="00AC3290"/>
    <w:rsid w:val="00AD27C0"/>
    <w:rsid w:val="00AE6F47"/>
    <w:rsid w:val="00B123DE"/>
    <w:rsid w:val="00B2130D"/>
    <w:rsid w:val="00B32BF9"/>
    <w:rsid w:val="00B339FF"/>
    <w:rsid w:val="00B421C9"/>
    <w:rsid w:val="00B611DD"/>
    <w:rsid w:val="00B627BA"/>
    <w:rsid w:val="00B842C2"/>
    <w:rsid w:val="00B8659E"/>
    <w:rsid w:val="00B91E47"/>
    <w:rsid w:val="00B9310C"/>
    <w:rsid w:val="00BC5018"/>
    <w:rsid w:val="00BC6B21"/>
    <w:rsid w:val="00C036AA"/>
    <w:rsid w:val="00C04D8A"/>
    <w:rsid w:val="00C56C7C"/>
    <w:rsid w:val="00C65884"/>
    <w:rsid w:val="00C87E57"/>
    <w:rsid w:val="00C90299"/>
    <w:rsid w:val="00C91D7C"/>
    <w:rsid w:val="00CB43B8"/>
    <w:rsid w:val="00CF6143"/>
    <w:rsid w:val="00CF7390"/>
    <w:rsid w:val="00D007DD"/>
    <w:rsid w:val="00D11789"/>
    <w:rsid w:val="00D14843"/>
    <w:rsid w:val="00DA35AC"/>
    <w:rsid w:val="00DD5C37"/>
    <w:rsid w:val="00DF35D9"/>
    <w:rsid w:val="00E26B7B"/>
    <w:rsid w:val="00E4239A"/>
    <w:rsid w:val="00E53887"/>
    <w:rsid w:val="00E6458F"/>
    <w:rsid w:val="00E731E1"/>
    <w:rsid w:val="00E87F28"/>
    <w:rsid w:val="00EB027A"/>
    <w:rsid w:val="00EC1CBA"/>
    <w:rsid w:val="00EE1D9E"/>
    <w:rsid w:val="00EE2850"/>
    <w:rsid w:val="00EE7801"/>
    <w:rsid w:val="00F11A19"/>
    <w:rsid w:val="00F16554"/>
    <w:rsid w:val="00F37D7F"/>
    <w:rsid w:val="00F544E1"/>
    <w:rsid w:val="00F649A4"/>
    <w:rsid w:val="00F71457"/>
    <w:rsid w:val="00F95DD5"/>
    <w:rsid w:val="00F96A10"/>
    <w:rsid w:val="00FC649C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F9AC"/>
  <w15:chartTrackingRefBased/>
  <w15:docId w15:val="{2495AEEA-576B-487F-8613-CA89F83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aliases w:val="Car"/>
    <w:basedOn w:val="Normal"/>
    <w:link w:val="FootnoteTextChar"/>
    <w:autoRedefine/>
    <w:uiPriority w:val="99"/>
    <w:qFormat/>
    <w:rsid w:val="00D11789"/>
    <w:pPr>
      <w:spacing w:after="0"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11789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844319"/>
    <w:rPr>
      <w:rFonts w:ascii="Times New Roman" w:hAnsi="Times New Roman"/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844319"/>
    <w:pPr>
      <w:spacing w:after="120" w:line="240" w:lineRule="auto"/>
    </w:pPr>
    <w:rPr>
      <w:rFonts w:eastAsia="Times New Roman" w:cs="Times New Roman"/>
      <w:iCs/>
      <w:color w:val="000000" w:themeColor="tex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44319"/>
    <w:rPr>
      <w:rFonts w:eastAsia="Times New Roman"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7C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951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951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F7F6-BD32-4F9F-A239-7BF5E13F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2022-04-07T17:58:00Z</dcterms:created>
  <dcterms:modified xsi:type="dcterms:W3CDTF">2022-04-07T17:58:00Z</dcterms:modified>
</cp:coreProperties>
</file>