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EEB3" w14:textId="77777777" w:rsidR="0053078B" w:rsidRPr="00E84792" w:rsidRDefault="0053078B">
      <w:pPr>
        <w:pStyle w:val="Title"/>
      </w:pPr>
      <w:r w:rsidRPr="00E84792">
        <w:t>BEFORE THE</w:t>
      </w:r>
    </w:p>
    <w:p w14:paraId="5785F2D6" w14:textId="77777777" w:rsidR="0053078B" w:rsidRPr="00E84792" w:rsidRDefault="0053078B">
      <w:pPr>
        <w:pStyle w:val="Subtitle"/>
      </w:pPr>
      <w:r w:rsidRPr="00E84792">
        <w:t>PENNSYLVANIA PUBLIC UTILITY COMMISSION</w:t>
      </w:r>
    </w:p>
    <w:p w14:paraId="48C1E338" w14:textId="77777777" w:rsidR="0053078B" w:rsidRPr="00E84792" w:rsidRDefault="0053078B">
      <w:pPr>
        <w:jc w:val="center"/>
      </w:pPr>
    </w:p>
    <w:p w14:paraId="5136AF43" w14:textId="77777777" w:rsidR="0053078B" w:rsidRPr="00E84792" w:rsidRDefault="0053078B">
      <w:pPr>
        <w:jc w:val="center"/>
      </w:pPr>
    </w:p>
    <w:p w14:paraId="39EE87F7" w14:textId="77777777" w:rsidR="00E84792" w:rsidRPr="00E84792" w:rsidRDefault="00E84792">
      <w:pPr>
        <w:jc w:val="center"/>
      </w:pPr>
    </w:p>
    <w:p w14:paraId="0EE2D46B" w14:textId="77777777" w:rsidR="0053078B" w:rsidRPr="00E84792" w:rsidRDefault="0053078B">
      <w:r w:rsidRPr="00E84792">
        <w:t>Pennsylvania Public Utility</w:t>
      </w:r>
      <w:r w:rsidR="00291421" w:rsidRPr="00E84792">
        <w:t xml:space="preserve"> Commission</w:t>
      </w:r>
      <w:r w:rsidRPr="00E84792">
        <w:tab/>
      </w:r>
      <w:r w:rsidRPr="00E84792">
        <w:tab/>
        <w:t>:</w:t>
      </w:r>
      <w:r w:rsidR="00C46564" w:rsidRPr="00E84792">
        <w:tab/>
      </w:r>
      <w:r w:rsidR="00C46564" w:rsidRPr="00E84792">
        <w:tab/>
      </w:r>
      <w:r w:rsidR="00AB0D38">
        <w:t>R-2022-3030686</w:t>
      </w:r>
    </w:p>
    <w:p w14:paraId="2EFBBD80" w14:textId="77777777" w:rsidR="00E06779" w:rsidRDefault="00E06779">
      <w:r w:rsidRPr="00E84792">
        <w:t>Office of Consumer Advocate</w:t>
      </w:r>
      <w:r w:rsidRPr="00E84792">
        <w:tab/>
      </w:r>
      <w:r w:rsidRPr="00E84792">
        <w:tab/>
      </w:r>
      <w:r w:rsidRPr="00E84792">
        <w:tab/>
        <w:t>:</w:t>
      </w:r>
      <w:r w:rsidRPr="00E84792">
        <w:tab/>
      </w:r>
      <w:r w:rsidRPr="00E84792">
        <w:tab/>
      </w:r>
      <w:bookmarkStart w:id="0" w:name="_Hlk511388369"/>
      <w:r w:rsidRPr="00E84792">
        <w:t>C-20</w:t>
      </w:r>
      <w:bookmarkEnd w:id="0"/>
      <w:r>
        <w:t>22-3030978</w:t>
      </w:r>
    </w:p>
    <w:p w14:paraId="0AA1ACEC" w14:textId="77777777" w:rsidR="00E06779" w:rsidRDefault="00E06779">
      <w:r w:rsidRPr="00E84792">
        <w:t>Office of Small Business Advocate</w:t>
      </w:r>
      <w:r>
        <w:tab/>
      </w:r>
      <w:r>
        <w:tab/>
      </w:r>
      <w:r>
        <w:tab/>
        <w:t>:</w:t>
      </w:r>
      <w:r>
        <w:tab/>
      </w:r>
      <w:r>
        <w:tab/>
        <w:t>C-2022-3030971</w:t>
      </w:r>
    </w:p>
    <w:p w14:paraId="77738FE8" w14:textId="77777777" w:rsidR="003172C2" w:rsidRDefault="00AB0D38">
      <w:pPr>
        <w:rPr>
          <w:szCs w:val="24"/>
        </w:rPr>
      </w:pPr>
      <w:r>
        <w:tab/>
      </w:r>
      <w:r>
        <w:tab/>
      </w:r>
      <w:r w:rsidR="006369E4">
        <w:tab/>
      </w:r>
      <w:r w:rsidR="006369E4">
        <w:tab/>
      </w:r>
      <w:r w:rsidR="006369E4">
        <w:tab/>
      </w:r>
      <w:r w:rsidR="006369E4">
        <w:tab/>
      </w:r>
      <w:r w:rsidR="006369E4">
        <w:tab/>
        <w:t>:</w:t>
      </w:r>
      <w:r w:rsidR="006369E4">
        <w:tab/>
      </w:r>
      <w:r w:rsidR="006369E4">
        <w:tab/>
      </w:r>
    </w:p>
    <w:p w14:paraId="27649DA3" w14:textId="77777777" w:rsidR="006369E4" w:rsidRDefault="00D73B15">
      <w:r>
        <w:rPr>
          <w:szCs w:val="24"/>
        </w:rPr>
        <w:tab/>
      </w:r>
      <w:r>
        <w:rPr>
          <w:szCs w:val="24"/>
        </w:rPr>
        <w:tab/>
      </w:r>
      <w:r>
        <w:rPr>
          <w:szCs w:val="24"/>
        </w:rPr>
        <w:tab/>
      </w:r>
      <w:r>
        <w:rPr>
          <w:szCs w:val="24"/>
        </w:rPr>
        <w:tab/>
      </w:r>
      <w:r w:rsidR="003172C2">
        <w:rPr>
          <w:szCs w:val="24"/>
        </w:rPr>
        <w:tab/>
      </w:r>
      <w:r w:rsidR="003172C2">
        <w:rPr>
          <w:szCs w:val="24"/>
        </w:rPr>
        <w:tab/>
      </w:r>
      <w:r w:rsidR="003172C2">
        <w:rPr>
          <w:szCs w:val="24"/>
        </w:rPr>
        <w:tab/>
        <w:t>:</w:t>
      </w:r>
      <w:r w:rsidR="003172C2">
        <w:rPr>
          <w:szCs w:val="24"/>
        </w:rPr>
        <w:tab/>
      </w:r>
      <w:r w:rsidR="006369E4">
        <w:tab/>
      </w:r>
    </w:p>
    <w:p w14:paraId="5A002E7C" w14:textId="77777777" w:rsidR="00306BB7" w:rsidRPr="00E84792" w:rsidRDefault="00306BB7">
      <w:r>
        <w:tab/>
      </w:r>
      <w:r>
        <w:tab/>
      </w:r>
      <w:r>
        <w:tab/>
      </w:r>
      <w:r>
        <w:tab/>
      </w:r>
      <w:r>
        <w:tab/>
      </w:r>
      <w:r>
        <w:tab/>
      </w:r>
      <w:r>
        <w:tab/>
        <w:t>:</w:t>
      </w:r>
    </w:p>
    <w:p w14:paraId="540434B2" w14:textId="77777777" w:rsidR="001A0BF4" w:rsidRPr="00E84792" w:rsidRDefault="00E84792" w:rsidP="001A0BF4">
      <w:r w:rsidRPr="00E84792">
        <w:tab/>
        <w:t>v.</w:t>
      </w:r>
      <w:r w:rsidRPr="00E84792">
        <w:tab/>
      </w:r>
      <w:r w:rsidRPr="00E84792">
        <w:tab/>
      </w:r>
      <w:r w:rsidRPr="00E84792">
        <w:tab/>
      </w:r>
      <w:r w:rsidRPr="00E84792">
        <w:tab/>
      </w:r>
      <w:r w:rsidRPr="00E84792">
        <w:tab/>
      </w:r>
      <w:r w:rsidRPr="00E84792">
        <w:tab/>
        <w:t>:</w:t>
      </w:r>
    </w:p>
    <w:p w14:paraId="40666ED9" w14:textId="77777777" w:rsidR="0053078B" w:rsidRPr="00E84792" w:rsidRDefault="0053078B">
      <w:r w:rsidRPr="00E84792">
        <w:tab/>
      </w:r>
      <w:r w:rsidRPr="00E84792">
        <w:tab/>
      </w:r>
      <w:r w:rsidRPr="00E84792">
        <w:tab/>
      </w:r>
      <w:r w:rsidRPr="00E84792">
        <w:tab/>
      </w:r>
      <w:r w:rsidRPr="00E84792">
        <w:tab/>
      </w:r>
      <w:r w:rsidRPr="00E84792">
        <w:tab/>
      </w:r>
      <w:r w:rsidRPr="00E84792">
        <w:tab/>
        <w:t>:</w:t>
      </w:r>
    </w:p>
    <w:p w14:paraId="34B76109" w14:textId="77777777" w:rsidR="0053078B" w:rsidRPr="00E84792" w:rsidRDefault="00AB0D38">
      <w:r>
        <w:t>Philadelphia Gas Works</w:t>
      </w:r>
      <w:r>
        <w:tab/>
      </w:r>
      <w:r w:rsidR="005B48AD" w:rsidRPr="00E84792">
        <w:tab/>
      </w:r>
      <w:r w:rsidR="00CD2BF8" w:rsidRPr="00E84792">
        <w:tab/>
      </w:r>
      <w:r w:rsidR="00291421" w:rsidRPr="00E84792">
        <w:tab/>
      </w:r>
      <w:r w:rsidR="0053078B" w:rsidRPr="00E84792">
        <w:t>:</w:t>
      </w:r>
    </w:p>
    <w:p w14:paraId="7A1266D0" w14:textId="77777777" w:rsidR="0053078B" w:rsidRPr="00E84792" w:rsidRDefault="0053078B"/>
    <w:p w14:paraId="2EFF43E2" w14:textId="77777777" w:rsidR="0053078B" w:rsidRPr="00E84792" w:rsidRDefault="0053078B"/>
    <w:p w14:paraId="11DBF492" w14:textId="77777777" w:rsidR="0053078B" w:rsidRPr="00E84792" w:rsidRDefault="0053078B" w:rsidP="005047C8">
      <w:pPr>
        <w:pStyle w:val="Heading1"/>
        <w:jc w:val="left"/>
      </w:pPr>
    </w:p>
    <w:p w14:paraId="3E4232BF" w14:textId="17CEB760" w:rsidR="0053078B" w:rsidRPr="00E84792" w:rsidRDefault="009E4BCB">
      <w:pPr>
        <w:pStyle w:val="Heading1"/>
        <w:rPr>
          <w:b/>
        </w:rPr>
      </w:pPr>
      <w:r>
        <w:rPr>
          <w:b/>
        </w:rPr>
        <w:t>BRIEFING ORDER</w:t>
      </w:r>
    </w:p>
    <w:p w14:paraId="0CA19B96" w14:textId="7B84FDD1" w:rsidR="0053078B" w:rsidRDefault="0053078B" w:rsidP="00AB0D38">
      <w:pPr>
        <w:tabs>
          <w:tab w:val="left" w:pos="1875"/>
        </w:tabs>
        <w:spacing w:line="360" w:lineRule="auto"/>
      </w:pPr>
    </w:p>
    <w:p w14:paraId="2EDA86EF" w14:textId="77777777" w:rsidR="00AB0D38" w:rsidRDefault="00DF4D7F" w:rsidP="00DF4D7F">
      <w:pPr>
        <w:tabs>
          <w:tab w:val="left" w:pos="0"/>
        </w:tabs>
        <w:spacing w:line="360" w:lineRule="auto"/>
      </w:pPr>
      <w:r>
        <w:tab/>
      </w:r>
      <w:r>
        <w:tab/>
        <w:t>On February 1, 2022, Philadelphia Gas Works (PGW or Company) filed its prefiling information required for its 2022-2023 Gas Cost Rate</w:t>
      </w:r>
      <w:r w:rsidR="0019449E">
        <w:t xml:space="preserve"> (GCR)</w:t>
      </w:r>
      <w:r>
        <w:t xml:space="preserve"> Filing.  </w:t>
      </w:r>
      <w:r w:rsidR="0019449E">
        <w:t>PGW indicated that it would submit its annual GCR filing on or before March 1, 2022.</w:t>
      </w:r>
    </w:p>
    <w:p w14:paraId="10775692" w14:textId="77777777" w:rsidR="0059640E" w:rsidRDefault="0059640E" w:rsidP="00DF4D7F">
      <w:pPr>
        <w:tabs>
          <w:tab w:val="left" w:pos="0"/>
        </w:tabs>
        <w:spacing w:line="360" w:lineRule="auto"/>
      </w:pPr>
    </w:p>
    <w:p w14:paraId="4D40C70D" w14:textId="77777777" w:rsidR="0059640E" w:rsidRDefault="0059640E" w:rsidP="0059640E">
      <w:pPr>
        <w:tabs>
          <w:tab w:val="left" w:pos="0"/>
        </w:tabs>
        <w:spacing w:line="360" w:lineRule="auto"/>
        <w:ind w:firstLine="1440"/>
      </w:pPr>
      <w:r>
        <w:t xml:space="preserve">On February 17, 2022, the Office of Consumer Advocate </w:t>
      </w:r>
      <w:r w:rsidR="0057714F">
        <w:t xml:space="preserve">(OCA) </w:t>
      </w:r>
      <w:r>
        <w:t>filed a Complaint, Public Statement and Notice of Appearance on behalf of Christy M. Appleby, Esq. and Aron J. Beatty, Esq.  The Complaint was docketed at C-2022-</w:t>
      </w:r>
      <w:r w:rsidR="00E06779">
        <w:t>3030978</w:t>
      </w:r>
      <w:r>
        <w:t>.</w:t>
      </w:r>
    </w:p>
    <w:p w14:paraId="49211769" w14:textId="77777777" w:rsidR="0059640E" w:rsidRDefault="0059640E" w:rsidP="0059640E">
      <w:pPr>
        <w:tabs>
          <w:tab w:val="left" w:pos="0"/>
        </w:tabs>
        <w:spacing w:line="360" w:lineRule="auto"/>
        <w:ind w:firstLine="1440"/>
      </w:pPr>
    </w:p>
    <w:p w14:paraId="158C013F" w14:textId="77777777" w:rsidR="0059640E" w:rsidRDefault="0059640E" w:rsidP="0059640E">
      <w:pPr>
        <w:tabs>
          <w:tab w:val="left" w:pos="0"/>
        </w:tabs>
        <w:spacing w:line="360" w:lineRule="auto"/>
        <w:ind w:firstLine="1440"/>
      </w:pPr>
      <w:r>
        <w:t xml:space="preserve">Also </w:t>
      </w:r>
      <w:r w:rsidR="00E06779">
        <w:t>o</w:t>
      </w:r>
      <w:r>
        <w:t xml:space="preserve">n February </w:t>
      </w:r>
      <w:r w:rsidR="00E06779">
        <w:t>17</w:t>
      </w:r>
      <w:r>
        <w:t>, 2022, the Office of Small Business Advocate (OSBA) filed a Verification, Public Statement, a Notice of Appearance on behalf of Sharon E. Webb, Esq., and a formal Complaint.  The Complaint was docketed at C-2022-</w:t>
      </w:r>
      <w:r w:rsidR="00E06779">
        <w:t>3030971</w:t>
      </w:r>
      <w:r>
        <w:t>.</w:t>
      </w:r>
    </w:p>
    <w:p w14:paraId="37188928" w14:textId="77777777" w:rsidR="00310403" w:rsidRDefault="00310403" w:rsidP="00DF4D7F">
      <w:pPr>
        <w:tabs>
          <w:tab w:val="left" w:pos="0"/>
        </w:tabs>
        <w:spacing w:line="360" w:lineRule="auto"/>
      </w:pPr>
    </w:p>
    <w:p w14:paraId="43529102" w14:textId="77777777" w:rsidR="00310403" w:rsidRDefault="00310403" w:rsidP="00DF4D7F">
      <w:pPr>
        <w:tabs>
          <w:tab w:val="left" w:pos="0"/>
        </w:tabs>
        <w:spacing w:line="360" w:lineRule="auto"/>
      </w:pPr>
      <w:r>
        <w:tab/>
      </w:r>
      <w:r>
        <w:tab/>
      </w:r>
      <w:r w:rsidR="00E06779">
        <w:t>Also o</w:t>
      </w:r>
      <w:r>
        <w:t xml:space="preserve">n February </w:t>
      </w:r>
      <w:r w:rsidR="00E06779">
        <w:t>17</w:t>
      </w:r>
      <w:r>
        <w:t xml:space="preserve">, 2022, </w:t>
      </w:r>
      <w:r w:rsidR="00E06779">
        <w:t xml:space="preserve">Gina L. Miller, Esq., and Scott B. Granger, Esq., </w:t>
      </w:r>
      <w:r w:rsidR="00F55CA2">
        <w:t>entered</w:t>
      </w:r>
      <w:r w:rsidR="000D5CE6">
        <w:t xml:space="preserve"> a </w:t>
      </w:r>
      <w:r w:rsidR="00F55CA2">
        <w:t>N</w:t>
      </w:r>
      <w:r w:rsidR="000D5CE6">
        <w:t xml:space="preserve">otice of </w:t>
      </w:r>
      <w:r w:rsidR="00F55CA2">
        <w:t>A</w:t>
      </w:r>
      <w:r w:rsidR="000D5CE6">
        <w:t>ppearance on behalf of the Commission’s Bureau of Investigation and Enforcement (I&amp;E).</w:t>
      </w:r>
    </w:p>
    <w:p w14:paraId="5191CC86" w14:textId="77777777" w:rsidR="00C61524" w:rsidRDefault="00C61524" w:rsidP="00DF4D7F">
      <w:pPr>
        <w:tabs>
          <w:tab w:val="left" w:pos="0"/>
        </w:tabs>
        <w:spacing w:line="360" w:lineRule="auto"/>
      </w:pPr>
    </w:p>
    <w:p w14:paraId="615FFF81" w14:textId="66C4F51F" w:rsidR="00C61524" w:rsidRDefault="00C61524" w:rsidP="00DF4D7F">
      <w:pPr>
        <w:tabs>
          <w:tab w:val="left" w:pos="0"/>
        </w:tabs>
        <w:spacing w:line="360" w:lineRule="auto"/>
      </w:pPr>
      <w:r>
        <w:tab/>
      </w:r>
      <w:r>
        <w:tab/>
      </w:r>
      <w:r w:rsidRPr="00865EEF">
        <w:t xml:space="preserve">On February </w:t>
      </w:r>
      <w:r w:rsidR="00865EEF">
        <w:t>24</w:t>
      </w:r>
      <w:r w:rsidRPr="00865EEF">
        <w:t>, 2022, the Philadelphia Industrial and Commercial Users Group (PICGUG) filed a Petition to Intervene in this proceeding.</w:t>
      </w:r>
    </w:p>
    <w:p w14:paraId="2CFC82BA" w14:textId="6E2FDE0D" w:rsidR="0054471A" w:rsidRDefault="0054471A" w:rsidP="00DF4D7F">
      <w:pPr>
        <w:tabs>
          <w:tab w:val="left" w:pos="0"/>
        </w:tabs>
        <w:spacing w:line="360" w:lineRule="auto"/>
      </w:pPr>
    </w:p>
    <w:p w14:paraId="3D6699AD" w14:textId="0EEC5E32" w:rsidR="0054471A" w:rsidRDefault="0054471A" w:rsidP="00DF4D7F">
      <w:pPr>
        <w:tabs>
          <w:tab w:val="left" w:pos="0"/>
        </w:tabs>
        <w:spacing w:line="360" w:lineRule="auto"/>
      </w:pPr>
      <w:r>
        <w:tab/>
      </w:r>
      <w:r>
        <w:tab/>
        <w:t>On March 1, 2022, PGW filed its 2022-2023 Gas Cost Rate Filing.</w:t>
      </w:r>
    </w:p>
    <w:p w14:paraId="1CE64E93" w14:textId="4A612FE6" w:rsidR="0054471A" w:rsidRDefault="0054471A" w:rsidP="00DF4D7F">
      <w:pPr>
        <w:tabs>
          <w:tab w:val="left" w:pos="0"/>
        </w:tabs>
        <w:spacing w:line="360" w:lineRule="auto"/>
      </w:pPr>
    </w:p>
    <w:p w14:paraId="0D7763DF" w14:textId="3E882AB9" w:rsidR="0054471A" w:rsidRDefault="0054471A" w:rsidP="00DF4D7F">
      <w:pPr>
        <w:tabs>
          <w:tab w:val="left" w:pos="0"/>
        </w:tabs>
        <w:spacing w:line="360" w:lineRule="auto"/>
      </w:pPr>
      <w:r>
        <w:tab/>
      </w:r>
      <w:r>
        <w:tab/>
        <w:t xml:space="preserve">On March 8, 2022, </w:t>
      </w:r>
      <w:r w:rsidR="00B56D3A">
        <w:t xml:space="preserve">Gray’s Ferry Cogeneration Partnership and Vicinity Energy Philadelphia, Inc. (Vicinity) filed a Petition to Intervene in this proceeding.  </w:t>
      </w:r>
    </w:p>
    <w:p w14:paraId="3AD9D500" w14:textId="77777777" w:rsidR="00C61524" w:rsidRDefault="00C61524" w:rsidP="00DF4D7F">
      <w:pPr>
        <w:tabs>
          <w:tab w:val="left" w:pos="0"/>
        </w:tabs>
        <w:spacing w:line="360" w:lineRule="auto"/>
      </w:pPr>
    </w:p>
    <w:p w14:paraId="51CD325F" w14:textId="37CFD52F" w:rsidR="00AB0D38" w:rsidRDefault="00310403" w:rsidP="00310403">
      <w:pPr>
        <w:tabs>
          <w:tab w:val="left" w:pos="0"/>
        </w:tabs>
        <w:spacing w:line="360" w:lineRule="auto"/>
      </w:pPr>
      <w:r>
        <w:tab/>
      </w:r>
      <w:r>
        <w:tab/>
        <w:t xml:space="preserve">The gas cost rate filing was assigned to the Office of Administrative Law Judge for resolution by hearings and for issuance of a Recommended Decision.  The matter was assigned to Deputy Chief Administrative Law Judge Christopher P. Pell and Administrative Law Judge Arlene Ashton.  </w:t>
      </w:r>
    </w:p>
    <w:p w14:paraId="3B3237D4" w14:textId="10948BFF" w:rsidR="0054471A" w:rsidRDefault="0054471A" w:rsidP="00310403">
      <w:pPr>
        <w:tabs>
          <w:tab w:val="left" w:pos="0"/>
        </w:tabs>
        <w:spacing w:line="360" w:lineRule="auto"/>
      </w:pPr>
    </w:p>
    <w:p w14:paraId="2DCB7028" w14:textId="08DBCDB5" w:rsidR="0054471A" w:rsidRDefault="0054471A" w:rsidP="00310403">
      <w:pPr>
        <w:tabs>
          <w:tab w:val="left" w:pos="0"/>
        </w:tabs>
        <w:spacing w:line="360" w:lineRule="auto"/>
      </w:pPr>
      <w:r>
        <w:tab/>
      </w:r>
      <w:r>
        <w:tab/>
        <w:t xml:space="preserve">A prehearing conference in this matter was held on March 10, 2022.  Counsel for PGW, I&amp;E, OCA, OSBA, PICGUG and Vicinity participated.  </w:t>
      </w:r>
    </w:p>
    <w:p w14:paraId="736F4BB4" w14:textId="0FB82604" w:rsidR="00B56D3A" w:rsidRDefault="00B56D3A" w:rsidP="00310403">
      <w:pPr>
        <w:tabs>
          <w:tab w:val="left" w:pos="0"/>
        </w:tabs>
        <w:spacing w:line="360" w:lineRule="auto"/>
      </w:pPr>
    </w:p>
    <w:p w14:paraId="0E11D1A0" w14:textId="597EC261" w:rsidR="009A65F3" w:rsidRDefault="00B56D3A" w:rsidP="00310403">
      <w:pPr>
        <w:tabs>
          <w:tab w:val="left" w:pos="0"/>
        </w:tabs>
        <w:spacing w:line="360" w:lineRule="auto"/>
      </w:pPr>
      <w:r>
        <w:tab/>
      </w:r>
      <w:r>
        <w:tab/>
      </w:r>
      <w:r w:rsidR="000B6238">
        <w:t xml:space="preserve">No party opposed the Petitions to Intervene filed by </w:t>
      </w:r>
      <w:r w:rsidR="00B22200">
        <w:t xml:space="preserve">PICGUG and Vicinity.  Accordingly, the Presiding Officers granted their Petitions to Intervene during the Prehearing Conference and memorialized their status in their </w:t>
      </w:r>
      <w:r w:rsidR="003D0513">
        <w:t xml:space="preserve">March 15, </w:t>
      </w:r>
      <w:r w:rsidR="007D783E">
        <w:t>2022,</w:t>
      </w:r>
      <w:r w:rsidR="003D0513">
        <w:t xml:space="preserve"> Prehearing Order #1. </w:t>
      </w:r>
    </w:p>
    <w:p w14:paraId="09D819EC" w14:textId="77777777" w:rsidR="009A65F3" w:rsidRDefault="009A65F3" w:rsidP="00310403">
      <w:pPr>
        <w:tabs>
          <w:tab w:val="left" w:pos="0"/>
        </w:tabs>
        <w:spacing w:line="360" w:lineRule="auto"/>
      </w:pPr>
    </w:p>
    <w:p w14:paraId="71DE202F" w14:textId="77777777" w:rsidR="0096720D" w:rsidRDefault="009A65F3" w:rsidP="00310403">
      <w:pPr>
        <w:tabs>
          <w:tab w:val="left" w:pos="0"/>
        </w:tabs>
        <w:spacing w:line="360" w:lineRule="auto"/>
      </w:pPr>
      <w:r>
        <w:tab/>
      </w:r>
      <w:r>
        <w:tab/>
        <w:t xml:space="preserve">By Prehearing Order #2 dated March 17, 2022, the Presiding Officers </w:t>
      </w:r>
      <w:r w:rsidR="00EA7502">
        <w:t xml:space="preserve">granted </w:t>
      </w:r>
      <w:r w:rsidR="009B5109">
        <w:t xml:space="preserve">PGW’s </w:t>
      </w:r>
      <w:r w:rsidR="0096720D">
        <w:t xml:space="preserve">Motion for Protective Order. </w:t>
      </w:r>
    </w:p>
    <w:p w14:paraId="2CF7D7EC" w14:textId="77777777" w:rsidR="0096720D" w:rsidRDefault="0096720D" w:rsidP="00310403">
      <w:pPr>
        <w:tabs>
          <w:tab w:val="left" w:pos="0"/>
        </w:tabs>
        <w:spacing w:line="360" w:lineRule="auto"/>
      </w:pPr>
    </w:p>
    <w:p w14:paraId="59C42B4B" w14:textId="77777777" w:rsidR="00B271D0" w:rsidRDefault="00A37536" w:rsidP="00310403">
      <w:pPr>
        <w:tabs>
          <w:tab w:val="left" w:pos="0"/>
        </w:tabs>
        <w:spacing w:line="360" w:lineRule="auto"/>
      </w:pPr>
      <w:r>
        <w:tab/>
      </w:r>
      <w:r>
        <w:tab/>
        <w:t xml:space="preserve">On April 1, 2022, </w:t>
      </w:r>
      <w:r w:rsidR="00387DEA">
        <w:t>the OCA served the Direct Testimony of Jerome D. Mierzwa</w:t>
      </w:r>
      <w:r w:rsidR="00B271D0">
        <w:t xml:space="preserve">, OCA Statement No. 1.  </w:t>
      </w:r>
    </w:p>
    <w:p w14:paraId="6C2722D5" w14:textId="77777777" w:rsidR="00B271D0" w:rsidRDefault="00B271D0" w:rsidP="00310403">
      <w:pPr>
        <w:tabs>
          <w:tab w:val="left" w:pos="0"/>
        </w:tabs>
        <w:spacing w:line="360" w:lineRule="auto"/>
      </w:pPr>
    </w:p>
    <w:p w14:paraId="3A9C0AB1" w14:textId="77777777" w:rsidR="003A4A7F" w:rsidRDefault="005C66E6" w:rsidP="00310403">
      <w:pPr>
        <w:tabs>
          <w:tab w:val="left" w:pos="0"/>
        </w:tabs>
        <w:spacing w:line="360" w:lineRule="auto"/>
      </w:pPr>
      <w:r>
        <w:tab/>
      </w:r>
      <w:r>
        <w:tab/>
      </w:r>
      <w:r w:rsidR="0018685E">
        <w:t xml:space="preserve">On April 13, 2022, PGW served the Rebuttal Testimony of Ryan E. Reeves, PGW St. 2-R.  </w:t>
      </w:r>
    </w:p>
    <w:p w14:paraId="7F9CC434" w14:textId="77777777" w:rsidR="003A4A7F" w:rsidRDefault="003A4A7F" w:rsidP="00310403">
      <w:pPr>
        <w:tabs>
          <w:tab w:val="left" w:pos="0"/>
        </w:tabs>
        <w:spacing w:line="360" w:lineRule="auto"/>
      </w:pPr>
    </w:p>
    <w:p w14:paraId="7D937912" w14:textId="01252191" w:rsidR="00204791" w:rsidRDefault="003A4A7F" w:rsidP="00310403">
      <w:pPr>
        <w:tabs>
          <w:tab w:val="left" w:pos="0"/>
        </w:tabs>
        <w:spacing w:line="360" w:lineRule="auto"/>
      </w:pPr>
      <w:r>
        <w:tab/>
      </w:r>
      <w:r>
        <w:tab/>
        <w:t xml:space="preserve">On April 19, 2022, the OCA served the Rebuttal Testimony of Jerome D. Mierzwa, OCA Statement </w:t>
      </w:r>
      <w:r w:rsidR="00204791">
        <w:t xml:space="preserve">No. 1-SR.  </w:t>
      </w:r>
    </w:p>
    <w:p w14:paraId="0885634A" w14:textId="003EB66D" w:rsidR="00793C67" w:rsidRDefault="00793C67" w:rsidP="00310403">
      <w:pPr>
        <w:tabs>
          <w:tab w:val="left" w:pos="0"/>
        </w:tabs>
        <w:spacing w:line="360" w:lineRule="auto"/>
      </w:pPr>
    </w:p>
    <w:p w14:paraId="00E9167B" w14:textId="5D8AAFD6" w:rsidR="00793C67" w:rsidRDefault="00793C67" w:rsidP="00310403">
      <w:pPr>
        <w:tabs>
          <w:tab w:val="left" w:pos="0"/>
        </w:tabs>
        <w:spacing w:line="360" w:lineRule="auto"/>
      </w:pPr>
      <w:r>
        <w:lastRenderedPageBreak/>
        <w:tab/>
      </w:r>
      <w:r>
        <w:tab/>
        <w:t>Also on April 19, 2022, the Presiding Officers</w:t>
      </w:r>
      <w:r w:rsidR="00456010">
        <w:t xml:space="preserve"> emailed the parties the cross-examination matrix for the hearings in this proceeding and directed the parties to complete the cross-examination matrix and return it by </w:t>
      </w:r>
      <w:r w:rsidR="00F63A1C">
        <w:t xml:space="preserve">2:00 p.m. on Wednesday, April 20, 2022.  </w:t>
      </w:r>
    </w:p>
    <w:p w14:paraId="0487946D" w14:textId="77777777" w:rsidR="00204791" w:rsidRDefault="00204791" w:rsidP="00310403">
      <w:pPr>
        <w:tabs>
          <w:tab w:val="left" w:pos="0"/>
        </w:tabs>
        <w:spacing w:line="360" w:lineRule="auto"/>
      </w:pPr>
    </w:p>
    <w:p w14:paraId="2697110A" w14:textId="5CB9844B" w:rsidR="00B56D3A" w:rsidRDefault="00204791" w:rsidP="00310403">
      <w:pPr>
        <w:tabs>
          <w:tab w:val="left" w:pos="0"/>
        </w:tabs>
        <w:spacing w:line="360" w:lineRule="auto"/>
      </w:pPr>
      <w:r>
        <w:tab/>
      </w:r>
      <w:r>
        <w:tab/>
        <w:t xml:space="preserve">On April 20, 2022, PGW served the Rejoinder Testimony of Ryan E. Reeves, </w:t>
      </w:r>
      <w:r w:rsidR="00BE443E">
        <w:t xml:space="preserve">PGW St. No. 2-RJ.  </w:t>
      </w:r>
      <w:r w:rsidR="00B56D3A">
        <w:t xml:space="preserve"> </w:t>
      </w:r>
    </w:p>
    <w:p w14:paraId="54150EFB" w14:textId="46EC95F0" w:rsidR="00AC72B8" w:rsidRDefault="00AC72B8" w:rsidP="00310403">
      <w:pPr>
        <w:tabs>
          <w:tab w:val="left" w:pos="0"/>
        </w:tabs>
        <w:spacing w:line="360" w:lineRule="auto"/>
      </w:pPr>
    </w:p>
    <w:p w14:paraId="7D410175" w14:textId="6EF3E77D" w:rsidR="00AC72B8" w:rsidRDefault="00AC72B8" w:rsidP="00310403">
      <w:pPr>
        <w:tabs>
          <w:tab w:val="left" w:pos="0"/>
        </w:tabs>
        <w:spacing w:line="360" w:lineRule="auto"/>
      </w:pPr>
      <w:r>
        <w:tab/>
      </w:r>
      <w:r>
        <w:tab/>
        <w:t xml:space="preserve">On April </w:t>
      </w:r>
      <w:r w:rsidR="004756D5">
        <w:t>20, 2022, Lauren Burge, Esq., counsel for PGW, contacted the Presiding Officers on behalf of the parties to</w:t>
      </w:r>
      <w:r w:rsidR="00431C7C">
        <w:t xml:space="preserve"> request that the hearing scheduled for April 21, </w:t>
      </w:r>
      <w:r w:rsidR="00573FB9">
        <w:t>2022,</w:t>
      </w:r>
      <w:r w:rsidR="00431C7C">
        <w:t xml:space="preserve"> be cancelled to</w:t>
      </w:r>
      <w:r w:rsidR="004756D5">
        <w:t xml:space="preserve"> </w:t>
      </w:r>
      <w:r w:rsidR="00431C7C">
        <w:t xml:space="preserve">afford the parties more time to discuss the possibility of Settlement.  </w:t>
      </w:r>
      <w:r w:rsidR="00184939">
        <w:t>The Presiding Officers granted this request via email on April 20, 2022.</w:t>
      </w:r>
    </w:p>
    <w:p w14:paraId="2615B1C3" w14:textId="29515A23" w:rsidR="00184939" w:rsidRDefault="00184939" w:rsidP="00310403">
      <w:pPr>
        <w:tabs>
          <w:tab w:val="left" w:pos="0"/>
        </w:tabs>
        <w:spacing w:line="360" w:lineRule="auto"/>
      </w:pPr>
    </w:p>
    <w:p w14:paraId="30FBB174" w14:textId="256C9272" w:rsidR="00184939" w:rsidRDefault="00184939" w:rsidP="00310403">
      <w:pPr>
        <w:tabs>
          <w:tab w:val="left" w:pos="0"/>
        </w:tabs>
        <w:spacing w:line="360" w:lineRule="auto"/>
      </w:pPr>
      <w:r>
        <w:tab/>
      </w:r>
      <w:r w:rsidR="00433422">
        <w:tab/>
        <w:t xml:space="preserve">On April 21, 2022, Dan Clearfield, Esq., counsel for PGW, contacted the Presiding Officers to advise that </w:t>
      </w:r>
      <w:r w:rsidR="00961CB6">
        <w:t xml:space="preserve">settlement discussions were ongoing.  Mr. Clearfield </w:t>
      </w:r>
      <w:r w:rsidR="00E15056">
        <w:t xml:space="preserve">further advised that the parties had agreed to waive cross-examination of other party witnesses.  </w:t>
      </w:r>
    </w:p>
    <w:p w14:paraId="513AE09A" w14:textId="5AC74ED5" w:rsidR="00E53F26" w:rsidRDefault="00E53F26" w:rsidP="00310403">
      <w:pPr>
        <w:tabs>
          <w:tab w:val="left" w:pos="0"/>
        </w:tabs>
        <w:spacing w:line="360" w:lineRule="auto"/>
      </w:pPr>
    </w:p>
    <w:p w14:paraId="2B2827E2" w14:textId="1E04A7F7" w:rsidR="00E53F26" w:rsidRDefault="00E53F26" w:rsidP="00310403">
      <w:pPr>
        <w:tabs>
          <w:tab w:val="left" w:pos="0"/>
        </w:tabs>
        <w:spacing w:line="360" w:lineRule="auto"/>
      </w:pPr>
      <w:r>
        <w:tab/>
      </w:r>
      <w:r>
        <w:tab/>
        <w:t xml:space="preserve">The April 22, </w:t>
      </w:r>
      <w:r w:rsidR="00AA4127">
        <w:t>2022,</w:t>
      </w:r>
      <w:r>
        <w:t xml:space="preserve"> evidentiary hearing was held as scheduled.  All party witnesses were excused f</w:t>
      </w:r>
      <w:r w:rsidR="007F0159">
        <w:t>r</w:t>
      </w:r>
      <w:r>
        <w:t xml:space="preserve">om appearing at the hearing since </w:t>
      </w:r>
      <w:r w:rsidR="00487A0F">
        <w:t xml:space="preserve">all parties waived cross-examination and the Presiding Officers did not have questions for them. </w:t>
      </w:r>
      <w:r w:rsidR="00EF4A60">
        <w:t>PGW and OCA each moved to have their witnesses’ testimonies and exhibits entered into the record.  As there were no objections, all parties’ testimony and exhibits were admitted into the record during the hearing.</w:t>
      </w:r>
    </w:p>
    <w:p w14:paraId="7B8D9E37" w14:textId="02FB8C82" w:rsidR="00BD44C9" w:rsidRDefault="00BD44C9" w:rsidP="00310403">
      <w:pPr>
        <w:tabs>
          <w:tab w:val="left" w:pos="0"/>
        </w:tabs>
        <w:spacing w:line="360" w:lineRule="auto"/>
      </w:pPr>
    </w:p>
    <w:p w14:paraId="2F652563" w14:textId="130770AD" w:rsidR="000350F4" w:rsidRDefault="00BD44C9" w:rsidP="00310403">
      <w:pPr>
        <w:tabs>
          <w:tab w:val="left" w:pos="0"/>
        </w:tabs>
        <w:spacing w:line="360" w:lineRule="auto"/>
      </w:pPr>
      <w:r>
        <w:tab/>
      </w:r>
      <w:r>
        <w:tab/>
      </w:r>
      <w:r w:rsidR="00BA2493" w:rsidRPr="00613B39">
        <w:t xml:space="preserve">The parties were reminded during the hearing that, </w:t>
      </w:r>
      <w:r w:rsidR="00BA2493" w:rsidRPr="00613B39">
        <w:rPr>
          <w:szCs w:val="24"/>
        </w:rPr>
        <w:t>pursuant to 52 Pa.</w:t>
      </w:r>
      <w:r w:rsidR="00BA2493">
        <w:rPr>
          <w:szCs w:val="24"/>
        </w:rPr>
        <w:t xml:space="preserve"> </w:t>
      </w:r>
      <w:r w:rsidR="00BA2493" w:rsidRPr="00613B39">
        <w:rPr>
          <w:szCs w:val="24"/>
        </w:rPr>
        <w:t xml:space="preserve">Code </w:t>
      </w:r>
      <w:r w:rsidR="00BA2493" w:rsidRPr="00613B39">
        <w:rPr>
          <w:rFonts w:eastAsia="Calibri"/>
          <w:szCs w:val="24"/>
        </w:rPr>
        <w:t>§</w:t>
      </w:r>
      <w:r w:rsidR="00E923E2">
        <w:rPr>
          <w:rFonts w:eastAsia="Calibri"/>
          <w:szCs w:val="24"/>
        </w:rPr>
        <w:t> </w:t>
      </w:r>
      <w:r w:rsidR="00BA2493" w:rsidRPr="00613B39">
        <w:rPr>
          <w:rFonts w:eastAsia="Calibri"/>
          <w:szCs w:val="24"/>
        </w:rPr>
        <w:t xml:space="preserve">5.412(a), </w:t>
      </w:r>
      <w:r w:rsidR="00BA2493" w:rsidRPr="00613B39">
        <w:rPr>
          <w:szCs w:val="24"/>
        </w:rPr>
        <w:t xml:space="preserve">they must </w:t>
      </w:r>
      <w:proofErr w:type="spellStart"/>
      <w:r w:rsidR="00BA2493" w:rsidRPr="00613B39">
        <w:rPr>
          <w:szCs w:val="24"/>
        </w:rPr>
        <w:t>eFile</w:t>
      </w:r>
      <w:proofErr w:type="spellEnd"/>
      <w:r w:rsidR="00BA2493" w:rsidRPr="00613B39">
        <w:rPr>
          <w:szCs w:val="24"/>
        </w:rPr>
        <w:t xml:space="preserve"> with the Secretary’s Bureau all testimony and exhibits identified and admitted into the record during the proceeding.  The parties were further reminded that briefs must be filed according to the schedule established in </w:t>
      </w:r>
      <w:r w:rsidR="00BA2493">
        <w:rPr>
          <w:szCs w:val="24"/>
        </w:rPr>
        <w:t xml:space="preserve">the March 15, </w:t>
      </w:r>
      <w:r w:rsidR="00C4651B">
        <w:rPr>
          <w:szCs w:val="24"/>
        </w:rPr>
        <w:t>2022,</w:t>
      </w:r>
      <w:r w:rsidR="00BA2493" w:rsidRPr="00613B39">
        <w:rPr>
          <w:szCs w:val="24"/>
        </w:rPr>
        <w:t xml:space="preserve"> Prehearing Order.  </w:t>
      </w:r>
      <w:r w:rsidR="00BA2493">
        <w:rPr>
          <w:szCs w:val="24"/>
        </w:rPr>
        <w:t xml:space="preserve">The parties were also advised that the Presiding Officers would </w:t>
      </w:r>
      <w:r w:rsidR="00BA2493" w:rsidRPr="00613B39">
        <w:rPr>
          <w:szCs w:val="24"/>
        </w:rPr>
        <w:t>subsequently issue a briefing order.</w:t>
      </w:r>
    </w:p>
    <w:p w14:paraId="48124A64" w14:textId="59931F0F" w:rsidR="008C1DD6" w:rsidRDefault="008C1DD6">
      <w:r>
        <w:br w:type="page"/>
      </w:r>
    </w:p>
    <w:p w14:paraId="0061C9FA" w14:textId="77777777" w:rsidR="004F6CE3" w:rsidRPr="004F6CE3" w:rsidRDefault="004F6CE3" w:rsidP="004F6CE3">
      <w:pPr>
        <w:spacing w:line="360" w:lineRule="auto"/>
        <w:contextualSpacing/>
        <w:jc w:val="center"/>
        <w:rPr>
          <w:u w:val="single"/>
        </w:rPr>
      </w:pPr>
      <w:r w:rsidRPr="004F6CE3">
        <w:rPr>
          <w:u w:val="single"/>
        </w:rPr>
        <w:lastRenderedPageBreak/>
        <w:t>ORDER</w:t>
      </w:r>
    </w:p>
    <w:p w14:paraId="428E20AF" w14:textId="3B849DF4" w:rsidR="004F6CE3" w:rsidRDefault="004F6CE3" w:rsidP="004F6CE3">
      <w:pPr>
        <w:spacing w:line="360" w:lineRule="auto"/>
        <w:ind w:firstLine="1440"/>
        <w:contextualSpacing/>
      </w:pPr>
    </w:p>
    <w:p w14:paraId="69AC5C53" w14:textId="77777777" w:rsidR="008C1DD6" w:rsidRPr="004F6CE3" w:rsidRDefault="008C1DD6" w:rsidP="004F6CE3">
      <w:pPr>
        <w:spacing w:line="360" w:lineRule="auto"/>
        <w:ind w:firstLine="1440"/>
        <w:contextualSpacing/>
      </w:pPr>
    </w:p>
    <w:p w14:paraId="6188C180" w14:textId="77777777" w:rsidR="004F6CE3" w:rsidRPr="004F6CE3" w:rsidRDefault="004F6CE3" w:rsidP="004F6CE3">
      <w:pPr>
        <w:spacing w:line="360" w:lineRule="auto"/>
        <w:ind w:left="720" w:firstLine="720"/>
        <w:contextualSpacing/>
      </w:pPr>
      <w:r w:rsidRPr="004F6CE3">
        <w:t>THERERFORE,</w:t>
      </w:r>
    </w:p>
    <w:p w14:paraId="56743140" w14:textId="77777777" w:rsidR="004F6CE3" w:rsidRPr="004F6CE3" w:rsidRDefault="004F6CE3" w:rsidP="004F6CE3">
      <w:pPr>
        <w:spacing w:line="360" w:lineRule="auto"/>
        <w:contextualSpacing/>
      </w:pPr>
    </w:p>
    <w:p w14:paraId="429257B7" w14:textId="77777777" w:rsidR="004F6CE3" w:rsidRPr="004F6CE3" w:rsidRDefault="004F6CE3" w:rsidP="004F6CE3">
      <w:pPr>
        <w:spacing w:line="360" w:lineRule="auto"/>
        <w:contextualSpacing/>
      </w:pPr>
      <w:r w:rsidRPr="004F6CE3">
        <w:tab/>
      </w:r>
      <w:r w:rsidRPr="004F6CE3">
        <w:tab/>
        <w:t>IT IS ORDERED:</w:t>
      </w:r>
    </w:p>
    <w:p w14:paraId="033BDDCD" w14:textId="77777777" w:rsidR="004F6CE3" w:rsidRPr="004F6CE3" w:rsidRDefault="004F6CE3" w:rsidP="004F6CE3">
      <w:pPr>
        <w:suppressAutoHyphens/>
        <w:autoSpaceDE w:val="0"/>
        <w:autoSpaceDN w:val="0"/>
        <w:spacing w:line="360" w:lineRule="auto"/>
        <w:ind w:left="1440"/>
        <w:rPr>
          <w:spacing w:val="-3"/>
        </w:rPr>
      </w:pPr>
    </w:p>
    <w:p w14:paraId="2AB8BE8A" w14:textId="77777777" w:rsidR="004F6CE3" w:rsidRPr="004F6CE3" w:rsidRDefault="004F6CE3" w:rsidP="004F6CE3">
      <w:pPr>
        <w:spacing w:after="120" w:line="360" w:lineRule="auto"/>
        <w:ind w:firstLine="1440"/>
        <w:contextualSpacing/>
        <w:rPr>
          <w:szCs w:val="24"/>
        </w:rPr>
      </w:pPr>
    </w:p>
    <w:p w14:paraId="0C728F67" w14:textId="39A9E6DD" w:rsidR="004F6CE3" w:rsidRPr="004F6CE3" w:rsidRDefault="004F6CE3" w:rsidP="004F6CE3">
      <w:pPr>
        <w:numPr>
          <w:ilvl w:val="0"/>
          <w:numId w:val="10"/>
        </w:numPr>
        <w:spacing w:after="120" w:line="360" w:lineRule="auto"/>
        <w:ind w:left="0" w:firstLine="1440"/>
        <w:contextualSpacing/>
        <w:rPr>
          <w:szCs w:val="24"/>
        </w:rPr>
      </w:pPr>
      <w:r w:rsidRPr="004F6CE3">
        <w:rPr>
          <w:rFonts w:eastAsia="Calibri"/>
          <w:szCs w:val="24"/>
        </w:rPr>
        <w:t xml:space="preserve">That Main Briefs of the parties are due on or before </w:t>
      </w:r>
      <w:r w:rsidR="00867A0B">
        <w:rPr>
          <w:rFonts w:eastAsia="Calibri"/>
          <w:szCs w:val="24"/>
        </w:rPr>
        <w:t>Mon</w:t>
      </w:r>
      <w:r w:rsidRPr="004F6CE3">
        <w:rPr>
          <w:rFonts w:eastAsia="Calibri"/>
          <w:szCs w:val="24"/>
        </w:rPr>
        <w:t xml:space="preserve">day, </w:t>
      </w:r>
      <w:r w:rsidR="00DA1115">
        <w:rPr>
          <w:szCs w:val="24"/>
        </w:rPr>
        <w:t xml:space="preserve">May </w:t>
      </w:r>
      <w:r w:rsidR="001E5135">
        <w:rPr>
          <w:szCs w:val="24"/>
        </w:rPr>
        <w:t>2</w:t>
      </w:r>
      <w:r w:rsidR="00DA1115">
        <w:rPr>
          <w:szCs w:val="24"/>
        </w:rPr>
        <w:t xml:space="preserve">, </w:t>
      </w:r>
      <w:r w:rsidR="00FD34A6">
        <w:rPr>
          <w:szCs w:val="24"/>
        </w:rPr>
        <w:t>2022</w:t>
      </w:r>
      <w:r w:rsidR="00FD34A6" w:rsidRPr="004F6CE3">
        <w:rPr>
          <w:rFonts w:eastAsia="Calibri"/>
          <w:szCs w:val="24"/>
        </w:rPr>
        <w:t>.</w:t>
      </w:r>
    </w:p>
    <w:p w14:paraId="21F40FAD" w14:textId="77777777" w:rsidR="004F6CE3" w:rsidRPr="004F6CE3" w:rsidRDefault="004F6CE3" w:rsidP="004F6CE3">
      <w:pPr>
        <w:spacing w:after="120" w:line="360" w:lineRule="auto"/>
        <w:ind w:firstLine="1440"/>
        <w:contextualSpacing/>
        <w:rPr>
          <w:szCs w:val="24"/>
        </w:rPr>
      </w:pPr>
    </w:p>
    <w:p w14:paraId="2B0A2E99" w14:textId="53349DCA" w:rsidR="004F6CE3" w:rsidRPr="004F6CE3" w:rsidRDefault="004F6CE3" w:rsidP="004F6CE3">
      <w:pPr>
        <w:numPr>
          <w:ilvl w:val="0"/>
          <w:numId w:val="10"/>
        </w:numPr>
        <w:spacing w:after="120" w:line="360" w:lineRule="auto"/>
        <w:ind w:left="0" w:firstLine="1440"/>
        <w:contextualSpacing/>
        <w:rPr>
          <w:szCs w:val="24"/>
        </w:rPr>
      </w:pPr>
      <w:r w:rsidRPr="004F6CE3">
        <w:rPr>
          <w:rFonts w:eastAsia="Calibri"/>
          <w:szCs w:val="24"/>
        </w:rPr>
        <w:t xml:space="preserve">That Reply Briefs are due on or before </w:t>
      </w:r>
      <w:r w:rsidR="00D5194E">
        <w:rPr>
          <w:rFonts w:eastAsia="Calibri"/>
          <w:szCs w:val="24"/>
        </w:rPr>
        <w:t>Wedne</w:t>
      </w:r>
      <w:r w:rsidRPr="004F6CE3">
        <w:rPr>
          <w:rFonts w:eastAsia="Calibri"/>
          <w:szCs w:val="24"/>
        </w:rPr>
        <w:t xml:space="preserve">sday, </w:t>
      </w:r>
      <w:r w:rsidR="00D5194E">
        <w:rPr>
          <w:szCs w:val="24"/>
        </w:rPr>
        <w:t>May 11</w:t>
      </w:r>
      <w:r w:rsidRPr="004F6CE3">
        <w:rPr>
          <w:szCs w:val="24"/>
        </w:rPr>
        <w:t xml:space="preserve">, </w:t>
      </w:r>
      <w:r w:rsidR="00BF4380" w:rsidRPr="004F6CE3">
        <w:rPr>
          <w:szCs w:val="24"/>
        </w:rPr>
        <w:t>202</w:t>
      </w:r>
      <w:r w:rsidR="00BF4380">
        <w:rPr>
          <w:szCs w:val="24"/>
        </w:rPr>
        <w:t>2</w:t>
      </w:r>
      <w:r w:rsidR="00BF4380" w:rsidRPr="004F6CE3">
        <w:rPr>
          <w:rFonts w:eastAsia="Calibri"/>
          <w:szCs w:val="24"/>
        </w:rPr>
        <w:t>.</w:t>
      </w:r>
    </w:p>
    <w:p w14:paraId="40AA79C0" w14:textId="77777777" w:rsidR="004F6CE3" w:rsidRPr="004F6CE3" w:rsidRDefault="004F6CE3" w:rsidP="004F6CE3">
      <w:pPr>
        <w:spacing w:line="360" w:lineRule="auto"/>
        <w:ind w:firstLine="1440"/>
        <w:contextualSpacing/>
        <w:rPr>
          <w:szCs w:val="24"/>
        </w:rPr>
      </w:pPr>
    </w:p>
    <w:p w14:paraId="670D903E" w14:textId="77777777" w:rsidR="004F6CE3" w:rsidRPr="004F6CE3" w:rsidRDefault="004F6CE3" w:rsidP="004F6CE3">
      <w:pPr>
        <w:numPr>
          <w:ilvl w:val="0"/>
          <w:numId w:val="10"/>
        </w:numPr>
        <w:spacing w:after="120" w:line="360" w:lineRule="auto"/>
        <w:ind w:left="0" w:firstLine="1440"/>
        <w:contextualSpacing/>
        <w:rPr>
          <w:szCs w:val="24"/>
        </w:rPr>
      </w:pPr>
      <w:r w:rsidRPr="004F6CE3">
        <w:rPr>
          <w:rFonts w:eastAsia="Calibri"/>
          <w:szCs w:val="24"/>
        </w:rPr>
        <w:t>That the briefs must substantially comply with the Commission's regulations at 52 Pa. Code §§ 5.501, 5.502;</w:t>
      </w:r>
    </w:p>
    <w:p w14:paraId="0E637E08" w14:textId="77777777" w:rsidR="004F6CE3" w:rsidRPr="004F6CE3" w:rsidRDefault="004F6CE3" w:rsidP="004F6CE3">
      <w:pPr>
        <w:spacing w:line="360" w:lineRule="auto"/>
        <w:ind w:firstLine="1440"/>
        <w:contextualSpacing/>
        <w:rPr>
          <w:szCs w:val="24"/>
        </w:rPr>
      </w:pPr>
    </w:p>
    <w:p w14:paraId="19E6B4C7" w14:textId="417B88FE" w:rsidR="004F6CE3" w:rsidRPr="004F6CE3" w:rsidRDefault="004F6CE3" w:rsidP="004F6CE3">
      <w:pPr>
        <w:numPr>
          <w:ilvl w:val="0"/>
          <w:numId w:val="10"/>
        </w:numPr>
        <w:spacing w:after="120" w:line="360" w:lineRule="auto"/>
        <w:ind w:left="0" w:firstLine="1440"/>
        <w:contextualSpacing/>
        <w:rPr>
          <w:szCs w:val="24"/>
        </w:rPr>
      </w:pPr>
      <w:r w:rsidRPr="004F6CE3">
        <w:rPr>
          <w:szCs w:val="24"/>
        </w:rPr>
        <w:t>That the briefs must contain: (a) a concise statement or counter-statement of the case; (b) an argument, with sufficient citations to record evidence, preceded by a summary; (c) a conclusion with requested relief; (d) proposed Findings of Fact, together with page references to statements of testimony and exhibits; (e) proposed Conclusions of Law, together with legal citations</w:t>
      </w:r>
      <w:r w:rsidR="001E5135">
        <w:rPr>
          <w:szCs w:val="24"/>
        </w:rPr>
        <w:t>;</w:t>
      </w:r>
      <w:r w:rsidRPr="004F6CE3">
        <w:rPr>
          <w:szCs w:val="24"/>
        </w:rPr>
        <w:t xml:space="preserve"> and (f) proposed Ordering Paragraphs;</w:t>
      </w:r>
    </w:p>
    <w:p w14:paraId="42B1EECA" w14:textId="77777777" w:rsidR="004F6CE3" w:rsidRPr="004F6CE3" w:rsidRDefault="004F6CE3" w:rsidP="004F6CE3">
      <w:pPr>
        <w:spacing w:line="360" w:lineRule="auto"/>
        <w:ind w:firstLine="1440"/>
        <w:contextualSpacing/>
        <w:rPr>
          <w:szCs w:val="24"/>
        </w:rPr>
      </w:pPr>
    </w:p>
    <w:p w14:paraId="3F229393" w14:textId="348F7FAC" w:rsidR="004F6CE3" w:rsidRDefault="004F6CE3" w:rsidP="004F6CE3">
      <w:pPr>
        <w:numPr>
          <w:ilvl w:val="0"/>
          <w:numId w:val="10"/>
        </w:numPr>
        <w:spacing w:after="120" w:line="360" w:lineRule="auto"/>
        <w:ind w:left="0" w:firstLine="1440"/>
        <w:contextualSpacing/>
        <w:rPr>
          <w:szCs w:val="24"/>
        </w:rPr>
      </w:pPr>
      <w:r w:rsidRPr="004F6CE3">
        <w:rPr>
          <w:szCs w:val="24"/>
        </w:rPr>
        <w:t>That the parties must use a common outline for Main and Reply Briefs;</w:t>
      </w:r>
    </w:p>
    <w:p w14:paraId="2C84403A" w14:textId="77777777" w:rsidR="004F6CE3" w:rsidRPr="004F6CE3" w:rsidRDefault="004F6CE3" w:rsidP="004F6CE3">
      <w:pPr>
        <w:spacing w:line="360" w:lineRule="auto"/>
        <w:ind w:firstLine="1440"/>
        <w:contextualSpacing/>
        <w:rPr>
          <w:szCs w:val="24"/>
        </w:rPr>
      </w:pPr>
    </w:p>
    <w:p w14:paraId="68A0B208" w14:textId="4869A749" w:rsidR="004F6CE3" w:rsidRPr="004F6CE3" w:rsidRDefault="004F6CE3" w:rsidP="004F6CE3">
      <w:pPr>
        <w:numPr>
          <w:ilvl w:val="0"/>
          <w:numId w:val="10"/>
        </w:numPr>
        <w:spacing w:after="120" w:line="360" w:lineRule="auto"/>
        <w:ind w:left="0" w:firstLine="1440"/>
        <w:contextualSpacing/>
        <w:rPr>
          <w:szCs w:val="24"/>
        </w:rPr>
      </w:pPr>
      <w:r w:rsidRPr="004F6CE3">
        <w:rPr>
          <w:szCs w:val="24"/>
        </w:rPr>
        <w:t>That the parties shall file the original copy of the Main Brief with the Commission no later than 4:</w:t>
      </w:r>
      <w:r w:rsidR="00DD198B">
        <w:rPr>
          <w:szCs w:val="24"/>
        </w:rPr>
        <w:t>3</w:t>
      </w:r>
      <w:r w:rsidR="00DD198B" w:rsidRPr="004F6CE3">
        <w:rPr>
          <w:szCs w:val="24"/>
        </w:rPr>
        <w:t xml:space="preserve">0 </w:t>
      </w:r>
      <w:r w:rsidRPr="004F6CE3">
        <w:rPr>
          <w:szCs w:val="24"/>
        </w:rPr>
        <w:t>p.m. on the date due;</w:t>
      </w:r>
    </w:p>
    <w:p w14:paraId="77DAC940" w14:textId="77777777" w:rsidR="004F6CE3" w:rsidRPr="004F6CE3" w:rsidRDefault="004F6CE3" w:rsidP="004F6CE3">
      <w:pPr>
        <w:spacing w:line="360" w:lineRule="auto"/>
        <w:ind w:firstLine="1440"/>
        <w:contextualSpacing/>
        <w:rPr>
          <w:szCs w:val="24"/>
        </w:rPr>
      </w:pPr>
    </w:p>
    <w:p w14:paraId="1F678F1E" w14:textId="06B7496C" w:rsidR="004F6CE3" w:rsidRPr="004F6CE3" w:rsidRDefault="004F6CE3" w:rsidP="004F6CE3">
      <w:pPr>
        <w:numPr>
          <w:ilvl w:val="0"/>
          <w:numId w:val="10"/>
        </w:numPr>
        <w:spacing w:after="120" w:line="360" w:lineRule="auto"/>
        <w:ind w:left="0" w:firstLine="1440"/>
        <w:contextualSpacing/>
        <w:rPr>
          <w:szCs w:val="24"/>
        </w:rPr>
      </w:pPr>
      <w:r w:rsidRPr="004F6CE3">
        <w:rPr>
          <w:szCs w:val="24"/>
        </w:rPr>
        <w:t xml:space="preserve">That the parties shall file the original copy of the Reply Brief with the Commission no later than </w:t>
      </w:r>
      <w:r w:rsidR="00D5194E">
        <w:rPr>
          <w:szCs w:val="24"/>
        </w:rPr>
        <w:t>1</w:t>
      </w:r>
      <w:r w:rsidRPr="004F6CE3">
        <w:rPr>
          <w:szCs w:val="24"/>
        </w:rPr>
        <w:t>2:00 p.m. on the date due.</w:t>
      </w:r>
    </w:p>
    <w:p w14:paraId="62EA36E8" w14:textId="77777777" w:rsidR="004F6CE3" w:rsidRPr="004F6CE3" w:rsidRDefault="004F6CE3" w:rsidP="004F6CE3">
      <w:pPr>
        <w:spacing w:line="360" w:lineRule="auto"/>
        <w:ind w:firstLine="1440"/>
        <w:contextualSpacing/>
        <w:rPr>
          <w:szCs w:val="24"/>
        </w:rPr>
      </w:pPr>
    </w:p>
    <w:p w14:paraId="4E494749" w14:textId="77777777" w:rsidR="004F6CE3" w:rsidRPr="004F6CE3" w:rsidRDefault="004F6CE3" w:rsidP="004F6CE3">
      <w:pPr>
        <w:numPr>
          <w:ilvl w:val="0"/>
          <w:numId w:val="10"/>
        </w:numPr>
        <w:spacing w:after="120" w:line="360" w:lineRule="auto"/>
        <w:ind w:left="0" w:firstLine="1440"/>
        <w:contextualSpacing/>
        <w:rPr>
          <w:szCs w:val="24"/>
        </w:rPr>
      </w:pPr>
      <w:r w:rsidRPr="004F6CE3">
        <w:rPr>
          <w:szCs w:val="24"/>
        </w:rPr>
        <w:lastRenderedPageBreak/>
        <w:t>That any brief not filed and served on or before the dates set forth above will not be accepted except by special permission;</w:t>
      </w:r>
    </w:p>
    <w:p w14:paraId="6C408FA9" w14:textId="77777777" w:rsidR="004F6CE3" w:rsidRPr="004F6CE3" w:rsidRDefault="004F6CE3" w:rsidP="004F6CE3">
      <w:pPr>
        <w:spacing w:after="120" w:line="360" w:lineRule="auto"/>
        <w:ind w:firstLine="1440"/>
        <w:contextualSpacing/>
        <w:rPr>
          <w:szCs w:val="24"/>
        </w:rPr>
      </w:pPr>
    </w:p>
    <w:p w14:paraId="03D445ED" w14:textId="77777777" w:rsidR="004F6CE3" w:rsidRPr="004F6CE3" w:rsidRDefault="004F6CE3" w:rsidP="004F6CE3">
      <w:pPr>
        <w:numPr>
          <w:ilvl w:val="0"/>
          <w:numId w:val="10"/>
        </w:numPr>
        <w:spacing w:after="120" w:line="360" w:lineRule="auto"/>
        <w:ind w:left="0" w:firstLine="1440"/>
        <w:contextualSpacing/>
        <w:rPr>
          <w:szCs w:val="24"/>
        </w:rPr>
      </w:pPr>
      <w:r w:rsidRPr="004F6CE3">
        <w:rPr>
          <w:szCs w:val="24"/>
        </w:rPr>
        <w:t xml:space="preserve">That pursuant to 52 Pa. Code </w:t>
      </w:r>
      <w:r w:rsidRPr="004F6CE3">
        <w:rPr>
          <w:rFonts w:eastAsia="Calibri"/>
          <w:szCs w:val="24"/>
        </w:rPr>
        <w:t xml:space="preserve">§ 5.412(a), </w:t>
      </w:r>
      <w:r w:rsidRPr="004F6CE3">
        <w:rPr>
          <w:szCs w:val="24"/>
        </w:rPr>
        <w:t>the parties are required, within thirty (30) days after the final hearing, to either eFile with or provide to the Secretary’s Bureau a Compact Disc (CD) containing all testimony and exhibits identified and admitted into the record during the proceeding;</w:t>
      </w:r>
    </w:p>
    <w:p w14:paraId="018B4E92" w14:textId="77777777" w:rsidR="004F6CE3" w:rsidRPr="004F6CE3" w:rsidRDefault="004F6CE3" w:rsidP="004F6CE3">
      <w:pPr>
        <w:spacing w:line="360" w:lineRule="auto"/>
        <w:ind w:firstLine="1440"/>
        <w:contextualSpacing/>
        <w:rPr>
          <w:szCs w:val="24"/>
        </w:rPr>
      </w:pPr>
    </w:p>
    <w:p w14:paraId="5851F6BA" w14:textId="77777777" w:rsidR="004F6CE3" w:rsidRPr="004F6CE3" w:rsidRDefault="004F6CE3" w:rsidP="004F6CE3">
      <w:pPr>
        <w:numPr>
          <w:ilvl w:val="0"/>
          <w:numId w:val="10"/>
        </w:numPr>
        <w:spacing w:after="120" w:line="360" w:lineRule="auto"/>
        <w:ind w:left="0" w:firstLine="1440"/>
        <w:contextualSpacing/>
        <w:rPr>
          <w:szCs w:val="24"/>
        </w:rPr>
      </w:pPr>
      <w:r w:rsidRPr="004F6CE3">
        <w:rPr>
          <w:szCs w:val="24"/>
        </w:rPr>
        <w:t xml:space="preserve">That the parties are advised not to include any extra-record evidence in their briefs; </w:t>
      </w:r>
    </w:p>
    <w:p w14:paraId="5B73268B" w14:textId="77777777" w:rsidR="004F6CE3" w:rsidRPr="004F6CE3" w:rsidRDefault="004F6CE3" w:rsidP="004F6CE3">
      <w:pPr>
        <w:spacing w:line="360" w:lineRule="auto"/>
        <w:ind w:firstLine="1440"/>
        <w:contextualSpacing/>
        <w:rPr>
          <w:szCs w:val="24"/>
        </w:rPr>
      </w:pPr>
    </w:p>
    <w:p w14:paraId="6B9A9A27" w14:textId="77777777" w:rsidR="004F6CE3" w:rsidRPr="004F6CE3" w:rsidRDefault="004F6CE3" w:rsidP="004F6CE3">
      <w:pPr>
        <w:numPr>
          <w:ilvl w:val="0"/>
          <w:numId w:val="10"/>
        </w:numPr>
        <w:spacing w:after="120" w:line="360" w:lineRule="auto"/>
        <w:ind w:left="0" w:firstLine="1440"/>
        <w:contextualSpacing/>
        <w:rPr>
          <w:szCs w:val="24"/>
        </w:rPr>
      </w:pPr>
      <w:r w:rsidRPr="004F6CE3">
        <w:rPr>
          <w:spacing w:val="-3"/>
          <w:szCs w:val="24"/>
        </w:rPr>
        <w:t xml:space="preserve">That if a brief contains a citation to an unreported decision which is not available on LEXIS or the Commission’s website, a copy of that unreported decision must be appended to the brief; and </w:t>
      </w:r>
    </w:p>
    <w:p w14:paraId="2518CD72" w14:textId="77777777" w:rsidR="004F6CE3" w:rsidRPr="004F6CE3" w:rsidRDefault="004F6CE3" w:rsidP="004F6CE3">
      <w:pPr>
        <w:spacing w:line="360" w:lineRule="auto"/>
        <w:ind w:firstLine="1440"/>
        <w:contextualSpacing/>
        <w:rPr>
          <w:szCs w:val="24"/>
        </w:rPr>
      </w:pPr>
    </w:p>
    <w:p w14:paraId="438E4AE2" w14:textId="77777777" w:rsidR="004F6CE3" w:rsidRPr="004F6CE3" w:rsidRDefault="004F6CE3" w:rsidP="004F6CE3">
      <w:pPr>
        <w:numPr>
          <w:ilvl w:val="0"/>
          <w:numId w:val="10"/>
        </w:numPr>
        <w:spacing w:after="120" w:line="360" w:lineRule="auto"/>
        <w:ind w:left="0" w:firstLine="1440"/>
        <w:contextualSpacing/>
        <w:rPr>
          <w:szCs w:val="24"/>
        </w:rPr>
      </w:pPr>
      <w:r w:rsidRPr="004F6CE3">
        <w:rPr>
          <w:spacing w:val="-3"/>
          <w:szCs w:val="24"/>
        </w:rPr>
        <w:t>That the parties are reminded that they are to e-mail the Presiding Officers a copy of their as-filed briefs in a WORD-formatted document in addition to a searchable ADOBE or other compatible PDF format.</w:t>
      </w:r>
    </w:p>
    <w:p w14:paraId="44DB89FB" w14:textId="77777777" w:rsidR="004F6CE3" w:rsidRPr="004F6CE3" w:rsidRDefault="004F6CE3" w:rsidP="004F6CE3">
      <w:pPr>
        <w:spacing w:line="360" w:lineRule="auto"/>
        <w:ind w:firstLine="1440"/>
        <w:contextualSpacing/>
        <w:rPr>
          <w:rFonts w:eastAsia="Calibri"/>
          <w:szCs w:val="24"/>
        </w:rPr>
      </w:pPr>
    </w:p>
    <w:p w14:paraId="3B0F101E" w14:textId="77777777" w:rsidR="00736951" w:rsidRPr="00E84792" w:rsidRDefault="00736951" w:rsidP="00A123F6">
      <w:pPr>
        <w:pStyle w:val="Footer"/>
        <w:tabs>
          <w:tab w:val="clear" w:pos="4320"/>
          <w:tab w:val="clear" w:pos="8640"/>
        </w:tabs>
        <w:spacing w:line="360" w:lineRule="auto"/>
      </w:pPr>
    </w:p>
    <w:p w14:paraId="4BEA272A" w14:textId="090C5291" w:rsidR="007D4040" w:rsidRPr="00CF4EED" w:rsidRDefault="007D4040" w:rsidP="00A123F6">
      <w:pPr>
        <w:pStyle w:val="Footer"/>
        <w:tabs>
          <w:tab w:val="clear" w:pos="4320"/>
          <w:tab w:val="clear" w:pos="8640"/>
        </w:tabs>
        <w:rPr>
          <w:u w:val="single"/>
        </w:rPr>
      </w:pPr>
      <w:r w:rsidRPr="00E84792">
        <w:t>Date:</w:t>
      </w:r>
      <w:r w:rsidRPr="00E84792">
        <w:tab/>
      </w:r>
      <w:r w:rsidR="009E4BCB">
        <w:rPr>
          <w:u w:val="single"/>
        </w:rPr>
        <w:t xml:space="preserve">April </w:t>
      </w:r>
      <w:r w:rsidR="008241C0">
        <w:rPr>
          <w:u w:val="single"/>
        </w:rPr>
        <w:t>26</w:t>
      </w:r>
      <w:r w:rsidR="00BF54E5">
        <w:rPr>
          <w:u w:val="single"/>
        </w:rPr>
        <w:t>, 2022</w:t>
      </w:r>
      <w:r w:rsidR="00BF54E5">
        <w:rPr>
          <w:u w:val="single"/>
        </w:rPr>
        <w:tab/>
      </w:r>
      <w:r w:rsidRPr="00E84792">
        <w:tab/>
      </w:r>
      <w:r w:rsidRPr="00E84792">
        <w:tab/>
      </w:r>
      <w:r w:rsidRPr="00E84792">
        <w:tab/>
      </w:r>
      <w:r w:rsidR="006330BB">
        <w:tab/>
      </w:r>
      <w:r w:rsidR="00CF4EED" w:rsidRPr="00CF4EED">
        <w:rPr>
          <w:u w:val="single"/>
        </w:rPr>
        <w:tab/>
      </w:r>
      <w:r w:rsidR="00CF4EED" w:rsidRPr="00CF4EED">
        <w:rPr>
          <w:u w:val="single"/>
        </w:rPr>
        <w:tab/>
      </w:r>
      <w:r w:rsidR="00CF4EED">
        <w:rPr>
          <w:u w:val="single"/>
        </w:rPr>
        <w:t>/s/</w:t>
      </w:r>
      <w:r w:rsidR="00CF4EED">
        <w:rPr>
          <w:u w:val="single"/>
        </w:rPr>
        <w:tab/>
      </w:r>
      <w:r w:rsidR="00CF4EED">
        <w:rPr>
          <w:u w:val="single"/>
        </w:rPr>
        <w:tab/>
      </w:r>
      <w:r w:rsidR="00CF4EED">
        <w:rPr>
          <w:u w:val="single"/>
        </w:rPr>
        <w:tab/>
      </w:r>
      <w:r w:rsidR="00CF4EED">
        <w:rPr>
          <w:u w:val="single"/>
        </w:rPr>
        <w:tab/>
      </w:r>
    </w:p>
    <w:p w14:paraId="70ED4F0C" w14:textId="38C8456A"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6330BB">
        <w:tab/>
      </w:r>
      <w:r w:rsidRPr="00E84792">
        <w:t>Christopher P. Pell</w:t>
      </w:r>
    </w:p>
    <w:p w14:paraId="5AFE6290" w14:textId="761BCAF2" w:rsidR="00801E1C" w:rsidRDefault="007D4040" w:rsidP="00801E1C">
      <w:pPr>
        <w:pStyle w:val="Footer"/>
        <w:tabs>
          <w:tab w:val="clear" w:pos="4320"/>
          <w:tab w:val="clear" w:pos="8640"/>
        </w:tabs>
      </w:pPr>
      <w:r w:rsidRPr="00E84792">
        <w:tab/>
      </w:r>
      <w:r w:rsidRPr="00E84792">
        <w:tab/>
      </w:r>
      <w:r w:rsidRPr="00E84792">
        <w:tab/>
      </w:r>
      <w:r w:rsidRPr="00E84792">
        <w:tab/>
      </w:r>
      <w:r w:rsidRPr="00E84792">
        <w:tab/>
      </w:r>
      <w:r w:rsidRPr="00E84792">
        <w:tab/>
      </w:r>
      <w:r w:rsidR="006330BB">
        <w:tab/>
      </w:r>
      <w:r w:rsidR="00404CC2" w:rsidRPr="00E84792">
        <w:t xml:space="preserve">Deputy Chief </w:t>
      </w:r>
      <w:r w:rsidRPr="00E84792">
        <w:t>Administrative Law Judge</w:t>
      </w:r>
      <w:r w:rsidR="00404CC2" w:rsidRPr="00E84792">
        <w:tab/>
      </w:r>
    </w:p>
    <w:p w14:paraId="6C181B08" w14:textId="77777777" w:rsidR="000D5CE6" w:rsidRDefault="000D5CE6" w:rsidP="00801E1C">
      <w:pPr>
        <w:pStyle w:val="Footer"/>
        <w:tabs>
          <w:tab w:val="clear" w:pos="4320"/>
          <w:tab w:val="clear" w:pos="8640"/>
        </w:tabs>
      </w:pPr>
    </w:p>
    <w:p w14:paraId="73D1F13F" w14:textId="77777777" w:rsidR="000D5CE6" w:rsidRDefault="000D5CE6" w:rsidP="00801E1C">
      <w:pPr>
        <w:pStyle w:val="Footer"/>
        <w:tabs>
          <w:tab w:val="clear" w:pos="4320"/>
          <w:tab w:val="clear" w:pos="8640"/>
        </w:tabs>
      </w:pPr>
    </w:p>
    <w:p w14:paraId="5820FB17" w14:textId="2345A525" w:rsidR="000D5CE6" w:rsidRPr="00BF54E5" w:rsidRDefault="000D5CE6" w:rsidP="00801E1C">
      <w:pPr>
        <w:pStyle w:val="Footer"/>
        <w:tabs>
          <w:tab w:val="clear" w:pos="4320"/>
          <w:tab w:val="clear" w:pos="8640"/>
        </w:tabs>
        <w:rPr>
          <w:u w:val="single"/>
        </w:rPr>
      </w:pPr>
      <w:r>
        <w:tab/>
      </w:r>
      <w:r>
        <w:tab/>
      </w:r>
      <w:r>
        <w:tab/>
      </w:r>
      <w:r>
        <w:tab/>
      </w:r>
      <w:r>
        <w:tab/>
      </w:r>
      <w:r>
        <w:tab/>
      </w:r>
      <w:r w:rsidR="006330BB">
        <w:tab/>
      </w:r>
      <w:r w:rsidR="00BF54E5">
        <w:rPr>
          <w:u w:val="single"/>
        </w:rPr>
        <w:tab/>
      </w:r>
      <w:r w:rsidR="00BF54E5">
        <w:rPr>
          <w:u w:val="single"/>
        </w:rPr>
        <w:tab/>
        <w:t>/s/</w:t>
      </w:r>
      <w:r w:rsidR="00BF54E5">
        <w:rPr>
          <w:u w:val="single"/>
        </w:rPr>
        <w:tab/>
      </w:r>
      <w:r w:rsidR="00BF54E5">
        <w:rPr>
          <w:u w:val="single"/>
        </w:rPr>
        <w:tab/>
      </w:r>
      <w:r w:rsidR="00BF54E5">
        <w:rPr>
          <w:u w:val="single"/>
        </w:rPr>
        <w:tab/>
      </w:r>
      <w:r w:rsidR="00BF54E5">
        <w:rPr>
          <w:u w:val="single"/>
        </w:rPr>
        <w:tab/>
      </w:r>
    </w:p>
    <w:p w14:paraId="044D8F47" w14:textId="41DD4067" w:rsidR="000D5CE6" w:rsidRDefault="000D5CE6" w:rsidP="00801E1C">
      <w:pPr>
        <w:pStyle w:val="Footer"/>
        <w:tabs>
          <w:tab w:val="clear" w:pos="4320"/>
          <w:tab w:val="clear" w:pos="8640"/>
        </w:tabs>
      </w:pPr>
      <w:r>
        <w:tab/>
      </w:r>
      <w:r>
        <w:tab/>
      </w:r>
      <w:r>
        <w:tab/>
      </w:r>
      <w:r>
        <w:tab/>
      </w:r>
      <w:r>
        <w:tab/>
      </w:r>
      <w:r>
        <w:tab/>
      </w:r>
      <w:r w:rsidR="006330BB">
        <w:tab/>
      </w:r>
      <w:r>
        <w:t>Arlene Ashton</w:t>
      </w:r>
    </w:p>
    <w:p w14:paraId="2E7E5C2E" w14:textId="5FFC7F97" w:rsidR="000D5CE6" w:rsidRPr="00E84792" w:rsidRDefault="000D5CE6" w:rsidP="00801E1C">
      <w:pPr>
        <w:pStyle w:val="Footer"/>
        <w:tabs>
          <w:tab w:val="clear" w:pos="4320"/>
          <w:tab w:val="clear" w:pos="8640"/>
        </w:tabs>
      </w:pPr>
      <w:r>
        <w:tab/>
      </w:r>
      <w:r>
        <w:tab/>
      </w:r>
      <w:r>
        <w:tab/>
      </w:r>
      <w:r>
        <w:tab/>
      </w:r>
      <w:r>
        <w:tab/>
      </w:r>
      <w:r>
        <w:tab/>
      </w:r>
      <w:r w:rsidR="006330BB">
        <w:tab/>
      </w:r>
      <w:r>
        <w:t>Administrative Law Judge</w:t>
      </w:r>
    </w:p>
    <w:p w14:paraId="462052C0" w14:textId="2137946F" w:rsidR="000D43BA" w:rsidRDefault="000D43BA" w:rsidP="00B95BC9">
      <w:pPr>
        <w:pStyle w:val="Footer"/>
        <w:tabs>
          <w:tab w:val="clear" w:pos="4320"/>
          <w:tab w:val="clear" w:pos="8640"/>
        </w:tabs>
        <w:sectPr w:rsidR="000D43BA" w:rsidSect="00347952">
          <w:footerReference w:type="even" r:id="rId8"/>
          <w:footerReference w:type="default" r:id="rId9"/>
          <w:pgSz w:w="12240" w:h="15840" w:code="1"/>
          <w:pgMar w:top="1440" w:right="1440" w:bottom="1440" w:left="1440" w:header="0" w:footer="0" w:gutter="0"/>
          <w:cols w:space="720"/>
          <w:titlePg/>
        </w:sectPr>
      </w:pPr>
      <w:r>
        <w:br w:type="page"/>
      </w:r>
    </w:p>
    <w:p w14:paraId="5A5B5EDB" w14:textId="77777777" w:rsidR="006115F2" w:rsidRDefault="00111ED7" w:rsidP="005047C8">
      <w:pPr>
        <w:pStyle w:val="Footer"/>
        <w:tabs>
          <w:tab w:val="clear" w:pos="4320"/>
          <w:tab w:val="clear" w:pos="8640"/>
          <w:tab w:val="left" w:pos="720"/>
        </w:tabs>
        <w:ind w:right="-4680"/>
      </w:pPr>
      <w:r>
        <w:lastRenderedPageBreak/>
        <w:t xml:space="preserve">Pennsylvania Public Utility Commission v. </w:t>
      </w:r>
      <w:r w:rsidR="006115F2">
        <w:t>Philadelphia Gas Works</w:t>
      </w:r>
    </w:p>
    <w:p w14:paraId="7E52CFE5" w14:textId="77777777" w:rsidR="006115F2" w:rsidRDefault="006115F2" w:rsidP="006115F2">
      <w:r>
        <w:t xml:space="preserve">Docket Number R-2022-3030686 </w:t>
      </w:r>
    </w:p>
    <w:p w14:paraId="23C39EEC" w14:textId="49FE8A50" w:rsidR="00111ED7" w:rsidRDefault="00111ED7" w:rsidP="005047C8">
      <w:pPr>
        <w:pStyle w:val="Footer"/>
        <w:tabs>
          <w:tab w:val="clear" w:pos="4320"/>
          <w:tab w:val="clear" w:pos="8640"/>
          <w:tab w:val="left" w:pos="720"/>
        </w:tabs>
      </w:pPr>
    </w:p>
    <w:p w14:paraId="22B47F74" w14:textId="77777777" w:rsidR="00111ED7" w:rsidRDefault="00111ED7" w:rsidP="005047C8">
      <w:pPr>
        <w:pStyle w:val="Heading1"/>
        <w:jc w:val="left"/>
      </w:pPr>
    </w:p>
    <w:p w14:paraId="3314843F" w14:textId="6EA34F86" w:rsidR="00111ED7" w:rsidRDefault="004113FF" w:rsidP="004113FF">
      <w:pPr>
        <w:ind w:right="-90"/>
        <w:jc w:val="center"/>
        <w:rPr>
          <w:u w:val="single"/>
        </w:rPr>
      </w:pPr>
      <w:r>
        <w:tab/>
      </w:r>
      <w:r>
        <w:tab/>
      </w:r>
      <w:r>
        <w:tab/>
      </w:r>
      <w:r w:rsidR="00D53DD9">
        <w:t xml:space="preserve">        </w:t>
      </w:r>
      <w:r w:rsidR="00CA165A">
        <w:t xml:space="preserve">  </w:t>
      </w:r>
      <w:r w:rsidR="00D53DD9" w:rsidRPr="005047C8">
        <w:rPr>
          <w:u w:val="single"/>
        </w:rPr>
        <w:t>SERVICE LIST</w:t>
      </w:r>
    </w:p>
    <w:p w14:paraId="163176BC" w14:textId="55F34F5F" w:rsidR="00D53DD9" w:rsidRDefault="00D53DD9" w:rsidP="004113FF">
      <w:pPr>
        <w:ind w:right="-90"/>
        <w:jc w:val="center"/>
        <w:rPr>
          <w:u w:val="single"/>
        </w:rPr>
      </w:pPr>
    </w:p>
    <w:p w14:paraId="7238DC88" w14:textId="174BA6B8" w:rsidR="00D53DD9" w:rsidRDefault="00D53DD9" w:rsidP="005047C8">
      <w:pPr>
        <w:ind w:right="-90"/>
        <w:jc w:val="center"/>
        <w:rPr>
          <w:u w:val="single"/>
        </w:rPr>
      </w:pPr>
    </w:p>
    <w:p w14:paraId="352235F6" w14:textId="77777777" w:rsidR="00111ED7" w:rsidRDefault="00111ED7" w:rsidP="00111ED7">
      <w:r>
        <w:t>Craig Berry, Esquire</w:t>
      </w:r>
    </w:p>
    <w:p w14:paraId="7C7CF1DF" w14:textId="77777777" w:rsidR="00111ED7" w:rsidRDefault="00111ED7" w:rsidP="00111ED7">
      <w:hyperlink r:id="rId10" w:history="1">
        <w:r>
          <w:rPr>
            <w:rStyle w:val="Hyperlink"/>
          </w:rPr>
          <w:t>craig.berry@pgworks.com</w:t>
        </w:r>
      </w:hyperlink>
      <w:r>
        <w:t xml:space="preserve"> </w:t>
      </w:r>
    </w:p>
    <w:p w14:paraId="6057F5DA" w14:textId="77777777" w:rsidR="00111ED7" w:rsidRDefault="00111ED7" w:rsidP="00111ED7">
      <w:r>
        <w:t xml:space="preserve">Philadelphia Gas Works </w:t>
      </w:r>
    </w:p>
    <w:p w14:paraId="297F9BC4" w14:textId="77777777" w:rsidR="00111ED7" w:rsidRDefault="00111ED7" w:rsidP="00111ED7">
      <w:r>
        <w:t>800 W. Montgomery Avenue</w:t>
      </w:r>
      <w:r>
        <w:tab/>
      </w:r>
    </w:p>
    <w:p w14:paraId="1F877370" w14:textId="77777777" w:rsidR="00111ED7" w:rsidRDefault="00111ED7" w:rsidP="00111ED7">
      <w:r>
        <w:t>Philadelphia, PA 19122</w:t>
      </w:r>
    </w:p>
    <w:p w14:paraId="2A64633C" w14:textId="77777777" w:rsidR="00111ED7" w:rsidRDefault="00111ED7" w:rsidP="00111ED7"/>
    <w:p w14:paraId="683FBC93" w14:textId="77777777" w:rsidR="00111ED7" w:rsidRDefault="00111ED7" w:rsidP="00111ED7">
      <w:r>
        <w:t>Daniel Clearfield, Esquire</w:t>
      </w:r>
    </w:p>
    <w:p w14:paraId="7032540D" w14:textId="77777777" w:rsidR="00111ED7" w:rsidRDefault="00111ED7" w:rsidP="00111ED7">
      <w:hyperlink r:id="rId11" w:history="1">
        <w:r>
          <w:rPr>
            <w:rStyle w:val="Hyperlink"/>
          </w:rPr>
          <w:t>dclearfield@eckertseamans.com</w:t>
        </w:r>
      </w:hyperlink>
    </w:p>
    <w:p w14:paraId="55CF7234" w14:textId="77777777" w:rsidR="00111ED7" w:rsidRDefault="00111ED7" w:rsidP="00111ED7">
      <w:r>
        <w:t>Lauren M. Burge, Esquire</w:t>
      </w:r>
    </w:p>
    <w:p w14:paraId="125D1BEC" w14:textId="77777777" w:rsidR="00111ED7" w:rsidRDefault="00111ED7" w:rsidP="00111ED7">
      <w:hyperlink r:id="rId12" w:history="1">
        <w:r>
          <w:rPr>
            <w:rStyle w:val="Hyperlink"/>
          </w:rPr>
          <w:t>lburge@eckertseamans.com</w:t>
        </w:r>
      </w:hyperlink>
      <w:r>
        <w:t xml:space="preserve"> </w:t>
      </w:r>
    </w:p>
    <w:p w14:paraId="1904D6D9" w14:textId="77777777" w:rsidR="00111ED7" w:rsidRDefault="00111ED7" w:rsidP="00111ED7">
      <w:r>
        <w:t>Eckert Seamans Cherin &amp; Mellott, LLC</w:t>
      </w:r>
    </w:p>
    <w:p w14:paraId="69B2F974" w14:textId="77777777" w:rsidR="00111ED7" w:rsidRDefault="00111ED7" w:rsidP="00111ED7">
      <w:r>
        <w:t>213 Market St., 8</w:t>
      </w:r>
      <w:r>
        <w:rPr>
          <w:vertAlign w:val="superscript"/>
        </w:rPr>
        <w:t>th</w:t>
      </w:r>
      <w:r>
        <w:t xml:space="preserve"> Fl.</w:t>
      </w:r>
    </w:p>
    <w:p w14:paraId="1218C0F1" w14:textId="77777777" w:rsidR="00111ED7" w:rsidRDefault="00111ED7" w:rsidP="00111ED7">
      <w:r>
        <w:t>Harrisburg, PA  17101</w:t>
      </w:r>
    </w:p>
    <w:p w14:paraId="5AAEA34F" w14:textId="77777777" w:rsidR="00111ED7" w:rsidRDefault="00111ED7" w:rsidP="00111ED7">
      <w:pPr>
        <w:rPr>
          <w:i/>
          <w:iCs/>
        </w:rPr>
      </w:pPr>
      <w:r>
        <w:rPr>
          <w:i/>
          <w:iCs/>
        </w:rPr>
        <w:t>Counsel for Philadelphia Gas Works</w:t>
      </w:r>
    </w:p>
    <w:p w14:paraId="78BBEBA8" w14:textId="77777777" w:rsidR="00111ED7" w:rsidRDefault="00111ED7" w:rsidP="00111ED7"/>
    <w:p w14:paraId="5C4C83B1" w14:textId="77777777" w:rsidR="00111ED7" w:rsidRDefault="00111ED7" w:rsidP="00111ED7">
      <w:r>
        <w:t>Gina L. Miller, Esquire</w:t>
      </w:r>
    </w:p>
    <w:p w14:paraId="7E64FA49" w14:textId="77777777" w:rsidR="00111ED7" w:rsidRDefault="00111ED7" w:rsidP="00111ED7">
      <w:hyperlink r:id="rId13" w:history="1">
        <w:r>
          <w:rPr>
            <w:rStyle w:val="Hyperlink"/>
          </w:rPr>
          <w:t>gmiller@pa.gov</w:t>
        </w:r>
      </w:hyperlink>
      <w:r>
        <w:t xml:space="preserve"> </w:t>
      </w:r>
    </w:p>
    <w:p w14:paraId="02E2AC53" w14:textId="77777777" w:rsidR="00111ED7" w:rsidRDefault="00111ED7" w:rsidP="00111ED7">
      <w:r>
        <w:t>Bureau of Investigation &amp; Enforcement</w:t>
      </w:r>
    </w:p>
    <w:p w14:paraId="4CF98B8C" w14:textId="77777777" w:rsidR="00111ED7" w:rsidRDefault="00111ED7" w:rsidP="00111ED7">
      <w:r>
        <w:t>PA Public Utility Commission</w:t>
      </w:r>
    </w:p>
    <w:p w14:paraId="1C6B57D3" w14:textId="77777777" w:rsidR="00111ED7" w:rsidRDefault="00111ED7" w:rsidP="00111ED7">
      <w:r>
        <w:t>400 North Street</w:t>
      </w:r>
    </w:p>
    <w:p w14:paraId="5D14FB96" w14:textId="77777777" w:rsidR="00111ED7" w:rsidRDefault="00111ED7" w:rsidP="00111ED7">
      <w:pPr>
        <w:rPr>
          <w:szCs w:val="24"/>
        </w:rPr>
      </w:pPr>
      <w:r>
        <w:t>Harrisburg, PA  17120</w:t>
      </w:r>
    </w:p>
    <w:p w14:paraId="0904A3B4" w14:textId="77777777" w:rsidR="00111ED7" w:rsidRDefault="00111ED7" w:rsidP="00111ED7"/>
    <w:p w14:paraId="1208EDAF" w14:textId="77777777" w:rsidR="00111ED7" w:rsidRDefault="00111ED7" w:rsidP="00111ED7">
      <w:r>
        <w:t>Christy M. Appleby</w:t>
      </w:r>
    </w:p>
    <w:p w14:paraId="7B931C60" w14:textId="77777777" w:rsidR="00111ED7" w:rsidRDefault="00111ED7" w:rsidP="00111ED7">
      <w:hyperlink r:id="rId14" w:history="1">
        <w:r>
          <w:rPr>
            <w:rStyle w:val="Hyperlink"/>
          </w:rPr>
          <w:t>CAppleby@paoca.org</w:t>
        </w:r>
      </w:hyperlink>
      <w:r>
        <w:t xml:space="preserve"> </w:t>
      </w:r>
    </w:p>
    <w:p w14:paraId="55B48BDB" w14:textId="77777777" w:rsidR="00111ED7" w:rsidRDefault="00111ED7" w:rsidP="00111ED7">
      <w:r>
        <w:t>Aron J. Beatty, Esquire</w:t>
      </w:r>
    </w:p>
    <w:p w14:paraId="0A662981" w14:textId="77777777" w:rsidR="00111ED7" w:rsidRDefault="00111ED7" w:rsidP="00111ED7">
      <w:hyperlink r:id="rId15" w:history="1">
        <w:r>
          <w:rPr>
            <w:rStyle w:val="Hyperlink"/>
          </w:rPr>
          <w:t>ABeatty@paoca.org</w:t>
        </w:r>
      </w:hyperlink>
    </w:p>
    <w:p w14:paraId="0C52DE48" w14:textId="77777777" w:rsidR="00111ED7" w:rsidRDefault="00111ED7" w:rsidP="00111ED7">
      <w:r>
        <w:t>Office of Consumer Advocate</w:t>
      </w:r>
    </w:p>
    <w:p w14:paraId="62262E45" w14:textId="77777777" w:rsidR="00111ED7" w:rsidRDefault="00111ED7" w:rsidP="00111ED7">
      <w:r>
        <w:t>555 Walnut Street, 5</w:t>
      </w:r>
      <w:r>
        <w:rPr>
          <w:vertAlign w:val="superscript"/>
        </w:rPr>
        <w:t>th</w:t>
      </w:r>
      <w:r>
        <w:t xml:space="preserve"> Floor</w:t>
      </w:r>
    </w:p>
    <w:p w14:paraId="6DC9FD28" w14:textId="77777777" w:rsidR="00111ED7" w:rsidRDefault="00111ED7" w:rsidP="00111ED7">
      <w:r>
        <w:t>Forum Place</w:t>
      </w:r>
    </w:p>
    <w:p w14:paraId="7901DD8A" w14:textId="77777777" w:rsidR="00111ED7" w:rsidRDefault="00111ED7" w:rsidP="00111ED7">
      <w:r>
        <w:t>Harrisburg, PA 17101-1923</w:t>
      </w:r>
    </w:p>
    <w:p w14:paraId="579CFAA1" w14:textId="77777777" w:rsidR="00111ED7" w:rsidRDefault="00111ED7" w:rsidP="00111ED7"/>
    <w:p w14:paraId="3C47EA4D" w14:textId="77777777" w:rsidR="00111ED7" w:rsidRDefault="00111ED7" w:rsidP="00111ED7">
      <w:r>
        <w:t>Sharon E. Webb, Esquire</w:t>
      </w:r>
    </w:p>
    <w:p w14:paraId="2DF45075" w14:textId="77777777" w:rsidR="00111ED7" w:rsidRDefault="00111ED7" w:rsidP="00111ED7">
      <w:hyperlink r:id="rId16" w:history="1">
        <w:r>
          <w:rPr>
            <w:rStyle w:val="Hyperlink"/>
          </w:rPr>
          <w:t>swebb@pa.gov</w:t>
        </w:r>
      </w:hyperlink>
    </w:p>
    <w:p w14:paraId="10BF7318" w14:textId="77777777" w:rsidR="00111ED7" w:rsidRDefault="00111ED7" w:rsidP="00111ED7">
      <w:r>
        <w:t>Office of Small Business Advocate</w:t>
      </w:r>
    </w:p>
    <w:p w14:paraId="1BAF2A5A" w14:textId="77777777" w:rsidR="00111ED7" w:rsidRDefault="00111ED7" w:rsidP="00111ED7">
      <w:pPr>
        <w:rPr>
          <w:color w:val="000000"/>
        </w:rPr>
      </w:pPr>
      <w:r>
        <w:rPr>
          <w:color w:val="000000"/>
        </w:rPr>
        <w:t>Forum Place</w:t>
      </w:r>
    </w:p>
    <w:p w14:paraId="29F86EE0" w14:textId="77777777" w:rsidR="00111ED7" w:rsidRDefault="00111ED7" w:rsidP="00111ED7">
      <w:r>
        <w:rPr>
          <w:color w:val="000000"/>
        </w:rPr>
        <w:t>555 Walnut Street, 1</w:t>
      </w:r>
      <w:r>
        <w:rPr>
          <w:color w:val="000000"/>
          <w:vertAlign w:val="superscript"/>
        </w:rPr>
        <w:t>st</w:t>
      </w:r>
      <w:r>
        <w:rPr>
          <w:color w:val="000000"/>
        </w:rPr>
        <w:t xml:space="preserve"> Floor </w:t>
      </w:r>
      <w:r>
        <w:rPr>
          <w:color w:val="000000"/>
        </w:rPr>
        <w:br/>
        <w:t>Harrisburg, PA  17101</w:t>
      </w:r>
    </w:p>
    <w:p w14:paraId="3AC25959" w14:textId="77777777" w:rsidR="00111ED7" w:rsidRDefault="00111ED7" w:rsidP="00111ED7">
      <w:pPr>
        <w:rPr>
          <w:szCs w:val="24"/>
        </w:rPr>
      </w:pPr>
    </w:p>
    <w:p w14:paraId="4CEA7A3B" w14:textId="1C7DBACC" w:rsidR="006115F2" w:rsidRDefault="006115F2">
      <w:r>
        <w:br w:type="page"/>
      </w:r>
    </w:p>
    <w:p w14:paraId="7DAFC3DC" w14:textId="77777777" w:rsidR="006115F2" w:rsidRDefault="006115F2" w:rsidP="006115F2">
      <w:r>
        <w:lastRenderedPageBreak/>
        <w:t>Charis Mincavage, Esquire</w:t>
      </w:r>
    </w:p>
    <w:p w14:paraId="5AF9BD2D" w14:textId="77777777" w:rsidR="006115F2" w:rsidRDefault="006115F2" w:rsidP="006115F2">
      <w:r>
        <w:rPr>
          <w:color w:val="0000FF"/>
          <w:u w:val="single"/>
        </w:rPr>
        <w:t>cmincavage@mcneeslaw.com</w:t>
      </w:r>
    </w:p>
    <w:p w14:paraId="39DB5F4F" w14:textId="77777777" w:rsidR="006115F2" w:rsidRDefault="006115F2" w:rsidP="006115F2">
      <w:r>
        <w:t>Adeolu Bakare, Esquire</w:t>
      </w:r>
    </w:p>
    <w:p w14:paraId="2FE42C1F" w14:textId="77777777" w:rsidR="006115F2" w:rsidRDefault="006115F2" w:rsidP="006115F2">
      <w:hyperlink r:id="rId17" w:history="1">
        <w:r>
          <w:rPr>
            <w:rStyle w:val="Hyperlink"/>
          </w:rPr>
          <w:t>abakare@mcneeslaw.com</w:t>
        </w:r>
      </w:hyperlink>
      <w:r>
        <w:t xml:space="preserve"> </w:t>
      </w:r>
    </w:p>
    <w:p w14:paraId="5F7D739B" w14:textId="77777777" w:rsidR="006115F2" w:rsidRDefault="006115F2" w:rsidP="006115F2">
      <w:r>
        <w:t>McNees Wallace &amp; Nurick, LLC</w:t>
      </w:r>
    </w:p>
    <w:p w14:paraId="6AC8F30C" w14:textId="77777777" w:rsidR="006115F2" w:rsidRDefault="006115F2" w:rsidP="006115F2">
      <w:r>
        <w:t>100 Pine Street</w:t>
      </w:r>
    </w:p>
    <w:p w14:paraId="3A210939" w14:textId="77777777" w:rsidR="006115F2" w:rsidRDefault="006115F2" w:rsidP="006115F2">
      <w:r>
        <w:t>P.O. Box 1166</w:t>
      </w:r>
    </w:p>
    <w:p w14:paraId="206B9EE9" w14:textId="77777777" w:rsidR="006115F2" w:rsidRDefault="006115F2" w:rsidP="006115F2">
      <w:r>
        <w:t>Harrisburg, PA 17108-1166</w:t>
      </w:r>
    </w:p>
    <w:p w14:paraId="5BBC03E5" w14:textId="77777777" w:rsidR="006115F2" w:rsidRDefault="006115F2" w:rsidP="006115F2">
      <w:pPr>
        <w:rPr>
          <w:i/>
        </w:rPr>
      </w:pPr>
      <w:r>
        <w:rPr>
          <w:i/>
        </w:rPr>
        <w:t xml:space="preserve">Counsel for Philadelphia Industrial </w:t>
      </w:r>
    </w:p>
    <w:p w14:paraId="56EE4B52" w14:textId="77777777" w:rsidR="006115F2" w:rsidRDefault="006115F2" w:rsidP="006115F2">
      <w:pPr>
        <w:rPr>
          <w:i/>
        </w:rPr>
      </w:pPr>
      <w:r>
        <w:rPr>
          <w:i/>
        </w:rPr>
        <w:t>and Commercial Gas Users Group</w:t>
      </w:r>
    </w:p>
    <w:p w14:paraId="0ECC6E8C" w14:textId="77777777" w:rsidR="006115F2" w:rsidRDefault="006115F2" w:rsidP="006115F2">
      <w:pPr>
        <w:rPr>
          <w:iCs/>
        </w:rPr>
      </w:pPr>
    </w:p>
    <w:p w14:paraId="53B99799" w14:textId="77777777" w:rsidR="006115F2" w:rsidRDefault="006115F2" w:rsidP="006115F2">
      <w:pPr>
        <w:rPr>
          <w:iCs/>
        </w:rPr>
      </w:pPr>
      <w:r>
        <w:rPr>
          <w:iCs/>
        </w:rPr>
        <w:t>Dennis A. Whitaker, Esquire</w:t>
      </w:r>
    </w:p>
    <w:p w14:paraId="11F99EE7" w14:textId="77777777" w:rsidR="006115F2" w:rsidRDefault="006115F2" w:rsidP="006115F2">
      <w:pPr>
        <w:rPr>
          <w:iCs/>
        </w:rPr>
      </w:pPr>
      <w:hyperlink r:id="rId18" w:history="1">
        <w:r>
          <w:rPr>
            <w:rStyle w:val="Hyperlink"/>
            <w:iCs/>
          </w:rPr>
          <w:t>dawhitaker@hmslegal.com</w:t>
        </w:r>
      </w:hyperlink>
    </w:p>
    <w:p w14:paraId="3051C0FC" w14:textId="77777777" w:rsidR="006115F2" w:rsidRDefault="006115F2" w:rsidP="006115F2">
      <w:pPr>
        <w:rPr>
          <w:iCs/>
        </w:rPr>
      </w:pPr>
      <w:r>
        <w:rPr>
          <w:iCs/>
        </w:rPr>
        <w:t>Kevin J. McKeon, Esquire</w:t>
      </w:r>
    </w:p>
    <w:p w14:paraId="4B655ECF" w14:textId="77777777" w:rsidR="006115F2" w:rsidRDefault="006115F2" w:rsidP="006115F2">
      <w:pPr>
        <w:rPr>
          <w:iCs/>
        </w:rPr>
      </w:pPr>
      <w:hyperlink r:id="rId19" w:history="1">
        <w:r>
          <w:rPr>
            <w:rStyle w:val="Hyperlink"/>
            <w:iCs/>
          </w:rPr>
          <w:t>kjmckeon@hmslegal.com</w:t>
        </w:r>
      </w:hyperlink>
    </w:p>
    <w:p w14:paraId="0AF30E2F" w14:textId="77777777" w:rsidR="006115F2" w:rsidRDefault="006115F2" w:rsidP="006115F2">
      <w:pPr>
        <w:rPr>
          <w:iCs/>
        </w:rPr>
      </w:pPr>
      <w:r>
        <w:rPr>
          <w:iCs/>
        </w:rPr>
        <w:t>Todd S. Stewart, Esquire</w:t>
      </w:r>
    </w:p>
    <w:p w14:paraId="2973D287" w14:textId="77777777" w:rsidR="006115F2" w:rsidRDefault="006115F2" w:rsidP="006115F2">
      <w:pPr>
        <w:rPr>
          <w:iCs/>
        </w:rPr>
      </w:pPr>
      <w:hyperlink r:id="rId20" w:history="1">
        <w:r>
          <w:rPr>
            <w:rStyle w:val="Hyperlink"/>
            <w:iCs/>
          </w:rPr>
          <w:t>tsstewart@hmslegal.com</w:t>
        </w:r>
      </w:hyperlink>
    </w:p>
    <w:p w14:paraId="5B605A63" w14:textId="77777777" w:rsidR="006115F2" w:rsidRDefault="006115F2" w:rsidP="006115F2">
      <w:pPr>
        <w:rPr>
          <w:iCs/>
        </w:rPr>
      </w:pPr>
      <w:r>
        <w:rPr>
          <w:iCs/>
        </w:rPr>
        <w:t>Bryce R. Beard, Esquire</w:t>
      </w:r>
    </w:p>
    <w:p w14:paraId="1A785D89" w14:textId="77777777" w:rsidR="006115F2" w:rsidRDefault="006115F2" w:rsidP="006115F2">
      <w:pPr>
        <w:rPr>
          <w:iCs/>
        </w:rPr>
      </w:pPr>
      <w:hyperlink r:id="rId21" w:history="1">
        <w:r>
          <w:rPr>
            <w:rStyle w:val="Hyperlink"/>
            <w:iCs/>
          </w:rPr>
          <w:t>brbeard@hmslegal.com</w:t>
        </w:r>
      </w:hyperlink>
    </w:p>
    <w:p w14:paraId="16A914E2" w14:textId="77777777" w:rsidR="006115F2" w:rsidRDefault="006115F2" w:rsidP="006115F2">
      <w:pPr>
        <w:rPr>
          <w:iCs/>
        </w:rPr>
      </w:pPr>
      <w:r>
        <w:rPr>
          <w:iCs/>
        </w:rPr>
        <w:t>Hawke McKeon &amp; Sniscak LLP</w:t>
      </w:r>
    </w:p>
    <w:p w14:paraId="6F92D9D8" w14:textId="77777777" w:rsidR="006115F2" w:rsidRDefault="006115F2" w:rsidP="006115F2">
      <w:pPr>
        <w:rPr>
          <w:iCs/>
        </w:rPr>
      </w:pPr>
      <w:r>
        <w:rPr>
          <w:iCs/>
        </w:rPr>
        <w:t>100 N. 10</w:t>
      </w:r>
      <w:r>
        <w:rPr>
          <w:iCs/>
          <w:vertAlign w:val="superscript"/>
        </w:rPr>
        <w:t>th</w:t>
      </w:r>
      <w:r>
        <w:rPr>
          <w:iCs/>
        </w:rPr>
        <w:t xml:space="preserve"> Street</w:t>
      </w:r>
    </w:p>
    <w:p w14:paraId="6FBC3910" w14:textId="77777777" w:rsidR="006115F2" w:rsidRDefault="006115F2" w:rsidP="006115F2">
      <w:pPr>
        <w:rPr>
          <w:iCs/>
        </w:rPr>
      </w:pPr>
      <w:r>
        <w:rPr>
          <w:iCs/>
        </w:rPr>
        <w:t>Harrisburg, PA  17101</w:t>
      </w:r>
    </w:p>
    <w:p w14:paraId="22E615EC" w14:textId="77777777" w:rsidR="006115F2" w:rsidRDefault="006115F2" w:rsidP="006115F2">
      <w:pPr>
        <w:rPr>
          <w:i/>
        </w:rPr>
      </w:pPr>
      <w:r>
        <w:rPr>
          <w:i/>
        </w:rPr>
        <w:t>Counsel for Grays Ferry Cogeneration</w:t>
      </w:r>
    </w:p>
    <w:p w14:paraId="6FE3C2FE" w14:textId="77777777" w:rsidR="006115F2" w:rsidRDefault="006115F2" w:rsidP="006115F2">
      <w:pPr>
        <w:rPr>
          <w:i/>
        </w:rPr>
      </w:pPr>
      <w:r>
        <w:rPr>
          <w:i/>
        </w:rPr>
        <w:t xml:space="preserve">Partnership and Vicinity Energy </w:t>
      </w:r>
    </w:p>
    <w:p w14:paraId="0FBC7653" w14:textId="77777777" w:rsidR="006115F2" w:rsidRDefault="006115F2" w:rsidP="006115F2">
      <w:pPr>
        <w:rPr>
          <w:iCs/>
        </w:rPr>
      </w:pPr>
      <w:r>
        <w:rPr>
          <w:i/>
        </w:rPr>
        <w:t>Philadelphia, Inc.</w:t>
      </w:r>
      <w:r>
        <w:rPr>
          <w:iCs/>
        </w:rPr>
        <w:t xml:space="preserve"> </w:t>
      </w:r>
    </w:p>
    <w:p w14:paraId="1E73E2C0" w14:textId="77777777" w:rsidR="00111ED7" w:rsidRDefault="00111ED7" w:rsidP="00111ED7"/>
    <w:p w14:paraId="5A600D89" w14:textId="77777777" w:rsidR="00111ED7" w:rsidRDefault="00111ED7" w:rsidP="00111ED7"/>
    <w:p w14:paraId="31F43463" w14:textId="77777777" w:rsidR="00111ED7" w:rsidRDefault="00111ED7" w:rsidP="00111ED7"/>
    <w:p w14:paraId="103A3353" w14:textId="77777777" w:rsidR="00143326" w:rsidRDefault="00143326" w:rsidP="00143326"/>
    <w:p w14:paraId="7A32A993" w14:textId="4B620CBF" w:rsidR="00E84792" w:rsidRPr="00E84792" w:rsidRDefault="00E84792" w:rsidP="00C85F93">
      <w:pPr>
        <w:pStyle w:val="Footer"/>
        <w:tabs>
          <w:tab w:val="clear" w:pos="4320"/>
          <w:tab w:val="clear" w:pos="8640"/>
        </w:tabs>
      </w:pPr>
    </w:p>
    <w:sectPr w:rsidR="00E84792" w:rsidRPr="00E84792" w:rsidSect="000D43BA">
      <w:type w:val="continuous"/>
      <w:pgSz w:w="12240" w:h="15840" w:code="1"/>
      <w:pgMar w:top="1440" w:right="1440" w:bottom="1440" w:left="1440" w:header="0" w:footer="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FDD9" w14:textId="77777777" w:rsidR="005679AE" w:rsidRDefault="005679AE">
      <w:r>
        <w:separator/>
      </w:r>
    </w:p>
  </w:endnote>
  <w:endnote w:type="continuationSeparator" w:id="0">
    <w:p w14:paraId="683DE38F" w14:textId="77777777" w:rsidR="005679AE" w:rsidRDefault="005679AE">
      <w:r>
        <w:continuationSeparator/>
      </w:r>
    </w:p>
  </w:endnote>
  <w:endnote w:type="continuationNotice" w:id="1">
    <w:p w14:paraId="761FFCFB" w14:textId="77777777" w:rsidR="005679AE" w:rsidRDefault="00567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9D14" w14:textId="77777777" w:rsidR="00A41602" w:rsidRDefault="003A72FE">
    <w:pPr>
      <w:pStyle w:val="Footer"/>
      <w:framePr w:wrap="around" w:vAnchor="text" w:hAnchor="margin" w:xAlign="center" w:y="1"/>
      <w:rPr>
        <w:rStyle w:val="PageNumber"/>
      </w:rPr>
    </w:pPr>
    <w:r>
      <w:rPr>
        <w:rStyle w:val="PageNumber"/>
      </w:rPr>
      <w:fldChar w:fldCharType="begin"/>
    </w:r>
    <w:r w:rsidR="00A41602">
      <w:rPr>
        <w:rStyle w:val="PageNumber"/>
      </w:rPr>
      <w:instrText xml:space="preserve">PAGE  </w:instrText>
    </w:r>
    <w:r>
      <w:rPr>
        <w:rStyle w:val="PageNumber"/>
      </w:rPr>
      <w:fldChar w:fldCharType="separate"/>
    </w:r>
    <w:r w:rsidR="00A41602">
      <w:rPr>
        <w:rStyle w:val="PageNumber"/>
        <w:noProof/>
      </w:rPr>
      <w:t>5</w:t>
    </w:r>
    <w:r>
      <w:rPr>
        <w:rStyle w:val="PageNumber"/>
      </w:rPr>
      <w:fldChar w:fldCharType="end"/>
    </w:r>
  </w:p>
  <w:p w14:paraId="0059E315" w14:textId="77777777" w:rsidR="00A41602" w:rsidRDefault="00A41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63A7" w14:textId="77777777" w:rsidR="00A41602" w:rsidRDefault="003A72FE" w:rsidP="00260002">
    <w:pPr>
      <w:pStyle w:val="Footer"/>
      <w:framePr w:wrap="around" w:vAnchor="text" w:hAnchor="page" w:x="6061" w:y="-659"/>
      <w:jc w:val="center"/>
      <w:rPr>
        <w:rStyle w:val="PageNumber"/>
      </w:rPr>
    </w:pPr>
    <w:r w:rsidRPr="00E84792">
      <w:rPr>
        <w:rStyle w:val="PageNumber"/>
        <w:sz w:val="20"/>
      </w:rPr>
      <w:fldChar w:fldCharType="begin"/>
    </w:r>
    <w:r w:rsidR="00A41602" w:rsidRPr="00E84792">
      <w:rPr>
        <w:rStyle w:val="PageNumber"/>
        <w:sz w:val="20"/>
      </w:rPr>
      <w:instrText xml:space="preserve">PAGE  </w:instrText>
    </w:r>
    <w:r w:rsidRPr="00E84792">
      <w:rPr>
        <w:rStyle w:val="PageNumber"/>
        <w:sz w:val="20"/>
      </w:rPr>
      <w:fldChar w:fldCharType="separate"/>
    </w:r>
    <w:r w:rsidR="00E202D7">
      <w:rPr>
        <w:rStyle w:val="PageNumber"/>
        <w:noProof/>
        <w:sz w:val="20"/>
      </w:rPr>
      <w:t>5</w:t>
    </w:r>
    <w:r w:rsidRPr="00E84792">
      <w:rPr>
        <w:rStyle w:val="PageNumber"/>
        <w:sz w:val="20"/>
      </w:rPr>
      <w:fldChar w:fldCharType="end"/>
    </w:r>
  </w:p>
  <w:p w14:paraId="5BB4DF21" w14:textId="77777777" w:rsidR="00A41602" w:rsidRDefault="00A4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32C5" w14:textId="77777777" w:rsidR="005679AE" w:rsidRDefault="005679AE">
      <w:r>
        <w:separator/>
      </w:r>
    </w:p>
  </w:footnote>
  <w:footnote w:type="continuationSeparator" w:id="0">
    <w:p w14:paraId="51FC0523" w14:textId="77777777" w:rsidR="005679AE" w:rsidRDefault="005679AE">
      <w:r>
        <w:continuationSeparator/>
      </w:r>
    </w:p>
  </w:footnote>
  <w:footnote w:type="continuationNotice" w:id="1">
    <w:p w14:paraId="4BBE6846" w14:textId="77777777" w:rsidR="005679AE" w:rsidRDefault="005679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027E1"/>
    <w:multiLevelType w:val="hybridMultilevel"/>
    <w:tmpl w:val="EB40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F406825"/>
    <w:multiLevelType w:val="hybridMultilevel"/>
    <w:tmpl w:val="A4EC5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9268E"/>
    <w:multiLevelType w:val="hybridMultilevel"/>
    <w:tmpl w:val="58D457BA"/>
    <w:lvl w:ilvl="0" w:tplc="1C9C13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7917267">
    <w:abstractNumId w:val="6"/>
  </w:num>
  <w:num w:numId="2" w16cid:durableId="592326499">
    <w:abstractNumId w:val="3"/>
  </w:num>
  <w:num w:numId="3" w16cid:durableId="1949115037">
    <w:abstractNumId w:val="0"/>
  </w:num>
  <w:num w:numId="4" w16cid:durableId="1108624888">
    <w:abstractNumId w:val="2"/>
  </w:num>
  <w:num w:numId="5" w16cid:durableId="5523997">
    <w:abstractNumId w:val="4"/>
  </w:num>
  <w:num w:numId="6" w16cid:durableId="1293710917">
    <w:abstractNumId w:val="5"/>
  </w:num>
  <w:num w:numId="7" w16cid:durableId="1376546876">
    <w:abstractNumId w:val="8"/>
  </w:num>
  <w:num w:numId="8" w16cid:durableId="67923496">
    <w:abstractNumId w:val="7"/>
  </w:num>
  <w:num w:numId="9" w16cid:durableId="823159121">
    <w:abstractNumId w:val="1"/>
  </w:num>
  <w:num w:numId="10" w16cid:durableId="2094353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0EC"/>
    <w:rsid w:val="0000075D"/>
    <w:rsid w:val="000014D1"/>
    <w:rsid w:val="000107FE"/>
    <w:rsid w:val="0001302F"/>
    <w:rsid w:val="00013627"/>
    <w:rsid w:val="000145E1"/>
    <w:rsid w:val="00031F58"/>
    <w:rsid w:val="00034808"/>
    <w:rsid w:val="000350F4"/>
    <w:rsid w:val="000405E9"/>
    <w:rsid w:val="00040DEC"/>
    <w:rsid w:val="0004351C"/>
    <w:rsid w:val="00045A82"/>
    <w:rsid w:val="00046D6E"/>
    <w:rsid w:val="000510E8"/>
    <w:rsid w:val="000758F7"/>
    <w:rsid w:val="00077787"/>
    <w:rsid w:val="00082E9C"/>
    <w:rsid w:val="0008377F"/>
    <w:rsid w:val="00090A44"/>
    <w:rsid w:val="00091FD8"/>
    <w:rsid w:val="000A2294"/>
    <w:rsid w:val="000A2695"/>
    <w:rsid w:val="000B12FD"/>
    <w:rsid w:val="000B6238"/>
    <w:rsid w:val="000C1D5A"/>
    <w:rsid w:val="000C28D5"/>
    <w:rsid w:val="000C2C14"/>
    <w:rsid w:val="000C73AF"/>
    <w:rsid w:val="000D43BA"/>
    <w:rsid w:val="000D5CE6"/>
    <w:rsid w:val="000D5FCC"/>
    <w:rsid w:val="000F1256"/>
    <w:rsid w:val="00103F10"/>
    <w:rsid w:val="00107AAD"/>
    <w:rsid w:val="0011057B"/>
    <w:rsid w:val="00111ED7"/>
    <w:rsid w:val="00112E62"/>
    <w:rsid w:val="00122299"/>
    <w:rsid w:val="001315DA"/>
    <w:rsid w:val="001376AD"/>
    <w:rsid w:val="001412E3"/>
    <w:rsid w:val="00143326"/>
    <w:rsid w:val="00143773"/>
    <w:rsid w:val="00144828"/>
    <w:rsid w:val="001540E0"/>
    <w:rsid w:val="001570DC"/>
    <w:rsid w:val="00161D45"/>
    <w:rsid w:val="0016669F"/>
    <w:rsid w:val="00167544"/>
    <w:rsid w:val="00170E04"/>
    <w:rsid w:val="00172880"/>
    <w:rsid w:val="0017732E"/>
    <w:rsid w:val="00177AF8"/>
    <w:rsid w:val="00184939"/>
    <w:rsid w:val="00185616"/>
    <w:rsid w:val="0018685E"/>
    <w:rsid w:val="00187BBC"/>
    <w:rsid w:val="0019449E"/>
    <w:rsid w:val="001A0BF4"/>
    <w:rsid w:val="001A42C5"/>
    <w:rsid w:val="001A518C"/>
    <w:rsid w:val="001B0505"/>
    <w:rsid w:val="001B0BB2"/>
    <w:rsid w:val="001B3F77"/>
    <w:rsid w:val="001B7EB7"/>
    <w:rsid w:val="001D4E11"/>
    <w:rsid w:val="001D532C"/>
    <w:rsid w:val="001E2B1A"/>
    <w:rsid w:val="001E3873"/>
    <w:rsid w:val="001E4752"/>
    <w:rsid w:val="001E5135"/>
    <w:rsid w:val="001E7642"/>
    <w:rsid w:val="001F12D6"/>
    <w:rsid w:val="001F6FBE"/>
    <w:rsid w:val="0020278E"/>
    <w:rsid w:val="00204791"/>
    <w:rsid w:val="0021271C"/>
    <w:rsid w:val="002202C7"/>
    <w:rsid w:val="00226EED"/>
    <w:rsid w:val="00230657"/>
    <w:rsid w:val="002334DC"/>
    <w:rsid w:val="00235DCD"/>
    <w:rsid w:val="002503B5"/>
    <w:rsid w:val="00260002"/>
    <w:rsid w:val="00266619"/>
    <w:rsid w:val="00271FD7"/>
    <w:rsid w:val="002723EA"/>
    <w:rsid w:val="002737B3"/>
    <w:rsid w:val="002741A9"/>
    <w:rsid w:val="00274276"/>
    <w:rsid w:val="00276077"/>
    <w:rsid w:val="00276325"/>
    <w:rsid w:val="00284276"/>
    <w:rsid w:val="00291421"/>
    <w:rsid w:val="002932D4"/>
    <w:rsid w:val="002B2B80"/>
    <w:rsid w:val="002B7047"/>
    <w:rsid w:val="002C0D30"/>
    <w:rsid w:val="002C68DD"/>
    <w:rsid w:val="002D26A3"/>
    <w:rsid w:val="002D4D45"/>
    <w:rsid w:val="002D705C"/>
    <w:rsid w:val="002E5D2A"/>
    <w:rsid w:val="002E695F"/>
    <w:rsid w:val="002F2ACD"/>
    <w:rsid w:val="002F4BB9"/>
    <w:rsid w:val="00306BB7"/>
    <w:rsid w:val="0030798C"/>
    <w:rsid w:val="00310403"/>
    <w:rsid w:val="00311966"/>
    <w:rsid w:val="003172C2"/>
    <w:rsid w:val="00317DA3"/>
    <w:rsid w:val="0032255B"/>
    <w:rsid w:val="00325C30"/>
    <w:rsid w:val="00326334"/>
    <w:rsid w:val="00327C21"/>
    <w:rsid w:val="00333F46"/>
    <w:rsid w:val="0033682D"/>
    <w:rsid w:val="00347952"/>
    <w:rsid w:val="00350E0E"/>
    <w:rsid w:val="003647D5"/>
    <w:rsid w:val="00366FB1"/>
    <w:rsid w:val="00380EAD"/>
    <w:rsid w:val="00387DEA"/>
    <w:rsid w:val="003A24AA"/>
    <w:rsid w:val="003A31AD"/>
    <w:rsid w:val="003A4A7F"/>
    <w:rsid w:val="003A72FE"/>
    <w:rsid w:val="003A7792"/>
    <w:rsid w:val="003A7F98"/>
    <w:rsid w:val="003B35CF"/>
    <w:rsid w:val="003C0A28"/>
    <w:rsid w:val="003C2CC6"/>
    <w:rsid w:val="003C5746"/>
    <w:rsid w:val="003D0513"/>
    <w:rsid w:val="003D0B3B"/>
    <w:rsid w:val="003D1992"/>
    <w:rsid w:val="003D3334"/>
    <w:rsid w:val="003D3E38"/>
    <w:rsid w:val="003E3F9B"/>
    <w:rsid w:val="003E5586"/>
    <w:rsid w:val="003E5B1B"/>
    <w:rsid w:val="003F3E4C"/>
    <w:rsid w:val="003F6172"/>
    <w:rsid w:val="003F6314"/>
    <w:rsid w:val="00404CC2"/>
    <w:rsid w:val="00406D13"/>
    <w:rsid w:val="004113FF"/>
    <w:rsid w:val="00412C7E"/>
    <w:rsid w:val="0041412C"/>
    <w:rsid w:val="004161A4"/>
    <w:rsid w:val="004169B2"/>
    <w:rsid w:val="004232B2"/>
    <w:rsid w:val="00430354"/>
    <w:rsid w:val="0043040B"/>
    <w:rsid w:val="00431C7C"/>
    <w:rsid w:val="00433422"/>
    <w:rsid w:val="00433818"/>
    <w:rsid w:val="004356B4"/>
    <w:rsid w:val="00442442"/>
    <w:rsid w:val="0044677B"/>
    <w:rsid w:val="00451645"/>
    <w:rsid w:val="00455CED"/>
    <w:rsid w:val="00456010"/>
    <w:rsid w:val="00462410"/>
    <w:rsid w:val="00464DEF"/>
    <w:rsid w:val="0046692B"/>
    <w:rsid w:val="00470D56"/>
    <w:rsid w:val="00471593"/>
    <w:rsid w:val="004756D5"/>
    <w:rsid w:val="00486592"/>
    <w:rsid w:val="00487A0F"/>
    <w:rsid w:val="004909CC"/>
    <w:rsid w:val="0049250E"/>
    <w:rsid w:val="00496D79"/>
    <w:rsid w:val="004A0A21"/>
    <w:rsid w:val="004A1D57"/>
    <w:rsid w:val="004A7FEF"/>
    <w:rsid w:val="004B01C5"/>
    <w:rsid w:val="004B4423"/>
    <w:rsid w:val="004B7C36"/>
    <w:rsid w:val="004C2DD6"/>
    <w:rsid w:val="004C30DB"/>
    <w:rsid w:val="004C5623"/>
    <w:rsid w:val="004D430D"/>
    <w:rsid w:val="004E1B9E"/>
    <w:rsid w:val="004F6CE3"/>
    <w:rsid w:val="004F7668"/>
    <w:rsid w:val="005012B1"/>
    <w:rsid w:val="005047C8"/>
    <w:rsid w:val="005105E2"/>
    <w:rsid w:val="005142D2"/>
    <w:rsid w:val="00523B62"/>
    <w:rsid w:val="0053078B"/>
    <w:rsid w:val="0053534B"/>
    <w:rsid w:val="005353C9"/>
    <w:rsid w:val="005358A9"/>
    <w:rsid w:val="0053731F"/>
    <w:rsid w:val="0054471A"/>
    <w:rsid w:val="005450A8"/>
    <w:rsid w:val="00545EA3"/>
    <w:rsid w:val="00545F4C"/>
    <w:rsid w:val="00564631"/>
    <w:rsid w:val="00566C8E"/>
    <w:rsid w:val="005679AE"/>
    <w:rsid w:val="00570E25"/>
    <w:rsid w:val="00573FB9"/>
    <w:rsid w:val="0057638E"/>
    <w:rsid w:val="0057714F"/>
    <w:rsid w:val="005868B5"/>
    <w:rsid w:val="0059640E"/>
    <w:rsid w:val="00597E7F"/>
    <w:rsid w:val="005A2242"/>
    <w:rsid w:val="005B12D7"/>
    <w:rsid w:val="005B1861"/>
    <w:rsid w:val="005B4895"/>
    <w:rsid w:val="005B48AD"/>
    <w:rsid w:val="005B51BC"/>
    <w:rsid w:val="005B5D70"/>
    <w:rsid w:val="005B7036"/>
    <w:rsid w:val="005C66E6"/>
    <w:rsid w:val="005D0CB5"/>
    <w:rsid w:val="005D6709"/>
    <w:rsid w:val="005F2042"/>
    <w:rsid w:val="00601CD8"/>
    <w:rsid w:val="00602AD6"/>
    <w:rsid w:val="0060635B"/>
    <w:rsid w:val="0060669F"/>
    <w:rsid w:val="00607562"/>
    <w:rsid w:val="00610A17"/>
    <w:rsid w:val="00610A4F"/>
    <w:rsid w:val="006115F2"/>
    <w:rsid w:val="00611DB0"/>
    <w:rsid w:val="0061256D"/>
    <w:rsid w:val="0061354E"/>
    <w:rsid w:val="006154CE"/>
    <w:rsid w:val="00615864"/>
    <w:rsid w:val="00616B50"/>
    <w:rsid w:val="00624BB1"/>
    <w:rsid w:val="006330BB"/>
    <w:rsid w:val="00634FFD"/>
    <w:rsid w:val="006369E4"/>
    <w:rsid w:val="0063790E"/>
    <w:rsid w:val="00641F5C"/>
    <w:rsid w:val="0065325D"/>
    <w:rsid w:val="00664999"/>
    <w:rsid w:val="00671EB4"/>
    <w:rsid w:val="00693EAE"/>
    <w:rsid w:val="00697D0F"/>
    <w:rsid w:val="006A0E37"/>
    <w:rsid w:val="006B1266"/>
    <w:rsid w:val="006B3CE5"/>
    <w:rsid w:val="006B5DBA"/>
    <w:rsid w:val="006B5F4F"/>
    <w:rsid w:val="006C0ED9"/>
    <w:rsid w:val="006C5DE6"/>
    <w:rsid w:val="006D15B1"/>
    <w:rsid w:val="006D48AE"/>
    <w:rsid w:val="006E0742"/>
    <w:rsid w:val="006E29FE"/>
    <w:rsid w:val="006E3CA0"/>
    <w:rsid w:val="006F061B"/>
    <w:rsid w:val="007005B7"/>
    <w:rsid w:val="00711BA8"/>
    <w:rsid w:val="00711BAD"/>
    <w:rsid w:val="007123EB"/>
    <w:rsid w:val="00717713"/>
    <w:rsid w:val="0072453A"/>
    <w:rsid w:val="00736951"/>
    <w:rsid w:val="00737BCF"/>
    <w:rsid w:val="00752EFE"/>
    <w:rsid w:val="007629C5"/>
    <w:rsid w:val="007650F2"/>
    <w:rsid w:val="00766A98"/>
    <w:rsid w:val="00767A58"/>
    <w:rsid w:val="007735AA"/>
    <w:rsid w:val="007754D6"/>
    <w:rsid w:val="0078092E"/>
    <w:rsid w:val="00785B00"/>
    <w:rsid w:val="00786843"/>
    <w:rsid w:val="007922E4"/>
    <w:rsid w:val="00793C67"/>
    <w:rsid w:val="007A180A"/>
    <w:rsid w:val="007A2F4A"/>
    <w:rsid w:val="007A7019"/>
    <w:rsid w:val="007A76D4"/>
    <w:rsid w:val="007B2D67"/>
    <w:rsid w:val="007C152A"/>
    <w:rsid w:val="007C1980"/>
    <w:rsid w:val="007C2200"/>
    <w:rsid w:val="007D4040"/>
    <w:rsid w:val="007D783E"/>
    <w:rsid w:val="007F0159"/>
    <w:rsid w:val="007F176B"/>
    <w:rsid w:val="007F7DA3"/>
    <w:rsid w:val="00801E1C"/>
    <w:rsid w:val="0080314A"/>
    <w:rsid w:val="008037A8"/>
    <w:rsid w:val="00812059"/>
    <w:rsid w:val="00813883"/>
    <w:rsid w:val="00821987"/>
    <w:rsid w:val="00822255"/>
    <w:rsid w:val="0082360B"/>
    <w:rsid w:val="008241C0"/>
    <w:rsid w:val="00837DBD"/>
    <w:rsid w:val="00840A63"/>
    <w:rsid w:val="00843B85"/>
    <w:rsid w:val="00844A74"/>
    <w:rsid w:val="008510A1"/>
    <w:rsid w:val="00853ADC"/>
    <w:rsid w:val="00853C00"/>
    <w:rsid w:val="00856D0A"/>
    <w:rsid w:val="00857695"/>
    <w:rsid w:val="008649DF"/>
    <w:rsid w:val="00865EEF"/>
    <w:rsid w:val="00867689"/>
    <w:rsid w:val="00867A0B"/>
    <w:rsid w:val="0087040C"/>
    <w:rsid w:val="00884549"/>
    <w:rsid w:val="008926AE"/>
    <w:rsid w:val="008A18AF"/>
    <w:rsid w:val="008B4CE0"/>
    <w:rsid w:val="008C059E"/>
    <w:rsid w:val="008C0C93"/>
    <w:rsid w:val="008C1DD6"/>
    <w:rsid w:val="008C3219"/>
    <w:rsid w:val="008D16B6"/>
    <w:rsid w:val="008E3B1D"/>
    <w:rsid w:val="008E4B90"/>
    <w:rsid w:val="008E6B0C"/>
    <w:rsid w:val="008F29F0"/>
    <w:rsid w:val="009127A8"/>
    <w:rsid w:val="0091300F"/>
    <w:rsid w:val="00917593"/>
    <w:rsid w:val="009203B9"/>
    <w:rsid w:val="00923244"/>
    <w:rsid w:val="00923F2D"/>
    <w:rsid w:val="00935B57"/>
    <w:rsid w:val="00935D8E"/>
    <w:rsid w:val="009375BE"/>
    <w:rsid w:val="0093791F"/>
    <w:rsid w:val="009421EA"/>
    <w:rsid w:val="00947DE7"/>
    <w:rsid w:val="00950C93"/>
    <w:rsid w:val="00961CB6"/>
    <w:rsid w:val="0096720D"/>
    <w:rsid w:val="00975D22"/>
    <w:rsid w:val="009804E8"/>
    <w:rsid w:val="009924E2"/>
    <w:rsid w:val="00992E69"/>
    <w:rsid w:val="00995B98"/>
    <w:rsid w:val="009A13A9"/>
    <w:rsid w:val="009A14F8"/>
    <w:rsid w:val="009A65F3"/>
    <w:rsid w:val="009B4659"/>
    <w:rsid w:val="009B5109"/>
    <w:rsid w:val="009B5573"/>
    <w:rsid w:val="009B73D6"/>
    <w:rsid w:val="009C67B1"/>
    <w:rsid w:val="009C6EC6"/>
    <w:rsid w:val="009D5CFF"/>
    <w:rsid w:val="009E230B"/>
    <w:rsid w:val="009E2844"/>
    <w:rsid w:val="009E4BCB"/>
    <w:rsid w:val="009F7AC7"/>
    <w:rsid w:val="00A00990"/>
    <w:rsid w:val="00A01C31"/>
    <w:rsid w:val="00A123F6"/>
    <w:rsid w:val="00A21853"/>
    <w:rsid w:val="00A22C92"/>
    <w:rsid w:val="00A239C5"/>
    <w:rsid w:val="00A3551C"/>
    <w:rsid w:val="00A36807"/>
    <w:rsid w:val="00A37536"/>
    <w:rsid w:val="00A41602"/>
    <w:rsid w:val="00A43D21"/>
    <w:rsid w:val="00A508CE"/>
    <w:rsid w:val="00A526A8"/>
    <w:rsid w:val="00A559B0"/>
    <w:rsid w:val="00A728CB"/>
    <w:rsid w:val="00A74052"/>
    <w:rsid w:val="00A74705"/>
    <w:rsid w:val="00A76526"/>
    <w:rsid w:val="00A80309"/>
    <w:rsid w:val="00A82723"/>
    <w:rsid w:val="00A836AE"/>
    <w:rsid w:val="00A91127"/>
    <w:rsid w:val="00A91E2C"/>
    <w:rsid w:val="00A95204"/>
    <w:rsid w:val="00AA1E21"/>
    <w:rsid w:val="00AA4127"/>
    <w:rsid w:val="00AB0D38"/>
    <w:rsid w:val="00AB30AD"/>
    <w:rsid w:val="00AB3911"/>
    <w:rsid w:val="00AB6017"/>
    <w:rsid w:val="00AC0332"/>
    <w:rsid w:val="00AC0BF7"/>
    <w:rsid w:val="00AC23B0"/>
    <w:rsid w:val="00AC2A33"/>
    <w:rsid w:val="00AC4181"/>
    <w:rsid w:val="00AC5234"/>
    <w:rsid w:val="00AC549F"/>
    <w:rsid w:val="00AC72B8"/>
    <w:rsid w:val="00AD015D"/>
    <w:rsid w:val="00AD79DF"/>
    <w:rsid w:val="00AE35DF"/>
    <w:rsid w:val="00AE3AD7"/>
    <w:rsid w:val="00B01299"/>
    <w:rsid w:val="00B05AA7"/>
    <w:rsid w:val="00B10D5A"/>
    <w:rsid w:val="00B10EB7"/>
    <w:rsid w:val="00B11A77"/>
    <w:rsid w:val="00B14E1C"/>
    <w:rsid w:val="00B175E9"/>
    <w:rsid w:val="00B21CA9"/>
    <w:rsid w:val="00B22200"/>
    <w:rsid w:val="00B271D0"/>
    <w:rsid w:val="00B30CD0"/>
    <w:rsid w:val="00B35FC5"/>
    <w:rsid w:val="00B371A8"/>
    <w:rsid w:val="00B42945"/>
    <w:rsid w:val="00B4315A"/>
    <w:rsid w:val="00B43EED"/>
    <w:rsid w:val="00B51BC4"/>
    <w:rsid w:val="00B5612D"/>
    <w:rsid w:val="00B56D3A"/>
    <w:rsid w:val="00B62954"/>
    <w:rsid w:val="00B636DB"/>
    <w:rsid w:val="00B6724F"/>
    <w:rsid w:val="00B679A8"/>
    <w:rsid w:val="00B72CBD"/>
    <w:rsid w:val="00B74B26"/>
    <w:rsid w:val="00B76986"/>
    <w:rsid w:val="00B91773"/>
    <w:rsid w:val="00B945DF"/>
    <w:rsid w:val="00B949A7"/>
    <w:rsid w:val="00B95BC9"/>
    <w:rsid w:val="00BA15CB"/>
    <w:rsid w:val="00BA1ADC"/>
    <w:rsid w:val="00BA2493"/>
    <w:rsid w:val="00BA4162"/>
    <w:rsid w:val="00BA7653"/>
    <w:rsid w:val="00BB0993"/>
    <w:rsid w:val="00BD0ACE"/>
    <w:rsid w:val="00BD44C9"/>
    <w:rsid w:val="00BD62AD"/>
    <w:rsid w:val="00BD74E3"/>
    <w:rsid w:val="00BD77F0"/>
    <w:rsid w:val="00BE443E"/>
    <w:rsid w:val="00BE4975"/>
    <w:rsid w:val="00BE4A36"/>
    <w:rsid w:val="00BE55A7"/>
    <w:rsid w:val="00BE6A3B"/>
    <w:rsid w:val="00BF1AAB"/>
    <w:rsid w:val="00BF25A5"/>
    <w:rsid w:val="00BF35E3"/>
    <w:rsid w:val="00BF4380"/>
    <w:rsid w:val="00BF54E5"/>
    <w:rsid w:val="00C01941"/>
    <w:rsid w:val="00C14668"/>
    <w:rsid w:val="00C172BC"/>
    <w:rsid w:val="00C179BC"/>
    <w:rsid w:val="00C30A86"/>
    <w:rsid w:val="00C40A2A"/>
    <w:rsid w:val="00C43192"/>
    <w:rsid w:val="00C45EFF"/>
    <w:rsid w:val="00C4651B"/>
    <w:rsid w:val="00C46564"/>
    <w:rsid w:val="00C5014B"/>
    <w:rsid w:val="00C5579C"/>
    <w:rsid w:val="00C55DA6"/>
    <w:rsid w:val="00C61524"/>
    <w:rsid w:val="00C65B8D"/>
    <w:rsid w:val="00C669F1"/>
    <w:rsid w:val="00C71093"/>
    <w:rsid w:val="00C74B11"/>
    <w:rsid w:val="00C76C13"/>
    <w:rsid w:val="00C85F93"/>
    <w:rsid w:val="00C87D67"/>
    <w:rsid w:val="00C94A9E"/>
    <w:rsid w:val="00C96E34"/>
    <w:rsid w:val="00CA01DE"/>
    <w:rsid w:val="00CA10B1"/>
    <w:rsid w:val="00CA165A"/>
    <w:rsid w:val="00CB4CBE"/>
    <w:rsid w:val="00CB7DD7"/>
    <w:rsid w:val="00CC463A"/>
    <w:rsid w:val="00CC71E0"/>
    <w:rsid w:val="00CC7686"/>
    <w:rsid w:val="00CD2BF8"/>
    <w:rsid w:val="00CD7209"/>
    <w:rsid w:val="00CD7DE2"/>
    <w:rsid w:val="00CF4EED"/>
    <w:rsid w:val="00CF57C4"/>
    <w:rsid w:val="00D00A1A"/>
    <w:rsid w:val="00D02317"/>
    <w:rsid w:val="00D12604"/>
    <w:rsid w:val="00D208E8"/>
    <w:rsid w:val="00D23397"/>
    <w:rsid w:val="00D251ED"/>
    <w:rsid w:val="00D26931"/>
    <w:rsid w:val="00D473CA"/>
    <w:rsid w:val="00D5194E"/>
    <w:rsid w:val="00D53DD9"/>
    <w:rsid w:val="00D54928"/>
    <w:rsid w:val="00D61552"/>
    <w:rsid w:val="00D627B5"/>
    <w:rsid w:val="00D7081C"/>
    <w:rsid w:val="00D73B15"/>
    <w:rsid w:val="00D804A1"/>
    <w:rsid w:val="00D83E73"/>
    <w:rsid w:val="00D85D3E"/>
    <w:rsid w:val="00DA1115"/>
    <w:rsid w:val="00DA21FE"/>
    <w:rsid w:val="00DA48AD"/>
    <w:rsid w:val="00DA7084"/>
    <w:rsid w:val="00DC1F38"/>
    <w:rsid w:val="00DC39A2"/>
    <w:rsid w:val="00DD198B"/>
    <w:rsid w:val="00DE7D86"/>
    <w:rsid w:val="00DF38AC"/>
    <w:rsid w:val="00DF4277"/>
    <w:rsid w:val="00DF4D7F"/>
    <w:rsid w:val="00DF5B5C"/>
    <w:rsid w:val="00E012D7"/>
    <w:rsid w:val="00E020A9"/>
    <w:rsid w:val="00E06779"/>
    <w:rsid w:val="00E07F2C"/>
    <w:rsid w:val="00E1228D"/>
    <w:rsid w:val="00E15056"/>
    <w:rsid w:val="00E17682"/>
    <w:rsid w:val="00E202D7"/>
    <w:rsid w:val="00E21586"/>
    <w:rsid w:val="00E2786B"/>
    <w:rsid w:val="00E33EAA"/>
    <w:rsid w:val="00E33ECF"/>
    <w:rsid w:val="00E41FE6"/>
    <w:rsid w:val="00E45632"/>
    <w:rsid w:val="00E5220F"/>
    <w:rsid w:val="00E53F26"/>
    <w:rsid w:val="00E71931"/>
    <w:rsid w:val="00E71990"/>
    <w:rsid w:val="00E71FB1"/>
    <w:rsid w:val="00E81DA4"/>
    <w:rsid w:val="00E84792"/>
    <w:rsid w:val="00E84F1A"/>
    <w:rsid w:val="00E923E2"/>
    <w:rsid w:val="00E944DE"/>
    <w:rsid w:val="00E958D8"/>
    <w:rsid w:val="00E96153"/>
    <w:rsid w:val="00E96282"/>
    <w:rsid w:val="00E966E5"/>
    <w:rsid w:val="00E96A81"/>
    <w:rsid w:val="00EA34FF"/>
    <w:rsid w:val="00EA3679"/>
    <w:rsid w:val="00EA557E"/>
    <w:rsid w:val="00EA5974"/>
    <w:rsid w:val="00EA7502"/>
    <w:rsid w:val="00EB15B2"/>
    <w:rsid w:val="00EB3D70"/>
    <w:rsid w:val="00EB6365"/>
    <w:rsid w:val="00EC2062"/>
    <w:rsid w:val="00EC6BD2"/>
    <w:rsid w:val="00ED00AD"/>
    <w:rsid w:val="00ED1E63"/>
    <w:rsid w:val="00ED3931"/>
    <w:rsid w:val="00ED602F"/>
    <w:rsid w:val="00EE4032"/>
    <w:rsid w:val="00EE4A63"/>
    <w:rsid w:val="00EF02C7"/>
    <w:rsid w:val="00EF21CA"/>
    <w:rsid w:val="00EF345B"/>
    <w:rsid w:val="00EF4A60"/>
    <w:rsid w:val="00EF4DB5"/>
    <w:rsid w:val="00EF6C8A"/>
    <w:rsid w:val="00EF6FF5"/>
    <w:rsid w:val="00F01D0F"/>
    <w:rsid w:val="00F042E4"/>
    <w:rsid w:val="00F049E3"/>
    <w:rsid w:val="00F06DDB"/>
    <w:rsid w:val="00F14CF1"/>
    <w:rsid w:val="00F15904"/>
    <w:rsid w:val="00F20D41"/>
    <w:rsid w:val="00F20E40"/>
    <w:rsid w:val="00F23837"/>
    <w:rsid w:val="00F23C24"/>
    <w:rsid w:val="00F3447D"/>
    <w:rsid w:val="00F42F98"/>
    <w:rsid w:val="00F4504E"/>
    <w:rsid w:val="00F47CA8"/>
    <w:rsid w:val="00F51A91"/>
    <w:rsid w:val="00F55CA2"/>
    <w:rsid w:val="00F63A1C"/>
    <w:rsid w:val="00F774A0"/>
    <w:rsid w:val="00F83B82"/>
    <w:rsid w:val="00F86DB9"/>
    <w:rsid w:val="00F938FF"/>
    <w:rsid w:val="00F97601"/>
    <w:rsid w:val="00FA2270"/>
    <w:rsid w:val="00FA362B"/>
    <w:rsid w:val="00FA4FAA"/>
    <w:rsid w:val="00FA5987"/>
    <w:rsid w:val="00FB0F93"/>
    <w:rsid w:val="00FB11BB"/>
    <w:rsid w:val="00FB41ED"/>
    <w:rsid w:val="00FC04B4"/>
    <w:rsid w:val="00FC4952"/>
    <w:rsid w:val="00FD34A6"/>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DFC8D"/>
  <w15:chartTrackingRefBased/>
  <w15:docId w15:val="{381330B3-9BC1-47DD-862D-BEA13103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rsid w:val="002E695F"/>
    <w:pPr>
      <w:autoSpaceDE w:val="0"/>
      <w:autoSpaceDN w:val="0"/>
    </w:pPr>
    <w:rPr>
      <w:rFonts w:ascii="CG Times" w:hAnsi="CG Times" w:cs="CG Times"/>
      <w:szCs w:val="24"/>
    </w:rPr>
  </w:style>
  <w:style w:type="character" w:customStyle="1" w:styleId="FootnoteTextChar">
    <w:name w:val="Footnote Text Char"/>
    <w:link w:val="FootnoteText"/>
    <w:rsid w:val="002E695F"/>
    <w:rPr>
      <w:rFonts w:ascii="CG Times" w:hAnsi="CG Times" w:cs="CG Times"/>
      <w:sz w:val="24"/>
      <w:szCs w:val="24"/>
    </w:rPr>
  </w:style>
  <w:style w:type="character" w:styleId="FootnoteReference">
    <w:name w:val="footnote reference"/>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0D5CE6"/>
    <w:rPr>
      <w:color w:val="605E5C"/>
      <w:shd w:val="clear" w:color="auto" w:fill="E1DFDD"/>
    </w:rPr>
  </w:style>
  <w:style w:type="character" w:styleId="CommentReference">
    <w:name w:val="annotation reference"/>
    <w:basedOn w:val="DefaultParagraphFont"/>
    <w:rsid w:val="00284276"/>
    <w:rPr>
      <w:sz w:val="16"/>
      <w:szCs w:val="16"/>
    </w:rPr>
  </w:style>
  <w:style w:type="paragraph" w:styleId="CommentText">
    <w:name w:val="annotation text"/>
    <w:basedOn w:val="Normal"/>
    <w:link w:val="CommentTextChar"/>
    <w:rsid w:val="00284276"/>
    <w:rPr>
      <w:sz w:val="20"/>
    </w:rPr>
  </w:style>
  <w:style w:type="character" w:customStyle="1" w:styleId="CommentTextChar">
    <w:name w:val="Comment Text Char"/>
    <w:basedOn w:val="DefaultParagraphFont"/>
    <w:link w:val="CommentText"/>
    <w:rsid w:val="00284276"/>
  </w:style>
  <w:style w:type="paragraph" w:styleId="CommentSubject">
    <w:name w:val="annotation subject"/>
    <w:basedOn w:val="CommentText"/>
    <w:next w:val="CommentText"/>
    <w:link w:val="CommentSubjectChar"/>
    <w:rsid w:val="00284276"/>
    <w:rPr>
      <w:b/>
      <w:bCs/>
    </w:rPr>
  </w:style>
  <w:style w:type="character" w:customStyle="1" w:styleId="CommentSubjectChar">
    <w:name w:val="Comment Subject Char"/>
    <w:basedOn w:val="CommentTextChar"/>
    <w:link w:val="CommentSubject"/>
    <w:rsid w:val="00284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317342210">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16038583">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1872109301">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miller@pa.gov" TargetMode="External"/><Relationship Id="rId18" Type="http://schemas.openxmlformats.org/officeDocument/2006/relationships/hyperlink" Target="mailto:dawhitaker@hmslegal.com" TargetMode="External"/><Relationship Id="rId3" Type="http://schemas.openxmlformats.org/officeDocument/2006/relationships/styles" Target="styles.xml"/><Relationship Id="rId21" Type="http://schemas.openxmlformats.org/officeDocument/2006/relationships/hyperlink" Target="mailto:brbeard@hmslegal.com" TargetMode="External"/><Relationship Id="rId7" Type="http://schemas.openxmlformats.org/officeDocument/2006/relationships/endnotes" Target="endnotes.xml"/><Relationship Id="rId12" Type="http://schemas.openxmlformats.org/officeDocument/2006/relationships/hyperlink" Target="mailto:lburge@eckertseamans.com" TargetMode="External"/><Relationship Id="rId17" Type="http://schemas.openxmlformats.org/officeDocument/2006/relationships/hyperlink" Target="mailto:abakare@mcneeslaw.com" TargetMode="External"/><Relationship Id="rId2" Type="http://schemas.openxmlformats.org/officeDocument/2006/relationships/numbering" Target="numbering.xml"/><Relationship Id="rId16" Type="http://schemas.openxmlformats.org/officeDocument/2006/relationships/hyperlink" Target="mailto:swebb@pa.gov" TargetMode="External"/><Relationship Id="rId20" Type="http://schemas.openxmlformats.org/officeDocument/2006/relationships/hyperlink" Target="mailto:tsstewart@hmsleg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learfield@eckertseamans.com" TargetMode="External"/><Relationship Id="rId5" Type="http://schemas.openxmlformats.org/officeDocument/2006/relationships/webSettings" Target="webSettings.xml"/><Relationship Id="rId15" Type="http://schemas.openxmlformats.org/officeDocument/2006/relationships/hyperlink" Target="mailto:ABeatty@paoca.org" TargetMode="External"/><Relationship Id="rId23" Type="http://schemas.openxmlformats.org/officeDocument/2006/relationships/theme" Target="theme/theme1.xml"/><Relationship Id="rId10" Type="http://schemas.openxmlformats.org/officeDocument/2006/relationships/hyperlink" Target="mailto:craig.berry@pgworks.com" TargetMode="External"/><Relationship Id="rId19" Type="http://schemas.openxmlformats.org/officeDocument/2006/relationships/hyperlink" Target="mailto:kjmckeon@hmslega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Appleby@paoc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03D2A-DDDD-41F7-8AFD-98600696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8730</CharactersWithSpaces>
  <SharedDoc>false</SharedDoc>
  <HLinks>
    <vt:vector size="42" baseType="variant">
      <vt:variant>
        <vt:i4>1376292</vt:i4>
      </vt:variant>
      <vt:variant>
        <vt:i4>18</vt:i4>
      </vt:variant>
      <vt:variant>
        <vt:i4>0</vt:i4>
      </vt:variant>
      <vt:variant>
        <vt:i4>5</vt:i4>
      </vt:variant>
      <vt:variant>
        <vt:lpwstr>mailto:abakare@mcneeslaw.com</vt:lpwstr>
      </vt:variant>
      <vt:variant>
        <vt:lpwstr/>
      </vt:variant>
      <vt:variant>
        <vt:i4>2555929</vt:i4>
      </vt:variant>
      <vt:variant>
        <vt:i4>15</vt:i4>
      </vt:variant>
      <vt:variant>
        <vt:i4>0</vt:i4>
      </vt:variant>
      <vt:variant>
        <vt:i4>5</vt:i4>
      </vt:variant>
      <vt:variant>
        <vt:lpwstr>mailto:swebb@pa.gov</vt:lpwstr>
      </vt:variant>
      <vt:variant>
        <vt:lpwstr/>
      </vt:variant>
      <vt:variant>
        <vt:i4>1900579</vt:i4>
      </vt:variant>
      <vt:variant>
        <vt:i4>12</vt:i4>
      </vt:variant>
      <vt:variant>
        <vt:i4>0</vt:i4>
      </vt:variant>
      <vt:variant>
        <vt:i4>5</vt:i4>
      </vt:variant>
      <vt:variant>
        <vt:lpwstr>mailto:ABeatty@paoca.org</vt:lpwstr>
      </vt:variant>
      <vt:variant>
        <vt:lpwstr/>
      </vt:variant>
      <vt:variant>
        <vt:i4>6357078</vt:i4>
      </vt:variant>
      <vt:variant>
        <vt:i4>9</vt:i4>
      </vt:variant>
      <vt:variant>
        <vt:i4>0</vt:i4>
      </vt:variant>
      <vt:variant>
        <vt:i4>5</vt:i4>
      </vt:variant>
      <vt:variant>
        <vt:lpwstr>mailto:CAppleby@paoca.org</vt:lpwstr>
      </vt:variant>
      <vt:variant>
        <vt:lpwstr/>
      </vt:variant>
      <vt:variant>
        <vt:i4>5767272</vt:i4>
      </vt:variant>
      <vt:variant>
        <vt:i4>6</vt:i4>
      </vt:variant>
      <vt:variant>
        <vt:i4>0</vt:i4>
      </vt:variant>
      <vt:variant>
        <vt:i4>5</vt:i4>
      </vt:variant>
      <vt:variant>
        <vt:lpwstr>mailto:sgranger@pa.gov</vt:lpwstr>
      </vt:variant>
      <vt:variant>
        <vt:lpwstr/>
      </vt:variant>
      <vt:variant>
        <vt:i4>4391016</vt:i4>
      </vt:variant>
      <vt:variant>
        <vt:i4>3</vt:i4>
      </vt:variant>
      <vt:variant>
        <vt:i4>0</vt:i4>
      </vt:variant>
      <vt:variant>
        <vt:i4>5</vt:i4>
      </vt:variant>
      <vt:variant>
        <vt:lpwstr>mailto:gmiller@pa.gov</vt:lpwstr>
      </vt:variant>
      <vt:variant>
        <vt:lpwstr/>
      </vt:variant>
      <vt:variant>
        <vt:i4>6684682</vt:i4>
      </vt:variant>
      <vt:variant>
        <vt:i4>0</vt:i4>
      </vt:variant>
      <vt:variant>
        <vt:i4>0</vt:i4>
      </vt:variant>
      <vt:variant>
        <vt:i4>5</vt:i4>
      </vt:variant>
      <vt:variant>
        <vt:lpwstr>mailto:craig.berry@pgworks.com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McNeal, Pamela</cp:lastModifiedBy>
  <cp:revision>4</cp:revision>
  <cp:lastPrinted>2012-03-22T14:51:00Z</cp:lastPrinted>
  <dcterms:created xsi:type="dcterms:W3CDTF">2022-04-26T19:31:00Z</dcterms:created>
  <dcterms:modified xsi:type="dcterms:W3CDTF">2022-04-26T19:32:00Z</dcterms:modified>
</cp:coreProperties>
</file>