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A4F5E" w14:textId="77777777" w:rsidR="00A2306E" w:rsidRPr="00D451AD" w:rsidRDefault="00A2306E" w:rsidP="00A2306E">
      <w:pPr>
        <w:spacing w:after="0" w:line="240" w:lineRule="auto"/>
        <w:jc w:val="center"/>
        <w:rPr>
          <w:b/>
        </w:rPr>
      </w:pPr>
      <w:bookmarkStart w:id="0" w:name="_Hlk6482673"/>
      <w:r w:rsidRPr="00D451AD">
        <w:rPr>
          <w:b/>
        </w:rPr>
        <w:t>BEFORE</w:t>
      </w:r>
    </w:p>
    <w:p w14:paraId="12739042" w14:textId="77777777" w:rsidR="00A2306E" w:rsidRDefault="00A2306E" w:rsidP="00A2306E">
      <w:pPr>
        <w:spacing w:after="0" w:line="240" w:lineRule="auto"/>
        <w:jc w:val="center"/>
        <w:rPr>
          <w:b/>
        </w:rPr>
      </w:pPr>
      <w:r w:rsidRPr="00D451AD">
        <w:rPr>
          <w:b/>
        </w:rPr>
        <w:t>THE PENNSYLVANIA PUBLIC UTILITY COMMISSION</w:t>
      </w:r>
    </w:p>
    <w:p w14:paraId="7671F5E9" w14:textId="77777777" w:rsidR="00A2306E" w:rsidRDefault="00A2306E" w:rsidP="00A2306E">
      <w:pPr>
        <w:spacing w:after="0" w:line="240" w:lineRule="auto"/>
        <w:rPr>
          <w:b/>
        </w:rPr>
      </w:pPr>
    </w:p>
    <w:p w14:paraId="0CF3E5DB" w14:textId="77777777" w:rsidR="00A2306E" w:rsidRDefault="00A2306E" w:rsidP="00A2306E">
      <w:pPr>
        <w:spacing w:after="0" w:line="240" w:lineRule="auto"/>
        <w:rPr>
          <w:b/>
        </w:rPr>
      </w:pPr>
    </w:p>
    <w:p w14:paraId="03C5BFEE" w14:textId="77777777" w:rsidR="00A2306E" w:rsidRDefault="00A2306E" w:rsidP="00A2306E">
      <w:pPr>
        <w:spacing w:after="0" w:line="240" w:lineRule="auto"/>
        <w:rPr>
          <w:b/>
        </w:rPr>
      </w:pPr>
    </w:p>
    <w:p w14:paraId="5460B7DF" w14:textId="3976E240" w:rsidR="00A2306E" w:rsidRDefault="00A2306E" w:rsidP="00A2306E">
      <w:pPr>
        <w:spacing w:after="0" w:line="240" w:lineRule="auto"/>
      </w:pPr>
      <w:r w:rsidRPr="002969C6">
        <w:t>Application Of P</w:t>
      </w:r>
      <w:r w:rsidR="00D97A41">
        <w:t>PL</w:t>
      </w:r>
      <w:r w:rsidRPr="002969C6">
        <w:t xml:space="preserve"> Electric Utilities Corporation,</w:t>
      </w:r>
      <w:r>
        <w:tab/>
        <w:t>:</w:t>
      </w:r>
      <w:r>
        <w:tab/>
      </w:r>
      <w:r w:rsidRPr="002969C6">
        <w:t>A-2022-3030969</w:t>
      </w:r>
    </w:p>
    <w:p w14:paraId="1D7AB883" w14:textId="77777777" w:rsidR="00A2306E" w:rsidRDefault="00A2306E" w:rsidP="00A2306E">
      <w:pPr>
        <w:spacing w:after="0" w:line="240" w:lineRule="auto"/>
      </w:pPr>
      <w:r w:rsidRPr="002969C6">
        <w:t xml:space="preserve"> Filed Pursuant To 52 Pa. Code Chapter 57 </w:t>
      </w:r>
      <w:r>
        <w:tab/>
      </w:r>
      <w:r>
        <w:tab/>
        <w:t>:</w:t>
      </w:r>
    </w:p>
    <w:p w14:paraId="08052C8B" w14:textId="77777777" w:rsidR="00A2306E" w:rsidRDefault="00A2306E" w:rsidP="00A2306E">
      <w:pPr>
        <w:spacing w:after="0" w:line="240" w:lineRule="auto"/>
      </w:pPr>
      <w:r w:rsidRPr="002969C6">
        <w:t xml:space="preserve">Subchapter G, For Approval To Rebuild The </w:t>
      </w:r>
      <w:r>
        <w:tab/>
        <w:t>:</w:t>
      </w:r>
    </w:p>
    <w:p w14:paraId="498A97C1" w14:textId="77777777" w:rsidR="00A2306E" w:rsidRDefault="00A2306E" w:rsidP="00A2306E">
      <w:pPr>
        <w:spacing w:after="0" w:line="240" w:lineRule="auto"/>
      </w:pPr>
      <w:r w:rsidRPr="002969C6">
        <w:t xml:space="preserve">Existing Summit-Lackawanna #1 And #2 230 Kv </w:t>
      </w:r>
      <w:r>
        <w:tab/>
        <w:t>:</w:t>
      </w:r>
    </w:p>
    <w:p w14:paraId="64EC96FC" w14:textId="77777777" w:rsidR="00A2306E" w:rsidRDefault="00A2306E" w:rsidP="00A2306E">
      <w:pPr>
        <w:spacing w:after="0" w:line="240" w:lineRule="auto"/>
      </w:pPr>
      <w:r w:rsidRPr="002969C6">
        <w:t xml:space="preserve">Transmission Lines Connecting The Summit </w:t>
      </w:r>
      <w:r>
        <w:tab/>
        <w:t>:</w:t>
      </w:r>
    </w:p>
    <w:p w14:paraId="63693383" w14:textId="77777777" w:rsidR="00A2306E" w:rsidRDefault="00A2306E" w:rsidP="00A2306E">
      <w:pPr>
        <w:spacing w:after="0" w:line="240" w:lineRule="auto"/>
      </w:pPr>
      <w:r w:rsidRPr="002969C6">
        <w:t xml:space="preserve">230-69 Kv Substation And The Lackawanna </w:t>
      </w:r>
      <w:r>
        <w:tab/>
        <w:t>:</w:t>
      </w:r>
    </w:p>
    <w:p w14:paraId="55EA0CFE" w14:textId="02AD3C0E" w:rsidR="00A2306E" w:rsidRDefault="00A2306E" w:rsidP="00A2306E">
      <w:pPr>
        <w:spacing w:after="0" w:line="240" w:lineRule="auto"/>
      </w:pPr>
      <w:r w:rsidRPr="002969C6">
        <w:t xml:space="preserve">500-230-69 Kv Substation In Lackawanna </w:t>
      </w:r>
      <w:r>
        <w:tab/>
      </w:r>
      <w:r>
        <w:tab/>
        <w:t>:</w:t>
      </w:r>
    </w:p>
    <w:p w14:paraId="0F015567" w14:textId="77777777" w:rsidR="00A2306E" w:rsidRDefault="00A2306E" w:rsidP="00A2306E">
      <w:pPr>
        <w:spacing w:after="0" w:line="240" w:lineRule="auto"/>
      </w:pPr>
      <w:r w:rsidRPr="002969C6">
        <w:t>County, Pennsylvania</w:t>
      </w:r>
      <w:r>
        <w:tab/>
      </w:r>
      <w:r>
        <w:tab/>
      </w:r>
      <w:r>
        <w:tab/>
      </w:r>
      <w:r>
        <w:tab/>
      </w:r>
      <w:r>
        <w:tab/>
        <w:t>:</w:t>
      </w:r>
    </w:p>
    <w:p w14:paraId="4135FDD3" w14:textId="77777777" w:rsidR="00A2306E" w:rsidRDefault="00A2306E" w:rsidP="00A2306E">
      <w:pPr>
        <w:spacing w:after="0" w:line="240" w:lineRule="auto"/>
      </w:pPr>
    </w:p>
    <w:p w14:paraId="4F576457" w14:textId="77777777" w:rsidR="00A2306E" w:rsidRDefault="00A2306E" w:rsidP="00A2306E">
      <w:pPr>
        <w:spacing w:after="0" w:line="240" w:lineRule="auto"/>
      </w:pPr>
    </w:p>
    <w:p w14:paraId="66B12B87" w14:textId="0689B80C" w:rsidR="00A2306E" w:rsidRDefault="00A2306E" w:rsidP="00A2306E">
      <w:pPr>
        <w:spacing w:after="0" w:line="240" w:lineRule="auto"/>
      </w:pPr>
      <w:r w:rsidRPr="002969C6">
        <w:t>Application Of P</w:t>
      </w:r>
      <w:r w:rsidR="00D97A41">
        <w:t>PL</w:t>
      </w:r>
      <w:r w:rsidRPr="002969C6">
        <w:t xml:space="preserve"> Electric Utilities Corporation </w:t>
      </w:r>
      <w:r>
        <w:tab/>
        <w:t>:</w:t>
      </w:r>
      <w:r>
        <w:tab/>
      </w:r>
      <w:r w:rsidRPr="00BB7B07">
        <w:t>A-2022-3031013</w:t>
      </w:r>
    </w:p>
    <w:p w14:paraId="35DFD6A6" w14:textId="302CFCEC" w:rsidR="00A2306E" w:rsidRDefault="00A2306E" w:rsidP="00A2306E">
      <w:pPr>
        <w:spacing w:after="0" w:line="240" w:lineRule="auto"/>
      </w:pPr>
      <w:r w:rsidRPr="002969C6">
        <w:t>Under 15 Pa.C.S. § 1511(</w:t>
      </w:r>
      <w:r w:rsidR="00D97A41">
        <w:t>c</w:t>
      </w:r>
      <w:r w:rsidRPr="002969C6">
        <w:t xml:space="preserve">) For A Finding And </w:t>
      </w:r>
      <w:r>
        <w:tab/>
        <w:t>:</w:t>
      </w:r>
    </w:p>
    <w:p w14:paraId="673A7AC4" w14:textId="77777777" w:rsidR="00A2306E" w:rsidRDefault="00A2306E" w:rsidP="00A2306E">
      <w:pPr>
        <w:spacing w:after="0" w:line="240" w:lineRule="auto"/>
      </w:pPr>
      <w:r w:rsidRPr="002969C6">
        <w:t xml:space="preserve">Determination That The Service To Be Furnished </w:t>
      </w:r>
      <w:r>
        <w:tab/>
        <w:t>:</w:t>
      </w:r>
    </w:p>
    <w:p w14:paraId="49849096" w14:textId="77777777" w:rsidR="00A2306E" w:rsidRDefault="00A2306E" w:rsidP="00A2306E">
      <w:pPr>
        <w:spacing w:after="0" w:line="240" w:lineRule="auto"/>
      </w:pPr>
      <w:r w:rsidRPr="002969C6">
        <w:t xml:space="preserve">By The Applicant Through Its Proposed Exercise </w:t>
      </w:r>
      <w:r>
        <w:tab/>
        <w:t>:</w:t>
      </w:r>
    </w:p>
    <w:p w14:paraId="7DABAD18" w14:textId="77777777" w:rsidR="00A2306E" w:rsidRDefault="00A2306E" w:rsidP="00A2306E">
      <w:pPr>
        <w:spacing w:after="0" w:line="240" w:lineRule="auto"/>
      </w:pPr>
      <w:r w:rsidRPr="002969C6">
        <w:t xml:space="preserve">Of The Power Of Eminent Domain To Acquire A </w:t>
      </w:r>
      <w:r>
        <w:tab/>
        <w:t>:</w:t>
      </w:r>
    </w:p>
    <w:p w14:paraId="3E1C736C" w14:textId="77777777" w:rsidR="00A2306E" w:rsidRDefault="00A2306E" w:rsidP="00A2306E">
      <w:pPr>
        <w:spacing w:after="0" w:line="240" w:lineRule="auto"/>
      </w:pPr>
      <w:r w:rsidRPr="002969C6">
        <w:t xml:space="preserve">Certain Portion Of The Lands Of August And </w:t>
      </w:r>
      <w:r>
        <w:tab/>
        <w:t>:</w:t>
      </w:r>
    </w:p>
    <w:p w14:paraId="6484B9E5" w14:textId="77777777" w:rsidR="00A2306E" w:rsidRDefault="00A2306E" w:rsidP="00A2306E">
      <w:pPr>
        <w:spacing w:after="0" w:line="240" w:lineRule="auto"/>
      </w:pPr>
      <w:r w:rsidRPr="002969C6">
        <w:t xml:space="preserve">Diana Baker In Dickson City Borough And </w:t>
      </w:r>
      <w:r>
        <w:tab/>
      </w:r>
      <w:r>
        <w:tab/>
        <w:t>:</w:t>
      </w:r>
    </w:p>
    <w:p w14:paraId="52DC60DB" w14:textId="77777777" w:rsidR="00A2306E" w:rsidRDefault="00A2306E" w:rsidP="00A2306E">
      <w:pPr>
        <w:spacing w:after="0" w:line="240" w:lineRule="auto"/>
      </w:pPr>
      <w:r w:rsidRPr="002969C6">
        <w:t xml:space="preserve">Scott Township, Lackawanna County, Pennsylvania </w:t>
      </w:r>
      <w:r>
        <w:t>:</w:t>
      </w:r>
    </w:p>
    <w:p w14:paraId="6B7C8327" w14:textId="77777777" w:rsidR="00A2306E" w:rsidRDefault="00A2306E" w:rsidP="00A2306E">
      <w:pPr>
        <w:spacing w:after="0" w:line="240" w:lineRule="auto"/>
      </w:pPr>
      <w:r w:rsidRPr="002969C6">
        <w:t xml:space="preserve">For The Proposed Rebuilding Of The </w:t>
      </w:r>
      <w:r>
        <w:tab/>
      </w:r>
      <w:r>
        <w:tab/>
        <w:t>:</w:t>
      </w:r>
    </w:p>
    <w:p w14:paraId="22C067F4" w14:textId="77777777" w:rsidR="00A2306E" w:rsidRDefault="00A2306E" w:rsidP="00A2306E">
      <w:pPr>
        <w:spacing w:after="0" w:line="240" w:lineRule="auto"/>
      </w:pPr>
      <w:r w:rsidRPr="002969C6">
        <w:t>Summit-Lackawanna</w:t>
      </w:r>
      <w:r>
        <w:t xml:space="preserve"> </w:t>
      </w:r>
      <w:r w:rsidRPr="002969C6">
        <w:t xml:space="preserve"> #1 And #2 230 Kv </w:t>
      </w:r>
      <w:r>
        <w:tab/>
      </w:r>
      <w:r>
        <w:tab/>
        <w:t>:</w:t>
      </w:r>
    </w:p>
    <w:p w14:paraId="4A60CDFD" w14:textId="77777777" w:rsidR="00A2306E" w:rsidRDefault="00A2306E" w:rsidP="00A2306E">
      <w:pPr>
        <w:spacing w:after="0" w:line="240" w:lineRule="auto"/>
      </w:pPr>
      <w:r w:rsidRPr="002969C6">
        <w:t xml:space="preserve">Associated With The Proposed </w:t>
      </w:r>
      <w:r>
        <w:tab/>
      </w:r>
      <w:r>
        <w:tab/>
      </w:r>
      <w:r>
        <w:tab/>
        <w:t>:</w:t>
      </w:r>
    </w:p>
    <w:p w14:paraId="7ECB2E49" w14:textId="77777777" w:rsidR="00A2306E" w:rsidRDefault="00A2306E" w:rsidP="00A2306E">
      <w:pPr>
        <w:spacing w:after="0" w:line="240" w:lineRule="auto"/>
      </w:pPr>
      <w:r w:rsidRPr="002969C6">
        <w:t>Summit-Lackawanna Project Is Necessary</w:t>
      </w:r>
      <w:r>
        <w:tab/>
      </w:r>
      <w:r>
        <w:tab/>
        <w:t>:</w:t>
      </w:r>
    </w:p>
    <w:p w14:paraId="53BB9C62" w14:textId="77777777" w:rsidR="00A2306E" w:rsidRDefault="00A2306E" w:rsidP="00A2306E">
      <w:pPr>
        <w:spacing w:after="0" w:line="240" w:lineRule="auto"/>
      </w:pPr>
      <w:r w:rsidRPr="002969C6">
        <w:t xml:space="preserve">Or Proper For The Service, Accommodation, </w:t>
      </w:r>
      <w:r>
        <w:tab/>
        <w:t>:</w:t>
      </w:r>
    </w:p>
    <w:p w14:paraId="5F6B2ACD" w14:textId="5F9A0DCD" w:rsidR="00A2306E" w:rsidRDefault="00A2306E" w:rsidP="00A2306E">
      <w:pPr>
        <w:spacing w:after="0" w:line="240" w:lineRule="auto"/>
      </w:pPr>
      <w:r w:rsidRPr="002969C6">
        <w:t>Convenience, Or Safety Of The Public</w:t>
      </w:r>
      <w:r>
        <w:tab/>
      </w:r>
      <w:r>
        <w:tab/>
        <w:t>:</w:t>
      </w:r>
    </w:p>
    <w:p w14:paraId="34106922" w14:textId="1000AFD2" w:rsidR="009108FA" w:rsidRDefault="009108FA" w:rsidP="00A2306E">
      <w:pPr>
        <w:spacing w:after="0" w:line="240" w:lineRule="auto"/>
      </w:pPr>
    </w:p>
    <w:p w14:paraId="0565BC99" w14:textId="7E9874FC" w:rsidR="009108FA" w:rsidRDefault="009108FA" w:rsidP="00A2306E">
      <w:pPr>
        <w:spacing w:after="0" w:line="240" w:lineRule="auto"/>
      </w:pPr>
    </w:p>
    <w:p w14:paraId="39CCD8FD" w14:textId="77777777" w:rsidR="00B04270" w:rsidRDefault="00B04270" w:rsidP="00A2306E">
      <w:pPr>
        <w:spacing w:after="0" w:line="240" w:lineRule="auto"/>
      </w:pPr>
    </w:p>
    <w:p w14:paraId="526D8303" w14:textId="38A18C3D" w:rsidR="009108FA" w:rsidRPr="009108FA" w:rsidRDefault="009108FA" w:rsidP="009108FA">
      <w:pPr>
        <w:spacing w:after="0" w:line="240" w:lineRule="auto"/>
        <w:jc w:val="center"/>
        <w:rPr>
          <w:b/>
          <w:bCs/>
          <w:u w:val="single"/>
        </w:rPr>
      </w:pPr>
      <w:r w:rsidRPr="009108FA">
        <w:rPr>
          <w:b/>
          <w:bCs/>
          <w:u w:val="single"/>
        </w:rPr>
        <w:t>PREHEARING ORDER</w:t>
      </w:r>
    </w:p>
    <w:bookmarkEnd w:id="0"/>
    <w:p w14:paraId="50B6331F" w14:textId="77777777" w:rsidR="00A2306E" w:rsidRDefault="00A2306E" w:rsidP="00B04270">
      <w:pPr>
        <w:tabs>
          <w:tab w:val="left" w:pos="0"/>
        </w:tabs>
        <w:spacing w:after="0"/>
        <w:jc w:val="both"/>
        <w:rPr>
          <w:rFonts w:eastAsia="Times New Roman" w:cs="Times New Roman"/>
          <w:szCs w:val="24"/>
        </w:rPr>
      </w:pPr>
    </w:p>
    <w:p w14:paraId="006BCFAC" w14:textId="77777777" w:rsidR="00A2306E" w:rsidRDefault="00A2306E" w:rsidP="00B04270">
      <w:pPr>
        <w:spacing w:after="0"/>
      </w:pPr>
      <w:r>
        <w:tab/>
      </w:r>
      <w:r>
        <w:tab/>
        <w:t xml:space="preserve">On February 14, 2022,  PPL Electric Utilities Corporation (PPL) filed a Joint Application and Petition for Waiver which requests approval to rebuild the existing double-circuit Summit-Lackawanna #1 and #2 230 kV Transmission Lines connecting the Summit </w:t>
      </w:r>
    </w:p>
    <w:p w14:paraId="4E0CCC1E" w14:textId="323A4FCF" w:rsidR="00792796" w:rsidRDefault="00A2306E" w:rsidP="00B04270">
      <w:pPr>
        <w:spacing w:after="0"/>
      </w:pPr>
      <w:r>
        <w:t xml:space="preserve">230-69 kV Substation and the Lackawanna 500-230-69 kV Substation in Lackawanna-County, Pennsylvania.  (Docket A-2022-3030969).  PPL also filed an application for eminent domain to acquire a certain portion of the lands of August and Diana Baker in Dickson City Borough and Scott Township, Lackawanna County, in connection with the transmission line project.  (Docket A-2022-3031013).  </w:t>
      </w:r>
    </w:p>
    <w:p w14:paraId="52E59E96" w14:textId="0BCE3CBA" w:rsidR="00841A31" w:rsidRDefault="00295B15" w:rsidP="00B04270">
      <w:pPr>
        <w:spacing w:after="0"/>
      </w:pPr>
      <w:r>
        <w:lastRenderedPageBreak/>
        <w:tab/>
      </w:r>
      <w:r w:rsidR="009F0C9B">
        <w:tab/>
      </w:r>
      <w:r>
        <w:t xml:space="preserve">By hearing notice dated February 23, 2022, a prehearing conference was scheduled to take place on </w:t>
      </w:r>
      <w:r w:rsidR="00D97A41">
        <w:t xml:space="preserve">April 26, 2022.  Notice of the prehearing conference was published in the </w:t>
      </w:r>
      <w:r w:rsidR="00D97A41" w:rsidRPr="009F0C9B">
        <w:rPr>
          <w:i/>
          <w:iCs/>
        </w:rPr>
        <w:t>Pennsylvania Bulletin</w:t>
      </w:r>
      <w:r w:rsidR="00D97A41">
        <w:t xml:space="preserve"> on March 12, 2022.  The </w:t>
      </w:r>
      <w:r w:rsidR="00D97A41" w:rsidRPr="009F0C9B">
        <w:rPr>
          <w:i/>
          <w:iCs/>
        </w:rPr>
        <w:t>Pennsylvania Bulletin</w:t>
      </w:r>
      <w:r w:rsidR="00D97A41">
        <w:t xml:space="preserve"> notice also notified the public that formal protests were due on or before April 22, 2022.  </w:t>
      </w:r>
      <w:r w:rsidR="00CC6ED2">
        <w:t>A prehearing conference order dated March 3, 3022</w:t>
      </w:r>
      <w:r w:rsidR="00125A12">
        <w:t xml:space="preserve">,  </w:t>
      </w:r>
      <w:r w:rsidR="00D97A41">
        <w:t xml:space="preserve">was served on the entities identified by PPL as potentially affected by the project or required to be </w:t>
      </w:r>
      <w:r w:rsidR="00CC6ED2">
        <w:t>notified</w:t>
      </w:r>
      <w:r w:rsidR="00D97A41">
        <w:t xml:space="preserve"> by the Commission’s regulations.  In addition to providing the time and date of the prehearing conference and the deadline for filing protests, the prehearing conference order informed these entities that if they did not attend the prehearing conference or notify the administrative law judge of their intent to participate, their</w:t>
      </w:r>
      <w:r w:rsidR="00841A31">
        <w:t xml:space="preserve"> name would be removed from the service list </w:t>
      </w:r>
      <w:r w:rsidR="00ED5019">
        <w:t>and</w:t>
      </w:r>
      <w:r w:rsidR="00841A31">
        <w:t xml:space="preserve"> they would not receive any </w:t>
      </w:r>
      <w:r w:rsidR="00841A31" w:rsidRPr="00841A31">
        <w:t xml:space="preserve">pleadings, filings, discovery requests, written testimony or orders and decisions in this matter. </w:t>
      </w:r>
    </w:p>
    <w:p w14:paraId="2108B4D9" w14:textId="77777777" w:rsidR="00AB183F" w:rsidRDefault="00AB183F" w:rsidP="00B04270">
      <w:pPr>
        <w:spacing w:after="0"/>
      </w:pPr>
    </w:p>
    <w:p w14:paraId="1BCC6831" w14:textId="70594617" w:rsidR="00782A28" w:rsidRDefault="00841A31" w:rsidP="00B04270">
      <w:pPr>
        <w:spacing w:after="0"/>
      </w:pPr>
      <w:r>
        <w:tab/>
      </w:r>
      <w:r>
        <w:tab/>
        <w:t>On March 1, 2022, August and Diana Baker filed protests to both the Transmission Application and the Eminent Domain Application.</w:t>
      </w:r>
    </w:p>
    <w:p w14:paraId="2BE2D70B" w14:textId="77777777" w:rsidR="00AB183F" w:rsidRDefault="00AB183F" w:rsidP="00B04270">
      <w:pPr>
        <w:spacing w:after="0"/>
      </w:pPr>
    </w:p>
    <w:p w14:paraId="4321101B" w14:textId="3860900C" w:rsidR="00782A28" w:rsidRDefault="00782A28" w:rsidP="00B04270">
      <w:pPr>
        <w:spacing w:after="0"/>
      </w:pPr>
      <w:r>
        <w:tab/>
      </w:r>
      <w:r>
        <w:tab/>
        <w:t xml:space="preserve">The prehearing conference convened as scheduled.  Counsel for PPL and the Bakers appeared and participated in the discussion.  The prehearing order memorializes the matters decided and agreed upon by the parties attending the conference. </w:t>
      </w:r>
    </w:p>
    <w:p w14:paraId="6B82E809" w14:textId="77777777" w:rsidR="00AB183F" w:rsidRDefault="00AB183F" w:rsidP="00B04270">
      <w:pPr>
        <w:spacing w:after="0"/>
      </w:pPr>
    </w:p>
    <w:p w14:paraId="56ED866E" w14:textId="180C8CA5" w:rsidR="00530F9D" w:rsidRDefault="00530F9D" w:rsidP="00B04270">
      <w:pPr>
        <w:spacing w:after="0"/>
        <w:jc w:val="center"/>
        <w:rPr>
          <w:u w:val="single"/>
        </w:rPr>
      </w:pPr>
      <w:r w:rsidRPr="004210DA">
        <w:rPr>
          <w:u w:val="single"/>
        </w:rPr>
        <w:t>Service List</w:t>
      </w:r>
    </w:p>
    <w:p w14:paraId="347C54A8" w14:textId="77777777" w:rsidR="00AB183F" w:rsidRPr="004210DA" w:rsidRDefault="00AB183F" w:rsidP="00B04270">
      <w:pPr>
        <w:spacing w:after="0"/>
        <w:jc w:val="center"/>
        <w:rPr>
          <w:u w:val="single"/>
        </w:rPr>
      </w:pPr>
    </w:p>
    <w:p w14:paraId="0502F641" w14:textId="20C88C25" w:rsidR="00530F9D" w:rsidRDefault="00530F9D" w:rsidP="00B04270">
      <w:pPr>
        <w:spacing w:after="0"/>
      </w:pPr>
      <w:r>
        <w:tab/>
      </w:r>
      <w:r>
        <w:tab/>
        <w:t xml:space="preserve">The </w:t>
      </w:r>
      <w:r w:rsidR="004210DA">
        <w:t xml:space="preserve">current </w:t>
      </w:r>
      <w:r>
        <w:t xml:space="preserve">service list </w:t>
      </w:r>
      <w:r w:rsidR="00BE7881">
        <w:t xml:space="preserve">is attached to this order.  </w:t>
      </w:r>
    </w:p>
    <w:p w14:paraId="48B53C7C" w14:textId="77777777" w:rsidR="00AB183F" w:rsidRDefault="00AB183F" w:rsidP="00B04270">
      <w:pPr>
        <w:spacing w:after="0"/>
      </w:pPr>
    </w:p>
    <w:p w14:paraId="263AB263" w14:textId="6BDE411A" w:rsidR="00782A28" w:rsidRDefault="00782A28" w:rsidP="00B04270">
      <w:pPr>
        <w:spacing w:after="0"/>
        <w:jc w:val="center"/>
        <w:rPr>
          <w:u w:val="single"/>
        </w:rPr>
      </w:pPr>
      <w:r w:rsidRPr="009108FA">
        <w:rPr>
          <w:u w:val="single"/>
        </w:rPr>
        <w:t>Consolidation</w:t>
      </w:r>
    </w:p>
    <w:p w14:paraId="48747D67" w14:textId="77777777" w:rsidR="00AB183F" w:rsidRPr="009108FA" w:rsidRDefault="00AB183F" w:rsidP="00B04270">
      <w:pPr>
        <w:spacing w:after="0"/>
        <w:jc w:val="center"/>
        <w:rPr>
          <w:u w:val="single"/>
        </w:rPr>
      </w:pPr>
    </w:p>
    <w:p w14:paraId="06BFA268" w14:textId="4F354822" w:rsidR="000A7B65" w:rsidRDefault="009108FA" w:rsidP="00B04270">
      <w:pPr>
        <w:spacing w:after="0"/>
      </w:pPr>
      <w:r>
        <w:tab/>
        <w:t xml:space="preserve">Docket A-2022-3030969 (Transmission Application)  and Docket A-2022-3030969 (Eminent Domain Application) are consolidated for the purposes of discovery, </w:t>
      </w:r>
      <w:r w:rsidR="00804B36">
        <w:t>litigation,</w:t>
      </w:r>
      <w:r>
        <w:t xml:space="preserve"> and decision.</w:t>
      </w:r>
    </w:p>
    <w:p w14:paraId="4E5F9ABC" w14:textId="44BFF48A" w:rsidR="00AB183F" w:rsidRDefault="00AB183F" w:rsidP="00B04270">
      <w:pPr>
        <w:spacing w:after="0"/>
      </w:pPr>
    </w:p>
    <w:p w14:paraId="13152E99" w14:textId="77777777" w:rsidR="00AB183F" w:rsidRDefault="00AB183F" w:rsidP="00B04270">
      <w:pPr>
        <w:spacing w:after="0"/>
      </w:pPr>
    </w:p>
    <w:p w14:paraId="05E84C7D" w14:textId="34B665D3" w:rsidR="00782A28" w:rsidRPr="00295B15" w:rsidRDefault="00782A28" w:rsidP="00295B15">
      <w:pPr>
        <w:jc w:val="center"/>
        <w:rPr>
          <w:u w:val="single"/>
        </w:rPr>
      </w:pPr>
      <w:r w:rsidRPr="00295B15">
        <w:rPr>
          <w:u w:val="single"/>
        </w:rPr>
        <w:lastRenderedPageBreak/>
        <w:t>Litigation Schedule</w:t>
      </w:r>
      <w:r w:rsidR="000A7B65">
        <w:rPr>
          <w:u w:val="single"/>
        </w:rPr>
        <w:br/>
      </w:r>
    </w:p>
    <w:tbl>
      <w:tblPr>
        <w:tblW w:w="9551" w:type="dxa"/>
        <w:tblBorders>
          <w:top w:val="thinThickSmallGap" w:sz="24" w:space="0" w:color="auto"/>
          <w:left w:val="thinThickSmallGap" w:sz="24" w:space="0" w:color="auto"/>
          <w:bottom w:val="thickThinSmallGap" w:sz="24" w:space="0" w:color="auto"/>
          <w:right w:val="thickThinSmallGap" w:sz="24" w:space="0" w:color="auto"/>
        </w:tblBorders>
        <w:tblLayout w:type="fixed"/>
        <w:tblLook w:val="0000" w:firstRow="0" w:lastRow="0" w:firstColumn="0" w:lastColumn="0" w:noHBand="0" w:noVBand="0"/>
      </w:tblPr>
      <w:tblGrid>
        <w:gridCol w:w="2890"/>
        <w:gridCol w:w="6661"/>
      </w:tblGrid>
      <w:tr w:rsidR="00782A28" w:rsidRPr="00782A28" w14:paraId="0B8599A0" w14:textId="77777777" w:rsidTr="00F42030">
        <w:trPr>
          <w:trHeight w:val="401"/>
        </w:trPr>
        <w:tc>
          <w:tcPr>
            <w:tcW w:w="2890" w:type="dxa"/>
            <w:tcBorders>
              <w:top w:val="thinThickSmallGap" w:sz="24" w:space="0" w:color="auto"/>
              <w:bottom w:val="single" w:sz="4" w:space="0" w:color="auto"/>
              <w:right w:val="single" w:sz="4" w:space="0" w:color="auto"/>
            </w:tcBorders>
          </w:tcPr>
          <w:p w14:paraId="0F1BA57F" w14:textId="77777777" w:rsidR="00782A28" w:rsidRPr="00782A28" w:rsidRDefault="00782A28" w:rsidP="00782A28">
            <w:pPr>
              <w:keepNext/>
              <w:spacing w:after="0" w:line="240" w:lineRule="auto"/>
              <w:jc w:val="both"/>
              <w:outlineLvl w:val="1"/>
              <w:rPr>
                <w:rFonts w:eastAsia="Times New Roman" w:cs="Times New Roman"/>
                <w:b/>
                <w:szCs w:val="24"/>
              </w:rPr>
            </w:pPr>
            <w:r w:rsidRPr="00782A28">
              <w:rPr>
                <w:rFonts w:eastAsia="Times New Roman" w:cs="Times New Roman"/>
                <w:b/>
                <w:szCs w:val="24"/>
                <w:u w:val="single"/>
              </w:rPr>
              <w:t>Date</w:t>
            </w:r>
          </w:p>
        </w:tc>
        <w:tc>
          <w:tcPr>
            <w:tcW w:w="6661" w:type="dxa"/>
            <w:tcBorders>
              <w:top w:val="thinThickSmallGap" w:sz="24" w:space="0" w:color="auto"/>
              <w:left w:val="single" w:sz="4" w:space="0" w:color="auto"/>
              <w:bottom w:val="single" w:sz="4" w:space="0" w:color="auto"/>
            </w:tcBorders>
          </w:tcPr>
          <w:p w14:paraId="32A8A9C4" w14:textId="77777777" w:rsidR="00782A28" w:rsidRPr="00782A28" w:rsidRDefault="00782A28" w:rsidP="00782A28">
            <w:pPr>
              <w:keepNext/>
              <w:spacing w:after="0" w:line="240" w:lineRule="auto"/>
              <w:jc w:val="both"/>
              <w:outlineLvl w:val="1"/>
              <w:rPr>
                <w:rFonts w:eastAsia="Times New Roman" w:cs="Times New Roman"/>
                <w:b/>
                <w:szCs w:val="24"/>
              </w:rPr>
            </w:pPr>
            <w:r w:rsidRPr="00782A28">
              <w:rPr>
                <w:rFonts w:eastAsia="Times New Roman" w:cs="Times New Roman"/>
                <w:b/>
                <w:szCs w:val="24"/>
                <w:u w:val="single"/>
              </w:rPr>
              <w:t>Event</w:t>
            </w:r>
          </w:p>
        </w:tc>
      </w:tr>
      <w:tr w:rsidR="00782A28" w:rsidRPr="00782A28" w14:paraId="5E371E35" w14:textId="77777777" w:rsidTr="00F42030">
        <w:trPr>
          <w:trHeight w:val="271"/>
        </w:trPr>
        <w:tc>
          <w:tcPr>
            <w:tcW w:w="2890" w:type="dxa"/>
            <w:tcBorders>
              <w:top w:val="single" w:sz="4" w:space="0" w:color="auto"/>
              <w:bottom w:val="single" w:sz="4" w:space="0" w:color="auto"/>
              <w:right w:val="single" w:sz="4" w:space="0" w:color="auto"/>
            </w:tcBorders>
            <w:vAlign w:val="center"/>
          </w:tcPr>
          <w:p w14:paraId="12CF1FE9" w14:textId="7F6251FD" w:rsidR="00782A28" w:rsidRPr="00782A28" w:rsidRDefault="00A24A19" w:rsidP="00782A28">
            <w:pPr>
              <w:spacing w:line="240" w:lineRule="auto"/>
              <w:rPr>
                <w:rFonts w:cs="Times New Roman"/>
                <w:szCs w:val="24"/>
              </w:rPr>
            </w:pPr>
            <w:r>
              <w:rPr>
                <w:rFonts w:cs="Times New Roman"/>
                <w:szCs w:val="24"/>
              </w:rPr>
              <w:t>June 15, 2022</w:t>
            </w:r>
          </w:p>
        </w:tc>
        <w:tc>
          <w:tcPr>
            <w:tcW w:w="6661" w:type="dxa"/>
            <w:tcBorders>
              <w:top w:val="single" w:sz="4" w:space="0" w:color="auto"/>
              <w:left w:val="single" w:sz="4" w:space="0" w:color="auto"/>
              <w:bottom w:val="single" w:sz="4" w:space="0" w:color="auto"/>
            </w:tcBorders>
          </w:tcPr>
          <w:p w14:paraId="2F07EDB6" w14:textId="2FB89A18" w:rsidR="00782A28" w:rsidRPr="00782A28" w:rsidRDefault="00A24A19" w:rsidP="00782A28">
            <w:pPr>
              <w:spacing w:line="240" w:lineRule="auto"/>
              <w:rPr>
                <w:rFonts w:cs="Times New Roman"/>
                <w:szCs w:val="24"/>
              </w:rPr>
            </w:pPr>
            <w:r>
              <w:rPr>
                <w:rFonts w:cs="Times New Roman"/>
                <w:szCs w:val="24"/>
              </w:rPr>
              <w:t xml:space="preserve">Service of written direct testimony </w:t>
            </w:r>
          </w:p>
        </w:tc>
      </w:tr>
      <w:tr w:rsidR="00782A28" w:rsidRPr="00782A28" w14:paraId="2EAC5675" w14:textId="77777777" w:rsidTr="00F42030">
        <w:trPr>
          <w:trHeight w:val="259"/>
        </w:trPr>
        <w:tc>
          <w:tcPr>
            <w:tcW w:w="2890" w:type="dxa"/>
            <w:tcBorders>
              <w:top w:val="single" w:sz="4" w:space="0" w:color="auto"/>
              <w:bottom w:val="single" w:sz="4" w:space="0" w:color="auto"/>
              <w:right w:val="single" w:sz="4" w:space="0" w:color="auto"/>
            </w:tcBorders>
            <w:vAlign w:val="center"/>
          </w:tcPr>
          <w:p w14:paraId="29AF4EF5" w14:textId="45E222CA" w:rsidR="00782A28" w:rsidRPr="00782A28" w:rsidRDefault="00A24A19" w:rsidP="00782A28">
            <w:pPr>
              <w:spacing w:line="240" w:lineRule="auto"/>
              <w:rPr>
                <w:rFonts w:cs="Times New Roman"/>
                <w:szCs w:val="24"/>
              </w:rPr>
            </w:pPr>
            <w:r>
              <w:rPr>
                <w:rFonts w:cs="Times New Roman"/>
                <w:szCs w:val="24"/>
              </w:rPr>
              <w:t>July 15, 2022</w:t>
            </w:r>
          </w:p>
        </w:tc>
        <w:tc>
          <w:tcPr>
            <w:tcW w:w="6661" w:type="dxa"/>
            <w:tcBorders>
              <w:top w:val="single" w:sz="4" w:space="0" w:color="auto"/>
              <w:left w:val="single" w:sz="4" w:space="0" w:color="auto"/>
              <w:bottom w:val="single" w:sz="4" w:space="0" w:color="auto"/>
            </w:tcBorders>
          </w:tcPr>
          <w:p w14:paraId="4574D8C2" w14:textId="77777777" w:rsidR="00782A28" w:rsidRPr="00782A28" w:rsidRDefault="00782A28" w:rsidP="00782A28">
            <w:pPr>
              <w:spacing w:line="240" w:lineRule="auto"/>
              <w:rPr>
                <w:rFonts w:cs="Times New Roman"/>
                <w:szCs w:val="24"/>
              </w:rPr>
            </w:pPr>
            <w:r w:rsidRPr="00782A28">
              <w:rPr>
                <w:rFonts w:cs="Times New Roman"/>
                <w:szCs w:val="24"/>
              </w:rPr>
              <w:t xml:space="preserve">Service of written rebuttal testimony  </w:t>
            </w:r>
          </w:p>
        </w:tc>
      </w:tr>
      <w:tr w:rsidR="00A2306E" w:rsidRPr="00782A28" w14:paraId="5ACCBFCD" w14:textId="77777777" w:rsidTr="00F42030">
        <w:trPr>
          <w:trHeight w:val="259"/>
        </w:trPr>
        <w:tc>
          <w:tcPr>
            <w:tcW w:w="2890" w:type="dxa"/>
            <w:tcBorders>
              <w:top w:val="single" w:sz="4" w:space="0" w:color="auto"/>
              <w:bottom w:val="single" w:sz="4" w:space="0" w:color="auto"/>
              <w:right w:val="single" w:sz="4" w:space="0" w:color="auto"/>
            </w:tcBorders>
            <w:vAlign w:val="center"/>
          </w:tcPr>
          <w:p w14:paraId="18371099" w14:textId="3C3E68F1" w:rsidR="00A2306E" w:rsidRPr="00782A28" w:rsidRDefault="00A24A19" w:rsidP="00782A28">
            <w:pPr>
              <w:spacing w:line="240" w:lineRule="auto"/>
              <w:rPr>
                <w:rFonts w:cs="Times New Roman"/>
                <w:szCs w:val="24"/>
              </w:rPr>
            </w:pPr>
            <w:r>
              <w:rPr>
                <w:rFonts w:cs="Times New Roman"/>
                <w:szCs w:val="24"/>
              </w:rPr>
              <w:t>July 22, 2022</w:t>
            </w:r>
          </w:p>
        </w:tc>
        <w:tc>
          <w:tcPr>
            <w:tcW w:w="6661" w:type="dxa"/>
            <w:tcBorders>
              <w:top w:val="single" w:sz="4" w:space="0" w:color="auto"/>
              <w:left w:val="single" w:sz="4" w:space="0" w:color="auto"/>
              <w:bottom w:val="single" w:sz="4" w:space="0" w:color="auto"/>
            </w:tcBorders>
          </w:tcPr>
          <w:p w14:paraId="13847016" w14:textId="59E17734" w:rsidR="00A2306E" w:rsidRPr="00782A28" w:rsidRDefault="00A24A19" w:rsidP="00782A28">
            <w:pPr>
              <w:spacing w:line="240" w:lineRule="auto"/>
              <w:rPr>
                <w:rFonts w:cs="Times New Roman"/>
                <w:szCs w:val="24"/>
              </w:rPr>
            </w:pPr>
            <w:r>
              <w:rPr>
                <w:rFonts w:cs="Times New Roman"/>
                <w:szCs w:val="24"/>
              </w:rPr>
              <w:t xml:space="preserve">Prehearing </w:t>
            </w:r>
            <w:r w:rsidR="00804B36">
              <w:rPr>
                <w:rFonts w:cs="Times New Roman"/>
                <w:szCs w:val="24"/>
              </w:rPr>
              <w:t>Stipulations</w:t>
            </w:r>
            <w:r>
              <w:rPr>
                <w:rFonts w:cs="Times New Roman"/>
                <w:szCs w:val="24"/>
              </w:rPr>
              <w:t>/Motions</w:t>
            </w:r>
          </w:p>
        </w:tc>
      </w:tr>
      <w:tr w:rsidR="00782A28" w:rsidRPr="00782A28" w14:paraId="47A5E72F" w14:textId="77777777" w:rsidTr="00F42030">
        <w:trPr>
          <w:trHeight w:val="359"/>
        </w:trPr>
        <w:tc>
          <w:tcPr>
            <w:tcW w:w="2890" w:type="dxa"/>
            <w:tcBorders>
              <w:top w:val="single" w:sz="4" w:space="0" w:color="auto"/>
              <w:bottom w:val="single" w:sz="4" w:space="0" w:color="auto"/>
              <w:right w:val="single" w:sz="4" w:space="0" w:color="auto"/>
            </w:tcBorders>
            <w:shd w:val="clear" w:color="auto" w:fill="auto"/>
            <w:vAlign w:val="center"/>
          </w:tcPr>
          <w:p w14:paraId="4781C07B" w14:textId="318A1FB9" w:rsidR="00782A28" w:rsidRPr="00782A28" w:rsidRDefault="00A24A19" w:rsidP="00782A28">
            <w:pPr>
              <w:spacing w:line="240" w:lineRule="auto"/>
              <w:rPr>
                <w:rFonts w:cs="Times New Roman"/>
                <w:szCs w:val="24"/>
              </w:rPr>
            </w:pPr>
            <w:r>
              <w:rPr>
                <w:rFonts w:cs="Times New Roman"/>
                <w:szCs w:val="24"/>
              </w:rPr>
              <w:t>August 18-19, 2022</w:t>
            </w:r>
          </w:p>
        </w:tc>
        <w:tc>
          <w:tcPr>
            <w:tcW w:w="6661" w:type="dxa"/>
            <w:tcBorders>
              <w:top w:val="single" w:sz="4" w:space="0" w:color="auto"/>
              <w:left w:val="single" w:sz="4" w:space="0" w:color="auto"/>
              <w:bottom w:val="single" w:sz="4" w:space="0" w:color="auto"/>
            </w:tcBorders>
            <w:shd w:val="clear" w:color="auto" w:fill="auto"/>
          </w:tcPr>
          <w:p w14:paraId="57C1FA23" w14:textId="18C6DE5D" w:rsidR="00782A28" w:rsidRPr="00782A28" w:rsidRDefault="000D3C97" w:rsidP="00782A28">
            <w:pPr>
              <w:spacing w:line="240" w:lineRule="auto"/>
              <w:rPr>
                <w:rFonts w:cs="Times New Roman"/>
                <w:szCs w:val="24"/>
              </w:rPr>
            </w:pPr>
            <w:r>
              <w:rPr>
                <w:rFonts w:cs="Times New Roman"/>
                <w:szCs w:val="24"/>
              </w:rPr>
              <w:t>Evidentiary</w:t>
            </w:r>
            <w:r w:rsidR="00782A28" w:rsidRPr="00782A28">
              <w:rPr>
                <w:rFonts w:cs="Times New Roman"/>
                <w:szCs w:val="24"/>
              </w:rPr>
              <w:t xml:space="preserve"> hearings </w:t>
            </w:r>
            <w:r>
              <w:rPr>
                <w:rFonts w:cs="Times New Roman"/>
                <w:szCs w:val="24"/>
              </w:rPr>
              <w:t>in-person, Hearing Room 1, Harrisburg</w:t>
            </w:r>
            <w:r>
              <w:rPr>
                <w:rStyle w:val="FootnoteReference"/>
                <w:rFonts w:cs="Times New Roman"/>
                <w:szCs w:val="24"/>
              </w:rPr>
              <w:footnoteReference w:id="1"/>
            </w:r>
          </w:p>
        </w:tc>
      </w:tr>
      <w:tr w:rsidR="00782A28" w:rsidRPr="00782A28" w14:paraId="4249A740" w14:textId="77777777" w:rsidTr="00F42030">
        <w:trPr>
          <w:trHeight w:val="401"/>
        </w:trPr>
        <w:tc>
          <w:tcPr>
            <w:tcW w:w="2890" w:type="dxa"/>
            <w:tcBorders>
              <w:top w:val="single" w:sz="4" w:space="0" w:color="auto"/>
              <w:bottom w:val="single" w:sz="4" w:space="0" w:color="auto"/>
              <w:right w:val="single" w:sz="4" w:space="0" w:color="auto"/>
            </w:tcBorders>
            <w:vAlign w:val="center"/>
          </w:tcPr>
          <w:p w14:paraId="42A2C114" w14:textId="58642C35" w:rsidR="00782A28" w:rsidRPr="00782A28" w:rsidRDefault="00A24A19" w:rsidP="00782A28">
            <w:pPr>
              <w:spacing w:line="240" w:lineRule="auto"/>
              <w:rPr>
                <w:rFonts w:cs="Times New Roman"/>
                <w:szCs w:val="24"/>
              </w:rPr>
            </w:pPr>
            <w:r>
              <w:rPr>
                <w:rFonts w:cs="Times New Roman"/>
                <w:szCs w:val="24"/>
              </w:rPr>
              <w:t>September 16, 2022</w:t>
            </w:r>
          </w:p>
        </w:tc>
        <w:tc>
          <w:tcPr>
            <w:tcW w:w="6661" w:type="dxa"/>
            <w:tcBorders>
              <w:top w:val="single" w:sz="4" w:space="0" w:color="auto"/>
              <w:left w:val="single" w:sz="4" w:space="0" w:color="auto"/>
              <w:bottom w:val="single" w:sz="4" w:space="0" w:color="auto"/>
            </w:tcBorders>
          </w:tcPr>
          <w:p w14:paraId="78D5EF48" w14:textId="77777777" w:rsidR="00782A28" w:rsidRPr="00782A28" w:rsidRDefault="00782A28" w:rsidP="00782A28">
            <w:pPr>
              <w:spacing w:line="240" w:lineRule="auto"/>
              <w:rPr>
                <w:rFonts w:cs="Times New Roman"/>
                <w:szCs w:val="24"/>
              </w:rPr>
            </w:pPr>
            <w:r w:rsidRPr="00782A28">
              <w:rPr>
                <w:rFonts w:cs="Times New Roman"/>
                <w:szCs w:val="24"/>
              </w:rPr>
              <w:t xml:space="preserve">Filing and service of main briefs </w:t>
            </w:r>
          </w:p>
        </w:tc>
      </w:tr>
      <w:tr w:rsidR="00782A28" w:rsidRPr="00782A28" w14:paraId="4900F30D" w14:textId="77777777" w:rsidTr="00A24A19">
        <w:trPr>
          <w:trHeight w:val="440"/>
        </w:trPr>
        <w:tc>
          <w:tcPr>
            <w:tcW w:w="2890" w:type="dxa"/>
            <w:tcBorders>
              <w:top w:val="single" w:sz="4" w:space="0" w:color="auto"/>
              <w:right w:val="single" w:sz="4" w:space="0" w:color="auto"/>
            </w:tcBorders>
            <w:vAlign w:val="center"/>
          </w:tcPr>
          <w:p w14:paraId="1EA2131A" w14:textId="7BCD9128" w:rsidR="00782A28" w:rsidRPr="00782A28" w:rsidRDefault="00A24A19" w:rsidP="00782A28">
            <w:pPr>
              <w:spacing w:line="240" w:lineRule="auto"/>
              <w:rPr>
                <w:rFonts w:cs="Times New Roman"/>
                <w:szCs w:val="24"/>
              </w:rPr>
            </w:pPr>
            <w:r>
              <w:rPr>
                <w:rFonts w:cs="Times New Roman"/>
                <w:szCs w:val="24"/>
              </w:rPr>
              <w:t>September 30, 2022</w:t>
            </w:r>
          </w:p>
        </w:tc>
        <w:tc>
          <w:tcPr>
            <w:tcW w:w="6661" w:type="dxa"/>
            <w:tcBorders>
              <w:top w:val="single" w:sz="4" w:space="0" w:color="auto"/>
              <w:left w:val="single" w:sz="4" w:space="0" w:color="auto"/>
              <w:bottom w:val="thickThinSmallGap" w:sz="24" w:space="0" w:color="auto"/>
            </w:tcBorders>
          </w:tcPr>
          <w:p w14:paraId="4AC37F8C" w14:textId="1846AF08" w:rsidR="00782A28" w:rsidRPr="00782A28" w:rsidRDefault="00782A28" w:rsidP="00782A28">
            <w:pPr>
              <w:spacing w:line="240" w:lineRule="auto"/>
              <w:rPr>
                <w:rFonts w:cs="Times New Roman"/>
                <w:szCs w:val="24"/>
              </w:rPr>
            </w:pPr>
            <w:r w:rsidRPr="00782A28">
              <w:rPr>
                <w:rFonts w:cs="Times New Roman"/>
                <w:szCs w:val="24"/>
              </w:rPr>
              <w:t xml:space="preserve">Filing and service of reply briefs </w:t>
            </w:r>
          </w:p>
        </w:tc>
      </w:tr>
    </w:tbl>
    <w:p w14:paraId="4C8B8183" w14:textId="048A3652" w:rsidR="00782A28" w:rsidRDefault="00782A28"/>
    <w:p w14:paraId="61E6F9F8" w14:textId="6D9318A0" w:rsidR="00A2306E" w:rsidRPr="00D228F0" w:rsidRDefault="00A2306E" w:rsidP="00B04270">
      <w:pPr>
        <w:spacing w:after="0"/>
        <w:ind w:firstLine="1440"/>
        <w:rPr>
          <w:rFonts w:cs="Times New Roman"/>
          <w:bCs/>
          <w:szCs w:val="24"/>
        </w:rPr>
      </w:pPr>
      <w:r w:rsidRPr="00FC2C48">
        <w:rPr>
          <w:rFonts w:cs="Times New Roman"/>
          <w:szCs w:val="24"/>
        </w:rPr>
        <w:t xml:space="preserve">The parties are reminded of the Commission’s requirements for the preparation and filing of written testimony.  52 Pa.Code § 5.412.  Written testimony must be accompanied by all exhibits to which it relates.  Technical terms and concepts are to be clearly defined and explained in the testimonies and briefs.  </w:t>
      </w:r>
      <w:r w:rsidRPr="00D228F0">
        <w:rPr>
          <w:rFonts w:cs="Times New Roman"/>
          <w:bCs/>
          <w:szCs w:val="24"/>
        </w:rPr>
        <w:t xml:space="preserve">The parties are to agree on a list of common acronyms and use them consistently in all written testimony and briefs.  </w:t>
      </w:r>
    </w:p>
    <w:p w14:paraId="75109AA6" w14:textId="77777777" w:rsidR="00A2306E" w:rsidRPr="00FC2C48" w:rsidRDefault="00A2306E" w:rsidP="00B04270">
      <w:pPr>
        <w:spacing w:after="0"/>
        <w:rPr>
          <w:rFonts w:cs="Times New Roman"/>
          <w:bCs/>
          <w:szCs w:val="24"/>
        </w:rPr>
      </w:pPr>
    </w:p>
    <w:p w14:paraId="1909C04D" w14:textId="19A275A2" w:rsidR="00A2306E" w:rsidRDefault="00A2306E" w:rsidP="00B04270">
      <w:pPr>
        <w:spacing w:after="0"/>
        <w:rPr>
          <w:rFonts w:cs="Times New Roman"/>
          <w:szCs w:val="24"/>
        </w:rPr>
      </w:pPr>
      <w:r w:rsidRPr="00FC2C48">
        <w:rPr>
          <w:rFonts w:cs="Times New Roman"/>
          <w:bCs/>
          <w:szCs w:val="24"/>
        </w:rPr>
        <w:tab/>
      </w:r>
      <w:r w:rsidRPr="00FC2C48">
        <w:rPr>
          <w:rFonts w:cs="Times New Roman"/>
          <w:bCs/>
          <w:szCs w:val="24"/>
        </w:rPr>
        <w:tab/>
      </w:r>
      <w:r w:rsidRPr="00FC2C48">
        <w:rPr>
          <w:rFonts w:cs="Times New Roman"/>
          <w:szCs w:val="24"/>
        </w:rPr>
        <w:t xml:space="preserve">The above-stated dates are </w:t>
      </w:r>
      <w:r w:rsidRPr="00FC2C48">
        <w:rPr>
          <w:rFonts w:cs="Times New Roman"/>
          <w:szCs w:val="24"/>
          <w:u w:val="single"/>
        </w:rPr>
        <w:t>in-hand</w:t>
      </w:r>
      <w:r w:rsidRPr="00FC2C48">
        <w:rPr>
          <w:rFonts w:cs="Times New Roman"/>
          <w:szCs w:val="24"/>
        </w:rPr>
        <w:t xml:space="preserve"> dates for service on the parties and the presiding Administrative Law Judge (ALJ).  The parties at the prehearing conference and the presiding ALJ agree to accept electronic service of such material,</w:t>
      </w:r>
      <w:r w:rsidRPr="00AD7BF9">
        <w:rPr>
          <w:rStyle w:val="FootnoteReference"/>
          <w:rFonts w:cs="Times New Roman"/>
          <w:szCs w:val="24"/>
        </w:rPr>
        <w:footnoteReference w:id="2"/>
      </w:r>
      <w:r w:rsidRPr="00AD7BF9">
        <w:rPr>
          <w:rFonts w:cs="Times New Roman"/>
          <w:szCs w:val="24"/>
        </w:rPr>
        <w:t xml:space="preserve"> so long as the subject email is received by the </w:t>
      </w:r>
      <w:r w:rsidR="00ED5019">
        <w:rPr>
          <w:rFonts w:cs="Times New Roman"/>
          <w:szCs w:val="24"/>
        </w:rPr>
        <w:t>due date</w:t>
      </w:r>
      <w:r w:rsidRPr="00AD7BF9">
        <w:rPr>
          <w:rFonts w:cs="Times New Roman"/>
          <w:szCs w:val="24"/>
        </w:rPr>
        <w:t xml:space="preserve">.  </w:t>
      </w:r>
      <w:r w:rsidR="00CB3E6D">
        <w:rPr>
          <w:rFonts w:cs="Times New Roman"/>
          <w:szCs w:val="24"/>
        </w:rPr>
        <w:t>Copies of all documents filed with the Secretary’s Bureau must be provided to the presiding ALJ by email</w:t>
      </w:r>
      <w:r w:rsidR="00ED5019">
        <w:rPr>
          <w:rFonts w:cs="Times New Roman"/>
          <w:szCs w:val="24"/>
        </w:rPr>
        <w:t>.</w:t>
      </w:r>
      <w:r w:rsidR="00CB3E6D">
        <w:rPr>
          <w:rFonts w:cs="Times New Roman"/>
          <w:szCs w:val="24"/>
        </w:rPr>
        <w:t xml:space="preserve">  </w:t>
      </w:r>
      <w:r w:rsidR="00D228F0">
        <w:rPr>
          <w:rFonts w:cs="Times New Roman"/>
          <w:szCs w:val="24"/>
        </w:rPr>
        <w:t>There</w:t>
      </w:r>
      <w:r w:rsidRPr="00D228F0">
        <w:rPr>
          <w:rFonts w:cs="Times New Roman"/>
          <w:szCs w:val="24"/>
        </w:rPr>
        <w:t xml:space="preserve"> is no requirement to follow electronic service by sending a hard copy of the same material via first-class mail postage prepaid to the parties designated on the Service List or by express mail service.</w:t>
      </w:r>
      <w:r w:rsidRPr="00AD7BF9">
        <w:rPr>
          <w:rFonts w:cs="Times New Roman"/>
          <w:szCs w:val="24"/>
        </w:rPr>
        <w:t xml:space="preserve">  The email address of the presiding ALJ: </w:t>
      </w:r>
      <w:hyperlink r:id="rId7" w:history="1">
        <w:r w:rsidRPr="00AD7BF9">
          <w:rPr>
            <w:rStyle w:val="Hyperlink"/>
            <w:rFonts w:cs="Times New Roman"/>
            <w:szCs w:val="24"/>
          </w:rPr>
          <w:t>malong@pa.gov</w:t>
        </w:r>
      </w:hyperlink>
      <w:r>
        <w:rPr>
          <w:rFonts w:cs="Times New Roman"/>
          <w:szCs w:val="24"/>
        </w:rPr>
        <w:t>.</w:t>
      </w:r>
      <w:r w:rsidR="00B43F7F">
        <w:rPr>
          <w:rFonts w:cs="Times New Roman"/>
          <w:szCs w:val="24"/>
        </w:rPr>
        <w:t xml:space="preserve"> </w:t>
      </w:r>
    </w:p>
    <w:p w14:paraId="26231654" w14:textId="77777777" w:rsidR="00A2306E" w:rsidRPr="00AD7BF9" w:rsidRDefault="00A2306E" w:rsidP="00B04270">
      <w:pPr>
        <w:spacing w:after="0"/>
        <w:rPr>
          <w:rFonts w:cs="Times New Roman"/>
          <w:bCs/>
          <w:szCs w:val="24"/>
        </w:rPr>
      </w:pPr>
    </w:p>
    <w:p w14:paraId="2B1C4B84" w14:textId="2EA95C9B" w:rsidR="00A2306E" w:rsidRDefault="00A2306E" w:rsidP="00B04270">
      <w:pPr>
        <w:spacing w:after="0"/>
        <w:rPr>
          <w:rFonts w:cs="Times New Roman"/>
          <w:szCs w:val="24"/>
        </w:rPr>
      </w:pPr>
      <w:r w:rsidRPr="00AD7BF9">
        <w:rPr>
          <w:rFonts w:cs="Times New Roman"/>
          <w:szCs w:val="24"/>
        </w:rPr>
        <w:lastRenderedPageBreak/>
        <w:tab/>
      </w:r>
      <w:r w:rsidRPr="00AD7BF9">
        <w:rPr>
          <w:rFonts w:cs="Times New Roman"/>
          <w:szCs w:val="24"/>
        </w:rPr>
        <w:tab/>
        <w:t>Hearings will begin promptly each day.  The parties must confer before commencement of the hearings to schedule their witnesses so as to avoid “holes” or “dead time” during the hearings.</w:t>
      </w:r>
      <w:r w:rsidRPr="004B68A5">
        <w:rPr>
          <w:rFonts w:cs="Times New Roman"/>
          <w:szCs w:val="24"/>
        </w:rPr>
        <w:t xml:space="preserve">  </w:t>
      </w:r>
      <w:r w:rsidRPr="00FC2C48">
        <w:rPr>
          <w:rFonts w:cs="Times New Roman"/>
          <w:szCs w:val="24"/>
        </w:rPr>
        <w:t>In the event that a partial settlement is achieved the parties should be prepared to proceed on the first scheduled day of hearing to present evidence on the non-resolved issues.</w:t>
      </w:r>
    </w:p>
    <w:p w14:paraId="3252628D" w14:textId="77777777" w:rsidR="00AB183F" w:rsidRDefault="00AB183F" w:rsidP="00B04270">
      <w:pPr>
        <w:spacing w:after="0"/>
        <w:rPr>
          <w:rFonts w:cs="Times New Roman"/>
          <w:szCs w:val="24"/>
        </w:rPr>
      </w:pPr>
    </w:p>
    <w:p w14:paraId="2684F4CF" w14:textId="77777777" w:rsidR="00A2306E" w:rsidRPr="00AD7BF9" w:rsidRDefault="00A2306E" w:rsidP="00B04270">
      <w:pPr>
        <w:spacing w:after="0"/>
        <w:jc w:val="center"/>
        <w:rPr>
          <w:rFonts w:cs="Times New Roman"/>
          <w:szCs w:val="24"/>
          <w:u w:val="single"/>
        </w:rPr>
      </w:pPr>
      <w:r w:rsidRPr="00AD7BF9">
        <w:rPr>
          <w:rFonts w:cs="Times New Roman"/>
          <w:szCs w:val="24"/>
          <w:u w:val="single"/>
        </w:rPr>
        <w:t>Issues</w:t>
      </w:r>
    </w:p>
    <w:p w14:paraId="55B0757A" w14:textId="77777777" w:rsidR="00A2306E" w:rsidRPr="00AD7BF9" w:rsidRDefault="00A2306E" w:rsidP="00B04270">
      <w:pPr>
        <w:spacing w:after="0"/>
        <w:rPr>
          <w:rFonts w:cs="Times New Roman"/>
          <w:szCs w:val="24"/>
          <w:u w:val="single"/>
        </w:rPr>
      </w:pPr>
    </w:p>
    <w:p w14:paraId="6D979FB6" w14:textId="77777777" w:rsidR="00A2306E" w:rsidRPr="00AD7BF9" w:rsidRDefault="00A2306E" w:rsidP="00B04270">
      <w:pPr>
        <w:spacing w:after="0"/>
        <w:rPr>
          <w:rFonts w:cs="Times New Roman"/>
          <w:szCs w:val="24"/>
        </w:rPr>
      </w:pPr>
      <w:r w:rsidRPr="00AD7BF9">
        <w:rPr>
          <w:rFonts w:cs="Times New Roman"/>
          <w:szCs w:val="24"/>
        </w:rPr>
        <w:tab/>
      </w:r>
      <w:r w:rsidRPr="00AD7BF9">
        <w:rPr>
          <w:rFonts w:cs="Times New Roman"/>
          <w:szCs w:val="24"/>
        </w:rPr>
        <w:tab/>
        <w:t>In their respective prehearing memoranda, the parties identified various issues they may wish to pursue.  The reader is directed to these documents to review a recitation of these issues.  Additional issues may arise as the discovery process develops.</w:t>
      </w:r>
    </w:p>
    <w:p w14:paraId="6CD6F383" w14:textId="77777777" w:rsidR="00A2306E" w:rsidRPr="004B68A5" w:rsidRDefault="00A2306E" w:rsidP="00B04270">
      <w:pPr>
        <w:spacing w:after="0"/>
        <w:rPr>
          <w:rFonts w:cs="Times New Roman"/>
          <w:szCs w:val="24"/>
        </w:rPr>
      </w:pPr>
    </w:p>
    <w:p w14:paraId="0D48E619" w14:textId="77777777" w:rsidR="00A2306E" w:rsidRPr="00AD7BF9" w:rsidRDefault="00A2306E" w:rsidP="00B04270">
      <w:pPr>
        <w:pStyle w:val="Heading2"/>
        <w:jc w:val="center"/>
        <w:rPr>
          <w:b w:val="0"/>
          <w:bCs/>
          <w:sz w:val="24"/>
          <w:szCs w:val="24"/>
        </w:rPr>
      </w:pPr>
      <w:r w:rsidRPr="00AD7BF9">
        <w:rPr>
          <w:b w:val="0"/>
          <w:bCs/>
          <w:sz w:val="24"/>
          <w:szCs w:val="24"/>
        </w:rPr>
        <w:t>Discovery</w:t>
      </w:r>
    </w:p>
    <w:p w14:paraId="40B00A26" w14:textId="77777777" w:rsidR="00A2306E" w:rsidRPr="00FC2C48" w:rsidRDefault="00A2306E" w:rsidP="00B04270">
      <w:pPr>
        <w:spacing w:after="0"/>
        <w:rPr>
          <w:rFonts w:cs="Times New Roman"/>
          <w:szCs w:val="24"/>
        </w:rPr>
      </w:pPr>
    </w:p>
    <w:p w14:paraId="3C822F11" w14:textId="77777777" w:rsidR="00A2306E" w:rsidRPr="00FC2C48" w:rsidRDefault="00A2306E" w:rsidP="00B04270">
      <w:pPr>
        <w:spacing w:after="0"/>
        <w:rPr>
          <w:rFonts w:cs="Times New Roman"/>
          <w:szCs w:val="24"/>
        </w:rPr>
      </w:pPr>
      <w:r w:rsidRPr="00FC2C48">
        <w:rPr>
          <w:rFonts w:cs="Times New Roman"/>
          <w:szCs w:val="24"/>
        </w:rPr>
        <w:tab/>
      </w:r>
      <w:r w:rsidRPr="00FC2C48">
        <w:rPr>
          <w:rFonts w:cs="Times New Roman"/>
          <w:szCs w:val="24"/>
        </w:rPr>
        <w:tab/>
        <w:t xml:space="preserve">The parties shall engage in informal discovery whenever and wherever possible in an attempt to resolve any discovery disputes amicably.  52 Pa.Code § 5.322.  If this process fails, the parties have recourse to the Commission’s procedures for formal discovery, as herein modified.  52 Pa.Code §§ 5.321, </w:t>
      </w:r>
      <w:r w:rsidRPr="00FC2C48">
        <w:rPr>
          <w:rFonts w:cs="Times New Roman"/>
          <w:i/>
          <w:szCs w:val="24"/>
        </w:rPr>
        <w:t>et</w:t>
      </w:r>
      <w:r w:rsidRPr="00FC2C48">
        <w:rPr>
          <w:rFonts w:cs="Times New Roman"/>
          <w:szCs w:val="24"/>
        </w:rPr>
        <w:t xml:space="preserve"> </w:t>
      </w:r>
      <w:r w:rsidRPr="00FC2C48">
        <w:rPr>
          <w:rFonts w:cs="Times New Roman"/>
          <w:i/>
          <w:szCs w:val="24"/>
        </w:rPr>
        <w:t>seq</w:t>
      </w:r>
      <w:r w:rsidRPr="00FC2C48">
        <w:rPr>
          <w:rFonts w:cs="Times New Roman"/>
          <w:szCs w:val="24"/>
        </w:rPr>
        <w:t xml:space="preserve">.  The parties must not send the presiding ALJ discovery material or cover letters, unless attached to a motion to compel.  </w:t>
      </w:r>
      <w:r w:rsidRPr="00FC2C48">
        <w:rPr>
          <w:rFonts w:cs="Times New Roman"/>
          <w:b/>
          <w:bCs/>
          <w:szCs w:val="24"/>
        </w:rPr>
        <w:t>All motions to compel must contain a certification of counsel of the informal discovery undertaken and their efforts to resolve their discovery disputes informally.</w:t>
      </w:r>
      <w:r w:rsidRPr="00FC2C48">
        <w:rPr>
          <w:rFonts w:cs="Times New Roman"/>
          <w:szCs w:val="24"/>
        </w:rPr>
        <w:t xml:space="preserve">  If a motion to compel fails to contain such certification, the presiding ALJs will contact the parties and direct them to pursue informal discovery.</w:t>
      </w:r>
    </w:p>
    <w:p w14:paraId="69548227" w14:textId="77777777" w:rsidR="00A2306E" w:rsidRPr="00FC2C48" w:rsidRDefault="00A2306E" w:rsidP="00B04270">
      <w:pPr>
        <w:spacing w:after="0"/>
        <w:rPr>
          <w:rFonts w:cs="Times New Roman"/>
          <w:szCs w:val="24"/>
        </w:rPr>
      </w:pPr>
    </w:p>
    <w:p w14:paraId="3B1AAED6" w14:textId="28FC2AE1" w:rsidR="00A2306E" w:rsidRDefault="00A2306E" w:rsidP="00B04270">
      <w:pPr>
        <w:spacing w:after="0"/>
        <w:rPr>
          <w:rFonts w:cs="Times New Roman"/>
          <w:szCs w:val="24"/>
        </w:rPr>
      </w:pPr>
      <w:r w:rsidRPr="00FC2C48">
        <w:rPr>
          <w:rFonts w:cs="Times New Roman"/>
          <w:szCs w:val="24"/>
        </w:rPr>
        <w:tab/>
      </w:r>
      <w:r w:rsidRPr="00FC2C48">
        <w:rPr>
          <w:rFonts w:cs="Times New Roman"/>
          <w:szCs w:val="24"/>
        </w:rPr>
        <w:tab/>
      </w:r>
      <w:r w:rsidRPr="00B43F7F">
        <w:rPr>
          <w:rFonts w:cs="Times New Roman"/>
          <w:szCs w:val="24"/>
        </w:rPr>
        <w:t xml:space="preserve">The parties must endeavor to complete discovery upon the filing of surrebuttal testimony absent extraordinary circumstances.  Motions to compel discovery filed after </w:t>
      </w:r>
      <w:r w:rsidR="00B43F7F">
        <w:rPr>
          <w:rFonts w:cs="Times New Roman"/>
          <w:szCs w:val="24"/>
        </w:rPr>
        <w:t xml:space="preserve">July 15, </w:t>
      </w:r>
      <w:r w:rsidR="00804B36">
        <w:rPr>
          <w:rFonts w:cs="Times New Roman"/>
          <w:szCs w:val="24"/>
        </w:rPr>
        <w:t>2022,</w:t>
      </w:r>
      <w:r w:rsidRPr="00B43F7F">
        <w:rPr>
          <w:rFonts w:cs="Times New Roman"/>
          <w:szCs w:val="24"/>
        </w:rPr>
        <w:t xml:space="preserve"> may not be ruled upon in advance of the evidentiary hearings</w:t>
      </w:r>
    </w:p>
    <w:p w14:paraId="06106594" w14:textId="06513591" w:rsidR="00A2306E" w:rsidRDefault="00A2306E" w:rsidP="00B04270">
      <w:pPr>
        <w:spacing w:after="0"/>
        <w:rPr>
          <w:rFonts w:cs="Times New Roman"/>
          <w:szCs w:val="24"/>
        </w:rPr>
      </w:pPr>
    </w:p>
    <w:p w14:paraId="7480AD93" w14:textId="078FDF8F" w:rsidR="00AB183F" w:rsidRDefault="00AB183F" w:rsidP="00B04270">
      <w:pPr>
        <w:spacing w:after="0"/>
        <w:rPr>
          <w:rFonts w:cs="Times New Roman"/>
          <w:szCs w:val="24"/>
        </w:rPr>
      </w:pPr>
    </w:p>
    <w:p w14:paraId="35802DDE" w14:textId="116C6AFA" w:rsidR="00AB183F" w:rsidRDefault="00AB183F" w:rsidP="00B04270">
      <w:pPr>
        <w:spacing w:after="0"/>
        <w:rPr>
          <w:rFonts w:cs="Times New Roman"/>
          <w:szCs w:val="24"/>
        </w:rPr>
      </w:pPr>
    </w:p>
    <w:p w14:paraId="0750BDAF" w14:textId="77777777" w:rsidR="00AB183F" w:rsidRPr="00A2306E" w:rsidRDefault="00AB183F" w:rsidP="00B04270">
      <w:pPr>
        <w:spacing w:after="0"/>
        <w:rPr>
          <w:rFonts w:cs="Times New Roman"/>
          <w:szCs w:val="24"/>
        </w:rPr>
      </w:pPr>
    </w:p>
    <w:p w14:paraId="3E1592FE" w14:textId="77777777" w:rsidR="00A2306E" w:rsidRPr="00B43F7F" w:rsidRDefault="00A2306E" w:rsidP="00B04270">
      <w:pPr>
        <w:spacing w:after="0"/>
        <w:jc w:val="center"/>
        <w:rPr>
          <w:rFonts w:cs="Times New Roman"/>
          <w:szCs w:val="24"/>
          <w:u w:val="single"/>
        </w:rPr>
      </w:pPr>
      <w:r w:rsidRPr="00B43F7F">
        <w:rPr>
          <w:rFonts w:cs="Times New Roman"/>
          <w:szCs w:val="24"/>
          <w:u w:val="single"/>
        </w:rPr>
        <w:lastRenderedPageBreak/>
        <w:t>Pre-Served Testimony and Exhibits</w:t>
      </w:r>
    </w:p>
    <w:p w14:paraId="5CB4E4E7" w14:textId="77777777" w:rsidR="00A2306E" w:rsidRPr="00A2306E" w:rsidRDefault="00A2306E" w:rsidP="00B04270">
      <w:pPr>
        <w:spacing w:after="0"/>
        <w:rPr>
          <w:rFonts w:cs="Times New Roman"/>
          <w:szCs w:val="24"/>
        </w:rPr>
      </w:pPr>
    </w:p>
    <w:p w14:paraId="22BE4876" w14:textId="656488DB" w:rsidR="00A2306E" w:rsidRPr="00A2306E" w:rsidRDefault="00A2306E" w:rsidP="00B04270">
      <w:pPr>
        <w:spacing w:after="0"/>
        <w:rPr>
          <w:rFonts w:cs="Times New Roman"/>
          <w:szCs w:val="24"/>
        </w:rPr>
      </w:pPr>
      <w:r w:rsidRPr="00A2306E">
        <w:rPr>
          <w:rFonts w:cs="Times New Roman"/>
          <w:szCs w:val="24"/>
        </w:rPr>
        <w:tab/>
      </w:r>
      <w:r w:rsidRPr="00A2306E">
        <w:rPr>
          <w:rFonts w:cs="Times New Roman"/>
          <w:szCs w:val="24"/>
        </w:rPr>
        <w:tab/>
        <w:t>No written testimony will be admitted into evidence unless accompanied by a verification or affidavit of the witness</w:t>
      </w:r>
      <w:r w:rsidR="00620336">
        <w:rPr>
          <w:rFonts w:cs="Times New Roman"/>
          <w:szCs w:val="24"/>
        </w:rPr>
        <w:t xml:space="preserve"> unless the witness is present at the hearing to authenticate the written testimony in-person</w:t>
      </w:r>
      <w:r w:rsidRPr="00A2306E">
        <w:rPr>
          <w:rFonts w:cs="Times New Roman"/>
          <w:szCs w:val="24"/>
        </w:rPr>
        <w:t xml:space="preserve">. </w:t>
      </w:r>
    </w:p>
    <w:p w14:paraId="78EEA8D6" w14:textId="77777777" w:rsidR="00A2306E" w:rsidRPr="00A2306E" w:rsidRDefault="00A2306E" w:rsidP="00B04270">
      <w:pPr>
        <w:spacing w:after="0"/>
        <w:rPr>
          <w:rFonts w:cs="Times New Roman"/>
          <w:szCs w:val="24"/>
        </w:rPr>
      </w:pPr>
    </w:p>
    <w:p w14:paraId="76D00F00" w14:textId="77777777" w:rsidR="00A2306E" w:rsidRPr="00A2306E" w:rsidRDefault="00A2306E" w:rsidP="00B04270">
      <w:pPr>
        <w:spacing w:after="0"/>
        <w:rPr>
          <w:rFonts w:cs="Times New Roman"/>
          <w:szCs w:val="24"/>
        </w:rPr>
      </w:pPr>
      <w:r w:rsidRPr="00A2306E">
        <w:rPr>
          <w:rFonts w:cs="Times New Roman"/>
          <w:szCs w:val="24"/>
        </w:rPr>
        <w:tab/>
      </w:r>
      <w:r w:rsidRPr="00A2306E">
        <w:rPr>
          <w:rFonts w:cs="Times New Roman"/>
          <w:szCs w:val="24"/>
        </w:rPr>
        <w:tab/>
        <w:t>Confidential Security Information (CSI) as defined by 35 P.S. § 2141 et seq. should not be transmitted by email or other electronic means.  The parties are to avoid introducing CSI into the record and should develop alternative means, such as joint stipulations or redaction when proposing testimony or exhibits.  If there is no other alternative to establish a material fact other than by CSI, the parties are to contact the presiding ALJ immediately and in advance of the evidentiary hearing.</w:t>
      </w:r>
    </w:p>
    <w:p w14:paraId="26DC7D8B" w14:textId="77777777" w:rsidR="00A2306E" w:rsidRPr="00A2306E" w:rsidRDefault="00A2306E" w:rsidP="00B04270">
      <w:pPr>
        <w:spacing w:after="0"/>
        <w:rPr>
          <w:rFonts w:cs="Times New Roman"/>
          <w:szCs w:val="24"/>
        </w:rPr>
      </w:pPr>
    </w:p>
    <w:p w14:paraId="73C911CA" w14:textId="77777777" w:rsidR="00A2306E" w:rsidRPr="00B43F7F" w:rsidRDefault="00A2306E" w:rsidP="00B04270">
      <w:pPr>
        <w:spacing w:after="0"/>
        <w:jc w:val="center"/>
        <w:rPr>
          <w:rFonts w:cs="Times New Roman"/>
          <w:szCs w:val="24"/>
          <w:u w:val="single"/>
        </w:rPr>
      </w:pPr>
      <w:r w:rsidRPr="00B43F7F">
        <w:rPr>
          <w:rFonts w:cs="Times New Roman"/>
          <w:szCs w:val="24"/>
          <w:u w:val="single"/>
        </w:rPr>
        <w:t>Settlement and Stipulations</w:t>
      </w:r>
    </w:p>
    <w:p w14:paraId="03BC597D" w14:textId="77777777" w:rsidR="00A2306E" w:rsidRPr="00A2306E" w:rsidRDefault="00A2306E" w:rsidP="00B04270">
      <w:pPr>
        <w:spacing w:after="0"/>
        <w:rPr>
          <w:rFonts w:cs="Times New Roman"/>
          <w:szCs w:val="24"/>
        </w:rPr>
      </w:pPr>
    </w:p>
    <w:p w14:paraId="6BC1C17C" w14:textId="5572F74B" w:rsidR="00A2306E" w:rsidRPr="00A2306E" w:rsidRDefault="00A2306E" w:rsidP="00B04270">
      <w:pPr>
        <w:spacing w:after="0"/>
        <w:rPr>
          <w:rFonts w:cs="Times New Roman"/>
          <w:szCs w:val="24"/>
        </w:rPr>
      </w:pPr>
      <w:r w:rsidRPr="00A2306E">
        <w:rPr>
          <w:rFonts w:cs="Times New Roman"/>
          <w:szCs w:val="24"/>
        </w:rPr>
        <w:tab/>
      </w:r>
      <w:r w:rsidRPr="00A2306E">
        <w:rPr>
          <w:rFonts w:cs="Times New Roman"/>
          <w:szCs w:val="24"/>
        </w:rPr>
        <w:tab/>
        <w:t xml:space="preserve">The parties are reminded it is the Commission’s policy to encourage settlements.  52 Pa.Code § 5.231(a).  The parties are strongly urged to seriously explore this possibility.  </w:t>
      </w:r>
    </w:p>
    <w:p w14:paraId="0328B147" w14:textId="77777777" w:rsidR="00A2306E" w:rsidRPr="00A2306E" w:rsidRDefault="00A2306E" w:rsidP="00B04270">
      <w:pPr>
        <w:spacing w:after="0"/>
        <w:rPr>
          <w:rFonts w:cs="Times New Roman"/>
          <w:szCs w:val="24"/>
        </w:rPr>
      </w:pPr>
    </w:p>
    <w:p w14:paraId="4B25B4C1" w14:textId="77777777" w:rsidR="00A2306E" w:rsidRPr="00A2306E" w:rsidRDefault="00A2306E" w:rsidP="00B04270">
      <w:pPr>
        <w:spacing w:after="0"/>
        <w:rPr>
          <w:rFonts w:cs="Times New Roman"/>
          <w:szCs w:val="24"/>
        </w:rPr>
      </w:pPr>
      <w:r w:rsidRPr="00A2306E">
        <w:rPr>
          <w:rFonts w:cs="Times New Roman"/>
          <w:szCs w:val="24"/>
        </w:rPr>
        <w:tab/>
      </w:r>
      <w:r w:rsidRPr="00A2306E">
        <w:rPr>
          <w:rFonts w:cs="Times New Roman"/>
          <w:szCs w:val="24"/>
        </w:rPr>
        <w:tab/>
        <w:t>If settlement is not feasible, the parties are encouraged to stipulate to any matters they reasonably can to expedite this proceeding, lessen the burden of time and expenses in litigation on all parties and conserve precious administrative hearing resources.  52 Pa.Code §§ 5.232 and 5.234.  All stipulations entered into by the parties must be reduced to writing, signed by the parties to be bound thereby, and moved into the record during the hearings in this case.  An exception to this requirement may occur when circumstances of time and expediency warrant.  If so, an oral presentation of a stipulation is permissible, if it is followed by a reduction to writing as herein directed.</w:t>
      </w:r>
    </w:p>
    <w:p w14:paraId="0094204B" w14:textId="77777777" w:rsidR="00A2306E" w:rsidRPr="00A2306E" w:rsidRDefault="00A2306E" w:rsidP="00B04270">
      <w:pPr>
        <w:spacing w:after="0"/>
        <w:rPr>
          <w:rFonts w:cs="Times New Roman"/>
          <w:szCs w:val="24"/>
        </w:rPr>
      </w:pPr>
    </w:p>
    <w:p w14:paraId="4DA78EFF" w14:textId="77777777" w:rsidR="00A2306E" w:rsidRPr="00B43F7F" w:rsidRDefault="00A2306E" w:rsidP="00B04270">
      <w:pPr>
        <w:spacing w:after="0"/>
        <w:jc w:val="center"/>
        <w:rPr>
          <w:rFonts w:cs="Times New Roman"/>
          <w:szCs w:val="24"/>
          <w:u w:val="single"/>
        </w:rPr>
      </w:pPr>
      <w:r w:rsidRPr="00B43F7F">
        <w:rPr>
          <w:rFonts w:cs="Times New Roman"/>
          <w:szCs w:val="24"/>
          <w:u w:val="single"/>
        </w:rPr>
        <w:t>Cross-Examination</w:t>
      </w:r>
    </w:p>
    <w:p w14:paraId="3025BDDB" w14:textId="77777777" w:rsidR="00A2306E" w:rsidRPr="00A2306E" w:rsidRDefault="00A2306E" w:rsidP="00B04270">
      <w:pPr>
        <w:spacing w:after="0"/>
        <w:rPr>
          <w:rFonts w:cs="Times New Roman"/>
          <w:szCs w:val="24"/>
        </w:rPr>
      </w:pPr>
    </w:p>
    <w:p w14:paraId="6DDB2EC3" w14:textId="2F9C605D" w:rsidR="00A2306E" w:rsidRPr="00A2306E" w:rsidRDefault="00A2306E" w:rsidP="00B04270">
      <w:pPr>
        <w:spacing w:after="0"/>
        <w:rPr>
          <w:rFonts w:cs="Times New Roman"/>
          <w:szCs w:val="24"/>
        </w:rPr>
      </w:pPr>
      <w:r w:rsidRPr="00A2306E">
        <w:rPr>
          <w:rFonts w:cs="Times New Roman"/>
          <w:szCs w:val="24"/>
        </w:rPr>
        <w:tab/>
      </w:r>
      <w:r w:rsidRPr="00A2306E">
        <w:rPr>
          <w:rFonts w:cs="Times New Roman"/>
          <w:szCs w:val="24"/>
        </w:rPr>
        <w:tab/>
        <w:t>Friendly cross-examination or cumulative cross-examination during hearings will not be permitted.  52 Pa.Code §§ 5.76; 5.243.</w:t>
      </w:r>
    </w:p>
    <w:p w14:paraId="0C9DD485" w14:textId="77777777" w:rsidR="00A2306E" w:rsidRPr="00B43F7F" w:rsidRDefault="00A2306E" w:rsidP="00B04270">
      <w:pPr>
        <w:spacing w:after="0"/>
        <w:jc w:val="center"/>
        <w:rPr>
          <w:rFonts w:cs="Times New Roman"/>
          <w:szCs w:val="24"/>
          <w:u w:val="single"/>
        </w:rPr>
      </w:pPr>
      <w:r w:rsidRPr="00B43F7F">
        <w:rPr>
          <w:rFonts w:cs="Times New Roman"/>
          <w:szCs w:val="24"/>
          <w:u w:val="single"/>
        </w:rPr>
        <w:lastRenderedPageBreak/>
        <w:t>Briefs and Reply Briefs</w:t>
      </w:r>
    </w:p>
    <w:p w14:paraId="1DEEB887" w14:textId="77777777" w:rsidR="00A2306E" w:rsidRPr="00A2306E" w:rsidRDefault="00A2306E" w:rsidP="00B04270">
      <w:pPr>
        <w:spacing w:after="0"/>
        <w:rPr>
          <w:rFonts w:cs="Times New Roman"/>
          <w:szCs w:val="24"/>
        </w:rPr>
      </w:pPr>
    </w:p>
    <w:p w14:paraId="40346342" w14:textId="624AD5DB" w:rsidR="00A2306E" w:rsidRPr="00A2306E" w:rsidRDefault="00A2306E" w:rsidP="00B04270">
      <w:pPr>
        <w:spacing w:after="0"/>
        <w:rPr>
          <w:rFonts w:cs="Times New Roman"/>
          <w:szCs w:val="24"/>
        </w:rPr>
      </w:pPr>
      <w:r w:rsidRPr="00A2306E">
        <w:rPr>
          <w:rFonts w:cs="Times New Roman"/>
          <w:szCs w:val="24"/>
        </w:rPr>
        <w:tab/>
      </w:r>
      <w:r w:rsidRPr="00A2306E">
        <w:rPr>
          <w:rFonts w:cs="Times New Roman"/>
          <w:szCs w:val="24"/>
        </w:rPr>
        <w:tab/>
        <w:t>The parties must comply with 52 Pa.Code §§ 5.501, et seq., regarding the preparation and filing of briefs.  Briefs must include proposed conclusions of law and proposed ordering paragraphs.  Page limitations on briefs</w:t>
      </w:r>
      <w:r w:rsidR="001D6209">
        <w:rPr>
          <w:rFonts w:cs="Times New Roman"/>
          <w:szCs w:val="24"/>
        </w:rPr>
        <w:t>, if deemed appropriate,</w:t>
      </w:r>
      <w:r w:rsidRPr="00A2306E">
        <w:rPr>
          <w:rFonts w:cs="Times New Roman"/>
          <w:szCs w:val="24"/>
        </w:rPr>
        <w:t xml:space="preserve"> will be discussed on or before the last day of hearing.  The parties shall submit to the presiding ALJ one copy</w:t>
      </w:r>
      <w:r w:rsidR="005723E2">
        <w:rPr>
          <w:rFonts w:cs="Times New Roman"/>
          <w:szCs w:val="24"/>
        </w:rPr>
        <w:t xml:space="preserve"> of all briefs</w:t>
      </w:r>
      <w:r w:rsidRPr="00A2306E">
        <w:rPr>
          <w:rFonts w:cs="Times New Roman"/>
          <w:szCs w:val="24"/>
        </w:rPr>
        <w:t xml:space="preserve"> by email.  The electronic version of a brief must be prepared in Microsoft Office Word format.  </w:t>
      </w:r>
      <w:r w:rsidR="00B43F7F">
        <w:rPr>
          <w:rFonts w:cs="Times New Roman"/>
          <w:szCs w:val="24"/>
        </w:rPr>
        <w:t>More detailed briefing instructions will be provided at the close of the</w:t>
      </w:r>
      <w:r w:rsidR="0079246E">
        <w:rPr>
          <w:rFonts w:cs="Times New Roman"/>
          <w:szCs w:val="24"/>
        </w:rPr>
        <w:t xml:space="preserve"> </w:t>
      </w:r>
      <w:r w:rsidR="00B43F7F">
        <w:rPr>
          <w:rFonts w:cs="Times New Roman"/>
          <w:szCs w:val="24"/>
        </w:rPr>
        <w:t>hearing.</w:t>
      </w:r>
    </w:p>
    <w:p w14:paraId="1790CFB0" w14:textId="77777777" w:rsidR="00A2306E" w:rsidRPr="00A2306E" w:rsidRDefault="00A2306E" w:rsidP="00B04270">
      <w:pPr>
        <w:spacing w:after="0"/>
        <w:rPr>
          <w:rFonts w:cs="Times New Roman"/>
          <w:szCs w:val="24"/>
        </w:rPr>
      </w:pPr>
    </w:p>
    <w:p w14:paraId="297C4AD6" w14:textId="77777777" w:rsidR="00A2306E" w:rsidRPr="00B43F7F" w:rsidRDefault="00A2306E" w:rsidP="00B04270">
      <w:pPr>
        <w:spacing w:after="0"/>
        <w:jc w:val="center"/>
        <w:rPr>
          <w:rFonts w:cs="Times New Roman"/>
          <w:szCs w:val="24"/>
          <w:u w:val="single"/>
        </w:rPr>
      </w:pPr>
      <w:r w:rsidRPr="00B43F7F">
        <w:rPr>
          <w:rFonts w:cs="Times New Roman"/>
          <w:szCs w:val="24"/>
          <w:u w:val="single"/>
        </w:rPr>
        <w:t>Modification</w:t>
      </w:r>
    </w:p>
    <w:p w14:paraId="204FBA8D" w14:textId="77777777" w:rsidR="00A2306E" w:rsidRPr="00A2306E" w:rsidRDefault="00A2306E" w:rsidP="00B04270">
      <w:pPr>
        <w:spacing w:after="0"/>
        <w:rPr>
          <w:rFonts w:cs="Times New Roman"/>
          <w:szCs w:val="24"/>
        </w:rPr>
      </w:pPr>
    </w:p>
    <w:p w14:paraId="2DB47FA7" w14:textId="77777777" w:rsidR="00A2306E" w:rsidRPr="00A2306E" w:rsidRDefault="00A2306E" w:rsidP="00B04270">
      <w:pPr>
        <w:spacing w:after="0"/>
        <w:rPr>
          <w:rFonts w:cs="Times New Roman"/>
          <w:szCs w:val="24"/>
        </w:rPr>
      </w:pPr>
      <w:r w:rsidRPr="00A2306E">
        <w:rPr>
          <w:rFonts w:cs="Times New Roman"/>
          <w:szCs w:val="24"/>
        </w:rPr>
        <w:tab/>
      </w:r>
      <w:r w:rsidRPr="00A2306E">
        <w:rPr>
          <w:rFonts w:cs="Times New Roman"/>
          <w:szCs w:val="24"/>
        </w:rPr>
        <w:tab/>
        <w:t>Any of the provisions of this Prehearing Order may be modified upon motion and good cause shown by any party in interest.</w:t>
      </w:r>
    </w:p>
    <w:p w14:paraId="45528DDA" w14:textId="775E4157" w:rsidR="00A2306E" w:rsidRDefault="00A2306E" w:rsidP="00B04270">
      <w:pPr>
        <w:spacing w:after="0"/>
        <w:rPr>
          <w:rFonts w:cs="Times New Roman"/>
          <w:szCs w:val="24"/>
        </w:rPr>
      </w:pPr>
    </w:p>
    <w:p w14:paraId="75FD99FE" w14:textId="77777777" w:rsidR="0037356C" w:rsidRDefault="0037356C" w:rsidP="00B04270">
      <w:pPr>
        <w:spacing w:after="0"/>
        <w:rPr>
          <w:rFonts w:cs="Times New Roman"/>
          <w:szCs w:val="24"/>
        </w:rPr>
      </w:pPr>
    </w:p>
    <w:p w14:paraId="655E364E" w14:textId="677B1194" w:rsidR="0037356C" w:rsidRPr="00143145" w:rsidRDefault="0037356C" w:rsidP="0037356C">
      <w:pPr>
        <w:tabs>
          <w:tab w:val="left" w:pos="360"/>
        </w:tabs>
        <w:spacing w:after="0" w:line="240" w:lineRule="auto"/>
        <w:jc w:val="both"/>
        <w:rPr>
          <w:rFonts w:eastAsia="SimSun" w:cs="Times New Roman"/>
          <w:szCs w:val="20"/>
        </w:rPr>
      </w:pPr>
      <w:r>
        <w:rPr>
          <w:rFonts w:eastAsia="Times New Roman" w:cs="Times New Roman"/>
          <w:szCs w:val="24"/>
        </w:rPr>
        <w:t xml:space="preserve">Date:  </w:t>
      </w:r>
      <w:r>
        <w:rPr>
          <w:rFonts w:eastAsia="Times New Roman" w:cs="Times New Roman"/>
          <w:szCs w:val="24"/>
          <w:u w:val="single"/>
        </w:rPr>
        <w:t>April 2</w:t>
      </w:r>
      <w:r>
        <w:rPr>
          <w:rFonts w:eastAsia="Times New Roman" w:cs="Times New Roman"/>
          <w:szCs w:val="24"/>
          <w:u w:val="single"/>
        </w:rPr>
        <w:t>9</w:t>
      </w:r>
      <w:r w:rsidRPr="00143145">
        <w:rPr>
          <w:rFonts w:eastAsia="Times New Roman" w:cs="Times New Roman"/>
          <w:szCs w:val="24"/>
          <w:u w:val="single"/>
        </w:rPr>
        <w:t>, 202</w:t>
      </w:r>
      <w:r>
        <w:rPr>
          <w:rFonts w:eastAsia="Times New Roman" w:cs="Times New Roman"/>
          <w:szCs w:val="24"/>
          <w:u w:val="single"/>
        </w:rPr>
        <w:t>2</w:t>
      </w:r>
      <w:r w:rsidRPr="00143145">
        <w:rPr>
          <w:rFonts w:eastAsia="Times New Roman" w:cs="Times New Roman"/>
          <w:szCs w:val="24"/>
        </w:rPr>
        <w:tab/>
      </w:r>
      <w:r w:rsidRPr="00143145">
        <w:rPr>
          <w:rFonts w:eastAsia="Times New Roman" w:cs="Times New Roman"/>
          <w:szCs w:val="24"/>
        </w:rPr>
        <w:tab/>
      </w:r>
      <w:r>
        <w:rPr>
          <w:rFonts w:eastAsia="Times New Roman" w:cs="Times New Roman"/>
          <w:szCs w:val="24"/>
        </w:rPr>
        <w:tab/>
      </w:r>
      <w:r>
        <w:rPr>
          <w:rFonts w:eastAsia="Times New Roman" w:cs="Times New Roman"/>
          <w:szCs w:val="24"/>
        </w:rPr>
        <w:tab/>
      </w:r>
      <w:r w:rsidRPr="00143145">
        <w:rPr>
          <w:rFonts w:eastAsia="Times New Roman" w:cs="Times New Roman"/>
          <w:szCs w:val="24"/>
        </w:rPr>
        <w:tab/>
      </w:r>
      <w:r w:rsidRPr="00143145">
        <w:rPr>
          <w:rFonts w:eastAsia="SimSun" w:cs="Times New Roman"/>
          <w:szCs w:val="20"/>
        </w:rPr>
        <w:tab/>
      </w:r>
      <w:r w:rsidRPr="00143145">
        <w:rPr>
          <w:rFonts w:eastAsia="SimSun" w:cs="Times New Roman"/>
          <w:szCs w:val="20"/>
          <w:u w:val="single"/>
        </w:rPr>
        <w:t>_____________/s/__________</w:t>
      </w:r>
    </w:p>
    <w:p w14:paraId="6A56429F" w14:textId="77777777" w:rsidR="0037356C" w:rsidRPr="00143145" w:rsidRDefault="0037356C" w:rsidP="0037356C">
      <w:pPr>
        <w:tabs>
          <w:tab w:val="left" w:pos="360"/>
        </w:tabs>
        <w:spacing w:after="0" w:line="240" w:lineRule="auto"/>
        <w:jc w:val="both"/>
        <w:rPr>
          <w:rFonts w:eastAsia="SimSun" w:cs="Times New Roman"/>
          <w:szCs w:val="20"/>
        </w:rPr>
      </w:pPr>
      <w:r w:rsidRPr="00143145">
        <w:rPr>
          <w:rFonts w:eastAsia="SimSun" w:cs="Times New Roman"/>
          <w:szCs w:val="20"/>
        </w:rPr>
        <w:tab/>
      </w:r>
      <w:r w:rsidRPr="00143145">
        <w:rPr>
          <w:rFonts w:eastAsia="SimSun" w:cs="Times New Roman"/>
          <w:szCs w:val="20"/>
        </w:rPr>
        <w:tab/>
      </w:r>
      <w:r w:rsidRPr="00143145">
        <w:rPr>
          <w:rFonts w:eastAsia="SimSun" w:cs="Times New Roman"/>
          <w:szCs w:val="20"/>
        </w:rPr>
        <w:tab/>
      </w:r>
      <w:r>
        <w:rPr>
          <w:rFonts w:eastAsia="SimSun" w:cs="Times New Roman"/>
          <w:szCs w:val="20"/>
        </w:rPr>
        <w:tab/>
      </w:r>
      <w:r w:rsidRPr="00143145">
        <w:rPr>
          <w:rFonts w:eastAsia="SimSun" w:cs="Times New Roman"/>
          <w:szCs w:val="20"/>
        </w:rPr>
        <w:tab/>
      </w:r>
      <w:r w:rsidRPr="00143145">
        <w:rPr>
          <w:rFonts w:eastAsia="SimSun" w:cs="Times New Roman"/>
          <w:szCs w:val="20"/>
        </w:rPr>
        <w:tab/>
      </w:r>
      <w:r w:rsidRPr="00143145">
        <w:rPr>
          <w:rFonts w:eastAsia="SimSun" w:cs="Times New Roman"/>
          <w:szCs w:val="20"/>
        </w:rPr>
        <w:tab/>
      </w:r>
      <w:r w:rsidRPr="00143145">
        <w:rPr>
          <w:rFonts w:eastAsia="SimSun" w:cs="Times New Roman"/>
          <w:szCs w:val="20"/>
        </w:rPr>
        <w:tab/>
      </w:r>
      <w:r w:rsidRPr="00143145">
        <w:rPr>
          <w:rFonts w:eastAsia="SimSun" w:cs="Times New Roman"/>
          <w:szCs w:val="20"/>
        </w:rPr>
        <w:tab/>
        <w:t>Mary D. Long</w:t>
      </w:r>
    </w:p>
    <w:p w14:paraId="0A46CA5F" w14:textId="77777777" w:rsidR="0037356C" w:rsidRDefault="0037356C" w:rsidP="0037356C">
      <w:pPr>
        <w:spacing w:after="0"/>
        <w:rPr>
          <w:rFonts w:eastAsia="SimSun" w:cs="Times New Roman"/>
          <w:szCs w:val="20"/>
        </w:rPr>
      </w:pPr>
      <w:r w:rsidRPr="00143145">
        <w:rPr>
          <w:rFonts w:eastAsia="SimSun" w:cs="Times New Roman"/>
          <w:szCs w:val="20"/>
        </w:rPr>
        <w:tab/>
      </w:r>
      <w:r>
        <w:rPr>
          <w:rFonts w:eastAsia="SimSun" w:cs="Times New Roman"/>
          <w:szCs w:val="20"/>
        </w:rPr>
        <w:tab/>
      </w:r>
      <w:r w:rsidRPr="00143145">
        <w:rPr>
          <w:rFonts w:eastAsia="SimSun" w:cs="Times New Roman"/>
          <w:szCs w:val="20"/>
        </w:rPr>
        <w:tab/>
      </w:r>
      <w:r w:rsidRPr="00143145">
        <w:rPr>
          <w:rFonts w:eastAsia="SimSun" w:cs="Times New Roman"/>
          <w:szCs w:val="20"/>
        </w:rPr>
        <w:tab/>
      </w:r>
      <w:r w:rsidRPr="00143145">
        <w:rPr>
          <w:rFonts w:eastAsia="SimSun" w:cs="Times New Roman"/>
          <w:szCs w:val="20"/>
        </w:rPr>
        <w:tab/>
      </w:r>
      <w:r w:rsidRPr="00143145">
        <w:rPr>
          <w:rFonts w:eastAsia="SimSun" w:cs="Times New Roman"/>
          <w:szCs w:val="20"/>
        </w:rPr>
        <w:tab/>
      </w:r>
      <w:r w:rsidRPr="00143145">
        <w:rPr>
          <w:rFonts w:eastAsia="SimSun" w:cs="Times New Roman"/>
          <w:szCs w:val="20"/>
        </w:rPr>
        <w:tab/>
      </w:r>
      <w:r w:rsidRPr="00143145">
        <w:rPr>
          <w:rFonts w:eastAsia="SimSun" w:cs="Times New Roman"/>
          <w:szCs w:val="20"/>
        </w:rPr>
        <w:tab/>
        <w:t>Administrative Law Judge</w:t>
      </w:r>
    </w:p>
    <w:p w14:paraId="082C559A" w14:textId="1D099AFD" w:rsidR="0037356C" w:rsidRDefault="0037356C" w:rsidP="00B04270">
      <w:pPr>
        <w:spacing w:after="0"/>
        <w:rPr>
          <w:rFonts w:cs="Times New Roman"/>
          <w:szCs w:val="24"/>
        </w:rPr>
      </w:pPr>
    </w:p>
    <w:p w14:paraId="765F05D7" w14:textId="77777777" w:rsidR="0037356C" w:rsidRDefault="0037356C" w:rsidP="00B04270">
      <w:pPr>
        <w:spacing w:after="0"/>
        <w:rPr>
          <w:rFonts w:cs="Times New Roman"/>
          <w:szCs w:val="24"/>
        </w:rPr>
        <w:sectPr w:rsidR="0037356C" w:rsidSect="00E00BDB">
          <w:footerReference w:type="default" r:id="rId8"/>
          <w:pgSz w:w="12240" w:h="15840"/>
          <w:pgMar w:top="1440" w:right="1440" w:bottom="1440" w:left="1440" w:header="720" w:footer="720" w:gutter="0"/>
          <w:cols w:space="720"/>
          <w:titlePg/>
          <w:docGrid w:linePitch="360"/>
        </w:sectPr>
      </w:pPr>
    </w:p>
    <w:p w14:paraId="6D1CE951" w14:textId="77777777" w:rsidR="0037356C" w:rsidRPr="0037356C" w:rsidRDefault="0037356C" w:rsidP="0037356C">
      <w:pPr>
        <w:autoSpaceDE w:val="0"/>
        <w:autoSpaceDN w:val="0"/>
        <w:adjustRightInd w:val="0"/>
        <w:spacing w:after="0" w:line="240" w:lineRule="auto"/>
        <w:rPr>
          <w:rFonts w:ascii="Microsoft Sans Serif" w:eastAsia="Times New Roman" w:hAnsi="Microsoft Sans Serif" w:cs="Microsoft Sans Serif"/>
          <w:b/>
          <w:bCs/>
          <w:szCs w:val="24"/>
          <w:u w:val="single"/>
        </w:rPr>
      </w:pPr>
      <w:r w:rsidRPr="0037356C">
        <w:rPr>
          <w:rFonts w:ascii="Microsoft Sans Serif" w:eastAsia="Microsoft Sans Serif" w:hAnsi="Microsoft Sans Serif" w:cs="Microsoft Sans Serif"/>
          <w:b/>
          <w:szCs w:val="20"/>
          <w:u w:val="single"/>
        </w:rPr>
        <w:lastRenderedPageBreak/>
        <w:t xml:space="preserve">A-2022-3030969 - </w:t>
      </w:r>
      <w:r w:rsidRPr="0037356C">
        <w:rPr>
          <w:rFonts w:ascii="Microsoft Sans Serif" w:eastAsia="Times New Roman" w:hAnsi="Microsoft Sans Serif" w:cs="Microsoft Sans Serif"/>
          <w:b/>
          <w:bCs/>
          <w:szCs w:val="24"/>
          <w:u w:val="single"/>
        </w:rPr>
        <w:t>APPLICATION OF PPL ELECTRIC UTILITIES CORPORATION, FILED PURSUANT TO 52 PA. CODE CHAPTER 57 SUBCHAPTER G, FOR APPROVAL TO REBUILD THE EXISTING SUMMIT-LACKAWANNA #1 AND #2 230 KV TRANSMISSION LINES CONNECTING THE SUMMIT 230-69 KV SUBSTATION AND THE LACKAWANNA 500-230-69 KV SUBSTATION IN LACKAWANNA COUNTY, PENNSYLVANIA</w:t>
      </w:r>
    </w:p>
    <w:p w14:paraId="092FBB25" w14:textId="77777777" w:rsidR="0037356C" w:rsidRPr="0037356C" w:rsidRDefault="0037356C" w:rsidP="0037356C">
      <w:pPr>
        <w:autoSpaceDE w:val="0"/>
        <w:autoSpaceDN w:val="0"/>
        <w:adjustRightInd w:val="0"/>
        <w:spacing w:after="0" w:line="240" w:lineRule="auto"/>
        <w:rPr>
          <w:rFonts w:ascii="Microsoft Sans Serif" w:eastAsia="Times New Roman" w:hAnsi="Microsoft Sans Serif" w:cs="Microsoft Sans Serif"/>
          <w:b/>
          <w:bCs/>
          <w:szCs w:val="24"/>
        </w:rPr>
      </w:pPr>
    </w:p>
    <w:p w14:paraId="072B3184" w14:textId="77777777" w:rsidR="0037356C" w:rsidRPr="0037356C" w:rsidRDefault="0037356C" w:rsidP="0037356C">
      <w:pPr>
        <w:autoSpaceDE w:val="0"/>
        <w:autoSpaceDN w:val="0"/>
        <w:adjustRightInd w:val="0"/>
        <w:spacing w:after="0" w:line="240" w:lineRule="auto"/>
        <w:rPr>
          <w:rFonts w:ascii="Microsoft Sans Serif" w:eastAsia="Times New Roman" w:hAnsi="Microsoft Sans Serif" w:cs="Microsoft Sans Serif"/>
          <w:b/>
          <w:bCs/>
          <w:szCs w:val="24"/>
          <w:u w:val="single"/>
        </w:rPr>
      </w:pPr>
      <w:r w:rsidRPr="0037356C">
        <w:rPr>
          <w:rFonts w:ascii="Microsoft Sans Serif" w:eastAsia="Times New Roman" w:hAnsi="Microsoft Sans Serif" w:cs="Microsoft Sans Serif"/>
          <w:b/>
          <w:bCs/>
          <w:szCs w:val="24"/>
          <w:u w:val="single"/>
        </w:rPr>
        <w:t>A-2022-3031013 - APPLICATION OF PPL ELECTRIC UTILITIES CORPORATION UNDER 15 PA.C.S. § 1511(C) FOR A FINDING AND DETERMINATION THAT THE SERVICE TO BE FURNISHED BY THE APPLICANT THROUGH ITS PROPOSED EXERCISE OF THE POWER OF EMINENT DOMAIN TO ACQUIRE A CERTAIN PORTION OF THE LANDS OF AUGUST AND DIANA BAKER IN DICKSON CITY BOROUGH AND SCOTT TOWNSHIP, LACKAWANNA COUNTY, PENNSYLVANIA FOR THE PROPOSED REBUILDING OF THE SUMMIT-LACKAWANNA #1 AND #2 230 KV ASSOCIATED WITH THE PROPOSED SUMMIT-LACKAWANNA PROJECT IS NECESSARY OR PROPER FOR THE SERVICE, ACCOMMODATION, CONVENIENCE, OR SAFETY OF THE PUBLIC</w:t>
      </w:r>
    </w:p>
    <w:p w14:paraId="1F175BD6" w14:textId="77777777" w:rsidR="0037356C" w:rsidRPr="0037356C" w:rsidRDefault="0037356C" w:rsidP="0037356C">
      <w:pPr>
        <w:spacing w:after="0" w:line="240" w:lineRule="auto"/>
        <w:rPr>
          <w:rFonts w:ascii="Microsoft Sans Serif" w:eastAsia="Microsoft Sans Serif" w:hAnsi="Microsoft Sans Serif" w:cs="Microsoft Sans Serif"/>
          <w:szCs w:val="24"/>
        </w:rPr>
        <w:sectPr w:rsidR="0037356C" w:rsidRPr="0037356C" w:rsidSect="0099514E">
          <w:headerReference w:type="default" r:id="rId9"/>
          <w:pgSz w:w="12240" w:h="15840"/>
          <w:pgMar w:top="1440" w:right="1440" w:bottom="1440" w:left="1440" w:header="720" w:footer="720" w:gutter="0"/>
          <w:cols w:space="720"/>
          <w:titlePg/>
          <w:docGrid w:linePitch="360"/>
        </w:sectPr>
      </w:pPr>
    </w:p>
    <w:p w14:paraId="5E2AF423" w14:textId="77777777" w:rsidR="0037356C" w:rsidRPr="0037356C" w:rsidRDefault="0037356C" w:rsidP="0037356C">
      <w:pPr>
        <w:spacing w:after="0" w:line="240" w:lineRule="auto"/>
        <w:rPr>
          <w:rFonts w:ascii="Microsoft Sans Serif" w:eastAsia="Microsoft Sans Serif" w:hAnsi="Microsoft Sans Serif" w:cs="Microsoft Sans Serif"/>
          <w:szCs w:val="24"/>
        </w:rPr>
      </w:pPr>
    </w:p>
    <w:p w14:paraId="30E4C2ED" w14:textId="77777777" w:rsidR="0037356C" w:rsidRPr="0037356C" w:rsidRDefault="0037356C" w:rsidP="0037356C">
      <w:pPr>
        <w:autoSpaceDE w:val="0"/>
        <w:autoSpaceDN w:val="0"/>
        <w:adjustRightInd w:val="0"/>
        <w:spacing w:after="0" w:line="240" w:lineRule="auto"/>
        <w:rPr>
          <w:rFonts w:ascii="Microsoft Sans Serif" w:eastAsia="Microsoft Sans Serif" w:hAnsi="Microsoft Sans Serif" w:cs="Microsoft Sans Serif"/>
          <w:szCs w:val="20"/>
        </w:rPr>
      </w:pPr>
      <w:r w:rsidRPr="0037356C">
        <w:rPr>
          <w:rFonts w:ascii="Microsoft Sans Serif" w:eastAsia="Microsoft Sans Serif" w:hAnsi="Microsoft Sans Serif" w:cs="Microsoft Sans Serif"/>
          <w:szCs w:val="20"/>
        </w:rPr>
        <w:t>GARRETT P LENT ESQUIRE</w:t>
      </w:r>
      <w:r w:rsidRPr="0037356C">
        <w:rPr>
          <w:rFonts w:ascii="Microsoft Sans Serif" w:eastAsia="Microsoft Sans Serif" w:hAnsi="Microsoft Sans Serif" w:cs="Microsoft Sans Serif"/>
          <w:szCs w:val="20"/>
        </w:rPr>
        <w:br/>
        <w:t>DAVID B MACGREGOR ESQUIRE</w:t>
      </w:r>
      <w:r w:rsidRPr="0037356C">
        <w:rPr>
          <w:rFonts w:ascii="Microsoft Sans Serif" w:eastAsia="Microsoft Sans Serif" w:hAnsi="Microsoft Sans Serif" w:cs="Microsoft Sans Serif"/>
          <w:szCs w:val="20"/>
        </w:rPr>
        <w:cr/>
        <w:t>POST AND SCHELL</w:t>
      </w:r>
      <w:r w:rsidRPr="0037356C">
        <w:rPr>
          <w:rFonts w:ascii="Microsoft Sans Serif" w:eastAsia="Microsoft Sans Serif" w:hAnsi="Microsoft Sans Serif" w:cs="Microsoft Sans Serif"/>
          <w:szCs w:val="20"/>
        </w:rPr>
        <w:cr/>
        <w:t>17 NORTH SECOND STREET</w:t>
      </w:r>
      <w:r w:rsidRPr="0037356C">
        <w:rPr>
          <w:rFonts w:ascii="Microsoft Sans Serif" w:eastAsia="Microsoft Sans Serif" w:hAnsi="Microsoft Sans Serif" w:cs="Microsoft Sans Serif"/>
          <w:szCs w:val="20"/>
        </w:rPr>
        <w:cr/>
        <w:t>12TH FLOOR</w:t>
      </w:r>
      <w:r w:rsidRPr="0037356C">
        <w:rPr>
          <w:rFonts w:ascii="Microsoft Sans Serif" w:eastAsia="Microsoft Sans Serif" w:hAnsi="Microsoft Sans Serif" w:cs="Microsoft Sans Serif"/>
          <w:szCs w:val="20"/>
        </w:rPr>
        <w:cr/>
        <w:t>HARRISBURG PA  17101-1601</w:t>
      </w:r>
      <w:r w:rsidRPr="0037356C">
        <w:rPr>
          <w:rFonts w:ascii="Microsoft Sans Serif" w:eastAsia="Microsoft Sans Serif" w:hAnsi="Microsoft Sans Serif" w:cs="Microsoft Sans Serif"/>
          <w:szCs w:val="20"/>
        </w:rPr>
        <w:cr/>
      </w:r>
      <w:r w:rsidRPr="0037356C">
        <w:rPr>
          <w:rFonts w:ascii="Microsoft Sans Serif" w:eastAsia="Microsoft Sans Serif" w:hAnsi="Microsoft Sans Serif" w:cs="Microsoft Sans Serif"/>
          <w:b/>
          <w:bCs/>
          <w:szCs w:val="20"/>
        </w:rPr>
        <w:t>717.612.6032</w:t>
      </w:r>
      <w:r w:rsidRPr="0037356C">
        <w:rPr>
          <w:rFonts w:ascii="Microsoft Sans Serif" w:eastAsia="Microsoft Sans Serif" w:hAnsi="Microsoft Sans Serif" w:cs="Microsoft Sans Serif"/>
          <w:b/>
          <w:bCs/>
          <w:szCs w:val="20"/>
        </w:rPr>
        <w:br/>
        <w:t>215.587.1197</w:t>
      </w:r>
      <w:r w:rsidRPr="0037356C">
        <w:rPr>
          <w:rFonts w:ascii="Microsoft Sans Serif" w:eastAsia="Microsoft Sans Serif" w:hAnsi="Microsoft Sans Serif" w:cs="Microsoft Sans Serif"/>
          <w:szCs w:val="20"/>
        </w:rPr>
        <w:cr/>
        <w:t>glent@postschell.com</w:t>
      </w:r>
      <w:r w:rsidRPr="0037356C">
        <w:rPr>
          <w:rFonts w:ascii="Microsoft Sans Serif" w:eastAsia="Microsoft Sans Serif" w:hAnsi="Microsoft Sans Serif" w:cs="Microsoft Sans Serif"/>
          <w:szCs w:val="20"/>
        </w:rPr>
        <w:br/>
        <w:t>Accepts eService</w:t>
      </w:r>
      <w:r w:rsidRPr="0037356C">
        <w:rPr>
          <w:rFonts w:ascii="Microsoft Sans Serif" w:eastAsia="Microsoft Sans Serif" w:hAnsi="Microsoft Sans Serif" w:cs="Microsoft Sans Serif"/>
          <w:szCs w:val="20"/>
        </w:rPr>
        <w:cr/>
        <w:t>dmacgregor@postschell.com</w:t>
      </w:r>
    </w:p>
    <w:p w14:paraId="5316BA44" w14:textId="77777777" w:rsidR="0037356C" w:rsidRPr="0037356C" w:rsidRDefault="0037356C" w:rsidP="0037356C">
      <w:pPr>
        <w:autoSpaceDE w:val="0"/>
        <w:autoSpaceDN w:val="0"/>
        <w:adjustRightInd w:val="0"/>
        <w:spacing w:after="0" w:line="240" w:lineRule="auto"/>
        <w:rPr>
          <w:rFonts w:ascii="Microsoft Sans Serif" w:eastAsia="Microsoft Sans Serif" w:hAnsi="Microsoft Sans Serif" w:cs="Microsoft Sans Serif"/>
          <w:i/>
          <w:iCs/>
          <w:szCs w:val="20"/>
        </w:rPr>
      </w:pPr>
      <w:r w:rsidRPr="0037356C">
        <w:rPr>
          <w:rFonts w:ascii="Microsoft Sans Serif" w:eastAsia="Microsoft Sans Serif" w:hAnsi="Microsoft Sans Serif" w:cs="Microsoft Sans Serif"/>
          <w:i/>
          <w:iCs/>
          <w:szCs w:val="20"/>
        </w:rPr>
        <w:t>Representing PPL Electric Utilities Corporation</w:t>
      </w:r>
      <w:r w:rsidRPr="0037356C">
        <w:rPr>
          <w:rFonts w:ascii="Microsoft Sans Serif" w:eastAsia="Microsoft Sans Serif" w:hAnsi="Microsoft Sans Serif" w:cs="Microsoft Sans Serif"/>
          <w:i/>
          <w:iCs/>
          <w:szCs w:val="20"/>
        </w:rPr>
        <w:br/>
      </w:r>
    </w:p>
    <w:p w14:paraId="29F49713" w14:textId="77777777" w:rsidR="0037356C" w:rsidRPr="0037356C" w:rsidRDefault="0037356C" w:rsidP="0037356C">
      <w:pPr>
        <w:autoSpaceDE w:val="0"/>
        <w:autoSpaceDN w:val="0"/>
        <w:adjustRightInd w:val="0"/>
        <w:spacing w:after="0" w:line="240" w:lineRule="auto"/>
        <w:rPr>
          <w:rFonts w:ascii="Microsoft Sans Serif" w:eastAsia="Microsoft Sans Serif" w:hAnsi="Microsoft Sans Serif" w:cs="Microsoft Sans Serif"/>
          <w:szCs w:val="20"/>
        </w:rPr>
      </w:pPr>
      <w:r w:rsidRPr="0037356C">
        <w:rPr>
          <w:rFonts w:ascii="Microsoft Sans Serif" w:eastAsia="Microsoft Sans Serif" w:hAnsi="Microsoft Sans Serif" w:cs="Microsoft Sans Serif"/>
          <w:szCs w:val="20"/>
        </w:rPr>
        <w:t>MICHAEL J SHAFER ESQUIRE</w:t>
      </w:r>
      <w:r w:rsidRPr="0037356C">
        <w:rPr>
          <w:rFonts w:ascii="Microsoft Sans Serif" w:eastAsia="Microsoft Sans Serif" w:hAnsi="Microsoft Sans Serif" w:cs="Microsoft Sans Serif"/>
          <w:szCs w:val="20"/>
        </w:rPr>
        <w:cr/>
        <w:t>PPL SERVICES CORP</w:t>
      </w:r>
      <w:r w:rsidRPr="0037356C">
        <w:rPr>
          <w:rFonts w:ascii="Microsoft Sans Serif" w:eastAsia="Microsoft Sans Serif" w:hAnsi="Microsoft Sans Serif" w:cs="Microsoft Sans Serif"/>
          <w:szCs w:val="20"/>
        </w:rPr>
        <w:cr/>
        <w:t>2 NORTH 9th STREET</w:t>
      </w:r>
      <w:r w:rsidRPr="0037356C">
        <w:rPr>
          <w:rFonts w:ascii="Microsoft Sans Serif" w:eastAsia="Microsoft Sans Serif" w:hAnsi="Microsoft Sans Serif" w:cs="Microsoft Sans Serif"/>
          <w:szCs w:val="20"/>
        </w:rPr>
        <w:br/>
        <w:t>GENTW3</w:t>
      </w:r>
      <w:r w:rsidRPr="0037356C">
        <w:rPr>
          <w:rFonts w:ascii="Microsoft Sans Serif" w:eastAsia="Microsoft Sans Serif" w:hAnsi="Microsoft Sans Serif" w:cs="Microsoft Sans Serif"/>
          <w:szCs w:val="20"/>
        </w:rPr>
        <w:cr/>
        <w:t>ALLENTOWN PA  18101</w:t>
      </w:r>
      <w:r w:rsidRPr="0037356C">
        <w:rPr>
          <w:rFonts w:ascii="Microsoft Sans Serif" w:eastAsia="Microsoft Sans Serif" w:hAnsi="Microsoft Sans Serif" w:cs="Microsoft Sans Serif"/>
          <w:szCs w:val="20"/>
        </w:rPr>
        <w:cr/>
      </w:r>
      <w:r w:rsidRPr="0037356C">
        <w:rPr>
          <w:rFonts w:ascii="Microsoft Sans Serif" w:eastAsia="Microsoft Sans Serif" w:hAnsi="Microsoft Sans Serif" w:cs="Microsoft Sans Serif"/>
          <w:b/>
          <w:bCs/>
          <w:szCs w:val="20"/>
        </w:rPr>
        <w:t>610.774.2599</w:t>
      </w:r>
      <w:r w:rsidRPr="0037356C">
        <w:rPr>
          <w:rFonts w:ascii="Microsoft Sans Serif" w:eastAsia="Microsoft Sans Serif" w:hAnsi="Microsoft Sans Serif" w:cs="Microsoft Sans Serif"/>
          <w:szCs w:val="20"/>
        </w:rPr>
        <w:cr/>
        <w:t>mjshafer@pplweb.com</w:t>
      </w:r>
      <w:r w:rsidRPr="0037356C">
        <w:rPr>
          <w:rFonts w:ascii="Microsoft Sans Serif" w:eastAsia="Microsoft Sans Serif" w:hAnsi="Microsoft Sans Serif" w:cs="Microsoft Sans Serif"/>
          <w:szCs w:val="20"/>
        </w:rPr>
        <w:cr/>
        <w:t>Accepts eService</w:t>
      </w:r>
      <w:r w:rsidRPr="0037356C">
        <w:rPr>
          <w:rFonts w:ascii="Microsoft Sans Serif" w:eastAsia="Microsoft Sans Serif" w:hAnsi="Microsoft Sans Serif" w:cs="Microsoft Sans Serif"/>
          <w:szCs w:val="20"/>
        </w:rPr>
        <w:br w:type="column"/>
      </w:r>
    </w:p>
    <w:p w14:paraId="27547B9C" w14:textId="77777777" w:rsidR="0037356C" w:rsidRPr="0037356C" w:rsidRDefault="0037356C" w:rsidP="0037356C">
      <w:pPr>
        <w:autoSpaceDE w:val="0"/>
        <w:autoSpaceDN w:val="0"/>
        <w:adjustRightInd w:val="0"/>
        <w:spacing w:after="0" w:line="240" w:lineRule="auto"/>
        <w:rPr>
          <w:rFonts w:ascii="Microsoft Sans Serif" w:eastAsia="Microsoft Sans Serif" w:hAnsi="Microsoft Sans Serif" w:cs="Microsoft Sans Serif"/>
        </w:rPr>
      </w:pPr>
      <w:r w:rsidRPr="0037356C">
        <w:rPr>
          <w:rFonts w:ascii="Microsoft Sans Serif" w:eastAsia="Microsoft Sans Serif" w:hAnsi="Microsoft Sans Serif" w:cs="Microsoft Sans Serif"/>
        </w:rPr>
        <w:t>RICHARD M WILLIAMS ESQUIRE</w:t>
      </w:r>
    </w:p>
    <w:p w14:paraId="6F16E2FD" w14:textId="77777777" w:rsidR="0037356C" w:rsidRPr="0037356C" w:rsidRDefault="0037356C" w:rsidP="0037356C">
      <w:pPr>
        <w:autoSpaceDE w:val="0"/>
        <w:autoSpaceDN w:val="0"/>
        <w:adjustRightInd w:val="0"/>
        <w:spacing w:after="0" w:line="240" w:lineRule="auto"/>
        <w:rPr>
          <w:rFonts w:ascii="Microsoft Sans Serif" w:eastAsia="Microsoft Sans Serif" w:hAnsi="Microsoft Sans Serif" w:cs="Microsoft Sans Serif"/>
        </w:rPr>
      </w:pPr>
      <w:r w:rsidRPr="0037356C">
        <w:rPr>
          <w:rFonts w:ascii="Microsoft Sans Serif" w:eastAsia="Microsoft Sans Serif" w:hAnsi="Microsoft Sans Serif" w:cs="Microsoft Sans Serif"/>
        </w:rPr>
        <w:t>600 THIRD AVENUE</w:t>
      </w:r>
    </w:p>
    <w:p w14:paraId="5C0F0383" w14:textId="77777777" w:rsidR="0037356C" w:rsidRPr="0037356C" w:rsidRDefault="0037356C" w:rsidP="0037356C">
      <w:pPr>
        <w:autoSpaceDE w:val="0"/>
        <w:autoSpaceDN w:val="0"/>
        <w:adjustRightInd w:val="0"/>
        <w:spacing w:after="0" w:line="240" w:lineRule="auto"/>
        <w:rPr>
          <w:rFonts w:ascii="Microsoft Sans Serif" w:eastAsia="Microsoft Sans Serif" w:hAnsi="Microsoft Sans Serif" w:cs="Microsoft Sans Serif"/>
        </w:rPr>
      </w:pPr>
      <w:r w:rsidRPr="0037356C">
        <w:rPr>
          <w:rFonts w:ascii="Microsoft Sans Serif" w:eastAsia="Microsoft Sans Serif" w:hAnsi="Microsoft Sans Serif" w:cs="Microsoft Sans Serif"/>
        </w:rPr>
        <w:t>KINGSTON, PA 18704</w:t>
      </w:r>
    </w:p>
    <w:p w14:paraId="47069F51" w14:textId="77777777" w:rsidR="0037356C" w:rsidRPr="0037356C" w:rsidRDefault="0037356C" w:rsidP="0037356C">
      <w:pPr>
        <w:autoSpaceDE w:val="0"/>
        <w:autoSpaceDN w:val="0"/>
        <w:adjustRightInd w:val="0"/>
        <w:spacing w:after="0" w:line="240" w:lineRule="auto"/>
        <w:rPr>
          <w:rFonts w:ascii="Microsoft Sans Serif" w:eastAsia="Microsoft Sans Serif" w:hAnsi="Microsoft Sans Serif" w:cs="Microsoft Sans Serif"/>
          <w:b/>
          <w:bCs/>
        </w:rPr>
      </w:pPr>
      <w:r w:rsidRPr="0037356C">
        <w:rPr>
          <w:rFonts w:ascii="Microsoft Sans Serif" w:eastAsia="Microsoft Sans Serif" w:hAnsi="Microsoft Sans Serif" w:cs="Microsoft Sans Serif"/>
          <w:b/>
          <w:bCs/>
        </w:rPr>
        <w:t>570.287.3000</w:t>
      </w:r>
    </w:p>
    <w:p w14:paraId="641AC163" w14:textId="77777777" w:rsidR="0037356C" w:rsidRPr="0037356C" w:rsidRDefault="0037356C" w:rsidP="0037356C">
      <w:pPr>
        <w:autoSpaceDE w:val="0"/>
        <w:autoSpaceDN w:val="0"/>
        <w:adjustRightInd w:val="0"/>
        <w:spacing w:after="0" w:line="240" w:lineRule="auto"/>
        <w:rPr>
          <w:rFonts w:ascii="Microsoft Sans Serif" w:eastAsia="Microsoft Sans Serif" w:hAnsi="Microsoft Sans Serif" w:cs="Microsoft Sans Serif"/>
        </w:rPr>
      </w:pPr>
      <w:hyperlink r:id="rId10" w:history="1">
        <w:r w:rsidRPr="0037356C">
          <w:rPr>
            <w:rFonts w:ascii="Microsoft Sans Serif" w:eastAsia="Microsoft Sans Serif" w:hAnsi="Microsoft Sans Serif" w:cs="Microsoft Sans Serif"/>
            <w:color w:val="0563C1"/>
            <w:u w:val="single"/>
          </w:rPr>
          <w:t>rwilliams@hkqlaw.com</w:t>
        </w:r>
      </w:hyperlink>
    </w:p>
    <w:p w14:paraId="7179E06F" w14:textId="77777777" w:rsidR="0037356C" w:rsidRPr="0037356C" w:rsidRDefault="0037356C" w:rsidP="0037356C">
      <w:pPr>
        <w:autoSpaceDE w:val="0"/>
        <w:autoSpaceDN w:val="0"/>
        <w:adjustRightInd w:val="0"/>
        <w:spacing w:after="0" w:line="240" w:lineRule="auto"/>
        <w:rPr>
          <w:rFonts w:ascii="Microsoft Sans Serif" w:eastAsia="Microsoft Sans Serif" w:hAnsi="Microsoft Sans Serif" w:cs="Microsoft Sans Serif"/>
          <w:i/>
          <w:iCs/>
        </w:rPr>
      </w:pPr>
      <w:r w:rsidRPr="0037356C">
        <w:rPr>
          <w:rFonts w:ascii="Microsoft Sans Serif" w:eastAsia="Microsoft Sans Serif" w:hAnsi="Microsoft Sans Serif" w:cs="Microsoft Sans Serif"/>
          <w:i/>
          <w:iCs/>
        </w:rPr>
        <w:t xml:space="preserve">Representing Protestants August and </w:t>
      </w:r>
    </w:p>
    <w:p w14:paraId="6BA3EA9F" w14:textId="77777777" w:rsidR="0037356C" w:rsidRPr="0037356C" w:rsidRDefault="0037356C" w:rsidP="0037356C">
      <w:pPr>
        <w:autoSpaceDE w:val="0"/>
        <w:autoSpaceDN w:val="0"/>
        <w:adjustRightInd w:val="0"/>
        <w:spacing w:after="0" w:line="240" w:lineRule="auto"/>
        <w:rPr>
          <w:rFonts w:ascii="Microsoft Sans Serif" w:eastAsia="Microsoft Sans Serif" w:hAnsi="Microsoft Sans Serif" w:cs="Microsoft Sans Serif"/>
          <w:i/>
          <w:iCs/>
        </w:rPr>
      </w:pPr>
      <w:r w:rsidRPr="0037356C">
        <w:rPr>
          <w:rFonts w:ascii="Microsoft Sans Serif" w:eastAsia="Microsoft Sans Serif" w:hAnsi="Microsoft Sans Serif" w:cs="Microsoft Sans Serif"/>
          <w:i/>
          <w:iCs/>
        </w:rPr>
        <w:t>Diana Baker</w:t>
      </w:r>
    </w:p>
    <w:p w14:paraId="0A6CCFF9" w14:textId="77777777" w:rsidR="0037356C" w:rsidRPr="0037356C" w:rsidRDefault="0037356C" w:rsidP="0037356C">
      <w:pPr>
        <w:autoSpaceDE w:val="0"/>
        <w:autoSpaceDN w:val="0"/>
        <w:adjustRightInd w:val="0"/>
        <w:spacing w:after="0" w:line="240" w:lineRule="auto"/>
        <w:rPr>
          <w:rFonts w:ascii="Microsoft Sans Serif" w:eastAsia="Microsoft Sans Serif" w:hAnsi="Microsoft Sans Serif" w:cs="Microsoft Sans Serif"/>
          <w:i/>
          <w:iCs/>
        </w:rPr>
      </w:pPr>
    </w:p>
    <w:p w14:paraId="0B7340D4" w14:textId="77777777" w:rsidR="0037356C" w:rsidRPr="0037356C" w:rsidRDefault="0037356C" w:rsidP="0037356C">
      <w:pPr>
        <w:autoSpaceDE w:val="0"/>
        <w:autoSpaceDN w:val="0"/>
        <w:adjustRightInd w:val="0"/>
        <w:spacing w:after="0" w:line="240" w:lineRule="auto"/>
        <w:rPr>
          <w:rFonts w:ascii="Microsoft Sans Serif" w:eastAsia="Microsoft Sans Serif" w:hAnsi="Microsoft Sans Serif" w:cs="Microsoft Sans Serif"/>
        </w:rPr>
      </w:pPr>
      <w:r w:rsidRPr="0037356C">
        <w:rPr>
          <w:rFonts w:ascii="Microsoft Sans Serif" w:eastAsia="Microsoft Sans Serif" w:hAnsi="Microsoft Sans Serif" w:cs="Microsoft Sans Serif"/>
        </w:rPr>
        <w:t>AUGUST W. AND DIANA M. BAKER</w:t>
      </w:r>
    </w:p>
    <w:p w14:paraId="5F8AAF6C" w14:textId="77777777" w:rsidR="0037356C" w:rsidRPr="0037356C" w:rsidRDefault="0037356C" w:rsidP="0037356C">
      <w:pPr>
        <w:autoSpaceDE w:val="0"/>
        <w:autoSpaceDN w:val="0"/>
        <w:adjustRightInd w:val="0"/>
        <w:spacing w:after="0" w:line="240" w:lineRule="auto"/>
        <w:rPr>
          <w:rFonts w:ascii="Microsoft Sans Serif" w:eastAsia="Microsoft Sans Serif" w:hAnsi="Microsoft Sans Serif" w:cs="Microsoft Sans Serif"/>
        </w:rPr>
      </w:pPr>
      <w:r w:rsidRPr="0037356C">
        <w:rPr>
          <w:rFonts w:ascii="Microsoft Sans Serif" w:eastAsia="Microsoft Sans Serif" w:hAnsi="Microsoft Sans Serif" w:cs="Microsoft Sans Serif"/>
        </w:rPr>
        <w:t>178 EAST PINE STREET</w:t>
      </w:r>
    </w:p>
    <w:p w14:paraId="6678BB17" w14:textId="77777777" w:rsidR="0037356C" w:rsidRPr="0037356C" w:rsidRDefault="0037356C" w:rsidP="0037356C">
      <w:pPr>
        <w:spacing w:after="0" w:line="240" w:lineRule="auto"/>
        <w:rPr>
          <w:rFonts w:ascii="Microsoft Sans Serif" w:eastAsia="Microsoft Sans Serif" w:hAnsi="Microsoft Sans Serif" w:cs="Microsoft Sans Serif"/>
        </w:rPr>
      </w:pPr>
      <w:r w:rsidRPr="0037356C">
        <w:rPr>
          <w:rFonts w:ascii="Microsoft Sans Serif" w:eastAsia="Microsoft Sans Serif" w:hAnsi="Microsoft Sans Serif" w:cs="Microsoft Sans Serif"/>
        </w:rPr>
        <w:t>DUNMORE PA 18512</w:t>
      </w:r>
    </w:p>
    <w:p w14:paraId="40AE6109" w14:textId="77777777" w:rsidR="0037356C" w:rsidRPr="0037356C" w:rsidRDefault="0037356C" w:rsidP="0037356C">
      <w:pPr>
        <w:spacing w:after="0" w:line="240" w:lineRule="auto"/>
        <w:rPr>
          <w:rFonts w:ascii="Microsoft Sans Serif" w:eastAsia="Microsoft Sans Serif" w:hAnsi="Microsoft Sans Serif" w:cs="Microsoft Sans Serif"/>
        </w:rPr>
      </w:pPr>
      <w:hyperlink r:id="rId11" w:history="1">
        <w:r w:rsidRPr="0037356C">
          <w:rPr>
            <w:rFonts w:ascii="Microsoft Sans Serif" w:eastAsia="Microsoft Sans Serif" w:hAnsi="Microsoft Sans Serif" w:cs="Microsoft Sans Serif"/>
            <w:color w:val="0000FF"/>
            <w:szCs w:val="20"/>
            <w:u w:val="single"/>
          </w:rPr>
          <w:t>awb248@yahoo.com</w:t>
        </w:r>
      </w:hyperlink>
    </w:p>
    <w:p w14:paraId="7CCD5D86" w14:textId="77777777" w:rsidR="0037356C" w:rsidRPr="0037356C" w:rsidRDefault="0037356C" w:rsidP="0037356C">
      <w:pPr>
        <w:spacing w:after="0" w:line="240" w:lineRule="auto"/>
        <w:rPr>
          <w:rFonts w:ascii="Microsoft Sans Serif" w:eastAsia="Microsoft Sans Serif" w:hAnsi="Microsoft Sans Serif" w:cs="Microsoft Sans Serif"/>
        </w:rPr>
      </w:pPr>
    </w:p>
    <w:p w14:paraId="6D89D3EA" w14:textId="77777777" w:rsidR="0037356C" w:rsidRPr="0037356C" w:rsidRDefault="0037356C" w:rsidP="0037356C">
      <w:pPr>
        <w:spacing w:after="0" w:line="240" w:lineRule="auto"/>
        <w:rPr>
          <w:rFonts w:ascii="Microsoft Sans Serif" w:eastAsia="Microsoft Sans Serif" w:hAnsi="Microsoft Sans Serif" w:cs="Microsoft Sans Serif"/>
        </w:rPr>
      </w:pPr>
      <w:r w:rsidRPr="0037356C">
        <w:rPr>
          <w:rFonts w:ascii="Microsoft Sans Serif" w:eastAsia="Microsoft Sans Serif" w:hAnsi="Microsoft Sans Serif" w:cs="Microsoft Sans Serif"/>
        </w:rPr>
        <w:t>RICHARD L. HUFFSMITH, ESQ</w:t>
      </w:r>
    </w:p>
    <w:p w14:paraId="5B93AA1F" w14:textId="77777777" w:rsidR="0037356C" w:rsidRPr="0037356C" w:rsidRDefault="0037356C" w:rsidP="0037356C">
      <w:pPr>
        <w:spacing w:after="0" w:line="240" w:lineRule="auto"/>
        <w:rPr>
          <w:rFonts w:ascii="Microsoft Sans Serif" w:eastAsia="Microsoft Sans Serif" w:hAnsi="Microsoft Sans Serif" w:cs="Microsoft Sans Serif"/>
        </w:rPr>
      </w:pPr>
      <w:r w:rsidRPr="0037356C">
        <w:rPr>
          <w:rFonts w:ascii="Microsoft Sans Serif" w:eastAsia="Microsoft Sans Serif" w:hAnsi="Microsoft Sans Serif" w:cs="Microsoft Sans Serif"/>
        </w:rPr>
        <w:t>26 EAST TIOGA STREET</w:t>
      </w:r>
    </w:p>
    <w:p w14:paraId="4AF259AD" w14:textId="77777777" w:rsidR="0037356C" w:rsidRPr="0037356C" w:rsidRDefault="0037356C" w:rsidP="0037356C">
      <w:pPr>
        <w:spacing w:after="0" w:line="240" w:lineRule="auto"/>
        <w:rPr>
          <w:rFonts w:ascii="Microsoft Sans Serif" w:eastAsia="Microsoft Sans Serif" w:hAnsi="Microsoft Sans Serif" w:cs="Microsoft Sans Serif"/>
        </w:rPr>
      </w:pPr>
      <w:r w:rsidRPr="0037356C">
        <w:rPr>
          <w:rFonts w:ascii="Microsoft Sans Serif" w:eastAsia="Microsoft Sans Serif" w:hAnsi="Microsoft Sans Serif" w:cs="Microsoft Sans Serif"/>
        </w:rPr>
        <w:t>TUNKHANNOCK, PA 18657</w:t>
      </w:r>
    </w:p>
    <w:p w14:paraId="4E6729B3" w14:textId="77777777" w:rsidR="0037356C" w:rsidRPr="0037356C" w:rsidRDefault="0037356C" w:rsidP="0037356C">
      <w:pPr>
        <w:spacing w:after="0" w:line="240" w:lineRule="auto"/>
        <w:rPr>
          <w:rFonts w:ascii="Microsoft Sans Serif" w:eastAsia="Microsoft Sans Serif" w:hAnsi="Microsoft Sans Serif" w:cs="Microsoft Sans Serif"/>
          <w:b/>
          <w:bCs/>
        </w:rPr>
      </w:pPr>
      <w:r w:rsidRPr="0037356C">
        <w:rPr>
          <w:rFonts w:ascii="Microsoft Sans Serif" w:eastAsia="Microsoft Sans Serif" w:hAnsi="Microsoft Sans Serif" w:cs="Microsoft Sans Serif"/>
          <w:b/>
          <w:bCs/>
        </w:rPr>
        <w:t>570.240.4400</w:t>
      </w:r>
    </w:p>
    <w:p w14:paraId="66B7886C" w14:textId="77777777" w:rsidR="0037356C" w:rsidRPr="0037356C" w:rsidRDefault="0037356C" w:rsidP="0037356C">
      <w:pPr>
        <w:spacing w:after="0" w:line="240" w:lineRule="auto"/>
        <w:rPr>
          <w:rFonts w:ascii="Microsoft Sans Serif" w:eastAsia="Microsoft Sans Serif" w:hAnsi="Microsoft Sans Serif" w:cs="Microsoft Sans Serif"/>
          <w:szCs w:val="20"/>
        </w:rPr>
      </w:pPr>
      <w:hyperlink r:id="rId12" w:history="1">
        <w:r w:rsidRPr="0037356C">
          <w:rPr>
            <w:rFonts w:ascii="Microsoft Sans Serif" w:eastAsia="Microsoft Sans Serif" w:hAnsi="Microsoft Sans Serif" w:cs="Microsoft Sans Serif"/>
            <w:color w:val="0563C1"/>
            <w:szCs w:val="20"/>
            <w:u w:val="single"/>
          </w:rPr>
          <w:t>richard.huffsmith@gmail.com</w:t>
        </w:r>
      </w:hyperlink>
    </w:p>
    <w:p w14:paraId="29F9939E" w14:textId="77777777" w:rsidR="0037356C" w:rsidRPr="0037356C" w:rsidRDefault="0037356C" w:rsidP="0037356C">
      <w:pPr>
        <w:autoSpaceDE w:val="0"/>
        <w:autoSpaceDN w:val="0"/>
        <w:adjustRightInd w:val="0"/>
        <w:spacing w:after="0" w:line="240" w:lineRule="auto"/>
        <w:rPr>
          <w:rFonts w:ascii="Microsoft Sans Serif" w:eastAsia="Microsoft Sans Serif" w:hAnsi="Microsoft Sans Serif" w:cs="Microsoft Sans Serif"/>
          <w:i/>
          <w:iCs/>
        </w:rPr>
      </w:pPr>
      <w:r w:rsidRPr="0037356C">
        <w:rPr>
          <w:rFonts w:ascii="Microsoft Sans Serif" w:eastAsia="Microsoft Sans Serif" w:hAnsi="Microsoft Sans Serif" w:cs="Microsoft Sans Serif"/>
          <w:i/>
          <w:iCs/>
        </w:rPr>
        <w:t xml:space="preserve">Representing Protestants August and </w:t>
      </w:r>
    </w:p>
    <w:p w14:paraId="66A0DBF4" w14:textId="77777777" w:rsidR="0037356C" w:rsidRPr="0037356C" w:rsidRDefault="0037356C" w:rsidP="0037356C">
      <w:pPr>
        <w:autoSpaceDE w:val="0"/>
        <w:autoSpaceDN w:val="0"/>
        <w:adjustRightInd w:val="0"/>
        <w:spacing w:after="0" w:line="240" w:lineRule="auto"/>
        <w:rPr>
          <w:rFonts w:ascii="Microsoft Sans Serif" w:eastAsia="Microsoft Sans Serif" w:hAnsi="Microsoft Sans Serif" w:cs="Microsoft Sans Serif"/>
          <w:i/>
          <w:iCs/>
        </w:rPr>
      </w:pPr>
      <w:r w:rsidRPr="0037356C">
        <w:rPr>
          <w:rFonts w:ascii="Microsoft Sans Serif" w:eastAsia="Microsoft Sans Serif" w:hAnsi="Microsoft Sans Serif" w:cs="Microsoft Sans Serif"/>
          <w:i/>
          <w:iCs/>
        </w:rPr>
        <w:t>Diana Baker</w:t>
      </w:r>
    </w:p>
    <w:p w14:paraId="44230B63" w14:textId="77777777" w:rsidR="0037356C" w:rsidRPr="0037356C" w:rsidRDefault="0037356C" w:rsidP="0037356C">
      <w:pPr>
        <w:spacing w:after="0" w:line="240" w:lineRule="auto"/>
        <w:rPr>
          <w:rFonts w:ascii="Microsoft Sans Serif" w:eastAsia="Microsoft Sans Serif" w:hAnsi="Microsoft Sans Serif" w:cs="Microsoft Sans Serif"/>
        </w:rPr>
      </w:pPr>
    </w:p>
    <w:p w14:paraId="148B9D2D" w14:textId="77777777" w:rsidR="0037356C" w:rsidRPr="00B04270" w:rsidRDefault="0037356C" w:rsidP="00B04270">
      <w:pPr>
        <w:spacing w:after="0"/>
        <w:rPr>
          <w:rFonts w:cs="Times New Roman"/>
          <w:szCs w:val="24"/>
        </w:rPr>
      </w:pPr>
    </w:p>
    <w:sectPr w:rsidR="0037356C" w:rsidRPr="00B04270" w:rsidSect="00486DB6">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B03A9" w14:textId="77777777" w:rsidR="0040731D" w:rsidRDefault="0040731D" w:rsidP="00A2306E">
      <w:pPr>
        <w:spacing w:after="0" w:line="240" w:lineRule="auto"/>
      </w:pPr>
      <w:r>
        <w:separator/>
      </w:r>
    </w:p>
  </w:endnote>
  <w:endnote w:type="continuationSeparator" w:id="0">
    <w:p w14:paraId="34FECE30" w14:textId="77777777" w:rsidR="0040731D" w:rsidRDefault="0040731D" w:rsidP="00A23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939366505"/>
      <w:docPartObj>
        <w:docPartGallery w:val="Page Numbers (Bottom of Page)"/>
        <w:docPartUnique/>
      </w:docPartObj>
    </w:sdtPr>
    <w:sdtEndPr>
      <w:rPr>
        <w:noProof/>
      </w:rPr>
    </w:sdtEndPr>
    <w:sdtContent>
      <w:p w14:paraId="5E9DB87F" w14:textId="031CDFDB" w:rsidR="00E00BDB" w:rsidRPr="00AB183F" w:rsidRDefault="00E00BDB" w:rsidP="00AB183F">
        <w:pPr>
          <w:pStyle w:val="Footer"/>
          <w:jc w:val="center"/>
          <w:rPr>
            <w:sz w:val="20"/>
            <w:szCs w:val="20"/>
          </w:rPr>
        </w:pPr>
        <w:r w:rsidRPr="00AB183F">
          <w:rPr>
            <w:sz w:val="20"/>
            <w:szCs w:val="20"/>
          </w:rPr>
          <w:fldChar w:fldCharType="begin"/>
        </w:r>
        <w:r w:rsidRPr="00AB183F">
          <w:rPr>
            <w:sz w:val="20"/>
            <w:szCs w:val="20"/>
          </w:rPr>
          <w:instrText xml:space="preserve"> PAGE   \* MERGEFORMAT </w:instrText>
        </w:r>
        <w:r w:rsidRPr="00AB183F">
          <w:rPr>
            <w:sz w:val="20"/>
            <w:szCs w:val="20"/>
          </w:rPr>
          <w:fldChar w:fldCharType="separate"/>
        </w:r>
        <w:r w:rsidRPr="00AB183F">
          <w:rPr>
            <w:noProof/>
            <w:sz w:val="20"/>
            <w:szCs w:val="20"/>
          </w:rPr>
          <w:t>2</w:t>
        </w:r>
        <w:r w:rsidRPr="00AB183F">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422E4" w14:textId="77777777" w:rsidR="0040731D" w:rsidRDefault="0040731D" w:rsidP="00A2306E">
      <w:pPr>
        <w:spacing w:after="0" w:line="240" w:lineRule="auto"/>
      </w:pPr>
      <w:r>
        <w:separator/>
      </w:r>
    </w:p>
  </w:footnote>
  <w:footnote w:type="continuationSeparator" w:id="0">
    <w:p w14:paraId="6F50528C" w14:textId="77777777" w:rsidR="0040731D" w:rsidRDefault="0040731D" w:rsidP="00A2306E">
      <w:pPr>
        <w:spacing w:after="0" w:line="240" w:lineRule="auto"/>
      </w:pPr>
      <w:r>
        <w:continuationSeparator/>
      </w:r>
    </w:p>
  </w:footnote>
  <w:footnote w:id="1">
    <w:p w14:paraId="204D5481" w14:textId="22B0B34E" w:rsidR="000D3C97" w:rsidRDefault="000D3C97" w:rsidP="00AB183F">
      <w:pPr>
        <w:pStyle w:val="FootnoteText"/>
        <w:spacing w:after="0"/>
        <w:ind w:firstLine="720"/>
      </w:pPr>
      <w:r>
        <w:rPr>
          <w:rStyle w:val="FootnoteReference"/>
        </w:rPr>
        <w:footnoteRef/>
      </w:r>
      <w:r>
        <w:t xml:space="preserve"> </w:t>
      </w:r>
      <w:r w:rsidR="00D63F76">
        <w:tab/>
        <w:t>S</w:t>
      </w:r>
      <w:r w:rsidR="00D63F76" w:rsidRPr="00D63F76">
        <w:t xml:space="preserve">hould the public health situation </w:t>
      </w:r>
      <w:r w:rsidR="0037356C" w:rsidRPr="00D63F76">
        <w:t>deteriorate,</w:t>
      </w:r>
      <w:r w:rsidR="00D63F76" w:rsidRPr="00D63F76">
        <w:t xml:space="preserve"> and Commonwealth meeting protocols change, counsel should be prepared to conduct the hearing by telephone.  Further, all individuals attending the hearing must comply with any public health protocols that may be in place when the hearings convene.</w:t>
      </w:r>
    </w:p>
    <w:p w14:paraId="552EBDC3" w14:textId="77777777" w:rsidR="00AB183F" w:rsidRDefault="00AB183F" w:rsidP="00AB183F">
      <w:pPr>
        <w:pStyle w:val="FootnoteText"/>
        <w:spacing w:after="0"/>
        <w:ind w:firstLine="720"/>
      </w:pPr>
    </w:p>
  </w:footnote>
  <w:footnote w:id="2">
    <w:p w14:paraId="7789C6DD" w14:textId="77777777" w:rsidR="00A2306E" w:rsidRPr="00FF7946" w:rsidRDefault="00A2306E" w:rsidP="00AB183F">
      <w:pPr>
        <w:pStyle w:val="FootnoteText"/>
        <w:spacing w:after="0"/>
        <w:ind w:firstLine="720"/>
      </w:pPr>
      <w:r>
        <w:rPr>
          <w:rStyle w:val="FootnoteReference"/>
        </w:rPr>
        <w:footnoteRef/>
      </w:r>
      <w:r>
        <w:t xml:space="preserve"> </w:t>
      </w:r>
      <w:r>
        <w:tab/>
      </w:r>
      <w:r w:rsidRPr="00FF7946">
        <w:t>For parties accepting electronic service, the documents are to be served electronically on the date indicated, by 4:00 p.m. unless otherwise indicated</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8B673" w14:textId="77777777" w:rsidR="0037356C" w:rsidRDefault="0037356C">
    <w:pPr>
      <w:pStyle w:val="Header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0DA65A62"/>
    <w:multiLevelType w:val="hybridMultilevel"/>
    <w:tmpl w:val="81D67880"/>
    <w:lvl w:ilvl="0" w:tplc="6318F3C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287"/>
    <w:multiLevelType w:val="hybridMultilevel"/>
    <w:tmpl w:val="3AA2B054"/>
    <w:lvl w:ilvl="0" w:tplc="0C103A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85D16BC"/>
    <w:multiLevelType w:val="hybridMultilevel"/>
    <w:tmpl w:val="936060A4"/>
    <w:lvl w:ilvl="0" w:tplc="CA66684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8172ED"/>
    <w:multiLevelType w:val="hybridMultilevel"/>
    <w:tmpl w:val="4A10D330"/>
    <w:lvl w:ilvl="0" w:tplc="8C1C8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A16751"/>
    <w:multiLevelType w:val="hybridMultilevel"/>
    <w:tmpl w:val="F89E8428"/>
    <w:lvl w:ilvl="0" w:tplc="80885C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C56C53"/>
    <w:multiLevelType w:val="hybridMultilevel"/>
    <w:tmpl w:val="C29C7FEE"/>
    <w:lvl w:ilvl="0" w:tplc="2A3A5B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774937372">
    <w:abstractNumId w:val="29"/>
  </w:num>
  <w:num w:numId="2" w16cid:durableId="597903936">
    <w:abstractNumId w:val="20"/>
  </w:num>
  <w:num w:numId="3" w16cid:durableId="779111548">
    <w:abstractNumId w:val="27"/>
  </w:num>
  <w:num w:numId="4" w16cid:durableId="300383182">
    <w:abstractNumId w:val="31"/>
  </w:num>
  <w:num w:numId="5" w16cid:durableId="1689599847">
    <w:abstractNumId w:val="11"/>
  </w:num>
  <w:num w:numId="6" w16cid:durableId="1777627708">
    <w:abstractNumId w:val="8"/>
  </w:num>
  <w:num w:numId="7" w16cid:durableId="2077899115">
    <w:abstractNumId w:val="6"/>
  </w:num>
  <w:num w:numId="8" w16cid:durableId="112789151">
    <w:abstractNumId w:val="30"/>
  </w:num>
  <w:num w:numId="9" w16cid:durableId="971792226">
    <w:abstractNumId w:val="3"/>
  </w:num>
  <w:num w:numId="10" w16cid:durableId="683021635">
    <w:abstractNumId w:val="22"/>
  </w:num>
  <w:num w:numId="11" w16cid:durableId="183633678">
    <w:abstractNumId w:val="26"/>
  </w:num>
  <w:num w:numId="12" w16cid:durableId="44453449">
    <w:abstractNumId w:val="16"/>
  </w:num>
  <w:num w:numId="13" w16cid:durableId="361593247">
    <w:abstractNumId w:val="23"/>
  </w:num>
  <w:num w:numId="14" w16cid:durableId="756052787">
    <w:abstractNumId w:val="28"/>
  </w:num>
  <w:num w:numId="15" w16cid:durableId="183326342">
    <w:abstractNumId w:val="0"/>
  </w:num>
  <w:num w:numId="16" w16cid:durableId="1968312878">
    <w:abstractNumId w:val="21"/>
  </w:num>
  <w:num w:numId="17" w16cid:durableId="1990818840">
    <w:abstractNumId w:val="21"/>
  </w:num>
  <w:num w:numId="18" w16cid:durableId="1728647332">
    <w:abstractNumId w:val="10"/>
  </w:num>
  <w:num w:numId="19" w16cid:durableId="327297146">
    <w:abstractNumId w:val="17"/>
  </w:num>
  <w:num w:numId="20" w16cid:durableId="772213342">
    <w:abstractNumId w:val="32"/>
  </w:num>
  <w:num w:numId="21" w16cid:durableId="487408484">
    <w:abstractNumId w:val="14"/>
  </w:num>
  <w:num w:numId="22" w16cid:durableId="1692029588">
    <w:abstractNumId w:val="5"/>
  </w:num>
  <w:num w:numId="23" w16cid:durableId="791166069">
    <w:abstractNumId w:val="15"/>
  </w:num>
  <w:num w:numId="24" w16cid:durableId="981034459">
    <w:abstractNumId w:val="35"/>
  </w:num>
  <w:num w:numId="25" w16cid:durableId="1659578160">
    <w:abstractNumId w:val="1"/>
  </w:num>
  <w:num w:numId="26" w16cid:durableId="221523921">
    <w:abstractNumId w:val="7"/>
  </w:num>
  <w:num w:numId="27" w16cid:durableId="1330475268">
    <w:abstractNumId w:val="25"/>
  </w:num>
  <w:num w:numId="28" w16cid:durableId="446629930">
    <w:abstractNumId w:val="13"/>
  </w:num>
  <w:num w:numId="29" w16cid:durableId="1653102068">
    <w:abstractNumId w:val="9"/>
  </w:num>
  <w:num w:numId="30" w16cid:durableId="476608386">
    <w:abstractNumId w:val="19"/>
  </w:num>
  <w:num w:numId="31" w16cid:durableId="813523377">
    <w:abstractNumId w:val="33"/>
  </w:num>
  <w:num w:numId="32" w16cid:durableId="1755661316">
    <w:abstractNumId w:val="34"/>
  </w:num>
  <w:num w:numId="33" w16cid:durableId="1398549041">
    <w:abstractNumId w:val="24"/>
  </w:num>
  <w:num w:numId="34" w16cid:durableId="2098818756">
    <w:abstractNumId w:val="4"/>
  </w:num>
  <w:num w:numId="35" w16cid:durableId="926496796">
    <w:abstractNumId w:val="18"/>
  </w:num>
  <w:num w:numId="36" w16cid:durableId="1404909296">
    <w:abstractNumId w:val="2"/>
  </w:num>
  <w:num w:numId="37" w16cid:durableId="7017115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A28"/>
    <w:rsid w:val="00004C37"/>
    <w:rsid w:val="000066B3"/>
    <w:rsid w:val="00066D87"/>
    <w:rsid w:val="00083973"/>
    <w:rsid w:val="000A7B65"/>
    <w:rsid w:val="000D3C97"/>
    <w:rsid w:val="000E3EDE"/>
    <w:rsid w:val="00107E82"/>
    <w:rsid w:val="00125A12"/>
    <w:rsid w:val="001A21B6"/>
    <w:rsid w:val="001B1CBA"/>
    <w:rsid w:val="001D2AF7"/>
    <w:rsid w:val="001D6209"/>
    <w:rsid w:val="00207743"/>
    <w:rsid w:val="00213167"/>
    <w:rsid w:val="002512F9"/>
    <w:rsid w:val="00267405"/>
    <w:rsid w:val="00295B15"/>
    <w:rsid w:val="003145FA"/>
    <w:rsid w:val="00367A41"/>
    <w:rsid w:val="0037356C"/>
    <w:rsid w:val="00393C92"/>
    <w:rsid w:val="003A1A41"/>
    <w:rsid w:val="003A3E09"/>
    <w:rsid w:val="003C05CC"/>
    <w:rsid w:val="0040731D"/>
    <w:rsid w:val="00417566"/>
    <w:rsid w:val="004210DA"/>
    <w:rsid w:val="004D523C"/>
    <w:rsid w:val="00530F9D"/>
    <w:rsid w:val="005723E2"/>
    <w:rsid w:val="005A1C17"/>
    <w:rsid w:val="005A2ABA"/>
    <w:rsid w:val="005D180A"/>
    <w:rsid w:val="005E7B69"/>
    <w:rsid w:val="00613EA9"/>
    <w:rsid w:val="0061775F"/>
    <w:rsid w:val="00620336"/>
    <w:rsid w:val="00696C0D"/>
    <w:rsid w:val="006C6A0D"/>
    <w:rsid w:val="006F0329"/>
    <w:rsid w:val="00700807"/>
    <w:rsid w:val="00712E58"/>
    <w:rsid w:val="007407AC"/>
    <w:rsid w:val="00755D72"/>
    <w:rsid w:val="00782A28"/>
    <w:rsid w:val="0079246E"/>
    <w:rsid w:val="00792796"/>
    <w:rsid w:val="00796B64"/>
    <w:rsid w:val="007E6779"/>
    <w:rsid w:val="00804B36"/>
    <w:rsid w:val="00820B4C"/>
    <w:rsid w:val="0083239D"/>
    <w:rsid w:val="00841A31"/>
    <w:rsid w:val="008529D2"/>
    <w:rsid w:val="0088105E"/>
    <w:rsid w:val="009108FA"/>
    <w:rsid w:val="00917DCA"/>
    <w:rsid w:val="00926DE3"/>
    <w:rsid w:val="009C7C72"/>
    <w:rsid w:val="009F0C9B"/>
    <w:rsid w:val="00A2306E"/>
    <w:rsid w:val="00A24A19"/>
    <w:rsid w:val="00A47096"/>
    <w:rsid w:val="00AA2EC5"/>
    <w:rsid w:val="00AB183F"/>
    <w:rsid w:val="00AB4C73"/>
    <w:rsid w:val="00AD27C0"/>
    <w:rsid w:val="00AE6F47"/>
    <w:rsid w:val="00B04270"/>
    <w:rsid w:val="00B43F7F"/>
    <w:rsid w:val="00B91E47"/>
    <w:rsid w:val="00BC6B21"/>
    <w:rsid w:val="00BE7881"/>
    <w:rsid w:val="00C04D8A"/>
    <w:rsid w:val="00C65884"/>
    <w:rsid w:val="00C87E57"/>
    <w:rsid w:val="00CB3E6D"/>
    <w:rsid w:val="00CC6ED2"/>
    <w:rsid w:val="00CF6143"/>
    <w:rsid w:val="00D14843"/>
    <w:rsid w:val="00D228F0"/>
    <w:rsid w:val="00D63F76"/>
    <w:rsid w:val="00D6543A"/>
    <w:rsid w:val="00D97A41"/>
    <w:rsid w:val="00DD5C37"/>
    <w:rsid w:val="00DF35D9"/>
    <w:rsid w:val="00E00BDB"/>
    <w:rsid w:val="00E4239A"/>
    <w:rsid w:val="00EB027A"/>
    <w:rsid w:val="00EC1CBA"/>
    <w:rsid w:val="00ED5019"/>
    <w:rsid w:val="00EE7801"/>
    <w:rsid w:val="00F11A19"/>
    <w:rsid w:val="00F16554"/>
    <w:rsid w:val="00F544E1"/>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A950F"/>
  <w15:chartTrackingRefBased/>
  <w15:docId w15:val="{990B6E02-003B-4382-B785-8B166B1C0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884"/>
    <w:pPr>
      <w:spacing w:after="160"/>
    </w:pPr>
    <w:rPr>
      <w:rFonts w:cstheme="minorBidi"/>
      <w:szCs w:val="22"/>
    </w:rPr>
  </w:style>
  <w:style w:type="paragraph" w:styleId="Heading2">
    <w:name w:val="heading 2"/>
    <w:basedOn w:val="Normal"/>
    <w:next w:val="Normal"/>
    <w:link w:val="Heading2Char"/>
    <w:qFormat/>
    <w:rsid w:val="00A2306E"/>
    <w:pPr>
      <w:keepNext/>
      <w:spacing w:after="0"/>
      <w:jc w:val="both"/>
      <w:outlineLvl w:val="1"/>
    </w:pPr>
    <w:rPr>
      <w:rFonts w:eastAsia="Times New Roman" w:cs="Times New Roman"/>
      <w:b/>
      <w:sz w:val="26"/>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 PUC"/>
    <w:basedOn w:val="Normal"/>
    <w:autoRedefine/>
    <w:uiPriority w:val="34"/>
    <w:qFormat/>
    <w:rsid w:val="00613EA9"/>
    <w:pPr>
      <w:ind w:firstLine="1440"/>
    </w:pPr>
  </w:style>
  <w:style w:type="paragraph" w:styleId="FootnoteText">
    <w:name w:val="footnote text"/>
    <w:basedOn w:val="Normal"/>
    <w:link w:val="FootnoteTextChar"/>
    <w:autoRedefine/>
    <w:qFormat/>
    <w:rsid w:val="00C04D8A"/>
    <w:pPr>
      <w:spacing w:line="240" w:lineRule="auto"/>
    </w:pPr>
    <w:rPr>
      <w:rFonts w:eastAsia="Times New Roman"/>
      <w:sz w:val="20"/>
    </w:rPr>
  </w:style>
  <w:style w:type="character" w:customStyle="1" w:styleId="FootnoteTextChar">
    <w:name w:val="Footnote Text Char"/>
    <w:basedOn w:val="DefaultParagraphFont"/>
    <w:link w:val="FootnoteText"/>
    <w:rsid w:val="00C04D8A"/>
    <w:rPr>
      <w:rFonts w:eastAsia="Times New Roman"/>
      <w:sz w:val="20"/>
      <w:szCs w:val="22"/>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character" w:styleId="Hyperlink">
    <w:name w:val="Hyperlink"/>
    <w:rsid w:val="00A2306E"/>
    <w:rPr>
      <w:color w:val="0000FF"/>
      <w:u w:val="single"/>
    </w:rPr>
  </w:style>
  <w:style w:type="character" w:styleId="FootnoteReference">
    <w:name w:val="footnote reference"/>
    <w:basedOn w:val="DefaultParagraphFont"/>
    <w:semiHidden/>
    <w:unhideWhenUsed/>
    <w:rsid w:val="00A2306E"/>
    <w:rPr>
      <w:vertAlign w:val="superscript"/>
    </w:rPr>
  </w:style>
  <w:style w:type="character" w:customStyle="1" w:styleId="Heading2Char">
    <w:name w:val="Heading 2 Char"/>
    <w:basedOn w:val="DefaultParagraphFont"/>
    <w:link w:val="Heading2"/>
    <w:rsid w:val="00A2306E"/>
    <w:rPr>
      <w:rFonts w:eastAsia="Times New Roman"/>
      <w:b/>
      <w:sz w:val="26"/>
      <w:u w:val="single"/>
    </w:rPr>
  </w:style>
  <w:style w:type="paragraph" w:styleId="Header">
    <w:name w:val="header"/>
    <w:basedOn w:val="Normal"/>
    <w:link w:val="HeaderChar"/>
    <w:uiPriority w:val="99"/>
    <w:unhideWhenUsed/>
    <w:rsid w:val="00E00B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0BDB"/>
    <w:rPr>
      <w:rFonts w:cstheme="minorBidi"/>
      <w:szCs w:val="22"/>
    </w:rPr>
  </w:style>
  <w:style w:type="paragraph" w:styleId="Footer">
    <w:name w:val="footer"/>
    <w:basedOn w:val="Normal"/>
    <w:link w:val="FooterChar"/>
    <w:uiPriority w:val="99"/>
    <w:unhideWhenUsed/>
    <w:rsid w:val="00E00B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0BDB"/>
    <w:rPr>
      <w:rFonts w:cstheme="minorBidi"/>
      <w:szCs w:val="22"/>
    </w:rPr>
  </w:style>
  <w:style w:type="paragraph" w:customStyle="1" w:styleId="Header1">
    <w:name w:val="Header1"/>
    <w:basedOn w:val="Normal"/>
    <w:next w:val="Header"/>
    <w:uiPriority w:val="99"/>
    <w:unhideWhenUsed/>
    <w:rsid w:val="0037356C"/>
    <w:pPr>
      <w:tabs>
        <w:tab w:val="center" w:pos="4680"/>
        <w:tab w:val="right" w:pos="9360"/>
      </w:tabs>
      <w:spacing w:after="0" w:line="240" w:lineRule="auto"/>
    </w:pPr>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long@pa.gov" TargetMode="External"/><Relationship Id="rId12" Type="http://schemas.openxmlformats.org/officeDocument/2006/relationships/hyperlink" Target="mailto:richard.huffsmith@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wb248@yahoo.com" TargetMode="External"/><Relationship Id="rId5" Type="http://schemas.openxmlformats.org/officeDocument/2006/relationships/footnotes" Target="footnotes.xml"/><Relationship Id="rId10" Type="http://schemas.openxmlformats.org/officeDocument/2006/relationships/hyperlink" Target="mailto:rwilliams@hkqlaw.com"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1644</Words>
  <Characters>9374</Characters>
  <Application>Microsoft Office Word</Application>
  <DocSecurity>4</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Alban, Daniela</cp:lastModifiedBy>
  <cp:revision>2</cp:revision>
  <dcterms:created xsi:type="dcterms:W3CDTF">2022-04-29T14:50:00Z</dcterms:created>
  <dcterms:modified xsi:type="dcterms:W3CDTF">2022-04-29T14:50:00Z</dcterms:modified>
</cp:coreProperties>
</file>