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40C64A9F" w14:textId="77777777" w:rsidR="00540E57" w:rsidRDefault="00540E57" w:rsidP="00540E57">
      <w:pPr>
        <w:tabs>
          <w:tab w:val="left" w:pos="-720"/>
        </w:tabs>
        <w:suppressAutoHyphens/>
        <w:jc w:val="both"/>
        <w:rPr>
          <w:rFonts w:ascii="Times New Roman" w:hAnsi="Times New Roman" w:cs="Times New Roman"/>
          <w:spacing w:val="-3"/>
        </w:rPr>
      </w:pPr>
      <w:r>
        <w:rPr>
          <w:rFonts w:ascii="Times New Roman" w:hAnsi="Times New Roman" w:cs="Times New Roman"/>
          <w:spacing w:val="-3"/>
        </w:rPr>
        <w:t>Rosa Brown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 xml:space="preserve"> </w:t>
      </w:r>
      <w:r>
        <w:tab/>
      </w:r>
      <w:r>
        <w:tab/>
      </w:r>
    </w:p>
    <w:p w14:paraId="12299C6B" w14:textId="77777777" w:rsidR="00540E57" w:rsidRDefault="00540E57" w:rsidP="00540E5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1626280" w14:textId="77777777" w:rsidR="00540E57" w:rsidRDefault="00540E57" w:rsidP="00540E5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C-2022-3032000</w:t>
      </w:r>
      <w:r>
        <w:rPr>
          <w:rFonts w:ascii="Times New Roman" w:hAnsi="Times New Roman" w:cs="Times New Roman"/>
          <w:spacing w:val="-3"/>
        </w:rPr>
        <w:tab/>
      </w:r>
    </w:p>
    <w:p w14:paraId="1669BA18" w14:textId="77777777" w:rsidR="00540E57" w:rsidRDefault="00540E57" w:rsidP="00540E5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114EC47" w14:textId="77777777" w:rsidR="00540E57" w:rsidRDefault="00540E57" w:rsidP="00540E5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72F50CE6"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7843C6">
        <w:rPr>
          <w:rFonts w:ascii="Times New Roman" w:hAnsi="Times New Roman" w:cs="Times New Roman"/>
        </w:rPr>
        <w:t>1</w:t>
      </w:r>
      <w:r w:rsidR="007843C6" w:rsidRPr="007843C6">
        <w:rPr>
          <w:rFonts w:ascii="Times New Roman" w:hAnsi="Times New Roman" w:cs="Times New Roman"/>
          <w:vertAlign w:val="superscript"/>
        </w:rPr>
        <w:t>st</w:t>
      </w:r>
      <w:r w:rsidR="007843C6">
        <w:rPr>
          <w:rFonts w:ascii="Times New Roman" w:hAnsi="Times New Roman" w:cs="Times New Roman"/>
        </w:rPr>
        <w:t xml:space="preserve"> </w:t>
      </w:r>
      <w:r>
        <w:rPr>
          <w:rFonts w:ascii="Times New Roman" w:hAnsi="Times New Roman" w:cs="Times New Roman"/>
        </w:rPr>
        <w:t xml:space="preserve"> day of</w:t>
      </w:r>
      <w:r w:rsidR="007843C6">
        <w:rPr>
          <w:rFonts w:ascii="Times New Roman" w:hAnsi="Times New Roman" w:cs="Times New Roman"/>
        </w:rPr>
        <w:t xml:space="preserve"> June2022</w:t>
      </w:r>
      <w:r w:rsidR="00776B4C">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3830570A"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7843C6">
        <w:rPr>
          <w:rFonts w:ascii="Times New Roman" w:hAnsi="Times New Roman" w:cs="Times New Roman"/>
          <w:b/>
          <w:bCs/>
        </w:rPr>
        <w:t>Thursday, June 9,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3C7FF4"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3C7FF4"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70A7CA6"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106B6A">
        <w:rPr>
          <w:rFonts w:ascii="Times New Roman" w:hAnsi="Times New Roman" w:cs="Times New Roman"/>
          <w:spacing w:val="-3"/>
          <w:u w:val="single"/>
        </w:rPr>
        <w:t>June 1</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65D17CB" w14:textId="1229296E" w:rsidR="00942067" w:rsidRPr="00942067" w:rsidRDefault="000A558B" w:rsidP="00CF7F40">
      <w:pPr>
        <w:rPr>
          <w:rFonts w:ascii="Times New Roman" w:eastAsia="Microsoft Sans Serif" w:hAnsi="Times New Roman" w:cs="Times New Roman"/>
        </w:rPr>
      </w:pPr>
      <w:r>
        <w:rPr>
          <w:rFonts w:ascii="Times New Roman" w:hAnsi="Times New Roman" w:cs="Times New Roman"/>
          <w:spacing w:val="-3"/>
        </w:rPr>
        <w:br w:type="page"/>
      </w:r>
    </w:p>
    <w:p w14:paraId="4D6D8CDA" w14:textId="77777777" w:rsidR="0005272C" w:rsidRPr="00213A9A" w:rsidRDefault="0005272C" w:rsidP="0005272C">
      <w:pPr>
        <w:pStyle w:val="NoSpacing"/>
        <w:rPr>
          <w:rFonts w:ascii="Times New Roman" w:hAnsi="Times New Roman" w:cs="Times New Roman"/>
          <w:b/>
          <w:bCs/>
          <w:u w:val="single"/>
        </w:rPr>
      </w:pPr>
      <w:r w:rsidRPr="00213A9A">
        <w:rPr>
          <w:rFonts w:ascii="Times New Roman" w:eastAsia="Microsoft Sans Serif" w:hAnsi="Times New Roman" w:cs="Times New Roman"/>
          <w:b/>
          <w:bCs/>
          <w:u w:val="single"/>
        </w:rPr>
        <w:lastRenderedPageBreak/>
        <w:t>C-2022-3032000 - ROSA BROWN v. PHILADELPHIA GAS WORKS</w:t>
      </w:r>
      <w:r w:rsidRPr="00213A9A">
        <w:rPr>
          <w:rFonts w:ascii="Times New Roman" w:hAnsi="Times New Roman" w:cs="Times New Roman"/>
          <w:b/>
          <w:bCs/>
          <w:u w:val="single"/>
        </w:rPr>
        <w:t xml:space="preserve"> </w:t>
      </w:r>
    </w:p>
    <w:p w14:paraId="7EC16ED1" w14:textId="77777777" w:rsidR="0005272C" w:rsidRPr="00213A9A" w:rsidRDefault="0005272C" w:rsidP="0005272C">
      <w:pPr>
        <w:pStyle w:val="NoSpacing"/>
        <w:rPr>
          <w:rFonts w:ascii="Times New Roman" w:eastAsia="Microsoft Sans Serif" w:hAnsi="Times New Roman" w:cs="Times New Roman"/>
          <w:b/>
          <w:bCs/>
          <w:szCs w:val="22"/>
          <w:u w:val="single"/>
        </w:rPr>
      </w:pPr>
    </w:p>
    <w:p w14:paraId="5DC55025" w14:textId="77777777" w:rsidR="0005272C" w:rsidRPr="00213A9A" w:rsidRDefault="0005272C" w:rsidP="0005272C">
      <w:pPr>
        <w:pStyle w:val="NoSpacing"/>
        <w:rPr>
          <w:rFonts w:ascii="Times New Roman" w:eastAsia="Microsoft Sans Serif" w:hAnsi="Times New Roman" w:cs="Times New Roman"/>
          <w:b/>
          <w:bCs/>
          <w:u w:val="single"/>
        </w:rPr>
      </w:pPr>
    </w:p>
    <w:p w14:paraId="75A07DF8"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ROSA BROWN</w:t>
      </w:r>
      <w:r w:rsidRPr="00213A9A">
        <w:rPr>
          <w:rFonts w:ascii="Times New Roman" w:hAnsi="Times New Roman" w:cs="Times New Roman"/>
        </w:rPr>
        <w:t xml:space="preserve"> </w:t>
      </w:r>
    </w:p>
    <w:p w14:paraId="0806C5E0"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1419 SOUTH 56TH STREET</w:t>
      </w:r>
      <w:r w:rsidRPr="00213A9A">
        <w:rPr>
          <w:rFonts w:ascii="Times New Roman" w:hAnsi="Times New Roman" w:cs="Times New Roman"/>
        </w:rPr>
        <w:t xml:space="preserve"> </w:t>
      </w:r>
    </w:p>
    <w:p w14:paraId="21F27111"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PHILADELPHIA PA  19143</w:t>
      </w:r>
      <w:r w:rsidRPr="00213A9A">
        <w:rPr>
          <w:rFonts w:ascii="Times New Roman" w:eastAsia="Microsoft Sans Serif" w:hAnsi="Times New Roman" w:cs="Times New Roman"/>
        </w:rPr>
        <w:br/>
      </w:r>
      <w:hyperlink r:id="rId14" w:history="1">
        <w:r w:rsidRPr="00213A9A">
          <w:rPr>
            <w:rStyle w:val="Hyperlink"/>
            <w:rFonts w:ascii="Times New Roman" w:eastAsia="Microsoft Sans Serif" w:hAnsi="Times New Roman" w:cs="Times New Roman"/>
          </w:rPr>
          <w:t>rbrown@temple.edu</w:t>
        </w:r>
      </w:hyperlink>
      <w:r w:rsidRPr="00213A9A">
        <w:rPr>
          <w:rFonts w:ascii="Times New Roman" w:eastAsia="Microsoft Sans Serif" w:hAnsi="Times New Roman" w:cs="Times New Roman"/>
        </w:rPr>
        <w:br/>
      </w:r>
      <w:r w:rsidRPr="00213A9A">
        <w:rPr>
          <w:rFonts w:ascii="Times New Roman" w:eastAsia="Microsoft Sans Serif" w:hAnsi="Times New Roman" w:cs="Times New Roman"/>
          <w:bCs/>
        </w:rPr>
        <w:t>215.707.2865</w:t>
      </w:r>
      <w:r w:rsidRPr="00213A9A">
        <w:rPr>
          <w:rFonts w:ascii="Times New Roman" w:hAnsi="Times New Roman" w:cs="Times New Roman"/>
        </w:rPr>
        <w:t xml:space="preserve"> </w:t>
      </w:r>
    </w:p>
    <w:p w14:paraId="28D9BCEF" w14:textId="77777777" w:rsidR="0005272C" w:rsidRPr="00213A9A" w:rsidRDefault="0005272C" w:rsidP="0005272C">
      <w:pPr>
        <w:pStyle w:val="NoSpacing"/>
        <w:rPr>
          <w:rFonts w:ascii="Times New Roman" w:eastAsia="Microsoft Sans Serif" w:hAnsi="Times New Roman" w:cs="Times New Roman"/>
        </w:rPr>
      </w:pPr>
    </w:p>
    <w:p w14:paraId="4431E548"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LAURETO FARINAS ESQUIRE</w:t>
      </w:r>
      <w:r w:rsidRPr="00213A9A">
        <w:rPr>
          <w:rFonts w:ascii="Times New Roman" w:hAnsi="Times New Roman" w:cs="Times New Roman"/>
        </w:rPr>
        <w:t xml:space="preserve"> </w:t>
      </w:r>
    </w:p>
    <w:p w14:paraId="2F30C3B8"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PHILADELPHIA GAS WORKS</w:t>
      </w:r>
      <w:r w:rsidRPr="00213A9A">
        <w:rPr>
          <w:rFonts w:ascii="Times New Roman" w:hAnsi="Times New Roman" w:cs="Times New Roman"/>
        </w:rPr>
        <w:t xml:space="preserve"> </w:t>
      </w:r>
    </w:p>
    <w:p w14:paraId="7FD9E7E0"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800 W MONTGOMERY AVE 4TH FLOOR</w:t>
      </w:r>
      <w:r w:rsidRPr="00213A9A">
        <w:rPr>
          <w:rFonts w:ascii="Times New Roman" w:hAnsi="Times New Roman" w:cs="Times New Roman"/>
        </w:rPr>
        <w:t xml:space="preserve"> </w:t>
      </w:r>
    </w:p>
    <w:p w14:paraId="00A4FAF6"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rPr>
        <w:t>PHILADELPHIA PA  19122</w:t>
      </w:r>
      <w:r w:rsidRPr="00213A9A">
        <w:rPr>
          <w:rFonts w:ascii="Times New Roman" w:hAnsi="Times New Roman" w:cs="Times New Roman"/>
        </w:rPr>
        <w:t xml:space="preserve"> </w:t>
      </w:r>
    </w:p>
    <w:p w14:paraId="2E12CE57" w14:textId="77777777" w:rsidR="0005272C" w:rsidRPr="00213A9A" w:rsidRDefault="0005272C" w:rsidP="0005272C">
      <w:pPr>
        <w:pStyle w:val="NoSpacing"/>
        <w:rPr>
          <w:rFonts w:ascii="Times New Roman" w:eastAsiaTheme="minorEastAsia" w:hAnsi="Times New Roman" w:cs="Times New Roman"/>
        </w:rPr>
      </w:pPr>
      <w:r w:rsidRPr="00213A9A">
        <w:rPr>
          <w:rFonts w:ascii="Times New Roman" w:eastAsia="Microsoft Sans Serif" w:hAnsi="Times New Roman" w:cs="Times New Roman"/>
          <w:bCs/>
        </w:rPr>
        <w:t>215.684.6982</w:t>
      </w:r>
      <w:r w:rsidRPr="00213A9A">
        <w:rPr>
          <w:rFonts w:ascii="Times New Roman" w:hAnsi="Times New Roman" w:cs="Times New Roman"/>
        </w:rPr>
        <w:t xml:space="preserve"> </w:t>
      </w:r>
    </w:p>
    <w:p w14:paraId="73B404E0" w14:textId="076B11A1" w:rsidR="004A28F7" w:rsidRPr="00213A9A" w:rsidRDefault="0005272C" w:rsidP="0005272C">
      <w:pPr>
        <w:pStyle w:val="NoSpacing"/>
        <w:rPr>
          <w:rFonts w:ascii="Times New Roman" w:eastAsia="Microsoft Sans Serif" w:hAnsi="Times New Roman" w:cs="Times New Roman"/>
        </w:rPr>
      </w:pPr>
      <w:hyperlink r:id="rId15" w:history="1">
        <w:r w:rsidRPr="00213A9A">
          <w:rPr>
            <w:rStyle w:val="Hyperlink"/>
            <w:rFonts w:ascii="Times New Roman" w:eastAsia="Microsoft Sans Serif" w:hAnsi="Times New Roman" w:cs="Times New Roman"/>
          </w:rPr>
          <w:t>laureto.farinas@pgworks.com</w:t>
        </w:r>
      </w:hyperlink>
      <w:r w:rsidRPr="00213A9A">
        <w:rPr>
          <w:rFonts w:ascii="Times New Roman" w:eastAsia="Microsoft Sans Serif" w:hAnsi="Times New Roman" w:cs="Times New Roman"/>
        </w:rPr>
        <w:br/>
        <w:t>Accepts eService</w:t>
      </w:r>
    </w:p>
    <w:p w14:paraId="5C2BEA4D" w14:textId="77777777" w:rsidR="004A28F7" w:rsidRPr="004A28F7" w:rsidRDefault="004A28F7" w:rsidP="004A28F7">
      <w:pPr>
        <w:rPr>
          <w:rFonts w:ascii="Times New Roman" w:eastAsiaTheme="minorEastAsia" w:hAnsi="Times New Roman" w:cs="Times New Roman"/>
          <w:sz w:val="22"/>
        </w:rPr>
      </w:pPr>
    </w:p>
    <w:sectPr w:rsidR="004A28F7" w:rsidRPr="004A28F7"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5B5F" w14:textId="77777777" w:rsidR="003C7FF4" w:rsidRDefault="003C7FF4" w:rsidP="00244F8F">
      <w:r>
        <w:separator/>
      </w:r>
    </w:p>
  </w:endnote>
  <w:endnote w:type="continuationSeparator" w:id="0">
    <w:p w14:paraId="2B4AE394" w14:textId="77777777" w:rsidR="003C7FF4" w:rsidRDefault="003C7FF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BB5C" w14:textId="77777777" w:rsidR="003C7FF4" w:rsidRDefault="003C7FF4" w:rsidP="00244F8F">
      <w:r>
        <w:separator/>
      </w:r>
    </w:p>
  </w:footnote>
  <w:footnote w:type="continuationSeparator" w:id="0">
    <w:p w14:paraId="0FDF9B4C" w14:textId="77777777" w:rsidR="003C7FF4" w:rsidRDefault="003C7FF4"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272C"/>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06B6A"/>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3A9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4C6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B3994"/>
    <w:rsid w:val="003C26DD"/>
    <w:rsid w:val="003C7FF4"/>
    <w:rsid w:val="003D37D8"/>
    <w:rsid w:val="003D53E4"/>
    <w:rsid w:val="003D5F4B"/>
    <w:rsid w:val="003F0684"/>
    <w:rsid w:val="003F2E28"/>
    <w:rsid w:val="004054B8"/>
    <w:rsid w:val="00417F7E"/>
    <w:rsid w:val="004447BD"/>
    <w:rsid w:val="004560BE"/>
    <w:rsid w:val="00456302"/>
    <w:rsid w:val="00457359"/>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843C6"/>
    <w:rsid w:val="007908D3"/>
    <w:rsid w:val="007A4C3A"/>
    <w:rsid w:val="00816A3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53141"/>
    <w:rsid w:val="00966750"/>
    <w:rsid w:val="0098348C"/>
    <w:rsid w:val="00987551"/>
    <w:rsid w:val="009C4B0E"/>
    <w:rsid w:val="009E5F38"/>
    <w:rsid w:val="009F4A0C"/>
    <w:rsid w:val="009F5CE3"/>
    <w:rsid w:val="00A15436"/>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A3B10"/>
    <w:rsid w:val="00CC77BE"/>
    <w:rsid w:val="00CC7EA2"/>
    <w:rsid w:val="00CD3F67"/>
    <w:rsid w:val="00CD60ED"/>
    <w:rsid w:val="00CD735A"/>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5272C"/>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249462624">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laureto.farinas@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rown@templ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2019-04-16T17:52:00Z</cp:lastPrinted>
  <dcterms:created xsi:type="dcterms:W3CDTF">2022-06-01T18:28:00Z</dcterms:created>
  <dcterms:modified xsi:type="dcterms:W3CDTF">2022-06-01T18:35:00Z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