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BA59" w14:textId="77777777" w:rsidR="00D101AE" w:rsidRDefault="00674C11" w:rsidP="00D101AE">
      <w:pPr>
        <w:jc w:val="center"/>
        <w:rPr>
          <w:b/>
        </w:rPr>
      </w:pPr>
      <w:r>
        <w:rPr>
          <w:b/>
        </w:rPr>
        <w:t>BEFORE THE</w:t>
      </w:r>
    </w:p>
    <w:p w14:paraId="2889EC95" w14:textId="77777777" w:rsidR="00D101AE" w:rsidRDefault="00674C11" w:rsidP="00D101AE">
      <w:pPr>
        <w:jc w:val="center"/>
        <w:rPr>
          <w:b/>
        </w:rPr>
      </w:pPr>
      <w:r>
        <w:rPr>
          <w:b/>
        </w:rPr>
        <w:t>PENNSYLVANIA PUBLIC UTILITY COMMISSION</w:t>
      </w:r>
    </w:p>
    <w:p w14:paraId="4E45DA88" w14:textId="77777777" w:rsidR="00D101AE" w:rsidRDefault="00D101AE" w:rsidP="00D101AE">
      <w:pPr>
        <w:jc w:val="center"/>
        <w:rPr>
          <w:b/>
        </w:rPr>
      </w:pPr>
    </w:p>
    <w:tbl>
      <w:tblPr>
        <w:tblStyle w:val="TableGrid"/>
        <w:tblW w:w="0" w:type="auto"/>
        <w:tblLook w:val="01E0" w:firstRow="1" w:lastRow="1" w:firstColumn="1" w:lastColumn="1" w:noHBand="0" w:noVBand="0"/>
      </w:tblPr>
      <w:tblGrid>
        <w:gridCol w:w="4311"/>
        <w:gridCol w:w="530"/>
        <w:gridCol w:w="4519"/>
      </w:tblGrid>
      <w:tr w:rsidR="00FC5512" w14:paraId="56CC0A1F" w14:textId="77777777" w:rsidTr="00AB6FB4">
        <w:tc>
          <w:tcPr>
            <w:tcW w:w="4311" w:type="dxa"/>
            <w:tcBorders>
              <w:top w:val="nil"/>
              <w:left w:val="nil"/>
              <w:bottom w:val="nil"/>
              <w:right w:val="nil"/>
            </w:tcBorders>
          </w:tcPr>
          <w:p w14:paraId="643325F4" w14:textId="0C78E57C" w:rsidR="00DA0146" w:rsidRDefault="00DA0146" w:rsidP="00AB6FB4">
            <w:pPr>
              <w:rPr>
                <w:sz w:val="24"/>
                <w:szCs w:val="24"/>
              </w:rPr>
            </w:pPr>
          </w:p>
          <w:p w14:paraId="15087B2D" w14:textId="77777777" w:rsidR="00B34715" w:rsidRDefault="00B34715" w:rsidP="00AB6FB4">
            <w:pPr>
              <w:rPr>
                <w:sz w:val="24"/>
                <w:szCs w:val="24"/>
              </w:rPr>
            </w:pPr>
          </w:p>
          <w:p w14:paraId="19440032" w14:textId="77777777" w:rsidR="00DA0146" w:rsidRDefault="00674C11" w:rsidP="00AB6FB4">
            <w:pPr>
              <w:rPr>
                <w:sz w:val="24"/>
                <w:szCs w:val="24"/>
              </w:rPr>
            </w:pPr>
            <w:r w:rsidRPr="008D7824">
              <w:rPr>
                <w:sz w:val="24"/>
                <w:szCs w:val="24"/>
              </w:rPr>
              <w:t>Pennsylvania Public Utility Commission</w:t>
            </w:r>
            <w:r>
              <w:rPr>
                <w:sz w:val="24"/>
                <w:szCs w:val="24"/>
              </w:rPr>
              <w:t>,</w:t>
            </w:r>
          </w:p>
          <w:p w14:paraId="60C84FFC" w14:textId="15C206B8" w:rsidR="00DA0146" w:rsidRDefault="00674C11" w:rsidP="00AB6FB4">
            <w:pPr>
              <w:rPr>
                <w:sz w:val="24"/>
                <w:szCs w:val="24"/>
              </w:rPr>
            </w:pPr>
            <w:r>
              <w:rPr>
                <w:sz w:val="24"/>
                <w:szCs w:val="24"/>
              </w:rPr>
              <w:t xml:space="preserve">Office of Consumer Advocate, </w:t>
            </w:r>
            <w:r w:rsidR="00A75801">
              <w:rPr>
                <w:sz w:val="24"/>
                <w:szCs w:val="24"/>
              </w:rPr>
              <w:t>a</w:t>
            </w:r>
            <w:r>
              <w:rPr>
                <w:sz w:val="24"/>
                <w:szCs w:val="24"/>
              </w:rPr>
              <w:t>nd</w:t>
            </w:r>
          </w:p>
          <w:p w14:paraId="7FB15DDF" w14:textId="77777777" w:rsidR="00DA0146" w:rsidRDefault="00674C11" w:rsidP="00AB6FB4">
            <w:pPr>
              <w:rPr>
                <w:sz w:val="24"/>
                <w:szCs w:val="24"/>
              </w:rPr>
            </w:pPr>
            <w:r>
              <w:rPr>
                <w:sz w:val="24"/>
                <w:szCs w:val="24"/>
              </w:rPr>
              <w:t>Office of Small Business Advocate</w:t>
            </w:r>
          </w:p>
          <w:p w14:paraId="526B205B" w14:textId="77777777" w:rsidR="00DA0146" w:rsidRPr="00E91736" w:rsidRDefault="00DA0146" w:rsidP="00AB6FB4">
            <w:pPr>
              <w:rPr>
                <w:i/>
                <w:sz w:val="24"/>
                <w:szCs w:val="24"/>
              </w:rPr>
            </w:pPr>
          </w:p>
          <w:p w14:paraId="72C53612" w14:textId="77777777" w:rsidR="00DA0146" w:rsidRDefault="00674C11" w:rsidP="00AB6FB4">
            <w:pPr>
              <w:rPr>
                <w:sz w:val="24"/>
                <w:szCs w:val="24"/>
              </w:rPr>
            </w:pPr>
            <w:r w:rsidRPr="008D7824">
              <w:rPr>
                <w:sz w:val="24"/>
                <w:szCs w:val="24"/>
              </w:rPr>
              <w:tab/>
              <w:t>v.</w:t>
            </w:r>
          </w:p>
          <w:p w14:paraId="12B849C7" w14:textId="77777777" w:rsidR="00DA0146" w:rsidRPr="008D7824" w:rsidRDefault="00DA0146" w:rsidP="00AB6FB4">
            <w:pPr>
              <w:rPr>
                <w:sz w:val="24"/>
                <w:szCs w:val="24"/>
              </w:rPr>
            </w:pPr>
          </w:p>
          <w:p w14:paraId="42F306DF" w14:textId="77777777" w:rsidR="00DA0146" w:rsidRDefault="00674C11" w:rsidP="00AB6FB4">
            <w:pPr>
              <w:rPr>
                <w:sz w:val="24"/>
                <w:szCs w:val="24"/>
              </w:rPr>
            </w:pPr>
            <w:r>
              <w:rPr>
                <w:sz w:val="24"/>
                <w:szCs w:val="24"/>
              </w:rPr>
              <w:t xml:space="preserve">UGI Utilities, Inc. – Gas Division </w:t>
            </w:r>
          </w:p>
          <w:p w14:paraId="005B7FF8" w14:textId="79D475A0" w:rsidR="00DA0146" w:rsidRDefault="00905569" w:rsidP="00AB6FB4">
            <w:pPr>
              <w:rPr>
                <w:sz w:val="24"/>
                <w:szCs w:val="24"/>
              </w:rPr>
            </w:pPr>
            <w:r>
              <w:rPr>
                <w:sz w:val="24"/>
                <w:szCs w:val="24"/>
              </w:rPr>
              <w:t>1307(f) Proceedin</w:t>
            </w:r>
            <w:r w:rsidR="00B40464">
              <w:rPr>
                <w:sz w:val="24"/>
                <w:szCs w:val="24"/>
              </w:rPr>
              <w:t>g</w:t>
            </w:r>
          </w:p>
          <w:p w14:paraId="5148F03C" w14:textId="77777777" w:rsidR="00DA0146" w:rsidRPr="008D7824" w:rsidRDefault="00DA0146" w:rsidP="00AB6FB4">
            <w:pPr>
              <w:rPr>
                <w:sz w:val="24"/>
                <w:szCs w:val="24"/>
              </w:rPr>
            </w:pPr>
          </w:p>
        </w:tc>
        <w:tc>
          <w:tcPr>
            <w:tcW w:w="530" w:type="dxa"/>
            <w:tcBorders>
              <w:top w:val="nil"/>
              <w:left w:val="nil"/>
              <w:bottom w:val="nil"/>
              <w:right w:val="nil"/>
            </w:tcBorders>
          </w:tcPr>
          <w:p w14:paraId="76350EE7" w14:textId="016A1883" w:rsidR="00DA0146" w:rsidRDefault="00DA0146" w:rsidP="00AB6FB4">
            <w:pPr>
              <w:rPr>
                <w:b/>
                <w:sz w:val="24"/>
                <w:szCs w:val="24"/>
              </w:rPr>
            </w:pPr>
          </w:p>
          <w:p w14:paraId="5E3AFEAE" w14:textId="77777777" w:rsidR="00B34715" w:rsidRDefault="00B34715" w:rsidP="00AB6FB4">
            <w:pPr>
              <w:rPr>
                <w:b/>
                <w:sz w:val="24"/>
                <w:szCs w:val="24"/>
              </w:rPr>
            </w:pPr>
          </w:p>
          <w:p w14:paraId="6C89ABBA" w14:textId="77777777" w:rsidR="00DA0146" w:rsidRDefault="00674C11" w:rsidP="00AB6FB4">
            <w:pPr>
              <w:rPr>
                <w:b/>
                <w:sz w:val="24"/>
                <w:szCs w:val="24"/>
              </w:rPr>
            </w:pPr>
            <w:r w:rsidRPr="008D7824">
              <w:rPr>
                <w:b/>
                <w:sz w:val="24"/>
                <w:szCs w:val="24"/>
              </w:rPr>
              <w:t>:</w:t>
            </w:r>
            <w:r w:rsidRPr="008D7824">
              <w:rPr>
                <w:b/>
                <w:sz w:val="24"/>
                <w:szCs w:val="24"/>
              </w:rPr>
              <w:br/>
              <w:t>:</w:t>
            </w:r>
            <w:r w:rsidRPr="008D7824">
              <w:rPr>
                <w:b/>
                <w:sz w:val="24"/>
                <w:szCs w:val="24"/>
              </w:rPr>
              <w:br/>
              <w:t>:</w:t>
            </w:r>
            <w:r w:rsidRPr="008D7824">
              <w:rPr>
                <w:b/>
                <w:sz w:val="24"/>
                <w:szCs w:val="24"/>
              </w:rPr>
              <w:br/>
              <w:t>:</w:t>
            </w:r>
            <w:r w:rsidRPr="008D7824">
              <w:rPr>
                <w:b/>
                <w:sz w:val="24"/>
                <w:szCs w:val="24"/>
              </w:rPr>
              <w:br/>
              <w:t>:</w:t>
            </w:r>
          </w:p>
          <w:p w14:paraId="788DE97D" w14:textId="77777777" w:rsidR="00DA0146" w:rsidRDefault="00674C11" w:rsidP="00AB6FB4">
            <w:pPr>
              <w:rPr>
                <w:b/>
                <w:sz w:val="24"/>
                <w:szCs w:val="24"/>
              </w:rPr>
            </w:pPr>
            <w:r>
              <w:rPr>
                <w:b/>
                <w:sz w:val="24"/>
                <w:szCs w:val="24"/>
              </w:rPr>
              <w:t>:</w:t>
            </w:r>
          </w:p>
          <w:p w14:paraId="77436867" w14:textId="77777777" w:rsidR="00DA0146" w:rsidRDefault="00674C11" w:rsidP="00AB6FB4">
            <w:pPr>
              <w:rPr>
                <w:b/>
                <w:sz w:val="24"/>
                <w:szCs w:val="24"/>
              </w:rPr>
            </w:pPr>
            <w:r>
              <w:rPr>
                <w:b/>
                <w:sz w:val="24"/>
                <w:szCs w:val="24"/>
              </w:rPr>
              <w:t>:</w:t>
            </w:r>
          </w:p>
          <w:p w14:paraId="70092B54" w14:textId="66B1703C" w:rsidR="00DA0146" w:rsidRPr="008D7824" w:rsidRDefault="00B40464" w:rsidP="00AB6FB4">
            <w:pPr>
              <w:rPr>
                <w:b/>
                <w:sz w:val="24"/>
                <w:szCs w:val="24"/>
              </w:rPr>
            </w:pPr>
            <w:r>
              <w:rPr>
                <w:b/>
                <w:sz w:val="24"/>
                <w:szCs w:val="24"/>
              </w:rPr>
              <w:t>:</w:t>
            </w:r>
          </w:p>
        </w:tc>
        <w:tc>
          <w:tcPr>
            <w:tcW w:w="4519" w:type="dxa"/>
            <w:tcBorders>
              <w:top w:val="nil"/>
              <w:left w:val="nil"/>
              <w:bottom w:val="nil"/>
              <w:right w:val="nil"/>
            </w:tcBorders>
          </w:tcPr>
          <w:p w14:paraId="2AD035B8" w14:textId="77777777" w:rsidR="00DA0146" w:rsidRDefault="00DA0146" w:rsidP="00AB6FB4">
            <w:pPr>
              <w:ind w:left="1332"/>
              <w:rPr>
                <w:sz w:val="24"/>
                <w:szCs w:val="24"/>
              </w:rPr>
            </w:pPr>
          </w:p>
          <w:p w14:paraId="4AB6FCAE" w14:textId="77777777" w:rsidR="00B34715" w:rsidRDefault="00B34715" w:rsidP="00AB6FB4">
            <w:pPr>
              <w:rPr>
                <w:sz w:val="24"/>
                <w:szCs w:val="24"/>
              </w:rPr>
            </w:pPr>
          </w:p>
          <w:p w14:paraId="10A9A598" w14:textId="6BE6836F" w:rsidR="00DA0146" w:rsidRDefault="00D73EC0" w:rsidP="00AB6FB4">
            <w:pPr>
              <w:rPr>
                <w:sz w:val="24"/>
                <w:szCs w:val="24"/>
              </w:rPr>
            </w:pPr>
            <w:r>
              <w:rPr>
                <w:sz w:val="24"/>
                <w:szCs w:val="24"/>
              </w:rPr>
              <w:t xml:space="preserve">                      </w:t>
            </w:r>
            <w:r w:rsidR="00674C11" w:rsidRPr="00895A8D">
              <w:rPr>
                <w:sz w:val="24"/>
                <w:szCs w:val="24"/>
              </w:rPr>
              <w:t>R-</w:t>
            </w:r>
            <w:r w:rsidR="00674C11">
              <w:rPr>
                <w:sz w:val="24"/>
                <w:szCs w:val="24"/>
              </w:rPr>
              <w:t>202</w:t>
            </w:r>
            <w:r w:rsidR="00DF616D">
              <w:rPr>
                <w:sz w:val="24"/>
                <w:szCs w:val="24"/>
              </w:rPr>
              <w:t>2</w:t>
            </w:r>
            <w:r w:rsidR="00674C11">
              <w:rPr>
                <w:sz w:val="24"/>
                <w:szCs w:val="24"/>
              </w:rPr>
              <w:t>-30</w:t>
            </w:r>
            <w:r w:rsidR="00DF616D">
              <w:rPr>
                <w:sz w:val="24"/>
                <w:szCs w:val="24"/>
              </w:rPr>
              <w:t>32242</w:t>
            </w:r>
          </w:p>
          <w:p w14:paraId="3039821F" w14:textId="380D08F7" w:rsidR="00DA0146" w:rsidRDefault="00DF616D" w:rsidP="00DF616D">
            <w:pPr>
              <w:ind w:left="1350"/>
              <w:rPr>
                <w:sz w:val="24"/>
                <w:szCs w:val="24"/>
              </w:rPr>
            </w:pPr>
            <w:r>
              <w:rPr>
                <w:sz w:val="24"/>
                <w:szCs w:val="24"/>
              </w:rPr>
              <w:t>C-2022-3032385</w:t>
            </w:r>
          </w:p>
          <w:p w14:paraId="2941A7B8" w14:textId="70D0E4DC" w:rsidR="00DA0146" w:rsidRPr="008D7824" w:rsidRDefault="00DF616D" w:rsidP="00DF616D">
            <w:pPr>
              <w:ind w:left="1350"/>
              <w:rPr>
                <w:sz w:val="24"/>
                <w:szCs w:val="24"/>
              </w:rPr>
            </w:pPr>
            <w:r>
              <w:rPr>
                <w:sz w:val="24"/>
                <w:szCs w:val="24"/>
              </w:rPr>
              <w:t>C-2022-3032539</w:t>
            </w:r>
          </w:p>
        </w:tc>
      </w:tr>
      <w:tr w:rsidR="00DF616D" w14:paraId="3C8BFA6F" w14:textId="77777777" w:rsidTr="00AB6FB4">
        <w:tc>
          <w:tcPr>
            <w:tcW w:w="4311" w:type="dxa"/>
            <w:tcBorders>
              <w:top w:val="nil"/>
              <w:left w:val="nil"/>
              <w:bottom w:val="nil"/>
              <w:right w:val="nil"/>
            </w:tcBorders>
          </w:tcPr>
          <w:p w14:paraId="7D8B1E14" w14:textId="77777777" w:rsidR="00DF616D" w:rsidRDefault="00DF616D" w:rsidP="00AB6FB4"/>
        </w:tc>
        <w:tc>
          <w:tcPr>
            <w:tcW w:w="530" w:type="dxa"/>
            <w:tcBorders>
              <w:top w:val="nil"/>
              <w:left w:val="nil"/>
              <w:bottom w:val="nil"/>
              <w:right w:val="nil"/>
            </w:tcBorders>
          </w:tcPr>
          <w:p w14:paraId="5D0DE684" w14:textId="77777777" w:rsidR="00DF616D" w:rsidRDefault="00DF616D" w:rsidP="00AB6FB4">
            <w:pPr>
              <w:rPr>
                <w:b/>
              </w:rPr>
            </w:pPr>
          </w:p>
        </w:tc>
        <w:tc>
          <w:tcPr>
            <w:tcW w:w="4519" w:type="dxa"/>
            <w:tcBorders>
              <w:top w:val="nil"/>
              <w:left w:val="nil"/>
              <w:bottom w:val="nil"/>
              <w:right w:val="nil"/>
            </w:tcBorders>
          </w:tcPr>
          <w:p w14:paraId="79513C87" w14:textId="77777777" w:rsidR="00DF616D" w:rsidRDefault="00DF616D" w:rsidP="00AB6FB4">
            <w:pPr>
              <w:ind w:left="1332"/>
            </w:pPr>
          </w:p>
        </w:tc>
      </w:tr>
    </w:tbl>
    <w:tbl>
      <w:tblPr>
        <w:tblW w:w="0" w:type="auto"/>
        <w:tblLayout w:type="fixed"/>
        <w:tblLook w:val="0000" w:firstRow="0" w:lastRow="0" w:firstColumn="0" w:lastColumn="0" w:noHBand="0" w:noVBand="0"/>
      </w:tblPr>
      <w:tblGrid>
        <w:gridCol w:w="4788"/>
        <w:gridCol w:w="450"/>
        <w:gridCol w:w="4338"/>
      </w:tblGrid>
      <w:tr w:rsidR="00FC5512" w14:paraId="15808716" w14:textId="77777777" w:rsidTr="00D37C00">
        <w:tc>
          <w:tcPr>
            <w:tcW w:w="4788" w:type="dxa"/>
          </w:tcPr>
          <w:p w14:paraId="65789CD6" w14:textId="77777777" w:rsidR="00607844" w:rsidRPr="008D7824" w:rsidRDefault="00607844" w:rsidP="006C594B"/>
        </w:tc>
        <w:tc>
          <w:tcPr>
            <w:tcW w:w="450" w:type="dxa"/>
          </w:tcPr>
          <w:p w14:paraId="0BD6B9F5" w14:textId="06C17D1B" w:rsidR="00607844" w:rsidRPr="008D7824" w:rsidRDefault="00607844" w:rsidP="006C594B">
            <w:pPr>
              <w:rPr>
                <w:b/>
              </w:rPr>
            </w:pPr>
          </w:p>
        </w:tc>
        <w:tc>
          <w:tcPr>
            <w:tcW w:w="4338" w:type="dxa"/>
          </w:tcPr>
          <w:p w14:paraId="3F009C7F" w14:textId="77777777" w:rsidR="00607844" w:rsidRPr="008D7824" w:rsidRDefault="00607844" w:rsidP="006C594B"/>
        </w:tc>
      </w:tr>
    </w:tbl>
    <w:p w14:paraId="7ECB0D63" w14:textId="615B527F" w:rsidR="00BE69D6" w:rsidRPr="00AF1E3D" w:rsidRDefault="00674C11" w:rsidP="00F10396">
      <w:pPr>
        <w:spacing w:line="360" w:lineRule="auto"/>
        <w:jc w:val="center"/>
        <w:rPr>
          <w:b/>
          <w:u w:val="single"/>
        </w:rPr>
      </w:pPr>
      <w:r w:rsidRPr="00AF1E3D">
        <w:rPr>
          <w:b/>
          <w:u w:val="single"/>
        </w:rPr>
        <w:t>ORDER</w:t>
      </w:r>
    </w:p>
    <w:p w14:paraId="489CA373" w14:textId="77777777" w:rsidR="00B34715" w:rsidRPr="0061357E" w:rsidRDefault="00B34715" w:rsidP="00F10396">
      <w:pPr>
        <w:spacing w:line="360" w:lineRule="auto"/>
        <w:jc w:val="center"/>
        <w:rPr>
          <w:b/>
        </w:rPr>
      </w:pPr>
    </w:p>
    <w:p w14:paraId="1A5B1D36" w14:textId="631AB2C7" w:rsidR="00B27089" w:rsidRDefault="00B27089" w:rsidP="00B34715">
      <w:pPr>
        <w:pStyle w:val="BodyText2"/>
        <w:spacing w:line="360" w:lineRule="auto"/>
        <w:rPr>
          <w:color w:val="000000"/>
        </w:rPr>
      </w:pPr>
      <w:r>
        <w:rPr>
          <w:color w:val="000000"/>
        </w:rPr>
        <w:tab/>
        <w:t xml:space="preserve">This Order is issued pursuant to the authority of presiding officers at 52 Pa. Code </w:t>
      </w:r>
      <w:r>
        <w:rPr>
          <w:rFonts w:cs="Times New Roman"/>
          <w:color w:val="000000"/>
        </w:rPr>
        <w:t>§</w:t>
      </w:r>
      <w:r>
        <w:rPr>
          <w:color w:val="000000"/>
        </w:rPr>
        <w:t xml:space="preserve"> 5.483</w:t>
      </w:r>
      <w:r w:rsidR="0051715F">
        <w:rPr>
          <w:color w:val="000000"/>
        </w:rPr>
        <w:t xml:space="preserve"> and </w:t>
      </w:r>
      <w:r w:rsidR="00EA58AE">
        <w:rPr>
          <w:color w:val="000000"/>
        </w:rPr>
        <w:t xml:space="preserve">the directive to presiding officers at </w:t>
      </w:r>
      <w:r w:rsidR="007364B3">
        <w:rPr>
          <w:color w:val="000000"/>
        </w:rPr>
        <w:t xml:space="preserve">52 Pa. Code </w:t>
      </w:r>
      <w:r w:rsidR="007364B3" w:rsidRPr="007364B3">
        <w:rPr>
          <w:color w:val="000000"/>
        </w:rPr>
        <w:t>§ 5.224</w:t>
      </w:r>
      <w:r w:rsidR="00EA58AE">
        <w:rPr>
          <w:color w:val="000000"/>
        </w:rPr>
        <w:t>(d)</w:t>
      </w:r>
      <w:r>
        <w:rPr>
          <w:color w:val="000000"/>
        </w:rPr>
        <w:t>.</w:t>
      </w:r>
    </w:p>
    <w:p w14:paraId="5C31F903" w14:textId="77777777" w:rsidR="00A85EED" w:rsidRDefault="00A85EED" w:rsidP="00B34715">
      <w:pPr>
        <w:pStyle w:val="BodyText2"/>
        <w:spacing w:line="360" w:lineRule="auto"/>
        <w:rPr>
          <w:color w:val="000000"/>
        </w:rPr>
      </w:pPr>
    </w:p>
    <w:p w14:paraId="45BEEB8E" w14:textId="7BE5C8AC" w:rsidR="00B27089" w:rsidRPr="00B27089" w:rsidRDefault="00B27089" w:rsidP="00B27089">
      <w:pPr>
        <w:pStyle w:val="BodyText2"/>
        <w:spacing w:line="360" w:lineRule="auto"/>
        <w:rPr>
          <w:color w:val="000000"/>
        </w:rPr>
      </w:pPr>
      <w:r>
        <w:rPr>
          <w:color w:val="000000"/>
        </w:rPr>
        <w:tab/>
      </w:r>
      <w:r w:rsidRPr="00B27089">
        <w:rPr>
          <w:color w:val="000000"/>
        </w:rPr>
        <w:t xml:space="preserve">On April 29, 2022, </w:t>
      </w:r>
      <w:r>
        <w:rPr>
          <w:color w:val="000000"/>
        </w:rPr>
        <w:t xml:space="preserve">UGI Utilities, Inc. – Gas Division (UGI or </w:t>
      </w:r>
      <w:r w:rsidRPr="00B27089">
        <w:rPr>
          <w:color w:val="000000"/>
        </w:rPr>
        <w:t>the Company</w:t>
      </w:r>
      <w:r>
        <w:rPr>
          <w:color w:val="000000"/>
        </w:rPr>
        <w:t>)</w:t>
      </w:r>
      <w:r w:rsidRPr="00B27089">
        <w:rPr>
          <w:color w:val="000000"/>
        </w:rPr>
        <w:t xml:space="preserve"> </w:t>
      </w:r>
      <w:r w:rsidR="00A85EED">
        <w:rPr>
          <w:color w:val="000000"/>
        </w:rPr>
        <w:t>filed with t</w:t>
      </w:r>
      <w:r w:rsidRPr="00B27089">
        <w:rPr>
          <w:color w:val="000000"/>
        </w:rPr>
        <w:t>he Commission data related to the recovery of purchased gas costs</w:t>
      </w:r>
      <w:r w:rsidR="00A85EED">
        <w:rPr>
          <w:color w:val="000000"/>
        </w:rPr>
        <w:t xml:space="preserve"> (PGCs)</w:t>
      </w:r>
      <w:r w:rsidRPr="00B27089">
        <w:rPr>
          <w:color w:val="000000"/>
        </w:rPr>
        <w:t xml:space="preserve"> pursuant to Section 1307(f) of the Public Utility Code, 66 Pa. C.S. § 1307(f), and in accordance with the Commission’s regulations at 52 Pa. Code §§ 53.64 and 53.65. </w:t>
      </w:r>
    </w:p>
    <w:p w14:paraId="7A9D53C1" w14:textId="77777777" w:rsidR="00A85EED" w:rsidRDefault="00A85EED" w:rsidP="00B27089">
      <w:pPr>
        <w:pStyle w:val="BodyText2"/>
        <w:spacing w:line="360" w:lineRule="auto"/>
        <w:rPr>
          <w:color w:val="000000"/>
        </w:rPr>
      </w:pPr>
    </w:p>
    <w:p w14:paraId="751EAD95" w14:textId="2BC76812" w:rsidR="00A85EED" w:rsidRDefault="00526EA6" w:rsidP="00B27089">
      <w:pPr>
        <w:pStyle w:val="BodyText2"/>
        <w:spacing w:line="360" w:lineRule="auto"/>
        <w:rPr>
          <w:color w:val="000000"/>
        </w:rPr>
      </w:pPr>
      <w:r>
        <w:rPr>
          <w:color w:val="000000"/>
        </w:rPr>
        <w:tab/>
      </w:r>
      <w:r w:rsidR="00B27089" w:rsidRPr="00B27089">
        <w:rPr>
          <w:color w:val="000000"/>
        </w:rPr>
        <w:t>On May 6, 2022, the Office of Consumer Advocate (OCA) filed a Notice of Appearance, Formal Complaint, and Public Statement in the Company’s PGC proceeding.</w:t>
      </w:r>
    </w:p>
    <w:p w14:paraId="485F9003" w14:textId="3B9C4563" w:rsidR="00B27089" w:rsidRPr="00B27089" w:rsidRDefault="00B27089" w:rsidP="00B27089">
      <w:pPr>
        <w:pStyle w:val="BodyText2"/>
        <w:spacing w:line="360" w:lineRule="auto"/>
        <w:rPr>
          <w:color w:val="000000"/>
        </w:rPr>
      </w:pPr>
      <w:r w:rsidRPr="00B27089">
        <w:rPr>
          <w:color w:val="000000"/>
        </w:rPr>
        <w:t xml:space="preserve">  </w:t>
      </w:r>
    </w:p>
    <w:p w14:paraId="15248C5F" w14:textId="79B00CF7" w:rsidR="00B27089" w:rsidRDefault="00526EA6" w:rsidP="00B27089">
      <w:pPr>
        <w:pStyle w:val="BodyText2"/>
        <w:spacing w:line="360" w:lineRule="auto"/>
        <w:rPr>
          <w:color w:val="000000"/>
        </w:rPr>
      </w:pPr>
      <w:r>
        <w:rPr>
          <w:color w:val="000000"/>
        </w:rPr>
        <w:tab/>
      </w:r>
      <w:r w:rsidR="00B27089" w:rsidRPr="00B27089">
        <w:rPr>
          <w:color w:val="000000"/>
        </w:rPr>
        <w:t>On May 19, 2022, the Office of Small Business Advocate (OSBA) filed a Notice of Appearance, Formal Complaint, Public Statement, and Verification in this proceeding.</w:t>
      </w:r>
    </w:p>
    <w:p w14:paraId="0C40F6D6" w14:textId="77777777" w:rsidR="00A85EED" w:rsidRPr="00B27089" w:rsidRDefault="00A85EED" w:rsidP="00B27089">
      <w:pPr>
        <w:pStyle w:val="BodyText2"/>
        <w:spacing w:line="360" w:lineRule="auto"/>
        <w:rPr>
          <w:color w:val="000000"/>
        </w:rPr>
      </w:pPr>
    </w:p>
    <w:p w14:paraId="3629E4B7" w14:textId="71EE554A" w:rsidR="00B27089" w:rsidRDefault="00526EA6" w:rsidP="00B27089">
      <w:pPr>
        <w:pStyle w:val="BodyText2"/>
        <w:spacing w:line="360" w:lineRule="auto"/>
        <w:rPr>
          <w:color w:val="000000"/>
        </w:rPr>
      </w:pPr>
      <w:r>
        <w:rPr>
          <w:color w:val="000000"/>
        </w:rPr>
        <w:tab/>
      </w:r>
      <w:r w:rsidR="00B27089" w:rsidRPr="00B27089">
        <w:rPr>
          <w:color w:val="000000"/>
        </w:rPr>
        <w:t>On May 24, 2022, the Commission’s Bureau of Investigation and Enforcement (I&amp;E) filed a Notice of Appearance in the proceeding.</w:t>
      </w:r>
    </w:p>
    <w:p w14:paraId="7F216D4B" w14:textId="77777777" w:rsidR="00A85EED" w:rsidRPr="00B27089" w:rsidRDefault="00A85EED" w:rsidP="00B27089">
      <w:pPr>
        <w:pStyle w:val="BodyText2"/>
        <w:spacing w:line="360" w:lineRule="auto"/>
        <w:rPr>
          <w:color w:val="000000"/>
        </w:rPr>
      </w:pPr>
    </w:p>
    <w:p w14:paraId="0CA3C031" w14:textId="77777777" w:rsidR="00F10396" w:rsidRDefault="00526EA6" w:rsidP="00B27089">
      <w:pPr>
        <w:pStyle w:val="BodyText2"/>
        <w:spacing w:line="360" w:lineRule="auto"/>
        <w:rPr>
          <w:color w:val="000000"/>
        </w:rPr>
        <w:sectPr w:rsidR="00F10396" w:rsidSect="007C0F2F">
          <w:footerReference w:type="even" r:id="rId8"/>
          <w:footerReference w:type="default" r:id="rId9"/>
          <w:pgSz w:w="12240" w:h="15840" w:code="1"/>
          <w:pgMar w:top="1440" w:right="1440" w:bottom="1440" w:left="1440" w:header="720" w:footer="720" w:gutter="0"/>
          <w:cols w:space="720"/>
          <w:docGrid w:linePitch="360"/>
        </w:sectPr>
      </w:pPr>
      <w:r>
        <w:rPr>
          <w:color w:val="000000"/>
        </w:rPr>
        <w:tab/>
      </w:r>
      <w:r w:rsidR="00B27089" w:rsidRPr="00B27089">
        <w:rPr>
          <w:color w:val="000000"/>
        </w:rPr>
        <w:t xml:space="preserve">On June 1, 2022, UGI filed its definitive PGC filing, including supporting information required by the Commission’s regulations, the Company’s direct testimony and </w:t>
      </w:r>
    </w:p>
    <w:p w14:paraId="00380FE9" w14:textId="694226B9" w:rsidR="00B27089" w:rsidRPr="00B27089" w:rsidRDefault="00B27089" w:rsidP="00F10396">
      <w:pPr>
        <w:pStyle w:val="BodyText2"/>
        <w:spacing w:line="360" w:lineRule="auto"/>
        <w:ind w:firstLine="0"/>
        <w:rPr>
          <w:color w:val="000000"/>
        </w:rPr>
      </w:pPr>
      <w:r w:rsidRPr="00B27089">
        <w:rPr>
          <w:color w:val="000000"/>
        </w:rPr>
        <w:lastRenderedPageBreak/>
        <w:t xml:space="preserve">exhibits and </w:t>
      </w:r>
      <w:r w:rsidR="006829C5" w:rsidRPr="006829C5">
        <w:rPr>
          <w:i/>
          <w:iCs/>
          <w:color w:val="000000"/>
        </w:rPr>
        <w:t>p</w:t>
      </w:r>
      <w:r w:rsidRPr="00B27089">
        <w:rPr>
          <w:i/>
          <w:iCs/>
          <w:color w:val="000000"/>
        </w:rPr>
        <w:t xml:space="preserve">ro </w:t>
      </w:r>
      <w:r w:rsidR="006829C5" w:rsidRPr="006829C5">
        <w:rPr>
          <w:i/>
          <w:iCs/>
          <w:color w:val="000000"/>
        </w:rPr>
        <w:t>f</w:t>
      </w:r>
      <w:r w:rsidRPr="00B27089">
        <w:rPr>
          <w:i/>
          <w:iCs/>
          <w:color w:val="000000"/>
        </w:rPr>
        <w:t>orma</w:t>
      </w:r>
      <w:r w:rsidRPr="00B27089">
        <w:rPr>
          <w:color w:val="000000"/>
        </w:rPr>
        <w:t xml:space="preserve"> Tariff Supplement reflecting actual and projected changes in natural gas costs.  UGI Gas is proposing a PGC rate of $8.0136 per Mcf, effective December 1, 2022.</w:t>
      </w:r>
    </w:p>
    <w:p w14:paraId="5BCA21B2" w14:textId="747B9D5A" w:rsidR="00B27089" w:rsidRDefault="00B27089" w:rsidP="00B34715">
      <w:pPr>
        <w:pStyle w:val="BodyText2"/>
        <w:spacing w:line="360" w:lineRule="auto"/>
        <w:rPr>
          <w:color w:val="000000"/>
        </w:rPr>
      </w:pPr>
    </w:p>
    <w:p w14:paraId="455070EB" w14:textId="5680351A" w:rsidR="00B27089" w:rsidRDefault="00A85EED" w:rsidP="00B34715">
      <w:pPr>
        <w:pStyle w:val="BodyText2"/>
        <w:spacing w:line="360" w:lineRule="auto"/>
        <w:rPr>
          <w:color w:val="000000"/>
        </w:rPr>
      </w:pPr>
      <w:r>
        <w:rPr>
          <w:color w:val="000000"/>
        </w:rPr>
        <w:tab/>
      </w:r>
      <w:r w:rsidR="002E5555">
        <w:rPr>
          <w:color w:val="000000"/>
        </w:rPr>
        <w:t xml:space="preserve">A telephonic prehearing Conference was held on June 9, 2022.  </w:t>
      </w:r>
      <w:r w:rsidR="00325158" w:rsidRPr="00325158">
        <w:rPr>
          <w:color w:val="000000"/>
        </w:rPr>
        <w:t>Lindsay A. Berkstresser</w:t>
      </w:r>
      <w:r w:rsidR="008310E3">
        <w:rPr>
          <w:color w:val="000000"/>
        </w:rPr>
        <w:t>, Esquire, attended on behalf of UGI.  L</w:t>
      </w:r>
      <w:r w:rsidR="00BF43D4" w:rsidRPr="00BF43D4">
        <w:rPr>
          <w:color w:val="000000"/>
        </w:rPr>
        <w:t>auren E. Guerra</w:t>
      </w:r>
      <w:r w:rsidR="001C4E2E">
        <w:rPr>
          <w:color w:val="000000"/>
        </w:rPr>
        <w:t xml:space="preserve">, </w:t>
      </w:r>
      <w:r w:rsidR="009D058A">
        <w:rPr>
          <w:color w:val="000000"/>
        </w:rPr>
        <w:t>Ass</w:t>
      </w:r>
      <w:r w:rsidR="00B94373">
        <w:rPr>
          <w:color w:val="000000"/>
        </w:rPr>
        <w:t>istant Consumer Advocate</w:t>
      </w:r>
      <w:r w:rsidR="001C4E2E">
        <w:rPr>
          <w:color w:val="000000"/>
        </w:rPr>
        <w:t xml:space="preserve">, attended on behalf of the OCA.  </w:t>
      </w:r>
      <w:r w:rsidR="007F65A5">
        <w:rPr>
          <w:color w:val="000000"/>
        </w:rPr>
        <w:t>Steven C. Gray</w:t>
      </w:r>
      <w:r w:rsidR="001C4E2E">
        <w:rPr>
          <w:color w:val="000000"/>
        </w:rPr>
        <w:t xml:space="preserve">, </w:t>
      </w:r>
      <w:r w:rsidR="00F55FFE" w:rsidRPr="00F55FFE">
        <w:rPr>
          <w:color w:val="000000"/>
        </w:rPr>
        <w:t>Senior Supervising Assistant Small Business Advocate</w:t>
      </w:r>
      <w:r w:rsidR="001C4E2E">
        <w:rPr>
          <w:color w:val="000000"/>
        </w:rPr>
        <w:t>, attended on behalf of the OSBA</w:t>
      </w:r>
      <w:r w:rsidR="00052E8F">
        <w:rPr>
          <w:color w:val="000000"/>
        </w:rPr>
        <w:t xml:space="preserve">. </w:t>
      </w:r>
      <w:r w:rsidR="008310E3">
        <w:rPr>
          <w:color w:val="000000"/>
        </w:rPr>
        <w:t xml:space="preserve"> </w:t>
      </w:r>
      <w:r w:rsidR="00C12F40">
        <w:rPr>
          <w:color w:val="000000"/>
        </w:rPr>
        <w:t>Scott B. Granger</w:t>
      </w:r>
      <w:r w:rsidR="00052E8F">
        <w:rPr>
          <w:color w:val="000000"/>
        </w:rPr>
        <w:t xml:space="preserve">, </w:t>
      </w:r>
      <w:r w:rsidR="00F55FFE">
        <w:rPr>
          <w:color w:val="000000"/>
        </w:rPr>
        <w:t>Prosecutor</w:t>
      </w:r>
      <w:r w:rsidR="00052E8F">
        <w:rPr>
          <w:color w:val="000000"/>
        </w:rPr>
        <w:t>, attended on behalf of I&amp;E.</w:t>
      </w:r>
      <w:r w:rsidR="00C54970">
        <w:rPr>
          <w:rStyle w:val="FootnoteReference"/>
          <w:color w:val="000000"/>
        </w:rPr>
        <w:footnoteReference w:id="1"/>
      </w:r>
      <w:r w:rsidR="00BF7607">
        <w:rPr>
          <w:color w:val="000000"/>
        </w:rPr>
        <w:t xml:space="preserve">  The parties </w:t>
      </w:r>
      <w:r w:rsidR="008A7EC2">
        <w:rPr>
          <w:color w:val="000000"/>
        </w:rPr>
        <w:t>presented a</w:t>
      </w:r>
      <w:r w:rsidR="00BF7607">
        <w:rPr>
          <w:color w:val="000000"/>
        </w:rPr>
        <w:t xml:space="preserve"> litigation schedule that </w:t>
      </w:r>
      <w:r w:rsidR="003613EA">
        <w:rPr>
          <w:color w:val="000000"/>
        </w:rPr>
        <w:t xml:space="preserve">was </w:t>
      </w:r>
      <w:proofErr w:type="gramStart"/>
      <w:r w:rsidR="003613EA">
        <w:rPr>
          <w:color w:val="000000"/>
        </w:rPr>
        <w:t>accepted</w:t>
      </w:r>
      <w:proofErr w:type="gramEnd"/>
      <w:r w:rsidR="003613EA">
        <w:rPr>
          <w:color w:val="000000"/>
        </w:rPr>
        <w:t xml:space="preserve"> and which </w:t>
      </w:r>
      <w:r w:rsidR="00BF7607">
        <w:rPr>
          <w:color w:val="000000"/>
        </w:rPr>
        <w:t>is set forth in this Order.  The parties agreed to certain modifications of the Commission’s rules of discovery</w:t>
      </w:r>
      <w:r w:rsidR="005C1F92">
        <w:rPr>
          <w:color w:val="000000"/>
        </w:rPr>
        <w:t xml:space="preserve">, which modifications are also set forth in this Order.  The parties agreed to the consolidation of </w:t>
      </w:r>
      <w:r w:rsidR="0019372D">
        <w:rPr>
          <w:color w:val="000000"/>
        </w:rPr>
        <w:t>the UGI rate proceeding with the formal Complaints of the OCA and the OSBA.</w:t>
      </w:r>
      <w:r w:rsidR="00FF708B">
        <w:rPr>
          <w:rStyle w:val="FootnoteReference"/>
          <w:color w:val="000000"/>
        </w:rPr>
        <w:footnoteReference w:id="2"/>
      </w:r>
      <w:r w:rsidR="0019372D">
        <w:rPr>
          <w:color w:val="000000"/>
        </w:rPr>
        <w:t xml:space="preserve">  </w:t>
      </w:r>
      <w:r w:rsidR="009A0825">
        <w:rPr>
          <w:color w:val="000000"/>
        </w:rPr>
        <w:t>No public input hearing has been requested</w:t>
      </w:r>
      <w:r w:rsidR="00D53093">
        <w:rPr>
          <w:color w:val="000000"/>
        </w:rPr>
        <w:t>, but the OCA stated that it would inform the presiding officer and the other parties if such a request is received.</w:t>
      </w:r>
    </w:p>
    <w:p w14:paraId="0F821B43" w14:textId="0D5C93A3" w:rsidR="006055E7" w:rsidRDefault="006055E7" w:rsidP="00B34715">
      <w:pPr>
        <w:pStyle w:val="BodyText2"/>
        <w:spacing w:line="360" w:lineRule="auto"/>
        <w:rPr>
          <w:color w:val="000000"/>
        </w:rPr>
      </w:pPr>
    </w:p>
    <w:p w14:paraId="339893D4" w14:textId="4B009D40" w:rsidR="006055E7" w:rsidRDefault="00BC1C0A" w:rsidP="00B34715">
      <w:pPr>
        <w:pStyle w:val="BodyText2"/>
        <w:spacing w:line="360" w:lineRule="auto"/>
        <w:rPr>
          <w:color w:val="000000"/>
        </w:rPr>
      </w:pPr>
      <w:r>
        <w:rPr>
          <w:color w:val="000000"/>
        </w:rPr>
        <w:tab/>
      </w:r>
      <w:proofErr w:type="gramStart"/>
      <w:r>
        <w:rPr>
          <w:color w:val="000000"/>
        </w:rPr>
        <w:t>In the event that</w:t>
      </w:r>
      <w:proofErr w:type="gramEnd"/>
      <w:r>
        <w:rPr>
          <w:color w:val="000000"/>
        </w:rPr>
        <w:t xml:space="preserve"> a comprehensive settlement in this matter is not achieved, thus necessitating an evidentiary hearing, UGI </w:t>
      </w:r>
      <w:r w:rsidR="00330E76">
        <w:rPr>
          <w:color w:val="000000"/>
        </w:rPr>
        <w:t xml:space="preserve">in its prehearing Memorandum </w:t>
      </w:r>
      <w:r>
        <w:rPr>
          <w:color w:val="000000"/>
        </w:rPr>
        <w:t xml:space="preserve">requested </w:t>
      </w:r>
      <w:r w:rsidR="0013045F">
        <w:rPr>
          <w:color w:val="000000"/>
        </w:rPr>
        <w:t xml:space="preserve">an in-person hearing.  </w:t>
      </w:r>
      <w:r w:rsidR="00745F1E">
        <w:rPr>
          <w:color w:val="000000"/>
        </w:rPr>
        <w:t xml:space="preserve">The OSBA objected to an in-person hearing citing </w:t>
      </w:r>
      <w:r w:rsidR="00492541">
        <w:rPr>
          <w:color w:val="000000"/>
        </w:rPr>
        <w:t>concerns related to the Covid 19 Pandemic.</w:t>
      </w:r>
      <w:r w:rsidR="00BE3102">
        <w:rPr>
          <w:color w:val="000000"/>
        </w:rPr>
        <w:t xml:space="preserve">  </w:t>
      </w:r>
      <w:r w:rsidR="00422628">
        <w:rPr>
          <w:color w:val="000000"/>
        </w:rPr>
        <w:t xml:space="preserve">While circumstance may change in such a way as to </w:t>
      </w:r>
      <w:r w:rsidR="00F6133E">
        <w:rPr>
          <w:color w:val="000000"/>
        </w:rPr>
        <w:t>permit an in-person hearing, for the present</w:t>
      </w:r>
      <w:r w:rsidR="00E925FB">
        <w:rPr>
          <w:color w:val="000000"/>
        </w:rPr>
        <w:t>,</w:t>
      </w:r>
      <w:r w:rsidR="00F6133E">
        <w:rPr>
          <w:color w:val="000000"/>
        </w:rPr>
        <w:t xml:space="preserve"> a hearing Notice will be issued for a telephonic hearing </w:t>
      </w:r>
      <w:r w:rsidR="007C6779">
        <w:rPr>
          <w:color w:val="000000"/>
        </w:rPr>
        <w:t>on July 25, 2022</w:t>
      </w:r>
      <w:r w:rsidR="00E925FB">
        <w:rPr>
          <w:color w:val="000000"/>
        </w:rPr>
        <w:t>.  In this way, the date can be preserved on the O</w:t>
      </w:r>
      <w:r w:rsidR="00E906D9">
        <w:rPr>
          <w:color w:val="000000"/>
        </w:rPr>
        <w:t xml:space="preserve">ffice of </w:t>
      </w:r>
      <w:r w:rsidR="00E925FB">
        <w:rPr>
          <w:color w:val="000000"/>
        </w:rPr>
        <w:t>A</w:t>
      </w:r>
      <w:r w:rsidR="00E906D9">
        <w:rPr>
          <w:color w:val="000000"/>
        </w:rPr>
        <w:t xml:space="preserve">dministrative </w:t>
      </w:r>
      <w:r w:rsidR="00E925FB">
        <w:rPr>
          <w:color w:val="000000"/>
        </w:rPr>
        <w:t>L</w:t>
      </w:r>
      <w:r w:rsidR="00E906D9">
        <w:rPr>
          <w:color w:val="000000"/>
        </w:rPr>
        <w:t xml:space="preserve">aw </w:t>
      </w:r>
      <w:r w:rsidR="00E925FB">
        <w:rPr>
          <w:color w:val="000000"/>
        </w:rPr>
        <w:t>J</w:t>
      </w:r>
      <w:r w:rsidR="00E906D9">
        <w:rPr>
          <w:color w:val="000000"/>
        </w:rPr>
        <w:t>udg</w:t>
      </w:r>
      <w:r w:rsidR="00D968BB">
        <w:rPr>
          <w:color w:val="000000"/>
        </w:rPr>
        <w:t>e</w:t>
      </w:r>
      <w:r w:rsidR="00E925FB">
        <w:rPr>
          <w:color w:val="000000"/>
        </w:rPr>
        <w:t xml:space="preserve"> hearing calendar and the services of a court reporter retained.</w:t>
      </w:r>
    </w:p>
    <w:p w14:paraId="719D706C" w14:textId="3FEEC6B6" w:rsidR="00D968BB" w:rsidRDefault="00D968BB" w:rsidP="00B34715">
      <w:pPr>
        <w:pStyle w:val="BodyText2"/>
        <w:spacing w:line="360" w:lineRule="auto"/>
        <w:rPr>
          <w:color w:val="000000"/>
        </w:rPr>
      </w:pPr>
    </w:p>
    <w:p w14:paraId="464A081D" w14:textId="70254880" w:rsidR="00D968BB" w:rsidRDefault="00BB66A0" w:rsidP="00B34715">
      <w:pPr>
        <w:pStyle w:val="BodyText2"/>
        <w:spacing w:line="360" w:lineRule="auto"/>
        <w:rPr>
          <w:color w:val="000000"/>
        </w:rPr>
      </w:pPr>
      <w:r>
        <w:rPr>
          <w:color w:val="000000"/>
        </w:rPr>
        <w:tab/>
        <w:t>I thank all Counsel for their professionalism and efficiency in this matter.</w:t>
      </w:r>
    </w:p>
    <w:p w14:paraId="0FF8C5C5" w14:textId="55C7C120" w:rsidR="00010487" w:rsidRDefault="00010487" w:rsidP="00B34715">
      <w:pPr>
        <w:pStyle w:val="BodyText2"/>
        <w:spacing w:line="360" w:lineRule="auto"/>
        <w:rPr>
          <w:color w:val="000000"/>
        </w:rPr>
      </w:pPr>
    </w:p>
    <w:p w14:paraId="6B48C90E" w14:textId="6FE67436" w:rsidR="00010487" w:rsidRPr="00010487" w:rsidRDefault="00010487" w:rsidP="00B34715">
      <w:pPr>
        <w:pStyle w:val="BodyText2"/>
        <w:spacing w:line="360" w:lineRule="auto"/>
        <w:rPr>
          <w:b/>
          <w:bCs/>
          <w:color w:val="000000"/>
        </w:rPr>
      </w:pPr>
      <w:r w:rsidRPr="00010487">
        <w:rPr>
          <w:b/>
          <w:bCs/>
          <w:color w:val="000000"/>
        </w:rPr>
        <w:t>THEREFORE,</w:t>
      </w:r>
    </w:p>
    <w:p w14:paraId="1822052B" w14:textId="77777777" w:rsidR="00010487" w:rsidRPr="00010487" w:rsidRDefault="00010487" w:rsidP="00B34715">
      <w:pPr>
        <w:pStyle w:val="BodyText2"/>
        <w:spacing w:line="360" w:lineRule="auto"/>
        <w:rPr>
          <w:b/>
          <w:bCs/>
          <w:color w:val="000000"/>
        </w:rPr>
      </w:pPr>
    </w:p>
    <w:p w14:paraId="3E3C7EE7" w14:textId="77A59CD4" w:rsidR="007C0F2F" w:rsidRDefault="00674C11" w:rsidP="00F10396">
      <w:pPr>
        <w:pStyle w:val="BodyText2"/>
        <w:spacing w:line="360" w:lineRule="auto"/>
        <w:rPr>
          <w:b/>
          <w:color w:val="000000"/>
        </w:rPr>
      </w:pPr>
      <w:r w:rsidRPr="0061357E">
        <w:rPr>
          <w:b/>
          <w:color w:val="000000"/>
        </w:rPr>
        <w:t>IT IS ORDERED THAT:</w:t>
      </w:r>
    </w:p>
    <w:p w14:paraId="3FE98E05" w14:textId="2F4E3149" w:rsidR="005E491C" w:rsidRDefault="006D650C" w:rsidP="00F10396">
      <w:pPr>
        <w:spacing w:line="360" w:lineRule="auto"/>
      </w:pPr>
      <w:r>
        <w:lastRenderedPageBreak/>
        <w:tab/>
      </w:r>
      <w:r>
        <w:tab/>
        <w:t>1.</w:t>
      </w:r>
      <w:r>
        <w:tab/>
        <w:t>The following litigation schedule is established:</w:t>
      </w:r>
    </w:p>
    <w:p w14:paraId="65C57B69" w14:textId="641C4655" w:rsidR="006D650C" w:rsidRDefault="006D650C" w:rsidP="00D73EC0"/>
    <w:p w14:paraId="55C4F739" w14:textId="57528CA9" w:rsidR="00F97544" w:rsidRPr="00F97544" w:rsidRDefault="00F97544" w:rsidP="006830D4">
      <w:pPr>
        <w:tabs>
          <w:tab w:val="left" w:pos="720"/>
          <w:tab w:val="left" w:pos="1440"/>
          <w:tab w:val="left" w:pos="2160"/>
          <w:tab w:val="left" w:pos="4320"/>
          <w:tab w:val="left" w:pos="6336"/>
          <w:tab w:val="left" w:pos="6912"/>
        </w:tabs>
        <w:ind w:left="1526" w:firstLine="720"/>
        <w:contextualSpacing/>
        <w:jc w:val="both"/>
      </w:pPr>
      <w:r w:rsidRPr="00F97544">
        <w:t>Other parties’ direct testimony</w:t>
      </w:r>
      <w:r w:rsidR="0019657C">
        <w:t xml:space="preserve"> - </w:t>
      </w:r>
      <w:r w:rsidRPr="00F97544">
        <w:t>June 24, 2022</w:t>
      </w:r>
    </w:p>
    <w:p w14:paraId="004D3235" w14:textId="1B322D6A" w:rsidR="00F97544" w:rsidRPr="00F97544" w:rsidRDefault="00F97544" w:rsidP="006830D4">
      <w:pPr>
        <w:tabs>
          <w:tab w:val="left" w:pos="720"/>
          <w:tab w:val="left" w:pos="1440"/>
          <w:tab w:val="left" w:pos="2160"/>
          <w:tab w:val="left" w:pos="4320"/>
          <w:tab w:val="left" w:pos="6336"/>
          <w:tab w:val="left" w:pos="6912"/>
        </w:tabs>
        <w:ind w:left="1526" w:firstLine="720"/>
        <w:contextualSpacing/>
        <w:jc w:val="both"/>
      </w:pPr>
      <w:r w:rsidRPr="00F97544">
        <w:t>Rebuttal testimony</w:t>
      </w:r>
      <w:r w:rsidR="0019657C">
        <w:t xml:space="preserve"> - </w:t>
      </w:r>
      <w:r w:rsidRPr="00F97544">
        <w:t>July 14, 2022</w:t>
      </w:r>
    </w:p>
    <w:p w14:paraId="2C8BCF55" w14:textId="412C3F0A" w:rsidR="00F97544" w:rsidRPr="00F97544" w:rsidRDefault="00F97544" w:rsidP="006830D4">
      <w:pPr>
        <w:tabs>
          <w:tab w:val="left" w:pos="720"/>
          <w:tab w:val="left" w:pos="1440"/>
          <w:tab w:val="left" w:pos="2160"/>
          <w:tab w:val="left" w:pos="4320"/>
          <w:tab w:val="left" w:pos="6336"/>
          <w:tab w:val="left" w:pos="6912"/>
        </w:tabs>
        <w:ind w:left="1526" w:firstLine="720"/>
        <w:contextualSpacing/>
        <w:jc w:val="both"/>
      </w:pPr>
      <w:r w:rsidRPr="00F97544">
        <w:t>Surrebuttal testimony</w:t>
      </w:r>
      <w:r w:rsidR="0019657C">
        <w:t xml:space="preserve"> - </w:t>
      </w:r>
      <w:r w:rsidRPr="00F97544">
        <w:t xml:space="preserve">July 21, 2022 </w:t>
      </w:r>
    </w:p>
    <w:p w14:paraId="0A9DAC93" w14:textId="2C6C3759" w:rsidR="00F97544" w:rsidRPr="00F97544" w:rsidRDefault="00F97544" w:rsidP="006830D4">
      <w:pPr>
        <w:tabs>
          <w:tab w:val="left" w:pos="720"/>
          <w:tab w:val="left" w:pos="1440"/>
          <w:tab w:val="left" w:pos="2160"/>
          <w:tab w:val="left" w:pos="4320"/>
          <w:tab w:val="left" w:pos="6336"/>
          <w:tab w:val="left" w:pos="6912"/>
        </w:tabs>
        <w:ind w:left="1526" w:firstLine="720"/>
        <w:contextualSpacing/>
        <w:jc w:val="both"/>
      </w:pPr>
      <w:r w:rsidRPr="00F97544">
        <w:t>Rejoinder</w:t>
      </w:r>
      <w:r w:rsidR="0019657C">
        <w:t xml:space="preserve"> - </w:t>
      </w:r>
      <w:r w:rsidRPr="00F97544">
        <w:t xml:space="preserve">July 25, </w:t>
      </w:r>
      <w:proofErr w:type="gramStart"/>
      <w:r w:rsidRPr="00F97544">
        <w:t>2022</w:t>
      </w:r>
      <w:proofErr w:type="gramEnd"/>
      <w:r w:rsidRPr="00F97544">
        <w:t xml:space="preserve"> at 9 a.m. </w:t>
      </w:r>
    </w:p>
    <w:p w14:paraId="5DF24A35" w14:textId="47BE7D60" w:rsidR="00F97544" w:rsidRPr="00F97544" w:rsidRDefault="00F97544" w:rsidP="006830D4">
      <w:pPr>
        <w:tabs>
          <w:tab w:val="left" w:pos="720"/>
          <w:tab w:val="left" w:pos="1440"/>
          <w:tab w:val="left" w:pos="2160"/>
          <w:tab w:val="left" w:pos="4320"/>
          <w:tab w:val="left" w:pos="6336"/>
          <w:tab w:val="left" w:pos="6912"/>
        </w:tabs>
        <w:ind w:left="1526" w:firstLine="720"/>
        <w:contextualSpacing/>
        <w:jc w:val="both"/>
      </w:pPr>
      <w:r w:rsidRPr="00F97544">
        <w:t>Evidentiary Hearings</w:t>
      </w:r>
      <w:r w:rsidR="00FA5A8C">
        <w:t xml:space="preserve"> </w:t>
      </w:r>
      <w:r w:rsidR="0019657C">
        <w:t>-</w:t>
      </w:r>
      <w:r w:rsidR="00FA5A8C">
        <w:t xml:space="preserve"> </w:t>
      </w:r>
      <w:r w:rsidRPr="00F97544">
        <w:t>July 25, 2022</w:t>
      </w:r>
    </w:p>
    <w:p w14:paraId="3315C60C" w14:textId="27413B0B" w:rsidR="00F97544" w:rsidRPr="00F97544" w:rsidRDefault="00F97544" w:rsidP="006830D4">
      <w:pPr>
        <w:tabs>
          <w:tab w:val="left" w:pos="720"/>
          <w:tab w:val="left" w:pos="1440"/>
          <w:tab w:val="left" w:pos="2160"/>
          <w:tab w:val="left" w:pos="4320"/>
          <w:tab w:val="left" w:pos="6336"/>
          <w:tab w:val="left" w:pos="6912"/>
        </w:tabs>
        <w:ind w:left="1526" w:firstLine="720"/>
        <w:contextualSpacing/>
        <w:jc w:val="both"/>
      </w:pPr>
      <w:r w:rsidRPr="00F97544">
        <w:t>Main Brief</w:t>
      </w:r>
      <w:r w:rsidR="00FA5A8C">
        <w:t xml:space="preserve"> - </w:t>
      </w:r>
      <w:r w:rsidRPr="00F97544">
        <w:t xml:space="preserve">August 5, 2022 </w:t>
      </w:r>
    </w:p>
    <w:p w14:paraId="655B7853" w14:textId="4E1C8D0D" w:rsidR="00F97544" w:rsidRPr="00F97544" w:rsidRDefault="00F97544" w:rsidP="006830D4">
      <w:pPr>
        <w:tabs>
          <w:tab w:val="left" w:pos="720"/>
          <w:tab w:val="left" w:pos="1440"/>
          <w:tab w:val="left" w:pos="2160"/>
          <w:tab w:val="left" w:pos="4320"/>
          <w:tab w:val="left" w:pos="6336"/>
          <w:tab w:val="left" w:pos="6912"/>
        </w:tabs>
        <w:ind w:left="1526" w:firstLine="720"/>
        <w:contextualSpacing/>
        <w:jc w:val="both"/>
      </w:pPr>
      <w:r w:rsidRPr="00F97544">
        <w:t>Reply Brief</w:t>
      </w:r>
      <w:r w:rsidR="00FA5A8C">
        <w:t xml:space="preserve"> - </w:t>
      </w:r>
      <w:r w:rsidRPr="00F97544">
        <w:t xml:space="preserve">August 12, 2022 </w:t>
      </w:r>
    </w:p>
    <w:p w14:paraId="2BC306E4" w14:textId="385C19F1" w:rsidR="006D650C" w:rsidRDefault="006D650C" w:rsidP="00D73EC0"/>
    <w:p w14:paraId="405C13CF" w14:textId="2EC6C836" w:rsidR="00FA5A8C" w:rsidRDefault="00FA5A8C" w:rsidP="00D73EC0">
      <w:r>
        <w:tab/>
      </w:r>
      <w:r>
        <w:tab/>
        <w:t>2.</w:t>
      </w:r>
      <w:r>
        <w:tab/>
        <w:t xml:space="preserve">The </w:t>
      </w:r>
      <w:r w:rsidR="00E850A5">
        <w:t>Commission’s discovery rules are modified as follows:</w:t>
      </w:r>
    </w:p>
    <w:p w14:paraId="1AFB9629" w14:textId="40BC74DE" w:rsidR="00E850A5" w:rsidRDefault="00E850A5" w:rsidP="00D73EC0"/>
    <w:p w14:paraId="56FA708A" w14:textId="65DB1263" w:rsidR="006830D4" w:rsidRPr="006830D4" w:rsidRDefault="00D63A7E" w:rsidP="00D63A7E">
      <w:pPr>
        <w:ind w:left="2160" w:right="1440"/>
        <w:jc w:val="both"/>
        <w:rPr>
          <w:rFonts w:eastAsia="Calibri" w:cs="Times New Roman"/>
        </w:rPr>
      </w:pPr>
      <w:r>
        <w:rPr>
          <w:rFonts w:eastAsia="Calibri" w:cs="Times New Roman"/>
        </w:rPr>
        <w:t xml:space="preserve">(a)  </w:t>
      </w:r>
      <w:r w:rsidR="006830D4" w:rsidRPr="006830D4">
        <w:rPr>
          <w:rFonts w:eastAsia="Calibri" w:cs="Times New Roman"/>
        </w:rPr>
        <w:t xml:space="preserve">Answers to written interrogatories shall be served in-hand within ten (10) calendar days of service of the interrogatories, provided that, if receipt of the interrogatories occurs after 12:00 noon on either a Friday or the day preceding a holiday, service shall be deemed to have occurred on the next business </w:t>
      </w:r>
      <w:proofErr w:type="gramStart"/>
      <w:r w:rsidR="006830D4" w:rsidRPr="006830D4">
        <w:rPr>
          <w:rFonts w:eastAsia="Calibri" w:cs="Times New Roman"/>
        </w:rPr>
        <w:t>day;</w:t>
      </w:r>
      <w:proofErr w:type="gramEnd"/>
    </w:p>
    <w:p w14:paraId="60BC356C" w14:textId="77777777" w:rsidR="006830D4" w:rsidRPr="006830D4" w:rsidRDefault="006830D4" w:rsidP="00D63A7E">
      <w:pPr>
        <w:ind w:left="2160" w:right="1440"/>
        <w:jc w:val="both"/>
        <w:rPr>
          <w:rFonts w:eastAsia="Calibri" w:cs="Times New Roman"/>
        </w:rPr>
      </w:pPr>
      <w:r w:rsidRPr="006830D4">
        <w:rPr>
          <w:rFonts w:eastAsia="Calibri" w:cs="Times New Roman"/>
        </w:rPr>
        <w:t> </w:t>
      </w:r>
    </w:p>
    <w:p w14:paraId="2F5A6187" w14:textId="1D7C1A92" w:rsidR="006830D4" w:rsidRPr="006830D4" w:rsidRDefault="00D63A7E" w:rsidP="00D63A7E">
      <w:pPr>
        <w:ind w:left="2160" w:right="1440"/>
        <w:jc w:val="both"/>
        <w:rPr>
          <w:rFonts w:eastAsia="Calibri" w:cs="Times New Roman"/>
        </w:rPr>
      </w:pPr>
      <w:r>
        <w:rPr>
          <w:rFonts w:eastAsia="Calibri" w:cs="Times New Roman"/>
        </w:rPr>
        <w:t xml:space="preserve">(b)  </w:t>
      </w:r>
      <w:r w:rsidR="006830D4" w:rsidRPr="006830D4">
        <w:rPr>
          <w:rFonts w:eastAsia="Calibri" w:cs="Times New Roman"/>
        </w:rPr>
        <w:t xml:space="preserve">Objections to interrogatories shall be communicated orally within three (3) calendar days of service of the interrogatories, provided that, if receipt of the interrogatories occurs after 12:00 noon on either a Friday or the day preceding a holiday, service shall be deemed to have occurred on the next business day.  Unresolved objections to written interrogatories shall be served in writing on the propounding party within five (5) calendar days of service of the interrogatories, as defined </w:t>
      </w:r>
      <w:proofErr w:type="gramStart"/>
      <w:r w:rsidR="006830D4" w:rsidRPr="006830D4">
        <w:rPr>
          <w:rFonts w:eastAsia="Calibri" w:cs="Times New Roman"/>
        </w:rPr>
        <w:t>above;</w:t>
      </w:r>
      <w:proofErr w:type="gramEnd"/>
    </w:p>
    <w:p w14:paraId="395C4419" w14:textId="77777777" w:rsidR="006830D4" w:rsidRPr="006830D4" w:rsidRDefault="006830D4" w:rsidP="00D63A7E">
      <w:pPr>
        <w:ind w:left="2160" w:right="1440"/>
        <w:jc w:val="both"/>
        <w:rPr>
          <w:rFonts w:eastAsia="Calibri" w:cs="Times New Roman"/>
        </w:rPr>
      </w:pPr>
      <w:r w:rsidRPr="006830D4">
        <w:rPr>
          <w:rFonts w:eastAsia="Calibri" w:cs="Times New Roman"/>
        </w:rPr>
        <w:t xml:space="preserve">   </w:t>
      </w:r>
    </w:p>
    <w:p w14:paraId="23AD3492" w14:textId="1B893788" w:rsidR="006830D4" w:rsidRPr="006830D4" w:rsidRDefault="00D63A7E" w:rsidP="00D63A7E">
      <w:pPr>
        <w:ind w:left="2160" w:right="1440"/>
        <w:jc w:val="both"/>
        <w:rPr>
          <w:rFonts w:eastAsia="Calibri" w:cs="Times New Roman"/>
        </w:rPr>
      </w:pPr>
      <w:r>
        <w:rPr>
          <w:rFonts w:eastAsia="Calibri" w:cs="Times New Roman"/>
        </w:rPr>
        <w:t xml:space="preserve">(c)  </w:t>
      </w:r>
      <w:r w:rsidR="006830D4" w:rsidRPr="006830D4">
        <w:rPr>
          <w:rFonts w:eastAsia="Calibri" w:cs="Times New Roman"/>
        </w:rPr>
        <w:t>Motions to compel answers to written interrogatories that have been objected to in writing and answers to such motions to compel shall be filed and served within three (3) calendar days of service of the written objections or motions to compel, provided that, if receipt of the objections or motions to compel occurs after 12:00 noon on either a Friday or the day preceding a holiday, service of these documents shall be deemed to have occurred on the next business day;</w:t>
      </w:r>
    </w:p>
    <w:p w14:paraId="46C69570" w14:textId="77777777" w:rsidR="006830D4" w:rsidRPr="006830D4" w:rsidRDefault="006830D4" w:rsidP="00D63A7E">
      <w:pPr>
        <w:ind w:left="2160" w:right="1440"/>
        <w:jc w:val="both"/>
        <w:rPr>
          <w:rFonts w:eastAsia="Calibri" w:cs="Times New Roman"/>
        </w:rPr>
      </w:pPr>
      <w:r w:rsidRPr="006830D4">
        <w:rPr>
          <w:rFonts w:eastAsia="Calibri" w:cs="Times New Roman"/>
        </w:rPr>
        <w:t> </w:t>
      </w:r>
    </w:p>
    <w:p w14:paraId="4B5FBFB4" w14:textId="01BDC3A1" w:rsidR="006830D4" w:rsidRPr="006830D4" w:rsidRDefault="00D63A7E" w:rsidP="00D63A7E">
      <w:pPr>
        <w:ind w:left="2160" w:right="1440"/>
        <w:jc w:val="both"/>
        <w:rPr>
          <w:rFonts w:eastAsia="Calibri" w:cs="Times New Roman"/>
        </w:rPr>
      </w:pPr>
      <w:r>
        <w:rPr>
          <w:rFonts w:eastAsia="Calibri" w:cs="Times New Roman"/>
        </w:rPr>
        <w:t xml:space="preserve">(d)  </w:t>
      </w:r>
      <w:r w:rsidR="001C6834">
        <w:rPr>
          <w:rFonts w:eastAsia="Calibri" w:cs="Times New Roman"/>
        </w:rPr>
        <w:t xml:space="preserve"> </w:t>
      </w:r>
      <w:r w:rsidR="006830D4" w:rsidRPr="006830D4">
        <w:rPr>
          <w:rFonts w:eastAsia="Calibri" w:cs="Times New Roman"/>
        </w:rPr>
        <w:t xml:space="preserve">Rulings over motions shall be issued, if possible, within seven (7) calendar days of filing of the motion, consistent with the above-mentioned rule </w:t>
      </w:r>
      <w:proofErr w:type="gramStart"/>
      <w:r w:rsidR="006830D4" w:rsidRPr="006830D4">
        <w:rPr>
          <w:rFonts w:eastAsia="Calibri" w:cs="Times New Roman"/>
        </w:rPr>
        <w:t>changes;</w:t>
      </w:r>
      <w:proofErr w:type="gramEnd"/>
    </w:p>
    <w:p w14:paraId="334A4A50" w14:textId="77777777" w:rsidR="006830D4" w:rsidRPr="006830D4" w:rsidRDefault="006830D4" w:rsidP="00D63A7E">
      <w:pPr>
        <w:ind w:left="2160" w:right="1440"/>
        <w:jc w:val="both"/>
        <w:rPr>
          <w:rFonts w:eastAsia="Calibri" w:cs="Times New Roman"/>
        </w:rPr>
      </w:pPr>
      <w:r w:rsidRPr="006830D4">
        <w:rPr>
          <w:rFonts w:eastAsia="Calibri" w:cs="Times New Roman"/>
        </w:rPr>
        <w:t> </w:t>
      </w:r>
    </w:p>
    <w:p w14:paraId="4411A472" w14:textId="72FD7D53" w:rsidR="006830D4" w:rsidRPr="006830D4" w:rsidRDefault="00D63A7E" w:rsidP="00D63A7E">
      <w:pPr>
        <w:ind w:left="2160" w:right="1440"/>
        <w:jc w:val="both"/>
        <w:rPr>
          <w:rFonts w:eastAsia="Calibri" w:cs="Times New Roman"/>
        </w:rPr>
      </w:pPr>
      <w:r>
        <w:rPr>
          <w:rFonts w:eastAsia="Calibri" w:cs="Times New Roman"/>
        </w:rPr>
        <w:t>(e)</w:t>
      </w:r>
      <w:r w:rsidR="001C6834">
        <w:rPr>
          <w:rFonts w:eastAsia="Calibri" w:cs="Times New Roman"/>
        </w:rPr>
        <w:t xml:space="preserve"> </w:t>
      </w:r>
      <w:r w:rsidR="006830D4" w:rsidRPr="006830D4">
        <w:rPr>
          <w:rFonts w:eastAsia="Calibri" w:cs="Times New Roman"/>
        </w:rPr>
        <w:t xml:space="preserve">Responses or objections to requests for document production, entry for inspection, or other purposes shall be served in hand within ten (10) calendar days of service of the request, provided that, if receipt of the request occurs after </w:t>
      </w:r>
      <w:r w:rsidR="006830D4" w:rsidRPr="006830D4">
        <w:rPr>
          <w:rFonts w:eastAsia="Calibri" w:cs="Times New Roman"/>
        </w:rPr>
        <w:lastRenderedPageBreak/>
        <w:t>12:00 noon on either a Friday or the day preceding a holiday, service shall be deemed to have occurred on the next business day; and</w:t>
      </w:r>
    </w:p>
    <w:p w14:paraId="73DE8AE5" w14:textId="77777777" w:rsidR="006830D4" w:rsidRPr="006830D4" w:rsidRDefault="006830D4" w:rsidP="00D63A7E">
      <w:pPr>
        <w:ind w:left="2160" w:right="1440"/>
        <w:jc w:val="both"/>
        <w:rPr>
          <w:rFonts w:eastAsia="Calibri" w:cs="Times New Roman"/>
        </w:rPr>
      </w:pPr>
      <w:r w:rsidRPr="006830D4">
        <w:rPr>
          <w:rFonts w:eastAsia="Calibri" w:cs="Times New Roman"/>
        </w:rPr>
        <w:t> </w:t>
      </w:r>
    </w:p>
    <w:p w14:paraId="3B835918" w14:textId="7DD10B2F" w:rsidR="006830D4" w:rsidRPr="006830D4" w:rsidRDefault="001C6834" w:rsidP="00D63A7E">
      <w:pPr>
        <w:ind w:left="2160" w:right="1440"/>
        <w:jc w:val="both"/>
        <w:rPr>
          <w:rFonts w:eastAsia="Calibri" w:cs="Times New Roman"/>
        </w:rPr>
      </w:pPr>
      <w:r>
        <w:rPr>
          <w:rFonts w:eastAsia="Calibri" w:cs="Times New Roman"/>
        </w:rPr>
        <w:t xml:space="preserve">(f)  </w:t>
      </w:r>
      <w:r w:rsidR="006830D4" w:rsidRPr="006830D4">
        <w:rPr>
          <w:rFonts w:eastAsia="Calibri" w:cs="Times New Roman"/>
        </w:rPr>
        <w:t>Requests for admission shall be deemed admitted unless answered within ten (10) calendar days or objected to within five (5) calendar days of service of the requests, provided that, if receipt of the request occurs after 12:00 noon on either a Friday or the day preceding a holiday, service shall be deemed to have occurred on the next business day.</w:t>
      </w:r>
    </w:p>
    <w:p w14:paraId="38FDC8C2" w14:textId="77777777" w:rsidR="006830D4" w:rsidRPr="006830D4" w:rsidRDefault="006830D4" w:rsidP="00D63A7E">
      <w:pPr>
        <w:ind w:left="2160" w:right="1440"/>
        <w:jc w:val="both"/>
        <w:rPr>
          <w:rFonts w:eastAsia="Calibri" w:cs="Times New Roman"/>
        </w:rPr>
      </w:pPr>
      <w:r w:rsidRPr="006830D4">
        <w:rPr>
          <w:rFonts w:eastAsia="Calibri" w:cs="Times New Roman"/>
        </w:rPr>
        <w:t> </w:t>
      </w:r>
    </w:p>
    <w:p w14:paraId="7B0B888C" w14:textId="0B3E021A" w:rsidR="006830D4" w:rsidRPr="006830D4" w:rsidRDefault="001C6834" w:rsidP="00D63A7E">
      <w:pPr>
        <w:ind w:left="2160" w:right="1440"/>
        <w:jc w:val="both"/>
        <w:rPr>
          <w:rFonts w:eastAsia="Calibri" w:cs="Times New Roman"/>
        </w:rPr>
      </w:pPr>
      <w:r>
        <w:rPr>
          <w:rFonts w:eastAsia="Calibri" w:cs="Times New Roman"/>
        </w:rPr>
        <w:t xml:space="preserve">(g) </w:t>
      </w:r>
      <w:r w:rsidR="006830D4" w:rsidRPr="006830D4">
        <w:rPr>
          <w:rFonts w:eastAsia="Calibri" w:cs="Times New Roman"/>
        </w:rPr>
        <w:t>All service in this proceeding will be by electronic mail.  No hard copy follow-up will be required.</w:t>
      </w:r>
    </w:p>
    <w:p w14:paraId="04826D68" w14:textId="77777777" w:rsidR="006830D4" w:rsidRPr="006830D4" w:rsidRDefault="006830D4" w:rsidP="00D63A7E">
      <w:pPr>
        <w:ind w:left="2160" w:right="1440"/>
        <w:jc w:val="both"/>
        <w:rPr>
          <w:rFonts w:eastAsia="Calibri" w:cs="Times New Roman"/>
        </w:rPr>
      </w:pPr>
      <w:r w:rsidRPr="006830D4">
        <w:rPr>
          <w:rFonts w:eastAsia="Calibri" w:cs="Times New Roman"/>
        </w:rPr>
        <w:t> </w:t>
      </w:r>
    </w:p>
    <w:p w14:paraId="1AABDCB7" w14:textId="72DEE441" w:rsidR="006830D4" w:rsidRPr="006830D4" w:rsidRDefault="00865CDB" w:rsidP="00D63A7E">
      <w:pPr>
        <w:ind w:left="2160" w:right="1440"/>
        <w:jc w:val="both"/>
        <w:rPr>
          <w:rFonts w:eastAsia="Calibri" w:cs="Times New Roman"/>
        </w:rPr>
      </w:pPr>
      <w:r>
        <w:rPr>
          <w:rFonts w:eastAsia="Calibri" w:cs="Times New Roman"/>
        </w:rPr>
        <w:t xml:space="preserve">(h) </w:t>
      </w:r>
      <w:r w:rsidR="006830D4" w:rsidRPr="006830D4">
        <w:rPr>
          <w:rFonts w:eastAsia="Calibri" w:cs="Times New Roman"/>
        </w:rPr>
        <w:t>Parties providing testimony must either include with such testimony electronic workpapers, cited studies and other documents relied on, or provide such documents in workable electronic format within two (2) business days of the testimony submission date to all parties.</w:t>
      </w:r>
    </w:p>
    <w:p w14:paraId="18DC378D" w14:textId="2615A563" w:rsidR="00E850A5" w:rsidRDefault="00E850A5" w:rsidP="00D73EC0"/>
    <w:p w14:paraId="27768BFA" w14:textId="0B0C98E2" w:rsidR="00D63A7E" w:rsidRDefault="00583FA7" w:rsidP="00865CDB">
      <w:pPr>
        <w:spacing w:line="360" w:lineRule="auto"/>
      </w:pPr>
      <w:r>
        <w:tab/>
      </w:r>
      <w:r>
        <w:tab/>
        <w:t>3.</w:t>
      </w:r>
      <w:r>
        <w:tab/>
        <w:t>The following service list is established:</w:t>
      </w:r>
    </w:p>
    <w:p w14:paraId="1DACB6CB" w14:textId="77777777" w:rsidR="00DF344C" w:rsidRDefault="00DF344C" w:rsidP="005D654E">
      <w:pPr>
        <w:ind w:left="2160"/>
      </w:pPr>
      <w:r>
        <w:t>For UGI:</w:t>
      </w:r>
    </w:p>
    <w:p w14:paraId="7DC1F24B" w14:textId="77777777" w:rsidR="00DF344C" w:rsidRDefault="00DF344C" w:rsidP="005D654E">
      <w:pPr>
        <w:ind w:left="2160"/>
      </w:pPr>
    </w:p>
    <w:p w14:paraId="1E41D930" w14:textId="05ED5AD3" w:rsidR="0009347B" w:rsidRDefault="0009347B" w:rsidP="005D654E">
      <w:pPr>
        <w:ind w:left="2880"/>
      </w:pPr>
      <w:r>
        <w:t>Lindsay A. Berkstresser, Esquire</w:t>
      </w:r>
    </w:p>
    <w:p w14:paraId="5F35CAFF" w14:textId="77777777" w:rsidR="0009347B" w:rsidRDefault="0009347B" w:rsidP="005D654E">
      <w:pPr>
        <w:ind w:left="2880"/>
      </w:pPr>
      <w:r>
        <w:t>Post &amp; Schell, P.C.</w:t>
      </w:r>
    </w:p>
    <w:p w14:paraId="2DB97A32" w14:textId="3A2DCA03" w:rsidR="0009347B" w:rsidRDefault="0009347B" w:rsidP="005D654E">
      <w:pPr>
        <w:ind w:left="2880"/>
      </w:pPr>
      <w:r>
        <w:t>17 North Second Street, 12th Floor</w:t>
      </w:r>
    </w:p>
    <w:p w14:paraId="09AB9A1A" w14:textId="11ABCDBA" w:rsidR="00425DD7" w:rsidRDefault="00425DD7" w:rsidP="005D654E">
      <w:pPr>
        <w:ind w:left="2880"/>
      </w:pPr>
      <w:r>
        <w:t xml:space="preserve">Harrisburg, PA </w:t>
      </w:r>
      <w:r w:rsidR="008E2B3E">
        <w:t>17101-1601</w:t>
      </w:r>
    </w:p>
    <w:p w14:paraId="07002274" w14:textId="1941408A" w:rsidR="008E2B3E" w:rsidRDefault="009607D9" w:rsidP="005D654E">
      <w:pPr>
        <w:ind w:left="2880"/>
      </w:pPr>
      <w:r>
        <w:t>(</w:t>
      </w:r>
      <w:r w:rsidR="008E2B3E" w:rsidRPr="008E2B3E">
        <w:t>717</w:t>
      </w:r>
      <w:r>
        <w:t xml:space="preserve">) </w:t>
      </w:r>
      <w:r w:rsidR="008E2B3E" w:rsidRPr="008E2B3E">
        <w:t>612-6021</w:t>
      </w:r>
    </w:p>
    <w:p w14:paraId="4C2D7351" w14:textId="7EFC5D79" w:rsidR="0009347B" w:rsidRDefault="0009347B" w:rsidP="005D654E">
      <w:pPr>
        <w:ind w:left="2880"/>
      </w:pPr>
      <w:r>
        <w:t xml:space="preserve">E-mail: </w:t>
      </w:r>
      <w:hyperlink r:id="rId10" w:history="1">
        <w:r w:rsidR="00205F76" w:rsidRPr="00E8781D">
          <w:rPr>
            <w:rStyle w:val="Hyperlink"/>
          </w:rPr>
          <w:t>lberkstresser@postschell.com</w:t>
        </w:r>
      </w:hyperlink>
    </w:p>
    <w:p w14:paraId="4BFFF9D4" w14:textId="7A790A04" w:rsidR="00205F76" w:rsidRDefault="00205F76" w:rsidP="005D654E">
      <w:pPr>
        <w:ind w:left="1440"/>
      </w:pPr>
    </w:p>
    <w:p w14:paraId="7E0EF5FB" w14:textId="6FE88B7D" w:rsidR="00205F76" w:rsidRDefault="00205F76" w:rsidP="005D654E">
      <w:pPr>
        <w:spacing w:line="360" w:lineRule="auto"/>
        <w:ind w:left="1440"/>
      </w:pPr>
      <w:r>
        <w:tab/>
        <w:t>For OCA:</w:t>
      </w:r>
    </w:p>
    <w:p w14:paraId="1EFFA0B6" w14:textId="77777777" w:rsidR="00205F76" w:rsidRDefault="00205F76" w:rsidP="005D654E">
      <w:pPr>
        <w:ind w:left="1440"/>
      </w:pPr>
      <w:r>
        <w:tab/>
      </w:r>
      <w:r>
        <w:tab/>
        <w:t>Lauren E. Guerra, Assistant Consumer Advocate</w:t>
      </w:r>
    </w:p>
    <w:p w14:paraId="4FC529C7" w14:textId="77777777" w:rsidR="00205F76" w:rsidRDefault="00205F76" w:rsidP="005D654E">
      <w:pPr>
        <w:ind w:left="1440"/>
      </w:pPr>
      <w:r>
        <w:tab/>
      </w:r>
      <w:r>
        <w:tab/>
        <w:t>Office of Consumer Advocate</w:t>
      </w:r>
    </w:p>
    <w:p w14:paraId="59E091F4" w14:textId="77777777" w:rsidR="00205F76" w:rsidRDefault="00205F76" w:rsidP="005D654E">
      <w:pPr>
        <w:ind w:left="1440"/>
      </w:pPr>
      <w:r>
        <w:tab/>
      </w:r>
      <w:r>
        <w:tab/>
        <w:t>555 Walnut Street</w:t>
      </w:r>
    </w:p>
    <w:p w14:paraId="174C359B" w14:textId="77777777" w:rsidR="00205F76" w:rsidRDefault="00205F76" w:rsidP="005D654E">
      <w:pPr>
        <w:ind w:left="1440"/>
      </w:pPr>
      <w:r>
        <w:tab/>
      </w:r>
      <w:r>
        <w:tab/>
        <w:t>5th Floor, Forum Place</w:t>
      </w:r>
    </w:p>
    <w:p w14:paraId="61B1275D" w14:textId="77777777" w:rsidR="00205F76" w:rsidRDefault="00205F76" w:rsidP="005D654E">
      <w:pPr>
        <w:ind w:left="1440"/>
      </w:pPr>
      <w:r>
        <w:tab/>
      </w:r>
      <w:r>
        <w:tab/>
        <w:t>Harrisburg, PA 17101-1923</w:t>
      </w:r>
    </w:p>
    <w:p w14:paraId="6440137E" w14:textId="2EEE1BFB" w:rsidR="00205F76" w:rsidRDefault="00205F76" w:rsidP="005D654E">
      <w:pPr>
        <w:ind w:left="1440"/>
      </w:pPr>
      <w:r>
        <w:tab/>
      </w:r>
      <w:r>
        <w:tab/>
        <w:t>(717) 783-5048</w:t>
      </w:r>
    </w:p>
    <w:p w14:paraId="0938BA85" w14:textId="2CE25CD3" w:rsidR="00205F76" w:rsidRDefault="00205F76" w:rsidP="005D654E">
      <w:pPr>
        <w:ind w:left="1440"/>
      </w:pPr>
      <w:r>
        <w:tab/>
      </w:r>
      <w:r>
        <w:tab/>
        <w:t xml:space="preserve">E-Mail: </w:t>
      </w:r>
      <w:hyperlink r:id="rId11" w:history="1">
        <w:r w:rsidRPr="00E8781D">
          <w:rPr>
            <w:rStyle w:val="Hyperlink"/>
          </w:rPr>
          <w:t>LGuerra@paoca.org</w:t>
        </w:r>
      </w:hyperlink>
    </w:p>
    <w:p w14:paraId="3391B263" w14:textId="030FD67C" w:rsidR="00205F76" w:rsidRDefault="00205F76" w:rsidP="005D654E">
      <w:pPr>
        <w:ind w:left="1440"/>
      </w:pPr>
    </w:p>
    <w:p w14:paraId="11A40E05" w14:textId="473C1F57" w:rsidR="00205F76" w:rsidRDefault="00CC4B2B" w:rsidP="005D654E">
      <w:pPr>
        <w:ind w:left="1440"/>
      </w:pPr>
      <w:r>
        <w:tab/>
        <w:t>For OSBA:</w:t>
      </w:r>
    </w:p>
    <w:p w14:paraId="1B6BC083" w14:textId="0FC51538" w:rsidR="00CC4B2B" w:rsidRDefault="00CC4B2B" w:rsidP="005D654E">
      <w:pPr>
        <w:ind w:left="1440"/>
      </w:pPr>
    </w:p>
    <w:p w14:paraId="026C5DB0" w14:textId="5CE24401" w:rsidR="007311AE" w:rsidRDefault="00CC4B2B" w:rsidP="005D654E">
      <w:pPr>
        <w:ind w:left="1440"/>
      </w:pPr>
      <w:r>
        <w:tab/>
      </w:r>
      <w:r>
        <w:tab/>
        <w:t xml:space="preserve">Steven C. Gray, </w:t>
      </w:r>
      <w:r w:rsidR="007311AE">
        <w:t>Senior Supervising</w:t>
      </w:r>
      <w:r w:rsidR="00096A61">
        <w:t xml:space="preserve"> </w:t>
      </w:r>
      <w:r w:rsidR="007311AE">
        <w:t xml:space="preserve">Assistant Small Business </w:t>
      </w:r>
      <w:r w:rsidR="00AF1E3D">
        <w:tab/>
      </w:r>
      <w:r w:rsidR="00AF1E3D">
        <w:tab/>
      </w:r>
      <w:r w:rsidR="00AF1E3D">
        <w:tab/>
      </w:r>
      <w:r w:rsidR="007311AE">
        <w:t>Advocate</w:t>
      </w:r>
    </w:p>
    <w:p w14:paraId="62DA2AA2" w14:textId="772F1CA8" w:rsidR="007311AE" w:rsidRDefault="00096A61" w:rsidP="005D654E">
      <w:pPr>
        <w:ind w:left="1440"/>
      </w:pPr>
      <w:r>
        <w:tab/>
      </w:r>
      <w:r>
        <w:tab/>
      </w:r>
      <w:r w:rsidR="007311AE">
        <w:t>Office of Small Business Advocate</w:t>
      </w:r>
    </w:p>
    <w:p w14:paraId="66A26F20" w14:textId="63AF9481" w:rsidR="007311AE" w:rsidRDefault="00096A61" w:rsidP="005D654E">
      <w:pPr>
        <w:ind w:left="1440"/>
      </w:pPr>
      <w:r>
        <w:tab/>
      </w:r>
      <w:r>
        <w:tab/>
      </w:r>
      <w:r w:rsidR="007311AE">
        <w:t>555 Walnut Street</w:t>
      </w:r>
    </w:p>
    <w:p w14:paraId="008E1C82" w14:textId="12AE1CCF" w:rsidR="007311AE" w:rsidRDefault="00096A61" w:rsidP="005D654E">
      <w:pPr>
        <w:ind w:left="1440"/>
      </w:pPr>
      <w:r>
        <w:lastRenderedPageBreak/>
        <w:tab/>
      </w:r>
      <w:r>
        <w:tab/>
      </w:r>
      <w:r w:rsidR="007311AE">
        <w:t>Forum Place, 1st Floor</w:t>
      </w:r>
    </w:p>
    <w:p w14:paraId="66E860B2" w14:textId="1236E153" w:rsidR="007311AE" w:rsidRDefault="00096A61" w:rsidP="005D654E">
      <w:pPr>
        <w:ind w:left="1440"/>
      </w:pPr>
      <w:r>
        <w:tab/>
      </w:r>
      <w:r>
        <w:tab/>
      </w:r>
      <w:r w:rsidR="007311AE">
        <w:t>Harrisburg, PA  17101</w:t>
      </w:r>
    </w:p>
    <w:p w14:paraId="6356426A" w14:textId="1879CF1A" w:rsidR="00BC06B9" w:rsidRDefault="00BC06B9" w:rsidP="005D654E">
      <w:pPr>
        <w:ind w:left="1440"/>
      </w:pPr>
      <w:r>
        <w:tab/>
      </w:r>
      <w:r>
        <w:tab/>
        <w:t>(717) 783-2525</w:t>
      </w:r>
    </w:p>
    <w:p w14:paraId="16CBBE98" w14:textId="2FA23EC4" w:rsidR="00CC4B2B" w:rsidRDefault="00BC06B9" w:rsidP="005D654E">
      <w:pPr>
        <w:ind w:left="1440"/>
      </w:pPr>
      <w:r>
        <w:tab/>
      </w:r>
      <w:r>
        <w:tab/>
      </w:r>
      <w:hyperlink r:id="rId12" w:history="1">
        <w:r w:rsidRPr="00E8781D">
          <w:rPr>
            <w:rStyle w:val="Hyperlink"/>
          </w:rPr>
          <w:t>sgray@state.pa.us</w:t>
        </w:r>
      </w:hyperlink>
    </w:p>
    <w:p w14:paraId="5BA17462" w14:textId="6EFD2A22" w:rsidR="00BC06B9" w:rsidRDefault="00BC06B9" w:rsidP="005D654E">
      <w:pPr>
        <w:ind w:left="1440"/>
      </w:pPr>
    </w:p>
    <w:p w14:paraId="01464AF9" w14:textId="6F57B8B2" w:rsidR="005D67E1" w:rsidRDefault="005D67E1" w:rsidP="005D654E">
      <w:pPr>
        <w:ind w:left="1440"/>
      </w:pPr>
      <w:r>
        <w:tab/>
        <w:t>For I&amp;E</w:t>
      </w:r>
      <w:r w:rsidR="0088730C">
        <w:t>:</w:t>
      </w:r>
    </w:p>
    <w:p w14:paraId="73185D26" w14:textId="08BA76F7" w:rsidR="005D67E1" w:rsidRDefault="005D67E1" w:rsidP="005D654E">
      <w:pPr>
        <w:ind w:left="1440"/>
      </w:pPr>
    </w:p>
    <w:p w14:paraId="03A58602" w14:textId="12EDD4EB" w:rsidR="00C45FE0" w:rsidRDefault="005D67E1" w:rsidP="005D654E">
      <w:pPr>
        <w:ind w:left="1440"/>
      </w:pPr>
      <w:r>
        <w:tab/>
      </w:r>
      <w:r>
        <w:tab/>
      </w:r>
      <w:r w:rsidR="00C45FE0">
        <w:t>Scott B. Granger</w:t>
      </w:r>
      <w:r w:rsidR="009B70B3">
        <w:t xml:space="preserve">, </w:t>
      </w:r>
      <w:r w:rsidR="00C45FE0">
        <w:t>Prosecutor</w:t>
      </w:r>
    </w:p>
    <w:p w14:paraId="5A64BA67" w14:textId="5CA9B7E7" w:rsidR="00315672" w:rsidRDefault="009B70B3" w:rsidP="005D654E">
      <w:pPr>
        <w:ind w:left="1440"/>
      </w:pPr>
      <w:r>
        <w:tab/>
      </w:r>
      <w:r>
        <w:tab/>
      </w:r>
      <w:r w:rsidR="00315672">
        <w:t>Pennsylvania Public Utility Commission</w:t>
      </w:r>
    </w:p>
    <w:p w14:paraId="654FF0AF" w14:textId="1D794DA2" w:rsidR="00315672" w:rsidRDefault="00315672" w:rsidP="005D654E">
      <w:pPr>
        <w:ind w:left="1440"/>
      </w:pPr>
      <w:r>
        <w:tab/>
      </w:r>
      <w:r>
        <w:tab/>
        <w:t>Bureau of Investigation and Enforcement</w:t>
      </w:r>
    </w:p>
    <w:p w14:paraId="46D15FA9" w14:textId="1CF689F2" w:rsidR="00315672" w:rsidRDefault="00315672" w:rsidP="005D654E">
      <w:pPr>
        <w:ind w:left="1440"/>
      </w:pPr>
      <w:r>
        <w:tab/>
      </w:r>
      <w:r>
        <w:tab/>
        <w:t>Commonwealth Keystone Building</w:t>
      </w:r>
    </w:p>
    <w:p w14:paraId="694FBA6C" w14:textId="3890D6A3" w:rsidR="00315672" w:rsidRDefault="00315672" w:rsidP="005D654E">
      <w:pPr>
        <w:ind w:left="1440"/>
      </w:pPr>
      <w:r>
        <w:tab/>
      </w:r>
      <w:r>
        <w:tab/>
        <w:t>400 North Street</w:t>
      </w:r>
    </w:p>
    <w:p w14:paraId="32AFADE2" w14:textId="02F92ED4" w:rsidR="00315672" w:rsidRDefault="00315672" w:rsidP="005D654E">
      <w:pPr>
        <w:ind w:left="1440"/>
      </w:pPr>
      <w:r>
        <w:tab/>
      </w:r>
      <w:r>
        <w:tab/>
        <w:t>Harrisburg, PA 17120</w:t>
      </w:r>
    </w:p>
    <w:p w14:paraId="6B3219AF" w14:textId="341C9927" w:rsidR="00315672" w:rsidRDefault="00315672" w:rsidP="005D654E">
      <w:pPr>
        <w:ind w:left="1440"/>
      </w:pPr>
      <w:r>
        <w:tab/>
      </w:r>
      <w:r>
        <w:tab/>
        <w:t>(717) 425-7593</w:t>
      </w:r>
    </w:p>
    <w:p w14:paraId="74729474" w14:textId="4437AB15" w:rsidR="005D67E1" w:rsidRDefault="00D76A8C" w:rsidP="005D654E">
      <w:pPr>
        <w:ind w:left="1440"/>
      </w:pPr>
      <w:r>
        <w:tab/>
      </w:r>
      <w:r>
        <w:tab/>
      </w:r>
      <w:hyperlink r:id="rId13" w:history="1">
        <w:r w:rsidR="0088730C" w:rsidRPr="00E8781D">
          <w:rPr>
            <w:rStyle w:val="Hyperlink"/>
          </w:rPr>
          <w:t>sgranger@pa.gov</w:t>
        </w:r>
      </w:hyperlink>
    </w:p>
    <w:p w14:paraId="18FCB4D7" w14:textId="77777777" w:rsidR="0088730C" w:rsidRDefault="0088730C" w:rsidP="00C45FE0"/>
    <w:p w14:paraId="2E51772D" w14:textId="77777777" w:rsidR="00BC06B9" w:rsidRDefault="00BC06B9" w:rsidP="00BC06B9"/>
    <w:p w14:paraId="16A86878" w14:textId="306E3FE2" w:rsidR="00DC5AE5" w:rsidRDefault="00DC5AE5" w:rsidP="00DC5AE5">
      <w:pPr>
        <w:spacing w:line="360" w:lineRule="auto"/>
        <w:rPr>
          <w:rFonts w:eastAsia="Times New Roman" w:cs="Times New Roman"/>
        </w:rPr>
      </w:pPr>
      <w:r>
        <w:rPr>
          <w:rFonts w:eastAsia="Times New Roman" w:cs="Times New Roman"/>
        </w:rPr>
        <w:tab/>
      </w:r>
      <w:r>
        <w:rPr>
          <w:rFonts w:eastAsia="Times New Roman" w:cs="Times New Roman"/>
        </w:rPr>
        <w:tab/>
      </w:r>
      <w:r w:rsidR="002F7014">
        <w:rPr>
          <w:rFonts w:eastAsia="Times New Roman" w:cs="Times New Roman"/>
        </w:rPr>
        <w:t>4.</w:t>
      </w:r>
      <w:r w:rsidR="002F7014">
        <w:rPr>
          <w:rFonts w:eastAsia="Times New Roman" w:cs="Times New Roman"/>
        </w:rPr>
        <w:tab/>
        <w:t>A formal evidentiary hearing will be scheduled for July 25, 2022.</w:t>
      </w:r>
    </w:p>
    <w:p w14:paraId="1095958D" w14:textId="5596EA88" w:rsidR="002F7014" w:rsidRDefault="002F7014" w:rsidP="00DC5AE5">
      <w:pPr>
        <w:spacing w:line="360" w:lineRule="auto"/>
        <w:rPr>
          <w:rFonts w:eastAsia="Times New Roman" w:cs="Times New Roman"/>
        </w:rPr>
      </w:pPr>
    </w:p>
    <w:p w14:paraId="19B058F9" w14:textId="77777777" w:rsidR="002F7014" w:rsidRPr="00DC5AE5" w:rsidRDefault="002F7014" w:rsidP="00DC5AE5">
      <w:pPr>
        <w:spacing w:line="360" w:lineRule="auto"/>
        <w:rPr>
          <w:rFonts w:eastAsia="Times New Roman" w:cs="Times New Roman"/>
        </w:rPr>
      </w:pPr>
    </w:p>
    <w:p w14:paraId="55BC7891" w14:textId="77777777" w:rsidR="00DC5AE5" w:rsidRPr="00DC5AE5" w:rsidRDefault="00DC5AE5" w:rsidP="00DC5AE5">
      <w:pPr>
        <w:rPr>
          <w:rFonts w:eastAsia="Times New Roman" w:cs="Times New Roman"/>
          <w:u w:val="single"/>
        </w:rPr>
      </w:pPr>
      <w:r w:rsidRPr="00DC5AE5">
        <w:rPr>
          <w:rFonts w:eastAsia="Times New Roman" w:cs="Times New Roman"/>
        </w:rPr>
        <w:t>Dated:</w:t>
      </w:r>
      <w:r w:rsidRPr="00DC5AE5">
        <w:rPr>
          <w:rFonts w:eastAsia="Times New Roman" w:cs="Times New Roman"/>
        </w:rPr>
        <w:tab/>
        <w:t xml:space="preserve"> </w:t>
      </w:r>
      <w:r w:rsidRPr="00DC5AE5">
        <w:rPr>
          <w:rFonts w:eastAsia="Times New Roman" w:cs="Times New Roman"/>
          <w:u w:val="single"/>
        </w:rPr>
        <w:t>June 9, 2022</w:t>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u w:val="single"/>
        </w:rPr>
        <w:tab/>
      </w:r>
      <w:r w:rsidRPr="00DC5AE5">
        <w:rPr>
          <w:rFonts w:eastAsia="Times New Roman" w:cs="Times New Roman"/>
          <w:u w:val="single"/>
        </w:rPr>
        <w:tab/>
        <w:t>/s/</w:t>
      </w:r>
      <w:r w:rsidRPr="00DC5AE5">
        <w:rPr>
          <w:rFonts w:eastAsia="Times New Roman" w:cs="Times New Roman"/>
          <w:u w:val="single"/>
        </w:rPr>
        <w:tab/>
      </w:r>
      <w:r w:rsidRPr="00DC5AE5">
        <w:rPr>
          <w:rFonts w:eastAsia="Times New Roman" w:cs="Times New Roman"/>
          <w:u w:val="single"/>
        </w:rPr>
        <w:tab/>
      </w:r>
      <w:r w:rsidRPr="00DC5AE5">
        <w:rPr>
          <w:rFonts w:eastAsia="Times New Roman" w:cs="Times New Roman"/>
          <w:u w:val="single"/>
        </w:rPr>
        <w:tab/>
      </w:r>
    </w:p>
    <w:p w14:paraId="3A6A3CA0" w14:textId="77777777" w:rsidR="00DC5AE5" w:rsidRPr="00DC5AE5" w:rsidRDefault="00DC5AE5" w:rsidP="00DC5AE5">
      <w:pPr>
        <w:rPr>
          <w:rFonts w:eastAsia="Times New Roman" w:cs="Times New Roman"/>
        </w:rPr>
      </w:pP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t>Dennis J. Buckley</w:t>
      </w:r>
    </w:p>
    <w:p w14:paraId="18A499D3" w14:textId="77777777" w:rsidR="00DC5AE5" w:rsidRPr="00DC5AE5" w:rsidRDefault="00DC5AE5" w:rsidP="00DC5AE5">
      <w:pPr>
        <w:rPr>
          <w:rFonts w:eastAsia="Times New Roman" w:cs="Times New Roman"/>
          <w:b/>
        </w:rPr>
      </w:pP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r>
      <w:r w:rsidRPr="00DC5AE5">
        <w:rPr>
          <w:rFonts w:eastAsia="Times New Roman" w:cs="Times New Roman"/>
        </w:rPr>
        <w:tab/>
        <w:t>Administrative Law Judge</w:t>
      </w:r>
    </w:p>
    <w:p w14:paraId="7DADE301" w14:textId="77777777" w:rsidR="00DC5AE5" w:rsidRPr="00DC5AE5" w:rsidRDefault="00DC5AE5" w:rsidP="00DC5AE5">
      <w:pPr>
        <w:rPr>
          <w:rFonts w:eastAsia="Times New Roman" w:cs="Times New Roman"/>
        </w:rPr>
      </w:pPr>
    </w:p>
    <w:p w14:paraId="12EA95C7" w14:textId="77777777" w:rsidR="00DC5AE5" w:rsidRPr="00DC5AE5" w:rsidRDefault="00DC5AE5" w:rsidP="00DC5AE5">
      <w:pPr>
        <w:rPr>
          <w:rFonts w:eastAsia="Times New Roman" w:cs="Times New Roman"/>
        </w:rPr>
      </w:pPr>
    </w:p>
    <w:p w14:paraId="0DB148AF" w14:textId="5C0EAEA8" w:rsidR="002D7FA3" w:rsidRDefault="002D7FA3" w:rsidP="0009347B">
      <w:pPr>
        <w:spacing w:line="360" w:lineRule="auto"/>
      </w:pPr>
    </w:p>
    <w:p w14:paraId="12A8A242" w14:textId="77777777" w:rsidR="00F10396" w:rsidRDefault="00F10396" w:rsidP="00256E39">
      <w:pPr>
        <w:spacing w:line="360" w:lineRule="auto"/>
        <w:sectPr w:rsidR="00F10396" w:rsidSect="00F10396">
          <w:footerReference w:type="default" r:id="rId14"/>
          <w:type w:val="continuous"/>
          <w:pgSz w:w="12240" w:h="15840" w:code="1"/>
          <w:pgMar w:top="1440" w:right="1440" w:bottom="1440" w:left="1440" w:header="720" w:footer="720" w:gutter="0"/>
          <w:cols w:space="720"/>
          <w:docGrid w:linePitch="360"/>
        </w:sectPr>
      </w:pPr>
    </w:p>
    <w:p w14:paraId="316730F5" w14:textId="733021EC" w:rsidR="00F10396" w:rsidRDefault="00F10396" w:rsidP="00F10396">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 xml:space="preserve">R-2022-3032242 et al - PENNSYLVANIA PUBLIC UTILITY COMMISSION v. UGI UTILITIES, INC.  </w:t>
      </w:r>
      <w:r>
        <w:rPr>
          <w:rFonts w:ascii="Microsoft Sans Serif" w:eastAsia="Microsoft Sans Serif" w:hAnsi="Microsoft Sans Serif" w:cs="Microsoft Sans Serif"/>
          <w:b/>
          <w:u w:val="single"/>
        </w:rPr>
        <w:br/>
      </w:r>
      <w:r>
        <w:rPr>
          <w:rFonts w:ascii="Microsoft Sans Serif" w:eastAsia="Microsoft Sans Serif" w:hAnsi="Microsoft Sans Serif" w:cs="Microsoft Sans Serif"/>
          <w:bCs/>
          <w:i/>
          <w:iCs/>
        </w:rPr>
        <w:t>Updated 06/07/22</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TIMOTHY MCHUGH ESQUIRE</w:t>
      </w:r>
      <w:r>
        <w:rPr>
          <w:rFonts w:ascii="Microsoft Sans Serif" w:eastAsia="Microsoft Sans Serif" w:hAnsi="Microsoft Sans Serif" w:cs="Microsoft Sans Serif"/>
        </w:rPr>
        <w:br/>
        <w:t>UGI CORPORATION INC</w:t>
      </w:r>
      <w:r>
        <w:rPr>
          <w:rFonts w:ascii="Microsoft Sans Serif" w:eastAsia="Microsoft Sans Serif" w:hAnsi="Microsoft Sans Serif" w:cs="Microsoft Sans Serif"/>
        </w:rPr>
        <w:br/>
        <w:t>460 NORTH GULPH ROAD</w:t>
      </w:r>
      <w:r>
        <w:rPr>
          <w:rFonts w:ascii="Microsoft Sans Serif" w:eastAsia="Microsoft Sans Serif" w:hAnsi="Microsoft Sans Serif" w:cs="Microsoft Sans Serif"/>
        </w:rPr>
        <w:cr/>
        <w:t>KING OF PRUSSIA PA  19406</w:t>
      </w:r>
      <w:r>
        <w:rPr>
          <w:rFonts w:ascii="Microsoft Sans Serif" w:eastAsia="Microsoft Sans Serif" w:hAnsi="Microsoft Sans Serif" w:cs="Microsoft Sans Serif"/>
        </w:rPr>
        <w:cr/>
      </w:r>
      <w:r w:rsidRPr="00A8104F">
        <w:rPr>
          <w:rFonts w:ascii="Microsoft Sans Serif" w:eastAsia="Microsoft Sans Serif" w:hAnsi="Microsoft Sans Serif" w:cs="Microsoft Sans Serif"/>
          <w:b/>
          <w:bCs/>
        </w:rPr>
        <w:t>610.992.3763</w:t>
      </w:r>
      <w:r w:rsidRPr="00A8104F">
        <w:rPr>
          <w:rFonts w:ascii="Microsoft Sans Serif" w:eastAsia="Microsoft Sans Serif" w:hAnsi="Microsoft Sans Serif" w:cs="Microsoft Sans Serif"/>
          <w:b/>
          <w:bCs/>
        </w:rPr>
        <w:cr/>
      </w:r>
      <w:r>
        <w:rPr>
          <w:rFonts w:ascii="Microsoft Sans Serif" w:eastAsia="Microsoft Sans Serif" w:hAnsi="Microsoft Sans Serif" w:cs="Microsoft Sans Serif"/>
        </w:rPr>
        <w:t>mchught@ugicorp.com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cr/>
        <w:t>LINDSAY A BERKSTRESSER ESQUIRE</w:t>
      </w:r>
      <w:r>
        <w:rPr>
          <w:rFonts w:ascii="Microsoft Sans Serif" w:eastAsia="Microsoft Sans Serif" w:hAnsi="Microsoft Sans Serif" w:cs="Microsoft Sans Serif"/>
        </w:rPr>
        <w:cr/>
        <w:t>17 N 2ND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8104F">
        <w:rPr>
          <w:rFonts w:ascii="Microsoft Sans Serif" w:eastAsia="Microsoft Sans Serif" w:hAnsi="Microsoft Sans Serif" w:cs="Microsoft Sans Serif"/>
          <w:b/>
          <w:bCs/>
        </w:rPr>
        <w:t>717.612.6021</w:t>
      </w:r>
      <w:r>
        <w:rPr>
          <w:rFonts w:ascii="Microsoft Sans Serif" w:eastAsia="Microsoft Sans Serif" w:hAnsi="Microsoft Sans Serif" w:cs="Microsoft Sans Serif"/>
        </w:rPr>
        <w:cr/>
        <w:t>lberkstresser@postschell.com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UGI Utilities, Inc.</w:t>
      </w:r>
      <w:r>
        <w:rPr>
          <w:rFonts w:ascii="Microsoft Sans Serif" w:eastAsia="Microsoft Sans Serif" w:hAnsi="Microsoft Sans Serif" w:cs="Microsoft Sans Serif"/>
        </w:rPr>
        <w:br/>
      </w:r>
      <w:r>
        <w:rPr>
          <w:rFonts w:ascii="Microsoft Sans Serif" w:eastAsia="Microsoft Sans Serif" w:hAnsi="Microsoft Sans Serif" w:cs="Microsoft Sans Serif"/>
        </w:rPr>
        <w:cr/>
        <w:t>ARON J BEATTY ESQUIRE</w:t>
      </w:r>
      <w:r>
        <w:rPr>
          <w:rFonts w:ascii="Microsoft Sans Serif" w:eastAsia="Microsoft Sans Serif" w:hAnsi="Microsoft Sans Serif" w:cs="Microsoft Sans Serif"/>
        </w:rPr>
        <w:br/>
        <w:t>LAUREN E GUERRA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A52F8">
        <w:rPr>
          <w:rFonts w:ascii="Microsoft Sans Serif" w:eastAsia="Microsoft Sans Serif" w:hAnsi="Microsoft Sans Serif" w:cs="Microsoft Sans Serif"/>
          <w:b/>
          <w:bCs/>
        </w:rPr>
        <w:t>717.783.5048</w:t>
      </w:r>
      <w:r w:rsidRPr="00DA52F8">
        <w:rPr>
          <w:rFonts w:ascii="Microsoft Sans Serif" w:eastAsia="Microsoft Sans Serif" w:hAnsi="Microsoft Sans Serif" w:cs="Microsoft Sans Serif"/>
          <w:b/>
          <w:bCs/>
        </w:rPr>
        <w:cr/>
      </w:r>
      <w:r>
        <w:rPr>
          <w:rFonts w:ascii="Microsoft Sans Serif" w:eastAsia="Microsoft Sans Serif" w:hAnsi="Microsoft Sans Serif" w:cs="Microsoft Sans Serif"/>
        </w:rPr>
        <w:t>abeatty@paoca.org</w:t>
      </w:r>
      <w:r>
        <w:rPr>
          <w:rFonts w:ascii="Microsoft Sans Serif" w:eastAsia="Microsoft Sans Serif" w:hAnsi="Microsoft Sans Serif" w:cs="Microsoft Sans Serif"/>
        </w:rPr>
        <w:cr/>
        <w:t>lguerra@paoca.org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1699A">
        <w:rPr>
          <w:rFonts w:ascii="Microsoft Sans Serif" w:eastAsia="Microsoft Sans Serif" w:hAnsi="Microsoft Sans Serif" w:cs="Microsoft Sans Serif"/>
          <w:b/>
          <w:bCs/>
        </w:rPr>
        <w:t>717.783.2525</w:t>
      </w:r>
      <w:r w:rsidRPr="0021699A">
        <w:rPr>
          <w:rFonts w:ascii="Microsoft Sans Serif" w:eastAsia="Microsoft Sans Serif" w:hAnsi="Microsoft Sans Serif" w:cs="Microsoft Sans Serif"/>
          <w:b/>
          <w:bCs/>
        </w:rPr>
        <w:cr/>
      </w:r>
      <w:r>
        <w:rPr>
          <w:rFonts w:ascii="Microsoft Sans Serif" w:eastAsia="Microsoft Sans Serif" w:hAnsi="Microsoft Sans Serif" w:cs="Microsoft Sans Serif"/>
        </w:rPr>
        <w:t>sgray@pa.gov</w:t>
      </w:r>
    </w:p>
    <w:p w14:paraId="18924E5A" w14:textId="77777777" w:rsidR="00F10396" w:rsidRDefault="00F10396" w:rsidP="00F10396">
      <w:pPr>
        <w:rPr>
          <w:rFonts w:ascii="Microsoft Sans Serif" w:eastAsia="Microsoft Sans Serif" w:hAnsi="Microsoft Sans Serif" w:cs="Microsoft Sans Serif"/>
        </w:rPr>
      </w:pPr>
    </w:p>
    <w:p w14:paraId="5ECDEA37" w14:textId="77777777" w:rsidR="00F10396" w:rsidRDefault="00F10396" w:rsidP="00F10396">
      <w:r>
        <w:rPr>
          <w:rFonts w:ascii="Microsoft Sans Serif" w:eastAsia="Microsoft Sans Serif" w:hAnsi="Microsoft Sans Serif" w:cs="Microsoft Sans Serif"/>
        </w:rPr>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21699A">
        <w:rPr>
          <w:rFonts w:ascii="Microsoft Sans Serif" w:eastAsia="Microsoft Sans Serif" w:hAnsi="Microsoft Sans Serif" w:cs="Microsoft Sans Serif"/>
          <w:b/>
          <w:bCs/>
        </w:rPr>
        <w:t>717.425.7593</w:t>
      </w:r>
      <w:r>
        <w:rPr>
          <w:rFonts w:ascii="Microsoft Sans Serif" w:eastAsia="Microsoft Sans Serif" w:hAnsi="Microsoft Sans Serif" w:cs="Microsoft Sans Serif"/>
        </w:rPr>
        <w:cr/>
        <w:t>sgranger@pa.gov</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sectPr w:rsidR="00F10396" w:rsidSect="00F10396">
      <w:footerReference w:type="defaul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10E7" w14:textId="77777777" w:rsidR="00CC710F" w:rsidRDefault="00CC710F">
      <w:r>
        <w:separator/>
      </w:r>
    </w:p>
  </w:endnote>
  <w:endnote w:type="continuationSeparator" w:id="0">
    <w:p w14:paraId="39713C15" w14:textId="77777777" w:rsidR="00CC710F" w:rsidRDefault="00CC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DF1" w14:textId="77777777" w:rsidR="007C0F2F" w:rsidRDefault="00674C11"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10396">
      <w:rPr>
        <w:rStyle w:val="PageNumber"/>
      </w:rPr>
      <w:fldChar w:fldCharType="separate"/>
    </w:r>
    <w:r>
      <w:rPr>
        <w:rStyle w:val="PageNumber"/>
      </w:rPr>
      <w:fldChar w:fldCharType="end"/>
    </w:r>
  </w:p>
  <w:p w14:paraId="1324C470" w14:textId="77777777" w:rsidR="007C0F2F" w:rsidRDefault="00674C11">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C57C" w14:textId="1D84EDDF" w:rsidR="00ED4CE5" w:rsidRPr="00B34715" w:rsidRDefault="00ED4CE5">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674318"/>
      <w:docPartObj>
        <w:docPartGallery w:val="Page Numbers (Bottom of Page)"/>
        <w:docPartUnique/>
      </w:docPartObj>
    </w:sdtPr>
    <w:sdtEndPr>
      <w:rPr>
        <w:noProof/>
        <w:sz w:val="20"/>
        <w:szCs w:val="20"/>
      </w:rPr>
    </w:sdtEndPr>
    <w:sdtContent>
      <w:p w14:paraId="37899AC7" w14:textId="77777777" w:rsidR="00F10396" w:rsidRPr="00B34715" w:rsidRDefault="00F10396">
        <w:pPr>
          <w:pStyle w:val="Footer"/>
          <w:jc w:val="center"/>
          <w:rPr>
            <w:sz w:val="20"/>
            <w:szCs w:val="20"/>
          </w:rPr>
        </w:pPr>
        <w:r w:rsidRPr="00B34715">
          <w:rPr>
            <w:sz w:val="20"/>
            <w:szCs w:val="20"/>
          </w:rPr>
          <w:fldChar w:fldCharType="begin"/>
        </w:r>
        <w:r w:rsidRPr="00B34715">
          <w:rPr>
            <w:sz w:val="20"/>
            <w:szCs w:val="20"/>
          </w:rPr>
          <w:instrText xml:space="preserve"> PAGE   \* MERGEFORMAT </w:instrText>
        </w:r>
        <w:r w:rsidRPr="00B34715">
          <w:rPr>
            <w:sz w:val="20"/>
            <w:szCs w:val="20"/>
          </w:rPr>
          <w:fldChar w:fldCharType="separate"/>
        </w:r>
        <w:r w:rsidRPr="00B34715">
          <w:rPr>
            <w:noProof/>
            <w:sz w:val="20"/>
            <w:szCs w:val="20"/>
          </w:rPr>
          <w:t>10</w:t>
        </w:r>
        <w:r w:rsidRPr="00B34715">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5385" w14:textId="16CE42FF" w:rsidR="00F10396" w:rsidRPr="00B34715" w:rsidRDefault="00F1039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ACEF" w14:textId="77777777" w:rsidR="00CC710F" w:rsidRDefault="00CC710F" w:rsidP="00856A80">
      <w:r>
        <w:separator/>
      </w:r>
    </w:p>
  </w:footnote>
  <w:footnote w:type="continuationSeparator" w:id="0">
    <w:p w14:paraId="0B633FB7" w14:textId="77777777" w:rsidR="00CC710F" w:rsidRDefault="00CC710F" w:rsidP="00856A80">
      <w:r>
        <w:continuationSeparator/>
      </w:r>
    </w:p>
  </w:footnote>
  <w:footnote w:id="1">
    <w:p w14:paraId="255CF77B" w14:textId="726D1046" w:rsidR="00C54970" w:rsidRDefault="00C54970" w:rsidP="00F10396">
      <w:pPr>
        <w:pStyle w:val="FootnoteText"/>
      </w:pPr>
      <w:r>
        <w:rPr>
          <w:rStyle w:val="FootnoteReference"/>
        </w:rPr>
        <w:footnoteRef/>
      </w:r>
      <w:r>
        <w:t xml:space="preserve"> </w:t>
      </w:r>
      <w:r w:rsidR="00001E79">
        <w:t xml:space="preserve">  While the parties are permitted only one entry on the Commission’s official service list, I note that several of the parties </w:t>
      </w:r>
      <w:r w:rsidR="00C73AAE">
        <w:t>requested service on additional representatives.</w:t>
      </w:r>
      <w:r w:rsidR="00927066">
        <w:t xml:space="preserve">  Obviously, the limitation of this </w:t>
      </w:r>
      <w:r w:rsidR="00F01804">
        <w:t>O</w:t>
      </w:r>
      <w:r w:rsidR="00927066">
        <w:t xml:space="preserve">rder does not preclude </w:t>
      </w:r>
      <w:r w:rsidR="00F52C9E">
        <w:t>service among the parties.</w:t>
      </w:r>
    </w:p>
    <w:p w14:paraId="64D945B8" w14:textId="77777777" w:rsidR="00927066" w:rsidRDefault="00927066" w:rsidP="000B302F">
      <w:pPr>
        <w:pStyle w:val="FootnoteText"/>
        <w:ind w:firstLine="0"/>
      </w:pPr>
    </w:p>
  </w:footnote>
  <w:footnote w:id="2">
    <w:p w14:paraId="495A4F05" w14:textId="0FA63E02" w:rsidR="00FF708B" w:rsidRDefault="000B302F" w:rsidP="00855B76">
      <w:pPr>
        <w:pStyle w:val="FootnoteText"/>
        <w:ind w:left="-450" w:firstLine="0"/>
      </w:pPr>
      <w:r>
        <w:tab/>
      </w:r>
      <w:r w:rsidR="00F10396">
        <w:tab/>
      </w:r>
      <w:r w:rsidR="00FF708B">
        <w:rPr>
          <w:rStyle w:val="FootnoteReference"/>
        </w:rPr>
        <w:footnoteRef/>
      </w:r>
      <w:r w:rsidR="00FF708B">
        <w:t xml:space="preserve"> </w:t>
      </w:r>
      <w:r>
        <w:t xml:space="preserve">  </w:t>
      </w:r>
      <w:r w:rsidR="00855B76">
        <w:t>Consolidation will be acc</w:t>
      </w:r>
      <w:r w:rsidR="007C0957">
        <w:t>omplished in a separate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555ACDE6">
      <w:start w:val="4"/>
      <w:numFmt w:val="lowerRoman"/>
      <w:lvlText w:val="(%1)"/>
      <w:lvlJc w:val="left"/>
      <w:pPr>
        <w:tabs>
          <w:tab w:val="num" w:pos="4320"/>
        </w:tabs>
        <w:ind w:left="4320" w:hanging="720"/>
      </w:pPr>
      <w:rPr>
        <w:rFonts w:hint="default"/>
      </w:rPr>
    </w:lvl>
    <w:lvl w:ilvl="1" w:tplc="A2565B2C" w:tentative="1">
      <w:start w:val="1"/>
      <w:numFmt w:val="lowerLetter"/>
      <w:lvlText w:val="%2."/>
      <w:lvlJc w:val="left"/>
      <w:pPr>
        <w:tabs>
          <w:tab w:val="num" w:pos="4680"/>
        </w:tabs>
        <w:ind w:left="4680" w:hanging="360"/>
      </w:pPr>
    </w:lvl>
    <w:lvl w:ilvl="2" w:tplc="FD52FB68" w:tentative="1">
      <w:start w:val="1"/>
      <w:numFmt w:val="lowerRoman"/>
      <w:lvlText w:val="%3."/>
      <w:lvlJc w:val="right"/>
      <w:pPr>
        <w:tabs>
          <w:tab w:val="num" w:pos="5400"/>
        </w:tabs>
        <w:ind w:left="5400" w:hanging="180"/>
      </w:pPr>
    </w:lvl>
    <w:lvl w:ilvl="3" w:tplc="467693EE" w:tentative="1">
      <w:start w:val="1"/>
      <w:numFmt w:val="decimal"/>
      <w:lvlText w:val="%4."/>
      <w:lvlJc w:val="left"/>
      <w:pPr>
        <w:tabs>
          <w:tab w:val="num" w:pos="6120"/>
        </w:tabs>
        <w:ind w:left="6120" w:hanging="360"/>
      </w:pPr>
    </w:lvl>
    <w:lvl w:ilvl="4" w:tplc="775C91B6" w:tentative="1">
      <w:start w:val="1"/>
      <w:numFmt w:val="lowerLetter"/>
      <w:lvlText w:val="%5."/>
      <w:lvlJc w:val="left"/>
      <w:pPr>
        <w:tabs>
          <w:tab w:val="num" w:pos="6840"/>
        </w:tabs>
        <w:ind w:left="6840" w:hanging="360"/>
      </w:pPr>
    </w:lvl>
    <w:lvl w:ilvl="5" w:tplc="6D469742" w:tentative="1">
      <w:start w:val="1"/>
      <w:numFmt w:val="lowerRoman"/>
      <w:lvlText w:val="%6."/>
      <w:lvlJc w:val="right"/>
      <w:pPr>
        <w:tabs>
          <w:tab w:val="num" w:pos="7560"/>
        </w:tabs>
        <w:ind w:left="7560" w:hanging="180"/>
      </w:pPr>
    </w:lvl>
    <w:lvl w:ilvl="6" w:tplc="615EC534" w:tentative="1">
      <w:start w:val="1"/>
      <w:numFmt w:val="decimal"/>
      <w:lvlText w:val="%7."/>
      <w:lvlJc w:val="left"/>
      <w:pPr>
        <w:tabs>
          <w:tab w:val="num" w:pos="8280"/>
        </w:tabs>
        <w:ind w:left="8280" w:hanging="360"/>
      </w:pPr>
    </w:lvl>
    <w:lvl w:ilvl="7" w:tplc="0E1E1A36" w:tentative="1">
      <w:start w:val="1"/>
      <w:numFmt w:val="lowerLetter"/>
      <w:lvlText w:val="%8."/>
      <w:lvlJc w:val="left"/>
      <w:pPr>
        <w:tabs>
          <w:tab w:val="num" w:pos="9000"/>
        </w:tabs>
        <w:ind w:left="9000" w:hanging="360"/>
      </w:pPr>
    </w:lvl>
    <w:lvl w:ilvl="8" w:tplc="D9FAEDC0" w:tentative="1">
      <w:start w:val="1"/>
      <w:numFmt w:val="lowerRoman"/>
      <w:lvlText w:val="%9."/>
      <w:lvlJc w:val="right"/>
      <w:pPr>
        <w:tabs>
          <w:tab w:val="num" w:pos="9720"/>
        </w:tabs>
        <w:ind w:left="9720" w:hanging="180"/>
      </w:pPr>
    </w:lvl>
  </w:abstractNum>
  <w:abstractNum w:abstractNumId="4" w15:restartNumberingAfterBreak="0">
    <w:nsid w:val="2624702F"/>
    <w:multiLevelType w:val="hybridMultilevel"/>
    <w:tmpl w:val="0218C0E0"/>
    <w:lvl w:ilvl="0" w:tplc="5E3EEF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CD2675"/>
    <w:multiLevelType w:val="singleLevel"/>
    <w:tmpl w:val="C57A726E"/>
    <w:lvl w:ilvl="0">
      <w:start w:val="1"/>
      <w:numFmt w:val="decimal"/>
      <w:lvlText w:val="%1."/>
      <w:lvlJc w:val="left"/>
      <w:pPr>
        <w:tabs>
          <w:tab w:val="num" w:pos="1440"/>
        </w:tabs>
        <w:ind w:left="1440" w:hanging="720"/>
      </w:pPr>
      <w:rPr>
        <w:rFonts w:hint="default"/>
      </w:rPr>
    </w:lvl>
  </w:abstractNum>
  <w:abstractNum w:abstractNumId="6" w15:restartNumberingAfterBreak="0">
    <w:nsid w:val="403328E4"/>
    <w:multiLevelType w:val="hybridMultilevel"/>
    <w:tmpl w:val="EFDA0AE0"/>
    <w:lvl w:ilvl="0" w:tplc="E5E06CB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99442E"/>
    <w:multiLevelType w:val="hybridMultilevel"/>
    <w:tmpl w:val="B966202C"/>
    <w:lvl w:ilvl="0" w:tplc="DE562FB2">
      <w:start w:val="9"/>
      <w:numFmt w:val="decimal"/>
      <w:lvlText w:val="%1."/>
      <w:lvlJc w:val="left"/>
      <w:pPr>
        <w:tabs>
          <w:tab w:val="num" w:pos="1440"/>
        </w:tabs>
        <w:ind w:left="1440" w:hanging="720"/>
      </w:pPr>
      <w:rPr>
        <w:rFonts w:hint="default"/>
      </w:rPr>
    </w:lvl>
    <w:lvl w:ilvl="1" w:tplc="3D266E64" w:tentative="1">
      <w:start w:val="1"/>
      <w:numFmt w:val="lowerLetter"/>
      <w:lvlText w:val="%2."/>
      <w:lvlJc w:val="left"/>
      <w:pPr>
        <w:ind w:left="1440" w:hanging="360"/>
      </w:pPr>
    </w:lvl>
    <w:lvl w:ilvl="2" w:tplc="8F46ECAC" w:tentative="1">
      <w:start w:val="1"/>
      <w:numFmt w:val="lowerRoman"/>
      <w:lvlText w:val="%3."/>
      <w:lvlJc w:val="right"/>
      <w:pPr>
        <w:ind w:left="2160" w:hanging="180"/>
      </w:pPr>
    </w:lvl>
    <w:lvl w:ilvl="3" w:tplc="07CEC3FA" w:tentative="1">
      <w:start w:val="1"/>
      <w:numFmt w:val="decimal"/>
      <w:lvlText w:val="%4."/>
      <w:lvlJc w:val="left"/>
      <w:pPr>
        <w:ind w:left="2880" w:hanging="360"/>
      </w:pPr>
    </w:lvl>
    <w:lvl w:ilvl="4" w:tplc="CD8E51FA" w:tentative="1">
      <w:start w:val="1"/>
      <w:numFmt w:val="lowerLetter"/>
      <w:lvlText w:val="%5."/>
      <w:lvlJc w:val="left"/>
      <w:pPr>
        <w:ind w:left="3600" w:hanging="360"/>
      </w:pPr>
    </w:lvl>
    <w:lvl w:ilvl="5" w:tplc="61241222" w:tentative="1">
      <w:start w:val="1"/>
      <w:numFmt w:val="lowerRoman"/>
      <w:lvlText w:val="%6."/>
      <w:lvlJc w:val="right"/>
      <w:pPr>
        <w:ind w:left="4320" w:hanging="180"/>
      </w:pPr>
    </w:lvl>
    <w:lvl w:ilvl="6" w:tplc="12D267B0" w:tentative="1">
      <w:start w:val="1"/>
      <w:numFmt w:val="decimal"/>
      <w:lvlText w:val="%7."/>
      <w:lvlJc w:val="left"/>
      <w:pPr>
        <w:ind w:left="5040" w:hanging="360"/>
      </w:pPr>
    </w:lvl>
    <w:lvl w:ilvl="7" w:tplc="4EBC13A4" w:tentative="1">
      <w:start w:val="1"/>
      <w:numFmt w:val="lowerLetter"/>
      <w:lvlText w:val="%8."/>
      <w:lvlJc w:val="left"/>
      <w:pPr>
        <w:ind w:left="5760" w:hanging="360"/>
      </w:pPr>
    </w:lvl>
    <w:lvl w:ilvl="8" w:tplc="E3724E40" w:tentative="1">
      <w:start w:val="1"/>
      <w:numFmt w:val="lowerRoman"/>
      <w:lvlText w:val="%9."/>
      <w:lvlJc w:val="right"/>
      <w:pPr>
        <w:ind w:left="6480" w:hanging="180"/>
      </w:pPr>
    </w:lvl>
  </w:abstractNum>
  <w:abstractNum w:abstractNumId="8"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1491556593">
    <w:abstractNumId w:val="0"/>
  </w:num>
  <w:num w:numId="2" w16cid:durableId="1506676575">
    <w:abstractNumId w:val="2"/>
  </w:num>
  <w:num w:numId="3" w16cid:durableId="174921461">
    <w:abstractNumId w:val="1"/>
  </w:num>
  <w:num w:numId="4" w16cid:durableId="58484122">
    <w:abstractNumId w:val="2"/>
  </w:num>
  <w:num w:numId="5" w16cid:durableId="1576352502">
    <w:abstractNumId w:val="8"/>
  </w:num>
  <w:num w:numId="6" w16cid:durableId="1559511590">
    <w:abstractNumId w:val="5"/>
  </w:num>
  <w:num w:numId="7" w16cid:durableId="1171335482">
    <w:abstractNumId w:val="3"/>
  </w:num>
  <w:num w:numId="8" w16cid:durableId="2020959950">
    <w:abstractNumId w:val="7"/>
  </w:num>
  <w:num w:numId="9" w16cid:durableId="1479686008">
    <w:abstractNumId w:val="4"/>
  </w:num>
  <w:num w:numId="10" w16cid:durableId="2588715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2F"/>
    <w:rsid w:val="00001E79"/>
    <w:rsid w:val="00010487"/>
    <w:rsid w:val="000147ED"/>
    <w:rsid w:val="00022740"/>
    <w:rsid w:val="00026826"/>
    <w:rsid w:val="000352EE"/>
    <w:rsid w:val="00052E8F"/>
    <w:rsid w:val="0009347B"/>
    <w:rsid w:val="00096A61"/>
    <w:rsid w:val="000A2AF3"/>
    <w:rsid w:val="000B302F"/>
    <w:rsid w:val="000B41EA"/>
    <w:rsid w:val="000B5B40"/>
    <w:rsid w:val="000E54CA"/>
    <w:rsid w:val="000E5E7B"/>
    <w:rsid w:val="000F08FC"/>
    <w:rsid w:val="00103DB4"/>
    <w:rsid w:val="0011258F"/>
    <w:rsid w:val="001160CF"/>
    <w:rsid w:val="001233BB"/>
    <w:rsid w:val="0013045F"/>
    <w:rsid w:val="00132430"/>
    <w:rsid w:val="00142A68"/>
    <w:rsid w:val="001639A8"/>
    <w:rsid w:val="00176215"/>
    <w:rsid w:val="00177B38"/>
    <w:rsid w:val="00180072"/>
    <w:rsid w:val="0019372D"/>
    <w:rsid w:val="0019657C"/>
    <w:rsid w:val="001A1976"/>
    <w:rsid w:val="001C466D"/>
    <w:rsid w:val="001C4E2E"/>
    <w:rsid w:val="001C6834"/>
    <w:rsid w:val="001D68AB"/>
    <w:rsid w:val="00205F76"/>
    <w:rsid w:val="0020600B"/>
    <w:rsid w:val="0022331F"/>
    <w:rsid w:val="0025157B"/>
    <w:rsid w:val="00253355"/>
    <w:rsid w:val="00256DE0"/>
    <w:rsid w:val="00256E39"/>
    <w:rsid w:val="0026224A"/>
    <w:rsid w:val="00270F99"/>
    <w:rsid w:val="00271B3B"/>
    <w:rsid w:val="00274730"/>
    <w:rsid w:val="00282661"/>
    <w:rsid w:val="00297033"/>
    <w:rsid w:val="002A74B0"/>
    <w:rsid w:val="002B3DCB"/>
    <w:rsid w:val="002D76B2"/>
    <w:rsid w:val="002D7FA3"/>
    <w:rsid w:val="002E5555"/>
    <w:rsid w:val="002F7014"/>
    <w:rsid w:val="00312506"/>
    <w:rsid w:val="00314137"/>
    <w:rsid w:val="00315672"/>
    <w:rsid w:val="003232D5"/>
    <w:rsid w:val="00325158"/>
    <w:rsid w:val="00325F3B"/>
    <w:rsid w:val="00330E76"/>
    <w:rsid w:val="003316CB"/>
    <w:rsid w:val="00342167"/>
    <w:rsid w:val="0035546D"/>
    <w:rsid w:val="003613EA"/>
    <w:rsid w:val="003B5753"/>
    <w:rsid w:val="003D2A76"/>
    <w:rsid w:val="003E388E"/>
    <w:rsid w:val="003F68C4"/>
    <w:rsid w:val="00407A0F"/>
    <w:rsid w:val="004108E1"/>
    <w:rsid w:val="00410C81"/>
    <w:rsid w:val="00410DF8"/>
    <w:rsid w:val="00412434"/>
    <w:rsid w:val="004135E9"/>
    <w:rsid w:val="00417926"/>
    <w:rsid w:val="00422628"/>
    <w:rsid w:val="00425DD7"/>
    <w:rsid w:val="0043290D"/>
    <w:rsid w:val="00437FA8"/>
    <w:rsid w:val="00454DA4"/>
    <w:rsid w:val="004611FA"/>
    <w:rsid w:val="004825BA"/>
    <w:rsid w:val="00492541"/>
    <w:rsid w:val="004925BD"/>
    <w:rsid w:val="004B6D53"/>
    <w:rsid w:val="004C02A6"/>
    <w:rsid w:val="004D2F10"/>
    <w:rsid w:val="004D571A"/>
    <w:rsid w:val="004D678A"/>
    <w:rsid w:val="004F6680"/>
    <w:rsid w:val="0050684A"/>
    <w:rsid w:val="0051715F"/>
    <w:rsid w:val="0052603E"/>
    <w:rsid w:val="00526EA6"/>
    <w:rsid w:val="00530D5B"/>
    <w:rsid w:val="00533A91"/>
    <w:rsid w:val="00533EFD"/>
    <w:rsid w:val="0054087B"/>
    <w:rsid w:val="00550EF8"/>
    <w:rsid w:val="00552433"/>
    <w:rsid w:val="00577813"/>
    <w:rsid w:val="00580E38"/>
    <w:rsid w:val="00583FA7"/>
    <w:rsid w:val="00584424"/>
    <w:rsid w:val="00591378"/>
    <w:rsid w:val="00592F4F"/>
    <w:rsid w:val="005944ED"/>
    <w:rsid w:val="005C1F92"/>
    <w:rsid w:val="005C65AA"/>
    <w:rsid w:val="005D5010"/>
    <w:rsid w:val="005D654E"/>
    <w:rsid w:val="005D67E1"/>
    <w:rsid w:val="005D681D"/>
    <w:rsid w:val="005D6971"/>
    <w:rsid w:val="005E491C"/>
    <w:rsid w:val="005F3F97"/>
    <w:rsid w:val="005F5773"/>
    <w:rsid w:val="006055E7"/>
    <w:rsid w:val="00607844"/>
    <w:rsid w:val="0061057D"/>
    <w:rsid w:val="00611602"/>
    <w:rsid w:val="0061357E"/>
    <w:rsid w:val="006419D4"/>
    <w:rsid w:val="00641BFE"/>
    <w:rsid w:val="00641C77"/>
    <w:rsid w:val="0065407C"/>
    <w:rsid w:val="00664258"/>
    <w:rsid w:val="006716CB"/>
    <w:rsid w:val="00674C11"/>
    <w:rsid w:val="006829C5"/>
    <w:rsid w:val="006830D4"/>
    <w:rsid w:val="006873C9"/>
    <w:rsid w:val="00690042"/>
    <w:rsid w:val="00690DB1"/>
    <w:rsid w:val="006918A3"/>
    <w:rsid w:val="006C11D8"/>
    <w:rsid w:val="006C55D4"/>
    <w:rsid w:val="006C594B"/>
    <w:rsid w:val="006D47D6"/>
    <w:rsid w:val="006D650C"/>
    <w:rsid w:val="006F43E6"/>
    <w:rsid w:val="006F5C35"/>
    <w:rsid w:val="006F649A"/>
    <w:rsid w:val="00714F75"/>
    <w:rsid w:val="00720413"/>
    <w:rsid w:val="007311AE"/>
    <w:rsid w:val="00733885"/>
    <w:rsid w:val="007364B3"/>
    <w:rsid w:val="007459A4"/>
    <w:rsid w:val="00745F1E"/>
    <w:rsid w:val="00763430"/>
    <w:rsid w:val="0076721A"/>
    <w:rsid w:val="007768A6"/>
    <w:rsid w:val="00776B54"/>
    <w:rsid w:val="00784330"/>
    <w:rsid w:val="00797348"/>
    <w:rsid w:val="007C0957"/>
    <w:rsid w:val="007C0F2F"/>
    <w:rsid w:val="007C6779"/>
    <w:rsid w:val="007D2E1F"/>
    <w:rsid w:val="007D49BA"/>
    <w:rsid w:val="007F3D8C"/>
    <w:rsid w:val="007F4E23"/>
    <w:rsid w:val="007F65A5"/>
    <w:rsid w:val="007F7ED0"/>
    <w:rsid w:val="00806619"/>
    <w:rsid w:val="008233CC"/>
    <w:rsid w:val="00823BA0"/>
    <w:rsid w:val="008310E3"/>
    <w:rsid w:val="00833DE7"/>
    <w:rsid w:val="0083591F"/>
    <w:rsid w:val="0083649C"/>
    <w:rsid w:val="0083718A"/>
    <w:rsid w:val="00841397"/>
    <w:rsid w:val="00855B76"/>
    <w:rsid w:val="00855CF4"/>
    <w:rsid w:val="008565CB"/>
    <w:rsid w:val="00856A80"/>
    <w:rsid w:val="0086079C"/>
    <w:rsid w:val="00865CDB"/>
    <w:rsid w:val="0087143A"/>
    <w:rsid w:val="0087300C"/>
    <w:rsid w:val="00873212"/>
    <w:rsid w:val="008807C3"/>
    <w:rsid w:val="00882665"/>
    <w:rsid w:val="00885D74"/>
    <w:rsid w:val="0088730C"/>
    <w:rsid w:val="00895A8D"/>
    <w:rsid w:val="008A165D"/>
    <w:rsid w:val="008A7EC2"/>
    <w:rsid w:val="008B22E2"/>
    <w:rsid w:val="008B6546"/>
    <w:rsid w:val="008D296A"/>
    <w:rsid w:val="008D7824"/>
    <w:rsid w:val="008E2B3E"/>
    <w:rsid w:val="008F0FE8"/>
    <w:rsid w:val="009029B2"/>
    <w:rsid w:val="00905569"/>
    <w:rsid w:val="0091690B"/>
    <w:rsid w:val="00916DE5"/>
    <w:rsid w:val="0092571F"/>
    <w:rsid w:val="009268CF"/>
    <w:rsid w:val="00927066"/>
    <w:rsid w:val="00931809"/>
    <w:rsid w:val="009352B0"/>
    <w:rsid w:val="009607D9"/>
    <w:rsid w:val="00960F5B"/>
    <w:rsid w:val="0097172D"/>
    <w:rsid w:val="009755D8"/>
    <w:rsid w:val="009A0825"/>
    <w:rsid w:val="009B70B3"/>
    <w:rsid w:val="009C0692"/>
    <w:rsid w:val="009D058A"/>
    <w:rsid w:val="009D59B2"/>
    <w:rsid w:val="009E6497"/>
    <w:rsid w:val="009F62B4"/>
    <w:rsid w:val="00A041BC"/>
    <w:rsid w:val="00A1626E"/>
    <w:rsid w:val="00A2255C"/>
    <w:rsid w:val="00A24EBD"/>
    <w:rsid w:val="00A26F8E"/>
    <w:rsid w:val="00A617A6"/>
    <w:rsid w:val="00A75801"/>
    <w:rsid w:val="00A85EED"/>
    <w:rsid w:val="00AA5C61"/>
    <w:rsid w:val="00AB5851"/>
    <w:rsid w:val="00AB68FD"/>
    <w:rsid w:val="00AB6FB4"/>
    <w:rsid w:val="00AC4FA2"/>
    <w:rsid w:val="00AE3EEF"/>
    <w:rsid w:val="00AF1E3D"/>
    <w:rsid w:val="00B00A02"/>
    <w:rsid w:val="00B10D03"/>
    <w:rsid w:val="00B27089"/>
    <w:rsid w:val="00B34715"/>
    <w:rsid w:val="00B40464"/>
    <w:rsid w:val="00B45D8A"/>
    <w:rsid w:val="00B54D5E"/>
    <w:rsid w:val="00B64624"/>
    <w:rsid w:val="00B677D0"/>
    <w:rsid w:val="00B709D8"/>
    <w:rsid w:val="00B72DB1"/>
    <w:rsid w:val="00B81B50"/>
    <w:rsid w:val="00B87F1E"/>
    <w:rsid w:val="00B9195D"/>
    <w:rsid w:val="00B94373"/>
    <w:rsid w:val="00BB66A0"/>
    <w:rsid w:val="00BB7972"/>
    <w:rsid w:val="00BC05A3"/>
    <w:rsid w:val="00BC06B9"/>
    <w:rsid w:val="00BC11C3"/>
    <w:rsid w:val="00BC1C0A"/>
    <w:rsid w:val="00BD605F"/>
    <w:rsid w:val="00BE06F2"/>
    <w:rsid w:val="00BE13C2"/>
    <w:rsid w:val="00BE3102"/>
    <w:rsid w:val="00BE3B1D"/>
    <w:rsid w:val="00BE69D6"/>
    <w:rsid w:val="00BF43D4"/>
    <w:rsid w:val="00BF7607"/>
    <w:rsid w:val="00C04994"/>
    <w:rsid w:val="00C11A5C"/>
    <w:rsid w:val="00C12F40"/>
    <w:rsid w:val="00C24B15"/>
    <w:rsid w:val="00C45FE0"/>
    <w:rsid w:val="00C54970"/>
    <w:rsid w:val="00C61E52"/>
    <w:rsid w:val="00C73AAE"/>
    <w:rsid w:val="00C80D86"/>
    <w:rsid w:val="00C826D7"/>
    <w:rsid w:val="00C916A7"/>
    <w:rsid w:val="00C91C80"/>
    <w:rsid w:val="00C97974"/>
    <w:rsid w:val="00CA3168"/>
    <w:rsid w:val="00CA5A1E"/>
    <w:rsid w:val="00CA7A64"/>
    <w:rsid w:val="00CB0052"/>
    <w:rsid w:val="00CB26C0"/>
    <w:rsid w:val="00CC4B2B"/>
    <w:rsid w:val="00CC710F"/>
    <w:rsid w:val="00CC7937"/>
    <w:rsid w:val="00CE61C7"/>
    <w:rsid w:val="00CF5641"/>
    <w:rsid w:val="00D101AE"/>
    <w:rsid w:val="00D339BA"/>
    <w:rsid w:val="00D4062C"/>
    <w:rsid w:val="00D40E71"/>
    <w:rsid w:val="00D53093"/>
    <w:rsid w:val="00D562F9"/>
    <w:rsid w:val="00D61A77"/>
    <w:rsid w:val="00D62FE7"/>
    <w:rsid w:val="00D63A7E"/>
    <w:rsid w:val="00D73EC0"/>
    <w:rsid w:val="00D76A8C"/>
    <w:rsid w:val="00D968BB"/>
    <w:rsid w:val="00D977D7"/>
    <w:rsid w:val="00DA0146"/>
    <w:rsid w:val="00DA0573"/>
    <w:rsid w:val="00DB0291"/>
    <w:rsid w:val="00DC5AE5"/>
    <w:rsid w:val="00DD40BC"/>
    <w:rsid w:val="00DD4362"/>
    <w:rsid w:val="00DF344C"/>
    <w:rsid w:val="00DF616D"/>
    <w:rsid w:val="00E145D8"/>
    <w:rsid w:val="00E22A31"/>
    <w:rsid w:val="00E22CCD"/>
    <w:rsid w:val="00E348F6"/>
    <w:rsid w:val="00E42DD7"/>
    <w:rsid w:val="00E51D73"/>
    <w:rsid w:val="00E7366D"/>
    <w:rsid w:val="00E83286"/>
    <w:rsid w:val="00E850A5"/>
    <w:rsid w:val="00E90021"/>
    <w:rsid w:val="00E906D9"/>
    <w:rsid w:val="00E90736"/>
    <w:rsid w:val="00E91736"/>
    <w:rsid w:val="00E925FB"/>
    <w:rsid w:val="00E92D7F"/>
    <w:rsid w:val="00EA132F"/>
    <w:rsid w:val="00EA58AE"/>
    <w:rsid w:val="00EB40B6"/>
    <w:rsid w:val="00EC11C3"/>
    <w:rsid w:val="00EC61F8"/>
    <w:rsid w:val="00ED4CE5"/>
    <w:rsid w:val="00ED7C8D"/>
    <w:rsid w:val="00EE06CE"/>
    <w:rsid w:val="00EF2D6E"/>
    <w:rsid w:val="00EF63F0"/>
    <w:rsid w:val="00F01804"/>
    <w:rsid w:val="00F10396"/>
    <w:rsid w:val="00F12B09"/>
    <w:rsid w:val="00F1336E"/>
    <w:rsid w:val="00F15443"/>
    <w:rsid w:val="00F20E51"/>
    <w:rsid w:val="00F31E17"/>
    <w:rsid w:val="00F35767"/>
    <w:rsid w:val="00F36532"/>
    <w:rsid w:val="00F52C9E"/>
    <w:rsid w:val="00F55FFE"/>
    <w:rsid w:val="00F6133E"/>
    <w:rsid w:val="00F615BB"/>
    <w:rsid w:val="00F620DB"/>
    <w:rsid w:val="00F768D8"/>
    <w:rsid w:val="00F80147"/>
    <w:rsid w:val="00F94D1A"/>
    <w:rsid w:val="00F95C6F"/>
    <w:rsid w:val="00F97544"/>
    <w:rsid w:val="00FA5A8C"/>
    <w:rsid w:val="00FC4448"/>
    <w:rsid w:val="00FC5512"/>
    <w:rsid w:val="00FD36DE"/>
    <w:rsid w:val="00FF323D"/>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65D"/>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semiHidden/>
    <w:unhideWhenUsed/>
    <w:rsid w:val="0065407C"/>
    <w:rPr>
      <w:sz w:val="20"/>
      <w:szCs w:val="20"/>
    </w:rPr>
  </w:style>
  <w:style w:type="character" w:customStyle="1" w:styleId="CommentTextChar">
    <w:name w:val="Comment Text Char"/>
    <w:basedOn w:val="DefaultParagraphFont"/>
    <w:link w:val="CommentText"/>
    <w:uiPriority w:val="99"/>
    <w:semiHidden/>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ListParagraph">
    <w:name w:val="List Paragraph"/>
    <w:basedOn w:val="Normal"/>
    <w:uiPriority w:val="34"/>
    <w:rsid w:val="00B34715"/>
    <w:pPr>
      <w:ind w:left="720"/>
      <w:contextualSpacing/>
    </w:pPr>
  </w:style>
  <w:style w:type="character" w:styleId="UnresolvedMention">
    <w:name w:val="Unresolved Mention"/>
    <w:basedOn w:val="DefaultParagraphFont"/>
    <w:uiPriority w:val="99"/>
    <w:rsid w:val="0020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granger@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y@state.p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uerra@paoca.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berkstresser@postschel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DCC6-1297-402D-930A-F7340F9A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6</Pages>
  <Words>1246</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2022-06-09T17:40:00Z</dcterms:created>
  <dcterms:modified xsi:type="dcterms:W3CDTF">2022-06-09T17:40:00Z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22291840v1</vt:lpwstr>
  </property>
  <property fmtid="{D5CDD505-2E9C-101B-9397-08002B2CF9AE}" pid="3" name="DocumentType">
    <vt:lpwstr>pcgBlank</vt:lpwstr>
  </property>
</Properties>
</file>