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E2C9" w14:textId="77777777" w:rsidR="0069027E" w:rsidRPr="00C52ADD" w:rsidRDefault="00145D7C" w:rsidP="00FB3415">
      <w:pPr>
        <w:pStyle w:val="NoSpacing"/>
        <w:jc w:val="center"/>
        <w:rPr>
          <w:rFonts w:ascii="Times New Roman" w:hAnsi="Times New Roman" w:cs="Times New Roman"/>
          <w:b/>
          <w:sz w:val="24"/>
          <w:szCs w:val="24"/>
        </w:rPr>
      </w:pPr>
      <w:r w:rsidRPr="00C52ADD">
        <w:rPr>
          <w:rFonts w:ascii="Times New Roman" w:hAnsi="Times New Roman" w:cs="Times New Roman"/>
          <w:b/>
          <w:sz w:val="24"/>
          <w:szCs w:val="24"/>
        </w:rPr>
        <w:t>BEFORE THE</w:t>
      </w:r>
    </w:p>
    <w:p w14:paraId="3071F1D1" w14:textId="77777777" w:rsidR="00145D7C" w:rsidRPr="00C52ADD" w:rsidRDefault="00145D7C" w:rsidP="00FB3415">
      <w:pPr>
        <w:pStyle w:val="NoSpacing"/>
        <w:jc w:val="center"/>
        <w:rPr>
          <w:rFonts w:ascii="Times New Roman" w:hAnsi="Times New Roman" w:cs="Times New Roman"/>
          <w:b/>
          <w:sz w:val="24"/>
          <w:szCs w:val="24"/>
        </w:rPr>
      </w:pPr>
      <w:r w:rsidRPr="00C52ADD">
        <w:rPr>
          <w:rFonts w:ascii="Times New Roman" w:hAnsi="Times New Roman" w:cs="Times New Roman"/>
          <w:b/>
          <w:sz w:val="24"/>
          <w:szCs w:val="24"/>
        </w:rPr>
        <w:t>PENNSYLVANIA PUBLIC UTILITY COMMISSION</w:t>
      </w:r>
    </w:p>
    <w:p w14:paraId="1E56ACA1" w14:textId="77777777" w:rsidR="00145D7C" w:rsidRDefault="00145D7C" w:rsidP="00FB3415">
      <w:pPr>
        <w:pStyle w:val="NoSpacing"/>
        <w:jc w:val="center"/>
        <w:rPr>
          <w:rFonts w:ascii="Times New Roman" w:hAnsi="Times New Roman" w:cs="Times New Roman"/>
          <w:b/>
          <w:sz w:val="24"/>
          <w:szCs w:val="24"/>
        </w:rPr>
      </w:pPr>
    </w:p>
    <w:p w14:paraId="7E295DD3" w14:textId="77777777" w:rsidR="00FB3415" w:rsidRDefault="00FB3415" w:rsidP="00FB3415">
      <w:pPr>
        <w:pStyle w:val="NoSpacing"/>
        <w:jc w:val="center"/>
        <w:rPr>
          <w:rFonts w:ascii="Times New Roman" w:hAnsi="Times New Roman" w:cs="Times New Roman"/>
          <w:b/>
          <w:sz w:val="24"/>
          <w:szCs w:val="24"/>
        </w:rPr>
      </w:pPr>
    </w:p>
    <w:p w14:paraId="319CD532" w14:textId="68ABBBB3" w:rsidR="000D1C28" w:rsidRDefault="000D1C28" w:rsidP="00676E95">
      <w:pPr>
        <w:pStyle w:val="NoSpacing"/>
        <w:rPr>
          <w:rFonts w:ascii="Times New Roman" w:hAnsi="Times New Roman" w:cs="Times New Roman"/>
          <w:b/>
          <w:sz w:val="24"/>
          <w:szCs w:val="24"/>
        </w:rPr>
      </w:pPr>
    </w:p>
    <w:tbl>
      <w:tblPr>
        <w:tblStyle w:val="TableGrid"/>
        <w:tblW w:w="0" w:type="auto"/>
        <w:tblInd w:w="108" w:type="dxa"/>
        <w:tblLook w:val="01E0" w:firstRow="1" w:lastRow="1" w:firstColumn="1" w:lastColumn="1" w:noHBand="0" w:noVBand="0"/>
      </w:tblPr>
      <w:tblGrid>
        <w:gridCol w:w="4311"/>
        <w:gridCol w:w="530"/>
        <w:gridCol w:w="4519"/>
      </w:tblGrid>
      <w:tr w:rsidR="00CF5FFA" w:rsidRPr="008D7824" w14:paraId="71791028" w14:textId="77777777" w:rsidTr="00CF5FFA">
        <w:tc>
          <w:tcPr>
            <w:tcW w:w="4311" w:type="dxa"/>
            <w:tcBorders>
              <w:top w:val="nil"/>
              <w:left w:val="nil"/>
              <w:bottom w:val="nil"/>
              <w:right w:val="nil"/>
            </w:tcBorders>
          </w:tcPr>
          <w:p w14:paraId="2044134E" w14:textId="77777777" w:rsidR="00CF5FFA" w:rsidRDefault="00CF5FFA" w:rsidP="004658A0">
            <w:pPr>
              <w:rPr>
                <w:sz w:val="24"/>
                <w:szCs w:val="24"/>
              </w:rPr>
            </w:pPr>
            <w:r w:rsidRPr="008D7824">
              <w:rPr>
                <w:sz w:val="24"/>
                <w:szCs w:val="24"/>
              </w:rPr>
              <w:t>Pennsylvania Public Utility Commission</w:t>
            </w:r>
            <w:r>
              <w:rPr>
                <w:sz w:val="24"/>
                <w:szCs w:val="24"/>
              </w:rPr>
              <w:t>,</w:t>
            </w:r>
          </w:p>
          <w:p w14:paraId="6EA55021" w14:textId="77777777" w:rsidR="00CF5FFA" w:rsidRDefault="00CF5FFA" w:rsidP="004658A0">
            <w:pPr>
              <w:rPr>
                <w:sz w:val="24"/>
                <w:szCs w:val="24"/>
              </w:rPr>
            </w:pPr>
            <w:r>
              <w:rPr>
                <w:sz w:val="24"/>
                <w:szCs w:val="24"/>
              </w:rPr>
              <w:t>Office of Consumer Advocate, and</w:t>
            </w:r>
          </w:p>
          <w:p w14:paraId="56FFF60D" w14:textId="77777777" w:rsidR="00CF5FFA" w:rsidRDefault="00CF5FFA" w:rsidP="004658A0">
            <w:pPr>
              <w:rPr>
                <w:sz w:val="24"/>
                <w:szCs w:val="24"/>
              </w:rPr>
            </w:pPr>
            <w:r>
              <w:rPr>
                <w:sz w:val="24"/>
                <w:szCs w:val="24"/>
              </w:rPr>
              <w:t>Office of Small Business Advocate</w:t>
            </w:r>
          </w:p>
          <w:p w14:paraId="348F3880" w14:textId="77777777" w:rsidR="00CF5FFA" w:rsidRPr="00E91736" w:rsidRDefault="00CF5FFA" w:rsidP="004658A0">
            <w:pPr>
              <w:rPr>
                <w:i/>
                <w:sz w:val="24"/>
                <w:szCs w:val="24"/>
              </w:rPr>
            </w:pPr>
          </w:p>
          <w:p w14:paraId="75774FED" w14:textId="77777777" w:rsidR="00CF5FFA" w:rsidRDefault="00CF5FFA" w:rsidP="004658A0">
            <w:pPr>
              <w:rPr>
                <w:sz w:val="24"/>
                <w:szCs w:val="24"/>
              </w:rPr>
            </w:pPr>
            <w:r w:rsidRPr="008D7824">
              <w:rPr>
                <w:sz w:val="24"/>
                <w:szCs w:val="24"/>
              </w:rPr>
              <w:tab/>
              <w:t>v.</w:t>
            </w:r>
          </w:p>
          <w:p w14:paraId="7D423799" w14:textId="77777777" w:rsidR="00CF5FFA" w:rsidRPr="008D7824" w:rsidRDefault="00CF5FFA" w:rsidP="004658A0">
            <w:pPr>
              <w:rPr>
                <w:sz w:val="24"/>
                <w:szCs w:val="24"/>
              </w:rPr>
            </w:pPr>
          </w:p>
          <w:p w14:paraId="705BD633" w14:textId="77777777" w:rsidR="00CF5FFA" w:rsidRDefault="00CF5FFA" w:rsidP="004658A0">
            <w:pPr>
              <w:rPr>
                <w:sz w:val="24"/>
                <w:szCs w:val="24"/>
              </w:rPr>
            </w:pPr>
            <w:r>
              <w:rPr>
                <w:sz w:val="24"/>
                <w:szCs w:val="24"/>
              </w:rPr>
              <w:t xml:space="preserve">UGI Utilities, Inc. – Gas Division </w:t>
            </w:r>
          </w:p>
          <w:p w14:paraId="0E3558D8" w14:textId="77777777" w:rsidR="00CF5FFA" w:rsidRDefault="00CF5FFA" w:rsidP="004658A0">
            <w:pPr>
              <w:rPr>
                <w:sz w:val="24"/>
                <w:szCs w:val="24"/>
              </w:rPr>
            </w:pPr>
            <w:r>
              <w:rPr>
                <w:sz w:val="24"/>
                <w:szCs w:val="24"/>
              </w:rPr>
              <w:t>1307(f) Proceeding</w:t>
            </w:r>
          </w:p>
          <w:p w14:paraId="2F9E02C1" w14:textId="77777777" w:rsidR="00CF5FFA" w:rsidRPr="008D7824" w:rsidRDefault="00CF5FFA" w:rsidP="004658A0">
            <w:pPr>
              <w:rPr>
                <w:sz w:val="24"/>
                <w:szCs w:val="24"/>
              </w:rPr>
            </w:pPr>
          </w:p>
        </w:tc>
        <w:tc>
          <w:tcPr>
            <w:tcW w:w="530" w:type="dxa"/>
            <w:tcBorders>
              <w:top w:val="nil"/>
              <w:left w:val="nil"/>
              <w:bottom w:val="nil"/>
              <w:right w:val="nil"/>
            </w:tcBorders>
          </w:tcPr>
          <w:p w14:paraId="5BDC6700" w14:textId="3A7F46A6" w:rsidR="00CF5FFA" w:rsidRDefault="002D2BDB" w:rsidP="004658A0">
            <w:pPr>
              <w:rPr>
                <w:b/>
                <w:sz w:val="24"/>
                <w:szCs w:val="24"/>
              </w:rPr>
            </w:pPr>
            <w:r>
              <w:rPr>
                <w:b/>
                <w:sz w:val="24"/>
                <w:szCs w:val="24"/>
              </w:rPr>
              <w:t>:</w:t>
            </w:r>
          </w:p>
          <w:p w14:paraId="31685061" w14:textId="3FC63482" w:rsidR="00CF5FFA" w:rsidRDefault="002D2BDB" w:rsidP="004658A0">
            <w:pPr>
              <w:rPr>
                <w:b/>
                <w:sz w:val="24"/>
                <w:szCs w:val="24"/>
              </w:rPr>
            </w:pPr>
            <w:r>
              <w:rPr>
                <w:b/>
                <w:sz w:val="24"/>
                <w:szCs w:val="24"/>
              </w:rPr>
              <w:t>:</w:t>
            </w:r>
          </w:p>
          <w:p w14:paraId="09E069DD" w14:textId="77777777" w:rsidR="00CF5FFA" w:rsidRDefault="00CF5FFA" w:rsidP="004658A0">
            <w:pPr>
              <w:rPr>
                <w:b/>
                <w:sz w:val="24"/>
                <w:szCs w:val="24"/>
              </w:rPr>
            </w:pPr>
            <w:r w:rsidRPr="008D7824">
              <w:rPr>
                <w:b/>
                <w:sz w:val="24"/>
                <w:szCs w:val="24"/>
              </w:rPr>
              <w:t>:</w:t>
            </w:r>
            <w:r w:rsidRPr="008D7824">
              <w:rPr>
                <w:b/>
                <w:sz w:val="24"/>
                <w:szCs w:val="24"/>
              </w:rPr>
              <w:br/>
              <w:t>:</w:t>
            </w:r>
            <w:r w:rsidRPr="008D7824">
              <w:rPr>
                <w:b/>
                <w:sz w:val="24"/>
                <w:szCs w:val="24"/>
              </w:rPr>
              <w:br/>
              <w:t>:</w:t>
            </w:r>
            <w:r w:rsidRPr="008D7824">
              <w:rPr>
                <w:b/>
                <w:sz w:val="24"/>
                <w:szCs w:val="24"/>
              </w:rPr>
              <w:br/>
              <w:t>:</w:t>
            </w:r>
            <w:r w:rsidRPr="008D7824">
              <w:rPr>
                <w:b/>
                <w:sz w:val="24"/>
                <w:szCs w:val="24"/>
              </w:rPr>
              <w:br/>
              <w:t>:</w:t>
            </w:r>
          </w:p>
          <w:p w14:paraId="014A07D9" w14:textId="77777777" w:rsidR="00CF5FFA" w:rsidRDefault="00CF5FFA" w:rsidP="004658A0">
            <w:pPr>
              <w:rPr>
                <w:b/>
                <w:sz w:val="24"/>
                <w:szCs w:val="24"/>
              </w:rPr>
            </w:pPr>
            <w:r>
              <w:rPr>
                <w:b/>
                <w:sz w:val="24"/>
                <w:szCs w:val="24"/>
              </w:rPr>
              <w:t>:</w:t>
            </w:r>
          </w:p>
          <w:p w14:paraId="101BCB07" w14:textId="77777777" w:rsidR="00CF5FFA" w:rsidRDefault="00CF5FFA" w:rsidP="004658A0">
            <w:pPr>
              <w:rPr>
                <w:b/>
                <w:sz w:val="24"/>
                <w:szCs w:val="24"/>
              </w:rPr>
            </w:pPr>
            <w:r>
              <w:rPr>
                <w:b/>
                <w:sz w:val="24"/>
                <w:szCs w:val="24"/>
              </w:rPr>
              <w:t>:</w:t>
            </w:r>
          </w:p>
          <w:p w14:paraId="1548920E" w14:textId="31D92FC7" w:rsidR="00CF5FFA" w:rsidRPr="008D7824" w:rsidRDefault="00CF5FFA" w:rsidP="004658A0">
            <w:pPr>
              <w:rPr>
                <w:b/>
                <w:sz w:val="24"/>
                <w:szCs w:val="24"/>
              </w:rPr>
            </w:pPr>
          </w:p>
        </w:tc>
        <w:tc>
          <w:tcPr>
            <w:tcW w:w="4519" w:type="dxa"/>
            <w:tcBorders>
              <w:top w:val="nil"/>
              <w:left w:val="nil"/>
              <w:bottom w:val="nil"/>
              <w:right w:val="nil"/>
            </w:tcBorders>
          </w:tcPr>
          <w:p w14:paraId="1C17DF25" w14:textId="77777777" w:rsidR="00CF5FFA" w:rsidRDefault="00CF5FFA" w:rsidP="004658A0">
            <w:pPr>
              <w:ind w:left="1332"/>
              <w:rPr>
                <w:sz w:val="24"/>
                <w:szCs w:val="24"/>
              </w:rPr>
            </w:pPr>
          </w:p>
          <w:p w14:paraId="5AD8452D" w14:textId="77777777" w:rsidR="00CF5FFA" w:rsidRDefault="00CF5FFA" w:rsidP="004658A0">
            <w:pPr>
              <w:rPr>
                <w:sz w:val="24"/>
                <w:szCs w:val="24"/>
              </w:rPr>
            </w:pPr>
          </w:p>
          <w:p w14:paraId="35E2B06B" w14:textId="740AA2E2" w:rsidR="00CF5FFA" w:rsidRDefault="00CF5FFA" w:rsidP="004658A0">
            <w:pPr>
              <w:rPr>
                <w:sz w:val="24"/>
                <w:szCs w:val="24"/>
              </w:rPr>
            </w:pPr>
            <w:r>
              <w:rPr>
                <w:sz w:val="24"/>
                <w:szCs w:val="24"/>
              </w:rPr>
              <w:t xml:space="preserve">                      </w:t>
            </w:r>
            <w:bookmarkStart w:id="0" w:name="_Hlk105998480"/>
            <w:r w:rsidR="002D2BDB">
              <w:rPr>
                <w:sz w:val="24"/>
                <w:szCs w:val="24"/>
              </w:rPr>
              <w:t xml:space="preserve"> </w:t>
            </w:r>
            <w:r w:rsidRPr="00895A8D">
              <w:rPr>
                <w:sz w:val="24"/>
                <w:szCs w:val="24"/>
              </w:rPr>
              <w:t>R-</w:t>
            </w:r>
            <w:r>
              <w:rPr>
                <w:sz w:val="24"/>
                <w:szCs w:val="24"/>
              </w:rPr>
              <w:t>2022-3032242</w:t>
            </w:r>
            <w:bookmarkEnd w:id="0"/>
          </w:p>
          <w:p w14:paraId="5496CB97" w14:textId="77777777" w:rsidR="00CF5FFA" w:rsidRDefault="00CF5FFA" w:rsidP="004658A0">
            <w:pPr>
              <w:ind w:left="1350"/>
              <w:rPr>
                <w:sz w:val="24"/>
                <w:szCs w:val="24"/>
              </w:rPr>
            </w:pPr>
            <w:bookmarkStart w:id="1" w:name="_Hlk105998518"/>
            <w:r>
              <w:rPr>
                <w:sz w:val="24"/>
                <w:szCs w:val="24"/>
              </w:rPr>
              <w:t>C-2022-3032385</w:t>
            </w:r>
          </w:p>
          <w:p w14:paraId="380D4E13" w14:textId="77777777" w:rsidR="00CF5FFA" w:rsidRPr="008D7824" w:rsidRDefault="00CF5FFA" w:rsidP="004658A0">
            <w:pPr>
              <w:ind w:left="1350"/>
              <w:rPr>
                <w:sz w:val="24"/>
                <w:szCs w:val="24"/>
              </w:rPr>
            </w:pPr>
            <w:bookmarkStart w:id="2" w:name="_Hlk105998550"/>
            <w:bookmarkEnd w:id="1"/>
            <w:r>
              <w:rPr>
                <w:sz w:val="24"/>
                <w:szCs w:val="24"/>
              </w:rPr>
              <w:t>C-2022-3032539</w:t>
            </w:r>
            <w:bookmarkEnd w:id="2"/>
          </w:p>
        </w:tc>
      </w:tr>
    </w:tbl>
    <w:p w14:paraId="1F4CA862" w14:textId="77777777" w:rsidR="000D1C28" w:rsidRDefault="000D1C28" w:rsidP="00676E95">
      <w:pPr>
        <w:pStyle w:val="NoSpacing"/>
        <w:rPr>
          <w:rFonts w:ascii="Times New Roman" w:hAnsi="Times New Roman" w:cs="Times New Roman"/>
          <w:b/>
          <w:sz w:val="24"/>
          <w:szCs w:val="24"/>
        </w:rPr>
      </w:pPr>
    </w:p>
    <w:p w14:paraId="015367E1" w14:textId="77777777" w:rsidR="00EF60EC" w:rsidRPr="00C52ADD" w:rsidRDefault="00EF60EC" w:rsidP="006539C9">
      <w:pPr>
        <w:pStyle w:val="NoSpacing"/>
        <w:spacing w:line="360" w:lineRule="auto"/>
        <w:jc w:val="center"/>
        <w:rPr>
          <w:rFonts w:ascii="Times New Roman" w:hAnsi="Times New Roman" w:cs="Times New Roman"/>
          <w:sz w:val="24"/>
          <w:szCs w:val="24"/>
        </w:rPr>
      </w:pPr>
      <w:r w:rsidRPr="00C52ADD">
        <w:rPr>
          <w:rFonts w:ascii="Times New Roman" w:hAnsi="Times New Roman" w:cs="Times New Roman"/>
          <w:b/>
          <w:sz w:val="24"/>
          <w:szCs w:val="24"/>
          <w:u w:val="single"/>
        </w:rPr>
        <w:t>ORDER CONSOLIDATING PROCEEDINGS</w:t>
      </w:r>
    </w:p>
    <w:p w14:paraId="617DD832" w14:textId="33DBDE8A" w:rsidR="00435701" w:rsidRDefault="00435701" w:rsidP="006539C9">
      <w:pPr>
        <w:pStyle w:val="NoSpacing"/>
        <w:spacing w:line="360" w:lineRule="auto"/>
        <w:jc w:val="center"/>
        <w:rPr>
          <w:rFonts w:ascii="Times New Roman" w:hAnsi="Times New Roman" w:cs="Times New Roman"/>
          <w:sz w:val="24"/>
          <w:szCs w:val="24"/>
        </w:rPr>
      </w:pPr>
    </w:p>
    <w:p w14:paraId="14F52EF3" w14:textId="2EC52551" w:rsidR="00435701" w:rsidRDefault="00435701" w:rsidP="0043570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This Order is issued pursuant to the authority given to Administrative Law Judges under the Commission’s regulations at 52 Pa. Code § 5.483 and 52 Pa. Code § 5.81(a)</w:t>
      </w:r>
      <w:r w:rsidR="001F5805">
        <w:rPr>
          <w:rFonts w:ascii="Times New Roman" w:hAnsi="Times New Roman" w:cs="Times New Roman"/>
          <w:sz w:val="24"/>
          <w:szCs w:val="24"/>
        </w:rPr>
        <w:t xml:space="preserve"> and consolidate the above captioned </w:t>
      </w:r>
      <w:r w:rsidR="00D700E5">
        <w:rPr>
          <w:rFonts w:ascii="Times New Roman" w:hAnsi="Times New Roman" w:cs="Times New Roman"/>
          <w:sz w:val="24"/>
          <w:szCs w:val="24"/>
        </w:rPr>
        <w:t>cases</w:t>
      </w:r>
      <w:r>
        <w:rPr>
          <w:rFonts w:ascii="Times New Roman" w:hAnsi="Times New Roman" w:cs="Times New Roman"/>
          <w:sz w:val="24"/>
          <w:szCs w:val="24"/>
        </w:rPr>
        <w:t xml:space="preserve">.  The consolidation of these </w:t>
      </w:r>
      <w:r w:rsidR="00756FFF">
        <w:rPr>
          <w:rFonts w:ascii="Times New Roman" w:hAnsi="Times New Roman" w:cs="Times New Roman"/>
          <w:sz w:val="24"/>
          <w:szCs w:val="24"/>
        </w:rPr>
        <w:t>cases</w:t>
      </w:r>
      <w:r>
        <w:rPr>
          <w:rFonts w:ascii="Times New Roman" w:hAnsi="Times New Roman" w:cs="Times New Roman"/>
          <w:sz w:val="24"/>
          <w:szCs w:val="24"/>
        </w:rPr>
        <w:t xml:space="preserve"> is for the purpose of </w:t>
      </w:r>
      <w:r w:rsidR="003927E1">
        <w:rPr>
          <w:rFonts w:ascii="Times New Roman" w:hAnsi="Times New Roman" w:cs="Times New Roman"/>
          <w:sz w:val="24"/>
          <w:szCs w:val="24"/>
        </w:rPr>
        <w:t>efficient case resolution</w:t>
      </w:r>
      <w:r w:rsidR="00A62EA1">
        <w:rPr>
          <w:rFonts w:ascii="Times New Roman" w:hAnsi="Times New Roman" w:cs="Times New Roman"/>
          <w:sz w:val="24"/>
          <w:szCs w:val="24"/>
        </w:rPr>
        <w:t xml:space="preserve"> and for administrative efficiency</w:t>
      </w:r>
      <w:r>
        <w:rPr>
          <w:rFonts w:ascii="Times New Roman" w:hAnsi="Times New Roman" w:cs="Times New Roman"/>
          <w:sz w:val="24"/>
          <w:szCs w:val="24"/>
        </w:rPr>
        <w:t>.</w:t>
      </w:r>
    </w:p>
    <w:p w14:paraId="597F08A4" w14:textId="797B5650" w:rsidR="000A7593" w:rsidRDefault="000A7593" w:rsidP="00435701">
      <w:pPr>
        <w:pStyle w:val="NoSpacing"/>
        <w:spacing w:line="360" w:lineRule="auto"/>
        <w:rPr>
          <w:rFonts w:ascii="Times New Roman" w:hAnsi="Times New Roman" w:cs="Times New Roman"/>
          <w:sz w:val="24"/>
          <w:szCs w:val="24"/>
        </w:rPr>
      </w:pPr>
    </w:p>
    <w:p w14:paraId="5BAF2478" w14:textId="0E1BFD74" w:rsidR="0094021F" w:rsidRPr="0094021F" w:rsidRDefault="0094021F" w:rsidP="0094021F">
      <w:pPr>
        <w:spacing w:line="360" w:lineRule="auto"/>
        <w:ind w:firstLine="720"/>
        <w:jc w:val="both"/>
        <w:rPr>
          <w:sz w:val="24"/>
          <w:szCs w:val="24"/>
        </w:rPr>
      </w:pPr>
      <w:r>
        <w:rPr>
          <w:sz w:val="24"/>
          <w:szCs w:val="24"/>
        </w:rPr>
        <w:tab/>
      </w:r>
      <w:r w:rsidRPr="0094021F">
        <w:rPr>
          <w:sz w:val="24"/>
          <w:szCs w:val="24"/>
        </w:rPr>
        <w:t xml:space="preserve">On April 29, 2022, UGI Utilities, Inc. – Gas Division (UGI or the Company) filed with the Commission data related to the recovery of purchased gas costs (PGCs) pursuant to Section 1307(f) of the Public Utility Code, 66 Pa. C.S. § 1307(f), and in accordance with the Commission’s regulations at 52 Pa. Code §§ 53.64 and 53.65. </w:t>
      </w:r>
    </w:p>
    <w:p w14:paraId="6916E90E" w14:textId="77777777" w:rsidR="0094021F" w:rsidRPr="0094021F" w:rsidRDefault="0094021F" w:rsidP="0094021F">
      <w:pPr>
        <w:spacing w:line="360" w:lineRule="auto"/>
        <w:ind w:firstLine="720"/>
        <w:jc w:val="both"/>
        <w:rPr>
          <w:sz w:val="24"/>
          <w:szCs w:val="24"/>
        </w:rPr>
      </w:pPr>
    </w:p>
    <w:p w14:paraId="2EF7B9A5" w14:textId="77777777" w:rsidR="0094021F" w:rsidRPr="0094021F" w:rsidRDefault="0094021F" w:rsidP="0094021F">
      <w:pPr>
        <w:spacing w:line="360" w:lineRule="auto"/>
        <w:ind w:firstLine="720"/>
        <w:jc w:val="both"/>
        <w:rPr>
          <w:sz w:val="24"/>
          <w:szCs w:val="24"/>
        </w:rPr>
      </w:pPr>
      <w:r w:rsidRPr="0094021F">
        <w:rPr>
          <w:sz w:val="24"/>
          <w:szCs w:val="24"/>
        </w:rPr>
        <w:tab/>
        <w:t>On May 6, 2022, the Office of Consumer Advocate (OCA) filed a Notice of Appearance, Formal Complaint, and Public Statement in the Company’s PGC proceeding.</w:t>
      </w:r>
    </w:p>
    <w:p w14:paraId="7099B692" w14:textId="77777777" w:rsidR="0094021F" w:rsidRPr="0094021F" w:rsidRDefault="0094021F" w:rsidP="0094021F">
      <w:pPr>
        <w:spacing w:line="360" w:lineRule="auto"/>
        <w:ind w:firstLine="720"/>
        <w:jc w:val="both"/>
        <w:rPr>
          <w:sz w:val="24"/>
          <w:szCs w:val="24"/>
        </w:rPr>
      </w:pPr>
      <w:r w:rsidRPr="0094021F">
        <w:rPr>
          <w:sz w:val="24"/>
          <w:szCs w:val="24"/>
        </w:rPr>
        <w:t xml:space="preserve">  </w:t>
      </w:r>
    </w:p>
    <w:p w14:paraId="53FDF1C1" w14:textId="77777777" w:rsidR="0094021F" w:rsidRPr="0094021F" w:rsidRDefault="0094021F" w:rsidP="0094021F">
      <w:pPr>
        <w:spacing w:line="360" w:lineRule="auto"/>
        <w:ind w:firstLine="720"/>
        <w:jc w:val="both"/>
        <w:rPr>
          <w:sz w:val="24"/>
          <w:szCs w:val="24"/>
        </w:rPr>
      </w:pPr>
      <w:r w:rsidRPr="0094021F">
        <w:rPr>
          <w:sz w:val="24"/>
          <w:szCs w:val="24"/>
        </w:rPr>
        <w:tab/>
        <w:t>On May 19, 2022, the Office of Small Business Advocate (OSBA) filed a Notice of Appearance, Formal Complaint, Public Statement, and Verification in this proceeding.</w:t>
      </w:r>
    </w:p>
    <w:p w14:paraId="5030568C" w14:textId="77777777" w:rsidR="0094021F" w:rsidRPr="0094021F" w:rsidRDefault="0094021F" w:rsidP="0094021F">
      <w:pPr>
        <w:spacing w:line="360" w:lineRule="auto"/>
        <w:ind w:firstLine="720"/>
        <w:jc w:val="both"/>
        <w:rPr>
          <w:sz w:val="24"/>
          <w:szCs w:val="24"/>
        </w:rPr>
      </w:pPr>
    </w:p>
    <w:p w14:paraId="424DB5CE" w14:textId="77777777" w:rsidR="00FF58EE" w:rsidRDefault="0094021F" w:rsidP="00FF58EE">
      <w:pPr>
        <w:spacing w:line="360" w:lineRule="auto"/>
        <w:ind w:firstLine="720"/>
        <w:rPr>
          <w:sz w:val="24"/>
          <w:szCs w:val="24"/>
        </w:rPr>
        <w:sectPr w:rsidR="00FF58EE" w:rsidSect="00270184">
          <w:footerReference w:type="default" r:id="rId7"/>
          <w:pgSz w:w="12240" w:h="15840"/>
          <w:pgMar w:top="1440" w:right="1440" w:bottom="1440" w:left="1440" w:header="720" w:footer="720" w:gutter="0"/>
          <w:cols w:space="720"/>
          <w:docGrid w:linePitch="360"/>
        </w:sectPr>
      </w:pPr>
      <w:r w:rsidRPr="0094021F">
        <w:rPr>
          <w:sz w:val="24"/>
          <w:szCs w:val="24"/>
        </w:rPr>
        <w:tab/>
        <w:t>On May 24, 2022, the Commission’s Bureau of Investigation and Enforcement (I&amp;E) filed a Notice of Appearance in the proceeding.</w:t>
      </w:r>
      <w:r w:rsidR="00FF58EE">
        <w:rPr>
          <w:sz w:val="24"/>
          <w:szCs w:val="24"/>
        </w:rPr>
        <w:t xml:space="preserve">  </w:t>
      </w:r>
    </w:p>
    <w:p w14:paraId="7FD0959C" w14:textId="7D3E0E19" w:rsidR="0094021F" w:rsidRPr="0094021F" w:rsidRDefault="0094021F" w:rsidP="0094021F">
      <w:pPr>
        <w:spacing w:line="360" w:lineRule="auto"/>
        <w:ind w:firstLine="720"/>
        <w:jc w:val="both"/>
        <w:rPr>
          <w:sz w:val="24"/>
          <w:szCs w:val="24"/>
        </w:rPr>
      </w:pPr>
      <w:r w:rsidRPr="0094021F">
        <w:rPr>
          <w:sz w:val="24"/>
          <w:szCs w:val="24"/>
        </w:rPr>
        <w:lastRenderedPageBreak/>
        <w:tab/>
        <w:t>On June 1, 2022, UGI filed its definitive PGC filing, including supporting information required by the Commission’s regulations, the Company’s direct testimony an</w:t>
      </w:r>
      <w:r>
        <w:rPr>
          <w:sz w:val="24"/>
          <w:szCs w:val="24"/>
        </w:rPr>
        <w:t xml:space="preserve">d </w:t>
      </w:r>
      <w:r w:rsidRPr="0094021F">
        <w:rPr>
          <w:sz w:val="24"/>
          <w:szCs w:val="24"/>
        </w:rPr>
        <w:t xml:space="preserve">exhibits and </w:t>
      </w:r>
      <w:r w:rsidRPr="0094021F">
        <w:rPr>
          <w:i/>
          <w:iCs/>
          <w:sz w:val="24"/>
          <w:szCs w:val="24"/>
        </w:rPr>
        <w:t>pro forma</w:t>
      </w:r>
      <w:r w:rsidRPr="0094021F">
        <w:rPr>
          <w:sz w:val="24"/>
          <w:szCs w:val="24"/>
        </w:rPr>
        <w:t xml:space="preserve"> Tariff Supplement reflecting actual and projected changes in natural gas costs.  UGI Gas is proposing a PGC rate of $8.0136 per Mcf, effective December 1, 2022.</w:t>
      </w:r>
    </w:p>
    <w:p w14:paraId="00087C69" w14:textId="77777777" w:rsidR="0094021F" w:rsidRPr="0094021F" w:rsidRDefault="0094021F" w:rsidP="0094021F">
      <w:pPr>
        <w:spacing w:line="360" w:lineRule="auto"/>
        <w:ind w:firstLine="720"/>
        <w:jc w:val="both"/>
        <w:rPr>
          <w:sz w:val="24"/>
          <w:szCs w:val="24"/>
        </w:rPr>
      </w:pPr>
    </w:p>
    <w:p w14:paraId="719A5CCB" w14:textId="51FE17B8" w:rsidR="00A62EA1" w:rsidRDefault="0094021F" w:rsidP="0094021F">
      <w:pPr>
        <w:spacing w:line="360" w:lineRule="auto"/>
        <w:rPr>
          <w:sz w:val="24"/>
          <w:szCs w:val="24"/>
        </w:rPr>
      </w:pPr>
      <w:r w:rsidRPr="0094021F">
        <w:rPr>
          <w:sz w:val="24"/>
          <w:szCs w:val="24"/>
        </w:rPr>
        <w:tab/>
        <w:t>A telephonic prehearing Conference was held on June 9, 2022</w:t>
      </w:r>
      <w:r>
        <w:rPr>
          <w:sz w:val="24"/>
          <w:szCs w:val="24"/>
        </w:rPr>
        <w:t xml:space="preserve"> at which time the parties agreed to the consolidation of these cases.</w:t>
      </w:r>
    </w:p>
    <w:p w14:paraId="1BE0DE77" w14:textId="77777777" w:rsidR="0094021F" w:rsidRPr="000A7593" w:rsidRDefault="0094021F" w:rsidP="0094021F">
      <w:pPr>
        <w:spacing w:line="360" w:lineRule="auto"/>
        <w:rPr>
          <w:sz w:val="24"/>
          <w:szCs w:val="24"/>
        </w:rPr>
      </w:pPr>
    </w:p>
    <w:p w14:paraId="28641316" w14:textId="11203A57" w:rsidR="001D3624" w:rsidRDefault="00EF3E79" w:rsidP="00FB34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D3624" w:rsidRPr="00C52ADD">
        <w:rPr>
          <w:rFonts w:ascii="Times New Roman" w:hAnsi="Times New Roman" w:cs="Times New Roman"/>
          <w:sz w:val="24"/>
          <w:szCs w:val="24"/>
        </w:rPr>
        <w:t xml:space="preserve">The Commission’s regulation pertaining to </w:t>
      </w:r>
      <w:r w:rsidR="00BF37F0">
        <w:rPr>
          <w:rFonts w:ascii="Times New Roman" w:hAnsi="Times New Roman" w:cs="Times New Roman"/>
          <w:sz w:val="24"/>
          <w:szCs w:val="24"/>
        </w:rPr>
        <w:t>c</w:t>
      </w:r>
      <w:r w:rsidR="001D3624" w:rsidRPr="00C52ADD">
        <w:rPr>
          <w:rFonts w:ascii="Times New Roman" w:hAnsi="Times New Roman" w:cs="Times New Roman"/>
          <w:sz w:val="24"/>
          <w:szCs w:val="24"/>
        </w:rPr>
        <w:t>onsolidation appears at 52 Pa. Code § 5.81, and states</w:t>
      </w:r>
      <w:r w:rsidR="00595440" w:rsidRPr="00C52ADD">
        <w:rPr>
          <w:rFonts w:ascii="Times New Roman" w:hAnsi="Times New Roman" w:cs="Times New Roman"/>
          <w:sz w:val="24"/>
          <w:szCs w:val="24"/>
        </w:rPr>
        <w:t xml:space="preserve"> in relevant part</w:t>
      </w:r>
      <w:r w:rsidR="001D3624" w:rsidRPr="00C52ADD">
        <w:rPr>
          <w:rFonts w:ascii="Times New Roman" w:hAnsi="Times New Roman" w:cs="Times New Roman"/>
          <w:sz w:val="24"/>
          <w:szCs w:val="24"/>
        </w:rPr>
        <w:t>:</w:t>
      </w:r>
    </w:p>
    <w:p w14:paraId="223CEABE" w14:textId="77777777" w:rsidR="008C0782" w:rsidRDefault="008C0782" w:rsidP="00FB3415">
      <w:pPr>
        <w:pStyle w:val="NoSpacing"/>
        <w:spacing w:line="360" w:lineRule="auto"/>
        <w:rPr>
          <w:rFonts w:ascii="Times New Roman" w:hAnsi="Times New Roman" w:cs="Times New Roman"/>
          <w:sz w:val="24"/>
          <w:szCs w:val="24"/>
        </w:rPr>
      </w:pPr>
    </w:p>
    <w:p w14:paraId="160633E6" w14:textId="77777777" w:rsidR="00595440" w:rsidRDefault="00595440" w:rsidP="00A427AC">
      <w:pPr>
        <w:pStyle w:val="NoSpacing"/>
        <w:ind w:left="1440"/>
        <w:rPr>
          <w:rFonts w:ascii="Times New Roman" w:hAnsi="Times New Roman" w:cs="Times New Roman"/>
          <w:b/>
          <w:bCs/>
          <w:sz w:val="24"/>
          <w:szCs w:val="24"/>
        </w:rPr>
      </w:pPr>
      <w:r w:rsidRPr="00C52ADD">
        <w:rPr>
          <w:rFonts w:ascii="Times New Roman" w:eastAsia="Calibri" w:hAnsi="Times New Roman" w:cs="Times New Roman"/>
          <w:b/>
          <w:bCs/>
          <w:sz w:val="24"/>
          <w:szCs w:val="24"/>
        </w:rPr>
        <w:t>§ 5.81. Consolidation</w:t>
      </w:r>
    </w:p>
    <w:p w14:paraId="0701ACDD" w14:textId="77777777" w:rsidR="00A427AC" w:rsidRPr="00C52ADD" w:rsidRDefault="00A427AC" w:rsidP="00A427AC">
      <w:pPr>
        <w:pStyle w:val="NoSpacing"/>
        <w:ind w:left="1440"/>
        <w:rPr>
          <w:rFonts w:ascii="Times New Roman" w:hAnsi="Times New Roman" w:cs="Times New Roman"/>
          <w:sz w:val="24"/>
          <w:szCs w:val="24"/>
        </w:rPr>
      </w:pPr>
    </w:p>
    <w:p w14:paraId="66515780" w14:textId="77777777" w:rsidR="001D3624" w:rsidRPr="00C52ADD" w:rsidRDefault="00A427AC" w:rsidP="00A427AC">
      <w:pPr>
        <w:pStyle w:val="NoSpacing"/>
        <w:ind w:left="1440" w:right="144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1D3624" w:rsidRPr="00C52ADD">
        <w:rPr>
          <w:rFonts w:ascii="Times New Roman" w:hAnsi="Times New Roman" w:cs="Times New Roman"/>
          <w:sz w:val="24"/>
          <w:szCs w:val="24"/>
        </w:rPr>
        <w:t>The Commission or presiding officer, with or without motion, may order proceedings involving a common question of law or fact to be consolidated. The Commission or presiding officer may make orders concerning the conduct of the proceeding as may avoid unnecessary costs or delay.</w:t>
      </w:r>
    </w:p>
    <w:p w14:paraId="5996B2B3" w14:textId="77777777" w:rsidR="00595440" w:rsidRPr="00C52ADD" w:rsidRDefault="00595440" w:rsidP="00A427AC">
      <w:pPr>
        <w:pStyle w:val="NoSpacing"/>
        <w:ind w:left="1440" w:right="1440"/>
        <w:rPr>
          <w:rFonts w:ascii="Times New Roman" w:hAnsi="Times New Roman" w:cs="Times New Roman"/>
          <w:sz w:val="24"/>
          <w:szCs w:val="24"/>
        </w:rPr>
      </w:pPr>
    </w:p>
    <w:p w14:paraId="055257C5" w14:textId="77777777" w:rsidR="00595440" w:rsidRPr="00C52ADD" w:rsidRDefault="00595440" w:rsidP="00A427AC">
      <w:pPr>
        <w:ind w:left="1440" w:right="1440"/>
        <w:rPr>
          <w:sz w:val="24"/>
          <w:szCs w:val="24"/>
        </w:rPr>
      </w:pPr>
      <w:r w:rsidRPr="00C52ADD">
        <w:rPr>
          <w:sz w:val="24"/>
          <w:szCs w:val="24"/>
        </w:rPr>
        <w:t xml:space="preserve">52 </w:t>
      </w:r>
      <w:r w:rsidR="00B73D2C" w:rsidRPr="00C52ADD">
        <w:rPr>
          <w:sz w:val="24"/>
          <w:szCs w:val="24"/>
        </w:rPr>
        <w:t>Pa.</w:t>
      </w:r>
      <w:r w:rsidR="00B73D2C">
        <w:rPr>
          <w:sz w:val="24"/>
          <w:szCs w:val="24"/>
        </w:rPr>
        <w:t xml:space="preserve"> </w:t>
      </w:r>
      <w:r w:rsidR="00B73D2C" w:rsidRPr="00C52ADD">
        <w:rPr>
          <w:sz w:val="24"/>
          <w:szCs w:val="24"/>
        </w:rPr>
        <w:t>Code</w:t>
      </w:r>
      <w:r w:rsidRPr="00C52ADD">
        <w:rPr>
          <w:sz w:val="24"/>
          <w:szCs w:val="24"/>
        </w:rPr>
        <w:t xml:space="preserve"> § 5.81(a).</w:t>
      </w:r>
    </w:p>
    <w:p w14:paraId="42FDD2C5" w14:textId="77777777" w:rsidR="00595440" w:rsidRPr="00C52ADD" w:rsidRDefault="00595440" w:rsidP="00A427AC">
      <w:pPr>
        <w:pStyle w:val="NoSpacing"/>
        <w:spacing w:line="360" w:lineRule="auto"/>
        <w:rPr>
          <w:rFonts w:ascii="Times New Roman" w:hAnsi="Times New Roman" w:cs="Times New Roman"/>
          <w:sz w:val="24"/>
          <w:szCs w:val="24"/>
        </w:rPr>
      </w:pPr>
    </w:p>
    <w:p w14:paraId="1E8B9DDE" w14:textId="77777777" w:rsidR="00EF60EC" w:rsidRPr="00C52ADD" w:rsidRDefault="00B94237" w:rsidP="00FB3415">
      <w:pPr>
        <w:pStyle w:val="NoSpacing"/>
        <w:spacing w:line="360" w:lineRule="auto"/>
        <w:rPr>
          <w:rFonts w:ascii="Times New Roman" w:hAnsi="Times New Roman" w:cs="Times New Roman"/>
          <w:sz w:val="24"/>
          <w:szCs w:val="24"/>
        </w:rPr>
      </w:pPr>
      <w:r w:rsidRPr="00C52ADD">
        <w:rPr>
          <w:rFonts w:ascii="Times New Roman" w:hAnsi="Times New Roman" w:cs="Times New Roman"/>
          <w:sz w:val="24"/>
          <w:szCs w:val="24"/>
        </w:rPr>
        <w:tab/>
      </w:r>
      <w:r w:rsidRPr="00C52ADD">
        <w:rPr>
          <w:rFonts w:ascii="Times New Roman" w:hAnsi="Times New Roman" w:cs="Times New Roman"/>
          <w:sz w:val="24"/>
          <w:szCs w:val="24"/>
        </w:rPr>
        <w:tab/>
        <w:t xml:space="preserve">The question of consolidation is clearly left to the sound discretion of the Commission or </w:t>
      </w:r>
      <w:r w:rsidR="00643284">
        <w:rPr>
          <w:rFonts w:ascii="Times New Roman" w:hAnsi="Times New Roman" w:cs="Times New Roman"/>
          <w:sz w:val="24"/>
          <w:szCs w:val="24"/>
        </w:rPr>
        <w:t xml:space="preserve">the </w:t>
      </w:r>
      <w:r w:rsidRPr="00C52ADD">
        <w:rPr>
          <w:rFonts w:ascii="Times New Roman" w:hAnsi="Times New Roman" w:cs="Times New Roman"/>
          <w:sz w:val="24"/>
          <w:szCs w:val="24"/>
        </w:rPr>
        <w:t>presiding officer.</w:t>
      </w:r>
    </w:p>
    <w:p w14:paraId="6D34205E" w14:textId="77777777" w:rsidR="00674502" w:rsidRPr="00C52ADD" w:rsidRDefault="00674502" w:rsidP="00FB3415">
      <w:pPr>
        <w:pStyle w:val="NoSpacing"/>
        <w:spacing w:line="360" w:lineRule="auto"/>
        <w:rPr>
          <w:rFonts w:ascii="Times New Roman" w:hAnsi="Times New Roman" w:cs="Times New Roman"/>
          <w:sz w:val="24"/>
          <w:szCs w:val="24"/>
        </w:rPr>
      </w:pPr>
    </w:p>
    <w:p w14:paraId="03CAA45F" w14:textId="77777777" w:rsidR="00674502" w:rsidRPr="00C52ADD" w:rsidRDefault="00674502" w:rsidP="00FB3415">
      <w:pPr>
        <w:widowControl w:val="0"/>
        <w:spacing w:line="360" w:lineRule="auto"/>
        <w:ind w:firstLine="1440"/>
        <w:rPr>
          <w:sz w:val="24"/>
          <w:szCs w:val="24"/>
        </w:rPr>
      </w:pPr>
      <w:r w:rsidRPr="00C52ADD">
        <w:rPr>
          <w:sz w:val="24"/>
          <w:szCs w:val="24"/>
        </w:rPr>
        <w:t xml:space="preserve">Cases have been consolidated for adjudication; </w:t>
      </w:r>
      <w:r w:rsidRPr="00C52ADD">
        <w:rPr>
          <w:i/>
          <w:sz w:val="24"/>
          <w:szCs w:val="24"/>
        </w:rPr>
        <w:t>Re Middletown Taxi Co.</w:t>
      </w:r>
      <w:r w:rsidRPr="00C52ADD">
        <w:rPr>
          <w:sz w:val="24"/>
          <w:szCs w:val="24"/>
        </w:rPr>
        <w:t xml:space="preserve">, 50 Pa. PUC 263 (1976), for hearing; </w:t>
      </w:r>
      <w:r w:rsidRPr="00C52ADD">
        <w:rPr>
          <w:i/>
          <w:sz w:val="24"/>
          <w:szCs w:val="24"/>
        </w:rPr>
        <w:t>City of York v. York Telephone and Telegraph Co.</w:t>
      </w:r>
      <w:r w:rsidRPr="00C52ADD">
        <w:rPr>
          <w:sz w:val="24"/>
          <w:szCs w:val="24"/>
        </w:rPr>
        <w:t xml:space="preserve">, 43 Pa. PUC 240 (1967), for briefing; </w:t>
      </w:r>
      <w:r w:rsidRPr="00C52ADD">
        <w:rPr>
          <w:i/>
          <w:sz w:val="24"/>
          <w:szCs w:val="24"/>
        </w:rPr>
        <w:t>Clepper Farms, Inc. v. Grantham Water Co.</w:t>
      </w:r>
      <w:r w:rsidRPr="00C52ADD">
        <w:rPr>
          <w:sz w:val="24"/>
          <w:szCs w:val="24"/>
        </w:rPr>
        <w:t xml:space="preserve">, 41 Pa. PUC 749 (1965), and have been refused consolidation for any purpose; </w:t>
      </w:r>
      <w:r w:rsidRPr="00C52ADD">
        <w:rPr>
          <w:i/>
          <w:sz w:val="24"/>
          <w:szCs w:val="24"/>
        </w:rPr>
        <w:t xml:space="preserve">Dopp v. Williamsburg Borough </w:t>
      </w:r>
      <w:proofErr w:type="spellStart"/>
      <w:r w:rsidRPr="00C52ADD">
        <w:rPr>
          <w:i/>
          <w:sz w:val="24"/>
          <w:szCs w:val="24"/>
        </w:rPr>
        <w:t>Dep’t</w:t>
      </w:r>
      <w:proofErr w:type="spellEnd"/>
      <w:r w:rsidRPr="00C52ADD">
        <w:rPr>
          <w:i/>
          <w:sz w:val="24"/>
          <w:szCs w:val="24"/>
        </w:rPr>
        <w:t xml:space="preserve"> of Water and Sewer</w:t>
      </w:r>
      <w:r w:rsidRPr="00C52ADD">
        <w:rPr>
          <w:sz w:val="24"/>
          <w:szCs w:val="24"/>
        </w:rPr>
        <w:t>, 59 Pa. PUC 25 (1984).</w:t>
      </w:r>
    </w:p>
    <w:p w14:paraId="10108B7C" w14:textId="77777777" w:rsidR="00674502" w:rsidRPr="00C52ADD" w:rsidRDefault="00674502" w:rsidP="00A427AC">
      <w:pPr>
        <w:widowControl w:val="0"/>
        <w:spacing w:line="360" w:lineRule="auto"/>
        <w:rPr>
          <w:sz w:val="24"/>
          <w:szCs w:val="24"/>
        </w:rPr>
      </w:pPr>
    </w:p>
    <w:p w14:paraId="65C3C5A6" w14:textId="246DB48B" w:rsidR="00674502" w:rsidRPr="00C52ADD" w:rsidRDefault="00674502" w:rsidP="00FB3415">
      <w:pPr>
        <w:widowControl w:val="0"/>
        <w:spacing w:line="360" w:lineRule="auto"/>
        <w:ind w:firstLine="1440"/>
        <w:rPr>
          <w:sz w:val="24"/>
          <w:szCs w:val="24"/>
        </w:rPr>
      </w:pPr>
      <w:r w:rsidRPr="00C52ADD">
        <w:rPr>
          <w:sz w:val="24"/>
          <w:szCs w:val="24"/>
        </w:rPr>
        <w:t xml:space="preserve">In considering the consolidation of cases, the first criteria (set forth in the Commission’s regulations) </w:t>
      </w:r>
      <w:proofErr w:type="gramStart"/>
      <w:r w:rsidRPr="00C52ADD">
        <w:rPr>
          <w:sz w:val="24"/>
          <w:szCs w:val="24"/>
        </w:rPr>
        <w:t>is</w:t>
      </w:r>
      <w:proofErr w:type="gramEnd"/>
      <w:r w:rsidRPr="00C52ADD">
        <w:rPr>
          <w:sz w:val="24"/>
          <w:szCs w:val="24"/>
        </w:rPr>
        <w:t xml:space="preserve"> that the proceedings must involve “a common question of law or fact</w:t>
      </w:r>
      <w:r w:rsidR="00907A1A">
        <w:rPr>
          <w:sz w:val="24"/>
          <w:szCs w:val="24"/>
        </w:rPr>
        <w:t>.</w:t>
      </w:r>
      <w:r w:rsidRPr="00C52ADD">
        <w:rPr>
          <w:sz w:val="24"/>
          <w:szCs w:val="24"/>
        </w:rPr>
        <w:t xml:space="preserve">”  An examination of Commission precedent in such cases as </w:t>
      </w:r>
      <w:r w:rsidRPr="00C52ADD">
        <w:rPr>
          <w:i/>
          <w:sz w:val="24"/>
          <w:szCs w:val="24"/>
        </w:rPr>
        <w:t>Applications of Philadelphia Electric Co.</w:t>
      </w:r>
      <w:r w:rsidRPr="00C52ADD">
        <w:rPr>
          <w:sz w:val="24"/>
          <w:szCs w:val="24"/>
        </w:rPr>
        <w:t xml:space="preserve">, 43 Pa. PUC 781 (1968), </w:t>
      </w:r>
      <w:r w:rsidRPr="00C52ADD">
        <w:rPr>
          <w:i/>
          <w:sz w:val="24"/>
          <w:szCs w:val="24"/>
        </w:rPr>
        <w:t xml:space="preserve">Pa. Public Utility Comm’n v. Bell Telephone Co. of </w:t>
      </w:r>
      <w:r w:rsidRPr="00C52ADD">
        <w:rPr>
          <w:i/>
          <w:sz w:val="24"/>
          <w:szCs w:val="24"/>
        </w:rPr>
        <w:lastRenderedPageBreak/>
        <w:t>Pennsylvania</w:t>
      </w:r>
      <w:r w:rsidRPr="00C52ADD">
        <w:rPr>
          <w:sz w:val="24"/>
          <w:szCs w:val="24"/>
        </w:rPr>
        <w:t xml:space="preserve">, 46 Pa. PUC 568 (1973), and </w:t>
      </w:r>
      <w:r w:rsidRPr="00C52ADD">
        <w:rPr>
          <w:i/>
          <w:sz w:val="24"/>
          <w:szCs w:val="24"/>
        </w:rPr>
        <w:t>Pa. Public Utility Comm’n v. Butler Twp. Water Co.</w:t>
      </w:r>
      <w:r w:rsidRPr="00C52ADD">
        <w:rPr>
          <w:sz w:val="24"/>
          <w:szCs w:val="24"/>
        </w:rPr>
        <w:t>, 52 Pa. PUC 442 (1978), as well as those cited above, establishes that considerations in addition to the presence of common questions of law or fact must also be evaluated in ruling on a consolidation.  These other considerations</w:t>
      </w:r>
      <w:r w:rsidR="00CE693C">
        <w:rPr>
          <w:sz w:val="24"/>
          <w:szCs w:val="24"/>
        </w:rPr>
        <w:t xml:space="preserve"> (and the answers thereto)</w:t>
      </w:r>
      <w:r w:rsidRPr="00C52ADD">
        <w:rPr>
          <w:sz w:val="24"/>
          <w:szCs w:val="24"/>
        </w:rPr>
        <w:t xml:space="preserve"> are:</w:t>
      </w:r>
    </w:p>
    <w:p w14:paraId="22825496" w14:textId="77777777" w:rsidR="00674502" w:rsidRPr="00C52ADD" w:rsidRDefault="00674502" w:rsidP="00A427AC">
      <w:pPr>
        <w:widowControl w:val="0"/>
        <w:spacing w:line="360" w:lineRule="auto"/>
        <w:rPr>
          <w:sz w:val="24"/>
          <w:szCs w:val="24"/>
        </w:rPr>
      </w:pPr>
    </w:p>
    <w:p w14:paraId="7CF3CBD1" w14:textId="2389789D" w:rsidR="00674502" w:rsidRPr="00C52ADD" w:rsidRDefault="00674502" w:rsidP="00955515">
      <w:pPr>
        <w:ind w:left="2160" w:hanging="720"/>
        <w:rPr>
          <w:sz w:val="24"/>
          <w:szCs w:val="24"/>
        </w:rPr>
      </w:pPr>
      <w:r w:rsidRPr="00C52ADD">
        <w:rPr>
          <w:sz w:val="24"/>
          <w:szCs w:val="24"/>
        </w:rPr>
        <w:t>1.</w:t>
      </w:r>
      <w:r w:rsidRPr="00C52ADD">
        <w:rPr>
          <w:sz w:val="24"/>
          <w:szCs w:val="24"/>
        </w:rPr>
        <w:tab/>
        <w:t>Will the presence of additional issues cloud a determination of the common issues?</w:t>
      </w:r>
      <w:r w:rsidR="00CE693C">
        <w:rPr>
          <w:sz w:val="24"/>
          <w:szCs w:val="24"/>
        </w:rPr>
        <w:t xml:space="preserve">  </w:t>
      </w:r>
      <w:r w:rsidR="00D04DB0">
        <w:rPr>
          <w:sz w:val="24"/>
          <w:szCs w:val="24"/>
        </w:rPr>
        <w:t xml:space="preserve">Answer: </w:t>
      </w:r>
      <w:r w:rsidR="00CE693C">
        <w:rPr>
          <w:sz w:val="24"/>
          <w:szCs w:val="24"/>
        </w:rPr>
        <w:t>There is an identity of issues.</w:t>
      </w:r>
    </w:p>
    <w:p w14:paraId="2FDEFC26" w14:textId="77777777" w:rsidR="00674502" w:rsidRPr="00C52ADD" w:rsidRDefault="00674502" w:rsidP="00955515">
      <w:pPr>
        <w:rPr>
          <w:sz w:val="24"/>
          <w:szCs w:val="24"/>
        </w:rPr>
      </w:pPr>
    </w:p>
    <w:p w14:paraId="187C14F3" w14:textId="6AB2ED94" w:rsidR="00674502" w:rsidRPr="00C52ADD" w:rsidRDefault="00674502" w:rsidP="00955515">
      <w:pPr>
        <w:widowControl w:val="0"/>
        <w:ind w:left="2160" w:hanging="720"/>
        <w:rPr>
          <w:sz w:val="24"/>
          <w:szCs w:val="24"/>
        </w:rPr>
      </w:pPr>
      <w:r w:rsidRPr="00C52ADD">
        <w:rPr>
          <w:sz w:val="24"/>
          <w:szCs w:val="24"/>
        </w:rPr>
        <w:t>2.</w:t>
      </w:r>
      <w:r w:rsidRPr="00C52ADD">
        <w:rPr>
          <w:sz w:val="24"/>
          <w:szCs w:val="24"/>
        </w:rPr>
        <w:tab/>
        <w:t>Will consolidation result in reduced costs of litigation and decision-making for the parties and the Commission?</w:t>
      </w:r>
      <w:r w:rsidR="00CE693C">
        <w:rPr>
          <w:sz w:val="24"/>
          <w:szCs w:val="24"/>
        </w:rPr>
        <w:t xml:space="preserve"> </w:t>
      </w:r>
      <w:r w:rsidR="00D04DB0">
        <w:rPr>
          <w:sz w:val="24"/>
          <w:szCs w:val="24"/>
        </w:rPr>
        <w:t xml:space="preserve">Answer: </w:t>
      </w:r>
      <w:r w:rsidR="00CE693C">
        <w:rPr>
          <w:sz w:val="24"/>
          <w:szCs w:val="24"/>
        </w:rPr>
        <w:t>Yes.</w:t>
      </w:r>
    </w:p>
    <w:p w14:paraId="6B3C6B44" w14:textId="77777777" w:rsidR="00674502" w:rsidRPr="00C52ADD" w:rsidRDefault="00674502" w:rsidP="00955515">
      <w:pPr>
        <w:widowControl w:val="0"/>
        <w:rPr>
          <w:sz w:val="24"/>
          <w:szCs w:val="24"/>
        </w:rPr>
      </w:pPr>
    </w:p>
    <w:p w14:paraId="07EC0A5D" w14:textId="541607A5" w:rsidR="00674502" w:rsidRPr="00C52ADD" w:rsidRDefault="00674502" w:rsidP="00955515">
      <w:pPr>
        <w:widowControl w:val="0"/>
        <w:ind w:left="2160" w:hanging="720"/>
        <w:rPr>
          <w:sz w:val="24"/>
          <w:szCs w:val="24"/>
        </w:rPr>
      </w:pPr>
      <w:r w:rsidRPr="00C52ADD">
        <w:rPr>
          <w:sz w:val="24"/>
          <w:szCs w:val="24"/>
        </w:rPr>
        <w:t>3.</w:t>
      </w:r>
      <w:r w:rsidRPr="00C52ADD">
        <w:rPr>
          <w:sz w:val="24"/>
          <w:szCs w:val="24"/>
        </w:rPr>
        <w:tab/>
        <w:t>Do issues in one proceeding go to the heart of an issue in the other proceeding?</w:t>
      </w:r>
      <w:r w:rsidR="00CE693C">
        <w:rPr>
          <w:sz w:val="24"/>
          <w:szCs w:val="24"/>
        </w:rPr>
        <w:t xml:space="preserve"> </w:t>
      </w:r>
      <w:r w:rsidR="00D04DB0">
        <w:rPr>
          <w:sz w:val="24"/>
          <w:szCs w:val="24"/>
        </w:rPr>
        <w:t xml:space="preserve">Answer: </w:t>
      </w:r>
      <w:r w:rsidR="00CE693C">
        <w:rPr>
          <w:sz w:val="24"/>
          <w:szCs w:val="24"/>
        </w:rPr>
        <w:t>Yes.</w:t>
      </w:r>
    </w:p>
    <w:p w14:paraId="0556529A" w14:textId="77777777" w:rsidR="00674502" w:rsidRPr="00C52ADD" w:rsidRDefault="00674502" w:rsidP="00955515">
      <w:pPr>
        <w:widowControl w:val="0"/>
        <w:rPr>
          <w:sz w:val="24"/>
          <w:szCs w:val="24"/>
        </w:rPr>
      </w:pPr>
    </w:p>
    <w:p w14:paraId="5BAB95FE" w14:textId="68BD5BA8" w:rsidR="00674502" w:rsidRPr="00C52ADD" w:rsidRDefault="00674502" w:rsidP="00955515">
      <w:pPr>
        <w:widowControl w:val="0"/>
        <w:ind w:left="2160" w:hanging="720"/>
        <w:rPr>
          <w:sz w:val="24"/>
          <w:szCs w:val="24"/>
        </w:rPr>
      </w:pPr>
      <w:r w:rsidRPr="00C52ADD">
        <w:rPr>
          <w:sz w:val="24"/>
          <w:szCs w:val="24"/>
        </w:rPr>
        <w:t>4.</w:t>
      </w:r>
      <w:r w:rsidRPr="00C52ADD">
        <w:rPr>
          <w:sz w:val="24"/>
          <w:szCs w:val="24"/>
        </w:rPr>
        <w:tab/>
        <w:t>Will consolidation unduly protract the hearing, or produce a disorderly and unwieldy record?</w:t>
      </w:r>
      <w:r w:rsidR="00D04DB0">
        <w:rPr>
          <w:sz w:val="24"/>
          <w:szCs w:val="24"/>
        </w:rPr>
        <w:t xml:space="preserve"> Answer: </w:t>
      </w:r>
      <w:r w:rsidR="00CE693C">
        <w:rPr>
          <w:sz w:val="24"/>
          <w:szCs w:val="24"/>
        </w:rPr>
        <w:t>No.</w:t>
      </w:r>
    </w:p>
    <w:p w14:paraId="60A60604" w14:textId="77777777" w:rsidR="00674502" w:rsidRPr="00C52ADD" w:rsidRDefault="00674502" w:rsidP="00955515">
      <w:pPr>
        <w:widowControl w:val="0"/>
        <w:rPr>
          <w:sz w:val="24"/>
          <w:szCs w:val="24"/>
        </w:rPr>
      </w:pPr>
    </w:p>
    <w:p w14:paraId="5C41B200" w14:textId="014DDFDE" w:rsidR="00674502" w:rsidRPr="00C52ADD" w:rsidRDefault="00674502" w:rsidP="00955515">
      <w:pPr>
        <w:widowControl w:val="0"/>
        <w:ind w:firstLine="1440"/>
        <w:rPr>
          <w:sz w:val="24"/>
          <w:szCs w:val="24"/>
        </w:rPr>
      </w:pPr>
      <w:r w:rsidRPr="00C52ADD">
        <w:rPr>
          <w:sz w:val="24"/>
          <w:szCs w:val="24"/>
        </w:rPr>
        <w:t>5.</w:t>
      </w:r>
      <w:r w:rsidRPr="00C52ADD">
        <w:rPr>
          <w:sz w:val="24"/>
          <w:szCs w:val="24"/>
        </w:rPr>
        <w:tab/>
        <w:t>Will different statutory and legal issues be involved?</w:t>
      </w:r>
      <w:r w:rsidR="00CE693C">
        <w:rPr>
          <w:sz w:val="24"/>
          <w:szCs w:val="24"/>
        </w:rPr>
        <w:t xml:space="preserve"> </w:t>
      </w:r>
      <w:r w:rsidR="00D04DB0">
        <w:rPr>
          <w:sz w:val="24"/>
          <w:szCs w:val="24"/>
        </w:rPr>
        <w:t xml:space="preserve">Answer: </w:t>
      </w:r>
      <w:r w:rsidR="00CE693C">
        <w:rPr>
          <w:sz w:val="24"/>
          <w:szCs w:val="24"/>
        </w:rPr>
        <w:t>No.</w:t>
      </w:r>
    </w:p>
    <w:p w14:paraId="5F568F14" w14:textId="77777777" w:rsidR="00674502" w:rsidRPr="00C52ADD" w:rsidRDefault="00674502" w:rsidP="00955515">
      <w:pPr>
        <w:widowControl w:val="0"/>
        <w:rPr>
          <w:sz w:val="24"/>
          <w:szCs w:val="24"/>
        </w:rPr>
      </w:pPr>
    </w:p>
    <w:p w14:paraId="16BBCD62" w14:textId="62ADDA1D" w:rsidR="00674502" w:rsidRPr="00C52ADD" w:rsidRDefault="00674502" w:rsidP="00D04DB0">
      <w:pPr>
        <w:widowControl w:val="0"/>
        <w:ind w:left="2250" w:hanging="810"/>
        <w:rPr>
          <w:sz w:val="24"/>
          <w:szCs w:val="24"/>
        </w:rPr>
      </w:pPr>
      <w:r w:rsidRPr="00C52ADD">
        <w:rPr>
          <w:sz w:val="24"/>
          <w:szCs w:val="24"/>
        </w:rPr>
        <w:t>6.</w:t>
      </w:r>
      <w:r w:rsidRPr="00C52ADD">
        <w:rPr>
          <w:sz w:val="24"/>
          <w:szCs w:val="24"/>
        </w:rPr>
        <w:tab/>
        <w:t>Does the party with the burden of proof differ in the proceedings?</w:t>
      </w:r>
      <w:r w:rsidR="00CE693C">
        <w:rPr>
          <w:sz w:val="24"/>
          <w:szCs w:val="24"/>
        </w:rPr>
        <w:t xml:space="preserve"> </w:t>
      </w:r>
      <w:r w:rsidR="00D04DB0">
        <w:rPr>
          <w:sz w:val="24"/>
          <w:szCs w:val="24"/>
        </w:rPr>
        <w:t xml:space="preserve">Answer: </w:t>
      </w:r>
      <w:r w:rsidR="00CE693C">
        <w:rPr>
          <w:sz w:val="24"/>
          <w:szCs w:val="24"/>
        </w:rPr>
        <w:t>No.</w:t>
      </w:r>
    </w:p>
    <w:p w14:paraId="3DC2D748" w14:textId="77777777" w:rsidR="00674502" w:rsidRPr="00C52ADD" w:rsidRDefault="00674502" w:rsidP="00955515">
      <w:pPr>
        <w:widowControl w:val="0"/>
        <w:rPr>
          <w:sz w:val="24"/>
          <w:szCs w:val="24"/>
        </w:rPr>
      </w:pPr>
    </w:p>
    <w:p w14:paraId="76C9C536" w14:textId="23CD8A83" w:rsidR="00674502" w:rsidRPr="00C52ADD" w:rsidRDefault="00674502" w:rsidP="00CE693C">
      <w:pPr>
        <w:widowControl w:val="0"/>
        <w:ind w:left="2160" w:hanging="720"/>
        <w:rPr>
          <w:sz w:val="24"/>
          <w:szCs w:val="24"/>
        </w:rPr>
      </w:pPr>
      <w:r w:rsidRPr="00C52ADD">
        <w:rPr>
          <w:sz w:val="24"/>
          <w:szCs w:val="24"/>
        </w:rPr>
        <w:t>7.</w:t>
      </w:r>
      <w:r w:rsidRPr="00C52ADD">
        <w:rPr>
          <w:sz w:val="24"/>
          <w:szCs w:val="24"/>
        </w:rPr>
        <w:tab/>
        <w:t>Will consolidation unduly delay the resolution of one of the proceedings?</w:t>
      </w:r>
      <w:r w:rsidR="00CE693C">
        <w:rPr>
          <w:sz w:val="24"/>
          <w:szCs w:val="24"/>
        </w:rPr>
        <w:t xml:space="preserve"> </w:t>
      </w:r>
      <w:r w:rsidR="00D04DB0">
        <w:rPr>
          <w:sz w:val="24"/>
          <w:szCs w:val="24"/>
        </w:rPr>
        <w:t xml:space="preserve">Answer: </w:t>
      </w:r>
      <w:r w:rsidR="00CE693C">
        <w:rPr>
          <w:sz w:val="24"/>
          <w:szCs w:val="24"/>
        </w:rPr>
        <w:t>No.</w:t>
      </w:r>
    </w:p>
    <w:p w14:paraId="359FA393" w14:textId="77777777" w:rsidR="00674502" w:rsidRPr="00C52ADD" w:rsidRDefault="00674502" w:rsidP="00955515">
      <w:pPr>
        <w:widowControl w:val="0"/>
        <w:rPr>
          <w:sz w:val="24"/>
          <w:szCs w:val="24"/>
        </w:rPr>
      </w:pPr>
    </w:p>
    <w:p w14:paraId="48531B17" w14:textId="79095B46" w:rsidR="00674502" w:rsidRPr="00C52ADD" w:rsidRDefault="00674502" w:rsidP="00D22918">
      <w:pPr>
        <w:widowControl w:val="0"/>
        <w:ind w:left="2160" w:hanging="720"/>
        <w:rPr>
          <w:sz w:val="24"/>
          <w:szCs w:val="24"/>
        </w:rPr>
      </w:pPr>
      <w:r w:rsidRPr="00C52ADD">
        <w:rPr>
          <w:sz w:val="24"/>
          <w:szCs w:val="24"/>
        </w:rPr>
        <w:t>8.</w:t>
      </w:r>
      <w:r w:rsidRPr="00C52ADD">
        <w:rPr>
          <w:sz w:val="24"/>
          <w:szCs w:val="24"/>
        </w:rPr>
        <w:tab/>
        <w:t xml:space="preserve">Will supporting data in </w:t>
      </w:r>
      <w:r w:rsidR="00D64DDB">
        <w:rPr>
          <w:sz w:val="24"/>
          <w:szCs w:val="24"/>
        </w:rPr>
        <w:t>all</w:t>
      </w:r>
      <w:r w:rsidRPr="00C52ADD">
        <w:rPr>
          <w:sz w:val="24"/>
          <w:szCs w:val="24"/>
        </w:rPr>
        <w:t xml:space="preserve"> proceedings be repetitive?</w:t>
      </w:r>
      <w:r w:rsidR="00CE693C">
        <w:rPr>
          <w:sz w:val="24"/>
          <w:szCs w:val="24"/>
        </w:rPr>
        <w:t xml:space="preserve">  </w:t>
      </w:r>
      <w:r w:rsidR="005B1073">
        <w:rPr>
          <w:sz w:val="24"/>
          <w:szCs w:val="24"/>
        </w:rPr>
        <w:t xml:space="preserve">Answer: </w:t>
      </w:r>
      <w:r w:rsidR="00CE693C">
        <w:rPr>
          <w:sz w:val="24"/>
          <w:szCs w:val="24"/>
        </w:rPr>
        <w:t>No</w:t>
      </w:r>
      <w:r w:rsidR="00D22918">
        <w:rPr>
          <w:sz w:val="24"/>
          <w:szCs w:val="24"/>
        </w:rPr>
        <w:t>t in any sense that would detract from the efficient resolution of the consolidated proceeding</w:t>
      </w:r>
      <w:r w:rsidR="00CE693C">
        <w:rPr>
          <w:sz w:val="24"/>
          <w:szCs w:val="24"/>
        </w:rPr>
        <w:t>.</w:t>
      </w:r>
    </w:p>
    <w:p w14:paraId="37430F48" w14:textId="77777777" w:rsidR="00674502" w:rsidRPr="00C52ADD" w:rsidRDefault="00674502" w:rsidP="00A427AC">
      <w:pPr>
        <w:widowControl w:val="0"/>
        <w:tabs>
          <w:tab w:val="left" w:pos="1584"/>
          <w:tab w:val="left" w:pos="2304"/>
        </w:tabs>
        <w:spacing w:line="360" w:lineRule="auto"/>
        <w:rPr>
          <w:sz w:val="24"/>
          <w:szCs w:val="24"/>
        </w:rPr>
      </w:pPr>
    </w:p>
    <w:p w14:paraId="22AE1367" w14:textId="77777777" w:rsidR="00674502" w:rsidRPr="00C52ADD" w:rsidRDefault="00674502" w:rsidP="00FB3415">
      <w:pPr>
        <w:widowControl w:val="0"/>
        <w:spacing w:line="360" w:lineRule="auto"/>
        <w:ind w:firstLine="1440"/>
        <w:rPr>
          <w:sz w:val="24"/>
          <w:szCs w:val="24"/>
        </w:rPr>
      </w:pPr>
      <w:r w:rsidRPr="00C52ADD">
        <w:rPr>
          <w:sz w:val="24"/>
          <w:szCs w:val="24"/>
        </w:rPr>
        <w:t>No single consideration, nor group of these considerations, is dispositive of a consolidation, any more so than the presence of a common question of law or fact.  Rather, the evaluation of all of them and a balancing of those favoring and disfavoring consolidation is required.</w:t>
      </w:r>
    </w:p>
    <w:p w14:paraId="0B2B0C85" w14:textId="77777777" w:rsidR="00674502" w:rsidRPr="00C52ADD" w:rsidRDefault="00674502" w:rsidP="00A427AC">
      <w:pPr>
        <w:widowControl w:val="0"/>
        <w:spacing w:line="360" w:lineRule="auto"/>
        <w:rPr>
          <w:sz w:val="24"/>
          <w:szCs w:val="24"/>
        </w:rPr>
      </w:pPr>
    </w:p>
    <w:p w14:paraId="6B0F3107" w14:textId="7405BD2B" w:rsidR="00571423" w:rsidRDefault="00674502" w:rsidP="00270184">
      <w:pPr>
        <w:pStyle w:val="Style"/>
        <w:spacing w:line="360" w:lineRule="auto"/>
        <w:ind w:firstLine="1440"/>
        <w:rPr>
          <w:color w:val="000000"/>
        </w:rPr>
      </w:pPr>
      <w:r w:rsidRPr="00C52ADD">
        <w:t>In the cases</w:t>
      </w:r>
      <w:r w:rsidR="00270184">
        <w:t xml:space="preserve"> now before us</w:t>
      </w:r>
      <w:r w:rsidRPr="00C52ADD">
        <w:t xml:space="preserve">, </w:t>
      </w:r>
      <w:r w:rsidRPr="00C52ADD">
        <w:rPr>
          <w:color w:val="000000"/>
        </w:rPr>
        <w:t xml:space="preserve">the above-captioned proceedings are interrelated and raise common issues of law and fact.  </w:t>
      </w:r>
    </w:p>
    <w:p w14:paraId="56C22D30" w14:textId="77777777" w:rsidR="00571423" w:rsidRDefault="00571423" w:rsidP="00270184">
      <w:pPr>
        <w:pStyle w:val="Style"/>
        <w:spacing w:line="360" w:lineRule="auto"/>
        <w:ind w:firstLine="1440"/>
        <w:rPr>
          <w:color w:val="000000"/>
        </w:rPr>
      </w:pPr>
    </w:p>
    <w:p w14:paraId="04ED4C2C" w14:textId="36D1DAAE" w:rsidR="00A41CC8" w:rsidRDefault="00674502" w:rsidP="00571423">
      <w:pPr>
        <w:pStyle w:val="Style"/>
        <w:spacing w:line="360" w:lineRule="auto"/>
        <w:ind w:firstLine="1440"/>
      </w:pPr>
      <w:r w:rsidRPr="00C52ADD">
        <w:rPr>
          <w:color w:val="000000"/>
        </w:rPr>
        <w:t>Because the disposition of each of these matters is interrelated, the consolidation of these proceedings will promote the efficient use of</w:t>
      </w:r>
      <w:r w:rsidR="000D01ED">
        <w:rPr>
          <w:color w:val="000000"/>
        </w:rPr>
        <w:t xml:space="preserve"> the time and resources of the </w:t>
      </w:r>
      <w:r w:rsidR="006773E5">
        <w:rPr>
          <w:color w:val="000000"/>
        </w:rPr>
        <w:t>p</w:t>
      </w:r>
      <w:r w:rsidRPr="00C52ADD">
        <w:rPr>
          <w:color w:val="000000"/>
        </w:rPr>
        <w:t xml:space="preserve">arties and </w:t>
      </w:r>
      <w:r w:rsidRPr="00C52ADD">
        <w:rPr>
          <w:color w:val="000000"/>
        </w:rPr>
        <w:lastRenderedPageBreak/>
        <w:t>the Commission.</w:t>
      </w:r>
      <w:r w:rsidR="00270184">
        <w:rPr>
          <w:color w:val="000000"/>
        </w:rPr>
        <w:t xml:space="preserve">  </w:t>
      </w:r>
      <w:r w:rsidRPr="00C52ADD">
        <w:t xml:space="preserve">Consolidation of these cases will not unduly delay the resolution of </w:t>
      </w:r>
      <w:r w:rsidR="0002390F">
        <w:t>either</w:t>
      </w:r>
      <w:r w:rsidRPr="00C52ADD">
        <w:t xml:space="preserve"> of them.  </w:t>
      </w:r>
      <w:r w:rsidR="00911087">
        <w:t xml:space="preserve">In sum, a </w:t>
      </w:r>
      <w:r w:rsidRPr="00C52ADD">
        <w:t>consolidation for hearing, briefing, and adjudicati</w:t>
      </w:r>
      <w:r w:rsidR="0002390F">
        <w:t>o</w:t>
      </w:r>
      <w:r w:rsidRPr="00C52ADD">
        <w:t xml:space="preserve">n </w:t>
      </w:r>
      <w:r w:rsidR="00911087">
        <w:t xml:space="preserve">of these cases </w:t>
      </w:r>
      <w:r w:rsidRPr="00C52ADD">
        <w:t xml:space="preserve">is warranted and </w:t>
      </w:r>
      <w:r w:rsidR="0002390F">
        <w:t xml:space="preserve">is </w:t>
      </w:r>
      <w:r w:rsidRPr="00C52ADD">
        <w:t xml:space="preserve">in the public interest, the interest of the </w:t>
      </w:r>
      <w:r w:rsidR="00BA236C">
        <w:t>p</w:t>
      </w:r>
      <w:r w:rsidRPr="00C52ADD">
        <w:t>arties and the interest of the Commission</w:t>
      </w:r>
      <w:r w:rsidR="00A41CC8">
        <w:t>.</w:t>
      </w:r>
    </w:p>
    <w:p w14:paraId="1E8FF792" w14:textId="77777777" w:rsidR="00A41CC8" w:rsidRDefault="00A41CC8" w:rsidP="00A41CC8">
      <w:pPr>
        <w:widowControl w:val="0"/>
        <w:spacing w:line="360" w:lineRule="auto"/>
        <w:rPr>
          <w:sz w:val="24"/>
          <w:szCs w:val="24"/>
        </w:rPr>
      </w:pPr>
    </w:p>
    <w:p w14:paraId="14196FBD" w14:textId="77777777" w:rsidR="00A41CC8" w:rsidRDefault="00A41CC8" w:rsidP="00270184">
      <w:pPr>
        <w:spacing w:after="200" w:line="276" w:lineRule="auto"/>
        <w:jc w:val="center"/>
        <w:rPr>
          <w:sz w:val="24"/>
          <w:szCs w:val="24"/>
        </w:rPr>
      </w:pPr>
      <w:r>
        <w:rPr>
          <w:b/>
          <w:sz w:val="24"/>
          <w:szCs w:val="24"/>
          <w:u w:val="single"/>
        </w:rPr>
        <w:t>ORDER</w:t>
      </w:r>
    </w:p>
    <w:p w14:paraId="2EE05504" w14:textId="27482CD6" w:rsidR="00A41CC8" w:rsidRDefault="00A41CC8" w:rsidP="00A41CC8">
      <w:pPr>
        <w:widowControl w:val="0"/>
        <w:spacing w:line="360" w:lineRule="auto"/>
        <w:rPr>
          <w:sz w:val="24"/>
          <w:szCs w:val="24"/>
        </w:rPr>
      </w:pPr>
    </w:p>
    <w:p w14:paraId="16ECCC9C" w14:textId="77777777" w:rsidR="00FF58EE" w:rsidRPr="00A41CC8" w:rsidRDefault="00FF58EE" w:rsidP="00A41CC8">
      <w:pPr>
        <w:widowControl w:val="0"/>
        <w:spacing w:line="360" w:lineRule="auto"/>
        <w:rPr>
          <w:sz w:val="24"/>
          <w:szCs w:val="24"/>
        </w:rPr>
      </w:pPr>
    </w:p>
    <w:p w14:paraId="6F2A4C7F" w14:textId="77777777" w:rsidR="00674502" w:rsidRPr="00A41CC8" w:rsidRDefault="00674502" w:rsidP="00FB3415">
      <w:pPr>
        <w:widowControl w:val="0"/>
        <w:spacing w:line="360" w:lineRule="auto"/>
        <w:ind w:firstLine="1440"/>
        <w:rPr>
          <w:bCs/>
          <w:sz w:val="24"/>
          <w:szCs w:val="24"/>
        </w:rPr>
      </w:pPr>
      <w:r w:rsidRPr="00A41CC8">
        <w:rPr>
          <w:bCs/>
          <w:sz w:val="24"/>
          <w:szCs w:val="24"/>
        </w:rPr>
        <w:t>THEREFORE,</w:t>
      </w:r>
    </w:p>
    <w:p w14:paraId="44C5A05E" w14:textId="77777777" w:rsidR="00B84A4F" w:rsidRPr="00C52ADD" w:rsidRDefault="00B84A4F" w:rsidP="00FB3415">
      <w:pPr>
        <w:spacing w:line="360" w:lineRule="auto"/>
        <w:ind w:firstLine="1440"/>
        <w:rPr>
          <w:b/>
          <w:bCs/>
          <w:sz w:val="24"/>
          <w:szCs w:val="24"/>
        </w:rPr>
      </w:pPr>
    </w:p>
    <w:p w14:paraId="6CA61647" w14:textId="77777777" w:rsidR="00674502" w:rsidRPr="00A41CC8" w:rsidRDefault="00674502" w:rsidP="00FB3415">
      <w:pPr>
        <w:spacing w:line="360" w:lineRule="auto"/>
        <w:ind w:firstLine="1440"/>
        <w:rPr>
          <w:bCs/>
          <w:sz w:val="24"/>
          <w:szCs w:val="24"/>
        </w:rPr>
      </w:pPr>
      <w:r w:rsidRPr="00A41CC8">
        <w:rPr>
          <w:bCs/>
          <w:sz w:val="24"/>
          <w:szCs w:val="24"/>
        </w:rPr>
        <w:t>IT IS ORDERED:</w:t>
      </w:r>
    </w:p>
    <w:p w14:paraId="3AB1A3B8" w14:textId="77777777" w:rsidR="00674502" w:rsidRPr="00C52ADD" w:rsidRDefault="00674502" w:rsidP="00A41CC8">
      <w:pPr>
        <w:spacing w:line="360" w:lineRule="auto"/>
        <w:rPr>
          <w:sz w:val="24"/>
          <w:szCs w:val="24"/>
        </w:rPr>
      </w:pPr>
    </w:p>
    <w:p w14:paraId="63C9A606" w14:textId="77F85452" w:rsidR="00674502" w:rsidRDefault="00674502" w:rsidP="00FB3415">
      <w:pPr>
        <w:tabs>
          <w:tab w:val="left" w:pos="-720"/>
        </w:tabs>
        <w:suppressAutoHyphens/>
        <w:spacing w:line="360" w:lineRule="auto"/>
        <w:ind w:firstLine="1440"/>
        <w:rPr>
          <w:spacing w:val="-3"/>
          <w:sz w:val="24"/>
          <w:szCs w:val="24"/>
        </w:rPr>
      </w:pPr>
      <w:r w:rsidRPr="00C52ADD">
        <w:rPr>
          <w:sz w:val="24"/>
          <w:szCs w:val="24"/>
        </w:rPr>
        <w:t>1.</w:t>
      </w:r>
      <w:r w:rsidRPr="00C52ADD">
        <w:rPr>
          <w:sz w:val="24"/>
          <w:szCs w:val="24"/>
        </w:rPr>
        <w:tab/>
        <w:t>That the above-captioned cases, bearing Docket Numbers</w:t>
      </w:r>
      <w:r w:rsidR="00EE182C" w:rsidRPr="00EE182C">
        <w:rPr>
          <w:spacing w:val="-3"/>
          <w:sz w:val="24"/>
          <w:szCs w:val="24"/>
        </w:rPr>
        <w:t xml:space="preserve"> </w:t>
      </w:r>
      <w:r w:rsidR="002D2BDB" w:rsidRPr="002D2BDB">
        <w:rPr>
          <w:spacing w:val="-3"/>
          <w:sz w:val="24"/>
          <w:szCs w:val="24"/>
        </w:rPr>
        <w:t>R-2022-3032242</w:t>
      </w:r>
      <w:r w:rsidR="00A62EA1">
        <w:rPr>
          <w:spacing w:val="-3"/>
          <w:sz w:val="24"/>
          <w:szCs w:val="24"/>
        </w:rPr>
        <w:t xml:space="preserve">, </w:t>
      </w:r>
      <w:r w:rsidR="002D2BDB" w:rsidRPr="002D2BDB">
        <w:rPr>
          <w:spacing w:val="-3"/>
          <w:sz w:val="24"/>
          <w:szCs w:val="24"/>
        </w:rPr>
        <w:t>C-2022-3032385</w:t>
      </w:r>
      <w:r w:rsidR="00A62EA1">
        <w:rPr>
          <w:spacing w:val="-3"/>
          <w:sz w:val="24"/>
          <w:szCs w:val="24"/>
        </w:rPr>
        <w:t xml:space="preserve">, </w:t>
      </w:r>
      <w:r w:rsidR="00BA236C">
        <w:rPr>
          <w:spacing w:val="-3"/>
          <w:sz w:val="24"/>
          <w:szCs w:val="24"/>
        </w:rPr>
        <w:t xml:space="preserve">and </w:t>
      </w:r>
      <w:r w:rsidR="002D2BDB" w:rsidRPr="002D2BDB">
        <w:rPr>
          <w:spacing w:val="-3"/>
          <w:sz w:val="24"/>
          <w:szCs w:val="24"/>
        </w:rPr>
        <w:t>C-2022-3032539</w:t>
      </w:r>
      <w:r w:rsidR="00A62EA1">
        <w:rPr>
          <w:spacing w:val="-3"/>
          <w:sz w:val="24"/>
          <w:szCs w:val="24"/>
        </w:rPr>
        <w:t xml:space="preserve">, </w:t>
      </w:r>
      <w:r w:rsidRPr="00C52ADD">
        <w:rPr>
          <w:spacing w:val="-3"/>
          <w:sz w:val="24"/>
          <w:szCs w:val="24"/>
        </w:rPr>
        <w:t>are consolidated</w:t>
      </w:r>
      <w:r w:rsidRPr="00C52ADD">
        <w:rPr>
          <w:sz w:val="24"/>
          <w:szCs w:val="24"/>
        </w:rPr>
        <w:t xml:space="preserve"> for </w:t>
      </w:r>
      <w:r w:rsidR="00792DBA">
        <w:rPr>
          <w:sz w:val="24"/>
          <w:szCs w:val="24"/>
        </w:rPr>
        <w:t>litigation</w:t>
      </w:r>
      <w:r w:rsidR="00A62EA1">
        <w:rPr>
          <w:sz w:val="24"/>
          <w:szCs w:val="24"/>
        </w:rPr>
        <w:t xml:space="preserve"> and </w:t>
      </w:r>
      <w:r w:rsidR="002875C0">
        <w:rPr>
          <w:sz w:val="24"/>
          <w:szCs w:val="24"/>
        </w:rPr>
        <w:t>resolution</w:t>
      </w:r>
      <w:r w:rsidRPr="00C52ADD">
        <w:rPr>
          <w:spacing w:val="-3"/>
          <w:sz w:val="24"/>
          <w:szCs w:val="24"/>
        </w:rPr>
        <w:t>.</w:t>
      </w:r>
    </w:p>
    <w:p w14:paraId="49F322C6" w14:textId="77777777" w:rsidR="00643284" w:rsidRDefault="00643284" w:rsidP="00FB3415">
      <w:pPr>
        <w:tabs>
          <w:tab w:val="left" w:pos="-720"/>
        </w:tabs>
        <w:suppressAutoHyphens/>
        <w:spacing w:line="360" w:lineRule="auto"/>
        <w:ind w:firstLine="1440"/>
        <w:rPr>
          <w:spacing w:val="-3"/>
          <w:sz w:val="24"/>
          <w:szCs w:val="24"/>
        </w:rPr>
      </w:pPr>
    </w:p>
    <w:p w14:paraId="37EFD384" w14:textId="77777777" w:rsidR="00674502" w:rsidRPr="00C52ADD" w:rsidRDefault="00674502" w:rsidP="00A41CC8">
      <w:pPr>
        <w:tabs>
          <w:tab w:val="left" w:pos="-720"/>
        </w:tabs>
        <w:suppressAutoHyphens/>
        <w:spacing w:line="360" w:lineRule="auto"/>
        <w:rPr>
          <w:sz w:val="24"/>
          <w:szCs w:val="24"/>
        </w:rPr>
      </w:pPr>
    </w:p>
    <w:p w14:paraId="069231DE" w14:textId="7C8CEEB6" w:rsidR="00674502" w:rsidRPr="00C52ADD" w:rsidRDefault="00674502" w:rsidP="00C52ADD">
      <w:pPr>
        <w:rPr>
          <w:sz w:val="24"/>
          <w:szCs w:val="24"/>
        </w:rPr>
      </w:pPr>
      <w:r w:rsidRPr="00C52ADD">
        <w:rPr>
          <w:sz w:val="24"/>
          <w:szCs w:val="24"/>
        </w:rPr>
        <w:t>Date:</w:t>
      </w:r>
      <w:r w:rsidR="00B73D2C">
        <w:rPr>
          <w:sz w:val="24"/>
          <w:szCs w:val="24"/>
        </w:rPr>
        <w:tab/>
      </w:r>
      <w:r w:rsidR="00A62EA1">
        <w:rPr>
          <w:sz w:val="24"/>
          <w:szCs w:val="24"/>
          <w:u w:val="single"/>
        </w:rPr>
        <w:t>June 1</w:t>
      </w:r>
      <w:r w:rsidR="002D2BDB">
        <w:rPr>
          <w:sz w:val="24"/>
          <w:szCs w:val="24"/>
          <w:u w:val="single"/>
        </w:rPr>
        <w:t>3</w:t>
      </w:r>
      <w:r w:rsidR="00A62EA1">
        <w:rPr>
          <w:sz w:val="24"/>
          <w:szCs w:val="24"/>
          <w:u w:val="single"/>
        </w:rPr>
        <w:t>, 202</w:t>
      </w:r>
      <w:r w:rsidR="002D2BDB">
        <w:rPr>
          <w:sz w:val="24"/>
          <w:szCs w:val="24"/>
          <w:u w:val="single"/>
        </w:rPr>
        <w:t>2</w:t>
      </w:r>
      <w:r w:rsidR="00085670">
        <w:rPr>
          <w:sz w:val="24"/>
          <w:szCs w:val="24"/>
        </w:rPr>
        <w:tab/>
      </w:r>
      <w:r w:rsidR="00A62EA1">
        <w:rPr>
          <w:sz w:val="24"/>
          <w:szCs w:val="24"/>
        </w:rPr>
        <w:tab/>
      </w:r>
      <w:r w:rsidR="00D45968">
        <w:rPr>
          <w:sz w:val="24"/>
          <w:szCs w:val="24"/>
        </w:rPr>
        <w:tab/>
      </w:r>
      <w:r w:rsidR="00B73D2C">
        <w:rPr>
          <w:sz w:val="24"/>
          <w:szCs w:val="24"/>
        </w:rPr>
        <w:tab/>
      </w:r>
      <w:r w:rsidR="00B73D2C">
        <w:rPr>
          <w:sz w:val="24"/>
          <w:szCs w:val="24"/>
        </w:rPr>
        <w:tab/>
      </w:r>
      <w:r w:rsidR="00B73D2C" w:rsidRPr="00A62EA1">
        <w:rPr>
          <w:sz w:val="24"/>
          <w:szCs w:val="24"/>
          <w:u w:val="single"/>
        </w:rPr>
        <w:t>____</w:t>
      </w:r>
      <w:r w:rsidR="00A62EA1" w:rsidRPr="00A62EA1">
        <w:rPr>
          <w:sz w:val="24"/>
          <w:szCs w:val="24"/>
          <w:u w:val="single"/>
        </w:rPr>
        <w:t>/s/</w:t>
      </w:r>
      <w:r w:rsidR="00B73D2C" w:rsidRPr="00A62EA1">
        <w:rPr>
          <w:sz w:val="24"/>
          <w:szCs w:val="24"/>
          <w:u w:val="single"/>
        </w:rPr>
        <w:t>_________________</w:t>
      </w:r>
    </w:p>
    <w:p w14:paraId="318FCCFE" w14:textId="77777777" w:rsidR="00674502" w:rsidRPr="00C52ADD" w:rsidRDefault="00674502" w:rsidP="00C52ADD">
      <w:pPr>
        <w:rPr>
          <w:sz w:val="24"/>
          <w:szCs w:val="24"/>
        </w:rPr>
      </w:pPr>
      <w:r w:rsidRPr="00C52ADD">
        <w:rPr>
          <w:sz w:val="24"/>
          <w:szCs w:val="24"/>
        </w:rPr>
        <w:tab/>
      </w:r>
      <w:r w:rsidRPr="00C52ADD">
        <w:rPr>
          <w:sz w:val="24"/>
          <w:szCs w:val="24"/>
        </w:rPr>
        <w:tab/>
      </w:r>
      <w:r w:rsidRPr="00C52ADD">
        <w:rPr>
          <w:sz w:val="24"/>
          <w:szCs w:val="24"/>
        </w:rPr>
        <w:tab/>
      </w:r>
      <w:r w:rsidRPr="00C52ADD">
        <w:rPr>
          <w:sz w:val="24"/>
          <w:szCs w:val="24"/>
        </w:rPr>
        <w:tab/>
      </w:r>
      <w:r w:rsidRPr="00C52ADD">
        <w:rPr>
          <w:sz w:val="24"/>
          <w:szCs w:val="24"/>
        </w:rPr>
        <w:tab/>
      </w:r>
      <w:r w:rsidR="00A41CC8">
        <w:rPr>
          <w:sz w:val="24"/>
          <w:szCs w:val="24"/>
        </w:rPr>
        <w:tab/>
      </w:r>
      <w:r w:rsidR="00A41CC8">
        <w:rPr>
          <w:sz w:val="24"/>
          <w:szCs w:val="24"/>
        </w:rPr>
        <w:tab/>
      </w:r>
      <w:r w:rsidR="00F014A2" w:rsidRPr="00C52ADD">
        <w:rPr>
          <w:sz w:val="24"/>
          <w:szCs w:val="24"/>
        </w:rPr>
        <w:t>Dennis J. Buckley</w:t>
      </w:r>
    </w:p>
    <w:p w14:paraId="52006185" w14:textId="15723F5C" w:rsidR="00674502" w:rsidRDefault="00674502" w:rsidP="00C52ADD">
      <w:pPr>
        <w:rPr>
          <w:sz w:val="24"/>
          <w:szCs w:val="24"/>
        </w:rPr>
      </w:pPr>
      <w:r w:rsidRPr="00C52ADD">
        <w:rPr>
          <w:sz w:val="24"/>
          <w:szCs w:val="24"/>
        </w:rPr>
        <w:tab/>
      </w:r>
      <w:r w:rsidRPr="00C52ADD">
        <w:rPr>
          <w:sz w:val="24"/>
          <w:szCs w:val="24"/>
        </w:rPr>
        <w:tab/>
      </w:r>
      <w:r w:rsidRPr="00C52ADD">
        <w:rPr>
          <w:sz w:val="24"/>
          <w:szCs w:val="24"/>
        </w:rPr>
        <w:tab/>
      </w:r>
      <w:r w:rsidRPr="00C52ADD">
        <w:rPr>
          <w:sz w:val="24"/>
          <w:szCs w:val="24"/>
        </w:rPr>
        <w:tab/>
      </w:r>
      <w:r w:rsidRPr="00C52ADD">
        <w:rPr>
          <w:sz w:val="24"/>
          <w:szCs w:val="24"/>
        </w:rPr>
        <w:tab/>
      </w:r>
      <w:r w:rsidR="00A41CC8">
        <w:rPr>
          <w:sz w:val="24"/>
          <w:szCs w:val="24"/>
        </w:rPr>
        <w:tab/>
      </w:r>
      <w:r w:rsidR="00A41CC8">
        <w:rPr>
          <w:sz w:val="24"/>
          <w:szCs w:val="24"/>
        </w:rPr>
        <w:tab/>
      </w:r>
      <w:r w:rsidRPr="00C52ADD">
        <w:rPr>
          <w:sz w:val="24"/>
          <w:szCs w:val="24"/>
        </w:rPr>
        <w:t>Administrative Law Judge</w:t>
      </w:r>
    </w:p>
    <w:p w14:paraId="7D37AFA0" w14:textId="77777777" w:rsidR="00FF58EE" w:rsidRDefault="00FF58EE" w:rsidP="00C52ADD">
      <w:pPr>
        <w:rPr>
          <w:sz w:val="24"/>
          <w:szCs w:val="24"/>
        </w:rPr>
        <w:sectPr w:rsidR="00FF58EE" w:rsidSect="00270184">
          <w:footerReference w:type="default" r:id="rId8"/>
          <w:pgSz w:w="12240" w:h="15840"/>
          <w:pgMar w:top="1440" w:right="1440" w:bottom="1440" w:left="1440" w:header="720" w:footer="720" w:gutter="0"/>
          <w:cols w:space="720"/>
          <w:docGrid w:linePitch="360"/>
        </w:sectPr>
      </w:pPr>
    </w:p>
    <w:p w14:paraId="69158809" w14:textId="5805D95C" w:rsidR="00FF58EE" w:rsidRDefault="00FF58EE" w:rsidP="00FF58EE">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u w:val="single"/>
        </w:rPr>
        <w:lastRenderedPageBreak/>
        <w:t xml:space="preserve">R-2022-3032242 - PENNSYLVANIA PUBLIC UTILITY COMMISSION v. UGI UTILITIES, INC.  </w:t>
      </w:r>
      <w:r>
        <w:rPr>
          <w:rFonts w:ascii="Microsoft Sans Serif" w:eastAsia="Microsoft Sans Serif" w:hAnsi="Microsoft Sans Serif" w:cs="Microsoft Sans Serif"/>
          <w:b/>
          <w:sz w:val="24"/>
          <w:u w:val="single"/>
        </w:rPr>
        <w:br/>
      </w:r>
      <w:r>
        <w:rPr>
          <w:rFonts w:ascii="Microsoft Sans Serif" w:eastAsia="Microsoft Sans Serif" w:hAnsi="Microsoft Sans Serif" w:cs="Microsoft Sans Serif"/>
          <w:bCs/>
          <w:i/>
          <w:iCs/>
          <w:sz w:val="24"/>
        </w:rPr>
        <w:t>Updated 06/07/22</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TIMOTHY MCHUGH ESQUIRE</w:t>
      </w:r>
      <w:r>
        <w:rPr>
          <w:rFonts w:ascii="Microsoft Sans Serif" w:eastAsia="Microsoft Sans Serif" w:hAnsi="Microsoft Sans Serif" w:cs="Microsoft Sans Serif"/>
          <w:sz w:val="24"/>
        </w:rPr>
        <w:br/>
        <w:t>UGI CORPORATION INC</w:t>
      </w:r>
      <w:r>
        <w:rPr>
          <w:rFonts w:ascii="Microsoft Sans Serif" w:eastAsia="Microsoft Sans Serif" w:hAnsi="Microsoft Sans Serif" w:cs="Microsoft Sans Serif"/>
          <w:sz w:val="24"/>
        </w:rPr>
        <w:br/>
        <w:t>460 NORTH GULPH ROAD</w:t>
      </w:r>
      <w:r>
        <w:rPr>
          <w:rFonts w:ascii="Microsoft Sans Serif" w:eastAsia="Microsoft Sans Serif" w:hAnsi="Microsoft Sans Serif" w:cs="Microsoft Sans Serif"/>
          <w:sz w:val="24"/>
        </w:rPr>
        <w:cr/>
        <w:t>KING OF PRUSSIA PA  19406</w:t>
      </w:r>
      <w:r>
        <w:rPr>
          <w:rFonts w:ascii="Microsoft Sans Serif" w:eastAsia="Microsoft Sans Serif" w:hAnsi="Microsoft Sans Serif" w:cs="Microsoft Sans Serif"/>
          <w:sz w:val="24"/>
        </w:rPr>
        <w:cr/>
      </w:r>
      <w:r w:rsidRPr="00A8104F">
        <w:rPr>
          <w:rFonts w:ascii="Microsoft Sans Serif" w:eastAsia="Microsoft Sans Serif" w:hAnsi="Microsoft Sans Serif" w:cs="Microsoft Sans Serif"/>
          <w:b/>
          <w:bCs/>
          <w:sz w:val="24"/>
        </w:rPr>
        <w:t>610.992.3763</w:t>
      </w:r>
      <w:r w:rsidRPr="00A8104F">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mchught@ugicorp.com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cr/>
        <w:t>LINDSAY A BERKSTRESSER ESQUIRE</w:t>
      </w:r>
      <w:r>
        <w:rPr>
          <w:rFonts w:ascii="Microsoft Sans Serif" w:eastAsia="Microsoft Sans Serif" w:hAnsi="Microsoft Sans Serif" w:cs="Microsoft Sans Serif"/>
          <w:sz w:val="24"/>
        </w:rPr>
        <w:cr/>
        <w:t>17 N 2ND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A8104F">
        <w:rPr>
          <w:rFonts w:ascii="Microsoft Sans Serif" w:eastAsia="Microsoft Sans Serif" w:hAnsi="Microsoft Sans Serif" w:cs="Microsoft Sans Serif"/>
          <w:b/>
          <w:bCs/>
          <w:sz w:val="24"/>
        </w:rPr>
        <w:t>717.612.6021</w:t>
      </w:r>
      <w:r>
        <w:rPr>
          <w:rFonts w:ascii="Microsoft Sans Serif" w:eastAsia="Microsoft Sans Serif" w:hAnsi="Microsoft Sans Serif" w:cs="Microsoft Sans Serif"/>
          <w:sz w:val="24"/>
        </w:rPr>
        <w:cr/>
        <w:t>lberkstresser@postschell.com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UGI Utilities, Inc.</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cr/>
        <w:t>ARON J BEATTY ESQUIRE</w:t>
      </w:r>
      <w:r>
        <w:rPr>
          <w:rFonts w:ascii="Microsoft Sans Serif" w:eastAsia="Microsoft Sans Serif" w:hAnsi="Microsoft Sans Serif" w:cs="Microsoft Sans Serif"/>
          <w:sz w:val="24"/>
        </w:rPr>
        <w:br/>
        <w:t>LAUREN E GUERRA ESQUIRE</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555 WALNUT STREET 5TH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DA52F8">
        <w:rPr>
          <w:rFonts w:ascii="Microsoft Sans Serif" w:eastAsia="Microsoft Sans Serif" w:hAnsi="Microsoft Sans Serif" w:cs="Microsoft Sans Serif"/>
          <w:b/>
          <w:bCs/>
          <w:sz w:val="24"/>
        </w:rPr>
        <w:t>717.783.5048</w:t>
      </w:r>
      <w:r w:rsidRPr="00DA52F8">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abeatty@paoca.org</w:t>
      </w:r>
      <w:r>
        <w:rPr>
          <w:rFonts w:ascii="Microsoft Sans Serif" w:eastAsia="Microsoft Sans Serif" w:hAnsi="Microsoft Sans Serif" w:cs="Microsoft Sans Serif"/>
          <w:sz w:val="24"/>
        </w:rPr>
        <w:cr/>
        <w:t>lguerra@paoca.org</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STEVEN C GRAY ESQUIRE</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21699A">
        <w:rPr>
          <w:rFonts w:ascii="Microsoft Sans Serif" w:eastAsia="Microsoft Sans Serif" w:hAnsi="Microsoft Sans Serif" w:cs="Microsoft Sans Serif"/>
          <w:b/>
          <w:bCs/>
          <w:sz w:val="24"/>
        </w:rPr>
        <w:t>717.783.2525</w:t>
      </w:r>
      <w:r w:rsidRPr="0021699A">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sgray@pa.gov</w:t>
      </w:r>
    </w:p>
    <w:p w14:paraId="7370855F" w14:textId="77777777" w:rsidR="00FF58EE" w:rsidRDefault="00FF58EE" w:rsidP="00FF58EE">
      <w:pPr>
        <w:rPr>
          <w:rFonts w:ascii="Microsoft Sans Serif" w:eastAsia="Microsoft Sans Serif" w:hAnsi="Microsoft Sans Serif" w:cs="Microsoft Sans Serif"/>
          <w:sz w:val="24"/>
        </w:rPr>
      </w:pPr>
    </w:p>
    <w:p w14:paraId="7A10B927" w14:textId="77777777" w:rsidR="00FF58EE" w:rsidRDefault="00FF58EE" w:rsidP="00FF58EE">
      <w:r>
        <w:rPr>
          <w:rFonts w:ascii="Microsoft Sans Serif" w:eastAsia="Microsoft Sans Serif" w:hAnsi="Microsoft Sans Serif" w:cs="Microsoft Sans Serif"/>
          <w:sz w:val="24"/>
        </w:rPr>
        <w:t>SCOTT B GRANGER ESQUIRE</w:t>
      </w:r>
      <w:r>
        <w:rPr>
          <w:rFonts w:ascii="Microsoft Sans Serif" w:eastAsia="Microsoft Sans Serif" w:hAnsi="Microsoft Sans Serif" w:cs="Microsoft Sans Serif"/>
          <w:sz w:val="24"/>
        </w:rPr>
        <w:cr/>
        <w:t>PA PUC BUREAU OF INVESTIGATION &amp; ENFORCEMENT</w:t>
      </w:r>
      <w:r>
        <w:rPr>
          <w:rFonts w:ascii="Microsoft Sans Serif" w:eastAsia="Microsoft Sans Serif" w:hAnsi="Microsoft Sans Serif" w:cs="Microsoft Sans Serif"/>
          <w:sz w:val="24"/>
        </w:rPr>
        <w:cr/>
        <w:t>SECOND FLOOR WEST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21699A">
        <w:rPr>
          <w:rFonts w:ascii="Microsoft Sans Serif" w:eastAsia="Microsoft Sans Serif" w:hAnsi="Microsoft Sans Serif" w:cs="Microsoft Sans Serif"/>
          <w:b/>
          <w:bCs/>
          <w:sz w:val="24"/>
        </w:rPr>
        <w:t>717.425.7593</w:t>
      </w:r>
      <w:r>
        <w:rPr>
          <w:rFonts w:ascii="Microsoft Sans Serif" w:eastAsia="Microsoft Sans Serif" w:hAnsi="Microsoft Sans Serif" w:cs="Microsoft Sans Serif"/>
          <w:sz w:val="24"/>
        </w:rPr>
        <w:cr/>
        <w:t>sgranger@pa.gov</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p>
    <w:sectPr w:rsidR="00FF58EE" w:rsidSect="00FF58EE">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A11A1" w14:textId="77777777" w:rsidR="006F262D" w:rsidRDefault="006F262D" w:rsidP="005140E0">
      <w:r>
        <w:separator/>
      </w:r>
    </w:p>
  </w:endnote>
  <w:endnote w:type="continuationSeparator" w:id="0">
    <w:p w14:paraId="25AE2158" w14:textId="77777777" w:rsidR="006F262D" w:rsidRDefault="006F262D" w:rsidP="0051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45EE" w14:textId="771A2DCA" w:rsidR="000E2DFE" w:rsidRPr="00B73D2C" w:rsidRDefault="000E2DFE">
    <w:pPr>
      <w:pStyle w:val="Footer"/>
      <w:jc w:val="center"/>
      <w:rPr>
        <w:sz w:val="20"/>
      </w:rPr>
    </w:pPr>
  </w:p>
  <w:p w14:paraId="24A2A650" w14:textId="77777777" w:rsidR="000E2DFE" w:rsidRPr="00B73D2C" w:rsidRDefault="000E2DFE">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171121"/>
      <w:docPartObj>
        <w:docPartGallery w:val="Page Numbers (Bottom of Page)"/>
        <w:docPartUnique/>
      </w:docPartObj>
    </w:sdtPr>
    <w:sdtEndPr>
      <w:rPr>
        <w:sz w:val="20"/>
      </w:rPr>
    </w:sdtEndPr>
    <w:sdtContent>
      <w:p w14:paraId="15DA6A5E" w14:textId="77777777" w:rsidR="00FF58EE" w:rsidRPr="00B73D2C" w:rsidRDefault="00FF58EE">
        <w:pPr>
          <w:pStyle w:val="Footer"/>
          <w:jc w:val="center"/>
          <w:rPr>
            <w:sz w:val="20"/>
          </w:rPr>
        </w:pPr>
        <w:r w:rsidRPr="00B73D2C">
          <w:rPr>
            <w:sz w:val="20"/>
          </w:rPr>
          <w:fldChar w:fldCharType="begin"/>
        </w:r>
        <w:r w:rsidRPr="00B73D2C">
          <w:rPr>
            <w:sz w:val="20"/>
          </w:rPr>
          <w:instrText xml:space="preserve"> PAGE   \* MERGEFORMAT </w:instrText>
        </w:r>
        <w:r w:rsidRPr="00B73D2C">
          <w:rPr>
            <w:sz w:val="20"/>
          </w:rPr>
          <w:fldChar w:fldCharType="separate"/>
        </w:r>
        <w:r>
          <w:rPr>
            <w:noProof/>
            <w:sz w:val="20"/>
          </w:rPr>
          <w:t>4</w:t>
        </w:r>
        <w:r w:rsidRPr="00B73D2C">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726F" w14:textId="25BB897D" w:rsidR="00FF58EE" w:rsidRPr="00B73D2C" w:rsidRDefault="00FF58EE">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24EF1" w14:textId="77777777" w:rsidR="006F262D" w:rsidRDefault="006F262D" w:rsidP="005140E0">
      <w:r>
        <w:separator/>
      </w:r>
    </w:p>
  </w:footnote>
  <w:footnote w:type="continuationSeparator" w:id="0">
    <w:p w14:paraId="618610A0" w14:textId="77777777" w:rsidR="006F262D" w:rsidRDefault="006F262D" w:rsidP="00514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D7C"/>
    <w:rsid w:val="00000B68"/>
    <w:rsid w:val="00015237"/>
    <w:rsid w:val="00020ACF"/>
    <w:rsid w:val="0002390F"/>
    <w:rsid w:val="000361C6"/>
    <w:rsid w:val="000453F0"/>
    <w:rsid w:val="00056850"/>
    <w:rsid w:val="00065E2A"/>
    <w:rsid w:val="00071466"/>
    <w:rsid w:val="00077CBB"/>
    <w:rsid w:val="000805AC"/>
    <w:rsid w:val="00080AF1"/>
    <w:rsid w:val="00083DF6"/>
    <w:rsid w:val="00085670"/>
    <w:rsid w:val="00086142"/>
    <w:rsid w:val="00087FBF"/>
    <w:rsid w:val="0009315C"/>
    <w:rsid w:val="000A7593"/>
    <w:rsid w:val="000B615A"/>
    <w:rsid w:val="000B7C4C"/>
    <w:rsid w:val="000D01ED"/>
    <w:rsid w:val="000D1C28"/>
    <w:rsid w:val="000D5A3D"/>
    <w:rsid w:val="000E2DFE"/>
    <w:rsid w:val="000E3437"/>
    <w:rsid w:val="000E4B75"/>
    <w:rsid w:val="0011388A"/>
    <w:rsid w:val="0013260C"/>
    <w:rsid w:val="00132676"/>
    <w:rsid w:val="00145D7C"/>
    <w:rsid w:val="00156549"/>
    <w:rsid w:val="001647A3"/>
    <w:rsid w:val="00170D92"/>
    <w:rsid w:val="00172CCF"/>
    <w:rsid w:val="00172EB1"/>
    <w:rsid w:val="001A3B11"/>
    <w:rsid w:val="001A4593"/>
    <w:rsid w:val="001B13A4"/>
    <w:rsid w:val="001D3624"/>
    <w:rsid w:val="001F3FEC"/>
    <w:rsid w:val="001F5805"/>
    <w:rsid w:val="00203174"/>
    <w:rsid w:val="002226E1"/>
    <w:rsid w:val="002254EA"/>
    <w:rsid w:val="00226DA4"/>
    <w:rsid w:val="00230D85"/>
    <w:rsid w:val="00235F06"/>
    <w:rsid w:val="00241F98"/>
    <w:rsid w:val="00243B5A"/>
    <w:rsid w:val="00253546"/>
    <w:rsid w:val="00270184"/>
    <w:rsid w:val="00276446"/>
    <w:rsid w:val="00285552"/>
    <w:rsid w:val="002870A9"/>
    <w:rsid w:val="00287328"/>
    <w:rsid w:val="002875C0"/>
    <w:rsid w:val="00293871"/>
    <w:rsid w:val="002A38DB"/>
    <w:rsid w:val="002A3CF4"/>
    <w:rsid w:val="002B1C21"/>
    <w:rsid w:val="002B2EE6"/>
    <w:rsid w:val="002B42FA"/>
    <w:rsid w:val="002C7BFD"/>
    <w:rsid w:val="002D12EC"/>
    <w:rsid w:val="002D2BDB"/>
    <w:rsid w:val="002D6A4C"/>
    <w:rsid w:val="002F06EE"/>
    <w:rsid w:val="002F5243"/>
    <w:rsid w:val="002F52AF"/>
    <w:rsid w:val="00311460"/>
    <w:rsid w:val="00312033"/>
    <w:rsid w:val="00331361"/>
    <w:rsid w:val="00343410"/>
    <w:rsid w:val="00351AD2"/>
    <w:rsid w:val="003627CB"/>
    <w:rsid w:val="0036596E"/>
    <w:rsid w:val="00366A60"/>
    <w:rsid w:val="0037107E"/>
    <w:rsid w:val="00375267"/>
    <w:rsid w:val="00384FE3"/>
    <w:rsid w:val="003927E1"/>
    <w:rsid w:val="003A15DB"/>
    <w:rsid w:val="003A3EEB"/>
    <w:rsid w:val="003B28F4"/>
    <w:rsid w:val="003B48F6"/>
    <w:rsid w:val="003B5F87"/>
    <w:rsid w:val="003C341D"/>
    <w:rsid w:val="003E12A9"/>
    <w:rsid w:val="003E24C1"/>
    <w:rsid w:val="003F480E"/>
    <w:rsid w:val="003F604A"/>
    <w:rsid w:val="00402FD8"/>
    <w:rsid w:val="004116D3"/>
    <w:rsid w:val="004161DA"/>
    <w:rsid w:val="0042367A"/>
    <w:rsid w:val="00435701"/>
    <w:rsid w:val="00452DC3"/>
    <w:rsid w:val="004575DD"/>
    <w:rsid w:val="00461BE2"/>
    <w:rsid w:val="004629D8"/>
    <w:rsid w:val="00466412"/>
    <w:rsid w:val="00472390"/>
    <w:rsid w:val="00476463"/>
    <w:rsid w:val="00476AA5"/>
    <w:rsid w:val="00495F5B"/>
    <w:rsid w:val="004973BF"/>
    <w:rsid w:val="004A4A92"/>
    <w:rsid w:val="004B3B38"/>
    <w:rsid w:val="004B4CB7"/>
    <w:rsid w:val="004D4447"/>
    <w:rsid w:val="004E133C"/>
    <w:rsid w:val="004E1A8C"/>
    <w:rsid w:val="004E4202"/>
    <w:rsid w:val="004F3E7F"/>
    <w:rsid w:val="004F51B0"/>
    <w:rsid w:val="005028FF"/>
    <w:rsid w:val="00504287"/>
    <w:rsid w:val="005074C3"/>
    <w:rsid w:val="005140E0"/>
    <w:rsid w:val="00523C09"/>
    <w:rsid w:val="005352D3"/>
    <w:rsid w:val="00540ACE"/>
    <w:rsid w:val="005475EC"/>
    <w:rsid w:val="00552D9B"/>
    <w:rsid w:val="00564484"/>
    <w:rsid w:val="00567509"/>
    <w:rsid w:val="00571423"/>
    <w:rsid w:val="00582CD8"/>
    <w:rsid w:val="0059506A"/>
    <w:rsid w:val="00595440"/>
    <w:rsid w:val="005B1073"/>
    <w:rsid w:val="005B4379"/>
    <w:rsid w:val="005C0261"/>
    <w:rsid w:val="005F0C32"/>
    <w:rsid w:val="005F0D45"/>
    <w:rsid w:val="005F659B"/>
    <w:rsid w:val="005F6F2D"/>
    <w:rsid w:val="0060385F"/>
    <w:rsid w:val="006253FB"/>
    <w:rsid w:val="006422D5"/>
    <w:rsid w:val="00643284"/>
    <w:rsid w:val="00650AF2"/>
    <w:rsid w:val="006539C9"/>
    <w:rsid w:val="00655B19"/>
    <w:rsid w:val="00672D17"/>
    <w:rsid w:val="00674502"/>
    <w:rsid w:val="00676751"/>
    <w:rsid w:val="00676817"/>
    <w:rsid w:val="00676E95"/>
    <w:rsid w:val="006773E5"/>
    <w:rsid w:val="006826C5"/>
    <w:rsid w:val="0069027E"/>
    <w:rsid w:val="00690843"/>
    <w:rsid w:val="00692368"/>
    <w:rsid w:val="006B4F76"/>
    <w:rsid w:val="006D05F2"/>
    <w:rsid w:val="006D2615"/>
    <w:rsid w:val="006D4B2A"/>
    <w:rsid w:val="006E48ED"/>
    <w:rsid w:val="006F262D"/>
    <w:rsid w:val="006F79B1"/>
    <w:rsid w:val="006F7F52"/>
    <w:rsid w:val="00700A03"/>
    <w:rsid w:val="007244D1"/>
    <w:rsid w:val="00727658"/>
    <w:rsid w:val="00734D9B"/>
    <w:rsid w:val="007403C2"/>
    <w:rsid w:val="007438F5"/>
    <w:rsid w:val="00745FE1"/>
    <w:rsid w:val="00746E27"/>
    <w:rsid w:val="00756FFF"/>
    <w:rsid w:val="00760841"/>
    <w:rsid w:val="00792DBA"/>
    <w:rsid w:val="00793DB4"/>
    <w:rsid w:val="007B0837"/>
    <w:rsid w:val="007B0DBB"/>
    <w:rsid w:val="007B49D8"/>
    <w:rsid w:val="007B69CE"/>
    <w:rsid w:val="007C6B1F"/>
    <w:rsid w:val="007D6643"/>
    <w:rsid w:val="007E2D1F"/>
    <w:rsid w:val="007F0C9F"/>
    <w:rsid w:val="007F1EAC"/>
    <w:rsid w:val="007F4FF9"/>
    <w:rsid w:val="007F5EE7"/>
    <w:rsid w:val="007F6F94"/>
    <w:rsid w:val="00802919"/>
    <w:rsid w:val="00805B61"/>
    <w:rsid w:val="00821A92"/>
    <w:rsid w:val="00826EAF"/>
    <w:rsid w:val="00844AFD"/>
    <w:rsid w:val="0085437D"/>
    <w:rsid w:val="008605CF"/>
    <w:rsid w:val="00862464"/>
    <w:rsid w:val="00876810"/>
    <w:rsid w:val="00882CF9"/>
    <w:rsid w:val="00883BB5"/>
    <w:rsid w:val="00890339"/>
    <w:rsid w:val="0089738C"/>
    <w:rsid w:val="008B65EE"/>
    <w:rsid w:val="008C0782"/>
    <w:rsid w:val="008C22D3"/>
    <w:rsid w:val="008C258A"/>
    <w:rsid w:val="008C6F9E"/>
    <w:rsid w:val="008D041F"/>
    <w:rsid w:val="008D6FD4"/>
    <w:rsid w:val="008E077F"/>
    <w:rsid w:val="008F03F5"/>
    <w:rsid w:val="008F633F"/>
    <w:rsid w:val="009062E7"/>
    <w:rsid w:val="00907A1A"/>
    <w:rsid w:val="00911087"/>
    <w:rsid w:val="00930862"/>
    <w:rsid w:val="009356A3"/>
    <w:rsid w:val="0094021F"/>
    <w:rsid w:val="00946E14"/>
    <w:rsid w:val="00955515"/>
    <w:rsid w:val="0096711C"/>
    <w:rsid w:val="00982D5E"/>
    <w:rsid w:val="009A3A50"/>
    <w:rsid w:val="009B2CC6"/>
    <w:rsid w:val="009D3354"/>
    <w:rsid w:val="009E434D"/>
    <w:rsid w:val="009F1830"/>
    <w:rsid w:val="009F1C4B"/>
    <w:rsid w:val="009F6ADB"/>
    <w:rsid w:val="009F72A1"/>
    <w:rsid w:val="00A00DC5"/>
    <w:rsid w:val="00A07865"/>
    <w:rsid w:val="00A07B60"/>
    <w:rsid w:val="00A07DDD"/>
    <w:rsid w:val="00A10BD9"/>
    <w:rsid w:val="00A14AF3"/>
    <w:rsid w:val="00A22D9C"/>
    <w:rsid w:val="00A23F46"/>
    <w:rsid w:val="00A37544"/>
    <w:rsid w:val="00A37E71"/>
    <w:rsid w:val="00A402ED"/>
    <w:rsid w:val="00A41CC8"/>
    <w:rsid w:val="00A427AC"/>
    <w:rsid w:val="00A44D00"/>
    <w:rsid w:val="00A46561"/>
    <w:rsid w:val="00A50404"/>
    <w:rsid w:val="00A56232"/>
    <w:rsid w:val="00A62EA1"/>
    <w:rsid w:val="00A97DFF"/>
    <w:rsid w:val="00AB43D7"/>
    <w:rsid w:val="00AD74B1"/>
    <w:rsid w:val="00AE0270"/>
    <w:rsid w:val="00B207AC"/>
    <w:rsid w:val="00B228F1"/>
    <w:rsid w:val="00B231B1"/>
    <w:rsid w:val="00B24540"/>
    <w:rsid w:val="00B25B93"/>
    <w:rsid w:val="00B321B4"/>
    <w:rsid w:val="00B50E38"/>
    <w:rsid w:val="00B56159"/>
    <w:rsid w:val="00B60B06"/>
    <w:rsid w:val="00B73D2C"/>
    <w:rsid w:val="00B80C4A"/>
    <w:rsid w:val="00B83072"/>
    <w:rsid w:val="00B84A4F"/>
    <w:rsid w:val="00B94237"/>
    <w:rsid w:val="00BA0462"/>
    <w:rsid w:val="00BA05EB"/>
    <w:rsid w:val="00BA2207"/>
    <w:rsid w:val="00BA236C"/>
    <w:rsid w:val="00BA284C"/>
    <w:rsid w:val="00BA40F5"/>
    <w:rsid w:val="00BA51EE"/>
    <w:rsid w:val="00BB0E58"/>
    <w:rsid w:val="00BD4282"/>
    <w:rsid w:val="00BD58D1"/>
    <w:rsid w:val="00BE0B88"/>
    <w:rsid w:val="00BE2CA6"/>
    <w:rsid w:val="00BF07E7"/>
    <w:rsid w:val="00BF37F0"/>
    <w:rsid w:val="00BF48D5"/>
    <w:rsid w:val="00C0579B"/>
    <w:rsid w:val="00C07FAC"/>
    <w:rsid w:val="00C14F0F"/>
    <w:rsid w:val="00C25DF5"/>
    <w:rsid w:val="00C27268"/>
    <w:rsid w:val="00C372F6"/>
    <w:rsid w:val="00C52ADD"/>
    <w:rsid w:val="00C72B24"/>
    <w:rsid w:val="00C9342F"/>
    <w:rsid w:val="00CA0EFC"/>
    <w:rsid w:val="00CA663B"/>
    <w:rsid w:val="00CA6E2E"/>
    <w:rsid w:val="00CB17FD"/>
    <w:rsid w:val="00CB22AF"/>
    <w:rsid w:val="00CB327A"/>
    <w:rsid w:val="00CB7129"/>
    <w:rsid w:val="00CC1741"/>
    <w:rsid w:val="00CC4531"/>
    <w:rsid w:val="00CC7740"/>
    <w:rsid w:val="00CE348B"/>
    <w:rsid w:val="00CE4F5D"/>
    <w:rsid w:val="00CE693C"/>
    <w:rsid w:val="00CF258C"/>
    <w:rsid w:val="00CF2898"/>
    <w:rsid w:val="00CF4F5C"/>
    <w:rsid w:val="00CF5FFA"/>
    <w:rsid w:val="00D022E5"/>
    <w:rsid w:val="00D04DB0"/>
    <w:rsid w:val="00D1225B"/>
    <w:rsid w:val="00D22918"/>
    <w:rsid w:val="00D22CE8"/>
    <w:rsid w:val="00D23841"/>
    <w:rsid w:val="00D26522"/>
    <w:rsid w:val="00D2744A"/>
    <w:rsid w:val="00D44521"/>
    <w:rsid w:val="00D45968"/>
    <w:rsid w:val="00D466F1"/>
    <w:rsid w:val="00D64DDB"/>
    <w:rsid w:val="00D700E5"/>
    <w:rsid w:val="00D823D4"/>
    <w:rsid w:val="00DA0A68"/>
    <w:rsid w:val="00DA4ACE"/>
    <w:rsid w:val="00DA576C"/>
    <w:rsid w:val="00DB2D57"/>
    <w:rsid w:val="00DB37CC"/>
    <w:rsid w:val="00DB3CBF"/>
    <w:rsid w:val="00DB44A1"/>
    <w:rsid w:val="00DB59FE"/>
    <w:rsid w:val="00DB61DB"/>
    <w:rsid w:val="00DB7570"/>
    <w:rsid w:val="00DC7849"/>
    <w:rsid w:val="00DE3A98"/>
    <w:rsid w:val="00DE7AF5"/>
    <w:rsid w:val="00DF163B"/>
    <w:rsid w:val="00E04D6D"/>
    <w:rsid w:val="00E1129D"/>
    <w:rsid w:val="00E13121"/>
    <w:rsid w:val="00E35445"/>
    <w:rsid w:val="00E42181"/>
    <w:rsid w:val="00E44391"/>
    <w:rsid w:val="00E51F3B"/>
    <w:rsid w:val="00E5493C"/>
    <w:rsid w:val="00E54F9C"/>
    <w:rsid w:val="00E80B4A"/>
    <w:rsid w:val="00E82D2D"/>
    <w:rsid w:val="00E87367"/>
    <w:rsid w:val="00E90795"/>
    <w:rsid w:val="00E926E2"/>
    <w:rsid w:val="00E94B13"/>
    <w:rsid w:val="00EA70CC"/>
    <w:rsid w:val="00EA7F7A"/>
    <w:rsid w:val="00EE182C"/>
    <w:rsid w:val="00EE7AC4"/>
    <w:rsid w:val="00EF2CC4"/>
    <w:rsid w:val="00EF3E79"/>
    <w:rsid w:val="00EF60EC"/>
    <w:rsid w:val="00EF6D5D"/>
    <w:rsid w:val="00F009D8"/>
    <w:rsid w:val="00F014A2"/>
    <w:rsid w:val="00F06B35"/>
    <w:rsid w:val="00F07896"/>
    <w:rsid w:val="00F1060F"/>
    <w:rsid w:val="00F1568B"/>
    <w:rsid w:val="00F16E63"/>
    <w:rsid w:val="00F20565"/>
    <w:rsid w:val="00F20E7B"/>
    <w:rsid w:val="00F25D5E"/>
    <w:rsid w:val="00F314D3"/>
    <w:rsid w:val="00F3603B"/>
    <w:rsid w:val="00F36206"/>
    <w:rsid w:val="00F45E3C"/>
    <w:rsid w:val="00F4698F"/>
    <w:rsid w:val="00F56F9A"/>
    <w:rsid w:val="00F77F48"/>
    <w:rsid w:val="00F85F87"/>
    <w:rsid w:val="00F91381"/>
    <w:rsid w:val="00F9221D"/>
    <w:rsid w:val="00F956D6"/>
    <w:rsid w:val="00F9579B"/>
    <w:rsid w:val="00F959F7"/>
    <w:rsid w:val="00F961C5"/>
    <w:rsid w:val="00FA03E2"/>
    <w:rsid w:val="00FA2790"/>
    <w:rsid w:val="00FA3841"/>
    <w:rsid w:val="00FA5806"/>
    <w:rsid w:val="00FB1DBA"/>
    <w:rsid w:val="00FB27C5"/>
    <w:rsid w:val="00FB3415"/>
    <w:rsid w:val="00FB508C"/>
    <w:rsid w:val="00FC3AA9"/>
    <w:rsid w:val="00FC4372"/>
    <w:rsid w:val="00FC4664"/>
    <w:rsid w:val="00FE560D"/>
    <w:rsid w:val="00FE7AC8"/>
    <w:rsid w:val="00FF2CB8"/>
    <w:rsid w:val="00FF323A"/>
    <w:rsid w:val="00FF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C6BA"/>
  <w15:docId w15:val="{896BCE09-1415-4362-AC6B-28BE4787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D7C"/>
    <w:pPr>
      <w:spacing w:after="0" w:line="240" w:lineRule="auto"/>
    </w:pPr>
    <w:rPr>
      <w:rFonts w:ascii="Times New Roman" w:eastAsia="Times New Roman" w:hAnsi="Times New Roman" w:cs="Times New Roman"/>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D7C"/>
    <w:pPr>
      <w:spacing w:after="0" w:line="240" w:lineRule="auto"/>
    </w:pPr>
  </w:style>
  <w:style w:type="character" w:styleId="PlaceholderText">
    <w:name w:val="Placeholder Text"/>
    <w:basedOn w:val="DefaultParagraphFont"/>
    <w:uiPriority w:val="99"/>
    <w:semiHidden/>
    <w:rsid w:val="003C341D"/>
    <w:rPr>
      <w:color w:val="808080"/>
    </w:rPr>
  </w:style>
  <w:style w:type="paragraph" w:styleId="BalloonText">
    <w:name w:val="Balloon Text"/>
    <w:basedOn w:val="Normal"/>
    <w:link w:val="BalloonTextChar"/>
    <w:uiPriority w:val="99"/>
    <w:semiHidden/>
    <w:unhideWhenUsed/>
    <w:rsid w:val="003C341D"/>
    <w:rPr>
      <w:rFonts w:ascii="Tahoma" w:hAnsi="Tahoma" w:cs="Tahoma"/>
      <w:sz w:val="16"/>
      <w:szCs w:val="16"/>
    </w:rPr>
  </w:style>
  <w:style w:type="character" w:customStyle="1" w:styleId="BalloonTextChar">
    <w:name w:val="Balloon Text Char"/>
    <w:basedOn w:val="DefaultParagraphFont"/>
    <w:link w:val="BalloonText"/>
    <w:uiPriority w:val="99"/>
    <w:semiHidden/>
    <w:rsid w:val="003C341D"/>
    <w:rPr>
      <w:rFonts w:ascii="Tahoma" w:eastAsia="Times New Roman" w:hAnsi="Tahoma" w:cs="Tahoma"/>
      <w:color w:val="000000"/>
      <w:sz w:val="16"/>
      <w:szCs w:val="16"/>
    </w:rPr>
  </w:style>
  <w:style w:type="paragraph" w:customStyle="1" w:styleId="Style">
    <w:name w:val="Style"/>
    <w:rsid w:val="006745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40E0"/>
    <w:pPr>
      <w:tabs>
        <w:tab w:val="center" w:pos="4680"/>
        <w:tab w:val="right" w:pos="9360"/>
      </w:tabs>
    </w:pPr>
  </w:style>
  <w:style w:type="character" w:customStyle="1" w:styleId="HeaderChar">
    <w:name w:val="Header Char"/>
    <w:basedOn w:val="DefaultParagraphFont"/>
    <w:link w:val="Header"/>
    <w:uiPriority w:val="99"/>
    <w:rsid w:val="005140E0"/>
    <w:rPr>
      <w:rFonts w:ascii="Times New Roman" w:eastAsia="Times New Roman" w:hAnsi="Times New Roman" w:cs="Times New Roman"/>
      <w:color w:val="000000"/>
      <w:sz w:val="26"/>
      <w:szCs w:val="20"/>
    </w:rPr>
  </w:style>
  <w:style w:type="paragraph" w:styleId="Footer">
    <w:name w:val="footer"/>
    <w:basedOn w:val="Normal"/>
    <w:link w:val="FooterChar"/>
    <w:uiPriority w:val="99"/>
    <w:unhideWhenUsed/>
    <w:rsid w:val="005140E0"/>
    <w:pPr>
      <w:tabs>
        <w:tab w:val="center" w:pos="4680"/>
        <w:tab w:val="right" w:pos="9360"/>
      </w:tabs>
    </w:pPr>
  </w:style>
  <w:style w:type="character" w:customStyle="1" w:styleId="FooterChar">
    <w:name w:val="Footer Char"/>
    <w:basedOn w:val="DefaultParagraphFont"/>
    <w:link w:val="Footer"/>
    <w:uiPriority w:val="99"/>
    <w:rsid w:val="005140E0"/>
    <w:rPr>
      <w:rFonts w:ascii="Times New Roman" w:eastAsia="Times New Roman" w:hAnsi="Times New Roman" w:cs="Times New Roman"/>
      <w:color w:val="000000"/>
      <w:sz w:val="26"/>
      <w:szCs w:val="20"/>
    </w:rPr>
  </w:style>
  <w:style w:type="table" w:styleId="TableGrid">
    <w:name w:val="Table Grid"/>
    <w:basedOn w:val="TableNormal"/>
    <w:uiPriority w:val="59"/>
    <w:rsid w:val="00CF5F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94021F"/>
    <w:rPr>
      <w:rFonts w:ascii="Times New Roman" w:hAnsi="Times New Roman"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C9C18-B41B-440F-B51D-0DBE6CE3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981</Words>
  <Characters>5598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debuckley</dc:creator>
  <cp:lastModifiedBy>Williams, Bobbie Jo</cp:lastModifiedBy>
  <cp:revision>2</cp:revision>
  <cp:lastPrinted>2011-02-04T15:54:00Z</cp:lastPrinted>
  <dcterms:created xsi:type="dcterms:W3CDTF">2022-06-13T12:09:00Z</dcterms:created>
  <dcterms:modified xsi:type="dcterms:W3CDTF">2022-06-13T12:09:00Z</dcterms:modified>
</cp:coreProperties>
</file>