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9E5B" w14:textId="77777777" w:rsidR="00C626F1" w:rsidRPr="00C626F1" w:rsidRDefault="00C626F1" w:rsidP="00C626F1">
      <w:pPr>
        <w:spacing w:after="0" w:line="240" w:lineRule="auto"/>
        <w:jc w:val="center"/>
        <w:rPr>
          <w:rFonts w:ascii="Times New Roman" w:eastAsia="Calibri" w:hAnsi="Times New Roman" w:cs="Times New Roman"/>
          <w:b/>
          <w:sz w:val="24"/>
        </w:rPr>
      </w:pPr>
      <w:bookmarkStart w:id="0" w:name="_Hlk6482673"/>
      <w:r w:rsidRPr="00C626F1">
        <w:rPr>
          <w:rFonts w:ascii="Times New Roman" w:eastAsia="Calibri" w:hAnsi="Times New Roman" w:cs="Times New Roman"/>
          <w:b/>
          <w:sz w:val="24"/>
        </w:rPr>
        <w:t>BEFORE</w:t>
      </w:r>
    </w:p>
    <w:p w14:paraId="68AFF780" w14:textId="77777777" w:rsidR="00C626F1" w:rsidRPr="00C626F1" w:rsidRDefault="00C626F1" w:rsidP="00C626F1">
      <w:pPr>
        <w:spacing w:after="0" w:line="240" w:lineRule="auto"/>
        <w:jc w:val="center"/>
        <w:rPr>
          <w:rFonts w:ascii="Times New Roman" w:eastAsia="Calibri" w:hAnsi="Times New Roman" w:cs="Times New Roman"/>
          <w:b/>
          <w:sz w:val="24"/>
        </w:rPr>
      </w:pPr>
      <w:r w:rsidRPr="00C626F1">
        <w:rPr>
          <w:rFonts w:ascii="Times New Roman" w:eastAsia="Calibri" w:hAnsi="Times New Roman" w:cs="Times New Roman"/>
          <w:b/>
          <w:sz w:val="24"/>
        </w:rPr>
        <w:t>THE PENNSYLVANIA PUBLIC UTILITY COMMISSION</w:t>
      </w:r>
    </w:p>
    <w:p w14:paraId="41B6DFAA" w14:textId="77777777" w:rsidR="00C626F1" w:rsidRPr="00C626F1" w:rsidRDefault="00C626F1" w:rsidP="00C626F1">
      <w:pPr>
        <w:spacing w:after="0" w:line="240" w:lineRule="auto"/>
        <w:rPr>
          <w:rFonts w:ascii="Times New Roman" w:eastAsia="Calibri" w:hAnsi="Times New Roman" w:cs="Times New Roman"/>
          <w:bCs/>
          <w:sz w:val="24"/>
        </w:rPr>
      </w:pPr>
    </w:p>
    <w:p w14:paraId="1FAF4165" w14:textId="77777777" w:rsidR="00C626F1" w:rsidRPr="00C626F1" w:rsidRDefault="00C626F1" w:rsidP="00C626F1">
      <w:pPr>
        <w:spacing w:after="0" w:line="240" w:lineRule="auto"/>
        <w:rPr>
          <w:rFonts w:ascii="Times New Roman" w:eastAsia="Calibri" w:hAnsi="Times New Roman" w:cs="Times New Roman"/>
          <w:bCs/>
          <w:sz w:val="24"/>
        </w:rPr>
      </w:pPr>
    </w:p>
    <w:p w14:paraId="216C81DB" w14:textId="77777777" w:rsidR="00C626F1" w:rsidRPr="00C626F1" w:rsidRDefault="00C626F1" w:rsidP="00C626F1">
      <w:pPr>
        <w:spacing w:after="0" w:line="240" w:lineRule="auto"/>
        <w:rPr>
          <w:rFonts w:ascii="Times New Roman" w:eastAsia="Calibri" w:hAnsi="Times New Roman" w:cs="Times New Roman"/>
          <w:bCs/>
          <w:sz w:val="24"/>
        </w:rPr>
      </w:pPr>
    </w:p>
    <w:p w14:paraId="5ABE70F2" w14:textId="77777777" w:rsidR="00C626F1" w:rsidRPr="00C626F1" w:rsidRDefault="00C626F1" w:rsidP="00C626F1">
      <w:pPr>
        <w:spacing w:after="0" w:line="240" w:lineRule="auto"/>
        <w:rPr>
          <w:rFonts w:ascii="Times New Roman" w:eastAsia="Calibri" w:hAnsi="Times New Roman" w:cs="Times New Roman"/>
          <w:bCs/>
          <w:sz w:val="24"/>
        </w:rPr>
      </w:pPr>
      <w:r w:rsidRPr="00C626F1">
        <w:rPr>
          <w:rFonts w:ascii="Times New Roman" w:eastAsia="Calibri" w:hAnsi="Times New Roman" w:cs="Times New Roman"/>
          <w:bCs/>
          <w:sz w:val="24"/>
        </w:rPr>
        <w:t>Petition of Duquesne Light Company for</w:t>
      </w:r>
      <w:r w:rsidRPr="00C626F1">
        <w:rPr>
          <w:rFonts w:ascii="Times New Roman" w:eastAsia="Calibri" w:hAnsi="Times New Roman" w:cs="Times New Roman"/>
          <w:bCs/>
          <w:sz w:val="24"/>
        </w:rPr>
        <w:tab/>
      </w:r>
      <w:r w:rsidRPr="00C626F1">
        <w:rPr>
          <w:rFonts w:ascii="Times New Roman" w:eastAsia="Calibri" w:hAnsi="Times New Roman" w:cs="Times New Roman"/>
          <w:bCs/>
          <w:sz w:val="24"/>
        </w:rPr>
        <w:tab/>
        <w:t>:</w:t>
      </w:r>
    </w:p>
    <w:p w14:paraId="56FFCB34" w14:textId="77777777" w:rsidR="00C626F1" w:rsidRPr="00C626F1" w:rsidRDefault="00C626F1" w:rsidP="00C626F1">
      <w:pPr>
        <w:spacing w:after="0" w:line="240" w:lineRule="auto"/>
        <w:rPr>
          <w:rFonts w:ascii="Times New Roman" w:eastAsia="Calibri" w:hAnsi="Times New Roman" w:cs="Times New Roman"/>
          <w:bCs/>
          <w:sz w:val="24"/>
        </w:rPr>
      </w:pPr>
      <w:r w:rsidRPr="00C626F1">
        <w:rPr>
          <w:rFonts w:ascii="Times New Roman" w:eastAsia="Calibri" w:hAnsi="Times New Roman" w:cs="Times New Roman"/>
          <w:bCs/>
          <w:sz w:val="24"/>
        </w:rPr>
        <w:t>Finding that an Electrical Equipment</w:t>
      </w:r>
      <w:r w:rsidRPr="00C626F1">
        <w:rPr>
          <w:rFonts w:ascii="Times New Roman" w:eastAsia="Calibri" w:hAnsi="Times New Roman" w:cs="Times New Roman"/>
          <w:bCs/>
          <w:sz w:val="24"/>
        </w:rPr>
        <w:tab/>
      </w:r>
      <w:r w:rsidRPr="00C626F1">
        <w:rPr>
          <w:rFonts w:ascii="Times New Roman" w:eastAsia="Calibri" w:hAnsi="Times New Roman" w:cs="Times New Roman"/>
          <w:bCs/>
          <w:sz w:val="24"/>
        </w:rPr>
        <w:tab/>
      </w:r>
      <w:r w:rsidRPr="00C626F1">
        <w:rPr>
          <w:rFonts w:ascii="Times New Roman" w:eastAsia="Calibri" w:hAnsi="Times New Roman" w:cs="Times New Roman"/>
          <w:bCs/>
          <w:sz w:val="24"/>
        </w:rPr>
        <w:tab/>
        <w:t>:</w:t>
      </w:r>
    </w:p>
    <w:p w14:paraId="2E237B2F" w14:textId="77777777" w:rsidR="00C626F1" w:rsidRPr="00C626F1" w:rsidRDefault="00C626F1" w:rsidP="00C626F1">
      <w:pPr>
        <w:spacing w:after="0" w:line="240" w:lineRule="auto"/>
        <w:rPr>
          <w:rFonts w:ascii="Times New Roman" w:eastAsia="Calibri" w:hAnsi="Times New Roman" w:cs="Times New Roman"/>
          <w:bCs/>
          <w:sz w:val="24"/>
        </w:rPr>
      </w:pPr>
      <w:r w:rsidRPr="00C626F1">
        <w:rPr>
          <w:rFonts w:ascii="Times New Roman" w:eastAsia="Calibri" w:hAnsi="Times New Roman" w:cs="Times New Roman"/>
          <w:bCs/>
          <w:sz w:val="24"/>
        </w:rPr>
        <w:t>Building at the Proposed Watson Substation</w:t>
      </w:r>
      <w:r w:rsidRPr="00C626F1">
        <w:rPr>
          <w:rFonts w:ascii="Times New Roman" w:eastAsia="Calibri" w:hAnsi="Times New Roman" w:cs="Times New Roman"/>
          <w:bCs/>
          <w:sz w:val="24"/>
        </w:rPr>
        <w:tab/>
      </w:r>
      <w:r w:rsidRPr="00C626F1">
        <w:rPr>
          <w:rFonts w:ascii="Times New Roman" w:eastAsia="Calibri" w:hAnsi="Times New Roman" w:cs="Times New Roman"/>
          <w:bCs/>
          <w:sz w:val="24"/>
        </w:rPr>
        <w:tab/>
        <w:t>:</w:t>
      </w:r>
      <w:r w:rsidRPr="00C626F1">
        <w:rPr>
          <w:rFonts w:ascii="Times New Roman" w:eastAsia="Calibri" w:hAnsi="Times New Roman" w:cs="Times New Roman"/>
          <w:bCs/>
          <w:sz w:val="24"/>
        </w:rPr>
        <w:tab/>
      </w:r>
      <w:r w:rsidRPr="00C626F1">
        <w:rPr>
          <w:rFonts w:ascii="Times New Roman" w:eastAsia="Calibri" w:hAnsi="Times New Roman" w:cs="Times New Roman"/>
          <w:bCs/>
          <w:sz w:val="24"/>
        </w:rPr>
        <w:tab/>
        <w:t>P-2022-3032356</w:t>
      </w:r>
    </w:p>
    <w:p w14:paraId="22398621" w14:textId="77777777" w:rsidR="00C626F1" w:rsidRPr="00C626F1" w:rsidRDefault="00C626F1" w:rsidP="00C626F1">
      <w:pPr>
        <w:spacing w:after="0" w:line="240" w:lineRule="auto"/>
        <w:rPr>
          <w:rFonts w:ascii="Times New Roman" w:eastAsia="Calibri" w:hAnsi="Times New Roman" w:cs="Times New Roman"/>
          <w:bCs/>
          <w:sz w:val="24"/>
        </w:rPr>
      </w:pPr>
      <w:r w:rsidRPr="00C626F1">
        <w:rPr>
          <w:rFonts w:ascii="Times New Roman" w:eastAsia="Calibri" w:hAnsi="Times New Roman" w:cs="Times New Roman"/>
          <w:bCs/>
          <w:sz w:val="24"/>
        </w:rPr>
        <w:t>in Allegheny County, Pennsylvania is</w:t>
      </w:r>
      <w:r w:rsidRPr="00C626F1">
        <w:rPr>
          <w:rFonts w:ascii="Times New Roman" w:eastAsia="Calibri" w:hAnsi="Times New Roman" w:cs="Times New Roman"/>
          <w:bCs/>
          <w:sz w:val="24"/>
        </w:rPr>
        <w:tab/>
      </w:r>
      <w:r w:rsidRPr="00C626F1">
        <w:rPr>
          <w:rFonts w:ascii="Times New Roman" w:eastAsia="Calibri" w:hAnsi="Times New Roman" w:cs="Times New Roman"/>
          <w:bCs/>
          <w:sz w:val="24"/>
        </w:rPr>
        <w:tab/>
        <w:t>:</w:t>
      </w:r>
    </w:p>
    <w:p w14:paraId="13DB617B" w14:textId="77777777" w:rsidR="00C626F1" w:rsidRPr="00C626F1" w:rsidRDefault="00C626F1" w:rsidP="00C626F1">
      <w:pPr>
        <w:spacing w:after="0" w:line="240" w:lineRule="auto"/>
        <w:rPr>
          <w:rFonts w:ascii="Times New Roman" w:eastAsia="Calibri" w:hAnsi="Times New Roman" w:cs="Times New Roman"/>
          <w:bCs/>
          <w:sz w:val="24"/>
        </w:rPr>
      </w:pPr>
      <w:r w:rsidRPr="00C626F1">
        <w:rPr>
          <w:rFonts w:ascii="Times New Roman" w:eastAsia="Calibri" w:hAnsi="Times New Roman" w:cs="Times New Roman"/>
          <w:bCs/>
          <w:sz w:val="24"/>
        </w:rPr>
        <w:t>Reasonably Necessary for the Convenience</w:t>
      </w:r>
      <w:r w:rsidRPr="00C626F1">
        <w:rPr>
          <w:rFonts w:ascii="Times New Roman" w:eastAsia="Calibri" w:hAnsi="Times New Roman" w:cs="Times New Roman"/>
          <w:bCs/>
          <w:sz w:val="24"/>
        </w:rPr>
        <w:tab/>
      </w:r>
      <w:r w:rsidRPr="00C626F1">
        <w:rPr>
          <w:rFonts w:ascii="Times New Roman" w:eastAsia="Calibri" w:hAnsi="Times New Roman" w:cs="Times New Roman"/>
          <w:bCs/>
          <w:sz w:val="24"/>
        </w:rPr>
        <w:tab/>
        <w:t>:</w:t>
      </w:r>
    </w:p>
    <w:p w14:paraId="623755B7" w14:textId="77777777" w:rsidR="00C626F1" w:rsidRPr="00C626F1" w:rsidRDefault="00C626F1" w:rsidP="00C626F1">
      <w:pPr>
        <w:spacing w:after="0" w:line="240" w:lineRule="auto"/>
        <w:rPr>
          <w:rFonts w:ascii="Times New Roman" w:eastAsia="Calibri" w:hAnsi="Times New Roman" w:cs="Times New Roman"/>
          <w:bCs/>
          <w:sz w:val="24"/>
        </w:rPr>
      </w:pPr>
      <w:r w:rsidRPr="00C626F1">
        <w:rPr>
          <w:rFonts w:ascii="Times New Roman" w:eastAsia="Calibri" w:hAnsi="Times New Roman" w:cs="Times New Roman"/>
          <w:bCs/>
          <w:sz w:val="24"/>
        </w:rPr>
        <w:t>or Welfare of the Public</w:t>
      </w:r>
      <w:r w:rsidRPr="00C626F1">
        <w:rPr>
          <w:rFonts w:ascii="Times New Roman" w:eastAsia="Calibri" w:hAnsi="Times New Roman" w:cs="Times New Roman"/>
          <w:bCs/>
          <w:sz w:val="24"/>
        </w:rPr>
        <w:tab/>
      </w:r>
      <w:r w:rsidRPr="00C626F1">
        <w:rPr>
          <w:rFonts w:ascii="Times New Roman" w:eastAsia="Calibri" w:hAnsi="Times New Roman" w:cs="Times New Roman"/>
          <w:bCs/>
          <w:sz w:val="24"/>
        </w:rPr>
        <w:tab/>
      </w:r>
      <w:r w:rsidRPr="00C626F1">
        <w:rPr>
          <w:rFonts w:ascii="Times New Roman" w:eastAsia="Calibri" w:hAnsi="Times New Roman" w:cs="Times New Roman"/>
          <w:bCs/>
          <w:sz w:val="24"/>
        </w:rPr>
        <w:tab/>
      </w:r>
      <w:r w:rsidRPr="00C626F1">
        <w:rPr>
          <w:rFonts w:ascii="Times New Roman" w:eastAsia="Calibri" w:hAnsi="Times New Roman" w:cs="Times New Roman"/>
          <w:bCs/>
          <w:sz w:val="24"/>
        </w:rPr>
        <w:tab/>
        <w:t>:</w:t>
      </w:r>
    </w:p>
    <w:p w14:paraId="7FE049DC" w14:textId="77777777" w:rsidR="00C626F1" w:rsidRPr="00C626F1" w:rsidRDefault="00C626F1" w:rsidP="00C626F1">
      <w:pPr>
        <w:tabs>
          <w:tab w:val="left" w:pos="0"/>
        </w:tabs>
        <w:spacing w:after="0" w:line="240" w:lineRule="auto"/>
        <w:jc w:val="both"/>
        <w:rPr>
          <w:rFonts w:ascii="Times New Roman" w:eastAsia="Times New Roman" w:hAnsi="Times New Roman" w:cs="Times New Roman"/>
          <w:bCs/>
          <w:sz w:val="24"/>
          <w:szCs w:val="24"/>
        </w:rPr>
      </w:pPr>
    </w:p>
    <w:bookmarkEnd w:id="0"/>
    <w:p w14:paraId="5A7E6AD7" w14:textId="77777777" w:rsidR="00C626F1" w:rsidRPr="00C626F1" w:rsidRDefault="00C626F1" w:rsidP="00C626F1">
      <w:pPr>
        <w:tabs>
          <w:tab w:val="left" w:pos="0"/>
        </w:tabs>
        <w:spacing w:after="0" w:line="240" w:lineRule="auto"/>
        <w:jc w:val="both"/>
        <w:rPr>
          <w:rFonts w:ascii="Times New Roman" w:eastAsia="Times New Roman" w:hAnsi="Times New Roman" w:cs="Times New Roman"/>
          <w:sz w:val="24"/>
          <w:szCs w:val="24"/>
        </w:rPr>
      </w:pPr>
    </w:p>
    <w:p w14:paraId="3ED5A5ED" w14:textId="77777777" w:rsidR="00C626F1" w:rsidRPr="00C626F1" w:rsidRDefault="00C626F1" w:rsidP="00C626F1">
      <w:pPr>
        <w:tabs>
          <w:tab w:val="left" w:pos="0"/>
        </w:tabs>
        <w:spacing w:after="0" w:line="240" w:lineRule="auto"/>
        <w:jc w:val="both"/>
        <w:rPr>
          <w:rFonts w:ascii="Times New Roman" w:eastAsia="Times New Roman" w:hAnsi="Times New Roman" w:cs="Times New Roman"/>
          <w:sz w:val="24"/>
          <w:szCs w:val="24"/>
        </w:rPr>
      </w:pPr>
    </w:p>
    <w:p w14:paraId="254B5D8D" w14:textId="77777777" w:rsidR="00C626F1" w:rsidRPr="00C626F1" w:rsidRDefault="00C626F1" w:rsidP="00C626F1">
      <w:pPr>
        <w:spacing w:after="0" w:line="240" w:lineRule="auto"/>
        <w:jc w:val="center"/>
        <w:rPr>
          <w:rFonts w:ascii="Times New Roman" w:eastAsia="Calibri" w:hAnsi="Times New Roman" w:cs="Times New Roman"/>
          <w:b/>
          <w:sz w:val="24"/>
        </w:rPr>
      </w:pPr>
      <w:r w:rsidRPr="00C626F1">
        <w:rPr>
          <w:rFonts w:ascii="Times New Roman" w:eastAsia="Calibri" w:hAnsi="Times New Roman" w:cs="Times New Roman"/>
          <w:b/>
          <w:sz w:val="24"/>
        </w:rPr>
        <w:t>INTERIM ORDER</w:t>
      </w:r>
    </w:p>
    <w:p w14:paraId="5750A5A4" w14:textId="77777777" w:rsidR="00C626F1" w:rsidRPr="00C626F1" w:rsidRDefault="00C626F1" w:rsidP="00C626F1">
      <w:pPr>
        <w:spacing w:after="0" w:line="240" w:lineRule="auto"/>
        <w:jc w:val="center"/>
        <w:rPr>
          <w:rFonts w:ascii="Times New Roman" w:eastAsia="Calibri" w:hAnsi="Times New Roman" w:cs="Times New Roman"/>
          <w:b/>
          <w:sz w:val="24"/>
          <w:u w:val="single"/>
        </w:rPr>
      </w:pPr>
      <w:r w:rsidRPr="00C626F1">
        <w:rPr>
          <w:rFonts w:ascii="Times New Roman" w:eastAsia="Calibri" w:hAnsi="Times New Roman" w:cs="Times New Roman"/>
          <w:b/>
          <w:sz w:val="24"/>
          <w:u w:val="single"/>
        </w:rPr>
        <w:t>REASSIGNING PETITION</w:t>
      </w:r>
    </w:p>
    <w:p w14:paraId="4BEF5FFE" w14:textId="77777777" w:rsidR="00C626F1" w:rsidRPr="00C626F1" w:rsidRDefault="00C626F1" w:rsidP="00C626F1">
      <w:pPr>
        <w:spacing w:after="0" w:line="360" w:lineRule="auto"/>
        <w:ind w:firstLine="1440"/>
        <w:jc w:val="center"/>
        <w:rPr>
          <w:rFonts w:ascii="Times New Roman" w:eastAsia="Calibri" w:hAnsi="Times New Roman" w:cs="Times New Roman"/>
          <w:b/>
          <w:sz w:val="24"/>
          <w:u w:val="single"/>
        </w:rPr>
      </w:pPr>
    </w:p>
    <w:p w14:paraId="39425DD4" w14:textId="77777777" w:rsidR="00C626F1" w:rsidRPr="00C626F1" w:rsidRDefault="00C626F1" w:rsidP="00C626F1">
      <w:pPr>
        <w:spacing w:after="0" w:line="360" w:lineRule="auto"/>
        <w:ind w:firstLine="1440"/>
        <w:rPr>
          <w:rFonts w:ascii="Times New Roman" w:eastAsia="Calibri" w:hAnsi="Times New Roman" w:cs="Times New Roman"/>
          <w:sz w:val="24"/>
        </w:rPr>
      </w:pPr>
      <w:r w:rsidRPr="00C626F1">
        <w:rPr>
          <w:rFonts w:ascii="Times New Roman" w:eastAsia="Calibri" w:hAnsi="Times New Roman" w:cs="Times New Roman"/>
          <w:sz w:val="24"/>
        </w:rPr>
        <w:t>On May 2, 2022, Duquesne Light Company (Duquesne Light) filed a petition for a finding that a building to shelter electrical equipment at the proposed Watson Substation site in Allegheny County is reasonably necessary for the convenience of the public and therefore exempt from any local zoning ordinance.  53 P.S. § 10619.  According to Duquesne Light, the Watson Substation and the proposed building on the site are necessary to serve Duquesne Light’s customers by improving capacity, reliability, and resiliency to Pittsburgh’s Uptown and surrounding neighborhood.</w:t>
      </w:r>
    </w:p>
    <w:p w14:paraId="42165D97" w14:textId="77777777" w:rsidR="00C626F1" w:rsidRPr="00C626F1" w:rsidRDefault="00C626F1" w:rsidP="00C626F1">
      <w:pPr>
        <w:spacing w:after="0" w:line="360" w:lineRule="auto"/>
        <w:ind w:firstLine="1440"/>
        <w:rPr>
          <w:rFonts w:ascii="Times New Roman" w:eastAsia="Calibri" w:hAnsi="Times New Roman" w:cs="Times New Roman"/>
          <w:sz w:val="24"/>
        </w:rPr>
      </w:pPr>
    </w:p>
    <w:p w14:paraId="6F113FF2" w14:textId="77777777" w:rsidR="00C626F1" w:rsidRPr="00C626F1" w:rsidRDefault="00C626F1" w:rsidP="00C626F1">
      <w:pPr>
        <w:spacing w:after="0" w:line="360" w:lineRule="auto"/>
        <w:ind w:firstLine="1440"/>
        <w:rPr>
          <w:rFonts w:ascii="Times New Roman" w:eastAsia="Calibri" w:hAnsi="Times New Roman" w:cs="Times New Roman"/>
          <w:sz w:val="24"/>
        </w:rPr>
      </w:pPr>
      <w:r w:rsidRPr="00C626F1">
        <w:rPr>
          <w:rFonts w:ascii="Times New Roman" w:eastAsia="Calibri" w:hAnsi="Times New Roman" w:cs="Times New Roman"/>
          <w:sz w:val="24"/>
        </w:rPr>
        <w:t xml:space="preserve">On May 6, 2022, the Office of Administrative Law Judge scheduled a prehearing conference for June 22, 2022, and assigned the case to me.  Notice of the prehearing conference was published in the </w:t>
      </w:r>
      <w:r w:rsidRPr="00C626F1">
        <w:rPr>
          <w:rFonts w:ascii="Times New Roman" w:eastAsia="Calibri" w:hAnsi="Times New Roman" w:cs="Times New Roman"/>
          <w:i/>
          <w:iCs/>
          <w:sz w:val="24"/>
        </w:rPr>
        <w:t>Pennsylvania Bulletin</w:t>
      </w:r>
      <w:r w:rsidRPr="00C626F1">
        <w:rPr>
          <w:rFonts w:ascii="Times New Roman" w:eastAsia="Calibri" w:hAnsi="Times New Roman" w:cs="Times New Roman"/>
          <w:sz w:val="24"/>
        </w:rPr>
        <w:t xml:space="preserve"> on May 21, 2022.</w:t>
      </w:r>
      <w:r w:rsidRPr="00C626F1">
        <w:rPr>
          <w:rFonts w:ascii="Times New Roman" w:eastAsia="Calibri" w:hAnsi="Times New Roman" w:cs="Times New Roman"/>
          <w:sz w:val="24"/>
          <w:vertAlign w:val="superscript"/>
        </w:rPr>
        <w:footnoteReference w:id="1"/>
      </w:r>
      <w:r w:rsidRPr="00C626F1">
        <w:rPr>
          <w:rFonts w:ascii="Times New Roman" w:eastAsia="Calibri" w:hAnsi="Times New Roman" w:cs="Times New Roman"/>
          <w:sz w:val="24"/>
        </w:rPr>
        <w:t xml:space="preserve">  The public notice in the </w:t>
      </w:r>
      <w:r w:rsidRPr="00C626F1">
        <w:rPr>
          <w:rFonts w:ascii="Times New Roman" w:eastAsia="Calibri" w:hAnsi="Times New Roman" w:cs="Times New Roman"/>
          <w:i/>
          <w:iCs/>
          <w:sz w:val="24"/>
        </w:rPr>
        <w:t>Pennsylvania Bulletin</w:t>
      </w:r>
      <w:r w:rsidRPr="00C626F1">
        <w:rPr>
          <w:rFonts w:ascii="Times New Roman" w:eastAsia="Calibri" w:hAnsi="Times New Roman" w:cs="Times New Roman"/>
          <w:sz w:val="24"/>
        </w:rPr>
        <w:t xml:space="preserve"> noted that any protests to the petition were due on or before June 6, 2022.  Duquesne Light published notice of the prehearing conference and protest deadline in the </w:t>
      </w:r>
      <w:r w:rsidRPr="00C626F1">
        <w:rPr>
          <w:rFonts w:ascii="Times New Roman" w:eastAsia="Calibri" w:hAnsi="Times New Roman" w:cs="Times New Roman"/>
          <w:i/>
          <w:iCs/>
          <w:sz w:val="24"/>
        </w:rPr>
        <w:t>Pittsburgh Post-Gazette</w:t>
      </w:r>
      <w:r w:rsidRPr="00C626F1">
        <w:rPr>
          <w:rFonts w:ascii="Times New Roman" w:eastAsia="Calibri" w:hAnsi="Times New Roman" w:cs="Times New Roman"/>
          <w:sz w:val="24"/>
        </w:rPr>
        <w:t xml:space="preserve"> and filed proof of publication with the Commission’s Secretary on June 13, 2022.</w:t>
      </w:r>
    </w:p>
    <w:p w14:paraId="03CF1BCE" w14:textId="77777777" w:rsidR="00C626F1" w:rsidRPr="00C626F1" w:rsidRDefault="00C626F1" w:rsidP="00C626F1">
      <w:pPr>
        <w:spacing w:after="0" w:line="360" w:lineRule="auto"/>
        <w:ind w:firstLine="1440"/>
        <w:rPr>
          <w:rFonts w:ascii="Times New Roman" w:eastAsia="Calibri" w:hAnsi="Times New Roman" w:cs="Times New Roman"/>
          <w:sz w:val="24"/>
        </w:rPr>
      </w:pPr>
    </w:p>
    <w:p w14:paraId="3B6A6F19" w14:textId="65924932" w:rsidR="00C626F1" w:rsidRPr="00C626F1" w:rsidRDefault="00C626F1" w:rsidP="00C626F1">
      <w:pPr>
        <w:spacing w:after="0" w:line="360" w:lineRule="auto"/>
        <w:ind w:firstLine="1440"/>
        <w:rPr>
          <w:rFonts w:ascii="Times New Roman" w:eastAsia="Calibri" w:hAnsi="Times New Roman" w:cs="Times New Roman"/>
          <w:sz w:val="24"/>
        </w:rPr>
      </w:pPr>
      <w:r w:rsidRPr="00C626F1">
        <w:rPr>
          <w:rFonts w:ascii="Times New Roman" w:eastAsia="Calibri" w:hAnsi="Times New Roman" w:cs="Times New Roman"/>
          <w:sz w:val="24"/>
        </w:rPr>
        <w:t xml:space="preserve">On May 10, 2022, I issued a prehearing conference order.  The prehearing conference order included the deadline for protests and explained the various options for </w:t>
      </w:r>
      <w:r w:rsidRPr="00C626F1">
        <w:rPr>
          <w:rFonts w:ascii="Times New Roman" w:eastAsia="Calibri" w:hAnsi="Times New Roman" w:cs="Times New Roman"/>
          <w:sz w:val="24"/>
        </w:rPr>
        <w:lastRenderedPageBreak/>
        <w:t>participation that are available to interested parties.  The prehearing conference order also required parties to file a prehearing memorandum on or before Friday, June 17, 2022.</w:t>
      </w:r>
    </w:p>
    <w:p w14:paraId="7D34F3EF" w14:textId="77777777" w:rsidR="00C626F1" w:rsidRPr="00C626F1" w:rsidRDefault="00C626F1" w:rsidP="00C626F1">
      <w:pPr>
        <w:spacing w:after="0" w:line="360" w:lineRule="auto"/>
        <w:ind w:firstLine="1440"/>
        <w:rPr>
          <w:rFonts w:ascii="Times New Roman" w:eastAsia="Calibri" w:hAnsi="Times New Roman" w:cs="Times New Roman"/>
          <w:sz w:val="24"/>
        </w:rPr>
      </w:pPr>
    </w:p>
    <w:p w14:paraId="737F2091" w14:textId="7BB12D7C" w:rsidR="00C626F1" w:rsidRPr="00C626F1" w:rsidRDefault="00C626F1" w:rsidP="00C626F1">
      <w:pPr>
        <w:spacing w:after="0" w:line="360" w:lineRule="auto"/>
        <w:ind w:firstLine="1440"/>
        <w:rPr>
          <w:rFonts w:ascii="Times New Roman" w:eastAsia="Calibri" w:hAnsi="Times New Roman" w:cs="Times New Roman"/>
          <w:sz w:val="24"/>
        </w:rPr>
      </w:pPr>
      <w:r w:rsidRPr="00C626F1">
        <w:rPr>
          <w:rFonts w:ascii="Times New Roman" w:eastAsia="Calibri" w:hAnsi="Times New Roman" w:cs="Times New Roman"/>
          <w:sz w:val="24"/>
        </w:rPr>
        <w:t>Duquesne Light filed a prehearing memorandum on June 17, 2022.  Duquesne Light noted that it was not aware of any potential petitions to intervene.  I reviewed the Commission docket in this matter.  No protests were posted to the Commission’s docket as of June 22, 2022.</w:t>
      </w:r>
    </w:p>
    <w:p w14:paraId="6F11478B" w14:textId="77777777" w:rsidR="00C626F1" w:rsidRPr="00C626F1" w:rsidRDefault="00C626F1" w:rsidP="00C626F1">
      <w:pPr>
        <w:spacing w:after="0" w:line="360" w:lineRule="auto"/>
        <w:ind w:firstLine="1440"/>
        <w:rPr>
          <w:rFonts w:ascii="Times New Roman" w:eastAsia="Calibri" w:hAnsi="Times New Roman" w:cs="Times New Roman"/>
          <w:sz w:val="24"/>
        </w:rPr>
      </w:pPr>
    </w:p>
    <w:p w14:paraId="04F29CDB" w14:textId="46C9CB1E" w:rsidR="00C626F1" w:rsidRDefault="00C626F1" w:rsidP="00C626F1">
      <w:pPr>
        <w:spacing w:after="0" w:line="360" w:lineRule="auto"/>
        <w:ind w:firstLine="1440"/>
        <w:rPr>
          <w:rFonts w:ascii="Times New Roman" w:eastAsia="Calibri" w:hAnsi="Times New Roman" w:cs="Times New Roman"/>
          <w:sz w:val="24"/>
        </w:rPr>
      </w:pPr>
      <w:r w:rsidRPr="00C626F1">
        <w:rPr>
          <w:rFonts w:ascii="Times New Roman" w:eastAsia="Calibri" w:hAnsi="Times New Roman" w:cs="Times New Roman"/>
          <w:sz w:val="24"/>
        </w:rPr>
        <w:t xml:space="preserve">The prehearing conference convened as scheduled.  Emily M. Farah, Esquire appeared on behalf of Duquesne Light.  No other parties appeared.  Ms. Farah made a motion to transfer this petition to the Commission’s Bureau of Technical Utility Services for disposition.  </w:t>
      </w:r>
    </w:p>
    <w:p w14:paraId="46822633" w14:textId="77777777" w:rsidR="00C626F1" w:rsidRPr="00C626F1" w:rsidRDefault="00C626F1" w:rsidP="00C626F1">
      <w:pPr>
        <w:spacing w:after="0" w:line="360" w:lineRule="auto"/>
        <w:ind w:firstLine="1440"/>
        <w:rPr>
          <w:rFonts w:ascii="Times New Roman" w:eastAsia="Calibri" w:hAnsi="Times New Roman" w:cs="Times New Roman"/>
          <w:sz w:val="24"/>
        </w:rPr>
      </w:pPr>
    </w:p>
    <w:p w14:paraId="6A782CB0" w14:textId="77777777" w:rsidR="00C626F1" w:rsidRPr="00C626F1" w:rsidRDefault="00C626F1" w:rsidP="00C626F1">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C626F1">
        <w:rPr>
          <w:rFonts w:ascii="Times New Roman" w:eastAsia="Times New Roman" w:hAnsi="Times New Roman" w:cs="CG Times"/>
          <w:sz w:val="24"/>
          <w:szCs w:val="24"/>
        </w:rPr>
        <w:t xml:space="preserve">If no factual issue pertinent to the resolution of a case exists, a hearing is unnecessary.  66 Pa.C.S. § 703(a); </w:t>
      </w:r>
      <w:r w:rsidRPr="00C626F1">
        <w:rPr>
          <w:rFonts w:ascii="Times New Roman" w:eastAsia="Times New Roman" w:hAnsi="Times New Roman" w:cs="CG Times"/>
          <w:i/>
          <w:sz w:val="24"/>
          <w:szCs w:val="24"/>
        </w:rPr>
        <w:t>Lehigh Valley Power Committee v. Pennsylvania Pub. Util. Comm’n.</w:t>
      </w:r>
      <w:r w:rsidRPr="00C626F1">
        <w:rPr>
          <w:rFonts w:ascii="Times New Roman" w:eastAsia="Times New Roman" w:hAnsi="Times New Roman" w:cs="CG Times"/>
          <w:sz w:val="24"/>
          <w:szCs w:val="24"/>
        </w:rPr>
        <w:t>, 563 A.2d 557 (Pa.Cmwlth. 1989</w:t>
      </w:r>
      <w:r w:rsidRPr="00C626F1">
        <w:rPr>
          <w:rFonts w:ascii="Times New Roman" w:eastAsia="Times New Roman" w:hAnsi="Times New Roman" w:cs="CG Times"/>
          <w:i/>
          <w:sz w:val="24"/>
          <w:szCs w:val="24"/>
        </w:rPr>
        <w:t>); Lehigh Valley Power Committee v. Pennsylvania Pub. Util. Comm’n.,</w:t>
      </w:r>
      <w:r w:rsidRPr="00C626F1">
        <w:rPr>
          <w:rFonts w:ascii="Times New Roman" w:eastAsia="Times New Roman" w:hAnsi="Times New Roman" w:cs="CG Times"/>
          <w:sz w:val="24"/>
          <w:szCs w:val="24"/>
        </w:rPr>
        <w:t xml:space="preserve"> 563 A.2d 548 (Pa.Cmwlth. 1989); </w:t>
      </w:r>
      <w:r w:rsidRPr="00C626F1">
        <w:rPr>
          <w:rFonts w:ascii="Times New Roman" w:eastAsia="Times New Roman" w:hAnsi="Times New Roman" w:cs="CG Times"/>
          <w:i/>
          <w:sz w:val="24"/>
          <w:szCs w:val="24"/>
        </w:rPr>
        <w:t>S.M.E. Bessemer Cement, Inc. v. Pennsylvania Pub. Util. Comm’n.</w:t>
      </w:r>
      <w:r w:rsidRPr="00C626F1">
        <w:rPr>
          <w:rFonts w:ascii="Times New Roman" w:eastAsia="Times New Roman" w:hAnsi="Times New Roman" w:cs="CG Times"/>
          <w:sz w:val="24"/>
          <w:szCs w:val="24"/>
        </w:rPr>
        <w:t xml:space="preserve">, 540 A.2d 1006 (Pa.Cmwlth. 1988); </w:t>
      </w:r>
      <w:r w:rsidRPr="00C626F1">
        <w:rPr>
          <w:rFonts w:ascii="Times New Roman" w:eastAsia="Times New Roman" w:hAnsi="Times New Roman" w:cs="CG Times"/>
          <w:i/>
          <w:sz w:val="24"/>
          <w:szCs w:val="24"/>
        </w:rPr>
        <w:t>White Oak Borough Authority v. Pennsylvania Pub. Util. Comm’n.</w:t>
      </w:r>
      <w:r w:rsidRPr="00C626F1">
        <w:rPr>
          <w:rFonts w:ascii="Times New Roman" w:eastAsia="Times New Roman" w:hAnsi="Times New Roman" w:cs="CG Times"/>
          <w:sz w:val="24"/>
          <w:szCs w:val="24"/>
        </w:rPr>
        <w:t xml:space="preserve">, 103 A.2d 502 (Pa.Super.1954).  Not conducting a hearing in these circumstances serves judicial economy by avoiding the time and cost of a hearing where no factual dispute exists. </w:t>
      </w:r>
    </w:p>
    <w:p w14:paraId="1F573F72" w14:textId="77777777" w:rsidR="00C626F1" w:rsidRPr="00C626F1" w:rsidRDefault="00C626F1" w:rsidP="00C626F1">
      <w:pPr>
        <w:spacing w:after="0" w:line="360" w:lineRule="auto"/>
        <w:ind w:firstLine="1440"/>
        <w:rPr>
          <w:rFonts w:ascii="Times New Roman" w:eastAsia="Calibri" w:hAnsi="Times New Roman" w:cs="Times New Roman"/>
          <w:sz w:val="24"/>
        </w:rPr>
      </w:pPr>
    </w:p>
    <w:p w14:paraId="7129B447" w14:textId="47988E2B" w:rsidR="00C626F1" w:rsidRPr="00C626F1" w:rsidRDefault="00C626F1" w:rsidP="00C626F1">
      <w:pPr>
        <w:spacing w:after="0" w:line="360" w:lineRule="auto"/>
        <w:ind w:firstLine="1440"/>
        <w:rPr>
          <w:rFonts w:ascii="Times New Roman" w:eastAsia="Calibri" w:hAnsi="Times New Roman" w:cs="Times New Roman"/>
          <w:sz w:val="24"/>
        </w:rPr>
      </w:pPr>
      <w:r w:rsidRPr="00C626F1">
        <w:rPr>
          <w:rFonts w:ascii="Times New Roman" w:eastAsia="Calibri" w:hAnsi="Times New Roman" w:cs="Times New Roman"/>
          <w:sz w:val="24"/>
        </w:rPr>
        <w:t>In this case there are no factual matters in dispute.  The petition is unprotested.  No hearing is required.  Therefore, Duquesne Light’s motion is granted.  As set forth in the ordering paragraphs below, this proceeding is reassigned to the Commission’s Bureau of Technical Utility Services.</w:t>
      </w:r>
    </w:p>
    <w:p w14:paraId="67F60D03" w14:textId="092AE6C7" w:rsidR="00C626F1" w:rsidRDefault="00C626F1" w:rsidP="00C626F1">
      <w:pPr>
        <w:spacing w:after="0" w:line="360" w:lineRule="auto"/>
        <w:ind w:firstLine="1440"/>
        <w:rPr>
          <w:rFonts w:ascii="Times New Roman" w:eastAsia="Calibri" w:hAnsi="Times New Roman" w:cs="Times New Roman"/>
          <w:sz w:val="24"/>
        </w:rPr>
      </w:pPr>
    </w:p>
    <w:p w14:paraId="4DE40A07" w14:textId="40618F0D" w:rsidR="00C626F1" w:rsidRDefault="00C626F1" w:rsidP="00C626F1">
      <w:pPr>
        <w:spacing w:after="0" w:line="360" w:lineRule="auto"/>
        <w:ind w:firstLine="1440"/>
        <w:rPr>
          <w:rFonts w:ascii="Times New Roman" w:eastAsia="Calibri" w:hAnsi="Times New Roman" w:cs="Times New Roman"/>
          <w:sz w:val="24"/>
        </w:rPr>
      </w:pPr>
    </w:p>
    <w:p w14:paraId="79B9BDC3" w14:textId="65B1CC16" w:rsidR="00C626F1" w:rsidRDefault="00C626F1" w:rsidP="00C626F1">
      <w:pPr>
        <w:spacing w:after="0" w:line="360" w:lineRule="auto"/>
        <w:ind w:firstLine="1440"/>
        <w:rPr>
          <w:rFonts w:ascii="Times New Roman" w:eastAsia="Calibri" w:hAnsi="Times New Roman" w:cs="Times New Roman"/>
          <w:sz w:val="24"/>
        </w:rPr>
      </w:pPr>
    </w:p>
    <w:p w14:paraId="70EF57B5" w14:textId="2904B44A" w:rsidR="00C626F1" w:rsidRDefault="00C626F1" w:rsidP="00C626F1">
      <w:pPr>
        <w:spacing w:after="0" w:line="360" w:lineRule="auto"/>
        <w:ind w:firstLine="1440"/>
        <w:rPr>
          <w:rFonts w:ascii="Times New Roman" w:eastAsia="Calibri" w:hAnsi="Times New Roman" w:cs="Times New Roman"/>
          <w:sz w:val="24"/>
        </w:rPr>
      </w:pPr>
    </w:p>
    <w:p w14:paraId="34854656" w14:textId="77E827B5" w:rsidR="00C626F1" w:rsidRDefault="00C626F1" w:rsidP="00C626F1">
      <w:pPr>
        <w:spacing w:after="0" w:line="360" w:lineRule="auto"/>
        <w:ind w:firstLine="1440"/>
        <w:rPr>
          <w:rFonts w:ascii="Times New Roman" w:eastAsia="Calibri" w:hAnsi="Times New Roman" w:cs="Times New Roman"/>
          <w:sz w:val="24"/>
        </w:rPr>
      </w:pPr>
    </w:p>
    <w:p w14:paraId="20483C1F" w14:textId="77777777" w:rsidR="00C626F1" w:rsidRPr="00C626F1" w:rsidRDefault="00C626F1" w:rsidP="00C626F1">
      <w:pPr>
        <w:spacing w:after="0" w:line="360" w:lineRule="auto"/>
        <w:ind w:firstLine="1440"/>
        <w:rPr>
          <w:rFonts w:ascii="Times New Roman" w:eastAsia="Calibri" w:hAnsi="Times New Roman" w:cs="Times New Roman"/>
          <w:sz w:val="24"/>
        </w:rPr>
      </w:pPr>
    </w:p>
    <w:p w14:paraId="655E2ACB" w14:textId="2205F9DC" w:rsidR="00C626F1" w:rsidRDefault="00C626F1" w:rsidP="00C626F1">
      <w:pPr>
        <w:spacing w:after="0" w:line="360" w:lineRule="auto"/>
        <w:ind w:firstLine="1440"/>
        <w:rPr>
          <w:rFonts w:ascii="Times New Roman" w:eastAsia="Calibri" w:hAnsi="Times New Roman" w:cs="Times New Roman"/>
          <w:sz w:val="24"/>
        </w:rPr>
      </w:pPr>
      <w:r w:rsidRPr="00C626F1">
        <w:rPr>
          <w:rFonts w:ascii="Times New Roman" w:eastAsia="Calibri" w:hAnsi="Times New Roman" w:cs="Times New Roman"/>
          <w:sz w:val="24"/>
        </w:rPr>
        <w:t>THEREFORE,</w:t>
      </w:r>
    </w:p>
    <w:p w14:paraId="5A4F3587" w14:textId="77777777" w:rsidR="00C626F1" w:rsidRPr="00C626F1" w:rsidRDefault="00C626F1" w:rsidP="00C626F1">
      <w:pPr>
        <w:spacing w:after="0" w:line="360" w:lineRule="auto"/>
        <w:ind w:firstLine="1440"/>
        <w:rPr>
          <w:rFonts w:ascii="Times New Roman" w:eastAsia="Calibri" w:hAnsi="Times New Roman" w:cs="Times New Roman"/>
          <w:sz w:val="24"/>
        </w:rPr>
      </w:pPr>
    </w:p>
    <w:p w14:paraId="689C8D81" w14:textId="2BC55642" w:rsidR="00C626F1" w:rsidRDefault="00C626F1" w:rsidP="00C626F1">
      <w:pPr>
        <w:spacing w:after="0" w:line="360" w:lineRule="auto"/>
        <w:ind w:firstLine="1440"/>
        <w:rPr>
          <w:rFonts w:ascii="Times New Roman" w:eastAsia="Calibri" w:hAnsi="Times New Roman" w:cs="Times New Roman"/>
          <w:sz w:val="24"/>
        </w:rPr>
      </w:pPr>
      <w:r w:rsidRPr="00C626F1">
        <w:rPr>
          <w:rFonts w:ascii="Times New Roman" w:eastAsia="Calibri" w:hAnsi="Times New Roman" w:cs="Times New Roman"/>
          <w:sz w:val="24"/>
        </w:rPr>
        <w:t>IT IS ORDERED:</w:t>
      </w:r>
    </w:p>
    <w:p w14:paraId="4C8AF020" w14:textId="77777777" w:rsidR="00C626F1" w:rsidRPr="00C626F1" w:rsidRDefault="00C626F1" w:rsidP="00C626F1">
      <w:pPr>
        <w:spacing w:after="0" w:line="360" w:lineRule="auto"/>
        <w:ind w:firstLine="1440"/>
        <w:rPr>
          <w:rFonts w:ascii="Times New Roman" w:eastAsia="Calibri" w:hAnsi="Times New Roman" w:cs="Times New Roman"/>
          <w:sz w:val="24"/>
        </w:rPr>
      </w:pPr>
    </w:p>
    <w:p w14:paraId="58ED6CF2" w14:textId="29B661D2" w:rsidR="00C626F1" w:rsidRDefault="00C626F1" w:rsidP="00C626F1">
      <w:pPr>
        <w:spacing w:after="0" w:line="360" w:lineRule="auto"/>
        <w:ind w:firstLine="1440"/>
        <w:rPr>
          <w:rFonts w:ascii="Times New Roman" w:eastAsia="Calibri" w:hAnsi="Times New Roman" w:cs="Times New Roman"/>
          <w:sz w:val="24"/>
        </w:rPr>
      </w:pPr>
      <w:r w:rsidRPr="00C626F1">
        <w:rPr>
          <w:rFonts w:ascii="Times New Roman" w:eastAsia="Calibri" w:hAnsi="Times New Roman" w:cs="Times New Roman"/>
          <w:sz w:val="24"/>
        </w:rPr>
        <w:t>1.</w:t>
      </w:r>
      <w:r w:rsidRPr="00C626F1">
        <w:rPr>
          <w:rFonts w:ascii="Times New Roman" w:eastAsia="Calibri" w:hAnsi="Times New Roman" w:cs="Times New Roman"/>
          <w:sz w:val="24"/>
        </w:rPr>
        <w:tab/>
        <w:t>T</w:t>
      </w:r>
      <w:r w:rsidR="007C2DA3">
        <w:rPr>
          <w:rFonts w:ascii="Times New Roman" w:eastAsia="Calibri" w:hAnsi="Times New Roman" w:cs="Times New Roman"/>
          <w:sz w:val="24"/>
        </w:rPr>
        <w:t>hat t</w:t>
      </w:r>
      <w:r w:rsidRPr="00C626F1">
        <w:rPr>
          <w:rFonts w:ascii="Times New Roman" w:eastAsia="Calibri" w:hAnsi="Times New Roman" w:cs="Times New Roman"/>
          <w:sz w:val="24"/>
        </w:rPr>
        <w:t>he motion of Duquesne Light requesting reassignment of the Petition of Duquesne Light Company for a Finding that an Electrical Equipment Building at the Proposed Watson Substation in Allegheny County, Pennsylvania is Reasonably Necessary for the Convenience or Welfare of the Public, Docket P-2022-3032356 is granted.</w:t>
      </w:r>
    </w:p>
    <w:p w14:paraId="17557C22" w14:textId="77777777" w:rsidR="00C626F1" w:rsidRPr="00C626F1" w:rsidRDefault="00C626F1" w:rsidP="00C626F1">
      <w:pPr>
        <w:spacing w:after="0" w:line="360" w:lineRule="auto"/>
        <w:ind w:firstLine="1440"/>
        <w:rPr>
          <w:rFonts w:ascii="Times New Roman" w:eastAsia="Calibri" w:hAnsi="Times New Roman" w:cs="Times New Roman"/>
          <w:sz w:val="24"/>
        </w:rPr>
      </w:pPr>
    </w:p>
    <w:p w14:paraId="037F86FE" w14:textId="77777777" w:rsidR="00C626F1" w:rsidRDefault="00C626F1" w:rsidP="00C626F1">
      <w:pPr>
        <w:spacing w:after="0" w:line="360" w:lineRule="auto"/>
        <w:ind w:firstLine="1440"/>
        <w:rPr>
          <w:rFonts w:ascii="Times New Roman" w:eastAsia="Calibri" w:hAnsi="Times New Roman" w:cs="Times New Roman"/>
          <w:sz w:val="24"/>
        </w:rPr>
      </w:pPr>
      <w:r w:rsidRPr="00C626F1">
        <w:rPr>
          <w:rFonts w:ascii="Times New Roman" w:eastAsia="Calibri" w:hAnsi="Times New Roman" w:cs="Times New Roman"/>
          <w:sz w:val="24"/>
        </w:rPr>
        <w:t>2.</w:t>
      </w:r>
      <w:r w:rsidRPr="00C626F1">
        <w:rPr>
          <w:rFonts w:ascii="Times New Roman" w:eastAsia="Calibri" w:hAnsi="Times New Roman" w:cs="Times New Roman"/>
          <w:sz w:val="24"/>
        </w:rPr>
        <w:tab/>
        <w:t xml:space="preserve">That the Petition of Duquesne Light Company for a Finding that an Electrical Equipment Building at the Proposed Watson Substation in Allegheny County, Pennsylvania is Reasonably Necessary for the Convenience or Welfare of the Public, Docket </w:t>
      </w:r>
    </w:p>
    <w:p w14:paraId="27796D03" w14:textId="14B8757A" w:rsidR="00C626F1" w:rsidRPr="00C626F1" w:rsidRDefault="00C626F1" w:rsidP="00C626F1">
      <w:pPr>
        <w:spacing w:after="0" w:line="360" w:lineRule="auto"/>
        <w:rPr>
          <w:rFonts w:ascii="Times New Roman" w:eastAsia="Calibri" w:hAnsi="Times New Roman" w:cs="Times New Roman"/>
          <w:sz w:val="24"/>
        </w:rPr>
      </w:pPr>
      <w:r w:rsidRPr="00C626F1">
        <w:rPr>
          <w:rFonts w:ascii="Times New Roman" w:eastAsia="Calibri" w:hAnsi="Times New Roman" w:cs="Times New Roman"/>
          <w:sz w:val="24"/>
        </w:rPr>
        <w:t>P-2022-3032356, is reassigned from the Pennsylvania Public Utility Commission’s Office of Administrative Law Judge to the Pennsylvania Public Utility Commission’s Bureau of Technical Utility Services for further action.</w:t>
      </w:r>
    </w:p>
    <w:p w14:paraId="5A582343" w14:textId="4E6A5E31" w:rsidR="00DF3FC5" w:rsidRDefault="00DF3FC5" w:rsidP="00C626F1">
      <w:pPr>
        <w:spacing w:after="0" w:line="360" w:lineRule="auto"/>
      </w:pPr>
    </w:p>
    <w:p w14:paraId="61AC662D" w14:textId="2DD8A72A" w:rsidR="00C626F1" w:rsidRDefault="00C626F1" w:rsidP="00C626F1">
      <w:pPr>
        <w:spacing w:after="0" w:line="360" w:lineRule="auto"/>
      </w:pPr>
    </w:p>
    <w:p w14:paraId="30A35769" w14:textId="5433274A" w:rsidR="00C626F1" w:rsidRPr="00C626F1" w:rsidRDefault="00C626F1" w:rsidP="00C626F1">
      <w:pPr>
        <w:spacing w:after="0" w:line="240" w:lineRule="auto"/>
        <w:rPr>
          <w:rFonts w:ascii="Times New Roman" w:eastAsia="Times New Roman" w:hAnsi="Times New Roman" w:cs="Times New Roman"/>
          <w:sz w:val="24"/>
          <w:szCs w:val="24"/>
        </w:rPr>
      </w:pPr>
      <w:r w:rsidRPr="00C626F1">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w:t>
      </w:r>
      <w:r w:rsidRPr="00C626F1">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22,</w:t>
      </w:r>
      <w:r w:rsidRPr="00C626F1">
        <w:rPr>
          <w:rFonts w:ascii="Times New Roman" w:eastAsia="Times New Roman" w:hAnsi="Times New Roman" w:cs="Times New Roman"/>
          <w:sz w:val="24"/>
          <w:szCs w:val="24"/>
          <w:u w:val="single"/>
        </w:rPr>
        <w:t xml:space="preserve"> 2022</w:t>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u w:val="single"/>
        </w:rPr>
        <w:tab/>
      </w:r>
      <w:r w:rsidRPr="00C626F1">
        <w:rPr>
          <w:rFonts w:ascii="Times New Roman" w:eastAsia="Times New Roman" w:hAnsi="Times New Roman" w:cs="Times New Roman"/>
          <w:sz w:val="24"/>
          <w:szCs w:val="24"/>
          <w:u w:val="single"/>
        </w:rPr>
        <w:tab/>
        <w:t>/s/</w:t>
      </w:r>
      <w:r w:rsidRPr="00C626F1">
        <w:rPr>
          <w:rFonts w:ascii="Times New Roman" w:eastAsia="Times New Roman" w:hAnsi="Times New Roman" w:cs="Times New Roman"/>
          <w:sz w:val="24"/>
          <w:szCs w:val="24"/>
          <w:u w:val="single"/>
        </w:rPr>
        <w:tab/>
      </w:r>
      <w:r w:rsidRPr="00C626F1">
        <w:rPr>
          <w:rFonts w:ascii="Times New Roman" w:eastAsia="Times New Roman" w:hAnsi="Times New Roman" w:cs="Times New Roman"/>
          <w:sz w:val="24"/>
          <w:szCs w:val="24"/>
          <w:u w:val="single"/>
        </w:rPr>
        <w:tab/>
      </w:r>
    </w:p>
    <w:p w14:paraId="055D20E1" w14:textId="77777777" w:rsidR="00C626F1" w:rsidRPr="00C626F1" w:rsidRDefault="00C626F1" w:rsidP="00C626F1">
      <w:pPr>
        <w:spacing w:after="0" w:line="240" w:lineRule="auto"/>
        <w:rPr>
          <w:rFonts w:ascii="Times New Roman" w:eastAsia="Times New Roman" w:hAnsi="Times New Roman" w:cs="Times New Roman"/>
          <w:sz w:val="24"/>
          <w:szCs w:val="24"/>
        </w:rPr>
      </w:pP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t>Mary D. Long</w:t>
      </w:r>
    </w:p>
    <w:p w14:paraId="13317789" w14:textId="77777777" w:rsidR="00C626F1" w:rsidRDefault="00C626F1" w:rsidP="00C626F1">
      <w:pPr>
        <w:rPr>
          <w:rFonts w:ascii="Times New Roman" w:eastAsia="Times New Roman" w:hAnsi="Times New Roman" w:cs="Times New Roman"/>
          <w:sz w:val="24"/>
          <w:szCs w:val="24"/>
        </w:rPr>
        <w:sectPr w:rsidR="00C626F1" w:rsidSect="00C626F1">
          <w:footerReference w:type="default" r:id="rId6"/>
          <w:footerReference w:type="first" r:id="rId7"/>
          <w:pgSz w:w="12240" w:h="15840"/>
          <w:pgMar w:top="1440" w:right="1440" w:bottom="1440" w:left="1440" w:header="720" w:footer="720" w:gutter="0"/>
          <w:cols w:space="720"/>
          <w:titlePg/>
          <w:docGrid w:linePitch="360"/>
        </w:sectPr>
      </w:pP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r>
      <w:r w:rsidRPr="00C626F1">
        <w:rPr>
          <w:rFonts w:ascii="Times New Roman" w:eastAsia="Times New Roman" w:hAnsi="Times New Roman" w:cs="Times New Roman"/>
          <w:sz w:val="24"/>
          <w:szCs w:val="24"/>
        </w:rPr>
        <w:tab/>
        <w:t>Administrative Law</w:t>
      </w:r>
      <w:r>
        <w:rPr>
          <w:rFonts w:ascii="Times New Roman" w:eastAsia="Times New Roman" w:hAnsi="Times New Roman" w:cs="Times New Roman"/>
          <w:sz w:val="24"/>
          <w:szCs w:val="24"/>
        </w:rPr>
        <w:t xml:space="preserve"> Judge</w:t>
      </w:r>
    </w:p>
    <w:p w14:paraId="631EE42C" w14:textId="77777777" w:rsidR="00C626F1" w:rsidRPr="00C626F1" w:rsidRDefault="00C626F1" w:rsidP="00C626F1">
      <w:pPr>
        <w:rPr>
          <w:rFonts w:ascii="Microsoft Sans Serif" w:eastAsia="Microsoft Sans Serif" w:hAnsi="Microsoft Sans Serif" w:cs="Microsoft Sans Serif"/>
          <w:sz w:val="24"/>
        </w:rPr>
      </w:pPr>
      <w:bookmarkStart w:id="1" w:name="_Hlk102735419"/>
      <w:r w:rsidRPr="00C626F1">
        <w:rPr>
          <w:rFonts w:ascii="Microsoft Sans Serif" w:eastAsia="Microsoft Sans Serif" w:hAnsi="Microsoft Sans Serif" w:cs="Microsoft Sans Serif"/>
          <w:b/>
          <w:sz w:val="24"/>
          <w:u w:val="single"/>
        </w:rPr>
        <w:t xml:space="preserve">P-2022-3032356 -   PETITION OF DUQUESNE LIGHT COMPANY </w:t>
      </w:r>
      <w:bookmarkStart w:id="2" w:name="_Hlk102735342"/>
      <w:r w:rsidRPr="00C626F1">
        <w:rPr>
          <w:rFonts w:ascii="Microsoft Sans Serif" w:eastAsia="Microsoft Sans Serif" w:hAnsi="Microsoft Sans Serif" w:cs="Microsoft Sans Serif"/>
          <w:b/>
          <w:sz w:val="24"/>
          <w:u w:val="single"/>
        </w:rPr>
        <w:t>FOR FINDING THAT AN ELECTRICAL EQUIPMENT BUILDING AT THE PROPOSED WATSON SUBSTATION IN ALLEGHENY COUNTY, PENNSYLVANIA IS REASONABLY NECESSARY FOR THE CONVENIENCE OR WELFARE OF THE PUBLIC</w:t>
      </w:r>
      <w:bookmarkEnd w:id="2"/>
      <w:r w:rsidRPr="00C626F1">
        <w:rPr>
          <w:rFonts w:ascii="Microsoft Sans Serif" w:eastAsia="Microsoft Sans Serif" w:hAnsi="Microsoft Sans Serif" w:cs="Microsoft Sans Serif"/>
          <w:b/>
          <w:sz w:val="24"/>
          <w:u w:val="single"/>
        </w:rPr>
        <w:cr/>
      </w:r>
      <w:r w:rsidRPr="00C626F1">
        <w:rPr>
          <w:rFonts w:ascii="Microsoft Sans Serif" w:eastAsia="Microsoft Sans Serif" w:hAnsi="Microsoft Sans Serif" w:cs="Microsoft Sans Serif"/>
          <w:b/>
          <w:sz w:val="24"/>
          <w:u w:val="single"/>
        </w:rPr>
        <w:cr/>
      </w:r>
      <w:r w:rsidRPr="00C626F1">
        <w:rPr>
          <w:rFonts w:ascii="Microsoft Sans Serif" w:eastAsia="Microsoft Sans Serif" w:hAnsi="Microsoft Sans Serif" w:cs="Microsoft Sans Serif"/>
          <w:sz w:val="24"/>
        </w:rPr>
        <w:t>EMILY M FARAH COUNSEL</w:t>
      </w:r>
      <w:r w:rsidRPr="00C626F1">
        <w:rPr>
          <w:rFonts w:ascii="Microsoft Sans Serif" w:eastAsia="Microsoft Sans Serif" w:hAnsi="Microsoft Sans Serif" w:cs="Microsoft Sans Serif"/>
          <w:sz w:val="24"/>
        </w:rPr>
        <w:cr/>
        <w:t>DUQUESNE LIGHT COMPANY</w:t>
      </w:r>
      <w:r w:rsidRPr="00C626F1">
        <w:rPr>
          <w:rFonts w:ascii="Microsoft Sans Serif" w:eastAsia="Microsoft Sans Serif" w:hAnsi="Microsoft Sans Serif" w:cs="Microsoft Sans Serif"/>
          <w:sz w:val="24"/>
        </w:rPr>
        <w:cr/>
        <w:t>411 SEVENTH AVENUE</w:t>
      </w:r>
      <w:r w:rsidRPr="00C626F1">
        <w:rPr>
          <w:rFonts w:ascii="Microsoft Sans Serif" w:eastAsia="Microsoft Sans Serif" w:hAnsi="Microsoft Sans Serif" w:cs="Microsoft Sans Serif"/>
          <w:sz w:val="24"/>
        </w:rPr>
        <w:cr/>
        <w:t>PITTSBURGH PA  15219</w:t>
      </w:r>
      <w:r w:rsidRPr="00C626F1">
        <w:rPr>
          <w:rFonts w:ascii="Microsoft Sans Serif" w:eastAsia="Microsoft Sans Serif" w:hAnsi="Microsoft Sans Serif" w:cs="Microsoft Sans Serif"/>
          <w:sz w:val="24"/>
        </w:rPr>
        <w:cr/>
      </w:r>
      <w:r w:rsidRPr="00C626F1">
        <w:rPr>
          <w:rFonts w:ascii="Microsoft Sans Serif" w:eastAsia="Microsoft Sans Serif" w:hAnsi="Microsoft Sans Serif" w:cs="Microsoft Sans Serif"/>
          <w:b/>
          <w:bCs/>
          <w:sz w:val="24"/>
        </w:rPr>
        <w:t>412.393.6431</w:t>
      </w:r>
      <w:r w:rsidRPr="00C626F1">
        <w:rPr>
          <w:rFonts w:ascii="Microsoft Sans Serif" w:eastAsia="Microsoft Sans Serif" w:hAnsi="Microsoft Sans Serif" w:cs="Microsoft Sans Serif"/>
          <w:sz w:val="24"/>
        </w:rPr>
        <w:cr/>
        <w:t>efarah@duqlight.com</w:t>
      </w:r>
      <w:r w:rsidRPr="00C626F1">
        <w:rPr>
          <w:rFonts w:ascii="Microsoft Sans Serif" w:eastAsia="Microsoft Sans Serif" w:hAnsi="Microsoft Sans Serif" w:cs="Microsoft Sans Serif"/>
          <w:sz w:val="24"/>
        </w:rPr>
        <w:cr/>
        <w:t>Accepts eService</w:t>
      </w:r>
    </w:p>
    <w:p w14:paraId="33245FD3" w14:textId="77777777" w:rsidR="00C626F1" w:rsidRPr="00C626F1" w:rsidRDefault="00C626F1" w:rsidP="00C626F1">
      <w:pPr>
        <w:spacing w:after="0"/>
        <w:rPr>
          <w:rFonts w:ascii="Microsoft Sans Serif" w:eastAsiaTheme="minorEastAsia" w:hAnsi="Microsoft Sans Serif" w:cs="Microsoft Sans Serif"/>
          <w:sz w:val="24"/>
          <w:szCs w:val="24"/>
        </w:rPr>
      </w:pPr>
      <w:r w:rsidRPr="00C626F1">
        <w:rPr>
          <w:rFonts w:ascii="Microsoft Sans Serif" w:eastAsiaTheme="minorEastAsia" w:hAnsi="Microsoft Sans Serif" w:cs="Microsoft Sans Serif"/>
          <w:sz w:val="24"/>
          <w:szCs w:val="24"/>
        </w:rPr>
        <w:t xml:space="preserve">CITY OF PITTSBURGH </w:t>
      </w:r>
    </w:p>
    <w:p w14:paraId="157CF473" w14:textId="77777777" w:rsidR="00C626F1" w:rsidRPr="00C626F1" w:rsidRDefault="00C626F1" w:rsidP="00C626F1">
      <w:pPr>
        <w:spacing w:after="0"/>
        <w:rPr>
          <w:rFonts w:ascii="Microsoft Sans Serif" w:eastAsiaTheme="minorEastAsia" w:hAnsi="Microsoft Sans Serif" w:cs="Microsoft Sans Serif"/>
          <w:sz w:val="24"/>
          <w:szCs w:val="24"/>
        </w:rPr>
      </w:pPr>
      <w:r w:rsidRPr="00C626F1">
        <w:rPr>
          <w:rFonts w:ascii="Microsoft Sans Serif" w:eastAsiaTheme="minorEastAsia" w:hAnsi="Microsoft Sans Serif" w:cs="Microsoft Sans Serif"/>
          <w:sz w:val="24"/>
          <w:szCs w:val="24"/>
        </w:rPr>
        <w:t xml:space="preserve">CITY PLANNING ZONING &amp; DEVELOPMENT </w:t>
      </w:r>
    </w:p>
    <w:p w14:paraId="75BAAE99" w14:textId="77777777" w:rsidR="00C626F1" w:rsidRPr="00C626F1" w:rsidRDefault="00C626F1" w:rsidP="00C626F1">
      <w:pPr>
        <w:spacing w:after="0"/>
        <w:rPr>
          <w:rFonts w:ascii="Microsoft Sans Serif" w:eastAsiaTheme="minorEastAsia" w:hAnsi="Microsoft Sans Serif" w:cs="Microsoft Sans Serif"/>
          <w:sz w:val="24"/>
          <w:szCs w:val="24"/>
        </w:rPr>
      </w:pPr>
      <w:r w:rsidRPr="00C626F1">
        <w:rPr>
          <w:rFonts w:ascii="Microsoft Sans Serif" w:eastAsiaTheme="minorEastAsia" w:hAnsi="Microsoft Sans Serif" w:cs="Microsoft Sans Serif"/>
          <w:sz w:val="24"/>
          <w:szCs w:val="24"/>
        </w:rPr>
        <w:t xml:space="preserve">200 ROSS STREET #3 </w:t>
      </w:r>
    </w:p>
    <w:p w14:paraId="15C92716" w14:textId="77777777" w:rsidR="00C626F1" w:rsidRPr="00C626F1" w:rsidRDefault="00C626F1" w:rsidP="00C626F1">
      <w:pPr>
        <w:spacing w:after="0"/>
        <w:rPr>
          <w:rFonts w:ascii="Microsoft Sans Serif" w:eastAsiaTheme="minorEastAsia" w:hAnsi="Microsoft Sans Serif" w:cs="Microsoft Sans Serif"/>
          <w:sz w:val="24"/>
          <w:szCs w:val="24"/>
        </w:rPr>
      </w:pPr>
      <w:r w:rsidRPr="00C626F1">
        <w:rPr>
          <w:rFonts w:ascii="Microsoft Sans Serif" w:eastAsiaTheme="minorEastAsia" w:hAnsi="Microsoft Sans Serif" w:cs="Microsoft Sans Serif"/>
          <w:sz w:val="24"/>
          <w:szCs w:val="24"/>
        </w:rPr>
        <w:t>PITTSBURGH PA 15219</w:t>
      </w:r>
    </w:p>
    <w:p w14:paraId="60ED2213" w14:textId="77777777" w:rsidR="00C626F1" w:rsidRPr="00C626F1" w:rsidRDefault="00C626F1" w:rsidP="00C626F1">
      <w:pPr>
        <w:spacing w:after="0"/>
        <w:rPr>
          <w:rFonts w:ascii="Microsoft Sans Serif" w:eastAsiaTheme="minorEastAsia" w:hAnsi="Microsoft Sans Serif" w:cs="Microsoft Sans Serif"/>
          <w:sz w:val="24"/>
          <w:szCs w:val="24"/>
        </w:rPr>
      </w:pPr>
    </w:p>
    <w:p w14:paraId="04411DC1" w14:textId="77777777" w:rsidR="00C626F1" w:rsidRPr="00C626F1" w:rsidRDefault="00C626F1" w:rsidP="00C626F1">
      <w:pPr>
        <w:spacing w:after="0"/>
        <w:rPr>
          <w:rFonts w:ascii="Microsoft Sans Serif" w:eastAsiaTheme="minorEastAsia" w:hAnsi="Microsoft Sans Serif" w:cs="Microsoft Sans Serif"/>
          <w:sz w:val="24"/>
          <w:szCs w:val="24"/>
        </w:rPr>
      </w:pPr>
      <w:r w:rsidRPr="00C626F1">
        <w:rPr>
          <w:rFonts w:ascii="Microsoft Sans Serif" w:eastAsiaTheme="minorEastAsia" w:hAnsi="Microsoft Sans Serif" w:cs="Microsoft Sans Serif"/>
          <w:sz w:val="24"/>
          <w:szCs w:val="24"/>
        </w:rPr>
        <w:t xml:space="preserve">CITY OF PITTSBURGH </w:t>
      </w:r>
    </w:p>
    <w:p w14:paraId="511F2956" w14:textId="77777777" w:rsidR="00C626F1" w:rsidRPr="00C626F1" w:rsidRDefault="00C626F1" w:rsidP="00C626F1">
      <w:pPr>
        <w:spacing w:after="0"/>
        <w:rPr>
          <w:rFonts w:ascii="Microsoft Sans Serif" w:eastAsiaTheme="minorEastAsia" w:hAnsi="Microsoft Sans Serif" w:cs="Microsoft Sans Serif"/>
          <w:sz w:val="24"/>
          <w:szCs w:val="24"/>
        </w:rPr>
      </w:pPr>
      <w:r w:rsidRPr="00C626F1">
        <w:rPr>
          <w:rFonts w:ascii="Microsoft Sans Serif" w:eastAsiaTheme="minorEastAsia" w:hAnsi="Microsoft Sans Serif" w:cs="Microsoft Sans Serif"/>
          <w:sz w:val="24"/>
          <w:szCs w:val="24"/>
        </w:rPr>
        <w:t xml:space="preserve">PLANNING COMMISSION </w:t>
      </w:r>
    </w:p>
    <w:p w14:paraId="3381B93C" w14:textId="77777777" w:rsidR="00C626F1" w:rsidRPr="00C626F1" w:rsidRDefault="00C626F1" w:rsidP="00C626F1">
      <w:pPr>
        <w:spacing w:after="0"/>
        <w:rPr>
          <w:rFonts w:ascii="Microsoft Sans Serif" w:eastAsiaTheme="minorEastAsia" w:hAnsi="Microsoft Sans Serif" w:cs="Microsoft Sans Serif"/>
          <w:sz w:val="24"/>
          <w:szCs w:val="24"/>
        </w:rPr>
      </w:pPr>
      <w:r w:rsidRPr="00C626F1">
        <w:rPr>
          <w:rFonts w:ascii="Microsoft Sans Serif" w:eastAsiaTheme="minorEastAsia" w:hAnsi="Microsoft Sans Serif" w:cs="Microsoft Sans Serif"/>
          <w:sz w:val="24"/>
          <w:szCs w:val="24"/>
        </w:rPr>
        <w:t xml:space="preserve">414 GRANT STREET </w:t>
      </w:r>
    </w:p>
    <w:p w14:paraId="12AC0958" w14:textId="77777777" w:rsidR="00C626F1" w:rsidRPr="00C626F1" w:rsidRDefault="00C626F1" w:rsidP="00C626F1">
      <w:pPr>
        <w:spacing w:after="0"/>
        <w:rPr>
          <w:rFonts w:ascii="Microsoft Sans Serif" w:eastAsiaTheme="minorEastAsia" w:hAnsi="Microsoft Sans Serif" w:cs="Microsoft Sans Serif"/>
          <w:sz w:val="28"/>
          <w:szCs w:val="28"/>
        </w:rPr>
      </w:pPr>
      <w:r w:rsidRPr="00C626F1">
        <w:rPr>
          <w:rFonts w:ascii="Microsoft Sans Serif" w:eastAsiaTheme="minorEastAsia" w:hAnsi="Microsoft Sans Serif" w:cs="Microsoft Sans Serif"/>
          <w:sz w:val="24"/>
          <w:szCs w:val="24"/>
        </w:rPr>
        <w:t>PITTSBURGH PA 15219</w:t>
      </w:r>
    </w:p>
    <w:bookmarkEnd w:id="1"/>
    <w:p w14:paraId="6B91AF6D" w14:textId="0BCED1A3" w:rsidR="00C626F1" w:rsidRDefault="00C626F1" w:rsidP="00C626F1"/>
    <w:sectPr w:rsidR="00C626F1" w:rsidSect="00C626F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0D751" w14:textId="77777777" w:rsidR="00C626F1" w:rsidRDefault="00C626F1" w:rsidP="00C626F1">
      <w:pPr>
        <w:spacing w:after="0" w:line="240" w:lineRule="auto"/>
      </w:pPr>
      <w:r>
        <w:separator/>
      </w:r>
    </w:p>
  </w:endnote>
  <w:endnote w:type="continuationSeparator" w:id="0">
    <w:p w14:paraId="6E1B61DE" w14:textId="77777777" w:rsidR="00C626F1" w:rsidRDefault="00C626F1" w:rsidP="00C6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98695"/>
      <w:docPartObj>
        <w:docPartGallery w:val="Page Numbers (Bottom of Page)"/>
        <w:docPartUnique/>
      </w:docPartObj>
    </w:sdtPr>
    <w:sdtEndPr>
      <w:rPr>
        <w:noProof/>
      </w:rPr>
    </w:sdtEndPr>
    <w:sdtContent>
      <w:p w14:paraId="67FBA3F8" w14:textId="72B788FC" w:rsidR="00C626F1" w:rsidRDefault="00C626F1">
        <w:pPr>
          <w:pStyle w:val="Footer"/>
          <w:jc w:val="center"/>
        </w:pPr>
        <w:r w:rsidRPr="00C626F1">
          <w:rPr>
            <w:sz w:val="20"/>
            <w:szCs w:val="18"/>
          </w:rPr>
          <w:fldChar w:fldCharType="begin"/>
        </w:r>
        <w:r w:rsidRPr="00C626F1">
          <w:rPr>
            <w:sz w:val="20"/>
            <w:szCs w:val="18"/>
          </w:rPr>
          <w:instrText xml:space="preserve"> PAGE   \* MERGEFORMAT </w:instrText>
        </w:r>
        <w:r w:rsidRPr="00C626F1">
          <w:rPr>
            <w:sz w:val="20"/>
            <w:szCs w:val="18"/>
          </w:rPr>
          <w:fldChar w:fldCharType="separate"/>
        </w:r>
        <w:r w:rsidRPr="00C626F1">
          <w:rPr>
            <w:noProof/>
            <w:sz w:val="20"/>
            <w:szCs w:val="18"/>
          </w:rPr>
          <w:t>2</w:t>
        </w:r>
        <w:r w:rsidRPr="00C626F1">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31D7" w14:textId="15AA177B" w:rsidR="005767AD" w:rsidRDefault="007C2D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28D9" w14:textId="77777777" w:rsidR="00C626F1" w:rsidRDefault="00C626F1" w:rsidP="00C626F1">
      <w:pPr>
        <w:spacing w:after="0" w:line="240" w:lineRule="auto"/>
      </w:pPr>
      <w:r>
        <w:separator/>
      </w:r>
    </w:p>
  </w:footnote>
  <w:footnote w:type="continuationSeparator" w:id="0">
    <w:p w14:paraId="6837AD67" w14:textId="77777777" w:rsidR="00C626F1" w:rsidRDefault="00C626F1" w:rsidP="00C626F1">
      <w:pPr>
        <w:spacing w:after="0" w:line="240" w:lineRule="auto"/>
      </w:pPr>
      <w:r>
        <w:continuationSeparator/>
      </w:r>
    </w:p>
  </w:footnote>
  <w:footnote w:id="1">
    <w:p w14:paraId="7857D18C" w14:textId="77777777" w:rsidR="00C626F1" w:rsidRPr="00C626F1" w:rsidRDefault="00C626F1" w:rsidP="00C626F1">
      <w:pPr>
        <w:pStyle w:val="FootnoteText"/>
        <w:ind w:firstLine="720"/>
        <w:rPr>
          <w:rFonts w:ascii="Times New Roman" w:hAnsi="Times New Roman" w:cs="Times New Roman"/>
        </w:rPr>
      </w:pPr>
      <w:r w:rsidRPr="00C626F1">
        <w:rPr>
          <w:rStyle w:val="FootnoteReference"/>
          <w:rFonts w:ascii="Times New Roman" w:hAnsi="Times New Roman" w:cs="Times New Roman"/>
        </w:rPr>
        <w:footnoteRef/>
      </w:r>
      <w:r w:rsidRPr="00C626F1">
        <w:rPr>
          <w:rFonts w:ascii="Times New Roman" w:hAnsi="Times New Roman" w:cs="Times New Roman"/>
        </w:rPr>
        <w:t xml:space="preserve"> </w:t>
      </w:r>
      <w:r w:rsidRPr="00C626F1">
        <w:rPr>
          <w:rFonts w:ascii="Times New Roman" w:hAnsi="Times New Roman" w:cs="Times New Roman"/>
        </w:rPr>
        <w:tab/>
        <w:t>52 Pa.B. 3042.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F1"/>
    <w:rsid w:val="007C2DA3"/>
    <w:rsid w:val="00C626F1"/>
    <w:rsid w:val="00DF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999C"/>
  <w15:chartTrackingRefBased/>
  <w15:docId w15:val="{17B8FEF3-E44C-4388-8FE2-8059842A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2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6F1"/>
    <w:rPr>
      <w:sz w:val="20"/>
      <w:szCs w:val="20"/>
    </w:rPr>
  </w:style>
  <w:style w:type="paragraph" w:styleId="Footer">
    <w:name w:val="footer"/>
    <w:basedOn w:val="Normal"/>
    <w:link w:val="FooterChar"/>
    <w:uiPriority w:val="99"/>
    <w:unhideWhenUsed/>
    <w:rsid w:val="00C626F1"/>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C626F1"/>
    <w:rPr>
      <w:rFonts w:ascii="Times New Roman" w:hAnsi="Times New Roman"/>
      <w:sz w:val="24"/>
    </w:rPr>
  </w:style>
  <w:style w:type="character" w:styleId="FootnoteReference">
    <w:name w:val="footnote reference"/>
    <w:basedOn w:val="DefaultParagraphFont"/>
    <w:uiPriority w:val="99"/>
    <w:semiHidden/>
    <w:unhideWhenUsed/>
    <w:rsid w:val="00C626F1"/>
    <w:rPr>
      <w:vertAlign w:val="superscript"/>
    </w:rPr>
  </w:style>
  <w:style w:type="paragraph" w:styleId="Header">
    <w:name w:val="header"/>
    <w:basedOn w:val="Normal"/>
    <w:link w:val="HeaderChar"/>
    <w:uiPriority w:val="99"/>
    <w:unhideWhenUsed/>
    <w:rsid w:val="00C6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F1"/>
  </w:style>
  <w:style w:type="paragraph" w:styleId="ListParagraph">
    <w:name w:val="List Paragraph"/>
    <w:basedOn w:val="Normal"/>
    <w:uiPriority w:val="34"/>
    <w:qFormat/>
    <w:rsid w:val="00C62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Miskanic, Nicholas</cp:lastModifiedBy>
  <cp:revision>2</cp:revision>
  <dcterms:created xsi:type="dcterms:W3CDTF">2022-06-22T15:42:00Z</dcterms:created>
  <dcterms:modified xsi:type="dcterms:W3CDTF">2022-06-22T15:47:00Z</dcterms:modified>
</cp:coreProperties>
</file>