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2065D" w14:textId="77777777" w:rsidR="00FD2A22" w:rsidRPr="00FD2A22" w:rsidRDefault="00FD2A22" w:rsidP="00FD2A22">
      <w:pPr>
        <w:autoSpaceDE w:val="0"/>
        <w:autoSpaceDN w:val="0"/>
        <w:jc w:val="center"/>
        <w:rPr>
          <w:rFonts w:cs="CG Times (W1)"/>
          <w:b/>
        </w:rPr>
      </w:pPr>
      <w:r w:rsidRPr="00FD2A22">
        <w:rPr>
          <w:rFonts w:cs="CG Times (W1)"/>
          <w:b/>
        </w:rPr>
        <w:t>BEFORE THE</w:t>
      </w:r>
    </w:p>
    <w:p w14:paraId="205B0B68" w14:textId="77777777" w:rsidR="00FD2A22" w:rsidRPr="00FD2A22" w:rsidRDefault="00FD2A22" w:rsidP="00FD2A22">
      <w:pPr>
        <w:autoSpaceDE w:val="0"/>
        <w:autoSpaceDN w:val="0"/>
        <w:jc w:val="center"/>
        <w:rPr>
          <w:rFonts w:cs="CG Times (W1)"/>
          <w:b/>
        </w:rPr>
      </w:pPr>
      <w:r w:rsidRPr="00FD2A22">
        <w:rPr>
          <w:rFonts w:cs="CG Times (W1)"/>
          <w:b/>
        </w:rPr>
        <w:t>PENNSYLVANIA PUBLIC UTILITY COMMISSION</w:t>
      </w:r>
    </w:p>
    <w:p w14:paraId="5FD164A7" w14:textId="77777777" w:rsidR="00FD2A22" w:rsidRPr="00FD2A22" w:rsidRDefault="00FD2A22" w:rsidP="00FD2A22">
      <w:pPr>
        <w:autoSpaceDE w:val="0"/>
        <w:autoSpaceDN w:val="0"/>
        <w:rPr>
          <w:rFonts w:cs="CG Times (W1)"/>
          <w:b/>
        </w:rPr>
      </w:pPr>
    </w:p>
    <w:p w14:paraId="7F0F4CA1" w14:textId="77777777" w:rsidR="00FD2A22" w:rsidRPr="00FD2A22" w:rsidRDefault="00FD2A22" w:rsidP="00FD2A22">
      <w:pPr>
        <w:autoSpaceDE w:val="0"/>
        <w:autoSpaceDN w:val="0"/>
        <w:rPr>
          <w:rFonts w:cs="CG Times (W1)"/>
          <w:b/>
        </w:rPr>
      </w:pPr>
    </w:p>
    <w:p w14:paraId="08FBC742" w14:textId="77777777" w:rsidR="00FD2A22" w:rsidRPr="00FD2A22" w:rsidRDefault="00FD2A22" w:rsidP="00FD2A22">
      <w:pPr>
        <w:autoSpaceDE w:val="0"/>
        <w:autoSpaceDN w:val="0"/>
        <w:rPr>
          <w:rFonts w:cs="CG Times (W1)"/>
        </w:rPr>
      </w:pPr>
    </w:p>
    <w:p w14:paraId="3E17F1BD" w14:textId="535E5FDC" w:rsidR="00FD2A22" w:rsidRPr="00FD2A22" w:rsidRDefault="00107137" w:rsidP="00FD2A22">
      <w:pPr>
        <w:autoSpaceDE w:val="0"/>
        <w:autoSpaceDN w:val="0"/>
        <w:rPr>
          <w:rFonts w:cs="CG Times (W1)"/>
        </w:rPr>
      </w:pPr>
      <w:r>
        <w:rPr>
          <w:rFonts w:cs="CG Times (W1)"/>
        </w:rPr>
        <w:t>Irena</w:t>
      </w:r>
      <w:r w:rsidR="00117B7B">
        <w:rPr>
          <w:rFonts w:cs="CG Times (W1)"/>
        </w:rPr>
        <w:t xml:space="preserve"> Porter</w:t>
      </w:r>
      <w:r w:rsidR="00FD2A22" w:rsidRPr="00FD2A22">
        <w:rPr>
          <w:rFonts w:cs="CG Times (W1)"/>
        </w:rPr>
        <w:tab/>
      </w:r>
      <w:r w:rsidR="00FD2A22" w:rsidRPr="00FD2A22">
        <w:rPr>
          <w:rFonts w:cs="CG Times (W1)"/>
        </w:rPr>
        <w:tab/>
      </w:r>
      <w:r w:rsidR="00FD2A22" w:rsidRPr="00FD2A22">
        <w:rPr>
          <w:rFonts w:cs="CG Times (W1)"/>
        </w:rPr>
        <w:tab/>
      </w:r>
      <w:r w:rsidR="00362345">
        <w:rPr>
          <w:rFonts w:cs="CG Times (W1)"/>
        </w:rPr>
        <w:tab/>
      </w:r>
      <w:r w:rsidR="00FD2A22" w:rsidRPr="00FD2A22">
        <w:rPr>
          <w:rFonts w:cs="CG Times (W1)"/>
        </w:rPr>
        <w:tab/>
      </w:r>
      <w:r w:rsidR="00FD2A22" w:rsidRPr="00FD2A22">
        <w:rPr>
          <w:rFonts w:cs="CG Times (W1)"/>
        </w:rPr>
        <w:tab/>
        <w:t>:</w:t>
      </w:r>
    </w:p>
    <w:p w14:paraId="37A1B36E" w14:textId="77777777" w:rsidR="00FD2A22" w:rsidRPr="00FD2A22" w:rsidRDefault="00FD2A22" w:rsidP="00FD2A22">
      <w:pPr>
        <w:autoSpaceDE w:val="0"/>
        <w:autoSpaceDN w:val="0"/>
        <w:ind w:left="4320" w:firstLine="720"/>
        <w:rPr>
          <w:rFonts w:cs="CG Times (W1)"/>
        </w:rPr>
      </w:pPr>
      <w:r w:rsidRPr="00FD2A22">
        <w:rPr>
          <w:rFonts w:cs="CG Times (W1)"/>
        </w:rPr>
        <w:t>:</w:t>
      </w:r>
    </w:p>
    <w:p w14:paraId="516D5FA6" w14:textId="42DB1288" w:rsidR="00FD2A22" w:rsidRPr="00FD2A22" w:rsidRDefault="007871B3" w:rsidP="007871B3">
      <w:pPr>
        <w:tabs>
          <w:tab w:val="left" w:pos="720"/>
        </w:tabs>
        <w:autoSpaceDE w:val="0"/>
        <w:autoSpaceDN w:val="0"/>
        <w:rPr>
          <w:rFonts w:cs="CG Times (W1)"/>
        </w:rPr>
      </w:pPr>
      <w:r>
        <w:rPr>
          <w:rFonts w:cs="CG Times (W1)"/>
        </w:rPr>
        <w:tab/>
      </w:r>
      <w:r w:rsidR="00FD2A22" w:rsidRPr="00FD2A22">
        <w:rPr>
          <w:rFonts w:cs="CG Times (W1)"/>
        </w:rPr>
        <w:t>v.</w:t>
      </w:r>
      <w:r w:rsidR="00FD2A22" w:rsidRPr="00FD2A22">
        <w:rPr>
          <w:rFonts w:cs="CG Times (W1)"/>
        </w:rPr>
        <w:tab/>
      </w:r>
      <w:r w:rsidR="00FD2A22" w:rsidRPr="00FD2A22">
        <w:rPr>
          <w:rFonts w:cs="CG Times (W1)"/>
        </w:rPr>
        <w:tab/>
      </w:r>
      <w:r w:rsidR="00FD2A22" w:rsidRPr="00FD2A22">
        <w:rPr>
          <w:rFonts w:cs="CG Times (W1)"/>
        </w:rPr>
        <w:tab/>
      </w:r>
      <w:r w:rsidR="00FD2A22" w:rsidRPr="00FD2A22">
        <w:rPr>
          <w:rFonts w:cs="CG Times (W1)"/>
        </w:rPr>
        <w:tab/>
      </w:r>
      <w:r w:rsidR="00FD2A22" w:rsidRPr="00FD2A22">
        <w:rPr>
          <w:rFonts w:cs="CG Times (W1)"/>
        </w:rPr>
        <w:tab/>
      </w:r>
      <w:r>
        <w:rPr>
          <w:rFonts w:cs="CG Times (W1)"/>
        </w:rPr>
        <w:tab/>
      </w:r>
      <w:r w:rsidR="00FD2A22" w:rsidRPr="00FD2A22">
        <w:rPr>
          <w:rFonts w:cs="CG Times (W1)"/>
        </w:rPr>
        <w:t>:</w:t>
      </w:r>
      <w:r w:rsidR="00FD2A22" w:rsidRPr="00FD2A22">
        <w:rPr>
          <w:rFonts w:cs="CG Times (W1)"/>
        </w:rPr>
        <w:tab/>
      </w:r>
      <w:r w:rsidR="00FD2A22" w:rsidRPr="00FD2A22">
        <w:rPr>
          <w:rFonts w:cs="CG Times (W1)"/>
        </w:rPr>
        <w:tab/>
      </w:r>
      <w:r w:rsidR="00362345">
        <w:rPr>
          <w:rFonts w:cs="CG Times (W1)"/>
        </w:rPr>
        <w:t>C</w:t>
      </w:r>
      <w:r w:rsidR="00FD2A22" w:rsidRPr="00FD2A22">
        <w:rPr>
          <w:rFonts w:cs="CG Times (W1)"/>
        </w:rPr>
        <w:t>-20</w:t>
      </w:r>
      <w:r w:rsidR="00B46FBC">
        <w:rPr>
          <w:rFonts w:cs="CG Times (W1)"/>
        </w:rPr>
        <w:t>2</w:t>
      </w:r>
      <w:r w:rsidR="00123AA5">
        <w:rPr>
          <w:rFonts w:cs="CG Times (W1)"/>
        </w:rPr>
        <w:t>2</w:t>
      </w:r>
      <w:r w:rsidR="00FD2A22" w:rsidRPr="00FD2A22">
        <w:rPr>
          <w:rFonts w:cs="CG Times (W1)"/>
        </w:rPr>
        <w:t>-</w:t>
      </w:r>
      <w:r w:rsidR="00B46FBC">
        <w:rPr>
          <w:rFonts w:cs="CG Times (W1)"/>
        </w:rPr>
        <w:t>30</w:t>
      </w:r>
      <w:r w:rsidR="00123AA5">
        <w:rPr>
          <w:rFonts w:cs="CG Times (W1)"/>
        </w:rPr>
        <w:t>31693</w:t>
      </w:r>
      <w:r w:rsidR="00FD2A22" w:rsidRPr="00FD2A22">
        <w:rPr>
          <w:rFonts w:cs="CG Times (W1)"/>
        </w:rPr>
        <w:tab/>
      </w:r>
      <w:r w:rsidR="00FD2A22" w:rsidRPr="00FD2A22">
        <w:rPr>
          <w:rFonts w:cs="CG Times (W1)"/>
        </w:rPr>
        <w:tab/>
      </w:r>
      <w:r w:rsidR="00FD2A22" w:rsidRPr="00FD2A22">
        <w:rPr>
          <w:rFonts w:cs="CG Times (W1)"/>
        </w:rPr>
        <w:tab/>
      </w:r>
      <w:r w:rsidR="00FD2A22" w:rsidRPr="00FD2A22">
        <w:rPr>
          <w:rFonts w:cs="CG Times (W1)"/>
        </w:rPr>
        <w:tab/>
      </w:r>
      <w:r w:rsidR="00FD2A22" w:rsidRPr="00FD2A22">
        <w:rPr>
          <w:rFonts w:cs="CG Times (W1)"/>
        </w:rPr>
        <w:tab/>
      </w:r>
      <w:r w:rsidR="00FD2A22" w:rsidRPr="00FD2A22">
        <w:rPr>
          <w:rFonts w:cs="CG Times (W1)"/>
        </w:rPr>
        <w:tab/>
      </w:r>
      <w:r w:rsidR="00FD2A22" w:rsidRPr="00FD2A22">
        <w:rPr>
          <w:rFonts w:cs="CG Times (W1)"/>
        </w:rPr>
        <w:tab/>
      </w:r>
      <w:r w:rsidR="00FD2A22" w:rsidRPr="00FD2A22">
        <w:rPr>
          <w:rFonts w:cs="CG Times (W1)"/>
        </w:rPr>
        <w:tab/>
      </w:r>
      <w:r w:rsidR="00FD2A22" w:rsidRPr="00FD2A22">
        <w:rPr>
          <w:rFonts w:cs="CG Times (W1)"/>
        </w:rPr>
        <w:tab/>
        <w:t>:</w:t>
      </w:r>
    </w:p>
    <w:p w14:paraId="6BFB313A" w14:textId="241B2E6F" w:rsidR="00FD2A22" w:rsidRPr="00FD2A22" w:rsidRDefault="00DD749E" w:rsidP="00FD2A22">
      <w:pPr>
        <w:autoSpaceDE w:val="0"/>
        <w:autoSpaceDN w:val="0"/>
        <w:rPr>
          <w:rFonts w:cs="CG Times (W1)"/>
        </w:rPr>
      </w:pPr>
      <w:r>
        <w:rPr>
          <w:rFonts w:cs="CG Times (W1)"/>
        </w:rPr>
        <w:t>Philadelphia Gas Works</w:t>
      </w:r>
      <w:r>
        <w:rPr>
          <w:rFonts w:cs="CG Times (W1)"/>
        </w:rPr>
        <w:tab/>
      </w:r>
      <w:r>
        <w:rPr>
          <w:rFonts w:cs="CG Times (W1)"/>
        </w:rPr>
        <w:tab/>
      </w:r>
      <w:r w:rsidR="00FD2A22" w:rsidRPr="00FD2A22">
        <w:rPr>
          <w:rFonts w:cs="CG Times (W1)"/>
        </w:rPr>
        <w:tab/>
      </w:r>
      <w:r w:rsidR="00FD2A22" w:rsidRPr="00FD2A22">
        <w:rPr>
          <w:rFonts w:cs="CG Times (W1)"/>
        </w:rPr>
        <w:tab/>
        <w:t>:</w:t>
      </w:r>
    </w:p>
    <w:p w14:paraId="1E9C7AAE" w14:textId="77777777" w:rsidR="00FD2A22" w:rsidRDefault="00FD2A22" w:rsidP="00FD2A22">
      <w:pPr>
        <w:autoSpaceDE w:val="0"/>
        <w:autoSpaceDN w:val="0"/>
        <w:rPr>
          <w:rFonts w:cs="CG Times (W1)"/>
        </w:rPr>
      </w:pPr>
      <w:r w:rsidRPr="00FD2A22">
        <w:rPr>
          <w:rFonts w:cs="CG Times (W1)"/>
        </w:rPr>
        <w:tab/>
      </w:r>
      <w:r w:rsidRPr="00FD2A22">
        <w:rPr>
          <w:rFonts w:cs="CG Times (W1)"/>
        </w:rPr>
        <w:tab/>
      </w:r>
      <w:r w:rsidRPr="00FD2A22">
        <w:rPr>
          <w:rFonts w:cs="CG Times (W1)"/>
        </w:rPr>
        <w:tab/>
      </w:r>
      <w:r w:rsidRPr="00FD2A22">
        <w:rPr>
          <w:rFonts w:cs="CG Times (W1)"/>
        </w:rPr>
        <w:tab/>
      </w:r>
      <w:r w:rsidRPr="00FD2A22">
        <w:rPr>
          <w:rFonts w:cs="CG Times (W1)"/>
        </w:rPr>
        <w:tab/>
      </w:r>
      <w:r w:rsidRPr="00FD2A22">
        <w:rPr>
          <w:rFonts w:cs="CG Times (W1)"/>
        </w:rPr>
        <w:tab/>
      </w:r>
      <w:r w:rsidRPr="00FD2A22">
        <w:rPr>
          <w:rFonts w:cs="CG Times (W1)"/>
        </w:rPr>
        <w:tab/>
        <w:t>:</w:t>
      </w:r>
    </w:p>
    <w:p w14:paraId="741B1B62" w14:textId="77777777" w:rsidR="007871B3" w:rsidRPr="00FD2A22" w:rsidRDefault="007871B3" w:rsidP="00FD2A22">
      <w:pPr>
        <w:autoSpaceDE w:val="0"/>
        <w:autoSpaceDN w:val="0"/>
        <w:rPr>
          <w:rFonts w:cs="CG Times (W1)"/>
        </w:rPr>
      </w:pPr>
    </w:p>
    <w:p w14:paraId="5D8BC346" w14:textId="4EA4FA1E" w:rsidR="00FD2A22" w:rsidRDefault="00FD2A22" w:rsidP="00E4294F">
      <w:pPr>
        <w:autoSpaceDE w:val="0"/>
        <w:autoSpaceDN w:val="0"/>
        <w:jc w:val="both"/>
        <w:rPr>
          <w:rFonts w:cs="CG Times (W1)"/>
          <w:b/>
          <w:bCs/>
          <w:u w:val="single"/>
        </w:rPr>
      </w:pPr>
    </w:p>
    <w:p w14:paraId="2A1C3ED2" w14:textId="77777777" w:rsidR="00E4294F" w:rsidRPr="00FD2A22" w:rsidRDefault="00E4294F" w:rsidP="00E4294F">
      <w:pPr>
        <w:autoSpaceDE w:val="0"/>
        <w:autoSpaceDN w:val="0"/>
        <w:jc w:val="both"/>
        <w:rPr>
          <w:rFonts w:cs="CG Times (W1)"/>
          <w:b/>
          <w:bCs/>
          <w:u w:val="single"/>
        </w:rPr>
      </w:pPr>
    </w:p>
    <w:p w14:paraId="005623FE" w14:textId="77777777" w:rsidR="009B2CCC" w:rsidRPr="0070377B" w:rsidRDefault="009B2CCC" w:rsidP="009B2CCC">
      <w:pPr>
        <w:autoSpaceDE w:val="0"/>
        <w:autoSpaceDN w:val="0"/>
        <w:jc w:val="center"/>
        <w:rPr>
          <w:rFonts w:cs="CG Times (W1)"/>
          <w:b/>
          <w:bCs/>
        </w:rPr>
      </w:pPr>
      <w:r w:rsidRPr="0070377B">
        <w:rPr>
          <w:rFonts w:cs="CG Times (W1)"/>
          <w:b/>
          <w:bCs/>
        </w:rPr>
        <w:t>FIRST INTERIM ORDER</w:t>
      </w:r>
    </w:p>
    <w:p w14:paraId="193E878B" w14:textId="7871216A" w:rsidR="00701F8C" w:rsidRDefault="00E306E2" w:rsidP="0082480F">
      <w:pPr>
        <w:autoSpaceDE w:val="0"/>
        <w:autoSpaceDN w:val="0"/>
        <w:jc w:val="center"/>
        <w:rPr>
          <w:rFonts w:cs="CG Times (W1)"/>
          <w:b/>
          <w:bCs/>
        </w:rPr>
      </w:pPr>
      <w:r>
        <w:rPr>
          <w:rFonts w:cs="CG Times (W1)"/>
          <w:b/>
          <w:bCs/>
        </w:rPr>
        <w:t>SUSTAIN</w:t>
      </w:r>
      <w:r w:rsidR="00362345" w:rsidRPr="00362345">
        <w:rPr>
          <w:rFonts w:cs="CG Times (W1)"/>
          <w:b/>
          <w:bCs/>
        </w:rPr>
        <w:t>IN</w:t>
      </w:r>
      <w:r w:rsidR="00362345">
        <w:rPr>
          <w:rFonts w:cs="CG Times (W1)"/>
          <w:b/>
          <w:bCs/>
        </w:rPr>
        <w:t xml:space="preserve">G </w:t>
      </w:r>
      <w:r w:rsidR="009B2CCC" w:rsidRPr="0082480F">
        <w:rPr>
          <w:rFonts w:cs="CG Times (W1)"/>
          <w:b/>
          <w:bCs/>
        </w:rPr>
        <w:t>RESPONDENT’S</w:t>
      </w:r>
      <w:r w:rsidR="00701F8C">
        <w:rPr>
          <w:rFonts w:cs="CG Times (W1)"/>
          <w:b/>
          <w:bCs/>
        </w:rPr>
        <w:t xml:space="preserve"> </w:t>
      </w:r>
      <w:r w:rsidR="009B2CCC" w:rsidRPr="0082480F">
        <w:rPr>
          <w:rFonts w:cs="CG Times (W1)"/>
          <w:b/>
          <w:bCs/>
        </w:rPr>
        <w:t>PRELIM</w:t>
      </w:r>
      <w:r w:rsidR="00362345" w:rsidRPr="0082480F">
        <w:rPr>
          <w:rFonts w:cs="CG Times (W1)"/>
          <w:b/>
          <w:bCs/>
        </w:rPr>
        <w:t>I</w:t>
      </w:r>
      <w:r w:rsidR="009B2CCC" w:rsidRPr="0082480F">
        <w:rPr>
          <w:rFonts w:cs="CG Times (W1)"/>
          <w:b/>
          <w:bCs/>
        </w:rPr>
        <w:t>NARY OBJECTIONS</w:t>
      </w:r>
    </w:p>
    <w:p w14:paraId="333C6AA3" w14:textId="4C727811" w:rsidR="00FA72EC" w:rsidRPr="00701F8C" w:rsidRDefault="0082480F" w:rsidP="0082480F">
      <w:pPr>
        <w:autoSpaceDE w:val="0"/>
        <w:autoSpaceDN w:val="0"/>
        <w:jc w:val="center"/>
        <w:rPr>
          <w:rFonts w:cs="CG Times (W1)"/>
          <w:b/>
          <w:bCs/>
          <w:u w:val="single"/>
        </w:rPr>
      </w:pPr>
      <w:r w:rsidRPr="00701F8C">
        <w:rPr>
          <w:rFonts w:cs="CG Times (W1)"/>
          <w:b/>
          <w:bCs/>
          <w:u w:val="single"/>
        </w:rPr>
        <w:t>AND D</w:t>
      </w:r>
      <w:r w:rsidR="00D92077">
        <w:rPr>
          <w:rFonts w:cs="CG Times (W1)"/>
          <w:b/>
          <w:bCs/>
          <w:u w:val="single"/>
        </w:rPr>
        <w:t>ENYING</w:t>
      </w:r>
      <w:r w:rsidRPr="00701F8C">
        <w:rPr>
          <w:rFonts w:cs="CG Times (W1)"/>
          <w:b/>
          <w:bCs/>
          <w:u w:val="single"/>
        </w:rPr>
        <w:t xml:space="preserve"> RESPONDENT</w:t>
      </w:r>
      <w:r w:rsidR="00701F8C" w:rsidRPr="00701F8C">
        <w:rPr>
          <w:rFonts w:cs="CG Times (W1)"/>
          <w:b/>
          <w:bCs/>
          <w:u w:val="single"/>
        </w:rPr>
        <w:t>’S REQUEST TO DISMISS COMPLAINT</w:t>
      </w:r>
    </w:p>
    <w:p w14:paraId="19166E40" w14:textId="38C62F29" w:rsidR="00C26C92" w:rsidRPr="00E4294F" w:rsidRDefault="00C26C92" w:rsidP="00E4294F">
      <w:pPr>
        <w:autoSpaceDE w:val="0"/>
        <w:autoSpaceDN w:val="0"/>
        <w:spacing w:line="360" w:lineRule="auto"/>
        <w:jc w:val="center"/>
        <w:rPr>
          <w:rFonts w:cs="CG Times (W1)"/>
          <w:b/>
          <w:bCs/>
          <w:u w:val="single"/>
        </w:rPr>
      </w:pPr>
    </w:p>
    <w:p w14:paraId="523484EF" w14:textId="2329853B" w:rsidR="001A6410" w:rsidRDefault="00484E2E" w:rsidP="00E4294F">
      <w:pPr>
        <w:spacing w:line="360" w:lineRule="auto"/>
        <w:jc w:val="center"/>
        <w:rPr>
          <w:bCs/>
        </w:rPr>
      </w:pPr>
      <w:r>
        <w:rPr>
          <w:bCs/>
          <w:u w:val="single"/>
        </w:rPr>
        <w:t xml:space="preserve">PROCEDURAL </w:t>
      </w:r>
      <w:r w:rsidR="009B2CCC">
        <w:rPr>
          <w:bCs/>
          <w:u w:val="single"/>
        </w:rPr>
        <w:t>BACKGROUND</w:t>
      </w:r>
    </w:p>
    <w:p w14:paraId="1F8BEA1D" w14:textId="01D5EF1D" w:rsidR="00484E2E" w:rsidRDefault="00484E2E" w:rsidP="00E4294F">
      <w:pPr>
        <w:spacing w:line="360" w:lineRule="auto"/>
      </w:pPr>
    </w:p>
    <w:p w14:paraId="5CD96B50" w14:textId="5D7A1D3E" w:rsidR="00E07533" w:rsidRDefault="00E07533" w:rsidP="00E4294F">
      <w:pPr>
        <w:spacing w:line="360" w:lineRule="auto"/>
      </w:pPr>
      <w:r>
        <w:rPr>
          <w:u w:val="single"/>
        </w:rPr>
        <w:t>Complaint</w:t>
      </w:r>
    </w:p>
    <w:p w14:paraId="2B2692AE" w14:textId="77777777" w:rsidR="00E07533" w:rsidRPr="00E07533" w:rsidRDefault="00E07533" w:rsidP="00E4294F">
      <w:pPr>
        <w:spacing w:line="360" w:lineRule="auto"/>
      </w:pPr>
    </w:p>
    <w:p w14:paraId="2F4FC7C0" w14:textId="4D0D2C1C" w:rsidR="00221AB7" w:rsidRDefault="00484E2E" w:rsidP="00E4294F">
      <w:pPr>
        <w:spacing w:line="360" w:lineRule="auto"/>
        <w:ind w:firstLine="1440"/>
      </w:pPr>
      <w:r>
        <w:t xml:space="preserve">On </w:t>
      </w:r>
      <w:r w:rsidR="007D78CD">
        <w:t xml:space="preserve">March </w:t>
      </w:r>
      <w:r w:rsidR="009152F8">
        <w:t>28</w:t>
      </w:r>
      <w:r w:rsidR="00C64262">
        <w:t>, 202</w:t>
      </w:r>
      <w:r w:rsidR="006669E2">
        <w:t>2</w:t>
      </w:r>
      <w:r>
        <w:t xml:space="preserve">, Complainant </w:t>
      </w:r>
      <w:r w:rsidR="00107137">
        <w:t>Irena</w:t>
      </w:r>
      <w:r w:rsidR="006669E2">
        <w:t xml:space="preserve"> Porter</w:t>
      </w:r>
      <w:r>
        <w:t xml:space="preserve"> (Complainant or M</w:t>
      </w:r>
      <w:r w:rsidR="00512BF7">
        <w:t>s</w:t>
      </w:r>
      <w:r>
        <w:t xml:space="preserve">. </w:t>
      </w:r>
      <w:r w:rsidR="006669E2">
        <w:t>Porter</w:t>
      </w:r>
      <w:r>
        <w:t xml:space="preserve">) filed a Formal Complaint with the Pennsylvania Public Utility Commission (Commission) against </w:t>
      </w:r>
      <w:r w:rsidR="006669E2">
        <w:t xml:space="preserve">Philadelphia Gas Works </w:t>
      </w:r>
      <w:r w:rsidR="002D1150">
        <w:t>(Respondent or P</w:t>
      </w:r>
      <w:r w:rsidR="009852AE">
        <w:t>G</w:t>
      </w:r>
      <w:r w:rsidR="002D1150">
        <w:t>W</w:t>
      </w:r>
      <w:r w:rsidR="0067532D">
        <w:t>)</w:t>
      </w:r>
      <w:r w:rsidR="00155845">
        <w:t xml:space="preserve">.  </w:t>
      </w:r>
      <w:r w:rsidR="002D1150">
        <w:t>M</w:t>
      </w:r>
      <w:r w:rsidR="00512BF7">
        <w:t>s</w:t>
      </w:r>
      <w:r w:rsidR="002D1150">
        <w:t xml:space="preserve">. </w:t>
      </w:r>
      <w:r w:rsidR="00512BF7">
        <w:t xml:space="preserve">Porter </w:t>
      </w:r>
      <w:r w:rsidR="002D1150">
        <w:t>allege</w:t>
      </w:r>
      <w:r w:rsidR="00155845">
        <w:t>s</w:t>
      </w:r>
      <w:r w:rsidR="002D1150">
        <w:t xml:space="preserve"> </w:t>
      </w:r>
      <w:r w:rsidR="007A44A7">
        <w:t>(1) t</w:t>
      </w:r>
      <w:r w:rsidR="00C64262">
        <w:t xml:space="preserve">here are incorrect charges on </w:t>
      </w:r>
      <w:r w:rsidR="00893EDE">
        <w:t>my</w:t>
      </w:r>
      <w:r w:rsidR="00C64262">
        <w:t xml:space="preserve"> bill</w:t>
      </w:r>
      <w:r w:rsidR="005232EF">
        <w:t xml:space="preserve"> and (2) there are false allegations on </w:t>
      </w:r>
      <w:r w:rsidR="00893EDE">
        <w:t>my</w:t>
      </w:r>
      <w:r w:rsidR="005232EF">
        <w:t xml:space="preserve"> account</w:t>
      </w:r>
      <w:r w:rsidR="00A13B0B">
        <w:t>.</w:t>
      </w:r>
      <w:r w:rsidR="00775359">
        <w:t xml:space="preserve">  </w:t>
      </w:r>
      <w:r w:rsidR="00A13B0B">
        <w:t>Complaint ¶ 4.</w:t>
      </w:r>
      <w:r w:rsidR="00221AB7">
        <w:t xml:space="preserve"> </w:t>
      </w:r>
      <w:r w:rsidR="000545C8">
        <w:t xml:space="preserve"> </w:t>
      </w:r>
      <w:r w:rsidR="005214BA">
        <w:t xml:space="preserve">A PGW </w:t>
      </w:r>
      <w:r w:rsidR="00063F04">
        <w:t xml:space="preserve">Hazard </w:t>
      </w:r>
      <w:r w:rsidR="008D3ED0">
        <w:t>W</w:t>
      </w:r>
      <w:r w:rsidR="005214BA">
        <w:t xml:space="preserve">arning </w:t>
      </w:r>
      <w:r w:rsidR="005F4A8C">
        <w:t xml:space="preserve">directed </w:t>
      </w:r>
      <w:r w:rsidR="00B46720">
        <w:t xml:space="preserve">to Ms. Porter </w:t>
      </w:r>
      <w:r w:rsidR="000A6169">
        <w:t xml:space="preserve">and </w:t>
      </w:r>
      <w:r w:rsidR="009A1B31">
        <w:t xml:space="preserve">dated February 12, 2015, </w:t>
      </w:r>
      <w:r w:rsidR="00344262">
        <w:t>is</w:t>
      </w:r>
      <w:r w:rsidR="005214BA">
        <w:t xml:space="preserve"> a</w:t>
      </w:r>
      <w:r w:rsidR="00F630DD">
        <w:t>ttached to the Complaint</w:t>
      </w:r>
      <w:r w:rsidR="009A1B31">
        <w:t>.</w:t>
      </w:r>
      <w:r w:rsidR="00A409F9">
        <w:t xml:space="preserve"> </w:t>
      </w:r>
      <w:r w:rsidR="007043BD">
        <w:t xml:space="preserve"> The </w:t>
      </w:r>
      <w:r w:rsidR="00DD0355">
        <w:t>W</w:t>
      </w:r>
      <w:r w:rsidR="007043BD">
        <w:t xml:space="preserve">arning </w:t>
      </w:r>
      <w:r w:rsidR="00D3605A">
        <w:t xml:space="preserve">lists </w:t>
      </w:r>
      <w:r w:rsidR="007043BD">
        <w:t xml:space="preserve">conditions </w:t>
      </w:r>
      <w:r w:rsidR="00D3605A">
        <w:t xml:space="preserve">that need </w:t>
      </w:r>
      <w:r w:rsidR="007043BD">
        <w:t>to be corrected</w:t>
      </w:r>
      <w:r w:rsidR="004E2EB1">
        <w:t xml:space="preserve">: (1) </w:t>
      </w:r>
      <w:r w:rsidR="00D3605A">
        <w:t xml:space="preserve">a </w:t>
      </w:r>
      <w:r w:rsidR="001317CF">
        <w:t xml:space="preserve">fuel line leak and (2) a control valve bypass. </w:t>
      </w:r>
    </w:p>
    <w:p w14:paraId="2AA41D74" w14:textId="77777777" w:rsidR="00221AB7" w:rsidRDefault="00221AB7" w:rsidP="00E4294F">
      <w:pPr>
        <w:spacing w:line="360" w:lineRule="auto"/>
      </w:pPr>
    </w:p>
    <w:p w14:paraId="06FFD3A4" w14:textId="77777777" w:rsidR="00DD0C38" w:rsidRDefault="00A13B0B" w:rsidP="00E4294F">
      <w:pPr>
        <w:spacing w:line="360" w:lineRule="auto"/>
        <w:ind w:firstLine="1440"/>
      </w:pPr>
      <w:r>
        <w:t xml:space="preserve">For relief, </w:t>
      </w:r>
      <w:r w:rsidR="00EF2329">
        <w:t xml:space="preserve">Ms. </w:t>
      </w:r>
      <w:r w:rsidR="00867956">
        <w:t>Porter request</w:t>
      </w:r>
      <w:r w:rsidR="00EF2329">
        <w:t>ed</w:t>
      </w:r>
      <w:r w:rsidR="00867956">
        <w:t xml:space="preserve"> that the Commission</w:t>
      </w:r>
      <w:r w:rsidR="00673F38">
        <w:t xml:space="preserve"> </w:t>
      </w:r>
      <w:r w:rsidR="00855254">
        <w:t>order PGW to fix her bill as soon as possible because she c</w:t>
      </w:r>
      <w:r w:rsidR="00486D4A">
        <w:t>annot</w:t>
      </w:r>
      <w:r w:rsidR="00855254">
        <w:t xml:space="preserve"> receive help from LIHEAP</w:t>
      </w:r>
      <w:r w:rsidR="001E78D9">
        <w:rPr>
          <w:rStyle w:val="FootnoteReference"/>
        </w:rPr>
        <w:footnoteReference w:id="1"/>
      </w:r>
      <w:r w:rsidR="00620E66">
        <w:t xml:space="preserve"> with false allegations on her account.</w:t>
      </w:r>
      <w:r w:rsidR="003D633B">
        <w:t xml:space="preserve">  </w:t>
      </w:r>
      <w:r w:rsidR="004E7B49">
        <w:t>Complaint ¶ 5</w:t>
      </w:r>
      <w:r w:rsidR="000B2D68">
        <w:t xml:space="preserve">.  </w:t>
      </w:r>
    </w:p>
    <w:p w14:paraId="5124A498" w14:textId="30A9F224" w:rsidR="00D1626B" w:rsidRDefault="00D1626B" w:rsidP="00E4294F">
      <w:pPr>
        <w:spacing w:line="360" w:lineRule="auto"/>
        <w:ind w:firstLine="1440"/>
      </w:pPr>
    </w:p>
    <w:p w14:paraId="2EC4CCFB" w14:textId="77777777" w:rsidR="00C02614" w:rsidRDefault="00C02614" w:rsidP="00E4294F">
      <w:pPr>
        <w:spacing w:line="360" w:lineRule="auto"/>
      </w:pPr>
    </w:p>
    <w:p w14:paraId="6EB5AD31" w14:textId="4EF88EAD" w:rsidR="00063F04" w:rsidRPr="00C02614" w:rsidRDefault="00C02614" w:rsidP="00E4294F">
      <w:pPr>
        <w:spacing w:line="360" w:lineRule="auto"/>
        <w:rPr>
          <w:u w:val="single"/>
        </w:rPr>
      </w:pPr>
      <w:r>
        <w:rPr>
          <w:u w:val="single"/>
        </w:rPr>
        <w:lastRenderedPageBreak/>
        <w:t>Answer, New Matter and Preliminary Objections</w:t>
      </w:r>
    </w:p>
    <w:p w14:paraId="2F116CED" w14:textId="77777777" w:rsidR="00C02614" w:rsidRDefault="00C02614" w:rsidP="00E4294F">
      <w:pPr>
        <w:spacing w:line="360" w:lineRule="auto"/>
        <w:ind w:firstLine="1440"/>
      </w:pPr>
    </w:p>
    <w:p w14:paraId="3FA07C5B" w14:textId="6DCCFE03" w:rsidR="008A4AEB" w:rsidRDefault="00DD0C38" w:rsidP="00E4294F">
      <w:pPr>
        <w:spacing w:line="360" w:lineRule="auto"/>
        <w:ind w:firstLine="1440"/>
        <w:rPr>
          <w:sz w:val="23"/>
          <w:szCs w:val="23"/>
        </w:rPr>
      </w:pPr>
      <w:r>
        <w:t>O</w:t>
      </w:r>
      <w:r w:rsidR="004E7B49">
        <w:t xml:space="preserve">n </w:t>
      </w:r>
      <w:r w:rsidR="00D0440C">
        <w:t xml:space="preserve">April 20, 2022, </w:t>
      </w:r>
      <w:r w:rsidR="004E7B49">
        <w:t>P</w:t>
      </w:r>
      <w:r w:rsidR="00DB323B">
        <w:t>G</w:t>
      </w:r>
      <w:r w:rsidR="004E7B49">
        <w:t xml:space="preserve">W filed </w:t>
      </w:r>
      <w:r w:rsidR="00DB323B">
        <w:t xml:space="preserve">an Answer and New Matter and </w:t>
      </w:r>
      <w:r w:rsidR="004E7B49">
        <w:t>Preliminary Objections</w:t>
      </w:r>
      <w:r w:rsidR="0021492F">
        <w:t xml:space="preserve"> (POs)</w:t>
      </w:r>
      <w:r w:rsidR="009A06E3">
        <w:t xml:space="preserve">. PGW </w:t>
      </w:r>
      <w:r w:rsidR="008A4AEB">
        <w:t>denied that there were incorrect charges on Complainant’s bill</w:t>
      </w:r>
      <w:r w:rsidR="00936E1B">
        <w:t xml:space="preserve"> for</w:t>
      </w:r>
      <w:r w:rsidR="00CD1BB1" w:rsidRPr="00CD1BB1">
        <w:rPr>
          <w:sz w:val="23"/>
          <w:szCs w:val="23"/>
        </w:rPr>
        <w:t xml:space="preserve"> </w:t>
      </w:r>
      <w:r w:rsidR="00CD1BB1">
        <w:rPr>
          <w:sz w:val="23"/>
          <w:szCs w:val="23"/>
        </w:rPr>
        <w:t xml:space="preserve">service at 5351 Grays Avenue, Philadelphia PA </w:t>
      </w:r>
      <w:r w:rsidR="0049009F">
        <w:rPr>
          <w:sz w:val="23"/>
          <w:szCs w:val="23"/>
        </w:rPr>
        <w:t>(</w:t>
      </w:r>
      <w:bookmarkStart w:id="0" w:name="_Hlk106793460"/>
      <w:r w:rsidR="00A3391B">
        <w:rPr>
          <w:sz w:val="23"/>
          <w:szCs w:val="23"/>
        </w:rPr>
        <w:t xml:space="preserve">Grays </w:t>
      </w:r>
      <w:r w:rsidR="00CD1BB1">
        <w:rPr>
          <w:sz w:val="23"/>
          <w:szCs w:val="23"/>
        </w:rPr>
        <w:t>Service Address</w:t>
      </w:r>
      <w:bookmarkEnd w:id="0"/>
      <w:r w:rsidR="00CD1BB1">
        <w:rPr>
          <w:sz w:val="23"/>
          <w:szCs w:val="23"/>
        </w:rPr>
        <w:t xml:space="preserve">). </w:t>
      </w:r>
      <w:r w:rsidR="00CD1BB1">
        <w:t xml:space="preserve"> </w:t>
      </w:r>
      <w:r w:rsidR="006E6AA1">
        <w:t xml:space="preserve">PGW alleged </w:t>
      </w:r>
      <w:r w:rsidR="000062EA">
        <w:t xml:space="preserve">that when Ms. Porter </w:t>
      </w:r>
      <w:r w:rsidR="008A4AEB">
        <w:rPr>
          <w:sz w:val="23"/>
          <w:szCs w:val="23"/>
        </w:rPr>
        <w:t xml:space="preserve">established gas service at the </w:t>
      </w:r>
      <w:r w:rsidR="0018585E">
        <w:rPr>
          <w:sz w:val="23"/>
          <w:szCs w:val="23"/>
        </w:rPr>
        <w:t xml:space="preserve">Grays </w:t>
      </w:r>
      <w:r w:rsidR="008A4AEB">
        <w:rPr>
          <w:sz w:val="23"/>
          <w:szCs w:val="23"/>
        </w:rPr>
        <w:t>Service Address as of December 15, 2021</w:t>
      </w:r>
      <w:r w:rsidR="00DF22A9">
        <w:rPr>
          <w:sz w:val="23"/>
          <w:szCs w:val="23"/>
        </w:rPr>
        <w:t>,</w:t>
      </w:r>
      <w:r w:rsidR="008A4AEB">
        <w:rPr>
          <w:sz w:val="23"/>
          <w:szCs w:val="23"/>
        </w:rPr>
        <w:t xml:space="preserve"> PGW transferred Complaint’s theft balance from her account at 219 N. 53</w:t>
      </w:r>
      <w:r w:rsidR="008A4AEB">
        <w:rPr>
          <w:sz w:val="16"/>
          <w:szCs w:val="16"/>
        </w:rPr>
        <w:t xml:space="preserve">rd </w:t>
      </w:r>
      <w:r w:rsidR="008A4AEB">
        <w:rPr>
          <w:sz w:val="23"/>
          <w:szCs w:val="23"/>
        </w:rPr>
        <w:t xml:space="preserve">Street, Philadelphia PA </w:t>
      </w:r>
      <w:r w:rsidR="00A3391B">
        <w:rPr>
          <w:sz w:val="23"/>
          <w:szCs w:val="23"/>
        </w:rPr>
        <w:t>(53</w:t>
      </w:r>
      <w:r w:rsidR="00A3391B" w:rsidRPr="00A3391B">
        <w:rPr>
          <w:sz w:val="23"/>
          <w:szCs w:val="23"/>
          <w:vertAlign w:val="superscript"/>
        </w:rPr>
        <w:t>rd</w:t>
      </w:r>
      <w:r w:rsidR="00A3391B">
        <w:rPr>
          <w:sz w:val="23"/>
          <w:szCs w:val="23"/>
        </w:rPr>
        <w:t xml:space="preserve">  St.) </w:t>
      </w:r>
      <w:r w:rsidR="008A4AEB">
        <w:rPr>
          <w:sz w:val="23"/>
          <w:szCs w:val="23"/>
        </w:rPr>
        <w:t xml:space="preserve">to her account at the </w:t>
      </w:r>
      <w:r w:rsidR="00504406">
        <w:rPr>
          <w:sz w:val="23"/>
          <w:szCs w:val="23"/>
        </w:rPr>
        <w:t xml:space="preserve">Grays </w:t>
      </w:r>
      <w:r w:rsidR="008A4AEB">
        <w:rPr>
          <w:sz w:val="23"/>
          <w:szCs w:val="23"/>
        </w:rPr>
        <w:t xml:space="preserve">Service Address. </w:t>
      </w:r>
      <w:r w:rsidR="00C5022D">
        <w:rPr>
          <w:sz w:val="23"/>
          <w:szCs w:val="23"/>
        </w:rPr>
        <w:t xml:space="preserve"> </w:t>
      </w:r>
    </w:p>
    <w:p w14:paraId="53177D45" w14:textId="472DB33B" w:rsidR="00C5022D" w:rsidRDefault="00C5022D" w:rsidP="00E4294F">
      <w:pPr>
        <w:spacing w:line="360" w:lineRule="auto"/>
        <w:ind w:firstLine="1440"/>
        <w:rPr>
          <w:sz w:val="23"/>
          <w:szCs w:val="23"/>
        </w:rPr>
      </w:pPr>
    </w:p>
    <w:p w14:paraId="7C6F0E9F" w14:textId="5DC48583" w:rsidR="008A4AEB" w:rsidRDefault="00C5022D" w:rsidP="00E4294F">
      <w:pPr>
        <w:spacing w:line="360" w:lineRule="auto"/>
        <w:ind w:firstLine="1440"/>
        <w:rPr>
          <w:sz w:val="23"/>
          <w:szCs w:val="23"/>
        </w:rPr>
      </w:pPr>
      <w:r>
        <w:rPr>
          <w:sz w:val="23"/>
          <w:szCs w:val="23"/>
        </w:rPr>
        <w:t>In New Matter, PGW alleged</w:t>
      </w:r>
      <w:r w:rsidR="0064187F">
        <w:rPr>
          <w:sz w:val="23"/>
          <w:szCs w:val="23"/>
        </w:rPr>
        <w:t xml:space="preserve">, </w:t>
      </w:r>
      <w:r>
        <w:rPr>
          <w:sz w:val="23"/>
          <w:szCs w:val="23"/>
        </w:rPr>
        <w:t>o</w:t>
      </w:r>
      <w:r w:rsidR="008A4AEB">
        <w:rPr>
          <w:sz w:val="23"/>
          <w:szCs w:val="23"/>
        </w:rPr>
        <w:t>n February 12, 2015, PGW visited</w:t>
      </w:r>
      <w:r w:rsidR="00A312A0">
        <w:rPr>
          <w:sz w:val="23"/>
          <w:szCs w:val="23"/>
        </w:rPr>
        <w:t xml:space="preserve"> </w:t>
      </w:r>
      <w:r w:rsidR="008A4AEB">
        <w:rPr>
          <w:sz w:val="23"/>
          <w:szCs w:val="23"/>
        </w:rPr>
        <w:t>53</w:t>
      </w:r>
      <w:r w:rsidR="008A4AEB">
        <w:rPr>
          <w:sz w:val="16"/>
          <w:szCs w:val="16"/>
        </w:rPr>
        <w:t xml:space="preserve">rd </w:t>
      </w:r>
      <w:r w:rsidR="008A4AEB">
        <w:rPr>
          <w:sz w:val="23"/>
          <w:szCs w:val="23"/>
        </w:rPr>
        <w:t>Street and discovered a tampered meter bypass.</w:t>
      </w:r>
      <w:r w:rsidR="00277153">
        <w:rPr>
          <w:sz w:val="23"/>
          <w:szCs w:val="23"/>
        </w:rPr>
        <w:t xml:space="preserve">  </w:t>
      </w:r>
      <w:r w:rsidR="00876C9A">
        <w:rPr>
          <w:sz w:val="23"/>
          <w:szCs w:val="23"/>
        </w:rPr>
        <w:t xml:space="preserve">PGW further alleged that on </w:t>
      </w:r>
      <w:r w:rsidR="008A4AEB">
        <w:rPr>
          <w:sz w:val="23"/>
          <w:szCs w:val="23"/>
        </w:rPr>
        <w:t xml:space="preserve">March 2, 2015, PGW billed </w:t>
      </w:r>
      <w:r w:rsidR="00F60607">
        <w:rPr>
          <w:sz w:val="23"/>
          <w:szCs w:val="23"/>
        </w:rPr>
        <w:t>Ms. Porter</w:t>
      </w:r>
      <w:r w:rsidR="008A4AEB">
        <w:rPr>
          <w:sz w:val="23"/>
          <w:szCs w:val="23"/>
        </w:rPr>
        <w:t xml:space="preserve"> $2,477.59 in theft charges based on historical usage at </w:t>
      </w:r>
      <w:r w:rsidR="00F17436">
        <w:rPr>
          <w:sz w:val="23"/>
          <w:szCs w:val="23"/>
        </w:rPr>
        <w:t>53</w:t>
      </w:r>
      <w:r w:rsidR="00F17436" w:rsidRPr="00F17436">
        <w:rPr>
          <w:sz w:val="23"/>
          <w:szCs w:val="23"/>
          <w:vertAlign w:val="superscript"/>
        </w:rPr>
        <w:t>rd</w:t>
      </w:r>
      <w:r w:rsidR="00F17436">
        <w:rPr>
          <w:sz w:val="23"/>
          <w:szCs w:val="23"/>
        </w:rPr>
        <w:t xml:space="preserve"> St.</w:t>
      </w:r>
      <w:r w:rsidR="009D4337">
        <w:rPr>
          <w:sz w:val="23"/>
          <w:szCs w:val="23"/>
        </w:rPr>
        <w:t xml:space="preserve"> </w:t>
      </w:r>
      <w:r w:rsidR="008A4AEB">
        <w:rPr>
          <w:sz w:val="23"/>
          <w:szCs w:val="23"/>
        </w:rPr>
        <w:t xml:space="preserve"> </w:t>
      </w:r>
      <w:r w:rsidR="00684464">
        <w:rPr>
          <w:sz w:val="23"/>
          <w:szCs w:val="23"/>
        </w:rPr>
        <w:t xml:space="preserve">According to </w:t>
      </w:r>
      <w:r w:rsidR="008A4AEB">
        <w:rPr>
          <w:sz w:val="23"/>
          <w:szCs w:val="23"/>
        </w:rPr>
        <w:t xml:space="preserve">PGW on March 2, 2015, </w:t>
      </w:r>
      <w:r w:rsidR="00684464">
        <w:rPr>
          <w:sz w:val="23"/>
          <w:szCs w:val="23"/>
        </w:rPr>
        <w:t xml:space="preserve">Ms. Porter </w:t>
      </w:r>
      <w:r w:rsidR="008A4AEB">
        <w:rPr>
          <w:sz w:val="23"/>
          <w:szCs w:val="23"/>
        </w:rPr>
        <w:t xml:space="preserve">filed an </w:t>
      </w:r>
      <w:r w:rsidR="00B61572">
        <w:rPr>
          <w:sz w:val="23"/>
          <w:szCs w:val="23"/>
        </w:rPr>
        <w:t>i</w:t>
      </w:r>
      <w:r w:rsidR="008A4AEB">
        <w:rPr>
          <w:sz w:val="23"/>
          <w:szCs w:val="23"/>
        </w:rPr>
        <w:t xml:space="preserve">nformal </w:t>
      </w:r>
      <w:r w:rsidR="00B61572">
        <w:rPr>
          <w:sz w:val="23"/>
          <w:szCs w:val="23"/>
        </w:rPr>
        <w:t>c</w:t>
      </w:r>
      <w:r w:rsidR="008A4AEB">
        <w:rPr>
          <w:sz w:val="23"/>
          <w:szCs w:val="23"/>
        </w:rPr>
        <w:t>omplaint with the Commission’s Bureau of Consumer Services (BCS) at Docket No. 3322700</w:t>
      </w:r>
      <w:r w:rsidR="00936195">
        <w:rPr>
          <w:sz w:val="23"/>
          <w:szCs w:val="23"/>
        </w:rPr>
        <w:t xml:space="preserve"> challenging the theft charges</w:t>
      </w:r>
      <w:r w:rsidR="00B44FC7">
        <w:rPr>
          <w:sz w:val="23"/>
          <w:szCs w:val="23"/>
        </w:rPr>
        <w:t xml:space="preserve">. </w:t>
      </w:r>
      <w:r w:rsidR="00EC197F">
        <w:rPr>
          <w:sz w:val="23"/>
          <w:szCs w:val="23"/>
        </w:rPr>
        <w:t xml:space="preserve"> </w:t>
      </w:r>
      <w:r w:rsidR="00B44FC7">
        <w:rPr>
          <w:sz w:val="23"/>
          <w:szCs w:val="23"/>
        </w:rPr>
        <w:t xml:space="preserve">PGW </w:t>
      </w:r>
      <w:r w:rsidR="00A00F83">
        <w:rPr>
          <w:sz w:val="23"/>
          <w:szCs w:val="23"/>
        </w:rPr>
        <w:t xml:space="preserve">attached </w:t>
      </w:r>
      <w:r w:rsidR="00B44FC7">
        <w:rPr>
          <w:sz w:val="23"/>
          <w:szCs w:val="23"/>
        </w:rPr>
        <w:t>a copy of the informal complai</w:t>
      </w:r>
      <w:r w:rsidR="00352AD4">
        <w:rPr>
          <w:sz w:val="23"/>
          <w:szCs w:val="23"/>
        </w:rPr>
        <w:t>nt</w:t>
      </w:r>
      <w:r w:rsidR="00B44FC7">
        <w:rPr>
          <w:sz w:val="23"/>
          <w:szCs w:val="23"/>
        </w:rPr>
        <w:t xml:space="preserve"> to i</w:t>
      </w:r>
      <w:r w:rsidR="00EC197F">
        <w:rPr>
          <w:sz w:val="23"/>
          <w:szCs w:val="23"/>
        </w:rPr>
        <w:t>t</w:t>
      </w:r>
      <w:r w:rsidR="00B44FC7">
        <w:rPr>
          <w:sz w:val="23"/>
          <w:szCs w:val="23"/>
        </w:rPr>
        <w:t>s Answer as E</w:t>
      </w:r>
      <w:r w:rsidR="008A4AEB">
        <w:rPr>
          <w:sz w:val="23"/>
          <w:szCs w:val="23"/>
        </w:rPr>
        <w:t>xhibit A</w:t>
      </w:r>
      <w:r w:rsidR="0055653F">
        <w:rPr>
          <w:sz w:val="23"/>
          <w:szCs w:val="23"/>
        </w:rPr>
        <w:t xml:space="preserve"> and attached as Exhibit </w:t>
      </w:r>
      <w:r w:rsidR="00CB4B36">
        <w:rPr>
          <w:sz w:val="23"/>
          <w:szCs w:val="23"/>
        </w:rPr>
        <w:t xml:space="preserve">B a copy of the BCS decision dismissing </w:t>
      </w:r>
      <w:r w:rsidR="00A00F83">
        <w:rPr>
          <w:sz w:val="23"/>
          <w:szCs w:val="23"/>
        </w:rPr>
        <w:t>the informal complaint</w:t>
      </w:r>
      <w:r w:rsidR="008A4AEB">
        <w:rPr>
          <w:sz w:val="23"/>
          <w:szCs w:val="23"/>
        </w:rPr>
        <w:t xml:space="preserve">. </w:t>
      </w:r>
      <w:r w:rsidR="00A00F83">
        <w:rPr>
          <w:sz w:val="23"/>
          <w:szCs w:val="23"/>
        </w:rPr>
        <w:t xml:space="preserve"> </w:t>
      </w:r>
      <w:r w:rsidR="002E31CF">
        <w:rPr>
          <w:sz w:val="23"/>
          <w:szCs w:val="23"/>
        </w:rPr>
        <w:t xml:space="preserve">PGW asserted that Ms. Porter </w:t>
      </w:r>
      <w:r w:rsidR="008A4AEB">
        <w:rPr>
          <w:sz w:val="23"/>
          <w:szCs w:val="23"/>
        </w:rPr>
        <w:t xml:space="preserve">did not appeal the BCS decision at Docket No. 3322700 or in any other way further contest the theft bill. </w:t>
      </w:r>
    </w:p>
    <w:p w14:paraId="05A3E0E4" w14:textId="77777777" w:rsidR="00C10FF5" w:rsidRDefault="00C10FF5" w:rsidP="00E4294F">
      <w:pPr>
        <w:pStyle w:val="Default"/>
        <w:spacing w:line="360" w:lineRule="auto"/>
        <w:rPr>
          <w:sz w:val="23"/>
          <w:szCs w:val="23"/>
        </w:rPr>
      </w:pPr>
    </w:p>
    <w:p w14:paraId="40AB470E" w14:textId="77777777" w:rsidR="00601E59" w:rsidRDefault="00B808FA" w:rsidP="00E4294F">
      <w:pPr>
        <w:pStyle w:val="Default"/>
        <w:spacing w:line="360" w:lineRule="auto"/>
        <w:ind w:firstLine="1440"/>
        <w:rPr>
          <w:sz w:val="23"/>
          <w:szCs w:val="23"/>
        </w:rPr>
      </w:pPr>
      <w:r>
        <w:rPr>
          <w:sz w:val="23"/>
          <w:szCs w:val="23"/>
        </w:rPr>
        <w:t>PGW further asserted that t</w:t>
      </w:r>
      <w:r w:rsidR="008A4AEB">
        <w:rPr>
          <w:sz w:val="23"/>
          <w:szCs w:val="23"/>
        </w:rPr>
        <w:t xml:space="preserve">he statute of limitations at 66 Pa.C.S. § 3314 provides that no action for recovery of penalties or forfeitures, or any prosecution, may be maintained unless brought within three years from the date the liability arose. </w:t>
      </w:r>
      <w:r w:rsidR="00276AF3">
        <w:rPr>
          <w:sz w:val="23"/>
          <w:szCs w:val="23"/>
        </w:rPr>
        <w:t xml:space="preserve"> </w:t>
      </w:r>
      <w:r w:rsidR="00015062">
        <w:rPr>
          <w:sz w:val="23"/>
          <w:szCs w:val="23"/>
        </w:rPr>
        <w:t>Consequently, PGW argued</w:t>
      </w:r>
      <w:r w:rsidR="00601E59">
        <w:rPr>
          <w:sz w:val="23"/>
          <w:szCs w:val="23"/>
        </w:rPr>
        <w:t xml:space="preserve"> as follows:</w:t>
      </w:r>
    </w:p>
    <w:p w14:paraId="59E8E4D9" w14:textId="77777777" w:rsidR="00601E59" w:rsidRDefault="00601E59" w:rsidP="00F874CC">
      <w:pPr>
        <w:pStyle w:val="Default"/>
        <w:spacing w:line="360" w:lineRule="auto"/>
        <w:ind w:firstLine="1440"/>
        <w:rPr>
          <w:sz w:val="23"/>
          <w:szCs w:val="23"/>
        </w:rPr>
      </w:pPr>
    </w:p>
    <w:p w14:paraId="31D540D3" w14:textId="7068E90F" w:rsidR="0018274C" w:rsidRDefault="00601E59" w:rsidP="00601E59">
      <w:pPr>
        <w:pStyle w:val="Default"/>
        <w:ind w:left="1440" w:right="720"/>
        <w:rPr>
          <w:sz w:val="23"/>
          <w:szCs w:val="23"/>
        </w:rPr>
      </w:pPr>
      <w:r>
        <w:rPr>
          <w:sz w:val="23"/>
          <w:szCs w:val="23"/>
        </w:rPr>
        <w:t>15.</w:t>
      </w:r>
      <w:r>
        <w:rPr>
          <w:sz w:val="23"/>
          <w:szCs w:val="23"/>
        </w:rPr>
        <w:tab/>
      </w:r>
      <w:r w:rsidR="0018274C">
        <w:rPr>
          <w:sz w:val="23"/>
          <w:szCs w:val="23"/>
        </w:rPr>
        <w:t>The statute of limitations at 66 Pa.C.S. § 3314 divests the Commission of jurisdiction to hear an action brought more than three years from the date the liability arose.</w:t>
      </w:r>
    </w:p>
    <w:p w14:paraId="03C1C676" w14:textId="77777777" w:rsidR="00601E59" w:rsidRDefault="00601E59" w:rsidP="00601E59">
      <w:pPr>
        <w:pStyle w:val="Default"/>
        <w:ind w:left="1440" w:right="720"/>
        <w:rPr>
          <w:sz w:val="23"/>
          <w:szCs w:val="23"/>
        </w:rPr>
      </w:pPr>
    </w:p>
    <w:p w14:paraId="3ED067DE" w14:textId="5742CEE7" w:rsidR="00601E59" w:rsidRDefault="00601E59" w:rsidP="00601E59">
      <w:pPr>
        <w:pStyle w:val="Default"/>
        <w:ind w:left="1440" w:right="720"/>
        <w:rPr>
          <w:sz w:val="23"/>
          <w:szCs w:val="23"/>
        </w:rPr>
      </w:pPr>
      <w:r>
        <w:rPr>
          <w:sz w:val="23"/>
          <w:szCs w:val="23"/>
        </w:rPr>
        <w:t>16.</w:t>
      </w:r>
      <w:r>
        <w:rPr>
          <w:sz w:val="23"/>
          <w:szCs w:val="23"/>
        </w:rPr>
        <w:tab/>
      </w:r>
      <w:r w:rsidR="008A4AEB">
        <w:rPr>
          <w:sz w:val="23"/>
          <w:szCs w:val="23"/>
        </w:rPr>
        <w:t>The</w:t>
      </w:r>
      <w:r w:rsidR="00F874CC">
        <w:rPr>
          <w:sz w:val="23"/>
          <w:szCs w:val="23"/>
        </w:rPr>
        <w:t xml:space="preserve"> </w:t>
      </w:r>
      <w:r w:rsidR="008A4AEB">
        <w:rPr>
          <w:sz w:val="23"/>
          <w:szCs w:val="23"/>
        </w:rPr>
        <w:t>Complainant has lost her right to pursue litigation before the Commission regarding the theft charges levied against Complainant in 2015, as any cause of action falls outside the statute of limitations.</w:t>
      </w:r>
      <w:r w:rsidR="00F874CC">
        <w:rPr>
          <w:sz w:val="23"/>
          <w:szCs w:val="23"/>
        </w:rPr>
        <w:t>”</w:t>
      </w:r>
    </w:p>
    <w:p w14:paraId="5ADDA81F" w14:textId="77777777" w:rsidR="00601E59" w:rsidRDefault="00601E59" w:rsidP="00F874CC">
      <w:pPr>
        <w:pStyle w:val="Default"/>
        <w:spacing w:line="360" w:lineRule="auto"/>
        <w:ind w:firstLine="1440"/>
        <w:rPr>
          <w:sz w:val="23"/>
          <w:szCs w:val="23"/>
        </w:rPr>
      </w:pPr>
    </w:p>
    <w:p w14:paraId="298455B8" w14:textId="1C0C83E8" w:rsidR="00D900E6" w:rsidRDefault="00F874CC" w:rsidP="00302FC7">
      <w:pPr>
        <w:pStyle w:val="Default"/>
        <w:spacing w:line="360" w:lineRule="auto"/>
        <w:rPr>
          <w:sz w:val="23"/>
          <w:szCs w:val="23"/>
        </w:rPr>
      </w:pPr>
      <w:r>
        <w:rPr>
          <w:sz w:val="23"/>
          <w:szCs w:val="23"/>
        </w:rPr>
        <w:t xml:space="preserve">  New Matter </w:t>
      </w:r>
      <w:r w:rsidR="007F2030">
        <w:rPr>
          <w:sz w:val="23"/>
          <w:szCs w:val="23"/>
        </w:rPr>
        <w:t>¶</w:t>
      </w:r>
      <w:r w:rsidR="00302FC7">
        <w:rPr>
          <w:sz w:val="23"/>
          <w:szCs w:val="23"/>
        </w:rPr>
        <w:t>¶</w:t>
      </w:r>
      <w:r w:rsidR="000C6139">
        <w:rPr>
          <w:sz w:val="23"/>
          <w:szCs w:val="23"/>
        </w:rPr>
        <w:t xml:space="preserve"> 15-</w:t>
      </w:r>
      <w:r w:rsidR="003D050E">
        <w:rPr>
          <w:sz w:val="23"/>
          <w:szCs w:val="23"/>
        </w:rPr>
        <w:t xml:space="preserve">16.  </w:t>
      </w:r>
    </w:p>
    <w:p w14:paraId="2E931F2D" w14:textId="77777777" w:rsidR="00D900E6" w:rsidRDefault="00D900E6" w:rsidP="00F874CC">
      <w:pPr>
        <w:pStyle w:val="Default"/>
        <w:spacing w:line="360" w:lineRule="auto"/>
        <w:ind w:firstLine="1440"/>
        <w:rPr>
          <w:sz w:val="23"/>
          <w:szCs w:val="23"/>
        </w:rPr>
      </w:pPr>
    </w:p>
    <w:p w14:paraId="73270A53" w14:textId="3E830DB6" w:rsidR="008A4AEB" w:rsidRDefault="00D900E6" w:rsidP="00D900E6">
      <w:pPr>
        <w:pStyle w:val="Default"/>
        <w:spacing w:line="360" w:lineRule="auto"/>
        <w:ind w:firstLine="1440"/>
        <w:rPr>
          <w:sz w:val="23"/>
          <w:szCs w:val="23"/>
        </w:rPr>
      </w:pPr>
      <w:r>
        <w:rPr>
          <w:sz w:val="23"/>
          <w:szCs w:val="23"/>
        </w:rPr>
        <w:t xml:space="preserve">For relief, PGW requested that the </w:t>
      </w:r>
      <w:r w:rsidR="008A4AEB">
        <w:rPr>
          <w:sz w:val="23"/>
          <w:szCs w:val="23"/>
        </w:rPr>
        <w:t>Commission deny all relief requested in the Complaint, dismiss the Complaint, and grant any other relief in favor of PGW as deemed appropriate.</w:t>
      </w:r>
    </w:p>
    <w:p w14:paraId="28C57434" w14:textId="77777777" w:rsidR="0011799D" w:rsidRDefault="00780E78" w:rsidP="00D900E6">
      <w:pPr>
        <w:pStyle w:val="Default"/>
        <w:spacing w:line="360" w:lineRule="auto"/>
        <w:ind w:firstLine="1440"/>
      </w:pPr>
      <w:r>
        <w:lastRenderedPageBreak/>
        <w:t xml:space="preserve">PGW’s POs </w:t>
      </w:r>
      <w:r w:rsidR="00077756">
        <w:t>incorporated the averments of its New Matter</w:t>
      </w:r>
      <w:r w:rsidR="00B515CB">
        <w:t xml:space="preserve"> and </w:t>
      </w:r>
      <w:r w:rsidR="0011799D">
        <w:t>argued as follows:</w:t>
      </w:r>
    </w:p>
    <w:p w14:paraId="7145326A" w14:textId="25891B26" w:rsidR="00A53B75" w:rsidRDefault="00CA607B" w:rsidP="0011799D">
      <w:pPr>
        <w:pStyle w:val="Default"/>
        <w:spacing w:line="360" w:lineRule="auto"/>
      </w:pPr>
      <w:r>
        <w:tab/>
      </w:r>
      <w:r>
        <w:tab/>
      </w:r>
    </w:p>
    <w:p w14:paraId="17E33F86" w14:textId="7E809AB0" w:rsidR="00CA607B" w:rsidRDefault="00CA607B" w:rsidP="00CA607B">
      <w:pPr>
        <w:pStyle w:val="Default"/>
        <w:ind w:left="1440" w:right="720"/>
      </w:pPr>
      <w:r w:rsidRPr="00CA607B">
        <w:t xml:space="preserve">7. </w:t>
      </w:r>
      <w:r>
        <w:tab/>
      </w:r>
      <w:r w:rsidRPr="00CA607B">
        <w:t>Section 5.101(a)(1) of the Commission’s regulations permits a party to file a preliminary objection based on the lack of Commission jurisdiction.</w:t>
      </w:r>
      <w:r>
        <w:t xml:space="preserve"> . . . .</w:t>
      </w:r>
      <w:r>
        <w:tab/>
      </w:r>
      <w:r>
        <w:tab/>
      </w:r>
    </w:p>
    <w:p w14:paraId="717523F1" w14:textId="35F0D787" w:rsidR="001A3AA9" w:rsidRDefault="001A3AA9" w:rsidP="00D900E6">
      <w:pPr>
        <w:pStyle w:val="Default"/>
        <w:spacing w:line="360" w:lineRule="auto"/>
        <w:ind w:firstLine="1440"/>
      </w:pPr>
    </w:p>
    <w:p w14:paraId="0F4EB385" w14:textId="6F4912AC" w:rsidR="001A3AA9" w:rsidRPr="001A3AA9" w:rsidRDefault="001A3AA9" w:rsidP="0011799D">
      <w:pPr>
        <w:pStyle w:val="Default"/>
        <w:ind w:left="1440" w:right="720"/>
      </w:pPr>
      <w:r w:rsidRPr="001A3AA9">
        <w:t xml:space="preserve">8. </w:t>
      </w:r>
      <w:r w:rsidR="0011799D">
        <w:tab/>
      </w:r>
      <w:bookmarkStart w:id="1" w:name="_Hlk106791268"/>
      <w:r w:rsidRPr="001A3AA9">
        <w:t xml:space="preserve">In the Complaint, Complainant seems to be seeking relief from a theft bill dating back to 2015, which presumably gives rise to the “false accusations” on her account. </w:t>
      </w:r>
      <w:r w:rsidRPr="001A3AA9">
        <w:rPr>
          <w:i/>
          <w:iCs/>
        </w:rPr>
        <w:t xml:space="preserve">See </w:t>
      </w:r>
      <w:r w:rsidRPr="001A3AA9">
        <w:t xml:space="preserve">Complaint at ¶ 5. The photocopied page of PGW Hazard Tags included with the Complaint corroborate that the issue raised in the Complaint is from 2015. While not referred to outright in her prayer for relief, to the extent that Complainant intends to argue that the theft bill from 2015 is somehow a violation of PGW’s tariff, the Public Utility Code, or any applicable regulations, those claims are barred by the applicable statute of limitations. </w:t>
      </w:r>
    </w:p>
    <w:bookmarkEnd w:id="1"/>
    <w:p w14:paraId="7AEE1A3C" w14:textId="77777777" w:rsidR="0011799D" w:rsidRDefault="0011799D" w:rsidP="001A3AA9">
      <w:pPr>
        <w:pStyle w:val="Default"/>
        <w:spacing w:line="360" w:lineRule="auto"/>
        <w:ind w:firstLine="1440"/>
      </w:pPr>
    </w:p>
    <w:p w14:paraId="059ED967" w14:textId="72EFB39E" w:rsidR="00A86044" w:rsidRDefault="001A3AA9" w:rsidP="008235AA">
      <w:pPr>
        <w:pStyle w:val="Default"/>
        <w:ind w:left="1440" w:right="720"/>
      </w:pPr>
      <w:r w:rsidRPr="001A3AA9">
        <w:t xml:space="preserve">9. </w:t>
      </w:r>
      <w:r w:rsidR="00752747">
        <w:tab/>
      </w:r>
      <w:r w:rsidRPr="001A3AA9">
        <w:t xml:space="preserve">The statute of limitations </w:t>
      </w:r>
      <w:r w:rsidR="00F76A81" w:rsidRPr="00F76A81">
        <w:t>at 66Pa.C.S.§</w:t>
      </w:r>
      <w:r w:rsidR="006F2C30">
        <w:t xml:space="preserve"> </w:t>
      </w:r>
      <w:r w:rsidR="00F76A81" w:rsidRPr="00F76A81">
        <w:t xml:space="preserve">3314 is a jurisdictional issue. It </w:t>
      </w:r>
      <w:r w:rsidR="007F3A30">
        <w:t>requires t</w:t>
      </w:r>
      <w:r w:rsidR="00F76A81" w:rsidRPr="00F76A81">
        <w:t>hat</w:t>
      </w:r>
      <w:r w:rsidR="007F3A30">
        <w:t xml:space="preserve"> </w:t>
      </w:r>
      <w:r w:rsidR="00F76A81" w:rsidRPr="00F76A81">
        <w:t>any</w:t>
      </w:r>
      <w:r w:rsidR="007F3A30">
        <w:t xml:space="preserve"> </w:t>
      </w:r>
      <w:r w:rsidR="00F76A81" w:rsidRPr="00F76A81">
        <w:t>complaint seeking relief under the Public Utility Code be brought within three years from the date at which the liability therefor arose. As a jurisdictional issue, the statute of limitations and the Commission's lack</w:t>
      </w:r>
      <w:r w:rsidR="00A253D7">
        <w:t xml:space="preserve"> of jurisdiction may be raised at any time</w:t>
      </w:r>
      <w:r w:rsidR="00752747">
        <w:t>.</w:t>
      </w:r>
      <w:r w:rsidR="00F76A81" w:rsidRPr="00F76A81">
        <w:t xml:space="preserve"> </w:t>
      </w:r>
      <w:r w:rsidR="00AE7B87">
        <w:t>[</w:t>
      </w:r>
      <w:r w:rsidR="00752747">
        <w:t>citation</w:t>
      </w:r>
      <w:r w:rsidR="00AE7B87">
        <w:t xml:space="preserve"> omitted]</w:t>
      </w:r>
    </w:p>
    <w:p w14:paraId="36C2F07D" w14:textId="77777777" w:rsidR="00A86044" w:rsidRDefault="00A86044" w:rsidP="008235AA">
      <w:pPr>
        <w:pStyle w:val="Default"/>
        <w:ind w:left="1440" w:right="720"/>
      </w:pPr>
    </w:p>
    <w:p w14:paraId="24A8017E" w14:textId="121092F8" w:rsidR="008235AA" w:rsidRPr="00F76A81" w:rsidRDefault="00A86044" w:rsidP="00236993">
      <w:pPr>
        <w:pStyle w:val="Default"/>
        <w:ind w:left="720" w:right="720" w:firstLine="720"/>
      </w:pPr>
      <w:r w:rsidRPr="00A86044">
        <w:t xml:space="preserve">10. </w:t>
      </w:r>
      <w:r w:rsidR="00236993">
        <w:tab/>
      </w:r>
      <w:r w:rsidRPr="00A86044">
        <w:t>The Complaint was filed March 28, 2022.</w:t>
      </w:r>
    </w:p>
    <w:p w14:paraId="5C18396F" w14:textId="77777777" w:rsidR="00236993" w:rsidRDefault="00236993" w:rsidP="008235AA">
      <w:pPr>
        <w:pStyle w:val="Default"/>
        <w:ind w:left="1440" w:right="720"/>
      </w:pPr>
    </w:p>
    <w:p w14:paraId="26658C53" w14:textId="377D46F7" w:rsidR="00F76A81" w:rsidRDefault="00F76A81" w:rsidP="008235AA">
      <w:pPr>
        <w:pStyle w:val="Default"/>
        <w:ind w:left="1440" w:right="720"/>
      </w:pPr>
      <w:r w:rsidRPr="00F76A81">
        <w:t>11.</w:t>
      </w:r>
      <w:r w:rsidR="008235AA">
        <w:tab/>
      </w:r>
      <w:r w:rsidRPr="00F76A81">
        <w:t xml:space="preserve"> PGW billed Complainant for the theft in 2015. </w:t>
      </w:r>
    </w:p>
    <w:p w14:paraId="3D420DC2" w14:textId="77777777" w:rsidR="008235AA" w:rsidRPr="00F76A81" w:rsidRDefault="008235AA" w:rsidP="008235AA">
      <w:pPr>
        <w:pStyle w:val="Default"/>
        <w:ind w:left="1440" w:right="720"/>
      </w:pPr>
    </w:p>
    <w:p w14:paraId="05DE38E0" w14:textId="77777777" w:rsidR="00F84713" w:rsidRDefault="00F76A81" w:rsidP="008235AA">
      <w:pPr>
        <w:pStyle w:val="Default"/>
        <w:ind w:left="1440" w:right="720"/>
      </w:pPr>
      <w:r w:rsidRPr="00F76A81">
        <w:t xml:space="preserve">12. </w:t>
      </w:r>
      <w:r w:rsidR="008235AA">
        <w:tab/>
      </w:r>
      <w:r w:rsidRPr="00F76A81">
        <w:t>Any allegations and claims that are beyond the applicable statutory period of limitation are barred and are outside of the Commission’s jurisdiction.</w:t>
      </w:r>
    </w:p>
    <w:p w14:paraId="4EC607C2" w14:textId="176D2069" w:rsidR="00F84713" w:rsidRDefault="00F84713" w:rsidP="00F84713">
      <w:pPr>
        <w:pStyle w:val="Default"/>
        <w:spacing w:line="360" w:lineRule="auto"/>
        <w:ind w:left="1440" w:right="720"/>
      </w:pPr>
    </w:p>
    <w:p w14:paraId="50812460" w14:textId="4509200A" w:rsidR="00F84713" w:rsidRDefault="003A4B6C" w:rsidP="00F84713">
      <w:pPr>
        <w:pStyle w:val="Default"/>
        <w:spacing w:line="360" w:lineRule="auto"/>
        <w:ind w:right="720"/>
      </w:pPr>
      <w:r>
        <w:t xml:space="preserve">POs ¶¶ </w:t>
      </w:r>
      <w:r w:rsidR="00236993">
        <w:t xml:space="preserve"> 9-12.</w:t>
      </w:r>
    </w:p>
    <w:p w14:paraId="20C50FF7" w14:textId="3938B008" w:rsidR="00F76A81" w:rsidRPr="00F76A81" w:rsidRDefault="00F76A81" w:rsidP="008235AA">
      <w:pPr>
        <w:pStyle w:val="Default"/>
        <w:ind w:left="1440" w:right="720"/>
      </w:pPr>
      <w:r w:rsidRPr="00F76A81">
        <w:t xml:space="preserve"> </w:t>
      </w:r>
    </w:p>
    <w:p w14:paraId="6BB21E7B" w14:textId="149A7A4B" w:rsidR="005457E8" w:rsidRDefault="008B1750" w:rsidP="00527059">
      <w:pPr>
        <w:spacing w:line="360" w:lineRule="auto"/>
        <w:ind w:firstLine="1440"/>
      </w:pPr>
      <w:r>
        <w:t xml:space="preserve">For relief, PGW requested </w:t>
      </w:r>
      <w:r w:rsidR="005457E8" w:rsidRPr="005457E8">
        <w:t>that th</w:t>
      </w:r>
      <w:r>
        <w:t>e</w:t>
      </w:r>
      <w:r w:rsidR="005457E8" w:rsidRPr="005457E8">
        <w:t xml:space="preserve"> Commission (a) grant PGW’s preliminary objections; (b) dismiss the Complaint; and (c) grant any other relief to PGW that is deemed to be reasonable and appropriate.</w:t>
      </w:r>
    </w:p>
    <w:p w14:paraId="05524D84" w14:textId="41747242" w:rsidR="008B1750" w:rsidRDefault="008B1750" w:rsidP="00527059">
      <w:pPr>
        <w:spacing w:line="360" w:lineRule="auto"/>
        <w:ind w:firstLine="1440"/>
      </w:pPr>
    </w:p>
    <w:p w14:paraId="0BB483FC" w14:textId="77777777" w:rsidR="00200057" w:rsidRDefault="00831D2A" w:rsidP="007D2E32">
      <w:pPr>
        <w:spacing w:line="360" w:lineRule="auto"/>
        <w:ind w:firstLine="1440"/>
        <w:rPr>
          <w:rFonts w:cs="CG Times (W1)"/>
        </w:rPr>
      </w:pPr>
      <w:r>
        <w:t xml:space="preserve">PGW served Ms. Porter with a copy of the POs on April 20, 2022, together with a notice to plead to the POs </w:t>
      </w:r>
      <w:r w:rsidR="00B863B4">
        <w:t xml:space="preserve">within </w:t>
      </w:r>
      <w:r w:rsidR="00D912E8">
        <w:t xml:space="preserve">10 days of the date of service.  </w:t>
      </w:r>
      <w:r w:rsidR="004A4350" w:rsidRPr="004A4350">
        <w:t>Complainant ha</w:t>
      </w:r>
      <w:r w:rsidR="004A4350">
        <w:t>s</w:t>
      </w:r>
      <w:r w:rsidR="004A4350" w:rsidRPr="004A4350">
        <w:t xml:space="preserve"> not filed </w:t>
      </w:r>
      <w:r w:rsidR="006A7819" w:rsidRPr="006A7819">
        <w:rPr>
          <w:rFonts w:cs="CG Times (W1)"/>
        </w:rPr>
        <w:t xml:space="preserve">a </w:t>
      </w:r>
    </w:p>
    <w:p w14:paraId="493F0E18" w14:textId="3F8C7D6D" w:rsidR="008747D5" w:rsidRDefault="006A7819" w:rsidP="00200057">
      <w:pPr>
        <w:spacing w:line="360" w:lineRule="auto"/>
      </w:pPr>
      <w:r w:rsidRPr="006A7819">
        <w:rPr>
          <w:rFonts w:cs="CG Times (W1)"/>
        </w:rPr>
        <w:lastRenderedPageBreak/>
        <w:t>response to the preliminary objections</w:t>
      </w:r>
      <w:r w:rsidRPr="006A7819">
        <w:rPr>
          <w:rFonts w:cs="CG Times (W1)"/>
          <w:vertAlign w:val="superscript"/>
        </w:rPr>
        <w:footnoteReference w:id="2"/>
      </w:r>
      <w:r w:rsidRPr="006A7819">
        <w:rPr>
          <w:rFonts w:cs="CG Times (W1)"/>
        </w:rPr>
        <w:t xml:space="preserve"> or the new matter.</w:t>
      </w:r>
      <w:r w:rsidRPr="006A7819">
        <w:rPr>
          <w:rFonts w:cs="CG Times (W1)"/>
          <w:vertAlign w:val="superscript"/>
        </w:rPr>
        <w:footnoteReference w:id="3"/>
      </w:r>
      <w:r w:rsidRPr="006A7819">
        <w:rPr>
          <w:rFonts w:cs="CG Times (W1)"/>
        </w:rPr>
        <w:t xml:space="preserve">  </w:t>
      </w:r>
    </w:p>
    <w:p w14:paraId="18BF18A1" w14:textId="77777777" w:rsidR="00200057" w:rsidRDefault="00200057" w:rsidP="008747D5">
      <w:pPr>
        <w:spacing w:line="360" w:lineRule="auto"/>
      </w:pPr>
    </w:p>
    <w:p w14:paraId="3B54E2A5" w14:textId="34FE3EE1" w:rsidR="008747D5" w:rsidRDefault="008747D5" w:rsidP="008747D5">
      <w:pPr>
        <w:spacing w:line="360" w:lineRule="auto"/>
      </w:pPr>
      <w:r>
        <w:tab/>
      </w:r>
      <w:r>
        <w:tab/>
      </w:r>
      <w:r w:rsidR="00484E2E">
        <w:t xml:space="preserve">By </w:t>
      </w:r>
      <w:r>
        <w:t>N</w:t>
      </w:r>
      <w:r w:rsidR="00484E2E">
        <w:t xml:space="preserve">otice dated </w:t>
      </w:r>
      <w:r w:rsidR="007D2E32">
        <w:t>May 25, 2022</w:t>
      </w:r>
      <w:r w:rsidR="00484E2E">
        <w:t xml:space="preserve">, the Parties were informed that this matter </w:t>
      </w:r>
    </w:p>
    <w:p w14:paraId="554762B2" w14:textId="502C1B3C" w:rsidR="008747D5" w:rsidRDefault="00484E2E" w:rsidP="008747D5">
      <w:pPr>
        <w:spacing w:line="360" w:lineRule="auto"/>
        <w:ind w:left="90"/>
        <w:outlineLvl w:val="0"/>
      </w:pPr>
      <w:r>
        <w:t>was assigned to me</w:t>
      </w:r>
      <w:r w:rsidR="003C2F17">
        <w:t>.</w:t>
      </w:r>
    </w:p>
    <w:p w14:paraId="3597183E" w14:textId="77777777" w:rsidR="007D2E32" w:rsidRDefault="007D2E32" w:rsidP="008747D5">
      <w:pPr>
        <w:spacing w:line="360" w:lineRule="auto"/>
        <w:ind w:left="90"/>
        <w:outlineLvl w:val="0"/>
      </w:pPr>
    </w:p>
    <w:p w14:paraId="574074AB" w14:textId="4053E601" w:rsidR="00484E2E" w:rsidRDefault="008747D5" w:rsidP="008747D5">
      <w:pPr>
        <w:spacing w:line="360" w:lineRule="auto"/>
        <w:ind w:left="90"/>
        <w:outlineLvl w:val="0"/>
      </w:pPr>
      <w:r>
        <w:tab/>
      </w:r>
      <w:r>
        <w:tab/>
        <w:t>For the reasons set forth below the POs will be granted</w:t>
      </w:r>
      <w:r w:rsidR="00AB21D1">
        <w:t xml:space="preserve"> and</w:t>
      </w:r>
      <w:r>
        <w:t xml:space="preserve"> </w:t>
      </w:r>
      <w:r w:rsidR="00C91C77">
        <w:t>the request to dismiss the Complaint denied</w:t>
      </w:r>
      <w:r w:rsidR="001352D4">
        <w:t>,</w:t>
      </w:r>
      <w:r>
        <w:t xml:space="preserve"> and </w:t>
      </w:r>
      <w:r w:rsidR="00D05093">
        <w:t xml:space="preserve">this matter will be scheduled for </w:t>
      </w:r>
      <w:r w:rsidR="005A19D1">
        <w:t xml:space="preserve">hearing on the remaining issues of </w:t>
      </w:r>
      <w:r>
        <w:t>the Complaint.</w:t>
      </w:r>
      <w:r w:rsidR="00BE0B2F">
        <w:t xml:space="preserve"> </w:t>
      </w:r>
    </w:p>
    <w:p w14:paraId="16A86B55" w14:textId="562A647C" w:rsidR="00785D5A" w:rsidRDefault="00785D5A" w:rsidP="00E07533">
      <w:pPr>
        <w:spacing w:line="360" w:lineRule="auto"/>
        <w:outlineLvl w:val="0"/>
      </w:pPr>
    </w:p>
    <w:p w14:paraId="5EC8AB25" w14:textId="77777777" w:rsidR="00484E2E" w:rsidRDefault="00484E2E" w:rsidP="00484E2E">
      <w:pPr>
        <w:tabs>
          <w:tab w:val="left" w:pos="2250"/>
        </w:tabs>
        <w:spacing w:line="360" w:lineRule="auto"/>
        <w:jc w:val="center"/>
        <w:outlineLvl w:val="0"/>
        <w:rPr>
          <w:u w:val="single"/>
        </w:rPr>
      </w:pPr>
      <w:r>
        <w:rPr>
          <w:u w:val="single"/>
        </w:rPr>
        <w:t>DISCUSSION</w:t>
      </w:r>
    </w:p>
    <w:p w14:paraId="535AA147" w14:textId="77777777" w:rsidR="00484E2E" w:rsidRDefault="00484E2E" w:rsidP="00484E2E">
      <w:pPr>
        <w:tabs>
          <w:tab w:val="left" w:pos="2250"/>
        </w:tabs>
        <w:spacing w:line="360" w:lineRule="auto"/>
        <w:jc w:val="center"/>
        <w:outlineLvl w:val="0"/>
        <w:rPr>
          <w:u w:val="single"/>
        </w:rPr>
      </w:pPr>
    </w:p>
    <w:p w14:paraId="56E9FDC7" w14:textId="77777777" w:rsidR="00484E2E" w:rsidRDefault="00484E2E" w:rsidP="00484E2E">
      <w:pPr>
        <w:spacing w:line="360" w:lineRule="auto"/>
        <w:rPr>
          <w:rFonts w:cs="CG Times (W1)"/>
        </w:rPr>
      </w:pPr>
      <w:r>
        <w:rPr>
          <w:u w:val="single"/>
        </w:rPr>
        <w:t>Legal Principles</w:t>
      </w:r>
    </w:p>
    <w:p w14:paraId="69B9A517" w14:textId="77777777" w:rsidR="00484E2E" w:rsidRDefault="00484E2E" w:rsidP="00484E2E">
      <w:pPr>
        <w:spacing w:line="360" w:lineRule="auto"/>
        <w:ind w:firstLine="1440"/>
      </w:pPr>
    </w:p>
    <w:p w14:paraId="526696FC" w14:textId="77777777" w:rsidR="00E07533" w:rsidRDefault="00484E2E" w:rsidP="00484E2E">
      <w:pPr>
        <w:spacing w:line="360" w:lineRule="auto"/>
        <w:ind w:firstLine="1440"/>
      </w:pPr>
      <w:r>
        <w:t xml:space="preserve">The Commission’s Rules of Practice and Procedure permit parties to file </w:t>
      </w:r>
    </w:p>
    <w:p w14:paraId="0A98D949" w14:textId="2F18AF7E" w:rsidR="00484E2E" w:rsidRDefault="00484E2E" w:rsidP="00785D5A">
      <w:pPr>
        <w:spacing w:line="360" w:lineRule="auto"/>
      </w:pPr>
      <w:r>
        <w:t>preliminary objections.  The grounds for preliminary objections are limited to those set forth in </w:t>
      </w:r>
      <w:bookmarkStart w:id="2" w:name="_Hlk93656292"/>
      <w:r>
        <w:t xml:space="preserve">52 Pa.Code § 5.101(a) </w:t>
      </w:r>
      <w:bookmarkEnd w:id="2"/>
      <w:r>
        <w:t>as follows:</w:t>
      </w:r>
    </w:p>
    <w:p w14:paraId="24D47075" w14:textId="77777777" w:rsidR="00484E2E" w:rsidRDefault="00484E2E" w:rsidP="00484E2E">
      <w:pPr>
        <w:spacing w:line="360" w:lineRule="auto"/>
      </w:pPr>
    </w:p>
    <w:p w14:paraId="04EAEF0E" w14:textId="77777777" w:rsidR="00484E2E" w:rsidRDefault="00484E2E" w:rsidP="00484E2E">
      <w:pPr>
        <w:widowControl w:val="0"/>
        <w:numPr>
          <w:ilvl w:val="0"/>
          <w:numId w:val="3"/>
        </w:numPr>
        <w:autoSpaceDN w:val="0"/>
        <w:adjustRightInd w:val="0"/>
        <w:ind w:left="2160" w:right="1080" w:firstLine="0"/>
      </w:pPr>
      <w:r>
        <w:t>Lack of Commission jurisdiction or improper service of the pleading initiating the proceeding.</w:t>
      </w:r>
    </w:p>
    <w:p w14:paraId="43E1A88E" w14:textId="77777777" w:rsidR="00484E2E" w:rsidRDefault="00484E2E" w:rsidP="00484E2E">
      <w:pPr>
        <w:ind w:left="2160" w:right="1080"/>
      </w:pPr>
      <w:r>
        <w:br/>
      </w:r>
    </w:p>
    <w:p w14:paraId="430C1977" w14:textId="77777777" w:rsidR="00484E2E" w:rsidRDefault="00484E2E" w:rsidP="00484E2E">
      <w:pPr>
        <w:widowControl w:val="0"/>
        <w:numPr>
          <w:ilvl w:val="0"/>
          <w:numId w:val="3"/>
        </w:numPr>
        <w:autoSpaceDN w:val="0"/>
        <w:adjustRightInd w:val="0"/>
        <w:ind w:left="2160" w:right="1080" w:firstLine="0"/>
      </w:pPr>
      <w:r>
        <w:t>Failure of a pleading to conform to this chapter or the inclusion of scandalous or impertinent matter.</w:t>
      </w:r>
    </w:p>
    <w:p w14:paraId="3DB371BF" w14:textId="77777777" w:rsidR="00484E2E" w:rsidRDefault="00484E2E" w:rsidP="00484E2E">
      <w:pPr>
        <w:widowControl w:val="0"/>
        <w:numPr>
          <w:ilvl w:val="0"/>
          <w:numId w:val="3"/>
        </w:numPr>
        <w:autoSpaceDN w:val="0"/>
        <w:adjustRightInd w:val="0"/>
        <w:ind w:left="2160" w:right="1080" w:firstLine="0"/>
      </w:pPr>
      <w:bookmarkStart w:id="3" w:name="_Hlk93650750"/>
      <w:r>
        <w:t xml:space="preserve">Insufficient specificity </w:t>
      </w:r>
      <w:bookmarkEnd w:id="3"/>
      <w:r>
        <w:t>of a pleading.</w:t>
      </w:r>
    </w:p>
    <w:p w14:paraId="281F778B" w14:textId="77777777" w:rsidR="00484E2E" w:rsidRDefault="00484E2E" w:rsidP="00484E2E">
      <w:pPr>
        <w:ind w:left="2160" w:right="1080"/>
      </w:pPr>
    </w:p>
    <w:p w14:paraId="5A39CA17" w14:textId="77777777" w:rsidR="00484E2E" w:rsidRDefault="00484E2E" w:rsidP="00484E2E">
      <w:pPr>
        <w:widowControl w:val="0"/>
        <w:numPr>
          <w:ilvl w:val="0"/>
          <w:numId w:val="3"/>
        </w:numPr>
        <w:autoSpaceDN w:val="0"/>
        <w:adjustRightInd w:val="0"/>
        <w:ind w:left="2160" w:right="1080" w:firstLine="0"/>
      </w:pPr>
      <w:r>
        <w:t>Legal insufficiency of a pleading.</w:t>
      </w:r>
    </w:p>
    <w:p w14:paraId="760AAFD7" w14:textId="77777777" w:rsidR="00484E2E" w:rsidRDefault="00484E2E" w:rsidP="00484E2E">
      <w:pPr>
        <w:ind w:left="2160" w:right="1080"/>
      </w:pPr>
    </w:p>
    <w:p w14:paraId="1308C2FE" w14:textId="77777777" w:rsidR="00484E2E" w:rsidRDefault="00484E2E" w:rsidP="00484E2E">
      <w:pPr>
        <w:widowControl w:val="0"/>
        <w:numPr>
          <w:ilvl w:val="0"/>
          <w:numId w:val="3"/>
        </w:numPr>
        <w:autoSpaceDN w:val="0"/>
        <w:adjustRightInd w:val="0"/>
        <w:ind w:left="2160" w:right="1080" w:firstLine="0"/>
      </w:pPr>
      <w:r>
        <w:lastRenderedPageBreak/>
        <w:t>Lack of capacity to sue, nonjoinder of a necessary party or misjoinder of a cause of action.</w:t>
      </w:r>
    </w:p>
    <w:p w14:paraId="522D55BA" w14:textId="77777777" w:rsidR="00484E2E" w:rsidRDefault="00484E2E" w:rsidP="00484E2E">
      <w:pPr>
        <w:ind w:left="2160" w:right="1080"/>
      </w:pPr>
    </w:p>
    <w:p w14:paraId="303E970A" w14:textId="77777777" w:rsidR="00484E2E" w:rsidRDefault="00484E2E" w:rsidP="00484E2E">
      <w:pPr>
        <w:widowControl w:val="0"/>
        <w:numPr>
          <w:ilvl w:val="0"/>
          <w:numId w:val="3"/>
        </w:numPr>
        <w:autoSpaceDN w:val="0"/>
        <w:adjustRightInd w:val="0"/>
        <w:ind w:left="2160" w:right="1080" w:firstLine="0"/>
      </w:pPr>
      <w:r>
        <w:t>Pendency of a prior proceeding or agreement for alternative dispute resolution.</w:t>
      </w:r>
    </w:p>
    <w:p w14:paraId="6C3525A2" w14:textId="77777777" w:rsidR="00484E2E" w:rsidRDefault="00484E2E" w:rsidP="00484E2E">
      <w:pPr>
        <w:widowControl w:val="0"/>
        <w:adjustRightInd w:val="0"/>
        <w:ind w:left="2160" w:right="1080"/>
      </w:pPr>
    </w:p>
    <w:p w14:paraId="4DF1B13C" w14:textId="77777777" w:rsidR="00484E2E" w:rsidRDefault="00484E2E" w:rsidP="00484E2E">
      <w:pPr>
        <w:widowControl w:val="0"/>
        <w:adjustRightInd w:val="0"/>
        <w:ind w:left="2160" w:right="1080"/>
      </w:pPr>
      <w:r>
        <w:t>7.</w:t>
      </w:r>
      <w:r>
        <w:tab/>
        <w:t>Standing of a party to participate in the proceeding.</w:t>
      </w:r>
    </w:p>
    <w:p w14:paraId="4C292E87" w14:textId="77777777" w:rsidR="00484E2E" w:rsidRDefault="00484E2E" w:rsidP="00484E2E">
      <w:pPr>
        <w:tabs>
          <w:tab w:val="left" w:pos="-720"/>
        </w:tabs>
        <w:suppressAutoHyphens/>
        <w:spacing w:line="360" w:lineRule="auto"/>
        <w:ind w:right="1354"/>
      </w:pPr>
    </w:p>
    <w:p w14:paraId="62EAC1D0" w14:textId="77777777" w:rsidR="00484E2E" w:rsidRDefault="00484E2E" w:rsidP="00484E2E">
      <w:pPr>
        <w:tabs>
          <w:tab w:val="left" w:pos="-720"/>
        </w:tabs>
        <w:suppressAutoHyphens/>
        <w:spacing w:line="360" w:lineRule="auto"/>
        <w:ind w:firstLine="1440"/>
      </w:pPr>
      <w:r>
        <w:t xml:space="preserve">Commission preliminary objection practice is analogous to Pennsylvania civil practice regarding preliminary objections.  </w:t>
      </w:r>
      <w:r>
        <w:rPr>
          <w:i/>
        </w:rPr>
        <w:t>Equitable Small Transportation Intervenors v. Equitable Gas Company</w:t>
      </w:r>
      <w:r>
        <w:t>, 1994 Pa. PUC LEXIS 69, Docket No. C</w:t>
      </w:r>
      <w:r>
        <w:noBreakHyphen/>
        <w:t xml:space="preserve">00935435 (July 18, 1994).  Preliminary objections in civil practice requesting dismissal of a pleading will be granted only where the right to relief is clearly warranted and free from doubt.  </w:t>
      </w:r>
      <w:r>
        <w:rPr>
          <w:i/>
        </w:rPr>
        <w:t>Interstate Traveller Services, Inc. v. Pa. Dept. of Environment Resources</w:t>
      </w:r>
      <w:r>
        <w:t xml:space="preserve">, 406 A.2d 1020 (Pa. 1979); </w:t>
      </w:r>
      <w:r>
        <w:rPr>
          <w:i/>
        </w:rPr>
        <w:t>Rivera v. Philadelphia Theological Seminary of St. Charles Borromeo, Inc.,</w:t>
      </w:r>
      <w:r>
        <w:t xml:space="preserve"> 595 A.2d 172 (Pa.Super. 1991).  The Commission follows this standard.  </w:t>
      </w:r>
      <w:r>
        <w:rPr>
          <w:i/>
        </w:rPr>
        <w:t>Montague v. Philadelphia Electric Company</w:t>
      </w:r>
      <w:r>
        <w:t>, 66 Pa. PUC 24 (1988).</w:t>
      </w:r>
    </w:p>
    <w:p w14:paraId="631A416C" w14:textId="77777777" w:rsidR="00484E2E" w:rsidRDefault="00484E2E" w:rsidP="00484E2E">
      <w:pPr>
        <w:tabs>
          <w:tab w:val="left" w:pos="-720"/>
        </w:tabs>
        <w:suppressAutoHyphens/>
        <w:spacing w:line="360" w:lineRule="auto"/>
        <w:ind w:firstLine="1350"/>
      </w:pPr>
    </w:p>
    <w:p w14:paraId="7477D97A" w14:textId="47412C8C" w:rsidR="00484E2E" w:rsidRDefault="00484E2E" w:rsidP="008747D5">
      <w:pPr>
        <w:tabs>
          <w:tab w:val="left" w:pos="-720"/>
        </w:tabs>
        <w:suppressAutoHyphens/>
        <w:spacing w:line="360" w:lineRule="auto"/>
        <w:ind w:firstLine="1440"/>
      </w:pPr>
      <w:r>
        <w:t xml:space="preserve">The Commission may not rely upon the factual assertions of the moving party but must accept as true for purposes of disposing of the motion all well-pleaded, material facts of the nonmoving party, as well as every inference from those facts.  </w:t>
      </w:r>
      <w:r>
        <w:rPr>
          <w:i/>
        </w:rPr>
        <w:t xml:space="preserve">County of Allegheny v. Commonwealth of Pennsylvania, </w:t>
      </w:r>
      <w:r>
        <w:t>490 A. 2d 402 (Pa. 1985);</w:t>
      </w:r>
      <w:r>
        <w:rPr>
          <w:i/>
        </w:rPr>
        <w:t xml:space="preserve"> Commonwealth of Pennsylvania v. Bell Telephone</w:t>
      </w:r>
      <w:r>
        <w:t xml:space="preserve"> </w:t>
      </w:r>
      <w:r>
        <w:rPr>
          <w:i/>
        </w:rPr>
        <w:t>Co. of Pa.,</w:t>
      </w:r>
      <w:r>
        <w:t xml:space="preserve"> 551 A.2d 602 (Pa.Cmwlth. 1988).  The Commission must view the Complaint in this case in the light most favorable to Complainant and should dismiss the complaint only if it appears that Complainant would not be entitled to relief under any circumstances as a matter of law.  </w:t>
      </w:r>
      <w:r>
        <w:rPr>
          <w:i/>
        </w:rPr>
        <w:t>Equitable Small Transportation Intervenors v. Equitable Gas Company,</w:t>
      </w:r>
      <w:r>
        <w:t xml:space="preserve"> 1994 Pa. PUC LEXIS 69, Docket No. C-00935435 (July 18, 1994).</w:t>
      </w:r>
    </w:p>
    <w:p w14:paraId="571C3CBE" w14:textId="77777777" w:rsidR="00AD4942" w:rsidRDefault="00AD4942" w:rsidP="00484E2E">
      <w:pPr>
        <w:spacing w:line="360" w:lineRule="auto"/>
        <w:rPr>
          <w:u w:val="single"/>
        </w:rPr>
      </w:pPr>
    </w:p>
    <w:p w14:paraId="6DEE51B5" w14:textId="49ED2318" w:rsidR="00484E2E" w:rsidRDefault="0095622A" w:rsidP="00484E2E">
      <w:pPr>
        <w:spacing w:line="360" w:lineRule="auto"/>
      </w:pPr>
      <w:r>
        <w:rPr>
          <w:u w:val="single"/>
        </w:rPr>
        <w:t>Respondent’s</w:t>
      </w:r>
      <w:r w:rsidR="008410AC">
        <w:rPr>
          <w:u w:val="single"/>
        </w:rPr>
        <w:t xml:space="preserve"> Objections</w:t>
      </w:r>
    </w:p>
    <w:p w14:paraId="6AC1878F" w14:textId="718DC569" w:rsidR="00484E2E" w:rsidRDefault="00484E2E" w:rsidP="00484E2E">
      <w:pPr>
        <w:spacing w:line="360" w:lineRule="auto"/>
      </w:pPr>
    </w:p>
    <w:p w14:paraId="10A9A385" w14:textId="71AFB1AC" w:rsidR="00665259" w:rsidRDefault="00484E2E" w:rsidP="00E23578">
      <w:pPr>
        <w:spacing w:line="360" w:lineRule="auto"/>
      </w:pPr>
      <w:r>
        <w:tab/>
      </w:r>
      <w:r>
        <w:tab/>
      </w:r>
      <w:r w:rsidR="008410AC">
        <w:t xml:space="preserve">Respondent </w:t>
      </w:r>
      <w:r w:rsidR="0095622A">
        <w:t>objects to the Complaint</w:t>
      </w:r>
      <w:r w:rsidR="00E23578">
        <w:t xml:space="preserve"> for </w:t>
      </w:r>
      <w:r w:rsidR="0095622A">
        <w:t xml:space="preserve">lack of Commission </w:t>
      </w:r>
      <w:r w:rsidR="00484833">
        <w:t xml:space="preserve">jurisdiction </w:t>
      </w:r>
    </w:p>
    <w:p w14:paraId="691A4A1D" w14:textId="725F34C4" w:rsidR="00492B25" w:rsidRPr="006E118C" w:rsidRDefault="0095622A" w:rsidP="00E23578">
      <w:pPr>
        <w:spacing w:line="360" w:lineRule="auto"/>
      </w:pPr>
      <w:r>
        <w:t xml:space="preserve">over matters occurring more than three years prior to the filing </w:t>
      </w:r>
      <w:r w:rsidR="00484833">
        <w:t xml:space="preserve">date </w:t>
      </w:r>
      <w:r>
        <w:t>of the Complaint</w:t>
      </w:r>
      <w:bookmarkStart w:id="4" w:name="_Hlk93650463"/>
      <w:r w:rsidR="0033783A">
        <w:t xml:space="preserve">. </w:t>
      </w:r>
      <w:r w:rsidR="009A4995">
        <w:t xml:space="preserve"> </w:t>
      </w:r>
      <w:r w:rsidR="00590B51">
        <w:t xml:space="preserve">Respondent </w:t>
      </w:r>
      <w:r w:rsidR="00085722">
        <w:t xml:space="preserve">characterizes </w:t>
      </w:r>
      <w:r w:rsidR="004A5FE9">
        <w:t xml:space="preserve">the Complaint as a request for </w:t>
      </w:r>
      <w:r w:rsidR="006137A1">
        <w:t xml:space="preserve">relief </w:t>
      </w:r>
      <w:r w:rsidR="006F0044">
        <w:t xml:space="preserve">“from a theft bill dating back to </w:t>
      </w:r>
      <w:r w:rsidR="006F0044">
        <w:lastRenderedPageBreak/>
        <w:t>2015</w:t>
      </w:r>
      <w:r w:rsidR="00090CA0">
        <w:t xml:space="preserve">” </w:t>
      </w:r>
      <w:r w:rsidR="00A60A86">
        <w:t xml:space="preserve">because </w:t>
      </w:r>
      <w:r w:rsidR="003D560F">
        <w:t xml:space="preserve">attached to the </w:t>
      </w:r>
      <w:r w:rsidR="00A60A86">
        <w:t>Complai</w:t>
      </w:r>
      <w:r w:rsidR="003D560F">
        <w:t>n</w:t>
      </w:r>
      <w:r w:rsidR="00A60A86">
        <w:t xml:space="preserve">t </w:t>
      </w:r>
      <w:r w:rsidR="003D560F">
        <w:t>is</w:t>
      </w:r>
      <w:r w:rsidR="00A60A86">
        <w:t xml:space="preserve"> a </w:t>
      </w:r>
      <w:bookmarkStart w:id="5" w:name="_Hlk106794321"/>
      <w:r w:rsidR="00A60A86">
        <w:t xml:space="preserve">PGW Hazard </w:t>
      </w:r>
      <w:r w:rsidR="00260A50">
        <w:t xml:space="preserve">Waning </w:t>
      </w:r>
      <w:r w:rsidR="004C6742">
        <w:t xml:space="preserve">dated </w:t>
      </w:r>
      <w:r w:rsidR="00503A3B">
        <w:t>February 15, 2015</w:t>
      </w:r>
      <w:bookmarkEnd w:id="5"/>
      <w:r w:rsidR="00503A3B">
        <w:t xml:space="preserve">. </w:t>
      </w:r>
      <w:r w:rsidR="00AE78B2">
        <w:t xml:space="preserve"> </w:t>
      </w:r>
      <w:r w:rsidR="006E118C">
        <w:rPr>
          <w:i/>
          <w:iCs/>
        </w:rPr>
        <w:t>See</w:t>
      </w:r>
      <w:r w:rsidR="006C3E91">
        <w:t xml:space="preserve"> Complaint Attachment.  </w:t>
      </w:r>
      <w:r w:rsidR="00160042">
        <w:t xml:space="preserve">Consequently, Respondent argues </w:t>
      </w:r>
      <w:r w:rsidR="00DF5F94">
        <w:t>“. . .</w:t>
      </w:r>
      <w:r w:rsidR="00DF5F94" w:rsidRPr="00DF5F94">
        <w:t xml:space="preserve"> to the extent that Complainant intends to argue that the theft bill from 2015 is somehow a violation of PGW’s tariff, the Public Utility Code, or any applicable regulations, those claims are barred by the applicable statute of limitations.</w:t>
      </w:r>
      <w:r w:rsidR="00DF5F94">
        <w:t xml:space="preserve">”  </w:t>
      </w:r>
      <w:r w:rsidR="00461FBA">
        <w:t xml:space="preserve"> POs </w:t>
      </w:r>
      <w:bookmarkStart w:id="6" w:name="_Hlk106793097"/>
      <w:r w:rsidR="00461FBA">
        <w:t>¶ 5.</w:t>
      </w:r>
      <w:r w:rsidR="0021362E">
        <w:t xml:space="preserve">  </w:t>
      </w:r>
      <w:bookmarkEnd w:id="6"/>
      <w:r w:rsidR="0021362E">
        <w:t>Therefore, Respondent argues that the Complaint should be dismissed.</w:t>
      </w:r>
    </w:p>
    <w:bookmarkEnd w:id="4"/>
    <w:p w14:paraId="63009ABC" w14:textId="77777777" w:rsidR="000551C7" w:rsidRDefault="000551C7" w:rsidP="00484E2E">
      <w:pPr>
        <w:spacing w:line="360" w:lineRule="auto"/>
        <w:rPr>
          <w:u w:val="single"/>
        </w:rPr>
      </w:pPr>
    </w:p>
    <w:p w14:paraId="5A7AC8A7" w14:textId="293D113D" w:rsidR="00492B25" w:rsidRDefault="00BA4309" w:rsidP="00484E2E">
      <w:pPr>
        <w:spacing w:line="360" w:lineRule="auto"/>
      </w:pPr>
      <w:r>
        <w:rPr>
          <w:u w:val="single"/>
        </w:rPr>
        <w:t>Lack of Jurisdiction and Statute of Limitations</w:t>
      </w:r>
    </w:p>
    <w:p w14:paraId="717E214B" w14:textId="77777777" w:rsidR="000551C7" w:rsidRDefault="000551C7" w:rsidP="00484E2E">
      <w:pPr>
        <w:spacing w:line="360" w:lineRule="auto"/>
      </w:pPr>
    </w:p>
    <w:p w14:paraId="292E8669" w14:textId="399293AB" w:rsidR="00687096" w:rsidRPr="002075C1" w:rsidRDefault="00687096" w:rsidP="0021362E">
      <w:pPr>
        <w:spacing w:line="360" w:lineRule="auto"/>
        <w:rPr>
          <w:color w:val="333333"/>
        </w:rPr>
      </w:pPr>
      <w:r>
        <w:tab/>
      </w:r>
      <w:r>
        <w:tab/>
      </w:r>
      <w:r w:rsidRPr="002075C1">
        <w:rPr>
          <w:color w:val="333333"/>
        </w:rPr>
        <w:t xml:space="preserve">Under Section 3314(a) of the </w:t>
      </w:r>
      <w:r w:rsidR="00FA2AD8">
        <w:rPr>
          <w:color w:val="333333"/>
        </w:rPr>
        <w:t>Public Utility Code (</w:t>
      </w:r>
      <w:r w:rsidRPr="002075C1">
        <w:rPr>
          <w:color w:val="333333"/>
        </w:rPr>
        <w:t>Code</w:t>
      </w:r>
      <w:r w:rsidR="00FA2AD8">
        <w:rPr>
          <w:color w:val="333333"/>
        </w:rPr>
        <w:t>)</w:t>
      </w:r>
      <w:r w:rsidRPr="002075C1">
        <w:rPr>
          <w:color w:val="333333"/>
        </w:rPr>
        <w:t xml:space="preserve">, there is </w:t>
      </w:r>
      <w:r>
        <w:rPr>
          <w:color w:val="333333"/>
        </w:rPr>
        <w:t>a limitation</w:t>
      </w:r>
      <w:r w:rsidR="00D465C7">
        <w:rPr>
          <w:color w:val="333333"/>
        </w:rPr>
        <w:t>s</w:t>
      </w:r>
      <w:r>
        <w:rPr>
          <w:color w:val="333333"/>
        </w:rPr>
        <w:t xml:space="preserve"> period during which </w:t>
      </w:r>
      <w:r w:rsidR="00C245CD">
        <w:rPr>
          <w:color w:val="333333"/>
        </w:rPr>
        <w:t xml:space="preserve">allegations raised in the </w:t>
      </w:r>
      <w:r w:rsidRPr="002075C1">
        <w:rPr>
          <w:color w:val="333333"/>
        </w:rPr>
        <w:t>complaint must be filed.  This section states in pertinent part</w:t>
      </w:r>
      <w:r>
        <w:rPr>
          <w:color w:val="333333"/>
        </w:rPr>
        <w:t xml:space="preserve"> as follows</w:t>
      </w:r>
      <w:r w:rsidRPr="002075C1">
        <w:rPr>
          <w:color w:val="333333"/>
        </w:rPr>
        <w:t xml:space="preserve">: </w:t>
      </w:r>
    </w:p>
    <w:p w14:paraId="78E730E0" w14:textId="77777777" w:rsidR="00687096" w:rsidRPr="002075C1" w:rsidRDefault="00687096" w:rsidP="00687096">
      <w:pPr>
        <w:ind w:left="1440" w:right="1080" w:firstLine="1440"/>
        <w:rPr>
          <w:i/>
          <w:iCs/>
          <w:color w:val="333333"/>
        </w:rPr>
      </w:pPr>
    </w:p>
    <w:p w14:paraId="584AED32" w14:textId="77777777" w:rsidR="00687096" w:rsidRPr="002075C1" w:rsidRDefault="00687096" w:rsidP="00687096">
      <w:pPr>
        <w:ind w:left="1440" w:right="1080"/>
        <w:rPr>
          <w:color w:val="333333"/>
        </w:rPr>
      </w:pPr>
      <w:r w:rsidRPr="002075C1">
        <w:rPr>
          <w:i/>
          <w:iCs/>
          <w:color w:val="333333"/>
        </w:rPr>
        <w:t>No action</w:t>
      </w:r>
      <w:r w:rsidRPr="002075C1">
        <w:rPr>
          <w:color w:val="333333"/>
        </w:rPr>
        <w:t xml:space="preserve"> for the recovery of any penalties or forfeitures incurred under the provisions of this part, and no prosecutions on account of any matter or thing mentioned in this part, </w:t>
      </w:r>
      <w:r w:rsidRPr="002075C1">
        <w:rPr>
          <w:i/>
          <w:iCs/>
          <w:color w:val="333333"/>
        </w:rPr>
        <w:t>shall be maintained unless brought within three years from the date at which the liability therefor arose</w:t>
      </w:r>
      <w:r w:rsidRPr="002075C1">
        <w:rPr>
          <w:color w:val="333333"/>
        </w:rPr>
        <w:t xml:space="preserve">, except as otherwise provided in this part. </w:t>
      </w:r>
      <w:bookmarkStart w:id="7" w:name="_Hlk93650407"/>
      <w:r>
        <w:fldChar w:fldCharType="begin"/>
      </w:r>
      <w:r>
        <w:instrText xml:space="preserve"> HYPERLINK "https://www.lexis.com/research/buttonTFLink?_m=c9aeb8cb0c091cf2889e86fca48363f6&amp;_xfercite=%3ccite%20cc%3d%22USA%22%3e%3c%21%5bCDATA%5b136%20Pa.%20Commw.%20209%5d%5d%3e%3c%2fcite%3e&amp;_butType=4&amp;_butStat=0&amp;_butNum=17&amp;_butInline=1&amp;_butinfo=66%20PA.C.S.%203314&amp;_fmtstr=FULL&amp;docnum=1&amp;_startdoc=1&amp;wchp=dGLzVzk-zSkAW&amp;_md5=e8c86b9a882beb517ee8777d6deee5f3" </w:instrText>
      </w:r>
      <w:r>
        <w:fldChar w:fldCharType="separate"/>
      </w:r>
      <w:r w:rsidRPr="002075C1">
        <w:t>66 Pa.C.S. § 3314(a)</w:t>
      </w:r>
      <w:r>
        <w:fldChar w:fldCharType="end"/>
      </w:r>
      <w:bookmarkEnd w:id="7"/>
      <w:r w:rsidRPr="002075C1">
        <w:rPr>
          <w:color w:val="333333"/>
        </w:rPr>
        <w:t xml:space="preserve"> (emphasis added).  This section thus provides a general limitation period of three years for any action under the Code . . . .</w:t>
      </w:r>
      <w:r>
        <w:rPr>
          <w:rStyle w:val="FootnoteReference"/>
          <w:color w:val="333333"/>
        </w:rPr>
        <w:footnoteReference w:id="4"/>
      </w:r>
    </w:p>
    <w:p w14:paraId="44FEAF38" w14:textId="77777777" w:rsidR="00492B25" w:rsidRDefault="00492B25" w:rsidP="00484E2E">
      <w:pPr>
        <w:spacing w:line="360" w:lineRule="auto"/>
      </w:pPr>
    </w:p>
    <w:p w14:paraId="3A1C407B" w14:textId="1C43CA01" w:rsidR="00B84407" w:rsidRDefault="00C40A02" w:rsidP="0069640D">
      <w:pPr>
        <w:spacing w:line="360" w:lineRule="auto"/>
        <w:ind w:firstLine="1440"/>
      </w:pPr>
      <w:r w:rsidRPr="006D2B39">
        <w:t>T</w:t>
      </w:r>
      <w:r w:rsidRPr="00C40A02">
        <w:t xml:space="preserve">o the extent </w:t>
      </w:r>
      <w:r>
        <w:t xml:space="preserve">the Complaint alleges any </w:t>
      </w:r>
      <w:r w:rsidR="0069640D">
        <w:t>matter</w:t>
      </w:r>
      <w:r>
        <w:t xml:space="preserve"> occurring more than three years prior to </w:t>
      </w:r>
      <w:r w:rsidR="00382FA4">
        <w:t xml:space="preserve">March 28, 2022, the date of the Complaint, </w:t>
      </w:r>
      <w:r>
        <w:t>th</w:t>
      </w:r>
      <w:r w:rsidR="00C245CD">
        <w:t>ose</w:t>
      </w:r>
      <w:r>
        <w:t xml:space="preserve"> allegation</w:t>
      </w:r>
      <w:r w:rsidR="00C245CD">
        <w:t>s are</w:t>
      </w:r>
      <w:r>
        <w:t xml:space="preserve"> time barred</w:t>
      </w:r>
      <w:r w:rsidR="0069640D">
        <w:t xml:space="preserve">.  As mentioned above, </w:t>
      </w:r>
      <w:r w:rsidR="00C245CD">
        <w:t xml:space="preserve">any action seeking relief from the </w:t>
      </w:r>
      <w:r w:rsidR="0069640D">
        <w:t xml:space="preserve">Commission </w:t>
      </w:r>
      <w:r w:rsidR="00C245CD">
        <w:t xml:space="preserve">must be brought within </w:t>
      </w:r>
      <w:r w:rsidR="0069640D">
        <w:t xml:space="preserve">three years from the date the liability arose. </w:t>
      </w:r>
      <w:r w:rsidR="0069640D" w:rsidRPr="0069640D">
        <w:rPr>
          <w:i/>
          <w:iCs/>
        </w:rPr>
        <w:t>See</w:t>
      </w:r>
      <w:r w:rsidR="0069640D" w:rsidRPr="0069640D">
        <w:t xml:space="preserve"> </w:t>
      </w:r>
      <w:hyperlink r:id="rId8" w:history="1">
        <w:r w:rsidR="0069640D" w:rsidRPr="0069640D">
          <w:t>66 Pa.C.S. § 3314(a)</w:t>
        </w:r>
      </w:hyperlink>
      <w:r w:rsidR="0069640D">
        <w:t xml:space="preserve">.  </w:t>
      </w:r>
      <w:r w:rsidR="00C245CD">
        <w:t>Otherwise</w:t>
      </w:r>
      <w:r w:rsidR="0013056F">
        <w:t>,</w:t>
      </w:r>
      <w:r w:rsidR="00C245CD">
        <w:t xml:space="preserve"> the Commission lacks jurisdiction. </w:t>
      </w:r>
    </w:p>
    <w:p w14:paraId="5437DE63" w14:textId="77777777" w:rsidR="00B84407" w:rsidRDefault="00B84407" w:rsidP="0069640D">
      <w:pPr>
        <w:spacing w:line="360" w:lineRule="auto"/>
        <w:ind w:firstLine="1440"/>
      </w:pPr>
    </w:p>
    <w:p w14:paraId="387BA350" w14:textId="24A90C11" w:rsidR="0069640D" w:rsidRDefault="0013056F" w:rsidP="0069640D">
      <w:pPr>
        <w:spacing w:line="360" w:lineRule="auto"/>
        <w:ind w:firstLine="1440"/>
      </w:pPr>
      <w:r>
        <w:t xml:space="preserve">Here the Complaint raises issue relating to </w:t>
      </w:r>
      <w:r w:rsidR="00B84407">
        <w:t xml:space="preserve">a PGW Hazard </w:t>
      </w:r>
      <w:r w:rsidR="008C6DC1">
        <w:t>Warning</w:t>
      </w:r>
      <w:r w:rsidR="00B84407">
        <w:t xml:space="preserve"> dated February 15, 2015</w:t>
      </w:r>
      <w:r w:rsidR="006C51D9">
        <w:t xml:space="preserve">, which is more than </w:t>
      </w:r>
      <w:r>
        <w:t>s</w:t>
      </w:r>
      <w:r w:rsidR="006C51D9">
        <w:t>even</w:t>
      </w:r>
      <w:r>
        <w:t xml:space="preserve"> years</w:t>
      </w:r>
      <w:r w:rsidR="006E1194">
        <w:t xml:space="preserve"> </w:t>
      </w:r>
      <w:r>
        <w:t xml:space="preserve">ago. </w:t>
      </w:r>
      <w:r w:rsidR="0069640D" w:rsidRPr="00492B25">
        <w:t>Therefore</w:t>
      </w:r>
      <w:r w:rsidR="0069640D">
        <w:t>,</w:t>
      </w:r>
      <w:r w:rsidR="0069640D" w:rsidRPr="00492B25">
        <w:t xml:space="preserve"> as the moving party, </w:t>
      </w:r>
      <w:r w:rsidR="0069640D">
        <w:t>P</w:t>
      </w:r>
      <w:r w:rsidR="00AF01FA">
        <w:t>G</w:t>
      </w:r>
      <w:r w:rsidR="0069640D">
        <w:t>W</w:t>
      </w:r>
      <w:r w:rsidR="0069640D" w:rsidRPr="00492B25">
        <w:t xml:space="preserve"> prevails on the </w:t>
      </w:r>
      <w:r w:rsidR="0069640D">
        <w:t xml:space="preserve">statutes of limitations issue </w:t>
      </w:r>
      <w:r w:rsidR="0069640D" w:rsidRPr="00492B25">
        <w:t>as a matter of law</w:t>
      </w:r>
      <w:r w:rsidR="000551C7">
        <w:t>, and its objection is sustained.</w:t>
      </w:r>
      <w:r>
        <w:t xml:space="preserve"> </w:t>
      </w:r>
      <w:r>
        <w:lastRenderedPageBreak/>
        <w:t>Thus</w:t>
      </w:r>
      <w:r w:rsidR="000551C7">
        <w:t>,</w:t>
      </w:r>
      <w:r>
        <w:t xml:space="preserve"> </w:t>
      </w:r>
      <w:r w:rsidRPr="00492B25">
        <w:t>in the ordering paragraphs below</w:t>
      </w:r>
      <w:r>
        <w:t xml:space="preserve"> any allegation in the Complaint relating </w:t>
      </w:r>
      <w:r w:rsidR="000551C7">
        <w:t xml:space="preserve">to violations of the Code </w:t>
      </w:r>
      <w:r>
        <w:t>occurring more than three years prior to the filing of the Complaint will be dismissed.</w:t>
      </w:r>
    </w:p>
    <w:p w14:paraId="5F2565C7" w14:textId="77777777" w:rsidR="0013056F" w:rsidRDefault="0013056F" w:rsidP="00C40A02">
      <w:pPr>
        <w:pStyle w:val="FootnoteText"/>
        <w:spacing w:line="360" w:lineRule="auto"/>
        <w:ind w:firstLine="1440"/>
        <w:rPr>
          <w:sz w:val="24"/>
          <w:szCs w:val="24"/>
        </w:rPr>
      </w:pPr>
    </w:p>
    <w:p w14:paraId="56991680" w14:textId="37168205" w:rsidR="00E772EB" w:rsidRPr="002725F0" w:rsidRDefault="002725F0" w:rsidP="002725F0">
      <w:pPr>
        <w:pStyle w:val="FootnoteText"/>
        <w:spacing w:line="360" w:lineRule="auto"/>
        <w:rPr>
          <w:sz w:val="24"/>
          <w:szCs w:val="24"/>
          <w:u w:val="single"/>
        </w:rPr>
      </w:pPr>
      <w:r w:rsidRPr="002725F0">
        <w:rPr>
          <w:sz w:val="24"/>
          <w:szCs w:val="24"/>
          <w:u w:val="single"/>
        </w:rPr>
        <w:t>Incorrect Charges Issue</w:t>
      </w:r>
      <w:r w:rsidR="00C40A02" w:rsidRPr="002725F0">
        <w:rPr>
          <w:sz w:val="24"/>
          <w:szCs w:val="24"/>
          <w:u w:val="single"/>
        </w:rPr>
        <w:t xml:space="preserve"> </w:t>
      </w:r>
      <w:r w:rsidR="00B32A97">
        <w:rPr>
          <w:sz w:val="24"/>
          <w:szCs w:val="24"/>
          <w:u w:val="single"/>
        </w:rPr>
        <w:t>and Reasonable Service</w:t>
      </w:r>
    </w:p>
    <w:p w14:paraId="26906FEE" w14:textId="495E326E" w:rsidR="00E772EB" w:rsidRDefault="00E772EB" w:rsidP="00484E2E">
      <w:pPr>
        <w:pStyle w:val="FootnoteText"/>
        <w:spacing w:line="360" w:lineRule="auto"/>
        <w:rPr>
          <w:sz w:val="24"/>
          <w:szCs w:val="24"/>
          <w:u w:val="single"/>
        </w:rPr>
      </w:pPr>
    </w:p>
    <w:p w14:paraId="02F9AA74" w14:textId="1F8AD969" w:rsidR="00516920" w:rsidRDefault="00123A2A" w:rsidP="00123A2A">
      <w:pPr>
        <w:autoSpaceDE w:val="0"/>
        <w:autoSpaceDN w:val="0"/>
        <w:spacing w:line="360" w:lineRule="auto"/>
      </w:pPr>
      <w:r w:rsidRPr="00123A2A">
        <w:tab/>
      </w:r>
      <w:r w:rsidRPr="00123A2A">
        <w:tab/>
      </w:r>
      <w:r w:rsidR="002A26D8">
        <w:t>The ruling on P</w:t>
      </w:r>
      <w:r w:rsidR="00BE0B20">
        <w:t>GW</w:t>
      </w:r>
      <w:r w:rsidR="002A26D8">
        <w:t>’s PO</w:t>
      </w:r>
      <w:r w:rsidR="00253D96">
        <w:t>s</w:t>
      </w:r>
      <w:r w:rsidR="002A26D8">
        <w:t xml:space="preserve"> do</w:t>
      </w:r>
      <w:r w:rsidRPr="00123A2A">
        <w:t>es not end the discussion.</w:t>
      </w:r>
      <w:r w:rsidR="002A26D8">
        <w:t xml:space="preserve"> </w:t>
      </w:r>
      <w:r w:rsidR="000614DD">
        <w:t xml:space="preserve"> </w:t>
      </w:r>
      <w:r w:rsidR="0074168E">
        <w:t>Ms. Porter</w:t>
      </w:r>
      <w:r w:rsidR="00070389">
        <w:t xml:space="preserve"> </w:t>
      </w:r>
    </w:p>
    <w:p w14:paraId="435CA79A" w14:textId="36728F21" w:rsidR="00123A2A" w:rsidRPr="00123A2A" w:rsidRDefault="00516920" w:rsidP="00123A2A">
      <w:pPr>
        <w:autoSpaceDE w:val="0"/>
        <w:autoSpaceDN w:val="0"/>
        <w:spacing w:line="360" w:lineRule="auto"/>
      </w:pPr>
      <w:r>
        <w:t>checked the box on the Formal Complaint that there are “incorrect charges</w:t>
      </w:r>
      <w:r w:rsidR="007D76EF">
        <w:t xml:space="preserve"> </w:t>
      </w:r>
      <w:r>
        <w:t xml:space="preserve">on </w:t>
      </w:r>
      <w:r w:rsidR="007D76EF">
        <w:t>my</w:t>
      </w:r>
      <w:r>
        <w:t xml:space="preserve"> bill</w:t>
      </w:r>
      <w:r w:rsidR="007D76EF">
        <w:t>.</w:t>
      </w:r>
      <w:r w:rsidR="00437B13">
        <w:t xml:space="preserve">”  Complaint ¶ 4.  </w:t>
      </w:r>
      <w:r w:rsidR="00834A49">
        <w:t xml:space="preserve">Viewing the Complaint in </w:t>
      </w:r>
      <w:r w:rsidR="00706B7D">
        <w:t>the light mos</w:t>
      </w:r>
      <w:r w:rsidR="0050605D">
        <w:t>t favorable to Ms. Porter, she appears to be alleging there are</w:t>
      </w:r>
      <w:r w:rsidR="001C000B">
        <w:t xml:space="preserve"> current</w:t>
      </w:r>
      <w:r w:rsidR="0050605D">
        <w:t xml:space="preserve"> incorrect charges on her bill for the </w:t>
      </w:r>
      <w:r w:rsidR="0050605D">
        <w:rPr>
          <w:sz w:val="23"/>
          <w:szCs w:val="23"/>
        </w:rPr>
        <w:t xml:space="preserve">Grays Service Address.  This allegation raises a question of fact that cannot be resolved on a preliminary motion. </w:t>
      </w:r>
      <w:r w:rsidR="002C7DCD">
        <w:rPr>
          <w:sz w:val="23"/>
          <w:szCs w:val="23"/>
        </w:rPr>
        <w:t>Any</w:t>
      </w:r>
      <w:r w:rsidR="00FC5B06">
        <w:rPr>
          <w:sz w:val="23"/>
          <w:szCs w:val="23"/>
        </w:rPr>
        <w:t xml:space="preserve"> billing charges relating back to 2015 are beyond the Commission’s jurisdiction. </w:t>
      </w:r>
      <w:r w:rsidR="003D4F5E">
        <w:rPr>
          <w:sz w:val="23"/>
          <w:szCs w:val="23"/>
        </w:rPr>
        <w:t>However, a</w:t>
      </w:r>
      <w:r w:rsidR="00495C94">
        <w:rPr>
          <w:sz w:val="23"/>
          <w:szCs w:val="23"/>
        </w:rPr>
        <w:t>ny</w:t>
      </w:r>
      <w:r w:rsidR="007C75D2">
        <w:rPr>
          <w:sz w:val="23"/>
          <w:szCs w:val="23"/>
        </w:rPr>
        <w:t xml:space="preserve"> incorrect </w:t>
      </w:r>
      <w:r w:rsidR="002456E0">
        <w:rPr>
          <w:sz w:val="23"/>
          <w:szCs w:val="23"/>
        </w:rPr>
        <w:t xml:space="preserve">billing </w:t>
      </w:r>
      <w:r w:rsidR="003D4F5E">
        <w:rPr>
          <w:sz w:val="23"/>
          <w:szCs w:val="23"/>
        </w:rPr>
        <w:t>for current charges ass</w:t>
      </w:r>
      <w:r w:rsidR="00123A2A" w:rsidRPr="00123A2A">
        <w:t>ert</w:t>
      </w:r>
      <w:r w:rsidR="000614DD">
        <w:t>s</w:t>
      </w:r>
      <w:r w:rsidR="00123A2A" w:rsidRPr="00123A2A">
        <w:t xml:space="preserve"> an issue as to the reasonableness of service.</w:t>
      </w:r>
    </w:p>
    <w:p w14:paraId="5496A705" w14:textId="77777777" w:rsidR="00123A2A" w:rsidRPr="00123A2A" w:rsidRDefault="00123A2A" w:rsidP="00123A2A">
      <w:pPr>
        <w:autoSpaceDE w:val="0"/>
        <w:autoSpaceDN w:val="0"/>
        <w:spacing w:line="360" w:lineRule="auto"/>
      </w:pPr>
    </w:p>
    <w:p w14:paraId="3292501F" w14:textId="3ECE4B5B" w:rsidR="00123A2A" w:rsidRPr="00123A2A" w:rsidRDefault="00123A2A" w:rsidP="00123A2A">
      <w:pPr>
        <w:autoSpaceDE w:val="0"/>
        <w:autoSpaceDN w:val="0"/>
        <w:spacing w:line="360" w:lineRule="auto"/>
      </w:pPr>
      <w:r w:rsidRPr="00123A2A">
        <w:tab/>
      </w:r>
      <w:r w:rsidRPr="00123A2A">
        <w:tab/>
        <w:t>Section 1501 of the Code, 66 Pa.C.S. § 1501,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unsafe</w:t>
      </w:r>
      <w:r w:rsidR="00253D96">
        <w:t>,</w:t>
      </w:r>
      <w:r w:rsidRPr="00123A2A">
        <w:t xml:space="preserve"> or inadequate, the Commission may prescribe, by regulation or order, the reasonable, safe</w:t>
      </w:r>
      <w:r w:rsidR="00BA54E4">
        <w:t>,</w:t>
      </w:r>
      <w:r w:rsidRPr="00123A2A">
        <w:t xml:space="preserve"> and adequate service</w:t>
      </w:r>
      <w:r w:rsidR="00BA54E4">
        <w:t>,</w:t>
      </w:r>
      <w:r w:rsidRPr="00123A2A">
        <w:t xml:space="preserve"> or facilities that a public utility must furnish or employ.  66 Pa.C.S. § 1505.  Section 102 of the Code, 66 Pa.C.S. § 102, defines “service” as:</w:t>
      </w:r>
    </w:p>
    <w:p w14:paraId="32187EEB" w14:textId="77777777" w:rsidR="00123A2A" w:rsidRPr="00123A2A" w:rsidRDefault="00123A2A" w:rsidP="00123A2A">
      <w:pPr>
        <w:autoSpaceDE w:val="0"/>
        <w:autoSpaceDN w:val="0"/>
        <w:spacing w:line="360" w:lineRule="auto"/>
        <w:ind w:left="1440" w:right="1440"/>
      </w:pPr>
    </w:p>
    <w:p w14:paraId="07BFC1E9" w14:textId="71B6F834" w:rsidR="00123A2A" w:rsidRPr="00123A2A" w:rsidRDefault="00123A2A" w:rsidP="00C20B2D">
      <w:pPr>
        <w:autoSpaceDE w:val="0"/>
        <w:autoSpaceDN w:val="0"/>
        <w:ind w:left="1440" w:right="1440"/>
      </w:pPr>
      <w:r w:rsidRPr="00123A2A">
        <w:t xml:space="preserve">Used in its broadest and most inclusive sense, includes </w:t>
      </w:r>
      <w:r w:rsidRPr="00123A2A">
        <w:rPr>
          <w:i/>
        </w:rPr>
        <w:t>any and all</w:t>
      </w:r>
      <w:r w:rsidR="003A57CD">
        <w:rPr>
          <w:i/>
        </w:rPr>
        <w:t xml:space="preserve"> </w:t>
      </w:r>
      <w:r w:rsidRPr="00123A2A">
        <w:rPr>
          <w:i/>
        </w:rPr>
        <w:t>acts done, rendered, or performed</w:t>
      </w:r>
      <w:r w:rsidRPr="00123A2A">
        <w:t>, and any and all things furnished or supplied, and any and all facilities used, furnished, or supplied by public utilities . . . .</w:t>
      </w:r>
    </w:p>
    <w:p w14:paraId="22A45081" w14:textId="77777777" w:rsidR="00C20B2D" w:rsidRDefault="00C20B2D" w:rsidP="00C20B2D">
      <w:pPr>
        <w:autoSpaceDE w:val="0"/>
        <w:autoSpaceDN w:val="0"/>
        <w:spacing w:line="360" w:lineRule="auto"/>
      </w:pPr>
    </w:p>
    <w:p w14:paraId="3081C118" w14:textId="6DA3092F" w:rsidR="00123A2A" w:rsidRPr="00123A2A" w:rsidRDefault="00123A2A" w:rsidP="00123A2A">
      <w:pPr>
        <w:autoSpaceDE w:val="0"/>
        <w:autoSpaceDN w:val="0"/>
        <w:spacing w:line="360" w:lineRule="auto"/>
      </w:pPr>
      <w:r w:rsidRPr="00123A2A">
        <w:t>(Emphasis added).  A utility’s “service” is not merely confined to the distribution of utility</w:t>
      </w:r>
    </w:p>
    <w:p w14:paraId="7CD97E2C" w14:textId="0D5F68A4" w:rsidR="00123A2A" w:rsidRPr="00123A2A" w:rsidRDefault="00123A2A" w:rsidP="00123A2A">
      <w:pPr>
        <w:autoSpaceDE w:val="0"/>
        <w:autoSpaceDN w:val="0"/>
        <w:spacing w:line="360" w:lineRule="auto"/>
      </w:pPr>
      <w:r w:rsidRPr="00123A2A">
        <w:t xml:space="preserve"> service, but also includes “any and all acts” related to that function.  </w:t>
      </w:r>
      <w:bookmarkStart w:id="8" w:name="_Hlk93656420"/>
      <w:r w:rsidRPr="00123A2A">
        <w:rPr>
          <w:i/>
        </w:rPr>
        <w:t>West Penn Power Co. v. Pa. Pub. Util. Comm’n</w:t>
      </w:r>
      <w:r w:rsidRPr="00123A2A">
        <w:t xml:space="preserve">, 578 A.2d 75 (Pa.Cmwlth. 1990).  </w:t>
      </w:r>
      <w:r w:rsidR="0049288C">
        <w:t xml:space="preserve">Thus, a utility’s failure to properly bill a customer </w:t>
      </w:r>
      <w:r w:rsidR="00943700">
        <w:t xml:space="preserve">would </w:t>
      </w:r>
      <w:r w:rsidR="0049288C">
        <w:t xml:space="preserve">constitute </w:t>
      </w:r>
      <w:r w:rsidR="00943700">
        <w:t>a violation of the reasonable service requirements of the Code.</w:t>
      </w:r>
    </w:p>
    <w:bookmarkEnd w:id="8"/>
    <w:p w14:paraId="3ECA50A0" w14:textId="77777777" w:rsidR="00123A2A" w:rsidRPr="00123A2A" w:rsidRDefault="00123A2A" w:rsidP="00123A2A">
      <w:pPr>
        <w:autoSpaceDE w:val="0"/>
        <w:autoSpaceDN w:val="0"/>
        <w:spacing w:line="360" w:lineRule="auto"/>
      </w:pPr>
    </w:p>
    <w:p w14:paraId="7283E0AA" w14:textId="77777777" w:rsidR="00123A2A" w:rsidRPr="00123A2A" w:rsidRDefault="00123A2A" w:rsidP="00123A2A">
      <w:pPr>
        <w:autoSpaceDE w:val="0"/>
        <w:autoSpaceDN w:val="0"/>
        <w:spacing w:line="360" w:lineRule="auto"/>
      </w:pPr>
      <w:r w:rsidRPr="00123A2A">
        <w:tab/>
      </w:r>
      <w:r w:rsidRPr="00123A2A">
        <w:tab/>
        <w:t>The Pennsylvania courts have ruled as follows:</w:t>
      </w:r>
    </w:p>
    <w:p w14:paraId="484ED218" w14:textId="77777777" w:rsidR="00123A2A" w:rsidRPr="00123A2A" w:rsidRDefault="00123A2A" w:rsidP="0031330E">
      <w:pPr>
        <w:autoSpaceDE w:val="0"/>
        <w:autoSpaceDN w:val="0"/>
        <w:spacing w:line="360" w:lineRule="auto"/>
      </w:pPr>
    </w:p>
    <w:p w14:paraId="12DEB1C5" w14:textId="77777777" w:rsidR="00123A2A" w:rsidRPr="00123A2A" w:rsidRDefault="00123A2A" w:rsidP="00123A2A">
      <w:pPr>
        <w:autoSpaceDE w:val="0"/>
        <w:autoSpaceDN w:val="0"/>
        <w:ind w:left="1440" w:right="1080" w:hanging="1440"/>
      </w:pPr>
      <w:r w:rsidRPr="00123A2A">
        <w:tab/>
        <w:t>“When a utility’s failure to maintain reasonable and adequate service is alleged, regardless of the form of the pleading in which the allegations are couched, it is for the PUC initially to determine whether the service provided by the utility has fallen short of the statutory standard required of it.”  (Citations omitted).</w:t>
      </w:r>
    </w:p>
    <w:p w14:paraId="04569E3F" w14:textId="77777777" w:rsidR="00123A2A" w:rsidRPr="00123A2A" w:rsidRDefault="00123A2A" w:rsidP="00123A2A">
      <w:pPr>
        <w:autoSpaceDE w:val="0"/>
        <w:autoSpaceDN w:val="0"/>
        <w:ind w:left="1440" w:right="1080" w:hanging="1440"/>
        <w:rPr>
          <w:i/>
        </w:rPr>
      </w:pPr>
    </w:p>
    <w:p w14:paraId="0A019BE6" w14:textId="77777777" w:rsidR="00123A2A" w:rsidRPr="00123A2A" w:rsidRDefault="00123A2A" w:rsidP="00123A2A">
      <w:pPr>
        <w:autoSpaceDE w:val="0"/>
        <w:autoSpaceDN w:val="0"/>
        <w:spacing w:line="360" w:lineRule="auto"/>
      </w:pPr>
      <w:r w:rsidRPr="00123A2A">
        <w:rPr>
          <w:i/>
        </w:rPr>
        <w:t>DiSanto v. Dauphin Consolidated Water Supply Company</w:t>
      </w:r>
      <w:r w:rsidRPr="00123A2A">
        <w:t>, 291 Pa.Super. 440, 436 A.2d 197 (1981).</w:t>
      </w:r>
    </w:p>
    <w:p w14:paraId="7AC68531" w14:textId="77777777" w:rsidR="00123A2A" w:rsidRPr="00123A2A" w:rsidRDefault="00123A2A" w:rsidP="00123A2A">
      <w:pPr>
        <w:autoSpaceDE w:val="0"/>
        <w:autoSpaceDN w:val="0"/>
        <w:spacing w:line="360" w:lineRule="auto"/>
      </w:pPr>
    </w:p>
    <w:p w14:paraId="2CF0A34F" w14:textId="253F98A6" w:rsidR="00123A2A" w:rsidRPr="00123A2A" w:rsidRDefault="00123A2A" w:rsidP="00123A2A">
      <w:pPr>
        <w:autoSpaceDE w:val="0"/>
        <w:autoSpaceDN w:val="0"/>
        <w:spacing w:line="360" w:lineRule="auto"/>
      </w:pPr>
      <w:r w:rsidRPr="00123A2A">
        <w:tab/>
      </w:r>
      <w:r w:rsidRPr="00123A2A">
        <w:tab/>
        <w:t>If Complainant’s allegation</w:t>
      </w:r>
      <w:r w:rsidR="0047122A">
        <w:t>s</w:t>
      </w:r>
      <w:r w:rsidR="0031330E">
        <w:t xml:space="preserve"> concerning </w:t>
      </w:r>
      <w:r w:rsidR="005F5BCF">
        <w:t xml:space="preserve">incorrect </w:t>
      </w:r>
      <w:r w:rsidR="0031330E">
        <w:t xml:space="preserve">billing for the </w:t>
      </w:r>
      <w:r w:rsidR="009D07BE">
        <w:t>Grays</w:t>
      </w:r>
      <w:r w:rsidR="005F5BCF">
        <w:t xml:space="preserve"> S</w:t>
      </w:r>
      <w:r w:rsidR="0031330E">
        <w:t xml:space="preserve">ervice </w:t>
      </w:r>
      <w:r w:rsidR="005F5BCF">
        <w:t>Address</w:t>
      </w:r>
      <w:r w:rsidR="0031330E">
        <w:t xml:space="preserve"> </w:t>
      </w:r>
      <w:r w:rsidR="0047122A">
        <w:t>are</w:t>
      </w:r>
      <w:r w:rsidRPr="00123A2A">
        <w:t xml:space="preserve"> proven by a preponderance of evidence at a hearing, the allegations may well constitute a violation of the reasonable and adequate service requirements of Section 1501 of the Code.  </w:t>
      </w:r>
      <w:r w:rsidRPr="00123A2A">
        <w:rPr>
          <w:i/>
        </w:rPr>
        <w:t xml:space="preserve">Honey Brook Water Co. v. Pa. Pub. Util. Comm’n, </w:t>
      </w:r>
      <w:r w:rsidRPr="00123A2A">
        <w:t xml:space="preserve">167 Pa.Cmwlth. 140, 647 A.2d 653 (1994), </w:t>
      </w:r>
      <w:r w:rsidRPr="00123A2A">
        <w:rPr>
          <w:i/>
        </w:rPr>
        <w:t>app. denied</w:t>
      </w:r>
      <w:r w:rsidRPr="00123A2A">
        <w:t xml:space="preserve">, 540 Pa. 587, 655 A.2d 518 (1995).  Furthermore, </w:t>
      </w:r>
      <w:r w:rsidR="003A57CD">
        <w:t>P</w:t>
      </w:r>
      <w:r w:rsidR="00E217BC">
        <w:t>GW</w:t>
      </w:r>
      <w:r w:rsidRPr="00123A2A">
        <w:t xml:space="preserve"> may ultimately face a civil penalty and/or an order to take remedial action, in the event Complainant prevails in establishing inadequate service on </w:t>
      </w:r>
      <w:r w:rsidR="0047122A">
        <w:t>P</w:t>
      </w:r>
      <w:r w:rsidR="00BD0EDB">
        <w:t>GW</w:t>
      </w:r>
      <w:r w:rsidRPr="00123A2A">
        <w:t>’s part.</w:t>
      </w:r>
    </w:p>
    <w:p w14:paraId="70669082" w14:textId="77777777" w:rsidR="00123A2A" w:rsidRPr="00123A2A" w:rsidRDefault="00123A2A" w:rsidP="00123A2A">
      <w:pPr>
        <w:autoSpaceDE w:val="0"/>
        <w:autoSpaceDN w:val="0"/>
        <w:spacing w:line="360" w:lineRule="auto"/>
      </w:pPr>
    </w:p>
    <w:p w14:paraId="33E383B4" w14:textId="46BFED76" w:rsidR="00123A2A" w:rsidRPr="00123A2A" w:rsidRDefault="00123A2A" w:rsidP="00123A2A">
      <w:pPr>
        <w:autoSpaceDE w:val="0"/>
        <w:autoSpaceDN w:val="0"/>
        <w:spacing w:line="360" w:lineRule="auto"/>
        <w:rPr>
          <w:spacing w:val="-3"/>
        </w:rPr>
      </w:pPr>
      <w:r w:rsidRPr="00123A2A">
        <w:tab/>
      </w:r>
      <w:r w:rsidRPr="00123A2A">
        <w:tab/>
        <w:t>Complainant is</w:t>
      </w:r>
      <w:r w:rsidRPr="00123A2A">
        <w:rPr>
          <w:color w:val="FF0000"/>
        </w:rPr>
        <w:t xml:space="preserve"> </w:t>
      </w:r>
      <w:r w:rsidRPr="00123A2A">
        <w:t xml:space="preserve">cautioned that </w:t>
      </w:r>
      <w:r w:rsidR="0047122A">
        <w:t>as the party seeking relief from the Commission</w:t>
      </w:r>
      <w:r w:rsidR="00BA54E4">
        <w:t>,</w:t>
      </w:r>
      <w:r w:rsidR="0047122A">
        <w:t xml:space="preserve"> </w:t>
      </w:r>
      <w:r w:rsidR="00E217BC">
        <w:t>s</w:t>
      </w:r>
      <w:r w:rsidR="0047122A">
        <w:t>he</w:t>
      </w:r>
      <w:r w:rsidRPr="00123A2A">
        <w:rPr>
          <w:spacing w:val="-3"/>
        </w:rPr>
        <w:t xml:space="preserve"> has the burden of showing that the named utility is responsible or accountable for the problem described in the complaint to prevail</w:t>
      </w:r>
      <w:r w:rsidR="00BA54E4">
        <w:rPr>
          <w:spacing w:val="-3"/>
        </w:rPr>
        <w:t xml:space="preserve"> on h</w:t>
      </w:r>
      <w:r w:rsidR="00123481">
        <w:rPr>
          <w:spacing w:val="-3"/>
        </w:rPr>
        <w:t>er</w:t>
      </w:r>
      <w:r w:rsidR="00BA54E4">
        <w:rPr>
          <w:spacing w:val="-3"/>
        </w:rPr>
        <w:t xml:space="preserve"> Complaint</w:t>
      </w:r>
      <w:r w:rsidRPr="00123A2A">
        <w:rPr>
          <w:spacing w:val="-3"/>
        </w:rPr>
        <w:t xml:space="preserve">.  </w:t>
      </w:r>
      <w:r w:rsidRPr="00123A2A">
        <w:rPr>
          <w:i/>
          <w:spacing w:val="-3"/>
        </w:rPr>
        <w:t>Patterson v. Bell Telephone Company of Pennsylvania</w:t>
      </w:r>
      <w:r w:rsidRPr="00123A2A">
        <w:rPr>
          <w:spacing w:val="-3"/>
        </w:rPr>
        <w:t xml:space="preserve">, 72 Pa. PUC 196 (1990); </w:t>
      </w:r>
      <w:r w:rsidRPr="00123A2A">
        <w:rPr>
          <w:i/>
          <w:spacing w:val="-3"/>
        </w:rPr>
        <w:t>Feinstein v. Philadelphia Suburban Water Company</w:t>
      </w:r>
      <w:r w:rsidRPr="00123A2A">
        <w:rPr>
          <w:spacing w:val="-3"/>
        </w:rPr>
        <w:t xml:space="preserve">, 50 Pa. PUC 300 (1976).  This must be shown by a preponderance of the evidence.  </w:t>
      </w:r>
      <w:r w:rsidRPr="00123A2A">
        <w:rPr>
          <w:i/>
          <w:spacing w:val="-3"/>
        </w:rPr>
        <w:t>Samuel J. Lansberry, Inc. v. Pa. Pub. Util. Comm’n</w:t>
      </w:r>
      <w:r w:rsidRPr="00123A2A">
        <w:rPr>
          <w:spacing w:val="-3"/>
        </w:rPr>
        <w:t xml:space="preserve">, 578 A.2d 600 (1990), </w:t>
      </w:r>
      <w:r w:rsidRPr="00123A2A">
        <w:rPr>
          <w:i/>
          <w:spacing w:val="-3"/>
        </w:rPr>
        <w:t>alloc. den.</w:t>
      </w:r>
      <w:r w:rsidRPr="00123A2A">
        <w:rPr>
          <w:spacing w:val="-3"/>
        </w:rPr>
        <w:t xml:space="preserve">, 602 A.2d 863 (1992).  That is, by presenting evidence more convincing, by even the smallest amount, than that presented by the other party.  </w:t>
      </w:r>
      <w:r w:rsidRPr="00123A2A">
        <w:rPr>
          <w:i/>
          <w:spacing w:val="-3"/>
        </w:rPr>
        <w:t>Se-Ling Hosiery v. Marqulies</w:t>
      </w:r>
      <w:r w:rsidRPr="00123A2A">
        <w:rPr>
          <w:spacing w:val="-3"/>
        </w:rPr>
        <w:t xml:space="preserve">, 70 A.2d 854 (1950).  </w:t>
      </w:r>
    </w:p>
    <w:p w14:paraId="3A405926" w14:textId="77777777" w:rsidR="00123A2A" w:rsidRPr="00123A2A" w:rsidRDefault="00123A2A" w:rsidP="00123A2A">
      <w:pPr>
        <w:autoSpaceDE w:val="0"/>
        <w:autoSpaceDN w:val="0"/>
        <w:spacing w:line="360" w:lineRule="auto"/>
        <w:ind w:firstLine="1440"/>
        <w:rPr>
          <w:spacing w:val="-3"/>
        </w:rPr>
      </w:pPr>
    </w:p>
    <w:p w14:paraId="039109BA" w14:textId="77777777" w:rsidR="00B03954" w:rsidRDefault="00123A2A" w:rsidP="00123A2A">
      <w:pPr>
        <w:autoSpaceDE w:val="0"/>
        <w:autoSpaceDN w:val="0"/>
        <w:spacing w:line="360" w:lineRule="auto"/>
      </w:pPr>
      <w:r w:rsidRPr="00123A2A">
        <w:tab/>
      </w:r>
      <w:r w:rsidRPr="00123A2A">
        <w:tab/>
        <w:t xml:space="preserve">The utility company’s offense must be a violation of the Public Utility Code, the </w:t>
      </w:r>
    </w:p>
    <w:p w14:paraId="51A8C897" w14:textId="0ED7B03F" w:rsidR="00123A2A" w:rsidRDefault="00123A2A" w:rsidP="00123A2A">
      <w:pPr>
        <w:autoSpaceDE w:val="0"/>
        <w:autoSpaceDN w:val="0"/>
        <w:spacing w:line="360" w:lineRule="auto"/>
      </w:pPr>
      <w:r w:rsidRPr="00123A2A">
        <w:t>Commission’s regulations, or an outstanding order of the Commission.  66 Pa.C.S. § 701.  Complainant is responsible for proving that the utility has acted improperly, by providing testimony and documentary evidence, such as expert reports, photographs</w:t>
      </w:r>
      <w:r w:rsidR="00BA54E4">
        <w:t>,</w:t>
      </w:r>
      <w:r w:rsidRPr="00123A2A">
        <w:t xml:space="preserve"> and any other relevant materials necessary to support that finding, and that the Commission has the jurisdiction to provide the remedy.</w:t>
      </w:r>
    </w:p>
    <w:p w14:paraId="58FB3374" w14:textId="37F1CF32" w:rsidR="0047122A" w:rsidRDefault="0047122A" w:rsidP="00123A2A">
      <w:pPr>
        <w:autoSpaceDE w:val="0"/>
        <w:autoSpaceDN w:val="0"/>
        <w:spacing w:line="360" w:lineRule="auto"/>
      </w:pPr>
    </w:p>
    <w:p w14:paraId="52A673C6" w14:textId="2B40477A" w:rsidR="0047122A" w:rsidRDefault="0047122A" w:rsidP="00123A2A">
      <w:pPr>
        <w:autoSpaceDE w:val="0"/>
        <w:autoSpaceDN w:val="0"/>
        <w:spacing w:line="360" w:lineRule="auto"/>
      </w:pPr>
      <w:r>
        <w:tab/>
      </w:r>
      <w:r>
        <w:tab/>
        <w:t>Accordingly, th</w:t>
      </w:r>
      <w:r w:rsidR="00BA54E4">
        <w:t>is</w:t>
      </w:r>
      <w:r>
        <w:t xml:space="preserve"> case will </w:t>
      </w:r>
      <w:r w:rsidR="00474396">
        <w:t xml:space="preserve">be scheduled for </w:t>
      </w:r>
      <w:r>
        <w:t>hearing on the issues of incorrect billing charges and reasonableness of service.</w:t>
      </w:r>
    </w:p>
    <w:p w14:paraId="3CF211B7" w14:textId="2D9E5D84" w:rsidR="00FE1F0A" w:rsidRDefault="00FE1F0A" w:rsidP="00FE1F0A">
      <w:pPr>
        <w:autoSpaceDE w:val="0"/>
        <w:autoSpaceDN w:val="0"/>
        <w:spacing w:line="360" w:lineRule="auto"/>
      </w:pPr>
    </w:p>
    <w:p w14:paraId="5981A257" w14:textId="45EE1FC4" w:rsidR="00FE1F0A" w:rsidRDefault="00FE1F0A" w:rsidP="00FE1F0A">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The parties are directed to attempt to resolve this matter themselves and are strongly encouraged to engage in settlement discussions.  Settlement discussions are consistent with the Commission’s regulations at 52 Pa. Code §§5.231.</w:t>
      </w:r>
    </w:p>
    <w:p w14:paraId="2F766819" w14:textId="77777777" w:rsidR="00FE1F0A" w:rsidRDefault="00FE1F0A" w:rsidP="00123A2A">
      <w:pPr>
        <w:autoSpaceDE w:val="0"/>
        <w:autoSpaceDN w:val="0"/>
        <w:spacing w:line="360" w:lineRule="auto"/>
      </w:pPr>
    </w:p>
    <w:p w14:paraId="3586FD25" w14:textId="77777777" w:rsidR="00FD2A22" w:rsidRDefault="00FD2A22" w:rsidP="00B20229">
      <w:pPr>
        <w:spacing w:line="360" w:lineRule="auto"/>
        <w:jc w:val="center"/>
        <w:outlineLvl w:val="0"/>
        <w:rPr>
          <w:u w:val="single"/>
        </w:rPr>
      </w:pPr>
      <w:r>
        <w:rPr>
          <w:u w:val="single"/>
        </w:rPr>
        <w:t>CONCLUSIONS OF LAW</w:t>
      </w:r>
    </w:p>
    <w:p w14:paraId="16AA527B" w14:textId="77777777" w:rsidR="00FD2A22" w:rsidRDefault="00FD2A22" w:rsidP="0076544B">
      <w:pPr>
        <w:spacing w:line="360" w:lineRule="auto"/>
        <w:ind w:firstLine="1440"/>
      </w:pPr>
    </w:p>
    <w:p w14:paraId="1F2AEA97" w14:textId="27FF1D0C" w:rsidR="00FD2A22" w:rsidRDefault="00FD2A22" w:rsidP="0076544B">
      <w:pPr>
        <w:spacing w:line="360" w:lineRule="auto"/>
        <w:ind w:firstLine="1440"/>
      </w:pPr>
      <w:r>
        <w:t>1.</w:t>
      </w:r>
      <w:r>
        <w:tab/>
      </w:r>
      <w:r w:rsidR="002C7091" w:rsidRPr="002C7091">
        <w:t>The Commission’s Rules of Administrative Practice and Procedure permit the filing of preliminary motions.</w:t>
      </w:r>
      <w:r w:rsidR="002C7091">
        <w:t xml:space="preserve">  52 Pa.Code § 5.101(a)</w:t>
      </w:r>
    </w:p>
    <w:p w14:paraId="4C765548" w14:textId="77777777" w:rsidR="00FD2A22" w:rsidRDefault="00FD2A22" w:rsidP="0076544B">
      <w:pPr>
        <w:spacing w:line="360" w:lineRule="auto"/>
        <w:ind w:firstLine="1440"/>
      </w:pPr>
    </w:p>
    <w:p w14:paraId="1C3192D2" w14:textId="00FFFBBA" w:rsidR="00931762" w:rsidRDefault="00931762" w:rsidP="00C363AE">
      <w:pPr>
        <w:spacing w:line="360" w:lineRule="auto"/>
        <w:ind w:firstLine="1440"/>
        <w:rPr>
          <w:color w:val="333333"/>
        </w:rPr>
      </w:pPr>
      <w:r>
        <w:t xml:space="preserve">2. </w:t>
      </w:r>
      <w:r w:rsidR="008E26CC">
        <w:tab/>
      </w:r>
      <w:r w:rsidRPr="00931762">
        <w:rPr>
          <w:color w:val="333333"/>
        </w:rPr>
        <w:t xml:space="preserve">No action </w:t>
      </w:r>
      <w:r w:rsidR="00C363AE">
        <w:rPr>
          <w:color w:val="333333"/>
        </w:rPr>
        <w:t xml:space="preserve">seeking </w:t>
      </w:r>
      <w:r w:rsidRPr="00931762">
        <w:rPr>
          <w:color w:val="333333"/>
        </w:rPr>
        <w:t>recovery</w:t>
      </w:r>
      <w:r w:rsidRPr="002075C1">
        <w:rPr>
          <w:color w:val="333333"/>
        </w:rPr>
        <w:t xml:space="preserve"> </w:t>
      </w:r>
      <w:r w:rsidR="00C363AE">
        <w:rPr>
          <w:color w:val="333333"/>
        </w:rPr>
        <w:t xml:space="preserve">under the provisions of the Public Utility Code </w:t>
      </w:r>
      <w:r w:rsidRPr="00C363AE">
        <w:rPr>
          <w:color w:val="333333"/>
        </w:rPr>
        <w:t>shall be maintained unless brought within three years from the date at which the liability therefor arose</w:t>
      </w:r>
      <w:r w:rsidR="00C363AE">
        <w:rPr>
          <w:color w:val="333333"/>
        </w:rPr>
        <w:t>.</w:t>
      </w:r>
      <w:r>
        <w:rPr>
          <w:spacing w:val="-3"/>
        </w:rPr>
        <w:t xml:space="preserve">  </w:t>
      </w:r>
      <w:r w:rsidRPr="008E26CC">
        <w:rPr>
          <w:color w:val="333333"/>
        </w:rPr>
        <w:t>66 Pa.C.S. § 3314(a).</w:t>
      </w:r>
    </w:p>
    <w:p w14:paraId="14EADC66" w14:textId="77777777" w:rsidR="002C7091" w:rsidRPr="002C7091" w:rsidRDefault="002C7091" w:rsidP="002C7091">
      <w:pPr>
        <w:autoSpaceDE w:val="0"/>
        <w:autoSpaceDN w:val="0"/>
        <w:spacing w:line="360" w:lineRule="auto"/>
      </w:pPr>
    </w:p>
    <w:p w14:paraId="014B67C4" w14:textId="0AABB04E" w:rsidR="002C7091" w:rsidRPr="00123A2A" w:rsidRDefault="002C7091" w:rsidP="002C7091">
      <w:pPr>
        <w:autoSpaceDE w:val="0"/>
        <w:autoSpaceDN w:val="0"/>
        <w:spacing w:line="360" w:lineRule="auto"/>
      </w:pPr>
      <w:r w:rsidRPr="002C7091">
        <w:tab/>
      </w:r>
      <w:r w:rsidRPr="002C7091">
        <w:tab/>
      </w:r>
      <w:r>
        <w:t>4</w:t>
      </w:r>
      <w:r w:rsidRPr="002C7091">
        <w:t>.</w:t>
      </w:r>
      <w:r w:rsidRPr="002C7091">
        <w:tab/>
        <w:t>The Commission has been granted broad powers to regulate all public utilities doing business within the Commonwealth.</w:t>
      </w:r>
      <w:r>
        <w:t xml:space="preserve">  </w:t>
      </w:r>
      <w:r w:rsidRPr="00123A2A">
        <w:rPr>
          <w:i/>
        </w:rPr>
        <w:t>West Penn Power Co. v. Pa. Pub. Util. Comm’n</w:t>
      </w:r>
      <w:r w:rsidRPr="00123A2A">
        <w:t xml:space="preserve">, 578 A.2d 75 (Pa.Cmwlth. 1990).  </w:t>
      </w:r>
    </w:p>
    <w:p w14:paraId="1115F74B" w14:textId="44D882ED" w:rsidR="002C7091" w:rsidRPr="002C7091" w:rsidRDefault="002C7091" w:rsidP="002C7091">
      <w:pPr>
        <w:autoSpaceDE w:val="0"/>
        <w:autoSpaceDN w:val="0"/>
        <w:spacing w:line="360" w:lineRule="auto"/>
      </w:pPr>
    </w:p>
    <w:p w14:paraId="2DE2C319" w14:textId="77777777" w:rsidR="00B03954" w:rsidRDefault="002C7091" w:rsidP="002C7091">
      <w:pPr>
        <w:autoSpaceDE w:val="0"/>
        <w:autoSpaceDN w:val="0"/>
        <w:spacing w:line="360" w:lineRule="auto"/>
      </w:pPr>
      <w:r w:rsidRPr="002C7091">
        <w:tab/>
      </w:r>
      <w:r w:rsidRPr="002C7091">
        <w:tab/>
      </w:r>
      <w:r w:rsidR="00B03954">
        <w:t>5</w:t>
      </w:r>
      <w:r w:rsidRPr="002C7091">
        <w:t>.</w:t>
      </w:r>
      <w:r w:rsidRPr="002C7091">
        <w:tab/>
        <w:t xml:space="preserve">The Commission is empowered to determine whether a public utility is </w:t>
      </w:r>
    </w:p>
    <w:p w14:paraId="6E5C041D" w14:textId="103DCCB4" w:rsidR="002C7091" w:rsidRPr="002C7091" w:rsidRDefault="002C7091" w:rsidP="002C7091">
      <w:pPr>
        <w:autoSpaceDE w:val="0"/>
        <w:autoSpaceDN w:val="0"/>
        <w:spacing w:line="360" w:lineRule="auto"/>
      </w:pPr>
      <w:r w:rsidRPr="002C7091">
        <w:t>providing safe, adequate, and reasonable service.</w:t>
      </w:r>
      <w:r>
        <w:t xml:space="preserve"> </w:t>
      </w:r>
      <w:r w:rsidRPr="00123A2A">
        <w:t>66 Pa.C.S. § 1501</w:t>
      </w:r>
    </w:p>
    <w:p w14:paraId="7005129D" w14:textId="5B456EB4" w:rsidR="00FE0998" w:rsidRDefault="00FE0998" w:rsidP="00FE0998">
      <w:pPr>
        <w:spacing w:line="360" w:lineRule="auto"/>
        <w:rPr>
          <w:u w:val="single"/>
        </w:rPr>
      </w:pPr>
    </w:p>
    <w:p w14:paraId="11B4DAB1" w14:textId="77777777" w:rsidR="00FE1F0A" w:rsidRDefault="00FE1F0A" w:rsidP="00FE0998">
      <w:pPr>
        <w:spacing w:line="360" w:lineRule="auto"/>
        <w:rPr>
          <w:u w:val="single"/>
        </w:rPr>
      </w:pPr>
    </w:p>
    <w:p w14:paraId="49C50EE5" w14:textId="271BC945" w:rsidR="004D0167" w:rsidRPr="004D0167" w:rsidRDefault="004D0167" w:rsidP="00FE0998">
      <w:pPr>
        <w:spacing w:line="360" w:lineRule="auto"/>
        <w:jc w:val="center"/>
        <w:rPr>
          <w:u w:val="single"/>
        </w:rPr>
      </w:pPr>
      <w:r w:rsidRPr="004D0167">
        <w:rPr>
          <w:u w:val="single"/>
        </w:rPr>
        <w:t>ORDER</w:t>
      </w:r>
    </w:p>
    <w:p w14:paraId="578EDFD3" w14:textId="77777777" w:rsidR="007854DB" w:rsidRPr="004D0167" w:rsidRDefault="007854DB" w:rsidP="0076544B">
      <w:pPr>
        <w:tabs>
          <w:tab w:val="left" w:pos="1440"/>
        </w:tabs>
        <w:spacing w:line="360" w:lineRule="auto"/>
        <w:ind w:firstLine="1440"/>
      </w:pPr>
    </w:p>
    <w:p w14:paraId="1F2D799F" w14:textId="77777777" w:rsidR="004D0167" w:rsidRPr="004D0167" w:rsidRDefault="004D0167" w:rsidP="0076544B">
      <w:pPr>
        <w:tabs>
          <w:tab w:val="left" w:pos="1440"/>
        </w:tabs>
        <w:spacing w:line="360" w:lineRule="auto"/>
        <w:ind w:firstLine="1440"/>
      </w:pPr>
      <w:r w:rsidRPr="004D0167">
        <w:t>THEREFORE,</w:t>
      </w:r>
    </w:p>
    <w:p w14:paraId="2E9F85AE" w14:textId="77777777" w:rsidR="004D0167" w:rsidRPr="004D0167" w:rsidRDefault="004D0167" w:rsidP="0076544B">
      <w:pPr>
        <w:tabs>
          <w:tab w:val="left" w:pos="1440"/>
        </w:tabs>
        <w:spacing w:line="360" w:lineRule="auto"/>
        <w:ind w:firstLine="1440"/>
      </w:pPr>
    </w:p>
    <w:p w14:paraId="38D8318A" w14:textId="77777777" w:rsidR="004D0167" w:rsidRPr="004D0167" w:rsidRDefault="004D0167" w:rsidP="0076544B">
      <w:pPr>
        <w:tabs>
          <w:tab w:val="left" w:pos="1440"/>
        </w:tabs>
        <w:spacing w:line="360" w:lineRule="auto"/>
        <w:ind w:firstLine="1440"/>
      </w:pPr>
      <w:r w:rsidRPr="004D0167">
        <w:t>IT IS ORDERED:</w:t>
      </w:r>
    </w:p>
    <w:p w14:paraId="58F13FFE" w14:textId="77777777" w:rsidR="004D0167" w:rsidRPr="004D0167" w:rsidRDefault="004D0167" w:rsidP="0076544B">
      <w:pPr>
        <w:tabs>
          <w:tab w:val="left" w:pos="1440"/>
        </w:tabs>
        <w:spacing w:line="360" w:lineRule="auto"/>
        <w:ind w:firstLine="1440"/>
      </w:pPr>
    </w:p>
    <w:p w14:paraId="3FD861A2" w14:textId="073B9159" w:rsidR="00E306E2" w:rsidRPr="00E306E2" w:rsidRDefault="00E306E2" w:rsidP="00E306E2">
      <w:pPr>
        <w:autoSpaceDE w:val="0"/>
        <w:autoSpaceDN w:val="0"/>
        <w:spacing w:line="360" w:lineRule="auto"/>
      </w:pPr>
      <w:r w:rsidRPr="00E306E2">
        <w:lastRenderedPageBreak/>
        <w:tab/>
      </w:r>
      <w:r w:rsidR="00BA54E4">
        <w:tab/>
      </w:r>
      <w:r w:rsidRPr="00E306E2">
        <w:t>1.</w:t>
      </w:r>
      <w:r w:rsidRPr="00E306E2">
        <w:tab/>
        <w:t xml:space="preserve">That </w:t>
      </w:r>
      <w:r w:rsidR="00BA54E4">
        <w:t xml:space="preserve">consistent with the above reasoning in this Order, </w:t>
      </w:r>
      <w:r w:rsidR="004D3B73">
        <w:rPr>
          <w:rFonts w:cs="CG Times (W1)"/>
        </w:rPr>
        <w:t>Philadelphia Gas Wor</w:t>
      </w:r>
      <w:r w:rsidR="00567B0B">
        <w:rPr>
          <w:rFonts w:cs="CG Times (W1)"/>
        </w:rPr>
        <w:t>ks</w:t>
      </w:r>
      <w:r>
        <w:t xml:space="preserve">’ </w:t>
      </w:r>
      <w:r w:rsidRPr="00E306E2">
        <w:t xml:space="preserve">Preliminary Objections filed to the Complaint of </w:t>
      </w:r>
      <w:r w:rsidR="00107137">
        <w:t>Irena</w:t>
      </w:r>
      <w:r w:rsidR="00661B78">
        <w:t xml:space="preserve"> Porter a</w:t>
      </w:r>
      <w:r>
        <w:t xml:space="preserve">t </w:t>
      </w:r>
      <w:bookmarkStart w:id="9" w:name="_Hlk93657610"/>
      <w:r w:rsidRPr="00E306E2">
        <w:t>Docket No. C-202</w:t>
      </w:r>
      <w:r w:rsidR="00661B78">
        <w:t>2</w:t>
      </w:r>
      <w:r w:rsidRPr="00E306E2">
        <w:t>-30</w:t>
      </w:r>
      <w:r w:rsidR="00661B78">
        <w:t>31693</w:t>
      </w:r>
      <w:r w:rsidRPr="00E306E2">
        <w:t xml:space="preserve"> </w:t>
      </w:r>
      <w:bookmarkEnd w:id="9"/>
      <w:r w:rsidRPr="00E306E2">
        <w:t>are sustained</w:t>
      </w:r>
      <w:r w:rsidR="00640F4C">
        <w:t>.</w:t>
      </w:r>
    </w:p>
    <w:p w14:paraId="6B266A93" w14:textId="77777777" w:rsidR="00E306E2" w:rsidRPr="00E306E2" w:rsidRDefault="00E306E2" w:rsidP="00E306E2">
      <w:pPr>
        <w:autoSpaceDE w:val="0"/>
        <w:autoSpaceDN w:val="0"/>
        <w:spacing w:line="360" w:lineRule="auto"/>
      </w:pPr>
    </w:p>
    <w:p w14:paraId="18B37CF1" w14:textId="290526A6" w:rsidR="007C1450" w:rsidRDefault="00E306E2" w:rsidP="001918A5">
      <w:pPr>
        <w:autoSpaceDE w:val="0"/>
        <w:autoSpaceDN w:val="0"/>
        <w:spacing w:line="360" w:lineRule="auto"/>
      </w:pPr>
      <w:r w:rsidRPr="00E306E2">
        <w:tab/>
      </w:r>
      <w:r w:rsidRPr="00E306E2">
        <w:tab/>
        <w:t>2.</w:t>
      </w:r>
      <w:r w:rsidRPr="00E306E2">
        <w:tab/>
        <w:t>That Complainant</w:t>
      </w:r>
      <w:r w:rsidR="007C1450">
        <w:t xml:space="preserve"> </w:t>
      </w:r>
      <w:r w:rsidR="00107137">
        <w:t>Irena</w:t>
      </w:r>
      <w:r w:rsidR="00EE7635">
        <w:t xml:space="preserve"> Porter</w:t>
      </w:r>
      <w:r w:rsidR="00640F4C">
        <w:t>’</w:t>
      </w:r>
      <w:r w:rsidRPr="00E306E2">
        <w:t xml:space="preserve">s </w:t>
      </w:r>
      <w:r w:rsidR="00640F4C">
        <w:t>allegation</w:t>
      </w:r>
      <w:r w:rsidR="007C1450">
        <w:t>s</w:t>
      </w:r>
      <w:r w:rsidR="002A2EFC">
        <w:t xml:space="preserve"> </w:t>
      </w:r>
      <w:r w:rsidR="00640F4C">
        <w:t xml:space="preserve">relating to </w:t>
      </w:r>
      <w:r w:rsidR="007C27BE">
        <w:t>the PGW Hazar</w:t>
      </w:r>
      <w:r w:rsidR="00176508">
        <w:t xml:space="preserve">d </w:t>
      </w:r>
      <w:r w:rsidR="00521830">
        <w:t>Warning</w:t>
      </w:r>
      <w:r w:rsidR="007C27BE">
        <w:t xml:space="preserve"> </w:t>
      </w:r>
      <w:r w:rsidR="003C4ECD" w:rsidRPr="003C4ECD">
        <w:t>dated February 15, 2015</w:t>
      </w:r>
      <w:r w:rsidR="001918A5">
        <w:t xml:space="preserve"> </w:t>
      </w:r>
      <w:r w:rsidR="007C1450">
        <w:t>are</w:t>
      </w:r>
      <w:r w:rsidR="00640F4C">
        <w:t xml:space="preserve"> stricken from h</w:t>
      </w:r>
      <w:r w:rsidR="00F721A1">
        <w:t>er</w:t>
      </w:r>
      <w:r w:rsidR="00640F4C">
        <w:t xml:space="preserve"> Complaint</w:t>
      </w:r>
      <w:r w:rsidR="007C1450" w:rsidRPr="007C1450">
        <w:t xml:space="preserve"> </w:t>
      </w:r>
      <w:r w:rsidR="007C1450">
        <w:t xml:space="preserve">at </w:t>
      </w:r>
      <w:r w:rsidR="007C1450" w:rsidRPr="00E306E2">
        <w:t>Docket No. C-202</w:t>
      </w:r>
      <w:r w:rsidR="00F721A1">
        <w:t>2</w:t>
      </w:r>
      <w:r w:rsidR="007C1450" w:rsidRPr="00E306E2">
        <w:t>-30</w:t>
      </w:r>
      <w:r w:rsidR="00F721A1">
        <w:t>31693</w:t>
      </w:r>
      <w:r w:rsidR="00640F4C">
        <w:t xml:space="preserve"> and dismissed for lack of Commission jurisdiction. </w:t>
      </w:r>
    </w:p>
    <w:p w14:paraId="26E91FF9" w14:textId="77777777" w:rsidR="007C1450" w:rsidRDefault="007C1450" w:rsidP="00E306E2">
      <w:pPr>
        <w:autoSpaceDE w:val="0"/>
        <w:autoSpaceDN w:val="0"/>
        <w:spacing w:line="360" w:lineRule="auto"/>
      </w:pPr>
    </w:p>
    <w:p w14:paraId="3BD38ABB" w14:textId="68B8FBF2" w:rsidR="00DC6668" w:rsidRDefault="007C1450" w:rsidP="00DC6668">
      <w:pPr>
        <w:autoSpaceDE w:val="0"/>
        <w:autoSpaceDN w:val="0"/>
        <w:spacing w:line="360" w:lineRule="auto"/>
        <w:ind w:firstLine="1440"/>
      </w:pPr>
      <w:r>
        <w:t>3.</w:t>
      </w:r>
      <w:r>
        <w:tab/>
        <w:t xml:space="preserve">That Complainant </w:t>
      </w:r>
      <w:r w:rsidR="00107137">
        <w:t>Irena</w:t>
      </w:r>
      <w:r w:rsidR="00253FF8">
        <w:t xml:space="preserve"> Porter</w:t>
      </w:r>
      <w:r>
        <w:t>’</w:t>
      </w:r>
      <w:r w:rsidR="00640F4C">
        <w:t xml:space="preserve">s </w:t>
      </w:r>
      <w:r>
        <w:t xml:space="preserve">allegations relating to any violation of the Pennsylvania Public Utility Code by </w:t>
      </w:r>
      <w:r w:rsidR="00253FF8">
        <w:t>Philadelphia Gas Works</w:t>
      </w:r>
      <w:r w:rsidR="004A7E2A">
        <w:t xml:space="preserve"> </w:t>
      </w:r>
      <w:r w:rsidR="00DC6668">
        <w:t xml:space="preserve">arising more than three years before the </w:t>
      </w:r>
      <w:r w:rsidR="004A7E2A">
        <w:t>May 25, 2022</w:t>
      </w:r>
      <w:r w:rsidR="00DC6668">
        <w:t xml:space="preserve">, filing date of the Complaint are stricken from the Complaint </w:t>
      </w:r>
      <w:r w:rsidR="00DA728F">
        <w:t xml:space="preserve">at </w:t>
      </w:r>
      <w:r w:rsidR="00DA728F" w:rsidRPr="00E306E2">
        <w:t>Docket No. C-2021-30</w:t>
      </w:r>
      <w:r w:rsidR="00C03E9C">
        <w:t>31693</w:t>
      </w:r>
      <w:r w:rsidR="00DA728F">
        <w:t xml:space="preserve"> </w:t>
      </w:r>
      <w:r w:rsidR="00DC6668">
        <w:t>and dismi</w:t>
      </w:r>
      <w:r w:rsidR="00DA728F">
        <w:t>s</w:t>
      </w:r>
      <w:r w:rsidR="00DC6668">
        <w:t>s</w:t>
      </w:r>
      <w:r w:rsidR="00DA728F">
        <w:t>ed</w:t>
      </w:r>
      <w:r w:rsidR="00DC6668">
        <w:t xml:space="preserve"> for lack of Commission jurisdiction.</w:t>
      </w:r>
    </w:p>
    <w:p w14:paraId="10E6D03C" w14:textId="01CF5030" w:rsidR="00DF6C76" w:rsidRDefault="00DF6C76" w:rsidP="00DC6668">
      <w:pPr>
        <w:autoSpaceDE w:val="0"/>
        <w:autoSpaceDN w:val="0"/>
        <w:spacing w:line="360" w:lineRule="auto"/>
        <w:ind w:firstLine="1440"/>
      </w:pPr>
    </w:p>
    <w:p w14:paraId="59E55869" w14:textId="58EEF659" w:rsidR="00DF6C76" w:rsidRPr="00E306E2" w:rsidRDefault="00DF6C76" w:rsidP="00DF6C76">
      <w:pPr>
        <w:autoSpaceDE w:val="0"/>
        <w:autoSpaceDN w:val="0"/>
        <w:spacing w:line="360" w:lineRule="auto"/>
        <w:ind w:firstLine="1440"/>
      </w:pPr>
      <w:r>
        <w:t>4.</w:t>
      </w:r>
      <w:r>
        <w:tab/>
      </w:r>
      <w:r w:rsidRPr="00E306E2">
        <w:t xml:space="preserve">That </w:t>
      </w:r>
      <w:r>
        <w:t xml:space="preserve">consistent with the above reasoning in this Order, </w:t>
      </w:r>
      <w:r>
        <w:rPr>
          <w:rFonts w:cs="CG Times (W1)"/>
        </w:rPr>
        <w:t>Philadelphia Gas Works</w:t>
      </w:r>
      <w:r>
        <w:t xml:space="preserve">’ </w:t>
      </w:r>
      <w:r w:rsidR="00893C13">
        <w:t xml:space="preserve">request to dismiss the </w:t>
      </w:r>
      <w:r w:rsidRPr="00E306E2">
        <w:t xml:space="preserve">Formal Complaint of </w:t>
      </w:r>
      <w:r w:rsidR="00107137">
        <w:t>Irena</w:t>
      </w:r>
      <w:r>
        <w:t xml:space="preserve"> Porter at </w:t>
      </w:r>
      <w:r w:rsidRPr="00E306E2">
        <w:t>Docket No. C-202</w:t>
      </w:r>
      <w:r>
        <w:t>2</w:t>
      </w:r>
      <w:r w:rsidRPr="00E306E2">
        <w:t>-30</w:t>
      </w:r>
      <w:r>
        <w:t>31693</w:t>
      </w:r>
      <w:r w:rsidRPr="00E306E2">
        <w:t xml:space="preserve"> </w:t>
      </w:r>
      <w:r w:rsidR="00556899">
        <w:t>is deni</w:t>
      </w:r>
      <w:r w:rsidRPr="00E306E2">
        <w:t>ed</w:t>
      </w:r>
      <w:r>
        <w:t>.</w:t>
      </w:r>
    </w:p>
    <w:p w14:paraId="0943F25F" w14:textId="4E7D8837" w:rsidR="00DF6C76" w:rsidRDefault="00DF6C76" w:rsidP="00DC6668">
      <w:pPr>
        <w:autoSpaceDE w:val="0"/>
        <w:autoSpaceDN w:val="0"/>
        <w:spacing w:line="360" w:lineRule="auto"/>
        <w:ind w:firstLine="1440"/>
      </w:pPr>
    </w:p>
    <w:p w14:paraId="234DFAAD" w14:textId="1C9D47A3" w:rsidR="00E306E2" w:rsidRDefault="00DC6668" w:rsidP="00E306E2">
      <w:pPr>
        <w:autoSpaceDE w:val="0"/>
        <w:autoSpaceDN w:val="0"/>
        <w:spacing w:line="360" w:lineRule="auto"/>
        <w:rPr>
          <w:spacing w:val="-3"/>
        </w:rPr>
      </w:pPr>
      <w:r>
        <w:tab/>
      </w:r>
      <w:r w:rsidR="00E306E2" w:rsidRPr="00E306E2">
        <w:tab/>
      </w:r>
      <w:r w:rsidR="007F3FAF">
        <w:t>5</w:t>
      </w:r>
      <w:r w:rsidR="00E306E2" w:rsidRPr="00E306E2">
        <w:t>.</w:t>
      </w:r>
      <w:r w:rsidR="00E306E2" w:rsidRPr="00E306E2">
        <w:tab/>
      </w:r>
      <w:r w:rsidR="00E306E2" w:rsidRPr="00E306E2">
        <w:rPr>
          <w:spacing w:val="-3"/>
        </w:rPr>
        <w:t>That th</w:t>
      </w:r>
      <w:r>
        <w:rPr>
          <w:spacing w:val="-3"/>
        </w:rPr>
        <w:t xml:space="preserve">is case shall </w:t>
      </w:r>
      <w:r w:rsidR="00C03E9C">
        <w:rPr>
          <w:spacing w:val="-3"/>
        </w:rPr>
        <w:t xml:space="preserve">be scheduled for hearing </w:t>
      </w:r>
      <w:r>
        <w:rPr>
          <w:spacing w:val="-3"/>
        </w:rPr>
        <w:t xml:space="preserve">on the issues of incorrect billing charges and reasonableness of service. </w:t>
      </w:r>
    </w:p>
    <w:p w14:paraId="2CDEA4B0" w14:textId="7460BD70" w:rsidR="00DC6668" w:rsidRDefault="00DC6668" w:rsidP="00E306E2">
      <w:pPr>
        <w:autoSpaceDE w:val="0"/>
        <w:autoSpaceDN w:val="0"/>
        <w:spacing w:line="360" w:lineRule="auto"/>
        <w:rPr>
          <w:spacing w:val="-3"/>
        </w:rPr>
      </w:pPr>
    </w:p>
    <w:p w14:paraId="46D9C7D6" w14:textId="73705726" w:rsidR="00E306E2" w:rsidRPr="00E306E2" w:rsidRDefault="00DC6668" w:rsidP="00E306E2">
      <w:pPr>
        <w:autoSpaceDE w:val="0"/>
        <w:autoSpaceDN w:val="0"/>
        <w:spacing w:line="360" w:lineRule="auto"/>
      </w:pPr>
      <w:r>
        <w:rPr>
          <w:spacing w:val="-3"/>
        </w:rPr>
        <w:tab/>
      </w:r>
      <w:r>
        <w:rPr>
          <w:spacing w:val="-3"/>
        </w:rPr>
        <w:tab/>
      </w:r>
      <w:r w:rsidR="00E306E2" w:rsidRPr="00E306E2">
        <w:rPr>
          <w:noProof/>
          <w:sz w:val="20"/>
          <w:szCs w:val="20"/>
        </w:rPr>
        <w:drawing>
          <wp:anchor distT="0" distB="0" distL="114300" distR="114300" simplePos="0" relativeHeight="251659264" behindDoc="1" locked="0" layoutInCell="1" allowOverlap="1" wp14:anchorId="6CBF3643" wp14:editId="7E91A77D">
            <wp:simplePos x="0" y="0"/>
            <wp:positionH relativeFrom="column">
              <wp:posOffset>3251835</wp:posOffset>
            </wp:positionH>
            <wp:positionV relativeFrom="paragraph">
              <wp:posOffset>2540</wp:posOffset>
            </wp:positionV>
            <wp:extent cx="2685894" cy="1025663"/>
            <wp:effectExtent l="0" t="0" r="635" b="3175"/>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5894" cy="1025663"/>
                    </a:xfrm>
                    <a:prstGeom prst="rect">
                      <a:avLst/>
                    </a:prstGeom>
                    <a:noFill/>
                    <a:ln>
                      <a:noFill/>
                    </a:ln>
                  </pic:spPr>
                </pic:pic>
              </a:graphicData>
            </a:graphic>
            <wp14:sizeRelH relativeFrom="page">
              <wp14:pctWidth>0</wp14:pctWidth>
            </wp14:sizeRelH>
            <wp14:sizeRelV relativeFrom="page">
              <wp14:pctHeight>0</wp14:pctHeight>
            </wp14:sizeRelV>
          </wp:anchor>
        </w:drawing>
      </w:r>
      <w:r w:rsidR="00E306E2" w:rsidRPr="00E306E2">
        <w:tab/>
      </w:r>
    </w:p>
    <w:p w14:paraId="2BD43C04" w14:textId="08672DBA" w:rsidR="00E306E2" w:rsidRPr="00E306E2" w:rsidRDefault="00E306E2" w:rsidP="00E306E2">
      <w:pPr>
        <w:autoSpaceDE w:val="0"/>
        <w:autoSpaceDN w:val="0"/>
        <w:spacing w:line="360" w:lineRule="auto"/>
        <w:rPr>
          <w:u w:val="single"/>
        </w:rPr>
      </w:pPr>
      <w:r w:rsidRPr="00E306E2">
        <w:t xml:space="preserve"> Date:  </w:t>
      </w:r>
      <w:r w:rsidR="00FE1F0A" w:rsidRPr="00FE1F0A">
        <w:rPr>
          <w:u w:val="single"/>
        </w:rPr>
        <w:t>J</w:t>
      </w:r>
      <w:r w:rsidR="005A27FD">
        <w:rPr>
          <w:u w:val="single"/>
        </w:rPr>
        <w:t>une</w:t>
      </w:r>
      <w:r w:rsidR="00FE1F0A" w:rsidRPr="00FE1F0A">
        <w:rPr>
          <w:u w:val="single"/>
        </w:rPr>
        <w:t xml:space="preserve"> 2</w:t>
      </w:r>
      <w:r w:rsidR="00AD4BBB">
        <w:rPr>
          <w:u w:val="single"/>
        </w:rPr>
        <w:t>3</w:t>
      </w:r>
      <w:r w:rsidR="00FE1F0A" w:rsidRPr="00FE1F0A">
        <w:rPr>
          <w:u w:val="single"/>
        </w:rPr>
        <w:t>,</w:t>
      </w:r>
      <w:r w:rsidRPr="00E306E2">
        <w:rPr>
          <w:u w:val="single"/>
        </w:rPr>
        <w:t xml:space="preserve"> 202</w:t>
      </w:r>
      <w:r w:rsidR="00FE1F0A">
        <w:rPr>
          <w:u w:val="single"/>
        </w:rPr>
        <w:t>2</w:t>
      </w:r>
    </w:p>
    <w:p w14:paraId="080F2A64" w14:textId="77777777" w:rsidR="00E306E2" w:rsidRPr="00E306E2" w:rsidRDefault="00E306E2" w:rsidP="00E306E2">
      <w:pPr>
        <w:autoSpaceDE w:val="0"/>
        <w:autoSpaceDN w:val="0"/>
        <w:spacing w:line="360" w:lineRule="auto"/>
        <w:rPr>
          <w:rFonts w:ascii="Microsoft Sans Serif" w:hAnsi="CG Times (W1)" w:cs="CG Times (W1)"/>
          <w:b/>
          <w:u w:val="single"/>
        </w:rPr>
        <w:sectPr w:rsidR="00E306E2" w:rsidRPr="00E306E2" w:rsidSect="00441FDD">
          <w:footerReference w:type="default" r:id="rId10"/>
          <w:pgSz w:w="12240" w:h="15840"/>
          <w:pgMar w:top="1440" w:right="1440" w:bottom="1440" w:left="1440" w:header="720" w:footer="720" w:gutter="0"/>
          <w:cols w:space="720"/>
          <w:titlePg/>
          <w:docGrid w:linePitch="360"/>
        </w:sectPr>
      </w:pPr>
      <w:r w:rsidRPr="00E306E2">
        <w:tab/>
      </w:r>
      <w:r w:rsidRPr="00E306E2">
        <w:tab/>
      </w:r>
      <w:r w:rsidRPr="00E306E2">
        <w:tab/>
      </w:r>
      <w:r w:rsidRPr="00E306E2">
        <w:tab/>
      </w:r>
      <w:r w:rsidRPr="00E306E2">
        <w:tab/>
      </w:r>
    </w:p>
    <w:p w14:paraId="07093E4A" w14:textId="32466B2B" w:rsidR="00107137" w:rsidRPr="00C60AEA" w:rsidRDefault="00E306E2" w:rsidP="00107137">
      <w:pPr>
        <w:rPr>
          <w:rFonts w:ascii="Microsoft Sans Serif" w:eastAsia="Microsoft Sans Serif" w:hAnsi="Microsoft Sans Serif" w:cs="Microsoft Sans Serif"/>
        </w:rPr>
      </w:pPr>
      <w:r w:rsidRPr="00E97052">
        <w:rPr>
          <w:rFonts w:ascii="Microsoft Sans Serif" w:hAnsi="Microsoft Sans Serif" w:cs="Microsoft Sans Serif"/>
          <w:b/>
          <w:u w:val="single"/>
        </w:rPr>
        <w:lastRenderedPageBreak/>
        <w:t>C-202</w:t>
      </w:r>
      <w:r w:rsidR="009E5ADA" w:rsidRPr="00E97052">
        <w:rPr>
          <w:rFonts w:ascii="Microsoft Sans Serif" w:hAnsi="Microsoft Sans Serif" w:cs="Microsoft Sans Serif"/>
          <w:b/>
          <w:u w:val="single"/>
        </w:rPr>
        <w:t>2</w:t>
      </w:r>
      <w:r w:rsidRPr="00E97052">
        <w:rPr>
          <w:rFonts w:ascii="Microsoft Sans Serif" w:hAnsi="Microsoft Sans Serif" w:cs="Microsoft Sans Serif"/>
          <w:b/>
          <w:u w:val="single"/>
        </w:rPr>
        <w:t>-30</w:t>
      </w:r>
      <w:r w:rsidR="009E5ADA" w:rsidRPr="00E97052">
        <w:rPr>
          <w:rFonts w:ascii="Microsoft Sans Serif" w:hAnsi="Microsoft Sans Serif" w:cs="Microsoft Sans Serif"/>
          <w:b/>
          <w:u w:val="single"/>
        </w:rPr>
        <w:t>31693</w:t>
      </w:r>
      <w:r w:rsidRPr="00E306E2">
        <w:rPr>
          <w:rFonts w:ascii="Microsoft Sans Serif" w:hAnsi="Microsoft Sans Serif" w:cs="Microsoft Sans Serif"/>
          <w:b/>
          <w:szCs w:val="20"/>
          <w:u w:val="single"/>
        </w:rPr>
        <w:t xml:space="preserve"> – </w:t>
      </w:r>
      <w:r w:rsidR="009E5ADA">
        <w:rPr>
          <w:rFonts w:ascii="Microsoft Sans Serif" w:hAnsi="Microsoft Sans Serif" w:cs="Microsoft Sans Serif"/>
          <w:b/>
          <w:szCs w:val="20"/>
          <w:u w:val="single"/>
        </w:rPr>
        <w:t>IREN</w:t>
      </w:r>
      <w:r w:rsidR="00107137">
        <w:rPr>
          <w:rFonts w:ascii="Microsoft Sans Serif" w:hAnsi="Microsoft Sans Serif" w:cs="Microsoft Sans Serif"/>
          <w:b/>
          <w:szCs w:val="20"/>
          <w:u w:val="single"/>
        </w:rPr>
        <w:t>A</w:t>
      </w:r>
      <w:r w:rsidR="009E5ADA">
        <w:rPr>
          <w:rFonts w:ascii="Microsoft Sans Serif" w:hAnsi="Microsoft Sans Serif" w:cs="Microsoft Sans Serif"/>
          <w:b/>
          <w:szCs w:val="20"/>
          <w:u w:val="single"/>
        </w:rPr>
        <w:t xml:space="preserve"> PORTER </w:t>
      </w:r>
      <w:r w:rsidRPr="00E306E2">
        <w:rPr>
          <w:rFonts w:ascii="Microsoft Sans Serif" w:hAnsi="Microsoft Sans Serif" w:cs="Microsoft Sans Serif"/>
          <w:b/>
          <w:szCs w:val="20"/>
          <w:u w:val="single"/>
        </w:rPr>
        <w:t xml:space="preserve">v. </w:t>
      </w:r>
      <w:r w:rsidR="00FE1F0A">
        <w:rPr>
          <w:rFonts w:ascii="Microsoft Sans Serif" w:hAnsi="Microsoft Sans Serif" w:cs="Microsoft Sans Serif"/>
          <w:b/>
          <w:szCs w:val="20"/>
          <w:u w:val="single"/>
        </w:rPr>
        <w:t>P</w:t>
      </w:r>
      <w:r w:rsidR="00E97052">
        <w:rPr>
          <w:rFonts w:ascii="Microsoft Sans Serif" w:hAnsi="Microsoft Sans Serif" w:cs="Microsoft Sans Serif"/>
          <w:b/>
          <w:szCs w:val="20"/>
          <w:u w:val="single"/>
        </w:rPr>
        <w:t>HILADELPHIA GAS WORKS</w:t>
      </w:r>
      <w:r w:rsidRPr="00E306E2">
        <w:rPr>
          <w:rFonts w:ascii="Microsoft Sans Serif" w:hAnsi="Microsoft Sans Serif" w:cs="Microsoft Sans Serif"/>
          <w:b/>
          <w:szCs w:val="20"/>
          <w:u w:val="single"/>
        </w:rPr>
        <w:cr/>
      </w:r>
      <w:r w:rsidRPr="00E306E2">
        <w:rPr>
          <w:rFonts w:ascii="Microsoft Sans Serif" w:hAnsi="Microsoft Sans Serif" w:cs="Microsoft Sans Serif"/>
          <w:b/>
          <w:szCs w:val="20"/>
          <w:u w:val="single"/>
        </w:rPr>
        <w:cr/>
      </w:r>
      <w:r w:rsidR="00107137" w:rsidRPr="00C60AEA">
        <w:rPr>
          <w:rFonts w:ascii="Microsoft Sans Serif" w:eastAsia="Microsoft Sans Serif" w:hAnsi="Microsoft Sans Serif" w:cs="Microsoft Sans Serif"/>
        </w:rPr>
        <w:t>IRENA PORTER</w:t>
      </w:r>
      <w:r w:rsidR="00107137" w:rsidRPr="00C60AEA">
        <w:rPr>
          <w:rFonts w:ascii="Microsoft Sans Serif" w:eastAsia="Microsoft Sans Serif" w:hAnsi="Microsoft Sans Serif" w:cs="Microsoft Sans Serif"/>
        </w:rPr>
        <w:cr/>
        <w:t>5351 GRAYS AVE</w:t>
      </w:r>
      <w:r w:rsidR="00107137" w:rsidRPr="00C60AEA">
        <w:rPr>
          <w:rFonts w:ascii="Microsoft Sans Serif" w:eastAsia="Microsoft Sans Serif" w:hAnsi="Microsoft Sans Serif" w:cs="Microsoft Sans Serif"/>
        </w:rPr>
        <w:cr/>
        <w:t>PHILADELPHIA PA  19143</w:t>
      </w:r>
      <w:r w:rsidR="00107137" w:rsidRPr="00C60AEA">
        <w:rPr>
          <w:rFonts w:ascii="Microsoft Sans Serif" w:eastAsia="Microsoft Sans Serif" w:hAnsi="Microsoft Sans Serif" w:cs="Microsoft Sans Serif"/>
        </w:rPr>
        <w:cr/>
      </w:r>
      <w:r w:rsidR="00107137" w:rsidRPr="00C60AEA">
        <w:rPr>
          <w:rFonts w:ascii="Microsoft Sans Serif" w:eastAsia="Microsoft Sans Serif" w:hAnsi="Microsoft Sans Serif" w:cs="Microsoft Sans Serif"/>
          <w:b/>
          <w:bCs/>
        </w:rPr>
        <w:t>267.670.5368</w:t>
      </w:r>
      <w:r w:rsidR="00107137" w:rsidRPr="00C60AEA">
        <w:rPr>
          <w:rFonts w:ascii="Microsoft Sans Serif" w:eastAsia="Microsoft Sans Serif" w:hAnsi="Microsoft Sans Serif" w:cs="Microsoft Sans Serif"/>
          <w:b/>
          <w:bCs/>
        </w:rPr>
        <w:cr/>
      </w:r>
      <w:hyperlink r:id="rId11" w:history="1">
        <w:r w:rsidR="00107137" w:rsidRPr="00C60AEA">
          <w:rPr>
            <w:rStyle w:val="Hyperlink"/>
            <w:rFonts w:ascii="Microsoft Sans Serif" w:eastAsia="Microsoft Sans Serif" w:hAnsi="Microsoft Sans Serif" w:cs="Microsoft Sans Serif"/>
          </w:rPr>
          <w:t>whoismissporter@gmail.com</w:t>
        </w:r>
      </w:hyperlink>
      <w:r w:rsidR="00107137" w:rsidRPr="00C60AEA">
        <w:rPr>
          <w:rFonts w:ascii="Microsoft Sans Serif" w:eastAsia="Microsoft Sans Serif" w:hAnsi="Microsoft Sans Serif" w:cs="Microsoft Sans Serif"/>
        </w:rPr>
        <w:br/>
        <w:t>Accepts eService</w:t>
      </w:r>
      <w:r w:rsidR="00107137" w:rsidRPr="00C60AEA">
        <w:rPr>
          <w:rFonts w:ascii="Microsoft Sans Serif" w:eastAsia="Microsoft Sans Serif" w:hAnsi="Microsoft Sans Serif" w:cs="Microsoft Sans Serif"/>
        </w:rPr>
        <w:cr/>
      </w:r>
      <w:r w:rsidR="00107137" w:rsidRPr="00C60AEA">
        <w:rPr>
          <w:rFonts w:ascii="Microsoft Sans Serif" w:eastAsia="Microsoft Sans Serif" w:hAnsi="Microsoft Sans Serif" w:cs="Microsoft Sans Serif"/>
        </w:rPr>
        <w:br/>
        <w:t>GRACIELA CHRISTLIEB ESQUIRE</w:t>
      </w:r>
      <w:r w:rsidR="00107137" w:rsidRPr="00C60AEA">
        <w:rPr>
          <w:rFonts w:ascii="Microsoft Sans Serif" w:eastAsia="Microsoft Sans Serif" w:hAnsi="Microsoft Sans Serif" w:cs="Microsoft Sans Serif"/>
        </w:rPr>
        <w:cr/>
        <w:t>PHILADELPHIA GAS WORKS</w:t>
      </w:r>
      <w:r w:rsidR="00107137" w:rsidRPr="00C60AEA">
        <w:rPr>
          <w:rFonts w:ascii="Microsoft Sans Serif" w:eastAsia="Microsoft Sans Serif" w:hAnsi="Microsoft Sans Serif" w:cs="Microsoft Sans Serif"/>
        </w:rPr>
        <w:cr/>
        <w:t>800 WEST MONTGOMERY AVENUE</w:t>
      </w:r>
      <w:r w:rsidR="00107137" w:rsidRPr="00C60AEA">
        <w:rPr>
          <w:rFonts w:ascii="Microsoft Sans Serif" w:eastAsia="Microsoft Sans Serif" w:hAnsi="Microsoft Sans Serif" w:cs="Microsoft Sans Serif"/>
        </w:rPr>
        <w:cr/>
        <w:t>PHILADELPHIA PA  19122</w:t>
      </w:r>
      <w:r w:rsidR="00107137" w:rsidRPr="00C60AEA">
        <w:rPr>
          <w:rFonts w:ascii="Microsoft Sans Serif" w:eastAsia="Microsoft Sans Serif" w:hAnsi="Microsoft Sans Serif" w:cs="Microsoft Sans Serif"/>
        </w:rPr>
        <w:cr/>
      </w:r>
      <w:r w:rsidR="00107137" w:rsidRPr="00C60AEA">
        <w:rPr>
          <w:rFonts w:ascii="Microsoft Sans Serif" w:eastAsia="Microsoft Sans Serif" w:hAnsi="Microsoft Sans Serif" w:cs="Microsoft Sans Serif"/>
          <w:b/>
          <w:bCs/>
        </w:rPr>
        <w:t>215.684.6164</w:t>
      </w:r>
      <w:r w:rsidR="00107137" w:rsidRPr="00C60AEA">
        <w:rPr>
          <w:rFonts w:ascii="Microsoft Sans Serif" w:eastAsia="Microsoft Sans Serif" w:hAnsi="Microsoft Sans Serif" w:cs="Microsoft Sans Serif"/>
        </w:rPr>
        <w:cr/>
      </w:r>
      <w:hyperlink r:id="rId12" w:history="1">
        <w:r w:rsidR="00107137" w:rsidRPr="00C60AEA">
          <w:rPr>
            <w:rStyle w:val="Hyperlink"/>
            <w:rFonts w:ascii="Microsoft Sans Serif" w:eastAsia="Microsoft Sans Serif" w:hAnsi="Microsoft Sans Serif" w:cs="Microsoft Sans Serif"/>
          </w:rPr>
          <w:t>Graciela.Christlieb@pgworks.com</w:t>
        </w:r>
      </w:hyperlink>
      <w:r w:rsidR="00107137" w:rsidRPr="00C60AEA">
        <w:rPr>
          <w:rFonts w:ascii="Microsoft Sans Serif" w:eastAsia="Microsoft Sans Serif" w:hAnsi="Microsoft Sans Serif" w:cs="Microsoft Sans Serif"/>
        </w:rPr>
        <w:br/>
        <w:t>Accepts eService</w:t>
      </w:r>
      <w:r w:rsidR="00107137" w:rsidRPr="00C60AEA">
        <w:rPr>
          <w:rFonts w:ascii="Microsoft Sans Serif" w:eastAsia="Microsoft Sans Serif" w:hAnsi="Microsoft Sans Serif" w:cs="Microsoft Sans Serif"/>
        </w:rPr>
        <w:cr/>
      </w:r>
    </w:p>
    <w:p w14:paraId="634FDA5C" w14:textId="08A759A7" w:rsidR="00FD2A22" w:rsidRDefault="00FD2A22" w:rsidP="00F17EC9">
      <w:pPr>
        <w:autoSpaceDE w:val="0"/>
        <w:autoSpaceDN w:val="0"/>
        <w:contextualSpacing/>
        <w:rPr>
          <w:snapToGrid w:val="0"/>
        </w:rPr>
      </w:pPr>
    </w:p>
    <w:p w14:paraId="0978F5A2" w14:textId="77777777" w:rsidR="0094125D" w:rsidRDefault="0094125D" w:rsidP="00B20229">
      <w:pPr>
        <w:keepLines/>
        <w:widowControl w:val="0"/>
        <w:autoSpaceDE w:val="0"/>
        <w:autoSpaceDN w:val="0"/>
        <w:adjustRightInd w:val="0"/>
        <w:ind w:firstLine="1440"/>
        <w:jc w:val="both"/>
      </w:pPr>
    </w:p>
    <w:sectPr w:rsidR="0094125D" w:rsidSect="00D37086">
      <w:footerReference w:type="default" r:id="rId13"/>
      <w:pgSz w:w="12240" w:h="15840"/>
      <w:pgMar w:top="1440" w:right="162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50493" w14:textId="77777777" w:rsidR="00C9271D" w:rsidRDefault="00C9271D" w:rsidP="00F96A5F">
      <w:r>
        <w:separator/>
      </w:r>
    </w:p>
  </w:endnote>
  <w:endnote w:type="continuationSeparator" w:id="0">
    <w:p w14:paraId="46BEEBCB" w14:textId="77777777" w:rsidR="00C9271D" w:rsidRDefault="00C9271D" w:rsidP="00F9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967D" w14:textId="3385F025" w:rsidR="00E306E2" w:rsidRPr="00922392" w:rsidRDefault="00E306E2" w:rsidP="00922392">
    <w:pPr>
      <w:pStyle w:val="Footer"/>
      <w:jc w:val="center"/>
      <w:rPr>
        <w:sz w:val="20"/>
        <w:szCs w:val="20"/>
      </w:rPr>
    </w:pPr>
    <w:r w:rsidRPr="00922392">
      <w:rPr>
        <w:sz w:val="20"/>
        <w:szCs w:val="20"/>
      </w:rPr>
      <w:fldChar w:fldCharType="begin"/>
    </w:r>
    <w:r w:rsidRPr="00922392">
      <w:rPr>
        <w:sz w:val="20"/>
        <w:szCs w:val="20"/>
      </w:rPr>
      <w:instrText xml:space="preserve"> PAGE   \* MERGEFORMAT </w:instrText>
    </w:r>
    <w:r w:rsidRPr="00922392">
      <w:rPr>
        <w:sz w:val="20"/>
        <w:szCs w:val="20"/>
      </w:rPr>
      <w:fldChar w:fldCharType="separate"/>
    </w:r>
    <w:r w:rsidRPr="00922392">
      <w:rPr>
        <w:noProof/>
        <w:sz w:val="20"/>
        <w:szCs w:val="20"/>
      </w:rPr>
      <w:t>10</w:t>
    </w:r>
    <w:r w:rsidRPr="00922392">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440330"/>
      <w:docPartObj>
        <w:docPartGallery w:val="Page Numbers (Bottom of Page)"/>
        <w:docPartUnique/>
      </w:docPartObj>
    </w:sdtPr>
    <w:sdtEndPr>
      <w:rPr>
        <w:noProof/>
        <w:sz w:val="20"/>
        <w:szCs w:val="20"/>
      </w:rPr>
    </w:sdtEndPr>
    <w:sdtContent>
      <w:p w14:paraId="24524B2E" w14:textId="77777777" w:rsidR="00A71C3F" w:rsidRPr="003F4856" w:rsidRDefault="00A71C3F">
        <w:pPr>
          <w:pStyle w:val="Footer"/>
          <w:jc w:val="center"/>
          <w:rPr>
            <w:sz w:val="20"/>
            <w:szCs w:val="20"/>
          </w:rPr>
        </w:pPr>
        <w:r w:rsidRPr="003F4856">
          <w:rPr>
            <w:sz w:val="20"/>
            <w:szCs w:val="20"/>
          </w:rPr>
          <w:fldChar w:fldCharType="begin"/>
        </w:r>
        <w:r w:rsidRPr="003F4856">
          <w:rPr>
            <w:sz w:val="20"/>
            <w:szCs w:val="20"/>
          </w:rPr>
          <w:instrText xml:space="preserve"> PAGE   \* MERGEFORMAT </w:instrText>
        </w:r>
        <w:r w:rsidRPr="003F4856">
          <w:rPr>
            <w:sz w:val="20"/>
            <w:szCs w:val="20"/>
          </w:rPr>
          <w:fldChar w:fldCharType="separate"/>
        </w:r>
        <w:r w:rsidR="008A2451">
          <w:rPr>
            <w:noProof/>
            <w:sz w:val="20"/>
            <w:szCs w:val="20"/>
          </w:rPr>
          <w:t>9</w:t>
        </w:r>
        <w:r w:rsidRPr="003F485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B779D" w14:textId="77777777" w:rsidR="00C9271D" w:rsidRPr="00F121B9" w:rsidRDefault="00C9271D" w:rsidP="00F121B9">
      <w:pPr>
        <w:pStyle w:val="Footer"/>
      </w:pPr>
      <w:r>
        <w:t>___________________</w:t>
      </w:r>
    </w:p>
  </w:footnote>
  <w:footnote w:type="continuationSeparator" w:id="0">
    <w:p w14:paraId="2B545F2B" w14:textId="77777777" w:rsidR="00C9271D" w:rsidRDefault="00C9271D" w:rsidP="00F96A5F">
      <w:r>
        <w:continuationSeparator/>
      </w:r>
    </w:p>
  </w:footnote>
  <w:footnote w:id="1">
    <w:p w14:paraId="63BEFC2E" w14:textId="48087D0A" w:rsidR="001E78D9" w:rsidRDefault="001E78D9" w:rsidP="00E4294F">
      <w:pPr>
        <w:pStyle w:val="FootnoteText"/>
        <w:ind w:firstLine="720"/>
      </w:pPr>
      <w:r>
        <w:rPr>
          <w:rStyle w:val="FootnoteReference"/>
        </w:rPr>
        <w:footnoteRef/>
      </w:r>
      <w:r>
        <w:t xml:space="preserve"> </w:t>
      </w:r>
      <w:r w:rsidR="00323171">
        <w:tab/>
      </w:r>
      <w:r w:rsidR="00323171" w:rsidRPr="00323171">
        <w:t>Low Income Home Energy Assistance Program</w:t>
      </w:r>
      <w:r w:rsidR="00323171">
        <w:t>.</w:t>
      </w:r>
    </w:p>
  </w:footnote>
  <w:footnote w:id="2">
    <w:p w14:paraId="6BB738D3" w14:textId="77777777" w:rsidR="00121FDE" w:rsidRDefault="00121FDE" w:rsidP="00922392">
      <w:pPr>
        <w:pStyle w:val="FootnoteText"/>
      </w:pPr>
    </w:p>
    <w:p w14:paraId="13F54D54" w14:textId="6DAB9D1C" w:rsidR="006A7819" w:rsidRDefault="006A7819" w:rsidP="00922392">
      <w:pPr>
        <w:pStyle w:val="FootnoteText"/>
        <w:ind w:firstLine="720"/>
      </w:pPr>
      <w:r>
        <w:tab/>
      </w:r>
      <w:r>
        <w:rPr>
          <w:rStyle w:val="FootnoteReference"/>
        </w:rPr>
        <w:footnoteRef/>
      </w:r>
      <w:r>
        <w:tab/>
        <w:t xml:space="preserve">An answer to a preliminary objection may be filed within 10 days of date of  service.  </w:t>
      </w:r>
    </w:p>
    <w:p w14:paraId="44A43D99" w14:textId="77777777" w:rsidR="006A7819" w:rsidRDefault="006A7819" w:rsidP="00922392">
      <w:pPr>
        <w:pStyle w:val="FootnoteText"/>
        <w:ind w:firstLine="720"/>
      </w:pPr>
      <w:r>
        <w:t xml:space="preserve">52 Pa.Code § 5.101(f) (1).  </w:t>
      </w:r>
    </w:p>
  </w:footnote>
  <w:footnote w:id="3">
    <w:p w14:paraId="6BDBE541" w14:textId="77777777" w:rsidR="006A7819" w:rsidRDefault="006A7819" w:rsidP="00922392">
      <w:pPr>
        <w:pStyle w:val="FootnoteText"/>
        <w:ind w:firstLine="720"/>
      </w:pPr>
    </w:p>
    <w:p w14:paraId="6DF6E42C" w14:textId="77777777" w:rsidR="006A7819" w:rsidRDefault="006A7819" w:rsidP="00922392">
      <w:pPr>
        <w:pStyle w:val="FootnoteText"/>
        <w:ind w:firstLine="720"/>
      </w:pPr>
      <w:r>
        <w:tab/>
      </w:r>
      <w:r>
        <w:rPr>
          <w:rStyle w:val="FootnoteReference"/>
        </w:rPr>
        <w:footnoteRef/>
      </w:r>
      <w:r>
        <w:t xml:space="preserve"> </w:t>
      </w:r>
      <w:r>
        <w:tab/>
        <w:t>Sections 5.63 (a) and (b) of the Commission’s Rule of Practice and Procedure state:</w:t>
      </w:r>
    </w:p>
    <w:p w14:paraId="339C6C0A" w14:textId="77777777" w:rsidR="006A7819" w:rsidRDefault="006A7819" w:rsidP="00922392">
      <w:pPr>
        <w:pStyle w:val="FootnoteText"/>
        <w:ind w:firstLine="720"/>
      </w:pPr>
    </w:p>
    <w:p w14:paraId="12E97F72" w14:textId="37A820BE" w:rsidR="006A7819" w:rsidRDefault="006A7819" w:rsidP="00922392">
      <w:pPr>
        <w:pStyle w:val="FootnoteText"/>
        <w:ind w:left="1440" w:hanging="1440"/>
      </w:pPr>
      <w:r>
        <w:tab/>
        <w:t>(a)   Unless otherwise ordered by the Commission, replies to answers</w:t>
      </w:r>
      <w:r w:rsidR="00922392">
        <w:t xml:space="preserve"> </w:t>
      </w:r>
      <w:r>
        <w:t xml:space="preserve">seeking affirmative relief or to new matter shall be filed within 20 days of </w:t>
      </w:r>
      <w:r w:rsidR="00E4294F">
        <w:t xml:space="preserve"> </w:t>
      </w:r>
      <w:r>
        <w:t>the date</w:t>
      </w:r>
      <w:r w:rsidR="00922392">
        <w:t xml:space="preserve"> </w:t>
      </w:r>
      <w:r>
        <w:t xml:space="preserve">of service of the answer but not later than 5 days prior to the date set for the commencement of the hearing. </w:t>
      </w:r>
    </w:p>
    <w:p w14:paraId="22CAFAA7" w14:textId="77777777" w:rsidR="006A7819" w:rsidRDefault="006A7819" w:rsidP="00922392">
      <w:pPr>
        <w:pStyle w:val="FootnoteText"/>
        <w:ind w:left="1440" w:hanging="1440"/>
      </w:pPr>
    </w:p>
    <w:p w14:paraId="65B92FF0" w14:textId="4565C52E" w:rsidR="006A7819" w:rsidRDefault="006A7819" w:rsidP="00922392">
      <w:pPr>
        <w:pStyle w:val="FootnoteText"/>
        <w:ind w:left="1440" w:hanging="1440"/>
      </w:pPr>
      <w:r>
        <w:tab/>
        <w:t>(b)   Failure to file a timely reply to new matter may be deemed in default,</w:t>
      </w:r>
      <w:r w:rsidR="00922392">
        <w:t xml:space="preserve"> </w:t>
      </w:r>
      <w:r>
        <w:t>and relevant facts stated in the new matter may be deemed to be admitted.</w:t>
      </w:r>
      <w:r w:rsidR="00922392">
        <w:t xml:space="preserve">  </w:t>
      </w:r>
      <w:r>
        <w:t>52 Pa.Code §§ 5.63 (a) and (b).</w:t>
      </w:r>
    </w:p>
  </w:footnote>
  <w:footnote w:id="4">
    <w:p w14:paraId="4C31423A" w14:textId="77777777" w:rsidR="00922392" w:rsidRDefault="00922392" w:rsidP="00922392">
      <w:pPr>
        <w:ind w:firstLine="720"/>
      </w:pPr>
    </w:p>
    <w:p w14:paraId="530D163A" w14:textId="435B9BC2" w:rsidR="00687096" w:rsidRPr="00922392" w:rsidRDefault="00687096" w:rsidP="00922392">
      <w:pPr>
        <w:ind w:firstLine="720"/>
      </w:pPr>
      <w:r>
        <w:rPr>
          <w:rStyle w:val="FootnoteReference"/>
        </w:rPr>
        <w:footnoteRef/>
      </w:r>
      <w:r>
        <w:t xml:space="preserve"> </w:t>
      </w:r>
      <w:r w:rsidR="00BC2B14">
        <w:tab/>
      </w:r>
      <w:r w:rsidRPr="00DE6D86">
        <w:rPr>
          <w:sz w:val="20"/>
          <w:szCs w:val="20"/>
        </w:rPr>
        <w:t xml:space="preserve">See </w:t>
      </w:r>
      <w:r w:rsidRPr="00DE6D86">
        <w:rPr>
          <w:i/>
          <w:sz w:val="20"/>
          <w:szCs w:val="20"/>
        </w:rPr>
        <w:t xml:space="preserve">Suburban East Tires, Inc. v. Pa. Pub. Util. Comm’n, </w:t>
      </w:r>
      <w:r w:rsidRPr="00DE6D86">
        <w:rPr>
          <w:sz w:val="20"/>
          <w:szCs w:val="20"/>
        </w:rPr>
        <w:t>582 A.2d 727, (Pa.Cmwlth. 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32616"/>
    <w:multiLevelType w:val="hybridMultilevel"/>
    <w:tmpl w:val="A948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905B5"/>
    <w:multiLevelType w:val="hybridMultilevel"/>
    <w:tmpl w:val="EBD04792"/>
    <w:lvl w:ilvl="0" w:tplc="E8F829E6">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77583115">
    <w:abstractNumId w:val="1"/>
  </w:num>
  <w:num w:numId="2" w16cid:durableId="1211724078">
    <w:abstractNumId w:val="0"/>
  </w:num>
  <w:num w:numId="3" w16cid:durableId="279455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22"/>
    <w:rsid w:val="00003D3A"/>
    <w:rsid w:val="000062EA"/>
    <w:rsid w:val="00010E05"/>
    <w:rsid w:val="00015062"/>
    <w:rsid w:val="00020E65"/>
    <w:rsid w:val="00022509"/>
    <w:rsid w:val="00025B89"/>
    <w:rsid w:val="00025EA4"/>
    <w:rsid w:val="00032591"/>
    <w:rsid w:val="00033657"/>
    <w:rsid w:val="000545C8"/>
    <w:rsid w:val="000551C7"/>
    <w:rsid w:val="00056553"/>
    <w:rsid w:val="000614DD"/>
    <w:rsid w:val="00063F04"/>
    <w:rsid w:val="00067480"/>
    <w:rsid w:val="000702DD"/>
    <w:rsid w:val="00070389"/>
    <w:rsid w:val="00073AFF"/>
    <w:rsid w:val="00075CE8"/>
    <w:rsid w:val="00077756"/>
    <w:rsid w:val="000849BE"/>
    <w:rsid w:val="00085722"/>
    <w:rsid w:val="00090CA0"/>
    <w:rsid w:val="000A488C"/>
    <w:rsid w:val="000A6169"/>
    <w:rsid w:val="000B2D68"/>
    <w:rsid w:val="000C4DC7"/>
    <w:rsid w:val="000C6139"/>
    <w:rsid w:val="000E2A40"/>
    <w:rsid w:val="000E78CE"/>
    <w:rsid w:val="000F3830"/>
    <w:rsid w:val="00107137"/>
    <w:rsid w:val="00110BC7"/>
    <w:rsid w:val="0011799D"/>
    <w:rsid w:val="00117B7B"/>
    <w:rsid w:val="00121FDE"/>
    <w:rsid w:val="001231F4"/>
    <w:rsid w:val="00123481"/>
    <w:rsid w:val="00123A2A"/>
    <w:rsid w:val="00123AA5"/>
    <w:rsid w:val="0013056F"/>
    <w:rsid w:val="001317CF"/>
    <w:rsid w:val="001352D4"/>
    <w:rsid w:val="0014084F"/>
    <w:rsid w:val="00155845"/>
    <w:rsid w:val="00160042"/>
    <w:rsid w:val="001711B0"/>
    <w:rsid w:val="001745F2"/>
    <w:rsid w:val="00176508"/>
    <w:rsid w:val="0018274C"/>
    <w:rsid w:val="001846BD"/>
    <w:rsid w:val="0018585E"/>
    <w:rsid w:val="00190185"/>
    <w:rsid w:val="001918A5"/>
    <w:rsid w:val="00196CCD"/>
    <w:rsid w:val="001A36BC"/>
    <w:rsid w:val="001A3AA9"/>
    <w:rsid w:val="001A6410"/>
    <w:rsid w:val="001C000B"/>
    <w:rsid w:val="001C6198"/>
    <w:rsid w:val="001E1B80"/>
    <w:rsid w:val="001E1DA9"/>
    <w:rsid w:val="001E78D9"/>
    <w:rsid w:val="001F4761"/>
    <w:rsid w:val="00200057"/>
    <w:rsid w:val="002075C1"/>
    <w:rsid w:val="0021362E"/>
    <w:rsid w:val="0021492F"/>
    <w:rsid w:val="00217FCB"/>
    <w:rsid w:val="00221AB7"/>
    <w:rsid w:val="00236993"/>
    <w:rsid w:val="00242355"/>
    <w:rsid w:val="002456E0"/>
    <w:rsid w:val="00253D96"/>
    <w:rsid w:val="00253FF8"/>
    <w:rsid w:val="002606EA"/>
    <w:rsid w:val="00260A50"/>
    <w:rsid w:val="0027011C"/>
    <w:rsid w:val="002725F0"/>
    <w:rsid w:val="00273FEA"/>
    <w:rsid w:val="00276AF3"/>
    <w:rsid w:val="00277153"/>
    <w:rsid w:val="0029133C"/>
    <w:rsid w:val="002A26D8"/>
    <w:rsid w:val="002A2EFC"/>
    <w:rsid w:val="002A3899"/>
    <w:rsid w:val="002B2106"/>
    <w:rsid w:val="002C3D18"/>
    <w:rsid w:val="002C4ACB"/>
    <w:rsid w:val="002C7091"/>
    <w:rsid w:val="002C7DCD"/>
    <w:rsid w:val="002D1150"/>
    <w:rsid w:val="002E31CF"/>
    <w:rsid w:val="002E54C4"/>
    <w:rsid w:val="002F2A7C"/>
    <w:rsid w:val="00302FC7"/>
    <w:rsid w:val="0031330E"/>
    <w:rsid w:val="00315E87"/>
    <w:rsid w:val="00323171"/>
    <w:rsid w:val="00326656"/>
    <w:rsid w:val="00334FD7"/>
    <w:rsid w:val="003365A9"/>
    <w:rsid w:val="0033783A"/>
    <w:rsid w:val="00344262"/>
    <w:rsid w:val="003519CF"/>
    <w:rsid w:val="00352AD4"/>
    <w:rsid w:val="00362345"/>
    <w:rsid w:val="00362C3B"/>
    <w:rsid w:val="003749CD"/>
    <w:rsid w:val="00375BED"/>
    <w:rsid w:val="00382FA4"/>
    <w:rsid w:val="003A4B6C"/>
    <w:rsid w:val="003A57CD"/>
    <w:rsid w:val="003C1CB7"/>
    <w:rsid w:val="003C2F17"/>
    <w:rsid w:val="003C4ECD"/>
    <w:rsid w:val="003C5B8B"/>
    <w:rsid w:val="003D050E"/>
    <w:rsid w:val="003D0AE6"/>
    <w:rsid w:val="003D4F5E"/>
    <w:rsid w:val="003D560F"/>
    <w:rsid w:val="003D633B"/>
    <w:rsid w:val="003E7C34"/>
    <w:rsid w:val="003F0EC0"/>
    <w:rsid w:val="003F4856"/>
    <w:rsid w:val="003F73AA"/>
    <w:rsid w:val="00410F87"/>
    <w:rsid w:val="00415B95"/>
    <w:rsid w:val="00427716"/>
    <w:rsid w:val="00437B13"/>
    <w:rsid w:val="00450D59"/>
    <w:rsid w:val="004513DE"/>
    <w:rsid w:val="00461BE1"/>
    <w:rsid w:val="00461FBA"/>
    <w:rsid w:val="0047122A"/>
    <w:rsid w:val="00474396"/>
    <w:rsid w:val="00474F54"/>
    <w:rsid w:val="004801CB"/>
    <w:rsid w:val="00484833"/>
    <w:rsid w:val="00484E2E"/>
    <w:rsid w:val="00486D4A"/>
    <w:rsid w:val="0049009F"/>
    <w:rsid w:val="0049288C"/>
    <w:rsid w:val="00492B25"/>
    <w:rsid w:val="00495C94"/>
    <w:rsid w:val="004A2720"/>
    <w:rsid w:val="004A4350"/>
    <w:rsid w:val="004A5FE9"/>
    <w:rsid w:val="004A7E2A"/>
    <w:rsid w:val="004C1707"/>
    <w:rsid w:val="004C6742"/>
    <w:rsid w:val="004D0167"/>
    <w:rsid w:val="004D3B73"/>
    <w:rsid w:val="004E2EB1"/>
    <w:rsid w:val="004E4041"/>
    <w:rsid w:val="004E7940"/>
    <w:rsid w:val="004E7B49"/>
    <w:rsid w:val="004F4423"/>
    <w:rsid w:val="00503A3B"/>
    <w:rsid w:val="00504406"/>
    <w:rsid w:val="0050605D"/>
    <w:rsid w:val="00512BF7"/>
    <w:rsid w:val="00516920"/>
    <w:rsid w:val="005214BA"/>
    <w:rsid w:val="00521830"/>
    <w:rsid w:val="005232EF"/>
    <w:rsid w:val="00527059"/>
    <w:rsid w:val="005457E8"/>
    <w:rsid w:val="00551FC8"/>
    <w:rsid w:val="0055653F"/>
    <w:rsid w:val="00556899"/>
    <w:rsid w:val="00565D67"/>
    <w:rsid w:val="00567B0B"/>
    <w:rsid w:val="00585CCE"/>
    <w:rsid w:val="00587319"/>
    <w:rsid w:val="00590B51"/>
    <w:rsid w:val="00596005"/>
    <w:rsid w:val="005A19D1"/>
    <w:rsid w:val="005A27FD"/>
    <w:rsid w:val="005A3ECF"/>
    <w:rsid w:val="005A5F29"/>
    <w:rsid w:val="005A61DC"/>
    <w:rsid w:val="005C6F7F"/>
    <w:rsid w:val="005E7AF8"/>
    <w:rsid w:val="005F4A8C"/>
    <w:rsid w:val="005F5BCF"/>
    <w:rsid w:val="00601E59"/>
    <w:rsid w:val="00606B5D"/>
    <w:rsid w:val="006105FB"/>
    <w:rsid w:val="006137A1"/>
    <w:rsid w:val="00620E66"/>
    <w:rsid w:val="0063454A"/>
    <w:rsid w:val="00640F4C"/>
    <w:rsid w:val="0064187F"/>
    <w:rsid w:val="00643584"/>
    <w:rsid w:val="006463BB"/>
    <w:rsid w:val="00646513"/>
    <w:rsid w:val="00655936"/>
    <w:rsid w:val="006578F7"/>
    <w:rsid w:val="00661B78"/>
    <w:rsid w:val="0066450D"/>
    <w:rsid w:val="00665259"/>
    <w:rsid w:val="006669E2"/>
    <w:rsid w:val="00673F38"/>
    <w:rsid w:val="0067532D"/>
    <w:rsid w:val="00684464"/>
    <w:rsid w:val="00687096"/>
    <w:rsid w:val="00687C84"/>
    <w:rsid w:val="0069640D"/>
    <w:rsid w:val="006A7819"/>
    <w:rsid w:val="006C0600"/>
    <w:rsid w:val="006C3E91"/>
    <w:rsid w:val="006C51D9"/>
    <w:rsid w:val="006D2B39"/>
    <w:rsid w:val="006E118C"/>
    <w:rsid w:val="006E1194"/>
    <w:rsid w:val="006E45E6"/>
    <w:rsid w:val="006E6AA1"/>
    <w:rsid w:val="006F0044"/>
    <w:rsid w:val="006F2C30"/>
    <w:rsid w:val="006F6091"/>
    <w:rsid w:val="00701F8C"/>
    <w:rsid w:val="007043BD"/>
    <w:rsid w:val="00706B7D"/>
    <w:rsid w:val="00713645"/>
    <w:rsid w:val="00717192"/>
    <w:rsid w:val="00720A34"/>
    <w:rsid w:val="0072130F"/>
    <w:rsid w:val="007353C5"/>
    <w:rsid w:val="00736E04"/>
    <w:rsid w:val="0074168E"/>
    <w:rsid w:val="00742922"/>
    <w:rsid w:val="0074295E"/>
    <w:rsid w:val="00752747"/>
    <w:rsid w:val="0076544B"/>
    <w:rsid w:val="007731E3"/>
    <w:rsid w:val="00775359"/>
    <w:rsid w:val="007779AE"/>
    <w:rsid w:val="00780E78"/>
    <w:rsid w:val="007854DB"/>
    <w:rsid w:val="00785D5A"/>
    <w:rsid w:val="007871B3"/>
    <w:rsid w:val="007A44A7"/>
    <w:rsid w:val="007B103F"/>
    <w:rsid w:val="007C1450"/>
    <w:rsid w:val="007C27BE"/>
    <w:rsid w:val="007C75D2"/>
    <w:rsid w:val="007D2E32"/>
    <w:rsid w:val="007D7305"/>
    <w:rsid w:val="007D76EF"/>
    <w:rsid w:val="007D78CD"/>
    <w:rsid w:val="007F2030"/>
    <w:rsid w:val="007F3A30"/>
    <w:rsid w:val="007F3FAF"/>
    <w:rsid w:val="007F6945"/>
    <w:rsid w:val="00811B3A"/>
    <w:rsid w:val="008235AA"/>
    <w:rsid w:val="0082480F"/>
    <w:rsid w:val="00831D2A"/>
    <w:rsid w:val="00833E56"/>
    <w:rsid w:val="00834A49"/>
    <w:rsid w:val="008410AC"/>
    <w:rsid w:val="00855254"/>
    <w:rsid w:val="00855F18"/>
    <w:rsid w:val="00867956"/>
    <w:rsid w:val="008747D5"/>
    <w:rsid w:val="00876C9A"/>
    <w:rsid w:val="00893C13"/>
    <w:rsid w:val="00893EDE"/>
    <w:rsid w:val="0089484B"/>
    <w:rsid w:val="00894DE4"/>
    <w:rsid w:val="008964A9"/>
    <w:rsid w:val="008A2451"/>
    <w:rsid w:val="008A4AEB"/>
    <w:rsid w:val="008B1750"/>
    <w:rsid w:val="008B76F6"/>
    <w:rsid w:val="008C6DC1"/>
    <w:rsid w:val="008D2E84"/>
    <w:rsid w:val="008D3B1E"/>
    <w:rsid w:val="008D3ED0"/>
    <w:rsid w:val="008E0795"/>
    <w:rsid w:val="008E0B29"/>
    <w:rsid w:val="008E2617"/>
    <w:rsid w:val="008E26CC"/>
    <w:rsid w:val="008E3AB8"/>
    <w:rsid w:val="008F03D9"/>
    <w:rsid w:val="008F2075"/>
    <w:rsid w:val="008F38FE"/>
    <w:rsid w:val="009070E3"/>
    <w:rsid w:val="009152F8"/>
    <w:rsid w:val="00922392"/>
    <w:rsid w:val="00931762"/>
    <w:rsid w:val="00936195"/>
    <w:rsid w:val="00936E1B"/>
    <w:rsid w:val="00937DA0"/>
    <w:rsid w:val="0094125D"/>
    <w:rsid w:val="009420F1"/>
    <w:rsid w:val="00943700"/>
    <w:rsid w:val="00944020"/>
    <w:rsid w:val="0095622A"/>
    <w:rsid w:val="0096452A"/>
    <w:rsid w:val="009852AE"/>
    <w:rsid w:val="009A06E3"/>
    <w:rsid w:val="009A1B31"/>
    <w:rsid w:val="009A26B6"/>
    <w:rsid w:val="009A4995"/>
    <w:rsid w:val="009B2CCC"/>
    <w:rsid w:val="009D07BE"/>
    <w:rsid w:val="009D4337"/>
    <w:rsid w:val="009E029B"/>
    <w:rsid w:val="009E4940"/>
    <w:rsid w:val="009E5ADA"/>
    <w:rsid w:val="00A00F83"/>
    <w:rsid w:val="00A04221"/>
    <w:rsid w:val="00A11A5D"/>
    <w:rsid w:val="00A122C6"/>
    <w:rsid w:val="00A13B0B"/>
    <w:rsid w:val="00A253D7"/>
    <w:rsid w:val="00A27280"/>
    <w:rsid w:val="00A312A0"/>
    <w:rsid w:val="00A31770"/>
    <w:rsid w:val="00A3391B"/>
    <w:rsid w:val="00A409F9"/>
    <w:rsid w:val="00A45B1A"/>
    <w:rsid w:val="00A52617"/>
    <w:rsid w:val="00A53B75"/>
    <w:rsid w:val="00A60A86"/>
    <w:rsid w:val="00A619AF"/>
    <w:rsid w:val="00A707DE"/>
    <w:rsid w:val="00A71C3F"/>
    <w:rsid w:val="00A720DB"/>
    <w:rsid w:val="00A767AC"/>
    <w:rsid w:val="00A86044"/>
    <w:rsid w:val="00A870EE"/>
    <w:rsid w:val="00A874AE"/>
    <w:rsid w:val="00A90405"/>
    <w:rsid w:val="00A95FD3"/>
    <w:rsid w:val="00AB05CB"/>
    <w:rsid w:val="00AB21D1"/>
    <w:rsid w:val="00AB7F3D"/>
    <w:rsid w:val="00AC2293"/>
    <w:rsid w:val="00AD4942"/>
    <w:rsid w:val="00AD4BBB"/>
    <w:rsid w:val="00AD5C15"/>
    <w:rsid w:val="00AE6FC8"/>
    <w:rsid w:val="00AE78B2"/>
    <w:rsid w:val="00AE7B87"/>
    <w:rsid w:val="00AF01FA"/>
    <w:rsid w:val="00B011E6"/>
    <w:rsid w:val="00B02C60"/>
    <w:rsid w:val="00B03954"/>
    <w:rsid w:val="00B20229"/>
    <w:rsid w:val="00B20F10"/>
    <w:rsid w:val="00B3065F"/>
    <w:rsid w:val="00B32A97"/>
    <w:rsid w:val="00B44FC7"/>
    <w:rsid w:val="00B45D38"/>
    <w:rsid w:val="00B46720"/>
    <w:rsid w:val="00B46FBC"/>
    <w:rsid w:val="00B515CB"/>
    <w:rsid w:val="00B53487"/>
    <w:rsid w:val="00B56390"/>
    <w:rsid w:val="00B60357"/>
    <w:rsid w:val="00B61572"/>
    <w:rsid w:val="00B63C6F"/>
    <w:rsid w:val="00B75448"/>
    <w:rsid w:val="00B77281"/>
    <w:rsid w:val="00B808FA"/>
    <w:rsid w:val="00B80EB5"/>
    <w:rsid w:val="00B84401"/>
    <w:rsid w:val="00B84407"/>
    <w:rsid w:val="00B863B4"/>
    <w:rsid w:val="00B96444"/>
    <w:rsid w:val="00BA4309"/>
    <w:rsid w:val="00BA54E4"/>
    <w:rsid w:val="00BA58D9"/>
    <w:rsid w:val="00BB4B03"/>
    <w:rsid w:val="00BB5315"/>
    <w:rsid w:val="00BC2B14"/>
    <w:rsid w:val="00BD0EDB"/>
    <w:rsid w:val="00BE0B20"/>
    <w:rsid w:val="00BE0B2F"/>
    <w:rsid w:val="00BE5990"/>
    <w:rsid w:val="00C00167"/>
    <w:rsid w:val="00C01DB8"/>
    <w:rsid w:val="00C0238F"/>
    <w:rsid w:val="00C02614"/>
    <w:rsid w:val="00C03E9C"/>
    <w:rsid w:val="00C0404F"/>
    <w:rsid w:val="00C07C6C"/>
    <w:rsid w:val="00C10FF5"/>
    <w:rsid w:val="00C20B2D"/>
    <w:rsid w:val="00C245CD"/>
    <w:rsid w:val="00C24E95"/>
    <w:rsid w:val="00C26C92"/>
    <w:rsid w:val="00C363AE"/>
    <w:rsid w:val="00C40A02"/>
    <w:rsid w:val="00C45EE4"/>
    <w:rsid w:val="00C5022D"/>
    <w:rsid w:val="00C57A84"/>
    <w:rsid w:val="00C60651"/>
    <w:rsid w:val="00C64262"/>
    <w:rsid w:val="00C6647C"/>
    <w:rsid w:val="00C8630C"/>
    <w:rsid w:val="00C90B75"/>
    <w:rsid w:val="00C91C77"/>
    <w:rsid w:val="00C9271D"/>
    <w:rsid w:val="00CA194A"/>
    <w:rsid w:val="00CA356C"/>
    <w:rsid w:val="00CA607B"/>
    <w:rsid w:val="00CB4B36"/>
    <w:rsid w:val="00CC30CC"/>
    <w:rsid w:val="00CC7D59"/>
    <w:rsid w:val="00CD1BB1"/>
    <w:rsid w:val="00CD3A09"/>
    <w:rsid w:val="00CE26E2"/>
    <w:rsid w:val="00D0440C"/>
    <w:rsid w:val="00D05093"/>
    <w:rsid w:val="00D13FAC"/>
    <w:rsid w:val="00D1626B"/>
    <w:rsid w:val="00D22F3C"/>
    <w:rsid w:val="00D3605A"/>
    <w:rsid w:val="00D37086"/>
    <w:rsid w:val="00D45003"/>
    <w:rsid w:val="00D465C7"/>
    <w:rsid w:val="00D52A4B"/>
    <w:rsid w:val="00D706BC"/>
    <w:rsid w:val="00D7218B"/>
    <w:rsid w:val="00D76DAB"/>
    <w:rsid w:val="00D80670"/>
    <w:rsid w:val="00D900E6"/>
    <w:rsid w:val="00D912E8"/>
    <w:rsid w:val="00D92077"/>
    <w:rsid w:val="00D9229A"/>
    <w:rsid w:val="00DA728F"/>
    <w:rsid w:val="00DB1A83"/>
    <w:rsid w:val="00DB323B"/>
    <w:rsid w:val="00DB5AC9"/>
    <w:rsid w:val="00DC6668"/>
    <w:rsid w:val="00DD0355"/>
    <w:rsid w:val="00DD0C38"/>
    <w:rsid w:val="00DD257D"/>
    <w:rsid w:val="00DD749E"/>
    <w:rsid w:val="00DE10F5"/>
    <w:rsid w:val="00DE6D86"/>
    <w:rsid w:val="00DE774A"/>
    <w:rsid w:val="00DF22A9"/>
    <w:rsid w:val="00DF5F94"/>
    <w:rsid w:val="00DF6C76"/>
    <w:rsid w:val="00E026FE"/>
    <w:rsid w:val="00E07533"/>
    <w:rsid w:val="00E217BC"/>
    <w:rsid w:val="00E23578"/>
    <w:rsid w:val="00E306E2"/>
    <w:rsid w:val="00E4294F"/>
    <w:rsid w:val="00E475AB"/>
    <w:rsid w:val="00E53A59"/>
    <w:rsid w:val="00E772EB"/>
    <w:rsid w:val="00E84D1E"/>
    <w:rsid w:val="00E97052"/>
    <w:rsid w:val="00EA0738"/>
    <w:rsid w:val="00EB36BA"/>
    <w:rsid w:val="00EC197F"/>
    <w:rsid w:val="00EC68C2"/>
    <w:rsid w:val="00EC6C50"/>
    <w:rsid w:val="00EE7635"/>
    <w:rsid w:val="00EF2329"/>
    <w:rsid w:val="00EF635C"/>
    <w:rsid w:val="00F0445D"/>
    <w:rsid w:val="00F121B9"/>
    <w:rsid w:val="00F17436"/>
    <w:rsid w:val="00F17EC9"/>
    <w:rsid w:val="00F3019F"/>
    <w:rsid w:val="00F317AE"/>
    <w:rsid w:val="00F562B1"/>
    <w:rsid w:val="00F5796A"/>
    <w:rsid w:val="00F60607"/>
    <w:rsid w:val="00F630DD"/>
    <w:rsid w:val="00F721A1"/>
    <w:rsid w:val="00F725D8"/>
    <w:rsid w:val="00F76A81"/>
    <w:rsid w:val="00F84713"/>
    <w:rsid w:val="00F874CC"/>
    <w:rsid w:val="00F93E86"/>
    <w:rsid w:val="00F96A5F"/>
    <w:rsid w:val="00FA2AD8"/>
    <w:rsid w:val="00FA3454"/>
    <w:rsid w:val="00FA72EC"/>
    <w:rsid w:val="00FC5B06"/>
    <w:rsid w:val="00FD2A22"/>
    <w:rsid w:val="00FD510F"/>
    <w:rsid w:val="00FE0998"/>
    <w:rsid w:val="00FE1F0A"/>
    <w:rsid w:val="00FE31D3"/>
    <w:rsid w:val="00FE6026"/>
    <w:rsid w:val="00FF4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2A23"/>
  <w15:docId w15:val="{655086C5-41B0-4A7F-8CB7-68BE2C57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A2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bldata1">
    <w:name w:val="lbldata1"/>
    <w:basedOn w:val="DefaultParagraphFont"/>
    <w:rsid w:val="00F96A5F"/>
    <w:rPr>
      <w:b/>
      <w:bCs/>
      <w:caps/>
      <w:color w:val="808000"/>
      <w:sz w:val="24"/>
      <w:szCs w:val="24"/>
    </w:rPr>
  </w:style>
  <w:style w:type="paragraph" w:styleId="FootnoteText">
    <w:name w:val="footnote text"/>
    <w:basedOn w:val="Normal"/>
    <w:link w:val="FootnoteTextChar"/>
    <w:rsid w:val="00F96A5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F96A5F"/>
    <w:rPr>
      <w:rFonts w:eastAsia="Times New Roman" w:cs="Times New Roman"/>
      <w:sz w:val="20"/>
      <w:szCs w:val="20"/>
    </w:rPr>
  </w:style>
  <w:style w:type="character" w:styleId="FootnoteReference">
    <w:name w:val="footnote reference"/>
    <w:basedOn w:val="DefaultParagraphFont"/>
    <w:uiPriority w:val="99"/>
    <w:rsid w:val="00F96A5F"/>
    <w:rPr>
      <w:vertAlign w:val="superscript"/>
    </w:rPr>
  </w:style>
  <w:style w:type="paragraph" w:styleId="Header">
    <w:name w:val="header"/>
    <w:basedOn w:val="Normal"/>
    <w:link w:val="HeaderChar"/>
    <w:uiPriority w:val="99"/>
    <w:unhideWhenUsed/>
    <w:rsid w:val="00A71C3F"/>
    <w:pPr>
      <w:tabs>
        <w:tab w:val="center" w:pos="4680"/>
        <w:tab w:val="right" w:pos="9360"/>
      </w:tabs>
    </w:pPr>
  </w:style>
  <w:style w:type="character" w:customStyle="1" w:styleId="HeaderChar">
    <w:name w:val="Header Char"/>
    <w:basedOn w:val="DefaultParagraphFont"/>
    <w:link w:val="Header"/>
    <w:uiPriority w:val="99"/>
    <w:rsid w:val="00A71C3F"/>
    <w:rPr>
      <w:rFonts w:eastAsia="Times New Roman" w:cs="Times New Roman"/>
      <w:szCs w:val="24"/>
    </w:rPr>
  </w:style>
  <w:style w:type="paragraph" w:styleId="Footer">
    <w:name w:val="footer"/>
    <w:basedOn w:val="Normal"/>
    <w:link w:val="FooterChar"/>
    <w:uiPriority w:val="99"/>
    <w:unhideWhenUsed/>
    <w:rsid w:val="00A71C3F"/>
    <w:pPr>
      <w:tabs>
        <w:tab w:val="center" w:pos="4680"/>
        <w:tab w:val="right" w:pos="9360"/>
      </w:tabs>
    </w:pPr>
  </w:style>
  <w:style w:type="character" w:customStyle="1" w:styleId="FooterChar">
    <w:name w:val="Footer Char"/>
    <w:basedOn w:val="DefaultParagraphFont"/>
    <w:link w:val="Footer"/>
    <w:uiPriority w:val="99"/>
    <w:rsid w:val="00A71C3F"/>
    <w:rPr>
      <w:rFonts w:eastAsia="Times New Roman" w:cs="Times New Roman"/>
      <w:szCs w:val="24"/>
    </w:rPr>
  </w:style>
  <w:style w:type="paragraph" w:styleId="BalloonText">
    <w:name w:val="Balloon Text"/>
    <w:basedOn w:val="Normal"/>
    <w:link w:val="BalloonTextChar"/>
    <w:uiPriority w:val="99"/>
    <w:semiHidden/>
    <w:unhideWhenUsed/>
    <w:rsid w:val="00C0238F"/>
    <w:rPr>
      <w:rFonts w:ascii="Tahoma" w:hAnsi="Tahoma" w:cs="Tahoma"/>
      <w:sz w:val="16"/>
      <w:szCs w:val="16"/>
    </w:rPr>
  </w:style>
  <w:style w:type="character" w:customStyle="1" w:styleId="BalloonTextChar">
    <w:name w:val="Balloon Text Char"/>
    <w:basedOn w:val="DefaultParagraphFont"/>
    <w:link w:val="BalloonText"/>
    <w:uiPriority w:val="99"/>
    <w:semiHidden/>
    <w:rsid w:val="00C0238F"/>
    <w:rPr>
      <w:rFonts w:ascii="Tahoma" w:eastAsia="Times New Roman" w:hAnsi="Tahoma" w:cs="Tahoma"/>
      <w:sz w:val="16"/>
      <w:szCs w:val="16"/>
    </w:rPr>
  </w:style>
  <w:style w:type="paragraph" w:customStyle="1" w:styleId="ParaTab1">
    <w:name w:val="ParaTab 1"/>
    <w:rsid w:val="00FE1F0A"/>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paragraph" w:customStyle="1" w:styleId="Default">
    <w:name w:val="Default"/>
    <w:rsid w:val="008A4AEB"/>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567B0B"/>
    <w:pPr>
      <w:ind w:left="720"/>
      <w:contextualSpacing/>
    </w:pPr>
  </w:style>
  <w:style w:type="character" w:styleId="Hyperlink">
    <w:name w:val="Hyperlink"/>
    <w:basedOn w:val="DefaultParagraphFont"/>
    <w:uiPriority w:val="99"/>
    <w:unhideWhenUsed/>
    <w:rsid w:val="00107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72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c9aeb8cb0c091cf2889e86fca48363f6&amp;_xfercite=%3ccite%20cc%3d%22USA%22%3e%3c%21%5bCDATA%5b136%20Pa.%20Commw.%20209%5d%5d%3e%3c%2fcite%3e&amp;_butType=4&amp;_butStat=0&amp;_butNum=17&amp;_butInline=1&amp;_butinfo=66%20PA.C.S.%203314&amp;_fmtstr=FULL&amp;docnum=1&amp;_startdoc=1&amp;wchp=dGLzVzk-zSkAW&amp;_md5=e8c86b9a882beb517ee8777d6deee5f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hoismissporter@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C133F-4882-4EDE-B144-4528EE90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2646</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Conrad</dc:creator>
  <cp:keywords/>
  <dc:description/>
  <cp:lastModifiedBy>Alban, Daniela</cp:lastModifiedBy>
  <cp:revision>4</cp:revision>
  <cp:lastPrinted>2016-10-05T19:50:00Z</cp:lastPrinted>
  <dcterms:created xsi:type="dcterms:W3CDTF">2022-06-23T12:55:00Z</dcterms:created>
  <dcterms:modified xsi:type="dcterms:W3CDTF">2022-06-23T12:57:00Z</dcterms:modified>
</cp:coreProperties>
</file>