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36E0" w14:textId="77777777" w:rsidR="001F1A89" w:rsidRPr="00715776" w:rsidRDefault="001F1A89" w:rsidP="001F1A89">
      <w:pPr>
        <w:jc w:val="center"/>
        <w:rPr>
          <w:b/>
          <w:sz w:val="24"/>
          <w:szCs w:val="24"/>
        </w:rPr>
      </w:pPr>
      <w:r w:rsidRPr="00715776">
        <w:rPr>
          <w:b/>
          <w:sz w:val="24"/>
          <w:szCs w:val="24"/>
        </w:rPr>
        <w:t>BEFORE THE</w:t>
      </w:r>
    </w:p>
    <w:p w14:paraId="73720EE8" w14:textId="77777777" w:rsidR="001F1A89" w:rsidRPr="00715776" w:rsidRDefault="001F1A89" w:rsidP="001F1A89">
      <w:pPr>
        <w:jc w:val="center"/>
        <w:rPr>
          <w:b/>
          <w:sz w:val="24"/>
          <w:szCs w:val="24"/>
        </w:rPr>
      </w:pPr>
      <w:r w:rsidRPr="00715776">
        <w:rPr>
          <w:b/>
          <w:sz w:val="24"/>
          <w:szCs w:val="24"/>
        </w:rPr>
        <w:t>PENNSYLVANIA PUBLIC UTILITY COMMISSION</w:t>
      </w:r>
    </w:p>
    <w:p w14:paraId="79B2CAD2" w14:textId="77777777" w:rsidR="001F1A89" w:rsidRPr="00D05BAB" w:rsidRDefault="001F1A89" w:rsidP="001F1A89">
      <w:pPr>
        <w:jc w:val="center"/>
        <w:rPr>
          <w:sz w:val="24"/>
          <w:szCs w:val="24"/>
        </w:rPr>
      </w:pPr>
    </w:p>
    <w:p w14:paraId="5B1BD3E5" w14:textId="77777777" w:rsidR="00715776" w:rsidRPr="00D05BAB" w:rsidRDefault="00715776" w:rsidP="001F1A89">
      <w:pPr>
        <w:jc w:val="center"/>
        <w:rPr>
          <w:sz w:val="24"/>
          <w:szCs w:val="24"/>
        </w:rPr>
      </w:pPr>
    </w:p>
    <w:p w14:paraId="53CECA26" w14:textId="77777777" w:rsidR="00D05BAB" w:rsidRPr="00D05BAB" w:rsidRDefault="00D05BAB" w:rsidP="00D05BAB">
      <w:pPr>
        <w:jc w:val="both"/>
        <w:rPr>
          <w:sz w:val="24"/>
          <w:szCs w:val="24"/>
        </w:rPr>
      </w:pPr>
    </w:p>
    <w:p w14:paraId="3F2E0206" w14:textId="77777777" w:rsidR="00D05BAB" w:rsidRPr="00D05BAB" w:rsidRDefault="00D05BAB" w:rsidP="00D05BAB">
      <w:pPr>
        <w:tabs>
          <w:tab w:val="left" w:pos="360"/>
        </w:tabs>
        <w:rPr>
          <w:b/>
          <w:sz w:val="24"/>
          <w:szCs w:val="24"/>
        </w:rPr>
      </w:pPr>
    </w:p>
    <w:p w14:paraId="6310816F" w14:textId="77777777" w:rsidR="00D05BAB" w:rsidRPr="00D05BAB" w:rsidRDefault="00D05BAB" w:rsidP="00D05BAB">
      <w:pPr>
        <w:rPr>
          <w:sz w:val="24"/>
          <w:szCs w:val="24"/>
        </w:rPr>
      </w:pPr>
      <w:r w:rsidRPr="00D05BAB">
        <w:rPr>
          <w:sz w:val="24"/>
          <w:szCs w:val="24"/>
        </w:rPr>
        <w:t>Rita Seben</w:t>
      </w:r>
      <w:r w:rsidRPr="00D05BAB">
        <w:rPr>
          <w:sz w:val="24"/>
          <w:szCs w:val="24"/>
        </w:rPr>
        <w:tab/>
      </w:r>
      <w:r w:rsidRPr="00D05BAB">
        <w:rPr>
          <w:sz w:val="24"/>
          <w:szCs w:val="24"/>
        </w:rPr>
        <w:tab/>
        <w:t xml:space="preserve"> </w:t>
      </w:r>
      <w:r w:rsidRPr="00D05BAB">
        <w:rPr>
          <w:sz w:val="24"/>
          <w:szCs w:val="24"/>
        </w:rPr>
        <w:tab/>
      </w:r>
      <w:r w:rsidRPr="00D05BAB">
        <w:rPr>
          <w:sz w:val="24"/>
          <w:szCs w:val="24"/>
        </w:rPr>
        <w:tab/>
      </w:r>
      <w:r w:rsidRPr="00D05BAB">
        <w:rPr>
          <w:sz w:val="24"/>
          <w:szCs w:val="24"/>
        </w:rPr>
        <w:tab/>
      </w:r>
      <w:r w:rsidRPr="00D05BAB">
        <w:rPr>
          <w:sz w:val="24"/>
          <w:szCs w:val="24"/>
        </w:rPr>
        <w:tab/>
        <w:t>:</w:t>
      </w:r>
    </w:p>
    <w:p w14:paraId="0B4276B0" w14:textId="77777777" w:rsidR="00D05BAB" w:rsidRPr="00D05BAB" w:rsidRDefault="00D05BAB" w:rsidP="00D05BAB">
      <w:pPr>
        <w:rPr>
          <w:sz w:val="24"/>
          <w:szCs w:val="24"/>
        </w:rPr>
      </w:pP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t>:</w:t>
      </w:r>
    </w:p>
    <w:p w14:paraId="0FCFFEFB" w14:textId="77777777" w:rsidR="00D05BAB" w:rsidRPr="00D05BAB" w:rsidRDefault="00D05BAB" w:rsidP="00D05BAB">
      <w:pPr>
        <w:rPr>
          <w:sz w:val="24"/>
          <w:szCs w:val="24"/>
        </w:rPr>
      </w:pPr>
      <w:r w:rsidRPr="00D05BAB">
        <w:rPr>
          <w:sz w:val="24"/>
          <w:szCs w:val="24"/>
        </w:rPr>
        <w:tab/>
        <w:t>v.</w:t>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t>:</w:t>
      </w:r>
      <w:r w:rsidRPr="00D05BAB">
        <w:rPr>
          <w:sz w:val="24"/>
          <w:szCs w:val="24"/>
        </w:rPr>
        <w:tab/>
      </w:r>
      <w:r w:rsidRPr="00D05BAB">
        <w:rPr>
          <w:sz w:val="24"/>
          <w:szCs w:val="24"/>
        </w:rPr>
        <w:tab/>
        <w:t>C</w:t>
      </w:r>
      <w:r w:rsidRPr="00D05BAB">
        <w:rPr>
          <w:sz w:val="24"/>
          <w:szCs w:val="24"/>
        </w:rPr>
        <w:noBreakHyphen/>
        <w:t>2022-3030734</w:t>
      </w:r>
    </w:p>
    <w:p w14:paraId="397589C6" w14:textId="77777777" w:rsidR="00D05BAB" w:rsidRPr="00D05BAB" w:rsidRDefault="00D05BAB" w:rsidP="00D05BAB">
      <w:pPr>
        <w:rPr>
          <w:sz w:val="24"/>
          <w:szCs w:val="24"/>
        </w:rPr>
      </w:pP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r>
      <w:r w:rsidRPr="00D05BAB">
        <w:rPr>
          <w:sz w:val="24"/>
          <w:szCs w:val="24"/>
        </w:rPr>
        <w:tab/>
        <w:t>:</w:t>
      </w:r>
    </w:p>
    <w:p w14:paraId="6D33394F" w14:textId="77777777" w:rsidR="00D05BAB" w:rsidRPr="00D05BAB" w:rsidRDefault="00D05BAB" w:rsidP="00D05BAB">
      <w:pPr>
        <w:rPr>
          <w:sz w:val="24"/>
          <w:szCs w:val="24"/>
        </w:rPr>
      </w:pPr>
      <w:r w:rsidRPr="00D05BAB">
        <w:rPr>
          <w:sz w:val="24"/>
          <w:szCs w:val="24"/>
        </w:rPr>
        <w:t>Peoples Gas Company LLC</w:t>
      </w:r>
      <w:r w:rsidRPr="00D05BAB">
        <w:rPr>
          <w:sz w:val="24"/>
          <w:szCs w:val="24"/>
        </w:rPr>
        <w:tab/>
      </w:r>
      <w:r w:rsidRPr="00D05BAB">
        <w:rPr>
          <w:sz w:val="24"/>
          <w:szCs w:val="24"/>
        </w:rPr>
        <w:tab/>
      </w:r>
      <w:r w:rsidRPr="00D05BAB">
        <w:rPr>
          <w:sz w:val="24"/>
          <w:szCs w:val="24"/>
        </w:rPr>
        <w:tab/>
      </w:r>
      <w:r w:rsidRPr="00D05BAB">
        <w:rPr>
          <w:sz w:val="24"/>
          <w:szCs w:val="24"/>
        </w:rPr>
        <w:tab/>
        <w:t>:</w:t>
      </w:r>
    </w:p>
    <w:p w14:paraId="612A775F" w14:textId="77777777" w:rsidR="00D05BAB" w:rsidRPr="00D05BAB" w:rsidRDefault="00D05BAB" w:rsidP="00D05BAB">
      <w:pPr>
        <w:rPr>
          <w:sz w:val="24"/>
          <w:szCs w:val="24"/>
        </w:rPr>
      </w:pPr>
    </w:p>
    <w:p w14:paraId="3532521A" w14:textId="77777777" w:rsidR="00D05BAB" w:rsidRPr="00D05BAB" w:rsidRDefault="00D05BAB" w:rsidP="00D05BAB">
      <w:pPr>
        <w:rPr>
          <w:sz w:val="24"/>
          <w:szCs w:val="24"/>
        </w:rPr>
      </w:pPr>
    </w:p>
    <w:p w14:paraId="0442BB68" w14:textId="77777777" w:rsidR="006D3BD2" w:rsidRPr="00D05BAB" w:rsidRDefault="006D3BD2" w:rsidP="006D3BD2">
      <w:pPr>
        <w:tabs>
          <w:tab w:val="left" w:pos="1076"/>
        </w:tabs>
        <w:rPr>
          <w:sz w:val="24"/>
          <w:szCs w:val="24"/>
        </w:rPr>
      </w:pPr>
    </w:p>
    <w:p w14:paraId="0F1C4047" w14:textId="6B219017" w:rsidR="00A40956" w:rsidRPr="00D05BAB" w:rsidRDefault="00381AA1" w:rsidP="009E08C1">
      <w:pPr>
        <w:jc w:val="center"/>
        <w:rPr>
          <w:b/>
          <w:caps/>
          <w:sz w:val="24"/>
          <w:szCs w:val="24"/>
          <w:u w:val="single"/>
        </w:rPr>
      </w:pPr>
      <w:r w:rsidRPr="00D05BAB">
        <w:rPr>
          <w:b/>
          <w:caps/>
          <w:sz w:val="24"/>
          <w:szCs w:val="24"/>
          <w:u w:val="single"/>
        </w:rPr>
        <w:t>FIRST</w:t>
      </w:r>
      <w:r w:rsidR="00A40956" w:rsidRPr="00D05BAB">
        <w:rPr>
          <w:b/>
          <w:caps/>
          <w:sz w:val="24"/>
          <w:szCs w:val="24"/>
          <w:u w:val="single"/>
        </w:rPr>
        <w:t xml:space="preserve"> </w:t>
      </w:r>
      <w:r w:rsidRPr="00D05BAB">
        <w:rPr>
          <w:b/>
          <w:caps/>
          <w:sz w:val="24"/>
          <w:szCs w:val="24"/>
          <w:u w:val="single"/>
        </w:rPr>
        <w:t>POST HEARING</w:t>
      </w:r>
      <w:r w:rsidR="00A40956" w:rsidRPr="00D05BAB">
        <w:rPr>
          <w:b/>
          <w:caps/>
          <w:sz w:val="24"/>
          <w:szCs w:val="24"/>
          <w:u w:val="single"/>
        </w:rPr>
        <w:t xml:space="preserve"> </w:t>
      </w:r>
      <w:r w:rsidR="009E08C1" w:rsidRPr="00D05BAB">
        <w:rPr>
          <w:b/>
          <w:caps/>
          <w:sz w:val="24"/>
          <w:szCs w:val="24"/>
          <w:u w:val="single"/>
        </w:rPr>
        <w:t xml:space="preserve">ORDER </w:t>
      </w:r>
    </w:p>
    <w:p w14:paraId="6331B4FE" w14:textId="77777777" w:rsidR="006D3BD2" w:rsidRPr="00D05BAB" w:rsidRDefault="0049222A" w:rsidP="009E08C1">
      <w:pPr>
        <w:jc w:val="center"/>
        <w:rPr>
          <w:sz w:val="24"/>
          <w:szCs w:val="24"/>
        </w:rPr>
      </w:pPr>
      <w:r w:rsidRPr="00D05BAB">
        <w:rPr>
          <w:sz w:val="24"/>
          <w:szCs w:val="24"/>
        </w:rPr>
        <w:t>Re</w:t>
      </w:r>
      <w:r w:rsidR="002154A4" w:rsidRPr="00D05BAB">
        <w:rPr>
          <w:sz w:val="24"/>
          <w:szCs w:val="24"/>
        </w:rPr>
        <w:t>o</w:t>
      </w:r>
      <w:r w:rsidR="00344940" w:rsidRPr="00D05BAB">
        <w:rPr>
          <w:sz w:val="24"/>
          <w:szCs w:val="24"/>
        </w:rPr>
        <w:t xml:space="preserve">pen Hearing Record </w:t>
      </w:r>
    </w:p>
    <w:p w14:paraId="04F96A97" w14:textId="77777777" w:rsidR="006D3BD2" w:rsidRDefault="00344940" w:rsidP="009E08C1">
      <w:pPr>
        <w:jc w:val="center"/>
        <w:rPr>
          <w:sz w:val="24"/>
          <w:szCs w:val="24"/>
        </w:rPr>
      </w:pPr>
      <w:r>
        <w:rPr>
          <w:sz w:val="24"/>
          <w:szCs w:val="24"/>
        </w:rPr>
        <w:t xml:space="preserve">to </w:t>
      </w:r>
      <w:r w:rsidR="006D3BD2">
        <w:rPr>
          <w:sz w:val="24"/>
          <w:szCs w:val="24"/>
        </w:rPr>
        <w:t xml:space="preserve">Receive Additional </w:t>
      </w:r>
    </w:p>
    <w:p w14:paraId="6F7ACF10" w14:textId="77777777" w:rsidR="006D3BD2" w:rsidRDefault="006D3BD2" w:rsidP="009E08C1">
      <w:pPr>
        <w:jc w:val="center"/>
        <w:rPr>
          <w:sz w:val="24"/>
          <w:szCs w:val="24"/>
        </w:rPr>
      </w:pPr>
      <w:r>
        <w:rPr>
          <w:sz w:val="24"/>
          <w:szCs w:val="24"/>
        </w:rPr>
        <w:t>Documentation</w:t>
      </w:r>
      <w:r w:rsidR="00344940">
        <w:rPr>
          <w:sz w:val="24"/>
          <w:szCs w:val="24"/>
        </w:rPr>
        <w:t xml:space="preserve"> and </w:t>
      </w:r>
      <w:r>
        <w:rPr>
          <w:sz w:val="24"/>
          <w:szCs w:val="24"/>
        </w:rPr>
        <w:t xml:space="preserve">Schedule </w:t>
      </w:r>
    </w:p>
    <w:p w14:paraId="55667918" w14:textId="77777777" w:rsidR="009E08C1" w:rsidRPr="0049222A" w:rsidRDefault="006D3BD2" w:rsidP="009E08C1">
      <w:pPr>
        <w:jc w:val="center"/>
        <w:rPr>
          <w:sz w:val="24"/>
          <w:szCs w:val="24"/>
        </w:rPr>
      </w:pPr>
      <w:r>
        <w:rPr>
          <w:sz w:val="24"/>
          <w:szCs w:val="24"/>
        </w:rPr>
        <w:t>a Second Hearing</w:t>
      </w:r>
    </w:p>
    <w:p w14:paraId="5F2D4F76" w14:textId="77777777" w:rsidR="00B10D74" w:rsidRDefault="00B10D74" w:rsidP="007533D0">
      <w:pPr>
        <w:spacing w:line="360" w:lineRule="auto"/>
        <w:jc w:val="center"/>
        <w:rPr>
          <w:sz w:val="24"/>
          <w:szCs w:val="24"/>
          <w:u w:val="single"/>
        </w:rPr>
      </w:pPr>
    </w:p>
    <w:p w14:paraId="684E4C30" w14:textId="77777777" w:rsidR="00962948" w:rsidRPr="006D3BD2" w:rsidRDefault="00962948" w:rsidP="007533D0">
      <w:pPr>
        <w:pStyle w:val="Heading1"/>
        <w:spacing w:line="360" w:lineRule="auto"/>
        <w:rPr>
          <w:sz w:val="24"/>
          <w:szCs w:val="24"/>
        </w:rPr>
      </w:pPr>
      <w:r w:rsidRPr="006D3BD2">
        <w:rPr>
          <w:sz w:val="24"/>
          <w:szCs w:val="24"/>
        </w:rPr>
        <w:t>HISTORY OF THE PROCEEDING</w:t>
      </w:r>
    </w:p>
    <w:p w14:paraId="01ABE480" w14:textId="77777777" w:rsidR="00381AA1" w:rsidRPr="0005725C" w:rsidRDefault="00381AA1" w:rsidP="007533D0">
      <w:pPr>
        <w:spacing w:line="360" w:lineRule="auto"/>
        <w:rPr>
          <w:sz w:val="24"/>
          <w:szCs w:val="24"/>
          <w:u w:val="single"/>
        </w:rPr>
      </w:pPr>
    </w:p>
    <w:p w14:paraId="3A69B946" w14:textId="7CD62A9E" w:rsidR="00381AA1" w:rsidRPr="0005725C" w:rsidRDefault="00381AA1" w:rsidP="007533D0">
      <w:pPr>
        <w:spacing w:line="360" w:lineRule="auto"/>
        <w:rPr>
          <w:sz w:val="24"/>
          <w:szCs w:val="24"/>
        </w:rPr>
      </w:pPr>
      <w:r w:rsidRPr="0005725C">
        <w:rPr>
          <w:sz w:val="24"/>
          <w:szCs w:val="24"/>
        </w:rPr>
        <w:tab/>
      </w:r>
      <w:r w:rsidRPr="0005725C">
        <w:rPr>
          <w:sz w:val="24"/>
          <w:szCs w:val="24"/>
        </w:rPr>
        <w:tab/>
        <w:t xml:space="preserve">On </w:t>
      </w:r>
      <w:r w:rsidR="00FA1A7B">
        <w:rPr>
          <w:sz w:val="24"/>
          <w:szCs w:val="24"/>
        </w:rPr>
        <w:t>January 25, 2022</w:t>
      </w:r>
      <w:r w:rsidRPr="0005725C">
        <w:rPr>
          <w:sz w:val="24"/>
          <w:szCs w:val="24"/>
        </w:rPr>
        <w:t>,</w:t>
      </w:r>
      <w:r w:rsidR="00FA1A7B">
        <w:rPr>
          <w:sz w:val="24"/>
          <w:szCs w:val="24"/>
        </w:rPr>
        <w:t xml:space="preserve"> Rita Seben</w:t>
      </w:r>
      <w:r w:rsidRPr="0005725C">
        <w:rPr>
          <w:sz w:val="24"/>
          <w:szCs w:val="24"/>
        </w:rPr>
        <w:t xml:space="preserve"> (</w:t>
      </w:r>
      <w:r w:rsidR="00FA1A7B">
        <w:rPr>
          <w:sz w:val="24"/>
          <w:szCs w:val="24"/>
        </w:rPr>
        <w:t>Ms. Seben</w:t>
      </w:r>
      <w:r w:rsidRPr="0005725C">
        <w:rPr>
          <w:sz w:val="24"/>
          <w:szCs w:val="24"/>
        </w:rPr>
        <w:t xml:space="preserve"> or Complainant) filed a formal complaint with the Pennsylvania Public Utility Commission (Commission) against </w:t>
      </w:r>
      <w:r w:rsidR="00FA1A7B">
        <w:rPr>
          <w:sz w:val="24"/>
          <w:szCs w:val="24"/>
        </w:rPr>
        <w:t>Peoples Natural Gas Company LLC</w:t>
      </w:r>
      <w:r w:rsidRPr="0005725C">
        <w:rPr>
          <w:sz w:val="24"/>
          <w:szCs w:val="24"/>
        </w:rPr>
        <w:t xml:space="preserve"> (</w:t>
      </w:r>
      <w:r w:rsidR="00FA1A7B">
        <w:rPr>
          <w:sz w:val="24"/>
          <w:szCs w:val="24"/>
        </w:rPr>
        <w:t>PNG</w:t>
      </w:r>
      <w:r w:rsidRPr="0005725C">
        <w:rPr>
          <w:sz w:val="24"/>
          <w:szCs w:val="24"/>
        </w:rPr>
        <w:t xml:space="preserve"> or Respondent) alleging </w:t>
      </w:r>
      <w:r w:rsidR="00FA1A7B">
        <w:rPr>
          <w:sz w:val="24"/>
          <w:szCs w:val="24"/>
        </w:rPr>
        <w:t>there was a reliability, safety or quality problem with her natural gas service provided by Respondent.  Complainant requested the Commission order PNG to find the cause of a strong natural gas smell at the service address which started in late September 2021 after Respondent’s contractor replaced the service line and gas meter at the service address.</w:t>
      </w:r>
      <w:r w:rsidRPr="0005725C">
        <w:rPr>
          <w:sz w:val="24"/>
          <w:szCs w:val="24"/>
        </w:rPr>
        <w:t xml:space="preserve">    </w:t>
      </w:r>
    </w:p>
    <w:p w14:paraId="04F583CF" w14:textId="77777777" w:rsidR="00381AA1" w:rsidRPr="0005725C" w:rsidRDefault="00381AA1" w:rsidP="007533D0">
      <w:pPr>
        <w:spacing w:line="360" w:lineRule="auto"/>
        <w:rPr>
          <w:sz w:val="24"/>
          <w:szCs w:val="24"/>
        </w:rPr>
      </w:pPr>
    </w:p>
    <w:p w14:paraId="59CE4A5B" w14:textId="1D658F85" w:rsidR="00381AA1" w:rsidRPr="0005725C" w:rsidRDefault="00381AA1" w:rsidP="007533D0">
      <w:pPr>
        <w:spacing w:line="360" w:lineRule="auto"/>
        <w:rPr>
          <w:sz w:val="24"/>
          <w:szCs w:val="24"/>
        </w:rPr>
      </w:pPr>
      <w:r w:rsidRPr="0005725C">
        <w:rPr>
          <w:sz w:val="24"/>
          <w:szCs w:val="24"/>
        </w:rPr>
        <w:tab/>
      </w:r>
      <w:r w:rsidRPr="0005725C">
        <w:rPr>
          <w:sz w:val="24"/>
          <w:szCs w:val="24"/>
        </w:rPr>
        <w:tab/>
        <w:t xml:space="preserve">On </w:t>
      </w:r>
      <w:r w:rsidR="00D6065B">
        <w:rPr>
          <w:sz w:val="24"/>
          <w:szCs w:val="24"/>
        </w:rPr>
        <w:t>February 22, 2022</w:t>
      </w:r>
      <w:r w:rsidRPr="0005725C">
        <w:rPr>
          <w:sz w:val="24"/>
          <w:szCs w:val="24"/>
        </w:rPr>
        <w:t xml:space="preserve">, </w:t>
      </w:r>
      <w:r w:rsidR="00FA1A7B">
        <w:rPr>
          <w:sz w:val="24"/>
          <w:szCs w:val="24"/>
        </w:rPr>
        <w:t>PNG</w:t>
      </w:r>
      <w:r w:rsidRPr="0005725C">
        <w:rPr>
          <w:sz w:val="24"/>
          <w:szCs w:val="24"/>
        </w:rPr>
        <w:t xml:space="preserve"> filed an Answer in which </w:t>
      </w:r>
      <w:r w:rsidR="00FA1A7B">
        <w:rPr>
          <w:sz w:val="24"/>
          <w:szCs w:val="24"/>
        </w:rPr>
        <w:t>PNG</w:t>
      </w:r>
      <w:r w:rsidRPr="0005725C">
        <w:rPr>
          <w:sz w:val="24"/>
          <w:szCs w:val="24"/>
        </w:rPr>
        <w:t xml:space="preserve"> admitted it </w:t>
      </w:r>
      <w:r w:rsidR="00D6065B">
        <w:rPr>
          <w:sz w:val="24"/>
          <w:szCs w:val="24"/>
        </w:rPr>
        <w:t xml:space="preserve">provides natural gas service to Complainant’s residence and has responded more than nine times since August 31, 2021 to Ms. </w:t>
      </w:r>
      <w:proofErr w:type="spellStart"/>
      <w:r w:rsidR="00D6065B">
        <w:rPr>
          <w:sz w:val="24"/>
          <w:szCs w:val="24"/>
        </w:rPr>
        <w:t>Seben’s</w:t>
      </w:r>
      <w:proofErr w:type="spellEnd"/>
      <w:r w:rsidR="00D6065B">
        <w:rPr>
          <w:sz w:val="24"/>
          <w:szCs w:val="24"/>
        </w:rPr>
        <w:t xml:space="preserve"> complaint about a strong odor at the service address.  </w:t>
      </w:r>
      <w:r w:rsidR="00FA1A7B">
        <w:rPr>
          <w:sz w:val="24"/>
          <w:szCs w:val="24"/>
        </w:rPr>
        <w:t>PNG</w:t>
      </w:r>
      <w:r w:rsidRPr="0005725C">
        <w:rPr>
          <w:sz w:val="24"/>
          <w:szCs w:val="24"/>
        </w:rPr>
        <w:t xml:space="preserve"> further alleged </w:t>
      </w:r>
      <w:r w:rsidR="00D6065B">
        <w:rPr>
          <w:sz w:val="24"/>
          <w:szCs w:val="24"/>
        </w:rPr>
        <w:t xml:space="preserve">the Commission’s Pipeline Safety Division opened an investigation and closed the investigation after PNG ordered a special leak survey </w:t>
      </w:r>
      <w:r w:rsidR="00323DA7">
        <w:rPr>
          <w:sz w:val="24"/>
          <w:szCs w:val="24"/>
        </w:rPr>
        <w:t>that</w:t>
      </w:r>
      <w:r w:rsidR="00D6065B">
        <w:rPr>
          <w:sz w:val="24"/>
          <w:szCs w:val="24"/>
        </w:rPr>
        <w:t xml:space="preserve"> found no leaks.  </w:t>
      </w:r>
      <w:r w:rsidRPr="0005725C">
        <w:rPr>
          <w:sz w:val="24"/>
          <w:szCs w:val="24"/>
        </w:rPr>
        <w:t xml:space="preserve">  </w:t>
      </w:r>
    </w:p>
    <w:p w14:paraId="5A075AB3" w14:textId="77777777" w:rsidR="00381AA1" w:rsidRPr="0005725C" w:rsidRDefault="00381AA1" w:rsidP="007533D0">
      <w:pPr>
        <w:spacing w:line="360" w:lineRule="auto"/>
        <w:rPr>
          <w:sz w:val="24"/>
          <w:szCs w:val="24"/>
        </w:rPr>
      </w:pPr>
    </w:p>
    <w:p w14:paraId="672F7677" w14:textId="7B2DEE2A" w:rsidR="00381AA1" w:rsidRPr="0005725C" w:rsidRDefault="00381AA1" w:rsidP="007533D0">
      <w:pPr>
        <w:spacing w:line="360" w:lineRule="auto"/>
        <w:ind w:firstLine="1440"/>
        <w:rPr>
          <w:sz w:val="24"/>
          <w:szCs w:val="24"/>
        </w:rPr>
      </w:pPr>
      <w:r w:rsidRPr="0005725C">
        <w:rPr>
          <w:sz w:val="24"/>
          <w:szCs w:val="24"/>
        </w:rPr>
        <w:lastRenderedPageBreak/>
        <w:t xml:space="preserve">By Call-In Telephone Hearing Notice dated </w:t>
      </w:r>
      <w:r w:rsidR="00323DA7">
        <w:rPr>
          <w:sz w:val="24"/>
          <w:szCs w:val="24"/>
        </w:rPr>
        <w:t>February 28</w:t>
      </w:r>
      <w:r w:rsidR="00D6065B">
        <w:rPr>
          <w:sz w:val="24"/>
          <w:szCs w:val="24"/>
        </w:rPr>
        <w:t>, 2022</w:t>
      </w:r>
      <w:r w:rsidRPr="0005725C">
        <w:rPr>
          <w:sz w:val="24"/>
          <w:szCs w:val="24"/>
        </w:rPr>
        <w:t xml:space="preserve">, the Public Utility Commission’s Office of Administrative Law Judge (OALJ) scheduled an initial call-in telephonic hearing for </w:t>
      </w:r>
      <w:r w:rsidR="00D6065B">
        <w:rPr>
          <w:sz w:val="24"/>
          <w:szCs w:val="24"/>
        </w:rPr>
        <w:t>Tuesday, April 19, 2022</w:t>
      </w:r>
      <w:r w:rsidRPr="0005725C">
        <w:rPr>
          <w:sz w:val="24"/>
          <w:szCs w:val="24"/>
        </w:rPr>
        <w:t>, and sent the Notice to the parties.</w:t>
      </w:r>
      <w:r w:rsidR="00D6065B">
        <w:rPr>
          <w:rStyle w:val="FootnoteReference"/>
          <w:sz w:val="24"/>
          <w:szCs w:val="24"/>
        </w:rPr>
        <w:footnoteReference w:id="1"/>
      </w:r>
      <w:r w:rsidRPr="0005725C">
        <w:rPr>
          <w:sz w:val="24"/>
          <w:szCs w:val="24"/>
        </w:rPr>
        <w:t xml:space="preserve">  </w:t>
      </w:r>
    </w:p>
    <w:p w14:paraId="22E0B396" w14:textId="77777777" w:rsidR="00381AA1" w:rsidRPr="0005725C" w:rsidRDefault="00381AA1" w:rsidP="007533D0">
      <w:pPr>
        <w:spacing w:line="360" w:lineRule="auto"/>
        <w:rPr>
          <w:sz w:val="24"/>
          <w:szCs w:val="24"/>
        </w:rPr>
      </w:pPr>
    </w:p>
    <w:p w14:paraId="21563ABD" w14:textId="60D05EA3" w:rsidR="00381AA1" w:rsidRPr="0005725C" w:rsidRDefault="00381AA1" w:rsidP="007533D0">
      <w:pPr>
        <w:spacing w:line="360" w:lineRule="auto"/>
        <w:ind w:firstLine="1440"/>
        <w:rPr>
          <w:sz w:val="24"/>
          <w:szCs w:val="24"/>
        </w:rPr>
      </w:pPr>
      <w:r w:rsidRPr="0005725C">
        <w:rPr>
          <w:spacing w:val="-3"/>
          <w:sz w:val="24"/>
          <w:szCs w:val="24"/>
        </w:rPr>
        <w:t xml:space="preserve">On </w:t>
      </w:r>
      <w:r w:rsidR="00FD2766">
        <w:rPr>
          <w:spacing w:val="-3"/>
          <w:sz w:val="24"/>
          <w:szCs w:val="24"/>
        </w:rPr>
        <w:t>March 2, 2022</w:t>
      </w:r>
      <w:r w:rsidRPr="0005725C">
        <w:rPr>
          <w:spacing w:val="-3"/>
          <w:sz w:val="24"/>
          <w:szCs w:val="24"/>
        </w:rPr>
        <w:t xml:space="preserve">, the presiding officer issued a Prehearing Order </w:t>
      </w:r>
      <w:r w:rsidRPr="0005725C">
        <w:rPr>
          <w:sz w:val="24"/>
          <w:szCs w:val="24"/>
        </w:rPr>
        <w:t xml:space="preserve">setting forth the date, time and manner of the scheduled hearing and advising the parties about prehearing procedural matters.    </w:t>
      </w:r>
    </w:p>
    <w:p w14:paraId="041835D0" w14:textId="77777777" w:rsidR="00381AA1" w:rsidRPr="0005725C" w:rsidRDefault="00381AA1" w:rsidP="007533D0">
      <w:pPr>
        <w:spacing w:line="360" w:lineRule="auto"/>
        <w:rPr>
          <w:sz w:val="24"/>
          <w:szCs w:val="24"/>
        </w:rPr>
      </w:pPr>
    </w:p>
    <w:p w14:paraId="2FD5152D" w14:textId="5E6E82E7" w:rsidR="00381AA1" w:rsidRPr="0005725C" w:rsidRDefault="0005725C" w:rsidP="007533D0">
      <w:pPr>
        <w:tabs>
          <w:tab w:val="left" w:pos="1440"/>
        </w:tabs>
        <w:spacing w:line="360" w:lineRule="auto"/>
        <w:rPr>
          <w:sz w:val="24"/>
          <w:szCs w:val="24"/>
        </w:rPr>
      </w:pPr>
      <w:r>
        <w:rPr>
          <w:sz w:val="24"/>
          <w:szCs w:val="24"/>
        </w:rPr>
        <w:tab/>
      </w:r>
      <w:r w:rsidR="00381AA1" w:rsidRPr="0005725C">
        <w:rPr>
          <w:sz w:val="24"/>
          <w:szCs w:val="24"/>
        </w:rPr>
        <w:t xml:space="preserve">On </w:t>
      </w:r>
      <w:r w:rsidR="00FD2766">
        <w:rPr>
          <w:sz w:val="24"/>
          <w:szCs w:val="24"/>
        </w:rPr>
        <w:t>April 19, 2022</w:t>
      </w:r>
      <w:r w:rsidR="00381AA1" w:rsidRPr="0005725C">
        <w:rPr>
          <w:sz w:val="24"/>
          <w:szCs w:val="24"/>
        </w:rPr>
        <w:t xml:space="preserve">, the presiding officer convened the parties and conducted the initial hearing.  </w:t>
      </w:r>
      <w:r w:rsidR="00FA1A7B">
        <w:rPr>
          <w:sz w:val="24"/>
          <w:szCs w:val="24"/>
        </w:rPr>
        <w:t>Ms. Seben</w:t>
      </w:r>
      <w:r w:rsidR="00381AA1" w:rsidRPr="0005725C">
        <w:rPr>
          <w:sz w:val="24"/>
          <w:szCs w:val="24"/>
        </w:rPr>
        <w:t xml:space="preserve"> appeared </w:t>
      </w:r>
      <w:r w:rsidR="00FD2766" w:rsidRPr="00FD2766">
        <w:rPr>
          <w:iCs/>
          <w:sz w:val="24"/>
          <w:szCs w:val="24"/>
        </w:rPr>
        <w:t xml:space="preserve">represented by Jeffrey P. Brahan, Esquire who presented the testimony of Ms. Seben and offered </w:t>
      </w:r>
      <w:r w:rsidR="00BC78D9">
        <w:rPr>
          <w:iCs/>
          <w:sz w:val="24"/>
          <w:szCs w:val="24"/>
        </w:rPr>
        <w:t>two</w:t>
      </w:r>
      <w:r w:rsidR="00FD2766" w:rsidRPr="00FD2766">
        <w:rPr>
          <w:iCs/>
          <w:sz w:val="24"/>
          <w:szCs w:val="24"/>
        </w:rPr>
        <w:t xml:space="preserve"> exhibits, marked Complainant Exhibits </w:t>
      </w:r>
      <w:r w:rsidR="00BC78D9">
        <w:rPr>
          <w:iCs/>
          <w:sz w:val="24"/>
          <w:szCs w:val="24"/>
        </w:rPr>
        <w:t>A and B.</w:t>
      </w:r>
      <w:r w:rsidR="00FD2766" w:rsidRPr="00FD2766">
        <w:rPr>
          <w:iCs/>
          <w:sz w:val="24"/>
          <w:szCs w:val="24"/>
        </w:rPr>
        <w:t xml:space="preserve">  The </w:t>
      </w:r>
      <w:r w:rsidR="00BC78D9">
        <w:rPr>
          <w:iCs/>
          <w:sz w:val="24"/>
          <w:szCs w:val="24"/>
        </w:rPr>
        <w:t>two</w:t>
      </w:r>
      <w:r w:rsidR="00FD2766" w:rsidRPr="00FD2766">
        <w:rPr>
          <w:iCs/>
          <w:sz w:val="24"/>
          <w:szCs w:val="24"/>
        </w:rPr>
        <w:t xml:space="preserve"> exhibits were admitted into evidence.</w:t>
      </w:r>
      <w:r w:rsidR="00FD2766">
        <w:rPr>
          <w:i/>
          <w:sz w:val="24"/>
          <w:szCs w:val="24"/>
        </w:rPr>
        <w:t xml:space="preserve">  </w:t>
      </w:r>
      <w:r w:rsidR="00FD2766">
        <w:rPr>
          <w:sz w:val="24"/>
          <w:szCs w:val="24"/>
        </w:rPr>
        <w:t>Jennifer L. Petrisek</w:t>
      </w:r>
      <w:r w:rsidR="00381AA1" w:rsidRPr="0005725C">
        <w:rPr>
          <w:sz w:val="24"/>
          <w:szCs w:val="24"/>
        </w:rPr>
        <w:t xml:space="preserve">, Esquire, appeared and represented </w:t>
      </w:r>
      <w:r w:rsidR="00FA1A7B">
        <w:rPr>
          <w:sz w:val="24"/>
          <w:szCs w:val="24"/>
        </w:rPr>
        <w:t>PNG</w:t>
      </w:r>
      <w:r w:rsidR="00381AA1" w:rsidRPr="0005725C">
        <w:rPr>
          <w:sz w:val="24"/>
          <w:szCs w:val="24"/>
        </w:rPr>
        <w:t xml:space="preserve">.  Attorney </w:t>
      </w:r>
      <w:r w:rsidR="00FD2766">
        <w:rPr>
          <w:sz w:val="24"/>
          <w:szCs w:val="24"/>
        </w:rPr>
        <w:t>Petrisek</w:t>
      </w:r>
      <w:r w:rsidR="00381AA1" w:rsidRPr="0005725C">
        <w:rPr>
          <w:sz w:val="24"/>
          <w:szCs w:val="24"/>
        </w:rPr>
        <w:t xml:space="preserve"> presented the testimony of </w:t>
      </w:r>
      <w:r w:rsidR="00FD2766">
        <w:rPr>
          <w:sz w:val="24"/>
          <w:szCs w:val="24"/>
        </w:rPr>
        <w:t>two witnesses – Tim Collins and Dan Kuehn</w:t>
      </w:r>
      <w:r w:rsidR="007B2CAB">
        <w:rPr>
          <w:sz w:val="24"/>
          <w:szCs w:val="24"/>
        </w:rPr>
        <w:t xml:space="preserve"> - </w:t>
      </w:r>
      <w:r w:rsidR="00FD2766">
        <w:rPr>
          <w:sz w:val="24"/>
          <w:szCs w:val="24"/>
        </w:rPr>
        <w:t>a</w:t>
      </w:r>
      <w:r w:rsidR="00381AA1" w:rsidRPr="0005725C">
        <w:rPr>
          <w:sz w:val="24"/>
          <w:szCs w:val="24"/>
        </w:rPr>
        <w:t xml:space="preserve">nd offered </w:t>
      </w:r>
      <w:r w:rsidR="00BC78D9">
        <w:rPr>
          <w:sz w:val="24"/>
          <w:szCs w:val="24"/>
        </w:rPr>
        <w:t>three</w:t>
      </w:r>
      <w:r w:rsidR="00381AA1" w:rsidRPr="0005725C">
        <w:rPr>
          <w:sz w:val="24"/>
          <w:szCs w:val="24"/>
        </w:rPr>
        <w:t xml:space="preserve"> exhibits, marked </w:t>
      </w:r>
      <w:r w:rsidR="00FD2766">
        <w:rPr>
          <w:sz w:val="24"/>
          <w:szCs w:val="24"/>
        </w:rPr>
        <w:t>Peoples Exhibits</w:t>
      </w:r>
      <w:r w:rsidR="00381AA1" w:rsidRPr="0005725C">
        <w:rPr>
          <w:sz w:val="24"/>
          <w:szCs w:val="24"/>
        </w:rPr>
        <w:t> </w:t>
      </w:r>
      <w:r w:rsidR="00BC78D9">
        <w:rPr>
          <w:sz w:val="24"/>
          <w:szCs w:val="24"/>
        </w:rPr>
        <w:t>A, B and C.</w:t>
      </w:r>
      <w:r w:rsidR="00381AA1" w:rsidRPr="0005725C">
        <w:rPr>
          <w:sz w:val="24"/>
          <w:szCs w:val="24"/>
        </w:rPr>
        <w:t xml:space="preserve">  The </w:t>
      </w:r>
      <w:r w:rsidR="00BC78D9">
        <w:rPr>
          <w:sz w:val="24"/>
          <w:szCs w:val="24"/>
        </w:rPr>
        <w:t>three</w:t>
      </w:r>
      <w:r w:rsidR="00381AA1" w:rsidRPr="0005725C">
        <w:rPr>
          <w:sz w:val="24"/>
          <w:szCs w:val="24"/>
        </w:rPr>
        <w:t xml:space="preserve"> exhibits were admitted into evidence.  Complainant and Respondent made final statements on the record.  The transcript of the hearing contain</w:t>
      </w:r>
      <w:r w:rsidR="00B173BA">
        <w:rPr>
          <w:sz w:val="24"/>
          <w:szCs w:val="24"/>
        </w:rPr>
        <w:t>ed</w:t>
      </w:r>
      <w:r w:rsidR="00381AA1" w:rsidRPr="0005725C">
        <w:rPr>
          <w:sz w:val="24"/>
          <w:szCs w:val="24"/>
        </w:rPr>
        <w:t xml:space="preserve"> </w:t>
      </w:r>
      <w:r w:rsidR="00BC78D9">
        <w:rPr>
          <w:sz w:val="24"/>
          <w:szCs w:val="24"/>
        </w:rPr>
        <w:t>99</w:t>
      </w:r>
      <w:r w:rsidR="00381AA1" w:rsidRPr="0005725C">
        <w:rPr>
          <w:sz w:val="24"/>
          <w:szCs w:val="24"/>
        </w:rPr>
        <w:t xml:space="preserve"> pages.</w:t>
      </w:r>
    </w:p>
    <w:p w14:paraId="1C9A240F" w14:textId="77777777" w:rsidR="00381AA1" w:rsidRPr="0005725C" w:rsidRDefault="00381AA1" w:rsidP="007533D0">
      <w:pPr>
        <w:tabs>
          <w:tab w:val="left" w:pos="2160"/>
        </w:tabs>
        <w:spacing w:line="360" w:lineRule="auto"/>
        <w:rPr>
          <w:sz w:val="24"/>
          <w:szCs w:val="24"/>
        </w:rPr>
      </w:pPr>
    </w:p>
    <w:p w14:paraId="48633E65" w14:textId="33931C33" w:rsidR="00381AA1" w:rsidRDefault="0005725C" w:rsidP="007533D0">
      <w:pPr>
        <w:tabs>
          <w:tab w:val="left" w:pos="1440"/>
        </w:tabs>
        <w:spacing w:line="360" w:lineRule="auto"/>
        <w:rPr>
          <w:sz w:val="24"/>
          <w:szCs w:val="24"/>
        </w:rPr>
      </w:pPr>
      <w:r>
        <w:rPr>
          <w:sz w:val="24"/>
          <w:szCs w:val="24"/>
        </w:rPr>
        <w:tab/>
      </w:r>
      <w:r w:rsidR="00381AA1" w:rsidRPr="0005725C">
        <w:rPr>
          <w:sz w:val="24"/>
          <w:szCs w:val="24"/>
        </w:rPr>
        <w:t xml:space="preserve">The presiding officer closed the hearing record by issuing the Interim Order Closing the Hearing Record on </w:t>
      </w:r>
      <w:r w:rsidR="00BC78D9">
        <w:rPr>
          <w:sz w:val="24"/>
          <w:szCs w:val="24"/>
        </w:rPr>
        <w:t>May 26, 2022</w:t>
      </w:r>
      <w:r w:rsidR="00381AA1" w:rsidRPr="0005725C">
        <w:rPr>
          <w:sz w:val="24"/>
          <w:szCs w:val="24"/>
        </w:rPr>
        <w:t>.</w:t>
      </w:r>
      <w:r w:rsidR="00A269C1" w:rsidRPr="0005725C">
        <w:rPr>
          <w:sz w:val="24"/>
          <w:szCs w:val="24"/>
        </w:rPr>
        <w:t xml:space="preserve">  The hearing record consisted of the transcript and </w:t>
      </w:r>
      <w:r w:rsidR="00B173BA">
        <w:rPr>
          <w:sz w:val="24"/>
          <w:szCs w:val="24"/>
        </w:rPr>
        <w:t xml:space="preserve">following </w:t>
      </w:r>
      <w:r w:rsidR="00BC78D9">
        <w:rPr>
          <w:sz w:val="24"/>
          <w:szCs w:val="24"/>
        </w:rPr>
        <w:t>five</w:t>
      </w:r>
      <w:r w:rsidR="00A269C1" w:rsidRPr="0005725C">
        <w:rPr>
          <w:sz w:val="24"/>
          <w:szCs w:val="24"/>
        </w:rPr>
        <w:t xml:space="preserve"> exhibits</w:t>
      </w:r>
      <w:r w:rsidR="00B173BA">
        <w:rPr>
          <w:sz w:val="24"/>
          <w:szCs w:val="24"/>
        </w:rPr>
        <w:t>:</w:t>
      </w:r>
    </w:p>
    <w:p w14:paraId="7FE5022F" w14:textId="23E73BEF" w:rsidR="00B173BA" w:rsidRDefault="00B173BA" w:rsidP="007533D0">
      <w:pPr>
        <w:spacing w:line="360" w:lineRule="auto"/>
        <w:ind w:firstLine="1440"/>
        <w:rPr>
          <w:sz w:val="24"/>
          <w:szCs w:val="24"/>
        </w:rPr>
      </w:pPr>
    </w:p>
    <w:p w14:paraId="0CFABCE0" w14:textId="77777777" w:rsidR="00F26D1B" w:rsidRDefault="00BC78D9" w:rsidP="00FB2683">
      <w:pPr>
        <w:ind w:firstLine="1440"/>
        <w:rPr>
          <w:sz w:val="24"/>
          <w:szCs w:val="24"/>
        </w:rPr>
      </w:pPr>
      <w:r>
        <w:rPr>
          <w:sz w:val="24"/>
          <w:szCs w:val="24"/>
        </w:rPr>
        <w:t xml:space="preserve">Complainant </w:t>
      </w:r>
      <w:r w:rsidR="00B173BA">
        <w:rPr>
          <w:sz w:val="24"/>
          <w:szCs w:val="24"/>
        </w:rPr>
        <w:t xml:space="preserve">Exhibit </w:t>
      </w:r>
      <w:r>
        <w:rPr>
          <w:sz w:val="24"/>
          <w:szCs w:val="24"/>
        </w:rPr>
        <w:t>A</w:t>
      </w:r>
      <w:r w:rsidR="00B173BA">
        <w:rPr>
          <w:sz w:val="24"/>
          <w:szCs w:val="24"/>
        </w:rPr>
        <w:tab/>
      </w:r>
      <w:r>
        <w:rPr>
          <w:sz w:val="24"/>
          <w:szCs w:val="24"/>
        </w:rPr>
        <w:t>Statement and Invoice</w:t>
      </w:r>
      <w:r w:rsidR="00F26D1B">
        <w:rPr>
          <w:sz w:val="24"/>
          <w:szCs w:val="24"/>
        </w:rPr>
        <w:t xml:space="preserve"> of Ferguson Heating </w:t>
      </w:r>
    </w:p>
    <w:p w14:paraId="01C22579" w14:textId="63150EFB" w:rsidR="00B173BA" w:rsidRDefault="00F26D1B" w:rsidP="00FB2683">
      <w:pPr>
        <w:ind w:left="3600" w:firstLine="1440"/>
        <w:rPr>
          <w:sz w:val="24"/>
          <w:szCs w:val="24"/>
        </w:rPr>
      </w:pPr>
      <w:r>
        <w:rPr>
          <w:sz w:val="24"/>
          <w:szCs w:val="24"/>
        </w:rPr>
        <w:t>dated 1/11/22</w:t>
      </w:r>
    </w:p>
    <w:p w14:paraId="39EC8EE6" w14:textId="77777777" w:rsidR="00FB2683" w:rsidRDefault="00FB2683" w:rsidP="00FB2683">
      <w:pPr>
        <w:ind w:left="3600" w:firstLine="1440"/>
        <w:rPr>
          <w:sz w:val="24"/>
          <w:szCs w:val="24"/>
        </w:rPr>
      </w:pPr>
    </w:p>
    <w:p w14:paraId="58561D07" w14:textId="26FB7439" w:rsidR="00B173BA" w:rsidRDefault="00BC78D9" w:rsidP="00FB2683">
      <w:pPr>
        <w:ind w:firstLine="1440"/>
        <w:rPr>
          <w:sz w:val="24"/>
          <w:szCs w:val="24"/>
        </w:rPr>
      </w:pPr>
      <w:r>
        <w:rPr>
          <w:sz w:val="24"/>
          <w:szCs w:val="24"/>
        </w:rPr>
        <w:t xml:space="preserve">Complainant </w:t>
      </w:r>
      <w:r w:rsidR="00B173BA">
        <w:rPr>
          <w:sz w:val="24"/>
          <w:szCs w:val="24"/>
        </w:rPr>
        <w:t xml:space="preserve">Exhibit </w:t>
      </w:r>
      <w:r>
        <w:rPr>
          <w:sz w:val="24"/>
          <w:szCs w:val="24"/>
        </w:rPr>
        <w:t>B</w:t>
      </w:r>
      <w:r w:rsidR="00B173BA">
        <w:rPr>
          <w:sz w:val="24"/>
          <w:szCs w:val="24"/>
        </w:rPr>
        <w:tab/>
      </w:r>
      <w:r>
        <w:rPr>
          <w:sz w:val="24"/>
          <w:szCs w:val="24"/>
        </w:rPr>
        <w:t>Statement</w:t>
      </w:r>
      <w:r w:rsidR="00F26D1B">
        <w:rPr>
          <w:sz w:val="24"/>
          <w:szCs w:val="24"/>
        </w:rPr>
        <w:t xml:space="preserve"> of Shelton Plumbing dated 12/21/21</w:t>
      </w:r>
    </w:p>
    <w:p w14:paraId="17A671C5" w14:textId="77777777" w:rsidR="00FB2683" w:rsidRDefault="00FB2683" w:rsidP="00FB2683">
      <w:pPr>
        <w:ind w:firstLine="1440"/>
        <w:rPr>
          <w:sz w:val="24"/>
          <w:szCs w:val="24"/>
        </w:rPr>
      </w:pPr>
    </w:p>
    <w:p w14:paraId="22C7E752" w14:textId="77777777" w:rsidR="00700EFB" w:rsidRDefault="00BC78D9" w:rsidP="00FB2683">
      <w:pPr>
        <w:ind w:firstLine="1440"/>
        <w:rPr>
          <w:sz w:val="24"/>
          <w:szCs w:val="24"/>
        </w:rPr>
      </w:pPr>
      <w:r>
        <w:rPr>
          <w:sz w:val="24"/>
          <w:szCs w:val="24"/>
        </w:rPr>
        <w:t xml:space="preserve">Peoples </w:t>
      </w:r>
      <w:r w:rsidR="00B173BA">
        <w:rPr>
          <w:sz w:val="24"/>
          <w:szCs w:val="24"/>
        </w:rPr>
        <w:t xml:space="preserve">Exhibit </w:t>
      </w:r>
      <w:r>
        <w:rPr>
          <w:sz w:val="24"/>
          <w:szCs w:val="24"/>
        </w:rPr>
        <w:t xml:space="preserve">A </w:t>
      </w:r>
      <w:r>
        <w:rPr>
          <w:sz w:val="24"/>
          <w:szCs w:val="24"/>
        </w:rPr>
        <w:tab/>
      </w:r>
      <w:r w:rsidR="00B173BA">
        <w:rPr>
          <w:sz w:val="24"/>
          <w:szCs w:val="24"/>
        </w:rPr>
        <w:tab/>
      </w:r>
      <w:r w:rsidR="004E10FE">
        <w:rPr>
          <w:sz w:val="24"/>
          <w:szCs w:val="24"/>
        </w:rPr>
        <w:t xml:space="preserve">Aerial </w:t>
      </w:r>
      <w:r w:rsidR="00631C79">
        <w:rPr>
          <w:sz w:val="24"/>
          <w:szCs w:val="24"/>
        </w:rPr>
        <w:t>Map</w:t>
      </w:r>
      <w:r w:rsidR="004E10FE">
        <w:rPr>
          <w:sz w:val="24"/>
          <w:szCs w:val="24"/>
        </w:rPr>
        <w:t xml:space="preserve"> </w:t>
      </w:r>
      <w:r w:rsidR="003516D0">
        <w:rPr>
          <w:sz w:val="24"/>
          <w:szCs w:val="24"/>
        </w:rPr>
        <w:t xml:space="preserve">including </w:t>
      </w:r>
      <w:r w:rsidR="00F26D1B">
        <w:rPr>
          <w:sz w:val="24"/>
          <w:szCs w:val="24"/>
        </w:rPr>
        <w:t>133 Argonne Drive</w:t>
      </w:r>
      <w:r w:rsidR="00700EFB">
        <w:rPr>
          <w:sz w:val="24"/>
          <w:szCs w:val="24"/>
        </w:rPr>
        <w:t xml:space="preserve">, </w:t>
      </w:r>
    </w:p>
    <w:p w14:paraId="7AA470E1" w14:textId="4332CD9E" w:rsidR="00B173BA" w:rsidRDefault="00700EFB" w:rsidP="00FB2683">
      <w:pPr>
        <w:ind w:left="3600" w:firstLine="1440"/>
        <w:rPr>
          <w:sz w:val="24"/>
          <w:szCs w:val="24"/>
        </w:rPr>
      </w:pPr>
      <w:r>
        <w:rPr>
          <w:sz w:val="24"/>
          <w:szCs w:val="24"/>
        </w:rPr>
        <w:t>New Kensington, PA (</w:t>
      </w:r>
      <w:r w:rsidR="003516D0">
        <w:rPr>
          <w:sz w:val="24"/>
          <w:szCs w:val="24"/>
        </w:rPr>
        <w:t>service address</w:t>
      </w:r>
      <w:r>
        <w:rPr>
          <w:sz w:val="24"/>
          <w:szCs w:val="24"/>
        </w:rPr>
        <w:t>)</w:t>
      </w:r>
    </w:p>
    <w:p w14:paraId="0F070BDB" w14:textId="77777777" w:rsidR="00FB2683" w:rsidRDefault="00FB2683" w:rsidP="00FB2683">
      <w:pPr>
        <w:ind w:left="3600" w:firstLine="1440"/>
        <w:rPr>
          <w:sz w:val="24"/>
          <w:szCs w:val="24"/>
        </w:rPr>
      </w:pPr>
    </w:p>
    <w:p w14:paraId="28C9A0C9" w14:textId="1C5E81CA" w:rsidR="00B173BA" w:rsidRDefault="00631C79" w:rsidP="00FB2683">
      <w:pPr>
        <w:ind w:firstLine="1440"/>
        <w:rPr>
          <w:sz w:val="24"/>
          <w:szCs w:val="24"/>
        </w:rPr>
      </w:pPr>
      <w:r>
        <w:rPr>
          <w:sz w:val="24"/>
          <w:szCs w:val="24"/>
        </w:rPr>
        <w:t xml:space="preserve">Peoples </w:t>
      </w:r>
      <w:r w:rsidR="00B173BA">
        <w:rPr>
          <w:sz w:val="24"/>
          <w:szCs w:val="24"/>
        </w:rPr>
        <w:t xml:space="preserve">Exhibit </w:t>
      </w:r>
      <w:r>
        <w:rPr>
          <w:sz w:val="24"/>
          <w:szCs w:val="24"/>
        </w:rPr>
        <w:t>B</w:t>
      </w:r>
      <w:r w:rsidR="00B173BA">
        <w:rPr>
          <w:sz w:val="24"/>
          <w:szCs w:val="24"/>
        </w:rPr>
        <w:t xml:space="preserve"> </w:t>
      </w:r>
      <w:r w:rsidR="00B173BA">
        <w:rPr>
          <w:sz w:val="24"/>
          <w:szCs w:val="24"/>
        </w:rPr>
        <w:tab/>
      </w:r>
      <w:r>
        <w:rPr>
          <w:sz w:val="24"/>
          <w:szCs w:val="24"/>
        </w:rPr>
        <w:tab/>
        <w:t>Excel Spreadsheet Summary</w:t>
      </w:r>
      <w:r w:rsidR="00B173BA">
        <w:rPr>
          <w:sz w:val="24"/>
          <w:szCs w:val="24"/>
        </w:rPr>
        <w:t xml:space="preserve"> </w:t>
      </w:r>
      <w:r w:rsidR="003516D0">
        <w:rPr>
          <w:sz w:val="24"/>
          <w:szCs w:val="24"/>
        </w:rPr>
        <w:t>from 9/18/21 to 1/6/22</w:t>
      </w:r>
    </w:p>
    <w:p w14:paraId="70A5E2D2" w14:textId="77777777" w:rsidR="00FB2683" w:rsidRDefault="00FB2683" w:rsidP="00FB2683">
      <w:pPr>
        <w:ind w:firstLine="1440"/>
        <w:rPr>
          <w:sz w:val="24"/>
          <w:szCs w:val="24"/>
        </w:rPr>
      </w:pPr>
    </w:p>
    <w:p w14:paraId="5A29FC4F" w14:textId="30A4C9BD" w:rsidR="00B173BA" w:rsidRDefault="00631C79" w:rsidP="00FB2683">
      <w:pPr>
        <w:ind w:firstLine="1440"/>
        <w:rPr>
          <w:sz w:val="24"/>
          <w:szCs w:val="24"/>
        </w:rPr>
      </w:pPr>
      <w:r>
        <w:rPr>
          <w:sz w:val="24"/>
          <w:szCs w:val="24"/>
        </w:rPr>
        <w:t xml:space="preserve">Peoples </w:t>
      </w:r>
      <w:r w:rsidR="00B173BA">
        <w:rPr>
          <w:sz w:val="24"/>
          <w:szCs w:val="24"/>
        </w:rPr>
        <w:t xml:space="preserve">Exhibit </w:t>
      </w:r>
      <w:r>
        <w:rPr>
          <w:sz w:val="24"/>
          <w:szCs w:val="24"/>
        </w:rPr>
        <w:t>C</w:t>
      </w:r>
      <w:r>
        <w:rPr>
          <w:sz w:val="24"/>
          <w:szCs w:val="24"/>
        </w:rPr>
        <w:tab/>
      </w:r>
      <w:r>
        <w:rPr>
          <w:sz w:val="24"/>
          <w:szCs w:val="24"/>
        </w:rPr>
        <w:tab/>
        <w:t>Work Orders</w:t>
      </w:r>
      <w:r w:rsidR="003516D0">
        <w:rPr>
          <w:sz w:val="24"/>
          <w:szCs w:val="24"/>
        </w:rPr>
        <w:t xml:space="preserve"> from 12/10/19 to 1/19/22</w:t>
      </w:r>
    </w:p>
    <w:p w14:paraId="043D48E8" w14:textId="16F51FCF" w:rsidR="00B173BA" w:rsidRDefault="00B173BA" w:rsidP="0005725C">
      <w:pPr>
        <w:tabs>
          <w:tab w:val="left" w:pos="1440"/>
        </w:tabs>
        <w:spacing w:line="360" w:lineRule="auto"/>
        <w:rPr>
          <w:sz w:val="24"/>
          <w:szCs w:val="24"/>
        </w:rPr>
      </w:pPr>
    </w:p>
    <w:p w14:paraId="54D20950" w14:textId="4DC9AD13" w:rsidR="00112574" w:rsidRDefault="00112574" w:rsidP="0005725C">
      <w:pPr>
        <w:tabs>
          <w:tab w:val="left" w:pos="1440"/>
        </w:tabs>
        <w:spacing w:line="360" w:lineRule="auto"/>
        <w:rPr>
          <w:sz w:val="24"/>
          <w:szCs w:val="24"/>
        </w:rPr>
      </w:pPr>
      <w:r>
        <w:rPr>
          <w:sz w:val="24"/>
          <w:szCs w:val="24"/>
        </w:rPr>
        <w:lastRenderedPageBreak/>
        <w:tab/>
        <w:t>On July 8, 2022, Complainant’s counsel filed the Petition to Re-Open Record</w:t>
      </w:r>
      <w:r w:rsidR="007C2A7E">
        <w:rPr>
          <w:sz w:val="24"/>
          <w:szCs w:val="24"/>
        </w:rPr>
        <w:t xml:space="preserve"> (Petition)</w:t>
      </w:r>
      <w:r>
        <w:rPr>
          <w:sz w:val="24"/>
          <w:szCs w:val="24"/>
        </w:rPr>
        <w:t>.  Complainant requested the hearing record be reopened for the purpose of taking additional evidence concerning test results from a methane gas detector.</w:t>
      </w:r>
      <w:r w:rsidR="007C2A7E">
        <w:rPr>
          <w:sz w:val="24"/>
          <w:szCs w:val="24"/>
        </w:rPr>
        <w:t xml:space="preserve">  Complainant asserts a methane gas detector (detector) was purchased after the initial hearing was conducted in April 2022 and was received on July 7, 2022.  Complainant’s counsel asserts the detector was used and several video recordings of the use were obtained.  Counsel requests</w:t>
      </w:r>
      <w:r w:rsidR="007B2CAB">
        <w:rPr>
          <w:sz w:val="24"/>
          <w:szCs w:val="24"/>
        </w:rPr>
        <w:t xml:space="preserve">, </w:t>
      </w:r>
      <w:r w:rsidR="007C2A7E">
        <w:rPr>
          <w:sz w:val="24"/>
          <w:szCs w:val="24"/>
        </w:rPr>
        <w:t>pursuant to 52 Pa.Code § 5.571, the presiding officer should reopen the record.  A copy of the Petition was served upon the presiding officer and opposing counsel</w:t>
      </w:r>
      <w:r w:rsidR="007B2CAB">
        <w:rPr>
          <w:sz w:val="24"/>
          <w:szCs w:val="24"/>
        </w:rPr>
        <w:t>.  To date,</w:t>
      </w:r>
      <w:r w:rsidR="007C2A7E">
        <w:rPr>
          <w:sz w:val="24"/>
          <w:szCs w:val="24"/>
        </w:rPr>
        <w:t xml:space="preserve"> the presiding officer </w:t>
      </w:r>
      <w:r w:rsidR="007B2CAB">
        <w:rPr>
          <w:sz w:val="24"/>
          <w:szCs w:val="24"/>
        </w:rPr>
        <w:t>has</w:t>
      </w:r>
      <w:r w:rsidR="007C2A7E">
        <w:rPr>
          <w:sz w:val="24"/>
          <w:szCs w:val="24"/>
        </w:rPr>
        <w:t xml:space="preserve"> not receive</w:t>
      </w:r>
      <w:r w:rsidR="007B2CAB">
        <w:rPr>
          <w:sz w:val="24"/>
          <w:szCs w:val="24"/>
        </w:rPr>
        <w:t>d</w:t>
      </w:r>
      <w:r w:rsidR="007C2A7E">
        <w:rPr>
          <w:sz w:val="24"/>
          <w:szCs w:val="24"/>
        </w:rPr>
        <w:t xml:space="preserve"> an objection or comment from Respondent either opposing or consenting to the Petition.  </w:t>
      </w:r>
    </w:p>
    <w:p w14:paraId="6D68C291" w14:textId="77777777" w:rsidR="00112574" w:rsidRDefault="00112574" w:rsidP="0005725C">
      <w:pPr>
        <w:tabs>
          <w:tab w:val="left" w:pos="1440"/>
        </w:tabs>
        <w:spacing w:line="360" w:lineRule="auto"/>
        <w:rPr>
          <w:sz w:val="24"/>
          <w:szCs w:val="24"/>
        </w:rPr>
      </w:pPr>
    </w:p>
    <w:p w14:paraId="200FCD3C" w14:textId="024D0271" w:rsidR="00B173BA" w:rsidRDefault="00B173BA" w:rsidP="0005725C">
      <w:pPr>
        <w:tabs>
          <w:tab w:val="left" w:pos="1440"/>
        </w:tabs>
        <w:spacing w:line="360" w:lineRule="auto"/>
        <w:rPr>
          <w:sz w:val="24"/>
          <w:szCs w:val="24"/>
        </w:rPr>
      </w:pPr>
      <w:r>
        <w:rPr>
          <w:sz w:val="24"/>
          <w:szCs w:val="24"/>
        </w:rPr>
        <w:t>Discussion</w:t>
      </w:r>
    </w:p>
    <w:p w14:paraId="5F634CCA" w14:textId="77777777" w:rsidR="00B173BA" w:rsidRPr="0005725C" w:rsidRDefault="00B173BA" w:rsidP="0005725C">
      <w:pPr>
        <w:tabs>
          <w:tab w:val="left" w:pos="1440"/>
        </w:tabs>
        <w:spacing w:line="360" w:lineRule="auto"/>
        <w:rPr>
          <w:sz w:val="24"/>
          <w:szCs w:val="24"/>
        </w:rPr>
      </w:pPr>
    </w:p>
    <w:p w14:paraId="6DFF146C" w14:textId="5A15A8CA" w:rsidR="00D5373A" w:rsidRPr="0005725C" w:rsidRDefault="00D92589" w:rsidP="0005725C">
      <w:pPr>
        <w:spacing w:line="360" w:lineRule="auto"/>
        <w:ind w:firstLine="1440"/>
        <w:rPr>
          <w:sz w:val="24"/>
          <w:szCs w:val="24"/>
        </w:rPr>
      </w:pPr>
      <w:r w:rsidRPr="0005725C">
        <w:rPr>
          <w:sz w:val="24"/>
          <w:szCs w:val="24"/>
        </w:rPr>
        <w:t>Pursuant to 52 Pa.</w:t>
      </w:r>
      <w:r w:rsidR="00A63F3B" w:rsidRPr="0005725C">
        <w:rPr>
          <w:sz w:val="24"/>
          <w:szCs w:val="24"/>
        </w:rPr>
        <w:t>Code</w:t>
      </w:r>
      <w:r w:rsidR="000A1CC2" w:rsidRPr="0005725C">
        <w:rPr>
          <w:sz w:val="24"/>
          <w:szCs w:val="24"/>
        </w:rPr>
        <w:t xml:space="preserve"> §</w:t>
      </w:r>
      <w:r w:rsidR="00472884" w:rsidRPr="0005725C">
        <w:rPr>
          <w:sz w:val="24"/>
          <w:szCs w:val="24"/>
        </w:rPr>
        <w:t xml:space="preserve"> </w:t>
      </w:r>
      <w:r w:rsidR="000A1CC2" w:rsidRPr="0005725C">
        <w:rPr>
          <w:sz w:val="24"/>
          <w:szCs w:val="24"/>
        </w:rPr>
        <w:t>5.483</w:t>
      </w:r>
      <w:r w:rsidR="00472884" w:rsidRPr="0005725C">
        <w:rPr>
          <w:sz w:val="24"/>
          <w:szCs w:val="24"/>
        </w:rPr>
        <w:t xml:space="preserve"> and 66 </w:t>
      </w:r>
      <w:proofErr w:type="spellStart"/>
      <w:r w:rsidR="00472884" w:rsidRPr="0005725C">
        <w:rPr>
          <w:sz w:val="24"/>
          <w:szCs w:val="24"/>
        </w:rPr>
        <w:t>Pa.</w:t>
      </w:r>
      <w:r w:rsidR="00FB11D9" w:rsidRPr="0005725C">
        <w:rPr>
          <w:sz w:val="24"/>
          <w:szCs w:val="24"/>
        </w:rPr>
        <w:t>C.S.A</w:t>
      </w:r>
      <w:proofErr w:type="spellEnd"/>
      <w:r w:rsidR="00FB11D9" w:rsidRPr="0005725C">
        <w:rPr>
          <w:sz w:val="24"/>
          <w:szCs w:val="24"/>
        </w:rPr>
        <w:t>. §</w:t>
      </w:r>
      <w:r w:rsidR="00472884" w:rsidRPr="0005725C">
        <w:rPr>
          <w:sz w:val="24"/>
          <w:szCs w:val="24"/>
        </w:rPr>
        <w:t xml:space="preserve"> </w:t>
      </w:r>
      <w:r w:rsidR="00FB11D9" w:rsidRPr="0005725C">
        <w:rPr>
          <w:sz w:val="24"/>
          <w:szCs w:val="24"/>
        </w:rPr>
        <w:t>331(d)</w:t>
      </w:r>
      <w:r w:rsidR="00AF1907" w:rsidRPr="0005725C">
        <w:rPr>
          <w:sz w:val="24"/>
          <w:szCs w:val="24"/>
        </w:rPr>
        <w:t xml:space="preserve"> and §</w:t>
      </w:r>
      <w:r w:rsidR="00472884" w:rsidRPr="0005725C">
        <w:rPr>
          <w:sz w:val="24"/>
          <w:szCs w:val="24"/>
        </w:rPr>
        <w:t xml:space="preserve"> </w:t>
      </w:r>
      <w:r w:rsidR="00AF1907" w:rsidRPr="0005725C">
        <w:rPr>
          <w:sz w:val="24"/>
          <w:szCs w:val="24"/>
        </w:rPr>
        <w:t>332</w:t>
      </w:r>
      <w:r w:rsidR="000A1CC2" w:rsidRPr="0005725C">
        <w:rPr>
          <w:sz w:val="24"/>
          <w:szCs w:val="24"/>
        </w:rPr>
        <w:t xml:space="preserve">, the presiding officer has </w:t>
      </w:r>
      <w:r w:rsidR="00FB11D9" w:rsidRPr="0005725C">
        <w:rPr>
          <w:sz w:val="24"/>
          <w:szCs w:val="24"/>
        </w:rPr>
        <w:t xml:space="preserve">various powers to preside over the taking of evidence and </w:t>
      </w:r>
      <w:r w:rsidR="000A1CC2" w:rsidRPr="0005725C">
        <w:rPr>
          <w:sz w:val="24"/>
          <w:szCs w:val="24"/>
        </w:rPr>
        <w:t>to regulate the course of proceedings, including t</w:t>
      </w:r>
      <w:r w:rsidR="00AF1907" w:rsidRPr="0005725C">
        <w:rPr>
          <w:sz w:val="24"/>
          <w:szCs w:val="24"/>
        </w:rPr>
        <w:t>he receipt of evidence</w:t>
      </w:r>
      <w:r w:rsidR="000A1CC2" w:rsidRPr="0005725C">
        <w:rPr>
          <w:sz w:val="24"/>
          <w:szCs w:val="24"/>
        </w:rPr>
        <w:t>.  Pursuant to 52</w:t>
      </w:r>
      <w:r w:rsidR="00472884" w:rsidRPr="0005725C">
        <w:rPr>
          <w:sz w:val="24"/>
          <w:szCs w:val="24"/>
        </w:rPr>
        <w:t xml:space="preserve"> Pa.</w:t>
      </w:r>
      <w:r w:rsidR="000A1CC2" w:rsidRPr="0005725C">
        <w:rPr>
          <w:sz w:val="24"/>
          <w:szCs w:val="24"/>
        </w:rPr>
        <w:t>Code</w:t>
      </w:r>
      <w:r w:rsidR="00A63F3B" w:rsidRPr="0005725C">
        <w:rPr>
          <w:sz w:val="24"/>
          <w:szCs w:val="24"/>
        </w:rPr>
        <w:t xml:space="preserve"> §</w:t>
      </w:r>
      <w:r w:rsidR="00472884" w:rsidRPr="0005725C">
        <w:rPr>
          <w:sz w:val="24"/>
          <w:szCs w:val="24"/>
        </w:rPr>
        <w:t xml:space="preserve"> </w:t>
      </w:r>
      <w:r w:rsidR="00A63F3B" w:rsidRPr="0005725C">
        <w:rPr>
          <w:sz w:val="24"/>
          <w:szCs w:val="24"/>
        </w:rPr>
        <w:t xml:space="preserve">5.571(d), the presiding officer may reopen the record </w:t>
      </w:r>
      <w:r w:rsidR="00AF1907" w:rsidRPr="0005725C">
        <w:rPr>
          <w:sz w:val="24"/>
          <w:szCs w:val="24"/>
        </w:rPr>
        <w:t>prior to the issuance of</w:t>
      </w:r>
      <w:r w:rsidR="00A63F3B" w:rsidRPr="0005725C">
        <w:rPr>
          <w:sz w:val="24"/>
          <w:szCs w:val="24"/>
        </w:rPr>
        <w:t xml:space="preserve"> a decision, </w:t>
      </w:r>
      <w:r w:rsidR="00AF1907" w:rsidRPr="0005725C">
        <w:rPr>
          <w:sz w:val="24"/>
          <w:szCs w:val="24"/>
        </w:rPr>
        <w:t>after notifying t</w:t>
      </w:r>
      <w:r w:rsidR="00A63F3B" w:rsidRPr="0005725C">
        <w:rPr>
          <w:sz w:val="24"/>
          <w:szCs w:val="24"/>
        </w:rPr>
        <w:t xml:space="preserve">he </w:t>
      </w:r>
      <w:r w:rsidR="00EF01F2" w:rsidRPr="0005725C">
        <w:rPr>
          <w:sz w:val="24"/>
          <w:szCs w:val="24"/>
        </w:rPr>
        <w:t xml:space="preserve">parties </w:t>
      </w:r>
      <w:r w:rsidR="00A63F3B" w:rsidRPr="0005725C">
        <w:rPr>
          <w:sz w:val="24"/>
          <w:szCs w:val="24"/>
        </w:rPr>
        <w:t xml:space="preserve">of the need to receive further evidence and when there is reason to believe conditions of fact or of law have so changed as to require, or </w:t>
      </w:r>
      <w:r w:rsidR="00AF1907" w:rsidRPr="0005725C">
        <w:rPr>
          <w:sz w:val="24"/>
          <w:szCs w:val="24"/>
        </w:rPr>
        <w:t xml:space="preserve">that </w:t>
      </w:r>
      <w:r w:rsidR="00A63F3B" w:rsidRPr="0005725C">
        <w:rPr>
          <w:sz w:val="24"/>
          <w:szCs w:val="24"/>
        </w:rPr>
        <w:t xml:space="preserve">the public interest requires, the reopening of the proceeding.  </w:t>
      </w:r>
    </w:p>
    <w:p w14:paraId="6DBF754F" w14:textId="77777777" w:rsidR="00D5373A" w:rsidRPr="0005725C" w:rsidRDefault="00D5373A" w:rsidP="0005725C">
      <w:pPr>
        <w:spacing w:line="360" w:lineRule="auto"/>
        <w:rPr>
          <w:sz w:val="24"/>
          <w:szCs w:val="24"/>
        </w:rPr>
      </w:pPr>
    </w:p>
    <w:p w14:paraId="58D34205" w14:textId="45C7B35F" w:rsidR="0005725C" w:rsidRDefault="00416F61" w:rsidP="007400F9">
      <w:pPr>
        <w:spacing w:line="360" w:lineRule="auto"/>
        <w:ind w:firstLine="1440"/>
        <w:rPr>
          <w:sz w:val="24"/>
          <w:szCs w:val="24"/>
        </w:rPr>
      </w:pPr>
      <w:r w:rsidRPr="0005725C">
        <w:rPr>
          <w:sz w:val="24"/>
          <w:szCs w:val="24"/>
        </w:rPr>
        <w:t xml:space="preserve">In her formal complaint, </w:t>
      </w:r>
      <w:r w:rsidR="00A729DD" w:rsidRPr="0005725C">
        <w:rPr>
          <w:sz w:val="24"/>
          <w:szCs w:val="24"/>
        </w:rPr>
        <w:t xml:space="preserve">Complainant </w:t>
      </w:r>
      <w:r w:rsidR="007C2A7E">
        <w:rPr>
          <w:sz w:val="24"/>
          <w:szCs w:val="24"/>
        </w:rPr>
        <w:t>alleged</w:t>
      </w:r>
      <w:r w:rsidR="00A729DD" w:rsidRPr="0005725C">
        <w:rPr>
          <w:sz w:val="24"/>
          <w:szCs w:val="24"/>
        </w:rPr>
        <w:t xml:space="preserve"> Respondent</w:t>
      </w:r>
      <w:r w:rsidR="007400F9">
        <w:rPr>
          <w:sz w:val="24"/>
          <w:szCs w:val="24"/>
        </w:rPr>
        <w:t xml:space="preserve"> failed to locate the source of a strong natural gas odor at her residence and Respondent failed to correct the problem.  As a result of the strong odor, Complainant contended she and her family were unable to use a bedroom located in the basement, and Complainant further asserted the windows had to be open to air out the odor, even in the winter.  Complainant argued she wasted money heating the service location during the winter because she had to keep the windows open</w:t>
      </w:r>
      <w:r w:rsidR="0043509F">
        <w:rPr>
          <w:sz w:val="24"/>
          <w:szCs w:val="24"/>
        </w:rPr>
        <w:t>.  S</w:t>
      </w:r>
      <w:r w:rsidR="007400F9">
        <w:rPr>
          <w:sz w:val="24"/>
          <w:szCs w:val="24"/>
        </w:rPr>
        <w:t>he further argued that she felt unsafe in her home because she had to leave the windows open during the night</w:t>
      </w:r>
      <w:r w:rsidR="0043509F">
        <w:rPr>
          <w:sz w:val="24"/>
          <w:szCs w:val="24"/>
        </w:rPr>
        <w:t>time</w:t>
      </w:r>
      <w:r w:rsidR="007400F9">
        <w:rPr>
          <w:sz w:val="24"/>
          <w:szCs w:val="24"/>
        </w:rPr>
        <w:t xml:space="preserve">.  </w:t>
      </w:r>
    </w:p>
    <w:p w14:paraId="520CAAA8" w14:textId="4AFBD0D0" w:rsidR="007B2CAB" w:rsidRDefault="007B2CAB" w:rsidP="007400F9">
      <w:pPr>
        <w:spacing w:line="360" w:lineRule="auto"/>
        <w:ind w:firstLine="1440"/>
        <w:rPr>
          <w:sz w:val="24"/>
          <w:szCs w:val="24"/>
        </w:rPr>
      </w:pPr>
    </w:p>
    <w:p w14:paraId="398696FA" w14:textId="7C7B2140" w:rsidR="007B2CAB" w:rsidRPr="0005725C" w:rsidRDefault="007B2CAB" w:rsidP="007400F9">
      <w:pPr>
        <w:spacing w:line="360" w:lineRule="auto"/>
        <w:ind w:firstLine="1440"/>
        <w:rPr>
          <w:sz w:val="24"/>
          <w:szCs w:val="24"/>
        </w:rPr>
      </w:pPr>
      <w:r>
        <w:rPr>
          <w:sz w:val="24"/>
          <w:szCs w:val="24"/>
        </w:rPr>
        <w:t xml:space="preserve">Complainant avers new evidence is available </w:t>
      </w:r>
      <w:r w:rsidR="00E438B2">
        <w:rPr>
          <w:sz w:val="24"/>
          <w:szCs w:val="24"/>
        </w:rPr>
        <w:t xml:space="preserve">- </w:t>
      </w:r>
      <w:r>
        <w:rPr>
          <w:sz w:val="24"/>
          <w:szCs w:val="24"/>
        </w:rPr>
        <w:t xml:space="preserve">which was </w:t>
      </w:r>
      <w:r w:rsidR="00E438B2">
        <w:rPr>
          <w:sz w:val="24"/>
          <w:szCs w:val="24"/>
        </w:rPr>
        <w:t>un</w:t>
      </w:r>
      <w:r>
        <w:rPr>
          <w:sz w:val="24"/>
          <w:szCs w:val="24"/>
        </w:rPr>
        <w:t>available at the time of the initial hearing</w:t>
      </w:r>
      <w:r w:rsidR="00E438B2">
        <w:rPr>
          <w:sz w:val="24"/>
          <w:szCs w:val="24"/>
        </w:rPr>
        <w:t xml:space="preserve"> – in the form of test results from a methane gas detector.  Complainant does </w:t>
      </w:r>
      <w:r w:rsidR="00E438B2">
        <w:rPr>
          <w:sz w:val="24"/>
          <w:szCs w:val="24"/>
        </w:rPr>
        <w:lastRenderedPageBreak/>
        <w:t xml:space="preserve">not allege what the test results revealed about the presence or absence of methane gas at the service address but she requests the Commission reopen the hearing record for the purpose of taking additional evidence relating to the results of the methane gas tests.  Respondent has neither objected to </w:t>
      </w:r>
      <w:r w:rsidR="0043509F">
        <w:rPr>
          <w:sz w:val="24"/>
          <w:szCs w:val="24"/>
        </w:rPr>
        <w:t>n</w:t>
      </w:r>
      <w:r w:rsidR="00E438B2">
        <w:rPr>
          <w:sz w:val="24"/>
          <w:szCs w:val="24"/>
        </w:rPr>
        <w:t>or consented to Complainant’s request to reopen the record.</w:t>
      </w:r>
    </w:p>
    <w:p w14:paraId="56C33E48" w14:textId="77777777" w:rsidR="007400F9" w:rsidRPr="0005725C" w:rsidRDefault="007400F9" w:rsidP="0005725C">
      <w:pPr>
        <w:spacing w:line="360" w:lineRule="auto"/>
        <w:rPr>
          <w:sz w:val="24"/>
          <w:szCs w:val="24"/>
        </w:rPr>
      </w:pPr>
    </w:p>
    <w:p w14:paraId="2E6C0B56" w14:textId="69B18C19" w:rsidR="003B4E66" w:rsidRDefault="00E438B2" w:rsidP="0005725C">
      <w:pPr>
        <w:spacing w:line="360" w:lineRule="auto"/>
        <w:ind w:firstLine="1440"/>
        <w:rPr>
          <w:sz w:val="24"/>
          <w:szCs w:val="24"/>
        </w:rPr>
      </w:pPr>
      <w:r>
        <w:rPr>
          <w:sz w:val="24"/>
          <w:szCs w:val="24"/>
        </w:rPr>
        <w:t>Complainant has shown new test results which were not available at the time of the initial hearing may have bearing in this proceeding and may indicate the source or consequence of the problem which led Complainant to file the formal complaint.  Accordingly, a</w:t>
      </w:r>
      <w:r w:rsidR="004E2843">
        <w:rPr>
          <w:sz w:val="24"/>
          <w:szCs w:val="24"/>
        </w:rPr>
        <w:t xml:space="preserve"> further hearing will be scheduled in this proceeding.  Prior to the date of that hearing,</w:t>
      </w:r>
      <w:r w:rsidR="0072267B" w:rsidRPr="0005725C">
        <w:rPr>
          <w:sz w:val="24"/>
          <w:szCs w:val="24"/>
        </w:rPr>
        <w:t xml:space="preserve"> </w:t>
      </w:r>
      <w:r w:rsidR="007400F9">
        <w:rPr>
          <w:sz w:val="24"/>
          <w:szCs w:val="24"/>
        </w:rPr>
        <w:t>Complainant</w:t>
      </w:r>
      <w:r w:rsidR="0072267B" w:rsidRPr="0005725C">
        <w:rPr>
          <w:sz w:val="24"/>
          <w:szCs w:val="24"/>
        </w:rPr>
        <w:t xml:space="preserve"> </w:t>
      </w:r>
      <w:r w:rsidR="004E2843">
        <w:rPr>
          <w:sz w:val="24"/>
          <w:szCs w:val="24"/>
        </w:rPr>
        <w:t>will be</w:t>
      </w:r>
      <w:r w:rsidR="0072267B" w:rsidRPr="0005725C">
        <w:rPr>
          <w:sz w:val="24"/>
          <w:szCs w:val="24"/>
        </w:rPr>
        <w:t xml:space="preserve"> ordered, in the paragraphs below, to </w:t>
      </w:r>
      <w:r w:rsidR="006A176F" w:rsidRPr="0005725C">
        <w:rPr>
          <w:sz w:val="24"/>
          <w:szCs w:val="24"/>
        </w:rPr>
        <w:t xml:space="preserve">provide </w:t>
      </w:r>
      <w:r w:rsidR="007400F9">
        <w:rPr>
          <w:sz w:val="24"/>
          <w:szCs w:val="24"/>
        </w:rPr>
        <w:t xml:space="preserve">a copy of any video </w:t>
      </w:r>
      <w:r>
        <w:rPr>
          <w:sz w:val="24"/>
          <w:szCs w:val="24"/>
        </w:rPr>
        <w:t xml:space="preserve">and/or </w:t>
      </w:r>
      <w:r w:rsidR="00042D62">
        <w:rPr>
          <w:sz w:val="24"/>
          <w:szCs w:val="24"/>
        </w:rPr>
        <w:t xml:space="preserve">any documentation which shows </w:t>
      </w:r>
      <w:r w:rsidR="0043509F">
        <w:rPr>
          <w:sz w:val="24"/>
          <w:szCs w:val="24"/>
        </w:rPr>
        <w:t>or speaks to the presence of methane gas and/or the source of a strong odor at the service address</w:t>
      </w:r>
      <w:r w:rsidR="00042D62">
        <w:rPr>
          <w:sz w:val="24"/>
          <w:szCs w:val="24"/>
        </w:rPr>
        <w:t xml:space="preserve">.  </w:t>
      </w:r>
      <w:r w:rsidR="004E2843">
        <w:rPr>
          <w:sz w:val="24"/>
          <w:szCs w:val="24"/>
        </w:rPr>
        <w:t xml:space="preserve"> </w:t>
      </w:r>
    </w:p>
    <w:p w14:paraId="74BE917A" w14:textId="77777777" w:rsidR="00C059CE" w:rsidRPr="0005725C" w:rsidRDefault="00C059CE" w:rsidP="0005725C">
      <w:pPr>
        <w:spacing w:line="360" w:lineRule="auto"/>
        <w:rPr>
          <w:sz w:val="24"/>
          <w:szCs w:val="24"/>
        </w:rPr>
      </w:pPr>
    </w:p>
    <w:p w14:paraId="4DDFFD64" w14:textId="77777777" w:rsidR="00C059CE" w:rsidRPr="00C40C5C" w:rsidRDefault="00C059CE" w:rsidP="00C059CE">
      <w:pPr>
        <w:spacing w:line="360" w:lineRule="auto"/>
        <w:rPr>
          <w:sz w:val="24"/>
          <w:szCs w:val="24"/>
        </w:rPr>
      </w:pPr>
      <w:r w:rsidRPr="006F7437">
        <w:rPr>
          <w:sz w:val="24"/>
          <w:szCs w:val="24"/>
        </w:rPr>
        <w:tab/>
      </w:r>
      <w:r w:rsidRPr="006F7437">
        <w:rPr>
          <w:sz w:val="24"/>
          <w:szCs w:val="24"/>
        </w:rPr>
        <w:tab/>
      </w:r>
      <w:r w:rsidRPr="00C40C5C">
        <w:rPr>
          <w:sz w:val="24"/>
          <w:szCs w:val="24"/>
        </w:rPr>
        <w:t xml:space="preserve">THEREFORE, </w:t>
      </w:r>
    </w:p>
    <w:p w14:paraId="2508B9C6" w14:textId="77777777" w:rsidR="00C059CE" w:rsidRPr="00C40C5C" w:rsidRDefault="00C059CE" w:rsidP="00C059CE">
      <w:pPr>
        <w:spacing w:line="360" w:lineRule="auto"/>
        <w:rPr>
          <w:sz w:val="24"/>
          <w:szCs w:val="24"/>
        </w:rPr>
      </w:pPr>
    </w:p>
    <w:p w14:paraId="5ACBAF9A" w14:textId="77777777" w:rsidR="00C059CE" w:rsidRPr="00C40C5C" w:rsidRDefault="00C059CE" w:rsidP="00C059CE">
      <w:pPr>
        <w:spacing w:line="360" w:lineRule="auto"/>
        <w:ind w:firstLine="1440"/>
        <w:rPr>
          <w:sz w:val="24"/>
          <w:szCs w:val="24"/>
        </w:rPr>
      </w:pPr>
      <w:r w:rsidRPr="00C40C5C">
        <w:rPr>
          <w:sz w:val="24"/>
          <w:szCs w:val="24"/>
        </w:rPr>
        <w:t xml:space="preserve">IT IS ORDERED: </w:t>
      </w:r>
    </w:p>
    <w:p w14:paraId="531C9C82" w14:textId="77777777" w:rsidR="00C059CE" w:rsidRPr="006F7437" w:rsidRDefault="00C059CE" w:rsidP="00C059CE">
      <w:pPr>
        <w:spacing w:line="360" w:lineRule="auto"/>
        <w:rPr>
          <w:sz w:val="24"/>
          <w:szCs w:val="24"/>
        </w:rPr>
      </w:pPr>
    </w:p>
    <w:p w14:paraId="0BAD00D8" w14:textId="6AD50DD4" w:rsidR="00416F61" w:rsidRDefault="00C059CE" w:rsidP="00C059CE">
      <w:pPr>
        <w:spacing w:line="360" w:lineRule="auto"/>
        <w:rPr>
          <w:sz w:val="24"/>
          <w:szCs w:val="24"/>
        </w:rPr>
      </w:pPr>
      <w:r>
        <w:rPr>
          <w:sz w:val="24"/>
          <w:szCs w:val="24"/>
        </w:rPr>
        <w:tab/>
      </w:r>
      <w:r>
        <w:rPr>
          <w:sz w:val="24"/>
          <w:szCs w:val="24"/>
        </w:rPr>
        <w:tab/>
        <w:t>1.</w:t>
      </w:r>
      <w:r>
        <w:rPr>
          <w:sz w:val="24"/>
          <w:szCs w:val="24"/>
        </w:rPr>
        <w:tab/>
        <w:t xml:space="preserve">That </w:t>
      </w:r>
      <w:r w:rsidR="00416F61">
        <w:rPr>
          <w:sz w:val="24"/>
          <w:szCs w:val="24"/>
        </w:rPr>
        <w:t xml:space="preserve">the hearing record in </w:t>
      </w:r>
      <w:r w:rsidR="004D5ED0">
        <w:rPr>
          <w:sz w:val="24"/>
          <w:szCs w:val="24"/>
        </w:rPr>
        <w:t>Rita Seben</w:t>
      </w:r>
      <w:r w:rsidR="00416F61">
        <w:rPr>
          <w:sz w:val="24"/>
          <w:szCs w:val="24"/>
        </w:rPr>
        <w:t xml:space="preserve"> versus </w:t>
      </w:r>
      <w:r w:rsidR="004D5ED0">
        <w:rPr>
          <w:sz w:val="24"/>
          <w:szCs w:val="24"/>
        </w:rPr>
        <w:t xml:space="preserve">Peoples Natural Gas </w:t>
      </w:r>
      <w:r w:rsidR="00416F61">
        <w:rPr>
          <w:sz w:val="24"/>
          <w:szCs w:val="24"/>
        </w:rPr>
        <w:t xml:space="preserve">Company at Docket No. </w:t>
      </w:r>
      <w:r w:rsidR="004D5ED0">
        <w:rPr>
          <w:sz w:val="24"/>
          <w:szCs w:val="24"/>
        </w:rPr>
        <w:t>C-2022-3030734</w:t>
      </w:r>
      <w:r w:rsidR="00416F61">
        <w:rPr>
          <w:sz w:val="24"/>
          <w:szCs w:val="24"/>
        </w:rPr>
        <w:t xml:space="preserve"> is reopened.</w:t>
      </w:r>
    </w:p>
    <w:p w14:paraId="07061B3D" w14:textId="77777777" w:rsidR="00416F61" w:rsidRDefault="00416F61" w:rsidP="00C059CE">
      <w:pPr>
        <w:spacing w:line="360" w:lineRule="auto"/>
        <w:rPr>
          <w:sz w:val="24"/>
          <w:szCs w:val="24"/>
        </w:rPr>
      </w:pPr>
    </w:p>
    <w:p w14:paraId="104FB28D" w14:textId="4D1305D5" w:rsidR="00C059CE" w:rsidRDefault="00416F61" w:rsidP="00416F61">
      <w:pPr>
        <w:spacing w:line="360" w:lineRule="auto"/>
        <w:ind w:firstLine="1440"/>
        <w:rPr>
          <w:sz w:val="24"/>
          <w:szCs w:val="24"/>
        </w:rPr>
      </w:pPr>
      <w:r>
        <w:rPr>
          <w:sz w:val="24"/>
          <w:szCs w:val="24"/>
        </w:rPr>
        <w:t xml:space="preserve">2. </w:t>
      </w:r>
      <w:r>
        <w:rPr>
          <w:sz w:val="24"/>
          <w:szCs w:val="24"/>
        </w:rPr>
        <w:tab/>
        <w:t xml:space="preserve">That </w:t>
      </w:r>
      <w:r w:rsidR="004D5ED0">
        <w:rPr>
          <w:sz w:val="24"/>
          <w:szCs w:val="24"/>
        </w:rPr>
        <w:t>Complainant</w:t>
      </w:r>
      <w:r w:rsidR="00C059CE">
        <w:rPr>
          <w:sz w:val="24"/>
          <w:szCs w:val="24"/>
        </w:rPr>
        <w:t xml:space="preserve"> must</w:t>
      </w:r>
      <w:r w:rsidR="00E70CA0">
        <w:rPr>
          <w:sz w:val="24"/>
          <w:szCs w:val="24"/>
        </w:rPr>
        <w:t xml:space="preserve"> provide a copy of </w:t>
      </w:r>
      <w:r w:rsidR="003B4E66">
        <w:rPr>
          <w:sz w:val="24"/>
          <w:szCs w:val="24"/>
        </w:rPr>
        <w:t>any documentation which shows</w:t>
      </w:r>
      <w:r w:rsidR="0043509F" w:rsidRPr="0043509F">
        <w:rPr>
          <w:sz w:val="24"/>
          <w:szCs w:val="24"/>
        </w:rPr>
        <w:t xml:space="preserve"> </w:t>
      </w:r>
      <w:r w:rsidR="0043509F">
        <w:rPr>
          <w:sz w:val="24"/>
          <w:szCs w:val="24"/>
        </w:rPr>
        <w:t>or speaks to the presence of methane gas and/or the source of a strong odor at the service address.</w:t>
      </w:r>
    </w:p>
    <w:p w14:paraId="5C819853" w14:textId="77777777" w:rsidR="00C059CE" w:rsidRDefault="00C059CE" w:rsidP="00C059CE">
      <w:pPr>
        <w:spacing w:line="360" w:lineRule="auto"/>
        <w:rPr>
          <w:sz w:val="24"/>
          <w:szCs w:val="24"/>
        </w:rPr>
      </w:pPr>
    </w:p>
    <w:p w14:paraId="72BD7E78" w14:textId="1B396D62" w:rsidR="00C059CE" w:rsidRDefault="00416F61" w:rsidP="00C059CE">
      <w:pPr>
        <w:spacing w:line="360" w:lineRule="auto"/>
        <w:ind w:firstLine="1440"/>
        <w:rPr>
          <w:sz w:val="24"/>
          <w:szCs w:val="24"/>
        </w:rPr>
      </w:pPr>
      <w:r>
        <w:rPr>
          <w:sz w:val="24"/>
          <w:szCs w:val="24"/>
        </w:rPr>
        <w:t>3</w:t>
      </w:r>
      <w:r w:rsidR="00C059CE">
        <w:rPr>
          <w:sz w:val="24"/>
          <w:szCs w:val="24"/>
        </w:rPr>
        <w:t>.</w:t>
      </w:r>
      <w:r w:rsidR="00C059CE">
        <w:rPr>
          <w:sz w:val="24"/>
          <w:szCs w:val="24"/>
        </w:rPr>
        <w:tab/>
        <w:t xml:space="preserve">That </w:t>
      </w:r>
      <w:r w:rsidR="00E70CA0">
        <w:rPr>
          <w:sz w:val="24"/>
          <w:szCs w:val="24"/>
        </w:rPr>
        <w:t>a</w:t>
      </w:r>
      <w:r w:rsidR="003B4E66">
        <w:rPr>
          <w:sz w:val="24"/>
          <w:szCs w:val="24"/>
        </w:rPr>
        <w:t>n electronic c</w:t>
      </w:r>
      <w:r w:rsidR="00E70CA0">
        <w:rPr>
          <w:sz w:val="24"/>
          <w:szCs w:val="24"/>
        </w:rPr>
        <w:t xml:space="preserve">opy of the documentation specified in Ordering Paragraph </w:t>
      </w:r>
      <w:r w:rsidR="0005725C">
        <w:rPr>
          <w:sz w:val="24"/>
          <w:szCs w:val="24"/>
        </w:rPr>
        <w:t>2</w:t>
      </w:r>
      <w:r w:rsidR="00E70CA0">
        <w:rPr>
          <w:sz w:val="24"/>
          <w:szCs w:val="24"/>
        </w:rPr>
        <w:t xml:space="preserve"> above shall be provided to </w:t>
      </w:r>
      <w:r w:rsidR="004D5ED0">
        <w:rPr>
          <w:sz w:val="24"/>
          <w:szCs w:val="24"/>
        </w:rPr>
        <w:t>Respondent</w:t>
      </w:r>
      <w:r w:rsidR="00E70CA0">
        <w:rPr>
          <w:sz w:val="24"/>
          <w:szCs w:val="24"/>
        </w:rPr>
        <w:t xml:space="preserve"> and the presiding officer </w:t>
      </w:r>
      <w:r w:rsidR="004D5ED0">
        <w:rPr>
          <w:sz w:val="24"/>
          <w:szCs w:val="24"/>
        </w:rPr>
        <w:t xml:space="preserve">no more than 14 </w:t>
      </w:r>
      <w:r w:rsidR="003B4E66">
        <w:rPr>
          <w:sz w:val="24"/>
          <w:szCs w:val="24"/>
        </w:rPr>
        <w:t xml:space="preserve">calendar days </w:t>
      </w:r>
      <w:r w:rsidR="004D5ED0">
        <w:rPr>
          <w:sz w:val="24"/>
          <w:szCs w:val="24"/>
        </w:rPr>
        <w:t>from the date of this Order</w:t>
      </w:r>
      <w:r w:rsidR="00C059CE">
        <w:rPr>
          <w:sz w:val="24"/>
          <w:szCs w:val="24"/>
        </w:rPr>
        <w:t>.</w:t>
      </w:r>
    </w:p>
    <w:p w14:paraId="6AA9A505" w14:textId="77777777" w:rsidR="00C059CE" w:rsidRDefault="00C059CE" w:rsidP="00C059CE">
      <w:pPr>
        <w:spacing w:line="360" w:lineRule="auto"/>
        <w:rPr>
          <w:sz w:val="24"/>
          <w:szCs w:val="24"/>
        </w:rPr>
      </w:pPr>
    </w:p>
    <w:p w14:paraId="092CB285" w14:textId="569AD7DE" w:rsidR="00C059CE" w:rsidRPr="00D27299" w:rsidRDefault="00416F61" w:rsidP="00C059CE">
      <w:pPr>
        <w:spacing w:line="360" w:lineRule="auto"/>
        <w:ind w:firstLine="1440"/>
        <w:rPr>
          <w:sz w:val="24"/>
          <w:szCs w:val="24"/>
        </w:rPr>
      </w:pPr>
      <w:r>
        <w:rPr>
          <w:sz w:val="24"/>
          <w:szCs w:val="24"/>
        </w:rPr>
        <w:t>4</w:t>
      </w:r>
      <w:r w:rsidR="00C059CE">
        <w:rPr>
          <w:sz w:val="24"/>
          <w:szCs w:val="24"/>
        </w:rPr>
        <w:t>.</w:t>
      </w:r>
      <w:r w:rsidR="00C059CE">
        <w:rPr>
          <w:sz w:val="24"/>
          <w:szCs w:val="24"/>
        </w:rPr>
        <w:tab/>
        <w:t xml:space="preserve">That a </w:t>
      </w:r>
      <w:r w:rsidR="003B4E66">
        <w:rPr>
          <w:sz w:val="24"/>
          <w:szCs w:val="24"/>
        </w:rPr>
        <w:t>further</w:t>
      </w:r>
      <w:r w:rsidR="00C059CE">
        <w:rPr>
          <w:sz w:val="24"/>
          <w:szCs w:val="24"/>
        </w:rPr>
        <w:t xml:space="preserve"> </w:t>
      </w:r>
      <w:r w:rsidR="003B4E66">
        <w:rPr>
          <w:sz w:val="24"/>
          <w:szCs w:val="24"/>
        </w:rPr>
        <w:t>telephonic</w:t>
      </w:r>
      <w:r w:rsidR="00C059CE">
        <w:rPr>
          <w:sz w:val="24"/>
          <w:szCs w:val="24"/>
        </w:rPr>
        <w:t xml:space="preserve"> hearing </w:t>
      </w:r>
      <w:r w:rsidR="003B4E66">
        <w:rPr>
          <w:sz w:val="24"/>
          <w:szCs w:val="24"/>
        </w:rPr>
        <w:t>will be</w:t>
      </w:r>
      <w:r w:rsidR="005776C7">
        <w:rPr>
          <w:sz w:val="24"/>
          <w:szCs w:val="24"/>
        </w:rPr>
        <w:t xml:space="preserve"> scheduled to be conducted telephonically with the parties on </w:t>
      </w:r>
      <w:r w:rsidR="00E70CA0">
        <w:rPr>
          <w:sz w:val="24"/>
          <w:szCs w:val="24"/>
        </w:rPr>
        <w:t xml:space="preserve">or after </w:t>
      </w:r>
      <w:r w:rsidR="0043509F">
        <w:rPr>
          <w:sz w:val="24"/>
          <w:szCs w:val="24"/>
        </w:rPr>
        <w:t>August 15,</w:t>
      </w:r>
      <w:r w:rsidR="004D5ED0">
        <w:rPr>
          <w:sz w:val="24"/>
          <w:szCs w:val="24"/>
        </w:rPr>
        <w:t xml:space="preserve"> 2022</w:t>
      </w:r>
      <w:r w:rsidR="00E70CA0">
        <w:rPr>
          <w:sz w:val="24"/>
          <w:szCs w:val="24"/>
        </w:rPr>
        <w:t>.  Th</w:t>
      </w:r>
      <w:r w:rsidR="006D3BD2">
        <w:rPr>
          <w:sz w:val="24"/>
          <w:szCs w:val="24"/>
        </w:rPr>
        <w:t xml:space="preserve">e parties will receive a hearing notice from the Office of Administrative Law Judges which schedules the further hearing and </w:t>
      </w:r>
      <w:r w:rsidR="006D3BD2">
        <w:rPr>
          <w:sz w:val="24"/>
          <w:szCs w:val="24"/>
        </w:rPr>
        <w:lastRenderedPageBreak/>
        <w:t xml:space="preserve">advises the parties how to call into the Commission’s bridge conference telephone number and participate in the hearing.  </w:t>
      </w:r>
      <w:r w:rsidR="005776C7">
        <w:rPr>
          <w:sz w:val="24"/>
          <w:szCs w:val="24"/>
        </w:rPr>
        <w:t xml:space="preserve">   </w:t>
      </w:r>
    </w:p>
    <w:p w14:paraId="12C95BE8" w14:textId="77777777" w:rsidR="00C059CE" w:rsidRDefault="00C059CE" w:rsidP="00C059CE">
      <w:pPr>
        <w:spacing w:line="360" w:lineRule="auto"/>
        <w:rPr>
          <w:sz w:val="24"/>
          <w:szCs w:val="24"/>
        </w:rPr>
      </w:pPr>
    </w:p>
    <w:p w14:paraId="51D7809D" w14:textId="0A3D7373" w:rsidR="00C059CE" w:rsidRPr="00D27299" w:rsidRDefault="00C059CE" w:rsidP="00C059CE">
      <w:pPr>
        <w:spacing w:line="360" w:lineRule="auto"/>
        <w:rPr>
          <w:sz w:val="24"/>
          <w:szCs w:val="24"/>
        </w:rPr>
      </w:pPr>
      <w:r>
        <w:rPr>
          <w:sz w:val="24"/>
          <w:szCs w:val="24"/>
        </w:rPr>
        <w:tab/>
      </w:r>
      <w:r>
        <w:rPr>
          <w:sz w:val="24"/>
          <w:szCs w:val="24"/>
        </w:rPr>
        <w:tab/>
      </w:r>
      <w:r w:rsidR="00416F61">
        <w:rPr>
          <w:sz w:val="24"/>
          <w:szCs w:val="24"/>
        </w:rPr>
        <w:t>5</w:t>
      </w:r>
      <w:r>
        <w:rPr>
          <w:sz w:val="24"/>
          <w:szCs w:val="24"/>
        </w:rPr>
        <w:t>.</w:t>
      </w:r>
      <w:r>
        <w:rPr>
          <w:sz w:val="24"/>
          <w:szCs w:val="24"/>
        </w:rPr>
        <w:tab/>
        <w:t xml:space="preserve">That </w:t>
      </w:r>
      <w:r w:rsidR="005776C7">
        <w:rPr>
          <w:sz w:val="24"/>
          <w:szCs w:val="24"/>
        </w:rPr>
        <w:t xml:space="preserve">the only purpose for the subsequent hearing is to </w:t>
      </w:r>
      <w:r w:rsidR="0043509F">
        <w:rPr>
          <w:sz w:val="24"/>
          <w:szCs w:val="24"/>
        </w:rPr>
        <w:t xml:space="preserve">consider, discuss and, if appropriate, </w:t>
      </w:r>
      <w:r w:rsidR="00E70CA0">
        <w:rPr>
          <w:sz w:val="24"/>
          <w:szCs w:val="24"/>
        </w:rPr>
        <w:t>admit the documentation referenced above</w:t>
      </w:r>
      <w:r w:rsidR="003B4E66">
        <w:rPr>
          <w:sz w:val="24"/>
          <w:szCs w:val="24"/>
        </w:rPr>
        <w:t xml:space="preserve">, through the testimony of </w:t>
      </w:r>
      <w:r w:rsidR="004D5ED0">
        <w:rPr>
          <w:sz w:val="24"/>
          <w:szCs w:val="24"/>
        </w:rPr>
        <w:t>Complainant’s</w:t>
      </w:r>
      <w:r w:rsidR="003B4E66">
        <w:rPr>
          <w:sz w:val="24"/>
          <w:szCs w:val="24"/>
        </w:rPr>
        <w:t xml:space="preserve"> sponsoring witness,</w:t>
      </w:r>
      <w:r w:rsidR="00E70CA0">
        <w:rPr>
          <w:sz w:val="24"/>
          <w:szCs w:val="24"/>
        </w:rPr>
        <w:t xml:space="preserve"> and to take testimony from </w:t>
      </w:r>
      <w:r w:rsidR="003B4E66">
        <w:rPr>
          <w:sz w:val="24"/>
          <w:szCs w:val="24"/>
        </w:rPr>
        <w:t>Complainant</w:t>
      </w:r>
      <w:r w:rsidR="0005725C">
        <w:rPr>
          <w:sz w:val="24"/>
          <w:szCs w:val="24"/>
        </w:rPr>
        <w:t xml:space="preserve"> </w:t>
      </w:r>
      <w:r w:rsidR="0043509F">
        <w:rPr>
          <w:sz w:val="24"/>
          <w:szCs w:val="24"/>
        </w:rPr>
        <w:t>concerning tests for methane gas at the service address</w:t>
      </w:r>
      <w:r w:rsidR="0005725C">
        <w:rPr>
          <w:sz w:val="24"/>
          <w:szCs w:val="24"/>
        </w:rPr>
        <w:t xml:space="preserve">.  </w:t>
      </w:r>
      <w:r w:rsidR="00E70CA0">
        <w:rPr>
          <w:sz w:val="24"/>
          <w:szCs w:val="24"/>
        </w:rPr>
        <w:t xml:space="preserve">  </w:t>
      </w:r>
      <w:r>
        <w:rPr>
          <w:sz w:val="24"/>
          <w:szCs w:val="24"/>
        </w:rPr>
        <w:t xml:space="preserve">  </w:t>
      </w:r>
    </w:p>
    <w:p w14:paraId="536DDCC1" w14:textId="77777777" w:rsidR="007202A9" w:rsidRDefault="007202A9" w:rsidP="00402DF9">
      <w:pPr>
        <w:spacing w:line="360" w:lineRule="auto"/>
        <w:ind w:firstLine="1440"/>
        <w:rPr>
          <w:sz w:val="24"/>
          <w:szCs w:val="24"/>
        </w:rPr>
      </w:pPr>
    </w:p>
    <w:p w14:paraId="38BAAA29" w14:textId="77777777" w:rsidR="00D27299" w:rsidRDefault="00D27299" w:rsidP="00402DF9">
      <w:pPr>
        <w:spacing w:line="360" w:lineRule="auto"/>
        <w:ind w:firstLine="1440"/>
        <w:rPr>
          <w:sz w:val="24"/>
          <w:szCs w:val="24"/>
        </w:rPr>
      </w:pPr>
    </w:p>
    <w:p w14:paraId="6C1EBCC3" w14:textId="6F4DA6D3" w:rsidR="00193FEF" w:rsidRDefault="00193FEF" w:rsidP="00193FEF">
      <w:pPr>
        <w:ind w:right="115"/>
        <w:rPr>
          <w:sz w:val="24"/>
          <w:szCs w:val="24"/>
        </w:rPr>
      </w:pPr>
      <w:r>
        <w:rPr>
          <w:sz w:val="24"/>
          <w:szCs w:val="24"/>
        </w:rPr>
        <w:t>Date:</w:t>
      </w:r>
      <w:r w:rsidR="00C40C5C">
        <w:rPr>
          <w:sz w:val="24"/>
          <w:szCs w:val="24"/>
        </w:rPr>
        <w:t xml:space="preserve"> </w:t>
      </w:r>
      <w:r>
        <w:rPr>
          <w:sz w:val="24"/>
          <w:szCs w:val="24"/>
        </w:rPr>
        <w:t xml:space="preserve"> </w:t>
      </w:r>
      <w:r w:rsidR="0005725C">
        <w:rPr>
          <w:sz w:val="24"/>
          <w:szCs w:val="24"/>
          <w:u w:val="single"/>
        </w:rPr>
        <w:t xml:space="preserve">July </w:t>
      </w:r>
      <w:r w:rsidR="0043509F">
        <w:rPr>
          <w:sz w:val="24"/>
          <w:szCs w:val="24"/>
          <w:u w:val="single"/>
        </w:rPr>
        <w:t>20</w:t>
      </w:r>
      <w:r w:rsidR="0005725C">
        <w:rPr>
          <w:sz w:val="24"/>
          <w:szCs w:val="24"/>
          <w:u w:val="single"/>
        </w:rPr>
        <w:t>, 202</w:t>
      </w:r>
      <w:r w:rsidR="004D5ED0">
        <w:rPr>
          <w:sz w:val="24"/>
          <w:szCs w:val="24"/>
          <w:u w:val="single"/>
        </w:rPr>
        <w:t>2</w:t>
      </w:r>
      <w:r w:rsidR="002A6330">
        <w:rPr>
          <w:sz w:val="24"/>
          <w:szCs w:val="24"/>
        </w:rPr>
        <w:tab/>
      </w:r>
      <w:r>
        <w:rPr>
          <w:sz w:val="24"/>
          <w:szCs w:val="24"/>
        </w:rPr>
        <w:tab/>
      </w:r>
      <w:r>
        <w:rPr>
          <w:sz w:val="24"/>
          <w:szCs w:val="24"/>
        </w:rPr>
        <w:tab/>
      </w:r>
      <w:r w:rsidR="00C40C5C">
        <w:rPr>
          <w:sz w:val="24"/>
          <w:szCs w:val="24"/>
        </w:rPr>
        <w:tab/>
      </w:r>
      <w:r w:rsidR="006336F5">
        <w:rPr>
          <w:sz w:val="24"/>
          <w:szCs w:val="24"/>
        </w:rPr>
        <w:tab/>
      </w:r>
      <w:r w:rsidR="0005725C">
        <w:rPr>
          <w:sz w:val="24"/>
          <w:szCs w:val="24"/>
        </w:rPr>
        <w:tab/>
      </w:r>
      <w:r w:rsidRPr="007533D0">
        <w:rPr>
          <w:sz w:val="24"/>
          <w:szCs w:val="24"/>
          <w:u w:val="single"/>
        </w:rPr>
        <w:t>___________</w:t>
      </w:r>
      <w:r w:rsidR="007533D0" w:rsidRPr="007533D0">
        <w:rPr>
          <w:sz w:val="24"/>
          <w:szCs w:val="24"/>
          <w:u w:val="single"/>
        </w:rPr>
        <w:t>/s/</w:t>
      </w:r>
      <w:r w:rsidRPr="007533D0">
        <w:rPr>
          <w:sz w:val="24"/>
          <w:szCs w:val="24"/>
          <w:u w:val="single"/>
        </w:rPr>
        <w:t>_____________</w:t>
      </w:r>
      <w:r w:rsidR="00C40C5C" w:rsidRPr="007533D0">
        <w:rPr>
          <w:sz w:val="24"/>
          <w:szCs w:val="24"/>
          <w:u w:val="single"/>
        </w:rPr>
        <w:t>___</w:t>
      </w:r>
    </w:p>
    <w:p w14:paraId="723C64D2" w14:textId="77777777" w:rsidR="00193FEF" w:rsidRDefault="00193FEF" w:rsidP="00193FEF">
      <w:pPr>
        <w:ind w:right="115"/>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0C5C">
        <w:rPr>
          <w:sz w:val="24"/>
          <w:szCs w:val="24"/>
        </w:rPr>
        <w:tab/>
      </w:r>
      <w:r w:rsidR="00206CA1">
        <w:rPr>
          <w:sz w:val="24"/>
          <w:szCs w:val="24"/>
        </w:rPr>
        <w:t>Katrina L. Dunderdale</w:t>
      </w:r>
    </w:p>
    <w:p w14:paraId="7087D20E" w14:textId="77777777" w:rsidR="00DF08BA" w:rsidRDefault="00206CA1" w:rsidP="00206CA1">
      <w:pPr>
        <w:ind w:right="115"/>
        <w:rPr>
          <w:sz w:val="24"/>
          <w:szCs w:val="24"/>
        </w:rPr>
        <w:sectPr w:rsidR="00DF08BA" w:rsidSect="00C40C5C">
          <w:footerReference w:type="even" r:id="rId8"/>
          <w:footerReference w:type="default" r:id="rId9"/>
          <w:pgSz w:w="12240" w:h="15840" w:code="1"/>
          <w:pgMar w:top="1440" w:right="1440" w:bottom="1440" w:left="1440" w:header="720" w:footer="720" w:gutter="0"/>
          <w:pgNumType w:start="1"/>
          <w:cols w:space="720"/>
          <w:titlePg/>
          <w:docGrid w:linePitch="360"/>
        </w:sect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0C5C">
        <w:rPr>
          <w:sz w:val="24"/>
          <w:szCs w:val="24"/>
        </w:rPr>
        <w:tab/>
      </w:r>
      <w:r w:rsidR="00193FEF">
        <w:rPr>
          <w:sz w:val="24"/>
          <w:szCs w:val="24"/>
        </w:rPr>
        <w:t>Administrative Law Judge</w:t>
      </w:r>
    </w:p>
    <w:p w14:paraId="6048F9F3" w14:textId="77777777" w:rsidR="00DF08BA" w:rsidRPr="00DF08BA" w:rsidRDefault="00DF08BA" w:rsidP="00DF08BA">
      <w:pPr>
        <w:spacing w:after="160" w:line="259" w:lineRule="auto"/>
        <w:rPr>
          <w:rFonts w:ascii="Microsoft Sans Serif" w:eastAsia="Microsoft Sans Serif" w:hAnsi="Microsoft Sans Serif" w:cs="Microsoft Sans Serif"/>
          <w:sz w:val="24"/>
          <w:szCs w:val="22"/>
        </w:rPr>
      </w:pPr>
      <w:r w:rsidRPr="00DF08BA">
        <w:rPr>
          <w:rFonts w:ascii="Microsoft Sans Serif" w:eastAsia="Microsoft Sans Serif" w:hAnsi="Microsoft Sans Serif" w:cs="Microsoft Sans Serif"/>
          <w:b/>
          <w:sz w:val="24"/>
          <w:szCs w:val="22"/>
          <w:u w:val="single"/>
        </w:rPr>
        <w:lastRenderedPageBreak/>
        <w:t>C-2022-3030734 - RITA SEBEN v. PEOPLES GAS COMPANY LLC</w:t>
      </w:r>
      <w:r w:rsidRPr="00DF08BA">
        <w:rPr>
          <w:rFonts w:ascii="Microsoft Sans Serif" w:eastAsia="Microsoft Sans Serif" w:hAnsi="Microsoft Sans Serif" w:cs="Microsoft Sans Serif"/>
          <w:b/>
          <w:sz w:val="24"/>
          <w:szCs w:val="22"/>
          <w:u w:val="single"/>
        </w:rPr>
        <w:cr/>
      </w:r>
      <w:r w:rsidRPr="00DF08BA">
        <w:rPr>
          <w:rFonts w:ascii="Microsoft Sans Serif" w:eastAsia="Microsoft Sans Serif" w:hAnsi="Microsoft Sans Serif" w:cs="Microsoft Sans Serif"/>
          <w:b/>
          <w:sz w:val="24"/>
          <w:szCs w:val="22"/>
          <w:u w:val="single"/>
        </w:rPr>
        <w:cr/>
      </w:r>
      <w:r w:rsidRPr="00DF08BA">
        <w:rPr>
          <w:rFonts w:ascii="Microsoft Sans Serif" w:eastAsia="Microsoft Sans Serif" w:hAnsi="Microsoft Sans Serif" w:cs="Microsoft Sans Serif"/>
          <w:sz w:val="24"/>
          <w:szCs w:val="22"/>
        </w:rPr>
        <w:t xml:space="preserve">RITA SEBEN </w:t>
      </w:r>
      <w:r w:rsidRPr="00DF08BA">
        <w:rPr>
          <w:rFonts w:ascii="Microsoft Sans Serif" w:eastAsia="Microsoft Sans Serif" w:hAnsi="Microsoft Sans Serif" w:cs="Microsoft Sans Serif"/>
          <w:sz w:val="24"/>
          <w:szCs w:val="22"/>
        </w:rPr>
        <w:cr/>
        <w:t xml:space="preserve">133 ARGONNE DRIVE </w:t>
      </w:r>
      <w:r w:rsidRPr="00DF08BA">
        <w:rPr>
          <w:rFonts w:ascii="Microsoft Sans Serif" w:eastAsia="Microsoft Sans Serif" w:hAnsi="Microsoft Sans Serif" w:cs="Microsoft Sans Serif"/>
          <w:sz w:val="24"/>
          <w:szCs w:val="22"/>
        </w:rPr>
        <w:cr/>
        <w:t>NEW KENSINGTON PA  15068</w:t>
      </w:r>
      <w:r w:rsidRPr="00DF08BA">
        <w:rPr>
          <w:rFonts w:ascii="Microsoft Sans Serif" w:eastAsia="Microsoft Sans Serif" w:hAnsi="Microsoft Sans Serif" w:cs="Microsoft Sans Serif"/>
          <w:sz w:val="24"/>
          <w:szCs w:val="22"/>
        </w:rPr>
        <w:cr/>
      </w:r>
      <w:r w:rsidRPr="00DF08BA">
        <w:rPr>
          <w:rFonts w:ascii="Microsoft Sans Serif" w:eastAsia="Microsoft Sans Serif" w:hAnsi="Microsoft Sans Serif" w:cs="Microsoft Sans Serif"/>
          <w:b/>
          <w:bCs/>
          <w:sz w:val="24"/>
          <w:szCs w:val="22"/>
        </w:rPr>
        <w:t>724.335.9196</w:t>
      </w:r>
      <w:r w:rsidRPr="00DF08BA">
        <w:rPr>
          <w:rFonts w:ascii="Microsoft Sans Serif" w:eastAsia="Microsoft Sans Serif" w:hAnsi="Microsoft Sans Serif" w:cs="Microsoft Sans Serif"/>
          <w:b/>
          <w:bCs/>
          <w:sz w:val="24"/>
          <w:szCs w:val="22"/>
        </w:rPr>
        <w:cr/>
      </w:r>
      <w:r w:rsidRPr="00DF08BA">
        <w:rPr>
          <w:rFonts w:ascii="Microsoft Sans Serif" w:eastAsia="Microsoft Sans Serif" w:hAnsi="Microsoft Sans Serif" w:cs="Microsoft Sans Serif"/>
          <w:sz w:val="24"/>
          <w:szCs w:val="22"/>
        </w:rPr>
        <w:t>RSEBEN2001@YAHOO.COM</w:t>
      </w:r>
      <w:r w:rsidRPr="00DF08BA">
        <w:rPr>
          <w:rFonts w:ascii="Microsoft Sans Serif" w:eastAsia="Microsoft Sans Serif" w:hAnsi="Microsoft Sans Serif" w:cs="Microsoft Sans Serif"/>
          <w:sz w:val="24"/>
          <w:szCs w:val="22"/>
        </w:rPr>
        <w:cr/>
      </w:r>
      <w:r w:rsidRPr="00DF08BA">
        <w:rPr>
          <w:rFonts w:ascii="Microsoft Sans Serif" w:eastAsia="Microsoft Sans Serif" w:hAnsi="Microsoft Sans Serif" w:cs="Microsoft Sans Serif"/>
          <w:sz w:val="24"/>
          <w:szCs w:val="22"/>
        </w:rPr>
        <w:cr/>
        <w:t>JENNIFER PETRISEK ESQUIRE</w:t>
      </w:r>
      <w:r w:rsidRPr="00DF08BA">
        <w:rPr>
          <w:rFonts w:ascii="Microsoft Sans Serif" w:eastAsia="Microsoft Sans Serif" w:hAnsi="Microsoft Sans Serif" w:cs="Microsoft Sans Serif"/>
          <w:sz w:val="24"/>
          <w:szCs w:val="22"/>
        </w:rPr>
        <w:cr/>
        <w:t>PEOPLES GAS COMPANY LLC</w:t>
      </w:r>
      <w:r w:rsidRPr="00DF08BA">
        <w:rPr>
          <w:rFonts w:ascii="Microsoft Sans Serif" w:eastAsia="Microsoft Sans Serif" w:hAnsi="Microsoft Sans Serif" w:cs="Microsoft Sans Serif"/>
          <w:sz w:val="24"/>
          <w:szCs w:val="22"/>
        </w:rPr>
        <w:cr/>
        <w:t xml:space="preserve">375 NORTH SHORE DRIVE </w:t>
      </w:r>
      <w:r w:rsidRPr="00DF08BA">
        <w:rPr>
          <w:rFonts w:ascii="Microsoft Sans Serif" w:eastAsia="Microsoft Sans Serif" w:hAnsi="Microsoft Sans Serif" w:cs="Microsoft Sans Serif"/>
          <w:sz w:val="24"/>
          <w:szCs w:val="22"/>
        </w:rPr>
        <w:cr/>
        <w:t>PITTSBURGH PA  15212</w:t>
      </w:r>
      <w:r w:rsidRPr="00DF08BA">
        <w:rPr>
          <w:rFonts w:ascii="Microsoft Sans Serif" w:eastAsia="Microsoft Sans Serif" w:hAnsi="Microsoft Sans Serif" w:cs="Microsoft Sans Serif"/>
          <w:sz w:val="24"/>
          <w:szCs w:val="22"/>
        </w:rPr>
        <w:cr/>
      </w:r>
      <w:r w:rsidRPr="00DF08BA">
        <w:rPr>
          <w:rFonts w:ascii="Microsoft Sans Serif" w:eastAsia="Microsoft Sans Serif" w:hAnsi="Microsoft Sans Serif" w:cs="Microsoft Sans Serif"/>
          <w:b/>
          <w:bCs/>
          <w:sz w:val="24"/>
          <w:szCs w:val="22"/>
        </w:rPr>
        <w:t>412.208.6834</w:t>
      </w:r>
      <w:r w:rsidRPr="00DF08BA">
        <w:rPr>
          <w:rFonts w:ascii="Microsoft Sans Serif" w:eastAsia="Microsoft Sans Serif" w:hAnsi="Microsoft Sans Serif" w:cs="Microsoft Sans Serif"/>
          <w:b/>
          <w:bCs/>
          <w:sz w:val="24"/>
          <w:szCs w:val="22"/>
        </w:rPr>
        <w:cr/>
      </w:r>
      <w:r w:rsidRPr="00DF08BA">
        <w:rPr>
          <w:rFonts w:ascii="Microsoft Sans Serif" w:eastAsia="Microsoft Sans Serif" w:hAnsi="Microsoft Sans Serif" w:cs="Microsoft Sans Serif"/>
          <w:sz w:val="24"/>
          <w:szCs w:val="22"/>
        </w:rPr>
        <w:t xml:space="preserve">Accepts </w:t>
      </w:r>
      <w:proofErr w:type="spellStart"/>
      <w:r w:rsidRPr="00DF08BA">
        <w:rPr>
          <w:rFonts w:ascii="Microsoft Sans Serif" w:eastAsia="Microsoft Sans Serif" w:hAnsi="Microsoft Sans Serif" w:cs="Microsoft Sans Serif"/>
          <w:sz w:val="24"/>
          <w:szCs w:val="22"/>
        </w:rPr>
        <w:t>Eservice</w:t>
      </w:r>
      <w:proofErr w:type="spellEnd"/>
    </w:p>
    <w:p w14:paraId="6AA9BBD0" w14:textId="77777777" w:rsidR="00DF08BA" w:rsidRPr="00DF08BA" w:rsidRDefault="00DF08BA" w:rsidP="00DF08BA">
      <w:pPr>
        <w:spacing w:after="160" w:line="259" w:lineRule="auto"/>
        <w:rPr>
          <w:rFonts w:ascii="Microsoft Sans Serif" w:eastAsia="Microsoft Sans Serif" w:hAnsi="Microsoft Sans Serif" w:cs="Microsoft Sans Serif"/>
          <w:sz w:val="24"/>
          <w:szCs w:val="22"/>
        </w:rPr>
      </w:pPr>
    </w:p>
    <w:p w14:paraId="0C9700EB" w14:textId="77777777" w:rsidR="00DF08BA" w:rsidRPr="00DF08BA" w:rsidRDefault="00DF08BA" w:rsidP="00DF08BA">
      <w:pPr>
        <w:rPr>
          <w:rFonts w:ascii="Microsoft Sans Serif" w:eastAsia="Calibri" w:hAnsi="Microsoft Sans Serif" w:cs="Microsoft Sans Serif"/>
          <w:sz w:val="24"/>
          <w:szCs w:val="24"/>
        </w:rPr>
      </w:pPr>
      <w:r w:rsidRPr="00DF08BA">
        <w:rPr>
          <w:rFonts w:ascii="Microsoft Sans Serif" w:eastAsia="Calibri" w:hAnsi="Microsoft Sans Serif" w:cs="Microsoft Sans Serif"/>
          <w:sz w:val="24"/>
          <w:szCs w:val="24"/>
        </w:rPr>
        <w:t>JEFFREY P. BRAHAN ESQUIRE</w:t>
      </w:r>
    </w:p>
    <w:p w14:paraId="180AEF7F" w14:textId="77777777" w:rsidR="00DF08BA" w:rsidRPr="00DF08BA" w:rsidRDefault="00DF08BA" w:rsidP="00DF08BA">
      <w:pPr>
        <w:rPr>
          <w:rFonts w:ascii="Microsoft Sans Serif" w:eastAsia="Calibri" w:hAnsi="Microsoft Sans Serif" w:cs="Microsoft Sans Serif"/>
          <w:sz w:val="24"/>
          <w:szCs w:val="24"/>
        </w:rPr>
      </w:pPr>
      <w:r w:rsidRPr="00DF08BA">
        <w:rPr>
          <w:rFonts w:ascii="Microsoft Sans Serif" w:eastAsia="Calibri" w:hAnsi="Microsoft Sans Serif" w:cs="Microsoft Sans Serif"/>
          <w:sz w:val="24"/>
          <w:szCs w:val="24"/>
        </w:rPr>
        <w:t xml:space="preserve">437 GRANT STREET SUITE 1000 </w:t>
      </w:r>
    </w:p>
    <w:p w14:paraId="7692907C" w14:textId="77777777" w:rsidR="00DF08BA" w:rsidRPr="00DF08BA" w:rsidRDefault="00DF08BA" w:rsidP="00DF08BA">
      <w:pPr>
        <w:rPr>
          <w:rFonts w:ascii="Microsoft Sans Serif" w:eastAsia="Calibri" w:hAnsi="Microsoft Sans Serif" w:cs="Microsoft Sans Serif"/>
          <w:sz w:val="24"/>
          <w:szCs w:val="24"/>
        </w:rPr>
      </w:pPr>
      <w:r w:rsidRPr="00DF08BA">
        <w:rPr>
          <w:rFonts w:ascii="Microsoft Sans Serif" w:eastAsia="Calibri" w:hAnsi="Microsoft Sans Serif" w:cs="Microsoft Sans Serif"/>
          <w:sz w:val="24"/>
          <w:szCs w:val="24"/>
        </w:rPr>
        <w:t>PITTSBURGH, PA  15219</w:t>
      </w:r>
    </w:p>
    <w:p w14:paraId="6FBDCB79" w14:textId="77777777" w:rsidR="00DF08BA" w:rsidRPr="00DF08BA" w:rsidRDefault="00DF08BA" w:rsidP="00DF08BA">
      <w:pPr>
        <w:rPr>
          <w:rFonts w:ascii="Microsoft Sans Serif" w:eastAsia="Calibri" w:hAnsi="Microsoft Sans Serif" w:cs="Microsoft Sans Serif"/>
          <w:b/>
          <w:bCs/>
          <w:sz w:val="24"/>
          <w:szCs w:val="24"/>
        </w:rPr>
      </w:pPr>
      <w:r w:rsidRPr="00DF08BA">
        <w:rPr>
          <w:rFonts w:ascii="Microsoft Sans Serif" w:eastAsia="Calibri" w:hAnsi="Microsoft Sans Serif" w:cs="Microsoft Sans Serif"/>
          <w:b/>
          <w:bCs/>
          <w:sz w:val="24"/>
          <w:szCs w:val="24"/>
        </w:rPr>
        <w:t>412.802.2685</w:t>
      </w:r>
    </w:p>
    <w:p w14:paraId="5F33C67C" w14:textId="77777777" w:rsidR="00DF08BA" w:rsidRPr="00DF08BA" w:rsidRDefault="00DF08BA" w:rsidP="00DF08BA">
      <w:pPr>
        <w:rPr>
          <w:rFonts w:ascii="Microsoft Sans Serif" w:eastAsia="Calibri" w:hAnsi="Microsoft Sans Serif" w:cs="Microsoft Sans Serif"/>
          <w:sz w:val="24"/>
          <w:szCs w:val="24"/>
        </w:rPr>
      </w:pPr>
      <w:r w:rsidRPr="00DF08BA">
        <w:rPr>
          <w:rFonts w:ascii="Microsoft Sans Serif" w:eastAsia="Calibri" w:hAnsi="Microsoft Sans Serif" w:cs="Microsoft Sans Serif"/>
          <w:sz w:val="24"/>
          <w:szCs w:val="24"/>
        </w:rPr>
        <w:t>jpb@galantertomosovich.com</w:t>
      </w:r>
    </w:p>
    <w:p w14:paraId="605261AE" w14:textId="77777777" w:rsidR="00DF08BA" w:rsidRPr="00DF08BA" w:rsidRDefault="00DF08BA" w:rsidP="00DF08BA">
      <w:pPr>
        <w:rPr>
          <w:rFonts w:ascii="Microsoft Sans Serif" w:eastAsia="Calibri" w:hAnsi="Microsoft Sans Serif" w:cs="Microsoft Sans Serif"/>
          <w:i/>
          <w:iCs/>
          <w:sz w:val="24"/>
          <w:szCs w:val="24"/>
        </w:rPr>
      </w:pPr>
      <w:r w:rsidRPr="00DF08BA">
        <w:rPr>
          <w:rFonts w:ascii="Microsoft Sans Serif" w:eastAsia="Calibri" w:hAnsi="Microsoft Sans Serif" w:cs="Microsoft Sans Serif"/>
          <w:i/>
          <w:iCs/>
          <w:sz w:val="24"/>
          <w:szCs w:val="24"/>
        </w:rPr>
        <w:t>Representing Complainant</w:t>
      </w:r>
    </w:p>
    <w:p w14:paraId="11F4C05B" w14:textId="77777777" w:rsidR="00AB52ED" w:rsidRDefault="00AB52ED" w:rsidP="00206CA1">
      <w:pPr>
        <w:ind w:right="115"/>
        <w:rPr>
          <w:sz w:val="24"/>
          <w:szCs w:val="24"/>
        </w:rPr>
      </w:pPr>
    </w:p>
    <w:p w14:paraId="6A543E12" w14:textId="77777777" w:rsidR="00EB39EF" w:rsidRPr="00D778AF" w:rsidRDefault="00EB39EF" w:rsidP="00D778AF">
      <w:pPr>
        <w:ind w:right="115"/>
        <w:rPr>
          <w:sz w:val="24"/>
          <w:szCs w:val="24"/>
        </w:rPr>
      </w:pPr>
    </w:p>
    <w:sectPr w:rsidR="00EB39EF" w:rsidRPr="00D778AF" w:rsidSect="00C40C5C">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C805F" w14:textId="77777777" w:rsidR="00244C53" w:rsidRDefault="00244C53">
      <w:r>
        <w:separator/>
      </w:r>
    </w:p>
  </w:endnote>
  <w:endnote w:type="continuationSeparator" w:id="0">
    <w:p w14:paraId="1A9B609A" w14:textId="77777777" w:rsidR="00244C53" w:rsidRDefault="0024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3B6A1" w14:textId="77777777" w:rsidR="004532C0" w:rsidRDefault="004532C0" w:rsidP="001F1A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B73">
      <w:rPr>
        <w:rStyle w:val="PageNumber"/>
        <w:noProof/>
      </w:rPr>
      <w:t>2</w:t>
    </w:r>
    <w:r>
      <w:rPr>
        <w:rStyle w:val="PageNumber"/>
      </w:rPr>
      <w:fldChar w:fldCharType="end"/>
    </w:r>
  </w:p>
  <w:p w14:paraId="61E2254A" w14:textId="77777777" w:rsidR="004532C0" w:rsidRDefault="004532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39E9" w14:textId="77777777" w:rsidR="004532C0" w:rsidRPr="007D6A24" w:rsidRDefault="004532C0" w:rsidP="001F1A89">
    <w:pPr>
      <w:pStyle w:val="Footer"/>
      <w:framePr w:wrap="around" w:vAnchor="text" w:hAnchor="margin" w:xAlign="center" w:y="1"/>
      <w:rPr>
        <w:rStyle w:val="PageNumber"/>
        <w:sz w:val="20"/>
        <w:szCs w:val="20"/>
      </w:rPr>
    </w:pPr>
    <w:r w:rsidRPr="007D6A24">
      <w:rPr>
        <w:rStyle w:val="PageNumber"/>
        <w:sz w:val="20"/>
        <w:szCs w:val="20"/>
      </w:rPr>
      <w:fldChar w:fldCharType="begin"/>
    </w:r>
    <w:r w:rsidRPr="007D6A24">
      <w:rPr>
        <w:rStyle w:val="PageNumber"/>
        <w:sz w:val="20"/>
        <w:szCs w:val="20"/>
      </w:rPr>
      <w:instrText xml:space="preserve">PAGE  </w:instrText>
    </w:r>
    <w:r w:rsidRPr="007D6A24">
      <w:rPr>
        <w:rStyle w:val="PageNumber"/>
        <w:sz w:val="20"/>
        <w:szCs w:val="20"/>
      </w:rPr>
      <w:fldChar w:fldCharType="separate"/>
    </w:r>
    <w:r w:rsidR="00B515D7">
      <w:rPr>
        <w:rStyle w:val="PageNumber"/>
        <w:noProof/>
        <w:sz w:val="20"/>
        <w:szCs w:val="20"/>
      </w:rPr>
      <w:t>4</w:t>
    </w:r>
    <w:r w:rsidRPr="007D6A24">
      <w:rPr>
        <w:rStyle w:val="PageNumber"/>
        <w:sz w:val="20"/>
        <w:szCs w:val="20"/>
      </w:rPr>
      <w:fldChar w:fldCharType="end"/>
    </w:r>
  </w:p>
  <w:p w14:paraId="1A678852" w14:textId="77777777" w:rsidR="004532C0" w:rsidRDefault="00453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B7B0" w14:textId="77777777" w:rsidR="00244C53" w:rsidRDefault="00244C53">
      <w:r>
        <w:separator/>
      </w:r>
    </w:p>
  </w:footnote>
  <w:footnote w:type="continuationSeparator" w:id="0">
    <w:p w14:paraId="1B8B1AA6" w14:textId="77777777" w:rsidR="00244C53" w:rsidRDefault="00244C53">
      <w:r>
        <w:continuationSeparator/>
      </w:r>
    </w:p>
  </w:footnote>
  <w:footnote w:id="1">
    <w:p w14:paraId="1167C131" w14:textId="2FC8EDF5" w:rsidR="00D6065B" w:rsidRDefault="00D6065B" w:rsidP="00FD2766">
      <w:pPr>
        <w:pStyle w:val="FootnoteText"/>
        <w:ind w:firstLine="720"/>
      </w:pPr>
      <w:r>
        <w:rPr>
          <w:rStyle w:val="FootnoteReference"/>
        </w:rPr>
        <w:footnoteRef/>
      </w:r>
      <w:r>
        <w:t xml:space="preserve"> </w:t>
      </w:r>
      <w:r>
        <w:tab/>
        <w:t xml:space="preserve">On March 2, 2022, the </w:t>
      </w:r>
      <w:r w:rsidR="00FD2766">
        <w:t>OALJ issued a Corrected Hearing Notice which corrected the telephone number and “PIN” number to be used by the parties to connect to the telephonic hearing.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78E418BC"/>
    <w:multiLevelType w:val="hybridMultilevel"/>
    <w:tmpl w:val="EAD2263C"/>
    <w:lvl w:ilvl="0" w:tplc="C7907ADC">
      <w:start w:val="5"/>
      <w:numFmt w:val="lowerRoman"/>
      <w:lvlText w:val="%1."/>
      <w:lvlJc w:val="left"/>
      <w:pPr>
        <w:tabs>
          <w:tab w:val="num" w:pos="4320"/>
        </w:tabs>
        <w:ind w:left="4320" w:hanging="28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003816858">
    <w:abstractNumId w:val="1"/>
  </w:num>
  <w:num w:numId="2" w16cid:durableId="5007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4D0"/>
    <w:rsid w:val="00013BBC"/>
    <w:rsid w:val="00015DCA"/>
    <w:rsid w:val="00020590"/>
    <w:rsid w:val="000250B4"/>
    <w:rsid w:val="0003005A"/>
    <w:rsid w:val="000329D1"/>
    <w:rsid w:val="00032F81"/>
    <w:rsid w:val="00035765"/>
    <w:rsid w:val="00042D62"/>
    <w:rsid w:val="00044167"/>
    <w:rsid w:val="00050A0B"/>
    <w:rsid w:val="00052AE2"/>
    <w:rsid w:val="0005725C"/>
    <w:rsid w:val="00065BCC"/>
    <w:rsid w:val="00071286"/>
    <w:rsid w:val="00077A2C"/>
    <w:rsid w:val="000812DA"/>
    <w:rsid w:val="000870A4"/>
    <w:rsid w:val="0009076B"/>
    <w:rsid w:val="000A1CC2"/>
    <w:rsid w:val="000A699C"/>
    <w:rsid w:val="000B03E7"/>
    <w:rsid w:val="000B0C12"/>
    <w:rsid w:val="000E3983"/>
    <w:rsid w:val="000F1B9E"/>
    <w:rsid w:val="00112574"/>
    <w:rsid w:val="00114B42"/>
    <w:rsid w:val="001213DA"/>
    <w:rsid w:val="001275B9"/>
    <w:rsid w:val="00135028"/>
    <w:rsid w:val="001467C0"/>
    <w:rsid w:val="00147550"/>
    <w:rsid w:val="00157A5F"/>
    <w:rsid w:val="00161AD2"/>
    <w:rsid w:val="001630B8"/>
    <w:rsid w:val="00172245"/>
    <w:rsid w:val="00187CCB"/>
    <w:rsid w:val="00193FEF"/>
    <w:rsid w:val="00196AB8"/>
    <w:rsid w:val="00197961"/>
    <w:rsid w:val="001C0016"/>
    <w:rsid w:val="001C0320"/>
    <w:rsid w:val="001C1BAE"/>
    <w:rsid w:val="001C37D4"/>
    <w:rsid w:val="001D3122"/>
    <w:rsid w:val="001E412C"/>
    <w:rsid w:val="001E7B77"/>
    <w:rsid w:val="001F1A89"/>
    <w:rsid w:val="001F2216"/>
    <w:rsid w:val="001F232B"/>
    <w:rsid w:val="001F4FBC"/>
    <w:rsid w:val="002026AD"/>
    <w:rsid w:val="00206A03"/>
    <w:rsid w:val="00206CA1"/>
    <w:rsid w:val="002103C0"/>
    <w:rsid w:val="002154A4"/>
    <w:rsid w:val="00216F3D"/>
    <w:rsid w:val="00222A2F"/>
    <w:rsid w:val="00244C53"/>
    <w:rsid w:val="002459E0"/>
    <w:rsid w:val="00256602"/>
    <w:rsid w:val="002A6330"/>
    <w:rsid w:val="002A7443"/>
    <w:rsid w:val="002B60E8"/>
    <w:rsid w:val="002C5906"/>
    <w:rsid w:val="002D39BA"/>
    <w:rsid w:val="002F3134"/>
    <w:rsid w:val="00307FAC"/>
    <w:rsid w:val="00323DA7"/>
    <w:rsid w:val="00344940"/>
    <w:rsid w:val="003516D0"/>
    <w:rsid w:val="00362D03"/>
    <w:rsid w:val="00364DC8"/>
    <w:rsid w:val="00381AA1"/>
    <w:rsid w:val="00390FDE"/>
    <w:rsid w:val="00397FC0"/>
    <w:rsid w:val="003B4E66"/>
    <w:rsid w:val="003C1B47"/>
    <w:rsid w:val="003C37AC"/>
    <w:rsid w:val="003E0EBE"/>
    <w:rsid w:val="003E1F54"/>
    <w:rsid w:val="003F0208"/>
    <w:rsid w:val="00400081"/>
    <w:rsid w:val="00402DF9"/>
    <w:rsid w:val="00413B54"/>
    <w:rsid w:val="00415569"/>
    <w:rsid w:val="00416F61"/>
    <w:rsid w:val="0041786A"/>
    <w:rsid w:val="0042692B"/>
    <w:rsid w:val="0043509F"/>
    <w:rsid w:val="00442900"/>
    <w:rsid w:val="00450A53"/>
    <w:rsid w:val="004532C0"/>
    <w:rsid w:val="004704D0"/>
    <w:rsid w:val="00472884"/>
    <w:rsid w:val="0049222A"/>
    <w:rsid w:val="00497FF1"/>
    <w:rsid w:val="004A5678"/>
    <w:rsid w:val="004A671F"/>
    <w:rsid w:val="004B0E80"/>
    <w:rsid w:val="004B7EE5"/>
    <w:rsid w:val="004D5CCB"/>
    <w:rsid w:val="004D5ED0"/>
    <w:rsid w:val="004E0995"/>
    <w:rsid w:val="004E10FE"/>
    <w:rsid w:val="004E1C41"/>
    <w:rsid w:val="004E2843"/>
    <w:rsid w:val="00505C4F"/>
    <w:rsid w:val="005233F5"/>
    <w:rsid w:val="005258C8"/>
    <w:rsid w:val="0053563A"/>
    <w:rsid w:val="00535A86"/>
    <w:rsid w:val="00541AC8"/>
    <w:rsid w:val="00544601"/>
    <w:rsid w:val="00544A18"/>
    <w:rsid w:val="00561B1E"/>
    <w:rsid w:val="00572946"/>
    <w:rsid w:val="005738A9"/>
    <w:rsid w:val="00576223"/>
    <w:rsid w:val="005776C7"/>
    <w:rsid w:val="00595D2A"/>
    <w:rsid w:val="005A0F74"/>
    <w:rsid w:val="005B1C87"/>
    <w:rsid w:val="005C1D14"/>
    <w:rsid w:val="005C49E7"/>
    <w:rsid w:val="005C646A"/>
    <w:rsid w:val="005E0D8C"/>
    <w:rsid w:val="005F58E4"/>
    <w:rsid w:val="006025CB"/>
    <w:rsid w:val="00612817"/>
    <w:rsid w:val="0062325B"/>
    <w:rsid w:val="00631C79"/>
    <w:rsid w:val="006336F5"/>
    <w:rsid w:val="00637821"/>
    <w:rsid w:val="00644277"/>
    <w:rsid w:val="00656D63"/>
    <w:rsid w:val="0067073D"/>
    <w:rsid w:val="006818E0"/>
    <w:rsid w:val="006843DA"/>
    <w:rsid w:val="00686CDA"/>
    <w:rsid w:val="006915A4"/>
    <w:rsid w:val="00696F2B"/>
    <w:rsid w:val="006A176F"/>
    <w:rsid w:val="006D3BD2"/>
    <w:rsid w:val="006E441D"/>
    <w:rsid w:val="006F3D10"/>
    <w:rsid w:val="00700EFB"/>
    <w:rsid w:val="00715776"/>
    <w:rsid w:val="007202A9"/>
    <w:rsid w:val="0072267B"/>
    <w:rsid w:val="007400C8"/>
    <w:rsid w:val="007400F9"/>
    <w:rsid w:val="00752623"/>
    <w:rsid w:val="007533D0"/>
    <w:rsid w:val="00781FE4"/>
    <w:rsid w:val="007936C6"/>
    <w:rsid w:val="0079783E"/>
    <w:rsid w:val="007B2CAB"/>
    <w:rsid w:val="007C2A7E"/>
    <w:rsid w:val="007C4960"/>
    <w:rsid w:val="007C511D"/>
    <w:rsid w:val="007D4DDE"/>
    <w:rsid w:val="007D6A24"/>
    <w:rsid w:val="007E23D8"/>
    <w:rsid w:val="007F4EB9"/>
    <w:rsid w:val="00800437"/>
    <w:rsid w:val="00802A06"/>
    <w:rsid w:val="008144A0"/>
    <w:rsid w:val="00815FB6"/>
    <w:rsid w:val="00824941"/>
    <w:rsid w:val="0082533E"/>
    <w:rsid w:val="00832179"/>
    <w:rsid w:val="0083374F"/>
    <w:rsid w:val="00835550"/>
    <w:rsid w:val="008548D1"/>
    <w:rsid w:val="00855134"/>
    <w:rsid w:val="00872890"/>
    <w:rsid w:val="008A1C06"/>
    <w:rsid w:val="008B3E6F"/>
    <w:rsid w:val="008B5607"/>
    <w:rsid w:val="008D4B2F"/>
    <w:rsid w:val="008E56A7"/>
    <w:rsid w:val="008E7211"/>
    <w:rsid w:val="008F0A0B"/>
    <w:rsid w:val="00905555"/>
    <w:rsid w:val="0094317E"/>
    <w:rsid w:val="00961C91"/>
    <w:rsid w:val="00962948"/>
    <w:rsid w:val="00966CA3"/>
    <w:rsid w:val="009702C4"/>
    <w:rsid w:val="009926E3"/>
    <w:rsid w:val="009A4548"/>
    <w:rsid w:val="009D730D"/>
    <w:rsid w:val="009E08C1"/>
    <w:rsid w:val="009E34B2"/>
    <w:rsid w:val="009E54EF"/>
    <w:rsid w:val="009F21C0"/>
    <w:rsid w:val="00A071D6"/>
    <w:rsid w:val="00A22726"/>
    <w:rsid w:val="00A23217"/>
    <w:rsid w:val="00A23266"/>
    <w:rsid w:val="00A269C1"/>
    <w:rsid w:val="00A277F9"/>
    <w:rsid w:val="00A31923"/>
    <w:rsid w:val="00A40956"/>
    <w:rsid w:val="00A44217"/>
    <w:rsid w:val="00A555A6"/>
    <w:rsid w:val="00A62042"/>
    <w:rsid w:val="00A63F3B"/>
    <w:rsid w:val="00A64619"/>
    <w:rsid w:val="00A66552"/>
    <w:rsid w:val="00A671A3"/>
    <w:rsid w:val="00A729DD"/>
    <w:rsid w:val="00A75207"/>
    <w:rsid w:val="00A87D5F"/>
    <w:rsid w:val="00A90AD0"/>
    <w:rsid w:val="00A94C40"/>
    <w:rsid w:val="00AB52ED"/>
    <w:rsid w:val="00AB55D4"/>
    <w:rsid w:val="00AC1607"/>
    <w:rsid w:val="00AC7A46"/>
    <w:rsid w:val="00AE6D0E"/>
    <w:rsid w:val="00AF1907"/>
    <w:rsid w:val="00AF5B01"/>
    <w:rsid w:val="00B0347C"/>
    <w:rsid w:val="00B10D74"/>
    <w:rsid w:val="00B16733"/>
    <w:rsid w:val="00B173BA"/>
    <w:rsid w:val="00B21981"/>
    <w:rsid w:val="00B227B5"/>
    <w:rsid w:val="00B2419F"/>
    <w:rsid w:val="00B24E6F"/>
    <w:rsid w:val="00B25E31"/>
    <w:rsid w:val="00B44FC0"/>
    <w:rsid w:val="00B515D7"/>
    <w:rsid w:val="00B54E30"/>
    <w:rsid w:val="00B60E76"/>
    <w:rsid w:val="00B662E9"/>
    <w:rsid w:val="00B71F16"/>
    <w:rsid w:val="00B74048"/>
    <w:rsid w:val="00B8119C"/>
    <w:rsid w:val="00B81B05"/>
    <w:rsid w:val="00B879B7"/>
    <w:rsid w:val="00BA07C6"/>
    <w:rsid w:val="00BC78D9"/>
    <w:rsid w:val="00BF7E57"/>
    <w:rsid w:val="00C05881"/>
    <w:rsid w:val="00C059CE"/>
    <w:rsid w:val="00C203AE"/>
    <w:rsid w:val="00C332C3"/>
    <w:rsid w:val="00C35B73"/>
    <w:rsid w:val="00C40C5C"/>
    <w:rsid w:val="00C57961"/>
    <w:rsid w:val="00C62E20"/>
    <w:rsid w:val="00C71D48"/>
    <w:rsid w:val="00C74646"/>
    <w:rsid w:val="00C80534"/>
    <w:rsid w:val="00C92A7D"/>
    <w:rsid w:val="00C94EE2"/>
    <w:rsid w:val="00CA02A0"/>
    <w:rsid w:val="00CA4740"/>
    <w:rsid w:val="00CB1472"/>
    <w:rsid w:val="00CD1C55"/>
    <w:rsid w:val="00CD26E2"/>
    <w:rsid w:val="00CD5AC0"/>
    <w:rsid w:val="00CE2C85"/>
    <w:rsid w:val="00CF0E66"/>
    <w:rsid w:val="00D01BCB"/>
    <w:rsid w:val="00D05BAB"/>
    <w:rsid w:val="00D20B8D"/>
    <w:rsid w:val="00D21B47"/>
    <w:rsid w:val="00D24782"/>
    <w:rsid w:val="00D27299"/>
    <w:rsid w:val="00D316ED"/>
    <w:rsid w:val="00D35F33"/>
    <w:rsid w:val="00D411C1"/>
    <w:rsid w:val="00D455EF"/>
    <w:rsid w:val="00D5373A"/>
    <w:rsid w:val="00D57F9A"/>
    <w:rsid w:val="00D6065B"/>
    <w:rsid w:val="00D778AF"/>
    <w:rsid w:val="00D80970"/>
    <w:rsid w:val="00D8705D"/>
    <w:rsid w:val="00D92589"/>
    <w:rsid w:val="00DB1ADC"/>
    <w:rsid w:val="00DB585C"/>
    <w:rsid w:val="00DD557F"/>
    <w:rsid w:val="00DD5A59"/>
    <w:rsid w:val="00DD75D9"/>
    <w:rsid w:val="00DE43ED"/>
    <w:rsid w:val="00DF08BA"/>
    <w:rsid w:val="00DF201C"/>
    <w:rsid w:val="00DF6E99"/>
    <w:rsid w:val="00E007DC"/>
    <w:rsid w:val="00E03C76"/>
    <w:rsid w:val="00E14396"/>
    <w:rsid w:val="00E274C1"/>
    <w:rsid w:val="00E312B7"/>
    <w:rsid w:val="00E438B2"/>
    <w:rsid w:val="00E5058E"/>
    <w:rsid w:val="00E50DFF"/>
    <w:rsid w:val="00E5250F"/>
    <w:rsid w:val="00E70CA0"/>
    <w:rsid w:val="00E9495E"/>
    <w:rsid w:val="00E97A26"/>
    <w:rsid w:val="00EA1F99"/>
    <w:rsid w:val="00EA497D"/>
    <w:rsid w:val="00EB39EF"/>
    <w:rsid w:val="00EB5DCB"/>
    <w:rsid w:val="00EC2911"/>
    <w:rsid w:val="00EC471E"/>
    <w:rsid w:val="00EC4BED"/>
    <w:rsid w:val="00ED323E"/>
    <w:rsid w:val="00ED49FA"/>
    <w:rsid w:val="00ED504E"/>
    <w:rsid w:val="00EE5A9B"/>
    <w:rsid w:val="00EF01F2"/>
    <w:rsid w:val="00EF6D2E"/>
    <w:rsid w:val="00F11369"/>
    <w:rsid w:val="00F22ED8"/>
    <w:rsid w:val="00F23290"/>
    <w:rsid w:val="00F264AB"/>
    <w:rsid w:val="00F26D1B"/>
    <w:rsid w:val="00F35426"/>
    <w:rsid w:val="00F41640"/>
    <w:rsid w:val="00F51819"/>
    <w:rsid w:val="00F71C1C"/>
    <w:rsid w:val="00F74A5D"/>
    <w:rsid w:val="00FA1A7B"/>
    <w:rsid w:val="00FB1153"/>
    <w:rsid w:val="00FB11D9"/>
    <w:rsid w:val="00FB2683"/>
    <w:rsid w:val="00FB7EA3"/>
    <w:rsid w:val="00FC5354"/>
    <w:rsid w:val="00FD04C8"/>
    <w:rsid w:val="00FD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EFE83"/>
  <w15:docId w15:val="{02FDE133-2683-435B-B5EA-6EA4A222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89"/>
    <w:rPr>
      <w:sz w:val="26"/>
      <w:szCs w:val="26"/>
    </w:rPr>
  </w:style>
  <w:style w:type="paragraph" w:styleId="Heading1">
    <w:name w:val="heading 1"/>
    <w:basedOn w:val="Normal"/>
    <w:next w:val="Normal"/>
    <w:link w:val="Heading1Char"/>
    <w:qFormat/>
    <w:rsid w:val="00962948"/>
    <w:pPr>
      <w:keepNext/>
      <w:jc w:val="center"/>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F1A89"/>
    <w:pPr>
      <w:tabs>
        <w:tab w:val="center" w:pos="4320"/>
        <w:tab w:val="right" w:pos="8640"/>
      </w:tabs>
    </w:pPr>
  </w:style>
  <w:style w:type="character" w:styleId="PageNumber">
    <w:name w:val="page number"/>
    <w:basedOn w:val="DefaultParagraphFont"/>
    <w:rsid w:val="001F1A89"/>
  </w:style>
  <w:style w:type="paragraph" w:styleId="FootnoteText">
    <w:name w:val="footnote text"/>
    <w:aliases w:val="Car"/>
    <w:basedOn w:val="Normal"/>
    <w:link w:val="FootnoteTextChar"/>
    <w:qFormat/>
    <w:rsid w:val="006E441D"/>
    <w:rPr>
      <w:sz w:val="20"/>
      <w:szCs w:val="20"/>
    </w:rPr>
  </w:style>
  <w:style w:type="character" w:styleId="FootnoteReference">
    <w:name w:val="footnote reference"/>
    <w:basedOn w:val="DefaultParagraphFont"/>
    <w:uiPriority w:val="99"/>
    <w:rsid w:val="006E441D"/>
    <w:rPr>
      <w:vertAlign w:val="superscript"/>
    </w:rPr>
  </w:style>
  <w:style w:type="paragraph" w:styleId="BalloonText">
    <w:name w:val="Balloon Text"/>
    <w:basedOn w:val="Normal"/>
    <w:semiHidden/>
    <w:rsid w:val="00DF6E99"/>
    <w:rPr>
      <w:rFonts w:ascii="Tahoma" w:hAnsi="Tahoma" w:cs="Tahoma"/>
      <w:sz w:val="16"/>
      <w:szCs w:val="16"/>
    </w:rPr>
  </w:style>
  <w:style w:type="paragraph" w:styleId="Header">
    <w:name w:val="header"/>
    <w:basedOn w:val="Normal"/>
    <w:rsid w:val="00C57961"/>
    <w:pPr>
      <w:tabs>
        <w:tab w:val="center" w:pos="4320"/>
        <w:tab w:val="right" w:pos="8640"/>
      </w:tabs>
    </w:pPr>
  </w:style>
  <w:style w:type="character" w:styleId="Hyperlink">
    <w:name w:val="Hyperlink"/>
    <w:basedOn w:val="DefaultParagraphFont"/>
    <w:rsid w:val="00A22726"/>
    <w:rPr>
      <w:color w:val="0000FF"/>
      <w:u w:val="single"/>
    </w:rPr>
  </w:style>
  <w:style w:type="character" w:customStyle="1" w:styleId="Heading1Char">
    <w:name w:val="Heading 1 Char"/>
    <w:basedOn w:val="DefaultParagraphFont"/>
    <w:link w:val="Heading1"/>
    <w:rsid w:val="00962948"/>
    <w:rPr>
      <w:sz w:val="26"/>
      <w:u w:val="single"/>
    </w:rPr>
  </w:style>
  <w:style w:type="paragraph" w:styleId="ListParagraph">
    <w:name w:val="List Paragraph"/>
    <w:basedOn w:val="Normal"/>
    <w:uiPriority w:val="34"/>
    <w:qFormat/>
    <w:rsid w:val="00416F61"/>
    <w:pPr>
      <w:ind w:left="720"/>
      <w:contextualSpacing/>
    </w:pPr>
  </w:style>
  <w:style w:type="character" w:customStyle="1" w:styleId="FootnoteTextChar">
    <w:name w:val="Footnote Text Char"/>
    <w:aliases w:val="Car Char"/>
    <w:basedOn w:val="DefaultParagraphFont"/>
    <w:link w:val="FootnoteText"/>
    <w:rsid w:val="00AC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407B0-BCAE-4B04-9ECA-84400785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1230</Words>
  <Characters>6747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Miskanic, Nicholas</cp:lastModifiedBy>
  <cp:revision>4</cp:revision>
  <cp:lastPrinted>2012-02-06T20:28:00Z</cp:lastPrinted>
  <dcterms:created xsi:type="dcterms:W3CDTF">2022-07-20T18:44:00Z</dcterms:created>
  <dcterms:modified xsi:type="dcterms:W3CDTF">2022-07-20T18:48:00Z</dcterms:modified>
</cp:coreProperties>
</file>