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64FA" w14:textId="77777777" w:rsidR="00EA1957" w:rsidRPr="009D6902" w:rsidRDefault="00EA1957" w:rsidP="00EA1957">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31D17D19" w14:textId="77777777" w:rsidR="00EA1957" w:rsidRPr="009D6902" w:rsidRDefault="00EA1957" w:rsidP="00EA195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4CB8FD5A" w14:textId="77777777" w:rsidR="00EA1957" w:rsidRPr="009D6902" w:rsidRDefault="00EA1957" w:rsidP="00EA195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FDC344B" w14:textId="77777777" w:rsidR="00EA1957" w:rsidRPr="009D6902" w:rsidRDefault="00EA1957" w:rsidP="00EA195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DCF0FD6" w14:textId="77777777" w:rsidR="00EA1957" w:rsidRPr="009D6902" w:rsidRDefault="00EA1957" w:rsidP="00EA195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B9F88D7" w14:textId="1432CD45" w:rsidR="00EA1957" w:rsidRPr="009D6902" w:rsidRDefault="00EA1957" w:rsidP="00EA1957">
      <w:pPr>
        <w:pStyle w:val="Style"/>
        <w:rPr>
          <w:bCs/>
          <w:color w:val="000000"/>
        </w:rPr>
      </w:pPr>
      <w:r>
        <w:rPr>
          <w:bCs/>
          <w:color w:val="000000"/>
        </w:rPr>
        <w:t>Dawn Graham</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25182EF" w14:textId="77777777" w:rsidR="00EA1957" w:rsidRPr="009D6902" w:rsidRDefault="00EA1957" w:rsidP="00EA195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3C18FB11" w14:textId="0639F0D6" w:rsidR="00EA1957" w:rsidRPr="009D6902" w:rsidRDefault="00EA1957" w:rsidP="00EA195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C-2022-3032494</w:t>
      </w:r>
    </w:p>
    <w:p w14:paraId="256498EA" w14:textId="77777777" w:rsidR="00EA1957" w:rsidRPr="009D6902" w:rsidRDefault="00EA1957" w:rsidP="00EA195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F4B0567" w14:textId="55D1AD51" w:rsidR="00EA1957" w:rsidRPr="009D6902" w:rsidRDefault="00EA1957" w:rsidP="00EA1957">
      <w:pPr>
        <w:pStyle w:val="Style"/>
        <w:rPr>
          <w:bCs/>
          <w:color w:val="000000"/>
        </w:rPr>
      </w:pPr>
      <w:r>
        <w:rPr>
          <w:bCs/>
          <w:color w:val="000000"/>
        </w:rPr>
        <w:t>Philadelphia Gas Works</w:t>
      </w:r>
      <w:r w:rsidRPr="009D6902">
        <w:rPr>
          <w:bCs/>
          <w:color w:val="000000"/>
        </w:rPr>
        <w:tab/>
      </w:r>
      <w:r w:rsidRPr="009D6902">
        <w:rPr>
          <w:bCs/>
          <w:color w:val="000000"/>
        </w:rPr>
        <w:tab/>
      </w:r>
      <w:r w:rsidRPr="009D6902">
        <w:rPr>
          <w:bCs/>
          <w:color w:val="000000"/>
        </w:rPr>
        <w:tab/>
      </w:r>
      <w:r w:rsidRPr="009D6902">
        <w:rPr>
          <w:bCs/>
          <w:color w:val="000000"/>
        </w:rPr>
        <w:tab/>
        <w:t>:</w:t>
      </w:r>
    </w:p>
    <w:p w14:paraId="1C1B0355" w14:textId="77777777" w:rsidR="00EA1957" w:rsidRPr="009D6902" w:rsidRDefault="00EA1957" w:rsidP="00EA195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35B8F39" w14:textId="77777777" w:rsidR="00EA1957" w:rsidRPr="009D6902" w:rsidRDefault="00EA1957" w:rsidP="00EA195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A925226" w14:textId="77777777" w:rsidR="00EA1957" w:rsidRPr="009D6902" w:rsidRDefault="00EA1957" w:rsidP="00EA195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A6670D7" w14:textId="77777777" w:rsidR="00EA1957" w:rsidRDefault="00EA1957" w:rsidP="00EA195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2703DDD2" w14:textId="35E3B133" w:rsidR="00EA1957" w:rsidRPr="009D6902" w:rsidRDefault="00EA1957" w:rsidP="00EA195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90439">
        <w:rPr>
          <w:rFonts w:ascii="Times New Roman" w:eastAsia="Times New Roman" w:hAnsi="Times New Roman" w:cs="Times New Roman"/>
          <w:b/>
          <w:bCs/>
          <w:spacing w:val="-3"/>
          <w:sz w:val="24"/>
          <w:szCs w:val="24"/>
          <w:u w:val="single"/>
        </w:rPr>
        <w:t xml:space="preserve">DENYING </w:t>
      </w:r>
      <w:r>
        <w:rPr>
          <w:rFonts w:ascii="Times New Roman" w:eastAsia="Times New Roman" w:hAnsi="Times New Roman" w:cs="Times New Roman"/>
          <w:b/>
          <w:bCs/>
          <w:spacing w:val="-3"/>
          <w:sz w:val="24"/>
          <w:szCs w:val="24"/>
          <w:u w:val="single"/>
        </w:rPr>
        <w:t>PRELIMINARY OBJECTION</w:t>
      </w:r>
      <w:r>
        <w:rPr>
          <w:rFonts w:ascii="Times New Roman" w:eastAsia="Times New Roman" w:hAnsi="Times New Roman" w:cs="Times New Roman"/>
          <w:b/>
          <w:bCs/>
          <w:spacing w:val="-3"/>
          <w:sz w:val="24"/>
          <w:szCs w:val="24"/>
          <w:u w:val="single"/>
        </w:rPr>
        <w:br/>
        <w:t>AND MOTION FOR JUDGMENT</w:t>
      </w:r>
      <w:r w:rsidR="00C94C53">
        <w:rPr>
          <w:rFonts w:ascii="Times New Roman" w:eastAsia="Times New Roman" w:hAnsi="Times New Roman" w:cs="Times New Roman"/>
          <w:b/>
          <w:bCs/>
          <w:spacing w:val="-3"/>
          <w:sz w:val="24"/>
          <w:szCs w:val="24"/>
          <w:u w:val="single"/>
        </w:rPr>
        <w:t xml:space="preserve"> ON THE PLEADINGS</w:t>
      </w:r>
    </w:p>
    <w:p w14:paraId="5A61827A" w14:textId="77777777" w:rsidR="00EA1957" w:rsidRPr="009D6902" w:rsidRDefault="00EA1957" w:rsidP="00EA195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82F7001" w14:textId="224330F1" w:rsidR="0043204D" w:rsidRPr="0015005A" w:rsidRDefault="0043204D" w:rsidP="0043204D">
      <w:pPr>
        <w:pStyle w:val="Style"/>
        <w:widowControl/>
        <w:spacing w:line="360" w:lineRule="auto"/>
        <w:rPr>
          <w:b/>
          <w:color w:val="000000"/>
          <w:u w:val="single"/>
        </w:rPr>
      </w:pPr>
      <w:r w:rsidRPr="0015005A">
        <w:rPr>
          <w:b/>
          <w:color w:val="000000"/>
          <w:u w:val="single"/>
        </w:rPr>
        <w:t>Procedural History</w:t>
      </w:r>
    </w:p>
    <w:p w14:paraId="7F3292C4" w14:textId="77777777" w:rsidR="0043204D" w:rsidRDefault="0043204D" w:rsidP="00EA1957">
      <w:pPr>
        <w:pStyle w:val="Style"/>
        <w:widowControl/>
        <w:spacing w:line="360" w:lineRule="auto"/>
        <w:ind w:firstLine="1440"/>
        <w:rPr>
          <w:bCs/>
          <w:color w:val="000000"/>
        </w:rPr>
      </w:pPr>
    </w:p>
    <w:p w14:paraId="4293BDDC" w14:textId="5214C4E8" w:rsidR="00EA1957" w:rsidRDefault="00EA1957" w:rsidP="00EA1957">
      <w:pPr>
        <w:pStyle w:val="Style"/>
        <w:widowControl/>
        <w:spacing w:line="360" w:lineRule="auto"/>
        <w:ind w:firstLine="1440"/>
        <w:rPr>
          <w:bCs/>
          <w:color w:val="000000"/>
        </w:rPr>
      </w:pPr>
      <w:r w:rsidRPr="009D6902">
        <w:rPr>
          <w:bCs/>
          <w:color w:val="000000"/>
        </w:rPr>
        <w:t>On</w:t>
      </w:r>
      <w:r w:rsidR="001E6220">
        <w:rPr>
          <w:bCs/>
          <w:color w:val="000000"/>
        </w:rPr>
        <w:t xml:space="preserve"> May 5, 2022, </w:t>
      </w:r>
      <w:r w:rsidR="001F0C08">
        <w:rPr>
          <w:bCs/>
          <w:color w:val="000000"/>
        </w:rPr>
        <w:t xml:space="preserve">Dawn Graham </w:t>
      </w:r>
      <w:r w:rsidR="00CF1AB9">
        <w:rPr>
          <w:bCs/>
          <w:color w:val="000000"/>
        </w:rPr>
        <w:t xml:space="preserve">filed a formal complaint with the Pennsylvania Public Utility Commission against Philadelphia Gas Works (PGW), docket number </w:t>
      </w:r>
      <w:r w:rsidR="00455C22">
        <w:rPr>
          <w:bCs/>
          <w:color w:val="000000"/>
        </w:rPr>
        <w:t>C-2022-3032494.</w:t>
      </w:r>
      <w:r w:rsidR="004649C7">
        <w:rPr>
          <w:bCs/>
          <w:color w:val="000000"/>
        </w:rPr>
        <w:t xml:space="preserve">  In her complaint, Ms. Graham indicated that PGW is threatening to terminate her utility service or has already terminated her utility service, that she would like a payment agreement and that there are incorrect charges on her bill.  Ms. Graham also stated that she was told to apply for new service to avoid termination of this </w:t>
      </w:r>
      <w:proofErr w:type="gramStart"/>
      <w:r w:rsidR="004649C7">
        <w:rPr>
          <w:bCs/>
          <w:color w:val="000000"/>
        </w:rPr>
        <w:t>account</w:t>
      </w:r>
      <w:proofErr w:type="gramEnd"/>
      <w:r w:rsidR="00293C86">
        <w:rPr>
          <w:bCs/>
          <w:color w:val="000000"/>
        </w:rPr>
        <w:t xml:space="preserve"> but her trust documents and identification have been rejected.  </w:t>
      </w:r>
      <w:r w:rsidR="00954F90">
        <w:rPr>
          <w:bCs/>
          <w:color w:val="000000"/>
        </w:rPr>
        <w:t>Ms. Graham provided further explanation noting</w:t>
      </w:r>
      <w:r w:rsidR="009F783F">
        <w:rPr>
          <w:bCs/>
          <w:color w:val="000000"/>
        </w:rPr>
        <w:t>, among other things,</w:t>
      </w:r>
      <w:r w:rsidR="00954F90">
        <w:rPr>
          <w:bCs/>
          <w:color w:val="000000"/>
        </w:rPr>
        <w:t xml:space="preserve"> that she “wants to pay the adj</w:t>
      </w:r>
      <w:r w:rsidR="009F783F">
        <w:rPr>
          <w:bCs/>
          <w:color w:val="000000"/>
        </w:rPr>
        <w:t xml:space="preserve">usted bill from February 2020 until the final bill of Indra Energy’s rates due on August 5, 2021.”  </w:t>
      </w:r>
      <w:r w:rsidR="00D25A49">
        <w:rPr>
          <w:bCs/>
          <w:color w:val="000000"/>
        </w:rPr>
        <w:t xml:space="preserve">Ms. Graham provided additional </w:t>
      </w:r>
      <w:r w:rsidR="00E21BED">
        <w:rPr>
          <w:bCs/>
          <w:color w:val="000000"/>
        </w:rPr>
        <w:t>explanation</w:t>
      </w:r>
      <w:r w:rsidR="00D25A49">
        <w:rPr>
          <w:bCs/>
          <w:color w:val="000000"/>
        </w:rPr>
        <w:t xml:space="preserve"> regarding a lien </w:t>
      </w:r>
      <w:r w:rsidR="00E1771B">
        <w:rPr>
          <w:bCs/>
          <w:color w:val="000000"/>
        </w:rPr>
        <w:t xml:space="preserve">on the property </w:t>
      </w:r>
      <w:r w:rsidR="00910D65">
        <w:rPr>
          <w:bCs/>
          <w:color w:val="000000"/>
        </w:rPr>
        <w:t>and her role as a Trustee for the property</w:t>
      </w:r>
      <w:r w:rsidR="00E1771B">
        <w:rPr>
          <w:bCs/>
          <w:color w:val="000000"/>
        </w:rPr>
        <w:t>, among other things.</w:t>
      </w:r>
    </w:p>
    <w:p w14:paraId="785BDA54" w14:textId="76D3CF29" w:rsidR="00E1771B" w:rsidRDefault="00E1771B" w:rsidP="00EA1957">
      <w:pPr>
        <w:pStyle w:val="Style"/>
        <w:widowControl/>
        <w:spacing w:line="360" w:lineRule="auto"/>
        <w:ind w:firstLine="1440"/>
        <w:rPr>
          <w:bCs/>
          <w:color w:val="000000"/>
        </w:rPr>
      </w:pPr>
    </w:p>
    <w:p w14:paraId="5C162E60" w14:textId="1142D43C" w:rsidR="00676E04" w:rsidRDefault="006B0381" w:rsidP="00EA1957">
      <w:pPr>
        <w:pStyle w:val="Style"/>
        <w:widowControl/>
        <w:spacing w:line="360" w:lineRule="auto"/>
        <w:ind w:firstLine="1440"/>
        <w:rPr>
          <w:bCs/>
          <w:color w:val="000000"/>
        </w:rPr>
      </w:pPr>
      <w:r>
        <w:rPr>
          <w:bCs/>
          <w:color w:val="000000"/>
        </w:rPr>
        <w:t>On June 6, 2022, PGW filed an answer and new matter in response to Ms. Graham’s complaint.  In its answer, PGW</w:t>
      </w:r>
      <w:r w:rsidR="004C5814">
        <w:rPr>
          <w:bCs/>
          <w:color w:val="000000"/>
        </w:rPr>
        <w:t xml:space="preserve"> admitted or denied the various averments in Ms. Graham’s complaint.  </w:t>
      </w:r>
      <w:proofErr w:type="gramStart"/>
      <w:r w:rsidR="004C5814">
        <w:rPr>
          <w:bCs/>
          <w:color w:val="000000"/>
        </w:rPr>
        <w:t>In particular, PGW</w:t>
      </w:r>
      <w:proofErr w:type="gramEnd"/>
      <w:r w:rsidR="004C5814">
        <w:rPr>
          <w:bCs/>
          <w:color w:val="000000"/>
        </w:rPr>
        <w:t xml:space="preserve"> denied that there are incorrect charges on the bill for the service address.  PGW also denied that Ms. Graham made a legitimate application for service at the service address.  </w:t>
      </w:r>
      <w:r w:rsidR="00F430E4">
        <w:rPr>
          <w:bCs/>
          <w:color w:val="000000"/>
        </w:rPr>
        <w:t xml:space="preserve">PGW added that Ms. Graham is not and has never been a customer of record at the service address.  In its new matter, which was accompanied by a notice to plead, </w:t>
      </w:r>
      <w:r w:rsidR="00F430E4">
        <w:rPr>
          <w:bCs/>
          <w:color w:val="000000"/>
        </w:rPr>
        <w:lastRenderedPageBreak/>
        <w:t xml:space="preserve">PGW averred that </w:t>
      </w:r>
      <w:r w:rsidR="0043204D">
        <w:rPr>
          <w:bCs/>
          <w:color w:val="000000"/>
        </w:rPr>
        <w:t>Allen Graham is the customer of record at the service address and that he passed away on June 20, 2020</w:t>
      </w:r>
      <w:r w:rsidR="00E30649">
        <w:rPr>
          <w:bCs/>
          <w:color w:val="000000"/>
        </w:rPr>
        <w:t xml:space="preserve">, although PGW was not made aware of his passing at the time and gas service remained in his name at the service address.  </w:t>
      </w:r>
      <w:r w:rsidR="00404A8A">
        <w:rPr>
          <w:bCs/>
          <w:color w:val="000000"/>
        </w:rPr>
        <w:t xml:space="preserve">PGW stated it obtained documentation from Alfred Graham </w:t>
      </w:r>
      <w:r w:rsidR="00BF6F0C">
        <w:rPr>
          <w:bCs/>
          <w:color w:val="000000"/>
        </w:rPr>
        <w:t>indicating that Allen Graham is deceased as of June 20, 2020.  PGW added that Ms. Graham is occupying the property at the service address illegally and was lawfully evicted on November 19, 2021</w:t>
      </w:r>
      <w:r w:rsidR="004B7640">
        <w:rPr>
          <w:bCs/>
          <w:color w:val="000000"/>
        </w:rPr>
        <w:t>.  PGW added that the outstanding balance for gas service at the service address is $3,660.14</w:t>
      </w:r>
      <w:r w:rsidR="00041310">
        <w:rPr>
          <w:bCs/>
          <w:color w:val="000000"/>
        </w:rPr>
        <w:t xml:space="preserve">.  PGW argued that Ms. Graham lacks standing to bring this complaint and requested that the complaint be dismissed.  PGW attached multiple documents to </w:t>
      </w:r>
      <w:r w:rsidR="00971EBD">
        <w:rPr>
          <w:bCs/>
          <w:color w:val="000000"/>
        </w:rPr>
        <w:t xml:space="preserve">its </w:t>
      </w:r>
      <w:r w:rsidR="00676E04">
        <w:rPr>
          <w:bCs/>
          <w:color w:val="000000"/>
        </w:rPr>
        <w:t>answer and new matter in support of its arguments.</w:t>
      </w:r>
    </w:p>
    <w:p w14:paraId="00D90B30" w14:textId="77777777" w:rsidR="00676E04" w:rsidRDefault="00676E04" w:rsidP="00EA1957">
      <w:pPr>
        <w:pStyle w:val="Style"/>
        <w:widowControl/>
        <w:spacing w:line="360" w:lineRule="auto"/>
        <w:ind w:firstLine="1440"/>
        <w:rPr>
          <w:bCs/>
          <w:color w:val="000000"/>
        </w:rPr>
      </w:pPr>
    </w:p>
    <w:p w14:paraId="46CA53C1" w14:textId="0DD329AD" w:rsidR="00B67E51" w:rsidRDefault="00676E04" w:rsidP="00EA1957">
      <w:pPr>
        <w:pStyle w:val="Style"/>
        <w:widowControl/>
        <w:spacing w:line="360" w:lineRule="auto"/>
        <w:ind w:firstLine="1440"/>
        <w:rPr>
          <w:bCs/>
          <w:color w:val="000000"/>
        </w:rPr>
      </w:pPr>
      <w:r>
        <w:rPr>
          <w:bCs/>
          <w:color w:val="000000"/>
        </w:rPr>
        <w:t>Also on June 6, 2022, PGW</w:t>
      </w:r>
      <w:r w:rsidR="00806A71">
        <w:rPr>
          <w:bCs/>
          <w:color w:val="000000"/>
        </w:rPr>
        <w:t xml:space="preserve"> filed </w:t>
      </w:r>
      <w:r w:rsidR="00EA6553">
        <w:rPr>
          <w:bCs/>
          <w:color w:val="000000"/>
        </w:rPr>
        <w:t xml:space="preserve">a </w:t>
      </w:r>
      <w:r w:rsidR="00806A71">
        <w:rPr>
          <w:bCs/>
          <w:color w:val="000000"/>
        </w:rPr>
        <w:t xml:space="preserve">preliminary objection in response to Ms. Graham’s complaint.  In its preliminary objection, which </w:t>
      </w:r>
      <w:r w:rsidR="0090025F">
        <w:rPr>
          <w:bCs/>
          <w:color w:val="000000"/>
        </w:rPr>
        <w:t xml:space="preserve">was </w:t>
      </w:r>
      <w:r w:rsidR="00806A71">
        <w:rPr>
          <w:bCs/>
          <w:color w:val="000000"/>
        </w:rPr>
        <w:t xml:space="preserve">also accompanied by a notice to plead, </w:t>
      </w:r>
      <w:r w:rsidR="00A31FEF">
        <w:rPr>
          <w:bCs/>
          <w:color w:val="000000"/>
        </w:rPr>
        <w:t xml:space="preserve">PGW reiterated that </w:t>
      </w:r>
      <w:r w:rsidR="006317A1">
        <w:rPr>
          <w:bCs/>
          <w:color w:val="000000"/>
        </w:rPr>
        <w:t xml:space="preserve">Ms. Graham </w:t>
      </w:r>
      <w:r w:rsidR="00676E89">
        <w:rPr>
          <w:bCs/>
          <w:color w:val="000000"/>
        </w:rPr>
        <w:t>lacks</w:t>
      </w:r>
      <w:r w:rsidR="006317A1">
        <w:rPr>
          <w:bCs/>
          <w:color w:val="000000"/>
        </w:rPr>
        <w:t xml:space="preserve"> standing to bring her complaint. </w:t>
      </w:r>
      <w:r w:rsidR="00A1562D">
        <w:rPr>
          <w:bCs/>
          <w:color w:val="000000"/>
        </w:rPr>
        <w:t xml:space="preserve"> PGW provided extensive legal argument in its preliminary objection and noted that, in general, a complainant </w:t>
      </w:r>
      <w:r w:rsidR="0043353C">
        <w:rPr>
          <w:bCs/>
          <w:color w:val="000000"/>
        </w:rPr>
        <w:t>must be respondent’s customer to have standing to file a complaint about utility service</w:t>
      </w:r>
      <w:r w:rsidR="00544853">
        <w:rPr>
          <w:bCs/>
          <w:color w:val="000000"/>
        </w:rPr>
        <w:t xml:space="preserve"> and that a complainant who is not a customer of a utility generally does not have the requisite substantial, direct and immediate interest necessary to confer standing to bring the complaint about utility service.  </w:t>
      </w:r>
      <w:r w:rsidR="0078717C">
        <w:rPr>
          <w:bCs/>
          <w:color w:val="000000"/>
        </w:rPr>
        <w:t xml:space="preserve">PGW provided additional argument and concluded that </w:t>
      </w:r>
      <w:r w:rsidR="00B67E51">
        <w:rPr>
          <w:bCs/>
          <w:color w:val="000000"/>
        </w:rPr>
        <w:t>Ms. Graham’s complaint should be dismissed.</w:t>
      </w:r>
    </w:p>
    <w:p w14:paraId="32189480" w14:textId="7405AF90" w:rsidR="003F3141" w:rsidRDefault="003F3141" w:rsidP="00EA1957">
      <w:pPr>
        <w:pStyle w:val="Style"/>
        <w:widowControl/>
        <w:spacing w:line="360" w:lineRule="auto"/>
        <w:ind w:firstLine="1440"/>
        <w:rPr>
          <w:bCs/>
          <w:color w:val="000000"/>
        </w:rPr>
      </w:pPr>
    </w:p>
    <w:p w14:paraId="192D28F1" w14:textId="6C4D445E" w:rsidR="003F3141" w:rsidRDefault="003F3141" w:rsidP="00EA1957">
      <w:pPr>
        <w:pStyle w:val="Style"/>
        <w:widowControl/>
        <w:spacing w:line="360" w:lineRule="auto"/>
        <w:ind w:firstLine="1440"/>
        <w:rPr>
          <w:bCs/>
          <w:color w:val="000000"/>
        </w:rPr>
      </w:pPr>
      <w:r>
        <w:rPr>
          <w:bCs/>
          <w:color w:val="000000"/>
        </w:rPr>
        <w:t xml:space="preserve">On June 30, 2022, PGW filed a </w:t>
      </w:r>
      <w:r w:rsidR="0089434C">
        <w:rPr>
          <w:bCs/>
          <w:color w:val="000000"/>
        </w:rPr>
        <w:t xml:space="preserve">motion for judgment on the pleadings.  </w:t>
      </w:r>
      <w:r w:rsidR="000D499E">
        <w:rPr>
          <w:bCs/>
          <w:color w:val="000000"/>
        </w:rPr>
        <w:t xml:space="preserve">In its motion, which was also accompanied by a notice to plead, PGW </w:t>
      </w:r>
      <w:r w:rsidR="00D6565E">
        <w:rPr>
          <w:bCs/>
          <w:color w:val="000000"/>
        </w:rPr>
        <w:t xml:space="preserve">argued that, as there has been no reply filed in response to the new matter, </w:t>
      </w:r>
      <w:r w:rsidR="00F018A4">
        <w:rPr>
          <w:bCs/>
          <w:color w:val="000000"/>
        </w:rPr>
        <w:t>the Commission may find that Ms. Graham has admitted the allegations in the new matter.</w:t>
      </w:r>
      <w:r w:rsidR="00AF5354">
        <w:rPr>
          <w:bCs/>
          <w:color w:val="000000"/>
        </w:rPr>
        <w:t xml:space="preserve">  PGW added that it is entitled to judgment as a matter of law as the pleadings show that there is no genuine issue as to a material fact.  </w:t>
      </w:r>
      <w:r w:rsidR="00F65841">
        <w:rPr>
          <w:bCs/>
          <w:color w:val="000000"/>
        </w:rPr>
        <w:t xml:space="preserve">PGW reiterated its argument that Ms. Graham has been occupying the residence at the service address </w:t>
      </w:r>
      <w:r w:rsidR="00E113AC">
        <w:rPr>
          <w:bCs/>
          <w:color w:val="000000"/>
        </w:rPr>
        <w:t>illegally and has obtained service from PGW by means of fraud and deception.  PGW added that Ms. Graham has claimed that there are incorrect charges on h</w:t>
      </w:r>
      <w:r w:rsidR="004F08DE">
        <w:rPr>
          <w:bCs/>
          <w:color w:val="000000"/>
        </w:rPr>
        <w:t xml:space="preserve">er bill although she has never been billed for service at the service address.  </w:t>
      </w:r>
      <w:r w:rsidR="009161CB">
        <w:rPr>
          <w:bCs/>
          <w:color w:val="000000"/>
        </w:rPr>
        <w:t xml:space="preserve">PGW provided additional arguments and concluded that there is currently no customer of record listed at the service address.  PGW requested that </w:t>
      </w:r>
      <w:r w:rsidR="005A3F79">
        <w:rPr>
          <w:bCs/>
          <w:color w:val="000000"/>
        </w:rPr>
        <w:t xml:space="preserve">the Commission deem the averments in the new matter to be admitted, grant the motion for </w:t>
      </w:r>
      <w:r w:rsidR="005A3F79">
        <w:rPr>
          <w:bCs/>
          <w:color w:val="000000"/>
        </w:rPr>
        <w:lastRenderedPageBreak/>
        <w:t>judgment on the pleadings and dismiss the complaint.</w:t>
      </w:r>
      <w:r w:rsidR="007840DD">
        <w:rPr>
          <w:bCs/>
          <w:color w:val="000000"/>
        </w:rPr>
        <w:t xml:space="preserve">  PGW also asked for leave to terminate the service to the service address immediately.  </w:t>
      </w:r>
      <w:r w:rsidR="000E6D5A">
        <w:rPr>
          <w:bCs/>
          <w:color w:val="000000"/>
        </w:rPr>
        <w:t>PGW again attached multiple documents to its motion in support of its arguments.</w:t>
      </w:r>
    </w:p>
    <w:p w14:paraId="50AE9A61" w14:textId="556560EA" w:rsidR="007840DD" w:rsidRDefault="007840DD" w:rsidP="00EA1957">
      <w:pPr>
        <w:pStyle w:val="Style"/>
        <w:widowControl/>
        <w:spacing w:line="360" w:lineRule="auto"/>
        <w:ind w:firstLine="1440"/>
        <w:rPr>
          <w:bCs/>
          <w:color w:val="000000"/>
        </w:rPr>
      </w:pPr>
    </w:p>
    <w:p w14:paraId="2D43DD81" w14:textId="1BC47974" w:rsidR="007840DD" w:rsidRDefault="00082406" w:rsidP="00EA1957">
      <w:pPr>
        <w:pStyle w:val="Style"/>
        <w:widowControl/>
        <w:spacing w:line="360" w:lineRule="auto"/>
        <w:ind w:firstLine="1440"/>
        <w:rPr>
          <w:bCs/>
          <w:color w:val="000000"/>
        </w:rPr>
      </w:pPr>
      <w:r>
        <w:rPr>
          <w:bCs/>
          <w:color w:val="000000"/>
        </w:rPr>
        <w:t xml:space="preserve">Ms. Graham’s answer to </w:t>
      </w:r>
      <w:r w:rsidR="00742559">
        <w:rPr>
          <w:bCs/>
          <w:color w:val="000000"/>
        </w:rPr>
        <w:t>PGW’s</w:t>
      </w:r>
      <w:r>
        <w:rPr>
          <w:bCs/>
          <w:color w:val="000000"/>
        </w:rPr>
        <w:t xml:space="preserve"> </w:t>
      </w:r>
      <w:r w:rsidR="00B86A40">
        <w:rPr>
          <w:bCs/>
          <w:color w:val="000000"/>
        </w:rPr>
        <w:t xml:space="preserve">new matter was due </w:t>
      </w:r>
      <w:r w:rsidR="00014085">
        <w:rPr>
          <w:bCs/>
          <w:color w:val="000000"/>
        </w:rPr>
        <w:t>June 29, 2022</w:t>
      </w:r>
      <w:r w:rsidR="007C3525">
        <w:rPr>
          <w:bCs/>
          <w:color w:val="000000"/>
        </w:rPr>
        <w:t xml:space="preserve">.  Ms. Graham’s answer to </w:t>
      </w:r>
      <w:r w:rsidR="00742559">
        <w:rPr>
          <w:bCs/>
          <w:color w:val="000000"/>
        </w:rPr>
        <w:t>PGW’s</w:t>
      </w:r>
      <w:r w:rsidR="007C3525">
        <w:rPr>
          <w:bCs/>
          <w:color w:val="000000"/>
        </w:rPr>
        <w:t xml:space="preserve"> preliminary objection was due </w:t>
      </w:r>
      <w:r w:rsidR="00742559">
        <w:rPr>
          <w:bCs/>
          <w:color w:val="000000"/>
        </w:rPr>
        <w:t xml:space="preserve">June 20, 2022.  Ms. Graham’s answer to PGW’s motion for judgment on the pleadings was due </w:t>
      </w:r>
      <w:r w:rsidR="009809FE">
        <w:rPr>
          <w:bCs/>
          <w:color w:val="000000"/>
        </w:rPr>
        <w:t xml:space="preserve">July </w:t>
      </w:r>
      <w:r w:rsidR="00085F32">
        <w:rPr>
          <w:bCs/>
          <w:color w:val="000000"/>
        </w:rPr>
        <w:t xml:space="preserve">25, 2022.  Ms. Graham did not file an answer to any of PGW’s pleadings.  </w:t>
      </w:r>
    </w:p>
    <w:p w14:paraId="0D6DA1F0" w14:textId="77777777" w:rsidR="00B67E51" w:rsidRDefault="00B67E51" w:rsidP="00EA1957">
      <w:pPr>
        <w:pStyle w:val="Style"/>
        <w:widowControl/>
        <w:spacing w:line="360" w:lineRule="auto"/>
        <w:ind w:firstLine="1440"/>
        <w:rPr>
          <w:bCs/>
          <w:color w:val="000000"/>
        </w:rPr>
      </w:pPr>
    </w:p>
    <w:p w14:paraId="3969117E" w14:textId="77777777" w:rsidR="0009001B" w:rsidRDefault="0009001B" w:rsidP="003F3141">
      <w:pPr>
        <w:pStyle w:val="Style"/>
        <w:widowControl/>
        <w:spacing w:line="360" w:lineRule="auto"/>
        <w:ind w:firstLine="1440"/>
        <w:rPr>
          <w:bCs/>
          <w:color w:val="000000"/>
        </w:rPr>
      </w:pPr>
      <w:r>
        <w:rPr>
          <w:bCs/>
          <w:color w:val="000000"/>
        </w:rPr>
        <w:t>On August 2, 2022, a call-in telephonic hearing notice was issued setting an initial call-in telephonic hearing for this case for Tuesday, September 20, 2022, at 10:00 a.m., and assigning me as the presiding officer.</w:t>
      </w:r>
    </w:p>
    <w:p w14:paraId="7E422EAC" w14:textId="77777777" w:rsidR="0009001B" w:rsidRDefault="0009001B" w:rsidP="003F3141">
      <w:pPr>
        <w:pStyle w:val="Style"/>
        <w:widowControl/>
        <w:spacing w:line="360" w:lineRule="auto"/>
        <w:ind w:firstLine="1440"/>
        <w:rPr>
          <w:bCs/>
          <w:color w:val="000000"/>
        </w:rPr>
      </w:pPr>
    </w:p>
    <w:p w14:paraId="1B800982" w14:textId="77777777" w:rsidR="0015005A" w:rsidRDefault="002E7158" w:rsidP="003F3141">
      <w:pPr>
        <w:pStyle w:val="Style"/>
        <w:widowControl/>
        <w:spacing w:line="360" w:lineRule="auto"/>
        <w:ind w:firstLine="1440"/>
        <w:rPr>
          <w:bCs/>
          <w:color w:val="000000"/>
        </w:rPr>
      </w:pPr>
      <w:r>
        <w:rPr>
          <w:bCs/>
          <w:color w:val="000000"/>
        </w:rPr>
        <w:t>The preliminary objection and motion for judgment on the pleadings filed by PGW are ready for disposition</w:t>
      </w:r>
      <w:r w:rsidR="00B2380D">
        <w:rPr>
          <w:bCs/>
          <w:color w:val="000000"/>
        </w:rPr>
        <w:t xml:space="preserve">.  For the reasons discussed below, PGW’s preliminary objection and motion will be </w:t>
      </w:r>
      <w:proofErr w:type="gramStart"/>
      <w:r w:rsidR="00B2380D" w:rsidRPr="00366529">
        <w:rPr>
          <w:bCs/>
          <w:color w:val="000000"/>
        </w:rPr>
        <w:t>denied</w:t>
      </w:r>
      <w:proofErr w:type="gramEnd"/>
      <w:r w:rsidR="00B2380D">
        <w:rPr>
          <w:bCs/>
          <w:color w:val="000000"/>
        </w:rPr>
        <w:t xml:space="preserve"> and Ms. Graham’s complaint will be allowed to proceed to a hearing on September 20, 2022.</w:t>
      </w:r>
    </w:p>
    <w:p w14:paraId="14393EB3" w14:textId="77777777" w:rsidR="0015005A" w:rsidRDefault="0015005A" w:rsidP="0015005A">
      <w:pPr>
        <w:pStyle w:val="Style"/>
        <w:widowControl/>
        <w:spacing w:line="360" w:lineRule="auto"/>
        <w:rPr>
          <w:bCs/>
          <w:color w:val="000000"/>
        </w:rPr>
      </w:pPr>
    </w:p>
    <w:p w14:paraId="785EA284" w14:textId="77777777" w:rsidR="0015005A" w:rsidRDefault="0015005A" w:rsidP="0015005A">
      <w:pPr>
        <w:pStyle w:val="Style"/>
        <w:widowControl/>
        <w:spacing w:line="360" w:lineRule="auto"/>
        <w:rPr>
          <w:bCs/>
          <w:color w:val="000000"/>
        </w:rPr>
      </w:pPr>
      <w:r>
        <w:rPr>
          <w:b/>
          <w:color w:val="000000"/>
          <w:u w:val="single"/>
        </w:rPr>
        <w:t>Preliminary objection</w:t>
      </w:r>
    </w:p>
    <w:p w14:paraId="504F92B8" w14:textId="79D4FC4F" w:rsidR="00EA1957" w:rsidRPr="0015005A" w:rsidRDefault="00EA1957" w:rsidP="0015005A">
      <w:pPr>
        <w:pStyle w:val="Style"/>
        <w:widowControl/>
        <w:spacing w:line="360" w:lineRule="auto"/>
        <w:rPr>
          <w:bCs/>
          <w:color w:val="000000"/>
        </w:rPr>
      </w:pPr>
    </w:p>
    <w:p w14:paraId="17BC7171" w14:textId="77777777" w:rsidR="00EA1957" w:rsidRPr="0015005A" w:rsidRDefault="00EA1957" w:rsidP="00EA1957">
      <w:pPr>
        <w:widowControl w:val="0"/>
        <w:adjustRightInd w:val="0"/>
        <w:spacing w:after="0" w:line="360" w:lineRule="auto"/>
        <w:ind w:firstLine="1440"/>
        <w:rPr>
          <w:rFonts w:ascii="Times New Roman" w:hAnsi="Times New Roman" w:cs="Times New Roman"/>
          <w:color w:val="000000"/>
          <w:sz w:val="24"/>
          <w:szCs w:val="24"/>
        </w:rPr>
      </w:pPr>
      <w:r w:rsidRPr="0015005A">
        <w:rPr>
          <w:rFonts w:ascii="Times New Roman" w:hAnsi="Times New Roman" w:cs="Times New Roman"/>
          <w:color w:val="000000"/>
          <w:sz w:val="24"/>
          <w:szCs w:val="24"/>
        </w:rPr>
        <w:t xml:space="preserve">Section 5.101 of the Commission’s rules of administrative practice and procedure provides for the filing of preliminary objections.  52 </w:t>
      </w:r>
      <w:proofErr w:type="spellStart"/>
      <w:r w:rsidRPr="0015005A">
        <w:rPr>
          <w:rFonts w:ascii="Times New Roman" w:hAnsi="Times New Roman" w:cs="Times New Roman"/>
          <w:color w:val="000000"/>
          <w:sz w:val="24"/>
          <w:szCs w:val="24"/>
        </w:rPr>
        <w:t>Pa.Code</w:t>
      </w:r>
      <w:proofErr w:type="spellEnd"/>
      <w:r w:rsidRPr="0015005A">
        <w:rPr>
          <w:rFonts w:ascii="Times New Roman" w:hAnsi="Times New Roman" w:cs="Times New Roman"/>
          <w:color w:val="000000"/>
          <w:sz w:val="24"/>
          <w:szCs w:val="24"/>
        </w:rPr>
        <w:t xml:space="preserve"> </w:t>
      </w:r>
      <w:r w:rsidRPr="0015005A">
        <w:rPr>
          <w:rFonts w:ascii="Times New Roman" w:hAnsi="Times New Roman" w:cs="Times New Roman"/>
          <w:color w:val="000000"/>
          <w:w w:val="86"/>
          <w:sz w:val="24"/>
          <w:szCs w:val="24"/>
        </w:rPr>
        <w:t xml:space="preserve">§ </w:t>
      </w:r>
      <w:r w:rsidRPr="0015005A">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15005A">
        <w:rPr>
          <w:rFonts w:ascii="Times New Roman" w:hAnsi="Times New Roman" w:cs="Times New Roman"/>
          <w:iCs/>
          <w:color w:val="000000"/>
          <w:sz w:val="24"/>
          <w:szCs w:val="24"/>
          <w:u w:val="single"/>
        </w:rPr>
        <w:t>Equitable Small Transportation Intervenors v. Equitable Gas Company</w:t>
      </w:r>
      <w:r w:rsidRPr="0015005A">
        <w:rPr>
          <w:rFonts w:ascii="Times New Roman" w:hAnsi="Times New Roman" w:cs="Times New Roman"/>
          <w:i/>
          <w:iCs/>
          <w:color w:val="000000"/>
          <w:sz w:val="24"/>
          <w:szCs w:val="24"/>
        </w:rPr>
        <w:t xml:space="preserve">, </w:t>
      </w:r>
      <w:r w:rsidRPr="0015005A">
        <w:rPr>
          <w:rFonts w:ascii="Times New Roman" w:hAnsi="Times New Roman" w:cs="Times New Roman"/>
          <w:color w:val="000000"/>
          <w:sz w:val="24"/>
          <w:szCs w:val="24"/>
        </w:rPr>
        <w:t>1994 Pa PUC LEXIS 69, Docket No. C-00935435 (July 18, 1994) (</w:t>
      </w:r>
      <w:r w:rsidRPr="0015005A">
        <w:rPr>
          <w:rFonts w:ascii="Times New Roman" w:hAnsi="Times New Roman" w:cs="Times New Roman"/>
          <w:color w:val="000000"/>
          <w:sz w:val="24"/>
          <w:szCs w:val="24"/>
          <w:u w:val="single"/>
        </w:rPr>
        <w:t>Equitable</w:t>
      </w:r>
      <w:r w:rsidRPr="0015005A">
        <w:rPr>
          <w:rFonts w:ascii="Times New Roman" w:hAnsi="Times New Roman" w:cs="Times New Roman"/>
          <w:color w:val="000000"/>
          <w:sz w:val="24"/>
          <w:szCs w:val="24"/>
        </w:rPr>
        <w:t>).  Section 5.101(a) provides:</w:t>
      </w:r>
    </w:p>
    <w:p w14:paraId="3358B24D" w14:textId="77777777" w:rsidR="00EA1957" w:rsidRPr="0015005A" w:rsidRDefault="00EA1957" w:rsidP="00EA1957">
      <w:pPr>
        <w:widowControl w:val="0"/>
        <w:tabs>
          <w:tab w:val="left" w:pos="1469"/>
          <w:tab w:val="left" w:pos="2196"/>
        </w:tabs>
        <w:adjustRightInd w:val="0"/>
        <w:spacing w:after="0" w:line="360" w:lineRule="auto"/>
        <w:ind w:left="1440" w:right="1440"/>
        <w:rPr>
          <w:rFonts w:ascii="Times New Roman" w:hAnsi="Times New Roman" w:cs="Times New Roman"/>
          <w:color w:val="000000"/>
          <w:sz w:val="24"/>
          <w:szCs w:val="24"/>
        </w:rPr>
      </w:pPr>
    </w:p>
    <w:p w14:paraId="6CBCFAED" w14:textId="77777777" w:rsidR="00EA1957" w:rsidRPr="0015005A" w:rsidRDefault="00EA1957" w:rsidP="00EA1957">
      <w:pPr>
        <w:widowControl w:val="0"/>
        <w:tabs>
          <w:tab w:val="left" w:pos="1469"/>
          <w:tab w:val="left" w:pos="2196"/>
        </w:tabs>
        <w:adjustRightInd w:val="0"/>
        <w:spacing w:after="0" w:line="240" w:lineRule="auto"/>
        <w:ind w:left="1440"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 xml:space="preserve">(a) </w:t>
      </w:r>
      <w:r w:rsidRPr="0015005A">
        <w:rPr>
          <w:rFonts w:ascii="Times New Roman" w:hAnsi="Times New Roman" w:cs="Times New Roman"/>
          <w:color w:val="000000"/>
          <w:sz w:val="24"/>
          <w:szCs w:val="24"/>
        </w:rPr>
        <w:tab/>
      </w:r>
      <w:r w:rsidRPr="0015005A">
        <w:rPr>
          <w:rFonts w:ascii="Times New Roman" w:hAnsi="Times New Roman" w:cs="Times New Roman"/>
          <w:i/>
          <w:iCs/>
          <w:color w:val="000000"/>
          <w:sz w:val="24"/>
          <w:szCs w:val="24"/>
        </w:rPr>
        <w:t xml:space="preserve">Grounds.  </w:t>
      </w:r>
      <w:r w:rsidRPr="0015005A">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8F356D4" w14:textId="77777777" w:rsidR="00EA1957" w:rsidRPr="0015005A" w:rsidRDefault="00EA1957" w:rsidP="00EA1957">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1A56B8E4"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lastRenderedPageBreak/>
        <w:t>Lack of Commission jurisdiction or improper service of the pleading initiating the proceeding.</w:t>
      </w:r>
    </w:p>
    <w:p w14:paraId="0BFFCD4F" w14:textId="77777777" w:rsidR="00EA1957" w:rsidRPr="0015005A" w:rsidRDefault="00EA1957" w:rsidP="00EA1957">
      <w:pPr>
        <w:widowControl w:val="0"/>
        <w:tabs>
          <w:tab w:val="left" w:pos="2203"/>
          <w:tab w:val="left" w:pos="2909"/>
        </w:tabs>
        <w:adjustRightInd w:val="0"/>
        <w:spacing w:after="0" w:line="240" w:lineRule="auto"/>
        <w:ind w:left="2520" w:right="1440" w:hanging="360"/>
        <w:rPr>
          <w:rFonts w:ascii="Times New Roman" w:hAnsi="Times New Roman" w:cs="Times New Roman"/>
          <w:color w:val="000000"/>
          <w:sz w:val="24"/>
          <w:szCs w:val="24"/>
        </w:rPr>
      </w:pPr>
    </w:p>
    <w:p w14:paraId="6F74184D"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Failure of a pleading to conform to this chapter or the inclusion of scandalous or impertinent matter.</w:t>
      </w:r>
    </w:p>
    <w:p w14:paraId="53D5428C" w14:textId="77777777" w:rsidR="00EA1957" w:rsidRPr="0015005A" w:rsidRDefault="00EA1957" w:rsidP="00EA1957">
      <w:pPr>
        <w:spacing w:after="0" w:line="240" w:lineRule="auto"/>
        <w:ind w:left="720"/>
        <w:contextualSpacing/>
        <w:rPr>
          <w:rFonts w:ascii="Times New Roman" w:eastAsiaTheme="minorEastAsia" w:hAnsi="Times New Roman" w:cs="Times New Roman"/>
          <w:color w:val="000000"/>
          <w:sz w:val="24"/>
          <w:szCs w:val="24"/>
        </w:rPr>
      </w:pPr>
    </w:p>
    <w:p w14:paraId="3766E960"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Insufficient specificity of a pleading.</w:t>
      </w:r>
    </w:p>
    <w:p w14:paraId="0213CCAA" w14:textId="77777777" w:rsidR="00EA1957" w:rsidRPr="0015005A" w:rsidRDefault="00EA1957" w:rsidP="00EA1957">
      <w:pPr>
        <w:spacing w:after="0" w:line="240" w:lineRule="auto"/>
        <w:ind w:left="720"/>
        <w:contextualSpacing/>
        <w:rPr>
          <w:rFonts w:ascii="Times New Roman" w:eastAsiaTheme="minorEastAsia" w:hAnsi="Times New Roman" w:cs="Times New Roman"/>
          <w:color w:val="000000"/>
          <w:sz w:val="24"/>
          <w:szCs w:val="24"/>
        </w:rPr>
      </w:pPr>
    </w:p>
    <w:p w14:paraId="4C9F3F7E"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Legal insufficiency of a pleading.</w:t>
      </w:r>
    </w:p>
    <w:p w14:paraId="1453A549" w14:textId="77777777" w:rsidR="00EA1957" w:rsidRPr="0015005A" w:rsidRDefault="00EA1957" w:rsidP="00EA1957">
      <w:pPr>
        <w:spacing w:after="0" w:line="240" w:lineRule="auto"/>
        <w:ind w:left="720"/>
        <w:contextualSpacing/>
        <w:rPr>
          <w:rFonts w:ascii="Times New Roman" w:eastAsiaTheme="minorEastAsia" w:hAnsi="Times New Roman" w:cs="Times New Roman"/>
          <w:color w:val="000000"/>
          <w:sz w:val="24"/>
          <w:szCs w:val="24"/>
        </w:rPr>
      </w:pPr>
    </w:p>
    <w:p w14:paraId="67F8AA33"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Lack of capacity to sue, nonjoinder of a necessary party or misjoinder of a cause of action.</w:t>
      </w:r>
    </w:p>
    <w:p w14:paraId="49A647B6" w14:textId="77777777" w:rsidR="00EA1957" w:rsidRPr="0015005A" w:rsidRDefault="00EA1957" w:rsidP="00EA1957">
      <w:pPr>
        <w:spacing w:after="0" w:line="240" w:lineRule="auto"/>
        <w:ind w:left="720"/>
        <w:contextualSpacing/>
        <w:rPr>
          <w:rFonts w:ascii="Times New Roman" w:eastAsiaTheme="minorEastAsia" w:hAnsi="Times New Roman" w:cs="Times New Roman"/>
          <w:color w:val="000000"/>
          <w:sz w:val="24"/>
          <w:szCs w:val="24"/>
        </w:rPr>
      </w:pPr>
    </w:p>
    <w:p w14:paraId="0B19DB26"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Pendency of a prior proceeding or agreement for alternative dispute resolution.</w:t>
      </w:r>
    </w:p>
    <w:p w14:paraId="79F905F6" w14:textId="77777777" w:rsidR="00EA1957" w:rsidRPr="0015005A" w:rsidRDefault="00EA1957" w:rsidP="00EA1957">
      <w:pPr>
        <w:spacing w:after="0" w:line="240" w:lineRule="auto"/>
        <w:ind w:left="720"/>
        <w:contextualSpacing/>
        <w:rPr>
          <w:rFonts w:ascii="Times New Roman" w:hAnsi="Times New Roman" w:cs="Times New Roman"/>
          <w:color w:val="000000"/>
          <w:sz w:val="24"/>
          <w:szCs w:val="24"/>
        </w:rPr>
      </w:pPr>
    </w:p>
    <w:p w14:paraId="6166A14E" w14:textId="77777777" w:rsidR="00EA1957" w:rsidRPr="0015005A" w:rsidRDefault="00EA1957" w:rsidP="00EA1957">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Standing of a party to participate in a proceeding.</w:t>
      </w:r>
    </w:p>
    <w:p w14:paraId="39471FC1" w14:textId="77777777" w:rsidR="00EA1957" w:rsidRPr="0015005A" w:rsidRDefault="00EA1957" w:rsidP="00EA1957">
      <w:pPr>
        <w:widowControl w:val="0"/>
        <w:tabs>
          <w:tab w:val="left" w:pos="2203"/>
          <w:tab w:val="left" w:pos="2909"/>
        </w:tabs>
        <w:adjustRightInd w:val="0"/>
        <w:spacing w:after="0" w:line="360" w:lineRule="auto"/>
        <w:ind w:left="1440" w:right="1440"/>
        <w:rPr>
          <w:rFonts w:ascii="Times New Roman" w:hAnsi="Times New Roman" w:cs="Times New Roman"/>
          <w:color w:val="000000"/>
          <w:sz w:val="24"/>
          <w:szCs w:val="24"/>
        </w:rPr>
      </w:pPr>
    </w:p>
    <w:p w14:paraId="7899F099" w14:textId="77777777" w:rsidR="00EA1957" w:rsidRPr="0015005A" w:rsidRDefault="00EA1957" w:rsidP="00EA1957">
      <w:pPr>
        <w:widowControl w:val="0"/>
        <w:adjustRightInd w:val="0"/>
        <w:spacing w:after="0" w:line="360" w:lineRule="auto"/>
        <w:ind w:right="1440"/>
        <w:rPr>
          <w:rFonts w:ascii="Times New Roman" w:hAnsi="Times New Roman" w:cs="Times New Roman"/>
          <w:color w:val="000000"/>
          <w:sz w:val="24"/>
          <w:szCs w:val="24"/>
        </w:rPr>
      </w:pPr>
      <w:r w:rsidRPr="0015005A">
        <w:rPr>
          <w:rFonts w:ascii="Times New Roman" w:hAnsi="Times New Roman" w:cs="Times New Roman"/>
          <w:color w:val="000000"/>
          <w:sz w:val="24"/>
          <w:szCs w:val="24"/>
        </w:rPr>
        <w:t xml:space="preserve">52 </w:t>
      </w:r>
      <w:proofErr w:type="spellStart"/>
      <w:r w:rsidRPr="0015005A">
        <w:rPr>
          <w:rFonts w:ascii="Times New Roman" w:hAnsi="Times New Roman" w:cs="Times New Roman"/>
          <w:color w:val="000000"/>
          <w:sz w:val="24"/>
          <w:szCs w:val="24"/>
        </w:rPr>
        <w:t>Pa.Code</w:t>
      </w:r>
      <w:proofErr w:type="spellEnd"/>
      <w:r w:rsidRPr="0015005A">
        <w:rPr>
          <w:rFonts w:ascii="Times New Roman" w:hAnsi="Times New Roman" w:cs="Times New Roman"/>
          <w:color w:val="000000"/>
          <w:sz w:val="24"/>
          <w:szCs w:val="24"/>
        </w:rPr>
        <w:t xml:space="preserve"> § 5.101(a)(1)-(7).</w:t>
      </w:r>
    </w:p>
    <w:p w14:paraId="44B01458" w14:textId="77777777" w:rsidR="00EA1957" w:rsidRPr="0015005A" w:rsidRDefault="00EA1957" w:rsidP="00EA1957">
      <w:pPr>
        <w:widowControl w:val="0"/>
        <w:adjustRightInd w:val="0"/>
        <w:spacing w:after="0" w:line="360" w:lineRule="auto"/>
        <w:ind w:right="200"/>
        <w:rPr>
          <w:rFonts w:ascii="Times New Roman" w:hAnsi="Times New Roman" w:cs="Times New Roman"/>
          <w:color w:val="000000"/>
          <w:sz w:val="24"/>
          <w:szCs w:val="24"/>
        </w:rPr>
      </w:pPr>
    </w:p>
    <w:p w14:paraId="32094A10" w14:textId="2552B8DC" w:rsidR="00EA1957" w:rsidRPr="0015005A" w:rsidRDefault="00EA1957" w:rsidP="00EA1957">
      <w:pPr>
        <w:tabs>
          <w:tab w:val="left" w:pos="-720"/>
        </w:tabs>
        <w:suppressAutoHyphens/>
        <w:spacing w:after="0" w:line="360" w:lineRule="auto"/>
        <w:ind w:firstLine="1440"/>
        <w:rPr>
          <w:rFonts w:ascii="Times New Roman" w:hAnsi="Times New Roman" w:cs="Times New Roman"/>
          <w:sz w:val="24"/>
          <w:szCs w:val="24"/>
        </w:rPr>
      </w:pPr>
      <w:r w:rsidRPr="0015005A">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15005A">
        <w:rPr>
          <w:rFonts w:ascii="Times New Roman" w:hAnsi="Times New Roman" w:cs="Times New Roman"/>
          <w:sz w:val="24"/>
          <w:szCs w:val="24"/>
          <w:u w:val="single"/>
        </w:rPr>
        <w:t>County of Allegheny v. Commonwealth of Pennsylvania</w:t>
      </w:r>
      <w:r w:rsidRPr="0015005A">
        <w:rPr>
          <w:rFonts w:ascii="Times New Roman" w:hAnsi="Times New Roman" w:cs="Times New Roman"/>
          <w:sz w:val="24"/>
          <w:szCs w:val="24"/>
        </w:rPr>
        <w:t xml:space="preserve">, 490 A.2d 402 (Pa. 1985); </w:t>
      </w:r>
      <w:r w:rsidRPr="0015005A">
        <w:rPr>
          <w:rFonts w:ascii="Times New Roman" w:hAnsi="Times New Roman" w:cs="Times New Roman"/>
          <w:sz w:val="24"/>
          <w:szCs w:val="24"/>
          <w:u w:val="single"/>
        </w:rPr>
        <w:t>Commonwealth of Pennsylvania v. Bell Telephone Co. of Pa.</w:t>
      </w:r>
      <w:r w:rsidRPr="0015005A">
        <w:rPr>
          <w:rFonts w:ascii="Times New Roman" w:hAnsi="Times New Roman" w:cs="Times New Roman"/>
          <w:sz w:val="24"/>
          <w:szCs w:val="24"/>
        </w:rPr>
        <w:t xml:space="preserve">, 551 A.2d 602 (Pa. </w:t>
      </w:r>
      <w:proofErr w:type="spellStart"/>
      <w:r w:rsidRPr="0015005A">
        <w:rPr>
          <w:rFonts w:ascii="Times New Roman" w:hAnsi="Times New Roman" w:cs="Times New Roman"/>
          <w:sz w:val="24"/>
          <w:szCs w:val="24"/>
        </w:rPr>
        <w:t>Cmwlth</w:t>
      </w:r>
      <w:proofErr w:type="spellEnd"/>
      <w:r w:rsidRPr="0015005A">
        <w:rPr>
          <w:rFonts w:ascii="Times New Roman" w:hAnsi="Times New Roman" w:cs="Times New Roman"/>
          <w:sz w:val="24"/>
          <w:szCs w:val="24"/>
        </w:rPr>
        <w:t xml:space="preserve">. 1988).  The Commission must view the complaint in this case in the light most favorable to </w:t>
      </w:r>
      <w:r w:rsidR="0015005A">
        <w:rPr>
          <w:rFonts w:ascii="Times New Roman" w:hAnsi="Times New Roman" w:cs="Times New Roman"/>
          <w:sz w:val="24"/>
          <w:szCs w:val="24"/>
        </w:rPr>
        <w:t>Ms. Graham</w:t>
      </w:r>
      <w:r w:rsidRPr="0015005A">
        <w:rPr>
          <w:rFonts w:ascii="Times New Roman" w:hAnsi="Times New Roman" w:cs="Times New Roman"/>
          <w:sz w:val="24"/>
          <w:szCs w:val="24"/>
        </w:rPr>
        <w:t xml:space="preserve"> and should dismiss the complaint only if it appears that </w:t>
      </w:r>
      <w:r w:rsidR="0015005A">
        <w:rPr>
          <w:rFonts w:ascii="Times New Roman" w:hAnsi="Times New Roman" w:cs="Times New Roman"/>
          <w:sz w:val="24"/>
          <w:szCs w:val="24"/>
        </w:rPr>
        <w:t>Ms. Graham</w:t>
      </w:r>
      <w:r w:rsidRPr="0015005A">
        <w:rPr>
          <w:rFonts w:ascii="Times New Roman" w:hAnsi="Times New Roman" w:cs="Times New Roman"/>
          <w:sz w:val="24"/>
          <w:szCs w:val="24"/>
        </w:rPr>
        <w:t xml:space="preserve"> would not be entitled to relief under any circumstances as a matter of law.  </w:t>
      </w:r>
      <w:r w:rsidRPr="0015005A">
        <w:rPr>
          <w:rFonts w:ascii="Times New Roman" w:hAnsi="Times New Roman" w:cs="Times New Roman"/>
          <w:sz w:val="24"/>
          <w:szCs w:val="24"/>
          <w:u w:val="single"/>
        </w:rPr>
        <w:t>Equitable</w:t>
      </w:r>
      <w:r w:rsidRPr="0015005A">
        <w:rPr>
          <w:rFonts w:ascii="Times New Roman" w:hAnsi="Times New Roman" w:cs="Times New Roman"/>
          <w:sz w:val="24"/>
          <w:szCs w:val="24"/>
        </w:rPr>
        <w:t xml:space="preserve">, </w:t>
      </w:r>
      <w:r w:rsidRPr="0015005A">
        <w:rPr>
          <w:rFonts w:ascii="Times New Roman" w:hAnsi="Times New Roman" w:cs="Times New Roman"/>
          <w:i/>
          <w:sz w:val="24"/>
          <w:szCs w:val="24"/>
        </w:rPr>
        <w:t>supra</w:t>
      </w:r>
      <w:r w:rsidRPr="0015005A">
        <w:rPr>
          <w:rFonts w:ascii="Times New Roman" w:hAnsi="Times New Roman" w:cs="Times New Roman"/>
          <w:sz w:val="24"/>
          <w:szCs w:val="24"/>
        </w:rPr>
        <w:t xml:space="preserve">; </w:t>
      </w:r>
      <w:r w:rsidRPr="0015005A">
        <w:rPr>
          <w:rFonts w:ascii="Times New Roman" w:hAnsi="Times New Roman" w:cs="Times New Roman"/>
          <w:i/>
          <w:sz w:val="24"/>
          <w:szCs w:val="24"/>
        </w:rPr>
        <w:t>see also</w:t>
      </w:r>
      <w:r w:rsidRPr="0015005A">
        <w:rPr>
          <w:rFonts w:ascii="Times New Roman" w:hAnsi="Times New Roman" w:cs="Times New Roman"/>
          <w:sz w:val="24"/>
          <w:szCs w:val="24"/>
        </w:rPr>
        <w:t xml:space="preserve">, </w:t>
      </w:r>
      <w:r w:rsidRPr="0015005A">
        <w:rPr>
          <w:rFonts w:ascii="Times New Roman" w:hAnsi="Times New Roman" w:cs="Times New Roman"/>
          <w:sz w:val="24"/>
          <w:szCs w:val="24"/>
          <w:u w:val="single"/>
        </w:rPr>
        <w:t>Interstate Traveler Services, Inc. v. Commonwealth, Department of Environmental Resources</w:t>
      </w:r>
      <w:r w:rsidRPr="0015005A">
        <w:rPr>
          <w:rFonts w:ascii="Times New Roman" w:hAnsi="Times New Roman" w:cs="Times New Roman"/>
          <w:sz w:val="24"/>
          <w:szCs w:val="24"/>
        </w:rPr>
        <w:t>, 406 A.2d 1020 (Pa. 1979).</w:t>
      </w:r>
    </w:p>
    <w:p w14:paraId="296B1657" w14:textId="77777777" w:rsidR="00EA1957" w:rsidRPr="0015005A" w:rsidRDefault="00EA1957" w:rsidP="00EA1957">
      <w:pPr>
        <w:pStyle w:val="Style"/>
        <w:widowControl/>
        <w:spacing w:line="360" w:lineRule="auto"/>
        <w:ind w:firstLine="1440"/>
        <w:rPr>
          <w:bCs/>
          <w:color w:val="000000"/>
        </w:rPr>
      </w:pPr>
    </w:p>
    <w:p w14:paraId="69A80948" w14:textId="75EF1752" w:rsidR="0067614F" w:rsidRDefault="00EA1957" w:rsidP="00EA1957">
      <w:pPr>
        <w:pStyle w:val="Style"/>
        <w:widowControl/>
        <w:spacing w:line="360" w:lineRule="auto"/>
        <w:ind w:firstLine="1440"/>
        <w:rPr>
          <w:bCs/>
          <w:color w:val="000000"/>
        </w:rPr>
      </w:pPr>
      <w:r w:rsidRPr="0015005A">
        <w:rPr>
          <w:bCs/>
          <w:color w:val="000000"/>
        </w:rPr>
        <w:t xml:space="preserve">In this case, </w:t>
      </w:r>
      <w:r w:rsidR="0015005A">
        <w:rPr>
          <w:bCs/>
          <w:color w:val="000000"/>
        </w:rPr>
        <w:t xml:space="preserve">Ms. Graham </w:t>
      </w:r>
      <w:r w:rsidR="002B1628">
        <w:rPr>
          <w:bCs/>
          <w:color w:val="000000"/>
        </w:rPr>
        <w:t xml:space="preserve">made numerous averments in her complaint.  In addition to checking the boxes on the formal complaint form regarding </w:t>
      </w:r>
      <w:r w:rsidR="00FA567E">
        <w:rPr>
          <w:bCs/>
          <w:color w:val="000000"/>
        </w:rPr>
        <w:t xml:space="preserve">service termination, payment agreement and incorrect charges on the bill, Ms. Graham also averred that </w:t>
      </w:r>
      <w:r w:rsidR="004F279B">
        <w:rPr>
          <w:bCs/>
          <w:color w:val="000000"/>
        </w:rPr>
        <w:t xml:space="preserve">she was told </w:t>
      </w:r>
      <w:r w:rsidR="00BC30CF">
        <w:rPr>
          <w:bCs/>
          <w:color w:val="000000"/>
        </w:rPr>
        <w:t xml:space="preserve">by PGW </w:t>
      </w:r>
      <w:r w:rsidR="004F279B">
        <w:rPr>
          <w:bCs/>
          <w:color w:val="000000"/>
        </w:rPr>
        <w:t xml:space="preserve">to apply for new service to avoid shut </w:t>
      </w:r>
      <w:proofErr w:type="gramStart"/>
      <w:r w:rsidR="004F279B">
        <w:rPr>
          <w:bCs/>
          <w:color w:val="000000"/>
        </w:rPr>
        <w:t>off</w:t>
      </w:r>
      <w:proofErr w:type="gramEnd"/>
      <w:r w:rsidR="004F279B">
        <w:rPr>
          <w:bCs/>
          <w:color w:val="000000"/>
        </w:rPr>
        <w:t xml:space="preserve"> but her documents were rejected.  </w:t>
      </w:r>
      <w:r w:rsidR="00361285">
        <w:rPr>
          <w:bCs/>
          <w:color w:val="000000"/>
        </w:rPr>
        <w:t>Ms. Graham also averred that her meter is not reading properly</w:t>
      </w:r>
      <w:r w:rsidR="00F668A9">
        <w:rPr>
          <w:bCs/>
          <w:color w:val="000000"/>
        </w:rPr>
        <w:t>, that she has not been treated fairly by PGW</w:t>
      </w:r>
      <w:r w:rsidR="006051CC">
        <w:rPr>
          <w:bCs/>
          <w:color w:val="000000"/>
        </w:rPr>
        <w:t xml:space="preserve"> and she has not been receiving hard copies of bills</w:t>
      </w:r>
      <w:r w:rsidR="00090493">
        <w:rPr>
          <w:bCs/>
          <w:color w:val="000000"/>
        </w:rPr>
        <w:t>, among other things</w:t>
      </w:r>
      <w:r w:rsidR="006051CC">
        <w:rPr>
          <w:bCs/>
          <w:color w:val="000000"/>
        </w:rPr>
        <w:t xml:space="preserve">.  </w:t>
      </w:r>
      <w:r w:rsidR="00533F1E">
        <w:rPr>
          <w:bCs/>
          <w:color w:val="000000"/>
        </w:rPr>
        <w:t xml:space="preserve">When disposing of PGW’s preliminary objection, these averments must be accepted as true and viewed in the light most </w:t>
      </w:r>
      <w:r w:rsidR="00533F1E">
        <w:rPr>
          <w:bCs/>
          <w:color w:val="000000"/>
        </w:rPr>
        <w:lastRenderedPageBreak/>
        <w:t xml:space="preserve">favorable to </w:t>
      </w:r>
      <w:r w:rsidR="007B4BE9">
        <w:rPr>
          <w:bCs/>
          <w:color w:val="000000"/>
        </w:rPr>
        <w:t xml:space="preserve">Ms. Graham.  When doing so, it is not clear that Ms. Graham would not be entitled to any relief as a matter of law.  </w:t>
      </w:r>
    </w:p>
    <w:p w14:paraId="705E8EBC" w14:textId="7696BC80" w:rsidR="0067614F" w:rsidRDefault="0067614F" w:rsidP="00EA1957">
      <w:pPr>
        <w:pStyle w:val="Style"/>
        <w:widowControl/>
        <w:spacing w:line="360" w:lineRule="auto"/>
        <w:ind w:firstLine="1440"/>
        <w:rPr>
          <w:bCs/>
          <w:color w:val="000000"/>
        </w:rPr>
      </w:pPr>
    </w:p>
    <w:p w14:paraId="69BA8845" w14:textId="3281AF13" w:rsidR="001D13D1" w:rsidRPr="001D13D1" w:rsidRDefault="0067614F" w:rsidP="001D13D1">
      <w:pPr>
        <w:spacing w:after="0" w:line="360" w:lineRule="auto"/>
        <w:ind w:firstLine="1440"/>
        <w:rPr>
          <w:rFonts w:ascii="Times New Roman" w:hAnsi="Times New Roman" w:cs="Times New Roman"/>
          <w:sz w:val="24"/>
          <w:szCs w:val="24"/>
        </w:rPr>
      </w:pPr>
      <w:r w:rsidRPr="001D13D1">
        <w:rPr>
          <w:rFonts w:ascii="Times New Roman" w:hAnsi="Times New Roman" w:cs="Times New Roman"/>
          <w:bCs/>
          <w:color w:val="000000"/>
          <w:sz w:val="24"/>
          <w:szCs w:val="24"/>
        </w:rPr>
        <w:t xml:space="preserve">PGW’s preliminary objection is based on standing.  </w:t>
      </w:r>
      <w:proofErr w:type="gramStart"/>
      <w:r w:rsidR="001D13D1" w:rsidRPr="001D13D1">
        <w:rPr>
          <w:rFonts w:ascii="Times New Roman" w:hAnsi="Times New Roman" w:cs="Times New Roman"/>
          <w:sz w:val="24"/>
          <w:szCs w:val="24"/>
        </w:rPr>
        <w:t>In order to</w:t>
      </w:r>
      <w:proofErr w:type="gramEnd"/>
      <w:r w:rsidR="001D13D1" w:rsidRPr="001D13D1">
        <w:rPr>
          <w:rFonts w:ascii="Times New Roman" w:hAnsi="Times New Roman" w:cs="Times New Roman"/>
          <w:sz w:val="24"/>
          <w:szCs w:val="24"/>
        </w:rPr>
        <w:t xml:space="preserve"> bring a complaint before a tribunal, a complainant must first demonstrate that he has standing to maintain the action.  </w:t>
      </w:r>
      <w:r w:rsidR="001D13D1" w:rsidRPr="001D13D1">
        <w:rPr>
          <w:rFonts w:ascii="Times New Roman" w:hAnsi="Times New Roman" w:cs="Times New Roman"/>
          <w:sz w:val="24"/>
          <w:szCs w:val="24"/>
          <w:u w:val="single"/>
        </w:rPr>
        <w:t>Nye v. Erie Insurance Exchange</w:t>
      </w:r>
      <w:r w:rsidR="001D13D1" w:rsidRPr="001D13D1">
        <w:rPr>
          <w:rFonts w:ascii="Times New Roman" w:hAnsi="Times New Roman" w:cs="Times New Roman"/>
          <w:sz w:val="24"/>
          <w:szCs w:val="24"/>
        </w:rPr>
        <w:t xml:space="preserve">, 470 A.2d 98, 100 (Pa. 1983) (citation omitted).  Standing requires that a party have an interest in the matter that is substantial, </w:t>
      </w:r>
      <w:proofErr w:type="gramStart"/>
      <w:r w:rsidR="001D13D1" w:rsidRPr="001D13D1">
        <w:rPr>
          <w:rFonts w:ascii="Times New Roman" w:hAnsi="Times New Roman" w:cs="Times New Roman"/>
          <w:sz w:val="24"/>
          <w:szCs w:val="24"/>
        </w:rPr>
        <w:t>direct</w:t>
      </w:r>
      <w:proofErr w:type="gramEnd"/>
      <w:r w:rsidR="001D13D1" w:rsidRPr="001D13D1">
        <w:rPr>
          <w:rFonts w:ascii="Times New Roman" w:hAnsi="Times New Roman" w:cs="Times New Roman"/>
          <w:sz w:val="24"/>
          <w:szCs w:val="24"/>
        </w:rPr>
        <w:t xml:space="preserve"> and immediate.  </w:t>
      </w:r>
      <w:r w:rsidR="001D13D1" w:rsidRPr="001D13D1">
        <w:rPr>
          <w:rFonts w:ascii="Times New Roman" w:hAnsi="Times New Roman" w:cs="Times New Roman"/>
          <w:sz w:val="24"/>
          <w:szCs w:val="24"/>
          <w:u w:val="single"/>
        </w:rPr>
        <w:t>William Penn Parking Garage, Inc. et al. v. City of Pittsburgh</w:t>
      </w:r>
      <w:r w:rsidR="001D13D1" w:rsidRPr="001D13D1">
        <w:rPr>
          <w:rFonts w:ascii="Times New Roman" w:hAnsi="Times New Roman" w:cs="Times New Roman"/>
          <w:sz w:val="24"/>
          <w:szCs w:val="24"/>
        </w:rPr>
        <w:t>, 346 A.2d 269 (Pa. 1975).  These criteria are defined as follows:</w:t>
      </w:r>
    </w:p>
    <w:p w14:paraId="340A9D1A" w14:textId="77777777" w:rsidR="001D13D1" w:rsidRPr="002D25D9" w:rsidRDefault="001D13D1" w:rsidP="001D13D1">
      <w:pPr>
        <w:spacing w:after="0" w:line="360" w:lineRule="auto"/>
        <w:ind w:firstLine="1440"/>
        <w:rPr>
          <w:rFonts w:ascii="Times New Roman" w:hAnsi="Times New Roman" w:cs="Times New Roman"/>
          <w:sz w:val="24"/>
          <w:szCs w:val="24"/>
        </w:rPr>
      </w:pPr>
    </w:p>
    <w:p w14:paraId="1639C6B7" w14:textId="77777777" w:rsidR="001D13D1" w:rsidRPr="002D25D9" w:rsidRDefault="001D13D1" w:rsidP="001D13D1">
      <w:pPr>
        <w:spacing w:after="0" w:line="240" w:lineRule="auto"/>
        <w:ind w:left="1440" w:right="720"/>
        <w:rPr>
          <w:rFonts w:ascii="Times New Roman" w:hAnsi="Times New Roman" w:cs="Times New Roman"/>
          <w:sz w:val="24"/>
          <w:szCs w:val="24"/>
        </w:rPr>
      </w:pPr>
      <w:r w:rsidRPr="006224D7">
        <w:rPr>
          <w:rFonts w:ascii="Times New Roman" w:hAnsi="Times New Roman" w:cs="Times New Roman"/>
          <w:sz w:val="24"/>
          <w:szCs w:val="24"/>
        </w:rPr>
        <w:t>A 'substantial' interest is an interest in the outcome of the litigation which surpasses the common interest of all citizens in procuring obedience to the law. A 'direct' interest requires a showing that the matter complained of caused harm to the party's interest. An 'immediate' interest involves the nature of the causal connection between the action complained of and the injury to the party challenging it and is shown where the interest the party seeks to protect is within the zone of interests sought to be protected by the statute or the constitutional guarantee in question.</w:t>
      </w:r>
      <w:r w:rsidRPr="002D25D9">
        <w:rPr>
          <w:rFonts w:ascii="Times New Roman" w:hAnsi="Times New Roman" w:cs="Times New Roman"/>
          <w:sz w:val="24"/>
          <w:szCs w:val="24"/>
        </w:rPr>
        <w:br/>
      </w:r>
    </w:p>
    <w:p w14:paraId="41890CE8" w14:textId="5B741481" w:rsidR="001D13D1" w:rsidRPr="006E7775" w:rsidRDefault="001D13D1" w:rsidP="001D13D1">
      <w:pPr>
        <w:spacing w:after="0" w:line="360" w:lineRule="auto"/>
        <w:ind w:right="720"/>
        <w:rPr>
          <w:rFonts w:ascii="Times New Roman" w:hAnsi="Times New Roman" w:cs="Times New Roman"/>
          <w:sz w:val="24"/>
          <w:szCs w:val="24"/>
        </w:rPr>
      </w:pPr>
      <w:r w:rsidRPr="002D25D9">
        <w:rPr>
          <w:rFonts w:ascii="Times New Roman" w:hAnsi="Times New Roman" w:cs="Times New Roman"/>
          <w:sz w:val="24"/>
          <w:szCs w:val="24"/>
          <w:u w:val="single"/>
        </w:rPr>
        <w:t>George v. Pennsylvania PUC</w:t>
      </w:r>
      <w:r w:rsidRPr="002D25D9">
        <w:rPr>
          <w:rFonts w:ascii="Times New Roman" w:hAnsi="Times New Roman" w:cs="Times New Roman"/>
          <w:sz w:val="24"/>
          <w:szCs w:val="24"/>
        </w:rPr>
        <w:t xml:space="preserve">, 735 A.2d 1282, 1286 (Pa. </w:t>
      </w:r>
      <w:proofErr w:type="spellStart"/>
      <w:r w:rsidRPr="002D25D9">
        <w:rPr>
          <w:rFonts w:ascii="Times New Roman" w:hAnsi="Times New Roman" w:cs="Times New Roman"/>
          <w:sz w:val="24"/>
          <w:szCs w:val="24"/>
        </w:rPr>
        <w:t>Cmwlth</w:t>
      </w:r>
      <w:proofErr w:type="spellEnd"/>
      <w:r w:rsidRPr="002D25D9">
        <w:rPr>
          <w:rFonts w:ascii="Times New Roman" w:hAnsi="Times New Roman" w:cs="Times New Roman"/>
          <w:sz w:val="24"/>
          <w:szCs w:val="24"/>
        </w:rPr>
        <w:t xml:space="preserve">. 1999).  </w:t>
      </w:r>
      <w:r w:rsidRPr="00072B1C">
        <w:rPr>
          <w:rFonts w:ascii="Times New Roman" w:hAnsi="Times New Roman" w:cs="Times New Roman"/>
          <w:i/>
          <w:iCs/>
          <w:sz w:val="24"/>
          <w:szCs w:val="24"/>
        </w:rPr>
        <w:t>See also</w:t>
      </w:r>
      <w:r w:rsidR="00072B1C">
        <w:rPr>
          <w:rFonts w:ascii="Times New Roman" w:hAnsi="Times New Roman" w:cs="Times New Roman"/>
          <w:i/>
          <w:iCs/>
          <w:sz w:val="24"/>
          <w:szCs w:val="24"/>
        </w:rPr>
        <w:t>,</w:t>
      </w:r>
      <w:r w:rsidRPr="002D25D9">
        <w:rPr>
          <w:rFonts w:ascii="Times New Roman" w:hAnsi="Times New Roman" w:cs="Times New Roman"/>
          <w:sz w:val="24"/>
          <w:szCs w:val="24"/>
        </w:rPr>
        <w:t xml:space="preserve"> </w:t>
      </w:r>
      <w:r w:rsidRPr="002D25D9">
        <w:rPr>
          <w:rFonts w:ascii="Times New Roman" w:hAnsi="Times New Roman" w:cs="Times New Roman"/>
          <w:sz w:val="24"/>
          <w:szCs w:val="24"/>
          <w:u w:val="single"/>
        </w:rPr>
        <w:t xml:space="preserve">Pa. Bankers </w:t>
      </w:r>
      <w:proofErr w:type="spellStart"/>
      <w:r w:rsidRPr="002D25D9">
        <w:rPr>
          <w:rFonts w:ascii="Times New Roman" w:hAnsi="Times New Roman" w:cs="Times New Roman"/>
          <w:sz w:val="24"/>
          <w:szCs w:val="24"/>
          <w:u w:val="single"/>
        </w:rPr>
        <w:t>Ass’n</w:t>
      </w:r>
      <w:proofErr w:type="spellEnd"/>
      <w:r w:rsidRPr="002D25D9">
        <w:rPr>
          <w:rFonts w:ascii="Times New Roman" w:hAnsi="Times New Roman" w:cs="Times New Roman"/>
          <w:sz w:val="24"/>
          <w:szCs w:val="24"/>
          <w:u w:val="single"/>
        </w:rPr>
        <w:t xml:space="preserve"> v. Dept. of Banking &amp; Trumark Fin. Credit Union</w:t>
      </w:r>
      <w:r w:rsidRPr="002D25D9">
        <w:rPr>
          <w:rFonts w:ascii="Times New Roman" w:hAnsi="Times New Roman" w:cs="Times New Roman"/>
          <w:sz w:val="24"/>
          <w:szCs w:val="24"/>
        </w:rPr>
        <w:t xml:space="preserve">, 893 A.2d 864 (Pa. </w:t>
      </w:r>
      <w:proofErr w:type="spellStart"/>
      <w:r w:rsidRPr="002D25D9">
        <w:rPr>
          <w:rFonts w:ascii="Times New Roman" w:hAnsi="Times New Roman" w:cs="Times New Roman"/>
          <w:sz w:val="24"/>
          <w:szCs w:val="24"/>
        </w:rPr>
        <w:t>Cmwlth</w:t>
      </w:r>
      <w:proofErr w:type="spellEnd"/>
      <w:r w:rsidRPr="002D25D9">
        <w:rPr>
          <w:rFonts w:ascii="Times New Roman" w:hAnsi="Times New Roman" w:cs="Times New Roman"/>
          <w:sz w:val="24"/>
          <w:szCs w:val="24"/>
        </w:rPr>
        <w:t xml:space="preserve">. 2006); </w:t>
      </w:r>
      <w:r w:rsidRPr="002D25D9">
        <w:rPr>
          <w:rFonts w:ascii="Times New Roman" w:hAnsi="Times New Roman" w:cs="Times New Roman"/>
          <w:sz w:val="24"/>
          <w:szCs w:val="24"/>
          <w:u w:val="single"/>
        </w:rPr>
        <w:t>South Whitehall Township Police Service v. South Whitehall Township</w:t>
      </w:r>
      <w:r w:rsidRPr="002D25D9">
        <w:rPr>
          <w:rFonts w:ascii="Times New Roman" w:hAnsi="Times New Roman" w:cs="Times New Roman"/>
          <w:sz w:val="24"/>
          <w:szCs w:val="24"/>
        </w:rPr>
        <w:t xml:space="preserve">, 555 A.2d  793, 795 (Pa. 1989) (citations omitted); </w:t>
      </w:r>
      <w:r w:rsidRPr="002D25D9">
        <w:rPr>
          <w:rFonts w:ascii="Times New Roman" w:hAnsi="Times New Roman" w:cs="Times New Roman"/>
          <w:sz w:val="24"/>
          <w:szCs w:val="24"/>
          <w:u w:val="single"/>
        </w:rPr>
        <w:t>Bergdoll, et al. v. Kane, et al.</w:t>
      </w:r>
      <w:r w:rsidRPr="002D25D9">
        <w:rPr>
          <w:rFonts w:ascii="Times New Roman" w:hAnsi="Times New Roman" w:cs="Times New Roman"/>
          <w:sz w:val="24"/>
          <w:szCs w:val="24"/>
        </w:rPr>
        <w:t>, 731 A.2d 1261, 1268 (Pa. 1999)</w:t>
      </w:r>
      <w:r>
        <w:rPr>
          <w:rFonts w:ascii="Times New Roman" w:hAnsi="Times New Roman" w:cs="Times New Roman"/>
          <w:sz w:val="24"/>
          <w:szCs w:val="24"/>
        </w:rPr>
        <w:t xml:space="preserve">; </w:t>
      </w:r>
      <w:r>
        <w:rPr>
          <w:rFonts w:ascii="Times New Roman" w:hAnsi="Times New Roman" w:cs="Times New Roman"/>
          <w:sz w:val="24"/>
          <w:szCs w:val="24"/>
          <w:u w:val="single"/>
        </w:rPr>
        <w:t>Wroblewski v. Pennsylvania Elec. Co.</w:t>
      </w:r>
      <w:r>
        <w:rPr>
          <w:rFonts w:ascii="Times New Roman" w:hAnsi="Times New Roman" w:cs="Times New Roman"/>
          <w:sz w:val="24"/>
          <w:szCs w:val="24"/>
        </w:rPr>
        <w:t>, Docket No. C-2008-2058385 (Final Order entered May 15, 2009)</w:t>
      </w:r>
      <w:r w:rsidRPr="002D25D9">
        <w:rPr>
          <w:rFonts w:ascii="Times New Roman" w:hAnsi="Times New Roman" w:cs="Times New Roman"/>
          <w:sz w:val="24"/>
          <w:szCs w:val="24"/>
        </w:rPr>
        <w:t xml:space="preserve">.  The standard set by </w:t>
      </w:r>
      <w:r w:rsidRPr="002D25D9">
        <w:rPr>
          <w:rFonts w:ascii="Times New Roman" w:hAnsi="Times New Roman" w:cs="Times New Roman"/>
          <w:sz w:val="24"/>
          <w:szCs w:val="24"/>
          <w:u w:val="single"/>
        </w:rPr>
        <w:t>William Penn Parking Garage</w:t>
      </w:r>
      <w:r w:rsidRPr="002D25D9">
        <w:rPr>
          <w:rFonts w:ascii="Times New Roman" w:hAnsi="Times New Roman" w:cs="Times New Roman"/>
          <w:sz w:val="24"/>
          <w:szCs w:val="24"/>
        </w:rPr>
        <w:t xml:space="preserve"> is applicable to the Commission cases.  </w:t>
      </w:r>
      <w:r w:rsidRPr="00072B1C">
        <w:rPr>
          <w:rFonts w:ascii="Times New Roman" w:hAnsi="Times New Roman" w:cs="Times New Roman"/>
          <w:i/>
          <w:iCs/>
          <w:sz w:val="24"/>
          <w:szCs w:val="24"/>
        </w:rPr>
        <w:t>See,</w:t>
      </w:r>
      <w:r w:rsidRPr="002D25D9">
        <w:rPr>
          <w:rFonts w:ascii="Times New Roman" w:hAnsi="Times New Roman" w:cs="Times New Roman"/>
          <w:sz w:val="24"/>
          <w:szCs w:val="24"/>
        </w:rPr>
        <w:t xml:space="preserve"> </w:t>
      </w:r>
      <w:r w:rsidRPr="002D25D9">
        <w:rPr>
          <w:rFonts w:ascii="Times New Roman" w:hAnsi="Times New Roman" w:cs="Times New Roman"/>
          <w:sz w:val="24"/>
          <w:szCs w:val="24"/>
          <w:u w:val="single"/>
        </w:rPr>
        <w:t>Courier Express, Inc. v. F.L. Shaffer Company, Inc.</w:t>
      </w:r>
      <w:r w:rsidRPr="002D25D9">
        <w:rPr>
          <w:rFonts w:ascii="Times New Roman" w:hAnsi="Times New Roman" w:cs="Times New Roman"/>
          <w:sz w:val="24"/>
          <w:szCs w:val="24"/>
        </w:rPr>
        <w:t xml:space="preserve">, Order entered August 30, </w:t>
      </w:r>
      <w:proofErr w:type="gramStart"/>
      <w:r w:rsidRPr="002D25D9">
        <w:rPr>
          <w:rFonts w:ascii="Times New Roman" w:hAnsi="Times New Roman" w:cs="Times New Roman"/>
          <w:sz w:val="24"/>
          <w:szCs w:val="24"/>
        </w:rPr>
        <w:t>1990</w:t>
      </w:r>
      <w:proofErr w:type="gramEnd"/>
      <w:r w:rsidRPr="002D25D9">
        <w:rPr>
          <w:rFonts w:ascii="Times New Roman" w:hAnsi="Times New Roman" w:cs="Times New Roman"/>
          <w:sz w:val="24"/>
          <w:szCs w:val="24"/>
        </w:rPr>
        <w:t xml:space="preserve"> at Docket No. C-892462, petition for reconsideration denied December 3, 1990.  </w:t>
      </w:r>
    </w:p>
    <w:p w14:paraId="41C1037D" w14:textId="77777777" w:rsidR="001D13D1" w:rsidRDefault="001D13D1" w:rsidP="001D13D1">
      <w:pPr>
        <w:pStyle w:val="FootnoteText"/>
        <w:spacing w:line="360" w:lineRule="auto"/>
        <w:rPr>
          <w:rFonts w:ascii="Times New Roman" w:hAnsi="Times New Roman"/>
          <w:sz w:val="26"/>
          <w:szCs w:val="26"/>
        </w:rPr>
      </w:pPr>
    </w:p>
    <w:p w14:paraId="24AF98C5" w14:textId="77777777" w:rsidR="001D13D1" w:rsidRPr="005A1D16" w:rsidRDefault="001D13D1" w:rsidP="001D13D1">
      <w:pPr>
        <w:pStyle w:val="FootnoteText"/>
        <w:spacing w:line="360" w:lineRule="auto"/>
        <w:rPr>
          <w:rFonts w:ascii="Times New Roman" w:hAnsi="Times New Roman"/>
          <w:sz w:val="24"/>
          <w:szCs w:val="24"/>
        </w:rPr>
      </w:pPr>
      <w:r w:rsidRPr="005A1D16">
        <w:rPr>
          <w:rFonts w:ascii="Times New Roman" w:hAnsi="Times New Roman"/>
          <w:sz w:val="24"/>
          <w:szCs w:val="24"/>
        </w:rPr>
        <w:tab/>
      </w:r>
      <w:r w:rsidRPr="005A1D16">
        <w:rPr>
          <w:rFonts w:ascii="Times New Roman" w:hAnsi="Times New Roman"/>
          <w:sz w:val="24"/>
          <w:szCs w:val="24"/>
        </w:rPr>
        <w:tab/>
        <w:t>The Pennsylvania Supreme Court has addressed the issue of standing as follows:</w:t>
      </w:r>
    </w:p>
    <w:p w14:paraId="7F84868B" w14:textId="77777777" w:rsidR="001D13D1" w:rsidRPr="005A1D16" w:rsidRDefault="001D13D1" w:rsidP="001D13D1">
      <w:pPr>
        <w:pStyle w:val="FootnoteText"/>
        <w:ind w:left="1440" w:right="1440"/>
        <w:rPr>
          <w:rFonts w:ascii="Times New Roman" w:hAnsi="Times New Roman"/>
          <w:sz w:val="24"/>
          <w:szCs w:val="24"/>
        </w:rPr>
      </w:pPr>
      <w:r w:rsidRPr="005A1D16">
        <w:rPr>
          <w:rFonts w:ascii="Times New Roman" w:hAnsi="Times New Roman"/>
          <w:sz w:val="24"/>
          <w:szCs w:val="24"/>
        </w:rPr>
        <w:t xml:space="preserve">The requirement of standing under Pennsylvania is prudential in nature and stems from the principle that judicial intervention is appropriate only where the underlying controversy is real and concrete rather than abstract.  This principle is reflected in the doctrine’s core conception that a party who is not negatively affected by the matter he seeks to challenge is not aggrieved, and </w:t>
      </w:r>
      <w:r w:rsidRPr="005A1D16">
        <w:rPr>
          <w:rFonts w:ascii="Times New Roman" w:hAnsi="Times New Roman"/>
          <w:sz w:val="24"/>
          <w:szCs w:val="24"/>
        </w:rPr>
        <w:lastRenderedPageBreak/>
        <w:t>thus, has no right to obtain judicial resolution of his challenge . . . . A party has a substantial interest in the outcome of litigation if his interest exceeds that of all citizens in procuring obedience to the law.  The interest is direct if there is a causal connection between the asserted violation and the harm complained of; it is immediate if that causal connection is not remote or speculative.  Thus, the fact that a party may be affected in a general way does not alone give him standing.  (</w:t>
      </w:r>
      <w:proofErr w:type="gramStart"/>
      <w:r w:rsidRPr="005A1D16">
        <w:rPr>
          <w:rFonts w:ascii="Times New Roman" w:hAnsi="Times New Roman"/>
          <w:sz w:val="24"/>
          <w:szCs w:val="24"/>
        </w:rPr>
        <w:t>citations</w:t>
      </w:r>
      <w:proofErr w:type="gramEnd"/>
      <w:r w:rsidRPr="005A1D16">
        <w:rPr>
          <w:rFonts w:ascii="Times New Roman" w:hAnsi="Times New Roman"/>
          <w:sz w:val="24"/>
          <w:szCs w:val="24"/>
        </w:rPr>
        <w:t xml:space="preserve"> omitted.)  </w:t>
      </w:r>
    </w:p>
    <w:p w14:paraId="1A2A7F8E" w14:textId="77777777" w:rsidR="001D13D1" w:rsidRPr="005A1D16" w:rsidRDefault="001D13D1" w:rsidP="001D13D1">
      <w:pPr>
        <w:pStyle w:val="FootnoteText"/>
        <w:ind w:left="1440" w:right="1440"/>
        <w:rPr>
          <w:rFonts w:ascii="Times New Roman" w:hAnsi="Times New Roman"/>
          <w:sz w:val="24"/>
          <w:szCs w:val="24"/>
        </w:rPr>
      </w:pPr>
    </w:p>
    <w:p w14:paraId="6B6C2434" w14:textId="77777777" w:rsidR="001D13D1" w:rsidRPr="005A1D16" w:rsidRDefault="001D13D1" w:rsidP="001D13D1">
      <w:pPr>
        <w:pStyle w:val="FootnoteText"/>
        <w:spacing w:line="360" w:lineRule="auto"/>
        <w:rPr>
          <w:rFonts w:ascii="Times New Roman" w:hAnsi="Times New Roman"/>
          <w:i/>
          <w:sz w:val="24"/>
          <w:szCs w:val="24"/>
        </w:rPr>
      </w:pPr>
      <w:r w:rsidRPr="005A1D16">
        <w:rPr>
          <w:rFonts w:ascii="Times New Roman" w:hAnsi="Times New Roman"/>
          <w:iCs/>
          <w:sz w:val="24"/>
          <w:szCs w:val="24"/>
          <w:u w:val="single"/>
        </w:rPr>
        <w:t>City of Philadelphia and John F. Street v. Commonwealth of Pennsylvania et al</w:t>
      </w:r>
      <w:r w:rsidRPr="005A1D16">
        <w:rPr>
          <w:rFonts w:ascii="Times New Roman" w:hAnsi="Times New Roman"/>
          <w:i/>
          <w:sz w:val="24"/>
          <w:szCs w:val="24"/>
          <w:u w:val="single"/>
        </w:rPr>
        <w:t>.</w:t>
      </w:r>
      <w:r w:rsidRPr="005A1D16">
        <w:rPr>
          <w:rFonts w:ascii="Times New Roman" w:hAnsi="Times New Roman"/>
          <w:sz w:val="24"/>
          <w:szCs w:val="24"/>
        </w:rPr>
        <w:t>, 575 Pa. 542 at 559-560, 838 A.2d 566 at 577 (2003) (citations omitted.)</w:t>
      </w:r>
    </w:p>
    <w:p w14:paraId="2EB5D2E2" w14:textId="77777777" w:rsidR="001D13D1" w:rsidRPr="005A1D16" w:rsidRDefault="001D13D1" w:rsidP="001D13D1">
      <w:pPr>
        <w:pStyle w:val="Style"/>
        <w:widowControl/>
        <w:spacing w:line="360" w:lineRule="auto"/>
        <w:ind w:firstLine="1440"/>
        <w:rPr>
          <w:bCs/>
          <w:color w:val="000000"/>
        </w:rPr>
      </w:pPr>
    </w:p>
    <w:p w14:paraId="079C1549" w14:textId="35D13DAB" w:rsidR="00E367F7" w:rsidRDefault="001D13D1" w:rsidP="001D13D1">
      <w:pPr>
        <w:spacing w:after="0" w:line="360" w:lineRule="auto"/>
        <w:ind w:firstLine="1440"/>
        <w:rPr>
          <w:rFonts w:ascii="Times New Roman" w:hAnsi="Times New Roman" w:cs="Times New Roman"/>
          <w:bCs/>
          <w:color w:val="000000"/>
          <w:sz w:val="24"/>
          <w:szCs w:val="24"/>
        </w:rPr>
      </w:pPr>
      <w:r w:rsidRPr="005A1D16">
        <w:rPr>
          <w:rFonts w:ascii="Times New Roman" w:hAnsi="Times New Roman" w:cs="Times New Roman"/>
          <w:bCs/>
          <w:color w:val="000000"/>
          <w:sz w:val="24"/>
          <w:szCs w:val="24"/>
        </w:rPr>
        <w:t xml:space="preserve">In this case, </w:t>
      </w:r>
      <w:r w:rsidR="00944FF2" w:rsidRPr="005A1D16">
        <w:rPr>
          <w:rFonts w:ascii="Times New Roman" w:hAnsi="Times New Roman" w:cs="Times New Roman"/>
          <w:bCs/>
          <w:color w:val="000000"/>
          <w:sz w:val="24"/>
          <w:szCs w:val="24"/>
        </w:rPr>
        <w:t>PGW’s preli</w:t>
      </w:r>
      <w:r w:rsidR="00944FF2">
        <w:rPr>
          <w:rFonts w:ascii="Times New Roman" w:hAnsi="Times New Roman" w:cs="Times New Roman"/>
          <w:bCs/>
          <w:color w:val="000000"/>
          <w:sz w:val="24"/>
          <w:szCs w:val="24"/>
        </w:rPr>
        <w:t>minary objection</w:t>
      </w:r>
      <w:r w:rsidR="005D093C">
        <w:rPr>
          <w:rFonts w:ascii="Times New Roman" w:hAnsi="Times New Roman" w:cs="Times New Roman"/>
          <w:bCs/>
          <w:color w:val="000000"/>
          <w:sz w:val="24"/>
          <w:szCs w:val="24"/>
        </w:rPr>
        <w:t xml:space="preserve"> regarding standing</w:t>
      </w:r>
      <w:r w:rsidR="00944FF2">
        <w:rPr>
          <w:rFonts w:ascii="Times New Roman" w:hAnsi="Times New Roman" w:cs="Times New Roman"/>
          <w:bCs/>
          <w:color w:val="000000"/>
          <w:sz w:val="24"/>
          <w:szCs w:val="24"/>
        </w:rPr>
        <w:t xml:space="preserve"> must be denied because, when accepting as true all well pleaded materials facts in Ms. Graham’s </w:t>
      </w:r>
      <w:r w:rsidR="008C2EB3">
        <w:rPr>
          <w:rFonts w:ascii="Times New Roman" w:hAnsi="Times New Roman" w:cs="Times New Roman"/>
          <w:bCs/>
          <w:color w:val="000000"/>
          <w:sz w:val="24"/>
          <w:szCs w:val="24"/>
        </w:rPr>
        <w:t xml:space="preserve">complaint, and all reasonable inferences from those facts, </w:t>
      </w:r>
      <w:proofErr w:type="gramStart"/>
      <w:r w:rsidR="008C2EB3">
        <w:rPr>
          <w:rFonts w:ascii="Times New Roman" w:hAnsi="Times New Roman" w:cs="Times New Roman"/>
          <w:bCs/>
          <w:color w:val="000000"/>
          <w:sz w:val="24"/>
          <w:szCs w:val="24"/>
        </w:rPr>
        <w:t xml:space="preserve">it is clear that </w:t>
      </w:r>
      <w:r w:rsidRPr="00A0048B">
        <w:rPr>
          <w:rFonts w:ascii="Times New Roman" w:hAnsi="Times New Roman" w:cs="Times New Roman"/>
          <w:bCs/>
          <w:color w:val="000000"/>
          <w:sz w:val="24"/>
          <w:szCs w:val="24"/>
        </w:rPr>
        <w:t>Ms. Graham</w:t>
      </w:r>
      <w:proofErr w:type="gramEnd"/>
      <w:r w:rsidRPr="00A0048B">
        <w:rPr>
          <w:rFonts w:ascii="Times New Roman" w:hAnsi="Times New Roman" w:cs="Times New Roman"/>
          <w:bCs/>
          <w:color w:val="000000"/>
          <w:sz w:val="24"/>
          <w:szCs w:val="24"/>
        </w:rPr>
        <w:t xml:space="preserve"> has an interest that is direct, substantial and immediate</w:t>
      </w:r>
      <w:r w:rsidR="00E367F7">
        <w:rPr>
          <w:rFonts w:ascii="Times New Roman" w:hAnsi="Times New Roman" w:cs="Times New Roman"/>
          <w:bCs/>
          <w:color w:val="000000"/>
          <w:sz w:val="24"/>
          <w:szCs w:val="24"/>
        </w:rPr>
        <w:t xml:space="preserve"> and may be entitled to relief as a matter of law.</w:t>
      </w:r>
    </w:p>
    <w:p w14:paraId="53A44C58" w14:textId="77777777" w:rsidR="00E367F7" w:rsidRDefault="00E367F7" w:rsidP="001D13D1">
      <w:pPr>
        <w:spacing w:after="0" w:line="360" w:lineRule="auto"/>
        <w:ind w:firstLine="1440"/>
        <w:rPr>
          <w:rFonts w:ascii="Times New Roman" w:hAnsi="Times New Roman" w:cs="Times New Roman"/>
          <w:bCs/>
          <w:color w:val="000000"/>
          <w:sz w:val="24"/>
          <w:szCs w:val="24"/>
        </w:rPr>
      </w:pPr>
    </w:p>
    <w:p w14:paraId="1067E279" w14:textId="359423A9" w:rsidR="001D13D1" w:rsidRDefault="001D13D1" w:rsidP="001D13D1">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Ms. Graham’s interest is substantial because her interest is not a common interest of all citizens.  Rather, her interest pertains to her ability to obtain utility service from PGW</w:t>
      </w:r>
      <w:r w:rsidR="00FF6BC4">
        <w:rPr>
          <w:rFonts w:ascii="Times New Roman" w:hAnsi="Times New Roman" w:cs="Times New Roman"/>
          <w:bCs/>
          <w:color w:val="000000"/>
          <w:sz w:val="24"/>
          <w:szCs w:val="24"/>
        </w:rPr>
        <w:t xml:space="preserve"> as she averred she is attempting to do</w:t>
      </w:r>
      <w:r>
        <w:rPr>
          <w:rFonts w:ascii="Times New Roman" w:hAnsi="Times New Roman" w:cs="Times New Roman"/>
          <w:bCs/>
          <w:color w:val="000000"/>
          <w:sz w:val="24"/>
          <w:szCs w:val="24"/>
        </w:rPr>
        <w:t xml:space="preserve">.  Ms. Graham’s interest </w:t>
      </w:r>
      <w:r w:rsidR="00687455">
        <w:rPr>
          <w:rFonts w:ascii="Times New Roman" w:hAnsi="Times New Roman" w:cs="Times New Roman"/>
          <w:bCs/>
          <w:color w:val="000000"/>
          <w:sz w:val="24"/>
          <w:szCs w:val="24"/>
        </w:rPr>
        <w:t xml:space="preserve">also </w:t>
      </w:r>
      <w:r>
        <w:rPr>
          <w:rFonts w:ascii="Times New Roman" w:hAnsi="Times New Roman" w:cs="Times New Roman"/>
          <w:bCs/>
          <w:color w:val="000000"/>
          <w:sz w:val="24"/>
          <w:szCs w:val="24"/>
        </w:rPr>
        <w:t>involve</w:t>
      </w:r>
      <w:r w:rsidR="00645BA6">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her being billed properly for service at the service address, including making sure that her meter is reading correctly and that she is not being over charged.  </w:t>
      </w:r>
      <w:r w:rsidR="00320D59">
        <w:rPr>
          <w:rFonts w:ascii="Times New Roman" w:hAnsi="Times New Roman" w:cs="Times New Roman"/>
          <w:bCs/>
          <w:color w:val="000000"/>
          <w:sz w:val="24"/>
          <w:szCs w:val="24"/>
        </w:rPr>
        <w:t xml:space="preserve">This interest </w:t>
      </w:r>
      <w:r>
        <w:rPr>
          <w:rFonts w:ascii="Times New Roman" w:hAnsi="Times New Roman" w:cs="Times New Roman"/>
          <w:bCs/>
          <w:color w:val="000000"/>
          <w:sz w:val="24"/>
          <w:szCs w:val="24"/>
        </w:rPr>
        <w:t>pertain</w:t>
      </w:r>
      <w:r w:rsidR="00645BA6">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specifically to Ms. Graham and </w:t>
      </w:r>
      <w:r w:rsidR="00202E99">
        <w:rPr>
          <w:rFonts w:ascii="Times New Roman" w:hAnsi="Times New Roman" w:cs="Times New Roman"/>
          <w:bCs/>
          <w:color w:val="000000"/>
          <w:sz w:val="24"/>
          <w:szCs w:val="24"/>
        </w:rPr>
        <w:t xml:space="preserve">is </w:t>
      </w:r>
      <w:r>
        <w:rPr>
          <w:rFonts w:ascii="Times New Roman" w:hAnsi="Times New Roman" w:cs="Times New Roman"/>
          <w:bCs/>
          <w:color w:val="000000"/>
          <w:sz w:val="24"/>
          <w:szCs w:val="24"/>
        </w:rPr>
        <w:t xml:space="preserve">not </w:t>
      </w:r>
      <w:r w:rsidR="00202E99">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common interest</w:t>
      </w:r>
      <w:r w:rsidR="00202E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of citizens.  Ms. Graham’s interest is also direct because, in part, she averred that there is a lien on the property to which she claims she is a beneficiary and Trustee and because she claims that she has not been treated fairly by PGW.  Ms. Graham has also averred infringement of her rights.  These are all interests that </w:t>
      </w:r>
      <w:r w:rsidR="00C94370">
        <w:rPr>
          <w:rFonts w:ascii="Times New Roman" w:hAnsi="Times New Roman" w:cs="Times New Roman"/>
          <w:bCs/>
          <w:color w:val="000000"/>
          <w:sz w:val="24"/>
          <w:szCs w:val="24"/>
        </w:rPr>
        <w:t>must be accepted as true</w:t>
      </w:r>
      <w:r w:rsidR="0096071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are direct for Ms. Graham and satisfy this prong of standing.  Finally, Ms. Graham’s interest</w:t>
      </w:r>
      <w:r w:rsidR="00202E99">
        <w:rPr>
          <w:rFonts w:ascii="Times New Roman" w:hAnsi="Times New Roman" w:cs="Times New Roman"/>
          <w:bCs/>
          <w:color w:val="000000"/>
          <w:sz w:val="24"/>
          <w:szCs w:val="24"/>
        </w:rPr>
        <w:t xml:space="preserve"> is </w:t>
      </w:r>
      <w:r>
        <w:rPr>
          <w:rFonts w:ascii="Times New Roman" w:hAnsi="Times New Roman" w:cs="Times New Roman"/>
          <w:bCs/>
          <w:color w:val="000000"/>
          <w:sz w:val="24"/>
          <w:szCs w:val="24"/>
        </w:rPr>
        <w:t>also immediate because there is a causal connection between the matters of which Ms. Graham complains and PGW, the party challenging it</w:t>
      </w:r>
      <w:r w:rsidR="00202E99">
        <w:rPr>
          <w:rFonts w:ascii="Times New Roman" w:hAnsi="Times New Roman" w:cs="Times New Roman"/>
          <w:bCs/>
          <w:color w:val="000000"/>
          <w:sz w:val="24"/>
          <w:szCs w:val="24"/>
        </w:rPr>
        <w:t>,</w:t>
      </w:r>
      <w:r w:rsidR="00740021">
        <w:rPr>
          <w:rFonts w:ascii="Times New Roman" w:hAnsi="Times New Roman" w:cs="Times New Roman"/>
          <w:bCs/>
          <w:color w:val="000000"/>
          <w:sz w:val="24"/>
          <w:szCs w:val="24"/>
        </w:rPr>
        <w:t xml:space="preserve"> because Ms. Graham is attempting to obtain service from PGW.</w:t>
      </w:r>
      <w:r>
        <w:rPr>
          <w:rFonts w:ascii="Times New Roman" w:hAnsi="Times New Roman" w:cs="Times New Roman"/>
          <w:bCs/>
          <w:color w:val="000000"/>
          <w:sz w:val="24"/>
          <w:szCs w:val="24"/>
        </w:rPr>
        <w:t xml:space="preserve">  Clearly,</w:t>
      </w:r>
      <w:r w:rsidR="00960717">
        <w:rPr>
          <w:rFonts w:ascii="Times New Roman" w:hAnsi="Times New Roman" w:cs="Times New Roman"/>
          <w:bCs/>
          <w:color w:val="000000"/>
          <w:sz w:val="24"/>
          <w:szCs w:val="24"/>
        </w:rPr>
        <w:t xml:space="preserve"> when accepting as true the averments in the complaint,</w:t>
      </w:r>
      <w:r>
        <w:rPr>
          <w:rFonts w:ascii="Times New Roman" w:hAnsi="Times New Roman" w:cs="Times New Roman"/>
          <w:bCs/>
          <w:color w:val="000000"/>
          <w:sz w:val="24"/>
          <w:szCs w:val="24"/>
        </w:rPr>
        <w:t xml:space="preserve"> Ms. Graham is in the “zone of interest” as it pertains to the matter of which she complains.</w:t>
      </w:r>
    </w:p>
    <w:p w14:paraId="7C680289" w14:textId="77777777" w:rsidR="001D13D1" w:rsidRDefault="001D13D1" w:rsidP="001D13D1">
      <w:pPr>
        <w:spacing w:after="0" w:line="360" w:lineRule="auto"/>
        <w:ind w:firstLine="1440"/>
        <w:rPr>
          <w:rFonts w:ascii="Times New Roman" w:hAnsi="Times New Roman" w:cs="Times New Roman"/>
          <w:bCs/>
          <w:color w:val="000000"/>
          <w:sz w:val="24"/>
          <w:szCs w:val="24"/>
        </w:rPr>
      </w:pPr>
    </w:p>
    <w:p w14:paraId="3D364605" w14:textId="76CC4E6E" w:rsidR="001D13D1" w:rsidRPr="0001605A" w:rsidRDefault="001D13D1" w:rsidP="001D13D1">
      <w:pPr>
        <w:spacing w:after="0" w:line="360" w:lineRule="auto"/>
        <w:ind w:firstLine="1440"/>
        <w:rPr>
          <w:rFonts w:ascii="Times New Roman" w:hAnsi="Times New Roman" w:cs="Times New Roman"/>
          <w:bCs/>
          <w:color w:val="000000"/>
          <w:sz w:val="24"/>
          <w:szCs w:val="24"/>
        </w:rPr>
      </w:pPr>
      <w:r>
        <w:rPr>
          <w:rFonts w:ascii="Times New Roman" w:hAnsi="Times New Roman"/>
          <w:sz w:val="24"/>
          <w:szCs w:val="24"/>
        </w:rPr>
        <w:t xml:space="preserve">The </w:t>
      </w:r>
      <w:r w:rsidRPr="0001605A">
        <w:rPr>
          <w:rFonts w:ascii="Times New Roman" w:hAnsi="Times New Roman"/>
          <w:sz w:val="24"/>
          <w:szCs w:val="24"/>
        </w:rPr>
        <w:t xml:space="preserve">controversy </w:t>
      </w:r>
      <w:r>
        <w:rPr>
          <w:rFonts w:ascii="Times New Roman" w:hAnsi="Times New Roman"/>
          <w:sz w:val="24"/>
          <w:szCs w:val="24"/>
        </w:rPr>
        <w:t xml:space="preserve">of which Ms. Graham complains in her complaint </w:t>
      </w:r>
      <w:r w:rsidRPr="0001605A">
        <w:rPr>
          <w:rFonts w:ascii="Times New Roman" w:hAnsi="Times New Roman"/>
          <w:sz w:val="24"/>
          <w:szCs w:val="24"/>
        </w:rPr>
        <w:t>is real and concrete rather than abstract</w:t>
      </w:r>
      <w:r>
        <w:rPr>
          <w:rFonts w:ascii="Times New Roman" w:hAnsi="Times New Roman"/>
          <w:sz w:val="24"/>
          <w:szCs w:val="24"/>
        </w:rPr>
        <w:t xml:space="preserve"> and Ms. Graham is certainly </w:t>
      </w:r>
      <w:r w:rsidRPr="00544628">
        <w:rPr>
          <w:rFonts w:ascii="Times New Roman" w:hAnsi="Times New Roman"/>
          <w:sz w:val="24"/>
          <w:szCs w:val="24"/>
        </w:rPr>
        <w:t>negatively affected</w:t>
      </w:r>
      <w:r w:rsidRPr="0001605A">
        <w:rPr>
          <w:rFonts w:ascii="Times New Roman" w:hAnsi="Times New Roman"/>
          <w:sz w:val="24"/>
          <w:szCs w:val="24"/>
        </w:rPr>
        <w:t xml:space="preserve"> by the matter </w:t>
      </w:r>
      <w:r>
        <w:rPr>
          <w:rFonts w:ascii="Times New Roman" w:hAnsi="Times New Roman"/>
          <w:sz w:val="24"/>
          <w:szCs w:val="24"/>
        </w:rPr>
        <w:t>s</w:t>
      </w:r>
      <w:r w:rsidRPr="0001605A">
        <w:rPr>
          <w:rFonts w:ascii="Times New Roman" w:hAnsi="Times New Roman"/>
          <w:sz w:val="24"/>
          <w:szCs w:val="24"/>
        </w:rPr>
        <w:t xml:space="preserve">he </w:t>
      </w:r>
      <w:r w:rsidRPr="0001605A">
        <w:rPr>
          <w:rFonts w:ascii="Times New Roman" w:hAnsi="Times New Roman"/>
          <w:sz w:val="24"/>
          <w:szCs w:val="24"/>
        </w:rPr>
        <w:lastRenderedPageBreak/>
        <w:t>seeks to challenge</w:t>
      </w:r>
      <w:r>
        <w:rPr>
          <w:rFonts w:ascii="Times New Roman" w:hAnsi="Times New Roman"/>
          <w:sz w:val="24"/>
          <w:szCs w:val="24"/>
        </w:rPr>
        <w:t xml:space="preserve">.  </w:t>
      </w:r>
      <w:r w:rsidR="00697C77">
        <w:rPr>
          <w:rFonts w:ascii="Times New Roman" w:hAnsi="Times New Roman"/>
          <w:sz w:val="24"/>
          <w:szCs w:val="24"/>
        </w:rPr>
        <w:t>Ms. Graham’s interest</w:t>
      </w:r>
      <w:r w:rsidR="004842C8">
        <w:rPr>
          <w:rFonts w:ascii="Times New Roman" w:hAnsi="Times New Roman"/>
          <w:sz w:val="24"/>
          <w:szCs w:val="24"/>
        </w:rPr>
        <w:t xml:space="preserve"> is</w:t>
      </w:r>
      <w:r w:rsidR="00697C77">
        <w:rPr>
          <w:rFonts w:ascii="Times New Roman" w:hAnsi="Times New Roman"/>
          <w:sz w:val="24"/>
          <w:szCs w:val="24"/>
        </w:rPr>
        <w:t xml:space="preserve"> substantial, </w:t>
      </w:r>
      <w:proofErr w:type="gramStart"/>
      <w:r w:rsidR="00697C77">
        <w:rPr>
          <w:rFonts w:ascii="Times New Roman" w:hAnsi="Times New Roman"/>
          <w:sz w:val="24"/>
          <w:szCs w:val="24"/>
        </w:rPr>
        <w:t>direct</w:t>
      </w:r>
      <w:proofErr w:type="gramEnd"/>
      <w:r w:rsidR="00697C77">
        <w:rPr>
          <w:rFonts w:ascii="Times New Roman" w:hAnsi="Times New Roman"/>
          <w:sz w:val="24"/>
          <w:szCs w:val="24"/>
        </w:rPr>
        <w:t xml:space="preserve"> and immediate.  </w:t>
      </w:r>
      <w:r>
        <w:rPr>
          <w:rFonts w:ascii="Times New Roman" w:hAnsi="Times New Roman"/>
          <w:sz w:val="24"/>
          <w:szCs w:val="24"/>
        </w:rPr>
        <w:t>As a result, Ms. Graham has standing.</w:t>
      </w:r>
    </w:p>
    <w:p w14:paraId="6628F838" w14:textId="77777777" w:rsidR="001D13D1" w:rsidRDefault="001D13D1" w:rsidP="001D13D1">
      <w:pPr>
        <w:spacing w:after="0" w:line="360" w:lineRule="auto"/>
        <w:ind w:firstLine="1440"/>
        <w:rPr>
          <w:rFonts w:ascii="Times New Roman" w:hAnsi="Times New Roman" w:cs="Times New Roman"/>
          <w:bCs/>
          <w:color w:val="000000"/>
          <w:sz w:val="24"/>
          <w:szCs w:val="24"/>
        </w:rPr>
      </w:pPr>
    </w:p>
    <w:p w14:paraId="4F6C7D34" w14:textId="77777777" w:rsidR="00F778E6" w:rsidRDefault="001D13D1" w:rsidP="00BC7685">
      <w:pPr>
        <w:pStyle w:val="Style"/>
        <w:widowControl/>
        <w:spacing w:line="360" w:lineRule="auto"/>
        <w:ind w:firstLine="1440"/>
        <w:rPr>
          <w:bCs/>
          <w:color w:val="000000"/>
        </w:rPr>
      </w:pPr>
      <w:r>
        <w:rPr>
          <w:bCs/>
          <w:color w:val="000000"/>
        </w:rPr>
        <w:t xml:space="preserve">It is further noted that the fact that PGW believes that Ms. Graham was acting fraudulently or illegally, as alleged in the </w:t>
      </w:r>
      <w:r w:rsidR="00F8105B">
        <w:rPr>
          <w:bCs/>
          <w:color w:val="000000"/>
        </w:rPr>
        <w:t>preliminary objection</w:t>
      </w:r>
      <w:r>
        <w:rPr>
          <w:bCs/>
          <w:color w:val="000000"/>
        </w:rPr>
        <w:t xml:space="preserve">, does not mean that Ms. Graham lacks standing to bring her complaint.  It means that PGW has to take additional actions in response to the alleged fraudulent or illegal activity.  It does not mean that Ms. Graham cannot pursue her complaint.  </w:t>
      </w:r>
    </w:p>
    <w:p w14:paraId="3832BF38" w14:textId="77777777" w:rsidR="00F778E6" w:rsidRDefault="00F778E6" w:rsidP="00BC7685">
      <w:pPr>
        <w:pStyle w:val="Style"/>
        <w:widowControl/>
        <w:spacing w:line="360" w:lineRule="auto"/>
        <w:ind w:firstLine="1440"/>
        <w:rPr>
          <w:bCs/>
          <w:color w:val="000000"/>
        </w:rPr>
      </w:pPr>
    </w:p>
    <w:p w14:paraId="0FCA8499" w14:textId="30496DBF" w:rsidR="0067614F" w:rsidRDefault="001D13D1" w:rsidP="00F778E6">
      <w:pPr>
        <w:pStyle w:val="Style"/>
        <w:widowControl/>
        <w:spacing w:line="360" w:lineRule="auto"/>
        <w:ind w:firstLine="1440"/>
        <w:rPr>
          <w:bCs/>
          <w:color w:val="000000"/>
        </w:rPr>
      </w:pPr>
      <w:r>
        <w:rPr>
          <w:bCs/>
          <w:color w:val="000000"/>
        </w:rPr>
        <w:t xml:space="preserve">This is especially true where the case law cited by PGW in support of its </w:t>
      </w:r>
      <w:r w:rsidR="00A85130">
        <w:rPr>
          <w:bCs/>
          <w:color w:val="000000"/>
        </w:rPr>
        <w:t>preliminary objection</w:t>
      </w:r>
      <w:r>
        <w:rPr>
          <w:bCs/>
          <w:color w:val="000000"/>
        </w:rPr>
        <w:t xml:space="preserve"> says </w:t>
      </w:r>
      <w:r w:rsidR="00A85130">
        <w:rPr>
          <w:bCs/>
          <w:color w:val="000000"/>
        </w:rPr>
        <w:t xml:space="preserve">that </w:t>
      </w:r>
      <w:r>
        <w:rPr>
          <w:bCs/>
          <w:color w:val="000000"/>
        </w:rPr>
        <w:t xml:space="preserve">“in general” a complainant must be a customer of the utility to have standing to file a complaint about utility service.  The cases cited by PGW are not an absolute bar to non-customers bringing a complaint and the case presented by Ms. Graham is </w:t>
      </w:r>
      <w:r w:rsidR="00E41DE8">
        <w:rPr>
          <w:bCs/>
          <w:color w:val="000000"/>
        </w:rPr>
        <w:t xml:space="preserve">an example of a situation </w:t>
      </w:r>
      <w:r>
        <w:rPr>
          <w:bCs/>
          <w:color w:val="000000"/>
        </w:rPr>
        <w:t xml:space="preserve">where a non-customer should be able to bring a complaint.  To hold otherwise would prohibit everyone who experiences problems </w:t>
      </w:r>
      <w:r w:rsidRPr="00E41DE8">
        <w:rPr>
          <w:b/>
          <w:i/>
          <w:iCs/>
          <w:color w:val="000000"/>
        </w:rPr>
        <w:t>applying</w:t>
      </w:r>
      <w:r>
        <w:rPr>
          <w:bCs/>
          <w:color w:val="000000"/>
        </w:rPr>
        <w:t xml:space="preserve"> for utility service</w:t>
      </w:r>
      <w:r w:rsidR="006B504A">
        <w:rPr>
          <w:bCs/>
          <w:color w:val="000000"/>
        </w:rPr>
        <w:t>, among other people,</w:t>
      </w:r>
      <w:r>
        <w:rPr>
          <w:bCs/>
          <w:color w:val="000000"/>
        </w:rPr>
        <w:t xml:space="preserve"> from filing a complaint to the extent that any problems in the application process arise, regardless of whether the utility believes such actions may be fraudulent or illegal.  </w:t>
      </w:r>
      <w:r w:rsidR="00422824">
        <w:rPr>
          <w:bCs/>
          <w:color w:val="000000"/>
        </w:rPr>
        <w:t>Such a result would not be in the public interest.</w:t>
      </w:r>
      <w:r w:rsidR="006A73CD">
        <w:rPr>
          <w:bCs/>
          <w:color w:val="000000"/>
        </w:rPr>
        <w:t xml:space="preserve">  </w:t>
      </w:r>
      <w:r w:rsidR="006A73CD">
        <w:rPr>
          <w:bCs/>
          <w:i/>
          <w:iCs/>
          <w:color w:val="000000"/>
        </w:rPr>
        <w:t>See also</w:t>
      </w:r>
      <w:r w:rsidR="006A73CD">
        <w:rPr>
          <w:bCs/>
          <w:color w:val="000000"/>
        </w:rPr>
        <w:t>, 66 Pa. Code § 1501 (</w:t>
      </w:r>
      <w:r w:rsidR="00824B23">
        <w:rPr>
          <w:bCs/>
          <w:color w:val="000000"/>
        </w:rPr>
        <w:t xml:space="preserve">“Every public utility shall furnish and maintain adequate, efficient, </w:t>
      </w:r>
      <w:proofErr w:type="gramStart"/>
      <w:r w:rsidR="00824B23">
        <w:rPr>
          <w:bCs/>
          <w:color w:val="000000"/>
        </w:rPr>
        <w:t>safe</w:t>
      </w:r>
      <w:proofErr w:type="gramEnd"/>
      <w:r w:rsidR="00824B23">
        <w:rPr>
          <w:bCs/>
          <w:color w:val="000000"/>
        </w:rPr>
        <w:t xml:space="preserve"> and reasonable service and facilities</w:t>
      </w:r>
      <w:r w:rsidR="00A81F70">
        <w:rPr>
          <w:bCs/>
          <w:color w:val="000000"/>
        </w:rPr>
        <w:t xml:space="preserve"> …. for the accommodation, convenience and safety of its patrons, </w:t>
      </w:r>
      <w:proofErr w:type="gramStart"/>
      <w:r w:rsidR="00A81F70">
        <w:rPr>
          <w:bCs/>
          <w:color w:val="000000"/>
        </w:rPr>
        <w:t>employees</w:t>
      </w:r>
      <w:proofErr w:type="gramEnd"/>
      <w:r w:rsidR="00A81F70">
        <w:rPr>
          <w:bCs/>
          <w:color w:val="000000"/>
        </w:rPr>
        <w:t xml:space="preserve"> </w:t>
      </w:r>
      <w:r w:rsidR="00A81F70">
        <w:rPr>
          <w:b/>
          <w:i/>
          <w:iCs/>
          <w:color w:val="000000"/>
        </w:rPr>
        <w:t>and the public</w:t>
      </w:r>
      <w:r w:rsidR="00A81F70">
        <w:rPr>
          <w:bCs/>
          <w:color w:val="000000"/>
        </w:rPr>
        <w:t>.”)</w:t>
      </w:r>
      <w:r w:rsidR="008640FC">
        <w:rPr>
          <w:bCs/>
          <w:color w:val="000000"/>
        </w:rPr>
        <w:t xml:space="preserve"> (</w:t>
      </w:r>
      <w:proofErr w:type="gramStart"/>
      <w:r w:rsidR="008640FC">
        <w:rPr>
          <w:bCs/>
          <w:color w:val="000000"/>
        </w:rPr>
        <w:t>emphasis</w:t>
      </w:r>
      <w:proofErr w:type="gramEnd"/>
      <w:r w:rsidR="008640FC">
        <w:rPr>
          <w:bCs/>
          <w:color w:val="000000"/>
        </w:rPr>
        <w:t xml:space="preserve"> added)</w:t>
      </w:r>
      <w:r w:rsidR="00A81F70">
        <w:rPr>
          <w:bCs/>
          <w:color w:val="000000"/>
        </w:rPr>
        <w:t xml:space="preserve">. </w:t>
      </w:r>
      <w:r w:rsidR="00422824">
        <w:rPr>
          <w:bCs/>
          <w:color w:val="000000"/>
        </w:rPr>
        <w:t xml:space="preserve"> </w:t>
      </w:r>
      <w:r w:rsidR="006150C9">
        <w:rPr>
          <w:bCs/>
          <w:color w:val="000000"/>
        </w:rPr>
        <w:t xml:space="preserve">Such </w:t>
      </w:r>
      <w:r>
        <w:rPr>
          <w:bCs/>
          <w:color w:val="000000"/>
        </w:rPr>
        <w:t xml:space="preserve">people have a direct, </w:t>
      </w:r>
      <w:proofErr w:type="gramStart"/>
      <w:r>
        <w:rPr>
          <w:bCs/>
          <w:color w:val="000000"/>
        </w:rPr>
        <w:t>immediate</w:t>
      </w:r>
      <w:proofErr w:type="gramEnd"/>
      <w:r>
        <w:rPr>
          <w:bCs/>
          <w:color w:val="000000"/>
        </w:rPr>
        <w:t xml:space="preserve"> and substantial interest in bringing a complaint and so does Ms. Graham.</w:t>
      </w:r>
    </w:p>
    <w:p w14:paraId="34C7F42C" w14:textId="77777777" w:rsidR="0067614F" w:rsidRDefault="0067614F" w:rsidP="00EA1957">
      <w:pPr>
        <w:pStyle w:val="Style"/>
        <w:widowControl/>
        <w:spacing w:line="360" w:lineRule="auto"/>
        <w:ind w:firstLine="1440"/>
        <w:rPr>
          <w:bCs/>
          <w:color w:val="000000"/>
        </w:rPr>
      </w:pPr>
    </w:p>
    <w:p w14:paraId="57A1C552" w14:textId="77777777" w:rsidR="008640FC" w:rsidRDefault="008640FC" w:rsidP="0051529D">
      <w:pPr>
        <w:pStyle w:val="Style"/>
        <w:widowControl/>
        <w:spacing w:line="360" w:lineRule="auto"/>
        <w:ind w:firstLine="1440"/>
        <w:rPr>
          <w:bCs/>
          <w:color w:val="000000"/>
        </w:rPr>
      </w:pPr>
      <w:r>
        <w:rPr>
          <w:bCs/>
          <w:color w:val="000000"/>
        </w:rPr>
        <w:t>Finally</w:t>
      </w:r>
      <w:r w:rsidR="007B4BE9">
        <w:rPr>
          <w:bCs/>
          <w:color w:val="000000"/>
        </w:rPr>
        <w:t>, if it were true</w:t>
      </w:r>
      <w:r w:rsidR="00D10D27">
        <w:rPr>
          <w:bCs/>
          <w:color w:val="000000"/>
        </w:rPr>
        <w:t>, for example, that the meter at the service address was not reading properly, a credit may be appropriate.</w:t>
      </w:r>
      <w:r w:rsidR="00680514">
        <w:rPr>
          <w:bCs/>
          <w:color w:val="000000"/>
        </w:rPr>
        <w:t xml:space="preserve">  In addition, if it were true that Ms. Graham was not being treated fairly or being properly </w:t>
      </w:r>
      <w:r w:rsidR="00A77C02">
        <w:rPr>
          <w:bCs/>
          <w:color w:val="000000"/>
        </w:rPr>
        <w:t xml:space="preserve">billed, a civil penalty on PGW may be appropriate.  </w:t>
      </w:r>
      <w:r w:rsidR="004A0577">
        <w:rPr>
          <w:bCs/>
          <w:color w:val="000000"/>
        </w:rPr>
        <w:t xml:space="preserve">Therefore, Ms. Graham may be entitled to relief as a matter of law.  </w:t>
      </w:r>
    </w:p>
    <w:p w14:paraId="69966BFF" w14:textId="77777777" w:rsidR="008640FC" w:rsidRDefault="008640FC" w:rsidP="0051529D">
      <w:pPr>
        <w:pStyle w:val="Style"/>
        <w:widowControl/>
        <w:spacing w:line="360" w:lineRule="auto"/>
        <w:ind w:firstLine="1440"/>
        <w:rPr>
          <w:bCs/>
          <w:color w:val="000000"/>
        </w:rPr>
      </w:pPr>
    </w:p>
    <w:p w14:paraId="78BA7DF4" w14:textId="2524D7C6" w:rsidR="008A7473" w:rsidRDefault="00A77C02" w:rsidP="0051529D">
      <w:pPr>
        <w:pStyle w:val="Style"/>
        <w:widowControl/>
        <w:spacing w:line="360" w:lineRule="auto"/>
        <w:ind w:firstLine="1440"/>
        <w:rPr>
          <w:bCs/>
          <w:color w:val="000000"/>
        </w:rPr>
      </w:pPr>
      <w:r>
        <w:rPr>
          <w:bCs/>
          <w:color w:val="000000"/>
        </w:rPr>
        <w:t xml:space="preserve">As a result, PGW’s preliminary objection must be </w:t>
      </w:r>
      <w:r w:rsidR="008640FC">
        <w:rPr>
          <w:bCs/>
          <w:color w:val="000000"/>
        </w:rPr>
        <w:t>denied</w:t>
      </w:r>
      <w:r>
        <w:rPr>
          <w:bCs/>
          <w:color w:val="000000"/>
        </w:rPr>
        <w:t>.</w:t>
      </w:r>
    </w:p>
    <w:p w14:paraId="1793DCA8" w14:textId="77777777" w:rsidR="00EA1957" w:rsidRPr="00021A37" w:rsidRDefault="00EA1957" w:rsidP="00EA1957">
      <w:pPr>
        <w:widowControl w:val="0"/>
        <w:autoSpaceDE w:val="0"/>
        <w:autoSpaceDN w:val="0"/>
        <w:adjustRightInd w:val="0"/>
        <w:spacing w:after="0" w:line="360" w:lineRule="auto"/>
        <w:ind w:firstLine="1440"/>
        <w:rPr>
          <w:rFonts w:ascii="Times New Roman" w:eastAsiaTheme="minorEastAsia" w:hAnsi="Times New Roman" w:cs="Times New Roman"/>
          <w:sz w:val="24"/>
          <w:szCs w:val="24"/>
        </w:rPr>
      </w:pPr>
    </w:p>
    <w:p w14:paraId="56911876" w14:textId="77777777" w:rsidR="00B25B23" w:rsidRDefault="00B25B23" w:rsidP="001875BC">
      <w:pPr>
        <w:spacing w:after="0" w:line="360" w:lineRule="auto"/>
        <w:rPr>
          <w:rFonts w:ascii="Times New Roman" w:eastAsia="Times New Roman" w:hAnsi="Times New Roman" w:cs="Times New Roman"/>
          <w:b/>
          <w:bCs/>
          <w:sz w:val="24"/>
          <w:szCs w:val="24"/>
          <w:u w:val="single"/>
        </w:rPr>
      </w:pPr>
    </w:p>
    <w:p w14:paraId="7D2EE7E5" w14:textId="06466B5A" w:rsidR="0090434D" w:rsidRPr="00244A56" w:rsidRDefault="0090434D" w:rsidP="001875BC">
      <w:pPr>
        <w:spacing w:after="0" w:line="360" w:lineRule="auto"/>
        <w:rPr>
          <w:rFonts w:ascii="Times New Roman" w:eastAsia="Times New Roman" w:hAnsi="Times New Roman" w:cs="Times New Roman"/>
          <w:b/>
          <w:bCs/>
          <w:sz w:val="24"/>
          <w:szCs w:val="24"/>
        </w:rPr>
      </w:pPr>
      <w:r w:rsidRPr="0090434D">
        <w:rPr>
          <w:rFonts w:ascii="Times New Roman" w:eastAsia="Times New Roman" w:hAnsi="Times New Roman" w:cs="Times New Roman"/>
          <w:b/>
          <w:bCs/>
          <w:sz w:val="24"/>
          <w:szCs w:val="24"/>
          <w:u w:val="single"/>
        </w:rPr>
        <w:lastRenderedPageBreak/>
        <w:t>Motion for Judgment on the Pleadings</w:t>
      </w:r>
    </w:p>
    <w:p w14:paraId="428B51B6" w14:textId="77777777" w:rsidR="00244A56" w:rsidRDefault="00244A56" w:rsidP="00244A56">
      <w:pPr>
        <w:pStyle w:val="ParaTab1"/>
        <w:tabs>
          <w:tab w:val="left" w:pos="2070"/>
        </w:tabs>
        <w:spacing w:line="360" w:lineRule="auto"/>
        <w:rPr>
          <w:rFonts w:ascii="Times New Roman" w:hAnsi="Times New Roman" w:cs="Times New Roman"/>
        </w:rPr>
      </w:pPr>
    </w:p>
    <w:p w14:paraId="75CA8D07" w14:textId="4C18D60F" w:rsidR="00244A56" w:rsidRPr="00C701C5" w:rsidRDefault="009B6E19" w:rsidP="00244A56">
      <w:pPr>
        <w:autoSpaceDE w:val="0"/>
        <w:autoSpaceDN w:val="0"/>
        <w:spacing w:after="0" w:line="360" w:lineRule="auto"/>
        <w:ind w:firstLine="1440"/>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With regard to PGW’s motion for judgment on the pleadings, t</w:t>
      </w:r>
      <w:r w:rsidR="00244A56" w:rsidRPr="00C701C5">
        <w:rPr>
          <w:rFonts w:ascii="Times New Roman" w:eastAsia="Times New Roman" w:hAnsi="Times New Roman" w:cs="Times New Roman"/>
          <w:color w:val="000000"/>
          <w:sz w:val="24"/>
          <w:szCs w:val="24"/>
        </w:rPr>
        <w:t>he Commission’s Rules of Administrative Practice and Procedure, 52 Pa. Code Chapters 1, 3 and 5, provide for the filing of motions for summary judgment</w:t>
      </w:r>
      <w:r w:rsidR="00E27608">
        <w:rPr>
          <w:rFonts w:ascii="Times New Roman" w:eastAsia="Times New Roman" w:hAnsi="Times New Roman" w:cs="Times New Roman"/>
          <w:color w:val="000000"/>
          <w:sz w:val="24"/>
          <w:szCs w:val="24"/>
        </w:rPr>
        <w:t xml:space="preserve"> and judgment on the pleadings</w:t>
      </w:r>
      <w:r w:rsidR="00244A56" w:rsidRPr="00C701C5">
        <w:rPr>
          <w:rFonts w:ascii="Times New Roman" w:eastAsia="Times New Roman" w:hAnsi="Times New Roman" w:cs="Times New Roman"/>
          <w:color w:val="000000"/>
          <w:sz w:val="24"/>
          <w:szCs w:val="24"/>
        </w:rPr>
        <w:t>.  In particular, Section 5.102 of t</w:t>
      </w:r>
      <w:r w:rsidR="00244A56" w:rsidRPr="00C701C5">
        <w:rPr>
          <w:rFonts w:ascii="Times New Roman" w:eastAsia="Calibri" w:hAnsi="Times New Roman" w:cs="Times New Roman"/>
          <w:bCs/>
          <w:color w:val="000000"/>
          <w:sz w:val="24"/>
          <w:szCs w:val="24"/>
        </w:rPr>
        <w:t>he Commission’s Rules provides in relevant part:</w:t>
      </w:r>
    </w:p>
    <w:p w14:paraId="7691448B" w14:textId="77777777" w:rsidR="00244A56" w:rsidRPr="00C701C5" w:rsidRDefault="00244A56" w:rsidP="00244A56">
      <w:pPr>
        <w:spacing w:after="0"/>
        <w:rPr>
          <w:rFonts w:ascii="Times New Roman" w:eastAsia="Calibri" w:hAnsi="Times New Roman" w:cs="Times New Roman"/>
          <w:b/>
          <w:bCs/>
          <w:color w:val="000000"/>
          <w:sz w:val="24"/>
          <w:szCs w:val="24"/>
        </w:rPr>
      </w:pPr>
    </w:p>
    <w:p w14:paraId="3DFF8434" w14:textId="77777777" w:rsidR="00244A56" w:rsidRPr="00C701C5" w:rsidRDefault="00244A56" w:rsidP="00244A56">
      <w:pPr>
        <w:spacing w:after="0"/>
        <w:ind w:left="1440" w:right="1440"/>
        <w:rPr>
          <w:rFonts w:ascii="Times New Roman" w:eastAsia="Calibri" w:hAnsi="Times New Roman" w:cs="Times New Roman"/>
          <w:b/>
          <w:bCs/>
          <w:color w:val="000000"/>
          <w:sz w:val="24"/>
          <w:szCs w:val="24"/>
        </w:rPr>
      </w:pPr>
      <w:r w:rsidRPr="00C701C5">
        <w:rPr>
          <w:rFonts w:ascii="Times New Roman" w:eastAsia="Calibri" w:hAnsi="Times New Roman" w:cs="Times New Roman"/>
          <w:b/>
          <w:bCs/>
          <w:color w:val="000000"/>
          <w:sz w:val="24"/>
          <w:szCs w:val="24"/>
        </w:rPr>
        <w:t>§ 5.102 Motions for summary judgment and judgment on the pleadings.</w:t>
      </w:r>
    </w:p>
    <w:p w14:paraId="0E7F9489" w14:textId="77777777" w:rsidR="00244A56" w:rsidRPr="00C701C5" w:rsidRDefault="00244A56" w:rsidP="00244A56">
      <w:pPr>
        <w:autoSpaceDE w:val="0"/>
        <w:autoSpaceDN w:val="0"/>
        <w:spacing w:after="0"/>
        <w:ind w:left="1440" w:right="1440"/>
        <w:rPr>
          <w:rFonts w:ascii="Times New Roman" w:eastAsia="Calibri" w:hAnsi="Times New Roman" w:cs="Times New Roman"/>
          <w:b/>
          <w:bCs/>
          <w:color w:val="000000"/>
          <w:sz w:val="24"/>
          <w:szCs w:val="24"/>
        </w:rPr>
      </w:pPr>
    </w:p>
    <w:p w14:paraId="4F7216D9" w14:textId="77777777" w:rsidR="00244A56" w:rsidRPr="00C701C5" w:rsidRDefault="00244A56" w:rsidP="00244A56">
      <w:pPr>
        <w:numPr>
          <w:ilvl w:val="0"/>
          <w:numId w:val="3"/>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Generally</w:t>
      </w:r>
      <w:r w:rsidRPr="00C701C5">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66E35CD2" w14:textId="77777777" w:rsidR="00244A56" w:rsidRPr="00C701C5" w:rsidRDefault="00244A56" w:rsidP="00244A56">
      <w:pPr>
        <w:autoSpaceDE w:val="0"/>
        <w:autoSpaceDN w:val="0"/>
        <w:spacing w:after="0"/>
        <w:ind w:left="1440" w:right="1440"/>
        <w:rPr>
          <w:rFonts w:ascii="Times New Roman" w:eastAsia="Calibri" w:hAnsi="Times New Roman" w:cs="Times New Roman"/>
          <w:bCs/>
          <w:color w:val="000000"/>
          <w:sz w:val="24"/>
          <w:szCs w:val="24"/>
        </w:rPr>
      </w:pPr>
    </w:p>
    <w:p w14:paraId="3B6CC3E6" w14:textId="77777777" w:rsidR="00244A56" w:rsidRPr="00C701C5" w:rsidRDefault="00244A56" w:rsidP="00244A56">
      <w:pPr>
        <w:autoSpaceDE w:val="0"/>
        <w:autoSpaceDN w:val="0"/>
        <w:spacing w:after="0"/>
        <w:ind w:left="1440" w:right="1440"/>
        <w:jc w:val="center"/>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 *</w:t>
      </w:r>
    </w:p>
    <w:p w14:paraId="56A41FB3" w14:textId="77777777" w:rsidR="00244A56" w:rsidRPr="00C701C5" w:rsidRDefault="00244A56" w:rsidP="009B6E19">
      <w:pPr>
        <w:autoSpaceDE w:val="0"/>
        <w:autoSpaceDN w:val="0"/>
        <w:spacing w:after="0" w:line="240" w:lineRule="auto"/>
        <w:ind w:left="1440" w:right="1440"/>
        <w:jc w:val="center"/>
        <w:rPr>
          <w:rFonts w:ascii="Times New Roman" w:eastAsia="Calibri" w:hAnsi="Times New Roman" w:cs="Times New Roman"/>
          <w:bCs/>
          <w:color w:val="000000"/>
          <w:sz w:val="24"/>
          <w:szCs w:val="24"/>
        </w:rPr>
      </w:pPr>
    </w:p>
    <w:p w14:paraId="71610B5D" w14:textId="77777777" w:rsidR="00244A56" w:rsidRPr="00C701C5" w:rsidRDefault="00244A56" w:rsidP="009B6E19">
      <w:pPr>
        <w:autoSpaceDE w:val="0"/>
        <w:autoSpaceDN w:val="0"/>
        <w:spacing w:after="0" w:line="240" w:lineRule="auto"/>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(d)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Decisions on Motions</w:t>
      </w:r>
      <w:r w:rsidRPr="00C701C5">
        <w:rPr>
          <w:rFonts w:ascii="Times New Roman" w:eastAsia="Calibri" w:hAnsi="Times New Roman" w:cs="Times New Roman"/>
          <w:bCs/>
          <w:color w:val="000000"/>
          <w:sz w:val="24"/>
          <w:szCs w:val="24"/>
        </w:rPr>
        <w:t>.</w:t>
      </w:r>
    </w:p>
    <w:p w14:paraId="32FDD9DC" w14:textId="77777777" w:rsidR="00244A56" w:rsidRPr="00C701C5" w:rsidRDefault="00244A56" w:rsidP="009B6E19">
      <w:pPr>
        <w:autoSpaceDE w:val="0"/>
        <w:autoSpaceDN w:val="0"/>
        <w:spacing w:after="0" w:line="240" w:lineRule="auto"/>
        <w:ind w:left="1440" w:right="1440"/>
        <w:rPr>
          <w:rFonts w:ascii="Times New Roman" w:eastAsia="Calibri" w:hAnsi="Times New Roman" w:cs="Times New Roman"/>
          <w:bCs/>
          <w:color w:val="000000"/>
          <w:sz w:val="24"/>
          <w:szCs w:val="24"/>
        </w:rPr>
      </w:pPr>
    </w:p>
    <w:p w14:paraId="4F9B9620" w14:textId="77777777" w:rsidR="00244A56" w:rsidRPr="00C701C5" w:rsidRDefault="00244A56" w:rsidP="009B6E19">
      <w:pPr>
        <w:numPr>
          <w:ilvl w:val="0"/>
          <w:numId w:val="4"/>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Standard for grant or denial on all counts</w:t>
      </w:r>
      <w:r w:rsidRPr="00C701C5">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1EDB3539" w14:textId="77777777" w:rsidR="00244A56" w:rsidRPr="00C701C5" w:rsidRDefault="00244A56" w:rsidP="009B6E19">
      <w:pPr>
        <w:autoSpaceDE w:val="0"/>
        <w:autoSpaceDN w:val="0"/>
        <w:spacing w:after="0" w:line="240" w:lineRule="auto"/>
        <w:ind w:left="1440" w:right="1440"/>
        <w:rPr>
          <w:rFonts w:ascii="Times New Roman" w:eastAsia="Calibri" w:hAnsi="Times New Roman" w:cs="Times New Roman"/>
          <w:bCs/>
          <w:color w:val="000000"/>
          <w:sz w:val="24"/>
          <w:szCs w:val="24"/>
        </w:rPr>
      </w:pPr>
    </w:p>
    <w:p w14:paraId="02689D09" w14:textId="57E7A018" w:rsidR="009B6E19" w:rsidRDefault="00244A56" w:rsidP="009B6E19">
      <w:pPr>
        <w:autoSpaceDE w:val="0"/>
        <w:autoSpaceDN w:val="0"/>
        <w:spacing w:after="0" w:line="240" w:lineRule="auto"/>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(2)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Standard for grant or denial in part</w:t>
      </w:r>
      <w:r w:rsidRPr="00C701C5">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6BF5AB6E" w14:textId="77777777" w:rsidR="009B6E19" w:rsidRDefault="009B6E19" w:rsidP="009B6E19">
      <w:pPr>
        <w:autoSpaceDE w:val="0"/>
        <w:autoSpaceDN w:val="0"/>
        <w:spacing w:after="0"/>
        <w:ind w:left="1440" w:right="1440"/>
        <w:rPr>
          <w:rFonts w:ascii="Times New Roman" w:eastAsia="Calibri" w:hAnsi="Times New Roman" w:cs="Times New Roman"/>
          <w:bCs/>
          <w:color w:val="000000"/>
          <w:sz w:val="24"/>
          <w:szCs w:val="24"/>
        </w:rPr>
      </w:pPr>
    </w:p>
    <w:p w14:paraId="71C8864D" w14:textId="7C47C8D6" w:rsidR="00244A56" w:rsidRPr="00F978A4" w:rsidRDefault="00244A56" w:rsidP="00177B43">
      <w:pPr>
        <w:autoSpaceDE w:val="0"/>
        <w:autoSpaceDN w:val="0"/>
        <w:spacing w:after="0" w:line="360" w:lineRule="auto"/>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52 </w:t>
      </w:r>
      <w:proofErr w:type="spellStart"/>
      <w:r w:rsidRPr="00C701C5">
        <w:rPr>
          <w:rFonts w:ascii="Times New Roman" w:eastAsia="Calibri" w:hAnsi="Times New Roman" w:cs="Times New Roman"/>
          <w:bCs/>
          <w:color w:val="000000"/>
          <w:sz w:val="24"/>
          <w:szCs w:val="24"/>
        </w:rPr>
        <w:t>Pa.Code</w:t>
      </w:r>
      <w:proofErr w:type="spellEnd"/>
      <w:r w:rsidRPr="00C701C5">
        <w:rPr>
          <w:rFonts w:ascii="Times New Roman" w:eastAsia="Calibri" w:hAnsi="Times New Roman" w:cs="Times New Roman"/>
          <w:bCs/>
          <w:color w:val="000000"/>
          <w:sz w:val="24"/>
          <w:szCs w:val="24"/>
        </w:rPr>
        <w:t xml:space="preserve"> § 5.102(a), (d)(1) and (d)(2).  </w:t>
      </w:r>
      <w:r w:rsidRPr="00C701C5">
        <w:rPr>
          <w:rFonts w:ascii="Times New Roman" w:eastAsia="Times New Roman" w:hAnsi="Times New Roman" w:cs="Times New Roman"/>
          <w:snapToGrid w:val="0"/>
          <w:sz w:val="24"/>
          <w:szCs w:val="24"/>
        </w:rPr>
        <w:t xml:space="preserve">When disposing of a motion for summary judgment, the record must be examined in the light most favorable to the nonmoving party.  </w:t>
      </w:r>
      <w:r w:rsidRPr="00C701C5">
        <w:rPr>
          <w:rFonts w:ascii="Times New Roman" w:eastAsia="Times New Roman" w:hAnsi="Times New Roman" w:cs="Times New Roman"/>
          <w:snapToGrid w:val="0"/>
          <w:sz w:val="24"/>
          <w:szCs w:val="24"/>
          <w:u w:val="single"/>
        </w:rPr>
        <w:t>First Mortgage Co. of Pennsylvania v. McCall</w:t>
      </w:r>
      <w:r w:rsidRPr="00C701C5">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Pr="00C701C5">
        <w:rPr>
          <w:rFonts w:ascii="Times New Roman" w:eastAsia="Times New Roman" w:hAnsi="Times New Roman" w:cs="Times New Roman"/>
          <w:snapToGrid w:val="0"/>
          <w:sz w:val="24"/>
          <w:szCs w:val="24"/>
          <w:u w:val="single"/>
        </w:rPr>
        <w:t>Id.</w:t>
      </w:r>
      <w:r w:rsidRPr="00C701C5">
        <w:rPr>
          <w:rFonts w:ascii="Times New Roman" w:eastAsia="Times New Roman" w:hAnsi="Times New Roman" w:cs="Times New Roman"/>
          <w:snapToGrid w:val="0"/>
          <w:sz w:val="24"/>
          <w:szCs w:val="24"/>
        </w:rPr>
        <w:t xml:space="preserve"> at 58-59.</w:t>
      </w:r>
    </w:p>
    <w:p w14:paraId="16DAC987" w14:textId="67B149DF" w:rsidR="00DE1AF2" w:rsidRDefault="008F1051" w:rsidP="00177B4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For purposes of disposing of PGW’s motion for judgment</w:t>
      </w:r>
      <w:r w:rsidR="00566E2A">
        <w:rPr>
          <w:rFonts w:ascii="Times New Roman" w:hAnsi="Times New Roman" w:cs="Times New Roman"/>
          <w:sz w:val="24"/>
          <w:szCs w:val="24"/>
        </w:rPr>
        <w:t xml:space="preserve"> on the pleadings</w:t>
      </w:r>
      <w:r>
        <w:rPr>
          <w:rFonts w:ascii="Times New Roman" w:hAnsi="Times New Roman" w:cs="Times New Roman"/>
          <w:sz w:val="24"/>
          <w:szCs w:val="24"/>
        </w:rPr>
        <w:t xml:space="preserve">, </w:t>
      </w:r>
      <w:r w:rsidR="009D6C05">
        <w:rPr>
          <w:rFonts w:ascii="Times New Roman" w:hAnsi="Times New Roman" w:cs="Times New Roman"/>
          <w:sz w:val="24"/>
          <w:szCs w:val="24"/>
        </w:rPr>
        <w:t xml:space="preserve">more than just the averments in Ms. Graham’s complaint are considered.  </w:t>
      </w:r>
      <w:r w:rsidR="00D42A51">
        <w:rPr>
          <w:rFonts w:ascii="Times New Roman" w:hAnsi="Times New Roman" w:cs="Times New Roman"/>
          <w:sz w:val="24"/>
          <w:szCs w:val="24"/>
        </w:rPr>
        <w:t xml:space="preserve">Rather, </w:t>
      </w:r>
      <w:r w:rsidR="001E757F">
        <w:rPr>
          <w:rFonts w:ascii="Times New Roman" w:hAnsi="Times New Roman" w:cs="Times New Roman"/>
          <w:sz w:val="24"/>
          <w:szCs w:val="24"/>
        </w:rPr>
        <w:t>PGW’s</w:t>
      </w:r>
      <w:r>
        <w:rPr>
          <w:rFonts w:ascii="Times New Roman" w:hAnsi="Times New Roman" w:cs="Times New Roman"/>
          <w:sz w:val="24"/>
          <w:szCs w:val="24"/>
        </w:rPr>
        <w:t xml:space="preserve"> averments </w:t>
      </w:r>
      <w:r w:rsidR="001E757F">
        <w:rPr>
          <w:rFonts w:ascii="Times New Roman" w:hAnsi="Times New Roman" w:cs="Times New Roman"/>
          <w:sz w:val="24"/>
          <w:szCs w:val="24"/>
        </w:rPr>
        <w:t xml:space="preserve">in its new matter </w:t>
      </w:r>
      <w:r>
        <w:rPr>
          <w:rFonts w:ascii="Times New Roman" w:hAnsi="Times New Roman" w:cs="Times New Roman"/>
          <w:sz w:val="24"/>
          <w:szCs w:val="24"/>
        </w:rPr>
        <w:t xml:space="preserve">may be accepted as true because Ms. Graham never </w:t>
      </w:r>
      <w:r w:rsidR="007B52AD">
        <w:rPr>
          <w:rFonts w:ascii="Times New Roman" w:hAnsi="Times New Roman" w:cs="Times New Roman"/>
          <w:sz w:val="24"/>
          <w:szCs w:val="24"/>
        </w:rPr>
        <w:t xml:space="preserve">filed a responsive pleading denying </w:t>
      </w:r>
      <w:r w:rsidR="00D42A51">
        <w:rPr>
          <w:rFonts w:ascii="Times New Roman" w:hAnsi="Times New Roman" w:cs="Times New Roman"/>
          <w:sz w:val="24"/>
          <w:szCs w:val="24"/>
        </w:rPr>
        <w:t>those</w:t>
      </w:r>
      <w:r w:rsidR="007B52AD">
        <w:rPr>
          <w:rFonts w:ascii="Times New Roman" w:hAnsi="Times New Roman" w:cs="Times New Roman"/>
          <w:sz w:val="24"/>
          <w:szCs w:val="24"/>
        </w:rPr>
        <w:t xml:space="preserve"> averments</w:t>
      </w:r>
      <w:r>
        <w:rPr>
          <w:rFonts w:ascii="Times New Roman" w:hAnsi="Times New Roman" w:cs="Times New Roman"/>
          <w:sz w:val="24"/>
          <w:szCs w:val="24"/>
        </w:rPr>
        <w:t xml:space="preserve">.  </w:t>
      </w:r>
      <w:r w:rsidR="00351F89">
        <w:rPr>
          <w:rFonts w:ascii="Times New Roman" w:hAnsi="Times New Roman" w:cs="Times New Roman"/>
          <w:sz w:val="24"/>
          <w:szCs w:val="24"/>
        </w:rPr>
        <w:t xml:space="preserve">52 Pa. Code § </w:t>
      </w:r>
      <w:r w:rsidR="00B4222B">
        <w:rPr>
          <w:rFonts w:ascii="Times New Roman" w:hAnsi="Times New Roman" w:cs="Times New Roman"/>
          <w:sz w:val="24"/>
          <w:szCs w:val="24"/>
        </w:rPr>
        <w:t>5.63(b)</w:t>
      </w:r>
      <w:r w:rsidR="00351F89">
        <w:rPr>
          <w:rFonts w:ascii="Times New Roman" w:hAnsi="Times New Roman" w:cs="Times New Roman"/>
          <w:sz w:val="24"/>
          <w:szCs w:val="24"/>
        </w:rPr>
        <w:t xml:space="preserve">.  </w:t>
      </w:r>
      <w:r w:rsidR="0074688A">
        <w:rPr>
          <w:rFonts w:ascii="Times New Roman" w:hAnsi="Times New Roman" w:cs="Times New Roman"/>
          <w:sz w:val="24"/>
          <w:szCs w:val="24"/>
        </w:rPr>
        <w:t>Even so, however, t</w:t>
      </w:r>
      <w:r w:rsidR="00BC4AE1">
        <w:rPr>
          <w:rFonts w:ascii="Times New Roman" w:hAnsi="Times New Roman" w:cs="Times New Roman"/>
          <w:sz w:val="24"/>
          <w:szCs w:val="24"/>
        </w:rPr>
        <w:t xml:space="preserve">hese averments must be examined in the light most favorable to Ms. Graham, the nonmoving party.  </w:t>
      </w:r>
      <w:r w:rsidR="0074688A">
        <w:rPr>
          <w:rFonts w:ascii="Times New Roman" w:hAnsi="Times New Roman" w:cs="Times New Roman"/>
          <w:sz w:val="24"/>
          <w:szCs w:val="24"/>
        </w:rPr>
        <w:t xml:space="preserve">Therefore, </w:t>
      </w:r>
      <w:r w:rsidR="008C3159">
        <w:rPr>
          <w:rFonts w:ascii="Times New Roman" w:hAnsi="Times New Roman" w:cs="Times New Roman"/>
          <w:sz w:val="24"/>
          <w:szCs w:val="24"/>
        </w:rPr>
        <w:t>a</w:t>
      </w:r>
      <w:r w:rsidR="00351F89">
        <w:rPr>
          <w:rFonts w:ascii="Times New Roman" w:hAnsi="Times New Roman" w:cs="Times New Roman"/>
          <w:sz w:val="24"/>
          <w:szCs w:val="24"/>
        </w:rPr>
        <w:t xml:space="preserve">ccepting these averments as true still does not warrant granting PGW’s motion and dismissing </w:t>
      </w:r>
      <w:r w:rsidR="000D136F">
        <w:rPr>
          <w:rFonts w:ascii="Times New Roman" w:hAnsi="Times New Roman" w:cs="Times New Roman"/>
          <w:sz w:val="24"/>
          <w:szCs w:val="24"/>
        </w:rPr>
        <w:t>Ms. Graham’s complaint on a preliminary basis.</w:t>
      </w:r>
    </w:p>
    <w:p w14:paraId="1A642BA6" w14:textId="0FEB4C42" w:rsidR="00637E31" w:rsidRDefault="00637E31" w:rsidP="00E94071">
      <w:pPr>
        <w:spacing w:after="0" w:line="360" w:lineRule="auto"/>
        <w:ind w:firstLine="1440"/>
        <w:rPr>
          <w:rFonts w:ascii="Times New Roman" w:hAnsi="Times New Roman" w:cs="Times New Roman"/>
          <w:sz w:val="24"/>
          <w:szCs w:val="24"/>
        </w:rPr>
      </w:pPr>
    </w:p>
    <w:p w14:paraId="3ACD7684" w14:textId="6D7E7B9F" w:rsidR="003A59AA" w:rsidRDefault="000A060A" w:rsidP="00BA4A2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PGW’s averments in its new matter generally pertain to the passing of Allen Graham, the customer of record at the service address, alleged </w:t>
      </w:r>
      <w:r w:rsidR="008D63C6">
        <w:rPr>
          <w:rFonts w:ascii="Times New Roman" w:hAnsi="Times New Roman" w:cs="Times New Roman"/>
          <w:sz w:val="24"/>
          <w:szCs w:val="24"/>
        </w:rPr>
        <w:t>fraudulent activities by Ms. Graham</w:t>
      </w:r>
      <w:r w:rsidR="00E80B00">
        <w:rPr>
          <w:rFonts w:ascii="Times New Roman" w:hAnsi="Times New Roman" w:cs="Times New Roman"/>
          <w:sz w:val="24"/>
          <w:szCs w:val="24"/>
        </w:rPr>
        <w:t xml:space="preserve"> and efforts by Ms. Graham to become the customer of record at the service address.  </w:t>
      </w:r>
      <w:r w:rsidR="00F34505">
        <w:rPr>
          <w:rFonts w:ascii="Times New Roman" w:hAnsi="Times New Roman" w:cs="Times New Roman"/>
          <w:sz w:val="24"/>
          <w:szCs w:val="24"/>
        </w:rPr>
        <w:t>It is unclear, even when accepting these averments as true, how Ms. Graham lacks standing to bring her complaint</w:t>
      </w:r>
      <w:r w:rsidR="00724D66">
        <w:rPr>
          <w:rFonts w:ascii="Times New Roman" w:hAnsi="Times New Roman" w:cs="Times New Roman"/>
          <w:sz w:val="24"/>
          <w:szCs w:val="24"/>
        </w:rPr>
        <w:t xml:space="preserve">, particularly when </w:t>
      </w:r>
      <w:r w:rsidR="00944DCF">
        <w:rPr>
          <w:rFonts w:ascii="Times New Roman" w:hAnsi="Times New Roman" w:cs="Times New Roman"/>
          <w:sz w:val="24"/>
          <w:szCs w:val="24"/>
        </w:rPr>
        <w:t>viewing these averments in the light most favorable to Ms. Graham</w:t>
      </w:r>
      <w:r w:rsidR="00F34505">
        <w:rPr>
          <w:rFonts w:ascii="Times New Roman" w:hAnsi="Times New Roman" w:cs="Times New Roman"/>
          <w:sz w:val="24"/>
          <w:szCs w:val="24"/>
        </w:rPr>
        <w:t xml:space="preserve">.  In particular, </w:t>
      </w:r>
      <w:r w:rsidR="00AE7E23">
        <w:rPr>
          <w:rFonts w:ascii="Times New Roman" w:hAnsi="Times New Roman" w:cs="Times New Roman"/>
          <w:sz w:val="24"/>
          <w:szCs w:val="24"/>
        </w:rPr>
        <w:t xml:space="preserve">PGW averred </w:t>
      </w:r>
      <w:r w:rsidR="00990372">
        <w:rPr>
          <w:rFonts w:ascii="Times New Roman" w:hAnsi="Times New Roman" w:cs="Times New Roman"/>
          <w:sz w:val="24"/>
          <w:szCs w:val="24"/>
        </w:rPr>
        <w:t xml:space="preserve">in its new matter </w:t>
      </w:r>
      <w:r w:rsidR="00AE7E23">
        <w:rPr>
          <w:rFonts w:ascii="Times New Roman" w:hAnsi="Times New Roman" w:cs="Times New Roman"/>
          <w:sz w:val="24"/>
          <w:szCs w:val="24"/>
        </w:rPr>
        <w:t xml:space="preserve">that Ms. Graham contacted PGW to apply for service, she submitted documentation in support of that application and she has been occupying the property at the service address.  While </w:t>
      </w:r>
      <w:r w:rsidR="004E470E">
        <w:rPr>
          <w:rFonts w:ascii="Times New Roman" w:hAnsi="Times New Roman" w:cs="Times New Roman"/>
          <w:sz w:val="24"/>
          <w:szCs w:val="24"/>
        </w:rPr>
        <w:t xml:space="preserve">PGW maintains that these actions were done fraudulently or illegally, they are all </w:t>
      </w:r>
      <w:r w:rsidR="00D30E7B">
        <w:rPr>
          <w:rFonts w:ascii="Times New Roman" w:hAnsi="Times New Roman" w:cs="Times New Roman"/>
          <w:sz w:val="24"/>
          <w:szCs w:val="24"/>
        </w:rPr>
        <w:t xml:space="preserve">nonetheless </w:t>
      </w:r>
      <w:r w:rsidR="004E470E">
        <w:rPr>
          <w:rFonts w:ascii="Times New Roman" w:hAnsi="Times New Roman" w:cs="Times New Roman"/>
          <w:sz w:val="24"/>
          <w:szCs w:val="24"/>
        </w:rPr>
        <w:t xml:space="preserve">actions that </w:t>
      </w:r>
      <w:r w:rsidR="00A97DC6">
        <w:rPr>
          <w:rFonts w:ascii="Times New Roman" w:hAnsi="Times New Roman" w:cs="Times New Roman"/>
          <w:sz w:val="24"/>
          <w:szCs w:val="24"/>
        </w:rPr>
        <w:t>give Ms. Graham standing to bring her complaint.</w:t>
      </w:r>
      <w:r w:rsidR="00BA4A26">
        <w:rPr>
          <w:rFonts w:ascii="Times New Roman" w:hAnsi="Times New Roman" w:cs="Times New Roman"/>
          <w:sz w:val="24"/>
          <w:szCs w:val="24"/>
        </w:rPr>
        <w:t xml:space="preserve">  </w:t>
      </w:r>
      <w:r w:rsidR="00944DCF">
        <w:rPr>
          <w:rFonts w:ascii="Times New Roman" w:hAnsi="Times New Roman" w:cs="Times New Roman"/>
          <w:sz w:val="24"/>
          <w:szCs w:val="24"/>
        </w:rPr>
        <w:t xml:space="preserve">These averments demonstrate that Ms. Graham’s </w:t>
      </w:r>
      <w:r w:rsidR="00235672">
        <w:rPr>
          <w:rFonts w:ascii="Times New Roman" w:hAnsi="Times New Roman" w:cs="Times New Roman"/>
          <w:sz w:val="24"/>
          <w:szCs w:val="24"/>
        </w:rPr>
        <w:t xml:space="preserve">interest in the matter in which she complains is substantial, </w:t>
      </w:r>
      <w:proofErr w:type="gramStart"/>
      <w:r w:rsidR="00235672">
        <w:rPr>
          <w:rFonts w:ascii="Times New Roman" w:hAnsi="Times New Roman" w:cs="Times New Roman"/>
          <w:sz w:val="24"/>
          <w:szCs w:val="24"/>
        </w:rPr>
        <w:t>immediate</w:t>
      </w:r>
      <w:proofErr w:type="gramEnd"/>
      <w:r w:rsidR="00235672">
        <w:rPr>
          <w:rFonts w:ascii="Times New Roman" w:hAnsi="Times New Roman" w:cs="Times New Roman"/>
          <w:sz w:val="24"/>
          <w:szCs w:val="24"/>
        </w:rPr>
        <w:t xml:space="preserve"> and direct</w:t>
      </w:r>
      <w:r w:rsidR="00975A1F">
        <w:rPr>
          <w:rFonts w:ascii="Times New Roman" w:hAnsi="Times New Roman" w:cs="Times New Roman"/>
          <w:sz w:val="24"/>
          <w:szCs w:val="24"/>
        </w:rPr>
        <w:t>, as noted above</w:t>
      </w:r>
      <w:r w:rsidR="00403963">
        <w:rPr>
          <w:rFonts w:ascii="Times New Roman" w:hAnsi="Times New Roman" w:cs="Times New Roman"/>
          <w:sz w:val="24"/>
          <w:szCs w:val="24"/>
        </w:rPr>
        <w:t xml:space="preserve">.  As such, </w:t>
      </w:r>
      <w:proofErr w:type="gramStart"/>
      <w:r w:rsidR="00403963">
        <w:rPr>
          <w:rFonts w:ascii="Times New Roman" w:hAnsi="Times New Roman" w:cs="Times New Roman"/>
          <w:sz w:val="24"/>
          <w:szCs w:val="24"/>
        </w:rPr>
        <w:t>s</w:t>
      </w:r>
      <w:r w:rsidR="003A59AA">
        <w:rPr>
          <w:rFonts w:ascii="Times New Roman" w:hAnsi="Times New Roman" w:cs="Times New Roman"/>
          <w:sz w:val="24"/>
          <w:szCs w:val="24"/>
        </w:rPr>
        <w:t>imilar to</w:t>
      </w:r>
      <w:proofErr w:type="gramEnd"/>
      <w:r w:rsidR="003A59AA">
        <w:rPr>
          <w:rFonts w:ascii="Times New Roman" w:hAnsi="Times New Roman" w:cs="Times New Roman"/>
          <w:sz w:val="24"/>
          <w:szCs w:val="24"/>
        </w:rPr>
        <w:t xml:space="preserve"> PGW’s preliminary objection, </w:t>
      </w:r>
      <w:r w:rsidR="00BC2145">
        <w:rPr>
          <w:rFonts w:ascii="Times New Roman" w:hAnsi="Times New Roman" w:cs="Times New Roman"/>
          <w:sz w:val="24"/>
          <w:szCs w:val="24"/>
        </w:rPr>
        <w:t xml:space="preserve">PGW still has not demonstrated that Ms. Graham’s complaint should be dismissed on a preliminary basis due to a lack of standing.  For the same reasons why the preliminary objection is denied, </w:t>
      </w:r>
      <w:r w:rsidR="00395748">
        <w:rPr>
          <w:rFonts w:ascii="Times New Roman" w:hAnsi="Times New Roman" w:cs="Times New Roman"/>
          <w:sz w:val="24"/>
          <w:szCs w:val="24"/>
        </w:rPr>
        <w:t xml:space="preserve">Ms. Graham’s interest in the matters she complained of in her complaint are substantial, direct and immediate.  Therefore, Ms. Graham has standing to bring those </w:t>
      </w:r>
      <w:r w:rsidR="00E560C3">
        <w:rPr>
          <w:rFonts w:ascii="Times New Roman" w:hAnsi="Times New Roman" w:cs="Times New Roman"/>
          <w:sz w:val="24"/>
          <w:szCs w:val="24"/>
        </w:rPr>
        <w:t>issues, despite the fact that she failed to deny PGW’s new matter.</w:t>
      </w:r>
    </w:p>
    <w:p w14:paraId="6C34B48B" w14:textId="3CFF3554" w:rsidR="000A6E43" w:rsidRDefault="000A6E43" w:rsidP="00A66362">
      <w:pPr>
        <w:pStyle w:val="Style"/>
        <w:widowControl/>
        <w:spacing w:line="360" w:lineRule="auto"/>
        <w:rPr>
          <w:bCs/>
          <w:color w:val="000000"/>
        </w:rPr>
      </w:pPr>
    </w:p>
    <w:p w14:paraId="0674BF00" w14:textId="01C8B5F7" w:rsidR="008F1051" w:rsidRDefault="000A6E43" w:rsidP="005B1850">
      <w:pPr>
        <w:pStyle w:val="Style"/>
        <w:widowControl/>
        <w:spacing w:line="360" w:lineRule="auto"/>
        <w:ind w:firstLine="1440"/>
        <w:rPr>
          <w:rFonts w:eastAsia="Calibri"/>
          <w:bCs/>
          <w:color w:val="000000"/>
        </w:rPr>
      </w:pPr>
      <w:r>
        <w:rPr>
          <w:bCs/>
          <w:color w:val="000000"/>
        </w:rPr>
        <w:t xml:space="preserve">As a result, PGW’s motion for judgment on the pleadings will also be </w:t>
      </w:r>
      <w:r w:rsidR="00403963">
        <w:rPr>
          <w:bCs/>
          <w:color w:val="000000"/>
        </w:rPr>
        <w:t>denied</w:t>
      </w:r>
      <w:r>
        <w:rPr>
          <w:bCs/>
          <w:color w:val="000000"/>
        </w:rPr>
        <w:t>.</w:t>
      </w:r>
      <w:r w:rsidR="006E7775">
        <w:rPr>
          <w:bCs/>
          <w:color w:val="000000"/>
        </w:rPr>
        <w:t xml:space="preserve">  </w:t>
      </w:r>
      <w:r w:rsidR="00DB5F16">
        <w:rPr>
          <w:bCs/>
          <w:color w:val="000000"/>
        </w:rPr>
        <w:t>W</w:t>
      </w:r>
      <w:r w:rsidR="006E7775">
        <w:rPr>
          <w:bCs/>
          <w:color w:val="000000"/>
        </w:rPr>
        <w:t xml:space="preserve">hen viewing </w:t>
      </w:r>
      <w:r w:rsidR="006E7775" w:rsidRPr="00C701C5">
        <w:rPr>
          <w:snapToGrid w:val="0"/>
        </w:rPr>
        <w:t>the record in the light most favorable to the nonmoving party</w:t>
      </w:r>
      <w:r w:rsidR="00DB5F16">
        <w:rPr>
          <w:snapToGrid w:val="0"/>
        </w:rPr>
        <w:t xml:space="preserve">, Ms. Graham, </w:t>
      </w:r>
      <w:r w:rsidR="002E78EE">
        <w:rPr>
          <w:snapToGrid w:val="0"/>
        </w:rPr>
        <w:t xml:space="preserve">and accepting as true </w:t>
      </w:r>
      <w:r w:rsidR="0005575E">
        <w:rPr>
          <w:snapToGrid w:val="0"/>
        </w:rPr>
        <w:t xml:space="preserve">PGW’s new matter, </w:t>
      </w:r>
      <w:r w:rsidR="002E78EE" w:rsidRPr="00C701C5">
        <w:rPr>
          <w:rFonts w:eastAsia="Calibri"/>
          <w:bCs/>
          <w:color w:val="000000"/>
        </w:rPr>
        <w:t xml:space="preserve">there is no </w:t>
      </w:r>
      <w:r w:rsidR="0005575E">
        <w:rPr>
          <w:rFonts w:eastAsia="Calibri"/>
          <w:bCs/>
          <w:color w:val="000000"/>
        </w:rPr>
        <w:t xml:space="preserve">showing that there is no </w:t>
      </w:r>
      <w:r w:rsidR="002E78EE" w:rsidRPr="00C701C5">
        <w:rPr>
          <w:rFonts w:eastAsia="Calibri"/>
          <w:bCs/>
          <w:color w:val="000000"/>
        </w:rPr>
        <w:t xml:space="preserve">genuine issue as to a material fact </w:t>
      </w:r>
      <w:r w:rsidR="00EF2D0A">
        <w:rPr>
          <w:rFonts w:eastAsia="Calibri"/>
          <w:bCs/>
          <w:color w:val="000000"/>
        </w:rPr>
        <w:t xml:space="preserve">or </w:t>
      </w:r>
      <w:r w:rsidR="002E78EE" w:rsidRPr="00C701C5">
        <w:rPr>
          <w:rFonts w:eastAsia="Calibri"/>
          <w:bCs/>
          <w:color w:val="000000"/>
        </w:rPr>
        <w:t xml:space="preserve">that </w:t>
      </w:r>
      <w:r w:rsidR="007B4093">
        <w:rPr>
          <w:rFonts w:eastAsia="Calibri"/>
          <w:bCs/>
          <w:color w:val="000000"/>
        </w:rPr>
        <w:t>PGW</w:t>
      </w:r>
      <w:r w:rsidR="002E78EE" w:rsidRPr="00C701C5">
        <w:rPr>
          <w:rFonts w:eastAsia="Calibri"/>
          <w:bCs/>
          <w:color w:val="000000"/>
        </w:rPr>
        <w:t xml:space="preserve"> is entitled to a judgment as a matter of law on one or more but not all outstanding issues</w:t>
      </w:r>
      <w:r w:rsidR="00EF2D0A">
        <w:rPr>
          <w:rFonts w:eastAsia="Calibri"/>
          <w:bCs/>
          <w:color w:val="000000"/>
        </w:rPr>
        <w:t>.</w:t>
      </w:r>
      <w:r w:rsidR="00CE2671">
        <w:rPr>
          <w:rFonts w:eastAsia="Calibri"/>
          <w:bCs/>
          <w:color w:val="000000"/>
        </w:rPr>
        <w:t xml:space="preserve">  Ms. Graham’s interest in the matter in which she complained of is substantial, </w:t>
      </w:r>
      <w:proofErr w:type="gramStart"/>
      <w:r w:rsidR="00CE2671">
        <w:rPr>
          <w:rFonts w:eastAsia="Calibri"/>
          <w:bCs/>
          <w:color w:val="000000"/>
        </w:rPr>
        <w:t>direct</w:t>
      </w:r>
      <w:proofErr w:type="gramEnd"/>
      <w:r w:rsidR="00CE2671">
        <w:rPr>
          <w:rFonts w:eastAsia="Calibri"/>
          <w:bCs/>
          <w:color w:val="000000"/>
        </w:rPr>
        <w:t xml:space="preserve"> and immediate and she therefore has standing to bring the complaint.</w:t>
      </w:r>
    </w:p>
    <w:p w14:paraId="6812FB29" w14:textId="6CB1E202" w:rsidR="001B2FE5" w:rsidRPr="005B1850" w:rsidRDefault="001B2FE5" w:rsidP="005B1850">
      <w:pPr>
        <w:pStyle w:val="Style"/>
        <w:widowControl/>
        <w:spacing w:line="360" w:lineRule="auto"/>
        <w:ind w:firstLine="1440"/>
        <w:rPr>
          <w:bCs/>
          <w:color w:val="000000"/>
        </w:rPr>
      </w:pPr>
      <w:r>
        <w:rPr>
          <w:rFonts w:eastAsia="Calibri"/>
          <w:bCs/>
          <w:color w:val="000000"/>
        </w:rPr>
        <w:lastRenderedPageBreak/>
        <w:t>Since PGW’s motion will be denied, so too will PGW’s quest that the Commission allow PGW leave to terminate service to the service address immediately.</w:t>
      </w:r>
    </w:p>
    <w:p w14:paraId="41D6A14A" w14:textId="61F658D1" w:rsidR="0090434D" w:rsidRPr="0090434D" w:rsidRDefault="0090434D" w:rsidP="001875BC">
      <w:pPr>
        <w:spacing w:after="0" w:line="360" w:lineRule="auto"/>
        <w:rPr>
          <w:rFonts w:ascii="Times New Roman" w:eastAsia="Times New Roman" w:hAnsi="Times New Roman" w:cs="Times New Roman"/>
          <w:sz w:val="24"/>
          <w:szCs w:val="24"/>
        </w:rPr>
      </w:pPr>
    </w:p>
    <w:p w14:paraId="42BA27F6" w14:textId="31E9FA3F" w:rsidR="0090434D" w:rsidRPr="0090434D" w:rsidRDefault="0090434D" w:rsidP="001875BC">
      <w:pPr>
        <w:spacing w:after="0" w:line="360" w:lineRule="auto"/>
        <w:rPr>
          <w:rFonts w:ascii="Times New Roman" w:eastAsia="Times New Roman" w:hAnsi="Times New Roman" w:cs="Times New Roman"/>
          <w:sz w:val="24"/>
          <w:szCs w:val="24"/>
        </w:rPr>
      </w:pPr>
      <w:r w:rsidRPr="0090434D">
        <w:rPr>
          <w:rFonts w:ascii="Times New Roman" w:eastAsia="Times New Roman" w:hAnsi="Times New Roman" w:cs="Times New Roman"/>
          <w:b/>
          <w:bCs/>
          <w:sz w:val="24"/>
          <w:szCs w:val="24"/>
          <w:u w:val="single"/>
        </w:rPr>
        <w:t>Conclusion</w:t>
      </w:r>
    </w:p>
    <w:p w14:paraId="783204D2" w14:textId="31EFE680" w:rsidR="0090434D" w:rsidRPr="0090434D" w:rsidRDefault="0090434D" w:rsidP="001875BC">
      <w:pPr>
        <w:spacing w:after="0" w:line="360" w:lineRule="auto"/>
        <w:rPr>
          <w:rFonts w:ascii="Times New Roman" w:eastAsia="Times New Roman" w:hAnsi="Times New Roman" w:cs="Times New Roman"/>
          <w:sz w:val="24"/>
          <w:szCs w:val="24"/>
        </w:rPr>
      </w:pPr>
    </w:p>
    <w:p w14:paraId="5B6A79DD" w14:textId="79BA8212" w:rsidR="0090434D" w:rsidRDefault="00BA0801" w:rsidP="001875B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conclusion, </w:t>
      </w:r>
      <w:r w:rsidR="008A687C">
        <w:rPr>
          <w:rFonts w:ascii="Times New Roman" w:eastAsia="Times New Roman" w:hAnsi="Times New Roman" w:cs="Times New Roman"/>
          <w:sz w:val="24"/>
          <w:szCs w:val="24"/>
        </w:rPr>
        <w:t xml:space="preserve">PGW’s preliminary objection and motion for judgment on the pleadings will be </w:t>
      </w:r>
      <w:r w:rsidR="00A110D0">
        <w:rPr>
          <w:rFonts w:ascii="Times New Roman" w:eastAsia="Times New Roman" w:hAnsi="Times New Roman" w:cs="Times New Roman"/>
          <w:sz w:val="24"/>
          <w:szCs w:val="24"/>
        </w:rPr>
        <w:t>denied</w:t>
      </w:r>
      <w:r w:rsidR="008A687C">
        <w:rPr>
          <w:rFonts w:ascii="Times New Roman" w:eastAsia="Times New Roman" w:hAnsi="Times New Roman" w:cs="Times New Roman"/>
          <w:sz w:val="24"/>
          <w:szCs w:val="24"/>
        </w:rPr>
        <w:t xml:space="preserve">.  When accepting as true all well plead material averments in </w:t>
      </w:r>
      <w:r w:rsidR="00D87A7E">
        <w:rPr>
          <w:rFonts w:ascii="Times New Roman" w:eastAsia="Times New Roman" w:hAnsi="Times New Roman" w:cs="Times New Roman"/>
          <w:sz w:val="24"/>
          <w:szCs w:val="24"/>
        </w:rPr>
        <w:t xml:space="preserve">Ms. Graham’s complaint, and viewing all averments in the light most favorable to Ms. Graham, as is required when disposing of PGW’s preliminary objection, it is not clear that Ms. Graham is not entitled to </w:t>
      </w:r>
      <w:r w:rsidR="00B97FB3">
        <w:rPr>
          <w:rFonts w:ascii="Times New Roman" w:eastAsia="Times New Roman" w:hAnsi="Times New Roman" w:cs="Times New Roman"/>
          <w:sz w:val="24"/>
          <w:szCs w:val="24"/>
        </w:rPr>
        <w:t xml:space="preserve">any relief as a matter of law.  Similarly, when accepting as true PGW’s averments in its new matter, which Ms. Graham did not refute, it is also not clear that Ms. Graham is not entitled to judgment </w:t>
      </w:r>
      <w:r w:rsidR="00CF0F26">
        <w:rPr>
          <w:rFonts w:ascii="Times New Roman" w:eastAsia="Times New Roman" w:hAnsi="Times New Roman" w:cs="Times New Roman"/>
          <w:sz w:val="24"/>
          <w:szCs w:val="24"/>
        </w:rPr>
        <w:t xml:space="preserve">as a matter of law on any issues.  Both the preliminary objection and the motion for judgment on the pleadings are based on an allegation that Ms. Graham lacks standing to bring the complaint.  Yet, Ms. Graham’s interest in the matter of which she complains </w:t>
      </w:r>
      <w:r w:rsidR="007255F3">
        <w:rPr>
          <w:rFonts w:ascii="Times New Roman" w:eastAsia="Times New Roman" w:hAnsi="Times New Roman" w:cs="Times New Roman"/>
          <w:sz w:val="24"/>
          <w:szCs w:val="24"/>
        </w:rPr>
        <w:t>is</w:t>
      </w:r>
      <w:r w:rsidR="000B101A">
        <w:rPr>
          <w:rFonts w:ascii="Times New Roman" w:eastAsia="Times New Roman" w:hAnsi="Times New Roman" w:cs="Times New Roman"/>
          <w:sz w:val="24"/>
          <w:szCs w:val="24"/>
        </w:rPr>
        <w:t xml:space="preserve"> substantial, </w:t>
      </w:r>
      <w:proofErr w:type="gramStart"/>
      <w:r w:rsidR="000B101A">
        <w:rPr>
          <w:rFonts w:ascii="Times New Roman" w:eastAsia="Times New Roman" w:hAnsi="Times New Roman" w:cs="Times New Roman"/>
          <w:sz w:val="24"/>
          <w:szCs w:val="24"/>
        </w:rPr>
        <w:t>direct</w:t>
      </w:r>
      <w:proofErr w:type="gramEnd"/>
      <w:r w:rsidR="000B101A">
        <w:rPr>
          <w:rFonts w:ascii="Times New Roman" w:eastAsia="Times New Roman" w:hAnsi="Times New Roman" w:cs="Times New Roman"/>
          <w:sz w:val="24"/>
          <w:szCs w:val="24"/>
        </w:rPr>
        <w:t xml:space="preserve"> and immediate and, therefore, Ms. Graham has standing to bring the complaint.  </w:t>
      </w:r>
      <w:r w:rsidR="00A110D0">
        <w:rPr>
          <w:rFonts w:ascii="Times New Roman" w:eastAsia="Times New Roman" w:hAnsi="Times New Roman" w:cs="Times New Roman"/>
          <w:sz w:val="24"/>
          <w:szCs w:val="24"/>
        </w:rPr>
        <w:t xml:space="preserve">PGW has otherwise provided no other reason why Ms. Graham’s complaint should be dismissed on a preliminary basis.  </w:t>
      </w:r>
      <w:r w:rsidR="000B101A">
        <w:rPr>
          <w:rFonts w:ascii="Times New Roman" w:eastAsia="Times New Roman" w:hAnsi="Times New Roman" w:cs="Times New Roman"/>
          <w:sz w:val="24"/>
          <w:szCs w:val="24"/>
        </w:rPr>
        <w:t xml:space="preserve">PGW’s preliminary objection and motion will be </w:t>
      </w:r>
      <w:proofErr w:type="gramStart"/>
      <w:r w:rsidR="000B101A">
        <w:rPr>
          <w:rFonts w:ascii="Times New Roman" w:eastAsia="Times New Roman" w:hAnsi="Times New Roman" w:cs="Times New Roman"/>
          <w:sz w:val="24"/>
          <w:szCs w:val="24"/>
        </w:rPr>
        <w:t>denied</w:t>
      </w:r>
      <w:proofErr w:type="gramEnd"/>
      <w:r w:rsidR="000B101A">
        <w:rPr>
          <w:rFonts w:ascii="Times New Roman" w:eastAsia="Times New Roman" w:hAnsi="Times New Roman" w:cs="Times New Roman"/>
          <w:sz w:val="24"/>
          <w:szCs w:val="24"/>
        </w:rPr>
        <w:t xml:space="preserve"> and Ms. Graham’s complaint will be heard at an evidentiary hearing.</w:t>
      </w:r>
    </w:p>
    <w:p w14:paraId="3B1F96B1" w14:textId="77777777" w:rsidR="005C771D" w:rsidRDefault="005C771D" w:rsidP="001875BC">
      <w:pPr>
        <w:spacing w:after="0" w:line="360" w:lineRule="auto"/>
        <w:rPr>
          <w:rFonts w:ascii="Times New Roman" w:eastAsia="Times New Roman" w:hAnsi="Times New Roman" w:cs="Times New Roman"/>
          <w:sz w:val="24"/>
          <w:szCs w:val="24"/>
        </w:rPr>
      </w:pPr>
    </w:p>
    <w:p w14:paraId="6608EC5E" w14:textId="562C46B9" w:rsidR="005C771D" w:rsidRPr="00021A37" w:rsidRDefault="005C771D" w:rsidP="005C771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21A37">
        <w:rPr>
          <w:rFonts w:ascii="Times New Roman" w:eastAsiaTheme="minorEastAsia" w:hAnsi="Times New Roman" w:cs="Times New Roman"/>
          <w:sz w:val="24"/>
          <w:szCs w:val="24"/>
        </w:rPr>
        <w:t xml:space="preserve">In addition, it is noted that, </w:t>
      </w:r>
      <w:r w:rsidRPr="00021A37">
        <w:rPr>
          <w:rFonts w:ascii="Times New Roman" w:eastAsia="Times New Roman" w:hAnsi="Times New Roman" w:cs="Times New Roman"/>
          <w:snapToGrid w:val="0"/>
          <w:sz w:val="24"/>
          <w:szCs w:val="24"/>
        </w:rPr>
        <w:t>i</w:t>
      </w:r>
      <w:r w:rsidRPr="00021A37">
        <w:rPr>
          <w:rFonts w:ascii="Times New Roman" w:eastAsia="Times New Roman" w:hAnsi="Times New Roman" w:cs="Times New Roman"/>
          <w:color w:val="000000"/>
          <w:sz w:val="24"/>
          <w:szCs w:val="24"/>
        </w:rPr>
        <w:t xml:space="preserve">n </w:t>
      </w:r>
      <w:r w:rsidRPr="00021A37">
        <w:rPr>
          <w:rFonts w:ascii="Times New Roman" w:eastAsia="Times New Roman" w:hAnsi="Times New Roman" w:cs="Times New Roman"/>
          <w:color w:val="000000"/>
          <w:sz w:val="24"/>
          <w:szCs w:val="24"/>
          <w:u w:val="single"/>
        </w:rPr>
        <w:t>Richard Carlock v. The United Telephone Company of Pennsylvania</w:t>
      </w:r>
      <w:r w:rsidRPr="00021A37">
        <w:rPr>
          <w:rFonts w:ascii="Times New Roman" w:eastAsia="Times New Roman" w:hAnsi="Times New Roman" w:cs="Times New Roman"/>
          <w:color w:val="000000"/>
          <w:sz w:val="24"/>
          <w:szCs w:val="24"/>
        </w:rPr>
        <w:t>, Docket No. F-00163617 (Order entered July 14, 1993) (</w:t>
      </w:r>
      <w:r w:rsidRPr="00021A37">
        <w:rPr>
          <w:rFonts w:ascii="Times New Roman" w:eastAsia="Times New Roman" w:hAnsi="Times New Roman" w:cs="Times New Roman"/>
          <w:color w:val="000000"/>
          <w:sz w:val="24"/>
          <w:szCs w:val="24"/>
          <w:u w:val="single"/>
        </w:rPr>
        <w:t>Carlock</w:t>
      </w:r>
      <w:r w:rsidRPr="00021A37">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on the basis of a preliminary pleading.  </w:t>
      </w:r>
      <w:r w:rsidRPr="00021A37">
        <w:rPr>
          <w:rFonts w:ascii="Times New Roman" w:eastAsia="Times New Roman" w:hAnsi="Times New Roman" w:cs="Times New Roman"/>
          <w:color w:val="000000"/>
          <w:sz w:val="24"/>
          <w:szCs w:val="24"/>
          <w:u w:val="single"/>
        </w:rPr>
        <w:t>Id.</w:t>
      </w:r>
      <w:r w:rsidRPr="00021A37">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21A37">
        <w:rPr>
          <w:rFonts w:ascii="Times New Roman" w:eastAsia="Times New Roman" w:hAnsi="Times New Roman" w:cs="Times New Roman"/>
          <w:i/>
          <w:color w:val="000000"/>
          <w:sz w:val="24"/>
          <w:szCs w:val="24"/>
        </w:rPr>
        <w:t>citing</w:t>
      </w:r>
      <w:r w:rsidRPr="00021A37">
        <w:rPr>
          <w:rFonts w:ascii="Times New Roman" w:eastAsia="Times New Roman" w:hAnsi="Times New Roman" w:cs="Times New Roman"/>
          <w:color w:val="000000"/>
          <w:sz w:val="24"/>
          <w:szCs w:val="24"/>
        </w:rPr>
        <w:t xml:space="preserve">, </w:t>
      </w:r>
      <w:r w:rsidRPr="00021A37">
        <w:rPr>
          <w:rFonts w:ascii="Times New Roman" w:eastAsia="Times New Roman" w:hAnsi="Times New Roman" w:cs="Times New Roman"/>
          <w:color w:val="000000"/>
          <w:sz w:val="24"/>
          <w:szCs w:val="24"/>
          <w:u w:val="single"/>
        </w:rPr>
        <w:t>Halpern v. The Bell Telephone Company of Pennsylvania</w:t>
      </w:r>
      <w:r w:rsidRPr="00021A37">
        <w:rPr>
          <w:rFonts w:ascii="Times New Roman" w:eastAsia="Times New Roman" w:hAnsi="Times New Roman" w:cs="Times New Roman"/>
          <w:color w:val="000000"/>
          <w:sz w:val="24"/>
          <w:szCs w:val="24"/>
        </w:rPr>
        <w:t xml:space="preserve">, Docket No. C-00923950 (Order entered October 1992) and </w:t>
      </w:r>
      <w:r w:rsidRPr="00021A37">
        <w:rPr>
          <w:rFonts w:ascii="Times New Roman" w:eastAsia="Times New Roman" w:hAnsi="Times New Roman" w:cs="Times New Roman"/>
          <w:color w:val="000000"/>
          <w:sz w:val="24"/>
          <w:szCs w:val="24"/>
          <w:u w:val="single"/>
        </w:rPr>
        <w:t xml:space="preserve">William </w:t>
      </w:r>
      <w:proofErr w:type="spellStart"/>
      <w:r w:rsidRPr="00021A37">
        <w:rPr>
          <w:rFonts w:ascii="Times New Roman" w:eastAsia="Times New Roman" w:hAnsi="Times New Roman" w:cs="Times New Roman"/>
          <w:color w:val="000000"/>
          <w:sz w:val="24"/>
          <w:szCs w:val="24"/>
          <w:u w:val="single"/>
        </w:rPr>
        <w:t>Schleisher</w:t>
      </w:r>
      <w:proofErr w:type="spellEnd"/>
      <w:r w:rsidRPr="00021A37">
        <w:rPr>
          <w:rFonts w:ascii="Times New Roman" w:eastAsia="Times New Roman" w:hAnsi="Times New Roman" w:cs="Times New Roman"/>
          <w:color w:val="000000"/>
          <w:sz w:val="24"/>
          <w:szCs w:val="24"/>
          <w:u w:val="single"/>
        </w:rPr>
        <w:t xml:space="preserve"> v. The Bell Telephone Company of Pennsylvania</w:t>
      </w:r>
      <w:r w:rsidRPr="00021A37">
        <w:rPr>
          <w:rFonts w:ascii="Times New Roman" w:eastAsia="Times New Roman" w:hAnsi="Times New Roman" w:cs="Times New Roman"/>
          <w:color w:val="000000"/>
          <w:sz w:val="24"/>
          <w:szCs w:val="24"/>
        </w:rPr>
        <w:t xml:space="preserve">, Docket No. F-00161252 (Order entered December 17, 1992); </w:t>
      </w:r>
      <w:r w:rsidRPr="00021A37">
        <w:rPr>
          <w:rFonts w:ascii="Times New Roman" w:eastAsia="Times New Roman" w:hAnsi="Times New Roman" w:cs="Times New Roman"/>
          <w:i/>
          <w:color w:val="000000"/>
          <w:sz w:val="24"/>
          <w:szCs w:val="24"/>
        </w:rPr>
        <w:t>see also</w:t>
      </w:r>
      <w:r w:rsidRPr="00021A37">
        <w:rPr>
          <w:rFonts w:ascii="Times New Roman" w:eastAsia="Times New Roman" w:hAnsi="Times New Roman" w:cs="Times New Roman"/>
          <w:color w:val="000000"/>
          <w:sz w:val="24"/>
          <w:szCs w:val="24"/>
        </w:rPr>
        <w:t xml:space="preserve">, </w:t>
      </w:r>
      <w:r w:rsidRPr="00021A37">
        <w:rPr>
          <w:rFonts w:ascii="Times New Roman" w:eastAsia="Times New Roman" w:hAnsi="Times New Roman" w:cs="Times New Roman"/>
          <w:color w:val="000000"/>
          <w:sz w:val="24"/>
          <w:szCs w:val="24"/>
          <w:u w:val="single"/>
        </w:rPr>
        <w:t>John M. Gera v. PPL Electric Utilities Corporation</w:t>
      </w:r>
      <w:r w:rsidRPr="00021A37">
        <w:rPr>
          <w:rFonts w:ascii="Times New Roman" w:eastAsia="Times New Roman" w:hAnsi="Times New Roman" w:cs="Times New Roman"/>
          <w:color w:val="000000"/>
          <w:sz w:val="24"/>
          <w:szCs w:val="24"/>
        </w:rPr>
        <w:t xml:space="preserve">, Docket No. C-20054657 (Opinion and Order entered </w:t>
      </w:r>
      <w:r w:rsidRPr="00021A37">
        <w:rPr>
          <w:rFonts w:ascii="Times New Roman" w:eastAsia="Times New Roman" w:hAnsi="Times New Roman" w:cs="Times New Roman"/>
          <w:color w:val="000000"/>
          <w:sz w:val="24"/>
          <w:szCs w:val="24"/>
        </w:rPr>
        <w:lastRenderedPageBreak/>
        <w:t>November 2, 2005).</w:t>
      </w:r>
      <w:r w:rsidRPr="00021A37">
        <w:rPr>
          <w:rFonts w:ascii="Times New Roman" w:eastAsia="Times New Roman" w:hAnsi="Times New Roman" w:cs="Times New Roman"/>
          <w:color w:val="000000"/>
          <w:sz w:val="24"/>
          <w:szCs w:val="24"/>
          <w:vertAlign w:val="superscript"/>
        </w:rPr>
        <w:footnoteReference w:id="1"/>
      </w:r>
      <w:r w:rsidRPr="00021A37">
        <w:rPr>
          <w:rFonts w:ascii="Times New Roman" w:eastAsia="Times New Roman" w:hAnsi="Times New Roman" w:cs="Times New Roman"/>
          <w:color w:val="000000"/>
          <w:sz w:val="24"/>
          <w:szCs w:val="24"/>
        </w:rPr>
        <w:t xml:space="preserve">  As a result, in this case, Ms. Graham should be given the opportunity to demonstrate orally </w:t>
      </w:r>
      <w:r w:rsidR="00A110D0">
        <w:rPr>
          <w:rFonts w:ascii="Times New Roman" w:eastAsia="Times New Roman" w:hAnsi="Times New Roman" w:cs="Times New Roman"/>
          <w:color w:val="000000"/>
          <w:sz w:val="24"/>
          <w:szCs w:val="24"/>
        </w:rPr>
        <w:t xml:space="preserve">during a hearing </w:t>
      </w:r>
      <w:r w:rsidRPr="00021A37">
        <w:rPr>
          <w:rFonts w:ascii="Times New Roman" w:eastAsia="Times New Roman" w:hAnsi="Times New Roman" w:cs="Times New Roman"/>
          <w:color w:val="000000"/>
          <w:sz w:val="24"/>
          <w:szCs w:val="24"/>
        </w:rPr>
        <w:t>that PGW violated the Public Utility Code, a Commission order or regulation or a Commission-approved Company tariff and not have her complaint dismissed on a preliminary basis.</w:t>
      </w:r>
    </w:p>
    <w:p w14:paraId="7F60CC6E" w14:textId="77777777" w:rsidR="005C771D" w:rsidRPr="00021A37" w:rsidRDefault="005C771D" w:rsidP="005C771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5FAF6029" w14:textId="747E6C5C" w:rsidR="005C771D" w:rsidRPr="005C771D" w:rsidRDefault="005C771D" w:rsidP="005C771D">
      <w:pPr>
        <w:pStyle w:val="Style"/>
        <w:widowControl/>
        <w:spacing w:line="360" w:lineRule="auto"/>
        <w:ind w:firstLine="1440"/>
        <w:rPr>
          <w:bCs/>
          <w:color w:val="000000"/>
        </w:rPr>
      </w:pPr>
      <w:r w:rsidRPr="00021A37">
        <w:rPr>
          <w:bCs/>
          <w:color w:val="000000"/>
        </w:rPr>
        <w:t>Ms. Graham is advised</w:t>
      </w:r>
      <w:r w:rsidR="00D45509">
        <w:rPr>
          <w:bCs/>
          <w:color w:val="000000"/>
        </w:rPr>
        <w:t>, however,</w:t>
      </w:r>
      <w:r w:rsidRPr="00021A37">
        <w:rPr>
          <w:bCs/>
          <w:color w:val="000000"/>
        </w:rPr>
        <w:t xml:space="preserve"> that the standard for disposing of preliminary objections</w:t>
      </w:r>
      <w:r>
        <w:rPr>
          <w:bCs/>
          <w:color w:val="000000"/>
        </w:rPr>
        <w:t xml:space="preserve"> and a motion for judgment on the pleadings</w:t>
      </w:r>
      <w:r w:rsidRPr="00021A37">
        <w:rPr>
          <w:bCs/>
          <w:color w:val="000000"/>
        </w:rPr>
        <w:t xml:space="preserve"> is different than the standard for sustaining a complaint.  To sustain her complaint, Ms. Graham will have the burden of proving by a preponderance of the evidence that PGW is responsible or accountable for the problem described in the complaint and that such actions are a violation of the Public Utility Code, a Commission order or a Commission regulation.  This is a higher standard than used to determine whether a complaint should be dismissed prior to a hearing on a preliminary basis.  </w:t>
      </w:r>
      <w:r w:rsidR="00D45509">
        <w:rPr>
          <w:bCs/>
          <w:color w:val="000000"/>
        </w:rPr>
        <w:t>Nonetheless</w:t>
      </w:r>
      <w:r w:rsidRPr="00021A37">
        <w:rPr>
          <w:bCs/>
          <w:color w:val="000000"/>
        </w:rPr>
        <w:t>, Ms. Graham’s complaint will not be dismissed on a preliminary basis.</w:t>
      </w:r>
    </w:p>
    <w:p w14:paraId="6523CF9E" w14:textId="77777777" w:rsidR="00EA1957" w:rsidRPr="0090434D" w:rsidRDefault="00EA1957" w:rsidP="00EA1957">
      <w:pPr>
        <w:spacing w:after="0" w:line="360" w:lineRule="auto"/>
        <w:jc w:val="center"/>
        <w:rPr>
          <w:rFonts w:ascii="Times New Roman" w:eastAsia="Times New Roman" w:hAnsi="Times New Roman" w:cs="Times New Roman"/>
          <w:sz w:val="24"/>
          <w:szCs w:val="24"/>
          <w:u w:val="single"/>
        </w:rPr>
      </w:pPr>
    </w:p>
    <w:p w14:paraId="29E0CC39" w14:textId="77777777" w:rsidR="00EA1957" w:rsidRPr="0090434D" w:rsidRDefault="00EA1957" w:rsidP="00EA1957">
      <w:pPr>
        <w:spacing w:after="0" w:line="360" w:lineRule="auto"/>
        <w:jc w:val="center"/>
        <w:rPr>
          <w:rFonts w:ascii="Times New Roman" w:eastAsia="Times New Roman" w:hAnsi="Times New Roman" w:cs="Times New Roman"/>
          <w:sz w:val="24"/>
          <w:szCs w:val="24"/>
          <w:u w:val="single"/>
        </w:rPr>
      </w:pPr>
      <w:r w:rsidRPr="0090434D">
        <w:rPr>
          <w:rFonts w:ascii="Times New Roman" w:eastAsia="Times New Roman" w:hAnsi="Times New Roman" w:cs="Times New Roman"/>
          <w:sz w:val="24"/>
          <w:szCs w:val="24"/>
          <w:u w:val="single"/>
        </w:rPr>
        <w:t>ORDER</w:t>
      </w:r>
    </w:p>
    <w:p w14:paraId="300768CC" w14:textId="3DEFD538" w:rsidR="00EA1957" w:rsidRDefault="00EA1957"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4D3984A" w14:textId="77777777" w:rsidR="00E25404" w:rsidRPr="0090434D" w:rsidRDefault="00E25404"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74C1588" w14:textId="77777777" w:rsidR="00EA1957" w:rsidRPr="0090434D" w:rsidRDefault="00EA1957"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0434D">
        <w:rPr>
          <w:rFonts w:ascii="Times New Roman" w:eastAsia="Times New Roman" w:hAnsi="Times New Roman" w:cs="Times New Roman"/>
          <w:sz w:val="24"/>
          <w:szCs w:val="24"/>
        </w:rPr>
        <w:tab/>
      </w:r>
      <w:r w:rsidRPr="0090434D">
        <w:rPr>
          <w:rFonts w:ascii="Times New Roman" w:eastAsia="Times New Roman" w:hAnsi="Times New Roman" w:cs="Times New Roman"/>
          <w:sz w:val="24"/>
          <w:szCs w:val="24"/>
        </w:rPr>
        <w:tab/>
        <w:t>THEREFORE,</w:t>
      </w:r>
    </w:p>
    <w:p w14:paraId="2CE2B775" w14:textId="77777777" w:rsidR="00EA1957" w:rsidRPr="00EF7424" w:rsidRDefault="00EA1957"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0A4CE10" w14:textId="77777777" w:rsidR="00EA1957" w:rsidRPr="00EF7424" w:rsidRDefault="00EA1957"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F7424">
        <w:rPr>
          <w:rFonts w:ascii="Times New Roman" w:eastAsia="Times New Roman" w:hAnsi="Times New Roman" w:cs="Times New Roman"/>
          <w:sz w:val="24"/>
          <w:szCs w:val="24"/>
        </w:rPr>
        <w:tab/>
      </w:r>
      <w:r w:rsidRPr="00EF7424">
        <w:rPr>
          <w:rFonts w:ascii="Times New Roman" w:eastAsia="Times New Roman" w:hAnsi="Times New Roman" w:cs="Times New Roman"/>
          <w:sz w:val="24"/>
          <w:szCs w:val="24"/>
        </w:rPr>
        <w:tab/>
        <w:t>IT IS ORDERED:</w:t>
      </w:r>
    </w:p>
    <w:p w14:paraId="1D81E507" w14:textId="77777777" w:rsidR="00EA1957" w:rsidRPr="00EF7424" w:rsidRDefault="00EA1957" w:rsidP="00EA195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431709C" w14:textId="5B9D7E57" w:rsidR="007070FB" w:rsidRPr="00EF7424" w:rsidRDefault="00EA1957" w:rsidP="00EA195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F7424">
        <w:rPr>
          <w:rFonts w:ascii="Times New Roman" w:eastAsia="Times New Roman" w:hAnsi="Times New Roman" w:cs="Times New Roman"/>
          <w:spacing w:val="-3"/>
          <w:sz w:val="24"/>
          <w:szCs w:val="24"/>
        </w:rPr>
        <w:t xml:space="preserve">That </w:t>
      </w:r>
      <w:bookmarkStart w:id="0" w:name="_Hlk108075181"/>
      <w:r w:rsidRPr="00EF7424">
        <w:rPr>
          <w:rFonts w:ascii="Times New Roman" w:eastAsia="Times New Roman" w:hAnsi="Times New Roman" w:cs="Times New Roman"/>
          <w:spacing w:val="-3"/>
          <w:sz w:val="24"/>
          <w:szCs w:val="24"/>
        </w:rPr>
        <w:t>the preliminary objection filed by</w:t>
      </w:r>
      <w:r w:rsidR="007070FB" w:rsidRPr="00EF7424">
        <w:rPr>
          <w:rFonts w:ascii="Times New Roman" w:eastAsia="Times New Roman" w:hAnsi="Times New Roman" w:cs="Times New Roman"/>
          <w:spacing w:val="-3"/>
          <w:sz w:val="24"/>
          <w:szCs w:val="24"/>
        </w:rPr>
        <w:t xml:space="preserve"> Philadelphia Gas Works at docket number C-2022-3032494 and dated June 6, 2022 is hereby </w:t>
      </w:r>
      <w:r w:rsidR="00DD304A">
        <w:rPr>
          <w:rFonts w:ascii="Times New Roman" w:eastAsia="Times New Roman" w:hAnsi="Times New Roman" w:cs="Times New Roman"/>
          <w:spacing w:val="-3"/>
          <w:sz w:val="24"/>
          <w:szCs w:val="24"/>
        </w:rPr>
        <w:t>denied</w:t>
      </w:r>
      <w:r w:rsidR="007070FB" w:rsidRPr="00EF7424">
        <w:rPr>
          <w:rFonts w:ascii="Times New Roman" w:eastAsia="Times New Roman" w:hAnsi="Times New Roman" w:cs="Times New Roman"/>
          <w:spacing w:val="-3"/>
          <w:sz w:val="24"/>
          <w:szCs w:val="24"/>
        </w:rPr>
        <w:t>.</w:t>
      </w:r>
    </w:p>
    <w:p w14:paraId="2988928E" w14:textId="77777777" w:rsidR="00137946" w:rsidRPr="00EF7424" w:rsidRDefault="00137946" w:rsidP="0013794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667B6DAA" w14:textId="4003565C" w:rsidR="007070FB" w:rsidRPr="00EF7424" w:rsidRDefault="007070FB" w:rsidP="00EA195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F7424">
        <w:rPr>
          <w:rFonts w:ascii="Times New Roman" w:eastAsia="Times New Roman" w:hAnsi="Times New Roman" w:cs="Times New Roman"/>
          <w:spacing w:val="-3"/>
          <w:sz w:val="24"/>
          <w:szCs w:val="24"/>
        </w:rPr>
        <w:t xml:space="preserve">That the motion for judgment on the pleadings filed by Philadelphia Gas Works at docket number C-2022-3032494 and dated June 30, 2022 is hereby </w:t>
      </w:r>
      <w:r w:rsidR="00DD304A">
        <w:rPr>
          <w:rFonts w:ascii="Times New Roman" w:eastAsia="Times New Roman" w:hAnsi="Times New Roman" w:cs="Times New Roman"/>
          <w:spacing w:val="-3"/>
          <w:sz w:val="24"/>
          <w:szCs w:val="24"/>
        </w:rPr>
        <w:t>denied</w:t>
      </w:r>
      <w:r w:rsidRPr="00EF7424">
        <w:rPr>
          <w:rFonts w:ascii="Times New Roman" w:eastAsia="Times New Roman" w:hAnsi="Times New Roman" w:cs="Times New Roman"/>
          <w:spacing w:val="-3"/>
          <w:sz w:val="24"/>
          <w:szCs w:val="24"/>
        </w:rPr>
        <w:t>.</w:t>
      </w:r>
    </w:p>
    <w:p w14:paraId="772A7390" w14:textId="77777777" w:rsidR="00137946" w:rsidRPr="00D45509" w:rsidRDefault="00137946" w:rsidP="00137946">
      <w:pPr>
        <w:pStyle w:val="ListParagraph"/>
        <w:rPr>
          <w:rFonts w:ascii="Times New Roman" w:eastAsia="Times New Roman" w:hAnsi="Times New Roman" w:cs="Times New Roman"/>
          <w:spacing w:val="-3"/>
          <w:sz w:val="24"/>
          <w:szCs w:val="24"/>
        </w:rPr>
      </w:pPr>
    </w:p>
    <w:p w14:paraId="616B9470" w14:textId="15EA2EC1" w:rsidR="00137946" w:rsidRPr="00D45509" w:rsidRDefault="00137946" w:rsidP="00EA195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45509">
        <w:rPr>
          <w:rFonts w:ascii="Times New Roman" w:eastAsia="Times New Roman" w:hAnsi="Times New Roman" w:cs="Times New Roman"/>
          <w:spacing w:val="-3"/>
          <w:sz w:val="24"/>
          <w:szCs w:val="24"/>
        </w:rPr>
        <w:lastRenderedPageBreak/>
        <w:t xml:space="preserve">That the request of Philadelphia Gas Works </w:t>
      </w:r>
      <w:r w:rsidR="00EF7424" w:rsidRPr="00D45509">
        <w:rPr>
          <w:rFonts w:ascii="Times New Roman" w:hAnsi="Times New Roman" w:cs="Times New Roman"/>
          <w:bCs/>
          <w:color w:val="000000"/>
          <w:sz w:val="24"/>
          <w:szCs w:val="24"/>
        </w:rPr>
        <w:t>for leave to terminate the service to the service address immediately</w:t>
      </w:r>
      <w:r w:rsidR="00447081" w:rsidRPr="00D45509">
        <w:rPr>
          <w:rFonts w:ascii="Times New Roman" w:hAnsi="Times New Roman" w:cs="Times New Roman"/>
          <w:bCs/>
          <w:color w:val="000000"/>
          <w:sz w:val="24"/>
          <w:szCs w:val="24"/>
        </w:rPr>
        <w:t xml:space="preserve"> is hereby </w:t>
      </w:r>
      <w:r w:rsidR="00DD304A" w:rsidRPr="00D45509">
        <w:rPr>
          <w:rFonts w:ascii="Times New Roman" w:hAnsi="Times New Roman" w:cs="Times New Roman"/>
          <w:bCs/>
          <w:color w:val="000000"/>
          <w:sz w:val="24"/>
          <w:szCs w:val="24"/>
        </w:rPr>
        <w:t>denied</w:t>
      </w:r>
      <w:r w:rsidR="00447081" w:rsidRPr="00D45509">
        <w:rPr>
          <w:rFonts w:ascii="Times New Roman" w:hAnsi="Times New Roman" w:cs="Times New Roman"/>
          <w:bCs/>
          <w:color w:val="000000"/>
          <w:sz w:val="24"/>
          <w:szCs w:val="24"/>
        </w:rPr>
        <w:t>.</w:t>
      </w:r>
    </w:p>
    <w:p w14:paraId="0ABD9F43" w14:textId="77777777" w:rsidR="00447081" w:rsidRPr="00D45509" w:rsidRDefault="00447081" w:rsidP="00447081">
      <w:pPr>
        <w:pStyle w:val="ListParagraph"/>
        <w:rPr>
          <w:rFonts w:ascii="Times New Roman" w:eastAsia="Times New Roman" w:hAnsi="Times New Roman" w:cs="Times New Roman"/>
          <w:spacing w:val="-3"/>
          <w:sz w:val="24"/>
          <w:szCs w:val="24"/>
        </w:rPr>
      </w:pPr>
    </w:p>
    <w:p w14:paraId="29F2218E" w14:textId="6E7B9285" w:rsidR="00EA1957" w:rsidRPr="00D45509" w:rsidRDefault="00447081" w:rsidP="00280E4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45509">
        <w:rPr>
          <w:rFonts w:ascii="Times New Roman" w:eastAsia="Times New Roman" w:hAnsi="Times New Roman" w:cs="Times New Roman"/>
          <w:spacing w:val="-3"/>
          <w:sz w:val="24"/>
          <w:szCs w:val="24"/>
        </w:rPr>
        <w:t xml:space="preserve">That the complaint filed by </w:t>
      </w:r>
      <w:r w:rsidR="004D1FE7" w:rsidRPr="00D45509">
        <w:rPr>
          <w:rFonts w:ascii="Times New Roman" w:eastAsia="Times New Roman" w:hAnsi="Times New Roman" w:cs="Times New Roman"/>
          <w:spacing w:val="-3"/>
          <w:sz w:val="24"/>
          <w:szCs w:val="24"/>
        </w:rPr>
        <w:t xml:space="preserve">Dawn Graham against Philadelphia Gas Works at docket number C-2022-3032494 shall be heard at a hearing scheduled for Wednesday, September 20, </w:t>
      </w:r>
      <w:proofErr w:type="gramStart"/>
      <w:r w:rsidR="004D1FE7" w:rsidRPr="00D45509">
        <w:rPr>
          <w:rFonts w:ascii="Times New Roman" w:eastAsia="Times New Roman" w:hAnsi="Times New Roman" w:cs="Times New Roman"/>
          <w:spacing w:val="-3"/>
          <w:sz w:val="24"/>
          <w:szCs w:val="24"/>
        </w:rPr>
        <w:t>2022</w:t>
      </w:r>
      <w:proofErr w:type="gramEnd"/>
      <w:r w:rsidR="004D1FE7" w:rsidRPr="00D45509">
        <w:rPr>
          <w:rFonts w:ascii="Times New Roman" w:eastAsia="Times New Roman" w:hAnsi="Times New Roman" w:cs="Times New Roman"/>
          <w:spacing w:val="-3"/>
          <w:sz w:val="24"/>
          <w:szCs w:val="24"/>
        </w:rPr>
        <w:t xml:space="preserve"> beginning at 10:00 a.m.</w:t>
      </w:r>
      <w:bookmarkEnd w:id="0"/>
    </w:p>
    <w:p w14:paraId="15B0DA1A" w14:textId="77777777" w:rsidR="00280E4B" w:rsidRPr="00D45509" w:rsidRDefault="00280E4B" w:rsidP="00280E4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8FDFEE1" w14:textId="42213E97" w:rsidR="00EA1957" w:rsidRDefault="00EA1957" w:rsidP="00EA1957">
      <w:pPr>
        <w:pStyle w:val="ListParagraph"/>
        <w:spacing w:after="0" w:line="360" w:lineRule="auto"/>
        <w:ind w:left="0"/>
        <w:rPr>
          <w:rFonts w:ascii="Times New Roman" w:eastAsia="Times New Roman" w:hAnsi="Times New Roman" w:cs="Times New Roman"/>
          <w:spacing w:val="-3"/>
          <w:sz w:val="24"/>
          <w:szCs w:val="24"/>
        </w:rPr>
      </w:pPr>
    </w:p>
    <w:p w14:paraId="106B0FAF" w14:textId="77777777" w:rsidR="00B73FDD" w:rsidRPr="009D6902" w:rsidRDefault="00B73FDD" w:rsidP="00EA1957">
      <w:pPr>
        <w:pStyle w:val="ListParagraph"/>
        <w:spacing w:after="0" w:line="360" w:lineRule="auto"/>
        <w:ind w:left="0"/>
        <w:rPr>
          <w:rFonts w:ascii="Times New Roman" w:eastAsia="Times New Roman" w:hAnsi="Times New Roman" w:cs="Times New Roman"/>
          <w:spacing w:val="-3"/>
          <w:sz w:val="24"/>
          <w:szCs w:val="24"/>
        </w:rPr>
      </w:pPr>
    </w:p>
    <w:p w14:paraId="5327E3B7" w14:textId="77534672" w:rsidR="00EA1957" w:rsidRPr="009D6902" w:rsidRDefault="00EA1957" w:rsidP="00EA195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August </w:t>
      </w:r>
      <w:r w:rsidR="001B2FE5">
        <w:rPr>
          <w:rFonts w:ascii="Times New Roman" w:eastAsia="Times New Roman" w:hAnsi="Times New Roman" w:cs="Times New Roman"/>
          <w:spacing w:val="-3"/>
          <w:sz w:val="24"/>
          <w:szCs w:val="24"/>
          <w:u w:val="single"/>
        </w:rPr>
        <w:t>1</w:t>
      </w:r>
      <w:r w:rsidR="005C771D">
        <w:rPr>
          <w:rFonts w:ascii="Times New Roman" w:eastAsia="Times New Roman" w:hAnsi="Times New Roman" w:cs="Times New Roman"/>
          <w:spacing w:val="-3"/>
          <w:sz w:val="24"/>
          <w:szCs w:val="24"/>
          <w:u w:val="single"/>
        </w:rPr>
        <w:t>1</w:t>
      </w:r>
      <w:r>
        <w:rPr>
          <w:rFonts w:ascii="Times New Roman" w:eastAsia="Times New Roman" w:hAnsi="Times New Roman" w:cs="Times New Roman"/>
          <w:spacing w:val="-3"/>
          <w:sz w:val="24"/>
          <w:szCs w:val="24"/>
          <w:u w:val="single"/>
        </w:rPr>
        <w:t>, 2022</w:t>
      </w: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t>/s/</w:t>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p>
    <w:p w14:paraId="3C57C57D" w14:textId="77777777" w:rsidR="00EA1957" w:rsidRPr="009D6902" w:rsidRDefault="00EA1957" w:rsidP="00EA195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Joel H. Cheskis</w:t>
      </w:r>
    </w:p>
    <w:p w14:paraId="0E40165E" w14:textId="77777777" w:rsidR="00EA1957" w:rsidRPr="009D6902" w:rsidRDefault="00EA1957" w:rsidP="00EA1957">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Deputy Chief Administrative Law Judge</w:t>
      </w:r>
    </w:p>
    <w:p w14:paraId="4BA6D257" w14:textId="77777777" w:rsidR="00EA1957" w:rsidRDefault="00EA1957" w:rsidP="00EA1957"/>
    <w:p w14:paraId="1A452DD6" w14:textId="77777777" w:rsidR="00E25404" w:rsidRDefault="00E25404">
      <w:pPr>
        <w:sectPr w:rsidR="00E25404" w:rsidSect="00473904">
          <w:footerReference w:type="default" r:id="rId7"/>
          <w:footerReference w:type="first" r:id="rId8"/>
          <w:pgSz w:w="12240" w:h="15840"/>
          <w:pgMar w:top="1440" w:right="1440" w:bottom="1440" w:left="1440" w:header="720" w:footer="720" w:gutter="0"/>
          <w:cols w:space="720"/>
          <w:titlePg/>
          <w:docGrid w:linePitch="360"/>
        </w:sectPr>
      </w:pPr>
    </w:p>
    <w:p w14:paraId="69B7C71E" w14:textId="77777777" w:rsidR="00E25404" w:rsidRDefault="00E25404" w:rsidP="00E25404">
      <w:r>
        <w:rPr>
          <w:rFonts w:ascii="Microsoft Sans Serif" w:eastAsia="Microsoft Sans Serif" w:hAnsi="Microsoft Sans Serif" w:cs="Microsoft Sans Serif"/>
          <w:b/>
          <w:sz w:val="24"/>
          <w:u w:val="single"/>
        </w:rPr>
        <w:lastRenderedPageBreak/>
        <w:t>C-2022-3032494 - DAWN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DAWN J GRAHAM</w:t>
      </w:r>
      <w:r>
        <w:rPr>
          <w:rFonts w:ascii="Microsoft Sans Serif" w:eastAsia="Microsoft Sans Serif" w:hAnsi="Microsoft Sans Serif" w:cs="Microsoft Sans Serif"/>
          <w:sz w:val="24"/>
        </w:rPr>
        <w:cr/>
        <w:t xml:space="preserve">315 NORTH 54TH STREET </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215.472.2334</w:t>
      </w:r>
      <w:r>
        <w:rPr>
          <w:rFonts w:ascii="Microsoft Sans Serif" w:eastAsia="Microsoft Sans Serif" w:hAnsi="Microsoft Sans Serif" w:cs="Microsoft Sans Serif"/>
          <w:sz w:val="24"/>
        </w:rPr>
        <w:cr/>
        <w:t>DAWN456@MSN.COM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215.684.6164</w:t>
      </w:r>
      <w:r w:rsidRPr="002F712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1E70BA8D" w14:textId="77777777" w:rsidR="000058F5" w:rsidRDefault="00E25404"/>
    <w:sectPr w:rsidR="000058F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7ED6" w14:textId="77777777" w:rsidR="00886591" w:rsidRDefault="00886591" w:rsidP="00EA1957">
      <w:pPr>
        <w:spacing w:after="0" w:line="240" w:lineRule="auto"/>
      </w:pPr>
      <w:r>
        <w:separator/>
      </w:r>
    </w:p>
  </w:endnote>
  <w:endnote w:type="continuationSeparator" w:id="0">
    <w:p w14:paraId="138F59DC" w14:textId="77777777" w:rsidR="00886591" w:rsidRDefault="00886591" w:rsidP="00EA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13BA3E7" w14:textId="77777777" w:rsidR="00434A51" w:rsidRPr="00932A73" w:rsidRDefault="00EA1957"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3930" w14:textId="77777777" w:rsidR="00434A51" w:rsidRPr="0011578E" w:rsidRDefault="00E25404"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3D99" w14:textId="0B4BF8B5" w:rsidR="00E25404" w:rsidRPr="00932A73" w:rsidRDefault="00E2540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07A5" w14:textId="77777777" w:rsidR="00886591" w:rsidRDefault="00886591" w:rsidP="00EA1957">
      <w:pPr>
        <w:spacing w:after="0" w:line="240" w:lineRule="auto"/>
      </w:pPr>
      <w:r>
        <w:separator/>
      </w:r>
    </w:p>
  </w:footnote>
  <w:footnote w:type="continuationSeparator" w:id="0">
    <w:p w14:paraId="2D99EA61" w14:textId="77777777" w:rsidR="00886591" w:rsidRDefault="00886591" w:rsidP="00EA1957">
      <w:pPr>
        <w:spacing w:after="0" w:line="240" w:lineRule="auto"/>
      </w:pPr>
      <w:r>
        <w:continuationSeparator/>
      </w:r>
    </w:p>
  </w:footnote>
  <w:footnote w:id="1">
    <w:p w14:paraId="0B0BC737" w14:textId="77777777" w:rsidR="005C771D" w:rsidRPr="005B33EB" w:rsidRDefault="005C771D" w:rsidP="005C771D">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14:paraId="5DE63410" w14:textId="77777777" w:rsidR="005C771D" w:rsidRDefault="005C771D" w:rsidP="005C77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1459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298889">
    <w:abstractNumId w:val="1"/>
  </w:num>
  <w:num w:numId="3" w16cid:durableId="384911687">
    <w:abstractNumId w:val="0"/>
  </w:num>
  <w:num w:numId="4" w16cid:durableId="199290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57"/>
    <w:rsid w:val="00014085"/>
    <w:rsid w:val="0001605A"/>
    <w:rsid w:val="00021A37"/>
    <w:rsid w:val="00041310"/>
    <w:rsid w:val="00046A67"/>
    <w:rsid w:val="0005575E"/>
    <w:rsid w:val="00072B1C"/>
    <w:rsid w:val="00082406"/>
    <w:rsid w:val="00085F32"/>
    <w:rsid w:val="0009001B"/>
    <w:rsid w:val="00090493"/>
    <w:rsid w:val="000A060A"/>
    <w:rsid w:val="000A1C23"/>
    <w:rsid w:val="000A6E43"/>
    <w:rsid w:val="000B101A"/>
    <w:rsid w:val="000D136F"/>
    <w:rsid w:val="000D499E"/>
    <w:rsid w:val="000E3353"/>
    <w:rsid w:val="000E6D5A"/>
    <w:rsid w:val="00105DC7"/>
    <w:rsid w:val="00137946"/>
    <w:rsid w:val="0015005A"/>
    <w:rsid w:val="001506C1"/>
    <w:rsid w:val="001737D9"/>
    <w:rsid w:val="00177B43"/>
    <w:rsid w:val="001875BC"/>
    <w:rsid w:val="00194D77"/>
    <w:rsid w:val="001B2FE5"/>
    <w:rsid w:val="001D13D1"/>
    <w:rsid w:val="001E6220"/>
    <w:rsid w:val="001E757F"/>
    <w:rsid w:val="001F0C08"/>
    <w:rsid w:val="001F4525"/>
    <w:rsid w:val="00202E99"/>
    <w:rsid w:val="00221F1D"/>
    <w:rsid w:val="00235672"/>
    <w:rsid w:val="00244A56"/>
    <w:rsid w:val="00254144"/>
    <w:rsid w:val="002605BD"/>
    <w:rsid w:val="002736E2"/>
    <w:rsid w:val="00280E4B"/>
    <w:rsid w:val="002910CC"/>
    <w:rsid w:val="00293C86"/>
    <w:rsid w:val="002B1628"/>
    <w:rsid w:val="002C615D"/>
    <w:rsid w:val="002D25D9"/>
    <w:rsid w:val="002E0C80"/>
    <w:rsid w:val="002E7158"/>
    <w:rsid w:val="002E78EE"/>
    <w:rsid w:val="00305223"/>
    <w:rsid w:val="003054B7"/>
    <w:rsid w:val="00320D59"/>
    <w:rsid w:val="00323684"/>
    <w:rsid w:val="00323824"/>
    <w:rsid w:val="003301D5"/>
    <w:rsid w:val="00351F89"/>
    <w:rsid w:val="00361285"/>
    <w:rsid w:val="00366529"/>
    <w:rsid w:val="00395748"/>
    <w:rsid w:val="003A59AA"/>
    <w:rsid w:val="003D2050"/>
    <w:rsid w:val="003F3141"/>
    <w:rsid w:val="00403963"/>
    <w:rsid w:val="00404A8A"/>
    <w:rsid w:val="00422824"/>
    <w:rsid w:val="00430062"/>
    <w:rsid w:val="0043204D"/>
    <w:rsid w:val="0043353C"/>
    <w:rsid w:val="00447081"/>
    <w:rsid w:val="00455C22"/>
    <w:rsid w:val="004649C7"/>
    <w:rsid w:val="004842C8"/>
    <w:rsid w:val="004A0577"/>
    <w:rsid w:val="004B7640"/>
    <w:rsid w:val="004C5814"/>
    <w:rsid w:val="004D1FE7"/>
    <w:rsid w:val="004E470E"/>
    <w:rsid w:val="004F08DE"/>
    <w:rsid w:val="004F279B"/>
    <w:rsid w:val="0051529D"/>
    <w:rsid w:val="00525770"/>
    <w:rsid w:val="00533F1E"/>
    <w:rsid w:val="00536F89"/>
    <w:rsid w:val="00543EAB"/>
    <w:rsid w:val="00544628"/>
    <w:rsid w:val="00544853"/>
    <w:rsid w:val="00547E1F"/>
    <w:rsid w:val="00566E2A"/>
    <w:rsid w:val="005A1D16"/>
    <w:rsid w:val="005A3F79"/>
    <w:rsid w:val="005B1850"/>
    <w:rsid w:val="005C680E"/>
    <w:rsid w:val="005C771D"/>
    <w:rsid w:val="005D093C"/>
    <w:rsid w:val="006051CC"/>
    <w:rsid w:val="006137FA"/>
    <w:rsid w:val="006150C9"/>
    <w:rsid w:val="006224D7"/>
    <w:rsid w:val="006317A1"/>
    <w:rsid w:val="00634AD0"/>
    <w:rsid w:val="00637E31"/>
    <w:rsid w:val="00645BA6"/>
    <w:rsid w:val="006662BF"/>
    <w:rsid w:val="00666890"/>
    <w:rsid w:val="0067614F"/>
    <w:rsid w:val="00676E04"/>
    <w:rsid w:val="00676E89"/>
    <w:rsid w:val="00680514"/>
    <w:rsid w:val="006824D7"/>
    <w:rsid w:val="00687455"/>
    <w:rsid w:val="00693E7E"/>
    <w:rsid w:val="00697C77"/>
    <w:rsid w:val="006A73CD"/>
    <w:rsid w:val="006B0381"/>
    <w:rsid w:val="006B353B"/>
    <w:rsid w:val="006B504A"/>
    <w:rsid w:val="006C323B"/>
    <w:rsid w:val="006C59E7"/>
    <w:rsid w:val="006D2501"/>
    <w:rsid w:val="006E7775"/>
    <w:rsid w:val="007070FB"/>
    <w:rsid w:val="0071407E"/>
    <w:rsid w:val="00724D66"/>
    <w:rsid w:val="007255F3"/>
    <w:rsid w:val="00740021"/>
    <w:rsid w:val="00742559"/>
    <w:rsid w:val="0074688A"/>
    <w:rsid w:val="0075217F"/>
    <w:rsid w:val="00752610"/>
    <w:rsid w:val="007626B5"/>
    <w:rsid w:val="007840DD"/>
    <w:rsid w:val="0078717C"/>
    <w:rsid w:val="00792B46"/>
    <w:rsid w:val="007B4093"/>
    <w:rsid w:val="007B4BE9"/>
    <w:rsid w:val="007B52AD"/>
    <w:rsid w:val="007C3525"/>
    <w:rsid w:val="00806A71"/>
    <w:rsid w:val="00824B23"/>
    <w:rsid w:val="00835F40"/>
    <w:rsid w:val="00846A49"/>
    <w:rsid w:val="0085002E"/>
    <w:rsid w:val="00851DAD"/>
    <w:rsid w:val="00861197"/>
    <w:rsid w:val="008633E1"/>
    <w:rsid w:val="008640FC"/>
    <w:rsid w:val="00886591"/>
    <w:rsid w:val="00887FAA"/>
    <w:rsid w:val="0089434C"/>
    <w:rsid w:val="008A687C"/>
    <w:rsid w:val="008A7473"/>
    <w:rsid w:val="008C2EB3"/>
    <w:rsid w:val="008C3159"/>
    <w:rsid w:val="008C5E1B"/>
    <w:rsid w:val="008D63C6"/>
    <w:rsid w:val="008E3488"/>
    <w:rsid w:val="008F1051"/>
    <w:rsid w:val="0090025F"/>
    <w:rsid w:val="0090434D"/>
    <w:rsid w:val="00910D65"/>
    <w:rsid w:val="009138BD"/>
    <w:rsid w:val="009161CB"/>
    <w:rsid w:val="0093449B"/>
    <w:rsid w:val="00944DCF"/>
    <w:rsid w:val="00944FF2"/>
    <w:rsid w:val="00954F90"/>
    <w:rsid w:val="00960717"/>
    <w:rsid w:val="00971EBD"/>
    <w:rsid w:val="00975A1F"/>
    <w:rsid w:val="009809FE"/>
    <w:rsid w:val="009820C4"/>
    <w:rsid w:val="00990372"/>
    <w:rsid w:val="009B6E19"/>
    <w:rsid w:val="009D3DDD"/>
    <w:rsid w:val="009D6C05"/>
    <w:rsid w:val="009E322B"/>
    <w:rsid w:val="009F783F"/>
    <w:rsid w:val="00A0048B"/>
    <w:rsid w:val="00A01722"/>
    <w:rsid w:val="00A110D0"/>
    <w:rsid w:val="00A1562D"/>
    <w:rsid w:val="00A26E8A"/>
    <w:rsid w:val="00A31FEF"/>
    <w:rsid w:val="00A661D7"/>
    <w:rsid w:val="00A66362"/>
    <w:rsid w:val="00A77C02"/>
    <w:rsid w:val="00A80C8A"/>
    <w:rsid w:val="00A81F70"/>
    <w:rsid w:val="00A83CE3"/>
    <w:rsid w:val="00A85130"/>
    <w:rsid w:val="00A97DC6"/>
    <w:rsid w:val="00AE7E23"/>
    <w:rsid w:val="00AF5354"/>
    <w:rsid w:val="00B2380D"/>
    <w:rsid w:val="00B258DD"/>
    <w:rsid w:val="00B25B23"/>
    <w:rsid w:val="00B4222B"/>
    <w:rsid w:val="00B60FA1"/>
    <w:rsid w:val="00B67E51"/>
    <w:rsid w:val="00B73FDD"/>
    <w:rsid w:val="00B81BC3"/>
    <w:rsid w:val="00B86A40"/>
    <w:rsid w:val="00B97FB3"/>
    <w:rsid w:val="00BA0801"/>
    <w:rsid w:val="00BA299A"/>
    <w:rsid w:val="00BA4A26"/>
    <w:rsid w:val="00BA65A6"/>
    <w:rsid w:val="00BB52D3"/>
    <w:rsid w:val="00BC2145"/>
    <w:rsid w:val="00BC30CF"/>
    <w:rsid w:val="00BC4AE1"/>
    <w:rsid w:val="00BC7685"/>
    <w:rsid w:val="00BF6F0C"/>
    <w:rsid w:val="00C329D4"/>
    <w:rsid w:val="00C62C2F"/>
    <w:rsid w:val="00C80D49"/>
    <w:rsid w:val="00C90439"/>
    <w:rsid w:val="00C94370"/>
    <w:rsid w:val="00C94C53"/>
    <w:rsid w:val="00CA2CEC"/>
    <w:rsid w:val="00CE2671"/>
    <w:rsid w:val="00CF0F26"/>
    <w:rsid w:val="00CF1AB9"/>
    <w:rsid w:val="00D10D27"/>
    <w:rsid w:val="00D13CFD"/>
    <w:rsid w:val="00D25A49"/>
    <w:rsid w:val="00D30E7B"/>
    <w:rsid w:val="00D35267"/>
    <w:rsid w:val="00D42A51"/>
    <w:rsid w:val="00D45509"/>
    <w:rsid w:val="00D6565E"/>
    <w:rsid w:val="00D87A7E"/>
    <w:rsid w:val="00DB5F16"/>
    <w:rsid w:val="00DD304A"/>
    <w:rsid w:val="00DE1AF2"/>
    <w:rsid w:val="00DE53EF"/>
    <w:rsid w:val="00E078B5"/>
    <w:rsid w:val="00E113AC"/>
    <w:rsid w:val="00E14EEA"/>
    <w:rsid w:val="00E1771B"/>
    <w:rsid w:val="00E21BED"/>
    <w:rsid w:val="00E25404"/>
    <w:rsid w:val="00E27608"/>
    <w:rsid w:val="00E30649"/>
    <w:rsid w:val="00E367F7"/>
    <w:rsid w:val="00E37B45"/>
    <w:rsid w:val="00E41DE8"/>
    <w:rsid w:val="00E50855"/>
    <w:rsid w:val="00E50FC7"/>
    <w:rsid w:val="00E560C3"/>
    <w:rsid w:val="00E80B00"/>
    <w:rsid w:val="00E94071"/>
    <w:rsid w:val="00EA1957"/>
    <w:rsid w:val="00EA6553"/>
    <w:rsid w:val="00EC0B45"/>
    <w:rsid w:val="00EF2D0A"/>
    <w:rsid w:val="00EF7424"/>
    <w:rsid w:val="00F018A4"/>
    <w:rsid w:val="00F34505"/>
    <w:rsid w:val="00F430E4"/>
    <w:rsid w:val="00F46C6E"/>
    <w:rsid w:val="00F47148"/>
    <w:rsid w:val="00F65841"/>
    <w:rsid w:val="00F668A9"/>
    <w:rsid w:val="00F756EB"/>
    <w:rsid w:val="00F778E6"/>
    <w:rsid w:val="00F8105B"/>
    <w:rsid w:val="00F978A4"/>
    <w:rsid w:val="00FA567E"/>
    <w:rsid w:val="00FC3D6A"/>
    <w:rsid w:val="00FE0C2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121B"/>
  <w15:chartTrackingRefBased/>
  <w15:docId w15:val="{544A0DF6-2579-40DE-A45E-B83BF304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1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957"/>
  </w:style>
  <w:style w:type="paragraph" w:styleId="ListParagraph">
    <w:name w:val="List Paragraph"/>
    <w:basedOn w:val="Normal"/>
    <w:uiPriority w:val="34"/>
    <w:qFormat/>
    <w:rsid w:val="00EA1957"/>
    <w:pPr>
      <w:ind w:left="720"/>
      <w:contextualSpacing/>
    </w:p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nhideWhenUsed/>
    <w:rsid w:val="00EA1957"/>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A1957"/>
    <w:rPr>
      <w:sz w:val="20"/>
      <w:szCs w:val="20"/>
    </w:rPr>
  </w:style>
  <w:style w:type="character" w:styleId="FootnoteReference">
    <w:name w:val="footnote reference"/>
    <w:basedOn w:val="DefaultParagraphFont"/>
    <w:uiPriority w:val="99"/>
    <w:semiHidden/>
    <w:unhideWhenUsed/>
    <w:rsid w:val="00EA1957"/>
    <w:rPr>
      <w:vertAlign w:val="superscript"/>
    </w:rPr>
  </w:style>
  <w:style w:type="paragraph" w:customStyle="1" w:styleId="Style">
    <w:name w:val="Style"/>
    <w:rsid w:val="00EA19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244A5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E2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3587</Words>
  <Characters>20448</Characters>
  <Application>Microsoft Office Word</Application>
  <DocSecurity>4</DocSecurity>
  <Lines>170</Lines>
  <Paragraphs>47</Paragraphs>
  <ScaleCrop>false</ScaleCrop>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2022-08-11T14:08:00Z</cp:lastPrinted>
  <dcterms:created xsi:type="dcterms:W3CDTF">2022-08-11T17:12:00Z</dcterms:created>
  <dcterms:modified xsi:type="dcterms:W3CDTF">2022-08-11T17:12:00Z</dcterms:modified>
</cp:coreProperties>
</file>