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DCF53" w14:textId="093640CB" w:rsidR="008A2A14" w:rsidRPr="00006C62" w:rsidRDefault="008A2A14" w:rsidP="00B91234">
      <w:pPr>
        <w:tabs>
          <w:tab w:val="center" w:pos="4680"/>
        </w:tabs>
        <w:jc w:val="center"/>
        <w:rPr>
          <w:b/>
          <w:sz w:val="24"/>
          <w:szCs w:val="24"/>
        </w:rPr>
      </w:pPr>
      <w:r w:rsidRPr="00006C62">
        <w:rPr>
          <w:b/>
          <w:sz w:val="24"/>
          <w:szCs w:val="24"/>
        </w:rPr>
        <w:t>BEFORE THE</w:t>
      </w:r>
    </w:p>
    <w:p w14:paraId="68D7A30E" w14:textId="7A11B4E1" w:rsidR="008A2A14" w:rsidRPr="00006C62" w:rsidRDefault="008A2A14" w:rsidP="00B91234">
      <w:pPr>
        <w:tabs>
          <w:tab w:val="center" w:pos="4680"/>
        </w:tabs>
        <w:jc w:val="center"/>
        <w:rPr>
          <w:b/>
          <w:sz w:val="24"/>
          <w:szCs w:val="24"/>
        </w:rPr>
      </w:pPr>
      <w:r w:rsidRPr="00006C62">
        <w:rPr>
          <w:b/>
          <w:sz w:val="24"/>
          <w:szCs w:val="24"/>
        </w:rPr>
        <w:t>PENNSYLVANIA PUBLIC UTILITY COMMISSION</w:t>
      </w:r>
    </w:p>
    <w:p w14:paraId="33972C53" w14:textId="77777777" w:rsidR="00CC3C22" w:rsidRPr="00006C62" w:rsidRDefault="00CC3C22">
      <w:pPr>
        <w:tabs>
          <w:tab w:val="center" w:pos="4680"/>
        </w:tabs>
        <w:jc w:val="both"/>
        <w:rPr>
          <w:sz w:val="24"/>
          <w:szCs w:val="24"/>
        </w:rPr>
      </w:pPr>
    </w:p>
    <w:p w14:paraId="498C36A1" w14:textId="77777777" w:rsidR="008A2A14" w:rsidRPr="00006C62" w:rsidRDefault="008A2A14">
      <w:pPr>
        <w:jc w:val="both"/>
        <w:rPr>
          <w:sz w:val="24"/>
          <w:szCs w:val="24"/>
        </w:rPr>
      </w:pPr>
    </w:p>
    <w:p w14:paraId="2318AD76" w14:textId="77777777" w:rsidR="008A2A14" w:rsidRPr="00006C62" w:rsidRDefault="008A2A14">
      <w:pPr>
        <w:jc w:val="both"/>
        <w:rPr>
          <w:sz w:val="24"/>
          <w:szCs w:val="24"/>
        </w:rPr>
      </w:pPr>
    </w:p>
    <w:p w14:paraId="04C33BB9" w14:textId="3323110C" w:rsidR="008A2A14" w:rsidRDefault="0039102A">
      <w:pPr>
        <w:jc w:val="both"/>
        <w:rPr>
          <w:sz w:val="24"/>
          <w:szCs w:val="24"/>
        </w:rPr>
      </w:pPr>
      <w:r>
        <w:rPr>
          <w:sz w:val="24"/>
          <w:szCs w:val="24"/>
        </w:rPr>
        <w:t>Laura Andracchio Johnson and</w:t>
      </w:r>
      <w:r w:rsidR="00C26A28" w:rsidRPr="00006C62">
        <w:rPr>
          <w:sz w:val="24"/>
          <w:szCs w:val="24"/>
        </w:rPr>
        <w:tab/>
      </w:r>
      <w:r w:rsidR="00CC3C22" w:rsidRPr="00006C62">
        <w:rPr>
          <w:sz w:val="24"/>
          <w:szCs w:val="24"/>
        </w:rPr>
        <w:tab/>
      </w:r>
      <w:r w:rsidR="008A2A14" w:rsidRPr="00006C62">
        <w:rPr>
          <w:sz w:val="24"/>
          <w:szCs w:val="24"/>
        </w:rPr>
        <w:tab/>
        <w:t>:</w:t>
      </w:r>
      <w:r>
        <w:rPr>
          <w:sz w:val="24"/>
          <w:szCs w:val="24"/>
        </w:rPr>
        <w:tab/>
      </w:r>
      <w:r>
        <w:rPr>
          <w:sz w:val="24"/>
          <w:szCs w:val="24"/>
        </w:rPr>
        <w:tab/>
      </w:r>
    </w:p>
    <w:p w14:paraId="7E25BE6A" w14:textId="5951FEF9" w:rsidR="0039102A" w:rsidRDefault="0039102A">
      <w:pPr>
        <w:jc w:val="both"/>
        <w:rPr>
          <w:sz w:val="24"/>
          <w:szCs w:val="24"/>
        </w:rPr>
      </w:pPr>
      <w:r>
        <w:rPr>
          <w:sz w:val="24"/>
          <w:szCs w:val="24"/>
        </w:rPr>
        <w:t>Charles Johnson</w:t>
      </w:r>
      <w:r>
        <w:rPr>
          <w:sz w:val="24"/>
          <w:szCs w:val="24"/>
        </w:rPr>
        <w:tab/>
      </w:r>
      <w:r>
        <w:rPr>
          <w:sz w:val="24"/>
          <w:szCs w:val="24"/>
        </w:rPr>
        <w:tab/>
      </w:r>
      <w:r>
        <w:rPr>
          <w:sz w:val="24"/>
          <w:szCs w:val="24"/>
        </w:rPr>
        <w:tab/>
      </w:r>
      <w:r>
        <w:rPr>
          <w:sz w:val="24"/>
          <w:szCs w:val="24"/>
        </w:rPr>
        <w:tab/>
      </w:r>
      <w:r>
        <w:rPr>
          <w:sz w:val="24"/>
          <w:szCs w:val="24"/>
        </w:rPr>
        <w:tab/>
        <w:t>:</w:t>
      </w:r>
    </w:p>
    <w:p w14:paraId="1EADF227" w14:textId="41D76189" w:rsidR="0039102A" w:rsidRPr="00006C62" w:rsidRDefault="0039102A" w:rsidP="0039102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A2A14" w:rsidRPr="00006C62">
        <w:rPr>
          <w:sz w:val="24"/>
          <w:szCs w:val="24"/>
        </w:rPr>
        <w:t>:</w:t>
      </w:r>
      <w:r>
        <w:rPr>
          <w:sz w:val="24"/>
          <w:szCs w:val="24"/>
        </w:rPr>
        <w:tab/>
      </w:r>
      <w:r>
        <w:rPr>
          <w:sz w:val="24"/>
          <w:szCs w:val="24"/>
        </w:rPr>
        <w:tab/>
      </w:r>
      <w:r w:rsidR="00127785" w:rsidRPr="00127785">
        <w:rPr>
          <w:sz w:val="24"/>
          <w:szCs w:val="24"/>
        </w:rPr>
        <w:t>C-2022-3032695</w:t>
      </w:r>
    </w:p>
    <w:p w14:paraId="50D6CFFE" w14:textId="5D09B5EB" w:rsidR="008A2A14" w:rsidRPr="00006C62" w:rsidRDefault="0039102A" w:rsidP="003D6796">
      <w:pPr>
        <w:ind w:left="720" w:firstLine="4320"/>
        <w:jc w:val="both"/>
        <w:rPr>
          <w:sz w:val="24"/>
          <w:szCs w:val="24"/>
        </w:rPr>
      </w:pPr>
      <w:r>
        <w:rPr>
          <w:sz w:val="24"/>
          <w:szCs w:val="24"/>
        </w:rPr>
        <w:t>:</w:t>
      </w:r>
    </w:p>
    <w:p w14:paraId="5BF62E6B" w14:textId="1EE54CF7" w:rsidR="008A2A14" w:rsidRPr="00006C62" w:rsidRDefault="008A2A14">
      <w:pPr>
        <w:ind w:firstLine="720"/>
        <w:jc w:val="both"/>
        <w:rPr>
          <w:sz w:val="24"/>
          <w:szCs w:val="24"/>
        </w:rPr>
      </w:pPr>
      <w:r w:rsidRPr="00006C62">
        <w:rPr>
          <w:sz w:val="24"/>
          <w:szCs w:val="24"/>
        </w:rPr>
        <w:t>v.</w:t>
      </w:r>
      <w:r w:rsidRPr="00006C62">
        <w:rPr>
          <w:sz w:val="24"/>
          <w:szCs w:val="24"/>
        </w:rPr>
        <w:tab/>
      </w:r>
      <w:r w:rsidRPr="00006C62">
        <w:rPr>
          <w:sz w:val="24"/>
          <w:szCs w:val="24"/>
        </w:rPr>
        <w:tab/>
      </w:r>
      <w:r w:rsidRPr="00006C62">
        <w:rPr>
          <w:sz w:val="24"/>
          <w:szCs w:val="24"/>
        </w:rPr>
        <w:tab/>
      </w:r>
      <w:r w:rsidRPr="00006C62">
        <w:rPr>
          <w:sz w:val="24"/>
          <w:szCs w:val="24"/>
        </w:rPr>
        <w:tab/>
      </w:r>
      <w:r w:rsidRPr="00006C62">
        <w:rPr>
          <w:sz w:val="24"/>
          <w:szCs w:val="24"/>
        </w:rPr>
        <w:tab/>
      </w:r>
      <w:r w:rsidR="003D6796" w:rsidRPr="00006C62">
        <w:rPr>
          <w:sz w:val="24"/>
          <w:szCs w:val="24"/>
        </w:rPr>
        <w:tab/>
      </w:r>
      <w:r w:rsidRPr="00006C62">
        <w:rPr>
          <w:sz w:val="24"/>
          <w:szCs w:val="24"/>
        </w:rPr>
        <w:t>:</w:t>
      </w:r>
      <w:r w:rsidRPr="00006C62">
        <w:rPr>
          <w:sz w:val="24"/>
          <w:szCs w:val="24"/>
        </w:rPr>
        <w:tab/>
      </w:r>
      <w:r w:rsidRPr="00006C62">
        <w:rPr>
          <w:sz w:val="24"/>
          <w:szCs w:val="24"/>
        </w:rPr>
        <w:tab/>
      </w:r>
    </w:p>
    <w:p w14:paraId="0E5FB556" w14:textId="77777777" w:rsidR="008A2A14" w:rsidRPr="00006C62" w:rsidRDefault="008A2A14" w:rsidP="003D6796">
      <w:pPr>
        <w:ind w:left="720" w:firstLine="4320"/>
        <w:jc w:val="both"/>
        <w:rPr>
          <w:sz w:val="24"/>
          <w:szCs w:val="24"/>
        </w:rPr>
      </w:pPr>
      <w:r w:rsidRPr="00006C62">
        <w:rPr>
          <w:sz w:val="24"/>
          <w:szCs w:val="24"/>
        </w:rPr>
        <w:t>:</w:t>
      </w:r>
    </w:p>
    <w:p w14:paraId="08BC5E64" w14:textId="461E19FC" w:rsidR="008A2A14" w:rsidRPr="00006C62" w:rsidRDefault="0039102A">
      <w:pPr>
        <w:jc w:val="both"/>
        <w:rPr>
          <w:sz w:val="24"/>
          <w:szCs w:val="24"/>
        </w:rPr>
      </w:pPr>
      <w:r>
        <w:rPr>
          <w:sz w:val="24"/>
          <w:szCs w:val="24"/>
        </w:rPr>
        <w:t>Duquesne Light Company</w:t>
      </w:r>
      <w:r>
        <w:rPr>
          <w:sz w:val="24"/>
          <w:szCs w:val="24"/>
        </w:rPr>
        <w:tab/>
      </w:r>
      <w:r>
        <w:rPr>
          <w:sz w:val="24"/>
          <w:szCs w:val="24"/>
        </w:rPr>
        <w:tab/>
      </w:r>
      <w:r w:rsidR="008A2A14" w:rsidRPr="00006C62">
        <w:rPr>
          <w:sz w:val="24"/>
          <w:szCs w:val="24"/>
        </w:rPr>
        <w:tab/>
      </w:r>
      <w:r w:rsidR="003D6796" w:rsidRPr="00006C62">
        <w:rPr>
          <w:sz w:val="24"/>
          <w:szCs w:val="24"/>
        </w:rPr>
        <w:tab/>
      </w:r>
      <w:r w:rsidR="008A2A14" w:rsidRPr="00006C62">
        <w:rPr>
          <w:sz w:val="24"/>
          <w:szCs w:val="24"/>
        </w:rPr>
        <w:t>:</w:t>
      </w:r>
    </w:p>
    <w:p w14:paraId="3D7DD402" w14:textId="445254C6" w:rsidR="008A2A14" w:rsidRDefault="008A2A14">
      <w:pPr>
        <w:jc w:val="both"/>
        <w:rPr>
          <w:sz w:val="24"/>
          <w:szCs w:val="24"/>
        </w:rPr>
      </w:pPr>
    </w:p>
    <w:p w14:paraId="258B049A" w14:textId="77777777" w:rsidR="00547D90" w:rsidRPr="00006C62" w:rsidRDefault="00547D90">
      <w:pPr>
        <w:jc w:val="both"/>
        <w:rPr>
          <w:sz w:val="24"/>
          <w:szCs w:val="24"/>
        </w:rPr>
      </w:pPr>
    </w:p>
    <w:p w14:paraId="3892943E" w14:textId="77777777" w:rsidR="004F5AC1" w:rsidRPr="00006C62" w:rsidRDefault="004F5AC1">
      <w:pPr>
        <w:jc w:val="both"/>
        <w:rPr>
          <w:sz w:val="24"/>
          <w:szCs w:val="24"/>
        </w:rPr>
      </w:pPr>
    </w:p>
    <w:p w14:paraId="2E571867" w14:textId="77777777" w:rsidR="00006C62" w:rsidRPr="00006C62" w:rsidRDefault="004F5AC1" w:rsidP="004F5AC1">
      <w:pPr>
        <w:pStyle w:val="Heading1"/>
        <w:jc w:val="center"/>
        <w:rPr>
          <w:b/>
          <w:szCs w:val="24"/>
        </w:rPr>
      </w:pPr>
      <w:bookmarkStart w:id="0" w:name="_Hlk54619669"/>
      <w:r w:rsidRPr="00006C62">
        <w:rPr>
          <w:b/>
          <w:szCs w:val="24"/>
        </w:rPr>
        <w:t xml:space="preserve">INTERIM </w:t>
      </w:r>
      <w:r w:rsidR="00AD4F10" w:rsidRPr="00006C62">
        <w:rPr>
          <w:b/>
          <w:szCs w:val="24"/>
        </w:rPr>
        <w:t>ORDER</w:t>
      </w:r>
      <w:r w:rsidR="00006C62" w:rsidRPr="00006C62">
        <w:rPr>
          <w:b/>
          <w:szCs w:val="24"/>
        </w:rPr>
        <w:t xml:space="preserve"> </w:t>
      </w:r>
    </w:p>
    <w:p w14:paraId="547259E5" w14:textId="0CCBFBFD" w:rsidR="006D7ED5" w:rsidRDefault="003F787E" w:rsidP="004F5AC1">
      <w:pPr>
        <w:pStyle w:val="Heading1"/>
        <w:jc w:val="center"/>
        <w:rPr>
          <w:b/>
          <w:szCs w:val="24"/>
        </w:rPr>
      </w:pPr>
      <w:r>
        <w:rPr>
          <w:b/>
          <w:szCs w:val="24"/>
        </w:rPr>
        <w:t>PULLING</w:t>
      </w:r>
      <w:r w:rsidR="006D7ED5">
        <w:rPr>
          <w:b/>
          <w:szCs w:val="24"/>
        </w:rPr>
        <w:t xml:space="preserve"> DLC’S PRELIMINARY OBJECTION</w:t>
      </w:r>
      <w:r>
        <w:rPr>
          <w:b/>
          <w:szCs w:val="24"/>
        </w:rPr>
        <w:t>S</w:t>
      </w:r>
      <w:r w:rsidR="006D7ED5">
        <w:rPr>
          <w:b/>
          <w:szCs w:val="24"/>
        </w:rPr>
        <w:t xml:space="preserve"> </w:t>
      </w:r>
      <w:r>
        <w:rPr>
          <w:b/>
          <w:szCs w:val="24"/>
        </w:rPr>
        <w:t>OUT OF</w:t>
      </w:r>
      <w:r w:rsidR="006D7ED5">
        <w:rPr>
          <w:b/>
          <w:szCs w:val="24"/>
        </w:rPr>
        <w:t xml:space="preserve"> ABEYANCE AND </w:t>
      </w:r>
    </w:p>
    <w:bookmarkEnd w:id="0"/>
    <w:p w14:paraId="573F26AE" w14:textId="46494EA0" w:rsidR="003F787E" w:rsidRPr="003F787E" w:rsidRDefault="003F787E" w:rsidP="004F5AC1">
      <w:pPr>
        <w:pStyle w:val="Heading1"/>
        <w:jc w:val="center"/>
        <w:rPr>
          <w:b/>
          <w:szCs w:val="24"/>
        </w:rPr>
      </w:pPr>
      <w:r w:rsidRPr="003F787E">
        <w:rPr>
          <w:b/>
          <w:szCs w:val="24"/>
        </w:rPr>
        <w:t xml:space="preserve">SETTING A DEADLINE FOR THE FILING OF MEMORANDA </w:t>
      </w:r>
    </w:p>
    <w:p w14:paraId="6A4DD3C1" w14:textId="311A4112" w:rsidR="00AD4F10" w:rsidRPr="006D7ED5" w:rsidRDefault="003F787E" w:rsidP="004F5AC1">
      <w:pPr>
        <w:pStyle w:val="Heading1"/>
        <w:jc w:val="center"/>
        <w:rPr>
          <w:b/>
          <w:szCs w:val="24"/>
        </w:rPr>
      </w:pPr>
      <w:r>
        <w:rPr>
          <w:b/>
          <w:szCs w:val="24"/>
          <w:u w:val="single"/>
        </w:rPr>
        <w:t>AND REPLY MEMORANDA</w:t>
      </w:r>
    </w:p>
    <w:p w14:paraId="2E7DAD2F" w14:textId="77777777" w:rsidR="00E71077" w:rsidRPr="00006C62" w:rsidRDefault="00E71077" w:rsidP="00E71077">
      <w:pPr>
        <w:widowControl w:val="0"/>
        <w:autoSpaceDE w:val="0"/>
        <w:autoSpaceDN w:val="0"/>
        <w:adjustRightInd w:val="0"/>
        <w:spacing w:line="360" w:lineRule="auto"/>
        <w:ind w:firstLine="720"/>
        <w:rPr>
          <w:color w:val="000000"/>
          <w:w w:val="107"/>
          <w:sz w:val="24"/>
          <w:szCs w:val="24"/>
        </w:rPr>
      </w:pPr>
    </w:p>
    <w:p w14:paraId="65D71C4D" w14:textId="6D85F8ED" w:rsidR="00C66F3D" w:rsidRDefault="004F5AC1" w:rsidP="00C26A28">
      <w:pPr>
        <w:widowControl w:val="0"/>
        <w:autoSpaceDE w:val="0"/>
        <w:autoSpaceDN w:val="0"/>
        <w:adjustRightInd w:val="0"/>
        <w:spacing w:line="360" w:lineRule="auto"/>
        <w:ind w:firstLine="1440"/>
        <w:rPr>
          <w:color w:val="000000"/>
          <w:w w:val="107"/>
          <w:sz w:val="24"/>
          <w:szCs w:val="24"/>
        </w:rPr>
      </w:pPr>
      <w:r w:rsidRPr="00006C62">
        <w:rPr>
          <w:color w:val="000000"/>
          <w:w w:val="107"/>
          <w:sz w:val="24"/>
          <w:szCs w:val="24"/>
        </w:rPr>
        <w:t xml:space="preserve">On </w:t>
      </w:r>
      <w:r w:rsidR="004D3393">
        <w:rPr>
          <w:color w:val="000000"/>
          <w:w w:val="107"/>
          <w:sz w:val="24"/>
          <w:szCs w:val="24"/>
        </w:rPr>
        <w:t>May 13, 2022,</w:t>
      </w:r>
      <w:r w:rsidRPr="00006C62">
        <w:rPr>
          <w:color w:val="000000"/>
          <w:w w:val="107"/>
          <w:sz w:val="24"/>
          <w:szCs w:val="24"/>
        </w:rPr>
        <w:t xml:space="preserve"> </w:t>
      </w:r>
      <w:r w:rsidR="004D3393">
        <w:rPr>
          <w:color w:val="000000"/>
          <w:w w:val="107"/>
          <w:sz w:val="24"/>
          <w:szCs w:val="24"/>
        </w:rPr>
        <w:t xml:space="preserve">Laura Andracchio Johnson and Charles Johnson </w:t>
      </w:r>
      <w:r w:rsidRPr="00006C62">
        <w:rPr>
          <w:color w:val="000000"/>
          <w:w w:val="107"/>
          <w:sz w:val="24"/>
          <w:szCs w:val="24"/>
        </w:rPr>
        <w:t xml:space="preserve"> (Complainant</w:t>
      </w:r>
      <w:r w:rsidR="004D3393">
        <w:rPr>
          <w:color w:val="000000"/>
          <w:w w:val="107"/>
          <w:sz w:val="24"/>
          <w:szCs w:val="24"/>
        </w:rPr>
        <w:t>s</w:t>
      </w:r>
      <w:r w:rsidR="00461DC4">
        <w:rPr>
          <w:color w:val="000000"/>
          <w:w w:val="107"/>
          <w:sz w:val="24"/>
          <w:szCs w:val="24"/>
        </w:rPr>
        <w:t xml:space="preserve"> or </w:t>
      </w:r>
      <w:r w:rsidR="004D3393">
        <w:rPr>
          <w:color w:val="000000"/>
          <w:w w:val="107"/>
          <w:sz w:val="24"/>
          <w:szCs w:val="24"/>
        </w:rPr>
        <w:t>the Johnsons</w:t>
      </w:r>
      <w:r w:rsidR="00764B57">
        <w:rPr>
          <w:color w:val="000000"/>
          <w:w w:val="107"/>
          <w:sz w:val="24"/>
          <w:szCs w:val="24"/>
        </w:rPr>
        <w:t xml:space="preserve">) </w:t>
      </w:r>
      <w:r w:rsidRPr="00006C62">
        <w:rPr>
          <w:color w:val="000000"/>
          <w:w w:val="108"/>
          <w:sz w:val="24"/>
          <w:szCs w:val="24"/>
        </w:rPr>
        <w:t>filed a Formal Complaint</w:t>
      </w:r>
      <w:r w:rsidR="008750B8">
        <w:rPr>
          <w:color w:val="000000"/>
          <w:w w:val="108"/>
          <w:sz w:val="24"/>
          <w:szCs w:val="24"/>
        </w:rPr>
        <w:t>,</w:t>
      </w:r>
      <w:r w:rsidRPr="00006C62">
        <w:rPr>
          <w:color w:val="000000"/>
          <w:w w:val="108"/>
          <w:sz w:val="24"/>
          <w:szCs w:val="24"/>
        </w:rPr>
        <w:t xml:space="preserve"> </w:t>
      </w:r>
      <w:r w:rsidR="008750B8">
        <w:rPr>
          <w:color w:val="000000"/>
          <w:w w:val="108"/>
          <w:sz w:val="24"/>
          <w:szCs w:val="24"/>
        </w:rPr>
        <w:t xml:space="preserve">using the Commission’s Formal Complaint form, </w:t>
      </w:r>
      <w:r w:rsidRPr="00006C62">
        <w:rPr>
          <w:color w:val="000000"/>
          <w:w w:val="108"/>
          <w:sz w:val="24"/>
          <w:szCs w:val="24"/>
        </w:rPr>
        <w:t xml:space="preserve">against </w:t>
      </w:r>
      <w:r w:rsidR="004D3393">
        <w:rPr>
          <w:color w:val="000000"/>
          <w:w w:val="108"/>
          <w:sz w:val="24"/>
          <w:szCs w:val="24"/>
        </w:rPr>
        <w:t>Duquesne Light Company</w:t>
      </w:r>
      <w:r w:rsidRPr="00006C62">
        <w:rPr>
          <w:color w:val="000000"/>
          <w:w w:val="108"/>
          <w:sz w:val="24"/>
          <w:szCs w:val="24"/>
        </w:rPr>
        <w:t xml:space="preserve"> (Respondent</w:t>
      </w:r>
      <w:r w:rsidR="004D3393">
        <w:rPr>
          <w:color w:val="000000"/>
          <w:w w:val="108"/>
          <w:sz w:val="24"/>
          <w:szCs w:val="24"/>
        </w:rPr>
        <w:t xml:space="preserve">, DLC, </w:t>
      </w:r>
      <w:r w:rsidR="00C3053D">
        <w:rPr>
          <w:color w:val="000000"/>
          <w:w w:val="107"/>
          <w:sz w:val="24"/>
          <w:szCs w:val="24"/>
        </w:rPr>
        <w:t>or Company</w:t>
      </w:r>
      <w:r w:rsidRPr="00006C62">
        <w:rPr>
          <w:color w:val="000000"/>
          <w:w w:val="107"/>
          <w:sz w:val="24"/>
          <w:szCs w:val="24"/>
        </w:rPr>
        <w:t>)</w:t>
      </w:r>
      <w:r w:rsidR="00764B57">
        <w:rPr>
          <w:color w:val="000000"/>
          <w:w w:val="107"/>
          <w:sz w:val="24"/>
          <w:szCs w:val="24"/>
        </w:rPr>
        <w:t>.</w:t>
      </w:r>
      <w:r w:rsidR="00C32278">
        <w:rPr>
          <w:color w:val="000000"/>
          <w:w w:val="107"/>
          <w:sz w:val="24"/>
          <w:szCs w:val="24"/>
        </w:rPr>
        <w:t xml:space="preserve"> </w:t>
      </w:r>
      <w:r w:rsidR="00764B57">
        <w:rPr>
          <w:color w:val="000000"/>
          <w:w w:val="107"/>
          <w:sz w:val="24"/>
          <w:szCs w:val="24"/>
        </w:rPr>
        <w:t xml:space="preserve"> Complainant</w:t>
      </w:r>
      <w:r w:rsidR="004D3393">
        <w:rPr>
          <w:color w:val="000000"/>
          <w:w w:val="107"/>
          <w:sz w:val="24"/>
          <w:szCs w:val="24"/>
        </w:rPr>
        <w:t xml:space="preserve">s averred </w:t>
      </w:r>
      <w:r w:rsidR="000C1772">
        <w:rPr>
          <w:color w:val="000000"/>
          <w:w w:val="107"/>
          <w:sz w:val="24"/>
          <w:szCs w:val="24"/>
        </w:rPr>
        <w:t xml:space="preserve">they purchased property at </w:t>
      </w:r>
      <w:r w:rsidR="00A21173">
        <w:rPr>
          <w:color w:val="000000"/>
          <w:w w:val="107"/>
          <w:sz w:val="24"/>
          <w:szCs w:val="24"/>
        </w:rPr>
        <w:t>235 Ridgehaven Lane</w:t>
      </w:r>
      <w:r w:rsidR="000C1772">
        <w:rPr>
          <w:color w:val="000000"/>
          <w:w w:val="107"/>
          <w:sz w:val="24"/>
          <w:szCs w:val="24"/>
        </w:rPr>
        <w:t xml:space="preserve">, Pittsburgh, PA 15238 (subject property) on May 22, 2017 from the former owners (sellers).  Complainants aver DLC had been mapping routes for a high voltage power line </w:t>
      </w:r>
      <w:r w:rsidR="00E03186">
        <w:rPr>
          <w:color w:val="000000"/>
          <w:w w:val="107"/>
          <w:sz w:val="24"/>
          <w:szCs w:val="24"/>
        </w:rPr>
        <w:t>in</w:t>
      </w:r>
      <w:r w:rsidR="000C1772">
        <w:rPr>
          <w:color w:val="000000"/>
          <w:w w:val="107"/>
          <w:sz w:val="24"/>
          <w:szCs w:val="24"/>
        </w:rPr>
        <w:t xml:space="preserve"> the area of the subject property</w:t>
      </w:r>
      <w:r w:rsidR="00E03186">
        <w:rPr>
          <w:color w:val="000000"/>
          <w:w w:val="107"/>
          <w:sz w:val="24"/>
          <w:szCs w:val="24"/>
        </w:rPr>
        <w:t xml:space="preserve"> prior to the subject property being listed for sale</w:t>
      </w:r>
      <w:r w:rsidR="000C1772">
        <w:rPr>
          <w:color w:val="000000"/>
          <w:w w:val="107"/>
          <w:sz w:val="24"/>
          <w:szCs w:val="24"/>
        </w:rPr>
        <w:t xml:space="preserve">.  </w:t>
      </w:r>
      <w:r w:rsidR="00E03186">
        <w:rPr>
          <w:color w:val="000000"/>
          <w:w w:val="107"/>
          <w:sz w:val="24"/>
          <w:szCs w:val="24"/>
        </w:rPr>
        <w:t>Complainants aver DLC decided on a “preferred” route impacting the subject property by April 7, 2017</w:t>
      </w:r>
      <w:r w:rsidR="000C1772">
        <w:rPr>
          <w:color w:val="000000"/>
          <w:w w:val="107"/>
          <w:sz w:val="24"/>
          <w:szCs w:val="24"/>
        </w:rPr>
        <w:t xml:space="preserve">, </w:t>
      </w:r>
      <w:r w:rsidR="00E03186">
        <w:rPr>
          <w:color w:val="000000"/>
          <w:w w:val="107"/>
          <w:sz w:val="24"/>
          <w:szCs w:val="24"/>
        </w:rPr>
        <w:t>and prepared, but did not send, a notice to the sellers in mid-May 2017</w:t>
      </w:r>
      <w:r w:rsidR="00C66F3D">
        <w:rPr>
          <w:color w:val="000000"/>
          <w:w w:val="107"/>
          <w:sz w:val="24"/>
          <w:szCs w:val="24"/>
        </w:rPr>
        <w:t xml:space="preserve">.  Complainants aver DLC </w:t>
      </w:r>
      <w:r w:rsidR="00E03186">
        <w:rPr>
          <w:color w:val="000000"/>
          <w:w w:val="107"/>
          <w:sz w:val="24"/>
          <w:szCs w:val="24"/>
        </w:rPr>
        <w:t xml:space="preserve">finally sent the notice to sellers and </w:t>
      </w:r>
      <w:r w:rsidR="00C66F3D">
        <w:rPr>
          <w:color w:val="000000"/>
          <w:w w:val="107"/>
          <w:sz w:val="24"/>
          <w:szCs w:val="24"/>
        </w:rPr>
        <w:t xml:space="preserve">publicly </w:t>
      </w:r>
      <w:r w:rsidR="00E03186">
        <w:rPr>
          <w:color w:val="000000"/>
          <w:w w:val="107"/>
          <w:sz w:val="24"/>
          <w:szCs w:val="24"/>
        </w:rPr>
        <w:t xml:space="preserve">announced the routes on June 2, 2017.  </w:t>
      </w:r>
      <w:r w:rsidR="00C66F3D">
        <w:rPr>
          <w:color w:val="000000"/>
          <w:w w:val="107"/>
          <w:sz w:val="24"/>
          <w:szCs w:val="24"/>
        </w:rPr>
        <w:t>Complainants aver they did not learn of DLC’s plan for the power line until they had already purchased the subject property and were moving into the residence</w:t>
      </w:r>
      <w:r w:rsidR="00450999">
        <w:rPr>
          <w:color w:val="000000"/>
          <w:w w:val="107"/>
          <w:sz w:val="24"/>
          <w:szCs w:val="24"/>
        </w:rPr>
        <w:t>, causing them to be “traumatized.”</w:t>
      </w:r>
      <w:r w:rsidR="00C66F3D">
        <w:rPr>
          <w:color w:val="000000"/>
          <w:w w:val="107"/>
          <w:sz w:val="24"/>
          <w:szCs w:val="24"/>
        </w:rPr>
        <w:t xml:space="preserve">  </w:t>
      </w:r>
    </w:p>
    <w:p w14:paraId="3E392E7B" w14:textId="77777777" w:rsidR="00C66F3D" w:rsidRDefault="00C66F3D" w:rsidP="00C26A28">
      <w:pPr>
        <w:widowControl w:val="0"/>
        <w:autoSpaceDE w:val="0"/>
        <w:autoSpaceDN w:val="0"/>
        <w:adjustRightInd w:val="0"/>
        <w:spacing w:line="360" w:lineRule="auto"/>
        <w:ind w:firstLine="1440"/>
        <w:rPr>
          <w:color w:val="000000"/>
          <w:w w:val="107"/>
          <w:sz w:val="24"/>
          <w:szCs w:val="24"/>
        </w:rPr>
      </w:pPr>
    </w:p>
    <w:p w14:paraId="2669B5BF" w14:textId="47AB976E" w:rsidR="004F5AC1" w:rsidRDefault="00C66F3D"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aver </w:t>
      </w:r>
      <w:r w:rsidR="004D3393">
        <w:rPr>
          <w:color w:val="000000"/>
          <w:w w:val="107"/>
          <w:sz w:val="24"/>
          <w:szCs w:val="24"/>
        </w:rPr>
        <w:t xml:space="preserve">DLC acted “negligently and recklessly” by failing to </w:t>
      </w:r>
      <w:r>
        <w:rPr>
          <w:color w:val="000000"/>
          <w:w w:val="107"/>
          <w:sz w:val="24"/>
          <w:szCs w:val="24"/>
        </w:rPr>
        <w:t xml:space="preserve">“timely” </w:t>
      </w:r>
      <w:r w:rsidR="004D3393">
        <w:rPr>
          <w:color w:val="000000"/>
          <w:w w:val="107"/>
          <w:sz w:val="24"/>
          <w:szCs w:val="24"/>
        </w:rPr>
        <w:t xml:space="preserve">notify </w:t>
      </w:r>
      <w:r>
        <w:rPr>
          <w:color w:val="000000"/>
          <w:w w:val="107"/>
          <w:sz w:val="24"/>
          <w:szCs w:val="24"/>
        </w:rPr>
        <w:t>the sellers of DLC’s plan for the power line, who, Complainants allege,</w:t>
      </w:r>
      <w:r w:rsidR="00450999">
        <w:rPr>
          <w:color w:val="000000"/>
          <w:w w:val="107"/>
          <w:sz w:val="24"/>
          <w:szCs w:val="24"/>
        </w:rPr>
        <w:t xml:space="preserve"> </w:t>
      </w:r>
      <w:r>
        <w:rPr>
          <w:color w:val="000000"/>
          <w:w w:val="107"/>
          <w:sz w:val="24"/>
          <w:szCs w:val="24"/>
        </w:rPr>
        <w:t xml:space="preserve">would have been obligated notify Complainants prior to the sale of the property, or </w:t>
      </w:r>
      <w:r w:rsidR="00450999">
        <w:rPr>
          <w:color w:val="000000"/>
          <w:w w:val="107"/>
          <w:sz w:val="24"/>
          <w:szCs w:val="24"/>
        </w:rPr>
        <w:lastRenderedPageBreak/>
        <w:t xml:space="preserve">Complainants themselves, who DLC knew or should have known were the identified buyers.  </w:t>
      </w:r>
    </w:p>
    <w:p w14:paraId="1CDD3034" w14:textId="77777777" w:rsidR="00C32278" w:rsidRDefault="00C32278" w:rsidP="00C26A28">
      <w:pPr>
        <w:widowControl w:val="0"/>
        <w:autoSpaceDE w:val="0"/>
        <w:autoSpaceDN w:val="0"/>
        <w:adjustRightInd w:val="0"/>
        <w:spacing w:line="360" w:lineRule="auto"/>
        <w:ind w:firstLine="1440"/>
        <w:rPr>
          <w:color w:val="000000"/>
          <w:w w:val="107"/>
          <w:sz w:val="24"/>
          <w:szCs w:val="24"/>
        </w:rPr>
      </w:pPr>
    </w:p>
    <w:p w14:paraId="276DA3E3" w14:textId="0F63D6C2" w:rsidR="00450999" w:rsidRDefault="00450999"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subsequently issued a notice to Complainants informing them of DLC’s </w:t>
      </w:r>
      <w:r w:rsidR="00875698">
        <w:rPr>
          <w:color w:val="000000"/>
          <w:w w:val="107"/>
          <w:sz w:val="24"/>
          <w:szCs w:val="24"/>
        </w:rPr>
        <w:t xml:space="preserve">intent to </w:t>
      </w:r>
      <w:r>
        <w:rPr>
          <w:color w:val="000000"/>
          <w:w w:val="107"/>
          <w:sz w:val="24"/>
          <w:szCs w:val="24"/>
        </w:rPr>
        <w:t xml:space="preserve">exercise its eminent domain power </w:t>
      </w:r>
      <w:r w:rsidR="00875698">
        <w:rPr>
          <w:color w:val="000000"/>
          <w:w w:val="107"/>
          <w:sz w:val="24"/>
          <w:szCs w:val="24"/>
        </w:rPr>
        <w:t>over the property.  Complainants allege the notice was “threatening” and “traumatizing.”</w:t>
      </w:r>
    </w:p>
    <w:p w14:paraId="04327CEA" w14:textId="1FEEC579" w:rsidR="00875698" w:rsidRDefault="00875698" w:rsidP="00C26A28">
      <w:pPr>
        <w:widowControl w:val="0"/>
        <w:autoSpaceDE w:val="0"/>
        <w:autoSpaceDN w:val="0"/>
        <w:adjustRightInd w:val="0"/>
        <w:spacing w:line="360" w:lineRule="auto"/>
        <w:ind w:firstLine="1440"/>
        <w:rPr>
          <w:color w:val="000000"/>
          <w:w w:val="107"/>
          <w:sz w:val="24"/>
          <w:szCs w:val="24"/>
        </w:rPr>
      </w:pPr>
    </w:p>
    <w:p w14:paraId="261A69BB" w14:textId="23674C76" w:rsidR="00875698" w:rsidRDefault="0087569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DLC’s June 2017 announcement and the subsequent eminent domain notice “placed a cloud on the property that rendered it unsaleable and/or devalued the property.”  </w:t>
      </w:r>
      <w:r w:rsidR="00DF15E0">
        <w:rPr>
          <w:color w:val="000000"/>
          <w:w w:val="107"/>
          <w:sz w:val="24"/>
          <w:szCs w:val="24"/>
        </w:rPr>
        <w:t>Complainants argue DLC had a “duty to act reasonably to remove the cloud from the property as quickly as practical and to not unreasonably prolong it.”</w:t>
      </w:r>
    </w:p>
    <w:p w14:paraId="6371D93F" w14:textId="4CED223C" w:rsidR="00DF15E0" w:rsidRDefault="00DF15E0" w:rsidP="00C26A28">
      <w:pPr>
        <w:widowControl w:val="0"/>
        <w:autoSpaceDE w:val="0"/>
        <w:autoSpaceDN w:val="0"/>
        <w:adjustRightInd w:val="0"/>
        <w:spacing w:line="360" w:lineRule="auto"/>
        <w:ind w:firstLine="1440"/>
        <w:rPr>
          <w:color w:val="000000"/>
          <w:w w:val="107"/>
          <w:sz w:val="24"/>
          <w:szCs w:val="24"/>
        </w:rPr>
      </w:pPr>
    </w:p>
    <w:p w14:paraId="275F4CF7" w14:textId="77777777" w:rsidR="00865A9A" w:rsidRDefault="00DF15E0"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breached this duty owed to Complainants by failing to provide </w:t>
      </w:r>
      <w:r w:rsidR="00865A9A">
        <w:rPr>
          <w:color w:val="000000"/>
          <w:w w:val="107"/>
          <w:sz w:val="24"/>
          <w:szCs w:val="24"/>
        </w:rPr>
        <w:t>Complainants</w:t>
      </w:r>
      <w:r>
        <w:rPr>
          <w:color w:val="000000"/>
          <w:w w:val="107"/>
          <w:sz w:val="24"/>
          <w:szCs w:val="24"/>
        </w:rPr>
        <w:t xml:space="preserve"> an</w:t>
      </w:r>
      <w:r w:rsidR="00865A9A">
        <w:rPr>
          <w:color w:val="000000"/>
          <w:w w:val="107"/>
          <w:sz w:val="24"/>
          <w:szCs w:val="24"/>
        </w:rPr>
        <w:t>y</w:t>
      </w:r>
      <w:r>
        <w:rPr>
          <w:color w:val="000000"/>
          <w:w w:val="107"/>
          <w:sz w:val="24"/>
          <w:szCs w:val="24"/>
        </w:rPr>
        <w:t xml:space="preserve"> non</w:t>
      </w:r>
      <w:r w:rsidR="00865A9A">
        <w:rPr>
          <w:color w:val="000000"/>
          <w:w w:val="107"/>
          <w:sz w:val="24"/>
          <w:szCs w:val="24"/>
        </w:rPr>
        <w:t>-public information about the routes, failing to file any application with the Commission, and extending the timeline for the project twice, thus extending the “cloud” DLC had created over the property for years.</w:t>
      </w:r>
    </w:p>
    <w:p w14:paraId="5A561AB8" w14:textId="77777777" w:rsidR="00865A9A" w:rsidRDefault="00865A9A" w:rsidP="00C26A28">
      <w:pPr>
        <w:widowControl w:val="0"/>
        <w:autoSpaceDE w:val="0"/>
        <w:autoSpaceDN w:val="0"/>
        <w:adjustRightInd w:val="0"/>
        <w:spacing w:line="360" w:lineRule="auto"/>
        <w:ind w:firstLine="1440"/>
        <w:rPr>
          <w:color w:val="000000"/>
          <w:w w:val="107"/>
          <w:sz w:val="24"/>
          <w:szCs w:val="24"/>
        </w:rPr>
      </w:pPr>
    </w:p>
    <w:p w14:paraId="404729B2" w14:textId="6721D59B" w:rsidR="00DF15E0" w:rsidRDefault="00865A9A"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explain they </w:t>
      </w:r>
      <w:r w:rsidR="005A4369">
        <w:rPr>
          <w:color w:val="000000"/>
          <w:w w:val="107"/>
          <w:sz w:val="24"/>
          <w:szCs w:val="24"/>
        </w:rPr>
        <w:t>wanted to sell the subject property</w:t>
      </w:r>
      <w:r w:rsidR="005A4369" w:rsidRPr="005A4369">
        <w:rPr>
          <w:color w:val="000000"/>
          <w:w w:val="107"/>
          <w:sz w:val="24"/>
          <w:szCs w:val="24"/>
        </w:rPr>
        <w:t xml:space="preserve"> </w:t>
      </w:r>
      <w:r w:rsidR="005A4369">
        <w:rPr>
          <w:color w:val="000000"/>
          <w:w w:val="107"/>
          <w:sz w:val="24"/>
          <w:szCs w:val="24"/>
        </w:rPr>
        <w:t xml:space="preserve">on or about September 2020, but lost two buyers, because, although the subject property was no longer on DLC’s “preferred route,” it remained on DLC’s “alternate route.”  Complainants explain they were finally able to sell the property </w:t>
      </w:r>
      <w:r w:rsidR="00D94088">
        <w:rPr>
          <w:color w:val="000000"/>
          <w:w w:val="107"/>
          <w:sz w:val="24"/>
          <w:szCs w:val="24"/>
        </w:rPr>
        <w:t xml:space="preserve">on or about November 2022 when DLC’s attorney wrote a letter that DLC did not anticipate that the property would be impacted by any route.  </w:t>
      </w:r>
    </w:p>
    <w:p w14:paraId="180C7B98" w14:textId="31EE395B" w:rsidR="00D94088" w:rsidRDefault="00D94088" w:rsidP="00C26A28">
      <w:pPr>
        <w:widowControl w:val="0"/>
        <w:autoSpaceDE w:val="0"/>
        <w:autoSpaceDN w:val="0"/>
        <w:adjustRightInd w:val="0"/>
        <w:spacing w:line="360" w:lineRule="auto"/>
        <w:ind w:firstLine="1440"/>
        <w:rPr>
          <w:color w:val="000000"/>
          <w:w w:val="107"/>
          <w:sz w:val="24"/>
          <w:szCs w:val="24"/>
        </w:rPr>
      </w:pPr>
    </w:p>
    <w:p w14:paraId="4EB57C1D" w14:textId="16F9C278" w:rsidR="00DF15E0" w:rsidRDefault="00D9408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Complainants allege DLC knew by 2018 that its preferred route no longer impacted the subject property, but intentionally withheld this information from Complainants.  </w:t>
      </w:r>
    </w:p>
    <w:p w14:paraId="64D31912" w14:textId="1175A4E7" w:rsidR="00875698" w:rsidRDefault="00875698" w:rsidP="00C26A28">
      <w:pPr>
        <w:widowControl w:val="0"/>
        <w:autoSpaceDE w:val="0"/>
        <w:autoSpaceDN w:val="0"/>
        <w:adjustRightInd w:val="0"/>
        <w:spacing w:line="360" w:lineRule="auto"/>
        <w:ind w:firstLine="1440"/>
        <w:rPr>
          <w:color w:val="000000"/>
          <w:w w:val="107"/>
          <w:sz w:val="24"/>
          <w:szCs w:val="24"/>
        </w:rPr>
      </w:pPr>
    </w:p>
    <w:p w14:paraId="6943F1D4" w14:textId="6D03DCC0" w:rsidR="00875698" w:rsidRDefault="0087569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Notably, Complainants admit DLC was “not required by PUC regulations to provide [ ] notice to sellers or Complainants </w:t>
      </w:r>
      <w:r w:rsidR="00DF15E0">
        <w:rPr>
          <w:color w:val="000000"/>
          <w:w w:val="107"/>
          <w:sz w:val="24"/>
          <w:szCs w:val="24"/>
        </w:rPr>
        <w:t xml:space="preserve">because it was not yet submitting-and to date has not submitted-and application to the PUC for approval of any route through the </w:t>
      </w:r>
      <w:r w:rsidR="00DF15E0">
        <w:rPr>
          <w:color w:val="000000"/>
          <w:w w:val="107"/>
          <w:sz w:val="24"/>
          <w:szCs w:val="24"/>
        </w:rPr>
        <w:lastRenderedPageBreak/>
        <w:t>property.”</w:t>
      </w:r>
      <w:r w:rsidR="00D94088">
        <w:rPr>
          <w:color w:val="000000"/>
          <w:w w:val="107"/>
          <w:sz w:val="24"/>
          <w:szCs w:val="24"/>
        </w:rPr>
        <w:t xml:space="preserve"> </w:t>
      </w:r>
      <w:r w:rsidR="006D7ED5">
        <w:rPr>
          <w:color w:val="000000"/>
          <w:w w:val="107"/>
          <w:sz w:val="24"/>
          <w:szCs w:val="24"/>
        </w:rPr>
        <w:t xml:space="preserve"> </w:t>
      </w:r>
      <w:r w:rsidR="00D94088">
        <w:rPr>
          <w:color w:val="000000"/>
          <w:w w:val="107"/>
          <w:sz w:val="24"/>
          <w:szCs w:val="24"/>
        </w:rPr>
        <w:t>Complainants explain they brought an action against DLC in 2019 in Common Pleas Court</w:t>
      </w:r>
      <w:r w:rsidR="006D7ED5">
        <w:rPr>
          <w:color w:val="000000"/>
          <w:w w:val="107"/>
          <w:sz w:val="24"/>
          <w:szCs w:val="24"/>
        </w:rPr>
        <w:t>, which they believe has proper jurisdiction over their common law tort claims</w:t>
      </w:r>
      <w:r w:rsidR="00D94088">
        <w:rPr>
          <w:color w:val="000000"/>
          <w:w w:val="107"/>
          <w:sz w:val="24"/>
          <w:szCs w:val="24"/>
        </w:rPr>
        <w:t xml:space="preserve">.  Complainants allege the </w:t>
      </w:r>
      <w:r w:rsidR="006D7ED5">
        <w:rPr>
          <w:color w:val="000000"/>
          <w:w w:val="107"/>
          <w:sz w:val="24"/>
          <w:szCs w:val="24"/>
        </w:rPr>
        <w:t xml:space="preserve">Common Pleas Court </w:t>
      </w:r>
      <w:r w:rsidR="00D94088">
        <w:rPr>
          <w:color w:val="000000"/>
          <w:w w:val="107"/>
          <w:sz w:val="24"/>
          <w:szCs w:val="24"/>
        </w:rPr>
        <w:t xml:space="preserve">Judge overruled DLC’s preliminary objections, but stayed the case “pending a determination by the PUC as to the duty </w:t>
      </w:r>
      <w:r w:rsidR="0010433A">
        <w:rPr>
          <w:color w:val="000000"/>
          <w:w w:val="107"/>
          <w:sz w:val="24"/>
          <w:szCs w:val="24"/>
        </w:rPr>
        <w:t xml:space="preserve">owed by Defendants for Plaintiffs regarding the location of the proposed transmission line and the appropriate time to give Notice thereof.”  Complainants explain they appealed the decision on the grounds that the PUC does not have jurisdiction to make that determination, as DLC was acting outside PUC regulations and its liability is based in common law.”  Complainants explain they exhausted their appeals to the Superior and Supreme Courts before filing the instant Complaint.  </w:t>
      </w:r>
    </w:p>
    <w:p w14:paraId="1382D306" w14:textId="1CE64035" w:rsidR="00C364BB" w:rsidRDefault="00C364BB" w:rsidP="00C26A28">
      <w:pPr>
        <w:widowControl w:val="0"/>
        <w:autoSpaceDE w:val="0"/>
        <w:autoSpaceDN w:val="0"/>
        <w:adjustRightInd w:val="0"/>
        <w:spacing w:line="360" w:lineRule="auto"/>
        <w:ind w:firstLine="1440"/>
        <w:rPr>
          <w:color w:val="000000"/>
          <w:w w:val="107"/>
          <w:sz w:val="24"/>
          <w:szCs w:val="24"/>
        </w:rPr>
      </w:pPr>
    </w:p>
    <w:p w14:paraId="4839FF7B" w14:textId="6EA070EB" w:rsidR="00C364BB" w:rsidRPr="00006C62" w:rsidRDefault="00C364BB"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As relief, Complainants request the Commission </w:t>
      </w:r>
      <w:r w:rsidR="00827323">
        <w:rPr>
          <w:color w:val="000000"/>
          <w:w w:val="107"/>
          <w:sz w:val="24"/>
          <w:szCs w:val="24"/>
        </w:rPr>
        <w:t>decide</w:t>
      </w:r>
      <w:r>
        <w:rPr>
          <w:color w:val="000000"/>
          <w:w w:val="107"/>
          <w:sz w:val="24"/>
          <w:szCs w:val="24"/>
        </w:rPr>
        <w:t xml:space="preserve"> whether it has jurisdiction to de</w:t>
      </w:r>
      <w:r w:rsidR="00827323">
        <w:rPr>
          <w:color w:val="000000"/>
          <w:w w:val="107"/>
          <w:sz w:val="24"/>
          <w:szCs w:val="24"/>
        </w:rPr>
        <w:t xml:space="preserve">termine the duty owed by DLC to Complainants regarding (1) the location of proposed transmission lines impacting property that was publicly listed for sale and which Complainants were about to buy, and (2) the appropriate time to give notice thereof to the owner of the property, where </w:t>
      </w:r>
      <w:r w:rsidR="00380D39">
        <w:rPr>
          <w:color w:val="000000"/>
          <w:w w:val="107"/>
          <w:sz w:val="24"/>
          <w:szCs w:val="24"/>
        </w:rPr>
        <w:t>DLC</w:t>
      </w:r>
      <w:r w:rsidR="00827323">
        <w:rPr>
          <w:color w:val="000000"/>
          <w:w w:val="107"/>
          <w:sz w:val="24"/>
          <w:szCs w:val="24"/>
        </w:rPr>
        <w:t xml:space="preserve"> had mapped to high voltage power lines through the property before </w:t>
      </w:r>
      <w:r w:rsidR="00380D39">
        <w:rPr>
          <w:color w:val="000000"/>
          <w:w w:val="107"/>
          <w:sz w:val="24"/>
          <w:szCs w:val="24"/>
        </w:rPr>
        <w:t>C</w:t>
      </w:r>
      <w:r w:rsidR="00827323">
        <w:rPr>
          <w:color w:val="000000"/>
          <w:w w:val="107"/>
          <w:sz w:val="24"/>
          <w:szCs w:val="24"/>
        </w:rPr>
        <w:t>omplainants bought it</w:t>
      </w:r>
      <w:r w:rsidR="00380D39">
        <w:rPr>
          <w:color w:val="000000"/>
          <w:w w:val="107"/>
          <w:sz w:val="24"/>
          <w:szCs w:val="24"/>
        </w:rPr>
        <w:t xml:space="preserve">, and had prepared a notice to the sellers before Complainants bought the property, but did not mail the notice until eleven days after Complainants bought it.  Complainants request that, if the Commission has jurisdiction to make this determination, the Commission find that Duquesne acted negligently and recklessly and is consequently liable to Complainants under common law </w:t>
      </w:r>
      <w:r w:rsidR="00380D39" w:rsidRPr="008F2B6E">
        <w:rPr>
          <w:color w:val="000000"/>
          <w:w w:val="107"/>
          <w:sz w:val="24"/>
          <w:szCs w:val="24"/>
        </w:rPr>
        <w:t>tort principles for the harm Complainants suffered as a result of Duquesne’s acts and failures to act.</w:t>
      </w:r>
      <w:r w:rsidR="00380D39">
        <w:rPr>
          <w:color w:val="000000"/>
          <w:w w:val="107"/>
          <w:sz w:val="24"/>
          <w:szCs w:val="24"/>
        </w:rPr>
        <w:t xml:space="preserve">  </w:t>
      </w:r>
    </w:p>
    <w:p w14:paraId="406E39C7" w14:textId="77777777" w:rsidR="000644EB" w:rsidRPr="00006C62" w:rsidRDefault="000644EB" w:rsidP="00C26A28">
      <w:pPr>
        <w:widowControl w:val="0"/>
        <w:autoSpaceDE w:val="0"/>
        <w:autoSpaceDN w:val="0"/>
        <w:adjustRightInd w:val="0"/>
        <w:spacing w:line="360" w:lineRule="auto"/>
        <w:rPr>
          <w:color w:val="000000"/>
          <w:w w:val="107"/>
          <w:sz w:val="24"/>
          <w:szCs w:val="24"/>
        </w:rPr>
      </w:pPr>
    </w:p>
    <w:p w14:paraId="58D255EF" w14:textId="04876AE9" w:rsidR="005C73EC" w:rsidRDefault="000644EB" w:rsidP="00C26A28">
      <w:pPr>
        <w:widowControl w:val="0"/>
        <w:autoSpaceDE w:val="0"/>
        <w:autoSpaceDN w:val="0"/>
        <w:adjustRightInd w:val="0"/>
        <w:spacing w:line="360" w:lineRule="auto"/>
        <w:rPr>
          <w:color w:val="000000"/>
          <w:w w:val="108"/>
          <w:sz w:val="24"/>
          <w:szCs w:val="24"/>
        </w:rPr>
      </w:pPr>
      <w:r w:rsidRPr="00006C62">
        <w:rPr>
          <w:color w:val="000000"/>
          <w:w w:val="107"/>
          <w:sz w:val="24"/>
          <w:szCs w:val="24"/>
        </w:rPr>
        <w:tab/>
      </w:r>
      <w:r w:rsidRPr="00006C62">
        <w:rPr>
          <w:color w:val="000000"/>
          <w:w w:val="107"/>
          <w:sz w:val="24"/>
          <w:szCs w:val="24"/>
        </w:rPr>
        <w:tab/>
        <w:t xml:space="preserve">On </w:t>
      </w:r>
      <w:r w:rsidR="00A21173">
        <w:rPr>
          <w:color w:val="000000"/>
          <w:w w:val="107"/>
          <w:sz w:val="24"/>
          <w:szCs w:val="24"/>
        </w:rPr>
        <w:t>June 21, 2022</w:t>
      </w:r>
      <w:r w:rsidR="003A4B3C" w:rsidRPr="00006C62">
        <w:rPr>
          <w:color w:val="000000"/>
          <w:w w:val="107"/>
          <w:sz w:val="24"/>
          <w:szCs w:val="24"/>
        </w:rPr>
        <w:t xml:space="preserve">, </w:t>
      </w:r>
      <w:r w:rsidR="00A21173">
        <w:rPr>
          <w:color w:val="000000"/>
          <w:w w:val="107"/>
          <w:sz w:val="24"/>
          <w:szCs w:val="24"/>
        </w:rPr>
        <w:t>DLC</w:t>
      </w:r>
      <w:r w:rsidR="003A4B3C" w:rsidRPr="00006C62">
        <w:rPr>
          <w:color w:val="000000"/>
          <w:w w:val="107"/>
          <w:sz w:val="24"/>
          <w:szCs w:val="24"/>
        </w:rPr>
        <w:t xml:space="preserve"> filed </w:t>
      </w:r>
      <w:r w:rsidR="001D28F1">
        <w:rPr>
          <w:color w:val="000000"/>
          <w:w w:val="107"/>
          <w:sz w:val="24"/>
          <w:szCs w:val="24"/>
        </w:rPr>
        <w:t>a</w:t>
      </w:r>
      <w:r w:rsidR="00A21173">
        <w:rPr>
          <w:color w:val="000000"/>
          <w:w w:val="107"/>
          <w:sz w:val="24"/>
          <w:szCs w:val="24"/>
        </w:rPr>
        <w:t>n Answer</w:t>
      </w:r>
      <w:r w:rsidR="00203D7B">
        <w:rPr>
          <w:color w:val="000000"/>
          <w:w w:val="107"/>
          <w:sz w:val="24"/>
          <w:szCs w:val="24"/>
        </w:rPr>
        <w:t>, New Matter,</w:t>
      </w:r>
      <w:r w:rsidR="00A21173">
        <w:rPr>
          <w:color w:val="000000"/>
          <w:w w:val="107"/>
          <w:sz w:val="24"/>
          <w:szCs w:val="24"/>
        </w:rPr>
        <w:t xml:space="preserve"> and</w:t>
      </w:r>
      <w:r w:rsidR="001D28F1">
        <w:rPr>
          <w:color w:val="000000"/>
          <w:w w:val="107"/>
          <w:sz w:val="24"/>
          <w:szCs w:val="24"/>
        </w:rPr>
        <w:t xml:space="preserve"> </w:t>
      </w:r>
      <w:r w:rsidR="00C26A28" w:rsidRPr="00006C62">
        <w:rPr>
          <w:color w:val="000000"/>
          <w:w w:val="107"/>
          <w:sz w:val="24"/>
          <w:szCs w:val="24"/>
        </w:rPr>
        <w:t>Preliminary Objection</w:t>
      </w:r>
      <w:r w:rsidR="00A21173">
        <w:rPr>
          <w:color w:val="000000"/>
          <w:w w:val="107"/>
          <w:sz w:val="24"/>
          <w:szCs w:val="24"/>
        </w:rPr>
        <w:t>s</w:t>
      </w:r>
      <w:r w:rsidR="00C26A28" w:rsidRPr="00006C62">
        <w:rPr>
          <w:color w:val="000000"/>
          <w:w w:val="107"/>
          <w:sz w:val="24"/>
          <w:szCs w:val="24"/>
        </w:rPr>
        <w:t xml:space="preserve"> </w:t>
      </w:r>
      <w:r w:rsidR="00C26A28" w:rsidRPr="00006C62">
        <w:rPr>
          <w:color w:val="000000"/>
          <w:w w:val="108"/>
          <w:sz w:val="24"/>
          <w:szCs w:val="24"/>
        </w:rPr>
        <w:t>pursuant to 52 Pa.Code §5.101</w:t>
      </w:r>
      <w:r w:rsidR="001D28F1">
        <w:rPr>
          <w:color w:val="000000"/>
          <w:w w:val="108"/>
          <w:sz w:val="24"/>
          <w:szCs w:val="24"/>
        </w:rPr>
        <w:t>(a)(</w:t>
      </w:r>
      <w:r w:rsidR="00A21173">
        <w:rPr>
          <w:color w:val="000000"/>
          <w:w w:val="108"/>
          <w:sz w:val="24"/>
          <w:szCs w:val="24"/>
        </w:rPr>
        <w:t>4</w:t>
      </w:r>
      <w:r w:rsidR="001D28F1">
        <w:rPr>
          <w:color w:val="000000"/>
          <w:w w:val="108"/>
          <w:sz w:val="24"/>
          <w:szCs w:val="24"/>
        </w:rPr>
        <w:t>), arguing</w:t>
      </w:r>
      <w:r w:rsidR="00C3053D">
        <w:rPr>
          <w:color w:val="000000"/>
          <w:w w:val="108"/>
          <w:sz w:val="24"/>
          <w:szCs w:val="24"/>
        </w:rPr>
        <w:t xml:space="preserve"> </w:t>
      </w:r>
      <w:r w:rsidR="001D28F1">
        <w:rPr>
          <w:color w:val="000000"/>
          <w:w w:val="108"/>
          <w:sz w:val="24"/>
          <w:szCs w:val="24"/>
        </w:rPr>
        <w:t xml:space="preserve">that the Complaint </w:t>
      </w:r>
      <w:r w:rsidR="00A21173">
        <w:rPr>
          <w:color w:val="000000"/>
          <w:w w:val="108"/>
          <w:sz w:val="24"/>
          <w:szCs w:val="24"/>
        </w:rPr>
        <w:t>was legally insufficient</w:t>
      </w:r>
      <w:r w:rsidR="001D28F1">
        <w:rPr>
          <w:color w:val="000000"/>
          <w:w w:val="108"/>
          <w:sz w:val="24"/>
          <w:szCs w:val="24"/>
        </w:rPr>
        <w:t xml:space="preserve">.  </w:t>
      </w:r>
      <w:r w:rsidR="00A21173">
        <w:rPr>
          <w:color w:val="000000"/>
          <w:w w:val="108"/>
          <w:sz w:val="24"/>
          <w:szCs w:val="24"/>
        </w:rPr>
        <w:t>In its Answer, the Company denied all material allegation in the Complaint</w:t>
      </w:r>
      <w:r w:rsidR="00B20EBC">
        <w:rPr>
          <w:color w:val="000000"/>
          <w:w w:val="108"/>
          <w:sz w:val="24"/>
          <w:szCs w:val="24"/>
        </w:rPr>
        <w:t xml:space="preserve">, specifically denying it had any duty to Complainants or sellers.  DLC avers </w:t>
      </w:r>
      <w:r w:rsidR="00BC5DD8">
        <w:rPr>
          <w:color w:val="000000"/>
          <w:w w:val="108"/>
          <w:sz w:val="24"/>
          <w:szCs w:val="24"/>
        </w:rPr>
        <w:t>the Commission’s regulations only require public utilities to</w:t>
      </w:r>
      <w:r w:rsidR="00B20EBC">
        <w:rPr>
          <w:color w:val="000000"/>
          <w:w w:val="108"/>
          <w:sz w:val="24"/>
          <w:szCs w:val="24"/>
        </w:rPr>
        <w:t xml:space="preserve"> notify property owners </w:t>
      </w:r>
      <w:r w:rsidR="00BC5DD8">
        <w:rPr>
          <w:color w:val="000000"/>
          <w:w w:val="108"/>
          <w:sz w:val="24"/>
          <w:szCs w:val="24"/>
        </w:rPr>
        <w:t>of its eminent domain ability prior to contacting them for right-of-way negotiations.  The Company argues it had no obligation to notify propert</w:t>
      </w:r>
      <w:r w:rsidR="005C73EC">
        <w:rPr>
          <w:color w:val="000000"/>
          <w:w w:val="108"/>
          <w:sz w:val="24"/>
          <w:szCs w:val="24"/>
        </w:rPr>
        <w:t xml:space="preserve">y owners regarding a potential </w:t>
      </w:r>
      <w:r w:rsidR="005C73EC">
        <w:rPr>
          <w:color w:val="000000"/>
          <w:w w:val="108"/>
          <w:sz w:val="24"/>
          <w:szCs w:val="24"/>
        </w:rPr>
        <w:lastRenderedPageBreak/>
        <w:t>transmission project prior to submitting a formal application to the Commission.  DLC argues</w:t>
      </w:r>
      <w:r w:rsidR="00203D7B">
        <w:rPr>
          <w:color w:val="000000"/>
          <w:w w:val="108"/>
          <w:sz w:val="24"/>
          <w:szCs w:val="24"/>
        </w:rPr>
        <w:t>,</w:t>
      </w:r>
      <w:r w:rsidR="00203D7B" w:rsidRPr="00203D7B">
        <w:rPr>
          <w:color w:val="000000"/>
          <w:w w:val="108"/>
          <w:sz w:val="24"/>
          <w:szCs w:val="24"/>
        </w:rPr>
        <w:t xml:space="preserve"> </w:t>
      </w:r>
      <w:r w:rsidR="00203D7B">
        <w:rPr>
          <w:color w:val="000000"/>
          <w:w w:val="108"/>
          <w:sz w:val="24"/>
          <w:szCs w:val="24"/>
        </w:rPr>
        <w:t>and Complainants do not aver,</w:t>
      </w:r>
      <w:r w:rsidR="005C73EC">
        <w:rPr>
          <w:color w:val="000000"/>
          <w:w w:val="108"/>
          <w:sz w:val="24"/>
          <w:szCs w:val="24"/>
        </w:rPr>
        <w:t xml:space="preserve"> it ha</w:t>
      </w:r>
      <w:r w:rsidR="004F5957">
        <w:rPr>
          <w:color w:val="000000"/>
          <w:w w:val="108"/>
          <w:sz w:val="24"/>
          <w:szCs w:val="24"/>
        </w:rPr>
        <w:t>s</w:t>
      </w:r>
      <w:r w:rsidR="005C73EC">
        <w:rPr>
          <w:color w:val="000000"/>
          <w:w w:val="108"/>
          <w:sz w:val="24"/>
          <w:szCs w:val="24"/>
        </w:rPr>
        <w:t xml:space="preserve"> violated any Commission regulation, rule, or order.   </w:t>
      </w:r>
      <w:r w:rsidR="00BC5DD8">
        <w:rPr>
          <w:color w:val="000000"/>
          <w:w w:val="108"/>
          <w:sz w:val="24"/>
          <w:szCs w:val="24"/>
        </w:rPr>
        <w:t xml:space="preserve">  </w:t>
      </w:r>
      <w:r w:rsidR="00B20EBC">
        <w:rPr>
          <w:color w:val="000000"/>
          <w:w w:val="108"/>
          <w:sz w:val="24"/>
          <w:szCs w:val="24"/>
        </w:rPr>
        <w:t xml:space="preserve"> </w:t>
      </w:r>
      <w:r w:rsidR="00A21173">
        <w:rPr>
          <w:color w:val="000000"/>
          <w:w w:val="108"/>
          <w:sz w:val="24"/>
          <w:szCs w:val="24"/>
        </w:rPr>
        <w:t xml:space="preserve">  </w:t>
      </w:r>
    </w:p>
    <w:p w14:paraId="5A1D1BD9" w14:textId="77777777" w:rsidR="00C32278" w:rsidRDefault="00C32278" w:rsidP="00C26A28">
      <w:pPr>
        <w:widowControl w:val="0"/>
        <w:autoSpaceDE w:val="0"/>
        <w:autoSpaceDN w:val="0"/>
        <w:adjustRightInd w:val="0"/>
        <w:spacing w:line="360" w:lineRule="auto"/>
        <w:rPr>
          <w:color w:val="000000"/>
          <w:w w:val="108"/>
          <w:sz w:val="24"/>
          <w:szCs w:val="24"/>
        </w:rPr>
      </w:pPr>
    </w:p>
    <w:p w14:paraId="3400DCF9" w14:textId="7E7BE343" w:rsidR="00356BC0" w:rsidRDefault="005C73EC" w:rsidP="00356BC0">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r>
      <w:r w:rsidR="004F5957">
        <w:rPr>
          <w:color w:val="000000"/>
          <w:w w:val="108"/>
          <w:sz w:val="24"/>
          <w:szCs w:val="24"/>
        </w:rPr>
        <w:t xml:space="preserve">In its </w:t>
      </w:r>
      <w:r w:rsidR="00356BC0">
        <w:rPr>
          <w:color w:val="000000"/>
          <w:w w:val="108"/>
          <w:sz w:val="24"/>
          <w:szCs w:val="24"/>
        </w:rPr>
        <w:t>Preliminary Objectio</w:t>
      </w:r>
      <w:r w:rsidR="004D527C">
        <w:rPr>
          <w:color w:val="000000"/>
          <w:w w:val="108"/>
          <w:sz w:val="24"/>
          <w:szCs w:val="24"/>
        </w:rPr>
        <w:t>n</w:t>
      </w:r>
      <w:r w:rsidR="004F5957">
        <w:rPr>
          <w:color w:val="000000"/>
          <w:w w:val="108"/>
          <w:sz w:val="24"/>
          <w:szCs w:val="24"/>
        </w:rPr>
        <w:t>, DLC argues the Complaint is legally insufficient because the Complaint fails to set forth “an act or thing done or omitted to be done or about to be done or omitted to be done by the respondent in violation or claimed violation of, a statute which the Commission has jurisdiction to administer, or of a regulation or order of the Commission.</w:t>
      </w:r>
      <w:r w:rsidR="00AA7030">
        <w:rPr>
          <w:color w:val="000000"/>
          <w:w w:val="108"/>
          <w:sz w:val="24"/>
          <w:szCs w:val="24"/>
        </w:rPr>
        <w:t>”</w:t>
      </w:r>
      <w:r w:rsidR="004F5957" w:rsidRPr="004F5957">
        <w:rPr>
          <w:rStyle w:val="FootnoteReference"/>
          <w:color w:val="000000"/>
          <w:w w:val="108"/>
          <w:sz w:val="24"/>
          <w:szCs w:val="24"/>
          <w:vertAlign w:val="superscript"/>
        </w:rPr>
        <w:footnoteReference w:id="1"/>
      </w:r>
      <w:r w:rsidR="00AA7030">
        <w:rPr>
          <w:color w:val="000000"/>
          <w:w w:val="108"/>
          <w:sz w:val="24"/>
          <w:szCs w:val="24"/>
        </w:rPr>
        <w:t xml:space="preserve">  As relief, DLC seeks dismissal of the Complaint.  </w:t>
      </w:r>
    </w:p>
    <w:p w14:paraId="54692E7E" w14:textId="62296F70" w:rsidR="00356BC0" w:rsidRDefault="00356BC0" w:rsidP="00356BC0">
      <w:pPr>
        <w:widowControl w:val="0"/>
        <w:autoSpaceDE w:val="0"/>
        <w:autoSpaceDN w:val="0"/>
        <w:adjustRightInd w:val="0"/>
        <w:spacing w:line="360" w:lineRule="auto"/>
        <w:rPr>
          <w:color w:val="000000"/>
          <w:w w:val="107"/>
          <w:sz w:val="24"/>
          <w:szCs w:val="24"/>
        </w:rPr>
      </w:pPr>
    </w:p>
    <w:p w14:paraId="6AA50975" w14:textId="3E339F54" w:rsidR="00356BC0" w:rsidRPr="00AD6E4E" w:rsidRDefault="00356BC0" w:rsidP="00356BC0">
      <w:pPr>
        <w:widowControl w:val="0"/>
        <w:autoSpaceDE w:val="0"/>
        <w:autoSpaceDN w:val="0"/>
        <w:adjustRightInd w:val="0"/>
        <w:spacing w:line="360" w:lineRule="auto"/>
        <w:rPr>
          <w:i/>
          <w:iCs/>
          <w:color w:val="000000"/>
          <w:w w:val="107"/>
          <w:sz w:val="24"/>
          <w:szCs w:val="24"/>
        </w:rPr>
      </w:pPr>
      <w:r>
        <w:rPr>
          <w:color w:val="000000"/>
          <w:w w:val="107"/>
          <w:sz w:val="24"/>
          <w:szCs w:val="24"/>
        </w:rPr>
        <w:tab/>
      </w:r>
      <w:r>
        <w:rPr>
          <w:color w:val="000000"/>
          <w:w w:val="107"/>
          <w:sz w:val="24"/>
          <w:szCs w:val="24"/>
        </w:rPr>
        <w:tab/>
      </w:r>
      <w:r w:rsidR="00AA7030" w:rsidRPr="00BD02D1">
        <w:rPr>
          <w:color w:val="000000"/>
          <w:w w:val="107"/>
          <w:sz w:val="24"/>
          <w:szCs w:val="24"/>
        </w:rPr>
        <w:t xml:space="preserve">On July 11, 2022, Complainants filed a response to the Preliminary Objection.  Complainants reiterate that they believe their </w:t>
      </w:r>
      <w:r w:rsidR="002940F4" w:rsidRPr="00BD02D1">
        <w:rPr>
          <w:color w:val="000000"/>
          <w:w w:val="107"/>
          <w:sz w:val="24"/>
          <w:szCs w:val="24"/>
        </w:rPr>
        <w:t xml:space="preserve">common law tort </w:t>
      </w:r>
      <w:r w:rsidR="00AA7030" w:rsidRPr="00BD02D1">
        <w:rPr>
          <w:color w:val="000000"/>
          <w:w w:val="107"/>
          <w:sz w:val="24"/>
          <w:szCs w:val="24"/>
        </w:rPr>
        <w:t>claims are properly before th</w:t>
      </w:r>
      <w:r w:rsidR="002940F4" w:rsidRPr="00BD02D1">
        <w:rPr>
          <w:color w:val="000000"/>
          <w:w w:val="107"/>
          <w:sz w:val="24"/>
          <w:szCs w:val="24"/>
        </w:rPr>
        <w:t>e</w:t>
      </w:r>
      <w:r w:rsidR="00AA7030" w:rsidRPr="00BD02D1">
        <w:rPr>
          <w:color w:val="000000"/>
          <w:w w:val="107"/>
          <w:sz w:val="24"/>
          <w:szCs w:val="24"/>
        </w:rPr>
        <w:t xml:space="preserve"> Common Pleas Court</w:t>
      </w:r>
      <w:r w:rsidR="002940F4" w:rsidRPr="00BD02D1">
        <w:rPr>
          <w:color w:val="000000"/>
          <w:w w:val="107"/>
          <w:sz w:val="24"/>
          <w:szCs w:val="24"/>
        </w:rPr>
        <w:t xml:space="preserve">, and this matter is before the Commission “because of an incorrect Order in the Court of Common Pleas.”  Complainants argue </w:t>
      </w:r>
      <w:r w:rsidR="00BD02D1" w:rsidRPr="00BD02D1">
        <w:rPr>
          <w:sz w:val="24"/>
          <w:szCs w:val="24"/>
        </w:rPr>
        <w:t xml:space="preserve">Duquesne Light knew when it moved to transfer this matter </w:t>
      </w:r>
      <w:r w:rsidR="00BD02D1">
        <w:rPr>
          <w:sz w:val="24"/>
          <w:szCs w:val="24"/>
        </w:rPr>
        <w:t xml:space="preserve">to the Commission </w:t>
      </w:r>
      <w:r w:rsidR="00BD02D1" w:rsidRPr="00BD02D1">
        <w:rPr>
          <w:sz w:val="24"/>
          <w:szCs w:val="24"/>
        </w:rPr>
        <w:t xml:space="preserve">that the Complaint </w:t>
      </w:r>
      <w:r w:rsidR="00BD02D1">
        <w:rPr>
          <w:sz w:val="24"/>
          <w:szCs w:val="24"/>
        </w:rPr>
        <w:t>did</w:t>
      </w:r>
      <w:r w:rsidR="00BD02D1" w:rsidRPr="00BD02D1">
        <w:rPr>
          <w:sz w:val="24"/>
          <w:szCs w:val="24"/>
        </w:rPr>
        <w:t xml:space="preserve"> not allege a</w:t>
      </w:r>
      <w:r w:rsidR="00BD02D1">
        <w:rPr>
          <w:sz w:val="24"/>
          <w:szCs w:val="24"/>
        </w:rPr>
        <w:t>ny</w:t>
      </w:r>
      <w:r w:rsidR="00BD02D1" w:rsidRPr="00BD02D1">
        <w:rPr>
          <w:sz w:val="24"/>
          <w:szCs w:val="24"/>
        </w:rPr>
        <w:t xml:space="preserve"> violation of any Commission rule, statute or regulation.  Complainants argue DLC</w:t>
      </w:r>
      <w:r w:rsidR="002940F4" w:rsidRPr="00BD02D1">
        <w:rPr>
          <w:sz w:val="24"/>
          <w:szCs w:val="24"/>
        </w:rPr>
        <w:t xml:space="preserve"> has wasted the time and resources of the </w:t>
      </w:r>
      <w:r w:rsidR="00BD02D1" w:rsidRPr="00BD02D1">
        <w:rPr>
          <w:sz w:val="24"/>
          <w:szCs w:val="24"/>
        </w:rPr>
        <w:t>Commission</w:t>
      </w:r>
      <w:r w:rsidR="002940F4" w:rsidRPr="00BD02D1">
        <w:rPr>
          <w:sz w:val="24"/>
          <w:szCs w:val="24"/>
        </w:rPr>
        <w:t xml:space="preserve"> as well as the time and resources of the Court of Common Pleas by frivolously seeking the removal of an action it knew is based in common law</w:t>
      </w:r>
      <w:r w:rsidR="00BD02D1" w:rsidRPr="00BD02D1">
        <w:rPr>
          <w:sz w:val="24"/>
          <w:szCs w:val="24"/>
        </w:rPr>
        <w:t>.</w:t>
      </w:r>
      <w:r w:rsidR="00AD6E4E">
        <w:rPr>
          <w:sz w:val="24"/>
          <w:szCs w:val="24"/>
        </w:rPr>
        <w:t xml:space="preserve">  Further, for the first time in their pleadings before the Commission, Complainants argue the June 2017 an September 2017 notices were in violation of the Commission’s </w:t>
      </w:r>
      <w:r w:rsidR="00AD6E4E">
        <w:rPr>
          <w:i/>
          <w:iCs/>
          <w:sz w:val="24"/>
          <w:szCs w:val="24"/>
        </w:rPr>
        <w:t xml:space="preserve">Final Order Establishing Interim Guidelines for the Filing of Electric Transmission Line Siting Applications.  </w:t>
      </w:r>
    </w:p>
    <w:p w14:paraId="60F6CF56" w14:textId="41A3A7D3" w:rsidR="00356BC0" w:rsidRDefault="00356BC0" w:rsidP="00356BC0">
      <w:pPr>
        <w:widowControl w:val="0"/>
        <w:autoSpaceDE w:val="0"/>
        <w:autoSpaceDN w:val="0"/>
        <w:adjustRightInd w:val="0"/>
        <w:spacing w:line="360" w:lineRule="auto"/>
        <w:rPr>
          <w:color w:val="000000"/>
          <w:w w:val="107"/>
          <w:sz w:val="24"/>
          <w:szCs w:val="24"/>
        </w:rPr>
      </w:pPr>
    </w:p>
    <w:p w14:paraId="148DBEC3" w14:textId="7531EA8A" w:rsidR="00AD6E4E" w:rsidRDefault="00AD6E4E"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On </w:t>
      </w:r>
      <w:r w:rsidR="00E722D2">
        <w:rPr>
          <w:color w:val="000000"/>
          <w:w w:val="107"/>
          <w:sz w:val="24"/>
          <w:szCs w:val="24"/>
        </w:rPr>
        <w:t xml:space="preserve">July 14, 2022, the Commission issued an Initial Call-In Telephone Hearing Notice, scheduling an evidentiary hearing for September 6, 2022.  On July 18, 2022, the Commission issued a Prehearing Order. </w:t>
      </w:r>
    </w:p>
    <w:p w14:paraId="16FFA433" w14:textId="4205C14F" w:rsidR="00E722D2" w:rsidRDefault="00E722D2" w:rsidP="00356BC0">
      <w:pPr>
        <w:widowControl w:val="0"/>
        <w:autoSpaceDE w:val="0"/>
        <w:autoSpaceDN w:val="0"/>
        <w:adjustRightInd w:val="0"/>
        <w:spacing w:line="360" w:lineRule="auto"/>
        <w:rPr>
          <w:color w:val="000000"/>
          <w:w w:val="107"/>
          <w:sz w:val="24"/>
          <w:szCs w:val="24"/>
        </w:rPr>
      </w:pPr>
    </w:p>
    <w:p w14:paraId="71D5C84A" w14:textId="3171C1DC" w:rsidR="00EB5FE3" w:rsidRDefault="00EB5FE3" w:rsidP="00356BC0">
      <w:pPr>
        <w:widowControl w:val="0"/>
        <w:autoSpaceDE w:val="0"/>
        <w:autoSpaceDN w:val="0"/>
        <w:adjustRightInd w:val="0"/>
        <w:spacing w:line="360" w:lineRule="auto"/>
        <w:rPr>
          <w:color w:val="000000"/>
          <w:w w:val="107"/>
          <w:sz w:val="24"/>
          <w:szCs w:val="24"/>
        </w:rPr>
      </w:pPr>
    </w:p>
    <w:p w14:paraId="7426DBE0" w14:textId="77777777" w:rsidR="00EB5FE3" w:rsidRDefault="00EB5FE3" w:rsidP="00356BC0">
      <w:pPr>
        <w:widowControl w:val="0"/>
        <w:autoSpaceDE w:val="0"/>
        <w:autoSpaceDN w:val="0"/>
        <w:adjustRightInd w:val="0"/>
        <w:spacing w:line="360" w:lineRule="auto"/>
        <w:rPr>
          <w:color w:val="000000"/>
          <w:w w:val="107"/>
          <w:sz w:val="24"/>
          <w:szCs w:val="24"/>
        </w:rPr>
      </w:pPr>
    </w:p>
    <w:p w14:paraId="1F635BFC" w14:textId="1261556B" w:rsidR="00E722D2" w:rsidRDefault="00E722D2" w:rsidP="00356BC0">
      <w:pPr>
        <w:widowControl w:val="0"/>
        <w:autoSpaceDE w:val="0"/>
        <w:autoSpaceDN w:val="0"/>
        <w:adjustRightInd w:val="0"/>
        <w:spacing w:line="360" w:lineRule="auto"/>
        <w:rPr>
          <w:color w:val="000000"/>
          <w:w w:val="107"/>
          <w:sz w:val="24"/>
          <w:szCs w:val="24"/>
        </w:rPr>
      </w:pPr>
      <w:r>
        <w:rPr>
          <w:color w:val="000000"/>
          <w:w w:val="107"/>
          <w:sz w:val="24"/>
          <w:szCs w:val="24"/>
        </w:rPr>
        <w:lastRenderedPageBreak/>
        <w:tab/>
      </w:r>
      <w:r>
        <w:rPr>
          <w:color w:val="000000"/>
          <w:w w:val="107"/>
          <w:sz w:val="24"/>
          <w:szCs w:val="24"/>
        </w:rPr>
        <w:tab/>
      </w:r>
      <w:r w:rsidR="00831337">
        <w:rPr>
          <w:color w:val="000000"/>
          <w:w w:val="107"/>
          <w:sz w:val="24"/>
          <w:szCs w:val="24"/>
        </w:rPr>
        <w:t xml:space="preserve">On July 22, 2022, I issued an Interim Order holding the Preliminary Objections in Abeyance and converting the </w:t>
      </w:r>
      <w:r>
        <w:rPr>
          <w:color w:val="000000"/>
          <w:w w:val="107"/>
          <w:sz w:val="24"/>
          <w:szCs w:val="24"/>
        </w:rPr>
        <w:t xml:space="preserve">September 6, 2022, proceeding to a prehearing conference.  </w:t>
      </w:r>
    </w:p>
    <w:p w14:paraId="3B16AD88" w14:textId="700C1511" w:rsidR="00831337" w:rsidRDefault="00831337" w:rsidP="00356BC0">
      <w:pPr>
        <w:widowControl w:val="0"/>
        <w:autoSpaceDE w:val="0"/>
        <w:autoSpaceDN w:val="0"/>
        <w:adjustRightInd w:val="0"/>
        <w:spacing w:line="360" w:lineRule="auto"/>
        <w:rPr>
          <w:color w:val="000000"/>
          <w:w w:val="107"/>
          <w:sz w:val="24"/>
          <w:szCs w:val="24"/>
        </w:rPr>
      </w:pPr>
    </w:p>
    <w:p w14:paraId="18845410" w14:textId="77777777" w:rsidR="00831337" w:rsidRDefault="00831337"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The parties subsequently agreed to reschedule the prehearing conference to September 13, 2022, due to a scheduling conflict.  A Notice was issued on September 1, 2022, rescheduling the prehearing conference.  </w:t>
      </w:r>
    </w:p>
    <w:p w14:paraId="4BCC4AB3" w14:textId="77777777" w:rsidR="00831337" w:rsidRDefault="00831337" w:rsidP="00356BC0">
      <w:pPr>
        <w:widowControl w:val="0"/>
        <w:autoSpaceDE w:val="0"/>
        <w:autoSpaceDN w:val="0"/>
        <w:adjustRightInd w:val="0"/>
        <w:spacing w:line="360" w:lineRule="auto"/>
        <w:rPr>
          <w:color w:val="000000"/>
          <w:w w:val="107"/>
          <w:sz w:val="24"/>
          <w:szCs w:val="24"/>
        </w:rPr>
      </w:pPr>
    </w:p>
    <w:p w14:paraId="1A912523" w14:textId="41D69D87" w:rsidR="00831337" w:rsidRDefault="00831337"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The September 13, 2022, proceeding convened as scheduled.  Ms. Johnson, an attorney licensed in the Commonwealth of Pennsylvania, represented herself, and had additional counsel representing her.  The Company was represented by counsel.  After hearing considerable oral argument on the Preliminary Objections, I directed the parties to confer regarding the threshold jurisdictional issue </w:t>
      </w:r>
      <w:r w:rsidR="00610495">
        <w:rPr>
          <w:color w:val="000000"/>
          <w:w w:val="107"/>
          <w:sz w:val="24"/>
          <w:szCs w:val="24"/>
        </w:rPr>
        <w:t xml:space="preserve">in this matter </w:t>
      </w:r>
      <w:r>
        <w:rPr>
          <w:color w:val="000000"/>
          <w:w w:val="107"/>
          <w:sz w:val="24"/>
          <w:szCs w:val="24"/>
        </w:rPr>
        <w:t>and options to</w:t>
      </w:r>
      <w:r w:rsidR="00610495">
        <w:rPr>
          <w:color w:val="000000"/>
          <w:w w:val="107"/>
          <w:sz w:val="24"/>
          <w:szCs w:val="24"/>
        </w:rPr>
        <w:t xml:space="preserve"> procedurally move the case forward</w:t>
      </w:r>
      <w:r w:rsidR="005116FB">
        <w:rPr>
          <w:color w:val="000000"/>
          <w:w w:val="107"/>
          <w:sz w:val="24"/>
          <w:szCs w:val="24"/>
        </w:rPr>
        <w:t xml:space="preserve"> and provide a status update by email.  </w:t>
      </w:r>
    </w:p>
    <w:p w14:paraId="7784BDCA" w14:textId="3A71F52F" w:rsidR="00610495" w:rsidRDefault="00610495" w:rsidP="00356BC0">
      <w:pPr>
        <w:widowControl w:val="0"/>
        <w:autoSpaceDE w:val="0"/>
        <w:autoSpaceDN w:val="0"/>
        <w:adjustRightInd w:val="0"/>
        <w:spacing w:line="360" w:lineRule="auto"/>
        <w:rPr>
          <w:color w:val="000000"/>
          <w:w w:val="107"/>
          <w:sz w:val="24"/>
          <w:szCs w:val="24"/>
        </w:rPr>
      </w:pPr>
    </w:p>
    <w:p w14:paraId="40D7CDC9" w14:textId="6F7BF5EB" w:rsidR="00610495" w:rsidRDefault="00610495"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On September 26, 2022, Counsel sent me an email advising they were unable to agree on the threshold jurisdictional issue in this matter and each party presented their proposed issue.  After carefully reviewing the September 26, 2022, email, I have determined it is appropriate to pull the Preliminary Objections out of abeyance, set a deadline for</w:t>
      </w:r>
      <w:r w:rsidR="003127EE">
        <w:rPr>
          <w:color w:val="000000"/>
          <w:w w:val="107"/>
          <w:sz w:val="24"/>
          <w:szCs w:val="24"/>
        </w:rPr>
        <w:t xml:space="preserve"> the filing of memoranda</w:t>
      </w:r>
      <w:r>
        <w:rPr>
          <w:color w:val="000000"/>
          <w:w w:val="107"/>
          <w:sz w:val="24"/>
          <w:szCs w:val="24"/>
        </w:rPr>
        <w:t xml:space="preserve"> </w:t>
      </w:r>
      <w:r w:rsidR="003127EE">
        <w:rPr>
          <w:color w:val="000000"/>
          <w:w w:val="107"/>
          <w:sz w:val="24"/>
          <w:szCs w:val="24"/>
        </w:rPr>
        <w:t xml:space="preserve">and reply memoranda </w:t>
      </w:r>
      <w:r>
        <w:rPr>
          <w:color w:val="000000"/>
          <w:w w:val="107"/>
          <w:sz w:val="24"/>
          <w:szCs w:val="24"/>
        </w:rPr>
        <w:t xml:space="preserve">on the Preliminary Objections, and </w:t>
      </w:r>
      <w:r w:rsidR="00F404A0">
        <w:rPr>
          <w:color w:val="000000"/>
          <w:w w:val="107"/>
          <w:sz w:val="24"/>
          <w:szCs w:val="24"/>
        </w:rPr>
        <w:t>dispose of</w:t>
      </w:r>
      <w:r>
        <w:rPr>
          <w:color w:val="000000"/>
          <w:w w:val="107"/>
          <w:sz w:val="24"/>
          <w:szCs w:val="24"/>
        </w:rPr>
        <w:t xml:space="preserve"> the Preliminary Objections.  </w:t>
      </w:r>
    </w:p>
    <w:p w14:paraId="095C7EA6" w14:textId="3C735D74" w:rsidR="00610495" w:rsidRDefault="00610495" w:rsidP="00356BC0">
      <w:pPr>
        <w:widowControl w:val="0"/>
        <w:autoSpaceDE w:val="0"/>
        <w:autoSpaceDN w:val="0"/>
        <w:adjustRightInd w:val="0"/>
        <w:spacing w:line="360" w:lineRule="auto"/>
        <w:rPr>
          <w:color w:val="000000"/>
          <w:w w:val="107"/>
          <w:sz w:val="24"/>
          <w:szCs w:val="24"/>
        </w:rPr>
      </w:pPr>
    </w:p>
    <w:p w14:paraId="06DA30EF" w14:textId="6FC15C5F" w:rsidR="000119AE" w:rsidRDefault="00610495" w:rsidP="00356BC0">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t xml:space="preserve">Regarding </w:t>
      </w:r>
      <w:r w:rsidR="003127EE">
        <w:rPr>
          <w:color w:val="000000"/>
          <w:w w:val="107"/>
          <w:sz w:val="24"/>
          <w:szCs w:val="24"/>
        </w:rPr>
        <w:t>the memoranda</w:t>
      </w:r>
      <w:r>
        <w:rPr>
          <w:color w:val="000000"/>
          <w:w w:val="107"/>
          <w:sz w:val="24"/>
          <w:szCs w:val="24"/>
        </w:rPr>
        <w:t xml:space="preserve">, </w:t>
      </w:r>
      <w:r w:rsidR="0043089E">
        <w:rPr>
          <w:color w:val="000000"/>
          <w:w w:val="107"/>
          <w:sz w:val="24"/>
          <w:szCs w:val="24"/>
        </w:rPr>
        <w:t xml:space="preserve">the parties may develop their arguments </w:t>
      </w:r>
      <w:r w:rsidR="003127EE">
        <w:rPr>
          <w:color w:val="000000"/>
          <w:w w:val="107"/>
          <w:sz w:val="24"/>
          <w:szCs w:val="24"/>
        </w:rPr>
        <w:t xml:space="preserve">however they wish, but they must </w:t>
      </w:r>
      <w:r>
        <w:rPr>
          <w:color w:val="000000"/>
          <w:w w:val="107"/>
          <w:sz w:val="24"/>
          <w:szCs w:val="24"/>
        </w:rPr>
        <w:t>address the following issues</w:t>
      </w:r>
      <w:r w:rsidR="000119AE">
        <w:rPr>
          <w:color w:val="000000"/>
          <w:w w:val="107"/>
          <w:sz w:val="24"/>
          <w:szCs w:val="24"/>
        </w:rPr>
        <w:t>:</w:t>
      </w:r>
    </w:p>
    <w:p w14:paraId="746692C8" w14:textId="77777777" w:rsidR="000119AE" w:rsidRDefault="000119AE" w:rsidP="00356BC0">
      <w:pPr>
        <w:widowControl w:val="0"/>
        <w:autoSpaceDE w:val="0"/>
        <w:autoSpaceDN w:val="0"/>
        <w:adjustRightInd w:val="0"/>
        <w:spacing w:line="360" w:lineRule="auto"/>
        <w:rPr>
          <w:color w:val="000000"/>
          <w:w w:val="107"/>
          <w:sz w:val="24"/>
          <w:szCs w:val="24"/>
        </w:rPr>
      </w:pPr>
    </w:p>
    <w:p w14:paraId="30D4F8FE" w14:textId="35F4D639" w:rsidR="00610495" w:rsidRDefault="000119AE" w:rsidP="00EB5FE3">
      <w:pPr>
        <w:pStyle w:val="ListParagraph"/>
        <w:widowControl w:val="0"/>
        <w:numPr>
          <w:ilvl w:val="0"/>
          <w:numId w:val="10"/>
        </w:numPr>
        <w:autoSpaceDE w:val="0"/>
        <w:autoSpaceDN w:val="0"/>
        <w:adjustRightInd w:val="0"/>
        <w:ind w:left="720" w:hanging="360"/>
        <w:rPr>
          <w:color w:val="000000"/>
          <w:w w:val="107"/>
          <w:sz w:val="24"/>
          <w:szCs w:val="24"/>
        </w:rPr>
      </w:pPr>
      <w:r w:rsidRPr="000119AE">
        <w:rPr>
          <w:color w:val="000000"/>
          <w:w w:val="107"/>
          <w:sz w:val="24"/>
          <w:szCs w:val="24"/>
        </w:rPr>
        <w:t>Ms. Johnson</w:t>
      </w:r>
      <w:r w:rsidR="00610495" w:rsidRPr="000119AE">
        <w:rPr>
          <w:color w:val="000000"/>
          <w:w w:val="107"/>
          <w:sz w:val="24"/>
          <w:szCs w:val="24"/>
        </w:rPr>
        <w:t xml:space="preserve"> unequivocally stated on the record at the September13, 2022 </w:t>
      </w:r>
      <w:r w:rsidRPr="000119AE">
        <w:rPr>
          <w:color w:val="000000"/>
          <w:w w:val="107"/>
          <w:sz w:val="24"/>
          <w:szCs w:val="24"/>
        </w:rPr>
        <w:t>proceeding</w:t>
      </w:r>
      <w:r w:rsidR="00610495" w:rsidRPr="000119AE">
        <w:rPr>
          <w:color w:val="000000"/>
          <w:w w:val="107"/>
          <w:sz w:val="24"/>
          <w:szCs w:val="24"/>
        </w:rPr>
        <w:t xml:space="preserve">, </w:t>
      </w:r>
      <w:r w:rsidRPr="000119AE">
        <w:rPr>
          <w:color w:val="000000"/>
          <w:w w:val="107"/>
          <w:sz w:val="24"/>
          <w:szCs w:val="24"/>
        </w:rPr>
        <w:t xml:space="preserve">that she was not alleging the Company violated any Commission regulation, order, tariff provision, or statute over which the Commission has jurisdiction to administer.  </w:t>
      </w:r>
    </w:p>
    <w:p w14:paraId="0CCB20C0" w14:textId="77777777" w:rsidR="0043089E" w:rsidRPr="000119AE" w:rsidRDefault="0043089E" w:rsidP="0043089E">
      <w:pPr>
        <w:pStyle w:val="ListParagraph"/>
        <w:widowControl w:val="0"/>
        <w:autoSpaceDE w:val="0"/>
        <w:autoSpaceDN w:val="0"/>
        <w:adjustRightInd w:val="0"/>
        <w:ind w:left="432"/>
        <w:rPr>
          <w:color w:val="000000"/>
          <w:w w:val="107"/>
          <w:sz w:val="24"/>
          <w:szCs w:val="24"/>
        </w:rPr>
      </w:pPr>
    </w:p>
    <w:p w14:paraId="77A50EE8" w14:textId="7D1833F8" w:rsidR="000119AE" w:rsidRDefault="000119AE" w:rsidP="000119AE">
      <w:pPr>
        <w:pStyle w:val="ListParagraph"/>
        <w:widowControl w:val="0"/>
        <w:numPr>
          <w:ilvl w:val="1"/>
          <w:numId w:val="10"/>
        </w:numPr>
        <w:autoSpaceDE w:val="0"/>
        <w:autoSpaceDN w:val="0"/>
        <w:adjustRightInd w:val="0"/>
        <w:rPr>
          <w:color w:val="000000"/>
          <w:w w:val="107"/>
          <w:sz w:val="24"/>
          <w:szCs w:val="24"/>
        </w:rPr>
      </w:pPr>
      <w:r>
        <w:rPr>
          <w:color w:val="000000"/>
          <w:w w:val="107"/>
          <w:sz w:val="24"/>
          <w:szCs w:val="24"/>
        </w:rPr>
        <w:t>Does the Commission have jurisdiction over any</w:t>
      </w:r>
      <w:r w:rsidR="003127EE">
        <w:rPr>
          <w:color w:val="000000"/>
          <w:w w:val="107"/>
          <w:sz w:val="24"/>
          <w:szCs w:val="24"/>
        </w:rPr>
        <w:t xml:space="preserve"> portion </w:t>
      </w:r>
      <w:r>
        <w:rPr>
          <w:color w:val="000000"/>
          <w:w w:val="107"/>
          <w:sz w:val="24"/>
          <w:szCs w:val="24"/>
        </w:rPr>
        <w:t>of the Complaint</w:t>
      </w:r>
      <w:r w:rsidR="0043089E">
        <w:rPr>
          <w:color w:val="000000"/>
          <w:w w:val="107"/>
          <w:sz w:val="24"/>
          <w:szCs w:val="24"/>
        </w:rPr>
        <w:t xml:space="preserve"> filed in this matter?</w:t>
      </w:r>
      <w:r w:rsidR="003127EE">
        <w:rPr>
          <w:color w:val="000000"/>
          <w:w w:val="107"/>
          <w:sz w:val="24"/>
          <w:szCs w:val="24"/>
        </w:rPr>
        <w:t xml:space="preserve"> </w:t>
      </w:r>
    </w:p>
    <w:p w14:paraId="49F42323" w14:textId="77777777" w:rsidR="0043089E" w:rsidRDefault="0043089E" w:rsidP="0043089E">
      <w:pPr>
        <w:pStyle w:val="ListParagraph"/>
        <w:widowControl w:val="0"/>
        <w:autoSpaceDE w:val="0"/>
        <w:autoSpaceDN w:val="0"/>
        <w:adjustRightInd w:val="0"/>
        <w:ind w:left="1140"/>
        <w:rPr>
          <w:color w:val="000000"/>
          <w:w w:val="107"/>
          <w:sz w:val="24"/>
          <w:szCs w:val="24"/>
        </w:rPr>
      </w:pPr>
    </w:p>
    <w:p w14:paraId="369A5867" w14:textId="19DBC40A" w:rsidR="0043089E" w:rsidRDefault="0043089E" w:rsidP="0043089E">
      <w:pPr>
        <w:pStyle w:val="ListParagraph"/>
        <w:widowControl w:val="0"/>
        <w:numPr>
          <w:ilvl w:val="2"/>
          <w:numId w:val="10"/>
        </w:numPr>
        <w:autoSpaceDE w:val="0"/>
        <w:autoSpaceDN w:val="0"/>
        <w:adjustRightInd w:val="0"/>
        <w:rPr>
          <w:color w:val="000000"/>
          <w:w w:val="107"/>
          <w:sz w:val="24"/>
          <w:szCs w:val="24"/>
        </w:rPr>
      </w:pPr>
      <w:r>
        <w:rPr>
          <w:color w:val="000000"/>
          <w:w w:val="107"/>
          <w:sz w:val="24"/>
          <w:szCs w:val="24"/>
        </w:rPr>
        <w:t>If yes:</w:t>
      </w:r>
    </w:p>
    <w:p w14:paraId="5ECA46A4" w14:textId="4E7E9189" w:rsidR="0043089E" w:rsidRDefault="0043089E" w:rsidP="0043089E">
      <w:pPr>
        <w:pStyle w:val="ListParagraph"/>
        <w:widowControl w:val="0"/>
        <w:numPr>
          <w:ilvl w:val="3"/>
          <w:numId w:val="10"/>
        </w:numPr>
        <w:autoSpaceDE w:val="0"/>
        <w:autoSpaceDN w:val="0"/>
        <w:adjustRightInd w:val="0"/>
        <w:rPr>
          <w:color w:val="000000"/>
          <w:w w:val="107"/>
          <w:sz w:val="24"/>
          <w:szCs w:val="24"/>
        </w:rPr>
      </w:pPr>
      <w:r>
        <w:rPr>
          <w:color w:val="000000"/>
          <w:w w:val="107"/>
          <w:sz w:val="24"/>
          <w:szCs w:val="24"/>
        </w:rPr>
        <w:lastRenderedPageBreak/>
        <w:t>How would you frame the issue(s)</w:t>
      </w:r>
      <w:r w:rsidR="003127EE">
        <w:rPr>
          <w:color w:val="000000"/>
          <w:w w:val="107"/>
          <w:sz w:val="24"/>
          <w:szCs w:val="24"/>
        </w:rPr>
        <w:t xml:space="preserve">, claim(s), or allegation(s) </w:t>
      </w:r>
      <w:r>
        <w:rPr>
          <w:color w:val="000000"/>
          <w:w w:val="107"/>
          <w:sz w:val="24"/>
          <w:szCs w:val="24"/>
        </w:rPr>
        <w:t>over which the Commission has jurisdiction</w:t>
      </w:r>
      <w:r w:rsidR="003127EE">
        <w:rPr>
          <w:color w:val="000000"/>
          <w:w w:val="107"/>
          <w:sz w:val="24"/>
          <w:szCs w:val="24"/>
        </w:rPr>
        <w:t xml:space="preserve"> to resolve</w:t>
      </w:r>
      <w:r>
        <w:rPr>
          <w:color w:val="000000"/>
          <w:w w:val="107"/>
          <w:sz w:val="24"/>
          <w:szCs w:val="24"/>
        </w:rPr>
        <w:t>?</w:t>
      </w:r>
      <w:r w:rsidR="003127EE">
        <w:rPr>
          <w:color w:val="000000"/>
          <w:w w:val="107"/>
          <w:sz w:val="24"/>
          <w:szCs w:val="24"/>
        </w:rPr>
        <w:t xml:space="preserve">  Include </w:t>
      </w:r>
      <w:r w:rsidR="005116FB">
        <w:rPr>
          <w:color w:val="000000"/>
          <w:w w:val="107"/>
          <w:sz w:val="24"/>
          <w:szCs w:val="24"/>
        </w:rPr>
        <w:t xml:space="preserve">appropriate </w:t>
      </w:r>
      <w:r w:rsidR="003127EE">
        <w:rPr>
          <w:color w:val="000000"/>
          <w:w w:val="107"/>
          <w:sz w:val="24"/>
          <w:szCs w:val="24"/>
        </w:rPr>
        <w:t>citations to the Code</w:t>
      </w:r>
      <w:r w:rsidR="00F404A0">
        <w:rPr>
          <w:color w:val="000000"/>
          <w:w w:val="107"/>
          <w:sz w:val="24"/>
          <w:szCs w:val="24"/>
        </w:rPr>
        <w:t>, caselaw, or other legal authority</w:t>
      </w:r>
      <w:r w:rsidR="003127EE">
        <w:rPr>
          <w:color w:val="000000"/>
          <w:w w:val="107"/>
          <w:sz w:val="24"/>
          <w:szCs w:val="24"/>
        </w:rPr>
        <w:t>.</w:t>
      </w:r>
    </w:p>
    <w:p w14:paraId="15B7AB8C" w14:textId="77777777" w:rsidR="0043089E" w:rsidRDefault="0043089E" w:rsidP="0043089E">
      <w:pPr>
        <w:pStyle w:val="ListParagraph"/>
        <w:widowControl w:val="0"/>
        <w:autoSpaceDE w:val="0"/>
        <w:autoSpaceDN w:val="0"/>
        <w:adjustRightInd w:val="0"/>
        <w:ind w:left="2580"/>
        <w:rPr>
          <w:color w:val="000000"/>
          <w:w w:val="107"/>
          <w:sz w:val="24"/>
          <w:szCs w:val="24"/>
        </w:rPr>
      </w:pPr>
    </w:p>
    <w:p w14:paraId="5E50AD77" w14:textId="57A07996" w:rsidR="0043089E" w:rsidRDefault="0043089E" w:rsidP="0043089E">
      <w:pPr>
        <w:pStyle w:val="ListParagraph"/>
        <w:widowControl w:val="0"/>
        <w:numPr>
          <w:ilvl w:val="3"/>
          <w:numId w:val="10"/>
        </w:numPr>
        <w:autoSpaceDE w:val="0"/>
        <w:autoSpaceDN w:val="0"/>
        <w:adjustRightInd w:val="0"/>
        <w:rPr>
          <w:color w:val="000000"/>
          <w:w w:val="107"/>
          <w:sz w:val="24"/>
          <w:szCs w:val="24"/>
        </w:rPr>
      </w:pPr>
      <w:r>
        <w:rPr>
          <w:color w:val="000000"/>
          <w:w w:val="107"/>
          <w:sz w:val="24"/>
          <w:szCs w:val="24"/>
        </w:rPr>
        <w:t>What authority does the Commission have to force a complainant to litigate a complaint, incurring time and expense, when the complainant argues the Commission does not have authority over the complaint?</w:t>
      </w:r>
      <w:r w:rsidR="003127EE">
        <w:rPr>
          <w:color w:val="000000"/>
          <w:w w:val="107"/>
          <w:sz w:val="24"/>
          <w:szCs w:val="24"/>
        </w:rPr>
        <w:t xml:space="preserve"> </w:t>
      </w:r>
      <w:r>
        <w:rPr>
          <w:color w:val="000000"/>
          <w:w w:val="107"/>
          <w:sz w:val="24"/>
          <w:szCs w:val="24"/>
        </w:rPr>
        <w:t xml:space="preserve"> </w:t>
      </w:r>
      <w:r w:rsidR="003127EE">
        <w:rPr>
          <w:color w:val="000000"/>
          <w:w w:val="107"/>
          <w:sz w:val="24"/>
          <w:szCs w:val="24"/>
        </w:rPr>
        <w:t xml:space="preserve">Include </w:t>
      </w:r>
      <w:r w:rsidR="005116FB">
        <w:rPr>
          <w:color w:val="000000"/>
          <w:w w:val="107"/>
          <w:sz w:val="24"/>
          <w:szCs w:val="24"/>
        </w:rPr>
        <w:t xml:space="preserve">appropriate </w:t>
      </w:r>
      <w:r w:rsidR="003127EE">
        <w:rPr>
          <w:color w:val="000000"/>
          <w:w w:val="107"/>
          <w:sz w:val="24"/>
          <w:szCs w:val="24"/>
        </w:rPr>
        <w:t>citations to the Code</w:t>
      </w:r>
      <w:r w:rsidR="00F404A0">
        <w:rPr>
          <w:color w:val="000000"/>
          <w:w w:val="107"/>
          <w:sz w:val="24"/>
          <w:szCs w:val="24"/>
        </w:rPr>
        <w:t xml:space="preserve">, </w:t>
      </w:r>
      <w:r w:rsidR="003127EE">
        <w:rPr>
          <w:color w:val="000000"/>
          <w:w w:val="107"/>
          <w:sz w:val="24"/>
          <w:szCs w:val="24"/>
        </w:rPr>
        <w:t>caselaw</w:t>
      </w:r>
      <w:r w:rsidR="00F404A0">
        <w:rPr>
          <w:color w:val="000000"/>
          <w:w w:val="107"/>
          <w:sz w:val="24"/>
          <w:szCs w:val="24"/>
        </w:rPr>
        <w:t>, or other legal authority.</w:t>
      </w:r>
    </w:p>
    <w:p w14:paraId="6DF36DFE" w14:textId="77777777" w:rsidR="0043089E" w:rsidRDefault="0043089E" w:rsidP="0043089E">
      <w:pPr>
        <w:pStyle w:val="ListParagraph"/>
        <w:widowControl w:val="0"/>
        <w:autoSpaceDE w:val="0"/>
        <w:autoSpaceDN w:val="0"/>
        <w:adjustRightInd w:val="0"/>
        <w:ind w:left="1860"/>
        <w:rPr>
          <w:color w:val="000000"/>
          <w:w w:val="107"/>
          <w:sz w:val="24"/>
          <w:szCs w:val="24"/>
        </w:rPr>
      </w:pPr>
    </w:p>
    <w:p w14:paraId="4AA46841" w14:textId="381F2D96" w:rsidR="0043089E" w:rsidRDefault="0043089E" w:rsidP="0043089E">
      <w:pPr>
        <w:pStyle w:val="ListParagraph"/>
        <w:widowControl w:val="0"/>
        <w:numPr>
          <w:ilvl w:val="2"/>
          <w:numId w:val="10"/>
        </w:numPr>
        <w:autoSpaceDE w:val="0"/>
        <w:autoSpaceDN w:val="0"/>
        <w:adjustRightInd w:val="0"/>
        <w:rPr>
          <w:color w:val="000000"/>
          <w:w w:val="107"/>
          <w:sz w:val="24"/>
          <w:szCs w:val="24"/>
        </w:rPr>
      </w:pPr>
      <w:r>
        <w:rPr>
          <w:color w:val="000000"/>
          <w:w w:val="107"/>
          <w:sz w:val="24"/>
          <w:szCs w:val="24"/>
        </w:rPr>
        <w:t>If no:</w:t>
      </w:r>
    </w:p>
    <w:p w14:paraId="1F24A458" w14:textId="77777777" w:rsidR="0043089E" w:rsidRDefault="0043089E" w:rsidP="0043089E">
      <w:pPr>
        <w:pStyle w:val="ListParagraph"/>
        <w:widowControl w:val="0"/>
        <w:autoSpaceDE w:val="0"/>
        <w:autoSpaceDN w:val="0"/>
        <w:adjustRightInd w:val="0"/>
        <w:ind w:left="1860"/>
        <w:rPr>
          <w:color w:val="000000"/>
          <w:w w:val="107"/>
          <w:sz w:val="24"/>
          <w:szCs w:val="24"/>
        </w:rPr>
      </w:pPr>
    </w:p>
    <w:p w14:paraId="09C356F2" w14:textId="66986DED" w:rsidR="0043089E" w:rsidRDefault="0043089E" w:rsidP="0043089E">
      <w:pPr>
        <w:pStyle w:val="ListParagraph"/>
        <w:widowControl w:val="0"/>
        <w:numPr>
          <w:ilvl w:val="3"/>
          <w:numId w:val="10"/>
        </w:numPr>
        <w:autoSpaceDE w:val="0"/>
        <w:autoSpaceDN w:val="0"/>
        <w:adjustRightInd w:val="0"/>
        <w:rPr>
          <w:color w:val="000000"/>
          <w:w w:val="107"/>
          <w:sz w:val="24"/>
          <w:szCs w:val="24"/>
        </w:rPr>
      </w:pPr>
      <w:r>
        <w:rPr>
          <w:color w:val="000000"/>
          <w:w w:val="107"/>
          <w:sz w:val="24"/>
          <w:szCs w:val="24"/>
        </w:rPr>
        <w:t xml:space="preserve">Is it appropriate to grant/sustain the Preliminary Objections?  </w:t>
      </w:r>
    </w:p>
    <w:p w14:paraId="00BE0FD1" w14:textId="77777777" w:rsidR="0043089E" w:rsidRDefault="0043089E" w:rsidP="0043089E">
      <w:pPr>
        <w:pStyle w:val="ListParagraph"/>
        <w:widowControl w:val="0"/>
        <w:autoSpaceDE w:val="0"/>
        <w:autoSpaceDN w:val="0"/>
        <w:adjustRightInd w:val="0"/>
        <w:ind w:left="2580"/>
        <w:rPr>
          <w:color w:val="000000"/>
          <w:w w:val="107"/>
          <w:sz w:val="24"/>
          <w:szCs w:val="24"/>
        </w:rPr>
      </w:pPr>
    </w:p>
    <w:p w14:paraId="5FD0BFCE" w14:textId="0AF9251F" w:rsidR="00F404A0" w:rsidRPr="00F404A0" w:rsidRDefault="0043089E" w:rsidP="00F404A0">
      <w:pPr>
        <w:pStyle w:val="ListParagraph"/>
        <w:widowControl w:val="0"/>
        <w:numPr>
          <w:ilvl w:val="3"/>
          <w:numId w:val="10"/>
        </w:numPr>
        <w:autoSpaceDE w:val="0"/>
        <w:autoSpaceDN w:val="0"/>
        <w:adjustRightInd w:val="0"/>
        <w:rPr>
          <w:color w:val="000000"/>
          <w:w w:val="107"/>
          <w:sz w:val="24"/>
          <w:szCs w:val="24"/>
        </w:rPr>
      </w:pPr>
      <w:r>
        <w:rPr>
          <w:color w:val="000000"/>
          <w:w w:val="107"/>
          <w:sz w:val="24"/>
          <w:szCs w:val="24"/>
        </w:rPr>
        <w:t xml:space="preserve">If the Preliminary Objections are granted/sustained, </w:t>
      </w:r>
      <w:r w:rsidR="003127EE">
        <w:rPr>
          <w:color w:val="000000"/>
          <w:w w:val="107"/>
          <w:sz w:val="24"/>
          <w:szCs w:val="24"/>
        </w:rPr>
        <w:t xml:space="preserve">what is the appropriate disposition of the Complaint?  </w:t>
      </w:r>
    </w:p>
    <w:p w14:paraId="041846D3" w14:textId="77777777" w:rsidR="005116FB" w:rsidRDefault="005116FB" w:rsidP="00356BC0">
      <w:pPr>
        <w:widowControl w:val="0"/>
        <w:autoSpaceDE w:val="0"/>
        <w:autoSpaceDN w:val="0"/>
        <w:adjustRightInd w:val="0"/>
        <w:spacing w:line="360" w:lineRule="auto"/>
        <w:rPr>
          <w:color w:val="000000"/>
          <w:w w:val="108"/>
          <w:sz w:val="24"/>
          <w:szCs w:val="24"/>
        </w:rPr>
      </w:pPr>
    </w:p>
    <w:p w14:paraId="0FD55F6C" w14:textId="42655219" w:rsidR="000F1577" w:rsidRPr="005116FB" w:rsidRDefault="001F7583" w:rsidP="00EA11E4">
      <w:pPr>
        <w:spacing w:line="360" w:lineRule="auto"/>
        <w:jc w:val="center"/>
        <w:rPr>
          <w:sz w:val="24"/>
          <w:szCs w:val="24"/>
          <w:u w:val="single"/>
        </w:rPr>
      </w:pPr>
      <w:r w:rsidRPr="00006C62">
        <w:rPr>
          <w:sz w:val="24"/>
          <w:szCs w:val="24"/>
          <w:u w:val="single"/>
        </w:rPr>
        <w:t>ORDER</w:t>
      </w:r>
    </w:p>
    <w:p w14:paraId="7DEDDB5E" w14:textId="100C7560" w:rsidR="00C32278" w:rsidRDefault="00C32278" w:rsidP="00EA11E4">
      <w:pPr>
        <w:spacing w:line="360" w:lineRule="auto"/>
        <w:jc w:val="center"/>
        <w:rPr>
          <w:sz w:val="24"/>
          <w:szCs w:val="24"/>
        </w:rPr>
      </w:pPr>
    </w:p>
    <w:p w14:paraId="48FF9D0C" w14:textId="77777777" w:rsidR="00EB5FE3" w:rsidRPr="00006C62" w:rsidRDefault="00EB5FE3" w:rsidP="00EA11E4">
      <w:pPr>
        <w:spacing w:line="360" w:lineRule="auto"/>
        <w:jc w:val="center"/>
        <w:rPr>
          <w:sz w:val="24"/>
          <w:szCs w:val="24"/>
        </w:rPr>
      </w:pPr>
    </w:p>
    <w:p w14:paraId="15EAFCA3" w14:textId="77777777" w:rsidR="001F7583" w:rsidRPr="00006C62" w:rsidRDefault="001F7583" w:rsidP="00FB2C03">
      <w:pPr>
        <w:spacing w:line="360" w:lineRule="auto"/>
        <w:rPr>
          <w:sz w:val="24"/>
          <w:szCs w:val="24"/>
        </w:rPr>
      </w:pPr>
      <w:r w:rsidRPr="00006C62">
        <w:rPr>
          <w:sz w:val="24"/>
          <w:szCs w:val="24"/>
        </w:rPr>
        <w:tab/>
      </w:r>
      <w:r w:rsidRPr="00006C62">
        <w:rPr>
          <w:sz w:val="24"/>
          <w:szCs w:val="24"/>
        </w:rPr>
        <w:tab/>
        <w:t>THEREFORE,</w:t>
      </w:r>
    </w:p>
    <w:p w14:paraId="72EAA87E" w14:textId="77777777" w:rsidR="001F7583" w:rsidRPr="00006C62" w:rsidRDefault="001F7583" w:rsidP="00FB2C03">
      <w:pPr>
        <w:spacing w:line="360" w:lineRule="auto"/>
        <w:rPr>
          <w:sz w:val="24"/>
          <w:szCs w:val="24"/>
        </w:rPr>
      </w:pPr>
    </w:p>
    <w:p w14:paraId="18FD8E42" w14:textId="026918B0" w:rsidR="00C44410" w:rsidRPr="00006C62" w:rsidRDefault="001F7583" w:rsidP="009D70E1">
      <w:pPr>
        <w:spacing w:line="360" w:lineRule="auto"/>
        <w:rPr>
          <w:sz w:val="24"/>
          <w:szCs w:val="24"/>
        </w:rPr>
      </w:pPr>
      <w:r w:rsidRPr="00006C62">
        <w:rPr>
          <w:sz w:val="24"/>
          <w:szCs w:val="24"/>
        </w:rPr>
        <w:tab/>
      </w:r>
      <w:r w:rsidRPr="00006C62">
        <w:rPr>
          <w:sz w:val="24"/>
          <w:szCs w:val="24"/>
        </w:rPr>
        <w:tab/>
        <w:t>IT IS ORDERED:</w:t>
      </w:r>
    </w:p>
    <w:p w14:paraId="52472F66" w14:textId="77777777" w:rsidR="00C44410" w:rsidRPr="00006C62" w:rsidRDefault="00C44410" w:rsidP="00FB2C03">
      <w:pPr>
        <w:spacing w:line="360" w:lineRule="auto"/>
        <w:rPr>
          <w:sz w:val="24"/>
          <w:szCs w:val="24"/>
        </w:rPr>
      </w:pPr>
    </w:p>
    <w:p w14:paraId="0FF24974" w14:textId="4116B193" w:rsidR="001F7583" w:rsidRDefault="009D70E1" w:rsidP="00FB2C03">
      <w:pPr>
        <w:spacing w:line="360" w:lineRule="auto"/>
        <w:ind w:firstLine="1440"/>
        <w:rPr>
          <w:sz w:val="24"/>
          <w:szCs w:val="24"/>
        </w:rPr>
      </w:pPr>
      <w:r>
        <w:rPr>
          <w:sz w:val="24"/>
          <w:szCs w:val="24"/>
        </w:rPr>
        <w:t>1</w:t>
      </w:r>
      <w:r w:rsidR="00F17575" w:rsidRPr="00006C62">
        <w:rPr>
          <w:sz w:val="24"/>
          <w:szCs w:val="24"/>
        </w:rPr>
        <w:t>.</w:t>
      </w:r>
      <w:r w:rsidR="00F17575" w:rsidRPr="00006C62">
        <w:rPr>
          <w:sz w:val="24"/>
          <w:szCs w:val="24"/>
        </w:rPr>
        <w:tab/>
      </w:r>
      <w:r w:rsidR="00955068" w:rsidRPr="00006C62">
        <w:rPr>
          <w:sz w:val="24"/>
          <w:szCs w:val="24"/>
        </w:rPr>
        <w:t xml:space="preserve">That the </w:t>
      </w:r>
      <w:r w:rsidR="00F404A0">
        <w:rPr>
          <w:sz w:val="24"/>
          <w:szCs w:val="24"/>
        </w:rPr>
        <w:t>Preliminary Objections filed by Duquesne Light Company are hereby pulled out of abeyance</w:t>
      </w:r>
      <w:r w:rsidR="00C15B01">
        <w:rPr>
          <w:sz w:val="24"/>
          <w:szCs w:val="24"/>
        </w:rPr>
        <w:t xml:space="preserve">. </w:t>
      </w:r>
    </w:p>
    <w:p w14:paraId="26D82CAB" w14:textId="4E36761C" w:rsidR="0069679D" w:rsidRDefault="0069679D" w:rsidP="00FB2C03">
      <w:pPr>
        <w:spacing w:line="360" w:lineRule="auto"/>
        <w:ind w:firstLine="1440"/>
        <w:rPr>
          <w:sz w:val="24"/>
          <w:szCs w:val="24"/>
        </w:rPr>
      </w:pPr>
    </w:p>
    <w:p w14:paraId="6A637CA9" w14:textId="50E61828" w:rsidR="00AC2B67" w:rsidRDefault="009D70E1" w:rsidP="00FB2C03">
      <w:pPr>
        <w:spacing w:line="360" w:lineRule="auto"/>
        <w:ind w:firstLine="1440"/>
        <w:rPr>
          <w:sz w:val="24"/>
          <w:szCs w:val="24"/>
        </w:rPr>
      </w:pPr>
      <w:r>
        <w:rPr>
          <w:sz w:val="24"/>
          <w:szCs w:val="24"/>
        </w:rPr>
        <w:t>2</w:t>
      </w:r>
      <w:r w:rsidR="0069679D">
        <w:rPr>
          <w:sz w:val="24"/>
          <w:szCs w:val="24"/>
        </w:rPr>
        <w:t xml:space="preserve">. </w:t>
      </w:r>
      <w:r w:rsidR="0069679D">
        <w:rPr>
          <w:sz w:val="24"/>
          <w:szCs w:val="24"/>
        </w:rPr>
        <w:tab/>
        <w:t xml:space="preserve">That </w:t>
      </w:r>
      <w:r w:rsidR="00AC2B67">
        <w:rPr>
          <w:sz w:val="24"/>
          <w:szCs w:val="24"/>
        </w:rPr>
        <w:t xml:space="preserve">the parties shall </w:t>
      </w:r>
      <w:r w:rsidR="00F404A0">
        <w:rPr>
          <w:sz w:val="24"/>
          <w:szCs w:val="24"/>
        </w:rPr>
        <w:t xml:space="preserve">file memoranda on </w:t>
      </w:r>
      <w:r w:rsidR="00AC2B67">
        <w:rPr>
          <w:sz w:val="24"/>
          <w:szCs w:val="24"/>
        </w:rPr>
        <w:t>the Preliminary Objection</w:t>
      </w:r>
      <w:r w:rsidR="00F404A0">
        <w:rPr>
          <w:sz w:val="24"/>
          <w:szCs w:val="24"/>
        </w:rPr>
        <w:t>s</w:t>
      </w:r>
      <w:r w:rsidR="00AC2B67">
        <w:rPr>
          <w:sz w:val="24"/>
          <w:szCs w:val="24"/>
        </w:rPr>
        <w:t xml:space="preserve"> filed by Duquesne Light Company</w:t>
      </w:r>
      <w:r w:rsidR="00F404A0">
        <w:rPr>
          <w:sz w:val="24"/>
          <w:szCs w:val="24"/>
        </w:rPr>
        <w:t>, addressing</w:t>
      </w:r>
      <w:r w:rsidR="005116FB">
        <w:rPr>
          <w:sz w:val="24"/>
          <w:szCs w:val="24"/>
        </w:rPr>
        <w:t>, at a minimum,</w:t>
      </w:r>
      <w:r w:rsidR="00F404A0">
        <w:rPr>
          <w:sz w:val="24"/>
          <w:szCs w:val="24"/>
        </w:rPr>
        <w:t xml:space="preserve"> the specific issues identified above, by </w:t>
      </w:r>
      <w:r w:rsidR="00F404A0" w:rsidRPr="005116FB">
        <w:rPr>
          <w:b/>
          <w:bCs/>
          <w:sz w:val="24"/>
          <w:szCs w:val="24"/>
        </w:rPr>
        <w:t>4:00 p.m. on Friday, November 4, 2022</w:t>
      </w:r>
      <w:r w:rsidR="00F404A0">
        <w:rPr>
          <w:sz w:val="24"/>
          <w:szCs w:val="24"/>
        </w:rPr>
        <w:t>.</w:t>
      </w:r>
    </w:p>
    <w:p w14:paraId="24CE3BFE" w14:textId="77777777" w:rsidR="00AC2B67" w:rsidRDefault="00AC2B67" w:rsidP="00FB2C03">
      <w:pPr>
        <w:spacing w:line="360" w:lineRule="auto"/>
        <w:ind w:firstLine="1440"/>
        <w:rPr>
          <w:sz w:val="24"/>
          <w:szCs w:val="24"/>
        </w:rPr>
      </w:pPr>
    </w:p>
    <w:p w14:paraId="3688185A" w14:textId="3261B9FC" w:rsidR="005116FB" w:rsidRDefault="00AC2B67" w:rsidP="00F404A0">
      <w:pPr>
        <w:spacing w:line="360" w:lineRule="auto"/>
        <w:ind w:firstLine="1440"/>
        <w:rPr>
          <w:sz w:val="24"/>
          <w:szCs w:val="24"/>
        </w:rPr>
      </w:pPr>
      <w:r>
        <w:rPr>
          <w:sz w:val="24"/>
          <w:szCs w:val="24"/>
        </w:rPr>
        <w:t xml:space="preserve">3. </w:t>
      </w:r>
      <w:r>
        <w:rPr>
          <w:sz w:val="24"/>
          <w:szCs w:val="24"/>
        </w:rPr>
        <w:tab/>
        <w:t>That</w:t>
      </w:r>
      <w:r w:rsidR="00F404A0">
        <w:rPr>
          <w:sz w:val="24"/>
          <w:szCs w:val="24"/>
        </w:rPr>
        <w:t xml:space="preserve"> any reply memoranda </w:t>
      </w:r>
      <w:r w:rsidR="005116FB">
        <w:rPr>
          <w:sz w:val="24"/>
          <w:szCs w:val="24"/>
        </w:rPr>
        <w:t xml:space="preserve">must be filed </w:t>
      </w:r>
      <w:r w:rsidR="00F404A0">
        <w:rPr>
          <w:sz w:val="24"/>
          <w:szCs w:val="24"/>
        </w:rPr>
        <w:t xml:space="preserve">by </w:t>
      </w:r>
      <w:r w:rsidR="00F404A0" w:rsidRPr="005116FB">
        <w:rPr>
          <w:b/>
          <w:bCs/>
          <w:sz w:val="24"/>
          <w:szCs w:val="24"/>
        </w:rPr>
        <w:t>4:00 p.m. on Friday, November 11, 2022</w:t>
      </w:r>
      <w:r w:rsidR="00F404A0">
        <w:rPr>
          <w:sz w:val="24"/>
          <w:szCs w:val="24"/>
        </w:rPr>
        <w:t>.</w:t>
      </w:r>
    </w:p>
    <w:p w14:paraId="6A28CE43" w14:textId="11389F8B" w:rsidR="005116FB" w:rsidRDefault="005116FB" w:rsidP="00F404A0">
      <w:pPr>
        <w:spacing w:line="360" w:lineRule="auto"/>
        <w:ind w:firstLine="1440"/>
        <w:rPr>
          <w:sz w:val="24"/>
          <w:szCs w:val="24"/>
        </w:rPr>
      </w:pPr>
    </w:p>
    <w:p w14:paraId="444D443A" w14:textId="77777777" w:rsidR="00EB5FE3" w:rsidRDefault="00EB5FE3" w:rsidP="00F404A0">
      <w:pPr>
        <w:spacing w:line="360" w:lineRule="auto"/>
        <w:ind w:firstLine="1440"/>
        <w:rPr>
          <w:sz w:val="24"/>
          <w:szCs w:val="24"/>
        </w:rPr>
      </w:pPr>
    </w:p>
    <w:p w14:paraId="39C63543" w14:textId="1904F2EA" w:rsidR="005116FB" w:rsidRDefault="005116FB" w:rsidP="00F404A0">
      <w:pPr>
        <w:spacing w:line="360" w:lineRule="auto"/>
        <w:ind w:firstLine="1440"/>
        <w:rPr>
          <w:sz w:val="24"/>
          <w:szCs w:val="24"/>
        </w:rPr>
      </w:pPr>
      <w:r>
        <w:rPr>
          <w:sz w:val="24"/>
          <w:szCs w:val="24"/>
        </w:rPr>
        <w:lastRenderedPageBreak/>
        <w:t>4.</w:t>
      </w:r>
      <w:r>
        <w:rPr>
          <w:sz w:val="24"/>
          <w:szCs w:val="24"/>
        </w:rPr>
        <w:tab/>
        <w:t xml:space="preserve">That any request for additional oral argument on the Preliminary Objections must be made by </w:t>
      </w:r>
      <w:r w:rsidRPr="005116FB">
        <w:rPr>
          <w:b/>
          <w:bCs/>
          <w:sz w:val="24"/>
          <w:szCs w:val="24"/>
        </w:rPr>
        <w:t>4:00 p.m. on November 11, 2022</w:t>
      </w:r>
      <w:r>
        <w:rPr>
          <w:sz w:val="24"/>
          <w:szCs w:val="24"/>
        </w:rPr>
        <w:t>.</w:t>
      </w:r>
    </w:p>
    <w:p w14:paraId="6DE7C4F6" w14:textId="77777777" w:rsidR="005116FB" w:rsidRDefault="005116FB" w:rsidP="00F404A0">
      <w:pPr>
        <w:spacing w:line="360" w:lineRule="auto"/>
        <w:ind w:firstLine="1440"/>
        <w:rPr>
          <w:sz w:val="24"/>
          <w:szCs w:val="24"/>
        </w:rPr>
      </w:pPr>
    </w:p>
    <w:p w14:paraId="4D2BCCC7" w14:textId="77777777" w:rsidR="00C56E1A" w:rsidRPr="00006C62" w:rsidRDefault="00C56E1A" w:rsidP="00FB2C03">
      <w:pPr>
        <w:spacing w:line="360" w:lineRule="auto"/>
        <w:rPr>
          <w:sz w:val="24"/>
          <w:szCs w:val="24"/>
        </w:rPr>
      </w:pPr>
    </w:p>
    <w:p w14:paraId="43F28F38" w14:textId="34782C01" w:rsidR="00AA0B7A" w:rsidRPr="00AA0B7A" w:rsidRDefault="00AA0B7A" w:rsidP="00AA0B7A">
      <w:pPr>
        <w:widowControl w:val="0"/>
        <w:tabs>
          <w:tab w:val="left" w:pos="0"/>
        </w:tabs>
        <w:autoSpaceDE w:val="0"/>
        <w:autoSpaceDN w:val="0"/>
        <w:adjustRightInd w:val="0"/>
        <w:jc w:val="both"/>
        <w:rPr>
          <w:sz w:val="24"/>
          <w:szCs w:val="24"/>
          <w:u w:val="single"/>
        </w:rPr>
      </w:pPr>
      <w:bookmarkStart w:id="1" w:name="_Hlk10719696"/>
      <w:r w:rsidRPr="00C32278">
        <w:rPr>
          <w:sz w:val="24"/>
          <w:szCs w:val="24"/>
        </w:rPr>
        <w:t xml:space="preserve">Date:  </w:t>
      </w:r>
      <w:r w:rsidR="003127EE">
        <w:rPr>
          <w:sz w:val="24"/>
          <w:szCs w:val="24"/>
          <w:u w:val="single"/>
        </w:rPr>
        <w:t>October 20</w:t>
      </w:r>
      <w:r w:rsidR="00C32278" w:rsidRPr="00C32278">
        <w:rPr>
          <w:sz w:val="24"/>
          <w:szCs w:val="24"/>
          <w:u w:val="single"/>
        </w:rPr>
        <w:t>, 2022</w:t>
      </w:r>
      <w:r w:rsidRPr="00C32278">
        <w:rPr>
          <w:sz w:val="24"/>
          <w:szCs w:val="24"/>
        </w:rPr>
        <w:tab/>
      </w:r>
      <w:r w:rsidRPr="00C32278">
        <w:rPr>
          <w:sz w:val="24"/>
          <w:szCs w:val="24"/>
        </w:rPr>
        <w:tab/>
      </w:r>
      <w:r w:rsidRPr="00C32278">
        <w:rPr>
          <w:sz w:val="24"/>
          <w:szCs w:val="24"/>
        </w:rPr>
        <w:tab/>
      </w:r>
      <w:r w:rsidRPr="00C32278">
        <w:rPr>
          <w:sz w:val="24"/>
          <w:szCs w:val="24"/>
        </w:rPr>
        <w:tab/>
      </w:r>
      <w:r w:rsidR="00CE0760">
        <w:rPr>
          <w:sz w:val="24"/>
          <w:szCs w:val="24"/>
        </w:rPr>
        <w:tab/>
      </w:r>
      <w:r w:rsidRPr="00C32278">
        <w:rPr>
          <w:sz w:val="24"/>
          <w:szCs w:val="24"/>
          <w:u w:val="single"/>
        </w:rPr>
        <w:tab/>
      </w:r>
      <w:r w:rsidRPr="00C32278">
        <w:rPr>
          <w:sz w:val="24"/>
          <w:szCs w:val="24"/>
          <w:u w:val="single"/>
        </w:rPr>
        <w:tab/>
        <w:t>/s/</w:t>
      </w:r>
      <w:r w:rsidRPr="00AA0B7A">
        <w:rPr>
          <w:sz w:val="24"/>
          <w:szCs w:val="24"/>
          <w:u w:val="single"/>
        </w:rPr>
        <w:tab/>
      </w:r>
      <w:r w:rsidRPr="00AA0B7A">
        <w:rPr>
          <w:sz w:val="24"/>
          <w:szCs w:val="24"/>
          <w:u w:val="single"/>
        </w:rPr>
        <w:tab/>
      </w:r>
      <w:r w:rsidRPr="00AA0B7A">
        <w:rPr>
          <w:sz w:val="24"/>
          <w:szCs w:val="24"/>
          <w:u w:val="single"/>
        </w:rPr>
        <w:tab/>
      </w:r>
    </w:p>
    <w:p w14:paraId="4B6D2558" w14:textId="719D4C86" w:rsidR="00AA0B7A" w:rsidRDefault="00AA0B7A" w:rsidP="00AA0B7A">
      <w:pPr>
        <w:widowControl w:val="0"/>
        <w:tabs>
          <w:tab w:val="left" w:pos="0"/>
        </w:tabs>
        <w:autoSpaceDE w:val="0"/>
        <w:autoSpaceDN w:val="0"/>
        <w:adjustRightInd w:val="0"/>
        <w:jc w:val="both"/>
        <w:rPr>
          <w:sz w:val="24"/>
          <w:szCs w:val="24"/>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t>Emily I. DeVoe</w:t>
      </w:r>
    </w:p>
    <w:p w14:paraId="0B4D25AF" w14:textId="77777777" w:rsidR="00C32278" w:rsidRDefault="00BD01D0" w:rsidP="00AA0B7A">
      <w:pPr>
        <w:widowControl w:val="0"/>
        <w:tabs>
          <w:tab w:val="left" w:pos="0"/>
        </w:tabs>
        <w:autoSpaceDE w:val="0"/>
        <w:autoSpaceDN w:val="0"/>
        <w:adjustRightInd w:val="0"/>
        <w:jc w:val="both"/>
        <w:rPr>
          <w:sz w:val="24"/>
          <w:szCs w:val="24"/>
        </w:rPr>
        <w:sectPr w:rsidR="00C32278" w:rsidSect="00402D98">
          <w:footerReference w:type="default" r:id="rId8"/>
          <w:endnotePr>
            <w:numFmt w:val="decimal"/>
          </w:endnotePr>
          <w:pgSz w:w="12240" w:h="15840" w:code="1"/>
          <w:pgMar w:top="1440" w:right="1440" w:bottom="1440" w:left="1440" w:header="720" w:footer="720" w:gutter="0"/>
          <w:cols w:space="720"/>
          <w:noEndnote/>
          <w:titlePg/>
          <w:docGrid w:linePitch="272"/>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14:paraId="5138E983" w14:textId="010DBE4A" w:rsidR="000912BD" w:rsidRPr="000912BD" w:rsidRDefault="00127785" w:rsidP="00127785">
      <w:pPr>
        <w:spacing w:after="160" w:line="259" w:lineRule="auto"/>
        <w:rPr>
          <w:rFonts w:ascii="Microsoft Sans Serif" w:eastAsia="Microsoft Sans Serif" w:hAnsi="Microsoft Sans Serif" w:cs="Microsoft Sans Serif"/>
          <w:sz w:val="24"/>
          <w:szCs w:val="22"/>
        </w:rPr>
      </w:pPr>
      <w:r w:rsidRPr="00127785">
        <w:rPr>
          <w:rFonts w:ascii="Microsoft Sans Serif" w:eastAsia="Microsoft Sans Serif" w:hAnsi="Microsoft Sans Serif" w:cs="Microsoft Sans Serif"/>
          <w:b/>
          <w:sz w:val="24"/>
          <w:szCs w:val="22"/>
          <w:u w:val="single"/>
        </w:rPr>
        <w:lastRenderedPageBreak/>
        <w:t>C-2022-3032695 - LAURA ANDRACCHIO JOHNSON &amp; CHARLES JOHNSON v. DUQUESNE LIGHT COMPANY</w:t>
      </w:r>
      <w:r w:rsidRPr="00127785">
        <w:rPr>
          <w:rFonts w:ascii="Microsoft Sans Serif" w:eastAsia="Microsoft Sans Serif" w:hAnsi="Microsoft Sans Serif" w:cs="Microsoft Sans Serif"/>
          <w:b/>
          <w:sz w:val="24"/>
          <w:szCs w:val="22"/>
          <w:u w:val="single"/>
        </w:rPr>
        <w:cr/>
      </w:r>
      <w:r w:rsidRPr="00127785">
        <w:rPr>
          <w:rFonts w:ascii="Microsoft Sans Serif" w:eastAsia="Microsoft Sans Serif" w:hAnsi="Microsoft Sans Serif" w:cs="Microsoft Sans Serif"/>
          <w:b/>
          <w:sz w:val="24"/>
          <w:szCs w:val="22"/>
          <w:u w:val="single"/>
        </w:rPr>
        <w:cr/>
      </w:r>
      <w:r w:rsidRPr="00127785">
        <w:rPr>
          <w:rFonts w:ascii="Microsoft Sans Serif" w:eastAsia="Microsoft Sans Serif" w:hAnsi="Microsoft Sans Serif" w:cs="Microsoft Sans Serif"/>
          <w:sz w:val="24"/>
          <w:szCs w:val="22"/>
        </w:rPr>
        <w:t>LAURA ANDRACCHIO JOHNSON</w:t>
      </w:r>
      <w:r w:rsidRPr="00127785">
        <w:rPr>
          <w:rFonts w:ascii="Microsoft Sans Serif" w:eastAsia="Microsoft Sans Serif" w:hAnsi="Microsoft Sans Serif" w:cs="Microsoft Sans Serif"/>
          <w:sz w:val="24"/>
          <w:szCs w:val="22"/>
        </w:rPr>
        <w:br/>
        <w:t>CHARLES JOHNSON</w:t>
      </w:r>
      <w:r w:rsidRPr="00127785">
        <w:rPr>
          <w:rFonts w:ascii="Microsoft Sans Serif" w:eastAsia="Microsoft Sans Serif" w:hAnsi="Microsoft Sans Serif" w:cs="Microsoft Sans Serif"/>
          <w:sz w:val="24"/>
          <w:szCs w:val="22"/>
        </w:rPr>
        <w:cr/>
        <w:t>203 FAIRVIEW ROAD</w:t>
      </w:r>
      <w:r w:rsidRPr="00127785">
        <w:rPr>
          <w:rFonts w:ascii="Microsoft Sans Serif" w:eastAsia="Microsoft Sans Serif" w:hAnsi="Microsoft Sans Serif" w:cs="Microsoft Sans Serif"/>
          <w:sz w:val="24"/>
          <w:szCs w:val="22"/>
        </w:rPr>
        <w:cr/>
        <w:t>PITTSBURGH PA  15238</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619.954.6098</w:t>
      </w:r>
      <w:r w:rsidRPr="00127785">
        <w:rPr>
          <w:rFonts w:ascii="Microsoft Sans Serif" w:eastAsia="Microsoft Sans Serif" w:hAnsi="Microsoft Sans Serif" w:cs="Microsoft Sans Serif"/>
          <w:sz w:val="24"/>
          <w:szCs w:val="22"/>
        </w:rPr>
        <w:cr/>
        <w:t>landracchio@comcast.net</w:t>
      </w:r>
      <w:r w:rsidRPr="00127785">
        <w:rPr>
          <w:rFonts w:ascii="Microsoft Sans Serif" w:eastAsia="Microsoft Sans Serif" w:hAnsi="Microsoft Sans Serif" w:cs="Microsoft Sans Serif"/>
          <w:sz w:val="24"/>
          <w:szCs w:val="22"/>
        </w:rPr>
        <w:cr/>
        <w:t xml:space="preserve"> </w:t>
      </w:r>
      <w:r w:rsidRPr="00127785">
        <w:rPr>
          <w:rFonts w:ascii="Microsoft Sans Serif" w:eastAsia="Microsoft Sans Serif" w:hAnsi="Microsoft Sans Serif" w:cs="Microsoft Sans Serif"/>
          <w:sz w:val="24"/>
          <w:szCs w:val="22"/>
        </w:rPr>
        <w:br/>
        <w:t>STANLEY STEIN ESQUIRE</w:t>
      </w:r>
      <w:r w:rsidRPr="00127785">
        <w:rPr>
          <w:rFonts w:ascii="Microsoft Sans Serif" w:eastAsia="Microsoft Sans Serif" w:hAnsi="Microsoft Sans Serif" w:cs="Microsoft Sans Serif"/>
          <w:sz w:val="24"/>
          <w:szCs w:val="22"/>
        </w:rPr>
        <w:cr/>
        <w:t>STANLEY M STEIN PC</w:t>
      </w:r>
      <w:r w:rsidRPr="00127785">
        <w:rPr>
          <w:rFonts w:ascii="Microsoft Sans Serif" w:eastAsia="Microsoft Sans Serif" w:hAnsi="Microsoft Sans Serif" w:cs="Microsoft Sans Serif"/>
          <w:sz w:val="24"/>
          <w:szCs w:val="22"/>
        </w:rPr>
        <w:cr/>
        <w:t>445 FORT PITT BLVD</w:t>
      </w:r>
      <w:r w:rsidRPr="00127785">
        <w:rPr>
          <w:rFonts w:ascii="Microsoft Sans Serif" w:eastAsia="Microsoft Sans Serif" w:hAnsi="Microsoft Sans Serif" w:cs="Microsoft Sans Serif"/>
          <w:sz w:val="24"/>
          <w:szCs w:val="22"/>
        </w:rPr>
        <w:cr/>
        <w:t>SUITE 150</w:t>
      </w:r>
      <w:r w:rsidRPr="00127785">
        <w:rPr>
          <w:rFonts w:ascii="Microsoft Sans Serif" w:eastAsia="Microsoft Sans Serif" w:hAnsi="Microsoft Sans Serif" w:cs="Microsoft Sans Serif"/>
          <w:sz w:val="24"/>
          <w:szCs w:val="22"/>
        </w:rPr>
        <w:cr/>
        <w:t>PITTSBURGH PA  15219</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412.904.4586</w:t>
      </w:r>
      <w:r w:rsidRPr="00127785">
        <w:rPr>
          <w:rFonts w:ascii="Microsoft Sans Serif" w:eastAsia="Microsoft Sans Serif" w:hAnsi="Microsoft Sans Serif" w:cs="Microsoft Sans Serif"/>
          <w:b/>
          <w:bCs/>
          <w:sz w:val="24"/>
          <w:szCs w:val="22"/>
        </w:rPr>
        <w:cr/>
        <w:t>412.260.1947</w:t>
      </w:r>
      <w:r w:rsidRPr="00127785">
        <w:rPr>
          <w:rFonts w:ascii="Microsoft Sans Serif" w:eastAsia="Microsoft Sans Serif" w:hAnsi="Microsoft Sans Serif" w:cs="Microsoft Sans Serif"/>
          <w:b/>
          <w:bCs/>
          <w:sz w:val="24"/>
          <w:szCs w:val="22"/>
        </w:rPr>
        <w:cr/>
      </w:r>
      <w:r w:rsidRPr="00127785">
        <w:rPr>
          <w:rFonts w:ascii="Microsoft Sans Serif" w:eastAsia="Microsoft Sans Serif" w:hAnsi="Microsoft Sans Serif" w:cs="Microsoft Sans Serif"/>
          <w:sz w:val="24"/>
          <w:szCs w:val="22"/>
        </w:rPr>
        <w:t>smstein@smsteinlaw.com</w:t>
      </w:r>
      <w:r w:rsidRPr="00127785">
        <w:rPr>
          <w:rFonts w:ascii="Microsoft Sans Serif" w:eastAsia="Microsoft Sans Serif" w:hAnsi="Microsoft Sans Serif" w:cs="Microsoft Sans Serif"/>
          <w:sz w:val="24"/>
          <w:szCs w:val="22"/>
        </w:rPr>
        <w:cr/>
        <w:t>Accepts eService</w:t>
      </w:r>
      <w:r w:rsidRPr="00127785">
        <w:rPr>
          <w:rFonts w:ascii="Microsoft Sans Serif" w:eastAsia="Microsoft Sans Serif" w:hAnsi="Microsoft Sans Serif" w:cs="Microsoft Sans Serif"/>
          <w:sz w:val="24"/>
          <w:szCs w:val="22"/>
        </w:rPr>
        <w:br/>
      </w:r>
      <w:r w:rsidRPr="00127785">
        <w:rPr>
          <w:rFonts w:ascii="Microsoft Sans Serif" w:eastAsia="Microsoft Sans Serif" w:hAnsi="Microsoft Sans Serif" w:cs="Microsoft Sans Serif"/>
          <w:i/>
          <w:iCs/>
          <w:sz w:val="24"/>
          <w:szCs w:val="22"/>
        </w:rPr>
        <w:t>Representing Complainant</w:t>
      </w:r>
      <w:r w:rsidRPr="00127785">
        <w:rPr>
          <w:rFonts w:ascii="Microsoft Sans Serif" w:eastAsia="Microsoft Sans Serif" w:hAnsi="Microsoft Sans Serif" w:cs="Microsoft Sans Serif"/>
          <w:i/>
          <w:iCs/>
          <w:sz w:val="24"/>
          <w:szCs w:val="22"/>
        </w:rPr>
        <w:br/>
      </w:r>
      <w:r w:rsidRPr="00127785">
        <w:rPr>
          <w:rFonts w:ascii="Microsoft Sans Serif" w:eastAsia="Microsoft Sans Serif" w:hAnsi="Microsoft Sans Serif" w:cs="Microsoft Sans Serif"/>
          <w:i/>
          <w:iCs/>
          <w:sz w:val="24"/>
          <w:szCs w:val="22"/>
        </w:rPr>
        <w:br/>
      </w:r>
      <w:r w:rsidRPr="00127785">
        <w:rPr>
          <w:rFonts w:ascii="Microsoft Sans Serif" w:eastAsia="Microsoft Sans Serif" w:hAnsi="Microsoft Sans Serif" w:cs="Microsoft Sans Serif"/>
          <w:sz w:val="24"/>
          <w:szCs w:val="22"/>
        </w:rPr>
        <w:t>EMILY M FARAH ESQUIRE</w:t>
      </w:r>
      <w:r w:rsidRPr="00127785">
        <w:rPr>
          <w:rFonts w:ascii="Microsoft Sans Serif" w:eastAsia="Microsoft Sans Serif" w:hAnsi="Microsoft Sans Serif" w:cs="Microsoft Sans Serif"/>
          <w:sz w:val="24"/>
          <w:szCs w:val="22"/>
        </w:rPr>
        <w:cr/>
        <w:t>DUQUESNE LIGHT COMPANY</w:t>
      </w:r>
      <w:r w:rsidRPr="00127785">
        <w:rPr>
          <w:rFonts w:ascii="Microsoft Sans Serif" w:eastAsia="Microsoft Sans Serif" w:hAnsi="Microsoft Sans Serif" w:cs="Microsoft Sans Serif"/>
          <w:sz w:val="24"/>
          <w:szCs w:val="22"/>
        </w:rPr>
        <w:cr/>
        <w:t>411 SEVENTH AVENUE</w:t>
      </w:r>
      <w:r w:rsidRPr="00127785">
        <w:rPr>
          <w:rFonts w:ascii="Microsoft Sans Serif" w:eastAsia="Microsoft Sans Serif" w:hAnsi="Microsoft Sans Serif" w:cs="Microsoft Sans Serif"/>
          <w:sz w:val="24"/>
          <w:szCs w:val="22"/>
        </w:rPr>
        <w:cr/>
        <w:t>PITTSBURGH PA  15219</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b/>
          <w:bCs/>
          <w:sz w:val="24"/>
          <w:szCs w:val="22"/>
        </w:rPr>
        <w:t>412.393.6431</w:t>
      </w:r>
      <w:r w:rsidRPr="00127785">
        <w:rPr>
          <w:rFonts w:ascii="Microsoft Sans Serif" w:eastAsia="Microsoft Sans Serif" w:hAnsi="Microsoft Sans Serif" w:cs="Microsoft Sans Serif"/>
          <w:b/>
          <w:bCs/>
          <w:sz w:val="24"/>
          <w:szCs w:val="22"/>
        </w:rPr>
        <w:cr/>
      </w:r>
      <w:r w:rsidRPr="00127785">
        <w:rPr>
          <w:rFonts w:ascii="Microsoft Sans Serif" w:eastAsia="Microsoft Sans Serif" w:hAnsi="Microsoft Sans Serif" w:cs="Microsoft Sans Serif"/>
          <w:sz w:val="24"/>
          <w:szCs w:val="22"/>
        </w:rPr>
        <w:t>efarah@duqlight.com</w:t>
      </w:r>
      <w:r w:rsidRPr="00127785">
        <w:rPr>
          <w:rFonts w:ascii="Microsoft Sans Serif" w:eastAsia="Microsoft Sans Serif" w:hAnsi="Microsoft Sans Serif" w:cs="Microsoft Sans Serif"/>
          <w:sz w:val="24"/>
          <w:szCs w:val="22"/>
        </w:rPr>
        <w:cr/>
        <w:t>Accepts eService</w:t>
      </w:r>
      <w:r w:rsidRPr="00127785">
        <w:rPr>
          <w:rFonts w:ascii="Microsoft Sans Serif" w:eastAsia="Microsoft Sans Serif" w:hAnsi="Microsoft Sans Serif" w:cs="Microsoft Sans Serif"/>
          <w:sz w:val="24"/>
          <w:szCs w:val="22"/>
        </w:rPr>
        <w:cr/>
      </w:r>
      <w:r w:rsidRPr="00127785">
        <w:rPr>
          <w:rFonts w:ascii="Microsoft Sans Serif" w:eastAsia="Microsoft Sans Serif" w:hAnsi="Microsoft Sans Serif" w:cs="Microsoft Sans Serif"/>
          <w:sz w:val="24"/>
          <w:szCs w:val="22"/>
        </w:rPr>
        <w:cr/>
      </w:r>
      <w:r w:rsidR="000912BD">
        <w:rPr>
          <w:rFonts w:ascii="Microsoft Sans Serif" w:eastAsia="Microsoft Sans Serif" w:hAnsi="Microsoft Sans Serif" w:cs="Microsoft Sans Serif"/>
          <w:sz w:val="24"/>
          <w:szCs w:val="22"/>
        </w:rPr>
        <w:t>MICHAEL A GRUIN ESQUIRE</w:t>
      </w:r>
      <w:r w:rsidR="000912BD">
        <w:rPr>
          <w:rFonts w:ascii="Microsoft Sans Serif" w:eastAsia="Microsoft Sans Serif" w:hAnsi="Microsoft Sans Serif" w:cs="Microsoft Sans Serif"/>
          <w:sz w:val="24"/>
          <w:szCs w:val="22"/>
        </w:rPr>
        <w:br/>
        <w:t>DONALD R WAGNER ESQUIRE</w:t>
      </w:r>
      <w:r w:rsidR="000912BD">
        <w:rPr>
          <w:rFonts w:ascii="Microsoft Sans Serif" w:eastAsia="Microsoft Sans Serif" w:hAnsi="Microsoft Sans Serif" w:cs="Microsoft Sans Serif"/>
          <w:sz w:val="24"/>
          <w:szCs w:val="22"/>
        </w:rPr>
        <w:br/>
        <w:t>DAVID BEANE ESQUIRE</w:t>
      </w:r>
      <w:r w:rsidR="000912BD">
        <w:rPr>
          <w:rFonts w:ascii="Microsoft Sans Serif" w:eastAsia="Microsoft Sans Serif" w:hAnsi="Microsoft Sans Serif" w:cs="Microsoft Sans Serif"/>
          <w:sz w:val="24"/>
          <w:szCs w:val="22"/>
        </w:rPr>
        <w:br/>
        <w:t>17 NORTH 2</w:t>
      </w:r>
      <w:r w:rsidR="000912BD" w:rsidRPr="000912BD">
        <w:rPr>
          <w:rFonts w:ascii="Microsoft Sans Serif" w:eastAsia="Microsoft Sans Serif" w:hAnsi="Microsoft Sans Serif" w:cs="Microsoft Sans Serif"/>
          <w:sz w:val="24"/>
          <w:szCs w:val="22"/>
          <w:vertAlign w:val="superscript"/>
        </w:rPr>
        <w:t>nd</w:t>
      </w:r>
      <w:r w:rsidR="000912BD">
        <w:rPr>
          <w:rFonts w:ascii="Microsoft Sans Serif" w:eastAsia="Microsoft Sans Serif" w:hAnsi="Microsoft Sans Serif" w:cs="Microsoft Sans Serif"/>
          <w:sz w:val="24"/>
          <w:szCs w:val="22"/>
        </w:rPr>
        <w:t xml:space="preserve"> STREET</w:t>
      </w:r>
      <w:r w:rsidR="000912BD">
        <w:rPr>
          <w:rFonts w:ascii="Microsoft Sans Serif" w:eastAsia="Microsoft Sans Serif" w:hAnsi="Microsoft Sans Serif" w:cs="Microsoft Sans Serif"/>
          <w:sz w:val="24"/>
          <w:szCs w:val="22"/>
        </w:rPr>
        <w:br/>
        <w:t>HARRISBURG PA 17101</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mag@stevenslee.com</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donald.wagner@stevenslee.com</w:t>
      </w:r>
      <w:r w:rsidR="000912BD">
        <w:rPr>
          <w:rFonts w:ascii="Microsoft Sans Serif" w:eastAsia="Microsoft Sans Serif" w:hAnsi="Microsoft Sans Serif" w:cs="Microsoft Sans Serif"/>
          <w:sz w:val="24"/>
          <w:szCs w:val="22"/>
        </w:rPr>
        <w:br/>
      </w:r>
      <w:r w:rsidR="000912BD" w:rsidRPr="000912BD">
        <w:rPr>
          <w:rFonts w:ascii="Microsoft Sans Serif" w:eastAsia="Microsoft Sans Serif" w:hAnsi="Microsoft Sans Serif" w:cs="Microsoft Sans Serif"/>
          <w:sz w:val="24"/>
          <w:szCs w:val="22"/>
        </w:rPr>
        <w:t>david.beane@stevenslee.com</w:t>
      </w:r>
      <w:r w:rsidR="000912BD">
        <w:rPr>
          <w:rFonts w:ascii="Microsoft Sans Serif" w:eastAsia="Microsoft Sans Serif" w:hAnsi="Microsoft Sans Serif" w:cs="Microsoft Sans Serif"/>
          <w:sz w:val="24"/>
          <w:szCs w:val="22"/>
        </w:rPr>
        <w:br/>
        <w:t>Accepts eService</w:t>
      </w:r>
    </w:p>
    <w:p w14:paraId="3D705BD7" w14:textId="77777777" w:rsidR="00127785" w:rsidRPr="00127785" w:rsidRDefault="00127785" w:rsidP="00127785">
      <w:pPr>
        <w:spacing w:after="160" w:line="259" w:lineRule="auto"/>
        <w:rPr>
          <w:rFonts w:ascii="Calibri" w:hAnsi="Calibri"/>
          <w:sz w:val="22"/>
          <w:szCs w:val="22"/>
        </w:rPr>
      </w:pPr>
    </w:p>
    <w:p w14:paraId="3A8D9D2D" w14:textId="7D7D68FC" w:rsidR="00BD01D0" w:rsidRPr="00AA0B7A" w:rsidRDefault="00BD01D0" w:rsidP="00AA0B7A">
      <w:pPr>
        <w:widowControl w:val="0"/>
        <w:tabs>
          <w:tab w:val="left" w:pos="0"/>
        </w:tabs>
        <w:autoSpaceDE w:val="0"/>
        <w:autoSpaceDN w:val="0"/>
        <w:adjustRightInd w:val="0"/>
        <w:jc w:val="both"/>
        <w:rPr>
          <w:sz w:val="24"/>
          <w:szCs w:val="24"/>
        </w:rPr>
      </w:pPr>
    </w:p>
    <w:p w14:paraId="76A381C1" w14:textId="2804915F" w:rsidR="00AA0B7A" w:rsidRPr="00AA0B7A" w:rsidRDefault="00AA0B7A" w:rsidP="00BD01D0">
      <w:pPr>
        <w:widowControl w:val="0"/>
        <w:tabs>
          <w:tab w:val="left" w:pos="0"/>
        </w:tabs>
        <w:autoSpaceDE w:val="0"/>
        <w:autoSpaceDN w:val="0"/>
        <w:adjustRightInd w:val="0"/>
        <w:jc w:val="both"/>
        <w:rPr>
          <w:rFonts w:ascii="Calibri" w:hAnsi="Calibri"/>
          <w:color w:val="0563C1"/>
          <w:sz w:val="22"/>
          <w:szCs w:val="22"/>
          <w:u w:val="single"/>
        </w:rPr>
      </w:pPr>
      <w:r w:rsidRPr="00AA0B7A">
        <w:rPr>
          <w:sz w:val="24"/>
          <w:szCs w:val="24"/>
        </w:rPr>
        <w:tab/>
      </w:r>
      <w:r w:rsidRPr="00AA0B7A">
        <w:rPr>
          <w:sz w:val="24"/>
          <w:szCs w:val="24"/>
        </w:rPr>
        <w:tab/>
      </w:r>
      <w:r w:rsidRPr="00AA0B7A">
        <w:rPr>
          <w:sz w:val="24"/>
          <w:szCs w:val="24"/>
        </w:rPr>
        <w:tab/>
      </w:r>
      <w:r w:rsidRPr="00AA0B7A">
        <w:rPr>
          <w:sz w:val="24"/>
          <w:szCs w:val="24"/>
        </w:rPr>
        <w:tab/>
      </w:r>
      <w:r w:rsidRPr="00AA0B7A">
        <w:rPr>
          <w:sz w:val="24"/>
          <w:szCs w:val="24"/>
        </w:rPr>
        <w:tab/>
      </w:r>
      <w:bookmarkEnd w:id="1"/>
    </w:p>
    <w:p w14:paraId="249DA2FA" w14:textId="2E0AE487" w:rsidR="00BC6CEC" w:rsidRPr="00006C62" w:rsidRDefault="00BC6CEC">
      <w:pPr>
        <w:jc w:val="both"/>
        <w:rPr>
          <w:sz w:val="24"/>
          <w:szCs w:val="24"/>
        </w:rPr>
      </w:pPr>
    </w:p>
    <w:sectPr w:rsidR="00BC6CEC" w:rsidRPr="00006C62" w:rsidSect="00402D98">
      <w:endnotePr>
        <w:numFmt w:val="decimal"/>
      </w:endnotePr>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46AB5" w14:textId="77777777" w:rsidR="00090AEC" w:rsidRDefault="00090AEC">
      <w:r>
        <w:separator/>
      </w:r>
    </w:p>
  </w:endnote>
  <w:endnote w:type="continuationSeparator" w:id="0">
    <w:p w14:paraId="0BDACC7E" w14:textId="77777777" w:rsidR="00090AEC" w:rsidRDefault="0009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1732292"/>
      <w:docPartObj>
        <w:docPartGallery w:val="Page Numbers (Bottom of Page)"/>
        <w:docPartUnique/>
      </w:docPartObj>
    </w:sdtPr>
    <w:sdtEndPr>
      <w:rPr>
        <w:noProof/>
        <w:sz w:val="16"/>
        <w:szCs w:val="16"/>
      </w:rPr>
    </w:sdtEndPr>
    <w:sdtContent>
      <w:p w14:paraId="24E79477" w14:textId="77777777" w:rsidR="00AD6C71" w:rsidRPr="00402D98" w:rsidRDefault="00AD6C71">
        <w:pPr>
          <w:pStyle w:val="Footer"/>
          <w:jc w:val="center"/>
          <w:rPr>
            <w:sz w:val="16"/>
            <w:szCs w:val="16"/>
          </w:rPr>
        </w:pPr>
        <w:r w:rsidRPr="00402D98">
          <w:fldChar w:fldCharType="begin"/>
        </w:r>
        <w:r w:rsidRPr="00402D98">
          <w:instrText xml:space="preserve"> PAGE   \* MERGEFORMAT </w:instrText>
        </w:r>
        <w:r w:rsidRPr="00402D98">
          <w:fldChar w:fldCharType="separate"/>
        </w:r>
        <w:r w:rsidRPr="00402D98">
          <w:rPr>
            <w:noProof/>
          </w:rPr>
          <w:t>8</w:t>
        </w:r>
        <w:r w:rsidRPr="00402D9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5BD8" w14:textId="77777777" w:rsidR="00090AEC" w:rsidRDefault="00090AEC">
      <w:r>
        <w:separator/>
      </w:r>
    </w:p>
  </w:footnote>
  <w:footnote w:type="continuationSeparator" w:id="0">
    <w:p w14:paraId="26AB7A8F" w14:textId="77777777" w:rsidR="00090AEC" w:rsidRDefault="00090AEC">
      <w:r>
        <w:continuationSeparator/>
      </w:r>
    </w:p>
  </w:footnote>
  <w:footnote w:id="1">
    <w:p w14:paraId="707AB484" w14:textId="151479A7" w:rsidR="004F5957" w:rsidRDefault="004F5957" w:rsidP="00C32278">
      <w:pPr>
        <w:pStyle w:val="FootnoteText"/>
        <w:ind w:firstLine="720"/>
      </w:pPr>
      <w:r w:rsidRPr="00C32278">
        <w:rPr>
          <w:rStyle w:val="FootnoteReference"/>
          <w:vertAlign w:val="superscript"/>
        </w:rPr>
        <w:footnoteRef/>
      </w:r>
      <w:r w:rsidRPr="00C32278">
        <w:rPr>
          <w:vertAlign w:val="superscript"/>
        </w:rPr>
        <w:t xml:space="preserve"> </w:t>
      </w:r>
      <w:r>
        <w:tab/>
      </w:r>
      <w:r w:rsidRPr="006D7ED5">
        <w:rPr>
          <w:i/>
          <w:iCs/>
        </w:rPr>
        <w:t>Drake v. Pa. Elec. Co.</w:t>
      </w:r>
      <w:r>
        <w:t>, No. C-2014-2413771, 2014 WL2003281, at *1 (Pa. P.U.C. May 7,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6" w15:restartNumberingAfterBreak="0">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664C4195"/>
    <w:multiLevelType w:val="hybridMultilevel"/>
    <w:tmpl w:val="D464AEF6"/>
    <w:lvl w:ilvl="0" w:tplc="660A2A30">
      <w:start w:val="1"/>
      <w:numFmt w:val="decimal"/>
      <w:lvlText w:val="(%1)"/>
      <w:lvlJc w:val="left"/>
      <w:pPr>
        <w:ind w:left="432" w:hanging="372"/>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29221773">
    <w:abstractNumId w:val="2"/>
  </w:num>
  <w:num w:numId="2" w16cid:durableId="2109307025">
    <w:abstractNumId w:val="0"/>
  </w:num>
  <w:num w:numId="3" w16cid:durableId="624045984">
    <w:abstractNumId w:val="7"/>
  </w:num>
  <w:num w:numId="4" w16cid:durableId="749616063">
    <w:abstractNumId w:val="4"/>
  </w:num>
  <w:num w:numId="5" w16cid:durableId="1331063241">
    <w:abstractNumId w:val="5"/>
  </w:num>
  <w:num w:numId="6" w16cid:durableId="631982431">
    <w:abstractNumId w:val="6"/>
  </w:num>
  <w:num w:numId="7" w16cid:durableId="676736754">
    <w:abstractNumId w:val="1"/>
  </w:num>
  <w:num w:numId="8" w16cid:durableId="1003703996">
    <w:abstractNumId w:val="9"/>
  </w:num>
  <w:num w:numId="9" w16cid:durableId="699548334">
    <w:abstractNumId w:val="3"/>
  </w:num>
  <w:num w:numId="10" w16cid:durableId="1862624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4DDEFC-1E5A-40BE-B020-1D08921C1C26}"/>
    <w:docVar w:name="dgnword-eventsink" w:val="545941616"/>
  </w:docVars>
  <w:rsids>
    <w:rsidRoot w:val="00BC6CEC"/>
    <w:rsid w:val="00006C62"/>
    <w:rsid w:val="00010630"/>
    <w:rsid w:val="000119AE"/>
    <w:rsid w:val="00015AD8"/>
    <w:rsid w:val="000460C9"/>
    <w:rsid w:val="000518D4"/>
    <w:rsid w:val="000644EB"/>
    <w:rsid w:val="00067502"/>
    <w:rsid w:val="00084531"/>
    <w:rsid w:val="00090AEC"/>
    <w:rsid w:val="000912BD"/>
    <w:rsid w:val="000921D5"/>
    <w:rsid w:val="00097FE2"/>
    <w:rsid w:val="000C1772"/>
    <w:rsid w:val="000E468C"/>
    <w:rsid w:val="000F1577"/>
    <w:rsid w:val="000F1FF6"/>
    <w:rsid w:val="0010433A"/>
    <w:rsid w:val="0011220F"/>
    <w:rsid w:val="00120345"/>
    <w:rsid w:val="00127785"/>
    <w:rsid w:val="00141862"/>
    <w:rsid w:val="001418B9"/>
    <w:rsid w:val="0014193D"/>
    <w:rsid w:val="00142CAE"/>
    <w:rsid w:val="00152206"/>
    <w:rsid w:val="001544EE"/>
    <w:rsid w:val="001664E1"/>
    <w:rsid w:val="001705FD"/>
    <w:rsid w:val="00174FA4"/>
    <w:rsid w:val="0018172E"/>
    <w:rsid w:val="00181AE5"/>
    <w:rsid w:val="001B2595"/>
    <w:rsid w:val="001B7E12"/>
    <w:rsid w:val="001C00E9"/>
    <w:rsid w:val="001D28F1"/>
    <w:rsid w:val="001D5D37"/>
    <w:rsid w:val="001E5B3A"/>
    <w:rsid w:val="001E636C"/>
    <w:rsid w:val="001E6569"/>
    <w:rsid w:val="001F20CB"/>
    <w:rsid w:val="001F4BD9"/>
    <w:rsid w:val="001F7583"/>
    <w:rsid w:val="00203D7B"/>
    <w:rsid w:val="002058FF"/>
    <w:rsid w:val="00217B60"/>
    <w:rsid w:val="0022202D"/>
    <w:rsid w:val="00223923"/>
    <w:rsid w:val="0022539D"/>
    <w:rsid w:val="00226059"/>
    <w:rsid w:val="00235A85"/>
    <w:rsid w:val="00236455"/>
    <w:rsid w:val="00263774"/>
    <w:rsid w:val="00263CED"/>
    <w:rsid w:val="00272CEC"/>
    <w:rsid w:val="00275D87"/>
    <w:rsid w:val="00291C1D"/>
    <w:rsid w:val="002940F4"/>
    <w:rsid w:val="002C3218"/>
    <w:rsid w:val="002D008B"/>
    <w:rsid w:val="002D1C45"/>
    <w:rsid w:val="002D79CF"/>
    <w:rsid w:val="002F60D7"/>
    <w:rsid w:val="003127EE"/>
    <w:rsid w:val="00317CD9"/>
    <w:rsid w:val="003376D6"/>
    <w:rsid w:val="00352359"/>
    <w:rsid w:val="00356BC0"/>
    <w:rsid w:val="00372D81"/>
    <w:rsid w:val="00380D39"/>
    <w:rsid w:val="0038588B"/>
    <w:rsid w:val="0039102A"/>
    <w:rsid w:val="003911C3"/>
    <w:rsid w:val="00396AAD"/>
    <w:rsid w:val="00396CB9"/>
    <w:rsid w:val="003A4B3C"/>
    <w:rsid w:val="003B2B3E"/>
    <w:rsid w:val="003C0A9A"/>
    <w:rsid w:val="003D61AD"/>
    <w:rsid w:val="003D6796"/>
    <w:rsid w:val="003E68FB"/>
    <w:rsid w:val="003F787E"/>
    <w:rsid w:val="00402D98"/>
    <w:rsid w:val="0041302C"/>
    <w:rsid w:val="0043089E"/>
    <w:rsid w:val="00446BE1"/>
    <w:rsid w:val="00450999"/>
    <w:rsid w:val="00450AB9"/>
    <w:rsid w:val="00461DC4"/>
    <w:rsid w:val="00463CC3"/>
    <w:rsid w:val="0048059F"/>
    <w:rsid w:val="0048074B"/>
    <w:rsid w:val="004822FE"/>
    <w:rsid w:val="004829BF"/>
    <w:rsid w:val="00487FFB"/>
    <w:rsid w:val="00491847"/>
    <w:rsid w:val="004A5C8F"/>
    <w:rsid w:val="004D3393"/>
    <w:rsid w:val="004D527C"/>
    <w:rsid w:val="004E348C"/>
    <w:rsid w:val="004E679D"/>
    <w:rsid w:val="004F5957"/>
    <w:rsid w:val="004F5AC1"/>
    <w:rsid w:val="005116FB"/>
    <w:rsid w:val="005132FB"/>
    <w:rsid w:val="005175F4"/>
    <w:rsid w:val="0054172E"/>
    <w:rsid w:val="00547D90"/>
    <w:rsid w:val="0055769D"/>
    <w:rsid w:val="005653CD"/>
    <w:rsid w:val="00572459"/>
    <w:rsid w:val="00585C98"/>
    <w:rsid w:val="005A4369"/>
    <w:rsid w:val="005C73EC"/>
    <w:rsid w:val="005D0C21"/>
    <w:rsid w:val="005F21B7"/>
    <w:rsid w:val="00604776"/>
    <w:rsid w:val="00610495"/>
    <w:rsid w:val="006132EC"/>
    <w:rsid w:val="006152F3"/>
    <w:rsid w:val="00625269"/>
    <w:rsid w:val="00630F7B"/>
    <w:rsid w:val="00640CE6"/>
    <w:rsid w:val="00651431"/>
    <w:rsid w:val="006813A3"/>
    <w:rsid w:val="006825F2"/>
    <w:rsid w:val="006909E4"/>
    <w:rsid w:val="00693F48"/>
    <w:rsid w:val="0069679D"/>
    <w:rsid w:val="006B03D6"/>
    <w:rsid w:val="006B316E"/>
    <w:rsid w:val="006B4FD6"/>
    <w:rsid w:val="006D7ED5"/>
    <w:rsid w:val="006E52A8"/>
    <w:rsid w:val="00713B63"/>
    <w:rsid w:val="007153A6"/>
    <w:rsid w:val="00750B79"/>
    <w:rsid w:val="00751011"/>
    <w:rsid w:val="007642B9"/>
    <w:rsid w:val="00764B57"/>
    <w:rsid w:val="00792F37"/>
    <w:rsid w:val="007946DC"/>
    <w:rsid w:val="007979C1"/>
    <w:rsid w:val="007A4C4B"/>
    <w:rsid w:val="007A6573"/>
    <w:rsid w:val="007B2CC5"/>
    <w:rsid w:val="007C555F"/>
    <w:rsid w:val="007D2ADD"/>
    <w:rsid w:val="007E45EB"/>
    <w:rsid w:val="007F420E"/>
    <w:rsid w:val="008057D1"/>
    <w:rsid w:val="00806222"/>
    <w:rsid w:val="00807C66"/>
    <w:rsid w:val="00810B64"/>
    <w:rsid w:val="00821966"/>
    <w:rsid w:val="00827323"/>
    <w:rsid w:val="00831337"/>
    <w:rsid w:val="00832F13"/>
    <w:rsid w:val="00847FCC"/>
    <w:rsid w:val="00865A9A"/>
    <w:rsid w:val="008750B8"/>
    <w:rsid w:val="00875698"/>
    <w:rsid w:val="008A2A14"/>
    <w:rsid w:val="008A3F87"/>
    <w:rsid w:val="008D406F"/>
    <w:rsid w:val="008D52D0"/>
    <w:rsid w:val="008F2B6E"/>
    <w:rsid w:val="008F34CB"/>
    <w:rsid w:val="008F3DF8"/>
    <w:rsid w:val="00902A37"/>
    <w:rsid w:val="00902A6C"/>
    <w:rsid w:val="009033E3"/>
    <w:rsid w:val="00931362"/>
    <w:rsid w:val="00934547"/>
    <w:rsid w:val="00944131"/>
    <w:rsid w:val="009503B4"/>
    <w:rsid w:val="00955068"/>
    <w:rsid w:val="00960E73"/>
    <w:rsid w:val="00975818"/>
    <w:rsid w:val="00983BC8"/>
    <w:rsid w:val="009A77F8"/>
    <w:rsid w:val="009B0658"/>
    <w:rsid w:val="009B705E"/>
    <w:rsid w:val="009D70E1"/>
    <w:rsid w:val="009D79E7"/>
    <w:rsid w:val="009E5E60"/>
    <w:rsid w:val="00A21173"/>
    <w:rsid w:val="00A539F1"/>
    <w:rsid w:val="00A57CBC"/>
    <w:rsid w:val="00A653ED"/>
    <w:rsid w:val="00A73275"/>
    <w:rsid w:val="00A765EA"/>
    <w:rsid w:val="00A77196"/>
    <w:rsid w:val="00A910F1"/>
    <w:rsid w:val="00A910F9"/>
    <w:rsid w:val="00AA0B7A"/>
    <w:rsid w:val="00AA241E"/>
    <w:rsid w:val="00AA7030"/>
    <w:rsid w:val="00AC2B67"/>
    <w:rsid w:val="00AD4F10"/>
    <w:rsid w:val="00AD6C71"/>
    <w:rsid w:val="00AD6E4E"/>
    <w:rsid w:val="00AE325E"/>
    <w:rsid w:val="00AF0E66"/>
    <w:rsid w:val="00AF4F01"/>
    <w:rsid w:val="00AF65B7"/>
    <w:rsid w:val="00AF772F"/>
    <w:rsid w:val="00B20EBC"/>
    <w:rsid w:val="00B27948"/>
    <w:rsid w:val="00B366A6"/>
    <w:rsid w:val="00B41714"/>
    <w:rsid w:val="00B43579"/>
    <w:rsid w:val="00B63B78"/>
    <w:rsid w:val="00B64F22"/>
    <w:rsid w:val="00B7344A"/>
    <w:rsid w:val="00B75608"/>
    <w:rsid w:val="00B91234"/>
    <w:rsid w:val="00BB2494"/>
    <w:rsid w:val="00BC41EA"/>
    <w:rsid w:val="00BC5DD8"/>
    <w:rsid w:val="00BC6CEC"/>
    <w:rsid w:val="00BD01D0"/>
    <w:rsid w:val="00BD02D1"/>
    <w:rsid w:val="00C15B01"/>
    <w:rsid w:val="00C16CF8"/>
    <w:rsid w:val="00C26A28"/>
    <w:rsid w:val="00C3053D"/>
    <w:rsid w:val="00C32278"/>
    <w:rsid w:val="00C364BB"/>
    <w:rsid w:val="00C44410"/>
    <w:rsid w:val="00C56D9F"/>
    <w:rsid w:val="00C56E1A"/>
    <w:rsid w:val="00C64803"/>
    <w:rsid w:val="00C66F3D"/>
    <w:rsid w:val="00C73258"/>
    <w:rsid w:val="00C93047"/>
    <w:rsid w:val="00CA6BCC"/>
    <w:rsid w:val="00CB61E8"/>
    <w:rsid w:val="00CC3C22"/>
    <w:rsid w:val="00CC50B3"/>
    <w:rsid w:val="00CC7BAC"/>
    <w:rsid w:val="00CE0760"/>
    <w:rsid w:val="00CE3159"/>
    <w:rsid w:val="00CE3A5D"/>
    <w:rsid w:val="00CE7C97"/>
    <w:rsid w:val="00D16A63"/>
    <w:rsid w:val="00D17296"/>
    <w:rsid w:val="00D205B8"/>
    <w:rsid w:val="00D30FE8"/>
    <w:rsid w:val="00D32A26"/>
    <w:rsid w:val="00D3463D"/>
    <w:rsid w:val="00D45406"/>
    <w:rsid w:val="00D45EC7"/>
    <w:rsid w:val="00D56BAC"/>
    <w:rsid w:val="00D61E67"/>
    <w:rsid w:val="00D94088"/>
    <w:rsid w:val="00DC4BFB"/>
    <w:rsid w:val="00DD65FE"/>
    <w:rsid w:val="00DE1C36"/>
    <w:rsid w:val="00DE566F"/>
    <w:rsid w:val="00DE6763"/>
    <w:rsid w:val="00DF15E0"/>
    <w:rsid w:val="00E03186"/>
    <w:rsid w:val="00E06C43"/>
    <w:rsid w:val="00E141F9"/>
    <w:rsid w:val="00E256FE"/>
    <w:rsid w:val="00E41885"/>
    <w:rsid w:val="00E45243"/>
    <w:rsid w:val="00E45375"/>
    <w:rsid w:val="00E50C37"/>
    <w:rsid w:val="00E64674"/>
    <w:rsid w:val="00E67FB6"/>
    <w:rsid w:val="00E71077"/>
    <w:rsid w:val="00E714A3"/>
    <w:rsid w:val="00E722D2"/>
    <w:rsid w:val="00E93DE8"/>
    <w:rsid w:val="00E969D2"/>
    <w:rsid w:val="00EA11E4"/>
    <w:rsid w:val="00EB5FE3"/>
    <w:rsid w:val="00ED231C"/>
    <w:rsid w:val="00ED751B"/>
    <w:rsid w:val="00EF3DCD"/>
    <w:rsid w:val="00EF62BA"/>
    <w:rsid w:val="00F00A11"/>
    <w:rsid w:val="00F117B1"/>
    <w:rsid w:val="00F13315"/>
    <w:rsid w:val="00F152FA"/>
    <w:rsid w:val="00F17575"/>
    <w:rsid w:val="00F217C9"/>
    <w:rsid w:val="00F348F6"/>
    <w:rsid w:val="00F404A0"/>
    <w:rsid w:val="00F57ACE"/>
    <w:rsid w:val="00F73D2D"/>
    <w:rsid w:val="00F80D84"/>
    <w:rsid w:val="00F953CE"/>
    <w:rsid w:val="00F97F67"/>
    <w:rsid w:val="00FA1765"/>
    <w:rsid w:val="00FA64FB"/>
    <w:rsid w:val="00FA73B5"/>
    <w:rsid w:val="00FB2C03"/>
    <w:rsid w:val="00FC19CF"/>
    <w:rsid w:val="00FE108B"/>
    <w:rsid w:val="00FE1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F46B"/>
  <w15:docId w15:val="{C76177BE-ED4E-44CE-81AC-5F282E60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link w:val="FootnoteTextChar"/>
    <w:uiPriority w:val="99"/>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character" w:customStyle="1" w:styleId="FootnoteTextChar">
    <w:name w:val="Footnote Text Char"/>
    <w:basedOn w:val="DefaultParagraphFont"/>
    <w:link w:val="FootnoteText"/>
    <w:uiPriority w:val="99"/>
    <w:rsid w:val="00E45243"/>
  </w:style>
  <w:style w:type="character" w:styleId="Hyperlink">
    <w:name w:val="Hyperlink"/>
    <w:basedOn w:val="DefaultParagraphFont"/>
    <w:unhideWhenUsed/>
    <w:rsid w:val="000912BD"/>
    <w:rPr>
      <w:color w:val="0000FF" w:themeColor="hyperlink"/>
      <w:u w:val="single"/>
    </w:rPr>
  </w:style>
  <w:style w:type="character" w:styleId="UnresolvedMention">
    <w:name w:val="Unresolved Mention"/>
    <w:basedOn w:val="DefaultParagraphFont"/>
    <w:uiPriority w:val="99"/>
    <w:semiHidden/>
    <w:unhideWhenUsed/>
    <w:rsid w:val="000912BD"/>
    <w:rPr>
      <w:color w:val="605E5C"/>
      <w:shd w:val="clear" w:color="auto" w:fill="E1DFDD"/>
    </w:rPr>
  </w:style>
  <w:style w:type="paragraph" w:styleId="ListParagraph">
    <w:name w:val="List Paragraph"/>
    <w:basedOn w:val="Normal"/>
    <w:uiPriority w:val="34"/>
    <w:qFormat/>
    <w:rsid w:val="0001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2E612-A8EA-46D6-A7FC-1BCC9CC8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1736</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3</cp:revision>
  <cp:lastPrinted>2013-04-02T19:08:00Z</cp:lastPrinted>
  <dcterms:created xsi:type="dcterms:W3CDTF">2022-10-20T15:06:00Z</dcterms:created>
  <dcterms:modified xsi:type="dcterms:W3CDTF">2022-10-20T15:11:00Z</dcterms:modified>
</cp:coreProperties>
</file>