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05A2" w14:textId="77777777" w:rsidR="00571360" w:rsidRPr="008E2D3C" w:rsidRDefault="00571360" w:rsidP="00571360">
      <w:pPr>
        <w:jc w:val="center"/>
        <w:rPr>
          <w:rFonts w:ascii="Times New Roman" w:hAnsi="Times New Roman" w:cs="Times New Roman"/>
          <w:b/>
        </w:rPr>
      </w:pPr>
      <w:r w:rsidRPr="008E2D3C">
        <w:rPr>
          <w:rFonts w:ascii="Times New Roman" w:hAnsi="Times New Roman" w:cs="Times New Roman"/>
          <w:b/>
        </w:rPr>
        <w:t>BEFORE THE</w:t>
      </w:r>
    </w:p>
    <w:p w14:paraId="07C65583" w14:textId="6F357942" w:rsidR="00571360" w:rsidRPr="008E2D3C" w:rsidRDefault="00571360" w:rsidP="00571360">
      <w:pPr>
        <w:tabs>
          <w:tab w:val="center" w:pos="4680"/>
        </w:tabs>
        <w:suppressAutoHyphens/>
        <w:jc w:val="center"/>
        <w:rPr>
          <w:rFonts w:ascii="Times New Roman" w:hAnsi="Times New Roman" w:cs="Times New Roman"/>
          <w:b/>
          <w:bCs/>
          <w:spacing w:val="-3"/>
        </w:rPr>
      </w:pPr>
      <w:r w:rsidRPr="008E2D3C">
        <w:rPr>
          <w:rFonts w:ascii="Times New Roman" w:hAnsi="Times New Roman" w:cs="Times New Roman"/>
          <w:b/>
          <w:bCs/>
          <w:spacing w:val="-3"/>
        </w:rPr>
        <w:t>PENNSYLVANIA PUBLIC UTILITY COMMISSION</w:t>
      </w:r>
    </w:p>
    <w:p w14:paraId="5ECB4127" w14:textId="77777777" w:rsidR="00571360" w:rsidRPr="008E2D3C" w:rsidRDefault="00571360" w:rsidP="00571360">
      <w:pPr>
        <w:tabs>
          <w:tab w:val="left" w:pos="-720"/>
        </w:tabs>
        <w:suppressAutoHyphens/>
        <w:ind w:firstLine="1440"/>
        <w:rPr>
          <w:rFonts w:ascii="Times New Roman" w:hAnsi="Times New Roman" w:cs="Times New Roman"/>
          <w:spacing w:val="-3"/>
        </w:rPr>
      </w:pPr>
    </w:p>
    <w:p w14:paraId="368F68B5" w14:textId="77777777" w:rsidR="00571360" w:rsidRPr="008E2D3C" w:rsidRDefault="00571360" w:rsidP="00571360">
      <w:pPr>
        <w:tabs>
          <w:tab w:val="left" w:pos="-720"/>
        </w:tabs>
        <w:suppressAutoHyphens/>
        <w:ind w:firstLine="1440"/>
        <w:rPr>
          <w:rFonts w:ascii="Times New Roman" w:hAnsi="Times New Roman" w:cs="Times New Roman"/>
          <w:spacing w:val="-3"/>
        </w:rPr>
      </w:pPr>
    </w:p>
    <w:p w14:paraId="36B0C50A" w14:textId="77777777" w:rsidR="00571360" w:rsidRPr="008E2D3C" w:rsidRDefault="00571360" w:rsidP="00571360">
      <w:pPr>
        <w:tabs>
          <w:tab w:val="left" w:pos="-720"/>
        </w:tabs>
        <w:suppressAutoHyphens/>
        <w:ind w:firstLine="1440"/>
        <w:rPr>
          <w:rFonts w:ascii="Times New Roman" w:hAnsi="Times New Roman" w:cs="Times New Roman"/>
          <w:spacing w:val="-3"/>
        </w:rPr>
      </w:pPr>
    </w:p>
    <w:p w14:paraId="3683EFF1" w14:textId="632813EE" w:rsidR="00571360" w:rsidRPr="008E2D3C" w:rsidRDefault="00571360" w:rsidP="00571360">
      <w:pPr>
        <w:tabs>
          <w:tab w:val="left" w:pos="-720"/>
          <w:tab w:val="left" w:pos="720"/>
          <w:tab w:val="left" w:pos="5040"/>
          <w:tab w:val="left" w:pos="6480"/>
        </w:tabs>
        <w:suppressAutoHyphens/>
        <w:jc w:val="both"/>
        <w:rPr>
          <w:rFonts w:ascii="Times New Roman" w:hAnsi="Times New Roman" w:cs="Times New Roman"/>
          <w:spacing w:val="-3"/>
        </w:rPr>
      </w:pPr>
      <w:r w:rsidRPr="008E2D3C">
        <w:rPr>
          <w:rFonts w:ascii="Times New Roman" w:hAnsi="Times New Roman" w:cs="Times New Roman"/>
          <w:spacing w:val="-3"/>
        </w:rPr>
        <w:t>Valerie Gregory</w:t>
      </w:r>
      <w:r w:rsidRPr="008E2D3C">
        <w:rPr>
          <w:rFonts w:ascii="Times New Roman" w:hAnsi="Times New Roman" w:cs="Times New Roman"/>
          <w:spacing w:val="-3"/>
        </w:rPr>
        <w:tab/>
        <w:t>:</w:t>
      </w:r>
    </w:p>
    <w:p w14:paraId="7E98CC2F" w14:textId="77777777" w:rsidR="00571360" w:rsidRPr="008E2D3C" w:rsidRDefault="00571360" w:rsidP="00571360">
      <w:pPr>
        <w:tabs>
          <w:tab w:val="left" w:pos="-720"/>
          <w:tab w:val="left" w:pos="720"/>
          <w:tab w:val="left" w:pos="5040"/>
          <w:tab w:val="left" w:pos="6480"/>
        </w:tabs>
        <w:suppressAutoHyphens/>
        <w:jc w:val="both"/>
        <w:rPr>
          <w:rFonts w:ascii="Times New Roman" w:hAnsi="Times New Roman" w:cs="Times New Roman"/>
          <w:spacing w:val="-3"/>
        </w:rPr>
      </w:pPr>
      <w:r w:rsidRPr="008E2D3C">
        <w:rPr>
          <w:rFonts w:ascii="Times New Roman" w:hAnsi="Times New Roman" w:cs="Times New Roman"/>
          <w:spacing w:val="-3"/>
        </w:rPr>
        <w:tab/>
      </w:r>
      <w:r w:rsidRPr="008E2D3C">
        <w:rPr>
          <w:rFonts w:ascii="Times New Roman" w:hAnsi="Times New Roman" w:cs="Times New Roman"/>
          <w:spacing w:val="-3"/>
        </w:rPr>
        <w:tab/>
        <w:t>:</w:t>
      </w:r>
    </w:p>
    <w:p w14:paraId="46DE2CE5" w14:textId="19CAE10D" w:rsidR="00571360" w:rsidRPr="008E2D3C" w:rsidRDefault="00571360" w:rsidP="00571360">
      <w:pPr>
        <w:tabs>
          <w:tab w:val="left" w:pos="-720"/>
          <w:tab w:val="left" w:pos="720"/>
          <w:tab w:val="left" w:pos="5040"/>
          <w:tab w:val="left" w:pos="6480"/>
        </w:tabs>
        <w:suppressAutoHyphens/>
        <w:jc w:val="both"/>
        <w:rPr>
          <w:rFonts w:ascii="Times New Roman" w:hAnsi="Times New Roman" w:cs="Times New Roman"/>
          <w:spacing w:val="-3"/>
        </w:rPr>
      </w:pPr>
      <w:r w:rsidRPr="008E2D3C">
        <w:rPr>
          <w:rFonts w:ascii="Times New Roman" w:hAnsi="Times New Roman" w:cs="Times New Roman"/>
          <w:spacing w:val="-3"/>
        </w:rPr>
        <w:tab/>
        <w:t>v.</w:t>
      </w:r>
      <w:r w:rsidRPr="008E2D3C">
        <w:rPr>
          <w:rFonts w:ascii="Times New Roman" w:hAnsi="Times New Roman" w:cs="Times New Roman"/>
          <w:spacing w:val="-3"/>
        </w:rPr>
        <w:tab/>
        <w:t>:</w:t>
      </w:r>
      <w:r w:rsidRPr="008E2D3C">
        <w:rPr>
          <w:rFonts w:ascii="Times New Roman" w:hAnsi="Times New Roman" w:cs="Times New Roman"/>
          <w:spacing w:val="-3"/>
        </w:rPr>
        <w:tab/>
      </w:r>
      <w:r w:rsidR="00625ADF" w:rsidRPr="008E2D3C">
        <w:rPr>
          <w:rFonts w:ascii="Times New Roman" w:hAnsi="Times New Roman" w:cs="Times New Roman"/>
          <w:spacing w:val="-3"/>
        </w:rPr>
        <w:t>F</w:t>
      </w:r>
      <w:r w:rsidRPr="008E2D3C">
        <w:rPr>
          <w:rFonts w:ascii="Times New Roman" w:hAnsi="Times New Roman" w:cs="Times New Roman"/>
          <w:spacing w:val="-3"/>
        </w:rPr>
        <w:t>-2022-3033630</w:t>
      </w:r>
    </w:p>
    <w:p w14:paraId="546D36EA" w14:textId="77777777" w:rsidR="00571360" w:rsidRPr="008E2D3C" w:rsidRDefault="00571360" w:rsidP="00571360">
      <w:pPr>
        <w:tabs>
          <w:tab w:val="left" w:pos="-720"/>
          <w:tab w:val="left" w:pos="720"/>
          <w:tab w:val="left" w:pos="5040"/>
          <w:tab w:val="left" w:pos="6480"/>
        </w:tabs>
        <w:suppressAutoHyphens/>
        <w:jc w:val="both"/>
        <w:rPr>
          <w:rFonts w:ascii="Times New Roman" w:hAnsi="Times New Roman" w:cs="Times New Roman"/>
          <w:spacing w:val="-3"/>
        </w:rPr>
      </w:pPr>
      <w:r w:rsidRPr="008E2D3C">
        <w:rPr>
          <w:rFonts w:ascii="Times New Roman" w:hAnsi="Times New Roman" w:cs="Times New Roman"/>
          <w:spacing w:val="-3"/>
        </w:rPr>
        <w:tab/>
      </w:r>
      <w:r w:rsidRPr="008E2D3C">
        <w:rPr>
          <w:rFonts w:ascii="Times New Roman" w:hAnsi="Times New Roman" w:cs="Times New Roman"/>
          <w:spacing w:val="-3"/>
        </w:rPr>
        <w:tab/>
        <w:t>:</w:t>
      </w:r>
    </w:p>
    <w:p w14:paraId="7CE09428" w14:textId="12A9370E" w:rsidR="00571360" w:rsidRPr="008E2D3C" w:rsidRDefault="00571360" w:rsidP="00571360">
      <w:pPr>
        <w:tabs>
          <w:tab w:val="left" w:pos="-720"/>
          <w:tab w:val="left" w:pos="720"/>
          <w:tab w:val="left" w:pos="5040"/>
          <w:tab w:val="left" w:pos="6480"/>
        </w:tabs>
        <w:suppressAutoHyphens/>
        <w:jc w:val="both"/>
        <w:rPr>
          <w:rFonts w:ascii="Times New Roman" w:hAnsi="Times New Roman" w:cs="Times New Roman"/>
          <w:spacing w:val="-3"/>
        </w:rPr>
      </w:pPr>
      <w:r w:rsidRPr="008E2D3C">
        <w:rPr>
          <w:rFonts w:ascii="Times New Roman" w:hAnsi="Times New Roman" w:cs="Times New Roman"/>
          <w:spacing w:val="-3"/>
        </w:rPr>
        <w:t>Philadelphia Gas Works</w:t>
      </w:r>
      <w:r w:rsidRPr="008E2D3C">
        <w:rPr>
          <w:rFonts w:ascii="Times New Roman" w:hAnsi="Times New Roman" w:cs="Times New Roman"/>
          <w:spacing w:val="-3"/>
        </w:rPr>
        <w:tab/>
        <w:t>:</w:t>
      </w:r>
    </w:p>
    <w:p w14:paraId="4EA0CAFA" w14:textId="77777777" w:rsidR="00571360" w:rsidRPr="008E2D3C" w:rsidRDefault="00571360" w:rsidP="00571360">
      <w:pPr>
        <w:tabs>
          <w:tab w:val="left" w:pos="-720"/>
          <w:tab w:val="left" w:pos="5040"/>
        </w:tabs>
        <w:suppressAutoHyphens/>
        <w:jc w:val="both"/>
        <w:rPr>
          <w:rFonts w:ascii="Times New Roman" w:hAnsi="Times New Roman" w:cs="Times New Roman"/>
          <w:spacing w:val="-3"/>
        </w:rPr>
      </w:pPr>
    </w:p>
    <w:p w14:paraId="0997A9D2" w14:textId="77777777" w:rsidR="00571360" w:rsidRPr="008E2D3C" w:rsidRDefault="00571360" w:rsidP="00571360">
      <w:pPr>
        <w:tabs>
          <w:tab w:val="left" w:pos="-720"/>
          <w:tab w:val="left" w:pos="5040"/>
        </w:tabs>
        <w:suppressAutoHyphens/>
        <w:jc w:val="both"/>
        <w:rPr>
          <w:rFonts w:ascii="Times New Roman" w:hAnsi="Times New Roman" w:cs="Times New Roman"/>
          <w:spacing w:val="-3"/>
        </w:rPr>
      </w:pPr>
    </w:p>
    <w:p w14:paraId="1A5A9E54" w14:textId="77777777" w:rsidR="00571360" w:rsidRPr="008E2D3C" w:rsidRDefault="00571360" w:rsidP="00571360">
      <w:pPr>
        <w:tabs>
          <w:tab w:val="left" w:pos="-720"/>
          <w:tab w:val="left" w:pos="5040"/>
        </w:tabs>
        <w:suppressAutoHyphens/>
        <w:jc w:val="both"/>
        <w:rPr>
          <w:rFonts w:ascii="Times New Roman" w:hAnsi="Times New Roman" w:cs="Times New Roman"/>
          <w:spacing w:val="-3"/>
        </w:rPr>
      </w:pPr>
    </w:p>
    <w:p w14:paraId="2178C978" w14:textId="76C50E51" w:rsidR="00C977CA" w:rsidRPr="008E2D3C" w:rsidRDefault="00571360" w:rsidP="00C977CA">
      <w:pPr>
        <w:tabs>
          <w:tab w:val="left" w:pos="204"/>
        </w:tabs>
        <w:jc w:val="center"/>
        <w:rPr>
          <w:rFonts w:ascii="Times New Roman" w:hAnsi="Times New Roman" w:cs="Times New Roman"/>
          <w:b/>
          <w:bCs/>
          <w:u w:val="single"/>
        </w:rPr>
      </w:pPr>
      <w:r w:rsidRPr="008E2D3C">
        <w:rPr>
          <w:rFonts w:ascii="Times New Roman" w:hAnsi="Times New Roman" w:cs="Times New Roman"/>
          <w:b/>
          <w:bCs/>
          <w:u w:val="single"/>
        </w:rPr>
        <w:t xml:space="preserve">INTERIM ORDER GRANTING </w:t>
      </w:r>
    </w:p>
    <w:p w14:paraId="31D5C8FA" w14:textId="2B081109" w:rsidR="00571360" w:rsidRPr="008E2D3C" w:rsidRDefault="00571360" w:rsidP="00847032">
      <w:pPr>
        <w:tabs>
          <w:tab w:val="left" w:pos="204"/>
        </w:tabs>
        <w:jc w:val="center"/>
        <w:rPr>
          <w:rFonts w:ascii="Times New Roman" w:hAnsi="Times New Roman" w:cs="Times New Roman"/>
          <w:b/>
          <w:bCs/>
          <w:u w:val="single"/>
        </w:rPr>
      </w:pPr>
      <w:r w:rsidRPr="008E2D3C">
        <w:rPr>
          <w:rFonts w:ascii="Times New Roman" w:hAnsi="Times New Roman" w:cs="Times New Roman"/>
          <w:b/>
          <w:bCs/>
          <w:u w:val="single"/>
        </w:rPr>
        <w:t>RESPONDENT’S PRELIMINARY OBJECTION</w:t>
      </w:r>
    </w:p>
    <w:p w14:paraId="1EBBA081" w14:textId="77777777" w:rsidR="00571360" w:rsidRPr="008E2D3C" w:rsidRDefault="00571360" w:rsidP="00847032">
      <w:pPr>
        <w:pStyle w:val="ParaTab1"/>
        <w:tabs>
          <w:tab w:val="num" w:pos="0"/>
          <w:tab w:val="left" w:pos="2070"/>
        </w:tabs>
        <w:spacing w:line="360" w:lineRule="auto"/>
        <w:jc w:val="center"/>
        <w:rPr>
          <w:rFonts w:ascii="Times New Roman" w:hAnsi="Times New Roman" w:cs="Times New Roman"/>
          <w:spacing w:val="-3"/>
        </w:rPr>
      </w:pPr>
    </w:p>
    <w:p w14:paraId="1F093887" w14:textId="73FEB4CE"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r w:rsidRPr="008E2D3C">
        <w:rPr>
          <w:rFonts w:ascii="Times New Roman" w:hAnsi="Times New Roman" w:cs="Times New Roman"/>
          <w:spacing w:val="-3"/>
        </w:rPr>
        <w:t>On June 9, 2022, Valerie Gregory (</w:t>
      </w:r>
      <w:r w:rsidR="0080730B" w:rsidRPr="008E2D3C">
        <w:rPr>
          <w:rFonts w:ascii="Times New Roman" w:hAnsi="Times New Roman" w:cs="Times New Roman"/>
          <w:spacing w:val="-3"/>
        </w:rPr>
        <w:t xml:space="preserve">Ms. Gregory or </w:t>
      </w:r>
      <w:r w:rsidRPr="008E2D3C">
        <w:rPr>
          <w:rFonts w:ascii="Times New Roman" w:hAnsi="Times New Roman" w:cs="Times New Roman"/>
          <w:spacing w:val="-3"/>
        </w:rPr>
        <w:t xml:space="preserve">Complainant) filed a </w:t>
      </w:r>
      <w:r w:rsidR="00C14BE4" w:rsidRPr="008E2D3C">
        <w:rPr>
          <w:rFonts w:ascii="Times New Roman" w:hAnsi="Times New Roman" w:cs="Times New Roman"/>
          <w:spacing w:val="-3"/>
        </w:rPr>
        <w:t>F</w:t>
      </w:r>
      <w:r w:rsidRPr="008E2D3C">
        <w:rPr>
          <w:rFonts w:ascii="Times New Roman" w:hAnsi="Times New Roman" w:cs="Times New Roman"/>
          <w:spacing w:val="-3"/>
        </w:rPr>
        <w:t xml:space="preserve">ormal Complaint (Complaint) against Philadelphia Gas Works (PGW or Respondent) with the Pennsylvania Public Utility Commission (Commission).  In the Complaint, the Complainant indicated that </w:t>
      </w:r>
      <w:r w:rsidR="002230DC" w:rsidRPr="008E2D3C">
        <w:rPr>
          <w:rFonts w:ascii="Times New Roman" w:hAnsi="Times New Roman" w:cs="Times New Roman"/>
          <w:spacing w:val="-3"/>
        </w:rPr>
        <w:t xml:space="preserve">PGW </w:t>
      </w:r>
      <w:r w:rsidR="00803000" w:rsidRPr="008E2D3C">
        <w:rPr>
          <w:rFonts w:ascii="Times New Roman" w:hAnsi="Times New Roman" w:cs="Times New Roman"/>
          <w:spacing w:val="-3"/>
        </w:rPr>
        <w:t xml:space="preserve">had or </w:t>
      </w:r>
      <w:r w:rsidR="002230DC" w:rsidRPr="008E2D3C">
        <w:rPr>
          <w:rFonts w:ascii="Times New Roman" w:hAnsi="Times New Roman" w:cs="Times New Roman"/>
          <w:spacing w:val="-3"/>
        </w:rPr>
        <w:t xml:space="preserve">was threatening to terminate service to her </w:t>
      </w:r>
      <w:r w:rsidR="00606DB3" w:rsidRPr="008E2D3C">
        <w:rPr>
          <w:rFonts w:ascii="Times New Roman" w:hAnsi="Times New Roman" w:cs="Times New Roman"/>
          <w:spacing w:val="-3"/>
        </w:rPr>
        <w:t xml:space="preserve">at </w:t>
      </w:r>
      <w:r w:rsidR="0080730B" w:rsidRPr="008E2D3C">
        <w:rPr>
          <w:rFonts w:ascii="Times New Roman" w:hAnsi="Times New Roman" w:cs="Times New Roman"/>
          <w:spacing w:val="-3"/>
        </w:rPr>
        <w:t xml:space="preserve">residence at </w:t>
      </w:r>
      <w:r w:rsidR="00606DB3" w:rsidRPr="008E2D3C">
        <w:rPr>
          <w:rFonts w:ascii="Times New Roman" w:hAnsi="Times New Roman" w:cs="Times New Roman"/>
          <w:spacing w:val="-3"/>
        </w:rPr>
        <w:t>5320 Akron St., Philadelphia, PA (Akron Service Address)</w:t>
      </w:r>
      <w:r w:rsidR="0080730B" w:rsidRPr="008E2D3C">
        <w:rPr>
          <w:rFonts w:ascii="Times New Roman" w:hAnsi="Times New Roman" w:cs="Times New Roman"/>
          <w:spacing w:val="-3"/>
        </w:rPr>
        <w:t xml:space="preserve">.  Ms. Gregory </w:t>
      </w:r>
      <w:r w:rsidR="004608A4" w:rsidRPr="008E2D3C">
        <w:rPr>
          <w:rFonts w:ascii="Times New Roman" w:hAnsi="Times New Roman" w:cs="Times New Roman"/>
          <w:spacing w:val="-3"/>
        </w:rPr>
        <w:t xml:space="preserve">alleged that she was improperly billed for </w:t>
      </w:r>
      <w:r w:rsidRPr="008E2D3C">
        <w:rPr>
          <w:rFonts w:ascii="Times New Roman" w:hAnsi="Times New Roman" w:cs="Times New Roman"/>
          <w:spacing w:val="-3"/>
        </w:rPr>
        <w:t xml:space="preserve">charges arising out of gas </w:t>
      </w:r>
      <w:r w:rsidR="00BD16BC" w:rsidRPr="008E2D3C">
        <w:rPr>
          <w:rFonts w:ascii="Times New Roman" w:hAnsi="Times New Roman" w:cs="Times New Roman"/>
          <w:spacing w:val="-3"/>
        </w:rPr>
        <w:t>service provide</w:t>
      </w:r>
      <w:r w:rsidR="00BC14EF" w:rsidRPr="008E2D3C">
        <w:rPr>
          <w:rFonts w:ascii="Times New Roman" w:hAnsi="Times New Roman" w:cs="Times New Roman"/>
          <w:spacing w:val="-3"/>
        </w:rPr>
        <w:t>d</w:t>
      </w:r>
      <w:r w:rsidR="00BD16BC" w:rsidRPr="008E2D3C">
        <w:rPr>
          <w:rFonts w:ascii="Times New Roman" w:hAnsi="Times New Roman" w:cs="Times New Roman"/>
          <w:spacing w:val="-3"/>
        </w:rPr>
        <w:t xml:space="preserve"> to </w:t>
      </w:r>
      <w:r w:rsidR="00953BB9" w:rsidRPr="008E2D3C">
        <w:rPr>
          <w:rFonts w:ascii="Times New Roman" w:hAnsi="Times New Roman" w:cs="Times New Roman"/>
          <w:spacing w:val="-3"/>
        </w:rPr>
        <w:t xml:space="preserve">her </w:t>
      </w:r>
      <w:r w:rsidR="002F7096">
        <w:rPr>
          <w:rFonts w:ascii="Times New Roman" w:hAnsi="Times New Roman" w:cs="Times New Roman"/>
          <w:spacing w:val="-3"/>
        </w:rPr>
        <w:t xml:space="preserve">at her </w:t>
      </w:r>
      <w:r w:rsidR="00107EBD">
        <w:rPr>
          <w:rFonts w:ascii="Times New Roman" w:hAnsi="Times New Roman" w:cs="Times New Roman"/>
          <w:spacing w:val="-3"/>
        </w:rPr>
        <w:t>prio</w:t>
      </w:r>
      <w:r w:rsidR="002F7096">
        <w:rPr>
          <w:rFonts w:ascii="Times New Roman" w:hAnsi="Times New Roman" w:cs="Times New Roman"/>
          <w:spacing w:val="-3"/>
        </w:rPr>
        <w:t xml:space="preserve">r residence, </w:t>
      </w:r>
      <w:r w:rsidR="00953BB9" w:rsidRPr="008E2D3C">
        <w:rPr>
          <w:rFonts w:ascii="Times New Roman" w:hAnsi="Times New Roman" w:cs="Times New Roman"/>
          <w:spacing w:val="-3"/>
        </w:rPr>
        <w:t xml:space="preserve">a rental property </w:t>
      </w:r>
      <w:r w:rsidR="00B6694B" w:rsidRPr="008E2D3C">
        <w:rPr>
          <w:rFonts w:ascii="Times New Roman" w:hAnsi="Times New Roman" w:cs="Times New Roman"/>
          <w:spacing w:val="-3"/>
        </w:rPr>
        <w:t xml:space="preserve">at </w:t>
      </w:r>
      <w:r w:rsidR="00B6694B" w:rsidRPr="008E2D3C">
        <w:rPr>
          <w:rFonts w:ascii="Times New Roman" w:eastAsiaTheme="minorHAnsi" w:hAnsi="Times New Roman" w:cs="Times New Roman"/>
        </w:rPr>
        <w:t>5330 Crowson St.</w:t>
      </w:r>
      <w:r w:rsidR="00C660C5" w:rsidRPr="008E2D3C">
        <w:rPr>
          <w:rFonts w:ascii="Times New Roman" w:eastAsiaTheme="minorHAnsi" w:hAnsi="Times New Roman" w:cs="Times New Roman"/>
        </w:rPr>
        <w:t xml:space="preserve">, Philadelphia, PA </w:t>
      </w:r>
      <w:r w:rsidR="00C639DD" w:rsidRPr="008E2D3C">
        <w:rPr>
          <w:rFonts w:ascii="Times New Roman" w:eastAsiaTheme="minorHAnsi" w:hAnsi="Times New Roman" w:cs="Times New Roman"/>
        </w:rPr>
        <w:t>(Crowson</w:t>
      </w:r>
      <w:r w:rsidR="003E616D" w:rsidRPr="008E2D3C">
        <w:rPr>
          <w:rFonts w:ascii="Times New Roman" w:eastAsiaTheme="minorHAnsi" w:hAnsi="Times New Roman" w:cs="Times New Roman"/>
        </w:rPr>
        <w:t xml:space="preserve"> </w:t>
      </w:r>
      <w:r w:rsidR="00F61C73" w:rsidRPr="008E2D3C">
        <w:rPr>
          <w:rFonts w:ascii="Times New Roman" w:eastAsiaTheme="minorHAnsi" w:hAnsi="Times New Roman" w:cs="Times New Roman"/>
        </w:rPr>
        <w:t>S</w:t>
      </w:r>
      <w:r w:rsidR="003E616D" w:rsidRPr="008E2D3C">
        <w:rPr>
          <w:rFonts w:ascii="Times New Roman" w:eastAsiaTheme="minorHAnsi" w:hAnsi="Times New Roman" w:cs="Times New Roman"/>
        </w:rPr>
        <w:t xml:space="preserve">ervice </w:t>
      </w:r>
      <w:r w:rsidR="00F61C73" w:rsidRPr="008E2D3C">
        <w:rPr>
          <w:rFonts w:ascii="Times New Roman" w:eastAsiaTheme="minorHAnsi" w:hAnsi="Times New Roman" w:cs="Times New Roman"/>
        </w:rPr>
        <w:t>A</w:t>
      </w:r>
      <w:r w:rsidR="003E616D" w:rsidRPr="008E2D3C">
        <w:rPr>
          <w:rFonts w:ascii="Times New Roman" w:eastAsiaTheme="minorHAnsi" w:hAnsi="Times New Roman" w:cs="Times New Roman"/>
        </w:rPr>
        <w:t xml:space="preserve">ddress) </w:t>
      </w:r>
      <w:r w:rsidR="00953BB9" w:rsidRPr="008E2D3C">
        <w:rPr>
          <w:rFonts w:ascii="Times New Roman" w:hAnsi="Times New Roman" w:cs="Times New Roman"/>
          <w:spacing w:val="-3"/>
        </w:rPr>
        <w:t xml:space="preserve">because </w:t>
      </w:r>
      <w:r w:rsidR="00484AA3" w:rsidRPr="008E2D3C">
        <w:rPr>
          <w:rFonts w:ascii="Times New Roman" w:hAnsi="Times New Roman" w:cs="Times New Roman"/>
          <w:spacing w:val="-3"/>
        </w:rPr>
        <w:t>t</w:t>
      </w:r>
      <w:r w:rsidR="00953BB9" w:rsidRPr="008E2D3C">
        <w:rPr>
          <w:rFonts w:ascii="Times New Roman" w:hAnsi="Times New Roman" w:cs="Times New Roman"/>
          <w:spacing w:val="-3"/>
        </w:rPr>
        <w:t xml:space="preserve">he </w:t>
      </w:r>
      <w:r w:rsidR="00484AA3" w:rsidRPr="008E2D3C">
        <w:rPr>
          <w:rFonts w:ascii="Times New Roman" w:hAnsi="Times New Roman" w:cs="Times New Roman"/>
          <w:spacing w:val="-3"/>
        </w:rPr>
        <w:t xml:space="preserve">landlord </w:t>
      </w:r>
      <w:r w:rsidR="00E7008F" w:rsidRPr="008E2D3C">
        <w:rPr>
          <w:rFonts w:ascii="Times New Roman" w:hAnsi="Times New Roman" w:cs="Times New Roman"/>
          <w:spacing w:val="-3"/>
        </w:rPr>
        <w:t xml:space="preserve">of that location </w:t>
      </w:r>
      <w:r w:rsidR="00953BB9" w:rsidRPr="008E2D3C">
        <w:rPr>
          <w:rFonts w:ascii="Times New Roman" w:hAnsi="Times New Roman" w:cs="Times New Roman"/>
          <w:spacing w:val="-3"/>
        </w:rPr>
        <w:t>w</w:t>
      </w:r>
      <w:r w:rsidR="00C660C5" w:rsidRPr="008E2D3C">
        <w:rPr>
          <w:rFonts w:ascii="Times New Roman" w:hAnsi="Times New Roman" w:cs="Times New Roman"/>
          <w:spacing w:val="-3"/>
        </w:rPr>
        <w:t>a</w:t>
      </w:r>
      <w:r w:rsidR="00953BB9" w:rsidRPr="008E2D3C">
        <w:rPr>
          <w:rFonts w:ascii="Times New Roman" w:hAnsi="Times New Roman" w:cs="Times New Roman"/>
          <w:spacing w:val="-3"/>
        </w:rPr>
        <w:t xml:space="preserve">s </w:t>
      </w:r>
      <w:r w:rsidR="00CD11D1" w:rsidRPr="008E2D3C">
        <w:rPr>
          <w:rFonts w:ascii="Times New Roman" w:hAnsi="Times New Roman" w:cs="Times New Roman"/>
          <w:spacing w:val="-3"/>
        </w:rPr>
        <w:t>responsible for utilit</w:t>
      </w:r>
      <w:r w:rsidR="00C639DD" w:rsidRPr="008E2D3C">
        <w:rPr>
          <w:rFonts w:ascii="Times New Roman" w:hAnsi="Times New Roman" w:cs="Times New Roman"/>
          <w:spacing w:val="-3"/>
        </w:rPr>
        <w:t xml:space="preserve">y charges </w:t>
      </w:r>
      <w:r w:rsidR="00CD11D1" w:rsidRPr="008E2D3C">
        <w:rPr>
          <w:rFonts w:ascii="Times New Roman" w:hAnsi="Times New Roman" w:cs="Times New Roman"/>
          <w:spacing w:val="-3"/>
        </w:rPr>
        <w:t>and</w:t>
      </w:r>
      <w:r w:rsidR="00E7008F" w:rsidRPr="008E2D3C">
        <w:rPr>
          <w:rFonts w:ascii="Times New Roman" w:hAnsi="Times New Roman" w:cs="Times New Roman"/>
          <w:spacing w:val="-3"/>
        </w:rPr>
        <w:t xml:space="preserve"> the service account at th</w:t>
      </w:r>
      <w:r w:rsidR="004E0AD3" w:rsidRPr="008E2D3C">
        <w:rPr>
          <w:rFonts w:ascii="Times New Roman" w:hAnsi="Times New Roman" w:cs="Times New Roman"/>
          <w:spacing w:val="-3"/>
        </w:rPr>
        <w:t>e</w:t>
      </w:r>
      <w:r w:rsidR="00E7008F" w:rsidRPr="008E2D3C">
        <w:rPr>
          <w:rFonts w:ascii="Times New Roman" w:hAnsi="Times New Roman" w:cs="Times New Roman"/>
          <w:spacing w:val="-3"/>
        </w:rPr>
        <w:t xml:space="preserve"> </w:t>
      </w:r>
      <w:r w:rsidR="004E0AD3" w:rsidRPr="008E2D3C">
        <w:rPr>
          <w:rFonts w:ascii="Times New Roman" w:eastAsiaTheme="minorHAnsi" w:hAnsi="Times New Roman" w:cs="Times New Roman"/>
        </w:rPr>
        <w:t>Crowson Service Address</w:t>
      </w:r>
      <w:r w:rsidR="00E7008F" w:rsidRPr="008E2D3C">
        <w:rPr>
          <w:rFonts w:ascii="Times New Roman" w:hAnsi="Times New Roman" w:cs="Times New Roman"/>
          <w:spacing w:val="-3"/>
        </w:rPr>
        <w:t xml:space="preserve"> was not in her name</w:t>
      </w:r>
      <w:r w:rsidRPr="008E2D3C">
        <w:rPr>
          <w:rFonts w:ascii="Times New Roman" w:hAnsi="Times New Roman" w:cs="Times New Roman"/>
          <w:spacing w:val="-3"/>
        </w:rPr>
        <w:t xml:space="preserve">.  As relief, the Complainant requested that </w:t>
      </w:r>
      <w:r w:rsidR="00E30347" w:rsidRPr="008E2D3C">
        <w:rPr>
          <w:rFonts w:ascii="Times New Roman" w:hAnsi="Times New Roman" w:cs="Times New Roman"/>
          <w:spacing w:val="-3"/>
        </w:rPr>
        <w:t xml:space="preserve">she be relieved </w:t>
      </w:r>
      <w:r w:rsidR="008E2603" w:rsidRPr="008E2D3C">
        <w:rPr>
          <w:rFonts w:ascii="Times New Roman" w:hAnsi="Times New Roman" w:cs="Times New Roman"/>
          <w:spacing w:val="-3"/>
        </w:rPr>
        <w:t xml:space="preserve">of any obligation to pay for gas </w:t>
      </w:r>
      <w:r w:rsidR="00894D2A" w:rsidRPr="008E2D3C">
        <w:rPr>
          <w:rFonts w:ascii="Times New Roman" w:hAnsi="Times New Roman" w:cs="Times New Roman"/>
          <w:spacing w:val="-3"/>
        </w:rPr>
        <w:t>usage</w:t>
      </w:r>
      <w:r w:rsidR="00BD16BC" w:rsidRPr="008E2D3C">
        <w:rPr>
          <w:rFonts w:ascii="Times New Roman" w:hAnsi="Times New Roman" w:cs="Times New Roman"/>
          <w:spacing w:val="-3"/>
        </w:rPr>
        <w:t xml:space="preserve"> </w:t>
      </w:r>
      <w:r w:rsidR="008C5D50" w:rsidRPr="008E2D3C">
        <w:rPr>
          <w:rFonts w:ascii="Times New Roman" w:hAnsi="Times New Roman" w:cs="Times New Roman"/>
          <w:spacing w:val="-3"/>
        </w:rPr>
        <w:t xml:space="preserve">at the </w:t>
      </w:r>
      <w:r w:rsidR="003E616D" w:rsidRPr="008E2D3C">
        <w:rPr>
          <w:rFonts w:ascii="Times New Roman" w:eastAsiaTheme="minorHAnsi" w:hAnsi="Times New Roman" w:cs="Times New Roman"/>
        </w:rPr>
        <w:t>Crowson service address</w:t>
      </w:r>
      <w:r w:rsidR="003E616D" w:rsidRPr="008E2D3C">
        <w:rPr>
          <w:rFonts w:ascii="Times New Roman" w:hAnsi="Times New Roman" w:cs="Times New Roman"/>
          <w:spacing w:val="-3"/>
        </w:rPr>
        <w:t xml:space="preserve"> </w:t>
      </w:r>
      <w:r w:rsidR="008C5D50" w:rsidRPr="008E2D3C">
        <w:rPr>
          <w:rFonts w:ascii="Times New Roman" w:hAnsi="Times New Roman" w:cs="Times New Roman"/>
          <w:spacing w:val="-3"/>
        </w:rPr>
        <w:t xml:space="preserve">or </w:t>
      </w:r>
      <w:r w:rsidR="00785A4B">
        <w:rPr>
          <w:rFonts w:ascii="Times New Roman" w:hAnsi="Times New Roman" w:cs="Times New Roman"/>
          <w:spacing w:val="-3"/>
        </w:rPr>
        <w:t xml:space="preserve">granted </w:t>
      </w:r>
      <w:r w:rsidR="008C5D50" w:rsidRPr="008E2D3C">
        <w:rPr>
          <w:rFonts w:ascii="Times New Roman" w:hAnsi="Times New Roman" w:cs="Times New Roman"/>
          <w:spacing w:val="-3"/>
        </w:rPr>
        <w:t xml:space="preserve">another payment arrangement.  </w:t>
      </w:r>
      <w:r w:rsidRPr="008E2D3C">
        <w:rPr>
          <w:rFonts w:ascii="Times New Roman" w:hAnsi="Times New Roman" w:cs="Times New Roman"/>
          <w:spacing w:val="-3"/>
        </w:rPr>
        <w:t xml:space="preserve">   </w:t>
      </w:r>
    </w:p>
    <w:p w14:paraId="3FCA4758" w14:textId="77777777"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p>
    <w:p w14:paraId="66AD06C0" w14:textId="1B6025B0" w:rsidR="005167F3" w:rsidRPr="008E2D3C" w:rsidRDefault="00571360" w:rsidP="00571360">
      <w:pPr>
        <w:pStyle w:val="ParaTab1"/>
        <w:tabs>
          <w:tab w:val="num" w:pos="0"/>
          <w:tab w:val="left" w:pos="2070"/>
        </w:tabs>
        <w:spacing w:line="360" w:lineRule="auto"/>
        <w:rPr>
          <w:rFonts w:ascii="Times New Roman" w:hAnsi="Times New Roman" w:cs="Times New Roman"/>
          <w:spacing w:val="-3"/>
        </w:rPr>
      </w:pPr>
      <w:r w:rsidRPr="008E2D3C">
        <w:rPr>
          <w:rFonts w:ascii="Times New Roman" w:hAnsi="Times New Roman" w:cs="Times New Roman"/>
          <w:spacing w:val="-3"/>
        </w:rPr>
        <w:t>On J</w:t>
      </w:r>
      <w:r w:rsidR="00EE70B3" w:rsidRPr="008E2D3C">
        <w:rPr>
          <w:rFonts w:ascii="Times New Roman" w:hAnsi="Times New Roman" w:cs="Times New Roman"/>
          <w:spacing w:val="-3"/>
        </w:rPr>
        <w:t xml:space="preserve">uly </w:t>
      </w:r>
      <w:r w:rsidRPr="008E2D3C">
        <w:rPr>
          <w:rFonts w:ascii="Times New Roman" w:hAnsi="Times New Roman" w:cs="Times New Roman"/>
          <w:spacing w:val="-3"/>
        </w:rPr>
        <w:t>2</w:t>
      </w:r>
      <w:r w:rsidR="00EE70B3" w:rsidRPr="008E2D3C">
        <w:rPr>
          <w:rFonts w:ascii="Times New Roman" w:hAnsi="Times New Roman" w:cs="Times New Roman"/>
          <w:spacing w:val="-3"/>
        </w:rPr>
        <w:t>8</w:t>
      </w:r>
      <w:r w:rsidRPr="008E2D3C">
        <w:rPr>
          <w:rFonts w:ascii="Times New Roman" w:hAnsi="Times New Roman" w:cs="Times New Roman"/>
          <w:spacing w:val="-3"/>
        </w:rPr>
        <w:t>, 202</w:t>
      </w:r>
      <w:r w:rsidR="00EE70B3" w:rsidRPr="008E2D3C">
        <w:rPr>
          <w:rFonts w:ascii="Times New Roman" w:hAnsi="Times New Roman" w:cs="Times New Roman"/>
          <w:spacing w:val="-3"/>
        </w:rPr>
        <w:t>2</w:t>
      </w:r>
      <w:r w:rsidRPr="008E2D3C">
        <w:rPr>
          <w:rFonts w:ascii="Times New Roman" w:hAnsi="Times New Roman" w:cs="Times New Roman"/>
          <w:spacing w:val="-3"/>
        </w:rPr>
        <w:t xml:space="preserve">, </w:t>
      </w:r>
      <w:r w:rsidR="00C75625" w:rsidRPr="008E2D3C">
        <w:rPr>
          <w:rFonts w:ascii="Times New Roman" w:hAnsi="Times New Roman" w:cs="Times New Roman"/>
          <w:spacing w:val="-3"/>
        </w:rPr>
        <w:t>the Respondent</w:t>
      </w:r>
      <w:r w:rsidR="00EE70B3" w:rsidRPr="008E2D3C">
        <w:rPr>
          <w:rFonts w:ascii="Times New Roman" w:hAnsi="Times New Roman" w:cs="Times New Roman"/>
          <w:spacing w:val="-3"/>
        </w:rPr>
        <w:t xml:space="preserve"> </w:t>
      </w:r>
      <w:r w:rsidRPr="008E2D3C">
        <w:rPr>
          <w:rFonts w:ascii="Times New Roman" w:hAnsi="Times New Roman" w:cs="Times New Roman"/>
          <w:spacing w:val="-3"/>
        </w:rPr>
        <w:t xml:space="preserve">filed an Answer </w:t>
      </w:r>
      <w:r w:rsidR="00CB7563" w:rsidRPr="008E2D3C">
        <w:rPr>
          <w:rFonts w:ascii="Times New Roman" w:hAnsi="Times New Roman" w:cs="Times New Roman"/>
          <w:spacing w:val="-3"/>
        </w:rPr>
        <w:t xml:space="preserve">with New Matter </w:t>
      </w:r>
      <w:r w:rsidR="00C14BE4" w:rsidRPr="008E2D3C">
        <w:rPr>
          <w:rFonts w:ascii="Times New Roman" w:hAnsi="Times New Roman" w:cs="Times New Roman"/>
          <w:spacing w:val="-3"/>
        </w:rPr>
        <w:t xml:space="preserve">(Answer) </w:t>
      </w:r>
      <w:r w:rsidRPr="008E2D3C">
        <w:rPr>
          <w:rFonts w:ascii="Times New Roman" w:hAnsi="Times New Roman" w:cs="Times New Roman"/>
          <w:spacing w:val="-3"/>
        </w:rPr>
        <w:t xml:space="preserve">denying all material allegations in the Complaint unless specifically admitted.  The Respondent denied </w:t>
      </w:r>
      <w:r w:rsidR="00942ADC" w:rsidRPr="008E2D3C">
        <w:rPr>
          <w:rFonts w:ascii="Times New Roman" w:hAnsi="Times New Roman" w:cs="Times New Roman"/>
          <w:spacing w:val="-3"/>
        </w:rPr>
        <w:t xml:space="preserve">that there were incorrect charges </w:t>
      </w:r>
      <w:r w:rsidR="00113EF4" w:rsidRPr="008E2D3C">
        <w:rPr>
          <w:rFonts w:ascii="Times New Roman" w:hAnsi="Times New Roman" w:cs="Times New Roman"/>
          <w:spacing w:val="-3"/>
        </w:rPr>
        <w:t>on the bill for service at the Akron Service Address</w:t>
      </w:r>
      <w:r w:rsidR="005167F3" w:rsidRPr="008E2D3C">
        <w:rPr>
          <w:rFonts w:ascii="Times New Roman" w:hAnsi="Times New Roman" w:cs="Times New Roman"/>
          <w:spacing w:val="-3"/>
        </w:rPr>
        <w:t xml:space="preserve">.  </w:t>
      </w:r>
      <w:r w:rsidR="00572105" w:rsidRPr="008E2D3C">
        <w:rPr>
          <w:rFonts w:ascii="Times New Roman" w:hAnsi="Times New Roman" w:cs="Times New Roman"/>
          <w:spacing w:val="-3"/>
        </w:rPr>
        <w:t>The Respondent</w:t>
      </w:r>
      <w:r w:rsidR="005167F3" w:rsidRPr="008E2D3C">
        <w:rPr>
          <w:rFonts w:ascii="Times New Roman" w:hAnsi="Times New Roman" w:cs="Times New Roman"/>
          <w:spacing w:val="-3"/>
        </w:rPr>
        <w:t xml:space="preserve"> averred that </w:t>
      </w:r>
      <w:r w:rsidR="00333015" w:rsidRPr="008E2D3C">
        <w:rPr>
          <w:rFonts w:ascii="Times New Roman" w:hAnsi="Times New Roman" w:cs="Times New Roman"/>
          <w:spacing w:val="-3"/>
        </w:rPr>
        <w:t xml:space="preserve">the </w:t>
      </w:r>
      <w:r w:rsidR="00333015" w:rsidRPr="008E2D3C">
        <w:rPr>
          <w:rFonts w:ascii="Times New Roman" w:hAnsi="Times New Roman" w:cs="Times New Roman"/>
        </w:rPr>
        <w:t xml:space="preserve">Complainant maintained gas service in her name at 5530 Crowson Street, Philadelphia, PA from October 29, </w:t>
      </w:r>
      <w:proofErr w:type="gramStart"/>
      <w:r w:rsidR="00333015" w:rsidRPr="008E2D3C">
        <w:rPr>
          <w:rFonts w:ascii="Times New Roman" w:hAnsi="Times New Roman" w:cs="Times New Roman"/>
        </w:rPr>
        <w:t>2004</w:t>
      </w:r>
      <w:proofErr w:type="gramEnd"/>
      <w:r w:rsidR="00333015" w:rsidRPr="008E2D3C">
        <w:rPr>
          <w:rFonts w:ascii="Times New Roman" w:hAnsi="Times New Roman" w:cs="Times New Roman"/>
        </w:rPr>
        <w:t xml:space="preserve"> through June 30, 2010</w:t>
      </w:r>
      <w:r w:rsidR="00C75625" w:rsidRPr="008E2D3C">
        <w:rPr>
          <w:rFonts w:ascii="Times New Roman" w:hAnsi="Times New Roman" w:cs="Times New Roman"/>
        </w:rPr>
        <w:t xml:space="preserve">, when </w:t>
      </w:r>
      <w:r w:rsidR="00EB6348" w:rsidRPr="008E2D3C">
        <w:rPr>
          <w:rFonts w:ascii="Times New Roman" w:hAnsi="Times New Roman" w:cs="Times New Roman"/>
        </w:rPr>
        <w:t>service</w:t>
      </w:r>
      <w:r w:rsidR="00C75625" w:rsidRPr="008E2D3C">
        <w:rPr>
          <w:rFonts w:ascii="Times New Roman" w:hAnsi="Times New Roman" w:cs="Times New Roman"/>
        </w:rPr>
        <w:t xml:space="preserve"> was terminated </w:t>
      </w:r>
      <w:r w:rsidR="008D2999" w:rsidRPr="008E2D3C">
        <w:rPr>
          <w:rFonts w:ascii="Times New Roman" w:hAnsi="Times New Roman" w:cs="Times New Roman"/>
        </w:rPr>
        <w:t>for</w:t>
      </w:r>
      <w:r w:rsidR="00C75625" w:rsidRPr="008E2D3C">
        <w:rPr>
          <w:rFonts w:ascii="Times New Roman" w:hAnsi="Times New Roman" w:cs="Times New Roman"/>
        </w:rPr>
        <w:t xml:space="preserve"> nonpayment</w:t>
      </w:r>
      <w:r w:rsidR="00333015" w:rsidRPr="008E2D3C">
        <w:rPr>
          <w:rFonts w:ascii="Times New Roman" w:hAnsi="Times New Roman" w:cs="Times New Roman"/>
        </w:rPr>
        <w:t>.</w:t>
      </w:r>
      <w:r w:rsidR="00C75625" w:rsidRPr="008E2D3C">
        <w:rPr>
          <w:rFonts w:ascii="Times New Roman" w:hAnsi="Times New Roman" w:cs="Times New Roman"/>
        </w:rPr>
        <w:t xml:space="preserve">  </w:t>
      </w:r>
      <w:r w:rsidR="00572105" w:rsidRPr="008E2D3C">
        <w:rPr>
          <w:rFonts w:ascii="Times New Roman" w:hAnsi="Times New Roman" w:cs="Times New Roman"/>
          <w:spacing w:val="-3"/>
        </w:rPr>
        <w:t xml:space="preserve">The Respondent also averred that </w:t>
      </w:r>
      <w:r w:rsidR="00371FAE" w:rsidRPr="008E2D3C">
        <w:rPr>
          <w:rFonts w:ascii="Times New Roman" w:hAnsi="Times New Roman" w:cs="Times New Roman"/>
          <w:spacing w:val="-3"/>
        </w:rPr>
        <w:t>in February 2012,</w:t>
      </w:r>
      <w:r w:rsidR="00371FAE">
        <w:rPr>
          <w:rFonts w:ascii="Times New Roman" w:hAnsi="Times New Roman" w:cs="Times New Roman"/>
          <w:spacing w:val="-3"/>
        </w:rPr>
        <w:t xml:space="preserve"> </w:t>
      </w:r>
      <w:r w:rsidR="003D082E" w:rsidRPr="008E2D3C">
        <w:rPr>
          <w:rFonts w:ascii="Times New Roman" w:hAnsi="Times New Roman" w:cs="Times New Roman"/>
          <w:spacing w:val="-3"/>
        </w:rPr>
        <w:t xml:space="preserve">when the Complainant </w:t>
      </w:r>
      <w:r w:rsidR="00CD0D33" w:rsidRPr="008E2D3C">
        <w:rPr>
          <w:rFonts w:ascii="Times New Roman" w:hAnsi="Times New Roman" w:cs="Times New Roman"/>
          <w:spacing w:val="-3"/>
        </w:rPr>
        <w:t>established gas service at the Akron Service Address</w:t>
      </w:r>
      <w:r w:rsidR="00371FAE">
        <w:rPr>
          <w:rFonts w:ascii="Times New Roman" w:hAnsi="Times New Roman" w:cs="Times New Roman"/>
          <w:spacing w:val="-3"/>
        </w:rPr>
        <w:t>,</w:t>
      </w:r>
      <w:r w:rsidR="00A67DFD" w:rsidRPr="008E2D3C">
        <w:rPr>
          <w:rFonts w:ascii="Times New Roman" w:hAnsi="Times New Roman" w:cs="Times New Roman"/>
          <w:spacing w:val="-3"/>
        </w:rPr>
        <w:t xml:space="preserve"> </w:t>
      </w:r>
      <w:r w:rsidR="00F56C60" w:rsidRPr="008E2D3C">
        <w:rPr>
          <w:rFonts w:ascii="Times New Roman" w:hAnsi="Times New Roman" w:cs="Times New Roman"/>
          <w:spacing w:val="-3"/>
        </w:rPr>
        <w:t xml:space="preserve">the Complainant </w:t>
      </w:r>
      <w:r w:rsidR="00091400" w:rsidRPr="008E2D3C">
        <w:rPr>
          <w:rFonts w:ascii="Times New Roman" w:hAnsi="Times New Roman" w:cs="Times New Roman"/>
          <w:spacing w:val="-3"/>
        </w:rPr>
        <w:t xml:space="preserve">was </w:t>
      </w:r>
      <w:r w:rsidR="008E2D3C" w:rsidRPr="008E2D3C">
        <w:rPr>
          <w:rFonts w:ascii="Times New Roman" w:hAnsi="Times New Roman" w:cs="Times New Roman"/>
          <w:spacing w:val="-3"/>
        </w:rPr>
        <w:t>advised</w:t>
      </w:r>
      <w:r w:rsidR="00091400" w:rsidRPr="008E2D3C">
        <w:rPr>
          <w:rFonts w:ascii="Times New Roman" w:hAnsi="Times New Roman" w:cs="Times New Roman"/>
          <w:spacing w:val="-3"/>
        </w:rPr>
        <w:t xml:space="preserve"> </w:t>
      </w:r>
      <w:r w:rsidR="00F56C60" w:rsidRPr="008E2D3C">
        <w:rPr>
          <w:rFonts w:ascii="Times New Roman" w:hAnsi="Times New Roman" w:cs="Times New Roman"/>
          <w:spacing w:val="-3"/>
        </w:rPr>
        <w:t xml:space="preserve">that </w:t>
      </w:r>
      <w:r w:rsidR="009A657C" w:rsidRPr="008E2D3C">
        <w:rPr>
          <w:rFonts w:ascii="Times New Roman" w:hAnsi="Times New Roman" w:cs="Times New Roman"/>
          <w:spacing w:val="-3"/>
        </w:rPr>
        <w:t xml:space="preserve">doing so would </w:t>
      </w:r>
      <w:r w:rsidR="00701497" w:rsidRPr="008E2D3C">
        <w:rPr>
          <w:rFonts w:ascii="Times New Roman" w:hAnsi="Times New Roman" w:cs="Times New Roman"/>
          <w:spacing w:val="-3"/>
        </w:rPr>
        <w:t xml:space="preserve">reactivate the balance </w:t>
      </w:r>
      <w:r w:rsidR="00EB6348" w:rsidRPr="008E2D3C">
        <w:rPr>
          <w:rFonts w:ascii="Times New Roman" w:hAnsi="Times New Roman" w:cs="Times New Roman"/>
          <w:spacing w:val="-3"/>
        </w:rPr>
        <w:t>from</w:t>
      </w:r>
      <w:r w:rsidR="00701497" w:rsidRPr="008E2D3C">
        <w:rPr>
          <w:rFonts w:ascii="Times New Roman" w:hAnsi="Times New Roman" w:cs="Times New Roman"/>
          <w:spacing w:val="-3"/>
        </w:rPr>
        <w:t xml:space="preserve"> </w:t>
      </w:r>
      <w:r w:rsidR="00306A35" w:rsidRPr="008E2D3C">
        <w:rPr>
          <w:rFonts w:ascii="Times New Roman" w:hAnsi="Times New Roman" w:cs="Times New Roman"/>
          <w:spacing w:val="-3"/>
        </w:rPr>
        <w:t xml:space="preserve">her account at </w:t>
      </w:r>
      <w:r w:rsidR="00701497" w:rsidRPr="008E2D3C">
        <w:rPr>
          <w:rFonts w:ascii="Times New Roman" w:hAnsi="Times New Roman" w:cs="Times New Roman"/>
          <w:spacing w:val="-3"/>
        </w:rPr>
        <w:t>the Crowson Service Address</w:t>
      </w:r>
      <w:r w:rsidR="00977C94" w:rsidRPr="008E2D3C">
        <w:rPr>
          <w:rFonts w:ascii="Times New Roman" w:hAnsi="Times New Roman" w:cs="Times New Roman"/>
          <w:spacing w:val="-3"/>
        </w:rPr>
        <w:t xml:space="preserve">.  </w:t>
      </w:r>
    </w:p>
    <w:p w14:paraId="24646176" w14:textId="77777777" w:rsidR="001019DC" w:rsidRDefault="001019DC" w:rsidP="00571360">
      <w:pPr>
        <w:pStyle w:val="ParaTab1"/>
        <w:tabs>
          <w:tab w:val="num" w:pos="0"/>
          <w:tab w:val="left" w:pos="2070"/>
        </w:tabs>
        <w:spacing w:line="360" w:lineRule="auto"/>
        <w:rPr>
          <w:rFonts w:ascii="Times New Roman" w:hAnsi="Times New Roman" w:cs="Times New Roman"/>
          <w:spacing w:val="-3"/>
        </w:rPr>
      </w:pPr>
    </w:p>
    <w:p w14:paraId="4E1FCC91" w14:textId="5AE4716E" w:rsidR="00571360" w:rsidRPr="008E2D3C" w:rsidRDefault="003F2F21" w:rsidP="00571360">
      <w:pPr>
        <w:pStyle w:val="ParaTab1"/>
        <w:tabs>
          <w:tab w:val="num" w:pos="0"/>
          <w:tab w:val="left" w:pos="2070"/>
        </w:tabs>
        <w:spacing w:line="360" w:lineRule="auto"/>
        <w:rPr>
          <w:rFonts w:ascii="Times New Roman" w:hAnsi="Times New Roman" w:cs="Times New Roman"/>
          <w:spacing w:val="-3"/>
        </w:rPr>
      </w:pPr>
      <w:r w:rsidRPr="008E2D3C">
        <w:rPr>
          <w:rFonts w:ascii="Times New Roman" w:hAnsi="Times New Roman" w:cs="Times New Roman"/>
          <w:spacing w:val="-3"/>
        </w:rPr>
        <w:lastRenderedPageBreak/>
        <w:t>I</w:t>
      </w:r>
      <w:r w:rsidR="00730BD8" w:rsidRPr="008E2D3C">
        <w:rPr>
          <w:rFonts w:ascii="Times New Roman" w:hAnsi="Times New Roman" w:cs="Times New Roman"/>
          <w:spacing w:val="-3"/>
        </w:rPr>
        <w:t xml:space="preserve">n New Matter </w:t>
      </w:r>
      <w:r w:rsidR="009E1BA0" w:rsidRPr="008E2D3C">
        <w:rPr>
          <w:rFonts w:ascii="Times New Roman" w:hAnsi="Times New Roman" w:cs="Times New Roman"/>
          <w:spacing w:val="-3"/>
        </w:rPr>
        <w:t>t</w:t>
      </w:r>
      <w:r w:rsidR="00571360" w:rsidRPr="008E2D3C">
        <w:rPr>
          <w:rFonts w:ascii="Times New Roman" w:hAnsi="Times New Roman" w:cs="Times New Roman"/>
          <w:spacing w:val="-3"/>
        </w:rPr>
        <w:t xml:space="preserve">he Respondent </w:t>
      </w:r>
      <w:r w:rsidR="006B05EC" w:rsidRPr="008E2D3C">
        <w:rPr>
          <w:rFonts w:ascii="Times New Roman" w:hAnsi="Times New Roman" w:cs="Times New Roman"/>
          <w:spacing w:val="-3"/>
        </w:rPr>
        <w:t xml:space="preserve">indicated that </w:t>
      </w:r>
      <w:r w:rsidR="00561D06" w:rsidRPr="008E2D3C">
        <w:rPr>
          <w:rFonts w:ascii="Times New Roman" w:hAnsi="Times New Roman" w:cs="Times New Roman"/>
          <w:spacing w:val="-3"/>
        </w:rPr>
        <w:t xml:space="preserve">the </w:t>
      </w:r>
      <w:r w:rsidR="00561D06" w:rsidRPr="008E2D3C">
        <w:rPr>
          <w:rFonts w:ascii="Times New Roman" w:hAnsi="Times New Roman" w:cs="Times New Roman"/>
        </w:rPr>
        <w:t xml:space="preserve">Complainant is seeking relief from a balance that accrued at the Crowson Service Address between October 29, </w:t>
      </w:r>
      <w:proofErr w:type="gramStart"/>
      <w:r w:rsidR="00561D06" w:rsidRPr="008E2D3C">
        <w:rPr>
          <w:rFonts w:ascii="Times New Roman" w:hAnsi="Times New Roman" w:cs="Times New Roman"/>
        </w:rPr>
        <w:t>2004</w:t>
      </w:r>
      <w:proofErr w:type="gramEnd"/>
      <w:r w:rsidR="00561D06" w:rsidRPr="008E2D3C">
        <w:rPr>
          <w:rFonts w:ascii="Times New Roman" w:hAnsi="Times New Roman" w:cs="Times New Roman"/>
        </w:rPr>
        <w:t xml:space="preserve"> and June</w:t>
      </w:r>
      <w:r w:rsidR="00B104BC">
        <w:rPr>
          <w:rFonts w:ascii="Times New Roman" w:hAnsi="Times New Roman" w:cs="Times New Roman"/>
        </w:rPr>
        <w:t> </w:t>
      </w:r>
      <w:r w:rsidR="00561D06" w:rsidRPr="008E2D3C">
        <w:rPr>
          <w:rFonts w:ascii="Times New Roman" w:hAnsi="Times New Roman" w:cs="Times New Roman"/>
        </w:rPr>
        <w:t xml:space="preserve">30, 2010.  </w:t>
      </w:r>
      <w:r w:rsidRPr="008E2D3C">
        <w:rPr>
          <w:rFonts w:ascii="Times New Roman" w:hAnsi="Times New Roman" w:cs="Times New Roman"/>
        </w:rPr>
        <w:t xml:space="preserve">Further, </w:t>
      </w:r>
      <w:r w:rsidR="00262A0B" w:rsidRPr="008E2D3C">
        <w:rPr>
          <w:rFonts w:ascii="Times New Roman" w:hAnsi="Times New Roman" w:cs="Times New Roman"/>
        </w:rPr>
        <w:t xml:space="preserve">PGW </w:t>
      </w:r>
      <w:r w:rsidR="00730BD8" w:rsidRPr="008E2D3C">
        <w:rPr>
          <w:rFonts w:ascii="Times New Roman" w:hAnsi="Times New Roman" w:cs="Times New Roman"/>
          <w:spacing w:val="-3"/>
        </w:rPr>
        <w:t xml:space="preserve">argued </w:t>
      </w:r>
      <w:r w:rsidR="00571360" w:rsidRPr="008E2D3C">
        <w:rPr>
          <w:rFonts w:ascii="Times New Roman" w:hAnsi="Times New Roman" w:cs="Times New Roman"/>
          <w:spacing w:val="-3"/>
        </w:rPr>
        <w:t xml:space="preserve">that the </w:t>
      </w:r>
      <w:r w:rsidR="00EB1319" w:rsidRPr="008E2D3C">
        <w:rPr>
          <w:rFonts w:ascii="Times New Roman" w:hAnsi="Times New Roman" w:cs="Times New Roman"/>
        </w:rPr>
        <w:t>statute of limitations at 66 Pa.C.S. § 3314 divests the Commission of jurisdiction to hear an action brought more than three years from the date the liability arose</w:t>
      </w:r>
      <w:r w:rsidR="006B26A4" w:rsidRPr="008E2D3C">
        <w:rPr>
          <w:rFonts w:ascii="Times New Roman" w:hAnsi="Times New Roman" w:cs="Times New Roman"/>
        </w:rPr>
        <w:t xml:space="preserve">, </w:t>
      </w:r>
      <w:r w:rsidR="00A565B4" w:rsidRPr="008E2D3C">
        <w:rPr>
          <w:rFonts w:ascii="Times New Roman" w:hAnsi="Times New Roman" w:cs="Times New Roman"/>
        </w:rPr>
        <w:t>such as those at issue in the Complaint</w:t>
      </w:r>
      <w:r w:rsidR="00EB1319" w:rsidRPr="008E2D3C">
        <w:rPr>
          <w:rFonts w:ascii="Times New Roman" w:hAnsi="Times New Roman" w:cs="Times New Roman"/>
        </w:rPr>
        <w:t xml:space="preserve">. </w:t>
      </w:r>
      <w:r w:rsidR="0005100A" w:rsidRPr="008E2D3C">
        <w:rPr>
          <w:rFonts w:ascii="Times New Roman" w:hAnsi="Times New Roman" w:cs="Times New Roman"/>
          <w:spacing w:val="-3"/>
        </w:rPr>
        <w:t xml:space="preserve">  </w:t>
      </w:r>
      <w:r w:rsidR="00D8298E" w:rsidRPr="008E2D3C">
        <w:rPr>
          <w:rFonts w:ascii="Times New Roman" w:hAnsi="Times New Roman" w:cs="Times New Roman"/>
          <w:spacing w:val="-3"/>
        </w:rPr>
        <w:t xml:space="preserve">In the words of the Respondent, </w:t>
      </w:r>
      <w:r w:rsidR="00E75146" w:rsidRPr="008E2D3C">
        <w:rPr>
          <w:rFonts w:ascii="Times New Roman" w:hAnsi="Times New Roman" w:cs="Times New Roman"/>
          <w:spacing w:val="-3"/>
        </w:rPr>
        <w:t>“T</w:t>
      </w:r>
      <w:r w:rsidR="00D8298E" w:rsidRPr="008E2D3C">
        <w:rPr>
          <w:rFonts w:ascii="Times New Roman" w:hAnsi="Times New Roman" w:cs="Times New Roman"/>
        </w:rPr>
        <w:t>he Complainant has lost her right to pursue litigation before the Commission regarding the balance from 5530 Crowson Street as any cause of action arising therefrom falls outside the statute of limitations.</w:t>
      </w:r>
      <w:r w:rsidR="00E75146" w:rsidRPr="008E2D3C">
        <w:rPr>
          <w:rFonts w:ascii="Times New Roman" w:hAnsi="Times New Roman" w:cs="Times New Roman"/>
        </w:rPr>
        <w:t>”</w:t>
      </w:r>
      <w:r w:rsidR="00E2749A">
        <w:rPr>
          <w:rStyle w:val="FootnoteReference"/>
          <w:rFonts w:ascii="Times New Roman" w:hAnsi="Times New Roman" w:cs="Times New Roman"/>
        </w:rPr>
        <w:footnoteReference w:id="1"/>
      </w:r>
      <w:r w:rsidR="00055E83" w:rsidRPr="008E2D3C">
        <w:rPr>
          <w:rFonts w:ascii="Times New Roman" w:hAnsi="Times New Roman" w:cs="Times New Roman"/>
        </w:rPr>
        <w:t xml:space="preserve">  </w:t>
      </w:r>
      <w:r w:rsidR="00055E83" w:rsidRPr="008E2D3C">
        <w:rPr>
          <w:rFonts w:ascii="Times New Roman" w:hAnsi="Times New Roman" w:cs="Times New Roman"/>
          <w:spacing w:val="-3"/>
        </w:rPr>
        <w:t xml:space="preserve">The Answer was endorsed with a Notice to Plead, </w:t>
      </w:r>
      <w:r w:rsidR="00055E83" w:rsidRPr="008E2D3C">
        <w:rPr>
          <w:rFonts w:ascii="Times New Roman" w:hAnsi="Times New Roman" w:cs="Times New Roman"/>
        </w:rPr>
        <w:t xml:space="preserve">advising the Complainant she had 20 days to file a written answer to the </w:t>
      </w:r>
      <w:r w:rsidR="001B54AB" w:rsidRPr="008E2D3C">
        <w:rPr>
          <w:rFonts w:ascii="Times New Roman" w:hAnsi="Times New Roman" w:cs="Times New Roman"/>
        </w:rPr>
        <w:t xml:space="preserve">new matter in the </w:t>
      </w:r>
      <w:r w:rsidR="00C65322" w:rsidRPr="008E2D3C">
        <w:rPr>
          <w:rFonts w:ascii="Times New Roman" w:hAnsi="Times New Roman" w:cs="Times New Roman"/>
        </w:rPr>
        <w:t xml:space="preserve">Answer </w:t>
      </w:r>
      <w:r w:rsidR="00055E83" w:rsidRPr="008E2D3C">
        <w:rPr>
          <w:rFonts w:ascii="Times New Roman" w:hAnsi="Times New Roman" w:cs="Times New Roman"/>
        </w:rPr>
        <w:t>or a judgment may be entered against h</w:t>
      </w:r>
      <w:r w:rsidR="005A64E0" w:rsidRPr="008E2D3C">
        <w:rPr>
          <w:rFonts w:ascii="Times New Roman" w:hAnsi="Times New Roman" w:cs="Times New Roman"/>
        </w:rPr>
        <w:t>er</w:t>
      </w:r>
      <w:r w:rsidR="00055E83" w:rsidRPr="008E2D3C">
        <w:rPr>
          <w:rFonts w:ascii="Times New Roman" w:hAnsi="Times New Roman" w:cs="Times New Roman"/>
        </w:rPr>
        <w:t xml:space="preserve">.  </w:t>
      </w:r>
      <w:r w:rsidR="00055E83" w:rsidRPr="008E2D3C">
        <w:rPr>
          <w:rFonts w:ascii="Times New Roman" w:hAnsi="Times New Roman" w:cs="Times New Roman"/>
          <w:spacing w:val="-3"/>
        </w:rPr>
        <w:t xml:space="preserve">The Complainant did not file a response to the </w:t>
      </w:r>
      <w:r w:rsidR="00416B5F" w:rsidRPr="008E2D3C">
        <w:rPr>
          <w:rFonts w:ascii="Times New Roman" w:hAnsi="Times New Roman" w:cs="Times New Roman"/>
          <w:spacing w:val="-3"/>
        </w:rPr>
        <w:t>Answer</w:t>
      </w:r>
      <w:r w:rsidR="00055E83" w:rsidRPr="008E2D3C">
        <w:rPr>
          <w:rFonts w:ascii="Times New Roman" w:hAnsi="Times New Roman" w:cs="Times New Roman"/>
          <w:spacing w:val="-3"/>
        </w:rPr>
        <w:t xml:space="preserve">.  </w:t>
      </w:r>
    </w:p>
    <w:p w14:paraId="34F7A919" w14:textId="77777777"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p>
    <w:p w14:paraId="1C1EF66E" w14:textId="232E424C"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r w:rsidRPr="008E2D3C">
        <w:rPr>
          <w:rFonts w:ascii="Times New Roman" w:hAnsi="Times New Roman" w:cs="Times New Roman"/>
          <w:spacing w:val="-3"/>
        </w:rPr>
        <w:t xml:space="preserve">Also on </w:t>
      </w:r>
      <w:r w:rsidR="0005100A" w:rsidRPr="008E2D3C">
        <w:rPr>
          <w:rFonts w:ascii="Times New Roman" w:hAnsi="Times New Roman" w:cs="Times New Roman"/>
          <w:spacing w:val="-3"/>
        </w:rPr>
        <w:t>July 28, 2022</w:t>
      </w:r>
      <w:r w:rsidRPr="008E2D3C">
        <w:rPr>
          <w:rFonts w:ascii="Times New Roman" w:hAnsi="Times New Roman" w:cs="Times New Roman"/>
          <w:spacing w:val="-3"/>
        </w:rPr>
        <w:t xml:space="preserve">, the Respondent filed a Preliminary Objection to the Complaint.  The Preliminary Objection seeks dismissal of the </w:t>
      </w:r>
      <w:r w:rsidR="00FD09EE" w:rsidRPr="008E2D3C">
        <w:rPr>
          <w:rFonts w:ascii="Times New Roman" w:hAnsi="Times New Roman" w:cs="Times New Roman"/>
          <w:spacing w:val="-3"/>
        </w:rPr>
        <w:t xml:space="preserve">issues raised in the </w:t>
      </w:r>
      <w:r w:rsidRPr="008E2D3C">
        <w:rPr>
          <w:rFonts w:ascii="Times New Roman" w:hAnsi="Times New Roman" w:cs="Times New Roman"/>
          <w:spacing w:val="-3"/>
        </w:rPr>
        <w:t xml:space="preserve">Complaint </w:t>
      </w:r>
      <w:r w:rsidR="006E1825" w:rsidRPr="008E2D3C">
        <w:rPr>
          <w:rFonts w:ascii="Times New Roman" w:hAnsi="Times New Roman" w:cs="Times New Roman"/>
          <w:spacing w:val="-3"/>
        </w:rPr>
        <w:t>that are beyond the statute of limitations</w:t>
      </w:r>
      <w:r w:rsidRPr="008E2D3C">
        <w:rPr>
          <w:rFonts w:ascii="Times New Roman" w:hAnsi="Times New Roman" w:cs="Times New Roman"/>
          <w:spacing w:val="-3"/>
        </w:rPr>
        <w:t xml:space="preserve"> because the Commission lacks the legal authority and jurisdiction </w:t>
      </w:r>
      <w:r w:rsidR="00822EC1" w:rsidRPr="008E2D3C">
        <w:rPr>
          <w:rFonts w:ascii="Times New Roman" w:hAnsi="Times New Roman" w:cs="Times New Roman"/>
          <w:spacing w:val="-3"/>
        </w:rPr>
        <w:t xml:space="preserve">over </w:t>
      </w:r>
      <w:r w:rsidR="00034CA8" w:rsidRPr="008E2D3C">
        <w:rPr>
          <w:rFonts w:ascii="Times New Roman" w:hAnsi="Times New Roman" w:cs="Times New Roman"/>
          <w:spacing w:val="-3"/>
        </w:rPr>
        <w:t>any such matter</w:t>
      </w:r>
      <w:r w:rsidRPr="008E2D3C">
        <w:rPr>
          <w:rFonts w:ascii="Times New Roman" w:hAnsi="Times New Roman" w:cs="Times New Roman"/>
          <w:spacing w:val="-3"/>
        </w:rPr>
        <w:t xml:space="preserve">.  The Respondent’s Preliminary Objection was endorsed with a Notice to Plead, </w:t>
      </w:r>
      <w:r w:rsidRPr="008E2D3C">
        <w:rPr>
          <w:rFonts w:ascii="Times New Roman" w:hAnsi="Times New Roman" w:cs="Times New Roman"/>
        </w:rPr>
        <w:t xml:space="preserve">advising the Complainant </w:t>
      </w:r>
      <w:r w:rsidR="00034CA8" w:rsidRPr="008E2D3C">
        <w:rPr>
          <w:rFonts w:ascii="Times New Roman" w:hAnsi="Times New Roman" w:cs="Times New Roman"/>
        </w:rPr>
        <w:t>s</w:t>
      </w:r>
      <w:r w:rsidRPr="008E2D3C">
        <w:rPr>
          <w:rFonts w:ascii="Times New Roman" w:hAnsi="Times New Roman" w:cs="Times New Roman"/>
        </w:rPr>
        <w:t>he had 10 days to file a written answer to the objection or a judgment may be entered against h</w:t>
      </w:r>
      <w:r w:rsidR="00034CA8" w:rsidRPr="008E2D3C">
        <w:rPr>
          <w:rFonts w:ascii="Times New Roman" w:hAnsi="Times New Roman" w:cs="Times New Roman"/>
        </w:rPr>
        <w:t>er</w:t>
      </w:r>
      <w:r w:rsidRPr="008E2D3C">
        <w:rPr>
          <w:rFonts w:ascii="Times New Roman" w:hAnsi="Times New Roman" w:cs="Times New Roman"/>
        </w:rPr>
        <w:t xml:space="preserve">.  </w:t>
      </w:r>
      <w:r w:rsidRPr="008E2D3C">
        <w:rPr>
          <w:rFonts w:ascii="Times New Roman" w:hAnsi="Times New Roman" w:cs="Times New Roman"/>
          <w:spacing w:val="-3"/>
        </w:rPr>
        <w:t xml:space="preserve">The Complainant did not file a response to the </w:t>
      </w:r>
      <w:r w:rsidR="00C96C31" w:rsidRPr="008E2D3C">
        <w:rPr>
          <w:rFonts w:ascii="Times New Roman" w:hAnsi="Times New Roman" w:cs="Times New Roman"/>
          <w:spacing w:val="-3"/>
        </w:rPr>
        <w:t>P</w:t>
      </w:r>
      <w:r w:rsidRPr="008E2D3C">
        <w:rPr>
          <w:rFonts w:ascii="Times New Roman" w:hAnsi="Times New Roman" w:cs="Times New Roman"/>
          <w:spacing w:val="-3"/>
        </w:rPr>
        <w:t xml:space="preserve">reliminary </w:t>
      </w:r>
      <w:r w:rsidR="00C96C31" w:rsidRPr="008E2D3C">
        <w:rPr>
          <w:rFonts w:ascii="Times New Roman" w:hAnsi="Times New Roman" w:cs="Times New Roman"/>
          <w:spacing w:val="-3"/>
        </w:rPr>
        <w:t>O</w:t>
      </w:r>
      <w:r w:rsidRPr="008E2D3C">
        <w:rPr>
          <w:rFonts w:ascii="Times New Roman" w:hAnsi="Times New Roman" w:cs="Times New Roman"/>
          <w:spacing w:val="-3"/>
        </w:rPr>
        <w:t xml:space="preserve">bjection.  </w:t>
      </w:r>
    </w:p>
    <w:p w14:paraId="6AE0A556" w14:textId="77777777"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p>
    <w:p w14:paraId="4733CA1B" w14:textId="1F6F363B"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r w:rsidRPr="008E2D3C">
        <w:rPr>
          <w:rFonts w:ascii="Times New Roman" w:hAnsi="Times New Roman" w:cs="Times New Roman"/>
          <w:spacing w:val="-3"/>
        </w:rPr>
        <w:t xml:space="preserve">By Call-In Telephonic Hearing Notice dated </w:t>
      </w:r>
      <w:r w:rsidR="00C96C31" w:rsidRPr="008E2D3C">
        <w:rPr>
          <w:rFonts w:ascii="Times New Roman" w:hAnsi="Times New Roman" w:cs="Times New Roman"/>
          <w:spacing w:val="-3"/>
        </w:rPr>
        <w:t>August 31</w:t>
      </w:r>
      <w:r w:rsidRPr="008E2D3C">
        <w:rPr>
          <w:rFonts w:ascii="Times New Roman" w:hAnsi="Times New Roman" w:cs="Times New Roman"/>
          <w:spacing w:val="-3"/>
        </w:rPr>
        <w:t>, 202</w:t>
      </w:r>
      <w:r w:rsidR="00C96C31" w:rsidRPr="008E2D3C">
        <w:rPr>
          <w:rFonts w:ascii="Times New Roman" w:hAnsi="Times New Roman" w:cs="Times New Roman"/>
          <w:spacing w:val="-3"/>
        </w:rPr>
        <w:t>2</w:t>
      </w:r>
      <w:r w:rsidRPr="008E2D3C">
        <w:rPr>
          <w:rFonts w:ascii="Times New Roman" w:hAnsi="Times New Roman" w:cs="Times New Roman"/>
          <w:spacing w:val="-3"/>
        </w:rPr>
        <w:t xml:space="preserve">, a call-in telephonic hearing was scheduled for </w:t>
      </w:r>
      <w:r w:rsidR="00C96C31" w:rsidRPr="008E2D3C">
        <w:rPr>
          <w:rFonts w:ascii="Times New Roman" w:hAnsi="Times New Roman" w:cs="Times New Roman"/>
          <w:spacing w:val="-3"/>
        </w:rPr>
        <w:t>November 1</w:t>
      </w:r>
      <w:r w:rsidRPr="008E2D3C">
        <w:rPr>
          <w:rFonts w:ascii="Times New Roman" w:hAnsi="Times New Roman" w:cs="Times New Roman"/>
          <w:spacing w:val="-3"/>
        </w:rPr>
        <w:t>, 202</w:t>
      </w:r>
      <w:r w:rsidR="00C96C31" w:rsidRPr="008E2D3C">
        <w:rPr>
          <w:rFonts w:ascii="Times New Roman" w:hAnsi="Times New Roman" w:cs="Times New Roman"/>
          <w:spacing w:val="-3"/>
        </w:rPr>
        <w:t>2</w:t>
      </w:r>
      <w:r w:rsidRPr="008E2D3C">
        <w:rPr>
          <w:rFonts w:ascii="Times New Roman" w:hAnsi="Times New Roman" w:cs="Times New Roman"/>
          <w:spacing w:val="-3"/>
        </w:rPr>
        <w:t xml:space="preserve">, and the matter, including the outstanding Preliminary Objection, was assigned to me.  </w:t>
      </w:r>
    </w:p>
    <w:p w14:paraId="28DD3D02" w14:textId="77777777"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p>
    <w:p w14:paraId="4A7A4F57" w14:textId="7BBA7BE7" w:rsidR="00571360" w:rsidRPr="008E2D3C" w:rsidRDefault="00571360" w:rsidP="00571360">
      <w:pPr>
        <w:pStyle w:val="ParaTab1"/>
        <w:tabs>
          <w:tab w:val="num" w:pos="0"/>
          <w:tab w:val="left" w:pos="2070"/>
        </w:tabs>
        <w:spacing w:line="360" w:lineRule="auto"/>
        <w:rPr>
          <w:rFonts w:ascii="Times New Roman" w:hAnsi="Times New Roman" w:cs="Times New Roman"/>
          <w:spacing w:val="-3"/>
        </w:rPr>
      </w:pPr>
      <w:r w:rsidRPr="008E2D3C">
        <w:rPr>
          <w:rFonts w:ascii="Times New Roman" w:hAnsi="Times New Roman" w:cs="Times New Roman"/>
          <w:spacing w:val="-3"/>
        </w:rPr>
        <w:t>For the reasons set forth below, the Preliminary Objection is granted.</w:t>
      </w:r>
      <w:r w:rsidR="0056616C" w:rsidRPr="008E2D3C">
        <w:rPr>
          <w:rFonts w:ascii="Times New Roman" w:hAnsi="Times New Roman" w:cs="Times New Roman"/>
          <w:spacing w:val="-3"/>
        </w:rPr>
        <w:t xml:space="preserve">  </w:t>
      </w:r>
      <w:r w:rsidR="00EE4DBF" w:rsidRPr="008E2D3C">
        <w:rPr>
          <w:rFonts w:ascii="Times New Roman" w:hAnsi="Times New Roman" w:cs="Times New Roman"/>
          <w:spacing w:val="-3"/>
        </w:rPr>
        <w:t>T</w:t>
      </w:r>
      <w:r w:rsidR="0056616C" w:rsidRPr="008E2D3C">
        <w:rPr>
          <w:rFonts w:ascii="Times New Roman" w:hAnsi="Times New Roman" w:cs="Times New Roman"/>
          <w:spacing w:val="-3"/>
        </w:rPr>
        <w:t xml:space="preserve">he hearing will </w:t>
      </w:r>
      <w:r w:rsidR="00403EC7" w:rsidRPr="008E2D3C">
        <w:rPr>
          <w:rFonts w:ascii="Times New Roman" w:hAnsi="Times New Roman" w:cs="Times New Roman"/>
          <w:spacing w:val="-3"/>
        </w:rPr>
        <w:t>proceed</w:t>
      </w:r>
      <w:r w:rsidR="005C575A" w:rsidRPr="008E2D3C">
        <w:rPr>
          <w:rFonts w:ascii="Times New Roman" w:hAnsi="Times New Roman" w:cs="Times New Roman"/>
          <w:spacing w:val="-3"/>
        </w:rPr>
        <w:t xml:space="preserve"> as scheduled</w:t>
      </w:r>
      <w:r w:rsidR="00403EC7" w:rsidRPr="008E2D3C">
        <w:rPr>
          <w:rFonts w:ascii="Times New Roman" w:hAnsi="Times New Roman" w:cs="Times New Roman"/>
          <w:spacing w:val="-3"/>
        </w:rPr>
        <w:t xml:space="preserve"> </w:t>
      </w:r>
      <w:r w:rsidR="00E97C59">
        <w:rPr>
          <w:rFonts w:ascii="Times New Roman" w:hAnsi="Times New Roman" w:cs="Times New Roman"/>
          <w:spacing w:val="-3"/>
        </w:rPr>
        <w:t>to address</w:t>
      </w:r>
      <w:r w:rsidR="00403EC7" w:rsidRPr="008E2D3C">
        <w:rPr>
          <w:rFonts w:ascii="Times New Roman" w:hAnsi="Times New Roman" w:cs="Times New Roman"/>
          <w:spacing w:val="-3"/>
        </w:rPr>
        <w:t xml:space="preserve"> the </w:t>
      </w:r>
      <w:r w:rsidR="00E22E8A" w:rsidRPr="008E2D3C">
        <w:rPr>
          <w:rFonts w:ascii="Times New Roman" w:hAnsi="Times New Roman" w:cs="Times New Roman"/>
          <w:spacing w:val="-3"/>
        </w:rPr>
        <w:t>Complainant’s</w:t>
      </w:r>
      <w:r w:rsidR="00403EC7" w:rsidRPr="008E2D3C">
        <w:rPr>
          <w:rFonts w:ascii="Times New Roman" w:hAnsi="Times New Roman" w:cs="Times New Roman"/>
          <w:spacing w:val="-3"/>
        </w:rPr>
        <w:t xml:space="preserve"> request </w:t>
      </w:r>
      <w:r w:rsidR="00E22E8A" w:rsidRPr="008E2D3C">
        <w:rPr>
          <w:rFonts w:ascii="Times New Roman" w:hAnsi="Times New Roman" w:cs="Times New Roman"/>
          <w:spacing w:val="-3"/>
        </w:rPr>
        <w:t>for</w:t>
      </w:r>
      <w:r w:rsidR="00403EC7" w:rsidRPr="008E2D3C">
        <w:rPr>
          <w:rFonts w:ascii="Times New Roman" w:hAnsi="Times New Roman" w:cs="Times New Roman"/>
          <w:spacing w:val="-3"/>
        </w:rPr>
        <w:t xml:space="preserve"> a p</w:t>
      </w:r>
      <w:r w:rsidR="00E22E8A" w:rsidRPr="008E2D3C">
        <w:rPr>
          <w:rFonts w:ascii="Times New Roman" w:hAnsi="Times New Roman" w:cs="Times New Roman"/>
          <w:spacing w:val="-3"/>
        </w:rPr>
        <w:t xml:space="preserve">ayment arrangement </w:t>
      </w:r>
      <w:r w:rsidR="005C575A" w:rsidRPr="008E2D3C">
        <w:rPr>
          <w:rFonts w:ascii="Times New Roman" w:hAnsi="Times New Roman" w:cs="Times New Roman"/>
          <w:spacing w:val="-3"/>
        </w:rPr>
        <w:t>and any other matters properly before the Commission</w:t>
      </w:r>
      <w:r w:rsidR="00E22E8A" w:rsidRPr="008E2D3C">
        <w:rPr>
          <w:rFonts w:ascii="Times New Roman" w:hAnsi="Times New Roman" w:cs="Times New Roman"/>
          <w:spacing w:val="-3"/>
        </w:rPr>
        <w:t>.</w:t>
      </w:r>
      <w:r w:rsidRPr="008E2D3C">
        <w:rPr>
          <w:rFonts w:ascii="Times New Roman" w:hAnsi="Times New Roman" w:cs="Times New Roman"/>
          <w:spacing w:val="-3"/>
        </w:rPr>
        <w:t xml:space="preserve"> </w:t>
      </w:r>
    </w:p>
    <w:p w14:paraId="00F68DF8" w14:textId="77777777" w:rsidR="00B104BC" w:rsidRDefault="00B104BC">
      <w:pPr>
        <w:autoSpaceDE/>
        <w:autoSpaceDN/>
        <w:spacing w:after="160" w:line="259" w:lineRule="auto"/>
        <w:rPr>
          <w:rFonts w:ascii="Times New Roman" w:hAnsi="Times New Roman" w:cs="Times New Roman"/>
          <w:spacing w:val="-3"/>
          <w:u w:val="single"/>
        </w:rPr>
      </w:pPr>
      <w:r>
        <w:rPr>
          <w:rFonts w:ascii="Times New Roman" w:hAnsi="Times New Roman" w:cs="Times New Roman"/>
          <w:spacing w:val="-3"/>
          <w:u w:val="single"/>
        </w:rPr>
        <w:br w:type="page"/>
      </w:r>
    </w:p>
    <w:p w14:paraId="03F6D50E" w14:textId="31B17C33" w:rsidR="00571360" w:rsidRPr="008E2D3C" w:rsidRDefault="00571360" w:rsidP="00571360">
      <w:pPr>
        <w:pStyle w:val="ParaTab1"/>
        <w:tabs>
          <w:tab w:val="num" w:pos="0"/>
          <w:tab w:val="left" w:pos="2070"/>
        </w:tabs>
        <w:spacing w:line="360" w:lineRule="auto"/>
        <w:ind w:firstLine="0"/>
        <w:jc w:val="center"/>
        <w:rPr>
          <w:rFonts w:ascii="Times New Roman" w:hAnsi="Times New Roman" w:cs="Times New Roman"/>
          <w:spacing w:val="-3"/>
          <w:u w:val="single"/>
        </w:rPr>
      </w:pPr>
      <w:r w:rsidRPr="008E2D3C">
        <w:rPr>
          <w:rFonts w:ascii="Times New Roman" w:hAnsi="Times New Roman" w:cs="Times New Roman"/>
          <w:spacing w:val="-3"/>
          <w:u w:val="single"/>
        </w:rPr>
        <w:lastRenderedPageBreak/>
        <w:t>DISCUSSION</w:t>
      </w:r>
    </w:p>
    <w:p w14:paraId="2F5820D3" w14:textId="77777777" w:rsidR="00571360" w:rsidRPr="008E2D3C" w:rsidRDefault="00571360" w:rsidP="00571360">
      <w:pPr>
        <w:pStyle w:val="ParaTab1"/>
        <w:tabs>
          <w:tab w:val="num" w:pos="0"/>
          <w:tab w:val="left" w:pos="2070"/>
        </w:tabs>
        <w:spacing w:line="360" w:lineRule="auto"/>
        <w:ind w:firstLine="0"/>
        <w:rPr>
          <w:rFonts w:ascii="Times New Roman" w:hAnsi="Times New Roman" w:cs="Times New Roman"/>
          <w:spacing w:val="-3"/>
        </w:rPr>
      </w:pPr>
    </w:p>
    <w:p w14:paraId="62F014F8" w14:textId="77777777" w:rsidR="00571360" w:rsidRPr="008E2D3C" w:rsidRDefault="00571360" w:rsidP="00571360">
      <w:pPr>
        <w:spacing w:line="360" w:lineRule="auto"/>
        <w:rPr>
          <w:rFonts w:ascii="Times New Roman" w:hAnsi="Times New Roman" w:cs="Times New Roman"/>
        </w:rPr>
      </w:pPr>
      <w:r w:rsidRPr="008E2D3C">
        <w:rPr>
          <w:rFonts w:ascii="Times New Roman" w:hAnsi="Times New Roman" w:cs="Times New Roman"/>
          <w:spacing w:val="-3"/>
        </w:rPr>
        <w:tab/>
      </w:r>
      <w:r w:rsidRPr="008E2D3C">
        <w:rPr>
          <w:rFonts w:ascii="Times New Roman" w:hAnsi="Times New Roman" w:cs="Times New Roman"/>
          <w:spacing w:val="-3"/>
        </w:rPr>
        <w:tab/>
      </w:r>
      <w:r w:rsidRPr="008E2D3C">
        <w:rPr>
          <w:rFonts w:ascii="Times New Roman" w:hAnsi="Times New Roman" w:cs="Times New Roman"/>
        </w:rPr>
        <w:t xml:space="preserve">Commission regulations permit the filing of preliminary objections.  </w:t>
      </w:r>
    </w:p>
    <w:p w14:paraId="2F615186" w14:textId="77777777" w:rsidR="00571360" w:rsidRPr="008E2D3C" w:rsidRDefault="00571360" w:rsidP="00571360">
      <w:pPr>
        <w:spacing w:line="360" w:lineRule="auto"/>
        <w:rPr>
          <w:rFonts w:ascii="Times New Roman" w:hAnsi="Times New Roman" w:cs="Times New Roman"/>
        </w:rPr>
      </w:pPr>
      <w:r w:rsidRPr="008E2D3C">
        <w:rPr>
          <w:rFonts w:ascii="Times New Roman" w:hAnsi="Times New Roman" w:cs="Times New Roman"/>
        </w:rPr>
        <w:t xml:space="preserve">52 </w:t>
      </w:r>
      <w:proofErr w:type="spellStart"/>
      <w:r w:rsidRPr="008E2D3C">
        <w:rPr>
          <w:rFonts w:ascii="Times New Roman" w:hAnsi="Times New Roman" w:cs="Times New Roman"/>
        </w:rPr>
        <w:t>Pa.Code</w:t>
      </w:r>
      <w:proofErr w:type="spellEnd"/>
      <w:r w:rsidRPr="008E2D3C">
        <w:rPr>
          <w:rFonts w:ascii="Times New Roman" w:hAnsi="Times New Roman" w:cs="Times New Roman"/>
        </w:rPr>
        <w:t xml:space="preserve"> §§ 5.101(a)(1)-(7).  Preliminary objection practice before the Commission is similar to Pennsylvania civil practice respecting preliminary objections.  </w:t>
      </w:r>
      <w:r w:rsidRPr="008E2D3C">
        <w:rPr>
          <w:rFonts w:ascii="Times New Roman" w:hAnsi="Times New Roman" w:cs="Times New Roman"/>
          <w:i/>
          <w:iCs/>
        </w:rPr>
        <w:t>Equitable Small Transportation Intervenors v. Equitable Gas Company</w:t>
      </w:r>
      <w:r w:rsidRPr="008E2D3C">
        <w:rPr>
          <w:rFonts w:ascii="Times New Roman" w:hAnsi="Times New Roman" w:cs="Times New Roman"/>
        </w:rPr>
        <w:t>, 1994 Pa. PUC LEXIS 69, Docket No. C-00935435 (July 18, 1994).</w:t>
      </w:r>
    </w:p>
    <w:p w14:paraId="43815CF1" w14:textId="77777777" w:rsidR="00571360" w:rsidRPr="008E2D3C" w:rsidRDefault="00571360" w:rsidP="00571360">
      <w:pPr>
        <w:spacing w:line="360" w:lineRule="auto"/>
        <w:rPr>
          <w:rFonts w:ascii="Times New Roman" w:hAnsi="Times New Roman" w:cs="Times New Roman"/>
        </w:rPr>
      </w:pPr>
    </w:p>
    <w:p w14:paraId="54D76C88" w14:textId="77777777" w:rsidR="00571360" w:rsidRPr="008E2D3C" w:rsidRDefault="00571360" w:rsidP="00571360">
      <w:pPr>
        <w:autoSpaceDE/>
        <w:autoSpaceDN/>
        <w:spacing w:line="360" w:lineRule="auto"/>
        <w:rPr>
          <w:rFonts w:ascii="Times New Roman" w:hAnsi="Times New Roman" w:cs="Times New Roman"/>
        </w:rPr>
      </w:pPr>
      <w:r w:rsidRPr="008E2D3C">
        <w:rPr>
          <w:rFonts w:ascii="Times New Roman" w:hAnsi="Times New Roman" w:cs="Times New Roman"/>
        </w:rPr>
        <w:tab/>
      </w:r>
      <w:r w:rsidRPr="008E2D3C">
        <w:rPr>
          <w:rFonts w:ascii="Times New Roman" w:hAnsi="Times New Roman" w:cs="Times New Roman"/>
        </w:rPr>
        <w:tab/>
        <w:t>Commission regulations provide:</w:t>
      </w:r>
    </w:p>
    <w:p w14:paraId="676B7538" w14:textId="77777777" w:rsidR="00571360" w:rsidRPr="008E2D3C" w:rsidRDefault="00571360" w:rsidP="00571360">
      <w:pPr>
        <w:autoSpaceDE/>
        <w:autoSpaceDN/>
        <w:spacing w:line="360" w:lineRule="auto"/>
        <w:rPr>
          <w:rFonts w:ascii="Times New Roman" w:hAnsi="Times New Roman" w:cs="Times New Roman"/>
        </w:rPr>
      </w:pPr>
    </w:p>
    <w:p w14:paraId="207CE10D" w14:textId="77777777" w:rsidR="00571360" w:rsidRPr="008E2D3C" w:rsidRDefault="00571360" w:rsidP="00571360">
      <w:pPr>
        <w:suppressAutoHyphens/>
        <w:autoSpaceDE/>
        <w:autoSpaceDN/>
        <w:ind w:left="720" w:right="1440" w:firstLine="720"/>
        <w:rPr>
          <w:rFonts w:ascii="Times New Roman" w:hAnsi="Times New Roman" w:cs="Times New Roman"/>
          <w:b/>
          <w:bCs/>
        </w:rPr>
      </w:pPr>
      <w:r w:rsidRPr="008E2D3C">
        <w:rPr>
          <w:rFonts w:ascii="Times New Roman" w:hAnsi="Times New Roman" w:cs="Times New Roman"/>
          <w:b/>
          <w:bCs/>
        </w:rPr>
        <w:t>§ 5.101. Preliminary objections.</w:t>
      </w:r>
    </w:p>
    <w:p w14:paraId="71D2854A" w14:textId="77777777" w:rsidR="00571360" w:rsidRPr="008E2D3C" w:rsidRDefault="00571360" w:rsidP="00571360">
      <w:pPr>
        <w:suppressAutoHyphens/>
        <w:autoSpaceDE/>
        <w:autoSpaceDN/>
        <w:ind w:left="1440" w:right="1440"/>
        <w:rPr>
          <w:rFonts w:ascii="Times New Roman" w:hAnsi="Times New Roman" w:cs="Times New Roman"/>
        </w:rPr>
      </w:pPr>
      <w:r w:rsidRPr="008E2D3C">
        <w:rPr>
          <w:rFonts w:ascii="Times New Roman" w:hAnsi="Times New Roman" w:cs="Times New Roman"/>
        </w:rPr>
        <w:t>(a)</w:t>
      </w:r>
      <w:r w:rsidRPr="008E2D3C">
        <w:rPr>
          <w:rFonts w:ascii="Times New Roman" w:hAnsi="Times New Roman" w:cs="Times New Roman"/>
        </w:rPr>
        <w:tab/>
      </w:r>
      <w:r w:rsidRPr="008E2D3C">
        <w:rPr>
          <w:rFonts w:ascii="Times New Roman" w:hAnsi="Times New Roman" w:cs="Times New Roman"/>
          <w:i/>
          <w:iCs/>
        </w:rPr>
        <w:t>Grounds.</w:t>
      </w:r>
      <w:r w:rsidRPr="008E2D3C">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450525B" w14:textId="77777777" w:rsidR="00571360" w:rsidRPr="008E2D3C" w:rsidRDefault="00571360" w:rsidP="00571360">
      <w:pPr>
        <w:suppressAutoHyphens/>
        <w:autoSpaceDE/>
        <w:autoSpaceDN/>
        <w:ind w:right="1440"/>
        <w:rPr>
          <w:rFonts w:ascii="Times New Roman" w:hAnsi="Times New Roman" w:cs="Times New Roman"/>
        </w:rPr>
      </w:pPr>
    </w:p>
    <w:p w14:paraId="08744B3F" w14:textId="77777777" w:rsidR="00571360" w:rsidRPr="008E2D3C" w:rsidRDefault="00571360" w:rsidP="00571360">
      <w:pPr>
        <w:suppressAutoHyphens/>
        <w:autoSpaceDE/>
        <w:autoSpaceDN/>
        <w:ind w:left="2160" w:right="1440"/>
        <w:rPr>
          <w:rFonts w:ascii="Times New Roman" w:hAnsi="Times New Roman" w:cs="Times New Roman"/>
        </w:rPr>
      </w:pPr>
      <w:r w:rsidRPr="008E2D3C">
        <w:rPr>
          <w:rFonts w:ascii="Times New Roman" w:hAnsi="Times New Roman" w:cs="Times New Roman"/>
        </w:rPr>
        <w:t>(1)</w:t>
      </w:r>
      <w:r w:rsidRPr="008E2D3C">
        <w:rPr>
          <w:rFonts w:ascii="Times New Roman" w:hAnsi="Times New Roman" w:cs="Times New Roman"/>
        </w:rPr>
        <w:tab/>
        <w:t xml:space="preserve">Lack of Commission </w:t>
      </w:r>
      <w:r w:rsidRPr="008E2D3C">
        <w:rPr>
          <w:rFonts w:ascii="Times New Roman" w:hAnsi="Times New Roman" w:cs="Times New Roman"/>
          <w:bCs/>
        </w:rPr>
        <w:t>jurisdiction</w:t>
      </w:r>
      <w:r w:rsidRPr="008E2D3C">
        <w:rPr>
          <w:rFonts w:ascii="Times New Roman" w:hAnsi="Times New Roman" w:cs="Times New Roman"/>
        </w:rPr>
        <w:t xml:space="preserve"> or improper service of the pleading initiating the proceeding.</w:t>
      </w:r>
      <w:r w:rsidRPr="008E2D3C">
        <w:rPr>
          <w:rFonts w:ascii="Times New Roman" w:hAnsi="Times New Roman" w:cs="Times New Roman"/>
        </w:rPr>
        <w:br/>
      </w:r>
      <w:r w:rsidRPr="008E2D3C">
        <w:rPr>
          <w:rFonts w:ascii="Times New Roman" w:hAnsi="Times New Roman" w:cs="Times New Roman"/>
        </w:rPr>
        <w:br/>
        <w:t>(2)</w:t>
      </w:r>
      <w:r w:rsidRPr="008E2D3C">
        <w:rPr>
          <w:rFonts w:ascii="Times New Roman" w:hAnsi="Times New Roman" w:cs="Times New Roman"/>
        </w:rPr>
        <w:tab/>
        <w:t>Failure of a pleading to conform to this chapter or the inclusion of scandalous or impertinent matter.</w:t>
      </w:r>
      <w:r w:rsidRPr="008E2D3C">
        <w:rPr>
          <w:rFonts w:ascii="Times New Roman" w:hAnsi="Times New Roman" w:cs="Times New Roman"/>
        </w:rPr>
        <w:br/>
      </w:r>
      <w:r w:rsidRPr="008E2D3C">
        <w:rPr>
          <w:rFonts w:ascii="Times New Roman" w:hAnsi="Times New Roman" w:cs="Times New Roman"/>
        </w:rPr>
        <w:br/>
        <w:t>(3)</w:t>
      </w:r>
      <w:r w:rsidRPr="008E2D3C">
        <w:rPr>
          <w:rFonts w:ascii="Times New Roman" w:hAnsi="Times New Roman" w:cs="Times New Roman"/>
        </w:rPr>
        <w:tab/>
        <w:t>Insufficient specificity of a pleading.</w:t>
      </w:r>
      <w:r w:rsidRPr="008E2D3C">
        <w:rPr>
          <w:rFonts w:ascii="Times New Roman" w:hAnsi="Times New Roman" w:cs="Times New Roman"/>
        </w:rPr>
        <w:br/>
      </w:r>
      <w:r w:rsidRPr="008E2D3C">
        <w:rPr>
          <w:rFonts w:ascii="Times New Roman" w:hAnsi="Times New Roman" w:cs="Times New Roman"/>
        </w:rPr>
        <w:br/>
        <w:t>(4)</w:t>
      </w:r>
      <w:r w:rsidRPr="008E2D3C">
        <w:rPr>
          <w:rFonts w:ascii="Times New Roman" w:hAnsi="Times New Roman" w:cs="Times New Roman"/>
        </w:rPr>
        <w:tab/>
        <w:t>Legal insufficiency of a pleading.</w:t>
      </w:r>
      <w:r w:rsidRPr="008E2D3C">
        <w:rPr>
          <w:rFonts w:ascii="Times New Roman" w:hAnsi="Times New Roman" w:cs="Times New Roman"/>
        </w:rPr>
        <w:br/>
      </w:r>
      <w:r w:rsidRPr="008E2D3C">
        <w:rPr>
          <w:rFonts w:ascii="Times New Roman" w:hAnsi="Times New Roman" w:cs="Times New Roman"/>
        </w:rPr>
        <w:br/>
        <w:t>(5)</w:t>
      </w:r>
      <w:r w:rsidRPr="008E2D3C">
        <w:rPr>
          <w:rFonts w:ascii="Times New Roman" w:hAnsi="Times New Roman" w:cs="Times New Roman"/>
        </w:rPr>
        <w:tab/>
        <w:t>Lack of capacity to sue, nonjoinder of a necessary party or misjoinder of a cause of action.</w:t>
      </w:r>
    </w:p>
    <w:p w14:paraId="70776FB9" w14:textId="77777777" w:rsidR="00571360" w:rsidRPr="008E2D3C" w:rsidRDefault="00571360" w:rsidP="00571360">
      <w:pPr>
        <w:suppressAutoHyphens/>
        <w:autoSpaceDE/>
        <w:autoSpaceDN/>
        <w:ind w:left="2160" w:right="1440"/>
        <w:rPr>
          <w:rFonts w:ascii="Times New Roman" w:hAnsi="Times New Roman" w:cs="Times New Roman"/>
        </w:rPr>
      </w:pPr>
      <w:r w:rsidRPr="008E2D3C">
        <w:rPr>
          <w:rFonts w:ascii="Times New Roman" w:hAnsi="Times New Roman" w:cs="Times New Roman"/>
        </w:rPr>
        <w:br/>
        <w:t>(6)</w:t>
      </w:r>
      <w:r w:rsidRPr="008E2D3C">
        <w:rPr>
          <w:rFonts w:ascii="Times New Roman" w:hAnsi="Times New Roman" w:cs="Times New Roman"/>
        </w:rPr>
        <w:tab/>
        <w:t>Pendency of a prior proceeding or agreement for alternative dispute resolution.</w:t>
      </w:r>
    </w:p>
    <w:p w14:paraId="3106031F" w14:textId="77777777" w:rsidR="00571360" w:rsidRPr="008E2D3C" w:rsidRDefault="00571360" w:rsidP="00571360">
      <w:pPr>
        <w:suppressAutoHyphens/>
        <w:autoSpaceDE/>
        <w:autoSpaceDN/>
        <w:ind w:left="2160" w:right="1440"/>
        <w:rPr>
          <w:rFonts w:ascii="Times New Roman" w:hAnsi="Times New Roman" w:cs="Times New Roman"/>
        </w:rPr>
      </w:pPr>
    </w:p>
    <w:p w14:paraId="4EB279ED" w14:textId="77777777" w:rsidR="00571360" w:rsidRPr="008E2D3C" w:rsidRDefault="00571360" w:rsidP="00571360">
      <w:pPr>
        <w:suppressAutoHyphens/>
        <w:autoSpaceDE/>
        <w:autoSpaceDN/>
        <w:ind w:left="2160" w:right="1440"/>
        <w:rPr>
          <w:rFonts w:ascii="Times New Roman" w:hAnsi="Times New Roman" w:cs="Times New Roman"/>
        </w:rPr>
      </w:pPr>
      <w:r w:rsidRPr="008E2D3C">
        <w:rPr>
          <w:rFonts w:ascii="Times New Roman" w:hAnsi="Times New Roman" w:cs="Times New Roman"/>
        </w:rPr>
        <w:t>(7)</w:t>
      </w:r>
      <w:r w:rsidRPr="008E2D3C">
        <w:rPr>
          <w:rFonts w:ascii="Times New Roman" w:hAnsi="Times New Roman" w:cs="Times New Roman"/>
        </w:rPr>
        <w:tab/>
        <w:t>Standing of a party to participate in the proceeding.</w:t>
      </w:r>
    </w:p>
    <w:p w14:paraId="2FFC65BF" w14:textId="77777777" w:rsidR="00571360" w:rsidRPr="008E2D3C" w:rsidRDefault="00571360" w:rsidP="00571360">
      <w:pPr>
        <w:autoSpaceDE/>
        <w:autoSpaceDN/>
        <w:spacing w:line="360" w:lineRule="auto"/>
        <w:rPr>
          <w:rFonts w:ascii="Times New Roman" w:hAnsi="Times New Roman" w:cs="Times New Roman"/>
        </w:rPr>
      </w:pPr>
    </w:p>
    <w:p w14:paraId="00D81267" w14:textId="77777777" w:rsidR="00571360" w:rsidRPr="008E2D3C" w:rsidRDefault="00571360" w:rsidP="00571360">
      <w:pPr>
        <w:autoSpaceDE/>
        <w:autoSpaceDN/>
        <w:spacing w:line="360" w:lineRule="auto"/>
        <w:rPr>
          <w:rFonts w:ascii="Times New Roman" w:hAnsi="Times New Roman" w:cs="Times New Roman"/>
        </w:rPr>
      </w:pPr>
      <w:r w:rsidRPr="008E2D3C">
        <w:rPr>
          <w:rFonts w:ascii="Times New Roman" w:hAnsi="Times New Roman" w:cs="Times New Roman"/>
        </w:rPr>
        <w:tab/>
      </w:r>
      <w:r w:rsidRPr="008E2D3C">
        <w:rPr>
          <w:rFonts w:ascii="Times New Roman" w:hAnsi="Times New Roman" w:cs="Times New Roman"/>
        </w:rPr>
        <w:tab/>
        <w:t xml:space="preserve">In deciding preliminary objections, the Commission must determine whether, based on well-pleaded factual averments of the complainant, recovery or relief is possible.  </w:t>
      </w:r>
      <w:proofErr w:type="spellStart"/>
      <w:r w:rsidRPr="008E2D3C">
        <w:rPr>
          <w:rFonts w:ascii="Times New Roman" w:hAnsi="Times New Roman" w:cs="Times New Roman"/>
          <w:i/>
        </w:rPr>
        <w:t>Dep’t</w:t>
      </w:r>
      <w:proofErr w:type="spellEnd"/>
      <w:r w:rsidRPr="008E2D3C">
        <w:rPr>
          <w:rFonts w:ascii="Times New Roman" w:hAnsi="Times New Roman" w:cs="Times New Roman"/>
          <w:i/>
        </w:rPr>
        <w:t xml:space="preserve"> of Auditor General, et al v. SERS, et al</w:t>
      </w:r>
      <w:r w:rsidRPr="008E2D3C">
        <w:rPr>
          <w:rFonts w:ascii="Times New Roman" w:hAnsi="Times New Roman" w:cs="Times New Roman"/>
        </w:rPr>
        <w:t xml:space="preserve">., 836 A.2d 1053, 1064 (Pa.Cmwlth. 2003); </w:t>
      </w:r>
      <w:r w:rsidRPr="008E2D3C">
        <w:rPr>
          <w:rFonts w:ascii="Times New Roman" w:hAnsi="Times New Roman" w:cs="Times New Roman"/>
          <w:i/>
        </w:rPr>
        <w:t>P.J.S. v. Pa. State Ethics Comm’n</w:t>
      </w:r>
      <w:r w:rsidRPr="008E2D3C">
        <w:rPr>
          <w:rFonts w:ascii="Times New Roman" w:hAnsi="Times New Roman" w:cs="Times New Roman"/>
        </w:rPr>
        <w:t xml:space="preserve">, 669 A.2d 1105 (Pa.Cmwlth. 1996).  Any doubt must be resolved in favor </w:t>
      </w:r>
      <w:r w:rsidRPr="008E2D3C">
        <w:rPr>
          <w:rFonts w:ascii="Times New Roman" w:hAnsi="Times New Roman" w:cs="Times New Roman"/>
        </w:rPr>
        <w:lastRenderedPageBreak/>
        <w:t xml:space="preserve">of the non-moving party by refusing to sustain the preliminary objections.  </w:t>
      </w:r>
      <w:r w:rsidRPr="008E2D3C">
        <w:rPr>
          <w:rFonts w:ascii="Times New Roman" w:hAnsi="Times New Roman" w:cs="Times New Roman"/>
          <w:i/>
        </w:rPr>
        <w:t>Boyd v. Ward</w:t>
      </w:r>
      <w:r w:rsidRPr="008E2D3C">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8E2D3C">
        <w:rPr>
          <w:rFonts w:ascii="Times New Roman" w:hAnsi="Times New Roman" w:cs="Times New Roman"/>
          <w:i/>
        </w:rPr>
        <w:t>Ridge v. State Employees’ Retirement Bd</w:t>
      </w:r>
      <w:r w:rsidRPr="008E2D3C">
        <w:rPr>
          <w:rFonts w:ascii="Times New Roman" w:hAnsi="Times New Roman" w:cs="Times New Roman"/>
        </w:rPr>
        <w:t>., 690 A.2d 1312 (Pa.Cmwlth. 1997).</w:t>
      </w:r>
    </w:p>
    <w:p w14:paraId="7C46ADDD" w14:textId="77777777" w:rsidR="00571360" w:rsidRPr="008E2D3C" w:rsidRDefault="00571360" w:rsidP="00571360">
      <w:pPr>
        <w:autoSpaceDE/>
        <w:autoSpaceDN/>
        <w:spacing w:line="360" w:lineRule="auto"/>
        <w:rPr>
          <w:rFonts w:ascii="Times New Roman" w:hAnsi="Times New Roman" w:cs="Times New Roman"/>
        </w:rPr>
      </w:pPr>
      <w:r w:rsidRPr="008E2D3C">
        <w:rPr>
          <w:rFonts w:ascii="Times New Roman" w:hAnsi="Times New Roman" w:cs="Times New Roman"/>
        </w:rPr>
        <w:br/>
      </w:r>
      <w:r w:rsidRPr="008E2D3C">
        <w:rPr>
          <w:rFonts w:ascii="Times New Roman" w:hAnsi="Times New Roman" w:cs="Times New Roman"/>
        </w:rPr>
        <w:tab/>
      </w:r>
      <w:r w:rsidRPr="008E2D3C">
        <w:rPr>
          <w:rFonts w:ascii="Times New Roman" w:hAnsi="Times New Roman" w:cs="Times New Roman"/>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3E88FD2F" w14:textId="77777777" w:rsidR="00571360" w:rsidRPr="008E2D3C" w:rsidRDefault="00571360" w:rsidP="00571360">
      <w:pPr>
        <w:autoSpaceDE/>
        <w:autoSpaceDN/>
        <w:spacing w:line="360" w:lineRule="auto"/>
        <w:rPr>
          <w:rFonts w:ascii="Times New Roman" w:hAnsi="Times New Roman" w:cs="Times New Roman"/>
        </w:rPr>
      </w:pPr>
    </w:p>
    <w:p w14:paraId="63FE22A9" w14:textId="0DC00014" w:rsidR="00571360" w:rsidRPr="008E2D3C" w:rsidRDefault="00571360" w:rsidP="00E14F85">
      <w:pPr>
        <w:autoSpaceDE/>
        <w:autoSpaceDN/>
        <w:spacing w:line="360" w:lineRule="auto"/>
        <w:ind w:firstLine="1440"/>
        <w:rPr>
          <w:rFonts w:ascii="Times New Roman" w:hAnsi="Times New Roman" w:cs="Times New Roman"/>
          <w:spacing w:val="-3"/>
        </w:rPr>
      </w:pPr>
      <w:r w:rsidRPr="008E2D3C">
        <w:rPr>
          <w:rFonts w:ascii="Times New Roman" w:hAnsi="Times New Roman" w:cs="Times New Roman"/>
        </w:rPr>
        <w:t xml:space="preserve">In the present case, the Complainant </w:t>
      </w:r>
      <w:r w:rsidRPr="008E2D3C">
        <w:rPr>
          <w:rFonts w:ascii="Times New Roman" w:hAnsi="Times New Roman" w:cs="Times New Roman"/>
          <w:spacing w:val="-3"/>
        </w:rPr>
        <w:t xml:space="preserve">alleged </w:t>
      </w:r>
      <w:r w:rsidR="00E14F85" w:rsidRPr="008E2D3C">
        <w:rPr>
          <w:rFonts w:ascii="Times New Roman" w:hAnsi="Times New Roman" w:cs="Times New Roman"/>
          <w:spacing w:val="-3"/>
        </w:rPr>
        <w:t xml:space="preserve">that she was improperly billed for charges arising out of gas service provided to her at </w:t>
      </w:r>
      <w:r w:rsidR="0020096B" w:rsidRPr="008E2D3C">
        <w:rPr>
          <w:rFonts w:ascii="Times New Roman" w:hAnsi="Times New Roman" w:cs="Times New Roman"/>
          <w:spacing w:val="-3"/>
        </w:rPr>
        <w:t xml:space="preserve">the </w:t>
      </w:r>
      <w:r w:rsidR="00E14F85" w:rsidRPr="008E2D3C">
        <w:rPr>
          <w:rFonts w:ascii="Times New Roman" w:eastAsiaTheme="minorHAnsi" w:hAnsi="Times New Roman" w:cs="Times New Roman"/>
        </w:rPr>
        <w:t xml:space="preserve">Crowson Service Address </w:t>
      </w:r>
      <w:r w:rsidR="00E14F85" w:rsidRPr="008E2D3C">
        <w:rPr>
          <w:rFonts w:ascii="Times New Roman" w:hAnsi="Times New Roman" w:cs="Times New Roman"/>
          <w:spacing w:val="-3"/>
        </w:rPr>
        <w:t xml:space="preserve">because the landlord of that location was responsible for utility charges and the service account at the </w:t>
      </w:r>
      <w:r w:rsidR="00E14F85" w:rsidRPr="008E2D3C">
        <w:rPr>
          <w:rFonts w:ascii="Times New Roman" w:eastAsiaTheme="minorHAnsi" w:hAnsi="Times New Roman" w:cs="Times New Roman"/>
        </w:rPr>
        <w:t>Crowson Service Address</w:t>
      </w:r>
      <w:r w:rsidR="00E14F85" w:rsidRPr="008E2D3C">
        <w:rPr>
          <w:rFonts w:ascii="Times New Roman" w:hAnsi="Times New Roman" w:cs="Times New Roman"/>
          <w:spacing w:val="-3"/>
        </w:rPr>
        <w:t xml:space="preserve"> was not in her name.  As relief, the Complainant requested that she be relieved of any obligation to pay for gas usage at the </w:t>
      </w:r>
      <w:r w:rsidR="00E14F85" w:rsidRPr="008E2D3C">
        <w:rPr>
          <w:rFonts w:ascii="Times New Roman" w:eastAsiaTheme="minorHAnsi" w:hAnsi="Times New Roman" w:cs="Times New Roman"/>
        </w:rPr>
        <w:t>Crowson service address</w:t>
      </w:r>
      <w:r w:rsidR="00E14F85" w:rsidRPr="008E2D3C">
        <w:rPr>
          <w:rFonts w:ascii="Times New Roman" w:hAnsi="Times New Roman" w:cs="Times New Roman"/>
          <w:spacing w:val="-3"/>
        </w:rPr>
        <w:t xml:space="preserve"> or another payment arrangement.     </w:t>
      </w:r>
    </w:p>
    <w:p w14:paraId="19CFB751" w14:textId="77777777" w:rsidR="0020096B" w:rsidRPr="008E2D3C" w:rsidRDefault="0020096B" w:rsidP="00E14F85">
      <w:pPr>
        <w:autoSpaceDE/>
        <w:autoSpaceDN/>
        <w:spacing w:line="360" w:lineRule="auto"/>
        <w:ind w:firstLine="1440"/>
        <w:rPr>
          <w:rFonts w:ascii="Times New Roman" w:hAnsi="Times New Roman" w:cs="Times New Roman"/>
        </w:rPr>
      </w:pPr>
    </w:p>
    <w:p w14:paraId="1D4D42E1" w14:textId="1C21F0B1" w:rsidR="00822A6A" w:rsidRPr="008E2D3C" w:rsidRDefault="00571360" w:rsidP="00571360">
      <w:pPr>
        <w:autoSpaceDE/>
        <w:autoSpaceDN/>
        <w:spacing w:line="360" w:lineRule="auto"/>
        <w:rPr>
          <w:rFonts w:ascii="Times New Roman" w:hAnsi="Times New Roman" w:cs="Times New Roman"/>
        </w:rPr>
      </w:pPr>
      <w:r w:rsidRPr="008E2D3C">
        <w:rPr>
          <w:rFonts w:ascii="Times New Roman" w:hAnsi="Times New Roman" w:cs="Times New Roman"/>
        </w:rPr>
        <w:tab/>
      </w:r>
      <w:r w:rsidRPr="008E2D3C">
        <w:rPr>
          <w:rFonts w:ascii="Times New Roman" w:hAnsi="Times New Roman" w:cs="Times New Roman"/>
        </w:rPr>
        <w:tab/>
        <w:t xml:space="preserve">In </w:t>
      </w:r>
      <w:r w:rsidR="00510621">
        <w:rPr>
          <w:rFonts w:ascii="Times New Roman" w:hAnsi="Times New Roman" w:cs="Times New Roman"/>
        </w:rPr>
        <w:t>the Answer</w:t>
      </w:r>
      <w:r w:rsidRPr="008E2D3C">
        <w:rPr>
          <w:rFonts w:ascii="Times New Roman" w:hAnsi="Times New Roman" w:cs="Times New Roman"/>
        </w:rPr>
        <w:t xml:space="preserve">, the Respondent denied any </w:t>
      </w:r>
      <w:r w:rsidR="0020096B" w:rsidRPr="008E2D3C">
        <w:rPr>
          <w:rFonts w:ascii="Times New Roman" w:hAnsi="Times New Roman" w:cs="Times New Roman"/>
        </w:rPr>
        <w:t>incorrect billing</w:t>
      </w:r>
      <w:r w:rsidRPr="008E2D3C">
        <w:rPr>
          <w:rFonts w:ascii="Times New Roman" w:hAnsi="Times New Roman" w:cs="Times New Roman"/>
        </w:rPr>
        <w:t xml:space="preserve">.  The Respondent further </w:t>
      </w:r>
      <w:r w:rsidR="00510621">
        <w:rPr>
          <w:rFonts w:ascii="Times New Roman" w:hAnsi="Times New Roman" w:cs="Times New Roman"/>
        </w:rPr>
        <w:t>responde</w:t>
      </w:r>
      <w:r w:rsidRPr="008E2D3C">
        <w:rPr>
          <w:rFonts w:ascii="Times New Roman" w:hAnsi="Times New Roman" w:cs="Times New Roman"/>
        </w:rPr>
        <w:t xml:space="preserve">d that the Complainant is not entitled to relief because </w:t>
      </w:r>
      <w:r w:rsidR="002D1606" w:rsidRPr="008E2D3C">
        <w:rPr>
          <w:rFonts w:ascii="Times New Roman" w:hAnsi="Times New Roman" w:cs="Times New Roman"/>
        </w:rPr>
        <w:t xml:space="preserve">her claim </w:t>
      </w:r>
      <w:r w:rsidR="00822A6A" w:rsidRPr="008E2D3C">
        <w:rPr>
          <w:rFonts w:ascii="Times New Roman" w:hAnsi="Times New Roman" w:cs="Times New Roman"/>
        </w:rPr>
        <w:t>is based on a</w:t>
      </w:r>
      <w:r w:rsidR="002D1606" w:rsidRPr="008E2D3C">
        <w:rPr>
          <w:rFonts w:ascii="Times New Roman" w:hAnsi="Times New Roman" w:cs="Times New Roman"/>
        </w:rPr>
        <w:t xml:space="preserve"> liability </w:t>
      </w:r>
      <w:r w:rsidR="00822A6A" w:rsidRPr="008E2D3C">
        <w:rPr>
          <w:rFonts w:ascii="Times New Roman" w:hAnsi="Times New Roman" w:cs="Times New Roman"/>
        </w:rPr>
        <w:t>that arose beyond the statute of limitations and</w:t>
      </w:r>
      <w:r w:rsidR="00816596">
        <w:rPr>
          <w:rFonts w:ascii="Times New Roman" w:hAnsi="Times New Roman" w:cs="Times New Roman"/>
        </w:rPr>
        <w:t>,</w:t>
      </w:r>
      <w:r w:rsidR="00822A6A" w:rsidRPr="008E2D3C">
        <w:rPr>
          <w:rFonts w:ascii="Times New Roman" w:hAnsi="Times New Roman" w:cs="Times New Roman"/>
        </w:rPr>
        <w:t xml:space="preserve"> therefore</w:t>
      </w:r>
      <w:r w:rsidR="00816596">
        <w:rPr>
          <w:rFonts w:ascii="Times New Roman" w:hAnsi="Times New Roman" w:cs="Times New Roman"/>
        </w:rPr>
        <w:t>,</w:t>
      </w:r>
      <w:r w:rsidRPr="008E2D3C">
        <w:rPr>
          <w:rFonts w:ascii="Times New Roman" w:hAnsi="Times New Roman" w:cs="Times New Roman"/>
        </w:rPr>
        <w:t xml:space="preserve"> is outside of the Commission’s jurisdiction.  In its Preliminary Objection, </w:t>
      </w:r>
      <w:r w:rsidR="00822A6A" w:rsidRPr="008E2D3C">
        <w:rPr>
          <w:rFonts w:ascii="Times New Roman" w:hAnsi="Times New Roman" w:cs="Times New Roman"/>
        </w:rPr>
        <w:t xml:space="preserve">the Respondent </w:t>
      </w:r>
      <w:r w:rsidR="00822A6A" w:rsidRPr="008E2D3C">
        <w:rPr>
          <w:rFonts w:ascii="Times New Roman" w:hAnsi="Times New Roman" w:cs="Times New Roman"/>
          <w:spacing w:val="-3"/>
        </w:rPr>
        <w:t xml:space="preserve">seeks dismissal of the issues raised in the Complaint that are beyond the statute of limitations because the Commission lacks the legal authority and jurisdiction over any such matter.  </w:t>
      </w:r>
    </w:p>
    <w:p w14:paraId="29C08EF0" w14:textId="77777777" w:rsidR="00822A6A" w:rsidRPr="008E2D3C" w:rsidRDefault="00822A6A" w:rsidP="00571360">
      <w:pPr>
        <w:autoSpaceDE/>
        <w:autoSpaceDN/>
        <w:spacing w:line="360" w:lineRule="auto"/>
        <w:rPr>
          <w:rFonts w:ascii="Times New Roman" w:hAnsi="Times New Roman" w:cs="Times New Roman"/>
        </w:rPr>
      </w:pPr>
    </w:p>
    <w:p w14:paraId="0E02BB16" w14:textId="674DACFB" w:rsidR="009B459F" w:rsidRPr="008E2D3C" w:rsidRDefault="00BF49A8" w:rsidP="005513C0">
      <w:pPr>
        <w:pStyle w:val="Default"/>
        <w:spacing w:line="360" w:lineRule="auto"/>
        <w:ind w:firstLine="1440"/>
      </w:pPr>
      <w:r w:rsidRPr="008E2D3C">
        <w:t xml:space="preserve">Section 701 of the Public Utility Code (Code), provides that any person may complain, in writing, about any act or thing done or omitted to be done by a public utility in violation, or claimed violation, of any law which the Commission has the jurisdiction to </w:t>
      </w:r>
      <w:r w:rsidRPr="008E2D3C">
        <w:lastRenderedPageBreak/>
        <w:t>administer, or of any regulation or order of the Commission.</w:t>
      </w:r>
      <w:r w:rsidR="000F5EEA" w:rsidRPr="008E2D3C">
        <w:rPr>
          <w:rStyle w:val="FootnoteReference"/>
        </w:rPr>
        <w:footnoteReference w:id="2"/>
      </w:r>
      <w:r w:rsidRPr="008E2D3C">
        <w:t xml:space="preserve"> </w:t>
      </w:r>
      <w:r w:rsidR="00810883" w:rsidRPr="008E2D3C">
        <w:t xml:space="preserve"> </w:t>
      </w:r>
      <w:r w:rsidRPr="008E2D3C">
        <w:t>However, a person’s right to bring a complaint before the Commission is limited by the Commission’s statute of limitations.</w:t>
      </w:r>
      <w:r w:rsidR="000F5EEA" w:rsidRPr="008E2D3C">
        <w:rPr>
          <w:rStyle w:val="FootnoteReference"/>
        </w:rPr>
        <w:footnoteReference w:id="3"/>
      </w:r>
    </w:p>
    <w:p w14:paraId="4E791F33" w14:textId="77777777" w:rsidR="00BF49A8" w:rsidRPr="008E2D3C" w:rsidRDefault="00BF49A8" w:rsidP="005513C0">
      <w:pPr>
        <w:pStyle w:val="Default"/>
        <w:spacing w:line="360" w:lineRule="auto"/>
      </w:pPr>
    </w:p>
    <w:p w14:paraId="5B978D32" w14:textId="6BF92DC9" w:rsidR="007A5ACB" w:rsidRPr="008E2D3C" w:rsidRDefault="007A5ACB" w:rsidP="005513C0">
      <w:pPr>
        <w:pStyle w:val="Default"/>
        <w:spacing w:line="360" w:lineRule="auto"/>
        <w:ind w:firstLine="1440"/>
      </w:pPr>
      <w:r w:rsidRPr="008E2D3C">
        <w:t xml:space="preserve">Section 3314 of the Public Utility Code sets forth a statute of limitation for proceedings before the Commission: </w:t>
      </w:r>
    </w:p>
    <w:p w14:paraId="2794A8B3" w14:textId="77777777" w:rsidR="007B1ECB" w:rsidRPr="008E2D3C" w:rsidRDefault="007B1ECB" w:rsidP="005513C0">
      <w:pPr>
        <w:pStyle w:val="Default"/>
        <w:spacing w:line="360" w:lineRule="auto"/>
        <w:ind w:firstLine="1440"/>
      </w:pPr>
    </w:p>
    <w:p w14:paraId="601091DD" w14:textId="0F597AEF" w:rsidR="007A5ACB" w:rsidRPr="008E2D3C" w:rsidRDefault="007A5ACB" w:rsidP="00915D5C">
      <w:pPr>
        <w:pStyle w:val="Default"/>
        <w:ind w:left="1440" w:right="1440"/>
      </w:pPr>
      <w:r w:rsidRPr="008E2D3C">
        <w:t xml:space="preserve">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 </w:t>
      </w:r>
    </w:p>
    <w:p w14:paraId="76CDDB04" w14:textId="77777777" w:rsidR="007B1ECB" w:rsidRPr="008E2D3C" w:rsidRDefault="007B1ECB" w:rsidP="00915D5C">
      <w:pPr>
        <w:pStyle w:val="Default"/>
        <w:spacing w:line="360" w:lineRule="auto"/>
        <w:ind w:left="1440" w:right="1440"/>
      </w:pPr>
    </w:p>
    <w:p w14:paraId="1680D7A0" w14:textId="214F1931" w:rsidR="001F2375" w:rsidRPr="008E2D3C" w:rsidRDefault="007A5ACB" w:rsidP="004A4976">
      <w:pPr>
        <w:pStyle w:val="Default"/>
        <w:spacing w:line="360" w:lineRule="auto"/>
        <w:ind w:firstLine="1440"/>
      </w:pPr>
      <w:r w:rsidRPr="008E2D3C">
        <w:t>Generally, the Commission has held that Section 3314 “terminates the right to bring an action as well as any remedy the Commission may order.”</w:t>
      </w:r>
      <w:r w:rsidR="00C861D1" w:rsidRPr="008E2D3C">
        <w:rPr>
          <w:rStyle w:val="FootnoteReference"/>
        </w:rPr>
        <w:footnoteReference w:id="4"/>
      </w:r>
      <w:r w:rsidR="00A54B77" w:rsidRPr="008E2D3C">
        <w:t xml:space="preserve">  </w:t>
      </w:r>
      <w:r w:rsidRPr="008E2D3C">
        <w:t xml:space="preserve">This means that the Commission does not have the power to resolve a dispute where the complainant had notice of the claim more than three years before filing a complaint with the Commission. </w:t>
      </w:r>
      <w:r w:rsidR="00C9594A" w:rsidRPr="008E2D3C">
        <w:t xml:space="preserve"> </w:t>
      </w:r>
      <w:r w:rsidRPr="008E2D3C">
        <w:t xml:space="preserve">The Code does </w:t>
      </w:r>
      <w:r w:rsidR="00C9594A" w:rsidRPr="008E2D3C">
        <w:t>recognize certain exceptions which toll or pause the statute of limitations, such as the discovery rule and the doctrine of fraudulent concealment.</w:t>
      </w:r>
      <w:r w:rsidR="00FA4533" w:rsidRPr="008E2D3C">
        <w:rPr>
          <w:rStyle w:val="FootnoteReference"/>
        </w:rPr>
        <w:footnoteReference w:id="5"/>
      </w:r>
      <w:r w:rsidR="00013689" w:rsidRPr="008E2D3C">
        <w:t xml:space="preserve">  </w:t>
      </w:r>
      <w:r w:rsidR="00C9594A" w:rsidRPr="008E2D3C">
        <w:t xml:space="preserve">The Pennsylvania Supreme Court instructed that: </w:t>
      </w:r>
    </w:p>
    <w:p w14:paraId="1200D839" w14:textId="350C4310" w:rsidR="00C9594A" w:rsidRPr="008E2D3C" w:rsidRDefault="00C9594A" w:rsidP="00DF75F2">
      <w:pPr>
        <w:pStyle w:val="Default"/>
        <w:ind w:left="1440" w:right="1440"/>
      </w:pPr>
      <w:r w:rsidRPr="008E2D3C">
        <w:t>a statute of limitations, like all statutes, must be read with reason and common sense; that its application to a given set of circumstances, must not be made to produce something that the General Assembly could never have intended; and that its interpretation must be guided by the presumption in the Statutory Construction Act that the legislature does not intend a result that is absurd, impossible of execution or unreasonable.</w:t>
      </w:r>
      <w:r w:rsidR="001F2375" w:rsidRPr="008E2D3C">
        <w:rPr>
          <w:rStyle w:val="FootnoteReference"/>
        </w:rPr>
        <w:footnoteReference w:id="6"/>
      </w:r>
      <w:r w:rsidRPr="008E2D3C">
        <w:t xml:space="preserve"> </w:t>
      </w:r>
    </w:p>
    <w:p w14:paraId="32759A19" w14:textId="64A59064" w:rsidR="000D4613" w:rsidRPr="008E2D3C" w:rsidRDefault="000D4613" w:rsidP="00DF75F2">
      <w:pPr>
        <w:pStyle w:val="Default"/>
        <w:ind w:left="1440" w:right="1440"/>
      </w:pPr>
    </w:p>
    <w:p w14:paraId="2F1D5848" w14:textId="77777777" w:rsidR="00C02C50" w:rsidRDefault="00C02C50" w:rsidP="000D4613">
      <w:pPr>
        <w:pStyle w:val="Default"/>
        <w:spacing w:line="360" w:lineRule="auto"/>
        <w:ind w:firstLine="1440"/>
      </w:pPr>
    </w:p>
    <w:p w14:paraId="26CE5557" w14:textId="453C9477" w:rsidR="007A5ACB" w:rsidRPr="008E2D3C" w:rsidRDefault="00C9594A" w:rsidP="000D4613">
      <w:pPr>
        <w:pStyle w:val="Default"/>
        <w:spacing w:line="360" w:lineRule="auto"/>
        <w:ind w:firstLine="1440"/>
      </w:pPr>
      <w:r w:rsidRPr="008E2D3C">
        <w:lastRenderedPageBreak/>
        <w:t xml:space="preserve">While the Commission has not explicitly adopted the Pennsylvania Supreme Court’s instruction for interpreting statutes of limitations, Commission decisions reflect the principles set forth by the court. </w:t>
      </w:r>
      <w:r w:rsidR="00C02C50">
        <w:t xml:space="preserve"> </w:t>
      </w:r>
      <w:r w:rsidRPr="008E2D3C">
        <w:t>The Commission has noted in consumer cases that the statute of limitations begins to run when a complainant becomes aware of or “discovers” a cause of action.</w:t>
      </w:r>
      <w:r w:rsidR="004611B2" w:rsidRPr="008E2D3C">
        <w:rPr>
          <w:rStyle w:val="FootnoteReference"/>
        </w:rPr>
        <w:footnoteReference w:id="7"/>
      </w:r>
      <w:r w:rsidR="00756DD7" w:rsidRPr="008E2D3C">
        <w:t xml:space="preserve">  </w:t>
      </w:r>
      <w:r w:rsidRPr="008E2D3C">
        <w:t>Also, the Commission has applied the doctrine of equitable estoppel to toll the application of a statute of limitations in consumer cases where fraud or misrepresentation concealing the cause of action may be involved.</w:t>
      </w:r>
      <w:r w:rsidR="00B724AC" w:rsidRPr="008E2D3C">
        <w:rPr>
          <w:rStyle w:val="FootnoteReference"/>
        </w:rPr>
        <w:footnoteReference w:id="8"/>
      </w:r>
      <w:r w:rsidR="00B724AC" w:rsidRPr="008E2D3C">
        <w:t xml:space="preserve">  </w:t>
      </w:r>
      <w:r w:rsidRPr="008E2D3C">
        <w:t xml:space="preserve">Finally, the Commission did not dismiss a complaint based on the statute of limitations where a complainant alleged that a utility failed to remedy a service complaint for a number of years. </w:t>
      </w:r>
      <w:r w:rsidR="00C02C50">
        <w:t xml:space="preserve"> </w:t>
      </w:r>
      <w:r w:rsidRPr="008E2D3C">
        <w:t>The Commission held that in this circumstance, a violation continued until the utility acted, and a civil penalty was permitted.</w:t>
      </w:r>
      <w:r w:rsidR="007B17E1" w:rsidRPr="008E2D3C">
        <w:rPr>
          <w:rStyle w:val="FootnoteReference"/>
        </w:rPr>
        <w:footnoteReference w:id="9"/>
      </w:r>
    </w:p>
    <w:p w14:paraId="3EE820FA" w14:textId="6A45DDED" w:rsidR="003E2040" w:rsidRPr="008E2D3C" w:rsidRDefault="003E2040" w:rsidP="000D4613">
      <w:pPr>
        <w:pStyle w:val="Default"/>
        <w:spacing w:line="360" w:lineRule="auto"/>
        <w:ind w:firstLine="1440"/>
      </w:pPr>
    </w:p>
    <w:p w14:paraId="155FB567" w14:textId="61998722" w:rsidR="003E2040" w:rsidRPr="008E2D3C" w:rsidRDefault="006838BF" w:rsidP="000D4613">
      <w:pPr>
        <w:pStyle w:val="Default"/>
        <w:spacing w:line="360" w:lineRule="auto"/>
        <w:ind w:firstLine="1440"/>
      </w:pPr>
      <w:r w:rsidRPr="008E2D3C">
        <w:t xml:space="preserve">In determining whether the Complaint was filed within the three-year statute of limitations, I must determine the date at which Ms. Gregory knew or should have known that </w:t>
      </w:r>
      <w:r w:rsidR="00434B32" w:rsidRPr="008E2D3C">
        <w:t>the charges from the Crowson Service Address were transferred to the Akron Service Address.</w:t>
      </w:r>
      <w:r w:rsidR="00D642BA" w:rsidRPr="008E2D3C">
        <w:t xml:space="preserve">  </w:t>
      </w:r>
    </w:p>
    <w:p w14:paraId="1C53A436" w14:textId="4FCF756C" w:rsidR="003E2040" w:rsidRPr="008E2D3C" w:rsidRDefault="003E2040" w:rsidP="003E2040">
      <w:pPr>
        <w:pStyle w:val="Default"/>
        <w:spacing w:line="360" w:lineRule="auto"/>
        <w:ind w:firstLine="1440"/>
      </w:pPr>
    </w:p>
    <w:p w14:paraId="41F67F9E" w14:textId="4B22C557" w:rsidR="003E2040" w:rsidRPr="008E2D3C" w:rsidRDefault="003E2040" w:rsidP="00B869B3">
      <w:pPr>
        <w:pStyle w:val="FootnoteText"/>
        <w:spacing w:line="360" w:lineRule="auto"/>
        <w:ind w:firstLine="1440"/>
        <w:rPr>
          <w:rFonts w:ascii="Times New Roman" w:hAnsi="Times New Roman" w:cs="Times New Roman"/>
          <w:color w:val="212121"/>
          <w:sz w:val="24"/>
          <w:szCs w:val="24"/>
          <w:shd w:val="clear" w:color="auto" w:fill="FFFFFF"/>
        </w:rPr>
      </w:pPr>
      <w:r w:rsidRPr="008E2D3C">
        <w:rPr>
          <w:rFonts w:ascii="Times New Roman" w:hAnsi="Times New Roman" w:cs="Times New Roman"/>
          <w:color w:val="212121"/>
          <w:sz w:val="24"/>
          <w:szCs w:val="24"/>
          <w:shd w:val="clear" w:color="auto" w:fill="FFFFFF"/>
        </w:rPr>
        <w:t>Commission Regulations provide that failure to file a timely reply to new matter may be deemed in default, and relevant facts stated in the new matter may be deemed to be admitted.</w:t>
      </w:r>
      <w:r w:rsidR="00DA7215" w:rsidRPr="008E2D3C">
        <w:rPr>
          <w:rStyle w:val="FootnoteReference"/>
          <w:rFonts w:ascii="Times New Roman" w:hAnsi="Times New Roman" w:cs="Times New Roman"/>
          <w:color w:val="212121"/>
          <w:sz w:val="24"/>
          <w:szCs w:val="24"/>
          <w:shd w:val="clear" w:color="auto" w:fill="FFFFFF"/>
        </w:rPr>
        <w:footnoteReference w:id="10"/>
      </w:r>
      <w:r w:rsidRPr="008E2D3C">
        <w:rPr>
          <w:rFonts w:ascii="Times New Roman" w:hAnsi="Times New Roman" w:cs="Times New Roman"/>
          <w:color w:val="212121"/>
          <w:sz w:val="24"/>
          <w:szCs w:val="24"/>
          <w:shd w:val="clear" w:color="auto" w:fill="FFFFFF"/>
        </w:rPr>
        <w:t> </w:t>
      </w:r>
      <w:r w:rsidR="00DA7215" w:rsidRPr="008E2D3C">
        <w:rPr>
          <w:rFonts w:ascii="Times New Roman" w:hAnsi="Times New Roman" w:cs="Times New Roman"/>
          <w:color w:val="212121"/>
          <w:sz w:val="24"/>
          <w:szCs w:val="24"/>
          <w:shd w:val="clear" w:color="auto" w:fill="FFFFFF"/>
        </w:rPr>
        <w:t xml:space="preserve"> </w:t>
      </w:r>
      <w:r w:rsidRPr="008E2D3C">
        <w:rPr>
          <w:rFonts w:ascii="Times New Roman" w:hAnsi="Times New Roman" w:cs="Times New Roman"/>
          <w:color w:val="212121"/>
          <w:sz w:val="24"/>
          <w:szCs w:val="24"/>
          <w:shd w:val="clear" w:color="auto" w:fill="FFFFFF"/>
        </w:rPr>
        <w:t>The Complainant did not file a timely response to the new matter</w:t>
      </w:r>
      <w:r w:rsidR="00091F35">
        <w:rPr>
          <w:rFonts w:ascii="Times New Roman" w:hAnsi="Times New Roman" w:cs="Times New Roman"/>
          <w:color w:val="212121"/>
          <w:sz w:val="24"/>
          <w:szCs w:val="24"/>
          <w:shd w:val="clear" w:color="auto" w:fill="FFFFFF"/>
        </w:rPr>
        <w:t xml:space="preserve">.  As a result, </w:t>
      </w:r>
      <w:r w:rsidRPr="008E2D3C">
        <w:rPr>
          <w:rFonts w:ascii="Times New Roman" w:hAnsi="Times New Roman" w:cs="Times New Roman"/>
          <w:color w:val="212121"/>
          <w:sz w:val="24"/>
          <w:szCs w:val="24"/>
          <w:shd w:val="clear" w:color="auto" w:fill="FFFFFF"/>
        </w:rPr>
        <w:t xml:space="preserve">the new matter is deemed in default and the facts stated by PGW in its </w:t>
      </w:r>
      <w:r w:rsidR="009F7FDF" w:rsidRPr="008E2D3C">
        <w:rPr>
          <w:rFonts w:ascii="Times New Roman" w:hAnsi="Times New Roman" w:cs="Times New Roman"/>
          <w:color w:val="212121"/>
          <w:sz w:val="24"/>
          <w:szCs w:val="24"/>
          <w:shd w:val="clear" w:color="auto" w:fill="FFFFFF"/>
        </w:rPr>
        <w:t>n</w:t>
      </w:r>
      <w:r w:rsidRPr="008E2D3C">
        <w:rPr>
          <w:rFonts w:ascii="Times New Roman" w:hAnsi="Times New Roman" w:cs="Times New Roman"/>
          <w:color w:val="212121"/>
          <w:sz w:val="24"/>
          <w:szCs w:val="24"/>
          <w:shd w:val="clear" w:color="auto" w:fill="FFFFFF"/>
        </w:rPr>
        <w:t xml:space="preserve">ew </w:t>
      </w:r>
      <w:r w:rsidR="009F7FDF" w:rsidRPr="008E2D3C">
        <w:rPr>
          <w:rFonts w:ascii="Times New Roman" w:hAnsi="Times New Roman" w:cs="Times New Roman"/>
          <w:color w:val="212121"/>
          <w:sz w:val="24"/>
          <w:szCs w:val="24"/>
          <w:shd w:val="clear" w:color="auto" w:fill="FFFFFF"/>
        </w:rPr>
        <w:t>m</w:t>
      </w:r>
      <w:r w:rsidRPr="008E2D3C">
        <w:rPr>
          <w:rFonts w:ascii="Times New Roman" w:hAnsi="Times New Roman" w:cs="Times New Roman"/>
          <w:color w:val="212121"/>
          <w:sz w:val="24"/>
          <w:szCs w:val="24"/>
          <w:shd w:val="clear" w:color="auto" w:fill="FFFFFF"/>
        </w:rPr>
        <w:t xml:space="preserve">atter are deemed admitted by the Complainant. </w:t>
      </w:r>
      <w:r w:rsidR="001E022D" w:rsidRPr="008E2D3C">
        <w:rPr>
          <w:rFonts w:ascii="Times New Roman" w:hAnsi="Times New Roman" w:cs="Times New Roman"/>
          <w:color w:val="212121"/>
          <w:sz w:val="24"/>
          <w:szCs w:val="24"/>
          <w:shd w:val="clear" w:color="auto" w:fill="FFFFFF"/>
        </w:rPr>
        <w:t xml:space="preserve"> </w:t>
      </w:r>
    </w:p>
    <w:p w14:paraId="638ED8CC" w14:textId="7A1FFC39" w:rsidR="006815EF" w:rsidRPr="008E2D3C" w:rsidRDefault="006815EF" w:rsidP="00B869B3">
      <w:pPr>
        <w:pStyle w:val="FootnoteText"/>
        <w:spacing w:line="360" w:lineRule="auto"/>
        <w:ind w:firstLine="1440"/>
        <w:rPr>
          <w:rFonts w:ascii="Times New Roman" w:hAnsi="Times New Roman" w:cs="Times New Roman"/>
          <w:color w:val="212121"/>
          <w:sz w:val="24"/>
          <w:szCs w:val="24"/>
          <w:shd w:val="clear" w:color="auto" w:fill="FFFFFF"/>
        </w:rPr>
      </w:pPr>
    </w:p>
    <w:p w14:paraId="28A8017F" w14:textId="0503994C" w:rsidR="001209C7" w:rsidRDefault="006815EF" w:rsidP="00853A98">
      <w:pPr>
        <w:pStyle w:val="Default"/>
        <w:spacing w:line="360" w:lineRule="auto"/>
        <w:ind w:firstLine="1440"/>
      </w:pPr>
      <w:r w:rsidRPr="008E2D3C">
        <w:rPr>
          <w:color w:val="212121"/>
          <w:shd w:val="clear" w:color="auto" w:fill="FFFFFF"/>
        </w:rPr>
        <w:t xml:space="preserve">The </w:t>
      </w:r>
      <w:r w:rsidR="00CC1EBB">
        <w:rPr>
          <w:color w:val="212121"/>
          <w:shd w:val="clear" w:color="auto" w:fill="FFFFFF"/>
        </w:rPr>
        <w:t xml:space="preserve">Respondent’s </w:t>
      </w:r>
      <w:r w:rsidR="009F7FDF" w:rsidRPr="008E2D3C">
        <w:rPr>
          <w:color w:val="212121"/>
          <w:shd w:val="clear" w:color="auto" w:fill="FFFFFF"/>
        </w:rPr>
        <w:t>n</w:t>
      </w:r>
      <w:r w:rsidR="00623E7F" w:rsidRPr="008E2D3C">
        <w:rPr>
          <w:color w:val="212121"/>
          <w:shd w:val="clear" w:color="auto" w:fill="FFFFFF"/>
        </w:rPr>
        <w:t xml:space="preserve">ew </w:t>
      </w:r>
      <w:r w:rsidR="00985F1E" w:rsidRPr="008E2D3C">
        <w:rPr>
          <w:color w:val="212121"/>
          <w:shd w:val="clear" w:color="auto" w:fill="FFFFFF"/>
        </w:rPr>
        <w:t>m</w:t>
      </w:r>
      <w:r w:rsidR="00623E7F" w:rsidRPr="008E2D3C">
        <w:rPr>
          <w:color w:val="212121"/>
          <w:shd w:val="clear" w:color="auto" w:fill="FFFFFF"/>
        </w:rPr>
        <w:t xml:space="preserve">atter </w:t>
      </w:r>
      <w:r w:rsidR="00FE0A3E" w:rsidRPr="008E2D3C">
        <w:rPr>
          <w:color w:val="212121"/>
          <w:shd w:val="clear" w:color="auto" w:fill="FFFFFF"/>
        </w:rPr>
        <w:t>demonstrat</w:t>
      </w:r>
      <w:r w:rsidR="00EA4C50" w:rsidRPr="008E2D3C">
        <w:rPr>
          <w:color w:val="212121"/>
          <w:shd w:val="clear" w:color="auto" w:fill="FFFFFF"/>
        </w:rPr>
        <w:t>es</w:t>
      </w:r>
      <w:r w:rsidR="004675C1" w:rsidRPr="008E2D3C">
        <w:rPr>
          <w:color w:val="212121"/>
          <w:shd w:val="clear" w:color="auto" w:fill="FFFFFF"/>
        </w:rPr>
        <w:t xml:space="preserve"> that the </w:t>
      </w:r>
      <w:r w:rsidR="00D15CF0" w:rsidRPr="008E2D3C">
        <w:rPr>
          <w:color w:val="212121"/>
          <w:shd w:val="clear" w:color="auto" w:fill="FFFFFF"/>
        </w:rPr>
        <w:t>Complainant</w:t>
      </w:r>
      <w:r w:rsidR="004675C1" w:rsidRPr="008E2D3C">
        <w:rPr>
          <w:color w:val="212121"/>
          <w:shd w:val="clear" w:color="auto" w:fill="FFFFFF"/>
        </w:rPr>
        <w:t xml:space="preserve"> </w:t>
      </w:r>
      <w:r w:rsidR="005745C2" w:rsidRPr="008E2D3C">
        <w:rPr>
          <w:color w:val="212121"/>
          <w:shd w:val="clear" w:color="auto" w:fill="FFFFFF"/>
        </w:rPr>
        <w:t xml:space="preserve">maintained gas </w:t>
      </w:r>
      <w:r w:rsidR="00F91BCD" w:rsidRPr="008E2D3C">
        <w:rPr>
          <w:color w:val="212121"/>
          <w:shd w:val="clear" w:color="auto" w:fill="FFFFFF"/>
        </w:rPr>
        <w:t xml:space="preserve">service </w:t>
      </w:r>
      <w:r w:rsidR="00375062" w:rsidRPr="008E2D3C">
        <w:rPr>
          <w:color w:val="212121"/>
          <w:shd w:val="clear" w:color="auto" w:fill="FFFFFF"/>
        </w:rPr>
        <w:t xml:space="preserve">in her name </w:t>
      </w:r>
      <w:r w:rsidR="00F91BCD" w:rsidRPr="008E2D3C">
        <w:rPr>
          <w:color w:val="212121"/>
          <w:shd w:val="clear" w:color="auto" w:fill="FFFFFF"/>
        </w:rPr>
        <w:t>at the Crowson Service Address</w:t>
      </w:r>
      <w:r w:rsidR="00D15CF0" w:rsidRPr="008E2D3C">
        <w:rPr>
          <w:color w:val="212121"/>
          <w:shd w:val="clear" w:color="auto" w:fill="FFFFFF"/>
        </w:rPr>
        <w:t xml:space="preserve"> </w:t>
      </w:r>
      <w:r w:rsidR="00812DCA" w:rsidRPr="008E2D3C">
        <w:t>from October 29, 2004 through June 30, 2010</w:t>
      </w:r>
      <w:r w:rsidR="009B54DD" w:rsidRPr="008E2D3C">
        <w:t>.</w:t>
      </w:r>
      <w:r w:rsidR="006B5D30" w:rsidRPr="008E2D3C">
        <w:rPr>
          <w:rStyle w:val="FootnoteReference"/>
        </w:rPr>
        <w:footnoteReference w:id="11"/>
      </w:r>
      <w:r w:rsidR="00EA4C50" w:rsidRPr="008E2D3C">
        <w:t xml:space="preserve">  In addition, </w:t>
      </w:r>
      <w:r w:rsidR="00472916" w:rsidRPr="008E2D3C">
        <w:t xml:space="preserve">during that period </w:t>
      </w:r>
      <w:r w:rsidR="005851EB">
        <w:t xml:space="preserve">she </w:t>
      </w:r>
      <w:r w:rsidR="0024383F" w:rsidRPr="008E2D3C">
        <w:t xml:space="preserve">entered into three PGW-issued payment agreements </w:t>
      </w:r>
      <w:r w:rsidR="0024383F" w:rsidRPr="008E2D3C">
        <w:lastRenderedPageBreak/>
        <w:t>and enrolled in PGW’s Customer Responsibility Program</w:t>
      </w:r>
      <w:r w:rsidR="00CC1EBB">
        <w:t xml:space="preserve">, indicating that she knew that she was responsible for </w:t>
      </w:r>
      <w:r w:rsidR="000108EB">
        <w:t>gas service charges to her while she resided at that address</w:t>
      </w:r>
      <w:r w:rsidR="0024383F" w:rsidRPr="008E2D3C">
        <w:t>.</w:t>
      </w:r>
      <w:r w:rsidR="006B5D30" w:rsidRPr="008E2D3C">
        <w:rPr>
          <w:rStyle w:val="FootnoteReference"/>
        </w:rPr>
        <w:footnoteReference w:id="12"/>
      </w:r>
      <w:r w:rsidR="00EA4C50" w:rsidRPr="008E2D3C">
        <w:t xml:space="preserve"> </w:t>
      </w:r>
      <w:r w:rsidR="00DE438E" w:rsidRPr="008E2D3C">
        <w:t xml:space="preserve"> Furthermore, </w:t>
      </w:r>
      <w:r w:rsidR="00A37551" w:rsidRPr="008E2D3C">
        <w:t xml:space="preserve">on February 24, 2012, </w:t>
      </w:r>
      <w:r w:rsidR="006C4E58" w:rsidRPr="008E2D3C">
        <w:t xml:space="preserve">when </w:t>
      </w:r>
      <w:r w:rsidR="002820BF" w:rsidRPr="008E2D3C">
        <w:t xml:space="preserve">the </w:t>
      </w:r>
      <w:r w:rsidR="00A37551" w:rsidRPr="008E2D3C">
        <w:t>Complainant establish</w:t>
      </w:r>
      <w:r w:rsidR="002820BF" w:rsidRPr="008E2D3C">
        <w:t>ed</w:t>
      </w:r>
      <w:r w:rsidR="00A37551" w:rsidRPr="008E2D3C">
        <w:t xml:space="preserve"> gas service at the </w:t>
      </w:r>
      <w:r w:rsidR="002820BF" w:rsidRPr="008E2D3C">
        <w:t xml:space="preserve">Akron </w:t>
      </w:r>
      <w:r w:rsidR="00A37551" w:rsidRPr="008E2D3C">
        <w:t>Service Address</w:t>
      </w:r>
      <w:r w:rsidR="006C4E58" w:rsidRPr="008E2D3C">
        <w:t xml:space="preserve">, </w:t>
      </w:r>
      <w:r w:rsidR="00456050" w:rsidRPr="008E2D3C">
        <w:t xml:space="preserve">she was informed that </w:t>
      </w:r>
      <w:r w:rsidR="00A37551" w:rsidRPr="008E2D3C">
        <w:t>the transfer of service</w:t>
      </w:r>
      <w:r w:rsidR="00456050" w:rsidRPr="008E2D3C">
        <w:t xml:space="preserve"> </w:t>
      </w:r>
      <w:r w:rsidR="00A37551" w:rsidRPr="008E2D3C">
        <w:t xml:space="preserve">included reactivating the balance from </w:t>
      </w:r>
      <w:r w:rsidR="00456050" w:rsidRPr="008E2D3C">
        <w:t>the</w:t>
      </w:r>
      <w:r w:rsidR="00A37551" w:rsidRPr="008E2D3C">
        <w:t xml:space="preserve"> Crowson S</w:t>
      </w:r>
      <w:r w:rsidR="00456050" w:rsidRPr="008E2D3C">
        <w:t>ervice Address</w:t>
      </w:r>
      <w:r w:rsidR="00A37551" w:rsidRPr="008E2D3C">
        <w:t>.</w:t>
      </w:r>
      <w:r w:rsidR="006F7BA0" w:rsidRPr="008E2D3C">
        <w:rPr>
          <w:rStyle w:val="FootnoteReference"/>
        </w:rPr>
        <w:footnoteReference w:id="13"/>
      </w:r>
      <w:r w:rsidR="00A37551" w:rsidRPr="008E2D3C">
        <w:t xml:space="preserve"> </w:t>
      </w:r>
      <w:r w:rsidR="00456050" w:rsidRPr="008E2D3C">
        <w:t xml:space="preserve"> </w:t>
      </w:r>
      <w:r w:rsidR="00C33307">
        <w:t xml:space="preserve">Moreover, </w:t>
      </w:r>
      <w:r w:rsidR="00105D8A" w:rsidRPr="008E2D3C">
        <w:t>t</w:t>
      </w:r>
      <w:r w:rsidR="00105AF0" w:rsidRPr="008E2D3C">
        <w:t>he new matter re</w:t>
      </w:r>
      <w:r w:rsidR="0070004A">
        <w:t>ferenc</w:t>
      </w:r>
      <w:r w:rsidR="00105AF0" w:rsidRPr="008E2D3C">
        <w:t xml:space="preserve">es </w:t>
      </w:r>
      <w:r w:rsidR="00952368" w:rsidRPr="008E2D3C">
        <w:t xml:space="preserve">subsequent occasions on which the Complainant </w:t>
      </w:r>
      <w:r w:rsidR="008D6784" w:rsidRPr="008E2D3C">
        <w:t>re</w:t>
      </w:r>
      <w:r w:rsidR="003771D7" w:rsidRPr="008E2D3C">
        <w:t>-</w:t>
      </w:r>
      <w:r w:rsidR="00D523C9" w:rsidRPr="008E2D3C">
        <w:t xml:space="preserve">affirmed or failed to dispute her </w:t>
      </w:r>
      <w:r w:rsidR="00BC0393" w:rsidRPr="008E2D3C">
        <w:t>liability</w:t>
      </w:r>
      <w:r w:rsidR="00415271" w:rsidRPr="008E2D3C">
        <w:t xml:space="preserve"> for </w:t>
      </w:r>
      <w:r w:rsidR="00415271" w:rsidRPr="008E2D3C">
        <w:rPr>
          <w:color w:val="212121"/>
          <w:shd w:val="clear" w:color="auto" w:fill="FFFFFF"/>
        </w:rPr>
        <w:t xml:space="preserve">gas service </w:t>
      </w:r>
      <w:r w:rsidR="003771D7" w:rsidRPr="008E2D3C">
        <w:rPr>
          <w:color w:val="212121"/>
          <w:shd w:val="clear" w:color="auto" w:fill="FFFFFF"/>
        </w:rPr>
        <w:t xml:space="preserve">provided </w:t>
      </w:r>
      <w:r w:rsidR="00415271" w:rsidRPr="008E2D3C">
        <w:rPr>
          <w:color w:val="212121"/>
          <w:shd w:val="clear" w:color="auto" w:fill="FFFFFF"/>
        </w:rPr>
        <w:t>in her name at the Crowson Service Address</w:t>
      </w:r>
      <w:r w:rsidR="00C42EF3" w:rsidRPr="008E2D3C">
        <w:t>,</w:t>
      </w:r>
      <w:r w:rsidR="00856E2C" w:rsidRPr="008E2D3C">
        <w:t xml:space="preserve"> </w:t>
      </w:r>
      <w:r w:rsidR="00C33307">
        <w:t xml:space="preserve">including </w:t>
      </w:r>
      <w:r w:rsidR="00247D9C">
        <w:t xml:space="preserve">an informal complaint filed by her with the Commission’s Bureau of Consumer Services </w:t>
      </w:r>
      <w:r w:rsidR="00340F24">
        <w:t>on October 26, 2016 at Docket No. 3488621</w:t>
      </w:r>
      <w:r w:rsidR="00CE05B5">
        <w:t xml:space="preserve"> in which she requested a payment arrangement </w:t>
      </w:r>
      <w:r w:rsidR="00C57F61">
        <w:t>for a balance that included charges accrued at the Crowson Service Address.</w:t>
      </w:r>
      <w:r w:rsidR="00BC3735">
        <w:rPr>
          <w:rStyle w:val="FootnoteReference"/>
        </w:rPr>
        <w:footnoteReference w:id="14"/>
      </w:r>
      <w:r w:rsidR="00340F24">
        <w:t xml:space="preserve">  </w:t>
      </w:r>
    </w:p>
    <w:p w14:paraId="63BEDAE8" w14:textId="77777777" w:rsidR="001209C7" w:rsidRDefault="001209C7" w:rsidP="00853A98">
      <w:pPr>
        <w:pStyle w:val="Default"/>
        <w:spacing w:line="360" w:lineRule="auto"/>
        <w:ind w:firstLine="1440"/>
      </w:pPr>
    </w:p>
    <w:p w14:paraId="471C2D7C" w14:textId="4F21BD22" w:rsidR="00571360" w:rsidRPr="008E2D3C" w:rsidRDefault="00856E2C" w:rsidP="00853A98">
      <w:pPr>
        <w:pStyle w:val="Default"/>
        <w:spacing w:line="360" w:lineRule="auto"/>
        <w:ind w:firstLine="1440"/>
      </w:pPr>
      <w:r w:rsidRPr="008E2D3C">
        <w:t xml:space="preserve">PGW has established that </w:t>
      </w:r>
      <w:r w:rsidR="00492030">
        <w:t>t</w:t>
      </w:r>
      <w:r w:rsidRPr="008E2D3C">
        <w:t xml:space="preserve">he </w:t>
      </w:r>
      <w:r w:rsidR="00492030">
        <w:t xml:space="preserve">Complainant </w:t>
      </w:r>
      <w:r w:rsidRPr="008E2D3C">
        <w:t xml:space="preserve">was or should have been aware of </w:t>
      </w:r>
      <w:r w:rsidR="00853F91" w:rsidRPr="008E2D3C">
        <w:t xml:space="preserve">her liability </w:t>
      </w:r>
      <w:r w:rsidR="00791AED" w:rsidRPr="008E2D3C">
        <w:t xml:space="preserve">for </w:t>
      </w:r>
      <w:r w:rsidR="00791AED" w:rsidRPr="008E2D3C">
        <w:rPr>
          <w:color w:val="212121"/>
          <w:shd w:val="clear" w:color="auto" w:fill="FFFFFF"/>
        </w:rPr>
        <w:t xml:space="preserve">gas service provided in her name at the Crowson Service Address </w:t>
      </w:r>
      <w:r w:rsidR="004342A9">
        <w:rPr>
          <w:color w:val="212121"/>
          <w:shd w:val="clear" w:color="auto" w:fill="FFFFFF"/>
        </w:rPr>
        <w:t>while she resided at that address and</w:t>
      </w:r>
      <w:r w:rsidR="0081122D">
        <w:rPr>
          <w:color w:val="212121"/>
          <w:shd w:val="clear" w:color="auto" w:fill="FFFFFF"/>
        </w:rPr>
        <w:t xml:space="preserve">, at the latest </w:t>
      </w:r>
      <w:r w:rsidR="00BC0393" w:rsidRPr="008E2D3C">
        <w:t xml:space="preserve">as of </w:t>
      </w:r>
      <w:r w:rsidR="006A054E" w:rsidRPr="008E2D3C">
        <w:t>February 24, 2012</w:t>
      </w:r>
      <w:r w:rsidR="00853A98" w:rsidRPr="008E2D3C">
        <w:t xml:space="preserve">.  </w:t>
      </w:r>
      <w:r w:rsidR="00710B34">
        <w:t>T</w:t>
      </w:r>
      <w:r w:rsidR="00357C4A">
        <w:t xml:space="preserve">hat date is more than three years prior to the filing of the Complaint.  </w:t>
      </w:r>
      <w:r w:rsidR="00571360" w:rsidRPr="008E2D3C">
        <w:t xml:space="preserve">Therefore, I shall grant the Respondent’s Preliminary Objection, dismissing the portion of the Complaint </w:t>
      </w:r>
      <w:r w:rsidR="00853A98" w:rsidRPr="008E2D3C">
        <w:t>relating to those charges</w:t>
      </w:r>
      <w:r w:rsidR="00571360" w:rsidRPr="008E2D3C">
        <w:t xml:space="preserve">.  The case will proceed to the evidentiary hearing, as scheduled, on the issue of </w:t>
      </w:r>
      <w:r w:rsidR="002C20DA" w:rsidRPr="008E2D3C">
        <w:t>whether the Complainant is entitled to a payment arrangement</w:t>
      </w:r>
      <w:r w:rsidR="00571360" w:rsidRPr="008E2D3C">
        <w:t xml:space="preserve">.  </w:t>
      </w:r>
    </w:p>
    <w:p w14:paraId="52AE1F03" w14:textId="1C71C26C" w:rsidR="00571360" w:rsidRPr="008E2D3C" w:rsidRDefault="00571360" w:rsidP="00571360">
      <w:pPr>
        <w:pStyle w:val="ParaTab1"/>
        <w:tabs>
          <w:tab w:val="left" w:pos="0"/>
        </w:tabs>
        <w:spacing w:line="360" w:lineRule="auto"/>
        <w:ind w:firstLine="0"/>
        <w:rPr>
          <w:rFonts w:ascii="Times New Roman" w:hAnsi="Times New Roman" w:cs="Times New Roman"/>
          <w:u w:val="single"/>
        </w:rPr>
      </w:pPr>
      <w:r w:rsidRPr="008E2D3C">
        <w:rPr>
          <w:rFonts w:ascii="Times New Roman" w:hAnsi="Times New Roman" w:cs="Times New Roman"/>
        </w:rPr>
        <w:tab/>
      </w:r>
      <w:r w:rsidRPr="008E2D3C">
        <w:rPr>
          <w:rFonts w:ascii="Times New Roman" w:hAnsi="Times New Roman" w:cs="Times New Roman"/>
        </w:rPr>
        <w:tab/>
      </w:r>
    </w:p>
    <w:p w14:paraId="7CE8885C" w14:textId="77777777" w:rsidR="00571360" w:rsidRPr="008E2D3C" w:rsidRDefault="00571360" w:rsidP="00571360">
      <w:pPr>
        <w:spacing w:line="360" w:lineRule="auto"/>
        <w:jc w:val="center"/>
        <w:rPr>
          <w:rFonts w:ascii="Times New Roman" w:hAnsi="Times New Roman" w:cs="Times New Roman"/>
          <w:u w:val="single"/>
        </w:rPr>
      </w:pPr>
      <w:r w:rsidRPr="008E2D3C">
        <w:rPr>
          <w:rFonts w:ascii="Times New Roman" w:hAnsi="Times New Roman" w:cs="Times New Roman"/>
          <w:u w:val="single"/>
        </w:rPr>
        <w:t>ORDER</w:t>
      </w:r>
    </w:p>
    <w:p w14:paraId="7FC41C31" w14:textId="77777777" w:rsidR="00571360" w:rsidRPr="008E2D3C" w:rsidRDefault="00571360" w:rsidP="00571360">
      <w:pPr>
        <w:spacing w:line="360" w:lineRule="auto"/>
        <w:jc w:val="center"/>
        <w:rPr>
          <w:rFonts w:ascii="Times New Roman" w:hAnsi="Times New Roman" w:cs="Times New Roman"/>
        </w:rPr>
      </w:pPr>
    </w:p>
    <w:p w14:paraId="217A7DDC" w14:textId="77777777" w:rsidR="00571360" w:rsidRPr="008E2D3C" w:rsidRDefault="00571360" w:rsidP="00571360">
      <w:pPr>
        <w:spacing w:line="360" w:lineRule="auto"/>
        <w:jc w:val="center"/>
        <w:rPr>
          <w:rFonts w:ascii="Times New Roman" w:hAnsi="Times New Roman" w:cs="Times New Roman"/>
        </w:rPr>
      </w:pPr>
    </w:p>
    <w:p w14:paraId="733B36B6" w14:textId="77777777" w:rsidR="00571360" w:rsidRPr="008E2D3C" w:rsidRDefault="00571360" w:rsidP="00571360">
      <w:pPr>
        <w:spacing w:line="360" w:lineRule="auto"/>
        <w:rPr>
          <w:rFonts w:ascii="Times New Roman" w:hAnsi="Times New Roman" w:cs="Times New Roman"/>
        </w:rPr>
      </w:pPr>
      <w:r w:rsidRPr="008E2D3C">
        <w:rPr>
          <w:rFonts w:ascii="Times New Roman" w:hAnsi="Times New Roman" w:cs="Times New Roman"/>
        </w:rPr>
        <w:tab/>
      </w:r>
      <w:r w:rsidRPr="008E2D3C">
        <w:rPr>
          <w:rFonts w:ascii="Times New Roman" w:hAnsi="Times New Roman" w:cs="Times New Roman"/>
        </w:rPr>
        <w:tab/>
        <w:t xml:space="preserve">THEREFORE, </w:t>
      </w:r>
    </w:p>
    <w:p w14:paraId="41AEE37F" w14:textId="77777777" w:rsidR="00571360" w:rsidRPr="008E2D3C" w:rsidRDefault="00571360" w:rsidP="00571360">
      <w:pPr>
        <w:spacing w:line="360" w:lineRule="auto"/>
        <w:rPr>
          <w:rFonts w:ascii="Times New Roman" w:hAnsi="Times New Roman" w:cs="Times New Roman"/>
        </w:rPr>
      </w:pPr>
    </w:p>
    <w:p w14:paraId="6D5A50E2" w14:textId="77777777" w:rsidR="00571360" w:rsidRPr="008E2D3C" w:rsidRDefault="00571360" w:rsidP="00571360">
      <w:pPr>
        <w:spacing w:line="360" w:lineRule="auto"/>
        <w:rPr>
          <w:rFonts w:ascii="Times New Roman" w:hAnsi="Times New Roman" w:cs="Times New Roman"/>
        </w:rPr>
      </w:pPr>
      <w:r w:rsidRPr="008E2D3C">
        <w:rPr>
          <w:rFonts w:ascii="Times New Roman" w:hAnsi="Times New Roman" w:cs="Times New Roman"/>
        </w:rPr>
        <w:tab/>
      </w:r>
      <w:r w:rsidRPr="008E2D3C">
        <w:rPr>
          <w:rFonts w:ascii="Times New Roman" w:hAnsi="Times New Roman" w:cs="Times New Roman"/>
        </w:rPr>
        <w:tab/>
        <w:t>IT IS ORDERED:</w:t>
      </w:r>
    </w:p>
    <w:p w14:paraId="3CDDCE76" w14:textId="77777777" w:rsidR="00571360" w:rsidRPr="008E2D3C" w:rsidRDefault="00571360" w:rsidP="00571360">
      <w:pPr>
        <w:spacing w:line="360" w:lineRule="auto"/>
        <w:rPr>
          <w:rFonts w:ascii="Times New Roman" w:hAnsi="Times New Roman" w:cs="Times New Roman"/>
        </w:rPr>
      </w:pPr>
    </w:p>
    <w:p w14:paraId="24464F20" w14:textId="29B3C158" w:rsidR="00571360" w:rsidRPr="008E2D3C" w:rsidRDefault="00571360" w:rsidP="00571360">
      <w:pPr>
        <w:pStyle w:val="ListParagraph"/>
        <w:numPr>
          <w:ilvl w:val="0"/>
          <w:numId w:val="1"/>
        </w:numPr>
        <w:spacing w:line="360" w:lineRule="auto"/>
        <w:ind w:left="0" w:firstLine="1440"/>
        <w:rPr>
          <w:spacing w:val="-3"/>
        </w:rPr>
      </w:pPr>
      <w:r w:rsidRPr="008E2D3C">
        <w:rPr>
          <w:spacing w:val="-3"/>
        </w:rPr>
        <w:t xml:space="preserve">That </w:t>
      </w:r>
      <w:r w:rsidR="0090296D" w:rsidRPr="008E2D3C">
        <w:rPr>
          <w:spacing w:val="-3"/>
        </w:rPr>
        <w:t>Philadelphia Gas Works</w:t>
      </w:r>
      <w:r w:rsidRPr="008E2D3C">
        <w:rPr>
          <w:spacing w:val="-3"/>
        </w:rPr>
        <w:t xml:space="preserve">’ Preliminary Objection seeking dismissal of the formal Complaint filed by </w:t>
      </w:r>
      <w:r w:rsidR="0090296D" w:rsidRPr="008E2D3C">
        <w:rPr>
          <w:spacing w:val="-3"/>
        </w:rPr>
        <w:t>Valerie Gregory</w:t>
      </w:r>
      <w:r w:rsidRPr="008E2D3C">
        <w:rPr>
          <w:spacing w:val="-3"/>
        </w:rPr>
        <w:t xml:space="preserve"> at Docket No. </w:t>
      </w:r>
      <w:r w:rsidR="00625ADF" w:rsidRPr="008E2D3C">
        <w:rPr>
          <w:spacing w:val="-3"/>
        </w:rPr>
        <w:t>F-2022-3033630</w:t>
      </w:r>
      <w:r w:rsidRPr="008E2D3C">
        <w:rPr>
          <w:spacing w:val="-3"/>
        </w:rPr>
        <w:t xml:space="preserve"> </w:t>
      </w:r>
      <w:r w:rsidR="00171D70" w:rsidRPr="008E2D3C">
        <w:rPr>
          <w:spacing w:val="-3"/>
        </w:rPr>
        <w:t xml:space="preserve">to the extent </w:t>
      </w:r>
      <w:r w:rsidR="00171D70">
        <w:rPr>
          <w:spacing w:val="-3"/>
        </w:rPr>
        <w:t xml:space="preserve">it </w:t>
      </w:r>
      <w:r w:rsidR="00171D70" w:rsidRPr="008E2D3C">
        <w:rPr>
          <w:spacing w:val="-3"/>
        </w:rPr>
        <w:lastRenderedPageBreak/>
        <w:t xml:space="preserve">relates to Ms. Gregory’s </w:t>
      </w:r>
      <w:r w:rsidR="00171D70" w:rsidRPr="008E2D3C">
        <w:t xml:space="preserve">liability for </w:t>
      </w:r>
      <w:r w:rsidR="00171D70" w:rsidRPr="008E2D3C">
        <w:rPr>
          <w:color w:val="212121"/>
          <w:shd w:val="clear" w:color="auto" w:fill="FFFFFF"/>
        </w:rPr>
        <w:t xml:space="preserve">gas service provided in her name at 5330 Crowson Street, Philadelphia, PA </w:t>
      </w:r>
      <w:r w:rsidR="00171D70" w:rsidRPr="008E2D3C">
        <w:t xml:space="preserve">from October 29, </w:t>
      </w:r>
      <w:r w:rsidR="006E6B8D" w:rsidRPr="008E2D3C">
        <w:t>2004,</w:t>
      </w:r>
      <w:r w:rsidR="00171D70" w:rsidRPr="008E2D3C">
        <w:t xml:space="preserve"> through June 30, </w:t>
      </w:r>
      <w:r w:rsidR="000D4AC2" w:rsidRPr="008E2D3C">
        <w:t>2010,</w:t>
      </w:r>
      <w:r w:rsidR="00171D70">
        <w:t xml:space="preserve"> </w:t>
      </w:r>
      <w:r w:rsidRPr="008E2D3C">
        <w:rPr>
          <w:spacing w:val="-3"/>
        </w:rPr>
        <w:t xml:space="preserve">is </w:t>
      </w:r>
      <w:r w:rsidR="009E1080" w:rsidRPr="008E2D3C">
        <w:rPr>
          <w:spacing w:val="-3"/>
        </w:rPr>
        <w:t>granted.</w:t>
      </w:r>
    </w:p>
    <w:p w14:paraId="38563254" w14:textId="77777777" w:rsidR="00571360" w:rsidRPr="008E2D3C" w:rsidRDefault="00571360" w:rsidP="00571360">
      <w:pPr>
        <w:pStyle w:val="ListParagraph"/>
        <w:spacing w:line="360" w:lineRule="auto"/>
        <w:ind w:left="1440"/>
        <w:rPr>
          <w:spacing w:val="-3"/>
        </w:rPr>
      </w:pPr>
    </w:p>
    <w:p w14:paraId="5DD580BA" w14:textId="2A515C47" w:rsidR="00571360" w:rsidRPr="008E2D3C" w:rsidRDefault="00571360" w:rsidP="00571360">
      <w:pPr>
        <w:pStyle w:val="ListParagraph"/>
        <w:numPr>
          <w:ilvl w:val="0"/>
          <w:numId w:val="1"/>
        </w:numPr>
        <w:spacing w:line="360" w:lineRule="auto"/>
        <w:ind w:left="0" w:firstLine="1440"/>
        <w:rPr>
          <w:spacing w:val="-3"/>
        </w:rPr>
      </w:pPr>
      <w:r w:rsidRPr="008E2D3C">
        <w:rPr>
          <w:spacing w:val="-3"/>
        </w:rPr>
        <w:t xml:space="preserve">That the formal Complaint filed by </w:t>
      </w:r>
      <w:r w:rsidR="00707884" w:rsidRPr="008E2D3C">
        <w:rPr>
          <w:spacing w:val="-3"/>
        </w:rPr>
        <w:t xml:space="preserve">Valerie Gregory </w:t>
      </w:r>
      <w:r w:rsidRPr="008E2D3C">
        <w:rPr>
          <w:spacing w:val="-3"/>
        </w:rPr>
        <w:t xml:space="preserve">against </w:t>
      </w:r>
      <w:r w:rsidR="00707884" w:rsidRPr="008E2D3C">
        <w:rPr>
          <w:spacing w:val="-3"/>
        </w:rPr>
        <w:t>Philadelphia Gas Works</w:t>
      </w:r>
      <w:r w:rsidRPr="008E2D3C">
        <w:rPr>
          <w:spacing w:val="-3"/>
        </w:rPr>
        <w:t xml:space="preserve"> at Docket No. </w:t>
      </w:r>
      <w:r w:rsidR="00707884" w:rsidRPr="008E2D3C">
        <w:rPr>
          <w:spacing w:val="-3"/>
        </w:rPr>
        <w:t>F</w:t>
      </w:r>
      <w:r w:rsidRPr="008E2D3C">
        <w:rPr>
          <w:spacing w:val="-3"/>
        </w:rPr>
        <w:t>-</w:t>
      </w:r>
      <w:r w:rsidR="00707884" w:rsidRPr="008E2D3C">
        <w:rPr>
          <w:spacing w:val="-3"/>
        </w:rPr>
        <w:t xml:space="preserve">2022-3033630 </w:t>
      </w:r>
      <w:r w:rsidRPr="008E2D3C">
        <w:rPr>
          <w:spacing w:val="-3"/>
        </w:rPr>
        <w:t xml:space="preserve">is dismissed to the extent </w:t>
      </w:r>
      <w:r w:rsidR="00A604C5">
        <w:rPr>
          <w:spacing w:val="-3"/>
        </w:rPr>
        <w:t xml:space="preserve">it </w:t>
      </w:r>
      <w:r w:rsidR="00791AED" w:rsidRPr="008E2D3C">
        <w:rPr>
          <w:spacing w:val="-3"/>
        </w:rPr>
        <w:t xml:space="preserve">relates to </w:t>
      </w:r>
      <w:r w:rsidR="00D45B3C" w:rsidRPr="008E2D3C">
        <w:rPr>
          <w:spacing w:val="-3"/>
        </w:rPr>
        <w:t xml:space="preserve">Ms. Gregory’s </w:t>
      </w:r>
      <w:r w:rsidR="00C6426C" w:rsidRPr="008E2D3C">
        <w:t xml:space="preserve">liability for </w:t>
      </w:r>
      <w:r w:rsidR="00C6426C" w:rsidRPr="008E2D3C">
        <w:rPr>
          <w:color w:val="212121"/>
          <w:shd w:val="clear" w:color="auto" w:fill="FFFFFF"/>
        </w:rPr>
        <w:t xml:space="preserve">gas service provided in her name at </w:t>
      </w:r>
      <w:r w:rsidR="004D0B0C" w:rsidRPr="008E2D3C">
        <w:rPr>
          <w:color w:val="212121"/>
          <w:shd w:val="clear" w:color="auto" w:fill="FFFFFF"/>
        </w:rPr>
        <w:t>5330</w:t>
      </w:r>
      <w:r w:rsidR="00C6426C" w:rsidRPr="008E2D3C">
        <w:rPr>
          <w:color w:val="212121"/>
          <w:shd w:val="clear" w:color="auto" w:fill="FFFFFF"/>
        </w:rPr>
        <w:t xml:space="preserve"> Crowson S</w:t>
      </w:r>
      <w:r w:rsidR="004D0B0C" w:rsidRPr="008E2D3C">
        <w:rPr>
          <w:color w:val="212121"/>
          <w:shd w:val="clear" w:color="auto" w:fill="FFFFFF"/>
        </w:rPr>
        <w:t xml:space="preserve">treet, Philadelphia, PA </w:t>
      </w:r>
      <w:r w:rsidR="00C6426C" w:rsidRPr="008E2D3C">
        <w:t xml:space="preserve">from October 29, </w:t>
      </w:r>
      <w:r w:rsidR="00CA5B0F" w:rsidRPr="008E2D3C">
        <w:t>2004,</w:t>
      </w:r>
      <w:r w:rsidR="00C6426C" w:rsidRPr="008E2D3C">
        <w:t xml:space="preserve"> through June 30, </w:t>
      </w:r>
      <w:r w:rsidR="006D530A" w:rsidRPr="008E2D3C">
        <w:t>2010</w:t>
      </w:r>
      <w:r w:rsidR="006D530A" w:rsidRPr="008E2D3C">
        <w:rPr>
          <w:spacing w:val="-3"/>
        </w:rPr>
        <w:t>.</w:t>
      </w:r>
    </w:p>
    <w:p w14:paraId="62B852F5" w14:textId="77777777" w:rsidR="00571360" w:rsidRPr="008E2D3C" w:rsidRDefault="00571360" w:rsidP="00571360">
      <w:pPr>
        <w:pStyle w:val="ListParagraph"/>
        <w:rPr>
          <w:spacing w:val="-3"/>
        </w:rPr>
      </w:pPr>
    </w:p>
    <w:p w14:paraId="545376B7" w14:textId="0F3A1C03" w:rsidR="00571360" w:rsidRPr="008E2D3C" w:rsidRDefault="00571360" w:rsidP="00571360">
      <w:pPr>
        <w:pStyle w:val="ListParagraph"/>
        <w:numPr>
          <w:ilvl w:val="0"/>
          <w:numId w:val="1"/>
        </w:numPr>
        <w:spacing w:line="360" w:lineRule="auto"/>
        <w:ind w:left="0" w:firstLine="1440"/>
        <w:rPr>
          <w:spacing w:val="-3"/>
        </w:rPr>
      </w:pPr>
      <w:r w:rsidRPr="008E2D3C">
        <w:rPr>
          <w:spacing w:val="-3"/>
        </w:rPr>
        <w:t xml:space="preserve">That the </w:t>
      </w:r>
      <w:r w:rsidR="006D471E" w:rsidRPr="008E2D3C">
        <w:rPr>
          <w:spacing w:val="-3"/>
        </w:rPr>
        <w:t>November 1</w:t>
      </w:r>
      <w:r w:rsidRPr="008E2D3C">
        <w:rPr>
          <w:spacing w:val="-3"/>
        </w:rPr>
        <w:t xml:space="preserve">, </w:t>
      </w:r>
      <w:r w:rsidR="001D74A6" w:rsidRPr="008E2D3C">
        <w:rPr>
          <w:spacing w:val="-3"/>
        </w:rPr>
        <w:t>2022,</w:t>
      </w:r>
      <w:r w:rsidRPr="008E2D3C">
        <w:rPr>
          <w:spacing w:val="-3"/>
        </w:rPr>
        <w:t xml:space="preserve"> hearing proceed as scheduled to address the </w:t>
      </w:r>
      <w:r w:rsidR="00A508D1" w:rsidRPr="008E2D3C">
        <w:rPr>
          <w:spacing w:val="-3"/>
        </w:rPr>
        <w:t xml:space="preserve">Complainant’s request for a repayment arrangement </w:t>
      </w:r>
      <w:r w:rsidR="009E4642" w:rsidRPr="008E2D3C">
        <w:t xml:space="preserve">in </w:t>
      </w:r>
      <w:r w:rsidRPr="008E2D3C">
        <w:t xml:space="preserve">the formal Complaint at Docket No. </w:t>
      </w:r>
      <w:r w:rsidR="009E4642" w:rsidRPr="008E2D3C">
        <w:t>F</w:t>
      </w:r>
      <w:r w:rsidRPr="008E2D3C">
        <w:t>-</w:t>
      </w:r>
      <w:r w:rsidR="009E4642" w:rsidRPr="008E2D3C">
        <w:rPr>
          <w:spacing w:val="-3"/>
        </w:rPr>
        <w:t>2022-3033630</w:t>
      </w:r>
      <w:r w:rsidRPr="008E2D3C">
        <w:t>.</w:t>
      </w:r>
    </w:p>
    <w:p w14:paraId="20FE3209" w14:textId="77777777" w:rsidR="00571360" w:rsidRPr="008E2D3C" w:rsidRDefault="00571360" w:rsidP="00571360">
      <w:pPr>
        <w:pStyle w:val="ParaTab1"/>
        <w:tabs>
          <w:tab w:val="clear" w:pos="-720"/>
          <w:tab w:val="left" w:pos="720"/>
          <w:tab w:val="left" w:pos="5040"/>
        </w:tabs>
        <w:spacing w:line="360" w:lineRule="auto"/>
        <w:ind w:firstLine="0"/>
        <w:rPr>
          <w:rFonts w:ascii="Times New Roman" w:hAnsi="Times New Roman" w:cs="Times New Roman"/>
          <w:spacing w:val="-3"/>
        </w:rPr>
      </w:pPr>
    </w:p>
    <w:p w14:paraId="52D237CB" w14:textId="77777777" w:rsidR="00571360" w:rsidRPr="008E2D3C" w:rsidRDefault="00571360" w:rsidP="00571360">
      <w:pPr>
        <w:pStyle w:val="ParaTab1"/>
        <w:tabs>
          <w:tab w:val="clear" w:pos="-720"/>
          <w:tab w:val="left" w:pos="720"/>
          <w:tab w:val="left" w:pos="5040"/>
        </w:tabs>
        <w:spacing w:line="360" w:lineRule="auto"/>
        <w:ind w:firstLine="0"/>
        <w:rPr>
          <w:rFonts w:ascii="Times New Roman" w:hAnsi="Times New Roman" w:cs="Times New Roman"/>
          <w:spacing w:val="-3"/>
        </w:rPr>
      </w:pPr>
    </w:p>
    <w:p w14:paraId="65B34D3F" w14:textId="1A945D1A" w:rsidR="00571360" w:rsidRPr="00251C22" w:rsidRDefault="00571360" w:rsidP="00571360">
      <w:pPr>
        <w:pStyle w:val="ParaTab1"/>
        <w:tabs>
          <w:tab w:val="clear" w:pos="-720"/>
          <w:tab w:val="left" w:pos="720"/>
          <w:tab w:val="left" w:pos="5040"/>
        </w:tabs>
        <w:ind w:firstLine="0"/>
        <w:rPr>
          <w:rFonts w:ascii="Times New Roman" w:hAnsi="Times New Roman" w:cs="Times New Roman"/>
          <w:spacing w:val="-3"/>
          <w:u w:val="single"/>
        </w:rPr>
      </w:pPr>
      <w:r w:rsidRPr="008E2D3C">
        <w:rPr>
          <w:rFonts w:ascii="Times New Roman" w:hAnsi="Times New Roman" w:cs="Times New Roman"/>
          <w:spacing w:val="-3"/>
        </w:rPr>
        <w:t>Date:</w:t>
      </w:r>
      <w:r w:rsidRPr="008E2D3C">
        <w:rPr>
          <w:rFonts w:ascii="Times New Roman" w:hAnsi="Times New Roman" w:cs="Times New Roman"/>
          <w:spacing w:val="-3"/>
        </w:rPr>
        <w:tab/>
      </w:r>
      <w:r w:rsidR="009E4642" w:rsidRPr="008E2D3C">
        <w:rPr>
          <w:rFonts w:ascii="Times New Roman" w:hAnsi="Times New Roman" w:cs="Times New Roman"/>
          <w:spacing w:val="-3"/>
          <w:u w:val="single"/>
        </w:rPr>
        <w:t>October 26,</w:t>
      </w:r>
      <w:r w:rsidRPr="008E2D3C">
        <w:rPr>
          <w:rFonts w:ascii="Times New Roman" w:hAnsi="Times New Roman" w:cs="Times New Roman"/>
          <w:spacing w:val="-3"/>
          <w:u w:val="single"/>
          <w:vertAlign w:val="superscript"/>
        </w:rPr>
        <w:t xml:space="preserve"> </w:t>
      </w:r>
      <w:r w:rsidRPr="008E2D3C">
        <w:rPr>
          <w:rFonts w:ascii="Times New Roman" w:hAnsi="Times New Roman" w:cs="Times New Roman"/>
          <w:spacing w:val="-3"/>
          <w:u w:val="single"/>
        </w:rPr>
        <w:t>202</w:t>
      </w:r>
      <w:r w:rsidR="009E4642" w:rsidRPr="008E2D3C">
        <w:rPr>
          <w:rFonts w:ascii="Times New Roman" w:hAnsi="Times New Roman" w:cs="Times New Roman"/>
          <w:spacing w:val="-3"/>
          <w:u w:val="single"/>
        </w:rPr>
        <w:t>2</w:t>
      </w:r>
      <w:r w:rsidRPr="008E2D3C">
        <w:rPr>
          <w:rFonts w:ascii="Times New Roman" w:hAnsi="Times New Roman" w:cs="Times New Roman"/>
          <w:spacing w:val="-3"/>
        </w:rPr>
        <w:tab/>
      </w:r>
      <w:r w:rsidR="00251C22">
        <w:rPr>
          <w:rFonts w:ascii="Times New Roman" w:hAnsi="Times New Roman" w:cs="Times New Roman"/>
          <w:spacing w:val="-3"/>
          <w:u w:val="single"/>
        </w:rPr>
        <w:tab/>
        <w:t>/s/</w:t>
      </w:r>
      <w:r w:rsidR="00251C22">
        <w:rPr>
          <w:rFonts w:ascii="Times New Roman" w:hAnsi="Times New Roman" w:cs="Times New Roman"/>
          <w:spacing w:val="-3"/>
          <w:u w:val="single"/>
        </w:rPr>
        <w:tab/>
      </w:r>
      <w:r w:rsidR="00251C22">
        <w:rPr>
          <w:rFonts w:ascii="Times New Roman" w:hAnsi="Times New Roman" w:cs="Times New Roman"/>
          <w:spacing w:val="-3"/>
          <w:u w:val="single"/>
        </w:rPr>
        <w:tab/>
      </w:r>
      <w:r w:rsidR="00251C22">
        <w:rPr>
          <w:rFonts w:ascii="Times New Roman" w:hAnsi="Times New Roman" w:cs="Times New Roman"/>
          <w:spacing w:val="-3"/>
          <w:u w:val="single"/>
        </w:rPr>
        <w:tab/>
      </w:r>
      <w:r w:rsidR="00251C22">
        <w:rPr>
          <w:rFonts w:ascii="Times New Roman" w:hAnsi="Times New Roman" w:cs="Times New Roman"/>
          <w:spacing w:val="-3"/>
          <w:u w:val="single"/>
        </w:rPr>
        <w:tab/>
      </w:r>
    </w:p>
    <w:p w14:paraId="2AA7564F" w14:textId="09E11993" w:rsidR="00571360" w:rsidRPr="008E2D3C" w:rsidRDefault="00571360" w:rsidP="00571360">
      <w:pPr>
        <w:pStyle w:val="ParaTab1"/>
        <w:tabs>
          <w:tab w:val="clear" w:pos="-720"/>
          <w:tab w:val="left" w:pos="720"/>
          <w:tab w:val="left" w:pos="5040"/>
        </w:tabs>
        <w:ind w:firstLine="0"/>
        <w:rPr>
          <w:rFonts w:ascii="Times New Roman" w:hAnsi="Times New Roman" w:cs="Times New Roman"/>
          <w:spacing w:val="-3"/>
        </w:rPr>
      </w:pPr>
      <w:r w:rsidRPr="008E2D3C">
        <w:rPr>
          <w:rFonts w:ascii="Times New Roman" w:hAnsi="Times New Roman" w:cs="Times New Roman"/>
          <w:spacing w:val="-3"/>
        </w:rPr>
        <w:tab/>
      </w:r>
      <w:r w:rsidRPr="008E2D3C">
        <w:rPr>
          <w:rFonts w:ascii="Times New Roman" w:hAnsi="Times New Roman" w:cs="Times New Roman"/>
          <w:spacing w:val="-3"/>
        </w:rPr>
        <w:tab/>
      </w:r>
      <w:r w:rsidR="009E4642" w:rsidRPr="008E2D3C">
        <w:rPr>
          <w:rFonts w:ascii="Times New Roman" w:hAnsi="Times New Roman" w:cs="Times New Roman"/>
          <w:spacing w:val="-3"/>
        </w:rPr>
        <w:t>Arlene Ashton</w:t>
      </w:r>
    </w:p>
    <w:p w14:paraId="70A6E82B" w14:textId="1B9EDB6B" w:rsidR="00571360" w:rsidRPr="008E2D3C" w:rsidRDefault="00571360" w:rsidP="00571360">
      <w:pPr>
        <w:pStyle w:val="ParaTab1"/>
        <w:tabs>
          <w:tab w:val="clear" w:pos="-720"/>
          <w:tab w:val="left" w:pos="720"/>
          <w:tab w:val="left" w:pos="5040"/>
        </w:tabs>
        <w:ind w:firstLine="0"/>
        <w:rPr>
          <w:rFonts w:ascii="Times New Roman" w:hAnsi="Times New Roman" w:cs="Times New Roman"/>
        </w:rPr>
      </w:pPr>
      <w:r w:rsidRPr="008E2D3C">
        <w:rPr>
          <w:rFonts w:ascii="Times New Roman" w:hAnsi="Times New Roman" w:cs="Times New Roman"/>
        </w:rPr>
        <w:tab/>
      </w:r>
      <w:r w:rsidRPr="008E2D3C">
        <w:rPr>
          <w:rFonts w:ascii="Times New Roman" w:hAnsi="Times New Roman" w:cs="Times New Roman"/>
        </w:rPr>
        <w:tab/>
        <w:t>Administrative Law Judge</w:t>
      </w:r>
    </w:p>
    <w:p w14:paraId="4E25A0CC" w14:textId="77777777" w:rsidR="00571360" w:rsidRPr="008E2D3C" w:rsidRDefault="00571360" w:rsidP="00571360">
      <w:pPr>
        <w:autoSpaceDE/>
        <w:autoSpaceDN/>
        <w:rPr>
          <w:rFonts w:ascii="Times New Roman" w:hAnsi="Times New Roman" w:cs="Times New Roman"/>
        </w:rPr>
      </w:pPr>
      <w:r w:rsidRPr="008E2D3C">
        <w:rPr>
          <w:rFonts w:ascii="Times New Roman" w:hAnsi="Times New Roman" w:cs="Times New Roman"/>
        </w:rPr>
        <w:br w:type="page"/>
      </w:r>
    </w:p>
    <w:p w14:paraId="75315A7A" w14:textId="6688D2D3" w:rsidR="0015133C" w:rsidRPr="0015133C" w:rsidRDefault="0015133C" w:rsidP="0015133C">
      <w:pPr>
        <w:rPr>
          <w:rFonts w:ascii="Times New Roman" w:eastAsia="Microsoft Sans Serif" w:hAnsi="Times New Roman" w:cs="Times New Roman"/>
          <w:b/>
          <w:u w:val="single"/>
        </w:rPr>
      </w:pPr>
      <w:r w:rsidRPr="0015133C">
        <w:rPr>
          <w:rFonts w:ascii="Times New Roman" w:eastAsia="Microsoft Sans Serif" w:hAnsi="Times New Roman" w:cs="Times New Roman"/>
          <w:b/>
          <w:u w:val="single"/>
        </w:rPr>
        <w:lastRenderedPageBreak/>
        <w:t>F-2022-3033630 - VALERIE GREGORY v. PHILADELPHIA GAS WORKS</w:t>
      </w:r>
    </w:p>
    <w:p w14:paraId="2A0CDEE4" w14:textId="77777777" w:rsidR="0015133C" w:rsidRPr="0015133C" w:rsidRDefault="0015133C" w:rsidP="0015133C">
      <w:pPr>
        <w:rPr>
          <w:rFonts w:ascii="Times New Roman" w:eastAsia="Microsoft Sans Serif" w:hAnsi="Times New Roman" w:cs="Times New Roman"/>
          <w:b/>
          <w:szCs w:val="22"/>
          <w:u w:val="single"/>
        </w:rPr>
      </w:pPr>
    </w:p>
    <w:p w14:paraId="0168E8B2" w14:textId="45591190" w:rsidR="0015133C" w:rsidRPr="0015133C" w:rsidRDefault="0015133C" w:rsidP="0015133C">
      <w:pPr>
        <w:rPr>
          <w:rFonts w:ascii="Times New Roman" w:eastAsia="Microsoft Sans Serif" w:hAnsi="Times New Roman" w:cs="Times New Roman"/>
          <w:bCs/>
          <w:i/>
          <w:iCs/>
        </w:rPr>
      </w:pPr>
      <w:r w:rsidRPr="0015133C">
        <w:rPr>
          <w:rFonts w:ascii="Times New Roman" w:eastAsia="Microsoft Sans Serif" w:hAnsi="Times New Roman" w:cs="Times New Roman"/>
          <w:bCs/>
          <w:i/>
          <w:iCs/>
        </w:rPr>
        <w:t>Updated 10/05/22</w:t>
      </w:r>
    </w:p>
    <w:p w14:paraId="05039217" w14:textId="7508287C" w:rsidR="0015133C" w:rsidRPr="0015133C" w:rsidRDefault="0015133C" w:rsidP="0015133C">
      <w:pPr>
        <w:rPr>
          <w:rFonts w:ascii="Times New Roman" w:eastAsia="Microsoft Sans Serif" w:hAnsi="Times New Roman" w:cs="Times New Roman"/>
          <w:bCs/>
          <w:i/>
          <w:iCs/>
        </w:rPr>
      </w:pPr>
    </w:p>
    <w:p w14:paraId="55061CB9" w14:textId="77777777" w:rsidR="0015133C" w:rsidRPr="0015133C" w:rsidRDefault="0015133C" w:rsidP="0015133C">
      <w:pPr>
        <w:rPr>
          <w:rFonts w:ascii="Times New Roman" w:eastAsia="Microsoft Sans Serif" w:hAnsi="Times New Roman" w:cs="Times New Roman"/>
          <w:b/>
          <w:u w:val="single"/>
        </w:rPr>
      </w:pPr>
    </w:p>
    <w:p w14:paraId="30B39735"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VALERIE GREGORY</w:t>
      </w:r>
    </w:p>
    <w:p w14:paraId="74BC9BFA"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5320 AKRON STREET</w:t>
      </w:r>
    </w:p>
    <w:p w14:paraId="02B8B55B"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PHILADELPHIA PA  19124</w:t>
      </w:r>
    </w:p>
    <w:p w14:paraId="031212BE"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b/>
          <w:bCs/>
        </w:rPr>
        <w:t>267.601.3731</w:t>
      </w:r>
    </w:p>
    <w:p w14:paraId="6765BCB8" w14:textId="77777777" w:rsidR="0015133C" w:rsidRPr="0015133C" w:rsidRDefault="009E1080" w:rsidP="0015133C">
      <w:pPr>
        <w:rPr>
          <w:rFonts w:ascii="Times New Roman" w:eastAsia="Microsoft Sans Serif" w:hAnsi="Times New Roman" w:cs="Times New Roman"/>
        </w:rPr>
      </w:pPr>
      <w:hyperlink r:id="rId8" w:history="1">
        <w:r w:rsidR="0015133C" w:rsidRPr="0015133C">
          <w:rPr>
            <w:rStyle w:val="Hyperlink"/>
            <w:rFonts w:ascii="Times New Roman" w:eastAsia="Microsoft Sans Serif" w:hAnsi="Times New Roman" w:cs="Times New Roman"/>
          </w:rPr>
          <w:t>buttsi@yahoo.com</w:t>
        </w:r>
      </w:hyperlink>
      <w:r w:rsidR="0015133C" w:rsidRPr="0015133C">
        <w:rPr>
          <w:rFonts w:ascii="Times New Roman" w:eastAsia="Microsoft Sans Serif" w:hAnsi="Times New Roman" w:cs="Times New Roman"/>
          <w:color w:val="0563C1" w:themeColor="hyperlink"/>
          <w:u w:val="single"/>
        </w:rPr>
        <w:br/>
      </w:r>
      <w:r w:rsidR="0015133C" w:rsidRPr="0015133C">
        <w:rPr>
          <w:rFonts w:ascii="Times New Roman" w:eastAsia="Microsoft Sans Serif" w:hAnsi="Times New Roman" w:cs="Times New Roman"/>
        </w:rPr>
        <w:t>Accepts eService</w:t>
      </w:r>
    </w:p>
    <w:p w14:paraId="4505CA70" w14:textId="77777777" w:rsidR="0015133C" w:rsidRPr="0015133C" w:rsidRDefault="0015133C" w:rsidP="0015133C">
      <w:pPr>
        <w:rPr>
          <w:rFonts w:ascii="Times New Roman" w:eastAsia="Microsoft Sans Serif" w:hAnsi="Times New Roman" w:cs="Times New Roman"/>
        </w:rPr>
      </w:pPr>
    </w:p>
    <w:p w14:paraId="0A33F698"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br/>
        <w:t>GRACIELA CHRISTLIEB ESQUIRE</w:t>
      </w:r>
    </w:p>
    <w:p w14:paraId="0687D8C6"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PHILADELPHIA GAS WORKS</w:t>
      </w:r>
    </w:p>
    <w:p w14:paraId="2493D635"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800 WEST MONTGOMERY AVENUE</w:t>
      </w:r>
    </w:p>
    <w:p w14:paraId="568D8485"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PHILADELPHIA PA  19122</w:t>
      </w:r>
    </w:p>
    <w:p w14:paraId="0E21D748"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215.684.6164</w:t>
      </w:r>
    </w:p>
    <w:p w14:paraId="434CAD63" w14:textId="77777777" w:rsidR="0015133C" w:rsidRPr="0015133C" w:rsidRDefault="0015133C" w:rsidP="0015133C">
      <w:pPr>
        <w:rPr>
          <w:rFonts w:ascii="Times New Roman" w:eastAsia="Microsoft Sans Serif" w:hAnsi="Times New Roman" w:cs="Times New Roman"/>
        </w:rPr>
      </w:pPr>
      <w:r w:rsidRPr="0015133C">
        <w:rPr>
          <w:rFonts w:ascii="Times New Roman" w:eastAsia="Microsoft Sans Serif" w:hAnsi="Times New Roman" w:cs="Times New Roman"/>
        </w:rPr>
        <w:t>graciela.christlieb@pgworks.com</w:t>
      </w:r>
      <w:r w:rsidRPr="0015133C">
        <w:rPr>
          <w:rFonts w:ascii="Times New Roman" w:eastAsia="Microsoft Sans Serif" w:hAnsi="Times New Roman" w:cs="Times New Roman"/>
        </w:rPr>
        <w:br/>
        <w:t>Accepts eService</w:t>
      </w:r>
    </w:p>
    <w:p w14:paraId="6FA48CB3" w14:textId="77777777" w:rsidR="0015133C" w:rsidRPr="0015133C" w:rsidRDefault="0015133C" w:rsidP="0015133C">
      <w:pPr>
        <w:rPr>
          <w:rFonts w:ascii="Times New Roman" w:eastAsia="Microsoft Sans Serif" w:hAnsi="Times New Roman" w:cs="Times New Roman"/>
        </w:rPr>
      </w:pPr>
    </w:p>
    <w:p w14:paraId="16B691C9" w14:textId="77777777" w:rsidR="0015133C" w:rsidRDefault="0015133C" w:rsidP="0015133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5038F14" w14:textId="77777777" w:rsidR="0015133C" w:rsidRDefault="0015133C" w:rsidP="0015133C">
      <w:pPr>
        <w:rPr>
          <w:rFonts w:asciiTheme="minorHAnsi" w:eastAsiaTheme="minorEastAsia" w:hAnsiTheme="minorHAnsi" w:cstheme="minorBidi"/>
          <w:sz w:val="22"/>
        </w:rPr>
      </w:pPr>
    </w:p>
    <w:p w14:paraId="2494E1E9" w14:textId="77777777" w:rsidR="0015133C" w:rsidRDefault="0015133C" w:rsidP="0015133C"/>
    <w:p w14:paraId="00F79B96" w14:textId="77777777" w:rsidR="00726D5A" w:rsidRPr="008E2D3C" w:rsidRDefault="00726D5A">
      <w:pPr>
        <w:rPr>
          <w:rFonts w:ascii="Times New Roman" w:hAnsi="Times New Roman" w:cs="Times New Roman"/>
        </w:rPr>
      </w:pPr>
    </w:p>
    <w:sectPr w:rsidR="00726D5A" w:rsidRPr="008E2D3C" w:rsidSect="004318DF">
      <w:footerReference w:type="even"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D41B" w14:textId="77777777" w:rsidR="00F52765" w:rsidRDefault="00F52765" w:rsidP="00800536">
      <w:r>
        <w:separator/>
      </w:r>
    </w:p>
  </w:endnote>
  <w:endnote w:type="continuationSeparator" w:id="0">
    <w:p w14:paraId="5D0437E1" w14:textId="77777777" w:rsidR="00F52765" w:rsidRDefault="00F52765" w:rsidP="0080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5DD5" w14:textId="76233E79" w:rsidR="00872098" w:rsidRDefault="004B5763"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72B">
      <w:rPr>
        <w:rStyle w:val="PageNumber"/>
        <w:noProof/>
      </w:rPr>
      <w:t>3</w:t>
    </w:r>
    <w:r>
      <w:rPr>
        <w:rStyle w:val="PageNumber"/>
      </w:rPr>
      <w:fldChar w:fldCharType="end"/>
    </w:r>
  </w:p>
  <w:p w14:paraId="44B6970F" w14:textId="77777777" w:rsidR="00872098" w:rsidRDefault="009E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5DF2" w14:textId="77777777" w:rsidR="00872098" w:rsidRPr="004318DF" w:rsidRDefault="004B5763" w:rsidP="007157FB">
    <w:pPr>
      <w:pStyle w:val="Footer"/>
      <w:framePr w:wrap="around" w:vAnchor="text" w:hAnchor="margin" w:xAlign="center" w:y="1"/>
      <w:rPr>
        <w:rStyle w:val="PageNumber"/>
        <w:rFonts w:ascii="Times New Roman" w:hAnsi="Times New Roman" w:cs="Times New Roman"/>
        <w:sz w:val="20"/>
        <w:szCs w:val="20"/>
      </w:rPr>
    </w:pPr>
    <w:r w:rsidRPr="004318DF">
      <w:rPr>
        <w:rStyle w:val="PageNumber"/>
        <w:rFonts w:ascii="Times New Roman" w:hAnsi="Times New Roman" w:cs="Times New Roman"/>
        <w:sz w:val="20"/>
        <w:szCs w:val="20"/>
      </w:rPr>
      <w:fldChar w:fldCharType="begin"/>
    </w:r>
    <w:r w:rsidRPr="004318DF">
      <w:rPr>
        <w:rStyle w:val="PageNumber"/>
        <w:rFonts w:ascii="Times New Roman" w:hAnsi="Times New Roman" w:cs="Times New Roman"/>
        <w:sz w:val="20"/>
        <w:szCs w:val="20"/>
      </w:rPr>
      <w:instrText xml:space="preserve">PAGE  </w:instrText>
    </w:r>
    <w:r w:rsidRPr="004318DF">
      <w:rPr>
        <w:rStyle w:val="PageNumber"/>
        <w:rFonts w:ascii="Times New Roman" w:hAnsi="Times New Roman" w:cs="Times New Roman"/>
        <w:sz w:val="20"/>
        <w:szCs w:val="20"/>
      </w:rPr>
      <w:fldChar w:fldCharType="separate"/>
    </w:r>
    <w:r w:rsidRPr="004318DF">
      <w:rPr>
        <w:rStyle w:val="PageNumber"/>
        <w:rFonts w:ascii="Times New Roman" w:hAnsi="Times New Roman" w:cs="Times New Roman"/>
        <w:noProof/>
        <w:sz w:val="20"/>
        <w:szCs w:val="20"/>
      </w:rPr>
      <w:t>2</w:t>
    </w:r>
    <w:r w:rsidRPr="004318DF">
      <w:rPr>
        <w:rStyle w:val="PageNumber"/>
        <w:rFonts w:ascii="Times New Roman" w:hAnsi="Times New Roman" w:cs="Times New Roman"/>
        <w:sz w:val="20"/>
        <w:szCs w:val="20"/>
      </w:rPr>
      <w:fldChar w:fldCharType="end"/>
    </w:r>
  </w:p>
  <w:p w14:paraId="2A2EBA9F" w14:textId="77777777" w:rsidR="00872098" w:rsidRPr="004318DF" w:rsidRDefault="009E1080">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9823" w14:textId="77777777" w:rsidR="00F52765" w:rsidRDefault="00F52765" w:rsidP="00800536">
      <w:r>
        <w:separator/>
      </w:r>
    </w:p>
  </w:footnote>
  <w:footnote w:type="continuationSeparator" w:id="0">
    <w:p w14:paraId="3B1AD73E" w14:textId="77777777" w:rsidR="00F52765" w:rsidRDefault="00F52765" w:rsidP="00800536">
      <w:r>
        <w:continuationSeparator/>
      </w:r>
    </w:p>
  </w:footnote>
  <w:footnote w:id="1">
    <w:p w14:paraId="37BCCDC1" w14:textId="348E1F67" w:rsidR="00E2749A" w:rsidRDefault="00E2749A" w:rsidP="007D762A">
      <w:pPr>
        <w:pStyle w:val="FootnoteText"/>
        <w:ind w:firstLine="720"/>
      </w:pPr>
      <w:r>
        <w:rPr>
          <w:rStyle w:val="FootnoteReference"/>
        </w:rPr>
        <w:footnoteRef/>
      </w:r>
      <w:r>
        <w:t xml:space="preserve"> </w:t>
      </w:r>
      <w:r>
        <w:tab/>
      </w:r>
      <w:r w:rsidRPr="008E2D3C">
        <w:rPr>
          <w:rFonts w:ascii="Times New Roman" w:hAnsi="Times New Roman" w:cs="Times New Roman"/>
        </w:rPr>
        <w:t>Answer ⁋ 19.</w:t>
      </w:r>
    </w:p>
  </w:footnote>
  <w:footnote w:id="2">
    <w:p w14:paraId="3737BA5C" w14:textId="5F327191" w:rsidR="000F5EEA" w:rsidRDefault="000F5EEA" w:rsidP="00C23B07">
      <w:pPr>
        <w:pStyle w:val="FootnoteText"/>
        <w:ind w:firstLine="720"/>
        <w:rPr>
          <w:rFonts w:ascii="Times New Roman" w:hAnsi="Times New Roman" w:cs="Times New Roman"/>
        </w:rPr>
      </w:pPr>
      <w:r w:rsidRPr="00D67944">
        <w:rPr>
          <w:rStyle w:val="FootnoteReference"/>
          <w:rFonts w:ascii="Times New Roman" w:hAnsi="Times New Roman" w:cs="Times New Roman"/>
        </w:rPr>
        <w:footnoteRef/>
      </w:r>
      <w:r w:rsidRPr="00D67944">
        <w:rPr>
          <w:rFonts w:ascii="Times New Roman" w:hAnsi="Times New Roman" w:cs="Times New Roman"/>
        </w:rPr>
        <w:t xml:space="preserve"> </w:t>
      </w:r>
      <w:r>
        <w:rPr>
          <w:rFonts w:ascii="Times New Roman" w:hAnsi="Times New Roman" w:cs="Times New Roman"/>
        </w:rPr>
        <w:tab/>
      </w:r>
      <w:r w:rsidRPr="00D67944">
        <w:rPr>
          <w:rFonts w:ascii="Times New Roman" w:hAnsi="Times New Roman" w:cs="Times New Roman"/>
        </w:rPr>
        <w:t>66 Pa.C.S. § 701</w:t>
      </w:r>
      <w:r>
        <w:rPr>
          <w:rFonts w:ascii="Times New Roman" w:hAnsi="Times New Roman" w:cs="Times New Roman"/>
        </w:rPr>
        <w:t>.</w:t>
      </w:r>
    </w:p>
    <w:p w14:paraId="2D3BB9A5" w14:textId="77777777" w:rsidR="00C23B07" w:rsidRPr="00D67944" w:rsidRDefault="00C23B07" w:rsidP="00C23B07">
      <w:pPr>
        <w:pStyle w:val="FootnoteText"/>
        <w:ind w:firstLine="720"/>
        <w:rPr>
          <w:rFonts w:ascii="Times New Roman" w:hAnsi="Times New Roman" w:cs="Times New Roman"/>
        </w:rPr>
      </w:pPr>
    </w:p>
  </w:footnote>
  <w:footnote w:id="3">
    <w:p w14:paraId="7D55238F" w14:textId="6AF637EC" w:rsidR="000F5EEA" w:rsidRDefault="000F5EEA" w:rsidP="00C23B07">
      <w:pPr>
        <w:pStyle w:val="FootnoteText"/>
        <w:ind w:firstLine="720"/>
      </w:pPr>
      <w:r>
        <w:rPr>
          <w:rStyle w:val="FootnoteReference"/>
        </w:rPr>
        <w:footnoteRef/>
      </w:r>
      <w:r>
        <w:t xml:space="preserve"> </w:t>
      </w:r>
      <w:r>
        <w:tab/>
      </w:r>
      <w:r w:rsidR="00710135">
        <w:t xml:space="preserve">66 Pa.C.S. § 3314.  </w:t>
      </w:r>
    </w:p>
    <w:p w14:paraId="02CC52A6" w14:textId="77777777" w:rsidR="00C06CA9" w:rsidRDefault="00C06CA9" w:rsidP="00C23B07">
      <w:pPr>
        <w:pStyle w:val="FootnoteText"/>
        <w:ind w:firstLine="720"/>
      </w:pPr>
    </w:p>
  </w:footnote>
  <w:footnote w:id="4">
    <w:p w14:paraId="7B49E4DD" w14:textId="2CF56CCE" w:rsidR="00C861D1" w:rsidRDefault="00C861D1" w:rsidP="00C23B07">
      <w:pPr>
        <w:pStyle w:val="FootnoteText"/>
        <w:ind w:firstLine="720"/>
      </w:pPr>
      <w:r>
        <w:rPr>
          <w:rStyle w:val="FootnoteReference"/>
        </w:rPr>
        <w:footnoteRef/>
      </w:r>
      <w:r>
        <w:t xml:space="preserve"> </w:t>
      </w:r>
      <w:r>
        <w:tab/>
      </w:r>
      <w:proofErr w:type="spellStart"/>
      <w:r>
        <w:rPr>
          <w:i/>
          <w:iCs/>
          <w:sz w:val="19"/>
          <w:szCs w:val="19"/>
        </w:rPr>
        <w:t>Kovarik</w:t>
      </w:r>
      <w:proofErr w:type="spellEnd"/>
      <w:r>
        <w:rPr>
          <w:i/>
          <w:iCs/>
          <w:sz w:val="19"/>
          <w:szCs w:val="19"/>
        </w:rPr>
        <w:t xml:space="preserve"> v. Pa. Am. Water Co., </w:t>
      </w:r>
      <w:r>
        <w:rPr>
          <w:sz w:val="19"/>
          <w:szCs w:val="19"/>
        </w:rPr>
        <w:t xml:space="preserve">Docket No. C-2017-2592131 (Opinion and Order entered August 23, 2018); </w:t>
      </w:r>
      <w:r>
        <w:rPr>
          <w:i/>
          <w:iCs/>
          <w:sz w:val="19"/>
          <w:szCs w:val="19"/>
        </w:rPr>
        <w:t>Ross v. PECO Energy Co.</w:t>
      </w:r>
      <w:r>
        <w:rPr>
          <w:sz w:val="19"/>
          <w:szCs w:val="19"/>
        </w:rPr>
        <w:t xml:space="preserve">, Docket No. C-2008-2060301 (Final Order entered February 19, 2009). </w:t>
      </w:r>
      <w:r>
        <w:t xml:space="preserve"> </w:t>
      </w:r>
    </w:p>
    <w:p w14:paraId="5E5BDAF9" w14:textId="77777777" w:rsidR="00080634" w:rsidRDefault="00080634" w:rsidP="00C23B07">
      <w:pPr>
        <w:pStyle w:val="FootnoteText"/>
        <w:ind w:firstLine="720"/>
      </w:pPr>
    </w:p>
  </w:footnote>
  <w:footnote w:id="5">
    <w:p w14:paraId="0AA720FA" w14:textId="738B4BCB" w:rsidR="00FA4533" w:rsidRDefault="00FA4533" w:rsidP="00C23B07">
      <w:pPr>
        <w:pStyle w:val="FootnoteText"/>
        <w:ind w:firstLine="720"/>
      </w:pPr>
      <w:r>
        <w:rPr>
          <w:rStyle w:val="FootnoteReference"/>
        </w:rPr>
        <w:footnoteRef/>
      </w:r>
      <w:r>
        <w:t xml:space="preserve"> </w:t>
      </w:r>
      <w:r>
        <w:tab/>
      </w:r>
      <w:r>
        <w:rPr>
          <w:i/>
          <w:iCs/>
          <w:sz w:val="19"/>
          <w:szCs w:val="19"/>
        </w:rPr>
        <w:t xml:space="preserve">Fine v. </w:t>
      </w:r>
      <w:proofErr w:type="spellStart"/>
      <w:r>
        <w:rPr>
          <w:i/>
          <w:iCs/>
          <w:sz w:val="19"/>
          <w:szCs w:val="19"/>
        </w:rPr>
        <w:t>Checcio</w:t>
      </w:r>
      <w:proofErr w:type="spellEnd"/>
      <w:r>
        <w:rPr>
          <w:sz w:val="19"/>
          <w:szCs w:val="19"/>
        </w:rPr>
        <w:t xml:space="preserve">, 870 A.2d 850 (Pa. 2005). </w:t>
      </w:r>
      <w:r>
        <w:t xml:space="preserve"> </w:t>
      </w:r>
    </w:p>
    <w:p w14:paraId="41E7B25E" w14:textId="77777777" w:rsidR="00C06CA9" w:rsidRDefault="00C06CA9" w:rsidP="00C23B07">
      <w:pPr>
        <w:pStyle w:val="FootnoteText"/>
        <w:ind w:firstLine="720"/>
      </w:pPr>
    </w:p>
  </w:footnote>
  <w:footnote w:id="6">
    <w:p w14:paraId="5BC8C46A" w14:textId="539EA4F3" w:rsidR="001F2375" w:rsidRDefault="001F2375" w:rsidP="00C23B07">
      <w:pPr>
        <w:pStyle w:val="FootnoteText"/>
        <w:ind w:firstLine="720"/>
      </w:pPr>
      <w:r>
        <w:rPr>
          <w:rStyle w:val="FootnoteReference"/>
        </w:rPr>
        <w:footnoteRef/>
      </w:r>
      <w:r>
        <w:t xml:space="preserve"> </w:t>
      </w:r>
      <w:r w:rsidR="000D4613">
        <w:tab/>
      </w:r>
      <w:r w:rsidR="000D4613">
        <w:rPr>
          <w:i/>
          <w:iCs/>
          <w:sz w:val="19"/>
          <w:szCs w:val="19"/>
        </w:rPr>
        <w:t xml:space="preserve">Id. </w:t>
      </w:r>
      <w:r w:rsidR="000D4613">
        <w:rPr>
          <w:sz w:val="19"/>
          <w:szCs w:val="19"/>
        </w:rPr>
        <w:t xml:space="preserve">at 860. </w:t>
      </w:r>
      <w:r w:rsidR="000D4613">
        <w:t xml:space="preserve"> </w:t>
      </w:r>
    </w:p>
  </w:footnote>
  <w:footnote w:id="7">
    <w:p w14:paraId="271B3512" w14:textId="17F1EB98" w:rsidR="004611B2" w:rsidRDefault="004611B2" w:rsidP="00766B77">
      <w:pPr>
        <w:pStyle w:val="FootnoteText"/>
        <w:ind w:firstLine="720"/>
      </w:pPr>
      <w:r>
        <w:rPr>
          <w:rStyle w:val="FootnoteReference"/>
        </w:rPr>
        <w:footnoteRef/>
      </w:r>
      <w:r>
        <w:t xml:space="preserve"> </w:t>
      </w:r>
      <w:r w:rsidR="00B724AC">
        <w:tab/>
      </w:r>
      <w:r w:rsidR="00B724AC">
        <w:rPr>
          <w:i/>
          <w:iCs/>
          <w:sz w:val="19"/>
          <w:szCs w:val="19"/>
        </w:rPr>
        <w:t>Wilson v. Pa. Am. Water Co.</w:t>
      </w:r>
      <w:r w:rsidR="00B724AC">
        <w:rPr>
          <w:sz w:val="19"/>
          <w:szCs w:val="19"/>
        </w:rPr>
        <w:t xml:space="preserve">, Docket No. C-20066331 (Opinion and Order entered July 11, 2007)(statute begins to run when complainant became aware of a potential dispute); </w:t>
      </w:r>
      <w:r w:rsidR="00B724AC">
        <w:rPr>
          <w:i/>
          <w:iCs/>
          <w:sz w:val="19"/>
          <w:szCs w:val="19"/>
        </w:rPr>
        <w:t xml:space="preserve">see also </w:t>
      </w:r>
      <w:r w:rsidR="00B724AC">
        <w:rPr>
          <w:sz w:val="19"/>
          <w:szCs w:val="19"/>
        </w:rPr>
        <w:t xml:space="preserve">cases applying the limitation at 66 Pa.C.S. §1312 to refunds. </w:t>
      </w:r>
      <w:r w:rsidR="00B724AC">
        <w:t xml:space="preserve"> </w:t>
      </w:r>
    </w:p>
    <w:p w14:paraId="36E7DF3D" w14:textId="77777777" w:rsidR="00D54447" w:rsidRDefault="00D54447" w:rsidP="00766B77">
      <w:pPr>
        <w:pStyle w:val="FootnoteText"/>
        <w:ind w:firstLine="720"/>
      </w:pPr>
    </w:p>
  </w:footnote>
  <w:footnote w:id="8">
    <w:p w14:paraId="6460C9F1" w14:textId="786C09C3" w:rsidR="00B724AC" w:rsidRDefault="00B724AC" w:rsidP="00766B77">
      <w:pPr>
        <w:pStyle w:val="FootnoteText"/>
        <w:ind w:firstLine="720"/>
      </w:pPr>
      <w:r>
        <w:rPr>
          <w:rStyle w:val="FootnoteReference"/>
        </w:rPr>
        <w:footnoteRef/>
      </w:r>
      <w:r>
        <w:t xml:space="preserve"> </w:t>
      </w:r>
      <w:r w:rsidR="00756DD7">
        <w:tab/>
      </w:r>
      <w:r w:rsidR="00756DD7">
        <w:rPr>
          <w:i/>
          <w:iCs/>
          <w:sz w:val="19"/>
          <w:szCs w:val="19"/>
        </w:rPr>
        <w:t>Ely v. Pa. Am. Water Co.</w:t>
      </w:r>
      <w:r w:rsidR="00756DD7">
        <w:rPr>
          <w:sz w:val="19"/>
          <w:szCs w:val="19"/>
        </w:rPr>
        <w:t xml:space="preserve">, Docket C-20055616 (Opinion and Order entered July 10, 2006); </w:t>
      </w:r>
      <w:r w:rsidR="00756DD7">
        <w:rPr>
          <w:i/>
          <w:iCs/>
          <w:sz w:val="19"/>
          <w:szCs w:val="19"/>
        </w:rPr>
        <w:t>Battle v. PECO Energy Co.</w:t>
      </w:r>
      <w:r w:rsidR="00756DD7">
        <w:rPr>
          <w:sz w:val="19"/>
          <w:szCs w:val="19"/>
        </w:rPr>
        <w:t xml:space="preserve">, Docket No. C-00003804 (Opinion and Order entered July 16, 2001). </w:t>
      </w:r>
      <w:r w:rsidR="00756DD7">
        <w:t xml:space="preserve"> </w:t>
      </w:r>
    </w:p>
    <w:p w14:paraId="63BF7F8A" w14:textId="77777777" w:rsidR="00D54447" w:rsidRDefault="00D54447" w:rsidP="00766B77">
      <w:pPr>
        <w:pStyle w:val="FootnoteText"/>
        <w:ind w:firstLine="720"/>
      </w:pPr>
    </w:p>
  </w:footnote>
  <w:footnote w:id="9">
    <w:p w14:paraId="3242B48C" w14:textId="3304EFE6" w:rsidR="007B17E1" w:rsidRDefault="007B17E1" w:rsidP="00766B77">
      <w:pPr>
        <w:pStyle w:val="FootnoteText"/>
        <w:ind w:firstLine="720"/>
      </w:pPr>
      <w:r>
        <w:rPr>
          <w:rStyle w:val="FootnoteReference"/>
        </w:rPr>
        <w:footnoteRef/>
      </w:r>
      <w:r>
        <w:t xml:space="preserve"> </w:t>
      </w:r>
      <w:r>
        <w:tab/>
      </w:r>
      <w:r>
        <w:rPr>
          <w:i/>
          <w:iCs/>
          <w:sz w:val="19"/>
          <w:szCs w:val="19"/>
        </w:rPr>
        <w:t>Del Vecchio v. PPL Elec. Utils. Corp.</w:t>
      </w:r>
      <w:r>
        <w:rPr>
          <w:sz w:val="19"/>
          <w:szCs w:val="19"/>
        </w:rPr>
        <w:t xml:space="preserve">, Docket Z-01464793 (Opinion and Order entered September 13, 2005). </w:t>
      </w:r>
      <w:r>
        <w:t xml:space="preserve"> </w:t>
      </w:r>
    </w:p>
  </w:footnote>
  <w:footnote w:id="10">
    <w:p w14:paraId="4732672C" w14:textId="448CBB28" w:rsidR="00DA7215" w:rsidRDefault="00DA7215" w:rsidP="00766B77">
      <w:pPr>
        <w:pStyle w:val="FootnoteText"/>
        <w:ind w:firstLine="720"/>
        <w:rPr>
          <w:rFonts w:ascii="Times New Roman" w:hAnsi="Times New Roman"/>
          <w:bdr w:val="none" w:sz="0" w:space="0" w:color="auto" w:frame="1"/>
          <w:shd w:val="clear" w:color="auto" w:fill="FFFFFF"/>
        </w:rPr>
      </w:pPr>
      <w:r>
        <w:rPr>
          <w:rStyle w:val="FootnoteReference"/>
        </w:rPr>
        <w:footnoteRef/>
      </w:r>
      <w:r>
        <w:t xml:space="preserve"> </w:t>
      </w:r>
      <w:r>
        <w:tab/>
      </w:r>
      <w:r w:rsidRPr="00DA7215">
        <w:rPr>
          <w:rFonts w:ascii="Times New Roman" w:hAnsi="Times New Roman"/>
          <w:bdr w:val="none" w:sz="0" w:space="0" w:color="auto" w:frame="1"/>
          <w:shd w:val="clear" w:color="auto" w:fill="FFFFFF"/>
        </w:rPr>
        <w:t>52 Pa. Code § 5.63(b)</w:t>
      </w:r>
      <w:r>
        <w:rPr>
          <w:rFonts w:ascii="Times New Roman" w:hAnsi="Times New Roman"/>
          <w:bdr w:val="none" w:sz="0" w:space="0" w:color="auto" w:frame="1"/>
          <w:shd w:val="clear" w:color="auto" w:fill="FFFFFF"/>
        </w:rPr>
        <w:t>.</w:t>
      </w:r>
    </w:p>
    <w:p w14:paraId="65F4C831" w14:textId="77777777" w:rsidR="00D54447" w:rsidRDefault="00D54447" w:rsidP="00766B77">
      <w:pPr>
        <w:pStyle w:val="FootnoteText"/>
        <w:ind w:firstLine="720"/>
      </w:pPr>
    </w:p>
  </w:footnote>
  <w:footnote w:id="11">
    <w:p w14:paraId="29028CD6" w14:textId="00D11736" w:rsidR="006B5D30" w:rsidRDefault="006B5D30" w:rsidP="00766B77">
      <w:pPr>
        <w:pStyle w:val="FootnoteText"/>
        <w:ind w:firstLine="720"/>
      </w:pPr>
      <w:r>
        <w:rPr>
          <w:rStyle w:val="FootnoteReference"/>
        </w:rPr>
        <w:footnoteRef/>
      </w:r>
      <w:r>
        <w:t xml:space="preserve"> </w:t>
      </w:r>
      <w:r>
        <w:tab/>
        <w:t xml:space="preserve">Answer </w:t>
      </w:r>
      <w:r>
        <w:rPr>
          <w:rFonts w:ascii="Times New Roman" w:hAnsi="Times New Roman" w:cs="Times New Roman"/>
        </w:rPr>
        <w:t>⁋</w:t>
      </w:r>
      <w:r>
        <w:t xml:space="preserve"> 8.</w:t>
      </w:r>
    </w:p>
  </w:footnote>
  <w:footnote w:id="12">
    <w:p w14:paraId="3402CB97" w14:textId="6AF8F48A" w:rsidR="006B5D30" w:rsidRDefault="006B5D30" w:rsidP="00766B77">
      <w:pPr>
        <w:pStyle w:val="FootnoteText"/>
        <w:ind w:firstLine="720"/>
      </w:pPr>
      <w:r>
        <w:rPr>
          <w:rStyle w:val="FootnoteReference"/>
        </w:rPr>
        <w:footnoteRef/>
      </w:r>
      <w:r>
        <w:t xml:space="preserve"> </w:t>
      </w:r>
      <w:r>
        <w:tab/>
        <w:t xml:space="preserve">Answer </w:t>
      </w:r>
      <w:r>
        <w:rPr>
          <w:rFonts w:ascii="Times New Roman" w:hAnsi="Times New Roman" w:cs="Times New Roman"/>
        </w:rPr>
        <w:t>⁋</w:t>
      </w:r>
      <w:r>
        <w:t xml:space="preserve"> 9.</w:t>
      </w:r>
    </w:p>
  </w:footnote>
  <w:footnote w:id="13">
    <w:p w14:paraId="1C1CEA56" w14:textId="49FAEE71" w:rsidR="006F7BA0" w:rsidRDefault="006F7BA0" w:rsidP="003B00A1">
      <w:pPr>
        <w:pStyle w:val="FootnoteText"/>
        <w:ind w:firstLine="720"/>
      </w:pPr>
      <w:r>
        <w:rPr>
          <w:rStyle w:val="FootnoteReference"/>
        </w:rPr>
        <w:footnoteRef/>
      </w:r>
      <w:r>
        <w:t xml:space="preserve"> </w:t>
      </w:r>
      <w:r>
        <w:tab/>
        <w:t xml:space="preserve">Answer </w:t>
      </w:r>
      <w:r>
        <w:rPr>
          <w:rFonts w:ascii="Times New Roman" w:hAnsi="Times New Roman" w:cs="Times New Roman"/>
        </w:rPr>
        <w:t>⁋</w:t>
      </w:r>
      <w:r>
        <w:t xml:space="preserve"> 11.</w:t>
      </w:r>
    </w:p>
  </w:footnote>
  <w:footnote w:id="14">
    <w:p w14:paraId="3C9A50FD" w14:textId="0D28BFF1" w:rsidR="00BC3735" w:rsidRDefault="00BC3735" w:rsidP="003B00A1">
      <w:pPr>
        <w:pStyle w:val="FootnoteText"/>
        <w:ind w:firstLine="720"/>
      </w:pPr>
      <w:r>
        <w:rPr>
          <w:rStyle w:val="FootnoteReference"/>
        </w:rPr>
        <w:footnoteRef/>
      </w:r>
      <w:r>
        <w:t xml:space="preserve"> </w:t>
      </w:r>
      <w:r>
        <w:tab/>
      </w:r>
      <w:r w:rsidR="007D5824">
        <w:t xml:space="preserve">Answer </w:t>
      </w:r>
      <w:r w:rsidR="007D5824">
        <w:rPr>
          <w:rFonts w:ascii="Times New Roman" w:hAnsi="Times New Roman" w:cs="Times New Roman"/>
        </w:rPr>
        <w:t xml:space="preserve">¶ </w:t>
      </w:r>
      <w:r w:rsidR="001209C7">
        <w:rPr>
          <w:rFonts w:ascii="Times New Roman" w:hAnsi="Times New Roman" w:cs="Times New Roman"/>
        </w:rPr>
        <w:t>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09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60"/>
    <w:rsid w:val="000108EB"/>
    <w:rsid w:val="00013689"/>
    <w:rsid w:val="0001410D"/>
    <w:rsid w:val="00034CA8"/>
    <w:rsid w:val="0005100A"/>
    <w:rsid w:val="00055E83"/>
    <w:rsid w:val="00080634"/>
    <w:rsid w:val="00091400"/>
    <w:rsid w:val="00091F35"/>
    <w:rsid w:val="000B641D"/>
    <w:rsid w:val="000D4613"/>
    <w:rsid w:val="000D4AC2"/>
    <w:rsid w:val="000E3B02"/>
    <w:rsid w:val="000F5EEA"/>
    <w:rsid w:val="001019DC"/>
    <w:rsid w:val="00105AF0"/>
    <w:rsid w:val="00105D8A"/>
    <w:rsid w:val="00107EBD"/>
    <w:rsid w:val="00113EF4"/>
    <w:rsid w:val="001209C7"/>
    <w:rsid w:val="00133AC9"/>
    <w:rsid w:val="00146673"/>
    <w:rsid w:val="0015133C"/>
    <w:rsid w:val="00160A92"/>
    <w:rsid w:val="00163871"/>
    <w:rsid w:val="00171D70"/>
    <w:rsid w:val="001B54AB"/>
    <w:rsid w:val="001D74A6"/>
    <w:rsid w:val="001E022D"/>
    <w:rsid w:val="001F2375"/>
    <w:rsid w:val="0020096B"/>
    <w:rsid w:val="00203469"/>
    <w:rsid w:val="00216D59"/>
    <w:rsid w:val="002230DC"/>
    <w:rsid w:val="0024383F"/>
    <w:rsid w:val="00247D9C"/>
    <w:rsid w:val="00251C22"/>
    <w:rsid w:val="00262A0B"/>
    <w:rsid w:val="002820BF"/>
    <w:rsid w:val="002B5B13"/>
    <w:rsid w:val="002C20DA"/>
    <w:rsid w:val="002D1606"/>
    <w:rsid w:val="002F1E25"/>
    <w:rsid w:val="002F7096"/>
    <w:rsid w:val="00306A35"/>
    <w:rsid w:val="00331EA2"/>
    <w:rsid w:val="00333015"/>
    <w:rsid w:val="00340F24"/>
    <w:rsid w:val="00357C4A"/>
    <w:rsid w:val="00366799"/>
    <w:rsid w:val="00371FAE"/>
    <w:rsid w:val="00375062"/>
    <w:rsid w:val="003771D7"/>
    <w:rsid w:val="003B00A1"/>
    <w:rsid w:val="003D082E"/>
    <w:rsid w:val="003E2040"/>
    <w:rsid w:val="003E616D"/>
    <w:rsid w:val="003F2F21"/>
    <w:rsid w:val="00403EC7"/>
    <w:rsid w:val="004060E2"/>
    <w:rsid w:val="00415271"/>
    <w:rsid w:val="00416B5F"/>
    <w:rsid w:val="004318DF"/>
    <w:rsid w:val="004342A9"/>
    <w:rsid w:val="00434B32"/>
    <w:rsid w:val="00456050"/>
    <w:rsid w:val="004608A4"/>
    <w:rsid w:val="004611B2"/>
    <w:rsid w:val="004675C1"/>
    <w:rsid w:val="00472916"/>
    <w:rsid w:val="00484AA3"/>
    <w:rsid w:val="00492030"/>
    <w:rsid w:val="004A4976"/>
    <w:rsid w:val="004B5763"/>
    <w:rsid w:val="004D0B0C"/>
    <w:rsid w:val="004E0AD3"/>
    <w:rsid w:val="0050402F"/>
    <w:rsid w:val="00510621"/>
    <w:rsid w:val="005167F3"/>
    <w:rsid w:val="005513C0"/>
    <w:rsid w:val="00556F64"/>
    <w:rsid w:val="00561D06"/>
    <w:rsid w:val="0056616C"/>
    <w:rsid w:val="00571360"/>
    <w:rsid w:val="00572105"/>
    <w:rsid w:val="005745C2"/>
    <w:rsid w:val="005851EB"/>
    <w:rsid w:val="005A64E0"/>
    <w:rsid w:val="005C575A"/>
    <w:rsid w:val="005D672B"/>
    <w:rsid w:val="005D6A9C"/>
    <w:rsid w:val="005E1401"/>
    <w:rsid w:val="00606DB3"/>
    <w:rsid w:val="00623E7F"/>
    <w:rsid w:val="00625ADF"/>
    <w:rsid w:val="00655E18"/>
    <w:rsid w:val="00680355"/>
    <w:rsid w:val="006815EF"/>
    <w:rsid w:val="006838BF"/>
    <w:rsid w:val="00690064"/>
    <w:rsid w:val="006A054E"/>
    <w:rsid w:val="006B05EC"/>
    <w:rsid w:val="006B26A4"/>
    <w:rsid w:val="006B5D30"/>
    <w:rsid w:val="006C4E58"/>
    <w:rsid w:val="006C570F"/>
    <w:rsid w:val="006D471E"/>
    <w:rsid w:val="006D530A"/>
    <w:rsid w:val="006E1825"/>
    <w:rsid w:val="006E6B8D"/>
    <w:rsid w:val="006F7BA0"/>
    <w:rsid w:val="0070004A"/>
    <w:rsid w:val="00701497"/>
    <w:rsid w:val="00707884"/>
    <w:rsid w:val="00710135"/>
    <w:rsid w:val="00710B34"/>
    <w:rsid w:val="007166CA"/>
    <w:rsid w:val="00726D5A"/>
    <w:rsid w:val="00730BD8"/>
    <w:rsid w:val="00756DD7"/>
    <w:rsid w:val="00766B77"/>
    <w:rsid w:val="00785A4B"/>
    <w:rsid w:val="00791AED"/>
    <w:rsid w:val="007A5ACB"/>
    <w:rsid w:val="007B17E1"/>
    <w:rsid w:val="007B1ECB"/>
    <w:rsid w:val="007D5824"/>
    <w:rsid w:val="007D762A"/>
    <w:rsid w:val="00800536"/>
    <w:rsid w:val="00803000"/>
    <w:rsid w:val="0080730B"/>
    <w:rsid w:val="00810883"/>
    <w:rsid w:val="0081122D"/>
    <w:rsid w:val="00812DCA"/>
    <w:rsid w:val="00816596"/>
    <w:rsid w:val="00822A6A"/>
    <w:rsid w:val="00822EC1"/>
    <w:rsid w:val="00847032"/>
    <w:rsid w:val="00853A98"/>
    <w:rsid w:val="00853F91"/>
    <w:rsid w:val="00856E2C"/>
    <w:rsid w:val="0087108B"/>
    <w:rsid w:val="00894D2A"/>
    <w:rsid w:val="008C5D50"/>
    <w:rsid w:val="008D2999"/>
    <w:rsid w:val="008D6784"/>
    <w:rsid w:val="008E2603"/>
    <w:rsid w:val="008E2D3C"/>
    <w:rsid w:val="0090296D"/>
    <w:rsid w:val="00915D5C"/>
    <w:rsid w:val="00942ADC"/>
    <w:rsid w:val="00952368"/>
    <w:rsid w:val="00953BB9"/>
    <w:rsid w:val="00977C94"/>
    <w:rsid w:val="00985F1E"/>
    <w:rsid w:val="009872C3"/>
    <w:rsid w:val="009A657C"/>
    <w:rsid w:val="009B459F"/>
    <w:rsid w:val="009B54DD"/>
    <w:rsid w:val="009C602E"/>
    <w:rsid w:val="009D41D0"/>
    <w:rsid w:val="009E1080"/>
    <w:rsid w:val="009E1BA0"/>
    <w:rsid w:val="009E4642"/>
    <w:rsid w:val="009F7FDF"/>
    <w:rsid w:val="00A16A0A"/>
    <w:rsid w:val="00A37551"/>
    <w:rsid w:val="00A508D1"/>
    <w:rsid w:val="00A54A4B"/>
    <w:rsid w:val="00A54B77"/>
    <w:rsid w:val="00A565B4"/>
    <w:rsid w:val="00A604C5"/>
    <w:rsid w:val="00A67DFD"/>
    <w:rsid w:val="00A80836"/>
    <w:rsid w:val="00A868E1"/>
    <w:rsid w:val="00AC58EB"/>
    <w:rsid w:val="00B104BC"/>
    <w:rsid w:val="00B55EF4"/>
    <w:rsid w:val="00B6694B"/>
    <w:rsid w:val="00B724AC"/>
    <w:rsid w:val="00B869B3"/>
    <w:rsid w:val="00BC0393"/>
    <w:rsid w:val="00BC14EF"/>
    <w:rsid w:val="00BC3735"/>
    <w:rsid w:val="00BD16BC"/>
    <w:rsid w:val="00BE3365"/>
    <w:rsid w:val="00BF49A8"/>
    <w:rsid w:val="00C02C50"/>
    <w:rsid w:val="00C06CA9"/>
    <w:rsid w:val="00C14BE4"/>
    <w:rsid w:val="00C23B07"/>
    <w:rsid w:val="00C33307"/>
    <w:rsid w:val="00C42EF3"/>
    <w:rsid w:val="00C4550E"/>
    <w:rsid w:val="00C54172"/>
    <w:rsid w:val="00C55394"/>
    <w:rsid w:val="00C57F61"/>
    <w:rsid w:val="00C639DD"/>
    <w:rsid w:val="00C6426C"/>
    <w:rsid w:val="00C65322"/>
    <w:rsid w:val="00C660C5"/>
    <w:rsid w:val="00C75625"/>
    <w:rsid w:val="00C861D1"/>
    <w:rsid w:val="00C9594A"/>
    <w:rsid w:val="00C96C31"/>
    <w:rsid w:val="00C977CA"/>
    <w:rsid w:val="00CA5B0F"/>
    <w:rsid w:val="00CB7563"/>
    <w:rsid w:val="00CC1EBB"/>
    <w:rsid w:val="00CC2207"/>
    <w:rsid w:val="00CD0D33"/>
    <w:rsid w:val="00CD11D1"/>
    <w:rsid w:val="00CE05B5"/>
    <w:rsid w:val="00D0293B"/>
    <w:rsid w:val="00D15CF0"/>
    <w:rsid w:val="00D23569"/>
    <w:rsid w:val="00D26A8B"/>
    <w:rsid w:val="00D45B3C"/>
    <w:rsid w:val="00D523C9"/>
    <w:rsid w:val="00D54447"/>
    <w:rsid w:val="00D642BA"/>
    <w:rsid w:val="00D67944"/>
    <w:rsid w:val="00D8298E"/>
    <w:rsid w:val="00D82FA0"/>
    <w:rsid w:val="00DA7215"/>
    <w:rsid w:val="00DE2005"/>
    <w:rsid w:val="00DE438E"/>
    <w:rsid w:val="00DF75F2"/>
    <w:rsid w:val="00E01AD5"/>
    <w:rsid w:val="00E14F85"/>
    <w:rsid w:val="00E22E8A"/>
    <w:rsid w:val="00E2749A"/>
    <w:rsid w:val="00E30347"/>
    <w:rsid w:val="00E34051"/>
    <w:rsid w:val="00E7008F"/>
    <w:rsid w:val="00E7176E"/>
    <w:rsid w:val="00E75146"/>
    <w:rsid w:val="00E97C59"/>
    <w:rsid w:val="00EA4C50"/>
    <w:rsid w:val="00EB1319"/>
    <w:rsid w:val="00EB6348"/>
    <w:rsid w:val="00ED3CCB"/>
    <w:rsid w:val="00EE4DBF"/>
    <w:rsid w:val="00EE70B3"/>
    <w:rsid w:val="00F266DF"/>
    <w:rsid w:val="00F52765"/>
    <w:rsid w:val="00F56C60"/>
    <w:rsid w:val="00F61C73"/>
    <w:rsid w:val="00F91BCD"/>
    <w:rsid w:val="00FA4533"/>
    <w:rsid w:val="00FD09EE"/>
    <w:rsid w:val="00FE0A3E"/>
    <w:rsid w:val="00FE0C58"/>
    <w:rsid w:val="00FE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44EB"/>
  <w15:chartTrackingRefBased/>
  <w15:docId w15:val="{8FC55B70-4492-4FF1-A2B7-980E34D3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6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71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71360"/>
    <w:pPr>
      <w:tabs>
        <w:tab w:val="center" w:pos="4320"/>
        <w:tab w:val="right" w:pos="8640"/>
      </w:tabs>
    </w:pPr>
  </w:style>
  <w:style w:type="character" w:customStyle="1" w:styleId="FooterChar">
    <w:name w:val="Footer Char"/>
    <w:basedOn w:val="DefaultParagraphFont"/>
    <w:link w:val="Footer"/>
    <w:rsid w:val="00571360"/>
    <w:rPr>
      <w:rFonts w:ascii="CG Times" w:eastAsia="Times New Roman" w:hAnsi="CG Times" w:cs="CG Times"/>
      <w:sz w:val="24"/>
      <w:szCs w:val="24"/>
    </w:rPr>
  </w:style>
  <w:style w:type="character" w:styleId="PageNumber">
    <w:name w:val="page number"/>
    <w:basedOn w:val="DefaultParagraphFont"/>
    <w:rsid w:val="00571360"/>
  </w:style>
  <w:style w:type="paragraph" w:styleId="ListParagraph">
    <w:name w:val="List Paragraph"/>
    <w:basedOn w:val="Normal"/>
    <w:uiPriority w:val="34"/>
    <w:qFormat/>
    <w:rsid w:val="00571360"/>
    <w:pPr>
      <w:autoSpaceDE/>
      <w:autoSpaceDN/>
      <w:ind w:left="720"/>
      <w:contextualSpacing/>
    </w:pPr>
    <w:rPr>
      <w:rFonts w:ascii="Times New Roman" w:hAnsi="Times New Roman" w:cs="Times New Roman"/>
    </w:rPr>
  </w:style>
  <w:style w:type="paragraph" w:customStyle="1" w:styleId="Default">
    <w:name w:val="Default"/>
    <w:rsid w:val="007A5AC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00536"/>
    <w:rPr>
      <w:sz w:val="20"/>
      <w:szCs w:val="20"/>
    </w:rPr>
  </w:style>
  <w:style w:type="character" w:customStyle="1" w:styleId="FootnoteTextChar">
    <w:name w:val="Footnote Text Char"/>
    <w:basedOn w:val="DefaultParagraphFont"/>
    <w:link w:val="FootnoteText"/>
    <w:uiPriority w:val="99"/>
    <w:semiHidden/>
    <w:rsid w:val="00800536"/>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800536"/>
    <w:rPr>
      <w:vertAlign w:val="superscript"/>
    </w:rPr>
  </w:style>
  <w:style w:type="paragraph" w:styleId="Header">
    <w:name w:val="header"/>
    <w:basedOn w:val="Normal"/>
    <w:link w:val="HeaderChar"/>
    <w:uiPriority w:val="99"/>
    <w:unhideWhenUsed/>
    <w:rsid w:val="00A16A0A"/>
    <w:pPr>
      <w:tabs>
        <w:tab w:val="center" w:pos="4680"/>
        <w:tab w:val="right" w:pos="9360"/>
      </w:tabs>
    </w:pPr>
  </w:style>
  <w:style w:type="character" w:customStyle="1" w:styleId="HeaderChar">
    <w:name w:val="Header Char"/>
    <w:basedOn w:val="DefaultParagraphFont"/>
    <w:link w:val="Header"/>
    <w:uiPriority w:val="99"/>
    <w:rsid w:val="00A16A0A"/>
    <w:rPr>
      <w:rFonts w:ascii="CG Times" w:eastAsia="Times New Roman" w:hAnsi="CG Times" w:cs="CG Times"/>
      <w:sz w:val="24"/>
      <w:szCs w:val="24"/>
    </w:rPr>
  </w:style>
  <w:style w:type="character" w:styleId="Hyperlink">
    <w:name w:val="Hyperlink"/>
    <w:basedOn w:val="DefaultParagraphFont"/>
    <w:uiPriority w:val="99"/>
    <w:semiHidden/>
    <w:unhideWhenUsed/>
    <w:rsid w:val="00151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tts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6E09-42D5-4881-BDF5-A417C12F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2022-10-26T15:04:00Z</dcterms:created>
  <dcterms:modified xsi:type="dcterms:W3CDTF">2022-10-26T15:05:00Z</dcterms:modified>
</cp:coreProperties>
</file>