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7307" w14:textId="77777777" w:rsidR="00F35CDE" w:rsidRDefault="00716AAB" w:rsidP="007369A9">
      <w:pPr>
        <w:jc w:val="center"/>
        <w:rPr>
          <w:b/>
        </w:rPr>
      </w:pPr>
      <w:r>
        <w:rPr>
          <w:b/>
        </w:rPr>
        <w:t>BEFORE THE</w:t>
      </w:r>
    </w:p>
    <w:p w14:paraId="21DD7308" w14:textId="77777777" w:rsidR="00716AAB" w:rsidRDefault="00716AAB" w:rsidP="007369A9">
      <w:pPr>
        <w:jc w:val="center"/>
      </w:pPr>
      <w:smartTag w:uri="urn:schemas-microsoft-com:office:smarttags" w:element="place">
        <w:smartTag w:uri="urn:schemas-microsoft-com:office:smarttags" w:element="State">
          <w:r>
            <w:rPr>
              <w:b/>
            </w:rPr>
            <w:t>PENNSYLVANIA</w:t>
          </w:r>
        </w:smartTag>
      </w:smartTag>
      <w:r>
        <w:rPr>
          <w:b/>
        </w:rPr>
        <w:t xml:space="preserve"> PUBLIC UTILITY COMMISSION</w:t>
      </w:r>
    </w:p>
    <w:p w14:paraId="21DD7309" w14:textId="77777777" w:rsidR="00716AAB" w:rsidRDefault="00716AAB" w:rsidP="007369A9"/>
    <w:p w14:paraId="21DD730A" w14:textId="77777777" w:rsidR="00716AAB" w:rsidRDefault="00716AAB" w:rsidP="007369A9"/>
    <w:p w14:paraId="21DD730B" w14:textId="77777777" w:rsidR="00716AAB" w:rsidRDefault="00716AAB" w:rsidP="007369A9"/>
    <w:p w14:paraId="21DD730C" w14:textId="2D5B3EBD" w:rsidR="002F56A9" w:rsidRDefault="00305011" w:rsidP="007369A9">
      <w:r>
        <w:t xml:space="preserve">Roberta </w:t>
      </w:r>
      <w:proofErr w:type="spellStart"/>
      <w:r>
        <w:t>Zenmon</w:t>
      </w:r>
      <w:proofErr w:type="spellEnd"/>
      <w:r w:rsidR="00A759D9">
        <w:tab/>
      </w:r>
      <w:r w:rsidR="002F56A9">
        <w:tab/>
      </w:r>
      <w:r w:rsidR="002F56A9">
        <w:tab/>
      </w:r>
      <w:r w:rsidR="002F56A9">
        <w:tab/>
      </w:r>
      <w:r w:rsidR="002F56A9">
        <w:tab/>
        <w:t>:</w:t>
      </w:r>
    </w:p>
    <w:p w14:paraId="21DD730D" w14:textId="77777777" w:rsidR="002F56A9" w:rsidRDefault="002F56A9" w:rsidP="007369A9">
      <w:r>
        <w:tab/>
      </w:r>
      <w:r>
        <w:tab/>
      </w:r>
      <w:r>
        <w:tab/>
      </w:r>
      <w:r>
        <w:tab/>
      </w:r>
      <w:r>
        <w:tab/>
      </w:r>
      <w:r>
        <w:tab/>
      </w:r>
      <w:r>
        <w:tab/>
        <w:t>:</w:t>
      </w:r>
    </w:p>
    <w:p w14:paraId="21DD730E" w14:textId="1A75CBB7" w:rsidR="002F56A9" w:rsidRDefault="002F56A9" w:rsidP="007369A9">
      <w:pPr>
        <w:numPr>
          <w:ilvl w:val="0"/>
          <w:numId w:val="1"/>
        </w:numPr>
        <w:ind w:hanging="4320"/>
      </w:pPr>
      <w:r>
        <w:t>:</w:t>
      </w:r>
      <w:r>
        <w:tab/>
      </w:r>
      <w:r w:rsidR="007369A9">
        <w:tab/>
      </w:r>
      <w:r w:rsidR="00305011">
        <w:t>C-202</w:t>
      </w:r>
      <w:r w:rsidR="00354E17">
        <w:t>2</w:t>
      </w:r>
      <w:r w:rsidR="00305011">
        <w:t>-</w:t>
      </w:r>
      <w:r w:rsidR="000E7D6D">
        <w:t>3030679</w:t>
      </w:r>
    </w:p>
    <w:p w14:paraId="21DD730F" w14:textId="77777777" w:rsidR="002F56A9" w:rsidRDefault="002F56A9" w:rsidP="007369A9">
      <w:pPr>
        <w:ind w:left="5040"/>
      </w:pPr>
      <w:r>
        <w:t>:</w:t>
      </w:r>
    </w:p>
    <w:p w14:paraId="21DD7310" w14:textId="5B589E82" w:rsidR="002F56A9" w:rsidRDefault="000E7D6D" w:rsidP="007369A9">
      <w:r>
        <w:t>Pennsylvania Power Company</w:t>
      </w:r>
      <w:r w:rsidR="002F56A9">
        <w:tab/>
        <w:t xml:space="preserve"> </w:t>
      </w:r>
      <w:r w:rsidR="002F56A9">
        <w:tab/>
      </w:r>
      <w:r w:rsidR="002F56A9">
        <w:tab/>
        <w:t>:</w:t>
      </w:r>
    </w:p>
    <w:p w14:paraId="21DD7311" w14:textId="77777777" w:rsidR="00716AAB" w:rsidRDefault="00716AAB" w:rsidP="007369A9"/>
    <w:p w14:paraId="03757E74" w14:textId="113890A5" w:rsidR="003339EB" w:rsidRDefault="003339EB" w:rsidP="007369A9"/>
    <w:p w14:paraId="4211D000" w14:textId="77777777" w:rsidR="007369A9" w:rsidRPr="007A3515" w:rsidRDefault="007369A9" w:rsidP="007369A9"/>
    <w:p w14:paraId="6B8ED458" w14:textId="77777777" w:rsidR="00002596" w:rsidRPr="00F170C8" w:rsidRDefault="00002596" w:rsidP="00002596">
      <w:pPr>
        <w:jc w:val="center"/>
      </w:pPr>
      <w:r w:rsidRPr="00F170C8">
        <w:rPr>
          <w:b/>
          <w:u w:val="single"/>
        </w:rPr>
        <w:t>FIRST INTERIM ORDER ON REMAND</w:t>
      </w:r>
    </w:p>
    <w:p w14:paraId="03AFA2DB" w14:textId="77777777" w:rsidR="00002596" w:rsidRDefault="00002596" w:rsidP="00002596">
      <w:pPr>
        <w:jc w:val="center"/>
      </w:pPr>
      <w:r w:rsidRPr="00002596">
        <w:t xml:space="preserve">Scheduling of Further Telephonic Hearing </w:t>
      </w:r>
    </w:p>
    <w:p w14:paraId="613CE7AD" w14:textId="1D3E8CE3" w:rsidR="003339EB" w:rsidRDefault="00002596" w:rsidP="00002596">
      <w:pPr>
        <w:jc w:val="center"/>
      </w:pPr>
      <w:r w:rsidRPr="00002596">
        <w:t>on Remand</w:t>
      </w:r>
    </w:p>
    <w:p w14:paraId="21DD7316" w14:textId="77777777" w:rsidR="0092383A" w:rsidRPr="00002596" w:rsidRDefault="0092383A" w:rsidP="007369A9">
      <w:pPr>
        <w:spacing w:line="360" w:lineRule="auto"/>
        <w:jc w:val="both"/>
      </w:pPr>
    </w:p>
    <w:p w14:paraId="21DD7317" w14:textId="3128EB77" w:rsidR="00781E59" w:rsidRDefault="00781E59" w:rsidP="007369A9">
      <w:pPr>
        <w:tabs>
          <w:tab w:val="left" w:pos="-1440"/>
          <w:tab w:val="left" w:pos="-720"/>
        </w:tabs>
        <w:suppressAutoHyphens/>
        <w:spacing w:line="360" w:lineRule="auto"/>
        <w:ind w:firstLine="1440"/>
      </w:pPr>
      <w:r w:rsidRPr="00FD108F">
        <w:t>On</w:t>
      </w:r>
      <w:r w:rsidR="000E7D6D">
        <w:t xml:space="preserve"> December 27, 2021</w:t>
      </w:r>
      <w:r w:rsidRPr="00FD108F">
        <w:t xml:space="preserve">, </w:t>
      </w:r>
      <w:r w:rsidR="000E7D6D">
        <w:t xml:space="preserve">Roberta </w:t>
      </w:r>
      <w:proofErr w:type="spellStart"/>
      <w:r w:rsidR="000E7D6D">
        <w:t>Zenmon</w:t>
      </w:r>
      <w:proofErr w:type="spellEnd"/>
      <w:r w:rsidR="000E7D6D">
        <w:t xml:space="preserve"> (</w:t>
      </w:r>
      <w:r w:rsidR="00305011">
        <w:t xml:space="preserve">Ms. </w:t>
      </w:r>
      <w:proofErr w:type="spellStart"/>
      <w:r w:rsidR="00305011">
        <w:t>Zenmon</w:t>
      </w:r>
      <w:proofErr w:type="spellEnd"/>
      <w:r w:rsidR="000E7D6D">
        <w:t xml:space="preserve"> or Complainant)</w:t>
      </w:r>
      <w:r w:rsidRPr="00FD108F">
        <w:t xml:space="preserve"> filed a complaint with the Pennsylvania Public Utility Commission</w:t>
      </w:r>
      <w:r>
        <w:t xml:space="preserve"> (</w:t>
      </w:r>
      <w:r w:rsidRPr="00FD108F">
        <w:t xml:space="preserve">Commission) against </w:t>
      </w:r>
      <w:r w:rsidR="000E7D6D">
        <w:t xml:space="preserve">Pennsylvania Power Company (Penn Power or </w:t>
      </w:r>
      <w:r w:rsidRPr="00FD108F">
        <w:t>Respondent</w:t>
      </w:r>
      <w:r w:rsidR="000E7D6D">
        <w:t>)</w:t>
      </w:r>
      <w:r w:rsidRPr="00FD108F">
        <w:t xml:space="preserve"> alleging </w:t>
      </w:r>
      <w:r w:rsidR="000E7D6D">
        <w:t>incorrect charges from Respondent for</w:t>
      </w:r>
      <w:r w:rsidRPr="00FD108F">
        <w:t xml:space="preserve"> her </w:t>
      </w:r>
      <w:r w:rsidR="000E7D6D">
        <w:t xml:space="preserve">residential </w:t>
      </w:r>
      <w:r w:rsidRPr="00FD108F">
        <w:t xml:space="preserve">electric utility service.  </w:t>
      </w:r>
      <w:r w:rsidR="00305011">
        <w:t xml:space="preserve">Ms. </w:t>
      </w:r>
      <w:proofErr w:type="spellStart"/>
      <w:r w:rsidR="00305011">
        <w:t>Zenmon</w:t>
      </w:r>
      <w:proofErr w:type="spellEnd"/>
      <w:r w:rsidRPr="00FD108F">
        <w:t xml:space="preserve"> </w:t>
      </w:r>
      <w:r w:rsidR="000E7D6D">
        <w:t xml:space="preserve">alleged Penn Power </w:t>
      </w:r>
      <w:r w:rsidR="0060607B">
        <w:t>failed to comply with an agreement reached</w:t>
      </w:r>
      <w:r w:rsidR="000E7D6D">
        <w:t xml:space="preserve"> in a prior formal complaint proceeding </w:t>
      </w:r>
      <w:r w:rsidR="00CE0D71">
        <w:t>which allowed</w:t>
      </w:r>
      <w:r w:rsidR="000E7D6D">
        <w:t xml:space="preserve"> Complainant </w:t>
      </w:r>
      <w:r w:rsidR="00CE0D71">
        <w:t>to</w:t>
      </w:r>
      <w:r w:rsidR="000E7D6D">
        <w:t xml:space="preserve"> pay the utility on the first of every month</w:t>
      </w:r>
      <w:r w:rsidR="0060607B">
        <w:t xml:space="preserve">.  She </w:t>
      </w:r>
      <w:r w:rsidR="000E7D6D">
        <w:t>requested a payment arrangement</w:t>
      </w:r>
      <w:r>
        <w:t xml:space="preserve">.  </w:t>
      </w:r>
    </w:p>
    <w:p w14:paraId="21DD7318" w14:textId="77777777" w:rsidR="0092383A" w:rsidRDefault="0092383A" w:rsidP="007369A9">
      <w:pPr>
        <w:spacing w:line="360" w:lineRule="auto"/>
        <w:ind w:firstLine="720"/>
      </w:pPr>
    </w:p>
    <w:p w14:paraId="31501721" w14:textId="3006BE8D" w:rsidR="0060607B" w:rsidRDefault="00781E59" w:rsidP="007369A9">
      <w:pPr>
        <w:tabs>
          <w:tab w:val="left" w:pos="2160"/>
        </w:tabs>
        <w:spacing w:line="360" w:lineRule="auto"/>
        <w:ind w:firstLine="1440"/>
      </w:pPr>
      <w:r>
        <w:t xml:space="preserve">On </w:t>
      </w:r>
      <w:r w:rsidR="0060607B">
        <w:t>February 22, 2022</w:t>
      </w:r>
      <w:r>
        <w:t xml:space="preserve">, </w:t>
      </w:r>
      <w:r w:rsidR="0060607B">
        <w:t xml:space="preserve">Penn Power filed its Answer and New Matter, with a Notice to Plead, in which Respondent generally denied the allegations.  Specifically, Penn Power denied it failed to honor the terms of the settlement agreement between the parties at Docket No. F-2020-3023344 (2020 Formal Complaint).  </w:t>
      </w:r>
      <w:r w:rsidR="00EE22ED">
        <w:t xml:space="preserve">In New Matter, Respondent alleged </w:t>
      </w:r>
      <w:r w:rsidR="00423B6D">
        <w:t xml:space="preserve">a letter which Respondent mailed to Complainant on June 4, 2021 (Settlement Letter) contained </w:t>
      </w:r>
      <w:r w:rsidR="00EE22ED">
        <w:t xml:space="preserve">the terms of the settlement agreement and </w:t>
      </w:r>
      <w:r w:rsidR="00423B6D">
        <w:t>should be permitted to</w:t>
      </w:r>
      <w:r w:rsidR="00EE22ED">
        <w:t xml:space="preserve"> speak for itself</w:t>
      </w:r>
      <w:r w:rsidR="00423B6D">
        <w:t xml:space="preserve">.  </w:t>
      </w:r>
      <w:r w:rsidR="00EE22ED">
        <w:t xml:space="preserve">Penn Power noted </w:t>
      </w:r>
      <w:r w:rsidR="00423B6D">
        <w:t xml:space="preserve">the Commission’s regulations permit </w:t>
      </w:r>
      <w:r w:rsidR="00EE22ED">
        <w:t xml:space="preserve">billing periods </w:t>
      </w:r>
      <w:r w:rsidR="00423B6D">
        <w:t>to vary</w:t>
      </w:r>
      <w:r w:rsidR="00EE22ED">
        <w:t xml:space="preserve"> from 26 days to 35 days in length, pursuant to 52 Pa.Code § 56.2.</w:t>
      </w:r>
    </w:p>
    <w:p w14:paraId="15F8CC52" w14:textId="77777777" w:rsidR="0060607B" w:rsidRDefault="0060607B" w:rsidP="007369A9">
      <w:pPr>
        <w:tabs>
          <w:tab w:val="left" w:pos="2160"/>
        </w:tabs>
        <w:spacing w:line="360" w:lineRule="auto"/>
        <w:ind w:firstLine="1440"/>
      </w:pPr>
    </w:p>
    <w:p w14:paraId="21DD731B" w14:textId="2CB285D4" w:rsidR="00781E59" w:rsidRDefault="00EE22ED" w:rsidP="007369A9">
      <w:pPr>
        <w:suppressAutoHyphens/>
        <w:spacing w:line="360" w:lineRule="auto"/>
        <w:ind w:firstLine="1440"/>
        <w:rPr>
          <w:bCs/>
          <w:spacing w:val="-3"/>
        </w:rPr>
      </w:pPr>
      <w:r>
        <w:rPr>
          <w:bCs/>
          <w:spacing w:val="-3"/>
        </w:rPr>
        <w:t>On April 27, 2022, t</w:t>
      </w:r>
      <w:r w:rsidR="00781E59" w:rsidRPr="00FD108F">
        <w:rPr>
          <w:bCs/>
          <w:spacing w:val="-3"/>
        </w:rPr>
        <w:t xml:space="preserve">he </w:t>
      </w:r>
      <w:r w:rsidR="00781E59">
        <w:rPr>
          <w:bCs/>
          <w:spacing w:val="-3"/>
        </w:rPr>
        <w:t xml:space="preserve">presiding officer conducted the </w:t>
      </w:r>
      <w:r w:rsidR="00781E59" w:rsidRPr="00FD108F">
        <w:rPr>
          <w:bCs/>
          <w:spacing w:val="-3"/>
        </w:rPr>
        <w:t xml:space="preserve">initial telephonic hearing as scheduled.  </w:t>
      </w:r>
      <w:r w:rsidR="00305011">
        <w:rPr>
          <w:bCs/>
          <w:spacing w:val="-3"/>
        </w:rPr>
        <w:t xml:space="preserve">Ms. </w:t>
      </w:r>
      <w:proofErr w:type="spellStart"/>
      <w:r w:rsidR="00305011">
        <w:rPr>
          <w:bCs/>
          <w:spacing w:val="-3"/>
        </w:rPr>
        <w:t>Zenmon</w:t>
      </w:r>
      <w:proofErr w:type="spellEnd"/>
      <w:r w:rsidR="00781E59" w:rsidRPr="00FD108F">
        <w:rPr>
          <w:bCs/>
          <w:spacing w:val="-3"/>
        </w:rPr>
        <w:t xml:space="preserve"> appeared </w:t>
      </w:r>
      <w:r w:rsidR="00781E59" w:rsidRPr="00FD108F">
        <w:rPr>
          <w:bCs/>
          <w:i/>
          <w:spacing w:val="-3"/>
        </w:rPr>
        <w:t>pro se</w:t>
      </w:r>
      <w:r w:rsidR="00781E59" w:rsidRPr="00FD108F">
        <w:rPr>
          <w:bCs/>
          <w:spacing w:val="-3"/>
        </w:rPr>
        <w:t xml:space="preserve"> and testified on her own behalf.  She did not offer </w:t>
      </w:r>
      <w:r w:rsidR="00781E59" w:rsidRPr="00FD108F">
        <w:rPr>
          <w:bCs/>
          <w:spacing w:val="-3"/>
        </w:rPr>
        <w:lastRenderedPageBreak/>
        <w:t xml:space="preserve">any exhibits.  </w:t>
      </w:r>
      <w:r w:rsidR="000E7D6D">
        <w:rPr>
          <w:bCs/>
          <w:spacing w:val="-3"/>
        </w:rPr>
        <w:t>Penn Power</w:t>
      </w:r>
      <w:r w:rsidR="00781E59" w:rsidRPr="00FD108F">
        <w:rPr>
          <w:bCs/>
          <w:spacing w:val="-3"/>
        </w:rPr>
        <w:t xml:space="preserve"> was represented at the hearing by Margaret A. Morris, Esquire</w:t>
      </w:r>
      <w:r w:rsidR="00117182">
        <w:rPr>
          <w:bCs/>
          <w:spacing w:val="-3"/>
        </w:rPr>
        <w:t xml:space="preserve">, </w:t>
      </w:r>
      <w:r w:rsidR="00326CE1">
        <w:rPr>
          <w:bCs/>
          <w:spacing w:val="-3"/>
        </w:rPr>
        <w:t xml:space="preserve">who </w:t>
      </w:r>
      <w:r w:rsidR="00781E59" w:rsidRPr="00FD108F">
        <w:rPr>
          <w:bCs/>
          <w:spacing w:val="-3"/>
        </w:rPr>
        <w:t xml:space="preserve">presented </w:t>
      </w:r>
      <w:r>
        <w:rPr>
          <w:bCs/>
          <w:spacing w:val="-3"/>
        </w:rPr>
        <w:t>one</w:t>
      </w:r>
      <w:r w:rsidR="00781E59" w:rsidRPr="00FD108F">
        <w:rPr>
          <w:bCs/>
          <w:spacing w:val="-3"/>
        </w:rPr>
        <w:t xml:space="preserve"> witness, </w:t>
      </w:r>
      <w:r>
        <w:rPr>
          <w:bCs/>
          <w:spacing w:val="-3"/>
        </w:rPr>
        <w:t>Charles Howlett, a Senior Compliance Specialist</w:t>
      </w:r>
      <w:r w:rsidR="00781E59">
        <w:rPr>
          <w:bCs/>
          <w:spacing w:val="-3"/>
        </w:rPr>
        <w:t xml:space="preserve">.  </w:t>
      </w:r>
      <w:r w:rsidR="00326CE1">
        <w:rPr>
          <w:bCs/>
          <w:spacing w:val="-3"/>
        </w:rPr>
        <w:t xml:space="preserve">During the hearing, </w:t>
      </w:r>
      <w:r w:rsidR="000E7D6D">
        <w:rPr>
          <w:bCs/>
          <w:spacing w:val="-3"/>
        </w:rPr>
        <w:t>Penn Power</w:t>
      </w:r>
      <w:r w:rsidR="00326CE1">
        <w:rPr>
          <w:bCs/>
          <w:spacing w:val="-3"/>
        </w:rPr>
        <w:t xml:space="preserve"> presented </w:t>
      </w:r>
      <w:r>
        <w:rPr>
          <w:bCs/>
          <w:spacing w:val="-3"/>
        </w:rPr>
        <w:t>seven</w:t>
      </w:r>
      <w:r w:rsidR="00326CE1">
        <w:rPr>
          <w:bCs/>
          <w:spacing w:val="-3"/>
        </w:rPr>
        <w:t xml:space="preserve"> exhibits which were marked </w:t>
      </w:r>
      <w:r w:rsidR="000E7D6D">
        <w:rPr>
          <w:bCs/>
          <w:spacing w:val="-3"/>
        </w:rPr>
        <w:t>Penn Power</w:t>
      </w:r>
      <w:r w:rsidR="00326CE1">
        <w:rPr>
          <w:bCs/>
          <w:spacing w:val="-3"/>
        </w:rPr>
        <w:t xml:space="preserve"> Exhibits 1 through </w:t>
      </w:r>
      <w:r>
        <w:rPr>
          <w:bCs/>
          <w:spacing w:val="-3"/>
        </w:rPr>
        <w:t>7</w:t>
      </w:r>
      <w:r w:rsidR="00326CE1">
        <w:rPr>
          <w:bCs/>
          <w:spacing w:val="-3"/>
        </w:rPr>
        <w:t xml:space="preserve"> and which exhibits were </w:t>
      </w:r>
      <w:r w:rsidR="00B65F57">
        <w:rPr>
          <w:bCs/>
          <w:spacing w:val="-3"/>
        </w:rPr>
        <w:t>admitted into the hearing record</w:t>
      </w:r>
      <w:r w:rsidR="00326CE1">
        <w:rPr>
          <w:bCs/>
          <w:spacing w:val="-3"/>
        </w:rPr>
        <w:t>.</w:t>
      </w:r>
      <w:r w:rsidR="00781E59" w:rsidRPr="00FD108F">
        <w:rPr>
          <w:bCs/>
          <w:spacing w:val="-3"/>
        </w:rPr>
        <w:t xml:space="preserve"> </w:t>
      </w:r>
    </w:p>
    <w:p w14:paraId="3691D785" w14:textId="1405DF30" w:rsidR="00B65F57" w:rsidRDefault="00B65F57" w:rsidP="007369A9">
      <w:pPr>
        <w:suppressAutoHyphens/>
        <w:spacing w:line="360" w:lineRule="auto"/>
        <w:ind w:firstLine="1440"/>
        <w:rPr>
          <w:bCs/>
          <w:spacing w:val="-3"/>
        </w:rPr>
      </w:pPr>
    </w:p>
    <w:p w14:paraId="3C63C82D" w14:textId="5F53CACF" w:rsidR="00FD754F" w:rsidRDefault="00FD754F" w:rsidP="007369A9">
      <w:pPr>
        <w:spacing w:line="360" w:lineRule="auto"/>
        <w:rPr>
          <w:bCs/>
          <w:color w:val="000000"/>
        </w:rPr>
      </w:pPr>
      <w:r w:rsidRPr="00194070">
        <w:rPr>
          <w:bCs/>
          <w:color w:val="000000"/>
        </w:rPr>
        <w:tab/>
      </w:r>
      <w:r w:rsidRPr="00194070">
        <w:rPr>
          <w:bCs/>
          <w:color w:val="000000"/>
        </w:rPr>
        <w:tab/>
      </w:r>
      <w:r w:rsidR="006F3950">
        <w:rPr>
          <w:bCs/>
          <w:color w:val="000000"/>
        </w:rPr>
        <w:t xml:space="preserve">On May 11, 2022, the presiding officer issued </w:t>
      </w:r>
      <w:r w:rsidR="00002596">
        <w:rPr>
          <w:bCs/>
          <w:color w:val="000000"/>
        </w:rPr>
        <w:t>a</w:t>
      </w:r>
      <w:r w:rsidR="006F3950">
        <w:rPr>
          <w:bCs/>
          <w:color w:val="000000"/>
        </w:rPr>
        <w:t xml:space="preserve"> Post-Hearing Order, p</w:t>
      </w:r>
      <w:r w:rsidRPr="00194070">
        <w:rPr>
          <w:bCs/>
          <w:color w:val="000000"/>
        </w:rPr>
        <w:t>ursuant to 52 Pa.Code §</w:t>
      </w:r>
      <w:r w:rsidR="006F3950">
        <w:rPr>
          <w:bCs/>
          <w:color w:val="000000"/>
        </w:rPr>
        <w:t>§ 5.403 and</w:t>
      </w:r>
      <w:r w:rsidRPr="00194070">
        <w:rPr>
          <w:bCs/>
          <w:color w:val="000000"/>
        </w:rPr>
        <w:t xml:space="preserve"> 5.485, </w:t>
      </w:r>
      <w:r w:rsidR="006F3950">
        <w:rPr>
          <w:bCs/>
          <w:color w:val="000000"/>
        </w:rPr>
        <w:t xml:space="preserve">and ordered the transcript from the hearing on June 3, </w:t>
      </w:r>
      <w:r w:rsidR="00AE5406">
        <w:rPr>
          <w:bCs/>
          <w:color w:val="000000"/>
        </w:rPr>
        <w:t>2020,</w:t>
      </w:r>
      <w:r w:rsidR="006F3950">
        <w:rPr>
          <w:bCs/>
          <w:color w:val="000000"/>
        </w:rPr>
        <w:t xml:space="preserve"> </w:t>
      </w:r>
      <w:r w:rsidR="00002596">
        <w:rPr>
          <w:bCs/>
          <w:color w:val="000000"/>
        </w:rPr>
        <w:t>in a previous proceeding between the parties (</w:t>
      </w:r>
      <w:r w:rsidR="006F3950">
        <w:rPr>
          <w:bCs/>
          <w:color w:val="000000"/>
        </w:rPr>
        <w:t>at Docket No. F-2020-3023344</w:t>
      </w:r>
      <w:r w:rsidR="00002596">
        <w:rPr>
          <w:bCs/>
          <w:color w:val="000000"/>
        </w:rPr>
        <w:t>)</w:t>
      </w:r>
      <w:r w:rsidR="006F3950">
        <w:rPr>
          <w:bCs/>
          <w:color w:val="000000"/>
        </w:rPr>
        <w:t xml:space="preserve"> to be admitted into the hearing record.</w:t>
      </w:r>
    </w:p>
    <w:p w14:paraId="52FE1236" w14:textId="77777777" w:rsidR="00941F03" w:rsidRPr="007A3515" w:rsidRDefault="00941F03" w:rsidP="007369A9">
      <w:pPr>
        <w:spacing w:line="360" w:lineRule="auto"/>
      </w:pPr>
    </w:p>
    <w:p w14:paraId="780D81E6" w14:textId="67EB3741" w:rsidR="00941F03" w:rsidRDefault="00941F03" w:rsidP="007369A9">
      <w:pPr>
        <w:spacing w:line="360" w:lineRule="auto"/>
        <w:ind w:firstLine="1440"/>
      </w:pPr>
      <w:r w:rsidRPr="007A3515">
        <w:t>The transcript of the</w:t>
      </w:r>
      <w:r w:rsidR="00971B5F">
        <w:t xml:space="preserve"> initial</w:t>
      </w:r>
      <w:r w:rsidRPr="007A3515">
        <w:t xml:space="preserve"> hearing, consisting of 1</w:t>
      </w:r>
      <w:r w:rsidR="00072188">
        <w:t>06</w:t>
      </w:r>
      <w:r w:rsidRPr="007A3515">
        <w:t xml:space="preserve"> pages, was received in the Commission’s Secretary’s Bureau on </w:t>
      </w:r>
      <w:r w:rsidR="00072188">
        <w:t>May 24</w:t>
      </w:r>
      <w:r w:rsidRPr="007A3515">
        <w:t xml:space="preserve">, 2022.  On </w:t>
      </w:r>
      <w:r w:rsidR="00072188">
        <w:t>May 2</w:t>
      </w:r>
      <w:r w:rsidRPr="007A3515">
        <w:t>6, 2022, the presiding officer issued the Interim Order Closing the Hearing Record.</w:t>
      </w:r>
      <w:r w:rsidR="00002596">
        <w:t xml:space="preserve">  Thereafter, on </w:t>
      </w:r>
      <w:r w:rsidR="003C1446">
        <w:t>August 23, 2022, the presiding officer issued the Initial Decision which denied the formal complaint and dismissed the formal complaint, for failure to meet the burden of proof, Complainant’s allegation that Penn Power failed to comply with the settlement agreement reached in the prior formal complaint proceeding.</w:t>
      </w:r>
    </w:p>
    <w:p w14:paraId="45B398AC" w14:textId="15F4D315" w:rsidR="002E5F11" w:rsidRDefault="002E5F11" w:rsidP="007369A9">
      <w:pPr>
        <w:spacing w:line="360" w:lineRule="auto"/>
        <w:ind w:firstLine="1440"/>
      </w:pPr>
    </w:p>
    <w:p w14:paraId="6C5282E0" w14:textId="6470568B" w:rsidR="002E5F11" w:rsidRPr="007A3515" w:rsidRDefault="002E5F11" w:rsidP="007369A9">
      <w:pPr>
        <w:spacing w:line="360" w:lineRule="auto"/>
        <w:ind w:firstLine="1440"/>
      </w:pPr>
      <w:r>
        <w:t xml:space="preserve">On September 7, 2022, Complainant filed Exceptions stating: (1) she wanted a payment arrangement from Penn Power in writing; (2) Penn Power sent the final bill to a collection agency to collect the balance owed before the ALJ issued the Initial Decision; (3) Penn Power agreed to a payment arrangement after she moved in April 2022; and (4) she wanted the Commission’s assistance to establish a payment arrangement with Penn Power.  Penn Power filed Replies to Exceptions on September 22, 2022.  </w:t>
      </w:r>
    </w:p>
    <w:p w14:paraId="27F8771E" w14:textId="03349EDF" w:rsidR="00FA32E3" w:rsidRDefault="00FA32E3" w:rsidP="00817BBC">
      <w:pPr>
        <w:spacing w:line="360" w:lineRule="auto"/>
        <w:rPr>
          <w:u w:val="single"/>
        </w:rPr>
      </w:pPr>
    </w:p>
    <w:p w14:paraId="53BCBDCC" w14:textId="3D0AAC9D" w:rsidR="003C1446" w:rsidRDefault="00817BBC" w:rsidP="003C1446">
      <w:pPr>
        <w:spacing w:line="360" w:lineRule="auto"/>
      </w:pPr>
      <w:r w:rsidRPr="00F170C8">
        <w:rPr>
          <w:rFonts w:eastAsia="Batang"/>
        </w:rPr>
        <w:tab/>
      </w:r>
      <w:r w:rsidRPr="00F170C8">
        <w:t xml:space="preserve"> </w:t>
      </w:r>
      <w:r w:rsidRPr="00F170C8">
        <w:rPr>
          <w:color w:val="000000"/>
        </w:rPr>
        <w:tab/>
      </w:r>
      <w:r>
        <w:rPr>
          <w:color w:val="000000"/>
        </w:rPr>
        <w:t xml:space="preserve">On </w:t>
      </w:r>
      <w:r w:rsidR="003C1446">
        <w:rPr>
          <w:color w:val="000000"/>
        </w:rPr>
        <w:t>October 27, 2022,</w:t>
      </w:r>
      <w:r>
        <w:rPr>
          <w:color w:val="000000"/>
        </w:rPr>
        <w:t xml:space="preserve"> the Commission </w:t>
      </w:r>
      <w:r w:rsidR="003C1446">
        <w:rPr>
          <w:color w:val="000000"/>
        </w:rPr>
        <w:t>issued its Opinion and Order which denied Complainant’s Exceptions</w:t>
      </w:r>
      <w:r w:rsidR="002E5F11">
        <w:rPr>
          <w:color w:val="000000"/>
        </w:rPr>
        <w:t>, with one exception.  The Commission</w:t>
      </w:r>
      <w:r w:rsidR="003C1446">
        <w:rPr>
          <w:color w:val="000000"/>
        </w:rPr>
        <w:t xml:space="preserve"> </w:t>
      </w:r>
      <w:r>
        <w:rPr>
          <w:color w:val="000000"/>
        </w:rPr>
        <w:t xml:space="preserve">ordered the </w:t>
      </w:r>
      <w:r w:rsidR="003C1446">
        <w:t>adoption</w:t>
      </w:r>
      <w:r w:rsidRPr="00F170C8">
        <w:t xml:space="preserve"> of the ALJ</w:t>
      </w:r>
      <w:r>
        <w:t>’</w:t>
      </w:r>
      <w:r w:rsidRPr="00F170C8">
        <w:t xml:space="preserve">s </w:t>
      </w:r>
      <w:r>
        <w:t>Initial</w:t>
      </w:r>
      <w:r w:rsidRPr="00F170C8">
        <w:t xml:space="preserve"> Decision</w:t>
      </w:r>
      <w:r w:rsidR="003C1446">
        <w:t xml:space="preserve"> consistent with the Opinion and Order, </w:t>
      </w:r>
      <w:r w:rsidRPr="00F170C8">
        <w:t xml:space="preserve">except for the issue of </w:t>
      </w:r>
      <w:r w:rsidR="003C1446">
        <w:t xml:space="preserve">whether Respondent complied with the settlement agreement in </w:t>
      </w:r>
      <w:r w:rsidR="002E5F11">
        <w:t xml:space="preserve">Complainant’s previous formal complaint, at Docket No. </w:t>
      </w:r>
      <w:r w:rsidR="003C1446">
        <w:t>F-2020-3023344</w:t>
      </w:r>
      <w:r w:rsidR="002E5F11">
        <w:t>,</w:t>
      </w:r>
      <w:r w:rsidR="003C1446">
        <w:t xml:space="preserve"> concerning the establishment of a six-month payment arrangement after electric service was discontinued.  </w:t>
      </w:r>
      <w:r w:rsidRPr="00F170C8">
        <w:t xml:space="preserve">With regard to </w:t>
      </w:r>
      <w:r w:rsidRPr="00F170C8">
        <w:lastRenderedPageBreak/>
        <w:t xml:space="preserve">that issue, </w:t>
      </w:r>
      <w:r>
        <w:t>the Commission</w:t>
      </w:r>
      <w:r w:rsidRPr="00F170C8">
        <w:t xml:space="preserve"> </w:t>
      </w:r>
      <w:r>
        <w:t>remanded the proceeding to the Office of Administrative Law Judge “</w:t>
      </w:r>
      <w:r w:rsidR="003C1446">
        <w:t>for the limited purpose of receiving evidence regarding compliance with the settlement agreement provisions pertaining to a six-month payment arrangement after service has been discontinued</w:t>
      </w:r>
      <w:r>
        <w:t xml:space="preserve">.”  </w:t>
      </w:r>
    </w:p>
    <w:p w14:paraId="076FAA7C" w14:textId="77777777" w:rsidR="003C1446" w:rsidRDefault="003C1446" w:rsidP="00817BBC">
      <w:pPr>
        <w:spacing w:line="360" w:lineRule="auto"/>
        <w:ind w:firstLine="720"/>
      </w:pPr>
    </w:p>
    <w:p w14:paraId="14BF7B6D" w14:textId="7458D678" w:rsidR="00817BBC" w:rsidRDefault="003C1446" w:rsidP="003C1446">
      <w:pPr>
        <w:spacing w:line="360" w:lineRule="auto"/>
        <w:ind w:firstLine="1440"/>
        <w:rPr>
          <w:u w:val="single"/>
        </w:rPr>
      </w:pPr>
      <w:r>
        <w:t>On November 3, 2022</w:t>
      </w:r>
      <w:r w:rsidR="00817BBC">
        <w:t>, the OALJ issue</w:t>
      </w:r>
      <w:r>
        <w:t>d</w:t>
      </w:r>
      <w:r w:rsidR="00817BBC">
        <w:t xml:space="preserve"> a hearing notice which scheduled a Further Call-In Telephonic on Remand hearing for January 19, 2023.</w:t>
      </w:r>
      <w:r>
        <w:t xml:space="preserve">  Accordingly, </w:t>
      </w:r>
      <w:r w:rsidR="00817BBC">
        <w:t xml:space="preserve">the parties should come to the Further Hearing on January 19, 2023 prepared to discuss only </w:t>
      </w:r>
      <w:r>
        <w:t>whether Respondent complied with the previous settlement agreement</w:t>
      </w:r>
      <w:r w:rsidR="00817BBC">
        <w:t xml:space="preserve"> and to provide evidence only on that issue</w:t>
      </w:r>
      <w:r>
        <w:t>, pursuant to the Commission’s Opinion and Order dated October 27, 2022</w:t>
      </w:r>
      <w:r w:rsidR="00817BBC">
        <w:t>.</w:t>
      </w:r>
    </w:p>
    <w:p w14:paraId="3D43D73D" w14:textId="77777777" w:rsidR="00817BBC" w:rsidRDefault="00817BBC" w:rsidP="007369A9">
      <w:pPr>
        <w:spacing w:line="360" w:lineRule="auto"/>
        <w:jc w:val="center"/>
        <w:rPr>
          <w:u w:val="single"/>
        </w:rPr>
      </w:pPr>
    </w:p>
    <w:p w14:paraId="0E038143" w14:textId="6AB1ACEC" w:rsidR="00941F03" w:rsidRPr="007A3515" w:rsidRDefault="00941F03" w:rsidP="007369A9">
      <w:pPr>
        <w:spacing w:line="360" w:lineRule="auto"/>
        <w:jc w:val="center"/>
        <w:rPr>
          <w:u w:val="single"/>
        </w:rPr>
      </w:pPr>
      <w:r w:rsidRPr="007A3515">
        <w:rPr>
          <w:u w:val="single"/>
        </w:rPr>
        <w:t>ORDER</w:t>
      </w:r>
    </w:p>
    <w:p w14:paraId="3782A0D0" w14:textId="77777777" w:rsidR="00941F03" w:rsidRPr="007A3515" w:rsidRDefault="00941F03" w:rsidP="007369A9">
      <w:pPr>
        <w:spacing w:line="360" w:lineRule="auto"/>
      </w:pPr>
    </w:p>
    <w:p w14:paraId="29600B41" w14:textId="77777777" w:rsidR="00941F03" w:rsidRPr="007A3515" w:rsidRDefault="00941F03" w:rsidP="007369A9">
      <w:pPr>
        <w:spacing w:line="360" w:lineRule="auto"/>
      </w:pPr>
    </w:p>
    <w:p w14:paraId="649C7F39" w14:textId="77777777" w:rsidR="00941F03" w:rsidRPr="007A3515" w:rsidRDefault="00941F03" w:rsidP="007369A9">
      <w:pPr>
        <w:spacing w:line="360" w:lineRule="auto"/>
      </w:pPr>
      <w:r w:rsidRPr="007A3515">
        <w:tab/>
      </w:r>
      <w:r w:rsidRPr="007A3515">
        <w:tab/>
        <w:t>THEREFORE,</w:t>
      </w:r>
    </w:p>
    <w:p w14:paraId="62C999E7" w14:textId="77777777" w:rsidR="00941F03" w:rsidRPr="007A3515" w:rsidRDefault="00941F03" w:rsidP="007369A9">
      <w:pPr>
        <w:spacing w:line="360" w:lineRule="auto"/>
      </w:pPr>
    </w:p>
    <w:p w14:paraId="6B2217D8" w14:textId="77777777" w:rsidR="00941F03" w:rsidRPr="007A3515" w:rsidRDefault="00941F03" w:rsidP="007369A9">
      <w:pPr>
        <w:spacing w:line="360" w:lineRule="auto"/>
      </w:pPr>
      <w:r w:rsidRPr="007A3515">
        <w:tab/>
      </w:r>
      <w:r w:rsidRPr="007A3515">
        <w:tab/>
        <w:t>IT IS ORDERED:</w:t>
      </w:r>
    </w:p>
    <w:p w14:paraId="15F9AD03" w14:textId="77777777" w:rsidR="00941F03" w:rsidRPr="007A3515" w:rsidRDefault="00941F03" w:rsidP="007369A9">
      <w:pPr>
        <w:tabs>
          <w:tab w:val="num" w:pos="2160"/>
        </w:tabs>
        <w:spacing w:line="360" w:lineRule="auto"/>
        <w:ind w:firstLine="1440"/>
        <w:outlineLvl w:val="0"/>
      </w:pPr>
    </w:p>
    <w:p w14:paraId="266F032A" w14:textId="6F400998" w:rsidR="00941F03" w:rsidRPr="007A3515" w:rsidRDefault="00941F03" w:rsidP="007369A9">
      <w:pPr>
        <w:pStyle w:val="ListParagraph"/>
        <w:numPr>
          <w:ilvl w:val="0"/>
          <w:numId w:val="4"/>
        </w:numPr>
        <w:ind w:left="0" w:firstLine="1440"/>
        <w:contextualSpacing w:val="0"/>
        <w:outlineLvl w:val="0"/>
        <w:rPr>
          <w:sz w:val="24"/>
          <w:szCs w:val="24"/>
        </w:rPr>
      </w:pPr>
      <w:r w:rsidRPr="007A3515">
        <w:rPr>
          <w:sz w:val="24"/>
          <w:szCs w:val="24"/>
        </w:rPr>
        <w:t xml:space="preserve">That </w:t>
      </w:r>
      <w:r w:rsidR="00FA32E3">
        <w:rPr>
          <w:sz w:val="24"/>
          <w:szCs w:val="24"/>
        </w:rPr>
        <w:t xml:space="preserve">an initial telephonic hearing on remand will be held </w:t>
      </w:r>
      <w:r w:rsidR="00A06F37">
        <w:rPr>
          <w:sz w:val="24"/>
          <w:szCs w:val="24"/>
        </w:rPr>
        <w:t xml:space="preserve">on January 19, 2023, </w:t>
      </w:r>
      <w:r w:rsidR="00FA32E3">
        <w:rPr>
          <w:sz w:val="24"/>
          <w:szCs w:val="24"/>
        </w:rPr>
        <w:t xml:space="preserve">concerning </w:t>
      </w:r>
      <w:r w:rsidRPr="007A3515">
        <w:rPr>
          <w:sz w:val="24"/>
          <w:szCs w:val="24"/>
        </w:rPr>
        <w:t xml:space="preserve">the </w:t>
      </w:r>
      <w:r w:rsidR="002E5F11">
        <w:rPr>
          <w:sz w:val="24"/>
          <w:szCs w:val="24"/>
        </w:rPr>
        <w:t xml:space="preserve">remand of the </w:t>
      </w:r>
      <w:r>
        <w:rPr>
          <w:sz w:val="24"/>
          <w:szCs w:val="24"/>
        </w:rPr>
        <w:t>formal complaint</w:t>
      </w:r>
      <w:r w:rsidRPr="007A3515">
        <w:rPr>
          <w:sz w:val="24"/>
          <w:szCs w:val="24"/>
        </w:rPr>
        <w:t xml:space="preserve"> filed by </w:t>
      </w:r>
      <w:r>
        <w:rPr>
          <w:sz w:val="24"/>
          <w:szCs w:val="24"/>
        </w:rPr>
        <w:t xml:space="preserve">Roberta </w:t>
      </w:r>
      <w:proofErr w:type="spellStart"/>
      <w:r>
        <w:rPr>
          <w:sz w:val="24"/>
          <w:szCs w:val="24"/>
        </w:rPr>
        <w:t>Zenmon</w:t>
      </w:r>
      <w:proofErr w:type="spellEnd"/>
      <w:r w:rsidRPr="007A3515">
        <w:rPr>
          <w:sz w:val="24"/>
          <w:szCs w:val="24"/>
        </w:rPr>
        <w:t xml:space="preserve"> against </w:t>
      </w:r>
      <w:r>
        <w:rPr>
          <w:sz w:val="24"/>
          <w:szCs w:val="24"/>
        </w:rPr>
        <w:t xml:space="preserve">Pennsylvania Power </w:t>
      </w:r>
      <w:r w:rsidRPr="007A3515">
        <w:rPr>
          <w:sz w:val="24"/>
          <w:szCs w:val="24"/>
        </w:rPr>
        <w:t>Company at Docket No. C-</w:t>
      </w:r>
      <w:r>
        <w:rPr>
          <w:sz w:val="24"/>
          <w:szCs w:val="24"/>
        </w:rPr>
        <w:t>2022-3030679</w:t>
      </w:r>
      <w:r w:rsidRPr="007A3515">
        <w:rPr>
          <w:sz w:val="24"/>
          <w:szCs w:val="24"/>
        </w:rPr>
        <w:t xml:space="preserve">.  </w:t>
      </w:r>
    </w:p>
    <w:p w14:paraId="0BD92925" w14:textId="77777777" w:rsidR="00941F03" w:rsidRPr="007A3515" w:rsidRDefault="00941F03" w:rsidP="007369A9">
      <w:pPr>
        <w:pStyle w:val="ListParagraph"/>
        <w:ind w:left="1440"/>
        <w:contextualSpacing w:val="0"/>
        <w:outlineLvl w:val="0"/>
        <w:rPr>
          <w:sz w:val="24"/>
          <w:szCs w:val="24"/>
        </w:rPr>
      </w:pPr>
    </w:p>
    <w:p w14:paraId="106FE8C6" w14:textId="7A005848" w:rsidR="00FA32E3" w:rsidRDefault="00FA32E3" w:rsidP="00FA32E3">
      <w:pPr>
        <w:spacing w:line="360" w:lineRule="auto"/>
        <w:ind w:firstLine="1440"/>
      </w:pPr>
      <w:r>
        <w:t xml:space="preserve">2. </w:t>
      </w:r>
      <w:r>
        <w:tab/>
      </w:r>
      <w:r w:rsidR="00941F03" w:rsidRPr="007A3515">
        <w:t xml:space="preserve">That </w:t>
      </w:r>
      <w:r>
        <w:t xml:space="preserve">the only purpose for the subsequent hearing </w:t>
      </w:r>
      <w:r w:rsidR="002E5F11">
        <w:t xml:space="preserve">on remand </w:t>
      </w:r>
      <w:r>
        <w:t xml:space="preserve">is to </w:t>
      </w:r>
      <w:r w:rsidR="002E5F11">
        <w:t>take in evidence concerning whether Pennsylvania Power Company complied with the provision in the settlement agreement in Docket No. F-2020-3023344 pertaining to a six-month payment arrangement after service was discontinued</w:t>
      </w:r>
      <w:r>
        <w:t xml:space="preserve">.  </w:t>
      </w:r>
    </w:p>
    <w:p w14:paraId="3A8EACCA" w14:textId="0B31A712" w:rsidR="00941F03" w:rsidRDefault="00941F03" w:rsidP="007369A9">
      <w:pPr>
        <w:spacing w:line="360" w:lineRule="auto"/>
      </w:pPr>
    </w:p>
    <w:p w14:paraId="0AE321CD" w14:textId="77777777" w:rsidR="00354E17" w:rsidRPr="007A3515" w:rsidRDefault="00354E17" w:rsidP="007369A9">
      <w:pPr>
        <w:spacing w:line="360" w:lineRule="auto"/>
      </w:pPr>
    </w:p>
    <w:p w14:paraId="0E8795C1" w14:textId="66D208A6" w:rsidR="00941F03" w:rsidRPr="007A3515" w:rsidRDefault="00941F03" w:rsidP="00941F03">
      <w:r w:rsidRPr="007A3515">
        <w:t xml:space="preserve">Date:  </w:t>
      </w:r>
      <w:r w:rsidR="002E5F11">
        <w:rPr>
          <w:u w:val="single"/>
        </w:rPr>
        <w:t>November 21</w:t>
      </w:r>
      <w:r w:rsidRPr="007A3515">
        <w:rPr>
          <w:u w:val="single"/>
        </w:rPr>
        <w:t>, 2022</w:t>
      </w:r>
      <w:r w:rsidRPr="007A3515">
        <w:tab/>
      </w:r>
      <w:r w:rsidRPr="007A3515">
        <w:tab/>
      </w:r>
      <w:r w:rsidRPr="007A3515">
        <w:tab/>
      </w:r>
      <w:r w:rsidRPr="007A3515">
        <w:tab/>
      </w:r>
      <w:r w:rsidRPr="007A3515">
        <w:rPr>
          <w:u w:val="single"/>
        </w:rPr>
        <w:tab/>
      </w:r>
      <w:r w:rsidRPr="007A3515">
        <w:rPr>
          <w:u w:val="single"/>
        </w:rPr>
        <w:tab/>
        <w:t>/s/</w:t>
      </w:r>
      <w:r w:rsidRPr="007A3515">
        <w:rPr>
          <w:u w:val="single"/>
        </w:rPr>
        <w:tab/>
      </w:r>
      <w:r w:rsidRPr="007A3515">
        <w:rPr>
          <w:u w:val="single"/>
        </w:rPr>
        <w:tab/>
      </w:r>
      <w:r w:rsidRPr="007A3515">
        <w:rPr>
          <w:u w:val="single"/>
        </w:rPr>
        <w:tab/>
      </w:r>
    </w:p>
    <w:p w14:paraId="0288D4D3" w14:textId="11E8C86E" w:rsidR="00941F03" w:rsidRPr="007A3515" w:rsidRDefault="00941F03" w:rsidP="00941F03">
      <w:pPr>
        <w:rPr>
          <w:u w:val="single"/>
        </w:rPr>
      </w:pPr>
      <w:r w:rsidRPr="007A3515">
        <w:tab/>
      </w:r>
      <w:r w:rsidRPr="007A3515">
        <w:tab/>
      </w:r>
      <w:r w:rsidRPr="007A3515">
        <w:tab/>
      </w:r>
      <w:r w:rsidRPr="007A3515">
        <w:tab/>
      </w:r>
      <w:r w:rsidRPr="007A3515">
        <w:tab/>
      </w:r>
      <w:r w:rsidRPr="007A3515">
        <w:tab/>
      </w:r>
      <w:r w:rsidRPr="007A3515">
        <w:tab/>
        <w:t>Katrina L. Dunderdale</w:t>
      </w:r>
    </w:p>
    <w:p w14:paraId="0555B858" w14:textId="77777777" w:rsidR="00AA38AD" w:rsidRDefault="00941F03" w:rsidP="00941F03">
      <w:pPr>
        <w:sectPr w:rsidR="00AA38AD" w:rsidSect="00354E17">
          <w:footerReference w:type="default" r:id="rId8"/>
          <w:pgSz w:w="12240" w:h="15840"/>
          <w:pgMar w:top="1440" w:right="1440" w:bottom="1440" w:left="1440" w:header="720" w:footer="720" w:gutter="0"/>
          <w:cols w:space="720"/>
          <w:titlePg/>
          <w:docGrid w:linePitch="360"/>
        </w:sectPr>
      </w:pPr>
      <w:r w:rsidRPr="007A3515">
        <w:tab/>
      </w:r>
      <w:r w:rsidRPr="007A3515">
        <w:tab/>
      </w:r>
      <w:r w:rsidRPr="007A3515">
        <w:tab/>
      </w:r>
      <w:r w:rsidRPr="007A3515">
        <w:tab/>
      </w:r>
      <w:r w:rsidRPr="007A3515">
        <w:tab/>
      </w:r>
      <w:r w:rsidRPr="007A3515">
        <w:tab/>
      </w:r>
      <w:r w:rsidRPr="007A3515">
        <w:tab/>
        <w:t>Administrative Law Judge</w:t>
      </w:r>
    </w:p>
    <w:p w14:paraId="32F2749F" w14:textId="7D380508" w:rsidR="00AA38AD" w:rsidRPr="00AA38AD" w:rsidRDefault="00AA38AD" w:rsidP="00AA38AD">
      <w:pPr>
        <w:spacing w:line="259" w:lineRule="auto"/>
        <w:rPr>
          <w:rFonts w:ascii="Microsoft Sans Serif" w:eastAsia="Microsoft Sans Serif" w:hAnsi="Microsoft Sans Serif" w:cs="Microsoft Sans Serif"/>
          <w:szCs w:val="22"/>
        </w:rPr>
      </w:pPr>
      <w:r w:rsidRPr="00AA38AD">
        <w:rPr>
          <w:rFonts w:ascii="Microsoft Sans Serif" w:eastAsia="Microsoft Sans Serif" w:hAnsi="Microsoft Sans Serif" w:cs="Microsoft Sans Serif"/>
          <w:b/>
          <w:szCs w:val="22"/>
          <w:u w:val="single"/>
        </w:rPr>
        <w:t>C-2022-3030679 - ROBERTA ZENMON v. PENNSYLVANIA POWER COMPANY</w:t>
      </w:r>
      <w:r w:rsidRPr="00AA38AD">
        <w:rPr>
          <w:rFonts w:ascii="Microsoft Sans Serif" w:eastAsia="Microsoft Sans Serif" w:hAnsi="Microsoft Sans Serif" w:cs="Microsoft Sans Serif"/>
          <w:b/>
          <w:szCs w:val="22"/>
          <w:u w:val="single"/>
        </w:rPr>
        <w:cr/>
      </w:r>
      <w:r w:rsidRPr="00AA38AD">
        <w:rPr>
          <w:rFonts w:ascii="Microsoft Sans Serif" w:eastAsia="Microsoft Sans Serif" w:hAnsi="Microsoft Sans Serif" w:cs="Microsoft Sans Serif"/>
          <w:b/>
          <w:szCs w:val="22"/>
          <w:u w:val="single"/>
        </w:rPr>
        <w:cr/>
      </w:r>
      <w:r w:rsidRPr="00AA38AD">
        <w:rPr>
          <w:rFonts w:ascii="Microsoft Sans Serif" w:eastAsia="Microsoft Sans Serif" w:hAnsi="Microsoft Sans Serif" w:cs="Microsoft Sans Serif"/>
          <w:szCs w:val="22"/>
        </w:rPr>
        <w:t>ROBERTA ZENMON</w:t>
      </w:r>
      <w:r w:rsidRPr="00AA38AD">
        <w:rPr>
          <w:rFonts w:ascii="Microsoft Sans Serif" w:eastAsia="Microsoft Sans Serif" w:hAnsi="Microsoft Sans Serif" w:cs="Microsoft Sans Serif"/>
          <w:szCs w:val="22"/>
        </w:rPr>
        <w:cr/>
        <w:t>PO BOX 463</w:t>
      </w:r>
      <w:r w:rsidRPr="00AA38AD">
        <w:rPr>
          <w:rFonts w:ascii="Microsoft Sans Serif" w:eastAsia="Microsoft Sans Serif" w:hAnsi="Microsoft Sans Serif" w:cs="Microsoft Sans Serif"/>
          <w:szCs w:val="22"/>
        </w:rPr>
        <w:cr/>
        <w:t>WEXFORD PA  15090</w:t>
      </w:r>
      <w:r w:rsidRPr="00AA38AD">
        <w:rPr>
          <w:rFonts w:ascii="Microsoft Sans Serif" w:eastAsia="Microsoft Sans Serif" w:hAnsi="Microsoft Sans Serif" w:cs="Microsoft Sans Serif"/>
          <w:szCs w:val="22"/>
        </w:rPr>
        <w:cr/>
      </w:r>
      <w:r w:rsidRPr="00AA38AD">
        <w:rPr>
          <w:rFonts w:ascii="Microsoft Sans Serif" w:eastAsia="Microsoft Sans Serif" w:hAnsi="Microsoft Sans Serif" w:cs="Microsoft Sans Serif"/>
          <w:b/>
          <w:bCs/>
          <w:szCs w:val="22"/>
        </w:rPr>
        <w:t>878.276.0301</w:t>
      </w:r>
      <w:r w:rsidRPr="00AA38AD">
        <w:rPr>
          <w:rFonts w:ascii="Microsoft Sans Serif" w:eastAsia="Microsoft Sans Serif" w:hAnsi="Microsoft Sans Serif" w:cs="Microsoft Sans Serif"/>
          <w:szCs w:val="22"/>
        </w:rPr>
        <w:cr/>
        <w:t xml:space="preserve">ROBERTASTEVENSON144@ICLOUD.COM  </w:t>
      </w:r>
    </w:p>
    <w:p w14:paraId="1A70C697" w14:textId="77777777" w:rsidR="00AA38AD" w:rsidRPr="00AA38AD" w:rsidRDefault="00AA38AD" w:rsidP="00AA38AD">
      <w:pPr>
        <w:spacing w:line="259" w:lineRule="auto"/>
        <w:rPr>
          <w:rFonts w:ascii="Microsoft Sans Serif" w:eastAsia="Microsoft Sans Serif" w:hAnsi="Microsoft Sans Serif" w:cs="Microsoft Sans Serif"/>
          <w:szCs w:val="22"/>
        </w:rPr>
      </w:pPr>
    </w:p>
    <w:p w14:paraId="737F45A0" w14:textId="77777777" w:rsidR="00AA38AD" w:rsidRPr="00AA38AD" w:rsidRDefault="00AA38AD" w:rsidP="00AA38AD">
      <w:pPr>
        <w:spacing w:line="259" w:lineRule="auto"/>
        <w:rPr>
          <w:rFonts w:ascii="Microsoft Sans Serif" w:eastAsia="Microsoft Sans Serif" w:hAnsi="Microsoft Sans Serif" w:cs="Microsoft Sans Serif"/>
          <w:szCs w:val="22"/>
        </w:rPr>
      </w:pPr>
      <w:r w:rsidRPr="00AA38AD">
        <w:rPr>
          <w:rFonts w:ascii="Microsoft Sans Serif" w:eastAsia="Microsoft Sans Serif" w:hAnsi="Microsoft Sans Serif" w:cs="Microsoft Sans Serif"/>
          <w:szCs w:val="22"/>
        </w:rPr>
        <w:cr/>
        <w:t>MARGARET MORRIS ESQUIRE</w:t>
      </w:r>
      <w:r w:rsidRPr="00AA38AD">
        <w:rPr>
          <w:rFonts w:ascii="Microsoft Sans Serif" w:eastAsia="Microsoft Sans Serif" w:hAnsi="Microsoft Sans Serif" w:cs="Microsoft Sans Serif"/>
          <w:szCs w:val="22"/>
        </w:rPr>
        <w:cr/>
        <w:t>REGER RIZZO &amp; DARNALL</w:t>
      </w:r>
      <w:r w:rsidRPr="00AA38AD">
        <w:rPr>
          <w:rFonts w:ascii="Microsoft Sans Serif" w:eastAsia="Microsoft Sans Serif" w:hAnsi="Microsoft Sans Serif" w:cs="Microsoft Sans Serif"/>
          <w:szCs w:val="22"/>
        </w:rPr>
        <w:cr/>
        <w:t>CIRA CENTRE 13TH FLOOR</w:t>
      </w:r>
      <w:r w:rsidRPr="00AA38AD">
        <w:rPr>
          <w:rFonts w:ascii="Microsoft Sans Serif" w:eastAsia="Microsoft Sans Serif" w:hAnsi="Microsoft Sans Serif" w:cs="Microsoft Sans Serif"/>
          <w:szCs w:val="22"/>
        </w:rPr>
        <w:cr/>
        <w:t>2929 ARCH STREET</w:t>
      </w:r>
      <w:r w:rsidRPr="00AA38AD">
        <w:rPr>
          <w:rFonts w:ascii="Microsoft Sans Serif" w:eastAsia="Microsoft Sans Serif" w:hAnsi="Microsoft Sans Serif" w:cs="Microsoft Sans Serif"/>
          <w:szCs w:val="22"/>
        </w:rPr>
        <w:cr/>
        <w:t>PHILADELPHIA PA  19104</w:t>
      </w:r>
      <w:r w:rsidRPr="00AA38AD">
        <w:rPr>
          <w:rFonts w:ascii="Microsoft Sans Serif" w:eastAsia="Microsoft Sans Serif" w:hAnsi="Microsoft Sans Serif" w:cs="Microsoft Sans Serif"/>
          <w:szCs w:val="22"/>
        </w:rPr>
        <w:cr/>
      </w:r>
      <w:r w:rsidRPr="00AA38AD">
        <w:rPr>
          <w:rFonts w:ascii="Microsoft Sans Serif" w:eastAsia="Microsoft Sans Serif" w:hAnsi="Microsoft Sans Serif" w:cs="Microsoft Sans Serif"/>
          <w:b/>
          <w:bCs/>
          <w:szCs w:val="22"/>
        </w:rPr>
        <w:t>215.495.6524</w:t>
      </w:r>
      <w:r w:rsidRPr="00AA38AD">
        <w:rPr>
          <w:rFonts w:ascii="Microsoft Sans Serif" w:eastAsia="Microsoft Sans Serif" w:hAnsi="Microsoft Sans Serif" w:cs="Microsoft Sans Serif"/>
          <w:szCs w:val="22"/>
        </w:rPr>
        <w:cr/>
        <w:t>mmorris@regerlaw.com</w:t>
      </w:r>
      <w:r w:rsidRPr="00AA38AD">
        <w:rPr>
          <w:rFonts w:ascii="Microsoft Sans Serif" w:eastAsia="Microsoft Sans Serif" w:hAnsi="Microsoft Sans Serif" w:cs="Microsoft Sans Serif"/>
          <w:szCs w:val="22"/>
        </w:rPr>
        <w:cr/>
        <w:t>Accepts eService</w:t>
      </w:r>
    </w:p>
    <w:p w14:paraId="749F02DC" w14:textId="77777777" w:rsidR="00AA38AD" w:rsidRPr="00AA38AD" w:rsidRDefault="00AA38AD" w:rsidP="00AA38AD">
      <w:pPr>
        <w:spacing w:line="259" w:lineRule="auto"/>
        <w:rPr>
          <w:rFonts w:ascii="Microsoft Sans Serif" w:eastAsia="Microsoft Sans Serif" w:hAnsi="Microsoft Sans Serif" w:cs="Microsoft Sans Serif"/>
          <w:szCs w:val="22"/>
        </w:rPr>
      </w:pPr>
      <w:r w:rsidRPr="00AA38AD">
        <w:rPr>
          <w:rFonts w:ascii="Microsoft Sans Serif" w:eastAsia="Microsoft Sans Serif" w:hAnsi="Microsoft Sans Serif" w:cs="Microsoft Sans Serif"/>
          <w:i/>
          <w:iCs/>
          <w:szCs w:val="22"/>
        </w:rPr>
        <w:t>Representing Pennsylvania Power Company</w:t>
      </w:r>
    </w:p>
    <w:p w14:paraId="56594F9C" w14:textId="2A5DEC1E" w:rsidR="00941F03" w:rsidRPr="007A3515" w:rsidRDefault="00941F03" w:rsidP="00941F03"/>
    <w:p w14:paraId="21DD7345" w14:textId="77777777" w:rsidR="00716AAB" w:rsidRPr="00716AAB" w:rsidRDefault="00716AAB" w:rsidP="0092383A"/>
    <w:sectPr w:rsidR="00716AAB" w:rsidRPr="00716AAB" w:rsidSect="00354E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C92F" w14:textId="77777777" w:rsidR="00D71570" w:rsidRDefault="00D71570" w:rsidP="00B65F57">
      <w:r>
        <w:separator/>
      </w:r>
    </w:p>
  </w:endnote>
  <w:endnote w:type="continuationSeparator" w:id="0">
    <w:p w14:paraId="10A4944E" w14:textId="77777777" w:rsidR="00D71570" w:rsidRDefault="00D71570" w:rsidP="00B6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13918446"/>
      <w:docPartObj>
        <w:docPartGallery w:val="Page Numbers (Bottom of Page)"/>
        <w:docPartUnique/>
      </w:docPartObj>
    </w:sdtPr>
    <w:sdtEndPr>
      <w:rPr>
        <w:noProof/>
      </w:rPr>
    </w:sdtEndPr>
    <w:sdtContent>
      <w:p w14:paraId="5DCE484E" w14:textId="5C61352D" w:rsidR="00EA5788" w:rsidRPr="004173CD" w:rsidRDefault="00EA5788">
        <w:pPr>
          <w:pStyle w:val="Footer"/>
          <w:jc w:val="center"/>
          <w:rPr>
            <w:sz w:val="20"/>
            <w:szCs w:val="20"/>
          </w:rPr>
        </w:pPr>
        <w:r w:rsidRPr="004173CD">
          <w:rPr>
            <w:sz w:val="20"/>
            <w:szCs w:val="20"/>
          </w:rPr>
          <w:fldChar w:fldCharType="begin"/>
        </w:r>
        <w:r w:rsidRPr="009366F9">
          <w:rPr>
            <w:sz w:val="20"/>
            <w:szCs w:val="20"/>
          </w:rPr>
          <w:instrText xml:space="preserve"> PAGE   \* MERGEFORMAT </w:instrText>
        </w:r>
        <w:r w:rsidRPr="004173CD">
          <w:rPr>
            <w:sz w:val="20"/>
            <w:szCs w:val="20"/>
          </w:rPr>
          <w:fldChar w:fldCharType="separate"/>
        </w:r>
        <w:r w:rsidRPr="009366F9">
          <w:rPr>
            <w:noProof/>
            <w:sz w:val="20"/>
            <w:szCs w:val="20"/>
          </w:rPr>
          <w:t>2</w:t>
        </w:r>
        <w:r w:rsidRPr="004173C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BA22" w14:textId="77777777" w:rsidR="00D71570" w:rsidRDefault="00D71570" w:rsidP="00B65F57">
      <w:r>
        <w:separator/>
      </w:r>
    </w:p>
  </w:footnote>
  <w:footnote w:type="continuationSeparator" w:id="0">
    <w:p w14:paraId="7FAA7BBB" w14:textId="77777777" w:rsidR="00D71570" w:rsidRDefault="00D71570" w:rsidP="00B65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16cid:durableId="380830586">
    <w:abstractNumId w:val="1"/>
  </w:num>
  <w:num w:numId="2" w16cid:durableId="2048488745">
    <w:abstractNumId w:val="0"/>
  </w:num>
  <w:num w:numId="3" w16cid:durableId="515268293">
    <w:abstractNumId w:val="3"/>
  </w:num>
  <w:num w:numId="4" w16cid:durableId="1078870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02596"/>
    <w:rsid w:val="000129AC"/>
    <w:rsid w:val="00020D43"/>
    <w:rsid w:val="000214A6"/>
    <w:rsid w:val="0004749E"/>
    <w:rsid w:val="00052266"/>
    <w:rsid w:val="00072188"/>
    <w:rsid w:val="000865D7"/>
    <w:rsid w:val="00096EFF"/>
    <w:rsid w:val="000A2E7D"/>
    <w:rsid w:val="000E7D6D"/>
    <w:rsid w:val="000F0F1F"/>
    <w:rsid w:val="00117182"/>
    <w:rsid w:val="00133D7A"/>
    <w:rsid w:val="001814F0"/>
    <w:rsid w:val="001B2E0A"/>
    <w:rsid w:val="001D3E07"/>
    <w:rsid w:val="001E2E86"/>
    <w:rsid w:val="001F22AC"/>
    <w:rsid w:val="001F4395"/>
    <w:rsid w:val="001F7B40"/>
    <w:rsid w:val="002004DE"/>
    <w:rsid w:val="00205198"/>
    <w:rsid w:val="00207989"/>
    <w:rsid w:val="00253591"/>
    <w:rsid w:val="0029613E"/>
    <w:rsid w:val="002B5B7A"/>
    <w:rsid w:val="002C1B78"/>
    <w:rsid w:val="002D341A"/>
    <w:rsid w:val="002E5F11"/>
    <w:rsid w:val="002F3775"/>
    <w:rsid w:val="002F56A9"/>
    <w:rsid w:val="003004E8"/>
    <w:rsid w:val="00305011"/>
    <w:rsid w:val="00310572"/>
    <w:rsid w:val="00321FBC"/>
    <w:rsid w:val="00326CE1"/>
    <w:rsid w:val="00327E6B"/>
    <w:rsid w:val="003339EB"/>
    <w:rsid w:val="0033543A"/>
    <w:rsid w:val="00354E17"/>
    <w:rsid w:val="00362AA9"/>
    <w:rsid w:val="00366C68"/>
    <w:rsid w:val="003770C3"/>
    <w:rsid w:val="003A5378"/>
    <w:rsid w:val="003B0BC4"/>
    <w:rsid w:val="003B3067"/>
    <w:rsid w:val="003B3C83"/>
    <w:rsid w:val="003B4FCB"/>
    <w:rsid w:val="003C1446"/>
    <w:rsid w:val="003C72E9"/>
    <w:rsid w:val="003F35B4"/>
    <w:rsid w:val="0040018D"/>
    <w:rsid w:val="00402884"/>
    <w:rsid w:val="00404C60"/>
    <w:rsid w:val="004173CD"/>
    <w:rsid w:val="00420493"/>
    <w:rsid w:val="00423B6D"/>
    <w:rsid w:val="00435E52"/>
    <w:rsid w:val="0044091D"/>
    <w:rsid w:val="0044182F"/>
    <w:rsid w:val="004471F1"/>
    <w:rsid w:val="00455608"/>
    <w:rsid w:val="0046089E"/>
    <w:rsid w:val="00465573"/>
    <w:rsid w:val="004D0DAF"/>
    <w:rsid w:val="004E512B"/>
    <w:rsid w:val="004E5813"/>
    <w:rsid w:val="00500375"/>
    <w:rsid w:val="00500941"/>
    <w:rsid w:val="00513888"/>
    <w:rsid w:val="00526EEA"/>
    <w:rsid w:val="00550DF0"/>
    <w:rsid w:val="00582975"/>
    <w:rsid w:val="005E095E"/>
    <w:rsid w:val="00602C40"/>
    <w:rsid w:val="0060607B"/>
    <w:rsid w:val="00641F79"/>
    <w:rsid w:val="00643BB6"/>
    <w:rsid w:val="00643C1F"/>
    <w:rsid w:val="0068691A"/>
    <w:rsid w:val="006A6501"/>
    <w:rsid w:val="006C020B"/>
    <w:rsid w:val="006F3950"/>
    <w:rsid w:val="006F7ACF"/>
    <w:rsid w:val="00705084"/>
    <w:rsid w:val="00712B9F"/>
    <w:rsid w:val="00712DCF"/>
    <w:rsid w:val="00716AAB"/>
    <w:rsid w:val="00725483"/>
    <w:rsid w:val="007363A4"/>
    <w:rsid w:val="007369A9"/>
    <w:rsid w:val="007633C9"/>
    <w:rsid w:val="00781E59"/>
    <w:rsid w:val="00790B1C"/>
    <w:rsid w:val="0079365E"/>
    <w:rsid w:val="007C79EA"/>
    <w:rsid w:val="007E7DBF"/>
    <w:rsid w:val="00806BAB"/>
    <w:rsid w:val="008142F9"/>
    <w:rsid w:val="00817BBC"/>
    <w:rsid w:val="00823A00"/>
    <w:rsid w:val="00851375"/>
    <w:rsid w:val="00862D46"/>
    <w:rsid w:val="00886269"/>
    <w:rsid w:val="008B2A21"/>
    <w:rsid w:val="008C5FD9"/>
    <w:rsid w:val="008D68FF"/>
    <w:rsid w:val="008F2D54"/>
    <w:rsid w:val="0092383A"/>
    <w:rsid w:val="00925766"/>
    <w:rsid w:val="0093473F"/>
    <w:rsid w:val="009366F9"/>
    <w:rsid w:val="00941F03"/>
    <w:rsid w:val="009717E1"/>
    <w:rsid w:val="00971B5F"/>
    <w:rsid w:val="00992419"/>
    <w:rsid w:val="009957B9"/>
    <w:rsid w:val="009A27E7"/>
    <w:rsid w:val="009A751C"/>
    <w:rsid w:val="009A7FC5"/>
    <w:rsid w:val="009B1614"/>
    <w:rsid w:val="009B1EAE"/>
    <w:rsid w:val="009D3721"/>
    <w:rsid w:val="009D3A1C"/>
    <w:rsid w:val="009E0730"/>
    <w:rsid w:val="00A0654D"/>
    <w:rsid w:val="00A06F37"/>
    <w:rsid w:val="00A4040E"/>
    <w:rsid w:val="00A51A2C"/>
    <w:rsid w:val="00A730AC"/>
    <w:rsid w:val="00A759D9"/>
    <w:rsid w:val="00A9133F"/>
    <w:rsid w:val="00A9292E"/>
    <w:rsid w:val="00A933FA"/>
    <w:rsid w:val="00AA38AD"/>
    <w:rsid w:val="00AA70B3"/>
    <w:rsid w:val="00AE5406"/>
    <w:rsid w:val="00AF09DE"/>
    <w:rsid w:val="00AF3445"/>
    <w:rsid w:val="00B03EBD"/>
    <w:rsid w:val="00B53CB9"/>
    <w:rsid w:val="00B57879"/>
    <w:rsid w:val="00B65F57"/>
    <w:rsid w:val="00BB42C3"/>
    <w:rsid w:val="00BB6928"/>
    <w:rsid w:val="00BD59FA"/>
    <w:rsid w:val="00BD7D9F"/>
    <w:rsid w:val="00C13586"/>
    <w:rsid w:val="00C20CAA"/>
    <w:rsid w:val="00C20DCD"/>
    <w:rsid w:val="00C7322A"/>
    <w:rsid w:val="00C90109"/>
    <w:rsid w:val="00CA3AAE"/>
    <w:rsid w:val="00CB3BE0"/>
    <w:rsid w:val="00CE0D71"/>
    <w:rsid w:val="00D131D3"/>
    <w:rsid w:val="00D57694"/>
    <w:rsid w:val="00D604D8"/>
    <w:rsid w:val="00D61A22"/>
    <w:rsid w:val="00D71570"/>
    <w:rsid w:val="00DB7FD6"/>
    <w:rsid w:val="00E02E79"/>
    <w:rsid w:val="00E10D95"/>
    <w:rsid w:val="00E17750"/>
    <w:rsid w:val="00E20EB7"/>
    <w:rsid w:val="00E43638"/>
    <w:rsid w:val="00E5393D"/>
    <w:rsid w:val="00EA5788"/>
    <w:rsid w:val="00EE22ED"/>
    <w:rsid w:val="00EF3B8C"/>
    <w:rsid w:val="00F0159B"/>
    <w:rsid w:val="00F2431B"/>
    <w:rsid w:val="00F270AE"/>
    <w:rsid w:val="00F35CDE"/>
    <w:rsid w:val="00F866BD"/>
    <w:rsid w:val="00F92FB4"/>
    <w:rsid w:val="00F93244"/>
    <w:rsid w:val="00FA32E3"/>
    <w:rsid w:val="00FD192C"/>
    <w:rsid w:val="00FD754F"/>
    <w:rsid w:val="00FF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1DD7307"/>
  <w15:docId w15:val="{F9EFDD4C-84F8-4FAB-88CC-5AE4EB57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339EB"/>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4091D"/>
    <w:rPr>
      <w:rFonts w:ascii="Tahoma" w:hAnsi="Tahoma" w:cs="Tahoma"/>
      <w:sz w:val="16"/>
      <w:szCs w:val="16"/>
    </w:rPr>
  </w:style>
  <w:style w:type="character" w:customStyle="1" w:styleId="BalloonTextChar">
    <w:name w:val="Balloon Text Char"/>
    <w:basedOn w:val="DefaultParagraphFont"/>
    <w:link w:val="BalloonText"/>
    <w:rsid w:val="0044091D"/>
    <w:rPr>
      <w:rFonts w:ascii="Tahoma" w:hAnsi="Tahoma" w:cs="Tahoma"/>
      <w:sz w:val="16"/>
      <w:szCs w:val="16"/>
    </w:rPr>
  </w:style>
  <w:style w:type="paragraph" w:styleId="FootnoteText">
    <w:name w:val="footnote text"/>
    <w:basedOn w:val="Normal"/>
    <w:link w:val="FootnoteTextChar"/>
    <w:semiHidden/>
    <w:unhideWhenUsed/>
    <w:rsid w:val="00B65F57"/>
    <w:rPr>
      <w:sz w:val="20"/>
      <w:szCs w:val="20"/>
    </w:rPr>
  </w:style>
  <w:style w:type="character" w:customStyle="1" w:styleId="FootnoteTextChar">
    <w:name w:val="Footnote Text Char"/>
    <w:basedOn w:val="DefaultParagraphFont"/>
    <w:link w:val="FootnoteText"/>
    <w:semiHidden/>
    <w:rsid w:val="00B65F57"/>
  </w:style>
  <w:style w:type="character" w:styleId="FootnoteReference">
    <w:name w:val="footnote reference"/>
    <w:basedOn w:val="DefaultParagraphFont"/>
    <w:semiHidden/>
    <w:unhideWhenUsed/>
    <w:rsid w:val="00B65F57"/>
    <w:rPr>
      <w:vertAlign w:val="superscript"/>
    </w:rPr>
  </w:style>
  <w:style w:type="paragraph" w:customStyle="1" w:styleId="Style">
    <w:name w:val="Style"/>
    <w:rsid w:val="00FD754F"/>
    <w:pPr>
      <w:widowControl w:val="0"/>
      <w:autoSpaceDE w:val="0"/>
      <w:autoSpaceDN w:val="0"/>
      <w:adjustRightInd w:val="0"/>
    </w:pPr>
    <w:rPr>
      <w:sz w:val="24"/>
      <w:szCs w:val="24"/>
    </w:rPr>
  </w:style>
  <w:style w:type="character" w:customStyle="1" w:styleId="Heading1Char">
    <w:name w:val="Heading 1 Char"/>
    <w:basedOn w:val="DefaultParagraphFont"/>
    <w:link w:val="Heading1"/>
    <w:rsid w:val="003339EB"/>
    <w:rPr>
      <w:sz w:val="26"/>
      <w:u w:val="single"/>
    </w:rPr>
  </w:style>
  <w:style w:type="paragraph" w:styleId="ListParagraph">
    <w:name w:val="List Paragraph"/>
    <w:basedOn w:val="Normal"/>
    <w:uiPriority w:val="34"/>
    <w:qFormat/>
    <w:rsid w:val="00941F03"/>
    <w:pPr>
      <w:spacing w:line="360" w:lineRule="auto"/>
      <w:ind w:left="720"/>
      <w:contextualSpacing/>
    </w:pPr>
    <w:rPr>
      <w:sz w:val="26"/>
      <w:szCs w:val="20"/>
    </w:rPr>
  </w:style>
  <w:style w:type="paragraph" w:styleId="Revision">
    <w:name w:val="Revision"/>
    <w:hidden/>
    <w:uiPriority w:val="99"/>
    <w:semiHidden/>
    <w:rsid w:val="004E512B"/>
    <w:rPr>
      <w:sz w:val="24"/>
      <w:szCs w:val="24"/>
    </w:rPr>
  </w:style>
  <w:style w:type="character" w:styleId="CommentReference">
    <w:name w:val="annotation reference"/>
    <w:basedOn w:val="DefaultParagraphFont"/>
    <w:semiHidden/>
    <w:unhideWhenUsed/>
    <w:rsid w:val="00BD59FA"/>
    <w:rPr>
      <w:sz w:val="16"/>
      <w:szCs w:val="16"/>
    </w:rPr>
  </w:style>
  <w:style w:type="paragraph" w:styleId="CommentText">
    <w:name w:val="annotation text"/>
    <w:basedOn w:val="Normal"/>
    <w:link w:val="CommentTextChar"/>
    <w:unhideWhenUsed/>
    <w:rsid w:val="00BD59FA"/>
    <w:rPr>
      <w:sz w:val="20"/>
      <w:szCs w:val="20"/>
    </w:rPr>
  </w:style>
  <w:style w:type="character" w:customStyle="1" w:styleId="CommentTextChar">
    <w:name w:val="Comment Text Char"/>
    <w:basedOn w:val="DefaultParagraphFont"/>
    <w:link w:val="CommentText"/>
    <w:rsid w:val="00BD59FA"/>
  </w:style>
  <w:style w:type="paragraph" w:styleId="CommentSubject">
    <w:name w:val="annotation subject"/>
    <w:basedOn w:val="CommentText"/>
    <w:next w:val="CommentText"/>
    <w:link w:val="CommentSubjectChar"/>
    <w:semiHidden/>
    <w:unhideWhenUsed/>
    <w:rsid w:val="00BD59FA"/>
    <w:rPr>
      <w:b/>
      <w:bCs/>
    </w:rPr>
  </w:style>
  <w:style w:type="character" w:customStyle="1" w:styleId="CommentSubjectChar">
    <w:name w:val="Comment Subject Char"/>
    <w:basedOn w:val="CommentTextChar"/>
    <w:link w:val="CommentSubject"/>
    <w:semiHidden/>
    <w:rsid w:val="00BD59FA"/>
    <w:rPr>
      <w:b/>
      <w:bCs/>
    </w:rPr>
  </w:style>
  <w:style w:type="paragraph" w:styleId="Header">
    <w:name w:val="header"/>
    <w:basedOn w:val="Normal"/>
    <w:link w:val="HeaderChar"/>
    <w:uiPriority w:val="99"/>
    <w:unhideWhenUsed/>
    <w:rsid w:val="00EA5788"/>
    <w:pPr>
      <w:tabs>
        <w:tab w:val="center" w:pos="4680"/>
        <w:tab w:val="right" w:pos="9360"/>
      </w:tabs>
    </w:pPr>
  </w:style>
  <w:style w:type="character" w:customStyle="1" w:styleId="HeaderChar">
    <w:name w:val="Header Char"/>
    <w:basedOn w:val="DefaultParagraphFont"/>
    <w:link w:val="Header"/>
    <w:uiPriority w:val="99"/>
    <w:rsid w:val="00EA5788"/>
    <w:rPr>
      <w:sz w:val="24"/>
      <w:szCs w:val="24"/>
    </w:rPr>
  </w:style>
  <w:style w:type="paragraph" w:styleId="Footer">
    <w:name w:val="footer"/>
    <w:basedOn w:val="Normal"/>
    <w:link w:val="FooterChar"/>
    <w:uiPriority w:val="99"/>
    <w:unhideWhenUsed/>
    <w:rsid w:val="00EA5788"/>
    <w:pPr>
      <w:tabs>
        <w:tab w:val="center" w:pos="4680"/>
        <w:tab w:val="right" w:pos="9360"/>
      </w:tabs>
    </w:pPr>
  </w:style>
  <w:style w:type="character" w:customStyle="1" w:styleId="FooterChar">
    <w:name w:val="Footer Char"/>
    <w:basedOn w:val="DefaultParagraphFont"/>
    <w:link w:val="Footer"/>
    <w:uiPriority w:val="99"/>
    <w:rsid w:val="00EA57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38E83-312B-460D-B467-0AF70730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817</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Miskanic, Nicholas</cp:lastModifiedBy>
  <cp:revision>4</cp:revision>
  <cp:lastPrinted>2022-08-01T18:24:00Z</cp:lastPrinted>
  <dcterms:created xsi:type="dcterms:W3CDTF">2022-11-21T14:30:00Z</dcterms:created>
  <dcterms:modified xsi:type="dcterms:W3CDTF">2022-11-21T14:33:00Z</dcterms:modified>
</cp:coreProperties>
</file>