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1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890"/>
        <w:gridCol w:w="8075"/>
        <w:gridCol w:w="1452"/>
      </w:tblGrid>
      <w:tr w:rsidR="00771D8F" w:rsidRPr="00771D8F" w14:paraId="510535A8" w14:textId="77777777" w:rsidTr="00AB7D40">
        <w:trPr>
          <w:trHeight w:val="990"/>
        </w:trPr>
        <w:tc>
          <w:tcPr>
            <w:tcW w:w="1890" w:type="dxa"/>
          </w:tcPr>
          <w:p w14:paraId="0AA34C1E" w14:textId="3D88A5E8" w:rsidR="00771D8F" w:rsidRPr="00771D8F" w:rsidRDefault="00771D8F" w:rsidP="00E95FA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075" w:type="dxa"/>
          </w:tcPr>
          <w:p w14:paraId="35ABCD8D" w14:textId="2D4ABF04" w:rsidR="00771D8F" w:rsidRPr="00771D8F" w:rsidRDefault="00E95FAD" w:rsidP="00771D8F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1A39B634" wp14:editId="50354335">
                  <wp:simplePos x="0" y="0"/>
                  <wp:positionH relativeFrom="column">
                    <wp:posOffset>-800100</wp:posOffset>
                  </wp:positionH>
                  <wp:positionV relativeFrom="paragraph">
                    <wp:posOffset>129540</wp:posOffset>
                  </wp:positionV>
                  <wp:extent cx="1455420" cy="46545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1C79FA" w14:textId="582B3824" w:rsidR="00E95FAD" w:rsidRPr="00A35F64" w:rsidRDefault="00E95FAD" w:rsidP="00E95FAD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 xml:space="preserve">         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F801148" w14:textId="41880AA4" w:rsidR="00E95FAD" w:rsidRPr="00A35F64" w:rsidRDefault="00E95FAD" w:rsidP="00E95FA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F23F077" w14:textId="5DAD84AC" w:rsidR="00E95FAD" w:rsidRPr="00A35F64" w:rsidRDefault="00E95FAD" w:rsidP="00E95FA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0CCF061" w14:textId="6783D583" w:rsidR="00E95FAD" w:rsidRPr="00A35F64" w:rsidRDefault="00E95FAD" w:rsidP="00E95FA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09BD13F" w14:textId="412E8956" w:rsidR="00771D8F" w:rsidRPr="00771D8F" w:rsidRDefault="00E95FAD" w:rsidP="00E95FAD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44B72A17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1D683C8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D8A57D0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F579D55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F3B8663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99F933B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DFFD4C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771D8F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771D8F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239D6D03" w14:textId="11D15F78" w:rsidR="00EC6858" w:rsidRDefault="00EC6E74" w:rsidP="00D204FB">
      <w:pPr>
        <w:ind w:right="270"/>
        <w:jc w:val="right"/>
        <w:rPr>
          <w:sz w:val="24"/>
          <w:szCs w:val="24"/>
        </w:rPr>
      </w:pPr>
      <w:r w:rsidRPr="00BF3623">
        <w:rPr>
          <w:sz w:val="24"/>
          <w:szCs w:val="24"/>
        </w:rPr>
        <w:t>A-</w:t>
      </w:r>
      <w:r w:rsidR="00FD0A77">
        <w:rPr>
          <w:sz w:val="24"/>
          <w:szCs w:val="24"/>
        </w:rPr>
        <w:t>2022</w:t>
      </w:r>
      <w:r w:rsidR="00E07C27">
        <w:rPr>
          <w:sz w:val="24"/>
          <w:szCs w:val="24"/>
        </w:rPr>
        <w:t>-</w:t>
      </w:r>
      <w:r w:rsidR="00FD0A77">
        <w:rPr>
          <w:sz w:val="24"/>
          <w:szCs w:val="24"/>
        </w:rPr>
        <w:t>3037047</w:t>
      </w:r>
    </w:p>
    <w:p w14:paraId="696BBF7D" w14:textId="27120BEB" w:rsidR="00EC6858" w:rsidRDefault="005370D0" w:rsidP="000F6FCC">
      <w:pPr>
        <w:autoSpaceDE w:val="0"/>
        <w:autoSpaceDN w:val="0"/>
        <w:adjustRightInd w:val="0"/>
        <w:jc w:val="center"/>
        <w:rPr>
          <w:sz w:val="24"/>
          <w:szCs w:val="22"/>
        </w:rPr>
      </w:pPr>
      <w:r>
        <w:rPr>
          <w:sz w:val="24"/>
          <w:szCs w:val="22"/>
        </w:rPr>
        <w:t>December 2, 2022</w:t>
      </w:r>
    </w:p>
    <w:p w14:paraId="659E0F7A" w14:textId="77777777" w:rsidR="00C647FF" w:rsidRDefault="00C647FF" w:rsidP="00C647FF">
      <w:pPr>
        <w:autoSpaceDE w:val="0"/>
        <w:autoSpaceDN w:val="0"/>
        <w:adjustRightInd w:val="0"/>
        <w:ind w:firstLine="720"/>
        <w:rPr>
          <w:sz w:val="24"/>
          <w:szCs w:val="22"/>
        </w:rPr>
      </w:pPr>
    </w:p>
    <w:p w14:paraId="08853725" w14:textId="3A0ED18A" w:rsidR="00E07C27" w:rsidRDefault="005370D0" w:rsidP="00C647FF">
      <w:pPr>
        <w:autoSpaceDE w:val="0"/>
        <w:autoSpaceDN w:val="0"/>
        <w:adjustRightInd w:val="0"/>
        <w:ind w:firstLine="720"/>
        <w:rPr>
          <w:sz w:val="24"/>
          <w:szCs w:val="22"/>
        </w:rPr>
      </w:pPr>
      <w:r>
        <w:rPr>
          <w:sz w:val="24"/>
          <w:szCs w:val="22"/>
        </w:rPr>
        <w:t>Elizabeth Rose Triscari</w:t>
      </w:r>
    </w:p>
    <w:p w14:paraId="65897678" w14:textId="7D1CBCE3" w:rsidR="005370D0" w:rsidRDefault="005370D0" w:rsidP="00C647FF">
      <w:pPr>
        <w:autoSpaceDE w:val="0"/>
        <w:autoSpaceDN w:val="0"/>
        <w:adjustRightInd w:val="0"/>
        <w:ind w:firstLine="720"/>
        <w:rPr>
          <w:sz w:val="24"/>
          <w:szCs w:val="22"/>
        </w:rPr>
      </w:pPr>
      <w:r>
        <w:rPr>
          <w:sz w:val="24"/>
          <w:szCs w:val="22"/>
        </w:rPr>
        <w:t>852 Wesley Drive</w:t>
      </w:r>
    </w:p>
    <w:p w14:paraId="52874833" w14:textId="27902404" w:rsidR="005370D0" w:rsidRDefault="005370D0" w:rsidP="00C647FF">
      <w:pPr>
        <w:autoSpaceDE w:val="0"/>
        <w:autoSpaceDN w:val="0"/>
        <w:adjustRightInd w:val="0"/>
        <w:ind w:firstLine="720"/>
        <w:rPr>
          <w:sz w:val="24"/>
          <w:szCs w:val="22"/>
        </w:rPr>
      </w:pPr>
      <w:r>
        <w:rPr>
          <w:sz w:val="24"/>
          <w:szCs w:val="22"/>
        </w:rPr>
        <w:t>Mechanicsburg, PA 17055</w:t>
      </w:r>
    </w:p>
    <w:p w14:paraId="79A14694" w14:textId="77777777" w:rsidR="00651955" w:rsidRPr="00C647FF" w:rsidRDefault="00651955" w:rsidP="00C647FF">
      <w:pPr>
        <w:autoSpaceDE w:val="0"/>
        <w:autoSpaceDN w:val="0"/>
        <w:adjustRightInd w:val="0"/>
        <w:ind w:firstLine="720"/>
        <w:rPr>
          <w:sz w:val="24"/>
          <w:szCs w:val="22"/>
        </w:rPr>
      </w:pPr>
    </w:p>
    <w:p w14:paraId="3B1D8830" w14:textId="77777777" w:rsidR="00EC6858" w:rsidRDefault="00EC6858" w:rsidP="00195D72">
      <w:pPr>
        <w:ind w:left="720" w:right="1314"/>
        <w:rPr>
          <w:sz w:val="24"/>
          <w:szCs w:val="24"/>
        </w:rPr>
      </w:pPr>
    </w:p>
    <w:p w14:paraId="76FE6CFB" w14:textId="77777777" w:rsidR="00EC6858" w:rsidRPr="00BF3623" w:rsidRDefault="00EC6858" w:rsidP="00195D72">
      <w:pPr>
        <w:ind w:left="720" w:right="1314"/>
        <w:rPr>
          <w:sz w:val="24"/>
          <w:szCs w:val="24"/>
        </w:rPr>
      </w:pPr>
    </w:p>
    <w:p w14:paraId="19A7C755" w14:textId="0BD9C917" w:rsidR="002F6FB3" w:rsidRPr="00BF3623" w:rsidRDefault="00445635" w:rsidP="00195D72">
      <w:pPr>
        <w:ind w:left="720" w:right="1314"/>
        <w:rPr>
          <w:sz w:val="24"/>
          <w:szCs w:val="24"/>
        </w:rPr>
      </w:pPr>
      <w:r w:rsidRPr="00BF3623">
        <w:rPr>
          <w:sz w:val="24"/>
          <w:szCs w:val="24"/>
        </w:rPr>
        <w:t>Dear Attorne</w:t>
      </w:r>
      <w:r w:rsidR="00C647FF">
        <w:rPr>
          <w:sz w:val="24"/>
          <w:szCs w:val="24"/>
        </w:rPr>
        <w:t xml:space="preserve">y </w:t>
      </w:r>
      <w:r w:rsidR="005370D0">
        <w:rPr>
          <w:sz w:val="24"/>
          <w:szCs w:val="24"/>
        </w:rPr>
        <w:t>Triscari</w:t>
      </w:r>
      <w:r w:rsidR="00E07C27">
        <w:rPr>
          <w:sz w:val="24"/>
          <w:szCs w:val="24"/>
        </w:rPr>
        <w:t>:</w:t>
      </w:r>
    </w:p>
    <w:p w14:paraId="5496BBF4" w14:textId="77777777" w:rsidR="002F6FB3" w:rsidRPr="00BF3623" w:rsidRDefault="002F6FB3" w:rsidP="00195D72">
      <w:pPr>
        <w:ind w:left="720" w:right="1314"/>
        <w:rPr>
          <w:sz w:val="24"/>
          <w:szCs w:val="24"/>
        </w:rPr>
      </w:pPr>
    </w:p>
    <w:p w14:paraId="35B562B2" w14:textId="06B11292" w:rsidR="00F17885" w:rsidRDefault="002F6FB3" w:rsidP="00FD0A77">
      <w:pPr>
        <w:ind w:left="720" w:right="540"/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="00C647FF">
        <w:rPr>
          <w:sz w:val="24"/>
          <w:szCs w:val="24"/>
        </w:rPr>
        <w:t xml:space="preserve">The Commission acknowledges receipt of </w:t>
      </w:r>
      <w:r w:rsidR="0051528E" w:rsidRPr="0051528E">
        <w:rPr>
          <w:sz w:val="24"/>
          <w:szCs w:val="24"/>
        </w:rPr>
        <w:t>Pennsylvania-American Water Company Notice of Licensed Engineer and Utility Valuation Expert Engagement Concerning Acquisition of the Butler Area Sewer Authority Wastewater System</w:t>
      </w:r>
      <w:r w:rsidR="00FD0A77">
        <w:rPr>
          <w:sz w:val="24"/>
          <w:szCs w:val="24"/>
        </w:rPr>
        <w:t>,</w:t>
      </w:r>
      <w:r w:rsidR="001B3AEB">
        <w:rPr>
          <w:sz w:val="24"/>
          <w:szCs w:val="24"/>
        </w:rPr>
        <w:t xml:space="preserve"> whic</w:t>
      </w:r>
      <w:r w:rsidR="00C647FF">
        <w:rPr>
          <w:sz w:val="24"/>
          <w:szCs w:val="24"/>
        </w:rPr>
        <w:t>h was received by the Commission on</w:t>
      </w:r>
      <w:r w:rsidR="00FD0A77">
        <w:rPr>
          <w:sz w:val="24"/>
          <w:szCs w:val="24"/>
        </w:rPr>
        <w:t xml:space="preserve"> December 1, 2022.</w:t>
      </w:r>
    </w:p>
    <w:p w14:paraId="0A982574" w14:textId="77777777" w:rsidR="00F17885" w:rsidRDefault="00F17885" w:rsidP="00C647FF">
      <w:pPr>
        <w:ind w:left="720" w:right="540"/>
        <w:rPr>
          <w:sz w:val="24"/>
          <w:szCs w:val="24"/>
        </w:rPr>
      </w:pPr>
    </w:p>
    <w:p w14:paraId="09E17E01" w14:textId="11E0135D" w:rsidR="00C647FF" w:rsidRDefault="00F17885" w:rsidP="002F668C">
      <w:pPr>
        <w:ind w:left="720" w:right="540" w:firstLine="720"/>
        <w:rPr>
          <w:sz w:val="24"/>
          <w:szCs w:val="24"/>
        </w:rPr>
      </w:pPr>
      <w:r>
        <w:rPr>
          <w:sz w:val="24"/>
          <w:szCs w:val="24"/>
        </w:rPr>
        <w:t xml:space="preserve">The Commission has assigned Docket No. </w:t>
      </w:r>
      <w:r w:rsidR="00C647FF" w:rsidRPr="002F668C">
        <w:rPr>
          <w:b/>
          <w:sz w:val="24"/>
          <w:szCs w:val="24"/>
        </w:rPr>
        <w:t>A-20</w:t>
      </w:r>
      <w:r w:rsidR="00E07C27">
        <w:rPr>
          <w:b/>
          <w:sz w:val="24"/>
          <w:szCs w:val="24"/>
        </w:rPr>
        <w:t>2</w:t>
      </w:r>
      <w:r w:rsidR="00674218">
        <w:rPr>
          <w:b/>
          <w:sz w:val="24"/>
          <w:szCs w:val="24"/>
        </w:rPr>
        <w:t>2</w:t>
      </w:r>
      <w:r w:rsidR="00E07C27">
        <w:rPr>
          <w:b/>
          <w:sz w:val="24"/>
          <w:szCs w:val="24"/>
        </w:rPr>
        <w:t>-</w:t>
      </w:r>
      <w:r w:rsidR="005370D0">
        <w:rPr>
          <w:b/>
          <w:sz w:val="24"/>
          <w:szCs w:val="24"/>
        </w:rPr>
        <w:t>3037047</w:t>
      </w:r>
      <w:r>
        <w:rPr>
          <w:sz w:val="24"/>
          <w:szCs w:val="24"/>
        </w:rPr>
        <w:t xml:space="preserve"> to the filing</w:t>
      </w:r>
      <w:r w:rsidR="002F668C">
        <w:rPr>
          <w:sz w:val="24"/>
          <w:szCs w:val="24"/>
        </w:rPr>
        <w:t xml:space="preserve"> for document management purposes only.  </w:t>
      </w:r>
      <w:r w:rsidR="00C647FF">
        <w:rPr>
          <w:sz w:val="24"/>
          <w:szCs w:val="24"/>
        </w:rPr>
        <w:t>Future filings made with the Commission regarding</w:t>
      </w:r>
      <w:r w:rsidR="00E13D8D">
        <w:rPr>
          <w:sz w:val="24"/>
          <w:szCs w:val="24"/>
        </w:rPr>
        <w:t xml:space="preserve"> </w:t>
      </w:r>
      <w:r w:rsidR="00866203" w:rsidRPr="0051528E">
        <w:rPr>
          <w:sz w:val="24"/>
          <w:szCs w:val="24"/>
        </w:rPr>
        <w:t>Pennsylvania-American Water Company</w:t>
      </w:r>
      <w:r w:rsidR="00F444CE">
        <w:rPr>
          <w:sz w:val="24"/>
          <w:szCs w:val="24"/>
        </w:rPr>
        <w:t xml:space="preserve">’s </w:t>
      </w:r>
      <w:r w:rsidR="00866203" w:rsidRPr="0051528E">
        <w:rPr>
          <w:sz w:val="24"/>
          <w:szCs w:val="24"/>
        </w:rPr>
        <w:t>Acquisition of the Butler Area Sewer Authority Wastewater System</w:t>
      </w:r>
      <w:r w:rsidR="00E13D8D">
        <w:rPr>
          <w:sz w:val="24"/>
          <w:szCs w:val="24"/>
        </w:rPr>
        <w:t xml:space="preserve"> </w:t>
      </w:r>
      <w:r w:rsidR="00C647FF">
        <w:rPr>
          <w:sz w:val="24"/>
          <w:szCs w:val="24"/>
        </w:rPr>
        <w:t>should reference th</w:t>
      </w:r>
      <w:r w:rsidR="00DA06B5">
        <w:rPr>
          <w:sz w:val="24"/>
          <w:szCs w:val="24"/>
        </w:rPr>
        <w:t xml:space="preserve">e above referenced </w:t>
      </w:r>
      <w:r w:rsidR="00C647FF">
        <w:rPr>
          <w:sz w:val="24"/>
          <w:szCs w:val="24"/>
        </w:rPr>
        <w:t>“A” docket number.</w:t>
      </w:r>
    </w:p>
    <w:p w14:paraId="2AAB9BF2" w14:textId="77777777" w:rsidR="00C647FF" w:rsidRDefault="00C647FF" w:rsidP="00195D72">
      <w:pPr>
        <w:ind w:left="720" w:right="540"/>
        <w:rPr>
          <w:sz w:val="24"/>
          <w:szCs w:val="24"/>
        </w:rPr>
      </w:pPr>
    </w:p>
    <w:p w14:paraId="148A5381" w14:textId="77777777" w:rsidR="002F6FB3" w:rsidRPr="00BF3623" w:rsidRDefault="00721AC4" w:rsidP="00DC51A6">
      <w:pPr>
        <w:ind w:left="720" w:right="630"/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="00D07083" w:rsidRPr="00BF3623">
        <w:rPr>
          <w:sz w:val="24"/>
          <w:szCs w:val="24"/>
        </w:rPr>
        <w:t>T</w:t>
      </w:r>
      <w:r w:rsidR="00614D26" w:rsidRPr="00BF3623">
        <w:rPr>
          <w:sz w:val="24"/>
          <w:szCs w:val="24"/>
        </w:rPr>
        <w:t>his</w:t>
      </w:r>
      <w:r w:rsidR="002F6FB3" w:rsidRPr="00BF3623">
        <w:rPr>
          <w:sz w:val="24"/>
          <w:szCs w:val="24"/>
        </w:rPr>
        <w:t xml:space="preserve"> matter will receive the attention of the Commission and you will be advised of any further necessary procedure.</w:t>
      </w:r>
    </w:p>
    <w:p w14:paraId="19B2455F" w14:textId="355776E1" w:rsidR="002F6FB3" w:rsidRPr="00BF3623" w:rsidRDefault="00161D35" w:rsidP="00DC51A6">
      <w:pPr>
        <w:ind w:right="630"/>
        <w:rPr>
          <w:sz w:val="24"/>
          <w:szCs w:val="24"/>
        </w:rPr>
      </w:pPr>
      <w:r w:rsidRPr="00BF3623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E549392" wp14:editId="70422A23">
            <wp:simplePos x="0" y="0"/>
            <wp:positionH relativeFrom="column">
              <wp:posOffset>3017520</wp:posOffset>
            </wp:positionH>
            <wp:positionV relativeFrom="paragraph">
              <wp:posOffset>175260</wp:posOffset>
            </wp:positionV>
            <wp:extent cx="1888490" cy="71945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C0841" w14:textId="77777777" w:rsidR="002F6FB3" w:rsidRPr="00BF3623" w:rsidRDefault="002F6FB3">
      <w:pPr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  <w:t>Sincerely,</w:t>
      </w:r>
    </w:p>
    <w:p w14:paraId="39758F0A" w14:textId="77777777" w:rsidR="002F6FB3" w:rsidRPr="00BF3623" w:rsidRDefault="002F6FB3">
      <w:pPr>
        <w:rPr>
          <w:sz w:val="24"/>
          <w:szCs w:val="24"/>
        </w:rPr>
      </w:pPr>
    </w:p>
    <w:p w14:paraId="6DFD3BE9" w14:textId="77777777" w:rsidR="004B6B74" w:rsidRPr="00BF3623" w:rsidRDefault="004B6B74">
      <w:pPr>
        <w:rPr>
          <w:sz w:val="24"/>
          <w:szCs w:val="24"/>
        </w:rPr>
      </w:pPr>
    </w:p>
    <w:p w14:paraId="26F04C36" w14:textId="77777777" w:rsidR="002F6FB3" w:rsidRPr="00BF3623" w:rsidRDefault="004B6B74">
      <w:pPr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="00EE77BB" w:rsidRPr="00BF3623">
        <w:rPr>
          <w:sz w:val="24"/>
          <w:szCs w:val="24"/>
        </w:rPr>
        <w:t>Rosemary Chiavetta</w:t>
      </w:r>
    </w:p>
    <w:p w14:paraId="6BA8831D" w14:textId="77777777" w:rsidR="002F6FB3" w:rsidRDefault="002F6FB3">
      <w:pPr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  <w:t>Secretary</w:t>
      </w:r>
    </w:p>
    <w:p w14:paraId="3ABAE506" w14:textId="77777777" w:rsidR="00C647FF" w:rsidRDefault="00C647FF">
      <w:pPr>
        <w:rPr>
          <w:sz w:val="24"/>
          <w:szCs w:val="24"/>
        </w:rPr>
      </w:pPr>
    </w:p>
    <w:p w14:paraId="2EF0E9D4" w14:textId="77777777" w:rsidR="00C647FF" w:rsidRDefault="00C647FF">
      <w:pPr>
        <w:rPr>
          <w:sz w:val="24"/>
          <w:szCs w:val="24"/>
        </w:rPr>
      </w:pPr>
    </w:p>
    <w:p w14:paraId="6B472AE7" w14:textId="77777777" w:rsidR="00C647FF" w:rsidRDefault="00C647FF">
      <w:pPr>
        <w:rPr>
          <w:sz w:val="24"/>
          <w:szCs w:val="24"/>
        </w:rPr>
      </w:pPr>
    </w:p>
    <w:p w14:paraId="2445C54C" w14:textId="77777777" w:rsidR="00C647FF" w:rsidRDefault="00C647FF">
      <w:pPr>
        <w:rPr>
          <w:sz w:val="24"/>
          <w:szCs w:val="24"/>
        </w:rPr>
      </w:pPr>
    </w:p>
    <w:p w14:paraId="23AEC54F" w14:textId="77777777" w:rsidR="00E07C27" w:rsidRDefault="00C647FF" w:rsidP="00C647FF">
      <w:pPr>
        <w:ind w:left="720"/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</w:r>
      <w:r w:rsidR="00E07C27">
        <w:rPr>
          <w:sz w:val="24"/>
          <w:szCs w:val="24"/>
        </w:rPr>
        <w:t>Via Email only:</w:t>
      </w:r>
    </w:p>
    <w:p w14:paraId="0C2F846D" w14:textId="77777777" w:rsidR="003B51BC" w:rsidRPr="003B51BC" w:rsidRDefault="003B51BC" w:rsidP="003B51BC">
      <w:pPr>
        <w:ind w:left="1440" w:firstLine="720"/>
        <w:rPr>
          <w:sz w:val="24"/>
          <w:szCs w:val="24"/>
        </w:rPr>
      </w:pPr>
      <w:r w:rsidRPr="003B51BC">
        <w:rPr>
          <w:sz w:val="24"/>
          <w:szCs w:val="24"/>
        </w:rPr>
        <w:t xml:space="preserve">Patrick Cicero, Office of Consumer Advocate (via electronic mail) </w:t>
      </w:r>
    </w:p>
    <w:p w14:paraId="15F80937" w14:textId="77777777" w:rsidR="003B51BC" w:rsidRPr="003B51BC" w:rsidRDefault="003B51BC" w:rsidP="003B51BC">
      <w:pPr>
        <w:ind w:left="1440" w:firstLine="720"/>
        <w:rPr>
          <w:sz w:val="24"/>
          <w:szCs w:val="24"/>
        </w:rPr>
      </w:pPr>
      <w:r w:rsidRPr="003B51BC">
        <w:rPr>
          <w:sz w:val="24"/>
          <w:szCs w:val="24"/>
        </w:rPr>
        <w:t xml:space="preserve">NazAarah Sabree, Office of Small Business Advocate (via electronic mail) </w:t>
      </w:r>
    </w:p>
    <w:p w14:paraId="67863E9F" w14:textId="77777777" w:rsidR="003B51BC" w:rsidRPr="003B51BC" w:rsidRDefault="003B51BC" w:rsidP="003B51BC">
      <w:pPr>
        <w:ind w:left="1440" w:firstLine="720"/>
        <w:rPr>
          <w:sz w:val="24"/>
          <w:szCs w:val="24"/>
        </w:rPr>
      </w:pPr>
      <w:r w:rsidRPr="003B51BC">
        <w:rPr>
          <w:sz w:val="24"/>
          <w:szCs w:val="24"/>
        </w:rPr>
        <w:t xml:space="preserve">Richard A. Kanaskie, Bureau of Investigation and Enforcement (via electronic mail) </w:t>
      </w:r>
    </w:p>
    <w:p w14:paraId="19530AE3" w14:textId="04F9EEE5" w:rsidR="00551929" w:rsidRDefault="003B51BC" w:rsidP="003B51BC">
      <w:pPr>
        <w:ind w:left="720"/>
        <w:rPr>
          <w:sz w:val="24"/>
          <w:szCs w:val="24"/>
        </w:rPr>
      </w:pPr>
      <w:r w:rsidRPr="003B51B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51BC">
        <w:rPr>
          <w:sz w:val="24"/>
          <w:szCs w:val="24"/>
        </w:rPr>
        <w:t>Paul Diskin, Bureau of Technical Utility Services (via electronic mail)</w:t>
      </w:r>
    </w:p>
    <w:sectPr w:rsidR="00551929" w:rsidSect="001C0E2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23"/>
    <w:rsid w:val="00023011"/>
    <w:rsid w:val="00037D4B"/>
    <w:rsid w:val="00080517"/>
    <w:rsid w:val="000C308D"/>
    <w:rsid w:val="000C43AC"/>
    <w:rsid w:val="000E79C0"/>
    <w:rsid w:val="000F6FCC"/>
    <w:rsid w:val="00107EE1"/>
    <w:rsid w:val="0014011A"/>
    <w:rsid w:val="00155777"/>
    <w:rsid w:val="00161D35"/>
    <w:rsid w:val="00173C57"/>
    <w:rsid w:val="00195D72"/>
    <w:rsid w:val="00197E38"/>
    <w:rsid w:val="001B3AEB"/>
    <w:rsid w:val="001C0E23"/>
    <w:rsid w:val="002058FD"/>
    <w:rsid w:val="0021590F"/>
    <w:rsid w:val="002377AE"/>
    <w:rsid w:val="00284291"/>
    <w:rsid w:val="002B744A"/>
    <w:rsid w:val="002F668C"/>
    <w:rsid w:val="002F6FB3"/>
    <w:rsid w:val="003221A2"/>
    <w:rsid w:val="00334E16"/>
    <w:rsid w:val="00356D3D"/>
    <w:rsid w:val="00373E9C"/>
    <w:rsid w:val="003B51BC"/>
    <w:rsid w:val="003C293C"/>
    <w:rsid w:val="003C393D"/>
    <w:rsid w:val="0040698D"/>
    <w:rsid w:val="00426769"/>
    <w:rsid w:val="00445621"/>
    <w:rsid w:val="00445635"/>
    <w:rsid w:val="00447B32"/>
    <w:rsid w:val="00452CEA"/>
    <w:rsid w:val="004968AC"/>
    <w:rsid w:val="004B6B74"/>
    <w:rsid w:val="0051528E"/>
    <w:rsid w:val="005370D0"/>
    <w:rsid w:val="00550430"/>
    <w:rsid w:val="00551929"/>
    <w:rsid w:val="00591903"/>
    <w:rsid w:val="005A2B6E"/>
    <w:rsid w:val="005A3BF0"/>
    <w:rsid w:val="005B7487"/>
    <w:rsid w:val="00612E58"/>
    <w:rsid w:val="00614D26"/>
    <w:rsid w:val="006176ED"/>
    <w:rsid w:val="00624205"/>
    <w:rsid w:val="0064765E"/>
    <w:rsid w:val="00651955"/>
    <w:rsid w:val="00672E9F"/>
    <w:rsid w:val="00674218"/>
    <w:rsid w:val="006810DB"/>
    <w:rsid w:val="00681A2B"/>
    <w:rsid w:val="00681A74"/>
    <w:rsid w:val="00721AC4"/>
    <w:rsid w:val="00735D0F"/>
    <w:rsid w:val="00771D8F"/>
    <w:rsid w:val="007A2CC6"/>
    <w:rsid w:val="007B48C8"/>
    <w:rsid w:val="00855072"/>
    <w:rsid w:val="00866203"/>
    <w:rsid w:val="008E26E0"/>
    <w:rsid w:val="00911619"/>
    <w:rsid w:val="00926F61"/>
    <w:rsid w:val="009352D2"/>
    <w:rsid w:val="00962169"/>
    <w:rsid w:val="0097218C"/>
    <w:rsid w:val="009828E7"/>
    <w:rsid w:val="009B1964"/>
    <w:rsid w:val="009D2217"/>
    <w:rsid w:val="009D354A"/>
    <w:rsid w:val="009D7404"/>
    <w:rsid w:val="00A23579"/>
    <w:rsid w:val="00A67F8A"/>
    <w:rsid w:val="00AB7D40"/>
    <w:rsid w:val="00B057FB"/>
    <w:rsid w:val="00B60483"/>
    <w:rsid w:val="00BB45D6"/>
    <w:rsid w:val="00BC347F"/>
    <w:rsid w:val="00BF3623"/>
    <w:rsid w:val="00C17BC9"/>
    <w:rsid w:val="00C35ED6"/>
    <w:rsid w:val="00C46537"/>
    <w:rsid w:val="00C647FF"/>
    <w:rsid w:val="00CC0E67"/>
    <w:rsid w:val="00CC2ADC"/>
    <w:rsid w:val="00D07083"/>
    <w:rsid w:val="00D204FB"/>
    <w:rsid w:val="00DA06B5"/>
    <w:rsid w:val="00DC51A6"/>
    <w:rsid w:val="00DD2BC7"/>
    <w:rsid w:val="00E07C27"/>
    <w:rsid w:val="00E13D8D"/>
    <w:rsid w:val="00E309EA"/>
    <w:rsid w:val="00E5100E"/>
    <w:rsid w:val="00E5294D"/>
    <w:rsid w:val="00E84D9B"/>
    <w:rsid w:val="00E95FAD"/>
    <w:rsid w:val="00E96138"/>
    <w:rsid w:val="00EC6858"/>
    <w:rsid w:val="00EC6E74"/>
    <w:rsid w:val="00EE3164"/>
    <w:rsid w:val="00EE77BB"/>
    <w:rsid w:val="00F17885"/>
    <w:rsid w:val="00F23AE6"/>
    <w:rsid w:val="00F2487A"/>
    <w:rsid w:val="00F24C49"/>
    <w:rsid w:val="00F266E0"/>
    <w:rsid w:val="00F33AB6"/>
    <w:rsid w:val="00F444CE"/>
    <w:rsid w:val="00FD0A77"/>
    <w:rsid w:val="00F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BEF0B11"/>
  <w15:chartTrackingRefBased/>
  <w15:docId w15:val="{04483C88-747F-44F5-9421-30508FF3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51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F50A1-A11D-4C3B-ADFC-E5A68916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subject/>
  <dc:creator>TROUT</dc:creator>
  <cp:keywords/>
  <cp:lastModifiedBy>Elwell, Angel</cp:lastModifiedBy>
  <cp:revision>10</cp:revision>
  <cp:lastPrinted>2021-03-19T13:03:00Z</cp:lastPrinted>
  <dcterms:created xsi:type="dcterms:W3CDTF">2022-12-02T17:09:00Z</dcterms:created>
  <dcterms:modified xsi:type="dcterms:W3CDTF">2022-12-02T17:38:00Z</dcterms:modified>
</cp:coreProperties>
</file>