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DF99" w14:textId="77777777" w:rsidR="00A43CEA" w:rsidRPr="00177FB2" w:rsidRDefault="00A43CEA" w:rsidP="00726998">
      <w:pPr>
        <w:autoSpaceDE w:val="0"/>
        <w:autoSpaceDN w:val="0"/>
        <w:spacing w:after="0" w:line="240" w:lineRule="auto"/>
        <w:jc w:val="center"/>
        <w:rPr>
          <w:rFonts w:eastAsia="Times New Roman" w:cs="Times New Roman"/>
          <w:b/>
          <w:szCs w:val="24"/>
        </w:rPr>
      </w:pPr>
      <w:r w:rsidRPr="00177FB2">
        <w:rPr>
          <w:rFonts w:eastAsia="Times New Roman" w:cs="Times New Roman"/>
          <w:b/>
          <w:szCs w:val="24"/>
        </w:rPr>
        <w:t>BEFORE THE</w:t>
      </w:r>
    </w:p>
    <w:p w14:paraId="6229C267" w14:textId="77777777" w:rsidR="00A43CEA" w:rsidRPr="00177FB2" w:rsidRDefault="00A43CEA" w:rsidP="00726998">
      <w:pPr>
        <w:tabs>
          <w:tab w:val="center" w:pos="4680"/>
        </w:tabs>
        <w:suppressAutoHyphens/>
        <w:autoSpaceDE w:val="0"/>
        <w:autoSpaceDN w:val="0"/>
        <w:spacing w:after="0" w:line="240" w:lineRule="auto"/>
        <w:jc w:val="center"/>
        <w:rPr>
          <w:rFonts w:eastAsia="Times New Roman" w:cs="Times New Roman"/>
          <w:b/>
          <w:bCs/>
          <w:spacing w:val="-3"/>
          <w:szCs w:val="24"/>
        </w:rPr>
      </w:pPr>
      <w:r w:rsidRPr="00177FB2">
        <w:rPr>
          <w:rFonts w:eastAsia="Times New Roman" w:cs="Times New Roman"/>
          <w:b/>
          <w:bCs/>
          <w:spacing w:val="-3"/>
          <w:szCs w:val="24"/>
        </w:rPr>
        <w:t>PENNSYLVANIA PUBLIC UTILITY COMMISSION</w:t>
      </w:r>
    </w:p>
    <w:p w14:paraId="7713D0BE" w14:textId="77777777" w:rsidR="00A43CEA" w:rsidRPr="00177FB2" w:rsidRDefault="00A43CEA" w:rsidP="00726998">
      <w:pPr>
        <w:tabs>
          <w:tab w:val="left" w:pos="-720"/>
        </w:tabs>
        <w:suppressAutoHyphens/>
        <w:autoSpaceDE w:val="0"/>
        <w:autoSpaceDN w:val="0"/>
        <w:spacing w:after="0" w:line="240" w:lineRule="auto"/>
        <w:rPr>
          <w:rFonts w:eastAsia="Times New Roman" w:cs="Times New Roman"/>
          <w:spacing w:val="-3"/>
          <w:szCs w:val="24"/>
        </w:rPr>
      </w:pPr>
    </w:p>
    <w:p w14:paraId="4E3BF55F" w14:textId="77777777" w:rsidR="00A43CEA" w:rsidRPr="00177FB2" w:rsidRDefault="00A43CEA" w:rsidP="00726998">
      <w:pPr>
        <w:tabs>
          <w:tab w:val="left" w:pos="-720"/>
        </w:tabs>
        <w:suppressAutoHyphens/>
        <w:autoSpaceDE w:val="0"/>
        <w:autoSpaceDN w:val="0"/>
        <w:spacing w:after="0" w:line="240" w:lineRule="auto"/>
        <w:rPr>
          <w:rFonts w:eastAsia="Times New Roman" w:cs="Times New Roman"/>
          <w:spacing w:val="-3"/>
          <w:szCs w:val="24"/>
        </w:rPr>
      </w:pPr>
    </w:p>
    <w:p w14:paraId="6D410A29" w14:textId="77777777" w:rsidR="00A43CEA" w:rsidRPr="00177FB2" w:rsidRDefault="00A43CEA" w:rsidP="00726998">
      <w:pPr>
        <w:tabs>
          <w:tab w:val="left" w:pos="-720"/>
        </w:tabs>
        <w:suppressAutoHyphens/>
        <w:autoSpaceDE w:val="0"/>
        <w:autoSpaceDN w:val="0"/>
        <w:spacing w:after="0" w:line="240" w:lineRule="auto"/>
        <w:rPr>
          <w:rFonts w:eastAsia="Times New Roman" w:cs="Times New Roman"/>
          <w:spacing w:val="-3"/>
          <w:szCs w:val="24"/>
        </w:rPr>
      </w:pPr>
    </w:p>
    <w:p w14:paraId="732FC020" w14:textId="77777777" w:rsidR="00A43CEA" w:rsidRPr="00177FB2" w:rsidRDefault="00A43CEA" w:rsidP="00726998">
      <w:pPr>
        <w:tabs>
          <w:tab w:val="left" w:pos="-720"/>
        </w:tabs>
        <w:suppressAutoHyphens/>
        <w:autoSpaceDE w:val="0"/>
        <w:autoSpaceDN w:val="0"/>
        <w:spacing w:after="0" w:line="240" w:lineRule="auto"/>
        <w:jc w:val="both"/>
        <w:rPr>
          <w:rFonts w:eastAsia="Times New Roman" w:cs="Times New Roman"/>
          <w:spacing w:val="-3"/>
          <w:szCs w:val="24"/>
        </w:rPr>
      </w:pPr>
      <w:r w:rsidRPr="00177FB2">
        <w:rPr>
          <w:rFonts w:eastAsia="Times New Roman" w:cs="Times New Roman"/>
          <w:spacing w:val="-3"/>
          <w:szCs w:val="24"/>
        </w:rPr>
        <w:t>Leonard Moore</w:t>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fldChar w:fldCharType="begin"/>
      </w:r>
      <w:r w:rsidRPr="00177FB2">
        <w:rPr>
          <w:rFonts w:eastAsia="Times New Roman" w:cs="Times New Roman"/>
          <w:spacing w:val="-3"/>
          <w:szCs w:val="24"/>
        </w:rPr>
        <w:instrText>fillin "Complainant's name" \d ""</w:instrText>
      </w:r>
      <w:r w:rsidRPr="00177FB2">
        <w:rPr>
          <w:rFonts w:eastAsia="Times New Roman" w:cs="Times New Roman"/>
          <w:spacing w:val="-3"/>
          <w:szCs w:val="24"/>
        </w:rPr>
        <w:fldChar w:fldCharType="end"/>
      </w:r>
      <w:r w:rsidRPr="00177FB2">
        <w:rPr>
          <w:rFonts w:eastAsia="Times New Roman" w:cs="Times New Roman"/>
          <w:spacing w:val="-3"/>
          <w:szCs w:val="24"/>
        </w:rPr>
        <w:t>:</w:t>
      </w:r>
    </w:p>
    <w:p w14:paraId="09EA87EF" w14:textId="77777777" w:rsidR="00A43CEA" w:rsidRPr="00177FB2" w:rsidRDefault="00A43CEA" w:rsidP="00726998">
      <w:pPr>
        <w:tabs>
          <w:tab w:val="left" w:pos="-720"/>
        </w:tabs>
        <w:suppressAutoHyphens/>
        <w:autoSpaceDE w:val="0"/>
        <w:autoSpaceDN w:val="0"/>
        <w:spacing w:after="0" w:line="240" w:lineRule="auto"/>
        <w:jc w:val="both"/>
        <w:rPr>
          <w:rFonts w:eastAsia="Times New Roman" w:cs="Times New Roman"/>
          <w:spacing w:val="-3"/>
          <w:szCs w:val="24"/>
        </w:rPr>
      </w:pP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t>:</w:t>
      </w:r>
    </w:p>
    <w:p w14:paraId="056D9C7E" w14:textId="77777777" w:rsidR="00A43CEA" w:rsidRPr="00177FB2" w:rsidRDefault="00A43CEA" w:rsidP="00726998">
      <w:pPr>
        <w:tabs>
          <w:tab w:val="left" w:pos="-720"/>
        </w:tabs>
        <w:suppressAutoHyphens/>
        <w:autoSpaceDE w:val="0"/>
        <w:autoSpaceDN w:val="0"/>
        <w:spacing w:after="0" w:line="240" w:lineRule="auto"/>
        <w:jc w:val="both"/>
        <w:rPr>
          <w:rFonts w:eastAsia="Times New Roman" w:cs="Times New Roman"/>
          <w:spacing w:val="-3"/>
          <w:szCs w:val="24"/>
        </w:rPr>
      </w:pPr>
      <w:r w:rsidRPr="00177FB2">
        <w:rPr>
          <w:rFonts w:eastAsia="Times New Roman" w:cs="Times New Roman"/>
          <w:spacing w:val="-3"/>
          <w:szCs w:val="24"/>
        </w:rPr>
        <w:tab/>
        <w:t>v.</w:t>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t>:</w:t>
      </w:r>
      <w:r w:rsidRPr="00177FB2">
        <w:rPr>
          <w:rFonts w:eastAsia="Times New Roman" w:cs="Times New Roman"/>
          <w:spacing w:val="-3"/>
          <w:szCs w:val="24"/>
        </w:rPr>
        <w:tab/>
      </w:r>
      <w:r w:rsidRPr="00177FB2">
        <w:rPr>
          <w:rFonts w:eastAsia="Times New Roman" w:cs="Times New Roman"/>
          <w:spacing w:val="-3"/>
          <w:szCs w:val="24"/>
        </w:rPr>
        <w:tab/>
        <w:t>C-2022-3034296</w:t>
      </w:r>
      <w:r w:rsidRPr="00177FB2">
        <w:rPr>
          <w:rFonts w:eastAsia="Times New Roman" w:cs="Times New Roman"/>
          <w:spacing w:val="-3"/>
          <w:szCs w:val="24"/>
        </w:rPr>
        <w:fldChar w:fldCharType="begin"/>
      </w:r>
      <w:r w:rsidRPr="00177FB2">
        <w:rPr>
          <w:rFonts w:eastAsia="Times New Roman" w:cs="Times New Roman"/>
          <w:spacing w:val="-3"/>
          <w:szCs w:val="24"/>
        </w:rPr>
        <w:instrText>fillin "Docket No." \d ""</w:instrText>
      </w:r>
      <w:r w:rsidRPr="00177FB2">
        <w:rPr>
          <w:rFonts w:eastAsia="Times New Roman" w:cs="Times New Roman"/>
          <w:spacing w:val="-3"/>
          <w:szCs w:val="24"/>
        </w:rPr>
        <w:fldChar w:fldCharType="end"/>
      </w:r>
    </w:p>
    <w:p w14:paraId="591937E2" w14:textId="77777777" w:rsidR="00A43CEA" w:rsidRPr="00177FB2" w:rsidRDefault="00A43CEA" w:rsidP="00726998">
      <w:pPr>
        <w:tabs>
          <w:tab w:val="left" w:pos="-720"/>
        </w:tabs>
        <w:suppressAutoHyphens/>
        <w:autoSpaceDE w:val="0"/>
        <w:autoSpaceDN w:val="0"/>
        <w:spacing w:after="0" w:line="240" w:lineRule="auto"/>
        <w:jc w:val="both"/>
        <w:rPr>
          <w:rFonts w:eastAsia="Times New Roman" w:cs="Times New Roman"/>
          <w:spacing w:val="-3"/>
          <w:szCs w:val="24"/>
        </w:rPr>
      </w:pP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r>
      <w:r w:rsidRPr="00177FB2">
        <w:rPr>
          <w:rFonts w:eastAsia="Times New Roman" w:cs="Times New Roman"/>
          <w:spacing w:val="-3"/>
          <w:szCs w:val="24"/>
        </w:rPr>
        <w:tab/>
        <w:t>:</w:t>
      </w:r>
    </w:p>
    <w:p w14:paraId="3781B617" w14:textId="77777777" w:rsidR="00A43CEA" w:rsidRPr="00177FB2" w:rsidRDefault="00A43CEA" w:rsidP="00726998">
      <w:pPr>
        <w:tabs>
          <w:tab w:val="left" w:pos="-720"/>
          <w:tab w:val="left" w:pos="5040"/>
        </w:tabs>
        <w:suppressAutoHyphens/>
        <w:autoSpaceDE w:val="0"/>
        <w:autoSpaceDN w:val="0"/>
        <w:spacing w:after="0" w:line="240" w:lineRule="auto"/>
        <w:jc w:val="both"/>
        <w:rPr>
          <w:rFonts w:eastAsia="Times New Roman" w:cs="Times New Roman"/>
          <w:spacing w:val="-3"/>
          <w:szCs w:val="24"/>
        </w:rPr>
      </w:pPr>
      <w:r w:rsidRPr="00177FB2">
        <w:rPr>
          <w:rFonts w:eastAsia="Times New Roman" w:cs="Times New Roman"/>
          <w:spacing w:val="-3"/>
          <w:szCs w:val="24"/>
        </w:rPr>
        <w:t>Philadelphia Gas Works</w:t>
      </w:r>
      <w:r w:rsidRPr="00177FB2">
        <w:rPr>
          <w:rFonts w:eastAsia="Times New Roman" w:cs="Times New Roman"/>
          <w:spacing w:val="-3"/>
          <w:szCs w:val="24"/>
        </w:rPr>
        <w:tab/>
        <w:t>:</w:t>
      </w:r>
    </w:p>
    <w:p w14:paraId="063353CB" w14:textId="77777777" w:rsidR="00A43CEA" w:rsidRPr="00177FB2" w:rsidRDefault="00A43CEA" w:rsidP="00726998">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7A225880" w14:textId="77777777" w:rsidR="00A43CEA" w:rsidRPr="00177FB2" w:rsidRDefault="00A43CEA" w:rsidP="00726998">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22768911" w14:textId="6C5D36F2" w:rsidR="00792796" w:rsidRDefault="00792796" w:rsidP="00726998">
      <w:pPr>
        <w:spacing w:after="0" w:line="240" w:lineRule="auto"/>
      </w:pPr>
    </w:p>
    <w:p w14:paraId="4F11E2CA" w14:textId="041B6B60" w:rsidR="00A43CEA" w:rsidRPr="007D3FDA" w:rsidRDefault="00A43CEA" w:rsidP="00726998">
      <w:pPr>
        <w:spacing w:after="0" w:line="240" w:lineRule="auto"/>
        <w:jc w:val="center"/>
        <w:rPr>
          <w:b/>
          <w:bCs/>
        </w:rPr>
      </w:pPr>
      <w:r w:rsidRPr="007D3FDA">
        <w:rPr>
          <w:b/>
          <w:bCs/>
        </w:rPr>
        <w:t>INTERIM ORDER</w:t>
      </w:r>
    </w:p>
    <w:p w14:paraId="2AF2F354" w14:textId="327480DE" w:rsidR="00A43CEA" w:rsidRPr="007D3FDA" w:rsidRDefault="00A43CEA" w:rsidP="00726998">
      <w:pPr>
        <w:spacing w:after="0" w:line="240" w:lineRule="auto"/>
        <w:jc w:val="center"/>
        <w:rPr>
          <w:b/>
          <w:bCs/>
          <w:u w:val="single"/>
        </w:rPr>
      </w:pPr>
      <w:r w:rsidRPr="007D3FDA">
        <w:rPr>
          <w:b/>
          <w:bCs/>
          <w:u w:val="single"/>
        </w:rPr>
        <w:t>RESCHEDULING HEARING</w:t>
      </w:r>
    </w:p>
    <w:p w14:paraId="3A80A202" w14:textId="73D40D00" w:rsidR="00A43CEA" w:rsidRDefault="00A43CEA" w:rsidP="00726998">
      <w:pPr>
        <w:spacing w:after="0"/>
      </w:pPr>
    </w:p>
    <w:p w14:paraId="2903B6E2" w14:textId="49C899B7" w:rsidR="00A43CEA" w:rsidRDefault="00A43CEA" w:rsidP="00726998">
      <w:pPr>
        <w:spacing w:after="0"/>
      </w:pPr>
      <w:r>
        <w:tab/>
      </w:r>
      <w:r>
        <w:tab/>
        <w:t>On August 5, 2022, Leonard Moore filed a formal complaint against Philadelphia Gas (PGW) requesting a payment arrangement.  PGW filed an answer on August 24, 2022, which noted that Mr. Moore had broken company-issued payment arrangements and that a portion of Mr. Moore’s arrearage included CAP (customer assistance program) arrearages which are not subject to payment arrangements.</w:t>
      </w:r>
    </w:p>
    <w:p w14:paraId="0F559B23" w14:textId="77777777" w:rsidR="00726998" w:rsidRDefault="00726998" w:rsidP="00726998">
      <w:pPr>
        <w:spacing w:after="0"/>
      </w:pPr>
    </w:p>
    <w:p w14:paraId="7C6B8C07" w14:textId="622D4276" w:rsidR="00A43CEA" w:rsidRDefault="00A43CEA" w:rsidP="00726998">
      <w:pPr>
        <w:spacing w:after="0"/>
      </w:pPr>
      <w:r>
        <w:tab/>
      </w:r>
      <w:r>
        <w:tab/>
        <w:t>On August 30, 2022, the Commission served a hearing notice which assigned the complaint to Special Agent Kailey Maguire and set the hearing for October 25, 2022.  The hearing was cancelled on October 24, 2022.</w:t>
      </w:r>
    </w:p>
    <w:p w14:paraId="7D5BA445" w14:textId="77777777" w:rsidR="00726998" w:rsidRDefault="00726998" w:rsidP="00726998">
      <w:pPr>
        <w:spacing w:after="0"/>
      </w:pPr>
    </w:p>
    <w:p w14:paraId="477BB8F0" w14:textId="3FB9F17D" w:rsidR="00A43CEA" w:rsidRDefault="00A43CEA" w:rsidP="00726998">
      <w:pPr>
        <w:spacing w:after="0"/>
      </w:pPr>
      <w:r>
        <w:tab/>
      </w:r>
      <w:r>
        <w:tab/>
        <w:t>On November 15, 2022, the Commission served a hearing notice which transferred the case to me and set a new hearing for December 13, 2022.  I issued a prehearing order which explained the procedures for the hearing, including the procedure for requesting a continuance.</w:t>
      </w:r>
    </w:p>
    <w:p w14:paraId="5B721D27" w14:textId="77777777" w:rsidR="00726998" w:rsidRDefault="00726998" w:rsidP="00726998">
      <w:pPr>
        <w:spacing w:after="0"/>
      </w:pPr>
    </w:p>
    <w:p w14:paraId="367C5907" w14:textId="4F4B55E1" w:rsidR="00A43CEA" w:rsidRDefault="00A43CEA" w:rsidP="00726998">
      <w:pPr>
        <w:spacing w:after="0"/>
      </w:pPr>
      <w:r>
        <w:tab/>
      </w:r>
      <w:r>
        <w:tab/>
        <w:t xml:space="preserve">The December 13, 2022 hearing convened as scheduled.  Anita Murray, Esquire appeared on behalf of PGW along with one witness.  Mr. Moore did not call in to participate in the hearing.  I took a </w:t>
      </w:r>
      <w:r w:rsidR="005A04D2">
        <w:t>10-minute</w:t>
      </w:r>
      <w:r>
        <w:t xml:space="preserve"> recess in order to provide Mr. Moore with additional time to call.  Mr. Moore did not call into the conference bridge to participate in the hearing.  Ms. Murray made a motion to dismiss the complaint with prejudice because Mr. Moore failed to appear.</w:t>
      </w:r>
    </w:p>
    <w:p w14:paraId="63855494" w14:textId="182A76A0" w:rsidR="00A43CEA" w:rsidRDefault="00A43CEA" w:rsidP="00726998">
      <w:pPr>
        <w:spacing w:after="0"/>
      </w:pPr>
      <w:r>
        <w:lastRenderedPageBreak/>
        <w:tab/>
      </w:r>
      <w:r>
        <w:tab/>
        <w:t>Shortly after the hearing concluded, Mr. Moore telephoned the Commission’s</w:t>
      </w:r>
      <w:r w:rsidR="000E233F">
        <w:t xml:space="preserve"> Office of Administrative Law Judge.  He explained that he slept through the hearing because his cancer medicine caused him to oversleep and neither his wife nor his daughter woke him up in time.  I contacted PGW.  Ms. Murray stated that PGW would not object to rescheduling the hearing one more time, but would likely object to further continuances.</w:t>
      </w:r>
    </w:p>
    <w:p w14:paraId="68C6908E" w14:textId="24A49910" w:rsidR="00726998" w:rsidRDefault="00726998" w:rsidP="00726998">
      <w:pPr>
        <w:spacing w:after="0"/>
      </w:pPr>
    </w:p>
    <w:p w14:paraId="5990CFDB" w14:textId="77777777" w:rsidR="00726998" w:rsidRDefault="00726998" w:rsidP="00726998">
      <w:pPr>
        <w:spacing w:after="0"/>
      </w:pPr>
    </w:p>
    <w:p w14:paraId="6815C95E" w14:textId="2382E49E" w:rsidR="000E233F" w:rsidRDefault="000E233F" w:rsidP="00726998">
      <w:pPr>
        <w:spacing w:after="0"/>
        <w:ind w:left="720" w:firstLine="720"/>
      </w:pPr>
      <w:r>
        <w:t>THEREFORE,</w:t>
      </w:r>
    </w:p>
    <w:p w14:paraId="6F8955FD" w14:textId="77777777" w:rsidR="00726998" w:rsidRDefault="00726998" w:rsidP="00726998">
      <w:pPr>
        <w:spacing w:after="0"/>
        <w:ind w:left="720" w:firstLine="720"/>
      </w:pPr>
    </w:p>
    <w:p w14:paraId="30E3F722" w14:textId="02B4CDE4" w:rsidR="000E233F" w:rsidRDefault="000E233F" w:rsidP="00726998">
      <w:pPr>
        <w:spacing w:after="0"/>
        <w:ind w:left="720" w:firstLine="720"/>
      </w:pPr>
      <w:r>
        <w:t>IT IS ORDERED:</w:t>
      </w:r>
    </w:p>
    <w:p w14:paraId="6D4B446B" w14:textId="77777777" w:rsidR="00726998" w:rsidRDefault="00726998" w:rsidP="00726998">
      <w:pPr>
        <w:spacing w:after="0"/>
        <w:ind w:left="720" w:firstLine="720"/>
      </w:pPr>
    </w:p>
    <w:p w14:paraId="6F40B171" w14:textId="7B8CBD99" w:rsidR="000E233F" w:rsidRDefault="000E233F" w:rsidP="00726998">
      <w:pPr>
        <w:spacing w:after="0"/>
      </w:pPr>
      <w:r>
        <w:tab/>
        <w:t>1.</w:t>
      </w:r>
      <w:r>
        <w:tab/>
        <w:t>That the hearing in the above-captioned matter shall be rescheduled for the next available hearing date.</w:t>
      </w:r>
    </w:p>
    <w:p w14:paraId="615289BF" w14:textId="77777777" w:rsidR="00726998" w:rsidRDefault="00726998" w:rsidP="00726998">
      <w:pPr>
        <w:spacing w:after="0"/>
      </w:pPr>
    </w:p>
    <w:p w14:paraId="0EE001AE" w14:textId="367B4545" w:rsidR="000E233F" w:rsidRDefault="000E233F" w:rsidP="00726998">
      <w:pPr>
        <w:spacing w:after="0"/>
      </w:pPr>
      <w:r>
        <w:tab/>
        <w:t xml:space="preserve">2. </w:t>
      </w:r>
      <w:r>
        <w:tab/>
        <w:t>That the parties are reminded that Commission policy encourages settlement and that they should continue to communicate and attempt to resolve the dispute.</w:t>
      </w:r>
    </w:p>
    <w:p w14:paraId="321D3C96" w14:textId="77777777" w:rsidR="00726998" w:rsidRDefault="00726998" w:rsidP="00726998">
      <w:pPr>
        <w:spacing w:after="0"/>
      </w:pPr>
    </w:p>
    <w:p w14:paraId="535CE0DD" w14:textId="26AA1C23" w:rsidR="000E233F" w:rsidRDefault="000E233F" w:rsidP="00726998">
      <w:pPr>
        <w:spacing w:after="0"/>
        <w:rPr>
          <w:szCs w:val="24"/>
        </w:rPr>
      </w:pPr>
      <w:r>
        <w:tab/>
        <w:t>3.</w:t>
      </w:r>
      <w:r>
        <w:tab/>
        <w:t xml:space="preserve">That no further continuances will be granted absent </w:t>
      </w:r>
      <w:r>
        <w:rPr>
          <w:szCs w:val="24"/>
        </w:rPr>
        <w:t>extraordinary circumstances.</w:t>
      </w:r>
    </w:p>
    <w:p w14:paraId="670635CA" w14:textId="77777777" w:rsidR="00726998" w:rsidRDefault="00726998" w:rsidP="00726998">
      <w:pPr>
        <w:spacing w:after="0"/>
        <w:rPr>
          <w:szCs w:val="24"/>
        </w:rPr>
      </w:pPr>
    </w:p>
    <w:p w14:paraId="3331146E" w14:textId="071E9676" w:rsidR="000E233F" w:rsidRPr="002927CB" w:rsidRDefault="000E233F" w:rsidP="00726998">
      <w:pPr>
        <w:spacing w:after="0"/>
        <w:rPr>
          <w:bCs/>
          <w:szCs w:val="24"/>
        </w:rPr>
      </w:pPr>
      <w:r>
        <w:rPr>
          <w:szCs w:val="24"/>
        </w:rPr>
        <w:tab/>
        <w:t>4.</w:t>
      </w:r>
      <w:r>
        <w:rPr>
          <w:szCs w:val="24"/>
        </w:rPr>
        <w:tab/>
        <w:t xml:space="preserve">That all other provisions of the November 15, </w:t>
      </w:r>
      <w:proofErr w:type="gramStart"/>
      <w:r>
        <w:rPr>
          <w:szCs w:val="24"/>
        </w:rPr>
        <w:t>2022</w:t>
      </w:r>
      <w:proofErr w:type="gramEnd"/>
      <w:r w:rsidR="005A04D2">
        <w:rPr>
          <w:szCs w:val="24"/>
        </w:rPr>
        <w:t xml:space="preserve"> hearing notice</w:t>
      </w:r>
      <w:r>
        <w:rPr>
          <w:szCs w:val="24"/>
        </w:rPr>
        <w:t xml:space="preserve"> remain in effect.</w:t>
      </w:r>
    </w:p>
    <w:p w14:paraId="5C4ED6D5" w14:textId="26E54174" w:rsidR="000E233F" w:rsidRDefault="000E233F" w:rsidP="00726998">
      <w:pPr>
        <w:spacing w:after="0"/>
      </w:pPr>
    </w:p>
    <w:p w14:paraId="384C70A1" w14:textId="2DF276E9" w:rsidR="00726998" w:rsidRPr="009A06F0" w:rsidRDefault="00726998" w:rsidP="00726998">
      <w:pPr>
        <w:tabs>
          <w:tab w:val="left" w:pos="360"/>
        </w:tabs>
        <w:spacing w:after="0" w:line="240" w:lineRule="auto"/>
        <w:jc w:val="both"/>
        <w:rPr>
          <w:rFonts w:eastAsia="SimSun"/>
        </w:rPr>
      </w:pPr>
      <w:r>
        <w:rPr>
          <w:szCs w:val="24"/>
        </w:rPr>
        <w:t xml:space="preserve">Date:  </w:t>
      </w:r>
      <w:r>
        <w:rPr>
          <w:szCs w:val="24"/>
          <w:u w:val="single"/>
        </w:rPr>
        <w:t>December</w:t>
      </w:r>
      <w:r w:rsidRPr="00BB73E8">
        <w:rPr>
          <w:szCs w:val="24"/>
          <w:u w:val="single"/>
        </w:rPr>
        <w:t xml:space="preserve"> </w:t>
      </w:r>
      <w:r>
        <w:rPr>
          <w:szCs w:val="24"/>
          <w:u w:val="single"/>
        </w:rPr>
        <w:t>13</w:t>
      </w:r>
      <w:r w:rsidRPr="00BB73E8">
        <w:rPr>
          <w:szCs w:val="24"/>
          <w:u w:val="single"/>
        </w:rPr>
        <w:t>,</w:t>
      </w:r>
      <w:r w:rsidRPr="00BB73E8">
        <w:rPr>
          <w:rFonts w:eastAsia="SimSun"/>
          <w:u w:val="single"/>
        </w:rPr>
        <w:t xml:space="preserve"> 202</w:t>
      </w:r>
      <w:r>
        <w:rPr>
          <w:rFonts w:eastAsia="SimSun"/>
          <w:u w:val="single"/>
        </w:rPr>
        <w:t>2</w:t>
      </w:r>
      <w:r>
        <w:rPr>
          <w:rFonts w:eastAsia="SimSun"/>
        </w:rPr>
        <w:tab/>
        <w:t xml:space="preserve"> </w:t>
      </w:r>
      <w:r>
        <w:rPr>
          <w:rFonts w:eastAsia="SimSun"/>
        </w:rPr>
        <w:tab/>
      </w:r>
      <w:r>
        <w:rPr>
          <w:rFonts w:eastAsia="SimSun"/>
        </w:rPr>
        <w:tab/>
      </w:r>
      <w:r>
        <w:rPr>
          <w:rFonts w:eastAsia="SimSun"/>
        </w:rPr>
        <w:tab/>
      </w:r>
      <w:r w:rsidRPr="00726998">
        <w:rPr>
          <w:rFonts w:eastAsia="SimSun"/>
          <w:b/>
          <w:bCs/>
          <w:u w:val="single"/>
        </w:rPr>
        <w:t>_</w:t>
      </w:r>
      <w:r w:rsidRPr="00726998">
        <w:rPr>
          <w:rFonts w:eastAsia="SimSun"/>
          <w:b/>
          <w:bCs/>
          <w:u w:val="single"/>
        </w:rPr>
        <w:tab/>
        <w:t>___/s/____________</w:t>
      </w:r>
    </w:p>
    <w:p w14:paraId="67899E43" w14:textId="77777777" w:rsidR="00726998" w:rsidRPr="009A06F0" w:rsidRDefault="00726998" w:rsidP="00726998">
      <w:pPr>
        <w:tabs>
          <w:tab w:val="left" w:pos="360"/>
        </w:tabs>
        <w:spacing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Mary D. Long</w:t>
      </w:r>
    </w:p>
    <w:p w14:paraId="25895F03" w14:textId="77777777" w:rsidR="00726998" w:rsidRDefault="00726998" w:rsidP="00726998">
      <w:pPr>
        <w:tabs>
          <w:tab w:val="left" w:pos="360"/>
        </w:tabs>
        <w:spacing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Administrative Law Judge</w:t>
      </w:r>
    </w:p>
    <w:p w14:paraId="440CC0C7" w14:textId="2FEB1D4D" w:rsidR="00726998" w:rsidRDefault="00726998" w:rsidP="00726998">
      <w:pPr>
        <w:spacing w:after="0"/>
      </w:pPr>
    </w:p>
    <w:p w14:paraId="64E88555" w14:textId="77777777" w:rsidR="005A04D2" w:rsidRDefault="005A04D2" w:rsidP="00726998">
      <w:pPr>
        <w:spacing w:after="0"/>
        <w:sectPr w:rsidR="005A04D2" w:rsidSect="005A04D2">
          <w:footerReference w:type="default" r:id="rId7"/>
          <w:pgSz w:w="12240" w:h="15840"/>
          <w:pgMar w:top="1440" w:right="1440" w:bottom="1440" w:left="1440" w:header="720" w:footer="720" w:gutter="0"/>
          <w:cols w:space="720"/>
          <w:titlePg/>
          <w:docGrid w:linePitch="360"/>
        </w:sectPr>
      </w:pPr>
    </w:p>
    <w:p w14:paraId="474FFF78" w14:textId="77777777" w:rsidR="005A04D2" w:rsidRPr="005A04D2" w:rsidRDefault="005A04D2" w:rsidP="005A04D2">
      <w:pPr>
        <w:spacing w:after="0" w:line="259" w:lineRule="auto"/>
        <w:rPr>
          <w:rFonts w:ascii="Microsoft Sans Serif" w:eastAsia="Microsoft Sans Serif" w:hAnsi="Microsoft Sans Serif" w:cs="Microsoft Sans Serif"/>
          <w:b/>
          <w:u w:val="single"/>
        </w:rPr>
      </w:pPr>
      <w:r w:rsidRPr="005A04D2">
        <w:rPr>
          <w:rFonts w:ascii="Microsoft Sans Serif" w:eastAsia="Microsoft Sans Serif" w:hAnsi="Microsoft Sans Serif" w:cs="Microsoft Sans Serif"/>
          <w:b/>
          <w:u w:val="single"/>
        </w:rPr>
        <w:lastRenderedPageBreak/>
        <w:t>C-2022-3034296 - LEONARD MOORE v. PHILADELPHIA GAS WORKS</w:t>
      </w:r>
      <w:r w:rsidRPr="005A04D2">
        <w:rPr>
          <w:rFonts w:ascii="Microsoft Sans Serif" w:eastAsia="Microsoft Sans Serif" w:hAnsi="Microsoft Sans Serif" w:cs="Microsoft Sans Serif"/>
          <w:b/>
          <w:u w:val="single"/>
        </w:rPr>
        <w:cr/>
      </w:r>
      <w:r w:rsidRPr="005A04D2">
        <w:rPr>
          <w:rFonts w:ascii="Microsoft Sans Serif" w:eastAsia="Microsoft Sans Serif" w:hAnsi="Microsoft Sans Serif" w:cs="Microsoft Sans Serif"/>
          <w:b/>
          <w:u w:val="single"/>
        </w:rPr>
        <w:cr/>
      </w:r>
      <w:r w:rsidRPr="005A04D2">
        <w:rPr>
          <w:rFonts w:ascii="Microsoft Sans Serif" w:eastAsia="Microsoft Sans Serif" w:hAnsi="Microsoft Sans Serif" w:cs="Microsoft Sans Serif"/>
        </w:rPr>
        <w:t>LEONARD MOORE</w:t>
      </w:r>
      <w:r w:rsidRPr="005A04D2">
        <w:rPr>
          <w:rFonts w:ascii="Microsoft Sans Serif" w:eastAsia="Microsoft Sans Serif" w:hAnsi="Microsoft Sans Serif" w:cs="Microsoft Sans Serif"/>
        </w:rPr>
        <w:cr/>
        <w:t>5759 KEMBLE AVE</w:t>
      </w:r>
      <w:r w:rsidRPr="005A04D2">
        <w:rPr>
          <w:rFonts w:ascii="Microsoft Sans Serif" w:eastAsia="Microsoft Sans Serif" w:hAnsi="Microsoft Sans Serif" w:cs="Microsoft Sans Serif"/>
        </w:rPr>
        <w:cr/>
        <w:t>PHILADELPHIA PA  19141</w:t>
      </w:r>
      <w:r w:rsidRPr="005A04D2">
        <w:rPr>
          <w:rFonts w:ascii="Microsoft Sans Serif" w:eastAsia="Microsoft Sans Serif" w:hAnsi="Microsoft Sans Serif" w:cs="Microsoft Sans Serif"/>
        </w:rPr>
        <w:cr/>
      </w:r>
      <w:r w:rsidRPr="005A04D2">
        <w:rPr>
          <w:rFonts w:ascii="Microsoft Sans Serif" w:eastAsia="Microsoft Sans Serif" w:hAnsi="Microsoft Sans Serif" w:cs="Microsoft Sans Serif"/>
          <w:b/>
          <w:bCs/>
        </w:rPr>
        <w:t>215.548.3141</w:t>
      </w:r>
      <w:r w:rsidRPr="005A04D2">
        <w:rPr>
          <w:rFonts w:ascii="Microsoft Sans Serif" w:eastAsia="Microsoft Sans Serif" w:hAnsi="Microsoft Sans Serif" w:cs="Microsoft Sans Serif"/>
          <w:b/>
          <w:bCs/>
        </w:rPr>
        <w:cr/>
      </w:r>
      <w:r w:rsidRPr="005A04D2">
        <w:rPr>
          <w:rFonts w:ascii="Microsoft Sans Serif" w:eastAsia="Microsoft Sans Serif" w:hAnsi="Microsoft Sans Serif" w:cs="Microsoft Sans Serif"/>
        </w:rPr>
        <w:t>REGINAJAMES389@GMAIL.COM</w:t>
      </w:r>
    </w:p>
    <w:p w14:paraId="63088684" w14:textId="77777777" w:rsidR="005A04D2" w:rsidRPr="005A04D2" w:rsidRDefault="005A04D2" w:rsidP="005A04D2">
      <w:pPr>
        <w:spacing w:after="0" w:line="259" w:lineRule="auto"/>
        <w:rPr>
          <w:rFonts w:ascii="Microsoft Sans Serif" w:eastAsia="Microsoft Sans Serif" w:hAnsi="Microsoft Sans Serif" w:cs="Microsoft Sans Serif"/>
          <w:b/>
          <w:u w:val="single"/>
        </w:rPr>
      </w:pPr>
    </w:p>
    <w:p w14:paraId="591D73AE" w14:textId="77777777" w:rsidR="005A04D2" w:rsidRPr="005A04D2" w:rsidRDefault="005A04D2" w:rsidP="005A04D2">
      <w:pPr>
        <w:spacing w:after="0" w:line="240" w:lineRule="auto"/>
        <w:rPr>
          <w:rFonts w:eastAsia="Times New Roman" w:cs="Times New Roman"/>
          <w:szCs w:val="24"/>
        </w:rPr>
      </w:pPr>
      <w:r w:rsidRPr="005A04D2">
        <w:rPr>
          <w:rFonts w:ascii="Microsoft Sans Serif" w:eastAsia="Microsoft Sans Serif" w:hAnsi="Microsoft Sans Serif" w:cs="Microsoft Sans Serif"/>
        </w:rPr>
        <w:t>GRACIELA CHRISTLIEB ESQUIRE</w:t>
      </w:r>
      <w:r w:rsidRPr="005A04D2">
        <w:rPr>
          <w:rFonts w:ascii="Microsoft Sans Serif" w:eastAsia="Microsoft Sans Serif" w:hAnsi="Microsoft Sans Serif" w:cs="Microsoft Sans Serif"/>
        </w:rPr>
        <w:cr/>
        <w:t>ANITA J MURRAY SENIOR ATTORNEY</w:t>
      </w:r>
      <w:r w:rsidRPr="005A04D2">
        <w:rPr>
          <w:rFonts w:ascii="Microsoft Sans Serif" w:eastAsia="Microsoft Sans Serif" w:hAnsi="Microsoft Sans Serif" w:cs="Microsoft Sans Serif"/>
        </w:rPr>
        <w:br/>
        <w:t>PHILADELPHIA GAS WORKS</w:t>
      </w:r>
      <w:r w:rsidRPr="005A04D2">
        <w:rPr>
          <w:rFonts w:ascii="Microsoft Sans Serif" w:eastAsia="Microsoft Sans Serif" w:hAnsi="Microsoft Sans Serif" w:cs="Microsoft Sans Serif"/>
        </w:rPr>
        <w:cr/>
        <w:t>800 WEST MONTGOMERY AVENUE</w:t>
      </w:r>
      <w:r w:rsidRPr="005A04D2">
        <w:rPr>
          <w:rFonts w:ascii="Microsoft Sans Serif" w:eastAsia="Microsoft Sans Serif" w:hAnsi="Microsoft Sans Serif" w:cs="Microsoft Sans Serif"/>
        </w:rPr>
        <w:cr/>
        <w:t>PHILADELPHIA PA  19122</w:t>
      </w:r>
      <w:r w:rsidRPr="005A04D2">
        <w:rPr>
          <w:rFonts w:ascii="Microsoft Sans Serif" w:eastAsia="Microsoft Sans Serif" w:hAnsi="Microsoft Sans Serif" w:cs="Microsoft Sans Serif"/>
        </w:rPr>
        <w:cr/>
      </w:r>
      <w:r w:rsidRPr="005A04D2">
        <w:rPr>
          <w:rFonts w:ascii="Microsoft Sans Serif" w:eastAsia="Microsoft Sans Serif" w:hAnsi="Microsoft Sans Serif" w:cs="Microsoft Sans Serif"/>
          <w:b/>
          <w:bCs/>
        </w:rPr>
        <w:t>215.684.6164</w:t>
      </w:r>
      <w:r w:rsidRPr="005A04D2">
        <w:rPr>
          <w:rFonts w:ascii="Microsoft Sans Serif" w:eastAsia="Microsoft Sans Serif" w:hAnsi="Microsoft Sans Serif" w:cs="Microsoft Sans Serif"/>
        </w:rPr>
        <w:cr/>
      </w:r>
      <w:r w:rsidRPr="005A04D2">
        <w:rPr>
          <w:rFonts w:ascii="Microsoft Sans Serif" w:eastAsia="Microsoft Sans Serif" w:hAnsi="Microsoft Sans Serif" w:cs="Microsoft Sans Serif"/>
          <w:b/>
          <w:bCs/>
        </w:rPr>
        <w:t>215.684.6659</w:t>
      </w:r>
      <w:r w:rsidRPr="005A04D2">
        <w:rPr>
          <w:rFonts w:eastAsia="Times New Roman" w:cs="Times New Roman"/>
          <w:szCs w:val="24"/>
        </w:rPr>
        <w:t xml:space="preserve"> </w:t>
      </w:r>
    </w:p>
    <w:p w14:paraId="59EBD278" w14:textId="77777777" w:rsidR="005A04D2" w:rsidRPr="005A04D2" w:rsidRDefault="005A04D2" w:rsidP="005A04D2">
      <w:pPr>
        <w:spacing w:after="0" w:line="259" w:lineRule="auto"/>
        <w:rPr>
          <w:rFonts w:ascii="Microsoft Sans Serif" w:eastAsia="Microsoft Sans Serif" w:hAnsi="Microsoft Sans Serif" w:cs="Microsoft Sans Serif"/>
        </w:rPr>
      </w:pPr>
      <w:r w:rsidRPr="005A04D2">
        <w:rPr>
          <w:rFonts w:ascii="Microsoft Sans Serif" w:eastAsia="Microsoft Sans Serif" w:hAnsi="Microsoft Sans Serif" w:cs="Microsoft Sans Serif"/>
        </w:rPr>
        <w:t>GRACIELA.CHRISTLIEB@PGWORKS.COM</w:t>
      </w:r>
      <w:r w:rsidRPr="005A04D2">
        <w:rPr>
          <w:rFonts w:ascii="Microsoft Sans Serif" w:eastAsia="Microsoft Sans Serif" w:hAnsi="Microsoft Sans Serif" w:cs="Microsoft Sans Serif"/>
        </w:rPr>
        <w:cr/>
        <w:t>ANITA.MURRAY@PGWORKS.COM</w:t>
      </w:r>
      <w:r w:rsidRPr="005A04D2">
        <w:rPr>
          <w:rFonts w:ascii="Microsoft Sans Serif" w:eastAsia="Microsoft Sans Serif" w:hAnsi="Microsoft Sans Serif" w:cs="Microsoft Sans Serif"/>
        </w:rPr>
        <w:br/>
        <w:t xml:space="preserve">Accepts </w:t>
      </w:r>
      <w:proofErr w:type="spellStart"/>
      <w:r w:rsidRPr="005A04D2">
        <w:rPr>
          <w:rFonts w:ascii="Microsoft Sans Serif" w:eastAsia="Microsoft Sans Serif" w:hAnsi="Microsoft Sans Serif" w:cs="Microsoft Sans Serif"/>
        </w:rPr>
        <w:t>EService</w:t>
      </w:r>
      <w:proofErr w:type="spellEnd"/>
    </w:p>
    <w:p w14:paraId="46F633E3" w14:textId="77777777" w:rsidR="005A04D2" w:rsidRPr="005A04D2" w:rsidRDefault="005A04D2" w:rsidP="005A04D2">
      <w:pPr>
        <w:spacing w:after="0" w:line="240" w:lineRule="auto"/>
        <w:rPr>
          <w:rFonts w:ascii="Microsoft Sans Serif" w:eastAsia="Microsoft Sans Serif" w:hAnsi="Microsoft Sans Serif" w:cs="Microsoft Sans Serif"/>
        </w:rPr>
      </w:pPr>
    </w:p>
    <w:p w14:paraId="6E3173B0" w14:textId="77777777" w:rsidR="005A04D2" w:rsidRPr="005A04D2" w:rsidRDefault="005A04D2" w:rsidP="005A04D2">
      <w:pPr>
        <w:spacing w:after="0" w:line="259" w:lineRule="auto"/>
        <w:rPr>
          <w:rFonts w:ascii="Calibri" w:eastAsia="Times New Roman" w:hAnsi="Calibri" w:cs="Times New Roman"/>
          <w:sz w:val="22"/>
        </w:rPr>
      </w:pPr>
    </w:p>
    <w:p w14:paraId="69CFD342" w14:textId="77777777" w:rsidR="005A04D2" w:rsidRDefault="005A04D2" w:rsidP="00726998">
      <w:pPr>
        <w:spacing w:after="0"/>
      </w:pPr>
    </w:p>
    <w:sectPr w:rsidR="005A04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BEB6" w14:textId="77777777" w:rsidR="0093575A" w:rsidRDefault="0093575A" w:rsidP="005A04D2">
      <w:pPr>
        <w:spacing w:after="0" w:line="240" w:lineRule="auto"/>
      </w:pPr>
      <w:r>
        <w:separator/>
      </w:r>
    </w:p>
  </w:endnote>
  <w:endnote w:type="continuationSeparator" w:id="0">
    <w:p w14:paraId="74EA9754" w14:textId="77777777" w:rsidR="0093575A" w:rsidRDefault="0093575A" w:rsidP="005A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25300367"/>
      <w:docPartObj>
        <w:docPartGallery w:val="Page Numbers (Bottom of Page)"/>
        <w:docPartUnique/>
      </w:docPartObj>
    </w:sdtPr>
    <w:sdtEndPr>
      <w:rPr>
        <w:noProof/>
      </w:rPr>
    </w:sdtEndPr>
    <w:sdtContent>
      <w:p w14:paraId="75A8ED84" w14:textId="63688E77" w:rsidR="005A04D2" w:rsidRPr="005A04D2" w:rsidRDefault="005A04D2" w:rsidP="005A04D2">
        <w:pPr>
          <w:pStyle w:val="Footer"/>
          <w:jc w:val="center"/>
          <w:rPr>
            <w:sz w:val="20"/>
            <w:szCs w:val="20"/>
          </w:rPr>
        </w:pPr>
        <w:r w:rsidRPr="005A04D2">
          <w:rPr>
            <w:sz w:val="20"/>
            <w:szCs w:val="20"/>
          </w:rPr>
          <w:fldChar w:fldCharType="begin"/>
        </w:r>
        <w:r w:rsidRPr="005A04D2">
          <w:rPr>
            <w:sz w:val="20"/>
            <w:szCs w:val="20"/>
          </w:rPr>
          <w:instrText xml:space="preserve"> PAGE   \* MERGEFORMAT </w:instrText>
        </w:r>
        <w:r w:rsidRPr="005A04D2">
          <w:rPr>
            <w:sz w:val="20"/>
            <w:szCs w:val="20"/>
          </w:rPr>
          <w:fldChar w:fldCharType="separate"/>
        </w:r>
        <w:r w:rsidRPr="005A04D2">
          <w:rPr>
            <w:noProof/>
            <w:sz w:val="20"/>
            <w:szCs w:val="20"/>
          </w:rPr>
          <w:t>2</w:t>
        </w:r>
        <w:r w:rsidRPr="005A04D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CB2D" w14:textId="47AB4678" w:rsidR="005A04D2" w:rsidRPr="005A04D2" w:rsidRDefault="005A04D2" w:rsidP="005A04D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E942" w14:textId="77777777" w:rsidR="0093575A" w:rsidRDefault="0093575A" w:rsidP="005A04D2">
      <w:pPr>
        <w:spacing w:after="0" w:line="240" w:lineRule="auto"/>
      </w:pPr>
      <w:r>
        <w:separator/>
      </w:r>
    </w:p>
  </w:footnote>
  <w:footnote w:type="continuationSeparator" w:id="0">
    <w:p w14:paraId="47E3F6AC" w14:textId="77777777" w:rsidR="0093575A" w:rsidRDefault="0093575A" w:rsidP="005A0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A096D"/>
    <w:multiLevelType w:val="hybridMultilevel"/>
    <w:tmpl w:val="FF10AD44"/>
    <w:lvl w:ilvl="0" w:tplc="88B044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1"/>
  </w:num>
  <w:num w:numId="2" w16cid:durableId="434331319">
    <w:abstractNumId w:val="21"/>
  </w:num>
  <w:num w:numId="3" w16cid:durableId="700204405">
    <w:abstractNumId w:val="29"/>
  </w:num>
  <w:num w:numId="4" w16cid:durableId="1443763581">
    <w:abstractNumId w:val="33"/>
  </w:num>
  <w:num w:numId="5" w16cid:durableId="1888641000">
    <w:abstractNumId w:val="11"/>
  </w:num>
  <w:num w:numId="6" w16cid:durableId="771897392">
    <w:abstractNumId w:val="8"/>
  </w:num>
  <w:num w:numId="7" w16cid:durableId="401686284">
    <w:abstractNumId w:val="6"/>
  </w:num>
  <w:num w:numId="8" w16cid:durableId="905720563">
    <w:abstractNumId w:val="32"/>
  </w:num>
  <w:num w:numId="9" w16cid:durableId="76749609">
    <w:abstractNumId w:val="3"/>
  </w:num>
  <w:num w:numId="10" w16cid:durableId="1172405981">
    <w:abstractNumId w:val="23"/>
  </w:num>
  <w:num w:numId="11" w16cid:durableId="1312253715">
    <w:abstractNumId w:val="28"/>
  </w:num>
  <w:num w:numId="12" w16cid:durableId="10184379">
    <w:abstractNumId w:val="17"/>
  </w:num>
  <w:num w:numId="13" w16cid:durableId="529227091">
    <w:abstractNumId w:val="25"/>
  </w:num>
  <w:num w:numId="14" w16cid:durableId="2083213294">
    <w:abstractNumId w:val="30"/>
  </w:num>
  <w:num w:numId="15" w16cid:durableId="103304739">
    <w:abstractNumId w:val="0"/>
  </w:num>
  <w:num w:numId="16" w16cid:durableId="1268391741">
    <w:abstractNumId w:val="22"/>
  </w:num>
  <w:num w:numId="17" w16cid:durableId="1737705955">
    <w:abstractNumId w:val="22"/>
  </w:num>
  <w:num w:numId="18" w16cid:durableId="2065447608">
    <w:abstractNumId w:val="10"/>
  </w:num>
  <w:num w:numId="19" w16cid:durableId="240335003">
    <w:abstractNumId w:val="18"/>
  </w:num>
  <w:num w:numId="20" w16cid:durableId="1699697877">
    <w:abstractNumId w:val="34"/>
  </w:num>
  <w:num w:numId="21" w16cid:durableId="1433433638">
    <w:abstractNumId w:val="15"/>
  </w:num>
  <w:num w:numId="22" w16cid:durableId="1235362085">
    <w:abstractNumId w:val="5"/>
  </w:num>
  <w:num w:numId="23" w16cid:durableId="1143349798">
    <w:abstractNumId w:val="16"/>
  </w:num>
  <w:num w:numId="24" w16cid:durableId="638923867">
    <w:abstractNumId w:val="37"/>
  </w:num>
  <w:num w:numId="25" w16cid:durableId="1407266254">
    <w:abstractNumId w:val="1"/>
  </w:num>
  <w:num w:numId="26" w16cid:durableId="1634946696">
    <w:abstractNumId w:val="7"/>
  </w:num>
  <w:num w:numId="27" w16cid:durableId="1395852139">
    <w:abstractNumId w:val="27"/>
  </w:num>
  <w:num w:numId="28" w16cid:durableId="1694070323">
    <w:abstractNumId w:val="14"/>
  </w:num>
  <w:num w:numId="29" w16cid:durableId="722409651">
    <w:abstractNumId w:val="9"/>
  </w:num>
  <w:num w:numId="30" w16cid:durableId="1882018023">
    <w:abstractNumId w:val="20"/>
  </w:num>
  <w:num w:numId="31" w16cid:durableId="1653749281">
    <w:abstractNumId w:val="35"/>
  </w:num>
  <w:num w:numId="32" w16cid:durableId="1057171494">
    <w:abstractNumId w:val="36"/>
  </w:num>
  <w:num w:numId="33" w16cid:durableId="1563904577">
    <w:abstractNumId w:val="26"/>
  </w:num>
  <w:num w:numId="34" w16cid:durableId="1325668127">
    <w:abstractNumId w:val="4"/>
  </w:num>
  <w:num w:numId="35" w16cid:durableId="1633827708">
    <w:abstractNumId w:val="19"/>
  </w:num>
  <w:num w:numId="36" w16cid:durableId="722096734">
    <w:abstractNumId w:val="2"/>
  </w:num>
  <w:num w:numId="37" w16cid:durableId="50353854">
    <w:abstractNumId w:val="12"/>
  </w:num>
  <w:num w:numId="38" w16cid:durableId="1740320400">
    <w:abstractNumId w:val="24"/>
  </w:num>
  <w:num w:numId="39" w16cid:durableId="1583250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43CEA"/>
    <w:rsid w:val="00004C37"/>
    <w:rsid w:val="000066B3"/>
    <w:rsid w:val="00066D87"/>
    <w:rsid w:val="00083973"/>
    <w:rsid w:val="000E233F"/>
    <w:rsid w:val="000E3EDE"/>
    <w:rsid w:val="00107E82"/>
    <w:rsid w:val="001A21B6"/>
    <w:rsid w:val="001B1CBA"/>
    <w:rsid w:val="001D2AF7"/>
    <w:rsid w:val="00207743"/>
    <w:rsid w:val="00213167"/>
    <w:rsid w:val="002512F9"/>
    <w:rsid w:val="00267405"/>
    <w:rsid w:val="002C697B"/>
    <w:rsid w:val="003145FA"/>
    <w:rsid w:val="00367A41"/>
    <w:rsid w:val="00393C92"/>
    <w:rsid w:val="003A1A41"/>
    <w:rsid w:val="003A3E09"/>
    <w:rsid w:val="00417566"/>
    <w:rsid w:val="00471394"/>
    <w:rsid w:val="004D523C"/>
    <w:rsid w:val="005A04D2"/>
    <w:rsid w:val="005A1C17"/>
    <w:rsid w:val="005A20B8"/>
    <w:rsid w:val="005A2ABA"/>
    <w:rsid w:val="005D180A"/>
    <w:rsid w:val="005E7B69"/>
    <w:rsid w:val="00613EA9"/>
    <w:rsid w:val="0061775F"/>
    <w:rsid w:val="00696C0D"/>
    <w:rsid w:val="006C6A0D"/>
    <w:rsid w:val="006F0329"/>
    <w:rsid w:val="00700807"/>
    <w:rsid w:val="00712E58"/>
    <w:rsid w:val="00726998"/>
    <w:rsid w:val="007407AC"/>
    <w:rsid w:val="00755D72"/>
    <w:rsid w:val="00792796"/>
    <w:rsid w:val="00796B64"/>
    <w:rsid w:val="007D3FDA"/>
    <w:rsid w:val="007E6779"/>
    <w:rsid w:val="00820B4C"/>
    <w:rsid w:val="0083239D"/>
    <w:rsid w:val="00850188"/>
    <w:rsid w:val="008529D2"/>
    <w:rsid w:val="0088105E"/>
    <w:rsid w:val="00917DCA"/>
    <w:rsid w:val="00926DE3"/>
    <w:rsid w:val="0093575A"/>
    <w:rsid w:val="009C7C72"/>
    <w:rsid w:val="00A43CEA"/>
    <w:rsid w:val="00A47096"/>
    <w:rsid w:val="00AA2EC5"/>
    <w:rsid w:val="00AB4C73"/>
    <w:rsid w:val="00AD27C0"/>
    <w:rsid w:val="00AE6F47"/>
    <w:rsid w:val="00B91E47"/>
    <w:rsid w:val="00BC6B21"/>
    <w:rsid w:val="00C04D8A"/>
    <w:rsid w:val="00C65884"/>
    <w:rsid w:val="00C87E57"/>
    <w:rsid w:val="00CF6143"/>
    <w:rsid w:val="00D14843"/>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8A95"/>
  <w15:chartTrackingRefBased/>
  <w15:docId w15:val="{13D7853E-5399-4CDF-A069-C927A066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CEA"/>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uiPriority w:val="34"/>
    <w:qFormat/>
    <w:rsid w:val="002C697B"/>
    <w:pPr>
      <w:numPr>
        <w:numId w:val="39"/>
      </w:numPr>
      <w:spacing w:after="100" w:afterAutospacing="1"/>
      <w:ind w:left="0" w:firstLine="1152"/>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2C697B"/>
    <w:rPr>
      <w:rFonts w:eastAsia="Times New Roman"/>
      <w:szCs w:val="24"/>
    </w:rPr>
  </w:style>
  <w:style w:type="paragraph" w:styleId="Header">
    <w:name w:val="header"/>
    <w:basedOn w:val="Normal"/>
    <w:link w:val="HeaderChar"/>
    <w:uiPriority w:val="99"/>
    <w:unhideWhenUsed/>
    <w:rsid w:val="005A0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4D2"/>
    <w:rPr>
      <w:rFonts w:cstheme="minorBidi"/>
      <w:szCs w:val="22"/>
    </w:rPr>
  </w:style>
  <w:style w:type="paragraph" w:styleId="Footer">
    <w:name w:val="footer"/>
    <w:basedOn w:val="Normal"/>
    <w:link w:val="FooterChar"/>
    <w:uiPriority w:val="99"/>
    <w:unhideWhenUsed/>
    <w:rsid w:val="005A0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4D2"/>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3</cp:revision>
  <dcterms:created xsi:type="dcterms:W3CDTF">2022-12-13T17:34:00Z</dcterms:created>
  <dcterms:modified xsi:type="dcterms:W3CDTF">2022-12-13T17:34:00Z</dcterms:modified>
</cp:coreProperties>
</file>