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CA63" w14:textId="77777777" w:rsidR="00952AC8" w:rsidRPr="00E0558A" w:rsidRDefault="00952AC8" w:rsidP="00952AC8">
      <w:pPr>
        <w:autoSpaceDE w:val="0"/>
        <w:autoSpaceDN w:val="0"/>
        <w:spacing w:after="0" w:line="240" w:lineRule="auto"/>
        <w:jc w:val="center"/>
        <w:rPr>
          <w:rFonts w:ascii="Times New Roman" w:eastAsia="Times New Roman" w:hAnsi="Times New Roman" w:cs="Times New Roman"/>
          <w:b/>
          <w:sz w:val="24"/>
          <w:szCs w:val="24"/>
        </w:rPr>
      </w:pPr>
      <w:r w:rsidRPr="00E0558A">
        <w:rPr>
          <w:rFonts w:ascii="Times New Roman" w:eastAsia="Times New Roman" w:hAnsi="Times New Roman" w:cs="Times New Roman"/>
          <w:b/>
          <w:sz w:val="24"/>
          <w:szCs w:val="24"/>
        </w:rPr>
        <w:t>BEFORE THE</w:t>
      </w:r>
    </w:p>
    <w:p w14:paraId="09DB0F2F" w14:textId="77777777" w:rsidR="00952AC8" w:rsidRPr="00E0558A" w:rsidRDefault="00952AC8" w:rsidP="00952AC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0558A">
        <w:rPr>
          <w:rFonts w:ascii="Times New Roman" w:eastAsia="Times New Roman" w:hAnsi="Times New Roman" w:cs="Times New Roman"/>
          <w:b/>
          <w:bCs/>
          <w:spacing w:val="-3"/>
          <w:sz w:val="24"/>
          <w:szCs w:val="24"/>
        </w:rPr>
        <w:t>PENNSYLVANIA PUBLIC UTILITY COMMISSION</w:t>
      </w:r>
    </w:p>
    <w:p w14:paraId="33E24209" w14:textId="400C4888" w:rsidR="00952AC8" w:rsidRDefault="00952AC8" w:rsidP="00952AC8">
      <w:pPr>
        <w:autoSpaceDE w:val="0"/>
        <w:autoSpaceDN w:val="0"/>
        <w:spacing w:after="0" w:line="240" w:lineRule="auto"/>
        <w:rPr>
          <w:rFonts w:ascii="Times New Roman" w:eastAsia="Times New Roman" w:hAnsi="Times New Roman" w:cs="Times New Roman"/>
          <w:spacing w:val="-3"/>
          <w:sz w:val="24"/>
          <w:szCs w:val="24"/>
        </w:rPr>
      </w:pPr>
    </w:p>
    <w:p w14:paraId="3247528A" w14:textId="77777777" w:rsidR="002F7EA6" w:rsidRPr="00E0558A" w:rsidRDefault="002F7EA6" w:rsidP="00952AC8">
      <w:pPr>
        <w:autoSpaceDE w:val="0"/>
        <w:autoSpaceDN w:val="0"/>
        <w:spacing w:after="0" w:line="240" w:lineRule="auto"/>
        <w:rPr>
          <w:rFonts w:ascii="Times New Roman" w:eastAsia="Times New Roman" w:hAnsi="Times New Roman" w:cs="Times New Roman"/>
          <w:spacing w:val="-3"/>
          <w:sz w:val="24"/>
          <w:szCs w:val="24"/>
        </w:rPr>
      </w:pPr>
    </w:p>
    <w:p w14:paraId="0A0C2372" w14:textId="77777777" w:rsidR="00952AC8" w:rsidRPr="00E0558A" w:rsidRDefault="00952AC8" w:rsidP="00952AC8">
      <w:pPr>
        <w:autoSpaceDE w:val="0"/>
        <w:autoSpaceDN w:val="0"/>
        <w:spacing w:after="0" w:line="240" w:lineRule="auto"/>
        <w:rPr>
          <w:rFonts w:ascii="Times New Roman" w:eastAsia="Times New Roman" w:hAnsi="Times New Roman" w:cs="Times New Roman"/>
          <w:spacing w:val="-3"/>
          <w:sz w:val="24"/>
          <w:szCs w:val="24"/>
        </w:rPr>
      </w:pPr>
    </w:p>
    <w:p w14:paraId="0EB88D88" w14:textId="77777777" w:rsidR="00952AC8" w:rsidRPr="00E0558A" w:rsidRDefault="00952AC8" w:rsidP="00952AC8">
      <w:pPr>
        <w:autoSpaceDE w:val="0"/>
        <w:autoSpaceDN w:val="0"/>
        <w:spacing w:after="0" w:line="240" w:lineRule="auto"/>
        <w:ind w:left="5040" w:hanging="5040"/>
        <w:rPr>
          <w:rFonts w:ascii="Times New Roman" w:eastAsia="Times New Roman" w:hAnsi="Times New Roman" w:cs="Times New Roman"/>
          <w:sz w:val="24"/>
          <w:szCs w:val="24"/>
        </w:rPr>
      </w:pPr>
      <w:r w:rsidRPr="00E0558A">
        <w:rPr>
          <w:rFonts w:ascii="Times New Roman" w:eastAsia="Times New Roman" w:hAnsi="Times New Roman" w:cs="Times New Roman"/>
          <w:spacing w:val="-3"/>
          <w:sz w:val="24"/>
          <w:szCs w:val="24"/>
        </w:rPr>
        <w:t xml:space="preserve">SBG </w:t>
      </w:r>
      <w:bookmarkStart w:id="0" w:name="_Hlk121483352"/>
      <w:r w:rsidRPr="00E0558A">
        <w:rPr>
          <w:rFonts w:ascii="Times New Roman" w:eastAsia="Times New Roman" w:hAnsi="Times New Roman" w:cs="Times New Roman"/>
          <w:spacing w:val="-3"/>
          <w:sz w:val="24"/>
          <w:szCs w:val="24"/>
        </w:rPr>
        <w:t xml:space="preserve">Management Services, Inc. </w:t>
      </w:r>
      <w:r w:rsidRPr="00E0558A">
        <w:rPr>
          <w:rFonts w:ascii="Times New Roman" w:eastAsia="Times New Roman" w:hAnsi="Times New Roman" w:cs="Times New Roman"/>
          <w:i/>
          <w:iCs/>
          <w:spacing w:val="-3"/>
          <w:sz w:val="24"/>
          <w:szCs w:val="24"/>
        </w:rPr>
        <w:t>et al.</w:t>
      </w:r>
      <w:bookmarkEnd w:id="0"/>
      <w:r w:rsidRPr="00E0558A">
        <w:rPr>
          <w:rFonts w:ascii="Times New Roman" w:eastAsia="Times New Roman" w:hAnsi="Times New Roman" w:cs="Times New Roman"/>
          <w:i/>
          <w:iCs/>
          <w:spacing w:val="-3"/>
          <w:sz w:val="24"/>
          <w:szCs w:val="24"/>
        </w:rPr>
        <w:tab/>
      </w:r>
      <w:r w:rsidRPr="00E0558A">
        <w:rPr>
          <w:rFonts w:ascii="Times New Roman" w:eastAsia="Times New Roman" w:hAnsi="Times New Roman" w:cs="Times New Roman"/>
          <w:sz w:val="24"/>
          <w:szCs w:val="24"/>
        </w:rPr>
        <w:t>:</w:t>
      </w:r>
      <w:r w:rsidRPr="00E0558A">
        <w:rPr>
          <w:rFonts w:ascii="Times New Roman" w:eastAsia="Times New Roman" w:hAnsi="Times New Roman" w:cs="Times New Roman"/>
          <w:sz w:val="24"/>
          <w:szCs w:val="24"/>
        </w:rPr>
        <w:tab/>
      </w:r>
      <w:r w:rsidRPr="00E0558A">
        <w:rPr>
          <w:rFonts w:ascii="Times New Roman" w:hAnsi="Times New Roman" w:cs="Times New Roman"/>
          <w:sz w:val="24"/>
          <w:szCs w:val="24"/>
        </w:rPr>
        <w:t>C-2012-2304183</w:t>
      </w:r>
      <w:r w:rsidRPr="00E0558A">
        <w:rPr>
          <w:rFonts w:ascii="Times New Roman" w:hAnsi="Times New Roman" w:cs="Times New Roman"/>
          <w:sz w:val="24"/>
          <w:szCs w:val="24"/>
        </w:rPr>
        <w:br/>
        <w:t>:</w:t>
      </w:r>
      <w:r w:rsidRPr="00E0558A">
        <w:rPr>
          <w:rFonts w:ascii="Times New Roman" w:hAnsi="Times New Roman" w:cs="Times New Roman"/>
          <w:sz w:val="24"/>
          <w:szCs w:val="24"/>
        </w:rPr>
        <w:tab/>
        <w:t>C-2012-2304324</w:t>
      </w:r>
      <w:r w:rsidRPr="00E0558A">
        <w:rPr>
          <w:rFonts w:ascii="Times New Roman" w:hAnsi="Times New Roman" w:cs="Times New Roman"/>
          <w:sz w:val="24"/>
          <w:szCs w:val="24"/>
        </w:rPr>
        <w:br/>
        <w:t>:</w:t>
      </w:r>
      <w:r w:rsidRPr="00E0558A">
        <w:rPr>
          <w:rFonts w:ascii="Times New Roman" w:hAnsi="Times New Roman" w:cs="Times New Roman"/>
          <w:sz w:val="24"/>
          <w:szCs w:val="24"/>
        </w:rPr>
        <w:tab/>
        <w:t>C-2015-2486618</w:t>
      </w:r>
      <w:r w:rsidRPr="00E0558A">
        <w:rPr>
          <w:rFonts w:ascii="Times New Roman" w:hAnsi="Times New Roman" w:cs="Times New Roman"/>
          <w:sz w:val="24"/>
          <w:szCs w:val="24"/>
        </w:rPr>
        <w:br/>
        <w:t>:</w:t>
      </w:r>
      <w:r w:rsidRPr="00E0558A">
        <w:rPr>
          <w:rFonts w:ascii="Times New Roman" w:hAnsi="Times New Roman" w:cs="Times New Roman"/>
          <w:sz w:val="24"/>
          <w:szCs w:val="24"/>
        </w:rPr>
        <w:tab/>
        <w:t>C-2015-2486677</w:t>
      </w:r>
      <w:r w:rsidRPr="00E0558A">
        <w:rPr>
          <w:rFonts w:ascii="Times New Roman" w:hAnsi="Times New Roman" w:cs="Times New Roman"/>
          <w:sz w:val="24"/>
          <w:szCs w:val="24"/>
        </w:rPr>
        <w:br/>
        <w:t>:</w:t>
      </w:r>
      <w:r w:rsidRPr="00E0558A">
        <w:rPr>
          <w:rFonts w:ascii="Times New Roman" w:hAnsi="Times New Roman" w:cs="Times New Roman"/>
          <w:sz w:val="24"/>
          <w:szCs w:val="24"/>
        </w:rPr>
        <w:tab/>
        <w:t>C-2015-2486674</w:t>
      </w:r>
      <w:r w:rsidRPr="00E0558A">
        <w:rPr>
          <w:rFonts w:ascii="Times New Roman" w:hAnsi="Times New Roman" w:cs="Times New Roman"/>
          <w:sz w:val="24"/>
          <w:szCs w:val="24"/>
        </w:rPr>
        <w:br/>
        <w:t>:</w:t>
      </w:r>
      <w:r w:rsidRPr="00E0558A">
        <w:rPr>
          <w:rFonts w:ascii="Times New Roman" w:hAnsi="Times New Roman" w:cs="Times New Roman"/>
          <w:sz w:val="24"/>
          <w:szCs w:val="24"/>
        </w:rPr>
        <w:tab/>
        <w:t>C-2015-2486670</w:t>
      </w:r>
    </w:p>
    <w:p w14:paraId="591A47F6" w14:textId="77777777" w:rsidR="00952AC8" w:rsidRPr="00E0558A" w:rsidRDefault="00952AC8" w:rsidP="00952AC8">
      <w:pPr>
        <w:autoSpaceDE w:val="0"/>
        <w:autoSpaceDN w:val="0"/>
        <w:spacing w:after="0" w:line="240" w:lineRule="auto"/>
        <w:ind w:left="1440" w:firstLine="720"/>
        <w:rPr>
          <w:rFonts w:ascii="Times New Roman" w:eastAsia="Times New Roman" w:hAnsi="Times New Roman" w:cs="Times New Roman"/>
          <w:sz w:val="24"/>
          <w:szCs w:val="24"/>
        </w:rPr>
      </w:pPr>
      <w:r w:rsidRPr="00E0558A">
        <w:rPr>
          <w:rFonts w:ascii="Times New Roman" w:hAnsi="Times New Roman" w:cs="Times New Roman"/>
          <w:sz w:val="24"/>
          <w:szCs w:val="24"/>
        </w:rPr>
        <w:t>v.</w:t>
      </w:r>
      <w:r w:rsidRPr="00E0558A">
        <w:rPr>
          <w:rFonts w:ascii="Times New Roman" w:hAnsi="Times New Roman" w:cs="Times New Roman"/>
          <w:sz w:val="24"/>
          <w:szCs w:val="24"/>
        </w:rPr>
        <w:tab/>
      </w:r>
      <w:r w:rsidRPr="00E0558A">
        <w:rPr>
          <w:rFonts w:ascii="Times New Roman" w:hAnsi="Times New Roman" w:cs="Times New Roman"/>
          <w:sz w:val="24"/>
          <w:szCs w:val="24"/>
        </w:rPr>
        <w:tab/>
      </w:r>
      <w:r w:rsidRPr="00E0558A">
        <w:rPr>
          <w:rFonts w:ascii="Times New Roman" w:hAnsi="Times New Roman" w:cs="Times New Roman"/>
          <w:sz w:val="24"/>
          <w:szCs w:val="24"/>
        </w:rPr>
        <w:tab/>
      </w:r>
      <w:r w:rsidRPr="00E0558A">
        <w:rPr>
          <w:rFonts w:ascii="Times New Roman" w:hAnsi="Times New Roman" w:cs="Times New Roman"/>
          <w:sz w:val="24"/>
          <w:szCs w:val="24"/>
        </w:rPr>
        <w:tab/>
        <w:t>:</w:t>
      </w:r>
      <w:r w:rsidRPr="00E0558A">
        <w:rPr>
          <w:rFonts w:ascii="Times New Roman" w:hAnsi="Times New Roman" w:cs="Times New Roman"/>
          <w:sz w:val="24"/>
          <w:szCs w:val="24"/>
        </w:rPr>
        <w:tab/>
        <w:t>C-2015-2486664</w:t>
      </w:r>
    </w:p>
    <w:p w14:paraId="604792FD" w14:textId="77777777" w:rsidR="00952AC8" w:rsidRPr="00E0558A" w:rsidRDefault="00952AC8" w:rsidP="00952AC8">
      <w:pPr>
        <w:spacing w:after="0" w:line="240" w:lineRule="auto"/>
        <w:ind w:left="4320" w:firstLine="720"/>
        <w:rPr>
          <w:rFonts w:ascii="Times New Roman" w:hAnsi="Times New Roman" w:cs="Times New Roman"/>
          <w:sz w:val="24"/>
          <w:szCs w:val="24"/>
        </w:rPr>
      </w:pPr>
      <w:r w:rsidRPr="00E0558A">
        <w:rPr>
          <w:rFonts w:ascii="Times New Roman" w:hAnsi="Times New Roman" w:cs="Times New Roman"/>
          <w:sz w:val="24"/>
          <w:szCs w:val="24"/>
        </w:rPr>
        <w:t>:</w:t>
      </w:r>
      <w:r w:rsidRPr="00E0558A">
        <w:rPr>
          <w:rFonts w:ascii="Times New Roman" w:hAnsi="Times New Roman" w:cs="Times New Roman"/>
          <w:sz w:val="24"/>
          <w:szCs w:val="24"/>
        </w:rPr>
        <w:tab/>
        <w:t>C-2015-2486655</w:t>
      </w:r>
    </w:p>
    <w:p w14:paraId="34DEDFF5" w14:textId="77777777" w:rsidR="00952AC8" w:rsidRPr="00E0558A" w:rsidRDefault="00952AC8" w:rsidP="00952AC8">
      <w:pPr>
        <w:spacing w:after="0" w:line="240" w:lineRule="auto"/>
        <w:ind w:left="4320" w:firstLine="720"/>
        <w:rPr>
          <w:rFonts w:ascii="Times New Roman" w:hAnsi="Times New Roman" w:cs="Times New Roman"/>
          <w:sz w:val="24"/>
          <w:szCs w:val="24"/>
        </w:rPr>
      </w:pPr>
      <w:r w:rsidRPr="00E0558A">
        <w:rPr>
          <w:rFonts w:ascii="Times New Roman" w:hAnsi="Times New Roman" w:cs="Times New Roman"/>
          <w:sz w:val="24"/>
          <w:szCs w:val="24"/>
        </w:rPr>
        <w:t>:</w:t>
      </w:r>
      <w:r w:rsidRPr="00E0558A">
        <w:rPr>
          <w:rFonts w:ascii="Times New Roman" w:hAnsi="Times New Roman" w:cs="Times New Roman"/>
          <w:sz w:val="24"/>
          <w:szCs w:val="24"/>
        </w:rPr>
        <w:tab/>
        <w:t>C-2015-2486648</w:t>
      </w:r>
    </w:p>
    <w:p w14:paraId="654290FE" w14:textId="77777777" w:rsidR="00952AC8" w:rsidRPr="00E0558A" w:rsidRDefault="00952AC8" w:rsidP="00952AC8">
      <w:pPr>
        <w:autoSpaceDE w:val="0"/>
        <w:autoSpaceDN w:val="0"/>
        <w:spacing w:after="0" w:line="240" w:lineRule="auto"/>
        <w:rPr>
          <w:rFonts w:ascii="Times New Roman" w:eastAsia="Times New Roman" w:hAnsi="Times New Roman" w:cs="Times New Roman"/>
          <w:sz w:val="24"/>
          <w:szCs w:val="24"/>
        </w:rPr>
      </w:pPr>
      <w:r w:rsidRPr="00E0558A">
        <w:rPr>
          <w:rFonts w:ascii="Times New Roman" w:eastAsia="Times New Roman" w:hAnsi="Times New Roman" w:cs="Times New Roman"/>
          <w:sz w:val="24"/>
          <w:szCs w:val="24"/>
        </w:rPr>
        <w:t>Philadelphia Gas Works</w:t>
      </w:r>
      <w:r w:rsidRPr="00E0558A">
        <w:rPr>
          <w:rFonts w:ascii="Times New Roman" w:eastAsia="Times New Roman" w:hAnsi="Times New Roman" w:cs="Times New Roman"/>
          <w:sz w:val="24"/>
          <w:szCs w:val="24"/>
        </w:rPr>
        <w:tab/>
      </w:r>
      <w:r w:rsidRPr="00E0558A">
        <w:rPr>
          <w:rFonts w:ascii="Times New Roman" w:eastAsia="Times New Roman" w:hAnsi="Times New Roman" w:cs="Times New Roman"/>
          <w:sz w:val="24"/>
          <w:szCs w:val="24"/>
        </w:rPr>
        <w:tab/>
      </w:r>
      <w:r w:rsidRPr="00E0558A">
        <w:rPr>
          <w:rFonts w:ascii="Times New Roman" w:eastAsia="Times New Roman" w:hAnsi="Times New Roman" w:cs="Times New Roman"/>
          <w:sz w:val="24"/>
          <w:szCs w:val="24"/>
        </w:rPr>
        <w:tab/>
      </w:r>
      <w:r w:rsidRPr="00E0558A">
        <w:rPr>
          <w:rFonts w:ascii="Times New Roman" w:eastAsia="Times New Roman" w:hAnsi="Times New Roman" w:cs="Times New Roman"/>
          <w:sz w:val="24"/>
          <w:szCs w:val="24"/>
        </w:rPr>
        <w:tab/>
      </w:r>
      <w:r w:rsidRPr="00E0558A">
        <w:rPr>
          <w:rFonts w:ascii="Times New Roman" w:hAnsi="Times New Roman" w:cs="Times New Roman"/>
          <w:sz w:val="24"/>
          <w:szCs w:val="24"/>
        </w:rPr>
        <w:t>:</w:t>
      </w:r>
      <w:r w:rsidRPr="00E0558A">
        <w:rPr>
          <w:rFonts w:ascii="Times New Roman" w:hAnsi="Times New Roman" w:cs="Times New Roman"/>
          <w:sz w:val="24"/>
          <w:szCs w:val="24"/>
        </w:rPr>
        <w:tab/>
        <w:t>C-2015-2486674</w:t>
      </w:r>
    </w:p>
    <w:p w14:paraId="45C15C0E" w14:textId="77777777" w:rsidR="00952AC8" w:rsidRPr="00E0558A" w:rsidRDefault="00952AC8" w:rsidP="006640E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5F561A0" w14:textId="77777777" w:rsidR="00952AC8" w:rsidRPr="00E0558A" w:rsidRDefault="00952AC8" w:rsidP="006640E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1AEF71D" w14:textId="77777777" w:rsidR="00952AC8" w:rsidRPr="00E0558A" w:rsidRDefault="00952AC8" w:rsidP="006640E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04AF205" w14:textId="574C559F" w:rsidR="00952AC8" w:rsidRPr="00E0558A" w:rsidRDefault="00952AC8" w:rsidP="006640E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E0558A">
        <w:rPr>
          <w:rFonts w:ascii="Times New Roman" w:eastAsia="Times New Roman" w:hAnsi="Times New Roman" w:cs="Times New Roman"/>
          <w:b/>
          <w:bCs/>
          <w:spacing w:val="-3"/>
          <w:sz w:val="24"/>
          <w:szCs w:val="24"/>
          <w:u w:val="single"/>
        </w:rPr>
        <w:t>ORDER ON PARTIAL MOTION TO DISMISS</w:t>
      </w:r>
    </w:p>
    <w:p w14:paraId="51967278" w14:textId="77777777" w:rsidR="00952AC8" w:rsidRPr="00E0558A" w:rsidRDefault="00952AC8" w:rsidP="00A96B3C">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E293628" w14:textId="6CCDBD71" w:rsidR="00952AC8" w:rsidRPr="00E0558A" w:rsidRDefault="00952AC8" w:rsidP="00E86BE1">
      <w:pPr>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 xml:space="preserve">There are two issues remaining in this proceeding: </w:t>
      </w:r>
      <w:r w:rsidRPr="00E0558A">
        <w:rPr>
          <w:rFonts w:ascii="Times New Roman" w:hAnsi="Times New Roman" w:cs="Times New Roman"/>
          <w:b/>
          <w:bCs/>
          <w:sz w:val="24"/>
          <w:szCs w:val="24"/>
        </w:rPr>
        <w:t>1)</w:t>
      </w:r>
      <w:r w:rsidRPr="00E0558A">
        <w:rPr>
          <w:rFonts w:ascii="Times New Roman" w:hAnsi="Times New Roman" w:cs="Times New Roman"/>
          <w:sz w:val="24"/>
          <w:szCs w:val="24"/>
        </w:rPr>
        <w:t xml:space="preserve"> determining the amount </w:t>
      </w:r>
      <w:r w:rsidR="00AC44D0" w:rsidRPr="00E0558A">
        <w:rPr>
          <w:rFonts w:ascii="Times New Roman" w:hAnsi="Times New Roman" w:cs="Times New Roman"/>
          <w:sz w:val="24"/>
          <w:szCs w:val="24"/>
        </w:rPr>
        <w:t xml:space="preserve">the </w:t>
      </w:r>
      <w:r w:rsidRPr="00E0558A">
        <w:rPr>
          <w:rFonts w:ascii="Times New Roman" w:hAnsi="Times New Roman" w:cs="Times New Roman"/>
          <w:sz w:val="24"/>
          <w:szCs w:val="24"/>
        </w:rPr>
        <w:t xml:space="preserve">Complainants are entitled to </w:t>
      </w:r>
      <w:r w:rsidR="00445039" w:rsidRPr="00E0558A">
        <w:rPr>
          <w:rFonts w:ascii="Times New Roman" w:hAnsi="Times New Roman" w:cs="Times New Roman"/>
          <w:sz w:val="24"/>
          <w:szCs w:val="24"/>
        </w:rPr>
        <w:t xml:space="preserve">receive </w:t>
      </w:r>
      <w:r w:rsidRPr="00E0558A">
        <w:rPr>
          <w:rFonts w:ascii="Times New Roman" w:hAnsi="Times New Roman" w:cs="Times New Roman"/>
          <w:sz w:val="24"/>
          <w:szCs w:val="24"/>
        </w:rPr>
        <w:t xml:space="preserve">because of </w:t>
      </w:r>
      <w:r w:rsidR="00445039" w:rsidRPr="00E0558A">
        <w:rPr>
          <w:rFonts w:ascii="Times New Roman" w:hAnsi="Times New Roman" w:cs="Times New Roman"/>
          <w:sz w:val="24"/>
          <w:szCs w:val="24"/>
        </w:rPr>
        <w:t>PGW’s</w:t>
      </w:r>
      <w:r w:rsidR="002B4C0B" w:rsidRPr="00E0558A">
        <w:rPr>
          <w:rFonts w:ascii="Times New Roman" w:hAnsi="Times New Roman" w:cs="Times New Roman"/>
          <w:sz w:val="24"/>
          <w:szCs w:val="24"/>
        </w:rPr>
        <w:t xml:space="preserve"> improper</w:t>
      </w:r>
      <w:r w:rsidR="00445039"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application of partial payments; and </w:t>
      </w:r>
      <w:r w:rsidRPr="00E0558A">
        <w:rPr>
          <w:rFonts w:ascii="Times New Roman" w:hAnsi="Times New Roman" w:cs="Times New Roman"/>
          <w:b/>
          <w:bCs/>
          <w:sz w:val="24"/>
          <w:szCs w:val="24"/>
        </w:rPr>
        <w:t>2)</w:t>
      </w:r>
      <w:r w:rsidRPr="00E0558A">
        <w:rPr>
          <w:rFonts w:ascii="Times New Roman" w:hAnsi="Times New Roman" w:cs="Times New Roman"/>
          <w:sz w:val="24"/>
          <w:szCs w:val="24"/>
        </w:rPr>
        <w:t xml:space="preserve"> the amount Complainants are entitled to </w:t>
      </w:r>
      <w:r w:rsidR="008429B1" w:rsidRPr="00E0558A">
        <w:rPr>
          <w:rFonts w:ascii="Times New Roman" w:hAnsi="Times New Roman" w:cs="Times New Roman"/>
          <w:sz w:val="24"/>
          <w:szCs w:val="24"/>
        </w:rPr>
        <w:t xml:space="preserve">receive </w:t>
      </w:r>
      <w:r w:rsidRPr="00E0558A">
        <w:rPr>
          <w:rFonts w:ascii="Times New Roman" w:hAnsi="Times New Roman" w:cs="Times New Roman"/>
          <w:sz w:val="24"/>
          <w:szCs w:val="24"/>
        </w:rPr>
        <w:t xml:space="preserve">as a result of the Supreme Court’s decision in </w:t>
      </w:r>
      <w:bookmarkStart w:id="1" w:name="_Hlk121394852"/>
      <w:r w:rsidR="0025717E" w:rsidRPr="00E0558A">
        <w:rPr>
          <w:rFonts w:ascii="Times New Roman" w:hAnsi="Times New Roman" w:cs="Times New Roman"/>
          <w:i/>
          <w:iCs/>
          <w:sz w:val="24"/>
          <w:szCs w:val="24"/>
        </w:rPr>
        <w:t>PGW v. PUC</w:t>
      </w:r>
      <w:r w:rsidR="0025717E" w:rsidRPr="00E0558A">
        <w:rPr>
          <w:rFonts w:ascii="Times New Roman" w:hAnsi="Times New Roman" w:cs="Times New Roman"/>
          <w:sz w:val="24"/>
          <w:szCs w:val="24"/>
        </w:rPr>
        <w:t>, 249 A.3d 963 (Pa. 2021) (“</w:t>
      </w:r>
      <w:r w:rsidR="0025717E" w:rsidRPr="00E0558A">
        <w:rPr>
          <w:rFonts w:ascii="Times New Roman" w:hAnsi="Times New Roman" w:cs="Times New Roman"/>
          <w:i/>
          <w:iCs/>
          <w:sz w:val="24"/>
          <w:szCs w:val="24"/>
        </w:rPr>
        <w:t>PGW II</w:t>
      </w:r>
      <w:r w:rsidR="0025717E" w:rsidRPr="00E0558A">
        <w:rPr>
          <w:rFonts w:ascii="Times New Roman" w:hAnsi="Times New Roman" w:cs="Times New Roman"/>
          <w:sz w:val="24"/>
          <w:szCs w:val="24"/>
        </w:rPr>
        <w:t>”)</w:t>
      </w:r>
      <w:bookmarkEnd w:id="1"/>
      <w:r w:rsidRPr="00E0558A">
        <w:rPr>
          <w:rFonts w:ascii="Times New Roman" w:hAnsi="Times New Roman" w:cs="Times New Roman"/>
          <w:sz w:val="24"/>
          <w:szCs w:val="24"/>
        </w:rPr>
        <w:t xml:space="preserve"> holding that docketed municipal liens are “the equivalent of a final resolution of a claim between parties” and are “treated in the same manner as a judgment that has been rendered following an adjudicative process.”</w:t>
      </w:r>
      <w:r w:rsidR="001F0608" w:rsidRPr="00E0558A">
        <w:rPr>
          <w:rStyle w:val="FootnoteReference"/>
          <w:rFonts w:ascii="Times New Roman" w:hAnsi="Times New Roman" w:cs="Times New Roman"/>
          <w:i/>
          <w:iCs/>
          <w:sz w:val="24"/>
          <w:szCs w:val="24"/>
        </w:rPr>
        <w:t xml:space="preserve"> </w:t>
      </w:r>
      <w:r w:rsidR="001F0608" w:rsidRPr="00E0558A">
        <w:rPr>
          <w:rStyle w:val="FootnoteReference"/>
          <w:rFonts w:ascii="Times New Roman" w:hAnsi="Times New Roman" w:cs="Times New Roman"/>
          <w:i/>
          <w:iCs/>
          <w:sz w:val="24"/>
          <w:szCs w:val="24"/>
        </w:rPr>
        <w:footnoteReference w:id="1"/>
      </w:r>
      <w:r w:rsidR="00194963" w:rsidRPr="00E0558A">
        <w:rPr>
          <w:rFonts w:ascii="Times New Roman" w:eastAsia="Cambria" w:hAnsi="Times New Roman" w:cs="Times New Roman"/>
          <w:sz w:val="24"/>
          <w:szCs w:val="24"/>
        </w:rPr>
        <w:t xml:space="preserve"> </w:t>
      </w:r>
    </w:p>
    <w:p w14:paraId="16B5CC78" w14:textId="77777777" w:rsidR="00E86BE1" w:rsidRPr="00E0558A" w:rsidRDefault="00E86BE1" w:rsidP="008429B1">
      <w:pPr>
        <w:pStyle w:val="IndentParagraph"/>
        <w:spacing w:line="240" w:lineRule="auto"/>
        <w:ind w:firstLine="1440"/>
        <w:rPr>
          <w:rFonts w:ascii="Times New Roman" w:hAnsi="Times New Roman" w:cs="Times New Roman"/>
        </w:rPr>
      </w:pPr>
    </w:p>
    <w:p w14:paraId="688E6074" w14:textId="57EE9DE8" w:rsidR="006640E5" w:rsidRPr="00E0558A" w:rsidRDefault="00952AC8" w:rsidP="009537E9">
      <w:pPr>
        <w:pStyle w:val="IndentParagraph"/>
        <w:spacing w:line="360" w:lineRule="auto"/>
        <w:ind w:firstLine="1440"/>
        <w:rPr>
          <w:rFonts w:ascii="Times New Roman" w:hAnsi="Times New Roman" w:cs="Times New Roman"/>
        </w:rPr>
      </w:pPr>
      <w:r w:rsidRPr="00E0558A">
        <w:rPr>
          <w:rFonts w:ascii="Times New Roman" w:hAnsi="Times New Roman" w:cs="Times New Roman"/>
        </w:rPr>
        <w:t>The second issue is the subject of a Partial Motion to Dismiss filed by PGW on October 14, 2022</w:t>
      </w:r>
      <w:r w:rsidR="00DE794D" w:rsidRPr="00E0558A">
        <w:rPr>
          <w:rFonts w:ascii="Times New Roman" w:hAnsi="Times New Roman" w:cs="Times New Roman"/>
        </w:rPr>
        <w:t xml:space="preserve"> (Motion)</w:t>
      </w:r>
      <w:r w:rsidRPr="00E0558A">
        <w:rPr>
          <w:rFonts w:ascii="Times New Roman" w:hAnsi="Times New Roman" w:cs="Times New Roman"/>
        </w:rPr>
        <w:t>.</w:t>
      </w:r>
      <w:r w:rsidRPr="00E0558A">
        <w:rPr>
          <w:rStyle w:val="FootnoteReference"/>
          <w:rFonts w:ascii="Times New Roman" w:hAnsi="Times New Roman" w:cs="Times New Roman"/>
        </w:rPr>
        <w:footnoteReference w:id="2"/>
      </w:r>
      <w:r w:rsidR="00DE794D" w:rsidRPr="00E0558A">
        <w:rPr>
          <w:rFonts w:ascii="Times New Roman" w:hAnsi="Times New Roman" w:cs="Times New Roman"/>
        </w:rPr>
        <w:t xml:space="preserve">  </w:t>
      </w:r>
      <w:r w:rsidR="006640E5" w:rsidRPr="00E0558A">
        <w:rPr>
          <w:rFonts w:ascii="Times New Roman" w:hAnsi="Times New Roman" w:cs="Times New Roman"/>
        </w:rPr>
        <w:t xml:space="preserve">In its Motion, </w:t>
      </w:r>
      <w:r w:rsidR="00775AA5" w:rsidRPr="00E0558A">
        <w:rPr>
          <w:rFonts w:ascii="Times New Roman" w:hAnsi="Times New Roman" w:cs="Times New Roman"/>
        </w:rPr>
        <w:t>PGW argues that:</w:t>
      </w:r>
      <w:r w:rsidR="00775AA5" w:rsidRPr="00E0558A">
        <w:rPr>
          <w:rFonts w:ascii="Times New Roman" w:hAnsi="Times New Roman" w:cs="Times New Roman"/>
          <w:b/>
          <w:bCs/>
        </w:rPr>
        <w:t xml:space="preserve"> 1)</w:t>
      </w:r>
      <w:r w:rsidR="006640E5" w:rsidRPr="00E0558A">
        <w:rPr>
          <w:rFonts w:ascii="Times New Roman" w:hAnsi="Times New Roman" w:cs="Times New Roman"/>
          <w:b/>
          <w:bCs/>
        </w:rPr>
        <w:t xml:space="preserve"> </w:t>
      </w:r>
      <w:r w:rsidR="006640E5" w:rsidRPr="00E0558A">
        <w:rPr>
          <w:rFonts w:ascii="Times New Roman" w:hAnsi="Times New Roman" w:cs="Times New Roman"/>
        </w:rPr>
        <w:t xml:space="preserve">the Commission lacks subject matter jurisdiction to adjudicate the claims of </w:t>
      </w:r>
      <w:r w:rsidR="008429B1" w:rsidRPr="00E0558A">
        <w:rPr>
          <w:rFonts w:ascii="Times New Roman" w:hAnsi="Times New Roman" w:cs="Times New Roman"/>
        </w:rPr>
        <w:t xml:space="preserve">the </w:t>
      </w:r>
      <w:r w:rsidR="006640E5" w:rsidRPr="00E0558A">
        <w:rPr>
          <w:rFonts w:ascii="Times New Roman" w:hAnsi="Times New Roman" w:cs="Times New Roman"/>
        </w:rPr>
        <w:t>Complainants having to do with interest charged on docketed municipal liens/judgments</w:t>
      </w:r>
      <w:r w:rsidR="00B633FB" w:rsidRPr="00E0558A">
        <w:rPr>
          <w:rFonts w:ascii="Times New Roman" w:hAnsi="Times New Roman" w:cs="Times New Roman"/>
        </w:rPr>
        <w:t>;</w:t>
      </w:r>
      <w:r w:rsidR="006640E5" w:rsidRPr="00E0558A">
        <w:rPr>
          <w:rFonts w:ascii="Times New Roman" w:hAnsi="Times New Roman" w:cs="Times New Roman"/>
        </w:rPr>
        <w:t xml:space="preserve"> </w:t>
      </w:r>
      <w:r w:rsidR="00B633FB" w:rsidRPr="00E0558A">
        <w:rPr>
          <w:rFonts w:ascii="Times New Roman" w:hAnsi="Times New Roman" w:cs="Times New Roman"/>
          <w:b/>
          <w:bCs/>
        </w:rPr>
        <w:t>2)</w:t>
      </w:r>
      <w:r w:rsidR="00202C07" w:rsidRPr="00E0558A">
        <w:rPr>
          <w:rFonts w:ascii="Times New Roman" w:hAnsi="Times New Roman" w:cs="Times New Roman"/>
          <w:b/>
          <w:bCs/>
        </w:rPr>
        <w:t xml:space="preserve"> </w:t>
      </w:r>
      <w:r w:rsidR="006640E5" w:rsidRPr="00E0558A">
        <w:rPr>
          <w:rFonts w:ascii="Times New Roman" w:hAnsi="Times New Roman" w:cs="Times New Roman"/>
        </w:rPr>
        <w:t>even if it is determined that the Commission has jurisdiction to adjudicate</w:t>
      </w:r>
      <w:r w:rsidR="00D2435C" w:rsidRPr="00E0558A">
        <w:rPr>
          <w:rFonts w:ascii="Times New Roman" w:hAnsi="Times New Roman" w:cs="Times New Roman"/>
        </w:rPr>
        <w:t xml:space="preserve"> </w:t>
      </w:r>
      <w:r w:rsidR="006640E5" w:rsidRPr="00E0558A">
        <w:rPr>
          <w:rFonts w:ascii="Times New Roman" w:hAnsi="Times New Roman" w:cs="Times New Roman"/>
        </w:rPr>
        <w:t xml:space="preserve">the claims of </w:t>
      </w:r>
      <w:r w:rsidR="00D2435C" w:rsidRPr="00E0558A">
        <w:rPr>
          <w:rFonts w:ascii="Times New Roman" w:hAnsi="Times New Roman" w:cs="Times New Roman"/>
        </w:rPr>
        <w:t xml:space="preserve">the </w:t>
      </w:r>
      <w:r w:rsidR="006640E5" w:rsidRPr="00E0558A">
        <w:rPr>
          <w:rFonts w:ascii="Times New Roman" w:hAnsi="Times New Roman" w:cs="Times New Roman"/>
        </w:rPr>
        <w:t xml:space="preserve">Complainants having to do with docketed municipal lien/judgment interest, several of the Complainants have waived their right to such consideration for the 2009-2012 period because the retroactivity of the </w:t>
      </w:r>
      <w:r w:rsidR="006640E5" w:rsidRPr="00F6565E">
        <w:rPr>
          <w:rFonts w:ascii="Times New Roman" w:hAnsi="Times New Roman" w:cs="Times New Roman"/>
        </w:rPr>
        <w:t xml:space="preserve">Supreme Court’s Opinion </w:t>
      </w:r>
      <w:r w:rsidR="006640E5" w:rsidRPr="00F6565E">
        <w:rPr>
          <w:rFonts w:ascii="Times New Roman" w:hAnsi="Times New Roman" w:cs="Times New Roman"/>
        </w:rPr>
        <w:lastRenderedPageBreak/>
        <w:t xml:space="preserve">in </w:t>
      </w:r>
      <w:r w:rsidR="006640E5" w:rsidRPr="00F6565E">
        <w:rPr>
          <w:rFonts w:ascii="Times New Roman" w:hAnsi="Times New Roman" w:cs="Times New Roman"/>
          <w:i/>
          <w:iCs/>
        </w:rPr>
        <w:t>PGW II</w:t>
      </w:r>
      <w:r w:rsidR="006640E5" w:rsidRPr="00F6565E">
        <w:rPr>
          <w:rFonts w:ascii="Times New Roman" w:hAnsi="Times New Roman" w:cs="Times New Roman"/>
        </w:rPr>
        <w:t xml:space="preserve"> is limited only to parties that appealed to that </w:t>
      </w:r>
      <w:r w:rsidR="00C36674" w:rsidRPr="00F6565E">
        <w:rPr>
          <w:rFonts w:ascii="Times New Roman" w:hAnsi="Times New Roman" w:cs="Times New Roman"/>
        </w:rPr>
        <w:t>C</w:t>
      </w:r>
      <w:r w:rsidR="006640E5" w:rsidRPr="00F6565E">
        <w:rPr>
          <w:rFonts w:ascii="Times New Roman" w:hAnsi="Times New Roman" w:cs="Times New Roman"/>
        </w:rPr>
        <w:t>ourt and</w:t>
      </w:r>
      <w:r w:rsidR="006640E5" w:rsidRPr="00F6565E">
        <w:rPr>
          <w:rFonts w:ascii="Times New Roman" w:hAnsi="Times New Roman" w:cs="Times New Roman"/>
          <w:i/>
          <w:iCs/>
        </w:rPr>
        <w:t xml:space="preserve"> </w:t>
      </w:r>
      <w:r w:rsidR="006640E5" w:rsidRPr="00F6565E">
        <w:rPr>
          <w:rFonts w:ascii="Times New Roman" w:hAnsi="Times New Roman" w:cs="Times New Roman"/>
        </w:rPr>
        <w:t>to proceedings pending at the</w:t>
      </w:r>
      <w:r w:rsidR="006640E5" w:rsidRPr="00E0558A">
        <w:rPr>
          <w:rFonts w:ascii="Times New Roman" w:hAnsi="Times New Roman" w:cs="Times New Roman"/>
        </w:rPr>
        <w:t xml:space="preserve"> time the Opinion was issued on April 28, 2021</w:t>
      </w:r>
      <w:r w:rsidR="0023519A" w:rsidRPr="00E0558A">
        <w:rPr>
          <w:rFonts w:ascii="Times New Roman" w:hAnsi="Times New Roman" w:cs="Times New Roman"/>
        </w:rPr>
        <w:t xml:space="preserve">; and </w:t>
      </w:r>
      <w:r w:rsidR="0023519A" w:rsidRPr="00E0558A">
        <w:rPr>
          <w:rFonts w:ascii="Times New Roman" w:hAnsi="Times New Roman" w:cs="Times New Roman"/>
          <w:b/>
          <w:bCs/>
        </w:rPr>
        <w:t>3)</w:t>
      </w:r>
      <w:r w:rsidR="0023519A" w:rsidRPr="00E0558A">
        <w:rPr>
          <w:rFonts w:ascii="Times New Roman" w:hAnsi="Times New Roman" w:cs="Times New Roman"/>
        </w:rPr>
        <w:t xml:space="preserve"> </w:t>
      </w:r>
      <w:r w:rsidR="006640E5" w:rsidRPr="00E0558A">
        <w:rPr>
          <w:rFonts w:ascii="Times New Roman" w:hAnsi="Times New Roman" w:cs="Times New Roman"/>
        </w:rPr>
        <w:t xml:space="preserve">the Complainants have filed a </w:t>
      </w:r>
      <w:bookmarkStart w:id="2" w:name="_Hlk122004163"/>
      <w:r w:rsidR="006640E5" w:rsidRPr="00E0558A">
        <w:rPr>
          <w:rFonts w:ascii="Times New Roman" w:hAnsi="Times New Roman" w:cs="Times New Roman"/>
        </w:rPr>
        <w:t xml:space="preserve">2021 Civil Action </w:t>
      </w:r>
      <w:bookmarkEnd w:id="2"/>
      <w:r w:rsidR="006640E5" w:rsidRPr="00E0558A">
        <w:rPr>
          <w:rFonts w:ascii="Times New Roman" w:hAnsi="Times New Roman" w:cs="Times New Roman"/>
        </w:rPr>
        <w:t>in Philadelphia Court of Common Pleas (“Trial Court</w:t>
      </w:r>
      <w:r w:rsidR="006640E5" w:rsidRPr="00E0558A">
        <w:rPr>
          <w:rFonts w:ascii="Times New Roman" w:hAnsi="Times New Roman" w:cs="Times New Roman"/>
          <w:i/>
          <w:iCs/>
        </w:rPr>
        <w:t xml:space="preserve">”) </w:t>
      </w:r>
      <w:r w:rsidR="006640E5" w:rsidRPr="00E0558A">
        <w:rPr>
          <w:rFonts w:ascii="Times New Roman" w:hAnsi="Times New Roman" w:cs="Times New Roman"/>
        </w:rPr>
        <w:t xml:space="preserve">raising </w:t>
      </w:r>
      <w:r w:rsidR="007F01EE" w:rsidRPr="00E0558A">
        <w:rPr>
          <w:rFonts w:ascii="Times New Roman" w:hAnsi="Times New Roman" w:cs="Times New Roman"/>
        </w:rPr>
        <w:t>issue</w:t>
      </w:r>
      <w:r w:rsidR="00752459" w:rsidRPr="00E0558A">
        <w:rPr>
          <w:rFonts w:ascii="Times New Roman" w:hAnsi="Times New Roman" w:cs="Times New Roman"/>
        </w:rPr>
        <w:t>s</w:t>
      </w:r>
      <w:r w:rsidR="007F01EE" w:rsidRPr="00E0558A">
        <w:rPr>
          <w:rFonts w:ascii="Times New Roman" w:hAnsi="Times New Roman" w:cs="Times New Roman"/>
        </w:rPr>
        <w:t xml:space="preserve"> identical to those before this Commission. </w:t>
      </w:r>
    </w:p>
    <w:p w14:paraId="715482A9" w14:textId="77777777" w:rsidR="00186361" w:rsidRPr="00E0558A" w:rsidRDefault="00186361" w:rsidP="009537E9">
      <w:pPr>
        <w:spacing w:after="0" w:line="360" w:lineRule="auto"/>
        <w:ind w:firstLine="1440"/>
        <w:rPr>
          <w:rFonts w:ascii="Times New Roman" w:hAnsi="Times New Roman" w:cs="Times New Roman"/>
          <w:sz w:val="24"/>
          <w:szCs w:val="24"/>
        </w:rPr>
      </w:pPr>
    </w:p>
    <w:p w14:paraId="5C31B925" w14:textId="086481A2" w:rsidR="002D783D" w:rsidRPr="00E0558A" w:rsidRDefault="00DE794D" w:rsidP="00790EF5">
      <w:pPr>
        <w:spacing w:after="0" w:line="360" w:lineRule="auto"/>
        <w:ind w:firstLine="1440"/>
        <w:rPr>
          <w:rFonts w:ascii="Times New Roman" w:eastAsia="Cambria" w:hAnsi="Times New Roman" w:cs="Times New Roman"/>
          <w:bCs/>
          <w:sz w:val="24"/>
          <w:szCs w:val="24"/>
        </w:rPr>
      </w:pPr>
      <w:r w:rsidRPr="00E0558A">
        <w:rPr>
          <w:rFonts w:ascii="Times New Roman" w:hAnsi="Times New Roman" w:cs="Times New Roman"/>
          <w:sz w:val="24"/>
          <w:szCs w:val="24"/>
        </w:rPr>
        <w:t>SBG Management Services, Inc.</w:t>
      </w:r>
      <w:r w:rsidR="00186361" w:rsidRPr="00E0558A">
        <w:rPr>
          <w:rFonts w:ascii="Times New Roman" w:hAnsi="Times New Roman" w:cs="Times New Roman"/>
          <w:sz w:val="24"/>
          <w:szCs w:val="24"/>
        </w:rPr>
        <w:t>,</w:t>
      </w:r>
      <w:r w:rsidRPr="00E0558A">
        <w:rPr>
          <w:rFonts w:ascii="Times New Roman" w:hAnsi="Times New Roman" w:cs="Times New Roman"/>
          <w:sz w:val="24"/>
          <w:szCs w:val="24"/>
        </w:rPr>
        <w:t xml:space="preserve"> </w:t>
      </w:r>
      <w:r w:rsidRPr="00E0558A">
        <w:rPr>
          <w:rFonts w:ascii="Times New Roman" w:hAnsi="Times New Roman" w:cs="Times New Roman"/>
          <w:i/>
          <w:iCs/>
          <w:sz w:val="24"/>
          <w:szCs w:val="24"/>
        </w:rPr>
        <w:t>et al</w:t>
      </w:r>
      <w:r w:rsidRPr="00E0558A">
        <w:rPr>
          <w:rFonts w:ascii="Times New Roman" w:hAnsi="Times New Roman" w:cs="Times New Roman"/>
          <w:sz w:val="24"/>
          <w:szCs w:val="24"/>
        </w:rPr>
        <w:t xml:space="preserve"> (SBG</w:t>
      </w:r>
      <w:r w:rsidR="001104C2" w:rsidRPr="00E0558A">
        <w:rPr>
          <w:rFonts w:ascii="Times New Roman" w:hAnsi="Times New Roman" w:cs="Times New Roman"/>
          <w:sz w:val="24"/>
          <w:szCs w:val="24"/>
        </w:rPr>
        <w:t xml:space="preserve"> or Complainants</w:t>
      </w:r>
      <w:r w:rsidRPr="00E0558A">
        <w:rPr>
          <w:rFonts w:ascii="Times New Roman" w:hAnsi="Times New Roman" w:cs="Times New Roman"/>
          <w:sz w:val="24"/>
          <w:szCs w:val="24"/>
        </w:rPr>
        <w:t>) filed its Response to the Motion on November 2, 2022</w:t>
      </w:r>
      <w:r w:rsidR="00DE0CCF" w:rsidRPr="00E0558A">
        <w:rPr>
          <w:rFonts w:ascii="Times New Roman" w:hAnsi="Times New Roman" w:cs="Times New Roman"/>
          <w:sz w:val="24"/>
          <w:szCs w:val="24"/>
        </w:rPr>
        <w:t xml:space="preserve"> (Response)</w:t>
      </w:r>
      <w:r w:rsidRPr="00E0558A">
        <w:rPr>
          <w:rFonts w:ascii="Times New Roman" w:hAnsi="Times New Roman" w:cs="Times New Roman"/>
          <w:sz w:val="24"/>
          <w:szCs w:val="24"/>
        </w:rPr>
        <w:t>.</w:t>
      </w:r>
      <w:r w:rsidR="001104C2" w:rsidRPr="00E0558A">
        <w:rPr>
          <w:rFonts w:ascii="Times New Roman" w:hAnsi="Times New Roman" w:cs="Times New Roman"/>
          <w:sz w:val="24"/>
          <w:szCs w:val="24"/>
        </w:rPr>
        <w:t xml:space="preserve">  In its Response to the Motion, SBG argued that</w:t>
      </w:r>
      <w:r w:rsidR="00703F6D" w:rsidRPr="00E0558A">
        <w:rPr>
          <w:rFonts w:ascii="Times New Roman" w:hAnsi="Times New Roman" w:cs="Times New Roman"/>
          <w:sz w:val="24"/>
          <w:szCs w:val="24"/>
        </w:rPr>
        <w:t xml:space="preserve">: </w:t>
      </w:r>
      <w:r w:rsidR="00703F6D" w:rsidRPr="00E0558A">
        <w:rPr>
          <w:rFonts w:ascii="Times New Roman" w:hAnsi="Times New Roman" w:cs="Times New Roman"/>
          <w:b/>
          <w:bCs/>
          <w:sz w:val="24"/>
          <w:szCs w:val="24"/>
        </w:rPr>
        <w:t xml:space="preserve">1) </w:t>
      </w:r>
      <w:r w:rsidR="00B3050B" w:rsidRPr="00E0558A">
        <w:rPr>
          <w:rStyle w:val="cf01"/>
          <w:rFonts w:ascii="Times New Roman" w:hAnsi="Times New Roman" w:cs="Times New Roman"/>
          <w:sz w:val="24"/>
          <w:szCs w:val="24"/>
        </w:rPr>
        <w:t>PUC not only has jurisdiction to determine the amounts that PGW overcharged complainants by improperly using the PUC</w:t>
      </w:r>
      <w:r w:rsidR="00B3050B" w:rsidRPr="00E0558A">
        <w:rPr>
          <w:rStyle w:val="cf11"/>
          <w:rFonts w:ascii="Times New Roman" w:hAnsi="Times New Roman" w:cs="Times New Roman"/>
          <w:sz w:val="24"/>
          <w:szCs w:val="24"/>
        </w:rPr>
        <w:t>’</w:t>
      </w:r>
      <w:r w:rsidR="00B3050B" w:rsidRPr="00E0558A">
        <w:rPr>
          <w:rStyle w:val="cf01"/>
          <w:rFonts w:ascii="Times New Roman" w:hAnsi="Times New Roman" w:cs="Times New Roman"/>
          <w:sz w:val="24"/>
          <w:szCs w:val="24"/>
        </w:rPr>
        <w:t xml:space="preserve">s 18% tariff rate, </w:t>
      </w:r>
      <w:r w:rsidR="00202C07" w:rsidRPr="00E0558A">
        <w:rPr>
          <w:rStyle w:val="cf01"/>
          <w:rFonts w:ascii="Times New Roman" w:hAnsi="Times New Roman" w:cs="Times New Roman"/>
          <w:sz w:val="24"/>
          <w:szCs w:val="24"/>
        </w:rPr>
        <w:t>but it is also</w:t>
      </w:r>
      <w:r w:rsidR="00B3050B" w:rsidRPr="00E0558A">
        <w:rPr>
          <w:rStyle w:val="cf01"/>
          <w:rFonts w:ascii="Times New Roman" w:hAnsi="Times New Roman" w:cs="Times New Roman"/>
          <w:sz w:val="24"/>
          <w:szCs w:val="24"/>
        </w:rPr>
        <w:t xml:space="preserve"> the Commission</w:t>
      </w:r>
      <w:r w:rsidR="00B3050B" w:rsidRPr="00E0558A">
        <w:rPr>
          <w:rStyle w:val="cf11"/>
          <w:rFonts w:ascii="Times New Roman" w:hAnsi="Times New Roman" w:cs="Times New Roman"/>
          <w:sz w:val="24"/>
          <w:szCs w:val="24"/>
        </w:rPr>
        <w:t>’</w:t>
      </w:r>
      <w:r w:rsidR="00B3050B" w:rsidRPr="00E0558A">
        <w:rPr>
          <w:rStyle w:val="cf01"/>
          <w:rFonts w:ascii="Times New Roman" w:hAnsi="Times New Roman" w:cs="Times New Roman"/>
          <w:sz w:val="24"/>
          <w:szCs w:val="24"/>
        </w:rPr>
        <w:t>s responsibility to make this determination.</w:t>
      </w:r>
      <w:r w:rsidR="00AE3A82" w:rsidRPr="00E0558A">
        <w:rPr>
          <w:rFonts w:ascii="Times New Roman" w:hAnsi="Times New Roman" w:cs="Times New Roman"/>
          <w:b/>
          <w:sz w:val="24"/>
          <w:szCs w:val="24"/>
          <w:u w:val="single"/>
        </w:rPr>
        <w:t xml:space="preserve"> </w:t>
      </w:r>
      <w:r w:rsidR="00AE3A82" w:rsidRPr="00E0558A">
        <w:rPr>
          <w:rFonts w:ascii="Times New Roman" w:hAnsi="Times New Roman" w:cs="Times New Roman"/>
          <w:bCs/>
          <w:sz w:val="24"/>
          <w:szCs w:val="24"/>
        </w:rPr>
        <w:t xml:space="preserve">pursuant to the Public Utility Code, 66 Pa.C.S. § 101 </w:t>
      </w:r>
      <w:r w:rsidR="00AE3A82" w:rsidRPr="00E0558A">
        <w:rPr>
          <w:rFonts w:ascii="Times New Roman" w:hAnsi="Times New Roman" w:cs="Times New Roman"/>
          <w:bCs/>
          <w:i/>
          <w:sz w:val="24"/>
          <w:szCs w:val="24"/>
        </w:rPr>
        <w:t>et seq.</w:t>
      </w:r>
      <w:r w:rsidR="002D783D" w:rsidRPr="00E0558A">
        <w:rPr>
          <w:rStyle w:val="cf01"/>
          <w:rFonts w:ascii="Times New Roman" w:hAnsi="Times New Roman" w:cs="Times New Roman"/>
          <w:bCs/>
          <w:sz w:val="24"/>
          <w:szCs w:val="24"/>
        </w:rPr>
        <w:t xml:space="preserve">: </w:t>
      </w:r>
      <w:r w:rsidR="002D783D" w:rsidRPr="00E0558A">
        <w:rPr>
          <w:rStyle w:val="cf01"/>
          <w:rFonts w:ascii="Times New Roman" w:hAnsi="Times New Roman" w:cs="Times New Roman"/>
          <w:b/>
          <w:sz w:val="24"/>
          <w:szCs w:val="24"/>
        </w:rPr>
        <w:t>2)</w:t>
      </w:r>
      <w:r w:rsidR="0065552F" w:rsidRPr="00E0558A">
        <w:rPr>
          <w:rStyle w:val="cf01"/>
          <w:rFonts w:ascii="Times New Roman" w:hAnsi="Times New Roman" w:cs="Times New Roman"/>
          <w:bCs/>
          <w:sz w:val="24"/>
          <w:szCs w:val="24"/>
        </w:rPr>
        <w:t xml:space="preserve"> </w:t>
      </w:r>
      <w:r w:rsidR="00413BA9" w:rsidRPr="00E0558A">
        <w:rPr>
          <w:rFonts w:ascii="Times New Roman" w:eastAsia="Cambria" w:hAnsi="Times New Roman" w:cs="Times New Roman"/>
          <w:bCs/>
          <w:sz w:val="24"/>
          <w:szCs w:val="24"/>
        </w:rPr>
        <w:t>t</w:t>
      </w:r>
      <w:r w:rsidR="002C6BF7" w:rsidRPr="00E0558A">
        <w:rPr>
          <w:rFonts w:ascii="Times New Roman" w:eastAsia="Cambria" w:hAnsi="Times New Roman" w:cs="Times New Roman"/>
          <w:bCs/>
          <w:sz w:val="24"/>
          <w:szCs w:val="24"/>
        </w:rPr>
        <w:t>he SBG</w:t>
      </w:r>
      <w:r w:rsidR="00EB4C6E" w:rsidRPr="00E0558A">
        <w:rPr>
          <w:rFonts w:ascii="Times New Roman" w:eastAsia="Cambria" w:hAnsi="Times New Roman" w:cs="Times New Roman"/>
          <w:bCs/>
          <w:sz w:val="24"/>
          <w:szCs w:val="24"/>
        </w:rPr>
        <w:t xml:space="preserve"> p</w:t>
      </w:r>
      <w:r w:rsidR="002C6BF7" w:rsidRPr="00E0558A">
        <w:rPr>
          <w:rFonts w:ascii="Times New Roman" w:eastAsia="Cambria" w:hAnsi="Times New Roman" w:cs="Times New Roman"/>
          <w:bCs/>
          <w:sz w:val="24"/>
          <w:szCs w:val="24"/>
        </w:rPr>
        <w:t xml:space="preserve">arties’ </w:t>
      </w:r>
      <w:r w:rsidR="00EB4C6E" w:rsidRPr="00E0558A">
        <w:rPr>
          <w:rFonts w:ascii="Times New Roman" w:eastAsia="Cambria" w:hAnsi="Times New Roman" w:cs="Times New Roman"/>
          <w:bCs/>
          <w:sz w:val="24"/>
          <w:szCs w:val="24"/>
        </w:rPr>
        <w:t>c</w:t>
      </w:r>
      <w:r w:rsidR="002C6BF7" w:rsidRPr="00E0558A">
        <w:rPr>
          <w:rFonts w:ascii="Times New Roman" w:eastAsia="Cambria" w:hAnsi="Times New Roman" w:cs="Times New Roman"/>
          <w:bCs/>
          <w:sz w:val="24"/>
          <w:szCs w:val="24"/>
        </w:rPr>
        <w:t xml:space="preserve">laims have not been </w:t>
      </w:r>
      <w:r w:rsidR="00FE5665" w:rsidRPr="00E0558A">
        <w:rPr>
          <w:rFonts w:ascii="Times New Roman" w:eastAsia="Cambria" w:hAnsi="Times New Roman" w:cs="Times New Roman"/>
          <w:bCs/>
          <w:sz w:val="24"/>
          <w:szCs w:val="24"/>
        </w:rPr>
        <w:t>f</w:t>
      </w:r>
      <w:r w:rsidR="002C6BF7" w:rsidRPr="00E0558A">
        <w:rPr>
          <w:rFonts w:ascii="Times New Roman" w:eastAsia="Cambria" w:hAnsi="Times New Roman" w:cs="Times New Roman"/>
          <w:bCs/>
          <w:sz w:val="24"/>
          <w:szCs w:val="24"/>
        </w:rPr>
        <w:t>oreclosed</w:t>
      </w:r>
      <w:r w:rsidR="00F31FE3" w:rsidRPr="00E0558A">
        <w:rPr>
          <w:rFonts w:ascii="Times New Roman" w:eastAsia="Cambria" w:hAnsi="Times New Roman" w:cs="Times New Roman"/>
          <w:bCs/>
          <w:sz w:val="24"/>
          <w:szCs w:val="24"/>
        </w:rPr>
        <w:t xml:space="preserve"> because </w:t>
      </w:r>
      <w:r w:rsidR="00D61125" w:rsidRPr="00E0558A">
        <w:rPr>
          <w:rFonts w:ascii="Times New Roman" w:eastAsia="Cambria" w:hAnsi="Times New Roman" w:cs="Times New Roman"/>
          <w:sz w:val="24"/>
          <w:szCs w:val="24"/>
        </w:rPr>
        <w:t>a</w:t>
      </w:r>
      <w:r w:rsidR="00F31FE3" w:rsidRPr="00E0558A">
        <w:rPr>
          <w:rFonts w:ascii="Times New Roman" w:eastAsia="Cambria" w:hAnsi="Times New Roman" w:cs="Times New Roman"/>
          <w:sz w:val="24"/>
          <w:szCs w:val="24"/>
        </w:rPr>
        <w:t xml:space="preserve">ll </w:t>
      </w:r>
      <w:r w:rsidR="00D61125" w:rsidRPr="00E0558A">
        <w:rPr>
          <w:rFonts w:ascii="Times New Roman" w:eastAsia="Cambria" w:hAnsi="Times New Roman" w:cs="Times New Roman"/>
          <w:sz w:val="24"/>
          <w:szCs w:val="24"/>
        </w:rPr>
        <w:t xml:space="preserve">eight </w:t>
      </w:r>
      <w:r w:rsidR="00F31FE3" w:rsidRPr="00E0558A">
        <w:rPr>
          <w:rFonts w:ascii="Times New Roman" w:eastAsia="Cambria" w:hAnsi="Times New Roman" w:cs="Times New Roman"/>
          <w:sz w:val="24"/>
          <w:szCs w:val="24"/>
        </w:rPr>
        <w:t xml:space="preserve">the </w:t>
      </w:r>
      <w:r w:rsidR="00D61125" w:rsidRPr="00E0558A">
        <w:rPr>
          <w:rFonts w:ascii="Times New Roman" w:eastAsia="Cambria" w:hAnsi="Times New Roman" w:cs="Times New Roman"/>
          <w:sz w:val="24"/>
          <w:szCs w:val="24"/>
        </w:rPr>
        <w:t>SBG</w:t>
      </w:r>
      <w:r w:rsidR="00186361" w:rsidRPr="00E0558A">
        <w:rPr>
          <w:rFonts w:ascii="Times New Roman" w:eastAsia="Cambria" w:hAnsi="Times New Roman" w:cs="Times New Roman"/>
          <w:sz w:val="24"/>
          <w:szCs w:val="24"/>
        </w:rPr>
        <w:t>’s</w:t>
      </w:r>
      <w:r w:rsidR="00D61125" w:rsidRPr="00E0558A">
        <w:rPr>
          <w:rFonts w:ascii="Times New Roman" w:eastAsia="Cambria" w:hAnsi="Times New Roman" w:cs="Times New Roman"/>
          <w:sz w:val="24"/>
          <w:szCs w:val="24"/>
        </w:rPr>
        <w:t xml:space="preserve"> 2012 Complaints</w:t>
      </w:r>
      <w:r w:rsidR="00F31FE3" w:rsidRPr="00E0558A">
        <w:rPr>
          <w:rFonts w:ascii="Times New Roman" w:eastAsia="Cambria" w:hAnsi="Times New Roman" w:cs="Times New Roman"/>
          <w:sz w:val="24"/>
          <w:szCs w:val="24"/>
        </w:rPr>
        <w:t xml:space="preserve"> were pending before the PUC </w:t>
      </w:r>
      <w:r w:rsidR="00F77DE9" w:rsidRPr="00E0558A">
        <w:rPr>
          <w:rFonts w:ascii="Times New Roman" w:eastAsia="Cambria" w:hAnsi="Times New Roman" w:cs="Times New Roman"/>
          <w:sz w:val="24"/>
          <w:szCs w:val="24"/>
        </w:rPr>
        <w:t>in</w:t>
      </w:r>
      <w:r w:rsidR="00F31FE3" w:rsidRPr="00E0558A">
        <w:rPr>
          <w:rFonts w:ascii="Times New Roman" w:eastAsia="Cambria" w:hAnsi="Times New Roman" w:cs="Times New Roman"/>
          <w:sz w:val="24"/>
          <w:szCs w:val="24"/>
        </w:rPr>
        <w:t xml:space="preserve"> April of 2021</w:t>
      </w:r>
      <w:r w:rsidR="00EB4C6E" w:rsidRPr="00E0558A">
        <w:rPr>
          <w:rFonts w:ascii="Times New Roman" w:eastAsia="Cambria" w:hAnsi="Times New Roman" w:cs="Times New Roman"/>
          <w:sz w:val="24"/>
          <w:szCs w:val="24"/>
        </w:rPr>
        <w:t xml:space="preserve">; and </w:t>
      </w:r>
      <w:r w:rsidR="00FE5665" w:rsidRPr="00E0558A">
        <w:rPr>
          <w:rFonts w:ascii="Times New Roman" w:eastAsia="Cambria" w:hAnsi="Times New Roman" w:cs="Times New Roman"/>
          <w:b/>
          <w:bCs/>
          <w:sz w:val="24"/>
          <w:szCs w:val="24"/>
        </w:rPr>
        <w:t>3</w:t>
      </w:r>
      <w:r w:rsidR="00EB4C6E" w:rsidRPr="00E0558A">
        <w:rPr>
          <w:rFonts w:ascii="Times New Roman" w:eastAsia="Cambria" w:hAnsi="Times New Roman" w:cs="Times New Roman"/>
          <w:b/>
          <w:bCs/>
          <w:sz w:val="24"/>
          <w:szCs w:val="24"/>
        </w:rPr>
        <w:t>)</w:t>
      </w:r>
      <w:r w:rsidR="008242C3" w:rsidRPr="00E0558A">
        <w:rPr>
          <w:rFonts w:ascii="Times New Roman" w:eastAsia="Cambria" w:hAnsi="Times New Roman" w:cs="Times New Roman"/>
          <w:sz w:val="24"/>
          <w:szCs w:val="24"/>
        </w:rPr>
        <w:t xml:space="preserve"> </w:t>
      </w:r>
      <w:r w:rsidR="00EE78DF" w:rsidRPr="00E0558A">
        <w:rPr>
          <w:rFonts w:ascii="Times New Roman" w:eastAsia="Cambria" w:hAnsi="Times New Roman" w:cs="Times New Roman"/>
          <w:bCs/>
          <w:sz w:val="24"/>
          <w:szCs w:val="24"/>
        </w:rPr>
        <w:t>t</w:t>
      </w:r>
      <w:r w:rsidR="008242C3" w:rsidRPr="00E0558A">
        <w:rPr>
          <w:rFonts w:ascii="Times New Roman" w:eastAsia="Cambria" w:hAnsi="Times New Roman" w:cs="Times New Roman"/>
          <w:bCs/>
          <w:sz w:val="24"/>
          <w:szCs w:val="24"/>
        </w:rPr>
        <w:t xml:space="preserve">his </w:t>
      </w:r>
      <w:r w:rsidR="00EE78DF" w:rsidRPr="00E0558A">
        <w:rPr>
          <w:rFonts w:ascii="Times New Roman" w:eastAsia="Cambria" w:hAnsi="Times New Roman" w:cs="Times New Roman"/>
          <w:bCs/>
          <w:sz w:val="24"/>
          <w:szCs w:val="24"/>
        </w:rPr>
        <w:t>m</w:t>
      </w:r>
      <w:r w:rsidR="008242C3" w:rsidRPr="00E0558A">
        <w:rPr>
          <w:rFonts w:ascii="Times New Roman" w:eastAsia="Cambria" w:hAnsi="Times New Roman" w:cs="Times New Roman"/>
          <w:bCs/>
          <w:sz w:val="24"/>
          <w:szCs w:val="24"/>
        </w:rPr>
        <w:t xml:space="preserve">atter and </w:t>
      </w:r>
      <w:r w:rsidR="009537E9" w:rsidRPr="00E0558A">
        <w:rPr>
          <w:rFonts w:ascii="Times New Roman" w:eastAsia="Cambria" w:hAnsi="Times New Roman" w:cs="Times New Roman"/>
          <w:bCs/>
          <w:sz w:val="24"/>
          <w:szCs w:val="24"/>
        </w:rPr>
        <w:t xml:space="preserve">its </w:t>
      </w:r>
      <w:r w:rsidR="005463FF" w:rsidRPr="00E0558A">
        <w:rPr>
          <w:rFonts w:ascii="Times New Roman" w:hAnsi="Times New Roman" w:cs="Times New Roman"/>
          <w:sz w:val="24"/>
          <w:szCs w:val="24"/>
        </w:rPr>
        <w:t xml:space="preserve">2021 Civil Action </w:t>
      </w:r>
      <w:r w:rsidR="009537E9" w:rsidRPr="00E0558A">
        <w:rPr>
          <w:rFonts w:ascii="Times New Roman" w:hAnsi="Times New Roman" w:cs="Times New Roman"/>
          <w:sz w:val="24"/>
          <w:szCs w:val="24"/>
        </w:rPr>
        <w:t xml:space="preserve">in front of the Court of </w:t>
      </w:r>
      <w:r w:rsidR="008242C3" w:rsidRPr="00E0558A">
        <w:rPr>
          <w:rFonts w:ascii="Times New Roman" w:eastAsia="Cambria" w:hAnsi="Times New Roman" w:cs="Times New Roman"/>
          <w:bCs/>
          <w:sz w:val="24"/>
          <w:szCs w:val="24"/>
        </w:rPr>
        <w:t xml:space="preserve">Common Pleas are not </w:t>
      </w:r>
      <w:r w:rsidR="00EE78DF" w:rsidRPr="00E0558A">
        <w:rPr>
          <w:rFonts w:ascii="Times New Roman" w:eastAsia="Cambria" w:hAnsi="Times New Roman" w:cs="Times New Roman"/>
          <w:bCs/>
          <w:sz w:val="24"/>
          <w:szCs w:val="24"/>
        </w:rPr>
        <w:t>d</w:t>
      </w:r>
      <w:r w:rsidR="008242C3" w:rsidRPr="00E0558A">
        <w:rPr>
          <w:rFonts w:ascii="Times New Roman" w:eastAsia="Cambria" w:hAnsi="Times New Roman" w:cs="Times New Roman"/>
          <w:bCs/>
          <w:sz w:val="24"/>
          <w:szCs w:val="24"/>
        </w:rPr>
        <w:t>uplicative</w:t>
      </w:r>
      <w:r w:rsidR="00EE78DF" w:rsidRPr="00E0558A">
        <w:rPr>
          <w:rFonts w:ascii="Times New Roman" w:eastAsia="Cambria" w:hAnsi="Times New Roman" w:cs="Times New Roman"/>
          <w:bCs/>
          <w:sz w:val="24"/>
          <w:szCs w:val="24"/>
        </w:rPr>
        <w:t xml:space="preserve"> but complementary of each other</w:t>
      </w:r>
      <w:r w:rsidR="008242C3" w:rsidRPr="00E0558A">
        <w:rPr>
          <w:rFonts w:ascii="Times New Roman" w:eastAsia="Cambria" w:hAnsi="Times New Roman" w:cs="Times New Roman"/>
          <w:bCs/>
          <w:sz w:val="24"/>
          <w:szCs w:val="24"/>
        </w:rPr>
        <w:t>.</w:t>
      </w:r>
    </w:p>
    <w:p w14:paraId="12CDD322" w14:textId="77777777" w:rsidR="00790EF5" w:rsidRPr="00E0558A" w:rsidRDefault="00790EF5" w:rsidP="00790EF5">
      <w:pPr>
        <w:spacing w:after="0" w:line="360" w:lineRule="auto"/>
        <w:ind w:firstLine="1440"/>
        <w:rPr>
          <w:rFonts w:ascii="Times New Roman" w:eastAsia="Cambria" w:hAnsi="Times New Roman" w:cs="Times New Roman"/>
          <w:b/>
          <w:sz w:val="24"/>
          <w:szCs w:val="24"/>
        </w:rPr>
      </w:pPr>
    </w:p>
    <w:p w14:paraId="56F240CE" w14:textId="57D70645" w:rsidR="00413BA9" w:rsidRPr="00E0558A" w:rsidRDefault="00DE794D" w:rsidP="00790EF5">
      <w:pPr>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A telephonic evidentiary hearing scheduled for November 8, 2022</w:t>
      </w:r>
      <w:r w:rsidR="00BC7832" w:rsidRPr="00E0558A">
        <w:rPr>
          <w:rFonts w:ascii="Times New Roman" w:hAnsi="Times New Roman" w:cs="Times New Roman"/>
          <w:sz w:val="24"/>
          <w:szCs w:val="24"/>
        </w:rPr>
        <w:t>,</w:t>
      </w:r>
      <w:r w:rsidRPr="00E0558A">
        <w:rPr>
          <w:rFonts w:ascii="Times New Roman" w:hAnsi="Times New Roman" w:cs="Times New Roman"/>
          <w:sz w:val="24"/>
          <w:szCs w:val="24"/>
        </w:rPr>
        <w:t xml:space="preserve"> was </w:t>
      </w:r>
      <w:r w:rsidR="004C1B42" w:rsidRPr="00E0558A">
        <w:rPr>
          <w:rFonts w:ascii="Times New Roman" w:hAnsi="Times New Roman" w:cs="Times New Roman"/>
          <w:sz w:val="24"/>
          <w:szCs w:val="24"/>
        </w:rPr>
        <w:t>converted</w:t>
      </w:r>
      <w:r w:rsidRPr="00E0558A">
        <w:rPr>
          <w:rFonts w:ascii="Times New Roman" w:hAnsi="Times New Roman" w:cs="Times New Roman"/>
          <w:sz w:val="24"/>
          <w:szCs w:val="24"/>
        </w:rPr>
        <w:t xml:space="preserve"> to a prehearing conference</w:t>
      </w:r>
      <w:r w:rsidR="004C1B42" w:rsidRPr="00E0558A">
        <w:rPr>
          <w:rFonts w:ascii="Times New Roman" w:hAnsi="Times New Roman" w:cs="Times New Roman"/>
          <w:sz w:val="24"/>
          <w:szCs w:val="24"/>
        </w:rPr>
        <w:t>,</w:t>
      </w:r>
      <w:r w:rsidRPr="00E0558A">
        <w:rPr>
          <w:rFonts w:ascii="Times New Roman" w:hAnsi="Times New Roman" w:cs="Times New Roman"/>
          <w:sz w:val="24"/>
          <w:szCs w:val="24"/>
        </w:rPr>
        <w:t xml:space="preserve"> </w:t>
      </w:r>
      <w:r w:rsidR="004C1B42" w:rsidRPr="00E0558A">
        <w:rPr>
          <w:rFonts w:ascii="Times New Roman" w:hAnsi="Times New Roman" w:cs="Times New Roman"/>
          <w:sz w:val="24"/>
          <w:szCs w:val="24"/>
        </w:rPr>
        <w:t xml:space="preserve">wherein the parties discussed the arguments contained in PGW’s Motion and SBG’s response to them.  At the conclusion of the hearing, I instructed the parties to file legal briefs in support of their respective positions </w:t>
      </w:r>
      <w:r w:rsidR="00BC7832" w:rsidRPr="00E0558A">
        <w:rPr>
          <w:rFonts w:ascii="Times New Roman" w:hAnsi="Times New Roman" w:cs="Times New Roman"/>
          <w:sz w:val="24"/>
          <w:szCs w:val="24"/>
        </w:rPr>
        <w:t>regarding</w:t>
      </w:r>
      <w:r w:rsidR="004C1B42" w:rsidRPr="00E0558A">
        <w:rPr>
          <w:rFonts w:ascii="Times New Roman" w:hAnsi="Times New Roman" w:cs="Times New Roman"/>
          <w:sz w:val="24"/>
          <w:szCs w:val="24"/>
        </w:rPr>
        <w:t xml:space="preserve"> the Motion</w:t>
      </w:r>
      <w:r w:rsidR="00864277" w:rsidRPr="00E0558A">
        <w:rPr>
          <w:rFonts w:ascii="Times New Roman" w:hAnsi="Times New Roman" w:cs="Times New Roman"/>
          <w:sz w:val="24"/>
          <w:szCs w:val="24"/>
        </w:rPr>
        <w:t xml:space="preserve"> by no later than November 29, 2022.  SBG and PGW filed timely briefs.  </w:t>
      </w:r>
    </w:p>
    <w:p w14:paraId="6F187216" w14:textId="77777777" w:rsidR="00BC7832" w:rsidRPr="00E0558A" w:rsidRDefault="00BC7832" w:rsidP="00790EF5">
      <w:pPr>
        <w:spacing w:after="0" w:line="360" w:lineRule="auto"/>
        <w:ind w:firstLine="1440"/>
        <w:rPr>
          <w:rFonts w:ascii="Times New Roman" w:hAnsi="Times New Roman" w:cs="Times New Roman"/>
          <w:sz w:val="24"/>
          <w:szCs w:val="24"/>
        </w:rPr>
      </w:pPr>
    </w:p>
    <w:p w14:paraId="3658B6D7" w14:textId="17DD9AD9" w:rsidR="00DE794D" w:rsidRPr="00E0558A" w:rsidRDefault="00864277" w:rsidP="002D783D">
      <w:pPr>
        <w:ind w:firstLine="1440"/>
        <w:rPr>
          <w:rFonts w:ascii="Times New Roman" w:hAnsi="Times New Roman" w:cs="Times New Roman"/>
          <w:sz w:val="24"/>
          <w:szCs w:val="24"/>
        </w:rPr>
      </w:pPr>
      <w:r w:rsidRPr="00E0558A">
        <w:rPr>
          <w:rFonts w:ascii="Times New Roman" w:hAnsi="Times New Roman" w:cs="Times New Roman"/>
          <w:sz w:val="24"/>
          <w:szCs w:val="24"/>
        </w:rPr>
        <w:t>The Motion is ready for ruling.</w:t>
      </w:r>
    </w:p>
    <w:p w14:paraId="2B8A3D31" w14:textId="77777777" w:rsidR="00BC7832" w:rsidRPr="00E0558A" w:rsidRDefault="00BC7832" w:rsidP="002D783D">
      <w:pPr>
        <w:ind w:firstLine="1440"/>
        <w:rPr>
          <w:rFonts w:ascii="Times New Roman" w:hAnsi="Times New Roman" w:cs="Times New Roman"/>
          <w:sz w:val="24"/>
          <w:szCs w:val="24"/>
        </w:rPr>
      </w:pPr>
    </w:p>
    <w:p w14:paraId="3401DDDE" w14:textId="6F8F5830" w:rsidR="00C04A28" w:rsidRPr="00E0558A" w:rsidRDefault="00C04A28" w:rsidP="00F4673E">
      <w:pPr>
        <w:pStyle w:val="Indent5DbSp"/>
        <w:numPr>
          <w:ilvl w:val="0"/>
          <w:numId w:val="3"/>
        </w:numPr>
        <w:spacing w:line="240" w:lineRule="auto"/>
        <w:ind w:left="1440" w:hanging="720"/>
        <w:rPr>
          <w:b/>
          <w:bCs/>
        </w:rPr>
      </w:pPr>
      <w:r w:rsidRPr="00E0558A">
        <w:rPr>
          <w:b/>
          <w:bCs/>
        </w:rPr>
        <w:t>Whether the existence of a judgment (</w:t>
      </w:r>
      <w:r w:rsidR="003B79F6" w:rsidRPr="00E0558A">
        <w:rPr>
          <w:b/>
          <w:bCs/>
        </w:rPr>
        <w:t xml:space="preserve">from a </w:t>
      </w:r>
      <w:r w:rsidRPr="00E0558A">
        <w:rPr>
          <w:b/>
          <w:bCs/>
        </w:rPr>
        <w:t>docketed municipal lien) has a preemptive effect on the Commission’s jurisdiction</w:t>
      </w:r>
    </w:p>
    <w:p w14:paraId="5672DA29" w14:textId="77777777" w:rsidR="00C04A28" w:rsidRPr="00E0558A" w:rsidRDefault="00C04A28" w:rsidP="00C04A28">
      <w:pPr>
        <w:pStyle w:val="Indent5DbSp"/>
        <w:spacing w:line="240" w:lineRule="auto"/>
        <w:ind w:left="1440" w:firstLine="0"/>
        <w:rPr>
          <w:b/>
          <w:bCs/>
        </w:rPr>
      </w:pPr>
    </w:p>
    <w:p w14:paraId="7DFE5E2B" w14:textId="34607665" w:rsidR="008709DD" w:rsidRPr="00E0558A" w:rsidRDefault="00864277" w:rsidP="00AA2393">
      <w:pPr>
        <w:pStyle w:val="Indent5DbSp"/>
        <w:spacing w:line="360" w:lineRule="auto"/>
        <w:ind w:firstLine="1440"/>
        <w:rPr>
          <w:i/>
          <w:iCs/>
        </w:rPr>
      </w:pPr>
      <w:r w:rsidRPr="00E0558A">
        <w:t xml:space="preserve">In its Motion, </w:t>
      </w:r>
      <w:r w:rsidR="000A49C1" w:rsidRPr="00E0558A">
        <w:t xml:space="preserve">PGW </w:t>
      </w:r>
      <w:r w:rsidR="00163DA3" w:rsidRPr="00E0558A">
        <w:t>avers</w:t>
      </w:r>
      <w:r w:rsidR="005D6E8E" w:rsidRPr="00E0558A">
        <w:t xml:space="preserve"> that </w:t>
      </w:r>
      <w:r w:rsidR="00C04A28" w:rsidRPr="00E0558A">
        <w:t>t</w:t>
      </w:r>
      <w:r w:rsidR="006A4C2B" w:rsidRPr="00E0558A">
        <w:t xml:space="preserve">he existence of a judgment (docketed municipal lien) has a preemptive effect on the Commission’s jurisdiction, and the claims and issues raised in the </w:t>
      </w:r>
      <w:r w:rsidR="00E547BB" w:rsidRPr="00E0558A">
        <w:t>C</w:t>
      </w:r>
      <w:r w:rsidR="006A4C2B" w:rsidRPr="00E0558A">
        <w:t xml:space="preserve">omplaints </w:t>
      </w:r>
      <w:r w:rsidR="007F6876" w:rsidRPr="00E0558A">
        <w:t xml:space="preserve">regarding the 18% interest rate </w:t>
      </w:r>
      <w:r w:rsidR="007917D2" w:rsidRPr="00E0558A">
        <w:t>that PGW</w:t>
      </w:r>
      <w:r w:rsidR="005218EB" w:rsidRPr="00E0558A">
        <w:t xml:space="preserve"> improperly applied </w:t>
      </w:r>
      <w:r w:rsidR="007C04A2" w:rsidRPr="00E0558A">
        <w:t xml:space="preserve">as a tariffed late-payment charge on the </w:t>
      </w:r>
      <w:r w:rsidR="005218EB" w:rsidRPr="00E0558A">
        <w:t>amount</w:t>
      </w:r>
      <w:r w:rsidR="007C04A2" w:rsidRPr="00E0558A">
        <w:t xml:space="preserve">s that </w:t>
      </w:r>
      <w:r w:rsidR="00E547BB" w:rsidRPr="00E0558A">
        <w:t>became municipal liens</w:t>
      </w:r>
      <w:r w:rsidR="005218EB" w:rsidRPr="00E0558A">
        <w:t xml:space="preserve"> </w:t>
      </w:r>
      <w:r w:rsidR="006A4C2B" w:rsidRPr="00E0558A">
        <w:t>must be dismissed.</w:t>
      </w:r>
      <w:r w:rsidR="00EB7F81" w:rsidRPr="00E0558A">
        <w:t xml:space="preserve"> </w:t>
      </w:r>
      <w:r w:rsidR="00C04A28" w:rsidRPr="00E0558A">
        <w:t xml:space="preserve"> </w:t>
      </w:r>
      <w:r w:rsidR="00387D71" w:rsidRPr="00E0558A">
        <w:t xml:space="preserve">PGW </w:t>
      </w:r>
      <w:r w:rsidR="00F965C9" w:rsidRPr="00E0558A">
        <w:t>bases its position on the fact that t</w:t>
      </w:r>
      <w:r w:rsidR="00570FD1" w:rsidRPr="00E0558A">
        <w:t>he Supreme Court</w:t>
      </w:r>
      <w:r w:rsidR="00E52C21" w:rsidRPr="00E0558A">
        <w:t xml:space="preserve"> of Pennsylvania</w:t>
      </w:r>
      <w:r w:rsidR="00570FD1" w:rsidRPr="00E0558A">
        <w:t xml:space="preserve">, for the first time in </w:t>
      </w:r>
      <w:r w:rsidR="00570FD1" w:rsidRPr="00E0558A">
        <w:rPr>
          <w:i/>
          <w:iCs/>
        </w:rPr>
        <w:t>PGW II</w:t>
      </w:r>
      <w:r w:rsidR="00570FD1" w:rsidRPr="00E0558A">
        <w:t xml:space="preserve">, made clear that </w:t>
      </w:r>
      <w:r w:rsidR="004F4B1D" w:rsidRPr="00E0558A">
        <w:t>the</w:t>
      </w:r>
      <w:r w:rsidR="00570FD1" w:rsidRPr="00E0558A">
        <w:t xml:space="preserve"> docketing or filing a municipal lien</w:t>
      </w:r>
      <w:r w:rsidR="004F4B1D" w:rsidRPr="00E0558A">
        <w:t xml:space="preserve"> gives that</w:t>
      </w:r>
      <w:r w:rsidR="00570FD1" w:rsidRPr="00E0558A">
        <w:t xml:space="preserve"> lien the same force and effect as a </w:t>
      </w:r>
      <w:r w:rsidR="00570FD1" w:rsidRPr="00E0558A">
        <w:lastRenderedPageBreak/>
        <w:t>judgment that was obtained following a trial before a civil court.</w:t>
      </w:r>
      <w:r w:rsidR="00570FD1" w:rsidRPr="00E0558A">
        <w:rPr>
          <w:rStyle w:val="FootnoteReference"/>
        </w:rPr>
        <w:footnoteReference w:id="3"/>
      </w:r>
      <w:r w:rsidR="00570FD1" w:rsidRPr="00E0558A">
        <w:t xml:space="preserve"> </w:t>
      </w:r>
      <w:r w:rsidR="00313E68" w:rsidRPr="00E0558A">
        <w:t xml:space="preserve"> </w:t>
      </w:r>
      <w:r w:rsidR="007151A0" w:rsidRPr="00E0558A">
        <w:t>Motion at 5-6.</w:t>
      </w:r>
      <w:r w:rsidR="00477EED" w:rsidRPr="00E0558A">
        <w:t xml:space="preserve">  </w:t>
      </w:r>
      <w:r w:rsidR="00313E68" w:rsidRPr="00E0558A">
        <w:t>PGW argues that u</w:t>
      </w:r>
      <w:r w:rsidR="00570FD1" w:rsidRPr="00E0558A">
        <w:t>nder settled law, the existence of any judgment on unpaid utility service balances ends the Commission’s jurisdiction, as any issues and claims related to the amounts owed by the customer are merged into the judgement.</w:t>
      </w:r>
      <w:r w:rsidR="00570FD1" w:rsidRPr="00E0558A">
        <w:rPr>
          <w:rStyle w:val="FootnoteReference"/>
        </w:rPr>
        <w:footnoteReference w:id="4"/>
      </w:r>
      <w:r w:rsidR="00570FD1" w:rsidRPr="00E0558A">
        <w:t xml:space="preserve"> </w:t>
      </w:r>
      <w:r w:rsidR="00986BF0" w:rsidRPr="00E0558A">
        <w:t xml:space="preserve"> </w:t>
      </w:r>
      <w:r w:rsidR="00AF5745" w:rsidRPr="00E0558A">
        <w:t xml:space="preserve">Motion at 6.  </w:t>
      </w:r>
      <w:r w:rsidR="00986BF0" w:rsidRPr="00E0558A">
        <w:t xml:space="preserve">PGW explains that </w:t>
      </w:r>
      <w:r w:rsidR="00570FD1" w:rsidRPr="00E0558A">
        <w:t>“The claim or demand in its original form is at an end</w:t>
      </w:r>
      <w:r w:rsidR="00877F16" w:rsidRPr="00E0558A">
        <w:t xml:space="preserve"> </w:t>
      </w:r>
      <w:r w:rsidR="00570FD1" w:rsidRPr="00E0558A">
        <w:t>and cannot again be the subject of litigation.”</w:t>
      </w:r>
      <w:r w:rsidR="00570FD1" w:rsidRPr="00E0558A">
        <w:rPr>
          <w:rStyle w:val="FootnoteReference"/>
        </w:rPr>
        <w:footnoteReference w:id="5"/>
      </w:r>
      <w:r w:rsidR="00570FD1" w:rsidRPr="00E0558A">
        <w:t xml:space="preserve"> </w:t>
      </w:r>
      <w:r w:rsidR="00AF5745" w:rsidRPr="00E0558A">
        <w:t xml:space="preserve"> </w:t>
      </w:r>
      <w:r w:rsidR="00AF5745" w:rsidRPr="00E0558A">
        <w:rPr>
          <w:i/>
          <w:iCs/>
        </w:rPr>
        <w:t>Id.</w:t>
      </w:r>
      <w:r w:rsidR="00AF5745" w:rsidRPr="00E0558A">
        <w:t xml:space="preserve">  </w:t>
      </w:r>
      <w:r w:rsidR="00570FD1" w:rsidRPr="00E0558A">
        <w:t>In its merged form as a judgment, it may be enforced by judicial process, and it can be pleaded only in its merged form.</w:t>
      </w:r>
      <w:r w:rsidR="00570FD1" w:rsidRPr="00E0558A">
        <w:rPr>
          <w:rStyle w:val="FootnoteReference"/>
        </w:rPr>
        <w:footnoteReference w:id="6"/>
      </w:r>
      <w:r w:rsidR="00570FD1" w:rsidRPr="00E0558A">
        <w:t xml:space="preserve"> </w:t>
      </w:r>
      <w:r w:rsidR="00C32E56" w:rsidRPr="00E0558A">
        <w:t xml:space="preserve"> PGW concludes that t</w:t>
      </w:r>
      <w:r w:rsidR="00570FD1" w:rsidRPr="00E0558A">
        <w:t xml:space="preserve">he original form – here a dispute on rates paid by the utility customer – is at an end, and with a lack of enforcement or adjudicatory power over judgments and post-judgment relief, the Commission’s subject matter jurisdiction is at an end as well. </w:t>
      </w:r>
      <w:r w:rsidR="00C32E56" w:rsidRPr="00E0558A">
        <w:rPr>
          <w:i/>
          <w:iCs/>
        </w:rPr>
        <w:t xml:space="preserve"> </w:t>
      </w:r>
      <w:r w:rsidR="00877F16" w:rsidRPr="00E0558A">
        <w:rPr>
          <w:i/>
          <w:iCs/>
        </w:rPr>
        <w:t>Id.</w:t>
      </w:r>
    </w:p>
    <w:p w14:paraId="2D00D855" w14:textId="77777777" w:rsidR="008709DD" w:rsidRPr="00E0558A" w:rsidRDefault="008709DD" w:rsidP="00AA2393">
      <w:pPr>
        <w:pStyle w:val="Indent5DbSp"/>
        <w:spacing w:line="360" w:lineRule="auto"/>
        <w:ind w:firstLine="1440"/>
        <w:rPr>
          <w:i/>
          <w:iCs/>
        </w:rPr>
      </w:pPr>
    </w:p>
    <w:p w14:paraId="0EC4169F" w14:textId="77777777" w:rsidR="00302C62" w:rsidRPr="00E0558A" w:rsidRDefault="00135E60" w:rsidP="00302C62">
      <w:pPr>
        <w:pStyle w:val="Indent5DbSp"/>
        <w:spacing w:line="360" w:lineRule="auto"/>
        <w:ind w:firstLine="1440"/>
      </w:pPr>
      <w:r w:rsidRPr="00E0558A">
        <w:t>In its Motion, PGW highlights</w:t>
      </w:r>
      <w:r w:rsidR="00570FD1" w:rsidRPr="00E0558A">
        <w:t xml:space="preserve"> </w:t>
      </w:r>
      <w:r w:rsidR="00697238" w:rsidRPr="00E0558A">
        <w:rPr>
          <w:i/>
        </w:rPr>
        <w:t>Gasparro v. PUC</w:t>
      </w:r>
      <w:r w:rsidR="00697238" w:rsidRPr="00E0558A">
        <w:t>, 814 A.2d 1282 (Pa.Cmwlth. 2003)</w:t>
      </w:r>
      <w:r w:rsidR="008709DD" w:rsidRPr="00E0558A">
        <w:t xml:space="preserve"> a</w:t>
      </w:r>
      <w:r w:rsidR="00697238" w:rsidRPr="00E0558A">
        <w:t xml:space="preserve">s the </w:t>
      </w:r>
      <w:r w:rsidR="00570FD1" w:rsidRPr="00E0558A">
        <w:t>seminal case explaining the Commission’s lack of jurisdiction over amounts subject to judgments</w:t>
      </w:r>
      <w:r w:rsidR="00697238" w:rsidRPr="00E0558A">
        <w:t xml:space="preserve">.  </w:t>
      </w:r>
      <w:r w:rsidR="008709DD" w:rsidRPr="00E0558A">
        <w:t xml:space="preserve">Motion at 6.  </w:t>
      </w:r>
      <w:r w:rsidR="00570FD1" w:rsidRPr="00E0558A">
        <w:t xml:space="preserve">In </w:t>
      </w:r>
      <w:r w:rsidR="00570FD1" w:rsidRPr="00E0558A">
        <w:rPr>
          <w:i/>
          <w:iCs/>
        </w:rPr>
        <w:t>Gasparro</w:t>
      </w:r>
      <w:r w:rsidR="00570FD1" w:rsidRPr="00E0558A">
        <w:t>, PECO obtained a money judgment for an unpaid gas bill in civil court. Subsequently, Gasparro filed a complaint with the Commission</w:t>
      </w:r>
      <w:r w:rsidR="00570FD1" w:rsidRPr="00E0558A">
        <w:rPr>
          <w:vertAlign w:val="superscript"/>
        </w:rPr>
        <w:footnoteReference w:id="7"/>
      </w:r>
      <w:r w:rsidR="00570FD1" w:rsidRPr="00E0558A">
        <w:t xml:space="preserve"> disputing the legitimacy of the amount of the judgment, claiming that he was overbilled due to alleged metering errors. </w:t>
      </w:r>
      <w:r w:rsidR="00D81069" w:rsidRPr="00E0558A">
        <w:t xml:space="preserve"> </w:t>
      </w:r>
      <w:r w:rsidR="00570FD1" w:rsidRPr="00E0558A">
        <w:t>The Commission refused to review the merits of Gasparro’s utility bills that were subject to the judgment.</w:t>
      </w:r>
      <w:r w:rsidR="00EB054D" w:rsidRPr="00E0558A">
        <w:t xml:space="preserve"> </w:t>
      </w:r>
      <w:r w:rsidR="00570FD1" w:rsidRPr="00E0558A">
        <w:t xml:space="preserve"> The Commonwealth Court affirmed, finding that if Gasparro had raised his billing disputes before the entry of the judgment, then the Commission could have </w:t>
      </w:r>
      <w:r w:rsidR="00570FD1" w:rsidRPr="00E0558A">
        <w:lastRenderedPageBreak/>
        <w:t>reviewed the underlying facts to determine whether overcharges occurred.</w:t>
      </w:r>
      <w:r w:rsidR="00570FD1" w:rsidRPr="00E0558A">
        <w:rPr>
          <w:vertAlign w:val="superscript"/>
        </w:rPr>
        <w:footnoteReference w:id="8"/>
      </w:r>
      <w:r w:rsidR="00570FD1" w:rsidRPr="00E0558A">
        <w:t xml:space="preserve"> </w:t>
      </w:r>
      <w:r w:rsidR="00302C62" w:rsidRPr="00E0558A">
        <w:t xml:space="preserve"> </w:t>
      </w:r>
      <w:r w:rsidR="00570FD1" w:rsidRPr="00E0558A">
        <w:t>However, since Gasparro raised his billing disputes after the entry of the judgment, the Commonwealth Court concluded that the Commission could not review the merits of Gasparro’s utility bill overcharge claims.</w:t>
      </w:r>
    </w:p>
    <w:p w14:paraId="2C3BC871" w14:textId="77777777" w:rsidR="00302C62" w:rsidRPr="00E0558A" w:rsidRDefault="00302C62" w:rsidP="00302C62">
      <w:pPr>
        <w:pStyle w:val="Indent5DbSp"/>
        <w:spacing w:line="360" w:lineRule="auto"/>
        <w:ind w:firstLine="1440"/>
      </w:pPr>
    </w:p>
    <w:p w14:paraId="69FA2F9E" w14:textId="73AAD0C9" w:rsidR="00AC45F7" w:rsidRPr="00E0558A" w:rsidRDefault="00B3120D" w:rsidP="00AC45F7">
      <w:pPr>
        <w:pStyle w:val="Indent5DbSp"/>
        <w:spacing w:line="360" w:lineRule="auto"/>
        <w:ind w:firstLine="1440"/>
      </w:pPr>
      <w:r w:rsidRPr="00E0558A">
        <w:t>According to PGW,</w:t>
      </w:r>
      <w:r w:rsidR="001E7DBC" w:rsidRPr="00E0558A">
        <w:t xml:space="preserve"> the Commission’s review of billing disputes, after a judgment has been obtained, would be an impermissible collateral attack upon the judgment. </w:t>
      </w:r>
      <w:r w:rsidR="00E90796" w:rsidRPr="00E0558A">
        <w:t xml:space="preserve"> </w:t>
      </w:r>
      <w:r w:rsidR="009261BA" w:rsidRPr="00E0558A">
        <w:t>PGW argues that</w:t>
      </w:r>
      <w:r w:rsidR="009672FB" w:rsidRPr="00E0558A">
        <w:t>,</w:t>
      </w:r>
      <w:r w:rsidR="009261BA" w:rsidRPr="00E0558A">
        <w:t xml:space="preserve"> b</w:t>
      </w:r>
      <w:r w:rsidR="00E90796" w:rsidRPr="00E0558A">
        <w:t>ased on</w:t>
      </w:r>
      <w:r w:rsidR="006A45B0" w:rsidRPr="00E0558A">
        <w:t xml:space="preserve"> </w:t>
      </w:r>
      <w:r w:rsidR="006A45B0" w:rsidRPr="00E0558A">
        <w:rPr>
          <w:i/>
          <w:iCs/>
        </w:rPr>
        <w:t>PGW II</w:t>
      </w:r>
      <w:r w:rsidR="006A45B0" w:rsidRPr="00E0558A">
        <w:t xml:space="preserve"> and </w:t>
      </w:r>
      <w:r w:rsidR="006A45B0" w:rsidRPr="00E0558A">
        <w:rPr>
          <w:i/>
          <w:iCs/>
        </w:rPr>
        <w:t>Gasparro</w:t>
      </w:r>
      <w:r w:rsidR="009261BA" w:rsidRPr="00E0558A">
        <w:t>,</w:t>
      </w:r>
      <w:r w:rsidR="001E7DBC" w:rsidRPr="00E0558A">
        <w:t xml:space="preserve"> the Commission is not empowered to review the merits of judgments</w:t>
      </w:r>
      <w:r w:rsidR="009672FB" w:rsidRPr="00E0558A">
        <w:t>, and explains</w:t>
      </w:r>
      <w:r w:rsidR="001E7DBC" w:rsidRPr="00E0558A">
        <w:t xml:space="preserve"> </w:t>
      </w:r>
      <w:r w:rsidR="009672FB" w:rsidRPr="00E0558A">
        <w:t xml:space="preserve">that the </w:t>
      </w:r>
      <w:r w:rsidR="001E7DBC" w:rsidRPr="00E0558A">
        <w:t>proper forum to challenge the legitimacy of a judgment is civil court.</w:t>
      </w:r>
      <w:r w:rsidR="003552D6" w:rsidRPr="00E0558A">
        <w:t xml:space="preserve"> </w:t>
      </w:r>
      <w:r w:rsidR="00804E73" w:rsidRPr="00E0558A">
        <w:t xml:space="preserve"> </w:t>
      </w:r>
      <w:r w:rsidR="003552D6" w:rsidRPr="00E0558A">
        <w:t>Motion at 8</w:t>
      </w:r>
      <w:r w:rsidR="00804E73" w:rsidRPr="00E0558A">
        <w:t>, 9-10</w:t>
      </w:r>
      <w:r w:rsidR="003552D6" w:rsidRPr="00E0558A">
        <w:t>.</w:t>
      </w:r>
    </w:p>
    <w:p w14:paraId="62AE77FB" w14:textId="77777777" w:rsidR="00AC45F7" w:rsidRPr="00E0558A" w:rsidRDefault="00AC45F7" w:rsidP="00AC45F7">
      <w:pPr>
        <w:pStyle w:val="Indent5DbSp"/>
        <w:spacing w:line="360" w:lineRule="auto"/>
        <w:ind w:firstLine="1440"/>
      </w:pPr>
    </w:p>
    <w:p w14:paraId="1ACC3B0A" w14:textId="77777777" w:rsidR="0065737D" w:rsidRPr="00E0558A" w:rsidRDefault="003645B0" w:rsidP="0065737D">
      <w:pPr>
        <w:pStyle w:val="Indent5DbSp"/>
        <w:spacing w:line="360" w:lineRule="auto"/>
        <w:ind w:firstLine="1440"/>
        <w:rPr>
          <w:rFonts w:eastAsia="Cambria"/>
        </w:rPr>
      </w:pPr>
      <w:r w:rsidRPr="00E0558A">
        <w:t xml:space="preserve">While PGW frames </w:t>
      </w:r>
      <w:r w:rsidR="0042436C" w:rsidRPr="00E0558A">
        <w:t>SBG’</w:t>
      </w:r>
      <w:r w:rsidR="00991600" w:rsidRPr="00E0558A">
        <w:t>s</w:t>
      </w:r>
      <w:r w:rsidR="0042436C" w:rsidRPr="00E0558A">
        <w:t xml:space="preserve"> claim </w:t>
      </w:r>
      <w:r w:rsidR="00991600" w:rsidRPr="00E0558A">
        <w:t>regarding</w:t>
      </w:r>
      <w:r w:rsidR="0042436C" w:rsidRPr="00E0558A">
        <w:t xml:space="preserve"> the refund due to them following </w:t>
      </w:r>
      <w:r w:rsidR="0042436C" w:rsidRPr="00E0558A">
        <w:rPr>
          <w:i/>
          <w:iCs/>
        </w:rPr>
        <w:t>PGW II</w:t>
      </w:r>
      <w:r w:rsidR="002E4D9E" w:rsidRPr="00E0558A">
        <w:t xml:space="preserve"> as a challenge to the interest rate </w:t>
      </w:r>
      <w:r w:rsidR="00D31646" w:rsidRPr="00E0558A">
        <w:t>assessed on judgments, i</w:t>
      </w:r>
      <w:r w:rsidR="00644B6B" w:rsidRPr="00E0558A">
        <w:t xml:space="preserve">n its </w:t>
      </w:r>
      <w:r w:rsidR="00D31646" w:rsidRPr="00E0558A">
        <w:t>R</w:t>
      </w:r>
      <w:r w:rsidR="00644B6B" w:rsidRPr="00E0558A">
        <w:t>esponse to the Motion</w:t>
      </w:r>
      <w:r w:rsidR="00AC45F7" w:rsidRPr="00E0558A">
        <w:t xml:space="preserve"> </w:t>
      </w:r>
      <w:r w:rsidR="00644B6B" w:rsidRPr="00E0558A">
        <w:t xml:space="preserve">SBG frames the issue of the refund </w:t>
      </w:r>
      <w:r w:rsidR="00BC499B" w:rsidRPr="00E0558A">
        <w:t xml:space="preserve">as </w:t>
      </w:r>
      <w:r w:rsidR="0010721F" w:rsidRPr="00E0558A">
        <w:t>a</w:t>
      </w:r>
      <w:r w:rsidR="00B95AB4" w:rsidRPr="00E0558A">
        <w:t xml:space="preserve"> mere</w:t>
      </w:r>
      <w:r w:rsidR="0010721F" w:rsidRPr="00E0558A">
        <w:t xml:space="preserve"> calculation of the amount of overcharges that SBG parties suffered from PGW’s improper application of its 18% tariff rate.</w:t>
      </w:r>
      <w:r w:rsidR="004F3DCE" w:rsidRPr="00E0558A">
        <w:t xml:space="preserve"> </w:t>
      </w:r>
      <w:r w:rsidR="00242FB8" w:rsidRPr="00E0558A">
        <w:t xml:space="preserve"> In SBG’s view, “</w:t>
      </w:r>
      <w:r w:rsidR="00242FB8" w:rsidRPr="00E0558A">
        <w:rPr>
          <w:rFonts w:eastAsia="Cambria"/>
        </w:rPr>
        <w:t xml:space="preserve">The question is simply </w:t>
      </w:r>
      <w:r w:rsidR="00242FB8" w:rsidRPr="00E0558A">
        <w:rPr>
          <w:rFonts w:eastAsia="Cambria"/>
          <w:i/>
        </w:rPr>
        <w:t xml:space="preserve">how much </w:t>
      </w:r>
      <w:r w:rsidR="00242FB8" w:rsidRPr="00E0558A">
        <w:rPr>
          <w:rFonts w:eastAsia="Cambria"/>
        </w:rPr>
        <w:t>PGW overcharged SBG Parties using the 18% tariff rate on arrearages.”  Response at 4</w:t>
      </w:r>
      <w:r w:rsidR="00E61924" w:rsidRPr="00E0558A">
        <w:rPr>
          <w:rFonts w:eastAsia="Cambria"/>
        </w:rPr>
        <w:t>.</w:t>
      </w:r>
      <w:r w:rsidR="0088498E" w:rsidRPr="00E0558A">
        <w:rPr>
          <w:rFonts w:eastAsia="Cambria"/>
        </w:rPr>
        <w:t xml:space="preserve"> (</w:t>
      </w:r>
      <w:r w:rsidR="00E61924" w:rsidRPr="00E0558A">
        <w:rPr>
          <w:rFonts w:eastAsia="Cambria"/>
          <w:i/>
          <w:iCs/>
        </w:rPr>
        <w:t>E</w:t>
      </w:r>
      <w:r w:rsidR="0088498E" w:rsidRPr="00E0558A">
        <w:rPr>
          <w:rFonts w:eastAsia="Cambria"/>
          <w:i/>
          <w:iCs/>
        </w:rPr>
        <w:t>mphasis in the original</w:t>
      </w:r>
      <w:r w:rsidR="0088498E" w:rsidRPr="00E0558A">
        <w:rPr>
          <w:rFonts w:eastAsia="Cambria"/>
        </w:rPr>
        <w:t>)</w:t>
      </w:r>
      <w:r w:rsidR="00242FB8" w:rsidRPr="00E0558A">
        <w:rPr>
          <w:rFonts w:eastAsia="Cambria"/>
        </w:rPr>
        <w:t xml:space="preserve">.  </w:t>
      </w:r>
      <w:r w:rsidR="00452BEC" w:rsidRPr="00E0558A">
        <w:rPr>
          <w:rFonts w:eastAsia="Cambria"/>
        </w:rPr>
        <w:t xml:space="preserve">Citing </w:t>
      </w:r>
      <w:r w:rsidR="00452BEC" w:rsidRPr="00E0558A">
        <w:rPr>
          <w:rFonts w:eastAsia="Cambria"/>
          <w:i/>
        </w:rPr>
        <w:t>Bell Tel. Co. v. Philadelphia Warwick Co.</w:t>
      </w:r>
      <w:r w:rsidR="00452BEC" w:rsidRPr="00E0558A">
        <w:rPr>
          <w:rFonts w:eastAsia="Cambria"/>
        </w:rPr>
        <w:t>, 50 A.2d 684, 688 (Pa. 1947) (recognizing Commission’s authority “to determine the reasonable and just amount” of all rates, as a condition precedent to any recovery on outstanding balances) and 66 Pa.C.S.A. § 102 (defining the term “rate” under the Public Utility Code)</w:t>
      </w:r>
      <w:r w:rsidR="00E955D7" w:rsidRPr="00E0558A">
        <w:rPr>
          <w:rFonts w:eastAsia="Cambria"/>
        </w:rPr>
        <w:t>,</w:t>
      </w:r>
      <w:r w:rsidR="00452BEC" w:rsidRPr="00E0558A">
        <w:rPr>
          <w:rFonts w:eastAsia="Cambria"/>
        </w:rPr>
        <w:t xml:space="preserve"> </w:t>
      </w:r>
      <w:r w:rsidR="00CE3560" w:rsidRPr="00E0558A">
        <w:rPr>
          <w:rFonts w:eastAsia="Cambria"/>
        </w:rPr>
        <w:t xml:space="preserve">SBG </w:t>
      </w:r>
      <w:r w:rsidR="002F2155" w:rsidRPr="00E0558A">
        <w:rPr>
          <w:rFonts w:eastAsia="Cambria"/>
        </w:rPr>
        <w:t xml:space="preserve">explains that </w:t>
      </w:r>
      <w:r w:rsidR="00CE3560" w:rsidRPr="00E0558A">
        <w:rPr>
          <w:rFonts w:eastAsia="Cambria"/>
        </w:rPr>
        <w:t xml:space="preserve">the Commission has </w:t>
      </w:r>
      <w:r w:rsidR="00CE3560" w:rsidRPr="00E0558A">
        <w:rPr>
          <w:rFonts w:eastAsia="Cambria"/>
          <w:iCs/>
        </w:rPr>
        <w:t xml:space="preserve">always </w:t>
      </w:r>
      <w:r w:rsidR="00CE3560" w:rsidRPr="00E0558A">
        <w:rPr>
          <w:rFonts w:eastAsia="Cambria"/>
        </w:rPr>
        <w:t>ha</w:t>
      </w:r>
      <w:r w:rsidR="00E61924" w:rsidRPr="00E0558A">
        <w:rPr>
          <w:rFonts w:eastAsia="Cambria"/>
        </w:rPr>
        <w:t>d</w:t>
      </w:r>
      <w:r w:rsidR="00CE3560" w:rsidRPr="00E0558A">
        <w:rPr>
          <w:rFonts w:eastAsia="Cambria"/>
        </w:rPr>
        <w:t xml:space="preserve"> jurisdiction to decide questions concerning the rates under its regulatory control</w:t>
      </w:r>
      <w:r w:rsidR="00972E3D" w:rsidRPr="00E0558A">
        <w:rPr>
          <w:rFonts w:eastAsia="Cambria"/>
        </w:rPr>
        <w:t>.</w:t>
      </w:r>
      <w:r w:rsidR="00CE3560" w:rsidRPr="00E0558A">
        <w:rPr>
          <w:rFonts w:eastAsia="Cambria"/>
        </w:rPr>
        <w:t xml:space="preserve">  </w:t>
      </w:r>
      <w:r w:rsidR="00584F37" w:rsidRPr="00E0558A">
        <w:rPr>
          <w:rFonts w:eastAsia="Cambria"/>
        </w:rPr>
        <w:t xml:space="preserve">Response at 3.  </w:t>
      </w:r>
      <w:r w:rsidR="007B10D3" w:rsidRPr="00E0558A">
        <w:t>According to SBG, t</w:t>
      </w:r>
      <w:r w:rsidR="00972E3D" w:rsidRPr="00E0558A">
        <w:t>he Commissio</w:t>
      </w:r>
      <w:r w:rsidR="007B10D3" w:rsidRPr="00E0558A">
        <w:t xml:space="preserve">n </w:t>
      </w:r>
      <w:r w:rsidR="00C62551" w:rsidRPr="00E0558A">
        <w:t>h</w:t>
      </w:r>
      <w:r w:rsidR="00972E3D" w:rsidRPr="00E0558A">
        <w:t>as subject matter jurisdiction over a service or billing issue raised in a lien-related complaint</w:t>
      </w:r>
      <w:r w:rsidR="00C62551" w:rsidRPr="00E0558A">
        <w:t>,</w:t>
      </w:r>
      <w:r w:rsidR="00972E3D" w:rsidRPr="00E0558A">
        <w:t xml:space="preserve"> which allowed it</w:t>
      </w:r>
      <w:r w:rsidR="00C62551" w:rsidRPr="00E0558A">
        <w:t xml:space="preserve"> to</w:t>
      </w:r>
      <w:r w:rsidR="00972E3D" w:rsidRPr="00E0558A">
        <w:t xml:space="preserve"> find that PGW improperly imposed late payment charges on past due amounts subject to a municipal lien</w:t>
      </w:r>
      <w:r w:rsidR="007F0A85" w:rsidRPr="00E0558A">
        <w:t>, and n</w:t>
      </w:r>
      <w:r w:rsidR="00972E3D" w:rsidRPr="00E0558A">
        <w:t>either the Supreme Court, nor the Commonwealth Court, determined that this restatement of the Commission’s authority was incorrect.</w:t>
      </w:r>
      <w:r w:rsidR="004C63B6" w:rsidRPr="00E0558A">
        <w:t xml:space="preserve">  </w:t>
      </w:r>
      <w:r w:rsidR="00584F37" w:rsidRPr="00E0558A">
        <w:t>Response</w:t>
      </w:r>
      <w:r w:rsidR="00322016" w:rsidRPr="00E0558A">
        <w:t xml:space="preserve"> </w:t>
      </w:r>
      <w:r w:rsidR="00322016" w:rsidRPr="00E0558A">
        <w:lastRenderedPageBreak/>
        <w:t>at 3</w:t>
      </w:r>
      <w:r w:rsidR="00584F37" w:rsidRPr="00E0558A">
        <w:t xml:space="preserve">, footnote 1.  </w:t>
      </w:r>
      <w:r w:rsidR="00637712" w:rsidRPr="00E0558A">
        <w:t xml:space="preserve">As such, </w:t>
      </w:r>
      <w:r w:rsidR="00CF28AA" w:rsidRPr="00E0558A">
        <w:t xml:space="preserve">SBG </w:t>
      </w:r>
      <w:r w:rsidR="00972E3D" w:rsidRPr="00E0558A">
        <w:t>concludes</w:t>
      </w:r>
      <w:r w:rsidR="00CF28AA" w:rsidRPr="00E0558A">
        <w:t xml:space="preserve"> that </w:t>
      </w:r>
      <w:r w:rsidR="00CF28AA" w:rsidRPr="00E0558A">
        <w:rPr>
          <w:rFonts w:eastAsia="Cambria"/>
          <w:bCs/>
        </w:rPr>
        <w:t>t</w:t>
      </w:r>
      <w:r w:rsidR="00637712" w:rsidRPr="00E0558A">
        <w:rPr>
          <w:rFonts w:eastAsia="Cambria"/>
          <w:bCs/>
        </w:rPr>
        <w:t xml:space="preserve">he issue </w:t>
      </w:r>
      <w:r w:rsidR="00902654" w:rsidRPr="00E0558A">
        <w:rPr>
          <w:rFonts w:eastAsia="Cambria"/>
          <w:bCs/>
        </w:rPr>
        <w:t>of the refund</w:t>
      </w:r>
      <w:r w:rsidR="00637712" w:rsidRPr="00E0558A">
        <w:rPr>
          <w:rFonts w:eastAsia="Cambria"/>
          <w:bCs/>
        </w:rPr>
        <w:t xml:space="preserve"> is within the PUC’s jurisdiction.</w:t>
      </w:r>
      <w:r w:rsidR="00584F37" w:rsidRPr="00E0558A">
        <w:rPr>
          <w:rFonts w:eastAsia="Cambria"/>
        </w:rPr>
        <w:t xml:space="preserve"> </w:t>
      </w:r>
      <w:r w:rsidR="00322016" w:rsidRPr="00E0558A">
        <w:rPr>
          <w:rFonts w:eastAsia="Cambria"/>
        </w:rPr>
        <w:t xml:space="preserve"> </w:t>
      </w:r>
      <w:r w:rsidR="004B2EF1" w:rsidRPr="00E0558A">
        <w:rPr>
          <w:rFonts w:eastAsia="Cambria"/>
        </w:rPr>
        <w:t>Response at 3.</w:t>
      </w:r>
    </w:p>
    <w:p w14:paraId="65B42FCD" w14:textId="77777777" w:rsidR="0065737D" w:rsidRPr="00E0558A" w:rsidRDefault="0065737D" w:rsidP="0065737D">
      <w:pPr>
        <w:pStyle w:val="Indent5DbSp"/>
        <w:spacing w:line="360" w:lineRule="auto"/>
        <w:ind w:firstLine="1440"/>
        <w:rPr>
          <w:rFonts w:eastAsia="Cambria"/>
        </w:rPr>
      </w:pPr>
    </w:p>
    <w:p w14:paraId="1919D3F8" w14:textId="59134950" w:rsidR="0065737D" w:rsidRPr="00D627FA" w:rsidRDefault="004C63B6" w:rsidP="00D627FA">
      <w:pPr>
        <w:pStyle w:val="Indent5DbSp"/>
        <w:spacing w:line="360" w:lineRule="auto"/>
        <w:ind w:firstLine="1440"/>
        <w:rPr>
          <w:rFonts w:eastAsia="Cambria"/>
        </w:rPr>
      </w:pPr>
      <w:r w:rsidRPr="00E0558A">
        <w:rPr>
          <w:rFonts w:eastAsia="Cambria"/>
        </w:rPr>
        <w:t xml:space="preserve">In addition, </w:t>
      </w:r>
      <w:r w:rsidR="00B95AB4" w:rsidRPr="00E0558A">
        <w:t>SBG emphatically maintains</w:t>
      </w:r>
      <w:r w:rsidR="004F3DCE" w:rsidRPr="00E0558A">
        <w:t xml:space="preserve"> that it is not disputing the placement of the municipal liens</w:t>
      </w:r>
      <w:r w:rsidR="006B3239" w:rsidRPr="00E0558A">
        <w:t xml:space="preserve">/judgment for </w:t>
      </w:r>
      <w:r w:rsidR="006D4F58" w:rsidRPr="00E0558A">
        <w:t>unpaid services</w:t>
      </w:r>
      <w:r w:rsidR="0010670C" w:rsidRPr="00E0558A">
        <w:t>.</w:t>
      </w:r>
      <w:r w:rsidR="00DC615D" w:rsidRPr="00E0558A">
        <w:rPr>
          <w:rFonts w:eastAsia="Cambria"/>
        </w:rPr>
        <w:t xml:space="preserve"> </w:t>
      </w:r>
      <w:r w:rsidR="009349A8" w:rsidRPr="00E0558A">
        <w:rPr>
          <w:rFonts w:eastAsia="Cambria"/>
        </w:rPr>
        <w:t xml:space="preserve"> Distinguishing the present case from </w:t>
      </w:r>
      <w:r w:rsidR="002A5DAF" w:rsidRPr="00E0558A">
        <w:rPr>
          <w:rFonts w:eastAsia="Cambria"/>
          <w:i/>
          <w:iCs/>
        </w:rPr>
        <w:t>Gasparro</w:t>
      </w:r>
      <w:r w:rsidR="002A5DAF" w:rsidRPr="00E0558A">
        <w:rPr>
          <w:rFonts w:eastAsia="Cambria"/>
        </w:rPr>
        <w:t>, SBG argues that</w:t>
      </w:r>
      <w:r w:rsidR="003527AF" w:rsidRPr="00E0558A">
        <w:rPr>
          <w:rFonts w:eastAsia="Cambria"/>
        </w:rPr>
        <w:t>,</w:t>
      </w:r>
      <w:r w:rsidR="002A5DAF" w:rsidRPr="00E0558A">
        <w:rPr>
          <w:rFonts w:eastAsia="Cambria"/>
        </w:rPr>
        <w:t xml:space="preserve"> </w:t>
      </w:r>
      <w:r w:rsidR="004875AB" w:rsidRPr="00E0558A">
        <w:rPr>
          <w:rFonts w:eastAsia="Cambria"/>
        </w:rPr>
        <w:t>u</w:t>
      </w:r>
      <w:r w:rsidR="00DC615D" w:rsidRPr="00E0558A">
        <w:rPr>
          <w:rFonts w:eastAsia="Cambria"/>
        </w:rPr>
        <w:t xml:space="preserve">nlike the customer in </w:t>
      </w:r>
      <w:r w:rsidR="00DC615D" w:rsidRPr="00E0558A">
        <w:rPr>
          <w:rFonts w:eastAsia="Cambria"/>
          <w:i/>
        </w:rPr>
        <w:t>Gasparro</w:t>
      </w:r>
      <w:r w:rsidR="00DC615D" w:rsidRPr="00E0558A">
        <w:rPr>
          <w:rFonts w:eastAsia="Cambria"/>
        </w:rPr>
        <w:t>, SBG does not challenge the underlying arrearage amount docketed, only the impermissible interest an</w:t>
      </w:r>
      <w:r w:rsidR="00AE7E59" w:rsidRPr="00E0558A">
        <w:rPr>
          <w:rFonts w:eastAsia="Cambria"/>
        </w:rPr>
        <w:t>d</w:t>
      </w:r>
      <w:r w:rsidR="00DC615D" w:rsidRPr="00E0558A">
        <w:rPr>
          <w:rFonts w:eastAsia="Cambria"/>
        </w:rPr>
        <w:t xml:space="preserve"> late fees charged at 18%.</w:t>
      </w:r>
      <w:r w:rsidR="00DC615D" w:rsidRPr="00E0558A">
        <w:rPr>
          <w:rFonts w:eastAsia="Cambria"/>
          <w:i/>
        </w:rPr>
        <w:t xml:space="preserve">  </w:t>
      </w:r>
      <w:r w:rsidR="00DC615D" w:rsidRPr="00E0558A">
        <w:rPr>
          <w:rFonts w:eastAsia="Cambria"/>
        </w:rPr>
        <w:t>SBG</w:t>
      </w:r>
      <w:r w:rsidR="00F03363" w:rsidRPr="00E0558A">
        <w:rPr>
          <w:rFonts w:eastAsia="Cambria"/>
        </w:rPr>
        <w:t xml:space="preserve"> explains that it</w:t>
      </w:r>
      <w:r w:rsidR="00DC615D" w:rsidRPr="00E0558A">
        <w:rPr>
          <w:rFonts w:eastAsia="Cambria"/>
        </w:rPr>
        <w:t xml:space="preserve"> is not disputing the utility usage by its properties, but rather asking the PUC to determine the amount of overcharges based on PGW’s application of the incorrect rate to docketed liens.  </w:t>
      </w:r>
      <w:r w:rsidR="004875AB" w:rsidRPr="00E0558A">
        <w:rPr>
          <w:rFonts w:eastAsia="Cambria"/>
        </w:rPr>
        <w:t xml:space="preserve">Response at 4.  </w:t>
      </w:r>
      <w:r w:rsidR="00DC615D" w:rsidRPr="00E0558A">
        <w:rPr>
          <w:rFonts w:eastAsia="Cambria"/>
        </w:rPr>
        <w:t xml:space="preserve">Moreover, SBG </w:t>
      </w:r>
      <w:r w:rsidR="00EB5AFE" w:rsidRPr="00E0558A">
        <w:rPr>
          <w:rFonts w:eastAsia="Cambria"/>
        </w:rPr>
        <w:t xml:space="preserve">points out that </w:t>
      </w:r>
      <w:r w:rsidR="00C9218B" w:rsidRPr="00E0558A">
        <w:rPr>
          <w:rFonts w:eastAsia="Cambria"/>
        </w:rPr>
        <w:t xml:space="preserve">unlike Gasparro, SBG </w:t>
      </w:r>
      <w:r w:rsidR="00DC615D" w:rsidRPr="00E0558A">
        <w:rPr>
          <w:rFonts w:eastAsia="Cambria"/>
        </w:rPr>
        <w:t>did raise this rate issue before the Commission, and the</w:t>
      </w:r>
      <w:r w:rsidR="00A22C36" w:rsidRPr="00E0558A">
        <w:rPr>
          <w:rFonts w:eastAsia="Cambria"/>
        </w:rPr>
        <w:t xml:space="preserve"> </w:t>
      </w:r>
      <w:r w:rsidR="00DC615D" w:rsidRPr="00E0558A">
        <w:rPr>
          <w:rFonts w:eastAsia="Cambria"/>
        </w:rPr>
        <w:t xml:space="preserve">Commission ruled that PGW could not charge its tariff rate of 18% on amounts docketed as liens.  SBG could not raise this issue before the liens had been docketed and PGW improperly charged 18% on those docketed amounts.  </w:t>
      </w:r>
      <w:r w:rsidR="00C9218B" w:rsidRPr="00E0558A">
        <w:rPr>
          <w:rFonts w:eastAsia="Cambria"/>
        </w:rPr>
        <w:t xml:space="preserve">Response at </w:t>
      </w:r>
      <w:r w:rsidR="001118DE" w:rsidRPr="00E0558A">
        <w:rPr>
          <w:rFonts w:eastAsia="Cambria"/>
        </w:rPr>
        <w:t>4.</w:t>
      </w:r>
    </w:p>
    <w:p w14:paraId="09B050CE" w14:textId="77777777" w:rsidR="00AD7A46" w:rsidRPr="00D627FA" w:rsidRDefault="00AD7A46" w:rsidP="00D627FA">
      <w:pPr>
        <w:spacing w:after="0" w:line="360" w:lineRule="auto"/>
        <w:ind w:firstLine="720"/>
        <w:rPr>
          <w:rFonts w:ascii="Times New Roman" w:eastAsia="Cambria" w:hAnsi="Times New Roman" w:cs="Times New Roman"/>
          <w:sz w:val="24"/>
          <w:szCs w:val="24"/>
        </w:rPr>
      </w:pPr>
    </w:p>
    <w:p w14:paraId="282C2C34" w14:textId="3DC35C11" w:rsidR="002626B8" w:rsidRPr="00D627FA" w:rsidRDefault="00AD7A46" w:rsidP="00D627FA">
      <w:pPr>
        <w:spacing w:after="0" w:line="360" w:lineRule="auto"/>
        <w:ind w:firstLine="1440"/>
        <w:rPr>
          <w:rFonts w:ascii="Times New Roman" w:eastAsia="Cambria" w:hAnsi="Times New Roman" w:cs="Times New Roman"/>
          <w:sz w:val="24"/>
          <w:szCs w:val="24"/>
        </w:rPr>
      </w:pPr>
      <w:r w:rsidRPr="00D627FA">
        <w:rPr>
          <w:rFonts w:ascii="Times New Roman" w:eastAsia="Cambria" w:hAnsi="Times New Roman" w:cs="Times New Roman"/>
          <w:sz w:val="24"/>
          <w:szCs w:val="24"/>
        </w:rPr>
        <w:t>SBG further opines that, i</w:t>
      </w:r>
      <w:r w:rsidR="002626B8" w:rsidRPr="00D627FA">
        <w:rPr>
          <w:rFonts w:ascii="Times New Roman" w:eastAsia="Cambria" w:hAnsi="Times New Roman" w:cs="Times New Roman"/>
          <w:sz w:val="24"/>
          <w:szCs w:val="24"/>
        </w:rPr>
        <w:t xml:space="preserve">f the Commission accepted PGW’s jurisdictional argument, a utility could improperly docket a rate amount and strip the Commission of jurisdiction to issue a rate determination and resolve the dispute.  </w:t>
      </w:r>
      <w:r w:rsidRPr="00D627FA">
        <w:rPr>
          <w:rFonts w:ascii="Times New Roman" w:eastAsia="Cambria" w:hAnsi="Times New Roman" w:cs="Times New Roman"/>
          <w:sz w:val="24"/>
          <w:szCs w:val="24"/>
        </w:rPr>
        <w:t xml:space="preserve">Response at </w:t>
      </w:r>
      <w:r w:rsidR="00D627FA" w:rsidRPr="00D627FA">
        <w:rPr>
          <w:rFonts w:ascii="Times New Roman" w:eastAsia="Cambria" w:hAnsi="Times New Roman" w:cs="Times New Roman"/>
          <w:sz w:val="24"/>
          <w:szCs w:val="24"/>
        </w:rPr>
        <w:t>6.</w:t>
      </w:r>
      <w:r w:rsidR="002626B8" w:rsidRPr="00D627FA">
        <w:rPr>
          <w:rFonts w:ascii="Times New Roman" w:eastAsia="Cambria" w:hAnsi="Times New Roman" w:cs="Times New Roman"/>
          <w:sz w:val="24"/>
          <w:szCs w:val="24"/>
        </w:rPr>
        <w:t xml:space="preserve">  </w:t>
      </w:r>
      <w:r w:rsidR="00D627FA" w:rsidRPr="00D627FA">
        <w:rPr>
          <w:rFonts w:ascii="Times New Roman" w:eastAsia="Cambria" w:hAnsi="Times New Roman" w:cs="Times New Roman"/>
          <w:sz w:val="24"/>
          <w:szCs w:val="24"/>
        </w:rPr>
        <w:t>SBG rejects this conclusion arguing that t</w:t>
      </w:r>
      <w:r w:rsidR="002626B8" w:rsidRPr="00D627FA">
        <w:rPr>
          <w:rFonts w:ascii="Times New Roman" w:eastAsia="Cambria" w:hAnsi="Times New Roman" w:cs="Times New Roman"/>
          <w:sz w:val="24"/>
          <w:szCs w:val="24"/>
        </w:rPr>
        <w:t>he Commission is the authority on rate amounts, not the Court of Common Pleas.</w:t>
      </w:r>
      <w:r w:rsidR="00F6196E">
        <w:rPr>
          <w:rStyle w:val="FootnoteReference"/>
          <w:rFonts w:ascii="Times New Roman" w:eastAsia="Cambria" w:hAnsi="Times New Roman" w:cs="Times New Roman"/>
          <w:sz w:val="24"/>
          <w:szCs w:val="24"/>
        </w:rPr>
        <w:footnoteReference w:id="9"/>
      </w:r>
      <w:r w:rsidR="00D627FA" w:rsidRPr="00D627FA">
        <w:rPr>
          <w:rFonts w:ascii="Times New Roman" w:eastAsia="Cambria" w:hAnsi="Times New Roman" w:cs="Times New Roman"/>
          <w:sz w:val="24"/>
          <w:szCs w:val="24"/>
        </w:rPr>
        <w:t xml:space="preserve">  </w:t>
      </w:r>
      <w:r w:rsidR="00D627FA" w:rsidRPr="00D627FA">
        <w:rPr>
          <w:rFonts w:ascii="Times New Roman" w:eastAsia="Cambria" w:hAnsi="Times New Roman" w:cs="Times New Roman"/>
          <w:i/>
          <w:iCs/>
          <w:sz w:val="24"/>
          <w:szCs w:val="24"/>
        </w:rPr>
        <w:t>Id.</w:t>
      </w:r>
    </w:p>
    <w:p w14:paraId="18C4E810" w14:textId="77777777" w:rsidR="0065737D" w:rsidRPr="00E0558A" w:rsidRDefault="0065737D" w:rsidP="00D627FA">
      <w:pPr>
        <w:pStyle w:val="Indent5DbSp"/>
        <w:spacing w:line="360" w:lineRule="auto"/>
        <w:ind w:firstLine="1440"/>
        <w:rPr>
          <w:rFonts w:eastAsia="Cambria"/>
        </w:rPr>
      </w:pPr>
    </w:p>
    <w:p w14:paraId="102366D9" w14:textId="77777777" w:rsidR="00944BF3" w:rsidRPr="00E0558A" w:rsidRDefault="002C3446" w:rsidP="00D627FA">
      <w:pPr>
        <w:pStyle w:val="Indent5DbSp"/>
        <w:spacing w:line="360" w:lineRule="auto"/>
        <w:ind w:firstLine="1440"/>
        <w:rPr>
          <w:rFonts w:eastAsia="Cambria"/>
        </w:rPr>
      </w:pPr>
      <w:r w:rsidRPr="00E0558A">
        <w:rPr>
          <w:rFonts w:eastAsia="Cambria"/>
        </w:rPr>
        <w:t>As for PGW’s argument that the Commission is stripped of jurisdiction because SBG’s rate complaints ‘merged’ with the docketed municipal liens</w:t>
      </w:r>
      <w:r w:rsidR="00E12C1C" w:rsidRPr="00E0558A">
        <w:rPr>
          <w:rFonts w:eastAsia="Cambria"/>
        </w:rPr>
        <w:t>/judgements, SBG</w:t>
      </w:r>
      <w:r w:rsidR="005F78BA" w:rsidRPr="00E0558A">
        <w:rPr>
          <w:rFonts w:eastAsia="Cambria"/>
        </w:rPr>
        <w:t xml:space="preserve"> avers that </w:t>
      </w:r>
      <w:r w:rsidR="002B7F0A" w:rsidRPr="00E0558A">
        <w:rPr>
          <w:rFonts w:eastAsia="Cambria"/>
        </w:rPr>
        <w:t>it lacks cogency because that is not how the doctrine of merger woks</w:t>
      </w:r>
      <w:r w:rsidR="00CF3C01" w:rsidRPr="00E0558A">
        <w:rPr>
          <w:rFonts w:eastAsia="Cambria"/>
        </w:rPr>
        <w:t xml:space="preserve">. </w:t>
      </w:r>
      <w:r w:rsidR="00093917" w:rsidRPr="00E0558A">
        <w:rPr>
          <w:rFonts w:eastAsia="Cambria"/>
        </w:rPr>
        <w:t xml:space="preserve"> </w:t>
      </w:r>
      <w:r w:rsidR="00CF3C01" w:rsidRPr="00E0558A">
        <w:rPr>
          <w:rFonts w:eastAsia="Cambria"/>
        </w:rPr>
        <w:t>According to SBG,</w:t>
      </w:r>
      <w:r w:rsidR="00CF3C01" w:rsidRPr="00E0558A">
        <w:t xml:space="preserve"> the doctrine of merger requires that the party holding the judgment be the same party whose claim is merged.  </w:t>
      </w:r>
      <w:r w:rsidR="007F0E57" w:rsidRPr="00E0558A">
        <w:t xml:space="preserve">In SBG’s view, </w:t>
      </w:r>
      <w:r w:rsidR="00CF3C01" w:rsidRPr="00E0558A">
        <w:rPr>
          <w:rFonts w:eastAsia="Cambria"/>
        </w:rPr>
        <w:t xml:space="preserve">PGW’s argument that SBG’s rate complaints filed in the PUC merge with PGW’s civil judgments confuses (a) </w:t>
      </w:r>
      <w:r w:rsidR="00CF3C01" w:rsidRPr="00E0558A">
        <w:rPr>
          <w:rFonts w:eastAsia="Cambria"/>
          <w:iCs/>
        </w:rPr>
        <w:t>which party holds the judgment with (b) which party</w:t>
      </w:r>
      <w:r w:rsidR="00CF3C01" w:rsidRPr="00E0558A">
        <w:rPr>
          <w:rFonts w:eastAsia="Cambria"/>
        </w:rPr>
        <w:t xml:space="preserve"> filed the rate complaints.  </w:t>
      </w:r>
      <w:r w:rsidR="00D837EF" w:rsidRPr="00E0558A">
        <w:rPr>
          <w:rFonts w:eastAsia="Cambria"/>
        </w:rPr>
        <w:t xml:space="preserve">Response </w:t>
      </w:r>
      <w:r w:rsidR="00D25D08" w:rsidRPr="00E0558A">
        <w:rPr>
          <w:rFonts w:eastAsia="Cambria"/>
        </w:rPr>
        <w:t xml:space="preserve">at </w:t>
      </w:r>
      <w:r w:rsidR="00D837EF" w:rsidRPr="00E0558A">
        <w:rPr>
          <w:rFonts w:eastAsia="Cambria"/>
        </w:rPr>
        <w:t>7-8.</w:t>
      </w:r>
    </w:p>
    <w:p w14:paraId="07DA99C6" w14:textId="52216A0C" w:rsidR="002626B8" w:rsidRPr="002626B8" w:rsidRDefault="002626B8" w:rsidP="002626B8">
      <w:pPr>
        <w:pStyle w:val="Indent5DbSp"/>
        <w:spacing w:line="360" w:lineRule="auto"/>
        <w:ind w:firstLine="0"/>
        <w:rPr>
          <w:rFonts w:eastAsia="Cambria"/>
          <w:b/>
          <w:bCs/>
        </w:rPr>
      </w:pPr>
      <w:r w:rsidRPr="002626B8">
        <w:rPr>
          <w:rFonts w:eastAsia="Cambria"/>
          <w:b/>
          <w:bCs/>
        </w:rPr>
        <w:lastRenderedPageBreak/>
        <w:t>Disposition</w:t>
      </w:r>
    </w:p>
    <w:p w14:paraId="369E586E" w14:textId="7ECA4D66" w:rsidR="000C5E6D" w:rsidRDefault="00565B1C" w:rsidP="00944BF3">
      <w:pPr>
        <w:pStyle w:val="Indent5DbSp"/>
        <w:spacing w:line="360" w:lineRule="auto"/>
        <w:ind w:firstLine="1440"/>
        <w:rPr>
          <w:rFonts w:eastAsia="Times New Roman"/>
          <w:bCs/>
        </w:rPr>
      </w:pPr>
      <w:r w:rsidRPr="00E0558A">
        <w:rPr>
          <w:rFonts w:eastAsia="Cambria"/>
          <w:bCs/>
        </w:rPr>
        <w:t xml:space="preserve">PUC’s jurisdiction over PGW’s assessment of </w:t>
      </w:r>
      <w:r w:rsidR="00FA7331" w:rsidRPr="00E0558A">
        <w:rPr>
          <w:rFonts w:eastAsia="Cambria"/>
          <w:bCs/>
        </w:rPr>
        <w:t>18% interest rate as late payment charges on outstanding balances</w:t>
      </w:r>
      <w:r w:rsidR="00CA2A0D" w:rsidRPr="00E0558A">
        <w:rPr>
          <w:rFonts w:eastAsia="Cambria"/>
          <w:bCs/>
        </w:rPr>
        <w:t xml:space="preserve"> after they were docketed as municipal liens has been at the </w:t>
      </w:r>
      <w:r w:rsidR="00242C4C" w:rsidRPr="00E0558A">
        <w:rPr>
          <w:rFonts w:eastAsia="Cambria"/>
          <w:bCs/>
        </w:rPr>
        <w:t>forefront</w:t>
      </w:r>
      <w:r w:rsidR="00CA2A0D" w:rsidRPr="00E0558A">
        <w:rPr>
          <w:rFonts w:eastAsia="Cambria"/>
          <w:bCs/>
        </w:rPr>
        <w:t xml:space="preserve"> of</w:t>
      </w:r>
      <w:r w:rsidR="003F6B37" w:rsidRPr="00E0558A">
        <w:rPr>
          <w:rFonts w:eastAsia="Cambria"/>
          <w:bCs/>
        </w:rPr>
        <w:t xml:space="preserve"> discussions and rulings on th</w:t>
      </w:r>
      <w:r w:rsidR="00DF28AF" w:rsidRPr="00E0558A">
        <w:rPr>
          <w:rFonts w:eastAsia="Cambria"/>
          <w:bCs/>
        </w:rPr>
        <w:t>ese</w:t>
      </w:r>
      <w:r w:rsidR="005866A7" w:rsidRPr="00E0558A">
        <w:rPr>
          <w:rFonts w:eastAsia="Cambria"/>
          <w:bCs/>
        </w:rPr>
        <w:t xml:space="preserve"> </w:t>
      </w:r>
      <w:r w:rsidR="000638C6" w:rsidRPr="00E0558A">
        <w:rPr>
          <w:rFonts w:eastAsia="Cambria"/>
          <w:bCs/>
        </w:rPr>
        <w:t xml:space="preserve">cases </w:t>
      </w:r>
      <w:r w:rsidR="005866A7" w:rsidRPr="00E0558A">
        <w:rPr>
          <w:rFonts w:eastAsia="Cambria"/>
          <w:bCs/>
        </w:rPr>
        <w:t xml:space="preserve">from </w:t>
      </w:r>
      <w:r w:rsidR="00DF28AF" w:rsidRPr="00E0558A">
        <w:rPr>
          <w:rFonts w:eastAsia="Cambria"/>
          <w:bCs/>
        </w:rPr>
        <w:t xml:space="preserve">their </w:t>
      </w:r>
      <w:r w:rsidR="005866A7" w:rsidRPr="00E0558A">
        <w:rPr>
          <w:rFonts w:eastAsia="Cambria"/>
          <w:bCs/>
        </w:rPr>
        <w:t>original filing with the Commission in 2012</w:t>
      </w:r>
      <w:r w:rsidR="00DF28AF" w:rsidRPr="00E0558A">
        <w:rPr>
          <w:rFonts w:eastAsia="Cambria"/>
          <w:bCs/>
        </w:rPr>
        <w:t xml:space="preserve"> and 2015</w:t>
      </w:r>
      <w:r w:rsidR="005866A7" w:rsidRPr="00E0558A">
        <w:rPr>
          <w:rFonts w:eastAsia="Cambria"/>
          <w:bCs/>
        </w:rPr>
        <w:t xml:space="preserve">.  </w:t>
      </w:r>
      <w:bookmarkStart w:id="3" w:name="_Hlk121484013"/>
      <w:r w:rsidR="00E12F67" w:rsidRPr="00E0558A">
        <w:rPr>
          <w:rFonts w:eastAsia="Cambria"/>
          <w:bCs/>
        </w:rPr>
        <w:t>Beginning with my Order on PGW’s Preliminary Objections issued on July 17, 2012</w:t>
      </w:r>
      <w:r w:rsidR="00096F7D" w:rsidRPr="00E0558A">
        <w:rPr>
          <w:rFonts w:eastAsia="Cambria"/>
          <w:bCs/>
        </w:rPr>
        <w:t xml:space="preserve">, at </w:t>
      </w:r>
      <w:r w:rsidR="00A22C36" w:rsidRPr="00E0558A">
        <w:rPr>
          <w:rFonts w:eastAsia="Cambria"/>
          <w:bCs/>
        </w:rPr>
        <w:t>Docket Nos.</w:t>
      </w:r>
      <w:bookmarkEnd w:id="3"/>
      <w:r w:rsidR="00A22C36" w:rsidRPr="00E0558A">
        <w:rPr>
          <w:rFonts w:eastAsia="Times New Roman"/>
          <w:bCs/>
        </w:rPr>
        <w:t xml:space="preserve"> </w:t>
      </w:r>
      <w:r w:rsidR="006F1ACD" w:rsidRPr="00E0558A">
        <w:rPr>
          <w:rFonts w:eastAsia="Times New Roman"/>
          <w:bCs/>
        </w:rPr>
        <w:t xml:space="preserve">C-2012-2304215; </w:t>
      </w:r>
      <w:r w:rsidR="00A22C36" w:rsidRPr="00E0558A">
        <w:rPr>
          <w:rFonts w:eastAsia="Times New Roman"/>
          <w:bCs/>
        </w:rPr>
        <w:t>C-2012-</w:t>
      </w:r>
      <w:r w:rsidR="007678A3" w:rsidRPr="00E0558A">
        <w:rPr>
          <w:rFonts w:eastAsia="Times New Roman"/>
          <w:bCs/>
        </w:rPr>
        <w:t>2304183; C-2012-2304167</w:t>
      </w:r>
      <w:r w:rsidR="005D2BA8" w:rsidRPr="00E0558A">
        <w:rPr>
          <w:rFonts w:eastAsia="Cambria"/>
          <w:bCs/>
        </w:rPr>
        <w:t xml:space="preserve">; </w:t>
      </w:r>
      <w:r w:rsidR="005D2BA8" w:rsidRPr="00E0558A">
        <w:rPr>
          <w:rFonts w:eastAsia="Times New Roman"/>
          <w:bCs/>
        </w:rPr>
        <w:t>C-2012-2304324</w:t>
      </w:r>
      <w:r w:rsidR="005D2BA8" w:rsidRPr="00E0558A">
        <w:rPr>
          <w:rFonts w:eastAsia="Cambria"/>
          <w:bCs/>
        </w:rPr>
        <w:t xml:space="preserve">; </w:t>
      </w:r>
      <w:r w:rsidR="00900DE3" w:rsidRPr="00E0558A">
        <w:rPr>
          <w:rFonts w:eastAsia="Times New Roman"/>
          <w:bCs/>
        </w:rPr>
        <w:t>C-2012-2304303</w:t>
      </w:r>
      <w:r w:rsidR="00D91C16" w:rsidRPr="00E0558A">
        <w:rPr>
          <w:rFonts w:eastAsia="Times New Roman"/>
          <w:bCs/>
        </w:rPr>
        <w:t>, the issue was addressed</w:t>
      </w:r>
      <w:r w:rsidR="004374BC" w:rsidRPr="00E0558A">
        <w:rPr>
          <w:rFonts w:eastAsia="Times New Roman"/>
          <w:bCs/>
        </w:rPr>
        <w:t xml:space="preserve"> in a threshold analysis </w:t>
      </w:r>
      <w:r w:rsidR="00D91C16" w:rsidRPr="00E0558A">
        <w:rPr>
          <w:rFonts w:eastAsia="Times New Roman"/>
          <w:bCs/>
        </w:rPr>
        <w:t xml:space="preserve">and ruled upon </w:t>
      </w:r>
      <w:r w:rsidR="000F34B8" w:rsidRPr="00E0558A">
        <w:rPr>
          <w:rFonts w:eastAsia="Times New Roman"/>
          <w:bCs/>
        </w:rPr>
        <w:t>as follows</w:t>
      </w:r>
      <w:r w:rsidR="00BF5E32" w:rsidRPr="00E0558A">
        <w:rPr>
          <w:rFonts w:eastAsia="Times New Roman"/>
          <w:bCs/>
        </w:rPr>
        <w:t>,</w:t>
      </w:r>
    </w:p>
    <w:p w14:paraId="32083AC4" w14:textId="77777777" w:rsidR="00BD7F1B" w:rsidRPr="00E0558A" w:rsidRDefault="00BD7F1B" w:rsidP="00944BF3">
      <w:pPr>
        <w:pStyle w:val="Indent5DbSp"/>
        <w:spacing w:line="360" w:lineRule="auto"/>
        <w:ind w:firstLine="1440"/>
      </w:pPr>
    </w:p>
    <w:p w14:paraId="407A04AE" w14:textId="1EBC7571" w:rsidR="000C5E6D" w:rsidRDefault="00D25D08" w:rsidP="000C5E6D">
      <w:pPr>
        <w:spacing w:after="0" w:line="240" w:lineRule="auto"/>
        <w:ind w:left="1440" w:right="1440"/>
        <w:rPr>
          <w:rFonts w:ascii="Times New Roman" w:hAnsi="Times New Roman" w:cs="Times New Roman"/>
          <w:bCs/>
          <w:sz w:val="24"/>
          <w:szCs w:val="24"/>
        </w:rPr>
      </w:pPr>
      <w:r w:rsidRPr="00E0558A">
        <w:rPr>
          <w:rFonts w:ascii="Times New Roman" w:hAnsi="Times New Roman" w:cs="Times New Roman"/>
          <w:bCs/>
          <w:sz w:val="24"/>
          <w:szCs w:val="24"/>
        </w:rPr>
        <w:t>Unlike the placement of municipal liens, [SBG’s claim</w:t>
      </w:r>
      <w:r w:rsidR="00DB0646" w:rsidRPr="00E0558A">
        <w:rPr>
          <w:rFonts w:ascii="Times New Roman" w:hAnsi="Times New Roman" w:cs="Times New Roman"/>
          <w:bCs/>
          <w:sz w:val="24"/>
          <w:szCs w:val="24"/>
        </w:rPr>
        <w:t xml:space="preserve">s regarding the accuracy of billing </w:t>
      </w:r>
      <w:r w:rsidR="00A171E1" w:rsidRPr="00E0558A">
        <w:rPr>
          <w:rFonts w:ascii="Times New Roman" w:hAnsi="Times New Roman" w:cs="Times New Roman"/>
          <w:bCs/>
          <w:sz w:val="24"/>
          <w:szCs w:val="24"/>
        </w:rPr>
        <w:t xml:space="preserve">related to the calculation of interest and penalties assessed] </w:t>
      </w:r>
      <w:r w:rsidRPr="00E0558A">
        <w:rPr>
          <w:rFonts w:ascii="Times New Roman" w:hAnsi="Times New Roman" w:cs="Times New Roman"/>
          <w:bCs/>
          <w:sz w:val="24"/>
          <w:szCs w:val="24"/>
        </w:rPr>
        <w:t>fall squarely within the purview of the Commission’s jurisdiction</w:t>
      </w:r>
      <w:r w:rsidR="001B2035" w:rsidRPr="00E0558A">
        <w:rPr>
          <w:rFonts w:ascii="Times New Roman" w:hAnsi="Times New Roman" w:cs="Times New Roman"/>
          <w:bCs/>
          <w:sz w:val="24"/>
          <w:szCs w:val="24"/>
        </w:rPr>
        <w:t xml:space="preserve"> </w:t>
      </w:r>
      <w:r w:rsidRPr="00E0558A">
        <w:rPr>
          <w:rFonts w:ascii="Times New Roman" w:hAnsi="Times New Roman" w:cs="Times New Roman"/>
          <w:bCs/>
          <w:sz w:val="24"/>
          <w:szCs w:val="24"/>
        </w:rPr>
        <w:t>and are rightfully brought before it for adjudication.</w:t>
      </w:r>
      <w:r w:rsidR="000C5E6D" w:rsidRPr="00E0558A">
        <w:rPr>
          <w:rFonts w:ascii="Times New Roman" w:hAnsi="Times New Roman" w:cs="Times New Roman"/>
          <w:bCs/>
          <w:i/>
          <w:sz w:val="24"/>
          <w:szCs w:val="24"/>
        </w:rPr>
        <w:t xml:space="preserve">  </w:t>
      </w:r>
      <w:r w:rsidRPr="00E0558A">
        <w:rPr>
          <w:rFonts w:ascii="Times New Roman" w:hAnsi="Times New Roman" w:cs="Times New Roman"/>
          <w:bCs/>
          <w:i/>
          <w:sz w:val="24"/>
          <w:szCs w:val="24"/>
        </w:rPr>
        <w:t>Dennis J. Vicario v. Philadelphia Gas Works</w:t>
      </w:r>
      <w:r w:rsidRPr="00E0558A">
        <w:rPr>
          <w:rFonts w:ascii="Times New Roman" w:hAnsi="Times New Roman" w:cs="Times New Roman"/>
          <w:bCs/>
          <w:sz w:val="24"/>
          <w:szCs w:val="24"/>
        </w:rPr>
        <w:t>, C-2010-2213955 (Order entered November 16, 2011)</w:t>
      </w:r>
      <w:r w:rsidR="000C5E6D" w:rsidRPr="00E0558A">
        <w:rPr>
          <w:rFonts w:ascii="Times New Roman" w:hAnsi="Times New Roman" w:cs="Times New Roman"/>
          <w:bCs/>
          <w:sz w:val="24"/>
          <w:szCs w:val="24"/>
        </w:rPr>
        <w:t>.</w:t>
      </w:r>
    </w:p>
    <w:p w14:paraId="3EF23F40" w14:textId="77777777" w:rsidR="007E3899" w:rsidRPr="00E0558A" w:rsidRDefault="007E3899" w:rsidP="000C5E6D">
      <w:pPr>
        <w:spacing w:after="0" w:line="240" w:lineRule="auto"/>
        <w:ind w:left="1440" w:right="1440"/>
        <w:rPr>
          <w:rFonts w:ascii="Times New Roman" w:hAnsi="Times New Roman" w:cs="Times New Roman"/>
          <w:bCs/>
          <w:sz w:val="24"/>
          <w:szCs w:val="24"/>
        </w:rPr>
      </w:pPr>
    </w:p>
    <w:p w14:paraId="5C7A281E" w14:textId="5DF37B78" w:rsidR="00FD337C" w:rsidRPr="00E0558A" w:rsidRDefault="00953D4F" w:rsidP="00953D4F">
      <w:pPr>
        <w:spacing w:after="0" w:line="360" w:lineRule="auto"/>
        <w:ind w:right="1440"/>
        <w:rPr>
          <w:rFonts w:ascii="Times New Roman" w:hAnsi="Times New Roman" w:cs="Times New Roman"/>
          <w:bCs/>
          <w:sz w:val="24"/>
          <w:szCs w:val="24"/>
        </w:rPr>
      </w:pPr>
      <w:r w:rsidRPr="00E0558A">
        <w:rPr>
          <w:rFonts w:ascii="Times New Roman" w:hAnsi="Times New Roman" w:cs="Times New Roman"/>
          <w:bCs/>
          <w:sz w:val="24"/>
          <w:szCs w:val="24"/>
        </w:rPr>
        <w:t>(</w:t>
      </w:r>
      <w:r w:rsidR="000C5E6D" w:rsidRPr="00E0558A">
        <w:rPr>
          <w:rFonts w:ascii="Times New Roman" w:hAnsi="Times New Roman" w:cs="Times New Roman"/>
          <w:bCs/>
          <w:sz w:val="24"/>
          <w:szCs w:val="24"/>
        </w:rPr>
        <w:t xml:space="preserve">Order at </w:t>
      </w:r>
      <w:r w:rsidR="006148CA" w:rsidRPr="00E0558A">
        <w:rPr>
          <w:rFonts w:ascii="Times New Roman" w:hAnsi="Times New Roman" w:cs="Times New Roman"/>
          <w:bCs/>
          <w:sz w:val="24"/>
          <w:szCs w:val="24"/>
        </w:rPr>
        <w:t>10</w:t>
      </w:r>
      <w:r w:rsidRPr="00E0558A">
        <w:rPr>
          <w:rFonts w:ascii="Times New Roman" w:hAnsi="Times New Roman" w:cs="Times New Roman"/>
          <w:bCs/>
          <w:sz w:val="24"/>
          <w:szCs w:val="24"/>
        </w:rPr>
        <w:t xml:space="preserve">), </w:t>
      </w:r>
      <w:r w:rsidR="00E14F74" w:rsidRPr="00E0558A">
        <w:rPr>
          <w:rFonts w:ascii="Times New Roman" w:hAnsi="Times New Roman" w:cs="Times New Roman"/>
          <w:bCs/>
          <w:sz w:val="24"/>
          <w:szCs w:val="24"/>
        </w:rPr>
        <w:t xml:space="preserve">continuing with my Initial Decision issued on </w:t>
      </w:r>
      <w:r w:rsidR="00C74C75" w:rsidRPr="00E0558A">
        <w:rPr>
          <w:rFonts w:ascii="Times New Roman" w:hAnsi="Times New Roman" w:cs="Times New Roman"/>
          <w:bCs/>
          <w:sz w:val="24"/>
          <w:szCs w:val="24"/>
        </w:rPr>
        <w:t xml:space="preserve">August 21, </w:t>
      </w:r>
      <w:r w:rsidR="0093150E" w:rsidRPr="00E0558A">
        <w:rPr>
          <w:rFonts w:ascii="Times New Roman" w:hAnsi="Times New Roman" w:cs="Times New Roman"/>
          <w:bCs/>
          <w:sz w:val="24"/>
          <w:szCs w:val="24"/>
        </w:rPr>
        <w:t>2015,</w:t>
      </w:r>
      <w:r w:rsidR="00C74C75" w:rsidRPr="00E0558A">
        <w:rPr>
          <w:rFonts w:ascii="Times New Roman" w:hAnsi="Times New Roman" w:cs="Times New Roman"/>
          <w:bCs/>
          <w:sz w:val="24"/>
          <w:szCs w:val="24"/>
        </w:rPr>
        <w:t xml:space="preserve"> on </w:t>
      </w:r>
      <w:bookmarkStart w:id="4" w:name="_Hlk122092695"/>
      <w:r w:rsidR="002430F5" w:rsidRPr="0019462C">
        <w:rPr>
          <w:rFonts w:ascii="Times New Roman" w:eastAsia="Cambria" w:hAnsi="Times New Roman" w:cs="Times New Roman"/>
          <w:bCs/>
          <w:i/>
          <w:iCs/>
          <w:sz w:val="24"/>
          <w:szCs w:val="24"/>
        </w:rPr>
        <w:t xml:space="preserve">SBG </w:t>
      </w:r>
      <w:r w:rsidR="002430F5" w:rsidRPr="0019462C">
        <w:rPr>
          <w:rFonts w:ascii="Times New Roman" w:eastAsia="Times New Roman" w:hAnsi="Times New Roman" w:cs="Times New Roman"/>
          <w:bCs/>
          <w:i/>
          <w:iCs/>
          <w:spacing w:val="-3"/>
          <w:sz w:val="24"/>
          <w:szCs w:val="24"/>
        </w:rPr>
        <w:t>Management Services, Inc. et al.</w:t>
      </w:r>
      <w:r w:rsidR="002430F5" w:rsidRPr="0019462C">
        <w:rPr>
          <w:rFonts w:ascii="Times New Roman" w:eastAsia="Cambria" w:hAnsi="Times New Roman" w:cs="Times New Roman"/>
          <w:bCs/>
          <w:i/>
          <w:iCs/>
          <w:sz w:val="24"/>
          <w:szCs w:val="24"/>
        </w:rPr>
        <w:t xml:space="preserve"> v. Philadelphia Gas Works</w:t>
      </w:r>
      <w:bookmarkEnd w:id="4"/>
      <w:r w:rsidR="002430F5" w:rsidRPr="00E0558A">
        <w:rPr>
          <w:rFonts w:ascii="Times New Roman" w:eastAsia="Cambria" w:hAnsi="Times New Roman" w:cs="Times New Roman"/>
          <w:bCs/>
          <w:sz w:val="24"/>
          <w:szCs w:val="24"/>
        </w:rPr>
        <w:t xml:space="preserve">, </w:t>
      </w:r>
      <w:r w:rsidR="00C74C75" w:rsidRPr="00E0558A">
        <w:rPr>
          <w:rFonts w:ascii="Times New Roman" w:eastAsia="Cambria" w:hAnsi="Times New Roman" w:cs="Times New Roman"/>
          <w:bCs/>
          <w:sz w:val="24"/>
          <w:szCs w:val="24"/>
        </w:rPr>
        <w:t xml:space="preserve">at </w:t>
      </w:r>
      <w:r w:rsidR="002430F5" w:rsidRPr="00E0558A">
        <w:rPr>
          <w:rFonts w:ascii="Times New Roman" w:eastAsia="Cambria" w:hAnsi="Times New Roman" w:cs="Times New Roman"/>
          <w:bCs/>
          <w:sz w:val="24"/>
          <w:szCs w:val="24"/>
        </w:rPr>
        <w:t>Docket Nos.</w:t>
      </w:r>
      <w:r w:rsidR="00E22556" w:rsidRPr="00E0558A">
        <w:rPr>
          <w:rFonts w:ascii="Times New Roman" w:eastAsia="Times New Roman" w:hAnsi="Times New Roman" w:cs="Times New Roman"/>
          <w:bCs/>
          <w:sz w:val="24"/>
          <w:szCs w:val="24"/>
        </w:rPr>
        <w:t xml:space="preserve"> C-2012-2304183 and C-2012-2304324</w:t>
      </w:r>
      <w:r w:rsidR="0019462C">
        <w:rPr>
          <w:rFonts w:ascii="Times New Roman" w:eastAsia="Times New Roman" w:hAnsi="Times New Roman" w:cs="Times New Roman"/>
          <w:bCs/>
          <w:sz w:val="24"/>
          <w:szCs w:val="24"/>
        </w:rPr>
        <w:t xml:space="preserve"> (2012</w:t>
      </w:r>
      <w:r w:rsidR="00975F39">
        <w:rPr>
          <w:rFonts w:ascii="Times New Roman" w:eastAsia="Times New Roman" w:hAnsi="Times New Roman" w:cs="Times New Roman"/>
          <w:bCs/>
          <w:sz w:val="24"/>
          <w:szCs w:val="24"/>
        </w:rPr>
        <w:t xml:space="preserve"> Complaints of Simon Garden and Colonial Garden)</w:t>
      </w:r>
      <w:r w:rsidR="006148CA" w:rsidRPr="00E0558A">
        <w:rPr>
          <w:rFonts w:ascii="Times New Roman" w:eastAsia="Times New Roman" w:hAnsi="Times New Roman" w:cs="Times New Roman"/>
          <w:bCs/>
          <w:sz w:val="24"/>
          <w:szCs w:val="24"/>
        </w:rPr>
        <w:t>:</w:t>
      </w:r>
    </w:p>
    <w:p w14:paraId="1A735CD2" w14:textId="77777777" w:rsidR="006148CA" w:rsidRPr="00E0558A" w:rsidRDefault="006148CA" w:rsidP="006148CA">
      <w:pPr>
        <w:tabs>
          <w:tab w:val="left" w:pos="7830"/>
        </w:tabs>
        <w:spacing w:after="0" w:line="240" w:lineRule="auto"/>
        <w:rPr>
          <w:rFonts w:ascii="Times New Roman" w:hAnsi="Times New Roman" w:cs="Times New Roman"/>
          <w:bCs/>
          <w:sz w:val="24"/>
          <w:szCs w:val="24"/>
        </w:rPr>
      </w:pPr>
    </w:p>
    <w:p w14:paraId="2F22694B" w14:textId="60D49464" w:rsidR="00FD337C" w:rsidRPr="00E0558A" w:rsidRDefault="00FD337C" w:rsidP="00FD337C">
      <w:pPr>
        <w:spacing w:after="0" w:line="240" w:lineRule="auto"/>
        <w:ind w:left="1440" w:right="1440"/>
        <w:rPr>
          <w:rFonts w:ascii="Times New Roman" w:hAnsi="Times New Roman" w:cs="Times New Roman"/>
          <w:bCs/>
          <w:sz w:val="24"/>
          <w:szCs w:val="24"/>
        </w:rPr>
      </w:pPr>
      <w:r w:rsidRPr="00E0558A">
        <w:rPr>
          <w:rFonts w:ascii="Times New Roman" w:hAnsi="Times New Roman" w:cs="Times New Roman"/>
          <w:bCs/>
          <w:sz w:val="24"/>
          <w:szCs w:val="24"/>
        </w:rPr>
        <w:t xml:space="preserve">It is well-settled that the Commission does not have jurisdiction over the placement of municipal liens.  </w:t>
      </w:r>
      <w:r w:rsidRPr="00E0558A">
        <w:rPr>
          <w:rFonts w:ascii="Times New Roman" w:hAnsi="Times New Roman" w:cs="Times New Roman"/>
          <w:bCs/>
          <w:i/>
          <w:sz w:val="24"/>
          <w:szCs w:val="24"/>
        </w:rPr>
        <w:t>See</w:t>
      </w:r>
      <w:r w:rsidRPr="00E0558A">
        <w:rPr>
          <w:rFonts w:ascii="Times New Roman" w:hAnsi="Times New Roman" w:cs="Times New Roman"/>
          <w:bCs/>
          <w:sz w:val="24"/>
          <w:szCs w:val="24"/>
        </w:rPr>
        <w:t xml:space="preserve">, </w:t>
      </w:r>
      <w:r w:rsidRPr="00E0558A">
        <w:rPr>
          <w:rFonts w:ascii="Times New Roman" w:hAnsi="Times New Roman" w:cs="Times New Roman"/>
          <w:bCs/>
          <w:i/>
          <w:sz w:val="24"/>
          <w:szCs w:val="24"/>
        </w:rPr>
        <w:t>Josephine Pitt v. Philadelphia Gas Works</w:t>
      </w:r>
      <w:r w:rsidRPr="00E0558A">
        <w:rPr>
          <w:rFonts w:ascii="Times New Roman" w:hAnsi="Times New Roman" w:cs="Times New Roman"/>
          <w:bCs/>
          <w:sz w:val="24"/>
          <w:szCs w:val="24"/>
        </w:rPr>
        <w:t xml:space="preserve">, Docket No. C-2009-2140025 (Order entered April 29, 2010).  In </w:t>
      </w:r>
      <w:r w:rsidRPr="00E0558A">
        <w:rPr>
          <w:rFonts w:ascii="Times New Roman" w:hAnsi="Times New Roman" w:cs="Times New Roman"/>
          <w:bCs/>
          <w:i/>
          <w:sz w:val="24"/>
          <w:szCs w:val="24"/>
        </w:rPr>
        <w:t>See Dennis J. Vicario v. Philadelphia Gas Works</w:t>
      </w:r>
      <w:r w:rsidRPr="00E0558A">
        <w:rPr>
          <w:rFonts w:ascii="Times New Roman" w:hAnsi="Times New Roman" w:cs="Times New Roman"/>
          <w:bCs/>
          <w:sz w:val="24"/>
          <w:szCs w:val="24"/>
        </w:rPr>
        <w:t xml:space="preserve">, C-2010-2213955 (Opinion and Order entered November 16, 2011), the Commission recognized its lack of subject matter jurisdiction over the placement of municipal </w:t>
      </w:r>
      <w:r w:rsidR="00B1662F" w:rsidRPr="00E0558A">
        <w:rPr>
          <w:rFonts w:ascii="Times New Roman" w:hAnsi="Times New Roman" w:cs="Times New Roman"/>
          <w:bCs/>
          <w:sz w:val="24"/>
          <w:szCs w:val="24"/>
        </w:rPr>
        <w:t>liens but</w:t>
      </w:r>
      <w:r w:rsidRPr="00E0558A">
        <w:rPr>
          <w:rFonts w:ascii="Times New Roman" w:hAnsi="Times New Roman" w:cs="Times New Roman"/>
          <w:bCs/>
          <w:sz w:val="24"/>
          <w:szCs w:val="24"/>
        </w:rPr>
        <w:t xml:space="preserve"> explained that it retains jurisdiction over the utility’s service and billing practices reflected in the outstanding balance on which the municipal lien was filed. See </w:t>
      </w:r>
      <w:r w:rsidRPr="00E0558A">
        <w:rPr>
          <w:rFonts w:ascii="Times New Roman" w:hAnsi="Times New Roman" w:cs="Times New Roman"/>
          <w:bCs/>
          <w:i/>
          <w:sz w:val="24"/>
          <w:szCs w:val="24"/>
        </w:rPr>
        <w:t>Viccario</w:t>
      </w:r>
      <w:r w:rsidRPr="00E0558A">
        <w:rPr>
          <w:rFonts w:ascii="Times New Roman" w:hAnsi="Times New Roman" w:cs="Times New Roman"/>
          <w:bCs/>
          <w:sz w:val="24"/>
          <w:szCs w:val="24"/>
        </w:rPr>
        <w:t xml:space="preserve">, Opinion and Order at 5. </w:t>
      </w:r>
    </w:p>
    <w:p w14:paraId="562E3CAF" w14:textId="77777777" w:rsidR="00FD337C" w:rsidRPr="00E0558A" w:rsidRDefault="00FD337C" w:rsidP="00FD337C">
      <w:pPr>
        <w:spacing w:after="0" w:line="240" w:lineRule="auto"/>
        <w:ind w:left="1440" w:right="1440"/>
        <w:rPr>
          <w:rFonts w:ascii="Times New Roman" w:hAnsi="Times New Roman" w:cs="Times New Roman"/>
          <w:bCs/>
          <w:sz w:val="24"/>
          <w:szCs w:val="24"/>
        </w:rPr>
      </w:pPr>
      <w:r w:rsidRPr="00E0558A">
        <w:rPr>
          <w:rFonts w:ascii="Times New Roman" w:hAnsi="Times New Roman" w:cs="Times New Roman"/>
          <w:bCs/>
          <w:sz w:val="24"/>
          <w:szCs w:val="24"/>
        </w:rPr>
        <w:tab/>
      </w:r>
      <w:r w:rsidRPr="00E0558A">
        <w:rPr>
          <w:rFonts w:ascii="Times New Roman" w:hAnsi="Times New Roman" w:cs="Times New Roman"/>
          <w:bCs/>
          <w:sz w:val="24"/>
          <w:szCs w:val="24"/>
        </w:rPr>
        <w:tab/>
      </w:r>
    </w:p>
    <w:p w14:paraId="03C6F20E" w14:textId="46DAE8A1" w:rsidR="00E734FC" w:rsidRPr="00E0558A" w:rsidRDefault="00FD337C" w:rsidP="00B342DE">
      <w:pPr>
        <w:spacing w:after="0" w:line="240" w:lineRule="auto"/>
        <w:ind w:left="1440" w:right="1440"/>
        <w:rPr>
          <w:rFonts w:ascii="Times New Roman" w:eastAsia="Cambria" w:hAnsi="Times New Roman" w:cs="Times New Roman"/>
          <w:bCs/>
          <w:sz w:val="24"/>
          <w:szCs w:val="24"/>
        </w:rPr>
      </w:pPr>
      <w:r w:rsidRPr="00E0558A">
        <w:rPr>
          <w:rFonts w:ascii="Times New Roman" w:hAnsi="Times New Roman" w:cs="Times New Roman"/>
          <w:bCs/>
          <w:sz w:val="24"/>
          <w:szCs w:val="24"/>
        </w:rPr>
        <w:t>The interest rate at which late payment charges are accrued on an outstanding balance is a billing issue, which lies squarely within the jurisdiction of this Commission, even if the outstanding balance in question is the subject of a municipal lien filed against the Complainants’ property for unpaid gas service.</w:t>
      </w:r>
    </w:p>
    <w:p w14:paraId="0594BBEA" w14:textId="229FBB89" w:rsidR="00E734FC" w:rsidRPr="00E0558A" w:rsidRDefault="00E734FC" w:rsidP="007E41EF">
      <w:pPr>
        <w:spacing w:line="240" w:lineRule="auto"/>
        <w:rPr>
          <w:rFonts w:ascii="Times New Roman" w:eastAsia="Cambria" w:hAnsi="Times New Roman" w:cs="Times New Roman"/>
          <w:bCs/>
          <w:sz w:val="24"/>
          <w:szCs w:val="24"/>
        </w:rPr>
      </w:pPr>
    </w:p>
    <w:p w14:paraId="58824F94" w14:textId="4102BCD3" w:rsidR="00443F99" w:rsidRPr="00E0558A" w:rsidRDefault="004A2A66" w:rsidP="004A2A66">
      <w:pPr>
        <w:spacing w:after="0" w:line="360" w:lineRule="auto"/>
        <w:rPr>
          <w:rFonts w:ascii="Times New Roman" w:eastAsia="Cambria" w:hAnsi="Times New Roman" w:cs="Times New Roman"/>
          <w:bCs/>
          <w:sz w:val="24"/>
          <w:szCs w:val="24"/>
        </w:rPr>
      </w:pPr>
      <w:r w:rsidRPr="00E0558A">
        <w:rPr>
          <w:rFonts w:ascii="Times New Roman" w:eastAsia="Cambria" w:hAnsi="Times New Roman" w:cs="Times New Roman"/>
          <w:bCs/>
          <w:sz w:val="24"/>
          <w:szCs w:val="24"/>
        </w:rPr>
        <w:lastRenderedPageBreak/>
        <w:t>(</w:t>
      </w:r>
      <w:r w:rsidR="007E41EF" w:rsidRPr="00E0558A">
        <w:rPr>
          <w:rFonts w:ascii="Times New Roman" w:eastAsia="Cambria" w:hAnsi="Times New Roman" w:cs="Times New Roman"/>
          <w:bCs/>
          <w:sz w:val="24"/>
          <w:szCs w:val="24"/>
        </w:rPr>
        <w:t>Initial Decision at 55-56</w:t>
      </w:r>
      <w:r w:rsidRPr="00E0558A">
        <w:rPr>
          <w:rFonts w:ascii="Times New Roman" w:eastAsia="Cambria" w:hAnsi="Times New Roman" w:cs="Times New Roman"/>
          <w:bCs/>
          <w:sz w:val="24"/>
          <w:szCs w:val="24"/>
        </w:rPr>
        <w:t>)</w:t>
      </w:r>
      <w:r w:rsidR="0082052C">
        <w:rPr>
          <w:rStyle w:val="FootnoteReference"/>
          <w:rFonts w:ascii="Times New Roman" w:eastAsia="Cambria" w:hAnsi="Times New Roman" w:cs="Times New Roman"/>
          <w:bCs/>
          <w:sz w:val="24"/>
          <w:szCs w:val="24"/>
        </w:rPr>
        <w:footnoteReference w:id="10"/>
      </w:r>
      <w:r w:rsidRPr="00E0558A">
        <w:rPr>
          <w:rFonts w:ascii="Times New Roman" w:eastAsia="Cambria" w:hAnsi="Times New Roman" w:cs="Times New Roman"/>
          <w:bCs/>
          <w:sz w:val="24"/>
          <w:szCs w:val="24"/>
        </w:rPr>
        <w:t>, a</w:t>
      </w:r>
      <w:r w:rsidR="007E41EF" w:rsidRPr="00E0558A">
        <w:rPr>
          <w:rFonts w:ascii="Times New Roman" w:eastAsia="Cambria" w:hAnsi="Times New Roman" w:cs="Times New Roman"/>
          <w:bCs/>
          <w:sz w:val="24"/>
          <w:szCs w:val="24"/>
        </w:rPr>
        <w:t xml:space="preserve">nd </w:t>
      </w:r>
      <w:r w:rsidR="006148CA" w:rsidRPr="00E0558A">
        <w:rPr>
          <w:rFonts w:ascii="Times New Roman" w:eastAsia="Cambria" w:hAnsi="Times New Roman" w:cs="Times New Roman"/>
          <w:bCs/>
          <w:sz w:val="24"/>
          <w:szCs w:val="24"/>
        </w:rPr>
        <w:t xml:space="preserve">further with the </w:t>
      </w:r>
      <w:r w:rsidR="00A262EA" w:rsidRPr="00E0558A">
        <w:rPr>
          <w:rFonts w:ascii="Times New Roman" w:eastAsia="Cambria" w:hAnsi="Times New Roman" w:cs="Times New Roman"/>
          <w:bCs/>
          <w:sz w:val="24"/>
          <w:szCs w:val="24"/>
        </w:rPr>
        <w:t xml:space="preserve">Commission’s </w:t>
      </w:r>
      <w:r w:rsidR="00BE475C" w:rsidRPr="00E0558A">
        <w:rPr>
          <w:rFonts w:ascii="Times New Roman" w:eastAsia="Cambria" w:hAnsi="Times New Roman" w:cs="Times New Roman"/>
          <w:bCs/>
          <w:sz w:val="24"/>
          <w:szCs w:val="24"/>
        </w:rPr>
        <w:t>Opinion and Order</w:t>
      </w:r>
      <w:r w:rsidR="00361B36" w:rsidRPr="00E0558A">
        <w:rPr>
          <w:rFonts w:ascii="Times New Roman" w:hAnsi="Times New Roman" w:cs="Times New Roman"/>
          <w:bCs/>
          <w:sz w:val="24"/>
          <w:szCs w:val="24"/>
        </w:rPr>
        <w:t xml:space="preserve"> </w:t>
      </w:r>
      <w:r w:rsidR="00CA7CB2" w:rsidRPr="00E0558A">
        <w:rPr>
          <w:rFonts w:ascii="Times New Roman" w:hAnsi="Times New Roman" w:cs="Times New Roman"/>
          <w:bCs/>
          <w:sz w:val="24"/>
          <w:szCs w:val="24"/>
        </w:rPr>
        <w:t>entered December 8, 2016</w:t>
      </w:r>
      <w:r w:rsidR="005A75C7" w:rsidRPr="00E0558A">
        <w:rPr>
          <w:rFonts w:ascii="Times New Roman" w:hAnsi="Times New Roman" w:cs="Times New Roman"/>
          <w:bCs/>
          <w:sz w:val="24"/>
          <w:szCs w:val="24"/>
        </w:rPr>
        <w:t>,</w:t>
      </w:r>
      <w:r w:rsidR="00F94421" w:rsidRPr="00E0558A">
        <w:rPr>
          <w:rFonts w:ascii="Times New Roman" w:hAnsi="Times New Roman" w:cs="Times New Roman"/>
          <w:bCs/>
          <w:sz w:val="24"/>
          <w:szCs w:val="24"/>
        </w:rPr>
        <w:t xml:space="preserve"> </w:t>
      </w:r>
      <w:r w:rsidR="00361B36" w:rsidRPr="00E0558A">
        <w:rPr>
          <w:rFonts w:ascii="Times New Roman" w:hAnsi="Times New Roman" w:cs="Times New Roman"/>
          <w:bCs/>
          <w:sz w:val="24"/>
          <w:szCs w:val="24"/>
        </w:rPr>
        <w:t xml:space="preserve">on </w:t>
      </w:r>
      <w:r w:rsidR="00361B36" w:rsidRPr="00E0558A">
        <w:rPr>
          <w:rFonts w:ascii="Times New Roman" w:eastAsia="Cambria" w:hAnsi="Times New Roman" w:cs="Times New Roman"/>
          <w:bCs/>
          <w:i/>
          <w:iCs/>
          <w:sz w:val="24"/>
          <w:szCs w:val="24"/>
        </w:rPr>
        <w:t xml:space="preserve">SBG </w:t>
      </w:r>
      <w:r w:rsidR="00361B36" w:rsidRPr="00E0558A">
        <w:rPr>
          <w:rFonts w:ascii="Times New Roman" w:eastAsia="Times New Roman" w:hAnsi="Times New Roman" w:cs="Times New Roman"/>
          <w:bCs/>
          <w:i/>
          <w:iCs/>
          <w:spacing w:val="-3"/>
          <w:sz w:val="24"/>
          <w:szCs w:val="24"/>
        </w:rPr>
        <w:t>Management Services, Inc. et al.</w:t>
      </w:r>
      <w:r w:rsidR="00361B36" w:rsidRPr="00E0558A">
        <w:rPr>
          <w:rFonts w:ascii="Times New Roman" w:eastAsia="Cambria" w:hAnsi="Times New Roman" w:cs="Times New Roman"/>
          <w:bCs/>
          <w:i/>
          <w:iCs/>
          <w:sz w:val="24"/>
          <w:szCs w:val="24"/>
        </w:rPr>
        <w:t xml:space="preserve"> v. Philadelphia Gas Works</w:t>
      </w:r>
      <w:r w:rsidR="00361B36" w:rsidRPr="00E0558A">
        <w:rPr>
          <w:rFonts w:ascii="Times New Roman" w:eastAsia="Cambria" w:hAnsi="Times New Roman" w:cs="Times New Roman"/>
          <w:bCs/>
          <w:sz w:val="24"/>
          <w:szCs w:val="24"/>
        </w:rPr>
        <w:t>, at Docket Nos.</w:t>
      </w:r>
      <w:r w:rsidR="00361B36" w:rsidRPr="00E0558A">
        <w:rPr>
          <w:rFonts w:ascii="Times New Roman" w:eastAsia="Times New Roman" w:hAnsi="Times New Roman" w:cs="Times New Roman"/>
          <w:bCs/>
          <w:sz w:val="24"/>
          <w:szCs w:val="24"/>
        </w:rPr>
        <w:t xml:space="preserve"> C-2012-2304183 and C-2012-2304324</w:t>
      </w:r>
      <w:r w:rsidR="001632EF" w:rsidRPr="00E0558A">
        <w:rPr>
          <w:rFonts w:ascii="Times New Roman" w:eastAsia="Times New Roman" w:hAnsi="Times New Roman" w:cs="Times New Roman"/>
          <w:bCs/>
          <w:sz w:val="24"/>
          <w:szCs w:val="24"/>
        </w:rPr>
        <w:t xml:space="preserve"> </w:t>
      </w:r>
      <w:r w:rsidR="00A331FF" w:rsidRPr="00E0558A">
        <w:rPr>
          <w:rFonts w:ascii="Times New Roman" w:hAnsi="Times New Roman" w:cs="Times New Roman"/>
          <w:bCs/>
          <w:sz w:val="24"/>
          <w:szCs w:val="24"/>
        </w:rPr>
        <w:t>in which the Commission conclude</w:t>
      </w:r>
      <w:r w:rsidR="00996C31" w:rsidRPr="00E0558A">
        <w:rPr>
          <w:rFonts w:ascii="Times New Roman" w:hAnsi="Times New Roman" w:cs="Times New Roman"/>
          <w:bCs/>
          <w:sz w:val="24"/>
          <w:szCs w:val="24"/>
        </w:rPr>
        <w:t>d</w:t>
      </w:r>
      <w:r w:rsidR="00A331FF" w:rsidRPr="00E0558A">
        <w:rPr>
          <w:rFonts w:ascii="Times New Roman" w:hAnsi="Times New Roman" w:cs="Times New Roman"/>
          <w:bCs/>
          <w:sz w:val="24"/>
          <w:szCs w:val="24"/>
        </w:rPr>
        <w:t xml:space="preserve"> that PGW’s practice of using the lien amount to count toward, or to be considered in, the derivation and accrual of charges pursuant to a Commission authorized tariff, </w:t>
      </w:r>
      <w:r w:rsidR="00C11A3F" w:rsidRPr="00E0558A">
        <w:rPr>
          <w:rFonts w:ascii="Times New Roman" w:hAnsi="Times New Roman" w:cs="Times New Roman"/>
          <w:bCs/>
          <w:sz w:val="24"/>
          <w:szCs w:val="24"/>
        </w:rPr>
        <w:t>was</w:t>
      </w:r>
      <w:r w:rsidR="00A331FF" w:rsidRPr="00E0558A">
        <w:rPr>
          <w:rFonts w:ascii="Times New Roman" w:hAnsi="Times New Roman" w:cs="Times New Roman"/>
          <w:bCs/>
          <w:sz w:val="24"/>
          <w:szCs w:val="24"/>
        </w:rPr>
        <w:t xml:space="preserve"> illegal</w:t>
      </w:r>
      <w:r w:rsidR="00A331FF" w:rsidRPr="00E0558A">
        <w:rPr>
          <w:rFonts w:ascii="Times New Roman" w:hAnsi="Times New Roman" w:cs="Times New Roman"/>
          <w:sz w:val="24"/>
          <w:szCs w:val="24"/>
        </w:rPr>
        <w:t xml:space="preserve"> (Opinion and Order at 79-80</w:t>
      </w:r>
      <w:r w:rsidR="00996C31" w:rsidRPr="00E0558A">
        <w:rPr>
          <w:rFonts w:ascii="Times New Roman" w:hAnsi="Times New Roman" w:cs="Times New Roman"/>
          <w:sz w:val="24"/>
          <w:szCs w:val="24"/>
        </w:rPr>
        <w:t>)</w:t>
      </w:r>
      <w:r w:rsidR="00C11A3F" w:rsidRPr="00E0558A">
        <w:rPr>
          <w:rFonts w:ascii="Times New Roman" w:hAnsi="Times New Roman" w:cs="Times New Roman"/>
          <w:sz w:val="24"/>
          <w:szCs w:val="24"/>
        </w:rPr>
        <w:t>.</w:t>
      </w:r>
      <w:r w:rsidR="00A54597">
        <w:rPr>
          <w:rFonts w:ascii="Times New Roman" w:hAnsi="Times New Roman" w:cs="Times New Roman"/>
          <w:sz w:val="24"/>
          <w:szCs w:val="24"/>
        </w:rPr>
        <w:t xml:space="preserve"> </w:t>
      </w:r>
    </w:p>
    <w:p w14:paraId="392958FA" w14:textId="04E63F9F" w:rsidR="00184721" w:rsidRPr="00E0558A" w:rsidRDefault="00184721" w:rsidP="00A96B3C">
      <w:pPr>
        <w:tabs>
          <w:tab w:val="left" w:pos="7830"/>
        </w:tabs>
        <w:spacing w:after="0" w:line="360" w:lineRule="auto"/>
        <w:rPr>
          <w:rFonts w:ascii="Times New Roman" w:eastAsia="Times New Roman" w:hAnsi="Times New Roman" w:cs="Times New Roman"/>
          <w:sz w:val="24"/>
          <w:szCs w:val="24"/>
        </w:rPr>
      </w:pPr>
    </w:p>
    <w:p w14:paraId="05F4FD91" w14:textId="6C791AAA" w:rsidR="00184721" w:rsidRDefault="00184721" w:rsidP="00184721">
      <w:pPr>
        <w:spacing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PGW successfully challenged the Commission's determination in the Commonwealth Court.</w:t>
      </w:r>
      <w:r w:rsidR="0045521A" w:rsidRPr="00E0558A">
        <w:rPr>
          <w:rFonts w:ascii="Times New Roman" w:hAnsi="Times New Roman" w:cs="Times New Roman"/>
          <w:sz w:val="24"/>
          <w:szCs w:val="24"/>
        </w:rPr>
        <w:t xml:space="preserve"> </w:t>
      </w:r>
      <w:r w:rsidR="00BD0558" w:rsidRPr="00E0558A">
        <w:rPr>
          <w:rFonts w:ascii="Times New Roman" w:hAnsi="Times New Roman" w:cs="Times New Roman"/>
          <w:sz w:val="24"/>
          <w:szCs w:val="24"/>
        </w:rPr>
        <w:t xml:space="preserve"> </w:t>
      </w:r>
      <w:r w:rsidR="00B27DF3" w:rsidRPr="00E0558A">
        <w:rPr>
          <w:rFonts w:ascii="Times New Roman" w:hAnsi="Times New Roman" w:cs="Times New Roman"/>
          <w:sz w:val="24"/>
          <w:szCs w:val="24"/>
        </w:rPr>
        <w:t>In</w:t>
      </w:r>
      <w:r w:rsidR="0045521A" w:rsidRPr="00E0558A">
        <w:rPr>
          <w:rFonts w:ascii="Times New Roman" w:hAnsi="Times New Roman" w:cs="Times New Roman"/>
          <w:i/>
          <w:iCs/>
          <w:sz w:val="24"/>
          <w:szCs w:val="24"/>
        </w:rPr>
        <w:t xml:space="preserve"> </w:t>
      </w:r>
      <w:r w:rsidRPr="00E0558A">
        <w:rPr>
          <w:rFonts w:ascii="Times New Roman" w:hAnsi="Times New Roman" w:cs="Times New Roman"/>
          <w:i/>
          <w:iCs/>
          <w:sz w:val="24"/>
          <w:szCs w:val="24"/>
        </w:rPr>
        <w:t>Phila. Gas Works v. Pa. PUC</w:t>
      </w:r>
      <w:r w:rsidRPr="00E0558A">
        <w:rPr>
          <w:rFonts w:ascii="Times New Roman" w:hAnsi="Times New Roman" w:cs="Times New Roman"/>
          <w:sz w:val="24"/>
          <w:szCs w:val="24"/>
        </w:rPr>
        <w:t>, 222 A.3d 1218 (Pa. Commw. 2019)</w:t>
      </w:r>
      <w:r w:rsidR="005318B6" w:rsidRPr="00E0558A">
        <w:rPr>
          <w:rFonts w:ascii="Times New Roman" w:hAnsi="Times New Roman" w:cs="Times New Roman"/>
          <w:sz w:val="24"/>
          <w:szCs w:val="24"/>
        </w:rPr>
        <w:t xml:space="preserve"> (</w:t>
      </w:r>
      <w:r w:rsidR="005318B6" w:rsidRPr="00E0558A">
        <w:rPr>
          <w:rFonts w:ascii="Times New Roman" w:hAnsi="Times New Roman" w:cs="Times New Roman"/>
          <w:i/>
          <w:iCs/>
          <w:sz w:val="24"/>
          <w:szCs w:val="24"/>
        </w:rPr>
        <w:t>PGW I</w:t>
      </w:r>
      <w:r w:rsidR="005318B6" w:rsidRPr="00E0558A">
        <w:rPr>
          <w:rFonts w:ascii="Times New Roman" w:hAnsi="Times New Roman" w:cs="Times New Roman"/>
          <w:sz w:val="24"/>
          <w:szCs w:val="24"/>
        </w:rPr>
        <w:t>)</w:t>
      </w:r>
      <w:r w:rsidR="00B27DF3" w:rsidRPr="00E0558A">
        <w:rPr>
          <w:rFonts w:ascii="Times New Roman" w:hAnsi="Times New Roman" w:cs="Times New Roman"/>
          <w:sz w:val="24"/>
          <w:szCs w:val="24"/>
        </w:rPr>
        <w:t>,</w:t>
      </w:r>
      <w:r w:rsidR="0045521A" w:rsidRPr="00E0558A">
        <w:rPr>
          <w:rFonts w:ascii="Times New Roman" w:hAnsi="Times New Roman" w:cs="Times New Roman"/>
          <w:b/>
          <w:bCs/>
          <w:sz w:val="24"/>
          <w:szCs w:val="24"/>
        </w:rPr>
        <w:t xml:space="preserve"> </w:t>
      </w:r>
      <w:r w:rsidR="0045521A" w:rsidRPr="00E0558A">
        <w:rPr>
          <w:rFonts w:ascii="Times New Roman" w:hAnsi="Times New Roman" w:cs="Times New Roman"/>
          <w:sz w:val="24"/>
          <w:szCs w:val="24"/>
        </w:rPr>
        <w:t>t</w:t>
      </w:r>
      <w:r w:rsidRPr="00E0558A">
        <w:rPr>
          <w:rFonts w:ascii="Times New Roman" w:hAnsi="Times New Roman" w:cs="Times New Roman"/>
          <w:sz w:val="24"/>
          <w:szCs w:val="24"/>
        </w:rPr>
        <w:t xml:space="preserve">he Commonwealth Court </w:t>
      </w:r>
      <w:r w:rsidR="004D2E84" w:rsidRPr="00E0558A">
        <w:rPr>
          <w:rFonts w:ascii="Times New Roman" w:hAnsi="Times New Roman" w:cs="Times New Roman"/>
          <w:sz w:val="24"/>
          <w:szCs w:val="24"/>
        </w:rPr>
        <w:t>reasoned that</w:t>
      </w:r>
      <w:r w:rsidR="003979FA" w:rsidRPr="00E0558A">
        <w:rPr>
          <w:rFonts w:ascii="Times New Roman" w:hAnsi="Times New Roman" w:cs="Times New Roman"/>
          <w:sz w:val="24"/>
          <w:szCs w:val="24"/>
        </w:rPr>
        <w:t>, “</w:t>
      </w:r>
      <w:r w:rsidR="004D2E84" w:rsidRPr="00E0558A">
        <w:rPr>
          <w:rFonts w:ascii="Times New Roman" w:hAnsi="Times New Roman" w:cs="Times New Roman"/>
          <w:sz w:val="24"/>
          <w:szCs w:val="24"/>
        </w:rPr>
        <w:t>recording of a lien, like recording of a mortgage,</w:t>
      </w:r>
      <w:r w:rsidR="008E224A" w:rsidRPr="00E0558A">
        <w:rPr>
          <w:rFonts w:ascii="Times New Roman" w:hAnsi="Times New Roman" w:cs="Times New Roman"/>
          <w:sz w:val="24"/>
          <w:szCs w:val="24"/>
        </w:rPr>
        <w:t xml:space="preserve"> … </w:t>
      </w:r>
      <w:r w:rsidR="004D2E84" w:rsidRPr="00E0558A">
        <w:rPr>
          <w:rFonts w:ascii="Times New Roman" w:hAnsi="Times New Roman" w:cs="Times New Roman"/>
          <w:sz w:val="24"/>
          <w:szCs w:val="24"/>
        </w:rPr>
        <w:t>does not even amount to commencement</w:t>
      </w:r>
      <w:r w:rsidR="003979FA" w:rsidRPr="00E0558A">
        <w:rPr>
          <w:rFonts w:ascii="Times New Roman" w:hAnsi="Times New Roman" w:cs="Times New Roman"/>
          <w:sz w:val="24"/>
          <w:szCs w:val="24"/>
        </w:rPr>
        <w:t xml:space="preserve"> </w:t>
      </w:r>
      <w:r w:rsidR="004D2E84" w:rsidRPr="00E0558A">
        <w:rPr>
          <w:rFonts w:ascii="Times New Roman" w:hAnsi="Times New Roman" w:cs="Times New Roman"/>
          <w:sz w:val="24"/>
          <w:szCs w:val="24"/>
        </w:rPr>
        <w:t>of a civil action, which the Commission has acknowledged does not divest it of</w:t>
      </w:r>
      <w:r w:rsidR="001B6C84" w:rsidRPr="00E0558A">
        <w:rPr>
          <w:rFonts w:ascii="Times New Roman" w:hAnsi="Times New Roman" w:cs="Times New Roman"/>
          <w:sz w:val="24"/>
          <w:szCs w:val="24"/>
        </w:rPr>
        <w:t xml:space="preserve"> </w:t>
      </w:r>
      <w:r w:rsidR="004D2E84" w:rsidRPr="00E0558A">
        <w:rPr>
          <w:rFonts w:ascii="Times New Roman" w:hAnsi="Times New Roman" w:cs="Times New Roman"/>
          <w:sz w:val="24"/>
          <w:szCs w:val="24"/>
          <w:bdr w:val="none" w:sz="0" w:space="0" w:color="auto" w:frame="1"/>
        </w:rPr>
        <w:t>jurisdiction</w:t>
      </w:r>
      <w:r w:rsidR="004D2E84" w:rsidRPr="00E0558A">
        <w:rPr>
          <w:rFonts w:ascii="Times New Roman" w:hAnsi="Times New Roman" w:cs="Times New Roman"/>
          <w:sz w:val="24"/>
          <w:szCs w:val="24"/>
        </w:rPr>
        <w:t>.</w:t>
      </w:r>
      <w:r w:rsidR="00BF1B19" w:rsidRPr="00E0558A">
        <w:rPr>
          <w:rFonts w:ascii="Times New Roman" w:hAnsi="Times New Roman" w:cs="Times New Roman"/>
          <w:sz w:val="24"/>
          <w:szCs w:val="24"/>
        </w:rPr>
        <w:t xml:space="preserve">”  </w:t>
      </w:r>
      <w:r w:rsidR="004714A1" w:rsidRPr="00E0558A">
        <w:rPr>
          <w:rFonts w:ascii="Times New Roman" w:hAnsi="Times New Roman" w:cs="Times New Roman"/>
          <w:i/>
          <w:iCs/>
          <w:sz w:val="24"/>
          <w:szCs w:val="24"/>
        </w:rPr>
        <w:t>Id.</w:t>
      </w:r>
      <w:r w:rsidR="004714A1" w:rsidRPr="00E0558A">
        <w:rPr>
          <w:rFonts w:ascii="Times New Roman" w:hAnsi="Times New Roman" w:cs="Times New Roman"/>
          <w:sz w:val="24"/>
          <w:szCs w:val="24"/>
        </w:rPr>
        <w:t xml:space="preserve"> at 1222.</w:t>
      </w:r>
      <w:r w:rsidR="0021698E" w:rsidRPr="00E0558A">
        <w:rPr>
          <w:rFonts w:ascii="Times New Roman" w:hAnsi="Times New Roman" w:cs="Times New Roman"/>
          <w:sz w:val="24"/>
          <w:szCs w:val="24"/>
        </w:rPr>
        <w:t xml:space="preserve">  The Court </w:t>
      </w:r>
      <w:r w:rsidR="001270DD" w:rsidRPr="00E0558A">
        <w:rPr>
          <w:rFonts w:ascii="Times New Roman" w:hAnsi="Times New Roman" w:cs="Times New Roman"/>
          <w:sz w:val="24"/>
          <w:szCs w:val="24"/>
          <w:shd w:val="clear" w:color="auto" w:fill="FFFFFF"/>
        </w:rPr>
        <w:t>held that the Commission erred in holding that it lacked</w:t>
      </w:r>
      <w:r w:rsidR="001B6C84" w:rsidRPr="00E0558A">
        <w:rPr>
          <w:rFonts w:ascii="Times New Roman" w:hAnsi="Times New Roman" w:cs="Times New Roman"/>
          <w:sz w:val="24"/>
          <w:szCs w:val="24"/>
          <w:shd w:val="clear" w:color="auto" w:fill="FFFFFF"/>
        </w:rPr>
        <w:t xml:space="preserve"> jurisdiction </w:t>
      </w:r>
      <w:r w:rsidR="001270DD" w:rsidRPr="00E0558A">
        <w:rPr>
          <w:rFonts w:ascii="Times New Roman" w:hAnsi="Times New Roman" w:cs="Times New Roman"/>
          <w:sz w:val="24"/>
          <w:szCs w:val="24"/>
          <w:shd w:val="clear" w:color="auto" w:fill="FFFFFF"/>
        </w:rPr>
        <w:t xml:space="preserve">over gas charges subject to docketed liens because docketing a lien for charges on natural gas did not invoke judicial process. </w:t>
      </w:r>
      <w:r w:rsidR="005318B6" w:rsidRPr="00E0558A">
        <w:rPr>
          <w:rFonts w:ascii="Times New Roman" w:hAnsi="Times New Roman" w:cs="Times New Roman"/>
          <w:sz w:val="24"/>
          <w:szCs w:val="24"/>
          <w:shd w:val="clear" w:color="auto" w:fill="FFFFFF"/>
        </w:rPr>
        <w:t xml:space="preserve"> </w:t>
      </w:r>
      <w:r w:rsidR="001270DD" w:rsidRPr="00E0558A">
        <w:rPr>
          <w:rFonts w:ascii="Times New Roman" w:hAnsi="Times New Roman" w:cs="Times New Roman"/>
          <w:sz w:val="24"/>
          <w:szCs w:val="24"/>
          <w:shd w:val="clear" w:color="auto" w:fill="FFFFFF"/>
        </w:rPr>
        <w:t>Thus, there was no legal basis to conclude that merely docketing an existing lien affected the Commission's</w:t>
      </w:r>
      <w:r w:rsidR="005318B6" w:rsidRPr="00E0558A">
        <w:rPr>
          <w:rFonts w:ascii="Times New Roman" w:hAnsi="Times New Roman" w:cs="Times New Roman"/>
          <w:sz w:val="24"/>
          <w:szCs w:val="24"/>
          <w:shd w:val="clear" w:color="auto" w:fill="FFFFFF"/>
        </w:rPr>
        <w:t xml:space="preserve"> jurisdiction</w:t>
      </w:r>
      <w:r w:rsidRPr="00E0558A">
        <w:rPr>
          <w:rFonts w:ascii="Times New Roman" w:hAnsi="Times New Roman" w:cs="Times New Roman"/>
          <w:sz w:val="24"/>
          <w:szCs w:val="24"/>
        </w:rPr>
        <w:t>.</w:t>
      </w:r>
      <w:r w:rsidR="0013652E" w:rsidRPr="00E0558A">
        <w:rPr>
          <w:rFonts w:ascii="Times New Roman" w:hAnsi="Times New Roman" w:cs="Times New Roman"/>
          <w:sz w:val="24"/>
          <w:szCs w:val="24"/>
        </w:rPr>
        <w:t xml:space="preserve">  </w:t>
      </w:r>
      <w:r w:rsidRPr="00E0558A">
        <w:rPr>
          <w:rFonts w:ascii="Times New Roman" w:hAnsi="Times New Roman" w:cs="Times New Roman"/>
          <w:i/>
          <w:iCs/>
          <w:sz w:val="24"/>
          <w:szCs w:val="24"/>
        </w:rPr>
        <w:t>Id.</w:t>
      </w:r>
      <w:r w:rsidR="0013652E" w:rsidRPr="00E0558A">
        <w:rPr>
          <w:rFonts w:ascii="Times New Roman" w:hAnsi="Times New Roman" w:cs="Times New Roman"/>
          <w:sz w:val="24"/>
          <w:szCs w:val="24"/>
        </w:rPr>
        <w:t xml:space="preserve"> </w:t>
      </w:r>
      <w:r w:rsidRPr="00E0558A">
        <w:rPr>
          <w:rFonts w:ascii="Times New Roman" w:hAnsi="Times New Roman" w:cs="Times New Roman"/>
          <w:sz w:val="24"/>
          <w:szCs w:val="24"/>
        </w:rPr>
        <w:t>at 1224.</w:t>
      </w:r>
    </w:p>
    <w:p w14:paraId="7D00EA3C" w14:textId="77777777" w:rsidR="007066FB" w:rsidRPr="00E0558A" w:rsidRDefault="007066FB" w:rsidP="00184721">
      <w:pPr>
        <w:spacing w:line="360" w:lineRule="auto"/>
        <w:ind w:firstLine="1440"/>
        <w:rPr>
          <w:rFonts w:ascii="Times New Roman" w:hAnsi="Times New Roman" w:cs="Times New Roman"/>
          <w:sz w:val="24"/>
          <w:szCs w:val="24"/>
        </w:rPr>
      </w:pPr>
    </w:p>
    <w:p w14:paraId="1E3E0515" w14:textId="76DDF067" w:rsidR="00310D2D" w:rsidRPr="00E0558A" w:rsidRDefault="00BA393D" w:rsidP="00184721">
      <w:pPr>
        <w:spacing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 xml:space="preserve">In turn, </w:t>
      </w:r>
      <w:r w:rsidR="00220309" w:rsidRPr="00E0558A">
        <w:rPr>
          <w:rFonts w:ascii="Times New Roman" w:hAnsi="Times New Roman" w:cs="Times New Roman"/>
          <w:sz w:val="24"/>
          <w:szCs w:val="24"/>
        </w:rPr>
        <w:t>SBG Management Services, Colonial Garden Realty Company, L.P.</w:t>
      </w:r>
      <w:r w:rsidR="002F6F06">
        <w:rPr>
          <w:rFonts w:ascii="Times New Roman" w:hAnsi="Times New Roman" w:cs="Times New Roman"/>
          <w:sz w:val="24"/>
          <w:szCs w:val="24"/>
        </w:rPr>
        <w:t xml:space="preserve"> (Colonial Garden) </w:t>
      </w:r>
      <w:r w:rsidR="00220309" w:rsidRPr="00E0558A">
        <w:rPr>
          <w:rFonts w:ascii="Times New Roman" w:hAnsi="Times New Roman" w:cs="Times New Roman"/>
          <w:sz w:val="24"/>
          <w:szCs w:val="24"/>
        </w:rPr>
        <w:t>and Simon Garden Realty Company, L.P</w:t>
      </w:r>
      <w:r w:rsidR="005318B6" w:rsidRPr="00E0558A">
        <w:rPr>
          <w:rFonts w:ascii="Times New Roman" w:hAnsi="Times New Roman" w:cs="Times New Roman"/>
          <w:sz w:val="24"/>
          <w:szCs w:val="24"/>
        </w:rPr>
        <w:t>.</w:t>
      </w:r>
      <w:r w:rsidR="002F6F06">
        <w:rPr>
          <w:rFonts w:ascii="Times New Roman" w:hAnsi="Times New Roman" w:cs="Times New Roman"/>
          <w:sz w:val="24"/>
          <w:szCs w:val="24"/>
        </w:rPr>
        <w:t xml:space="preserve"> (Simon Garden)</w:t>
      </w:r>
      <w:r w:rsidRPr="00E0558A">
        <w:rPr>
          <w:rFonts w:ascii="Times New Roman" w:hAnsi="Times New Roman" w:cs="Times New Roman"/>
          <w:sz w:val="24"/>
          <w:szCs w:val="24"/>
        </w:rPr>
        <w:t xml:space="preserve"> successfully </w:t>
      </w:r>
      <w:r w:rsidRPr="00E0558A">
        <w:rPr>
          <w:rFonts w:ascii="Times New Roman" w:hAnsi="Times New Roman" w:cs="Times New Roman"/>
          <w:sz w:val="24"/>
          <w:szCs w:val="24"/>
          <w:shd w:val="clear" w:color="auto" w:fill="FFFFFF"/>
        </w:rPr>
        <w:t xml:space="preserve">appealed the Order of </w:t>
      </w:r>
      <w:r w:rsidR="005318B6" w:rsidRPr="00E0558A">
        <w:rPr>
          <w:rFonts w:ascii="Times New Roman" w:hAnsi="Times New Roman" w:cs="Times New Roman"/>
          <w:sz w:val="24"/>
          <w:szCs w:val="24"/>
          <w:shd w:val="clear" w:color="auto" w:fill="FFFFFF"/>
        </w:rPr>
        <w:t xml:space="preserve">the </w:t>
      </w:r>
      <w:r w:rsidRPr="00E0558A">
        <w:rPr>
          <w:rFonts w:ascii="Times New Roman" w:hAnsi="Times New Roman" w:cs="Times New Roman"/>
          <w:sz w:val="24"/>
          <w:szCs w:val="24"/>
          <w:shd w:val="clear" w:color="auto" w:fill="FFFFFF"/>
        </w:rPr>
        <w:t xml:space="preserve">Commonwealth Court </w:t>
      </w:r>
      <w:r w:rsidR="00F36817" w:rsidRPr="00E0558A">
        <w:rPr>
          <w:rFonts w:ascii="Times New Roman" w:hAnsi="Times New Roman" w:cs="Times New Roman"/>
          <w:sz w:val="24"/>
          <w:szCs w:val="24"/>
          <w:shd w:val="clear" w:color="auto" w:fill="FFFFFF"/>
        </w:rPr>
        <w:t xml:space="preserve">in </w:t>
      </w:r>
      <w:r w:rsidR="00F36817" w:rsidRPr="00E0558A">
        <w:rPr>
          <w:rFonts w:ascii="Times New Roman" w:hAnsi="Times New Roman" w:cs="Times New Roman"/>
          <w:i/>
          <w:iCs/>
          <w:sz w:val="24"/>
          <w:szCs w:val="24"/>
          <w:shd w:val="clear" w:color="auto" w:fill="FFFFFF"/>
        </w:rPr>
        <w:t>PGW</w:t>
      </w:r>
      <w:r w:rsidR="00D867C3" w:rsidRPr="00E0558A">
        <w:rPr>
          <w:rFonts w:ascii="Times New Roman" w:hAnsi="Times New Roman" w:cs="Times New Roman"/>
          <w:i/>
          <w:iCs/>
          <w:sz w:val="24"/>
          <w:szCs w:val="24"/>
          <w:shd w:val="clear" w:color="auto" w:fill="FFFFFF"/>
        </w:rPr>
        <w:t xml:space="preserve"> </w:t>
      </w:r>
      <w:r w:rsidR="00F36817" w:rsidRPr="00E0558A">
        <w:rPr>
          <w:rFonts w:ascii="Times New Roman" w:hAnsi="Times New Roman" w:cs="Times New Roman"/>
          <w:i/>
          <w:iCs/>
          <w:sz w:val="24"/>
          <w:szCs w:val="24"/>
          <w:shd w:val="clear" w:color="auto" w:fill="FFFFFF"/>
        </w:rPr>
        <w:t>I</w:t>
      </w:r>
      <w:r w:rsidR="000F313A" w:rsidRPr="00E0558A">
        <w:rPr>
          <w:rFonts w:ascii="Times New Roman" w:hAnsi="Times New Roman" w:cs="Times New Roman"/>
          <w:sz w:val="24"/>
          <w:szCs w:val="24"/>
          <w:shd w:val="clear" w:color="auto" w:fill="FFFFFF"/>
        </w:rPr>
        <w:t xml:space="preserve">. </w:t>
      </w:r>
      <w:r w:rsidRPr="00E0558A">
        <w:rPr>
          <w:rFonts w:ascii="Times New Roman" w:hAnsi="Times New Roman" w:cs="Times New Roman"/>
          <w:sz w:val="24"/>
          <w:szCs w:val="24"/>
        </w:rPr>
        <w:t xml:space="preserve"> </w:t>
      </w:r>
      <w:r w:rsidR="009E7F42" w:rsidRPr="00E0558A">
        <w:rPr>
          <w:rFonts w:ascii="Times New Roman" w:hAnsi="Times New Roman" w:cs="Times New Roman"/>
          <w:sz w:val="24"/>
          <w:szCs w:val="24"/>
        </w:rPr>
        <w:t xml:space="preserve">In </w:t>
      </w:r>
      <w:r w:rsidR="009E7F42" w:rsidRPr="00E0558A">
        <w:rPr>
          <w:rFonts w:ascii="Times New Roman" w:hAnsi="Times New Roman" w:cs="Times New Roman"/>
          <w:i/>
          <w:iCs/>
          <w:sz w:val="24"/>
          <w:szCs w:val="24"/>
          <w:bdr w:val="none" w:sz="0" w:space="0" w:color="auto" w:frame="1"/>
        </w:rPr>
        <w:t>Phila. Gas Works v. Pa. PUC</w:t>
      </w:r>
      <w:r w:rsidR="009E7F42" w:rsidRPr="00E0558A">
        <w:rPr>
          <w:rFonts w:ascii="Times New Roman" w:hAnsi="Times New Roman" w:cs="Times New Roman"/>
          <w:sz w:val="24"/>
          <w:szCs w:val="24"/>
          <w:bdr w:val="none" w:sz="0" w:space="0" w:color="auto" w:frame="1"/>
        </w:rPr>
        <w:t>, 249 A.3d 963</w:t>
      </w:r>
      <w:r w:rsidR="0062032D" w:rsidRPr="00E0558A">
        <w:rPr>
          <w:rFonts w:ascii="Times New Roman" w:hAnsi="Times New Roman" w:cs="Times New Roman"/>
          <w:sz w:val="24"/>
          <w:szCs w:val="24"/>
          <w:bdr w:val="none" w:sz="0" w:space="0" w:color="auto" w:frame="1"/>
        </w:rPr>
        <w:t xml:space="preserve"> (Pa 2021)</w:t>
      </w:r>
      <w:r w:rsidR="00D867C3" w:rsidRPr="00E0558A">
        <w:rPr>
          <w:rFonts w:ascii="Times New Roman" w:hAnsi="Times New Roman" w:cs="Times New Roman"/>
          <w:sz w:val="24"/>
          <w:szCs w:val="24"/>
          <w:bdr w:val="none" w:sz="0" w:space="0" w:color="auto" w:frame="1"/>
        </w:rPr>
        <w:t xml:space="preserve"> (</w:t>
      </w:r>
      <w:r w:rsidR="00D867C3" w:rsidRPr="00E0558A">
        <w:rPr>
          <w:rFonts w:ascii="Times New Roman" w:hAnsi="Times New Roman" w:cs="Times New Roman"/>
          <w:i/>
          <w:iCs/>
          <w:sz w:val="24"/>
          <w:szCs w:val="24"/>
          <w:bdr w:val="none" w:sz="0" w:space="0" w:color="auto" w:frame="1"/>
        </w:rPr>
        <w:t>PGW II</w:t>
      </w:r>
      <w:r w:rsidR="00D867C3" w:rsidRPr="00E0558A">
        <w:rPr>
          <w:rFonts w:ascii="Times New Roman" w:hAnsi="Times New Roman" w:cs="Times New Roman"/>
          <w:sz w:val="24"/>
          <w:szCs w:val="24"/>
          <w:bdr w:val="none" w:sz="0" w:space="0" w:color="auto" w:frame="1"/>
        </w:rPr>
        <w:t>),</w:t>
      </w:r>
      <w:r w:rsidR="009E7F42" w:rsidRPr="00E0558A">
        <w:rPr>
          <w:rFonts w:ascii="Times New Roman" w:hAnsi="Times New Roman" w:cs="Times New Roman"/>
          <w:sz w:val="24"/>
          <w:szCs w:val="24"/>
          <w:bdr w:val="none" w:sz="0" w:space="0" w:color="auto" w:frame="1"/>
        </w:rPr>
        <w:t xml:space="preserve"> the Supre</w:t>
      </w:r>
      <w:r w:rsidR="00F23F6A" w:rsidRPr="00E0558A">
        <w:rPr>
          <w:rFonts w:ascii="Times New Roman" w:hAnsi="Times New Roman" w:cs="Times New Roman"/>
          <w:sz w:val="24"/>
          <w:szCs w:val="24"/>
          <w:bdr w:val="none" w:sz="0" w:space="0" w:color="auto" w:frame="1"/>
        </w:rPr>
        <w:t>me Court of Pennsylvania stated,</w:t>
      </w:r>
      <w:r w:rsidR="009E7F42" w:rsidRPr="00E0558A">
        <w:rPr>
          <w:rFonts w:ascii="Times New Roman" w:hAnsi="Times New Roman" w:cs="Times New Roman"/>
          <w:sz w:val="24"/>
          <w:szCs w:val="24"/>
        </w:rPr>
        <w:t xml:space="preserve"> </w:t>
      </w:r>
    </w:p>
    <w:p w14:paraId="3D9F4793" w14:textId="6C365246" w:rsidR="00310D2D" w:rsidRPr="00E0558A" w:rsidRDefault="001B0599" w:rsidP="00E8706A">
      <w:pPr>
        <w:spacing w:after="0"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shd w:val="clear" w:color="auto" w:fill="FFFFFF"/>
        </w:rPr>
        <w:t>At issue in this appeal is whether a public utility operating in Philadelphia may continue to impose its regulatory tariff rate on municipal liens that arise from delinquent customer accounts when the utility elects to record the liens for its service. We conclude that pursuant to</w:t>
      </w:r>
      <w:r w:rsidR="00EE4FF4" w:rsidRPr="00E0558A">
        <w:rPr>
          <w:rFonts w:ascii="Times New Roman" w:hAnsi="Times New Roman" w:cs="Times New Roman"/>
          <w:sz w:val="24"/>
          <w:szCs w:val="24"/>
          <w:shd w:val="clear" w:color="auto" w:fill="FFFFFF"/>
        </w:rPr>
        <w:t xml:space="preserve"> </w:t>
      </w:r>
      <w:r w:rsidRPr="00E0558A">
        <w:rPr>
          <w:rFonts w:ascii="Times New Roman" w:hAnsi="Times New Roman" w:cs="Times New Roman"/>
          <w:sz w:val="24"/>
          <w:szCs w:val="24"/>
          <w:bdr w:val="none" w:sz="0" w:space="0" w:color="auto" w:frame="1"/>
          <w:shd w:val="clear" w:color="auto" w:fill="FFFFFF"/>
        </w:rPr>
        <w:t>Section 7106(b)</w:t>
      </w:r>
      <w:r w:rsidR="00EE4FF4" w:rsidRPr="00E0558A">
        <w:rPr>
          <w:rFonts w:ascii="Times New Roman" w:hAnsi="Times New Roman" w:cs="Times New Roman"/>
          <w:sz w:val="24"/>
          <w:szCs w:val="24"/>
          <w:shd w:val="clear" w:color="auto" w:fill="FFFFFF"/>
        </w:rPr>
        <w:t xml:space="preserve"> </w:t>
      </w:r>
      <w:r w:rsidRPr="00E0558A">
        <w:rPr>
          <w:rFonts w:ascii="Times New Roman" w:hAnsi="Times New Roman" w:cs="Times New Roman"/>
          <w:sz w:val="24"/>
          <w:szCs w:val="24"/>
          <w:shd w:val="clear" w:color="auto" w:fill="FFFFFF"/>
        </w:rPr>
        <w:t>of the Municipal Claims and Tax Lien Law,</w:t>
      </w:r>
      <w:r w:rsidR="00EE4FF4" w:rsidRPr="00E0558A">
        <w:rPr>
          <w:rFonts w:ascii="Times New Roman" w:hAnsi="Times New Roman" w:cs="Times New Roman"/>
          <w:sz w:val="24"/>
          <w:szCs w:val="24"/>
          <w:shd w:val="clear" w:color="auto" w:fill="FFFFFF"/>
        </w:rPr>
        <w:t xml:space="preserve"> </w:t>
      </w:r>
      <w:r w:rsidRPr="00E0558A">
        <w:rPr>
          <w:rFonts w:ascii="Times New Roman" w:hAnsi="Times New Roman" w:cs="Times New Roman"/>
          <w:sz w:val="24"/>
          <w:szCs w:val="24"/>
          <w:bdr w:val="none" w:sz="0" w:space="0" w:color="auto" w:frame="1"/>
          <w:shd w:val="clear" w:color="auto" w:fill="FFFFFF"/>
        </w:rPr>
        <w:t>53 P.S. § 7106(b)</w:t>
      </w:r>
      <w:r w:rsidRPr="00E0558A">
        <w:rPr>
          <w:rFonts w:ascii="Times New Roman" w:hAnsi="Times New Roman" w:cs="Times New Roman"/>
          <w:sz w:val="24"/>
          <w:szCs w:val="24"/>
          <w:shd w:val="clear" w:color="auto" w:fill="FFFFFF"/>
        </w:rPr>
        <w:t xml:space="preserve">, once the lien is recorded, the tariff </w:t>
      </w:r>
      <w:r w:rsidRPr="00E0558A">
        <w:rPr>
          <w:rFonts w:ascii="Times New Roman" w:hAnsi="Times New Roman" w:cs="Times New Roman"/>
          <w:sz w:val="24"/>
          <w:szCs w:val="24"/>
          <w:shd w:val="clear" w:color="auto" w:fill="FFFFFF"/>
        </w:rPr>
        <w:lastRenderedPageBreak/>
        <w:t>rate no longer applies. Accordingly, we reverse the order of the Commonwealth Court.</w:t>
      </w:r>
      <w:r w:rsidR="00310D2D" w:rsidRPr="00E0558A">
        <w:rPr>
          <w:rFonts w:ascii="Times New Roman" w:hAnsi="Times New Roman" w:cs="Times New Roman"/>
          <w:sz w:val="24"/>
          <w:szCs w:val="24"/>
        </w:rPr>
        <w:t xml:space="preserve">  </w:t>
      </w:r>
    </w:p>
    <w:p w14:paraId="7AFF3100" w14:textId="77777777" w:rsidR="00E8706A" w:rsidRPr="00E0558A" w:rsidRDefault="00E8706A" w:rsidP="00E8706A">
      <w:pPr>
        <w:spacing w:after="0" w:line="240" w:lineRule="auto"/>
        <w:ind w:left="1440" w:right="1440"/>
        <w:rPr>
          <w:rFonts w:ascii="Times New Roman" w:hAnsi="Times New Roman" w:cs="Times New Roman"/>
          <w:sz w:val="24"/>
          <w:szCs w:val="24"/>
        </w:rPr>
      </w:pPr>
    </w:p>
    <w:p w14:paraId="1A33C6AC" w14:textId="574BF531" w:rsidR="00443F99" w:rsidRDefault="00E8706A" w:rsidP="00310D2D">
      <w:pPr>
        <w:spacing w:line="360" w:lineRule="auto"/>
        <w:rPr>
          <w:rFonts w:ascii="Times New Roman" w:hAnsi="Times New Roman" w:cs="Times New Roman"/>
          <w:sz w:val="24"/>
          <w:szCs w:val="24"/>
        </w:rPr>
      </w:pPr>
      <w:r w:rsidRPr="00E0558A">
        <w:rPr>
          <w:rFonts w:ascii="Times New Roman" w:hAnsi="Times New Roman" w:cs="Times New Roman"/>
          <w:i/>
          <w:iCs/>
          <w:sz w:val="24"/>
          <w:szCs w:val="24"/>
        </w:rPr>
        <w:t>PGW II</w:t>
      </w:r>
      <w:r w:rsidR="00380940" w:rsidRPr="00E0558A">
        <w:rPr>
          <w:rFonts w:ascii="Times New Roman" w:hAnsi="Times New Roman" w:cs="Times New Roman"/>
          <w:i/>
          <w:iCs/>
          <w:sz w:val="24"/>
          <w:szCs w:val="24"/>
        </w:rPr>
        <w:t xml:space="preserve"> at </w:t>
      </w:r>
      <w:r w:rsidR="00184721" w:rsidRPr="00E0558A">
        <w:rPr>
          <w:rFonts w:ascii="Times New Roman" w:hAnsi="Times New Roman" w:cs="Times New Roman"/>
          <w:sz w:val="24"/>
          <w:szCs w:val="24"/>
        </w:rPr>
        <w:t>96</w:t>
      </w:r>
      <w:r w:rsidR="00310D2D" w:rsidRPr="00E0558A">
        <w:rPr>
          <w:rFonts w:ascii="Times New Roman" w:hAnsi="Times New Roman" w:cs="Times New Roman"/>
          <w:sz w:val="24"/>
          <w:szCs w:val="24"/>
        </w:rPr>
        <w:t>5.</w:t>
      </w:r>
      <w:r w:rsidR="00FD000E" w:rsidRPr="00E0558A">
        <w:rPr>
          <w:rFonts w:ascii="Times New Roman" w:hAnsi="Times New Roman" w:cs="Times New Roman"/>
          <w:sz w:val="24"/>
          <w:szCs w:val="24"/>
        </w:rPr>
        <w:t xml:space="preserve"> </w:t>
      </w:r>
      <w:r w:rsidR="00305F40" w:rsidRPr="00E0558A">
        <w:rPr>
          <w:rFonts w:ascii="Times New Roman" w:hAnsi="Times New Roman" w:cs="Times New Roman"/>
          <w:sz w:val="24"/>
          <w:szCs w:val="24"/>
        </w:rPr>
        <w:t xml:space="preserve"> </w:t>
      </w:r>
      <w:r w:rsidR="00FD000E" w:rsidRPr="00E0558A">
        <w:rPr>
          <w:rFonts w:ascii="Times New Roman" w:hAnsi="Times New Roman" w:cs="Times New Roman"/>
          <w:sz w:val="24"/>
          <w:szCs w:val="24"/>
        </w:rPr>
        <w:t xml:space="preserve">With regard to the issue of the Commission’s jurisdiction, the Supreme </w:t>
      </w:r>
      <w:r w:rsidR="00EE4FF4" w:rsidRPr="00E0558A">
        <w:rPr>
          <w:rFonts w:ascii="Times New Roman" w:hAnsi="Times New Roman" w:cs="Times New Roman"/>
          <w:sz w:val="24"/>
          <w:szCs w:val="24"/>
        </w:rPr>
        <w:t>Court stated in footnote 4 of the Order,</w:t>
      </w:r>
    </w:p>
    <w:p w14:paraId="180A37AA" w14:textId="77777777" w:rsidR="002807F1" w:rsidRPr="00E0558A" w:rsidRDefault="002807F1" w:rsidP="00310D2D">
      <w:pPr>
        <w:spacing w:line="360" w:lineRule="auto"/>
        <w:rPr>
          <w:rFonts w:ascii="Times New Roman" w:hAnsi="Times New Roman" w:cs="Times New Roman"/>
          <w:sz w:val="24"/>
          <w:szCs w:val="24"/>
        </w:rPr>
      </w:pPr>
    </w:p>
    <w:p w14:paraId="593262EA" w14:textId="50238F90" w:rsidR="00EE4FF4" w:rsidRPr="00E0558A" w:rsidRDefault="00340C91" w:rsidP="00EE4FF4">
      <w:pPr>
        <w:spacing w:after="0"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rPr>
        <w:t>Although the issue of the Commission's </w:t>
      </w:r>
      <w:r w:rsidRPr="00E0558A">
        <w:rPr>
          <w:rFonts w:ascii="Times New Roman" w:hAnsi="Times New Roman" w:cs="Times New Roman"/>
          <w:sz w:val="24"/>
          <w:szCs w:val="24"/>
          <w:bdr w:val="none" w:sz="0" w:space="0" w:color="auto" w:frame="1"/>
        </w:rPr>
        <w:t>jurisdiction</w:t>
      </w:r>
      <w:r w:rsidRPr="00E0558A">
        <w:rPr>
          <w:rFonts w:ascii="Times New Roman" w:hAnsi="Times New Roman" w:cs="Times New Roman"/>
          <w:sz w:val="24"/>
          <w:szCs w:val="24"/>
        </w:rPr>
        <w:t> figured into the Commission's ruling and the Commonwealth Court's decision, and was addressed by the parties in their briefs, it is beyond the scope of the issue upon which this Court granted discretionary review and is not encompassed in</w:t>
      </w:r>
      <w:r w:rsidR="00EE4FF4" w:rsidRPr="00E0558A">
        <w:rPr>
          <w:rFonts w:ascii="Times New Roman" w:hAnsi="Times New Roman" w:cs="Times New Roman"/>
          <w:sz w:val="24"/>
          <w:szCs w:val="24"/>
        </w:rPr>
        <w:t xml:space="preserve"> </w:t>
      </w:r>
      <w:r w:rsidRPr="00E0558A">
        <w:rPr>
          <w:rFonts w:ascii="Times New Roman" w:hAnsi="Times New Roman" w:cs="Times New Roman"/>
          <w:sz w:val="24"/>
          <w:szCs w:val="24"/>
        </w:rPr>
        <w:t>our resolution of this appeal.</w:t>
      </w:r>
      <w:r w:rsidR="00F50C8C" w:rsidRPr="00E0558A">
        <w:rPr>
          <w:rFonts w:ascii="Times New Roman" w:hAnsi="Times New Roman" w:cs="Times New Roman"/>
          <w:sz w:val="24"/>
          <w:szCs w:val="24"/>
        </w:rPr>
        <w:t xml:space="preserve"> </w:t>
      </w:r>
    </w:p>
    <w:p w14:paraId="50DF9799" w14:textId="77777777" w:rsidR="00EC5569" w:rsidRPr="00E0558A" w:rsidRDefault="00EC5569" w:rsidP="00EC5569">
      <w:pPr>
        <w:spacing w:after="0" w:line="360" w:lineRule="auto"/>
        <w:rPr>
          <w:rFonts w:ascii="Times New Roman" w:hAnsi="Times New Roman" w:cs="Times New Roman"/>
          <w:sz w:val="24"/>
          <w:szCs w:val="24"/>
        </w:rPr>
      </w:pPr>
    </w:p>
    <w:p w14:paraId="035EEE57" w14:textId="564DAC73" w:rsidR="00904F86" w:rsidRPr="00E0558A" w:rsidRDefault="00EC5569" w:rsidP="00904F86">
      <w:pPr>
        <w:spacing w:after="0" w:line="360" w:lineRule="auto"/>
        <w:rPr>
          <w:rFonts w:ascii="Times New Roman" w:eastAsia="Times New Roman" w:hAnsi="Times New Roman" w:cs="Times New Roman"/>
          <w:sz w:val="24"/>
          <w:szCs w:val="24"/>
        </w:rPr>
      </w:pPr>
      <w:r w:rsidRPr="00E0558A">
        <w:rPr>
          <w:rFonts w:ascii="Times New Roman" w:hAnsi="Times New Roman" w:cs="Times New Roman"/>
          <w:i/>
          <w:iCs/>
          <w:sz w:val="24"/>
          <w:szCs w:val="24"/>
        </w:rPr>
        <w:t>PGW II</w:t>
      </w:r>
      <w:r w:rsidRPr="00E0558A">
        <w:rPr>
          <w:rFonts w:ascii="Times New Roman" w:hAnsi="Times New Roman" w:cs="Times New Roman"/>
          <w:sz w:val="24"/>
          <w:szCs w:val="24"/>
        </w:rPr>
        <w:t>, at</w:t>
      </w:r>
      <w:r w:rsidR="00340C91" w:rsidRPr="00E0558A">
        <w:rPr>
          <w:rFonts w:ascii="Times New Roman" w:hAnsi="Times New Roman" w:cs="Times New Roman"/>
          <w:sz w:val="24"/>
          <w:szCs w:val="24"/>
          <w:bdr w:val="none" w:sz="0" w:space="0" w:color="auto" w:frame="1"/>
        </w:rPr>
        <w:t xml:space="preserve"> 969</w:t>
      </w:r>
      <w:r w:rsidRPr="00E0558A">
        <w:rPr>
          <w:rFonts w:ascii="Times New Roman" w:hAnsi="Times New Roman" w:cs="Times New Roman"/>
          <w:sz w:val="24"/>
          <w:szCs w:val="24"/>
          <w:bdr w:val="none" w:sz="0" w:space="0" w:color="auto" w:frame="1"/>
        </w:rPr>
        <w:t>, n. 4.</w:t>
      </w:r>
      <w:r w:rsidRPr="00E0558A">
        <w:rPr>
          <w:rFonts w:ascii="Times New Roman" w:eastAsia="Times New Roman" w:hAnsi="Times New Roman" w:cs="Times New Roman"/>
          <w:sz w:val="24"/>
          <w:szCs w:val="24"/>
        </w:rPr>
        <w:t xml:space="preserve">  </w:t>
      </w:r>
      <w:r w:rsidR="00307200" w:rsidRPr="00E0558A">
        <w:rPr>
          <w:rFonts w:ascii="Times New Roman" w:hAnsi="Times New Roman" w:cs="Times New Roman"/>
          <w:sz w:val="24"/>
          <w:szCs w:val="24"/>
          <w:shd w:val="clear" w:color="auto" w:fill="FFFFFF"/>
        </w:rPr>
        <w:t xml:space="preserve">On </w:t>
      </w:r>
      <w:r w:rsidR="00110EEB" w:rsidRPr="00E0558A">
        <w:rPr>
          <w:rFonts w:ascii="Times New Roman" w:hAnsi="Times New Roman" w:cs="Times New Roman"/>
          <w:sz w:val="24"/>
          <w:szCs w:val="24"/>
          <w:shd w:val="clear" w:color="auto" w:fill="FFFFFF"/>
        </w:rPr>
        <w:t>June</w:t>
      </w:r>
      <w:r w:rsidR="00307200" w:rsidRPr="00E0558A">
        <w:rPr>
          <w:rFonts w:ascii="Times New Roman" w:hAnsi="Times New Roman" w:cs="Times New Roman"/>
          <w:sz w:val="24"/>
          <w:szCs w:val="24"/>
          <w:shd w:val="clear" w:color="auto" w:fill="FFFFFF"/>
        </w:rPr>
        <w:t>15</w:t>
      </w:r>
      <w:r w:rsidR="00110EEB" w:rsidRPr="00E0558A">
        <w:rPr>
          <w:rFonts w:ascii="Times New Roman" w:hAnsi="Times New Roman" w:cs="Times New Roman"/>
          <w:sz w:val="24"/>
          <w:szCs w:val="24"/>
          <w:shd w:val="clear" w:color="auto" w:fill="FFFFFF"/>
        </w:rPr>
        <w:t xml:space="preserve">, 2021, </w:t>
      </w:r>
      <w:r w:rsidR="0066362C" w:rsidRPr="00E0558A">
        <w:rPr>
          <w:rFonts w:ascii="Times New Roman" w:hAnsi="Times New Roman" w:cs="Times New Roman"/>
          <w:sz w:val="24"/>
          <w:szCs w:val="24"/>
          <w:shd w:val="clear" w:color="auto" w:fill="FFFFFF"/>
        </w:rPr>
        <w:t>t</w:t>
      </w:r>
      <w:r w:rsidR="00307200" w:rsidRPr="00E0558A">
        <w:rPr>
          <w:rFonts w:ascii="Times New Roman" w:hAnsi="Times New Roman" w:cs="Times New Roman"/>
          <w:sz w:val="24"/>
          <w:szCs w:val="24"/>
          <w:shd w:val="clear" w:color="auto" w:fill="FFFFFF"/>
        </w:rPr>
        <w:t>he Supreme Court granted</w:t>
      </w:r>
      <w:r w:rsidR="00DE59C5" w:rsidRPr="00E0558A">
        <w:rPr>
          <w:rFonts w:ascii="Times New Roman" w:hAnsi="Times New Roman" w:cs="Times New Roman"/>
          <w:sz w:val="24"/>
          <w:szCs w:val="24"/>
          <w:shd w:val="clear" w:color="auto" w:fill="FFFFFF"/>
        </w:rPr>
        <w:t>,</w:t>
      </w:r>
      <w:r w:rsidR="00E020AF" w:rsidRPr="00E0558A">
        <w:rPr>
          <w:rFonts w:ascii="Times New Roman" w:hAnsi="Times New Roman" w:cs="Times New Roman"/>
          <w:sz w:val="24"/>
          <w:szCs w:val="24"/>
          <w:shd w:val="clear" w:color="auto" w:fill="FFFFFF"/>
        </w:rPr>
        <w:t xml:space="preserve"> in part</w:t>
      </w:r>
      <w:r w:rsidR="00DE59C5" w:rsidRPr="00E0558A">
        <w:rPr>
          <w:rFonts w:ascii="Times New Roman" w:hAnsi="Times New Roman" w:cs="Times New Roman"/>
          <w:sz w:val="24"/>
          <w:szCs w:val="24"/>
          <w:shd w:val="clear" w:color="auto" w:fill="FFFFFF"/>
        </w:rPr>
        <w:t>,</w:t>
      </w:r>
      <w:r w:rsidR="00307200" w:rsidRPr="00E0558A">
        <w:rPr>
          <w:rFonts w:ascii="Times New Roman" w:hAnsi="Times New Roman" w:cs="Times New Roman"/>
          <w:sz w:val="24"/>
          <w:szCs w:val="24"/>
          <w:shd w:val="clear" w:color="auto" w:fill="FFFFFF"/>
        </w:rPr>
        <w:t xml:space="preserve"> PGW’s</w:t>
      </w:r>
      <w:r w:rsidR="00110EEB" w:rsidRPr="00E0558A">
        <w:rPr>
          <w:rFonts w:ascii="Times New Roman" w:hAnsi="Times New Roman" w:cs="Times New Roman"/>
          <w:sz w:val="24"/>
          <w:szCs w:val="24"/>
          <w:shd w:val="clear" w:color="auto" w:fill="FFFFFF"/>
        </w:rPr>
        <w:t xml:space="preserve"> Application for Reargument </w:t>
      </w:r>
      <w:r w:rsidR="00E020AF" w:rsidRPr="00E0558A">
        <w:rPr>
          <w:rFonts w:ascii="Times New Roman" w:hAnsi="Times New Roman" w:cs="Times New Roman"/>
          <w:sz w:val="24"/>
          <w:szCs w:val="24"/>
          <w:shd w:val="clear" w:color="auto" w:fill="FFFFFF"/>
        </w:rPr>
        <w:t xml:space="preserve">to the extent it </w:t>
      </w:r>
      <w:r w:rsidR="00F2354F" w:rsidRPr="00E0558A">
        <w:rPr>
          <w:rFonts w:ascii="Times New Roman" w:hAnsi="Times New Roman" w:cs="Times New Roman"/>
          <w:sz w:val="24"/>
          <w:szCs w:val="24"/>
          <w:shd w:val="clear" w:color="auto" w:fill="FFFFFF"/>
        </w:rPr>
        <w:t>sought that</w:t>
      </w:r>
      <w:r w:rsidR="00E020AF" w:rsidRPr="00E0558A">
        <w:rPr>
          <w:rFonts w:ascii="Times New Roman" w:hAnsi="Times New Roman" w:cs="Times New Roman"/>
          <w:sz w:val="24"/>
          <w:szCs w:val="24"/>
          <w:shd w:val="clear" w:color="auto" w:fill="FFFFFF"/>
        </w:rPr>
        <w:t xml:space="preserve"> the case</w:t>
      </w:r>
      <w:r w:rsidR="00F2354F" w:rsidRPr="00E0558A">
        <w:rPr>
          <w:rFonts w:ascii="Times New Roman" w:hAnsi="Times New Roman" w:cs="Times New Roman"/>
          <w:sz w:val="24"/>
          <w:szCs w:val="24"/>
          <w:shd w:val="clear" w:color="auto" w:fill="FFFFFF"/>
        </w:rPr>
        <w:t xml:space="preserve"> be remanded</w:t>
      </w:r>
      <w:r w:rsidR="00E020AF" w:rsidRPr="00E0558A">
        <w:rPr>
          <w:rFonts w:ascii="Times New Roman" w:hAnsi="Times New Roman" w:cs="Times New Roman"/>
          <w:sz w:val="24"/>
          <w:szCs w:val="24"/>
          <w:shd w:val="clear" w:color="auto" w:fill="FFFFFF"/>
        </w:rPr>
        <w:t xml:space="preserve"> </w:t>
      </w:r>
      <w:r w:rsidR="00110EEB" w:rsidRPr="00E0558A">
        <w:rPr>
          <w:rFonts w:ascii="Times New Roman" w:hAnsi="Times New Roman" w:cs="Times New Roman"/>
          <w:sz w:val="24"/>
          <w:szCs w:val="24"/>
          <w:shd w:val="clear" w:color="auto" w:fill="FFFFFF"/>
        </w:rPr>
        <w:t>to the Commonwealth Court for consideration of any outstanding issues.</w:t>
      </w:r>
      <w:r w:rsidR="00C52F1B" w:rsidRPr="00E0558A">
        <w:rPr>
          <w:rFonts w:ascii="Times New Roman" w:hAnsi="Times New Roman" w:cs="Times New Roman"/>
          <w:sz w:val="24"/>
          <w:szCs w:val="24"/>
          <w:shd w:val="clear" w:color="auto" w:fill="FFFFFF"/>
        </w:rPr>
        <w:t xml:space="preserve"> </w:t>
      </w:r>
      <w:r w:rsidR="00F2354F" w:rsidRPr="00E0558A">
        <w:rPr>
          <w:rFonts w:ascii="Times New Roman" w:hAnsi="Times New Roman" w:cs="Times New Roman"/>
          <w:sz w:val="24"/>
          <w:szCs w:val="24"/>
          <w:shd w:val="clear" w:color="auto" w:fill="FFFFFF"/>
        </w:rPr>
        <w:t xml:space="preserve"> </w:t>
      </w:r>
      <w:r w:rsidR="00DE59C5" w:rsidRPr="00E0558A">
        <w:rPr>
          <w:rFonts w:ascii="Times New Roman" w:hAnsi="Times New Roman" w:cs="Times New Roman"/>
          <w:i/>
          <w:iCs/>
          <w:sz w:val="24"/>
          <w:szCs w:val="24"/>
          <w:bdr w:val="none" w:sz="0" w:space="0" w:color="auto" w:frame="1"/>
        </w:rPr>
        <w:t>Phila. Gas Works v. Pa. PUC</w:t>
      </w:r>
      <w:r w:rsidR="00DE59C5" w:rsidRPr="00E0558A">
        <w:rPr>
          <w:rFonts w:ascii="Times New Roman" w:hAnsi="Times New Roman" w:cs="Times New Roman"/>
          <w:sz w:val="24"/>
          <w:szCs w:val="24"/>
          <w:bdr w:val="none" w:sz="0" w:space="0" w:color="auto" w:frame="1"/>
        </w:rPr>
        <w:t xml:space="preserve">, </w:t>
      </w:r>
      <w:r w:rsidR="00C52F1B" w:rsidRPr="00E0558A">
        <w:rPr>
          <w:rFonts w:ascii="Times New Roman" w:hAnsi="Times New Roman" w:cs="Times New Roman"/>
          <w:sz w:val="24"/>
          <w:szCs w:val="24"/>
          <w:shd w:val="clear" w:color="auto" w:fill="FFFFFF"/>
        </w:rPr>
        <w:t>256 A.3d 1092</w:t>
      </w:r>
      <w:r w:rsidR="00DE59C5" w:rsidRPr="00E0558A">
        <w:rPr>
          <w:rFonts w:ascii="Times New Roman" w:hAnsi="Times New Roman" w:cs="Times New Roman"/>
          <w:sz w:val="24"/>
          <w:szCs w:val="24"/>
          <w:bdr w:val="none" w:sz="0" w:space="0" w:color="auto" w:frame="1"/>
        </w:rPr>
        <w:t xml:space="preserve"> (Pa.</w:t>
      </w:r>
      <w:r w:rsidR="00F9207C">
        <w:rPr>
          <w:rFonts w:ascii="Times New Roman" w:hAnsi="Times New Roman" w:cs="Times New Roman"/>
          <w:sz w:val="24"/>
          <w:szCs w:val="24"/>
          <w:bdr w:val="none" w:sz="0" w:space="0" w:color="auto" w:frame="1"/>
        </w:rPr>
        <w:t> </w:t>
      </w:r>
      <w:r w:rsidR="00DE59C5" w:rsidRPr="00E0558A">
        <w:rPr>
          <w:rFonts w:ascii="Times New Roman" w:hAnsi="Times New Roman" w:cs="Times New Roman"/>
          <w:sz w:val="24"/>
          <w:szCs w:val="24"/>
          <w:bdr w:val="none" w:sz="0" w:space="0" w:color="auto" w:frame="1"/>
        </w:rPr>
        <w:t>2021).</w:t>
      </w:r>
    </w:p>
    <w:p w14:paraId="14B3476A" w14:textId="77777777" w:rsidR="00904F86" w:rsidRPr="00E0558A" w:rsidRDefault="00904F86" w:rsidP="00904F86">
      <w:pPr>
        <w:spacing w:after="0" w:line="360" w:lineRule="auto"/>
        <w:rPr>
          <w:rFonts w:ascii="Times New Roman" w:eastAsia="Times New Roman" w:hAnsi="Times New Roman" w:cs="Times New Roman"/>
          <w:sz w:val="24"/>
          <w:szCs w:val="24"/>
        </w:rPr>
      </w:pPr>
    </w:p>
    <w:p w14:paraId="1DFF042E" w14:textId="1496B748" w:rsidR="000043C1" w:rsidRPr="00E0558A" w:rsidRDefault="00A80CA0" w:rsidP="00904F86">
      <w:pPr>
        <w:spacing w:after="0" w:line="360" w:lineRule="auto"/>
        <w:ind w:firstLine="1440"/>
        <w:rPr>
          <w:rFonts w:ascii="Times New Roman" w:eastAsia="Times New Roman" w:hAnsi="Times New Roman" w:cs="Times New Roman"/>
          <w:sz w:val="24"/>
          <w:szCs w:val="24"/>
        </w:rPr>
      </w:pPr>
      <w:r w:rsidRPr="00E0558A">
        <w:rPr>
          <w:rFonts w:ascii="Times New Roman" w:eastAsia="Cambria" w:hAnsi="Times New Roman" w:cs="Times New Roman"/>
          <w:bCs/>
          <w:sz w:val="24"/>
          <w:szCs w:val="24"/>
        </w:rPr>
        <w:t>In its unpu</w:t>
      </w:r>
      <w:r w:rsidR="00D123F3" w:rsidRPr="00E0558A">
        <w:rPr>
          <w:rFonts w:ascii="Times New Roman" w:eastAsia="Cambria" w:hAnsi="Times New Roman" w:cs="Times New Roman"/>
          <w:bCs/>
          <w:sz w:val="24"/>
          <w:szCs w:val="24"/>
        </w:rPr>
        <w:t>bli</w:t>
      </w:r>
      <w:r w:rsidRPr="00E0558A">
        <w:rPr>
          <w:rFonts w:ascii="Times New Roman" w:eastAsia="Cambria" w:hAnsi="Times New Roman" w:cs="Times New Roman"/>
          <w:bCs/>
          <w:sz w:val="24"/>
          <w:szCs w:val="24"/>
        </w:rPr>
        <w:t xml:space="preserve">shed </w:t>
      </w:r>
      <w:r w:rsidR="00F316C3" w:rsidRPr="00E0558A">
        <w:rPr>
          <w:rFonts w:ascii="Times New Roman" w:eastAsia="Cambria" w:hAnsi="Times New Roman" w:cs="Times New Roman"/>
          <w:bCs/>
          <w:sz w:val="24"/>
          <w:szCs w:val="24"/>
        </w:rPr>
        <w:t>O</w:t>
      </w:r>
      <w:r w:rsidRPr="00E0558A">
        <w:rPr>
          <w:rFonts w:ascii="Times New Roman" w:eastAsia="Cambria" w:hAnsi="Times New Roman" w:cs="Times New Roman"/>
          <w:bCs/>
          <w:sz w:val="24"/>
          <w:szCs w:val="24"/>
        </w:rPr>
        <w:t xml:space="preserve">pinion </w:t>
      </w:r>
      <w:r w:rsidR="00B312BE" w:rsidRPr="00E0558A">
        <w:rPr>
          <w:rFonts w:ascii="Times New Roman" w:eastAsia="Cambria" w:hAnsi="Times New Roman" w:cs="Times New Roman"/>
          <w:bCs/>
          <w:sz w:val="24"/>
          <w:szCs w:val="24"/>
        </w:rPr>
        <w:t>dated</w:t>
      </w:r>
      <w:r w:rsidRPr="00E0558A">
        <w:rPr>
          <w:rFonts w:ascii="Times New Roman" w:eastAsia="Cambria" w:hAnsi="Times New Roman" w:cs="Times New Roman"/>
          <w:bCs/>
          <w:sz w:val="24"/>
          <w:szCs w:val="24"/>
        </w:rPr>
        <w:t xml:space="preserve"> </w:t>
      </w:r>
      <w:r w:rsidR="00B312BE" w:rsidRPr="00E0558A">
        <w:rPr>
          <w:rFonts w:ascii="Times New Roman" w:eastAsia="Cambria" w:hAnsi="Times New Roman" w:cs="Times New Roman"/>
          <w:bCs/>
          <w:sz w:val="24"/>
          <w:szCs w:val="24"/>
        </w:rPr>
        <w:t>M</w:t>
      </w:r>
      <w:r w:rsidRPr="00E0558A">
        <w:rPr>
          <w:rFonts w:ascii="Times New Roman" w:eastAsia="Cambria" w:hAnsi="Times New Roman" w:cs="Times New Roman"/>
          <w:bCs/>
          <w:sz w:val="24"/>
          <w:szCs w:val="24"/>
        </w:rPr>
        <w:t>arch 26, 2022, the Commonwe</w:t>
      </w:r>
      <w:r w:rsidR="00B312BE" w:rsidRPr="00E0558A">
        <w:rPr>
          <w:rFonts w:ascii="Times New Roman" w:eastAsia="Cambria" w:hAnsi="Times New Roman" w:cs="Times New Roman"/>
          <w:bCs/>
          <w:sz w:val="24"/>
          <w:szCs w:val="24"/>
        </w:rPr>
        <w:t xml:space="preserve">alth Court provided an extensive history of the proceedings in which the issue of the Commission’s </w:t>
      </w:r>
      <w:r w:rsidR="000423E0" w:rsidRPr="00E0558A">
        <w:rPr>
          <w:rFonts w:ascii="Times New Roman" w:eastAsia="Cambria" w:hAnsi="Times New Roman" w:cs="Times New Roman"/>
          <w:bCs/>
          <w:sz w:val="24"/>
          <w:szCs w:val="24"/>
        </w:rPr>
        <w:t xml:space="preserve">jurisdiction </w:t>
      </w:r>
      <w:r w:rsidR="00C37549" w:rsidRPr="00E0558A">
        <w:rPr>
          <w:rFonts w:ascii="Times New Roman" w:eastAsia="Cambria" w:hAnsi="Times New Roman" w:cs="Times New Roman"/>
          <w:bCs/>
          <w:sz w:val="24"/>
          <w:szCs w:val="24"/>
        </w:rPr>
        <w:t>(</w:t>
      </w:r>
      <w:r w:rsidR="00B312BE" w:rsidRPr="00E0558A">
        <w:rPr>
          <w:rFonts w:ascii="Times New Roman" w:eastAsia="Cambria" w:hAnsi="Times New Roman" w:cs="Times New Roman"/>
          <w:bCs/>
          <w:sz w:val="24"/>
          <w:szCs w:val="24"/>
        </w:rPr>
        <w:t>over the 18%</w:t>
      </w:r>
      <w:r w:rsidR="006E6BEB" w:rsidRPr="00E0558A">
        <w:rPr>
          <w:rFonts w:ascii="Times New Roman" w:eastAsia="Cambria" w:hAnsi="Times New Roman" w:cs="Times New Roman"/>
          <w:bCs/>
          <w:sz w:val="24"/>
          <w:szCs w:val="24"/>
        </w:rPr>
        <w:t xml:space="preserve"> tariff rate </w:t>
      </w:r>
      <w:r w:rsidR="005A317E" w:rsidRPr="00E0558A">
        <w:rPr>
          <w:rFonts w:ascii="Times New Roman" w:eastAsia="Cambria" w:hAnsi="Times New Roman" w:cs="Times New Roman"/>
          <w:bCs/>
          <w:sz w:val="24"/>
          <w:szCs w:val="24"/>
        </w:rPr>
        <w:t>applied by PGW to docketed liens</w:t>
      </w:r>
      <w:r w:rsidR="00C37549" w:rsidRPr="00E0558A">
        <w:rPr>
          <w:rFonts w:ascii="Times New Roman" w:eastAsia="Cambria" w:hAnsi="Times New Roman" w:cs="Times New Roman"/>
          <w:bCs/>
          <w:sz w:val="24"/>
          <w:szCs w:val="24"/>
        </w:rPr>
        <w:t>)</w:t>
      </w:r>
      <w:r w:rsidR="00971387" w:rsidRPr="00E0558A">
        <w:rPr>
          <w:rFonts w:ascii="Times New Roman" w:eastAsia="Cambria" w:hAnsi="Times New Roman" w:cs="Times New Roman"/>
          <w:bCs/>
          <w:sz w:val="24"/>
          <w:szCs w:val="24"/>
        </w:rPr>
        <w:t>,</w:t>
      </w:r>
      <w:r w:rsidR="005A317E" w:rsidRPr="00E0558A">
        <w:rPr>
          <w:rFonts w:ascii="Times New Roman" w:eastAsia="Cambria" w:hAnsi="Times New Roman" w:cs="Times New Roman"/>
          <w:bCs/>
          <w:sz w:val="24"/>
          <w:szCs w:val="24"/>
        </w:rPr>
        <w:t xml:space="preserve"> </w:t>
      </w:r>
      <w:r w:rsidR="008B3CE3" w:rsidRPr="00E0558A">
        <w:rPr>
          <w:rFonts w:ascii="Times New Roman" w:eastAsia="Cambria" w:hAnsi="Times New Roman" w:cs="Times New Roman"/>
          <w:bCs/>
          <w:sz w:val="24"/>
          <w:szCs w:val="24"/>
        </w:rPr>
        <w:t>as well as</w:t>
      </w:r>
      <w:r w:rsidR="00971387" w:rsidRPr="00E0558A">
        <w:rPr>
          <w:rFonts w:ascii="Times New Roman" w:eastAsia="Cambria" w:hAnsi="Times New Roman" w:cs="Times New Roman"/>
          <w:bCs/>
          <w:sz w:val="24"/>
          <w:szCs w:val="24"/>
        </w:rPr>
        <w:t xml:space="preserve"> the Supreme Court’s ruling</w:t>
      </w:r>
      <w:r w:rsidR="00871067" w:rsidRPr="00E0558A">
        <w:rPr>
          <w:rFonts w:ascii="Times New Roman" w:eastAsia="Cambria" w:hAnsi="Times New Roman" w:cs="Times New Roman"/>
          <w:bCs/>
          <w:sz w:val="24"/>
          <w:szCs w:val="24"/>
        </w:rPr>
        <w:t xml:space="preserve"> in </w:t>
      </w:r>
      <w:r w:rsidR="00871067" w:rsidRPr="00E0558A">
        <w:rPr>
          <w:rFonts w:ascii="Times New Roman" w:eastAsia="Cambria" w:hAnsi="Times New Roman" w:cs="Times New Roman"/>
          <w:bCs/>
          <w:i/>
          <w:iCs/>
          <w:sz w:val="24"/>
          <w:szCs w:val="24"/>
        </w:rPr>
        <w:t>PGW II</w:t>
      </w:r>
      <w:r w:rsidR="00435993" w:rsidRPr="00E0558A">
        <w:rPr>
          <w:rFonts w:ascii="Times New Roman" w:eastAsia="Cambria" w:hAnsi="Times New Roman" w:cs="Times New Roman"/>
          <w:bCs/>
          <w:sz w:val="24"/>
          <w:szCs w:val="24"/>
        </w:rPr>
        <w:t xml:space="preserve"> </w:t>
      </w:r>
      <w:r w:rsidR="00C37549" w:rsidRPr="00E0558A">
        <w:rPr>
          <w:rFonts w:ascii="Times New Roman" w:eastAsia="Cambria" w:hAnsi="Times New Roman" w:cs="Times New Roman"/>
          <w:bCs/>
          <w:sz w:val="24"/>
          <w:szCs w:val="24"/>
        </w:rPr>
        <w:t>(</w:t>
      </w:r>
      <w:r w:rsidR="00435993" w:rsidRPr="00E0558A">
        <w:rPr>
          <w:rFonts w:ascii="Times New Roman" w:eastAsia="Cambria" w:hAnsi="Times New Roman" w:cs="Times New Roman"/>
          <w:bCs/>
          <w:sz w:val="24"/>
          <w:szCs w:val="24"/>
        </w:rPr>
        <w:t>that</w:t>
      </w:r>
      <w:r w:rsidR="00971387" w:rsidRPr="00E0558A">
        <w:rPr>
          <w:rFonts w:ascii="Times New Roman" w:eastAsia="Cambria" w:hAnsi="Times New Roman" w:cs="Times New Roman"/>
          <w:bCs/>
          <w:sz w:val="24"/>
          <w:szCs w:val="24"/>
        </w:rPr>
        <w:t xml:space="preserve"> </w:t>
      </w:r>
      <w:r w:rsidR="00435993" w:rsidRPr="00E0558A">
        <w:rPr>
          <w:rFonts w:ascii="Times New Roman" w:hAnsi="Times New Roman" w:cs="Times New Roman"/>
          <w:bCs/>
          <w:sz w:val="24"/>
          <w:szCs w:val="24"/>
        </w:rPr>
        <w:t>a lien docketed by a city of the first class constitutes a </w:t>
      </w:r>
      <w:r w:rsidR="00435993" w:rsidRPr="00E0558A">
        <w:rPr>
          <w:rFonts w:ascii="Times New Roman" w:hAnsi="Times New Roman" w:cs="Times New Roman"/>
          <w:bCs/>
          <w:sz w:val="24"/>
          <w:szCs w:val="24"/>
          <w:bdr w:val="none" w:sz="0" w:space="0" w:color="auto" w:frame="1"/>
        </w:rPr>
        <w:t>judgment</w:t>
      </w:r>
      <w:r w:rsidR="00435993" w:rsidRPr="00E0558A">
        <w:rPr>
          <w:rFonts w:ascii="Times New Roman" w:hAnsi="Times New Roman" w:cs="Times New Roman"/>
          <w:bCs/>
          <w:sz w:val="24"/>
          <w:szCs w:val="24"/>
        </w:rPr>
        <w:t> pursuant to Section 3(b) of the Lien Law</w:t>
      </w:r>
      <w:r w:rsidR="00C37549" w:rsidRPr="00E0558A">
        <w:rPr>
          <w:rFonts w:ascii="Times New Roman" w:hAnsi="Times New Roman" w:cs="Times New Roman"/>
          <w:bCs/>
          <w:sz w:val="24"/>
          <w:szCs w:val="24"/>
        </w:rPr>
        <w:t xml:space="preserve">) </w:t>
      </w:r>
      <w:r w:rsidR="005A317E" w:rsidRPr="00E0558A">
        <w:rPr>
          <w:rFonts w:ascii="Times New Roman" w:eastAsia="Cambria" w:hAnsi="Times New Roman" w:cs="Times New Roman"/>
          <w:bCs/>
          <w:sz w:val="24"/>
          <w:szCs w:val="24"/>
        </w:rPr>
        <w:t xml:space="preserve">featured prominently. </w:t>
      </w:r>
      <w:r w:rsidR="00AF719B" w:rsidRPr="00E0558A">
        <w:rPr>
          <w:rFonts w:ascii="Times New Roman" w:eastAsia="Cambria" w:hAnsi="Times New Roman" w:cs="Times New Roman"/>
          <w:bCs/>
          <w:sz w:val="24"/>
          <w:szCs w:val="24"/>
        </w:rPr>
        <w:t xml:space="preserve"> Importantly, </w:t>
      </w:r>
      <w:r w:rsidR="00CA5598" w:rsidRPr="00E0558A">
        <w:rPr>
          <w:rFonts w:ascii="Times New Roman" w:eastAsia="Cambria" w:hAnsi="Times New Roman" w:cs="Times New Roman"/>
          <w:bCs/>
          <w:sz w:val="24"/>
          <w:szCs w:val="24"/>
        </w:rPr>
        <w:t xml:space="preserve">one of the outstanding issues that PGW had sought remand for was that of </w:t>
      </w:r>
      <w:r w:rsidR="005E7153" w:rsidRPr="00E0558A">
        <w:rPr>
          <w:rFonts w:ascii="Times New Roman" w:eastAsia="Cambria" w:hAnsi="Times New Roman" w:cs="Times New Roman"/>
          <w:bCs/>
          <w:sz w:val="24"/>
          <w:szCs w:val="24"/>
        </w:rPr>
        <w:t>“</w:t>
      </w:r>
      <w:r w:rsidR="00E505D0" w:rsidRPr="00E0558A">
        <w:rPr>
          <w:rFonts w:ascii="Times New Roman" w:hAnsi="Times New Roman" w:cs="Times New Roman"/>
          <w:b/>
          <w:sz w:val="24"/>
          <w:szCs w:val="24"/>
        </w:rPr>
        <w:t>Refund Calculations</w:t>
      </w:r>
      <w:r w:rsidR="00B725FA" w:rsidRPr="00E0558A">
        <w:rPr>
          <w:rFonts w:ascii="Times New Roman" w:hAnsi="Times New Roman" w:cs="Times New Roman"/>
          <w:b/>
          <w:sz w:val="24"/>
          <w:szCs w:val="24"/>
        </w:rPr>
        <w:t>.</w:t>
      </w:r>
      <w:r w:rsidR="005E7153" w:rsidRPr="00E0558A">
        <w:rPr>
          <w:rFonts w:ascii="Times New Roman" w:hAnsi="Times New Roman" w:cs="Times New Roman"/>
          <w:sz w:val="24"/>
          <w:szCs w:val="24"/>
        </w:rPr>
        <w:t>”</w:t>
      </w:r>
      <w:r w:rsidR="00AF4DC9" w:rsidRPr="00E0558A">
        <w:rPr>
          <w:rFonts w:ascii="Times New Roman" w:hAnsi="Times New Roman" w:cs="Times New Roman"/>
          <w:sz w:val="24"/>
          <w:szCs w:val="24"/>
        </w:rPr>
        <w:t xml:space="preserve">  On that issue, the Commonwealth court state</w:t>
      </w:r>
      <w:r w:rsidR="00C37549" w:rsidRPr="00E0558A">
        <w:rPr>
          <w:rFonts w:ascii="Times New Roman" w:hAnsi="Times New Roman" w:cs="Times New Roman"/>
          <w:sz w:val="24"/>
          <w:szCs w:val="24"/>
        </w:rPr>
        <w:t>d</w:t>
      </w:r>
      <w:r w:rsidR="00AF4DC9" w:rsidRPr="00E0558A">
        <w:rPr>
          <w:rFonts w:ascii="Times New Roman" w:hAnsi="Times New Roman" w:cs="Times New Roman"/>
          <w:sz w:val="24"/>
          <w:szCs w:val="24"/>
        </w:rPr>
        <w:t xml:space="preserve">, </w:t>
      </w:r>
    </w:p>
    <w:p w14:paraId="50C87FCD" w14:textId="735A910A" w:rsidR="00583C34" w:rsidRPr="00E0558A" w:rsidRDefault="000043C1" w:rsidP="00A424A1">
      <w:pPr>
        <w:spacing w:line="240" w:lineRule="auto"/>
        <w:ind w:left="1440" w:right="1440"/>
        <w:rPr>
          <w:rFonts w:ascii="Times New Roman" w:hAnsi="Times New Roman" w:cs="Times New Roman"/>
          <w:sz w:val="24"/>
          <w:szCs w:val="24"/>
          <w:bdr w:val="none" w:sz="0" w:space="0" w:color="auto" w:frame="1"/>
        </w:rPr>
      </w:pPr>
      <w:r w:rsidRPr="00E0558A">
        <w:rPr>
          <w:rFonts w:ascii="Times New Roman" w:hAnsi="Times New Roman" w:cs="Times New Roman"/>
          <w:sz w:val="24"/>
          <w:szCs w:val="24"/>
        </w:rPr>
        <w:t xml:space="preserve">PGW asserts that, </w:t>
      </w:r>
      <w:r w:rsidRPr="00E0558A">
        <w:rPr>
          <w:rFonts w:ascii="Times New Roman" w:hAnsi="Times New Roman" w:cs="Times New Roman"/>
          <w:sz w:val="24"/>
          <w:szCs w:val="24"/>
          <w:u w:val="single"/>
        </w:rPr>
        <w:t>in the event this</w:t>
      </w:r>
      <w:r w:rsidR="00F316C3" w:rsidRPr="00E0558A">
        <w:rPr>
          <w:rFonts w:ascii="Times New Roman" w:hAnsi="Times New Roman" w:cs="Times New Roman"/>
          <w:sz w:val="24"/>
          <w:szCs w:val="24"/>
          <w:u w:val="single"/>
        </w:rPr>
        <w:t xml:space="preserve"> </w:t>
      </w:r>
      <w:r w:rsidRPr="00E0558A">
        <w:rPr>
          <w:rFonts w:ascii="Times New Roman" w:hAnsi="Times New Roman" w:cs="Times New Roman"/>
          <w:sz w:val="24"/>
          <w:szCs w:val="24"/>
          <w:u w:val="single"/>
        </w:rPr>
        <w:t>Court determines</w:t>
      </w:r>
      <w:r w:rsidR="00F316C3" w:rsidRPr="00E0558A">
        <w:rPr>
          <w:rFonts w:ascii="Times New Roman" w:hAnsi="Times New Roman" w:cs="Times New Roman"/>
          <w:sz w:val="24"/>
          <w:szCs w:val="24"/>
          <w:u w:val="single"/>
        </w:rPr>
        <w:t xml:space="preserve"> </w:t>
      </w:r>
      <w:r w:rsidRPr="00E0558A">
        <w:rPr>
          <w:rFonts w:ascii="Times New Roman" w:hAnsi="Times New Roman" w:cs="Times New Roman"/>
          <w:i/>
          <w:iCs/>
          <w:sz w:val="24"/>
          <w:szCs w:val="24"/>
          <w:u w:val="single"/>
          <w:bdr w:val="none" w:sz="0" w:space="0" w:color="auto" w:frame="1"/>
        </w:rPr>
        <w:t>PGW II</w:t>
      </w:r>
      <w:r w:rsidR="00F316C3" w:rsidRPr="00E0558A">
        <w:rPr>
          <w:rFonts w:ascii="Times New Roman" w:hAnsi="Times New Roman" w:cs="Times New Roman"/>
          <w:sz w:val="24"/>
          <w:szCs w:val="24"/>
          <w:u w:val="single"/>
        </w:rPr>
        <w:t xml:space="preserve"> </w:t>
      </w:r>
      <w:r w:rsidRPr="00E0558A">
        <w:rPr>
          <w:rFonts w:ascii="Times New Roman" w:hAnsi="Times New Roman" w:cs="Times New Roman"/>
          <w:sz w:val="24"/>
          <w:szCs w:val="24"/>
          <w:u w:val="single"/>
        </w:rPr>
        <w:t>applies to require refunds to Intervenors, a remand is needed for the presentation of evidence and a determination by the Commission of the correct refund amounts.</w:t>
      </w:r>
      <w:r w:rsidRPr="00E0558A">
        <w:rPr>
          <w:rFonts w:ascii="Times New Roman" w:hAnsi="Times New Roman" w:cs="Times New Roman"/>
          <w:sz w:val="24"/>
          <w:szCs w:val="24"/>
        </w:rPr>
        <w:t xml:space="preserve"> At oral argument, Intervenors agreed to a remand for this purpose. </w:t>
      </w:r>
      <w:r w:rsidRPr="00E0558A">
        <w:rPr>
          <w:rFonts w:ascii="Times New Roman" w:hAnsi="Times New Roman" w:cs="Times New Roman"/>
          <w:sz w:val="24"/>
          <w:szCs w:val="24"/>
          <w:bdr w:val="none" w:sz="0" w:space="0" w:color="auto" w:frame="1"/>
        </w:rPr>
        <w:t>Moreover, this Court is unable to determine from the record the basis of the Commission's calculation of the refunds it ordered. Accordingly, we will grant PGW's request to remand this matter for the purpose of allowing the parties to present additional evidence concerning the correct calculation of any refunds PGW owes to Intervenors</w:t>
      </w:r>
      <w:r w:rsidR="00F316C3" w:rsidRPr="00E0558A">
        <w:rPr>
          <w:rFonts w:ascii="Times New Roman" w:hAnsi="Times New Roman" w:cs="Times New Roman"/>
          <w:sz w:val="24"/>
          <w:szCs w:val="24"/>
          <w:bdr w:val="none" w:sz="0" w:space="0" w:color="auto" w:frame="1"/>
        </w:rPr>
        <w:t>.</w:t>
      </w:r>
    </w:p>
    <w:p w14:paraId="747B2A5C" w14:textId="77777777" w:rsidR="00A424A1" w:rsidRPr="00E0558A" w:rsidRDefault="00A424A1" w:rsidP="00A424A1">
      <w:pPr>
        <w:spacing w:line="240" w:lineRule="auto"/>
        <w:ind w:left="1440" w:right="1440"/>
        <w:rPr>
          <w:rFonts w:ascii="Times New Roman" w:hAnsi="Times New Roman" w:cs="Times New Roman"/>
          <w:sz w:val="24"/>
          <w:szCs w:val="24"/>
        </w:rPr>
      </w:pPr>
    </w:p>
    <w:p w14:paraId="3D4AF19D" w14:textId="77418A10" w:rsidR="007E41EF" w:rsidRPr="00E0558A" w:rsidRDefault="009D1890" w:rsidP="005606A8">
      <w:pPr>
        <w:spacing w:after="0" w:line="360" w:lineRule="auto"/>
        <w:rPr>
          <w:rFonts w:ascii="Times New Roman" w:hAnsi="Times New Roman" w:cs="Times New Roman"/>
          <w:sz w:val="24"/>
          <w:szCs w:val="24"/>
        </w:rPr>
      </w:pPr>
      <w:r w:rsidRPr="00E0558A">
        <w:rPr>
          <w:rFonts w:ascii="Times New Roman" w:hAnsi="Times New Roman" w:cs="Times New Roman"/>
          <w:i/>
          <w:iCs/>
          <w:sz w:val="24"/>
          <w:szCs w:val="24"/>
        </w:rPr>
        <w:lastRenderedPageBreak/>
        <w:t>PGW III,</w:t>
      </w:r>
      <w:r w:rsidRPr="00E0558A">
        <w:rPr>
          <w:rFonts w:ascii="Times New Roman" w:hAnsi="Times New Roman" w:cs="Times New Roman"/>
          <w:sz w:val="24"/>
          <w:szCs w:val="24"/>
        </w:rPr>
        <w:t xml:space="preserve"> at 1219</w:t>
      </w:r>
      <w:r w:rsidR="00A424A1" w:rsidRPr="00E0558A">
        <w:rPr>
          <w:rFonts w:ascii="Times New Roman" w:hAnsi="Times New Roman" w:cs="Times New Roman"/>
          <w:sz w:val="24"/>
          <w:szCs w:val="24"/>
        </w:rPr>
        <w:t xml:space="preserve"> (citations omitted)</w:t>
      </w:r>
      <w:r w:rsidRPr="00E0558A">
        <w:rPr>
          <w:rFonts w:ascii="Times New Roman" w:hAnsi="Times New Roman" w:cs="Times New Roman"/>
          <w:sz w:val="24"/>
          <w:szCs w:val="24"/>
        </w:rPr>
        <w:t xml:space="preserve">. </w:t>
      </w:r>
      <w:r w:rsidR="005D1289" w:rsidRPr="00E0558A">
        <w:rPr>
          <w:rFonts w:ascii="Times New Roman" w:hAnsi="Times New Roman" w:cs="Times New Roman"/>
          <w:sz w:val="24"/>
          <w:szCs w:val="24"/>
        </w:rPr>
        <w:t>(</w:t>
      </w:r>
      <w:r w:rsidR="005D1289" w:rsidRPr="00E0558A">
        <w:rPr>
          <w:rFonts w:ascii="Times New Roman" w:hAnsi="Times New Roman" w:cs="Times New Roman"/>
          <w:sz w:val="24"/>
          <w:szCs w:val="24"/>
          <w:u w:val="single"/>
        </w:rPr>
        <w:t>Emphasis added).</w:t>
      </w:r>
      <w:r w:rsidR="005D1289"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 </w:t>
      </w:r>
      <w:r w:rsidR="005151A7" w:rsidRPr="00E0558A">
        <w:rPr>
          <w:rFonts w:ascii="Times New Roman" w:hAnsi="Times New Roman" w:cs="Times New Roman"/>
          <w:sz w:val="24"/>
          <w:szCs w:val="24"/>
          <w:bdr w:val="none" w:sz="0" w:space="0" w:color="auto" w:frame="1"/>
        </w:rPr>
        <w:t>Consequently, the Commonwealth Court ordered:</w:t>
      </w:r>
    </w:p>
    <w:p w14:paraId="4F962BE6" w14:textId="41AFAE16" w:rsidR="00B83363" w:rsidRDefault="00715E34" w:rsidP="00933B5C">
      <w:pPr>
        <w:spacing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rPr>
        <w:t xml:space="preserve">As agreed by the parties, this matter </w:t>
      </w:r>
      <w:r w:rsidRPr="00E0558A">
        <w:rPr>
          <w:rFonts w:ascii="Times New Roman" w:hAnsi="Times New Roman" w:cs="Times New Roman"/>
          <w:sz w:val="24"/>
          <w:szCs w:val="24"/>
          <w:u w:val="single"/>
        </w:rPr>
        <w:t>is REMANDED to the Pennsylvania Public Utility Commission (Commission) in part, solely for the presentation of evidence by the parties and a determination by the Commission concerning the correct amounts of any refunds</w:t>
      </w:r>
      <w:r w:rsidRPr="00E0558A">
        <w:rPr>
          <w:rFonts w:ascii="Times New Roman" w:hAnsi="Times New Roman" w:cs="Times New Roman"/>
          <w:sz w:val="24"/>
          <w:szCs w:val="24"/>
        </w:rPr>
        <w:t xml:space="preserve"> owed by PGW to SBG Management Services, Inc., Colonial Garden Realty Company and Simon Garden Realty Company (collectively, Intervenors) </w:t>
      </w:r>
      <w:bookmarkStart w:id="6" w:name="_Hlk121493891"/>
      <w:r w:rsidRPr="00E0558A">
        <w:rPr>
          <w:rFonts w:ascii="Times New Roman" w:hAnsi="Times New Roman" w:cs="Times New Roman"/>
          <w:sz w:val="24"/>
          <w:szCs w:val="24"/>
        </w:rPr>
        <w:t>relating to late fees charged on docketed municipal liens against Intervenors for unpaid natural</w:t>
      </w:r>
      <w:r w:rsidR="00A424A1" w:rsidRPr="00E0558A">
        <w:rPr>
          <w:rFonts w:ascii="Times New Roman" w:hAnsi="Times New Roman" w:cs="Times New Roman"/>
          <w:sz w:val="24"/>
          <w:szCs w:val="24"/>
        </w:rPr>
        <w:t xml:space="preserve"> </w:t>
      </w:r>
      <w:r w:rsidRPr="00E0558A">
        <w:rPr>
          <w:rFonts w:ascii="Times New Roman" w:hAnsi="Times New Roman" w:cs="Times New Roman"/>
          <w:sz w:val="24"/>
          <w:szCs w:val="24"/>
        </w:rPr>
        <w:t>gas charges prior to April 29, 2021.</w:t>
      </w:r>
      <w:bookmarkEnd w:id="6"/>
    </w:p>
    <w:p w14:paraId="0BB66739" w14:textId="77777777" w:rsidR="002807F1" w:rsidRPr="00E0558A" w:rsidRDefault="002807F1" w:rsidP="00933B5C">
      <w:pPr>
        <w:spacing w:line="240" w:lineRule="auto"/>
        <w:ind w:left="1440" w:right="1440"/>
        <w:rPr>
          <w:rFonts w:ascii="Times New Roman" w:hAnsi="Times New Roman" w:cs="Times New Roman"/>
          <w:sz w:val="24"/>
          <w:szCs w:val="24"/>
        </w:rPr>
      </w:pPr>
    </w:p>
    <w:p w14:paraId="6E403BAC" w14:textId="1D11A3D7" w:rsidR="001A0C4A" w:rsidRPr="00E0558A" w:rsidRDefault="00FA673F" w:rsidP="005606A8">
      <w:pPr>
        <w:spacing w:after="0" w:line="360" w:lineRule="auto"/>
        <w:rPr>
          <w:rFonts w:ascii="Times New Roman" w:hAnsi="Times New Roman" w:cs="Times New Roman"/>
          <w:sz w:val="24"/>
          <w:szCs w:val="24"/>
        </w:rPr>
      </w:pPr>
      <w:bookmarkStart w:id="7" w:name="_Hlk121828324"/>
      <w:r w:rsidRPr="00E0558A">
        <w:rPr>
          <w:rFonts w:ascii="Times New Roman" w:hAnsi="Times New Roman" w:cs="Times New Roman"/>
          <w:i/>
          <w:iCs/>
          <w:sz w:val="24"/>
          <w:szCs w:val="24"/>
        </w:rPr>
        <w:t>PGW III,</w:t>
      </w:r>
      <w:r w:rsidRPr="00E0558A">
        <w:rPr>
          <w:rFonts w:ascii="Times New Roman" w:hAnsi="Times New Roman" w:cs="Times New Roman"/>
          <w:sz w:val="24"/>
          <w:szCs w:val="24"/>
        </w:rPr>
        <w:t xml:space="preserve"> at 1219. </w:t>
      </w:r>
      <w:r w:rsidR="00F9641F" w:rsidRPr="00E0558A">
        <w:rPr>
          <w:rFonts w:ascii="Times New Roman" w:hAnsi="Times New Roman" w:cs="Times New Roman"/>
          <w:sz w:val="24"/>
          <w:szCs w:val="24"/>
        </w:rPr>
        <w:t xml:space="preserve"> (</w:t>
      </w:r>
      <w:r w:rsidR="00F9641F" w:rsidRPr="00E0558A">
        <w:rPr>
          <w:rFonts w:ascii="Times New Roman" w:hAnsi="Times New Roman" w:cs="Times New Roman"/>
          <w:sz w:val="24"/>
          <w:szCs w:val="24"/>
          <w:u w:val="single"/>
        </w:rPr>
        <w:t>Emphasis added).</w:t>
      </w:r>
      <w:r w:rsidR="00F9641F" w:rsidRPr="00E0558A">
        <w:rPr>
          <w:rFonts w:ascii="Times New Roman" w:hAnsi="Times New Roman" w:cs="Times New Roman"/>
          <w:sz w:val="24"/>
          <w:szCs w:val="24"/>
        </w:rPr>
        <w:t xml:space="preserve">  </w:t>
      </w:r>
      <w:bookmarkEnd w:id="7"/>
      <w:r w:rsidR="00B279B1" w:rsidRPr="00E0558A">
        <w:rPr>
          <w:rFonts w:ascii="Times New Roman" w:hAnsi="Times New Roman" w:cs="Times New Roman"/>
          <w:sz w:val="24"/>
          <w:szCs w:val="24"/>
        </w:rPr>
        <w:t xml:space="preserve">Subsequently the Court relinquished jurisdiction over the matter. </w:t>
      </w:r>
      <w:r w:rsidRPr="00E0558A">
        <w:rPr>
          <w:rFonts w:ascii="Times New Roman" w:hAnsi="Times New Roman" w:cs="Times New Roman"/>
          <w:sz w:val="24"/>
          <w:szCs w:val="24"/>
        </w:rPr>
        <w:t xml:space="preserve"> </w:t>
      </w:r>
      <w:r w:rsidRPr="00E0558A">
        <w:rPr>
          <w:rFonts w:ascii="Times New Roman" w:hAnsi="Times New Roman" w:cs="Times New Roman"/>
          <w:i/>
          <w:iCs/>
          <w:sz w:val="24"/>
          <w:szCs w:val="24"/>
        </w:rPr>
        <w:t xml:space="preserve">Id. </w:t>
      </w:r>
    </w:p>
    <w:p w14:paraId="019C6FF2" w14:textId="0C7CE93B" w:rsidR="00AC62B1" w:rsidRPr="00E0558A" w:rsidRDefault="00AC62B1" w:rsidP="005606A8">
      <w:pPr>
        <w:spacing w:after="0" w:line="360" w:lineRule="auto"/>
        <w:ind w:right="1440"/>
        <w:rPr>
          <w:rFonts w:ascii="Times New Roman" w:hAnsi="Times New Roman" w:cs="Times New Roman"/>
          <w:sz w:val="24"/>
          <w:szCs w:val="24"/>
        </w:rPr>
      </w:pPr>
    </w:p>
    <w:p w14:paraId="2B704ED6" w14:textId="4089BEB9" w:rsidR="00FC7527" w:rsidRPr="00E0558A" w:rsidRDefault="00D50106" w:rsidP="005606A8">
      <w:pPr>
        <w:spacing w:after="0" w:line="360" w:lineRule="auto"/>
        <w:ind w:right="1440" w:firstLine="1440"/>
        <w:rPr>
          <w:rFonts w:ascii="Times New Roman" w:hAnsi="Times New Roman" w:cs="Times New Roman"/>
          <w:sz w:val="24"/>
          <w:szCs w:val="24"/>
          <w:bdr w:val="none" w:sz="0" w:space="0" w:color="auto" w:frame="1"/>
          <w:shd w:val="clear" w:color="auto" w:fill="FFFFFF"/>
        </w:rPr>
      </w:pPr>
      <w:r w:rsidRPr="00E0558A">
        <w:rPr>
          <w:rFonts w:ascii="Times New Roman" w:hAnsi="Times New Roman" w:cs="Times New Roman"/>
          <w:sz w:val="24"/>
          <w:szCs w:val="24"/>
        </w:rPr>
        <w:t xml:space="preserve">In </w:t>
      </w:r>
      <w:r w:rsidRPr="00E0558A">
        <w:rPr>
          <w:rFonts w:ascii="Times New Roman" w:hAnsi="Times New Roman" w:cs="Times New Roman"/>
          <w:i/>
          <w:iCs/>
          <w:sz w:val="24"/>
          <w:szCs w:val="24"/>
        </w:rPr>
        <w:t>PGW II</w:t>
      </w:r>
      <w:r w:rsidRPr="00E0558A">
        <w:rPr>
          <w:rFonts w:ascii="Times New Roman" w:hAnsi="Times New Roman" w:cs="Times New Roman"/>
          <w:sz w:val="24"/>
          <w:szCs w:val="24"/>
        </w:rPr>
        <w:t xml:space="preserve">, </w:t>
      </w:r>
      <w:r w:rsidR="00F509E2" w:rsidRPr="00E0558A">
        <w:rPr>
          <w:rFonts w:ascii="Times New Roman" w:hAnsi="Times New Roman" w:cs="Times New Roman"/>
          <w:sz w:val="24"/>
          <w:szCs w:val="24"/>
        </w:rPr>
        <w:t>t</w:t>
      </w:r>
      <w:r w:rsidR="00013FED" w:rsidRPr="00E0558A">
        <w:rPr>
          <w:rFonts w:ascii="Times New Roman" w:hAnsi="Times New Roman" w:cs="Times New Roman"/>
          <w:sz w:val="24"/>
          <w:szCs w:val="24"/>
        </w:rPr>
        <w:t xml:space="preserve">he Supreme Court </w:t>
      </w:r>
      <w:r w:rsidRPr="00E0558A">
        <w:rPr>
          <w:rFonts w:ascii="Times New Roman" w:hAnsi="Times New Roman" w:cs="Times New Roman"/>
          <w:sz w:val="24"/>
          <w:szCs w:val="24"/>
          <w:bdr w:val="none" w:sz="0" w:space="0" w:color="auto" w:frame="1"/>
          <w:shd w:val="clear" w:color="auto" w:fill="FFFFFF"/>
        </w:rPr>
        <w:t>explained that</w:t>
      </w:r>
      <w:r w:rsidR="00FC7527" w:rsidRPr="00E0558A">
        <w:rPr>
          <w:rFonts w:ascii="Times New Roman" w:hAnsi="Times New Roman" w:cs="Times New Roman"/>
          <w:sz w:val="24"/>
          <w:szCs w:val="24"/>
          <w:bdr w:val="none" w:sz="0" w:space="0" w:color="auto" w:frame="1"/>
          <w:shd w:val="clear" w:color="auto" w:fill="FFFFFF"/>
        </w:rPr>
        <w:t>,</w:t>
      </w:r>
    </w:p>
    <w:p w14:paraId="7F6684A9" w14:textId="77777777" w:rsidR="005606A8" w:rsidRPr="00E0558A" w:rsidRDefault="005606A8" w:rsidP="005606A8">
      <w:pPr>
        <w:spacing w:after="0" w:line="360" w:lineRule="auto"/>
        <w:ind w:right="1440" w:firstLine="1440"/>
        <w:rPr>
          <w:rFonts w:ascii="Times New Roman" w:hAnsi="Times New Roman" w:cs="Times New Roman"/>
          <w:sz w:val="24"/>
          <w:szCs w:val="24"/>
          <w:bdr w:val="none" w:sz="0" w:space="0" w:color="auto" w:frame="1"/>
          <w:shd w:val="clear" w:color="auto" w:fill="FFFFFF"/>
        </w:rPr>
      </w:pPr>
    </w:p>
    <w:p w14:paraId="672A3C53" w14:textId="7CDD95BC" w:rsidR="00FC7527" w:rsidRDefault="00A37117" w:rsidP="00FC7527">
      <w:pPr>
        <w:spacing w:line="240" w:lineRule="auto"/>
        <w:ind w:left="1440" w:right="1440"/>
        <w:rPr>
          <w:rFonts w:ascii="Times New Roman" w:hAnsi="Times New Roman" w:cs="Times New Roman"/>
          <w:sz w:val="24"/>
          <w:szCs w:val="24"/>
          <w:shd w:val="clear" w:color="auto" w:fill="FFFFFF"/>
        </w:rPr>
      </w:pPr>
      <w:r w:rsidRPr="00E0558A">
        <w:rPr>
          <w:rFonts w:ascii="Times New Roman" w:hAnsi="Times New Roman" w:cs="Times New Roman"/>
          <w:sz w:val="24"/>
          <w:szCs w:val="24"/>
          <w:bdr w:val="none" w:sz="0" w:space="0" w:color="auto" w:frame="1"/>
          <w:shd w:val="clear" w:color="auto" w:fill="FFFFFF"/>
        </w:rPr>
        <w:t>With respect to liens filed under</w:t>
      </w:r>
      <w:r w:rsidR="005606A8" w:rsidRPr="00E0558A">
        <w:rPr>
          <w:rFonts w:ascii="Times New Roman" w:hAnsi="Times New Roman" w:cs="Times New Roman"/>
          <w:sz w:val="24"/>
          <w:szCs w:val="24"/>
          <w:bdr w:val="none" w:sz="0" w:space="0" w:color="auto" w:frame="1"/>
          <w:shd w:val="clear" w:color="auto" w:fill="FFFFFF"/>
        </w:rPr>
        <w:t xml:space="preserve"> </w:t>
      </w:r>
      <w:r w:rsidRPr="00E0558A">
        <w:rPr>
          <w:rFonts w:ascii="Times New Roman" w:hAnsi="Times New Roman" w:cs="Times New Roman"/>
          <w:sz w:val="24"/>
          <w:szCs w:val="24"/>
          <w:bdr w:val="none" w:sz="0" w:space="0" w:color="auto" w:frame="1"/>
          <w:shd w:val="clear" w:color="auto" w:fill="FFFFFF"/>
        </w:rPr>
        <w:t>Section 7106(b), pursuant to</w:t>
      </w:r>
      <w:r w:rsidR="005606A8" w:rsidRPr="00E0558A">
        <w:rPr>
          <w:rFonts w:ascii="Times New Roman" w:hAnsi="Times New Roman" w:cs="Times New Roman"/>
          <w:sz w:val="24"/>
          <w:szCs w:val="24"/>
          <w:bdr w:val="none" w:sz="0" w:space="0" w:color="auto" w:frame="1"/>
          <w:shd w:val="clear" w:color="auto" w:fill="FFFFFF"/>
        </w:rPr>
        <w:t xml:space="preserve"> </w:t>
      </w:r>
      <w:r w:rsidRPr="00E0558A">
        <w:rPr>
          <w:rFonts w:ascii="Times New Roman" w:hAnsi="Times New Roman" w:cs="Times New Roman"/>
          <w:sz w:val="24"/>
          <w:szCs w:val="24"/>
          <w:bdr w:val="none" w:sz="0" w:space="0" w:color="auto" w:frame="1"/>
          <w:shd w:val="clear" w:color="auto" w:fill="FFFFFF"/>
        </w:rPr>
        <w:t xml:space="preserve">Section 7184, </w:t>
      </w:r>
      <w:r w:rsidRPr="00E0558A">
        <w:rPr>
          <w:rFonts w:ascii="Times New Roman" w:hAnsi="Times New Roman" w:cs="Times New Roman"/>
          <w:sz w:val="24"/>
          <w:szCs w:val="24"/>
          <w:u w:val="single"/>
          <w:bdr w:val="none" w:sz="0" w:space="0" w:color="auto" w:frame="1"/>
          <w:shd w:val="clear" w:color="auto" w:fill="FFFFFF"/>
        </w:rPr>
        <w:t>a property owner may challenge a recorded municipal lien, including the amount thereof</w:t>
      </w:r>
      <w:r w:rsidRPr="00E0558A">
        <w:rPr>
          <w:rFonts w:ascii="Times New Roman" w:hAnsi="Times New Roman" w:cs="Times New Roman"/>
          <w:sz w:val="24"/>
          <w:szCs w:val="24"/>
          <w:bdr w:val="none" w:sz="0" w:space="0" w:color="auto" w:frame="1"/>
          <w:shd w:val="clear" w:color="auto" w:fill="FFFFFF"/>
        </w:rPr>
        <w:t>, by serving the municipality with a notice to issue a</w:t>
      </w:r>
      <w:r w:rsidR="00EE6BC7" w:rsidRPr="00E0558A">
        <w:rPr>
          <w:rFonts w:ascii="Times New Roman" w:hAnsi="Times New Roman" w:cs="Times New Roman"/>
          <w:sz w:val="24"/>
          <w:szCs w:val="24"/>
          <w:bdr w:val="none" w:sz="0" w:space="0" w:color="auto" w:frame="1"/>
          <w:shd w:val="clear" w:color="auto" w:fill="FFFFFF"/>
        </w:rPr>
        <w:t xml:space="preserve"> writ </w:t>
      </w:r>
      <w:r w:rsidRPr="00E0558A">
        <w:rPr>
          <w:rFonts w:ascii="Times New Roman" w:hAnsi="Times New Roman" w:cs="Times New Roman"/>
          <w:sz w:val="24"/>
          <w:szCs w:val="24"/>
          <w:bdr w:val="none" w:sz="0" w:space="0" w:color="auto" w:frame="1"/>
          <w:shd w:val="clear" w:color="auto" w:fill="FFFFFF"/>
        </w:rPr>
        <w:t>of scire facias, thereby forcing a hearing on the lien and allowing the property owner to assert defenses thereto.</w:t>
      </w:r>
      <w:r w:rsidR="00217947" w:rsidRPr="00E0558A">
        <w:rPr>
          <w:rFonts w:ascii="Times New Roman" w:hAnsi="Times New Roman" w:cs="Times New Roman"/>
          <w:sz w:val="24"/>
          <w:szCs w:val="24"/>
          <w:bdr w:val="none" w:sz="0" w:space="0" w:color="auto" w:frame="1"/>
          <w:shd w:val="clear" w:color="auto" w:fill="FFFFFF"/>
        </w:rPr>
        <w:t xml:space="preserve"> </w:t>
      </w:r>
      <w:r w:rsidRPr="00E0558A">
        <w:rPr>
          <w:rFonts w:ascii="Times New Roman" w:hAnsi="Times New Roman" w:cs="Times New Roman"/>
          <w:sz w:val="24"/>
          <w:szCs w:val="24"/>
          <w:bdr w:val="none" w:sz="0" w:space="0" w:color="auto" w:frame="1"/>
          <w:shd w:val="clear" w:color="auto" w:fill="FFFFFF"/>
        </w:rPr>
        <w:t>53 P.S. § 7184;</w:t>
      </w:r>
      <w:r w:rsidR="005606A8" w:rsidRPr="00E0558A">
        <w:rPr>
          <w:rFonts w:ascii="Times New Roman" w:hAnsi="Times New Roman" w:cs="Times New Roman"/>
          <w:sz w:val="24"/>
          <w:szCs w:val="24"/>
          <w:bdr w:val="none" w:sz="0" w:space="0" w:color="auto" w:frame="1"/>
          <w:shd w:val="clear" w:color="auto" w:fill="FFFFFF"/>
        </w:rPr>
        <w:t xml:space="preserve"> </w:t>
      </w:r>
      <w:r w:rsidRPr="00E0558A">
        <w:rPr>
          <w:rFonts w:ascii="Times New Roman" w:hAnsi="Times New Roman" w:cs="Times New Roman"/>
          <w:i/>
          <w:iCs/>
          <w:sz w:val="24"/>
          <w:szCs w:val="24"/>
          <w:bdr w:val="none" w:sz="0" w:space="0" w:color="auto" w:frame="1"/>
          <w:shd w:val="clear" w:color="auto" w:fill="FFFFFF"/>
        </w:rPr>
        <w:t>N. Coventry Twp. v. Tripodi</w:t>
      </w:r>
      <w:r w:rsidRPr="00E0558A">
        <w:rPr>
          <w:rFonts w:ascii="Times New Roman" w:hAnsi="Times New Roman" w:cs="Times New Roman"/>
          <w:sz w:val="24"/>
          <w:szCs w:val="24"/>
          <w:bdr w:val="none" w:sz="0" w:space="0" w:color="auto" w:frame="1"/>
          <w:shd w:val="clear" w:color="auto" w:fill="FFFFFF"/>
        </w:rPr>
        <w:t>, 64 A.3d 1128, 1133 (Pa. Commw. 2013).</w:t>
      </w:r>
      <w:r w:rsidR="005606A8" w:rsidRPr="00E0558A">
        <w:rPr>
          <w:rFonts w:ascii="Times New Roman" w:hAnsi="Times New Roman" w:cs="Times New Roman"/>
          <w:sz w:val="24"/>
          <w:szCs w:val="24"/>
          <w:bdr w:val="none" w:sz="0" w:space="0" w:color="auto" w:frame="1"/>
          <w:shd w:val="clear" w:color="auto" w:fill="FFFFFF"/>
        </w:rPr>
        <w:t xml:space="preserve"> </w:t>
      </w:r>
      <w:r w:rsidRPr="00E0558A">
        <w:rPr>
          <w:rFonts w:ascii="Times New Roman" w:hAnsi="Times New Roman" w:cs="Times New Roman"/>
          <w:sz w:val="24"/>
          <w:szCs w:val="24"/>
          <w:shd w:val="clear" w:color="auto" w:fill="FFFFFF"/>
        </w:rPr>
        <w:t>Alternatively, a property owner may pay the amount of the lien into court and then obtain a hearing on the validity of the amount of the lien.</w:t>
      </w:r>
      <w:r w:rsidR="005606A8" w:rsidRPr="00E0558A">
        <w:rPr>
          <w:rFonts w:ascii="Times New Roman" w:hAnsi="Times New Roman" w:cs="Times New Roman"/>
          <w:sz w:val="24"/>
          <w:szCs w:val="24"/>
          <w:shd w:val="clear" w:color="auto" w:fill="FFFFFF"/>
        </w:rPr>
        <w:t xml:space="preserve"> </w:t>
      </w:r>
      <w:r w:rsidRPr="00E0558A">
        <w:rPr>
          <w:rFonts w:ascii="Times New Roman" w:hAnsi="Times New Roman" w:cs="Times New Roman"/>
          <w:sz w:val="24"/>
          <w:szCs w:val="24"/>
          <w:bdr w:val="none" w:sz="0" w:space="0" w:color="auto" w:frame="1"/>
          <w:shd w:val="clear" w:color="auto" w:fill="FFFFFF"/>
        </w:rPr>
        <w:t>53 P.S. §</w:t>
      </w:r>
      <w:r w:rsidR="00CF25AC">
        <w:rPr>
          <w:rFonts w:ascii="Times New Roman" w:hAnsi="Times New Roman" w:cs="Times New Roman"/>
          <w:sz w:val="24"/>
          <w:szCs w:val="24"/>
          <w:bdr w:val="none" w:sz="0" w:space="0" w:color="auto" w:frame="1"/>
          <w:shd w:val="clear" w:color="auto" w:fill="FFFFFF"/>
        </w:rPr>
        <w:t> </w:t>
      </w:r>
      <w:r w:rsidRPr="00E0558A">
        <w:rPr>
          <w:rFonts w:ascii="Times New Roman" w:hAnsi="Times New Roman" w:cs="Times New Roman"/>
          <w:sz w:val="24"/>
          <w:szCs w:val="24"/>
          <w:bdr w:val="none" w:sz="0" w:space="0" w:color="auto" w:frame="1"/>
          <w:shd w:val="clear" w:color="auto" w:fill="FFFFFF"/>
        </w:rPr>
        <w:t>7182</w:t>
      </w:r>
      <w:r w:rsidRPr="00E0558A">
        <w:rPr>
          <w:rFonts w:ascii="Times New Roman" w:hAnsi="Times New Roman" w:cs="Times New Roman"/>
          <w:sz w:val="24"/>
          <w:szCs w:val="24"/>
          <w:shd w:val="clear" w:color="auto" w:fill="FFFFFF"/>
        </w:rPr>
        <w:t>.</w:t>
      </w:r>
      <w:r w:rsidR="005946FB" w:rsidRPr="00E0558A">
        <w:rPr>
          <w:rFonts w:ascii="Times New Roman" w:hAnsi="Times New Roman" w:cs="Times New Roman"/>
          <w:sz w:val="24"/>
          <w:szCs w:val="24"/>
          <w:shd w:val="clear" w:color="auto" w:fill="FFFFFF"/>
        </w:rPr>
        <w:t xml:space="preserve">  </w:t>
      </w:r>
    </w:p>
    <w:p w14:paraId="347A1AE9" w14:textId="77777777" w:rsidR="00780FC5" w:rsidRPr="00E0558A" w:rsidRDefault="00780FC5" w:rsidP="00FC7527">
      <w:pPr>
        <w:spacing w:line="240" w:lineRule="auto"/>
        <w:ind w:left="1440" w:right="1440"/>
        <w:rPr>
          <w:rFonts w:ascii="Times New Roman" w:hAnsi="Times New Roman" w:cs="Times New Roman"/>
          <w:sz w:val="24"/>
          <w:szCs w:val="24"/>
          <w:bdr w:val="none" w:sz="0" w:space="0" w:color="auto" w:frame="1"/>
          <w:shd w:val="clear" w:color="auto" w:fill="FFFFFF"/>
        </w:rPr>
      </w:pPr>
    </w:p>
    <w:p w14:paraId="63845404" w14:textId="3D869A8B" w:rsidR="005B0EA4" w:rsidRDefault="005946FB" w:rsidP="005606A8">
      <w:pPr>
        <w:spacing w:after="0" w:line="360" w:lineRule="auto"/>
        <w:rPr>
          <w:rFonts w:ascii="Times New Roman" w:hAnsi="Times New Roman" w:cs="Times New Roman"/>
          <w:sz w:val="24"/>
          <w:szCs w:val="24"/>
          <w:shd w:val="clear" w:color="auto" w:fill="FFFFFF"/>
        </w:rPr>
      </w:pPr>
      <w:r w:rsidRPr="00E0558A">
        <w:rPr>
          <w:rFonts w:ascii="Times New Roman" w:hAnsi="Times New Roman" w:cs="Times New Roman"/>
          <w:i/>
          <w:iCs/>
          <w:sz w:val="24"/>
          <w:szCs w:val="24"/>
          <w:shd w:val="clear" w:color="auto" w:fill="FFFFFF"/>
        </w:rPr>
        <w:t>PGW II</w:t>
      </w:r>
      <w:r w:rsidR="00357B34" w:rsidRPr="00E0558A">
        <w:rPr>
          <w:rFonts w:ascii="Times New Roman" w:hAnsi="Times New Roman" w:cs="Times New Roman"/>
          <w:sz w:val="24"/>
          <w:szCs w:val="24"/>
          <w:shd w:val="clear" w:color="auto" w:fill="FFFFFF"/>
        </w:rPr>
        <w:t>, at 971.</w:t>
      </w:r>
      <w:r w:rsidR="00405475" w:rsidRPr="00E0558A">
        <w:rPr>
          <w:rFonts w:ascii="Times New Roman" w:hAnsi="Times New Roman" w:cs="Times New Roman"/>
          <w:sz w:val="24"/>
          <w:szCs w:val="24"/>
          <w:shd w:val="clear" w:color="auto" w:fill="FFFFFF"/>
        </w:rPr>
        <w:t xml:space="preserve"> </w:t>
      </w:r>
      <w:r w:rsidR="005606A8" w:rsidRPr="00E0558A">
        <w:rPr>
          <w:rFonts w:ascii="Times New Roman" w:hAnsi="Times New Roman" w:cs="Times New Roman"/>
          <w:sz w:val="24"/>
          <w:szCs w:val="24"/>
          <w:shd w:val="clear" w:color="auto" w:fill="FFFFFF"/>
        </w:rPr>
        <w:t xml:space="preserve"> </w:t>
      </w:r>
      <w:r w:rsidR="00E70AE5" w:rsidRPr="00E0558A">
        <w:rPr>
          <w:rFonts w:ascii="Times New Roman" w:hAnsi="Times New Roman" w:cs="Times New Roman"/>
          <w:sz w:val="24"/>
          <w:szCs w:val="24"/>
          <w:shd w:val="clear" w:color="auto" w:fill="FFFFFF"/>
        </w:rPr>
        <w:t xml:space="preserve">Yet, the </w:t>
      </w:r>
      <w:r w:rsidR="005B0EA4" w:rsidRPr="00E0558A">
        <w:rPr>
          <w:rFonts w:ascii="Times New Roman" w:hAnsi="Times New Roman" w:cs="Times New Roman"/>
          <w:sz w:val="24"/>
          <w:szCs w:val="24"/>
          <w:shd w:val="clear" w:color="auto" w:fill="FFFFFF"/>
        </w:rPr>
        <w:t>Commonwealth</w:t>
      </w:r>
      <w:r w:rsidR="00E70AE5" w:rsidRPr="00E0558A">
        <w:rPr>
          <w:rFonts w:ascii="Times New Roman" w:hAnsi="Times New Roman" w:cs="Times New Roman"/>
          <w:sz w:val="24"/>
          <w:szCs w:val="24"/>
          <w:shd w:val="clear" w:color="auto" w:fill="FFFFFF"/>
        </w:rPr>
        <w:t xml:space="preserve"> Court in </w:t>
      </w:r>
      <w:r w:rsidR="00E70AE5" w:rsidRPr="00E0558A">
        <w:rPr>
          <w:rFonts w:ascii="Times New Roman" w:hAnsi="Times New Roman" w:cs="Times New Roman"/>
          <w:i/>
          <w:iCs/>
          <w:sz w:val="24"/>
          <w:szCs w:val="24"/>
          <w:shd w:val="clear" w:color="auto" w:fill="FFFFFF"/>
        </w:rPr>
        <w:t>PGW III</w:t>
      </w:r>
      <w:r w:rsidR="00E70AE5" w:rsidRPr="00E0558A">
        <w:rPr>
          <w:rFonts w:ascii="Times New Roman" w:hAnsi="Times New Roman" w:cs="Times New Roman"/>
          <w:sz w:val="24"/>
          <w:szCs w:val="24"/>
          <w:shd w:val="clear" w:color="auto" w:fill="FFFFFF"/>
        </w:rPr>
        <w:t>,</w:t>
      </w:r>
      <w:r w:rsidR="005B0EA4" w:rsidRPr="00E0558A">
        <w:rPr>
          <w:rFonts w:ascii="Times New Roman" w:hAnsi="Times New Roman" w:cs="Times New Roman"/>
          <w:sz w:val="24"/>
          <w:szCs w:val="24"/>
          <w:shd w:val="clear" w:color="auto" w:fill="FFFFFF"/>
        </w:rPr>
        <w:t xml:space="preserve"> </w:t>
      </w:r>
      <w:r w:rsidR="00FD6910" w:rsidRPr="00E0558A">
        <w:rPr>
          <w:rFonts w:ascii="Times New Roman" w:hAnsi="Times New Roman" w:cs="Times New Roman"/>
          <w:sz w:val="24"/>
          <w:szCs w:val="24"/>
          <w:shd w:val="clear" w:color="auto" w:fill="FFFFFF"/>
        </w:rPr>
        <w:t xml:space="preserve">did not instruct the Intervenors (SBG) to </w:t>
      </w:r>
      <w:r w:rsidR="0058596B" w:rsidRPr="00E0558A">
        <w:rPr>
          <w:rFonts w:ascii="Times New Roman" w:hAnsi="Times New Roman" w:cs="Times New Roman"/>
          <w:sz w:val="24"/>
          <w:szCs w:val="24"/>
          <w:shd w:val="clear" w:color="auto" w:fill="FFFFFF"/>
        </w:rPr>
        <w:t xml:space="preserve">challenge the amount of the municipal liens/judgment </w:t>
      </w:r>
      <w:r w:rsidR="00066E04" w:rsidRPr="00E0558A">
        <w:rPr>
          <w:rFonts w:ascii="Times New Roman" w:hAnsi="Times New Roman" w:cs="Times New Roman"/>
          <w:sz w:val="24"/>
          <w:szCs w:val="24"/>
          <w:shd w:val="clear" w:color="auto" w:fill="FFFFFF"/>
        </w:rPr>
        <w:t>by serving the City of Philadelphia with a notice to issue a writ of scire facias</w:t>
      </w:r>
      <w:r w:rsidR="00F70D83" w:rsidRPr="00E0558A">
        <w:rPr>
          <w:rFonts w:ascii="Times New Roman" w:hAnsi="Times New Roman" w:cs="Times New Roman"/>
          <w:sz w:val="24"/>
          <w:szCs w:val="24"/>
          <w:shd w:val="clear" w:color="auto" w:fill="FFFFFF"/>
        </w:rPr>
        <w:t>.</w:t>
      </w:r>
      <w:r w:rsidR="00CE3BA8" w:rsidRPr="00E0558A">
        <w:rPr>
          <w:rFonts w:ascii="Times New Roman" w:hAnsi="Times New Roman" w:cs="Times New Roman"/>
          <w:sz w:val="24"/>
          <w:szCs w:val="24"/>
          <w:shd w:val="clear" w:color="auto" w:fill="FFFFFF"/>
        </w:rPr>
        <w:t xml:space="preserve">  Instead, it clearly and u</w:t>
      </w:r>
      <w:r w:rsidR="0016741F" w:rsidRPr="00E0558A">
        <w:rPr>
          <w:rFonts w:ascii="Times New Roman" w:hAnsi="Times New Roman" w:cs="Times New Roman"/>
          <w:sz w:val="24"/>
          <w:szCs w:val="24"/>
          <w:shd w:val="clear" w:color="auto" w:fill="FFFFFF"/>
        </w:rPr>
        <w:t xml:space="preserve">nambiguously remanded the case to the Commission for the calculation of the refund.  </w:t>
      </w:r>
    </w:p>
    <w:p w14:paraId="6FE3AC05" w14:textId="77777777" w:rsidR="00422BFE" w:rsidRPr="00E0558A" w:rsidRDefault="00422BFE" w:rsidP="005606A8">
      <w:pPr>
        <w:spacing w:after="0" w:line="360" w:lineRule="auto"/>
        <w:rPr>
          <w:rFonts w:ascii="Times New Roman" w:hAnsi="Times New Roman" w:cs="Times New Roman"/>
          <w:sz w:val="24"/>
          <w:szCs w:val="24"/>
          <w:shd w:val="clear" w:color="auto" w:fill="FFFFFF"/>
        </w:rPr>
      </w:pPr>
    </w:p>
    <w:p w14:paraId="6DA6677C" w14:textId="77777777" w:rsidR="0021510C" w:rsidRPr="00E0558A" w:rsidRDefault="0055102E" w:rsidP="0021510C">
      <w:pPr>
        <w:tabs>
          <w:tab w:val="left" w:pos="9360"/>
        </w:tabs>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To claim at this stage, as PGW does, that the Commission has no jurisdiction to calculate “the correct amounts of any refunds owed by PGW to SBG … relating to late fees charged on docketed municipal liens against Intervenors for unpaid natural</w:t>
      </w:r>
      <w:r w:rsidR="009A414B"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gas charges prior to April 29, 2021” is to essentially claim that the Commonwealth Court </w:t>
      </w:r>
      <w:r w:rsidRPr="00E0558A">
        <w:rPr>
          <w:rFonts w:ascii="Times New Roman" w:hAnsi="Times New Roman" w:cs="Times New Roman"/>
          <w:sz w:val="24"/>
          <w:szCs w:val="24"/>
          <w:u w:val="single"/>
        </w:rPr>
        <w:t>erred</w:t>
      </w:r>
      <w:r w:rsidRPr="00E0558A">
        <w:rPr>
          <w:rFonts w:ascii="Times New Roman" w:hAnsi="Times New Roman" w:cs="Times New Roman"/>
          <w:sz w:val="24"/>
          <w:szCs w:val="24"/>
        </w:rPr>
        <w:t xml:space="preserve"> in its assessment of </w:t>
      </w:r>
      <w:r w:rsidRPr="00E0558A">
        <w:rPr>
          <w:rFonts w:ascii="Times New Roman" w:hAnsi="Times New Roman" w:cs="Times New Roman"/>
          <w:sz w:val="24"/>
          <w:szCs w:val="24"/>
        </w:rPr>
        <w:lastRenderedPageBreak/>
        <w:t xml:space="preserve">the Commission’s jurisdiction to perform the calculation.  </w:t>
      </w:r>
      <w:r w:rsidR="00B50630" w:rsidRPr="00E0558A">
        <w:rPr>
          <w:rFonts w:ascii="Times New Roman" w:hAnsi="Times New Roman" w:cs="Times New Roman"/>
          <w:sz w:val="24"/>
          <w:szCs w:val="24"/>
        </w:rPr>
        <w:t>Considering</w:t>
      </w:r>
      <w:r w:rsidRPr="00E0558A">
        <w:rPr>
          <w:rFonts w:ascii="Times New Roman" w:hAnsi="Times New Roman" w:cs="Times New Roman"/>
          <w:sz w:val="24"/>
          <w:szCs w:val="24"/>
        </w:rPr>
        <w:t xml:space="preserve"> the extensive analysis in these proceedings concerning the exact demarcation of this Commission’s jurisdiction in relation to tariffed rates applied to municipal liens/judgments filed by PGW, it is hard to believe that the </w:t>
      </w:r>
      <w:r w:rsidRPr="00E0558A">
        <w:rPr>
          <w:rFonts w:ascii="Times New Roman" w:hAnsi="Times New Roman" w:cs="Times New Roman"/>
          <w:sz w:val="24"/>
          <w:szCs w:val="24"/>
          <w:u w:val="single"/>
        </w:rPr>
        <w:t xml:space="preserve">Commonwealth Court simply </w:t>
      </w:r>
      <w:r w:rsidR="00D975A7" w:rsidRPr="00E0558A">
        <w:rPr>
          <w:rFonts w:ascii="Times New Roman" w:hAnsi="Times New Roman" w:cs="Times New Roman"/>
          <w:sz w:val="24"/>
          <w:szCs w:val="24"/>
          <w:u w:val="single"/>
        </w:rPr>
        <w:t>ignored</w:t>
      </w:r>
      <w:r w:rsidRPr="00E0558A">
        <w:rPr>
          <w:rFonts w:ascii="Times New Roman" w:hAnsi="Times New Roman" w:cs="Times New Roman"/>
          <w:sz w:val="24"/>
          <w:szCs w:val="24"/>
          <w:u w:val="single"/>
        </w:rPr>
        <w:t xml:space="preserve"> the Supreme Court’s ruling </w:t>
      </w:r>
      <w:r w:rsidR="006C486D" w:rsidRPr="00E0558A">
        <w:rPr>
          <w:rFonts w:ascii="Times New Roman" w:hAnsi="Times New Roman" w:cs="Times New Roman"/>
          <w:sz w:val="24"/>
          <w:szCs w:val="24"/>
          <w:u w:val="single"/>
        </w:rPr>
        <w:t>i</w:t>
      </w:r>
      <w:r w:rsidRPr="00E0558A">
        <w:rPr>
          <w:rFonts w:ascii="Times New Roman" w:hAnsi="Times New Roman" w:cs="Times New Roman"/>
          <w:sz w:val="24"/>
          <w:szCs w:val="24"/>
          <w:u w:val="single"/>
        </w:rPr>
        <w:t xml:space="preserve">n </w:t>
      </w:r>
      <w:r w:rsidRPr="00E0558A">
        <w:rPr>
          <w:rFonts w:ascii="Times New Roman" w:hAnsi="Times New Roman" w:cs="Times New Roman"/>
          <w:i/>
          <w:iCs/>
          <w:sz w:val="24"/>
          <w:szCs w:val="24"/>
          <w:u w:val="single"/>
        </w:rPr>
        <w:t xml:space="preserve">PGW </w:t>
      </w:r>
      <w:r w:rsidR="00AE69AD" w:rsidRPr="00E0558A">
        <w:rPr>
          <w:rFonts w:ascii="Times New Roman" w:hAnsi="Times New Roman" w:cs="Times New Roman"/>
          <w:i/>
          <w:iCs/>
          <w:sz w:val="24"/>
          <w:szCs w:val="24"/>
          <w:u w:val="single"/>
        </w:rPr>
        <w:t>II</w:t>
      </w:r>
      <w:r w:rsidR="00AE69AD" w:rsidRPr="00E0558A">
        <w:rPr>
          <w:rFonts w:ascii="Times New Roman" w:hAnsi="Times New Roman" w:cs="Times New Roman"/>
          <w:sz w:val="24"/>
          <w:szCs w:val="24"/>
          <w:u w:val="single"/>
        </w:rPr>
        <w:t xml:space="preserve"> </w:t>
      </w:r>
      <w:r w:rsidR="000C71E0" w:rsidRPr="00E0558A">
        <w:rPr>
          <w:rFonts w:ascii="Times New Roman" w:hAnsi="Times New Roman" w:cs="Times New Roman"/>
          <w:sz w:val="24"/>
          <w:szCs w:val="24"/>
          <w:u w:val="single"/>
        </w:rPr>
        <w:t xml:space="preserve">or </w:t>
      </w:r>
      <w:r w:rsidR="00D975A7" w:rsidRPr="00E0558A">
        <w:rPr>
          <w:rFonts w:ascii="Times New Roman" w:hAnsi="Times New Roman" w:cs="Times New Roman"/>
          <w:sz w:val="24"/>
          <w:szCs w:val="24"/>
          <w:u w:val="single"/>
        </w:rPr>
        <w:t>overlooked</w:t>
      </w:r>
      <w:r w:rsidRPr="00E0558A">
        <w:rPr>
          <w:rFonts w:ascii="Times New Roman" w:hAnsi="Times New Roman" w:cs="Times New Roman"/>
          <w:sz w:val="24"/>
          <w:szCs w:val="24"/>
          <w:u w:val="single"/>
        </w:rPr>
        <w:t xml:space="preserve"> </w:t>
      </w:r>
      <w:r w:rsidR="00D975A7" w:rsidRPr="00E0558A">
        <w:rPr>
          <w:rFonts w:ascii="Times New Roman" w:hAnsi="Times New Roman" w:cs="Times New Roman"/>
          <w:sz w:val="24"/>
          <w:szCs w:val="24"/>
          <w:u w:val="single"/>
        </w:rPr>
        <w:t xml:space="preserve">any impact that the ruling </w:t>
      </w:r>
      <w:r w:rsidR="001167FB" w:rsidRPr="00E0558A">
        <w:rPr>
          <w:rFonts w:ascii="Times New Roman" w:hAnsi="Times New Roman" w:cs="Times New Roman"/>
          <w:sz w:val="24"/>
          <w:szCs w:val="24"/>
          <w:u w:val="single"/>
        </w:rPr>
        <w:t>might have on</w:t>
      </w:r>
      <w:r w:rsidRPr="00E0558A">
        <w:rPr>
          <w:rFonts w:ascii="Times New Roman" w:hAnsi="Times New Roman" w:cs="Times New Roman"/>
          <w:sz w:val="24"/>
          <w:szCs w:val="24"/>
          <w:u w:val="single"/>
        </w:rPr>
        <w:t xml:space="preserve"> Commission’s jurisdiction to calculate the ordered refund when it remanded the case</w:t>
      </w:r>
      <w:r w:rsidR="001167FB" w:rsidRPr="00E0558A">
        <w:rPr>
          <w:rFonts w:ascii="Times New Roman" w:hAnsi="Times New Roman" w:cs="Times New Roman"/>
          <w:sz w:val="24"/>
          <w:szCs w:val="24"/>
        </w:rPr>
        <w:t>.</w:t>
      </w:r>
      <w:r w:rsidR="00263F9F" w:rsidRPr="00E0558A">
        <w:rPr>
          <w:rFonts w:ascii="Times New Roman" w:hAnsi="Times New Roman" w:cs="Times New Roman"/>
          <w:sz w:val="24"/>
          <w:szCs w:val="24"/>
        </w:rPr>
        <w:t xml:space="preserve"> </w:t>
      </w:r>
      <w:r w:rsidR="00F36FCD" w:rsidRPr="00E0558A">
        <w:rPr>
          <w:rFonts w:ascii="Times New Roman" w:hAnsi="Times New Roman" w:cs="Times New Roman"/>
          <w:sz w:val="24"/>
          <w:szCs w:val="24"/>
        </w:rPr>
        <w:t xml:space="preserve"> </w:t>
      </w:r>
      <w:r w:rsidR="004048BD" w:rsidRPr="00E0558A">
        <w:rPr>
          <w:rFonts w:ascii="Times New Roman" w:hAnsi="Times New Roman" w:cs="Times New Roman"/>
          <w:sz w:val="24"/>
          <w:szCs w:val="24"/>
        </w:rPr>
        <w:t xml:space="preserve">However, if PGW wants to amend or reverse the Commonwealth Court’s ruling in </w:t>
      </w:r>
      <w:r w:rsidR="004048BD" w:rsidRPr="00E0558A">
        <w:rPr>
          <w:rFonts w:ascii="Times New Roman" w:hAnsi="Times New Roman" w:cs="Times New Roman"/>
          <w:i/>
          <w:iCs/>
          <w:sz w:val="24"/>
          <w:szCs w:val="24"/>
        </w:rPr>
        <w:t>PGW III</w:t>
      </w:r>
      <w:r w:rsidR="004048BD" w:rsidRPr="00E0558A">
        <w:rPr>
          <w:rFonts w:ascii="Times New Roman" w:hAnsi="Times New Roman" w:cs="Times New Roman"/>
          <w:sz w:val="24"/>
          <w:szCs w:val="24"/>
        </w:rPr>
        <w:t>, it should do so by applying to th</w:t>
      </w:r>
      <w:r w:rsidR="00FD3E53" w:rsidRPr="00E0558A">
        <w:rPr>
          <w:rFonts w:ascii="Times New Roman" w:hAnsi="Times New Roman" w:cs="Times New Roman"/>
          <w:sz w:val="24"/>
          <w:szCs w:val="24"/>
        </w:rPr>
        <w:t>e c</w:t>
      </w:r>
      <w:r w:rsidR="004048BD" w:rsidRPr="00E0558A">
        <w:rPr>
          <w:rFonts w:ascii="Times New Roman" w:hAnsi="Times New Roman" w:cs="Times New Roman"/>
          <w:sz w:val="24"/>
          <w:szCs w:val="24"/>
        </w:rPr>
        <w:t>ourt for relief.  A collateral attack of the ruling of the Commonwealth Court by way of a Motion with the Commission will not be entertained.</w:t>
      </w:r>
      <w:r w:rsidR="00AB5459" w:rsidRPr="00E0558A">
        <w:rPr>
          <w:rStyle w:val="FootnoteReference"/>
          <w:rFonts w:ascii="Times New Roman" w:hAnsi="Times New Roman" w:cs="Times New Roman"/>
          <w:sz w:val="24"/>
          <w:szCs w:val="24"/>
        </w:rPr>
        <w:footnoteReference w:id="11"/>
      </w:r>
    </w:p>
    <w:p w14:paraId="6FF22DE9" w14:textId="77777777" w:rsidR="0021510C" w:rsidRPr="00E0558A" w:rsidRDefault="0021510C" w:rsidP="0021510C">
      <w:pPr>
        <w:tabs>
          <w:tab w:val="left" w:pos="9360"/>
        </w:tabs>
        <w:spacing w:after="0" w:line="360" w:lineRule="auto"/>
        <w:ind w:firstLine="1440"/>
        <w:rPr>
          <w:rFonts w:ascii="Times New Roman" w:hAnsi="Times New Roman" w:cs="Times New Roman"/>
          <w:sz w:val="24"/>
          <w:szCs w:val="24"/>
        </w:rPr>
      </w:pPr>
    </w:p>
    <w:p w14:paraId="645F44FD" w14:textId="2C635BBD" w:rsidR="004308D9" w:rsidRDefault="00263F9F" w:rsidP="0021510C">
      <w:pPr>
        <w:tabs>
          <w:tab w:val="left" w:pos="9360"/>
        </w:tabs>
        <w:spacing w:after="0" w:line="360" w:lineRule="auto"/>
        <w:ind w:firstLine="1440"/>
        <w:rPr>
          <w:rFonts w:ascii="Times New Roman" w:eastAsia="Cambria" w:hAnsi="Times New Roman" w:cs="Times New Roman"/>
          <w:sz w:val="24"/>
          <w:szCs w:val="24"/>
        </w:rPr>
      </w:pPr>
      <w:r w:rsidRPr="00E0558A">
        <w:rPr>
          <w:rFonts w:ascii="Times New Roman" w:hAnsi="Times New Roman" w:cs="Times New Roman"/>
          <w:sz w:val="24"/>
          <w:szCs w:val="24"/>
        </w:rPr>
        <w:t>Contrary to</w:t>
      </w:r>
      <w:r w:rsidR="007877E3"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PGW’s implied position that the remand was either in error or an oversight on the part of the Commonwealth Court in </w:t>
      </w:r>
      <w:r w:rsidRPr="00E0558A">
        <w:rPr>
          <w:rFonts w:ascii="Times New Roman" w:hAnsi="Times New Roman" w:cs="Times New Roman"/>
          <w:i/>
          <w:iCs/>
          <w:sz w:val="24"/>
          <w:szCs w:val="24"/>
        </w:rPr>
        <w:t>PGW III</w:t>
      </w:r>
      <w:r w:rsidR="007877E3" w:rsidRPr="00E0558A">
        <w:rPr>
          <w:rFonts w:ascii="Times New Roman" w:hAnsi="Times New Roman" w:cs="Times New Roman"/>
          <w:sz w:val="24"/>
          <w:szCs w:val="24"/>
        </w:rPr>
        <w:t xml:space="preserve">, </w:t>
      </w:r>
      <w:r w:rsidR="004048BD" w:rsidRPr="00E0558A">
        <w:rPr>
          <w:rFonts w:ascii="Times New Roman" w:hAnsi="Times New Roman" w:cs="Times New Roman"/>
          <w:sz w:val="24"/>
          <w:szCs w:val="24"/>
        </w:rPr>
        <w:t xml:space="preserve">I believe that the </w:t>
      </w:r>
      <w:r w:rsidR="00AE69AD" w:rsidRPr="00E0558A">
        <w:rPr>
          <w:rFonts w:ascii="Times New Roman" w:hAnsi="Times New Roman" w:cs="Times New Roman"/>
          <w:sz w:val="24"/>
          <w:szCs w:val="24"/>
        </w:rPr>
        <w:t xml:space="preserve">remand occurred because the Commonwealth Court </w:t>
      </w:r>
      <w:r w:rsidR="0003754B" w:rsidRPr="00E0558A">
        <w:rPr>
          <w:rFonts w:ascii="Times New Roman" w:hAnsi="Times New Roman" w:cs="Times New Roman"/>
          <w:sz w:val="24"/>
          <w:szCs w:val="24"/>
        </w:rPr>
        <w:t>did not see the calculation of the refund as a “</w:t>
      </w:r>
      <w:r w:rsidR="00507584" w:rsidRPr="00E0558A">
        <w:rPr>
          <w:rFonts w:ascii="Times New Roman" w:hAnsi="Times New Roman" w:cs="Times New Roman"/>
          <w:sz w:val="24"/>
          <w:szCs w:val="24"/>
          <w:bdr w:val="none" w:sz="0" w:space="0" w:color="auto" w:frame="1"/>
          <w:shd w:val="clear" w:color="auto" w:fill="FFFFFF"/>
        </w:rPr>
        <w:t xml:space="preserve">challenge </w:t>
      </w:r>
      <w:r w:rsidR="00B76AD6" w:rsidRPr="00E0558A">
        <w:rPr>
          <w:rFonts w:ascii="Times New Roman" w:hAnsi="Times New Roman" w:cs="Times New Roman"/>
          <w:sz w:val="24"/>
          <w:szCs w:val="24"/>
          <w:bdr w:val="none" w:sz="0" w:space="0" w:color="auto" w:frame="1"/>
          <w:shd w:val="clear" w:color="auto" w:fill="FFFFFF"/>
        </w:rPr>
        <w:t xml:space="preserve">[of] </w:t>
      </w:r>
      <w:r w:rsidR="00507584" w:rsidRPr="00E0558A">
        <w:rPr>
          <w:rFonts w:ascii="Times New Roman" w:hAnsi="Times New Roman" w:cs="Times New Roman"/>
          <w:sz w:val="24"/>
          <w:szCs w:val="24"/>
          <w:bdr w:val="none" w:sz="0" w:space="0" w:color="auto" w:frame="1"/>
          <w:shd w:val="clear" w:color="auto" w:fill="FFFFFF"/>
        </w:rPr>
        <w:t>a recorded municipal lien, including the amount thereof</w:t>
      </w:r>
      <w:r w:rsidR="00B76AD6" w:rsidRPr="00E0558A">
        <w:rPr>
          <w:rFonts w:ascii="Times New Roman" w:hAnsi="Times New Roman" w:cs="Times New Roman"/>
          <w:sz w:val="24"/>
          <w:szCs w:val="24"/>
          <w:bdr w:val="none" w:sz="0" w:space="0" w:color="auto" w:frame="1"/>
          <w:shd w:val="clear" w:color="auto" w:fill="FFFFFF"/>
        </w:rPr>
        <w:t>”</w:t>
      </w:r>
      <w:r w:rsidR="00F83750" w:rsidRPr="00E0558A">
        <w:rPr>
          <w:rFonts w:ascii="Times New Roman" w:hAnsi="Times New Roman" w:cs="Times New Roman"/>
          <w:sz w:val="24"/>
          <w:szCs w:val="24"/>
          <w:bdr w:val="none" w:sz="0" w:space="0" w:color="auto" w:frame="1"/>
          <w:shd w:val="clear" w:color="auto" w:fill="FFFFFF"/>
        </w:rPr>
        <w:t xml:space="preserve"> and </w:t>
      </w:r>
      <w:r w:rsidR="0021510C" w:rsidRPr="00E0558A">
        <w:rPr>
          <w:rFonts w:ascii="Times New Roman" w:hAnsi="Times New Roman" w:cs="Times New Roman"/>
          <w:sz w:val="24"/>
          <w:szCs w:val="24"/>
          <w:bdr w:val="none" w:sz="0" w:space="0" w:color="auto" w:frame="1"/>
          <w:shd w:val="clear" w:color="auto" w:fill="FFFFFF"/>
        </w:rPr>
        <w:t xml:space="preserve">as </w:t>
      </w:r>
      <w:r w:rsidR="00F83750" w:rsidRPr="00E0558A">
        <w:rPr>
          <w:rFonts w:ascii="Times New Roman" w:hAnsi="Times New Roman" w:cs="Times New Roman"/>
          <w:sz w:val="24"/>
          <w:szCs w:val="24"/>
          <w:bdr w:val="none" w:sz="0" w:space="0" w:color="auto" w:frame="1"/>
          <w:shd w:val="clear" w:color="auto" w:fill="FFFFFF"/>
        </w:rPr>
        <w:t xml:space="preserve">a matter outside of this Commission’s </w:t>
      </w:r>
      <w:r w:rsidR="00F42D58">
        <w:rPr>
          <w:rFonts w:ascii="Times New Roman" w:hAnsi="Times New Roman" w:cs="Times New Roman"/>
          <w:sz w:val="24"/>
          <w:szCs w:val="24"/>
          <w:bdr w:val="none" w:sz="0" w:space="0" w:color="auto" w:frame="1"/>
          <w:shd w:val="clear" w:color="auto" w:fill="FFFFFF"/>
        </w:rPr>
        <w:t xml:space="preserve">purview </w:t>
      </w:r>
      <w:r w:rsidR="00F83750" w:rsidRPr="00E0558A">
        <w:rPr>
          <w:rFonts w:ascii="Times New Roman" w:hAnsi="Times New Roman" w:cs="Times New Roman"/>
          <w:sz w:val="24"/>
          <w:szCs w:val="24"/>
          <w:bdr w:val="none" w:sz="0" w:space="0" w:color="auto" w:frame="1"/>
          <w:shd w:val="clear" w:color="auto" w:fill="FFFFFF"/>
        </w:rPr>
        <w:t>.</w:t>
      </w:r>
      <w:r w:rsidR="00F442D4" w:rsidRPr="00E0558A">
        <w:rPr>
          <w:rFonts w:ascii="Times New Roman" w:hAnsi="Times New Roman" w:cs="Times New Roman"/>
          <w:sz w:val="24"/>
          <w:szCs w:val="24"/>
          <w:bdr w:val="none" w:sz="0" w:space="0" w:color="auto" w:frame="1"/>
          <w:shd w:val="clear" w:color="auto" w:fill="FFFFFF"/>
        </w:rPr>
        <w:t xml:space="preserve"> </w:t>
      </w:r>
      <w:r w:rsidR="00D727F7" w:rsidRPr="00E0558A">
        <w:rPr>
          <w:rFonts w:ascii="Times New Roman" w:hAnsi="Times New Roman" w:cs="Times New Roman"/>
          <w:sz w:val="24"/>
          <w:szCs w:val="24"/>
          <w:bdr w:val="none" w:sz="0" w:space="0" w:color="auto" w:frame="1"/>
          <w:shd w:val="clear" w:color="auto" w:fill="FFFFFF"/>
        </w:rPr>
        <w:t xml:space="preserve"> Notably</w:t>
      </w:r>
      <w:r w:rsidR="00507584" w:rsidRPr="00E0558A">
        <w:rPr>
          <w:rFonts w:ascii="Times New Roman" w:hAnsi="Times New Roman" w:cs="Times New Roman"/>
          <w:sz w:val="24"/>
          <w:szCs w:val="24"/>
          <w:bdr w:val="none" w:sz="0" w:space="0" w:color="auto" w:frame="1"/>
          <w:shd w:val="clear" w:color="auto" w:fill="FFFFFF"/>
        </w:rPr>
        <w:t xml:space="preserve">, </w:t>
      </w:r>
      <w:r w:rsidR="00D727F7" w:rsidRPr="00E0558A">
        <w:rPr>
          <w:rFonts w:ascii="Times New Roman" w:hAnsi="Times New Roman" w:cs="Times New Roman"/>
          <w:sz w:val="24"/>
          <w:szCs w:val="24"/>
        </w:rPr>
        <w:t xml:space="preserve">the remand of the case back to the Commission for the calculation of the refund </w:t>
      </w:r>
      <w:r w:rsidR="007906FB" w:rsidRPr="00E0558A">
        <w:rPr>
          <w:rFonts w:ascii="Times New Roman" w:hAnsi="Times New Roman" w:cs="Times New Roman"/>
          <w:sz w:val="24"/>
          <w:szCs w:val="24"/>
        </w:rPr>
        <w:t>avoid</w:t>
      </w:r>
      <w:r w:rsidR="00D727F7" w:rsidRPr="00E0558A">
        <w:rPr>
          <w:rFonts w:ascii="Times New Roman" w:hAnsi="Times New Roman" w:cs="Times New Roman"/>
          <w:sz w:val="24"/>
          <w:szCs w:val="24"/>
        </w:rPr>
        <w:t>s</w:t>
      </w:r>
      <w:r w:rsidR="007906FB" w:rsidRPr="00E0558A">
        <w:rPr>
          <w:rFonts w:ascii="Times New Roman" w:hAnsi="Times New Roman" w:cs="Times New Roman"/>
          <w:sz w:val="24"/>
          <w:szCs w:val="24"/>
        </w:rPr>
        <w:t xml:space="preserve"> the </w:t>
      </w:r>
      <w:r w:rsidR="003B3734" w:rsidRPr="00E0558A">
        <w:rPr>
          <w:rFonts w:ascii="Times New Roman" w:hAnsi="Times New Roman" w:cs="Times New Roman"/>
          <w:sz w:val="24"/>
          <w:szCs w:val="24"/>
        </w:rPr>
        <w:t>inequitable</w:t>
      </w:r>
      <w:r w:rsidR="00472627" w:rsidRPr="00E0558A">
        <w:rPr>
          <w:rFonts w:ascii="Times New Roman" w:hAnsi="Times New Roman" w:cs="Times New Roman"/>
          <w:sz w:val="24"/>
          <w:szCs w:val="24"/>
        </w:rPr>
        <w:t xml:space="preserve"> </w:t>
      </w:r>
      <w:r w:rsidR="00E352EE" w:rsidRPr="00E0558A">
        <w:rPr>
          <w:rFonts w:ascii="Times New Roman" w:hAnsi="Times New Roman" w:cs="Times New Roman"/>
          <w:sz w:val="24"/>
          <w:szCs w:val="24"/>
        </w:rPr>
        <w:t>reality</w:t>
      </w:r>
      <w:r w:rsidR="003E554A" w:rsidRPr="00E0558A">
        <w:rPr>
          <w:rFonts w:ascii="Times New Roman" w:hAnsi="Times New Roman" w:cs="Times New Roman"/>
          <w:sz w:val="24"/>
          <w:szCs w:val="24"/>
        </w:rPr>
        <w:t xml:space="preserve"> </w:t>
      </w:r>
      <w:r w:rsidR="009D3186" w:rsidRPr="00E0558A">
        <w:rPr>
          <w:rFonts w:ascii="Times New Roman" w:hAnsi="Times New Roman" w:cs="Times New Roman"/>
          <w:sz w:val="24"/>
          <w:szCs w:val="24"/>
        </w:rPr>
        <w:t xml:space="preserve">that PGW’s argument creates.  </w:t>
      </w:r>
      <w:r w:rsidR="001D2603" w:rsidRPr="00E0558A">
        <w:rPr>
          <w:rFonts w:ascii="Times New Roman" w:hAnsi="Times New Roman" w:cs="Times New Roman"/>
          <w:sz w:val="24"/>
          <w:szCs w:val="24"/>
        </w:rPr>
        <w:t xml:space="preserve">In its Response to the Motion, </w:t>
      </w:r>
      <w:r w:rsidR="00B87834" w:rsidRPr="00E0558A">
        <w:rPr>
          <w:rFonts w:ascii="Times New Roman" w:eastAsia="Cambria" w:hAnsi="Times New Roman" w:cs="Times New Roman"/>
          <w:sz w:val="24"/>
          <w:szCs w:val="24"/>
        </w:rPr>
        <w:t xml:space="preserve">SBG </w:t>
      </w:r>
      <w:r w:rsidR="00587DC9" w:rsidRPr="00E0558A">
        <w:rPr>
          <w:rFonts w:ascii="Times New Roman" w:eastAsia="Cambria" w:hAnsi="Times New Roman" w:cs="Times New Roman"/>
          <w:sz w:val="24"/>
          <w:szCs w:val="24"/>
        </w:rPr>
        <w:t>a</w:t>
      </w:r>
      <w:r w:rsidR="004308D9" w:rsidRPr="00E0558A">
        <w:rPr>
          <w:rFonts w:ascii="Times New Roman" w:eastAsia="Cambria" w:hAnsi="Times New Roman" w:cs="Times New Roman"/>
          <w:sz w:val="24"/>
          <w:szCs w:val="24"/>
        </w:rPr>
        <w:t xml:space="preserve">rticulated the </w:t>
      </w:r>
      <w:r w:rsidR="00B87834" w:rsidRPr="00E0558A">
        <w:rPr>
          <w:rFonts w:ascii="Times New Roman" w:eastAsia="Cambria" w:hAnsi="Times New Roman" w:cs="Times New Roman"/>
          <w:sz w:val="24"/>
          <w:szCs w:val="24"/>
        </w:rPr>
        <w:t xml:space="preserve">inequity </w:t>
      </w:r>
      <w:r w:rsidR="004308D9" w:rsidRPr="00E0558A">
        <w:rPr>
          <w:rFonts w:ascii="Times New Roman" w:eastAsia="Cambria" w:hAnsi="Times New Roman" w:cs="Times New Roman"/>
          <w:sz w:val="24"/>
          <w:szCs w:val="24"/>
        </w:rPr>
        <w:t>as follows:</w:t>
      </w:r>
    </w:p>
    <w:p w14:paraId="7AC32FA8" w14:textId="77777777" w:rsidR="007A480C" w:rsidRPr="00E0558A" w:rsidRDefault="007A480C" w:rsidP="0021510C">
      <w:pPr>
        <w:tabs>
          <w:tab w:val="left" w:pos="9360"/>
        </w:tabs>
        <w:spacing w:after="0" w:line="360" w:lineRule="auto"/>
        <w:ind w:firstLine="1440"/>
        <w:rPr>
          <w:rFonts w:ascii="Times New Roman" w:hAnsi="Times New Roman" w:cs="Times New Roman"/>
          <w:sz w:val="24"/>
          <w:szCs w:val="24"/>
        </w:rPr>
      </w:pPr>
    </w:p>
    <w:p w14:paraId="37AEE3A5" w14:textId="40596A72" w:rsidR="009D27E8" w:rsidRPr="00E0558A" w:rsidRDefault="009D27E8" w:rsidP="009705C4">
      <w:pPr>
        <w:spacing w:after="0" w:line="240" w:lineRule="auto"/>
        <w:ind w:left="1440" w:right="1440"/>
        <w:rPr>
          <w:rFonts w:ascii="Times New Roman" w:eastAsia="Cambria" w:hAnsi="Times New Roman" w:cs="Times New Roman"/>
          <w:sz w:val="24"/>
          <w:szCs w:val="24"/>
        </w:rPr>
      </w:pPr>
      <w:r w:rsidRPr="00E0558A">
        <w:rPr>
          <w:rFonts w:ascii="Times New Roman" w:eastAsia="Cambria" w:hAnsi="Times New Roman" w:cs="Times New Roman"/>
          <w:sz w:val="24"/>
          <w:szCs w:val="24"/>
        </w:rPr>
        <w:t>[T]</w:t>
      </w:r>
      <w:r w:rsidR="004308D9" w:rsidRPr="00E0558A">
        <w:rPr>
          <w:rFonts w:ascii="Times New Roman" w:eastAsia="Cambria" w:hAnsi="Times New Roman" w:cs="Times New Roman"/>
          <w:sz w:val="24"/>
          <w:szCs w:val="24"/>
        </w:rPr>
        <w:t>he PUC proceedings filed in 2012 and 2015 tolled the statute of limitations as to those claims.  Therefore, if the Commission determines that it has jurisdiction, the PUC would determine the rate issue presented from at least 2012, if not 2008, four years before the initial PUC filings.  If, however, the Commission concludes that this rate issue should be decided by the Common Pleas Court</w:t>
      </w:r>
      <w:r w:rsidR="00A93620" w:rsidRPr="00E0558A">
        <w:rPr>
          <w:rFonts w:ascii="Times New Roman" w:eastAsia="Cambria" w:hAnsi="Times New Roman" w:cs="Times New Roman"/>
          <w:sz w:val="24"/>
          <w:szCs w:val="24"/>
        </w:rPr>
        <w:t xml:space="preserve"> …</w:t>
      </w:r>
      <w:r w:rsidR="004308D9" w:rsidRPr="00E0558A">
        <w:rPr>
          <w:rFonts w:ascii="Times New Roman" w:eastAsia="Cambria" w:hAnsi="Times New Roman" w:cs="Times New Roman"/>
          <w:sz w:val="24"/>
          <w:szCs w:val="24"/>
        </w:rPr>
        <w:t xml:space="preserve"> </w:t>
      </w:r>
      <w:r w:rsidR="00E47BB7" w:rsidRPr="00E0558A">
        <w:rPr>
          <w:rFonts w:ascii="Times New Roman" w:eastAsia="Cambria" w:hAnsi="Times New Roman" w:cs="Times New Roman"/>
          <w:sz w:val="24"/>
          <w:szCs w:val="24"/>
        </w:rPr>
        <w:t>[</w:t>
      </w:r>
      <w:r w:rsidR="004308D9" w:rsidRPr="00E0558A">
        <w:rPr>
          <w:rFonts w:ascii="Times New Roman" w:eastAsia="Cambria" w:hAnsi="Times New Roman" w:cs="Times New Roman"/>
          <w:sz w:val="24"/>
          <w:szCs w:val="24"/>
        </w:rPr>
        <w:t xml:space="preserve">that court </w:t>
      </w:r>
      <w:r w:rsidR="00A93620" w:rsidRPr="00E0558A">
        <w:rPr>
          <w:rFonts w:ascii="Times New Roman" w:eastAsia="Cambria" w:hAnsi="Times New Roman" w:cs="Times New Roman"/>
          <w:sz w:val="24"/>
          <w:szCs w:val="24"/>
        </w:rPr>
        <w:t>could reason]</w:t>
      </w:r>
      <w:r w:rsidR="004308D9" w:rsidRPr="00E0558A">
        <w:rPr>
          <w:rFonts w:ascii="Times New Roman" w:eastAsia="Cambria" w:hAnsi="Times New Roman" w:cs="Times New Roman"/>
          <w:sz w:val="24"/>
          <w:szCs w:val="24"/>
        </w:rPr>
        <w:t xml:space="preserve"> that the statute of limitation has run as to the claims filed in 2012 and 2015.  In fact, the Court of Common Pleas might consider only those claims filed from 2017 forward, which is a substantial difference of 9 years of overcharges for which the SBG parties would not be compensated.  This result would thwart the clear language and spirit of both the Supreme and Commonwealth Courts’ decisions.</w:t>
      </w:r>
      <w:r w:rsidRPr="00E0558A">
        <w:rPr>
          <w:rFonts w:ascii="Times New Roman" w:eastAsia="Cambria" w:hAnsi="Times New Roman" w:cs="Times New Roman"/>
          <w:sz w:val="24"/>
          <w:szCs w:val="24"/>
        </w:rPr>
        <w:t xml:space="preserve">  </w:t>
      </w:r>
    </w:p>
    <w:p w14:paraId="47928C3E" w14:textId="77777777" w:rsidR="00D254AE" w:rsidRPr="00E0558A" w:rsidRDefault="00D254AE" w:rsidP="00A96B3C">
      <w:pPr>
        <w:spacing w:after="0" w:line="360" w:lineRule="auto"/>
        <w:ind w:right="1440"/>
        <w:rPr>
          <w:rFonts w:ascii="Times New Roman" w:eastAsia="Cambria" w:hAnsi="Times New Roman" w:cs="Times New Roman"/>
          <w:sz w:val="24"/>
          <w:szCs w:val="24"/>
        </w:rPr>
      </w:pPr>
    </w:p>
    <w:p w14:paraId="4F381115" w14:textId="64D2D12C" w:rsidR="004E58BC" w:rsidRPr="00E0558A" w:rsidRDefault="004E58BC" w:rsidP="00D254AE">
      <w:pPr>
        <w:spacing w:after="0" w:line="240" w:lineRule="auto"/>
        <w:ind w:right="1440"/>
        <w:rPr>
          <w:rFonts w:ascii="Times New Roman" w:eastAsia="Cambria" w:hAnsi="Times New Roman" w:cs="Times New Roman"/>
          <w:sz w:val="24"/>
          <w:szCs w:val="24"/>
        </w:rPr>
      </w:pPr>
      <w:r w:rsidRPr="00E0558A">
        <w:rPr>
          <w:rFonts w:ascii="Times New Roman" w:eastAsia="Cambria" w:hAnsi="Times New Roman" w:cs="Times New Roman"/>
          <w:sz w:val="24"/>
          <w:szCs w:val="24"/>
        </w:rPr>
        <w:t xml:space="preserve">Response </w:t>
      </w:r>
      <w:r w:rsidR="00D254AE" w:rsidRPr="00E0558A">
        <w:rPr>
          <w:rFonts w:ascii="Times New Roman" w:eastAsia="Cambria" w:hAnsi="Times New Roman" w:cs="Times New Roman"/>
          <w:sz w:val="24"/>
          <w:szCs w:val="24"/>
        </w:rPr>
        <w:t xml:space="preserve">at </w:t>
      </w:r>
      <w:r w:rsidRPr="00E0558A">
        <w:rPr>
          <w:rFonts w:ascii="Times New Roman" w:eastAsia="Cambria" w:hAnsi="Times New Roman" w:cs="Times New Roman"/>
          <w:sz w:val="24"/>
          <w:szCs w:val="24"/>
        </w:rPr>
        <w:t>11-12.</w:t>
      </w:r>
      <w:r w:rsidR="00D254AE" w:rsidRPr="00E0558A">
        <w:rPr>
          <w:rFonts w:ascii="Times New Roman" w:eastAsia="Cambria" w:hAnsi="Times New Roman" w:cs="Times New Roman"/>
          <w:sz w:val="24"/>
          <w:szCs w:val="24"/>
        </w:rPr>
        <w:t xml:space="preserve">  In its Brief, SBG further </w:t>
      </w:r>
      <w:r w:rsidR="00E36039" w:rsidRPr="00E0558A">
        <w:rPr>
          <w:rFonts w:ascii="Times New Roman" w:eastAsia="Cambria" w:hAnsi="Times New Roman" w:cs="Times New Roman"/>
          <w:sz w:val="24"/>
          <w:szCs w:val="24"/>
        </w:rPr>
        <w:t xml:space="preserve">explained, </w:t>
      </w:r>
    </w:p>
    <w:p w14:paraId="06AF778E" w14:textId="77777777" w:rsidR="00E36039" w:rsidRPr="00E0558A" w:rsidRDefault="00E36039" w:rsidP="00D254AE">
      <w:pPr>
        <w:spacing w:after="0" w:line="240" w:lineRule="auto"/>
        <w:ind w:right="1440"/>
        <w:rPr>
          <w:rFonts w:ascii="Times New Roman" w:eastAsia="Cambria" w:hAnsi="Times New Roman" w:cs="Times New Roman"/>
          <w:sz w:val="24"/>
          <w:szCs w:val="24"/>
        </w:rPr>
      </w:pPr>
    </w:p>
    <w:p w14:paraId="77C27A93" w14:textId="77777777" w:rsidR="00D3326E" w:rsidRPr="00E0558A" w:rsidRDefault="00D3326E" w:rsidP="006D1DE9">
      <w:pPr>
        <w:spacing w:after="0" w:line="240" w:lineRule="auto"/>
        <w:ind w:left="1440" w:right="1440"/>
        <w:rPr>
          <w:rFonts w:ascii="Times New Roman" w:eastAsia="Cambria" w:hAnsi="Times New Roman" w:cs="Times New Roman"/>
          <w:sz w:val="24"/>
          <w:szCs w:val="24"/>
        </w:rPr>
      </w:pPr>
      <w:r w:rsidRPr="00E0558A">
        <w:rPr>
          <w:rFonts w:ascii="Times New Roman" w:eastAsia="Cambria" w:hAnsi="Times New Roman" w:cs="Times New Roman"/>
          <w:sz w:val="24"/>
          <w:szCs w:val="24"/>
        </w:rPr>
        <w:lastRenderedPageBreak/>
        <w:t>If SBG were left with only its Common Pleas action as an avenue of recovery, there will likely be no recovery.  As PGW has made clear, it will argue that the statute of limitations as to the 2012 and 2015 claims has expired.  Neither the Supreme Court nor the Commonwealth Court envisioned that the SBG Parties would be denied recovery of the overcharges.</w:t>
      </w:r>
      <w:r w:rsidRPr="00E0558A">
        <w:rPr>
          <w:rStyle w:val="FootnoteReference"/>
          <w:rFonts w:ascii="Times New Roman" w:eastAsia="Cambria" w:hAnsi="Times New Roman" w:cs="Times New Roman"/>
          <w:sz w:val="24"/>
          <w:szCs w:val="24"/>
        </w:rPr>
        <w:footnoteReference w:id="12"/>
      </w:r>
      <w:r w:rsidRPr="00E0558A">
        <w:rPr>
          <w:rFonts w:ascii="Times New Roman" w:eastAsia="Cambria" w:hAnsi="Times New Roman" w:cs="Times New Roman"/>
          <w:sz w:val="24"/>
          <w:szCs w:val="24"/>
        </w:rPr>
        <w:t xml:space="preserve">  That is clearly not the intent of the Supreme Court’s holding in </w:t>
      </w:r>
      <w:r w:rsidRPr="00E0558A">
        <w:rPr>
          <w:rFonts w:ascii="Times New Roman" w:eastAsia="Cambria" w:hAnsi="Times New Roman" w:cs="Times New Roman"/>
          <w:i/>
          <w:sz w:val="24"/>
          <w:szCs w:val="24"/>
        </w:rPr>
        <w:t>PGW II</w:t>
      </w:r>
      <w:r w:rsidRPr="00E0558A">
        <w:rPr>
          <w:rFonts w:ascii="Times New Roman" w:eastAsia="Cambria" w:hAnsi="Times New Roman" w:cs="Times New Roman"/>
          <w:sz w:val="24"/>
          <w:szCs w:val="24"/>
        </w:rPr>
        <w:t xml:space="preserve"> or the Commonwealth Court’s decision finding that </w:t>
      </w:r>
      <w:r w:rsidRPr="00E0558A">
        <w:rPr>
          <w:rFonts w:ascii="Times New Roman" w:eastAsia="Cambria" w:hAnsi="Times New Roman" w:cs="Times New Roman"/>
          <w:i/>
          <w:sz w:val="24"/>
          <w:szCs w:val="24"/>
        </w:rPr>
        <w:t>PGW II</w:t>
      </w:r>
      <w:r w:rsidRPr="00E0558A">
        <w:rPr>
          <w:rFonts w:ascii="Times New Roman" w:eastAsia="Cambria" w:hAnsi="Times New Roman" w:cs="Times New Roman"/>
          <w:sz w:val="24"/>
          <w:szCs w:val="24"/>
        </w:rPr>
        <w:t xml:space="preserve"> applied retroactively and remanding to the Commission.  </w:t>
      </w:r>
      <w:r w:rsidRPr="00E0558A">
        <w:rPr>
          <w:rFonts w:ascii="Times New Roman" w:eastAsia="Cambria" w:hAnsi="Times New Roman" w:cs="Times New Roman"/>
          <w:sz w:val="24"/>
          <w:szCs w:val="24"/>
          <w:u w:val="single"/>
        </w:rPr>
        <w:t xml:space="preserve">In fact, if the PUC were to dismiss SBG’s claims, the result could be the complete nullification of the </w:t>
      </w:r>
      <w:r w:rsidRPr="00E0558A">
        <w:rPr>
          <w:rFonts w:ascii="Times New Roman" w:eastAsia="Cambria" w:hAnsi="Times New Roman" w:cs="Times New Roman"/>
          <w:i/>
          <w:sz w:val="24"/>
          <w:szCs w:val="24"/>
          <w:u w:val="single"/>
        </w:rPr>
        <w:t>PGW II</w:t>
      </w:r>
      <w:r w:rsidRPr="00E0558A">
        <w:rPr>
          <w:rFonts w:ascii="Times New Roman" w:eastAsia="Cambria" w:hAnsi="Times New Roman" w:cs="Times New Roman"/>
          <w:sz w:val="24"/>
          <w:szCs w:val="24"/>
          <w:u w:val="single"/>
        </w:rPr>
        <w:t xml:space="preserve"> and the Commonwealth Court’s subsequent decision.</w:t>
      </w:r>
    </w:p>
    <w:p w14:paraId="7B4C4240" w14:textId="5916AE82" w:rsidR="00617F84" w:rsidRPr="00E0558A" w:rsidRDefault="00617F84" w:rsidP="00617F84">
      <w:pPr>
        <w:rPr>
          <w:rFonts w:ascii="Times New Roman" w:hAnsi="Times New Roman" w:cs="Times New Roman"/>
          <w:b/>
          <w:bCs/>
          <w:sz w:val="24"/>
          <w:szCs w:val="24"/>
        </w:rPr>
      </w:pPr>
    </w:p>
    <w:p w14:paraId="018B7F4D" w14:textId="2E3AEC3F" w:rsidR="005E3770" w:rsidRPr="00E0558A" w:rsidRDefault="00617F84" w:rsidP="005E3770">
      <w:pPr>
        <w:spacing w:line="480" w:lineRule="auto"/>
        <w:ind w:firstLine="720"/>
        <w:rPr>
          <w:rFonts w:ascii="Times New Roman" w:eastAsia="Cambria" w:hAnsi="Times New Roman" w:cs="Times New Roman"/>
          <w:sz w:val="24"/>
          <w:szCs w:val="24"/>
        </w:rPr>
      </w:pPr>
      <w:r w:rsidRPr="00E0558A">
        <w:rPr>
          <w:rFonts w:ascii="Times New Roman" w:hAnsi="Times New Roman" w:cs="Times New Roman"/>
          <w:sz w:val="24"/>
          <w:szCs w:val="24"/>
        </w:rPr>
        <w:t>SBG Brief at</w:t>
      </w:r>
      <w:r w:rsidR="00E93EBE" w:rsidRPr="00E0558A">
        <w:rPr>
          <w:rFonts w:ascii="Times New Roman" w:hAnsi="Times New Roman" w:cs="Times New Roman"/>
          <w:sz w:val="24"/>
          <w:szCs w:val="24"/>
        </w:rPr>
        <w:t xml:space="preserve"> 16-17</w:t>
      </w:r>
      <w:r w:rsidR="00207C6D" w:rsidRPr="00E0558A">
        <w:rPr>
          <w:rFonts w:ascii="Times New Roman" w:hAnsi="Times New Roman" w:cs="Times New Roman"/>
          <w:sz w:val="24"/>
          <w:szCs w:val="24"/>
        </w:rPr>
        <w:t>.</w:t>
      </w:r>
      <w:r w:rsidR="00F25A2A" w:rsidRPr="00E0558A">
        <w:rPr>
          <w:rFonts w:ascii="Times New Roman" w:hAnsi="Times New Roman" w:cs="Times New Roman"/>
          <w:sz w:val="24"/>
          <w:szCs w:val="24"/>
        </w:rPr>
        <w:t xml:space="preserve"> (</w:t>
      </w:r>
      <w:r w:rsidR="00207C6D" w:rsidRPr="00E0558A">
        <w:rPr>
          <w:rFonts w:ascii="Times New Roman" w:hAnsi="Times New Roman" w:cs="Times New Roman"/>
          <w:sz w:val="24"/>
          <w:szCs w:val="24"/>
          <w:u w:val="single"/>
        </w:rPr>
        <w:t>E</w:t>
      </w:r>
      <w:r w:rsidR="00F25A2A" w:rsidRPr="00E0558A">
        <w:rPr>
          <w:rFonts w:ascii="Times New Roman" w:hAnsi="Times New Roman" w:cs="Times New Roman"/>
          <w:sz w:val="24"/>
          <w:szCs w:val="24"/>
          <w:u w:val="single"/>
        </w:rPr>
        <w:t>mphasis added</w:t>
      </w:r>
      <w:r w:rsidR="00F25A2A" w:rsidRPr="00E0558A">
        <w:rPr>
          <w:rFonts w:ascii="Times New Roman" w:hAnsi="Times New Roman" w:cs="Times New Roman"/>
          <w:sz w:val="24"/>
          <w:szCs w:val="24"/>
        </w:rPr>
        <w:t>)</w:t>
      </w:r>
      <w:r w:rsidR="00E93EBE"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 </w:t>
      </w:r>
      <w:r w:rsidR="005E3770" w:rsidRPr="00E0558A">
        <w:rPr>
          <w:rFonts w:ascii="Times New Roman" w:eastAsia="Cambria" w:hAnsi="Times New Roman" w:cs="Times New Roman"/>
          <w:sz w:val="24"/>
          <w:szCs w:val="24"/>
        </w:rPr>
        <w:t xml:space="preserve">SBG has been litigating the issue of the </w:t>
      </w:r>
      <w:r w:rsidR="009C5E3A" w:rsidRPr="00E0558A">
        <w:rPr>
          <w:rFonts w:ascii="Times New Roman" w:eastAsia="Cambria" w:hAnsi="Times New Roman" w:cs="Times New Roman"/>
          <w:sz w:val="24"/>
          <w:szCs w:val="24"/>
        </w:rPr>
        <w:t xml:space="preserve">18% tariff rate applied </w:t>
      </w:r>
      <w:r w:rsidR="005E3770" w:rsidRPr="00E0558A">
        <w:rPr>
          <w:rFonts w:ascii="Times New Roman" w:eastAsia="Cambria" w:hAnsi="Times New Roman" w:cs="Times New Roman"/>
          <w:sz w:val="24"/>
          <w:szCs w:val="24"/>
        </w:rPr>
        <w:t>on</w:t>
      </w:r>
      <w:r w:rsidR="009C5E3A" w:rsidRPr="00E0558A">
        <w:rPr>
          <w:rFonts w:ascii="Times New Roman" w:eastAsia="Cambria" w:hAnsi="Times New Roman" w:cs="Times New Roman"/>
          <w:sz w:val="24"/>
          <w:szCs w:val="24"/>
        </w:rPr>
        <w:t xml:space="preserve"> amounts that were</w:t>
      </w:r>
      <w:r w:rsidR="005E3770" w:rsidRPr="00E0558A">
        <w:rPr>
          <w:rFonts w:ascii="Times New Roman" w:eastAsia="Cambria" w:hAnsi="Times New Roman" w:cs="Times New Roman"/>
          <w:sz w:val="24"/>
          <w:szCs w:val="24"/>
        </w:rPr>
        <w:t xml:space="preserve"> docketed liens/judgments since at least 2012.  And SBG’s decade-long litigation has been successful</w:t>
      </w:r>
      <w:r w:rsidR="00DD2FBF" w:rsidRPr="00E0558A">
        <w:rPr>
          <w:rFonts w:ascii="Times New Roman" w:eastAsia="Cambria" w:hAnsi="Times New Roman" w:cs="Times New Roman"/>
          <w:sz w:val="24"/>
          <w:szCs w:val="24"/>
        </w:rPr>
        <w:t xml:space="preserve">, in that </w:t>
      </w:r>
      <w:r w:rsidR="005E3770" w:rsidRPr="00E0558A">
        <w:rPr>
          <w:rFonts w:ascii="Times New Roman" w:eastAsia="Cambria" w:hAnsi="Times New Roman" w:cs="Times New Roman"/>
          <w:sz w:val="24"/>
          <w:szCs w:val="24"/>
        </w:rPr>
        <w:t xml:space="preserve">the Supreme Court agreed with SBG </w:t>
      </w:r>
      <w:r w:rsidR="009C5E3A" w:rsidRPr="00E0558A">
        <w:rPr>
          <w:rFonts w:ascii="Times New Roman" w:eastAsia="Cambria" w:hAnsi="Times New Roman" w:cs="Times New Roman"/>
          <w:sz w:val="24"/>
          <w:szCs w:val="24"/>
        </w:rPr>
        <w:t xml:space="preserve">and the PUC </w:t>
      </w:r>
      <w:r w:rsidR="005E3770" w:rsidRPr="00E0558A">
        <w:rPr>
          <w:rFonts w:ascii="Times New Roman" w:eastAsia="Cambria" w:hAnsi="Times New Roman" w:cs="Times New Roman"/>
          <w:sz w:val="24"/>
          <w:szCs w:val="24"/>
        </w:rPr>
        <w:t>and held that PGW cannot charge its 18% tariff rate against docketed liens/</w:t>
      </w:r>
      <w:r w:rsidR="00AB5459" w:rsidRPr="00E0558A">
        <w:rPr>
          <w:rFonts w:ascii="Times New Roman" w:eastAsia="Cambria" w:hAnsi="Times New Roman" w:cs="Times New Roman"/>
          <w:sz w:val="24"/>
          <w:szCs w:val="24"/>
        </w:rPr>
        <w:t>judgments</w:t>
      </w:r>
      <w:r w:rsidR="005E3770" w:rsidRPr="00E0558A">
        <w:rPr>
          <w:rFonts w:ascii="Times New Roman" w:eastAsia="Cambria" w:hAnsi="Times New Roman" w:cs="Times New Roman"/>
          <w:sz w:val="24"/>
          <w:szCs w:val="24"/>
        </w:rPr>
        <w:t xml:space="preserve">.  </w:t>
      </w:r>
      <w:r w:rsidR="005C74FD" w:rsidRPr="00E0558A">
        <w:rPr>
          <w:rFonts w:ascii="Times New Roman" w:eastAsia="Cambria" w:hAnsi="Times New Roman" w:cs="Times New Roman"/>
          <w:sz w:val="24"/>
          <w:szCs w:val="24"/>
        </w:rPr>
        <w:t>However, t</w:t>
      </w:r>
      <w:r w:rsidR="005E3770" w:rsidRPr="00E0558A">
        <w:rPr>
          <w:rFonts w:ascii="Times New Roman" w:eastAsia="Cambria" w:hAnsi="Times New Roman" w:cs="Times New Roman"/>
          <w:sz w:val="24"/>
          <w:szCs w:val="24"/>
        </w:rPr>
        <w:t xml:space="preserve">he relief SBG worked so hard to attain could be completely lost if </w:t>
      </w:r>
      <w:r w:rsidR="00F060B1" w:rsidRPr="00E0558A">
        <w:rPr>
          <w:rFonts w:ascii="Times New Roman" w:eastAsia="Cambria" w:hAnsi="Times New Roman" w:cs="Times New Roman"/>
          <w:sz w:val="24"/>
          <w:szCs w:val="24"/>
        </w:rPr>
        <w:t xml:space="preserve">Commission is without jurisdiction to calculate how much PGW overcharged SBG over more than a decade and </w:t>
      </w:r>
      <w:r w:rsidR="005E3770" w:rsidRPr="00E0558A">
        <w:rPr>
          <w:rFonts w:ascii="Times New Roman" w:eastAsia="Cambria" w:hAnsi="Times New Roman" w:cs="Times New Roman"/>
          <w:sz w:val="24"/>
          <w:szCs w:val="24"/>
        </w:rPr>
        <w:t>the</w:t>
      </w:r>
      <w:r w:rsidR="00E0222B" w:rsidRPr="00E0558A">
        <w:rPr>
          <w:rFonts w:ascii="Times New Roman" w:eastAsia="Cambria" w:hAnsi="Times New Roman" w:cs="Times New Roman"/>
          <w:sz w:val="24"/>
          <w:szCs w:val="24"/>
        </w:rPr>
        <w:t xml:space="preserve"> statute of limitations </w:t>
      </w:r>
      <w:r w:rsidR="0080526C" w:rsidRPr="00E0558A">
        <w:rPr>
          <w:rFonts w:ascii="Times New Roman" w:eastAsia="Cambria" w:hAnsi="Times New Roman" w:cs="Times New Roman"/>
          <w:sz w:val="24"/>
          <w:szCs w:val="24"/>
        </w:rPr>
        <w:t>is not tolled</w:t>
      </w:r>
      <w:r w:rsidR="00AB5459" w:rsidRPr="00E0558A">
        <w:rPr>
          <w:rFonts w:ascii="Times New Roman" w:eastAsia="Cambria" w:hAnsi="Times New Roman" w:cs="Times New Roman"/>
          <w:sz w:val="24"/>
          <w:szCs w:val="24"/>
        </w:rPr>
        <w:t>.</w:t>
      </w:r>
      <w:r w:rsidR="007348B1" w:rsidRPr="00E0558A">
        <w:rPr>
          <w:rFonts w:ascii="Times New Roman" w:eastAsia="Cambria" w:hAnsi="Times New Roman" w:cs="Times New Roman"/>
          <w:sz w:val="24"/>
          <w:szCs w:val="24"/>
        </w:rPr>
        <w:t xml:space="preserve">  Notably, SBG’s 2015 Complaint</w:t>
      </w:r>
      <w:r w:rsidR="009346CE">
        <w:rPr>
          <w:rFonts w:ascii="Times New Roman" w:eastAsia="Cambria" w:hAnsi="Times New Roman" w:cs="Times New Roman"/>
          <w:sz w:val="24"/>
          <w:szCs w:val="24"/>
        </w:rPr>
        <w:t>s</w:t>
      </w:r>
      <w:r w:rsidR="007348B1" w:rsidRPr="00E0558A">
        <w:rPr>
          <w:rFonts w:ascii="Times New Roman" w:eastAsia="Cambria" w:hAnsi="Times New Roman" w:cs="Times New Roman"/>
          <w:sz w:val="24"/>
          <w:szCs w:val="24"/>
        </w:rPr>
        <w:t xml:space="preserve"> against PGW were filed </w:t>
      </w:r>
      <w:r w:rsidR="0098569F" w:rsidRPr="00E0558A">
        <w:rPr>
          <w:rFonts w:ascii="Times New Roman" w:eastAsia="Cambria" w:hAnsi="Times New Roman" w:cs="Times New Roman"/>
          <w:sz w:val="24"/>
          <w:szCs w:val="24"/>
        </w:rPr>
        <w:t>with the Commission</w:t>
      </w:r>
      <w:r w:rsidR="00A91891" w:rsidRPr="00E0558A">
        <w:rPr>
          <w:rFonts w:ascii="Times New Roman" w:eastAsia="Cambria" w:hAnsi="Times New Roman" w:cs="Times New Roman"/>
          <w:sz w:val="24"/>
          <w:szCs w:val="24"/>
        </w:rPr>
        <w:t>,</w:t>
      </w:r>
      <w:r w:rsidR="00DA3194" w:rsidRPr="00E0558A">
        <w:rPr>
          <w:rFonts w:ascii="Times New Roman" w:eastAsia="Cambria" w:hAnsi="Times New Roman" w:cs="Times New Roman"/>
          <w:sz w:val="24"/>
          <w:szCs w:val="24"/>
        </w:rPr>
        <w:t xml:space="preserve"> and subsequently stayed,</w:t>
      </w:r>
      <w:r w:rsidR="0098569F" w:rsidRPr="00E0558A">
        <w:rPr>
          <w:rFonts w:ascii="Times New Roman" w:eastAsia="Cambria" w:hAnsi="Times New Roman" w:cs="Times New Roman"/>
          <w:sz w:val="24"/>
          <w:szCs w:val="24"/>
        </w:rPr>
        <w:t xml:space="preserve"> </w:t>
      </w:r>
      <w:r w:rsidR="007348B1" w:rsidRPr="00E0558A">
        <w:rPr>
          <w:rFonts w:ascii="Times New Roman" w:eastAsia="Cambria" w:hAnsi="Times New Roman" w:cs="Times New Roman"/>
          <w:sz w:val="24"/>
          <w:szCs w:val="24"/>
        </w:rPr>
        <w:t xml:space="preserve">for the specific purpose of </w:t>
      </w:r>
      <w:r w:rsidR="000430EA" w:rsidRPr="00E0558A">
        <w:rPr>
          <w:rFonts w:ascii="Times New Roman" w:eastAsia="Cambria" w:hAnsi="Times New Roman" w:cs="Times New Roman"/>
          <w:sz w:val="24"/>
          <w:szCs w:val="24"/>
        </w:rPr>
        <w:t xml:space="preserve">tolling the statute of limitation </w:t>
      </w:r>
      <w:r w:rsidR="0098569F" w:rsidRPr="00E0558A">
        <w:rPr>
          <w:rFonts w:ascii="Times New Roman" w:eastAsia="Cambria" w:hAnsi="Times New Roman" w:cs="Times New Roman"/>
          <w:sz w:val="24"/>
          <w:szCs w:val="24"/>
        </w:rPr>
        <w:t xml:space="preserve">although they </w:t>
      </w:r>
      <w:r w:rsidR="00246772" w:rsidRPr="00E0558A">
        <w:rPr>
          <w:rFonts w:ascii="Times New Roman" w:eastAsia="Cambria" w:hAnsi="Times New Roman" w:cs="Times New Roman"/>
          <w:sz w:val="24"/>
          <w:szCs w:val="24"/>
        </w:rPr>
        <w:t>involve the same parties and raise</w:t>
      </w:r>
      <w:r w:rsidR="00E05EE5" w:rsidRPr="00E0558A">
        <w:rPr>
          <w:rFonts w:ascii="Times New Roman" w:eastAsia="Cambria" w:hAnsi="Times New Roman" w:cs="Times New Roman"/>
          <w:sz w:val="24"/>
          <w:szCs w:val="24"/>
        </w:rPr>
        <w:t xml:space="preserve"> </w:t>
      </w:r>
      <w:r w:rsidR="00986DFA" w:rsidRPr="00E0558A">
        <w:rPr>
          <w:rFonts w:ascii="Times New Roman" w:eastAsia="Cambria" w:hAnsi="Times New Roman" w:cs="Times New Roman"/>
          <w:sz w:val="24"/>
          <w:szCs w:val="24"/>
        </w:rPr>
        <w:t>the same issues as</w:t>
      </w:r>
      <w:r w:rsidR="00246772" w:rsidRPr="00E0558A">
        <w:rPr>
          <w:rFonts w:ascii="Times New Roman" w:eastAsia="Cambria" w:hAnsi="Times New Roman" w:cs="Times New Roman"/>
          <w:sz w:val="24"/>
          <w:szCs w:val="24"/>
        </w:rPr>
        <w:t xml:space="preserve"> the 2012 Complaints.</w:t>
      </w:r>
    </w:p>
    <w:p w14:paraId="383CC3E7" w14:textId="60491BEA" w:rsidR="00867296" w:rsidRPr="00E0558A" w:rsidRDefault="00867296" w:rsidP="00867296">
      <w:pPr>
        <w:pStyle w:val="Indent5DbSp"/>
        <w:numPr>
          <w:ilvl w:val="1"/>
          <w:numId w:val="4"/>
        </w:numPr>
        <w:spacing w:line="240" w:lineRule="auto"/>
        <w:rPr>
          <w:b/>
          <w:bCs/>
        </w:rPr>
      </w:pPr>
      <w:r w:rsidRPr="00E0558A">
        <w:rPr>
          <w:b/>
          <w:bCs/>
        </w:rPr>
        <w:t xml:space="preserve">Whether </w:t>
      </w:r>
      <w:r w:rsidRPr="00E0558A">
        <w:rPr>
          <w:b/>
          <w:bCs/>
          <w:i/>
          <w:iCs/>
        </w:rPr>
        <w:t>PGW III</w:t>
      </w:r>
      <w:r w:rsidRPr="00E0558A">
        <w:rPr>
          <w:b/>
          <w:bCs/>
        </w:rPr>
        <w:t xml:space="preserve"> foreclosed certain claims and issues which must be dismissed.</w:t>
      </w:r>
    </w:p>
    <w:p w14:paraId="3234B53E" w14:textId="4210E7DC" w:rsidR="00076F6D" w:rsidRPr="00E0558A" w:rsidRDefault="00076F6D" w:rsidP="00A96B3C">
      <w:pPr>
        <w:pStyle w:val="NoSpacing"/>
        <w:spacing w:line="360" w:lineRule="auto"/>
      </w:pPr>
    </w:p>
    <w:p w14:paraId="1D9BAF0D" w14:textId="549A2C22" w:rsidR="00CF795B" w:rsidRPr="00E0558A" w:rsidRDefault="00F13EFE" w:rsidP="00865C10">
      <w:pPr>
        <w:pStyle w:val="Indent5DbSp"/>
        <w:spacing w:line="360" w:lineRule="auto"/>
        <w:ind w:firstLine="1440"/>
      </w:pPr>
      <w:r w:rsidRPr="00E0558A">
        <w:lastRenderedPageBreak/>
        <w:t>In its Motion, PGW</w:t>
      </w:r>
      <w:r w:rsidR="001F76E9" w:rsidRPr="00E0558A">
        <w:t xml:space="preserve"> points out that </w:t>
      </w:r>
      <w:r w:rsidR="00CF795B" w:rsidRPr="00E0558A">
        <w:t xml:space="preserve">the Commonwealth Court expressly held in </w:t>
      </w:r>
      <w:r w:rsidR="00CF795B" w:rsidRPr="00E0558A">
        <w:rPr>
          <w:i/>
          <w:iCs/>
        </w:rPr>
        <w:t>PGW III</w:t>
      </w:r>
      <w:r w:rsidR="001F76E9" w:rsidRPr="00E0558A">
        <w:rPr>
          <w:i/>
          <w:iCs/>
        </w:rPr>
        <w:t xml:space="preserve"> </w:t>
      </w:r>
      <w:r w:rsidR="001F76E9" w:rsidRPr="00E0558A">
        <w:t>that</w:t>
      </w:r>
      <w:r w:rsidR="00CF795B" w:rsidRPr="00E0558A">
        <w:t xml:space="preserve"> the Supreme Court’s decision in </w:t>
      </w:r>
      <w:r w:rsidR="00CF795B" w:rsidRPr="00E0558A">
        <w:rPr>
          <w:i/>
          <w:iCs/>
        </w:rPr>
        <w:t xml:space="preserve">PGW II </w:t>
      </w:r>
      <w:r w:rsidR="00CF795B" w:rsidRPr="00E0558A">
        <w:t xml:space="preserve">applies retroactively only to </w:t>
      </w:r>
      <w:r w:rsidR="00CF795B" w:rsidRPr="00E0558A">
        <w:rPr>
          <w:i/>
          <w:iCs/>
        </w:rPr>
        <w:t>the</w:t>
      </w:r>
      <w:r w:rsidR="00CF795B" w:rsidRPr="00E0558A">
        <w:t xml:space="preserve"> </w:t>
      </w:r>
      <w:r w:rsidR="00CF795B" w:rsidRPr="00E0558A">
        <w:rPr>
          <w:i/>
          <w:iCs/>
        </w:rPr>
        <w:t>parties</w:t>
      </w:r>
      <w:r w:rsidR="00CF795B" w:rsidRPr="00E0558A">
        <w:t xml:space="preserve"> of</w:t>
      </w:r>
      <w:r w:rsidR="00CF795B" w:rsidRPr="00E0558A">
        <w:rPr>
          <w:i/>
          <w:iCs/>
        </w:rPr>
        <w:t xml:space="preserve"> PGW II</w:t>
      </w:r>
      <w:r w:rsidR="00CF795B" w:rsidRPr="00E0558A">
        <w:t xml:space="preserve"> as well as other proceedings pending at the time </w:t>
      </w:r>
      <w:r w:rsidR="00CF795B" w:rsidRPr="00E0558A">
        <w:rPr>
          <w:i/>
          <w:iCs/>
        </w:rPr>
        <w:t>PGW II</w:t>
      </w:r>
      <w:r w:rsidR="00CF795B" w:rsidRPr="00E0558A">
        <w:t xml:space="preserve"> was decided on April 28, 2021.</w:t>
      </w:r>
      <w:r w:rsidR="00CF795B" w:rsidRPr="00E0558A">
        <w:rPr>
          <w:rStyle w:val="FootnoteReference"/>
        </w:rPr>
        <w:footnoteReference w:id="13"/>
      </w:r>
      <w:r w:rsidR="006833F6" w:rsidRPr="00E0558A">
        <w:t xml:space="preserve">  </w:t>
      </w:r>
      <w:r w:rsidR="00CF795B" w:rsidRPr="00E0558A">
        <w:t>Th</w:t>
      </w:r>
      <w:r w:rsidR="006833F6" w:rsidRPr="00E0558A">
        <w:t>erefore</w:t>
      </w:r>
      <w:r w:rsidR="00762F53" w:rsidRPr="00E0558A">
        <w:t>, it is PGW’s position that</w:t>
      </w:r>
      <w:r w:rsidR="00CF795B" w:rsidRPr="00E0558A">
        <w:t xml:space="preserve"> the Supreme Court’s decision in </w:t>
      </w:r>
      <w:r w:rsidR="00CF795B" w:rsidRPr="00E0558A">
        <w:rPr>
          <w:i/>
          <w:iCs/>
        </w:rPr>
        <w:t>PGW II</w:t>
      </w:r>
      <w:r w:rsidR="00CF795B" w:rsidRPr="00E0558A">
        <w:t xml:space="preserve"> retroactivity extends </w:t>
      </w:r>
      <w:r w:rsidR="00CF795B" w:rsidRPr="00E0558A">
        <w:rPr>
          <w:u w:val="single"/>
        </w:rPr>
        <w:t>only</w:t>
      </w:r>
      <w:r w:rsidR="00CF795B" w:rsidRPr="00E0558A">
        <w:t xml:space="preserve"> to the 2012 PUC Complaints by Colonial Garden and Simon Garden.</w:t>
      </w:r>
      <w:r w:rsidR="00CF795B" w:rsidRPr="00E0558A">
        <w:rPr>
          <w:rStyle w:val="FootnoteReference"/>
        </w:rPr>
        <w:footnoteReference w:id="14"/>
      </w:r>
      <w:r w:rsidR="00CF795B" w:rsidRPr="00E0558A">
        <w:t xml:space="preserve"> </w:t>
      </w:r>
      <w:r w:rsidR="00762F53" w:rsidRPr="00E0558A">
        <w:t xml:space="preserve"> PGW </w:t>
      </w:r>
      <w:r w:rsidR="00DA33F9" w:rsidRPr="00E0558A">
        <w:t xml:space="preserve">argues that </w:t>
      </w:r>
      <w:r w:rsidR="0028479A" w:rsidRPr="00E0558A">
        <w:t>Colonial Garden and Simon Garden were the only parties that</w:t>
      </w:r>
      <w:r w:rsidR="00CF795B" w:rsidRPr="00E0558A">
        <w:t xml:space="preserve"> filed an appeal </w:t>
      </w:r>
      <w:r w:rsidR="00453D33" w:rsidRPr="00E0558A">
        <w:t>to</w:t>
      </w:r>
      <w:r w:rsidR="00CF795B" w:rsidRPr="00E0558A">
        <w:t xml:space="preserve"> </w:t>
      </w:r>
      <w:r w:rsidR="00CF795B" w:rsidRPr="00E0558A">
        <w:rPr>
          <w:i/>
          <w:iCs/>
        </w:rPr>
        <w:t xml:space="preserve">PGW I </w:t>
      </w:r>
      <w:r w:rsidR="00CF795B" w:rsidRPr="00E0558A">
        <w:t xml:space="preserve">and were </w:t>
      </w:r>
      <w:r w:rsidR="00CF795B" w:rsidRPr="00E0558A">
        <w:rPr>
          <w:i/>
          <w:iCs/>
        </w:rPr>
        <w:t xml:space="preserve">the parties </w:t>
      </w:r>
      <w:r w:rsidR="00CF795B" w:rsidRPr="00E0558A">
        <w:t xml:space="preserve">to </w:t>
      </w:r>
      <w:r w:rsidR="00CF795B" w:rsidRPr="00E0558A">
        <w:rPr>
          <w:i/>
          <w:iCs/>
        </w:rPr>
        <w:t>PGW II</w:t>
      </w:r>
      <w:r w:rsidR="00CF795B" w:rsidRPr="00E0558A">
        <w:t xml:space="preserve">. </w:t>
      </w:r>
      <w:r w:rsidR="000E7317" w:rsidRPr="00E0558A">
        <w:t xml:space="preserve"> </w:t>
      </w:r>
      <w:r w:rsidR="00CF795B" w:rsidRPr="00E0558A">
        <w:t>The other 2012 PUC Complaints by Elrea Garden, Fairmount Manor, and Marshall Square</w:t>
      </w:r>
      <w:r w:rsidR="00453D33" w:rsidRPr="00E0558A">
        <w:t>,</w:t>
      </w:r>
      <w:r w:rsidR="00CF795B" w:rsidRPr="00E0558A">
        <w:rPr>
          <w:rStyle w:val="FootnoteReference"/>
        </w:rPr>
        <w:footnoteReference w:id="15"/>
      </w:r>
      <w:r w:rsidR="00CF795B" w:rsidRPr="00E0558A">
        <w:t xml:space="preserve"> as well as the 2012 PUC Complaints by Marchwood, Oak Lane, and Fern Rock</w:t>
      </w:r>
      <w:r w:rsidR="00453D33" w:rsidRPr="00E0558A">
        <w:t>,</w:t>
      </w:r>
      <w:r w:rsidR="00CF795B" w:rsidRPr="00E0558A">
        <w:rPr>
          <w:rStyle w:val="FootnoteReference"/>
        </w:rPr>
        <w:footnoteReference w:id="16"/>
      </w:r>
      <w:r w:rsidR="00CF795B" w:rsidRPr="00E0558A">
        <w:t xml:space="preserve"> were not appealed or did not join the appeal with Colonial Garden and Simon Garden, and thus the Commonwealth Court’s clear statement that </w:t>
      </w:r>
      <w:r w:rsidR="00CF795B" w:rsidRPr="00E0558A">
        <w:rPr>
          <w:i/>
          <w:iCs/>
        </w:rPr>
        <w:t xml:space="preserve">PGW II </w:t>
      </w:r>
      <w:r w:rsidR="00CF795B" w:rsidRPr="00E0558A">
        <w:t xml:space="preserve">applies only to parties of </w:t>
      </w:r>
      <w:r w:rsidR="00CF795B" w:rsidRPr="00E0558A">
        <w:rPr>
          <w:i/>
          <w:iCs/>
        </w:rPr>
        <w:t xml:space="preserve">PGW II </w:t>
      </w:r>
      <w:r w:rsidR="00CF795B" w:rsidRPr="00E0558A">
        <w:t xml:space="preserve">forecloses any further consideration or retroactive application of </w:t>
      </w:r>
      <w:r w:rsidR="00CF795B" w:rsidRPr="00E0558A">
        <w:rPr>
          <w:i/>
          <w:iCs/>
        </w:rPr>
        <w:t xml:space="preserve">PGW II </w:t>
      </w:r>
      <w:r w:rsidR="00CF795B" w:rsidRPr="00E0558A">
        <w:t>with respect to those Complaints</w:t>
      </w:r>
      <w:r w:rsidR="00CF795B" w:rsidRPr="00E0558A">
        <w:rPr>
          <w:i/>
          <w:iCs/>
        </w:rPr>
        <w:t>.</w:t>
      </w:r>
      <w:r w:rsidR="00CF795B" w:rsidRPr="00E0558A">
        <w:rPr>
          <w:rStyle w:val="FootnoteReference"/>
        </w:rPr>
        <w:footnoteReference w:id="17"/>
      </w:r>
      <w:r w:rsidR="00CF795B" w:rsidRPr="00E0558A">
        <w:t xml:space="preserve"> </w:t>
      </w:r>
      <w:r w:rsidR="00CF795B" w:rsidRPr="00E0558A">
        <w:rPr>
          <w:i/>
          <w:iCs/>
        </w:rPr>
        <w:t xml:space="preserve"> </w:t>
      </w:r>
      <w:r w:rsidR="004C1A9C" w:rsidRPr="00E0558A">
        <w:t>Motion at 10-11.</w:t>
      </w:r>
      <w:r w:rsidR="004C1A9C" w:rsidRPr="00E0558A">
        <w:rPr>
          <w:i/>
          <w:iCs/>
        </w:rPr>
        <w:t xml:space="preserve">  </w:t>
      </w:r>
      <w:r w:rsidR="00687C5B" w:rsidRPr="00E0558A">
        <w:t>PGW maintains that t</w:t>
      </w:r>
      <w:r w:rsidR="00CF795B" w:rsidRPr="00E0558A">
        <w:t xml:space="preserve">hose parties who did not appeal, therefore, are not entitled to any relief based on docketed municipal liens (which have become judgements per </w:t>
      </w:r>
      <w:r w:rsidR="00CF795B" w:rsidRPr="00E0558A">
        <w:rPr>
          <w:i/>
          <w:iCs/>
        </w:rPr>
        <w:t>PGW II</w:t>
      </w:r>
      <w:r w:rsidR="00CF795B" w:rsidRPr="00E0558A">
        <w:t>) for the period of time covered by their 2012</w:t>
      </w:r>
      <w:r w:rsidR="00327BD6" w:rsidRPr="00E0558A">
        <w:t xml:space="preserve"> C</w:t>
      </w:r>
      <w:r w:rsidR="00CF795B" w:rsidRPr="00E0558A">
        <w:t xml:space="preserve">omplaints. </w:t>
      </w:r>
      <w:r w:rsidR="00327BD6" w:rsidRPr="00E0558A">
        <w:t xml:space="preserve"> Motion at 11-12.</w:t>
      </w:r>
      <w:r w:rsidR="0024226C" w:rsidRPr="00E0558A">
        <w:t xml:space="preserve"> </w:t>
      </w:r>
    </w:p>
    <w:p w14:paraId="6C8187E8" w14:textId="4047C66B" w:rsidR="00F51253" w:rsidRPr="00E0558A" w:rsidRDefault="00F51253" w:rsidP="00865C10">
      <w:pPr>
        <w:pStyle w:val="Indent5DbSp"/>
        <w:spacing w:line="360" w:lineRule="auto"/>
        <w:ind w:firstLine="0"/>
      </w:pPr>
    </w:p>
    <w:p w14:paraId="1C93C985" w14:textId="68A34AD4" w:rsidR="00F51253" w:rsidRDefault="00371943" w:rsidP="00865C10">
      <w:pPr>
        <w:pStyle w:val="Indent5DbSp"/>
        <w:spacing w:line="360" w:lineRule="auto"/>
        <w:ind w:firstLine="1440"/>
      </w:pPr>
      <w:r w:rsidRPr="0044706A">
        <w:t>In its Response</w:t>
      </w:r>
      <w:r w:rsidR="00530AC7">
        <w:t xml:space="preserve"> to the Motion</w:t>
      </w:r>
      <w:r w:rsidRPr="0044706A">
        <w:t xml:space="preserve">, SBG </w:t>
      </w:r>
      <w:r w:rsidR="008373F9" w:rsidRPr="0044706A">
        <w:t xml:space="preserve">did not claim </w:t>
      </w:r>
      <w:r w:rsidR="0097726A" w:rsidRPr="0044706A">
        <w:t xml:space="preserve">that </w:t>
      </w:r>
      <w:bookmarkStart w:id="8" w:name="_Hlk122011588"/>
      <w:r w:rsidR="0097726A" w:rsidRPr="0044706A">
        <w:t xml:space="preserve">Elrea Garden, Fairmount Manor, </w:t>
      </w:r>
      <w:r w:rsidR="006E644A" w:rsidRPr="0044706A">
        <w:t xml:space="preserve">and </w:t>
      </w:r>
      <w:r w:rsidR="0097726A" w:rsidRPr="0044706A">
        <w:t>Marshall Square</w:t>
      </w:r>
      <w:bookmarkEnd w:id="8"/>
      <w:r w:rsidR="0097726A" w:rsidRPr="0044706A">
        <w:rPr>
          <w:rStyle w:val="FootnoteReference"/>
        </w:rPr>
        <w:footnoteReference w:id="18"/>
      </w:r>
      <w:r w:rsidR="0097726A" w:rsidRPr="0044706A">
        <w:t xml:space="preserve"> as well as </w:t>
      </w:r>
      <w:bookmarkStart w:id="9" w:name="_Hlk122089540"/>
      <w:r w:rsidR="0097726A" w:rsidRPr="0044706A">
        <w:t>Marchwood, Oak Lane, and Fern Rock</w:t>
      </w:r>
      <w:bookmarkEnd w:id="9"/>
      <w:r w:rsidR="004F0ED7" w:rsidRPr="0044706A">
        <w:rPr>
          <w:rStyle w:val="FootnoteReference"/>
        </w:rPr>
        <w:footnoteReference w:id="19"/>
      </w:r>
      <w:r w:rsidR="0097726A" w:rsidRPr="0044706A">
        <w:t xml:space="preserve"> </w:t>
      </w:r>
      <w:r w:rsidR="00946B93" w:rsidRPr="0044706A">
        <w:t>had appealed the Commonwealth Court’s</w:t>
      </w:r>
      <w:r w:rsidR="00A43BAC" w:rsidRPr="0044706A">
        <w:t xml:space="preserve"> ruling in their respective cases</w:t>
      </w:r>
      <w:r w:rsidR="004F0ED7" w:rsidRPr="0044706A">
        <w:t xml:space="preserve">. </w:t>
      </w:r>
      <w:r w:rsidR="00762186" w:rsidRPr="0044706A">
        <w:t xml:space="preserve"> </w:t>
      </w:r>
      <w:r w:rsidR="004F0ED7" w:rsidRPr="0044706A">
        <w:t>Nor did SBG claim that these entities</w:t>
      </w:r>
      <w:r w:rsidR="00427E9B" w:rsidRPr="0044706A">
        <w:t xml:space="preserve"> join</w:t>
      </w:r>
      <w:r w:rsidR="00DF3332" w:rsidRPr="0044706A">
        <w:t>ed</w:t>
      </w:r>
      <w:r w:rsidR="00427E9B" w:rsidRPr="0044706A">
        <w:t xml:space="preserve"> the appeal with Colonial Garden and Simon Garden</w:t>
      </w:r>
      <w:r w:rsidR="00DF3332" w:rsidRPr="0044706A">
        <w:t xml:space="preserve"> that</w:t>
      </w:r>
      <w:r w:rsidR="00DF3332" w:rsidRPr="00E0558A">
        <w:t xml:space="preserve"> culminated in Supreme Court’s ruling in </w:t>
      </w:r>
      <w:r w:rsidR="00DF3332" w:rsidRPr="00E0558A">
        <w:rPr>
          <w:i/>
          <w:iCs/>
        </w:rPr>
        <w:t xml:space="preserve">PGW II. </w:t>
      </w:r>
      <w:r w:rsidR="00B700F6" w:rsidRPr="00E0558A">
        <w:rPr>
          <w:i/>
          <w:iCs/>
        </w:rPr>
        <w:t xml:space="preserve"> </w:t>
      </w:r>
      <w:r w:rsidR="00B700F6" w:rsidRPr="00E0558A">
        <w:t xml:space="preserve">Instead, SBG </w:t>
      </w:r>
      <w:r w:rsidR="000F48E0" w:rsidRPr="00E0558A">
        <w:t xml:space="preserve">claimed that </w:t>
      </w:r>
      <w:r w:rsidR="000F48E0" w:rsidRPr="00E0558A">
        <w:rPr>
          <w:i/>
          <w:iCs/>
        </w:rPr>
        <w:t>PGW II</w:t>
      </w:r>
      <w:r w:rsidR="000F48E0" w:rsidRPr="00E0558A">
        <w:t xml:space="preserve"> should apply retroactively </w:t>
      </w:r>
      <w:r w:rsidR="00442749" w:rsidRPr="00E0558A">
        <w:t>to</w:t>
      </w:r>
      <w:r w:rsidR="00442749" w:rsidRPr="00E0558A">
        <w:rPr>
          <w:i/>
          <w:iCs/>
        </w:rPr>
        <w:t xml:space="preserve"> </w:t>
      </w:r>
      <w:r w:rsidR="00442749" w:rsidRPr="00E0558A">
        <w:t>t</w:t>
      </w:r>
      <w:r w:rsidR="000F48E0" w:rsidRPr="00E0558A">
        <w:t xml:space="preserve">he </w:t>
      </w:r>
      <w:r w:rsidR="000F48E0" w:rsidRPr="00E0558A">
        <w:lastRenderedPageBreak/>
        <w:t xml:space="preserve">Complainants who did not intervene in the appeal culminating in </w:t>
      </w:r>
      <w:r w:rsidR="000F48E0" w:rsidRPr="00E0558A">
        <w:rPr>
          <w:i/>
        </w:rPr>
        <w:t>PGW II</w:t>
      </w:r>
      <w:r w:rsidR="000F48E0" w:rsidRPr="00E0558A">
        <w:t xml:space="preserve"> </w:t>
      </w:r>
      <w:r w:rsidR="00FF46AD" w:rsidRPr="00E0558A">
        <w:t>(Elrea Garden, Fairmount Manor, and Marshall Squar</w:t>
      </w:r>
      <w:r w:rsidR="001A0D02" w:rsidRPr="00E0558A">
        <w:t>e</w:t>
      </w:r>
      <w:r w:rsidR="00FF46AD" w:rsidRPr="00E0558A">
        <w:t xml:space="preserve"> as well as Marchwood, Oak Lane, and Fern Rock) </w:t>
      </w:r>
      <w:r w:rsidR="00EC65DB" w:rsidRPr="00E0558A">
        <w:t xml:space="preserve">because they </w:t>
      </w:r>
      <w:r w:rsidR="000F48E0" w:rsidRPr="00E0558A">
        <w:t>were parties to proceedings pending before the PUC</w:t>
      </w:r>
      <w:r w:rsidR="008D6A1C" w:rsidRPr="00E0558A">
        <w:t>.</w:t>
      </w:r>
      <w:r w:rsidR="006E5AB3" w:rsidRPr="00E0558A">
        <w:t xml:space="preserve">  </w:t>
      </w:r>
      <w:r w:rsidR="00E727B3" w:rsidRPr="00E0558A">
        <w:t>Response at 10.</w:t>
      </w:r>
    </w:p>
    <w:p w14:paraId="5B7A8F2A" w14:textId="77777777" w:rsidR="00292B07" w:rsidRPr="00E0558A" w:rsidRDefault="00292B07" w:rsidP="00865C10">
      <w:pPr>
        <w:pStyle w:val="Indent5DbSp"/>
        <w:spacing w:line="360" w:lineRule="auto"/>
        <w:ind w:firstLine="1440"/>
      </w:pPr>
    </w:p>
    <w:p w14:paraId="67FBEE53" w14:textId="277F25DF" w:rsidR="00303684" w:rsidRPr="00E0558A" w:rsidRDefault="00303684" w:rsidP="002224E1">
      <w:pPr>
        <w:pStyle w:val="Indent5DbSp"/>
        <w:ind w:firstLine="1440"/>
        <w:rPr>
          <w:b/>
          <w:bCs/>
        </w:rPr>
      </w:pPr>
      <w:r w:rsidRPr="00E0558A">
        <w:rPr>
          <w:b/>
          <w:bCs/>
        </w:rPr>
        <w:t>Disposition</w:t>
      </w:r>
    </w:p>
    <w:p w14:paraId="537EFB55" w14:textId="02E69EB7" w:rsidR="00A47463" w:rsidRPr="00E0558A" w:rsidRDefault="00A50C25" w:rsidP="002224E1">
      <w:pPr>
        <w:pStyle w:val="pf0"/>
        <w:spacing w:before="0" w:beforeAutospacing="0" w:after="0" w:afterAutospacing="0" w:line="360" w:lineRule="auto"/>
        <w:ind w:firstLine="1440"/>
      </w:pPr>
      <w:r w:rsidRPr="00E0558A">
        <w:t xml:space="preserve">Upon careful review of </w:t>
      </w:r>
      <w:r w:rsidR="00DC2C40" w:rsidRPr="00E0558A">
        <w:t xml:space="preserve">the record in </w:t>
      </w:r>
      <w:r w:rsidR="009F22E3" w:rsidRPr="00E0558A">
        <w:t xml:space="preserve">both </w:t>
      </w:r>
      <w:r w:rsidR="003C56E2" w:rsidRPr="00E0558A">
        <w:t>2012 and 2015 Complaints</w:t>
      </w:r>
      <w:r w:rsidR="006C33FB" w:rsidRPr="00E0558A">
        <w:t>, the appellate history of these cases, and the present Motion, Response</w:t>
      </w:r>
      <w:r w:rsidR="00810243" w:rsidRPr="00E0558A">
        <w:t xml:space="preserve"> and Briefs, I </w:t>
      </w:r>
      <w:r w:rsidR="00174DC6" w:rsidRPr="00E0558A">
        <w:t>find that</w:t>
      </w:r>
      <w:r w:rsidR="00A47463" w:rsidRPr="00E0558A">
        <w:t xml:space="preserve"> </w:t>
      </w:r>
      <w:r w:rsidR="004B3738" w:rsidRPr="00E0558A">
        <w:t>only the 2015 Complaints of</w:t>
      </w:r>
      <w:r w:rsidR="003076E8" w:rsidRPr="00E0558A">
        <w:t xml:space="preserve"> </w:t>
      </w:r>
      <w:bookmarkStart w:id="10" w:name="_Hlk121835560"/>
      <w:r w:rsidR="003076E8" w:rsidRPr="00E0558A">
        <w:t>Simon Garden and Colonial Garden</w:t>
      </w:r>
      <w:bookmarkEnd w:id="10"/>
      <w:r w:rsidR="003076E8" w:rsidRPr="00E0558A">
        <w:t>, along w</w:t>
      </w:r>
      <w:r w:rsidR="003B00C9" w:rsidRPr="00E0558A">
        <w:t>i</w:t>
      </w:r>
      <w:r w:rsidR="003076E8" w:rsidRPr="00E0558A">
        <w:t>th</w:t>
      </w:r>
      <w:r w:rsidR="004B3738" w:rsidRPr="00E0558A">
        <w:t xml:space="preserve"> Elrea Garden, Fairmount Manor, and Marshall Square</w:t>
      </w:r>
      <w:r w:rsidR="003076E8" w:rsidRPr="00E0558A">
        <w:t>,</w:t>
      </w:r>
      <w:r w:rsidR="004B3738" w:rsidRPr="00E0558A">
        <w:t xml:space="preserve"> as well as Marchwood, Oak Lane, and Fern Rock</w:t>
      </w:r>
      <w:r w:rsidR="003076E8" w:rsidRPr="00E0558A">
        <w:t xml:space="preserve"> were stayed.  </w:t>
      </w:r>
      <w:r w:rsidR="003076E8" w:rsidRPr="00E0558A">
        <w:rPr>
          <w:i/>
          <w:iCs/>
        </w:rPr>
        <w:t>See</w:t>
      </w:r>
      <w:r w:rsidR="003076E8" w:rsidRPr="00E0558A">
        <w:t xml:space="preserve"> Order</w:t>
      </w:r>
      <w:r w:rsidR="00B1125B" w:rsidRPr="00E0558A">
        <w:t>s</w:t>
      </w:r>
      <w:r w:rsidR="003076E8" w:rsidRPr="00E0558A">
        <w:t xml:space="preserve"> </w:t>
      </w:r>
      <w:r w:rsidR="003B1EC8" w:rsidRPr="00E0558A">
        <w:t xml:space="preserve">on Joint Motion Requestion a </w:t>
      </w:r>
      <w:r w:rsidR="006C1EC1" w:rsidRPr="00E0558A">
        <w:t xml:space="preserve">Further Stay of Proceedings </w:t>
      </w:r>
      <w:r w:rsidR="003076E8" w:rsidRPr="00E0558A">
        <w:t>dated</w:t>
      </w:r>
      <w:r w:rsidR="00B1125B" w:rsidRPr="00E0558A">
        <w:t xml:space="preserve"> July 5, 2016</w:t>
      </w:r>
      <w:r w:rsidR="006C1EC1" w:rsidRPr="00E0558A">
        <w:t>, at Docket Nos.</w:t>
      </w:r>
      <w:r w:rsidR="001478DE" w:rsidRPr="00E0558A">
        <w:t xml:space="preserve"> </w:t>
      </w:r>
      <w:r w:rsidR="001478DE" w:rsidRPr="00E0558A">
        <w:rPr>
          <w:rStyle w:val="cf01"/>
          <w:rFonts w:ascii="Times New Roman" w:hAnsi="Times New Roman" w:cs="Times New Roman"/>
          <w:sz w:val="24"/>
          <w:szCs w:val="24"/>
        </w:rPr>
        <w:t>C-2015-</w:t>
      </w:r>
      <w:r w:rsidR="00A33C6E" w:rsidRPr="00E0558A">
        <w:rPr>
          <w:rStyle w:val="cf01"/>
          <w:rFonts w:ascii="Times New Roman" w:hAnsi="Times New Roman" w:cs="Times New Roman"/>
          <w:sz w:val="24"/>
          <w:szCs w:val="24"/>
        </w:rPr>
        <w:t>2486618; C-2015-2486648; C-2015-2486655; C-2015-2486664; C-2015-2486670;</w:t>
      </w:r>
      <w:r w:rsidR="00A33C6E" w:rsidRPr="00E0558A">
        <w:rPr>
          <w:rStyle w:val="FootnoteTextChar"/>
          <w:sz w:val="24"/>
          <w:szCs w:val="24"/>
        </w:rPr>
        <w:t xml:space="preserve"> </w:t>
      </w:r>
      <w:r w:rsidR="00A33C6E" w:rsidRPr="00E0558A">
        <w:rPr>
          <w:rStyle w:val="cf01"/>
          <w:rFonts w:ascii="Times New Roman" w:hAnsi="Times New Roman" w:cs="Times New Roman"/>
          <w:sz w:val="24"/>
          <w:szCs w:val="24"/>
        </w:rPr>
        <w:t>C-2015-2486674; C-2015-2486677.</w:t>
      </w:r>
      <w:r w:rsidR="003B00C9" w:rsidRPr="00E0558A">
        <w:t xml:space="preserve">  The 2012 Complaints of these same entities/parties all received </w:t>
      </w:r>
      <w:r w:rsidR="00AA3353" w:rsidRPr="00E0558A">
        <w:t>f</w:t>
      </w:r>
      <w:r w:rsidR="00E46F3B" w:rsidRPr="00E0558A">
        <w:t xml:space="preserve">inal </w:t>
      </w:r>
      <w:r w:rsidR="00AA3353" w:rsidRPr="00E0558A">
        <w:t>o</w:t>
      </w:r>
      <w:r w:rsidR="00E46F3B" w:rsidRPr="00E0558A">
        <w:t>rders by the Commission.</w:t>
      </w:r>
      <w:r w:rsidR="001A3DC0" w:rsidRPr="00E0558A">
        <w:t xml:space="preserve">  </w:t>
      </w:r>
    </w:p>
    <w:p w14:paraId="3A65F282" w14:textId="77777777" w:rsidR="002224E1" w:rsidRPr="00E0558A" w:rsidRDefault="002224E1" w:rsidP="002224E1">
      <w:pPr>
        <w:pStyle w:val="pf0"/>
        <w:spacing w:before="0" w:beforeAutospacing="0" w:after="0" w:afterAutospacing="0" w:line="360" w:lineRule="auto"/>
        <w:ind w:firstLine="1440"/>
      </w:pPr>
    </w:p>
    <w:p w14:paraId="29DE297E" w14:textId="6AF2D78A" w:rsidR="004D43B2" w:rsidRPr="00E0558A" w:rsidRDefault="00805571" w:rsidP="002224E1">
      <w:pPr>
        <w:pStyle w:val="FootnoteText"/>
        <w:spacing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 xml:space="preserve">On </w:t>
      </w:r>
      <w:r w:rsidR="00E25955" w:rsidRPr="00E0558A">
        <w:rPr>
          <w:rFonts w:ascii="Times New Roman" w:hAnsi="Times New Roman" w:cs="Times New Roman"/>
          <w:sz w:val="24"/>
          <w:szCs w:val="24"/>
          <w:shd w:val="clear" w:color="auto" w:fill="FFFFFF"/>
        </w:rPr>
        <w:t xml:space="preserve">December 8, 2016, the Commission issued a Final Opinion and Order on </w:t>
      </w:r>
      <w:r w:rsidRPr="00E0558A">
        <w:rPr>
          <w:rFonts w:ascii="Times New Roman" w:hAnsi="Times New Roman" w:cs="Times New Roman"/>
          <w:sz w:val="24"/>
          <w:szCs w:val="24"/>
        </w:rPr>
        <w:t xml:space="preserve">the 2012 Complaints of </w:t>
      </w:r>
      <w:r w:rsidR="00767AF9" w:rsidRPr="00E0558A">
        <w:rPr>
          <w:rFonts w:ascii="Times New Roman" w:hAnsi="Times New Roman" w:cs="Times New Roman"/>
          <w:sz w:val="24"/>
          <w:szCs w:val="24"/>
        </w:rPr>
        <w:t>Simon Garde</w:t>
      </w:r>
      <w:r w:rsidR="002F0FFA">
        <w:rPr>
          <w:rFonts w:ascii="Times New Roman" w:hAnsi="Times New Roman" w:cs="Times New Roman"/>
          <w:sz w:val="24"/>
          <w:szCs w:val="24"/>
        </w:rPr>
        <w:t xml:space="preserve">n </w:t>
      </w:r>
      <w:r w:rsidR="00767AF9" w:rsidRPr="00E0558A">
        <w:rPr>
          <w:rFonts w:ascii="Times New Roman" w:hAnsi="Times New Roman" w:cs="Times New Roman"/>
          <w:sz w:val="24"/>
          <w:szCs w:val="24"/>
        </w:rPr>
        <w:t>and Colonial Garden</w:t>
      </w:r>
      <w:r w:rsidR="006A6225" w:rsidRPr="00E0558A">
        <w:rPr>
          <w:rFonts w:ascii="Times New Roman" w:hAnsi="Times New Roman" w:cs="Times New Roman"/>
          <w:sz w:val="24"/>
          <w:szCs w:val="24"/>
        </w:rPr>
        <w:t xml:space="preserve"> at Docket</w:t>
      </w:r>
      <w:r w:rsidR="00767AF9" w:rsidRPr="00E0558A">
        <w:rPr>
          <w:rFonts w:ascii="Times New Roman" w:hAnsi="Times New Roman" w:cs="Times New Roman"/>
          <w:sz w:val="24"/>
          <w:szCs w:val="24"/>
        </w:rPr>
        <w:t xml:space="preserve"> </w:t>
      </w:r>
      <w:r w:rsidRPr="00E0558A">
        <w:rPr>
          <w:rFonts w:ascii="Times New Roman" w:hAnsi="Times New Roman" w:cs="Times New Roman"/>
          <w:sz w:val="24"/>
          <w:szCs w:val="24"/>
        </w:rPr>
        <w:t>Nos. C-2012-2304183 and C-2012-2304324</w:t>
      </w:r>
      <w:r w:rsidR="00126475" w:rsidRPr="00E0558A">
        <w:rPr>
          <w:rFonts w:ascii="Times New Roman" w:hAnsi="Times New Roman" w:cs="Times New Roman"/>
          <w:sz w:val="24"/>
          <w:szCs w:val="24"/>
        </w:rPr>
        <w:t>, addressing two issues</w:t>
      </w:r>
      <w:r w:rsidR="00D36C2E" w:rsidRPr="00E0558A">
        <w:rPr>
          <w:rFonts w:ascii="Times New Roman" w:hAnsi="Times New Roman" w:cs="Times New Roman"/>
          <w:sz w:val="24"/>
          <w:szCs w:val="24"/>
        </w:rPr>
        <w:t xml:space="preserve">: 1) PGW’s methodology for applying partial payments; and 2) PGW’s </w:t>
      </w:r>
      <w:r w:rsidR="000F1442" w:rsidRPr="00E0558A">
        <w:rPr>
          <w:rFonts w:ascii="Times New Roman" w:hAnsi="Times New Roman" w:cs="Times New Roman"/>
          <w:sz w:val="24"/>
          <w:szCs w:val="24"/>
        </w:rPr>
        <w:t xml:space="preserve">assessment of </w:t>
      </w:r>
      <w:r w:rsidR="007533FE" w:rsidRPr="00E0558A">
        <w:rPr>
          <w:rFonts w:ascii="Times New Roman" w:hAnsi="Times New Roman" w:cs="Times New Roman"/>
          <w:sz w:val="24"/>
          <w:szCs w:val="24"/>
        </w:rPr>
        <w:t>a</w:t>
      </w:r>
      <w:r w:rsidR="000F1442" w:rsidRPr="00E0558A">
        <w:rPr>
          <w:rFonts w:ascii="Times New Roman" w:hAnsi="Times New Roman" w:cs="Times New Roman"/>
          <w:sz w:val="24"/>
          <w:szCs w:val="24"/>
        </w:rPr>
        <w:t xml:space="preserve"> tariff-based 18 % interest rate as a late payment charge on outstanding balances that </w:t>
      </w:r>
      <w:r w:rsidR="000C0723" w:rsidRPr="00E0558A">
        <w:rPr>
          <w:rFonts w:ascii="Times New Roman" w:hAnsi="Times New Roman" w:cs="Times New Roman"/>
          <w:sz w:val="24"/>
          <w:szCs w:val="24"/>
        </w:rPr>
        <w:t xml:space="preserve">had already been docketed as municipal liens.  </w:t>
      </w:r>
      <w:r w:rsidR="000C0723" w:rsidRPr="00E0558A">
        <w:rPr>
          <w:rFonts w:ascii="Times New Roman" w:hAnsi="Times New Roman" w:cs="Times New Roman"/>
          <w:sz w:val="24"/>
          <w:szCs w:val="24"/>
          <w:shd w:val="clear" w:color="auto" w:fill="FFFFFF"/>
        </w:rPr>
        <w:t>The Commission also issued</w:t>
      </w:r>
      <w:r w:rsidR="009F003B" w:rsidRPr="00E0558A">
        <w:rPr>
          <w:rFonts w:ascii="Times New Roman" w:hAnsi="Times New Roman" w:cs="Times New Roman"/>
          <w:sz w:val="24"/>
          <w:szCs w:val="24"/>
          <w:shd w:val="clear" w:color="auto" w:fill="FFFFFF"/>
        </w:rPr>
        <w:t xml:space="preserve"> an</w:t>
      </w:r>
      <w:r w:rsidR="006A6225" w:rsidRPr="00E0558A">
        <w:rPr>
          <w:rFonts w:ascii="Times New Roman" w:hAnsi="Times New Roman" w:cs="Times New Roman"/>
          <w:sz w:val="24"/>
          <w:szCs w:val="24"/>
          <w:shd w:val="clear" w:color="auto" w:fill="FFFFFF"/>
        </w:rPr>
        <w:t xml:space="preserve"> </w:t>
      </w:r>
      <w:r w:rsidR="009F003B" w:rsidRPr="00E0558A">
        <w:rPr>
          <w:rFonts w:ascii="Times New Roman" w:hAnsi="Times New Roman" w:cs="Times New Roman"/>
          <w:sz w:val="24"/>
          <w:szCs w:val="24"/>
          <w:shd w:val="clear" w:color="auto" w:fill="FFFFFF"/>
        </w:rPr>
        <w:t xml:space="preserve">Opinion and Order on </w:t>
      </w:r>
      <w:r w:rsidR="00B70E55" w:rsidRPr="00E0558A">
        <w:rPr>
          <w:rFonts w:ascii="Times New Roman" w:hAnsi="Times New Roman" w:cs="Times New Roman"/>
          <w:sz w:val="24"/>
          <w:szCs w:val="24"/>
          <w:shd w:val="clear" w:color="auto" w:fill="FFFFFF"/>
        </w:rPr>
        <w:t>May 18, 2018 (</w:t>
      </w:r>
      <w:r w:rsidR="006A6225" w:rsidRPr="00E0558A">
        <w:rPr>
          <w:rFonts w:ascii="Times New Roman" w:hAnsi="Times New Roman" w:cs="Times New Roman"/>
          <w:sz w:val="24"/>
          <w:szCs w:val="24"/>
          <w:shd w:val="clear" w:color="auto" w:fill="FFFFFF"/>
        </w:rPr>
        <w:t xml:space="preserve">denying </w:t>
      </w:r>
      <w:r w:rsidR="00B70E55" w:rsidRPr="00E0558A">
        <w:rPr>
          <w:rFonts w:ascii="Times New Roman" w:hAnsi="Times New Roman" w:cs="Times New Roman"/>
          <w:sz w:val="24"/>
          <w:szCs w:val="24"/>
          <w:shd w:val="clear" w:color="auto" w:fill="FFFFFF"/>
        </w:rPr>
        <w:t>PGW Petition for R</w:t>
      </w:r>
      <w:r w:rsidR="006A6225" w:rsidRPr="00E0558A">
        <w:rPr>
          <w:rFonts w:ascii="Times New Roman" w:hAnsi="Times New Roman" w:cs="Times New Roman"/>
          <w:sz w:val="24"/>
          <w:szCs w:val="24"/>
          <w:shd w:val="clear" w:color="auto" w:fill="FFFFFF"/>
        </w:rPr>
        <w:t xml:space="preserve">econsideration of the December 8, </w:t>
      </w:r>
      <w:r w:rsidR="00DC5A43" w:rsidRPr="00E0558A">
        <w:rPr>
          <w:rFonts w:ascii="Times New Roman" w:hAnsi="Times New Roman" w:cs="Times New Roman"/>
          <w:sz w:val="24"/>
          <w:szCs w:val="24"/>
          <w:shd w:val="clear" w:color="auto" w:fill="FFFFFF"/>
        </w:rPr>
        <w:t>2016,</w:t>
      </w:r>
      <w:r w:rsidR="006A6225" w:rsidRPr="00E0558A">
        <w:rPr>
          <w:rFonts w:ascii="Times New Roman" w:hAnsi="Times New Roman" w:cs="Times New Roman"/>
          <w:sz w:val="24"/>
          <w:szCs w:val="24"/>
          <w:shd w:val="clear" w:color="auto" w:fill="FFFFFF"/>
        </w:rPr>
        <w:t xml:space="preserve"> </w:t>
      </w:r>
      <w:r w:rsidR="00B70E55" w:rsidRPr="00E0558A">
        <w:rPr>
          <w:rFonts w:ascii="Times New Roman" w:hAnsi="Times New Roman" w:cs="Times New Roman"/>
          <w:sz w:val="24"/>
          <w:szCs w:val="24"/>
          <w:shd w:val="clear" w:color="auto" w:fill="FFFFFF"/>
        </w:rPr>
        <w:t>Order)</w:t>
      </w:r>
      <w:r w:rsidR="00767AF9" w:rsidRPr="00E0558A">
        <w:rPr>
          <w:rFonts w:ascii="Times New Roman" w:hAnsi="Times New Roman" w:cs="Times New Roman"/>
          <w:sz w:val="24"/>
          <w:szCs w:val="24"/>
          <w:shd w:val="clear" w:color="auto" w:fill="FFFFFF"/>
        </w:rPr>
        <w:t xml:space="preserve"> and</w:t>
      </w:r>
      <w:r w:rsidR="000C0723" w:rsidRPr="00E0558A">
        <w:rPr>
          <w:rFonts w:ascii="Times New Roman" w:hAnsi="Times New Roman" w:cs="Times New Roman"/>
          <w:sz w:val="24"/>
          <w:szCs w:val="24"/>
          <w:shd w:val="clear" w:color="auto" w:fill="FFFFFF"/>
        </w:rPr>
        <w:t xml:space="preserve"> an</w:t>
      </w:r>
      <w:r w:rsidR="00767AF9" w:rsidRPr="00E0558A">
        <w:rPr>
          <w:rFonts w:ascii="Times New Roman" w:hAnsi="Times New Roman" w:cs="Times New Roman"/>
          <w:sz w:val="24"/>
          <w:szCs w:val="24"/>
          <w:shd w:val="clear" w:color="auto" w:fill="FFFFFF"/>
        </w:rPr>
        <w:t xml:space="preserve"> </w:t>
      </w:r>
      <w:r w:rsidR="00CE5ADA" w:rsidRPr="00E0558A">
        <w:rPr>
          <w:rFonts w:ascii="Times New Roman" w:hAnsi="Times New Roman" w:cs="Times New Roman"/>
          <w:sz w:val="24"/>
          <w:szCs w:val="24"/>
          <w:shd w:val="clear" w:color="auto" w:fill="FFFFFF"/>
        </w:rPr>
        <w:t>Opinion and O</w:t>
      </w:r>
      <w:r w:rsidR="00B70E55" w:rsidRPr="00E0558A">
        <w:rPr>
          <w:rFonts w:ascii="Times New Roman" w:hAnsi="Times New Roman" w:cs="Times New Roman"/>
          <w:sz w:val="24"/>
          <w:szCs w:val="24"/>
          <w:shd w:val="clear" w:color="auto" w:fill="FFFFFF"/>
        </w:rPr>
        <w:t xml:space="preserve">rder </w:t>
      </w:r>
      <w:r w:rsidR="00CE5ADA" w:rsidRPr="00E0558A">
        <w:rPr>
          <w:rFonts w:ascii="Times New Roman" w:hAnsi="Times New Roman" w:cs="Times New Roman"/>
          <w:sz w:val="24"/>
          <w:szCs w:val="24"/>
          <w:shd w:val="clear" w:color="auto" w:fill="FFFFFF"/>
        </w:rPr>
        <w:t xml:space="preserve">on </w:t>
      </w:r>
      <w:r w:rsidR="00767AF9" w:rsidRPr="00E0558A">
        <w:rPr>
          <w:rFonts w:ascii="Times New Roman" w:hAnsi="Times New Roman" w:cs="Times New Roman"/>
          <w:sz w:val="24"/>
          <w:szCs w:val="24"/>
          <w:shd w:val="clear" w:color="auto" w:fill="FFFFFF"/>
        </w:rPr>
        <w:t xml:space="preserve">August 23, 2018 </w:t>
      </w:r>
      <w:r w:rsidR="00CE5ADA" w:rsidRPr="00E0558A">
        <w:rPr>
          <w:rFonts w:ascii="Times New Roman" w:hAnsi="Times New Roman" w:cs="Times New Roman"/>
          <w:sz w:val="24"/>
          <w:szCs w:val="24"/>
          <w:shd w:val="clear" w:color="auto" w:fill="FFFFFF"/>
        </w:rPr>
        <w:t>(</w:t>
      </w:r>
      <w:r w:rsidR="00767AF9" w:rsidRPr="00E0558A">
        <w:rPr>
          <w:rFonts w:ascii="Times New Roman" w:hAnsi="Times New Roman" w:cs="Times New Roman"/>
          <w:sz w:val="24"/>
          <w:szCs w:val="24"/>
          <w:shd w:val="clear" w:color="auto" w:fill="FFFFFF"/>
        </w:rPr>
        <w:t xml:space="preserve">granting in part and denying in part </w:t>
      </w:r>
      <w:r w:rsidR="00CE5ADA" w:rsidRPr="00E0558A">
        <w:rPr>
          <w:rFonts w:ascii="Times New Roman" w:hAnsi="Times New Roman" w:cs="Times New Roman"/>
          <w:sz w:val="24"/>
          <w:szCs w:val="24"/>
          <w:shd w:val="clear" w:color="auto" w:fill="FFFFFF"/>
        </w:rPr>
        <w:t>PGW’s Petition for R</w:t>
      </w:r>
      <w:r w:rsidR="00767AF9" w:rsidRPr="00E0558A">
        <w:rPr>
          <w:rFonts w:ascii="Times New Roman" w:hAnsi="Times New Roman" w:cs="Times New Roman"/>
          <w:sz w:val="24"/>
          <w:szCs w:val="24"/>
          <w:shd w:val="clear" w:color="auto" w:fill="FFFFFF"/>
        </w:rPr>
        <w:t xml:space="preserve">econsideration of the May 18, </w:t>
      </w:r>
      <w:r w:rsidR="00B1662F" w:rsidRPr="00E0558A">
        <w:rPr>
          <w:rFonts w:ascii="Times New Roman" w:hAnsi="Times New Roman" w:cs="Times New Roman"/>
          <w:sz w:val="24"/>
          <w:szCs w:val="24"/>
          <w:shd w:val="clear" w:color="auto" w:fill="FFFFFF"/>
        </w:rPr>
        <w:t>2018,</w:t>
      </w:r>
      <w:r w:rsidR="00767AF9" w:rsidRPr="00E0558A">
        <w:rPr>
          <w:rFonts w:ascii="Times New Roman" w:hAnsi="Times New Roman" w:cs="Times New Roman"/>
          <w:sz w:val="24"/>
          <w:szCs w:val="24"/>
          <w:shd w:val="clear" w:color="auto" w:fill="FFFFFF"/>
        </w:rPr>
        <w:t xml:space="preserve"> </w:t>
      </w:r>
      <w:r w:rsidR="00CE5ADA" w:rsidRPr="00E0558A">
        <w:rPr>
          <w:rFonts w:ascii="Times New Roman" w:hAnsi="Times New Roman" w:cs="Times New Roman"/>
          <w:sz w:val="24"/>
          <w:szCs w:val="24"/>
          <w:shd w:val="clear" w:color="auto" w:fill="FFFFFF"/>
        </w:rPr>
        <w:t>O</w:t>
      </w:r>
      <w:r w:rsidR="00767AF9" w:rsidRPr="00E0558A">
        <w:rPr>
          <w:rFonts w:ascii="Times New Roman" w:hAnsi="Times New Roman" w:cs="Times New Roman"/>
          <w:sz w:val="24"/>
          <w:szCs w:val="24"/>
          <w:shd w:val="clear" w:color="auto" w:fill="FFFFFF"/>
        </w:rPr>
        <w:t>rder</w:t>
      </w:r>
      <w:r w:rsidR="00CE5ADA" w:rsidRPr="00E0558A">
        <w:rPr>
          <w:rFonts w:ascii="Times New Roman" w:hAnsi="Times New Roman" w:cs="Times New Roman"/>
          <w:sz w:val="24"/>
          <w:szCs w:val="24"/>
          <w:shd w:val="clear" w:color="auto" w:fill="FFFFFF"/>
        </w:rPr>
        <w:t>)</w:t>
      </w:r>
      <w:r w:rsidR="006674B1" w:rsidRPr="00E0558A">
        <w:rPr>
          <w:rFonts w:ascii="Times New Roman" w:hAnsi="Times New Roman" w:cs="Times New Roman"/>
          <w:sz w:val="24"/>
          <w:szCs w:val="24"/>
          <w:shd w:val="clear" w:color="auto" w:fill="FFFFFF"/>
        </w:rPr>
        <w:t xml:space="preserve">.  </w:t>
      </w:r>
      <w:r w:rsidR="00EE647C" w:rsidRPr="00E0558A">
        <w:rPr>
          <w:rFonts w:ascii="Times New Roman" w:hAnsi="Times New Roman" w:cs="Times New Roman"/>
          <w:sz w:val="24"/>
          <w:szCs w:val="24"/>
          <w:shd w:val="clear" w:color="auto" w:fill="FFFFFF"/>
        </w:rPr>
        <w:t>It was</w:t>
      </w:r>
      <w:r w:rsidR="001D11B4" w:rsidRPr="00E0558A">
        <w:rPr>
          <w:rFonts w:ascii="Times New Roman" w:hAnsi="Times New Roman" w:cs="Times New Roman"/>
          <w:sz w:val="24"/>
          <w:szCs w:val="24"/>
          <w:shd w:val="clear" w:color="auto" w:fill="FFFFFF"/>
        </w:rPr>
        <w:t xml:space="preserve"> </w:t>
      </w:r>
      <w:r w:rsidR="00F0466B" w:rsidRPr="00E0558A">
        <w:rPr>
          <w:rFonts w:ascii="Times New Roman" w:hAnsi="Times New Roman" w:cs="Times New Roman"/>
          <w:sz w:val="24"/>
          <w:szCs w:val="24"/>
          <w:shd w:val="clear" w:color="auto" w:fill="FFFFFF"/>
        </w:rPr>
        <w:t xml:space="preserve">only </w:t>
      </w:r>
      <w:r w:rsidR="001D11B4" w:rsidRPr="00E0558A">
        <w:rPr>
          <w:rFonts w:ascii="Times New Roman" w:hAnsi="Times New Roman" w:cs="Times New Roman"/>
          <w:sz w:val="24"/>
          <w:szCs w:val="24"/>
          <w:shd w:val="clear" w:color="auto" w:fill="FFFFFF"/>
        </w:rPr>
        <w:t>the Commission’s ruling on the 18% interest rate</w:t>
      </w:r>
      <w:r w:rsidR="00F0466B" w:rsidRPr="00E0558A">
        <w:rPr>
          <w:rFonts w:ascii="Times New Roman" w:hAnsi="Times New Roman" w:cs="Times New Roman"/>
          <w:sz w:val="24"/>
          <w:szCs w:val="24"/>
          <w:shd w:val="clear" w:color="auto" w:fill="FFFFFF"/>
        </w:rPr>
        <w:t xml:space="preserve"> in</w:t>
      </w:r>
      <w:r w:rsidR="00EE647C" w:rsidRPr="00E0558A">
        <w:rPr>
          <w:rFonts w:ascii="Times New Roman" w:hAnsi="Times New Roman" w:cs="Times New Roman"/>
          <w:sz w:val="24"/>
          <w:szCs w:val="24"/>
          <w:shd w:val="clear" w:color="auto" w:fill="FFFFFF"/>
        </w:rPr>
        <w:t xml:space="preserve"> these</w:t>
      </w:r>
      <w:r w:rsidR="00F0466B" w:rsidRPr="00E0558A">
        <w:rPr>
          <w:rFonts w:ascii="Times New Roman" w:hAnsi="Times New Roman" w:cs="Times New Roman"/>
          <w:sz w:val="24"/>
          <w:szCs w:val="24"/>
          <w:shd w:val="clear" w:color="auto" w:fill="FFFFFF"/>
        </w:rPr>
        <w:t xml:space="preserve"> </w:t>
      </w:r>
      <w:r w:rsidR="00EE647C" w:rsidRPr="00E0558A">
        <w:rPr>
          <w:rFonts w:ascii="Times New Roman" w:hAnsi="Times New Roman" w:cs="Times New Roman"/>
          <w:sz w:val="24"/>
          <w:szCs w:val="24"/>
          <w:shd w:val="clear" w:color="auto" w:fill="FFFFFF"/>
        </w:rPr>
        <w:t xml:space="preserve">Orders that </w:t>
      </w:r>
      <w:r w:rsidR="00477F55" w:rsidRPr="00E0558A">
        <w:rPr>
          <w:rFonts w:ascii="Times New Roman" w:hAnsi="Times New Roman" w:cs="Times New Roman"/>
          <w:sz w:val="24"/>
          <w:szCs w:val="24"/>
          <w:shd w:val="clear" w:color="auto" w:fill="FFFFFF"/>
        </w:rPr>
        <w:t xml:space="preserve">was </w:t>
      </w:r>
      <w:r w:rsidR="00A564EC" w:rsidRPr="00E0558A">
        <w:rPr>
          <w:rFonts w:ascii="Times New Roman" w:hAnsi="Times New Roman" w:cs="Times New Roman"/>
          <w:sz w:val="24"/>
          <w:szCs w:val="24"/>
          <w:shd w:val="clear" w:color="auto" w:fill="FFFFFF"/>
        </w:rPr>
        <w:t xml:space="preserve">appealed </w:t>
      </w:r>
      <w:r w:rsidR="00477F55" w:rsidRPr="00E0558A">
        <w:rPr>
          <w:rFonts w:ascii="Times New Roman" w:hAnsi="Times New Roman" w:cs="Times New Roman"/>
          <w:sz w:val="24"/>
          <w:szCs w:val="24"/>
          <w:shd w:val="clear" w:color="auto" w:fill="FFFFFF"/>
        </w:rPr>
        <w:t xml:space="preserve">by PGW </w:t>
      </w:r>
      <w:r w:rsidR="00A564EC" w:rsidRPr="00E0558A">
        <w:rPr>
          <w:rFonts w:ascii="Times New Roman" w:hAnsi="Times New Roman" w:cs="Times New Roman"/>
          <w:sz w:val="24"/>
          <w:szCs w:val="24"/>
          <w:shd w:val="clear" w:color="auto" w:fill="FFFFFF"/>
        </w:rPr>
        <w:t xml:space="preserve">to the Commonwealth Court </w:t>
      </w:r>
      <w:r w:rsidR="00B06340" w:rsidRPr="00E0558A">
        <w:rPr>
          <w:rFonts w:ascii="Times New Roman" w:hAnsi="Times New Roman" w:cs="Times New Roman"/>
          <w:sz w:val="24"/>
          <w:szCs w:val="24"/>
          <w:shd w:val="clear" w:color="auto" w:fill="FFFFFF"/>
        </w:rPr>
        <w:t xml:space="preserve">in </w:t>
      </w:r>
      <w:r w:rsidR="00DC1B20" w:rsidRPr="00E0558A">
        <w:rPr>
          <w:rFonts w:ascii="Times New Roman" w:hAnsi="Times New Roman" w:cs="Times New Roman"/>
          <w:i/>
          <w:iCs/>
          <w:sz w:val="24"/>
          <w:szCs w:val="24"/>
        </w:rPr>
        <w:t xml:space="preserve">PGW v. PUC </w:t>
      </w:r>
      <w:r w:rsidR="00B06340" w:rsidRPr="00E0558A">
        <w:rPr>
          <w:rFonts w:ascii="Times New Roman" w:hAnsi="Times New Roman" w:cs="Times New Roman"/>
          <w:sz w:val="24"/>
          <w:szCs w:val="24"/>
        </w:rPr>
        <w:t>(</w:t>
      </w:r>
      <w:proofErr w:type="spellStart"/>
      <w:r w:rsidR="00B06340" w:rsidRPr="00E0558A">
        <w:rPr>
          <w:rFonts w:ascii="Times New Roman" w:hAnsi="Times New Roman" w:cs="Times New Roman"/>
          <w:sz w:val="24"/>
          <w:szCs w:val="24"/>
        </w:rPr>
        <w:t>Pa.Cmwlth</w:t>
      </w:r>
      <w:proofErr w:type="spellEnd"/>
      <w:r w:rsidR="00B06340" w:rsidRPr="00E0558A">
        <w:rPr>
          <w:rFonts w:ascii="Times New Roman" w:hAnsi="Times New Roman" w:cs="Times New Roman"/>
          <w:sz w:val="24"/>
          <w:szCs w:val="24"/>
        </w:rPr>
        <w:t>., No. 1291 C.D. 2018</w:t>
      </w:r>
      <w:r w:rsidR="00DC1B20" w:rsidRPr="00E0558A">
        <w:rPr>
          <w:rFonts w:ascii="Times New Roman" w:hAnsi="Times New Roman" w:cs="Times New Roman"/>
          <w:sz w:val="24"/>
          <w:szCs w:val="24"/>
        </w:rPr>
        <w:t>)</w:t>
      </w:r>
      <w:r w:rsidR="00AE078D" w:rsidRPr="00E0558A">
        <w:rPr>
          <w:rFonts w:ascii="Times New Roman" w:hAnsi="Times New Roman" w:cs="Times New Roman"/>
          <w:sz w:val="24"/>
          <w:szCs w:val="24"/>
        </w:rPr>
        <w:t>, with the Court reversing the Commission’s O</w:t>
      </w:r>
      <w:r w:rsidR="007328BB" w:rsidRPr="00E0558A">
        <w:rPr>
          <w:rFonts w:ascii="Times New Roman" w:hAnsi="Times New Roman" w:cs="Times New Roman"/>
          <w:sz w:val="24"/>
          <w:szCs w:val="24"/>
        </w:rPr>
        <w:t>rders in its ruling of</w:t>
      </w:r>
      <w:r w:rsidR="00B06340" w:rsidRPr="00E0558A">
        <w:rPr>
          <w:rFonts w:ascii="Times New Roman" w:hAnsi="Times New Roman" w:cs="Times New Roman"/>
          <w:sz w:val="24"/>
          <w:szCs w:val="24"/>
        </w:rPr>
        <w:t xml:space="preserve"> December 9, 2019</w:t>
      </w:r>
      <w:r w:rsidR="007328BB" w:rsidRPr="00E0558A">
        <w:rPr>
          <w:rFonts w:ascii="Times New Roman" w:hAnsi="Times New Roman" w:cs="Times New Roman"/>
          <w:sz w:val="24"/>
          <w:szCs w:val="24"/>
        </w:rPr>
        <w:t>,</w:t>
      </w:r>
      <w:r w:rsidR="00B06340" w:rsidRPr="00E0558A">
        <w:rPr>
          <w:rFonts w:ascii="Times New Roman" w:hAnsi="Times New Roman" w:cs="Times New Roman"/>
          <w:sz w:val="24"/>
          <w:szCs w:val="24"/>
        </w:rPr>
        <w:t xml:space="preserve"> </w:t>
      </w:r>
      <w:r w:rsidR="009B6EB3" w:rsidRPr="00E0558A">
        <w:rPr>
          <w:rFonts w:ascii="Times New Roman" w:hAnsi="Times New Roman" w:cs="Times New Roman"/>
          <w:sz w:val="24"/>
          <w:szCs w:val="24"/>
          <w:shd w:val="clear" w:color="auto" w:fill="FFFFFF"/>
        </w:rPr>
        <w:t>(</w:t>
      </w:r>
      <w:r w:rsidR="00A564EC" w:rsidRPr="00E0558A">
        <w:rPr>
          <w:rFonts w:ascii="Times New Roman" w:hAnsi="Times New Roman" w:cs="Times New Roman"/>
          <w:i/>
          <w:iCs/>
          <w:sz w:val="24"/>
          <w:szCs w:val="24"/>
          <w:shd w:val="clear" w:color="auto" w:fill="FFFFFF"/>
        </w:rPr>
        <w:t>PGW I</w:t>
      </w:r>
      <w:r w:rsidR="009B6EB3" w:rsidRPr="00E0558A">
        <w:rPr>
          <w:rFonts w:ascii="Times New Roman" w:hAnsi="Times New Roman" w:cs="Times New Roman"/>
          <w:i/>
          <w:iCs/>
          <w:sz w:val="24"/>
          <w:szCs w:val="24"/>
          <w:shd w:val="clear" w:color="auto" w:fill="FFFFFF"/>
        </w:rPr>
        <w:t>)</w:t>
      </w:r>
      <w:r w:rsidR="00A564EC" w:rsidRPr="00E0558A">
        <w:rPr>
          <w:rFonts w:ascii="Times New Roman" w:hAnsi="Times New Roman" w:cs="Times New Roman"/>
          <w:i/>
          <w:iCs/>
          <w:sz w:val="24"/>
          <w:szCs w:val="24"/>
          <w:shd w:val="clear" w:color="auto" w:fill="FFFFFF"/>
        </w:rPr>
        <w:t>.</w:t>
      </w:r>
      <w:r w:rsidR="00571D0F" w:rsidRPr="00E0558A">
        <w:rPr>
          <w:rFonts w:ascii="Times New Roman" w:hAnsi="Times New Roman" w:cs="Times New Roman"/>
          <w:i/>
          <w:iCs/>
          <w:sz w:val="24"/>
          <w:szCs w:val="24"/>
          <w:shd w:val="clear" w:color="auto" w:fill="FFFFFF"/>
        </w:rPr>
        <w:t xml:space="preserve"> </w:t>
      </w:r>
      <w:r w:rsidR="00571D0F" w:rsidRPr="00E0558A">
        <w:rPr>
          <w:rFonts w:ascii="Times New Roman" w:hAnsi="Times New Roman" w:cs="Times New Roman"/>
          <w:sz w:val="24"/>
          <w:szCs w:val="24"/>
          <w:shd w:val="clear" w:color="auto" w:fill="FFFFFF"/>
        </w:rPr>
        <w:t xml:space="preserve"> In turn, </w:t>
      </w:r>
      <w:r w:rsidR="00E5703B" w:rsidRPr="00E0558A">
        <w:rPr>
          <w:rFonts w:ascii="Times New Roman" w:hAnsi="Times New Roman" w:cs="Times New Roman"/>
          <w:sz w:val="24"/>
          <w:szCs w:val="24"/>
          <w:shd w:val="clear" w:color="auto" w:fill="FFFFFF"/>
        </w:rPr>
        <w:t xml:space="preserve">Simon Garden and Colonial Garden </w:t>
      </w:r>
      <w:r w:rsidR="002245CB" w:rsidRPr="00E0558A">
        <w:rPr>
          <w:rFonts w:ascii="Times New Roman" w:hAnsi="Times New Roman" w:cs="Times New Roman"/>
          <w:sz w:val="24"/>
          <w:szCs w:val="24"/>
          <w:shd w:val="clear" w:color="auto" w:fill="FFFFFF"/>
        </w:rPr>
        <w:t xml:space="preserve">successfully </w:t>
      </w:r>
      <w:r w:rsidR="00E5703B" w:rsidRPr="00E0558A">
        <w:rPr>
          <w:rFonts w:ascii="Times New Roman" w:hAnsi="Times New Roman" w:cs="Times New Roman"/>
          <w:sz w:val="24"/>
          <w:szCs w:val="24"/>
          <w:shd w:val="clear" w:color="auto" w:fill="FFFFFF"/>
        </w:rPr>
        <w:t>appealed the Commonwealth Court’s ruling in</w:t>
      </w:r>
      <w:r w:rsidR="00E5703B" w:rsidRPr="00E0558A">
        <w:rPr>
          <w:rFonts w:ascii="Times New Roman" w:hAnsi="Times New Roman" w:cs="Times New Roman"/>
          <w:i/>
          <w:iCs/>
          <w:sz w:val="24"/>
          <w:szCs w:val="24"/>
          <w:shd w:val="clear" w:color="auto" w:fill="FFFFFF"/>
        </w:rPr>
        <w:t xml:space="preserve"> PGW I </w:t>
      </w:r>
      <w:r w:rsidR="00651477" w:rsidRPr="00E0558A">
        <w:rPr>
          <w:rFonts w:ascii="Times New Roman" w:hAnsi="Times New Roman" w:cs="Times New Roman"/>
          <w:sz w:val="24"/>
          <w:szCs w:val="24"/>
          <w:shd w:val="clear" w:color="auto" w:fill="FFFFFF"/>
        </w:rPr>
        <w:t>in</w:t>
      </w:r>
      <w:r w:rsidR="00651477" w:rsidRPr="00E0558A">
        <w:rPr>
          <w:rFonts w:ascii="Times New Roman" w:hAnsi="Times New Roman" w:cs="Times New Roman"/>
          <w:i/>
          <w:iCs/>
          <w:sz w:val="24"/>
          <w:szCs w:val="24"/>
          <w:shd w:val="clear" w:color="auto" w:fill="FFFFFF"/>
        </w:rPr>
        <w:t xml:space="preserve"> </w:t>
      </w:r>
      <w:r w:rsidR="00651477" w:rsidRPr="00E0558A">
        <w:rPr>
          <w:rFonts w:ascii="Times New Roman" w:hAnsi="Times New Roman" w:cs="Times New Roman"/>
          <w:i/>
          <w:iCs/>
          <w:sz w:val="24"/>
          <w:szCs w:val="24"/>
        </w:rPr>
        <w:t>PGW v. PUC</w:t>
      </w:r>
      <w:r w:rsidR="00651477" w:rsidRPr="00E0558A">
        <w:rPr>
          <w:rFonts w:ascii="Times New Roman" w:hAnsi="Times New Roman" w:cs="Times New Roman"/>
          <w:sz w:val="24"/>
          <w:szCs w:val="24"/>
        </w:rPr>
        <w:t>, 249 A.3d 963 (Pa. 2021) (</w:t>
      </w:r>
      <w:r w:rsidR="00651477" w:rsidRPr="00E0558A">
        <w:rPr>
          <w:rFonts w:ascii="Times New Roman" w:hAnsi="Times New Roman" w:cs="Times New Roman"/>
          <w:i/>
          <w:iCs/>
          <w:sz w:val="24"/>
          <w:szCs w:val="24"/>
        </w:rPr>
        <w:t>PGW II)</w:t>
      </w:r>
      <w:r w:rsidR="006C5ED1" w:rsidRPr="00E0558A">
        <w:rPr>
          <w:rFonts w:ascii="Times New Roman" w:hAnsi="Times New Roman" w:cs="Times New Roman"/>
          <w:i/>
          <w:iCs/>
          <w:sz w:val="24"/>
          <w:szCs w:val="24"/>
        </w:rPr>
        <w:t xml:space="preserve">.  </w:t>
      </w:r>
      <w:r w:rsidR="006C5ED1" w:rsidRPr="00E0558A">
        <w:rPr>
          <w:rFonts w:ascii="Times New Roman" w:hAnsi="Times New Roman" w:cs="Times New Roman"/>
          <w:sz w:val="24"/>
          <w:szCs w:val="24"/>
        </w:rPr>
        <w:t xml:space="preserve">The Supreme Court granted PGW’s request for partial rehearing and </w:t>
      </w:r>
      <w:r w:rsidR="004D43B2" w:rsidRPr="00E0558A">
        <w:rPr>
          <w:rFonts w:ascii="Times New Roman" w:hAnsi="Times New Roman" w:cs="Times New Roman"/>
          <w:sz w:val="24"/>
          <w:szCs w:val="24"/>
        </w:rPr>
        <w:t>remand</w:t>
      </w:r>
      <w:r w:rsidR="006C5ED1" w:rsidRPr="00E0558A">
        <w:rPr>
          <w:rFonts w:ascii="Times New Roman" w:hAnsi="Times New Roman" w:cs="Times New Roman"/>
          <w:sz w:val="24"/>
          <w:szCs w:val="24"/>
        </w:rPr>
        <w:t xml:space="preserve"> in</w:t>
      </w:r>
      <w:r w:rsidR="006C5ED1" w:rsidRPr="00E0558A">
        <w:rPr>
          <w:rFonts w:ascii="Times New Roman" w:hAnsi="Times New Roman" w:cs="Times New Roman"/>
          <w:i/>
          <w:iCs/>
          <w:sz w:val="24"/>
          <w:szCs w:val="24"/>
        </w:rPr>
        <w:t xml:space="preserve"> </w:t>
      </w:r>
      <w:r w:rsidR="00EC4FC1" w:rsidRPr="00E0558A">
        <w:rPr>
          <w:rFonts w:ascii="Times New Roman" w:hAnsi="Times New Roman" w:cs="Times New Roman"/>
          <w:i/>
          <w:iCs/>
          <w:sz w:val="24"/>
          <w:szCs w:val="24"/>
        </w:rPr>
        <w:t>PGW v. PUC</w:t>
      </w:r>
      <w:r w:rsidR="00AD7559" w:rsidRPr="00E0558A">
        <w:rPr>
          <w:rFonts w:ascii="Times New Roman" w:hAnsi="Times New Roman" w:cs="Times New Roman"/>
          <w:i/>
          <w:iCs/>
          <w:sz w:val="24"/>
          <w:szCs w:val="24"/>
        </w:rPr>
        <w:t>,</w:t>
      </w:r>
      <w:r w:rsidR="004D43B2" w:rsidRPr="00E0558A">
        <w:rPr>
          <w:rFonts w:ascii="Times New Roman" w:hAnsi="Times New Roman" w:cs="Times New Roman"/>
          <w:sz w:val="24"/>
          <w:szCs w:val="24"/>
        </w:rPr>
        <w:t xml:space="preserve"> 256 A.3d 1092, 2021 Pa. LEXIS 2905, 2021 WL 2697432 (Pa., June 15, 2021), </w:t>
      </w:r>
      <w:r w:rsidR="00F00222" w:rsidRPr="00E0558A">
        <w:rPr>
          <w:rFonts w:ascii="Times New Roman" w:hAnsi="Times New Roman" w:cs="Times New Roman"/>
          <w:sz w:val="24"/>
          <w:szCs w:val="24"/>
        </w:rPr>
        <w:t xml:space="preserve">and lastly </w:t>
      </w:r>
      <w:r w:rsidR="006634E2" w:rsidRPr="00E0558A">
        <w:rPr>
          <w:rFonts w:ascii="Times New Roman" w:hAnsi="Times New Roman" w:cs="Times New Roman"/>
          <w:sz w:val="24"/>
          <w:szCs w:val="24"/>
        </w:rPr>
        <w:t xml:space="preserve">the Commonwealth Court heard </w:t>
      </w:r>
      <w:r w:rsidR="006634E2" w:rsidRPr="00E0558A">
        <w:rPr>
          <w:rFonts w:ascii="Times New Roman" w:hAnsi="Times New Roman" w:cs="Times New Roman"/>
          <w:i/>
          <w:iCs/>
          <w:sz w:val="24"/>
          <w:szCs w:val="24"/>
        </w:rPr>
        <w:t>PGW v. PUC</w:t>
      </w:r>
      <w:r w:rsidR="00A92760" w:rsidRPr="00E0558A">
        <w:rPr>
          <w:rFonts w:ascii="Times New Roman" w:hAnsi="Times New Roman" w:cs="Times New Roman"/>
          <w:i/>
          <w:iCs/>
          <w:sz w:val="24"/>
          <w:szCs w:val="24"/>
        </w:rPr>
        <w:t>,</w:t>
      </w:r>
      <w:r w:rsidR="00226903" w:rsidRPr="00E0558A">
        <w:rPr>
          <w:rFonts w:ascii="Times New Roman" w:hAnsi="Times New Roman" w:cs="Times New Roman"/>
          <w:sz w:val="24"/>
          <w:szCs w:val="24"/>
        </w:rPr>
        <w:t xml:space="preserve"> </w:t>
      </w:r>
      <w:r w:rsidR="00A92760" w:rsidRPr="00E0558A">
        <w:rPr>
          <w:rFonts w:ascii="Times New Roman" w:hAnsi="Times New Roman" w:cs="Times New Roman"/>
          <w:sz w:val="24"/>
          <w:szCs w:val="24"/>
        </w:rPr>
        <w:t>2022 Pa. Commw. Unpub. LEXIS 92, 2022 WL 793332 (Pa.Cmwlth., Mar. 16, 2022) (</w:t>
      </w:r>
      <w:r w:rsidR="00A92760" w:rsidRPr="00E0558A">
        <w:rPr>
          <w:rFonts w:ascii="Times New Roman" w:hAnsi="Times New Roman" w:cs="Times New Roman"/>
          <w:i/>
          <w:iCs/>
          <w:sz w:val="24"/>
          <w:szCs w:val="24"/>
        </w:rPr>
        <w:t>PGW III</w:t>
      </w:r>
      <w:r w:rsidR="00A92760" w:rsidRPr="00E0558A">
        <w:rPr>
          <w:rFonts w:ascii="Times New Roman" w:hAnsi="Times New Roman" w:cs="Times New Roman"/>
          <w:sz w:val="24"/>
          <w:szCs w:val="24"/>
        </w:rPr>
        <w:t xml:space="preserve">) </w:t>
      </w:r>
      <w:r w:rsidR="00226903" w:rsidRPr="00E0558A">
        <w:rPr>
          <w:rFonts w:ascii="Times New Roman" w:hAnsi="Times New Roman" w:cs="Times New Roman"/>
          <w:sz w:val="24"/>
          <w:szCs w:val="24"/>
        </w:rPr>
        <w:t>on</w:t>
      </w:r>
      <w:r w:rsidR="004D43B2" w:rsidRPr="00E0558A">
        <w:rPr>
          <w:rFonts w:ascii="Times New Roman" w:hAnsi="Times New Roman" w:cs="Times New Roman"/>
          <w:sz w:val="24"/>
          <w:szCs w:val="24"/>
        </w:rPr>
        <w:t xml:space="preserve"> </w:t>
      </w:r>
      <w:r w:rsidR="00F03E25" w:rsidRPr="00E0558A">
        <w:rPr>
          <w:rFonts w:ascii="Times New Roman" w:hAnsi="Times New Roman" w:cs="Times New Roman"/>
          <w:sz w:val="24"/>
          <w:szCs w:val="24"/>
        </w:rPr>
        <w:t>remand and</w:t>
      </w:r>
      <w:r w:rsidR="00226903" w:rsidRPr="00E0558A">
        <w:rPr>
          <w:rFonts w:ascii="Times New Roman" w:hAnsi="Times New Roman" w:cs="Times New Roman"/>
          <w:sz w:val="24"/>
          <w:szCs w:val="24"/>
        </w:rPr>
        <w:t xml:space="preserve"> issued a ruling</w:t>
      </w:r>
      <w:r w:rsidR="00A92760" w:rsidRPr="00E0558A">
        <w:rPr>
          <w:rFonts w:ascii="Times New Roman" w:hAnsi="Times New Roman" w:cs="Times New Roman"/>
          <w:sz w:val="24"/>
          <w:szCs w:val="24"/>
        </w:rPr>
        <w:t>.</w:t>
      </w:r>
    </w:p>
    <w:p w14:paraId="6D10EF08" w14:textId="4AEA91B4" w:rsidR="00767AF9" w:rsidRPr="00E0558A" w:rsidRDefault="00767AF9" w:rsidP="002224E1">
      <w:pPr>
        <w:pStyle w:val="Indent5DbSp"/>
        <w:spacing w:line="360" w:lineRule="auto"/>
        <w:ind w:firstLine="1440"/>
        <w:rPr>
          <w:rFonts w:eastAsia="Cambria"/>
        </w:rPr>
      </w:pPr>
    </w:p>
    <w:p w14:paraId="49DCEAD2" w14:textId="396143C1" w:rsidR="003C5218" w:rsidRPr="00530AC7" w:rsidRDefault="00DE3379" w:rsidP="002224E1">
      <w:pPr>
        <w:pStyle w:val="Indent5DbSp"/>
        <w:spacing w:line="360" w:lineRule="auto"/>
        <w:ind w:firstLine="1440"/>
      </w:pPr>
      <w:r w:rsidRPr="00E0558A">
        <w:t xml:space="preserve">On </w:t>
      </w:r>
      <w:r w:rsidR="00250852" w:rsidRPr="00E0558A">
        <w:rPr>
          <w:rFonts w:eastAsiaTheme="minorHAnsi"/>
        </w:rPr>
        <w:t>September 20, 2018</w:t>
      </w:r>
      <w:r w:rsidR="00A92760" w:rsidRPr="00E0558A">
        <w:rPr>
          <w:rFonts w:eastAsiaTheme="minorHAnsi"/>
        </w:rPr>
        <w:t>,</w:t>
      </w:r>
      <w:r w:rsidRPr="00E0558A">
        <w:t xml:space="preserve"> </w:t>
      </w:r>
      <w:r w:rsidR="00250852" w:rsidRPr="00E0558A">
        <w:rPr>
          <w:rFonts w:eastAsiaTheme="minorHAnsi"/>
        </w:rPr>
        <w:t xml:space="preserve">the Commission issued a Final Opinion and Order </w:t>
      </w:r>
      <w:bookmarkStart w:id="11" w:name="_Hlk122092784"/>
      <w:r w:rsidR="00250852" w:rsidRPr="00E0558A">
        <w:rPr>
          <w:rFonts w:eastAsiaTheme="minorHAnsi"/>
        </w:rPr>
        <w:t xml:space="preserve">on </w:t>
      </w:r>
      <w:r w:rsidR="00250852" w:rsidRPr="00E0558A">
        <w:t>the</w:t>
      </w:r>
      <w:r w:rsidR="00250852" w:rsidRPr="00E0558A">
        <w:rPr>
          <w:rFonts w:eastAsiaTheme="minorHAnsi"/>
        </w:rPr>
        <w:t xml:space="preserve"> </w:t>
      </w:r>
      <w:r w:rsidRPr="00E0558A">
        <w:t>201</w:t>
      </w:r>
      <w:r w:rsidR="003C5218" w:rsidRPr="00E0558A">
        <w:t>2</w:t>
      </w:r>
      <w:r w:rsidRPr="00E0558A">
        <w:t xml:space="preserve"> Complaints of Elrea Garden</w:t>
      </w:r>
      <w:r w:rsidR="00DA3432">
        <w:t xml:space="preserve"> Realty Co., L.P. (Elrea Garden)</w:t>
      </w:r>
      <w:r w:rsidRPr="00E0558A">
        <w:t>, Fairmount Manor</w:t>
      </w:r>
      <w:r w:rsidR="00DA3432">
        <w:t xml:space="preserve"> Realty Co. L.P. (</w:t>
      </w:r>
      <w:r w:rsidR="00D156A8">
        <w:t>Fairmount Manor)</w:t>
      </w:r>
      <w:r w:rsidRPr="00E0558A">
        <w:t>, and Marshall Square</w:t>
      </w:r>
      <w:r w:rsidR="00530AC7">
        <w:t xml:space="preserve"> Realty Co., L.P. (</w:t>
      </w:r>
      <w:r w:rsidR="00DA3432">
        <w:t>Marshall Square)</w:t>
      </w:r>
      <w:r w:rsidRPr="00E0558A">
        <w:t>, at Docket No</w:t>
      </w:r>
      <w:r w:rsidR="00A92760" w:rsidRPr="00E0558A">
        <w:t>s</w:t>
      </w:r>
      <w:r w:rsidRPr="00E0558A">
        <w:t xml:space="preserve">. </w:t>
      </w:r>
      <w:r w:rsidR="003C5218" w:rsidRPr="00E0558A">
        <w:rPr>
          <w:rStyle w:val="cf01"/>
          <w:rFonts w:ascii="Times New Roman" w:hAnsi="Times New Roman" w:cs="Times New Roman"/>
          <w:sz w:val="24"/>
          <w:szCs w:val="24"/>
        </w:rPr>
        <w:t>C-2012-2304167; C-2012-2304215;</w:t>
      </w:r>
      <w:r w:rsidR="008A16AD" w:rsidRPr="00E0558A">
        <w:rPr>
          <w:rStyle w:val="cf01"/>
          <w:rFonts w:ascii="Times New Roman" w:hAnsi="Times New Roman" w:cs="Times New Roman"/>
          <w:sz w:val="24"/>
          <w:szCs w:val="24"/>
        </w:rPr>
        <w:t xml:space="preserve"> </w:t>
      </w:r>
      <w:r w:rsidR="003C5218" w:rsidRPr="00E0558A">
        <w:rPr>
          <w:rStyle w:val="cf01"/>
          <w:rFonts w:ascii="Times New Roman" w:hAnsi="Times New Roman" w:cs="Times New Roman"/>
          <w:sz w:val="24"/>
          <w:szCs w:val="24"/>
        </w:rPr>
        <w:t>and C-2012-2304303</w:t>
      </w:r>
      <w:bookmarkEnd w:id="11"/>
      <w:r w:rsidR="00250852" w:rsidRPr="00E0558A">
        <w:rPr>
          <w:rStyle w:val="cf01"/>
          <w:rFonts w:ascii="Times New Roman" w:hAnsi="Times New Roman" w:cs="Times New Roman"/>
          <w:sz w:val="24"/>
          <w:szCs w:val="24"/>
        </w:rPr>
        <w:t>.</w:t>
      </w:r>
      <w:r w:rsidR="008A16AD" w:rsidRPr="00E0558A">
        <w:rPr>
          <w:shd w:val="clear" w:color="auto" w:fill="FFFFFF"/>
        </w:rPr>
        <w:t xml:space="preserve">  </w:t>
      </w:r>
      <w:r w:rsidR="006D793D" w:rsidRPr="00E0558A">
        <w:rPr>
          <w:shd w:val="clear" w:color="auto" w:fill="FFFFFF"/>
        </w:rPr>
        <w:t>In its Sept</w:t>
      </w:r>
      <w:r w:rsidR="00825ED4" w:rsidRPr="00E0558A">
        <w:rPr>
          <w:shd w:val="clear" w:color="auto" w:fill="FFFFFF"/>
        </w:rPr>
        <w:t xml:space="preserve">ember 20, </w:t>
      </w:r>
      <w:r w:rsidR="00B1662F" w:rsidRPr="00E0558A">
        <w:rPr>
          <w:shd w:val="clear" w:color="auto" w:fill="FFFFFF"/>
        </w:rPr>
        <w:t>2018,</w:t>
      </w:r>
      <w:r w:rsidR="00825ED4" w:rsidRPr="00E0558A">
        <w:rPr>
          <w:shd w:val="clear" w:color="auto" w:fill="FFFFFF"/>
        </w:rPr>
        <w:t xml:space="preserve"> Order the Commission </w:t>
      </w:r>
      <w:r w:rsidR="006D793D" w:rsidRPr="00E0558A">
        <w:t>address</w:t>
      </w:r>
      <w:r w:rsidR="00825ED4" w:rsidRPr="00E0558A">
        <w:t>ed</w:t>
      </w:r>
      <w:r w:rsidR="006D793D" w:rsidRPr="00E0558A">
        <w:t xml:space="preserve"> two issues: 1) PGW’s methodology for applying partial payments; and 2) PGW’s assessment of the tariff-based 18% interest rate as a late payment charge on outstanding balances that had already been docketed as municipal liens</w:t>
      </w:r>
      <w:r w:rsidR="00825ED4" w:rsidRPr="00E0558A">
        <w:rPr>
          <w:shd w:val="clear" w:color="auto" w:fill="FFFFFF"/>
        </w:rPr>
        <w:t>.  It was only the Commission’s ruling on the 18% interest rate in thi</w:t>
      </w:r>
      <w:r w:rsidR="003602BB" w:rsidRPr="00E0558A">
        <w:rPr>
          <w:shd w:val="clear" w:color="auto" w:fill="FFFFFF"/>
        </w:rPr>
        <w:t>s</w:t>
      </w:r>
      <w:r w:rsidR="00825ED4" w:rsidRPr="00E0558A">
        <w:rPr>
          <w:shd w:val="clear" w:color="auto" w:fill="FFFFFF"/>
        </w:rPr>
        <w:t xml:space="preserve"> Order that </w:t>
      </w:r>
      <w:r w:rsidR="002D440F" w:rsidRPr="00E0558A">
        <w:rPr>
          <w:shd w:val="clear" w:color="auto" w:fill="FFFFFF"/>
        </w:rPr>
        <w:t xml:space="preserve">was </w:t>
      </w:r>
      <w:r w:rsidR="00825ED4" w:rsidRPr="00E0558A">
        <w:rPr>
          <w:shd w:val="clear" w:color="auto" w:fill="FFFFFF"/>
        </w:rPr>
        <w:t>appealed to the Commonwealth Court</w:t>
      </w:r>
      <w:r w:rsidR="00477F55" w:rsidRPr="00E0558A">
        <w:rPr>
          <w:shd w:val="clear" w:color="auto" w:fill="FFFFFF"/>
        </w:rPr>
        <w:t xml:space="preserve"> by PGW</w:t>
      </w:r>
      <w:r w:rsidR="00825ED4" w:rsidRPr="00E0558A">
        <w:rPr>
          <w:shd w:val="clear" w:color="auto" w:fill="FFFFFF"/>
        </w:rPr>
        <w:t xml:space="preserve"> in</w:t>
      </w:r>
      <w:r w:rsidR="00825ED4" w:rsidRPr="00E0558A">
        <w:t xml:space="preserve"> </w:t>
      </w:r>
      <w:bookmarkStart w:id="12" w:name="_Hlk121838096"/>
      <w:r w:rsidR="003602BB" w:rsidRPr="00E0558A">
        <w:rPr>
          <w:i/>
          <w:iCs/>
          <w:shd w:val="clear" w:color="auto" w:fill="FFFFFF"/>
        </w:rPr>
        <w:t>PGW v. PUC</w:t>
      </w:r>
      <w:r w:rsidR="003602BB" w:rsidRPr="00E0558A">
        <w:rPr>
          <w:shd w:val="clear" w:color="auto" w:fill="FFFFFF"/>
        </w:rPr>
        <w:t xml:space="preserve"> </w:t>
      </w:r>
      <w:r w:rsidR="008A16AD" w:rsidRPr="00E0558A">
        <w:t>(</w:t>
      </w:r>
      <w:proofErr w:type="spellStart"/>
      <w:r w:rsidR="008A16AD" w:rsidRPr="00E0558A">
        <w:t>Pa.Cmwlth</w:t>
      </w:r>
      <w:proofErr w:type="spellEnd"/>
      <w:r w:rsidR="008A16AD" w:rsidRPr="00E0558A">
        <w:t>., No. 1</w:t>
      </w:r>
      <w:r w:rsidR="00236550" w:rsidRPr="00E0558A">
        <w:t>405</w:t>
      </w:r>
      <w:r w:rsidR="008A16AD" w:rsidRPr="00E0558A">
        <w:t xml:space="preserve"> C.D. 2018</w:t>
      </w:r>
      <w:bookmarkEnd w:id="12"/>
      <w:r w:rsidR="00E620EA" w:rsidRPr="00E0558A">
        <w:t xml:space="preserve">). </w:t>
      </w:r>
      <w:r w:rsidR="009F2969" w:rsidRPr="00E0558A">
        <w:t xml:space="preserve"> </w:t>
      </w:r>
      <w:r w:rsidR="00E620EA" w:rsidRPr="00E0558A">
        <w:t>In its</w:t>
      </w:r>
      <w:r w:rsidR="00CA0489" w:rsidRPr="00E0558A">
        <w:t xml:space="preserve"> unpublished Opinion</w:t>
      </w:r>
      <w:r w:rsidR="000B162F" w:rsidRPr="00E0558A">
        <w:t xml:space="preserve"> of</w:t>
      </w:r>
      <w:r w:rsidR="008A16AD" w:rsidRPr="00E0558A">
        <w:t xml:space="preserve"> December 9, 2019</w:t>
      </w:r>
      <w:r w:rsidR="00CE1FED" w:rsidRPr="00E0558A">
        <w:t>, the Commonwealth Court reversed the Commission</w:t>
      </w:r>
      <w:r w:rsidR="00A92760" w:rsidRPr="00E0558A">
        <w:t>’s</w:t>
      </w:r>
      <w:r w:rsidR="00CE1FED" w:rsidRPr="00E0558A">
        <w:t xml:space="preserve"> September 20, </w:t>
      </w:r>
      <w:r w:rsidR="00B1662F" w:rsidRPr="00E0558A">
        <w:t>2018,</w:t>
      </w:r>
      <w:r w:rsidR="00CE1FED" w:rsidRPr="00E0558A">
        <w:t xml:space="preserve"> Order</w:t>
      </w:r>
      <w:r w:rsidR="003602BB" w:rsidRPr="00E0558A">
        <w:rPr>
          <w:shd w:val="clear" w:color="auto" w:fill="FFFFFF"/>
        </w:rPr>
        <w:t xml:space="preserve"> with regard to </w:t>
      </w:r>
      <w:r w:rsidR="006B46B6" w:rsidRPr="00E0558A">
        <w:rPr>
          <w:shd w:val="clear" w:color="auto" w:fill="FFFFFF"/>
        </w:rPr>
        <w:t xml:space="preserve">PGW’s </w:t>
      </w:r>
      <w:r w:rsidR="00E41FA4" w:rsidRPr="00E0558A">
        <w:rPr>
          <w:shd w:val="clear" w:color="auto" w:fill="FFFFFF"/>
        </w:rPr>
        <w:t>assessment</w:t>
      </w:r>
      <w:r w:rsidR="006B46B6" w:rsidRPr="00E0558A">
        <w:rPr>
          <w:shd w:val="clear" w:color="auto" w:fill="FFFFFF"/>
        </w:rPr>
        <w:t xml:space="preserve"> of </w:t>
      </w:r>
      <w:r w:rsidR="007533FE" w:rsidRPr="00E0558A">
        <w:rPr>
          <w:shd w:val="clear" w:color="auto" w:fill="FFFFFF"/>
        </w:rPr>
        <w:t>a</w:t>
      </w:r>
      <w:r w:rsidR="006B46B6" w:rsidRPr="00E0558A">
        <w:rPr>
          <w:shd w:val="clear" w:color="auto" w:fill="FFFFFF"/>
        </w:rPr>
        <w:t xml:space="preserve"> tariff-based</w:t>
      </w:r>
      <w:r w:rsidR="003602BB" w:rsidRPr="00E0558A">
        <w:rPr>
          <w:shd w:val="clear" w:color="auto" w:fill="FFFFFF"/>
        </w:rPr>
        <w:t xml:space="preserve"> 18% interest rate</w:t>
      </w:r>
      <w:r w:rsidR="00E41FA4" w:rsidRPr="00E0558A">
        <w:t xml:space="preserve"> on outstanding balances that had already been docketed as municipal liens</w:t>
      </w:r>
      <w:r w:rsidR="00236550" w:rsidRPr="00E0558A">
        <w:t>.</w:t>
      </w:r>
      <w:r w:rsidR="004E16A1" w:rsidRPr="00E0558A">
        <w:t xml:space="preserve">  However, Elrea Garden, Fairmount Manor, and Marshall Square did not appeal </w:t>
      </w:r>
      <w:r w:rsidR="000D2C63" w:rsidRPr="00E0558A">
        <w:t>the Commonwealth Court’s ruling</w:t>
      </w:r>
      <w:r w:rsidR="00032D2D" w:rsidRPr="00E0558A">
        <w:t>,</w:t>
      </w:r>
      <w:r w:rsidR="000D2C63" w:rsidRPr="00E0558A">
        <w:t xml:space="preserve"> like Simon Garden and Colonial Garden did in </w:t>
      </w:r>
      <w:r w:rsidR="000D2C63" w:rsidRPr="00E0558A">
        <w:rPr>
          <w:i/>
          <w:iCs/>
        </w:rPr>
        <w:t>PGW II.</w:t>
      </w:r>
      <w:r w:rsidR="009F2969" w:rsidRPr="00E0558A">
        <w:t xml:space="preserve">  Consequently, </w:t>
      </w:r>
      <w:r w:rsidR="00555483" w:rsidRPr="00E0558A">
        <w:t xml:space="preserve">the </w:t>
      </w:r>
      <w:r w:rsidR="00196DE2" w:rsidRPr="00E0558A">
        <w:t xml:space="preserve">issue of the </w:t>
      </w:r>
      <w:r w:rsidR="00A5227C" w:rsidRPr="00E0558A">
        <w:t xml:space="preserve">tariff-based 18% interest rate </w:t>
      </w:r>
      <w:r w:rsidR="00F07CE3" w:rsidRPr="00E0558A">
        <w:t xml:space="preserve">in the </w:t>
      </w:r>
      <w:r w:rsidR="00555483" w:rsidRPr="00E0558A">
        <w:t>2012 Complaints of Elrea Garden, Fairmount Manor, and Marshall Square</w:t>
      </w:r>
      <w:r w:rsidR="00F95C5A" w:rsidRPr="00E0558A">
        <w:t xml:space="preserve"> (</w:t>
      </w:r>
      <w:r w:rsidR="00555483" w:rsidRPr="00E0558A">
        <w:t>Docket No</w:t>
      </w:r>
      <w:r w:rsidR="00F72B02" w:rsidRPr="00E0558A">
        <w:t>s</w:t>
      </w:r>
      <w:r w:rsidR="00555483" w:rsidRPr="00E0558A">
        <w:t xml:space="preserve">. </w:t>
      </w:r>
      <w:r w:rsidR="00555483" w:rsidRPr="00E0558A">
        <w:rPr>
          <w:rStyle w:val="cf01"/>
          <w:rFonts w:ascii="Times New Roman" w:hAnsi="Times New Roman" w:cs="Times New Roman"/>
          <w:sz w:val="24"/>
          <w:szCs w:val="24"/>
        </w:rPr>
        <w:t xml:space="preserve">C-2012-2304167; C-2012-2304215; </w:t>
      </w:r>
      <w:r w:rsidR="00530967" w:rsidRPr="00E0558A">
        <w:rPr>
          <w:rStyle w:val="cf01"/>
          <w:rFonts w:ascii="Times New Roman" w:hAnsi="Times New Roman" w:cs="Times New Roman"/>
          <w:sz w:val="24"/>
          <w:szCs w:val="24"/>
        </w:rPr>
        <w:t>and</w:t>
      </w:r>
      <w:r w:rsidR="00555483" w:rsidRPr="00E0558A">
        <w:rPr>
          <w:rStyle w:val="cf01"/>
          <w:rFonts w:ascii="Times New Roman" w:hAnsi="Times New Roman" w:cs="Times New Roman"/>
          <w:sz w:val="24"/>
          <w:szCs w:val="24"/>
        </w:rPr>
        <w:t xml:space="preserve"> C-2012-2304303</w:t>
      </w:r>
      <w:r w:rsidR="00F95C5A" w:rsidRPr="00E0558A">
        <w:rPr>
          <w:rStyle w:val="cf01"/>
          <w:rFonts w:ascii="Times New Roman" w:hAnsi="Times New Roman" w:cs="Times New Roman"/>
          <w:sz w:val="24"/>
          <w:szCs w:val="24"/>
        </w:rPr>
        <w:t>)</w:t>
      </w:r>
      <w:r w:rsidR="00555483" w:rsidRPr="00E0558A">
        <w:rPr>
          <w:rStyle w:val="cf01"/>
          <w:rFonts w:ascii="Times New Roman" w:hAnsi="Times New Roman" w:cs="Times New Roman"/>
          <w:sz w:val="24"/>
          <w:szCs w:val="24"/>
        </w:rPr>
        <w:t xml:space="preserve"> </w:t>
      </w:r>
      <w:r w:rsidR="00530967" w:rsidRPr="00E0558A">
        <w:rPr>
          <w:rStyle w:val="cf01"/>
          <w:rFonts w:ascii="Times New Roman" w:hAnsi="Times New Roman" w:cs="Times New Roman"/>
          <w:sz w:val="24"/>
          <w:szCs w:val="24"/>
        </w:rPr>
        <w:t>is</w:t>
      </w:r>
      <w:r w:rsidR="00555483" w:rsidRPr="00E0558A">
        <w:rPr>
          <w:rStyle w:val="cf01"/>
          <w:rFonts w:ascii="Times New Roman" w:hAnsi="Times New Roman" w:cs="Times New Roman"/>
          <w:sz w:val="24"/>
          <w:szCs w:val="24"/>
        </w:rPr>
        <w:t xml:space="preserve"> neither</w:t>
      </w:r>
      <w:r w:rsidR="00CE1A73" w:rsidRPr="00E0558A">
        <w:rPr>
          <w:rStyle w:val="cf01"/>
          <w:rFonts w:ascii="Times New Roman" w:hAnsi="Times New Roman" w:cs="Times New Roman"/>
          <w:sz w:val="24"/>
          <w:szCs w:val="24"/>
        </w:rPr>
        <w:t xml:space="preserve"> pending nor stayed with the Commission</w:t>
      </w:r>
      <w:r w:rsidR="002E577E" w:rsidRPr="00E0558A">
        <w:rPr>
          <w:rStyle w:val="cf01"/>
          <w:rFonts w:ascii="Times New Roman" w:hAnsi="Times New Roman" w:cs="Times New Roman"/>
          <w:sz w:val="24"/>
          <w:szCs w:val="24"/>
        </w:rPr>
        <w:t>.  T</w:t>
      </w:r>
      <w:r w:rsidR="00CE1A73" w:rsidRPr="00E0558A">
        <w:rPr>
          <w:rStyle w:val="cf01"/>
          <w:rFonts w:ascii="Times New Roman" w:hAnsi="Times New Roman" w:cs="Times New Roman"/>
          <w:sz w:val="24"/>
          <w:szCs w:val="24"/>
        </w:rPr>
        <w:t xml:space="preserve">he </w:t>
      </w:r>
      <w:r w:rsidR="002263AA" w:rsidRPr="00E0558A">
        <w:rPr>
          <w:rStyle w:val="cf01"/>
          <w:rFonts w:ascii="Times New Roman" w:hAnsi="Times New Roman" w:cs="Times New Roman"/>
          <w:sz w:val="24"/>
          <w:szCs w:val="24"/>
        </w:rPr>
        <w:t xml:space="preserve">Commonwealth Court’s ruling in </w:t>
      </w:r>
      <w:r w:rsidR="002263AA" w:rsidRPr="00E0558A">
        <w:rPr>
          <w:i/>
          <w:iCs/>
        </w:rPr>
        <w:t>Philadelphia Gas Works v. Pennsylvania Public Utility Commission</w:t>
      </w:r>
      <w:r w:rsidR="002263AA" w:rsidRPr="00E0558A">
        <w:t xml:space="preserve"> (</w:t>
      </w:r>
      <w:proofErr w:type="spellStart"/>
      <w:r w:rsidR="002263AA" w:rsidRPr="00E0558A">
        <w:t>Pa</w:t>
      </w:r>
      <w:r w:rsidR="002263AA" w:rsidRPr="00530AC7">
        <w:t>.Cmwlth</w:t>
      </w:r>
      <w:proofErr w:type="spellEnd"/>
      <w:r w:rsidR="002263AA" w:rsidRPr="00530AC7">
        <w:t>., No. 1405 C.D. 2018</w:t>
      </w:r>
      <w:r w:rsidR="00C24C49" w:rsidRPr="00530AC7">
        <w:t>)</w:t>
      </w:r>
      <w:r w:rsidR="002263AA" w:rsidRPr="00530AC7">
        <w:t xml:space="preserve"> </w:t>
      </w:r>
      <w:r w:rsidR="00032D2D" w:rsidRPr="00530AC7">
        <w:t xml:space="preserve">on this issue </w:t>
      </w:r>
      <w:r w:rsidR="002263AA" w:rsidRPr="00530AC7">
        <w:t>stands.</w:t>
      </w:r>
    </w:p>
    <w:p w14:paraId="3FFC914D" w14:textId="77777777" w:rsidR="00A92760" w:rsidRPr="00530AC7" w:rsidRDefault="00A92760" w:rsidP="002224E1">
      <w:pPr>
        <w:pStyle w:val="Indent5DbSp"/>
        <w:spacing w:line="360" w:lineRule="auto"/>
        <w:ind w:firstLine="1440"/>
      </w:pPr>
    </w:p>
    <w:p w14:paraId="511C5C5C" w14:textId="55CBB588" w:rsidR="00B84DEE" w:rsidRPr="00E0558A" w:rsidRDefault="007B1BFE" w:rsidP="002224E1">
      <w:pPr>
        <w:pStyle w:val="Indent5DbSp"/>
        <w:spacing w:line="360" w:lineRule="auto"/>
        <w:ind w:firstLine="1440"/>
      </w:pPr>
      <w:r w:rsidRPr="00530AC7">
        <w:t>Similarly,</w:t>
      </w:r>
      <w:r w:rsidR="00356942" w:rsidRPr="00530AC7">
        <w:t xml:space="preserve"> on October 4, 2018,</w:t>
      </w:r>
      <w:r w:rsidRPr="00530AC7">
        <w:t xml:space="preserve"> the Commission issued a Final Opinion and Order on </w:t>
      </w:r>
      <w:r w:rsidR="00B31156" w:rsidRPr="00530AC7">
        <w:t xml:space="preserve">the 2012 Complaints of </w:t>
      </w:r>
      <w:r w:rsidR="00287309" w:rsidRPr="00530AC7">
        <w:rPr>
          <w:rFonts w:eastAsiaTheme="minorHAnsi"/>
        </w:rPr>
        <w:t>Fern Rock Realty Co., L.P. (Fern Rock), Marchwood Realty Co., L.P. (Marchwood), and Oak Lane Court Realty Co., L.P. (Oak Lane)</w:t>
      </w:r>
      <w:r w:rsidR="00AA14D0" w:rsidRPr="00530AC7">
        <w:rPr>
          <w:rFonts w:eastAsiaTheme="minorHAnsi"/>
        </w:rPr>
        <w:t xml:space="preserve"> at Docket Nos.</w:t>
      </w:r>
      <w:r w:rsidR="00E2735A" w:rsidRPr="00530AC7">
        <w:rPr>
          <w:rStyle w:val="cf01"/>
          <w:rFonts w:ascii="Times New Roman" w:hAnsi="Times New Roman" w:cs="Times New Roman"/>
          <w:sz w:val="24"/>
          <w:szCs w:val="24"/>
        </w:rPr>
        <w:t xml:space="preserve"> C-2012-2308462; </w:t>
      </w:r>
      <w:r w:rsidR="00F24458" w:rsidRPr="00530AC7">
        <w:rPr>
          <w:rStyle w:val="cf01"/>
          <w:rFonts w:ascii="Times New Roman" w:hAnsi="Times New Roman" w:cs="Times New Roman"/>
          <w:sz w:val="24"/>
          <w:szCs w:val="24"/>
        </w:rPr>
        <w:t>C-2012-2308454,</w:t>
      </w:r>
      <w:r w:rsidR="00FA78FB" w:rsidRPr="00530AC7">
        <w:rPr>
          <w:rStyle w:val="cf01"/>
          <w:rFonts w:ascii="Times New Roman" w:hAnsi="Times New Roman" w:cs="Times New Roman"/>
          <w:sz w:val="24"/>
          <w:szCs w:val="24"/>
        </w:rPr>
        <w:t xml:space="preserve"> </w:t>
      </w:r>
      <w:r w:rsidR="00E2735A" w:rsidRPr="00530AC7">
        <w:rPr>
          <w:rStyle w:val="cf01"/>
          <w:rFonts w:ascii="Times New Roman" w:hAnsi="Times New Roman" w:cs="Times New Roman"/>
          <w:sz w:val="24"/>
          <w:szCs w:val="24"/>
        </w:rPr>
        <w:t>and C-2012-2308465</w:t>
      </w:r>
      <w:r w:rsidR="00356942" w:rsidRPr="00530AC7">
        <w:rPr>
          <w:rStyle w:val="cf01"/>
          <w:rFonts w:ascii="Times New Roman" w:hAnsi="Times New Roman" w:cs="Times New Roman"/>
          <w:sz w:val="24"/>
          <w:szCs w:val="24"/>
        </w:rPr>
        <w:t>.</w:t>
      </w:r>
      <w:r w:rsidR="00356942" w:rsidRPr="00530AC7">
        <w:rPr>
          <w:rFonts w:eastAsiaTheme="minorHAnsi"/>
        </w:rPr>
        <w:t xml:space="preserve"> </w:t>
      </w:r>
      <w:r w:rsidR="00356942" w:rsidRPr="00530AC7">
        <w:rPr>
          <w:shd w:val="clear" w:color="auto" w:fill="FFFFFF"/>
        </w:rPr>
        <w:t xml:space="preserve"> It was this Commission Order</w:t>
      </w:r>
      <w:r w:rsidR="00F12776" w:rsidRPr="00530AC7">
        <w:rPr>
          <w:rStyle w:val="FootnoteReference"/>
          <w:shd w:val="clear" w:color="auto" w:fill="FFFFFF"/>
        </w:rPr>
        <w:footnoteReference w:id="20"/>
      </w:r>
      <w:r w:rsidR="00356942" w:rsidRPr="00530AC7">
        <w:rPr>
          <w:shd w:val="clear" w:color="auto" w:fill="FFFFFF"/>
        </w:rPr>
        <w:t xml:space="preserve"> that PGW appealed to the Commonwealth Court in </w:t>
      </w:r>
      <w:bookmarkStart w:id="13" w:name="_Hlk121909098"/>
      <w:r w:rsidR="00FA78FB" w:rsidRPr="00530AC7">
        <w:rPr>
          <w:i/>
          <w:iCs/>
        </w:rPr>
        <w:t>Philadelphia</w:t>
      </w:r>
      <w:r w:rsidR="00FA78FB" w:rsidRPr="00E0558A">
        <w:rPr>
          <w:i/>
          <w:iCs/>
        </w:rPr>
        <w:t xml:space="preserve"> Gas Works v. Pennsylvania Public Utility Commission</w:t>
      </w:r>
      <w:r w:rsidR="00FA78FB" w:rsidRPr="00E0558A">
        <w:t xml:space="preserve"> (</w:t>
      </w:r>
      <w:proofErr w:type="spellStart"/>
      <w:r w:rsidR="00FA78FB" w:rsidRPr="00E0558A">
        <w:t>Pa.Cmwlth</w:t>
      </w:r>
      <w:proofErr w:type="spellEnd"/>
      <w:r w:rsidR="00FA78FB" w:rsidRPr="00E0558A">
        <w:t>., No. 1404 C.D. 2018)</w:t>
      </w:r>
      <w:bookmarkEnd w:id="13"/>
      <w:r w:rsidR="00FA78FB" w:rsidRPr="00E0558A">
        <w:t xml:space="preserve">.  In its unpublished Opinion </w:t>
      </w:r>
      <w:r w:rsidR="00CE741B" w:rsidRPr="00E0558A">
        <w:t>of D</w:t>
      </w:r>
      <w:r w:rsidR="00FA78FB" w:rsidRPr="00E0558A">
        <w:t>ecember 9, 2019, the Commonwealth Court reversed the Commission</w:t>
      </w:r>
      <w:r w:rsidR="00E14B19" w:rsidRPr="00E0558A">
        <w:t>’s</w:t>
      </w:r>
      <w:r w:rsidR="00FA78FB" w:rsidRPr="00E0558A">
        <w:t xml:space="preserve"> </w:t>
      </w:r>
      <w:r w:rsidR="000563DE" w:rsidRPr="00E0558A">
        <w:t>October 4</w:t>
      </w:r>
      <w:r w:rsidR="00FA78FB" w:rsidRPr="00E0558A">
        <w:t xml:space="preserve">, </w:t>
      </w:r>
      <w:r w:rsidR="00B1662F" w:rsidRPr="00E0558A">
        <w:t>2018,</w:t>
      </w:r>
      <w:r w:rsidR="00FA78FB" w:rsidRPr="00E0558A">
        <w:t xml:space="preserve"> Order.  </w:t>
      </w:r>
      <w:r w:rsidR="00B84DEE" w:rsidRPr="00E0558A">
        <w:t xml:space="preserve">However, </w:t>
      </w:r>
      <w:r w:rsidR="00DE29EB" w:rsidRPr="00E0558A">
        <w:lastRenderedPageBreak/>
        <w:t xml:space="preserve">Fern Rock, Marchwood and Oak Lane </w:t>
      </w:r>
      <w:r w:rsidR="00B84DEE" w:rsidRPr="00E0558A">
        <w:t xml:space="preserve">did not appeal the Commonwealth Court’s ruling like Simon Garden and Colonial Garden did in </w:t>
      </w:r>
      <w:r w:rsidR="00B84DEE" w:rsidRPr="00E0558A">
        <w:rPr>
          <w:i/>
          <w:iCs/>
        </w:rPr>
        <w:t>PGW II</w:t>
      </w:r>
      <w:r w:rsidR="00B84DEE" w:rsidRPr="00E0558A">
        <w:t>.  Consequently, the 2012 Complaints of</w:t>
      </w:r>
      <w:r w:rsidR="00623871" w:rsidRPr="00E0558A">
        <w:t xml:space="preserve"> Fern Rock, Marchwood and Oak Lane</w:t>
      </w:r>
      <w:r w:rsidR="00E14B19" w:rsidRPr="00E0558A">
        <w:t xml:space="preserve"> (</w:t>
      </w:r>
      <w:r w:rsidR="00B84DEE" w:rsidRPr="00E0558A">
        <w:t>Docket No</w:t>
      </w:r>
      <w:r w:rsidR="00E14B19" w:rsidRPr="00E0558A">
        <w:t>s</w:t>
      </w:r>
      <w:r w:rsidR="00B84DEE" w:rsidRPr="00E0558A">
        <w:t xml:space="preserve">. </w:t>
      </w:r>
      <w:r w:rsidR="00C24C49" w:rsidRPr="00E0558A">
        <w:rPr>
          <w:rStyle w:val="cf01"/>
          <w:rFonts w:ascii="Times New Roman" w:hAnsi="Times New Roman" w:cs="Times New Roman"/>
          <w:sz w:val="24"/>
          <w:szCs w:val="24"/>
        </w:rPr>
        <w:t>C-2012-2308462; C-2012-2308454, and C-2012-2308465</w:t>
      </w:r>
      <w:r w:rsidR="00E14B19" w:rsidRPr="00E0558A">
        <w:rPr>
          <w:rStyle w:val="cf01"/>
          <w:rFonts w:ascii="Times New Roman" w:hAnsi="Times New Roman" w:cs="Times New Roman"/>
          <w:sz w:val="24"/>
          <w:szCs w:val="24"/>
        </w:rPr>
        <w:t>)</w:t>
      </w:r>
      <w:r w:rsidR="00C24C49" w:rsidRPr="00E0558A">
        <w:rPr>
          <w:rStyle w:val="cf01"/>
          <w:rFonts w:ascii="Times New Roman" w:hAnsi="Times New Roman" w:cs="Times New Roman"/>
          <w:sz w:val="24"/>
          <w:szCs w:val="24"/>
        </w:rPr>
        <w:t xml:space="preserve"> are</w:t>
      </w:r>
      <w:r w:rsidR="00B84DEE" w:rsidRPr="00E0558A">
        <w:rPr>
          <w:rStyle w:val="cf01"/>
          <w:rFonts w:ascii="Times New Roman" w:hAnsi="Times New Roman" w:cs="Times New Roman"/>
          <w:sz w:val="24"/>
          <w:szCs w:val="24"/>
        </w:rPr>
        <w:t xml:space="preserve"> neither pending nor stayed with the Commission, and the Commonwealth Court’s ruling in </w:t>
      </w:r>
      <w:r w:rsidR="00B84DEE" w:rsidRPr="00E0558A">
        <w:rPr>
          <w:i/>
          <w:iCs/>
        </w:rPr>
        <w:t>Philadelphia Gas Works v. Pennsylvania Public Utility Commission</w:t>
      </w:r>
      <w:r w:rsidR="00B84DEE" w:rsidRPr="00E0558A">
        <w:t xml:space="preserve"> (</w:t>
      </w:r>
      <w:proofErr w:type="spellStart"/>
      <w:r w:rsidR="00B84DEE" w:rsidRPr="00E0558A">
        <w:t>Pa.Cmwlth</w:t>
      </w:r>
      <w:proofErr w:type="spellEnd"/>
      <w:r w:rsidR="00B84DEE" w:rsidRPr="00E0558A">
        <w:t>., No. 1404 C.D. 2018</w:t>
      </w:r>
      <w:r w:rsidR="00C24C49" w:rsidRPr="00E0558A">
        <w:t>)</w:t>
      </w:r>
      <w:r w:rsidR="00B84DEE" w:rsidRPr="00E0558A">
        <w:t xml:space="preserve"> stands.</w:t>
      </w:r>
    </w:p>
    <w:p w14:paraId="02A19868" w14:textId="39FED801" w:rsidR="00B72B64" w:rsidRPr="00E0558A" w:rsidRDefault="00B72B64" w:rsidP="002224E1">
      <w:pPr>
        <w:pStyle w:val="Indent5DbSp"/>
        <w:spacing w:line="360" w:lineRule="auto"/>
        <w:ind w:firstLine="1440"/>
      </w:pPr>
    </w:p>
    <w:p w14:paraId="00B15F7B" w14:textId="01844B75" w:rsidR="00F676F7" w:rsidRPr="00E0558A" w:rsidRDefault="00AC223A" w:rsidP="002224E1">
      <w:pPr>
        <w:pStyle w:val="Indent5DbSp"/>
        <w:spacing w:line="360" w:lineRule="auto"/>
        <w:ind w:firstLine="1440"/>
      </w:pPr>
      <w:r w:rsidRPr="00E0558A">
        <w:t>The status of the eight 2012 Complaints (</w:t>
      </w:r>
      <w:r w:rsidR="001F14F0" w:rsidRPr="00E0558A">
        <w:t xml:space="preserve">after PGW I, but before PGW II) was summarized in my </w:t>
      </w:r>
      <w:r w:rsidR="00A572DE" w:rsidRPr="00E0558A">
        <w:t xml:space="preserve">Order Requesting a Status Update on the </w:t>
      </w:r>
      <w:r w:rsidR="00DB3127" w:rsidRPr="00E0558A">
        <w:t>2015 Complaints dated February 7, 2020:</w:t>
      </w:r>
    </w:p>
    <w:p w14:paraId="7E6859FC" w14:textId="77777777" w:rsidR="00B963E5" w:rsidRPr="00E0558A" w:rsidRDefault="00B963E5" w:rsidP="00B963E5">
      <w:pPr>
        <w:spacing w:after="0" w:line="240" w:lineRule="auto"/>
        <w:ind w:left="1440" w:right="1440"/>
        <w:outlineLvl w:val="0"/>
        <w:rPr>
          <w:rFonts w:ascii="Times New Roman" w:eastAsia="Times New Roman" w:hAnsi="Times New Roman" w:cs="Times New Roman"/>
          <w:sz w:val="24"/>
          <w:szCs w:val="24"/>
        </w:rPr>
      </w:pPr>
      <w:r w:rsidRPr="00E0558A">
        <w:rPr>
          <w:rFonts w:ascii="Times New Roman" w:eastAsia="Times New Roman" w:hAnsi="Times New Roman" w:cs="Times New Roman"/>
          <w:sz w:val="24"/>
          <w:szCs w:val="24"/>
        </w:rPr>
        <w:t xml:space="preserve">By Opinion and Order entered May 9, 2019, the Commission denied PGW’s October 19, 2018 Petition for Stay </w:t>
      </w:r>
      <w:r w:rsidRPr="00E0558A">
        <w:rPr>
          <w:rFonts w:ascii="Times New Roman" w:hAnsi="Times New Roman" w:cs="Times New Roman"/>
          <w:sz w:val="24"/>
          <w:szCs w:val="24"/>
        </w:rPr>
        <w:t>of its duty to comply with the prior final orders of the Commission entered on September 20, 2018  at Docket Nos. C-2012-2304167, C-2012-2304215 and C-2012-2304303 (</w:t>
      </w:r>
      <w:r w:rsidRPr="00E0558A">
        <w:rPr>
          <w:rFonts w:ascii="Times New Roman" w:hAnsi="Times New Roman" w:cs="Times New Roman"/>
          <w:i/>
          <w:sz w:val="24"/>
          <w:szCs w:val="24"/>
        </w:rPr>
        <w:t>September 2018 Order</w:t>
      </w:r>
      <w:r w:rsidRPr="00E0558A">
        <w:rPr>
          <w:rFonts w:ascii="Times New Roman" w:hAnsi="Times New Roman" w:cs="Times New Roman"/>
          <w:sz w:val="24"/>
          <w:szCs w:val="24"/>
        </w:rPr>
        <w:t>), and on, October 4, 2018 at Docket Nos. C-2012-2308454, C-2012-2308462 and C-2012-2308465 (</w:t>
      </w:r>
      <w:r w:rsidRPr="00E0558A">
        <w:rPr>
          <w:rFonts w:ascii="Times New Roman" w:hAnsi="Times New Roman" w:cs="Times New Roman"/>
          <w:i/>
          <w:sz w:val="24"/>
          <w:szCs w:val="24"/>
        </w:rPr>
        <w:t>October 2018 Order</w:t>
      </w:r>
      <w:r w:rsidRPr="00E0558A">
        <w:rPr>
          <w:rFonts w:ascii="Times New Roman" w:hAnsi="Times New Roman" w:cs="Times New Roman"/>
          <w:sz w:val="24"/>
          <w:szCs w:val="24"/>
        </w:rPr>
        <w:t xml:space="preserve">) (collectively, the </w:t>
      </w:r>
      <w:r w:rsidRPr="00E0558A">
        <w:rPr>
          <w:rFonts w:ascii="Times New Roman" w:hAnsi="Times New Roman" w:cs="Times New Roman"/>
          <w:i/>
          <w:sz w:val="24"/>
          <w:szCs w:val="24"/>
        </w:rPr>
        <w:t>Commission Orders</w:t>
      </w:r>
      <w:r w:rsidRPr="00E0558A">
        <w:rPr>
          <w:rFonts w:ascii="Times New Roman" w:hAnsi="Times New Roman" w:cs="Times New Roman"/>
          <w:sz w:val="24"/>
          <w:szCs w:val="24"/>
        </w:rPr>
        <w:t xml:space="preserve">), pending the Commonwealth Court’s consideration of PGW’s Petitions for Review of the Commission Orders. </w:t>
      </w:r>
      <w:r w:rsidRPr="00E0558A">
        <w:rPr>
          <w:rFonts w:ascii="Times New Roman" w:eastAsia="Times New Roman" w:hAnsi="Times New Roman" w:cs="Times New Roman"/>
          <w:sz w:val="24"/>
          <w:szCs w:val="24"/>
        </w:rPr>
        <w:t xml:space="preserve"> The Commission ordered PGW to comply with the Pennsylvania Public Utility Commission’s Opinions and Order entered on September 20, 2018,</w:t>
      </w:r>
      <w:r w:rsidRPr="00E0558A">
        <w:rPr>
          <w:rFonts w:ascii="Times New Roman" w:eastAsia="Times New Roman" w:hAnsi="Times New Roman" w:cs="Times New Roman"/>
          <w:i/>
          <w:sz w:val="24"/>
          <w:szCs w:val="24"/>
        </w:rPr>
        <w:t xml:space="preserve"> </w:t>
      </w:r>
      <w:r w:rsidRPr="00E0558A">
        <w:rPr>
          <w:rFonts w:ascii="Times New Roman" w:eastAsia="Times New Roman" w:hAnsi="Times New Roman" w:cs="Times New Roman"/>
          <w:sz w:val="24"/>
          <w:szCs w:val="24"/>
        </w:rPr>
        <w:t>and October 4, 2018.</w:t>
      </w:r>
    </w:p>
    <w:p w14:paraId="04511B3A" w14:textId="77777777" w:rsidR="00B963E5" w:rsidRPr="00E0558A" w:rsidRDefault="00B963E5" w:rsidP="00B963E5">
      <w:pPr>
        <w:spacing w:after="0" w:line="240" w:lineRule="auto"/>
        <w:ind w:left="1440" w:right="1440"/>
        <w:outlineLvl w:val="0"/>
        <w:rPr>
          <w:rFonts w:ascii="Times New Roman" w:eastAsia="Times New Roman" w:hAnsi="Times New Roman" w:cs="Times New Roman"/>
          <w:sz w:val="24"/>
          <w:szCs w:val="24"/>
        </w:rPr>
      </w:pPr>
    </w:p>
    <w:p w14:paraId="368E2B28" w14:textId="030000BF" w:rsidR="00B963E5" w:rsidRPr="00E0558A" w:rsidRDefault="00B963E5" w:rsidP="00B963E5">
      <w:pPr>
        <w:spacing w:after="0" w:line="240" w:lineRule="auto"/>
        <w:ind w:left="1440" w:right="1440"/>
        <w:outlineLvl w:val="0"/>
        <w:rPr>
          <w:rFonts w:ascii="Times New Roman" w:hAnsi="Times New Roman" w:cs="Times New Roman"/>
          <w:sz w:val="24"/>
          <w:szCs w:val="24"/>
        </w:rPr>
      </w:pPr>
      <w:r w:rsidRPr="00E0558A">
        <w:rPr>
          <w:rFonts w:ascii="Times New Roman" w:eastAsia="Times New Roman" w:hAnsi="Times New Roman" w:cs="Times New Roman"/>
          <w:sz w:val="24"/>
          <w:szCs w:val="24"/>
        </w:rPr>
        <w:t>By a separate Opinion and Order also entered on May 9, 2019, the Commission denied</w:t>
      </w:r>
      <w:r w:rsidRPr="00E0558A">
        <w:rPr>
          <w:rFonts w:ascii="Times New Roman" w:hAnsi="Times New Roman" w:cs="Times New Roman"/>
          <w:sz w:val="24"/>
          <w:szCs w:val="24"/>
        </w:rPr>
        <w:t xml:space="preserve"> PGW’s April 12, </w:t>
      </w:r>
      <w:r w:rsidR="0024745E" w:rsidRPr="00E0558A">
        <w:rPr>
          <w:rFonts w:ascii="Times New Roman" w:hAnsi="Times New Roman" w:cs="Times New Roman"/>
          <w:sz w:val="24"/>
          <w:szCs w:val="24"/>
        </w:rPr>
        <w:t>2019,</w:t>
      </w:r>
      <w:r w:rsidRPr="00E0558A">
        <w:rPr>
          <w:rFonts w:ascii="Times New Roman" w:hAnsi="Times New Roman" w:cs="Times New Roman"/>
          <w:sz w:val="24"/>
          <w:szCs w:val="24"/>
        </w:rPr>
        <w:t xml:space="preserve"> Petition for Reconsideration of the Commission’s Opinion and Order entered March 28, 2019, in the proceedings at Docket Nos. C-2012-2304183, C-2012-2304324.</w:t>
      </w:r>
    </w:p>
    <w:p w14:paraId="071A6205" w14:textId="77777777" w:rsidR="00B963E5" w:rsidRPr="00E0558A" w:rsidRDefault="00B963E5" w:rsidP="00B963E5">
      <w:pPr>
        <w:spacing w:after="0" w:line="240" w:lineRule="auto"/>
        <w:ind w:left="1440" w:right="1440"/>
        <w:outlineLvl w:val="0"/>
        <w:rPr>
          <w:rFonts w:ascii="Times New Roman" w:hAnsi="Times New Roman" w:cs="Times New Roman"/>
          <w:sz w:val="24"/>
          <w:szCs w:val="24"/>
        </w:rPr>
      </w:pPr>
    </w:p>
    <w:p w14:paraId="1A2F0E0B" w14:textId="77777777" w:rsidR="00B963E5" w:rsidRPr="00E0558A" w:rsidRDefault="00B963E5" w:rsidP="00B963E5">
      <w:pPr>
        <w:spacing w:after="0"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rPr>
        <w:t xml:space="preserve">The eight complaints docketed at Docket Nos. C-2012-2304183, C-2012-2304215, C-2012-2304324, C-2012-2304167, C-2012-2304303, C-2012-2308454, C-2012-2308462, and C-2012-2308465 are now closed.  </w:t>
      </w:r>
    </w:p>
    <w:p w14:paraId="1A3A86A1" w14:textId="77777777" w:rsidR="00B963E5" w:rsidRPr="00E0558A" w:rsidRDefault="00B963E5" w:rsidP="00B963E5">
      <w:pPr>
        <w:spacing w:after="0" w:line="240" w:lineRule="auto"/>
        <w:ind w:left="1440" w:right="1440"/>
        <w:outlineLvl w:val="0"/>
        <w:rPr>
          <w:rFonts w:ascii="Times New Roman" w:eastAsia="Times New Roman" w:hAnsi="Times New Roman" w:cs="Times New Roman"/>
          <w:sz w:val="24"/>
          <w:szCs w:val="24"/>
        </w:rPr>
      </w:pPr>
    </w:p>
    <w:p w14:paraId="524B7EAB" w14:textId="5C2C7446" w:rsidR="00B963E5" w:rsidRPr="00E0558A" w:rsidRDefault="00B963E5" w:rsidP="00B963E5">
      <w:pPr>
        <w:autoSpaceDE w:val="0"/>
        <w:autoSpaceDN w:val="0"/>
        <w:spacing w:after="0"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rPr>
        <w:t xml:space="preserve">Furthermore, on December 9, 2019, the Commonwealth Court of Pennsylvania reversed the Commission’s Orders at Docket Nos. C-2012-2304183, C-2012-2304215, C-2012-2304324, C-2012-2304167, C-2012-2304303, C-2012-2308454, C-2012-2308462, and C-2012-2308465 on the issue of late fees on docketed liens.  See, </w:t>
      </w:r>
      <w:r w:rsidRPr="00E0558A">
        <w:rPr>
          <w:rFonts w:ascii="Times New Roman" w:hAnsi="Times New Roman" w:cs="Times New Roman"/>
          <w:i/>
          <w:iCs/>
          <w:sz w:val="24"/>
          <w:szCs w:val="24"/>
        </w:rPr>
        <w:t>Phila. Gas Works v. Pa. PUC</w:t>
      </w:r>
      <w:r w:rsidRPr="00E0558A">
        <w:rPr>
          <w:rFonts w:ascii="Times New Roman" w:hAnsi="Times New Roman" w:cs="Times New Roman"/>
          <w:sz w:val="24"/>
          <w:szCs w:val="24"/>
        </w:rPr>
        <w:t xml:space="preserve">, 2019 Pa. Commw. Unpub. LEXIS 664, 2019 WL 6698105; </w:t>
      </w:r>
      <w:r w:rsidRPr="00E0558A">
        <w:rPr>
          <w:rFonts w:ascii="Times New Roman" w:hAnsi="Times New Roman" w:cs="Times New Roman"/>
          <w:i/>
          <w:iCs/>
          <w:sz w:val="24"/>
          <w:szCs w:val="24"/>
        </w:rPr>
        <w:t>Phila. Gas Works v. Pa. PUC</w:t>
      </w:r>
      <w:r w:rsidRPr="00E0558A">
        <w:rPr>
          <w:rFonts w:ascii="Times New Roman" w:hAnsi="Times New Roman" w:cs="Times New Roman"/>
          <w:sz w:val="24"/>
          <w:szCs w:val="24"/>
        </w:rPr>
        <w:t xml:space="preserve">, </w:t>
      </w:r>
      <w:r w:rsidRPr="00E0558A">
        <w:rPr>
          <w:rFonts w:ascii="Times New Roman" w:hAnsi="Times New Roman" w:cs="Times New Roman"/>
          <w:sz w:val="24"/>
          <w:szCs w:val="24"/>
        </w:rPr>
        <w:lastRenderedPageBreak/>
        <w:t xml:space="preserve">2019 Pa. Commw. LEXIS 1081, 2019 WL 6690588; </w:t>
      </w:r>
      <w:r w:rsidRPr="00E0558A">
        <w:rPr>
          <w:rFonts w:ascii="Times New Roman" w:hAnsi="Times New Roman" w:cs="Times New Roman"/>
          <w:i/>
          <w:iCs/>
          <w:sz w:val="24"/>
          <w:szCs w:val="24"/>
        </w:rPr>
        <w:t>Phila. Gas Works v. Pa. PUC</w:t>
      </w:r>
      <w:r w:rsidRPr="00E0558A">
        <w:rPr>
          <w:rFonts w:ascii="Times New Roman" w:hAnsi="Times New Roman" w:cs="Times New Roman"/>
          <w:sz w:val="24"/>
          <w:szCs w:val="24"/>
        </w:rPr>
        <w:t>, 2019 Pa. Commw. Unpub. LEXIS 666, 2019 WL 6698103.</w:t>
      </w:r>
    </w:p>
    <w:p w14:paraId="35473818" w14:textId="77777777" w:rsidR="00B963E5" w:rsidRPr="00E0558A" w:rsidRDefault="00B963E5" w:rsidP="00A96B3C">
      <w:pPr>
        <w:autoSpaceDE w:val="0"/>
        <w:autoSpaceDN w:val="0"/>
        <w:spacing w:after="0" w:line="360" w:lineRule="auto"/>
        <w:ind w:left="1440" w:right="1440"/>
        <w:rPr>
          <w:rFonts w:ascii="Times New Roman" w:hAnsi="Times New Roman" w:cs="Times New Roman"/>
          <w:sz w:val="24"/>
          <w:szCs w:val="24"/>
        </w:rPr>
      </w:pPr>
    </w:p>
    <w:p w14:paraId="083FBF9F" w14:textId="51B0DD81" w:rsidR="00B963E5" w:rsidRPr="00E0558A" w:rsidRDefault="00B963E5" w:rsidP="00B963E5">
      <w:pPr>
        <w:autoSpaceDE w:val="0"/>
        <w:autoSpaceDN w:val="0"/>
        <w:spacing w:after="0" w:line="240" w:lineRule="auto"/>
        <w:ind w:left="1440" w:right="1440"/>
        <w:rPr>
          <w:rFonts w:ascii="Times New Roman" w:hAnsi="Times New Roman" w:cs="Times New Roman"/>
          <w:sz w:val="24"/>
          <w:szCs w:val="24"/>
        </w:rPr>
      </w:pPr>
      <w:r w:rsidRPr="00E0558A">
        <w:rPr>
          <w:rFonts w:ascii="Times New Roman" w:hAnsi="Times New Roman" w:cs="Times New Roman"/>
          <w:b/>
          <w:bCs/>
          <w:sz w:val="24"/>
          <w:szCs w:val="24"/>
        </w:rPr>
        <w:t xml:space="preserve">Since </w:t>
      </w:r>
      <w:bookmarkStart w:id="14" w:name="_Hlk122086795"/>
      <w:r w:rsidRPr="00E0558A">
        <w:rPr>
          <w:rFonts w:ascii="Times New Roman" w:hAnsi="Times New Roman" w:cs="Times New Roman"/>
          <w:b/>
          <w:bCs/>
          <w:sz w:val="24"/>
          <w:szCs w:val="24"/>
        </w:rPr>
        <w:t>all the proceedings related to Docket Nos. C-2012-2304183, C-2012-2304215, C-2012-2304324, C-2012-2304167, C-2012-2304303, C-2012-2308454, C-2012-2308462, and C-2012-2308465 have concluded</w:t>
      </w:r>
      <w:bookmarkEnd w:id="14"/>
      <w:r w:rsidRPr="00E0558A">
        <w:rPr>
          <w:rFonts w:ascii="Times New Roman" w:hAnsi="Times New Roman" w:cs="Times New Roman"/>
          <w:sz w:val="24"/>
          <w:szCs w:val="24"/>
        </w:rPr>
        <w:t>, the parties shall submit an update on the status of the Complaints filed at Docket Nos. C-2015-2486642, C-2015-2486677, C-2015-2486674, C-2015-2486670, C-2015-2486664, C-2015-2486655, C-2015-2486648, C-2015-2486618, by no later than March 6, 2020.</w:t>
      </w:r>
    </w:p>
    <w:p w14:paraId="5A2722D3" w14:textId="77777777" w:rsidR="00421C96" w:rsidRPr="00E0558A" w:rsidRDefault="00421C96" w:rsidP="00421C96">
      <w:pPr>
        <w:pStyle w:val="Indent5DbSp"/>
        <w:spacing w:line="360" w:lineRule="auto"/>
        <w:ind w:firstLine="0"/>
      </w:pPr>
    </w:p>
    <w:p w14:paraId="611052D4" w14:textId="77777777" w:rsidR="00082C85" w:rsidRPr="00E0558A" w:rsidRDefault="00421C96" w:rsidP="00421C96">
      <w:pPr>
        <w:pStyle w:val="Indent5DbSp"/>
        <w:spacing w:line="360" w:lineRule="auto"/>
        <w:ind w:firstLine="0"/>
      </w:pPr>
      <w:r w:rsidRPr="00E0558A">
        <w:t>Order at 2-3. (</w:t>
      </w:r>
      <w:r w:rsidRPr="00E0558A">
        <w:rPr>
          <w:b/>
          <w:bCs/>
        </w:rPr>
        <w:t>Emphasis added</w:t>
      </w:r>
      <w:r w:rsidRPr="00E0558A">
        <w:t xml:space="preserve">). </w:t>
      </w:r>
      <w:r w:rsidR="002B580D" w:rsidRPr="00E0558A">
        <w:t xml:space="preserve"> As mentioned above, SBG’s </w:t>
      </w:r>
      <w:r w:rsidR="00BB3B05" w:rsidRPr="00E0558A">
        <w:t xml:space="preserve">appeal of </w:t>
      </w:r>
      <w:r w:rsidR="00BB3B05" w:rsidRPr="00E0558A">
        <w:rPr>
          <w:i/>
          <w:iCs/>
        </w:rPr>
        <w:t>PGW I</w:t>
      </w:r>
      <w:r w:rsidR="00BB3B05" w:rsidRPr="00E0558A">
        <w:t xml:space="preserve"> for Simon Garden and Colonial Garden to the Supreme Court, and the subsequent rulings in </w:t>
      </w:r>
      <w:r w:rsidR="00BB3B05" w:rsidRPr="00E0558A">
        <w:rPr>
          <w:i/>
          <w:iCs/>
        </w:rPr>
        <w:t>PGW II</w:t>
      </w:r>
      <w:r w:rsidR="00BB3B05" w:rsidRPr="00E0558A">
        <w:t xml:space="preserve"> and </w:t>
      </w:r>
      <w:r w:rsidR="00BB3B05" w:rsidRPr="00E0558A">
        <w:rPr>
          <w:i/>
          <w:iCs/>
        </w:rPr>
        <w:t>PGW III</w:t>
      </w:r>
      <w:r w:rsidR="00BB3B05" w:rsidRPr="00E0558A">
        <w:t xml:space="preserve"> changed the status of the </w:t>
      </w:r>
      <w:r w:rsidR="00407255" w:rsidRPr="00E0558A">
        <w:t>2012 Complaints</w:t>
      </w:r>
      <w:r w:rsidR="00802BFE" w:rsidRPr="00E0558A">
        <w:t xml:space="preserve"> at Docket Nos. C-2012-2304183 and C</w:t>
      </w:r>
      <w:r w:rsidR="003F728E" w:rsidRPr="00E0558A">
        <w:t xml:space="preserve">-2012-2304324 with regard to the </w:t>
      </w:r>
      <w:r w:rsidR="00A70761" w:rsidRPr="00E0558A">
        <w:t>18% tariff interest rate</w:t>
      </w:r>
      <w:r w:rsidR="0085279C" w:rsidRPr="00E0558A">
        <w:t xml:space="preserve"> issue, remanding the cases back to the Commission for the sole purpose of calculati</w:t>
      </w:r>
      <w:r w:rsidR="00082C85" w:rsidRPr="00E0558A">
        <w:t>ng the refund.</w:t>
      </w:r>
    </w:p>
    <w:p w14:paraId="4B4F83F8" w14:textId="299C0248" w:rsidR="00B963E5" w:rsidRPr="00E0558A" w:rsidRDefault="00A70761" w:rsidP="00421C96">
      <w:pPr>
        <w:pStyle w:val="Indent5DbSp"/>
        <w:spacing w:line="360" w:lineRule="auto"/>
        <w:ind w:firstLine="0"/>
      </w:pPr>
      <w:r w:rsidRPr="00E0558A">
        <w:t xml:space="preserve"> </w:t>
      </w:r>
    </w:p>
    <w:p w14:paraId="0CAD3E4D" w14:textId="11F30322" w:rsidR="003542BC" w:rsidRPr="00E0558A" w:rsidRDefault="00D6220D" w:rsidP="002224E1">
      <w:pPr>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 xml:space="preserve">In support of </w:t>
      </w:r>
      <w:r w:rsidR="0007757B" w:rsidRPr="00E0558A">
        <w:rPr>
          <w:rFonts w:ascii="Times New Roman" w:hAnsi="Times New Roman" w:cs="Times New Roman"/>
          <w:sz w:val="24"/>
          <w:szCs w:val="24"/>
        </w:rPr>
        <w:t xml:space="preserve">its position that </w:t>
      </w:r>
      <w:r w:rsidR="007230BE" w:rsidRPr="00E0558A">
        <w:rPr>
          <w:rFonts w:ascii="Times New Roman" w:eastAsia="Cambria" w:hAnsi="Times New Roman" w:cs="Times New Roman"/>
          <w:bCs/>
          <w:sz w:val="24"/>
          <w:szCs w:val="24"/>
        </w:rPr>
        <w:t xml:space="preserve">none of the SBG </w:t>
      </w:r>
      <w:r w:rsidR="00115E04" w:rsidRPr="00E0558A">
        <w:rPr>
          <w:rFonts w:ascii="Times New Roman" w:eastAsia="Cambria" w:hAnsi="Times New Roman" w:cs="Times New Roman"/>
          <w:bCs/>
          <w:sz w:val="24"/>
          <w:szCs w:val="24"/>
        </w:rPr>
        <w:t>p</w:t>
      </w:r>
      <w:r w:rsidR="007230BE" w:rsidRPr="00E0558A">
        <w:rPr>
          <w:rFonts w:ascii="Times New Roman" w:eastAsia="Cambria" w:hAnsi="Times New Roman" w:cs="Times New Roman"/>
          <w:bCs/>
          <w:sz w:val="24"/>
          <w:szCs w:val="24"/>
        </w:rPr>
        <w:t xml:space="preserve">arties’ </w:t>
      </w:r>
      <w:r w:rsidR="00115E04" w:rsidRPr="00E0558A">
        <w:rPr>
          <w:rFonts w:ascii="Times New Roman" w:eastAsia="Cambria" w:hAnsi="Times New Roman" w:cs="Times New Roman"/>
          <w:bCs/>
          <w:sz w:val="24"/>
          <w:szCs w:val="24"/>
        </w:rPr>
        <w:t>c</w:t>
      </w:r>
      <w:r w:rsidR="007230BE" w:rsidRPr="00E0558A">
        <w:rPr>
          <w:rFonts w:ascii="Times New Roman" w:eastAsia="Cambria" w:hAnsi="Times New Roman" w:cs="Times New Roman"/>
          <w:bCs/>
          <w:sz w:val="24"/>
          <w:szCs w:val="24"/>
        </w:rPr>
        <w:t xml:space="preserve">laims have been </w:t>
      </w:r>
      <w:r w:rsidR="00115E04" w:rsidRPr="00E0558A">
        <w:rPr>
          <w:rFonts w:ascii="Times New Roman" w:eastAsia="Cambria" w:hAnsi="Times New Roman" w:cs="Times New Roman"/>
          <w:bCs/>
          <w:sz w:val="24"/>
          <w:szCs w:val="24"/>
        </w:rPr>
        <w:t>f</w:t>
      </w:r>
      <w:r w:rsidR="007230BE" w:rsidRPr="00E0558A">
        <w:rPr>
          <w:rFonts w:ascii="Times New Roman" w:eastAsia="Cambria" w:hAnsi="Times New Roman" w:cs="Times New Roman"/>
          <w:bCs/>
          <w:sz w:val="24"/>
          <w:szCs w:val="24"/>
        </w:rPr>
        <w:t>oreclosed</w:t>
      </w:r>
      <w:r w:rsidR="00115E04" w:rsidRPr="00E0558A">
        <w:rPr>
          <w:rFonts w:ascii="Times New Roman" w:eastAsia="Cambria" w:hAnsi="Times New Roman" w:cs="Times New Roman"/>
          <w:bCs/>
          <w:sz w:val="24"/>
          <w:szCs w:val="24"/>
        </w:rPr>
        <w:t xml:space="preserve">, SBG relies on PGW’s language in two </w:t>
      </w:r>
      <w:r w:rsidR="00F674AF" w:rsidRPr="00E0558A">
        <w:rPr>
          <w:rFonts w:ascii="Times New Roman" w:eastAsia="Cambria" w:hAnsi="Times New Roman" w:cs="Times New Roman"/>
          <w:bCs/>
          <w:sz w:val="24"/>
          <w:szCs w:val="24"/>
        </w:rPr>
        <w:t>s</w:t>
      </w:r>
      <w:r w:rsidR="00115E04" w:rsidRPr="00E0558A">
        <w:rPr>
          <w:rFonts w:ascii="Times New Roman" w:eastAsia="Cambria" w:hAnsi="Times New Roman" w:cs="Times New Roman"/>
          <w:bCs/>
          <w:sz w:val="24"/>
          <w:szCs w:val="24"/>
        </w:rPr>
        <w:t xml:space="preserve">tatus </w:t>
      </w:r>
      <w:r w:rsidR="00F674AF" w:rsidRPr="00E0558A">
        <w:rPr>
          <w:rFonts w:ascii="Times New Roman" w:eastAsia="Cambria" w:hAnsi="Times New Roman" w:cs="Times New Roman"/>
          <w:bCs/>
          <w:sz w:val="24"/>
          <w:szCs w:val="24"/>
        </w:rPr>
        <w:t>r</w:t>
      </w:r>
      <w:r w:rsidR="00115E04" w:rsidRPr="00E0558A">
        <w:rPr>
          <w:rFonts w:ascii="Times New Roman" w:eastAsia="Cambria" w:hAnsi="Times New Roman" w:cs="Times New Roman"/>
          <w:bCs/>
          <w:sz w:val="24"/>
          <w:szCs w:val="24"/>
        </w:rPr>
        <w:t xml:space="preserve">eports filed by PGW on </w:t>
      </w:r>
      <w:r w:rsidR="00EC487A" w:rsidRPr="00E0558A">
        <w:rPr>
          <w:rFonts w:ascii="Times New Roman" w:eastAsia="Cambria" w:hAnsi="Times New Roman" w:cs="Times New Roman"/>
          <w:bCs/>
          <w:sz w:val="24"/>
          <w:szCs w:val="24"/>
        </w:rPr>
        <w:t>March 6, 2020</w:t>
      </w:r>
      <w:r w:rsidR="002A5AA5" w:rsidRPr="00E0558A">
        <w:rPr>
          <w:rFonts w:ascii="Times New Roman" w:eastAsia="Cambria" w:hAnsi="Times New Roman" w:cs="Times New Roman"/>
          <w:bCs/>
          <w:sz w:val="24"/>
          <w:szCs w:val="24"/>
        </w:rPr>
        <w:t>,</w:t>
      </w:r>
      <w:r w:rsidR="00EC487A" w:rsidRPr="00E0558A">
        <w:rPr>
          <w:rFonts w:ascii="Times New Roman" w:eastAsia="Cambria" w:hAnsi="Times New Roman" w:cs="Times New Roman"/>
          <w:bCs/>
          <w:sz w:val="24"/>
          <w:szCs w:val="24"/>
        </w:rPr>
        <w:t xml:space="preserve"> and </w:t>
      </w:r>
      <w:r w:rsidR="00963171" w:rsidRPr="00E0558A">
        <w:rPr>
          <w:rFonts w:ascii="Times New Roman" w:eastAsia="Cambria" w:hAnsi="Times New Roman" w:cs="Times New Roman"/>
          <w:bCs/>
          <w:sz w:val="24"/>
          <w:szCs w:val="24"/>
        </w:rPr>
        <w:t xml:space="preserve">July </w:t>
      </w:r>
      <w:r w:rsidR="00B77234" w:rsidRPr="00E0558A">
        <w:rPr>
          <w:rFonts w:ascii="Times New Roman" w:eastAsia="Cambria" w:hAnsi="Times New Roman" w:cs="Times New Roman"/>
          <w:bCs/>
          <w:sz w:val="24"/>
          <w:szCs w:val="24"/>
        </w:rPr>
        <w:t>6, 20</w:t>
      </w:r>
      <w:r w:rsidR="00EC487A" w:rsidRPr="00E0558A">
        <w:rPr>
          <w:rFonts w:ascii="Times New Roman" w:eastAsia="Cambria" w:hAnsi="Times New Roman" w:cs="Times New Roman"/>
          <w:bCs/>
          <w:sz w:val="24"/>
          <w:szCs w:val="24"/>
        </w:rPr>
        <w:t>21.</w:t>
      </w:r>
      <w:r w:rsidR="00B77234" w:rsidRPr="00E0558A">
        <w:rPr>
          <w:rFonts w:ascii="Times New Roman" w:eastAsia="Cambria" w:hAnsi="Times New Roman" w:cs="Times New Roman"/>
          <w:bCs/>
          <w:sz w:val="24"/>
          <w:szCs w:val="24"/>
        </w:rPr>
        <w:t xml:space="preserve"> </w:t>
      </w:r>
      <w:r w:rsidR="00F674AF" w:rsidRPr="00E0558A">
        <w:rPr>
          <w:rFonts w:ascii="Times New Roman" w:eastAsia="Cambria" w:hAnsi="Times New Roman" w:cs="Times New Roman"/>
          <w:bCs/>
          <w:sz w:val="24"/>
          <w:szCs w:val="24"/>
        </w:rPr>
        <w:t xml:space="preserve"> </w:t>
      </w:r>
      <w:r w:rsidR="00DE0AE9" w:rsidRPr="00E0558A">
        <w:rPr>
          <w:rFonts w:ascii="Times New Roman" w:eastAsia="Cambria" w:hAnsi="Times New Roman" w:cs="Times New Roman"/>
          <w:bCs/>
          <w:sz w:val="24"/>
          <w:szCs w:val="24"/>
        </w:rPr>
        <w:t xml:space="preserve">SBG Brief at </w:t>
      </w:r>
      <w:r w:rsidR="00D07B92" w:rsidRPr="00E0558A">
        <w:rPr>
          <w:rFonts w:ascii="Times New Roman" w:eastAsia="Cambria" w:hAnsi="Times New Roman" w:cs="Times New Roman"/>
          <w:bCs/>
          <w:sz w:val="24"/>
          <w:szCs w:val="24"/>
        </w:rPr>
        <w:t>11-12.</w:t>
      </w:r>
      <w:r w:rsidR="002516C1" w:rsidRPr="00E0558A">
        <w:rPr>
          <w:rFonts w:ascii="Times New Roman" w:eastAsia="Cambria" w:hAnsi="Times New Roman" w:cs="Times New Roman"/>
          <w:bCs/>
          <w:sz w:val="24"/>
          <w:szCs w:val="24"/>
        </w:rPr>
        <w:t xml:space="preserve"> </w:t>
      </w:r>
      <w:r w:rsidR="002E3EF5" w:rsidRPr="00E0558A">
        <w:rPr>
          <w:rFonts w:ascii="Times New Roman" w:eastAsia="Cambria" w:hAnsi="Times New Roman" w:cs="Times New Roman"/>
          <w:bCs/>
          <w:sz w:val="24"/>
          <w:szCs w:val="24"/>
        </w:rPr>
        <w:t xml:space="preserve"> </w:t>
      </w:r>
      <w:r w:rsidR="002516C1" w:rsidRPr="00E0558A">
        <w:rPr>
          <w:rFonts w:ascii="Times New Roman" w:eastAsia="Cambria" w:hAnsi="Times New Roman" w:cs="Times New Roman"/>
          <w:bCs/>
          <w:sz w:val="24"/>
          <w:szCs w:val="24"/>
        </w:rPr>
        <w:t xml:space="preserve">According </w:t>
      </w:r>
      <w:r w:rsidR="007441C3" w:rsidRPr="00E0558A">
        <w:rPr>
          <w:rFonts w:ascii="Times New Roman" w:eastAsia="Cambria" w:hAnsi="Times New Roman" w:cs="Times New Roman"/>
          <w:bCs/>
          <w:sz w:val="24"/>
          <w:szCs w:val="24"/>
        </w:rPr>
        <w:t xml:space="preserve">to SBG, in its </w:t>
      </w:r>
      <w:r w:rsidR="00986861" w:rsidRPr="00E0558A">
        <w:rPr>
          <w:rFonts w:ascii="Times New Roman" w:eastAsia="Cambria" w:hAnsi="Times New Roman" w:cs="Times New Roman"/>
          <w:bCs/>
          <w:sz w:val="24"/>
          <w:szCs w:val="24"/>
        </w:rPr>
        <w:t>Status Report dated March 6, 2020</w:t>
      </w:r>
      <w:r w:rsidR="003542BC" w:rsidRPr="00E0558A">
        <w:rPr>
          <w:rFonts w:ascii="Times New Roman" w:eastAsia="Cambria" w:hAnsi="Times New Roman" w:cs="Times New Roman"/>
          <w:bCs/>
          <w:sz w:val="24"/>
          <w:szCs w:val="24"/>
        </w:rPr>
        <w:t xml:space="preserve">, PGW </w:t>
      </w:r>
      <w:r w:rsidR="003542BC" w:rsidRPr="00E0558A">
        <w:rPr>
          <w:rFonts w:ascii="Times New Roman" w:hAnsi="Times New Roman" w:cs="Times New Roman"/>
          <w:sz w:val="24"/>
          <w:szCs w:val="24"/>
        </w:rPr>
        <w:t>stated that “Rule 1701 of the Pennsylvania Appellate Rules of Practice continue[d] to divest the Commission of jurisdiction over the ‘2012 Complaints</w:t>
      </w:r>
      <w:r w:rsidR="002E3EF5" w:rsidRPr="00E0558A">
        <w:rPr>
          <w:rFonts w:ascii="Times New Roman" w:hAnsi="Times New Roman" w:cs="Times New Roman"/>
          <w:sz w:val="24"/>
          <w:szCs w:val="24"/>
        </w:rPr>
        <w:t>….</w:t>
      </w:r>
      <w:r w:rsidR="003542BC" w:rsidRPr="00E0558A">
        <w:rPr>
          <w:rFonts w:ascii="Times New Roman" w:hAnsi="Times New Roman" w:cs="Times New Roman"/>
          <w:sz w:val="24"/>
          <w:szCs w:val="24"/>
        </w:rPr>
        <w:t xml:space="preserve">”  </w:t>
      </w:r>
      <w:r w:rsidR="003542BC" w:rsidRPr="00E0558A">
        <w:rPr>
          <w:rFonts w:ascii="Times New Roman" w:hAnsi="Times New Roman" w:cs="Times New Roman"/>
          <w:i/>
          <w:sz w:val="24"/>
          <w:szCs w:val="24"/>
        </w:rPr>
        <w:t>Id</w:t>
      </w:r>
      <w:r w:rsidR="003542BC" w:rsidRPr="00E0558A">
        <w:rPr>
          <w:rFonts w:ascii="Times New Roman" w:hAnsi="Times New Roman" w:cs="Times New Roman"/>
          <w:sz w:val="24"/>
          <w:szCs w:val="24"/>
        </w:rPr>
        <w:t xml:space="preserve">.  </w:t>
      </w:r>
      <w:r w:rsidR="007441C3" w:rsidRPr="00E0558A">
        <w:rPr>
          <w:rFonts w:ascii="Times New Roman" w:hAnsi="Times New Roman" w:cs="Times New Roman"/>
          <w:sz w:val="24"/>
          <w:szCs w:val="24"/>
        </w:rPr>
        <w:t xml:space="preserve">In the same document, </w:t>
      </w:r>
      <w:r w:rsidR="003542BC" w:rsidRPr="00E0558A">
        <w:rPr>
          <w:rFonts w:ascii="Times New Roman" w:hAnsi="Times New Roman" w:cs="Times New Roman"/>
          <w:sz w:val="24"/>
          <w:szCs w:val="24"/>
        </w:rPr>
        <w:t>PGW defined the 2012 Complaints as follows:</w:t>
      </w:r>
    </w:p>
    <w:p w14:paraId="2B1827A7" w14:textId="77777777" w:rsidR="00D97DE7" w:rsidRPr="00E0558A" w:rsidRDefault="00D97DE7" w:rsidP="002224E1">
      <w:pPr>
        <w:spacing w:after="0" w:line="360" w:lineRule="auto"/>
        <w:ind w:firstLine="1440"/>
        <w:rPr>
          <w:rFonts w:ascii="Times New Roman" w:hAnsi="Times New Roman" w:cs="Times New Roman"/>
          <w:sz w:val="24"/>
          <w:szCs w:val="24"/>
        </w:rPr>
      </w:pPr>
    </w:p>
    <w:p w14:paraId="75D3C14A" w14:textId="77777777" w:rsidR="00D2530E" w:rsidRPr="00E0558A" w:rsidRDefault="003542BC" w:rsidP="009C2AD6">
      <w:pPr>
        <w:tabs>
          <w:tab w:val="left" w:pos="7920"/>
        </w:tabs>
        <w:ind w:left="1440" w:right="1440"/>
        <w:rPr>
          <w:rFonts w:ascii="Times New Roman" w:hAnsi="Times New Roman" w:cs="Times New Roman"/>
          <w:sz w:val="24"/>
          <w:szCs w:val="24"/>
        </w:rPr>
      </w:pPr>
      <w:r w:rsidRPr="00E0558A">
        <w:rPr>
          <w:rFonts w:ascii="Times New Roman" w:hAnsi="Times New Roman" w:cs="Times New Roman"/>
          <w:sz w:val="24"/>
          <w:szCs w:val="24"/>
        </w:rPr>
        <w:t xml:space="preserve">The 2012 Complaints are at the following docket numbers: </w:t>
      </w:r>
    </w:p>
    <w:p w14:paraId="2858A95E" w14:textId="23DB461D" w:rsidR="003542BC" w:rsidRDefault="003542BC" w:rsidP="00421C96">
      <w:pPr>
        <w:tabs>
          <w:tab w:val="left" w:pos="7920"/>
        </w:tabs>
        <w:ind w:left="1440" w:right="1440"/>
        <w:rPr>
          <w:rFonts w:ascii="Times New Roman" w:hAnsi="Times New Roman" w:cs="Times New Roman"/>
          <w:sz w:val="24"/>
          <w:szCs w:val="24"/>
        </w:rPr>
      </w:pPr>
      <w:r w:rsidRPr="00E0558A">
        <w:rPr>
          <w:rFonts w:ascii="Times New Roman" w:hAnsi="Times New Roman" w:cs="Times New Roman"/>
          <w:sz w:val="24"/>
          <w:szCs w:val="24"/>
        </w:rPr>
        <w:t xml:space="preserve">C-2012-2304183 by Colonial Garden Realty Co., L.P. and SBG; C-2012-2304215 by Fairmont Manor Realty Co., L.P., and SBG; C-2012-2304324 by Simon Garden Realty Co., L.P., and SBG; </w:t>
      </w:r>
      <w:r w:rsidR="00D2530E"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C-2012-2304167 by Elrea Garden Realty Co., L.P., and SBG; </w:t>
      </w:r>
      <w:r w:rsidR="00D2530E" w:rsidRPr="00E0558A">
        <w:rPr>
          <w:rFonts w:ascii="Times New Roman" w:hAnsi="Times New Roman" w:cs="Times New Roman"/>
          <w:sz w:val="24"/>
          <w:szCs w:val="24"/>
        </w:rPr>
        <w:t xml:space="preserve">     </w:t>
      </w:r>
      <w:r w:rsidRPr="00E0558A">
        <w:rPr>
          <w:rFonts w:ascii="Times New Roman" w:hAnsi="Times New Roman" w:cs="Times New Roman"/>
          <w:sz w:val="24"/>
          <w:szCs w:val="24"/>
        </w:rPr>
        <w:t xml:space="preserve">C-2012-2304303 by Marshall Square Realty Co., L.P., and SBG; C-2012-2308454 by Marchwood Realty Co., L.P., and SBG; </w:t>
      </w:r>
      <w:r w:rsidR="00D2530E" w:rsidRPr="00E0558A">
        <w:rPr>
          <w:rFonts w:ascii="Times New Roman" w:hAnsi="Times New Roman" w:cs="Times New Roman"/>
          <w:sz w:val="24"/>
          <w:szCs w:val="24"/>
        </w:rPr>
        <w:t xml:space="preserve">      </w:t>
      </w:r>
      <w:r w:rsidRPr="00E0558A">
        <w:rPr>
          <w:rFonts w:ascii="Times New Roman" w:hAnsi="Times New Roman" w:cs="Times New Roman"/>
          <w:sz w:val="24"/>
          <w:szCs w:val="24"/>
        </w:rPr>
        <w:t>C-2012-2308462 by Oak Lane Court Realty Co., L.P., and SBG; and, C-2012-2308465 by Fern Rock Realty Co., L.P. and SBG.</w:t>
      </w:r>
    </w:p>
    <w:p w14:paraId="2E1D7E22" w14:textId="77777777" w:rsidR="00B22F88" w:rsidRPr="00E0558A" w:rsidRDefault="00B22F88" w:rsidP="00421C96">
      <w:pPr>
        <w:tabs>
          <w:tab w:val="left" w:pos="7920"/>
        </w:tabs>
        <w:ind w:left="1440" w:right="1440"/>
        <w:rPr>
          <w:rFonts w:ascii="Times New Roman" w:hAnsi="Times New Roman" w:cs="Times New Roman"/>
          <w:sz w:val="24"/>
          <w:szCs w:val="24"/>
        </w:rPr>
      </w:pPr>
    </w:p>
    <w:p w14:paraId="0E2247A0" w14:textId="2615788E" w:rsidR="003C5218" w:rsidRPr="00E0558A" w:rsidRDefault="003542BC" w:rsidP="004E3D0C">
      <w:pPr>
        <w:pStyle w:val="Indent5DbSp"/>
        <w:spacing w:line="360" w:lineRule="auto"/>
        <w:ind w:firstLine="0"/>
      </w:pPr>
      <w:r w:rsidRPr="00E0558A">
        <w:lastRenderedPageBreak/>
        <w:t xml:space="preserve">PGW Status Report, 3/6/2020, at 2 n.2.  </w:t>
      </w:r>
      <w:r w:rsidR="0041646F" w:rsidRPr="00E0558A">
        <w:t>A</w:t>
      </w:r>
      <w:r w:rsidR="005F4B6E" w:rsidRPr="00E0558A">
        <w:t xml:space="preserve">dditionally, SBG points out that in its </w:t>
      </w:r>
      <w:r w:rsidR="00D97DE7" w:rsidRPr="00E0558A">
        <w:t>S</w:t>
      </w:r>
      <w:r w:rsidR="00754DA7" w:rsidRPr="00E0558A">
        <w:t xml:space="preserve">tatus </w:t>
      </w:r>
      <w:r w:rsidR="00D97DE7" w:rsidRPr="00E0558A">
        <w:t>R</w:t>
      </w:r>
      <w:r w:rsidR="00754DA7" w:rsidRPr="00E0558A">
        <w:t>eport filed on July 6, 2021, PGW indicated to this Commission that</w:t>
      </w:r>
      <w:r w:rsidR="005F4B6E" w:rsidRPr="00E0558A">
        <w:t xml:space="preserve"> all </w:t>
      </w:r>
      <w:r w:rsidR="00754DA7" w:rsidRPr="00E0558A">
        <w:t xml:space="preserve">Complaints filed by SBG parties – including both the 2012 Complaints and the 2015 Complaints – were stayed and “should continue to be stayed pending the final disposition of the appellate proceedings before the Courts.”  </w:t>
      </w:r>
      <w:r w:rsidR="00754DA7" w:rsidRPr="00E0558A">
        <w:rPr>
          <w:i/>
        </w:rPr>
        <w:t>See</w:t>
      </w:r>
      <w:r w:rsidR="00754DA7" w:rsidRPr="00E0558A">
        <w:t xml:space="preserve"> </w:t>
      </w:r>
      <w:r w:rsidR="0041646F" w:rsidRPr="00E0558A">
        <w:t>SBG Brief at 12</w:t>
      </w:r>
      <w:r w:rsidR="00591DB9" w:rsidRPr="00E0558A">
        <w:t xml:space="preserve">, </w:t>
      </w:r>
      <w:r w:rsidR="00591DB9" w:rsidRPr="00E0558A">
        <w:rPr>
          <w:i/>
          <w:iCs/>
        </w:rPr>
        <w:t>citing</w:t>
      </w:r>
      <w:r w:rsidR="00591DB9" w:rsidRPr="00E0558A">
        <w:t xml:space="preserve"> </w:t>
      </w:r>
      <w:r w:rsidR="00754DA7" w:rsidRPr="00E0558A">
        <w:t xml:space="preserve">PGW Status Report, 7/6/21, at 2.  </w:t>
      </w:r>
    </w:p>
    <w:p w14:paraId="20BEB335" w14:textId="77777777" w:rsidR="009758BE" w:rsidRPr="00E0558A" w:rsidRDefault="009758BE" w:rsidP="004E3D0C">
      <w:pPr>
        <w:pStyle w:val="Indent5DbSp"/>
        <w:spacing w:line="360" w:lineRule="auto"/>
        <w:ind w:firstLine="0"/>
      </w:pPr>
    </w:p>
    <w:p w14:paraId="4898C24A" w14:textId="748DEEC7" w:rsidR="00B26E41" w:rsidRPr="00E0558A" w:rsidRDefault="001B205F" w:rsidP="00627179">
      <w:pPr>
        <w:spacing w:after="0" w:line="360" w:lineRule="auto"/>
        <w:ind w:right="720" w:firstLine="1440"/>
        <w:rPr>
          <w:rFonts w:ascii="Times New Roman" w:hAnsi="Times New Roman" w:cs="Times New Roman"/>
          <w:sz w:val="24"/>
          <w:szCs w:val="24"/>
        </w:rPr>
      </w:pPr>
      <w:r w:rsidRPr="00E0558A">
        <w:rPr>
          <w:rFonts w:ascii="Times New Roman" w:hAnsi="Times New Roman" w:cs="Times New Roman"/>
          <w:sz w:val="24"/>
          <w:szCs w:val="24"/>
          <w:shd w:val="clear" w:color="auto" w:fill="FFFFFF"/>
        </w:rPr>
        <w:t xml:space="preserve">The </w:t>
      </w:r>
      <w:r w:rsidR="00947CA0" w:rsidRPr="00E0558A">
        <w:rPr>
          <w:rFonts w:ascii="Times New Roman" w:hAnsi="Times New Roman" w:cs="Times New Roman"/>
          <w:sz w:val="24"/>
          <w:szCs w:val="24"/>
          <w:shd w:val="clear" w:color="auto" w:fill="FFFFFF"/>
        </w:rPr>
        <w:t>two status reports, however, were filed at two different stages of the appellate process</w:t>
      </w:r>
      <w:r w:rsidR="005D4315" w:rsidRPr="00E0558A">
        <w:rPr>
          <w:rFonts w:ascii="Times New Roman" w:hAnsi="Times New Roman" w:cs="Times New Roman"/>
          <w:sz w:val="24"/>
          <w:szCs w:val="24"/>
          <w:shd w:val="clear" w:color="auto" w:fill="FFFFFF"/>
        </w:rPr>
        <w:t xml:space="preserve">, so </w:t>
      </w:r>
      <w:r w:rsidR="002F5F56" w:rsidRPr="00E0558A">
        <w:rPr>
          <w:rFonts w:ascii="Times New Roman" w:hAnsi="Times New Roman" w:cs="Times New Roman"/>
          <w:sz w:val="24"/>
          <w:szCs w:val="24"/>
          <w:shd w:val="clear" w:color="auto" w:fill="FFFFFF"/>
        </w:rPr>
        <w:t>the “2012 Complaints”</w:t>
      </w:r>
      <w:r w:rsidR="008B2F5D" w:rsidRPr="00E0558A">
        <w:rPr>
          <w:rFonts w:ascii="Times New Roman" w:hAnsi="Times New Roman" w:cs="Times New Roman"/>
          <w:sz w:val="24"/>
          <w:szCs w:val="24"/>
          <w:shd w:val="clear" w:color="auto" w:fill="FFFFFF"/>
        </w:rPr>
        <w:t xml:space="preserve"> in the first status report does not </w:t>
      </w:r>
      <w:r w:rsidR="00264425" w:rsidRPr="00E0558A">
        <w:rPr>
          <w:rFonts w:ascii="Times New Roman" w:hAnsi="Times New Roman" w:cs="Times New Roman"/>
          <w:sz w:val="24"/>
          <w:szCs w:val="24"/>
          <w:shd w:val="clear" w:color="auto" w:fill="FFFFFF"/>
        </w:rPr>
        <w:t xml:space="preserve">necessarily </w:t>
      </w:r>
      <w:r w:rsidR="008B2F5D" w:rsidRPr="00E0558A">
        <w:rPr>
          <w:rFonts w:ascii="Times New Roman" w:hAnsi="Times New Roman" w:cs="Times New Roman"/>
          <w:sz w:val="24"/>
          <w:szCs w:val="24"/>
          <w:shd w:val="clear" w:color="auto" w:fill="FFFFFF"/>
        </w:rPr>
        <w:t>define the “2012 Complaints”</w:t>
      </w:r>
      <w:r w:rsidR="00264425" w:rsidRPr="00E0558A">
        <w:rPr>
          <w:rFonts w:ascii="Times New Roman" w:hAnsi="Times New Roman" w:cs="Times New Roman"/>
          <w:sz w:val="24"/>
          <w:szCs w:val="24"/>
          <w:shd w:val="clear" w:color="auto" w:fill="FFFFFF"/>
        </w:rPr>
        <w:t xml:space="preserve"> at issue in the second status report. </w:t>
      </w:r>
      <w:r w:rsidR="002F5F56" w:rsidRPr="00E0558A">
        <w:rPr>
          <w:rFonts w:ascii="Times New Roman" w:hAnsi="Times New Roman" w:cs="Times New Roman"/>
          <w:sz w:val="24"/>
          <w:szCs w:val="24"/>
          <w:shd w:val="clear" w:color="auto" w:fill="FFFFFF"/>
        </w:rPr>
        <w:t xml:space="preserve"> </w:t>
      </w:r>
      <w:r w:rsidR="00264425" w:rsidRPr="00E0558A">
        <w:rPr>
          <w:rFonts w:ascii="Times New Roman" w:hAnsi="Times New Roman" w:cs="Times New Roman"/>
          <w:sz w:val="24"/>
          <w:szCs w:val="24"/>
          <w:shd w:val="clear" w:color="auto" w:fill="FFFFFF"/>
        </w:rPr>
        <w:t xml:space="preserve">More importantly, </w:t>
      </w:r>
      <w:r w:rsidR="00275DB2" w:rsidRPr="00E0558A">
        <w:rPr>
          <w:rFonts w:ascii="Times New Roman" w:hAnsi="Times New Roman" w:cs="Times New Roman"/>
          <w:sz w:val="24"/>
          <w:szCs w:val="24"/>
          <w:shd w:val="clear" w:color="auto" w:fill="FFFFFF"/>
        </w:rPr>
        <w:t xml:space="preserve">even imprecise statements in PGW’s status reports </w:t>
      </w:r>
      <w:r w:rsidR="00F85324" w:rsidRPr="00E0558A">
        <w:rPr>
          <w:rFonts w:ascii="Times New Roman" w:hAnsi="Times New Roman" w:cs="Times New Roman"/>
          <w:sz w:val="24"/>
          <w:szCs w:val="24"/>
          <w:shd w:val="clear" w:color="auto" w:fill="FFFFFF"/>
        </w:rPr>
        <w:t xml:space="preserve">could not revive a claim that was concluded on appeal.  </w:t>
      </w:r>
      <w:r w:rsidR="00F85324" w:rsidRPr="00E0558A">
        <w:rPr>
          <w:rFonts w:ascii="Times New Roman" w:hAnsi="Times New Roman" w:cs="Times New Roman"/>
          <w:i/>
          <w:iCs/>
          <w:sz w:val="24"/>
          <w:szCs w:val="24"/>
          <w:shd w:val="clear" w:color="auto" w:fill="FFFFFF"/>
        </w:rPr>
        <w:t>See Philadelphia Gas Works v. Pennsylvania Public Utility Commission</w:t>
      </w:r>
      <w:r w:rsidR="00F85324" w:rsidRPr="00E0558A">
        <w:rPr>
          <w:rFonts w:ascii="Times New Roman" w:hAnsi="Times New Roman" w:cs="Times New Roman"/>
          <w:sz w:val="24"/>
          <w:szCs w:val="24"/>
          <w:shd w:val="clear" w:color="auto" w:fill="FFFFFF"/>
        </w:rPr>
        <w:t xml:space="preserve"> (</w:t>
      </w:r>
      <w:proofErr w:type="spellStart"/>
      <w:r w:rsidR="00F85324" w:rsidRPr="00E0558A">
        <w:rPr>
          <w:rFonts w:ascii="Times New Roman" w:hAnsi="Times New Roman" w:cs="Times New Roman"/>
          <w:sz w:val="24"/>
          <w:szCs w:val="24"/>
          <w:shd w:val="clear" w:color="auto" w:fill="FFFFFF"/>
        </w:rPr>
        <w:t>Pa.Cmwlth</w:t>
      </w:r>
      <w:proofErr w:type="spellEnd"/>
      <w:r w:rsidR="00F85324" w:rsidRPr="00E0558A">
        <w:rPr>
          <w:rFonts w:ascii="Times New Roman" w:hAnsi="Times New Roman" w:cs="Times New Roman"/>
          <w:sz w:val="24"/>
          <w:szCs w:val="24"/>
          <w:shd w:val="clear" w:color="auto" w:fill="FFFFFF"/>
        </w:rPr>
        <w:t xml:space="preserve">., No. 1404 C.D. 2018), and </w:t>
      </w:r>
      <w:r w:rsidR="00F85324" w:rsidRPr="00E0558A">
        <w:rPr>
          <w:rFonts w:ascii="Times New Roman" w:hAnsi="Times New Roman" w:cs="Times New Roman"/>
          <w:i/>
          <w:iCs/>
          <w:sz w:val="24"/>
          <w:szCs w:val="24"/>
          <w:shd w:val="clear" w:color="auto" w:fill="FFFFFF"/>
        </w:rPr>
        <w:t>Philadelphia Gas Works v. Pennsylvania Public Utility Commission</w:t>
      </w:r>
      <w:r w:rsidR="00F85324" w:rsidRPr="00E0558A">
        <w:rPr>
          <w:rFonts w:ascii="Times New Roman" w:hAnsi="Times New Roman" w:cs="Times New Roman"/>
          <w:sz w:val="24"/>
          <w:szCs w:val="24"/>
          <w:shd w:val="clear" w:color="auto" w:fill="FFFFFF"/>
        </w:rPr>
        <w:t xml:space="preserve"> (</w:t>
      </w:r>
      <w:proofErr w:type="spellStart"/>
      <w:r w:rsidR="00F85324" w:rsidRPr="00E0558A">
        <w:rPr>
          <w:rFonts w:ascii="Times New Roman" w:hAnsi="Times New Roman" w:cs="Times New Roman"/>
          <w:sz w:val="24"/>
          <w:szCs w:val="24"/>
          <w:shd w:val="clear" w:color="auto" w:fill="FFFFFF"/>
        </w:rPr>
        <w:t>Pa.Cmwlth</w:t>
      </w:r>
      <w:proofErr w:type="spellEnd"/>
      <w:r w:rsidR="00F85324" w:rsidRPr="00E0558A">
        <w:rPr>
          <w:rFonts w:ascii="Times New Roman" w:hAnsi="Times New Roman" w:cs="Times New Roman"/>
          <w:sz w:val="24"/>
          <w:szCs w:val="24"/>
          <w:shd w:val="clear" w:color="auto" w:fill="FFFFFF"/>
        </w:rPr>
        <w:t>., No. 1405 C.D. 2018).</w:t>
      </w:r>
      <w:r w:rsidR="00D523D1" w:rsidRPr="00E0558A">
        <w:rPr>
          <w:rFonts w:ascii="Times New Roman" w:hAnsi="Times New Roman" w:cs="Times New Roman"/>
          <w:sz w:val="24"/>
          <w:szCs w:val="24"/>
          <w:shd w:val="clear" w:color="auto" w:fill="FFFFFF"/>
        </w:rPr>
        <w:t xml:space="preserve">  </w:t>
      </w:r>
      <w:r w:rsidR="00F36AAD" w:rsidRPr="00E0558A">
        <w:rPr>
          <w:rFonts w:ascii="Times New Roman" w:hAnsi="Times New Roman" w:cs="Times New Roman"/>
          <w:sz w:val="24"/>
          <w:szCs w:val="24"/>
          <w:shd w:val="clear" w:color="auto" w:fill="FFFFFF"/>
        </w:rPr>
        <w:t xml:space="preserve">Because </w:t>
      </w:r>
      <w:r w:rsidR="00F5312E" w:rsidRPr="00E0558A">
        <w:rPr>
          <w:rFonts w:ascii="Times New Roman" w:hAnsi="Times New Roman" w:cs="Times New Roman"/>
          <w:sz w:val="24"/>
          <w:szCs w:val="24"/>
          <w:shd w:val="clear" w:color="auto" w:fill="FFFFFF"/>
        </w:rPr>
        <w:t xml:space="preserve">only Simon Garden and Colonial </w:t>
      </w:r>
      <w:r w:rsidR="00B64A41" w:rsidRPr="00E0558A">
        <w:rPr>
          <w:rFonts w:ascii="Times New Roman" w:hAnsi="Times New Roman" w:cs="Times New Roman"/>
          <w:sz w:val="24"/>
          <w:szCs w:val="24"/>
          <w:shd w:val="clear" w:color="auto" w:fill="FFFFFF"/>
        </w:rPr>
        <w:t>G</w:t>
      </w:r>
      <w:r w:rsidR="00F5312E" w:rsidRPr="00E0558A">
        <w:rPr>
          <w:rFonts w:ascii="Times New Roman" w:hAnsi="Times New Roman" w:cs="Times New Roman"/>
          <w:sz w:val="24"/>
          <w:szCs w:val="24"/>
          <w:shd w:val="clear" w:color="auto" w:fill="FFFFFF"/>
        </w:rPr>
        <w:t xml:space="preserve">arden appealed the </w:t>
      </w:r>
      <w:r w:rsidR="00B64A41" w:rsidRPr="00E0558A">
        <w:rPr>
          <w:rFonts w:ascii="Times New Roman" w:hAnsi="Times New Roman" w:cs="Times New Roman"/>
          <w:sz w:val="24"/>
          <w:szCs w:val="24"/>
          <w:shd w:val="clear" w:color="auto" w:fill="FFFFFF"/>
        </w:rPr>
        <w:t>Commonwealth</w:t>
      </w:r>
      <w:r w:rsidR="00F5312E" w:rsidRPr="00E0558A">
        <w:rPr>
          <w:rFonts w:ascii="Times New Roman" w:hAnsi="Times New Roman" w:cs="Times New Roman"/>
          <w:sz w:val="24"/>
          <w:szCs w:val="24"/>
          <w:shd w:val="clear" w:color="auto" w:fill="FFFFFF"/>
        </w:rPr>
        <w:t xml:space="preserve"> Court’s ruling in </w:t>
      </w:r>
      <w:r w:rsidR="00F5312E" w:rsidRPr="00E0558A">
        <w:rPr>
          <w:rFonts w:ascii="Times New Roman" w:hAnsi="Times New Roman" w:cs="Times New Roman"/>
          <w:i/>
          <w:iCs/>
          <w:sz w:val="24"/>
          <w:szCs w:val="24"/>
          <w:shd w:val="clear" w:color="auto" w:fill="FFFFFF"/>
        </w:rPr>
        <w:t>PGW I</w:t>
      </w:r>
      <w:r w:rsidR="00F5312E" w:rsidRPr="00E0558A">
        <w:rPr>
          <w:rFonts w:ascii="Times New Roman" w:hAnsi="Times New Roman" w:cs="Times New Roman"/>
          <w:sz w:val="24"/>
          <w:szCs w:val="24"/>
          <w:shd w:val="clear" w:color="auto" w:fill="FFFFFF"/>
        </w:rPr>
        <w:t xml:space="preserve"> </w:t>
      </w:r>
      <w:r w:rsidR="00AA6AC8" w:rsidRPr="00E0558A">
        <w:rPr>
          <w:rFonts w:ascii="Times New Roman" w:hAnsi="Times New Roman" w:cs="Times New Roman"/>
          <w:sz w:val="24"/>
          <w:szCs w:val="24"/>
          <w:shd w:val="clear" w:color="auto" w:fill="FFFFFF"/>
        </w:rPr>
        <w:t>(</w:t>
      </w:r>
      <w:r w:rsidR="009C7C8F" w:rsidRPr="00E0558A">
        <w:rPr>
          <w:rFonts w:ascii="Times New Roman" w:hAnsi="Times New Roman" w:cs="Times New Roman"/>
          <w:sz w:val="24"/>
          <w:szCs w:val="24"/>
          <w:shd w:val="clear" w:color="auto" w:fill="FFFFFF"/>
        </w:rPr>
        <w:t>regarding the 18% tariff rate</w:t>
      </w:r>
      <w:r w:rsidR="00AA6AC8" w:rsidRPr="00E0558A">
        <w:rPr>
          <w:rFonts w:ascii="Times New Roman" w:hAnsi="Times New Roman" w:cs="Times New Roman"/>
          <w:sz w:val="24"/>
          <w:szCs w:val="24"/>
          <w:shd w:val="clear" w:color="auto" w:fill="FFFFFF"/>
        </w:rPr>
        <w:t>)</w:t>
      </w:r>
      <w:r w:rsidR="009C7C8F" w:rsidRPr="00E0558A">
        <w:rPr>
          <w:rFonts w:ascii="Times New Roman" w:hAnsi="Times New Roman" w:cs="Times New Roman"/>
          <w:sz w:val="24"/>
          <w:szCs w:val="24"/>
          <w:shd w:val="clear" w:color="auto" w:fill="FFFFFF"/>
        </w:rPr>
        <w:t xml:space="preserve"> </w:t>
      </w:r>
      <w:r w:rsidR="00F5312E" w:rsidRPr="00E0558A">
        <w:rPr>
          <w:rFonts w:ascii="Times New Roman" w:hAnsi="Times New Roman" w:cs="Times New Roman"/>
          <w:sz w:val="24"/>
          <w:szCs w:val="24"/>
          <w:shd w:val="clear" w:color="auto" w:fill="FFFFFF"/>
        </w:rPr>
        <w:t>to the Supreme Court</w:t>
      </w:r>
      <w:r w:rsidR="00EA6529" w:rsidRPr="00E0558A">
        <w:rPr>
          <w:rFonts w:ascii="Times New Roman" w:hAnsi="Times New Roman" w:cs="Times New Roman"/>
          <w:sz w:val="24"/>
          <w:szCs w:val="24"/>
          <w:shd w:val="clear" w:color="auto" w:fill="FFFFFF"/>
        </w:rPr>
        <w:t xml:space="preserve">, and </w:t>
      </w:r>
      <w:r w:rsidR="004621BF" w:rsidRPr="00E0558A">
        <w:rPr>
          <w:rFonts w:ascii="Times New Roman" w:hAnsi="Times New Roman" w:cs="Times New Roman"/>
          <w:sz w:val="24"/>
          <w:szCs w:val="24"/>
          <w:shd w:val="clear" w:color="auto" w:fill="FFFFFF"/>
        </w:rPr>
        <w:t xml:space="preserve">because the Commonwealth Court </w:t>
      </w:r>
      <w:r w:rsidR="004621BF" w:rsidRPr="00E0558A">
        <w:rPr>
          <w:rFonts w:ascii="Times New Roman" w:hAnsi="Times New Roman" w:cs="Times New Roman"/>
          <w:sz w:val="24"/>
          <w:szCs w:val="24"/>
        </w:rPr>
        <w:t xml:space="preserve">held in </w:t>
      </w:r>
      <w:r w:rsidR="004621BF" w:rsidRPr="00E0558A">
        <w:rPr>
          <w:rFonts w:ascii="Times New Roman" w:hAnsi="Times New Roman" w:cs="Times New Roman"/>
          <w:i/>
          <w:iCs/>
          <w:sz w:val="24"/>
          <w:szCs w:val="24"/>
        </w:rPr>
        <w:t xml:space="preserve">PGW III </w:t>
      </w:r>
      <w:r w:rsidR="004621BF" w:rsidRPr="00E0558A">
        <w:rPr>
          <w:rFonts w:ascii="Times New Roman" w:hAnsi="Times New Roman" w:cs="Times New Roman"/>
          <w:sz w:val="24"/>
          <w:szCs w:val="24"/>
        </w:rPr>
        <w:t xml:space="preserve">that the Supreme Court’s decision in applies retroactively only to </w:t>
      </w:r>
      <w:r w:rsidR="004621BF" w:rsidRPr="00E0558A">
        <w:rPr>
          <w:rFonts w:ascii="Times New Roman" w:hAnsi="Times New Roman" w:cs="Times New Roman"/>
          <w:i/>
          <w:iCs/>
          <w:sz w:val="24"/>
          <w:szCs w:val="24"/>
        </w:rPr>
        <w:t>the</w:t>
      </w:r>
      <w:r w:rsidR="004621BF" w:rsidRPr="00E0558A">
        <w:rPr>
          <w:rFonts w:ascii="Times New Roman" w:hAnsi="Times New Roman" w:cs="Times New Roman"/>
          <w:sz w:val="24"/>
          <w:szCs w:val="24"/>
        </w:rPr>
        <w:t xml:space="preserve"> </w:t>
      </w:r>
      <w:r w:rsidR="004621BF" w:rsidRPr="00E0558A">
        <w:rPr>
          <w:rFonts w:ascii="Times New Roman" w:hAnsi="Times New Roman" w:cs="Times New Roman"/>
          <w:i/>
          <w:iCs/>
          <w:sz w:val="24"/>
          <w:szCs w:val="24"/>
        </w:rPr>
        <w:t>parties</w:t>
      </w:r>
      <w:r w:rsidR="004621BF" w:rsidRPr="00E0558A">
        <w:rPr>
          <w:rFonts w:ascii="Times New Roman" w:hAnsi="Times New Roman" w:cs="Times New Roman"/>
          <w:sz w:val="24"/>
          <w:szCs w:val="24"/>
        </w:rPr>
        <w:t xml:space="preserve"> of</w:t>
      </w:r>
      <w:r w:rsidR="004621BF" w:rsidRPr="00E0558A">
        <w:rPr>
          <w:rFonts w:ascii="Times New Roman" w:hAnsi="Times New Roman" w:cs="Times New Roman"/>
          <w:i/>
          <w:iCs/>
          <w:sz w:val="24"/>
          <w:szCs w:val="24"/>
        </w:rPr>
        <w:t xml:space="preserve"> PGW II </w:t>
      </w:r>
      <w:r w:rsidR="004621BF" w:rsidRPr="00E0558A">
        <w:rPr>
          <w:rFonts w:ascii="Times New Roman" w:hAnsi="Times New Roman" w:cs="Times New Roman"/>
          <w:sz w:val="24"/>
          <w:szCs w:val="24"/>
        </w:rPr>
        <w:t xml:space="preserve">as well as other proceedings pending at the time </w:t>
      </w:r>
      <w:r w:rsidR="004621BF" w:rsidRPr="00E0558A">
        <w:rPr>
          <w:rFonts w:ascii="Times New Roman" w:hAnsi="Times New Roman" w:cs="Times New Roman"/>
          <w:i/>
          <w:iCs/>
          <w:sz w:val="24"/>
          <w:szCs w:val="24"/>
        </w:rPr>
        <w:t>PGW II</w:t>
      </w:r>
      <w:r w:rsidR="004621BF" w:rsidRPr="00E0558A">
        <w:rPr>
          <w:rFonts w:ascii="Times New Roman" w:hAnsi="Times New Roman" w:cs="Times New Roman"/>
          <w:sz w:val="24"/>
          <w:szCs w:val="24"/>
        </w:rPr>
        <w:t xml:space="preserve"> was decided on April 28, 2021</w:t>
      </w:r>
      <w:r w:rsidR="007B085B" w:rsidRPr="00E0558A">
        <w:rPr>
          <w:rFonts w:ascii="Times New Roman" w:hAnsi="Times New Roman" w:cs="Times New Roman"/>
          <w:sz w:val="24"/>
          <w:szCs w:val="24"/>
        </w:rPr>
        <w:t xml:space="preserve">, only </w:t>
      </w:r>
      <w:r w:rsidR="007B085B" w:rsidRPr="00E0558A">
        <w:rPr>
          <w:rFonts w:ascii="Times New Roman" w:hAnsi="Times New Roman" w:cs="Times New Roman"/>
          <w:sz w:val="24"/>
          <w:szCs w:val="24"/>
          <w:shd w:val="clear" w:color="auto" w:fill="FFFFFF"/>
        </w:rPr>
        <w:t>Simon Garden’s and Colonial Garden’s 2012</w:t>
      </w:r>
      <w:r w:rsidR="00D9030E" w:rsidRPr="00E0558A">
        <w:rPr>
          <w:rFonts w:ascii="Times New Roman" w:hAnsi="Times New Roman" w:cs="Times New Roman"/>
          <w:sz w:val="24"/>
          <w:szCs w:val="24"/>
          <w:shd w:val="clear" w:color="auto" w:fill="FFFFFF"/>
        </w:rPr>
        <w:t xml:space="preserve"> Complaint</w:t>
      </w:r>
      <w:r w:rsidR="00627179" w:rsidRPr="00E0558A">
        <w:rPr>
          <w:rFonts w:ascii="Times New Roman" w:hAnsi="Times New Roman" w:cs="Times New Roman"/>
          <w:sz w:val="24"/>
          <w:szCs w:val="24"/>
          <w:shd w:val="clear" w:color="auto" w:fill="FFFFFF"/>
        </w:rPr>
        <w:t>s</w:t>
      </w:r>
      <w:r w:rsidR="00D9030E" w:rsidRPr="00E0558A">
        <w:rPr>
          <w:rFonts w:ascii="Times New Roman" w:hAnsi="Times New Roman" w:cs="Times New Roman"/>
          <w:sz w:val="24"/>
          <w:szCs w:val="24"/>
          <w:shd w:val="clear" w:color="auto" w:fill="FFFFFF"/>
        </w:rPr>
        <w:t xml:space="preserve"> claims </w:t>
      </w:r>
      <w:r w:rsidR="007B085B" w:rsidRPr="00E0558A">
        <w:rPr>
          <w:rFonts w:ascii="Times New Roman" w:hAnsi="Times New Roman" w:cs="Times New Roman"/>
          <w:sz w:val="24"/>
          <w:szCs w:val="24"/>
          <w:shd w:val="clear" w:color="auto" w:fill="FFFFFF"/>
        </w:rPr>
        <w:t>regarding the 18% tariff rate</w:t>
      </w:r>
      <w:r w:rsidR="00D9030E" w:rsidRPr="00E0558A">
        <w:rPr>
          <w:rFonts w:ascii="Times New Roman" w:hAnsi="Times New Roman" w:cs="Times New Roman"/>
          <w:sz w:val="24"/>
          <w:szCs w:val="24"/>
          <w:shd w:val="clear" w:color="auto" w:fill="FFFFFF"/>
        </w:rPr>
        <w:t xml:space="preserve"> survived the appellate process. </w:t>
      </w:r>
      <w:r w:rsidR="00013C6D" w:rsidRPr="00E0558A">
        <w:rPr>
          <w:rFonts w:ascii="Times New Roman" w:hAnsi="Times New Roman" w:cs="Times New Roman"/>
          <w:sz w:val="24"/>
          <w:szCs w:val="24"/>
          <w:shd w:val="clear" w:color="auto" w:fill="FFFFFF"/>
        </w:rPr>
        <w:t xml:space="preserve"> </w:t>
      </w:r>
      <w:r w:rsidR="00D9030E" w:rsidRPr="00E0558A">
        <w:rPr>
          <w:rFonts w:ascii="Times New Roman" w:hAnsi="Times New Roman" w:cs="Times New Roman"/>
          <w:sz w:val="24"/>
          <w:szCs w:val="24"/>
          <w:shd w:val="clear" w:color="auto" w:fill="FFFFFF"/>
        </w:rPr>
        <w:t>Similar claims from the 2012 Complaints of</w:t>
      </w:r>
      <w:r w:rsidR="00F438E9" w:rsidRPr="00E0558A">
        <w:rPr>
          <w:rFonts w:ascii="Times New Roman" w:hAnsi="Times New Roman" w:cs="Times New Roman"/>
          <w:sz w:val="24"/>
          <w:szCs w:val="24"/>
          <w:shd w:val="clear" w:color="auto" w:fill="FFFFFF"/>
        </w:rPr>
        <w:t xml:space="preserve"> </w:t>
      </w:r>
      <w:r w:rsidR="00D9030E" w:rsidRPr="00E0558A">
        <w:rPr>
          <w:rFonts w:ascii="Times New Roman" w:hAnsi="Times New Roman" w:cs="Times New Roman"/>
          <w:sz w:val="24"/>
          <w:szCs w:val="24"/>
        </w:rPr>
        <w:t xml:space="preserve">Fairmont Manor </w:t>
      </w:r>
      <w:r w:rsidR="001B7D2A" w:rsidRPr="00E0558A">
        <w:rPr>
          <w:rFonts w:ascii="Times New Roman" w:hAnsi="Times New Roman" w:cs="Times New Roman"/>
          <w:sz w:val="24"/>
          <w:szCs w:val="24"/>
        </w:rPr>
        <w:t>(Docket No. C-2012-2304215)</w:t>
      </w:r>
      <w:r w:rsidR="005F2122" w:rsidRPr="00E0558A">
        <w:rPr>
          <w:rFonts w:ascii="Times New Roman" w:hAnsi="Times New Roman" w:cs="Times New Roman"/>
          <w:sz w:val="24"/>
          <w:szCs w:val="24"/>
        </w:rPr>
        <w:t>,</w:t>
      </w:r>
      <w:r w:rsidR="00D9030E" w:rsidRPr="00E0558A">
        <w:rPr>
          <w:rFonts w:ascii="Times New Roman" w:hAnsi="Times New Roman" w:cs="Times New Roman"/>
          <w:sz w:val="24"/>
          <w:szCs w:val="24"/>
        </w:rPr>
        <w:t xml:space="preserve"> Elrea </w:t>
      </w:r>
      <w:r w:rsidR="005F2122" w:rsidRPr="00E0558A">
        <w:rPr>
          <w:rFonts w:ascii="Times New Roman" w:hAnsi="Times New Roman" w:cs="Times New Roman"/>
          <w:sz w:val="24"/>
          <w:szCs w:val="24"/>
        </w:rPr>
        <w:t xml:space="preserve">Garden (Docket No. C-2012-2304167, </w:t>
      </w:r>
      <w:r w:rsidR="00D9030E" w:rsidRPr="00E0558A">
        <w:rPr>
          <w:rFonts w:ascii="Times New Roman" w:hAnsi="Times New Roman" w:cs="Times New Roman"/>
          <w:sz w:val="24"/>
          <w:szCs w:val="24"/>
        </w:rPr>
        <w:t xml:space="preserve">Marshall Square </w:t>
      </w:r>
      <w:r w:rsidR="00B1180A" w:rsidRPr="00E0558A">
        <w:rPr>
          <w:rFonts w:ascii="Times New Roman" w:hAnsi="Times New Roman" w:cs="Times New Roman"/>
          <w:sz w:val="24"/>
          <w:szCs w:val="24"/>
        </w:rPr>
        <w:t>(Docket No. C-2012-2304303</w:t>
      </w:r>
      <w:r w:rsidR="005A0D1B" w:rsidRPr="00E0558A">
        <w:rPr>
          <w:rFonts w:ascii="Times New Roman" w:hAnsi="Times New Roman" w:cs="Times New Roman"/>
          <w:sz w:val="24"/>
          <w:szCs w:val="24"/>
        </w:rPr>
        <w:t>)</w:t>
      </w:r>
      <w:r w:rsidR="00D9030E" w:rsidRPr="00E0558A">
        <w:rPr>
          <w:rFonts w:ascii="Times New Roman" w:hAnsi="Times New Roman" w:cs="Times New Roman"/>
          <w:sz w:val="24"/>
          <w:szCs w:val="24"/>
        </w:rPr>
        <w:t xml:space="preserve"> Marchwood </w:t>
      </w:r>
      <w:r w:rsidR="00B1180A" w:rsidRPr="00E0558A">
        <w:rPr>
          <w:rFonts w:ascii="Times New Roman" w:hAnsi="Times New Roman" w:cs="Times New Roman"/>
          <w:sz w:val="24"/>
          <w:szCs w:val="24"/>
        </w:rPr>
        <w:t>(Docket No. C-2012-2308454)</w:t>
      </w:r>
      <w:r w:rsidR="005A0D1B" w:rsidRPr="00E0558A">
        <w:rPr>
          <w:rFonts w:ascii="Times New Roman" w:hAnsi="Times New Roman" w:cs="Times New Roman"/>
          <w:sz w:val="24"/>
          <w:szCs w:val="24"/>
        </w:rPr>
        <w:t xml:space="preserve">, </w:t>
      </w:r>
      <w:r w:rsidR="00D9030E" w:rsidRPr="00E0558A">
        <w:rPr>
          <w:rFonts w:ascii="Times New Roman" w:hAnsi="Times New Roman" w:cs="Times New Roman"/>
          <w:sz w:val="24"/>
          <w:szCs w:val="24"/>
        </w:rPr>
        <w:t xml:space="preserve">Oak Lane </w:t>
      </w:r>
      <w:r w:rsidR="005A0D1B" w:rsidRPr="00E0558A">
        <w:rPr>
          <w:rFonts w:ascii="Times New Roman" w:hAnsi="Times New Roman" w:cs="Times New Roman"/>
          <w:sz w:val="24"/>
          <w:szCs w:val="24"/>
        </w:rPr>
        <w:t>(Docket No. C-2012-2308462)</w:t>
      </w:r>
      <w:r w:rsidR="00D9030E" w:rsidRPr="00E0558A">
        <w:rPr>
          <w:rFonts w:ascii="Times New Roman" w:hAnsi="Times New Roman" w:cs="Times New Roman"/>
          <w:sz w:val="24"/>
          <w:szCs w:val="24"/>
        </w:rPr>
        <w:t>,</w:t>
      </w:r>
      <w:r w:rsidR="005A0D1B" w:rsidRPr="00E0558A">
        <w:rPr>
          <w:rFonts w:ascii="Times New Roman" w:hAnsi="Times New Roman" w:cs="Times New Roman"/>
          <w:sz w:val="24"/>
          <w:szCs w:val="24"/>
        </w:rPr>
        <w:t xml:space="preserve"> and</w:t>
      </w:r>
      <w:r w:rsidR="00D9030E" w:rsidRPr="00E0558A">
        <w:rPr>
          <w:rFonts w:ascii="Times New Roman" w:hAnsi="Times New Roman" w:cs="Times New Roman"/>
          <w:sz w:val="24"/>
          <w:szCs w:val="24"/>
        </w:rPr>
        <w:t xml:space="preserve"> Fern Rock </w:t>
      </w:r>
      <w:r w:rsidR="003A4D63" w:rsidRPr="00E0558A">
        <w:rPr>
          <w:rFonts w:ascii="Times New Roman" w:hAnsi="Times New Roman" w:cs="Times New Roman"/>
          <w:sz w:val="24"/>
          <w:szCs w:val="24"/>
        </w:rPr>
        <w:t>(Docket No. C-2012-2308465) have been foreclosed.</w:t>
      </w:r>
      <w:r w:rsidR="00431065" w:rsidRPr="00E0558A">
        <w:rPr>
          <w:rStyle w:val="FootnoteReference"/>
          <w:rFonts w:ascii="Times New Roman" w:hAnsi="Times New Roman" w:cs="Times New Roman"/>
          <w:sz w:val="24"/>
          <w:szCs w:val="24"/>
        </w:rPr>
        <w:footnoteReference w:id="21"/>
      </w:r>
      <w:r w:rsidR="0051089E" w:rsidRPr="00E0558A">
        <w:rPr>
          <w:rFonts w:ascii="Times New Roman" w:hAnsi="Times New Roman" w:cs="Times New Roman"/>
          <w:sz w:val="24"/>
          <w:szCs w:val="24"/>
        </w:rPr>
        <w:t xml:space="preserve">  </w:t>
      </w:r>
      <w:bookmarkStart w:id="15" w:name="_Toc120541826"/>
    </w:p>
    <w:p w14:paraId="0693A226" w14:textId="77777777" w:rsidR="00B26E41" w:rsidRPr="00E0558A" w:rsidRDefault="00B26E41" w:rsidP="00B26E41">
      <w:pPr>
        <w:ind w:right="720" w:firstLine="1440"/>
        <w:rPr>
          <w:rFonts w:ascii="Times New Roman" w:hAnsi="Times New Roman" w:cs="Times New Roman"/>
          <w:sz w:val="24"/>
          <w:szCs w:val="24"/>
        </w:rPr>
      </w:pPr>
    </w:p>
    <w:p w14:paraId="37DC3DCC" w14:textId="755139FE" w:rsidR="00595247" w:rsidRPr="00E0558A" w:rsidRDefault="00B26E41" w:rsidP="008D54F0">
      <w:pPr>
        <w:pStyle w:val="ListParagraph"/>
        <w:numPr>
          <w:ilvl w:val="1"/>
          <w:numId w:val="4"/>
        </w:numPr>
        <w:ind w:right="720"/>
        <w:rPr>
          <w:rFonts w:ascii="Times New Roman" w:hAnsi="Times New Roman" w:cs="Times New Roman"/>
          <w:b/>
          <w:bCs/>
          <w:sz w:val="24"/>
          <w:szCs w:val="24"/>
        </w:rPr>
      </w:pPr>
      <w:r w:rsidRPr="00E0558A">
        <w:rPr>
          <w:rFonts w:ascii="Times New Roman" w:hAnsi="Times New Roman" w:cs="Times New Roman"/>
          <w:b/>
          <w:bCs/>
          <w:sz w:val="24"/>
          <w:szCs w:val="24"/>
        </w:rPr>
        <w:t>Whether t</w:t>
      </w:r>
      <w:r w:rsidR="00503A06" w:rsidRPr="00E0558A">
        <w:rPr>
          <w:rFonts w:ascii="Times New Roman" w:hAnsi="Times New Roman" w:cs="Times New Roman"/>
          <w:b/>
          <w:bCs/>
          <w:sz w:val="24"/>
          <w:szCs w:val="24"/>
        </w:rPr>
        <w:t>his action should be dismissed because it is duplicative of the 2021 Civil Action filed by Complainants in the Philadelphia Court of Common Pleas currently pending disposition.</w:t>
      </w:r>
      <w:bookmarkEnd w:id="15"/>
    </w:p>
    <w:p w14:paraId="3094E64D" w14:textId="56EAFFC2" w:rsidR="00F91E50" w:rsidRPr="00E0558A" w:rsidRDefault="00595247" w:rsidP="00013C6D">
      <w:pPr>
        <w:pStyle w:val="Indent5DbSp"/>
        <w:ind w:firstLine="1440"/>
      </w:pPr>
      <w:r w:rsidRPr="00E0558A">
        <w:t>In its Motion, PGW</w:t>
      </w:r>
      <w:r w:rsidR="004078C9" w:rsidRPr="00E0558A">
        <w:t xml:space="preserve"> states</w:t>
      </w:r>
      <w:r w:rsidR="008F44F9" w:rsidRPr="00E0558A">
        <w:t>,</w:t>
      </w:r>
      <w:r w:rsidR="004078C9" w:rsidRPr="00E0558A">
        <w:t xml:space="preserve"> </w:t>
      </w:r>
    </w:p>
    <w:p w14:paraId="0C67EC0B" w14:textId="040E4401" w:rsidR="007105AF" w:rsidRDefault="00595247" w:rsidP="008D54F0">
      <w:pPr>
        <w:pStyle w:val="Indent5DbSp"/>
        <w:spacing w:line="240" w:lineRule="auto"/>
        <w:ind w:left="1440" w:right="1440" w:firstLine="0"/>
      </w:pPr>
      <w:r w:rsidRPr="00E0558A">
        <w:lastRenderedPageBreak/>
        <w:t xml:space="preserve">The complaints should be </w:t>
      </w:r>
      <w:r w:rsidR="00576499" w:rsidRPr="00E0558A">
        <w:t>dismissed,</w:t>
      </w:r>
      <w:r w:rsidRPr="00E0558A">
        <w:t xml:space="preserve"> and action should be deferred on the issues and claims involving judgments and post-judgment relief because: (a) they are the same inquiry that is subject of a pending 2021 Civil Action before the Philadelphia Court of </w:t>
      </w:r>
    </w:p>
    <w:p w14:paraId="1BC70FFA" w14:textId="3DAB829C" w:rsidR="007105AF" w:rsidRDefault="007105AF">
      <w:pPr>
        <w:spacing w:line="259" w:lineRule="auto"/>
        <w:rPr>
          <w:rFonts w:ascii="Times New Roman" w:eastAsia="Calibri" w:hAnsi="Times New Roman" w:cs="Times New Roman"/>
          <w:sz w:val="24"/>
          <w:szCs w:val="24"/>
        </w:rPr>
      </w:pPr>
    </w:p>
    <w:p w14:paraId="61FCA154" w14:textId="325389A5" w:rsidR="008D54F0" w:rsidRPr="00E0558A" w:rsidRDefault="00595247" w:rsidP="008D54F0">
      <w:pPr>
        <w:pStyle w:val="Indent5DbSp"/>
        <w:spacing w:line="240" w:lineRule="auto"/>
        <w:ind w:left="1440" w:right="1440" w:firstLine="0"/>
      </w:pPr>
      <w:r w:rsidRPr="00E0558A">
        <w:t xml:space="preserve">Common </w:t>
      </w:r>
      <w:proofErr w:type="gramStart"/>
      <w:r w:rsidRPr="00E0558A">
        <w:t>Pleas;</w:t>
      </w:r>
      <w:proofErr w:type="gramEnd"/>
      <w:r w:rsidRPr="00E0558A">
        <w:t xml:space="preserve"> (b) the Commission cannot award monetary damages or review the judgments at issue; </w:t>
      </w:r>
      <w:r w:rsidR="00B1662F" w:rsidRPr="00E0558A">
        <w:t>and</w:t>
      </w:r>
      <w:r w:rsidRPr="00E0558A">
        <w:t xml:space="preserve"> (c) any Commission action on the issues would be an improper collateral attack on the pending decision of the Trial Court in the 2021 Civil Action.</w:t>
      </w:r>
    </w:p>
    <w:p w14:paraId="4B776A7F" w14:textId="77777777" w:rsidR="008D54F0" w:rsidRPr="00E0558A" w:rsidRDefault="008D54F0" w:rsidP="008D54F0">
      <w:pPr>
        <w:pStyle w:val="Indent5DbSp"/>
        <w:spacing w:line="240" w:lineRule="auto"/>
        <w:ind w:right="1440" w:firstLine="0"/>
      </w:pPr>
    </w:p>
    <w:p w14:paraId="032DF220" w14:textId="77777777" w:rsidR="00C02D75" w:rsidRPr="00E0558A" w:rsidRDefault="00BA2BB9" w:rsidP="00C02D75">
      <w:pPr>
        <w:pStyle w:val="Indent5DbSp"/>
        <w:spacing w:line="360" w:lineRule="auto"/>
        <w:ind w:firstLine="0"/>
      </w:pPr>
      <w:r w:rsidRPr="00E0558A">
        <w:t>Motion at 12.</w:t>
      </w:r>
      <w:r w:rsidR="00350182" w:rsidRPr="00E0558A">
        <w:t xml:space="preserve"> </w:t>
      </w:r>
      <w:r w:rsidR="007846B2" w:rsidRPr="00E0558A">
        <w:t xml:space="preserve"> </w:t>
      </w:r>
      <w:r w:rsidR="00350182" w:rsidRPr="00E0558A">
        <w:t>PGW argues that it should not be forced to defend against the same claims in different forums at the same time.</w:t>
      </w:r>
      <w:r w:rsidR="00B608CA" w:rsidRPr="00E0558A">
        <w:t xml:space="preserve"> </w:t>
      </w:r>
      <w:r w:rsidR="008D54F0" w:rsidRPr="00E0558A">
        <w:t xml:space="preserve"> </w:t>
      </w:r>
      <w:r w:rsidR="008D54F0" w:rsidRPr="00E0558A">
        <w:rPr>
          <w:i/>
          <w:iCs/>
        </w:rPr>
        <w:t>Id.</w:t>
      </w:r>
      <w:r w:rsidR="008D54F0" w:rsidRPr="00E0558A">
        <w:t xml:space="preserve">  </w:t>
      </w:r>
      <w:r w:rsidR="001B1848" w:rsidRPr="00E0558A">
        <w:t>According to PGW, c</w:t>
      </w:r>
      <w:r w:rsidR="00B608CA" w:rsidRPr="00E0558A">
        <w:t xml:space="preserve">ontinuing this matter in a parallel race to disposition with the Trial Court does not serve judicial efficiency and is a waste of the parties’ resources, especially where only one forum, the Trial Court, is properly vested with the authority to rule on claims under the Lien Law and award any post-judgment, monetary relief to the extent it is or is not warranted. </w:t>
      </w:r>
      <w:r w:rsidR="00D91836" w:rsidRPr="00E0558A">
        <w:t>PGW requests that the</w:t>
      </w:r>
      <w:r w:rsidR="00B608CA" w:rsidRPr="00E0558A">
        <w:t xml:space="preserve"> Commission defer any further action to the Trial Court</w:t>
      </w:r>
      <w:r w:rsidR="00BD59D1" w:rsidRPr="00E0558A">
        <w:t xml:space="preserve"> and “dismiss the Complaints.”  Motion at </w:t>
      </w:r>
      <w:r w:rsidR="003000C9" w:rsidRPr="00E0558A">
        <w:t>13.</w:t>
      </w:r>
    </w:p>
    <w:p w14:paraId="01FFFC41" w14:textId="77777777" w:rsidR="00C02D75" w:rsidRPr="00E0558A" w:rsidRDefault="00C02D75" w:rsidP="00C02D75">
      <w:pPr>
        <w:pStyle w:val="Indent5DbSp"/>
        <w:spacing w:line="360" w:lineRule="auto"/>
        <w:ind w:firstLine="0"/>
      </w:pPr>
    </w:p>
    <w:p w14:paraId="31883CB8" w14:textId="5CD60AF9" w:rsidR="004B447A" w:rsidRDefault="000F40C1" w:rsidP="00C02D75">
      <w:pPr>
        <w:pStyle w:val="Indent5DbSp"/>
        <w:spacing w:line="360" w:lineRule="auto"/>
        <w:ind w:firstLine="1440"/>
        <w:rPr>
          <w:rFonts w:eastAsia="Cambria"/>
        </w:rPr>
      </w:pPr>
      <w:r w:rsidRPr="00E0558A">
        <w:rPr>
          <w:rFonts w:eastAsia="Cambria"/>
        </w:rPr>
        <w:t>In its Response, S</w:t>
      </w:r>
      <w:r w:rsidR="001A6362" w:rsidRPr="00E0558A">
        <w:rPr>
          <w:rFonts w:eastAsia="Cambria"/>
        </w:rPr>
        <w:t>BG disagrees.  In particular, SBG states that, “</w:t>
      </w:r>
      <w:r w:rsidR="004B447A" w:rsidRPr="00E0558A">
        <w:rPr>
          <w:rFonts w:eastAsia="Cambria"/>
        </w:rPr>
        <w:t>This matter and the Common Pleas action are actually complementary.  Each tribunal has its own functions, and what the PUC decides in this instance can and will inform and guide the Common Pleas Court in its determinations in the 2021 action.</w:t>
      </w:r>
      <w:r w:rsidR="004822FC" w:rsidRPr="00E0558A">
        <w:rPr>
          <w:rFonts w:eastAsia="Cambria"/>
        </w:rPr>
        <w:t>”</w:t>
      </w:r>
      <w:r w:rsidR="00C41E7A" w:rsidRPr="00E0558A">
        <w:rPr>
          <w:rFonts w:eastAsia="Cambria"/>
        </w:rPr>
        <w:t xml:space="preserve">  Response at 11.</w:t>
      </w:r>
      <w:r w:rsidR="004822FC" w:rsidRPr="00E0558A">
        <w:rPr>
          <w:rFonts w:eastAsia="Cambria"/>
        </w:rPr>
        <w:t xml:space="preserve">  It further explains, </w:t>
      </w:r>
    </w:p>
    <w:p w14:paraId="1A6FC7E1" w14:textId="77777777" w:rsidR="003B20B7" w:rsidRPr="00E0558A" w:rsidRDefault="003B20B7" w:rsidP="00C02D75">
      <w:pPr>
        <w:pStyle w:val="Indent5DbSp"/>
        <w:spacing w:line="360" w:lineRule="auto"/>
        <w:ind w:firstLine="1440"/>
      </w:pPr>
    </w:p>
    <w:p w14:paraId="528E3AB4" w14:textId="49D44A05" w:rsidR="004B447A" w:rsidRPr="00E0558A" w:rsidRDefault="004B447A" w:rsidP="000F7DF6">
      <w:pPr>
        <w:spacing w:after="0" w:line="240" w:lineRule="auto"/>
        <w:ind w:left="1440" w:right="1440"/>
        <w:rPr>
          <w:rFonts w:ascii="Times New Roman" w:eastAsia="Cambria" w:hAnsi="Times New Roman" w:cs="Times New Roman"/>
          <w:sz w:val="24"/>
          <w:szCs w:val="24"/>
        </w:rPr>
      </w:pPr>
      <w:r w:rsidRPr="00E0558A">
        <w:rPr>
          <w:rFonts w:ascii="Times New Roman" w:eastAsia="Cambria" w:hAnsi="Times New Roman" w:cs="Times New Roman"/>
          <w:sz w:val="24"/>
          <w:szCs w:val="24"/>
        </w:rPr>
        <w:t>The PUC is tasked with determining the rate issue and calculating how much PGW overcharged SBG.</w:t>
      </w:r>
      <w:r w:rsidR="00827D58" w:rsidRPr="00E0558A">
        <w:rPr>
          <w:rFonts w:ascii="Times New Roman" w:eastAsia="Cambria" w:hAnsi="Times New Roman" w:cs="Times New Roman"/>
          <w:sz w:val="24"/>
          <w:szCs w:val="24"/>
        </w:rPr>
        <w:t xml:space="preserve"> [</w:t>
      </w:r>
      <w:r w:rsidR="00607DCC" w:rsidRPr="00E0558A">
        <w:rPr>
          <w:rFonts w:ascii="Times New Roman" w:eastAsia="Cambria" w:hAnsi="Times New Roman" w:cs="Times New Roman"/>
          <w:sz w:val="24"/>
          <w:szCs w:val="24"/>
        </w:rPr>
        <w:t xml:space="preserve"> ] </w:t>
      </w:r>
      <w:r w:rsidRPr="00E0558A">
        <w:rPr>
          <w:rFonts w:ascii="Times New Roman" w:eastAsia="Cambria" w:hAnsi="Times New Roman" w:cs="Times New Roman"/>
          <w:sz w:val="24"/>
          <w:szCs w:val="24"/>
        </w:rPr>
        <w:t xml:space="preserve">To receive a refund or repayment from PGW, SBG must seek redress in the Court of Common Pleas.  But this redress does not – and should not – require the Court of Common Pleas to issue a rate determination as to the overcharged amounts.  While the Court is capable of determining the overcharged amounts, this body has the authority and jurisdiction to do so.  </w:t>
      </w:r>
      <w:r w:rsidRPr="00E0558A">
        <w:rPr>
          <w:rFonts w:ascii="Times New Roman" w:eastAsia="Cambria" w:hAnsi="Times New Roman" w:cs="Times New Roman"/>
          <w:i/>
          <w:sz w:val="24"/>
          <w:szCs w:val="24"/>
        </w:rPr>
        <w:t>See Bell Tel. Co.</w:t>
      </w:r>
      <w:r w:rsidRPr="00E0558A">
        <w:rPr>
          <w:rFonts w:ascii="Times New Roman" w:eastAsia="Cambria" w:hAnsi="Times New Roman" w:cs="Times New Roman"/>
          <w:sz w:val="24"/>
          <w:szCs w:val="24"/>
        </w:rPr>
        <w:t>, 50 A.2d at 688 (explaining the Commission, however, is equipped to redress “complaining of rates or regulations which [are] under [its] control”).  This is a rate determination.  The Commission should decide how much</w:t>
      </w:r>
      <w:r w:rsidRPr="00E0558A">
        <w:rPr>
          <w:rFonts w:ascii="Times New Roman" w:eastAsia="Cambria" w:hAnsi="Times New Roman" w:cs="Times New Roman"/>
          <w:i/>
          <w:sz w:val="24"/>
          <w:szCs w:val="24"/>
        </w:rPr>
        <w:t xml:space="preserve"> </w:t>
      </w:r>
      <w:r w:rsidRPr="00E0558A">
        <w:rPr>
          <w:rFonts w:ascii="Times New Roman" w:eastAsia="Cambria" w:hAnsi="Times New Roman" w:cs="Times New Roman"/>
          <w:sz w:val="24"/>
          <w:szCs w:val="24"/>
        </w:rPr>
        <w:t xml:space="preserve">PGW overcharged </w:t>
      </w:r>
      <w:r w:rsidR="00B1662F" w:rsidRPr="00E0558A">
        <w:rPr>
          <w:rFonts w:ascii="Times New Roman" w:eastAsia="Cambria" w:hAnsi="Times New Roman" w:cs="Times New Roman"/>
          <w:sz w:val="24"/>
          <w:szCs w:val="24"/>
        </w:rPr>
        <w:t>SBG,</w:t>
      </w:r>
      <w:r w:rsidRPr="00E0558A">
        <w:rPr>
          <w:rFonts w:ascii="Times New Roman" w:eastAsia="Cambria" w:hAnsi="Times New Roman" w:cs="Times New Roman"/>
          <w:sz w:val="24"/>
          <w:szCs w:val="24"/>
        </w:rPr>
        <w:t xml:space="preserve"> and the amount of the refund required.  Enforcement of any relief lies within the authority of the Common Pleas Court.  Given the discrete functions of the Commission and the Court of Common Pleas, it is plain that this matter is not duplicative.</w:t>
      </w:r>
    </w:p>
    <w:p w14:paraId="445B7190" w14:textId="0A469F5C" w:rsidR="005A1394" w:rsidRPr="00E0558A" w:rsidRDefault="000F7DF6" w:rsidP="003542BC">
      <w:pPr>
        <w:pStyle w:val="Indent5DbSp"/>
        <w:ind w:firstLine="0"/>
        <w:rPr>
          <w:i/>
          <w:iCs/>
        </w:rPr>
      </w:pPr>
      <w:r w:rsidRPr="00E0558A">
        <w:rPr>
          <w:i/>
          <w:iCs/>
        </w:rPr>
        <w:lastRenderedPageBreak/>
        <w:t>Id.</w:t>
      </w:r>
    </w:p>
    <w:p w14:paraId="7239DBD6" w14:textId="12F2C360" w:rsidR="00DA5421" w:rsidRPr="00E0558A" w:rsidRDefault="009A49A6" w:rsidP="00F61A13">
      <w:pPr>
        <w:autoSpaceDE w:val="0"/>
        <w:autoSpaceDN w:val="0"/>
        <w:adjustRightInd w:val="0"/>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 xml:space="preserve">Not much is known by the undersigned </w:t>
      </w:r>
      <w:r w:rsidR="00F61A13" w:rsidRPr="00E0558A">
        <w:rPr>
          <w:rFonts w:ascii="Times New Roman" w:hAnsi="Times New Roman" w:cs="Times New Roman"/>
          <w:sz w:val="24"/>
          <w:szCs w:val="24"/>
        </w:rPr>
        <w:t xml:space="preserve">about </w:t>
      </w:r>
      <w:r w:rsidRPr="00E0558A">
        <w:rPr>
          <w:rFonts w:ascii="Times New Roman" w:hAnsi="Times New Roman" w:cs="Times New Roman"/>
          <w:sz w:val="24"/>
          <w:szCs w:val="24"/>
        </w:rPr>
        <w:t>the 2021 Civil Action filed by Complainants in the Philadelphia Court of Common Pleas</w:t>
      </w:r>
      <w:r w:rsidR="00DB45E0" w:rsidRPr="00E0558A">
        <w:rPr>
          <w:rFonts w:ascii="Times New Roman" w:hAnsi="Times New Roman" w:cs="Times New Roman"/>
          <w:sz w:val="24"/>
          <w:szCs w:val="24"/>
        </w:rPr>
        <w:t xml:space="preserve">. </w:t>
      </w:r>
      <w:r w:rsidR="00F61A13" w:rsidRPr="00E0558A">
        <w:rPr>
          <w:rFonts w:ascii="Times New Roman" w:hAnsi="Times New Roman" w:cs="Times New Roman"/>
          <w:sz w:val="24"/>
          <w:szCs w:val="24"/>
        </w:rPr>
        <w:t xml:space="preserve"> </w:t>
      </w:r>
      <w:r w:rsidR="00DB45E0" w:rsidRPr="00E0558A">
        <w:rPr>
          <w:rFonts w:ascii="Times New Roman" w:hAnsi="Times New Roman" w:cs="Times New Roman"/>
          <w:sz w:val="24"/>
          <w:szCs w:val="24"/>
        </w:rPr>
        <w:t xml:space="preserve">The sole document </w:t>
      </w:r>
      <w:r w:rsidR="00E91753" w:rsidRPr="00E0558A">
        <w:rPr>
          <w:rFonts w:ascii="Times New Roman" w:hAnsi="Times New Roman" w:cs="Times New Roman"/>
          <w:sz w:val="24"/>
          <w:szCs w:val="24"/>
        </w:rPr>
        <w:t xml:space="preserve">submitted </w:t>
      </w:r>
      <w:r w:rsidR="004F34AE" w:rsidRPr="00E0558A">
        <w:rPr>
          <w:rFonts w:ascii="Times New Roman" w:hAnsi="Times New Roman" w:cs="Times New Roman"/>
          <w:sz w:val="24"/>
          <w:szCs w:val="24"/>
        </w:rPr>
        <w:t>from the 2021 Civil Action w</w:t>
      </w:r>
      <w:r w:rsidR="008E529E" w:rsidRPr="00E0558A">
        <w:rPr>
          <w:rFonts w:ascii="Times New Roman" w:hAnsi="Times New Roman" w:cs="Times New Roman"/>
          <w:sz w:val="24"/>
          <w:szCs w:val="24"/>
        </w:rPr>
        <w:t>as the “Third Amended Complaint</w:t>
      </w:r>
      <w:r w:rsidR="00910D75" w:rsidRPr="00E0558A">
        <w:rPr>
          <w:rFonts w:ascii="Times New Roman" w:hAnsi="Times New Roman" w:cs="Times New Roman"/>
          <w:sz w:val="24"/>
          <w:szCs w:val="24"/>
        </w:rPr>
        <w:t xml:space="preserve">” filed </w:t>
      </w:r>
      <w:r w:rsidR="00837842" w:rsidRPr="00E0558A">
        <w:rPr>
          <w:rFonts w:ascii="Times New Roman" w:hAnsi="Times New Roman" w:cs="Times New Roman"/>
          <w:sz w:val="24"/>
          <w:szCs w:val="24"/>
        </w:rPr>
        <w:t xml:space="preserve">with the Philadelphia Court of Common Pleas </w:t>
      </w:r>
      <w:r w:rsidR="00910D75" w:rsidRPr="00E0558A">
        <w:rPr>
          <w:rFonts w:ascii="Times New Roman" w:hAnsi="Times New Roman" w:cs="Times New Roman"/>
          <w:sz w:val="24"/>
          <w:szCs w:val="24"/>
        </w:rPr>
        <w:t>by SBG Management Services</w:t>
      </w:r>
      <w:r w:rsidR="0085425C" w:rsidRPr="00E0558A">
        <w:rPr>
          <w:rFonts w:ascii="Times New Roman" w:hAnsi="Times New Roman" w:cs="Times New Roman"/>
          <w:sz w:val="24"/>
          <w:szCs w:val="24"/>
        </w:rPr>
        <w:t>, Inc., et al. against City of Philadelphia C/O Philadelphia Gas Works</w:t>
      </w:r>
      <w:r w:rsidR="00837842" w:rsidRPr="00E0558A">
        <w:rPr>
          <w:rFonts w:ascii="Times New Roman" w:hAnsi="Times New Roman" w:cs="Times New Roman"/>
          <w:sz w:val="24"/>
          <w:szCs w:val="24"/>
        </w:rPr>
        <w:t xml:space="preserve"> (Case ID: </w:t>
      </w:r>
      <w:r w:rsidR="00535D24" w:rsidRPr="00E0558A">
        <w:rPr>
          <w:rFonts w:ascii="Times New Roman" w:hAnsi="Times New Roman" w:cs="Times New Roman"/>
          <w:sz w:val="24"/>
          <w:szCs w:val="24"/>
        </w:rPr>
        <w:t>210402801)</w:t>
      </w:r>
      <w:r w:rsidR="00417A2F" w:rsidRPr="00E0558A">
        <w:rPr>
          <w:rFonts w:ascii="Times New Roman" w:hAnsi="Times New Roman" w:cs="Times New Roman"/>
          <w:sz w:val="24"/>
          <w:szCs w:val="24"/>
        </w:rPr>
        <w:t>.</w:t>
      </w:r>
      <w:r w:rsidR="00417A2F" w:rsidRPr="00E0558A">
        <w:rPr>
          <w:rStyle w:val="FootnoteReference"/>
          <w:rFonts w:ascii="Times New Roman" w:hAnsi="Times New Roman" w:cs="Times New Roman"/>
          <w:sz w:val="24"/>
          <w:szCs w:val="24"/>
        </w:rPr>
        <w:footnoteReference w:id="22"/>
      </w:r>
      <w:r w:rsidR="00433D3F" w:rsidRPr="00E0558A">
        <w:rPr>
          <w:rFonts w:ascii="Times New Roman" w:hAnsi="Times New Roman" w:cs="Times New Roman"/>
          <w:sz w:val="24"/>
          <w:szCs w:val="24"/>
        </w:rPr>
        <w:t xml:space="preserve">  The Third Amended Complaint contains two counts</w:t>
      </w:r>
      <w:r w:rsidR="00126CE3" w:rsidRPr="00E0558A">
        <w:rPr>
          <w:rFonts w:ascii="Times New Roman" w:hAnsi="Times New Roman" w:cs="Times New Roman"/>
          <w:sz w:val="24"/>
          <w:szCs w:val="24"/>
        </w:rPr>
        <w:t xml:space="preserve">, one for breach of contract and one for unjust enrichment. </w:t>
      </w:r>
      <w:r w:rsidR="004C0538" w:rsidRPr="00E0558A">
        <w:rPr>
          <w:rFonts w:ascii="Times New Roman" w:hAnsi="Times New Roman" w:cs="Times New Roman"/>
          <w:sz w:val="24"/>
          <w:szCs w:val="24"/>
        </w:rPr>
        <w:t xml:space="preserve"> Under the </w:t>
      </w:r>
      <w:r w:rsidR="00E3667E" w:rsidRPr="00E0558A">
        <w:rPr>
          <w:rFonts w:ascii="Times New Roman" w:hAnsi="Times New Roman" w:cs="Times New Roman"/>
          <w:sz w:val="24"/>
          <w:szCs w:val="24"/>
        </w:rPr>
        <w:t xml:space="preserve">breach of contract claim, SBG </w:t>
      </w:r>
      <w:r w:rsidR="000926A1" w:rsidRPr="00E0558A">
        <w:rPr>
          <w:rFonts w:ascii="Times New Roman" w:hAnsi="Times New Roman" w:cs="Times New Roman"/>
          <w:sz w:val="24"/>
          <w:szCs w:val="24"/>
        </w:rPr>
        <w:t>avers that</w:t>
      </w:r>
      <w:r w:rsidR="00F61A13" w:rsidRPr="00E0558A">
        <w:rPr>
          <w:rFonts w:ascii="Times New Roman" w:hAnsi="Times New Roman" w:cs="Times New Roman"/>
          <w:sz w:val="24"/>
          <w:szCs w:val="24"/>
        </w:rPr>
        <w:t>,</w:t>
      </w:r>
    </w:p>
    <w:p w14:paraId="7704208C" w14:textId="77777777" w:rsidR="006970B8" w:rsidRPr="00E0558A" w:rsidRDefault="006970B8" w:rsidP="00A96B3C">
      <w:pPr>
        <w:autoSpaceDE w:val="0"/>
        <w:autoSpaceDN w:val="0"/>
        <w:adjustRightInd w:val="0"/>
        <w:spacing w:after="0" w:line="360" w:lineRule="auto"/>
        <w:rPr>
          <w:rFonts w:ascii="Times New Roman" w:hAnsi="Times New Roman" w:cs="Times New Roman"/>
          <w:sz w:val="24"/>
          <w:szCs w:val="24"/>
        </w:rPr>
      </w:pPr>
    </w:p>
    <w:p w14:paraId="7609F778" w14:textId="2FCD7F90" w:rsidR="00DA5421" w:rsidRPr="00E0558A" w:rsidRDefault="00325243" w:rsidP="00F61A13">
      <w:pPr>
        <w:autoSpaceDE w:val="0"/>
        <w:autoSpaceDN w:val="0"/>
        <w:adjustRightInd w:val="0"/>
        <w:spacing w:after="0"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rPr>
        <w:t>118.</w:t>
      </w:r>
      <w:r w:rsidRPr="00E0558A">
        <w:rPr>
          <w:rFonts w:ascii="Times New Roman" w:hAnsi="Times New Roman" w:cs="Times New Roman"/>
          <w:sz w:val="24"/>
          <w:szCs w:val="24"/>
        </w:rPr>
        <w:tab/>
        <w:t xml:space="preserve">Plaintiffs have incurred hundreds of million of dollars in damages from the improper billing practices of PGW (and/or the City), which collected and overcharged Plaintiffs for late fees, </w:t>
      </w:r>
      <w:r w:rsidR="0024745E" w:rsidRPr="00E0558A">
        <w:rPr>
          <w:rFonts w:ascii="Times New Roman" w:hAnsi="Times New Roman" w:cs="Times New Roman"/>
          <w:sz w:val="24"/>
          <w:szCs w:val="24"/>
        </w:rPr>
        <w:t>costs,</w:t>
      </w:r>
      <w:r w:rsidRPr="00E0558A">
        <w:rPr>
          <w:rFonts w:ascii="Times New Roman" w:hAnsi="Times New Roman" w:cs="Times New Roman"/>
          <w:sz w:val="24"/>
          <w:szCs w:val="24"/>
        </w:rPr>
        <w:t xml:space="preserve"> and interest by wrongly applying the 18% tariff rate to delinquent amounts docketed as municipal liens.</w:t>
      </w:r>
    </w:p>
    <w:p w14:paraId="5EFC7761" w14:textId="48A534D3" w:rsidR="00DA5421" w:rsidRPr="00E0558A" w:rsidRDefault="00325243" w:rsidP="00F61A13">
      <w:pPr>
        <w:autoSpaceDE w:val="0"/>
        <w:autoSpaceDN w:val="0"/>
        <w:adjustRightInd w:val="0"/>
        <w:spacing w:after="0" w:line="240" w:lineRule="auto"/>
        <w:ind w:left="1440" w:right="1440"/>
        <w:rPr>
          <w:rFonts w:ascii="Times New Roman" w:hAnsi="Times New Roman" w:cs="Times New Roman"/>
          <w:sz w:val="24"/>
          <w:szCs w:val="24"/>
        </w:rPr>
      </w:pPr>
      <w:r w:rsidRPr="00E0558A">
        <w:rPr>
          <w:rFonts w:ascii="Times New Roman" w:hAnsi="Times New Roman" w:cs="Times New Roman"/>
          <w:sz w:val="24"/>
          <w:szCs w:val="24"/>
        </w:rPr>
        <w:t>119.</w:t>
      </w:r>
      <w:r w:rsidRPr="00E0558A">
        <w:rPr>
          <w:rFonts w:ascii="Times New Roman" w:hAnsi="Times New Roman" w:cs="Times New Roman"/>
          <w:sz w:val="24"/>
          <w:szCs w:val="24"/>
        </w:rPr>
        <w:tab/>
      </w:r>
      <w:r w:rsidR="004C0538" w:rsidRPr="00E0558A">
        <w:rPr>
          <w:rFonts w:ascii="Times New Roman" w:hAnsi="Times New Roman" w:cs="Times New Roman"/>
          <w:sz w:val="24"/>
          <w:szCs w:val="24"/>
        </w:rPr>
        <w:t>As a direct and proximate cause of PGW’s (and/or the City’s) breach, Plaintiffs</w:t>
      </w:r>
      <w:r w:rsidR="000926A1" w:rsidRPr="00E0558A">
        <w:rPr>
          <w:rFonts w:ascii="Times New Roman" w:hAnsi="Times New Roman" w:cs="Times New Roman"/>
          <w:sz w:val="24"/>
          <w:szCs w:val="24"/>
        </w:rPr>
        <w:t xml:space="preserve"> </w:t>
      </w:r>
      <w:r w:rsidR="004C0538" w:rsidRPr="00E0558A">
        <w:rPr>
          <w:rFonts w:ascii="Times New Roman" w:hAnsi="Times New Roman" w:cs="Times New Roman"/>
          <w:sz w:val="24"/>
          <w:szCs w:val="24"/>
        </w:rPr>
        <w:t>have suffered damages in an amount in excess of $10,245,000.00, exclusive of interest,</w:t>
      </w:r>
      <w:r w:rsidR="000926A1" w:rsidRPr="00E0558A">
        <w:rPr>
          <w:rFonts w:ascii="Times New Roman" w:hAnsi="Times New Roman" w:cs="Times New Roman"/>
          <w:sz w:val="24"/>
          <w:szCs w:val="24"/>
        </w:rPr>
        <w:t xml:space="preserve"> </w:t>
      </w:r>
      <w:r w:rsidR="004C0538" w:rsidRPr="00E0558A">
        <w:rPr>
          <w:rFonts w:ascii="Times New Roman" w:hAnsi="Times New Roman" w:cs="Times New Roman"/>
          <w:sz w:val="24"/>
          <w:szCs w:val="24"/>
        </w:rPr>
        <w:t>attorneys’ fees, and costs.</w:t>
      </w:r>
      <w:r w:rsidR="000926A1" w:rsidRPr="00E0558A">
        <w:rPr>
          <w:rFonts w:ascii="Times New Roman" w:hAnsi="Times New Roman" w:cs="Times New Roman"/>
          <w:sz w:val="24"/>
          <w:szCs w:val="24"/>
        </w:rPr>
        <w:t xml:space="preserve">” </w:t>
      </w:r>
    </w:p>
    <w:p w14:paraId="5613990C" w14:textId="77777777" w:rsidR="00325243" w:rsidRPr="00E0558A" w:rsidRDefault="00325243" w:rsidP="00A96B3C">
      <w:pPr>
        <w:autoSpaceDE w:val="0"/>
        <w:autoSpaceDN w:val="0"/>
        <w:adjustRightInd w:val="0"/>
        <w:spacing w:after="0" w:line="360" w:lineRule="auto"/>
        <w:ind w:left="720" w:right="720"/>
        <w:rPr>
          <w:rFonts w:ascii="Times New Roman" w:hAnsi="Times New Roman" w:cs="Times New Roman"/>
          <w:sz w:val="24"/>
          <w:szCs w:val="24"/>
        </w:rPr>
      </w:pPr>
    </w:p>
    <w:p w14:paraId="398C8326" w14:textId="12022284" w:rsidR="009A61A5" w:rsidRPr="00E0558A" w:rsidRDefault="000926A1" w:rsidP="00D83C78">
      <w:pPr>
        <w:autoSpaceDE w:val="0"/>
        <w:autoSpaceDN w:val="0"/>
        <w:adjustRightInd w:val="0"/>
        <w:spacing w:after="0" w:line="360" w:lineRule="auto"/>
        <w:rPr>
          <w:rFonts w:ascii="Times New Roman" w:hAnsi="Times New Roman" w:cs="Times New Roman"/>
          <w:sz w:val="24"/>
          <w:szCs w:val="24"/>
        </w:rPr>
      </w:pPr>
      <w:r w:rsidRPr="00E0558A">
        <w:rPr>
          <w:rFonts w:ascii="Times New Roman" w:hAnsi="Times New Roman" w:cs="Times New Roman"/>
          <w:sz w:val="24"/>
          <w:szCs w:val="24"/>
        </w:rPr>
        <w:t>2021 Civil Action, Third Amended Complaint</w:t>
      </w:r>
      <w:r w:rsidR="006970B8" w:rsidRPr="00E0558A">
        <w:rPr>
          <w:rFonts w:ascii="Times New Roman" w:hAnsi="Times New Roman" w:cs="Times New Roman"/>
          <w:sz w:val="24"/>
          <w:szCs w:val="24"/>
        </w:rPr>
        <w:t xml:space="preserve">, </w:t>
      </w:r>
      <m:oMath>
        <m:r>
          <w:rPr>
            <w:rFonts w:ascii="Cambria Math" w:hAnsi="Cambria Math" w:cs="Times New Roman"/>
            <w:sz w:val="24"/>
            <w:szCs w:val="24"/>
          </w:rPr>
          <m:t>¶¶ 118</m:t>
        </m:r>
      </m:oMath>
      <w:r w:rsidR="00A86AAE" w:rsidRPr="00E0558A">
        <w:rPr>
          <w:rFonts w:ascii="Times New Roman" w:eastAsiaTheme="minorEastAsia" w:hAnsi="Times New Roman" w:cs="Times New Roman"/>
          <w:sz w:val="24"/>
          <w:szCs w:val="24"/>
        </w:rPr>
        <w:t>-19.</w:t>
      </w:r>
      <w:r w:rsidR="007446F0" w:rsidRPr="00E0558A">
        <w:rPr>
          <w:rFonts w:ascii="Times New Roman" w:eastAsiaTheme="minorEastAsia" w:hAnsi="Times New Roman" w:cs="Times New Roman"/>
          <w:sz w:val="24"/>
          <w:szCs w:val="24"/>
        </w:rPr>
        <w:t xml:space="preserve">  As relief, SBG demands </w:t>
      </w:r>
      <w:r w:rsidR="00717741" w:rsidRPr="00E0558A">
        <w:rPr>
          <w:rFonts w:ascii="Times New Roman" w:eastAsiaTheme="minorEastAsia" w:hAnsi="Times New Roman" w:cs="Times New Roman"/>
          <w:sz w:val="24"/>
          <w:szCs w:val="24"/>
        </w:rPr>
        <w:t xml:space="preserve">entry of a judgment in their favor in the amount of </w:t>
      </w:r>
      <w:r w:rsidR="00717741" w:rsidRPr="00E0558A">
        <w:rPr>
          <w:rFonts w:ascii="Times New Roman" w:hAnsi="Times New Roman" w:cs="Times New Roman"/>
          <w:sz w:val="24"/>
          <w:szCs w:val="24"/>
        </w:rPr>
        <w:t>$10,245,000.00</w:t>
      </w:r>
      <w:r w:rsidR="00D63FD3" w:rsidRPr="00E0558A">
        <w:rPr>
          <w:rFonts w:ascii="Times New Roman" w:hAnsi="Times New Roman" w:cs="Times New Roman"/>
          <w:sz w:val="24"/>
          <w:szCs w:val="24"/>
        </w:rPr>
        <w:t>, plus interest, costs, and any and all additional relief as may be deemed appropriate by the Court.</w:t>
      </w:r>
    </w:p>
    <w:p w14:paraId="76F2D979" w14:textId="1DD0CBAF" w:rsidR="00D63FD3" w:rsidRPr="00E0558A" w:rsidRDefault="00D63FD3" w:rsidP="00D83C78">
      <w:pPr>
        <w:autoSpaceDE w:val="0"/>
        <w:autoSpaceDN w:val="0"/>
        <w:adjustRightInd w:val="0"/>
        <w:spacing w:after="0" w:line="360" w:lineRule="auto"/>
        <w:ind w:firstLine="1440"/>
        <w:rPr>
          <w:rFonts w:ascii="Times New Roman" w:hAnsi="Times New Roman" w:cs="Times New Roman"/>
          <w:sz w:val="24"/>
          <w:szCs w:val="24"/>
        </w:rPr>
      </w:pPr>
    </w:p>
    <w:p w14:paraId="6E22A814" w14:textId="179FE989" w:rsidR="00B54170" w:rsidRPr="00E0558A" w:rsidRDefault="007D1AE1" w:rsidP="00D83C78">
      <w:pPr>
        <w:autoSpaceDE w:val="0"/>
        <w:autoSpaceDN w:val="0"/>
        <w:adjustRightInd w:val="0"/>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 xml:space="preserve">The </w:t>
      </w:r>
      <w:r w:rsidR="00B54170" w:rsidRPr="00E0558A">
        <w:rPr>
          <w:rFonts w:ascii="Times New Roman" w:hAnsi="Times New Roman" w:cs="Times New Roman"/>
          <w:sz w:val="24"/>
          <w:szCs w:val="24"/>
        </w:rPr>
        <w:t xml:space="preserve">unjust enrichment claim </w:t>
      </w:r>
      <w:r w:rsidR="007373B4" w:rsidRPr="00E0558A">
        <w:rPr>
          <w:rFonts w:ascii="Times New Roman" w:hAnsi="Times New Roman" w:cs="Times New Roman"/>
          <w:sz w:val="24"/>
          <w:szCs w:val="24"/>
        </w:rPr>
        <w:t>was pled in the alternative to the contract claim under Count I.</w:t>
      </w:r>
      <w:r w:rsidR="00A133DF" w:rsidRPr="00E0558A">
        <w:rPr>
          <w:rFonts w:ascii="Times New Roman" w:hAnsi="Times New Roman" w:cs="Times New Roman"/>
          <w:sz w:val="24"/>
          <w:szCs w:val="24"/>
        </w:rPr>
        <w:t xml:space="preserve">  </w:t>
      </w:r>
      <w:r w:rsidR="00A133DF" w:rsidRPr="00E0558A">
        <w:rPr>
          <w:rFonts w:ascii="Times New Roman" w:hAnsi="Times New Roman" w:cs="Times New Roman"/>
          <w:i/>
          <w:iCs/>
          <w:sz w:val="24"/>
          <w:szCs w:val="24"/>
        </w:rPr>
        <w:t>Id.</w:t>
      </w:r>
      <w:r w:rsidR="00A133DF" w:rsidRPr="00E0558A">
        <w:rPr>
          <w:rFonts w:ascii="Times New Roman" w:hAnsi="Times New Roman" w:cs="Times New Roman"/>
          <w:sz w:val="24"/>
          <w:szCs w:val="24"/>
        </w:rPr>
        <w:t xml:space="preserve"> at ¶</w:t>
      </w:r>
      <w:r w:rsidR="009A50C7" w:rsidRPr="00E0558A">
        <w:rPr>
          <w:rFonts w:ascii="Times New Roman" w:hAnsi="Times New Roman" w:cs="Times New Roman"/>
          <w:sz w:val="24"/>
          <w:szCs w:val="24"/>
        </w:rPr>
        <w:t xml:space="preserve"> </w:t>
      </w:r>
      <w:r w:rsidR="00A133DF" w:rsidRPr="00E0558A">
        <w:rPr>
          <w:rFonts w:ascii="Times New Roman" w:hAnsi="Times New Roman" w:cs="Times New Roman"/>
          <w:sz w:val="24"/>
          <w:szCs w:val="24"/>
        </w:rPr>
        <w:t xml:space="preserve">123. </w:t>
      </w:r>
      <w:r w:rsidR="008169E7" w:rsidRPr="00E0558A">
        <w:rPr>
          <w:rFonts w:ascii="Times New Roman" w:hAnsi="Times New Roman" w:cs="Times New Roman"/>
          <w:sz w:val="24"/>
          <w:szCs w:val="24"/>
        </w:rPr>
        <w:t xml:space="preserve"> </w:t>
      </w:r>
      <w:r w:rsidR="00A133DF" w:rsidRPr="00E0558A">
        <w:rPr>
          <w:rFonts w:ascii="Times New Roman" w:hAnsi="Times New Roman" w:cs="Times New Roman"/>
          <w:sz w:val="24"/>
          <w:szCs w:val="24"/>
        </w:rPr>
        <w:t xml:space="preserve">Under this claim SBG avers that </w:t>
      </w:r>
      <w:r w:rsidR="000F7053" w:rsidRPr="00E0558A">
        <w:rPr>
          <w:rFonts w:ascii="Times New Roman" w:hAnsi="Times New Roman" w:cs="Times New Roman"/>
          <w:sz w:val="24"/>
          <w:szCs w:val="24"/>
        </w:rPr>
        <w:t xml:space="preserve">“As a result of the improper billing practices referenced above, and the Pennsylvania Supreme Court’s Opinion  [in </w:t>
      </w:r>
      <w:r w:rsidR="000F7053" w:rsidRPr="00E0558A">
        <w:rPr>
          <w:rFonts w:ascii="Times New Roman" w:hAnsi="Times New Roman" w:cs="Times New Roman"/>
          <w:i/>
          <w:iCs/>
          <w:sz w:val="24"/>
          <w:szCs w:val="24"/>
        </w:rPr>
        <w:t>PGW II</w:t>
      </w:r>
      <w:r w:rsidR="00673F8F" w:rsidRPr="00E0558A">
        <w:rPr>
          <w:rFonts w:ascii="Times New Roman" w:hAnsi="Times New Roman" w:cs="Times New Roman"/>
          <w:sz w:val="24"/>
          <w:szCs w:val="24"/>
        </w:rPr>
        <w:t xml:space="preserve">] </w:t>
      </w:r>
      <w:r w:rsidR="009A50C7" w:rsidRPr="00E0558A">
        <w:rPr>
          <w:rFonts w:ascii="Times New Roman" w:hAnsi="Times New Roman" w:cs="Times New Roman"/>
          <w:sz w:val="24"/>
          <w:szCs w:val="24"/>
        </w:rPr>
        <w:t>Defendant has been unjustly enriched by collecting the improper amounts from the Plaintiffs in the amount of Ten Million Two Hundred Forty-Five Thousand Dollars ($10,245,000.00).</w:t>
      </w:r>
      <w:r w:rsidR="008169E7" w:rsidRPr="00E0558A">
        <w:rPr>
          <w:rFonts w:ascii="Times New Roman" w:hAnsi="Times New Roman" w:cs="Times New Roman"/>
          <w:sz w:val="24"/>
          <w:szCs w:val="24"/>
        </w:rPr>
        <w:t>”</w:t>
      </w:r>
      <w:r w:rsidR="009A50C7" w:rsidRPr="00E0558A">
        <w:rPr>
          <w:rFonts w:ascii="Times New Roman" w:hAnsi="Times New Roman" w:cs="Times New Roman"/>
          <w:sz w:val="24"/>
          <w:szCs w:val="24"/>
        </w:rPr>
        <w:t xml:space="preserve">  </w:t>
      </w:r>
      <w:r w:rsidR="009A50C7" w:rsidRPr="00E0558A">
        <w:rPr>
          <w:rFonts w:ascii="Times New Roman" w:hAnsi="Times New Roman" w:cs="Times New Roman"/>
          <w:i/>
          <w:iCs/>
          <w:sz w:val="24"/>
          <w:szCs w:val="24"/>
        </w:rPr>
        <w:t xml:space="preserve">Id. </w:t>
      </w:r>
      <w:r w:rsidR="009A50C7" w:rsidRPr="00E0558A">
        <w:rPr>
          <w:rFonts w:ascii="Times New Roman" w:hAnsi="Times New Roman" w:cs="Times New Roman"/>
          <w:sz w:val="24"/>
          <w:szCs w:val="24"/>
        </w:rPr>
        <w:t>at ¶ 124.</w:t>
      </w:r>
      <w:r w:rsidR="008169E7" w:rsidRPr="00E0558A">
        <w:rPr>
          <w:rFonts w:ascii="Times New Roman" w:hAnsi="Times New Roman" w:cs="Times New Roman"/>
          <w:sz w:val="24"/>
          <w:szCs w:val="24"/>
        </w:rPr>
        <w:t xml:space="preserve"> </w:t>
      </w:r>
      <w:r w:rsidR="008169E7" w:rsidRPr="00E0558A">
        <w:rPr>
          <w:rFonts w:ascii="Times New Roman" w:eastAsiaTheme="minorEastAsia" w:hAnsi="Times New Roman" w:cs="Times New Roman"/>
          <w:sz w:val="24"/>
          <w:szCs w:val="24"/>
        </w:rPr>
        <w:t xml:space="preserve"> As relief, SBG demands entry of a judgment in their favor in the amount of </w:t>
      </w:r>
      <w:r w:rsidR="008169E7" w:rsidRPr="00E0558A">
        <w:rPr>
          <w:rFonts w:ascii="Times New Roman" w:hAnsi="Times New Roman" w:cs="Times New Roman"/>
          <w:sz w:val="24"/>
          <w:szCs w:val="24"/>
        </w:rPr>
        <w:t xml:space="preserve">$10,245,000.00, plus interest, </w:t>
      </w:r>
      <w:r w:rsidR="00B77C36" w:rsidRPr="00E0558A">
        <w:rPr>
          <w:rFonts w:ascii="Times New Roman" w:hAnsi="Times New Roman" w:cs="Times New Roman"/>
          <w:sz w:val="24"/>
          <w:szCs w:val="24"/>
        </w:rPr>
        <w:t xml:space="preserve">and </w:t>
      </w:r>
      <w:r w:rsidR="008169E7" w:rsidRPr="00E0558A">
        <w:rPr>
          <w:rFonts w:ascii="Times New Roman" w:hAnsi="Times New Roman" w:cs="Times New Roman"/>
          <w:sz w:val="24"/>
          <w:szCs w:val="24"/>
        </w:rPr>
        <w:t>costs</w:t>
      </w:r>
      <w:r w:rsidR="00B77C36" w:rsidRPr="00E0558A">
        <w:rPr>
          <w:rFonts w:ascii="Times New Roman" w:hAnsi="Times New Roman" w:cs="Times New Roman"/>
          <w:sz w:val="24"/>
          <w:szCs w:val="24"/>
        </w:rPr>
        <w:t>.</w:t>
      </w:r>
    </w:p>
    <w:p w14:paraId="6E5A896D" w14:textId="563E3828" w:rsidR="007F662A" w:rsidRPr="00E0558A" w:rsidRDefault="007F662A" w:rsidP="00D83C78">
      <w:pPr>
        <w:pStyle w:val="Indent5DbSp"/>
        <w:spacing w:line="360" w:lineRule="auto"/>
        <w:ind w:firstLine="1440"/>
      </w:pPr>
    </w:p>
    <w:p w14:paraId="3BDCAECF" w14:textId="77777777" w:rsidR="00AC35D0" w:rsidRPr="00E0558A" w:rsidRDefault="001912BB" w:rsidP="00D83C78">
      <w:pPr>
        <w:pStyle w:val="Indent5DbSp"/>
        <w:spacing w:line="360" w:lineRule="auto"/>
        <w:ind w:firstLine="1440"/>
      </w:pPr>
      <w:r w:rsidRPr="00E0558A">
        <w:lastRenderedPageBreak/>
        <w:t>It appears from this document that</w:t>
      </w:r>
      <w:r w:rsidR="00B9380F" w:rsidRPr="00E0558A">
        <w:t>,</w:t>
      </w:r>
      <w:r w:rsidRPr="00E0558A">
        <w:t xml:space="preserve"> </w:t>
      </w:r>
      <w:r w:rsidR="00B9380F" w:rsidRPr="00E0558A">
        <w:t xml:space="preserve">following the Supreme Court’s ruling in </w:t>
      </w:r>
      <w:r w:rsidR="00B9380F" w:rsidRPr="00E0558A">
        <w:rPr>
          <w:i/>
          <w:iCs/>
        </w:rPr>
        <w:t>PGW II</w:t>
      </w:r>
      <w:r w:rsidR="00B9380F" w:rsidRPr="00E0558A">
        <w:t xml:space="preserve">, </w:t>
      </w:r>
      <w:r w:rsidRPr="00E0558A">
        <w:t xml:space="preserve">SBG is seeking monetary damages from </w:t>
      </w:r>
      <w:r w:rsidR="00035C22" w:rsidRPr="00E0558A">
        <w:t>the City of Philadelphia and PGW</w:t>
      </w:r>
      <w:r w:rsidR="00AC35D0" w:rsidRPr="00E0558A">
        <w:t>,</w:t>
      </w:r>
      <w:r w:rsidR="00035C22" w:rsidRPr="00E0558A">
        <w:t xml:space="preserve"> </w:t>
      </w:r>
      <w:r w:rsidR="000440C2" w:rsidRPr="00E0558A">
        <w:t>not the calculation of the refund owed</w:t>
      </w:r>
      <w:r w:rsidR="008E5665" w:rsidRPr="00E0558A">
        <w:t xml:space="preserve">.  This reading </w:t>
      </w:r>
      <w:r w:rsidR="00DE7E13" w:rsidRPr="00E0558A">
        <w:t xml:space="preserve">of the </w:t>
      </w:r>
      <w:r w:rsidR="00126BB6" w:rsidRPr="00E0558A">
        <w:t>Third Amended Complaint</w:t>
      </w:r>
      <w:r w:rsidR="00BB3A64" w:rsidRPr="00E0558A">
        <w:t xml:space="preserve"> </w:t>
      </w:r>
      <w:r w:rsidR="00960F8C" w:rsidRPr="00E0558A">
        <w:t xml:space="preserve">in the 2021 Civil Action </w:t>
      </w:r>
      <w:r w:rsidR="00BB3A64" w:rsidRPr="00E0558A">
        <w:t xml:space="preserve">matches </w:t>
      </w:r>
      <w:r w:rsidR="004B14B7" w:rsidRPr="00E0558A">
        <w:t>the bifurcated procedure that SBG promotes in is Response to the Motion.</w:t>
      </w:r>
      <w:r w:rsidR="00774353" w:rsidRPr="00E0558A">
        <w:t xml:space="preserve"> </w:t>
      </w:r>
    </w:p>
    <w:p w14:paraId="38D094F7" w14:textId="77777777" w:rsidR="00AC35D0" w:rsidRPr="00E0558A" w:rsidRDefault="00AC35D0" w:rsidP="00D83C78">
      <w:pPr>
        <w:pStyle w:val="Indent5DbSp"/>
        <w:spacing w:line="360" w:lineRule="auto"/>
        <w:ind w:firstLine="1440"/>
      </w:pPr>
    </w:p>
    <w:p w14:paraId="22571050" w14:textId="79A38649" w:rsidR="007F662A" w:rsidRPr="00E0558A" w:rsidRDefault="00774353" w:rsidP="00D83C78">
      <w:pPr>
        <w:pStyle w:val="Indent5DbSp"/>
        <w:spacing w:line="360" w:lineRule="auto"/>
        <w:ind w:firstLine="1440"/>
      </w:pPr>
      <w:r w:rsidRPr="00E0558A">
        <w:rPr>
          <w:rFonts w:eastAsia="Times New Roman"/>
          <w:spacing w:val="-3"/>
        </w:rPr>
        <w:t>I</w:t>
      </w:r>
      <w:r w:rsidR="007F662A" w:rsidRPr="00E0558A">
        <w:rPr>
          <w:rFonts w:eastAsia="Times New Roman"/>
          <w:spacing w:val="-3"/>
        </w:rPr>
        <w:t xml:space="preserve">n a complaint against a public utility that seeks monetary damages arising from a failure to provide safe, adequate, </w:t>
      </w:r>
      <w:r w:rsidR="00A2625A" w:rsidRPr="00E0558A">
        <w:rPr>
          <w:rFonts w:eastAsia="Times New Roman"/>
          <w:spacing w:val="-3"/>
        </w:rPr>
        <w:t>reasonable,</w:t>
      </w:r>
      <w:r w:rsidR="007F662A" w:rsidRPr="00E0558A">
        <w:rPr>
          <w:rFonts w:eastAsia="Times New Roman"/>
          <w:spacing w:val="-3"/>
        </w:rPr>
        <w:t xml:space="preserve"> or efficient service, the Supreme Court has approved of a bifurcated procedure.  </w:t>
      </w:r>
    </w:p>
    <w:p w14:paraId="01198E54" w14:textId="77777777" w:rsidR="007F662A" w:rsidRPr="00E0558A" w:rsidRDefault="007F662A" w:rsidP="007F662A">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4C75E802" w14:textId="77777777" w:rsidR="007F662A" w:rsidRPr="00E0558A" w:rsidRDefault="007F662A" w:rsidP="007F662A">
      <w:pPr>
        <w:widowControl w:val="0"/>
        <w:autoSpaceDE w:val="0"/>
        <w:autoSpaceDN w:val="0"/>
        <w:adjustRightInd w:val="0"/>
        <w:spacing w:after="0" w:line="240" w:lineRule="auto"/>
        <w:ind w:left="1440" w:right="1440"/>
        <w:rPr>
          <w:rFonts w:ascii="Times New Roman" w:eastAsia="Times New Roman" w:hAnsi="Times New Roman" w:cs="Times New Roman"/>
          <w:sz w:val="24"/>
          <w:szCs w:val="24"/>
        </w:rPr>
      </w:pPr>
      <w:r w:rsidRPr="00E0558A">
        <w:rPr>
          <w:rFonts w:ascii="Times New Roman" w:eastAsia="Times New Roman" w:hAnsi="Times New Roman" w:cs="Times New Roman"/>
          <w:sz w:val="24"/>
          <w:szCs w:val="24"/>
        </w:rPr>
        <w:t xml:space="preserve">The question of the PUC's jurisdiction was before us recently in </w:t>
      </w:r>
      <w:r w:rsidRPr="00E0558A">
        <w:rPr>
          <w:rFonts w:ascii="Times New Roman" w:eastAsia="Times New Roman" w:hAnsi="Times New Roman" w:cs="Times New Roman"/>
          <w:i/>
          <w:sz w:val="24"/>
          <w:szCs w:val="24"/>
        </w:rPr>
        <w:t>Feingold v. Bell of Pennsylvania</w:t>
      </w:r>
      <w:r w:rsidRPr="00E0558A">
        <w:rPr>
          <w:rFonts w:ascii="Times New Roman" w:eastAsia="Times New Roman" w:hAnsi="Times New Roman" w:cs="Times New Roman"/>
          <w:i/>
          <w:iCs/>
          <w:sz w:val="24"/>
          <w:szCs w:val="24"/>
        </w:rPr>
        <w:t>,</w:t>
      </w:r>
      <w:r w:rsidRPr="00E0558A">
        <w:rPr>
          <w:rFonts w:ascii="Times New Roman" w:eastAsia="Times New Roman" w:hAnsi="Times New Roman" w:cs="Times New Roman"/>
          <w:sz w:val="24"/>
          <w:szCs w:val="24"/>
        </w:rPr>
        <w:t xml:space="preserve"> 477 Pa. 1, 383, A.2d 791 (1977)</w:t>
      </w:r>
      <w:bookmarkStart w:id="16" w:name="3380-377"/>
      <w:bookmarkEnd w:id="16"/>
      <w:r w:rsidRPr="00E0558A">
        <w:rPr>
          <w:rFonts w:ascii="Times New Roman" w:eastAsia="Times New Roman" w:hAnsi="Times New Roman" w:cs="Times New Roman"/>
          <w:sz w:val="24"/>
          <w:szCs w:val="24"/>
        </w:rPr>
        <w:t xml:space="preserve"> and </w:t>
      </w:r>
      <w:r w:rsidRPr="00E0558A">
        <w:rPr>
          <w:rFonts w:ascii="Times New Roman" w:eastAsia="Times New Roman" w:hAnsi="Times New Roman" w:cs="Times New Roman"/>
          <w:i/>
          <w:sz w:val="24"/>
          <w:szCs w:val="24"/>
        </w:rPr>
        <w:t>Elkin v. Bell Telephone Co. of Pennsylvania</w:t>
      </w:r>
      <w:r w:rsidRPr="00E0558A">
        <w:rPr>
          <w:rFonts w:ascii="Times New Roman" w:eastAsia="Times New Roman" w:hAnsi="Times New Roman" w:cs="Times New Roman"/>
          <w:i/>
          <w:iCs/>
          <w:sz w:val="24"/>
          <w:szCs w:val="24"/>
        </w:rPr>
        <w:t>,</w:t>
      </w:r>
      <w:r w:rsidRPr="00E0558A">
        <w:rPr>
          <w:rFonts w:ascii="Times New Roman" w:eastAsia="Times New Roman" w:hAnsi="Times New Roman" w:cs="Times New Roman"/>
          <w:sz w:val="24"/>
          <w:szCs w:val="24"/>
        </w:rPr>
        <w:t xml:space="preserve"> 491 Pa. 123, 420 A.2d 371 (1980).  In </w:t>
      </w:r>
      <w:r w:rsidRPr="00E0558A">
        <w:rPr>
          <w:rFonts w:ascii="Times New Roman" w:eastAsia="Times New Roman" w:hAnsi="Times New Roman" w:cs="Times New Roman"/>
          <w:i/>
          <w:sz w:val="24"/>
          <w:szCs w:val="24"/>
        </w:rPr>
        <w:t>Feingold</w:t>
      </w:r>
      <w:r w:rsidRPr="00E0558A">
        <w:rPr>
          <w:rFonts w:ascii="Times New Roman" w:eastAsia="Times New Roman" w:hAnsi="Times New Roman" w:cs="Times New Roman"/>
          <w:i/>
          <w:iCs/>
          <w:sz w:val="24"/>
          <w:szCs w:val="24"/>
        </w:rPr>
        <w:t>,</w:t>
      </w:r>
      <w:r w:rsidRPr="00E0558A">
        <w:rPr>
          <w:rFonts w:ascii="Times New Roman" w:eastAsia="Times New Roman" w:hAnsi="Times New Roman" w:cs="Times New Roman"/>
          <w:sz w:val="24"/>
          <w:szCs w:val="24"/>
        </w:rPr>
        <w:t xml:space="preserve"> we held that the courts of common pleas have original jurisdiction to hear suits against public utilities for damages arising from failure to provide adequate service.  477 Pa. at 10, 383 A.2d at 795.  </w:t>
      </w:r>
      <w:r w:rsidRPr="00E0558A">
        <w:rPr>
          <w:rFonts w:ascii="Times New Roman" w:eastAsia="Times New Roman" w:hAnsi="Times New Roman" w:cs="Times New Roman"/>
          <w:i/>
          <w:iCs/>
          <w:sz w:val="24"/>
          <w:szCs w:val="24"/>
        </w:rPr>
        <w:t xml:space="preserve">See also, </w:t>
      </w:r>
      <w:r w:rsidRPr="00E0558A">
        <w:rPr>
          <w:rFonts w:ascii="Times New Roman" w:eastAsia="Times New Roman" w:hAnsi="Times New Roman" w:cs="Times New Roman"/>
          <w:i/>
          <w:sz w:val="24"/>
          <w:szCs w:val="24"/>
        </w:rPr>
        <w:t>Elkin</w:t>
      </w:r>
      <w:r w:rsidRPr="00E0558A">
        <w:rPr>
          <w:rFonts w:ascii="Times New Roman" w:eastAsia="Times New Roman" w:hAnsi="Times New Roman" w:cs="Times New Roman"/>
          <w:i/>
          <w:iCs/>
          <w:sz w:val="24"/>
          <w:szCs w:val="24"/>
        </w:rPr>
        <w:t>,</w:t>
      </w:r>
      <w:r w:rsidRPr="00E0558A">
        <w:rPr>
          <w:rFonts w:ascii="Times New Roman" w:eastAsia="Times New Roman" w:hAnsi="Times New Roman" w:cs="Times New Roman"/>
          <w:sz w:val="24"/>
          <w:szCs w:val="24"/>
        </w:rPr>
        <w:t xml:space="preserve"> 491 Pa. at 130, 420 A.2d at 375.  In </w:t>
      </w:r>
      <w:r w:rsidRPr="00E0558A">
        <w:rPr>
          <w:rFonts w:ascii="Times New Roman" w:eastAsia="Times New Roman" w:hAnsi="Times New Roman" w:cs="Times New Roman"/>
          <w:i/>
          <w:sz w:val="24"/>
          <w:szCs w:val="24"/>
        </w:rPr>
        <w:t>Elkin</w:t>
      </w:r>
      <w:r w:rsidRPr="00E0558A">
        <w:rPr>
          <w:rFonts w:ascii="Times New Roman" w:eastAsia="Times New Roman" w:hAnsi="Times New Roman" w:cs="Times New Roman"/>
          <w:sz w:val="24"/>
          <w:szCs w:val="24"/>
        </w:rPr>
        <w:t xml:space="preserve"> we further defined the parameters of our holding in </w:t>
      </w:r>
      <w:r w:rsidRPr="00E0558A">
        <w:rPr>
          <w:rFonts w:ascii="Times New Roman" w:eastAsia="Times New Roman" w:hAnsi="Times New Roman" w:cs="Times New Roman"/>
          <w:i/>
          <w:sz w:val="24"/>
          <w:szCs w:val="24"/>
        </w:rPr>
        <w:t>Feingold</w:t>
      </w:r>
      <w:r w:rsidRPr="00E0558A">
        <w:rPr>
          <w:rFonts w:ascii="Times New Roman" w:eastAsia="Times New Roman" w:hAnsi="Times New Roman" w:cs="Times New Roman"/>
          <w:i/>
          <w:iCs/>
          <w:sz w:val="24"/>
          <w:szCs w:val="24"/>
        </w:rPr>
        <w:t xml:space="preserve">.  </w:t>
      </w:r>
      <w:r w:rsidRPr="00E0558A">
        <w:rPr>
          <w:rFonts w:ascii="Times New Roman" w:eastAsia="Times New Roman" w:hAnsi="Times New Roman" w:cs="Times New Roman"/>
          <w:iCs/>
          <w:sz w:val="24"/>
          <w:szCs w:val="24"/>
        </w:rPr>
        <w:t>Elkin</w:t>
      </w:r>
      <w:r w:rsidRPr="00E0558A">
        <w:rPr>
          <w:rFonts w:ascii="Times New Roman" w:eastAsia="Times New Roman" w:hAnsi="Times New Roman" w:cs="Times New Roman"/>
          <w:sz w:val="24"/>
          <w:szCs w:val="24"/>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E0558A">
        <w:rPr>
          <w:rFonts w:ascii="Times New Roman" w:eastAsia="Times New Roman" w:hAnsi="Times New Roman" w:cs="Times New Roman"/>
          <w:i/>
          <w:sz w:val="24"/>
          <w:szCs w:val="24"/>
        </w:rPr>
        <w:t>Elkin,</w:t>
      </w:r>
      <w:r w:rsidRPr="00E0558A">
        <w:rPr>
          <w:rFonts w:ascii="Times New Roman" w:eastAsia="Times New Roman" w:hAnsi="Times New Roman" w:cs="Times New Roman"/>
          <w:sz w:val="24"/>
          <w:szCs w:val="24"/>
        </w:rPr>
        <w:t xml:space="preserve"> 491 Pa. at 134, 420 A.2d at 377.  </w:t>
      </w:r>
    </w:p>
    <w:p w14:paraId="6252771B" w14:textId="77777777" w:rsidR="007F662A" w:rsidRPr="00E0558A" w:rsidRDefault="007F662A" w:rsidP="007F662A">
      <w:pPr>
        <w:widowControl w:val="0"/>
        <w:autoSpaceDE w:val="0"/>
        <w:autoSpaceDN w:val="0"/>
        <w:adjustRightInd w:val="0"/>
        <w:spacing w:after="0" w:line="360" w:lineRule="auto"/>
        <w:ind w:left="1440" w:right="1440"/>
        <w:rPr>
          <w:rFonts w:ascii="Times New Roman" w:eastAsia="Times New Roman" w:hAnsi="Times New Roman" w:cs="Times New Roman"/>
          <w:i/>
          <w:iCs/>
          <w:sz w:val="24"/>
          <w:szCs w:val="24"/>
        </w:rPr>
      </w:pPr>
    </w:p>
    <w:p w14:paraId="75BEACD1" w14:textId="0F88581E" w:rsidR="007F662A" w:rsidRPr="00E0558A" w:rsidRDefault="007F662A" w:rsidP="004A6F68">
      <w:pPr>
        <w:widowControl w:val="0"/>
        <w:autoSpaceDE w:val="0"/>
        <w:autoSpaceDN w:val="0"/>
        <w:adjustRightInd w:val="0"/>
        <w:spacing w:after="0" w:line="360" w:lineRule="auto"/>
        <w:rPr>
          <w:rFonts w:ascii="Times New Roman" w:eastAsia="Times New Roman" w:hAnsi="Times New Roman" w:cs="Times New Roman"/>
          <w:spacing w:val="-3"/>
          <w:sz w:val="24"/>
          <w:szCs w:val="24"/>
        </w:rPr>
      </w:pPr>
      <w:r w:rsidRPr="00E0558A">
        <w:rPr>
          <w:rFonts w:ascii="Times New Roman" w:eastAsia="Times New Roman" w:hAnsi="Times New Roman" w:cs="Times New Roman"/>
          <w:bCs/>
          <w:i/>
          <w:iCs/>
          <w:sz w:val="24"/>
          <w:szCs w:val="24"/>
        </w:rPr>
        <w:t>De Francesco v. Western Pennsylvania Water Co.</w:t>
      </w:r>
      <w:r w:rsidRPr="00E0558A">
        <w:rPr>
          <w:rFonts w:ascii="Times New Roman" w:eastAsia="Times New Roman" w:hAnsi="Times New Roman" w:cs="Times New Roman"/>
          <w:b/>
          <w:bCs/>
          <w:i/>
          <w:iCs/>
          <w:sz w:val="24"/>
          <w:szCs w:val="24"/>
        </w:rPr>
        <w:t>,</w:t>
      </w:r>
      <w:r w:rsidRPr="00E0558A">
        <w:rPr>
          <w:rFonts w:ascii="Times New Roman" w:eastAsia="Times New Roman" w:hAnsi="Times New Roman" w:cs="Times New Roman"/>
          <w:b/>
          <w:bCs/>
          <w:sz w:val="24"/>
          <w:szCs w:val="24"/>
        </w:rPr>
        <w:t xml:space="preserve"> </w:t>
      </w:r>
      <w:r w:rsidRPr="00E0558A">
        <w:rPr>
          <w:rFonts w:ascii="Times New Roman" w:eastAsia="Times New Roman" w:hAnsi="Times New Roman" w:cs="Times New Roman"/>
          <w:sz w:val="24"/>
          <w:szCs w:val="24"/>
        </w:rPr>
        <w:t>453 A.2d 595</w:t>
      </w:r>
      <w:r w:rsidRPr="00E0558A">
        <w:rPr>
          <w:rFonts w:ascii="Times New Roman" w:eastAsia="Times New Roman" w:hAnsi="Times New Roman" w:cs="Times New Roman"/>
          <w:bCs/>
          <w:sz w:val="24"/>
          <w:szCs w:val="24"/>
        </w:rPr>
        <w:t> (Pa. 1982).</w:t>
      </w:r>
      <w:r w:rsidR="00AC35D0" w:rsidRPr="00E0558A">
        <w:rPr>
          <w:rFonts w:ascii="Times New Roman" w:eastAsia="Times New Roman" w:hAnsi="Times New Roman" w:cs="Times New Roman"/>
          <w:bCs/>
          <w:sz w:val="24"/>
          <w:szCs w:val="24"/>
        </w:rPr>
        <w:t xml:space="preserve">  </w:t>
      </w:r>
      <w:r w:rsidRPr="00E0558A">
        <w:rPr>
          <w:rFonts w:ascii="Times New Roman" w:eastAsia="Times New Roman" w:hAnsi="Times New Roman" w:cs="Times New Roman"/>
          <w:spacing w:val="-3"/>
          <w:sz w:val="24"/>
          <w:szCs w:val="24"/>
        </w:rPr>
        <w:t xml:space="preserve">Thus, service </w:t>
      </w:r>
      <w:r w:rsidR="00BF4C28" w:rsidRPr="00E0558A">
        <w:rPr>
          <w:rFonts w:ascii="Times New Roman" w:eastAsia="Times New Roman" w:hAnsi="Times New Roman" w:cs="Times New Roman"/>
          <w:spacing w:val="-3"/>
          <w:sz w:val="24"/>
          <w:szCs w:val="24"/>
        </w:rPr>
        <w:t xml:space="preserve">and billing </w:t>
      </w:r>
      <w:r w:rsidRPr="00E0558A">
        <w:rPr>
          <w:rFonts w:ascii="Times New Roman" w:eastAsia="Times New Roman" w:hAnsi="Times New Roman" w:cs="Times New Roman"/>
          <w:spacing w:val="-3"/>
          <w:sz w:val="24"/>
          <w:szCs w:val="24"/>
        </w:rPr>
        <w:t xml:space="preserve">issues are first decided by the Commission, and then a court of common pleas may consider the issue of damages.  </w:t>
      </w:r>
      <w:r w:rsidR="00CE082E" w:rsidRPr="00E0558A">
        <w:rPr>
          <w:rFonts w:ascii="Times New Roman" w:eastAsia="Times New Roman" w:hAnsi="Times New Roman" w:cs="Times New Roman"/>
          <w:spacing w:val="-3"/>
          <w:sz w:val="24"/>
          <w:szCs w:val="24"/>
        </w:rPr>
        <w:t xml:space="preserve">See, </w:t>
      </w:r>
      <w:r w:rsidRPr="00E0558A">
        <w:rPr>
          <w:rFonts w:ascii="Times New Roman" w:eastAsia="Times New Roman" w:hAnsi="Times New Roman" w:cs="Times New Roman"/>
          <w:i/>
          <w:iCs/>
          <w:spacing w:val="-3"/>
          <w:sz w:val="24"/>
          <w:szCs w:val="24"/>
        </w:rPr>
        <w:t>DeFrancesco v. Western Pa. Water Co.,</w:t>
      </w:r>
      <w:r w:rsidRPr="00E0558A">
        <w:rPr>
          <w:rFonts w:ascii="Times New Roman" w:eastAsia="Times New Roman" w:hAnsi="Times New Roman" w:cs="Times New Roman"/>
          <w:spacing w:val="-3"/>
          <w:sz w:val="24"/>
          <w:szCs w:val="24"/>
        </w:rPr>
        <w:t xml:space="preserve"> 453 A.2d 595 (Pa. 1982).  </w:t>
      </w:r>
    </w:p>
    <w:p w14:paraId="63133FA4" w14:textId="77777777" w:rsidR="005C5BB9" w:rsidRDefault="005C5BB9" w:rsidP="005C5BB9">
      <w:pPr>
        <w:autoSpaceDE w:val="0"/>
        <w:autoSpaceDN w:val="0"/>
        <w:spacing w:after="0" w:line="360" w:lineRule="auto"/>
        <w:rPr>
          <w:rFonts w:ascii="Times New Roman" w:hAnsi="Times New Roman" w:cs="Times New Roman"/>
          <w:sz w:val="24"/>
          <w:szCs w:val="24"/>
        </w:rPr>
      </w:pPr>
    </w:p>
    <w:p w14:paraId="747D5403" w14:textId="77777777" w:rsidR="005C5BB9" w:rsidRDefault="005C5BB9" w:rsidP="005C5BB9">
      <w:pPr>
        <w:widowControl w:val="0"/>
        <w:autoSpaceDE w:val="0"/>
        <w:autoSpaceDN w:val="0"/>
        <w:spacing w:after="0" w:line="360" w:lineRule="auto"/>
        <w:jc w:val="center"/>
        <w:rPr>
          <w:rFonts w:ascii="Times New Roman" w:eastAsia="Times New Roman" w:hAnsi="Times New Roman" w:cs="CG Times"/>
          <w:sz w:val="24"/>
          <w:szCs w:val="24"/>
          <w:u w:val="single"/>
        </w:rPr>
      </w:pPr>
      <w:r>
        <w:rPr>
          <w:rFonts w:ascii="Times New Roman" w:eastAsia="Times New Roman" w:hAnsi="Times New Roman" w:cs="CG Times"/>
          <w:sz w:val="24"/>
          <w:szCs w:val="24"/>
          <w:u w:val="single"/>
        </w:rPr>
        <w:t>ORDER</w:t>
      </w:r>
    </w:p>
    <w:p w14:paraId="070CE457" w14:textId="77777777" w:rsidR="005C5BB9" w:rsidRDefault="005C5BB9" w:rsidP="005C5BB9">
      <w:pPr>
        <w:autoSpaceDE w:val="0"/>
        <w:autoSpaceDN w:val="0"/>
        <w:spacing w:after="0" w:line="360" w:lineRule="auto"/>
        <w:ind w:firstLine="1440"/>
        <w:rPr>
          <w:rFonts w:ascii="Times New Roman" w:hAnsi="Times New Roman" w:cs="Times New Roman"/>
          <w:sz w:val="24"/>
          <w:szCs w:val="24"/>
        </w:rPr>
      </w:pPr>
    </w:p>
    <w:p w14:paraId="14A08ACA" w14:textId="77777777" w:rsidR="005C5BB9" w:rsidRDefault="005C5BB9" w:rsidP="005C5BB9">
      <w:pPr>
        <w:autoSpaceDE w:val="0"/>
        <w:autoSpaceDN w:val="0"/>
        <w:spacing w:after="0" w:line="360" w:lineRule="auto"/>
        <w:ind w:firstLine="1440"/>
        <w:rPr>
          <w:rFonts w:ascii="Times New Roman" w:hAnsi="Times New Roman" w:cs="Times New Roman"/>
          <w:sz w:val="24"/>
          <w:szCs w:val="24"/>
        </w:rPr>
      </w:pPr>
    </w:p>
    <w:p w14:paraId="6DF92F29" w14:textId="77777777" w:rsidR="005C5BB9" w:rsidRDefault="005C5BB9" w:rsidP="005C5BB9">
      <w:pPr>
        <w:widowControl w:val="0"/>
        <w:autoSpaceDE w:val="0"/>
        <w:autoSpaceDN w:val="0"/>
        <w:spacing w:after="0" w:line="360" w:lineRule="auto"/>
        <w:ind w:firstLine="1440"/>
        <w:rPr>
          <w:rFonts w:ascii="Times New Roman" w:eastAsia="Times New Roman" w:hAnsi="Times New Roman" w:cs="CG Times"/>
          <w:sz w:val="24"/>
          <w:szCs w:val="24"/>
        </w:rPr>
      </w:pPr>
      <w:r>
        <w:rPr>
          <w:rFonts w:ascii="Times New Roman" w:eastAsia="Times New Roman" w:hAnsi="Times New Roman" w:cs="CG Times"/>
          <w:sz w:val="24"/>
          <w:szCs w:val="24"/>
        </w:rPr>
        <w:t>THEREFORE,</w:t>
      </w:r>
    </w:p>
    <w:p w14:paraId="0B93388D" w14:textId="77777777" w:rsidR="005C5BB9" w:rsidRDefault="005C5BB9" w:rsidP="005C5BB9">
      <w:pPr>
        <w:widowControl w:val="0"/>
        <w:autoSpaceDE w:val="0"/>
        <w:autoSpaceDN w:val="0"/>
        <w:spacing w:after="0" w:line="360" w:lineRule="auto"/>
        <w:ind w:firstLine="1440"/>
        <w:rPr>
          <w:rFonts w:ascii="Times New Roman" w:eastAsia="Times New Roman" w:hAnsi="Times New Roman" w:cs="Times New Roman"/>
          <w:sz w:val="24"/>
          <w:szCs w:val="24"/>
        </w:rPr>
      </w:pPr>
    </w:p>
    <w:p w14:paraId="29ED280E" w14:textId="77777777" w:rsidR="005C5BB9" w:rsidRDefault="005C5BB9" w:rsidP="005C5BB9">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0377EF0B" w14:textId="26886770" w:rsidR="00F12C3E" w:rsidRPr="00E0558A" w:rsidRDefault="00F12C3E" w:rsidP="005C5BB9">
      <w:pPr>
        <w:widowControl w:val="0"/>
        <w:autoSpaceDE w:val="0"/>
        <w:autoSpaceDN w:val="0"/>
        <w:adjustRightInd w:val="0"/>
        <w:spacing w:after="0" w:line="360" w:lineRule="auto"/>
        <w:rPr>
          <w:rFonts w:ascii="Times New Roman" w:eastAsia="Times New Roman" w:hAnsi="Times New Roman" w:cs="Times New Roman"/>
          <w:spacing w:val="-3"/>
          <w:sz w:val="24"/>
          <w:szCs w:val="24"/>
        </w:rPr>
      </w:pPr>
    </w:p>
    <w:p w14:paraId="6FFDCCFE" w14:textId="77777777" w:rsidR="00EC31D7" w:rsidRPr="00E0558A" w:rsidRDefault="00EC31D7" w:rsidP="00EC31D7">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E0558A">
        <w:rPr>
          <w:rFonts w:ascii="Times New Roman" w:eastAsia="Times New Roman" w:hAnsi="Times New Roman" w:cs="Times New Roman"/>
          <w:spacing w:val="-3"/>
          <w:sz w:val="24"/>
          <w:szCs w:val="24"/>
        </w:rPr>
        <w:t>1.</w:t>
      </w:r>
      <w:r w:rsidRPr="00E0558A">
        <w:rPr>
          <w:rFonts w:ascii="Times New Roman" w:eastAsia="Times New Roman" w:hAnsi="Times New Roman" w:cs="Times New Roman"/>
          <w:spacing w:val="-3"/>
          <w:sz w:val="24"/>
          <w:szCs w:val="24"/>
        </w:rPr>
        <w:tab/>
      </w:r>
      <w:r w:rsidR="00F12C3E" w:rsidRPr="00E0558A">
        <w:rPr>
          <w:rFonts w:ascii="Times New Roman" w:eastAsia="Times New Roman" w:hAnsi="Times New Roman" w:cs="Times New Roman"/>
          <w:spacing w:val="-3"/>
          <w:sz w:val="24"/>
          <w:szCs w:val="24"/>
        </w:rPr>
        <w:t>That Philadelphia Gas Works’</w:t>
      </w:r>
      <w:r w:rsidR="00204729" w:rsidRPr="00E0558A">
        <w:rPr>
          <w:rFonts w:ascii="Times New Roman" w:eastAsia="Times New Roman" w:hAnsi="Times New Roman" w:cs="Times New Roman"/>
          <w:spacing w:val="-3"/>
          <w:sz w:val="24"/>
          <w:szCs w:val="24"/>
        </w:rPr>
        <w:t xml:space="preserve"> Motion for Partial Dismissal of the </w:t>
      </w:r>
      <w:r w:rsidR="00204729" w:rsidRPr="00E0558A">
        <w:rPr>
          <w:rFonts w:ascii="Times New Roman" w:eastAsia="Times New Roman" w:hAnsi="Times New Roman" w:cs="Times New Roman"/>
          <w:spacing w:val="-3"/>
          <w:sz w:val="24"/>
          <w:szCs w:val="24"/>
        </w:rPr>
        <w:lastRenderedPageBreak/>
        <w:t>Complaints</w:t>
      </w:r>
      <w:r w:rsidR="001D1F0B" w:rsidRPr="00E0558A">
        <w:rPr>
          <w:rFonts w:ascii="Times New Roman" w:eastAsia="Times New Roman" w:hAnsi="Times New Roman" w:cs="Times New Roman"/>
          <w:spacing w:val="-3"/>
          <w:sz w:val="24"/>
          <w:szCs w:val="24"/>
        </w:rPr>
        <w:t xml:space="preserve"> is approved</w:t>
      </w:r>
      <w:r w:rsidR="003C3FF5" w:rsidRPr="00E0558A">
        <w:rPr>
          <w:rFonts w:ascii="Times New Roman" w:eastAsia="Times New Roman" w:hAnsi="Times New Roman" w:cs="Times New Roman"/>
          <w:spacing w:val="-3"/>
          <w:sz w:val="24"/>
          <w:szCs w:val="24"/>
        </w:rPr>
        <w:t>,</w:t>
      </w:r>
      <w:r w:rsidR="001D1F0B" w:rsidRPr="00E0558A">
        <w:rPr>
          <w:rFonts w:ascii="Times New Roman" w:eastAsia="Times New Roman" w:hAnsi="Times New Roman" w:cs="Times New Roman"/>
          <w:spacing w:val="-3"/>
          <w:sz w:val="24"/>
          <w:szCs w:val="24"/>
        </w:rPr>
        <w:t xml:space="preserve"> in part</w:t>
      </w:r>
      <w:r w:rsidR="003C3FF5" w:rsidRPr="00E0558A">
        <w:rPr>
          <w:rFonts w:ascii="Times New Roman" w:eastAsia="Times New Roman" w:hAnsi="Times New Roman" w:cs="Times New Roman"/>
          <w:spacing w:val="-3"/>
          <w:sz w:val="24"/>
          <w:szCs w:val="24"/>
        </w:rPr>
        <w:t>,</w:t>
      </w:r>
      <w:r w:rsidR="001D1F0B" w:rsidRPr="00E0558A">
        <w:rPr>
          <w:rFonts w:ascii="Times New Roman" w:eastAsia="Times New Roman" w:hAnsi="Times New Roman" w:cs="Times New Roman"/>
          <w:spacing w:val="-3"/>
          <w:sz w:val="24"/>
          <w:szCs w:val="24"/>
        </w:rPr>
        <w:t xml:space="preserve"> and denied</w:t>
      </w:r>
      <w:r w:rsidR="003C3FF5" w:rsidRPr="00E0558A">
        <w:rPr>
          <w:rFonts w:ascii="Times New Roman" w:eastAsia="Times New Roman" w:hAnsi="Times New Roman" w:cs="Times New Roman"/>
          <w:spacing w:val="-3"/>
          <w:sz w:val="24"/>
          <w:szCs w:val="24"/>
        </w:rPr>
        <w:t>,</w:t>
      </w:r>
      <w:r w:rsidR="001D1F0B" w:rsidRPr="00E0558A">
        <w:rPr>
          <w:rFonts w:ascii="Times New Roman" w:eastAsia="Times New Roman" w:hAnsi="Times New Roman" w:cs="Times New Roman"/>
          <w:spacing w:val="-3"/>
          <w:sz w:val="24"/>
          <w:szCs w:val="24"/>
        </w:rPr>
        <w:t xml:space="preserve"> in part.  </w:t>
      </w:r>
    </w:p>
    <w:p w14:paraId="10AB5024" w14:textId="77777777" w:rsidR="00EC31D7" w:rsidRPr="00E0558A" w:rsidRDefault="00EC31D7" w:rsidP="00EC31D7">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46EDE23C" w14:textId="4B82C12C" w:rsidR="00EC31D7" w:rsidRPr="00E0558A" w:rsidRDefault="00EC31D7" w:rsidP="00EC31D7">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E0558A">
        <w:rPr>
          <w:rFonts w:ascii="Times New Roman" w:eastAsia="Times New Roman" w:hAnsi="Times New Roman" w:cs="Times New Roman"/>
          <w:spacing w:val="-3"/>
          <w:sz w:val="24"/>
          <w:szCs w:val="24"/>
        </w:rPr>
        <w:t>2.</w:t>
      </w:r>
      <w:r w:rsidRPr="00E0558A">
        <w:rPr>
          <w:rFonts w:ascii="Times New Roman" w:eastAsia="Times New Roman" w:hAnsi="Times New Roman" w:cs="Times New Roman"/>
          <w:spacing w:val="-3"/>
          <w:sz w:val="24"/>
          <w:szCs w:val="24"/>
        </w:rPr>
        <w:tab/>
      </w:r>
      <w:r w:rsidR="001347A5" w:rsidRPr="00E0558A">
        <w:rPr>
          <w:rFonts w:ascii="Times New Roman" w:eastAsia="Times New Roman" w:hAnsi="Times New Roman" w:cs="Times New Roman"/>
          <w:spacing w:val="-3"/>
          <w:sz w:val="24"/>
          <w:szCs w:val="24"/>
        </w:rPr>
        <w:t>That t</w:t>
      </w:r>
      <w:r w:rsidR="001D1F0B" w:rsidRPr="00E0558A">
        <w:rPr>
          <w:rFonts w:ascii="Times New Roman" w:eastAsia="Times New Roman" w:hAnsi="Times New Roman" w:cs="Times New Roman"/>
          <w:spacing w:val="-3"/>
          <w:sz w:val="24"/>
          <w:szCs w:val="24"/>
        </w:rPr>
        <w:t>he Motion is a</w:t>
      </w:r>
      <w:r w:rsidR="00AD340B" w:rsidRPr="00E0558A">
        <w:rPr>
          <w:rFonts w:ascii="Times New Roman" w:eastAsia="Times New Roman" w:hAnsi="Times New Roman" w:cs="Times New Roman"/>
          <w:spacing w:val="-3"/>
          <w:sz w:val="24"/>
          <w:szCs w:val="24"/>
        </w:rPr>
        <w:t xml:space="preserve">pproved only to the extent that </w:t>
      </w:r>
      <w:r w:rsidR="00C27851" w:rsidRPr="00E0558A">
        <w:rPr>
          <w:rFonts w:ascii="Times New Roman" w:eastAsia="Times New Roman" w:hAnsi="Times New Roman" w:cs="Times New Roman"/>
          <w:spacing w:val="-3"/>
          <w:sz w:val="24"/>
          <w:szCs w:val="24"/>
        </w:rPr>
        <w:t xml:space="preserve">the Commonwealth Court’s ruling in </w:t>
      </w:r>
      <w:r w:rsidR="00C27851" w:rsidRPr="00E0558A">
        <w:rPr>
          <w:rFonts w:ascii="Times New Roman" w:hAnsi="Times New Roman" w:cs="Times New Roman"/>
          <w:i/>
          <w:iCs/>
          <w:sz w:val="24"/>
          <w:szCs w:val="24"/>
        </w:rPr>
        <w:t>PGW III</w:t>
      </w:r>
      <w:r w:rsidR="00C27851" w:rsidRPr="00E0558A">
        <w:rPr>
          <w:rFonts w:ascii="Times New Roman" w:hAnsi="Times New Roman" w:cs="Times New Roman"/>
          <w:sz w:val="24"/>
          <w:szCs w:val="24"/>
        </w:rPr>
        <w:t xml:space="preserve"> foreclosed </w:t>
      </w:r>
      <w:r w:rsidR="00BF69BE" w:rsidRPr="00E0558A">
        <w:rPr>
          <w:rFonts w:ascii="Times New Roman" w:hAnsi="Times New Roman" w:cs="Times New Roman"/>
          <w:sz w:val="24"/>
          <w:szCs w:val="24"/>
        </w:rPr>
        <w:t xml:space="preserve">claims related to the 18% tariff rate </w:t>
      </w:r>
      <w:r w:rsidR="00CC00D7" w:rsidRPr="00E0558A">
        <w:rPr>
          <w:rFonts w:ascii="Times New Roman" w:hAnsi="Times New Roman" w:cs="Times New Roman"/>
          <w:sz w:val="24"/>
          <w:szCs w:val="24"/>
        </w:rPr>
        <w:t>in the 2012 Complaints filed by</w:t>
      </w:r>
      <w:r w:rsidR="00CC00D7" w:rsidRPr="00E0558A">
        <w:rPr>
          <w:rFonts w:ascii="Times New Roman" w:hAnsi="Times New Roman" w:cs="Times New Roman"/>
          <w:b/>
          <w:bCs/>
          <w:sz w:val="24"/>
          <w:szCs w:val="24"/>
        </w:rPr>
        <w:t xml:space="preserve"> </w:t>
      </w:r>
      <w:r w:rsidR="00F438E9" w:rsidRPr="00E0558A">
        <w:rPr>
          <w:rFonts w:ascii="Times New Roman" w:hAnsi="Times New Roman" w:cs="Times New Roman"/>
          <w:sz w:val="24"/>
          <w:szCs w:val="24"/>
        </w:rPr>
        <w:t>Fairmont Manor (Docket No. C-2012-2304215), Elrea Garden (Docket No. C-2012-2304167</w:t>
      </w:r>
      <w:r w:rsidR="00402284">
        <w:rPr>
          <w:rFonts w:ascii="Times New Roman" w:hAnsi="Times New Roman" w:cs="Times New Roman"/>
          <w:sz w:val="24"/>
          <w:szCs w:val="24"/>
        </w:rPr>
        <w:t>)</w:t>
      </w:r>
      <w:r w:rsidR="00F438E9" w:rsidRPr="00E0558A">
        <w:rPr>
          <w:rFonts w:ascii="Times New Roman" w:hAnsi="Times New Roman" w:cs="Times New Roman"/>
          <w:sz w:val="24"/>
          <w:szCs w:val="24"/>
        </w:rPr>
        <w:t>, Marshall Square (Docket No. C-2012-2304303) Marchwood (Docket No. C-2012-2308454), Oak Lane (Docket No. C-2012-2308462), and Fern Rock (Docket No. C-2012-2308465)</w:t>
      </w:r>
      <w:r w:rsidR="00351B42" w:rsidRPr="00E0558A">
        <w:rPr>
          <w:rFonts w:ascii="Times New Roman" w:hAnsi="Times New Roman" w:cs="Times New Roman"/>
          <w:sz w:val="24"/>
          <w:szCs w:val="24"/>
        </w:rPr>
        <w:t xml:space="preserve">.  </w:t>
      </w:r>
    </w:p>
    <w:p w14:paraId="3028DD64" w14:textId="01F53D20" w:rsidR="001347A5" w:rsidRPr="00E0558A" w:rsidRDefault="00EC31D7" w:rsidP="00EC31D7">
      <w:pPr>
        <w:widowControl w:val="0"/>
        <w:autoSpaceDE w:val="0"/>
        <w:autoSpaceDN w:val="0"/>
        <w:adjustRightInd w:val="0"/>
        <w:spacing w:after="0" w:line="360" w:lineRule="auto"/>
        <w:ind w:firstLine="1440"/>
        <w:rPr>
          <w:rFonts w:ascii="Times New Roman" w:hAnsi="Times New Roman" w:cs="Times New Roman"/>
          <w:sz w:val="24"/>
          <w:szCs w:val="24"/>
        </w:rPr>
      </w:pPr>
      <w:r w:rsidRPr="00E0558A">
        <w:rPr>
          <w:rFonts w:ascii="Times New Roman" w:eastAsia="Times New Roman" w:hAnsi="Times New Roman" w:cs="Times New Roman"/>
          <w:spacing w:val="-3"/>
          <w:sz w:val="24"/>
          <w:szCs w:val="24"/>
        </w:rPr>
        <w:t>3.</w:t>
      </w:r>
      <w:r w:rsidRPr="00E0558A">
        <w:rPr>
          <w:rFonts w:ascii="Times New Roman" w:eastAsia="Times New Roman" w:hAnsi="Times New Roman" w:cs="Times New Roman"/>
          <w:spacing w:val="-3"/>
          <w:sz w:val="24"/>
          <w:szCs w:val="24"/>
        </w:rPr>
        <w:tab/>
      </w:r>
      <w:r w:rsidR="00351B42" w:rsidRPr="00E0558A">
        <w:rPr>
          <w:rFonts w:ascii="Times New Roman" w:hAnsi="Times New Roman" w:cs="Times New Roman"/>
          <w:sz w:val="24"/>
          <w:szCs w:val="24"/>
        </w:rPr>
        <w:t>Th</w:t>
      </w:r>
      <w:r w:rsidR="001347A5" w:rsidRPr="00E0558A">
        <w:rPr>
          <w:rFonts w:ascii="Times New Roman" w:hAnsi="Times New Roman" w:cs="Times New Roman"/>
          <w:sz w:val="24"/>
          <w:szCs w:val="24"/>
        </w:rPr>
        <w:t>at th</w:t>
      </w:r>
      <w:r w:rsidR="00351B42" w:rsidRPr="00E0558A">
        <w:rPr>
          <w:rFonts w:ascii="Times New Roman" w:hAnsi="Times New Roman" w:cs="Times New Roman"/>
          <w:sz w:val="24"/>
          <w:szCs w:val="24"/>
        </w:rPr>
        <w:t xml:space="preserve">e </w:t>
      </w:r>
      <w:r w:rsidR="001347A5" w:rsidRPr="00E0558A">
        <w:rPr>
          <w:rFonts w:ascii="Times New Roman" w:hAnsi="Times New Roman" w:cs="Times New Roman"/>
          <w:sz w:val="24"/>
          <w:szCs w:val="24"/>
        </w:rPr>
        <w:t>M</w:t>
      </w:r>
      <w:r w:rsidR="00351B42" w:rsidRPr="00E0558A">
        <w:rPr>
          <w:rFonts w:ascii="Times New Roman" w:hAnsi="Times New Roman" w:cs="Times New Roman"/>
          <w:sz w:val="24"/>
          <w:szCs w:val="24"/>
        </w:rPr>
        <w:t xml:space="preserve">otion is denied on all the other grounds. </w:t>
      </w:r>
      <w:r w:rsidR="0034538A" w:rsidRPr="00E0558A">
        <w:rPr>
          <w:rFonts w:ascii="Times New Roman" w:hAnsi="Times New Roman" w:cs="Times New Roman"/>
          <w:sz w:val="24"/>
          <w:szCs w:val="24"/>
        </w:rPr>
        <w:t xml:space="preserve"> </w:t>
      </w:r>
    </w:p>
    <w:p w14:paraId="3836B870" w14:textId="77777777" w:rsidR="00074B2F" w:rsidRPr="00E0558A" w:rsidRDefault="00074B2F" w:rsidP="00EC31D7">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02ADD4EF" w14:textId="1004C46A" w:rsidR="00074B2F" w:rsidRPr="00E0558A" w:rsidRDefault="00074B2F" w:rsidP="00074B2F">
      <w:pPr>
        <w:widowControl w:val="0"/>
        <w:autoSpaceDE w:val="0"/>
        <w:autoSpaceDN w:val="0"/>
        <w:adjustRightInd w:val="0"/>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4.</w:t>
      </w:r>
      <w:r w:rsidRPr="00E0558A">
        <w:rPr>
          <w:rFonts w:ascii="Times New Roman" w:hAnsi="Times New Roman" w:cs="Times New Roman"/>
          <w:sz w:val="24"/>
          <w:szCs w:val="24"/>
        </w:rPr>
        <w:tab/>
      </w:r>
      <w:r w:rsidR="001347A5" w:rsidRPr="00E0558A">
        <w:rPr>
          <w:rFonts w:ascii="Times New Roman" w:hAnsi="Times New Roman" w:cs="Times New Roman"/>
          <w:sz w:val="24"/>
          <w:szCs w:val="24"/>
        </w:rPr>
        <w:t xml:space="preserve">That </w:t>
      </w:r>
      <w:r w:rsidR="00F8022A" w:rsidRPr="00E0558A">
        <w:rPr>
          <w:rFonts w:ascii="Times New Roman" w:hAnsi="Times New Roman" w:cs="Times New Roman"/>
          <w:sz w:val="24"/>
          <w:szCs w:val="24"/>
        </w:rPr>
        <w:t xml:space="preserve">only </w:t>
      </w:r>
      <w:r w:rsidR="0034538A" w:rsidRPr="00E0558A">
        <w:rPr>
          <w:rFonts w:ascii="Times New Roman" w:hAnsi="Times New Roman" w:cs="Times New Roman"/>
          <w:sz w:val="24"/>
          <w:szCs w:val="24"/>
        </w:rPr>
        <w:t xml:space="preserve">the </w:t>
      </w:r>
      <w:r w:rsidRPr="00E0558A">
        <w:rPr>
          <w:rFonts w:ascii="Times New Roman" w:hAnsi="Times New Roman" w:cs="Times New Roman"/>
          <w:sz w:val="24"/>
          <w:szCs w:val="24"/>
        </w:rPr>
        <w:t>above-</w:t>
      </w:r>
      <w:r w:rsidR="0034538A" w:rsidRPr="00E0558A">
        <w:rPr>
          <w:rFonts w:ascii="Times New Roman" w:hAnsi="Times New Roman" w:cs="Times New Roman"/>
          <w:sz w:val="24"/>
          <w:szCs w:val="24"/>
        </w:rPr>
        <w:t>captioned matte</w:t>
      </w:r>
      <w:r w:rsidR="00CE6244" w:rsidRPr="00E0558A">
        <w:rPr>
          <w:rFonts w:ascii="Times New Roman" w:hAnsi="Times New Roman" w:cs="Times New Roman"/>
          <w:sz w:val="24"/>
          <w:szCs w:val="24"/>
        </w:rPr>
        <w:t xml:space="preserve">rs </w:t>
      </w:r>
      <w:r w:rsidR="009346CE">
        <w:rPr>
          <w:rFonts w:ascii="Times New Roman" w:hAnsi="Times New Roman" w:cs="Times New Roman"/>
          <w:sz w:val="24"/>
          <w:szCs w:val="24"/>
        </w:rPr>
        <w:t xml:space="preserve">at </w:t>
      </w:r>
      <w:r w:rsidR="009346CE" w:rsidRPr="00E0558A">
        <w:rPr>
          <w:rFonts w:ascii="Times New Roman" w:hAnsi="Times New Roman" w:cs="Times New Roman"/>
          <w:sz w:val="24"/>
          <w:szCs w:val="24"/>
        </w:rPr>
        <w:t>Docket Nos. C-2012-2304324</w:t>
      </w:r>
      <w:r w:rsidR="009346CE">
        <w:rPr>
          <w:rFonts w:ascii="Times New Roman" w:hAnsi="Times New Roman" w:cs="Times New Roman"/>
          <w:sz w:val="24"/>
          <w:szCs w:val="24"/>
        </w:rPr>
        <w:t xml:space="preserve">, </w:t>
      </w:r>
      <w:r w:rsidR="009346CE" w:rsidRPr="00E0558A">
        <w:rPr>
          <w:rFonts w:ascii="Times New Roman" w:hAnsi="Times New Roman" w:cs="Times New Roman"/>
          <w:sz w:val="24"/>
          <w:szCs w:val="24"/>
        </w:rPr>
        <w:t>C-2012-2304183</w:t>
      </w:r>
      <w:r w:rsidR="009346CE">
        <w:rPr>
          <w:rFonts w:ascii="Times New Roman" w:hAnsi="Times New Roman" w:cs="Times New Roman"/>
          <w:sz w:val="24"/>
          <w:szCs w:val="24"/>
        </w:rPr>
        <w:t>,</w:t>
      </w:r>
      <w:r w:rsidR="009346CE" w:rsidRPr="009346CE">
        <w:rPr>
          <w:rFonts w:ascii="Times New Roman" w:hAnsi="Times New Roman" w:cs="Times New Roman"/>
          <w:sz w:val="24"/>
          <w:szCs w:val="24"/>
        </w:rPr>
        <w:t xml:space="preserve"> </w:t>
      </w:r>
      <w:r w:rsidR="009346CE" w:rsidRPr="00E0558A">
        <w:rPr>
          <w:rFonts w:ascii="Times New Roman" w:hAnsi="Times New Roman" w:cs="Times New Roman"/>
          <w:sz w:val="24"/>
          <w:szCs w:val="24"/>
        </w:rPr>
        <w:t>C-2015-2486642, C-2015-2486677, C-2015-2486674; C-2015-2486670, C-2015-2486664, C-2015-2486655, C-2015-2486648, and C-2015-2486618</w:t>
      </w:r>
      <w:r w:rsidR="009346CE">
        <w:rPr>
          <w:rFonts w:ascii="Times New Roman" w:hAnsi="Times New Roman" w:cs="Times New Roman"/>
          <w:sz w:val="24"/>
          <w:szCs w:val="24"/>
        </w:rPr>
        <w:t xml:space="preserve"> </w:t>
      </w:r>
      <w:r w:rsidR="00CE6244" w:rsidRPr="00E0558A">
        <w:rPr>
          <w:rFonts w:ascii="Times New Roman" w:hAnsi="Times New Roman" w:cs="Times New Roman"/>
          <w:sz w:val="24"/>
          <w:szCs w:val="24"/>
        </w:rPr>
        <w:t>will proceed to a hearing</w:t>
      </w:r>
      <w:r w:rsidR="009346CE">
        <w:rPr>
          <w:rFonts w:ascii="Times New Roman" w:hAnsi="Times New Roman" w:cs="Times New Roman"/>
          <w:sz w:val="24"/>
          <w:szCs w:val="24"/>
        </w:rPr>
        <w:t>.</w:t>
      </w:r>
    </w:p>
    <w:p w14:paraId="49477B0E" w14:textId="77777777" w:rsidR="00074B2F" w:rsidRPr="00E0558A" w:rsidRDefault="00074B2F" w:rsidP="00074B2F">
      <w:pPr>
        <w:widowControl w:val="0"/>
        <w:autoSpaceDE w:val="0"/>
        <w:autoSpaceDN w:val="0"/>
        <w:adjustRightInd w:val="0"/>
        <w:spacing w:after="0" w:line="360" w:lineRule="auto"/>
        <w:ind w:firstLine="1440"/>
        <w:rPr>
          <w:rFonts w:ascii="Times New Roman" w:hAnsi="Times New Roman" w:cs="Times New Roman"/>
          <w:sz w:val="24"/>
          <w:szCs w:val="24"/>
        </w:rPr>
      </w:pPr>
    </w:p>
    <w:p w14:paraId="7458679D" w14:textId="1315ABD4" w:rsidR="00074B2F" w:rsidRPr="00E0558A" w:rsidRDefault="00074B2F" w:rsidP="00074B2F">
      <w:pPr>
        <w:widowControl w:val="0"/>
        <w:autoSpaceDE w:val="0"/>
        <w:autoSpaceDN w:val="0"/>
        <w:adjustRightInd w:val="0"/>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5.</w:t>
      </w:r>
      <w:r w:rsidRPr="00E0558A">
        <w:rPr>
          <w:rFonts w:ascii="Times New Roman" w:hAnsi="Times New Roman" w:cs="Times New Roman"/>
          <w:sz w:val="24"/>
          <w:szCs w:val="24"/>
        </w:rPr>
        <w:tab/>
      </w:r>
      <w:r w:rsidR="001347A5" w:rsidRPr="00E0558A">
        <w:rPr>
          <w:rFonts w:ascii="Times New Roman" w:hAnsi="Times New Roman" w:cs="Times New Roman"/>
          <w:sz w:val="24"/>
          <w:szCs w:val="24"/>
        </w:rPr>
        <w:t>That t</w:t>
      </w:r>
      <w:r w:rsidR="00CE6244" w:rsidRPr="00E0558A">
        <w:rPr>
          <w:rFonts w:ascii="Times New Roman" w:hAnsi="Times New Roman" w:cs="Times New Roman"/>
          <w:sz w:val="24"/>
          <w:szCs w:val="24"/>
        </w:rPr>
        <w:t xml:space="preserve">he 2015 Complaints </w:t>
      </w:r>
      <w:r w:rsidR="00293BC9" w:rsidRPr="00E0558A">
        <w:rPr>
          <w:rFonts w:ascii="Times New Roman" w:hAnsi="Times New Roman" w:cs="Times New Roman"/>
          <w:sz w:val="24"/>
          <w:szCs w:val="24"/>
        </w:rPr>
        <w:t xml:space="preserve">at Docket Nos. </w:t>
      </w:r>
      <w:bookmarkStart w:id="17" w:name="_Hlk122328756"/>
      <w:r w:rsidR="00F6763B" w:rsidRPr="00E0558A">
        <w:rPr>
          <w:rFonts w:ascii="Times New Roman" w:hAnsi="Times New Roman" w:cs="Times New Roman"/>
          <w:sz w:val="24"/>
          <w:szCs w:val="24"/>
        </w:rPr>
        <w:t xml:space="preserve">C-2015-2486642, </w:t>
      </w:r>
      <w:r w:rsidR="008A5260" w:rsidRPr="00E0558A">
        <w:rPr>
          <w:rFonts w:ascii="Times New Roman" w:hAnsi="Times New Roman" w:cs="Times New Roman"/>
          <w:sz w:val="24"/>
          <w:szCs w:val="24"/>
        </w:rPr>
        <w:t xml:space="preserve">C-2015-2486677, </w:t>
      </w:r>
      <w:r w:rsidR="00293BC9" w:rsidRPr="00E0558A">
        <w:rPr>
          <w:rFonts w:ascii="Times New Roman" w:hAnsi="Times New Roman" w:cs="Times New Roman"/>
          <w:sz w:val="24"/>
          <w:szCs w:val="24"/>
        </w:rPr>
        <w:t>C-2015-2486674; C-2015-2486670</w:t>
      </w:r>
      <w:r w:rsidR="008A5260" w:rsidRPr="00E0558A">
        <w:rPr>
          <w:rFonts w:ascii="Times New Roman" w:hAnsi="Times New Roman" w:cs="Times New Roman"/>
          <w:sz w:val="24"/>
          <w:szCs w:val="24"/>
        </w:rPr>
        <w:t>,</w:t>
      </w:r>
      <w:r w:rsidR="00293BC9" w:rsidRPr="00E0558A">
        <w:rPr>
          <w:rFonts w:ascii="Times New Roman" w:hAnsi="Times New Roman" w:cs="Times New Roman"/>
          <w:sz w:val="24"/>
          <w:szCs w:val="24"/>
        </w:rPr>
        <w:t xml:space="preserve"> </w:t>
      </w:r>
      <w:r w:rsidR="00976BD6" w:rsidRPr="00E0558A">
        <w:rPr>
          <w:rFonts w:ascii="Times New Roman" w:hAnsi="Times New Roman" w:cs="Times New Roman"/>
          <w:sz w:val="24"/>
          <w:szCs w:val="24"/>
        </w:rPr>
        <w:t>C-2015-2486664, C-2015-2486655</w:t>
      </w:r>
      <w:r w:rsidR="005D7C9A" w:rsidRPr="00E0558A">
        <w:rPr>
          <w:rFonts w:ascii="Times New Roman" w:hAnsi="Times New Roman" w:cs="Times New Roman"/>
          <w:sz w:val="24"/>
          <w:szCs w:val="24"/>
        </w:rPr>
        <w:t>,</w:t>
      </w:r>
      <w:r w:rsidR="00293BC9" w:rsidRPr="00E0558A">
        <w:rPr>
          <w:rFonts w:ascii="Times New Roman" w:hAnsi="Times New Roman" w:cs="Times New Roman"/>
          <w:sz w:val="24"/>
          <w:szCs w:val="24"/>
        </w:rPr>
        <w:t xml:space="preserve"> </w:t>
      </w:r>
      <w:r w:rsidR="005D7C9A" w:rsidRPr="00E0558A">
        <w:rPr>
          <w:rFonts w:ascii="Times New Roman" w:hAnsi="Times New Roman" w:cs="Times New Roman"/>
          <w:sz w:val="24"/>
          <w:szCs w:val="24"/>
        </w:rPr>
        <w:t>C-2015-2486648, and C-2015-2486618</w:t>
      </w:r>
      <w:r w:rsidR="008A5260" w:rsidRPr="00E0558A">
        <w:rPr>
          <w:rFonts w:ascii="Times New Roman" w:hAnsi="Times New Roman" w:cs="Times New Roman"/>
          <w:sz w:val="24"/>
          <w:szCs w:val="24"/>
        </w:rPr>
        <w:t xml:space="preserve"> </w:t>
      </w:r>
      <w:bookmarkEnd w:id="17"/>
      <w:r w:rsidR="00293BC9" w:rsidRPr="00E0558A">
        <w:rPr>
          <w:rFonts w:ascii="Times New Roman" w:hAnsi="Times New Roman" w:cs="Times New Roman"/>
          <w:sz w:val="24"/>
          <w:szCs w:val="24"/>
        </w:rPr>
        <w:t xml:space="preserve">will </w:t>
      </w:r>
      <w:r w:rsidR="00CE6244" w:rsidRPr="00E0558A">
        <w:rPr>
          <w:rFonts w:ascii="Times New Roman" w:hAnsi="Times New Roman" w:cs="Times New Roman"/>
          <w:sz w:val="24"/>
          <w:szCs w:val="24"/>
        </w:rPr>
        <w:t xml:space="preserve">proceed to </w:t>
      </w:r>
      <w:r w:rsidR="001A4B68" w:rsidRPr="00E0558A">
        <w:rPr>
          <w:rFonts w:ascii="Times New Roman" w:hAnsi="Times New Roman" w:cs="Times New Roman"/>
          <w:sz w:val="24"/>
          <w:szCs w:val="24"/>
        </w:rPr>
        <w:t>an evidentiary hearing</w:t>
      </w:r>
      <w:r w:rsidR="00D82EE3">
        <w:rPr>
          <w:rFonts w:ascii="Times New Roman" w:hAnsi="Times New Roman" w:cs="Times New Roman"/>
          <w:sz w:val="24"/>
          <w:szCs w:val="24"/>
        </w:rPr>
        <w:t xml:space="preserve"> on all pending issues.</w:t>
      </w:r>
    </w:p>
    <w:p w14:paraId="5965E514" w14:textId="77777777" w:rsidR="00074B2F" w:rsidRPr="00E0558A" w:rsidRDefault="00074B2F" w:rsidP="00074B2F">
      <w:pPr>
        <w:widowControl w:val="0"/>
        <w:autoSpaceDE w:val="0"/>
        <w:autoSpaceDN w:val="0"/>
        <w:adjustRightInd w:val="0"/>
        <w:spacing w:after="0" w:line="360" w:lineRule="auto"/>
        <w:ind w:firstLine="1440"/>
        <w:rPr>
          <w:rFonts w:ascii="Times New Roman" w:hAnsi="Times New Roman" w:cs="Times New Roman"/>
          <w:sz w:val="24"/>
          <w:szCs w:val="24"/>
        </w:rPr>
      </w:pPr>
    </w:p>
    <w:p w14:paraId="04BB742B" w14:textId="24C109CB" w:rsidR="00074B2F" w:rsidRPr="00E0558A" w:rsidRDefault="00074B2F" w:rsidP="00074B2F">
      <w:pPr>
        <w:widowControl w:val="0"/>
        <w:autoSpaceDE w:val="0"/>
        <w:autoSpaceDN w:val="0"/>
        <w:adjustRightInd w:val="0"/>
        <w:spacing w:after="0" w:line="360" w:lineRule="auto"/>
        <w:ind w:firstLine="1440"/>
        <w:rPr>
          <w:rFonts w:ascii="Times New Roman" w:hAnsi="Times New Roman" w:cs="Times New Roman"/>
          <w:sz w:val="24"/>
          <w:szCs w:val="24"/>
        </w:rPr>
      </w:pPr>
      <w:r w:rsidRPr="00E0558A">
        <w:rPr>
          <w:rFonts w:ascii="Times New Roman" w:hAnsi="Times New Roman" w:cs="Times New Roman"/>
          <w:sz w:val="24"/>
          <w:szCs w:val="24"/>
        </w:rPr>
        <w:t>6.</w:t>
      </w:r>
      <w:r w:rsidRPr="00E0558A">
        <w:rPr>
          <w:rFonts w:ascii="Times New Roman" w:hAnsi="Times New Roman" w:cs="Times New Roman"/>
          <w:sz w:val="24"/>
          <w:szCs w:val="24"/>
        </w:rPr>
        <w:tab/>
      </w:r>
      <w:r w:rsidR="00E1762C" w:rsidRPr="00E0558A">
        <w:rPr>
          <w:rFonts w:ascii="Times New Roman" w:hAnsi="Times New Roman" w:cs="Times New Roman"/>
          <w:sz w:val="24"/>
          <w:szCs w:val="24"/>
        </w:rPr>
        <w:t>T</w:t>
      </w:r>
      <w:r w:rsidR="0023654F" w:rsidRPr="00E0558A">
        <w:rPr>
          <w:rFonts w:ascii="Times New Roman" w:hAnsi="Times New Roman" w:cs="Times New Roman"/>
          <w:sz w:val="24"/>
          <w:szCs w:val="24"/>
        </w:rPr>
        <w:t>hat t</w:t>
      </w:r>
      <w:r w:rsidR="00E1762C" w:rsidRPr="00E0558A">
        <w:rPr>
          <w:rFonts w:ascii="Times New Roman" w:hAnsi="Times New Roman" w:cs="Times New Roman"/>
          <w:sz w:val="24"/>
          <w:szCs w:val="24"/>
        </w:rPr>
        <w:t>he 2012 Complaints</w:t>
      </w:r>
      <w:r w:rsidR="00452FD9" w:rsidRPr="00E0558A">
        <w:rPr>
          <w:rFonts w:ascii="Times New Roman" w:hAnsi="Times New Roman" w:cs="Times New Roman"/>
          <w:sz w:val="24"/>
          <w:szCs w:val="24"/>
        </w:rPr>
        <w:t xml:space="preserve"> at </w:t>
      </w:r>
      <w:bookmarkStart w:id="18" w:name="_Hlk122328725"/>
      <w:r w:rsidR="00452FD9" w:rsidRPr="00E0558A">
        <w:rPr>
          <w:rFonts w:ascii="Times New Roman" w:hAnsi="Times New Roman" w:cs="Times New Roman"/>
          <w:sz w:val="24"/>
          <w:szCs w:val="24"/>
        </w:rPr>
        <w:t>Docket Nos. C-2012-2304324 and C-2012-2304183</w:t>
      </w:r>
      <w:bookmarkEnd w:id="18"/>
      <w:r w:rsidR="00452FD9" w:rsidRPr="00E0558A">
        <w:rPr>
          <w:rFonts w:ascii="Times New Roman" w:hAnsi="Times New Roman" w:cs="Times New Roman"/>
          <w:sz w:val="24"/>
          <w:szCs w:val="24"/>
        </w:rPr>
        <w:t xml:space="preserve"> will proceed to an evidentiary hearing </w:t>
      </w:r>
      <w:r w:rsidR="00CB4855" w:rsidRPr="00E0558A">
        <w:rPr>
          <w:rFonts w:ascii="Times New Roman" w:hAnsi="Times New Roman" w:cs="Times New Roman"/>
          <w:sz w:val="24"/>
          <w:szCs w:val="24"/>
        </w:rPr>
        <w:t>f</w:t>
      </w:r>
      <w:r w:rsidR="00D82EE3">
        <w:rPr>
          <w:rFonts w:ascii="Times New Roman" w:hAnsi="Times New Roman" w:cs="Times New Roman"/>
          <w:sz w:val="24"/>
          <w:szCs w:val="24"/>
        </w:rPr>
        <w:t>o</w:t>
      </w:r>
      <w:r w:rsidR="00CB4855" w:rsidRPr="00E0558A">
        <w:rPr>
          <w:rFonts w:ascii="Times New Roman" w:hAnsi="Times New Roman" w:cs="Times New Roman"/>
          <w:sz w:val="24"/>
          <w:szCs w:val="24"/>
        </w:rPr>
        <w:t xml:space="preserve">r </w:t>
      </w:r>
      <w:r w:rsidR="00452FD9" w:rsidRPr="00E0558A">
        <w:rPr>
          <w:rFonts w:ascii="Times New Roman" w:hAnsi="Times New Roman" w:cs="Times New Roman"/>
          <w:sz w:val="24"/>
          <w:szCs w:val="24"/>
        </w:rPr>
        <w:t>the calculation of refunds due because of P</w:t>
      </w:r>
      <w:r w:rsidR="0023654F" w:rsidRPr="00E0558A">
        <w:rPr>
          <w:rFonts w:ascii="Times New Roman" w:hAnsi="Times New Roman" w:cs="Times New Roman"/>
          <w:sz w:val="24"/>
          <w:szCs w:val="24"/>
        </w:rPr>
        <w:t>hi</w:t>
      </w:r>
      <w:r w:rsidR="00EC31D7" w:rsidRPr="00E0558A">
        <w:rPr>
          <w:rFonts w:ascii="Times New Roman" w:hAnsi="Times New Roman" w:cs="Times New Roman"/>
          <w:sz w:val="24"/>
          <w:szCs w:val="24"/>
        </w:rPr>
        <w:t>ladelphi</w:t>
      </w:r>
      <w:r w:rsidR="00C61A1B" w:rsidRPr="00E0558A">
        <w:rPr>
          <w:rFonts w:ascii="Times New Roman" w:hAnsi="Times New Roman" w:cs="Times New Roman"/>
          <w:sz w:val="24"/>
          <w:szCs w:val="24"/>
        </w:rPr>
        <w:t>a</w:t>
      </w:r>
      <w:r w:rsidR="00EC31D7" w:rsidRPr="00E0558A">
        <w:rPr>
          <w:rFonts w:ascii="Times New Roman" w:hAnsi="Times New Roman" w:cs="Times New Roman"/>
          <w:sz w:val="24"/>
          <w:szCs w:val="24"/>
        </w:rPr>
        <w:t xml:space="preserve"> Gas Works’ improp</w:t>
      </w:r>
      <w:r w:rsidR="00452FD9" w:rsidRPr="00E0558A">
        <w:rPr>
          <w:rFonts w:ascii="Times New Roman" w:hAnsi="Times New Roman" w:cs="Times New Roman"/>
          <w:sz w:val="24"/>
          <w:szCs w:val="24"/>
        </w:rPr>
        <w:t>er assessment of 18% tariffed interest rate as late payment charge on outstanding balances that had already been filed as municipal liens.</w:t>
      </w:r>
    </w:p>
    <w:p w14:paraId="7265FDF5" w14:textId="77777777" w:rsidR="00074B2F" w:rsidRPr="00E0558A" w:rsidRDefault="00074B2F" w:rsidP="00074B2F">
      <w:pPr>
        <w:widowControl w:val="0"/>
        <w:autoSpaceDE w:val="0"/>
        <w:autoSpaceDN w:val="0"/>
        <w:adjustRightInd w:val="0"/>
        <w:spacing w:after="0" w:line="360" w:lineRule="auto"/>
        <w:ind w:firstLine="1440"/>
        <w:rPr>
          <w:rFonts w:ascii="Times New Roman" w:hAnsi="Times New Roman" w:cs="Times New Roman"/>
          <w:sz w:val="24"/>
          <w:szCs w:val="24"/>
        </w:rPr>
      </w:pPr>
    </w:p>
    <w:p w14:paraId="38EFEC59" w14:textId="77777777" w:rsidR="00A9457A" w:rsidRPr="00E0558A" w:rsidRDefault="00A9457A" w:rsidP="00A9457A">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674AE37A" w14:textId="11638998" w:rsidR="00A9457A" w:rsidRPr="00E0558A" w:rsidRDefault="00A9457A" w:rsidP="00A9457A">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0558A">
        <w:rPr>
          <w:rFonts w:ascii="Times New Roman" w:eastAsia="Times New Roman" w:hAnsi="Times New Roman" w:cs="Times New Roman"/>
          <w:spacing w:val="-3"/>
          <w:sz w:val="24"/>
          <w:szCs w:val="24"/>
          <w:u w:val="single"/>
        </w:rPr>
        <w:t>Date:</w:t>
      </w:r>
      <w:r w:rsidRPr="00E0558A">
        <w:rPr>
          <w:rFonts w:ascii="Times New Roman" w:eastAsia="Times New Roman" w:hAnsi="Times New Roman" w:cs="Times New Roman"/>
          <w:spacing w:val="-3"/>
          <w:sz w:val="24"/>
          <w:szCs w:val="24"/>
          <w:u w:val="single"/>
        </w:rPr>
        <w:tab/>
        <w:t>December 1</w:t>
      </w:r>
      <w:r w:rsidR="00A2625A">
        <w:rPr>
          <w:rFonts w:ascii="Times New Roman" w:eastAsia="Times New Roman" w:hAnsi="Times New Roman" w:cs="Times New Roman"/>
          <w:spacing w:val="-3"/>
          <w:sz w:val="24"/>
          <w:szCs w:val="24"/>
          <w:u w:val="single"/>
        </w:rPr>
        <w:t>9</w:t>
      </w:r>
      <w:r w:rsidRPr="00E0558A">
        <w:rPr>
          <w:rFonts w:ascii="Times New Roman" w:eastAsia="Times New Roman" w:hAnsi="Times New Roman" w:cs="Times New Roman"/>
          <w:spacing w:val="-3"/>
          <w:sz w:val="24"/>
          <w:szCs w:val="24"/>
          <w:u w:val="single"/>
        </w:rPr>
        <w:t>, 2022</w:t>
      </w:r>
      <w:r w:rsidRPr="00E0558A">
        <w:rPr>
          <w:rFonts w:ascii="Times New Roman" w:eastAsia="Times New Roman" w:hAnsi="Times New Roman" w:cs="Times New Roman"/>
          <w:spacing w:val="-3"/>
          <w:sz w:val="24"/>
          <w:szCs w:val="24"/>
        </w:rPr>
        <w:tab/>
      </w:r>
      <w:r w:rsidRPr="00E0558A">
        <w:rPr>
          <w:rFonts w:ascii="Times New Roman" w:eastAsia="Times New Roman" w:hAnsi="Times New Roman" w:cs="Times New Roman"/>
          <w:spacing w:val="-3"/>
          <w:sz w:val="24"/>
          <w:szCs w:val="24"/>
        </w:rPr>
        <w:tab/>
      </w:r>
      <w:r w:rsidRPr="00E0558A">
        <w:rPr>
          <w:rFonts w:ascii="Times New Roman" w:eastAsia="Times New Roman" w:hAnsi="Times New Roman" w:cs="Times New Roman"/>
          <w:spacing w:val="-3"/>
          <w:sz w:val="24"/>
          <w:szCs w:val="24"/>
          <w:u w:val="single"/>
        </w:rPr>
        <w:tab/>
      </w:r>
      <w:r w:rsidRPr="00E0558A">
        <w:rPr>
          <w:rFonts w:ascii="Times New Roman" w:eastAsia="Times New Roman" w:hAnsi="Times New Roman" w:cs="Times New Roman"/>
          <w:spacing w:val="-3"/>
          <w:sz w:val="24"/>
          <w:szCs w:val="24"/>
          <w:u w:val="single"/>
        </w:rPr>
        <w:tab/>
        <w:t>/s/</w:t>
      </w:r>
      <w:r w:rsidRPr="00E0558A">
        <w:rPr>
          <w:rFonts w:ascii="Times New Roman" w:eastAsia="Times New Roman" w:hAnsi="Times New Roman" w:cs="Times New Roman"/>
          <w:spacing w:val="-3"/>
          <w:sz w:val="24"/>
          <w:szCs w:val="24"/>
          <w:u w:val="single"/>
        </w:rPr>
        <w:tab/>
      </w:r>
      <w:r w:rsidRPr="00E0558A">
        <w:rPr>
          <w:rFonts w:ascii="Times New Roman" w:eastAsia="Times New Roman" w:hAnsi="Times New Roman" w:cs="Times New Roman"/>
          <w:spacing w:val="-3"/>
          <w:sz w:val="24"/>
          <w:szCs w:val="24"/>
          <w:u w:val="single"/>
        </w:rPr>
        <w:tab/>
      </w:r>
      <w:r w:rsidRPr="00E0558A">
        <w:rPr>
          <w:rFonts w:ascii="Times New Roman" w:eastAsia="Times New Roman" w:hAnsi="Times New Roman" w:cs="Times New Roman"/>
          <w:spacing w:val="-3"/>
          <w:sz w:val="24"/>
          <w:szCs w:val="24"/>
          <w:u w:val="single"/>
        </w:rPr>
        <w:tab/>
      </w:r>
    </w:p>
    <w:p w14:paraId="3F05B4A9" w14:textId="77777777" w:rsidR="00A9457A" w:rsidRPr="00E0558A" w:rsidRDefault="00A9457A" w:rsidP="00A9457A">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E0558A">
        <w:rPr>
          <w:rFonts w:ascii="Times New Roman" w:eastAsia="Times New Roman" w:hAnsi="Times New Roman" w:cs="Times New Roman"/>
          <w:spacing w:val="-3"/>
          <w:sz w:val="24"/>
          <w:szCs w:val="24"/>
        </w:rPr>
        <w:tab/>
      </w:r>
      <w:r w:rsidRPr="00E0558A">
        <w:rPr>
          <w:rFonts w:ascii="Times New Roman" w:eastAsia="Times New Roman" w:hAnsi="Times New Roman" w:cs="Times New Roman"/>
          <w:spacing w:val="-3"/>
          <w:sz w:val="24"/>
          <w:szCs w:val="24"/>
        </w:rPr>
        <w:tab/>
        <w:t xml:space="preserve">Eranda Vero </w:t>
      </w:r>
    </w:p>
    <w:p w14:paraId="2736BEB2" w14:textId="1782C28D" w:rsidR="00A9457A" w:rsidRPr="00E0558A" w:rsidRDefault="00A9457A" w:rsidP="00F8022A">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E0558A">
        <w:rPr>
          <w:rFonts w:ascii="Times New Roman" w:eastAsia="Times New Roman" w:hAnsi="Times New Roman" w:cs="Times New Roman"/>
          <w:sz w:val="24"/>
          <w:szCs w:val="24"/>
        </w:rPr>
        <w:tab/>
      </w:r>
      <w:r w:rsidRPr="00E0558A">
        <w:rPr>
          <w:rFonts w:ascii="Times New Roman" w:eastAsia="Times New Roman" w:hAnsi="Times New Roman" w:cs="Times New Roman"/>
          <w:sz w:val="24"/>
          <w:szCs w:val="24"/>
        </w:rPr>
        <w:tab/>
        <w:t>Administrative Law Judge</w:t>
      </w:r>
    </w:p>
    <w:p w14:paraId="370530FF" w14:textId="77777777" w:rsidR="00774463" w:rsidRPr="00234C56" w:rsidRDefault="00A96B3C" w:rsidP="00234C56">
      <w:pPr>
        <w:pStyle w:val="NoSpacing"/>
        <w:rPr>
          <w:rFonts w:ascii="Times New Roman" w:hAnsi="Times New Roman" w:cs="Times New Roman"/>
          <w:b/>
          <w:bCs/>
          <w:sz w:val="24"/>
          <w:szCs w:val="24"/>
          <w:u w:val="single"/>
        </w:rPr>
      </w:pPr>
      <w:r>
        <w:rPr>
          <w:rFonts w:ascii="Times New Roman" w:hAnsi="Times New Roman" w:cs="Times New Roman"/>
          <w:sz w:val="24"/>
          <w:szCs w:val="24"/>
        </w:rPr>
        <w:br w:type="page"/>
      </w:r>
      <w:r w:rsidR="00774463" w:rsidRPr="00234C56">
        <w:rPr>
          <w:rFonts w:ascii="Times New Roman" w:hAnsi="Times New Roman" w:cs="Times New Roman"/>
          <w:b/>
          <w:bCs/>
          <w:sz w:val="24"/>
          <w:szCs w:val="24"/>
          <w:u w:val="single"/>
        </w:rPr>
        <w:lastRenderedPageBreak/>
        <w:t xml:space="preserve">C-2012-2304183, C-2012-2308454, C-2012-2308462, C-2012-2308465, </w:t>
      </w:r>
    </w:p>
    <w:p w14:paraId="5D357130" w14:textId="77777777" w:rsidR="00774463" w:rsidRPr="00234C56" w:rsidRDefault="00774463" w:rsidP="00234C56">
      <w:pPr>
        <w:pStyle w:val="NoSpacing"/>
        <w:rPr>
          <w:rFonts w:ascii="Times New Roman" w:hAnsi="Times New Roman" w:cs="Times New Roman"/>
          <w:b/>
          <w:bCs/>
          <w:sz w:val="24"/>
          <w:szCs w:val="24"/>
          <w:u w:val="single"/>
        </w:rPr>
      </w:pPr>
      <w:r w:rsidRPr="00234C56">
        <w:rPr>
          <w:rFonts w:ascii="Times New Roman" w:hAnsi="Times New Roman" w:cs="Times New Roman"/>
          <w:b/>
          <w:bCs/>
          <w:sz w:val="24"/>
          <w:szCs w:val="24"/>
          <w:u w:val="single"/>
        </w:rPr>
        <w:t xml:space="preserve">C-2012-2304167, C-2012-2304215, C-2012-230430, C-2012-2304324, C-2015-2486618, </w:t>
      </w:r>
    </w:p>
    <w:p w14:paraId="6644345F" w14:textId="77777777" w:rsidR="00774463" w:rsidRPr="00234C56" w:rsidRDefault="00774463" w:rsidP="00234C56">
      <w:pPr>
        <w:pStyle w:val="NoSpacing"/>
        <w:rPr>
          <w:rFonts w:ascii="Times New Roman" w:hAnsi="Times New Roman" w:cs="Times New Roman"/>
          <w:b/>
          <w:bCs/>
          <w:sz w:val="24"/>
          <w:szCs w:val="24"/>
          <w:u w:val="single"/>
        </w:rPr>
      </w:pPr>
      <w:r w:rsidRPr="00234C56">
        <w:rPr>
          <w:rFonts w:ascii="Times New Roman" w:hAnsi="Times New Roman" w:cs="Times New Roman"/>
          <w:b/>
          <w:bCs/>
          <w:sz w:val="24"/>
          <w:szCs w:val="24"/>
          <w:u w:val="single"/>
        </w:rPr>
        <w:t>C-2015-2486677, C-2015-2486674, C-2015-2486670, C-2015-2486664, C-2015-2486655,</w:t>
      </w:r>
    </w:p>
    <w:p w14:paraId="619A1CF7" w14:textId="77777777" w:rsidR="00774463" w:rsidRPr="00234C56" w:rsidRDefault="00774463" w:rsidP="00234C56">
      <w:pPr>
        <w:pStyle w:val="NoSpacing"/>
        <w:rPr>
          <w:rFonts w:ascii="Times New Roman" w:hAnsi="Times New Roman" w:cs="Times New Roman"/>
          <w:b/>
          <w:bCs/>
          <w:sz w:val="24"/>
          <w:szCs w:val="24"/>
          <w:u w:val="single"/>
        </w:rPr>
      </w:pPr>
      <w:r w:rsidRPr="00234C56">
        <w:rPr>
          <w:rFonts w:ascii="Times New Roman" w:hAnsi="Times New Roman" w:cs="Times New Roman"/>
          <w:b/>
          <w:bCs/>
          <w:sz w:val="24"/>
          <w:szCs w:val="24"/>
          <w:u w:val="single"/>
        </w:rPr>
        <w:t>C-2015-2486648, C-2015-2486674 - SBG MANAGEMENT SERVICES, INC /SIMON GARDEN REALTY CO., L.P., ET AL V. PHILADELPHIA GAS WORKS</w:t>
      </w:r>
    </w:p>
    <w:p w14:paraId="7056249E" w14:textId="51801BA9" w:rsidR="00774463" w:rsidRDefault="00774463" w:rsidP="00234C56">
      <w:pPr>
        <w:pStyle w:val="NoSpacing"/>
        <w:rPr>
          <w:rFonts w:ascii="Times New Roman" w:hAnsi="Times New Roman" w:cs="Times New Roman"/>
          <w:sz w:val="24"/>
          <w:szCs w:val="24"/>
        </w:rPr>
      </w:pPr>
    </w:p>
    <w:p w14:paraId="3AB21449" w14:textId="77777777" w:rsidR="00234C56" w:rsidRPr="00234C56" w:rsidRDefault="00234C56" w:rsidP="00234C56">
      <w:pPr>
        <w:pStyle w:val="NoSpacing"/>
        <w:rPr>
          <w:rFonts w:ascii="Times New Roman" w:hAnsi="Times New Roman" w:cs="Times New Roman"/>
          <w:sz w:val="24"/>
          <w:szCs w:val="24"/>
        </w:rPr>
      </w:pPr>
    </w:p>
    <w:p w14:paraId="27A7FC80"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sz w:val="24"/>
          <w:szCs w:val="24"/>
        </w:rPr>
        <w:t>MICHAEL YANOFF ESQUIRE</w:t>
      </w:r>
      <w:r w:rsidRPr="00234C56">
        <w:rPr>
          <w:rFonts w:ascii="Times New Roman" w:eastAsia="Microsoft Sans Serif" w:hAnsi="Times New Roman" w:cs="Times New Roman"/>
          <w:sz w:val="24"/>
          <w:szCs w:val="24"/>
        </w:rPr>
        <w:br/>
        <w:t>PATRICIA M STARNER ESQUIRE</w:t>
      </w:r>
      <w:r w:rsidRPr="00234C56">
        <w:rPr>
          <w:rFonts w:ascii="Times New Roman" w:eastAsia="Microsoft Sans Serif" w:hAnsi="Times New Roman" w:cs="Times New Roman"/>
          <w:sz w:val="24"/>
          <w:szCs w:val="24"/>
        </w:rPr>
        <w:br/>
        <w:t>SHAWN M RODGERS ESQUIRE</w:t>
      </w:r>
      <w:r w:rsidRPr="00234C56">
        <w:rPr>
          <w:rFonts w:ascii="Times New Roman" w:eastAsia="Microsoft Sans Serif" w:hAnsi="Times New Roman" w:cs="Times New Roman"/>
          <w:sz w:val="24"/>
          <w:szCs w:val="24"/>
        </w:rPr>
        <w:br/>
        <w:t>GOLDSTEIN LAW PARTNERS LLC</w:t>
      </w:r>
    </w:p>
    <w:p w14:paraId="728E7CCF"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sz w:val="24"/>
          <w:szCs w:val="24"/>
        </w:rPr>
        <w:t>11 CHURCH ROAD</w:t>
      </w:r>
    </w:p>
    <w:p w14:paraId="5F5707E2"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sz w:val="24"/>
          <w:szCs w:val="24"/>
        </w:rPr>
        <w:t>HATFIELD PA  19440</w:t>
      </w:r>
    </w:p>
    <w:p w14:paraId="28D65E84"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bCs/>
          <w:sz w:val="24"/>
          <w:szCs w:val="24"/>
        </w:rPr>
        <w:t>610.949.0444</w:t>
      </w:r>
      <w:r w:rsidRPr="00234C56">
        <w:rPr>
          <w:rFonts w:ascii="Times New Roman" w:eastAsia="Microsoft Sans Serif" w:hAnsi="Times New Roman" w:cs="Times New Roman"/>
          <w:sz w:val="24"/>
          <w:szCs w:val="24"/>
        </w:rPr>
        <w:br/>
      </w:r>
      <w:r w:rsidRPr="00234C56">
        <w:rPr>
          <w:rFonts w:ascii="Times New Roman" w:eastAsia="Microsoft Sans Serif" w:hAnsi="Times New Roman" w:cs="Times New Roman"/>
          <w:bCs/>
          <w:sz w:val="24"/>
          <w:szCs w:val="24"/>
        </w:rPr>
        <w:t>484.888.8054</w:t>
      </w:r>
    </w:p>
    <w:p w14:paraId="42F4B9A1"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sz w:val="24"/>
          <w:szCs w:val="24"/>
        </w:rPr>
        <w:t>pstarner@goldsteinlp.com</w:t>
      </w:r>
    </w:p>
    <w:p w14:paraId="418240DC"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sz w:val="24"/>
          <w:szCs w:val="24"/>
        </w:rPr>
        <w:t>myanoff@goldsteinlp.com</w:t>
      </w:r>
    </w:p>
    <w:p w14:paraId="3CFF1CED" w14:textId="77777777" w:rsidR="00234C56" w:rsidRPr="00234C56" w:rsidRDefault="00234C56" w:rsidP="00234C56">
      <w:pPr>
        <w:pStyle w:val="NoSpacing"/>
        <w:rPr>
          <w:rFonts w:ascii="Times New Roman" w:eastAsia="Microsoft Sans Serif" w:hAnsi="Times New Roman" w:cs="Times New Roman"/>
          <w:sz w:val="24"/>
          <w:szCs w:val="24"/>
        </w:rPr>
      </w:pPr>
      <w:r w:rsidRPr="00234C56">
        <w:rPr>
          <w:rFonts w:ascii="Times New Roman" w:eastAsia="Microsoft Sans Serif" w:hAnsi="Times New Roman" w:cs="Times New Roman"/>
          <w:sz w:val="24"/>
          <w:szCs w:val="24"/>
        </w:rPr>
        <w:t xml:space="preserve">srodgers@goldsteinlp.com    </w:t>
      </w:r>
      <w:r w:rsidRPr="00234C56">
        <w:rPr>
          <w:rFonts w:ascii="Times New Roman" w:eastAsia="Microsoft Sans Serif" w:hAnsi="Times New Roman" w:cs="Times New Roman"/>
          <w:sz w:val="24"/>
          <w:szCs w:val="24"/>
        </w:rPr>
        <w:br/>
        <w:t>Accepts eService</w:t>
      </w:r>
    </w:p>
    <w:p w14:paraId="2205843F" w14:textId="77777777" w:rsidR="00234C56" w:rsidRPr="00234C56" w:rsidRDefault="00234C56" w:rsidP="00234C56">
      <w:pPr>
        <w:pStyle w:val="NoSpacing"/>
        <w:rPr>
          <w:rFonts w:ascii="Times New Roman" w:eastAsia="Microsoft Sans Serif" w:hAnsi="Times New Roman" w:cs="Times New Roman"/>
          <w:i/>
          <w:iCs/>
          <w:sz w:val="24"/>
          <w:szCs w:val="24"/>
        </w:rPr>
      </w:pPr>
      <w:r w:rsidRPr="00234C56">
        <w:rPr>
          <w:rFonts w:ascii="Times New Roman" w:eastAsia="Microsoft Sans Serif" w:hAnsi="Times New Roman" w:cs="Times New Roman"/>
          <w:i/>
          <w:iCs/>
          <w:sz w:val="24"/>
          <w:szCs w:val="24"/>
        </w:rPr>
        <w:t>Representing SBG Management Services, Inc., Colonial Garden Realty Co., L.P., Simon Garden Realty Co., L.P.</w:t>
      </w:r>
    </w:p>
    <w:p w14:paraId="563192EF" w14:textId="5CC111F4" w:rsidR="00A96B3C" w:rsidRDefault="00A96B3C">
      <w:pPr>
        <w:spacing w:line="259" w:lineRule="auto"/>
        <w:rPr>
          <w:rFonts w:ascii="Times New Roman" w:hAnsi="Times New Roman" w:cs="Times New Roman"/>
          <w:sz w:val="24"/>
          <w:szCs w:val="24"/>
        </w:rPr>
      </w:pPr>
    </w:p>
    <w:p w14:paraId="5655B513" w14:textId="77777777" w:rsidR="0095431E" w:rsidRP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sz w:val="24"/>
          <w:szCs w:val="24"/>
        </w:rPr>
        <w:t>CHRISTY APPLEBY ESQUIRE</w:t>
      </w:r>
    </w:p>
    <w:p w14:paraId="311085CD" w14:textId="77777777" w:rsidR="0095431E" w:rsidRP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sz w:val="24"/>
          <w:szCs w:val="24"/>
        </w:rPr>
        <w:t>OFFICE OF CONSUMER ADVOCATE</w:t>
      </w:r>
    </w:p>
    <w:p w14:paraId="61E9D287" w14:textId="77777777" w:rsidR="0095431E" w:rsidRP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sz w:val="24"/>
          <w:szCs w:val="24"/>
        </w:rPr>
        <w:t xml:space="preserve">555 WALNUT STREET 5TH FLOOR </w:t>
      </w:r>
    </w:p>
    <w:p w14:paraId="623E62B4" w14:textId="77777777" w:rsidR="0095431E" w:rsidRP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sz w:val="24"/>
          <w:szCs w:val="24"/>
        </w:rPr>
        <w:t>FORUM PLACE</w:t>
      </w:r>
    </w:p>
    <w:p w14:paraId="0E5D6F2E" w14:textId="77777777" w:rsidR="0095431E" w:rsidRP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sz w:val="24"/>
          <w:szCs w:val="24"/>
        </w:rPr>
        <w:t>HARRISBURG PA  17101</w:t>
      </w:r>
    </w:p>
    <w:p w14:paraId="317EFEBF" w14:textId="77777777" w:rsidR="0095431E" w:rsidRP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b/>
          <w:bCs/>
          <w:sz w:val="24"/>
          <w:szCs w:val="24"/>
        </w:rPr>
        <w:t>717.783.5048</w:t>
      </w:r>
    </w:p>
    <w:p w14:paraId="6FFFA05A" w14:textId="2015D043" w:rsidR="0095431E" w:rsidRDefault="0095431E" w:rsidP="0095431E">
      <w:pPr>
        <w:pStyle w:val="NoSpacing"/>
        <w:rPr>
          <w:rFonts w:ascii="Times New Roman" w:hAnsi="Times New Roman" w:cs="Times New Roman"/>
          <w:sz w:val="24"/>
          <w:szCs w:val="24"/>
        </w:rPr>
      </w:pPr>
      <w:r w:rsidRPr="0095431E">
        <w:rPr>
          <w:rFonts w:ascii="Times New Roman" w:hAnsi="Times New Roman" w:cs="Times New Roman"/>
          <w:sz w:val="24"/>
          <w:szCs w:val="24"/>
        </w:rPr>
        <w:t xml:space="preserve">cappleby@paoca.org   </w:t>
      </w:r>
      <w:r w:rsidRPr="0095431E">
        <w:rPr>
          <w:rFonts w:ascii="Times New Roman" w:hAnsi="Times New Roman" w:cs="Times New Roman"/>
          <w:sz w:val="24"/>
          <w:szCs w:val="24"/>
        </w:rPr>
        <w:br/>
        <w:t>Accepts eService</w:t>
      </w:r>
    </w:p>
    <w:p w14:paraId="7FE365DD" w14:textId="77777777" w:rsidR="006D40BD" w:rsidRPr="0095431E" w:rsidRDefault="006D40BD" w:rsidP="0095431E">
      <w:pPr>
        <w:pStyle w:val="NoSpacing"/>
        <w:rPr>
          <w:rFonts w:ascii="Times New Roman" w:hAnsi="Times New Roman" w:cs="Times New Roman"/>
          <w:sz w:val="24"/>
          <w:szCs w:val="24"/>
        </w:rPr>
      </w:pPr>
    </w:p>
    <w:p w14:paraId="79F9B9F2" w14:textId="77777777" w:rsidR="006D40BD" w:rsidRDefault="006D40BD">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64C7A0CB" w14:textId="51C7D315" w:rsid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lastRenderedPageBreak/>
        <w:t>KAREN O MOURY ESQUIRE</w:t>
      </w:r>
      <w:r w:rsidRPr="00CE0F0F">
        <w:rPr>
          <w:rFonts w:ascii="Times New Roman" w:hAnsi="Times New Roman" w:cs="Times New Roman"/>
          <w:sz w:val="24"/>
          <w:szCs w:val="24"/>
        </w:rPr>
        <w:br/>
        <w:t>DANIEL CLEARFIELD ESQUIRE</w:t>
      </w:r>
      <w:r w:rsidRPr="00CE0F0F">
        <w:rPr>
          <w:rFonts w:ascii="Times New Roman" w:hAnsi="Times New Roman" w:cs="Times New Roman"/>
          <w:sz w:val="24"/>
          <w:szCs w:val="24"/>
        </w:rPr>
        <w:br/>
        <w:t xml:space="preserve">CARL SHULTZ ESQUIRE </w:t>
      </w:r>
    </w:p>
    <w:p w14:paraId="0B511D35" w14:textId="14AA60CB" w:rsidR="00CD61D8" w:rsidRPr="00CE0F0F" w:rsidRDefault="00B94E21" w:rsidP="00CE0F0F">
      <w:pPr>
        <w:pStyle w:val="NoSpacing"/>
        <w:rPr>
          <w:rFonts w:ascii="Times New Roman" w:hAnsi="Times New Roman" w:cs="Times New Roman"/>
          <w:sz w:val="24"/>
          <w:szCs w:val="24"/>
        </w:rPr>
      </w:pPr>
      <w:r>
        <w:rPr>
          <w:rFonts w:ascii="Times New Roman" w:hAnsi="Times New Roman" w:cs="Times New Roman"/>
          <w:sz w:val="24"/>
          <w:szCs w:val="24"/>
        </w:rPr>
        <w:t>BRYCE R BEARD ESQUIRE</w:t>
      </w:r>
    </w:p>
    <w:p w14:paraId="4866181F"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ECKERT SEAMANS </w:t>
      </w:r>
    </w:p>
    <w:p w14:paraId="27FE9F71" w14:textId="67501639" w:rsid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213 MARKET STREET </w:t>
      </w:r>
    </w:p>
    <w:p w14:paraId="7434604C" w14:textId="4E650C7F" w:rsidR="00F361E0" w:rsidRPr="00CE0F0F" w:rsidRDefault="00CD61D8" w:rsidP="00CE0F0F">
      <w:pPr>
        <w:pStyle w:val="NoSpacing"/>
        <w:rPr>
          <w:rFonts w:ascii="Times New Roman" w:hAnsi="Times New Roman" w:cs="Times New Roman"/>
          <w:sz w:val="24"/>
          <w:szCs w:val="24"/>
        </w:rPr>
      </w:pPr>
      <w:r>
        <w:rPr>
          <w:rFonts w:ascii="Times New Roman" w:hAnsi="Times New Roman" w:cs="Times New Roman"/>
          <w:sz w:val="24"/>
          <w:szCs w:val="24"/>
        </w:rPr>
        <w:t>8</w:t>
      </w:r>
      <w:r w:rsidRPr="00CD61D8">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14:paraId="5E8C5A39"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HARRISBURG PA  17101 </w:t>
      </w:r>
    </w:p>
    <w:p w14:paraId="1FE80496"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b/>
          <w:bCs/>
          <w:sz w:val="24"/>
          <w:szCs w:val="24"/>
        </w:rPr>
        <w:t>717.237.6036</w:t>
      </w:r>
      <w:r w:rsidRPr="00CE0F0F">
        <w:rPr>
          <w:rFonts w:ascii="Times New Roman" w:hAnsi="Times New Roman" w:cs="Times New Roman"/>
          <w:sz w:val="24"/>
          <w:szCs w:val="24"/>
        </w:rPr>
        <w:t xml:space="preserve"> </w:t>
      </w:r>
    </w:p>
    <w:p w14:paraId="040B75AA" w14:textId="159D44B9" w:rsid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b/>
          <w:bCs/>
          <w:sz w:val="24"/>
          <w:szCs w:val="24"/>
        </w:rPr>
        <w:t>717.571.1420</w:t>
      </w:r>
      <w:r w:rsidRPr="00CE0F0F">
        <w:rPr>
          <w:rFonts w:ascii="Times New Roman" w:hAnsi="Times New Roman" w:cs="Times New Roman"/>
          <w:sz w:val="24"/>
          <w:szCs w:val="24"/>
        </w:rPr>
        <w:t xml:space="preserve"> </w:t>
      </w:r>
    </w:p>
    <w:p w14:paraId="4D6225DA" w14:textId="3D9A6999" w:rsidR="00F361E0" w:rsidRPr="007B1739" w:rsidRDefault="00F361E0" w:rsidP="00CE0F0F">
      <w:pPr>
        <w:pStyle w:val="NoSpacing"/>
        <w:rPr>
          <w:rFonts w:ascii="Times New Roman" w:hAnsi="Times New Roman" w:cs="Times New Roman"/>
          <w:b/>
          <w:bCs/>
          <w:sz w:val="24"/>
          <w:szCs w:val="24"/>
        </w:rPr>
      </w:pPr>
      <w:r w:rsidRPr="007B1739">
        <w:rPr>
          <w:rFonts w:ascii="Times New Roman" w:hAnsi="Times New Roman" w:cs="Times New Roman"/>
          <w:b/>
          <w:bCs/>
          <w:sz w:val="24"/>
          <w:szCs w:val="24"/>
        </w:rPr>
        <w:t>717.</w:t>
      </w:r>
      <w:r w:rsidR="007B1739" w:rsidRPr="007B1739">
        <w:rPr>
          <w:rFonts w:ascii="Times New Roman" w:hAnsi="Times New Roman" w:cs="Times New Roman"/>
          <w:b/>
          <w:bCs/>
          <w:sz w:val="24"/>
          <w:szCs w:val="24"/>
        </w:rPr>
        <w:t>237.6041</w:t>
      </w:r>
    </w:p>
    <w:p w14:paraId="125DAA50"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kmoury@eckertseamans.com </w:t>
      </w:r>
    </w:p>
    <w:p w14:paraId="5490FE13" w14:textId="58010390" w:rsidR="003B6A18"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dclearfield@eckertseamans.com</w:t>
      </w:r>
      <w:r w:rsidRPr="00CE0F0F">
        <w:rPr>
          <w:rFonts w:ascii="Times New Roman" w:hAnsi="Times New Roman" w:cs="Times New Roman"/>
          <w:sz w:val="24"/>
          <w:szCs w:val="24"/>
        </w:rPr>
        <w:br/>
      </w:r>
      <w:hyperlink r:id="rId7" w:history="1">
        <w:r w:rsidR="003B6A18" w:rsidRPr="00423C0C">
          <w:rPr>
            <w:rStyle w:val="Hyperlink"/>
            <w:rFonts w:ascii="Times New Roman" w:hAnsi="Times New Roman" w:cs="Times New Roman"/>
            <w:sz w:val="24"/>
            <w:szCs w:val="24"/>
          </w:rPr>
          <w:t>cshultz@eckertseamans.com</w:t>
        </w:r>
      </w:hyperlink>
    </w:p>
    <w:p w14:paraId="07BE4D5B" w14:textId="719829A4" w:rsidR="00CE0F0F" w:rsidRPr="00CE0F0F" w:rsidRDefault="004700F5" w:rsidP="00CE0F0F">
      <w:pPr>
        <w:pStyle w:val="NoSpacing"/>
        <w:rPr>
          <w:rFonts w:ascii="Times New Roman" w:hAnsi="Times New Roman" w:cs="Times New Roman"/>
          <w:sz w:val="24"/>
          <w:szCs w:val="24"/>
        </w:rPr>
      </w:pPr>
      <w:r>
        <w:rPr>
          <w:rFonts w:ascii="Times New Roman" w:hAnsi="Times New Roman" w:cs="Times New Roman"/>
          <w:sz w:val="24"/>
          <w:szCs w:val="24"/>
        </w:rPr>
        <w:t>bbeard@ec</w:t>
      </w:r>
      <w:r w:rsidR="009A57A0">
        <w:rPr>
          <w:rFonts w:ascii="Times New Roman" w:hAnsi="Times New Roman" w:cs="Times New Roman"/>
          <w:sz w:val="24"/>
          <w:szCs w:val="24"/>
        </w:rPr>
        <w:t>kertseamans.com</w:t>
      </w:r>
    </w:p>
    <w:p w14:paraId="4AE239DD" w14:textId="4D74798A" w:rsidR="001B7C39" w:rsidRDefault="00CE0F0F" w:rsidP="001B7C39">
      <w:pPr>
        <w:pStyle w:val="NoSpacing"/>
        <w:rPr>
          <w:rFonts w:ascii="Times New Roman" w:hAnsi="Times New Roman" w:cs="Times New Roman"/>
          <w:sz w:val="24"/>
          <w:szCs w:val="24"/>
        </w:rPr>
      </w:pPr>
      <w:r w:rsidRPr="00CE0F0F">
        <w:rPr>
          <w:rFonts w:ascii="Times New Roman" w:hAnsi="Times New Roman" w:cs="Times New Roman"/>
          <w:sz w:val="24"/>
          <w:szCs w:val="24"/>
        </w:rPr>
        <w:t>Accepts eService</w:t>
      </w:r>
      <w:r w:rsidRPr="00CE0F0F">
        <w:rPr>
          <w:rFonts w:ascii="Times New Roman" w:hAnsi="Times New Roman" w:cs="Times New Roman"/>
          <w:sz w:val="24"/>
          <w:szCs w:val="24"/>
        </w:rPr>
        <w:br/>
      </w:r>
      <w:r w:rsidRPr="00CE0F0F">
        <w:rPr>
          <w:rFonts w:ascii="Times New Roman" w:hAnsi="Times New Roman" w:cs="Times New Roman"/>
          <w:i/>
          <w:iCs/>
          <w:sz w:val="24"/>
          <w:szCs w:val="24"/>
        </w:rPr>
        <w:t>Representing Philadelphia Gas Works</w:t>
      </w:r>
      <w:r w:rsidRPr="00CE0F0F">
        <w:rPr>
          <w:rFonts w:ascii="Times New Roman" w:hAnsi="Times New Roman" w:cs="Times New Roman"/>
          <w:sz w:val="24"/>
          <w:szCs w:val="24"/>
        </w:rPr>
        <w:t xml:space="preserve"> </w:t>
      </w:r>
      <w:r w:rsidRPr="00CE0F0F">
        <w:rPr>
          <w:rFonts w:ascii="Times New Roman" w:hAnsi="Times New Roman" w:cs="Times New Roman"/>
          <w:sz w:val="24"/>
          <w:szCs w:val="24"/>
        </w:rPr>
        <w:br/>
      </w:r>
    </w:p>
    <w:p w14:paraId="64C534E7" w14:textId="7B3C1443"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GRACIELA CHRISTLIEB ESQUIRE </w:t>
      </w:r>
    </w:p>
    <w:p w14:paraId="0BCFD62F"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PHILADELPHIA GAS WORKS </w:t>
      </w:r>
    </w:p>
    <w:p w14:paraId="4047838D"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800 WEST MONTGOMERY AVENUE </w:t>
      </w:r>
    </w:p>
    <w:p w14:paraId="01B18B0F"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PHILADELPHIA PA  19122 </w:t>
      </w:r>
    </w:p>
    <w:p w14:paraId="443366E9"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b/>
          <w:bCs/>
          <w:sz w:val="24"/>
          <w:szCs w:val="24"/>
        </w:rPr>
        <w:t>215.684.6164</w:t>
      </w:r>
      <w:r w:rsidRPr="00CE0F0F">
        <w:rPr>
          <w:rFonts w:ascii="Times New Roman" w:hAnsi="Times New Roman" w:cs="Times New Roman"/>
          <w:sz w:val="24"/>
          <w:szCs w:val="24"/>
        </w:rPr>
        <w:t xml:space="preserve"> </w:t>
      </w:r>
    </w:p>
    <w:p w14:paraId="2B600F0A" w14:textId="77777777" w:rsidR="00CE0F0F"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 xml:space="preserve">graciela.christlieb@pgworks.com </w:t>
      </w:r>
    </w:p>
    <w:p w14:paraId="75DAAAE2" w14:textId="38B161A9" w:rsidR="00234C56" w:rsidRPr="00CE0F0F" w:rsidRDefault="00CE0F0F" w:rsidP="00CE0F0F">
      <w:pPr>
        <w:pStyle w:val="NoSpacing"/>
        <w:rPr>
          <w:rFonts w:ascii="Times New Roman" w:hAnsi="Times New Roman" w:cs="Times New Roman"/>
          <w:sz w:val="24"/>
          <w:szCs w:val="24"/>
        </w:rPr>
      </w:pPr>
      <w:r w:rsidRPr="00CE0F0F">
        <w:rPr>
          <w:rFonts w:ascii="Times New Roman" w:hAnsi="Times New Roman" w:cs="Times New Roman"/>
          <w:sz w:val="24"/>
          <w:szCs w:val="24"/>
        </w:rPr>
        <w:t>Accepts eService</w:t>
      </w:r>
    </w:p>
    <w:sectPr w:rsidR="00234C56" w:rsidRPr="00CE0F0F" w:rsidSect="00A9457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56D3" w14:textId="77777777" w:rsidR="00CD4593" w:rsidRDefault="00CD4593" w:rsidP="00952AC8">
      <w:pPr>
        <w:spacing w:after="0" w:line="240" w:lineRule="auto"/>
      </w:pPr>
      <w:r>
        <w:separator/>
      </w:r>
    </w:p>
  </w:endnote>
  <w:endnote w:type="continuationSeparator" w:id="0">
    <w:p w14:paraId="2EC98298" w14:textId="77777777" w:rsidR="00CD4593" w:rsidRDefault="00CD4593" w:rsidP="0095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040026"/>
      <w:docPartObj>
        <w:docPartGallery w:val="Page Numbers (Bottom of Page)"/>
        <w:docPartUnique/>
      </w:docPartObj>
    </w:sdtPr>
    <w:sdtEndPr>
      <w:rPr>
        <w:rFonts w:ascii="Times New Roman" w:hAnsi="Times New Roman" w:cs="Times New Roman"/>
        <w:noProof/>
        <w:sz w:val="20"/>
        <w:szCs w:val="20"/>
      </w:rPr>
    </w:sdtEndPr>
    <w:sdtContent>
      <w:p w14:paraId="1E45298B" w14:textId="694C7904" w:rsidR="00A9457A" w:rsidRPr="00A96B3C" w:rsidRDefault="00A9457A">
        <w:pPr>
          <w:pStyle w:val="Footer"/>
          <w:jc w:val="center"/>
          <w:rPr>
            <w:rFonts w:ascii="Times New Roman" w:hAnsi="Times New Roman" w:cs="Times New Roman"/>
            <w:sz w:val="20"/>
            <w:szCs w:val="20"/>
          </w:rPr>
        </w:pPr>
        <w:r w:rsidRPr="00A96B3C">
          <w:rPr>
            <w:rFonts w:ascii="Times New Roman" w:hAnsi="Times New Roman" w:cs="Times New Roman"/>
            <w:sz w:val="20"/>
            <w:szCs w:val="20"/>
          </w:rPr>
          <w:fldChar w:fldCharType="begin"/>
        </w:r>
        <w:r w:rsidRPr="00A96B3C">
          <w:rPr>
            <w:rFonts w:ascii="Times New Roman" w:hAnsi="Times New Roman" w:cs="Times New Roman"/>
            <w:sz w:val="20"/>
            <w:szCs w:val="20"/>
          </w:rPr>
          <w:instrText xml:space="preserve"> PAGE   \* MERGEFORMAT </w:instrText>
        </w:r>
        <w:r w:rsidRPr="00A96B3C">
          <w:rPr>
            <w:rFonts w:ascii="Times New Roman" w:hAnsi="Times New Roman" w:cs="Times New Roman"/>
            <w:sz w:val="20"/>
            <w:szCs w:val="20"/>
          </w:rPr>
          <w:fldChar w:fldCharType="separate"/>
        </w:r>
        <w:r w:rsidRPr="00A96B3C">
          <w:rPr>
            <w:rFonts w:ascii="Times New Roman" w:hAnsi="Times New Roman" w:cs="Times New Roman"/>
            <w:noProof/>
            <w:sz w:val="20"/>
            <w:szCs w:val="20"/>
          </w:rPr>
          <w:t>2</w:t>
        </w:r>
        <w:r w:rsidRPr="00A96B3C">
          <w:rPr>
            <w:rFonts w:ascii="Times New Roman" w:hAnsi="Times New Roman" w:cs="Times New Roman"/>
            <w:noProof/>
            <w:sz w:val="20"/>
            <w:szCs w:val="20"/>
          </w:rPr>
          <w:fldChar w:fldCharType="end"/>
        </w:r>
      </w:p>
    </w:sdtContent>
  </w:sdt>
  <w:p w14:paraId="2286592B" w14:textId="77777777" w:rsidR="00A9457A" w:rsidRDefault="00A9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EAB3" w14:textId="77777777" w:rsidR="00CD4593" w:rsidRDefault="00CD4593" w:rsidP="00952AC8">
      <w:pPr>
        <w:spacing w:after="0" w:line="240" w:lineRule="auto"/>
      </w:pPr>
      <w:r>
        <w:separator/>
      </w:r>
    </w:p>
  </w:footnote>
  <w:footnote w:type="continuationSeparator" w:id="0">
    <w:p w14:paraId="393222F0" w14:textId="77777777" w:rsidR="00CD4593" w:rsidRDefault="00CD4593" w:rsidP="00952AC8">
      <w:pPr>
        <w:spacing w:after="0" w:line="240" w:lineRule="auto"/>
      </w:pPr>
      <w:r>
        <w:continuationSeparator/>
      </w:r>
    </w:p>
  </w:footnote>
  <w:footnote w:id="1">
    <w:p w14:paraId="6B1A097C" w14:textId="27F64B70" w:rsidR="001F0608" w:rsidRDefault="001F0608" w:rsidP="00F713DD">
      <w:pPr>
        <w:pStyle w:val="FootnoteText"/>
        <w:ind w:firstLine="720"/>
        <w:rPr>
          <w:rFonts w:ascii="Times New Roman" w:hAnsi="Times New Roman" w:cs="Times New Roman"/>
        </w:rPr>
      </w:pPr>
      <w:r>
        <w:rPr>
          <w:rStyle w:val="FootnoteReference"/>
        </w:rPr>
        <w:footnoteRef/>
      </w:r>
      <w:r>
        <w:t xml:space="preserve"> </w:t>
      </w:r>
      <w:r w:rsidR="00603035">
        <w:tab/>
      </w:r>
      <w:r w:rsidRPr="00C921D1">
        <w:rPr>
          <w:rFonts w:ascii="Times New Roman" w:hAnsi="Times New Roman" w:cs="Times New Roman"/>
          <w:i/>
          <w:iCs/>
        </w:rPr>
        <w:t>PGW v. PUC</w:t>
      </w:r>
      <w:r w:rsidRPr="00C921D1">
        <w:rPr>
          <w:rFonts w:ascii="Times New Roman" w:hAnsi="Times New Roman" w:cs="Times New Roman"/>
        </w:rPr>
        <w:t>, 249 A.3d 963 (Pa. 2021) (“</w:t>
      </w:r>
      <w:r w:rsidRPr="00C921D1">
        <w:rPr>
          <w:rFonts w:ascii="Times New Roman" w:hAnsi="Times New Roman" w:cs="Times New Roman"/>
          <w:i/>
          <w:iCs/>
        </w:rPr>
        <w:t>PGW II”),</w:t>
      </w:r>
      <w:r w:rsidRPr="00C921D1">
        <w:rPr>
          <w:rFonts w:ascii="Times New Roman" w:hAnsi="Times New Roman" w:cs="Times New Roman"/>
        </w:rPr>
        <w:t xml:space="preserve"> </w:t>
      </w:r>
      <w:r w:rsidRPr="00C921D1">
        <w:rPr>
          <w:rFonts w:ascii="Times New Roman" w:hAnsi="Times New Roman" w:cs="Times New Roman"/>
          <w:i/>
          <w:iCs/>
        </w:rPr>
        <w:t>rehearing granted by, in part, and remanded</w:t>
      </w:r>
      <w:r w:rsidRPr="00C921D1">
        <w:rPr>
          <w:rFonts w:ascii="Times New Roman" w:hAnsi="Times New Roman" w:cs="Times New Roman"/>
        </w:rPr>
        <w:t xml:space="preserve">, 256 A.3d 1092, 2021 Pa. LEXIS 2905, 2021 WL 2697432 (Pa., June 15, 2021), </w:t>
      </w:r>
      <w:r w:rsidRPr="00C921D1">
        <w:rPr>
          <w:rFonts w:ascii="Times New Roman" w:hAnsi="Times New Roman" w:cs="Times New Roman"/>
          <w:i/>
          <w:iCs/>
        </w:rPr>
        <w:t>on remand</w:t>
      </w:r>
      <w:r w:rsidRPr="00C921D1">
        <w:rPr>
          <w:rFonts w:ascii="Times New Roman" w:hAnsi="Times New Roman" w:cs="Times New Roman"/>
        </w:rPr>
        <w:t>, 2022 Pa. Commw. Unpub. LEXIS 92, 2022 WL 793332 (Pa.Cmwlth., Mar. 16, 2022) (“</w:t>
      </w:r>
      <w:r w:rsidRPr="00C921D1">
        <w:rPr>
          <w:rFonts w:ascii="Times New Roman" w:hAnsi="Times New Roman" w:cs="Times New Roman"/>
          <w:i/>
          <w:iCs/>
        </w:rPr>
        <w:t>PGW III</w:t>
      </w:r>
      <w:r w:rsidRPr="00C921D1">
        <w:rPr>
          <w:rFonts w:ascii="Times New Roman" w:hAnsi="Times New Roman" w:cs="Times New Roman"/>
        </w:rPr>
        <w:t xml:space="preserve">”).  </w:t>
      </w:r>
    </w:p>
    <w:p w14:paraId="2EB8CEF2" w14:textId="77777777" w:rsidR="004D76D9" w:rsidRPr="00C921D1" w:rsidRDefault="004D76D9" w:rsidP="00A96B3C">
      <w:pPr>
        <w:pStyle w:val="FootnoteText"/>
        <w:ind w:firstLine="720"/>
        <w:rPr>
          <w:rFonts w:ascii="Times New Roman" w:hAnsi="Times New Roman" w:cs="Times New Roman"/>
        </w:rPr>
      </w:pPr>
    </w:p>
  </w:footnote>
  <w:footnote w:id="2">
    <w:p w14:paraId="7FB6AB39" w14:textId="4C1B8C9F" w:rsidR="00952AC8" w:rsidRPr="004C1B42" w:rsidRDefault="00952AC8" w:rsidP="00A96B3C">
      <w:pPr>
        <w:pStyle w:val="FootnoteText"/>
        <w:ind w:firstLine="720"/>
      </w:pPr>
      <w:r w:rsidRPr="00C921D1">
        <w:rPr>
          <w:rStyle w:val="FootnoteReference"/>
          <w:rFonts w:ascii="Times New Roman" w:hAnsi="Times New Roman" w:cs="Times New Roman"/>
        </w:rPr>
        <w:footnoteRef/>
      </w:r>
      <w:r w:rsidRPr="00C921D1">
        <w:rPr>
          <w:rFonts w:ascii="Times New Roman" w:hAnsi="Times New Roman" w:cs="Times New Roman"/>
        </w:rPr>
        <w:t xml:space="preserve"> </w:t>
      </w:r>
      <w:r w:rsidR="00186361">
        <w:rPr>
          <w:rFonts w:ascii="Times New Roman" w:hAnsi="Times New Roman" w:cs="Times New Roman"/>
        </w:rPr>
        <w:tab/>
      </w:r>
      <w:r w:rsidRPr="00C921D1">
        <w:rPr>
          <w:rFonts w:ascii="Times New Roman" w:hAnsi="Times New Roman" w:cs="Times New Roman"/>
        </w:rPr>
        <w:t>The first issue was not subject to PGW’s appeal and is not contested</w:t>
      </w:r>
      <w:r w:rsidR="004C1B42" w:rsidRPr="00C921D1">
        <w:rPr>
          <w:rFonts w:ascii="Times New Roman" w:hAnsi="Times New Roman" w:cs="Times New Roman"/>
        </w:rPr>
        <w:t xml:space="preserve"> by the utility</w:t>
      </w:r>
      <w:r w:rsidRPr="00C921D1">
        <w:rPr>
          <w:rFonts w:ascii="Times New Roman" w:hAnsi="Times New Roman" w:cs="Times New Roman"/>
        </w:rPr>
        <w:t>.</w:t>
      </w:r>
    </w:p>
  </w:footnote>
  <w:footnote w:id="3">
    <w:p w14:paraId="62CA9E44" w14:textId="77A22937" w:rsidR="00570FD1" w:rsidRDefault="00570FD1" w:rsidP="00E172E5">
      <w:pPr>
        <w:pStyle w:val="FootnoteText"/>
        <w:keepLines/>
        <w:ind w:firstLine="720"/>
        <w:rPr>
          <w:rFonts w:ascii="Times New Roman" w:hAnsi="Times New Roman" w:cs="Times New Roman"/>
        </w:rPr>
      </w:pPr>
      <w:r>
        <w:rPr>
          <w:rStyle w:val="FootnoteReference"/>
        </w:rPr>
        <w:footnoteRef/>
      </w:r>
      <w:r>
        <w:t xml:space="preserve"> </w:t>
      </w:r>
      <w:r>
        <w:tab/>
      </w:r>
      <w:r w:rsidRPr="00C921D1">
        <w:rPr>
          <w:rFonts w:ascii="Times New Roman" w:hAnsi="Times New Roman" w:cs="Times New Roman"/>
          <w:i/>
          <w:iCs/>
        </w:rPr>
        <w:t>PGW II</w:t>
      </w:r>
      <w:r w:rsidR="007B21B9">
        <w:rPr>
          <w:rFonts w:ascii="Times New Roman" w:hAnsi="Times New Roman" w:cs="Times New Roman"/>
        </w:rPr>
        <w:t>,</w:t>
      </w:r>
      <w:r w:rsidRPr="00C921D1">
        <w:rPr>
          <w:rFonts w:ascii="Times New Roman" w:hAnsi="Times New Roman" w:cs="Times New Roman"/>
        </w:rPr>
        <w:t xml:space="preserve"> 249 A.3d at 974 (footnotes added). </w:t>
      </w:r>
      <w:r w:rsidRPr="00C921D1">
        <w:rPr>
          <w:rFonts w:ascii="Times New Roman" w:hAnsi="Times New Roman" w:cs="Times New Roman"/>
          <w:i/>
          <w:iCs/>
        </w:rPr>
        <w:t>See also PGW II</w:t>
      </w:r>
      <w:r w:rsidRPr="00C921D1">
        <w:rPr>
          <w:rFonts w:ascii="Times New Roman" w:hAnsi="Times New Roman" w:cs="Times New Roman"/>
        </w:rPr>
        <w:t xml:space="preserve">, 249 A.3d at 973 (judgments (docketed municipal liens) are “the equivalent of a final resolution of a claim between parties.”); </w:t>
      </w:r>
      <w:r w:rsidRPr="00C921D1">
        <w:rPr>
          <w:rFonts w:ascii="Times New Roman" w:hAnsi="Times New Roman" w:cs="Times New Roman"/>
          <w:i/>
          <w:iCs/>
        </w:rPr>
        <w:t>PGW II</w:t>
      </w:r>
      <w:r w:rsidRPr="00C921D1">
        <w:rPr>
          <w:rFonts w:ascii="Times New Roman" w:hAnsi="Times New Roman" w:cs="Times New Roman"/>
        </w:rPr>
        <w:t>, 249 A.3d 963, 970 (Pa. 2021) (“By expressly stating that the docketed lien is to be treated like a judgment with regard to the underlying claim, the General Assembly has expressed its intent that docketing the lien have the same effect as a final determination of a dispute between parties without further proceedings that would generally be required to effectuate the result.”).</w:t>
      </w:r>
    </w:p>
    <w:p w14:paraId="231424E9" w14:textId="77777777" w:rsidR="0077594C" w:rsidRPr="00C921D1" w:rsidRDefault="0077594C" w:rsidP="00A96B3C">
      <w:pPr>
        <w:pStyle w:val="FootnoteText"/>
        <w:keepLines/>
        <w:ind w:firstLine="720"/>
        <w:rPr>
          <w:rFonts w:ascii="Times New Roman" w:hAnsi="Times New Roman" w:cs="Times New Roman"/>
        </w:rPr>
      </w:pPr>
    </w:p>
  </w:footnote>
  <w:footnote w:id="4">
    <w:p w14:paraId="693F4494" w14:textId="47B89DDC" w:rsidR="00570FD1" w:rsidRDefault="00570FD1" w:rsidP="00E172E5">
      <w:pPr>
        <w:pStyle w:val="FootnoteText"/>
        <w:keepLines/>
        <w:ind w:firstLine="720"/>
        <w:rPr>
          <w:rFonts w:ascii="Times New Roman" w:hAnsi="Times New Roman" w:cs="Times New Roman"/>
        </w:rPr>
      </w:pPr>
      <w:r w:rsidRPr="00C921D1">
        <w:rPr>
          <w:rStyle w:val="FootnoteReference"/>
          <w:rFonts w:ascii="Times New Roman" w:hAnsi="Times New Roman" w:cs="Times New Roman"/>
        </w:rPr>
        <w:footnoteRef/>
      </w:r>
      <w:r w:rsidRPr="00C921D1">
        <w:rPr>
          <w:rFonts w:ascii="Times New Roman" w:hAnsi="Times New Roman" w:cs="Times New Roman"/>
        </w:rPr>
        <w:t xml:space="preserve"> </w:t>
      </w:r>
      <w:r w:rsidRPr="00C921D1">
        <w:rPr>
          <w:rFonts w:ascii="Times New Roman" w:hAnsi="Times New Roman" w:cs="Times New Roman"/>
        </w:rPr>
        <w:tab/>
      </w:r>
      <w:r w:rsidRPr="00C921D1">
        <w:rPr>
          <w:rFonts w:ascii="Times New Roman" w:hAnsi="Times New Roman" w:cs="Times New Roman"/>
          <w:i/>
          <w:iCs/>
        </w:rPr>
        <w:t>Lance v. Mann</w:t>
      </w:r>
      <w:r w:rsidRPr="00C921D1">
        <w:rPr>
          <w:rFonts w:ascii="Times New Roman" w:hAnsi="Times New Roman" w:cs="Times New Roman"/>
        </w:rPr>
        <w:t>, 360 Pa. 26, 60 A.2d 35 (1948).</w:t>
      </w:r>
    </w:p>
    <w:p w14:paraId="108CD8AB" w14:textId="77777777" w:rsidR="0077594C" w:rsidRDefault="0077594C" w:rsidP="00A96B3C">
      <w:pPr>
        <w:pStyle w:val="FootnoteText"/>
        <w:keepLines/>
        <w:ind w:firstLine="720"/>
      </w:pPr>
    </w:p>
  </w:footnote>
  <w:footnote w:id="5">
    <w:p w14:paraId="3B36CA24" w14:textId="3FDEE607" w:rsidR="00570FD1" w:rsidRDefault="00570FD1" w:rsidP="00E172E5">
      <w:pPr>
        <w:pStyle w:val="FootnoteText"/>
        <w:keepLines/>
        <w:ind w:firstLine="720"/>
        <w:rPr>
          <w:rFonts w:ascii="Times New Roman" w:hAnsi="Times New Roman" w:cs="Times New Roman"/>
        </w:rPr>
      </w:pPr>
      <w:r>
        <w:rPr>
          <w:rStyle w:val="FootnoteReference"/>
        </w:rPr>
        <w:footnoteRef/>
      </w:r>
      <w:r>
        <w:t xml:space="preserve"> </w:t>
      </w:r>
      <w:r>
        <w:tab/>
      </w:r>
      <w:r w:rsidRPr="00877F16">
        <w:rPr>
          <w:rFonts w:ascii="Times New Roman" w:hAnsi="Times New Roman" w:cs="Times New Roman"/>
        </w:rPr>
        <w:t xml:space="preserve">28 </w:t>
      </w:r>
      <w:r w:rsidRPr="00877F16">
        <w:rPr>
          <w:rFonts w:ascii="Times New Roman" w:hAnsi="Times New Roman" w:cs="Times New Roman"/>
          <w:smallCaps/>
        </w:rPr>
        <w:t>Pennsylvania Legal Encyclopedia</w:t>
      </w:r>
      <w:r w:rsidRPr="00877F16">
        <w:rPr>
          <w:rFonts w:ascii="Times New Roman" w:hAnsi="Times New Roman" w:cs="Times New Roman"/>
        </w:rPr>
        <w:t xml:space="preserve">, JUDGMENT § 228, </w:t>
      </w:r>
      <w:r w:rsidRPr="00877F16">
        <w:rPr>
          <w:rFonts w:ascii="Times New Roman" w:hAnsi="Times New Roman" w:cs="Times New Roman"/>
          <w:i/>
          <w:iCs/>
        </w:rPr>
        <w:t>citing, Miller v. Rohrer</w:t>
      </w:r>
      <w:r w:rsidRPr="00877F16">
        <w:rPr>
          <w:rFonts w:ascii="Times New Roman" w:hAnsi="Times New Roman" w:cs="Times New Roman"/>
        </w:rPr>
        <w:t xml:space="preserve">, 127 Pa. 384, 18 A. 2 (1889); Brenner, Trucks &amp; Co. v. Moyer, 98 Pa. 274 (1881); Bell v. Allegheny County, 184 Pa. 296, 39 A. 227 (1898); </w:t>
      </w:r>
      <w:r w:rsidR="00B1662F" w:rsidRPr="00877F16">
        <w:rPr>
          <w:rFonts w:ascii="Times New Roman" w:hAnsi="Times New Roman" w:cs="Times New Roman"/>
        </w:rPr>
        <w:t>and</w:t>
      </w:r>
      <w:r w:rsidRPr="00877F16">
        <w:rPr>
          <w:rFonts w:ascii="Times New Roman" w:hAnsi="Times New Roman" w:cs="Times New Roman"/>
        </w:rPr>
        <w:t xml:space="preserve"> Nelson v. Nelson, 117 Pa. 278, 11 A. 61 (1887).</w:t>
      </w:r>
    </w:p>
    <w:p w14:paraId="40A23EDA" w14:textId="77777777" w:rsidR="0077594C" w:rsidRPr="00877F16" w:rsidRDefault="0077594C" w:rsidP="00A96B3C">
      <w:pPr>
        <w:pStyle w:val="FootnoteText"/>
        <w:keepLines/>
        <w:ind w:firstLine="720"/>
        <w:rPr>
          <w:rFonts w:ascii="Times New Roman" w:hAnsi="Times New Roman" w:cs="Times New Roman"/>
        </w:rPr>
      </w:pPr>
    </w:p>
  </w:footnote>
  <w:footnote w:id="6">
    <w:p w14:paraId="3FF5A1E4" w14:textId="52C5AA9B" w:rsidR="00570FD1" w:rsidRDefault="00570FD1" w:rsidP="00E172E5">
      <w:pPr>
        <w:pStyle w:val="FootnoteText"/>
        <w:keepLines/>
        <w:ind w:firstLine="720"/>
        <w:rPr>
          <w:rFonts w:ascii="Times New Roman" w:hAnsi="Times New Roman" w:cs="Times New Roman"/>
        </w:rPr>
      </w:pPr>
      <w:r w:rsidRPr="00877F16">
        <w:rPr>
          <w:rStyle w:val="FootnoteReference"/>
          <w:rFonts w:ascii="Times New Roman" w:hAnsi="Times New Roman" w:cs="Times New Roman"/>
        </w:rPr>
        <w:footnoteRef/>
      </w:r>
      <w:r w:rsidRPr="00877F16">
        <w:rPr>
          <w:rFonts w:ascii="Times New Roman" w:hAnsi="Times New Roman" w:cs="Times New Roman"/>
        </w:rPr>
        <w:t xml:space="preserve"> </w:t>
      </w:r>
      <w:r w:rsidRPr="00877F16">
        <w:rPr>
          <w:rFonts w:ascii="Times New Roman" w:hAnsi="Times New Roman" w:cs="Times New Roman"/>
        </w:rPr>
        <w:tab/>
      </w:r>
      <w:r w:rsidRPr="00877F16">
        <w:rPr>
          <w:rFonts w:ascii="Times New Roman" w:hAnsi="Times New Roman" w:cs="Times New Roman"/>
          <w:i/>
          <w:iCs/>
        </w:rPr>
        <w:t>See, e.g., Wilmington Tr. v. Unknown Heirs</w:t>
      </w:r>
      <w:r w:rsidRPr="00877F16">
        <w:rPr>
          <w:rFonts w:ascii="Times New Roman" w:hAnsi="Times New Roman" w:cs="Times New Roman"/>
        </w:rPr>
        <w:t xml:space="preserve">, 219 A.3d 1173 (Pa.Super. 2019); </w:t>
      </w:r>
      <w:r w:rsidRPr="00877F16">
        <w:rPr>
          <w:rFonts w:ascii="Times New Roman" w:hAnsi="Times New Roman" w:cs="Times New Roman"/>
          <w:i/>
          <w:iCs/>
        </w:rPr>
        <w:t xml:space="preserve">EMC Mortg., LLC v. Biddle, </w:t>
      </w:r>
      <w:r w:rsidRPr="00877F16">
        <w:rPr>
          <w:rFonts w:ascii="Times New Roman" w:hAnsi="Times New Roman" w:cs="Times New Roman"/>
        </w:rPr>
        <w:t>114 A.3d 1057 (Pa.Super. 2015).</w:t>
      </w:r>
    </w:p>
    <w:p w14:paraId="042ED567" w14:textId="77777777" w:rsidR="0077594C" w:rsidRPr="00877F16" w:rsidRDefault="0077594C" w:rsidP="00A96B3C">
      <w:pPr>
        <w:pStyle w:val="FootnoteText"/>
        <w:keepLines/>
        <w:ind w:firstLine="720"/>
        <w:rPr>
          <w:rFonts w:ascii="Times New Roman" w:hAnsi="Times New Roman" w:cs="Times New Roman"/>
        </w:rPr>
      </w:pPr>
    </w:p>
  </w:footnote>
  <w:footnote w:id="7">
    <w:p w14:paraId="2565C4F7" w14:textId="41C1C087" w:rsidR="00570FD1" w:rsidRPr="00877F16" w:rsidRDefault="00570FD1" w:rsidP="00A96B3C">
      <w:pPr>
        <w:pStyle w:val="FootnoteText"/>
        <w:keepLines/>
        <w:ind w:firstLine="720"/>
        <w:rPr>
          <w:rFonts w:ascii="Times New Roman" w:hAnsi="Times New Roman" w:cs="Times New Roman"/>
        </w:rPr>
      </w:pPr>
      <w:r w:rsidRPr="00877F16">
        <w:rPr>
          <w:rStyle w:val="FootnoteReference"/>
          <w:rFonts w:ascii="Times New Roman" w:hAnsi="Times New Roman" w:cs="Times New Roman"/>
        </w:rPr>
        <w:footnoteRef/>
      </w:r>
      <w:r w:rsidRPr="00877F16">
        <w:rPr>
          <w:rFonts w:ascii="Times New Roman" w:hAnsi="Times New Roman" w:cs="Times New Roman"/>
        </w:rPr>
        <w:t xml:space="preserve"> </w:t>
      </w:r>
      <w:r w:rsidRPr="00877F16">
        <w:rPr>
          <w:rFonts w:ascii="Times New Roman" w:hAnsi="Times New Roman" w:cs="Times New Roman"/>
        </w:rPr>
        <w:tab/>
      </w:r>
      <w:r w:rsidRPr="00877F16">
        <w:rPr>
          <w:rFonts w:ascii="Times New Roman" w:hAnsi="Times New Roman" w:cs="Times New Roman"/>
          <w:i/>
          <w:iCs/>
        </w:rPr>
        <w:t>Gasparro</w:t>
      </w:r>
      <w:r w:rsidRPr="00877F16">
        <w:rPr>
          <w:rFonts w:ascii="Times New Roman" w:hAnsi="Times New Roman" w:cs="Times New Roman"/>
        </w:rPr>
        <w:t xml:space="preserve">, 814 A.2d at 1284. </w:t>
      </w:r>
      <w:r w:rsidRPr="00877F16">
        <w:rPr>
          <w:rFonts w:ascii="Times New Roman" w:hAnsi="Times New Roman" w:cs="Times New Roman"/>
          <w:i/>
          <w:iCs/>
        </w:rPr>
        <w:t>See also Robert P. Gasparro v. PECO Energy Company</w:t>
      </w:r>
      <w:r w:rsidRPr="00877F16">
        <w:rPr>
          <w:rFonts w:ascii="Times New Roman" w:hAnsi="Times New Roman" w:cs="Times New Roman"/>
        </w:rPr>
        <w:t xml:space="preserve">, C-00015482, Opinion and Order entered April 22, 2002. </w:t>
      </w:r>
    </w:p>
  </w:footnote>
  <w:footnote w:id="8">
    <w:p w14:paraId="4C420AD3" w14:textId="652B6FA9" w:rsidR="00570FD1" w:rsidRPr="00890F15" w:rsidRDefault="00570FD1" w:rsidP="00A96B3C">
      <w:pPr>
        <w:pStyle w:val="FootnoteText"/>
        <w:keepLines/>
        <w:ind w:firstLine="720"/>
      </w:pPr>
      <w:r w:rsidRPr="00877F16">
        <w:rPr>
          <w:rStyle w:val="FootnoteReference"/>
          <w:rFonts w:ascii="Times New Roman" w:hAnsi="Times New Roman" w:cs="Times New Roman"/>
        </w:rPr>
        <w:footnoteRef/>
      </w:r>
      <w:r w:rsidRPr="00877F16">
        <w:rPr>
          <w:rFonts w:ascii="Times New Roman" w:hAnsi="Times New Roman" w:cs="Times New Roman"/>
        </w:rPr>
        <w:t xml:space="preserve"> </w:t>
      </w:r>
      <w:r w:rsidRPr="00877F16">
        <w:rPr>
          <w:rFonts w:ascii="Times New Roman" w:hAnsi="Times New Roman" w:cs="Times New Roman"/>
        </w:rPr>
        <w:tab/>
      </w:r>
      <w:r w:rsidRPr="00877F16">
        <w:rPr>
          <w:rFonts w:ascii="Times New Roman" w:hAnsi="Times New Roman" w:cs="Times New Roman"/>
          <w:i/>
          <w:iCs/>
        </w:rPr>
        <w:t>Gasparro</w:t>
      </w:r>
      <w:r w:rsidRPr="00877F16">
        <w:rPr>
          <w:rFonts w:ascii="Times New Roman" w:hAnsi="Times New Roman" w:cs="Times New Roman"/>
        </w:rPr>
        <w:t xml:space="preserve">, 814 A.2d at 1285. </w:t>
      </w:r>
      <w:r w:rsidRPr="00877F16">
        <w:rPr>
          <w:rFonts w:ascii="Times New Roman" w:hAnsi="Times New Roman" w:cs="Times New Roman"/>
          <w:i/>
          <w:iCs/>
        </w:rPr>
        <w:t>See also Ronald Ford v. Duquesne Light Company</w:t>
      </w:r>
      <w:r w:rsidRPr="00877F16">
        <w:rPr>
          <w:rFonts w:ascii="Times New Roman" w:hAnsi="Times New Roman" w:cs="Times New Roman"/>
        </w:rPr>
        <w:t xml:space="preserve">, Z-00245911, 1995 WL 944910 (discussed above); </w:t>
      </w:r>
      <w:r w:rsidR="00B1662F" w:rsidRPr="00877F16">
        <w:rPr>
          <w:rFonts w:ascii="Times New Roman" w:hAnsi="Times New Roman" w:cs="Times New Roman"/>
        </w:rPr>
        <w:t>and</w:t>
      </w:r>
      <w:r w:rsidRPr="00877F16">
        <w:rPr>
          <w:rFonts w:ascii="Times New Roman" w:hAnsi="Times New Roman" w:cs="Times New Roman"/>
        </w:rPr>
        <w:t xml:space="preserve"> </w:t>
      </w:r>
      <w:r w:rsidRPr="00877F16">
        <w:rPr>
          <w:rFonts w:ascii="Times New Roman" w:hAnsi="Times New Roman" w:cs="Times New Roman"/>
          <w:i/>
          <w:iCs/>
        </w:rPr>
        <w:t>Theresa Kelsey v. Philadelphia Gas Works</w:t>
      </w:r>
      <w:r w:rsidRPr="00877F16">
        <w:rPr>
          <w:rFonts w:ascii="Times New Roman" w:hAnsi="Times New Roman" w:cs="Times New Roman"/>
        </w:rPr>
        <w:t xml:space="preserve">, C-20054279; Opinion and Order entered February 23, 2006, 2006 WL 6611388. In her exceptions, Ms. Kelsey indicated that a “municipal lien had not yet been filed against the property and that there may still be time for her to attend a hearing and arrange to pay the gas bills in question.” </w:t>
      </w:r>
      <w:r w:rsidRPr="00BD5E0E">
        <w:rPr>
          <w:rFonts w:ascii="Times New Roman" w:hAnsi="Times New Roman" w:cs="Times New Roman"/>
          <w:i/>
          <w:iCs/>
        </w:rPr>
        <w:t>Id</w:t>
      </w:r>
      <w:r w:rsidRPr="00877F16">
        <w:rPr>
          <w:rFonts w:ascii="Times New Roman" w:hAnsi="Times New Roman" w:cs="Times New Roman"/>
        </w:rPr>
        <w:t xml:space="preserve"> at 4. The Commission, “in view of the Complainant’s efforts to pay current bills and her difficulties encountered in running a small family business,” granted the Complainant’s Exception and allowed her another opportunity for a hearing. Id. at 5. She failed to attend the remand hearing, and the Complaint was dismissed. Opinion and Order entered July 24, 2006, adopting the Initial Decision dated May 30, 2006</w:t>
      </w:r>
      <w:r w:rsidR="00AA2393">
        <w:rPr>
          <w:rFonts w:ascii="Times New Roman" w:hAnsi="Times New Roman" w:cs="Times New Roman"/>
        </w:rPr>
        <w:t>.</w:t>
      </w:r>
    </w:p>
  </w:footnote>
  <w:footnote w:id="9">
    <w:p w14:paraId="0AAFD1CB" w14:textId="7992225B" w:rsidR="00F6196E" w:rsidRPr="00E11060" w:rsidRDefault="00F6196E" w:rsidP="00A96B3C">
      <w:pPr>
        <w:pStyle w:val="FootnoteText"/>
        <w:ind w:firstLine="720"/>
        <w:rPr>
          <w:b/>
          <w:bCs/>
        </w:rPr>
      </w:pPr>
      <w:r>
        <w:rPr>
          <w:rStyle w:val="FootnoteReference"/>
        </w:rPr>
        <w:footnoteRef/>
      </w:r>
      <w:r>
        <w:t xml:space="preserve"> </w:t>
      </w:r>
      <w:r w:rsidR="00E11060">
        <w:tab/>
      </w:r>
      <w:r w:rsidR="00956A02" w:rsidRPr="00E11060">
        <w:rPr>
          <w:rFonts w:ascii="Times New Roman" w:hAnsi="Times New Roman" w:cs="Times New Roman"/>
        </w:rPr>
        <w:t xml:space="preserve">PGW agrees with this argument, “it is true that the Commission will lose jurisdiction over “billing disputes” once a judgment is obtained by docketing a lien. However, the Commission is empowered to review the merits of a utility bill </w:t>
      </w:r>
      <w:r w:rsidR="00956A02" w:rsidRPr="00E11060">
        <w:rPr>
          <w:rFonts w:ascii="Times New Roman" w:hAnsi="Times New Roman" w:cs="Times New Roman"/>
          <w:b/>
          <w:bCs/>
        </w:rPr>
        <w:t>before</w:t>
      </w:r>
      <w:r w:rsidR="00956A02" w:rsidRPr="00E11060">
        <w:rPr>
          <w:rFonts w:ascii="Times New Roman" w:hAnsi="Times New Roman" w:cs="Times New Roman"/>
        </w:rPr>
        <w:t xml:space="preserve"> there is a docketed municipal lien (judgment)</w:t>
      </w:r>
      <w:r w:rsidR="006E387D" w:rsidRPr="00E11060">
        <w:rPr>
          <w:rFonts w:ascii="Times New Roman" w:hAnsi="Times New Roman" w:cs="Times New Roman"/>
        </w:rPr>
        <w:t>.”  PGW Brief at 9.</w:t>
      </w:r>
      <w:r w:rsidR="00E11060">
        <w:rPr>
          <w:rFonts w:ascii="Times New Roman" w:hAnsi="Times New Roman" w:cs="Times New Roman"/>
        </w:rPr>
        <w:t xml:space="preserve"> (</w:t>
      </w:r>
      <w:r w:rsidR="00E11060" w:rsidRPr="00E11060">
        <w:rPr>
          <w:rFonts w:ascii="Times New Roman" w:hAnsi="Times New Roman" w:cs="Times New Roman"/>
          <w:b/>
          <w:bCs/>
        </w:rPr>
        <w:t>Emphasis in the original).</w:t>
      </w:r>
    </w:p>
  </w:footnote>
  <w:footnote w:id="10">
    <w:p w14:paraId="06AE7067" w14:textId="4E678D6C" w:rsidR="0082052C" w:rsidRPr="00AD670E" w:rsidRDefault="0082052C" w:rsidP="00A96B3C">
      <w:pPr>
        <w:pStyle w:val="FootnoteText"/>
        <w:ind w:firstLine="720"/>
      </w:pPr>
      <w:r w:rsidRPr="00AD670E">
        <w:rPr>
          <w:rStyle w:val="FootnoteReference"/>
        </w:rPr>
        <w:footnoteRef/>
      </w:r>
      <w:r w:rsidRPr="00AD670E">
        <w:t xml:space="preserve"> </w:t>
      </w:r>
      <w:r w:rsidRPr="00AD670E">
        <w:tab/>
      </w:r>
      <w:r w:rsidRPr="00A96B3C">
        <w:rPr>
          <w:rFonts w:ascii="Times New Roman" w:hAnsi="Times New Roman" w:cs="Times New Roman"/>
        </w:rPr>
        <w:t xml:space="preserve">Identical analysis was included in my Initial Decision in </w:t>
      </w:r>
      <w:bookmarkStart w:id="5" w:name="_Hlk122092896"/>
      <w:r w:rsidR="00422BFE" w:rsidRPr="00A96B3C">
        <w:rPr>
          <w:rFonts w:ascii="Times New Roman" w:eastAsia="Cambria" w:hAnsi="Times New Roman" w:cs="Times New Roman"/>
          <w:bCs/>
          <w:i/>
          <w:iCs/>
        </w:rPr>
        <w:t xml:space="preserve">SBG </w:t>
      </w:r>
      <w:r w:rsidR="00422BFE" w:rsidRPr="00A96B3C">
        <w:rPr>
          <w:rFonts w:ascii="Times New Roman" w:eastAsia="Times New Roman" w:hAnsi="Times New Roman" w:cs="Times New Roman"/>
          <w:bCs/>
          <w:i/>
          <w:iCs/>
          <w:spacing w:val="-3"/>
        </w:rPr>
        <w:t>Management Services, Inc. et al.</w:t>
      </w:r>
      <w:r w:rsidR="00422BFE" w:rsidRPr="00A96B3C">
        <w:rPr>
          <w:rFonts w:ascii="Times New Roman" w:eastAsia="Cambria" w:hAnsi="Times New Roman" w:cs="Times New Roman"/>
          <w:bCs/>
          <w:i/>
          <w:iCs/>
        </w:rPr>
        <w:t xml:space="preserve"> v. Philadelphia Gas Works</w:t>
      </w:r>
      <w:r w:rsidR="003B1E56" w:rsidRPr="00A96B3C">
        <w:rPr>
          <w:rFonts w:ascii="Times New Roman" w:hAnsi="Times New Roman" w:cs="Times New Roman"/>
        </w:rPr>
        <w:t xml:space="preserve">, Docket Nos. </w:t>
      </w:r>
      <w:bookmarkEnd w:id="5"/>
      <w:r w:rsidR="003B1E56" w:rsidRPr="00A96B3C">
        <w:rPr>
          <w:rStyle w:val="cf01"/>
          <w:rFonts w:ascii="Times New Roman" w:hAnsi="Times New Roman" w:cs="Times New Roman"/>
          <w:sz w:val="20"/>
          <w:szCs w:val="20"/>
        </w:rPr>
        <w:t>C-2012-2304167; C-2012-2304215; C-2012-230430 (</w:t>
      </w:r>
      <w:r w:rsidR="00422BFE" w:rsidRPr="00A96B3C">
        <w:rPr>
          <w:rFonts w:ascii="Times New Roman" w:hAnsi="Times New Roman" w:cs="Times New Roman"/>
        </w:rPr>
        <w:t>2012 Complaints of Elrea Garden Realty Co., L.P. (Elrea Garden), Fairmount Manor Realty Co. L.P. (Fairmount Manor), and Marshall Square Realty Co., L.P. (Marshall Square</w:t>
      </w:r>
      <w:r w:rsidR="00C94B79" w:rsidRPr="00A96B3C">
        <w:rPr>
          <w:rFonts w:ascii="Times New Roman" w:hAnsi="Times New Roman" w:cs="Times New Roman"/>
        </w:rPr>
        <w:t xml:space="preserve">)); as well as in my Initial Decision in </w:t>
      </w:r>
      <w:r w:rsidR="00C94B79" w:rsidRPr="00A96B3C">
        <w:rPr>
          <w:rFonts w:ascii="Times New Roman" w:eastAsia="Cambria" w:hAnsi="Times New Roman" w:cs="Times New Roman"/>
          <w:bCs/>
          <w:i/>
          <w:iCs/>
        </w:rPr>
        <w:t xml:space="preserve">SBG </w:t>
      </w:r>
      <w:r w:rsidR="00C94B79" w:rsidRPr="00A96B3C">
        <w:rPr>
          <w:rFonts w:ascii="Times New Roman" w:eastAsia="Times New Roman" w:hAnsi="Times New Roman" w:cs="Times New Roman"/>
          <w:bCs/>
          <w:i/>
          <w:iCs/>
          <w:spacing w:val="-3"/>
        </w:rPr>
        <w:t>Management Services, Inc. et al.</w:t>
      </w:r>
      <w:r w:rsidR="00C94B79" w:rsidRPr="00A96B3C">
        <w:rPr>
          <w:rFonts w:ascii="Times New Roman" w:eastAsia="Cambria" w:hAnsi="Times New Roman" w:cs="Times New Roman"/>
          <w:bCs/>
          <w:i/>
          <w:iCs/>
        </w:rPr>
        <w:t xml:space="preserve"> v. Philadelphia Gas Works</w:t>
      </w:r>
      <w:r w:rsidR="00C94B79" w:rsidRPr="00A96B3C">
        <w:rPr>
          <w:rFonts w:ascii="Times New Roman" w:hAnsi="Times New Roman" w:cs="Times New Roman"/>
        </w:rPr>
        <w:t>, Docket Nos.</w:t>
      </w:r>
      <w:r w:rsidR="00FB76D7" w:rsidRPr="00A96B3C">
        <w:rPr>
          <w:rFonts w:ascii="Times New Roman" w:hAnsi="Times New Roman" w:cs="Times New Roman"/>
        </w:rPr>
        <w:t xml:space="preserve"> </w:t>
      </w:r>
      <w:r w:rsidR="00FB76D7" w:rsidRPr="00A96B3C">
        <w:rPr>
          <w:rStyle w:val="cf01"/>
          <w:rFonts w:ascii="Times New Roman" w:hAnsi="Times New Roman" w:cs="Times New Roman"/>
          <w:sz w:val="20"/>
          <w:szCs w:val="20"/>
        </w:rPr>
        <w:t>C-2012-2308462; C-2012-2308454, and C-2012-2308465 (</w:t>
      </w:r>
      <w:r w:rsidR="00FB76D7" w:rsidRPr="00A96B3C">
        <w:rPr>
          <w:rFonts w:ascii="Times New Roman" w:hAnsi="Times New Roman" w:cs="Times New Roman"/>
        </w:rPr>
        <w:t>2012 Complaints of Fern Rock Realty Co., L.P. (Fern Rock), Marchwood Realty Co., L.P. (Marchwood), and Oak Lane Court Realty Co., L.P. (Oak Lane).</w:t>
      </w:r>
    </w:p>
  </w:footnote>
  <w:footnote w:id="11">
    <w:p w14:paraId="4AE5ECAF" w14:textId="6FA1F9E4" w:rsidR="00AB5459" w:rsidRPr="00207C6D" w:rsidRDefault="00AB5459" w:rsidP="00A96B3C">
      <w:pPr>
        <w:pStyle w:val="FootnoteText"/>
        <w:ind w:firstLine="720"/>
        <w:rPr>
          <w:rFonts w:ascii="Times New Roman" w:hAnsi="Times New Roman" w:cs="Times New Roman"/>
        </w:rPr>
      </w:pPr>
      <w:r w:rsidRPr="00207C6D">
        <w:rPr>
          <w:rStyle w:val="FootnoteReference"/>
          <w:rFonts w:ascii="Times New Roman" w:hAnsi="Times New Roman" w:cs="Times New Roman"/>
        </w:rPr>
        <w:footnoteRef/>
      </w:r>
      <w:r w:rsidRPr="00207C6D">
        <w:rPr>
          <w:rFonts w:ascii="Times New Roman" w:hAnsi="Times New Roman" w:cs="Times New Roman"/>
        </w:rPr>
        <w:t xml:space="preserve"> </w:t>
      </w:r>
      <w:r w:rsidR="00556835" w:rsidRPr="00207C6D">
        <w:rPr>
          <w:rFonts w:ascii="Times New Roman" w:hAnsi="Times New Roman" w:cs="Times New Roman"/>
        </w:rPr>
        <w:t xml:space="preserve">PGW did not cite to any legal cases where such a collateral attack </w:t>
      </w:r>
      <w:r w:rsidR="007545C9" w:rsidRPr="00207C6D">
        <w:rPr>
          <w:rFonts w:ascii="Times New Roman" w:hAnsi="Times New Roman" w:cs="Times New Roman"/>
        </w:rPr>
        <w:t xml:space="preserve">was </w:t>
      </w:r>
      <w:r w:rsidR="00814BFE" w:rsidRPr="00207C6D">
        <w:rPr>
          <w:rFonts w:ascii="Times New Roman" w:hAnsi="Times New Roman" w:cs="Times New Roman"/>
        </w:rPr>
        <w:t>entertained by this Co</w:t>
      </w:r>
      <w:r w:rsidR="003D3D44" w:rsidRPr="00207C6D">
        <w:rPr>
          <w:rFonts w:ascii="Times New Roman" w:hAnsi="Times New Roman" w:cs="Times New Roman"/>
        </w:rPr>
        <w:t>mmission or any other state agency with quasi-adjudicative powers.</w:t>
      </w:r>
    </w:p>
  </w:footnote>
  <w:footnote w:id="12">
    <w:p w14:paraId="497ADA33" w14:textId="0EA32EFE" w:rsidR="00D3326E" w:rsidRDefault="00D3326E" w:rsidP="007859CA">
      <w:pPr>
        <w:pStyle w:val="FootnoteText"/>
        <w:ind w:firstLine="720"/>
        <w:rPr>
          <w:rFonts w:ascii="Times New Roman" w:hAnsi="Times New Roman" w:cs="Times New Roman"/>
        </w:rPr>
      </w:pPr>
      <w:r w:rsidRPr="00191A75">
        <w:rPr>
          <w:rStyle w:val="FootnoteReference"/>
          <w:rFonts w:ascii="Book Antiqua" w:hAnsi="Book Antiqua"/>
        </w:rPr>
        <w:footnoteRef/>
      </w:r>
      <w:r w:rsidRPr="00191A75">
        <w:rPr>
          <w:rFonts w:ascii="Book Antiqua" w:hAnsi="Book Antiqua"/>
        </w:rPr>
        <w:t xml:space="preserve"> </w:t>
      </w:r>
      <w:r w:rsidR="00B9627A">
        <w:rPr>
          <w:rFonts w:ascii="Book Antiqua" w:hAnsi="Book Antiqua"/>
        </w:rPr>
        <w:tab/>
      </w:r>
      <w:r w:rsidRPr="00B9627A">
        <w:rPr>
          <w:rFonts w:ascii="Times New Roman" w:hAnsi="Times New Roman" w:cs="Times New Roman"/>
        </w:rPr>
        <w:t>If the PUC determines that it will not perform the refund calculations, it will essentially render moot the existing controversy of PGW’s overcharges.  The Supreme Court does not issue advisory opinions. “An advisory opinion is one issued despite the lack of a justiciable case or controversy between the parties to an appeal. </w:t>
      </w:r>
      <w:r w:rsidRPr="00B9627A">
        <w:rPr>
          <w:rFonts w:ascii="Times New Roman" w:hAnsi="Times New Roman" w:cs="Times New Roman"/>
          <w:i/>
          <w:iCs/>
        </w:rPr>
        <w:t>See Pennsylvania Public Utility Commission v. County of Allegheny,</w:t>
      </w:r>
      <w:r w:rsidRPr="00B9627A">
        <w:rPr>
          <w:rFonts w:ascii="Times New Roman" w:hAnsi="Times New Roman" w:cs="Times New Roman"/>
        </w:rPr>
        <w:t> 415 Pa. 313, 203 A.2d 544, 546 (1964). Where the issues in a case are moot, any opinion issued would be merely advisory and, therefore, inappropriate. </w:t>
      </w:r>
      <w:r w:rsidRPr="00B9627A">
        <w:rPr>
          <w:rFonts w:ascii="Times New Roman" w:hAnsi="Times New Roman" w:cs="Times New Roman"/>
          <w:i/>
          <w:iCs/>
        </w:rPr>
        <w:t>Department of Environmental Resources v. Jubelirer,</w:t>
      </w:r>
      <w:r w:rsidRPr="00B9627A">
        <w:rPr>
          <w:rFonts w:ascii="Times New Roman" w:hAnsi="Times New Roman" w:cs="Times New Roman"/>
        </w:rPr>
        <w:t xml:space="preserve"> 531 Pa. 472, 614 A.2d 204, 212–13 (1992) (citations omitted).”  </w:t>
      </w:r>
      <w:r w:rsidRPr="00B9627A">
        <w:rPr>
          <w:rFonts w:ascii="Times New Roman" w:hAnsi="Times New Roman" w:cs="Times New Roman"/>
          <w:i/>
        </w:rPr>
        <w:t>Stuckley v. Zoning Hearing Bd. of Newtown Twp.</w:t>
      </w:r>
      <w:r w:rsidRPr="00B9627A">
        <w:rPr>
          <w:rFonts w:ascii="Times New Roman" w:hAnsi="Times New Roman" w:cs="Times New Roman"/>
        </w:rPr>
        <w:t>, 79 A.3d 510, 516 (Pa. 2013).</w:t>
      </w:r>
      <w:r w:rsidR="00A006AD" w:rsidRPr="00B9627A">
        <w:rPr>
          <w:rFonts w:ascii="Times New Roman" w:hAnsi="Times New Roman" w:cs="Times New Roman"/>
        </w:rPr>
        <w:t xml:space="preserve"> (Footn</w:t>
      </w:r>
      <w:r w:rsidR="00631C06" w:rsidRPr="00B9627A">
        <w:rPr>
          <w:rFonts w:ascii="Times New Roman" w:hAnsi="Times New Roman" w:cs="Times New Roman"/>
        </w:rPr>
        <w:t>ote in the original).</w:t>
      </w:r>
    </w:p>
    <w:p w14:paraId="254E6C1D" w14:textId="77777777" w:rsidR="003C0480" w:rsidRPr="00986DFA" w:rsidRDefault="003C0480" w:rsidP="00A96B3C">
      <w:pPr>
        <w:pStyle w:val="FootnoteText"/>
        <w:keepLines/>
        <w:ind w:firstLine="720"/>
        <w:rPr>
          <w:rFonts w:ascii="Times New Roman" w:hAnsi="Times New Roman" w:cs="Times New Roman"/>
        </w:rPr>
      </w:pPr>
    </w:p>
  </w:footnote>
  <w:footnote w:id="13">
    <w:p w14:paraId="72DBEE73" w14:textId="50E1F932" w:rsidR="00CF795B" w:rsidRDefault="00CF795B" w:rsidP="007859CA">
      <w:pPr>
        <w:pStyle w:val="FootnoteText"/>
        <w:ind w:firstLine="720"/>
        <w:rPr>
          <w:rFonts w:ascii="Times New Roman" w:hAnsi="Times New Roman" w:cs="Times New Roman"/>
        </w:rPr>
      </w:pPr>
      <w:r>
        <w:rPr>
          <w:rStyle w:val="FootnoteReference"/>
        </w:rPr>
        <w:footnoteRef/>
      </w:r>
      <w:r>
        <w:t xml:space="preserve"> </w:t>
      </w:r>
      <w:r>
        <w:tab/>
      </w:r>
      <w:r w:rsidRPr="00207C6D">
        <w:rPr>
          <w:rFonts w:ascii="Times New Roman" w:hAnsi="Times New Roman" w:cs="Times New Roman"/>
          <w:i/>
          <w:iCs/>
        </w:rPr>
        <w:t>PGW III</w:t>
      </w:r>
      <w:r w:rsidRPr="00207C6D">
        <w:rPr>
          <w:rFonts w:ascii="Times New Roman" w:hAnsi="Times New Roman" w:cs="Times New Roman"/>
        </w:rPr>
        <w:t xml:space="preserve">, 2022 Pa. Commw. Unpub. LEXIS 92, </w:t>
      </w:r>
      <w:r w:rsidRPr="001D54AF">
        <w:rPr>
          <w:rFonts w:ascii="Times New Roman" w:hAnsi="Times New Roman" w:cs="Times New Roman"/>
        </w:rPr>
        <w:t>2022 WL 793332, *1</w:t>
      </w:r>
    </w:p>
    <w:p w14:paraId="0821D2A0" w14:textId="77777777" w:rsidR="00077ABE" w:rsidRPr="001D54AF" w:rsidRDefault="00077ABE" w:rsidP="00A96B3C">
      <w:pPr>
        <w:pStyle w:val="FootnoteText"/>
        <w:ind w:firstLine="720"/>
        <w:rPr>
          <w:rFonts w:ascii="Times New Roman" w:hAnsi="Times New Roman" w:cs="Times New Roman"/>
        </w:rPr>
      </w:pPr>
    </w:p>
  </w:footnote>
  <w:footnote w:id="14">
    <w:p w14:paraId="7A57AA1C" w14:textId="328CA963" w:rsidR="00CF795B" w:rsidRDefault="00CF795B" w:rsidP="00077ABE">
      <w:pPr>
        <w:pStyle w:val="FootnoteText"/>
        <w:ind w:firstLine="720"/>
        <w:rPr>
          <w:rFonts w:ascii="Times New Roman" w:hAnsi="Times New Roman" w:cs="Times New Roman"/>
        </w:rPr>
      </w:pPr>
      <w:r w:rsidRPr="001D54AF">
        <w:rPr>
          <w:rStyle w:val="FootnoteReference"/>
          <w:rFonts w:ascii="Times New Roman" w:hAnsi="Times New Roman" w:cs="Times New Roman"/>
        </w:rPr>
        <w:footnoteRef/>
      </w:r>
      <w:r w:rsidRPr="001D54AF">
        <w:rPr>
          <w:rFonts w:ascii="Times New Roman" w:hAnsi="Times New Roman" w:cs="Times New Roman"/>
        </w:rPr>
        <w:t xml:space="preserve"> </w:t>
      </w:r>
      <w:r w:rsidRPr="001D54AF">
        <w:rPr>
          <w:rFonts w:ascii="Times New Roman" w:hAnsi="Times New Roman" w:cs="Times New Roman"/>
        </w:rPr>
        <w:tab/>
      </w:r>
      <w:r w:rsidRPr="001D54AF">
        <w:rPr>
          <w:rFonts w:ascii="Times New Roman" w:hAnsi="Times New Roman" w:cs="Times New Roman"/>
          <w:i/>
          <w:iCs/>
        </w:rPr>
        <w:t>Colonial Garden/Simon Garden v. PGW</w:t>
      </w:r>
      <w:r w:rsidRPr="001D54AF">
        <w:rPr>
          <w:rFonts w:ascii="Times New Roman" w:hAnsi="Times New Roman" w:cs="Times New Roman"/>
        </w:rPr>
        <w:t xml:space="preserve">, C-2012-2304183; C-2012-2304324. </w:t>
      </w:r>
    </w:p>
    <w:p w14:paraId="594B12B4" w14:textId="77777777" w:rsidR="00077ABE" w:rsidRPr="001D54AF" w:rsidRDefault="00077ABE" w:rsidP="00A96B3C">
      <w:pPr>
        <w:pStyle w:val="FootnoteText"/>
        <w:ind w:firstLine="720"/>
        <w:rPr>
          <w:rFonts w:ascii="Times New Roman" w:hAnsi="Times New Roman" w:cs="Times New Roman"/>
        </w:rPr>
      </w:pPr>
    </w:p>
  </w:footnote>
  <w:footnote w:id="15">
    <w:p w14:paraId="1025E996" w14:textId="7F0C9F9D" w:rsidR="00CF795B" w:rsidRDefault="00CF795B" w:rsidP="00077ABE">
      <w:pPr>
        <w:pStyle w:val="FootnoteText"/>
        <w:ind w:firstLine="720"/>
        <w:rPr>
          <w:rFonts w:ascii="Times New Roman" w:hAnsi="Times New Roman" w:cs="Times New Roman"/>
        </w:rPr>
      </w:pPr>
      <w:r w:rsidRPr="001D54AF">
        <w:rPr>
          <w:rStyle w:val="FootnoteReference"/>
          <w:rFonts w:ascii="Times New Roman" w:hAnsi="Times New Roman" w:cs="Times New Roman"/>
        </w:rPr>
        <w:footnoteRef/>
      </w:r>
      <w:r w:rsidRPr="001D54AF">
        <w:rPr>
          <w:rFonts w:ascii="Times New Roman" w:hAnsi="Times New Roman" w:cs="Times New Roman"/>
        </w:rPr>
        <w:t xml:space="preserve"> </w:t>
      </w:r>
      <w:r w:rsidRPr="001D54AF">
        <w:rPr>
          <w:rFonts w:ascii="Times New Roman" w:hAnsi="Times New Roman" w:cs="Times New Roman"/>
        </w:rPr>
        <w:tab/>
        <w:t>Commonwealth Court Docket No. 1405 CD 2018.</w:t>
      </w:r>
    </w:p>
    <w:p w14:paraId="22543A5B" w14:textId="77777777" w:rsidR="00077ABE" w:rsidRPr="001D54AF" w:rsidRDefault="00077ABE" w:rsidP="00A96B3C">
      <w:pPr>
        <w:pStyle w:val="FootnoteText"/>
        <w:ind w:firstLine="720"/>
        <w:rPr>
          <w:rFonts w:ascii="Times New Roman" w:hAnsi="Times New Roman" w:cs="Times New Roman"/>
        </w:rPr>
      </w:pPr>
    </w:p>
  </w:footnote>
  <w:footnote w:id="16">
    <w:p w14:paraId="197EEB3F" w14:textId="47E5A477" w:rsidR="00CF795B" w:rsidRDefault="00CF795B" w:rsidP="00077ABE">
      <w:pPr>
        <w:pStyle w:val="FootnoteText"/>
        <w:ind w:firstLine="720"/>
        <w:rPr>
          <w:rFonts w:ascii="Times New Roman" w:hAnsi="Times New Roman" w:cs="Times New Roman"/>
        </w:rPr>
      </w:pPr>
      <w:r w:rsidRPr="001D54AF">
        <w:rPr>
          <w:rStyle w:val="FootnoteReference"/>
          <w:rFonts w:ascii="Times New Roman" w:hAnsi="Times New Roman" w:cs="Times New Roman"/>
        </w:rPr>
        <w:footnoteRef/>
      </w:r>
      <w:r w:rsidRPr="001D54AF">
        <w:rPr>
          <w:rFonts w:ascii="Times New Roman" w:hAnsi="Times New Roman" w:cs="Times New Roman"/>
        </w:rPr>
        <w:t xml:space="preserve"> </w:t>
      </w:r>
      <w:r w:rsidRPr="001D54AF">
        <w:rPr>
          <w:rFonts w:ascii="Times New Roman" w:hAnsi="Times New Roman" w:cs="Times New Roman"/>
        </w:rPr>
        <w:tab/>
        <w:t>Commonwealth Court Docket No. 1404 CD 2018.</w:t>
      </w:r>
    </w:p>
    <w:p w14:paraId="4FE336A1" w14:textId="77777777" w:rsidR="00E134AE" w:rsidRPr="001D54AF" w:rsidRDefault="00E134AE" w:rsidP="00A96B3C">
      <w:pPr>
        <w:pStyle w:val="FootnoteText"/>
        <w:ind w:firstLine="720"/>
        <w:rPr>
          <w:rFonts w:ascii="Times New Roman" w:hAnsi="Times New Roman" w:cs="Times New Roman"/>
        </w:rPr>
      </w:pPr>
    </w:p>
  </w:footnote>
  <w:footnote w:id="17">
    <w:p w14:paraId="35139BDD" w14:textId="31712998" w:rsidR="00CF795B" w:rsidRDefault="00CF795B" w:rsidP="00077ABE">
      <w:pPr>
        <w:pStyle w:val="FootnoteText"/>
        <w:ind w:firstLine="720"/>
        <w:rPr>
          <w:rFonts w:ascii="Times New Roman" w:hAnsi="Times New Roman" w:cs="Times New Roman"/>
        </w:rPr>
      </w:pPr>
      <w:r w:rsidRPr="001D54AF">
        <w:rPr>
          <w:rStyle w:val="FootnoteReference"/>
          <w:rFonts w:ascii="Times New Roman" w:hAnsi="Times New Roman" w:cs="Times New Roman"/>
        </w:rPr>
        <w:footnoteRef/>
      </w:r>
      <w:r w:rsidRPr="001D54AF">
        <w:rPr>
          <w:rFonts w:ascii="Times New Roman" w:hAnsi="Times New Roman" w:cs="Times New Roman"/>
        </w:rPr>
        <w:t xml:space="preserve"> </w:t>
      </w:r>
      <w:r w:rsidRPr="001D54AF">
        <w:rPr>
          <w:rFonts w:ascii="Times New Roman" w:hAnsi="Times New Roman" w:cs="Times New Roman"/>
        </w:rPr>
        <w:tab/>
        <w:t xml:space="preserve">Because </w:t>
      </w:r>
      <w:r w:rsidRPr="001D54AF">
        <w:rPr>
          <w:rFonts w:ascii="Times New Roman" w:hAnsi="Times New Roman" w:cs="Times New Roman"/>
          <w:i/>
          <w:iCs/>
        </w:rPr>
        <w:t>PGW II</w:t>
      </w:r>
      <w:r w:rsidRPr="001D54AF">
        <w:rPr>
          <w:rFonts w:ascii="Times New Roman" w:hAnsi="Times New Roman" w:cs="Times New Roman"/>
        </w:rPr>
        <w:t xml:space="preserve"> only applies retroactively to complainants whose complaints were pending as of the time of the Supreme Court’s decision, there is no basis on which the Commission could award them the relief they are seeking – a determination that </w:t>
      </w:r>
      <w:r w:rsidRPr="00CE5D18">
        <w:rPr>
          <w:rFonts w:ascii="Times New Roman" w:hAnsi="Times New Roman" w:cs="Times New Roman"/>
        </w:rPr>
        <w:t xml:space="preserve">PGW did not have authority to bill them LPCs on arrearages.  </w:t>
      </w:r>
    </w:p>
    <w:p w14:paraId="5D5582C2" w14:textId="77777777" w:rsidR="00F67CF6" w:rsidRPr="00CE5D18" w:rsidRDefault="00F67CF6" w:rsidP="00A96B3C">
      <w:pPr>
        <w:pStyle w:val="FootnoteText"/>
        <w:ind w:firstLine="720"/>
        <w:rPr>
          <w:rFonts w:ascii="Times New Roman" w:hAnsi="Times New Roman" w:cs="Times New Roman"/>
        </w:rPr>
      </w:pPr>
    </w:p>
  </w:footnote>
  <w:footnote w:id="18">
    <w:p w14:paraId="2679F52E" w14:textId="0D51C710" w:rsidR="0097726A" w:rsidRDefault="0097726A" w:rsidP="00077ABE">
      <w:pPr>
        <w:pStyle w:val="FootnoteText"/>
        <w:ind w:firstLine="720"/>
        <w:rPr>
          <w:rFonts w:ascii="Times New Roman" w:hAnsi="Times New Roman" w:cs="Times New Roman"/>
        </w:rPr>
      </w:pPr>
      <w:r w:rsidRPr="00CE5D18">
        <w:rPr>
          <w:rStyle w:val="FootnoteReference"/>
          <w:rFonts w:ascii="Times New Roman" w:hAnsi="Times New Roman" w:cs="Times New Roman"/>
        </w:rPr>
        <w:footnoteRef/>
      </w:r>
      <w:r w:rsidRPr="00CE5D18">
        <w:rPr>
          <w:rFonts w:ascii="Times New Roman" w:hAnsi="Times New Roman" w:cs="Times New Roman"/>
        </w:rPr>
        <w:t xml:space="preserve"> </w:t>
      </w:r>
      <w:r w:rsidRPr="00CE5D18">
        <w:rPr>
          <w:rFonts w:ascii="Times New Roman" w:hAnsi="Times New Roman" w:cs="Times New Roman"/>
        </w:rPr>
        <w:tab/>
      </w:r>
      <w:r w:rsidR="00773D2A" w:rsidRPr="00CE5D18">
        <w:rPr>
          <w:rFonts w:ascii="Times New Roman" w:hAnsi="Times New Roman" w:cs="Times New Roman"/>
        </w:rPr>
        <w:t xml:space="preserve">Elrea Garden, Fairmount Manor, and Marshall Square </w:t>
      </w:r>
      <w:r w:rsidR="007B21B9" w:rsidRPr="00CE5D18">
        <w:rPr>
          <w:rFonts w:ascii="Times New Roman" w:hAnsi="Times New Roman" w:cs="Times New Roman"/>
        </w:rPr>
        <w:t xml:space="preserve">were intervenors in </w:t>
      </w:r>
      <w:r w:rsidR="00CE5D18" w:rsidRPr="00CE5D18">
        <w:rPr>
          <w:rFonts w:ascii="Times New Roman" w:hAnsi="Times New Roman" w:cs="Times New Roman"/>
          <w:i/>
          <w:iCs/>
        </w:rPr>
        <w:t>PGW v. PUC,</w:t>
      </w:r>
      <w:r w:rsidR="00CE5D18">
        <w:rPr>
          <w:rFonts w:ascii="Times New Roman" w:hAnsi="Times New Roman" w:cs="Times New Roman"/>
        </w:rPr>
        <w:t xml:space="preserve"> </w:t>
      </w:r>
      <w:r w:rsidRPr="00CE5D18">
        <w:rPr>
          <w:rFonts w:ascii="Times New Roman" w:hAnsi="Times New Roman" w:cs="Times New Roman"/>
        </w:rPr>
        <w:t>Commonwealth Court Docket No. 1405 CD 2018.</w:t>
      </w:r>
    </w:p>
    <w:p w14:paraId="154E5AC6" w14:textId="77777777" w:rsidR="00F67CF6" w:rsidRPr="00CE5D18" w:rsidRDefault="00F67CF6" w:rsidP="00A96B3C">
      <w:pPr>
        <w:pStyle w:val="FootnoteText"/>
        <w:ind w:firstLine="720"/>
        <w:rPr>
          <w:rFonts w:ascii="Times New Roman" w:hAnsi="Times New Roman" w:cs="Times New Roman"/>
        </w:rPr>
      </w:pPr>
    </w:p>
  </w:footnote>
  <w:footnote w:id="19">
    <w:p w14:paraId="6584D760" w14:textId="26E309AF" w:rsidR="004F0ED7" w:rsidRPr="00207C6D" w:rsidRDefault="004F0ED7" w:rsidP="00A96B3C">
      <w:pPr>
        <w:pStyle w:val="FootnoteText"/>
        <w:ind w:firstLine="720"/>
        <w:rPr>
          <w:rFonts w:ascii="Times New Roman" w:hAnsi="Times New Roman" w:cs="Times New Roman"/>
        </w:rPr>
      </w:pPr>
      <w:r w:rsidRPr="00CE5D18">
        <w:rPr>
          <w:rStyle w:val="FootnoteReference"/>
          <w:rFonts w:ascii="Times New Roman" w:hAnsi="Times New Roman" w:cs="Times New Roman"/>
        </w:rPr>
        <w:footnoteRef/>
      </w:r>
      <w:r w:rsidRPr="00CE5D18">
        <w:rPr>
          <w:rFonts w:ascii="Times New Roman" w:hAnsi="Times New Roman" w:cs="Times New Roman"/>
        </w:rPr>
        <w:t xml:space="preserve"> </w:t>
      </w:r>
      <w:r w:rsidRPr="00CE5D18">
        <w:rPr>
          <w:rFonts w:ascii="Times New Roman" w:hAnsi="Times New Roman" w:cs="Times New Roman"/>
        </w:rPr>
        <w:tab/>
      </w:r>
      <w:r w:rsidR="001D54AF" w:rsidRPr="00CE5D18">
        <w:rPr>
          <w:rFonts w:ascii="Times New Roman" w:hAnsi="Times New Roman" w:cs="Times New Roman"/>
        </w:rPr>
        <w:t xml:space="preserve">Marchwood, Oak Lane, and Fern Rock were intervenors in </w:t>
      </w:r>
      <w:r w:rsidR="00CE5D18" w:rsidRPr="00CE5D18">
        <w:rPr>
          <w:rFonts w:ascii="Times New Roman" w:hAnsi="Times New Roman" w:cs="Times New Roman"/>
          <w:i/>
          <w:iCs/>
        </w:rPr>
        <w:t>PGW v. PUC</w:t>
      </w:r>
      <w:r w:rsidR="00CE5D18" w:rsidRPr="00CE5D18">
        <w:rPr>
          <w:rFonts w:ascii="Times New Roman" w:hAnsi="Times New Roman" w:cs="Times New Roman"/>
        </w:rPr>
        <w:t xml:space="preserve">, </w:t>
      </w:r>
      <w:r w:rsidRPr="00CE5D18">
        <w:rPr>
          <w:rFonts w:ascii="Times New Roman" w:hAnsi="Times New Roman" w:cs="Times New Roman"/>
        </w:rPr>
        <w:t>Commonwealth Court Docket No. 1404 CD 2018.</w:t>
      </w:r>
    </w:p>
  </w:footnote>
  <w:footnote w:id="20">
    <w:p w14:paraId="690DBFB3" w14:textId="75A938B4" w:rsidR="00F12776" w:rsidRDefault="00F12776" w:rsidP="00A96B3C">
      <w:pPr>
        <w:pStyle w:val="FootnoteText"/>
        <w:ind w:firstLine="720"/>
      </w:pPr>
      <w:r w:rsidRPr="00E14B19">
        <w:rPr>
          <w:rStyle w:val="FootnoteReference"/>
        </w:rPr>
        <w:footnoteRef/>
      </w:r>
      <w:r w:rsidR="00E14B19" w:rsidRPr="00E14B19">
        <w:tab/>
      </w:r>
      <w:r w:rsidRPr="00E14B19">
        <w:rPr>
          <w:rFonts w:ascii="Times New Roman" w:hAnsi="Times New Roman" w:cs="Times New Roman"/>
        </w:rPr>
        <w:t>Only the issue related to the 18% interest rate on outstanding balances that were docketed as municipal liens was appealed to the Commonwealth Court.</w:t>
      </w:r>
      <w:r w:rsidRPr="00E14B19">
        <w:rPr>
          <w:rFonts w:ascii="Times New Roman" w:hAnsi="Times New Roman" w:cs="Times New Roman"/>
          <w:i/>
          <w:iCs/>
        </w:rPr>
        <w:t xml:space="preserve"> </w:t>
      </w:r>
      <w:r w:rsidR="00E14B19" w:rsidRPr="00E14B19">
        <w:rPr>
          <w:rFonts w:ascii="Times New Roman" w:hAnsi="Times New Roman" w:cs="Times New Roman"/>
          <w:i/>
          <w:iCs/>
        </w:rPr>
        <w:t xml:space="preserve"> See </w:t>
      </w:r>
      <w:r w:rsidRPr="00E14B19">
        <w:rPr>
          <w:rFonts w:ascii="Times New Roman" w:hAnsi="Times New Roman" w:cs="Times New Roman"/>
          <w:i/>
          <w:iCs/>
        </w:rPr>
        <w:t>Philadelphia Gas Works v. Pennsylvania Public Utility Commission</w:t>
      </w:r>
      <w:r w:rsidRPr="00E14B19">
        <w:rPr>
          <w:rFonts w:ascii="Times New Roman" w:hAnsi="Times New Roman" w:cs="Times New Roman"/>
        </w:rPr>
        <w:t xml:space="preserve"> (</w:t>
      </w:r>
      <w:proofErr w:type="spellStart"/>
      <w:r w:rsidRPr="00E14B19">
        <w:rPr>
          <w:rFonts w:ascii="Times New Roman" w:hAnsi="Times New Roman" w:cs="Times New Roman"/>
        </w:rPr>
        <w:t>Pa.Cmwlth</w:t>
      </w:r>
      <w:proofErr w:type="spellEnd"/>
      <w:r w:rsidRPr="00E14B19">
        <w:rPr>
          <w:rFonts w:ascii="Times New Roman" w:hAnsi="Times New Roman" w:cs="Times New Roman"/>
        </w:rPr>
        <w:t>., No. 1404 C.D. 2018).</w:t>
      </w:r>
      <w:r w:rsidRPr="00E14B19">
        <w:t xml:space="preserve">  </w:t>
      </w:r>
    </w:p>
  </w:footnote>
  <w:footnote w:id="21">
    <w:p w14:paraId="4B879BDF" w14:textId="77F154BD" w:rsidR="00431065" w:rsidRDefault="00431065" w:rsidP="00A96B3C">
      <w:pPr>
        <w:pStyle w:val="FootnoteText"/>
        <w:ind w:firstLine="720"/>
      </w:pPr>
      <w:r>
        <w:rPr>
          <w:rStyle w:val="FootnoteReference"/>
        </w:rPr>
        <w:footnoteRef/>
      </w:r>
      <w:r w:rsidR="00C02D75">
        <w:rPr>
          <w:rFonts w:ascii="Times New Roman" w:hAnsi="Times New Roman" w:cs="Times New Roman"/>
        </w:rPr>
        <w:t xml:space="preserve"> </w:t>
      </w:r>
      <w:r w:rsidR="00C02D75">
        <w:rPr>
          <w:rFonts w:ascii="Times New Roman" w:hAnsi="Times New Roman" w:cs="Times New Roman"/>
        </w:rPr>
        <w:tab/>
      </w:r>
      <w:r w:rsidR="00FC5341" w:rsidRPr="00C02D75">
        <w:rPr>
          <w:rFonts w:ascii="Times New Roman" w:hAnsi="Times New Roman" w:cs="Times New Roman"/>
        </w:rPr>
        <w:t>If,</w:t>
      </w:r>
      <w:r w:rsidRPr="00C02D75">
        <w:rPr>
          <w:rFonts w:ascii="Times New Roman" w:hAnsi="Times New Roman" w:cs="Times New Roman"/>
        </w:rPr>
        <w:t xml:space="preserve"> however, SBG believes that the Commonwealth Court’s ruling in </w:t>
      </w:r>
      <w:r w:rsidRPr="00C02D75">
        <w:rPr>
          <w:rFonts w:ascii="Times New Roman" w:hAnsi="Times New Roman" w:cs="Times New Roman"/>
          <w:i/>
          <w:iCs/>
        </w:rPr>
        <w:t>PGW III</w:t>
      </w:r>
      <w:r w:rsidR="00C13719">
        <w:rPr>
          <w:rFonts w:ascii="Times New Roman" w:hAnsi="Times New Roman" w:cs="Times New Roman"/>
          <w:i/>
          <w:iCs/>
        </w:rPr>
        <w:t>,</w:t>
      </w:r>
      <w:r w:rsidRPr="00C02D75">
        <w:rPr>
          <w:rFonts w:ascii="Times New Roman" w:hAnsi="Times New Roman" w:cs="Times New Roman"/>
        </w:rPr>
        <w:t xml:space="preserve"> regarding the retroactive applicability of PGW </w:t>
      </w:r>
      <w:r w:rsidRPr="00C02D75">
        <w:rPr>
          <w:rFonts w:ascii="Times New Roman" w:hAnsi="Times New Roman" w:cs="Times New Roman"/>
          <w:i/>
          <w:iCs/>
        </w:rPr>
        <w:t>II</w:t>
      </w:r>
      <w:r w:rsidR="00C13719">
        <w:rPr>
          <w:rFonts w:ascii="Times New Roman" w:hAnsi="Times New Roman" w:cs="Times New Roman"/>
          <w:i/>
          <w:iCs/>
        </w:rPr>
        <w:t>,</w:t>
      </w:r>
      <w:r w:rsidRPr="00C02D75">
        <w:rPr>
          <w:rFonts w:ascii="Times New Roman" w:hAnsi="Times New Roman" w:cs="Times New Roman"/>
          <w:i/>
          <w:iCs/>
        </w:rPr>
        <w:t xml:space="preserve"> </w:t>
      </w:r>
      <w:r w:rsidRPr="00C02D75">
        <w:rPr>
          <w:rFonts w:ascii="Times New Roman" w:hAnsi="Times New Roman" w:cs="Times New Roman"/>
        </w:rPr>
        <w:t xml:space="preserve">is non-inclusive or inconclusive, it can apply to the </w:t>
      </w:r>
      <w:r w:rsidR="00F61A13">
        <w:rPr>
          <w:rFonts w:ascii="Times New Roman" w:hAnsi="Times New Roman" w:cs="Times New Roman"/>
        </w:rPr>
        <w:t>c</w:t>
      </w:r>
      <w:r w:rsidRPr="00C02D75">
        <w:rPr>
          <w:rFonts w:ascii="Times New Roman" w:hAnsi="Times New Roman" w:cs="Times New Roman"/>
        </w:rPr>
        <w:t>ourt for further clarity or amendment of that language.</w:t>
      </w:r>
    </w:p>
  </w:footnote>
  <w:footnote w:id="22">
    <w:p w14:paraId="02BF67F5" w14:textId="0F309ACA" w:rsidR="00417A2F" w:rsidRDefault="00417A2F" w:rsidP="00A96B3C">
      <w:pPr>
        <w:pStyle w:val="FootnoteText"/>
        <w:ind w:firstLine="720"/>
      </w:pPr>
      <w:r>
        <w:rPr>
          <w:rStyle w:val="FootnoteReference"/>
        </w:rPr>
        <w:footnoteRef/>
      </w:r>
      <w:r>
        <w:t xml:space="preserve"> </w:t>
      </w:r>
      <w:r w:rsidRPr="003413CD">
        <w:rPr>
          <w:rFonts w:ascii="Times New Roman" w:hAnsi="Times New Roman" w:cs="Times New Roman"/>
        </w:rPr>
        <w:t>A copy of this pleading was submitted by PGW’s counsel on August 24, 2022</w:t>
      </w:r>
      <w:r w:rsidR="003413CD">
        <w:rPr>
          <w:rFonts w:ascii="Times New Roman" w:hAnsi="Times New Roman" w:cs="Times New Roman"/>
        </w:rPr>
        <w:t>,</w:t>
      </w:r>
      <w:r w:rsidRPr="003413CD">
        <w:rPr>
          <w:rFonts w:ascii="Times New Roman" w:hAnsi="Times New Roman" w:cs="Times New Roman"/>
        </w:rPr>
        <w:t xml:space="preserve"> at </w:t>
      </w:r>
      <w:r w:rsidR="00AF3959" w:rsidRPr="003413CD">
        <w:rPr>
          <w:rFonts w:ascii="Times New Roman" w:hAnsi="Times New Roman" w:cs="Times New Roman"/>
        </w:rPr>
        <w:t>my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21A"/>
    <w:multiLevelType w:val="hybridMultilevel"/>
    <w:tmpl w:val="E28832C6"/>
    <w:lvl w:ilvl="0" w:tplc="2408AC90">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27EE9"/>
    <w:multiLevelType w:val="multilevel"/>
    <w:tmpl w:val="ECD2BD42"/>
    <w:lvl w:ilvl="0">
      <w:start w:val="1"/>
      <w:numFmt w:val="upperRoman"/>
      <w:lvlText w:val="%1."/>
      <w:lvlJc w:val="left"/>
      <w:pPr>
        <w:tabs>
          <w:tab w:val="num" w:pos="720"/>
        </w:tabs>
        <w:ind w:left="720" w:hanging="720"/>
      </w:pPr>
      <w:rPr>
        <w:rFonts w:hint="default"/>
        <w:b/>
        <w:caps w:val="0"/>
        <w:color w:val="010000"/>
        <w:u w:val="none"/>
      </w:rPr>
    </w:lvl>
    <w:lvl w:ilvl="1">
      <w:start w:val="1"/>
      <w:numFmt w:val="upperLetter"/>
      <w:lvlText w:val="%2."/>
      <w:lvlJc w:val="left"/>
      <w:pPr>
        <w:tabs>
          <w:tab w:val="num" w:pos="1440"/>
        </w:tabs>
        <w:ind w:left="1440" w:hanging="720"/>
      </w:pPr>
      <w:rPr>
        <w:rFonts w:hint="default"/>
        <w:b/>
        <w:i w:val="0"/>
        <w:caps w:val="0"/>
        <w:color w:val="010000"/>
        <w:u w:val="none"/>
      </w:rPr>
    </w:lvl>
    <w:lvl w:ilvl="2">
      <w:start w:val="1"/>
      <w:numFmt w:val="decimal"/>
      <w:lvlText w:val="%3."/>
      <w:lvlJc w:val="left"/>
      <w:pPr>
        <w:tabs>
          <w:tab w:val="num" w:pos="2160"/>
        </w:tabs>
        <w:ind w:left="2160" w:hanging="720"/>
      </w:pPr>
      <w:rPr>
        <w:rFonts w:hint="default"/>
        <w:caps w:val="0"/>
        <w:color w:val="010000"/>
        <w:u w:val="none"/>
      </w:rPr>
    </w:lvl>
    <w:lvl w:ilvl="3">
      <w:start w:val="1"/>
      <w:numFmt w:val="lowerLetter"/>
      <w:lvlText w:val="%4."/>
      <w:lvlJc w:val="left"/>
      <w:pPr>
        <w:tabs>
          <w:tab w:val="num" w:pos="2880"/>
        </w:tabs>
        <w:ind w:left="2880" w:hanging="720"/>
      </w:pPr>
      <w:rPr>
        <w:rFonts w:hint="default"/>
        <w:caps w:val="0"/>
        <w:color w:val="010000"/>
        <w:u w:val="none"/>
      </w:rPr>
    </w:lvl>
    <w:lvl w:ilvl="4">
      <w:start w:val="1"/>
      <w:numFmt w:val="lowerRoman"/>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Roman"/>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2" w15:restartNumberingAfterBreak="0">
    <w:nsid w:val="1822789F"/>
    <w:multiLevelType w:val="multilevel"/>
    <w:tmpl w:val="731EAA20"/>
    <w:lvl w:ilvl="0">
      <w:start w:val="1"/>
      <w:numFmt w:val="upperRoman"/>
      <w:lvlText w:val="%1."/>
      <w:lvlJc w:val="left"/>
      <w:pPr>
        <w:tabs>
          <w:tab w:val="num" w:pos="720"/>
        </w:tabs>
        <w:ind w:left="720" w:hanging="720"/>
      </w:pPr>
      <w:rPr>
        <w:rFonts w:hint="default"/>
        <w:b/>
        <w:caps w:val="0"/>
        <w:color w:val="010000"/>
        <w:u w:val="none"/>
      </w:rPr>
    </w:lvl>
    <w:lvl w:ilvl="1">
      <w:start w:val="2"/>
      <w:numFmt w:val="upperLetter"/>
      <w:lvlText w:val="%2."/>
      <w:lvlJc w:val="left"/>
      <w:pPr>
        <w:tabs>
          <w:tab w:val="num" w:pos="1440"/>
        </w:tabs>
        <w:ind w:left="1440" w:hanging="720"/>
      </w:pPr>
      <w:rPr>
        <w:rFonts w:hint="default"/>
        <w:b/>
        <w:i w:val="0"/>
        <w:caps w:val="0"/>
        <w:color w:val="010000"/>
        <w:u w:val="none"/>
      </w:rPr>
    </w:lvl>
    <w:lvl w:ilvl="2">
      <w:start w:val="10"/>
      <w:numFmt w:val="decimal"/>
      <w:lvlText w:val="%3."/>
      <w:lvlJc w:val="left"/>
      <w:pPr>
        <w:tabs>
          <w:tab w:val="num" w:pos="2160"/>
        </w:tabs>
        <w:ind w:left="2160" w:hanging="720"/>
      </w:pPr>
      <w:rPr>
        <w:rFonts w:hint="default"/>
        <w:caps w:val="0"/>
        <w:color w:val="010000"/>
        <w:u w:val="none"/>
      </w:rPr>
    </w:lvl>
    <w:lvl w:ilvl="3">
      <w:start w:val="1"/>
      <w:numFmt w:val="lowerLetter"/>
      <w:lvlText w:val="%4."/>
      <w:lvlJc w:val="left"/>
      <w:pPr>
        <w:tabs>
          <w:tab w:val="num" w:pos="2880"/>
        </w:tabs>
        <w:ind w:left="2880" w:hanging="720"/>
      </w:pPr>
      <w:rPr>
        <w:rFonts w:hint="default"/>
        <w:caps w:val="0"/>
        <w:color w:val="010000"/>
        <w:u w:val="none"/>
      </w:rPr>
    </w:lvl>
    <w:lvl w:ilvl="4">
      <w:start w:val="1"/>
      <w:numFmt w:val="lowerRoman"/>
      <w:lvlText w:val="%5."/>
      <w:lvlJc w:val="left"/>
      <w:pPr>
        <w:tabs>
          <w:tab w:val="num" w:pos="3600"/>
        </w:tabs>
        <w:ind w:left="3600" w:hanging="720"/>
      </w:pPr>
      <w:rPr>
        <w:rFonts w:hint="default"/>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Roman"/>
      <w:lvlText w:val="%8)"/>
      <w:lvlJc w:val="left"/>
      <w:pPr>
        <w:tabs>
          <w:tab w:val="num" w:pos="5760"/>
        </w:tabs>
        <w:ind w:left="5760" w:hanging="720"/>
      </w:pPr>
      <w:rPr>
        <w:rFonts w:hint="default"/>
        <w:caps w:val="0"/>
        <w:color w:val="010000"/>
        <w:u w:val="none"/>
      </w:rPr>
    </w:lvl>
    <w:lvl w:ilvl="8">
      <w:start w:val="1"/>
      <w:numFmt w:val="lowerLetter"/>
      <w:lvlText w:val="%9)"/>
      <w:lvlJc w:val="left"/>
      <w:pPr>
        <w:tabs>
          <w:tab w:val="num" w:pos="6480"/>
        </w:tabs>
        <w:ind w:left="6480" w:hanging="720"/>
      </w:pPr>
      <w:rPr>
        <w:rFonts w:hint="default"/>
        <w:caps w:val="0"/>
        <w:color w:val="010000"/>
        <w:u w:val="none"/>
      </w:rPr>
    </w:lvl>
  </w:abstractNum>
  <w:abstractNum w:abstractNumId="3" w15:restartNumberingAfterBreak="0">
    <w:nsid w:val="42A33B3B"/>
    <w:multiLevelType w:val="hybridMultilevel"/>
    <w:tmpl w:val="2690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A7664"/>
    <w:multiLevelType w:val="multilevel"/>
    <w:tmpl w:val="03E4A8F4"/>
    <w:name w:val="Outline - Litigation-Scheme 1"/>
    <w:lvl w:ilvl="0">
      <w:start w:val="1"/>
      <w:numFmt w:val="upperRoman"/>
      <w:pStyle w:val="Heading1"/>
      <w:lvlText w:val="%1."/>
      <w:lvlJc w:val="left"/>
      <w:pPr>
        <w:ind w:left="360" w:hanging="360"/>
      </w:pPr>
      <w:rPr>
        <w:rFonts w:hint="default"/>
        <w:b/>
        <w:i w:val="0"/>
        <w:caps w:val="0"/>
        <w:color w:val="000000"/>
        <w:u w:val="none"/>
      </w:rPr>
    </w:lvl>
    <w:lvl w:ilvl="1">
      <w:start w:val="1"/>
      <w:numFmt w:val="upperLetter"/>
      <w:pStyle w:val="Heading2"/>
      <w:lvlText w:val="%2."/>
      <w:lvlJc w:val="left"/>
      <w:pPr>
        <w:tabs>
          <w:tab w:val="num" w:pos="1440"/>
        </w:tabs>
        <w:ind w:left="0" w:firstLine="720"/>
      </w:pPr>
      <w:rPr>
        <w:color w:val="000000"/>
        <w:u w:val="none"/>
      </w:rPr>
    </w:lvl>
    <w:lvl w:ilvl="2">
      <w:start w:val="1"/>
      <w:numFmt w:val="decimal"/>
      <w:pStyle w:val="Heading3"/>
      <w:lvlText w:val="%3."/>
      <w:lvlJc w:val="left"/>
      <w:pPr>
        <w:tabs>
          <w:tab w:val="num" w:pos="2160"/>
        </w:tabs>
        <w:ind w:left="0" w:firstLine="1440"/>
      </w:pPr>
      <w:rPr>
        <w:b/>
        <w:bCs w:val="0"/>
      </w:rPr>
    </w:lvl>
    <w:lvl w:ilvl="3">
      <w:start w:val="1"/>
      <w:numFmt w:val="lowerLetter"/>
      <w:lvlText w:val="(%4)"/>
      <w:lvlJc w:val="left"/>
      <w:pPr>
        <w:tabs>
          <w:tab w:val="num" w:pos="2880"/>
        </w:tabs>
        <w:ind w:left="0" w:firstLine="2160"/>
      </w:pPr>
      <w:rPr>
        <w:color w:val="000000"/>
        <w:u w:val="none"/>
      </w:rPr>
    </w:lvl>
    <w:lvl w:ilvl="4">
      <w:start w:val="1"/>
      <w:numFmt w:val="lowerRoman"/>
      <w:pStyle w:val="Heading5"/>
      <w:lvlText w:val="(%5)"/>
      <w:lvlJc w:val="left"/>
      <w:pPr>
        <w:tabs>
          <w:tab w:val="num" w:pos="3600"/>
        </w:tabs>
        <w:ind w:left="1440" w:firstLine="1440"/>
      </w:pPr>
      <w:rPr>
        <w:color w:val="000000"/>
        <w:u w:val="none"/>
      </w:rPr>
    </w:lvl>
    <w:lvl w:ilvl="5">
      <w:start w:val="1"/>
      <w:numFmt w:val="decimal"/>
      <w:pStyle w:val="Heading6"/>
      <w:lvlText w:val="(%6)"/>
      <w:lvlJc w:val="left"/>
      <w:pPr>
        <w:tabs>
          <w:tab w:val="num" w:pos="3600"/>
        </w:tabs>
        <w:ind w:left="1440" w:firstLine="1440"/>
      </w:pPr>
      <w:rPr>
        <w:color w:val="010000"/>
        <w:u w:val="none"/>
      </w:rPr>
    </w:lvl>
    <w:lvl w:ilvl="6">
      <w:start w:val="1"/>
      <w:numFmt w:val="decimal"/>
      <w:pStyle w:val="Heading7"/>
      <w:lvlText w:val="%7."/>
      <w:lvlJc w:val="left"/>
      <w:pPr>
        <w:tabs>
          <w:tab w:val="num" w:pos="4320"/>
        </w:tabs>
        <w:ind w:left="2160" w:firstLine="1440"/>
      </w:pPr>
      <w:rPr>
        <w:color w:val="010000"/>
        <w:u w:val="none"/>
      </w:rPr>
    </w:lvl>
    <w:lvl w:ilvl="7">
      <w:start w:val="1"/>
      <w:numFmt w:val="lowerRoman"/>
      <w:pStyle w:val="Heading8"/>
      <w:lvlText w:val="%8."/>
      <w:lvlJc w:val="left"/>
      <w:pPr>
        <w:tabs>
          <w:tab w:val="num" w:pos="5040"/>
        </w:tabs>
        <w:ind w:left="3600" w:firstLine="720"/>
      </w:pPr>
      <w:rPr>
        <w:color w:val="010000"/>
        <w:u w:val="none"/>
      </w:rPr>
    </w:lvl>
    <w:lvl w:ilvl="8">
      <w:start w:val="1"/>
      <w:numFmt w:val="decimal"/>
      <w:pStyle w:val="Heading9"/>
      <w:lvlText w:val="(%9)"/>
      <w:lvlJc w:val="left"/>
      <w:pPr>
        <w:tabs>
          <w:tab w:val="num" w:pos="5760"/>
        </w:tabs>
        <w:ind w:left="4320" w:firstLine="720"/>
      </w:pPr>
      <w:rPr>
        <w:color w:val="010000"/>
        <w:u w:val="none"/>
      </w:rPr>
    </w:lvl>
  </w:abstractNum>
  <w:abstractNum w:abstractNumId="5" w15:restartNumberingAfterBreak="0">
    <w:nsid w:val="7D591B01"/>
    <w:multiLevelType w:val="multilevel"/>
    <w:tmpl w:val="71E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272261">
    <w:abstractNumId w:val="5"/>
  </w:num>
  <w:num w:numId="2" w16cid:durableId="2051957043">
    <w:abstractNumId w:val="1"/>
  </w:num>
  <w:num w:numId="3" w16cid:durableId="1450128050">
    <w:abstractNumId w:val="3"/>
  </w:num>
  <w:num w:numId="4" w16cid:durableId="790587095">
    <w:abstractNumId w:val="2"/>
  </w:num>
  <w:num w:numId="5" w16cid:durableId="1465544787">
    <w:abstractNumId w:val="0"/>
  </w:num>
  <w:num w:numId="6" w16cid:durableId="1378579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C8"/>
    <w:rsid w:val="00002131"/>
    <w:rsid w:val="00003810"/>
    <w:rsid w:val="000043C1"/>
    <w:rsid w:val="00010820"/>
    <w:rsid w:val="000108A2"/>
    <w:rsid w:val="00012513"/>
    <w:rsid w:val="00013798"/>
    <w:rsid w:val="00013C6D"/>
    <w:rsid w:val="00013FED"/>
    <w:rsid w:val="00032D2D"/>
    <w:rsid w:val="00033B5E"/>
    <w:rsid w:val="00035C22"/>
    <w:rsid w:val="0003754B"/>
    <w:rsid w:val="000423E0"/>
    <w:rsid w:val="00042FB4"/>
    <w:rsid w:val="000430EA"/>
    <w:rsid w:val="000440C2"/>
    <w:rsid w:val="00052C12"/>
    <w:rsid w:val="000563DE"/>
    <w:rsid w:val="00062156"/>
    <w:rsid w:val="000638C6"/>
    <w:rsid w:val="00063AD3"/>
    <w:rsid w:val="00064847"/>
    <w:rsid w:val="00066E04"/>
    <w:rsid w:val="00070C3B"/>
    <w:rsid w:val="00074B2F"/>
    <w:rsid w:val="0007634D"/>
    <w:rsid w:val="00076F6D"/>
    <w:rsid w:val="0007757B"/>
    <w:rsid w:val="00077ABE"/>
    <w:rsid w:val="00077C52"/>
    <w:rsid w:val="0008073B"/>
    <w:rsid w:val="000820F5"/>
    <w:rsid w:val="00082C85"/>
    <w:rsid w:val="000926A1"/>
    <w:rsid w:val="00093917"/>
    <w:rsid w:val="00093AF7"/>
    <w:rsid w:val="00096F7D"/>
    <w:rsid w:val="000A49C1"/>
    <w:rsid w:val="000B162F"/>
    <w:rsid w:val="000B2AC0"/>
    <w:rsid w:val="000B49A9"/>
    <w:rsid w:val="000C0723"/>
    <w:rsid w:val="000C5E6D"/>
    <w:rsid w:val="000C71E0"/>
    <w:rsid w:val="000D2C63"/>
    <w:rsid w:val="000E329E"/>
    <w:rsid w:val="000E5B50"/>
    <w:rsid w:val="000E7317"/>
    <w:rsid w:val="000F0F1E"/>
    <w:rsid w:val="000F1442"/>
    <w:rsid w:val="000F313A"/>
    <w:rsid w:val="000F34B8"/>
    <w:rsid w:val="000F40C1"/>
    <w:rsid w:val="000F48E0"/>
    <w:rsid w:val="000F7053"/>
    <w:rsid w:val="000F7DF6"/>
    <w:rsid w:val="000F7FAD"/>
    <w:rsid w:val="0010670C"/>
    <w:rsid w:val="0010721F"/>
    <w:rsid w:val="001104C2"/>
    <w:rsid w:val="00110BFC"/>
    <w:rsid w:val="00110EEB"/>
    <w:rsid w:val="001112D6"/>
    <w:rsid w:val="001118DE"/>
    <w:rsid w:val="00112DD4"/>
    <w:rsid w:val="00113A49"/>
    <w:rsid w:val="00115E04"/>
    <w:rsid w:val="001167FB"/>
    <w:rsid w:val="00126475"/>
    <w:rsid w:val="00126BB6"/>
    <w:rsid w:val="00126CE3"/>
    <w:rsid w:val="001270DD"/>
    <w:rsid w:val="00130B2C"/>
    <w:rsid w:val="00133354"/>
    <w:rsid w:val="001347A5"/>
    <w:rsid w:val="00134D70"/>
    <w:rsid w:val="00135E60"/>
    <w:rsid w:val="0013652E"/>
    <w:rsid w:val="00145A86"/>
    <w:rsid w:val="001478DE"/>
    <w:rsid w:val="00150502"/>
    <w:rsid w:val="00152E53"/>
    <w:rsid w:val="00157994"/>
    <w:rsid w:val="0016306C"/>
    <w:rsid w:val="001632EF"/>
    <w:rsid w:val="00163B31"/>
    <w:rsid w:val="00163DA3"/>
    <w:rsid w:val="0016741F"/>
    <w:rsid w:val="00174DC6"/>
    <w:rsid w:val="0018146D"/>
    <w:rsid w:val="00184721"/>
    <w:rsid w:val="00186361"/>
    <w:rsid w:val="001912BB"/>
    <w:rsid w:val="0019462C"/>
    <w:rsid w:val="00194963"/>
    <w:rsid w:val="00196DE2"/>
    <w:rsid w:val="001A0C4A"/>
    <w:rsid w:val="001A0D02"/>
    <w:rsid w:val="001A2314"/>
    <w:rsid w:val="001A2C3C"/>
    <w:rsid w:val="001A3DC0"/>
    <w:rsid w:val="001A4B68"/>
    <w:rsid w:val="001A6362"/>
    <w:rsid w:val="001B0599"/>
    <w:rsid w:val="001B1848"/>
    <w:rsid w:val="001B2035"/>
    <w:rsid w:val="001B205F"/>
    <w:rsid w:val="001B40A1"/>
    <w:rsid w:val="001B6C84"/>
    <w:rsid w:val="001B7C39"/>
    <w:rsid w:val="001B7D2A"/>
    <w:rsid w:val="001B7FC7"/>
    <w:rsid w:val="001D11B4"/>
    <w:rsid w:val="001D1F0B"/>
    <w:rsid w:val="001D2603"/>
    <w:rsid w:val="001D2C6E"/>
    <w:rsid w:val="001D4D03"/>
    <w:rsid w:val="001D54AF"/>
    <w:rsid w:val="001D57F4"/>
    <w:rsid w:val="001E05E5"/>
    <w:rsid w:val="001E5008"/>
    <w:rsid w:val="001E77BA"/>
    <w:rsid w:val="001E7DBC"/>
    <w:rsid w:val="001F0608"/>
    <w:rsid w:val="001F14F0"/>
    <w:rsid w:val="001F76E9"/>
    <w:rsid w:val="00202C07"/>
    <w:rsid w:val="00204729"/>
    <w:rsid w:val="00207C6D"/>
    <w:rsid w:val="00211CD1"/>
    <w:rsid w:val="0021510C"/>
    <w:rsid w:val="0021672A"/>
    <w:rsid w:val="0021698E"/>
    <w:rsid w:val="00217947"/>
    <w:rsid w:val="00220309"/>
    <w:rsid w:val="002224E1"/>
    <w:rsid w:val="002245BF"/>
    <w:rsid w:val="002245CB"/>
    <w:rsid w:val="002263AA"/>
    <w:rsid w:val="00226903"/>
    <w:rsid w:val="00231A07"/>
    <w:rsid w:val="002323BA"/>
    <w:rsid w:val="00234C56"/>
    <w:rsid w:val="0023519A"/>
    <w:rsid w:val="0023654F"/>
    <w:rsid w:val="00236550"/>
    <w:rsid w:val="002371F0"/>
    <w:rsid w:val="00240718"/>
    <w:rsid w:val="0024226C"/>
    <w:rsid w:val="00242C4C"/>
    <w:rsid w:val="00242FB8"/>
    <w:rsid w:val="002430F5"/>
    <w:rsid w:val="0024581A"/>
    <w:rsid w:val="00246772"/>
    <w:rsid w:val="0024745E"/>
    <w:rsid w:val="00250852"/>
    <w:rsid w:val="002516C1"/>
    <w:rsid w:val="00256EA7"/>
    <w:rsid w:val="0025717E"/>
    <w:rsid w:val="002626B8"/>
    <w:rsid w:val="00263F9F"/>
    <w:rsid w:val="00264425"/>
    <w:rsid w:val="00275D2C"/>
    <w:rsid w:val="00275DB2"/>
    <w:rsid w:val="002807F1"/>
    <w:rsid w:val="00280EDA"/>
    <w:rsid w:val="00284654"/>
    <w:rsid w:val="0028479A"/>
    <w:rsid w:val="00287309"/>
    <w:rsid w:val="00292B07"/>
    <w:rsid w:val="00293BC9"/>
    <w:rsid w:val="002A530F"/>
    <w:rsid w:val="002A5AA5"/>
    <w:rsid w:val="002A5DAF"/>
    <w:rsid w:val="002A7711"/>
    <w:rsid w:val="002B085B"/>
    <w:rsid w:val="002B499E"/>
    <w:rsid w:val="002B4C0B"/>
    <w:rsid w:val="002B580D"/>
    <w:rsid w:val="002B7F0A"/>
    <w:rsid w:val="002C3446"/>
    <w:rsid w:val="002C6BF7"/>
    <w:rsid w:val="002D012B"/>
    <w:rsid w:val="002D440F"/>
    <w:rsid w:val="002D4885"/>
    <w:rsid w:val="002D783D"/>
    <w:rsid w:val="002E0F15"/>
    <w:rsid w:val="002E3EF5"/>
    <w:rsid w:val="002E4D9E"/>
    <w:rsid w:val="002E577E"/>
    <w:rsid w:val="002E61B3"/>
    <w:rsid w:val="002F0FFA"/>
    <w:rsid w:val="002F2155"/>
    <w:rsid w:val="002F2B3B"/>
    <w:rsid w:val="002F5F56"/>
    <w:rsid w:val="002F6F06"/>
    <w:rsid w:val="002F7EA6"/>
    <w:rsid w:val="003000C9"/>
    <w:rsid w:val="00302C62"/>
    <w:rsid w:val="00303684"/>
    <w:rsid w:val="00305F40"/>
    <w:rsid w:val="00306D82"/>
    <w:rsid w:val="00307200"/>
    <w:rsid w:val="003076E8"/>
    <w:rsid w:val="00310D2D"/>
    <w:rsid w:val="00313E68"/>
    <w:rsid w:val="00322016"/>
    <w:rsid w:val="00325243"/>
    <w:rsid w:val="00327BD6"/>
    <w:rsid w:val="0033195A"/>
    <w:rsid w:val="00340C91"/>
    <w:rsid w:val="003413CD"/>
    <w:rsid w:val="0034538A"/>
    <w:rsid w:val="00350182"/>
    <w:rsid w:val="00351B42"/>
    <w:rsid w:val="003527AF"/>
    <w:rsid w:val="003542BC"/>
    <w:rsid w:val="003552D6"/>
    <w:rsid w:val="00356942"/>
    <w:rsid w:val="00357B34"/>
    <w:rsid w:val="003602BB"/>
    <w:rsid w:val="003614DA"/>
    <w:rsid w:val="00361B36"/>
    <w:rsid w:val="003645B0"/>
    <w:rsid w:val="00365C73"/>
    <w:rsid w:val="003663D9"/>
    <w:rsid w:val="003703CE"/>
    <w:rsid w:val="00371943"/>
    <w:rsid w:val="00373835"/>
    <w:rsid w:val="00376891"/>
    <w:rsid w:val="00377B45"/>
    <w:rsid w:val="00380940"/>
    <w:rsid w:val="00381A86"/>
    <w:rsid w:val="00387D71"/>
    <w:rsid w:val="003912FA"/>
    <w:rsid w:val="00394003"/>
    <w:rsid w:val="003979FA"/>
    <w:rsid w:val="003A02DE"/>
    <w:rsid w:val="003A0F55"/>
    <w:rsid w:val="003A14C9"/>
    <w:rsid w:val="003A4D63"/>
    <w:rsid w:val="003B00C9"/>
    <w:rsid w:val="003B1E56"/>
    <w:rsid w:val="003B1EC8"/>
    <w:rsid w:val="003B20B7"/>
    <w:rsid w:val="003B3734"/>
    <w:rsid w:val="003B484B"/>
    <w:rsid w:val="003B6A18"/>
    <w:rsid w:val="003B79F6"/>
    <w:rsid w:val="003C0480"/>
    <w:rsid w:val="003C064C"/>
    <w:rsid w:val="003C3FF5"/>
    <w:rsid w:val="003C4161"/>
    <w:rsid w:val="003C5218"/>
    <w:rsid w:val="003C56E2"/>
    <w:rsid w:val="003D05B1"/>
    <w:rsid w:val="003D3D44"/>
    <w:rsid w:val="003E554A"/>
    <w:rsid w:val="003E6F91"/>
    <w:rsid w:val="003F0F28"/>
    <w:rsid w:val="003F2E9D"/>
    <w:rsid w:val="003F6B37"/>
    <w:rsid w:val="003F728E"/>
    <w:rsid w:val="004010BC"/>
    <w:rsid w:val="00402284"/>
    <w:rsid w:val="004048BD"/>
    <w:rsid w:val="00405475"/>
    <w:rsid w:val="00407255"/>
    <w:rsid w:val="004078C9"/>
    <w:rsid w:val="004134B2"/>
    <w:rsid w:val="00413BA9"/>
    <w:rsid w:val="0041646F"/>
    <w:rsid w:val="00417A2F"/>
    <w:rsid w:val="00421C96"/>
    <w:rsid w:val="00422BFE"/>
    <w:rsid w:val="0042436C"/>
    <w:rsid w:val="00425CAF"/>
    <w:rsid w:val="00427B9B"/>
    <w:rsid w:val="00427E9B"/>
    <w:rsid w:val="004308D9"/>
    <w:rsid w:val="00431065"/>
    <w:rsid w:val="00432A70"/>
    <w:rsid w:val="00433D3F"/>
    <w:rsid w:val="00435993"/>
    <w:rsid w:val="004374BC"/>
    <w:rsid w:val="00442749"/>
    <w:rsid w:val="00443F99"/>
    <w:rsid w:val="00445039"/>
    <w:rsid w:val="0044706A"/>
    <w:rsid w:val="00452BEC"/>
    <w:rsid w:val="00452FD9"/>
    <w:rsid w:val="00453D33"/>
    <w:rsid w:val="0045521A"/>
    <w:rsid w:val="004621BF"/>
    <w:rsid w:val="0046273F"/>
    <w:rsid w:val="004639B7"/>
    <w:rsid w:val="004700F5"/>
    <w:rsid w:val="004714A1"/>
    <w:rsid w:val="00472627"/>
    <w:rsid w:val="00472C04"/>
    <w:rsid w:val="00477EED"/>
    <w:rsid w:val="00477F55"/>
    <w:rsid w:val="004822FC"/>
    <w:rsid w:val="004875AB"/>
    <w:rsid w:val="004879C9"/>
    <w:rsid w:val="00490ADB"/>
    <w:rsid w:val="004A2A66"/>
    <w:rsid w:val="004A5607"/>
    <w:rsid w:val="004A5E2E"/>
    <w:rsid w:val="004A6F68"/>
    <w:rsid w:val="004B14B7"/>
    <w:rsid w:val="004B216D"/>
    <w:rsid w:val="004B2EF1"/>
    <w:rsid w:val="004B3738"/>
    <w:rsid w:val="004B447A"/>
    <w:rsid w:val="004C0538"/>
    <w:rsid w:val="004C16E5"/>
    <w:rsid w:val="004C1A9C"/>
    <w:rsid w:val="004C1B42"/>
    <w:rsid w:val="004C5EAC"/>
    <w:rsid w:val="004C63B6"/>
    <w:rsid w:val="004D2E84"/>
    <w:rsid w:val="004D43B2"/>
    <w:rsid w:val="004D76D9"/>
    <w:rsid w:val="004E16A1"/>
    <w:rsid w:val="004E3D0C"/>
    <w:rsid w:val="004E58BC"/>
    <w:rsid w:val="004F0ED7"/>
    <w:rsid w:val="004F34AE"/>
    <w:rsid w:val="004F3DCE"/>
    <w:rsid w:val="004F4B1D"/>
    <w:rsid w:val="004F6E40"/>
    <w:rsid w:val="00503A06"/>
    <w:rsid w:val="00507584"/>
    <w:rsid w:val="0051089E"/>
    <w:rsid w:val="00513F9D"/>
    <w:rsid w:val="005151A7"/>
    <w:rsid w:val="005218EB"/>
    <w:rsid w:val="00530967"/>
    <w:rsid w:val="00530AC7"/>
    <w:rsid w:val="005318B6"/>
    <w:rsid w:val="00535D24"/>
    <w:rsid w:val="005463FF"/>
    <w:rsid w:val="0055102E"/>
    <w:rsid w:val="00552A03"/>
    <w:rsid w:val="00555483"/>
    <w:rsid w:val="00556835"/>
    <w:rsid w:val="005606A8"/>
    <w:rsid w:val="0056521A"/>
    <w:rsid w:val="00565B1C"/>
    <w:rsid w:val="00570FD1"/>
    <w:rsid w:val="00571D0F"/>
    <w:rsid w:val="00572CC9"/>
    <w:rsid w:val="00576499"/>
    <w:rsid w:val="00583C34"/>
    <w:rsid w:val="00584F37"/>
    <w:rsid w:val="0058596B"/>
    <w:rsid w:val="005866A7"/>
    <w:rsid w:val="00587DC9"/>
    <w:rsid w:val="00591DB9"/>
    <w:rsid w:val="005946FB"/>
    <w:rsid w:val="00595247"/>
    <w:rsid w:val="005A0D1B"/>
    <w:rsid w:val="005A1394"/>
    <w:rsid w:val="005A22F1"/>
    <w:rsid w:val="005A2F2A"/>
    <w:rsid w:val="005A317E"/>
    <w:rsid w:val="005A341A"/>
    <w:rsid w:val="005A418F"/>
    <w:rsid w:val="005A75C7"/>
    <w:rsid w:val="005B0EA4"/>
    <w:rsid w:val="005B3443"/>
    <w:rsid w:val="005C07EA"/>
    <w:rsid w:val="005C0B51"/>
    <w:rsid w:val="005C2192"/>
    <w:rsid w:val="005C564E"/>
    <w:rsid w:val="005C5BB9"/>
    <w:rsid w:val="005C74FD"/>
    <w:rsid w:val="005C7E8A"/>
    <w:rsid w:val="005D1289"/>
    <w:rsid w:val="005D2BA8"/>
    <w:rsid w:val="005D4315"/>
    <w:rsid w:val="005D6E8E"/>
    <w:rsid w:val="005D7C9A"/>
    <w:rsid w:val="005E038B"/>
    <w:rsid w:val="005E0749"/>
    <w:rsid w:val="005E3770"/>
    <w:rsid w:val="005E7153"/>
    <w:rsid w:val="005F17EC"/>
    <w:rsid w:val="005F2122"/>
    <w:rsid w:val="005F23D7"/>
    <w:rsid w:val="005F4B6E"/>
    <w:rsid w:val="005F5A9A"/>
    <w:rsid w:val="005F78BA"/>
    <w:rsid w:val="00603035"/>
    <w:rsid w:val="00607DCC"/>
    <w:rsid w:val="006107A5"/>
    <w:rsid w:val="006148CA"/>
    <w:rsid w:val="00617F84"/>
    <w:rsid w:val="0062032D"/>
    <w:rsid w:val="006216CE"/>
    <w:rsid w:val="00623060"/>
    <w:rsid w:val="00623871"/>
    <w:rsid w:val="00624F54"/>
    <w:rsid w:val="00627179"/>
    <w:rsid w:val="0063010B"/>
    <w:rsid w:val="00630B69"/>
    <w:rsid w:val="00631C06"/>
    <w:rsid w:val="00637712"/>
    <w:rsid w:val="00644B6B"/>
    <w:rsid w:val="00647A7B"/>
    <w:rsid w:val="00650736"/>
    <w:rsid w:val="00651477"/>
    <w:rsid w:val="00652A60"/>
    <w:rsid w:val="0065552F"/>
    <w:rsid w:val="00655574"/>
    <w:rsid w:val="0065737D"/>
    <w:rsid w:val="00660E1D"/>
    <w:rsid w:val="00662F72"/>
    <w:rsid w:val="006634E2"/>
    <w:rsid w:val="0066362C"/>
    <w:rsid w:val="006640E5"/>
    <w:rsid w:val="006674B1"/>
    <w:rsid w:val="00673F8F"/>
    <w:rsid w:val="00682EF8"/>
    <w:rsid w:val="006833F6"/>
    <w:rsid w:val="00685458"/>
    <w:rsid w:val="00687000"/>
    <w:rsid w:val="00687C5B"/>
    <w:rsid w:val="006919C1"/>
    <w:rsid w:val="006934EF"/>
    <w:rsid w:val="006970B8"/>
    <w:rsid w:val="00697238"/>
    <w:rsid w:val="006A0B79"/>
    <w:rsid w:val="006A0F49"/>
    <w:rsid w:val="006A45B0"/>
    <w:rsid w:val="006A4C2B"/>
    <w:rsid w:val="006A6225"/>
    <w:rsid w:val="006A7F69"/>
    <w:rsid w:val="006B3239"/>
    <w:rsid w:val="006B46B6"/>
    <w:rsid w:val="006B6AD9"/>
    <w:rsid w:val="006C0598"/>
    <w:rsid w:val="006C1EC1"/>
    <w:rsid w:val="006C33FB"/>
    <w:rsid w:val="006C35E9"/>
    <w:rsid w:val="006C486D"/>
    <w:rsid w:val="006C5034"/>
    <w:rsid w:val="006C5ED1"/>
    <w:rsid w:val="006D1DE9"/>
    <w:rsid w:val="006D3FFB"/>
    <w:rsid w:val="006D40BD"/>
    <w:rsid w:val="006D4A0C"/>
    <w:rsid w:val="006D4F58"/>
    <w:rsid w:val="006D793D"/>
    <w:rsid w:val="006E387D"/>
    <w:rsid w:val="006E5AB3"/>
    <w:rsid w:val="006E644A"/>
    <w:rsid w:val="006E6BEB"/>
    <w:rsid w:val="006F1ACD"/>
    <w:rsid w:val="00703F6D"/>
    <w:rsid w:val="00705BF7"/>
    <w:rsid w:val="007066FB"/>
    <w:rsid w:val="00707D58"/>
    <w:rsid w:val="007105AF"/>
    <w:rsid w:val="007151A0"/>
    <w:rsid w:val="00715E34"/>
    <w:rsid w:val="00717741"/>
    <w:rsid w:val="007230BE"/>
    <w:rsid w:val="007254B3"/>
    <w:rsid w:val="007323C1"/>
    <w:rsid w:val="007328BB"/>
    <w:rsid w:val="007348B1"/>
    <w:rsid w:val="007368A7"/>
    <w:rsid w:val="007373B4"/>
    <w:rsid w:val="007441C3"/>
    <w:rsid w:val="007446F0"/>
    <w:rsid w:val="00744BBF"/>
    <w:rsid w:val="00751D49"/>
    <w:rsid w:val="00752459"/>
    <w:rsid w:val="007533FE"/>
    <w:rsid w:val="007545C9"/>
    <w:rsid w:val="00754DA7"/>
    <w:rsid w:val="007552C3"/>
    <w:rsid w:val="007567C8"/>
    <w:rsid w:val="00760C85"/>
    <w:rsid w:val="007618C9"/>
    <w:rsid w:val="00762186"/>
    <w:rsid w:val="00762F53"/>
    <w:rsid w:val="007678A3"/>
    <w:rsid w:val="00767AF9"/>
    <w:rsid w:val="00772CDC"/>
    <w:rsid w:val="00772E1B"/>
    <w:rsid w:val="00773D2A"/>
    <w:rsid w:val="00774353"/>
    <w:rsid w:val="00774463"/>
    <w:rsid w:val="0077594C"/>
    <w:rsid w:val="00775AA5"/>
    <w:rsid w:val="00780FC5"/>
    <w:rsid w:val="007846B2"/>
    <w:rsid w:val="007859CA"/>
    <w:rsid w:val="007877E3"/>
    <w:rsid w:val="007906FB"/>
    <w:rsid w:val="00790EF5"/>
    <w:rsid w:val="007917D2"/>
    <w:rsid w:val="0079625F"/>
    <w:rsid w:val="007A42CF"/>
    <w:rsid w:val="007A43D5"/>
    <w:rsid w:val="007A480C"/>
    <w:rsid w:val="007A6271"/>
    <w:rsid w:val="007A7889"/>
    <w:rsid w:val="007B085B"/>
    <w:rsid w:val="007B10D3"/>
    <w:rsid w:val="007B1739"/>
    <w:rsid w:val="007B1BFE"/>
    <w:rsid w:val="007B21B9"/>
    <w:rsid w:val="007C04A2"/>
    <w:rsid w:val="007D0D5D"/>
    <w:rsid w:val="007D1AE1"/>
    <w:rsid w:val="007D6C34"/>
    <w:rsid w:val="007E3899"/>
    <w:rsid w:val="007E41EF"/>
    <w:rsid w:val="007F01EE"/>
    <w:rsid w:val="007F0A85"/>
    <w:rsid w:val="007F0E57"/>
    <w:rsid w:val="007F662A"/>
    <w:rsid w:val="007F6876"/>
    <w:rsid w:val="00802BFE"/>
    <w:rsid w:val="00804E73"/>
    <w:rsid w:val="00805013"/>
    <w:rsid w:val="0080526C"/>
    <w:rsid w:val="00805571"/>
    <w:rsid w:val="00810243"/>
    <w:rsid w:val="00814BFE"/>
    <w:rsid w:val="008169E7"/>
    <w:rsid w:val="0082052C"/>
    <w:rsid w:val="008242C3"/>
    <w:rsid w:val="00825ED4"/>
    <w:rsid w:val="0082632C"/>
    <w:rsid w:val="00827D58"/>
    <w:rsid w:val="00833AFE"/>
    <w:rsid w:val="008373F9"/>
    <w:rsid w:val="00837842"/>
    <w:rsid w:val="00840E98"/>
    <w:rsid w:val="008429B1"/>
    <w:rsid w:val="0085279C"/>
    <w:rsid w:val="00852EF3"/>
    <w:rsid w:val="0085425C"/>
    <w:rsid w:val="00855C8B"/>
    <w:rsid w:val="00864277"/>
    <w:rsid w:val="008656BC"/>
    <w:rsid w:val="00865C10"/>
    <w:rsid w:val="0086717C"/>
    <w:rsid w:val="00867296"/>
    <w:rsid w:val="008709DD"/>
    <w:rsid w:val="00871067"/>
    <w:rsid w:val="008764A3"/>
    <w:rsid w:val="00877F16"/>
    <w:rsid w:val="00877FE4"/>
    <w:rsid w:val="00882112"/>
    <w:rsid w:val="0088498E"/>
    <w:rsid w:val="00887808"/>
    <w:rsid w:val="00894D48"/>
    <w:rsid w:val="008A036F"/>
    <w:rsid w:val="008A16AD"/>
    <w:rsid w:val="008A5260"/>
    <w:rsid w:val="008B2F5D"/>
    <w:rsid w:val="008B3CE3"/>
    <w:rsid w:val="008B61D6"/>
    <w:rsid w:val="008C21C8"/>
    <w:rsid w:val="008C5468"/>
    <w:rsid w:val="008D301D"/>
    <w:rsid w:val="008D4649"/>
    <w:rsid w:val="008D54F0"/>
    <w:rsid w:val="008D6A1C"/>
    <w:rsid w:val="008E089C"/>
    <w:rsid w:val="008E224A"/>
    <w:rsid w:val="008E529E"/>
    <w:rsid w:val="008E5665"/>
    <w:rsid w:val="008F172A"/>
    <w:rsid w:val="008F44F9"/>
    <w:rsid w:val="008F4DF6"/>
    <w:rsid w:val="008F57BA"/>
    <w:rsid w:val="00900682"/>
    <w:rsid w:val="009009FD"/>
    <w:rsid w:val="00900DE3"/>
    <w:rsid w:val="00901670"/>
    <w:rsid w:val="00902654"/>
    <w:rsid w:val="00904F86"/>
    <w:rsid w:val="00910D75"/>
    <w:rsid w:val="00912755"/>
    <w:rsid w:val="00914362"/>
    <w:rsid w:val="0092106F"/>
    <w:rsid w:val="009261BA"/>
    <w:rsid w:val="0093150E"/>
    <w:rsid w:val="009315E0"/>
    <w:rsid w:val="00932EFC"/>
    <w:rsid w:val="00933B5C"/>
    <w:rsid w:val="009346CE"/>
    <w:rsid w:val="009349A8"/>
    <w:rsid w:val="00944BF3"/>
    <w:rsid w:val="00946B93"/>
    <w:rsid w:val="00947CA0"/>
    <w:rsid w:val="009500F5"/>
    <w:rsid w:val="009523DF"/>
    <w:rsid w:val="00952AC8"/>
    <w:rsid w:val="009537E9"/>
    <w:rsid w:val="00953D4F"/>
    <w:rsid w:val="0095431E"/>
    <w:rsid w:val="00956A02"/>
    <w:rsid w:val="00960F8C"/>
    <w:rsid w:val="00962766"/>
    <w:rsid w:val="00963171"/>
    <w:rsid w:val="009672FB"/>
    <w:rsid w:val="009705C4"/>
    <w:rsid w:val="00971387"/>
    <w:rsid w:val="00972E3D"/>
    <w:rsid w:val="00974743"/>
    <w:rsid w:val="009758BE"/>
    <w:rsid w:val="00975F39"/>
    <w:rsid w:val="00976BD6"/>
    <w:rsid w:val="0097726A"/>
    <w:rsid w:val="009827E5"/>
    <w:rsid w:val="0098569F"/>
    <w:rsid w:val="00986861"/>
    <w:rsid w:val="00986BF0"/>
    <w:rsid w:val="00986DFA"/>
    <w:rsid w:val="00991600"/>
    <w:rsid w:val="0099549F"/>
    <w:rsid w:val="00996C31"/>
    <w:rsid w:val="009A3323"/>
    <w:rsid w:val="009A3C0A"/>
    <w:rsid w:val="009A414B"/>
    <w:rsid w:val="009A49A6"/>
    <w:rsid w:val="009A50C7"/>
    <w:rsid w:val="009A57A0"/>
    <w:rsid w:val="009A61A5"/>
    <w:rsid w:val="009B5B5F"/>
    <w:rsid w:val="009B6EB3"/>
    <w:rsid w:val="009C0C9E"/>
    <w:rsid w:val="009C2AD6"/>
    <w:rsid w:val="009C5E3A"/>
    <w:rsid w:val="009C7C8F"/>
    <w:rsid w:val="009D1890"/>
    <w:rsid w:val="009D27E8"/>
    <w:rsid w:val="009D3186"/>
    <w:rsid w:val="009D6EAA"/>
    <w:rsid w:val="009E26D6"/>
    <w:rsid w:val="009E3A8A"/>
    <w:rsid w:val="009E5BBE"/>
    <w:rsid w:val="009E7F42"/>
    <w:rsid w:val="009F003B"/>
    <w:rsid w:val="009F22E3"/>
    <w:rsid w:val="009F2969"/>
    <w:rsid w:val="00A006AD"/>
    <w:rsid w:val="00A069B2"/>
    <w:rsid w:val="00A133DF"/>
    <w:rsid w:val="00A15097"/>
    <w:rsid w:val="00A171E1"/>
    <w:rsid w:val="00A21F30"/>
    <w:rsid w:val="00A22C36"/>
    <w:rsid w:val="00A247F9"/>
    <w:rsid w:val="00A2625A"/>
    <w:rsid w:val="00A262EA"/>
    <w:rsid w:val="00A331FF"/>
    <w:rsid w:val="00A33C6E"/>
    <w:rsid w:val="00A37117"/>
    <w:rsid w:val="00A424A1"/>
    <w:rsid w:val="00A43BAC"/>
    <w:rsid w:val="00A45C04"/>
    <w:rsid w:val="00A47463"/>
    <w:rsid w:val="00A50C25"/>
    <w:rsid w:val="00A5227C"/>
    <w:rsid w:val="00A54597"/>
    <w:rsid w:val="00A55883"/>
    <w:rsid w:val="00A564EC"/>
    <w:rsid w:val="00A565C0"/>
    <w:rsid w:val="00A5715E"/>
    <w:rsid w:val="00A572DE"/>
    <w:rsid w:val="00A61DD9"/>
    <w:rsid w:val="00A6795B"/>
    <w:rsid w:val="00A70761"/>
    <w:rsid w:val="00A80CA0"/>
    <w:rsid w:val="00A85C92"/>
    <w:rsid w:val="00A86AAE"/>
    <w:rsid w:val="00A8714E"/>
    <w:rsid w:val="00A91891"/>
    <w:rsid w:val="00A92760"/>
    <w:rsid w:val="00A93620"/>
    <w:rsid w:val="00A9457A"/>
    <w:rsid w:val="00A96B3C"/>
    <w:rsid w:val="00AA14D0"/>
    <w:rsid w:val="00AA2393"/>
    <w:rsid w:val="00AA3353"/>
    <w:rsid w:val="00AA5181"/>
    <w:rsid w:val="00AA6AC8"/>
    <w:rsid w:val="00AB3C75"/>
    <w:rsid w:val="00AB5459"/>
    <w:rsid w:val="00AC223A"/>
    <w:rsid w:val="00AC335A"/>
    <w:rsid w:val="00AC35D0"/>
    <w:rsid w:val="00AC44D0"/>
    <w:rsid w:val="00AC45F7"/>
    <w:rsid w:val="00AC62B1"/>
    <w:rsid w:val="00AD04B4"/>
    <w:rsid w:val="00AD340B"/>
    <w:rsid w:val="00AD6583"/>
    <w:rsid w:val="00AD670E"/>
    <w:rsid w:val="00AD7559"/>
    <w:rsid w:val="00AD7A46"/>
    <w:rsid w:val="00AE078D"/>
    <w:rsid w:val="00AE3A82"/>
    <w:rsid w:val="00AE69AD"/>
    <w:rsid w:val="00AE7E59"/>
    <w:rsid w:val="00AF3959"/>
    <w:rsid w:val="00AF4DC9"/>
    <w:rsid w:val="00AF5745"/>
    <w:rsid w:val="00AF719B"/>
    <w:rsid w:val="00B02EEA"/>
    <w:rsid w:val="00B05F81"/>
    <w:rsid w:val="00B06340"/>
    <w:rsid w:val="00B1125B"/>
    <w:rsid w:val="00B1180A"/>
    <w:rsid w:val="00B1662F"/>
    <w:rsid w:val="00B20379"/>
    <w:rsid w:val="00B205D8"/>
    <w:rsid w:val="00B22F88"/>
    <w:rsid w:val="00B26E41"/>
    <w:rsid w:val="00B279B1"/>
    <w:rsid w:val="00B27DF3"/>
    <w:rsid w:val="00B3050B"/>
    <w:rsid w:val="00B31156"/>
    <w:rsid w:val="00B3120D"/>
    <w:rsid w:val="00B312BE"/>
    <w:rsid w:val="00B31981"/>
    <w:rsid w:val="00B342DE"/>
    <w:rsid w:val="00B43895"/>
    <w:rsid w:val="00B50630"/>
    <w:rsid w:val="00B50F54"/>
    <w:rsid w:val="00B54170"/>
    <w:rsid w:val="00B57BEC"/>
    <w:rsid w:val="00B608CA"/>
    <w:rsid w:val="00B633FB"/>
    <w:rsid w:val="00B64A41"/>
    <w:rsid w:val="00B700F6"/>
    <w:rsid w:val="00B70E55"/>
    <w:rsid w:val="00B725FA"/>
    <w:rsid w:val="00B72B64"/>
    <w:rsid w:val="00B76AD6"/>
    <w:rsid w:val="00B77234"/>
    <w:rsid w:val="00B77C36"/>
    <w:rsid w:val="00B83363"/>
    <w:rsid w:val="00B84DEE"/>
    <w:rsid w:val="00B87834"/>
    <w:rsid w:val="00B9380F"/>
    <w:rsid w:val="00B94E21"/>
    <w:rsid w:val="00B95AB4"/>
    <w:rsid w:val="00B9627A"/>
    <w:rsid w:val="00B963A9"/>
    <w:rsid w:val="00B963E5"/>
    <w:rsid w:val="00BA2BB9"/>
    <w:rsid w:val="00BA393D"/>
    <w:rsid w:val="00BA6894"/>
    <w:rsid w:val="00BB0E8D"/>
    <w:rsid w:val="00BB3A64"/>
    <w:rsid w:val="00BB3B05"/>
    <w:rsid w:val="00BB4D8E"/>
    <w:rsid w:val="00BC499B"/>
    <w:rsid w:val="00BC7832"/>
    <w:rsid w:val="00BD0558"/>
    <w:rsid w:val="00BD5023"/>
    <w:rsid w:val="00BD59D1"/>
    <w:rsid w:val="00BD5E0E"/>
    <w:rsid w:val="00BD75B1"/>
    <w:rsid w:val="00BD7F1B"/>
    <w:rsid w:val="00BE0797"/>
    <w:rsid w:val="00BE0D1E"/>
    <w:rsid w:val="00BE475C"/>
    <w:rsid w:val="00BF1B19"/>
    <w:rsid w:val="00BF2FCD"/>
    <w:rsid w:val="00BF4C28"/>
    <w:rsid w:val="00BF4DE3"/>
    <w:rsid w:val="00BF5E32"/>
    <w:rsid w:val="00BF69BE"/>
    <w:rsid w:val="00BF7335"/>
    <w:rsid w:val="00C02D75"/>
    <w:rsid w:val="00C04A28"/>
    <w:rsid w:val="00C0773F"/>
    <w:rsid w:val="00C11A3F"/>
    <w:rsid w:val="00C13719"/>
    <w:rsid w:val="00C1795A"/>
    <w:rsid w:val="00C236D0"/>
    <w:rsid w:val="00C24C49"/>
    <w:rsid w:val="00C27851"/>
    <w:rsid w:val="00C32E56"/>
    <w:rsid w:val="00C36674"/>
    <w:rsid w:val="00C37549"/>
    <w:rsid w:val="00C41E7A"/>
    <w:rsid w:val="00C52F1B"/>
    <w:rsid w:val="00C61A1B"/>
    <w:rsid w:val="00C62551"/>
    <w:rsid w:val="00C74C75"/>
    <w:rsid w:val="00C837FD"/>
    <w:rsid w:val="00C91842"/>
    <w:rsid w:val="00C9218B"/>
    <w:rsid w:val="00C921D1"/>
    <w:rsid w:val="00C937DD"/>
    <w:rsid w:val="00C94B79"/>
    <w:rsid w:val="00C9515D"/>
    <w:rsid w:val="00CA0489"/>
    <w:rsid w:val="00CA2A0D"/>
    <w:rsid w:val="00CA322C"/>
    <w:rsid w:val="00CA5598"/>
    <w:rsid w:val="00CA7CB2"/>
    <w:rsid w:val="00CB4855"/>
    <w:rsid w:val="00CC00C5"/>
    <w:rsid w:val="00CC00D7"/>
    <w:rsid w:val="00CC59AF"/>
    <w:rsid w:val="00CC5AB4"/>
    <w:rsid w:val="00CD126F"/>
    <w:rsid w:val="00CD4593"/>
    <w:rsid w:val="00CD61D8"/>
    <w:rsid w:val="00CD7369"/>
    <w:rsid w:val="00CE082E"/>
    <w:rsid w:val="00CE0F0F"/>
    <w:rsid w:val="00CE1A73"/>
    <w:rsid w:val="00CE1FED"/>
    <w:rsid w:val="00CE3560"/>
    <w:rsid w:val="00CE3BA8"/>
    <w:rsid w:val="00CE4A7C"/>
    <w:rsid w:val="00CE5ADA"/>
    <w:rsid w:val="00CE5D18"/>
    <w:rsid w:val="00CE6244"/>
    <w:rsid w:val="00CE741B"/>
    <w:rsid w:val="00CF039A"/>
    <w:rsid w:val="00CF25AC"/>
    <w:rsid w:val="00CF28AA"/>
    <w:rsid w:val="00CF3C01"/>
    <w:rsid w:val="00CF6632"/>
    <w:rsid w:val="00CF795B"/>
    <w:rsid w:val="00D03A44"/>
    <w:rsid w:val="00D07B92"/>
    <w:rsid w:val="00D123F3"/>
    <w:rsid w:val="00D156A8"/>
    <w:rsid w:val="00D2435C"/>
    <w:rsid w:val="00D2530E"/>
    <w:rsid w:val="00D254AE"/>
    <w:rsid w:val="00D25D08"/>
    <w:rsid w:val="00D262EA"/>
    <w:rsid w:val="00D31646"/>
    <w:rsid w:val="00D31EE2"/>
    <w:rsid w:val="00D3326E"/>
    <w:rsid w:val="00D36C2E"/>
    <w:rsid w:val="00D377E2"/>
    <w:rsid w:val="00D409C8"/>
    <w:rsid w:val="00D46EE3"/>
    <w:rsid w:val="00D50106"/>
    <w:rsid w:val="00D523D1"/>
    <w:rsid w:val="00D566EA"/>
    <w:rsid w:val="00D61125"/>
    <w:rsid w:val="00D6220D"/>
    <w:rsid w:val="00D627FA"/>
    <w:rsid w:val="00D63FD3"/>
    <w:rsid w:val="00D66367"/>
    <w:rsid w:val="00D727F7"/>
    <w:rsid w:val="00D806FD"/>
    <w:rsid w:val="00D81069"/>
    <w:rsid w:val="00D82EE3"/>
    <w:rsid w:val="00D837EF"/>
    <w:rsid w:val="00D83C78"/>
    <w:rsid w:val="00D843B7"/>
    <w:rsid w:val="00D867C3"/>
    <w:rsid w:val="00D9030E"/>
    <w:rsid w:val="00D91836"/>
    <w:rsid w:val="00D9196D"/>
    <w:rsid w:val="00D91C16"/>
    <w:rsid w:val="00D975A7"/>
    <w:rsid w:val="00D97DE7"/>
    <w:rsid w:val="00DA3194"/>
    <w:rsid w:val="00DA33F9"/>
    <w:rsid w:val="00DA3432"/>
    <w:rsid w:val="00DA5421"/>
    <w:rsid w:val="00DB0646"/>
    <w:rsid w:val="00DB1106"/>
    <w:rsid w:val="00DB3127"/>
    <w:rsid w:val="00DB33EC"/>
    <w:rsid w:val="00DB3C3F"/>
    <w:rsid w:val="00DB45E0"/>
    <w:rsid w:val="00DC1B20"/>
    <w:rsid w:val="00DC2C40"/>
    <w:rsid w:val="00DC5A43"/>
    <w:rsid w:val="00DC615D"/>
    <w:rsid w:val="00DD2FBF"/>
    <w:rsid w:val="00DE0AE9"/>
    <w:rsid w:val="00DE0CCF"/>
    <w:rsid w:val="00DE29EB"/>
    <w:rsid w:val="00DE3379"/>
    <w:rsid w:val="00DE59C5"/>
    <w:rsid w:val="00DE794D"/>
    <w:rsid w:val="00DE7E13"/>
    <w:rsid w:val="00DF28AF"/>
    <w:rsid w:val="00DF3332"/>
    <w:rsid w:val="00DF788E"/>
    <w:rsid w:val="00E020AF"/>
    <w:rsid w:val="00E0222B"/>
    <w:rsid w:val="00E027BA"/>
    <w:rsid w:val="00E0558A"/>
    <w:rsid w:val="00E05EE5"/>
    <w:rsid w:val="00E05EE7"/>
    <w:rsid w:val="00E07381"/>
    <w:rsid w:val="00E07E49"/>
    <w:rsid w:val="00E1056E"/>
    <w:rsid w:val="00E11060"/>
    <w:rsid w:val="00E12C1C"/>
    <w:rsid w:val="00E12F67"/>
    <w:rsid w:val="00E134AE"/>
    <w:rsid w:val="00E14B19"/>
    <w:rsid w:val="00E14F74"/>
    <w:rsid w:val="00E172E5"/>
    <w:rsid w:val="00E1762C"/>
    <w:rsid w:val="00E21C19"/>
    <w:rsid w:val="00E22556"/>
    <w:rsid w:val="00E25955"/>
    <w:rsid w:val="00E2735A"/>
    <w:rsid w:val="00E30A8E"/>
    <w:rsid w:val="00E34658"/>
    <w:rsid w:val="00E35121"/>
    <w:rsid w:val="00E352EE"/>
    <w:rsid w:val="00E36039"/>
    <w:rsid w:val="00E3667E"/>
    <w:rsid w:val="00E36ADD"/>
    <w:rsid w:val="00E41ED8"/>
    <w:rsid w:val="00E41FA4"/>
    <w:rsid w:val="00E46F3B"/>
    <w:rsid w:val="00E47BB7"/>
    <w:rsid w:val="00E505D0"/>
    <w:rsid w:val="00E52C21"/>
    <w:rsid w:val="00E547BB"/>
    <w:rsid w:val="00E565FC"/>
    <w:rsid w:val="00E5703B"/>
    <w:rsid w:val="00E61924"/>
    <w:rsid w:val="00E61BD1"/>
    <w:rsid w:val="00E620EA"/>
    <w:rsid w:val="00E70AE5"/>
    <w:rsid w:val="00E727B3"/>
    <w:rsid w:val="00E734FC"/>
    <w:rsid w:val="00E86BE1"/>
    <w:rsid w:val="00E8706A"/>
    <w:rsid w:val="00E90796"/>
    <w:rsid w:val="00E91753"/>
    <w:rsid w:val="00E93EBE"/>
    <w:rsid w:val="00E955D7"/>
    <w:rsid w:val="00EA2BF1"/>
    <w:rsid w:val="00EA6529"/>
    <w:rsid w:val="00EB054D"/>
    <w:rsid w:val="00EB0E9E"/>
    <w:rsid w:val="00EB4C6E"/>
    <w:rsid w:val="00EB5AFE"/>
    <w:rsid w:val="00EB7F81"/>
    <w:rsid w:val="00EC1E4A"/>
    <w:rsid w:val="00EC2014"/>
    <w:rsid w:val="00EC309C"/>
    <w:rsid w:val="00EC31D7"/>
    <w:rsid w:val="00EC487A"/>
    <w:rsid w:val="00EC4FC1"/>
    <w:rsid w:val="00EC5569"/>
    <w:rsid w:val="00EC65DB"/>
    <w:rsid w:val="00EE4FF4"/>
    <w:rsid w:val="00EE647C"/>
    <w:rsid w:val="00EE6BC7"/>
    <w:rsid w:val="00EE78DF"/>
    <w:rsid w:val="00EF6E0F"/>
    <w:rsid w:val="00F00222"/>
    <w:rsid w:val="00F014ED"/>
    <w:rsid w:val="00F03363"/>
    <w:rsid w:val="00F03E25"/>
    <w:rsid w:val="00F0466B"/>
    <w:rsid w:val="00F060B1"/>
    <w:rsid w:val="00F07CE3"/>
    <w:rsid w:val="00F07FB2"/>
    <w:rsid w:val="00F1126C"/>
    <w:rsid w:val="00F12776"/>
    <w:rsid w:val="00F12C3E"/>
    <w:rsid w:val="00F139B2"/>
    <w:rsid w:val="00F13EFE"/>
    <w:rsid w:val="00F153FD"/>
    <w:rsid w:val="00F2354F"/>
    <w:rsid w:val="00F23F6A"/>
    <w:rsid w:val="00F24458"/>
    <w:rsid w:val="00F25A2A"/>
    <w:rsid w:val="00F316C3"/>
    <w:rsid w:val="00F31FE3"/>
    <w:rsid w:val="00F361E0"/>
    <w:rsid w:val="00F36817"/>
    <w:rsid w:val="00F36AAD"/>
    <w:rsid w:val="00F36FCD"/>
    <w:rsid w:val="00F42D58"/>
    <w:rsid w:val="00F4349E"/>
    <w:rsid w:val="00F438E9"/>
    <w:rsid w:val="00F442D4"/>
    <w:rsid w:val="00F4673E"/>
    <w:rsid w:val="00F46A7B"/>
    <w:rsid w:val="00F507E6"/>
    <w:rsid w:val="00F509E2"/>
    <w:rsid w:val="00F50C8C"/>
    <w:rsid w:val="00F51253"/>
    <w:rsid w:val="00F5312E"/>
    <w:rsid w:val="00F6196E"/>
    <w:rsid w:val="00F61A13"/>
    <w:rsid w:val="00F62B3A"/>
    <w:rsid w:val="00F6565E"/>
    <w:rsid w:val="00F674AF"/>
    <w:rsid w:val="00F6763B"/>
    <w:rsid w:val="00F676F7"/>
    <w:rsid w:val="00F67CF6"/>
    <w:rsid w:val="00F70D83"/>
    <w:rsid w:val="00F711AB"/>
    <w:rsid w:val="00F713DD"/>
    <w:rsid w:val="00F72B02"/>
    <w:rsid w:val="00F77DE9"/>
    <w:rsid w:val="00F8022A"/>
    <w:rsid w:val="00F83750"/>
    <w:rsid w:val="00F85324"/>
    <w:rsid w:val="00F91C54"/>
    <w:rsid w:val="00F91E50"/>
    <w:rsid w:val="00F9207C"/>
    <w:rsid w:val="00F94421"/>
    <w:rsid w:val="00F95C5A"/>
    <w:rsid w:val="00F9641F"/>
    <w:rsid w:val="00F965C9"/>
    <w:rsid w:val="00FA1026"/>
    <w:rsid w:val="00FA673F"/>
    <w:rsid w:val="00FA68AA"/>
    <w:rsid w:val="00FA7331"/>
    <w:rsid w:val="00FA78FB"/>
    <w:rsid w:val="00FB1030"/>
    <w:rsid w:val="00FB1EDA"/>
    <w:rsid w:val="00FB7463"/>
    <w:rsid w:val="00FB76D7"/>
    <w:rsid w:val="00FC5341"/>
    <w:rsid w:val="00FC7527"/>
    <w:rsid w:val="00FD000E"/>
    <w:rsid w:val="00FD3294"/>
    <w:rsid w:val="00FD337C"/>
    <w:rsid w:val="00FD3E53"/>
    <w:rsid w:val="00FD6910"/>
    <w:rsid w:val="00FE0530"/>
    <w:rsid w:val="00FE09A3"/>
    <w:rsid w:val="00FE5665"/>
    <w:rsid w:val="00FF46AD"/>
    <w:rsid w:val="00FF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296A"/>
  <w15:chartTrackingRefBased/>
  <w15:docId w15:val="{4ACAA2AE-6EF9-40F7-8574-64E90AC0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C8"/>
    <w:pPr>
      <w:spacing w:line="256" w:lineRule="auto"/>
    </w:pPr>
  </w:style>
  <w:style w:type="paragraph" w:styleId="Heading1">
    <w:name w:val="heading 1"/>
    <w:aliases w:val="TOC Level 1(Ctrl+Shift+1)"/>
    <w:basedOn w:val="Normal"/>
    <w:next w:val="BodyText"/>
    <w:link w:val="Heading1Char"/>
    <w:uiPriority w:val="9"/>
    <w:qFormat/>
    <w:rsid w:val="00503A06"/>
    <w:pPr>
      <w:keepLines/>
      <w:numPr>
        <w:numId w:val="6"/>
      </w:numPr>
      <w:spacing w:after="240" w:line="240" w:lineRule="auto"/>
      <w:ind w:left="720" w:hanging="720"/>
      <w:jc w:val="both"/>
      <w:outlineLvl w:val="0"/>
    </w:pPr>
    <w:rPr>
      <w:rFonts w:ascii="Times New Roman" w:eastAsiaTheme="majorEastAsia" w:hAnsi="Times New Roman" w:cs="Times New Roman"/>
      <w:b/>
      <w:bCs/>
      <w:sz w:val="24"/>
      <w:szCs w:val="32"/>
    </w:rPr>
  </w:style>
  <w:style w:type="paragraph" w:styleId="Heading2">
    <w:name w:val="heading 2"/>
    <w:aliases w:val="TOC Level 2 (Ctrl+Shift+2),TOC Level 2"/>
    <w:basedOn w:val="Normal"/>
    <w:next w:val="BodyText"/>
    <w:link w:val="Heading2Char"/>
    <w:uiPriority w:val="9"/>
    <w:unhideWhenUsed/>
    <w:qFormat/>
    <w:rsid w:val="00503A06"/>
    <w:pPr>
      <w:keepNext/>
      <w:numPr>
        <w:ilvl w:val="1"/>
        <w:numId w:val="6"/>
      </w:numPr>
      <w:tabs>
        <w:tab w:val="left" w:pos="1440"/>
      </w:tabs>
      <w:spacing w:after="240" w:line="240" w:lineRule="auto"/>
      <w:jc w:val="both"/>
      <w:outlineLvl w:val="1"/>
    </w:pPr>
    <w:rPr>
      <w:rFonts w:ascii="Times New Roman" w:eastAsiaTheme="majorEastAsia" w:hAnsi="Times New Roman" w:cs="Times New Roman"/>
      <w:b/>
      <w:sz w:val="24"/>
      <w:szCs w:val="26"/>
    </w:rPr>
  </w:style>
  <w:style w:type="paragraph" w:styleId="Heading3">
    <w:name w:val="heading 3"/>
    <w:aliases w:val="TOC Level 3 (Ctrl+Shift+3)"/>
    <w:next w:val="BodyText"/>
    <w:link w:val="Heading3Char"/>
    <w:uiPriority w:val="9"/>
    <w:unhideWhenUsed/>
    <w:qFormat/>
    <w:rsid w:val="00503A06"/>
    <w:pPr>
      <w:keepNext/>
      <w:numPr>
        <w:ilvl w:val="2"/>
        <w:numId w:val="6"/>
      </w:numPr>
      <w:tabs>
        <w:tab w:val="left" w:pos="2160"/>
      </w:tabs>
      <w:spacing w:after="240" w:line="240" w:lineRule="auto"/>
      <w:ind w:left="2160" w:hanging="720"/>
      <w:jc w:val="both"/>
      <w:outlineLvl w:val="2"/>
    </w:pPr>
    <w:rPr>
      <w:rFonts w:ascii="Times New Roman" w:eastAsiaTheme="majorEastAsia" w:hAnsi="Times New Roman" w:cs="Times New Roman"/>
      <w:b/>
      <w:sz w:val="24"/>
      <w:szCs w:val="24"/>
    </w:rPr>
  </w:style>
  <w:style w:type="paragraph" w:styleId="Heading5">
    <w:name w:val="heading 5"/>
    <w:aliases w:val="TOC Level 5 (Ctrl+Shift+5),TOC Level 5"/>
    <w:basedOn w:val="Normal"/>
    <w:next w:val="BodyText"/>
    <w:link w:val="Heading5Char"/>
    <w:unhideWhenUsed/>
    <w:qFormat/>
    <w:rsid w:val="00503A06"/>
    <w:pPr>
      <w:numPr>
        <w:ilvl w:val="4"/>
        <w:numId w:val="6"/>
      </w:numPr>
      <w:tabs>
        <w:tab w:val="left" w:pos="3600"/>
      </w:tabs>
      <w:spacing w:after="240" w:line="240" w:lineRule="auto"/>
      <w:jc w:val="both"/>
      <w:outlineLvl w:val="4"/>
    </w:pPr>
    <w:rPr>
      <w:rFonts w:ascii="Times New Roman" w:eastAsiaTheme="majorEastAsia" w:hAnsi="Times New Roman" w:cs="Times New Roman"/>
      <w:sz w:val="24"/>
      <w:szCs w:val="24"/>
    </w:rPr>
  </w:style>
  <w:style w:type="paragraph" w:styleId="Heading6">
    <w:name w:val="heading 6"/>
    <w:basedOn w:val="Normal"/>
    <w:next w:val="BodyText"/>
    <w:link w:val="Heading6Char"/>
    <w:unhideWhenUsed/>
    <w:qFormat/>
    <w:rsid w:val="00503A06"/>
    <w:pPr>
      <w:numPr>
        <w:ilvl w:val="5"/>
        <w:numId w:val="6"/>
      </w:numPr>
      <w:tabs>
        <w:tab w:val="left" w:pos="3600"/>
      </w:tabs>
      <w:spacing w:after="240" w:line="240" w:lineRule="auto"/>
      <w:jc w:val="both"/>
      <w:outlineLvl w:val="5"/>
    </w:pPr>
    <w:rPr>
      <w:rFonts w:ascii="Times New Roman" w:eastAsiaTheme="majorEastAsia" w:hAnsi="Times New Roman" w:cs="Times New Roman"/>
      <w:sz w:val="24"/>
      <w:szCs w:val="24"/>
    </w:rPr>
  </w:style>
  <w:style w:type="paragraph" w:styleId="Heading7">
    <w:name w:val="heading 7"/>
    <w:basedOn w:val="Normal"/>
    <w:next w:val="BodyText"/>
    <w:link w:val="Heading7Char"/>
    <w:uiPriority w:val="9"/>
    <w:unhideWhenUsed/>
    <w:qFormat/>
    <w:rsid w:val="00503A06"/>
    <w:pPr>
      <w:numPr>
        <w:ilvl w:val="6"/>
        <w:numId w:val="6"/>
      </w:numPr>
      <w:tabs>
        <w:tab w:val="left" w:pos="4320"/>
      </w:tabs>
      <w:spacing w:after="240" w:line="240" w:lineRule="auto"/>
      <w:jc w:val="both"/>
      <w:outlineLvl w:val="6"/>
    </w:pPr>
    <w:rPr>
      <w:rFonts w:ascii="Times New Roman" w:eastAsiaTheme="majorEastAsia" w:hAnsi="Times New Roman" w:cs="Times New Roman"/>
      <w:iCs/>
      <w:sz w:val="24"/>
      <w:szCs w:val="24"/>
    </w:rPr>
  </w:style>
  <w:style w:type="paragraph" w:styleId="Heading8">
    <w:name w:val="heading 8"/>
    <w:basedOn w:val="Normal"/>
    <w:next w:val="BodyText"/>
    <w:link w:val="Heading8Char"/>
    <w:uiPriority w:val="9"/>
    <w:unhideWhenUsed/>
    <w:qFormat/>
    <w:rsid w:val="00503A06"/>
    <w:pPr>
      <w:numPr>
        <w:ilvl w:val="7"/>
        <w:numId w:val="6"/>
      </w:numPr>
      <w:tabs>
        <w:tab w:val="left" w:pos="5040"/>
      </w:tabs>
      <w:spacing w:after="240" w:line="240" w:lineRule="auto"/>
      <w:jc w:val="both"/>
      <w:outlineLvl w:val="7"/>
    </w:pPr>
    <w:rPr>
      <w:rFonts w:ascii="Times New Roman" w:eastAsiaTheme="majorEastAsia" w:hAnsi="Times New Roman" w:cs="Times New Roman"/>
      <w:sz w:val="24"/>
      <w:szCs w:val="21"/>
    </w:rPr>
  </w:style>
  <w:style w:type="paragraph" w:styleId="Heading9">
    <w:name w:val="heading 9"/>
    <w:basedOn w:val="Normal"/>
    <w:next w:val="BodyText"/>
    <w:link w:val="Heading9Char"/>
    <w:uiPriority w:val="9"/>
    <w:unhideWhenUsed/>
    <w:qFormat/>
    <w:rsid w:val="00503A06"/>
    <w:pPr>
      <w:numPr>
        <w:ilvl w:val="8"/>
        <w:numId w:val="6"/>
      </w:numPr>
      <w:tabs>
        <w:tab w:val="left" w:pos="5760"/>
      </w:tabs>
      <w:spacing w:after="240" w:line="240" w:lineRule="auto"/>
      <w:jc w:val="both"/>
      <w:outlineLvl w:val="8"/>
    </w:pPr>
    <w:rPr>
      <w:rFonts w:ascii="Times New Roman" w:eastAsiaTheme="majorEastAsia" w:hAnsi="Times New Roman" w:cs="Times New Roman"/>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1,ft,fn,Footnote Text Char1 Char,Footnote Text Char Char Char,Footnote Text1 Char,Footnote Text Char3 Char1 Char,Footnote Text Char1 Char Char1 Char,Style 14,Footnote text,Footnote Text Char1"/>
    <w:basedOn w:val="Normal"/>
    <w:link w:val="FootnoteTextChar"/>
    <w:uiPriority w:val="99"/>
    <w:unhideWhenUsed/>
    <w:qFormat/>
    <w:rsid w:val="00952AC8"/>
    <w:pPr>
      <w:spacing w:after="0" w:line="240" w:lineRule="auto"/>
    </w:pPr>
    <w:rPr>
      <w:sz w:val="20"/>
      <w:szCs w:val="20"/>
    </w:rPr>
  </w:style>
  <w:style w:type="character" w:customStyle="1" w:styleId="FootnoteTextChar">
    <w:name w:val="Footnote Text Char"/>
    <w:aliases w:val="Footnote Text Char Char Char1,Footnote Text Char Char1 Char,ft Char,fn Char,Footnote Text Char1 Char Char,Footnote Text Char Char Char Char,Footnote Text1 Char Char,Footnote Text Char3 Char1 Char Char,Style 14 Char,Footnote text Char"/>
    <w:basedOn w:val="DefaultParagraphFont"/>
    <w:link w:val="FootnoteText"/>
    <w:uiPriority w:val="99"/>
    <w:rsid w:val="00952AC8"/>
    <w:rPr>
      <w:sz w:val="20"/>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
    <w:basedOn w:val="DefaultParagraphFont"/>
    <w:unhideWhenUsed/>
    <w:rsid w:val="00952AC8"/>
    <w:rPr>
      <w:vertAlign w:val="superscript"/>
    </w:rPr>
  </w:style>
  <w:style w:type="paragraph" w:customStyle="1" w:styleId="Default">
    <w:name w:val="Default"/>
    <w:rsid w:val="0086427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87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un">
    <w:name w:val="ss_un"/>
    <w:basedOn w:val="DefaultParagraphFont"/>
    <w:rsid w:val="00687000"/>
  </w:style>
  <w:style w:type="character" w:customStyle="1" w:styleId="ssbf">
    <w:name w:val="ss_bf"/>
    <w:basedOn w:val="DefaultParagraphFont"/>
    <w:rsid w:val="00687000"/>
  </w:style>
  <w:style w:type="character" w:customStyle="1" w:styleId="ssit">
    <w:name w:val="ss_it"/>
    <w:basedOn w:val="DefaultParagraphFont"/>
    <w:rsid w:val="00687000"/>
  </w:style>
  <w:style w:type="character" w:styleId="Hyperlink">
    <w:name w:val="Hyperlink"/>
    <w:basedOn w:val="DefaultParagraphFont"/>
    <w:uiPriority w:val="99"/>
    <w:unhideWhenUsed/>
    <w:rsid w:val="00687000"/>
    <w:rPr>
      <w:color w:val="0000FF"/>
      <w:u w:val="single"/>
    </w:rPr>
  </w:style>
  <w:style w:type="character" w:customStyle="1" w:styleId="IndentParagraphChar">
    <w:name w:val="Indent Paragraph Char"/>
    <w:link w:val="IndentParagraph"/>
    <w:locked/>
    <w:rsid w:val="006640E5"/>
    <w:rPr>
      <w:rFonts w:ascii="Calibri" w:eastAsia="Calibri" w:hAnsi="Calibri" w:cs="Calibri"/>
      <w:sz w:val="24"/>
      <w:szCs w:val="24"/>
    </w:rPr>
  </w:style>
  <w:style w:type="paragraph" w:customStyle="1" w:styleId="IndentParagraph">
    <w:name w:val="Indent Paragraph"/>
    <w:basedOn w:val="Normal"/>
    <w:link w:val="IndentParagraphChar"/>
    <w:qFormat/>
    <w:rsid w:val="006640E5"/>
    <w:pPr>
      <w:spacing w:after="0" w:line="480" w:lineRule="auto"/>
      <w:ind w:firstLine="720"/>
    </w:pPr>
    <w:rPr>
      <w:rFonts w:ascii="Calibri" w:eastAsia="Calibri" w:hAnsi="Calibri" w:cs="Calibri"/>
      <w:sz w:val="24"/>
      <w:szCs w:val="24"/>
    </w:rPr>
  </w:style>
  <w:style w:type="character" w:styleId="CommentReference">
    <w:name w:val="annotation reference"/>
    <w:basedOn w:val="DefaultParagraphFont"/>
    <w:uiPriority w:val="99"/>
    <w:semiHidden/>
    <w:unhideWhenUsed/>
    <w:rsid w:val="007F01EE"/>
    <w:rPr>
      <w:sz w:val="16"/>
      <w:szCs w:val="16"/>
    </w:rPr>
  </w:style>
  <w:style w:type="paragraph" w:styleId="CommentText">
    <w:name w:val="annotation text"/>
    <w:basedOn w:val="Normal"/>
    <w:link w:val="CommentTextChar"/>
    <w:uiPriority w:val="99"/>
    <w:unhideWhenUsed/>
    <w:rsid w:val="007F01EE"/>
    <w:pPr>
      <w:spacing w:line="240" w:lineRule="auto"/>
    </w:pPr>
    <w:rPr>
      <w:sz w:val="20"/>
      <w:szCs w:val="20"/>
    </w:rPr>
  </w:style>
  <w:style w:type="character" w:customStyle="1" w:styleId="CommentTextChar">
    <w:name w:val="Comment Text Char"/>
    <w:basedOn w:val="DefaultParagraphFont"/>
    <w:link w:val="CommentText"/>
    <w:uiPriority w:val="99"/>
    <w:rsid w:val="007F01EE"/>
    <w:rPr>
      <w:sz w:val="20"/>
      <w:szCs w:val="20"/>
    </w:rPr>
  </w:style>
  <w:style w:type="paragraph" w:styleId="CommentSubject">
    <w:name w:val="annotation subject"/>
    <w:basedOn w:val="CommentText"/>
    <w:next w:val="CommentText"/>
    <w:link w:val="CommentSubjectChar"/>
    <w:uiPriority w:val="99"/>
    <w:semiHidden/>
    <w:unhideWhenUsed/>
    <w:rsid w:val="007F01EE"/>
    <w:rPr>
      <w:b/>
      <w:bCs/>
    </w:rPr>
  </w:style>
  <w:style w:type="character" w:customStyle="1" w:styleId="CommentSubjectChar">
    <w:name w:val="Comment Subject Char"/>
    <w:basedOn w:val="CommentTextChar"/>
    <w:link w:val="CommentSubject"/>
    <w:uiPriority w:val="99"/>
    <w:semiHidden/>
    <w:rsid w:val="007F01EE"/>
    <w:rPr>
      <w:b/>
      <w:bCs/>
      <w:sz w:val="20"/>
      <w:szCs w:val="20"/>
    </w:rPr>
  </w:style>
  <w:style w:type="character" w:customStyle="1" w:styleId="cf01">
    <w:name w:val="cf01"/>
    <w:basedOn w:val="DefaultParagraphFont"/>
    <w:rsid w:val="00B3050B"/>
    <w:rPr>
      <w:rFonts w:ascii="Segoe UI" w:hAnsi="Segoe UI" w:cs="Segoe UI" w:hint="default"/>
      <w:sz w:val="18"/>
      <w:szCs w:val="18"/>
    </w:rPr>
  </w:style>
  <w:style w:type="character" w:customStyle="1" w:styleId="cf11">
    <w:name w:val="cf11"/>
    <w:basedOn w:val="DefaultParagraphFont"/>
    <w:rsid w:val="00B3050B"/>
    <w:rPr>
      <w:rFonts w:ascii="Segoe UI" w:hAnsi="Segoe UI" w:cs="Segoe UI" w:hint="default"/>
      <w:sz w:val="18"/>
      <w:szCs w:val="18"/>
    </w:rPr>
  </w:style>
  <w:style w:type="paragraph" w:customStyle="1" w:styleId="Indent5DbSp">
    <w:name w:val="Indent5 DbSp"/>
    <w:basedOn w:val="Normal"/>
    <w:qFormat/>
    <w:rsid w:val="00570FD1"/>
    <w:pPr>
      <w:spacing w:after="0" w:line="480" w:lineRule="auto"/>
      <w:ind w:firstLine="720"/>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18146D"/>
    <w:rPr>
      <w:color w:val="605E5C"/>
      <w:shd w:val="clear" w:color="auto" w:fill="E1DFDD"/>
    </w:rPr>
  </w:style>
  <w:style w:type="character" w:styleId="FollowedHyperlink">
    <w:name w:val="FollowedHyperlink"/>
    <w:basedOn w:val="DefaultParagraphFont"/>
    <w:uiPriority w:val="99"/>
    <w:semiHidden/>
    <w:unhideWhenUsed/>
    <w:rsid w:val="00912755"/>
    <w:rPr>
      <w:color w:val="954F72" w:themeColor="followedHyperlink"/>
      <w:u w:val="single"/>
    </w:rPr>
  </w:style>
  <w:style w:type="character" w:customStyle="1" w:styleId="sssh">
    <w:name w:val="ss_sh"/>
    <w:basedOn w:val="DefaultParagraphFont"/>
    <w:rsid w:val="001270DD"/>
  </w:style>
  <w:style w:type="paragraph" w:customStyle="1" w:styleId="pf0">
    <w:name w:val="pf0"/>
    <w:basedOn w:val="Normal"/>
    <w:rsid w:val="003C5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aliases w:val="TOC Level 1(Ctrl+Shift+1) Char"/>
    <w:basedOn w:val="DefaultParagraphFont"/>
    <w:link w:val="Heading1"/>
    <w:uiPriority w:val="9"/>
    <w:rsid w:val="00503A06"/>
    <w:rPr>
      <w:rFonts w:ascii="Times New Roman" w:eastAsiaTheme="majorEastAsia" w:hAnsi="Times New Roman" w:cs="Times New Roman"/>
      <w:b/>
      <w:bCs/>
      <w:sz w:val="24"/>
      <w:szCs w:val="32"/>
    </w:rPr>
  </w:style>
  <w:style w:type="character" w:customStyle="1" w:styleId="Heading2Char">
    <w:name w:val="Heading 2 Char"/>
    <w:aliases w:val="TOC Level 2 (Ctrl+Shift+2) Char,TOC Level 2 Char"/>
    <w:basedOn w:val="DefaultParagraphFont"/>
    <w:link w:val="Heading2"/>
    <w:uiPriority w:val="9"/>
    <w:rsid w:val="00503A06"/>
    <w:rPr>
      <w:rFonts w:ascii="Times New Roman" w:eastAsiaTheme="majorEastAsia" w:hAnsi="Times New Roman" w:cs="Times New Roman"/>
      <w:b/>
      <w:sz w:val="24"/>
      <w:szCs w:val="26"/>
    </w:rPr>
  </w:style>
  <w:style w:type="character" w:customStyle="1" w:styleId="Heading3Char">
    <w:name w:val="Heading 3 Char"/>
    <w:aliases w:val="TOC Level 3 (Ctrl+Shift+3) Char"/>
    <w:basedOn w:val="DefaultParagraphFont"/>
    <w:link w:val="Heading3"/>
    <w:uiPriority w:val="9"/>
    <w:rsid w:val="00503A06"/>
    <w:rPr>
      <w:rFonts w:ascii="Times New Roman" w:eastAsiaTheme="majorEastAsia" w:hAnsi="Times New Roman" w:cs="Times New Roman"/>
      <w:b/>
      <w:sz w:val="24"/>
      <w:szCs w:val="24"/>
    </w:rPr>
  </w:style>
  <w:style w:type="character" w:customStyle="1" w:styleId="Heading5Char">
    <w:name w:val="Heading 5 Char"/>
    <w:aliases w:val="TOC Level 5 (Ctrl+Shift+5) Char,TOC Level 5 Char"/>
    <w:basedOn w:val="DefaultParagraphFont"/>
    <w:link w:val="Heading5"/>
    <w:rsid w:val="00503A06"/>
    <w:rPr>
      <w:rFonts w:ascii="Times New Roman" w:eastAsiaTheme="majorEastAsia" w:hAnsi="Times New Roman" w:cs="Times New Roman"/>
      <w:sz w:val="24"/>
      <w:szCs w:val="24"/>
    </w:rPr>
  </w:style>
  <w:style w:type="character" w:customStyle="1" w:styleId="Heading6Char">
    <w:name w:val="Heading 6 Char"/>
    <w:basedOn w:val="DefaultParagraphFont"/>
    <w:link w:val="Heading6"/>
    <w:rsid w:val="00503A06"/>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503A06"/>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503A06"/>
    <w:rPr>
      <w:rFonts w:ascii="Times New Roman" w:eastAsiaTheme="majorEastAsia" w:hAnsi="Times New Roman" w:cs="Times New Roman"/>
      <w:sz w:val="24"/>
      <w:szCs w:val="21"/>
    </w:rPr>
  </w:style>
  <w:style w:type="character" w:customStyle="1" w:styleId="Heading9Char">
    <w:name w:val="Heading 9 Char"/>
    <w:basedOn w:val="DefaultParagraphFont"/>
    <w:link w:val="Heading9"/>
    <w:uiPriority w:val="9"/>
    <w:rsid w:val="00503A06"/>
    <w:rPr>
      <w:rFonts w:ascii="Times New Roman" w:eastAsiaTheme="majorEastAsia" w:hAnsi="Times New Roman" w:cs="Times New Roman"/>
      <w:iCs/>
      <w:sz w:val="24"/>
      <w:szCs w:val="21"/>
    </w:rPr>
  </w:style>
  <w:style w:type="paragraph" w:styleId="BodyText">
    <w:name w:val="Body Text"/>
    <w:basedOn w:val="Normal"/>
    <w:link w:val="BodyTextChar"/>
    <w:uiPriority w:val="99"/>
    <w:semiHidden/>
    <w:unhideWhenUsed/>
    <w:rsid w:val="00503A06"/>
    <w:pPr>
      <w:spacing w:after="120"/>
    </w:pPr>
  </w:style>
  <w:style w:type="character" w:customStyle="1" w:styleId="BodyTextChar">
    <w:name w:val="Body Text Char"/>
    <w:basedOn w:val="DefaultParagraphFont"/>
    <w:link w:val="BodyText"/>
    <w:uiPriority w:val="99"/>
    <w:semiHidden/>
    <w:rsid w:val="00503A06"/>
  </w:style>
  <w:style w:type="paragraph" w:styleId="ListParagraph">
    <w:name w:val="List Paragraph"/>
    <w:basedOn w:val="Normal"/>
    <w:uiPriority w:val="34"/>
    <w:qFormat/>
    <w:rsid w:val="00B26E41"/>
    <w:pPr>
      <w:ind w:left="720"/>
      <w:contextualSpacing/>
    </w:pPr>
  </w:style>
  <w:style w:type="character" w:styleId="PlaceholderText">
    <w:name w:val="Placeholder Text"/>
    <w:basedOn w:val="DefaultParagraphFont"/>
    <w:uiPriority w:val="99"/>
    <w:semiHidden/>
    <w:rsid w:val="006970B8"/>
    <w:rPr>
      <w:color w:val="808080"/>
    </w:rPr>
  </w:style>
  <w:style w:type="paragraph" w:styleId="Header">
    <w:name w:val="header"/>
    <w:basedOn w:val="Normal"/>
    <w:link w:val="HeaderChar"/>
    <w:uiPriority w:val="99"/>
    <w:unhideWhenUsed/>
    <w:rsid w:val="00A9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57A"/>
  </w:style>
  <w:style w:type="paragraph" w:styleId="Footer">
    <w:name w:val="footer"/>
    <w:basedOn w:val="Normal"/>
    <w:link w:val="FooterChar"/>
    <w:uiPriority w:val="99"/>
    <w:unhideWhenUsed/>
    <w:rsid w:val="00A9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57A"/>
  </w:style>
  <w:style w:type="paragraph" w:styleId="Revision">
    <w:name w:val="Revision"/>
    <w:hidden/>
    <w:uiPriority w:val="99"/>
    <w:semiHidden/>
    <w:rsid w:val="00A54597"/>
    <w:pPr>
      <w:spacing w:after="0" w:line="240" w:lineRule="auto"/>
    </w:pPr>
  </w:style>
  <w:style w:type="paragraph" w:styleId="NoSpacing">
    <w:name w:val="No Spacing"/>
    <w:uiPriority w:val="1"/>
    <w:qFormat/>
    <w:rsid w:val="00785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479">
      <w:bodyDiv w:val="1"/>
      <w:marLeft w:val="0"/>
      <w:marRight w:val="0"/>
      <w:marTop w:val="0"/>
      <w:marBottom w:val="0"/>
      <w:divBdr>
        <w:top w:val="none" w:sz="0" w:space="0" w:color="auto"/>
        <w:left w:val="none" w:sz="0" w:space="0" w:color="auto"/>
        <w:bottom w:val="none" w:sz="0" w:space="0" w:color="auto"/>
        <w:right w:val="none" w:sz="0" w:space="0" w:color="auto"/>
      </w:divBdr>
    </w:div>
    <w:div w:id="336688768">
      <w:bodyDiv w:val="1"/>
      <w:marLeft w:val="0"/>
      <w:marRight w:val="0"/>
      <w:marTop w:val="0"/>
      <w:marBottom w:val="0"/>
      <w:divBdr>
        <w:top w:val="none" w:sz="0" w:space="0" w:color="auto"/>
        <w:left w:val="none" w:sz="0" w:space="0" w:color="auto"/>
        <w:bottom w:val="none" w:sz="0" w:space="0" w:color="auto"/>
        <w:right w:val="none" w:sz="0" w:space="0" w:color="auto"/>
      </w:divBdr>
    </w:div>
    <w:div w:id="355237644">
      <w:bodyDiv w:val="1"/>
      <w:marLeft w:val="0"/>
      <w:marRight w:val="0"/>
      <w:marTop w:val="0"/>
      <w:marBottom w:val="0"/>
      <w:divBdr>
        <w:top w:val="none" w:sz="0" w:space="0" w:color="auto"/>
        <w:left w:val="none" w:sz="0" w:space="0" w:color="auto"/>
        <w:bottom w:val="none" w:sz="0" w:space="0" w:color="auto"/>
        <w:right w:val="none" w:sz="0" w:space="0" w:color="auto"/>
      </w:divBdr>
    </w:div>
    <w:div w:id="376012298">
      <w:bodyDiv w:val="1"/>
      <w:marLeft w:val="0"/>
      <w:marRight w:val="0"/>
      <w:marTop w:val="0"/>
      <w:marBottom w:val="0"/>
      <w:divBdr>
        <w:top w:val="none" w:sz="0" w:space="0" w:color="auto"/>
        <w:left w:val="none" w:sz="0" w:space="0" w:color="auto"/>
        <w:bottom w:val="none" w:sz="0" w:space="0" w:color="auto"/>
        <w:right w:val="none" w:sz="0" w:space="0" w:color="auto"/>
      </w:divBdr>
    </w:div>
    <w:div w:id="569000670">
      <w:bodyDiv w:val="1"/>
      <w:marLeft w:val="0"/>
      <w:marRight w:val="0"/>
      <w:marTop w:val="0"/>
      <w:marBottom w:val="0"/>
      <w:divBdr>
        <w:top w:val="none" w:sz="0" w:space="0" w:color="auto"/>
        <w:left w:val="none" w:sz="0" w:space="0" w:color="auto"/>
        <w:bottom w:val="none" w:sz="0" w:space="0" w:color="auto"/>
        <w:right w:val="none" w:sz="0" w:space="0" w:color="auto"/>
      </w:divBdr>
    </w:div>
    <w:div w:id="572475260">
      <w:bodyDiv w:val="1"/>
      <w:marLeft w:val="0"/>
      <w:marRight w:val="0"/>
      <w:marTop w:val="0"/>
      <w:marBottom w:val="0"/>
      <w:divBdr>
        <w:top w:val="none" w:sz="0" w:space="0" w:color="auto"/>
        <w:left w:val="none" w:sz="0" w:space="0" w:color="auto"/>
        <w:bottom w:val="none" w:sz="0" w:space="0" w:color="auto"/>
        <w:right w:val="none" w:sz="0" w:space="0" w:color="auto"/>
      </w:divBdr>
      <w:divsChild>
        <w:div w:id="1520198509">
          <w:blockQuote w:val="1"/>
          <w:marLeft w:val="600"/>
          <w:marRight w:val="600"/>
          <w:marTop w:val="240"/>
          <w:marBottom w:val="240"/>
          <w:divBdr>
            <w:top w:val="none" w:sz="0" w:space="0" w:color="auto"/>
            <w:left w:val="none" w:sz="0" w:space="0" w:color="auto"/>
            <w:bottom w:val="none" w:sz="0" w:space="0" w:color="auto"/>
            <w:right w:val="none" w:sz="0" w:space="0" w:color="auto"/>
          </w:divBdr>
        </w:div>
        <w:div w:id="197506586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742220889">
      <w:bodyDiv w:val="1"/>
      <w:marLeft w:val="0"/>
      <w:marRight w:val="0"/>
      <w:marTop w:val="0"/>
      <w:marBottom w:val="0"/>
      <w:divBdr>
        <w:top w:val="none" w:sz="0" w:space="0" w:color="auto"/>
        <w:left w:val="none" w:sz="0" w:space="0" w:color="auto"/>
        <w:bottom w:val="none" w:sz="0" w:space="0" w:color="auto"/>
        <w:right w:val="none" w:sz="0" w:space="0" w:color="auto"/>
      </w:divBdr>
    </w:div>
    <w:div w:id="754983547">
      <w:bodyDiv w:val="1"/>
      <w:marLeft w:val="0"/>
      <w:marRight w:val="0"/>
      <w:marTop w:val="0"/>
      <w:marBottom w:val="0"/>
      <w:divBdr>
        <w:top w:val="none" w:sz="0" w:space="0" w:color="auto"/>
        <w:left w:val="none" w:sz="0" w:space="0" w:color="auto"/>
        <w:bottom w:val="none" w:sz="0" w:space="0" w:color="auto"/>
        <w:right w:val="none" w:sz="0" w:space="0" w:color="auto"/>
      </w:divBdr>
      <w:divsChild>
        <w:div w:id="959142527">
          <w:blockQuote w:val="1"/>
          <w:marLeft w:val="600"/>
          <w:marRight w:val="600"/>
          <w:marTop w:val="240"/>
          <w:marBottom w:val="240"/>
          <w:divBdr>
            <w:top w:val="none" w:sz="0" w:space="0" w:color="auto"/>
            <w:left w:val="none" w:sz="0" w:space="0" w:color="auto"/>
            <w:bottom w:val="none" w:sz="0" w:space="0" w:color="auto"/>
            <w:right w:val="none" w:sz="0" w:space="0" w:color="auto"/>
          </w:divBdr>
        </w:div>
        <w:div w:id="1359351510">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781418175">
      <w:bodyDiv w:val="1"/>
      <w:marLeft w:val="0"/>
      <w:marRight w:val="0"/>
      <w:marTop w:val="0"/>
      <w:marBottom w:val="0"/>
      <w:divBdr>
        <w:top w:val="none" w:sz="0" w:space="0" w:color="auto"/>
        <w:left w:val="none" w:sz="0" w:space="0" w:color="auto"/>
        <w:bottom w:val="none" w:sz="0" w:space="0" w:color="auto"/>
        <w:right w:val="none" w:sz="0" w:space="0" w:color="auto"/>
      </w:divBdr>
    </w:div>
    <w:div w:id="859202616">
      <w:bodyDiv w:val="1"/>
      <w:marLeft w:val="0"/>
      <w:marRight w:val="0"/>
      <w:marTop w:val="0"/>
      <w:marBottom w:val="0"/>
      <w:divBdr>
        <w:top w:val="none" w:sz="0" w:space="0" w:color="auto"/>
        <w:left w:val="none" w:sz="0" w:space="0" w:color="auto"/>
        <w:bottom w:val="none" w:sz="0" w:space="0" w:color="auto"/>
        <w:right w:val="none" w:sz="0" w:space="0" w:color="auto"/>
      </w:divBdr>
    </w:div>
    <w:div w:id="1065179553">
      <w:bodyDiv w:val="1"/>
      <w:marLeft w:val="0"/>
      <w:marRight w:val="0"/>
      <w:marTop w:val="0"/>
      <w:marBottom w:val="0"/>
      <w:divBdr>
        <w:top w:val="none" w:sz="0" w:space="0" w:color="auto"/>
        <w:left w:val="none" w:sz="0" w:space="0" w:color="auto"/>
        <w:bottom w:val="none" w:sz="0" w:space="0" w:color="auto"/>
        <w:right w:val="none" w:sz="0" w:space="0" w:color="auto"/>
      </w:divBdr>
    </w:div>
    <w:div w:id="1081684139">
      <w:bodyDiv w:val="1"/>
      <w:marLeft w:val="0"/>
      <w:marRight w:val="0"/>
      <w:marTop w:val="0"/>
      <w:marBottom w:val="0"/>
      <w:divBdr>
        <w:top w:val="none" w:sz="0" w:space="0" w:color="auto"/>
        <w:left w:val="none" w:sz="0" w:space="0" w:color="auto"/>
        <w:bottom w:val="none" w:sz="0" w:space="0" w:color="auto"/>
        <w:right w:val="none" w:sz="0" w:space="0" w:color="auto"/>
      </w:divBdr>
    </w:div>
    <w:div w:id="1447966835">
      <w:bodyDiv w:val="1"/>
      <w:marLeft w:val="0"/>
      <w:marRight w:val="0"/>
      <w:marTop w:val="0"/>
      <w:marBottom w:val="0"/>
      <w:divBdr>
        <w:top w:val="none" w:sz="0" w:space="0" w:color="auto"/>
        <w:left w:val="none" w:sz="0" w:space="0" w:color="auto"/>
        <w:bottom w:val="none" w:sz="0" w:space="0" w:color="auto"/>
        <w:right w:val="none" w:sz="0" w:space="0" w:color="auto"/>
      </w:divBdr>
    </w:div>
    <w:div w:id="1847673601">
      <w:bodyDiv w:val="1"/>
      <w:marLeft w:val="0"/>
      <w:marRight w:val="0"/>
      <w:marTop w:val="0"/>
      <w:marBottom w:val="0"/>
      <w:divBdr>
        <w:top w:val="none" w:sz="0" w:space="0" w:color="auto"/>
        <w:left w:val="none" w:sz="0" w:space="0" w:color="auto"/>
        <w:bottom w:val="none" w:sz="0" w:space="0" w:color="auto"/>
        <w:right w:val="none" w:sz="0" w:space="0" w:color="auto"/>
      </w:divBdr>
    </w:div>
    <w:div w:id="2067486161">
      <w:bodyDiv w:val="1"/>
      <w:marLeft w:val="0"/>
      <w:marRight w:val="0"/>
      <w:marTop w:val="0"/>
      <w:marBottom w:val="0"/>
      <w:divBdr>
        <w:top w:val="none" w:sz="0" w:space="0" w:color="auto"/>
        <w:left w:val="none" w:sz="0" w:space="0" w:color="auto"/>
        <w:bottom w:val="none" w:sz="0" w:space="0" w:color="auto"/>
        <w:right w:val="none" w:sz="0" w:space="0" w:color="auto"/>
      </w:divBdr>
    </w:div>
    <w:div w:id="2104379761">
      <w:bodyDiv w:val="1"/>
      <w:marLeft w:val="0"/>
      <w:marRight w:val="0"/>
      <w:marTop w:val="0"/>
      <w:marBottom w:val="0"/>
      <w:divBdr>
        <w:top w:val="none" w:sz="0" w:space="0" w:color="auto"/>
        <w:left w:val="none" w:sz="0" w:space="0" w:color="auto"/>
        <w:bottom w:val="none" w:sz="0" w:space="0" w:color="auto"/>
        <w:right w:val="none" w:sz="0" w:space="0" w:color="auto"/>
      </w:divBdr>
    </w:div>
    <w:div w:id="21324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shultz@eckertseam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6442</Words>
  <Characters>36725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2022-12-19T18:55:00Z</dcterms:created>
  <dcterms:modified xsi:type="dcterms:W3CDTF">2022-12-19T18:55:00Z</dcterms:modified>
</cp:coreProperties>
</file>